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83C4" w14:textId="77777777" w:rsidR="006724F1" w:rsidRPr="00725C7B" w:rsidRDefault="006724F1" w:rsidP="000011F2">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37D14A59" wp14:editId="731DF6E5">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CD596" w14:textId="77777777" w:rsidR="006724F1" w:rsidRPr="00725C7B" w:rsidRDefault="006724F1" w:rsidP="000011F2">
      <w:pPr>
        <w:spacing w:line="360" w:lineRule="auto"/>
        <w:ind w:left="720"/>
        <w:jc w:val="both"/>
        <w:rPr>
          <w:b/>
          <w:bCs/>
        </w:rPr>
      </w:pPr>
    </w:p>
    <w:p w14:paraId="231ABE1A" w14:textId="77777777" w:rsidR="006724F1" w:rsidRDefault="006724F1" w:rsidP="000011F2">
      <w:pPr>
        <w:spacing w:line="360" w:lineRule="auto"/>
        <w:ind w:left="720"/>
        <w:jc w:val="both"/>
        <w:rPr>
          <w:b/>
          <w:bCs/>
        </w:rPr>
      </w:pPr>
    </w:p>
    <w:p w14:paraId="53FBA06B" w14:textId="77777777" w:rsidR="006724F1" w:rsidRPr="003B461A" w:rsidRDefault="006724F1" w:rsidP="000011F2">
      <w:pPr>
        <w:spacing w:line="360" w:lineRule="auto"/>
        <w:jc w:val="center"/>
      </w:pPr>
      <w:r w:rsidRPr="003B461A">
        <w:rPr>
          <w:b/>
          <w:bCs/>
        </w:rPr>
        <w:t>IN THE HIGH COURT OF SOUTH AFRICA</w:t>
      </w:r>
    </w:p>
    <w:p w14:paraId="774612D1" w14:textId="77777777" w:rsidR="006724F1" w:rsidRPr="003B461A" w:rsidRDefault="006724F1" w:rsidP="000011F2">
      <w:pPr>
        <w:spacing w:line="360" w:lineRule="auto"/>
        <w:jc w:val="center"/>
        <w:rPr>
          <w:b/>
          <w:bCs/>
        </w:rPr>
      </w:pPr>
      <w:r w:rsidRPr="003B461A">
        <w:rPr>
          <w:b/>
          <w:bCs/>
        </w:rPr>
        <w:t>(WESTERN CAPE DIVISION, CAPE TOWN)</w:t>
      </w:r>
    </w:p>
    <w:p w14:paraId="564CD5FC" w14:textId="77777777" w:rsidR="008A5E0B" w:rsidRDefault="008A5E0B" w:rsidP="000011F2">
      <w:pPr>
        <w:spacing w:line="360" w:lineRule="auto"/>
        <w:rPr>
          <w:b/>
          <w:bCs/>
        </w:rPr>
      </w:pPr>
    </w:p>
    <w:p w14:paraId="5CB9FA57" w14:textId="77777777" w:rsidR="008A5E0B" w:rsidRPr="006F6785" w:rsidRDefault="008A5E0B" w:rsidP="000011F2">
      <w:pPr>
        <w:spacing w:line="360" w:lineRule="auto"/>
        <w:jc w:val="right"/>
        <w:rPr>
          <w:b/>
        </w:rPr>
      </w:pPr>
      <w:r>
        <w:rPr>
          <w:b/>
        </w:rPr>
        <w:t xml:space="preserve"> </w:t>
      </w:r>
      <w:r w:rsidR="00092029">
        <w:rPr>
          <w:b/>
        </w:rPr>
        <w:t xml:space="preserve">                                                                            </w:t>
      </w:r>
      <w:r w:rsidRPr="006F6785">
        <w:t xml:space="preserve">                      </w:t>
      </w:r>
      <w:r w:rsidRPr="006F6785">
        <w:rPr>
          <w:b/>
        </w:rPr>
        <w:t xml:space="preserve">Case No: </w:t>
      </w:r>
      <w:r w:rsidR="00C81153">
        <w:rPr>
          <w:b/>
        </w:rPr>
        <w:t>6577</w:t>
      </w:r>
      <w:r w:rsidR="0030731B">
        <w:rPr>
          <w:b/>
        </w:rPr>
        <w:t>/</w:t>
      </w:r>
      <w:r w:rsidR="00C81153">
        <w:rPr>
          <w:b/>
        </w:rPr>
        <w:t>22</w:t>
      </w:r>
    </w:p>
    <w:p w14:paraId="65C5B49E" w14:textId="77777777" w:rsidR="008A5E0B" w:rsidRDefault="008A5E0B" w:rsidP="000011F2">
      <w:pPr>
        <w:spacing w:line="360" w:lineRule="auto"/>
        <w:jc w:val="both"/>
      </w:pPr>
      <w:r>
        <w:t>In the matter between:</w:t>
      </w:r>
    </w:p>
    <w:p w14:paraId="6CAF0982" w14:textId="77777777" w:rsidR="008A5E0B" w:rsidRDefault="008A5E0B" w:rsidP="000011F2">
      <w:pPr>
        <w:spacing w:line="360" w:lineRule="auto"/>
        <w:jc w:val="both"/>
      </w:pPr>
    </w:p>
    <w:p w14:paraId="120CA096" w14:textId="77777777" w:rsidR="008A5E0B" w:rsidRDefault="00C81153" w:rsidP="000011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360" w:lineRule="auto"/>
        <w:jc w:val="both"/>
      </w:pPr>
      <w:r w:rsidRPr="00C81153">
        <w:rPr>
          <w:b/>
        </w:rPr>
        <w:t>JURIE WYNAND ROUX</w:t>
      </w:r>
      <w:r w:rsidRPr="00C81153">
        <w:rPr>
          <w:b/>
        </w:rPr>
        <w:tab/>
      </w:r>
      <w:r>
        <w:tab/>
      </w:r>
      <w:r>
        <w:tab/>
      </w:r>
      <w:r>
        <w:tab/>
      </w:r>
      <w:r>
        <w:tab/>
      </w:r>
      <w:r>
        <w:tab/>
      </w:r>
      <w:r>
        <w:tab/>
      </w:r>
      <w:r>
        <w:tab/>
      </w:r>
      <w:r>
        <w:tab/>
        <w:t>Applicant</w:t>
      </w:r>
    </w:p>
    <w:p w14:paraId="097964C0" w14:textId="77777777" w:rsidR="00431D68" w:rsidRDefault="00431D68" w:rsidP="000011F2">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360" w:lineRule="auto"/>
        <w:jc w:val="both"/>
        <w:rPr>
          <w:b/>
          <w:bCs/>
        </w:rPr>
      </w:pPr>
    </w:p>
    <w:p w14:paraId="111ACD74" w14:textId="77777777" w:rsidR="00E43250" w:rsidRDefault="00E43250" w:rsidP="000011F2">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360" w:lineRule="auto"/>
        <w:jc w:val="both"/>
        <w:rPr>
          <w:bCs/>
        </w:rPr>
      </w:pPr>
      <w:r w:rsidRPr="00E43250">
        <w:rPr>
          <w:bCs/>
        </w:rPr>
        <w:t>And</w:t>
      </w:r>
    </w:p>
    <w:p w14:paraId="4C489B5B" w14:textId="77777777" w:rsidR="00431D68" w:rsidRPr="00E43250" w:rsidRDefault="0030731B" w:rsidP="000011F2">
      <w:pPr>
        <w:tabs>
          <w:tab w:val="right" w:pos="10440"/>
        </w:tabs>
        <w:suppressAutoHyphens/>
        <w:adjustRightInd w:val="0"/>
        <w:spacing w:line="360" w:lineRule="auto"/>
        <w:jc w:val="both"/>
        <w:rPr>
          <w:bCs/>
          <w:spacing w:val="-3"/>
        </w:rPr>
      </w:pPr>
      <w:r>
        <w:rPr>
          <w:b/>
          <w:bCs/>
          <w:spacing w:val="-3"/>
        </w:rPr>
        <w:t>UNIVERSITY OF STELLENBOSCH</w:t>
      </w:r>
      <w:r w:rsidR="00431D68">
        <w:rPr>
          <w:b/>
          <w:bCs/>
          <w:spacing w:val="-3"/>
        </w:rPr>
        <w:tab/>
      </w:r>
      <w:r w:rsidR="00E43250" w:rsidRPr="00E43250">
        <w:rPr>
          <w:bCs/>
          <w:spacing w:val="-3"/>
        </w:rPr>
        <w:t>First Respondent</w:t>
      </w:r>
    </w:p>
    <w:p w14:paraId="187CBF16" w14:textId="77777777" w:rsidR="00431D68" w:rsidRPr="00E43250" w:rsidRDefault="00E43250" w:rsidP="000011F2">
      <w:pPr>
        <w:tabs>
          <w:tab w:val="right" w:pos="10440"/>
        </w:tabs>
        <w:suppressAutoHyphens/>
        <w:adjustRightInd w:val="0"/>
        <w:spacing w:line="360" w:lineRule="auto"/>
        <w:jc w:val="both"/>
        <w:rPr>
          <w:bCs/>
          <w:spacing w:val="-3"/>
        </w:rPr>
      </w:pPr>
      <w:r>
        <w:rPr>
          <w:b/>
          <w:bCs/>
          <w:spacing w:val="-3"/>
        </w:rPr>
        <w:t>AR SHOLTO-DOUGLAS SC N.O.</w:t>
      </w:r>
      <w:r>
        <w:rPr>
          <w:b/>
          <w:bCs/>
          <w:spacing w:val="-3"/>
        </w:rPr>
        <w:tab/>
      </w:r>
      <w:r w:rsidRPr="00E43250">
        <w:rPr>
          <w:bCs/>
          <w:spacing w:val="-3"/>
        </w:rPr>
        <w:t>Second Respondent</w:t>
      </w:r>
    </w:p>
    <w:p w14:paraId="04BB7E58" w14:textId="77777777" w:rsidR="00431D68" w:rsidRPr="00E43250" w:rsidRDefault="00E43250" w:rsidP="000011F2">
      <w:pPr>
        <w:tabs>
          <w:tab w:val="right" w:pos="10440"/>
        </w:tabs>
        <w:suppressAutoHyphens/>
        <w:adjustRightInd w:val="0"/>
        <w:spacing w:line="360" w:lineRule="auto"/>
        <w:jc w:val="both"/>
        <w:rPr>
          <w:bCs/>
          <w:spacing w:val="-3"/>
        </w:rPr>
      </w:pPr>
      <w:r w:rsidRPr="00E43250">
        <w:rPr>
          <w:b/>
          <w:bCs/>
          <w:spacing w:val="-3"/>
        </w:rPr>
        <w:t>CM ELOFF SC N.O</w:t>
      </w:r>
      <w:r>
        <w:rPr>
          <w:bCs/>
          <w:spacing w:val="-3"/>
        </w:rPr>
        <w:t>.</w:t>
      </w:r>
      <w:r>
        <w:rPr>
          <w:bCs/>
          <w:spacing w:val="-3"/>
        </w:rPr>
        <w:tab/>
        <w:t>Third Respondent</w:t>
      </w:r>
    </w:p>
    <w:p w14:paraId="27EAB728" w14:textId="77777777" w:rsidR="00E43250" w:rsidRDefault="00E43250" w:rsidP="000011F2">
      <w:pPr>
        <w:tabs>
          <w:tab w:val="right" w:pos="10440"/>
        </w:tabs>
        <w:spacing w:line="360" w:lineRule="auto"/>
        <w:jc w:val="both"/>
      </w:pPr>
      <w:r w:rsidRPr="00E43250">
        <w:rPr>
          <w:b/>
        </w:rPr>
        <w:t>RETIRED JUSTICE LTC HARMS N.O.</w:t>
      </w:r>
      <w:r>
        <w:tab/>
        <w:t>Fourth Respondent</w:t>
      </w:r>
    </w:p>
    <w:p w14:paraId="7281546B" w14:textId="77777777" w:rsidR="00E43250" w:rsidRDefault="00E43250" w:rsidP="000011F2">
      <w:pPr>
        <w:tabs>
          <w:tab w:val="right" w:pos="10440"/>
        </w:tabs>
        <w:spacing w:line="360" w:lineRule="auto"/>
        <w:jc w:val="both"/>
      </w:pPr>
      <w:r w:rsidRPr="00E43250">
        <w:rPr>
          <w:b/>
        </w:rPr>
        <w:t>M VAN DER NEST SC N.O.</w:t>
      </w:r>
      <w:r>
        <w:tab/>
        <w:t>Fifth Respondent</w:t>
      </w:r>
    </w:p>
    <w:p w14:paraId="6690735F" w14:textId="77777777" w:rsidR="00E43250" w:rsidRDefault="00E43250" w:rsidP="000011F2">
      <w:pPr>
        <w:tabs>
          <w:tab w:val="right" w:pos="10440"/>
        </w:tabs>
        <w:spacing w:line="360" w:lineRule="auto"/>
        <w:jc w:val="both"/>
      </w:pPr>
    </w:p>
    <w:p w14:paraId="4EA6EFEF" w14:textId="77777777" w:rsidR="00431D68" w:rsidRDefault="00431D68" w:rsidP="000011F2">
      <w:pPr>
        <w:tabs>
          <w:tab w:val="right" w:pos="10440"/>
        </w:tabs>
        <w:spacing w:line="360" w:lineRule="auto"/>
        <w:jc w:val="both"/>
      </w:pPr>
    </w:p>
    <w:p w14:paraId="754F774B" w14:textId="77777777" w:rsidR="00E43250" w:rsidRPr="00E43250" w:rsidRDefault="00E43250" w:rsidP="000011F2">
      <w:pPr>
        <w:tabs>
          <w:tab w:val="right" w:pos="10440"/>
        </w:tabs>
        <w:spacing w:line="360" w:lineRule="auto"/>
        <w:jc w:val="both"/>
        <w:rPr>
          <w:u w:val="single"/>
        </w:rPr>
      </w:pPr>
      <w:r w:rsidRPr="00E43250">
        <w:rPr>
          <w:u w:val="single"/>
        </w:rPr>
        <w:t>Consolidated by agreement with:</w:t>
      </w:r>
    </w:p>
    <w:p w14:paraId="04A05F6D" w14:textId="77777777" w:rsidR="00E43250" w:rsidRDefault="00E43250" w:rsidP="000011F2">
      <w:pPr>
        <w:tabs>
          <w:tab w:val="right" w:pos="10440"/>
        </w:tabs>
        <w:spacing w:line="360" w:lineRule="auto"/>
        <w:jc w:val="both"/>
      </w:pPr>
    </w:p>
    <w:p w14:paraId="177990B9" w14:textId="77777777" w:rsidR="00E43250" w:rsidRPr="00E43250" w:rsidRDefault="00E43250" w:rsidP="000011F2">
      <w:pPr>
        <w:tabs>
          <w:tab w:val="right" w:pos="10440"/>
        </w:tabs>
        <w:spacing w:line="360" w:lineRule="auto"/>
        <w:jc w:val="both"/>
        <w:rPr>
          <w:b/>
        </w:rPr>
      </w:pPr>
      <w:r>
        <w:tab/>
      </w:r>
      <w:r w:rsidRPr="00E43250">
        <w:rPr>
          <w:b/>
        </w:rPr>
        <w:t>Case No: 11368/15</w:t>
      </w:r>
    </w:p>
    <w:p w14:paraId="2DB1BE8F" w14:textId="77777777" w:rsidR="00E43250" w:rsidRDefault="00E43250" w:rsidP="000011F2">
      <w:pPr>
        <w:tabs>
          <w:tab w:val="right" w:pos="10440"/>
        </w:tabs>
        <w:spacing w:line="360" w:lineRule="auto"/>
        <w:jc w:val="both"/>
      </w:pPr>
      <w:r>
        <w:t>In the matter between:</w:t>
      </w:r>
    </w:p>
    <w:p w14:paraId="16E83404" w14:textId="77777777" w:rsidR="00E43250" w:rsidRDefault="00E43250" w:rsidP="000011F2">
      <w:pPr>
        <w:tabs>
          <w:tab w:val="right" w:pos="10440"/>
        </w:tabs>
        <w:spacing w:line="360" w:lineRule="auto"/>
        <w:jc w:val="both"/>
      </w:pPr>
    </w:p>
    <w:p w14:paraId="65203C8A" w14:textId="77777777" w:rsidR="00E43250" w:rsidRDefault="00E43250" w:rsidP="000011F2">
      <w:pPr>
        <w:tabs>
          <w:tab w:val="right" w:pos="10440"/>
        </w:tabs>
        <w:jc w:val="both"/>
      </w:pPr>
      <w:r>
        <w:rPr>
          <w:b/>
        </w:rPr>
        <w:t>UNIVERSITY OF STELLENBOSCH</w:t>
      </w:r>
      <w:r>
        <w:rPr>
          <w:b/>
        </w:rPr>
        <w:tab/>
      </w:r>
      <w:r w:rsidRPr="00E43250">
        <w:t>Applicant</w:t>
      </w:r>
    </w:p>
    <w:p w14:paraId="20BF7817" w14:textId="77777777" w:rsidR="00E43250" w:rsidRDefault="00E43250" w:rsidP="000011F2">
      <w:pPr>
        <w:tabs>
          <w:tab w:val="right" w:pos="10440"/>
        </w:tabs>
        <w:jc w:val="both"/>
      </w:pPr>
    </w:p>
    <w:p w14:paraId="6C6ECACB" w14:textId="77777777" w:rsidR="00E43250" w:rsidRDefault="00E43250" w:rsidP="000011F2">
      <w:pPr>
        <w:tabs>
          <w:tab w:val="right" w:pos="10440"/>
        </w:tabs>
        <w:jc w:val="both"/>
      </w:pPr>
      <w:r>
        <w:t>and</w:t>
      </w:r>
    </w:p>
    <w:p w14:paraId="7166AFAD" w14:textId="77777777" w:rsidR="00E43250" w:rsidRPr="00E43250" w:rsidRDefault="00E43250" w:rsidP="000011F2">
      <w:pPr>
        <w:tabs>
          <w:tab w:val="right" w:pos="10440"/>
        </w:tabs>
        <w:jc w:val="both"/>
      </w:pPr>
    </w:p>
    <w:p w14:paraId="0B6E6946" w14:textId="77777777" w:rsidR="00431D68" w:rsidRDefault="0030731B" w:rsidP="000011F2">
      <w:pPr>
        <w:tabs>
          <w:tab w:val="right" w:pos="10440"/>
        </w:tabs>
        <w:jc w:val="both"/>
      </w:pPr>
      <w:r>
        <w:rPr>
          <w:b/>
        </w:rPr>
        <w:t>JURIE WYNAND ROUX</w:t>
      </w:r>
      <w:r w:rsidR="00431D68">
        <w:rPr>
          <w:b/>
        </w:rPr>
        <w:tab/>
      </w:r>
      <w:r w:rsidR="00DD1209">
        <w:rPr>
          <w:b/>
        </w:rPr>
        <w:t xml:space="preserve"> </w:t>
      </w:r>
      <w:r w:rsidR="00431D68">
        <w:t>First Respondent</w:t>
      </w:r>
    </w:p>
    <w:p w14:paraId="25C96BC9" w14:textId="77777777" w:rsidR="00431D68" w:rsidRDefault="00431D68" w:rsidP="000011F2">
      <w:pPr>
        <w:tabs>
          <w:tab w:val="right" w:pos="10440"/>
        </w:tabs>
        <w:jc w:val="both"/>
      </w:pPr>
    </w:p>
    <w:p w14:paraId="3B38D131" w14:textId="77777777" w:rsidR="00431D68" w:rsidRDefault="0030731B" w:rsidP="000011F2">
      <w:pPr>
        <w:tabs>
          <w:tab w:val="right" w:pos="10440"/>
        </w:tabs>
        <w:jc w:val="both"/>
      </w:pPr>
      <w:r>
        <w:rPr>
          <w:b/>
        </w:rPr>
        <w:t>JOHANNES CHRISTIAAN DE BEER</w:t>
      </w:r>
      <w:r w:rsidR="00431D68">
        <w:rPr>
          <w:b/>
        </w:rPr>
        <w:t xml:space="preserve">                            </w:t>
      </w:r>
      <w:r w:rsidR="00431D68">
        <w:t xml:space="preserve">              </w:t>
      </w:r>
      <w:r w:rsidR="00DD1209">
        <w:t xml:space="preserve">   </w:t>
      </w:r>
      <w:r w:rsidR="00431D68">
        <w:t>Second Respondent</w:t>
      </w:r>
    </w:p>
    <w:p w14:paraId="0DBE101B" w14:textId="77777777" w:rsidR="00431D68" w:rsidRDefault="00431D68" w:rsidP="000011F2">
      <w:pPr>
        <w:tabs>
          <w:tab w:val="right" w:pos="10440"/>
        </w:tabs>
      </w:pPr>
    </w:p>
    <w:p w14:paraId="4F7CA457" w14:textId="77777777" w:rsidR="00DD1209" w:rsidRDefault="00DD1209" w:rsidP="000011F2">
      <w:pPr>
        <w:tabs>
          <w:tab w:val="right" w:pos="10440"/>
        </w:tabs>
        <w:spacing w:line="360" w:lineRule="auto"/>
      </w:pPr>
    </w:p>
    <w:p w14:paraId="7BB970D9" w14:textId="77777777" w:rsidR="007E0C13" w:rsidRPr="00E4144F" w:rsidRDefault="00D77613" w:rsidP="000011F2">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360" w:lineRule="auto"/>
      </w:pPr>
      <w:r w:rsidRPr="00E33BD4">
        <w:rPr>
          <w:b/>
        </w:rPr>
        <w:t>Coram:</w:t>
      </w:r>
      <w:r w:rsidR="00166F0F">
        <w:t xml:space="preserve"> </w:t>
      </w:r>
      <w:r w:rsidR="0030731B">
        <w:t xml:space="preserve">Justice VC Saldanha </w:t>
      </w:r>
    </w:p>
    <w:p w14:paraId="142B2D78" w14:textId="10FB2F0C" w:rsidR="007E0C13" w:rsidRDefault="00D77613" w:rsidP="000011F2">
      <w:pPr>
        <w:tabs>
          <w:tab w:val="right" w:pos="9072"/>
        </w:tabs>
        <w:spacing w:line="360" w:lineRule="auto"/>
        <w:jc w:val="both"/>
      </w:pPr>
      <w:r w:rsidRPr="00E33BD4">
        <w:rPr>
          <w:b/>
        </w:rPr>
        <w:t>Heard:</w:t>
      </w:r>
      <w:r w:rsidR="00166F0F">
        <w:t xml:space="preserve"> </w:t>
      </w:r>
      <w:r w:rsidR="001F5FB6">
        <w:t>25</w:t>
      </w:r>
      <w:r w:rsidR="0030731B">
        <w:t xml:space="preserve"> January</w:t>
      </w:r>
      <w:r w:rsidR="000728A2">
        <w:t xml:space="preserve"> 202</w:t>
      </w:r>
      <w:r w:rsidR="0030731B">
        <w:t>3</w:t>
      </w:r>
    </w:p>
    <w:p w14:paraId="577C1927" w14:textId="06427DD1" w:rsidR="00313AFF" w:rsidRDefault="00313AFF" w:rsidP="000011F2">
      <w:pPr>
        <w:tabs>
          <w:tab w:val="right" w:pos="9072"/>
        </w:tabs>
        <w:spacing w:line="360" w:lineRule="auto"/>
        <w:jc w:val="both"/>
      </w:pPr>
      <w:r>
        <w:rPr>
          <w:b/>
        </w:rPr>
        <w:t>Delivered</w:t>
      </w:r>
      <w:r w:rsidR="001B7B6F">
        <w:rPr>
          <w:b/>
        </w:rPr>
        <w:t xml:space="preserve"> electronically</w:t>
      </w:r>
      <w:r>
        <w:rPr>
          <w:b/>
        </w:rPr>
        <w:t>:</w:t>
      </w:r>
      <w:r>
        <w:t xml:space="preserve"> </w:t>
      </w:r>
      <w:r w:rsidR="00F81390">
        <w:t>25 April 2023</w:t>
      </w:r>
    </w:p>
    <w:p w14:paraId="4EDDCEB9" w14:textId="77777777" w:rsidR="007E0C13" w:rsidRPr="003B461A" w:rsidRDefault="007E0C13" w:rsidP="000011F2">
      <w:pPr>
        <w:pBdr>
          <w:bottom w:val="single" w:sz="4" w:space="1" w:color="auto"/>
        </w:pBdr>
        <w:tabs>
          <w:tab w:val="right" w:pos="8400"/>
        </w:tabs>
        <w:spacing w:before="60" w:after="60" w:line="360" w:lineRule="auto"/>
        <w:jc w:val="both"/>
        <w:rPr>
          <w:sz w:val="26"/>
          <w:szCs w:val="26"/>
        </w:rPr>
      </w:pPr>
    </w:p>
    <w:p w14:paraId="2E507C14" w14:textId="77777777" w:rsidR="007E0C13" w:rsidRPr="003B461A" w:rsidRDefault="007E0C13" w:rsidP="000011F2">
      <w:pPr>
        <w:tabs>
          <w:tab w:val="right" w:pos="8400"/>
        </w:tabs>
        <w:spacing w:before="60" w:after="60" w:line="360" w:lineRule="auto"/>
        <w:jc w:val="both"/>
        <w:rPr>
          <w:sz w:val="26"/>
          <w:szCs w:val="26"/>
        </w:rPr>
      </w:pPr>
    </w:p>
    <w:p w14:paraId="60B4E22E" w14:textId="20A18A4E" w:rsidR="007E0C13" w:rsidRPr="003B461A" w:rsidRDefault="002D1856" w:rsidP="000011F2">
      <w:pPr>
        <w:tabs>
          <w:tab w:val="right" w:pos="8400"/>
        </w:tabs>
        <w:spacing w:before="60" w:after="60" w:line="360" w:lineRule="auto"/>
        <w:jc w:val="center"/>
        <w:rPr>
          <w:b/>
          <w:sz w:val="26"/>
          <w:szCs w:val="26"/>
        </w:rPr>
      </w:pPr>
      <w:r>
        <w:rPr>
          <w:b/>
          <w:sz w:val="26"/>
          <w:szCs w:val="26"/>
        </w:rPr>
        <w:t>JUDGMENT</w:t>
      </w:r>
    </w:p>
    <w:p w14:paraId="1655F387" w14:textId="77777777" w:rsidR="007E0C13" w:rsidRPr="003B461A" w:rsidRDefault="007E0C13" w:rsidP="000011F2">
      <w:pPr>
        <w:pBdr>
          <w:bottom w:val="single" w:sz="4" w:space="1" w:color="auto"/>
        </w:pBdr>
        <w:tabs>
          <w:tab w:val="right" w:pos="8400"/>
        </w:tabs>
        <w:spacing w:before="60" w:after="60" w:line="360" w:lineRule="auto"/>
        <w:jc w:val="both"/>
        <w:rPr>
          <w:sz w:val="26"/>
          <w:szCs w:val="26"/>
        </w:rPr>
      </w:pPr>
    </w:p>
    <w:p w14:paraId="7A6C3C55" w14:textId="77777777" w:rsidR="003B461A" w:rsidRPr="00A46FAA" w:rsidRDefault="003B461A" w:rsidP="000011F2">
      <w:pPr>
        <w:spacing w:line="360" w:lineRule="auto"/>
        <w:jc w:val="both"/>
        <w:rPr>
          <w:rFonts w:eastAsiaTheme="minorHAnsi"/>
          <w:u w:val="single"/>
          <w:lang w:eastAsia="en-US"/>
        </w:rPr>
      </w:pPr>
    </w:p>
    <w:p w14:paraId="25539539" w14:textId="77777777" w:rsidR="003B461A" w:rsidRDefault="0030731B" w:rsidP="000011F2">
      <w:pPr>
        <w:spacing w:line="360" w:lineRule="auto"/>
        <w:jc w:val="both"/>
        <w:rPr>
          <w:rFonts w:eastAsiaTheme="minorHAnsi"/>
          <w:b/>
          <w:lang w:eastAsia="en-US"/>
        </w:rPr>
      </w:pPr>
      <w:r>
        <w:rPr>
          <w:rFonts w:eastAsiaTheme="minorHAnsi"/>
          <w:b/>
          <w:u w:val="single"/>
          <w:lang w:eastAsia="en-US"/>
        </w:rPr>
        <w:t xml:space="preserve">SALDANHA </w:t>
      </w:r>
      <w:r w:rsidR="00E4144F" w:rsidRPr="00FD66FB">
        <w:rPr>
          <w:rFonts w:eastAsiaTheme="minorHAnsi"/>
          <w:b/>
          <w:u w:val="single"/>
          <w:lang w:eastAsia="en-US"/>
        </w:rPr>
        <w:t>J</w:t>
      </w:r>
      <w:r w:rsidR="003D0062">
        <w:rPr>
          <w:rFonts w:eastAsiaTheme="minorHAnsi"/>
          <w:b/>
          <w:lang w:eastAsia="en-US"/>
        </w:rPr>
        <w:t>:</w:t>
      </w:r>
    </w:p>
    <w:p w14:paraId="1290676E" w14:textId="77777777" w:rsidR="00463FFB" w:rsidRDefault="00463FFB" w:rsidP="000011F2">
      <w:pPr>
        <w:spacing w:line="360" w:lineRule="auto"/>
        <w:jc w:val="both"/>
        <w:rPr>
          <w:rFonts w:eastAsiaTheme="minorHAnsi"/>
          <w:b/>
          <w:lang w:eastAsia="en-US"/>
        </w:rPr>
      </w:pPr>
    </w:p>
    <w:p w14:paraId="16581681" w14:textId="61E73270" w:rsidR="005D42EA" w:rsidRPr="00F81390" w:rsidRDefault="00710ACB" w:rsidP="00710ACB">
      <w:pPr>
        <w:spacing w:after="480" w:line="360" w:lineRule="auto"/>
        <w:ind w:left="720" w:hanging="720"/>
        <w:jc w:val="both"/>
        <w:rPr>
          <w:b/>
        </w:rPr>
      </w:pPr>
      <w:r w:rsidRPr="00F81390">
        <w:t>[1]</w:t>
      </w:r>
      <w:r w:rsidRPr="00F81390">
        <w:tab/>
      </w:r>
      <w:r w:rsidR="005D42EA">
        <w:t>The applicant (the University)</w:t>
      </w:r>
      <w:r w:rsidR="007171F5">
        <w:t xml:space="preserve"> under case number 11368/2015 seeks an order against the first respondent (</w:t>
      </w:r>
      <w:r w:rsidR="001F5FB6">
        <w:t xml:space="preserve">Mr </w:t>
      </w:r>
      <w:r w:rsidR="007171F5">
        <w:t xml:space="preserve">Roux) that a </w:t>
      </w:r>
      <w:r w:rsidR="00231665">
        <w:t xml:space="preserve">final </w:t>
      </w:r>
      <w:r w:rsidR="007171F5">
        <w:t>arbitration award and an arbitration appeal award</w:t>
      </w:r>
      <w:r w:rsidR="005B5864">
        <w:t xml:space="preserve"> (</w:t>
      </w:r>
      <w:r w:rsidR="00771563">
        <w:t xml:space="preserve">the </w:t>
      </w:r>
      <w:r w:rsidR="005B5864">
        <w:t>arbitration awards)</w:t>
      </w:r>
      <w:r w:rsidR="007171F5">
        <w:t xml:space="preserve"> granted in its favour be made orders of court. In response</w:t>
      </w:r>
      <w:r w:rsidR="005B5864">
        <w:t>,</w:t>
      </w:r>
      <w:r w:rsidR="007171F5">
        <w:t xml:space="preserve"> </w:t>
      </w:r>
      <w:r w:rsidR="005D42EA">
        <w:t xml:space="preserve">Mr Roux as the applicant </w:t>
      </w:r>
      <w:r w:rsidR="007171F5">
        <w:t xml:space="preserve">under case number 6577/2022 </w:t>
      </w:r>
      <w:r w:rsidR="001F5FB6">
        <w:t xml:space="preserve">Mr </w:t>
      </w:r>
      <w:r w:rsidR="007171F5">
        <w:t xml:space="preserve">Roux, </w:t>
      </w:r>
      <w:r w:rsidR="007110BA">
        <w:t xml:space="preserve">seeks </w:t>
      </w:r>
      <w:r w:rsidR="007171F5">
        <w:t>the review and setting aside of the arbitration awards in terms of Sect</w:t>
      </w:r>
      <w:r w:rsidR="00881660">
        <w:t>i</w:t>
      </w:r>
      <w:r w:rsidR="007171F5">
        <w:t xml:space="preserve">on </w:t>
      </w:r>
      <w:r w:rsidR="00881660">
        <w:t>33 of the Arbitration Act 42 of 1965 (the Arbitration Act)</w:t>
      </w:r>
      <w:r w:rsidR="00E45446">
        <w:rPr>
          <w:rStyle w:val="FootnoteReference"/>
        </w:rPr>
        <w:footnoteReference w:id="1"/>
      </w:r>
      <w:r w:rsidR="00881660">
        <w:t>.</w:t>
      </w:r>
    </w:p>
    <w:p w14:paraId="48DC9185" w14:textId="294547FB" w:rsidR="00DA1CBD" w:rsidRPr="00E45446" w:rsidRDefault="00710ACB" w:rsidP="00710ACB">
      <w:pPr>
        <w:spacing w:after="480" w:line="360" w:lineRule="auto"/>
        <w:ind w:left="720" w:hanging="720"/>
        <w:jc w:val="both"/>
        <w:rPr>
          <w:b/>
        </w:rPr>
      </w:pPr>
      <w:r w:rsidRPr="00E45446">
        <w:t>[2]</w:t>
      </w:r>
      <w:r w:rsidRPr="00E45446">
        <w:tab/>
      </w:r>
      <w:r w:rsidR="00090278">
        <w:t>The arbitrators found that Mr Roux had</w:t>
      </w:r>
      <w:r w:rsidR="005D42EA">
        <w:t xml:space="preserve"> unlawfully transferred in excess of R35 million from the unrestricted reserves of the University,</w:t>
      </w:r>
      <w:r w:rsidR="00F81390">
        <w:t xml:space="preserve"> </w:t>
      </w:r>
      <w:r w:rsidR="005D42EA">
        <w:t>into four accounts under his control in its rugby club</w:t>
      </w:r>
      <w:r w:rsidR="00F81390">
        <w:t xml:space="preserve"> </w:t>
      </w:r>
      <w:r w:rsidR="005D42EA">
        <w:t>(Maties Rugby)</w:t>
      </w:r>
      <w:r w:rsidR="00F81390">
        <w:t>,</w:t>
      </w:r>
      <w:r w:rsidR="00090278">
        <w:t xml:space="preserve"> over an extended </w:t>
      </w:r>
      <w:r w:rsidR="00BB0DF4">
        <w:t>period of ten years whil</w:t>
      </w:r>
      <w:r w:rsidR="005D42EA">
        <w:t xml:space="preserve">st </w:t>
      </w:r>
      <w:r w:rsidR="00090278">
        <w:t>employ</w:t>
      </w:r>
      <w:r w:rsidR="00BB0DF4">
        <w:t xml:space="preserve">ed in </w:t>
      </w:r>
      <w:r w:rsidR="00090278">
        <w:t>the finance department of the University</w:t>
      </w:r>
      <w:r w:rsidR="00BB0DF4">
        <w:t xml:space="preserve"> of Stellenbosch</w:t>
      </w:r>
      <w:r w:rsidR="005D42EA">
        <w:t>.</w:t>
      </w:r>
      <w:r w:rsidR="00C90D99">
        <w:t xml:space="preserve"> </w:t>
      </w:r>
      <w:r w:rsidR="0082565D">
        <w:t>Mr Roux</w:t>
      </w:r>
      <w:r w:rsidR="00BB0DF4">
        <w:t xml:space="preserve"> was ordered to repay a total amount of R37</w:t>
      </w:r>
      <w:r w:rsidR="00C90D99">
        <w:t xml:space="preserve"> </w:t>
      </w:r>
      <w:r w:rsidR="00BB0DF4">
        <w:t>116</w:t>
      </w:r>
      <w:r w:rsidR="00C90D99">
        <w:t xml:space="preserve"> </w:t>
      </w:r>
      <w:r w:rsidR="00BB0DF4">
        <w:t>402.00 as damages to the University</w:t>
      </w:r>
      <w:r w:rsidR="00E101BC">
        <w:t xml:space="preserve"> for his unlawful expenditure of the funds of the University.</w:t>
      </w:r>
      <w:r w:rsidR="00BB0DF4">
        <w:t xml:space="preserve">   </w:t>
      </w:r>
      <w:r w:rsidR="00090278">
        <w:t xml:space="preserve"> </w:t>
      </w:r>
      <w:r w:rsidR="00881660">
        <w:t xml:space="preserve"> </w:t>
      </w:r>
    </w:p>
    <w:p w14:paraId="50C77BC0" w14:textId="6D2E6E2B" w:rsidR="00E45446" w:rsidRPr="00E45446" w:rsidRDefault="00710ACB" w:rsidP="00710ACB">
      <w:pPr>
        <w:spacing w:after="480" w:line="360" w:lineRule="auto"/>
        <w:ind w:left="720" w:hanging="720"/>
        <w:jc w:val="both"/>
        <w:rPr>
          <w:b/>
        </w:rPr>
      </w:pPr>
      <w:r w:rsidRPr="00E45446">
        <w:t>[3</w:t>
      </w:r>
      <w:bookmarkStart w:id="0" w:name="_GoBack"/>
      <w:bookmarkEnd w:id="0"/>
      <w:r w:rsidRPr="00E45446">
        <w:t>]</w:t>
      </w:r>
      <w:r w:rsidRPr="00E45446">
        <w:tab/>
      </w:r>
      <w:r w:rsidR="005B5864">
        <w:t>T</w:t>
      </w:r>
      <w:r w:rsidR="00E45446">
        <w:t xml:space="preserve">he </w:t>
      </w:r>
      <w:r w:rsidR="00771563">
        <w:t>relief under</w:t>
      </w:r>
      <w:r w:rsidR="00E45446">
        <w:t xml:space="preserve"> case 11368/2015 </w:t>
      </w:r>
      <w:r w:rsidR="00F94164">
        <w:t>was</w:t>
      </w:r>
      <w:r w:rsidR="005B5864">
        <w:t xml:space="preserve"> sought </w:t>
      </w:r>
      <w:r w:rsidR="00E45446">
        <w:t xml:space="preserve">in the following terms: </w:t>
      </w:r>
    </w:p>
    <w:p w14:paraId="0FE345D3" w14:textId="1D1FEF5C" w:rsidR="00E45446" w:rsidRDefault="00710ACB" w:rsidP="00710ACB">
      <w:pPr>
        <w:spacing w:after="480" w:line="360" w:lineRule="auto"/>
        <w:ind w:left="1080" w:hanging="360"/>
        <w:jc w:val="both"/>
      </w:pPr>
      <w:r>
        <w:t>1.</w:t>
      </w:r>
      <w:r>
        <w:tab/>
      </w:r>
      <w:r w:rsidR="00E45446" w:rsidRPr="00E45446">
        <w:t>That</w:t>
      </w:r>
      <w:r w:rsidR="00E45446">
        <w:t xml:space="preserve"> the Final Arbitration Award and the Award and the Award of the Appea</w:t>
      </w:r>
      <w:r w:rsidR="00C90D99">
        <w:t xml:space="preserve">l </w:t>
      </w:r>
      <w:r w:rsidR="00E45446">
        <w:t xml:space="preserve">Tribunal annexed to the Founding Affidavit and marked “C” and “D” </w:t>
      </w:r>
      <w:r w:rsidR="00E45446">
        <w:lastRenderedPageBreak/>
        <w:t>respectively, be made an order of this Honourable Court and that in terms thereof:</w:t>
      </w:r>
    </w:p>
    <w:p w14:paraId="1CFA77A9" w14:textId="77777777" w:rsidR="007E769B" w:rsidRDefault="007E769B" w:rsidP="000011F2">
      <w:pPr>
        <w:pStyle w:val="ListParagraph"/>
        <w:tabs>
          <w:tab w:val="left" w:pos="1620"/>
        </w:tabs>
        <w:spacing w:after="480" w:line="360" w:lineRule="auto"/>
        <w:ind w:left="1080"/>
        <w:jc w:val="both"/>
      </w:pPr>
      <w:r>
        <w:t>1.1</w:t>
      </w:r>
      <w:r>
        <w:tab/>
        <w:t>The First Respondent is directed:</w:t>
      </w:r>
    </w:p>
    <w:p w14:paraId="4FCD5739" w14:textId="77777777" w:rsidR="007E769B" w:rsidRDefault="007E769B" w:rsidP="000011F2">
      <w:pPr>
        <w:pStyle w:val="ListParagraph"/>
        <w:tabs>
          <w:tab w:val="left" w:pos="1620"/>
          <w:tab w:val="left" w:pos="2520"/>
        </w:tabs>
        <w:spacing w:after="480" w:line="360" w:lineRule="auto"/>
        <w:ind w:left="1080"/>
        <w:jc w:val="both"/>
      </w:pPr>
      <w:r>
        <w:tab/>
        <w:t>1.1.1</w:t>
      </w:r>
      <w:r>
        <w:tab/>
        <w:t>to pay the Applicant the sum of R37 116 402.00; and</w:t>
      </w:r>
    </w:p>
    <w:p w14:paraId="139814D4" w14:textId="77777777" w:rsidR="007E769B" w:rsidRDefault="007E769B" w:rsidP="000011F2">
      <w:pPr>
        <w:pStyle w:val="ListParagraph"/>
        <w:tabs>
          <w:tab w:val="left" w:pos="1620"/>
          <w:tab w:val="left" w:pos="2520"/>
        </w:tabs>
        <w:spacing w:after="480" w:line="360" w:lineRule="auto"/>
        <w:ind w:left="2520" w:hanging="1440"/>
        <w:jc w:val="both"/>
      </w:pPr>
      <w:r>
        <w:tab/>
        <w:t>1.1.2</w:t>
      </w:r>
      <w:r>
        <w:tab/>
        <w:t xml:space="preserve">to pay interest on the amount of R37 116 402.00 at the prescribed rate from date of service of summons commencing action, namely 23 June 2015, until payment in full. </w:t>
      </w:r>
    </w:p>
    <w:p w14:paraId="4C63CACD" w14:textId="77777777" w:rsidR="007E769B" w:rsidRDefault="007E769B" w:rsidP="000011F2">
      <w:pPr>
        <w:pStyle w:val="ListParagraph"/>
        <w:tabs>
          <w:tab w:val="left" w:pos="1620"/>
          <w:tab w:val="left" w:pos="2520"/>
        </w:tabs>
        <w:spacing w:after="480" w:line="360" w:lineRule="auto"/>
        <w:ind w:left="2520" w:hanging="1440"/>
        <w:jc w:val="both"/>
      </w:pPr>
      <w:r>
        <w:t>1.2</w:t>
      </w:r>
      <w:r>
        <w:tab/>
        <w:t>The Second Respondent is directed:</w:t>
      </w:r>
    </w:p>
    <w:p w14:paraId="2B6806BF" w14:textId="77777777" w:rsidR="00DF3DF0" w:rsidRDefault="00DF3DF0" w:rsidP="000011F2">
      <w:pPr>
        <w:pStyle w:val="ListParagraph"/>
        <w:tabs>
          <w:tab w:val="left" w:pos="1620"/>
          <w:tab w:val="left" w:pos="2520"/>
        </w:tabs>
        <w:spacing w:after="480" w:line="360" w:lineRule="auto"/>
        <w:ind w:left="2520" w:hanging="1440"/>
        <w:jc w:val="both"/>
      </w:pPr>
      <w:r>
        <w:tab/>
        <w:t>1.2.1</w:t>
      </w:r>
      <w:r>
        <w:tab/>
        <w:t>to pay the Applicant the sum of R1 904 511.00;</w:t>
      </w:r>
    </w:p>
    <w:p w14:paraId="50D792EB" w14:textId="77777777" w:rsidR="00DF3DF0" w:rsidRDefault="00DF3DF0" w:rsidP="000011F2">
      <w:pPr>
        <w:pStyle w:val="ListParagraph"/>
        <w:tabs>
          <w:tab w:val="left" w:pos="1620"/>
          <w:tab w:val="left" w:pos="2520"/>
        </w:tabs>
        <w:spacing w:after="480" w:line="360" w:lineRule="auto"/>
        <w:ind w:left="2520" w:hanging="1440"/>
        <w:jc w:val="both"/>
      </w:pPr>
      <w:r>
        <w:tab/>
        <w:t>1.2.2</w:t>
      </w:r>
      <w:r>
        <w:tab/>
        <w:t>to pay interest on the amount of R1 904 511.00 at the prescribed rate of interest from date of service of summons commencing action, namely 19 June 2015, until payment in full; and</w:t>
      </w:r>
    </w:p>
    <w:p w14:paraId="792C30C9" w14:textId="77777777" w:rsidR="00DF3DF0" w:rsidRDefault="00DF3DF0" w:rsidP="000011F2">
      <w:pPr>
        <w:pStyle w:val="ListParagraph"/>
        <w:tabs>
          <w:tab w:val="left" w:pos="1620"/>
        </w:tabs>
        <w:spacing w:after="480" w:line="360" w:lineRule="auto"/>
        <w:ind w:left="1620" w:hanging="450"/>
        <w:jc w:val="both"/>
      </w:pPr>
      <w:r>
        <w:t>1.3</w:t>
      </w:r>
      <w:r>
        <w:tab/>
        <w:t>In respect of the Second Respondent, it is declared, as between him and the Applicant, that the monetary order granted against the Second Respondent in the Final Arbitration Award (as referred to in para 1.2 above) falls within the ambit of section 37D(1)(b)(ii) of the Pension Funds Act No. 24 of 1956;</w:t>
      </w:r>
    </w:p>
    <w:p w14:paraId="2F58930B" w14:textId="77777777" w:rsidR="00C329A2" w:rsidRDefault="00DF3DF0" w:rsidP="000011F2">
      <w:pPr>
        <w:pStyle w:val="ListParagraph"/>
        <w:tabs>
          <w:tab w:val="left" w:pos="1620"/>
        </w:tabs>
        <w:spacing w:after="480" w:line="360" w:lineRule="auto"/>
        <w:ind w:left="1620" w:hanging="450"/>
        <w:jc w:val="both"/>
      </w:pPr>
      <w:r>
        <w:t>1.4</w:t>
      </w:r>
      <w:r>
        <w:tab/>
        <w:t xml:space="preserve">The First Respondent </w:t>
      </w:r>
      <w:r w:rsidR="00C329A2">
        <w:t>is directed to pay the Applicant’s costs of suit, such costs to include the costs consequent upon the employment of two counsel;</w:t>
      </w:r>
    </w:p>
    <w:p w14:paraId="740DE8EE" w14:textId="77777777" w:rsidR="00C329A2" w:rsidRDefault="00C329A2" w:rsidP="000011F2">
      <w:pPr>
        <w:pStyle w:val="ListParagraph"/>
        <w:tabs>
          <w:tab w:val="left" w:pos="1620"/>
        </w:tabs>
        <w:spacing w:after="480" w:line="360" w:lineRule="auto"/>
        <w:ind w:left="1620" w:hanging="450"/>
        <w:jc w:val="both"/>
      </w:pPr>
      <w:r>
        <w:t>1.5</w:t>
      </w:r>
      <w:r>
        <w:tab/>
        <w:t>The Second Respondent is directed to pay the Applicant’s costs of the case before the arbitration hearing, and 5% of the Applicant’s subsequent costs of the arbitration, such costs to include those costs consequent upon the employment of two counsel;</w:t>
      </w:r>
    </w:p>
    <w:p w14:paraId="54ADEDCB" w14:textId="77777777" w:rsidR="00DF3DF0" w:rsidRDefault="00C329A2" w:rsidP="000011F2">
      <w:pPr>
        <w:pStyle w:val="ListParagraph"/>
        <w:tabs>
          <w:tab w:val="left" w:pos="1620"/>
        </w:tabs>
        <w:spacing w:after="480" w:line="360" w:lineRule="auto"/>
        <w:ind w:left="1620" w:hanging="450"/>
        <w:jc w:val="both"/>
      </w:pPr>
      <w:r>
        <w:t>1.6</w:t>
      </w:r>
      <w:r>
        <w:tab/>
        <w:t>The First Respondent is directed to pay the Applicant’s costs of the appeal, such costs to include the costs consequent upon the employment of two counsel, and the costs of the Arbitration Appeal Tribunal;</w:t>
      </w:r>
    </w:p>
    <w:p w14:paraId="2F885DFD" w14:textId="77777777" w:rsidR="00C834AA" w:rsidRDefault="00C834AA" w:rsidP="000011F2">
      <w:pPr>
        <w:pStyle w:val="ListParagraph"/>
        <w:tabs>
          <w:tab w:val="left" w:pos="1620"/>
        </w:tabs>
        <w:spacing w:after="480" w:line="360" w:lineRule="auto"/>
        <w:ind w:left="1620" w:hanging="450"/>
        <w:jc w:val="both"/>
      </w:pPr>
      <w:r>
        <w:lastRenderedPageBreak/>
        <w:t>1.7</w:t>
      </w:r>
      <w:r>
        <w:tab/>
        <w:t>The Second Respondent is directed to pay 5% of the Applicant’s costs of opposing his appeal, including the costs consequent upon the employment of two counsel.</w:t>
      </w:r>
    </w:p>
    <w:p w14:paraId="1D8A7333" w14:textId="77777777" w:rsidR="00C834AA" w:rsidRDefault="00C834AA" w:rsidP="000011F2">
      <w:pPr>
        <w:tabs>
          <w:tab w:val="left" w:pos="720"/>
          <w:tab w:val="left" w:pos="1080"/>
          <w:tab w:val="left" w:pos="1620"/>
        </w:tabs>
        <w:spacing w:after="480" w:line="360" w:lineRule="auto"/>
        <w:jc w:val="both"/>
      </w:pPr>
      <w:r>
        <w:tab/>
        <w:t>2.</w:t>
      </w:r>
      <w:r>
        <w:tab/>
        <w:t>Costs of this application; and</w:t>
      </w:r>
    </w:p>
    <w:p w14:paraId="63723F85" w14:textId="1BB5C262" w:rsidR="00C834AA" w:rsidRDefault="00C834AA" w:rsidP="000011F2">
      <w:pPr>
        <w:tabs>
          <w:tab w:val="left" w:pos="720"/>
          <w:tab w:val="left" w:pos="1080"/>
          <w:tab w:val="left" w:pos="1620"/>
        </w:tabs>
        <w:spacing w:after="480" w:line="360" w:lineRule="auto"/>
        <w:jc w:val="both"/>
      </w:pPr>
      <w:r>
        <w:tab/>
        <w:t>3.</w:t>
      </w:r>
      <w:r>
        <w:tab/>
        <w:t xml:space="preserve">Further and/or </w:t>
      </w:r>
      <w:r w:rsidR="00BA06E5">
        <w:t>alternative relief.</w:t>
      </w:r>
    </w:p>
    <w:p w14:paraId="26EEE1CD" w14:textId="1686485C" w:rsidR="00771563" w:rsidRDefault="00710ACB" w:rsidP="00710ACB">
      <w:pPr>
        <w:tabs>
          <w:tab w:val="left" w:pos="720"/>
          <w:tab w:val="left" w:pos="1080"/>
          <w:tab w:val="left" w:pos="1620"/>
        </w:tabs>
        <w:spacing w:after="480" w:line="360" w:lineRule="auto"/>
        <w:ind w:left="720" w:hanging="720"/>
        <w:jc w:val="both"/>
      </w:pPr>
      <w:r>
        <w:t>[4]</w:t>
      </w:r>
      <w:r>
        <w:tab/>
      </w:r>
      <w:r w:rsidR="00771563" w:rsidRPr="00B25272">
        <w:t xml:space="preserve">In </w:t>
      </w:r>
      <w:r w:rsidR="00771563">
        <w:t>respect of the second respondent, Mr De Beer</w:t>
      </w:r>
      <w:r w:rsidR="0082565D">
        <w:t>,</w:t>
      </w:r>
      <w:r w:rsidR="00771563">
        <w:t xml:space="preserve"> the</w:t>
      </w:r>
      <w:r w:rsidR="0082565D">
        <w:t xml:space="preserve"> arbitration</w:t>
      </w:r>
      <w:r w:rsidR="00771563">
        <w:t xml:space="preserve"> awards were</w:t>
      </w:r>
      <w:r w:rsidR="00775D15">
        <w:t>,</w:t>
      </w:r>
      <w:r w:rsidR="00771563">
        <w:t xml:space="preserve"> made orders of court on an unopposed basis</w:t>
      </w:r>
      <w:r w:rsidR="0082565D">
        <w:t xml:space="preserve"> on the 25 April 2022.</w:t>
      </w:r>
      <w:r w:rsidR="00E245F7">
        <w:t>I</w:t>
      </w:r>
    </w:p>
    <w:p w14:paraId="30FBC2E9" w14:textId="4909E3D3" w:rsidR="00E45446" w:rsidRPr="00727F3F" w:rsidRDefault="00710ACB" w:rsidP="00710ACB">
      <w:pPr>
        <w:spacing w:after="480" w:line="360" w:lineRule="auto"/>
        <w:ind w:left="720" w:hanging="720"/>
        <w:jc w:val="both"/>
        <w:rPr>
          <w:b/>
        </w:rPr>
      </w:pPr>
      <w:r w:rsidRPr="00727F3F">
        <w:t>[5]</w:t>
      </w:r>
      <w:r w:rsidRPr="00727F3F">
        <w:tab/>
      </w:r>
      <w:r w:rsidR="005B5864">
        <w:t xml:space="preserve">The relief </w:t>
      </w:r>
      <w:r w:rsidR="00C90D99">
        <w:t xml:space="preserve">under 6577/2022 </w:t>
      </w:r>
      <w:r w:rsidR="00F94164">
        <w:t>was</w:t>
      </w:r>
      <w:r w:rsidR="007110BA">
        <w:t xml:space="preserve"> sought</w:t>
      </w:r>
      <w:r w:rsidR="00727F3F">
        <w:t xml:space="preserve"> in the following terms:</w:t>
      </w:r>
    </w:p>
    <w:p w14:paraId="45712635" w14:textId="1BEC085F" w:rsidR="00727F3F" w:rsidRDefault="00710ACB" w:rsidP="00710ACB">
      <w:pPr>
        <w:spacing w:after="480" w:line="360" w:lineRule="auto"/>
        <w:ind w:left="1080" w:hanging="360"/>
        <w:jc w:val="both"/>
      </w:pPr>
      <w:r>
        <w:t>1.</w:t>
      </w:r>
      <w:r>
        <w:tab/>
      </w:r>
      <w:r w:rsidR="00727F3F" w:rsidRPr="00727F3F">
        <w:t>Extending</w:t>
      </w:r>
      <w:r w:rsidR="00727F3F">
        <w:t>, in terms of s</w:t>
      </w:r>
      <w:r w:rsidR="0082565D">
        <w:t xml:space="preserve">ection </w:t>
      </w:r>
      <w:r w:rsidR="00727F3F">
        <w:t xml:space="preserve">38 of the Arbitration Act 42 of 1965 (“the Arbitration Act”) the period of six weeks for an application to review an award from 20 January 2022 until the date on which this application is issued. </w:t>
      </w:r>
    </w:p>
    <w:p w14:paraId="20D3969F" w14:textId="389871A7" w:rsidR="00727F3F" w:rsidRDefault="00710ACB" w:rsidP="00710ACB">
      <w:pPr>
        <w:spacing w:after="480" w:line="360" w:lineRule="auto"/>
        <w:ind w:left="1080" w:hanging="360"/>
        <w:jc w:val="both"/>
      </w:pPr>
      <w:r>
        <w:t>2.</w:t>
      </w:r>
      <w:r>
        <w:tab/>
      </w:r>
      <w:r w:rsidR="00727F3F">
        <w:t>Reviewing and setting aside in terms of section 33 of the Arbitration Act the following awards:</w:t>
      </w:r>
    </w:p>
    <w:p w14:paraId="704623A8" w14:textId="22E63727" w:rsidR="00727F3F" w:rsidRDefault="00710ACB" w:rsidP="00710ACB">
      <w:pPr>
        <w:spacing w:after="480" w:line="360" w:lineRule="auto"/>
        <w:ind w:left="1620" w:hanging="540"/>
        <w:jc w:val="both"/>
      </w:pPr>
      <w:r>
        <w:t>2.1</w:t>
      </w:r>
      <w:r>
        <w:tab/>
      </w:r>
      <w:r w:rsidR="00727F3F">
        <w:t>The Final Arbitration Award of the Second Respondent, dated 23 December 2020;</w:t>
      </w:r>
    </w:p>
    <w:p w14:paraId="4DD2D253" w14:textId="0AA71D14" w:rsidR="000D3B6A" w:rsidRDefault="00710ACB" w:rsidP="00710ACB">
      <w:pPr>
        <w:spacing w:after="480" w:line="360" w:lineRule="auto"/>
        <w:ind w:left="1620" w:hanging="540"/>
        <w:jc w:val="both"/>
      </w:pPr>
      <w:r>
        <w:t>2.2</w:t>
      </w:r>
      <w:r>
        <w:tab/>
      </w:r>
      <w:r w:rsidR="00600181">
        <w:t>The Award of the Appeal Tribunal comprising of the Third to Fifth Respondents, dated 7 December 2021; and</w:t>
      </w:r>
    </w:p>
    <w:p w14:paraId="2BDBA261" w14:textId="79F533C2" w:rsidR="00600181" w:rsidRDefault="00710ACB" w:rsidP="00710ACB">
      <w:pPr>
        <w:spacing w:after="480" w:line="360" w:lineRule="auto"/>
        <w:ind w:left="1620" w:hanging="540"/>
        <w:jc w:val="both"/>
      </w:pPr>
      <w:r>
        <w:t>2.3</w:t>
      </w:r>
      <w:r>
        <w:tab/>
      </w:r>
      <w:r w:rsidR="00600181">
        <w:t>Replacing both awards with an order that the First Respondent’s claim is dismissed with costs, including the costs of two counsel.</w:t>
      </w:r>
    </w:p>
    <w:p w14:paraId="23F1301E" w14:textId="74F2F7D1" w:rsidR="008D3FC0" w:rsidRDefault="00710ACB" w:rsidP="00710ACB">
      <w:pPr>
        <w:spacing w:after="480" w:line="360" w:lineRule="auto"/>
        <w:ind w:left="1080" w:hanging="360"/>
        <w:jc w:val="both"/>
      </w:pPr>
      <w:r>
        <w:t>3.</w:t>
      </w:r>
      <w:r>
        <w:tab/>
      </w:r>
      <w:r w:rsidR="00600181">
        <w:t xml:space="preserve">In the alternative to paragraph 2 above, setting aside the Award of the Appeal Tribunal and remitting the matter to a freshly constituted </w:t>
      </w:r>
      <w:r w:rsidR="0082565D">
        <w:t>A</w:t>
      </w:r>
      <w:r w:rsidR="00600181">
        <w:t xml:space="preserve">ppeal </w:t>
      </w:r>
      <w:r w:rsidR="0082565D">
        <w:lastRenderedPageBreak/>
        <w:t>T</w:t>
      </w:r>
      <w:r w:rsidR="00600181">
        <w:t xml:space="preserve">ribunal for reconsideration of whether, for </w:t>
      </w:r>
      <w:r w:rsidR="00270E03">
        <w:t>the reasons set out in the founding affidavit, the</w:t>
      </w:r>
      <w:r w:rsidR="008D3FC0">
        <w:t xml:space="preserve"> common law should be developed in terms of </w:t>
      </w:r>
      <w:r w:rsidR="0082565D">
        <w:t xml:space="preserve">section </w:t>
      </w:r>
      <w:r w:rsidR="008D3FC0">
        <w:t xml:space="preserve"> 39(2)</w:t>
      </w:r>
      <w:r w:rsidR="00AE7272">
        <w:rPr>
          <w:rStyle w:val="FootnoteReference"/>
        </w:rPr>
        <w:footnoteReference w:id="2"/>
      </w:r>
      <w:r w:rsidR="008D3FC0">
        <w:t xml:space="preserve"> of the Constitution of the Republic of South Africa, 1996 (“the Constitution”) and if so, whether the First Respondent’s claim should nevertheless be granted. </w:t>
      </w:r>
    </w:p>
    <w:p w14:paraId="76CFB04F" w14:textId="34AD83FB" w:rsidR="00AA3AC3" w:rsidRDefault="00710ACB" w:rsidP="00710ACB">
      <w:pPr>
        <w:spacing w:after="480" w:line="360" w:lineRule="auto"/>
        <w:ind w:left="1080" w:hanging="360"/>
        <w:jc w:val="both"/>
      </w:pPr>
      <w:r>
        <w:t>4.</w:t>
      </w:r>
      <w:r>
        <w:tab/>
      </w:r>
      <w:r w:rsidR="008D3FC0">
        <w:t xml:space="preserve">In the alternative to paragraphs 2 and 3 above, setting aside the Award of the Appeal Tribunal and the Final Arbitration Award and remitting the matter to a newly appointed arbitrator for reconsideration of whether, for the reasons set out in the founding affidavit, the common law should be developed in terms of s 39(2) of the Constitution and if so, whether the First Respondent’s claim should nevertheless be granted. </w:t>
      </w:r>
    </w:p>
    <w:p w14:paraId="18ABB67F" w14:textId="4902F5B3" w:rsidR="00AA3AC3" w:rsidRDefault="00710ACB" w:rsidP="00710ACB">
      <w:pPr>
        <w:spacing w:after="480" w:line="360" w:lineRule="auto"/>
        <w:ind w:left="1080" w:hanging="360"/>
        <w:jc w:val="both"/>
      </w:pPr>
      <w:r>
        <w:t>5.</w:t>
      </w:r>
      <w:r>
        <w:tab/>
      </w:r>
      <w:r w:rsidR="00AA3AC3">
        <w:t>That the First Respondent pays the cost of this application, save that in the event that any other Respondent opposes, that such Respondent(s) be ordered liable to pay the Applicant’s costs jointly and severally, the one paying the other to be absolved, with the First Respondent.</w:t>
      </w:r>
    </w:p>
    <w:p w14:paraId="0E84D9EA" w14:textId="7D4252D9" w:rsidR="00600181" w:rsidRDefault="00710ACB" w:rsidP="00710ACB">
      <w:pPr>
        <w:spacing w:after="480" w:line="360" w:lineRule="auto"/>
        <w:ind w:left="1080" w:hanging="360"/>
        <w:jc w:val="both"/>
      </w:pPr>
      <w:r>
        <w:t>6.</w:t>
      </w:r>
      <w:r>
        <w:tab/>
      </w:r>
      <w:r w:rsidR="00AA3AC3">
        <w:t>Further and/or alternative relief.</w:t>
      </w:r>
      <w:r w:rsidR="00270E03">
        <w:t xml:space="preserve"> </w:t>
      </w:r>
    </w:p>
    <w:p w14:paraId="4EB72674" w14:textId="36AC69C5" w:rsidR="00C90D99" w:rsidRPr="00A91BEF" w:rsidRDefault="00710ACB" w:rsidP="00710ACB">
      <w:pPr>
        <w:spacing w:after="480" w:line="360" w:lineRule="auto"/>
        <w:ind w:left="720" w:hanging="720"/>
        <w:jc w:val="both"/>
        <w:rPr>
          <w:b/>
        </w:rPr>
      </w:pPr>
      <w:r w:rsidRPr="00A91BEF">
        <w:t>[6]</w:t>
      </w:r>
      <w:r w:rsidRPr="00A91BEF">
        <w:tab/>
      </w:r>
      <w:r w:rsidR="009957D5">
        <w:t xml:space="preserve">In respect of the application under case number </w:t>
      </w:r>
      <w:r w:rsidR="00775D15">
        <w:t>11368/2015</w:t>
      </w:r>
      <w:r w:rsidR="009957D5">
        <w:t xml:space="preserve"> the respondent, </w:t>
      </w:r>
      <w:r w:rsidR="007110BA">
        <w:t xml:space="preserve">Mr </w:t>
      </w:r>
      <w:r w:rsidR="009957D5">
        <w:t xml:space="preserve">Roux </w:t>
      </w:r>
      <w:r w:rsidR="00F95112">
        <w:t xml:space="preserve">initially </w:t>
      </w:r>
      <w:r w:rsidR="009957D5">
        <w:t>opposed the application on three grounds. Firstly,</w:t>
      </w:r>
      <w:r w:rsidR="00F95112">
        <w:t xml:space="preserve"> he </w:t>
      </w:r>
      <w:r w:rsidR="009957D5">
        <w:t xml:space="preserve">relied on the application brought under case number 6577/22 </w:t>
      </w:r>
      <w:r w:rsidR="007110BA">
        <w:t>for the setting aside of</w:t>
      </w:r>
      <w:r w:rsidR="009957D5">
        <w:t xml:space="preserve"> the arbitration awards</w:t>
      </w:r>
      <w:r w:rsidR="007110BA">
        <w:t>.</w:t>
      </w:r>
      <w:r w:rsidR="009957D5">
        <w:t xml:space="preserve"> </w:t>
      </w:r>
      <w:r w:rsidR="00F95112">
        <w:t xml:space="preserve">He </w:t>
      </w:r>
      <w:r w:rsidR="009957D5">
        <w:t xml:space="preserve">contended that if one or both of the awards </w:t>
      </w:r>
      <w:r w:rsidR="001F5FB6">
        <w:t>were</w:t>
      </w:r>
      <w:r w:rsidR="009957D5">
        <w:t xml:space="preserve"> set aside</w:t>
      </w:r>
      <w:r w:rsidR="007110BA">
        <w:t>,</w:t>
      </w:r>
      <w:r w:rsidR="00C90D99">
        <w:t xml:space="preserve"> </w:t>
      </w:r>
      <w:r w:rsidR="007110BA">
        <w:t xml:space="preserve">none could be made </w:t>
      </w:r>
      <w:r w:rsidR="009957D5">
        <w:t xml:space="preserve">orders of this court. The second ground of opposition </w:t>
      </w:r>
      <w:r w:rsidR="007110BA">
        <w:t xml:space="preserve">related to </w:t>
      </w:r>
      <w:r w:rsidR="00F95112">
        <w:t>alleged</w:t>
      </w:r>
      <w:r w:rsidR="00775D15">
        <w:t xml:space="preserve"> </w:t>
      </w:r>
      <w:r w:rsidR="009957D5">
        <w:t>differences between the awards made by</w:t>
      </w:r>
      <w:r w:rsidR="001F5FB6">
        <w:t xml:space="preserve"> the </w:t>
      </w:r>
      <w:r w:rsidR="00E76201">
        <w:t>I</w:t>
      </w:r>
      <w:r w:rsidR="009957D5">
        <w:t xml:space="preserve">nitial </w:t>
      </w:r>
      <w:r w:rsidR="00E76201">
        <w:t>A</w:t>
      </w:r>
      <w:r w:rsidR="009957D5">
        <w:t xml:space="preserve">rbitrator and that made by the </w:t>
      </w:r>
      <w:r w:rsidR="00E76201">
        <w:t>A</w:t>
      </w:r>
      <w:r w:rsidR="009957D5">
        <w:t xml:space="preserve">ppeal </w:t>
      </w:r>
      <w:r w:rsidR="00E76201">
        <w:t>T</w:t>
      </w:r>
      <w:r w:rsidR="00C90D99">
        <w:t>ribunal</w:t>
      </w:r>
      <w:r w:rsidR="009957D5">
        <w:t xml:space="preserve">. The third ground related to </w:t>
      </w:r>
      <w:r w:rsidR="007110BA">
        <w:t xml:space="preserve">Mr Roux`s contention that the University </w:t>
      </w:r>
      <w:r w:rsidR="00AF4478">
        <w:t xml:space="preserve">had </w:t>
      </w:r>
      <w:r w:rsidR="009957D5">
        <w:t>failed to comply with</w:t>
      </w:r>
      <w:r w:rsidR="00AF4478">
        <w:t xml:space="preserve"> the provisions </w:t>
      </w:r>
      <w:r w:rsidR="00AF4478">
        <w:lastRenderedPageBreak/>
        <w:t xml:space="preserve">of </w:t>
      </w:r>
      <w:r w:rsidR="009957D5" w:rsidRPr="00053819">
        <w:t>Rule 41A of the Uniform Rules of Court</w:t>
      </w:r>
      <w:r w:rsidR="007110BA">
        <w:t xml:space="preserve"> </w:t>
      </w:r>
      <w:r w:rsidR="00053819">
        <w:rPr>
          <w:rStyle w:val="FootnoteReference"/>
        </w:rPr>
        <w:footnoteReference w:id="3"/>
      </w:r>
      <w:r w:rsidR="007110BA">
        <w:t xml:space="preserve"> in that it failed to </w:t>
      </w:r>
      <w:r w:rsidR="005309D4">
        <w:t>refer the matter to mediation. In the heads of argument</w:t>
      </w:r>
      <w:r w:rsidR="00C90D99">
        <w:t>,</w:t>
      </w:r>
      <w:r w:rsidR="001F5FB6">
        <w:t xml:space="preserve"> filed on his behalf </w:t>
      </w:r>
      <w:r w:rsidR="00AF4478">
        <w:t xml:space="preserve">in </w:t>
      </w:r>
      <w:r w:rsidR="001F5FB6">
        <w:t>th</w:t>
      </w:r>
      <w:r w:rsidR="005309D4">
        <w:t>at application</w:t>
      </w:r>
      <w:r w:rsidR="00E76201">
        <w:t>,</w:t>
      </w:r>
      <w:r w:rsidR="005309D4">
        <w:t xml:space="preserve"> it was contended </w:t>
      </w:r>
      <w:r w:rsidR="006325F3">
        <w:t xml:space="preserve">that for </w:t>
      </w:r>
      <w:r w:rsidR="00AF4478">
        <w:t>Mr Roux</w:t>
      </w:r>
      <w:r w:rsidR="00F94164">
        <w:t>,</w:t>
      </w:r>
      <w:r w:rsidR="004426A4">
        <w:t xml:space="preserve"> the manner of compliance with the awards</w:t>
      </w:r>
      <w:r w:rsidR="00C90D99">
        <w:t xml:space="preserve"> </w:t>
      </w:r>
      <w:r w:rsidR="004426A4">
        <w:t>(if made orders of court) was of fundamental importance. For him</w:t>
      </w:r>
      <w:r w:rsidR="00231665">
        <w:t>,</w:t>
      </w:r>
      <w:r w:rsidR="004426A4">
        <w:t xml:space="preserve"> </w:t>
      </w:r>
      <w:r w:rsidR="006325F3">
        <w:t>avoiding sequestration</w:t>
      </w:r>
      <w:r w:rsidR="004426A4">
        <w:t xml:space="preserve"> through an agreed payment plan was</w:t>
      </w:r>
      <w:r w:rsidR="006325F3">
        <w:t xml:space="preserve"> par </w:t>
      </w:r>
      <w:r w:rsidR="00402B0E">
        <w:t>excellence</w:t>
      </w:r>
      <w:r w:rsidR="00E76201">
        <w:t>,</w:t>
      </w:r>
      <w:r w:rsidR="006325F3">
        <w:t xml:space="preserve"> </w:t>
      </w:r>
      <w:r w:rsidR="004426A4">
        <w:t>a matter that could and should be mediated.</w:t>
      </w:r>
      <w:r w:rsidR="00AF4478">
        <w:t xml:space="preserve"> </w:t>
      </w:r>
      <w:r w:rsidR="004426A4">
        <w:t>It was th</w:t>
      </w:r>
      <w:r w:rsidR="00C90D99">
        <w:t>e</w:t>
      </w:r>
      <w:r w:rsidR="004426A4">
        <w:t xml:space="preserve">n </w:t>
      </w:r>
      <w:r w:rsidR="00A91BEF">
        <w:t xml:space="preserve">almost rhetorically </w:t>
      </w:r>
      <w:r w:rsidR="004426A4">
        <w:t xml:space="preserve">asked </w:t>
      </w:r>
      <w:r w:rsidR="00A91BEF">
        <w:t>‘</w:t>
      </w:r>
      <w:r w:rsidR="00231665">
        <w:t>W</w:t>
      </w:r>
      <w:r w:rsidR="004426A4">
        <w:t>hether that was an option or was the University intent on sequestrating Mr Roux?</w:t>
      </w:r>
      <w:r w:rsidR="00A91BEF">
        <w:t xml:space="preserve">’. </w:t>
      </w:r>
      <w:r w:rsidR="005309D4">
        <w:t xml:space="preserve">The latter ground of opposition as well as that related to the </w:t>
      </w:r>
      <w:r w:rsidR="00AF4478">
        <w:t xml:space="preserve">alleged </w:t>
      </w:r>
      <w:r w:rsidR="005309D4">
        <w:t>difference</w:t>
      </w:r>
      <w:r w:rsidR="00AF4478">
        <w:t>s</w:t>
      </w:r>
      <w:r w:rsidR="005309D4">
        <w:t xml:space="preserve"> in the arbitration </w:t>
      </w:r>
      <w:r w:rsidR="001F5FB6">
        <w:t>award</w:t>
      </w:r>
      <w:r w:rsidR="00AF4478">
        <w:t>s</w:t>
      </w:r>
      <w:r w:rsidR="001F5FB6">
        <w:t xml:space="preserve"> were </w:t>
      </w:r>
      <w:r w:rsidR="005309D4">
        <w:t>abandoned at the hearing of th</w:t>
      </w:r>
      <w:r w:rsidR="004426A4">
        <w:t xml:space="preserve">is </w:t>
      </w:r>
      <w:r w:rsidR="005309D4">
        <w:t>application.</w:t>
      </w:r>
      <w:r w:rsidR="00C90D99">
        <w:t xml:space="preserve"> </w:t>
      </w:r>
      <w:r w:rsidR="005309D4">
        <w:t>This judgement therefore deals primarily with the relief sought for the setting aside of th</w:t>
      </w:r>
      <w:r w:rsidR="001F5FB6">
        <w:t xml:space="preserve">e arbitration awards and the </w:t>
      </w:r>
      <w:r w:rsidR="005309D4">
        <w:t>consequent relief under case number</w:t>
      </w:r>
      <w:r w:rsidR="001F5FB6">
        <w:t xml:space="preserve"> 11368/20</w:t>
      </w:r>
      <w:r w:rsidR="004426A4">
        <w:t>15</w:t>
      </w:r>
      <w:r w:rsidR="000202F7">
        <w:t>.</w:t>
      </w:r>
      <w:r w:rsidR="00C90D99">
        <w:t xml:space="preserve"> </w:t>
      </w:r>
    </w:p>
    <w:p w14:paraId="42FB805A" w14:textId="33F281F4" w:rsidR="00EA4FB8" w:rsidRPr="00EA4FB8" w:rsidRDefault="00EA4FB8" w:rsidP="000011F2">
      <w:pPr>
        <w:spacing w:after="480" w:line="360" w:lineRule="auto"/>
        <w:jc w:val="both"/>
        <w:rPr>
          <w:b/>
        </w:rPr>
      </w:pPr>
      <w:r w:rsidRPr="00EA4FB8">
        <w:rPr>
          <w:b/>
        </w:rPr>
        <w:t>B</w:t>
      </w:r>
      <w:r w:rsidR="004F527A">
        <w:rPr>
          <w:b/>
        </w:rPr>
        <w:t>ACKGROUND</w:t>
      </w:r>
      <w:r w:rsidR="00A91BEF">
        <w:rPr>
          <w:b/>
        </w:rPr>
        <w:t xml:space="preserve"> (TO THE LITIGATION)</w:t>
      </w:r>
    </w:p>
    <w:p w14:paraId="3BA7E2CD" w14:textId="6A396389" w:rsidR="00827365" w:rsidRDefault="00710ACB" w:rsidP="00710ACB">
      <w:pPr>
        <w:spacing w:after="480" w:line="360" w:lineRule="auto"/>
        <w:ind w:left="720" w:hanging="720"/>
        <w:jc w:val="both"/>
      </w:pPr>
      <w:r>
        <w:t>[7]</w:t>
      </w:r>
      <w:r>
        <w:tab/>
      </w:r>
      <w:r w:rsidR="00C6772C" w:rsidRPr="00C6772C">
        <w:t>During</w:t>
      </w:r>
      <w:r w:rsidR="00C6772C">
        <w:t xml:space="preserve"> June 2015</w:t>
      </w:r>
      <w:r w:rsidR="000202F7">
        <w:t>,</w:t>
      </w:r>
      <w:r w:rsidR="00C6772C">
        <w:t xml:space="preserve"> the University commenced action proceedings under case 11368/15</w:t>
      </w:r>
      <w:r w:rsidR="00AF4478">
        <w:t xml:space="preserve"> against</w:t>
      </w:r>
      <w:r w:rsidR="003352A8">
        <w:t xml:space="preserve"> both </w:t>
      </w:r>
      <w:r w:rsidR="00AF4478">
        <w:t>Mr R</w:t>
      </w:r>
      <w:r w:rsidR="000202F7">
        <w:t>oux and Mr De Beer</w:t>
      </w:r>
      <w:r w:rsidR="00C6772C">
        <w:t xml:space="preserve"> in which it claimed</w:t>
      </w:r>
      <w:r w:rsidR="000202F7">
        <w:t>,</w:t>
      </w:r>
      <w:r w:rsidR="00C6772C">
        <w:t xml:space="preserve"> amongst others</w:t>
      </w:r>
      <w:r w:rsidR="000202F7">
        <w:t>,</w:t>
      </w:r>
      <w:r w:rsidR="00C6772C">
        <w:t xml:space="preserve"> </w:t>
      </w:r>
      <w:r w:rsidR="000202F7">
        <w:t xml:space="preserve">the </w:t>
      </w:r>
      <w:r w:rsidR="00C6772C">
        <w:t>payment of damages</w:t>
      </w:r>
      <w:r w:rsidR="000202F7">
        <w:t xml:space="preserve"> arising </w:t>
      </w:r>
      <w:r w:rsidR="00AF4478">
        <w:t>out of</w:t>
      </w:r>
      <w:r w:rsidR="00C6772C">
        <w:t xml:space="preserve"> the</w:t>
      </w:r>
      <w:r w:rsidR="000202F7">
        <w:t xml:space="preserve"> breach</w:t>
      </w:r>
      <w:r w:rsidR="00AF4478">
        <w:t xml:space="preserve"> by each of them </w:t>
      </w:r>
      <w:r w:rsidR="00E76201">
        <w:t xml:space="preserve">in terms </w:t>
      </w:r>
      <w:r w:rsidR="000202F7">
        <w:t>of their</w:t>
      </w:r>
      <w:r w:rsidR="00C6772C">
        <w:t xml:space="preserve"> employment contracts</w:t>
      </w:r>
      <w:r w:rsidR="000202F7">
        <w:t xml:space="preserve"> with the University.</w:t>
      </w:r>
      <w:r w:rsidR="00C6772C">
        <w:t xml:space="preserve"> On 15 May 2019, the parties agreed to arbitrate the pleaded issues and Mr AR Sholto-Douglas SC was appointed arbitrator (the </w:t>
      </w:r>
      <w:r w:rsidR="00E76201">
        <w:t>I</w:t>
      </w:r>
      <w:r w:rsidR="00AF4478">
        <w:t xml:space="preserve">nitial </w:t>
      </w:r>
      <w:r w:rsidR="00E76201">
        <w:t>A</w:t>
      </w:r>
      <w:r w:rsidR="00C6772C">
        <w:t>rbitrator). The arbitration was heard during December 2019</w:t>
      </w:r>
      <w:r w:rsidR="000202F7">
        <w:t xml:space="preserve"> and a </w:t>
      </w:r>
      <w:r w:rsidR="00C6772C">
        <w:t xml:space="preserve">final award was published on 23 December 2020. In respect of </w:t>
      </w:r>
      <w:r w:rsidR="000202F7">
        <w:t xml:space="preserve">Mr </w:t>
      </w:r>
      <w:r w:rsidR="00C6772C">
        <w:t>Roux the</w:t>
      </w:r>
      <w:r w:rsidR="000202F7">
        <w:t xml:space="preserve"> following award was made;</w:t>
      </w:r>
    </w:p>
    <w:p w14:paraId="37F17CF8" w14:textId="61508CE0" w:rsidR="00827365" w:rsidRDefault="00710ACB" w:rsidP="00710ACB">
      <w:pPr>
        <w:spacing w:after="480" w:line="360" w:lineRule="auto"/>
        <w:ind w:left="1170" w:hanging="450"/>
        <w:jc w:val="both"/>
      </w:pPr>
      <w:r>
        <w:t>i)</w:t>
      </w:r>
      <w:r>
        <w:tab/>
      </w:r>
      <w:r w:rsidR="00BD275A">
        <w:t>T</w:t>
      </w:r>
      <w:r w:rsidR="00827365">
        <w:t xml:space="preserve">he first </w:t>
      </w:r>
      <w:r w:rsidR="00BD275A">
        <w:t>de</w:t>
      </w:r>
      <w:r w:rsidR="00827365">
        <w:t>fendant (Mr Roux) is to pay the plaintiff the sum of R37</w:t>
      </w:r>
      <w:r w:rsidR="00BD275A">
        <w:t xml:space="preserve"> 116 </w:t>
      </w:r>
      <w:r w:rsidR="00827365">
        <w:t>402;</w:t>
      </w:r>
    </w:p>
    <w:p w14:paraId="4E38FFA2" w14:textId="7D60784D" w:rsidR="00827365" w:rsidRDefault="00710ACB" w:rsidP="00710ACB">
      <w:pPr>
        <w:spacing w:after="480" w:line="360" w:lineRule="auto"/>
        <w:ind w:left="1170" w:hanging="450"/>
        <w:jc w:val="both"/>
      </w:pPr>
      <w:r>
        <w:lastRenderedPageBreak/>
        <w:t>ii)</w:t>
      </w:r>
      <w:r>
        <w:tab/>
      </w:r>
      <w:r w:rsidR="00827365">
        <w:t>both amounts</w:t>
      </w:r>
      <w:r w:rsidR="00BD275A">
        <w:t xml:space="preserve"> </w:t>
      </w:r>
      <w:r w:rsidR="00827365">
        <w:t>(inclusive of the amount ordered against Mr De Beer) shall bear interest at the prescribed rate from the date of service on each of them of the summons commencing the action until payment in full;</w:t>
      </w:r>
    </w:p>
    <w:p w14:paraId="133F23D4" w14:textId="44AF1197" w:rsidR="00827365" w:rsidRDefault="00710ACB" w:rsidP="00710ACB">
      <w:pPr>
        <w:spacing w:after="480" w:line="360" w:lineRule="auto"/>
        <w:ind w:left="1170" w:hanging="450"/>
        <w:jc w:val="both"/>
      </w:pPr>
      <w:r>
        <w:t>iii)</w:t>
      </w:r>
      <w:r>
        <w:tab/>
      </w:r>
      <w:r w:rsidR="00827365">
        <w:t>the defendants are ordered to pay the plaintiff`s costs of suit in the proportions determined on taxation,</w:t>
      </w:r>
      <w:r w:rsidR="00BD275A">
        <w:t xml:space="preserve"> </w:t>
      </w:r>
      <w:r w:rsidR="00827365">
        <w:t xml:space="preserve">such costs to include those consequent on the employment of two counsel; </w:t>
      </w:r>
    </w:p>
    <w:p w14:paraId="4577C2FA" w14:textId="6CD6BA12" w:rsidR="00B25272" w:rsidRDefault="00710ACB" w:rsidP="00710ACB">
      <w:pPr>
        <w:spacing w:after="480" w:line="360" w:lineRule="auto"/>
        <w:ind w:left="1170" w:hanging="450"/>
        <w:jc w:val="both"/>
      </w:pPr>
      <w:r>
        <w:t>iv)</w:t>
      </w:r>
      <w:r>
        <w:tab/>
      </w:r>
      <w:r w:rsidR="00827365">
        <w:t>the costs of the application to recall Ms Swart are to be costs in the course.</w:t>
      </w:r>
      <w:r w:rsidR="000202F7">
        <w:t xml:space="preserve">  </w:t>
      </w:r>
      <w:r w:rsidR="00C6772C">
        <w:t xml:space="preserve"> </w:t>
      </w:r>
    </w:p>
    <w:p w14:paraId="6407679F" w14:textId="175BD2DA" w:rsidR="00DF2AF7" w:rsidRDefault="00710ACB" w:rsidP="00710ACB">
      <w:pPr>
        <w:spacing w:after="480" w:line="360" w:lineRule="auto"/>
        <w:ind w:left="720" w:hanging="720"/>
        <w:jc w:val="both"/>
      </w:pPr>
      <w:r>
        <w:t>[8]</w:t>
      </w:r>
      <w:r>
        <w:tab/>
      </w:r>
      <w:r w:rsidR="000202F7">
        <w:t xml:space="preserve">Mr </w:t>
      </w:r>
      <w:r w:rsidR="001A40EB">
        <w:t>Roux and</w:t>
      </w:r>
      <w:r w:rsidR="000202F7">
        <w:t xml:space="preserve"> Mr </w:t>
      </w:r>
      <w:r w:rsidR="001A40EB">
        <w:t>De Beer appealed the final award</w:t>
      </w:r>
      <w:r w:rsidR="003352A8">
        <w:t xml:space="preserve"> by way of an automatic right in te</w:t>
      </w:r>
      <w:r w:rsidR="0032486C">
        <w:t>rm</w:t>
      </w:r>
      <w:r w:rsidR="00803678">
        <w:t>s</w:t>
      </w:r>
      <w:r w:rsidR="0032486C">
        <w:t xml:space="preserve"> of the Arbitration Agreement</w:t>
      </w:r>
      <w:r w:rsidR="0032486C">
        <w:rPr>
          <w:rStyle w:val="FootnoteReference"/>
        </w:rPr>
        <w:footnoteReference w:id="4"/>
      </w:r>
      <w:r w:rsidR="003352A8">
        <w:t>,</w:t>
      </w:r>
      <w:r w:rsidR="001A40EB">
        <w:t xml:space="preserve"> </w:t>
      </w:r>
      <w:r w:rsidR="000202F7">
        <w:t>to</w:t>
      </w:r>
      <w:r w:rsidR="001A40EB">
        <w:t xml:space="preserve"> the </w:t>
      </w:r>
      <w:r w:rsidR="00803678">
        <w:t>A</w:t>
      </w:r>
      <w:r w:rsidR="001A40EB">
        <w:t xml:space="preserve">ppeal </w:t>
      </w:r>
      <w:r w:rsidR="00803678">
        <w:t>T</w:t>
      </w:r>
      <w:r w:rsidR="001A40EB">
        <w:t>ribunal</w:t>
      </w:r>
      <w:r w:rsidR="00AE7272">
        <w:t xml:space="preserve"> </w:t>
      </w:r>
      <w:r w:rsidR="00803678">
        <w:t>tha</w:t>
      </w:r>
      <w:r w:rsidR="00AE7272">
        <w:t>t</w:t>
      </w:r>
      <w:r w:rsidR="000202F7">
        <w:t xml:space="preserve"> consisted of </w:t>
      </w:r>
      <w:r w:rsidR="005B0734">
        <w:t>Mr CM Eloff SC, R</w:t>
      </w:r>
      <w:r w:rsidR="001A40EB">
        <w:t xml:space="preserve">etired Justice Harms and Mr M Van Der Nest </w:t>
      </w:r>
      <w:r w:rsidR="005B0734">
        <w:t>SC</w:t>
      </w:r>
      <w:r w:rsidR="000202F7">
        <w:t>.</w:t>
      </w:r>
      <w:r w:rsidR="001A40EB">
        <w:t xml:space="preserve"> The appeal was heard on 25 and 26 October </w:t>
      </w:r>
      <w:r w:rsidR="005B0734">
        <w:t xml:space="preserve">2021 </w:t>
      </w:r>
      <w:r w:rsidR="001A40EB">
        <w:t xml:space="preserve">and the award of the </w:t>
      </w:r>
      <w:r w:rsidR="00803678">
        <w:t>A</w:t>
      </w:r>
      <w:r w:rsidR="001A40EB">
        <w:t xml:space="preserve">ppeal </w:t>
      </w:r>
      <w:r w:rsidR="00803678">
        <w:t>T</w:t>
      </w:r>
      <w:r w:rsidR="001A40EB">
        <w:t>ribunal was published on 7 December 2021. In respect of</w:t>
      </w:r>
      <w:r w:rsidR="000202F7">
        <w:t xml:space="preserve"> Mr </w:t>
      </w:r>
      <w:r w:rsidR="001A40EB">
        <w:t xml:space="preserve">Roux the </w:t>
      </w:r>
      <w:r w:rsidR="00803678">
        <w:t>A</w:t>
      </w:r>
      <w:r w:rsidR="001A40EB">
        <w:t xml:space="preserve">ppeal </w:t>
      </w:r>
      <w:r w:rsidR="00803678">
        <w:t>T</w:t>
      </w:r>
      <w:r w:rsidR="001A40EB">
        <w:t>ribunal made the following award</w:t>
      </w:r>
      <w:r w:rsidR="00DF2AF7">
        <w:t>;</w:t>
      </w:r>
    </w:p>
    <w:p w14:paraId="0A994DA9" w14:textId="013915A0" w:rsidR="00DF2AF7" w:rsidRDefault="00DF2AF7" w:rsidP="00F81390">
      <w:pPr>
        <w:spacing w:after="480" w:line="360" w:lineRule="auto"/>
        <w:ind w:left="720"/>
        <w:jc w:val="both"/>
      </w:pPr>
      <w:r>
        <w:t>”75.1</w:t>
      </w:r>
      <w:r w:rsidR="00A14325">
        <w:tab/>
      </w:r>
      <w:r>
        <w:t>Mr Roux`s appeal against the arbitrator</w:t>
      </w:r>
      <w:r w:rsidR="00AE7272">
        <w:t>’</w:t>
      </w:r>
      <w:r>
        <w:t>s award i</w:t>
      </w:r>
      <w:r w:rsidR="00AE7272">
        <w:t>s</w:t>
      </w:r>
      <w:r>
        <w:t xml:space="preserve"> dismissed with costs;</w:t>
      </w:r>
    </w:p>
    <w:p w14:paraId="1E7FD933" w14:textId="661B6620" w:rsidR="001A40EB" w:rsidRDefault="00DF2AF7" w:rsidP="006310F4">
      <w:pPr>
        <w:spacing w:after="480" w:line="360" w:lineRule="auto"/>
        <w:ind w:left="1440" w:hanging="720"/>
        <w:jc w:val="both"/>
      </w:pPr>
      <w:r>
        <w:t>75.2</w:t>
      </w:r>
      <w:r w:rsidR="00A14325">
        <w:tab/>
      </w:r>
      <w:r>
        <w:t>Such costs are to include the costs consequent upon the employment of two counsel, and the costs of the Arbitration Appeal Tribuna</w:t>
      </w:r>
      <w:r w:rsidR="00AA1888">
        <w:t>l</w:t>
      </w:r>
      <w:r w:rsidR="00A14325">
        <w:rPr>
          <w:rStyle w:val="FootnoteReference"/>
        </w:rPr>
        <w:footnoteReference w:id="5"/>
      </w:r>
      <w:r w:rsidR="00850A03">
        <w:t>’.</w:t>
      </w:r>
    </w:p>
    <w:p w14:paraId="3A20003D" w14:textId="496BB63D" w:rsidR="004F527A" w:rsidRPr="004F527A" w:rsidRDefault="004F527A" w:rsidP="000011F2">
      <w:pPr>
        <w:spacing w:after="480" w:line="360" w:lineRule="auto"/>
        <w:jc w:val="both"/>
        <w:rPr>
          <w:b/>
        </w:rPr>
      </w:pPr>
      <w:r w:rsidRPr="004F527A">
        <w:rPr>
          <w:b/>
        </w:rPr>
        <w:lastRenderedPageBreak/>
        <w:t xml:space="preserve">IN LIMINE </w:t>
      </w:r>
    </w:p>
    <w:p w14:paraId="78B5F741" w14:textId="113AC9C9" w:rsidR="004F527A" w:rsidRDefault="00710ACB" w:rsidP="00710ACB">
      <w:pPr>
        <w:spacing w:after="480" w:line="360" w:lineRule="auto"/>
        <w:ind w:left="720" w:hanging="720"/>
        <w:jc w:val="both"/>
      </w:pPr>
      <w:r>
        <w:t>[9]</w:t>
      </w:r>
      <w:r>
        <w:tab/>
      </w:r>
      <w:r w:rsidR="004F527A">
        <w:t xml:space="preserve">The University raised </w:t>
      </w:r>
      <w:r w:rsidR="00AF4478">
        <w:t>four</w:t>
      </w:r>
      <w:r w:rsidR="00C47C71">
        <w:t xml:space="preserve"> points </w:t>
      </w:r>
      <w:r w:rsidR="004F527A" w:rsidRPr="00053819">
        <w:rPr>
          <w:i/>
        </w:rPr>
        <w:t>in limine</w:t>
      </w:r>
      <w:r w:rsidR="004F527A">
        <w:t xml:space="preserve"> </w:t>
      </w:r>
      <w:r w:rsidR="000202F7">
        <w:t xml:space="preserve">as to </w:t>
      </w:r>
      <w:r w:rsidR="004F527A">
        <w:t>why Mr Roux was not entitled to the relief</w:t>
      </w:r>
      <w:r w:rsidR="000202F7">
        <w:t xml:space="preserve"> sought </w:t>
      </w:r>
      <w:r w:rsidR="004F527A">
        <w:t>in the proceedings</w:t>
      </w:r>
      <w:r w:rsidR="00AF4478">
        <w:t xml:space="preserve"> under case </w:t>
      </w:r>
      <w:r w:rsidR="00480E6F">
        <w:t>6577/22;</w:t>
      </w:r>
    </w:p>
    <w:p w14:paraId="77DB634F" w14:textId="3C9DEA85" w:rsidR="004F527A" w:rsidRDefault="00710ACB" w:rsidP="00710ACB">
      <w:pPr>
        <w:spacing w:after="480" w:line="360" w:lineRule="auto"/>
        <w:ind w:left="1440" w:hanging="360"/>
        <w:jc w:val="both"/>
      </w:pPr>
      <w:r>
        <w:t>i.</w:t>
      </w:r>
      <w:r>
        <w:tab/>
      </w:r>
      <w:r w:rsidR="005A3EC4">
        <w:t xml:space="preserve">That </w:t>
      </w:r>
      <w:r w:rsidR="00AF4478">
        <w:t xml:space="preserve">Mr Roux </w:t>
      </w:r>
      <w:r w:rsidR="005A3EC4">
        <w:t>was not entitled to condonation for the late</w:t>
      </w:r>
      <w:r w:rsidR="000202F7">
        <w:t xml:space="preserve"> filing </w:t>
      </w:r>
      <w:r w:rsidR="005A3EC4">
        <w:t>of the application (outside the six-week period stipulated in section 33(2) of the Act</w:t>
      </w:r>
      <w:r w:rsidR="005A3EC4">
        <w:rPr>
          <w:rStyle w:val="FootnoteReference"/>
        </w:rPr>
        <w:footnoteReference w:id="6"/>
      </w:r>
      <w:r w:rsidR="000202F7">
        <w:t xml:space="preserve"> and </w:t>
      </w:r>
      <w:r w:rsidR="005A3EC4">
        <w:t xml:space="preserve">in particular in respect of the </w:t>
      </w:r>
      <w:r w:rsidR="00480E6F">
        <w:t>setting aside</w:t>
      </w:r>
      <w:r w:rsidR="005A3EC4">
        <w:t xml:space="preserve"> of the </w:t>
      </w:r>
      <w:r w:rsidR="000202F7">
        <w:t>final</w:t>
      </w:r>
      <w:r w:rsidR="005A3EC4">
        <w:t xml:space="preserve"> award made by the </w:t>
      </w:r>
      <w:r w:rsidR="00803678">
        <w:t>I</w:t>
      </w:r>
      <w:r w:rsidR="005A3EC4">
        <w:t xml:space="preserve">nitial </w:t>
      </w:r>
      <w:r w:rsidR="00803678">
        <w:t>A</w:t>
      </w:r>
      <w:r w:rsidR="005A3EC4">
        <w:t xml:space="preserve">rbitrator. </w:t>
      </w:r>
      <w:r w:rsidR="00FB08E3">
        <w:t>The University contended that</w:t>
      </w:r>
      <w:r w:rsidR="00C47C71">
        <w:t xml:space="preserve"> Mr</w:t>
      </w:r>
      <w:r w:rsidR="00FB08E3">
        <w:t xml:space="preserve"> Roux had provided no tenable explanation for the more t</w:t>
      </w:r>
      <w:r w:rsidR="00C93CA7">
        <w:t>h</w:t>
      </w:r>
      <w:r w:rsidR="00FB08E3">
        <w:t>an 14-month delay in bringing th</w:t>
      </w:r>
      <w:r w:rsidR="00C93CA7">
        <w:t>e</w:t>
      </w:r>
      <w:r w:rsidR="00FB08E3">
        <w:t xml:space="preserve"> application. Th</w:t>
      </w:r>
      <w:r w:rsidR="00803678">
        <w:t xml:space="preserve">is </w:t>
      </w:r>
      <w:r w:rsidR="00FB08E3">
        <w:t xml:space="preserve"> </w:t>
      </w:r>
      <w:r w:rsidR="00C93CA7">
        <w:t>issue</w:t>
      </w:r>
      <w:r w:rsidR="00FB08E3">
        <w:t xml:space="preserve"> will be considered after th</w:t>
      </w:r>
      <w:r w:rsidR="00803678">
        <w:t>e</w:t>
      </w:r>
      <w:r w:rsidR="00FB08E3">
        <w:t xml:space="preserve"> court has</w:t>
      </w:r>
      <w:r w:rsidR="00C93CA7">
        <w:t xml:space="preserve"> dealt with </w:t>
      </w:r>
      <w:r w:rsidR="00FB08E3">
        <w:t>the merits of the application</w:t>
      </w:r>
      <w:r w:rsidR="00C93CA7">
        <w:t xml:space="preserve"> </w:t>
      </w:r>
      <w:r w:rsidR="00FB08E3">
        <w:t>as to whether “good cause” as required by section 38</w:t>
      </w:r>
      <w:r w:rsidR="00231665">
        <w:rPr>
          <w:rStyle w:val="FootnoteReference"/>
        </w:rPr>
        <w:footnoteReference w:id="7"/>
      </w:r>
      <w:r w:rsidR="00FB08E3">
        <w:t xml:space="preserve"> has been demonstrated.  </w:t>
      </w:r>
    </w:p>
    <w:p w14:paraId="367DC0B7" w14:textId="130925D4" w:rsidR="00FB08E3" w:rsidRDefault="00710ACB" w:rsidP="00710ACB">
      <w:pPr>
        <w:spacing w:after="480" w:line="360" w:lineRule="auto"/>
        <w:ind w:left="1440" w:hanging="360"/>
        <w:jc w:val="both"/>
      </w:pPr>
      <w:r>
        <w:t>ii.</w:t>
      </w:r>
      <w:r>
        <w:tab/>
      </w:r>
      <w:r w:rsidR="00FB08E3">
        <w:t xml:space="preserve">The second point </w:t>
      </w:r>
      <w:r w:rsidR="00FB08E3" w:rsidRPr="00710ACB">
        <w:rPr>
          <w:i/>
        </w:rPr>
        <w:t>in limine</w:t>
      </w:r>
      <w:r w:rsidR="00FB08E3">
        <w:t xml:space="preserve"> related to the fact that </w:t>
      </w:r>
      <w:r w:rsidR="00C93CA7">
        <w:t xml:space="preserve">the </w:t>
      </w:r>
      <w:r w:rsidR="00FB08E3">
        <w:t>award</w:t>
      </w:r>
      <w:r w:rsidR="00C93CA7">
        <w:t>s</w:t>
      </w:r>
      <w:r w:rsidR="00FB08E3">
        <w:t xml:space="preserve"> had already been made</w:t>
      </w:r>
      <w:r w:rsidR="00C93CA7">
        <w:t xml:space="preserve"> orders </w:t>
      </w:r>
      <w:r w:rsidR="00FB08E3">
        <w:t>against</w:t>
      </w:r>
      <w:r w:rsidR="00C93CA7">
        <w:t xml:space="preserve"> Mr </w:t>
      </w:r>
      <w:r w:rsidR="00FB08E3">
        <w:t xml:space="preserve">De Beer in terms of section 31(1) of the Act. The University claimed that there was no suggestion that the orders made under case 11368/15 against De Beer </w:t>
      </w:r>
      <w:r w:rsidR="00C93CA7">
        <w:t xml:space="preserve">were </w:t>
      </w:r>
      <w:r w:rsidR="0041598F">
        <w:t>incorrectly made</w:t>
      </w:r>
      <w:r w:rsidR="00C93CA7">
        <w:t xml:space="preserve"> and </w:t>
      </w:r>
      <w:r w:rsidR="00FB08E3">
        <w:t xml:space="preserve">that this court </w:t>
      </w:r>
      <w:r w:rsidR="00C93CA7">
        <w:t>could</w:t>
      </w:r>
      <w:r w:rsidR="00FB08E3">
        <w:t xml:space="preserve"> not refuse to make similar order</w:t>
      </w:r>
      <w:r w:rsidR="00C93CA7">
        <w:t>s</w:t>
      </w:r>
      <w:r w:rsidR="00FB08E3">
        <w:t xml:space="preserve"> in this application save for </w:t>
      </w:r>
      <w:r w:rsidR="00C057FF">
        <w:t xml:space="preserve">Mr Roux`s </w:t>
      </w:r>
      <w:r w:rsidR="00FB08E3">
        <w:t>claim that the earlier orders by the arbitrators w</w:t>
      </w:r>
      <w:r w:rsidR="00C93CA7">
        <w:t>ere</w:t>
      </w:r>
      <w:r w:rsidR="00FB08E3">
        <w:t xml:space="preserve"> wrong.</w:t>
      </w:r>
      <w:r w:rsidR="00231665">
        <w:t xml:space="preserve"> The claim by the University</w:t>
      </w:r>
      <w:r w:rsidR="00C41404">
        <w:t xml:space="preserve"> on this point is in</w:t>
      </w:r>
      <w:r w:rsidR="00231665">
        <w:t xml:space="preserve"> </w:t>
      </w:r>
      <w:r w:rsidR="00045C18">
        <w:t xml:space="preserve">my </w:t>
      </w:r>
      <w:r w:rsidR="00231665">
        <w:t xml:space="preserve">view without merit as Mr Roux </w:t>
      </w:r>
      <w:r w:rsidR="00C47C71">
        <w:t>is</w:t>
      </w:r>
      <w:r w:rsidR="00231665">
        <w:t xml:space="preserve"> entitled to</w:t>
      </w:r>
      <w:r w:rsidR="00C47C71">
        <w:t xml:space="preserve"> a determination of </w:t>
      </w:r>
      <w:r w:rsidR="00231665">
        <w:t>this application</w:t>
      </w:r>
      <w:r w:rsidR="00C47C71">
        <w:t xml:space="preserve"> before the award is made an order of court against him</w:t>
      </w:r>
      <w:r w:rsidR="00231665">
        <w:t>.</w:t>
      </w:r>
    </w:p>
    <w:p w14:paraId="57C7BBC1" w14:textId="0BCC12DF" w:rsidR="00C057FF" w:rsidRDefault="00710ACB" w:rsidP="00710ACB">
      <w:pPr>
        <w:spacing w:after="480" w:line="360" w:lineRule="auto"/>
        <w:ind w:left="1440" w:hanging="360"/>
        <w:jc w:val="both"/>
      </w:pPr>
      <w:r>
        <w:t>iii.</w:t>
      </w:r>
      <w:r>
        <w:tab/>
      </w:r>
      <w:r w:rsidR="00FB08E3">
        <w:t xml:space="preserve">The third point </w:t>
      </w:r>
      <w:r w:rsidR="00FB08E3" w:rsidRPr="00710ACB">
        <w:rPr>
          <w:i/>
        </w:rPr>
        <w:t>in limine</w:t>
      </w:r>
      <w:r w:rsidR="00FB08E3">
        <w:t xml:space="preserve"> related to</w:t>
      </w:r>
      <w:r w:rsidR="00C93CA7">
        <w:t xml:space="preserve"> the fact that the parties had amongst themselves resolved </w:t>
      </w:r>
      <w:r w:rsidR="009F7CF5">
        <w:t>that the</w:t>
      </w:r>
      <w:r w:rsidR="00C93CA7">
        <w:t xml:space="preserve">ir </w:t>
      </w:r>
      <w:r w:rsidR="009F7CF5">
        <w:t>disputes were to be decided by</w:t>
      </w:r>
      <w:r w:rsidR="00C93CA7">
        <w:t xml:space="preserve"> way of </w:t>
      </w:r>
      <w:r w:rsidR="00C93CA7">
        <w:lastRenderedPageBreak/>
        <w:t>private arbitration</w:t>
      </w:r>
      <w:r w:rsidR="00C057FF">
        <w:t xml:space="preserve"> and were bound by the outcome ther</w:t>
      </w:r>
      <w:r w:rsidR="0041598F">
        <w:t>e</w:t>
      </w:r>
      <w:r w:rsidR="00C057FF">
        <w:t>of</w:t>
      </w:r>
      <w:r w:rsidR="00C93CA7">
        <w:t xml:space="preserve">. </w:t>
      </w:r>
      <w:r w:rsidR="009F7CF5">
        <w:t>Th</w:t>
      </w:r>
      <w:r w:rsidR="00480E6F">
        <w:t>at</w:t>
      </w:r>
      <w:r w:rsidR="009F7CF5">
        <w:t xml:space="preserve"> </w:t>
      </w:r>
      <w:r w:rsidR="00040BD1">
        <w:t>issue</w:t>
      </w:r>
      <w:r w:rsidR="00C93CA7">
        <w:t xml:space="preserve"> forms part of the subject matter of these proceedings.</w:t>
      </w:r>
      <w:r w:rsidR="009F7CF5">
        <w:t xml:space="preserve"> </w:t>
      </w:r>
    </w:p>
    <w:p w14:paraId="1156FF6E" w14:textId="5042E84D" w:rsidR="009F7CF5" w:rsidRDefault="00710ACB" w:rsidP="00710ACB">
      <w:pPr>
        <w:spacing w:after="480" w:line="360" w:lineRule="auto"/>
        <w:ind w:left="1440" w:hanging="360"/>
        <w:jc w:val="both"/>
      </w:pPr>
      <w:r>
        <w:t>iv.</w:t>
      </w:r>
      <w:r>
        <w:tab/>
      </w:r>
      <w:r w:rsidR="009F7CF5">
        <w:t xml:space="preserve"> </w:t>
      </w:r>
      <w:r w:rsidR="00C057FF">
        <w:t xml:space="preserve">The fourth </w:t>
      </w:r>
      <w:r w:rsidR="009F7CF5">
        <w:t xml:space="preserve">point </w:t>
      </w:r>
      <w:r w:rsidR="009F7CF5" w:rsidRPr="00710ACB">
        <w:rPr>
          <w:i/>
        </w:rPr>
        <w:t>in limine</w:t>
      </w:r>
      <w:r w:rsidR="009F7CF5">
        <w:t xml:space="preserve"> related to </w:t>
      </w:r>
      <w:r w:rsidR="00040BD1">
        <w:t>a</w:t>
      </w:r>
      <w:r w:rsidR="009F7CF5">
        <w:t xml:space="preserve"> claim by the University that after the award</w:t>
      </w:r>
      <w:r w:rsidR="00040BD1">
        <w:t xml:space="preserve"> by the </w:t>
      </w:r>
      <w:r w:rsidR="00C41404">
        <w:t>A</w:t>
      </w:r>
      <w:r w:rsidR="00040BD1">
        <w:t xml:space="preserve">ppeal </w:t>
      </w:r>
      <w:r w:rsidR="00C41404">
        <w:t>T</w:t>
      </w:r>
      <w:r w:rsidR="00040BD1">
        <w:t xml:space="preserve">ribunal </w:t>
      </w:r>
      <w:r w:rsidR="009F7CF5">
        <w:t>was handed down</w:t>
      </w:r>
      <w:r w:rsidR="00040BD1">
        <w:t>,</w:t>
      </w:r>
      <w:r w:rsidR="009F7CF5">
        <w:t xml:space="preserve"> </w:t>
      </w:r>
      <w:r w:rsidR="00040BD1">
        <w:t xml:space="preserve">Mr </w:t>
      </w:r>
      <w:r w:rsidR="009F7CF5">
        <w:t>Roux through his attorneys</w:t>
      </w:r>
      <w:r w:rsidR="00040BD1">
        <w:t>,</w:t>
      </w:r>
      <w:r w:rsidR="009F7CF5">
        <w:t xml:space="preserve"> </w:t>
      </w:r>
      <w:r w:rsidR="00480E6F">
        <w:t xml:space="preserve">by way of </w:t>
      </w:r>
      <w:r w:rsidR="009F7CF5">
        <w:t>correspondence</w:t>
      </w:r>
      <w:r w:rsidR="00040BD1">
        <w:t xml:space="preserve"> to the </w:t>
      </w:r>
      <w:r w:rsidR="00480E6F">
        <w:t>University`s</w:t>
      </w:r>
      <w:r w:rsidR="00040BD1">
        <w:t xml:space="preserve"> attorneys</w:t>
      </w:r>
      <w:r w:rsidR="009F7CF5">
        <w:t xml:space="preserve"> acquiesced to the </w:t>
      </w:r>
      <w:r w:rsidR="00C057FF">
        <w:t xml:space="preserve">arbitration </w:t>
      </w:r>
      <w:r w:rsidR="009F7CF5">
        <w:t>orders</w:t>
      </w:r>
      <w:r w:rsidR="00040BD1">
        <w:t xml:space="preserve"> by the making of a</w:t>
      </w:r>
      <w:r w:rsidR="009F7CF5">
        <w:t xml:space="preserve"> proposal for the parties to enter into negotiations for a payment plan</w:t>
      </w:r>
      <w:r w:rsidR="00C057FF">
        <w:t xml:space="preserve"> in respect of the</w:t>
      </w:r>
      <w:r w:rsidR="00040BD1">
        <w:t xml:space="preserve"> award</w:t>
      </w:r>
      <w:r w:rsidR="00C47C71">
        <w:t>s</w:t>
      </w:r>
      <w:r w:rsidR="009F7CF5">
        <w:t>. That contention will likewise be addressed</w:t>
      </w:r>
      <w:r w:rsidR="00040BD1">
        <w:t xml:space="preserve"> </w:t>
      </w:r>
      <w:r w:rsidR="00C41404">
        <w:t>later</w:t>
      </w:r>
      <w:r w:rsidR="009F7CF5">
        <w:t xml:space="preserve">. </w:t>
      </w:r>
    </w:p>
    <w:p w14:paraId="5191D55C" w14:textId="7CCE025D" w:rsidR="00FB08E3" w:rsidRDefault="00FB08E3" w:rsidP="000011F2">
      <w:pPr>
        <w:pStyle w:val="ListParagraph"/>
        <w:spacing w:after="480" w:line="360" w:lineRule="auto"/>
        <w:ind w:left="1440"/>
        <w:jc w:val="both"/>
      </w:pPr>
    </w:p>
    <w:p w14:paraId="0018E554" w14:textId="5693B311" w:rsidR="00C466B1" w:rsidRPr="00771563" w:rsidRDefault="00C466B1" w:rsidP="00CA575C">
      <w:pPr>
        <w:pStyle w:val="ListParagraph"/>
        <w:spacing w:after="480" w:line="360" w:lineRule="auto"/>
        <w:ind w:left="0"/>
        <w:jc w:val="both"/>
        <w:rPr>
          <w:b/>
        </w:rPr>
      </w:pPr>
      <w:r w:rsidRPr="00771563">
        <w:rPr>
          <w:b/>
        </w:rPr>
        <w:t>THE GROUNDS FOR THE SETTING ASIDE OF THE AWARDS</w:t>
      </w:r>
      <w:r w:rsidR="009C084F">
        <w:rPr>
          <w:b/>
        </w:rPr>
        <w:t xml:space="preserve"> </w:t>
      </w:r>
      <w:r w:rsidRPr="00771563">
        <w:rPr>
          <w:b/>
        </w:rPr>
        <w:t>(THE CHALLENGES)</w:t>
      </w:r>
    </w:p>
    <w:p w14:paraId="62B2FF50" w14:textId="6F13DE71" w:rsidR="004F527A" w:rsidRDefault="00710ACB" w:rsidP="00710ACB">
      <w:pPr>
        <w:spacing w:after="480" w:line="360" w:lineRule="auto"/>
        <w:ind w:left="720" w:hanging="720"/>
        <w:jc w:val="both"/>
      </w:pPr>
      <w:r>
        <w:t>[10]</w:t>
      </w:r>
      <w:r>
        <w:tab/>
      </w:r>
      <w:r w:rsidR="009F7CF5">
        <w:t>In the founding affidavit</w:t>
      </w:r>
      <w:r w:rsidR="00C47C71">
        <w:t xml:space="preserve"> </w:t>
      </w:r>
      <w:r w:rsidR="009F7CF5">
        <w:t xml:space="preserve">deposed to by </w:t>
      </w:r>
      <w:r w:rsidR="00040BD1">
        <w:t xml:space="preserve">Mr </w:t>
      </w:r>
      <w:r w:rsidR="009F7CF5">
        <w:t>Roux’s legal representative</w:t>
      </w:r>
      <w:r w:rsidR="00040BD1">
        <w:t>,</w:t>
      </w:r>
      <w:r w:rsidR="009F7CF5">
        <w:t xml:space="preserve"> Mr Frederick Petrus Senegal Erasmus </w:t>
      </w:r>
      <w:r w:rsidR="00C41404">
        <w:t>t</w:t>
      </w:r>
      <w:r w:rsidR="009F7CF5">
        <w:t xml:space="preserve">he grounds for the setting aside of the awards </w:t>
      </w:r>
      <w:r w:rsidR="00C057FF">
        <w:t>by</w:t>
      </w:r>
      <w:r w:rsidR="009C084F">
        <w:t xml:space="preserve"> the arbitrat</w:t>
      </w:r>
      <w:r w:rsidR="00C246EA">
        <w:t xml:space="preserve">ors </w:t>
      </w:r>
      <w:r w:rsidR="00C057FF">
        <w:t xml:space="preserve">as </w:t>
      </w:r>
      <w:r w:rsidR="009F7CF5">
        <w:t>having committed gross irregulari</w:t>
      </w:r>
      <w:r w:rsidR="00C246EA">
        <w:t xml:space="preserve">ties </w:t>
      </w:r>
      <w:r w:rsidR="009F7CF5">
        <w:t>in th</w:t>
      </w:r>
      <w:r w:rsidR="00AD68FE">
        <w:t xml:space="preserve">e conduct of the proceedings </w:t>
      </w:r>
      <w:r w:rsidR="00C41404">
        <w:t>were that</w:t>
      </w:r>
      <w:r w:rsidR="00A91BEF">
        <w:t>;</w:t>
      </w:r>
    </w:p>
    <w:p w14:paraId="07F9988D" w14:textId="5F1511D6" w:rsidR="00AD68FE" w:rsidRDefault="00C246EA" w:rsidP="000011F2">
      <w:pPr>
        <w:spacing w:after="480" w:line="360" w:lineRule="auto"/>
        <w:ind w:left="1440" w:hanging="720"/>
        <w:jc w:val="both"/>
      </w:pPr>
      <w:r>
        <w:t>“</w:t>
      </w:r>
      <w:r w:rsidR="00AD68FE">
        <w:t>9.1</w:t>
      </w:r>
      <w:r w:rsidR="00AD68FE">
        <w:tab/>
        <w:t xml:space="preserve">Finding in the context of an employment relationship, that unauthorised expenditure by an employee, within the scope of the employer’s business and calculated to benefit the employer and not the employee, constitutes a loss which flows directly, naturally and generally from the breach of the employment contract and does not constitute special damages. </w:t>
      </w:r>
      <w:r>
        <w:t>(</w:t>
      </w:r>
      <w:r w:rsidR="00AD68FE">
        <w:t>Th</w:t>
      </w:r>
      <w:r>
        <w:t xml:space="preserve">at was </w:t>
      </w:r>
      <w:r w:rsidR="00AD68FE">
        <w:t>referred to as the “special damages” challenge.</w:t>
      </w:r>
      <w:r>
        <w:t>)</w:t>
      </w:r>
    </w:p>
    <w:p w14:paraId="0D5E0FB3" w14:textId="72FBB7C7" w:rsidR="00AD68FE" w:rsidRDefault="00AD68FE" w:rsidP="000011F2">
      <w:pPr>
        <w:spacing w:after="480" w:line="360" w:lineRule="auto"/>
        <w:ind w:left="1440" w:hanging="720"/>
        <w:jc w:val="both"/>
      </w:pPr>
      <w:r>
        <w:t>9.2</w:t>
      </w:r>
      <w:r>
        <w:tab/>
      </w:r>
      <w:r w:rsidR="00866E34">
        <w:t xml:space="preserve">Finding that the employee and not the employer bears the onus to establish that a compensating benefit was received for unauthorised expenditure within the scope of the employer’s business by an </w:t>
      </w:r>
      <w:r w:rsidR="00480E6F">
        <w:t>employee. (That</w:t>
      </w:r>
      <w:r w:rsidR="00866E34">
        <w:t xml:space="preserve"> </w:t>
      </w:r>
      <w:r w:rsidR="00480E6F">
        <w:t>was referred</w:t>
      </w:r>
      <w:r w:rsidR="00866E34">
        <w:t xml:space="preserve"> to as the </w:t>
      </w:r>
      <w:r w:rsidR="00C41404">
        <w:t>“</w:t>
      </w:r>
      <w:r w:rsidR="00866E34">
        <w:t>onus</w:t>
      </w:r>
      <w:r w:rsidR="00C41404">
        <w:t>”</w:t>
      </w:r>
      <w:r w:rsidR="00866E34">
        <w:t xml:space="preserve"> challenge.</w:t>
      </w:r>
      <w:r w:rsidR="00C246EA">
        <w:t>)</w:t>
      </w:r>
    </w:p>
    <w:p w14:paraId="6C8CFB86" w14:textId="2451A2F7" w:rsidR="00866E34" w:rsidRDefault="00866E34" w:rsidP="000011F2">
      <w:pPr>
        <w:spacing w:after="480" w:line="360" w:lineRule="auto"/>
        <w:ind w:left="1440" w:hanging="720"/>
        <w:jc w:val="both"/>
      </w:pPr>
      <w:r>
        <w:lastRenderedPageBreak/>
        <w:t>9.3</w:t>
      </w:r>
      <w:r>
        <w:tab/>
        <w:t xml:space="preserve">In the alternative to subparagraphs one and two above, failing to consider </w:t>
      </w:r>
      <w:r w:rsidR="00480E6F">
        <w:t>whether the</w:t>
      </w:r>
      <w:r w:rsidR="00C246EA">
        <w:t xml:space="preserve"> </w:t>
      </w:r>
      <w:r>
        <w:t>common law should be developed in terms of s</w:t>
      </w:r>
      <w:r w:rsidR="000225BD">
        <w:t>ection</w:t>
      </w:r>
      <w:r>
        <w:t xml:space="preserve"> 39(2) of the Constitution, and developing the common law by finding that special damages should have been pleaded and that the employer bore the onus to show that it did not</w:t>
      </w:r>
      <w:r w:rsidR="009C084F">
        <w:t xml:space="preserve"> receive a compensating benefit. </w:t>
      </w:r>
      <w:r w:rsidR="00C246EA">
        <w:t>(</w:t>
      </w:r>
      <w:r>
        <w:t>This</w:t>
      </w:r>
      <w:r w:rsidR="00C246EA">
        <w:t xml:space="preserve"> was </w:t>
      </w:r>
      <w:r>
        <w:t>referred to as the “constitutional duty” challenge</w:t>
      </w:r>
      <w:r w:rsidR="000050A2">
        <w:t>.</w:t>
      </w:r>
      <w:r w:rsidR="000050A2">
        <w:rPr>
          <w:rStyle w:val="FootnoteReference"/>
        </w:rPr>
        <w:footnoteReference w:id="8"/>
      </w:r>
      <w:r w:rsidR="000050A2">
        <w:t xml:space="preserve"> </w:t>
      </w:r>
    </w:p>
    <w:p w14:paraId="18AAD36D" w14:textId="51A2865C" w:rsidR="002B791F" w:rsidRDefault="00CA234A" w:rsidP="00231665">
      <w:pPr>
        <w:spacing w:after="480" w:line="360" w:lineRule="auto"/>
        <w:ind w:left="720"/>
        <w:jc w:val="both"/>
      </w:pPr>
      <w:r>
        <w:t>The central challenge that the arbitrators</w:t>
      </w:r>
      <w:r w:rsidR="003F2B86">
        <w:t xml:space="preserve"> </w:t>
      </w:r>
      <w:r>
        <w:t xml:space="preserve">failed to properly </w:t>
      </w:r>
      <w:r w:rsidR="00821DAA">
        <w:t xml:space="preserve">determine </w:t>
      </w:r>
      <w:r w:rsidR="00004F0C">
        <w:t>whether</w:t>
      </w:r>
      <w:r>
        <w:t xml:space="preserve"> it was in fact the University as opposed to Mr </w:t>
      </w:r>
      <w:r w:rsidR="002B791F">
        <w:t>Roux who</w:t>
      </w:r>
      <w:r>
        <w:t xml:space="preserve"> bore the onus </w:t>
      </w:r>
      <w:r w:rsidR="002B791F">
        <w:t>in respect</w:t>
      </w:r>
      <w:r>
        <w:t xml:space="preserve"> of the proof of </w:t>
      </w:r>
      <w:r w:rsidR="003F2B86">
        <w:t xml:space="preserve">compensatory </w:t>
      </w:r>
      <w:r w:rsidR="002B791F">
        <w:t>benefits allegedly</w:t>
      </w:r>
      <w:r w:rsidR="00872A92">
        <w:t xml:space="preserve"> obtained by the </w:t>
      </w:r>
      <w:r w:rsidR="002B791F">
        <w:t>University as</w:t>
      </w:r>
      <w:r w:rsidR="00872A92">
        <w:t xml:space="preserve"> a result of </w:t>
      </w:r>
      <w:r w:rsidR="002B791F">
        <w:t>the u</w:t>
      </w:r>
      <w:r>
        <w:t>nlawful conduct of Mr Roux related to the</w:t>
      </w:r>
      <w:r w:rsidR="002B791F">
        <w:t xml:space="preserve"> reliance by the arbitrators on the decision</w:t>
      </w:r>
      <w:r>
        <w:t xml:space="preserve"> of Nienaber</w:t>
      </w:r>
      <w:r w:rsidR="00872A92">
        <w:t xml:space="preserve"> </w:t>
      </w:r>
      <w:r w:rsidR="002B791F">
        <w:t>JA</w:t>
      </w:r>
      <w:r w:rsidR="00CB5150">
        <w:t xml:space="preserve"> on behalf of the majority</w:t>
      </w:r>
      <w:r w:rsidR="002B791F">
        <w:t xml:space="preserve"> in</w:t>
      </w:r>
      <w:r w:rsidR="00872A92">
        <w:t xml:space="preserve"> </w:t>
      </w:r>
      <w:r w:rsidR="00872A92" w:rsidRPr="00821DAA">
        <w:rPr>
          <w:i/>
        </w:rPr>
        <w:t>Minister</w:t>
      </w:r>
      <w:r w:rsidR="002B791F" w:rsidRPr="00821DAA">
        <w:rPr>
          <w:i/>
        </w:rPr>
        <w:t xml:space="preserve"> Van Veiligheid En Sekuriteit v Japmoco BK</w:t>
      </w:r>
      <w:r w:rsidR="002B791F">
        <w:t xml:space="preserve"> 2002 (5) SA 649</w:t>
      </w:r>
      <w:r w:rsidR="00821DAA">
        <w:t xml:space="preserve"> </w:t>
      </w:r>
      <w:r w:rsidR="002B791F">
        <w:t>(SCA</w:t>
      </w:r>
      <w:r w:rsidR="00341F5C">
        <w:t>.</w:t>
      </w:r>
      <w:r w:rsidR="002B791F">
        <w:t xml:space="preserve">) </w:t>
      </w:r>
      <w:r w:rsidR="006444FA">
        <w:t>It concern</w:t>
      </w:r>
      <w:r w:rsidR="00004F0C">
        <w:t>ed</w:t>
      </w:r>
      <w:r w:rsidR="006444FA">
        <w:t xml:space="preserve"> a situation,</w:t>
      </w:r>
      <w:r w:rsidR="000050A2">
        <w:t xml:space="preserve"> </w:t>
      </w:r>
      <w:r w:rsidR="006444FA">
        <w:t>where broadly speaking the</w:t>
      </w:r>
      <w:r w:rsidR="00341F5C" w:rsidRPr="00A91BEF">
        <w:t xml:space="preserve"> </w:t>
      </w:r>
      <w:r w:rsidR="002B791F" w:rsidRPr="00A91BEF">
        <w:t xml:space="preserve">buyer of a stolen </w:t>
      </w:r>
      <w:r w:rsidR="006444FA">
        <w:t>vehicle</w:t>
      </w:r>
      <w:r w:rsidR="002B791F" w:rsidRPr="00A91BEF">
        <w:t xml:space="preserve"> ha</w:t>
      </w:r>
      <w:r w:rsidR="006444FA">
        <w:t>s</w:t>
      </w:r>
      <w:r w:rsidR="002B791F" w:rsidRPr="00A91BEF">
        <w:t xml:space="preserve"> a contractual claim for damages against the seller</w:t>
      </w:r>
      <w:r w:rsidR="00D32FDC">
        <w:t xml:space="preserve"> for excussion </w:t>
      </w:r>
      <w:r w:rsidR="00F2323A">
        <w:t>but the</w:t>
      </w:r>
      <w:r w:rsidR="002B791F" w:rsidRPr="00A91BEF">
        <w:t xml:space="preserve"> buyer also had a delictual claim against the thief</w:t>
      </w:r>
      <w:r w:rsidR="00D32FDC">
        <w:t xml:space="preserve"> </w:t>
      </w:r>
      <w:r w:rsidR="002B791F" w:rsidRPr="00A91BEF">
        <w:t>who sold the vehicle to the seller. When sued</w:t>
      </w:r>
      <w:r w:rsidR="00F2323A">
        <w:t>,</w:t>
      </w:r>
      <w:r w:rsidR="002B791F" w:rsidRPr="00A91BEF">
        <w:t xml:space="preserve"> the </w:t>
      </w:r>
      <w:r w:rsidR="00F2323A">
        <w:t>thief</w:t>
      </w:r>
      <w:r w:rsidR="002B791F" w:rsidRPr="00A91BEF">
        <w:t xml:space="preserve"> contend</w:t>
      </w:r>
      <w:r w:rsidR="00004F0C">
        <w:t>ed</w:t>
      </w:r>
      <w:r w:rsidR="002B791F" w:rsidRPr="00A91BEF">
        <w:t xml:space="preserve"> that the buyer’s loss </w:t>
      </w:r>
      <w:r w:rsidR="00004F0C">
        <w:t>was</w:t>
      </w:r>
      <w:r w:rsidR="002B791F" w:rsidRPr="00A91BEF">
        <w:t xml:space="preserve"> reduced by payments made by the seller pursuant to the contractual claim.</w:t>
      </w:r>
      <w:r w:rsidR="00913D94">
        <w:t xml:space="preserve"> </w:t>
      </w:r>
      <w:r w:rsidR="00004F0C">
        <w:t>T</w:t>
      </w:r>
      <w:r w:rsidR="00913D94">
        <w:t>he judgment described the situation as;</w:t>
      </w:r>
    </w:p>
    <w:p w14:paraId="37FD1E5D" w14:textId="4DB1DF82" w:rsidR="00522EF9" w:rsidRPr="00066579" w:rsidRDefault="00066579" w:rsidP="00231665">
      <w:pPr>
        <w:spacing w:after="480" w:line="360" w:lineRule="auto"/>
        <w:ind w:left="720"/>
        <w:jc w:val="both"/>
        <w:rPr>
          <w:sz w:val="22"/>
          <w:szCs w:val="22"/>
        </w:rPr>
      </w:pPr>
      <w:r>
        <w:rPr>
          <w:sz w:val="22"/>
          <w:szCs w:val="22"/>
        </w:rPr>
        <w:t>‘</w:t>
      </w:r>
      <w:r w:rsidR="003A6D82" w:rsidRPr="00066579">
        <w:rPr>
          <w:sz w:val="22"/>
          <w:szCs w:val="22"/>
        </w:rPr>
        <w:t>Dat ‘n koper dus ‘n kontraktuele skadevergoedingseis weens uitwinning teen sy verkoper mag hê, is opsigself geen antwoord op die koper se deliktuele skadevergoedingseis teen die dief (wat die saak aan die verkoper verkoop het) nie. Maar waar die koper wat uitgewin word óf van die dief óf van sy voorganger in titel daadwerklike betaling ontvang, ter af van sy eis ex delicto of ex c</w:t>
      </w:r>
      <w:r w:rsidR="00522EF9" w:rsidRPr="00066579">
        <w:rPr>
          <w:sz w:val="22"/>
          <w:szCs w:val="22"/>
        </w:rPr>
        <w:t>o</w:t>
      </w:r>
      <w:r w:rsidR="003A6D82" w:rsidRPr="00066579">
        <w:rPr>
          <w:sz w:val="22"/>
          <w:szCs w:val="22"/>
        </w:rPr>
        <w:t>ntractu</w:t>
      </w:r>
      <w:r w:rsidR="00522EF9" w:rsidRPr="00066579">
        <w:rPr>
          <w:sz w:val="22"/>
          <w:szCs w:val="22"/>
        </w:rPr>
        <w:t>, na gelang van die geval, verminder dit die omvang van die skade wat hy ly end us van sy eis. B</w:t>
      </w:r>
      <w:r w:rsidR="003A6D82" w:rsidRPr="00066579">
        <w:rPr>
          <w:sz w:val="22"/>
          <w:szCs w:val="22"/>
        </w:rPr>
        <w:t xml:space="preserve">etaling </w:t>
      </w:r>
      <w:r w:rsidR="00522EF9" w:rsidRPr="00066579">
        <w:rPr>
          <w:sz w:val="22"/>
          <w:szCs w:val="22"/>
        </w:rPr>
        <w:t>of waarde ter delging of vervreemding van die vorderingsreg moet dus wel in ag geneem word. En dit is presies waar die knop, om die redes wat volg, in die onderhawige geval vir die eiser lê</w:t>
      </w:r>
      <w:r w:rsidR="00004F0C">
        <w:rPr>
          <w:sz w:val="22"/>
          <w:szCs w:val="22"/>
        </w:rPr>
        <w:t>.</w:t>
      </w:r>
      <w:r w:rsidR="00522EF9" w:rsidRPr="00066579">
        <w:rPr>
          <w:sz w:val="22"/>
          <w:szCs w:val="22"/>
        </w:rPr>
        <w:t>’</w:t>
      </w:r>
    </w:p>
    <w:p w14:paraId="6C7DB577" w14:textId="17A8B581" w:rsidR="002B791F" w:rsidRPr="00705CA5" w:rsidRDefault="00705CA5" w:rsidP="00705CA5">
      <w:pPr>
        <w:spacing w:after="480" w:line="360" w:lineRule="auto"/>
        <w:ind w:left="720" w:hanging="720"/>
        <w:jc w:val="both"/>
      </w:pPr>
      <w:r w:rsidRPr="00705CA5">
        <w:lastRenderedPageBreak/>
        <w:t>[1</w:t>
      </w:r>
      <w:r w:rsidR="000B734A">
        <w:t>1</w:t>
      </w:r>
      <w:r w:rsidRPr="00705CA5">
        <w:t>]</w:t>
      </w:r>
      <w:r w:rsidRPr="00705CA5">
        <w:tab/>
      </w:r>
      <w:r w:rsidR="00066579">
        <w:t xml:space="preserve">Following </w:t>
      </w:r>
      <w:r w:rsidR="00CB5150">
        <w:t xml:space="preserve">on that </w:t>
      </w:r>
      <w:r w:rsidR="002B791F" w:rsidRPr="00705CA5">
        <w:t xml:space="preserve">Nienaber JA dealt with the issue of </w:t>
      </w:r>
      <w:r w:rsidR="00341F5C" w:rsidRPr="00705CA5">
        <w:t xml:space="preserve">the </w:t>
      </w:r>
      <w:r w:rsidR="002B791F" w:rsidRPr="00705CA5">
        <w:t>onus</w:t>
      </w:r>
      <w:r w:rsidR="00341F5C" w:rsidRPr="00705CA5">
        <w:t xml:space="preserve"> in respect of the “</w:t>
      </w:r>
      <w:r w:rsidR="00913D94">
        <w:t xml:space="preserve">compensatory </w:t>
      </w:r>
      <w:r w:rsidR="00341F5C" w:rsidRPr="00705CA5">
        <w:t>benefit</w:t>
      </w:r>
      <w:r>
        <w:t>”</w:t>
      </w:r>
      <w:r w:rsidR="00341F5C" w:rsidRPr="00705CA5">
        <w:t xml:space="preserve"> that the buyer obtained </w:t>
      </w:r>
      <w:r w:rsidR="002B791F" w:rsidRPr="00705CA5">
        <w:t>as follows:</w:t>
      </w:r>
    </w:p>
    <w:p w14:paraId="03141B48" w14:textId="009EDE22" w:rsidR="0087614E" w:rsidRDefault="002B791F" w:rsidP="002B791F">
      <w:pPr>
        <w:pStyle w:val="Level1"/>
        <w:numPr>
          <w:ilvl w:val="0"/>
          <w:numId w:val="0"/>
        </w:numPr>
        <w:spacing w:line="360" w:lineRule="auto"/>
        <w:ind w:left="720"/>
        <w:rPr>
          <w:iCs/>
          <w:sz w:val="22"/>
          <w:lang w:val="en-GB"/>
        </w:rPr>
      </w:pPr>
      <w:r>
        <w:rPr>
          <w:iCs/>
          <w:sz w:val="22"/>
          <w:lang w:val="en-GB"/>
        </w:rPr>
        <w:t>‘</w:t>
      </w:r>
      <w:r w:rsidR="00066579">
        <w:rPr>
          <w:iCs/>
          <w:sz w:val="22"/>
          <w:lang w:val="en-GB"/>
        </w:rPr>
        <w:t>[25]</w:t>
      </w:r>
      <w:r w:rsidR="00066579">
        <w:rPr>
          <w:iCs/>
          <w:sz w:val="22"/>
          <w:lang w:val="en-GB"/>
        </w:rPr>
        <w:tab/>
      </w:r>
      <w:r w:rsidR="00CB5150">
        <w:rPr>
          <w:iCs/>
          <w:sz w:val="22"/>
          <w:lang w:val="en-GB"/>
        </w:rPr>
        <w:t>Die eiser se verde</w:t>
      </w:r>
      <w:r w:rsidR="00066579">
        <w:rPr>
          <w:iCs/>
          <w:sz w:val="22"/>
          <w:lang w:val="en-GB"/>
        </w:rPr>
        <w:t>re</w:t>
      </w:r>
      <w:r w:rsidR="00CB5150">
        <w:rPr>
          <w:iCs/>
          <w:sz w:val="22"/>
          <w:lang w:val="en-GB"/>
        </w:rPr>
        <w:t xml:space="preserve"> betoog</w:t>
      </w:r>
      <w:r w:rsidR="00066579">
        <w:rPr>
          <w:iCs/>
          <w:sz w:val="22"/>
          <w:lang w:val="en-GB"/>
        </w:rPr>
        <w:t xml:space="preserve">, dat die verweerder dit as ‘n spesifieke geskilpunt moes geopper het indien hy op die terugbetalings deur Pro-fit as ‘n verweer wou staatmaak, kan eweneens nie opgaan nie. Die Hof a quo het die betoog aanvaar. Ek nie. In die eerste plaas was die kwessie reeds op pleitstuk-stadium </w:t>
      </w:r>
      <w:r w:rsidR="00D36DC3">
        <w:rPr>
          <w:iCs/>
          <w:sz w:val="22"/>
          <w:lang w:val="en-GB"/>
        </w:rPr>
        <w:t>geopper. In die tweede plaas sien ek dit, andersm as die Hof a quo, nie as ‘n verskyningsvorm van die algemene re</w:t>
      </w:r>
      <w:r w:rsidR="00D36DC3">
        <w:rPr>
          <w:rFonts w:cs="Arial"/>
          <w:iCs/>
          <w:sz w:val="22"/>
          <w:lang w:val="en-GB"/>
        </w:rPr>
        <w:t>ë</w:t>
      </w:r>
      <w:r w:rsidR="00D36DC3">
        <w:rPr>
          <w:iCs/>
          <w:sz w:val="22"/>
          <w:lang w:val="en-GB"/>
        </w:rPr>
        <w:t>l dat ‘n benadeelde nie vergoeding kan verhaal wat hy redelikerwys kon vermy of verminder het nie (vgl Neethling, Potgieter en Visser aw te 228). Daardfie begsinsel is, net soos die res inter alios acta-beginsel, nie hier van toepassing nie. Dit gaan hier om die prim</w:t>
      </w:r>
      <w:r w:rsidR="00D36DC3">
        <w:rPr>
          <w:rFonts w:cs="Arial"/>
          <w:iCs/>
          <w:sz w:val="22"/>
          <w:lang w:val="en-GB"/>
        </w:rPr>
        <w:t>ê</w:t>
      </w:r>
      <w:r w:rsidR="00D36DC3">
        <w:rPr>
          <w:iCs/>
          <w:sz w:val="22"/>
          <w:lang w:val="en-GB"/>
        </w:rPr>
        <w:t xml:space="preserve">re vraag of die eiser die omvang van sy skade bewys het, nie of hy sy bewese skade redelikerwys kon beperk het nie. Waar ‘n eiser, soos hier, die omvang van sy skade prima facie bewys, berus dit by die verweerder om aan te toon dat daar sekere voordele is wat die eiser toekom en wat na regte van die skadevergoedingsbedrag afgetrek moet word </w:t>
      </w:r>
      <w:r>
        <w:rPr>
          <w:iCs/>
          <w:sz w:val="22"/>
          <w:lang w:val="en-GB"/>
        </w:rPr>
        <w:t>(vgl Visser en Potgieter Skadevergoedingsreg te 215</w:t>
      </w:r>
      <w:r w:rsidR="0087614E">
        <w:rPr>
          <w:iCs/>
          <w:sz w:val="22"/>
          <w:lang w:val="en-GB"/>
        </w:rPr>
        <w:t>:</w:t>
      </w:r>
    </w:p>
    <w:p w14:paraId="7A0EE233" w14:textId="1ECC40D0" w:rsidR="007A43EB" w:rsidRDefault="0087614E" w:rsidP="00C05EA7">
      <w:pPr>
        <w:pStyle w:val="Level1"/>
        <w:numPr>
          <w:ilvl w:val="0"/>
          <w:numId w:val="0"/>
        </w:numPr>
        <w:spacing w:line="360" w:lineRule="auto"/>
        <w:ind w:left="720"/>
        <w:rPr>
          <w:iCs/>
          <w:sz w:val="22"/>
          <w:lang w:val="en-GB"/>
        </w:rPr>
      </w:pPr>
      <w:r>
        <w:rPr>
          <w:iCs/>
          <w:sz w:val="22"/>
          <w:lang w:val="en-GB"/>
        </w:rPr>
        <w:t>‘</w:t>
      </w:r>
      <w:r w:rsidR="000D6582">
        <w:rPr>
          <w:iCs/>
          <w:sz w:val="22"/>
          <w:lang w:val="en-GB"/>
        </w:rPr>
        <w:t>The principle</w:t>
      </w:r>
      <w:r>
        <w:rPr>
          <w:iCs/>
          <w:sz w:val="22"/>
          <w:lang w:val="en-GB"/>
        </w:rPr>
        <w:t xml:space="preserve"> is well known that a plaintiff has the onus to prove the extent of his or her loss as well as how it should be quantified (expressed in an amount of money). However, </w:t>
      </w:r>
      <w:r w:rsidR="00C05EA7">
        <w:rPr>
          <w:iCs/>
          <w:sz w:val="22"/>
          <w:lang w:val="en-GB"/>
        </w:rPr>
        <w:t>in terms of the correct approach to the collateral source rule, it does not relate to the assessment of damage but concerns the normative question whether the particular benefits have to be deducted from an amount of damages; in other words</w:t>
      </w:r>
      <w:r w:rsidR="00235142">
        <w:rPr>
          <w:iCs/>
          <w:sz w:val="22"/>
          <w:lang w:val="en-GB"/>
        </w:rPr>
        <w:t>,</w:t>
      </w:r>
      <w:r w:rsidR="00C05EA7">
        <w:rPr>
          <w:iCs/>
          <w:sz w:val="22"/>
          <w:lang w:val="en-GB"/>
        </w:rPr>
        <w:t xml:space="preserve"> its relates to the adjustment of an amount of damages in favour of a defendant. It would therefore be logical to accept that, once a plaintiff has proved his or her damage and quantified such loss</w:t>
      </w:r>
      <w:r w:rsidR="007A43EB">
        <w:rPr>
          <w:iCs/>
          <w:sz w:val="22"/>
          <w:lang w:val="en-GB"/>
        </w:rPr>
        <w:t xml:space="preserve">, any subsequent reduction thereof in favour of the defendant is a matter that the latter has to prove. …However, if the incorrect theory is adopted that the collateral source rule relates to the assessment of damage, it will be for a plaintiff to prove that particular benefits do not reduce his or her damage (and damages).’ </w:t>
      </w:r>
    </w:p>
    <w:p w14:paraId="7E4B5C43" w14:textId="14613FD2" w:rsidR="002B791F" w:rsidRDefault="002B791F" w:rsidP="002B791F">
      <w:pPr>
        <w:pStyle w:val="Level1"/>
        <w:numPr>
          <w:ilvl w:val="0"/>
          <w:numId w:val="0"/>
        </w:numPr>
        <w:spacing w:line="360" w:lineRule="auto"/>
        <w:ind w:left="720"/>
        <w:rPr>
          <w:iCs/>
          <w:sz w:val="22"/>
          <w:lang w:val="en-GB"/>
        </w:rPr>
      </w:pPr>
      <w:r>
        <w:rPr>
          <w:iCs/>
          <w:sz w:val="22"/>
          <w:lang w:val="en-GB"/>
        </w:rPr>
        <w:t xml:space="preserve">Word daardie feit deur die </w:t>
      </w:r>
      <w:r w:rsidRPr="00F81390">
        <w:rPr>
          <w:i/>
          <w:iCs/>
          <w:sz w:val="22"/>
          <w:lang w:val="en-GB"/>
        </w:rPr>
        <w:t xml:space="preserve">verweerder </w:t>
      </w:r>
      <w:r w:rsidRPr="005049E6">
        <w:rPr>
          <w:i/>
          <w:iCs/>
          <w:sz w:val="22"/>
          <w:lang w:val="en-GB"/>
        </w:rPr>
        <w:t xml:space="preserve">bewys </w:t>
      </w:r>
      <w:r w:rsidRPr="00F81390">
        <w:rPr>
          <w:i/>
          <w:iCs/>
          <w:sz w:val="22"/>
          <w:lang w:val="en-GB"/>
        </w:rPr>
        <w:t>of deur die eiser erken,</w:t>
      </w:r>
      <w:r>
        <w:rPr>
          <w:iCs/>
          <w:sz w:val="22"/>
          <w:lang w:val="en-GB"/>
        </w:rPr>
        <w:t xml:space="preserve"> </w:t>
      </w:r>
      <w:r w:rsidRPr="00A91BEF">
        <w:rPr>
          <w:iCs/>
          <w:sz w:val="22"/>
          <w:lang w:val="en-GB"/>
        </w:rPr>
        <w:t xml:space="preserve">maar die omvang daarvan is onseker, berus dit by die eiser, wat beter as die verweerder daartoe in staat is, om dit te kwantifiseer, ten einde te bewys wat die balans is waarop hy teenoor die verweerder op betaling geregtig is. Doen hy dit nie, altemit omdat hy hom op 'n verkeerde beginsel beroep, loop hy die risiko dat hy nie die omvang van sy skade </w:t>
      </w:r>
      <w:r w:rsidRPr="00A91BEF">
        <w:rPr>
          <w:iCs/>
          <w:sz w:val="22"/>
          <w:lang w:val="en-GB"/>
        </w:rPr>
        <w:lastRenderedPageBreak/>
        <w:t>bewys het nie. Vir sover die eiser in die onderhawige geval terugbetalings van Pro-fit</w:t>
      </w:r>
      <w:r>
        <w:rPr>
          <w:iCs/>
          <w:sz w:val="22"/>
          <w:lang w:val="en-GB"/>
        </w:rPr>
        <w:t xml:space="preserve"> ontvang het, is die vergoeding wat hom toekom dermate verminder. As daar op die getuienis nie gesê kan word in watter mate die omvang van die eiser se skade deur sodanige betalings verminder is nie, is dit nie moontlik om te bepaal wat die balans van sy eis teen die verweerder is nie. Dit het by die eiser berus, wat hy maklik kon doen, om te bewys welke betalings</w:t>
      </w:r>
      <w:r w:rsidR="00235142">
        <w:rPr>
          <w:iCs/>
          <w:sz w:val="22"/>
          <w:lang w:val="en-GB"/>
        </w:rPr>
        <w:t xml:space="preserve"> </w:t>
      </w:r>
      <w:r>
        <w:rPr>
          <w:iCs/>
          <w:sz w:val="22"/>
          <w:lang w:val="en-GB"/>
        </w:rPr>
        <w:t>hy ter afbetaling van sy eis teen Pro-fit ontvang het, asook wat die samewerkingsooreenkoms presies daaroor bepaal het. Aangesien dit nie gebeur het nie, het die eiser nie die omvang van sy skade bewys nie. Die Hof a quo moes gevolglik absolusie van die instansie beveel het, eerder as om die eiser se eis te handhaaf.’</w:t>
      </w:r>
      <w:r w:rsidR="00AA1888">
        <w:rPr>
          <w:iCs/>
          <w:sz w:val="22"/>
          <w:lang w:val="en-GB"/>
        </w:rPr>
        <w:t xml:space="preserve"> </w:t>
      </w:r>
      <w:r w:rsidR="005049E6">
        <w:rPr>
          <w:iCs/>
          <w:sz w:val="22"/>
          <w:lang w:val="en-GB"/>
        </w:rPr>
        <w:t>(my underlining)</w:t>
      </w:r>
    </w:p>
    <w:p w14:paraId="1E1A7518" w14:textId="385B1E5D" w:rsidR="00235142" w:rsidRPr="00235142" w:rsidRDefault="002B791F" w:rsidP="004A578A">
      <w:pPr>
        <w:pStyle w:val="Level1"/>
        <w:numPr>
          <w:ilvl w:val="0"/>
          <w:numId w:val="0"/>
        </w:numPr>
        <w:spacing w:line="360" w:lineRule="auto"/>
        <w:ind w:left="720"/>
        <w:rPr>
          <w:szCs w:val="24"/>
        </w:rPr>
      </w:pPr>
      <w:r w:rsidRPr="00235142">
        <w:rPr>
          <w:iCs/>
          <w:szCs w:val="24"/>
          <w:lang w:val="en-GB"/>
        </w:rPr>
        <w:t>In a nutshell, the plaintiff bears the onus to prove its damages on a prima facie basis</w:t>
      </w:r>
      <w:r w:rsidR="005049E6">
        <w:rPr>
          <w:iCs/>
          <w:szCs w:val="24"/>
          <w:lang w:val="en-GB"/>
        </w:rPr>
        <w:t>.</w:t>
      </w:r>
      <w:r w:rsidR="00AA1888">
        <w:rPr>
          <w:iCs/>
          <w:szCs w:val="24"/>
          <w:lang w:val="en-GB"/>
        </w:rPr>
        <w:t xml:space="preserve"> </w:t>
      </w:r>
      <w:r w:rsidR="005049E6">
        <w:rPr>
          <w:iCs/>
          <w:szCs w:val="24"/>
          <w:lang w:val="en-GB"/>
        </w:rPr>
        <w:t>T</w:t>
      </w:r>
      <w:r w:rsidRPr="00235142">
        <w:rPr>
          <w:iCs/>
          <w:szCs w:val="24"/>
          <w:lang w:val="en-GB"/>
        </w:rPr>
        <w:t>o the extent that the defendant claim</w:t>
      </w:r>
      <w:r w:rsidR="00341F5C" w:rsidRPr="00235142">
        <w:rPr>
          <w:iCs/>
          <w:szCs w:val="24"/>
          <w:lang w:val="en-GB"/>
        </w:rPr>
        <w:t>ed</w:t>
      </w:r>
      <w:r w:rsidRPr="00235142">
        <w:rPr>
          <w:iCs/>
          <w:szCs w:val="24"/>
          <w:lang w:val="en-GB"/>
        </w:rPr>
        <w:t xml:space="preserve"> that the plaintiff obtained a benefit that must be taken into account in the overall quantific</w:t>
      </w:r>
      <w:r w:rsidR="00231665">
        <w:rPr>
          <w:iCs/>
          <w:szCs w:val="24"/>
          <w:lang w:val="en-GB"/>
        </w:rPr>
        <w:t>ation of the plaintiff</w:t>
      </w:r>
      <w:r w:rsidR="005049E6">
        <w:rPr>
          <w:iCs/>
          <w:szCs w:val="24"/>
          <w:lang w:val="en-GB"/>
        </w:rPr>
        <w:t>`</w:t>
      </w:r>
      <w:r w:rsidR="00231665">
        <w:rPr>
          <w:iCs/>
          <w:szCs w:val="24"/>
          <w:lang w:val="en-GB"/>
        </w:rPr>
        <w:t>s damages</w:t>
      </w:r>
      <w:r w:rsidR="005049E6">
        <w:rPr>
          <w:iCs/>
          <w:szCs w:val="24"/>
          <w:lang w:val="en-GB"/>
        </w:rPr>
        <w:t>,</w:t>
      </w:r>
      <w:r w:rsidR="00AA1888">
        <w:rPr>
          <w:iCs/>
          <w:szCs w:val="24"/>
          <w:lang w:val="en-GB"/>
        </w:rPr>
        <w:t xml:space="preserve"> </w:t>
      </w:r>
      <w:r w:rsidR="005049E6">
        <w:rPr>
          <w:iCs/>
          <w:szCs w:val="24"/>
          <w:lang w:val="en-GB"/>
        </w:rPr>
        <w:t>t</w:t>
      </w:r>
      <w:r w:rsidR="00231665">
        <w:rPr>
          <w:iCs/>
          <w:szCs w:val="24"/>
          <w:lang w:val="en-GB"/>
        </w:rPr>
        <w:t xml:space="preserve">he </w:t>
      </w:r>
      <w:r w:rsidRPr="00235142">
        <w:rPr>
          <w:iCs/>
          <w:szCs w:val="24"/>
          <w:lang w:val="en-GB"/>
        </w:rPr>
        <w:t xml:space="preserve">benefit must be proved by the defendant </w:t>
      </w:r>
      <w:r w:rsidR="00A91BEF">
        <w:rPr>
          <w:iCs/>
          <w:szCs w:val="24"/>
          <w:lang w:val="en-GB"/>
        </w:rPr>
        <w:t>(</w:t>
      </w:r>
      <w:r w:rsidRPr="00235142">
        <w:rPr>
          <w:iCs/>
          <w:szCs w:val="24"/>
          <w:lang w:val="en-GB"/>
        </w:rPr>
        <w:t>and therefore properly pleaded</w:t>
      </w:r>
      <w:r w:rsidR="00341F5C" w:rsidRPr="00235142">
        <w:rPr>
          <w:iCs/>
          <w:szCs w:val="24"/>
          <w:lang w:val="en-GB"/>
        </w:rPr>
        <w:t xml:space="preserve"> as held by the arbitrators</w:t>
      </w:r>
      <w:r w:rsidR="00906688">
        <w:rPr>
          <w:iCs/>
          <w:szCs w:val="24"/>
          <w:lang w:val="en-GB"/>
        </w:rPr>
        <w:t>)</w:t>
      </w:r>
      <w:r w:rsidR="00094FE6" w:rsidRPr="00235142">
        <w:rPr>
          <w:rStyle w:val="FootnoteReference"/>
          <w:iCs/>
          <w:szCs w:val="24"/>
          <w:lang w:val="en-GB"/>
        </w:rPr>
        <w:footnoteReference w:id="9"/>
      </w:r>
      <w:r w:rsidRPr="00235142">
        <w:rPr>
          <w:iCs/>
          <w:szCs w:val="24"/>
          <w:lang w:val="en-GB"/>
        </w:rPr>
        <w:t>,</w:t>
      </w:r>
      <w:r w:rsidR="00094FE6" w:rsidRPr="00235142">
        <w:rPr>
          <w:iCs/>
          <w:szCs w:val="24"/>
          <w:lang w:val="en-GB"/>
        </w:rPr>
        <w:t xml:space="preserve"> </w:t>
      </w:r>
      <w:r w:rsidRPr="00235142">
        <w:rPr>
          <w:iCs/>
          <w:szCs w:val="24"/>
          <w:lang w:val="en-GB"/>
        </w:rPr>
        <w:t xml:space="preserve">unless admitted by the plaintiff. Where the quantum of the benefit is uncertain the plaintiff is required to assist the court in </w:t>
      </w:r>
      <w:r w:rsidR="00A91BEF">
        <w:rPr>
          <w:iCs/>
          <w:szCs w:val="24"/>
          <w:lang w:val="en-GB"/>
        </w:rPr>
        <w:t xml:space="preserve">the </w:t>
      </w:r>
      <w:r w:rsidRPr="00235142">
        <w:rPr>
          <w:iCs/>
          <w:szCs w:val="24"/>
          <w:lang w:val="en-GB"/>
        </w:rPr>
        <w:t>quantification of the</w:t>
      </w:r>
      <w:r w:rsidR="00341F5C" w:rsidRPr="00235142">
        <w:rPr>
          <w:iCs/>
          <w:szCs w:val="24"/>
          <w:lang w:val="en-GB"/>
        </w:rPr>
        <w:t xml:space="preserve"> benefit, </w:t>
      </w:r>
      <w:r w:rsidR="00A91BEF">
        <w:rPr>
          <w:iCs/>
          <w:szCs w:val="24"/>
          <w:lang w:val="en-GB"/>
        </w:rPr>
        <w:t xml:space="preserve">to the </w:t>
      </w:r>
      <w:r w:rsidRPr="00235142">
        <w:rPr>
          <w:iCs/>
          <w:szCs w:val="24"/>
          <w:lang w:val="en-GB"/>
        </w:rPr>
        <w:t>extent to which the damages</w:t>
      </w:r>
      <w:r w:rsidR="00341F5C" w:rsidRPr="00235142">
        <w:rPr>
          <w:iCs/>
          <w:szCs w:val="24"/>
          <w:lang w:val="en-GB"/>
        </w:rPr>
        <w:t xml:space="preserve"> proved by the plaintiff </w:t>
      </w:r>
      <w:r w:rsidRPr="00235142">
        <w:rPr>
          <w:iCs/>
          <w:szCs w:val="24"/>
          <w:lang w:val="en-GB"/>
        </w:rPr>
        <w:t>must be reduced.</w:t>
      </w:r>
      <w:r w:rsidR="004A578A" w:rsidRPr="00235142">
        <w:rPr>
          <w:szCs w:val="24"/>
        </w:rPr>
        <w:t xml:space="preserve"> </w:t>
      </w:r>
    </w:p>
    <w:p w14:paraId="12ECEDB8" w14:textId="085FE6EB" w:rsidR="00341F5C" w:rsidRDefault="004A578A" w:rsidP="004A578A">
      <w:pPr>
        <w:pStyle w:val="Level1"/>
        <w:numPr>
          <w:ilvl w:val="0"/>
          <w:numId w:val="0"/>
        </w:numPr>
        <w:spacing w:line="360" w:lineRule="auto"/>
        <w:ind w:left="720"/>
        <w:rPr>
          <w:iCs/>
          <w:sz w:val="22"/>
          <w:lang w:val="en-GB"/>
        </w:rPr>
      </w:pPr>
      <w:r>
        <w:t>The “onus challenge” related to application of the decision of Nienaber AJ in the context of an employment relation</w:t>
      </w:r>
      <w:r w:rsidR="00172620">
        <w:t>ship</w:t>
      </w:r>
      <w:r>
        <w:t xml:space="preserve"> while the alternative “constitutional duty” challenge related to its development </w:t>
      </w:r>
      <w:r w:rsidR="00231665">
        <w:t xml:space="preserve">in terms of the Constitution </w:t>
      </w:r>
      <w:r>
        <w:t xml:space="preserve">in that </w:t>
      </w:r>
      <w:r>
        <w:lastRenderedPageBreak/>
        <w:t>context.</w:t>
      </w:r>
      <w:r w:rsidR="00AA60AC">
        <w:t xml:space="preserve"> </w:t>
      </w:r>
      <w:r w:rsidR="000D6582">
        <w:t>I will revert to these</w:t>
      </w:r>
      <w:r>
        <w:t xml:space="preserve"> issue</w:t>
      </w:r>
      <w:r w:rsidR="000D6582">
        <w:t>s</w:t>
      </w:r>
      <w:r>
        <w:t xml:space="preserve"> and </w:t>
      </w:r>
      <w:r w:rsidR="005049E6">
        <w:t>various</w:t>
      </w:r>
      <w:r>
        <w:t xml:space="preserve"> ways it was contended for on behalf of Mr Roux. </w:t>
      </w:r>
    </w:p>
    <w:p w14:paraId="779A380A" w14:textId="5FD04135" w:rsidR="00AD68FE" w:rsidRDefault="00D253E8" w:rsidP="00D253E8">
      <w:pPr>
        <w:spacing w:after="480" w:line="360" w:lineRule="auto"/>
        <w:ind w:left="720" w:hanging="720"/>
        <w:jc w:val="both"/>
      </w:pPr>
      <w:r>
        <w:t>[1</w:t>
      </w:r>
      <w:r w:rsidR="000B734A">
        <w:t>2</w:t>
      </w:r>
      <w:r>
        <w:t>]</w:t>
      </w:r>
      <w:r>
        <w:tab/>
      </w:r>
      <w:r w:rsidR="00C96031">
        <w:t xml:space="preserve">In the heads of argument filed </w:t>
      </w:r>
      <w:r w:rsidR="00231665">
        <w:t>by counsel for</w:t>
      </w:r>
      <w:r w:rsidR="00C96031">
        <w:t xml:space="preserve"> Mr Roux</w:t>
      </w:r>
      <w:r w:rsidR="00DD06B4">
        <w:t>,</w:t>
      </w:r>
      <w:r w:rsidR="00C96031">
        <w:t xml:space="preserve"> and </w:t>
      </w:r>
      <w:r w:rsidR="00067F62">
        <w:t xml:space="preserve">to </w:t>
      </w:r>
      <w:r w:rsidR="00C96031">
        <w:t xml:space="preserve">what counsel for the University referred to as the cornerstone </w:t>
      </w:r>
      <w:r w:rsidR="002C6B38">
        <w:t xml:space="preserve">of </w:t>
      </w:r>
      <w:r w:rsidR="00C96031">
        <w:t xml:space="preserve">the </w:t>
      </w:r>
      <w:r w:rsidR="004E59A0">
        <w:t>challenges</w:t>
      </w:r>
      <w:r w:rsidR="00C96031">
        <w:t xml:space="preserve"> on onus, that of special damages and </w:t>
      </w:r>
      <w:r w:rsidR="004E59A0">
        <w:t>that based on the Constitution</w:t>
      </w:r>
      <w:r w:rsidR="00D52F7C">
        <w:t>,</w:t>
      </w:r>
      <w:r w:rsidR="004E59A0">
        <w:t xml:space="preserve"> </w:t>
      </w:r>
      <w:r w:rsidR="00C96031">
        <w:t>it was submitted</w:t>
      </w:r>
      <w:r w:rsidR="00B452EB">
        <w:t xml:space="preserve"> on behalf of Mr Roux</w:t>
      </w:r>
      <w:r w:rsidR="00C96031">
        <w:t xml:space="preserve"> that</w:t>
      </w:r>
      <w:r w:rsidR="00D52F7C">
        <w:t>,</w:t>
      </w:r>
      <w:r w:rsidR="00C96031">
        <w:t xml:space="preserve"> </w:t>
      </w:r>
      <w:r w:rsidR="00C96031" w:rsidRPr="00826CB3">
        <w:rPr>
          <w:i/>
        </w:rPr>
        <w:t>‘</w:t>
      </w:r>
      <w:r w:rsidRPr="00826CB3">
        <w:rPr>
          <w:i/>
        </w:rPr>
        <w:t>i</w:t>
      </w:r>
      <w:r w:rsidR="00C96031" w:rsidRPr="00826CB3">
        <w:rPr>
          <w:i/>
        </w:rPr>
        <w:t>t is common cause that expenditure was legitimate in the sense that it fell within the scope of the University’s business and benefitted the University’</w:t>
      </w:r>
      <w:r w:rsidR="00C96031">
        <w:t xml:space="preserve">. From that premise, </w:t>
      </w:r>
      <w:r w:rsidR="00C246EA">
        <w:t xml:space="preserve">Mr </w:t>
      </w:r>
      <w:r w:rsidR="00C96031">
        <w:t xml:space="preserve">Roux </w:t>
      </w:r>
      <w:r w:rsidR="00336B0E">
        <w:t>contended that</w:t>
      </w:r>
      <w:r w:rsidR="004E59A0">
        <w:t xml:space="preserve"> </w:t>
      </w:r>
      <w:r w:rsidR="00C96031">
        <w:t xml:space="preserve">a question allegedly not answered by the </w:t>
      </w:r>
      <w:r w:rsidR="00DD06B4">
        <w:t>A</w:t>
      </w:r>
      <w:r w:rsidR="00C246EA">
        <w:t xml:space="preserve">ppeal </w:t>
      </w:r>
      <w:r w:rsidR="00DD06B4">
        <w:t>T</w:t>
      </w:r>
      <w:r w:rsidR="00C96031">
        <w:t>ribunal was ‘What is the loss if the University’s funds are spent on one legitimate cause (</w:t>
      </w:r>
      <w:r w:rsidR="00352EE8">
        <w:t>as identified by</w:t>
      </w:r>
      <w:r w:rsidR="00C246EA">
        <w:t xml:space="preserve"> Mr </w:t>
      </w:r>
      <w:r w:rsidR="00352EE8">
        <w:t>Roux rather than another</w:t>
      </w:r>
      <w:r w:rsidR="00B452EB">
        <w:t>?</w:t>
      </w:r>
      <w:r w:rsidR="00352EE8">
        <w:t>) In essence</w:t>
      </w:r>
      <w:r w:rsidR="00C246EA">
        <w:t>,</w:t>
      </w:r>
      <w:r>
        <w:t xml:space="preserve"> </w:t>
      </w:r>
      <w:r w:rsidR="00C246EA">
        <w:t xml:space="preserve">Mr </w:t>
      </w:r>
      <w:r w:rsidR="00352EE8">
        <w:t>Roux contended that the impugned and admittedly unauthorised</w:t>
      </w:r>
      <w:r w:rsidR="004E59A0">
        <w:t xml:space="preserve"> allocations (</w:t>
      </w:r>
      <w:r w:rsidR="00045C18">
        <w:t xml:space="preserve">to </w:t>
      </w:r>
      <w:r w:rsidR="00D01B67">
        <w:t xml:space="preserve">which he </w:t>
      </w:r>
      <w:r w:rsidR="000D6582">
        <w:t>c</w:t>
      </w:r>
      <w:r w:rsidR="00336B0E">
        <w:t xml:space="preserve">onceded </w:t>
      </w:r>
      <w:r w:rsidR="004E59A0">
        <w:t xml:space="preserve">in these proceedings) and subsequent </w:t>
      </w:r>
      <w:r w:rsidR="00352EE8">
        <w:t xml:space="preserve">expenditure was incurred in the scope of the University’s business and for its benefit. That being so, </w:t>
      </w:r>
      <w:r w:rsidR="004E59A0">
        <w:t>it was contended on behalf of Mr Roux</w:t>
      </w:r>
      <w:r w:rsidR="003D4EA2">
        <w:t>,</w:t>
      </w:r>
      <w:r w:rsidR="004E59A0">
        <w:t xml:space="preserve"> </w:t>
      </w:r>
      <w:r w:rsidR="00352EE8">
        <w:t xml:space="preserve">that in the absence of the University disproving the alleged </w:t>
      </w:r>
      <w:r w:rsidR="00C246EA">
        <w:t>“</w:t>
      </w:r>
      <w:r w:rsidR="00352EE8">
        <w:t>common cause benefits or value</w:t>
      </w:r>
      <w:r w:rsidR="00C246EA">
        <w:t>”</w:t>
      </w:r>
      <w:r w:rsidR="00352EE8">
        <w:t xml:space="preserve"> received by </w:t>
      </w:r>
      <w:r w:rsidR="004E59A0">
        <w:t>it,</w:t>
      </w:r>
      <w:r w:rsidR="00352EE8">
        <w:t xml:space="preserve"> the University had failed to prove that it suffered a</w:t>
      </w:r>
      <w:r w:rsidR="00C246EA">
        <w:t xml:space="preserve">ny </w:t>
      </w:r>
      <w:r w:rsidR="00352EE8">
        <w:t xml:space="preserve">loss. </w:t>
      </w:r>
    </w:p>
    <w:p w14:paraId="7264DB47" w14:textId="6ECA9370" w:rsidR="00352EE8" w:rsidRDefault="00D253E8" w:rsidP="00D253E8">
      <w:pPr>
        <w:spacing w:after="480" w:line="360" w:lineRule="auto"/>
        <w:ind w:left="720" w:hanging="720"/>
        <w:jc w:val="both"/>
      </w:pPr>
      <w:r>
        <w:t>[1</w:t>
      </w:r>
      <w:r w:rsidR="000B734A">
        <w:t>3</w:t>
      </w:r>
      <w:r>
        <w:t>]</w:t>
      </w:r>
      <w:r>
        <w:tab/>
      </w:r>
      <w:r w:rsidR="00352EE8">
        <w:t>Counsel for the University contended that th</w:t>
      </w:r>
      <w:r w:rsidR="00C246EA">
        <w:t>e</w:t>
      </w:r>
      <w:r w:rsidR="00352EE8">
        <w:t xml:space="preserve"> </w:t>
      </w:r>
      <w:r w:rsidR="00260006">
        <w:t>“</w:t>
      </w:r>
      <w:r w:rsidR="00352EE8">
        <w:t>postulate</w:t>
      </w:r>
      <w:r w:rsidR="00260006">
        <w:t>”</w:t>
      </w:r>
      <w:r w:rsidR="00352EE8">
        <w:t xml:space="preserve"> that the expenditure was legitimate and resulted in a benefit to the University </w:t>
      </w:r>
      <w:r w:rsidR="00336B0E">
        <w:t>was both</w:t>
      </w:r>
      <w:r w:rsidR="00C246EA">
        <w:t xml:space="preserve"> f</w:t>
      </w:r>
      <w:r w:rsidR="00352EE8">
        <w:t xml:space="preserve">actually wrong and made without any proper reference to the </w:t>
      </w:r>
      <w:r w:rsidR="00C246EA">
        <w:t xml:space="preserve">actual </w:t>
      </w:r>
      <w:r w:rsidR="00352EE8">
        <w:t>awards</w:t>
      </w:r>
      <w:r w:rsidR="004E59A0">
        <w:t xml:space="preserve"> by the arbitrators</w:t>
      </w:r>
      <w:r w:rsidR="00352EE8">
        <w:t xml:space="preserve">, the affidavits filed in these proceedings and to </w:t>
      </w:r>
      <w:r w:rsidR="00C246EA">
        <w:t xml:space="preserve">legal </w:t>
      </w:r>
      <w:r w:rsidR="00352EE8">
        <w:t xml:space="preserve">authority. </w:t>
      </w:r>
      <w:r w:rsidR="00260006">
        <w:t xml:space="preserve">The University </w:t>
      </w:r>
      <w:r w:rsidR="00352EE8">
        <w:t xml:space="preserve">contended that in considering the findings of the arbitrators, </w:t>
      </w:r>
      <w:r w:rsidR="00C246EA">
        <w:t xml:space="preserve">the pleaded position adopted by Mr </w:t>
      </w:r>
      <w:r w:rsidR="00352EE8">
        <w:t>Roux’s during the trial, the</w:t>
      </w:r>
      <w:r w:rsidR="002355D0">
        <w:t xml:space="preserve"> disputed contentions in the</w:t>
      </w:r>
      <w:r w:rsidR="00352EE8">
        <w:t xml:space="preserve"> answering affidavit </w:t>
      </w:r>
      <w:r w:rsidR="002355D0">
        <w:t>of the University</w:t>
      </w:r>
      <w:r w:rsidR="00B452EB">
        <w:t xml:space="preserve"> in these proceedings </w:t>
      </w:r>
      <w:r w:rsidR="00352EE8">
        <w:t xml:space="preserve">and </w:t>
      </w:r>
      <w:r w:rsidR="002355D0">
        <w:t xml:space="preserve">Mr </w:t>
      </w:r>
      <w:r w:rsidR="00352EE8">
        <w:t>Roux’s reply thereto</w:t>
      </w:r>
      <w:r w:rsidR="002355D0">
        <w:t>,</w:t>
      </w:r>
      <w:r w:rsidR="00352EE8">
        <w:t xml:space="preserve"> the </w:t>
      </w:r>
      <w:r w:rsidR="00231665">
        <w:t>claims</w:t>
      </w:r>
      <w:r w:rsidR="002355D0">
        <w:t xml:space="preserve"> that it was both common cause or proven that the expenditure was both legitimate and made in the course </w:t>
      </w:r>
      <w:r w:rsidR="004E59A0">
        <w:t xml:space="preserve">of </w:t>
      </w:r>
      <w:r w:rsidR="002355D0">
        <w:t xml:space="preserve">the business of the University </w:t>
      </w:r>
      <w:r w:rsidR="00352EE8">
        <w:t>and the submissions</w:t>
      </w:r>
      <w:r w:rsidR="002355D0">
        <w:t xml:space="preserve"> that flowed </w:t>
      </w:r>
      <w:r w:rsidR="00352EE8">
        <w:t>therefrom w</w:t>
      </w:r>
      <w:r w:rsidR="002355D0">
        <w:t xml:space="preserve">ere </w:t>
      </w:r>
      <w:r w:rsidR="00352EE8">
        <w:t>no more than perplexing</w:t>
      </w:r>
      <w:r w:rsidR="004E59A0">
        <w:t xml:space="preserve"> and entirely without merit</w:t>
      </w:r>
      <w:r w:rsidR="00352EE8">
        <w:t>.</w:t>
      </w:r>
      <w:r w:rsidR="002355D0">
        <w:t xml:space="preserve"> </w:t>
      </w:r>
    </w:p>
    <w:p w14:paraId="223D388B" w14:textId="5D45F765" w:rsidR="00352EE8" w:rsidRDefault="00D253E8" w:rsidP="00D253E8">
      <w:pPr>
        <w:spacing w:after="480" w:line="360" w:lineRule="auto"/>
        <w:ind w:left="720" w:hanging="720"/>
        <w:jc w:val="both"/>
      </w:pPr>
      <w:r>
        <w:lastRenderedPageBreak/>
        <w:t>[1</w:t>
      </w:r>
      <w:r w:rsidR="000B734A">
        <w:t>4</w:t>
      </w:r>
      <w:r>
        <w:t>]</w:t>
      </w:r>
      <w:r>
        <w:tab/>
      </w:r>
      <w:r w:rsidR="00352EE8">
        <w:t xml:space="preserve">It </w:t>
      </w:r>
      <w:r w:rsidR="00D01B67">
        <w:t>is therefore</w:t>
      </w:r>
      <w:r w:rsidR="00352EE8">
        <w:t xml:space="preserve"> necessary to consider what exactly the factual findings</w:t>
      </w:r>
      <w:r w:rsidR="008B1C03">
        <w:t xml:space="preserve"> were</w:t>
      </w:r>
      <w:r w:rsidR="00352EE8">
        <w:t xml:space="preserve"> of both the </w:t>
      </w:r>
      <w:r w:rsidR="008B1C03">
        <w:t>I</w:t>
      </w:r>
      <w:r w:rsidR="00352EE8">
        <w:t xml:space="preserve">nitial </w:t>
      </w:r>
      <w:r w:rsidR="008B1C03">
        <w:t>A</w:t>
      </w:r>
      <w:r w:rsidR="00352EE8">
        <w:t xml:space="preserve">rbitrator and the </w:t>
      </w:r>
      <w:r w:rsidR="008B1C03">
        <w:t>A</w:t>
      </w:r>
      <w:r w:rsidR="00352EE8">
        <w:t>ppeal</w:t>
      </w:r>
      <w:r w:rsidR="00B452EB">
        <w:t xml:space="preserve"> </w:t>
      </w:r>
      <w:r w:rsidR="008B1C03">
        <w:t>T</w:t>
      </w:r>
      <w:r w:rsidR="00B452EB">
        <w:t>ribunal</w:t>
      </w:r>
      <w:r w:rsidR="00352EE8">
        <w:t xml:space="preserve"> with regard to the issue</w:t>
      </w:r>
      <w:r w:rsidR="00B452EB">
        <w:t>s</w:t>
      </w:r>
      <w:r w:rsidR="00352EE8">
        <w:t xml:space="preserve"> as to whether the University obtained any benefit as a result of what had been</w:t>
      </w:r>
      <w:r w:rsidR="002355D0">
        <w:t xml:space="preserve"> proved to have been both </w:t>
      </w:r>
      <w:r w:rsidR="00352EE8">
        <w:t xml:space="preserve">the unlawful conduct </w:t>
      </w:r>
      <w:r w:rsidR="0000185F">
        <w:t xml:space="preserve">on </w:t>
      </w:r>
      <w:r w:rsidR="00CF0602">
        <w:t xml:space="preserve">the part of Mr Roux </w:t>
      </w:r>
      <w:r w:rsidR="0000185F">
        <w:t xml:space="preserve">and whether such expenditure was legitimate </w:t>
      </w:r>
      <w:r w:rsidR="008F1810">
        <w:t>and in the scope of the business of the University.</w:t>
      </w:r>
    </w:p>
    <w:p w14:paraId="21AEE8D1" w14:textId="1565EF06" w:rsidR="008F1810" w:rsidRDefault="00D253E8" w:rsidP="00D253E8">
      <w:pPr>
        <w:spacing w:after="480" w:line="360" w:lineRule="auto"/>
        <w:ind w:left="720" w:hanging="720"/>
        <w:jc w:val="both"/>
      </w:pPr>
      <w:r>
        <w:t>[1</w:t>
      </w:r>
      <w:r w:rsidR="000B734A">
        <w:t>5</w:t>
      </w:r>
      <w:r>
        <w:t>]</w:t>
      </w:r>
      <w:r>
        <w:tab/>
      </w:r>
      <w:r w:rsidR="008F1810">
        <w:t xml:space="preserve">In an attempt to </w:t>
      </w:r>
      <w:r w:rsidR="00CF0602">
        <w:t>bolster</w:t>
      </w:r>
      <w:r w:rsidR="00BF3109">
        <w:t xml:space="preserve"> the </w:t>
      </w:r>
      <w:r w:rsidR="008F1810">
        <w:t>contention that the University had in fact received a benefit as a result of the unlawful conduct of</w:t>
      </w:r>
      <w:r w:rsidR="00CF0602">
        <w:t xml:space="preserve"> Mr</w:t>
      </w:r>
      <w:r w:rsidR="008F1810">
        <w:t xml:space="preserve"> Roux</w:t>
      </w:r>
      <w:r w:rsidR="00B452EB">
        <w:t xml:space="preserve"> and that the expenditure was legitimate and made within the scope of the business of the University,</w:t>
      </w:r>
      <w:r w:rsidR="00CF0602">
        <w:t xml:space="preserve"> his</w:t>
      </w:r>
      <w:r w:rsidR="008F1810">
        <w:t xml:space="preserve"> counsel filed an extensive</w:t>
      </w:r>
      <w:r w:rsidR="00D01B67">
        <w:t xml:space="preserve"> pre-argument </w:t>
      </w:r>
      <w:r w:rsidR="00902769">
        <w:t>N</w:t>
      </w:r>
      <w:r w:rsidR="008F1810">
        <w:t>ote</w:t>
      </w:r>
      <w:r>
        <w:t xml:space="preserve"> </w:t>
      </w:r>
      <w:r w:rsidR="00D01B67">
        <w:t>(the Note)</w:t>
      </w:r>
      <w:r w:rsidR="008F1810">
        <w:t xml:space="preserve"> with particular references to </w:t>
      </w:r>
      <w:r w:rsidR="00D01B67">
        <w:t xml:space="preserve">extracts </w:t>
      </w:r>
      <w:r w:rsidR="00B3099B">
        <w:t>of</w:t>
      </w:r>
      <w:r w:rsidR="00D01B67">
        <w:t xml:space="preserve"> </w:t>
      </w:r>
      <w:r w:rsidR="008F1810">
        <w:t>evidence in the affidavit</w:t>
      </w:r>
      <w:r w:rsidR="00CF0602">
        <w:t>s</w:t>
      </w:r>
      <w:r w:rsidR="008F1810">
        <w:t xml:space="preserve"> filed</w:t>
      </w:r>
      <w:r w:rsidR="00CF0602">
        <w:t xml:space="preserve"> in these proceedings, </w:t>
      </w:r>
      <w:r w:rsidR="008F1810">
        <w:t xml:space="preserve"> </w:t>
      </w:r>
      <w:r w:rsidR="00CF0602">
        <w:t xml:space="preserve">the </w:t>
      </w:r>
      <w:r w:rsidR="008F1810">
        <w:t xml:space="preserve">findings by both the </w:t>
      </w:r>
      <w:r w:rsidR="008B1C03">
        <w:t>I</w:t>
      </w:r>
      <w:r w:rsidR="008F1810">
        <w:t xml:space="preserve">nitial </w:t>
      </w:r>
      <w:r w:rsidR="008B1C03">
        <w:t>A</w:t>
      </w:r>
      <w:r w:rsidR="008F1810">
        <w:t xml:space="preserve">rbitrator and the </w:t>
      </w:r>
      <w:r w:rsidR="00B3099B">
        <w:t>a</w:t>
      </w:r>
      <w:r w:rsidR="008F1810">
        <w:t xml:space="preserve">ppeal </w:t>
      </w:r>
      <w:r w:rsidR="00B3099B">
        <w:t>t</w:t>
      </w:r>
      <w:r w:rsidR="008F1810">
        <w:t>ribunal with regard to  alleged benefits</w:t>
      </w:r>
      <w:r w:rsidR="00CF0602">
        <w:t xml:space="preserve"> obtained by the University and crucially </w:t>
      </w:r>
      <w:r w:rsidR="008F1810">
        <w:t>whether the expenditure</w:t>
      </w:r>
      <w:r w:rsidR="00CF0602">
        <w:t xml:space="preserve"> at the hand of Mr Roux </w:t>
      </w:r>
      <w:r w:rsidR="008B1C03">
        <w:t xml:space="preserve">was legitimate </w:t>
      </w:r>
      <w:r w:rsidR="008F1810">
        <w:t>fell within the scope of the</w:t>
      </w:r>
      <w:r w:rsidR="00CF0602">
        <w:t xml:space="preserve"> business of the </w:t>
      </w:r>
      <w:r w:rsidR="008F1810">
        <w:t>University</w:t>
      </w:r>
      <w:r w:rsidR="008B1C03">
        <w:t>.</w:t>
      </w:r>
    </w:p>
    <w:p w14:paraId="4E2655DE" w14:textId="4B482D28" w:rsidR="008F1810" w:rsidRDefault="00D253E8" w:rsidP="00D253E8">
      <w:pPr>
        <w:spacing w:after="480" w:line="360" w:lineRule="auto"/>
        <w:ind w:left="720" w:hanging="720"/>
        <w:jc w:val="both"/>
      </w:pPr>
      <w:r>
        <w:t>[1</w:t>
      </w:r>
      <w:r w:rsidR="000B734A">
        <w:t>6</w:t>
      </w:r>
      <w:r>
        <w:t>]</w:t>
      </w:r>
      <w:r>
        <w:tab/>
      </w:r>
      <w:r w:rsidR="008F1810">
        <w:t xml:space="preserve">After </w:t>
      </w:r>
      <w:r w:rsidR="00D979B4">
        <w:t xml:space="preserve">a </w:t>
      </w:r>
      <w:r w:rsidR="008F1810">
        <w:t>careful consideration of the affidavits filed by the parties in th</w:t>
      </w:r>
      <w:r w:rsidR="008C7DE3">
        <w:t>e</w:t>
      </w:r>
      <w:r w:rsidR="008F1810">
        <w:t xml:space="preserve"> application with regard to th</w:t>
      </w:r>
      <w:r w:rsidR="00CF0602">
        <w:t xml:space="preserve">ese </w:t>
      </w:r>
      <w:r w:rsidR="008F1810">
        <w:t>disputed contention</w:t>
      </w:r>
      <w:r w:rsidR="00CF0602">
        <w:t>s</w:t>
      </w:r>
      <w:r w:rsidR="008F1810">
        <w:t xml:space="preserve"> and after a lengthy debate with counsel</w:t>
      </w:r>
      <w:r w:rsidR="00D979B4">
        <w:t xml:space="preserve"> for both parties </w:t>
      </w:r>
      <w:r w:rsidR="008F1810">
        <w:t>at the hearing</w:t>
      </w:r>
      <w:r w:rsidR="00D979B4">
        <w:t xml:space="preserve"> of the application it appeared that</w:t>
      </w:r>
      <w:r w:rsidR="0013136F">
        <w:t xml:space="preserve"> apart from the application of the common law by the arbitrators as set</w:t>
      </w:r>
      <w:r w:rsidR="00BF3109">
        <w:t xml:space="preserve"> out in </w:t>
      </w:r>
      <w:r w:rsidR="00BF3109" w:rsidRPr="00D253E8">
        <w:rPr>
          <w:i/>
        </w:rPr>
        <w:t>Japmoco</w:t>
      </w:r>
      <w:r w:rsidR="00BF3109">
        <w:t xml:space="preserve"> (</w:t>
      </w:r>
      <w:r w:rsidR="0013136F">
        <w:t xml:space="preserve">above) and the test that the </w:t>
      </w:r>
      <w:r w:rsidR="00E245F7">
        <w:t>A</w:t>
      </w:r>
      <w:r w:rsidR="0013136F">
        <w:t xml:space="preserve">ppeal </w:t>
      </w:r>
      <w:r w:rsidR="00E245F7">
        <w:t>T</w:t>
      </w:r>
      <w:r w:rsidR="0013136F">
        <w:t>ribunal would have applied to determine</w:t>
      </w:r>
      <w:r w:rsidR="008C7DE3">
        <w:t xml:space="preserve"> whether any </w:t>
      </w:r>
      <w:r w:rsidR="0013136F">
        <w:t>benefits</w:t>
      </w:r>
      <w:r w:rsidR="008C7DE3">
        <w:t xml:space="preserve"> </w:t>
      </w:r>
      <w:r w:rsidR="008B1C03">
        <w:t xml:space="preserve">were in fact </w:t>
      </w:r>
      <w:r w:rsidR="008C7DE3">
        <w:t>proved</w:t>
      </w:r>
      <w:r w:rsidR="0013136F">
        <w:t>,</w:t>
      </w:r>
      <w:r w:rsidR="00D979B4">
        <w:t xml:space="preserve"> </w:t>
      </w:r>
      <w:r w:rsidR="008F1810">
        <w:t xml:space="preserve">the crux of the findings by the </w:t>
      </w:r>
      <w:r w:rsidR="008B1C03">
        <w:t>A</w:t>
      </w:r>
      <w:r w:rsidR="008F1810">
        <w:t xml:space="preserve">ppeal </w:t>
      </w:r>
      <w:r w:rsidR="008B1C03">
        <w:t>T</w:t>
      </w:r>
      <w:r w:rsidR="008F1810">
        <w:t>ribunal</w:t>
      </w:r>
      <w:r w:rsidR="0013136F">
        <w:t>,</w:t>
      </w:r>
      <w:r w:rsidR="008F1810">
        <w:t xml:space="preserve"> </w:t>
      </w:r>
      <w:r w:rsidR="00B452EB">
        <w:t xml:space="preserve">on these very issues </w:t>
      </w:r>
      <w:r w:rsidR="008F1810">
        <w:t xml:space="preserve">was to be found in the following paragraphs of its </w:t>
      </w:r>
      <w:r w:rsidR="000011F2">
        <w:t>award</w:t>
      </w:r>
      <w:r w:rsidR="00F142FB">
        <w:t xml:space="preserve"> under the following heading</w:t>
      </w:r>
      <w:r w:rsidR="000011F2">
        <w:t>:</w:t>
      </w:r>
    </w:p>
    <w:p w14:paraId="2FB90B7A" w14:textId="4BB361E5" w:rsidR="00CF446F" w:rsidRPr="008B7A17" w:rsidRDefault="000011F2" w:rsidP="000011F2">
      <w:pPr>
        <w:spacing w:after="480" w:line="360" w:lineRule="auto"/>
        <w:ind w:left="720"/>
        <w:jc w:val="both"/>
        <w:rPr>
          <w:sz w:val="22"/>
          <w:szCs w:val="22"/>
          <w:u w:val="single"/>
        </w:rPr>
      </w:pPr>
      <w:r w:rsidRPr="008B7A17">
        <w:rPr>
          <w:sz w:val="22"/>
          <w:szCs w:val="22"/>
          <w:u w:val="single"/>
        </w:rPr>
        <w:t xml:space="preserve">‘The suggested </w:t>
      </w:r>
      <w:r w:rsidR="008B1C03">
        <w:rPr>
          <w:sz w:val="22"/>
          <w:szCs w:val="22"/>
          <w:u w:val="single"/>
        </w:rPr>
        <w:t>‘</w:t>
      </w:r>
      <w:r w:rsidRPr="008B7A17">
        <w:rPr>
          <w:sz w:val="22"/>
          <w:szCs w:val="22"/>
          <w:u w:val="single"/>
        </w:rPr>
        <w:t>legitimacy</w:t>
      </w:r>
      <w:r w:rsidR="008B1C03">
        <w:rPr>
          <w:sz w:val="22"/>
          <w:szCs w:val="22"/>
          <w:u w:val="single"/>
        </w:rPr>
        <w:t>’</w:t>
      </w:r>
      <w:r w:rsidR="00CF446F" w:rsidRPr="008B7A17">
        <w:rPr>
          <w:sz w:val="22"/>
          <w:szCs w:val="22"/>
          <w:u w:val="single"/>
        </w:rPr>
        <w:t>’ of the expenditure of US’s unrestricted funds</w:t>
      </w:r>
    </w:p>
    <w:p w14:paraId="16A5443B" w14:textId="77777777" w:rsidR="00045C18" w:rsidRPr="00045C18" w:rsidRDefault="00CF446F" w:rsidP="00D32FDC">
      <w:pPr>
        <w:spacing w:after="480" w:line="360" w:lineRule="auto"/>
        <w:ind w:left="1440" w:hanging="720"/>
        <w:jc w:val="both"/>
      </w:pPr>
      <w:r w:rsidRPr="008B7A17">
        <w:rPr>
          <w:sz w:val="22"/>
          <w:szCs w:val="22"/>
        </w:rPr>
        <w:t>29.</w:t>
      </w:r>
      <w:r w:rsidRPr="008B7A17">
        <w:rPr>
          <w:sz w:val="22"/>
          <w:szCs w:val="22"/>
        </w:rPr>
        <w:tab/>
        <w:t xml:space="preserve">A component of Mr Roux’s response to US’s claim, albeit that it was not specifically pleaded, was that the US’s funds in question had been legitimately expended from the four cost centres (referred to in paragraph 17.2 above). In particular, he said that these expenses had occurred ‘in die normale gang van </w:t>
      </w:r>
      <w:r w:rsidRPr="008B7A17">
        <w:rPr>
          <w:sz w:val="22"/>
          <w:szCs w:val="22"/>
        </w:rPr>
        <w:lastRenderedPageBreak/>
        <w:t>die Rugby Klub en sy uitgawes’</w:t>
      </w:r>
      <w:r w:rsidR="00B3099B">
        <w:rPr>
          <w:rStyle w:val="FootnoteReference"/>
          <w:sz w:val="22"/>
          <w:szCs w:val="22"/>
        </w:rPr>
        <w:footnoteReference w:id="10"/>
      </w:r>
      <w:r w:rsidRPr="008B7A17">
        <w:rPr>
          <w:sz w:val="22"/>
          <w:szCs w:val="22"/>
        </w:rPr>
        <w:t xml:space="preserve">. </w:t>
      </w:r>
      <w:r w:rsidR="00045C18" w:rsidRPr="00045C18">
        <w:t xml:space="preserve">This was, so it was argued on behalf of Mr Roux, not controverted by Mr Lombard or KPMG (i.e., a reference to Mr Waligora and his team).  </w:t>
      </w:r>
    </w:p>
    <w:p w14:paraId="5DF99D86" w14:textId="5A5F5B64" w:rsidR="000E6814" w:rsidRPr="008B7A17" w:rsidRDefault="00045C18" w:rsidP="000E6814">
      <w:pPr>
        <w:spacing w:after="480" w:line="360" w:lineRule="auto"/>
        <w:ind w:left="1440" w:hanging="720"/>
        <w:jc w:val="both"/>
        <w:rPr>
          <w:sz w:val="22"/>
          <w:szCs w:val="22"/>
        </w:rPr>
      </w:pPr>
      <w:r>
        <w:rPr>
          <w:sz w:val="22"/>
          <w:szCs w:val="22"/>
        </w:rPr>
        <w:t>‘</w:t>
      </w:r>
      <w:r w:rsidR="000E6814" w:rsidRPr="008B7A17">
        <w:rPr>
          <w:sz w:val="22"/>
          <w:szCs w:val="22"/>
        </w:rPr>
        <w:t>30.</w:t>
      </w:r>
      <w:r w:rsidR="000E6814" w:rsidRPr="008B7A17">
        <w:rPr>
          <w:sz w:val="22"/>
          <w:szCs w:val="22"/>
        </w:rPr>
        <w:tab/>
        <w:t xml:space="preserve">However, whether the expenditure of the said funds in the manner in which this had occurred would, in normal circumstances, have qualified as legitimate expenditure by the Rugby Club of its funds overlooks the following core points: </w:t>
      </w:r>
    </w:p>
    <w:p w14:paraId="4C1D017C" w14:textId="77777777" w:rsidR="00D17AC5" w:rsidRPr="008B7A17" w:rsidRDefault="00D17AC5" w:rsidP="00D17AC5">
      <w:pPr>
        <w:spacing w:after="480" w:line="360" w:lineRule="auto"/>
        <w:ind w:left="2160" w:hanging="720"/>
        <w:jc w:val="both"/>
        <w:rPr>
          <w:sz w:val="22"/>
          <w:szCs w:val="22"/>
        </w:rPr>
      </w:pPr>
      <w:r w:rsidRPr="008B7A17">
        <w:rPr>
          <w:sz w:val="22"/>
          <w:szCs w:val="22"/>
        </w:rPr>
        <w:t>30.1</w:t>
      </w:r>
      <w:r w:rsidRPr="008B7A17">
        <w:rPr>
          <w:sz w:val="22"/>
          <w:szCs w:val="22"/>
        </w:rPr>
        <w:tab/>
        <w:t>the allocation of the funds to the four cost centres that ultimately ended up in the funds of the Rugby Club from where they were expended, had not been budgeted or authorised. These funds could thus not have been legitimately applied in the manner they were;</w:t>
      </w:r>
    </w:p>
    <w:p w14:paraId="0FCEC9CB" w14:textId="77777777" w:rsidR="00D17AC5" w:rsidRPr="008B7A17" w:rsidRDefault="00D17AC5" w:rsidP="00D17AC5">
      <w:pPr>
        <w:spacing w:after="480" w:line="360" w:lineRule="auto"/>
        <w:ind w:left="2160" w:hanging="720"/>
        <w:jc w:val="both"/>
        <w:rPr>
          <w:sz w:val="22"/>
          <w:szCs w:val="22"/>
        </w:rPr>
      </w:pPr>
      <w:r w:rsidRPr="008B7A17">
        <w:rPr>
          <w:sz w:val="22"/>
          <w:szCs w:val="22"/>
        </w:rPr>
        <w:t>30.2</w:t>
      </w:r>
      <w:r w:rsidRPr="008B7A17">
        <w:rPr>
          <w:sz w:val="22"/>
          <w:szCs w:val="22"/>
        </w:rPr>
        <w:tab/>
        <w:t>therefore, the misapplication of US’s unrestricted reserves for purposes other than what had been budgeted and authorised ultimately placed those funds beyond the reach of US in the sense that they could no longer apply the funds for purposes that could and would have been authorised by its Council. The funds, having been expended, were irretrievable.’</w:t>
      </w:r>
    </w:p>
    <w:p w14:paraId="0B2018C3" w14:textId="107C4373" w:rsidR="000011F2" w:rsidRDefault="00D253E8" w:rsidP="00616A4B">
      <w:pPr>
        <w:spacing w:after="480" w:line="360" w:lineRule="auto"/>
        <w:ind w:left="720" w:hanging="720"/>
        <w:jc w:val="both"/>
      </w:pPr>
      <w:r>
        <w:t>[1</w:t>
      </w:r>
      <w:r w:rsidR="000B734A">
        <w:t>7</w:t>
      </w:r>
      <w:r>
        <w:t>]</w:t>
      </w:r>
      <w:r>
        <w:tab/>
      </w:r>
      <w:r w:rsidR="00973625">
        <w:t>I will return to this finding</w:t>
      </w:r>
      <w:r w:rsidR="008830AA">
        <w:t xml:space="preserve"> of the </w:t>
      </w:r>
      <w:r w:rsidR="008B1C03">
        <w:t>il</w:t>
      </w:r>
      <w:r w:rsidR="008830AA">
        <w:t xml:space="preserve">legitimacy of the expenditure </w:t>
      </w:r>
      <w:r w:rsidR="00D979B4">
        <w:t xml:space="preserve">by the </w:t>
      </w:r>
      <w:r w:rsidR="008B1C03">
        <w:t>A</w:t>
      </w:r>
      <w:r w:rsidR="00D979B4">
        <w:t xml:space="preserve">ppeal </w:t>
      </w:r>
      <w:r w:rsidR="008B1C03">
        <w:t>T</w:t>
      </w:r>
      <w:r w:rsidR="00902769">
        <w:t>ribunal later</w:t>
      </w:r>
      <w:r w:rsidR="00973625">
        <w:t xml:space="preserve"> in the judgment.</w:t>
      </w:r>
    </w:p>
    <w:p w14:paraId="7022B90E" w14:textId="7057088B" w:rsidR="00F142FB" w:rsidRDefault="00D253E8" w:rsidP="00D253E8">
      <w:pPr>
        <w:spacing w:after="480" w:line="360" w:lineRule="auto"/>
        <w:ind w:left="720" w:hanging="720"/>
        <w:jc w:val="both"/>
      </w:pPr>
      <w:r>
        <w:lastRenderedPageBreak/>
        <w:t>[1</w:t>
      </w:r>
      <w:r w:rsidR="000B734A">
        <w:t>8</w:t>
      </w:r>
      <w:r>
        <w:t>]</w:t>
      </w:r>
      <w:r>
        <w:tab/>
      </w:r>
      <w:r w:rsidR="00F142FB">
        <w:t xml:space="preserve">By way of a </w:t>
      </w:r>
      <w:r w:rsidR="008830AA">
        <w:t>preliminary</w:t>
      </w:r>
      <w:r w:rsidR="00B3099B">
        <w:t xml:space="preserve"> </w:t>
      </w:r>
      <w:r w:rsidR="00D01B67">
        <w:t>observation, Mr</w:t>
      </w:r>
      <w:r w:rsidR="00B10A56">
        <w:t xml:space="preserve"> Roux`s </w:t>
      </w:r>
      <w:r w:rsidR="00F142FB">
        <w:t>defence</w:t>
      </w:r>
      <w:r w:rsidR="00D01B67">
        <w:t>s</w:t>
      </w:r>
      <w:r w:rsidR="00F142FB">
        <w:t xml:space="preserve"> to the claim by the University had significantly morphed from his initial ple</w:t>
      </w:r>
      <w:r w:rsidR="008830AA">
        <w:t xml:space="preserve">aded case </w:t>
      </w:r>
      <w:r w:rsidR="00793FA1">
        <w:t xml:space="preserve">in the arbitration proceedings </w:t>
      </w:r>
      <w:r w:rsidR="00676080">
        <w:t>from that</w:t>
      </w:r>
      <w:r w:rsidR="00F142FB">
        <w:t xml:space="preserve"> of a bald denial to all of the </w:t>
      </w:r>
      <w:r w:rsidR="00231665">
        <w:t xml:space="preserve">central </w:t>
      </w:r>
      <w:r w:rsidR="00F142FB">
        <w:t xml:space="preserve">claims made against him by the </w:t>
      </w:r>
      <w:r w:rsidR="00B10A56">
        <w:t>University. So</w:t>
      </w:r>
      <w:r w:rsidR="00F201B0">
        <w:t xml:space="preserve"> too did </w:t>
      </w:r>
      <w:r w:rsidR="004D644F">
        <w:t>the contentions</w:t>
      </w:r>
      <w:r w:rsidR="00F142FB">
        <w:t xml:space="preserve"> in</w:t>
      </w:r>
      <w:r w:rsidR="00793FA1">
        <w:t xml:space="preserve"> these proceedings </w:t>
      </w:r>
      <w:r w:rsidR="00D01B67">
        <w:t xml:space="preserve">and in respect of </w:t>
      </w:r>
      <w:r w:rsidR="004D644F">
        <w:t>the</w:t>
      </w:r>
      <w:r w:rsidR="00793FA1">
        <w:t xml:space="preserve"> nature</w:t>
      </w:r>
      <w:r w:rsidR="00F142FB">
        <w:t xml:space="preserve"> of the </w:t>
      </w:r>
      <w:r w:rsidR="004D644F">
        <w:t>challenges to</w:t>
      </w:r>
      <w:r w:rsidR="00793FA1">
        <w:t xml:space="preserve"> the arbitrators</w:t>
      </w:r>
      <w:r w:rsidR="00A33E20">
        <w:t>’</w:t>
      </w:r>
      <w:r w:rsidR="00793FA1">
        <w:t xml:space="preserve"> awards. The arguments </w:t>
      </w:r>
      <w:r w:rsidR="00D01B67">
        <w:t xml:space="preserve">on Mr Roux`s behalf </w:t>
      </w:r>
      <w:r w:rsidR="00B10A56">
        <w:t xml:space="preserve">with </w:t>
      </w:r>
      <w:r w:rsidR="00CA6218">
        <w:t>subtle</w:t>
      </w:r>
      <w:r w:rsidR="00B10A56">
        <w:t xml:space="preserve"> nuance </w:t>
      </w:r>
      <w:r w:rsidR="00172620">
        <w:t>differed</w:t>
      </w:r>
      <w:r w:rsidR="00B10A56">
        <w:t xml:space="preserve"> from</w:t>
      </w:r>
      <w:r w:rsidR="00793FA1">
        <w:t xml:space="preserve"> the affidavits filed in these proceedings to the heads of argument filed on his behalf</w:t>
      </w:r>
      <w:r w:rsidR="00AF3B8A">
        <w:t xml:space="preserve"> and from which support was sought in </w:t>
      </w:r>
      <w:r w:rsidR="00793FA1">
        <w:t>the Note</w:t>
      </w:r>
      <w:r w:rsidR="00676080">
        <w:t xml:space="preserve"> </w:t>
      </w:r>
      <w:r w:rsidR="00902769">
        <w:t>and</w:t>
      </w:r>
      <w:r w:rsidR="00793FA1">
        <w:t xml:space="preserve"> eventually </w:t>
      </w:r>
      <w:r w:rsidR="00902769">
        <w:t>in the</w:t>
      </w:r>
      <w:r w:rsidR="00793FA1">
        <w:t xml:space="preserve"> oral </w:t>
      </w:r>
      <w:r w:rsidR="00902769">
        <w:t>arguments in</w:t>
      </w:r>
      <w:r w:rsidR="00B10A56">
        <w:t xml:space="preserve"> which the postulate </w:t>
      </w:r>
      <w:r w:rsidR="005E71F6">
        <w:t xml:space="preserve">on which </w:t>
      </w:r>
      <w:r w:rsidR="00B10A56">
        <w:t xml:space="preserve">Mr Roux </w:t>
      </w:r>
      <w:r w:rsidR="00D01B67">
        <w:t>had</w:t>
      </w:r>
      <w:r w:rsidR="00B10A56">
        <w:t xml:space="preserve"> based his</w:t>
      </w:r>
      <w:r w:rsidR="00793FA1">
        <w:t xml:space="preserve"> challenge</w:t>
      </w:r>
      <w:r w:rsidR="00B10A56">
        <w:t>s</w:t>
      </w:r>
      <w:r w:rsidR="00951097">
        <w:t>,</w:t>
      </w:r>
      <w:r w:rsidR="00793FA1">
        <w:t xml:space="preserve"> </w:t>
      </w:r>
      <w:r w:rsidR="00676080">
        <w:t>came under severe scrutiny and c</w:t>
      </w:r>
      <w:r w:rsidR="00951097">
        <w:t>riticism</w:t>
      </w:r>
      <w:r w:rsidR="00676080">
        <w:t xml:space="preserve"> by </w:t>
      </w:r>
      <w:r w:rsidR="00793FA1">
        <w:t xml:space="preserve">the </w:t>
      </w:r>
      <w:r w:rsidR="00676080">
        <w:t xml:space="preserve">University. </w:t>
      </w:r>
      <w:r w:rsidR="00951097">
        <w:t>A further criticism</w:t>
      </w:r>
      <w:r w:rsidR="006052BB">
        <w:t xml:space="preserve"> made more than once</w:t>
      </w:r>
      <w:r w:rsidR="004D644F">
        <w:t xml:space="preserve"> by</w:t>
      </w:r>
      <w:r w:rsidR="00F201B0">
        <w:t xml:space="preserve"> counsel for </w:t>
      </w:r>
      <w:r w:rsidR="00676080">
        <w:t>the University</w:t>
      </w:r>
      <w:r w:rsidR="006052BB">
        <w:t xml:space="preserve"> was</w:t>
      </w:r>
      <w:r w:rsidR="00676080">
        <w:t xml:space="preserve"> that Mr Roux impermissibly sought to treat these proceedings as yet another appeal of the awards of the arbitrators</w:t>
      </w:r>
      <w:r w:rsidR="005E71F6">
        <w:t xml:space="preserve">. That criticism did not </w:t>
      </w:r>
      <w:r w:rsidR="006052BB">
        <w:t xml:space="preserve">in my view </w:t>
      </w:r>
      <w:r w:rsidR="004D644F">
        <w:t>appear</w:t>
      </w:r>
      <w:r w:rsidR="006052BB">
        <w:t xml:space="preserve"> to </w:t>
      </w:r>
      <w:r w:rsidR="00676080">
        <w:t xml:space="preserve">be entirely without merit. </w:t>
      </w:r>
      <w:r w:rsidR="00793FA1">
        <w:t xml:space="preserve"> </w:t>
      </w:r>
      <w:r w:rsidR="00F142FB">
        <w:t xml:space="preserve">   </w:t>
      </w:r>
    </w:p>
    <w:p w14:paraId="6962A42A" w14:textId="77777777" w:rsidR="00973625" w:rsidRPr="00640B7E" w:rsidRDefault="00640B7E" w:rsidP="00973625">
      <w:pPr>
        <w:spacing w:after="480" w:line="360" w:lineRule="auto"/>
        <w:jc w:val="both"/>
        <w:rPr>
          <w:b/>
        </w:rPr>
      </w:pPr>
      <w:r w:rsidRPr="00640B7E">
        <w:rPr>
          <w:b/>
        </w:rPr>
        <w:t>BACKGROUND FACTS</w:t>
      </w:r>
    </w:p>
    <w:p w14:paraId="0840C95C" w14:textId="12AAF66A" w:rsidR="00973625" w:rsidRDefault="00A33E20" w:rsidP="00A33E20">
      <w:pPr>
        <w:spacing w:after="480" w:line="360" w:lineRule="auto"/>
        <w:ind w:left="720" w:hanging="720"/>
        <w:jc w:val="both"/>
      </w:pPr>
      <w:r>
        <w:t>[1</w:t>
      </w:r>
      <w:r w:rsidR="000B734A">
        <w:t>9</w:t>
      </w:r>
      <w:r>
        <w:t>]</w:t>
      </w:r>
      <w:r>
        <w:tab/>
      </w:r>
      <w:r w:rsidR="00DC7FFB">
        <w:t>The evidence in the</w:t>
      </w:r>
      <w:r w:rsidR="00D979B4">
        <w:t xml:space="preserve"> arbitration</w:t>
      </w:r>
      <w:r w:rsidR="00902769">
        <w:t xml:space="preserve"> proceedings </w:t>
      </w:r>
      <w:r w:rsidR="00D979B4">
        <w:t>w</w:t>
      </w:r>
      <w:r w:rsidR="00902769">
        <w:t xml:space="preserve">ere </w:t>
      </w:r>
      <w:r w:rsidR="00DC7FFB">
        <w:t xml:space="preserve">extensively set out in the award of the </w:t>
      </w:r>
      <w:r w:rsidR="00951097">
        <w:t>I</w:t>
      </w:r>
      <w:r w:rsidR="00DC7FFB">
        <w:t>niti</w:t>
      </w:r>
      <w:r>
        <w:t xml:space="preserve">al </w:t>
      </w:r>
      <w:r w:rsidR="00951097">
        <w:t>A</w:t>
      </w:r>
      <w:r w:rsidR="00DC7FFB">
        <w:t>rbitrator and need no more</w:t>
      </w:r>
      <w:r w:rsidR="0013136F">
        <w:t xml:space="preserve"> than</w:t>
      </w:r>
      <w:r w:rsidR="00DC7FFB">
        <w:t xml:space="preserve"> briefly</w:t>
      </w:r>
      <w:r w:rsidR="006052BB">
        <w:t xml:space="preserve"> be </w:t>
      </w:r>
      <w:r w:rsidR="00DC7FFB">
        <w:t>set out</w:t>
      </w:r>
      <w:r w:rsidR="0013136F">
        <w:t xml:space="preserve"> for context</w:t>
      </w:r>
      <w:r w:rsidR="00D979B4">
        <w:t>.</w:t>
      </w:r>
      <w:r w:rsidR="00DC7FFB">
        <w:t xml:space="preserve"> </w:t>
      </w:r>
    </w:p>
    <w:p w14:paraId="387989B1" w14:textId="0A7A9D46" w:rsidR="00DC7FFB" w:rsidRDefault="00287835" w:rsidP="00A33E20">
      <w:pPr>
        <w:spacing w:after="480" w:line="360" w:lineRule="auto"/>
        <w:ind w:left="720" w:hanging="720"/>
        <w:jc w:val="both"/>
      </w:pPr>
      <w:r>
        <w:t>[</w:t>
      </w:r>
      <w:r w:rsidR="000B734A">
        <w:t>20</w:t>
      </w:r>
      <w:r w:rsidR="00A33E20">
        <w:t>]</w:t>
      </w:r>
      <w:r w:rsidR="00A33E20">
        <w:tab/>
      </w:r>
      <w:r w:rsidR="00DC7FFB">
        <w:t xml:space="preserve">The applicant, Mr Roux, a qualified </w:t>
      </w:r>
      <w:r w:rsidR="00D979B4">
        <w:t>a</w:t>
      </w:r>
      <w:r w:rsidR="00DC7FFB">
        <w:t xml:space="preserve">ccountant </w:t>
      </w:r>
      <w:r w:rsidR="006052BB">
        <w:t>with a</w:t>
      </w:r>
      <w:r w:rsidR="00DC7FFB">
        <w:t xml:space="preserve"> LLB degree </w:t>
      </w:r>
      <w:r w:rsidR="00D979B4">
        <w:t>was</w:t>
      </w:r>
      <w:r w:rsidR="00DC7FFB">
        <w:t xml:space="preserve"> employed by the University</w:t>
      </w:r>
      <w:r w:rsidR="00D979B4">
        <w:t xml:space="preserve"> in its finance department from</w:t>
      </w:r>
      <w:r w:rsidR="006052BB">
        <w:t xml:space="preserve"> 23 </w:t>
      </w:r>
      <w:r w:rsidR="00DC7FFB">
        <w:t xml:space="preserve">May 2004 to </w:t>
      </w:r>
      <w:r w:rsidR="006052BB">
        <w:t xml:space="preserve">30 </w:t>
      </w:r>
      <w:r w:rsidR="00DC7FFB">
        <w:t>September 2010. During the last three years of his employment he held the position of Senior Director: Finance and Asset Management and reported to a Mr</w:t>
      </w:r>
      <w:r w:rsidR="006052BB">
        <w:t xml:space="preserve"> Manie</w:t>
      </w:r>
      <w:r w:rsidR="00DC7FFB">
        <w:t xml:space="preserve"> Lombard. Both Mr Roux and Mr De Beer held senior positions in the University’s </w:t>
      </w:r>
      <w:r w:rsidR="006052BB">
        <w:t>r</w:t>
      </w:r>
      <w:r w:rsidR="00DC7FFB">
        <w:t xml:space="preserve">ugby </w:t>
      </w:r>
      <w:r w:rsidR="006052BB">
        <w:t>c</w:t>
      </w:r>
      <w:r w:rsidR="00DC7FFB">
        <w:t>lub, Mat</w:t>
      </w:r>
      <w:r w:rsidR="006052BB">
        <w:t>ies</w:t>
      </w:r>
      <w:r w:rsidR="00204075">
        <w:t xml:space="preserve"> </w:t>
      </w:r>
      <w:r w:rsidR="00951097">
        <w:t>Rugby.</w:t>
      </w:r>
      <w:r w:rsidR="00E87817">
        <w:t xml:space="preserve"> </w:t>
      </w:r>
      <w:r w:rsidR="00E241A3">
        <w:t xml:space="preserve">Mr Roux held the position as treasurer and thereafter as chairperson during periods between 2002 to 2010. </w:t>
      </w:r>
    </w:p>
    <w:p w14:paraId="16BD5B1B" w14:textId="642F00C9" w:rsidR="00BE71E2" w:rsidRDefault="0058240C" w:rsidP="00BE71E2">
      <w:pPr>
        <w:pStyle w:val="FootnoteText"/>
        <w:spacing w:line="360" w:lineRule="auto"/>
        <w:ind w:left="720" w:hanging="720"/>
        <w:jc w:val="both"/>
        <w:rPr>
          <w:sz w:val="24"/>
          <w:szCs w:val="24"/>
        </w:rPr>
      </w:pPr>
      <w:r>
        <w:rPr>
          <w:sz w:val="24"/>
          <w:szCs w:val="24"/>
        </w:rPr>
        <w:t>[</w:t>
      </w:r>
      <w:r w:rsidR="00A33E20" w:rsidRPr="00BE71E2">
        <w:rPr>
          <w:sz w:val="24"/>
          <w:szCs w:val="24"/>
        </w:rPr>
        <w:t>2</w:t>
      </w:r>
      <w:r w:rsidR="000B734A">
        <w:rPr>
          <w:sz w:val="24"/>
          <w:szCs w:val="24"/>
        </w:rPr>
        <w:t>1</w:t>
      </w:r>
      <w:r w:rsidR="00A33E20" w:rsidRPr="00BE71E2">
        <w:rPr>
          <w:sz w:val="24"/>
          <w:szCs w:val="24"/>
        </w:rPr>
        <w:t>]</w:t>
      </w:r>
      <w:r w:rsidR="00A33E20" w:rsidRPr="00BE71E2">
        <w:rPr>
          <w:sz w:val="24"/>
          <w:szCs w:val="24"/>
        </w:rPr>
        <w:tab/>
      </w:r>
      <w:r w:rsidR="003B35DE" w:rsidRPr="00BE71E2">
        <w:rPr>
          <w:sz w:val="24"/>
          <w:szCs w:val="24"/>
        </w:rPr>
        <w:t xml:space="preserve">The University received income from three </w:t>
      </w:r>
      <w:r w:rsidR="009E6508" w:rsidRPr="00BE71E2">
        <w:rPr>
          <w:sz w:val="24"/>
          <w:szCs w:val="24"/>
        </w:rPr>
        <w:t xml:space="preserve">main sources namely, state subsidies, student fees and income which included accommodation fees and from third-party income described as ‘buitefondse’ from private research grants, </w:t>
      </w:r>
      <w:r w:rsidR="009E6508" w:rsidRPr="00BE71E2">
        <w:rPr>
          <w:sz w:val="24"/>
          <w:szCs w:val="24"/>
        </w:rPr>
        <w:lastRenderedPageBreak/>
        <w:t xml:space="preserve">donations, bequests and from the </w:t>
      </w:r>
      <w:r w:rsidR="004D22E2" w:rsidRPr="00BE71E2">
        <w:rPr>
          <w:sz w:val="24"/>
          <w:szCs w:val="24"/>
        </w:rPr>
        <w:t>University’s commercial innovation and other similar activities</w:t>
      </w:r>
      <w:r w:rsidR="00A33E20" w:rsidRPr="00BE71E2">
        <w:rPr>
          <w:rStyle w:val="FootnoteReference"/>
          <w:sz w:val="24"/>
          <w:szCs w:val="24"/>
        </w:rPr>
        <w:footnoteReference w:id="11"/>
      </w:r>
      <w:r w:rsidR="004D22E2" w:rsidRPr="00BE71E2">
        <w:rPr>
          <w:sz w:val="24"/>
          <w:szCs w:val="24"/>
        </w:rPr>
        <w:t xml:space="preserve">. </w:t>
      </w:r>
    </w:p>
    <w:p w14:paraId="06B9A748" w14:textId="77777777" w:rsidR="00045C18" w:rsidRPr="00BE71E2" w:rsidRDefault="00045C18" w:rsidP="00BE71E2">
      <w:pPr>
        <w:pStyle w:val="FootnoteText"/>
        <w:spacing w:line="360" w:lineRule="auto"/>
        <w:ind w:left="720" w:hanging="720"/>
        <w:jc w:val="both"/>
        <w:rPr>
          <w:rFonts w:eastAsia="DengXian"/>
          <w:color w:val="000000" w:themeColor="text1"/>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75D17" w14:textId="7B455A4D" w:rsidR="004D22E2" w:rsidRDefault="007162D6" w:rsidP="007162D6">
      <w:pPr>
        <w:spacing w:after="480" w:line="360" w:lineRule="auto"/>
        <w:ind w:left="720" w:hanging="720"/>
        <w:jc w:val="both"/>
      </w:pPr>
      <w:r>
        <w:t>[2</w:t>
      </w:r>
      <w:r w:rsidR="000B734A">
        <w:t>2</w:t>
      </w:r>
      <w:r>
        <w:t>]</w:t>
      </w:r>
      <w:r>
        <w:tab/>
      </w:r>
      <w:r w:rsidR="004D22E2">
        <w:t>Some of the income</w:t>
      </w:r>
      <w:r w:rsidR="00C039FD">
        <w:t>,</w:t>
      </w:r>
      <w:r w:rsidR="004D22E2">
        <w:t xml:space="preserve"> if unspent</w:t>
      </w:r>
      <w:r w:rsidR="00DE58A9">
        <w:t xml:space="preserve"> during a financial year,</w:t>
      </w:r>
      <w:r w:rsidR="004D22E2">
        <w:t xml:space="preserve"> accumulated as part of the University’s reserves. The reserves were categorised as restricted and unrestricted. The </w:t>
      </w:r>
      <w:r w:rsidR="008830AA">
        <w:t>un</w:t>
      </w:r>
      <w:r w:rsidR="004D22E2">
        <w:t xml:space="preserve">restricted reserves fell exclusively under the authority of the University’s Council. </w:t>
      </w:r>
    </w:p>
    <w:p w14:paraId="53ED952E" w14:textId="6CA96768" w:rsidR="00056F3B" w:rsidRDefault="00BE71E2" w:rsidP="007162D6">
      <w:pPr>
        <w:spacing w:after="480" w:line="360" w:lineRule="auto"/>
        <w:ind w:left="720" w:hanging="720"/>
        <w:jc w:val="both"/>
      </w:pPr>
      <w:r>
        <w:t>[2</w:t>
      </w:r>
      <w:r w:rsidR="000B734A">
        <w:t>3</w:t>
      </w:r>
      <w:r w:rsidR="007162D6">
        <w:t>]</w:t>
      </w:r>
      <w:r w:rsidR="007162D6">
        <w:tab/>
      </w:r>
      <w:r w:rsidR="004D22E2">
        <w:t xml:space="preserve">The essence of the University’s pleaded claim against </w:t>
      </w:r>
      <w:r w:rsidR="00DE58A9">
        <w:t xml:space="preserve">Mr </w:t>
      </w:r>
      <w:r w:rsidR="004D22E2">
        <w:t xml:space="preserve">Roux was that he had breached his contract of employment </w:t>
      </w:r>
      <w:r w:rsidR="00DE58A9">
        <w:t>where</w:t>
      </w:r>
      <w:r w:rsidR="00B10A56">
        <w:t>,</w:t>
      </w:r>
      <w:r w:rsidR="00DE58A9">
        <w:t xml:space="preserve"> </w:t>
      </w:r>
      <w:r w:rsidR="004D22E2">
        <w:t xml:space="preserve">without the knowledge and authority of the University </w:t>
      </w:r>
      <w:r w:rsidR="00DE58A9">
        <w:t xml:space="preserve">and through the use of the University`s </w:t>
      </w:r>
      <w:r w:rsidR="004D22E2">
        <w:t xml:space="preserve">software programme that formed part of </w:t>
      </w:r>
      <w:r w:rsidR="00B10A56">
        <w:t>its</w:t>
      </w:r>
      <w:r w:rsidR="004D22E2">
        <w:t xml:space="preserve"> electronic </w:t>
      </w:r>
      <w:r w:rsidR="00DE58A9">
        <w:t xml:space="preserve">financial </w:t>
      </w:r>
      <w:r w:rsidR="004D22E2">
        <w:t>system</w:t>
      </w:r>
      <w:r w:rsidR="00DE58A9">
        <w:t>,</w:t>
      </w:r>
      <w:r w:rsidR="004D22E2">
        <w:t xml:space="preserve"> </w:t>
      </w:r>
      <w:r w:rsidR="00DE58A9">
        <w:t xml:space="preserve">Mr Roux </w:t>
      </w:r>
      <w:r w:rsidR="004D22E2">
        <w:t>re-allocate</w:t>
      </w:r>
      <w:r w:rsidR="00DE58A9">
        <w:t>d</w:t>
      </w:r>
      <w:r w:rsidR="00027F1B">
        <w:t xml:space="preserve"> funds totalling R35 120 04 from the unrestricted cost centre to four cost centres under his control (H260/1 R593/4)</w:t>
      </w:r>
      <w:r w:rsidR="001377AA">
        <w:t>.</w:t>
      </w:r>
      <w:r w:rsidR="00DE58A9">
        <w:t xml:space="preserve"> </w:t>
      </w:r>
      <w:r w:rsidR="001377AA">
        <w:t xml:space="preserve">These </w:t>
      </w:r>
      <w:r w:rsidR="00027F1B">
        <w:t xml:space="preserve">funds were misapplied </w:t>
      </w:r>
      <w:r w:rsidR="001377AA">
        <w:t xml:space="preserve">by him </w:t>
      </w:r>
      <w:r w:rsidR="00027F1B">
        <w:t xml:space="preserve">from the </w:t>
      </w:r>
      <w:r w:rsidR="00E439B2">
        <w:t>r</w:t>
      </w:r>
      <w:r w:rsidR="00027F1B">
        <w:t xml:space="preserve">ugby </w:t>
      </w:r>
      <w:r w:rsidR="00E439B2">
        <w:t>c</w:t>
      </w:r>
      <w:r w:rsidR="00027F1B">
        <w:t>lub</w:t>
      </w:r>
      <w:r w:rsidR="00DE58A9">
        <w:t>`s</w:t>
      </w:r>
      <w:r w:rsidR="00027F1B">
        <w:t xml:space="preserve"> cost centres.</w:t>
      </w:r>
      <w:r w:rsidR="008C0871">
        <w:t xml:space="preserve"> In addition</w:t>
      </w:r>
      <w:r w:rsidR="007162D6">
        <w:t>,</w:t>
      </w:r>
      <w:r w:rsidR="008C0871">
        <w:t xml:space="preserve"> and also in breach of his contract of employment and without authority</w:t>
      </w:r>
      <w:r w:rsidR="008830AA">
        <w:t>,</w:t>
      </w:r>
      <w:r w:rsidR="008C0871">
        <w:t xml:space="preserve"> </w:t>
      </w:r>
      <w:r w:rsidR="00DE58A9">
        <w:t xml:space="preserve">Mr Roux </w:t>
      </w:r>
      <w:r w:rsidR="008C0871">
        <w:t xml:space="preserve">caused </w:t>
      </w:r>
      <w:r w:rsidR="00DE58A9">
        <w:t>a</w:t>
      </w:r>
      <w:r w:rsidR="00E439B2">
        <w:t xml:space="preserve"> </w:t>
      </w:r>
      <w:r w:rsidR="008C0871">
        <w:t xml:space="preserve">further amount of R1 804 398 to </w:t>
      </w:r>
      <w:r w:rsidR="00DE58A9">
        <w:t xml:space="preserve">have been unlawfully </w:t>
      </w:r>
      <w:r w:rsidR="008C0871">
        <w:t>paid from the funds of the University to the Western Province Rugby (Pty) Ltd or the Western Province Rugby Institute (WPRI).</w:t>
      </w:r>
      <w:r w:rsidR="000F38A9">
        <w:t xml:space="preserve"> The University claimed that it had suffered damages in the total amount of R37 116 402.00 as a result of </w:t>
      </w:r>
      <w:r w:rsidR="00DE58A9">
        <w:t xml:space="preserve">Mr Roux`s unlawful </w:t>
      </w:r>
      <w:r w:rsidR="000F38A9">
        <w:t>conduct.</w:t>
      </w:r>
      <w:r w:rsidR="00E439B2">
        <w:t xml:space="preserve"> </w:t>
      </w:r>
      <w:r w:rsidR="00BE3EE0">
        <w:t xml:space="preserve">Of particular significance was that this entire scheme conducted by Mr </w:t>
      </w:r>
      <w:r w:rsidR="00B70F60">
        <w:t>R</w:t>
      </w:r>
      <w:r w:rsidR="00BE3EE0">
        <w:t xml:space="preserve">oux was only discovered almost a year after he left the employment of the University in the course of </w:t>
      </w:r>
      <w:r w:rsidR="009A2AE1">
        <w:t xml:space="preserve">auditors </w:t>
      </w:r>
      <w:r w:rsidR="00BE3EE0">
        <w:t xml:space="preserve">KPMG conducting an </w:t>
      </w:r>
      <w:r w:rsidR="00CE1601">
        <w:t>investigation into</w:t>
      </w:r>
      <w:r w:rsidR="00E439B2">
        <w:t xml:space="preserve"> perceived irregularities in the student fees office.</w:t>
      </w:r>
      <w:r w:rsidR="00BE3EE0">
        <w:t xml:space="preserve"> </w:t>
      </w:r>
    </w:p>
    <w:p w14:paraId="587B16B5" w14:textId="424B48BA" w:rsidR="0067121F" w:rsidRDefault="007162D6" w:rsidP="007162D6">
      <w:pPr>
        <w:spacing w:after="480" w:line="360" w:lineRule="auto"/>
        <w:ind w:left="720" w:hanging="720"/>
        <w:jc w:val="both"/>
      </w:pPr>
      <w:r>
        <w:t>[2</w:t>
      </w:r>
      <w:r w:rsidR="000B734A">
        <w:t>4</w:t>
      </w:r>
      <w:r>
        <w:t>]</w:t>
      </w:r>
      <w:r>
        <w:tab/>
      </w:r>
      <w:r w:rsidR="00E439B2">
        <w:t>The initial</w:t>
      </w:r>
      <w:r w:rsidR="00BF6D46">
        <w:t xml:space="preserve"> plea by </w:t>
      </w:r>
      <w:r w:rsidR="00E439B2">
        <w:t>Mr Roux</w:t>
      </w:r>
      <w:r w:rsidR="000F38A9">
        <w:t xml:space="preserve"> was that of a b</w:t>
      </w:r>
      <w:r w:rsidR="006B0445">
        <w:t>a</w:t>
      </w:r>
      <w:r w:rsidR="000F38A9">
        <w:t xml:space="preserve">ld denial in particular with regard to whether he has breached the terms of his contract of employment, that he </w:t>
      </w:r>
      <w:r w:rsidR="009A2AE1">
        <w:t xml:space="preserve">had </w:t>
      </w:r>
      <w:r w:rsidR="000F38A9">
        <w:t>made unauthorised allocations to the four cost centres under his control</w:t>
      </w:r>
      <w:r w:rsidR="00E439B2">
        <w:t xml:space="preserve"> and that he had in fact expended the fund</w:t>
      </w:r>
      <w:r w:rsidR="001377AA">
        <w:t xml:space="preserve">s. </w:t>
      </w:r>
      <w:r w:rsidR="008159F3">
        <w:t>In respect of the disputed contentions</w:t>
      </w:r>
      <w:r w:rsidR="00FF1896">
        <w:t xml:space="preserve"> </w:t>
      </w:r>
      <w:r w:rsidR="009A2AE1">
        <w:lastRenderedPageBreak/>
        <w:t>t</w:t>
      </w:r>
      <w:r w:rsidR="008159F3">
        <w:t>he University pointed out that all of the</w:t>
      </w:r>
      <w:r w:rsidR="001377AA">
        <w:t>se</w:t>
      </w:r>
      <w:r w:rsidR="008159F3">
        <w:t xml:space="preserve"> substantive allegations made were met with bare denials by Mr Roux who had carefully avoided disclosing his defence until late in the proceedings. As a result, the University was required to have led a considerable body of evidence over a period of six weeks during the arbitration proceedings.</w:t>
      </w:r>
      <w:r>
        <w:t xml:space="preserve"> </w:t>
      </w:r>
      <w:r w:rsidR="00FF1896">
        <w:t>It claimed that Mr</w:t>
      </w:r>
      <w:r>
        <w:t xml:space="preserve"> Roux had</w:t>
      </w:r>
      <w:r w:rsidR="008159F3">
        <w:t>, demonstrated a reluctance on his part to disclose his defence in his initial pleadings, which persisted even during the cross-examination of the University’s witnesses. To that extent no version was put to them on his behalf</w:t>
      </w:r>
      <w:r w:rsidR="001377AA">
        <w:t xml:space="preserve">. </w:t>
      </w:r>
    </w:p>
    <w:p w14:paraId="1C87414B" w14:textId="2C321C5B" w:rsidR="001377AA" w:rsidRPr="001377AA" w:rsidRDefault="001377AA" w:rsidP="007162D6">
      <w:pPr>
        <w:spacing w:after="480" w:line="360" w:lineRule="auto"/>
        <w:jc w:val="both"/>
        <w:rPr>
          <w:b/>
        </w:rPr>
      </w:pPr>
      <w:r w:rsidRPr="001377AA">
        <w:rPr>
          <w:b/>
        </w:rPr>
        <w:t>THE FINDING</w:t>
      </w:r>
      <w:r w:rsidR="00E15470">
        <w:rPr>
          <w:b/>
        </w:rPr>
        <w:t>S</w:t>
      </w:r>
      <w:r w:rsidRPr="001377AA">
        <w:rPr>
          <w:b/>
        </w:rPr>
        <w:t xml:space="preserve"> OF THE INITIAL ARBITRATOR AND </w:t>
      </w:r>
      <w:r w:rsidR="00E15470">
        <w:rPr>
          <w:b/>
        </w:rPr>
        <w:t xml:space="preserve">THE </w:t>
      </w:r>
      <w:r w:rsidRPr="001377AA">
        <w:rPr>
          <w:b/>
        </w:rPr>
        <w:t>APPEAL TRIBUNAL</w:t>
      </w:r>
    </w:p>
    <w:p w14:paraId="41E458CA" w14:textId="64E27387" w:rsidR="008159F3" w:rsidRDefault="007162D6" w:rsidP="007162D6">
      <w:pPr>
        <w:spacing w:after="480" w:line="360" w:lineRule="auto"/>
        <w:jc w:val="both"/>
      </w:pPr>
      <w:r>
        <w:t>[2</w:t>
      </w:r>
      <w:r w:rsidR="000B734A">
        <w:t>5</w:t>
      </w:r>
      <w:r>
        <w:t>]</w:t>
      </w:r>
      <w:r>
        <w:tab/>
      </w:r>
      <w:r w:rsidR="008159F3">
        <w:t>The Appeal Tribunal identified the core issues against Mr Roux as follows:</w:t>
      </w:r>
    </w:p>
    <w:p w14:paraId="702F198B" w14:textId="0EB3B22F" w:rsidR="008159F3" w:rsidRDefault="00710ACB" w:rsidP="00710ACB">
      <w:pPr>
        <w:spacing w:after="480" w:line="360" w:lineRule="auto"/>
        <w:ind w:left="1185" w:hanging="465"/>
        <w:jc w:val="both"/>
      </w:pPr>
      <w:r>
        <w:t>25.1</w:t>
      </w:r>
      <w:r>
        <w:tab/>
      </w:r>
      <w:r w:rsidR="00063C0E">
        <w:t>t</w:t>
      </w:r>
      <w:r w:rsidR="008159F3">
        <w:t>he applicable terms of his contract of employment with the University.</w:t>
      </w:r>
    </w:p>
    <w:p w14:paraId="59F3D35E" w14:textId="34270AB1" w:rsidR="008159F3" w:rsidRDefault="00710ACB" w:rsidP="00710ACB">
      <w:pPr>
        <w:spacing w:after="480" w:line="360" w:lineRule="auto"/>
        <w:ind w:firstLine="720"/>
        <w:jc w:val="both"/>
      </w:pPr>
      <w:r>
        <w:t>25.2</w:t>
      </w:r>
      <w:r>
        <w:tab/>
      </w:r>
      <w:r w:rsidR="00063C0E">
        <w:t>w</w:t>
      </w:r>
      <w:r w:rsidR="008159F3">
        <w:t>hether Roux had breached his contract of employment.</w:t>
      </w:r>
    </w:p>
    <w:p w14:paraId="13E338ED" w14:textId="243A1D2E" w:rsidR="00204075" w:rsidRDefault="00710ACB" w:rsidP="00710ACB">
      <w:pPr>
        <w:spacing w:after="480" w:line="360" w:lineRule="auto"/>
        <w:ind w:left="1185" w:hanging="465"/>
        <w:jc w:val="both"/>
      </w:pPr>
      <w:r>
        <w:t>25.3</w:t>
      </w:r>
      <w:r>
        <w:tab/>
      </w:r>
      <w:r w:rsidR="00063C0E">
        <w:t>wh</w:t>
      </w:r>
      <w:r w:rsidR="008159F3">
        <w:t>ether such</w:t>
      </w:r>
      <w:r w:rsidR="00063C0E">
        <w:t xml:space="preserve"> a</w:t>
      </w:r>
      <w:r w:rsidR="008159F3">
        <w:t xml:space="preserve"> breach had caused the University to suffer damages and </w:t>
      </w:r>
      <w:r w:rsidR="00204075">
        <w:tab/>
      </w:r>
      <w:r w:rsidR="008159F3">
        <w:t>if so the quantification thereof.</w:t>
      </w:r>
    </w:p>
    <w:p w14:paraId="0778CDE0" w14:textId="5636B455" w:rsidR="008159F3" w:rsidRDefault="00710ACB" w:rsidP="00710ACB">
      <w:pPr>
        <w:spacing w:after="480" w:line="360" w:lineRule="auto"/>
        <w:ind w:firstLine="720"/>
        <w:jc w:val="both"/>
      </w:pPr>
      <w:r>
        <w:t>25.4</w:t>
      </w:r>
      <w:r>
        <w:tab/>
      </w:r>
      <w:r w:rsidR="00063C0E">
        <w:t>wh</w:t>
      </w:r>
      <w:r w:rsidR="008159F3">
        <w:t xml:space="preserve">ether the expenditure </w:t>
      </w:r>
      <w:r w:rsidR="00063C0E">
        <w:t xml:space="preserve">from </w:t>
      </w:r>
      <w:r w:rsidR="008159F3">
        <w:t xml:space="preserve">the cost centres to which Mr Roux had </w:t>
      </w:r>
      <w:r w:rsidR="00204075">
        <w:tab/>
      </w:r>
      <w:r w:rsidR="00204075">
        <w:tab/>
      </w:r>
      <w:r w:rsidR="008159F3">
        <w:t xml:space="preserve">allocated funds was </w:t>
      </w:r>
      <w:r w:rsidR="00063C0E">
        <w:t>“</w:t>
      </w:r>
      <w:r w:rsidR="008159F3">
        <w:t>legitimate</w:t>
      </w:r>
      <w:r w:rsidR="00063C0E">
        <w:t>”</w:t>
      </w:r>
      <w:r w:rsidR="00652B69">
        <w:t>.</w:t>
      </w:r>
    </w:p>
    <w:p w14:paraId="23BC75F8" w14:textId="20874DF4" w:rsidR="00B70F60" w:rsidRDefault="00B70F60" w:rsidP="004A4DE7">
      <w:pPr>
        <w:spacing w:after="480" w:line="360" w:lineRule="auto"/>
        <w:ind w:left="720"/>
        <w:jc w:val="both"/>
      </w:pPr>
      <w:r>
        <w:t xml:space="preserve">In the consideration as to whether Mr Roux had breached his employment contract both the </w:t>
      </w:r>
      <w:r w:rsidR="00063C0E">
        <w:t>I</w:t>
      </w:r>
      <w:r>
        <w:t xml:space="preserve">nitial </w:t>
      </w:r>
      <w:r w:rsidR="00063C0E">
        <w:t>A</w:t>
      </w:r>
      <w:r>
        <w:t xml:space="preserve">rbitrator and the </w:t>
      </w:r>
      <w:r w:rsidR="00063C0E">
        <w:t>A</w:t>
      </w:r>
      <w:r>
        <w:t xml:space="preserve">ppeal </w:t>
      </w:r>
      <w:r w:rsidR="00063C0E">
        <w:t>T</w:t>
      </w:r>
      <w:r>
        <w:t xml:space="preserve">ribunal dealt extensively with the movement of </w:t>
      </w:r>
      <w:r w:rsidR="00172620">
        <w:t>funds by</w:t>
      </w:r>
      <w:r>
        <w:t xml:space="preserve"> Mr Roux through the University’s electronic accounting system from the unrestricted reserv</w:t>
      </w:r>
      <w:r w:rsidR="007162D6">
        <w:t>e</w:t>
      </w:r>
      <w:r>
        <w:t xml:space="preserve">s to that </w:t>
      </w:r>
      <w:r w:rsidR="007162D6">
        <w:t xml:space="preserve">of the four cost centres </w:t>
      </w:r>
      <w:r>
        <w:t>of the Maties</w:t>
      </w:r>
      <w:r w:rsidR="00063C0E">
        <w:t xml:space="preserve"> Rugby</w:t>
      </w:r>
      <w:r>
        <w:t xml:space="preserve"> </w:t>
      </w:r>
      <w:r w:rsidR="00063C0E">
        <w:t>c</w:t>
      </w:r>
      <w:r>
        <w:t>lub under his control. In th</w:t>
      </w:r>
      <w:r w:rsidR="00063C0E">
        <w:t>at</w:t>
      </w:r>
      <w:r>
        <w:t xml:space="preserve"> context </w:t>
      </w:r>
      <w:r w:rsidR="007162D6">
        <w:t xml:space="preserve">they dealt in detail </w:t>
      </w:r>
      <w:r>
        <w:t>with the evidence of Mr Lombard,</w:t>
      </w:r>
      <w:r w:rsidR="00E241A3">
        <w:t xml:space="preserve"> who </w:t>
      </w:r>
      <w:r>
        <w:t xml:space="preserve">occupied the </w:t>
      </w:r>
      <w:r w:rsidR="00E241A3">
        <w:t>position of</w:t>
      </w:r>
      <w:r>
        <w:t xml:space="preserve"> Senior Director</w:t>
      </w:r>
      <w:r w:rsidR="00B23A13">
        <w:t>;</w:t>
      </w:r>
      <w:r>
        <w:t xml:space="preserve"> Finance</w:t>
      </w:r>
      <w:r w:rsidR="00B23A13">
        <w:t xml:space="preserve"> </w:t>
      </w:r>
      <w:r>
        <w:t>and</w:t>
      </w:r>
      <w:r w:rsidR="00B23A13">
        <w:t xml:space="preserve"> then</w:t>
      </w:r>
      <w:r>
        <w:t xml:space="preserve"> that of Chief Director</w:t>
      </w:r>
      <w:r w:rsidR="00B23A13">
        <w:t>;</w:t>
      </w:r>
      <w:r w:rsidR="00BA1B69">
        <w:t xml:space="preserve"> </w:t>
      </w:r>
      <w:r w:rsidR="00B23A13">
        <w:t>Finance.</w:t>
      </w:r>
      <w:r w:rsidR="00D4062F">
        <w:t xml:space="preserve"> Briefly stated</w:t>
      </w:r>
      <w:r>
        <w:t>, Mr Lombard testified</w:t>
      </w:r>
      <w:r w:rsidR="00063C0E">
        <w:t xml:space="preserve"> about</w:t>
      </w:r>
      <w:r>
        <w:t xml:space="preserve"> the allocation of funds from the central cost centre and the closing</w:t>
      </w:r>
      <w:r w:rsidR="00E241A3">
        <w:t>-</w:t>
      </w:r>
      <w:r>
        <w:t xml:space="preserve">of, of various budget cost centres that were available for use in the </w:t>
      </w:r>
      <w:r>
        <w:lastRenderedPageBreak/>
        <w:t>following year. He explained how the funds allocated by Mr Roux to the four cost centres in the rugby club were derived from the University’s accumulated unrestricted reserves. Th</w:t>
      </w:r>
      <w:r w:rsidR="00063C0E">
        <w:t>o</w:t>
      </w:r>
      <w:r>
        <w:t>se allocations</w:t>
      </w:r>
      <w:r w:rsidR="00E15470">
        <w:t>,</w:t>
      </w:r>
      <w:r>
        <w:t xml:space="preserve"> </w:t>
      </w:r>
      <w:r w:rsidR="00FF1896">
        <w:t xml:space="preserve">Mr Lombard </w:t>
      </w:r>
      <w:r w:rsidR="00F347AE">
        <w:t>claimed</w:t>
      </w:r>
      <w:r w:rsidR="00063C0E">
        <w:t>,</w:t>
      </w:r>
      <w:r w:rsidR="00204075">
        <w:t xml:space="preserve"> </w:t>
      </w:r>
      <w:r>
        <w:t>were despite Mr Roux`s assertions to the contrary</w:t>
      </w:r>
      <w:r w:rsidR="00063C0E">
        <w:t>,</w:t>
      </w:r>
      <w:r>
        <w:t xml:space="preserve"> clearly</w:t>
      </w:r>
      <w:r w:rsidR="00E241A3" w:rsidRPr="00F81390">
        <w:t xml:space="preserve"> </w:t>
      </w:r>
      <w:r w:rsidR="00E241A3" w:rsidRPr="00F81390">
        <w:rPr>
          <w:i/>
          <w:u w:val="single"/>
        </w:rPr>
        <w:t>not</w:t>
      </w:r>
      <w:r>
        <w:t xml:space="preserve"> part of his daily financial management activities.</w:t>
      </w:r>
      <w:r w:rsidR="00BA1B69">
        <w:t xml:space="preserve"> </w:t>
      </w:r>
      <w:r w:rsidR="00E241A3">
        <w:t>(my underlining)</w:t>
      </w:r>
      <w:r>
        <w:t xml:space="preserve"> </w:t>
      </w:r>
    </w:p>
    <w:p w14:paraId="069430F4" w14:textId="4D2CEF9D" w:rsidR="00B70F60" w:rsidRDefault="00D4062F" w:rsidP="00D4062F">
      <w:pPr>
        <w:spacing w:after="480" w:line="360" w:lineRule="auto"/>
        <w:ind w:left="720" w:hanging="720"/>
        <w:jc w:val="both"/>
      </w:pPr>
      <w:r>
        <w:t>[2</w:t>
      </w:r>
      <w:r w:rsidR="000B734A">
        <w:t>6</w:t>
      </w:r>
      <w:r>
        <w:t>]</w:t>
      </w:r>
      <w:r>
        <w:tab/>
      </w:r>
      <w:r w:rsidR="00B70F60">
        <w:t xml:space="preserve">Both the </w:t>
      </w:r>
      <w:r w:rsidR="00063C0E">
        <w:t>I</w:t>
      </w:r>
      <w:r w:rsidR="00B70F60">
        <w:t xml:space="preserve">nitial </w:t>
      </w:r>
      <w:r w:rsidR="00063C0E">
        <w:t>A</w:t>
      </w:r>
      <w:r w:rsidR="00B70F60">
        <w:t xml:space="preserve">rbitrator and the </w:t>
      </w:r>
      <w:r w:rsidR="00063C0E">
        <w:t>A</w:t>
      </w:r>
      <w:r w:rsidR="00B70F60">
        <w:t xml:space="preserve">ppeal </w:t>
      </w:r>
      <w:r w:rsidR="00063C0E">
        <w:t>T</w:t>
      </w:r>
      <w:r w:rsidR="00B70F60">
        <w:t xml:space="preserve">ribunal found that to the extent that </w:t>
      </w:r>
      <w:r w:rsidR="00F347AE">
        <w:t xml:space="preserve">Mr </w:t>
      </w:r>
      <w:r w:rsidR="00B70F60">
        <w:t>Lombard’s evidence was not reconcilable with that of Mr Roux, they preferred the version of Mr Lombard. They had also found that Mr Roux had surreptitiously manipulated the University’s unrestricted reserves that fell solely under the authority of the Council of the University.</w:t>
      </w:r>
      <w:r>
        <w:t xml:space="preserve"> </w:t>
      </w:r>
      <w:r w:rsidR="00B70F60">
        <w:t>That,</w:t>
      </w:r>
      <w:r>
        <w:t xml:space="preserve"> </w:t>
      </w:r>
      <w:r w:rsidR="00B70F60">
        <w:t xml:space="preserve">Mr Roux </w:t>
      </w:r>
      <w:r w:rsidR="00F347AE">
        <w:t xml:space="preserve">had </w:t>
      </w:r>
      <w:r w:rsidR="00B70F60">
        <w:t xml:space="preserve">made such funds available </w:t>
      </w:r>
      <w:r w:rsidR="00F347AE">
        <w:t>to</w:t>
      </w:r>
      <w:r w:rsidR="00B70F60">
        <w:t xml:space="preserve"> the four cost centres under the Maties</w:t>
      </w:r>
      <w:r w:rsidR="00063C0E">
        <w:t xml:space="preserve"> Rugby</w:t>
      </w:r>
      <w:r w:rsidR="00B70F60">
        <w:t xml:space="preserve"> Club and then spent the funds.</w:t>
      </w:r>
    </w:p>
    <w:p w14:paraId="05596F4C" w14:textId="05B4F8C8" w:rsidR="003564F7" w:rsidRDefault="00D4062F" w:rsidP="00D4062F">
      <w:pPr>
        <w:spacing w:after="480" w:line="360" w:lineRule="auto"/>
        <w:ind w:left="720" w:hanging="720"/>
        <w:jc w:val="both"/>
      </w:pPr>
      <w:r>
        <w:t>[2</w:t>
      </w:r>
      <w:r w:rsidR="000B734A">
        <w:t>7</w:t>
      </w:r>
      <w:r>
        <w:t>]</w:t>
      </w:r>
      <w:r>
        <w:tab/>
      </w:r>
      <w:r w:rsidR="003564F7">
        <w:t xml:space="preserve">During the course of the proceedings before the </w:t>
      </w:r>
      <w:r w:rsidR="00204075">
        <w:t>I</w:t>
      </w:r>
      <w:r w:rsidR="003564F7">
        <w:t xml:space="preserve">nitial </w:t>
      </w:r>
      <w:r w:rsidR="00204075">
        <w:t>A</w:t>
      </w:r>
      <w:r w:rsidR="003564F7">
        <w:t>rbitrator, and only after the relevant evidence was already lead and proved,</w:t>
      </w:r>
      <w:r>
        <w:t xml:space="preserve"> </w:t>
      </w:r>
      <w:r w:rsidR="003564F7">
        <w:t>Mr Roux amended his plea in which concessions were made in respect of his employment contract that had a bearing on the obligations that were alleged to have been breached by him. As a result, it was ultimately not disputed by him that in the capacities in which he had been employed by the University between 2002 and 2010</w:t>
      </w:r>
      <w:r w:rsidR="00645666">
        <w:t xml:space="preserve"> that</w:t>
      </w:r>
      <w:r w:rsidR="003564F7">
        <w:t xml:space="preserve"> he was obliged to have acted in a manner consistent with the University’s statutes, codes, procedures and the regulations and so too</w:t>
      </w:r>
      <w:r w:rsidR="00645666">
        <w:t>,</w:t>
      </w:r>
      <w:r w:rsidR="003564F7">
        <w:t xml:space="preserve"> with policies and principles of the University approved by its Council. It was both proved in the initial arbitration and found that Mr Roux owed the University a duty of good faith which entailed that he was obliged not to work against its interests. Moreover, it was proved he was obliged to utilise University’s assets only as and when authorised to do so and in accordance with the statutory and regulatory framework of the University. The Appeal Tribunal held that the Initial Arbitrator had correctly remarked that in the position held by Mr Roux in the University he had been placed in a position of trust where reliance on his honesty, integrity and trustworthiness were essential. In respect of the principles of financial management the University contended that it included, amongst other</w:t>
      </w:r>
      <w:r w:rsidR="00F347AE">
        <w:t>s,</w:t>
      </w:r>
      <w:r w:rsidR="003564F7">
        <w:t xml:space="preserve"> at the </w:t>
      </w:r>
      <w:r w:rsidR="003564F7">
        <w:lastRenderedPageBreak/>
        <w:t>relevant time, that the ‘verkryging</w:t>
      </w:r>
      <w:r w:rsidR="001377AA">
        <w:t>’</w:t>
      </w:r>
      <w:r w:rsidR="003564F7">
        <w:t xml:space="preserve"> and the use of money and assets of the University could only be done in terms of principles of good governance and the overall accepted practices of ‘algemene aanvaarde rekeningkundige praktyk…Finansies word bestuur in terme van een geïntegreerde begroting…’  (in terms</w:t>
      </w:r>
      <w:r w:rsidR="00BA4D78">
        <w:t xml:space="preserve"> of</w:t>
      </w:r>
      <w:r w:rsidR="003564F7">
        <w:t xml:space="preserve"> the international standard of Generally Accepted Accounting Principles, GAAP) The budget of the University was one of its central instruments in its strategic and transformational management and was based on a zero balance budgeting principle. The budget of the University was developed and determined on its long term financial plans and based on its business plan and that of its various departments. In the ultimate version of his plea the </w:t>
      </w:r>
      <w:r w:rsidR="00645666">
        <w:t>I</w:t>
      </w:r>
      <w:r w:rsidR="003564F7">
        <w:t>nitial</w:t>
      </w:r>
      <w:r>
        <w:t xml:space="preserve"> </w:t>
      </w:r>
      <w:r w:rsidR="00645666">
        <w:t>A</w:t>
      </w:r>
      <w:r w:rsidR="003564F7">
        <w:t>rb</w:t>
      </w:r>
      <w:r>
        <w:t>i</w:t>
      </w:r>
      <w:r w:rsidR="003564F7">
        <w:t>trator noted that Mr Roux was not prepared to admit the governing financial management principles of the University.</w:t>
      </w:r>
    </w:p>
    <w:p w14:paraId="1D86CD51" w14:textId="1708E156" w:rsidR="002F1F89" w:rsidRDefault="00D4062F" w:rsidP="00D4062F">
      <w:pPr>
        <w:spacing w:after="480" w:line="360" w:lineRule="auto"/>
        <w:ind w:left="720" w:hanging="720"/>
        <w:jc w:val="both"/>
      </w:pPr>
      <w:r>
        <w:t>[2</w:t>
      </w:r>
      <w:r w:rsidR="000B734A">
        <w:t>8</w:t>
      </w:r>
      <w:r>
        <w:t>]</w:t>
      </w:r>
      <w:r>
        <w:tab/>
      </w:r>
      <w:r w:rsidR="0013136F">
        <w:t xml:space="preserve">In </w:t>
      </w:r>
      <w:r w:rsidR="00172620">
        <w:t>response to the claim</w:t>
      </w:r>
      <w:r w:rsidR="00005C07">
        <w:t xml:space="preserve"> and evidence</w:t>
      </w:r>
      <w:r w:rsidR="00172620">
        <w:t xml:space="preserve"> of his lack of authority </w:t>
      </w:r>
      <w:r w:rsidR="00005C07">
        <w:t>to access unreserved funds and to make them available to the four cost centres of the rugby club Mr Roux “vaguely</w:t>
      </w:r>
      <w:r w:rsidR="00D85428">
        <w:t>”</w:t>
      </w:r>
      <w:r w:rsidR="00005C07">
        <w:t xml:space="preserve"> claimed in his amended plea as noted by the </w:t>
      </w:r>
      <w:r w:rsidR="00645666">
        <w:t>A</w:t>
      </w:r>
      <w:r w:rsidR="00005C07">
        <w:t xml:space="preserve">ppeal </w:t>
      </w:r>
      <w:r w:rsidR="00645666">
        <w:t>T</w:t>
      </w:r>
      <w:r w:rsidR="00005C07">
        <w:t xml:space="preserve">ribunal </w:t>
      </w:r>
      <w:r w:rsidR="000F38A9">
        <w:t>that he</w:t>
      </w:r>
      <w:r w:rsidR="00645666">
        <w:t xml:space="preserve"> had </w:t>
      </w:r>
      <w:r w:rsidR="000F38A9">
        <w:t>ostensibly obtained authorisation</w:t>
      </w:r>
      <w:r w:rsidR="00BF6D46">
        <w:t xml:space="preserve"> to make the </w:t>
      </w:r>
      <w:r w:rsidR="00B578F2">
        <w:t xml:space="preserve">allocations (and therefore the </w:t>
      </w:r>
      <w:r w:rsidR="00BF6D46">
        <w:t>expenditure</w:t>
      </w:r>
      <w:r w:rsidR="00B578F2">
        <w:t>)</w:t>
      </w:r>
      <w:r w:rsidR="00BF6D46">
        <w:t xml:space="preserve"> in furtherance of the University`s commitment to transformation </w:t>
      </w:r>
      <w:r w:rsidR="000F38A9">
        <w:t xml:space="preserve">from the </w:t>
      </w:r>
      <w:r w:rsidR="00BF6D46">
        <w:t xml:space="preserve">Vice Chancellor of the University, </w:t>
      </w:r>
      <w:r w:rsidR="0013136F">
        <w:t xml:space="preserve">the late </w:t>
      </w:r>
      <w:r w:rsidR="000F38A9">
        <w:t>Professor Russel Botma</w:t>
      </w:r>
      <w:r w:rsidR="00B578F2">
        <w:t>n</w:t>
      </w:r>
      <w:r w:rsidR="00BF6D46">
        <w:t xml:space="preserve"> </w:t>
      </w:r>
      <w:r w:rsidR="000F38A9">
        <w:t>and one of the Vice</w:t>
      </w:r>
      <w:r w:rsidR="00BF6D46">
        <w:t xml:space="preserve"> Chancellor`s</w:t>
      </w:r>
      <w:r w:rsidR="000F38A9">
        <w:t>, Professor Julian Smith.</w:t>
      </w:r>
      <w:r w:rsidR="00895F39">
        <w:t xml:space="preserve"> </w:t>
      </w:r>
      <w:r w:rsidR="00005C07">
        <w:t xml:space="preserve">The </w:t>
      </w:r>
      <w:r w:rsidR="00CC1ADC">
        <w:t>A</w:t>
      </w:r>
      <w:r w:rsidR="00005C07">
        <w:t xml:space="preserve">ppeal </w:t>
      </w:r>
      <w:r w:rsidR="00CC1ADC">
        <w:t>T</w:t>
      </w:r>
      <w:r w:rsidR="00005C07">
        <w:t xml:space="preserve">ribunal endorsed the </w:t>
      </w:r>
      <w:r w:rsidR="00645666">
        <w:t>I</w:t>
      </w:r>
      <w:r w:rsidR="00005C07">
        <w:t xml:space="preserve">nitial </w:t>
      </w:r>
      <w:r w:rsidR="00645666">
        <w:t>A</w:t>
      </w:r>
      <w:r w:rsidR="00005C07">
        <w:t>rbitrator</w:t>
      </w:r>
      <w:r w:rsidR="002B12F3">
        <w:t>’</w:t>
      </w:r>
      <w:r w:rsidR="00005C07">
        <w:t xml:space="preserve">s swift rejection </w:t>
      </w:r>
      <w:r w:rsidR="003564F7">
        <w:t xml:space="preserve">of Mr </w:t>
      </w:r>
      <w:r w:rsidR="00895F39">
        <w:t>Roux</w:t>
      </w:r>
      <w:r w:rsidR="00F347AE">
        <w:t>’s</w:t>
      </w:r>
      <w:r w:rsidR="00895F39">
        <w:t xml:space="preserve"> contention and very little</w:t>
      </w:r>
      <w:r w:rsidR="003564F7">
        <w:t>,</w:t>
      </w:r>
      <w:r w:rsidR="00895F39">
        <w:t xml:space="preserve"> </w:t>
      </w:r>
      <w:r w:rsidR="003564F7">
        <w:t>if any</w:t>
      </w:r>
      <w:r w:rsidR="00F347AE">
        <w:t>,</w:t>
      </w:r>
      <w:r w:rsidR="003564F7">
        <w:t xml:space="preserve"> reliance was placed on this claim by him in the appeal.</w:t>
      </w:r>
      <w:r w:rsidR="000F38A9">
        <w:t xml:space="preserve"> </w:t>
      </w:r>
    </w:p>
    <w:p w14:paraId="577F5D03" w14:textId="42343426" w:rsidR="000F38A9" w:rsidRDefault="00895F39" w:rsidP="00895F39">
      <w:pPr>
        <w:spacing w:after="480" w:line="360" w:lineRule="auto"/>
        <w:ind w:left="720" w:hanging="720"/>
        <w:jc w:val="both"/>
      </w:pPr>
      <w:r>
        <w:t>[2</w:t>
      </w:r>
      <w:r w:rsidR="000B734A">
        <w:t>9</w:t>
      </w:r>
      <w:r>
        <w:t>]</w:t>
      </w:r>
      <w:r>
        <w:tab/>
      </w:r>
      <w:r w:rsidR="002F1F89">
        <w:t xml:space="preserve">The </w:t>
      </w:r>
      <w:r w:rsidR="00645666">
        <w:t>A</w:t>
      </w:r>
      <w:r w:rsidR="002F1F89">
        <w:t xml:space="preserve">ppeal </w:t>
      </w:r>
      <w:r w:rsidR="00645666">
        <w:t>T</w:t>
      </w:r>
      <w:r w:rsidR="002F1F89">
        <w:t>ribunal</w:t>
      </w:r>
      <w:r w:rsidR="003564F7">
        <w:t xml:space="preserve"> also</w:t>
      </w:r>
      <w:r w:rsidR="002F1F89">
        <w:t xml:space="preserve"> noted that</w:t>
      </w:r>
      <w:r w:rsidR="00F73941">
        <w:t xml:space="preserve"> the </w:t>
      </w:r>
      <w:r w:rsidR="002F1F89">
        <w:t>plea</w:t>
      </w:r>
      <w:r w:rsidR="00DE69FD">
        <w:t xml:space="preserve"> filed by Mr Roux </w:t>
      </w:r>
      <w:r w:rsidR="002F1F89">
        <w:t xml:space="preserve">revealed that instead of making positive statements as to the principles of </w:t>
      </w:r>
      <w:r w:rsidR="00D57536">
        <w:t>f</w:t>
      </w:r>
      <w:r w:rsidR="002F1F89">
        <w:t xml:space="preserve">inancial </w:t>
      </w:r>
      <w:r w:rsidR="00D57536">
        <w:t>m</w:t>
      </w:r>
      <w:r w:rsidR="002F1F89">
        <w:t>anagement that were on his version</w:t>
      </w:r>
      <w:r w:rsidR="00D57536">
        <w:t>,</w:t>
      </w:r>
      <w:r w:rsidR="002F1F89">
        <w:t xml:space="preserve"> applicable at the relevant time, he mostly contented himself with bare denials. </w:t>
      </w:r>
      <w:r w:rsidR="00BE3EE0">
        <w:t xml:space="preserve">It </w:t>
      </w:r>
      <w:r w:rsidR="00D57536">
        <w:t xml:space="preserve">pointed </w:t>
      </w:r>
      <w:r w:rsidR="002F1F89">
        <w:t>out</w:t>
      </w:r>
      <w:r w:rsidR="00D57536">
        <w:t xml:space="preserve"> that </w:t>
      </w:r>
      <w:r w:rsidR="002F1F89">
        <w:t>with regard to questions put to Mr Roux in cross-examination</w:t>
      </w:r>
      <w:r w:rsidR="00645666">
        <w:t>,</w:t>
      </w:r>
      <w:r w:rsidR="002F1F89">
        <w:t xml:space="preserve"> his answers failed to yield any useful </w:t>
      </w:r>
      <w:r w:rsidR="00596E0A">
        <w:t>responses</w:t>
      </w:r>
      <w:r w:rsidR="003564F7">
        <w:t xml:space="preserve">. </w:t>
      </w:r>
      <w:r w:rsidR="00D57536">
        <w:t xml:space="preserve">It noted </w:t>
      </w:r>
      <w:r w:rsidR="002F1F89">
        <w:t>that Mr Roux’s strategy was in various instance</w:t>
      </w:r>
      <w:r w:rsidR="00D96FA9">
        <w:t>s</w:t>
      </w:r>
      <w:r w:rsidR="002F1F89">
        <w:t xml:space="preserve"> glaringly </w:t>
      </w:r>
      <w:r w:rsidR="00D57536">
        <w:t>“</w:t>
      </w:r>
      <w:r w:rsidR="002F1F89">
        <w:t>evasive, consisting as it did of re</w:t>
      </w:r>
      <w:r w:rsidR="006D5ED7">
        <w:t>a</w:t>
      </w:r>
      <w:r w:rsidR="002F1F89">
        <w:t xml:space="preserve">ms of </w:t>
      </w:r>
      <w:r w:rsidR="006D5ED7">
        <w:t>bald denials in his ultimatel</w:t>
      </w:r>
      <w:r w:rsidR="00D96FA9">
        <w:t xml:space="preserve">y amended </w:t>
      </w:r>
      <w:r w:rsidR="00D96FA9">
        <w:lastRenderedPageBreak/>
        <w:t xml:space="preserve">plea. His evidence they noted was </w:t>
      </w:r>
      <w:r w:rsidR="006D5ED7">
        <w:t>evasive</w:t>
      </w:r>
      <w:r w:rsidR="002B2A3E">
        <w:t>,</w:t>
      </w:r>
      <w:r w:rsidR="006D5ED7">
        <w:t xml:space="preserve"> argumentative and smacked of sophism.</w:t>
      </w:r>
      <w:r w:rsidR="007C0086">
        <w:t>”</w:t>
      </w:r>
    </w:p>
    <w:p w14:paraId="0943371D" w14:textId="7603D087" w:rsidR="006D5ED7" w:rsidRDefault="002B12F3" w:rsidP="002B12F3">
      <w:pPr>
        <w:spacing w:after="480" w:line="360" w:lineRule="auto"/>
        <w:ind w:left="720" w:hanging="720"/>
        <w:jc w:val="both"/>
      </w:pPr>
      <w:r>
        <w:t>[</w:t>
      </w:r>
      <w:r w:rsidR="000B734A">
        <w:t>30</w:t>
      </w:r>
      <w:r>
        <w:t>]</w:t>
      </w:r>
      <w:r>
        <w:tab/>
      </w:r>
      <w:r w:rsidR="009E7ED9">
        <w:t xml:space="preserve">The arbitrators </w:t>
      </w:r>
      <w:r w:rsidR="00D107FA">
        <w:t xml:space="preserve">found that </w:t>
      </w:r>
      <w:r w:rsidR="009E7ED9">
        <w:t>Mr Roux</w:t>
      </w:r>
      <w:r w:rsidR="00D107FA">
        <w:t xml:space="preserve"> had planned th</w:t>
      </w:r>
      <w:r w:rsidR="009E7ED9">
        <w:t xml:space="preserve">ese transfers </w:t>
      </w:r>
      <w:r w:rsidR="00D107FA">
        <w:t xml:space="preserve">methodically and then surreptitiously executed the scheme over several years </w:t>
      </w:r>
      <w:r w:rsidR="009E7ED9">
        <w:t>by</w:t>
      </w:r>
      <w:r w:rsidR="00D107FA">
        <w:t xml:space="preserve"> circumventing the decision making and budgeting process</w:t>
      </w:r>
      <w:r w:rsidR="009E7ED9">
        <w:t>es of the University</w:t>
      </w:r>
      <w:r w:rsidR="00D107FA">
        <w:t>.</w:t>
      </w:r>
      <w:r w:rsidR="00BA1B69">
        <w:t xml:space="preserve"> </w:t>
      </w:r>
      <w:r w:rsidR="00BA4D78">
        <w:t>He was found not to have acted in good faith and was dishonest in his conduct.</w:t>
      </w:r>
      <w:r w:rsidR="00D107FA">
        <w:t xml:space="preserve"> </w:t>
      </w:r>
      <w:r w:rsidR="00BA4D78">
        <w:t xml:space="preserve">The </w:t>
      </w:r>
      <w:r w:rsidR="00645666">
        <w:t>A</w:t>
      </w:r>
      <w:r w:rsidR="00D107FA">
        <w:t xml:space="preserve">ppeal </w:t>
      </w:r>
      <w:r w:rsidR="00645666">
        <w:t>T</w:t>
      </w:r>
      <w:r w:rsidR="00D107FA">
        <w:t xml:space="preserve">ribunal </w:t>
      </w:r>
      <w:r w:rsidR="009E7ED9">
        <w:t xml:space="preserve">remarked </w:t>
      </w:r>
      <w:r w:rsidR="00645666">
        <w:t xml:space="preserve">further </w:t>
      </w:r>
      <w:r w:rsidR="009E7ED9">
        <w:t>that</w:t>
      </w:r>
      <w:r w:rsidR="00D107FA">
        <w:t>:</w:t>
      </w:r>
    </w:p>
    <w:p w14:paraId="72A61698" w14:textId="5F210C80" w:rsidR="00B074BB" w:rsidRPr="00B074BB" w:rsidRDefault="00D107FA" w:rsidP="00B074BB">
      <w:pPr>
        <w:pStyle w:val="BowLevel2ListAlt"/>
        <w:numPr>
          <w:ilvl w:val="0"/>
          <w:numId w:val="0"/>
        </w:numPr>
        <w:spacing w:before="240" w:after="240"/>
        <w:ind w:left="992"/>
        <w:rPr>
          <w:rFonts w:ascii="Arial" w:hAnsi="Arial" w:cs="Arial"/>
          <w:iCs/>
          <w:sz w:val="22"/>
          <w:szCs w:val="22"/>
        </w:rPr>
      </w:pPr>
      <w:r w:rsidRPr="00B074BB">
        <w:rPr>
          <w:sz w:val="22"/>
          <w:szCs w:val="22"/>
        </w:rPr>
        <w:t>‘</w:t>
      </w:r>
      <w:r w:rsidR="00B074BB" w:rsidRPr="00B074BB">
        <w:rPr>
          <w:rFonts w:ascii="Arial" w:hAnsi="Arial" w:cs="Arial"/>
          <w:iCs/>
          <w:sz w:val="22"/>
          <w:szCs w:val="22"/>
        </w:rPr>
        <w:t>A considerable body of evidence was adduced on behalf of US in relation to the manner in which the components of the re-allocated funds that had derived from the unrestricted reserves were applied or rather “misapplied” by Mr Roux.  This included the evidence of Mr R Waligora, which was based on a series of documents that he had prepared and that became known as “Roy1” to “Roy8”, and the detailed annexures thereto. This detailed evidence was not addressed by Mr Roux …</w:t>
      </w:r>
      <w:r w:rsidR="00BE0934">
        <w:rPr>
          <w:rFonts w:ascii="Arial" w:hAnsi="Arial" w:cs="Arial"/>
          <w:iCs/>
          <w:sz w:val="22"/>
          <w:szCs w:val="22"/>
        </w:rPr>
        <w:t>’</w:t>
      </w:r>
    </w:p>
    <w:p w14:paraId="68BDB4DC" w14:textId="403E881C" w:rsidR="00BE0934" w:rsidRDefault="00BE0934" w:rsidP="00D107FA">
      <w:pPr>
        <w:spacing w:after="480" w:line="360" w:lineRule="auto"/>
        <w:ind w:left="720"/>
        <w:jc w:val="both"/>
      </w:pPr>
      <w:r>
        <w:t>The Appeal Tribunal found that:</w:t>
      </w:r>
    </w:p>
    <w:p w14:paraId="50D04EA3" w14:textId="77777777" w:rsidR="00BE0934" w:rsidRPr="00B074BB" w:rsidRDefault="00BE0934" w:rsidP="00BE0934">
      <w:pPr>
        <w:pStyle w:val="BowLevel2ListAlt"/>
        <w:numPr>
          <w:ilvl w:val="0"/>
          <w:numId w:val="0"/>
        </w:numPr>
        <w:spacing w:before="240" w:after="240"/>
        <w:ind w:left="992"/>
        <w:rPr>
          <w:rFonts w:ascii="Arial" w:hAnsi="Arial" w:cs="Arial"/>
          <w:iCs/>
          <w:sz w:val="22"/>
          <w:szCs w:val="22"/>
        </w:rPr>
      </w:pPr>
      <w:r>
        <w:t xml:space="preserve"> </w:t>
      </w:r>
      <w:r w:rsidRPr="00B074BB">
        <w:rPr>
          <w:rFonts w:ascii="Arial" w:hAnsi="Arial" w:cs="Arial"/>
          <w:iCs/>
          <w:sz w:val="22"/>
          <w:szCs w:val="22"/>
        </w:rPr>
        <w:t>Some of the funds …</w:t>
      </w:r>
    </w:p>
    <w:p w14:paraId="6265A093" w14:textId="77777777" w:rsidR="00BE0934" w:rsidRPr="00B074BB" w:rsidRDefault="00BE0934" w:rsidP="00BE0934">
      <w:pPr>
        <w:pStyle w:val="BowLevel2ListAlt"/>
        <w:numPr>
          <w:ilvl w:val="0"/>
          <w:numId w:val="0"/>
        </w:numPr>
        <w:spacing w:before="240" w:after="240"/>
        <w:ind w:left="1843" w:hanging="850"/>
        <w:rPr>
          <w:rFonts w:ascii="Arial" w:hAnsi="Arial" w:cs="Arial"/>
          <w:iCs/>
          <w:sz w:val="22"/>
          <w:szCs w:val="22"/>
        </w:rPr>
      </w:pPr>
      <w:r w:rsidRPr="00B074BB">
        <w:rPr>
          <w:rFonts w:ascii="Arial" w:hAnsi="Arial" w:cs="Arial"/>
          <w:iCs/>
          <w:sz w:val="22"/>
          <w:szCs w:val="22"/>
        </w:rPr>
        <w:t>(1)</w:t>
      </w:r>
      <w:r w:rsidRPr="00B074BB">
        <w:rPr>
          <w:rFonts w:ascii="Arial" w:hAnsi="Arial" w:cs="Arial"/>
          <w:iCs/>
          <w:sz w:val="22"/>
          <w:szCs w:val="22"/>
        </w:rPr>
        <w:tab/>
        <w:t>found their way into Mr Roux’s personal account, which he said was a repayment of amounts that had been owing by the Rugby Club to a student. It turned out that an amount that Mr Roux had arranged to be paid to this student as a bursary was in truth for rental, which was alleged to have been owing by the Rugby Club to this student, but who had no longer been a student of US;</w:t>
      </w:r>
    </w:p>
    <w:p w14:paraId="6FCE0DAD" w14:textId="77777777" w:rsidR="00BE0934" w:rsidRPr="00B074BB" w:rsidRDefault="00BE0934" w:rsidP="00BE0934">
      <w:pPr>
        <w:pStyle w:val="BowLevel2ListAlt"/>
        <w:numPr>
          <w:ilvl w:val="0"/>
          <w:numId w:val="0"/>
        </w:numPr>
        <w:spacing w:before="240" w:after="240"/>
        <w:ind w:left="1843" w:hanging="850"/>
        <w:rPr>
          <w:rFonts w:ascii="Arial" w:hAnsi="Arial" w:cs="Arial"/>
          <w:iCs/>
          <w:sz w:val="22"/>
          <w:szCs w:val="22"/>
        </w:rPr>
      </w:pPr>
      <w:r w:rsidRPr="00B074BB">
        <w:rPr>
          <w:rFonts w:ascii="Arial" w:hAnsi="Arial" w:cs="Arial"/>
          <w:iCs/>
          <w:sz w:val="22"/>
          <w:szCs w:val="22"/>
        </w:rPr>
        <w:t>(2)</w:t>
      </w:r>
      <w:r w:rsidRPr="00B074BB">
        <w:rPr>
          <w:rFonts w:ascii="Arial" w:hAnsi="Arial" w:cs="Arial"/>
          <w:iCs/>
          <w:sz w:val="22"/>
          <w:szCs w:val="22"/>
        </w:rPr>
        <w:tab/>
        <w:t>were said by Mr Roux to have been spent on rental and food for rugby players, but which expenses had been shown in the financial statements as bursaries;</w:t>
      </w:r>
    </w:p>
    <w:p w14:paraId="4EEFA3BA" w14:textId="77777777" w:rsidR="00BE0934" w:rsidRPr="00B074BB" w:rsidRDefault="00BE0934" w:rsidP="00BE0934">
      <w:pPr>
        <w:pStyle w:val="BowLevel2ListAlt"/>
        <w:numPr>
          <w:ilvl w:val="0"/>
          <w:numId w:val="0"/>
        </w:numPr>
        <w:spacing w:before="240" w:after="240"/>
        <w:ind w:left="1843" w:hanging="850"/>
        <w:rPr>
          <w:rFonts w:ascii="Arial" w:hAnsi="Arial" w:cs="Arial"/>
          <w:iCs/>
          <w:sz w:val="22"/>
          <w:szCs w:val="22"/>
        </w:rPr>
      </w:pPr>
      <w:r w:rsidRPr="00B074BB">
        <w:rPr>
          <w:rFonts w:ascii="Arial" w:hAnsi="Arial" w:cs="Arial"/>
          <w:iCs/>
          <w:sz w:val="22"/>
          <w:szCs w:val="22"/>
        </w:rPr>
        <w:t>(3)</w:t>
      </w:r>
      <w:r w:rsidRPr="00B074BB">
        <w:rPr>
          <w:rFonts w:ascii="Arial" w:hAnsi="Arial" w:cs="Arial"/>
          <w:iCs/>
          <w:sz w:val="22"/>
          <w:szCs w:val="22"/>
        </w:rPr>
        <w:tab/>
        <w:t>and, specifically, those in cost centre R593 were used by Mr Roux to pay for travel and subsistence, clothing, refreshments, golf balls, entertainment, and for a house dance for one of the residences</w:t>
      </w:r>
      <w:r>
        <w:rPr>
          <w:rFonts w:ascii="Arial" w:hAnsi="Arial" w:cs="Arial"/>
          <w:iCs/>
          <w:sz w:val="22"/>
          <w:szCs w:val="22"/>
        </w:rPr>
        <w:t>.’</w:t>
      </w:r>
    </w:p>
    <w:p w14:paraId="1DA5D6E6" w14:textId="3D14A160" w:rsidR="00011F16" w:rsidRDefault="00011F16" w:rsidP="00BE0934">
      <w:pPr>
        <w:spacing w:line="360" w:lineRule="auto"/>
        <w:ind w:left="720"/>
        <w:jc w:val="both"/>
        <w:rPr>
          <w:iCs/>
        </w:rPr>
      </w:pPr>
    </w:p>
    <w:p w14:paraId="51BF8C8F" w14:textId="194283DD" w:rsidR="00011F16" w:rsidRDefault="00011F16" w:rsidP="00011F16">
      <w:pPr>
        <w:spacing w:after="480" w:line="360" w:lineRule="auto"/>
        <w:ind w:left="720"/>
        <w:jc w:val="both"/>
      </w:pPr>
      <w:r>
        <w:lastRenderedPageBreak/>
        <w:t xml:space="preserve">The finding of the </w:t>
      </w:r>
      <w:r w:rsidR="00645666">
        <w:t>I</w:t>
      </w:r>
      <w:r>
        <w:t xml:space="preserve">nitial </w:t>
      </w:r>
      <w:r w:rsidR="00645666">
        <w:t>A</w:t>
      </w:r>
      <w:r>
        <w:t xml:space="preserve">rbitrator and endorsed by the Appeal Tribunal </w:t>
      </w:r>
      <w:r w:rsidR="00645666">
        <w:t>was</w:t>
      </w:r>
      <w:r>
        <w:t xml:space="preserve"> recorded as; </w:t>
      </w:r>
    </w:p>
    <w:p w14:paraId="3C803AB8" w14:textId="77777777" w:rsidR="00011F16" w:rsidRDefault="00011F16" w:rsidP="00011F16">
      <w:pPr>
        <w:pStyle w:val="BowLevel2ListAlt"/>
        <w:numPr>
          <w:ilvl w:val="0"/>
          <w:numId w:val="0"/>
        </w:numPr>
        <w:tabs>
          <w:tab w:val="left" w:pos="720"/>
        </w:tabs>
        <w:spacing w:before="240" w:after="240"/>
        <w:ind w:left="720"/>
        <w:rPr>
          <w:rFonts w:ascii="Arial" w:hAnsi="Arial" w:cs="Arial"/>
          <w:iCs/>
          <w:sz w:val="22"/>
          <w:szCs w:val="22"/>
        </w:rPr>
      </w:pPr>
      <w:r>
        <w:rPr>
          <w:rFonts w:ascii="Arial" w:hAnsi="Arial" w:cs="Arial"/>
          <w:iCs/>
          <w:sz w:val="22"/>
          <w:szCs w:val="22"/>
        </w:rPr>
        <w:t xml:space="preserve">“… It is not in dispute that the funds allocated to the four cost centres by Roux found their way out of the University. The fact that the correct procedures may have been followed in expending the proceeds of the </w:t>
      </w:r>
      <w:r w:rsidRPr="00D96FA9">
        <w:rPr>
          <w:rFonts w:ascii="Arial" w:hAnsi="Arial" w:cs="Arial"/>
          <w:iCs/>
          <w:sz w:val="22"/>
          <w:szCs w:val="22"/>
        </w:rPr>
        <w:t>allocation does not render the expenditure legitimate where the source of the expenditure is allocations made in breach of Roux’s</w:t>
      </w:r>
      <w:r>
        <w:rPr>
          <w:rFonts w:ascii="Arial" w:hAnsi="Arial" w:cs="Arial"/>
          <w:iCs/>
          <w:sz w:val="22"/>
          <w:szCs w:val="22"/>
        </w:rPr>
        <w:t xml:space="preserve"> contract of employment…</w:t>
      </w:r>
    </w:p>
    <w:p w14:paraId="1E59667C" w14:textId="77777777" w:rsidR="00011F16" w:rsidRDefault="00011F16" w:rsidP="00011F16">
      <w:pPr>
        <w:pStyle w:val="BowLevel2ListAlt"/>
        <w:numPr>
          <w:ilvl w:val="0"/>
          <w:numId w:val="0"/>
        </w:numPr>
        <w:tabs>
          <w:tab w:val="left" w:pos="720"/>
        </w:tabs>
        <w:spacing w:before="240" w:after="240"/>
        <w:ind w:left="720"/>
        <w:rPr>
          <w:rFonts w:ascii="Arial" w:hAnsi="Arial" w:cs="Arial"/>
          <w:iCs/>
          <w:sz w:val="22"/>
          <w:szCs w:val="22"/>
        </w:rPr>
      </w:pPr>
      <w:r>
        <w:rPr>
          <w:rFonts w:ascii="Arial" w:hAnsi="Arial" w:cs="Arial"/>
          <w:iCs/>
          <w:sz w:val="22"/>
          <w:szCs w:val="22"/>
        </w:rPr>
        <w:t xml:space="preserve">… Roux was not entitled to allocate funds to the four cost centres and </w:t>
      </w:r>
      <w:r w:rsidRPr="00D96FA9">
        <w:rPr>
          <w:rFonts w:ascii="Arial" w:hAnsi="Arial" w:cs="Arial"/>
          <w:iCs/>
          <w:sz w:val="22"/>
          <w:szCs w:val="22"/>
        </w:rPr>
        <w:t>payments m</w:t>
      </w:r>
      <w:r>
        <w:rPr>
          <w:rFonts w:ascii="Arial" w:hAnsi="Arial" w:cs="Arial"/>
          <w:iCs/>
          <w:sz w:val="22"/>
          <w:szCs w:val="22"/>
        </w:rPr>
        <w:t xml:space="preserve">ade from these cost centres </w:t>
      </w:r>
      <w:r w:rsidRPr="00D96FA9">
        <w:rPr>
          <w:rFonts w:ascii="Arial" w:hAnsi="Arial" w:cs="Arial"/>
          <w:iCs/>
          <w:sz w:val="22"/>
          <w:szCs w:val="22"/>
        </w:rPr>
        <w:t>did not take on a cloak of legitimacy</w:t>
      </w:r>
      <w:r>
        <w:rPr>
          <w:rFonts w:ascii="Arial" w:hAnsi="Arial" w:cs="Arial"/>
          <w:iCs/>
          <w:sz w:val="22"/>
          <w:szCs w:val="22"/>
        </w:rPr>
        <w:t xml:space="preserve"> merely because the correct procedure was followed in authorising and making subsequent payments …”</w:t>
      </w:r>
    </w:p>
    <w:p w14:paraId="3AFD4DB7" w14:textId="7190BA17" w:rsidR="00F73941" w:rsidRDefault="00F73941" w:rsidP="00011F16">
      <w:pPr>
        <w:spacing w:line="360" w:lineRule="auto"/>
        <w:ind w:left="720"/>
        <w:jc w:val="both"/>
        <w:rPr>
          <w:iCs/>
          <w:sz w:val="22"/>
          <w:szCs w:val="22"/>
        </w:rPr>
      </w:pPr>
    </w:p>
    <w:p w14:paraId="12D20443" w14:textId="39F3843F" w:rsidR="008F568D" w:rsidRDefault="00F347AE" w:rsidP="00F347AE">
      <w:pPr>
        <w:pStyle w:val="Level2"/>
        <w:numPr>
          <w:ilvl w:val="0"/>
          <w:numId w:val="0"/>
        </w:numPr>
        <w:spacing w:line="360" w:lineRule="auto"/>
        <w:ind w:left="720" w:hanging="720"/>
        <w:rPr>
          <w:lang w:val="en-GB"/>
        </w:rPr>
      </w:pPr>
      <w:r>
        <w:rPr>
          <w:lang w:val="en-GB"/>
        </w:rPr>
        <w:t>[3</w:t>
      </w:r>
      <w:r w:rsidR="000B734A">
        <w:rPr>
          <w:lang w:val="en-GB"/>
        </w:rPr>
        <w:t>1</w:t>
      </w:r>
      <w:r>
        <w:rPr>
          <w:lang w:val="en-GB"/>
        </w:rPr>
        <w:t>]</w:t>
      </w:r>
      <w:r>
        <w:rPr>
          <w:lang w:val="en-GB"/>
        </w:rPr>
        <w:tab/>
        <w:t xml:space="preserve">Further, in respect of the contention by Mr Roux that the University had </w:t>
      </w:r>
      <w:r w:rsidR="00BB4761">
        <w:rPr>
          <w:lang w:val="en-GB"/>
        </w:rPr>
        <w:t xml:space="preserve">not </w:t>
      </w:r>
      <w:r>
        <w:rPr>
          <w:lang w:val="en-GB"/>
        </w:rPr>
        <w:t xml:space="preserve">established the quantum of its loss, the </w:t>
      </w:r>
      <w:r w:rsidR="00ED4AF7">
        <w:rPr>
          <w:lang w:val="en-GB"/>
        </w:rPr>
        <w:t>A</w:t>
      </w:r>
      <w:r>
        <w:rPr>
          <w:lang w:val="en-GB"/>
        </w:rPr>
        <w:t xml:space="preserve">ppeal </w:t>
      </w:r>
      <w:r w:rsidR="00ED4AF7">
        <w:rPr>
          <w:lang w:val="en-GB"/>
        </w:rPr>
        <w:t>T</w:t>
      </w:r>
      <w:r>
        <w:rPr>
          <w:lang w:val="en-GB"/>
        </w:rPr>
        <w:t>ribunal dealt extensively with that claim</w:t>
      </w:r>
      <w:r w:rsidR="00B40C24">
        <w:rPr>
          <w:lang w:val="en-GB"/>
        </w:rPr>
        <w:t>. T</w:t>
      </w:r>
      <w:r>
        <w:rPr>
          <w:lang w:val="en-GB"/>
        </w:rPr>
        <w:t xml:space="preserve">he </w:t>
      </w:r>
      <w:r w:rsidR="00ED4AF7">
        <w:rPr>
          <w:lang w:val="en-GB"/>
        </w:rPr>
        <w:t>I</w:t>
      </w:r>
      <w:r>
        <w:rPr>
          <w:lang w:val="en-GB"/>
        </w:rPr>
        <w:t xml:space="preserve">nitial </w:t>
      </w:r>
      <w:r w:rsidR="00ED4AF7">
        <w:rPr>
          <w:lang w:val="en-GB"/>
        </w:rPr>
        <w:t>A</w:t>
      </w:r>
      <w:r>
        <w:rPr>
          <w:lang w:val="en-GB"/>
        </w:rPr>
        <w:t xml:space="preserve">rbitrator </w:t>
      </w:r>
      <w:r w:rsidR="00B40C24">
        <w:rPr>
          <w:lang w:val="en-GB"/>
        </w:rPr>
        <w:t>found</w:t>
      </w:r>
      <w:r>
        <w:rPr>
          <w:lang w:val="en-GB"/>
        </w:rPr>
        <w:t xml:space="preserve"> that the University had suffered a patrimonial loss through the unlawful allocations and expenditure</w:t>
      </w:r>
      <w:r w:rsidR="008F568D">
        <w:rPr>
          <w:lang w:val="en-GB"/>
        </w:rPr>
        <w:t xml:space="preserve"> as follows</w:t>
      </w:r>
      <w:r w:rsidR="00ED4AF7">
        <w:rPr>
          <w:lang w:val="en-GB"/>
        </w:rPr>
        <w:t>;</w:t>
      </w:r>
      <w:r w:rsidR="008F568D">
        <w:rPr>
          <w:lang w:val="en-GB"/>
        </w:rPr>
        <w:t xml:space="preserve"> </w:t>
      </w:r>
    </w:p>
    <w:p w14:paraId="1C5031A1" w14:textId="1A77F6FA" w:rsidR="008F568D" w:rsidRDefault="00ED4AF7" w:rsidP="008F568D">
      <w:pPr>
        <w:pStyle w:val="BowLevel2ListAlt"/>
        <w:numPr>
          <w:ilvl w:val="0"/>
          <w:numId w:val="0"/>
        </w:numPr>
        <w:tabs>
          <w:tab w:val="left" w:pos="720"/>
        </w:tabs>
        <w:spacing w:before="240" w:after="240"/>
        <w:ind w:left="720"/>
        <w:rPr>
          <w:rFonts w:ascii="Arial" w:hAnsi="Arial" w:cs="Arial"/>
          <w:iCs/>
          <w:sz w:val="22"/>
          <w:szCs w:val="22"/>
        </w:rPr>
      </w:pPr>
      <w:r>
        <w:rPr>
          <w:rFonts w:ascii="Arial" w:hAnsi="Arial" w:cs="Arial"/>
          <w:iCs/>
          <w:sz w:val="22"/>
          <w:szCs w:val="22"/>
        </w:rPr>
        <w:t>“</w:t>
      </w:r>
      <w:r w:rsidR="008F568D">
        <w:rPr>
          <w:rFonts w:ascii="Arial" w:hAnsi="Arial" w:cs="Arial"/>
          <w:iCs/>
          <w:sz w:val="22"/>
          <w:szCs w:val="22"/>
        </w:rPr>
        <w:t>…..But there is no invitation to indulge in speculation … The amount of money lost to the University as a consequence of Roux’s breach, both in respect of the allocation of funds to the four cost centres and in relation to the payment required to be made to rectify the deficit in R593, is established merely by having regard to the admitted transactions</w:t>
      </w:r>
      <w:r w:rsidR="008F568D">
        <w:rPr>
          <w:rFonts w:ascii="Arial" w:hAnsi="Arial" w:cs="Arial"/>
          <w:sz w:val="22"/>
          <w:szCs w:val="22"/>
        </w:rPr>
        <w:t xml:space="preserve"> [see par 36-38 of the Arbitration Award</w:t>
      </w:r>
      <w:r w:rsidR="008F568D">
        <w:rPr>
          <w:rFonts w:ascii="Arial" w:hAnsi="Arial" w:cs="Arial"/>
          <w:iCs/>
          <w:sz w:val="22"/>
          <w:szCs w:val="22"/>
        </w:rPr>
        <w:t>.</w:t>
      </w:r>
    </w:p>
    <w:p w14:paraId="4B8CBE7C" w14:textId="77777777" w:rsidR="008F568D" w:rsidRDefault="008F568D" w:rsidP="008F568D">
      <w:pPr>
        <w:spacing w:line="360" w:lineRule="auto"/>
        <w:ind w:firstLine="720"/>
        <w:jc w:val="both"/>
        <w:rPr>
          <w:iCs/>
          <w:sz w:val="22"/>
          <w:szCs w:val="22"/>
        </w:rPr>
      </w:pPr>
      <w:r>
        <w:rPr>
          <w:iCs/>
          <w:sz w:val="22"/>
          <w:szCs w:val="22"/>
        </w:rPr>
        <w:t>…It is clear from the particulars of claim that the reduction of its patrimony of which</w:t>
      </w:r>
    </w:p>
    <w:p w14:paraId="71748272" w14:textId="1CFCBFE6" w:rsidR="008F568D" w:rsidRDefault="008F568D" w:rsidP="008F568D">
      <w:pPr>
        <w:spacing w:line="360" w:lineRule="auto"/>
        <w:ind w:left="720"/>
        <w:jc w:val="both"/>
        <w:rPr>
          <w:iCs/>
          <w:sz w:val="22"/>
          <w:szCs w:val="22"/>
        </w:rPr>
      </w:pPr>
      <w:r>
        <w:rPr>
          <w:iCs/>
          <w:sz w:val="22"/>
          <w:szCs w:val="22"/>
        </w:rPr>
        <w:t>the University complains is precisely the sum allocated to the four cost centres by Roux and subsequently paid out of the University, coupled with the deficit in R593 … The University proved a reduction in its patrimony equal to the amount of its claim in the sense that its reserves would, over the relevant period, have been greater than they were to the extent of the loss suffered.’</w:t>
      </w:r>
    </w:p>
    <w:p w14:paraId="275AAF3A" w14:textId="5BE5656D" w:rsidR="00C202EE" w:rsidRDefault="00C202EE" w:rsidP="008F568D">
      <w:pPr>
        <w:spacing w:line="360" w:lineRule="auto"/>
        <w:ind w:left="720"/>
        <w:jc w:val="both"/>
        <w:rPr>
          <w:iCs/>
          <w:sz w:val="22"/>
          <w:szCs w:val="22"/>
        </w:rPr>
      </w:pPr>
    </w:p>
    <w:p w14:paraId="0A70E3E3" w14:textId="5EB25124" w:rsidR="00C202EE" w:rsidRDefault="00C202EE" w:rsidP="008F568D">
      <w:pPr>
        <w:spacing w:line="360" w:lineRule="auto"/>
        <w:ind w:left="720"/>
        <w:jc w:val="both"/>
        <w:rPr>
          <w:iCs/>
          <w:sz w:val="22"/>
          <w:szCs w:val="22"/>
        </w:rPr>
      </w:pPr>
      <w:r>
        <w:t xml:space="preserve">The </w:t>
      </w:r>
      <w:r w:rsidR="00ED4AF7">
        <w:t>I</w:t>
      </w:r>
      <w:r>
        <w:t xml:space="preserve">nitial </w:t>
      </w:r>
      <w:r w:rsidR="00ED4AF7">
        <w:t>A</w:t>
      </w:r>
      <w:r>
        <w:t xml:space="preserve">rbitrator also found that Mr Roux had not pleaded that the money expanded by Mr Roux had been used to acquire some asset, the value of which should been taken into account in assessing the damages. Absent that pleading and proof of the allegation it was not incumbent upon the University to prove </w:t>
      </w:r>
      <w:r>
        <w:lastRenderedPageBreak/>
        <w:t xml:space="preserve">“the nature, extent and value” of any benefit obtained as a result of the unlawful expenditure of the funds </w:t>
      </w:r>
      <w:r w:rsidR="00ED4AF7">
        <w:t>im</w:t>
      </w:r>
      <w:r>
        <w:t>properly allocated to the cost centres of the rugby club. I should point out though</w:t>
      </w:r>
      <w:r w:rsidR="00ED4AF7">
        <w:t>,</w:t>
      </w:r>
      <w:r>
        <w:t xml:space="preserve"> that the “value” of the benefits related to </w:t>
      </w:r>
      <w:r w:rsidR="00ED4AF7">
        <w:t>the</w:t>
      </w:r>
      <w:r>
        <w:t xml:space="preserve"> quantification</w:t>
      </w:r>
      <w:r w:rsidR="00ED4AF7">
        <w:t xml:space="preserve"> of the damages </w:t>
      </w:r>
      <w:r>
        <w:t xml:space="preserve">as per </w:t>
      </w:r>
      <w:r>
        <w:rPr>
          <w:i/>
        </w:rPr>
        <w:t>Japmoco.</w:t>
      </w:r>
      <w:r>
        <w:t xml:space="preserve"> The University would, if benefits were pleaded and proved have been required to</w:t>
      </w:r>
      <w:r w:rsidR="00ED4AF7">
        <w:t xml:space="preserve"> have </w:t>
      </w:r>
      <w:r>
        <w:t>assist</w:t>
      </w:r>
      <w:r w:rsidR="00ED4AF7">
        <w:t>ed</w:t>
      </w:r>
      <w:r>
        <w:t xml:space="preserve"> the </w:t>
      </w:r>
      <w:r w:rsidR="00ED4AF7">
        <w:t>I</w:t>
      </w:r>
      <w:r>
        <w:t xml:space="preserve">nitial </w:t>
      </w:r>
      <w:r w:rsidR="00ED4AF7">
        <w:t>A</w:t>
      </w:r>
      <w:r>
        <w:t xml:space="preserve">rbitrator in the quantification of </w:t>
      </w:r>
      <w:r w:rsidR="00ED4AF7">
        <w:t xml:space="preserve">the </w:t>
      </w:r>
      <w:r>
        <w:t xml:space="preserve">benefit.  </w:t>
      </w:r>
    </w:p>
    <w:p w14:paraId="1C0B6B5B" w14:textId="77777777" w:rsidR="008F568D" w:rsidRDefault="008F568D" w:rsidP="00F347AE">
      <w:pPr>
        <w:pStyle w:val="Level2"/>
        <w:numPr>
          <w:ilvl w:val="0"/>
          <w:numId w:val="0"/>
        </w:numPr>
        <w:spacing w:line="360" w:lineRule="auto"/>
        <w:ind w:left="720" w:hanging="720"/>
        <w:rPr>
          <w:lang w:val="en-GB"/>
        </w:rPr>
      </w:pPr>
    </w:p>
    <w:p w14:paraId="6D099B36" w14:textId="3B03EAA5" w:rsidR="00F347AE" w:rsidRDefault="00B40C24" w:rsidP="00BA1B69">
      <w:pPr>
        <w:pStyle w:val="Level2"/>
        <w:numPr>
          <w:ilvl w:val="0"/>
          <w:numId w:val="0"/>
        </w:numPr>
        <w:spacing w:line="360" w:lineRule="auto"/>
        <w:ind w:left="720"/>
        <w:rPr>
          <w:lang w:val="en-GB"/>
        </w:rPr>
      </w:pPr>
      <w:r>
        <w:rPr>
          <w:lang w:val="en-GB"/>
        </w:rPr>
        <w:t xml:space="preserve">In the heads of argument filed in the appeal </w:t>
      </w:r>
      <w:r w:rsidR="00BB4761">
        <w:rPr>
          <w:lang w:val="en-GB"/>
        </w:rPr>
        <w:t xml:space="preserve">(and attached to the founding affidavit) </w:t>
      </w:r>
      <w:r>
        <w:rPr>
          <w:lang w:val="en-GB"/>
        </w:rPr>
        <w:t xml:space="preserve">Mr Roux contended </w:t>
      </w:r>
      <w:r w:rsidR="00F347AE">
        <w:rPr>
          <w:lang w:val="en-GB"/>
        </w:rPr>
        <w:t>that the University had “obtained value from the expenditure of the funds which had to be taken into account in quantifying damages</w:t>
      </w:r>
      <w:r w:rsidR="00ED4AF7">
        <w:rPr>
          <w:lang w:val="en-GB"/>
        </w:rPr>
        <w:t>”</w:t>
      </w:r>
      <w:r w:rsidR="00A14325">
        <w:rPr>
          <w:lang w:val="en-GB"/>
        </w:rPr>
        <w:t>.</w:t>
      </w:r>
      <w:r w:rsidR="00F347AE">
        <w:rPr>
          <w:lang w:val="en-GB"/>
        </w:rPr>
        <w:t xml:space="preserve"> </w:t>
      </w:r>
      <w:r w:rsidR="00BB4761">
        <w:rPr>
          <w:lang w:val="en-GB"/>
        </w:rPr>
        <w:t xml:space="preserve">He </w:t>
      </w:r>
      <w:r w:rsidR="00F347AE">
        <w:rPr>
          <w:lang w:val="en-GB"/>
        </w:rPr>
        <w:t>claimed that ‘One knows that the University obtained value (and in any event the contrary was not proved by the University) because it is not in issue that the expenditure was legitimate.</w:t>
      </w:r>
      <w:r w:rsidR="008F568D">
        <w:rPr>
          <w:lang w:val="en-GB"/>
        </w:rPr>
        <w:t>”</w:t>
      </w:r>
      <w:r w:rsidR="00F347AE">
        <w:rPr>
          <w:lang w:val="en-GB"/>
        </w:rPr>
        <w:t xml:space="preserve"> </w:t>
      </w:r>
      <w:r w:rsidR="00BB4761">
        <w:rPr>
          <w:lang w:val="en-GB"/>
        </w:rPr>
        <w:t xml:space="preserve">The </w:t>
      </w:r>
      <w:r w:rsidR="00ED4AF7">
        <w:rPr>
          <w:lang w:val="en-GB"/>
        </w:rPr>
        <w:t>A</w:t>
      </w:r>
      <w:r w:rsidR="00BB4761">
        <w:rPr>
          <w:lang w:val="en-GB"/>
        </w:rPr>
        <w:t xml:space="preserve">ppeal </w:t>
      </w:r>
      <w:r w:rsidR="00ED4AF7">
        <w:rPr>
          <w:lang w:val="en-GB"/>
        </w:rPr>
        <w:t>T</w:t>
      </w:r>
      <w:r w:rsidR="00BB4761">
        <w:rPr>
          <w:lang w:val="en-GB"/>
        </w:rPr>
        <w:t>ribunal dealt with the contentions as follows;</w:t>
      </w:r>
    </w:p>
    <w:p w14:paraId="18374747" w14:textId="5BD720C0" w:rsidR="00F347AE" w:rsidRDefault="00B40C24" w:rsidP="00F347AE">
      <w:pPr>
        <w:pStyle w:val="Level2"/>
        <w:numPr>
          <w:ilvl w:val="0"/>
          <w:numId w:val="0"/>
        </w:numPr>
        <w:spacing w:line="360" w:lineRule="auto"/>
        <w:ind w:left="1440" w:hanging="720"/>
        <w:rPr>
          <w:sz w:val="22"/>
          <w:lang w:val="en-GB"/>
        </w:rPr>
      </w:pPr>
      <w:r>
        <w:rPr>
          <w:lang w:val="en-GB"/>
        </w:rPr>
        <w:t xml:space="preserve"> </w:t>
      </w:r>
      <w:r w:rsidR="00F347AE">
        <w:rPr>
          <w:lang w:val="en-GB"/>
        </w:rPr>
        <w:t>‘</w:t>
      </w:r>
      <w:r w:rsidR="00F347AE">
        <w:rPr>
          <w:sz w:val="22"/>
          <w:lang w:val="en-GB"/>
        </w:rPr>
        <w:t>37.</w:t>
      </w:r>
      <w:r w:rsidR="00F347AE">
        <w:rPr>
          <w:sz w:val="22"/>
          <w:lang w:val="en-GB"/>
        </w:rPr>
        <w:tab/>
        <w:t xml:space="preserve">Turning to the first leg of these submissions, once it is accepted, as we have, that the entire amount of the re-allocated funds were placed beyond the reach of US, it follows that the quantum of the US’s loss is the aggregate of the amounts that were re-allocated and expended. Little or none of that was challenged. </w:t>
      </w:r>
    </w:p>
    <w:p w14:paraId="1BB6262B" w14:textId="77777777" w:rsidR="00F347AE" w:rsidRDefault="00F347AE" w:rsidP="00F347AE">
      <w:pPr>
        <w:pStyle w:val="Level2"/>
        <w:numPr>
          <w:ilvl w:val="0"/>
          <w:numId w:val="0"/>
        </w:numPr>
        <w:spacing w:line="360" w:lineRule="auto"/>
        <w:ind w:left="1440" w:hanging="720"/>
        <w:rPr>
          <w:sz w:val="22"/>
          <w:lang w:val="en-GB"/>
        </w:rPr>
      </w:pPr>
      <w:r>
        <w:rPr>
          <w:sz w:val="22"/>
          <w:lang w:val="en-GB"/>
        </w:rPr>
        <w:t>38.</w:t>
      </w:r>
      <w:r>
        <w:rPr>
          <w:sz w:val="22"/>
          <w:lang w:val="en-GB"/>
        </w:rPr>
        <w:tab/>
        <w:t>The second leg, that Mr Waligora accepted that KPMG’s quantification of funds re-allocated did not establish that it had suffered a loss, must be considered in perspective. Whilst Mr Waligora accepted in cross-examination that he and his firm had not been mandated to quantify damages, whether the results of the exercises that he and his team had performed constituted a quantification of the loss suffered by US, is a legal question. The conclusion from the findings recorded earlier herein is that US was deprived, as a result of Mr Roux’s conduct, of the entirety of the funds that he had re-allocated and were subsequently misapplied as set out earlier.</w:t>
      </w:r>
    </w:p>
    <w:p w14:paraId="35E2FC04" w14:textId="77777777" w:rsidR="00F347AE" w:rsidRDefault="00F347AE" w:rsidP="00F347AE">
      <w:pPr>
        <w:pStyle w:val="Level2"/>
        <w:numPr>
          <w:ilvl w:val="0"/>
          <w:numId w:val="0"/>
        </w:numPr>
        <w:spacing w:line="360" w:lineRule="auto"/>
        <w:ind w:left="1440" w:hanging="720"/>
        <w:rPr>
          <w:sz w:val="22"/>
          <w:lang w:val="en-GB"/>
        </w:rPr>
      </w:pPr>
      <w:r>
        <w:rPr>
          <w:sz w:val="22"/>
          <w:lang w:val="en-GB"/>
        </w:rPr>
        <w:t>39.</w:t>
      </w:r>
      <w:r>
        <w:rPr>
          <w:sz w:val="22"/>
          <w:lang w:val="en-GB"/>
        </w:rPr>
        <w:tab/>
        <w:t xml:space="preserve">The quantum of US’s loss is thus the difference between the position in which US would have found itself but for Mr Roux’s conduct, and that in which it found </w:t>
      </w:r>
      <w:r>
        <w:rPr>
          <w:sz w:val="22"/>
          <w:lang w:val="en-GB"/>
        </w:rPr>
        <w:lastRenderedPageBreak/>
        <w:t xml:space="preserve">itself in consequence thereof. This loss flowed directly, naturally and generally from Mr. Roux’s conduct and was not too remote to be recoverable as such’. </w:t>
      </w:r>
    </w:p>
    <w:p w14:paraId="5EF62C59" w14:textId="1EDACED6" w:rsidR="00BB4761" w:rsidRDefault="00BB4761" w:rsidP="00F347AE">
      <w:pPr>
        <w:pStyle w:val="Level2"/>
        <w:numPr>
          <w:ilvl w:val="0"/>
          <w:numId w:val="0"/>
        </w:numPr>
        <w:spacing w:line="360" w:lineRule="auto"/>
        <w:ind w:left="720" w:hanging="720"/>
        <w:rPr>
          <w:lang w:val="en-GB"/>
        </w:rPr>
      </w:pPr>
      <w:r>
        <w:rPr>
          <w:lang w:val="en-GB"/>
        </w:rPr>
        <w:t>[3</w:t>
      </w:r>
      <w:r w:rsidR="000B734A">
        <w:rPr>
          <w:lang w:val="en-GB"/>
        </w:rPr>
        <w:t>2</w:t>
      </w:r>
      <w:r>
        <w:rPr>
          <w:lang w:val="en-GB"/>
        </w:rPr>
        <w:t>]</w:t>
      </w:r>
      <w:r>
        <w:rPr>
          <w:lang w:val="en-GB"/>
        </w:rPr>
        <w:tab/>
        <w:t>Counsel for the University contended and correctly so</w:t>
      </w:r>
      <w:r w:rsidR="00F93BD6">
        <w:rPr>
          <w:lang w:val="en-GB"/>
        </w:rPr>
        <w:t xml:space="preserve"> that Mr Roux’s criticisms of how the </w:t>
      </w:r>
      <w:r w:rsidR="00ED4AF7">
        <w:rPr>
          <w:lang w:val="en-GB"/>
        </w:rPr>
        <w:t xml:space="preserve">arbitrators </w:t>
      </w:r>
      <w:r w:rsidR="00F93BD6">
        <w:rPr>
          <w:lang w:val="en-GB"/>
        </w:rPr>
        <w:t xml:space="preserve">dealt with the issue and application of the law on patrimonial loss was demonstrative of </w:t>
      </w:r>
      <w:r w:rsidR="0036571E">
        <w:rPr>
          <w:lang w:val="en-GB"/>
        </w:rPr>
        <w:t xml:space="preserve">how </w:t>
      </w:r>
      <w:r w:rsidR="00F93BD6">
        <w:rPr>
          <w:lang w:val="en-GB"/>
        </w:rPr>
        <w:t>he imper</w:t>
      </w:r>
      <w:r w:rsidR="0036571E">
        <w:rPr>
          <w:lang w:val="en-GB"/>
        </w:rPr>
        <w:t xml:space="preserve">missibly </w:t>
      </w:r>
      <w:r w:rsidR="00F93BD6">
        <w:rPr>
          <w:lang w:val="en-GB"/>
        </w:rPr>
        <w:t xml:space="preserve">sought to </w:t>
      </w:r>
      <w:r w:rsidR="005A63C5">
        <w:rPr>
          <w:lang w:val="en-GB"/>
        </w:rPr>
        <w:t>“</w:t>
      </w:r>
      <w:r w:rsidR="00F93BD6">
        <w:rPr>
          <w:lang w:val="en-GB"/>
        </w:rPr>
        <w:t>appeal</w:t>
      </w:r>
      <w:r w:rsidR="005A63C5">
        <w:rPr>
          <w:lang w:val="en-GB"/>
        </w:rPr>
        <w:t>”</w:t>
      </w:r>
      <w:r w:rsidR="00F93BD6">
        <w:rPr>
          <w:lang w:val="en-GB"/>
        </w:rPr>
        <w:t xml:space="preserve"> the </w:t>
      </w:r>
      <w:r w:rsidR="00BD369C">
        <w:rPr>
          <w:lang w:val="en-GB"/>
        </w:rPr>
        <w:t>A</w:t>
      </w:r>
      <w:r w:rsidR="00F93BD6">
        <w:rPr>
          <w:lang w:val="en-GB"/>
        </w:rPr>
        <w:t xml:space="preserve">ppeal </w:t>
      </w:r>
      <w:r w:rsidR="00BD369C">
        <w:rPr>
          <w:lang w:val="en-GB"/>
        </w:rPr>
        <w:t>T</w:t>
      </w:r>
      <w:r w:rsidR="00F93BD6">
        <w:rPr>
          <w:lang w:val="en-GB"/>
        </w:rPr>
        <w:t>ribunal’s finding</w:t>
      </w:r>
      <w:r w:rsidR="00960E96">
        <w:rPr>
          <w:lang w:val="en-GB"/>
        </w:rPr>
        <w:t xml:space="preserve"> </w:t>
      </w:r>
      <w:r w:rsidR="00F93BD6">
        <w:rPr>
          <w:lang w:val="en-GB"/>
        </w:rPr>
        <w:t xml:space="preserve">by use of the section 33 (1) application. </w:t>
      </w:r>
      <w:r>
        <w:rPr>
          <w:lang w:val="en-GB"/>
        </w:rPr>
        <w:t xml:space="preserve"> </w:t>
      </w:r>
    </w:p>
    <w:p w14:paraId="5FEAE85D" w14:textId="34696336" w:rsidR="00F347AE" w:rsidRDefault="00F347AE" w:rsidP="00F347AE">
      <w:pPr>
        <w:pStyle w:val="Level2"/>
        <w:numPr>
          <w:ilvl w:val="0"/>
          <w:numId w:val="0"/>
        </w:numPr>
        <w:spacing w:line="360" w:lineRule="auto"/>
        <w:ind w:left="720" w:hanging="720"/>
        <w:rPr>
          <w:lang w:val="en-GB"/>
        </w:rPr>
      </w:pPr>
      <w:r>
        <w:rPr>
          <w:lang w:val="en-GB"/>
        </w:rPr>
        <w:t>[</w:t>
      </w:r>
      <w:r w:rsidR="00B40C24">
        <w:rPr>
          <w:lang w:val="en-GB"/>
        </w:rPr>
        <w:t>3</w:t>
      </w:r>
      <w:r w:rsidR="000B734A">
        <w:rPr>
          <w:lang w:val="en-GB"/>
        </w:rPr>
        <w:t>3</w:t>
      </w:r>
      <w:r>
        <w:rPr>
          <w:lang w:val="en-GB"/>
        </w:rPr>
        <w:t>]</w:t>
      </w:r>
      <w:r>
        <w:rPr>
          <w:lang w:val="en-GB"/>
        </w:rPr>
        <w:tab/>
        <w:t xml:space="preserve">The Appeal Tribunal then dealt with the issue of the onus which had been raised in contention before it by Mr. Roux. It agreed with the findings of the Initial Arbitrator in its application of the principles set out in the decision of </w:t>
      </w:r>
      <w:r w:rsidRPr="00A438DD">
        <w:rPr>
          <w:i/>
          <w:lang w:val="en-GB"/>
        </w:rPr>
        <w:t>Japmoco.</w:t>
      </w:r>
      <w:r>
        <w:rPr>
          <w:lang w:val="en-GB"/>
        </w:rPr>
        <w:t xml:space="preserve"> The </w:t>
      </w:r>
      <w:r w:rsidR="00BD369C">
        <w:rPr>
          <w:lang w:val="en-GB"/>
        </w:rPr>
        <w:t>A</w:t>
      </w:r>
      <w:r>
        <w:rPr>
          <w:lang w:val="en-GB"/>
        </w:rPr>
        <w:t xml:space="preserve">ppeal </w:t>
      </w:r>
      <w:r w:rsidR="00BD369C">
        <w:rPr>
          <w:lang w:val="en-GB"/>
        </w:rPr>
        <w:t>T</w:t>
      </w:r>
      <w:r>
        <w:rPr>
          <w:lang w:val="en-GB"/>
        </w:rPr>
        <w:t>ribunal state</w:t>
      </w:r>
      <w:r w:rsidR="00BD369C">
        <w:rPr>
          <w:lang w:val="en-GB"/>
        </w:rPr>
        <w:t>s</w:t>
      </w:r>
      <w:r w:rsidR="005A63C5">
        <w:rPr>
          <w:lang w:val="en-GB"/>
        </w:rPr>
        <w:t xml:space="preserve"> further</w:t>
      </w:r>
      <w:r>
        <w:rPr>
          <w:lang w:val="en-GB"/>
        </w:rPr>
        <w:t>:</w:t>
      </w:r>
    </w:p>
    <w:p w14:paraId="51E1197E" w14:textId="77777777" w:rsidR="00F347AE" w:rsidRDefault="00F347AE" w:rsidP="00F347AE">
      <w:pPr>
        <w:pStyle w:val="Level2"/>
        <w:numPr>
          <w:ilvl w:val="0"/>
          <w:numId w:val="0"/>
        </w:numPr>
        <w:spacing w:line="360" w:lineRule="auto"/>
        <w:ind w:left="1440" w:hanging="720"/>
        <w:rPr>
          <w:sz w:val="22"/>
          <w:lang w:val="en-GB"/>
        </w:rPr>
      </w:pPr>
      <w:r>
        <w:rPr>
          <w:sz w:val="22"/>
          <w:lang w:val="en-GB"/>
        </w:rPr>
        <w:t>‘42.</w:t>
      </w:r>
      <w:r>
        <w:rPr>
          <w:sz w:val="22"/>
          <w:lang w:val="en-GB"/>
        </w:rPr>
        <w:tab/>
        <w:t>In any event, an examination of the question whether US received any net value from any of the ultimate uses to which its funds was put would in our view entail both an objective and a subject test. Thus, whilst it may be so that, viewed purely objectively, some of the ultimate expenditures could have enhanced the reputation of Maties Rugby, the extent of which was not established, US did not subjectively choose to spend its funds in the manner in which they were ultimately used. Such expenditure thus occurred against its will. The arbitrator accordingly correctly found that Mr Roux had not established that the misapplication of US’s funds resulted in it having received any net value</w:t>
      </w:r>
      <w:r>
        <w:rPr>
          <w:rStyle w:val="FootnoteReference"/>
          <w:sz w:val="22"/>
        </w:rPr>
        <w:footnoteReference w:id="12"/>
      </w:r>
      <w:r>
        <w:rPr>
          <w:sz w:val="22"/>
          <w:lang w:val="en-GB"/>
        </w:rPr>
        <w:t xml:space="preserve">.’  </w:t>
      </w:r>
    </w:p>
    <w:p w14:paraId="439BCB38" w14:textId="1EEDA6AB" w:rsidR="00F347AE" w:rsidRDefault="00F347AE" w:rsidP="00F347AE">
      <w:pPr>
        <w:spacing w:after="360" w:line="360" w:lineRule="auto"/>
        <w:ind w:left="720"/>
        <w:jc w:val="both"/>
      </w:pPr>
      <w:r>
        <w:t xml:space="preserve">Counsel for Mr Roux sought to rely on the </w:t>
      </w:r>
      <w:r w:rsidR="00BD369C">
        <w:t>A</w:t>
      </w:r>
      <w:r>
        <w:t xml:space="preserve">ppeal </w:t>
      </w:r>
      <w:r w:rsidR="00BD369C">
        <w:t>T</w:t>
      </w:r>
      <w:r>
        <w:t xml:space="preserve">ribunal’s exposition of the test as to whether the University had received any nett value from any of the ultimate uses which the funds were put to as support for </w:t>
      </w:r>
      <w:r w:rsidR="00BD369C">
        <w:t>their</w:t>
      </w:r>
      <w:r>
        <w:t xml:space="preserve"> contention that there was a finding by the </w:t>
      </w:r>
      <w:r w:rsidR="00BD369C">
        <w:t>A</w:t>
      </w:r>
      <w:r>
        <w:t xml:space="preserve">ppeal </w:t>
      </w:r>
      <w:r w:rsidR="00BD369C">
        <w:t>T</w:t>
      </w:r>
      <w:r>
        <w:t>ribunal that on an objective assessment, benefits had accrued to the University</w:t>
      </w:r>
      <w:r w:rsidR="00BD369C">
        <w:t>.</w:t>
      </w:r>
      <w:r>
        <w:t xml:space="preserve"> Such contention flew in the face of the actual words of the appeal tribunal. The</w:t>
      </w:r>
      <w:r w:rsidR="00BD369C">
        <w:t xml:space="preserve"> Appeal</w:t>
      </w:r>
      <w:r>
        <w:t xml:space="preserve"> </w:t>
      </w:r>
      <w:r w:rsidR="00BD369C">
        <w:t>T</w:t>
      </w:r>
      <w:r>
        <w:t>ribunal ma</w:t>
      </w:r>
      <w:r w:rsidR="00BD369C">
        <w:t>d</w:t>
      </w:r>
      <w:r w:rsidR="00943A19">
        <w:t>e</w:t>
      </w:r>
      <w:r>
        <w:t xml:space="preserve"> the point that </w:t>
      </w:r>
      <w:r w:rsidR="00BD369C">
        <w:t>“</w:t>
      </w:r>
      <w:r>
        <w:t xml:space="preserve">such ultimate expenditures </w:t>
      </w:r>
      <w:r>
        <w:rPr>
          <w:u w:val="single"/>
        </w:rPr>
        <w:t>could</w:t>
      </w:r>
      <w:r>
        <w:t xml:space="preserve"> have enhanced the reputation of the Maties Club to the extent of which was not established”</w:t>
      </w:r>
      <w:r w:rsidR="00CC1ADC">
        <w:t xml:space="preserve"> </w:t>
      </w:r>
      <w:r w:rsidR="00BD369C">
        <w:t>(my underling)</w:t>
      </w:r>
      <w:r>
        <w:t xml:space="preserve"> More so, subjectively</w:t>
      </w:r>
      <w:r w:rsidR="00BD369C">
        <w:t>,</w:t>
      </w:r>
      <w:r>
        <w:t xml:space="preserve"> the University had not chosen to spend its funds in the manner in which they were ultimately used. The exposition of this test could hardly be </w:t>
      </w:r>
      <w:r>
        <w:lastRenderedPageBreak/>
        <w:t xml:space="preserve">support for Mr Roux’s repeated and incorrect assertions that there was a finding that he had established a benefit for the University in </w:t>
      </w:r>
      <w:r w:rsidR="00BD369C">
        <w:t>the</w:t>
      </w:r>
      <w:r>
        <w:t xml:space="preserve"> unlawful expenditure of the University’s funds and more so that such funds were spent in the scope of the University’s business. Counsel for Mr Roux also</w:t>
      </w:r>
      <w:r w:rsidR="00C202EE">
        <w:t xml:space="preserve"> </w:t>
      </w:r>
      <w:r w:rsidR="00960E96">
        <w:t>sought to</w:t>
      </w:r>
      <w:r w:rsidR="00C202EE">
        <w:t xml:space="preserve"> </w:t>
      </w:r>
      <w:r w:rsidR="00BD369C">
        <w:t>c</w:t>
      </w:r>
      <w:r w:rsidR="00C202EE">
        <w:t xml:space="preserve">riticise the </w:t>
      </w:r>
      <w:r w:rsidR="00BD369C">
        <w:t>A</w:t>
      </w:r>
      <w:r w:rsidR="00C202EE">
        <w:t xml:space="preserve">ppeal </w:t>
      </w:r>
      <w:r w:rsidR="00BD369C">
        <w:t>T</w:t>
      </w:r>
      <w:r w:rsidR="00C202EE">
        <w:t xml:space="preserve">ribunal`s view of the test </w:t>
      </w:r>
      <w:r w:rsidR="00960E96">
        <w:t>as</w:t>
      </w:r>
      <w:r w:rsidR="00C202EE">
        <w:t xml:space="preserve"> both objective and subjective</w:t>
      </w:r>
      <w:r w:rsidR="00BD369C">
        <w:t>,</w:t>
      </w:r>
      <w:r w:rsidR="00C202EE">
        <w:t xml:space="preserve"> by contending that</w:t>
      </w:r>
      <w:r w:rsidR="00960E96">
        <w:t xml:space="preserve"> a subjective test in the determination of whether there was a loss </w:t>
      </w:r>
      <w:r w:rsidR="005913B2">
        <w:t>w</w:t>
      </w:r>
      <w:r w:rsidR="00960E96">
        <w:t>as wholly foreign to our law.</w:t>
      </w:r>
      <w:r w:rsidR="00C202EE">
        <w:t xml:space="preserve"> </w:t>
      </w:r>
    </w:p>
    <w:p w14:paraId="7EB2CF2C" w14:textId="6754945F" w:rsidR="00F73941" w:rsidRDefault="007968A5" w:rsidP="007011BB">
      <w:pPr>
        <w:spacing w:before="240" w:after="240" w:line="360" w:lineRule="auto"/>
        <w:ind w:left="720" w:hanging="720"/>
        <w:jc w:val="both"/>
      </w:pPr>
      <w:r>
        <w:t>[3</w:t>
      </w:r>
      <w:r w:rsidR="000B734A">
        <w:t>4</w:t>
      </w:r>
      <w:r w:rsidR="007011BB">
        <w:t>]</w:t>
      </w:r>
      <w:r w:rsidR="007011BB">
        <w:tab/>
      </w:r>
      <w:r w:rsidR="00F73941">
        <w:t>After Mr Roux testified in the arbitration proceedings and</w:t>
      </w:r>
      <w:r w:rsidR="00960E96">
        <w:t xml:space="preserve"> having </w:t>
      </w:r>
      <w:r w:rsidR="00F73941">
        <w:t xml:space="preserve">belatedly filed expert notices </w:t>
      </w:r>
      <w:r w:rsidR="005913B2">
        <w:t xml:space="preserve">his counsel </w:t>
      </w:r>
      <w:r w:rsidR="00F73941">
        <w:t>indicated that</w:t>
      </w:r>
      <w:r w:rsidR="005913B2">
        <w:t xml:space="preserve"> they</w:t>
      </w:r>
      <w:r w:rsidR="00F73941">
        <w:t xml:space="preserve"> would lead evidence with regard to </w:t>
      </w:r>
      <w:r w:rsidR="005913B2">
        <w:t xml:space="preserve">the quantification of the </w:t>
      </w:r>
      <w:r w:rsidR="00F73941">
        <w:t>alleged benefits derived by the University. The transcript of the record</w:t>
      </w:r>
      <w:r w:rsidR="00960E96">
        <w:t xml:space="preserve"> on that development in the proceedings</w:t>
      </w:r>
      <w:r w:rsidR="00F73941">
        <w:t xml:space="preserve"> </w:t>
      </w:r>
      <w:r w:rsidR="00F13DC4">
        <w:t>wa</w:t>
      </w:r>
      <w:r w:rsidR="00D96FA9">
        <w:t xml:space="preserve">s </w:t>
      </w:r>
      <w:r w:rsidR="00F73941">
        <w:t xml:space="preserve">attached </w:t>
      </w:r>
      <w:r w:rsidR="00D96FA9">
        <w:t xml:space="preserve">to </w:t>
      </w:r>
      <w:r w:rsidR="00F73941">
        <w:t>the University’s answering affidavi</w:t>
      </w:r>
      <w:r w:rsidR="00BA1B69">
        <w:t>t</w:t>
      </w:r>
      <w:r w:rsidR="005913B2">
        <w:t xml:space="preserve">, to which </w:t>
      </w:r>
      <w:r w:rsidR="00F73941">
        <w:t>I will revert</w:t>
      </w:r>
      <w:r w:rsidR="00960E96">
        <w:t xml:space="preserve"> </w:t>
      </w:r>
      <w:r w:rsidR="00F73941">
        <w:t>later</w:t>
      </w:r>
      <w:r w:rsidR="00F13DC4">
        <w:t>. It</w:t>
      </w:r>
      <w:r w:rsidR="00F73941">
        <w:t xml:space="preserve"> showed</w:t>
      </w:r>
      <w:r w:rsidR="00BA1B69">
        <w:t>,</w:t>
      </w:r>
      <w:r w:rsidR="00960E96">
        <w:t xml:space="preserve"> however,</w:t>
      </w:r>
      <w:r w:rsidR="00F73941">
        <w:t xml:space="preserve"> that Mr Roux ha</w:t>
      </w:r>
      <w:r w:rsidR="00F13DC4">
        <w:t>d</w:t>
      </w:r>
      <w:r w:rsidR="00F73941">
        <w:t xml:space="preserve"> adopted and carefully considered his position and ultimately elected not to lead evidence </w:t>
      </w:r>
      <w:r w:rsidR="005913B2">
        <w:t xml:space="preserve">with </w:t>
      </w:r>
      <w:r w:rsidR="00F73941">
        <w:t xml:space="preserve">regard </w:t>
      </w:r>
      <w:r w:rsidR="00960E96">
        <w:t>to the issue of benefits</w:t>
      </w:r>
      <w:r w:rsidR="00F73941">
        <w:t xml:space="preserve">. The </w:t>
      </w:r>
      <w:r w:rsidR="005913B2">
        <w:t>I</w:t>
      </w:r>
      <w:r w:rsidR="00F73941">
        <w:t xml:space="preserve">nitial </w:t>
      </w:r>
      <w:r w:rsidR="005913B2">
        <w:t>A</w:t>
      </w:r>
      <w:r w:rsidR="00F73941">
        <w:t xml:space="preserve">rbitrator remarked as follows: </w:t>
      </w:r>
    </w:p>
    <w:p w14:paraId="2CC2B5E9" w14:textId="599367F3" w:rsidR="00F73941" w:rsidRDefault="00F73941" w:rsidP="00F73941">
      <w:pPr>
        <w:pStyle w:val="BowLevel2ListAlt"/>
        <w:numPr>
          <w:ilvl w:val="0"/>
          <w:numId w:val="0"/>
        </w:numPr>
        <w:tabs>
          <w:tab w:val="left" w:pos="720"/>
        </w:tabs>
        <w:spacing w:before="240" w:after="240"/>
        <w:ind w:left="720"/>
        <w:rPr>
          <w:rFonts w:ascii="Arial" w:hAnsi="Arial" w:cs="Arial"/>
          <w:iCs/>
          <w:sz w:val="22"/>
          <w:szCs w:val="22"/>
        </w:rPr>
      </w:pPr>
      <w:r>
        <w:rPr>
          <w:rFonts w:ascii="Arial" w:hAnsi="Arial" w:cs="Arial"/>
          <w:iCs/>
          <w:sz w:val="22"/>
          <w:szCs w:val="22"/>
        </w:rPr>
        <w:t>“Roux gave notice of his intention to call an expert to give evidence on the financial benefit to the University in the form of the enhancement of its reputation resulting from increased television viewership of its rugby matche</w:t>
      </w:r>
      <w:r w:rsidR="00D96FA9">
        <w:rPr>
          <w:rFonts w:ascii="Arial" w:hAnsi="Arial" w:cs="Arial"/>
          <w:iCs/>
          <w:sz w:val="22"/>
          <w:szCs w:val="22"/>
        </w:rPr>
        <w:t>s … On more than once occasion…</w:t>
      </w:r>
      <w:r>
        <w:rPr>
          <w:rFonts w:ascii="Arial" w:hAnsi="Arial" w:cs="Arial"/>
          <w:iCs/>
          <w:sz w:val="22"/>
          <w:szCs w:val="22"/>
        </w:rPr>
        <w:t xml:space="preserve"> the University indicated that it would object to the introduction of such evidence on the basis that it was not foreshadowed in Roux’s pleading. The matter was not pressed on behalf of Roux and no expert was called …”.</w:t>
      </w:r>
    </w:p>
    <w:p w14:paraId="7957A569" w14:textId="7A987C4D" w:rsidR="00BA1B69" w:rsidRDefault="007011BB" w:rsidP="00BA1B69">
      <w:pPr>
        <w:tabs>
          <w:tab w:val="left" w:pos="720"/>
        </w:tabs>
        <w:spacing w:after="480" w:line="360" w:lineRule="auto"/>
        <w:ind w:left="720" w:hanging="720"/>
        <w:jc w:val="both"/>
      </w:pPr>
      <w:r>
        <w:t>[3</w:t>
      </w:r>
      <w:r w:rsidR="000B734A">
        <w:t>5</w:t>
      </w:r>
      <w:r>
        <w:t>]</w:t>
      </w:r>
      <w:r>
        <w:tab/>
      </w:r>
      <w:r w:rsidR="00F04A45">
        <w:t xml:space="preserve">In these proceedings Mr Roux did not dispute the factual findings by the </w:t>
      </w:r>
      <w:r w:rsidR="005913B2">
        <w:t>I</w:t>
      </w:r>
      <w:r w:rsidR="00F04A45">
        <w:t xml:space="preserve">nitial </w:t>
      </w:r>
      <w:r w:rsidR="005913B2">
        <w:t>A</w:t>
      </w:r>
      <w:r w:rsidR="00F04A45">
        <w:t xml:space="preserve">rbitrator </w:t>
      </w:r>
      <w:r w:rsidR="00BE3A27">
        <w:t>nor</w:t>
      </w:r>
      <w:r w:rsidR="00F04A45">
        <w:t xml:space="preserve"> that of the </w:t>
      </w:r>
      <w:r w:rsidR="005913B2">
        <w:t>A</w:t>
      </w:r>
      <w:r w:rsidR="00F04A45">
        <w:t xml:space="preserve">ppeal </w:t>
      </w:r>
      <w:r w:rsidR="005913B2">
        <w:t>T</w:t>
      </w:r>
      <w:r w:rsidR="00F04A45">
        <w:t>ribunal. He also accepted that his allocation of</w:t>
      </w:r>
      <w:r w:rsidR="005913B2">
        <w:t xml:space="preserve"> the funds</w:t>
      </w:r>
      <w:r w:rsidR="00F04A45">
        <w:t xml:space="preserve"> to the various cost centres</w:t>
      </w:r>
      <w:r w:rsidR="00E569F2">
        <w:t xml:space="preserve"> </w:t>
      </w:r>
      <w:r w:rsidR="00F13DC4">
        <w:t>of</w:t>
      </w:r>
      <w:r w:rsidR="00E569F2">
        <w:t xml:space="preserve"> the rugby club </w:t>
      </w:r>
      <w:r w:rsidR="00F04A45">
        <w:t>were unauthorised. He contended though</w:t>
      </w:r>
      <w:r w:rsidR="005913B2">
        <w:t>,</w:t>
      </w:r>
      <w:r w:rsidR="00F04A45">
        <w:t xml:space="preserve"> that the University had failed to prove that it had suffered any patrimonial loss as a result of the expenditure of the funds as he </w:t>
      </w:r>
      <w:r w:rsidR="005913B2">
        <w:t>maintained</w:t>
      </w:r>
      <w:r w:rsidR="00F04A45">
        <w:t xml:space="preserve"> that the expenditure was to the benefit</w:t>
      </w:r>
      <w:r w:rsidR="00A901FB">
        <w:t xml:space="preserve"> of the University.</w:t>
      </w:r>
      <w:r w:rsidR="00F04A45">
        <w:t xml:space="preserve"> </w:t>
      </w:r>
    </w:p>
    <w:p w14:paraId="7538A67B" w14:textId="4D506D2E" w:rsidR="00A86551" w:rsidRPr="004A4DE7" w:rsidRDefault="007011BB" w:rsidP="00BA1B69">
      <w:pPr>
        <w:tabs>
          <w:tab w:val="left" w:pos="720"/>
        </w:tabs>
        <w:spacing w:after="480" w:line="360" w:lineRule="auto"/>
        <w:ind w:left="720" w:hanging="720"/>
        <w:jc w:val="both"/>
      </w:pPr>
      <w:r>
        <w:rPr>
          <w:iCs/>
          <w:sz w:val="22"/>
          <w:szCs w:val="22"/>
        </w:rPr>
        <w:t>[3</w:t>
      </w:r>
      <w:r w:rsidR="000B734A">
        <w:rPr>
          <w:iCs/>
          <w:sz w:val="22"/>
          <w:szCs w:val="22"/>
        </w:rPr>
        <w:t>6</w:t>
      </w:r>
      <w:r>
        <w:rPr>
          <w:iCs/>
          <w:sz w:val="22"/>
          <w:szCs w:val="22"/>
        </w:rPr>
        <w:t>]</w:t>
      </w:r>
      <w:r>
        <w:rPr>
          <w:iCs/>
          <w:sz w:val="22"/>
          <w:szCs w:val="22"/>
        </w:rPr>
        <w:tab/>
      </w:r>
      <w:r w:rsidR="001857C8">
        <w:t xml:space="preserve">Mr </w:t>
      </w:r>
      <w:r w:rsidR="00A86551">
        <w:t>Roux</w:t>
      </w:r>
      <w:r w:rsidR="00216AF0">
        <w:t xml:space="preserve"> also </w:t>
      </w:r>
      <w:r w:rsidR="00A86551">
        <w:t>accept</w:t>
      </w:r>
      <w:r w:rsidR="001857C8">
        <w:t>ed</w:t>
      </w:r>
      <w:r w:rsidR="00086622">
        <w:t xml:space="preserve"> in these proceedings </w:t>
      </w:r>
      <w:r w:rsidR="00A86551">
        <w:t xml:space="preserve">that he </w:t>
      </w:r>
      <w:r w:rsidR="001857C8">
        <w:t>had ‘</w:t>
      </w:r>
      <w:r w:rsidR="00A86551">
        <w:rPr>
          <w:i/>
          <w:iCs/>
        </w:rPr>
        <w:t xml:space="preserve">elected not to lead evidence regarding the benefits that the University received from the </w:t>
      </w:r>
      <w:r w:rsidR="00A86551">
        <w:rPr>
          <w:i/>
          <w:iCs/>
        </w:rPr>
        <w:lastRenderedPageBreak/>
        <w:t xml:space="preserve">expenditure”. </w:t>
      </w:r>
      <w:r w:rsidR="001857C8">
        <w:rPr>
          <w:iCs/>
        </w:rPr>
        <w:t>Needless to say</w:t>
      </w:r>
      <w:r w:rsidR="004767FF">
        <w:rPr>
          <w:iCs/>
        </w:rPr>
        <w:t>,</w:t>
      </w:r>
      <w:r w:rsidR="001857C8">
        <w:rPr>
          <w:iCs/>
        </w:rPr>
        <w:t xml:space="preserve"> his contention was that there apparently</w:t>
      </w:r>
      <w:r w:rsidR="005913B2">
        <w:rPr>
          <w:iCs/>
        </w:rPr>
        <w:t xml:space="preserve"> was </w:t>
      </w:r>
      <w:r w:rsidR="001857C8">
        <w:rPr>
          <w:iCs/>
        </w:rPr>
        <w:t xml:space="preserve">no </w:t>
      </w:r>
      <w:r w:rsidR="00A86551">
        <w:t>onus</w:t>
      </w:r>
      <w:r w:rsidR="001857C8">
        <w:t xml:space="preserve"> on him to do so</w:t>
      </w:r>
      <w:r w:rsidR="00A901FB">
        <w:t>.</w:t>
      </w:r>
    </w:p>
    <w:p w14:paraId="1957A42A" w14:textId="2578A903" w:rsidR="00A86551" w:rsidRPr="00362958" w:rsidRDefault="007011BB" w:rsidP="007011BB">
      <w:pPr>
        <w:pStyle w:val="BowLevel2ListAlt"/>
        <w:numPr>
          <w:ilvl w:val="0"/>
          <w:numId w:val="0"/>
        </w:numPr>
        <w:spacing w:before="240" w:after="240"/>
        <w:ind w:left="720" w:hanging="720"/>
        <w:rPr>
          <w:rFonts w:ascii="Arial" w:hAnsi="Arial" w:cs="Arial"/>
          <w:i/>
          <w:iCs/>
          <w:sz w:val="24"/>
          <w:szCs w:val="24"/>
        </w:rPr>
      </w:pPr>
      <w:r>
        <w:rPr>
          <w:rFonts w:ascii="Arial" w:hAnsi="Arial" w:cs="Arial"/>
          <w:sz w:val="24"/>
          <w:szCs w:val="24"/>
        </w:rPr>
        <w:t>[3</w:t>
      </w:r>
      <w:r w:rsidR="000B734A">
        <w:rPr>
          <w:rFonts w:ascii="Arial" w:hAnsi="Arial" w:cs="Arial"/>
          <w:sz w:val="24"/>
          <w:szCs w:val="24"/>
        </w:rPr>
        <w:t>7</w:t>
      </w:r>
      <w:r>
        <w:rPr>
          <w:rFonts w:ascii="Arial" w:hAnsi="Arial" w:cs="Arial"/>
          <w:sz w:val="24"/>
          <w:szCs w:val="24"/>
        </w:rPr>
        <w:t>]</w:t>
      </w:r>
      <w:r>
        <w:rPr>
          <w:rFonts w:ascii="Arial" w:hAnsi="Arial" w:cs="Arial"/>
          <w:sz w:val="24"/>
          <w:szCs w:val="24"/>
        </w:rPr>
        <w:tab/>
      </w:r>
      <w:r w:rsidR="00A86551">
        <w:rPr>
          <w:rFonts w:ascii="Arial" w:hAnsi="Arial" w:cs="Arial"/>
          <w:sz w:val="24"/>
          <w:szCs w:val="24"/>
        </w:rPr>
        <w:t>I</w:t>
      </w:r>
      <w:r w:rsidR="0039112B">
        <w:rPr>
          <w:rFonts w:ascii="Arial" w:hAnsi="Arial" w:cs="Arial"/>
          <w:sz w:val="24"/>
          <w:szCs w:val="24"/>
        </w:rPr>
        <w:t>n the answering affidavit</w:t>
      </w:r>
      <w:r w:rsidR="004655CE">
        <w:rPr>
          <w:rFonts w:ascii="Arial" w:hAnsi="Arial" w:cs="Arial"/>
          <w:sz w:val="24"/>
          <w:szCs w:val="24"/>
        </w:rPr>
        <w:t xml:space="preserve"> by the University in response to the</w:t>
      </w:r>
      <w:r w:rsidR="0039112B">
        <w:rPr>
          <w:rFonts w:ascii="Arial" w:hAnsi="Arial" w:cs="Arial"/>
          <w:sz w:val="24"/>
          <w:szCs w:val="24"/>
        </w:rPr>
        <w:t xml:space="preserve"> claims made on behalf of Mr Roux that the expenditure was</w:t>
      </w:r>
      <w:r w:rsidR="004655CE">
        <w:rPr>
          <w:rFonts w:ascii="Arial" w:hAnsi="Arial" w:cs="Arial"/>
          <w:sz w:val="24"/>
          <w:szCs w:val="24"/>
        </w:rPr>
        <w:t xml:space="preserve"> both </w:t>
      </w:r>
      <w:r w:rsidR="0039112B">
        <w:rPr>
          <w:rFonts w:ascii="Arial" w:hAnsi="Arial" w:cs="Arial"/>
          <w:sz w:val="24"/>
          <w:szCs w:val="24"/>
        </w:rPr>
        <w:t>legitimate and for the benefit of the University</w:t>
      </w:r>
      <w:r w:rsidR="004655CE">
        <w:rPr>
          <w:rFonts w:ascii="Arial" w:hAnsi="Arial" w:cs="Arial"/>
          <w:sz w:val="24"/>
          <w:szCs w:val="24"/>
        </w:rPr>
        <w:t>,</w:t>
      </w:r>
      <w:r w:rsidR="0039112B">
        <w:rPr>
          <w:rFonts w:ascii="Arial" w:hAnsi="Arial" w:cs="Arial"/>
          <w:sz w:val="24"/>
          <w:szCs w:val="24"/>
        </w:rPr>
        <w:t xml:space="preserve"> the Un</w:t>
      </w:r>
      <w:r w:rsidR="00362958">
        <w:rPr>
          <w:rFonts w:ascii="Arial" w:hAnsi="Arial" w:cs="Arial"/>
          <w:sz w:val="24"/>
          <w:szCs w:val="24"/>
        </w:rPr>
        <w:t>iversity pointed out:</w:t>
      </w:r>
    </w:p>
    <w:p w14:paraId="52418CE3" w14:textId="77777777" w:rsidR="00362958" w:rsidRPr="00EF68AF" w:rsidRDefault="00362958" w:rsidP="00362958">
      <w:pPr>
        <w:pStyle w:val="BowLevel2ListAlt"/>
        <w:numPr>
          <w:ilvl w:val="0"/>
          <w:numId w:val="0"/>
        </w:numPr>
        <w:spacing w:before="240" w:after="240"/>
        <w:ind w:left="720"/>
        <w:rPr>
          <w:rFonts w:ascii="Arial" w:hAnsi="Arial" w:cs="Arial"/>
          <w:iCs/>
          <w:sz w:val="22"/>
          <w:szCs w:val="22"/>
        </w:rPr>
      </w:pPr>
      <w:r w:rsidRPr="00EF68AF">
        <w:rPr>
          <w:rFonts w:ascii="Arial" w:hAnsi="Arial" w:cs="Arial"/>
          <w:iCs/>
          <w:sz w:val="22"/>
          <w:szCs w:val="22"/>
        </w:rPr>
        <w:t xml:space="preserve">“… it was Roux who </w:t>
      </w:r>
      <w:r w:rsidRPr="00EF68AF">
        <w:rPr>
          <w:rFonts w:ascii="Arial" w:hAnsi="Arial" w:cs="Arial"/>
          <w:sz w:val="22"/>
          <w:szCs w:val="22"/>
        </w:rPr>
        <w:t>elected</w:t>
      </w:r>
      <w:r w:rsidRPr="00EF68AF">
        <w:rPr>
          <w:rFonts w:ascii="Arial" w:hAnsi="Arial" w:cs="Arial"/>
          <w:iCs/>
          <w:sz w:val="22"/>
          <w:szCs w:val="22"/>
        </w:rPr>
        <w:t xml:space="preserve"> not to lead evidence regarding the alleged benefits from his unauthorised expenditure of the University’s unrestricted reserves (some of which, contrary to the founding affidavit, made its way into his bank account and some of which was spent on inter alia travel, clothing, refreshments, wine, golf and entertainment; see Appeal Award paragraph 27).”</w:t>
      </w:r>
    </w:p>
    <w:p w14:paraId="37C6D20F" w14:textId="77777777" w:rsidR="00362958" w:rsidRPr="00EF68AF" w:rsidRDefault="00362958" w:rsidP="00362958">
      <w:pPr>
        <w:pStyle w:val="BowLevel2ListAlt"/>
        <w:numPr>
          <w:ilvl w:val="0"/>
          <w:numId w:val="0"/>
        </w:numPr>
        <w:spacing w:before="240" w:after="240"/>
        <w:ind w:left="720"/>
        <w:rPr>
          <w:rFonts w:ascii="Arial" w:hAnsi="Arial" w:cs="Arial"/>
          <w:sz w:val="22"/>
          <w:szCs w:val="22"/>
        </w:rPr>
      </w:pPr>
      <w:r w:rsidRPr="00EF68AF">
        <w:rPr>
          <w:rFonts w:ascii="Arial" w:hAnsi="Arial" w:cs="Arial"/>
          <w:sz w:val="22"/>
          <w:szCs w:val="22"/>
        </w:rPr>
        <w:t>and later:</w:t>
      </w:r>
    </w:p>
    <w:p w14:paraId="61754B02" w14:textId="77777777" w:rsidR="00362958" w:rsidRPr="00EF68AF" w:rsidRDefault="00362958" w:rsidP="00362958">
      <w:pPr>
        <w:pStyle w:val="BowLevel2ListAlt"/>
        <w:numPr>
          <w:ilvl w:val="0"/>
          <w:numId w:val="0"/>
        </w:numPr>
        <w:spacing w:before="240" w:after="240"/>
        <w:ind w:left="720"/>
        <w:rPr>
          <w:rFonts w:ascii="Arial" w:hAnsi="Arial" w:cs="Arial"/>
          <w:sz w:val="22"/>
          <w:szCs w:val="22"/>
        </w:rPr>
      </w:pPr>
      <w:r w:rsidRPr="00EF68AF">
        <w:rPr>
          <w:rFonts w:ascii="Arial" w:hAnsi="Arial" w:cs="Arial"/>
          <w:iCs/>
          <w:sz w:val="22"/>
          <w:szCs w:val="22"/>
        </w:rPr>
        <w:t>“I deny that the Initial Arbitrator or the Appeal Tribunal found that the unauthorised expenditure of Roux (an employee) was calculated to benefit the University (his employer). The contrary was found (see Initial Award paragraphs 151-153, 155 and 165 – 167, and see the Appeal Award paragraphs 27 – 30 and 36.4, read with paragraphs 40 – 42).”</w:t>
      </w:r>
    </w:p>
    <w:p w14:paraId="6BCB8974" w14:textId="77777777" w:rsidR="00362958" w:rsidRPr="00EF68AF" w:rsidRDefault="00362958" w:rsidP="00362958">
      <w:pPr>
        <w:pStyle w:val="BowLevel2ListAlt"/>
        <w:numPr>
          <w:ilvl w:val="0"/>
          <w:numId w:val="0"/>
        </w:numPr>
        <w:spacing w:before="240" w:after="240"/>
        <w:ind w:left="720"/>
        <w:rPr>
          <w:rFonts w:ascii="Arial" w:hAnsi="Arial" w:cs="Arial"/>
          <w:sz w:val="22"/>
          <w:szCs w:val="22"/>
        </w:rPr>
      </w:pPr>
      <w:r w:rsidRPr="00EF68AF">
        <w:rPr>
          <w:rFonts w:ascii="Arial" w:hAnsi="Arial" w:cs="Arial"/>
          <w:sz w:val="22"/>
          <w:szCs w:val="22"/>
        </w:rPr>
        <w:t>and finally,</w:t>
      </w:r>
    </w:p>
    <w:p w14:paraId="7A651F66" w14:textId="3BC50739" w:rsidR="00362958" w:rsidRPr="00EF68AF" w:rsidRDefault="00362958" w:rsidP="00362958">
      <w:pPr>
        <w:pStyle w:val="BowLevel2ListAlt"/>
        <w:numPr>
          <w:ilvl w:val="0"/>
          <w:numId w:val="0"/>
        </w:numPr>
        <w:spacing w:before="240" w:after="240"/>
        <w:ind w:left="720"/>
        <w:rPr>
          <w:rFonts w:ascii="Arial" w:hAnsi="Arial" w:cs="Arial"/>
          <w:iCs/>
          <w:sz w:val="22"/>
          <w:szCs w:val="22"/>
        </w:rPr>
      </w:pPr>
      <w:r w:rsidRPr="00EF68AF">
        <w:rPr>
          <w:rFonts w:ascii="Arial" w:hAnsi="Arial" w:cs="Arial"/>
          <w:sz w:val="22"/>
          <w:szCs w:val="22"/>
        </w:rPr>
        <w:t>“</w:t>
      </w:r>
      <w:r w:rsidRPr="00EF68AF">
        <w:rPr>
          <w:rFonts w:ascii="Arial" w:hAnsi="Arial" w:cs="Arial"/>
          <w:iCs/>
          <w:sz w:val="22"/>
          <w:szCs w:val="22"/>
        </w:rPr>
        <w:t>I deny in particular … that …</w:t>
      </w:r>
      <w:r w:rsidR="004767FF">
        <w:rPr>
          <w:rFonts w:ascii="Arial" w:hAnsi="Arial" w:cs="Arial"/>
          <w:iCs/>
          <w:sz w:val="22"/>
          <w:szCs w:val="22"/>
        </w:rPr>
        <w:t>’</w:t>
      </w:r>
    </w:p>
    <w:p w14:paraId="14727A6D" w14:textId="77777777" w:rsidR="00362958" w:rsidRPr="00EF68AF" w:rsidRDefault="00362958" w:rsidP="00362958">
      <w:pPr>
        <w:pStyle w:val="BowLevel2ListAlt"/>
        <w:numPr>
          <w:ilvl w:val="0"/>
          <w:numId w:val="0"/>
        </w:numPr>
        <w:spacing w:before="240" w:after="240"/>
        <w:ind w:left="720"/>
        <w:rPr>
          <w:rFonts w:ascii="Arial" w:hAnsi="Arial" w:cs="Arial"/>
          <w:iCs/>
          <w:sz w:val="22"/>
          <w:szCs w:val="22"/>
        </w:rPr>
      </w:pPr>
      <w:r w:rsidRPr="00EF68AF">
        <w:rPr>
          <w:rFonts w:ascii="Arial" w:hAnsi="Arial" w:cs="Arial"/>
          <w:iCs/>
          <w:sz w:val="22"/>
          <w:szCs w:val="22"/>
        </w:rPr>
        <w:t>40.2 It was Roux’s version that the funds transferred by him to cost centres H260, H261 and R593, R594 (“</w:t>
      </w:r>
      <w:r w:rsidRPr="00EF68AF">
        <w:rPr>
          <w:rFonts w:ascii="Arial" w:hAnsi="Arial" w:cs="Arial"/>
          <w:sz w:val="22"/>
          <w:szCs w:val="22"/>
        </w:rPr>
        <w:t>the four cost centres</w:t>
      </w:r>
      <w:r w:rsidRPr="00EF68AF">
        <w:rPr>
          <w:rFonts w:ascii="Arial" w:hAnsi="Arial" w:cs="Arial"/>
          <w:iCs/>
          <w:sz w:val="22"/>
          <w:szCs w:val="22"/>
        </w:rPr>
        <w:t>”) were used, “</w:t>
      </w:r>
      <w:r w:rsidRPr="00EF68AF">
        <w:rPr>
          <w:rFonts w:ascii="Arial" w:hAnsi="Arial" w:cs="Arial"/>
          <w:sz w:val="22"/>
          <w:szCs w:val="22"/>
        </w:rPr>
        <w:t>by the Rugby Club for legitimate ends in furtherance of its mandate, and therefore for the benefit of the University</w:t>
      </w:r>
      <w:r w:rsidRPr="00EF68AF">
        <w:rPr>
          <w:rFonts w:ascii="Arial" w:hAnsi="Arial" w:cs="Arial"/>
          <w:iCs/>
          <w:sz w:val="22"/>
          <w:szCs w:val="22"/>
        </w:rPr>
        <w:t>”.</w:t>
      </w:r>
    </w:p>
    <w:p w14:paraId="06CF7082" w14:textId="77777777" w:rsidR="00362958" w:rsidRPr="00EF68AF" w:rsidRDefault="00362958" w:rsidP="00362958">
      <w:pPr>
        <w:pStyle w:val="BowLevel2ListAlt"/>
        <w:numPr>
          <w:ilvl w:val="0"/>
          <w:numId w:val="0"/>
        </w:numPr>
        <w:spacing w:before="240" w:after="240"/>
        <w:ind w:left="720"/>
        <w:rPr>
          <w:rFonts w:ascii="Arial" w:hAnsi="Arial" w:cs="Arial"/>
          <w:iCs/>
          <w:sz w:val="22"/>
          <w:szCs w:val="22"/>
        </w:rPr>
      </w:pPr>
      <w:r w:rsidRPr="00EF68AF">
        <w:rPr>
          <w:rFonts w:ascii="Arial" w:hAnsi="Arial" w:cs="Arial"/>
          <w:iCs/>
          <w:sz w:val="22"/>
          <w:szCs w:val="22"/>
        </w:rPr>
        <w:t>40.3. There was any finding in the Initial Award that the funds were used to provide, “</w:t>
      </w:r>
      <w:r w:rsidRPr="00EF68AF">
        <w:rPr>
          <w:rFonts w:ascii="Arial" w:hAnsi="Arial" w:cs="Arial"/>
          <w:sz w:val="22"/>
          <w:szCs w:val="22"/>
        </w:rPr>
        <w:t>transformational scholarships to needy students</w:t>
      </w:r>
      <w:r w:rsidRPr="00EF68AF">
        <w:rPr>
          <w:rFonts w:ascii="Arial" w:hAnsi="Arial" w:cs="Arial"/>
          <w:iCs/>
          <w:sz w:val="22"/>
          <w:szCs w:val="22"/>
        </w:rPr>
        <w:t xml:space="preserve"> ...”. (On the contrary, Roux’s case was initially that he had not, at all, transferred or spent the funds that were the subject of the arbitration proceedings – this proved to be false.) </w:t>
      </w:r>
    </w:p>
    <w:p w14:paraId="5F1BD496" w14:textId="77777777" w:rsidR="00362958" w:rsidRDefault="00362958" w:rsidP="00362958">
      <w:pPr>
        <w:pStyle w:val="BowLevel2ListAlt"/>
        <w:numPr>
          <w:ilvl w:val="0"/>
          <w:numId w:val="0"/>
        </w:numPr>
        <w:spacing w:before="240" w:after="240"/>
        <w:ind w:left="720"/>
        <w:rPr>
          <w:rFonts w:ascii="Arial" w:hAnsi="Arial" w:cs="Arial"/>
          <w:sz w:val="22"/>
          <w:szCs w:val="22"/>
        </w:rPr>
      </w:pPr>
      <w:r w:rsidRPr="00EF68AF">
        <w:rPr>
          <w:rFonts w:ascii="Arial" w:hAnsi="Arial" w:cs="Arial"/>
          <w:iCs/>
          <w:sz w:val="22"/>
          <w:szCs w:val="22"/>
        </w:rPr>
        <w:t>40.4. Roux did not receive any of the money and/or that it was used for University business.</w:t>
      </w:r>
      <w:r w:rsidRPr="00EF68AF">
        <w:rPr>
          <w:rFonts w:ascii="Arial" w:hAnsi="Arial" w:cs="Arial"/>
          <w:sz w:val="22"/>
          <w:szCs w:val="22"/>
        </w:rPr>
        <w:t>”</w:t>
      </w:r>
    </w:p>
    <w:p w14:paraId="49B76285" w14:textId="6745D48E" w:rsidR="00362958" w:rsidRDefault="007011BB" w:rsidP="007011BB">
      <w:pPr>
        <w:spacing w:line="360" w:lineRule="auto"/>
        <w:ind w:left="720" w:hanging="720"/>
        <w:jc w:val="both"/>
      </w:pPr>
      <w:r>
        <w:lastRenderedPageBreak/>
        <w:t>[3</w:t>
      </w:r>
      <w:r w:rsidR="000B734A">
        <w:t>8</w:t>
      </w:r>
      <w:r>
        <w:t>]</w:t>
      </w:r>
      <w:r>
        <w:tab/>
      </w:r>
      <w:r w:rsidR="009D3627" w:rsidRPr="009D3627">
        <w:t>In res</w:t>
      </w:r>
      <w:r w:rsidR="009D3627">
        <w:t>pect of each of the references referred to in the answering affidavit</w:t>
      </w:r>
      <w:r w:rsidR="007415C2">
        <w:t xml:space="preserve"> </w:t>
      </w:r>
      <w:r w:rsidR="00216AF0">
        <w:t>and largely in response to the heads of argument on be</w:t>
      </w:r>
      <w:r w:rsidR="007415C2">
        <w:t>h</w:t>
      </w:r>
      <w:r w:rsidR="00216AF0">
        <w:t>alf of the University</w:t>
      </w:r>
      <w:r w:rsidR="004655CE">
        <w:t xml:space="preserve">, counsel </w:t>
      </w:r>
      <w:r w:rsidR="009D3627">
        <w:t>for Mr Roux</w:t>
      </w:r>
      <w:r w:rsidR="00216AF0">
        <w:t xml:space="preserve"> as </w:t>
      </w:r>
      <w:r w:rsidR="009D3627">
        <w:t>already indicated</w:t>
      </w:r>
      <w:r w:rsidR="004655CE">
        <w:t>,</w:t>
      </w:r>
      <w:r w:rsidR="009D3627">
        <w:t xml:space="preserve"> </w:t>
      </w:r>
      <w:r w:rsidR="004655CE">
        <w:t>submitted the</w:t>
      </w:r>
      <w:r w:rsidR="009D3627">
        <w:t xml:space="preserve"> </w:t>
      </w:r>
      <w:r w:rsidR="007415C2">
        <w:t>N</w:t>
      </w:r>
      <w:r w:rsidR="009D3627">
        <w:t>ote</w:t>
      </w:r>
      <w:r w:rsidR="004655CE">
        <w:t xml:space="preserve"> and</w:t>
      </w:r>
      <w:r w:rsidR="009D3627">
        <w:t xml:space="preserve"> sought to point out what </w:t>
      </w:r>
      <w:r w:rsidR="004655CE">
        <w:t>they</w:t>
      </w:r>
      <w:r w:rsidR="009D3627">
        <w:t xml:space="preserve"> regard</w:t>
      </w:r>
      <w:r w:rsidR="004655CE">
        <w:t xml:space="preserve">ed </w:t>
      </w:r>
      <w:r w:rsidR="009D3627">
        <w:t>as inconsistencies in the University’s denial of it having received</w:t>
      </w:r>
      <w:r w:rsidR="004655CE">
        <w:t xml:space="preserve"> </w:t>
      </w:r>
      <w:r w:rsidR="009D3627">
        <w:t xml:space="preserve">a benefit and that the expenditure was in </w:t>
      </w:r>
      <w:r w:rsidR="005913B2">
        <w:t>the</w:t>
      </w:r>
      <w:r w:rsidR="009D3627">
        <w:t xml:space="preserve"> scope of business. The </w:t>
      </w:r>
      <w:r w:rsidR="007415C2">
        <w:t>N</w:t>
      </w:r>
      <w:r w:rsidR="009D3627">
        <w:t xml:space="preserve">ote sought to point out that in some instances the University flatly denied that any benefits were received or that it was in the scope of the </w:t>
      </w:r>
      <w:r w:rsidR="006A5DE0">
        <w:t>business of the University</w:t>
      </w:r>
      <w:r w:rsidR="00E569F2">
        <w:t xml:space="preserve"> while </w:t>
      </w:r>
      <w:r w:rsidR="006A5DE0">
        <w:t>in other instances it simply did not dea</w:t>
      </w:r>
      <w:r w:rsidR="007415C2">
        <w:t>l</w:t>
      </w:r>
      <w:r w:rsidR="004655CE">
        <w:t xml:space="preserve"> with the contention</w:t>
      </w:r>
      <w:r w:rsidR="00E569F2">
        <w:t>s</w:t>
      </w:r>
      <w:r w:rsidR="004655CE">
        <w:t xml:space="preserve"> </w:t>
      </w:r>
      <w:r w:rsidR="00095938">
        <w:t xml:space="preserve">in the </w:t>
      </w:r>
      <w:r w:rsidR="006A5DE0">
        <w:t>answering affidavit. In its replying affidavit Mr Roux sought to point out that there was approximately R15 million that had been paid in bursaries. None of that</w:t>
      </w:r>
      <w:r w:rsidR="004655CE">
        <w:t>,</w:t>
      </w:r>
      <w:r w:rsidR="006A5DE0">
        <w:t xml:space="preserve"> the University contended was either pleaded nor proved in the </w:t>
      </w:r>
      <w:r w:rsidR="004655CE">
        <w:t>i</w:t>
      </w:r>
      <w:r w:rsidR="006A5DE0">
        <w:t xml:space="preserve">nitial </w:t>
      </w:r>
      <w:r w:rsidR="004655CE">
        <w:t>a</w:t>
      </w:r>
      <w:r w:rsidR="006A5DE0">
        <w:t xml:space="preserve">rbitration proceedings. </w:t>
      </w:r>
      <w:r w:rsidR="00A37068">
        <w:t>It was also pointed out in the</w:t>
      </w:r>
      <w:r w:rsidR="006A5DE0">
        <w:t xml:space="preserve"> </w:t>
      </w:r>
      <w:r w:rsidR="00E569F2">
        <w:t>N</w:t>
      </w:r>
      <w:r w:rsidR="006A5DE0">
        <w:t>ote</w:t>
      </w:r>
      <w:r w:rsidR="00A37068">
        <w:t xml:space="preserve"> </w:t>
      </w:r>
      <w:r w:rsidR="006A5DE0">
        <w:t>that in the replying affidavit</w:t>
      </w:r>
      <w:r w:rsidR="00A37068">
        <w:t>,</w:t>
      </w:r>
      <w:r w:rsidR="006A5DE0">
        <w:t xml:space="preserve"> Mr Roux </w:t>
      </w:r>
      <w:r w:rsidR="00A901FB">
        <w:t xml:space="preserve">claimed </w:t>
      </w:r>
      <w:r w:rsidR="006A5DE0">
        <w:t xml:space="preserve">that in response to a request for </w:t>
      </w:r>
      <w:r w:rsidR="00323139">
        <w:t xml:space="preserve">‘documentation reflecting all subsidies received from </w:t>
      </w:r>
      <w:r w:rsidR="00DC4E74">
        <w:t xml:space="preserve">the </w:t>
      </w:r>
      <w:r w:rsidR="00323139">
        <w:t xml:space="preserve">University from government for every Maties Rugby Club player who received a bursary during the period 2003 up to the present date’ the University did not deny that such subsidies were received </w:t>
      </w:r>
      <w:r w:rsidR="00917E7C">
        <w:t>‘</w:t>
      </w:r>
      <w:r w:rsidR="00323139">
        <w:t>– it is</w:t>
      </w:r>
      <w:r w:rsidR="00917E7C">
        <w:t xml:space="preserve"> common knowledge that they are’ </w:t>
      </w:r>
      <w:r w:rsidR="00323139">
        <w:t xml:space="preserve">– but that </w:t>
      </w:r>
      <w:r w:rsidR="00A37068">
        <w:t xml:space="preserve">the University had claimed that such </w:t>
      </w:r>
      <w:r w:rsidR="00323139">
        <w:t>infor</w:t>
      </w:r>
      <w:r w:rsidR="00B36E17">
        <w:t>m</w:t>
      </w:r>
      <w:r w:rsidR="00323139">
        <w:t>ation</w:t>
      </w:r>
      <w:r w:rsidR="00B36E17">
        <w:t xml:space="preserve"> was not</w:t>
      </w:r>
      <w:r w:rsidR="00917E7C">
        <w:t xml:space="preserve"> </w:t>
      </w:r>
      <w:r w:rsidR="00B36E17">
        <w:t>‘relevant to any matter in question as defined in the pleadings</w:t>
      </w:r>
      <w:r w:rsidR="00917E7C">
        <w:t>’</w:t>
      </w:r>
      <w:r w:rsidR="00B36E17">
        <w:t>. Counsel for Mr Roux contended that in the light of these responses</w:t>
      </w:r>
      <w:r w:rsidR="00A37068">
        <w:t xml:space="preserve"> and</w:t>
      </w:r>
      <w:r w:rsidR="00B36E17">
        <w:t xml:space="preserve"> the fact that Mr Roux had no access to the Universities records it would have been impossible for him to</w:t>
      </w:r>
      <w:r w:rsidR="00A37068">
        <w:t xml:space="preserve"> have </w:t>
      </w:r>
      <w:r w:rsidR="00B36E17">
        <w:t>prove</w:t>
      </w:r>
      <w:r w:rsidR="00A37068">
        <w:t xml:space="preserve">d any </w:t>
      </w:r>
      <w:r w:rsidR="00943A19">
        <w:t>compensatory</w:t>
      </w:r>
      <w:r w:rsidR="00B36E17">
        <w:t xml:space="preserve"> benefits. </w:t>
      </w:r>
    </w:p>
    <w:p w14:paraId="1B4B74F7" w14:textId="61D42AA7" w:rsidR="00B36E17" w:rsidRDefault="00B36E17" w:rsidP="00B36E17">
      <w:pPr>
        <w:pStyle w:val="ListParagraph"/>
        <w:spacing w:line="360" w:lineRule="auto"/>
        <w:jc w:val="both"/>
      </w:pPr>
    </w:p>
    <w:p w14:paraId="5A474A59" w14:textId="4E7D58A9" w:rsidR="00943A19" w:rsidRDefault="004767FF" w:rsidP="006310F4">
      <w:pPr>
        <w:spacing w:after="480" w:line="360" w:lineRule="auto"/>
        <w:ind w:left="720" w:hanging="720"/>
        <w:jc w:val="both"/>
      </w:pPr>
      <w:r>
        <w:rPr>
          <w:lang w:val="en-GB"/>
        </w:rPr>
        <w:t>[3</w:t>
      </w:r>
      <w:r w:rsidR="000B734A">
        <w:rPr>
          <w:lang w:val="en-GB"/>
        </w:rPr>
        <w:t>9</w:t>
      </w:r>
      <w:r>
        <w:rPr>
          <w:lang w:val="en-GB"/>
        </w:rPr>
        <w:t>]</w:t>
      </w:r>
      <w:r>
        <w:rPr>
          <w:lang w:val="en-GB"/>
        </w:rPr>
        <w:tab/>
      </w:r>
      <w:r w:rsidR="00DC4E74">
        <w:rPr>
          <w:lang w:val="en-GB"/>
        </w:rPr>
        <w:t>To the extent that</w:t>
      </w:r>
      <w:r>
        <w:rPr>
          <w:lang w:val="en-GB"/>
        </w:rPr>
        <w:t xml:space="preserve"> Mr Roux c</w:t>
      </w:r>
      <w:r w:rsidR="00417A80">
        <w:rPr>
          <w:lang w:val="en-GB"/>
        </w:rPr>
        <w:t>laimed</w:t>
      </w:r>
      <w:r>
        <w:rPr>
          <w:lang w:val="en-GB"/>
        </w:rPr>
        <w:t xml:space="preserve"> that the University</w:t>
      </w:r>
      <w:r w:rsidR="00BA1B69">
        <w:rPr>
          <w:lang w:val="en-GB"/>
        </w:rPr>
        <w:t xml:space="preserve"> </w:t>
      </w:r>
      <w:r>
        <w:rPr>
          <w:lang w:val="en-GB"/>
        </w:rPr>
        <w:t>received a benefit by virtue of the subsidies it obtained from central government for students who had attended the University by virtue of scholarships</w:t>
      </w:r>
      <w:r w:rsidR="00DC4E74">
        <w:rPr>
          <w:lang w:val="en-GB"/>
        </w:rPr>
        <w:t xml:space="preserve"> it was unclear </w:t>
      </w:r>
      <w:r>
        <w:rPr>
          <w:lang w:val="en-GB"/>
        </w:rPr>
        <w:t>to th</w:t>
      </w:r>
      <w:r w:rsidR="00417A80">
        <w:rPr>
          <w:lang w:val="en-GB"/>
        </w:rPr>
        <w:t>is</w:t>
      </w:r>
      <w:r>
        <w:rPr>
          <w:lang w:val="en-GB"/>
        </w:rPr>
        <w:t xml:space="preserve"> court how exactly a subsidy obtained from the </w:t>
      </w:r>
      <w:r w:rsidR="00DC4E74">
        <w:rPr>
          <w:lang w:val="en-GB"/>
        </w:rPr>
        <w:t>n</w:t>
      </w:r>
      <w:r>
        <w:rPr>
          <w:lang w:val="en-GB"/>
        </w:rPr>
        <w:t xml:space="preserve">ational </w:t>
      </w:r>
      <w:r w:rsidR="00DC4E74">
        <w:rPr>
          <w:lang w:val="en-GB"/>
        </w:rPr>
        <w:t>g</w:t>
      </w:r>
      <w:r>
        <w:rPr>
          <w:lang w:val="en-GB"/>
        </w:rPr>
        <w:t xml:space="preserve">overnment constituted a benefit to the University.  </w:t>
      </w:r>
    </w:p>
    <w:p w14:paraId="38D2E9BE" w14:textId="40454C8D" w:rsidR="00B36E17" w:rsidRDefault="007011BB" w:rsidP="006310F4">
      <w:pPr>
        <w:spacing w:after="480" w:line="360" w:lineRule="auto"/>
        <w:ind w:left="720" w:hanging="720"/>
        <w:jc w:val="both"/>
      </w:pPr>
      <w:r>
        <w:t>[</w:t>
      </w:r>
      <w:r w:rsidR="000B734A">
        <w:t>40</w:t>
      </w:r>
      <w:r>
        <w:t>]</w:t>
      </w:r>
      <w:r>
        <w:tab/>
      </w:r>
      <w:r w:rsidR="00B36E17">
        <w:t xml:space="preserve">Counsel for Mr Roux </w:t>
      </w:r>
      <w:r w:rsidR="00080F26">
        <w:t xml:space="preserve">in both the Note and in oral argument </w:t>
      </w:r>
      <w:r w:rsidR="0009264F">
        <w:t xml:space="preserve">also sought to rely on the </w:t>
      </w:r>
      <w:r w:rsidR="00A37068">
        <w:t xml:space="preserve">oral </w:t>
      </w:r>
      <w:r w:rsidR="0009264F">
        <w:t>submission</w:t>
      </w:r>
      <w:r w:rsidR="00A37068">
        <w:t>s</w:t>
      </w:r>
      <w:r w:rsidR="0009264F">
        <w:t xml:space="preserve"> </w:t>
      </w:r>
      <w:r w:rsidR="00095938">
        <w:t>of</w:t>
      </w:r>
      <w:r w:rsidR="0009264F">
        <w:t xml:space="preserve"> its</w:t>
      </w:r>
      <w:r w:rsidR="007415C2">
        <w:t xml:space="preserve"> erstwhile </w:t>
      </w:r>
      <w:r w:rsidR="0009264F">
        <w:t xml:space="preserve">counsel Mr Fagan </w:t>
      </w:r>
      <w:r w:rsidR="00080F26">
        <w:t>in</w:t>
      </w:r>
      <w:r w:rsidR="0009264F">
        <w:t xml:space="preserve"> the </w:t>
      </w:r>
      <w:r w:rsidR="00FD4D66">
        <w:t>i</w:t>
      </w:r>
      <w:r w:rsidR="0009264F">
        <w:t>ni</w:t>
      </w:r>
      <w:r w:rsidR="00417A80">
        <w:t>tial</w:t>
      </w:r>
      <w:r w:rsidR="0009264F">
        <w:t xml:space="preserve"> </w:t>
      </w:r>
      <w:r w:rsidR="007415C2">
        <w:t>a</w:t>
      </w:r>
      <w:r w:rsidR="0009264F">
        <w:t>rbitration</w:t>
      </w:r>
      <w:r w:rsidR="005D35B6">
        <w:t xml:space="preserve"> </w:t>
      </w:r>
      <w:r w:rsidR="00417A80">
        <w:t>that was</w:t>
      </w:r>
      <w:r w:rsidR="00FD4D66">
        <w:t xml:space="preserve"> </w:t>
      </w:r>
      <w:r w:rsidR="00A37068">
        <w:t>reflected</w:t>
      </w:r>
      <w:r w:rsidR="0009264F">
        <w:t xml:space="preserve"> in the transcript attached to the </w:t>
      </w:r>
      <w:r w:rsidR="00CB0E82">
        <w:t>answering</w:t>
      </w:r>
      <w:r w:rsidR="005D35B6">
        <w:t xml:space="preserve"> </w:t>
      </w:r>
      <w:r w:rsidR="0009264F">
        <w:t>affidavit</w:t>
      </w:r>
      <w:r w:rsidR="00080F26">
        <w:t>. H</w:t>
      </w:r>
      <w:r w:rsidR="0009264F">
        <w:t>e</w:t>
      </w:r>
      <w:r w:rsidR="00080F26">
        <w:t xml:space="preserve"> </w:t>
      </w:r>
      <w:r w:rsidR="0009264F">
        <w:t xml:space="preserve">stated </w:t>
      </w:r>
      <w:r w:rsidR="0009264F">
        <w:lastRenderedPageBreak/>
        <w:t>‘the objection</w:t>
      </w:r>
      <w:r>
        <w:t xml:space="preserve"> </w:t>
      </w:r>
      <w:r w:rsidR="00A37068">
        <w:t>(to the expert evidence)</w:t>
      </w:r>
      <w:r w:rsidR="0009264F">
        <w:t xml:space="preserve"> is because we have merely denied the allegation of damages and we haven’t expanded on that. That precludes us from leading evidence as to who</w:t>
      </w:r>
      <w:r w:rsidR="00A37068">
        <w:t>,</w:t>
      </w:r>
      <w:r w:rsidR="0009264F">
        <w:t xml:space="preserve"> what value this Rugby Club initiative and so might have had for the University…’. Mr Fagan</w:t>
      </w:r>
      <w:r w:rsidR="005D35B6">
        <w:t xml:space="preserve"> </w:t>
      </w:r>
      <w:r w:rsidR="00DC4E74">
        <w:t xml:space="preserve">had </w:t>
      </w:r>
      <w:r w:rsidR="00417A80">
        <w:t>submitted</w:t>
      </w:r>
      <w:r w:rsidR="005D35B6">
        <w:t xml:space="preserve"> to the </w:t>
      </w:r>
      <w:r w:rsidR="00417A80">
        <w:t>I</w:t>
      </w:r>
      <w:r w:rsidR="005D35B6">
        <w:t xml:space="preserve">nitial </w:t>
      </w:r>
      <w:r w:rsidR="00417A80">
        <w:t>A</w:t>
      </w:r>
      <w:r w:rsidR="005D35B6">
        <w:t xml:space="preserve">rbitrator </w:t>
      </w:r>
      <w:r w:rsidR="0009264F">
        <w:t>‘you know what our position is, we say there is benefits and this is a quantification of that’</w:t>
      </w:r>
      <w:r w:rsidR="00943A19">
        <w:t xml:space="preserve">. </w:t>
      </w:r>
      <w:r w:rsidR="00417A80">
        <w:t>That evidence was</w:t>
      </w:r>
      <w:r w:rsidR="00B930D4">
        <w:t xml:space="preserve"> strenuously objected to by the University.</w:t>
      </w:r>
    </w:p>
    <w:p w14:paraId="0E5DF8D7" w14:textId="77777777" w:rsidR="00B930D4" w:rsidRDefault="00B930D4" w:rsidP="00B930D4">
      <w:pPr>
        <w:pStyle w:val="ListParagraph"/>
      </w:pPr>
    </w:p>
    <w:p w14:paraId="46200947" w14:textId="66F7F4CA" w:rsidR="00B930D4" w:rsidRDefault="007011BB" w:rsidP="007011BB">
      <w:pPr>
        <w:spacing w:line="360" w:lineRule="auto"/>
        <w:ind w:left="720" w:hanging="720"/>
        <w:jc w:val="both"/>
      </w:pPr>
      <w:r>
        <w:t>[</w:t>
      </w:r>
      <w:r w:rsidR="004767FF">
        <w:t>4</w:t>
      </w:r>
      <w:r w:rsidR="000B734A">
        <w:t>1</w:t>
      </w:r>
      <w:r>
        <w:t>]</w:t>
      </w:r>
      <w:r>
        <w:tab/>
      </w:r>
      <w:r w:rsidR="00B930D4">
        <w:t>It is not necessary to deal</w:t>
      </w:r>
      <w:r w:rsidR="005D35B6">
        <w:t xml:space="preserve"> in detail </w:t>
      </w:r>
      <w:r w:rsidR="00B930D4">
        <w:t xml:space="preserve">with each and every claim made in the </w:t>
      </w:r>
      <w:r w:rsidR="007415C2">
        <w:t>N</w:t>
      </w:r>
      <w:r w:rsidR="00B930D4">
        <w:t xml:space="preserve">ote in support of </w:t>
      </w:r>
      <w:r w:rsidR="00A37068">
        <w:t xml:space="preserve">Mr Roux`s </w:t>
      </w:r>
      <w:r w:rsidR="00B930D4">
        <w:t xml:space="preserve">contention that it was either </w:t>
      </w:r>
      <w:r w:rsidR="00AC3EEE">
        <w:t>“</w:t>
      </w:r>
      <w:r w:rsidR="00B930D4">
        <w:t>common cause</w:t>
      </w:r>
      <w:r w:rsidR="00AC3EEE">
        <w:t>”</w:t>
      </w:r>
      <w:r w:rsidR="00943A19">
        <w:t xml:space="preserve"> </w:t>
      </w:r>
      <w:r w:rsidR="00333783">
        <w:t>or</w:t>
      </w:r>
      <w:r w:rsidR="00B930D4">
        <w:t xml:space="preserve"> </w:t>
      </w:r>
      <w:r w:rsidR="00AC3EEE">
        <w:t>“</w:t>
      </w:r>
      <w:r w:rsidR="00B930D4">
        <w:t>not disputed</w:t>
      </w:r>
      <w:r w:rsidR="00AC3EEE">
        <w:t>”</w:t>
      </w:r>
      <w:r w:rsidR="00B930D4">
        <w:t xml:space="preserve"> or in fact </w:t>
      </w:r>
      <w:r w:rsidR="00417A80">
        <w:t>“</w:t>
      </w:r>
      <w:r w:rsidR="00B930D4">
        <w:t>found</w:t>
      </w:r>
      <w:r w:rsidR="00417A80">
        <w:t xml:space="preserve">” or </w:t>
      </w:r>
      <w:r w:rsidR="00333783">
        <w:t xml:space="preserve">simply </w:t>
      </w:r>
      <w:r w:rsidR="00417A80">
        <w:t xml:space="preserve">“not dealt with” </w:t>
      </w:r>
      <w:r w:rsidR="00B930D4">
        <w:t xml:space="preserve">by the </w:t>
      </w:r>
      <w:r w:rsidR="00417A80">
        <w:t>I</w:t>
      </w:r>
      <w:r w:rsidR="00B930D4">
        <w:t xml:space="preserve">nitial </w:t>
      </w:r>
      <w:r w:rsidR="00417A80">
        <w:t>A</w:t>
      </w:r>
      <w:r w:rsidR="00B930D4">
        <w:t xml:space="preserve">rbitrator and the </w:t>
      </w:r>
      <w:r w:rsidR="00417A80">
        <w:t>A</w:t>
      </w:r>
      <w:r w:rsidR="00B930D4">
        <w:t xml:space="preserve">ppeal </w:t>
      </w:r>
      <w:r w:rsidR="00417A80">
        <w:t>T</w:t>
      </w:r>
      <w:r w:rsidR="00B930D4">
        <w:t xml:space="preserve">ribunal that the expenditure was for the benefit of the University, </w:t>
      </w:r>
      <w:r w:rsidR="00417A80">
        <w:t xml:space="preserve">legitimate and </w:t>
      </w:r>
      <w:r w:rsidR="00B930D4">
        <w:t xml:space="preserve">in the scope of </w:t>
      </w:r>
      <w:r w:rsidR="00AC3EEE">
        <w:t xml:space="preserve">its </w:t>
      </w:r>
      <w:r w:rsidR="00B930D4">
        <w:t>business. I am more than satisfied</w:t>
      </w:r>
      <w:r w:rsidR="00AC3EEE">
        <w:t xml:space="preserve"> that</w:t>
      </w:r>
      <w:r w:rsidR="00B930D4">
        <w:t xml:space="preserve"> on the conspectus of all of the evidence referred</w:t>
      </w:r>
      <w:r w:rsidR="007415C2">
        <w:t xml:space="preserve"> in these proceedings </w:t>
      </w:r>
      <w:r w:rsidR="00B930D4">
        <w:t>and</w:t>
      </w:r>
      <w:r w:rsidR="00AC3EEE">
        <w:t xml:space="preserve"> in particular</w:t>
      </w:r>
      <w:r w:rsidR="00B930D4">
        <w:t xml:space="preserve"> on the actual findings made by</w:t>
      </w:r>
      <w:r w:rsidR="00AC3EEE">
        <w:t xml:space="preserve"> both </w:t>
      </w:r>
      <w:r w:rsidR="00B930D4">
        <w:t xml:space="preserve">the </w:t>
      </w:r>
      <w:r w:rsidR="00417A80">
        <w:t>I</w:t>
      </w:r>
      <w:r w:rsidR="00B930D4">
        <w:t>nitial</w:t>
      </w:r>
      <w:r w:rsidR="00AC3EEE">
        <w:t xml:space="preserve"> </w:t>
      </w:r>
      <w:r w:rsidR="00417A80">
        <w:t>A</w:t>
      </w:r>
      <w:r w:rsidR="00AC3EEE">
        <w:t>rbitrator</w:t>
      </w:r>
      <w:r w:rsidR="00B930D4">
        <w:t xml:space="preserve"> and</w:t>
      </w:r>
      <w:r w:rsidR="00AC3EEE">
        <w:t xml:space="preserve"> the</w:t>
      </w:r>
      <w:r w:rsidR="00B930D4">
        <w:t xml:space="preserve"> </w:t>
      </w:r>
      <w:r w:rsidR="00417A80">
        <w:t>A</w:t>
      </w:r>
      <w:r w:rsidR="00B930D4">
        <w:t xml:space="preserve">ppeal </w:t>
      </w:r>
      <w:r w:rsidR="00417A80">
        <w:t>T</w:t>
      </w:r>
      <w:r w:rsidR="00B930D4">
        <w:t xml:space="preserve">ribunal that </w:t>
      </w:r>
      <w:r w:rsidR="00AC3EEE">
        <w:t>the contention that the expenditure was for the benefit of the University</w:t>
      </w:r>
      <w:r w:rsidR="004B347E">
        <w:t>, inasmuch as it was not proved</w:t>
      </w:r>
      <w:r w:rsidR="00AC3EEE">
        <w:t>,</w:t>
      </w:r>
      <w:r w:rsidR="007415C2">
        <w:t xml:space="preserve"> or that it was </w:t>
      </w:r>
      <w:r w:rsidR="00AC3EEE">
        <w:t>legitimate and in the course of the business of the University was without</w:t>
      </w:r>
      <w:r w:rsidR="007E6BE6">
        <w:t xml:space="preserve"> merit and cert</w:t>
      </w:r>
      <w:r w:rsidR="007B517C">
        <w:t>ainly not supported by the find</w:t>
      </w:r>
      <w:r w:rsidR="007E6BE6">
        <w:t>in</w:t>
      </w:r>
      <w:r w:rsidR="005D35B6">
        <w:t>gs of the arbitrator</w:t>
      </w:r>
      <w:r w:rsidR="00095938">
        <w:t>s.</w:t>
      </w:r>
      <w:r w:rsidR="00B930D4">
        <w:t xml:space="preserve"> </w:t>
      </w:r>
      <w:r w:rsidR="00333783">
        <w:t xml:space="preserve">During </w:t>
      </w:r>
      <w:r w:rsidR="00B930D4">
        <w:t xml:space="preserve">the course of argument counsel for Mr Roux sought to suggest that the findings of the arbitrators both </w:t>
      </w:r>
      <w:r w:rsidR="005D35B6">
        <w:t xml:space="preserve">in </w:t>
      </w:r>
      <w:r w:rsidR="00B930D4">
        <w:t xml:space="preserve">the </w:t>
      </w:r>
      <w:r w:rsidR="00B91189">
        <w:t>I</w:t>
      </w:r>
      <w:r w:rsidR="00B930D4">
        <w:t>nitial</w:t>
      </w:r>
      <w:r w:rsidR="007E6BE6">
        <w:t xml:space="preserve"> </w:t>
      </w:r>
      <w:r w:rsidR="00B91189">
        <w:t>A</w:t>
      </w:r>
      <w:r w:rsidR="007E6BE6">
        <w:t xml:space="preserve">rbitration </w:t>
      </w:r>
      <w:r w:rsidR="00B930D4">
        <w:t>and the</w:t>
      </w:r>
      <w:r w:rsidR="007E6BE6">
        <w:t xml:space="preserve"> a</w:t>
      </w:r>
      <w:r w:rsidR="00B930D4">
        <w:t>ppeal</w:t>
      </w:r>
      <w:r w:rsidR="005D35B6">
        <w:t xml:space="preserve"> with regard to a finding of benefits </w:t>
      </w:r>
      <w:r w:rsidR="00B930D4">
        <w:t xml:space="preserve">had ‘come close to it’. There </w:t>
      </w:r>
      <w:r w:rsidR="007E6BE6">
        <w:t>was</w:t>
      </w:r>
      <w:r w:rsidR="00095938">
        <w:t xml:space="preserve"> in my view</w:t>
      </w:r>
      <w:r w:rsidR="00333783">
        <w:t>,</w:t>
      </w:r>
      <w:r w:rsidR="00095938">
        <w:t xml:space="preserve"> </w:t>
      </w:r>
      <w:r w:rsidR="00B930D4">
        <w:t xml:space="preserve">hardly any support for such a </w:t>
      </w:r>
      <w:r w:rsidR="007E6BE6">
        <w:t xml:space="preserve">tenuous </w:t>
      </w:r>
      <w:r w:rsidR="00B930D4">
        <w:t>contention on the papers before this court</w:t>
      </w:r>
      <w:r w:rsidR="003743CB">
        <w:t xml:space="preserve">. </w:t>
      </w:r>
      <w:r w:rsidR="00E1702C">
        <w:t>Moreover, counsel</w:t>
      </w:r>
      <w:r w:rsidR="003743CB">
        <w:t xml:space="preserve"> for the Mr Roux</w:t>
      </w:r>
      <w:r w:rsidR="00CB7ADD">
        <w:t xml:space="preserve"> </w:t>
      </w:r>
      <w:r w:rsidR="00E1702C">
        <w:t>than sought</w:t>
      </w:r>
      <w:r w:rsidR="003743CB">
        <w:t xml:space="preserve"> to </w:t>
      </w:r>
      <w:r w:rsidR="00E1702C">
        <w:t>suggest that</w:t>
      </w:r>
      <w:r w:rsidR="003743CB">
        <w:t xml:space="preserve"> “benefit</w:t>
      </w:r>
      <w:r w:rsidR="00333783">
        <w:t xml:space="preserve">s” that accrued </w:t>
      </w:r>
      <w:r w:rsidR="003743CB">
        <w:t>should be construed on the basis</w:t>
      </w:r>
      <w:r w:rsidR="00E1702C">
        <w:t xml:space="preserve"> as he put it “at least in the sense that</w:t>
      </w:r>
      <w:r w:rsidR="003743CB">
        <w:t xml:space="preserve"> the expenditure was in the course of the business of the </w:t>
      </w:r>
      <w:r w:rsidR="00CB7ADD">
        <w:t>University</w:t>
      </w:r>
      <w:r w:rsidR="00080F26">
        <w:t>”</w:t>
      </w:r>
      <w:r w:rsidR="00E1702C">
        <w:t xml:space="preserve"> and added that it the really two sides of the same coin. </w:t>
      </w:r>
      <w:r w:rsidR="00CB7ADD">
        <w:t xml:space="preserve">  </w:t>
      </w:r>
      <w:r w:rsidR="003743CB">
        <w:t xml:space="preserve"> </w:t>
      </w:r>
      <w:r w:rsidR="00B930D4">
        <w:t xml:space="preserve"> </w:t>
      </w:r>
    </w:p>
    <w:p w14:paraId="2CE0631D" w14:textId="77777777" w:rsidR="007B517C" w:rsidRDefault="007B517C" w:rsidP="004A4DE7">
      <w:pPr>
        <w:spacing w:line="360" w:lineRule="auto"/>
        <w:jc w:val="both"/>
      </w:pPr>
    </w:p>
    <w:p w14:paraId="65133450" w14:textId="2FFD819D" w:rsidR="00F03ACB" w:rsidRDefault="007B517C" w:rsidP="007B517C">
      <w:pPr>
        <w:spacing w:line="360" w:lineRule="auto"/>
        <w:ind w:left="720" w:hanging="720"/>
        <w:jc w:val="both"/>
      </w:pPr>
      <w:r>
        <w:t>[</w:t>
      </w:r>
      <w:r w:rsidR="004767FF">
        <w:t>4</w:t>
      </w:r>
      <w:r w:rsidR="000B734A">
        <w:t>2</w:t>
      </w:r>
      <w:r>
        <w:t>]</w:t>
      </w:r>
      <w:r>
        <w:tab/>
      </w:r>
      <w:r w:rsidR="00E1702C">
        <w:t>I</w:t>
      </w:r>
      <w:r w:rsidR="00824C4D">
        <w:t xml:space="preserve">t </w:t>
      </w:r>
      <w:r w:rsidR="007E6BE6">
        <w:t>was</w:t>
      </w:r>
      <w:r w:rsidR="00C34165">
        <w:t xml:space="preserve"> in my view</w:t>
      </w:r>
      <w:r w:rsidR="00824C4D">
        <w:t xml:space="preserve"> clear that counsel for Mr Roux</w:t>
      </w:r>
      <w:r w:rsidR="007E6BE6">
        <w:t xml:space="preserve"> </w:t>
      </w:r>
      <w:r w:rsidR="00FF75BB">
        <w:t>misconstrued</w:t>
      </w:r>
      <w:r w:rsidR="00824C4D">
        <w:t xml:space="preserve"> the actual finding of the </w:t>
      </w:r>
      <w:r w:rsidR="00333783">
        <w:t>A</w:t>
      </w:r>
      <w:r w:rsidR="003220E4">
        <w:t xml:space="preserve">ppeal </w:t>
      </w:r>
      <w:r w:rsidR="00333783">
        <w:t>T</w:t>
      </w:r>
      <w:r w:rsidR="003220E4">
        <w:t>ribunal as to whether the expenditure</w:t>
      </w:r>
      <w:r w:rsidR="00FF75BB">
        <w:t xml:space="preserve"> was legi</w:t>
      </w:r>
      <w:r w:rsidR="00E1702C">
        <w:t>ti</w:t>
      </w:r>
      <w:r w:rsidR="00FF75BB">
        <w:t xml:space="preserve">mate and </w:t>
      </w:r>
      <w:r w:rsidR="003220E4">
        <w:t>fell within the scope of the University’s business. As already alluded to</w:t>
      </w:r>
      <w:r w:rsidR="00FD50B8">
        <w:t>,</w:t>
      </w:r>
      <w:r>
        <w:t xml:space="preserve"> </w:t>
      </w:r>
      <w:r w:rsidR="00A8353E">
        <w:t xml:space="preserve">the Appeal Tribunal </w:t>
      </w:r>
      <w:r w:rsidR="003220E4">
        <w:t xml:space="preserve">pointed out that Mr Roux had claimed that these expenses occurred ‘in die normale gang van die Rugby Klub se uitgawes’. The </w:t>
      </w:r>
      <w:r w:rsidR="00A8353E">
        <w:t>A</w:t>
      </w:r>
      <w:r w:rsidR="003220E4">
        <w:t xml:space="preserve">ppeal </w:t>
      </w:r>
      <w:r w:rsidR="00A8353E">
        <w:t>T</w:t>
      </w:r>
      <w:r w:rsidR="003220E4">
        <w:t xml:space="preserve">ribunal </w:t>
      </w:r>
      <w:r w:rsidR="003220E4">
        <w:lastRenderedPageBreak/>
        <w:t xml:space="preserve">pertinently </w:t>
      </w:r>
      <w:r w:rsidR="007E6BE6">
        <w:t>found</w:t>
      </w:r>
      <w:r w:rsidR="003220E4">
        <w:t xml:space="preserve"> that whether the expenditure of the said funds in the manner in which </w:t>
      </w:r>
      <w:r w:rsidR="00333783">
        <w:t xml:space="preserve">it </w:t>
      </w:r>
      <w:r w:rsidR="003220E4">
        <w:t xml:space="preserve">had occurred would, </w:t>
      </w:r>
      <w:r w:rsidR="003220E4" w:rsidRPr="004767FF">
        <w:t xml:space="preserve">in </w:t>
      </w:r>
      <w:r w:rsidR="00FD50B8" w:rsidRPr="004767FF">
        <w:t>“</w:t>
      </w:r>
      <w:r w:rsidR="003220E4" w:rsidRPr="004767FF">
        <w:t>normal circumstances,</w:t>
      </w:r>
      <w:r w:rsidR="00FD50B8" w:rsidRPr="004767FF">
        <w:t>”</w:t>
      </w:r>
      <w:r w:rsidR="003220E4">
        <w:t xml:space="preserve"> have qualified </w:t>
      </w:r>
      <w:r w:rsidR="007E6BE6">
        <w:t>as</w:t>
      </w:r>
      <w:r w:rsidR="003220E4">
        <w:t xml:space="preserve"> legitimate expenditure by the University of its funds overlook</w:t>
      </w:r>
      <w:r w:rsidR="007E6BE6">
        <w:t>ed</w:t>
      </w:r>
      <w:r w:rsidR="00E1702C">
        <w:t xml:space="preserve"> </w:t>
      </w:r>
      <w:r w:rsidR="003220E4">
        <w:t>t</w:t>
      </w:r>
      <w:r w:rsidR="00FD50B8">
        <w:t>he</w:t>
      </w:r>
      <w:r w:rsidR="003220E4">
        <w:t xml:space="preserve"> core</w:t>
      </w:r>
      <w:r w:rsidR="00FD50B8">
        <w:t xml:space="preserve"> findings referred to above</w:t>
      </w:r>
      <w:r>
        <w:t xml:space="preserve"> </w:t>
      </w:r>
      <w:r w:rsidR="00CB7ADD">
        <w:t xml:space="preserve">(paragraphs 29-30 </w:t>
      </w:r>
      <w:r>
        <w:t>o</w:t>
      </w:r>
      <w:r w:rsidR="00CB7ADD">
        <w:t xml:space="preserve">f the award of the </w:t>
      </w:r>
      <w:r w:rsidR="00333783">
        <w:t>A</w:t>
      </w:r>
      <w:r w:rsidR="00CB7ADD">
        <w:t xml:space="preserve">ppeal </w:t>
      </w:r>
      <w:r w:rsidR="00333783">
        <w:t>T</w:t>
      </w:r>
      <w:r w:rsidR="00CB7ADD">
        <w:t>ribunal</w:t>
      </w:r>
      <w:r w:rsidR="00080F26">
        <w:t xml:space="preserve"> paragraph</w:t>
      </w:r>
      <w:r w:rsidR="00C34165">
        <w:t>,</w:t>
      </w:r>
      <w:r w:rsidR="00333783">
        <w:t xml:space="preserve"> see para</w:t>
      </w:r>
      <w:r w:rsidR="00080F26">
        <w:t xml:space="preserve"> 1</w:t>
      </w:r>
      <w:r w:rsidR="006E7EBD">
        <w:t>6</w:t>
      </w:r>
      <w:r w:rsidR="00080F26">
        <w:t xml:space="preserve"> </w:t>
      </w:r>
      <w:r w:rsidR="00C34165">
        <w:t>above)</w:t>
      </w:r>
      <w:r w:rsidR="00F8267B">
        <w:t>.</w:t>
      </w:r>
      <w:r w:rsidR="003220E4">
        <w:t xml:space="preserve"> Mr Roux seemingly failed to appreciate that</w:t>
      </w:r>
      <w:r w:rsidR="007E6BE6">
        <w:t xml:space="preserve"> the </w:t>
      </w:r>
      <w:r w:rsidR="00333783">
        <w:t>A</w:t>
      </w:r>
      <w:r w:rsidR="007E6BE6">
        <w:t xml:space="preserve">ppeal </w:t>
      </w:r>
      <w:r w:rsidR="00333783">
        <w:t>T</w:t>
      </w:r>
      <w:r w:rsidR="007E6BE6">
        <w:t xml:space="preserve">ribunal stated </w:t>
      </w:r>
      <w:r w:rsidR="00A8353E">
        <w:t xml:space="preserve">that </w:t>
      </w:r>
      <w:r w:rsidR="003220E4">
        <w:t>‘in normal circumstances</w:t>
      </w:r>
      <w:r w:rsidR="007E6BE6">
        <w:t>”</w:t>
      </w:r>
      <w:r w:rsidR="003220E4">
        <w:t xml:space="preserve"> </w:t>
      </w:r>
      <w:r w:rsidR="007E6BE6">
        <w:t>such expenditure would have qualified as legitimate expenditure</w:t>
      </w:r>
      <w:r w:rsidR="003220E4">
        <w:t xml:space="preserve"> of the </w:t>
      </w:r>
      <w:r w:rsidR="00095938">
        <w:t>r</w:t>
      </w:r>
      <w:r w:rsidR="003220E4">
        <w:t xml:space="preserve">ugby </w:t>
      </w:r>
      <w:r w:rsidR="00095938">
        <w:t>c</w:t>
      </w:r>
      <w:r w:rsidR="003220E4">
        <w:t xml:space="preserve">lub. Needless to say, the expenditure had not occurred in normal circumstances but </w:t>
      </w:r>
      <w:r w:rsidR="00333783">
        <w:t xml:space="preserve">had been </w:t>
      </w:r>
      <w:r w:rsidR="003220E4">
        <w:t xml:space="preserve">unlawfully allocated by Mr Roux to the four cost centres </w:t>
      </w:r>
      <w:r w:rsidR="00C34165">
        <w:t>and</w:t>
      </w:r>
      <w:r w:rsidR="003220E4">
        <w:t xml:space="preserve"> </w:t>
      </w:r>
      <w:r w:rsidR="00A8353E">
        <w:t xml:space="preserve">were </w:t>
      </w:r>
      <w:r w:rsidR="003220E4">
        <w:t>ultimately</w:t>
      </w:r>
      <w:r w:rsidR="007D2C7F">
        <w:t xml:space="preserve"> and unlawfully</w:t>
      </w:r>
      <w:r w:rsidR="003220E4">
        <w:t xml:space="preserve"> expended </w:t>
      </w:r>
      <w:r w:rsidR="00C34165">
        <w:t>through the accounts of</w:t>
      </w:r>
      <w:r w:rsidR="003220E4">
        <w:t xml:space="preserve"> the </w:t>
      </w:r>
      <w:r w:rsidR="00CB7ADD">
        <w:t>r</w:t>
      </w:r>
      <w:r w:rsidR="003220E4">
        <w:t xml:space="preserve">ugby </w:t>
      </w:r>
      <w:r w:rsidR="00CB7ADD">
        <w:t>c</w:t>
      </w:r>
      <w:r w:rsidR="003220E4">
        <w:t>lub having n</w:t>
      </w:r>
      <w:r w:rsidR="007D2C7F">
        <w:t>either</w:t>
      </w:r>
      <w:r w:rsidR="003220E4">
        <w:t xml:space="preserve"> </w:t>
      </w:r>
      <w:r w:rsidR="00080F26">
        <w:t xml:space="preserve">having </w:t>
      </w:r>
      <w:r w:rsidR="003220E4">
        <w:t>been budgeted</w:t>
      </w:r>
      <w:r w:rsidR="007D2C7F">
        <w:t xml:space="preserve"> for</w:t>
      </w:r>
      <w:r w:rsidR="003220E4">
        <w:t xml:space="preserve"> </w:t>
      </w:r>
      <w:r w:rsidR="007D2C7F">
        <w:t>nor</w:t>
      </w:r>
      <w:r w:rsidR="003220E4">
        <w:t xml:space="preserve"> authorised by the University. Th</w:t>
      </w:r>
      <w:r w:rsidR="00FF75BB">
        <w:t>e</w:t>
      </w:r>
      <w:r w:rsidR="007D2C7F">
        <w:t xml:space="preserve"> </w:t>
      </w:r>
      <w:r w:rsidR="003220E4">
        <w:t xml:space="preserve">finding </w:t>
      </w:r>
      <w:r w:rsidR="00163DB5">
        <w:t>was</w:t>
      </w:r>
      <w:r w:rsidR="00FF75BB">
        <w:t xml:space="preserve"> </w:t>
      </w:r>
      <w:r w:rsidR="00BA1B69">
        <w:t>unambiguous</w:t>
      </w:r>
      <w:r w:rsidR="00080F26">
        <w:t xml:space="preserve"> </w:t>
      </w:r>
      <w:r w:rsidR="003220E4">
        <w:t>that</w:t>
      </w:r>
      <w:r w:rsidR="00FD50B8">
        <w:t xml:space="preserve"> the </w:t>
      </w:r>
      <w:r w:rsidR="007E467C">
        <w:t xml:space="preserve">funds could not have been legitimately applied in the manner </w:t>
      </w:r>
      <w:r w:rsidR="00C04A4F">
        <w:t xml:space="preserve">that they were. The </w:t>
      </w:r>
      <w:r w:rsidR="00333783">
        <w:t>A</w:t>
      </w:r>
      <w:r w:rsidR="00C04A4F">
        <w:t xml:space="preserve">ppeal </w:t>
      </w:r>
      <w:r w:rsidR="00333783">
        <w:t>T</w:t>
      </w:r>
      <w:r w:rsidR="00C04A4F">
        <w:t xml:space="preserve">ribunal </w:t>
      </w:r>
      <w:r w:rsidR="007D2C7F">
        <w:t xml:space="preserve">unequivocally </w:t>
      </w:r>
      <w:r w:rsidR="00C04A4F">
        <w:t>f</w:t>
      </w:r>
      <w:r w:rsidR="007D2C7F">
        <w:t>ound</w:t>
      </w:r>
      <w:r w:rsidR="00C04A4F">
        <w:t xml:space="preserve"> that th</w:t>
      </w:r>
      <w:r w:rsidR="007D2C7F">
        <w:t>e</w:t>
      </w:r>
      <w:r w:rsidR="00C04A4F">
        <w:t xml:space="preserve"> misapplication of the University’s unrestricted reserves for purposes other than </w:t>
      </w:r>
      <w:r w:rsidR="007D2C7F">
        <w:t>that</w:t>
      </w:r>
      <w:r w:rsidR="00C04A4F">
        <w:t xml:space="preserve"> budgeted</w:t>
      </w:r>
      <w:r w:rsidR="007D2C7F">
        <w:t xml:space="preserve"> for</w:t>
      </w:r>
      <w:r w:rsidR="00FF75BB">
        <w:t>,</w:t>
      </w:r>
      <w:r w:rsidR="00A8353E">
        <w:t xml:space="preserve"> </w:t>
      </w:r>
      <w:r w:rsidR="007D2C7F">
        <w:t>unauthorised</w:t>
      </w:r>
      <w:r>
        <w:t xml:space="preserve"> </w:t>
      </w:r>
      <w:r w:rsidR="00C04A4F">
        <w:t xml:space="preserve">and </w:t>
      </w:r>
      <w:r w:rsidR="00A40D60">
        <w:t xml:space="preserve">were </w:t>
      </w:r>
      <w:r w:rsidR="00C04A4F">
        <w:t>ultimately placed beyond the reach of the University</w:t>
      </w:r>
      <w:r w:rsidR="00FD50B8">
        <w:t xml:space="preserve"> w</w:t>
      </w:r>
      <w:r w:rsidR="00E1702C">
        <w:t xml:space="preserve">ere </w:t>
      </w:r>
      <w:r w:rsidR="007D2C7F">
        <w:t>unlawfully expended</w:t>
      </w:r>
      <w:r w:rsidR="00C04A4F">
        <w:t>. In th</w:t>
      </w:r>
      <w:r w:rsidR="007D2C7F">
        <w:t>at</w:t>
      </w:r>
      <w:r w:rsidR="00C04A4F">
        <w:t xml:space="preserve"> sense </w:t>
      </w:r>
      <w:r w:rsidR="007D2C7F">
        <w:t xml:space="preserve">the University </w:t>
      </w:r>
      <w:r w:rsidR="00C04A4F">
        <w:t xml:space="preserve">could no longer apply such funds for the purposes that could </w:t>
      </w:r>
      <w:r w:rsidR="00C34165">
        <w:t xml:space="preserve">or </w:t>
      </w:r>
      <w:r w:rsidR="00C04A4F">
        <w:t xml:space="preserve">would have been authorised by </w:t>
      </w:r>
      <w:r w:rsidR="007D2C7F">
        <w:t>its C</w:t>
      </w:r>
      <w:r w:rsidR="00C04A4F">
        <w:t>ounsel. The funds having been expended</w:t>
      </w:r>
      <w:r w:rsidR="007C35F8">
        <w:t xml:space="preserve"> on amongst other</w:t>
      </w:r>
      <w:r w:rsidR="00A8353E">
        <w:t>s,</w:t>
      </w:r>
      <w:r w:rsidR="007C35F8">
        <w:t xml:space="preserve"> activities such as a house dance, beer tents</w:t>
      </w:r>
      <w:r w:rsidR="00163DB5">
        <w:t xml:space="preserve"> at rugby matches</w:t>
      </w:r>
      <w:r w:rsidR="007C35F8">
        <w:t>,</w:t>
      </w:r>
      <w:r>
        <w:t xml:space="preserve"> </w:t>
      </w:r>
      <w:r w:rsidR="007C35F8">
        <w:t>golf balls etc</w:t>
      </w:r>
      <w:r w:rsidR="00BA1B69">
        <w:t>.</w:t>
      </w:r>
      <w:r w:rsidR="007C35F8">
        <w:t>,</w:t>
      </w:r>
      <w:r>
        <w:t xml:space="preserve"> </w:t>
      </w:r>
      <w:r w:rsidR="007C35F8">
        <w:t>etc</w:t>
      </w:r>
      <w:r w:rsidR="00BA1B69">
        <w:t>.</w:t>
      </w:r>
      <w:r w:rsidR="00C04A4F">
        <w:t xml:space="preserve"> were irretrievably </w:t>
      </w:r>
      <w:r w:rsidR="007D2C7F">
        <w:t>lost to the University</w:t>
      </w:r>
      <w:r w:rsidR="00C04A4F">
        <w:t>.</w:t>
      </w:r>
      <w:r w:rsidR="00A844E2">
        <w:t xml:space="preserve"> The arbitrators had moreover not made any findings</w:t>
      </w:r>
      <w:r w:rsidR="00E1702C">
        <w:t xml:space="preserve"> </w:t>
      </w:r>
      <w:r w:rsidR="00A844E2">
        <w:t>that the misallocated funds were expended for</w:t>
      </w:r>
      <w:r w:rsidR="00A40D60">
        <w:t xml:space="preserve"> the </w:t>
      </w:r>
      <w:r w:rsidR="00A844E2">
        <w:t>purposes of transformation</w:t>
      </w:r>
      <w:r w:rsidR="00A8353E">
        <w:t>.</w:t>
      </w:r>
      <w:r w:rsidR="00A844E2">
        <w:t xml:space="preserve"> Moreover</w:t>
      </w:r>
      <w:r w:rsidR="00080F26">
        <w:t>,</w:t>
      </w:r>
      <w:r w:rsidR="00A844E2">
        <w:t xml:space="preserve"> Mr Roux had undermined the contentions</w:t>
      </w:r>
      <w:r w:rsidR="00A8353E">
        <w:t xml:space="preserve"> made </w:t>
      </w:r>
      <w:r w:rsidR="00A844E2">
        <w:t>in the “postulate” by his counsel by his very plea</w:t>
      </w:r>
      <w:r w:rsidR="00080F26">
        <w:t>ded</w:t>
      </w:r>
      <w:r w:rsidR="00A844E2">
        <w:t xml:space="preserve"> </w:t>
      </w:r>
      <w:r w:rsidR="00080F26">
        <w:t xml:space="preserve">case </w:t>
      </w:r>
      <w:r w:rsidR="00BB3022">
        <w:t xml:space="preserve">in </w:t>
      </w:r>
      <w:r w:rsidR="00080F26">
        <w:t>w</w:t>
      </w:r>
      <w:r w:rsidR="00A844E2">
        <w:t>hich he denied, amongst others</w:t>
      </w:r>
      <w:r w:rsidR="00A8353E">
        <w:t>,</w:t>
      </w:r>
      <w:r w:rsidR="00A844E2">
        <w:t xml:space="preserve"> </w:t>
      </w:r>
      <w:r w:rsidR="00596702">
        <w:t xml:space="preserve">not only having made any </w:t>
      </w:r>
      <w:r w:rsidR="00A844E2">
        <w:t>unlawful allocations</w:t>
      </w:r>
      <w:r w:rsidR="00596702">
        <w:t xml:space="preserve"> </w:t>
      </w:r>
      <w:r w:rsidR="00080F26">
        <w:t xml:space="preserve">but also </w:t>
      </w:r>
      <w:r w:rsidR="00A40D60">
        <w:t>having</w:t>
      </w:r>
      <w:r w:rsidR="00596702">
        <w:t xml:space="preserve"> </w:t>
      </w:r>
      <w:r w:rsidR="00A844E2">
        <w:t>unlawful</w:t>
      </w:r>
      <w:r w:rsidR="00A40D60">
        <w:t>ly</w:t>
      </w:r>
      <w:r w:rsidR="00A844E2">
        <w:t xml:space="preserve"> expend</w:t>
      </w:r>
      <w:r w:rsidR="00A40D60">
        <w:t>ed</w:t>
      </w:r>
      <w:r w:rsidR="00A844E2">
        <w:t xml:space="preserve"> of the funds of the University</w:t>
      </w:r>
      <w:r w:rsidR="00970113">
        <w:t>.</w:t>
      </w:r>
    </w:p>
    <w:p w14:paraId="4129437A" w14:textId="77777777" w:rsidR="00616A4B" w:rsidRDefault="00616A4B" w:rsidP="00F81390">
      <w:pPr>
        <w:spacing w:line="360" w:lineRule="auto"/>
        <w:jc w:val="both"/>
      </w:pPr>
    </w:p>
    <w:p w14:paraId="59AECD8D" w14:textId="0A0697CE" w:rsidR="00824C4D" w:rsidRDefault="007B517C" w:rsidP="007B517C">
      <w:pPr>
        <w:spacing w:line="360" w:lineRule="auto"/>
        <w:ind w:left="720" w:hanging="720"/>
        <w:jc w:val="both"/>
      </w:pPr>
      <w:r>
        <w:t>[</w:t>
      </w:r>
      <w:r w:rsidR="00BB3022">
        <w:t>4</w:t>
      </w:r>
      <w:r w:rsidR="000B734A">
        <w:t>3</w:t>
      </w:r>
      <w:r>
        <w:t>]</w:t>
      </w:r>
      <w:r>
        <w:tab/>
      </w:r>
      <w:r w:rsidR="00F03ACB">
        <w:t xml:space="preserve">Counsel for the University contended that the position now adopted </w:t>
      </w:r>
      <w:r w:rsidR="00CB0E82">
        <w:t xml:space="preserve">by </w:t>
      </w:r>
      <w:r w:rsidR="00F03ACB">
        <w:t xml:space="preserve">Mr Roux </w:t>
      </w:r>
      <w:r w:rsidR="00080F26">
        <w:t xml:space="preserve">in these proceedings </w:t>
      </w:r>
      <w:r w:rsidR="00F03ACB">
        <w:t xml:space="preserve">should not be </w:t>
      </w:r>
      <w:r w:rsidR="002945B3">
        <w:t>countenanced</w:t>
      </w:r>
      <w:r w:rsidR="00F03ACB">
        <w:t xml:space="preserve"> as he elected not to properly plead his defences and </w:t>
      </w:r>
      <w:r w:rsidR="00080F26">
        <w:t xml:space="preserve">had </w:t>
      </w:r>
      <w:r w:rsidR="00F03ACB">
        <w:t xml:space="preserve">neither </w:t>
      </w:r>
      <w:r w:rsidR="00A40D60">
        <w:t xml:space="preserve">had he </w:t>
      </w:r>
      <w:r w:rsidR="00F03ACB">
        <w:t xml:space="preserve">lead the necessary evidence </w:t>
      </w:r>
      <w:r w:rsidR="00A40D60">
        <w:t xml:space="preserve">to support it </w:t>
      </w:r>
      <w:r w:rsidR="00F03ACB">
        <w:t>during the</w:t>
      </w:r>
      <w:r w:rsidR="00A40D60">
        <w:t xml:space="preserve"> initial </w:t>
      </w:r>
      <w:r w:rsidR="00F03ACB">
        <w:t>arbitration proceedings</w:t>
      </w:r>
      <w:r>
        <w:t xml:space="preserve">. </w:t>
      </w:r>
      <w:r w:rsidR="002945B3">
        <w:t xml:space="preserve">Inasmuch as the arbitrators found that the expenditure was not legitimate and not for the benefit of the University there </w:t>
      </w:r>
      <w:r w:rsidR="00080F26">
        <w:t>wa</w:t>
      </w:r>
      <w:r w:rsidR="002945B3">
        <w:t xml:space="preserve">s no factual basis for </w:t>
      </w:r>
      <w:r w:rsidR="005A63C5">
        <w:t xml:space="preserve">this court to </w:t>
      </w:r>
      <w:r w:rsidR="002945B3">
        <w:t>explor</w:t>
      </w:r>
      <w:r w:rsidR="005A63C5">
        <w:t>e</w:t>
      </w:r>
      <w:r w:rsidR="002945B3">
        <w:t xml:space="preserve"> the central </w:t>
      </w:r>
      <w:r w:rsidR="002945B3">
        <w:lastRenderedPageBreak/>
        <w:t xml:space="preserve">challenge </w:t>
      </w:r>
      <w:r w:rsidR="00CB0E82">
        <w:t xml:space="preserve">and </w:t>
      </w:r>
      <w:r w:rsidR="002945B3">
        <w:t xml:space="preserve">on onus </w:t>
      </w:r>
      <w:r w:rsidR="00BB3022">
        <w:t>nor</w:t>
      </w:r>
      <w:r w:rsidR="002945B3">
        <w:t xml:space="preserve"> that of the special damages challenge </w:t>
      </w:r>
      <w:r w:rsidR="002153DF">
        <w:t>or</w:t>
      </w:r>
      <w:r w:rsidR="00A40D60">
        <w:t xml:space="preserve"> </w:t>
      </w:r>
      <w:r w:rsidR="002945B3">
        <w:t xml:space="preserve">that of the </w:t>
      </w:r>
      <w:r w:rsidR="002153DF">
        <w:t>“</w:t>
      </w:r>
      <w:r w:rsidR="002945B3">
        <w:t>constitutional</w:t>
      </w:r>
      <w:r w:rsidR="007A4418">
        <w:t xml:space="preserve"> duty</w:t>
      </w:r>
      <w:r w:rsidR="002153DF">
        <w:t>”</w:t>
      </w:r>
      <w:r w:rsidR="002945B3">
        <w:t xml:space="preserve"> challenge</w:t>
      </w:r>
      <w:r w:rsidR="002153DF">
        <w:t>.</w:t>
      </w:r>
      <w:r w:rsidR="002945B3">
        <w:t xml:space="preserve"> </w:t>
      </w:r>
      <w:r w:rsidR="00F03ACB">
        <w:t xml:space="preserve">  </w:t>
      </w:r>
      <w:r w:rsidR="00C04A4F">
        <w:t xml:space="preserve"> </w:t>
      </w:r>
    </w:p>
    <w:p w14:paraId="221084EC" w14:textId="77777777" w:rsidR="00C04A4F" w:rsidRDefault="00C04A4F" w:rsidP="00C04A4F">
      <w:pPr>
        <w:spacing w:line="360" w:lineRule="auto"/>
        <w:jc w:val="both"/>
      </w:pPr>
    </w:p>
    <w:p w14:paraId="6EC81E62" w14:textId="083875BC" w:rsidR="00C04A4F" w:rsidRPr="00C04A4F" w:rsidRDefault="00C04A4F" w:rsidP="00C04A4F">
      <w:pPr>
        <w:spacing w:line="360" w:lineRule="auto"/>
        <w:jc w:val="both"/>
        <w:rPr>
          <w:b/>
        </w:rPr>
      </w:pPr>
      <w:r w:rsidRPr="00C04A4F">
        <w:rPr>
          <w:b/>
        </w:rPr>
        <w:t>ARBITRATION IN SOUTH AFRICAN LAW</w:t>
      </w:r>
      <w:r w:rsidR="005D35B6">
        <w:rPr>
          <w:b/>
        </w:rPr>
        <w:t xml:space="preserve"> AND THE LEGAL BASIS FOR SETTING ASIDE AN AWARD</w:t>
      </w:r>
    </w:p>
    <w:p w14:paraId="3E9500AF" w14:textId="1FA645A0" w:rsidR="00B4091A" w:rsidRDefault="00395EAC" w:rsidP="00395EAC">
      <w:pPr>
        <w:spacing w:after="480" w:line="360" w:lineRule="auto"/>
        <w:ind w:left="720" w:hanging="720"/>
        <w:jc w:val="both"/>
      </w:pPr>
      <w:r>
        <w:t>[4</w:t>
      </w:r>
      <w:r w:rsidR="000B734A">
        <w:t>4</w:t>
      </w:r>
      <w:r>
        <w:t>]</w:t>
      </w:r>
      <w:r>
        <w:tab/>
      </w:r>
      <w:r w:rsidR="00AD7FFD">
        <w:t xml:space="preserve">The application for the setting aside of the award by the </w:t>
      </w:r>
      <w:r w:rsidR="002153DF">
        <w:t>I</w:t>
      </w:r>
      <w:r w:rsidR="00AD7FFD">
        <w:t xml:space="preserve">nitial </w:t>
      </w:r>
      <w:r w:rsidR="002153DF">
        <w:t>A</w:t>
      </w:r>
      <w:r w:rsidR="00AD7FFD">
        <w:t xml:space="preserve">rbitrator and the </w:t>
      </w:r>
      <w:r w:rsidR="002153DF">
        <w:t>A</w:t>
      </w:r>
      <w:r w:rsidR="00AD7FFD">
        <w:t xml:space="preserve">ppeal </w:t>
      </w:r>
      <w:r w:rsidR="002153DF">
        <w:t>T</w:t>
      </w:r>
      <w:r w:rsidR="00AD7FFD">
        <w:t>ribunal ar</w:t>
      </w:r>
      <w:r w:rsidR="00843067">
        <w:t>ose</w:t>
      </w:r>
      <w:r w:rsidR="00AD7FFD">
        <w:t xml:space="preserve"> within the context of arbitration proceedings conducted in terms of the Arbitration Act.</w:t>
      </w:r>
      <w:r w:rsidR="00B4091A">
        <w:t xml:space="preserve"> These proceedings are distinguishable from a review under Section 3</w:t>
      </w:r>
      <w:r w:rsidR="00596702">
        <w:t>3</w:t>
      </w:r>
      <w:r w:rsidR="007B517C">
        <w:rPr>
          <w:rStyle w:val="FootnoteReference"/>
        </w:rPr>
        <w:footnoteReference w:id="13"/>
      </w:r>
      <w:r w:rsidR="004F3460">
        <w:t xml:space="preserve"> </w:t>
      </w:r>
      <w:r w:rsidR="00B4091A">
        <w:t xml:space="preserve">of the Constitution in which the provisions of </w:t>
      </w:r>
      <w:r w:rsidR="00275580">
        <w:t xml:space="preserve">the </w:t>
      </w:r>
      <w:r w:rsidR="00B4091A">
        <w:t>P</w:t>
      </w:r>
      <w:r w:rsidR="00275580">
        <w:t xml:space="preserve">romotion of </w:t>
      </w:r>
      <w:r w:rsidR="00B4091A">
        <w:t>A</w:t>
      </w:r>
      <w:r w:rsidR="00275580">
        <w:t xml:space="preserve">dministrative </w:t>
      </w:r>
      <w:r w:rsidR="00B4091A">
        <w:t>J</w:t>
      </w:r>
      <w:r w:rsidR="00275580">
        <w:t xml:space="preserve">ustice </w:t>
      </w:r>
      <w:r w:rsidR="00B4091A">
        <w:t>A</w:t>
      </w:r>
      <w:r w:rsidR="00275580">
        <w:t>ct</w:t>
      </w:r>
      <w:r w:rsidR="00B4091A">
        <w:t xml:space="preserve"> </w:t>
      </w:r>
      <w:r w:rsidR="00275580">
        <w:t>3 of 2000</w:t>
      </w:r>
      <w:r w:rsidR="004D644F">
        <w:t xml:space="preserve"> are applicable.</w:t>
      </w:r>
      <w:r w:rsidR="00275580">
        <w:t xml:space="preserve"> </w:t>
      </w:r>
      <w:r w:rsidR="004D644F">
        <w:t>So too,</w:t>
      </w:r>
      <w:r w:rsidR="00C02921">
        <w:t xml:space="preserve"> </w:t>
      </w:r>
      <w:r w:rsidR="004D644F">
        <w:t xml:space="preserve">although the grounds of </w:t>
      </w:r>
      <w:r w:rsidR="00B4091A">
        <w:t xml:space="preserve">a review in terms of Section </w:t>
      </w:r>
      <w:r w:rsidR="00842776">
        <w:t>145(2)(a)(ii)</w:t>
      </w:r>
      <w:r w:rsidR="00DB530C">
        <w:rPr>
          <w:rStyle w:val="FootnoteReference"/>
        </w:rPr>
        <w:footnoteReference w:id="14"/>
      </w:r>
      <w:r w:rsidR="00842776">
        <w:t xml:space="preserve"> </w:t>
      </w:r>
      <w:r w:rsidR="00B4091A">
        <w:t xml:space="preserve">of the Labour Relations Act </w:t>
      </w:r>
      <w:r w:rsidR="00842776">
        <w:t>N</w:t>
      </w:r>
      <w:r w:rsidR="00B4091A">
        <w:t>o</w:t>
      </w:r>
      <w:r w:rsidR="00842776">
        <w:t>. 66 of 1995</w:t>
      </w:r>
      <w:r w:rsidR="004D644F">
        <w:t xml:space="preserve"> are similarly worded</w:t>
      </w:r>
      <w:r w:rsidR="00843067">
        <w:t>,</w:t>
      </w:r>
      <w:r w:rsidR="004D644F">
        <w:t xml:space="preserve"> review</w:t>
      </w:r>
      <w:r w:rsidR="009160D8">
        <w:t>s</w:t>
      </w:r>
      <w:r w:rsidR="004D644F">
        <w:t xml:space="preserve"> under the LRA</w:t>
      </w:r>
      <w:r w:rsidR="009160D8">
        <w:t xml:space="preserve"> are infuse</w:t>
      </w:r>
      <w:r w:rsidR="003743CB">
        <w:t>d with the values of fairness as reflected in labour jurisprudence</w:t>
      </w:r>
      <w:r w:rsidR="00913933">
        <w:rPr>
          <w:rStyle w:val="FootnoteReference"/>
        </w:rPr>
        <w:footnoteReference w:id="15"/>
      </w:r>
      <w:r w:rsidR="00B4091A">
        <w:t>.</w:t>
      </w:r>
      <w:r>
        <w:t xml:space="preserve"> </w:t>
      </w:r>
      <w:r w:rsidR="00B4091A">
        <w:t>In effect</w:t>
      </w:r>
      <w:r w:rsidR="005D35B6">
        <w:t>,</w:t>
      </w:r>
      <w:r w:rsidR="00B4091A">
        <w:t xml:space="preserve"> the </w:t>
      </w:r>
      <w:r w:rsidR="005D35B6">
        <w:t xml:space="preserve">basis for the </w:t>
      </w:r>
      <w:r w:rsidR="00B4091A">
        <w:t xml:space="preserve">setting aside of an award under the Arbitration Act are considerably narrower than either under PAJA or the LRA. </w:t>
      </w:r>
    </w:p>
    <w:p w14:paraId="0E428ED7" w14:textId="100BB834" w:rsidR="00084B43" w:rsidRDefault="00395EAC" w:rsidP="00943A19">
      <w:pPr>
        <w:tabs>
          <w:tab w:val="left" w:pos="720"/>
        </w:tabs>
        <w:spacing w:after="480" w:line="360" w:lineRule="auto"/>
        <w:jc w:val="both"/>
      </w:pPr>
      <w:r>
        <w:t>[4</w:t>
      </w:r>
      <w:r w:rsidR="000B734A">
        <w:t>5</w:t>
      </w:r>
      <w:r>
        <w:t>]</w:t>
      </w:r>
      <w:r w:rsidR="00943A19">
        <w:tab/>
      </w:r>
      <w:r w:rsidR="00AD7FFD">
        <w:t>Mr Roux, relie</w:t>
      </w:r>
      <w:r w:rsidR="00F11AAD">
        <w:t>d</w:t>
      </w:r>
      <w:r w:rsidR="00AD7FFD">
        <w:t xml:space="preserve"> principally on Section 33(1)(b) of the Arbitration</w:t>
      </w:r>
      <w:r w:rsidR="00943A19">
        <w:t xml:space="preserve"> </w:t>
      </w:r>
      <w:r w:rsidR="00AD7FFD">
        <w:t xml:space="preserve">Act which </w:t>
      </w:r>
      <w:r w:rsidR="00943A19">
        <w:tab/>
      </w:r>
      <w:r w:rsidR="00AD7FFD">
        <w:t>provides:</w:t>
      </w:r>
    </w:p>
    <w:p w14:paraId="3522BB0D" w14:textId="25A72B54" w:rsidR="00C02921" w:rsidRPr="00C02921" w:rsidRDefault="00C02921" w:rsidP="00C02921">
      <w:pPr>
        <w:pStyle w:val="ListParagraph"/>
        <w:spacing w:after="160" w:line="360" w:lineRule="auto"/>
        <w:rPr>
          <w:sz w:val="22"/>
          <w:szCs w:val="22"/>
        </w:rPr>
      </w:pPr>
      <w:r>
        <w:rPr>
          <w:sz w:val="22"/>
          <w:szCs w:val="22"/>
        </w:rPr>
        <w:t>‘Where-</w:t>
      </w:r>
      <w:r w:rsidRPr="00C02921">
        <w:rPr>
          <w:sz w:val="22"/>
          <w:szCs w:val="22"/>
        </w:rPr>
        <w:t>(a)…</w:t>
      </w:r>
    </w:p>
    <w:p w14:paraId="106EB93E" w14:textId="09A0970F" w:rsidR="00C02921" w:rsidRPr="00C02921" w:rsidRDefault="00C02921" w:rsidP="00C02921">
      <w:pPr>
        <w:spacing w:line="360" w:lineRule="auto"/>
        <w:ind w:left="720" w:firstLine="720"/>
        <w:rPr>
          <w:sz w:val="22"/>
          <w:szCs w:val="22"/>
        </w:rPr>
      </w:pPr>
      <w:r w:rsidRPr="00C02921">
        <w:rPr>
          <w:sz w:val="22"/>
          <w:szCs w:val="22"/>
        </w:rPr>
        <w:t xml:space="preserve">(b) any member of an arbitration tribunal has misconducted himself in relation </w:t>
      </w:r>
      <w:r>
        <w:rPr>
          <w:sz w:val="22"/>
          <w:szCs w:val="22"/>
        </w:rPr>
        <w:t xml:space="preserve">    </w:t>
      </w:r>
      <w:r>
        <w:rPr>
          <w:sz w:val="22"/>
          <w:szCs w:val="22"/>
        </w:rPr>
        <w:tab/>
        <w:t xml:space="preserve">     </w:t>
      </w:r>
      <w:r w:rsidRPr="00C02921">
        <w:rPr>
          <w:sz w:val="22"/>
          <w:szCs w:val="22"/>
        </w:rPr>
        <w:t xml:space="preserve">to his duties as arbitrator or umpire; or </w:t>
      </w:r>
    </w:p>
    <w:p w14:paraId="02C538FF" w14:textId="321BCD8C" w:rsidR="00C02921" w:rsidRPr="00C02921" w:rsidRDefault="00C02921" w:rsidP="00C02921">
      <w:pPr>
        <w:pStyle w:val="ListParagraph"/>
        <w:spacing w:line="360" w:lineRule="auto"/>
        <w:ind w:firstLine="720"/>
        <w:rPr>
          <w:sz w:val="22"/>
          <w:szCs w:val="22"/>
        </w:rPr>
      </w:pPr>
      <w:r w:rsidRPr="00C02921">
        <w:rPr>
          <w:sz w:val="22"/>
          <w:szCs w:val="22"/>
        </w:rPr>
        <w:t>(c)….</w:t>
      </w:r>
      <w:r>
        <w:rPr>
          <w:sz w:val="22"/>
          <w:szCs w:val="22"/>
        </w:rPr>
        <w:t>’</w:t>
      </w:r>
    </w:p>
    <w:p w14:paraId="6D20C98C" w14:textId="48D8223B" w:rsidR="00DD3F3F" w:rsidRDefault="00395EAC" w:rsidP="00395EAC">
      <w:pPr>
        <w:spacing w:after="480" w:line="360" w:lineRule="auto"/>
        <w:ind w:left="720" w:hanging="720"/>
        <w:jc w:val="both"/>
      </w:pPr>
      <w:r>
        <w:t>[4</w:t>
      </w:r>
      <w:r w:rsidR="000B734A">
        <w:t>6</w:t>
      </w:r>
      <w:r>
        <w:t>]</w:t>
      </w:r>
      <w:r>
        <w:tab/>
      </w:r>
      <w:r w:rsidR="00A66164">
        <w:t>It is</w:t>
      </w:r>
      <w:r w:rsidR="00D556AF">
        <w:t xml:space="preserve"> therefore</w:t>
      </w:r>
      <w:r w:rsidR="00A66164">
        <w:t xml:space="preserve"> necessary</w:t>
      </w:r>
      <w:r w:rsidR="002C6B38">
        <w:t xml:space="preserve"> </w:t>
      </w:r>
      <w:r w:rsidR="00A66164">
        <w:t xml:space="preserve">to consider the meaning of gross irregularity in the context of arbitration </w:t>
      </w:r>
      <w:r w:rsidR="00E1702C">
        <w:t>proceedings The</w:t>
      </w:r>
      <w:r w:rsidR="002C00FE">
        <w:t xml:space="preserve"> University contended that </w:t>
      </w:r>
      <w:r w:rsidR="00843067">
        <w:t>in</w:t>
      </w:r>
      <w:r w:rsidR="00DD3F3F">
        <w:t xml:space="preserve"> interpreting </w:t>
      </w:r>
      <w:r w:rsidR="00DD3F3F">
        <w:lastRenderedPageBreak/>
        <w:t>the findings of an arbitrator there is no assumption in law that he or she knows and</w:t>
      </w:r>
      <w:r w:rsidR="00D556AF">
        <w:t xml:space="preserve"> correctly </w:t>
      </w:r>
      <w:r w:rsidR="002945B3">
        <w:t>applies the principles of our law</w:t>
      </w:r>
      <w:r w:rsidR="00843067">
        <w:t>.</w:t>
      </w:r>
      <w:r w:rsidR="00F11AAD">
        <w:t xml:space="preserve"> </w:t>
      </w:r>
      <w:r w:rsidR="00DD3F3F">
        <w:t xml:space="preserve">If an arbitrator misdirects him or herself on the law that would in itself be no reason for setting aside </w:t>
      </w:r>
      <w:r w:rsidR="00D556AF">
        <w:t xml:space="preserve">a </w:t>
      </w:r>
      <w:r w:rsidR="00DD3F3F">
        <w:t>finding. The Arbitration Act does not allow for review on the ground of material error of law</w:t>
      </w:r>
      <w:r w:rsidR="00DD3F3F">
        <w:rPr>
          <w:rStyle w:val="FootnoteReference"/>
        </w:rPr>
        <w:footnoteReference w:id="16"/>
      </w:r>
      <w:r w:rsidR="00DD3F3F">
        <w:t>.</w:t>
      </w:r>
    </w:p>
    <w:p w14:paraId="1DE0E10B" w14:textId="73055A0F" w:rsidR="00DD3F3F" w:rsidRPr="007D5BEB" w:rsidRDefault="00395EAC" w:rsidP="00DD3F3F">
      <w:pPr>
        <w:pStyle w:val="BowLevel2ListAlt"/>
        <w:numPr>
          <w:ilvl w:val="0"/>
          <w:numId w:val="0"/>
        </w:numPr>
        <w:spacing w:before="240" w:after="240"/>
        <w:ind w:left="720" w:hanging="720"/>
        <w:rPr>
          <w:rFonts w:ascii="Arial" w:hAnsi="Arial" w:cs="Arial"/>
          <w:sz w:val="24"/>
          <w:szCs w:val="24"/>
        </w:rPr>
      </w:pPr>
      <w:r>
        <w:rPr>
          <w:rFonts w:ascii="Arial" w:hAnsi="Arial" w:cs="Arial"/>
          <w:sz w:val="24"/>
          <w:szCs w:val="24"/>
        </w:rPr>
        <w:t>[4</w:t>
      </w:r>
      <w:r w:rsidR="000B734A">
        <w:rPr>
          <w:rFonts w:ascii="Arial" w:hAnsi="Arial" w:cs="Arial"/>
          <w:sz w:val="24"/>
          <w:szCs w:val="24"/>
        </w:rPr>
        <w:t>7</w:t>
      </w:r>
      <w:r>
        <w:rPr>
          <w:rFonts w:ascii="Arial" w:hAnsi="Arial" w:cs="Arial"/>
          <w:sz w:val="24"/>
          <w:szCs w:val="24"/>
        </w:rPr>
        <w:t>]</w:t>
      </w:r>
      <w:r>
        <w:rPr>
          <w:rFonts w:ascii="Arial" w:hAnsi="Arial" w:cs="Arial"/>
          <w:sz w:val="24"/>
          <w:szCs w:val="24"/>
        </w:rPr>
        <w:tab/>
      </w:r>
      <w:r w:rsidR="00DD3F3F" w:rsidRPr="00DD3F3F">
        <w:rPr>
          <w:rFonts w:ascii="Arial" w:hAnsi="Arial" w:cs="Arial"/>
          <w:sz w:val="24"/>
          <w:szCs w:val="24"/>
        </w:rPr>
        <w:t xml:space="preserve">It is an accepted principle that where the legal issue is left for the decision of </w:t>
      </w:r>
      <w:r w:rsidR="00F11AAD">
        <w:rPr>
          <w:rFonts w:ascii="Arial" w:hAnsi="Arial" w:cs="Arial"/>
          <w:sz w:val="24"/>
          <w:szCs w:val="24"/>
        </w:rPr>
        <w:t xml:space="preserve">a </w:t>
      </w:r>
      <w:r w:rsidR="00DD3F3F" w:rsidRPr="00DD3F3F">
        <w:rPr>
          <w:rFonts w:ascii="Arial" w:hAnsi="Arial" w:cs="Arial"/>
          <w:sz w:val="24"/>
          <w:szCs w:val="24"/>
        </w:rPr>
        <w:t xml:space="preserve">functionary </w:t>
      </w:r>
      <w:r w:rsidR="00DD3F3F" w:rsidRPr="007D5BEB">
        <w:rPr>
          <w:rFonts w:ascii="Arial" w:hAnsi="Arial" w:cs="Arial"/>
          <w:sz w:val="24"/>
          <w:szCs w:val="24"/>
        </w:rPr>
        <w:t xml:space="preserve">any complaint about </w:t>
      </w:r>
      <w:r w:rsidR="00DD3F3F">
        <w:rPr>
          <w:rFonts w:ascii="Arial" w:hAnsi="Arial" w:cs="Arial"/>
          <w:sz w:val="24"/>
          <w:szCs w:val="24"/>
        </w:rPr>
        <w:t xml:space="preserve">her or </w:t>
      </w:r>
      <w:r w:rsidR="00DD3F3F" w:rsidRPr="007D5BEB">
        <w:rPr>
          <w:rFonts w:ascii="Arial" w:hAnsi="Arial" w:cs="Arial"/>
          <w:sz w:val="24"/>
          <w:szCs w:val="24"/>
        </w:rPr>
        <w:t xml:space="preserve">his decision must be directed at </w:t>
      </w:r>
      <w:r w:rsidR="00DD3F3F" w:rsidRPr="00DD3F3F">
        <w:rPr>
          <w:rFonts w:ascii="Arial" w:hAnsi="Arial" w:cs="Arial"/>
          <w:sz w:val="24"/>
          <w:szCs w:val="24"/>
        </w:rPr>
        <w:t>the method</w:t>
      </w:r>
      <w:r w:rsidR="00DD3F3F" w:rsidRPr="007D5BEB">
        <w:rPr>
          <w:rFonts w:ascii="Arial" w:hAnsi="Arial" w:cs="Arial"/>
          <w:sz w:val="24"/>
          <w:szCs w:val="24"/>
        </w:rPr>
        <w:t xml:space="preserve"> and not </w:t>
      </w:r>
      <w:r w:rsidR="00DD3F3F" w:rsidRPr="00DD3F3F">
        <w:rPr>
          <w:rFonts w:ascii="Arial" w:hAnsi="Arial" w:cs="Arial"/>
          <w:sz w:val="24"/>
          <w:szCs w:val="24"/>
        </w:rPr>
        <w:t>the result</w:t>
      </w:r>
      <w:r w:rsidR="00DD3F3F">
        <w:rPr>
          <w:rFonts w:ascii="Arial" w:hAnsi="Arial" w:cs="Arial"/>
          <w:sz w:val="24"/>
          <w:szCs w:val="24"/>
        </w:rPr>
        <w:t xml:space="preserve">. This principle </w:t>
      </w:r>
      <w:r w:rsidR="002C6B38">
        <w:rPr>
          <w:rFonts w:ascii="Arial" w:hAnsi="Arial" w:cs="Arial"/>
          <w:sz w:val="24"/>
          <w:szCs w:val="24"/>
        </w:rPr>
        <w:t>was stated</w:t>
      </w:r>
      <w:r w:rsidR="002C00FE">
        <w:rPr>
          <w:rFonts w:ascii="Arial" w:hAnsi="Arial" w:cs="Arial"/>
          <w:sz w:val="24"/>
          <w:szCs w:val="24"/>
        </w:rPr>
        <w:t xml:space="preserve"> by Innes CJ</w:t>
      </w:r>
      <w:r w:rsidR="00DD3F3F">
        <w:rPr>
          <w:rFonts w:ascii="Arial" w:hAnsi="Arial" w:cs="Arial"/>
          <w:sz w:val="24"/>
          <w:szCs w:val="24"/>
        </w:rPr>
        <w:t xml:space="preserve"> </w:t>
      </w:r>
      <w:r w:rsidR="00D556AF">
        <w:rPr>
          <w:rFonts w:ascii="Arial" w:hAnsi="Arial" w:cs="Arial"/>
          <w:sz w:val="24"/>
          <w:szCs w:val="24"/>
        </w:rPr>
        <w:t>as</w:t>
      </w:r>
      <w:r w:rsidR="002C00FE">
        <w:rPr>
          <w:rFonts w:ascii="Arial" w:hAnsi="Arial" w:cs="Arial"/>
          <w:sz w:val="24"/>
          <w:szCs w:val="24"/>
        </w:rPr>
        <w:t xml:space="preserve"> </w:t>
      </w:r>
      <w:r w:rsidR="00DD3F3F">
        <w:rPr>
          <w:rFonts w:ascii="Arial" w:hAnsi="Arial" w:cs="Arial"/>
          <w:sz w:val="24"/>
          <w:szCs w:val="24"/>
        </w:rPr>
        <w:t xml:space="preserve">early as the decision </w:t>
      </w:r>
      <w:r w:rsidR="00DD3F3F" w:rsidRPr="007D5BEB">
        <w:rPr>
          <w:rFonts w:ascii="Arial" w:hAnsi="Arial" w:cs="Arial"/>
          <w:sz w:val="24"/>
          <w:szCs w:val="24"/>
        </w:rPr>
        <w:t xml:space="preserve">in </w:t>
      </w:r>
      <w:r w:rsidR="00DD3F3F" w:rsidRPr="007D5BEB">
        <w:rPr>
          <w:rFonts w:ascii="Arial" w:hAnsi="Arial" w:cs="Arial"/>
          <w:i/>
          <w:iCs/>
          <w:sz w:val="24"/>
          <w:szCs w:val="24"/>
        </w:rPr>
        <w:t>Doyle v Shenker &amp; Co Ltd</w:t>
      </w:r>
      <w:r w:rsidR="00DD3F3F">
        <w:rPr>
          <w:rFonts w:ascii="Arial" w:hAnsi="Arial" w:cs="Arial"/>
          <w:sz w:val="24"/>
          <w:szCs w:val="24"/>
        </w:rPr>
        <w:t xml:space="preserve"> 1915 AD 233</w:t>
      </w:r>
      <w:r w:rsidR="00DD3F3F" w:rsidRPr="007D5BEB">
        <w:rPr>
          <w:rFonts w:ascii="Arial" w:hAnsi="Arial" w:cs="Arial"/>
          <w:i/>
          <w:iCs/>
          <w:sz w:val="24"/>
          <w:szCs w:val="24"/>
        </w:rPr>
        <w:t xml:space="preserve"> </w:t>
      </w:r>
      <w:r w:rsidR="00DD3F3F" w:rsidRPr="007D5BEB">
        <w:rPr>
          <w:rFonts w:ascii="Arial" w:hAnsi="Arial" w:cs="Arial"/>
          <w:sz w:val="24"/>
          <w:szCs w:val="24"/>
        </w:rPr>
        <w:t>wh</w:t>
      </w:r>
      <w:r w:rsidR="002C6B38">
        <w:rPr>
          <w:rFonts w:ascii="Arial" w:hAnsi="Arial" w:cs="Arial"/>
          <w:sz w:val="24"/>
          <w:szCs w:val="24"/>
        </w:rPr>
        <w:t xml:space="preserve">ere </w:t>
      </w:r>
      <w:r w:rsidR="00D556AF">
        <w:rPr>
          <w:rFonts w:ascii="Arial" w:hAnsi="Arial" w:cs="Arial"/>
          <w:sz w:val="24"/>
          <w:szCs w:val="24"/>
        </w:rPr>
        <w:t>he</w:t>
      </w:r>
      <w:r w:rsidR="002C6B38">
        <w:rPr>
          <w:rFonts w:ascii="Arial" w:hAnsi="Arial" w:cs="Arial"/>
          <w:sz w:val="24"/>
          <w:szCs w:val="24"/>
        </w:rPr>
        <w:t xml:space="preserve"> held</w:t>
      </w:r>
      <w:r w:rsidR="00DD3F3F" w:rsidRPr="007D5BEB">
        <w:rPr>
          <w:rFonts w:ascii="Arial" w:hAnsi="Arial" w:cs="Arial"/>
          <w:sz w:val="24"/>
          <w:szCs w:val="24"/>
        </w:rPr>
        <w:t>:</w:t>
      </w:r>
    </w:p>
    <w:p w14:paraId="57262D19" w14:textId="6BAB9BDF" w:rsidR="00DD3F3F" w:rsidRDefault="00DD3F3F" w:rsidP="00DD3F3F">
      <w:pPr>
        <w:pStyle w:val="Numberin1"/>
        <w:numPr>
          <w:ilvl w:val="0"/>
          <w:numId w:val="0"/>
        </w:numPr>
        <w:spacing w:before="120" w:line="360" w:lineRule="auto"/>
        <w:ind w:left="1134"/>
        <w:rPr>
          <w:rFonts w:cs="Arial"/>
          <w:sz w:val="22"/>
          <w:szCs w:val="22"/>
        </w:rPr>
      </w:pPr>
      <w:r w:rsidRPr="00904A15">
        <w:rPr>
          <w:rFonts w:cs="Arial"/>
          <w:sz w:val="22"/>
          <w:szCs w:val="22"/>
        </w:rPr>
        <w:t>“</w:t>
      </w:r>
      <w:r w:rsidRPr="00904A15">
        <w:rPr>
          <w:rFonts w:cs="Arial"/>
          <w:iCs/>
          <w:sz w:val="22"/>
          <w:szCs w:val="22"/>
        </w:rPr>
        <w:t>Now a mere mistake of law in adjudicating upon a suit which the Magistrate has jurisdiction to try cannot be called an irregularity in the proceedings.  Otherwise review would lie in every case in which the decision depends upon a legal issue, and the distinction between procedure by appeal and procedure by review, so carefully drawn by statute and observed in practice, would largely disappear. …</w:t>
      </w:r>
      <w:r w:rsidRPr="00904A15">
        <w:rPr>
          <w:rFonts w:cs="Arial"/>
          <w:sz w:val="22"/>
          <w:szCs w:val="22"/>
        </w:rPr>
        <w:t>”</w:t>
      </w:r>
      <w:r w:rsidRPr="00904A15">
        <w:rPr>
          <w:rStyle w:val="FootnoteReference"/>
          <w:rFonts w:cs="Arial"/>
          <w:sz w:val="22"/>
          <w:szCs w:val="22"/>
        </w:rPr>
        <w:footnoteReference w:id="17"/>
      </w:r>
    </w:p>
    <w:p w14:paraId="3187B319" w14:textId="77777777" w:rsidR="00970113" w:rsidRPr="00904A15" w:rsidRDefault="00970113" w:rsidP="00DD3F3F">
      <w:pPr>
        <w:pStyle w:val="Numberin1"/>
        <w:numPr>
          <w:ilvl w:val="0"/>
          <w:numId w:val="0"/>
        </w:numPr>
        <w:spacing w:before="120" w:line="360" w:lineRule="auto"/>
        <w:ind w:left="1134"/>
        <w:rPr>
          <w:rFonts w:cs="Arial"/>
          <w:sz w:val="22"/>
          <w:szCs w:val="22"/>
        </w:rPr>
      </w:pPr>
    </w:p>
    <w:p w14:paraId="719E327A" w14:textId="34C82D9A" w:rsidR="0065443E" w:rsidRPr="00606D48" w:rsidRDefault="00AC6825" w:rsidP="00771563">
      <w:pPr>
        <w:spacing w:after="480" w:line="360" w:lineRule="auto"/>
        <w:ind w:left="720" w:hanging="720"/>
        <w:jc w:val="both"/>
      </w:pPr>
      <w:r>
        <w:rPr>
          <w:sz w:val="22"/>
          <w:szCs w:val="22"/>
        </w:rPr>
        <w:t>[4</w:t>
      </w:r>
      <w:r w:rsidR="000B734A">
        <w:rPr>
          <w:sz w:val="22"/>
          <w:szCs w:val="22"/>
        </w:rPr>
        <w:t>8</w:t>
      </w:r>
      <w:r>
        <w:rPr>
          <w:sz w:val="22"/>
          <w:szCs w:val="22"/>
        </w:rPr>
        <w:t>]</w:t>
      </w:r>
      <w:r>
        <w:rPr>
          <w:sz w:val="22"/>
          <w:szCs w:val="22"/>
        </w:rPr>
        <w:tab/>
      </w:r>
      <w:r w:rsidR="00757A6B">
        <w:t>This</w:t>
      </w:r>
      <w:r w:rsidR="00D556AF">
        <w:t xml:space="preserve"> principle </w:t>
      </w:r>
      <w:r w:rsidR="00757A6B">
        <w:t xml:space="preserve">was referred </w:t>
      </w:r>
      <w:r w:rsidR="002153DF">
        <w:t xml:space="preserve">to </w:t>
      </w:r>
      <w:r w:rsidR="00757A6B">
        <w:t xml:space="preserve">by Harms JA in </w:t>
      </w:r>
      <w:r w:rsidR="003E52B5">
        <w:t>the</w:t>
      </w:r>
      <w:r w:rsidR="005A7903">
        <w:t xml:space="preserve"> leading </w:t>
      </w:r>
      <w:r w:rsidR="003E52B5">
        <w:t>decision</w:t>
      </w:r>
      <w:r w:rsidR="005A7903">
        <w:t xml:space="preserve"> </w:t>
      </w:r>
      <w:r w:rsidR="00757A6B">
        <w:t>that dealt with the setting aside of an arbitration award in</w:t>
      </w:r>
      <w:r w:rsidR="003E52B5">
        <w:t xml:space="preserve"> </w:t>
      </w:r>
      <w:r w:rsidR="003E52B5" w:rsidRPr="007968A5">
        <w:rPr>
          <w:i/>
        </w:rPr>
        <w:t xml:space="preserve">Telcordia Technologies </w:t>
      </w:r>
      <w:r w:rsidR="00BE56B1" w:rsidRPr="007968A5">
        <w:rPr>
          <w:i/>
        </w:rPr>
        <w:t xml:space="preserve">Inc </w:t>
      </w:r>
      <w:r w:rsidR="003E52B5" w:rsidRPr="007968A5">
        <w:rPr>
          <w:i/>
        </w:rPr>
        <w:t xml:space="preserve">v Telkom </w:t>
      </w:r>
      <w:r w:rsidR="00BE56B1" w:rsidRPr="007968A5">
        <w:rPr>
          <w:i/>
        </w:rPr>
        <w:t>SA Ltd</w:t>
      </w:r>
      <w:r w:rsidR="00BE56B1">
        <w:t xml:space="preserve"> 2007 (3) SA 266 (SCA</w:t>
      </w:r>
      <w:r w:rsidR="00E27333">
        <w:t>)</w:t>
      </w:r>
      <w:r w:rsidR="003B01A1">
        <w:t>.</w:t>
      </w:r>
      <w:r w:rsidR="00E908D9">
        <w:t xml:space="preserve"> </w:t>
      </w:r>
      <w:r w:rsidR="00D556AF">
        <w:t xml:space="preserve">It </w:t>
      </w:r>
      <w:r w:rsidR="0065443E" w:rsidRPr="007D5BEB">
        <w:t>was</w:t>
      </w:r>
      <w:r w:rsidR="002153DF">
        <w:t xml:space="preserve"> also </w:t>
      </w:r>
      <w:r w:rsidR="0065443E" w:rsidRPr="007D5BEB">
        <w:t xml:space="preserve">reaffirmed by Hoexter JA in </w:t>
      </w:r>
      <w:r w:rsidR="0065443E" w:rsidRPr="00E908D9">
        <w:rPr>
          <w:i/>
          <w:iCs/>
        </w:rPr>
        <w:t>A</w:t>
      </w:r>
      <w:r w:rsidR="00606D48" w:rsidRPr="00E908D9">
        <w:rPr>
          <w:i/>
          <w:iCs/>
        </w:rPr>
        <w:t xml:space="preserve">dministrator, South West Africa </w:t>
      </w:r>
      <w:r w:rsidR="0065443E" w:rsidRPr="00E908D9">
        <w:rPr>
          <w:i/>
          <w:iCs/>
        </w:rPr>
        <w:t>v Jooste Lithium Myne Eiendoms Bpk</w:t>
      </w:r>
      <w:r w:rsidR="00D556AF">
        <w:rPr>
          <w:i/>
          <w:iCs/>
        </w:rPr>
        <w:t xml:space="preserve"> </w:t>
      </w:r>
      <w:r w:rsidR="00F25EFD">
        <w:rPr>
          <w:i/>
          <w:iCs/>
        </w:rPr>
        <w:t>1955(1) SA 557(A) at 569B-G</w:t>
      </w:r>
      <w:r w:rsidR="0065443E" w:rsidRPr="00606D48">
        <w:t>:</w:t>
      </w:r>
    </w:p>
    <w:p w14:paraId="5D035872" w14:textId="0CF9B649" w:rsidR="0065443E" w:rsidRDefault="00606D48" w:rsidP="00606D48">
      <w:pPr>
        <w:pStyle w:val="Numberin1"/>
        <w:numPr>
          <w:ilvl w:val="0"/>
          <w:numId w:val="0"/>
        </w:numPr>
        <w:spacing w:before="120" w:line="360" w:lineRule="auto"/>
        <w:ind w:left="1134"/>
        <w:rPr>
          <w:rFonts w:cs="Arial"/>
          <w:sz w:val="22"/>
          <w:szCs w:val="22"/>
        </w:rPr>
      </w:pPr>
      <w:r w:rsidRPr="00606D48">
        <w:rPr>
          <w:rFonts w:cs="Arial"/>
          <w:iCs/>
          <w:sz w:val="22"/>
          <w:szCs w:val="22"/>
        </w:rPr>
        <w:t>‘</w:t>
      </w:r>
      <w:r w:rsidR="0065443E" w:rsidRPr="00606D48">
        <w:rPr>
          <w:rFonts w:cs="Arial"/>
          <w:iCs/>
          <w:sz w:val="22"/>
          <w:szCs w:val="22"/>
        </w:rPr>
        <w:t xml:space="preserve">It cannot be said that the wrong interpretation of a regulation would prevent the Administrator from fulfilling its statutory function or from considering the matter left to it for decision. On the contrary, in interpreting the regulation the Administrator is actually fulfilling the function assigned to it by the Statute, and it follows that </w:t>
      </w:r>
      <w:r w:rsidR="0065443E" w:rsidRPr="004A4DE7">
        <w:rPr>
          <w:rFonts w:cs="Arial"/>
          <w:iCs/>
          <w:sz w:val="22"/>
          <w:szCs w:val="22"/>
        </w:rPr>
        <w:t xml:space="preserve">the </w:t>
      </w:r>
      <w:r w:rsidR="0065443E" w:rsidRPr="004A4DE7">
        <w:rPr>
          <w:rFonts w:cs="Arial"/>
          <w:iCs/>
          <w:sz w:val="22"/>
          <w:szCs w:val="22"/>
        </w:rPr>
        <w:lastRenderedPageBreak/>
        <w:t>wrong interpretation of a regulation cannot afford any ground for review by the Court</w:t>
      </w:r>
      <w:r w:rsidR="0065443E" w:rsidRPr="00606D48">
        <w:rPr>
          <w:rFonts w:cs="Arial"/>
          <w:iCs/>
          <w:sz w:val="22"/>
          <w:szCs w:val="22"/>
        </w:rPr>
        <w:t>.</w:t>
      </w:r>
      <w:r w:rsidRPr="00606D48">
        <w:rPr>
          <w:rFonts w:cs="Arial"/>
          <w:sz w:val="22"/>
          <w:szCs w:val="22"/>
        </w:rPr>
        <w:t>’</w:t>
      </w:r>
    </w:p>
    <w:p w14:paraId="6464FD6E" w14:textId="77777777" w:rsidR="00606D48" w:rsidRDefault="00606D48" w:rsidP="00606D48">
      <w:pPr>
        <w:pStyle w:val="Numberin1"/>
        <w:numPr>
          <w:ilvl w:val="0"/>
          <w:numId w:val="0"/>
        </w:numPr>
        <w:spacing w:before="120" w:line="360" w:lineRule="auto"/>
        <w:ind w:left="720" w:hanging="720"/>
        <w:rPr>
          <w:rFonts w:cs="Arial"/>
          <w:szCs w:val="24"/>
        </w:rPr>
      </w:pPr>
    </w:p>
    <w:p w14:paraId="115B5402" w14:textId="05A3DC96" w:rsidR="00606D48" w:rsidRDefault="00AC6825" w:rsidP="00606D48">
      <w:pPr>
        <w:pStyle w:val="Numberin1"/>
        <w:numPr>
          <w:ilvl w:val="0"/>
          <w:numId w:val="0"/>
        </w:numPr>
        <w:spacing w:before="120" w:line="360" w:lineRule="auto"/>
        <w:ind w:left="720" w:hanging="720"/>
        <w:rPr>
          <w:rFonts w:cs="Arial"/>
          <w:szCs w:val="24"/>
        </w:rPr>
      </w:pPr>
      <w:r>
        <w:rPr>
          <w:rFonts w:cs="Arial"/>
          <w:szCs w:val="24"/>
        </w:rPr>
        <w:t>[4</w:t>
      </w:r>
      <w:r w:rsidR="000B734A">
        <w:rPr>
          <w:rFonts w:cs="Arial"/>
          <w:szCs w:val="24"/>
        </w:rPr>
        <w:t>9</w:t>
      </w:r>
      <w:r w:rsidR="00606D48" w:rsidRPr="00606D48">
        <w:rPr>
          <w:rFonts w:cs="Arial"/>
          <w:szCs w:val="24"/>
        </w:rPr>
        <w:t>]</w:t>
      </w:r>
      <w:r w:rsidR="00606D48" w:rsidRPr="00606D48">
        <w:rPr>
          <w:rFonts w:cs="Arial"/>
          <w:szCs w:val="24"/>
        </w:rPr>
        <w:tab/>
      </w:r>
      <w:r w:rsidR="005A7903">
        <w:rPr>
          <w:rFonts w:cs="Arial"/>
          <w:szCs w:val="24"/>
        </w:rPr>
        <w:t xml:space="preserve">In the context of arbitration proceedings </w:t>
      </w:r>
      <w:r w:rsidR="00606D48">
        <w:rPr>
          <w:rFonts w:cs="Arial"/>
          <w:szCs w:val="24"/>
        </w:rPr>
        <w:t xml:space="preserve">Harms JA in </w:t>
      </w:r>
      <w:r w:rsidR="00606D48" w:rsidRPr="00AC6825">
        <w:rPr>
          <w:rFonts w:cs="Arial"/>
          <w:i/>
          <w:szCs w:val="24"/>
        </w:rPr>
        <w:t>Telcordia</w:t>
      </w:r>
      <w:r w:rsidR="00606D48">
        <w:rPr>
          <w:rFonts w:cs="Arial"/>
          <w:szCs w:val="24"/>
        </w:rPr>
        <w:t xml:space="preserve"> </w:t>
      </w:r>
      <w:r w:rsidR="00E27333">
        <w:rPr>
          <w:rFonts w:cs="Arial"/>
          <w:szCs w:val="24"/>
        </w:rPr>
        <w:t>remarked</w:t>
      </w:r>
      <w:r w:rsidR="00606D48">
        <w:rPr>
          <w:rFonts w:cs="Arial"/>
          <w:szCs w:val="24"/>
        </w:rPr>
        <w:t xml:space="preserve">: </w:t>
      </w:r>
    </w:p>
    <w:p w14:paraId="77B28B8B" w14:textId="33B99CF4" w:rsidR="008864DA" w:rsidRPr="000900DB" w:rsidRDefault="006D4538" w:rsidP="008864DA">
      <w:pPr>
        <w:widowControl w:val="0"/>
        <w:autoSpaceDE w:val="0"/>
        <w:autoSpaceDN w:val="0"/>
        <w:adjustRightInd w:val="0"/>
        <w:spacing w:line="360" w:lineRule="auto"/>
        <w:ind w:left="1440" w:hanging="720"/>
        <w:jc w:val="both"/>
        <w:rPr>
          <w:rFonts w:cs="Times New Roman"/>
          <w:iCs/>
          <w:sz w:val="22"/>
          <w:szCs w:val="22"/>
        </w:rPr>
      </w:pPr>
      <w:r>
        <w:rPr>
          <w:rFonts w:cs="Times New Roman"/>
          <w:iCs/>
          <w:sz w:val="22"/>
          <w:szCs w:val="22"/>
        </w:rPr>
        <w:t>“</w:t>
      </w:r>
      <w:r w:rsidR="008864DA" w:rsidRPr="000900DB">
        <w:rPr>
          <w:rFonts w:cs="Times New Roman"/>
          <w:iCs/>
          <w:sz w:val="22"/>
          <w:szCs w:val="22"/>
        </w:rPr>
        <w:t>[50]</w:t>
      </w:r>
      <w:r w:rsidR="008864DA" w:rsidRPr="000900DB">
        <w:rPr>
          <w:rFonts w:cs="Times New Roman"/>
          <w:iCs/>
          <w:sz w:val="22"/>
          <w:szCs w:val="22"/>
        </w:rPr>
        <w:tab/>
        <w:t>By agreeing to arbitration parties to a dispute necessarily agree that the fairness of the hearing will be determined by the provisions of the Act and nothing else</w:t>
      </w:r>
      <w:r w:rsidR="006C782C">
        <w:rPr>
          <w:rFonts w:cs="Times New Roman"/>
          <w:iCs/>
          <w:sz w:val="22"/>
          <w:szCs w:val="22"/>
        </w:rPr>
        <w:t>..</w:t>
      </w:r>
      <w:r w:rsidR="008864DA" w:rsidRPr="000900DB">
        <w:rPr>
          <w:rFonts w:cs="Times New Roman"/>
          <w:iCs/>
          <w:sz w:val="22"/>
          <w:szCs w:val="22"/>
        </w:rPr>
        <w:t>.</w:t>
      </w:r>
      <w:r w:rsidR="006C782C">
        <w:rPr>
          <w:rFonts w:cs="Times New Roman"/>
          <w:iCs/>
          <w:sz w:val="22"/>
          <w:szCs w:val="22"/>
        </w:rPr>
        <w:t>”</w:t>
      </w:r>
      <w:r w:rsidR="008864DA" w:rsidRPr="000900DB">
        <w:rPr>
          <w:rFonts w:cs="Times New Roman"/>
          <w:iCs/>
          <w:sz w:val="22"/>
          <w:szCs w:val="22"/>
        </w:rPr>
        <w:t xml:space="preserve"> </w:t>
      </w:r>
    </w:p>
    <w:p w14:paraId="17A043E4" w14:textId="77777777" w:rsidR="008864DA" w:rsidRPr="000900DB" w:rsidRDefault="008864DA" w:rsidP="008864DA">
      <w:pPr>
        <w:widowControl w:val="0"/>
        <w:autoSpaceDE w:val="0"/>
        <w:autoSpaceDN w:val="0"/>
        <w:adjustRightInd w:val="0"/>
        <w:spacing w:line="360" w:lineRule="auto"/>
        <w:jc w:val="both"/>
        <w:rPr>
          <w:iCs/>
          <w:sz w:val="22"/>
          <w:szCs w:val="22"/>
        </w:rPr>
      </w:pPr>
    </w:p>
    <w:p w14:paraId="7A5946FC" w14:textId="6F3C4B0B" w:rsidR="008864DA" w:rsidRDefault="008864DA" w:rsidP="008864DA">
      <w:pPr>
        <w:spacing w:line="360" w:lineRule="auto"/>
        <w:ind w:left="1440" w:hanging="720"/>
        <w:jc w:val="both"/>
        <w:rPr>
          <w:rFonts w:cs="Times New Roman"/>
          <w:iCs/>
          <w:sz w:val="22"/>
          <w:szCs w:val="22"/>
        </w:rPr>
      </w:pPr>
      <w:r w:rsidRPr="000900DB">
        <w:rPr>
          <w:rFonts w:cs="Times New Roman"/>
          <w:iCs/>
          <w:sz w:val="22"/>
          <w:szCs w:val="22"/>
        </w:rPr>
        <w:t>[51]</w:t>
      </w:r>
      <w:r w:rsidRPr="000900DB">
        <w:rPr>
          <w:rFonts w:cs="Times New Roman"/>
          <w:iCs/>
          <w:sz w:val="22"/>
          <w:szCs w:val="22"/>
        </w:rPr>
        <w:tab/>
        <w:t>Last, by agreeing to arbitration the parties limit interference by courts to the ground of procedural irregularities set out in s 33(1) of the Act. By necessary implication they waive the right to rely on any further ground of review, ‘common law’ or otherwise. If they wish to extend the grounds, they may do so by agreement but then they have to agree on an appeal panel because they cannot by agreement impose jurisdiction on the court</w:t>
      </w:r>
      <w:r w:rsidR="006D4538">
        <w:rPr>
          <w:rFonts w:cs="Times New Roman"/>
          <w:iCs/>
          <w:sz w:val="22"/>
          <w:szCs w:val="22"/>
        </w:rPr>
        <w:t>…”</w:t>
      </w:r>
      <w:r w:rsidR="00970113">
        <w:rPr>
          <w:rFonts w:cs="Times New Roman"/>
          <w:iCs/>
          <w:sz w:val="22"/>
          <w:szCs w:val="22"/>
        </w:rPr>
        <w:t>.</w:t>
      </w:r>
    </w:p>
    <w:p w14:paraId="4E05247D" w14:textId="77777777" w:rsidR="008864DA" w:rsidRDefault="008864DA" w:rsidP="008864DA">
      <w:pPr>
        <w:spacing w:line="360" w:lineRule="auto"/>
        <w:jc w:val="both"/>
        <w:rPr>
          <w:rFonts w:cs="Times New Roman"/>
          <w:iCs/>
          <w:sz w:val="22"/>
          <w:szCs w:val="22"/>
        </w:rPr>
      </w:pPr>
    </w:p>
    <w:p w14:paraId="36559B77" w14:textId="60DF388B" w:rsidR="00522FE9" w:rsidRDefault="00AC6825" w:rsidP="00705105">
      <w:pPr>
        <w:pStyle w:val="BowLevel2ListAlt"/>
        <w:numPr>
          <w:ilvl w:val="0"/>
          <w:numId w:val="0"/>
        </w:numPr>
        <w:spacing w:before="240" w:after="240"/>
        <w:ind w:left="720" w:hanging="720"/>
        <w:rPr>
          <w:rFonts w:ascii="Arial" w:hAnsi="Arial" w:cs="Arial"/>
          <w:sz w:val="24"/>
          <w:szCs w:val="24"/>
        </w:rPr>
      </w:pPr>
      <w:r>
        <w:rPr>
          <w:rFonts w:ascii="Arial" w:hAnsi="Arial" w:cs="Arial"/>
          <w:iCs/>
          <w:sz w:val="24"/>
          <w:szCs w:val="24"/>
        </w:rPr>
        <w:t>[</w:t>
      </w:r>
      <w:r w:rsidR="000B734A">
        <w:rPr>
          <w:rFonts w:ascii="Arial" w:hAnsi="Arial" w:cs="Arial"/>
          <w:iCs/>
          <w:sz w:val="24"/>
          <w:szCs w:val="24"/>
        </w:rPr>
        <w:t>50</w:t>
      </w:r>
      <w:r w:rsidR="008864DA" w:rsidRPr="00522FE9">
        <w:rPr>
          <w:rFonts w:ascii="Arial" w:hAnsi="Arial" w:cs="Arial"/>
          <w:iCs/>
          <w:sz w:val="24"/>
          <w:szCs w:val="24"/>
        </w:rPr>
        <w:t>]</w:t>
      </w:r>
      <w:r w:rsidR="008864DA" w:rsidRPr="00522FE9">
        <w:rPr>
          <w:rFonts w:ascii="Arial" w:hAnsi="Arial" w:cs="Arial"/>
          <w:iCs/>
          <w:sz w:val="24"/>
          <w:szCs w:val="24"/>
        </w:rPr>
        <w:tab/>
        <w:t xml:space="preserve">The deference to party </w:t>
      </w:r>
      <w:r w:rsidR="00705105" w:rsidRPr="00522FE9">
        <w:rPr>
          <w:rFonts w:ascii="Arial" w:hAnsi="Arial" w:cs="Arial"/>
          <w:iCs/>
          <w:sz w:val="24"/>
          <w:szCs w:val="24"/>
        </w:rPr>
        <w:t>au</w:t>
      </w:r>
      <w:r w:rsidR="00705105">
        <w:rPr>
          <w:rFonts w:ascii="Arial" w:hAnsi="Arial" w:cs="Arial"/>
          <w:iCs/>
          <w:sz w:val="24"/>
          <w:szCs w:val="24"/>
        </w:rPr>
        <w:t>t</w:t>
      </w:r>
      <w:r w:rsidR="00705105" w:rsidRPr="00522FE9">
        <w:rPr>
          <w:rFonts w:ascii="Arial" w:hAnsi="Arial" w:cs="Arial"/>
          <w:iCs/>
          <w:sz w:val="24"/>
          <w:szCs w:val="24"/>
        </w:rPr>
        <w:t>onomy</w:t>
      </w:r>
      <w:r w:rsidR="008864DA" w:rsidRPr="00522FE9">
        <w:rPr>
          <w:rFonts w:ascii="Arial" w:hAnsi="Arial" w:cs="Arial"/>
          <w:iCs/>
          <w:sz w:val="24"/>
          <w:szCs w:val="24"/>
        </w:rPr>
        <w:t xml:space="preserve"> was reaffirmed by O’</w:t>
      </w:r>
      <w:r w:rsidR="00E71C3F">
        <w:rPr>
          <w:rFonts w:ascii="Arial" w:hAnsi="Arial" w:cs="Arial"/>
          <w:iCs/>
          <w:sz w:val="24"/>
          <w:szCs w:val="24"/>
        </w:rPr>
        <w:t xml:space="preserve"> </w:t>
      </w:r>
      <w:r w:rsidR="008864DA" w:rsidRPr="00522FE9">
        <w:rPr>
          <w:rFonts w:ascii="Arial" w:hAnsi="Arial" w:cs="Arial"/>
          <w:iCs/>
          <w:sz w:val="24"/>
          <w:szCs w:val="24"/>
        </w:rPr>
        <w:t xml:space="preserve">Regan (ADCJ) for the majority </w:t>
      </w:r>
      <w:r w:rsidR="00522FE9" w:rsidRPr="00BC4C90">
        <w:rPr>
          <w:rFonts w:ascii="Arial" w:hAnsi="Arial" w:cs="Arial"/>
          <w:sz w:val="24"/>
          <w:szCs w:val="24"/>
        </w:rPr>
        <w:t xml:space="preserve">in </w:t>
      </w:r>
      <w:r w:rsidR="00522FE9" w:rsidRPr="00BC4C90">
        <w:rPr>
          <w:rFonts w:ascii="Arial" w:hAnsi="Arial" w:cs="Arial"/>
          <w:i/>
          <w:iCs/>
          <w:sz w:val="24"/>
          <w:szCs w:val="24"/>
        </w:rPr>
        <w:t>Lufuno Mphaphuli &amp; Associates (Pty) Ltd v Andrews and Another</w:t>
      </w:r>
      <w:r w:rsidR="00522FE9" w:rsidRPr="00BC4C90">
        <w:rPr>
          <w:rFonts w:ascii="Arial" w:hAnsi="Arial" w:cs="Arial"/>
          <w:sz w:val="24"/>
          <w:szCs w:val="24"/>
        </w:rPr>
        <w:t xml:space="preserve"> 2009 (4) SA 529 (CC) </w:t>
      </w:r>
      <w:r w:rsidR="00943A19">
        <w:rPr>
          <w:rFonts w:ascii="Arial" w:hAnsi="Arial" w:cs="Arial"/>
          <w:sz w:val="24"/>
          <w:szCs w:val="24"/>
        </w:rPr>
        <w:t>w</w:t>
      </w:r>
      <w:r w:rsidR="00522FE9" w:rsidRPr="00BC4C90">
        <w:rPr>
          <w:rFonts w:ascii="Arial" w:hAnsi="Arial" w:cs="Arial"/>
          <w:sz w:val="24"/>
          <w:szCs w:val="24"/>
        </w:rPr>
        <w:t xml:space="preserve">hen litigants </w:t>
      </w:r>
      <w:r w:rsidR="00417A6E">
        <w:rPr>
          <w:rFonts w:ascii="Arial" w:hAnsi="Arial" w:cs="Arial"/>
          <w:sz w:val="24"/>
          <w:szCs w:val="24"/>
        </w:rPr>
        <w:t>agree</w:t>
      </w:r>
      <w:r w:rsidR="00522FE9" w:rsidRPr="00BC4C90">
        <w:rPr>
          <w:rFonts w:ascii="Arial" w:hAnsi="Arial" w:cs="Arial"/>
          <w:sz w:val="24"/>
          <w:szCs w:val="24"/>
        </w:rPr>
        <w:t xml:space="preserve"> to the adjudication of their disputes by arbitration rather than through the courts</w:t>
      </w:r>
      <w:r w:rsidR="00417A6E">
        <w:rPr>
          <w:rFonts w:ascii="Arial" w:hAnsi="Arial" w:cs="Arial"/>
          <w:sz w:val="24"/>
          <w:szCs w:val="24"/>
        </w:rPr>
        <w:t xml:space="preserve"> such election should be respected. With regard </w:t>
      </w:r>
      <w:r w:rsidR="00705105">
        <w:rPr>
          <w:rFonts w:ascii="Arial" w:hAnsi="Arial" w:cs="Arial"/>
          <w:sz w:val="24"/>
          <w:szCs w:val="24"/>
        </w:rPr>
        <w:t xml:space="preserve">to </w:t>
      </w:r>
      <w:r w:rsidR="00522FE9">
        <w:rPr>
          <w:rFonts w:ascii="Arial" w:hAnsi="Arial" w:cs="Arial"/>
          <w:sz w:val="24"/>
          <w:szCs w:val="24"/>
        </w:rPr>
        <w:t xml:space="preserve">the raising of </w:t>
      </w:r>
      <w:r w:rsidR="00705105">
        <w:rPr>
          <w:rFonts w:ascii="Arial" w:hAnsi="Arial" w:cs="Arial"/>
          <w:sz w:val="24"/>
          <w:szCs w:val="24"/>
        </w:rPr>
        <w:t xml:space="preserve">a </w:t>
      </w:r>
      <w:r w:rsidR="00522FE9">
        <w:rPr>
          <w:rFonts w:ascii="Arial" w:hAnsi="Arial" w:cs="Arial"/>
          <w:sz w:val="24"/>
          <w:szCs w:val="24"/>
        </w:rPr>
        <w:t xml:space="preserve">constitutional point, </w:t>
      </w:r>
      <w:r w:rsidR="00522FE9" w:rsidRPr="00BC4C90">
        <w:rPr>
          <w:rFonts w:ascii="Arial" w:hAnsi="Arial" w:cs="Arial"/>
          <w:sz w:val="24"/>
          <w:szCs w:val="24"/>
        </w:rPr>
        <w:t>O’</w:t>
      </w:r>
      <w:r w:rsidR="00943A19">
        <w:rPr>
          <w:rFonts w:ascii="Arial" w:hAnsi="Arial" w:cs="Arial"/>
          <w:sz w:val="24"/>
          <w:szCs w:val="24"/>
        </w:rPr>
        <w:t xml:space="preserve"> </w:t>
      </w:r>
      <w:r w:rsidR="00522FE9" w:rsidRPr="00BC4C90">
        <w:rPr>
          <w:rFonts w:ascii="Arial" w:hAnsi="Arial" w:cs="Arial"/>
          <w:sz w:val="24"/>
          <w:szCs w:val="24"/>
        </w:rPr>
        <w:t xml:space="preserve">Regan </w:t>
      </w:r>
      <w:r w:rsidR="000C4546">
        <w:rPr>
          <w:rFonts w:ascii="Arial" w:hAnsi="Arial" w:cs="Arial"/>
          <w:sz w:val="24"/>
          <w:szCs w:val="24"/>
        </w:rPr>
        <w:t xml:space="preserve">ADCJ </w:t>
      </w:r>
      <w:r w:rsidR="00417A6E">
        <w:rPr>
          <w:rFonts w:ascii="Arial" w:hAnsi="Arial" w:cs="Arial"/>
          <w:sz w:val="24"/>
          <w:szCs w:val="24"/>
        </w:rPr>
        <w:t>held at para 237 that</w:t>
      </w:r>
      <w:r w:rsidR="00705105">
        <w:rPr>
          <w:rFonts w:ascii="Arial" w:hAnsi="Arial" w:cs="Arial"/>
          <w:sz w:val="24"/>
          <w:szCs w:val="24"/>
        </w:rPr>
        <w:t>:</w:t>
      </w:r>
      <w:r w:rsidR="00522FE9" w:rsidRPr="00BC4C90">
        <w:rPr>
          <w:rFonts w:ascii="Arial" w:hAnsi="Arial" w:cs="Arial"/>
          <w:sz w:val="24"/>
          <w:szCs w:val="24"/>
        </w:rPr>
        <w:t xml:space="preserve"> </w:t>
      </w:r>
    </w:p>
    <w:p w14:paraId="5F504C0C" w14:textId="28C51FF5" w:rsidR="00B81EFB" w:rsidRDefault="00705105" w:rsidP="00E71C3F">
      <w:pPr>
        <w:pStyle w:val="BowLevel2ListAlt"/>
        <w:numPr>
          <w:ilvl w:val="0"/>
          <w:numId w:val="0"/>
        </w:numPr>
        <w:spacing w:before="240" w:after="240"/>
        <w:ind w:left="1134" w:hanging="414"/>
        <w:rPr>
          <w:rFonts w:ascii="Arial" w:hAnsi="Arial" w:cs="Arial"/>
          <w:iCs/>
          <w:sz w:val="22"/>
          <w:szCs w:val="22"/>
        </w:rPr>
      </w:pPr>
      <w:r w:rsidRPr="005D410E">
        <w:rPr>
          <w:rFonts w:ascii="Arial" w:hAnsi="Arial" w:cs="Arial"/>
          <w:iCs/>
          <w:sz w:val="22"/>
          <w:szCs w:val="22"/>
        </w:rPr>
        <w:t>‘</w:t>
      </w:r>
      <w:r w:rsidR="00522FE9" w:rsidRPr="005D410E">
        <w:rPr>
          <w:rFonts w:ascii="Arial" w:hAnsi="Arial" w:cs="Arial"/>
          <w:iCs/>
          <w:sz w:val="22"/>
          <w:szCs w:val="22"/>
        </w:rPr>
        <w:t xml:space="preserve">… ordinarily the question whether a particular arbitration award should be set aside, turning as it must on the precise terms of the arbitration agreement which regulated it, will not raise a constitutional issue of sufficient substance to warrant being entertained by this </w:t>
      </w:r>
      <w:r w:rsidRPr="005D410E">
        <w:rPr>
          <w:rFonts w:ascii="Arial" w:hAnsi="Arial" w:cs="Arial"/>
          <w:iCs/>
          <w:sz w:val="22"/>
          <w:szCs w:val="22"/>
        </w:rPr>
        <w:t>Court.’</w:t>
      </w:r>
      <w:r w:rsidR="006F55E8">
        <w:rPr>
          <w:rFonts w:ascii="Arial" w:hAnsi="Arial" w:cs="Arial"/>
          <w:iCs/>
          <w:sz w:val="22"/>
          <w:szCs w:val="22"/>
        </w:rPr>
        <w:t xml:space="preserve"> </w:t>
      </w:r>
    </w:p>
    <w:p w14:paraId="04704743" w14:textId="1A6032E2" w:rsidR="006F55E8" w:rsidRDefault="00AC6825" w:rsidP="00E71C3F">
      <w:pPr>
        <w:pStyle w:val="BowLevel2ListAlt"/>
        <w:numPr>
          <w:ilvl w:val="0"/>
          <w:numId w:val="0"/>
        </w:numPr>
        <w:spacing w:before="240" w:after="240"/>
        <w:ind w:left="720" w:hanging="720"/>
        <w:rPr>
          <w:rFonts w:ascii="Arial" w:hAnsi="Arial" w:cs="Arial"/>
          <w:sz w:val="24"/>
          <w:szCs w:val="24"/>
        </w:rPr>
      </w:pPr>
      <w:r>
        <w:rPr>
          <w:rFonts w:ascii="Arial" w:hAnsi="Arial" w:cs="Arial"/>
          <w:sz w:val="24"/>
          <w:szCs w:val="24"/>
        </w:rPr>
        <w:t>[</w:t>
      </w:r>
      <w:r w:rsidR="000C4546">
        <w:rPr>
          <w:rFonts w:ascii="Arial" w:hAnsi="Arial" w:cs="Arial"/>
          <w:sz w:val="24"/>
          <w:szCs w:val="24"/>
        </w:rPr>
        <w:t>5</w:t>
      </w:r>
      <w:r w:rsidR="000B734A">
        <w:rPr>
          <w:rFonts w:ascii="Arial" w:hAnsi="Arial" w:cs="Arial"/>
          <w:sz w:val="24"/>
          <w:szCs w:val="24"/>
        </w:rPr>
        <w:t>1</w:t>
      </w:r>
      <w:r>
        <w:rPr>
          <w:rFonts w:ascii="Arial" w:hAnsi="Arial" w:cs="Arial"/>
          <w:sz w:val="24"/>
          <w:szCs w:val="24"/>
        </w:rPr>
        <w:t>]</w:t>
      </w:r>
      <w:r>
        <w:rPr>
          <w:rFonts w:ascii="Arial" w:hAnsi="Arial" w:cs="Arial"/>
          <w:sz w:val="24"/>
          <w:szCs w:val="24"/>
        </w:rPr>
        <w:tab/>
      </w:r>
      <w:r w:rsidR="00B81EFB" w:rsidRPr="00AC6825">
        <w:rPr>
          <w:rFonts w:ascii="Arial" w:hAnsi="Arial" w:cs="Arial"/>
          <w:sz w:val="24"/>
          <w:szCs w:val="24"/>
        </w:rPr>
        <w:t>The approach to proceedings under section 31(1)(b) of the Arbitration Act was</w:t>
      </w:r>
      <w:r w:rsidR="006F55E8">
        <w:rPr>
          <w:rFonts w:ascii="Arial" w:hAnsi="Arial" w:cs="Arial"/>
          <w:sz w:val="24"/>
          <w:szCs w:val="24"/>
        </w:rPr>
        <w:t xml:space="preserve"> considered</w:t>
      </w:r>
      <w:r w:rsidR="00417A6E">
        <w:rPr>
          <w:rFonts w:ascii="Arial" w:hAnsi="Arial" w:cs="Arial"/>
          <w:sz w:val="24"/>
          <w:szCs w:val="24"/>
        </w:rPr>
        <w:t xml:space="preserve"> at length</w:t>
      </w:r>
      <w:r w:rsidR="006F55E8">
        <w:rPr>
          <w:rFonts w:ascii="Arial" w:hAnsi="Arial" w:cs="Arial"/>
          <w:sz w:val="24"/>
          <w:szCs w:val="24"/>
        </w:rPr>
        <w:t xml:space="preserve"> by O` Reg</w:t>
      </w:r>
      <w:r w:rsidR="003B01A1">
        <w:rPr>
          <w:rFonts w:ascii="Arial" w:hAnsi="Arial" w:cs="Arial"/>
          <w:sz w:val="24"/>
          <w:szCs w:val="24"/>
        </w:rPr>
        <w:t>a</w:t>
      </w:r>
      <w:r w:rsidR="006F55E8">
        <w:rPr>
          <w:rFonts w:ascii="Arial" w:hAnsi="Arial" w:cs="Arial"/>
          <w:sz w:val="24"/>
          <w:szCs w:val="24"/>
        </w:rPr>
        <w:t xml:space="preserve">n ADCJ </w:t>
      </w:r>
      <w:r w:rsidR="003057A3">
        <w:rPr>
          <w:rFonts w:ascii="Arial" w:hAnsi="Arial" w:cs="Arial"/>
          <w:sz w:val="24"/>
          <w:szCs w:val="24"/>
        </w:rPr>
        <w:t>and</w:t>
      </w:r>
      <w:r w:rsidR="006F55E8">
        <w:rPr>
          <w:rFonts w:ascii="Arial" w:hAnsi="Arial" w:cs="Arial"/>
          <w:sz w:val="24"/>
          <w:szCs w:val="24"/>
        </w:rPr>
        <w:t xml:space="preserve"> the central role that fai</w:t>
      </w:r>
      <w:r w:rsidR="00E71C3F">
        <w:rPr>
          <w:rFonts w:ascii="Arial" w:hAnsi="Arial" w:cs="Arial"/>
          <w:sz w:val="24"/>
          <w:szCs w:val="24"/>
        </w:rPr>
        <w:t>rness plays in such proceedings:</w:t>
      </w:r>
    </w:p>
    <w:p w14:paraId="649FA0E6" w14:textId="053E1CDA" w:rsidR="003F5F41" w:rsidRPr="00C05C6B" w:rsidRDefault="00E71C3F" w:rsidP="003F5F41">
      <w:pPr>
        <w:pStyle w:val="BowLevel2ListAlt"/>
        <w:numPr>
          <w:ilvl w:val="0"/>
          <w:numId w:val="0"/>
        </w:numPr>
        <w:spacing w:before="240" w:after="240"/>
        <w:ind w:left="1440" w:hanging="720"/>
        <w:rPr>
          <w:rFonts w:ascii="Arial" w:hAnsi="Arial" w:cs="Arial"/>
          <w:sz w:val="22"/>
          <w:szCs w:val="22"/>
        </w:rPr>
      </w:pPr>
      <w:r w:rsidRPr="00C05C6B">
        <w:rPr>
          <w:rFonts w:ascii="Arial" w:hAnsi="Arial" w:cs="Arial"/>
          <w:sz w:val="22"/>
          <w:szCs w:val="22"/>
        </w:rPr>
        <w:t>‘[221]</w:t>
      </w:r>
      <w:r w:rsidRPr="00C05C6B">
        <w:rPr>
          <w:rFonts w:ascii="Arial" w:hAnsi="Arial" w:cs="Arial"/>
          <w:sz w:val="22"/>
          <w:szCs w:val="22"/>
        </w:rPr>
        <w:tab/>
        <w:t xml:space="preserve">At Roman-Dutch law, it was always accepted that a submission to arbitration was subject to an implied condition that the arbitrator should proceed fairly or as it is sometimes described, according to law and justice. The recognition of </w:t>
      </w:r>
      <w:r w:rsidRPr="00C05C6B">
        <w:rPr>
          <w:rFonts w:ascii="Arial" w:hAnsi="Arial" w:cs="Arial"/>
          <w:sz w:val="22"/>
          <w:szCs w:val="22"/>
        </w:rPr>
        <w:lastRenderedPageBreak/>
        <w:t xml:space="preserve">such an implied condition fits snugly with modern constitutional </w:t>
      </w:r>
      <w:r w:rsidR="002C2F6C" w:rsidRPr="00C05C6B">
        <w:rPr>
          <w:rFonts w:ascii="Arial" w:hAnsi="Arial" w:cs="Arial"/>
          <w:sz w:val="22"/>
          <w:szCs w:val="22"/>
        </w:rPr>
        <w:t>values. In interpreting</w:t>
      </w:r>
      <w:r w:rsidR="003F5F41" w:rsidRPr="00C05C6B">
        <w:rPr>
          <w:rFonts w:ascii="Arial" w:hAnsi="Arial" w:cs="Arial"/>
          <w:sz w:val="22"/>
          <w:szCs w:val="22"/>
        </w:rPr>
        <w:t xml:space="preserve"> an arbitration agreement, it should ordinarily be accepted that when parties submit to arbitration, they submit to a process they intend should be fair.</w:t>
      </w:r>
    </w:p>
    <w:p w14:paraId="52E928CE" w14:textId="77C8FC9A" w:rsidR="003F5F41" w:rsidRDefault="00CB0E82" w:rsidP="003F5F41">
      <w:pPr>
        <w:pStyle w:val="BowLevel2ListAlt"/>
        <w:numPr>
          <w:ilvl w:val="0"/>
          <w:numId w:val="0"/>
        </w:numPr>
        <w:spacing w:before="240" w:after="240"/>
        <w:ind w:left="1440" w:hanging="720"/>
        <w:rPr>
          <w:rFonts w:ascii="Arial" w:hAnsi="Arial" w:cs="Arial"/>
          <w:sz w:val="24"/>
          <w:szCs w:val="24"/>
        </w:rPr>
      </w:pPr>
      <w:r>
        <w:rPr>
          <w:rFonts w:ascii="Arial" w:hAnsi="Arial" w:cs="Arial"/>
          <w:sz w:val="24"/>
          <w:szCs w:val="24"/>
        </w:rPr>
        <w:t>O’Regan ADCJ</w:t>
      </w:r>
      <w:r w:rsidR="003F5F41">
        <w:rPr>
          <w:rFonts w:ascii="Arial" w:hAnsi="Arial" w:cs="Arial"/>
          <w:sz w:val="24"/>
          <w:szCs w:val="24"/>
        </w:rPr>
        <w:t xml:space="preserve"> a</w:t>
      </w:r>
      <w:r w:rsidR="006F55E8">
        <w:rPr>
          <w:rFonts w:ascii="Arial" w:hAnsi="Arial" w:cs="Arial"/>
          <w:sz w:val="24"/>
          <w:szCs w:val="24"/>
        </w:rPr>
        <w:t>dded</w:t>
      </w:r>
      <w:r w:rsidR="003F5F41">
        <w:rPr>
          <w:rFonts w:ascii="Arial" w:hAnsi="Arial" w:cs="Arial"/>
          <w:sz w:val="24"/>
          <w:szCs w:val="24"/>
        </w:rPr>
        <w:t xml:space="preserve">: </w:t>
      </w:r>
    </w:p>
    <w:p w14:paraId="554EFA9B" w14:textId="5A6F1287" w:rsidR="003057A3" w:rsidRPr="00C05C6B" w:rsidRDefault="003F5F41" w:rsidP="003F5F41">
      <w:pPr>
        <w:pStyle w:val="BowLevel2ListAlt"/>
        <w:numPr>
          <w:ilvl w:val="0"/>
          <w:numId w:val="0"/>
        </w:numPr>
        <w:spacing w:before="240" w:after="240"/>
        <w:ind w:left="1440" w:hanging="720"/>
        <w:rPr>
          <w:rFonts w:ascii="Arial" w:hAnsi="Arial" w:cs="Arial"/>
          <w:sz w:val="22"/>
          <w:szCs w:val="22"/>
        </w:rPr>
      </w:pPr>
      <w:r w:rsidRPr="00C05C6B">
        <w:rPr>
          <w:rFonts w:ascii="Arial" w:hAnsi="Arial" w:cs="Arial"/>
          <w:sz w:val="22"/>
          <w:szCs w:val="22"/>
        </w:rPr>
        <w:t>[223]</w:t>
      </w:r>
      <w:r w:rsidRPr="00C05C6B">
        <w:rPr>
          <w:rFonts w:ascii="Arial" w:hAnsi="Arial" w:cs="Arial"/>
          <w:sz w:val="22"/>
          <w:szCs w:val="22"/>
        </w:rPr>
        <w:tab/>
      </w:r>
      <w:r w:rsidR="00AA510B" w:rsidRPr="00C05C6B">
        <w:rPr>
          <w:rFonts w:ascii="Arial" w:hAnsi="Arial" w:cs="Arial"/>
          <w:sz w:val="22"/>
          <w:szCs w:val="22"/>
        </w:rPr>
        <w:t>Of course, as this court has said on other occasions, what constitute fairness in any proceedings will depend firmly on context.</w:t>
      </w:r>
      <w:r w:rsidR="0056004F" w:rsidRPr="00C05C6B">
        <w:rPr>
          <w:rFonts w:ascii="Arial" w:hAnsi="Arial" w:cs="Arial"/>
          <w:sz w:val="22"/>
          <w:szCs w:val="22"/>
        </w:rPr>
        <w:t>’</w:t>
      </w:r>
      <w:r w:rsidR="00AA510B" w:rsidRPr="00C05C6B">
        <w:rPr>
          <w:rFonts w:ascii="Arial" w:hAnsi="Arial" w:cs="Arial"/>
          <w:sz w:val="22"/>
          <w:szCs w:val="22"/>
        </w:rPr>
        <w:t xml:space="preserve"> </w:t>
      </w:r>
      <w:r w:rsidR="006F55E8" w:rsidRPr="00C05C6B">
        <w:rPr>
          <w:rFonts w:ascii="Arial" w:hAnsi="Arial" w:cs="Arial"/>
          <w:sz w:val="22"/>
          <w:szCs w:val="22"/>
        </w:rPr>
        <w:t>(footnote</w:t>
      </w:r>
      <w:r w:rsidR="00417A6E" w:rsidRPr="00C05C6B">
        <w:rPr>
          <w:rFonts w:ascii="Arial" w:hAnsi="Arial" w:cs="Arial"/>
          <w:sz w:val="22"/>
          <w:szCs w:val="22"/>
        </w:rPr>
        <w:t>s</w:t>
      </w:r>
      <w:r w:rsidR="006F55E8" w:rsidRPr="00C05C6B">
        <w:rPr>
          <w:rFonts w:ascii="Arial" w:hAnsi="Arial" w:cs="Arial"/>
          <w:sz w:val="22"/>
          <w:szCs w:val="22"/>
        </w:rPr>
        <w:t xml:space="preserve"> omitte</w:t>
      </w:r>
      <w:r w:rsidR="003057A3" w:rsidRPr="00C05C6B">
        <w:rPr>
          <w:rFonts w:ascii="Arial" w:hAnsi="Arial" w:cs="Arial"/>
          <w:sz w:val="22"/>
          <w:szCs w:val="22"/>
        </w:rPr>
        <w:t>d)</w:t>
      </w:r>
    </w:p>
    <w:p w14:paraId="18D0B613" w14:textId="2FF33F27" w:rsidR="00B64D25" w:rsidRDefault="003057A3" w:rsidP="0056004F">
      <w:pPr>
        <w:pStyle w:val="BowLevel2ListAlt"/>
        <w:numPr>
          <w:ilvl w:val="0"/>
          <w:numId w:val="0"/>
        </w:numPr>
        <w:spacing w:before="240" w:after="240"/>
        <w:ind w:left="720"/>
        <w:rPr>
          <w:rFonts w:ascii="Arial" w:hAnsi="Arial" w:cs="Arial"/>
          <w:sz w:val="24"/>
          <w:szCs w:val="24"/>
        </w:rPr>
      </w:pPr>
      <w:r>
        <w:rPr>
          <w:rFonts w:ascii="Arial" w:hAnsi="Arial" w:cs="Arial"/>
          <w:sz w:val="24"/>
          <w:szCs w:val="24"/>
        </w:rPr>
        <w:t>After a detailed survey</w:t>
      </w:r>
      <w:r w:rsidR="0056004F">
        <w:rPr>
          <w:rFonts w:ascii="Arial" w:hAnsi="Arial" w:cs="Arial"/>
          <w:sz w:val="24"/>
          <w:szCs w:val="24"/>
        </w:rPr>
        <w:t xml:space="preserve"> of the </w:t>
      </w:r>
      <w:r>
        <w:rPr>
          <w:rFonts w:ascii="Arial" w:hAnsi="Arial" w:cs="Arial"/>
          <w:sz w:val="24"/>
          <w:szCs w:val="24"/>
        </w:rPr>
        <w:t xml:space="preserve">origins of the provisions in the Act and a comparative to that </w:t>
      </w:r>
      <w:r w:rsidR="00417A6E">
        <w:rPr>
          <w:rFonts w:ascii="Arial" w:hAnsi="Arial" w:cs="Arial"/>
          <w:sz w:val="24"/>
          <w:szCs w:val="24"/>
        </w:rPr>
        <w:t>with</w:t>
      </w:r>
      <w:r>
        <w:rPr>
          <w:rFonts w:ascii="Arial" w:hAnsi="Arial" w:cs="Arial"/>
          <w:sz w:val="24"/>
          <w:szCs w:val="24"/>
        </w:rPr>
        <w:t xml:space="preserve"> international instruments and law </w:t>
      </w:r>
      <w:r w:rsidR="00417A6E">
        <w:rPr>
          <w:rFonts w:ascii="Arial" w:hAnsi="Arial" w:cs="Arial"/>
          <w:sz w:val="24"/>
          <w:szCs w:val="24"/>
        </w:rPr>
        <w:t>O`Reg</w:t>
      </w:r>
      <w:r w:rsidR="00943A19">
        <w:rPr>
          <w:rFonts w:ascii="Arial" w:hAnsi="Arial" w:cs="Arial"/>
          <w:sz w:val="24"/>
          <w:szCs w:val="24"/>
        </w:rPr>
        <w:t>a</w:t>
      </w:r>
      <w:r w:rsidR="00417A6E">
        <w:rPr>
          <w:rFonts w:ascii="Arial" w:hAnsi="Arial" w:cs="Arial"/>
          <w:sz w:val="24"/>
          <w:szCs w:val="24"/>
        </w:rPr>
        <w:t>n ADCJ</w:t>
      </w:r>
      <w:r>
        <w:rPr>
          <w:rFonts w:ascii="Arial" w:hAnsi="Arial" w:cs="Arial"/>
          <w:sz w:val="24"/>
          <w:szCs w:val="24"/>
        </w:rPr>
        <w:t xml:space="preserve"> conclude</w:t>
      </w:r>
      <w:r w:rsidR="00417A6E">
        <w:rPr>
          <w:rFonts w:ascii="Arial" w:hAnsi="Arial" w:cs="Arial"/>
          <w:sz w:val="24"/>
          <w:szCs w:val="24"/>
        </w:rPr>
        <w:t>d</w:t>
      </w:r>
      <w:r w:rsidR="00B64D25">
        <w:rPr>
          <w:rFonts w:ascii="Arial" w:hAnsi="Arial" w:cs="Arial"/>
          <w:sz w:val="24"/>
          <w:szCs w:val="24"/>
        </w:rPr>
        <w:t>:</w:t>
      </w:r>
    </w:p>
    <w:p w14:paraId="19EEE63B" w14:textId="6455C3EA" w:rsidR="00B64D25" w:rsidRPr="00B64D25" w:rsidRDefault="00B64D25" w:rsidP="00B64D25">
      <w:pPr>
        <w:pStyle w:val="JUGMENTNUMBERED"/>
        <w:numPr>
          <w:ilvl w:val="0"/>
          <w:numId w:val="0"/>
        </w:numPr>
        <w:spacing w:line="360" w:lineRule="auto"/>
        <w:ind w:left="1440" w:hanging="720"/>
        <w:rPr>
          <w:rFonts w:ascii="Arial" w:hAnsi="Arial" w:cs="Arial"/>
          <w:sz w:val="22"/>
          <w:szCs w:val="22"/>
        </w:rPr>
      </w:pPr>
      <w:r w:rsidRPr="00B64D25">
        <w:rPr>
          <w:rFonts w:ascii="Arial" w:hAnsi="Arial" w:cs="Arial"/>
          <w:sz w:val="22"/>
          <w:szCs w:val="22"/>
        </w:rPr>
        <w:t>‘[235]</w:t>
      </w:r>
      <w:r w:rsidRPr="00B64D25">
        <w:rPr>
          <w:rFonts w:ascii="Arial" w:hAnsi="Arial" w:cs="Arial"/>
          <w:sz w:val="22"/>
          <w:szCs w:val="22"/>
        </w:rPr>
        <w:tab/>
        <w:t>To return then to the question of the proper interpretation of section 33(1) of the Arbitration Act in the light of the Constitution.  Given the approach not only in the United Kingdom (an open and democratic society within the contemplation of section 39(2) of our Constitution), but also the international law approach as evinced in the New York Convention (to which South Africa is a party) and the UNCITRAL Model Law, it seems to me that the values of our Constitution will not necessarily best be served by interpreting section 33(1) in a manner that enhances the power of courts to set aside private arbitration awards.  Indeed, the contrary seems to be the case.  The international and comparative law considered in this judgment suggests that courts should be careful not to undermine the achievement of the goals of private arbitration by enlarging their powers of scrutiny imprudently. Section 33(1) provides three grounds for setting aside an arbitration award: misconduct by an arbitrator; gross irregularity in the conduct of the proceedings; and the fact that an award has been improperly obtained. In my view, and in the light of the reasoning in the previous paragraphs, the Constitution would require a court to construe these grounds reasonably strictly in relation to private arbitration.</w:t>
      </w:r>
      <w:r>
        <w:rPr>
          <w:rFonts w:ascii="Arial" w:hAnsi="Arial" w:cs="Arial"/>
          <w:sz w:val="22"/>
          <w:szCs w:val="22"/>
        </w:rPr>
        <w:t>’</w:t>
      </w:r>
    </w:p>
    <w:p w14:paraId="7D032379" w14:textId="77777777" w:rsidR="00B64D25" w:rsidRPr="006547B7" w:rsidRDefault="00B64D25" w:rsidP="00B64D25">
      <w:pPr>
        <w:rPr>
          <w:sz w:val="22"/>
          <w:szCs w:val="22"/>
        </w:rPr>
      </w:pPr>
    </w:p>
    <w:p w14:paraId="747F1195" w14:textId="713F5C5D" w:rsidR="00B81EFB" w:rsidRPr="00AC6825" w:rsidRDefault="003057A3" w:rsidP="00740569">
      <w:pPr>
        <w:pStyle w:val="BowLevel2ListAlt"/>
        <w:numPr>
          <w:ilvl w:val="0"/>
          <w:numId w:val="0"/>
        </w:numPr>
        <w:spacing w:before="240" w:after="240"/>
        <w:ind w:left="720"/>
        <w:rPr>
          <w:rFonts w:ascii="Arial" w:hAnsi="Arial" w:cs="Arial"/>
          <w:iCs/>
          <w:sz w:val="24"/>
          <w:szCs w:val="24"/>
        </w:rPr>
      </w:pPr>
      <w:r>
        <w:rPr>
          <w:rFonts w:ascii="Arial" w:hAnsi="Arial" w:cs="Arial"/>
          <w:sz w:val="24"/>
          <w:szCs w:val="24"/>
        </w:rPr>
        <w:t>Importantly</w:t>
      </w:r>
      <w:r w:rsidR="00ED5D37">
        <w:rPr>
          <w:rFonts w:ascii="Arial" w:hAnsi="Arial" w:cs="Arial"/>
          <w:sz w:val="24"/>
          <w:szCs w:val="24"/>
        </w:rPr>
        <w:t>,</w:t>
      </w:r>
      <w:r>
        <w:rPr>
          <w:rFonts w:ascii="Arial" w:hAnsi="Arial" w:cs="Arial"/>
          <w:sz w:val="24"/>
          <w:szCs w:val="24"/>
        </w:rPr>
        <w:t xml:space="preserve"> it was</w:t>
      </w:r>
      <w:r w:rsidR="00ED5D37">
        <w:rPr>
          <w:rFonts w:ascii="Arial" w:hAnsi="Arial" w:cs="Arial"/>
          <w:sz w:val="24"/>
          <w:szCs w:val="24"/>
        </w:rPr>
        <w:t xml:space="preserve"> also</w:t>
      </w:r>
      <w:r>
        <w:rPr>
          <w:rFonts w:ascii="Arial" w:hAnsi="Arial" w:cs="Arial"/>
          <w:sz w:val="24"/>
          <w:szCs w:val="24"/>
        </w:rPr>
        <w:t xml:space="preserve"> </w:t>
      </w:r>
      <w:r w:rsidR="00B81EFB" w:rsidRPr="00AC6825">
        <w:rPr>
          <w:rFonts w:ascii="Arial" w:hAnsi="Arial" w:cs="Arial"/>
          <w:sz w:val="24"/>
          <w:szCs w:val="24"/>
        </w:rPr>
        <w:t xml:space="preserve">reaffirmed by </w:t>
      </w:r>
      <w:r w:rsidR="00ED5D37">
        <w:rPr>
          <w:rFonts w:ascii="Arial" w:hAnsi="Arial" w:cs="Arial"/>
          <w:sz w:val="24"/>
          <w:szCs w:val="24"/>
        </w:rPr>
        <w:t>the Constitutional Court</w:t>
      </w:r>
      <w:r w:rsidR="00B81EFB" w:rsidRPr="00AC6825">
        <w:rPr>
          <w:rFonts w:ascii="Arial" w:hAnsi="Arial" w:cs="Arial"/>
          <w:sz w:val="24"/>
          <w:szCs w:val="24"/>
        </w:rPr>
        <w:t xml:space="preserve"> </w:t>
      </w:r>
      <w:r w:rsidR="00B81EFB" w:rsidRPr="00AC6825">
        <w:rPr>
          <w:rFonts w:ascii="Arial" w:hAnsi="Arial" w:cs="Arial"/>
          <w:iCs/>
          <w:sz w:val="24"/>
          <w:szCs w:val="24"/>
        </w:rPr>
        <w:t xml:space="preserve">in the concluding remarks </w:t>
      </w:r>
      <w:r w:rsidR="00ED5D37">
        <w:rPr>
          <w:rFonts w:ascii="Arial" w:hAnsi="Arial" w:cs="Arial"/>
          <w:iCs/>
          <w:sz w:val="24"/>
          <w:szCs w:val="24"/>
        </w:rPr>
        <w:t>of</w:t>
      </w:r>
      <w:r w:rsidR="00B81EFB" w:rsidRPr="00AC6825">
        <w:rPr>
          <w:rFonts w:ascii="Arial" w:hAnsi="Arial" w:cs="Arial"/>
          <w:iCs/>
          <w:sz w:val="24"/>
          <w:szCs w:val="24"/>
        </w:rPr>
        <w:t xml:space="preserve"> paragraph 26</w:t>
      </w:r>
      <w:r>
        <w:rPr>
          <w:rFonts w:ascii="Arial" w:hAnsi="Arial" w:cs="Arial"/>
          <w:iCs/>
          <w:sz w:val="24"/>
          <w:szCs w:val="24"/>
        </w:rPr>
        <w:t>1</w:t>
      </w:r>
      <w:r w:rsidR="00ED5D37">
        <w:rPr>
          <w:rFonts w:ascii="Arial" w:hAnsi="Arial" w:cs="Arial"/>
          <w:iCs/>
          <w:sz w:val="24"/>
          <w:szCs w:val="24"/>
        </w:rPr>
        <w:t>;</w:t>
      </w:r>
      <w:r w:rsidR="00AC6825">
        <w:rPr>
          <w:rFonts w:ascii="Arial" w:hAnsi="Arial" w:cs="Arial"/>
          <w:iCs/>
          <w:sz w:val="24"/>
          <w:szCs w:val="24"/>
        </w:rPr>
        <w:t xml:space="preserve"> ‘</w:t>
      </w:r>
      <w:r w:rsidR="00B81EFB" w:rsidRPr="00AC6825">
        <w:rPr>
          <w:rFonts w:ascii="Arial" w:hAnsi="Arial" w:cs="Arial"/>
          <w:iCs/>
          <w:sz w:val="24"/>
          <w:szCs w:val="24"/>
        </w:rPr>
        <w:t>…In each case the question will be whether the procedure followed afforded both parties a fair opportunity to present their case</w:t>
      </w:r>
      <w:r w:rsidR="00AC6825">
        <w:rPr>
          <w:rFonts w:ascii="Arial" w:hAnsi="Arial" w:cs="Arial"/>
          <w:iCs/>
          <w:sz w:val="24"/>
          <w:szCs w:val="24"/>
        </w:rPr>
        <w:t>.’</w:t>
      </w:r>
    </w:p>
    <w:p w14:paraId="012E943F" w14:textId="649DE83C" w:rsidR="005D410E" w:rsidRDefault="00AC6825" w:rsidP="00943A19">
      <w:pPr>
        <w:pStyle w:val="BowLevel2ListAlt"/>
        <w:numPr>
          <w:ilvl w:val="0"/>
          <w:numId w:val="0"/>
        </w:numPr>
        <w:tabs>
          <w:tab w:val="left" w:pos="630"/>
        </w:tabs>
        <w:spacing w:before="240" w:after="240"/>
        <w:ind w:left="720" w:hanging="720"/>
        <w:rPr>
          <w:rFonts w:ascii="Arial" w:hAnsi="Arial" w:cs="Arial"/>
          <w:sz w:val="24"/>
          <w:szCs w:val="24"/>
        </w:rPr>
      </w:pPr>
      <w:r>
        <w:rPr>
          <w:rFonts w:ascii="Arial" w:hAnsi="Arial" w:cs="Arial"/>
          <w:sz w:val="24"/>
          <w:szCs w:val="24"/>
        </w:rPr>
        <w:lastRenderedPageBreak/>
        <w:t>[</w:t>
      </w:r>
      <w:r w:rsidR="000C4546">
        <w:rPr>
          <w:rFonts w:ascii="Arial" w:hAnsi="Arial" w:cs="Arial"/>
          <w:sz w:val="24"/>
          <w:szCs w:val="24"/>
        </w:rPr>
        <w:t>5</w:t>
      </w:r>
      <w:r w:rsidR="000B734A">
        <w:rPr>
          <w:rFonts w:ascii="Arial" w:hAnsi="Arial" w:cs="Arial"/>
          <w:sz w:val="24"/>
          <w:szCs w:val="24"/>
        </w:rPr>
        <w:t>2</w:t>
      </w:r>
      <w:r>
        <w:rPr>
          <w:rFonts w:ascii="Arial" w:hAnsi="Arial" w:cs="Arial"/>
          <w:sz w:val="24"/>
          <w:szCs w:val="24"/>
        </w:rPr>
        <w:t>]</w:t>
      </w:r>
      <w:r w:rsidR="008048A0" w:rsidRPr="005D410E">
        <w:rPr>
          <w:rFonts w:ascii="Arial" w:hAnsi="Arial" w:cs="Arial"/>
          <w:sz w:val="24"/>
          <w:szCs w:val="24"/>
        </w:rPr>
        <w:tab/>
        <w:t xml:space="preserve">Counsel for the </w:t>
      </w:r>
      <w:r w:rsidR="005C0211">
        <w:rPr>
          <w:rFonts w:ascii="Arial" w:hAnsi="Arial" w:cs="Arial"/>
          <w:sz w:val="24"/>
          <w:szCs w:val="24"/>
        </w:rPr>
        <w:t xml:space="preserve">University </w:t>
      </w:r>
      <w:r w:rsidR="005D410E">
        <w:rPr>
          <w:rFonts w:ascii="Arial" w:hAnsi="Arial" w:cs="Arial"/>
          <w:sz w:val="24"/>
          <w:szCs w:val="24"/>
        </w:rPr>
        <w:t>contended and correctly so</w:t>
      </w:r>
      <w:r>
        <w:rPr>
          <w:rFonts w:ascii="Arial" w:hAnsi="Arial" w:cs="Arial"/>
          <w:sz w:val="24"/>
          <w:szCs w:val="24"/>
        </w:rPr>
        <w:t>,</w:t>
      </w:r>
      <w:r w:rsidR="005C0211">
        <w:rPr>
          <w:rFonts w:ascii="Arial" w:hAnsi="Arial" w:cs="Arial"/>
          <w:sz w:val="24"/>
          <w:szCs w:val="24"/>
        </w:rPr>
        <w:t xml:space="preserve"> in my view</w:t>
      </w:r>
      <w:r>
        <w:rPr>
          <w:rFonts w:ascii="Arial" w:hAnsi="Arial" w:cs="Arial"/>
          <w:sz w:val="24"/>
          <w:szCs w:val="24"/>
        </w:rPr>
        <w:t>,</w:t>
      </w:r>
      <w:r w:rsidR="005C0211">
        <w:rPr>
          <w:rFonts w:ascii="Arial" w:hAnsi="Arial" w:cs="Arial"/>
          <w:sz w:val="24"/>
          <w:szCs w:val="24"/>
        </w:rPr>
        <w:t xml:space="preserve"> </w:t>
      </w:r>
      <w:r w:rsidR="005D410E">
        <w:rPr>
          <w:rFonts w:ascii="Arial" w:hAnsi="Arial" w:cs="Arial"/>
          <w:sz w:val="24"/>
          <w:szCs w:val="24"/>
        </w:rPr>
        <w:t>that</w:t>
      </w:r>
      <w:r w:rsidR="005C0211">
        <w:rPr>
          <w:rFonts w:ascii="Arial" w:hAnsi="Arial" w:cs="Arial"/>
          <w:sz w:val="24"/>
          <w:szCs w:val="24"/>
        </w:rPr>
        <w:t xml:space="preserve"> it was in </w:t>
      </w:r>
      <w:r w:rsidR="005D410E" w:rsidRPr="005D410E">
        <w:rPr>
          <w:rFonts w:ascii="Arial" w:hAnsi="Arial" w:cs="Arial"/>
          <w:sz w:val="24"/>
          <w:szCs w:val="24"/>
        </w:rPr>
        <w:t xml:space="preserve">the sole domain of the arbitrators </w:t>
      </w:r>
      <w:r w:rsidR="005D410E">
        <w:rPr>
          <w:rFonts w:ascii="Arial" w:hAnsi="Arial" w:cs="Arial"/>
          <w:sz w:val="24"/>
          <w:szCs w:val="24"/>
        </w:rPr>
        <w:t xml:space="preserve">in this matter </w:t>
      </w:r>
      <w:r w:rsidR="005C0211">
        <w:rPr>
          <w:rFonts w:ascii="Arial" w:hAnsi="Arial" w:cs="Arial"/>
          <w:sz w:val="24"/>
          <w:szCs w:val="24"/>
        </w:rPr>
        <w:t xml:space="preserve">to determine the </w:t>
      </w:r>
      <w:r w:rsidR="005D410E">
        <w:rPr>
          <w:rFonts w:ascii="Arial" w:hAnsi="Arial" w:cs="Arial"/>
          <w:sz w:val="24"/>
          <w:szCs w:val="24"/>
        </w:rPr>
        <w:t>f</w:t>
      </w:r>
      <w:r w:rsidR="005D410E" w:rsidRPr="005D410E">
        <w:rPr>
          <w:rFonts w:ascii="Arial" w:hAnsi="Arial" w:cs="Arial"/>
          <w:sz w:val="24"/>
          <w:szCs w:val="24"/>
        </w:rPr>
        <w:t xml:space="preserve">actual findings and the application of </w:t>
      </w:r>
      <w:r w:rsidR="005D410E">
        <w:rPr>
          <w:rFonts w:ascii="Arial" w:hAnsi="Arial" w:cs="Arial"/>
          <w:sz w:val="24"/>
          <w:szCs w:val="24"/>
        </w:rPr>
        <w:t xml:space="preserve">legal principles to those facts. The question </w:t>
      </w:r>
      <w:r w:rsidR="00843067">
        <w:rPr>
          <w:rFonts w:ascii="Arial" w:hAnsi="Arial" w:cs="Arial"/>
          <w:sz w:val="24"/>
          <w:szCs w:val="24"/>
        </w:rPr>
        <w:t>a</w:t>
      </w:r>
      <w:r w:rsidR="005D410E">
        <w:rPr>
          <w:rFonts w:ascii="Arial" w:hAnsi="Arial" w:cs="Arial"/>
          <w:sz w:val="24"/>
          <w:szCs w:val="24"/>
        </w:rPr>
        <w:t xml:space="preserve">s to </w:t>
      </w:r>
      <w:r w:rsidR="005D410E" w:rsidRPr="005D410E">
        <w:rPr>
          <w:rFonts w:ascii="Arial" w:hAnsi="Arial" w:cs="Arial"/>
          <w:sz w:val="24"/>
          <w:szCs w:val="24"/>
        </w:rPr>
        <w:t xml:space="preserve">whether the common law should be developed </w:t>
      </w:r>
      <w:r w:rsidR="005A7903">
        <w:rPr>
          <w:rFonts w:ascii="Arial" w:hAnsi="Arial" w:cs="Arial"/>
          <w:sz w:val="24"/>
          <w:szCs w:val="24"/>
        </w:rPr>
        <w:t xml:space="preserve">and </w:t>
      </w:r>
      <w:r w:rsidR="005D410E" w:rsidRPr="005D410E">
        <w:rPr>
          <w:rFonts w:ascii="Arial" w:hAnsi="Arial" w:cs="Arial"/>
          <w:sz w:val="24"/>
          <w:szCs w:val="24"/>
        </w:rPr>
        <w:t xml:space="preserve">how that development should be </w:t>
      </w:r>
      <w:r w:rsidR="00F0332E">
        <w:rPr>
          <w:rFonts w:ascii="Arial" w:hAnsi="Arial" w:cs="Arial"/>
          <w:sz w:val="24"/>
          <w:szCs w:val="24"/>
        </w:rPr>
        <w:t xml:space="preserve">made </w:t>
      </w:r>
      <w:r w:rsidR="005D410E">
        <w:rPr>
          <w:rFonts w:ascii="Arial" w:hAnsi="Arial" w:cs="Arial"/>
          <w:sz w:val="24"/>
          <w:szCs w:val="24"/>
        </w:rPr>
        <w:t xml:space="preserve">was </w:t>
      </w:r>
      <w:r w:rsidR="005D410E" w:rsidRPr="005D410E">
        <w:rPr>
          <w:rFonts w:ascii="Arial" w:hAnsi="Arial" w:cs="Arial"/>
          <w:sz w:val="24"/>
          <w:szCs w:val="24"/>
        </w:rPr>
        <w:t>by agreement between the parties left to the arbitrators</w:t>
      </w:r>
      <w:r w:rsidR="005D410E">
        <w:rPr>
          <w:rFonts w:ascii="Arial" w:hAnsi="Arial" w:cs="Arial"/>
          <w:sz w:val="24"/>
          <w:szCs w:val="24"/>
        </w:rPr>
        <w:t xml:space="preserve"> and n</w:t>
      </w:r>
      <w:r w:rsidR="005D410E" w:rsidRPr="005D410E">
        <w:rPr>
          <w:rFonts w:ascii="Arial" w:hAnsi="Arial" w:cs="Arial"/>
          <w:sz w:val="24"/>
          <w:szCs w:val="24"/>
        </w:rPr>
        <w:t xml:space="preserve">ot </w:t>
      </w:r>
      <w:r w:rsidR="00F0332E">
        <w:rPr>
          <w:rFonts w:ascii="Arial" w:hAnsi="Arial" w:cs="Arial"/>
          <w:sz w:val="24"/>
          <w:szCs w:val="24"/>
        </w:rPr>
        <w:t>a c</w:t>
      </w:r>
      <w:r w:rsidR="005D410E" w:rsidRPr="005D410E">
        <w:rPr>
          <w:rFonts w:ascii="Arial" w:hAnsi="Arial" w:cs="Arial"/>
          <w:sz w:val="24"/>
          <w:szCs w:val="24"/>
        </w:rPr>
        <w:t>ourt to decide.</w:t>
      </w:r>
      <w:r w:rsidR="00B73D99">
        <w:rPr>
          <w:rFonts w:ascii="Arial" w:hAnsi="Arial" w:cs="Arial"/>
          <w:sz w:val="24"/>
          <w:szCs w:val="24"/>
        </w:rPr>
        <w:t xml:space="preserve"> Those questions are to be distinguished from whether the arbitrators as contended for by </w:t>
      </w:r>
      <w:r w:rsidR="00843067">
        <w:rPr>
          <w:rFonts w:ascii="Arial" w:hAnsi="Arial" w:cs="Arial"/>
          <w:sz w:val="24"/>
          <w:szCs w:val="24"/>
        </w:rPr>
        <w:t>Mr Roux</w:t>
      </w:r>
      <w:r w:rsidR="00ED5D37">
        <w:rPr>
          <w:rFonts w:ascii="Arial" w:hAnsi="Arial" w:cs="Arial"/>
          <w:sz w:val="24"/>
          <w:szCs w:val="24"/>
        </w:rPr>
        <w:t>,</w:t>
      </w:r>
      <w:r w:rsidR="00F0332E">
        <w:rPr>
          <w:rFonts w:ascii="Arial" w:hAnsi="Arial" w:cs="Arial"/>
          <w:sz w:val="24"/>
          <w:szCs w:val="24"/>
        </w:rPr>
        <w:t xml:space="preserve"> </w:t>
      </w:r>
      <w:r w:rsidR="005C0211">
        <w:rPr>
          <w:rFonts w:ascii="Arial" w:hAnsi="Arial" w:cs="Arial"/>
          <w:sz w:val="24"/>
          <w:szCs w:val="24"/>
        </w:rPr>
        <w:t xml:space="preserve">on the facts of this matter </w:t>
      </w:r>
      <w:r w:rsidR="00ED5D37">
        <w:rPr>
          <w:rFonts w:ascii="Arial" w:hAnsi="Arial" w:cs="Arial"/>
          <w:sz w:val="24"/>
          <w:szCs w:val="24"/>
        </w:rPr>
        <w:t xml:space="preserve">and </w:t>
      </w:r>
      <w:r w:rsidR="00843067">
        <w:rPr>
          <w:rFonts w:ascii="Arial" w:hAnsi="Arial" w:cs="Arial"/>
          <w:sz w:val="24"/>
          <w:szCs w:val="24"/>
        </w:rPr>
        <w:t xml:space="preserve"> </w:t>
      </w:r>
      <w:r w:rsidR="006C782C">
        <w:rPr>
          <w:rFonts w:ascii="Arial" w:hAnsi="Arial" w:cs="Arial"/>
          <w:sz w:val="24"/>
          <w:szCs w:val="24"/>
        </w:rPr>
        <w:t>in the contex</w:t>
      </w:r>
      <w:r>
        <w:rPr>
          <w:rFonts w:ascii="Arial" w:hAnsi="Arial" w:cs="Arial"/>
          <w:sz w:val="24"/>
          <w:szCs w:val="24"/>
        </w:rPr>
        <w:t>t of an employment relationship</w:t>
      </w:r>
      <w:r w:rsidR="00843067">
        <w:rPr>
          <w:rFonts w:ascii="Arial" w:hAnsi="Arial" w:cs="Arial"/>
          <w:sz w:val="24"/>
          <w:szCs w:val="24"/>
        </w:rPr>
        <w:t xml:space="preserve"> the arbitrator</w:t>
      </w:r>
      <w:r w:rsidR="00ED5D37">
        <w:rPr>
          <w:rFonts w:ascii="Arial" w:hAnsi="Arial" w:cs="Arial"/>
          <w:sz w:val="24"/>
          <w:szCs w:val="24"/>
        </w:rPr>
        <w:t>s</w:t>
      </w:r>
      <w:r w:rsidR="005C0211">
        <w:rPr>
          <w:rFonts w:ascii="Arial" w:hAnsi="Arial" w:cs="Arial"/>
          <w:sz w:val="24"/>
          <w:szCs w:val="24"/>
        </w:rPr>
        <w:t xml:space="preserve"> </w:t>
      </w:r>
      <w:r w:rsidR="00B73D99">
        <w:rPr>
          <w:rFonts w:ascii="Arial" w:hAnsi="Arial" w:cs="Arial"/>
          <w:sz w:val="24"/>
          <w:szCs w:val="24"/>
        </w:rPr>
        <w:t>committed  gross irregularit</w:t>
      </w:r>
      <w:r w:rsidR="00E40531">
        <w:rPr>
          <w:rFonts w:ascii="Arial" w:hAnsi="Arial" w:cs="Arial"/>
          <w:sz w:val="24"/>
          <w:szCs w:val="24"/>
        </w:rPr>
        <w:t>ies</w:t>
      </w:r>
      <w:r w:rsidR="00B73D99">
        <w:rPr>
          <w:rFonts w:ascii="Arial" w:hAnsi="Arial" w:cs="Arial"/>
          <w:sz w:val="24"/>
          <w:szCs w:val="24"/>
        </w:rPr>
        <w:t xml:space="preserve"> </w:t>
      </w:r>
      <w:r w:rsidR="006C782C">
        <w:rPr>
          <w:rFonts w:ascii="Arial" w:hAnsi="Arial" w:cs="Arial"/>
          <w:sz w:val="24"/>
          <w:szCs w:val="24"/>
        </w:rPr>
        <w:t>on the question of onus</w:t>
      </w:r>
      <w:r w:rsidR="002009A6">
        <w:rPr>
          <w:rFonts w:ascii="Arial" w:hAnsi="Arial" w:cs="Arial"/>
          <w:sz w:val="24"/>
          <w:szCs w:val="24"/>
        </w:rPr>
        <w:t>,</w:t>
      </w:r>
      <w:r w:rsidR="00CA6218">
        <w:rPr>
          <w:rFonts w:ascii="Arial" w:hAnsi="Arial" w:cs="Arial"/>
          <w:sz w:val="24"/>
          <w:szCs w:val="24"/>
        </w:rPr>
        <w:t xml:space="preserve"> </w:t>
      </w:r>
      <w:r w:rsidR="002009A6">
        <w:rPr>
          <w:rFonts w:ascii="Arial" w:hAnsi="Arial" w:cs="Arial"/>
          <w:sz w:val="24"/>
          <w:szCs w:val="24"/>
        </w:rPr>
        <w:t>that o</w:t>
      </w:r>
      <w:r w:rsidR="00E40531">
        <w:rPr>
          <w:rFonts w:ascii="Arial" w:hAnsi="Arial" w:cs="Arial"/>
          <w:sz w:val="24"/>
          <w:szCs w:val="24"/>
        </w:rPr>
        <w:t>n</w:t>
      </w:r>
      <w:r w:rsidR="002009A6">
        <w:rPr>
          <w:rFonts w:ascii="Arial" w:hAnsi="Arial" w:cs="Arial"/>
          <w:sz w:val="24"/>
          <w:szCs w:val="24"/>
        </w:rPr>
        <w:t xml:space="preserve"> the special damages challenge and</w:t>
      </w:r>
      <w:r w:rsidR="00ED5D37">
        <w:rPr>
          <w:rFonts w:ascii="Arial" w:hAnsi="Arial" w:cs="Arial"/>
          <w:sz w:val="24"/>
          <w:szCs w:val="24"/>
        </w:rPr>
        <w:t xml:space="preserve"> in the alternative </w:t>
      </w:r>
      <w:r w:rsidR="00B73D99">
        <w:rPr>
          <w:rFonts w:ascii="Arial" w:hAnsi="Arial" w:cs="Arial"/>
          <w:sz w:val="24"/>
          <w:szCs w:val="24"/>
        </w:rPr>
        <w:t>by simply having failed</w:t>
      </w:r>
      <w:r w:rsidR="005C0211">
        <w:rPr>
          <w:rFonts w:ascii="Arial" w:hAnsi="Arial" w:cs="Arial"/>
          <w:sz w:val="24"/>
          <w:szCs w:val="24"/>
        </w:rPr>
        <w:t xml:space="preserve"> </w:t>
      </w:r>
      <w:r w:rsidR="00B73D99">
        <w:rPr>
          <w:rFonts w:ascii="Arial" w:hAnsi="Arial" w:cs="Arial"/>
          <w:sz w:val="24"/>
          <w:szCs w:val="24"/>
        </w:rPr>
        <w:t>to consider whether the common law had to be developed in terms of section 39(2) of the Constitution</w:t>
      </w:r>
      <w:r w:rsidR="00E24DC2">
        <w:rPr>
          <w:rStyle w:val="FootnoteReference"/>
          <w:rFonts w:ascii="Arial" w:hAnsi="Arial" w:cs="Arial"/>
          <w:sz w:val="24"/>
          <w:szCs w:val="24"/>
        </w:rPr>
        <w:footnoteReference w:id="18"/>
      </w:r>
      <w:r w:rsidR="00E24DC2">
        <w:rPr>
          <w:rFonts w:ascii="Arial" w:hAnsi="Arial" w:cs="Arial"/>
          <w:sz w:val="24"/>
          <w:szCs w:val="24"/>
        </w:rPr>
        <w:t>.</w:t>
      </w:r>
    </w:p>
    <w:p w14:paraId="72F9E48A" w14:textId="31AC3287" w:rsidR="00336932" w:rsidRDefault="00AC6825" w:rsidP="00A14325">
      <w:pPr>
        <w:pStyle w:val="BowLevel2ListAlt"/>
        <w:numPr>
          <w:ilvl w:val="0"/>
          <w:numId w:val="0"/>
        </w:numPr>
        <w:spacing w:before="240" w:after="240"/>
        <w:ind w:left="720" w:hanging="720"/>
        <w:rPr>
          <w:rFonts w:ascii="Arial" w:hAnsi="Arial" w:cs="Arial"/>
          <w:sz w:val="24"/>
          <w:szCs w:val="24"/>
        </w:rPr>
      </w:pPr>
      <w:r>
        <w:rPr>
          <w:rFonts w:ascii="Arial" w:hAnsi="Arial" w:cs="Arial"/>
          <w:sz w:val="24"/>
          <w:szCs w:val="24"/>
        </w:rPr>
        <w:t>[</w:t>
      </w:r>
      <w:r w:rsidR="000C4546">
        <w:rPr>
          <w:rFonts w:ascii="Arial" w:hAnsi="Arial" w:cs="Arial"/>
          <w:sz w:val="24"/>
          <w:szCs w:val="24"/>
        </w:rPr>
        <w:t>5</w:t>
      </w:r>
      <w:r w:rsidR="000B734A">
        <w:rPr>
          <w:rFonts w:ascii="Arial" w:hAnsi="Arial" w:cs="Arial"/>
          <w:sz w:val="24"/>
          <w:szCs w:val="24"/>
        </w:rPr>
        <w:t>3</w:t>
      </w:r>
      <w:r>
        <w:rPr>
          <w:rFonts w:ascii="Arial" w:hAnsi="Arial" w:cs="Arial"/>
          <w:sz w:val="24"/>
          <w:szCs w:val="24"/>
        </w:rPr>
        <w:t>]</w:t>
      </w:r>
      <w:r>
        <w:rPr>
          <w:rFonts w:ascii="Arial" w:hAnsi="Arial" w:cs="Arial"/>
          <w:sz w:val="24"/>
          <w:szCs w:val="24"/>
        </w:rPr>
        <w:tab/>
      </w:r>
      <w:r w:rsidR="0011144A">
        <w:rPr>
          <w:rFonts w:ascii="Arial" w:hAnsi="Arial" w:cs="Arial"/>
          <w:sz w:val="24"/>
          <w:szCs w:val="24"/>
        </w:rPr>
        <w:t>I</w:t>
      </w:r>
      <w:r w:rsidR="00336932">
        <w:rPr>
          <w:rFonts w:ascii="Arial" w:hAnsi="Arial" w:cs="Arial"/>
          <w:sz w:val="24"/>
          <w:szCs w:val="24"/>
        </w:rPr>
        <w:t xml:space="preserve">n </w:t>
      </w:r>
      <w:r w:rsidR="00336932" w:rsidRPr="00553925">
        <w:rPr>
          <w:rFonts w:ascii="Arial" w:hAnsi="Arial" w:cs="Arial"/>
          <w:i/>
          <w:sz w:val="24"/>
          <w:szCs w:val="24"/>
        </w:rPr>
        <w:t>Telcordia</w:t>
      </w:r>
      <w:r w:rsidR="002009A6">
        <w:rPr>
          <w:rFonts w:ascii="Arial" w:hAnsi="Arial" w:cs="Arial"/>
          <w:sz w:val="24"/>
          <w:szCs w:val="24"/>
        </w:rPr>
        <w:t xml:space="preserve"> </w:t>
      </w:r>
      <w:r w:rsidR="0011144A">
        <w:rPr>
          <w:rFonts w:ascii="Arial" w:hAnsi="Arial" w:cs="Arial"/>
          <w:sz w:val="24"/>
          <w:szCs w:val="24"/>
        </w:rPr>
        <w:t xml:space="preserve">Harms JA </w:t>
      </w:r>
      <w:r w:rsidR="00336932">
        <w:rPr>
          <w:rFonts w:ascii="Arial" w:hAnsi="Arial" w:cs="Arial"/>
          <w:sz w:val="24"/>
          <w:szCs w:val="24"/>
        </w:rPr>
        <w:t xml:space="preserve">makes the point on which </w:t>
      </w:r>
      <w:r w:rsidR="002009A6">
        <w:rPr>
          <w:rFonts w:ascii="Arial" w:hAnsi="Arial" w:cs="Arial"/>
          <w:sz w:val="24"/>
          <w:szCs w:val="24"/>
        </w:rPr>
        <w:t xml:space="preserve">counsel for Mr Roux principally </w:t>
      </w:r>
      <w:r w:rsidR="00F0332E">
        <w:rPr>
          <w:rFonts w:ascii="Arial" w:hAnsi="Arial" w:cs="Arial"/>
          <w:sz w:val="24"/>
          <w:szCs w:val="24"/>
        </w:rPr>
        <w:t xml:space="preserve">relied </w:t>
      </w:r>
      <w:r w:rsidR="00B73D99">
        <w:rPr>
          <w:rFonts w:ascii="Arial" w:hAnsi="Arial" w:cs="Arial"/>
          <w:sz w:val="24"/>
          <w:szCs w:val="24"/>
        </w:rPr>
        <w:t>upon</w:t>
      </w:r>
      <w:r w:rsidR="00336932">
        <w:rPr>
          <w:rFonts w:ascii="Arial" w:hAnsi="Arial" w:cs="Arial"/>
          <w:sz w:val="24"/>
          <w:szCs w:val="24"/>
        </w:rPr>
        <w:t xml:space="preserve"> in these proceedings:</w:t>
      </w:r>
    </w:p>
    <w:p w14:paraId="77C1700D" w14:textId="77777777" w:rsidR="00336932" w:rsidRPr="0083162E" w:rsidRDefault="00336932" w:rsidP="0065329A">
      <w:pPr>
        <w:spacing w:line="360" w:lineRule="auto"/>
        <w:ind w:left="720"/>
        <w:jc w:val="both"/>
        <w:rPr>
          <w:sz w:val="22"/>
          <w:szCs w:val="22"/>
        </w:rPr>
      </w:pPr>
      <w:r w:rsidRPr="0083162E">
        <w:rPr>
          <w:sz w:val="22"/>
          <w:szCs w:val="22"/>
        </w:rPr>
        <w:t>‘[69]</w:t>
      </w:r>
      <w:r w:rsidRPr="0083162E">
        <w:rPr>
          <w:sz w:val="22"/>
          <w:szCs w:val="22"/>
        </w:rPr>
        <w:tab/>
        <w:t xml:space="preserve">Errors of law can, no doubt, lead to gross irregularities in the conduct of the proceedings. </w:t>
      </w:r>
      <w:r w:rsidRPr="00616A4B">
        <w:rPr>
          <w:i/>
          <w:sz w:val="22"/>
          <w:szCs w:val="22"/>
        </w:rPr>
        <w:t>Telcordia</w:t>
      </w:r>
      <w:r w:rsidRPr="0083162E">
        <w:rPr>
          <w:sz w:val="22"/>
          <w:szCs w:val="22"/>
        </w:rPr>
        <w:t xml:space="preserve"> posed the example where an arbitrator, because of a misunderstanding of the audi principle, refuses to hear the one party. Although in such a case the error of law gives rise to the irregularity, the reviewable irregularity would be the refusal to hear that party, and not the error of law. Likewise, an error of law may lead an arbitrator to exceed his powers or to misconceive the nature of the inquiry and his duties in connection therewith.’</w:t>
      </w:r>
    </w:p>
    <w:p w14:paraId="52F49A15" w14:textId="68C79CEB" w:rsidR="00336932" w:rsidRDefault="0083162E" w:rsidP="00AC6825">
      <w:pPr>
        <w:pStyle w:val="BowLevel2ListAlt"/>
        <w:numPr>
          <w:ilvl w:val="0"/>
          <w:numId w:val="0"/>
        </w:numPr>
        <w:spacing w:before="240" w:after="240"/>
        <w:ind w:left="630" w:hanging="630"/>
        <w:rPr>
          <w:rFonts w:ascii="Arial" w:hAnsi="Arial" w:cs="Arial"/>
          <w:sz w:val="24"/>
          <w:szCs w:val="24"/>
        </w:rPr>
      </w:pPr>
      <w:r>
        <w:rPr>
          <w:rFonts w:ascii="Arial" w:hAnsi="Arial" w:cs="Arial"/>
          <w:sz w:val="24"/>
          <w:szCs w:val="24"/>
        </w:rPr>
        <w:lastRenderedPageBreak/>
        <w:t>[</w:t>
      </w:r>
      <w:r w:rsidR="007968A5">
        <w:rPr>
          <w:rFonts w:ascii="Arial" w:hAnsi="Arial" w:cs="Arial"/>
          <w:sz w:val="24"/>
          <w:szCs w:val="24"/>
        </w:rPr>
        <w:t>5</w:t>
      </w:r>
      <w:r w:rsidR="000B734A">
        <w:rPr>
          <w:rFonts w:ascii="Arial" w:hAnsi="Arial" w:cs="Arial"/>
          <w:sz w:val="24"/>
          <w:szCs w:val="24"/>
        </w:rPr>
        <w:t>4</w:t>
      </w:r>
      <w:r>
        <w:rPr>
          <w:rFonts w:ascii="Arial" w:hAnsi="Arial" w:cs="Arial"/>
          <w:sz w:val="24"/>
          <w:szCs w:val="24"/>
        </w:rPr>
        <w:t>]</w:t>
      </w:r>
      <w:r>
        <w:rPr>
          <w:rFonts w:ascii="Arial" w:hAnsi="Arial" w:cs="Arial"/>
          <w:sz w:val="24"/>
          <w:szCs w:val="24"/>
        </w:rPr>
        <w:tab/>
        <w:t xml:space="preserve">In that regard </w:t>
      </w:r>
      <w:r w:rsidR="00E27333">
        <w:rPr>
          <w:rFonts w:ascii="Arial" w:hAnsi="Arial" w:cs="Arial"/>
          <w:sz w:val="24"/>
          <w:szCs w:val="24"/>
        </w:rPr>
        <w:t>Harms JA</w:t>
      </w:r>
      <w:r>
        <w:rPr>
          <w:rFonts w:ascii="Arial" w:hAnsi="Arial" w:cs="Arial"/>
          <w:sz w:val="24"/>
          <w:szCs w:val="24"/>
        </w:rPr>
        <w:t xml:space="preserve"> referred to the judgments of Greenberg and Schreiner JJ in the matter of </w:t>
      </w:r>
      <w:r w:rsidRPr="0083162E">
        <w:rPr>
          <w:rFonts w:ascii="Arial" w:hAnsi="Arial" w:cs="Arial"/>
          <w:i/>
          <w:sz w:val="24"/>
          <w:szCs w:val="24"/>
        </w:rPr>
        <w:t>Goldfields Investment Ltd v City Council of Johannesburg</w:t>
      </w:r>
      <w:r>
        <w:rPr>
          <w:rFonts w:ascii="Arial" w:hAnsi="Arial" w:cs="Arial"/>
          <w:sz w:val="24"/>
          <w:szCs w:val="24"/>
        </w:rPr>
        <w:t xml:space="preserve"> 1938 TPD 551. </w:t>
      </w:r>
      <w:r w:rsidR="001279FE">
        <w:rPr>
          <w:rFonts w:ascii="Arial" w:hAnsi="Arial" w:cs="Arial"/>
          <w:sz w:val="24"/>
          <w:szCs w:val="24"/>
        </w:rPr>
        <w:t>That matter dealt with the review of a</w:t>
      </w:r>
      <w:r w:rsidR="00E27333">
        <w:rPr>
          <w:rFonts w:ascii="Arial" w:hAnsi="Arial" w:cs="Arial"/>
          <w:sz w:val="24"/>
          <w:szCs w:val="24"/>
        </w:rPr>
        <w:t xml:space="preserve"> decision of a</w:t>
      </w:r>
      <w:r w:rsidR="001279FE">
        <w:rPr>
          <w:rFonts w:ascii="Arial" w:hAnsi="Arial" w:cs="Arial"/>
          <w:sz w:val="24"/>
          <w:szCs w:val="24"/>
        </w:rPr>
        <w:t xml:space="preserve"> lower court on the statutory ground of </w:t>
      </w:r>
      <w:r w:rsidR="0011144A">
        <w:rPr>
          <w:rFonts w:ascii="Arial" w:hAnsi="Arial" w:cs="Arial"/>
          <w:sz w:val="24"/>
          <w:szCs w:val="24"/>
        </w:rPr>
        <w:t>“</w:t>
      </w:r>
      <w:r w:rsidR="001279FE">
        <w:rPr>
          <w:rFonts w:ascii="Arial" w:hAnsi="Arial" w:cs="Arial"/>
          <w:sz w:val="24"/>
          <w:szCs w:val="24"/>
        </w:rPr>
        <w:t>gross irregularity</w:t>
      </w:r>
      <w:r w:rsidR="0011144A">
        <w:rPr>
          <w:rFonts w:ascii="Arial" w:hAnsi="Arial" w:cs="Arial"/>
          <w:sz w:val="24"/>
          <w:szCs w:val="24"/>
        </w:rPr>
        <w:t>”</w:t>
      </w:r>
      <w:r w:rsidR="001279FE">
        <w:rPr>
          <w:rFonts w:ascii="Arial" w:hAnsi="Arial" w:cs="Arial"/>
          <w:sz w:val="24"/>
          <w:szCs w:val="24"/>
        </w:rPr>
        <w:t xml:space="preserve"> where it held that the term</w:t>
      </w:r>
      <w:r w:rsidR="00F0332E">
        <w:rPr>
          <w:rFonts w:ascii="Arial" w:hAnsi="Arial" w:cs="Arial"/>
          <w:sz w:val="24"/>
          <w:szCs w:val="24"/>
        </w:rPr>
        <w:t xml:space="preserve"> gross irregularity</w:t>
      </w:r>
      <w:r w:rsidR="001279FE">
        <w:rPr>
          <w:rFonts w:ascii="Arial" w:hAnsi="Arial" w:cs="Arial"/>
          <w:sz w:val="24"/>
          <w:szCs w:val="24"/>
        </w:rPr>
        <w:t xml:space="preserve"> encompasse</w:t>
      </w:r>
      <w:r w:rsidR="00E27333">
        <w:rPr>
          <w:rFonts w:ascii="Arial" w:hAnsi="Arial" w:cs="Arial"/>
          <w:sz w:val="24"/>
          <w:szCs w:val="24"/>
        </w:rPr>
        <w:t xml:space="preserve">d the situation where the decision </w:t>
      </w:r>
      <w:r w:rsidR="008272F1">
        <w:rPr>
          <w:rFonts w:ascii="Arial" w:hAnsi="Arial" w:cs="Arial"/>
          <w:sz w:val="24"/>
          <w:szCs w:val="24"/>
        </w:rPr>
        <w:t>maker had misconceived the whole nature of the enquiry or his duties in connection therewith.</w:t>
      </w:r>
      <w:r w:rsidR="000F0075">
        <w:rPr>
          <w:rFonts w:ascii="Arial" w:hAnsi="Arial" w:cs="Arial"/>
          <w:sz w:val="24"/>
          <w:szCs w:val="24"/>
        </w:rPr>
        <w:t xml:space="preserve"> </w:t>
      </w:r>
      <w:r w:rsidR="0072204C">
        <w:rPr>
          <w:rFonts w:ascii="Arial" w:hAnsi="Arial" w:cs="Arial"/>
          <w:sz w:val="24"/>
          <w:szCs w:val="24"/>
        </w:rPr>
        <w:t>Harms JA noted that</w:t>
      </w:r>
      <w:r w:rsidR="0011144A">
        <w:rPr>
          <w:rFonts w:ascii="Arial" w:hAnsi="Arial" w:cs="Arial"/>
          <w:sz w:val="24"/>
          <w:szCs w:val="24"/>
        </w:rPr>
        <w:t xml:space="preserve"> </w:t>
      </w:r>
      <w:r w:rsidR="0072204C">
        <w:rPr>
          <w:rFonts w:ascii="Arial" w:hAnsi="Arial" w:cs="Arial"/>
          <w:sz w:val="24"/>
          <w:szCs w:val="24"/>
        </w:rPr>
        <w:t>i</w:t>
      </w:r>
      <w:r w:rsidR="0011144A">
        <w:rPr>
          <w:rFonts w:ascii="Arial" w:hAnsi="Arial" w:cs="Arial"/>
          <w:sz w:val="24"/>
          <w:szCs w:val="24"/>
        </w:rPr>
        <w:t>n the light of the general acceptance of the rule, also by th</w:t>
      </w:r>
      <w:r w:rsidR="00ED5D37">
        <w:rPr>
          <w:rFonts w:ascii="Arial" w:hAnsi="Arial" w:cs="Arial"/>
          <w:sz w:val="24"/>
          <w:szCs w:val="24"/>
        </w:rPr>
        <w:t>at</w:t>
      </w:r>
      <w:r w:rsidR="0011144A">
        <w:rPr>
          <w:rFonts w:ascii="Arial" w:hAnsi="Arial" w:cs="Arial"/>
          <w:sz w:val="24"/>
          <w:szCs w:val="24"/>
        </w:rPr>
        <w:t xml:space="preserve"> court, a reconsideration of its validity did not arise.</w:t>
      </w:r>
      <w:r w:rsidR="00AC6825">
        <w:rPr>
          <w:rFonts w:ascii="Arial" w:hAnsi="Arial" w:cs="Arial"/>
          <w:sz w:val="24"/>
          <w:szCs w:val="24"/>
        </w:rPr>
        <w:t xml:space="preserve"> </w:t>
      </w:r>
      <w:r w:rsidR="002009A6">
        <w:rPr>
          <w:rFonts w:ascii="Arial" w:hAnsi="Arial" w:cs="Arial"/>
          <w:sz w:val="24"/>
          <w:szCs w:val="24"/>
        </w:rPr>
        <w:t xml:space="preserve">He added </w:t>
      </w:r>
      <w:r w:rsidR="001279FE">
        <w:rPr>
          <w:rFonts w:ascii="Arial" w:hAnsi="Arial" w:cs="Arial"/>
          <w:sz w:val="24"/>
          <w:szCs w:val="24"/>
        </w:rPr>
        <w:t>that did not end the enquiry because it was apparent</w:t>
      </w:r>
      <w:r w:rsidR="002009A6">
        <w:rPr>
          <w:rFonts w:ascii="Arial" w:hAnsi="Arial" w:cs="Arial"/>
          <w:sz w:val="24"/>
          <w:szCs w:val="24"/>
        </w:rPr>
        <w:t xml:space="preserve"> in that matter </w:t>
      </w:r>
      <w:r w:rsidR="001279FE">
        <w:rPr>
          <w:rFonts w:ascii="Arial" w:hAnsi="Arial" w:cs="Arial"/>
          <w:sz w:val="24"/>
          <w:szCs w:val="24"/>
        </w:rPr>
        <w:t>that both</w:t>
      </w:r>
      <w:r w:rsidR="00ED5D37">
        <w:rPr>
          <w:rFonts w:ascii="Arial" w:hAnsi="Arial" w:cs="Arial"/>
          <w:sz w:val="24"/>
          <w:szCs w:val="24"/>
        </w:rPr>
        <w:t xml:space="preserve"> the</w:t>
      </w:r>
      <w:r w:rsidR="001279FE">
        <w:rPr>
          <w:rFonts w:ascii="Arial" w:hAnsi="Arial" w:cs="Arial"/>
          <w:sz w:val="24"/>
          <w:szCs w:val="24"/>
        </w:rPr>
        <w:t xml:space="preserve"> High Court and Telkom had misunderstood the rule and misapplied it. He thereupon deal</w:t>
      </w:r>
      <w:r w:rsidR="00F0332E">
        <w:rPr>
          <w:rFonts w:ascii="Arial" w:hAnsi="Arial" w:cs="Arial"/>
          <w:sz w:val="24"/>
          <w:szCs w:val="24"/>
        </w:rPr>
        <w:t xml:space="preserve">t </w:t>
      </w:r>
      <w:r w:rsidR="001279FE">
        <w:rPr>
          <w:rFonts w:ascii="Arial" w:hAnsi="Arial" w:cs="Arial"/>
          <w:sz w:val="24"/>
          <w:szCs w:val="24"/>
        </w:rPr>
        <w:t xml:space="preserve">with an analysis </w:t>
      </w:r>
      <w:r w:rsidR="002009A6">
        <w:rPr>
          <w:rFonts w:ascii="Arial" w:hAnsi="Arial" w:cs="Arial"/>
          <w:sz w:val="24"/>
          <w:szCs w:val="24"/>
        </w:rPr>
        <w:t xml:space="preserve">of </w:t>
      </w:r>
      <w:r w:rsidR="001279FE">
        <w:rPr>
          <w:rFonts w:ascii="Arial" w:hAnsi="Arial" w:cs="Arial"/>
          <w:sz w:val="24"/>
          <w:szCs w:val="24"/>
        </w:rPr>
        <w:t>the case law and consider</w:t>
      </w:r>
      <w:r w:rsidR="00F0332E">
        <w:rPr>
          <w:rFonts w:ascii="Arial" w:hAnsi="Arial" w:cs="Arial"/>
          <w:sz w:val="24"/>
          <w:szCs w:val="24"/>
        </w:rPr>
        <w:t xml:space="preserve">ed </w:t>
      </w:r>
      <w:r w:rsidR="001279FE">
        <w:rPr>
          <w:rFonts w:ascii="Arial" w:hAnsi="Arial" w:cs="Arial"/>
          <w:sz w:val="24"/>
          <w:szCs w:val="24"/>
        </w:rPr>
        <w:t>whether the arbitrator’s alleged misconceptions fell within the rule.</w:t>
      </w:r>
    </w:p>
    <w:p w14:paraId="0CC7FF1C" w14:textId="762ECED4" w:rsidR="001279FE" w:rsidRDefault="00AC6825" w:rsidP="00AC6825">
      <w:pPr>
        <w:pStyle w:val="BowLevel2ListAlt"/>
        <w:numPr>
          <w:ilvl w:val="0"/>
          <w:numId w:val="0"/>
        </w:numPr>
        <w:spacing w:before="240" w:after="240"/>
        <w:ind w:left="630" w:hanging="630"/>
        <w:rPr>
          <w:rFonts w:ascii="Arial" w:hAnsi="Arial" w:cs="Arial"/>
          <w:sz w:val="24"/>
          <w:szCs w:val="24"/>
        </w:rPr>
      </w:pPr>
      <w:r>
        <w:rPr>
          <w:rFonts w:ascii="Arial" w:hAnsi="Arial" w:cs="Arial"/>
          <w:sz w:val="24"/>
          <w:szCs w:val="24"/>
        </w:rPr>
        <w:t>[5</w:t>
      </w:r>
      <w:r w:rsidR="000B734A">
        <w:rPr>
          <w:rFonts w:ascii="Arial" w:hAnsi="Arial" w:cs="Arial"/>
          <w:sz w:val="24"/>
          <w:szCs w:val="24"/>
        </w:rPr>
        <w:t>5</w:t>
      </w:r>
      <w:r w:rsidR="001279FE">
        <w:rPr>
          <w:rFonts w:ascii="Arial" w:hAnsi="Arial" w:cs="Arial"/>
          <w:sz w:val="24"/>
          <w:szCs w:val="24"/>
        </w:rPr>
        <w:t>]</w:t>
      </w:r>
      <w:r w:rsidR="001279FE">
        <w:rPr>
          <w:rFonts w:ascii="Arial" w:hAnsi="Arial" w:cs="Arial"/>
          <w:sz w:val="24"/>
          <w:szCs w:val="24"/>
        </w:rPr>
        <w:tab/>
      </w:r>
      <w:r w:rsidR="002009A6">
        <w:rPr>
          <w:rFonts w:ascii="Arial" w:hAnsi="Arial" w:cs="Arial"/>
          <w:sz w:val="24"/>
          <w:szCs w:val="24"/>
        </w:rPr>
        <w:t>In that regard</w:t>
      </w:r>
      <w:r>
        <w:rPr>
          <w:rFonts w:ascii="Arial" w:hAnsi="Arial" w:cs="Arial"/>
          <w:sz w:val="24"/>
          <w:szCs w:val="24"/>
        </w:rPr>
        <w:t xml:space="preserve"> </w:t>
      </w:r>
      <w:r w:rsidR="00600422">
        <w:rPr>
          <w:rFonts w:ascii="Arial" w:hAnsi="Arial" w:cs="Arial"/>
          <w:sz w:val="24"/>
          <w:szCs w:val="24"/>
        </w:rPr>
        <w:t xml:space="preserve">he </w:t>
      </w:r>
      <w:r w:rsidR="0072204C">
        <w:rPr>
          <w:rFonts w:ascii="Arial" w:hAnsi="Arial" w:cs="Arial"/>
          <w:sz w:val="24"/>
          <w:szCs w:val="24"/>
        </w:rPr>
        <w:t xml:space="preserve">began with </w:t>
      </w:r>
      <w:r>
        <w:rPr>
          <w:rFonts w:ascii="Arial" w:hAnsi="Arial" w:cs="Arial"/>
          <w:sz w:val="24"/>
          <w:szCs w:val="24"/>
        </w:rPr>
        <w:t xml:space="preserve"> the s</w:t>
      </w:r>
      <w:r w:rsidR="001279FE">
        <w:rPr>
          <w:rFonts w:ascii="Arial" w:hAnsi="Arial" w:cs="Arial"/>
          <w:sz w:val="24"/>
          <w:szCs w:val="24"/>
        </w:rPr>
        <w:t xml:space="preserve">tatement of Mason J in </w:t>
      </w:r>
      <w:r w:rsidR="001279FE" w:rsidRPr="00AC6825">
        <w:rPr>
          <w:rFonts w:ascii="Arial" w:hAnsi="Arial" w:cs="Arial"/>
          <w:i/>
          <w:sz w:val="24"/>
          <w:szCs w:val="24"/>
        </w:rPr>
        <w:t>Ellis v Morgan</w:t>
      </w:r>
      <w:r w:rsidR="001C31E3">
        <w:rPr>
          <w:rStyle w:val="FootnoteReference"/>
          <w:rFonts w:ascii="Arial" w:hAnsi="Arial" w:cs="Arial"/>
          <w:i/>
          <w:sz w:val="24"/>
          <w:szCs w:val="24"/>
        </w:rPr>
        <w:footnoteReference w:id="19"/>
      </w:r>
      <w:r w:rsidR="001279FE">
        <w:rPr>
          <w:rFonts w:ascii="Arial" w:hAnsi="Arial" w:cs="Arial"/>
          <w:sz w:val="24"/>
          <w:szCs w:val="24"/>
        </w:rPr>
        <w:t xml:space="preserve"> which laid down the basic principle in the </w:t>
      </w:r>
      <w:r w:rsidR="00D70054">
        <w:rPr>
          <w:rFonts w:ascii="Arial" w:hAnsi="Arial" w:cs="Arial"/>
          <w:sz w:val="24"/>
          <w:szCs w:val="24"/>
        </w:rPr>
        <w:t>following terms</w:t>
      </w:r>
      <w:r w:rsidR="00E40531">
        <w:rPr>
          <w:rFonts w:ascii="Arial" w:hAnsi="Arial" w:cs="Arial"/>
          <w:sz w:val="24"/>
          <w:szCs w:val="24"/>
        </w:rPr>
        <w:t>;</w:t>
      </w:r>
    </w:p>
    <w:p w14:paraId="48E3B7EC" w14:textId="29636481" w:rsidR="002A1F48" w:rsidRPr="00D11106" w:rsidRDefault="00600422" w:rsidP="00F0439C">
      <w:pPr>
        <w:spacing w:line="360" w:lineRule="auto"/>
        <w:ind w:left="1440" w:hanging="810"/>
        <w:jc w:val="both"/>
        <w:rPr>
          <w:sz w:val="22"/>
          <w:szCs w:val="22"/>
        </w:rPr>
      </w:pPr>
      <w:r w:rsidRPr="00D11106">
        <w:rPr>
          <w:sz w:val="22"/>
          <w:szCs w:val="22"/>
        </w:rPr>
        <w:t>“73.</w:t>
      </w:r>
      <w:r w:rsidRPr="00D11106">
        <w:rPr>
          <w:sz w:val="22"/>
          <w:szCs w:val="22"/>
        </w:rPr>
        <w:tab/>
      </w:r>
      <w:r w:rsidR="00F0332E" w:rsidRPr="00D11106">
        <w:rPr>
          <w:sz w:val="22"/>
          <w:szCs w:val="22"/>
        </w:rPr>
        <w:t>T</w:t>
      </w:r>
      <w:r w:rsidR="00D70054" w:rsidRPr="00D11106">
        <w:rPr>
          <w:sz w:val="22"/>
          <w:szCs w:val="22"/>
        </w:rPr>
        <w:t xml:space="preserve">he </w:t>
      </w:r>
      <w:r w:rsidR="00D70054" w:rsidRPr="00D11106">
        <w:rPr>
          <w:i/>
          <w:sz w:val="22"/>
          <w:szCs w:val="22"/>
        </w:rPr>
        <w:t>Goldfields Investment</w:t>
      </w:r>
      <w:r w:rsidR="00D70054" w:rsidRPr="00D11106">
        <w:rPr>
          <w:sz w:val="22"/>
          <w:szCs w:val="22"/>
        </w:rPr>
        <w:t xml:space="preserve"> qualification to th</w:t>
      </w:r>
      <w:r w:rsidR="00EE2160" w:rsidRPr="00D11106">
        <w:rPr>
          <w:sz w:val="22"/>
          <w:szCs w:val="22"/>
        </w:rPr>
        <w:t>e</w:t>
      </w:r>
      <w:r w:rsidR="00D70054" w:rsidRPr="00D11106">
        <w:rPr>
          <w:sz w:val="22"/>
          <w:szCs w:val="22"/>
        </w:rPr>
        <w:t xml:space="preserve"> general principle </w:t>
      </w:r>
      <w:r w:rsidR="00EE2160" w:rsidRPr="00D11106">
        <w:rPr>
          <w:sz w:val="22"/>
          <w:szCs w:val="22"/>
        </w:rPr>
        <w:t xml:space="preserve">was illustrated in the </w:t>
      </w:r>
      <w:r w:rsidR="00D70054" w:rsidRPr="00D11106">
        <w:rPr>
          <w:sz w:val="22"/>
          <w:szCs w:val="22"/>
        </w:rPr>
        <w:t>situations</w:t>
      </w:r>
      <w:r w:rsidR="00F0332E" w:rsidRPr="00D11106">
        <w:rPr>
          <w:sz w:val="22"/>
          <w:szCs w:val="22"/>
        </w:rPr>
        <w:t xml:space="preserve"> </w:t>
      </w:r>
      <w:r w:rsidR="00D70054" w:rsidRPr="00D11106">
        <w:rPr>
          <w:sz w:val="22"/>
          <w:szCs w:val="22"/>
        </w:rPr>
        <w:t>whe</w:t>
      </w:r>
      <w:r w:rsidR="00EE2160" w:rsidRPr="00D11106">
        <w:rPr>
          <w:sz w:val="22"/>
          <w:szCs w:val="22"/>
        </w:rPr>
        <w:t xml:space="preserve">re </w:t>
      </w:r>
      <w:r w:rsidR="002A1F48" w:rsidRPr="00D11106">
        <w:rPr>
          <w:sz w:val="22"/>
          <w:szCs w:val="22"/>
        </w:rPr>
        <w:t>the decision-making body misconceive</w:t>
      </w:r>
      <w:r w:rsidR="00F0332E" w:rsidRPr="00D11106">
        <w:rPr>
          <w:sz w:val="22"/>
          <w:szCs w:val="22"/>
        </w:rPr>
        <w:t>d</w:t>
      </w:r>
      <w:r w:rsidR="002A1F48" w:rsidRPr="00D11106">
        <w:rPr>
          <w:sz w:val="22"/>
          <w:szCs w:val="22"/>
        </w:rPr>
        <w:t xml:space="preserve"> its mandate, whether statutory or consensual. By misconceiving the nature of the inquiry a hearing cannot in principle be fair because the body fails to perform its mandate. In that matter the magistrate had failed to appreciate that it was required not to deal with an appeal against a property evaluation as an ordinary appeal but one that involved the terms of the ordinance which required a rehearing with evidence. The magistrate refused to conduct a rehearing and limited the inquiry to a determination of the question as to whether the valuation had been ‘manifestly untenable’. That meant that the appellant did not have an appeal hearing to which it was entitled because the magistrate had failed to consider the issue prescribed by statute. In that regard it was found that the magistrate had asked himself ‘the wrong question’, that was, a question other than that which the Act directed him to ask. In that sense the hearing was held to be unfair. It was against that setting that the words of Schreiner J had to be understood: </w:t>
      </w:r>
    </w:p>
    <w:p w14:paraId="6313B6B1" w14:textId="77777777" w:rsidR="002A1F48" w:rsidRPr="00D11106" w:rsidRDefault="002A1F48" w:rsidP="002A1F48">
      <w:pPr>
        <w:spacing w:line="360" w:lineRule="auto"/>
        <w:jc w:val="both"/>
        <w:rPr>
          <w:sz w:val="22"/>
          <w:szCs w:val="22"/>
        </w:rPr>
      </w:pPr>
    </w:p>
    <w:p w14:paraId="06549BF7" w14:textId="13BF2307" w:rsidR="00E2652E" w:rsidRPr="0065329A" w:rsidRDefault="00E2652E" w:rsidP="00E2652E">
      <w:pPr>
        <w:spacing w:line="360" w:lineRule="auto"/>
        <w:ind w:left="630"/>
        <w:jc w:val="both"/>
        <w:rPr>
          <w:sz w:val="22"/>
          <w:szCs w:val="22"/>
        </w:rPr>
      </w:pPr>
      <w:r w:rsidRPr="0065329A">
        <w:rPr>
          <w:sz w:val="22"/>
          <w:szCs w:val="22"/>
        </w:rPr>
        <w:lastRenderedPageBreak/>
        <w:t xml:space="preserve">‘The law, as stated in Ellis v Morgan (supra) has been accepted in subsequent cases, and the passage which has been quoted from that case shows that it is not merely high-handed or arbitrary conduct which is described as a gross irregularity; behaviour which is perfectly well-intentioned and bona fide, though mistaken, may come under that description. The crucial question is whether it prevented a fair trial of the issues. If it did prevent a fair trial of the </w:t>
      </w:r>
      <w:r w:rsidR="000F0075" w:rsidRPr="0065329A">
        <w:rPr>
          <w:sz w:val="22"/>
          <w:szCs w:val="22"/>
        </w:rPr>
        <w:t>issues,</w:t>
      </w:r>
      <w:r w:rsidRPr="0065329A">
        <w:rPr>
          <w:sz w:val="22"/>
          <w:szCs w:val="22"/>
        </w:rPr>
        <w:t xml:space="preserve"> then it will amount to a gross irregularity. Many patent irregularities have this effect. And if from the magistrate’s reasons it appears that his mind was not in a state to enable him to try the case fairly this will amount to a latent gross irregularity. If, on the other hand, he merely comes to a wrong decision owing to his having made a mistake on a point of law in relation to the merits, this does not amount to gross irregularity. In matters relating to the merits the magistrate may err by taking a wrong one of several possible views, or he may err by mistaking or misunderstanding the point in issue. In the latter case it may be said that he is in a sense failing to address his mind to the true point to be decided and therefore failing to afford the parties a fair trial. But that is not necessarily the case. Where the point relates only to the merits of the case, it would be straining the language to describe it as a gross irregularity or a denial of a fair trial. One would say that the magistrate has decided the case fairly but has gone wrong on the law. But if the mistake leads to the Court’s not merely missing or misunderstanding a point of law on the merits, but to its misconceiving the whole nature of the inquiry, or of its duties in connection therewith, then it is in accordance with the ordinary use of language to say that the losing party has not had a fair trial. I agree that in the present case the facts fall within this latter class of case, and that the magistrate, owing to the erroneous view which he held as to his functions, really never dealt with the matter before him in the manner which was contemplated by the section. That being so, there was a gross irregularity, and the proceedings should be set aside.’ </w:t>
      </w:r>
    </w:p>
    <w:p w14:paraId="76F00946" w14:textId="7F2EC2AB" w:rsidR="00D70054" w:rsidRDefault="00AC6825" w:rsidP="00AC6825">
      <w:pPr>
        <w:pStyle w:val="BowLevel2ListAlt"/>
        <w:numPr>
          <w:ilvl w:val="0"/>
          <w:numId w:val="0"/>
        </w:numPr>
        <w:spacing w:before="240" w:after="240"/>
        <w:ind w:left="630" w:hanging="630"/>
        <w:rPr>
          <w:rFonts w:ascii="Arial" w:hAnsi="Arial" w:cs="Arial"/>
          <w:sz w:val="24"/>
          <w:szCs w:val="24"/>
        </w:rPr>
      </w:pPr>
      <w:r>
        <w:rPr>
          <w:rFonts w:ascii="Arial" w:hAnsi="Arial" w:cs="Arial"/>
          <w:sz w:val="24"/>
          <w:szCs w:val="24"/>
        </w:rPr>
        <w:t>[5</w:t>
      </w:r>
      <w:r w:rsidR="000B734A">
        <w:rPr>
          <w:rFonts w:ascii="Arial" w:hAnsi="Arial" w:cs="Arial"/>
          <w:sz w:val="24"/>
          <w:szCs w:val="24"/>
        </w:rPr>
        <w:t>6</w:t>
      </w:r>
      <w:r>
        <w:rPr>
          <w:rFonts w:ascii="Arial" w:hAnsi="Arial" w:cs="Arial"/>
          <w:sz w:val="24"/>
          <w:szCs w:val="24"/>
        </w:rPr>
        <w:t>]</w:t>
      </w:r>
      <w:r>
        <w:rPr>
          <w:rFonts w:ascii="Arial" w:hAnsi="Arial" w:cs="Arial"/>
          <w:sz w:val="24"/>
          <w:szCs w:val="24"/>
        </w:rPr>
        <w:tab/>
      </w:r>
      <w:r w:rsidR="00921EFF">
        <w:rPr>
          <w:rFonts w:ascii="Arial" w:hAnsi="Arial" w:cs="Arial"/>
          <w:sz w:val="24"/>
          <w:szCs w:val="24"/>
        </w:rPr>
        <w:t>The third exception to the general rule</w:t>
      </w:r>
      <w:r w:rsidR="0072204C">
        <w:rPr>
          <w:rFonts w:ascii="Arial" w:hAnsi="Arial" w:cs="Arial"/>
          <w:sz w:val="24"/>
          <w:szCs w:val="24"/>
        </w:rPr>
        <w:t xml:space="preserve"> discerned by Harms JA and</w:t>
      </w:r>
      <w:r w:rsidR="00921EFF">
        <w:rPr>
          <w:rFonts w:ascii="Arial" w:hAnsi="Arial" w:cs="Arial"/>
          <w:sz w:val="24"/>
          <w:szCs w:val="24"/>
        </w:rPr>
        <w:t xml:space="preserve"> relied upon by</w:t>
      </w:r>
      <w:r w:rsidR="009650D6">
        <w:rPr>
          <w:rFonts w:ascii="Arial" w:hAnsi="Arial" w:cs="Arial"/>
          <w:sz w:val="24"/>
          <w:szCs w:val="24"/>
        </w:rPr>
        <w:t xml:space="preserve"> counsel for Mr Roux was that</w:t>
      </w:r>
      <w:r w:rsidR="00EE2160">
        <w:rPr>
          <w:rFonts w:ascii="Arial" w:hAnsi="Arial" w:cs="Arial"/>
          <w:sz w:val="24"/>
          <w:szCs w:val="24"/>
        </w:rPr>
        <w:t xml:space="preserve"> </w:t>
      </w:r>
      <w:r w:rsidR="009650D6">
        <w:rPr>
          <w:rFonts w:ascii="Arial" w:hAnsi="Arial" w:cs="Arial"/>
          <w:sz w:val="24"/>
          <w:szCs w:val="24"/>
        </w:rPr>
        <w:t xml:space="preserve">related to orders made where a jurisdictional fact was missing or put differently </w:t>
      </w:r>
      <w:r w:rsidR="00F0439C">
        <w:rPr>
          <w:rFonts w:ascii="Arial" w:hAnsi="Arial" w:cs="Arial"/>
          <w:sz w:val="24"/>
          <w:szCs w:val="24"/>
        </w:rPr>
        <w:t>“</w:t>
      </w:r>
      <w:r w:rsidR="009650D6">
        <w:rPr>
          <w:rFonts w:ascii="Arial" w:hAnsi="Arial" w:cs="Arial"/>
          <w:sz w:val="24"/>
          <w:szCs w:val="24"/>
        </w:rPr>
        <w:t>a condition for the exercise of a jurisdictional fact had</w:t>
      </w:r>
      <w:r w:rsidR="009948A6">
        <w:rPr>
          <w:rFonts w:ascii="Arial" w:hAnsi="Arial" w:cs="Arial"/>
          <w:sz w:val="24"/>
          <w:szCs w:val="24"/>
        </w:rPr>
        <w:t xml:space="preserve"> not </w:t>
      </w:r>
      <w:r w:rsidR="009650D6">
        <w:rPr>
          <w:rFonts w:ascii="Arial" w:hAnsi="Arial" w:cs="Arial"/>
          <w:sz w:val="24"/>
          <w:szCs w:val="24"/>
        </w:rPr>
        <w:t>been satisfied</w:t>
      </w:r>
      <w:r w:rsidR="00F0439C">
        <w:rPr>
          <w:rFonts w:ascii="Arial" w:hAnsi="Arial" w:cs="Arial"/>
          <w:sz w:val="24"/>
          <w:szCs w:val="24"/>
        </w:rPr>
        <w:t>”</w:t>
      </w:r>
      <w:r w:rsidR="009650D6">
        <w:rPr>
          <w:rFonts w:ascii="Arial" w:hAnsi="Arial" w:cs="Arial"/>
          <w:sz w:val="24"/>
          <w:szCs w:val="24"/>
        </w:rPr>
        <w:t xml:space="preserve">. In that regard </w:t>
      </w:r>
      <w:r w:rsidR="001C31E3">
        <w:rPr>
          <w:rFonts w:ascii="Arial" w:hAnsi="Arial" w:cs="Arial"/>
          <w:sz w:val="24"/>
          <w:szCs w:val="24"/>
        </w:rPr>
        <w:t>Mr Roux</w:t>
      </w:r>
      <w:r w:rsidR="009650D6">
        <w:rPr>
          <w:rFonts w:ascii="Arial" w:hAnsi="Arial" w:cs="Arial"/>
          <w:sz w:val="24"/>
          <w:szCs w:val="24"/>
        </w:rPr>
        <w:t xml:space="preserve"> contended that the failure on the part of the University to have pleaded special damages as opposed to general damages and the finding</w:t>
      </w:r>
      <w:r w:rsidR="00EE2160">
        <w:rPr>
          <w:rFonts w:ascii="Arial" w:hAnsi="Arial" w:cs="Arial"/>
          <w:sz w:val="24"/>
          <w:szCs w:val="24"/>
        </w:rPr>
        <w:t xml:space="preserve"> by the arbitrators of the claim having been based on no more than general damages </w:t>
      </w:r>
      <w:r w:rsidR="009650D6">
        <w:rPr>
          <w:rFonts w:ascii="Arial" w:hAnsi="Arial" w:cs="Arial"/>
          <w:sz w:val="24"/>
          <w:szCs w:val="24"/>
        </w:rPr>
        <w:t xml:space="preserve">constituted a gross irregularity in the proceedings. </w:t>
      </w:r>
    </w:p>
    <w:p w14:paraId="71A0CB9F" w14:textId="117E768F" w:rsidR="009650D6" w:rsidRDefault="001F770B" w:rsidP="001F770B">
      <w:pPr>
        <w:pStyle w:val="BowLevel2ListAlt"/>
        <w:numPr>
          <w:ilvl w:val="0"/>
          <w:numId w:val="0"/>
        </w:numPr>
        <w:spacing w:before="240" w:after="240"/>
        <w:ind w:left="630" w:hanging="630"/>
        <w:rPr>
          <w:rFonts w:ascii="Arial" w:hAnsi="Arial" w:cs="Arial"/>
          <w:sz w:val="24"/>
          <w:szCs w:val="24"/>
        </w:rPr>
      </w:pPr>
      <w:r>
        <w:rPr>
          <w:rFonts w:ascii="Arial" w:hAnsi="Arial" w:cs="Arial"/>
          <w:sz w:val="24"/>
          <w:szCs w:val="24"/>
        </w:rPr>
        <w:lastRenderedPageBreak/>
        <w:t>[5</w:t>
      </w:r>
      <w:r w:rsidR="000B734A">
        <w:rPr>
          <w:rFonts w:ascii="Arial" w:hAnsi="Arial" w:cs="Arial"/>
          <w:sz w:val="24"/>
          <w:szCs w:val="24"/>
        </w:rPr>
        <w:t>7</w:t>
      </w:r>
      <w:r>
        <w:rPr>
          <w:rFonts w:ascii="Arial" w:hAnsi="Arial" w:cs="Arial"/>
          <w:sz w:val="24"/>
          <w:szCs w:val="24"/>
        </w:rPr>
        <w:t>]</w:t>
      </w:r>
      <w:r>
        <w:rPr>
          <w:rFonts w:ascii="Arial" w:hAnsi="Arial" w:cs="Arial"/>
          <w:sz w:val="24"/>
          <w:szCs w:val="24"/>
        </w:rPr>
        <w:tab/>
      </w:r>
      <w:r w:rsidR="009948A6">
        <w:rPr>
          <w:rFonts w:ascii="Arial" w:hAnsi="Arial" w:cs="Arial"/>
          <w:sz w:val="24"/>
          <w:szCs w:val="24"/>
        </w:rPr>
        <w:t>In c</w:t>
      </w:r>
      <w:r w:rsidR="009F5F66">
        <w:rPr>
          <w:rFonts w:ascii="Arial" w:hAnsi="Arial" w:cs="Arial"/>
          <w:sz w:val="24"/>
          <w:szCs w:val="24"/>
        </w:rPr>
        <w:t>onsidering</w:t>
      </w:r>
      <w:r w:rsidR="0072204C">
        <w:rPr>
          <w:rFonts w:ascii="Arial" w:hAnsi="Arial" w:cs="Arial"/>
          <w:sz w:val="24"/>
          <w:szCs w:val="24"/>
        </w:rPr>
        <w:t xml:space="preserve"> what </w:t>
      </w:r>
      <w:r w:rsidR="00ED5D37">
        <w:rPr>
          <w:rFonts w:ascii="Arial" w:hAnsi="Arial" w:cs="Arial"/>
          <w:sz w:val="24"/>
          <w:szCs w:val="24"/>
        </w:rPr>
        <w:t>“</w:t>
      </w:r>
      <w:r w:rsidR="009F5F66">
        <w:rPr>
          <w:rFonts w:ascii="Arial" w:hAnsi="Arial" w:cs="Arial"/>
          <w:sz w:val="24"/>
          <w:szCs w:val="24"/>
        </w:rPr>
        <w:t>the nature of enquiry</w:t>
      </w:r>
      <w:r w:rsidR="00ED5D37">
        <w:rPr>
          <w:rFonts w:ascii="Arial" w:hAnsi="Arial" w:cs="Arial"/>
          <w:sz w:val="24"/>
          <w:szCs w:val="24"/>
        </w:rPr>
        <w:t>”</w:t>
      </w:r>
      <w:r w:rsidR="0072204C">
        <w:rPr>
          <w:rFonts w:ascii="Arial" w:hAnsi="Arial" w:cs="Arial"/>
          <w:sz w:val="24"/>
          <w:szCs w:val="24"/>
        </w:rPr>
        <w:t xml:space="preserve"> entailed in the context of a gross irregularity</w:t>
      </w:r>
      <w:r w:rsidR="009F5F66">
        <w:rPr>
          <w:rFonts w:ascii="Arial" w:hAnsi="Arial" w:cs="Arial"/>
          <w:sz w:val="24"/>
          <w:szCs w:val="24"/>
        </w:rPr>
        <w:t xml:space="preserve">, the duties of the arbitrator and the scope of </w:t>
      </w:r>
      <w:r w:rsidR="00301275">
        <w:rPr>
          <w:rFonts w:ascii="Arial" w:hAnsi="Arial" w:cs="Arial"/>
          <w:sz w:val="24"/>
          <w:szCs w:val="24"/>
        </w:rPr>
        <w:t xml:space="preserve">his/her </w:t>
      </w:r>
      <w:r w:rsidR="009F5F66">
        <w:rPr>
          <w:rFonts w:ascii="Arial" w:hAnsi="Arial" w:cs="Arial"/>
          <w:sz w:val="24"/>
          <w:szCs w:val="24"/>
        </w:rPr>
        <w:t>powers Harms JA</w:t>
      </w:r>
      <w:r w:rsidR="00EE2160">
        <w:rPr>
          <w:rFonts w:ascii="Arial" w:hAnsi="Arial" w:cs="Arial"/>
          <w:sz w:val="24"/>
          <w:szCs w:val="24"/>
        </w:rPr>
        <w:t xml:space="preserve"> in</w:t>
      </w:r>
      <w:r w:rsidR="000F0075">
        <w:rPr>
          <w:rFonts w:ascii="Arial" w:hAnsi="Arial" w:cs="Arial"/>
          <w:sz w:val="24"/>
          <w:szCs w:val="24"/>
        </w:rPr>
        <w:t xml:space="preserve"> </w:t>
      </w:r>
      <w:r w:rsidR="00301275">
        <w:rPr>
          <w:rFonts w:ascii="Arial" w:hAnsi="Arial" w:cs="Arial"/>
          <w:sz w:val="24"/>
          <w:szCs w:val="24"/>
        </w:rPr>
        <w:t>held that</w:t>
      </w:r>
      <w:r w:rsidR="009F5F66">
        <w:rPr>
          <w:rFonts w:ascii="Arial" w:hAnsi="Arial" w:cs="Arial"/>
          <w:sz w:val="24"/>
          <w:szCs w:val="24"/>
        </w:rPr>
        <w:t>:</w:t>
      </w:r>
    </w:p>
    <w:p w14:paraId="40B08314" w14:textId="77777777" w:rsidR="009F5F66" w:rsidRPr="009F5F66" w:rsidRDefault="009F5F66" w:rsidP="009F5F66">
      <w:pPr>
        <w:spacing w:line="360" w:lineRule="auto"/>
        <w:ind w:left="1440" w:hanging="810"/>
        <w:jc w:val="both"/>
        <w:rPr>
          <w:sz w:val="22"/>
          <w:szCs w:val="22"/>
        </w:rPr>
      </w:pPr>
      <w:r w:rsidRPr="009F5F66">
        <w:rPr>
          <w:sz w:val="22"/>
          <w:szCs w:val="22"/>
        </w:rPr>
        <w:t>‘[83]</w:t>
      </w:r>
      <w:r w:rsidRPr="009F5F66">
        <w:rPr>
          <w:sz w:val="22"/>
          <w:szCs w:val="22"/>
        </w:rPr>
        <w:tab/>
        <w:t>In short, the arbitrator had to (i) interpret the agreement; (ii) by applying South African law; (iii) in the light of its terms, and (iv) all the admissible evidence.’</w:t>
      </w:r>
    </w:p>
    <w:p w14:paraId="751A1153" w14:textId="77777777" w:rsidR="009F5F66" w:rsidRDefault="009F5F66" w:rsidP="009F5F66">
      <w:pPr>
        <w:spacing w:line="360" w:lineRule="auto"/>
        <w:ind w:firstLine="630"/>
        <w:jc w:val="both"/>
      </w:pPr>
    </w:p>
    <w:p w14:paraId="0417A154" w14:textId="77777777" w:rsidR="009F5F66" w:rsidRPr="009F5F66" w:rsidRDefault="009F5F66" w:rsidP="009F5F66">
      <w:pPr>
        <w:spacing w:line="360" w:lineRule="auto"/>
        <w:ind w:left="1440" w:hanging="810"/>
        <w:jc w:val="both"/>
        <w:rPr>
          <w:sz w:val="22"/>
          <w:szCs w:val="22"/>
        </w:rPr>
      </w:pPr>
      <w:r w:rsidRPr="009F5F66">
        <w:rPr>
          <w:sz w:val="22"/>
          <w:szCs w:val="22"/>
        </w:rPr>
        <w:t>‘[84]</w:t>
      </w:r>
      <w:r w:rsidRPr="009F5F66">
        <w:rPr>
          <w:sz w:val="22"/>
          <w:szCs w:val="22"/>
        </w:rPr>
        <w:tab/>
        <w:t>In addition, the arbitrator had, according to the terms of reference, the power (i) not to decide an issue which he deemed unnecessary or inappropriate; (ii) to decide any further issues of fact or law, which he deemed necessary or appropriate; (iii) to decide the issues in any manner or order he deemed appropriate; and (iv) to decide any issue by way of a partial, interim or final award, as he deemed appropriate.’</w:t>
      </w:r>
    </w:p>
    <w:p w14:paraId="1994D6E1" w14:textId="77777777" w:rsidR="009F5F66" w:rsidRDefault="009F5F66" w:rsidP="009F5F66">
      <w:pPr>
        <w:spacing w:line="360" w:lineRule="auto"/>
        <w:jc w:val="both"/>
        <w:rPr>
          <w:sz w:val="22"/>
          <w:szCs w:val="22"/>
        </w:rPr>
      </w:pPr>
    </w:p>
    <w:p w14:paraId="7E043486" w14:textId="152BBE0D" w:rsidR="0036620E" w:rsidRDefault="001F770B" w:rsidP="001C31E3">
      <w:pPr>
        <w:spacing w:line="360" w:lineRule="auto"/>
        <w:ind w:left="630" w:hanging="630"/>
        <w:jc w:val="both"/>
      </w:pPr>
      <w:r>
        <w:t>[5</w:t>
      </w:r>
      <w:r w:rsidR="000B734A">
        <w:t>8</w:t>
      </w:r>
      <w:r>
        <w:t>]</w:t>
      </w:r>
      <w:r>
        <w:tab/>
      </w:r>
      <w:r w:rsidR="005B539C" w:rsidRPr="0036620E">
        <w:t>Crucially, he</w:t>
      </w:r>
      <w:r w:rsidR="00A14A91">
        <w:t xml:space="preserve"> held</w:t>
      </w:r>
      <w:r w:rsidR="001C31E3">
        <w:t>;</w:t>
      </w:r>
    </w:p>
    <w:p w14:paraId="02600121" w14:textId="7FF2D756" w:rsidR="005B539C" w:rsidRDefault="004E6D19" w:rsidP="00F0439C">
      <w:pPr>
        <w:spacing w:line="360" w:lineRule="auto"/>
        <w:ind w:left="1440" w:hanging="720"/>
        <w:jc w:val="both"/>
        <w:rPr>
          <w:sz w:val="22"/>
          <w:szCs w:val="22"/>
        </w:rPr>
      </w:pPr>
      <w:r>
        <w:rPr>
          <w:sz w:val="22"/>
          <w:szCs w:val="22"/>
        </w:rPr>
        <w:t>‘</w:t>
      </w:r>
      <w:r w:rsidR="00F0439C">
        <w:rPr>
          <w:sz w:val="22"/>
          <w:szCs w:val="22"/>
        </w:rPr>
        <w:t>85.</w:t>
      </w:r>
      <w:r w:rsidR="00F0439C">
        <w:rPr>
          <w:sz w:val="22"/>
          <w:szCs w:val="22"/>
        </w:rPr>
        <w:tab/>
      </w:r>
      <w:r w:rsidR="0036620E" w:rsidRPr="00553925">
        <w:rPr>
          <w:sz w:val="22"/>
          <w:szCs w:val="22"/>
        </w:rPr>
        <w:t xml:space="preserve">The fact that the arbitrator may have either misinterpreted the agreement, failed to apply South African law correctly, or had regard to inadmissible evidence does not mean that he misconceived the nature of the inquiry or his duties in connection therewith. It only means that he erred in the performance of his duties. An arbitrator ‘has the right to be wrong’ on the merits of the case, and it is a perversion of language and logic to label mistakes of this kind as a misconception of the </w:t>
      </w:r>
      <w:r w:rsidR="0036620E" w:rsidRPr="00553925">
        <w:rPr>
          <w:i/>
          <w:sz w:val="22"/>
          <w:szCs w:val="22"/>
        </w:rPr>
        <w:t>nature of the inquiry</w:t>
      </w:r>
      <w:r w:rsidR="0036620E" w:rsidRPr="00553925">
        <w:rPr>
          <w:sz w:val="22"/>
          <w:szCs w:val="22"/>
        </w:rPr>
        <w:t xml:space="preserve"> – they may be misconceptions about meaning, law or the admissibility of evidence but that is a far cry from saying that they constitute a misconception of the nature of the inquiry. To adapt the quoted words of Hoexter JA </w:t>
      </w:r>
      <w:r w:rsidR="006310F4">
        <w:rPr>
          <w:sz w:val="22"/>
          <w:szCs w:val="22"/>
        </w:rPr>
        <w:t>‘</w:t>
      </w:r>
      <w:r w:rsidR="0036620E" w:rsidRPr="00553925">
        <w:rPr>
          <w:sz w:val="22"/>
          <w:szCs w:val="22"/>
        </w:rPr>
        <w:t>It cannot be said that the wrong interpretation of the Integrated Agreement prevented the arbitrator from fulfilling his agreed function or from considering the matter left to him for decision…’</w:t>
      </w:r>
      <w:r w:rsidR="006310F4">
        <w:rPr>
          <w:sz w:val="22"/>
          <w:szCs w:val="22"/>
        </w:rPr>
        <w:t>.</w:t>
      </w:r>
    </w:p>
    <w:p w14:paraId="298A51B5" w14:textId="77777777" w:rsidR="00F0439C" w:rsidRDefault="00F0439C" w:rsidP="004A5BB3">
      <w:pPr>
        <w:pStyle w:val="Level1"/>
        <w:numPr>
          <w:ilvl w:val="0"/>
          <w:numId w:val="0"/>
        </w:numPr>
        <w:spacing w:line="360" w:lineRule="auto"/>
        <w:ind w:left="851" w:hanging="851"/>
        <w:rPr>
          <w:iCs/>
        </w:rPr>
      </w:pPr>
    </w:p>
    <w:p w14:paraId="3899ABED" w14:textId="7E942682" w:rsidR="004A5BB3" w:rsidRPr="001F770B" w:rsidRDefault="001F770B" w:rsidP="004A5BB3">
      <w:pPr>
        <w:pStyle w:val="Level1"/>
        <w:numPr>
          <w:ilvl w:val="0"/>
          <w:numId w:val="0"/>
        </w:numPr>
        <w:spacing w:line="360" w:lineRule="auto"/>
        <w:ind w:left="851" w:hanging="851"/>
        <w:rPr>
          <w:lang w:val="en-GB"/>
        </w:rPr>
      </w:pPr>
      <w:r w:rsidRPr="001F770B">
        <w:rPr>
          <w:iCs/>
        </w:rPr>
        <w:t>[5</w:t>
      </w:r>
      <w:r w:rsidR="000B734A">
        <w:rPr>
          <w:iCs/>
        </w:rPr>
        <w:t>9</w:t>
      </w:r>
      <w:r w:rsidRPr="001F770B">
        <w:rPr>
          <w:iCs/>
        </w:rPr>
        <w:t>]</w:t>
      </w:r>
      <w:r w:rsidRPr="001F770B">
        <w:rPr>
          <w:iCs/>
        </w:rPr>
        <w:tab/>
      </w:r>
      <w:r w:rsidR="002279EA">
        <w:rPr>
          <w:iCs/>
        </w:rPr>
        <w:t>I</w:t>
      </w:r>
      <w:r w:rsidR="004A5BB3" w:rsidRPr="001F770B">
        <w:rPr>
          <w:lang w:val="en-GB"/>
        </w:rPr>
        <w:t xml:space="preserve">n </w:t>
      </w:r>
      <w:r w:rsidR="004A5BB3" w:rsidRPr="001F770B">
        <w:rPr>
          <w:bCs/>
          <w:i/>
          <w:lang w:val="en-GB"/>
        </w:rPr>
        <w:t>Palabora Copper (Pty) Ltd v Motlokwa Transport &amp; Construction (Pty) Ltd</w:t>
      </w:r>
      <w:r w:rsidR="004A5BB3" w:rsidRPr="001F770B">
        <w:rPr>
          <w:bCs/>
          <w:lang w:val="en-GB"/>
        </w:rPr>
        <w:t xml:space="preserve"> 2018 (5) SA 462 (SCA)</w:t>
      </w:r>
      <w:r w:rsidR="002279EA">
        <w:rPr>
          <w:bCs/>
          <w:lang w:val="en-GB"/>
        </w:rPr>
        <w:t>, Wallis JA</w:t>
      </w:r>
      <w:r w:rsidR="004A5BB3" w:rsidRPr="001F770B">
        <w:rPr>
          <w:bCs/>
          <w:lang w:val="en-GB"/>
        </w:rPr>
        <w:t xml:space="preserve"> </w:t>
      </w:r>
      <w:r w:rsidR="002279EA">
        <w:rPr>
          <w:bCs/>
          <w:lang w:val="en-GB"/>
        </w:rPr>
        <w:t>considered</w:t>
      </w:r>
      <w:r w:rsidR="00301275">
        <w:rPr>
          <w:bCs/>
          <w:lang w:val="en-GB"/>
        </w:rPr>
        <w:t xml:space="preserve"> the ground of a gross irregularity where an arbitrator misconceive</w:t>
      </w:r>
      <w:r w:rsidR="00A14A91">
        <w:rPr>
          <w:bCs/>
          <w:lang w:val="en-GB"/>
        </w:rPr>
        <w:t>d</w:t>
      </w:r>
      <w:r w:rsidR="00301275">
        <w:rPr>
          <w:bCs/>
          <w:lang w:val="en-GB"/>
        </w:rPr>
        <w:t xml:space="preserve"> the nature of the inquiry with reference to the application of the established principles referred to by Harms JA in </w:t>
      </w:r>
      <w:r w:rsidR="00301275" w:rsidRPr="000F0075">
        <w:rPr>
          <w:bCs/>
          <w:i/>
          <w:lang w:val="en-GB"/>
        </w:rPr>
        <w:t xml:space="preserve">Telcordia </w:t>
      </w:r>
      <w:r w:rsidR="00301275">
        <w:rPr>
          <w:bCs/>
          <w:lang w:val="en-GB"/>
        </w:rPr>
        <w:t>as follows</w:t>
      </w:r>
      <w:r w:rsidR="004A5BB3" w:rsidRPr="001F770B">
        <w:rPr>
          <w:bCs/>
          <w:lang w:val="en-GB"/>
        </w:rPr>
        <w:t xml:space="preserve">: </w:t>
      </w:r>
    </w:p>
    <w:p w14:paraId="7A656B8D" w14:textId="4FFCDADA" w:rsidR="004A5BB3" w:rsidRPr="00CA6218" w:rsidRDefault="004A5BB3" w:rsidP="00F0439C">
      <w:pPr>
        <w:spacing w:after="600" w:line="360" w:lineRule="auto"/>
        <w:ind w:left="1440" w:hanging="22"/>
        <w:jc w:val="both"/>
        <w:rPr>
          <w:rFonts w:eastAsia="Calibri" w:cs="Times New Roman"/>
          <w:iCs/>
          <w:color w:val="000000" w:themeColor="text1"/>
          <w:sz w:val="22"/>
          <w:szCs w:val="22"/>
          <w:lang w:val="en-GB" w:eastAsia="en-US"/>
        </w:rPr>
      </w:pPr>
      <w:r w:rsidRPr="00CA6218">
        <w:rPr>
          <w:rFonts w:eastAsia="Calibri" w:cs="Times New Roman"/>
          <w:iCs/>
          <w:color w:val="000000" w:themeColor="text1"/>
          <w:sz w:val="22"/>
          <w:szCs w:val="22"/>
          <w:lang w:val="en-GB" w:eastAsia="en-US"/>
        </w:rPr>
        <w:lastRenderedPageBreak/>
        <w:t>“[8]</w:t>
      </w:r>
      <w:r w:rsidRPr="00CA6218">
        <w:rPr>
          <w:rFonts w:eastAsia="Calibri" w:cs="Times New Roman"/>
          <w:iCs/>
          <w:color w:val="000000" w:themeColor="text1"/>
          <w:sz w:val="22"/>
          <w:szCs w:val="22"/>
          <w:lang w:val="en-GB" w:eastAsia="en-US"/>
        </w:rPr>
        <w:tab/>
        <w:t>This provision was the subject of detailed</w:t>
      </w:r>
      <w:r w:rsidR="00F0439C">
        <w:rPr>
          <w:rFonts w:eastAsia="Calibri" w:cs="Times New Roman"/>
          <w:iCs/>
          <w:color w:val="000000" w:themeColor="text1"/>
          <w:sz w:val="22"/>
          <w:szCs w:val="22"/>
          <w:lang w:val="en-GB" w:eastAsia="en-US"/>
        </w:rPr>
        <w:t xml:space="preserve"> consideration by this court in </w:t>
      </w:r>
      <w:r w:rsidRPr="00CA6218">
        <w:rPr>
          <w:rFonts w:eastAsia="Calibri" w:cs="Times New Roman"/>
          <w:iCs/>
          <w:color w:val="000000" w:themeColor="text1"/>
          <w:sz w:val="22"/>
          <w:szCs w:val="22"/>
          <w:lang w:val="en-GB" w:eastAsia="en-US"/>
        </w:rPr>
        <w:t xml:space="preserve">Telcordia. </w:t>
      </w:r>
      <w:r w:rsidRPr="00F0439C">
        <w:rPr>
          <w:rFonts w:eastAsia="Calibri" w:cs="Times New Roman"/>
          <w:iCs/>
          <w:color w:val="000000" w:themeColor="text1"/>
          <w:sz w:val="22"/>
          <w:szCs w:val="22"/>
          <w:lang w:val="en-GB" w:eastAsia="en-US"/>
        </w:rPr>
        <w:t>It suffices to say that where an arbitrator for some reason misconceives the nature of the enquiry in the arbitration proceedings with the result that a party is denied a fair hearing or a fair trial of the issues, that constitutes a gross irregularity.</w:t>
      </w:r>
      <w:r w:rsidR="002279EA">
        <w:rPr>
          <w:rFonts w:eastAsia="Calibri" w:cs="Times New Roman"/>
          <w:iCs/>
          <w:color w:val="000000" w:themeColor="text1"/>
          <w:sz w:val="22"/>
          <w:szCs w:val="22"/>
          <w:lang w:val="en-GB" w:eastAsia="en-US"/>
        </w:rPr>
        <w:t xml:space="preserve"> </w:t>
      </w:r>
      <w:r w:rsidRPr="00CA6218">
        <w:rPr>
          <w:rFonts w:eastAsia="Calibri" w:cs="Times New Roman"/>
          <w:iCs/>
          <w:color w:val="000000" w:themeColor="text1"/>
          <w:sz w:val="22"/>
          <w:szCs w:val="22"/>
          <w:lang w:val="en-GB" w:eastAsia="en-US"/>
        </w:rPr>
        <w:t xml:space="preserve">The party alleging the gross irregularity must establish it. Where an arbitrator engages in the correct enquiry, but errs either on the facts or the law, that is not an irregularity and is not a basis for setting aside an award. If parties choose arbitration, courts endeavour to uphold their choice and do not lightly disturb it. The attack on the award must be measured against these standards.” </w:t>
      </w:r>
    </w:p>
    <w:p w14:paraId="1FDBF2DE" w14:textId="7AF123AD" w:rsidR="004A5BB3" w:rsidRPr="001F770B" w:rsidRDefault="004A5BB3" w:rsidP="004A5BB3">
      <w:pPr>
        <w:pStyle w:val="Level1"/>
        <w:numPr>
          <w:ilvl w:val="0"/>
          <w:numId w:val="0"/>
        </w:numPr>
        <w:spacing w:line="360" w:lineRule="auto"/>
        <w:ind w:left="851" w:hanging="851"/>
      </w:pPr>
      <w:r w:rsidRPr="001F770B">
        <w:t>[</w:t>
      </w:r>
      <w:r w:rsidR="000B734A">
        <w:t>60</w:t>
      </w:r>
      <w:r w:rsidRPr="001F770B">
        <w:t>]</w:t>
      </w:r>
      <w:r w:rsidRPr="001F770B">
        <w:tab/>
        <w:t>In that matter the court had to deal with the situation where a claimant was relieved of the duty to prove that it had suffered patrimonial loss.</w:t>
      </w:r>
      <w:r w:rsidR="002279EA">
        <w:t xml:space="preserve"> Wallis JA</w:t>
      </w:r>
      <w:r w:rsidRPr="001F770B">
        <w:t xml:space="preserve"> held as follows:</w:t>
      </w:r>
    </w:p>
    <w:p w14:paraId="5400DED4" w14:textId="77777777" w:rsidR="004A5BB3" w:rsidRPr="00CA6218" w:rsidRDefault="004A5BB3" w:rsidP="004A5BB3">
      <w:pPr>
        <w:spacing w:after="360" w:line="360" w:lineRule="auto"/>
        <w:ind w:left="1440"/>
        <w:jc w:val="both"/>
        <w:rPr>
          <w:rFonts w:eastAsia="Calibri" w:cs="Times New Roman"/>
          <w:iCs/>
          <w:sz w:val="22"/>
          <w:szCs w:val="22"/>
          <w:lang w:val="en-GB" w:eastAsia="en-US"/>
        </w:rPr>
      </w:pPr>
      <w:r w:rsidRPr="00CA6218">
        <w:rPr>
          <w:rFonts w:eastAsia="Calibri" w:cs="Times New Roman"/>
          <w:iCs/>
          <w:sz w:val="22"/>
          <w:szCs w:val="22"/>
          <w:lang w:val="en-GB" w:eastAsia="en-US"/>
        </w:rPr>
        <w:t>“[31]</w:t>
      </w:r>
      <w:r w:rsidRPr="00CA6218">
        <w:rPr>
          <w:rFonts w:eastAsia="Calibri" w:cs="Times New Roman"/>
          <w:iCs/>
          <w:sz w:val="22"/>
          <w:szCs w:val="22"/>
          <w:lang w:val="en-GB" w:eastAsia="en-US"/>
        </w:rPr>
        <w:tab/>
        <w:t xml:space="preserve">… [I]n principle it is for the claimant to allege (as Motlokwa did), and prove, the fact of loss and the amount thereof. At a trial a failure to do so would have resulted in an order of absolution from the instance.  All of this flowed from the principle that breach of contract is not in itself a wrong carrying an award of damages unless the aggrieved party has suffered patrimonial loss.  </w:t>
      </w:r>
    </w:p>
    <w:p w14:paraId="40713CFD" w14:textId="1CE76DE0" w:rsidR="004A5BB3" w:rsidRPr="001F770B" w:rsidRDefault="004A5BB3" w:rsidP="004A5BB3">
      <w:pPr>
        <w:spacing w:after="600" w:line="360" w:lineRule="auto"/>
        <w:ind w:left="1440"/>
        <w:jc w:val="both"/>
        <w:rPr>
          <w:rFonts w:eastAsia="Calibri" w:cs="Times New Roman"/>
          <w:iCs/>
          <w:szCs w:val="22"/>
          <w:lang w:val="en-GB" w:eastAsia="en-US"/>
        </w:rPr>
      </w:pPr>
      <w:r w:rsidRPr="00CA6218">
        <w:rPr>
          <w:rFonts w:eastAsia="Calibri" w:cs="Times New Roman"/>
          <w:iCs/>
          <w:sz w:val="22"/>
          <w:szCs w:val="22"/>
          <w:lang w:val="en-GB" w:eastAsia="en-US"/>
        </w:rPr>
        <w:t>[42] The effect of the arbitrator’s rulings, especially his striking-out of paras 7.3 and 7.4 of the plea to the counterclaim, was to prevent an exploration of these issues by relieving Motlokwa of any obligation, however light evidentially, to prove that it would have performed the contract and had suffered loss as a result of being prevented from doing so. In the result, the arbitrator did not direct his mind to the central issue in the counterclaim, namely, whether Motlokwa proved that it had suffered loss and, in consequence, damages. All this was done in good faith, but the cumulative effect was to deprive Palabora of a fair trial of these issues. It follows that para D of the award cannot stand.</w:t>
      </w:r>
      <w:r w:rsidRPr="001F770B">
        <w:rPr>
          <w:rFonts w:eastAsia="Calibri" w:cs="Times New Roman"/>
          <w:iCs/>
          <w:szCs w:val="22"/>
          <w:lang w:val="en-GB" w:eastAsia="en-US"/>
        </w:rPr>
        <w:t>”</w:t>
      </w:r>
    </w:p>
    <w:p w14:paraId="756EFB98" w14:textId="4227A79F" w:rsidR="00136292" w:rsidRPr="00FF07A9" w:rsidRDefault="00136292" w:rsidP="00FF07A9">
      <w:pPr>
        <w:spacing w:after="600" w:line="360" w:lineRule="auto"/>
        <w:ind w:left="720" w:hanging="720"/>
        <w:jc w:val="both"/>
      </w:pPr>
      <w:r w:rsidRPr="001F770B">
        <w:t>[</w:t>
      </w:r>
      <w:r w:rsidR="005D1308">
        <w:t>6</w:t>
      </w:r>
      <w:r w:rsidR="000B734A">
        <w:t>1</w:t>
      </w:r>
      <w:r w:rsidRPr="001F770B">
        <w:t>]</w:t>
      </w:r>
      <w:r w:rsidRPr="001F770B">
        <w:tab/>
      </w:r>
      <w:r w:rsidR="00301275">
        <w:t>T</w:t>
      </w:r>
      <w:r w:rsidRPr="001F770B">
        <w:t>he unfairness in the context of that matter arose during the conduct of the proceedings from incorrect ruling</w:t>
      </w:r>
      <w:r w:rsidR="00301275">
        <w:t>s</w:t>
      </w:r>
      <w:r w:rsidRPr="001F770B">
        <w:t xml:space="preserve"> on the law. Counsel for </w:t>
      </w:r>
      <w:r w:rsidR="00FF07A9">
        <w:t>Mr Roux</w:t>
      </w:r>
      <w:r w:rsidRPr="001F770B">
        <w:t xml:space="preserve"> contended that </w:t>
      </w:r>
      <w:r w:rsidRPr="001F770B">
        <w:rPr>
          <w:i/>
        </w:rPr>
        <w:t>Palabora</w:t>
      </w:r>
      <w:r w:rsidRPr="001F770B">
        <w:t xml:space="preserve"> was authority for the proposition that an error on onus was that </w:t>
      </w:r>
      <w:r w:rsidRPr="001F770B">
        <w:lastRenderedPageBreak/>
        <w:t xml:space="preserve">described by Schreiner J in </w:t>
      </w:r>
      <w:r w:rsidRPr="001F770B">
        <w:rPr>
          <w:i/>
        </w:rPr>
        <w:t>Goldfields</w:t>
      </w:r>
      <w:r w:rsidRPr="001F770B">
        <w:t xml:space="preserve"> </w:t>
      </w:r>
      <w:r w:rsidR="00FF07A9">
        <w:t xml:space="preserve">where a </w:t>
      </w:r>
      <w:r w:rsidRPr="001F770B">
        <w:t xml:space="preserve">decision maker </w:t>
      </w:r>
      <w:r w:rsidR="00FF07A9">
        <w:t>m</w:t>
      </w:r>
      <w:r w:rsidRPr="001F770B">
        <w:t xml:space="preserve">isconceived the nature of the enquiry before him. </w:t>
      </w:r>
      <w:r w:rsidR="00301275">
        <w:t>However</w:t>
      </w:r>
      <w:r w:rsidR="000F0075">
        <w:t>,</w:t>
      </w:r>
      <w:r w:rsidR="00301275">
        <w:t xml:space="preserve"> in the </w:t>
      </w:r>
      <w:r w:rsidRPr="001F770B">
        <w:t xml:space="preserve">present matter the arbitrators considered the </w:t>
      </w:r>
      <w:r w:rsidR="00FF07A9">
        <w:t xml:space="preserve">pleaded case and facts </w:t>
      </w:r>
      <w:r w:rsidR="00D2139F">
        <w:t xml:space="preserve">found to be proved and </w:t>
      </w:r>
      <w:r w:rsidRPr="001F770B">
        <w:t xml:space="preserve">applied the common law set out in </w:t>
      </w:r>
      <w:r w:rsidRPr="001F770B">
        <w:rPr>
          <w:i/>
        </w:rPr>
        <w:t>Japmoco</w:t>
      </w:r>
      <w:r w:rsidR="00D2139F">
        <w:rPr>
          <w:i/>
        </w:rPr>
        <w:t xml:space="preserve">. </w:t>
      </w:r>
      <w:r w:rsidR="00B8500B">
        <w:t xml:space="preserve">Counsel for the University contended correctly that there was no error in law in the findings </w:t>
      </w:r>
      <w:r w:rsidR="00601E41">
        <w:t>by the arbitrators.</w:t>
      </w:r>
      <w:r w:rsidR="00B8500B">
        <w:t xml:space="preserve"> Moreover, onus being a matter of substantive law was for the arbitrators to apply in accordance with the common law</w:t>
      </w:r>
      <w:r w:rsidR="00601E41">
        <w:t xml:space="preserve"> on the facts found to be proved</w:t>
      </w:r>
      <w:r w:rsidR="00A14A91">
        <w:t>,</w:t>
      </w:r>
      <w:r w:rsidR="00943A19">
        <w:t xml:space="preserve"> </w:t>
      </w:r>
      <w:r w:rsidR="00A14A91">
        <w:t>which</w:t>
      </w:r>
      <w:r w:rsidR="00601E41">
        <w:t xml:space="preserve"> </w:t>
      </w:r>
      <w:r w:rsidR="00B8500B">
        <w:t xml:space="preserve">they did. </w:t>
      </w:r>
      <w:r w:rsidRPr="001F770B">
        <w:t>The reli</w:t>
      </w:r>
      <w:r w:rsidR="005F454A" w:rsidRPr="001F770B">
        <w:t xml:space="preserve">ance by counsel for Mr Roux on </w:t>
      </w:r>
      <w:r w:rsidRPr="001F770B">
        <w:t xml:space="preserve">the decision of </w:t>
      </w:r>
      <w:r w:rsidRPr="001F770B">
        <w:rPr>
          <w:i/>
        </w:rPr>
        <w:t xml:space="preserve">Palabora </w:t>
      </w:r>
      <w:r w:rsidRPr="001F770B">
        <w:t xml:space="preserve">does </w:t>
      </w:r>
      <w:r w:rsidR="005F454A" w:rsidRPr="001F770B">
        <w:t>not in my view assist him.</w:t>
      </w:r>
      <w:r w:rsidRPr="001F770B">
        <w:t xml:space="preserve"> </w:t>
      </w:r>
    </w:p>
    <w:p w14:paraId="533D84CF" w14:textId="1EC9E66B" w:rsidR="004A5BB3" w:rsidRDefault="004A5BB3" w:rsidP="004A5BB3">
      <w:pPr>
        <w:spacing w:after="360" w:line="360" w:lineRule="auto"/>
        <w:ind w:left="720" w:hanging="720"/>
        <w:jc w:val="both"/>
      </w:pPr>
      <w:r>
        <w:rPr>
          <w:rFonts w:eastAsia="Calibri"/>
          <w:lang w:val="en-GB" w:eastAsia="en-US"/>
        </w:rPr>
        <w:t>[</w:t>
      </w:r>
      <w:r w:rsidR="00F0439C">
        <w:rPr>
          <w:rFonts w:eastAsia="Calibri"/>
          <w:lang w:val="en-GB" w:eastAsia="en-US"/>
        </w:rPr>
        <w:t>6</w:t>
      </w:r>
      <w:r w:rsidR="000B734A">
        <w:rPr>
          <w:rFonts w:eastAsia="Calibri"/>
          <w:lang w:val="en-GB" w:eastAsia="en-US"/>
        </w:rPr>
        <w:t>2</w:t>
      </w:r>
      <w:r>
        <w:rPr>
          <w:rFonts w:eastAsia="Calibri"/>
          <w:lang w:val="en-GB" w:eastAsia="en-US"/>
        </w:rPr>
        <w:t>]</w:t>
      </w:r>
      <w:r w:rsidR="000F0075">
        <w:rPr>
          <w:rFonts w:eastAsia="Calibri"/>
          <w:lang w:val="en-GB" w:eastAsia="en-US"/>
        </w:rPr>
        <w:tab/>
      </w:r>
      <w:r w:rsidR="00601E41">
        <w:rPr>
          <w:rFonts w:eastAsia="Calibri"/>
          <w:lang w:val="en-GB" w:eastAsia="en-US"/>
        </w:rPr>
        <w:t>R</w:t>
      </w:r>
      <w:r>
        <w:rPr>
          <w:rFonts w:eastAsia="Calibri"/>
          <w:lang w:val="en-GB" w:eastAsia="en-US"/>
        </w:rPr>
        <w:t>eliance</w:t>
      </w:r>
      <w:r w:rsidR="00601E41">
        <w:rPr>
          <w:rFonts w:eastAsia="Calibri"/>
          <w:lang w:val="en-GB" w:eastAsia="en-US"/>
        </w:rPr>
        <w:t xml:space="preserve"> was also placed </w:t>
      </w:r>
      <w:r>
        <w:rPr>
          <w:rFonts w:eastAsia="Calibri"/>
          <w:lang w:val="en-GB" w:eastAsia="en-US"/>
        </w:rPr>
        <w:t xml:space="preserve">on the decision of the </w:t>
      </w:r>
      <w:r w:rsidRPr="002C14ED">
        <w:rPr>
          <w:rFonts w:eastAsia="Calibri"/>
          <w:i/>
          <w:lang w:val="en-GB" w:eastAsia="en-US"/>
        </w:rPr>
        <w:t>Labour Appeal Court in Stocks Civil Engineering (Pty) Ltd</w:t>
      </w:r>
      <w:r w:rsidRPr="002C14ED">
        <w:rPr>
          <w:i/>
          <w:sz w:val="22"/>
          <w:szCs w:val="22"/>
        </w:rPr>
        <w:t xml:space="preserve"> v Rip NO</w:t>
      </w:r>
      <w:r>
        <w:rPr>
          <w:sz w:val="22"/>
          <w:szCs w:val="22"/>
        </w:rPr>
        <w:t xml:space="preserve"> (2002) 23 ILJ 358 (LAC). </w:t>
      </w:r>
      <w:r>
        <w:t>In my view, it is not necessary to deal in any detail with the decision of Zondo J</w:t>
      </w:r>
      <w:r w:rsidR="001F770B">
        <w:t xml:space="preserve"> </w:t>
      </w:r>
      <w:r>
        <w:t xml:space="preserve">(as he then was) as </w:t>
      </w:r>
      <w:r w:rsidR="00601E41">
        <w:t>the matter</w:t>
      </w:r>
      <w:r>
        <w:t xml:space="preserve"> related specifically to the application of the provisions </w:t>
      </w:r>
      <w:r w:rsidR="00601E41">
        <w:t xml:space="preserve">on a statutory </w:t>
      </w:r>
      <w:r>
        <w:t xml:space="preserve">onus </w:t>
      </w:r>
      <w:r w:rsidR="00C97CBD">
        <w:t>in</w:t>
      </w:r>
      <w:r>
        <w:t xml:space="preserve"> an unfair dismissal dispute regulated by Section 192 of the Labour Relations Act</w:t>
      </w:r>
      <w:r w:rsidR="00601E41">
        <w:t>.</w:t>
      </w:r>
    </w:p>
    <w:p w14:paraId="4062C696" w14:textId="277EB29F" w:rsidR="004A5BB3" w:rsidRDefault="001F770B" w:rsidP="00601E41">
      <w:pPr>
        <w:spacing w:after="360" w:line="360" w:lineRule="auto"/>
        <w:ind w:left="720" w:hanging="720"/>
        <w:jc w:val="both"/>
        <w:rPr>
          <w:b/>
        </w:rPr>
      </w:pPr>
      <w:r>
        <w:t>[</w:t>
      </w:r>
      <w:r w:rsidR="00C97CBD">
        <w:t>6</w:t>
      </w:r>
      <w:r w:rsidR="000B734A">
        <w:t>3</w:t>
      </w:r>
      <w:r w:rsidR="004A5BB3">
        <w:t>]</w:t>
      </w:r>
      <w:r w:rsidR="004A5BB3">
        <w:tab/>
        <w:t xml:space="preserve">Central to the determination as to whether the </w:t>
      </w:r>
      <w:r w:rsidR="00A14A91">
        <w:t>I</w:t>
      </w:r>
      <w:r w:rsidR="004A5BB3">
        <w:t xml:space="preserve">nitial </w:t>
      </w:r>
      <w:r w:rsidR="00A14A91">
        <w:t>A</w:t>
      </w:r>
      <w:r w:rsidR="004A5BB3">
        <w:t xml:space="preserve">rbitrator and the </w:t>
      </w:r>
      <w:r w:rsidR="00A14A91">
        <w:t>A</w:t>
      </w:r>
      <w:r w:rsidR="004A5BB3">
        <w:t xml:space="preserve">ppeal </w:t>
      </w:r>
      <w:r w:rsidR="00A14A91">
        <w:t>T</w:t>
      </w:r>
      <w:r w:rsidR="004A5BB3">
        <w:t>ribunal had committed a gross irregularity in the conduct of the proceedings is the question of fairness</w:t>
      </w:r>
      <w:r w:rsidR="00601E41">
        <w:t xml:space="preserve"> as alluded to repeatedly in the authorities referred to above</w:t>
      </w:r>
      <w:r w:rsidR="004A5BB3">
        <w:t>.</w:t>
      </w:r>
      <w:r w:rsidR="00601E41">
        <w:t xml:space="preserve"> Moreover</w:t>
      </w:r>
      <w:r w:rsidR="0081526F">
        <w:t>,</w:t>
      </w:r>
      <w:r w:rsidR="00601E41">
        <w:t xml:space="preserve"> fairness that </w:t>
      </w:r>
      <w:r w:rsidR="004A5BB3">
        <w:t xml:space="preserve">relates to the conduct of the proceedings as opposed to fairness in </w:t>
      </w:r>
      <w:r w:rsidR="00D03EE7">
        <w:t xml:space="preserve">a </w:t>
      </w:r>
      <w:r w:rsidR="004A5BB3">
        <w:t xml:space="preserve">review under the Labour Relations Act. </w:t>
      </w:r>
      <w:r w:rsidR="004A5BB3" w:rsidRPr="001F770B">
        <w:t xml:space="preserve">In </w:t>
      </w:r>
      <w:r w:rsidR="004A5BB3" w:rsidRPr="001F770B">
        <w:rPr>
          <w:i/>
        </w:rPr>
        <w:t>Lufuno</w:t>
      </w:r>
      <w:r w:rsidR="004A5BB3" w:rsidRPr="001F770B">
        <w:t xml:space="preserve"> </w:t>
      </w:r>
      <w:r w:rsidR="00C97CBD" w:rsidRPr="005D1308">
        <w:rPr>
          <w:i/>
        </w:rPr>
        <w:t>Mphaphuli</w:t>
      </w:r>
      <w:r w:rsidR="00601E41">
        <w:rPr>
          <w:i/>
        </w:rPr>
        <w:t>,</w:t>
      </w:r>
      <w:r w:rsidR="00C97CBD">
        <w:t xml:space="preserve"> </w:t>
      </w:r>
      <w:r w:rsidR="004A5BB3" w:rsidRPr="001F770B">
        <w:t>O’</w:t>
      </w:r>
      <w:r w:rsidR="00943A19">
        <w:t xml:space="preserve"> </w:t>
      </w:r>
      <w:r w:rsidR="004A5BB3" w:rsidRPr="001F770B">
        <w:t xml:space="preserve">Regan </w:t>
      </w:r>
      <w:r w:rsidR="00C97CBD">
        <w:t>ADCJ</w:t>
      </w:r>
      <w:r w:rsidR="00D03EE7">
        <w:t xml:space="preserve"> </w:t>
      </w:r>
      <w:r w:rsidR="004A5BB3" w:rsidRPr="001F770B">
        <w:t>remarked as follows:</w:t>
      </w:r>
      <w:r w:rsidR="004A5BB3">
        <w:rPr>
          <w:b/>
        </w:rPr>
        <w:t xml:space="preserve"> </w:t>
      </w:r>
    </w:p>
    <w:p w14:paraId="28694CD3" w14:textId="0AF801FB" w:rsidR="004A5BB3" w:rsidRDefault="004A5BB3" w:rsidP="001F770B">
      <w:pPr>
        <w:spacing w:before="240" w:after="240" w:line="360" w:lineRule="auto"/>
        <w:ind w:left="1440" w:hanging="720"/>
        <w:jc w:val="both"/>
        <w:rPr>
          <w:iCs/>
          <w:sz w:val="22"/>
          <w:szCs w:val="22"/>
          <w:lang w:eastAsia="en-US"/>
        </w:rPr>
      </w:pPr>
      <w:r>
        <w:rPr>
          <w:i/>
          <w:iCs/>
          <w:lang w:eastAsia="en-US"/>
        </w:rPr>
        <w:t>‘</w:t>
      </w:r>
      <w:r w:rsidRPr="001F770B">
        <w:rPr>
          <w:iCs/>
          <w:sz w:val="22"/>
          <w:szCs w:val="22"/>
          <w:lang w:eastAsia="en-US"/>
        </w:rPr>
        <w:t>198</w:t>
      </w:r>
      <w:r w:rsidR="001F770B" w:rsidRPr="001F770B">
        <w:rPr>
          <w:iCs/>
          <w:sz w:val="22"/>
          <w:szCs w:val="22"/>
          <w:lang w:eastAsia="en-US"/>
        </w:rPr>
        <w:tab/>
      </w:r>
      <w:r w:rsidRPr="001F770B">
        <w:rPr>
          <w:iCs/>
          <w:sz w:val="22"/>
          <w:szCs w:val="22"/>
          <w:lang w:eastAsia="en-US"/>
        </w:rPr>
        <w:t xml:space="preserve">The twin hallmarks of private arbitration are thus that it is based on consent and that it is private i.e. a non-State process. It must accordingly be distinguished from arbitration proceedings before the Commission for Conciliation, Mediation and Arbitration (CCMA) in terms of the Labour Relations Act 66 of 1995 which are neither consensual, in that respondents do not have a choice as to whether to participate in the proceedings, nor private.  </w:t>
      </w:r>
      <w:r w:rsidR="001F770B">
        <w:rPr>
          <w:iCs/>
          <w:sz w:val="22"/>
          <w:szCs w:val="22"/>
          <w:lang w:eastAsia="en-US"/>
        </w:rPr>
        <w:t>G</w:t>
      </w:r>
      <w:r w:rsidRPr="001F770B">
        <w:rPr>
          <w:iCs/>
          <w:sz w:val="22"/>
          <w:szCs w:val="22"/>
          <w:lang w:eastAsia="en-US"/>
        </w:rPr>
        <w:t>iven these differences, the considerations which underly the analysis of the review of such proceedings are not directly applicable to private arbitrations.</w:t>
      </w:r>
      <w:r w:rsidR="001F770B">
        <w:rPr>
          <w:iCs/>
          <w:sz w:val="22"/>
          <w:szCs w:val="22"/>
          <w:lang w:eastAsia="en-US"/>
        </w:rPr>
        <w:t>’</w:t>
      </w:r>
    </w:p>
    <w:p w14:paraId="659EBA3A" w14:textId="7C16973C" w:rsidR="00601E41" w:rsidRPr="0081526F" w:rsidRDefault="00601E41" w:rsidP="001F770B">
      <w:pPr>
        <w:spacing w:before="240" w:after="240" w:line="360" w:lineRule="auto"/>
        <w:ind w:left="1440" w:hanging="720"/>
        <w:jc w:val="both"/>
        <w:rPr>
          <w:b/>
          <w:sz w:val="22"/>
          <w:szCs w:val="22"/>
          <w:lang w:eastAsia="en-US"/>
        </w:rPr>
      </w:pPr>
      <w:r w:rsidRPr="0081526F">
        <w:rPr>
          <w:b/>
          <w:iCs/>
          <w:lang w:eastAsia="en-US"/>
        </w:rPr>
        <w:lastRenderedPageBreak/>
        <w:t xml:space="preserve">THE CHALLENGES TO THE AWARDS </w:t>
      </w:r>
    </w:p>
    <w:p w14:paraId="19A4B6FD" w14:textId="752EBEA7" w:rsidR="00597F94" w:rsidRPr="001F770B" w:rsidRDefault="001F770B" w:rsidP="004A5BB3">
      <w:pPr>
        <w:pStyle w:val="Level1"/>
        <w:numPr>
          <w:ilvl w:val="0"/>
          <w:numId w:val="0"/>
        </w:numPr>
        <w:spacing w:line="360" w:lineRule="auto"/>
        <w:ind w:left="851" w:hanging="851"/>
        <w:rPr>
          <w:iCs/>
        </w:rPr>
      </w:pPr>
      <w:r>
        <w:rPr>
          <w:iCs/>
        </w:rPr>
        <w:t>[6</w:t>
      </w:r>
      <w:r w:rsidR="000B734A">
        <w:rPr>
          <w:iCs/>
        </w:rPr>
        <w:t>4</w:t>
      </w:r>
      <w:r>
        <w:rPr>
          <w:iCs/>
        </w:rPr>
        <w:t>]</w:t>
      </w:r>
      <w:r>
        <w:rPr>
          <w:iCs/>
        </w:rPr>
        <w:tab/>
      </w:r>
      <w:r w:rsidR="00880CF8" w:rsidRPr="001F770B">
        <w:rPr>
          <w:iCs/>
        </w:rPr>
        <w:t>In these proceedings Mr Roux relied principally on the contention that the arbitrators had misconceived the nature of the enquiry before them. In th</w:t>
      </w:r>
      <w:r w:rsidR="00601E41">
        <w:rPr>
          <w:iCs/>
        </w:rPr>
        <w:t xml:space="preserve">at </w:t>
      </w:r>
      <w:r w:rsidR="00880CF8" w:rsidRPr="001F770B">
        <w:rPr>
          <w:iCs/>
        </w:rPr>
        <w:t xml:space="preserve">regard, </w:t>
      </w:r>
      <w:r w:rsidR="00702144" w:rsidRPr="001F770B">
        <w:rPr>
          <w:iCs/>
        </w:rPr>
        <w:t>t</w:t>
      </w:r>
      <w:r w:rsidR="00880CF8" w:rsidRPr="001F770B">
        <w:rPr>
          <w:iCs/>
        </w:rPr>
        <w:t>he</w:t>
      </w:r>
      <w:r w:rsidR="00B81EFB" w:rsidRPr="001F770B">
        <w:rPr>
          <w:iCs/>
        </w:rPr>
        <w:t>y</w:t>
      </w:r>
      <w:r w:rsidR="00880CF8" w:rsidRPr="001F770B">
        <w:rPr>
          <w:iCs/>
        </w:rPr>
        <w:t xml:space="preserve"> contended that the arbitrators h</w:t>
      </w:r>
      <w:r>
        <w:rPr>
          <w:iCs/>
        </w:rPr>
        <w:t xml:space="preserve">ad incorrectly held that based </w:t>
      </w:r>
      <w:r w:rsidR="00880CF8" w:rsidRPr="001F770B">
        <w:rPr>
          <w:iCs/>
        </w:rPr>
        <w:t>on th</w:t>
      </w:r>
      <w:r w:rsidR="00EE798D" w:rsidRPr="001F770B">
        <w:rPr>
          <w:iCs/>
        </w:rPr>
        <w:t>e application of</w:t>
      </w:r>
      <w:r w:rsidR="00880CF8" w:rsidRPr="001F770B">
        <w:rPr>
          <w:iCs/>
        </w:rPr>
        <w:t xml:space="preserve"> </w:t>
      </w:r>
      <w:r w:rsidR="00880CF8" w:rsidRPr="001F770B">
        <w:rPr>
          <w:i/>
          <w:iCs/>
        </w:rPr>
        <w:t>Japmoco</w:t>
      </w:r>
      <w:r w:rsidR="00EE798D" w:rsidRPr="001F770B">
        <w:rPr>
          <w:iCs/>
        </w:rPr>
        <w:t xml:space="preserve"> in respect of the onus in the proof of compensatory benefits</w:t>
      </w:r>
      <w:r w:rsidR="00A14A91">
        <w:rPr>
          <w:iCs/>
        </w:rPr>
        <w:t>,</w:t>
      </w:r>
      <w:r w:rsidR="00943A19">
        <w:rPr>
          <w:iCs/>
        </w:rPr>
        <w:t xml:space="preserve"> </w:t>
      </w:r>
      <w:r w:rsidR="00A14A91">
        <w:rPr>
          <w:iCs/>
        </w:rPr>
        <w:t>that</w:t>
      </w:r>
      <w:r w:rsidR="00170FC8">
        <w:rPr>
          <w:iCs/>
        </w:rPr>
        <w:t xml:space="preserve"> on their premise that the benefits obtained by the University were “common cause” </w:t>
      </w:r>
      <w:r w:rsidR="002E3D97">
        <w:rPr>
          <w:iCs/>
        </w:rPr>
        <w:t>as</w:t>
      </w:r>
      <w:r w:rsidR="00170FC8">
        <w:rPr>
          <w:iCs/>
        </w:rPr>
        <w:t>,</w:t>
      </w:r>
      <w:r w:rsidR="00BE52AE" w:rsidRPr="001F770B">
        <w:rPr>
          <w:iCs/>
        </w:rPr>
        <w:t xml:space="preserve"> “ …of deur die eiser erke</w:t>
      </w:r>
      <w:r w:rsidR="00170FC8">
        <w:rPr>
          <w:iCs/>
        </w:rPr>
        <w:t>n”</w:t>
      </w:r>
      <w:r w:rsidR="00BE52AE" w:rsidRPr="001F770B">
        <w:rPr>
          <w:iCs/>
        </w:rPr>
        <w:t xml:space="preserve"> </w:t>
      </w:r>
      <w:r w:rsidR="009538C0">
        <w:rPr>
          <w:iCs/>
        </w:rPr>
        <w:t xml:space="preserve">that </w:t>
      </w:r>
      <w:r w:rsidR="002E3D97">
        <w:rPr>
          <w:iCs/>
        </w:rPr>
        <w:t xml:space="preserve">(as per </w:t>
      </w:r>
      <w:r w:rsidR="002E3D97" w:rsidRPr="002E3D97">
        <w:rPr>
          <w:i/>
          <w:iCs/>
        </w:rPr>
        <w:t>Japmoco</w:t>
      </w:r>
      <w:r w:rsidR="002E3D97">
        <w:rPr>
          <w:iCs/>
        </w:rPr>
        <w:t xml:space="preserve">) </w:t>
      </w:r>
      <w:r w:rsidR="00BE52AE" w:rsidRPr="001F770B">
        <w:rPr>
          <w:iCs/>
        </w:rPr>
        <w:t xml:space="preserve">the </w:t>
      </w:r>
      <w:r w:rsidR="009538C0">
        <w:rPr>
          <w:iCs/>
        </w:rPr>
        <w:t xml:space="preserve">claim of the </w:t>
      </w:r>
      <w:r w:rsidR="00BE52AE" w:rsidRPr="001F770B">
        <w:rPr>
          <w:iCs/>
        </w:rPr>
        <w:t>Universit</w:t>
      </w:r>
      <w:r w:rsidR="002060E7" w:rsidRPr="001F770B">
        <w:rPr>
          <w:iCs/>
        </w:rPr>
        <w:t xml:space="preserve">y should have been </w:t>
      </w:r>
      <w:r w:rsidR="00170FC8">
        <w:rPr>
          <w:iCs/>
        </w:rPr>
        <w:t>“</w:t>
      </w:r>
      <w:r w:rsidR="002060E7" w:rsidRPr="001F770B">
        <w:rPr>
          <w:iCs/>
        </w:rPr>
        <w:t>disabled</w:t>
      </w:r>
      <w:r w:rsidR="00B83482">
        <w:rPr>
          <w:rStyle w:val="FootnoteReference"/>
          <w:iCs/>
        </w:rPr>
        <w:footnoteReference w:id="20"/>
      </w:r>
      <w:r w:rsidR="00170FC8">
        <w:rPr>
          <w:iCs/>
        </w:rPr>
        <w:t>”</w:t>
      </w:r>
      <w:r>
        <w:rPr>
          <w:iCs/>
        </w:rPr>
        <w:t>.</w:t>
      </w:r>
      <w:r w:rsidR="009D2093">
        <w:rPr>
          <w:iCs/>
        </w:rPr>
        <w:t xml:space="preserve"> </w:t>
      </w:r>
    </w:p>
    <w:p w14:paraId="013D7AFE" w14:textId="3EF6F329" w:rsidR="009E266C" w:rsidRPr="009F342B" w:rsidRDefault="00D03EE7" w:rsidP="009F342B">
      <w:pPr>
        <w:pStyle w:val="Level1"/>
        <w:numPr>
          <w:ilvl w:val="0"/>
          <w:numId w:val="0"/>
        </w:numPr>
        <w:spacing w:line="360" w:lineRule="auto"/>
        <w:ind w:left="851" w:hanging="851"/>
        <w:rPr>
          <w:iCs/>
        </w:rPr>
      </w:pPr>
      <w:r>
        <w:rPr>
          <w:iCs/>
        </w:rPr>
        <w:t>[</w:t>
      </w:r>
      <w:r w:rsidR="00B81337">
        <w:rPr>
          <w:iCs/>
        </w:rPr>
        <w:t>6</w:t>
      </w:r>
      <w:r w:rsidR="000B734A">
        <w:rPr>
          <w:iCs/>
        </w:rPr>
        <w:t>5</w:t>
      </w:r>
      <w:r w:rsidR="009D2093">
        <w:rPr>
          <w:iCs/>
        </w:rPr>
        <w:t>]</w:t>
      </w:r>
      <w:r w:rsidR="009D2093">
        <w:rPr>
          <w:iCs/>
        </w:rPr>
        <w:tab/>
      </w:r>
      <w:r w:rsidR="002060E7" w:rsidRPr="009D2093">
        <w:rPr>
          <w:iCs/>
        </w:rPr>
        <w:t xml:space="preserve">On that score </w:t>
      </w:r>
      <w:r w:rsidR="009D2093">
        <w:rPr>
          <w:iCs/>
        </w:rPr>
        <w:t>they</w:t>
      </w:r>
      <w:r w:rsidR="002060E7" w:rsidRPr="009D2093">
        <w:rPr>
          <w:iCs/>
        </w:rPr>
        <w:t xml:space="preserve"> submitted that “……</w:t>
      </w:r>
      <w:r w:rsidR="002060E7" w:rsidRPr="009D2093">
        <w:rPr>
          <w:i/>
          <w:iCs/>
        </w:rPr>
        <w:t>Japmoco</w:t>
      </w:r>
      <w:r w:rsidR="002060E7" w:rsidRPr="009D2093">
        <w:rPr>
          <w:iCs/>
        </w:rPr>
        <w:t xml:space="preserve"> </w:t>
      </w:r>
      <w:r w:rsidR="00B81337">
        <w:rPr>
          <w:iCs/>
        </w:rPr>
        <w:t>i</w:t>
      </w:r>
      <w:r>
        <w:rPr>
          <w:iCs/>
        </w:rPr>
        <w:t>s</w:t>
      </w:r>
      <w:r w:rsidR="002060E7" w:rsidRPr="009D2093">
        <w:rPr>
          <w:iCs/>
        </w:rPr>
        <w:t xml:space="preserve"> decisive</w:t>
      </w:r>
      <w:r>
        <w:rPr>
          <w:iCs/>
        </w:rPr>
        <w:t>,</w:t>
      </w:r>
      <w:r w:rsidR="002060E7" w:rsidRPr="009D2093">
        <w:rPr>
          <w:iCs/>
        </w:rPr>
        <w:t xml:space="preserve"> and that the University`s claim should be dismissed on the basis of the passage quoted above</w:t>
      </w:r>
      <w:r w:rsidR="009D2093">
        <w:rPr>
          <w:iCs/>
        </w:rPr>
        <w:t xml:space="preserve"> </w:t>
      </w:r>
      <w:r w:rsidR="002060E7" w:rsidRPr="009D2093">
        <w:rPr>
          <w:iCs/>
        </w:rPr>
        <w:t>(with reference to what they contended was common cause</w:t>
      </w:r>
      <w:r w:rsidR="0049307A">
        <w:rPr>
          <w:iCs/>
        </w:rPr>
        <w:t>,</w:t>
      </w:r>
      <w:r w:rsidR="002060E7" w:rsidRPr="009D2093">
        <w:rPr>
          <w:iCs/>
        </w:rPr>
        <w:t>)”</w:t>
      </w:r>
      <w:r w:rsidR="00BE52AE" w:rsidRPr="009D2093">
        <w:rPr>
          <w:iCs/>
        </w:rPr>
        <w:t xml:space="preserve">  </w:t>
      </w:r>
      <w:r w:rsidR="002060E7" w:rsidRPr="009D2093">
        <w:rPr>
          <w:iCs/>
        </w:rPr>
        <w:t xml:space="preserve">When eventually having to accept in argument that it was </w:t>
      </w:r>
      <w:r w:rsidR="002060E7" w:rsidRPr="00826CB3">
        <w:rPr>
          <w:i/>
          <w:iCs/>
        </w:rPr>
        <w:t>not</w:t>
      </w:r>
      <w:r w:rsidR="002060E7" w:rsidRPr="009D2093">
        <w:rPr>
          <w:iCs/>
        </w:rPr>
        <w:t xml:space="preserve"> </w:t>
      </w:r>
      <w:r w:rsidR="002060E7" w:rsidRPr="00826CB3">
        <w:rPr>
          <w:i/>
          <w:iCs/>
        </w:rPr>
        <w:t>common cause</w:t>
      </w:r>
      <w:r w:rsidR="002060E7" w:rsidRPr="009D2093">
        <w:rPr>
          <w:iCs/>
        </w:rPr>
        <w:t xml:space="preserve"> that the University</w:t>
      </w:r>
      <w:r w:rsidR="0049307A">
        <w:rPr>
          <w:iCs/>
        </w:rPr>
        <w:t xml:space="preserve"> had</w:t>
      </w:r>
      <w:r w:rsidR="002060E7" w:rsidRPr="009D2093">
        <w:rPr>
          <w:iCs/>
        </w:rPr>
        <w:t xml:space="preserve"> received a benefit </w:t>
      </w:r>
      <w:r w:rsidR="003775B5">
        <w:rPr>
          <w:iCs/>
        </w:rPr>
        <w:t xml:space="preserve">from </w:t>
      </w:r>
      <w:r w:rsidR="002060E7" w:rsidRPr="009D2093">
        <w:rPr>
          <w:iCs/>
        </w:rPr>
        <w:t xml:space="preserve"> Mr Roux`s unlawful expenditure</w:t>
      </w:r>
      <w:r w:rsidR="003775B5">
        <w:rPr>
          <w:iCs/>
        </w:rPr>
        <w:t>,</w:t>
      </w:r>
      <w:r w:rsidR="002060E7" w:rsidRPr="009D2093">
        <w:rPr>
          <w:iCs/>
        </w:rPr>
        <w:t xml:space="preserve"> the challenge reverted to the failure by the arbitrators to have applied the findings on onus in </w:t>
      </w:r>
      <w:r w:rsidR="002060E7" w:rsidRPr="009D2093">
        <w:rPr>
          <w:i/>
          <w:iCs/>
        </w:rPr>
        <w:t xml:space="preserve">Japmoco </w:t>
      </w:r>
      <w:r w:rsidR="002060E7" w:rsidRPr="009D2093">
        <w:rPr>
          <w:iCs/>
        </w:rPr>
        <w:t>in the context of an emplo</w:t>
      </w:r>
      <w:r w:rsidR="004A5BB3" w:rsidRPr="009D2093">
        <w:rPr>
          <w:iCs/>
        </w:rPr>
        <w:t>y</w:t>
      </w:r>
      <w:r w:rsidR="002060E7" w:rsidRPr="009D2093">
        <w:rPr>
          <w:iCs/>
        </w:rPr>
        <w:t>ment relationship</w:t>
      </w:r>
      <w:r w:rsidR="00D05668">
        <w:rPr>
          <w:iCs/>
        </w:rPr>
        <w:t xml:space="preserve"> where the expenditure was made in the scope of the business of the University</w:t>
      </w:r>
      <w:r w:rsidR="004A5BB3" w:rsidRPr="009D2093">
        <w:rPr>
          <w:iCs/>
        </w:rPr>
        <w:t>.</w:t>
      </w:r>
      <w:r w:rsidR="002060E7" w:rsidRPr="009D2093">
        <w:rPr>
          <w:iCs/>
        </w:rPr>
        <w:t xml:space="preserve"> </w:t>
      </w:r>
      <w:r w:rsidR="00597F94" w:rsidRPr="009D2093">
        <w:rPr>
          <w:iCs/>
        </w:rPr>
        <w:t>In that regard</w:t>
      </w:r>
      <w:r w:rsidR="00D05668">
        <w:rPr>
          <w:iCs/>
        </w:rPr>
        <w:t>,</w:t>
      </w:r>
      <w:r w:rsidR="00597F94" w:rsidRPr="009D2093">
        <w:rPr>
          <w:iCs/>
        </w:rPr>
        <w:t xml:space="preserve"> the </w:t>
      </w:r>
      <w:r w:rsidR="00D05668">
        <w:rPr>
          <w:iCs/>
        </w:rPr>
        <w:t xml:space="preserve">basis of </w:t>
      </w:r>
      <w:r w:rsidR="00597F94" w:rsidRPr="009D2093">
        <w:rPr>
          <w:iCs/>
        </w:rPr>
        <w:t>the onus challenge overlapped with that of the alternative</w:t>
      </w:r>
      <w:r w:rsidR="006C7DE7">
        <w:rPr>
          <w:iCs/>
        </w:rPr>
        <w:t>,</w:t>
      </w:r>
      <w:r w:rsidR="00597F94" w:rsidRPr="009D2093">
        <w:rPr>
          <w:iCs/>
        </w:rPr>
        <w:t xml:space="preserve"> constitutional </w:t>
      </w:r>
      <w:r w:rsidR="00762C0E" w:rsidRPr="009D2093">
        <w:rPr>
          <w:iCs/>
        </w:rPr>
        <w:t>challenge</w:t>
      </w:r>
      <w:r w:rsidR="00762C0E">
        <w:rPr>
          <w:iCs/>
        </w:rPr>
        <w:t>. It</w:t>
      </w:r>
      <w:r w:rsidR="00EF5504">
        <w:rPr>
          <w:iCs/>
        </w:rPr>
        <w:t xml:space="preserve"> was </w:t>
      </w:r>
      <w:r w:rsidR="00170FC8">
        <w:rPr>
          <w:iCs/>
        </w:rPr>
        <w:t>contended that</w:t>
      </w:r>
      <w:r w:rsidR="00EF5504">
        <w:rPr>
          <w:iCs/>
        </w:rPr>
        <w:t xml:space="preserve"> once Mr Roux had shown that the expenditure was made in the scope of the business of the University the onus to prove the benefit and its quantification reverted </w:t>
      </w:r>
      <w:r w:rsidR="00170FC8">
        <w:rPr>
          <w:iCs/>
        </w:rPr>
        <w:t>to the</w:t>
      </w:r>
      <w:r w:rsidR="00762C0E">
        <w:rPr>
          <w:iCs/>
        </w:rPr>
        <w:t xml:space="preserve"> University </w:t>
      </w:r>
      <w:r w:rsidR="00EF5504">
        <w:rPr>
          <w:iCs/>
        </w:rPr>
        <w:t>(the notion of a “double switch” in the onus)</w:t>
      </w:r>
      <w:r w:rsidR="007A07EC">
        <w:rPr>
          <w:iCs/>
        </w:rPr>
        <w:t>.</w:t>
      </w:r>
      <w:r w:rsidR="004D1AE1">
        <w:rPr>
          <w:iCs/>
        </w:rPr>
        <w:t xml:space="preserve"> </w:t>
      </w:r>
      <w:r w:rsidR="00EF5504">
        <w:rPr>
          <w:iCs/>
        </w:rPr>
        <w:t>Mr Roux would however</w:t>
      </w:r>
      <w:r w:rsidR="00A14A91">
        <w:rPr>
          <w:iCs/>
        </w:rPr>
        <w:t>,</w:t>
      </w:r>
      <w:r w:rsidR="00EF5504">
        <w:rPr>
          <w:iCs/>
        </w:rPr>
        <w:t xml:space="preserve"> have had to plead that the expenditure was in the business of the </w:t>
      </w:r>
      <w:r w:rsidR="00FD6E60">
        <w:rPr>
          <w:iCs/>
        </w:rPr>
        <w:t>University</w:t>
      </w:r>
      <w:r w:rsidR="00A14A91">
        <w:rPr>
          <w:iCs/>
        </w:rPr>
        <w:t xml:space="preserve"> </w:t>
      </w:r>
      <w:r w:rsidR="00FD6E60">
        <w:rPr>
          <w:iCs/>
        </w:rPr>
        <w:t xml:space="preserve">which counsel for the Mr Roux submitted would have been </w:t>
      </w:r>
      <w:r w:rsidR="00FD6E60">
        <w:rPr>
          <w:iCs/>
        </w:rPr>
        <w:lastRenderedPageBreak/>
        <w:t xml:space="preserve">indicative of </w:t>
      </w:r>
      <w:r w:rsidR="003775B5">
        <w:rPr>
          <w:iCs/>
        </w:rPr>
        <w:t xml:space="preserve">“the </w:t>
      </w:r>
      <w:r w:rsidR="00FD6E60">
        <w:rPr>
          <w:iCs/>
        </w:rPr>
        <w:t>benefit</w:t>
      </w:r>
      <w:r w:rsidR="00762C0E">
        <w:rPr>
          <w:iCs/>
        </w:rPr>
        <w:t>”</w:t>
      </w:r>
      <w:r w:rsidR="00FD6E60">
        <w:rPr>
          <w:iCs/>
        </w:rPr>
        <w:t xml:space="preserve"> to the University in the context of an employment relationship.</w:t>
      </w:r>
      <w:r w:rsidR="00EF5504">
        <w:rPr>
          <w:iCs/>
        </w:rPr>
        <w:t xml:space="preserve"> </w:t>
      </w:r>
      <w:r w:rsidR="00762C0E">
        <w:rPr>
          <w:iCs/>
        </w:rPr>
        <w:t xml:space="preserve">Mr Roux </w:t>
      </w:r>
      <w:r w:rsidR="00170FC8">
        <w:rPr>
          <w:iCs/>
        </w:rPr>
        <w:t xml:space="preserve">however </w:t>
      </w:r>
      <w:r w:rsidR="00EF5504">
        <w:rPr>
          <w:iCs/>
        </w:rPr>
        <w:t>never</w:t>
      </w:r>
      <w:r w:rsidR="00FD6E60">
        <w:rPr>
          <w:iCs/>
        </w:rPr>
        <w:t xml:space="preserve"> pleaded </w:t>
      </w:r>
      <w:r w:rsidR="003775B5">
        <w:rPr>
          <w:iCs/>
        </w:rPr>
        <w:t xml:space="preserve">that the expenditure was made in the scope of the business of the University, </w:t>
      </w:r>
      <w:r w:rsidR="00762C0E">
        <w:rPr>
          <w:iCs/>
        </w:rPr>
        <w:t xml:space="preserve">and </w:t>
      </w:r>
      <w:r w:rsidR="003775B5">
        <w:rPr>
          <w:iCs/>
        </w:rPr>
        <w:t xml:space="preserve">neither could he </w:t>
      </w:r>
      <w:r w:rsidR="00FD6E60">
        <w:rPr>
          <w:iCs/>
        </w:rPr>
        <w:t>on the findings of th</w:t>
      </w:r>
      <w:r w:rsidR="003775B5">
        <w:rPr>
          <w:iCs/>
        </w:rPr>
        <w:t>e</w:t>
      </w:r>
      <w:r w:rsidR="00943A19">
        <w:rPr>
          <w:iCs/>
        </w:rPr>
        <w:t xml:space="preserve"> </w:t>
      </w:r>
      <w:r w:rsidR="003775B5">
        <w:rPr>
          <w:iCs/>
        </w:rPr>
        <w:t>A</w:t>
      </w:r>
      <w:r w:rsidR="00FD6E60">
        <w:rPr>
          <w:iCs/>
        </w:rPr>
        <w:t xml:space="preserve">ppeal </w:t>
      </w:r>
      <w:r w:rsidR="003775B5">
        <w:rPr>
          <w:iCs/>
        </w:rPr>
        <w:t>T</w:t>
      </w:r>
      <w:r w:rsidR="00FD6E60">
        <w:rPr>
          <w:iCs/>
        </w:rPr>
        <w:t>ribunal</w:t>
      </w:r>
      <w:r w:rsidR="00943A19">
        <w:rPr>
          <w:iCs/>
        </w:rPr>
        <w:t xml:space="preserve"> </w:t>
      </w:r>
      <w:r w:rsidR="00FD6E60">
        <w:rPr>
          <w:iCs/>
        </w:rPr>
        <w:t>have</w:t>
      </w:r>
      <w:r w:rsidR="00762C0E">
        <w:rPr>
          <w:iCs/>
        </w:rPr>
        <w:t xml:space="preserve"> sustained his claim that the fu</w:t>
      </w:r>
      <w:r w:rsidR="00FD6E60">
        <w:rPr>
          <w:iCs/>
        </w:rPr>
        <w:t>nds were lawfully spent “ …in  die normale gang van die Rugby Klub en sy uitgawes</w:t>
      </w:r>
      <w:r w:rsidR="00762C0E">
        <w:rPr>
          <w:iCs/>
        </w:rPr>
        <w:t>.</w:t>
      </w:r>
      <w:r w:rsidR="00FD6E60">
        <w:rPr>
          <w:iCs/>
        </w:rPr>
        <w:t>”</w:t>
      </w:r>
      <w:r w:rsidR="00762C0E">
        <w:rPr>
          <w:iCs/>
        </w:rPr>
        <w:t xml:space="preserve"> </w:t>
      </w:r>
      <w:r w:rsidR="003775B5">
        <w:rPr>
          <w:iCs/>
        </w:rPr>
        <w:t xml:space="preserve">Mr Roux </w:t>
      </w:r>
      <w:r w:rsidR="00762C0E">
        <w:rPr>
          <w:iCs/>
        </w:rPr>
        <w:t>had been</w:t>
      </w:r>
      <w:r w:rsidR="00EF5504">
        <w:rPr>
          <w:iCs/>
        </w:rPr>
        <w:t xml:space="preserve"> conte</w:t>
      </w:r>
      <w:r w:rsidR="00762C0E">
        <w:rPr>
          <w:iCs/>
        </w:rPr>
        <w:t>nt with</w:t>
      </w:r>
      <w:r w:rsidR="00FD6E60">
        <w:rPr>
          <w:iCs/>
        </w:rPr>
        <w:t xml:space="preserve"> bald denials of not </w:t>
      </w:r>
      <w:r w:rsidR="00762C0E">
        <w:rPr>
          <w:iCs/>
        </w:rPr>
        <w:t>only his breach of the contract</w:t>
      </w:r>
      <w:r w:rsidR="003775B5">
        <w:rPr>
          <w:iCs/>
        </w:rPr>
        <w:t>,</w:t>
      </w:r>
      <w:r w:rsidR="00762C0E">
        <w:rPr>
          <w:iCs/>
        </w:rPr>
        <w:t xml:space="preserve"> of having</w:t>
      </w:r>
      <w:r w:rsidR="00EF5504">
        <w:rPr>
          <w:iCs/>
        </w:rPr>
        <w:t xml:space="preserve"> made the unlawful </w:t>
      </w:r>
      <w:r w:rsidR="00FD6E60">
        <w:rPr>
          <w:iCs/>
        </w:rPr>
        <w:t xml:space="preserve">allocations and </w:t>
      </w:r>
      <w:r w:rsidR="00762C0E">
        <w:rPr>
          <w:iCs/>
        </w:rPr>
        <w:t>importantly having</w:t>
      </w:r>
      <w:r w:rsidR="00FD6E60">
        <w:rPr>
          <w:iCs/>
        </w:rPr>
        <w:t xml:space="preserve"> denied </w:t>
      </w:r>
      <w:r w:rsidR="003775B5">
        <w:rPr>
          <w:iCs/>
        </w:rPr>
        <w:t xml:space="preserve">the </w:t>
      </w:r>
      <w:r w:rsidR="00FD6E60">
        <w:rPr>
          <w:iCs/>
        </w:rPr>
        <w:t>expenditure.</w:t>
      </w:r>
      <w:r w:rsidR="00EF5504">
        <w:rPr>
          <w:iCs/>
        </w:rPr>
        <w:t xml:space="preserve"> </w:t>
      </w:r>
      <w:r w:rsidR="004726CC">
        <w:rPr>
          <w:iCs/>
        </w:rPr>
        <w:t>Moreover,</w:t>
      </w:r>
      <w:r w:rsidR="00762C0E">
        <w:rPr>
          <w:iCs/>
        </w:rPr>
        <w:t xml:space="preserve"> counsel for the University reiterated that none of these claims,</w:t>
      </w:r>
      <w:r w:rsidR="004D1AE1">
        <w:rPr>
          <w:iCs/>
        </w:rPr>
        <w:t xml:space="preserve"> </w:t>
      </w:r>
      <w:r w:rsidR="00762C0E">
        <w:rPr>
          <w:iCs/>
        </w:rPr>
        <w:t>despite not having been pleaded</w:t>
      </w:r>
      <w:r w:rsidR="009F342B">
        <w:rPr>
          <w:iCs/>
        </w:rPr>
        <w:t xml:space="preserve"> and proved </w:t>
      </w:r>
      <w:r w:rsidR="00170FC8">
        <w:rPr>
          <w:iCs/>
        </w:rPr>
        <w:t>was no more than a</w:t>
      </w:r>
      <w:r w:rsidR="00762C0E">
        <w:rPr>
          <w:iCs/>
        </w:rPr>
        <w:t xml:space="preserve"> wholly impermissible</w:t>
      </w:r>
      <w:r w:rsidR="009F342B">
        <w:rPr>
          <w:iCs/>
        </w:rPr>
        <w:t xml:space="preserve"> </w:t>
      </w:r>
      <w:r w:rsidR="00762C0E">
        <w:rPr>
          <w:iCs/>
        </w:rPr>
        <w:t xml:space="preserve">attempt at </w:t>
      </w:r>
      <w:r w:rsidR="009F342B">
        <w:rPr>
          <w:iCs/>
        </w:rPr>
        <w:t>re</w:t>
      </w:r>
      <w:r w:rsidR="003775B5">
        <w:rPr>
          <w:iCs/>
        </w:rPr>
        <w:t>-</w:t>
      </w:r>
      <w:r w:rsidR="009F342B">
        <w:rPr>
          <w:iCs/>
        </w:rPr>
        <w:t>arguing</w:t>
      </w:r>
      <w:r w:rsidR="00762C0E">
        <w:rPr>
          <w:iCs/>
        </w:rPr>
        <w:t xml:space="preserve"> the </w:t>
      </w:r>
      <w:r w:rsidR="004726CC">
        <w:rPr>
          <w:iCs/>
        </w:rPr>
        <w:t>common law and</w:t>
      </w:r>
      <w:r w:rsidR="003775B5">
        <w:rPr>
          <w:iCs/>
        </w:rPr>
        <w:t xml:space="preserve"> the </w:t>
      </w:r>
      <w:r w:rsidR="00762C0E">
        <w:rPr>
          <w:iCs/>
        </w:rPr>
        <w:t xml:space="preserve">merits of the arbitrations before this </w:t>
      </w:r>
      <w:r w:rsidR="009F342B">
        <w:rPr>
          <w:iCs/>
        </w:rPr>
        <w:t>court. I share that view.</w:t>
      </w:r>
    </w:p>
    <w:p w14:paraId="63302D82" w14:textId="66A59481" w:rsidR="002F00F1" w:rsidRPr="00E0762C" w:rsidRDefault="00612930" w:rsidP="00E0762C">
      <w:pPr>
        <w:spacing w:after="360" w:line="360" w:lineRule="auto"/>
        <w:jc w:val="both"/>
        <w:rPr>
          <w:b/>
        </w:rPr>
      </w:pPr>
      <w:r w:rsidRPr="00E0762C">
        <w:rPr>
          <w:b/>
        </w:rPr>
        <w:t>W</w:t>
      </w:r>
      <w:r w:rsidR="004D1AE1">
        <w:rPr>
          <w:b/>
        </w:rPr>
        <w:t>as there a gross irregularity in the conduct of the arbitration proceedings?</w:t>
      </w:r>
      <w:r w:rsidR="009F342B">
        <w:rPr>
          <w:b/>
        </w:rPr>
        <w:t xml:space="preserve">  </w:t>
      </w:r>
    </w:p>
    <w:p w14:paraId="4A4ECAD6" w14:textId="092B423E" w:rsidR="00612930" w:rsidRDefault="00612930" w:rsidP="001F323A">
      <w:pPr>
        <w:spacing w:after="360" w:line="360" w:lineRule="auto"/>
        <w:ind w:left="720" w:hanging="720"/>
        <w:jc w:val="both"/>
      </w:pPr>
      <w:r>
        <w:t>[</w:t>
      </w:r>
      <w:r w:rsidR="009D2093">
        <w:t>6</w:t>
      </w:r>
      <w:r w:rsidR="000B734A">
        <w:t>6</w:t>
      </w:r>
      <w:r w:rsidR="00E0762C">
        <w:t>]</w:t>
      </w:r>
      <w:r w:rsidR="00E0762C">
        <w:tab/>
      </w:r>
      <w:r w:rsidR="00550110">
        <w:t>The applicant relie</w:t>
      </w:r>
      <w:r w:rsidR="00FF077B">
        <w:t>d</w:t>
      </w:r>
      <w:r w:rsidR="00550110">
        <w:t xml:space="preserve"> on section 33(1)(b) of the Act and was therefore required to establish that there was a gross irregularity ‘in the conduct of the </w:t>
      </w:r>
      <w:r w:rsidR="00FF077B">
        <w:t>proceedings both in the initial arbitration and that in the appea</w:t>
      </w:r>
      <w:r w:rsidR="009F342B">
        <w:t>l</w:t>
      </w:r>
      <w:r w:rsidR="00550110">
        <w:t xml:space="preserve"> that resulted in him </w:t>
      </w:r>
      <w:r w:rsidR="00305D95">
        <w:t xml:space="preserve">not </w:t>
      </w:r>
      <w:r w:rsidR="00550110">
        <w:t>having</w:t>
      </w:r>
      <w:r w:rsidR="009F342B">
        <w:t xml:space="preserve"> had </w:t>
      </w:r>
      <w:r w:rsidR="00305D95">
        <w:t xml:space="preserve">a fair trial. There </w:t>
      </w:r>
      <w:r w:rsidR="009F342B">
        <w:t xml:space="preserve">was </w:t>
      </w:r>
      <w:r w:rsidR="00305D95">
        <w:t xml:space="preserve">nothing in the founding affidavit that suggested any irregularity in the conduct of the </w:t>
      </w:r>
      <w:r w:rsidR="00486E10">
        <w:t>proceedings</w:t>
      </w:r>
      <w:r w:rsidR="003775B5">
        <w:t xml:space="preserve"> either </w:t>
      </w:r>
      <w:r w:rsidR="00486E10">
        <w:t xml:space="preserve">in the initial </w:t>
      </w:r>
      <w:r w:rsidR="00305D95">
        <w:t xml:space="preserve">arbitration </w:t>
      </w:r>
      <w:r w:rsidR="00486E10">
        <w:t>n</w:t>
      </w:r>
      <w:r w:rsidR="00305D95">
        <w:t>or</w:t>
      </w:r>
      <w:r w:rsidR="009F342B">
        <w:t xml:space="preserve"> in </w:t>
      </w:r>
      <w:r w:rsidR="00305D95">
        <w:t xml:space="preserve">the </w:t>
      </w:r>
      <w:r w:rsidR="00486E10">
        <w:t>a</w:t>
      </w:r>
      <w:r w:rsidR="00305D95">
        <w:t xml:space="preserve">ppeal. </w:t>
      </w:r>
      <w:r w:rsidR="009C537C">
        <w:t xml:space="preserve">Reliance </w:t>
      </w:r>
      <w:r w:rsidR="007D3D82">
        <w:t>was</w:t>
      </w:r>
      <w:r w:rsidR="009C537C">
        <w:t xml:space="preserve"> placed on the </w:t>
      </w:r>
      <w:r w:rsidR="000C267C">
        <w:t>issue</w:t>
      </w:r>
      <w:r w:rsidR="009C537C">
        <w:t xml:space="preserve"> of fairness with regard to that of onus, the determination as to whether it was special </w:t>
      </w:r>
      <w:r w:rsidR="00B81337">
        <w:t xml:space="preserve">or </w:t>
      </w:r>
      <w:r w:rsidR="009C537C">
        <w:t xml:space="preserve">general damages and/or the </w:t>
      </w:r>
      <w:r w:rsidR="006C7DE7">
        <w:t xml:space="preserve">alternative </w:t>
      </w:r>
      <w:r w:rsidR="009C537C">
        <w:t xml:space="preserve">ground raised of the development of the common law. </w:t>
      </w:r>
      <w:r w:rsidR="00486E10">
        <w:t>Moreover,</w:t>
      </w:r>
      <w:r w:rsidR="009D2093">
        <w:t xml:space="preserve"> </w:t>
      </w:r>
      <w:r w:rsidR="00486E10">
        <w:t>c</w:t>
      </w:r>
      <w:r w:rsidR="009C537C">
        <w:t xml:space="preserve">ounsel </w:t>
      </w:r>
      <w:r w:rsidR="00486E10">
        <w:t xml:space="preserve">for </w:t>
      </w:r>
      <w:r w:rsidR="009C537C">
        <w:t>the University point</w:t>
      </w:r>
      <w:r w:rsidR="00486E10">
        <w:t>ed</w:t>
      </w:r>
      <w:r w:rsidR="009C537C">
        <w:t xml:space="preserve"> </w:t>
      </w:r>
      <w:r w:rsidR="006C7DE7">
        <w:t xml:space="preserve">out </w:t>
      </w:r>
      <w:r w:rsidR="000C267C">
        <w:t xml:space="preserve">that </w:t>
      </w:r>
      <w:r w:rsidR="009C537C">
        <w:t xml:space="preserve">in response to </w:t>
      </w:r>
      <w:r w:rsidR="00486E10">
        <w:t xml:space="preserve">the University`s </w:t>
      </w:r>
      <w:r w:rsidR="009C537C">
        <w:t>denial in its answering affidavit of the claim</w:t>
      </w:r>
      <w:r w:rsidR="005F454A">
        <w:t xml:space="preserve"> </w:t>
      </w:r>
      <w:r w:rsidR="00B81337">
        <w:t xml:space="preserve">made </w:t>
      </w:r>
      <w:r w:rsidR="005F454A">
        <w:t xml:space="preserve">on behalf of Mr Roux </w:t>
      </w:r>
      <w:r w:rsidR="009C537C">
        <w:t>that he had not received a fair trial</w:t>
      </w:r>
      <w:r w:rsidR="009538C0">
        <w:t>,</w:t>
      </w:r>
      <w:r w:rsidR="007D3D82">
        <w:t xml:space="preserve"> </w:t>
      </w:r>
      <w:r w:rsidR="009C537C">
        <w:t>the</w:t>
      </w:r>
      <w:r w:rsidR="009F342B">
        <w:t xml:space="preserve"> deponent to the</w:t>
      </w:r>
      <w:r w:rsidR="009C537C">
        <w:t xml:space="preserve"> repl</w:t>
      </w:r>
      <w:r w:rsidR="009D2093">
        <w:t>y</w:t>
      </w:r>
      <w:r w:rsidR="000C267C">
        <w:t>ing affidavit state</w:t>
      </w:r>
      <w:r w:rsidR="00B81337">
        <w:t>d</w:t>
      </w:r>
      <w:r w:rsidR="000C267C">
        <w:t xml:space="preserve"> in response</w:t>
      </w:r>
      <w:r w:rsidR="004726CC">
        <w:t>,</w:t>
      </w:r>
      <w:r w:rsidR="000C267C">
        <w:t xml:space="preserve"> </w:t>
      </w:r>
      <w:r w:rsidR="00B81337">
        <w:t>“</w:t>
      </w:r>
      <w:r w:rsidR="000C267C">
        <w:t>it is</w:t>
      </w:r>
      <w:r w:rsidR="009C537C">
        <w:t xml:space="preserve"> not whether the hearing was fair but whether there </w:t>
      </w:r>
      <w:r w:rsidR="00A82567">
        <w:t>was a gross irregularity</w:t>
      </w:r>
      <w:r w:rsidR="009F64A9">
        <w:t>”</w:t>
      </w:r>
      <w:r w:rsidR="00A82567">
        <w:t>.</w:t>
      </w:r>
      <w:r w:rsidR="009C537C">
        <w:t xml:space="preserve"> </w:t>
      </w:r>
      <w:r w:rsidR="00A82567">
        <w:t>Despite the incongruity in the statement</w:t>
      </w:r>
      <w:r w:rsidR="00486E10">
        <w:t xml:space="preserve">, </w:t>
      </w:r>
      <w:r w:rsidR="00A82567">
        <w:t>it</w:t>
      </w:r>
      <w:r w:rsidR="00486E10">
        <w:t xml:space="preserve"> nonetheless</w:t>
      </w:r>
      <w:r w:rsidR="00A82567">
        <w:t xml:space="preserve"> demonstrate</w:t>
      </w:r>
      <w:r w:rsidR="00486E10">
        <w:t>d</w:t>
      </w:r>
      <w:r w:rsidR="004726CC">
        <w:t>,</w:t>
      </w:r>
      <w:r w:rsidR="00486E10">
        <w:t xml:space="preserve"> as correctly pointed out by counsel for the University</w:t>
      </w:r>
      <w:r w:rsidR="004726CC">
        <w:t>,</w:t>
      </w:r>
      <w:r w:rsidR="00A82567">
        <w:t xml:space="preserve"> that </w:t>
      </w:r>
      <w:r w:rsidR="00486E10">
        <w:t xml:space="preserve">Mr </w:t>
      </w:r>
      <w:r w:rsidR="00A82567">
        <w:t>Roux himself</w:t>
      </w:r>
      <w:r w:rsidR="007D3D82">
        <w:t>,</w:t>
      </w:r>
      <w:r w:rsidR="00486E10">
        <w:t xml:space="preserve"> did not nor could he </w:t>
      </w:r>
      <w:r w:rsidR="00A82567">
        <w:t xml:space="preserve">complain about the </w:t>
      </w:r>
      <w:r w:rsidR="00DA0F73">
        <w:t>fairness in</w:t>
      </w:r>
      <w:r w:rsidR="004726CC">
        <w:t xml:space="preserve"> the</w:t>
      </w:r>
      <w:r w:rsidR="00DA0F73">
        <w:t xml:space="preserve"> </w:t>
      </w:r>
      <w:r w:rsidR="00A82567">
        <w:t>conduct of the proceedings by the arbitrators.</w:t>
      </w:r>
    </w:p>
    <w:p w14:paraId="4BC86230" w14:textId="4978C92C" w:rsidR="00BD569A" w:rsidRDefault="00A82567" w:rsidP="001F323A">
      <w:pPr>
        <w:spacing w:after="360" w:line="360" w:lineRule="auto"/>
        <w:ind w:left="720" w:hanging="720"/>
        <w:jc w:val="both"/>
      </w:pPr>
      <w:r>
        <w:t>[</w:t>
      </w:r>
      <w:r w:rsidR="009D2093">
        <w:t>6</w:t>
      </w:r>
      <w:r w:rsidR="000B734A">
        <w:t>7</w:t>
      </w:r>
      <w:r>
        <w:t>]</w:t>
      </w:r>
      <w:r>
        <w:tab/>
      </w:r>
      <w:r w:rsidR="00486E10">
        <w:t>I</w:t>
      </w:r>
      <w:r>
        <w:t xml:space="preserve">t is </w:t>
      </w:r>
      <w:r w:rsidR="00486E10">
        <w:t xml:space="preserve">perhaps </w:t>
      </w:r>
      <w:r>
        <w:t>appropriate to consider</w:t>
      </w:r>
      <w:r w:rsidR="006155B2">
        <w:t xml:space="preserve"> </w:t>
      </w:r>
      <w:r w:rsidR="009538C0">
        <w:t>(</w:t>
      </w:r>
      <w:r w:rsidR="005D3066">
        <w:t xml:space="preserve">regretfully </w:t>
      </w:r>
      <w:r w:rsidR="00685579">
        <w:t xml:space="preserve">somewhat tediously) </w:t>
      </w:r>
      <w:r w:rsidR="006155B2">
        <w:t xml:space="preserve">what </w:t>
      </w:r>
      <w:r w:rsidR="00486E10">
        <w:t xml:space="preserve">actually </w:t>
      </w:r>
      <w:r w:rsidR="006155B2">
        <w:t>occurred during the</w:t>
      </w:r>
      <w:r w:rsidR="00486E10">
        <w:t xml:space="preserve"> course of the </w:t>
      </w:r>
      <w:r w:rsidR="006155B2">
        <w:t>proceedings</w:t>
      </w:r>
      <w:r w:rsidR="00486E10">
        <w:t xml:space="preserve"> as evidenced by </w:t>
      </w:r>
      <w:r w:rsidR="009F342B">
        <w:t>th</w:t>
      </w:r>
      <w:r w:rsidR="007D3D82">
        <w:t>at</w:t>
      </w:r>
      <w:r w:rsidR="00486E10">
        <w:t xml:space="preserve"> </w:t>
      </w:r>
      <w:r w:rsidR="00486E10">
        <w:lastRenderedPageBreak/>
        <w:t xml:space="preserve">part of the record attached to the </w:t>
      </w:r>
      <w:r w:rsidR="00B81337">
        <w:t>answering</w:t>
      </w:r>
      <w:r w:rsidR="00486E10">
        <w:t xml:space="preserve"> affidavit</w:t>
      </w:r>
      <w:r w:rsidR="006155B2">
        <w:t xml:space="preserve">. The University as the plaintiff led its evidence </w:t>
      </w:r>
      <w:r w:rsidR="000C267C">
        <w:t>where after</w:t>
      </w:r>
      <w:r w:rsidR="006155B2">
        <w:t xml:space="preserve"> Mr Roux testified.</w:t>
      </w:r>
      <w:r w:rsidR="009D2093">
        <w:t xml:space="preserve"> </w:t>
      </w:r>
      <w:r w:rsidR="00486E10">
        <w:t xml:space="preserve">There was </w:t>
      </w:r>
      <w:r w:rsidR="000C267C">
        <w:t>certainly</w:t>
      </w:r>
      <w:r w:rsidR="00486E10">
        <w:t xml:space="preserve"> nothing on record to indicate that that was anything irregular in the hand</w:t>
      </w:r>
      <w:r w:rsidR="00CC1ADC">
        <w:t>ling of the proceedings by the I</w:t>
      </w:r>
      <w:r w:rsidR="00486E10">
        <w:t xml:space="preserve">nitial </w:t>
      </w:r>
      <w:r w:rsidR="00CC1ADC">
        <w:t>A</w:t>
      </w:r>
      <w:r w:rsidR="00486E10">
        <w:t>rbitrator</w:t>
      </w:r>
      <w:r w:rsidR="00C04303">
        <w:t xml:space="preserve"> up to that stage</w:t>
      </w:r>
      <w:r w:rsidR="000C267C">
        <w:t>.</w:t>
      </w:r>
      <w:r w:rsidR="009D2093">
        <w:t xml:space="preserve"> </w:t>
      </w:r>
      <w:r w:rsidR="00C04303">
        <w:t xml:space="preserve">After Mr Roux testified his </w:t>
      </w:r>
      <w:r w:rsidR="006155B2">
        <w:t>counsel sought to lead expert</w:t>
      </w:r>
      <w:r w:rsidR="00C04303">
        <w:t xml:space="preserve"> evidence</w:t>
      </w:r>
      <w:r w:rsidR="006155B2">
        <w:t xml:space="preserve"> with regard to the quantification of the</w:t>
      </w:r>
      <w:r w:rsidR="00C04303">
        <w:t xml:space="preserve"> benefits allegedly obtained by the University as a result of the unlawful conduct of Mr Roux.</w:t>
      </w:r>
      <w:r w:rsidR="009D2093">
        <w:t xml:space="preserve"> </w:t>
      </w:r>
      <w:r w:rsidR="000C267C">
        <w:t xml:space="preserve">His counsel </w:t>
      </w:r>
      <w:r w:rsidR="006155B2">
        <w:t>informed the</w:t>
      </w:r>
      <w:r w:rsidR="00C04303">
        <w:t xml:space="preserve"> </w:t>
      </w:r>
      <w:r w:rsidR="007D3D82">
        <w:t>I</w:t>
      </w:r>
      <w:r w:rsidR="00C04303">
        <w:t xml:space="preserve">nitial </w:t>
      </w:r>
      <w:r w:rsidR="007D3D82">
        <w:t>A</w:t>
      </w:r>
      <w:r w:rsidR="006155B2">
        <w:t>rbitrator that they had qualified two experts but they would seek to call</w:t>
      </w:r>
      <w:r w:rsidR="00C04303">
        <w:t xml:space="preserve"> only</w:t>
      </w:r>
      <w:r w:rsidR="006155B2">
        <w:t xml:space="preserve"> one because of </w:t>
      </w:r>
      <w:r w:rsidR="00C04303">
        <w:t xml:space="preserve">a </w:t>
      </w:r>
      <w:r w:rsidR="006155B2">
        <w:t>significant overlap in what they would</w:t>
      </w:r>
      <w:r w:rsidR="00C04303">
        <w:t xml:space="preserve"> testify about.</w:t>
      </w:r>
      <w:r w:rsidR="006155B2">
        <w:t xml:space="preserve"> He also informed the arbitrator that they were aware of the objection that had been raised with regard to the expert evidence. </w:t>
      </w:r>
      <w:r w:rsidR="004726CC">
        <w:t xml:space="preserve">Mr Fagan </w:t>
      </w:r>
      <w:r w:rsidR="006155B2">
        <w:t xml:space="preserve">stated that ‘it is a pleading objection as we understand it, in other words, </w:t>
      </w:r>
      <w:r w:rsidR="00482E56">
        <w:t xml:space="preserve">the objection is because we have merely denied the allegation of damages and we haven’t expanded on that. </w:t>
      </w:r>
      <w:r w:rsidR="00396F52">
        <w:t>That precludes us from leading evidence to show what value this Rugby Club initiative and so might have had for the University and the</w:t>
      </w:r>
      <w:r w:rsidR="009F64A9">
        <w:t xml:space="preserve"> </w:t>
      </w:r>
      <w:r w:rsidR="00396F52">
        <w:t>experts are particularly dealing with the Rugby initiative</w:t>
      </w:r>
      <w:r w:rsidR="007D3D82">
        <w:t>.</w:t>
      </w:r>
      <w:r w:rsidR="00396F52">
        <w:t xml:space="preserve">’ </w:t>
      </w:r>
      <w:r w:rsidR="009F342B">
        <w:t xml:space="preserve">This was a </w:t>
      </w:r>
      <w:r w:rsidR="00685579">
        <w:t xml:space="preserve">clear indication that counsel for Mr Roux was alive to the importance of the issue on onus relating to alleged </w:t>
      </w:r>
      <w:r w:rsidR="009F64A9">
        <w:t>compensatory</w:t>
      </w:r>
      <w:r w:rsidR="00685579">
        <w:t xml:space="preserve"> benefit</w:t>
      </w:r>
      <w:r w:rsidR="009F342B">
        <w:t>s</w:t>
      </w:r>
      <w:r w:rsidR="00685579">
        <w:t xml:space="preserve">. </w:t>
      </w:r>
      <w:r w:rsidR="00396F52">
        <w:t xml:space="preserve">He indicated that the witness would be brief and limited in scope. Because of </w:t>
      </w:r>
      <w:r w:rsidR="00B81337">
        <w:t xml:space="preserve">the </w:t>
      </w:r>
      <w:r w:rsidR="00396F52">
        <w:t>time constraints</w:t>
      </w:r>
      <w:r w:rsidR="009F342B">
        <w:t>,</w:t>
      </w:r>
      <w:r w:rsidR="00396F52">
        <w:t xml:space="preserve"> they wish</w:t>
      </w:r>
      <w:r w:rsidR="00C04303">
        <w:t>ed</w:t>
      </w:r>
      <w:r w:rsidR="00396F52">
        <w:t xml:space="preserve"> to lead the evidence. He added that ‘what we relinquish</w:t>
      </w:r>
      <w:r w:rsidR="00B81337">
        <w:t xml:space="preserve"> through</w:t>
      </w:r>
      <w:r w:rsidR="00396F52">
        <w:t xml:space="preserve"> this process</w:t>
      </w:r>
      <w:r w:rsidR="00B81337">
        <w:t>,</w:t>
      </w:r>
      <w:r w:rsidR="00396F52">
        <w:t xml:space="preserve"> of course</w:t>
      </w:r>
      <w:r w:rsidR="00B81337">
        <w:t>, is we relinquis</w:t>
      </w:r>
      <w:r w:rsidR="00170FC8">
        <w:t>h</w:t>
      </w:r>
      <w:r w:rsidR="00396F52">
        <w:t xml:space="preserve"> the opportunity of applying to amend pursuant to a ruling that you might make that</w:t>
      </w:r>
      <w:r w:rsidR="00B81337">
        <w:t>,</w:t>
      </w:r>
      <w:r w:rsidR="00396F52">
        <w:t xml:space="preserve"> you know</w:t>
      </w:r>
      <w:r w:rsidR="00B81337">
        <w:t xml:space="preserve">, </w:t>
      </w:r>
      <w:r w:rsidR="00396F52">
        <w:t>t</w:t>
      </w:r>
      <w:r w:rsidR="009D2093">
        <w:t>hat our pleading</w:t>
      </w:r>
      <w:r w:rsidR="007D3D82">
        <w:t>s</w:t>
      </w:r>
      <w:r w:rsidR="009D2093">
        <w:t xml:space="preserve"> don’t allow it</w:t>
      </w:r>
      <w:r w:rsidR="00B81337">
        <w:t xml:space="preserve"> b</w:t>
      </w:r>
      <w:r w:rsidR="00396F52">
        <w:t>ut we are happy to relinquish that</w:t>
      </w:r>
      <w:r w:rsidR="00E862BA">
        <w:t>,</w:t>
      </w:r>
      <w:r w:rsidR="00396F52">
        <w:t xml:space="preserve"> and on that basis therefor we would ask that our learned friend might want to consider it overnight and discuss it with his team and come back to us tomorrow about it…’</w:t>
      </w:r>
      <w:r w:rsidR="004D0FB9">
        <w:t>.</w:t>
      </w:r>
      <w:r w:rsidR="00685579">
        <w:t xml:space="preserve"> Once again, counsel for Mr Roux accepted that they had not pleaded the basis for leading the expert evidence.  </w:t>
      </w:r>
    </w:p>
    <w:p w14:paraId="0F43E2E8" w14:textId="268327D4" w:rsidR="009538C0" w:rsidRDefault="00BD569A" w:rsidP="001F323A">
      <w:pPr>
        <w:spacing w:after="360" w:line="360" w:lineRule="auto"/>
        <w:ind w:left="720" w:hanging="720"/>
        <w:jc w:val="both"/>
      </w:pPr>
      <w:r>
        <w:t>[6</w:t>
      </w:r>
      <w:r w:rsidR="000B734A">
        <w:t>8</w:t>
      </w:r>
      <w:r>
        <w:t>]</w:t>
      </w:r>
      <w:r>
        <w:tab/>
        <w:t>The concern</w:t>
      </w:r>
      <w:r w:rsidR="00C04303">
        <w:t xml:space="preserve"> was</w:t>
      </w:r>
      <w:r w:rsidR="005F454A">
        <w:t xml:space="preserve"> also raised </w:t>
      </w:r>
      <w:r w:rsidR="00C04303">
        <w:t xml:space="preserve">that the parties </w:t>
      </w:r>
      <w:r>
        <w:t>would</w:t>
      </w:r>
      <w:r w:rsidR="00353567">
        <w:t xml:space="preserve"> still </w:t>
      </w:r>
      <w:r>
        <w:t>have to argue the objection.</w:t>
      </w:r>
      <w:r w:rsidR="009D2093">
        <w:t xml:space="preserve"> </w:t>
      </w:r>
      <w:r w:rsidR="00674144">
        <w:t xml:space="preserve">Counsel for the Mr Roux </w:t>
      </w:r>
      <w:r w:rsidR="00C04303">
        <w:t>added</w:t>
      </w:r>
      <w:r>
        <w:t xml:space="preserve"> </w:t>
      </w:r>
      <w:r w:rsidR="00C04303">
        <w:t xml:space="preserve">that if the </w:t>
      </w:r>
      <w:r w:rsidR="007D3D82">
        <w:t>I</w:t>
      </w:r>
      <w:r w:rsidR="00C04303">
        <w:t xml:space="preserve">nitial </w:t>
      </w:r>
      <w:r w:rsidR="007D3D82">
        <w:t>A</w:t>
      </w:r>
      <w:r w:rsidR="00C04303">
        <w:t xml:space="preserve">rbitrator </w:t>
      </w:r>
      <w:r>
        <w:t xml:space="preserve">ruled against them ‘we might want to amend’. He also raised </w:t>
      </w:r>
      <w:r w:rsidR="005F454A">
        <w:t>a</w:t>
      </w:r>
      <w:r>
        <w:t xml:space="preserve"> concern that the evidence might not finish over the two days. He stated that </w:t>
      </w:r>
      <w:r w:rsidR="00E862BA">
        <w:t>“Y</w:t>
      </w:r>
      <w:r w:rsidR="009D4042">
        <w:t>ou know what our position is we say that there is benefit and this is a quantification of that</w:t>
      </w:r>
      <w:r w:rsidR="00E862BA">
        <w:t>”</w:t>
      </w:r>
      <w:r w:rsidR="009D4042">
        <w:t xml:space="preserve">. He added that </w:t>
      </w:r>
      <w:r w:rsidR="00E862BA">
        <w:t>“I</w:t>
      </w:r>
      <w:r w:rsidR="009D4042">
        <w:t xml:space="preserve">f you exclude that on the basis of the argument being persuaded </w:t>
      </w:r>
      <w:r w:rsidR="009D4042">
        <w:lastRenderedPageBreak/>
        <w:t>by our learned friend</w:t>
      </w:r>
      <w:r w:rsidR="00E862BA">
        <w:t>’</w:t>
      </w:r>
      <w:r w:rsidR="009D4042">
        <w:t xml:space="preserve">s argument in their heads, of course it </w:t>
      </w:r>
      <w:r w:rsidR="00685579">
        <w:t>just falls away. We accept that</w:t>
      </w:r>
      <w:r w:rsidR="00353567">
        <w:t>.”</w:t>
      </w:r>
      <w:r w:rsidR="00685579">
        <w:t xml:space="preserve"> </w:t>
      </w:r>
      <w:r w:rsidR="00353567">
        <w:t>Notwithstanding that, the claims</w:t>
      </w:r>
      <w:r w:rsidR="00685579">
        <w:t xml:space="preserve"> in this application?</w:t>
      </w:r>
      <w:r w:rsidR="009D4042">
        <w:t xml:space="preserve"> The arbitrator thereupon invited counsel for the University to </w:t>
      </w:r>
      <w:r w:rsidR="003D5DE6">
        <w:t>respond to the proposal</w:t>
      </w:r>
      <w:r w:rsidR="00353567">
        <w:t>.</w:t>
      </w:r>
      <w:r w:rsidR="003D5DE6">
        <w:t xml:space="preserve"> </w:t>
      </w:r>
      <w:r w:rsidR="009D4042">
        <w:t>He</w:t>
      </w:r>
      <w:r w:rsidR="003D5DE6">
        <w:t xml:space="preserve"> submitted </w:t>
      </w:r>
      <w:r w:rsidR="009D4042">
        <w:t xml:space="preserve">that </w:t>
      </w:r>
      <w:r w:rsidR="003D5DE6">
        <w:t xml:space="preserve">the University </w:t>
      </w:r>
      <w:r w:rsidR="009D4042">
        <w:t>would not agree to</w:t>
      </w:r>
      <w:r w:rsidR="003D5DE6">
        <w:t xml:space="preserve"> the proposal as </w:t>
      </w:r>
      <w:r w:rsidR="009D4042">
        <w:t>the</w:t>
      </w:r>
      <w:r w:rsidR="003D5DE6">
        <w:t xml:space="preserve"> issue of a </w:t>
      </w:r>
      <w:r w:rsidR="009D4042">
        <w:t>benefit ha</w:t>
      </w:r>
      <w:r w:rsidR="00674144">
        <w:t xml:space="preserve">d not </w:t>
      </w:r>
      <w:r w:rsidR="009D4042">
        <w:t>been raised on the pleadings. Neither</w:t>
      </w:r>
      <w:r w:rsidR="00674144">
        <w:t xml:space="preserve"> had the University had th</w:t>
      </w:r>
      <w:r w:rsidR="005F454A">
        <w:t>e</w:t>
      </w:r>
      <w:r w:rsidR="00674144">
        <w:t xml:space="preserve"> </w:t>
      </w:r>
      <w:r w:rsidR="005F454A">
        <w:t>opportunity</w:t>
      </w:r>
      <w:r w:rsidR="00674144">
        <w:t xml:space="preserve"> of </w:t>
      </w:r>
      <w:r w:rsidR="009D4042">
        <w:t>requesting particulars to any</w:t>
      </w:r>
      <w:r w:rsidR="005F454A">
        <w:t xml:space="preserve"> such </w:t>
      </w:r>
      <w:r w:rsidR="009D4042">
        <w:t xml:space="preserve">allegations </w:t>
      </w:r>
      <w:r w:rsidR="00674144">
        <w:t>if it had been pleaded</w:t>
      </w:r>
      <w:r w:rsidR="009D4042">
        <w:t xml:space="preserve">. </w:t>
      </w:r>
      <w:r w:rsidR="005F454A">
        <w:t>T</w:t>
      </w:r>
      <w:r w:rsidR="009D4042">
        <w:t xml:space="preserve">hey </w:t>
      </w:r>
      <w:r w:rsidR="005F454A">
        <w:t>had also</w:t>
      </w:r>
      <w:r w:rsidR="009D4042">
        <w:t xml:space="preserve"> not had the benefit of being able to </w:t>
      </w:r>
      <w:r w:rsidR="003D5DE6">
        <w:t>engage</w:t>
      </w:r>
      <w:r w:rsidR="009D4042">
        <w:t xml:space="preserve"> their own expert witnesses </w:t>
      </w:r>
      <w:r w:rsidR="003D5DE6">
        <w:t>nor had they prepared for such evi</w:t>
      </w:r>
      <w:r w:rsidR="00674144">
        <w:t>dence</w:t>
      </w:r>
      <w:r w:rsidR="007D3D82">
        <w:t>.</w:t>
      </w:r>
      <w:r w:rsidR="009D4042">
        <w:t xml:space="preserve"> </w:t>
      </w:r>
      <w:r w:rsidR="0049516F">
        <w:t xml:space="preserve">He </w:t>
      </w:r>
      <w:r w:rsidR="003D5DE6">
        <w:t xml:space="preserve">contended </w:t>
      </w:r>
      <w:r w:rsidR="0049516F">
        <w:t xml:space="preserve">that </w:t>
      </w:r>
      <w:r w:rsidR="00674144">
        <w:t>that any evidence by Mr Roux on the question of benefits</w:t>
      </w:r>
      <w:r w:rsidR="00E862BA">
        <w:t xml:space="preserve"> </w:t>
      </w:r>
      <w:r w:rsidR="0049516F">
        <w:t>was not admissible. He also pointed out that the</w:t>
      </w:r>
      <w:r w:rsidR="003D5DE6">
        <w:t xml:space="preserve"> very </w:t>
      </w:r>
      <w:r w:rsidR="0049516F">
        <w:t xml:space="preserve">issue had been raised </w:t>
      </w:r>
      <w:r w:rsidR="00E862BA">
        <w:t xml:space="preserve">previously </w:t>
      </w:r>
      <w:r w:rsidR="0049516F">
        <w:t>and that there was an indication</w:t>
      </w:r>
      <w:r w:rsidR="003D5DE6">
        <w:t xml:space="preserve"> </w:t>
      </w:r>
      <w:r w:rsidR="00674144">
        <w:t xml:space="preserve">from the side of Mr Roux `s </w:t>
      </w:r>
      <w:r w:rsidR="003D5DE6">
        <w:t xml:space="preserve">counsel </w:t>
      </w:r>
      <w:r w:rsidR="0049516F">
        <w:t>that</w:t>
      </w:r>
      <w:r w:rsidR="00674144">
        <w:t xml:space="preserve"> the issue would be argued.</w:t>
      </w:r>
      <w:r w:rsidR="0049516F">
        <w:t xml:space="preserve"> The</w:t>
      </w:r>
      <w:r w:rsidR="00674144">
        <w:t xml:space="preserve"> </w:t>
      </w:r>
      <w:r w:rsidR="00B909DD">
        <w:t>University recorded</w:t>
      </w:r>
      <w:r w:rsidR="00674144">
        <w:t xml:space="preserve"> it`s </w:t>
      </w:r>
      <w:r w:rsidR="003D5DE6">
        <w:t xml:space="preserve">objection </w:t>
      </w:r>
      <w:r w:rsidR="0049516F">
        <w:t xml:space="preserve">and nothing further was persisted </w:t>
      </w:r>
      <w:r w:rsidR="001430A2">
        <w:t>about it</w:t>
      </w:r>
      <w:r w:rsidR="00674144">
        <w:t xml:space="preserve"> by the legal representatives on behalf of Mr Roux.</w:t>
      </w:r>
      <w:r w:rsidR="003D5DE6">
        <w:t xml:space="preserve"> </w:t>
      </w:r>
    </w:p>
    <w:p w14:paraId="616B9B3C" w14:textId="5295C1C8" w:rsidR="00502DCE" w:rsidRDefault="009538C0" w:rsidP="001F323A">
      <w:pPr>
        <w:spacing w:after="360" w:line="360" w:lineRule="auto"/>
        <w:ind w:left="720" w:hanging="720"/>
        <w:jc w:val="both"/>
      </w:pPr>
      <w:r>
        <w:t>[6</w:t>
      </w:r>
      <w:r w:rsidR="000B734A">
        <w:t>9</w:t>
      </w:r>
      <w:r>
        <w:t>]</w:t>
      </w:r>
      <w:r>
        <w:tab/>
      </w:r>
      <w:r w:rsidR="0049516F">
        <w:t>In response</w:t>
      </w:r>
      <w:r w:rsidR="00674144">
        <w:t>,</w:t>
      </w:r>
      <w:r w:rsidR="0049516F">
        <w:t xml:space="preserve"> the </w:t>
      </w:r>
      <w:r w:rsidR="005D3066">
        <w:t>I</w:t>
      </w:r>
      <w:r w:rsidR="00674144">
        <w:t xml:space="preserve">nitial </w:t>
      </w:r>
      <w:r w:rsidR="005D3066">
        <w:t>A</w:t>
      </w:r>
      <w:r w:rsidR="0049516F">
        <w:t xml:space="preserve">rbitrator pointed out that </w:t>
      </w:r>
      <w:r w:rsidR="00674144">
        <w:t>he had hoped to</w:t>
      </w:r>
      <w:r w:rsidR="003D5DE6">
        <w:t xml:space="preserve"> </w:t>
      </w:r>
      <w:r w:rsidR="0049516F">
        <w:t>deal practically with the matter and that the evidence should be led and argument</w:t>
      </w:r>
      <w:r w:rsidR="003D5DE6">
        <w:t xml:space="preserve"> on its admissibility </w:t>
      </w:r>
      <w:r w:rsidR="0049516F">
        <w:t xml:space="preserve">could be deferred. If it was found to be </w:t>
      </w:r>
      <w:r w:rsidR="007D3D82">
        <w:t>in</w:t>
      </w:r>
      <w:r w:rsidR="0049516F">
        <w:t>admissible</w:t>
      </w:r>
      <w:r w:rsidR="007D3D82">
        <w:t>,</w:t>
      </w:r>
      <w:r w:rsidR="0049516F">
        <w:t xml:space="preserve"> it would be excised. Whilst </w:t>
      </w:r>
      <w:r w:rsidR="00B909DD">
        <w:t xml:space="preserve">the </w:t>
      </w:r>
      <w:r w:rsidR="009F64A9">
        <w:t>I</w:t>
      </w:r>
      <w:r w:rsidR="00B909DD">
        <w:t>nitial</w:t>
      </w:r>
      <w:r w:rsidR="00674144">
        <w:t xml:space="preserve"> </w:t>
      </w:r>
      <w:r w:rsidR="009F64A9">
        <w:t>A</w:t>
      </w:r>
      <w:r w:rsidR="0049516F">
        <w:t xml:space="preserve">rbitrator </w:t>
      </w:r>
      <w:r w:rsidR="00E71D18">
        <w:t>appeared</w:t>
      </w:r>
      <w:r w:rsidR="0049516F">
        <w:t xml:space="preserve"> mindful of the difficulties that counsel for the University would have in cross-examination</w:t>
      </w:r>
      <w:r w:rsidR="00E71D18">
        <w:t xml:space="preserve"> of the expert witness </w:t>
      </w:r>
      <w:r w:rsidR="0049516F">
        <w:t>he was of the view that the proposal</w:t>
      </w:r>
      <w:r w:rsidR="00E71D18">
        <w:t xml:space="preserve"> by </w:t>
      </w:r>
      <w:r w:rsidR="006C1A8D">
        <w:t xml:space="preserve">Mr Roux’s counsel </w:t>
      </w:r>
      <w:r w:rsidR="0049516F">
        <w:t>commen</w:t>
      </w:r>
      <w:r w:rsidR="00674144">
        <w:t>ded</w:t>
      </w:r>
      <w:r w:rsidR="00E71D18">
        <w:t xml:space="preserve"> itself</w:t>
      </w:r>
      <w:r w:rsidR="001430A2">
        <w:t>.</w:t>
      </w:r>
      <w:r w:rsidR="00E71D18">
        <w:t xml:space="preserve"> </w:t>
      </w:r>
      <w:r w:rsidR="0049516F">
        <w:t>At the same time</w:t>
      </w:r>
      <w:r w:rsidR="00674144">
        <w:t>,</w:t>
      </w:r>
      <w:r w:rsidR="0073682E">
        <w:t xml:space="preserve"> he</w:t>
      </w:r>
      <w:r w:rsidR="00E71D18">
        <w:t xml:space="preserve"> pointed out that he would </w:t>
      </w:r>
      <w:r w:rsidR="00674144">
        <w:t>not</w:t>
      </w:r>
      <w:r w:rsidR="0073682E">
        <w:t xml:space="preserve"> force counsel for the University into position where he had to cross-examine without the necessary preparation. The arbitrator </w:t>
      </w:r>
      <w:r w:rsidR="00E71D18">
        <w:t xml:space="preserve">states </w:t>
      </w:r>
      <w:r w:rsidR="0073682E">
        <w:t xml:space="preserve">‘so I am in that sense promoting it but I am not finding </w:t>
      </w:r>
      <w:r w:rsidR="006C1A8D">
        <w:t xml:space="preserve">on </w:t>
      </w:r>
      <w:r w:rsidR="0073682E">
        <w:t>it at this,</w:t>
      </w:r>
      <w:r w:rsidR="004D1AE1">
        <w:t xml:space="preserve"> I</w:t>
      </w:r>
      <w:r w:rsidR="0073682E">
        <w:t xml:space="preserve"> will if I need to do so</w:t>
      </w:r>
      <w:r w:rsidR="00E71D18">
        <w:t>”</w:t>
      </w:r>
      <w:r w:rsidR="0073682E">
        <w:t xml:space="preserve">. </w:t>
      </w:r>
      <w:r w:rsidR="00E71D18">
        <w:t>I</w:t>
      </w:r>
      <w:r w:rsidR="0073682E">
        <w:t xml:space="preserve">n response counsel for the University </w:t>
      </w:r>
      <w:r w:rsidR="00674144">
        <w:t xml:space="preserve">submitted </w:t>
      </w:r>
      <w:r w:rsidR="0073682E">
        <w:t xml:space="preserve">that they </w:t>
      </w:r>
      <w:r w:rsidR="00E71D18">
        <w:t xml:space="preserve">wished </w:t>
      </w:r>
      <w:r w:rsidR="0073682E">
        <w:t xml:space="preserve">to address the arbitrator on the admissibility of the </w:t>
      </w:r>
      <w:r w:rsidR="00E71D18">
        <w:t xml:space="preserve">expert </w:t>
      </w:r>
      <w:r w:rsidR="0073682E">
        <w:t>evidence</w:t>
      </w:r>
      <w:r w:rsidR="006C1A8D">
        <w:t xml:space="preserve"> the following morning</w:t>
      </w:r>
      <w:r w:rsidR="0073682E">
        <w:t xml:space="preserve">. </w:t>
      </w:r>
      <w:r w:rsidR="0076307C">
        <w:t xml:space="preserve">They were not agreeable to the proposal by </w:t>
      </w:r>
      <w:r w:rsidR="006C1A8D">
        <w:t xml:space="preserve">counsel for Mr Roux </w:t>
      </w:r>
      <w:r w:rsidR="0076307C">
        <w:t xml:space="preserve">in simply leading the evidence at that stage. The discussion by the arbitrator </w:t>
      </w:r>
      <w:r w:rsidR="00950442">
        <w:t>with the parties was concluded on the basis that in the light of the objection</w:t>
      </w:r>
      <w:r w:rsidR="00E71D18">
        <w:t xml:space="preserve"> raised, it </w:t>
      </w:r>
      <w:r w:rsidR="007D3D82">
        <w:t>would</w:t>
      </w:r>
      <w:r w:rsidR="00E71D18">
        <w:t xml:space="preserve"> </w:t>
      </w:r>
      <w:r w:rsidR="00950442">
        <w:t xml:space="preserve">be argued on the following </w:t>
      </w:r>
      <w:r w:rsidR="00353567">
        <w:t>morning</w:t>
      </w:r>
      <w:r w:rsidR="00950442">
        <w:t>. The parties were</w:t>
      </w:r>
      <w:r w:rsidR="00E71D18">
        <w:t xml:space="preserve"> thereupon </w:t>
      </w:r>
      <w:r w:rsidR="00950442">
        <w:t xml:space="preserve">given an </w:t>
      </w:r>
      <w:r w:rsidR="00502DCE">
        <w:t xml:space="preserve">opportunity to consider their </w:t>
      </w:r>
      <w:r w:rsidR="001430A2">
        <w:t>positions.</w:t>
      </w:r>
    </w:p>
    <w:p w14:paraId="782F37CB" w14:textId="73A2AEF8" w:rsidR="00502DCE" w:rsidRDefault="00502DCE" w:rsidP="001F323A">
      <w:pPr>
        <w:spacing w:after="360" w:line="360" w:lineRule="auto"/>
        <w:ind w:left="720" w:hanging="720"/>
        <w:jc w:val="both"/>
      </w:pPr>
      <w:r>
        <w:lastRenderedPageBreak/>
        <w:t>[</w:t>
      </w:r>
      <w:r w:rsidR="000B734A">
        <w:t>70</w:t>
      </w:r>
      <w:r>
        <w:t>]</w:t>
      </w:r>
      <w:r>
        <w:tab/>
      </w:r>
      <w:r w:rsidR="007D3D82">
        <w:t>T</w:t>
      </w:r>
      <w:r>
        <w:t>he following morning</w:t>
      </w:r>
      <w:r w:rsidR="007D3D82">
        <w:t>,</w:t>
      </w:r>
      <w:r>
        <w:t xml:space="preserve"> counsel for the applicant </w:t>
      </w:r>
      <w:r w:rsidR="00E71D18">
        <w:t>in</w:t>
      </w:r>
      <w:r>
        <w:t xml:space="preserve">formed the arbitrator that it did not intend to call the expert witnesses. He added ‘so we are going to close our case but without abandoning our submission that the debits and credits are all part of the plaintiff’s overall onus and damages. So that is the case for the first defendant’. </w:t>
      </w:r>
      <w:r w:rsidR="002C7CD3">
        <w:t xml:space="preserve">Significantly, counsel for Mr Roux does not contend that the arbitrator should consider the question of onus based on the employment relationship in which the </w:t>
      </w:r>
      <w:r w:rsidR="007967A5">
        <w:t>expenditure</w:t>
      </w:r>
      <w:r w:rsidR="002C7CD3">
        <w:t xml:space="preserve"> resulted in benefits</w:t>
      </w:r>
      <w:r w:rsidR="00DB7854">
        <w:t>,</w:t>
      </w:r>
      <w:r w:rsidR="007967A5">
        <w:t xml:space="preserve"> that the expenditure</w:t>
      </w:r>
      <w:r w:rsidR="002C7CD3">
        <w:t xml:space="preserve"> w</w:t>
      </w:r>
      <w:r w:rsidR="007967A5">
        <w:t>as</w:t>
      </w:r>
      <w:r w:rsidR="002C7CD3">
        <w:t xml:space="preserve"> legitimate and made in the course of the University’s business. He had every opportunity </w:t>
      </w:r>
      <w:r w:rsidR="007967A5">
        <w:t>of doing</w:t>
      </w:r>
      <w:r w:rsidR="00DB7854">
        <w:t xml:space="preserve"> so</w:t>
      </w:r>
      <w:r w:rsidR="007967A5">
        <w:t>,</w:t>
      </w:r>
      <w:r w:rsidR="004D1AE1">
        <w:t xml:space="preserve"> </w:t>
      </w:r>
      <w:r w:rsidR="007967A5">
        <w:t xml:space="preserve">if that was the case of Mr Roux. He spurned </w:t>
      </w:r>
      <w:r w:rsidR="00DB7854">
        <w:t xml:space="preserve">the </w:t>
      </w:r>
      <w:r w:rsidR="009F64A9">
        <w:t>opportunity</w:t>
      </w:r>
      <w:r w:rsidR="00DB7854">
        <w:t>.</w:t>
      </w:r>
      <w:r w:rsidR="002C7CD3">
        <w:t xml:space="preserve"> </w:t>
      </w:r>
      <w:r>
        <w:t>There is in my view, nothing that indicates that the</w:t>
      </w:r>
      <w:r w:rsidR="007967A5">
        <w:t xml:space="preserve"> </w:t>
      </w:r>
      <w:r w:rsidR="009F64A9">
        <w:t>I</w:t>
      </w:r>
      <w:r w:rsidR="007967A5">
        <w:t xml:space="preserve">nitial </w:t>
      </w:r>
      <w:r w:rsidR="009F64A9">
        <w:t>A</w:t>
      </w:r>
      <w:r>
        <w:t>rbitrator had acted in any way</w:t>
      </w:r>
      <w:r w:rsidR="00E71D18">
        <w:t xml:space="preserve"> that was </w:t>
      </w:r>
      <w:r w:rsidR="00B909DD">
        <w:t>unfair</w:t>
      </w:r>
      <w:r>
        <w:t xml:space="preserve"> to any of the parties</w:t>
      </w:r>
      <w:r w:rsidR="00E71D18">
        <w:t xml:space="preserve"> in the manner in which he handled the </w:t>
      </w:r>
      <w:r w:rsidR="00B909DD">
        <w:t>issue. None</w:t>
      </w:r>
      <w:r w:rsidR="00DB7854">
        <w:t>,</w:t>
      </w:r>
      <w:r w:rsidR="00E71D18">
        <w:t xml:space="preserve"> </w:t>
      </w:r>
      <w:r w:rsidR="00B909DD">
        <w:t>was</w:t>
      </w:r>
      <w:r w:rsidR="00E71D18">
        <w:t xml:space="preserve"> raised by either of the parties on the papers.</w:t>
      </w:r>
      <w:r>
        <w:t xml:space="preserve">  </w:t>
      </w:r>
    </w:p>
    <w:p w14:paraId="6314C05E" w14:textId="4E217076" w:rsidR="00D01686" w:rsidRDefault="00502DCE" w:rsidP="001F323A">
      <w:pPr>
        <w:spacing w:after="360" w:line="360" w:lineRule="auto"/>
        <w:ind w:left="720" w:hanging="720"/>
        <w:jc w:val="both"/>
      </w:pPr>
      <w:r>
        <w:t>[</w:t>
      </w:r>
      <w:r w:rsidR="009538C0">
        <w:t>7</w:t>
      </w:r>
      <w:r w:rsidR="000B734A">
        <w:t>1</w:t>
      </w:r>
      <w:r>
        <w:t>]</w:t>
      </w:r>
      <w:r>
        <w:tab/>
      </w:r>
      <w:r w:rsidR="00E71D18">
        <w:t>During the course of the proceedings before this court,</w:t>
      </w:r>
      <w:r w:rsidR="007967A5">
        <w:t xml:space="preserve"> </w:t>
      </w:r>
      <w:r>
        <w:t xml:space="preserve">counsel for </w:t>
      </w:r>
      <w:r w:rsidR="002C7CD3">
        <w:t>Mr Roux</w:t>
      </w:r>
      <w:r>
        <w:t xml:space="preserve"> w</w:t>
      </w:r>
      <w:r w:rsidR="00E71D18">
        <w:t xml:space="preserve">ere </w:t>
      </w:r>
      <w:r>
        <w:t xml:space="preserve">repeatedly asked by the court as </w:t>
      </w:r>
      <w:r w:rsidR="002C7CD3">
        <w:t xml:space="preserve">to </w:t>
      </w:r>
      <w:r w:rsidR="00E71D18">
        <w:t xml:space="preserve">what exactly </w:t>
      </w:r>
      <w:r>
        <w:t>w</w:t>
      </w:r>
      <w:r w:rsidR="00E71D18">
        <w:t xml:space="preserve">ere </w:t>
      </w:r>
      <w:r>
        <w:t xml:space="preserve">the procedural irregularities in the </w:t>
      </w:r>
      <w:r w:rsidR="00E71D18">
        <w:t xml:space="preserve">conduct of the </w:t>
      </w:r>
      <w:r>
        <w:t>arbitration</w:t>
      </w:r>
      <w:r w:rsidR="00E71D18">
        <w:t xml:space="preserve"> </w:t>
      </w:r>
      <w:r w:rsidR="006C1A8D">
        <w:t xml:space="preserve">proceedings </w:t>
      </w:r>
      <w:r w:rsidR="00E71D18">
        <w:t xml:space="preserve">before the </w:t>
      </w:r>
      <w:r w:rsidR="009F64A9">
        <w:t>I</w:t>
      </w:r>
      <w:r w:rsidR="00E71D18">
        <w:t xml:space="preserve">nitial </w:t>
      </w:r>
      <w:r w:rsidR="009F64A9">
        <w:t>A</w:t>
      </w:r>
      <w:r w:rsidR="00E71D18">
        <w:t>rbitr</w:t>
      </w:r>
      <w:r w:rsidR="004F5ADD">
        <w:t>ator.</w:t>
      </w:r>
      <w:r w:rsidR="009F64A9">
        <w:t xml:space="preserve"> </w:t>
      </w:r>
      <w:r w:rsidR="00DB7854">
        <w:t xml:space="preserve">They </w:t>
      </w:r>
      <w:r w:rsidR="007967A5">
        <w:t xml:space="preserve">were </w:t>
      </w:r>
      <w:r>
        <w:t>unable to point</w:t>
      </w:r>
      <w:r w:rsidR="00DB7854">
        <w:t xml:space="preserve"> out</w:t>
      </w:r>
      <w:r>
        <w:t xml:space="preserve"> any</w:t>
      </w:r>
      <w:r w:rsidR="00B909DD">
        <w:t>,</w:t>
      </w:r>
      <w:r>
        <w:t xml:space="preserve"> other than, what </w:t>
      </w:r>
      <w:r w:rsidR="00DB7854">
        <w:t xml:space="preserve">they </w:t>
      </w:r>
      <w:r>
        <w:t>contended w</w:t>
      </w:r>
      <w:r w:rsidR="00FD52DB">
        <w:t xml:space="preserve">ere </w:t>
      </w:r>
      <w:r>
        <w:t>the gross irregularit</w:t>
      </w:r>
      <w:r w:rsidR="00FD52DB">
        <w:t>ies</w:t>
      </w:r>
      <w:r>
        <w:t xml:space="preserve"> arising from the </w:t>
      </w:r>
      <w:r w:rsidR="00D822F6">
        <w:t>finding</w:t>
      </w:r>
      <w:r>
        <w:t xml:space="preserve"> of the </w:t>
      </w:r>
      <w:r w:rsidR="00DB7854">
        <w:t>I</w:t>
      </w:r>
      <w:r w:rsidR="00E84A31">
        <w:t xml:space="preserve">nitial </w:t>
      </w:r>
      <w:r w:rsidR="00DB7854">
        <w:t>A</w:t>
      </w:r>
      <w:r>
        <w:t>rbitrator on the question of onus</w:t>
      </w:r>
      <w:r w:rsidR="001753B1">
        <w:t xml:space="preserve"> in </w:t>
      </w:r>
      <w:r w:rsidR="007967A5">
        <w:t>the</w:t>
      </w:r>
      <w:r w:rsidR="001753B1">
        <w:t xml:space="preserve"> award and likewise that of the</w:t>
      </w:r>
      <w:r w:rsidR="00FD52DB">
        <w:t xml:space="preserve"> </w:t>
      </w:r>
      <w:r w:rsidR="00DB7854">
        <w:t>A</w:t>
      </w:r>
      <w:r w:rsidR="00FD52DB">
        <w:t xml:space="preserve">ppeal </w:t>
      </w:r>
      <w:r w:rsidR="00DB7854">
        <w:t>T</w:t>
      </w:r>
      <w:r w:rsidR="001753B1">
        <w:t xml:space="preserve">ribunal. In argument, counsel for </w:t>
      </w:r>
      <w:r w:rsidR="00D822F6">
        <w:t xml:space="preserve">Mr Roux </w:t>
      </w:r>
      <w:r w:rsidR="001753B1">
        <w:t xml:space="preserve">also sought to suggest that it was incumbent on the </w:t>
      </w:r>
      <w:r w:rsidR="00DB7854">
        <w:t>I</w:t>
      </w:r>
      <w:r w:rsidR="00FD52DB">
        <w:t xml:space="preserve">nitial </w:t>
      </w:r>
      <w:r w:rsidR="00DB7854">
        <w:t>A</w:t>
      </w:r>
      <w:r w:rsidR="001753B1">
        <w:t xml:space="preserve">rbitrator at </w:t>
      </w:r>
      <w:r w:rsidR="00FD52DB">
        <w:t>the stage</w:t>
      </w:r>
      <w:r w:rsidR="00D822F6">
        <w:t xml:space="preserve"> that the</w:t>
      </w:r>
      <w:r w:rsidR="00FD52DB">
        <w:t xml:space="preserve"> dispute</w:t>
      </w:r>
      <w:r w:rsidR="00D822F6">
        <w:t xml:space="preserve"> arose </w:t>
      </w:r>
      <w:r w:rsidR="00FD52DB">
        <w:t>in relation to the leading of the expert evidence</w:t>
      </w:r>
      <w:r w:rsidR="001753B1">
        <w:t xml:space="preserve"> to</w:t>
      </w:r>
      <w:r w:rsidR="00FD52DB">
        <w:t xml:space="preserve"> have </w:t>
      </w:r>
      <w:r w:rsidR="001753B1">
        <w:t>indicate</w:t>
      </w:r>
      <w:r w:rsidR="00FD52DB">
        <w:t>d</w:t>
      </w:r>
      <w:r w:rsidR="001753B1">
        <w:t xml:space="preserve"> to the parties his view or finding on the question of onus and to require of the University to lead any evidence it wished on the quantification of the </w:t>
      </w:r>
      <w:r w:rsidR="00DB7854">
        <w:t>benefits.</w:t>
      </w:r>
      <w:r w:rsidR="001753B1">
        <w:t xml:space="preserve"> In this regard, he contended, inasmuch as the </w:t>
      </w:r>
      <w:r w:rsidR="007967A5">
        <w:t>Mr Roux</w:t>
      </w:r>
      <w:r w:rsidR="001753B1">
        <w:t xml:space="preserve"> had demonstrated that there was a benefit and that the expenditure was in the course of the business of the University</w:t>
      </w:r>
      <w:r w:rsidR="00E84A31">
        <w:t>,</w:t>
      </w:r>
      <w:r w:rsidR="001753B1">
        <w:t xml:space="preserve"> </w:t>
      </w:r>
      <w:r w:rsidR="00DB7854">
        <w:t xml:space="preserve">Mr Roux </w:t>
      </w:r>
      <w:r w:rsidR="001753B1">
        <w:t xml:space="preserve">had met </w:t>
      </w:r>
      <w:r w:rsidR="00DB7854">
        <w:t>the</w:t>
      </w:r>
      <w:r w:rsidR="001753B1">
        <w:t xml:space="preserve"> onus</w:t>
      </w:r>
      <w:r w:rsidR="00D822F6">
        <w:t xml:space="preserve"> on </w:t>
      </w:r>
      <w:r w:rsidR="00B909DD">
        <w:t>him</w:t>
      </w:r>
      <w:r w:rsidR="001753B1">
        <w:t>. That however, was not the finding that the arbitrator</w:t>
      </w:r>
      <w:r w:rsidR="00DB7854">
        <w:t>s</w:t>
      </w:r>
      <w:r w:rsidR="001753B1">
        <w:t xml:space="preserve"> had reached after having considered all of the evidence and</w:t>
      </w:r>
      <w:r w:rsidR="007967A5">
        <w:t xml:space="preserve"> in the application of </w:t>
      </w:r>
      <w:r w:rsidR="001753B1">
        <w:t xml:space="preserve">the law in </w:t>
      </w:r>
      <w:r w:rsidR="007967A5">
        <w:t>the</w:t>
      </w:r>
      <w:r w:rsidR="001753B1">
        <w:t xml:space="preserve"> award</w:t>
      </w:r>
      <w:r w:rsidR="00DB7854">
        <w:t>s</w:t>
      </w:r>
      <w:r w:rsidR="001753B1">
        <w:t xml:space="preserve">. To have expected of the </w:t>
      </w:r>
      <w:r w:rsidR="00DB7854">
        <w:t>Initial A</w:t>
      </w:r>
      <w:r w:rsidR="001753B1">
        <w:t>rbitrator at that stage to have made a ruling without even h</w:t>
      </w:r>
      <w:r w:rsidR="00FD52DB">
        <w:t xml:space="preserve">aving heard </w:t>
      </w:r>
      <w:r w:rsidR="001753B1">
        <w:t xml:space="preserve">motivated argument on the objection raised by the University’s counsel would in itself have been tantamount to an irregularity. The proposition by counsel for </w:t>
      </w:r>
      <w:r w:rsidR="00930D44">
        <w:t xml:space="preserve">Mr Roux </w:t>
      </w:r>
      <w:r w:rsidR="00FD52DB">
        <w:t xml:space="preserve">on that score </w:t>
      </w:r>
      <w:r w:rsidR="001753B1">
        <w:t>was simply untenable</w:t>
      </w:r>
      <w:r w:rsidR="00D822F6">
        <w:t xml:space="preserve"> and ill</w:t>
      </w:r>
      <w:r w:rsidR="004F5ADD">
        <w:t>-</w:t>
      </w:r>
      <w:r w:rsidR="00D822F6">
        <w:t>considered</w:t>
      </w:r>
      <w:r w:rsidR="004272C8">
        <w:t>.</w:t>
      </w:r>
    </w:p>
    <w:p w14:paraId="00EC2656" w14:textId="46A90C13" w:rsidR="00D01686" w:rsidRDefault="00D01686" w:rsidP="004D1AE1">
      <w:pPr>
        <w:spacing w:after="480" w:line="360" w:lineRule="auto"/>
        <w:ind w:left="720"/>
        <w:jc w:val="both"/>
        <w:rPr>
          <w:lang w:val="en-GB"/>
        </w:rPr>
      </w:pPr>
      <w:r>
        <w:rPr>
          <w:lang w:val="en-GB"/>
        </w:rPr>
        <w:lastRenderedPageBreak/>
        <w:t xml:space="preserve">As to the basis for the ‘onus challenge’ and the application of the common law per </w:t>
      </w:r>
      <w:r>
        <w:rPr>
          <w:i/>
          <w:lang w:val="en-GB"/>
        </w:rPr>
        <w:t>Japmoco</w:t>
      </w:r>
      <w:r>
        <w:rPr>
          <w:lang w:val="en-GB"/>
        </w:rPr>
        <w:t>, in the context of an employment relationship where the expenditure is made in the scope of the business of the employer it was contended on behalf of Mr Roux, that the “the imbalance in the employment relationship”</w:t>
      </w:r>
      <w:r w:rsidR="009F64A9">
        <w:rPr>
          <w:lang w:val="en-GB"/>
        </w:rPr>
        <w:t>,</w:t>
      </w:r>
      <w:r>
        <w:rPr>
          <w:lang w:val="en-GB"/>
        </w:rPr>
        <w:t xml:space="preserve"> and the risk that the University would simply be relieved of its obligation to prove its full damages </w:t>
      </w:r>
      <w:r w:rsidR="00DB7854">
        <w:rPr>
          <w:lang w:val="en-GB"/>
        </w:rPr>
        <w:t xml:space="preserve">and </w:t>
      </w:r>
      <w:r>
        <w:rPr>
          <w:lang w:val="en-GB"/>
        </w:rPr>
        <w:t>that it would be ‘impossible’ for an employee to prove benefits should have been taken into account by the arbitrator.</w:t>
      </w:r>
      <w:r w:rsidR="004D1AE1">
        <w:rPr>
          <w:lang w:val="en-GB"/>
        </w:rPr>
        <w:t xml:space="preserve"> </w:t>
      </w:r>
      <w:r>
        <w:rPr>
          <w:lang w:val="en-GB"/>
        </w:rPr>
        <w:t>On the facts of the matter it was certainly not impossible for Mr Roux to have proved benefits, if there were any. Counsel</w:t>
      </w:r>
      <w:r w:rsidR="00DB7854">
        <w:rPr>
          <w:lang w:val="en-GB"/>
        </w:rPr>
        <w:t xml:space="preserve"> for Mr Roux</w:t>
      </w:r>
      <w:r>
        <w:rPr>
          <w:lang w:val="en-GB"/>
        </w:rPr>
        <w:t xml:space="preserve"> contended that it would not be in the knowledge of an employee to know what the benefits are of unauthorised or unlawful expenditure. Who</w:t>
      </w:r>
      <w:r w:rsidR="00DB7854">
        <w:rPr>
          <w:lang w:val="en-GB"/>
        </w:rPr>
        <w:t>,</w:t>
      </w:r>
      <w:r>
        <w:rPr>
          <w:lang w:val="en-GB"/>
        </w:rPr>
        <w:t xml:space="preserve"> </w:t>
      </w:r>
      <w:r w:rsidR="00DB7854">
        <w:rPr>
          <w:lang w:val="en-GB"/>
        </w:rPr>
        <w:t xml:space="preserve">in my view would have been </w:t>
      </w:r>
      <w:r>
        <w:rPr>
          <w:lang w:val="en-GB"/>
        </w:rPr>
        <w:t>better</w:t>
      </w:r>
      <w:r w:rsidR="00DB7854">
        <w:rPr>
          <w:lang w:val="en-GB"/>
        </w:rPr>
        <w:t xml:space="preserve"> placed </w:t>
      </w:r>
      <w:r>
        <w:rPr>
          <w:lang w:val="en-GB"/>
        </w:rPr>
        <w:t>than Mr Roux in the context of this matter to know what benefit</w:t>
      </w:r>
      <w:r w:rsidR="009F64A9">
        <w:rPr>
          <w:lang w:val="en-GB"/>
        </w:rPr>
        <w:t xml:space="preserve"> </w:t>
      </w:r>
      <w:r w:rsidR="00DB7854">
        <w:rPr>
          <w:lang w:val="en-GB"/>
        </w:rPr>
        <w:t>(if any)</w:t>
      </w:r>
      <w:r>
        <w:rPr>
          <w:lang w:val="en-GB"/>
        </w:rPr>
        <w:t xml:space="preserve"> the University derived as a result of his unauthorised and unlawful expenditure of</w:t>
      </w:r>
      <w:r w:rsidR="00DB7854">
        <w:rPr>
          <w:lang w:val="en-GB"/>
        </w:rPr>
        <w:t xml:space="preserve"> the fund</w:t>
      </w:r>
      <w:r w:rsidR="009538C0">
        <w:rPr>
          <w:lang w:val="en-GB"/>
        </w:rPr>
        <w:t>s</w:t>
      </w:r>
      <w:r w:rsidR="00DB7854">
        <w:rPr>
          <w:lang w:val="en-GB"/>
        </w:rPr>
        <w:t xml:space="preserve"> of the</w:t>
      </w:r>
      <w:r>
        <w:rPr>
          <w:lang w:val="en-GB"/>
        </w:rPr>
        <w:t xml:space="preserve"> University</w:t>
      </w:r>
      <w:r w:rsidR="00DB7854">
        <w:rPr>
          <w:lang w:val="en-GB"/>
        </w:rPr>
        <w:t>?</w:t>
      </w:r>
      <w:r>
        <w:rPr>
          <w:lang w:val="en-GB"/>
        </w:rPr>
        <w:t xml:space="preserve"> It was pointed out that the University only obtained knowledge of the unlawful allocations and expenditure a year after Mr Roux`s departure from the University when the investigation by KPMG occurred. The contentions by Mr Roux on these considerations</w:t>
      </w:r>
      <w:r w:rsidR="004B3B04">
        <w:rPr>
          <w:lang w:val="en-GB"/>
        </w:rPr>
        <w:t xml:space="preserve"> is not only without any merit </w:t>
      </w:r>
      <w:r>
        <w:rPr>
          <w:lang w:val="en-GB"/>
        </w:rPr>
        <w:t>but contrary to what had actually occurred on th</w:t>
      </w:r>
      <w:r w:rsidR="004B3B04">
        <w:rPr>
          <w:lang w:val="en-GB"/>
        </w:rPr>
        <w:t>e</w:t>
      </w:r>
      <w:r>
        <w:rPr>
          <w:lang w:val="en-GB"/>
        </w:rPr>
        <w:t xml:space="preserve"> facts of this matter.</w:t>
      </w:r>
    </w:p>
    <w:p w14:paraId="7E87659D" w14:textId="6936529B" w:rsidR="00D01686" w:rsidRDefault="00D01686" w:rsidP="00D01686">
      <w:pPr>
        <w:spacing w:after="480" w:line="360" w:lineRule="auto"/>
        <w:ind w:left="720" w:hanging="720"/>
        <w:jc w:val="both"/>
        <w:rPr>
          <w:lang w:val="en-GB"/>
        </w:rPr>
      </w:pPr>
      <w:r>
        <w:t>[</w:t>
      </w:r>
      <w:r w:rsidR="005D1308">
        <w:t>7</w:t>
      </w:r>
      <w:r w:rsidR="000B734A">
        <w:t>2</w:t>
      </w:r>
      <w:r>
        <w:t>]</w:t>
      </w:r>
      <w:r>
        <w:tab/>
      </w:r>
      <w:r>
        <w:rPr>
          <w:lang w:val="en-GB"/>
        </w:rPr>
        <w:t>In concluding the submissions made on the onus challenge</w:t>
      </w:r>
      <w:r w:rsidR="00FB6BE5">
        <w:rPr>
          <w:lang w:val="en-GB"/>
        </w:rPr>
        <w:t>,</w:t>
      </w:r>
      <w:r>
        <w:rPr>
          <w:lang w:val="en-GB"/>
        </w:rPr>
        <w:t xml:space="preserve"> counsel for Mr Roux</w:t>
      </w:r>
      <w:r w:rsidR="00AE3F6D">
        <w:rPr>
          <w:lang w:val="en-GB"/>
        </w:rPr>
        <w:t>,</w:t>
      </w:r>
      <w:r>
        <w:rPr>
          <w:lang w:val="en-GB"/>
        </w:rPr>
        <w:t xml:space="preserve"> in their heads of argument contended that if the position with regard to</w:t>
      </w:r>
      <w:r w:rsidR="00AE3F6D">
        <w:rPr>
          <w:lang w:val="en-GB"/>
        </w:rPr>
        <w:t xml:space="preserve"> the</w:t>
      </w:r>
      <w:r>
        <w:rPr>
          <w:lang w:val="en-GB"/>
        </w:rPr>
        <w:t xml:space="preserve"> onus to quantify the compensating benefits was unclear, the arbitrator’s should not have imposed </w:t>
      </w:r>
      <w:r w:rsidR="00FB6BE5">
        <w:rPr>
          <w:lang w:val="en-GB"/>
        </w:rPr>
        <w:t>“</w:t>
      </w:r>
      <w:r>
        <w:rPr>
          <w:lang w:val="en-GB"/>
        </w:rPr>
        <w:t>the full onus</w:t>
      </w:r>
      <w:r w:rsidR="00FB6BE5">
        <w:rPr>
          <w:lang w:val="en-GB"/>
        </w:rPr>
        <w:t>”</w:t>
      </w:r>
      <w:r>
        <w:rPr>
          <w:lang w:val="en-GB"/>
        </w:rPr>
        <w:t xml:space="preserve"> on the Mr Roux. Once again, they contended that it was “common cause” that there were compensating benefits, but, added that it was not clear who carried the burden of proof in respect of quantification. In such circumstances they contended it was “most unfortunate that neither the </w:t>
      </w:r>
      <w:r w:rsidR="00FB6BE5">
        <w:rPr>
          <w:lang w:val="en-GB"/>
        </w:rPr>
        <w:t>I</w:t>
      </w:r>
      <w:r>
        <w:rPr>
          <w:lang w:val="en-GB"/>
        </w:rPr>
        <w:t xml:space="preserve">nitial </w:t>
      </w:r>
      <w:r w:rsidR="00FB6BE5">
        <w:rPr>
          <w:lang w:val="en-GB"/>
        </w:rPr>
        <w:t>A</w:t>
      </w:r>
      <w:r>
        <w:rPr>
          <w:lang w:val="en-GB"/>
        </w:rPr>
        <w:t xml:space="preserve">rbitrator nor the </w:t>
      </w:r>
      <w:r w:rsidR="00FB6BE5">
        <w:rPr>
          <w:lang w:val="en-GB"/>
        </w:rPr>
        <w:t>A</w:t>
      </w:r>
      <w:r>
        <w:rPr>
          <w:lang w:val="en-GB"/>
        </w:rPr>
        <w:t xml:space="preserve">ppeal </w:t>
      </w:r>
      <w:r w:rsidR="00FB6BE5">
        <w:rPr>
          <w:lang w:val="en-GB"/>
        </w:rPr>
        <w:t>Tribunal</w:t>
      </w:r>
      <w:r>
        <w:rPr>
          <w:lang w:val="en-GB"/>
        </w:rPr>
        <w:t xml:space="preserve"> facilitated a quantifying exercise but rather simply decided the matter by finding that Mr Roux bore the onus.” That however was not the finding of the arbitrators on the onus in respect of quantification. Quantification simply never arose. Counsel for Mr Roux conflated the arbitration proceedings by having expected the arbitrators to have </w:t>
      </w:r>
      <w:r>
        <w:rPr>
          <w:lang w:val="en-GB"/>
        </w:rPr>
        <w:lastRenderedPageBreak/>
        <w:t xml:space="preserve">facilitated a quantifying exercise when the prescripts of </w:t>
      </w:r>
      <w:r>
        <w:rPr>
          <w:i/>
          <w:lang w:val="en-GB"/>
        </w:rPr>
        <w:t xml:space="preserve">Japmoco </w:t>
      </w:r>
      <w:r>
        <w:rPr>
          <w:lang w:val="en-GB"/>
        </w:rPr>
        <w:t xml:space="preserve">had not been met by Mr Roux. </w:t>
      </w:r>
    </w:p>
    <w:p w14:paraId="216C2AE7" w14:textId="04B9BA46" w:rsidR="0078244C" w:rsidRDefault="001F3B36" w:rsidP="00D54E68">
      <w:pPr>
        <w:pStyle w:val="Level2"/>
        <w:numPr>
          <w:ilvl w:val="0"/>
          <w:numId w:val="0"/>
        </w:numPr>
        <w:spacing w:line="360" w:lineRule="auto"/>
        <w:ind w:left="720" w:hanging="720"/>
      </w:pPr>
      <w:r w:rsidRPr="001F3B36">
        <w:t>[7</w:t>
      </w:r>
      <w:r w:rsidR="000B734A">
        <w:t>3</w:t>
      </w:r>
      <w:r w:rsidRPr="001F3B36">
        <w:t>]</w:t>
      </w:r>
      <w:r w:rsidRPr="001F3B36">
        <w:tab/>
      </w:r>
      <w:r w:rsidR="005F098A">
        <w:t xml:space="preserve">Before dealing with the special damages challenge I wish to </w:t>
      </w:r>
      <w:r w:rsidR="0078244C">
        <w:t>refer</w:t>
      </w:r>
      <w:r w:rsidR="005F098A">
        <w:t xml:space="preserve"> </w:t>
      </w:r>
      <w:r w:rsidR="00FB6BE5">
        <w:t xml:space="preserve">to </w:t>
      </w:r>
      <w:r w:rsidR="005F098A">
        <w:t>the submission made by counsel on behalf</w:t>
      </w:r>
      <w:r w:rsidR="0078244C">
        <w:t xml:space="preserve"> of Mr Roux </w:t>
      </w:r>
      <w:r w:rsidR="005F098A">
        <w:t>in their heads of argument that they regarded</w:t>
      </w:r>
      <w:r w:rsidR="0078244C">
        <w:t xml:space="preserve"> it </w:t>
      </w:r>
      <w:r w:rsidR="005F098A">
        <w:t>as “doubtful</w:t>
      </w:r>
      <w:r w:rsidR="004B3B04">
        <w:t>”</w:t>
      </w:r>
      <w:r w:rsidR="005F098A">
        <w:t xml:space="preserve"> that an employer can claim full damages for the breach of an employment contract by an employee </w:t>
      </w:r>
      <w:r w:rsidR="0078244C">
        <w:t xml:space="preserve">regardless of how trivial </w:t>
      </w:r>
      <w:r w:rsidR="004B3B04">
        <w:t xml:space="preserve">the breach </w:t>
      </w:r>
      <w:r w:rsidR="0078244C">
        <w:t>or whether the employee acted negligently or intentionally.</w:t>
      </w:r>
      <w:r w:rsidR="0078244C" w:rsidRPr="0078244C">
        <w:t xml:space="preserve"> In the course of argument counsel for Mr Roux correctly “apologised” for the breath of that submission. Although the authorities for a claim of damages for breach of contract</w:t>
      </w:r>
      <w:r w:rsidR="0078244C">
        <w:t xml:space="preserve"> in the employment context are </w:t>
      </w:r>
      <w:r w:rsidR="0078244C" w:rsidRPr="0078244C">
        <w:t>sparse there is nothing in</w:t>
      </w:r>
      <w:r w:rsidR="00FB6BE5">
        <w:t xml:space="preserve"> our </w:t>
      </w:r>
      <w:r w:rsidR="0078244C" w:rsidRPr="0078244C">
        <w:t>law that prevent</w:t>
      </w:r>
      <w:r w:rsidR="00FB6BE5">
        <w:t>s</w:t>
      </w:r>
      <w:r w:rsidR="0078244C" w:rsidRPr="0078244C">
        <w:t xml:space="preserve"> such a claim.</w:t>
      </w:r>
      <w:r w:rsidR="004B3B04">
        <w:t xml:space="preserve"> </w:t>
      </w:r>
      <w:r w:rsidR="0078244C">
        <w:t>Moreover</w:t>
      </w:r>
      <w:r w:rsidR="004B3B04">
        <w:t>,</w:t>
      </w:r>
      <w:r w:rsidR="0078244C">
        <w:t xml:space="preserve"> Mr Roux`s breach was neither trivial not had he claimed that he had merely acted negligently. His conducted was well planned, deliberate and executed with impunity.</w:t>
      </w:r>
    </w:p>
    <w:p w14:paraId="25230577" w14:textId="70233A66" w:rsidR="00D5614D" w:rsidRDefault="004B3B04" w:rsidP="00D54E68">
      <w:pPr>
        <w:pStyle w:val="Level2"/>
        <w:numPr>
          <w:ilvl w:val="0"/>
          <w:numId w:val="0"/>
        </w:numPr>
        <w:spacing w:line="360" w:lineRule="auto"/>
        <w:ind w:left="720" w:hanging="720"/>
        <w:rPr>
          <w:lang w:val="en-GB"/>
        </w:rPr>
      </w:pPr>
      <w:r>
        <w:t>[7</w:t>
      </w:r>
      <w:r w:rsidR="000B734A">
        <w:t>4</w:t>
      </w:r>
      <w:r>
        <w:t>]</w:t>
      </w:r>
      <w:r>
        <w:tab/>
      </w:r>
      <w:r w:rsidR="0078244C">
        <w:t xml:space="preserve">In </w:t>
      </w:r>
      <w:r w:rsidR="001F3B36">
        <w:t>respect of the question as to whether the University’</w:t>
      </w:r>
      <w:r w:rsidR="008D6A09">
        <w:t xml:space="preserve">s claim was one for general or special damages the </w:t>
      </w:r>
      <w:r w:rsidR="00C14AFB">
        <w:t>I</w:t>
      </w:r>
      <w:r w:rsidR="008D6A09">
        <w:t xml:space="preserve">nitial </w:t>
      </w:r>
      <w:r w:rsidR="00C14AFB">
        <w:t>A</w:t>
      </w:r>
      <w:r w:rsidR="008D6A09">
        <w:t xml:space="preserve">rbitrator was of the view that the University’s claim was presented as one of general damages arising out of the breach </w:t>
      </w:r>
      <w:r w:rsidR="007B6858">
        <w:t>by</w:t>
      </w:r>
      <w:r w:rsidR="008D6A09">
        <w:t xml:space="preserve"> Mr Roux</w:t>
      </w:r>
      <w:r w:rsidR="007B6858">
        <w:t xml:space="preserve"> of his </w:t>
      </w:r>
      <w:r w:rsidR="008D6A09">
        <w:t>contract of employment</w:t>
      </w:r>
      <w:r w:rsidR="007B6858">
        <w:t xml:space="preserve"> with the University</w:t>
      </w:r>
      <w:r w:rsidR="008D6A09">
        <w:t>. The damages suffered by the University was that of general damag</w:t>
      </w:r>
      <w:r w:rsidR="00411271">
        <w:t xml:space="preserve">es that </w:t>
      </w:r>
      <w:r w:rsidR="00411271" w:rsidRPr="00411271">
        <w:rPr>
          <w:lang w:val="en-GB"/>
        </w:rPr>
        <w:t>flow</w:t>
      </w:r>
      <w:r w:rsidR="00411271">
        <w:rPr>
          <w:lang w:val="en-GB"/>
        </w:rPr>
        <w:t>ed</w:t>
      </w:r>
      <w:r w:rsidR="00411271" w:rsidRPr="00411271">
        <w:rPr>
          <w:lang w:val="en-GB"/>
        </w:rPr>
        <w:t xml:space="preserve"> naturally and generally from the kind of breach </w:t>
      </w:r>
      <w:r w:rsidR="00411271">
        <w:rPr>
          <w:lang w:val="en-GB"/>
        </w:rPr>
        <w:t>committed by Mr Roux. In this regard the Initial Arbitrator referred to the</w:t>
      </w:r>
      <w:r w:rsidR="007B6858">
        <w:rPr>
          <w:lang w:val="en-GB"/>
        </w:rPr>
        <w:t xml:space="preserve"> decisions</w:t>
      </w:r>
      <w:r w:rsidR="00411271">
        <w:rPr>
          <w:lang w:val="en-GB"/>
        </w:rPr>
        <w:t xml:space="preserve"> </w:t>
      </w:r>
      <w:r w:rsidR="00D54E68" w:rsidRPr="00E23C1B">
        <w:rPr>
          <w:i/>
          <w:lang w:val="en-GB"/>
        </w:rPr>
        <w:t>H</w:t>
      </w:r>
      <w:r w:rsidR="00D54E68" w:rsidRPr="00D54E68">
        <w:rPr>
          <w:i/>
          <w:lang w:val="en-GB"/>
        </w:rPr>
        <w:t>olmdene Brickworks (Pty) Ltd v Roberts Construction Co Ltd</w:t>
      </w:r>
      <w:r w:rsidR="00D54E68">
        <w:rPr>
          <w:lang w:val="en-GB"/>
        </w:rPr>
        <w:t xml:space="preserve"> </w:t>
      </w:r>
      <w:r w:rsidR="00D54E68" w:rsidRPr="00D54E68">
        <w:rPr>
          <w:lang w:val="en-GB"/>
        </w:rPr>
        <w:t xml:space="preserve">1977 (3) SA 670 (A) at 687 and </w:t>
      </w:r>
      <w:r w:rsidR="00D54E68" w:rsidRPr="00D54E68">
        <w:rPr>
          <w:bCs/>
          <w:i/>
          <w:iCs/>
          <w:lang w:val="en-GB"/>
        </w:rPr>
        <w:t>Transnet Ltd t/a National Ports</w:t>
      </w:r>
      <w:r w:rsidR="00D54E68" w:rsidRPr="00D54E68">
        <w:rPr>
          <w:b/>
          <w:bCs/>
          <w:i/>
          <w:iCs/>
          <w:lang w:val="en-GB"/>
        </w:rPr>
        <w:t xml:space="preserve"> </w:t>
      </w:r>
      <w:r w:rsidR="00D54E68" w:rsidRPr="00D54E68">
        <w:rPr>
          <w:bCs/>
          <w:i/>
          <w:iCs/>
          <w:lang w:val="en-GB"/>
        </w:rPr>
        <w:t xml:space="preserve">Authority </w:t>
      </w:r>
      <w:r w:rsidR="00D54E68">
        <w:rPr>
          <w:bCs/>
          <w:i/>
          <w:iCs/>
          <w:lang w:val="en-GB"/>
        </w:rPr>
        <w:t xml:space="preserve">v Owner of MV Snow Crystal </w:t>
      </w:r>
      <w:r w:rsidR="006C7DE7">
        <w:rPr>
          <w:lang w:val="en-GB"/>
        </w:rPr>
        <w:t xml:space="preserve">2008 (4) SA 111 (SCA) </w:t>
      </w:r>
      <w:r w:rsidR="00D54E68" w:rsidRPr="00D54E68">
        <w:rPr>
          <w:lang w:val="en-GB"/>
        </w:rPr>
        <w:t>for the proposition that special damages</w:t>
      </w:r>
      <w:r w:rsidR="007B6858">
        <w:rPr>
          <w:lang w:val="en-GB"/>
        </w:rPr>
        <w:t xml:space="preserve"> arise from </w:t>
      </w:r>
      <w:r w:rsidR="00D54E68">
        <w:rPr>
          <w:lang w:val="en-GB"/>
        </w:rPr>
        <w:t xml:space="preserve">a </w:t>
      </w:r>
      <w:r w:rsidR="00D54E68" w:rsidRPr="00D54E68">
        <w:rPr>
          <w:lang w:val="en-GB"/>
        </w:rPr>
        <w:t xml:space="preserve">breach of contract, </w:t>
      </w:r>
      <w:r w:rsidR="007B6858">
        <w:rPr>
          <w:lang w:val="en-GB"/>
        </w:rPr>
        <w:t xml:space="preserve">that </w:t>
      </w:r>
      <w:r w:rsidR="00D54E68" w:rsidRPr="00D54E68">
        <w:rPr>
          <w:lang w:val="en-GB"/>
        </w:rPr>
        <w:t>are ordinarily regarded in law as being too remote to be recoverable unless, in the special circumstances attend</w:t>
      </w:r>
      <w:r w:rsidR="007B6858">
        <w:rPr>
          <w:lang w:val="en-GB"/>
        </w:rPr>
        <w:t xml:space="preserve">ed at </w:t>
      </w:r>
      <w:r w:rsidR="00D54E68" w:rsidRPr="00D54E68">
        <w:rPr>
          <w:lang w:val="en-GB"/>
        </w:rPr>
        <w:t xml:space="preserve">the conclusion of the contract, the parties actually or presumptively contemplated that </w:t>
      </w:r>
      <w:r w:rsidR="007B6858">
        <w:rPr>
          <w:lang w:val="en-GB"/>
        </w:rPr>
        <w:t>such damages</w:t>
      </w:r>
      <w:r w:rsidR="00D54E68" w:rsidRPr="00D54E68">
        <w:rPr>
          <w:lang w:val="en-GB"/>
        </w:rPr>
        <w:t xml:space="preserve"> would result from its breach.</w:t>
      </w:r>
      <w:r w:rsidR="00D54E68">
        <w:rPr>
          <w:lang w:val="en-GB"/>
        </w:rPr>
        <w:t xml:space="preserve"> The </w:t>
      </w:r>
      <w:r w:rsidR="009F64A9">
        <w:rPr>
          <w:lang w:val="en-GB"/>
        </w:rPr>
        <w:t>I</w:t>
      </w:r>
      <w:r w:rsidR="00D54E68">
        <w:rPr>
          <w:lang w:val="en-GB"/>
        </w:rPr>
        <w:t xml:space="preserve">nitial </w:t>
      </w:r>
      <w:r w:rsidR="009F64A9">
        <w:rPr>
          <w:lang w:val="en-GB"/>
        </w:rPr>
        <w:t>A</w:t>
      </w:r>
      <w:r w:rsidR="00D54E68">
        <w:rPr>
          <w:lang w:val="en-GB"/>
        </w:rPr>
        <w:t>rbitrator was of the view that</w:t>
      </w:r>
      <w:r w:rsidR="007B6858">
        <w:rPr>
          <w:lang w:val="en-GB"/>
        </w:rPr>
        <w:t xml:space="preserve"> the damages </w:t>
      </w:r>
      <w:r w:rsidR="00AE3F6D">
        <w:rPr>
          <w:lang w:val="en-GB"/>
        </w:rPr>
        <w:t xml:space="preserve">suffered </w:t>
      </w:r>
      <w:r w:rsidR="007B6858">
        <w:rPr>
          <w:lang w:val="en-GB"/>
        </w:rPr>
        <w:t xml:space="preserve">by the University as a result of the breach by Mr Roux </w:t>
      </w:r>
      <w:r w:rsidR="004F5ADD">
        <w:rPr>
          <w:lang w:val="en-GB"/>
        </w:rPr>
        <w:t>o</w:t>
      </w:r>
      <w:r w:rsidR="007B6858">
        <w:rPr>
          <w:lang w:val="en-GB"/>
        </w:rPr>
        <w:t>f his employment contract</w:t>
      </w:r>
      <w:r w:rsidR="00D54E68" w:rsidRPr="00D54E68">
        <w:rPr>
          <w:lang w:val="en-GB"/>
        </w:rPr>
        <w:t xml:space="preserve"> </w:t>
      </w:r>
      <w:r w:rsidR="00D54E68">
        <w:rPr>
          <w:lang w:val="en-GB"/>
        </w:rPr>
        <w:t>wa</w:t>
      </w:r>
      <w:r w:rsidR="00D54E68" w:rsidRPr="00D54E68">
        <w:rPr>
          <w:lang w:val="en-GB"/>
        </w:rPr>
        <w:t xml:space="preserve">s not of </w:t>
      </w:r>
      <w:r w:rsidR="007B6858">
        <w:rPr>
          <w:lang w:val="en-GB"/>
        </w:rPr>
        <w:t>the</w:t>
      </w:r>
      <w:r w:rsidR="00D54E68" w:rsidRPr="00D54E68">
        <w:rPr>
          <w:lang w:val="en-GB"/>
        </w:rPr>
        <w:t xml:space="preserve"> nature ordinarily regarded as being too remote to be recoverable</w:t>
      </w:r>
      <w:r w:rsidR="007B6858">
        <w:rPr>
          <w:lang w:val="en-GB"/>
        </w:rPr>
        <w:t>.</w:t>
      </w:r>
      <w:r w:rsidR="00D54E68">
        <w:rPr>
          <w:lang w:val="en-GB"/>
        </w:rPr>
        <w:t xml:space="preserve"> Moreover</w:t>
      </w:r>
      <w:r w:rsidR="00E23C1B">
        <w:rPr>
          <w:lang w:val="en-GB"/>
        </w:rPr>
        <w:t>,</w:t>
      </w:r>
      <w:r w:rsidR="00D54E68">
        <w:rPr>
          <w:lang w:val="en-GB"/>
        </w:rPr>
        <w:t xml:space="preserve"> contrary to the contention by counsel for </w:t>
      </w:r>
      <w:r w:rsidR="004C54B1">
        <w:rPr>
          <w:lang w:val="en-GB"/>
        </w:rPr>
        <w:t>Mr Roux</w:t>
      </w:r>
      <w:r w:rsidR="00AE3F6D">
        <w:rPr>
          <w:lang w:val="en-GB"/>
        </w:rPr>
        <w:t xml:space="preserve">, the University claimed that </w:t>
      </w:r>
      <w:r w:rsidR="007B6858">
        <w:rPr>
          <w:lang w:val="en-GB"/>
        </w:rPr>
        <w:t>there</w:t>
      </w:r>
      <w:r w:rsidR="00D54E68">
        <w:rPr>
          <w:lang w:val="en-GB"/>
        </w:rPr>
        <w:t xml:space="preserve"> was </w:t>
      </w:r>
      <w:r w:rsidR="00D54E68" w:rsidRPr="00D54E68">
        <w:rPr>
          <w:lang w:val="en-GB"/>
        </w:rPr>
        <w:t>nothing in the contract</w:t>
      </w:r>
      <w:r w:rsidR="00D54E68">
        <w:rPr>
          <w:lang w:val="en-GB"/>
        </w:rPr>
        <w:t xml:space="preserve"> between the </w:t>
      </w:r>
      <w:r w:rsidR="00AE3F6D">
        <w:rPr>
          <w:lang w:val="en-GB"/>
        </w:rPr>
        <w:t xml:space="preserve">it </w:t>
      </w:r>
      <w:r w:rsidR="00D54E68">
        <w:rPr>
          <w:lang w:val="en-GB"/>
        </w:rPr>
        <w:t xml:space="preserve">and Mr Roux that </w:t>
      </w:r>
      <w:r w:rsidR="00D54E68" w:rsidRPr="00D54E68">
        <w:rPr>
          <w:lang w:val="en-GB"/>
        </w:rPr>
        <w:lastRenderedPageBreak/>
        <w:t xml:space="preserve">suggested that the </w:t>
      </w:r>
      <w:r w:rsidR="00AE3F6D">
        <w:rPr>
          <w:lang w:val="en-GB"/>
        </w:rPr>
        <w:t>it</w:t>
      </w:r>
      <w:r w:rsidR="00D54E68" w:rsidRPr="00D54E68">
        <w:rPr>
          <w:lang w:val="en-GB"/>
        </w:rPr>
        <w:t xml:space="preserve"> </w:t>
      </w:r>
      <w:r w:rsidR="00D54E68">
        <w:rPr>
          <w:lang w:val="en-GB"/>
        </w:rPr>
        <w:t xml:space="preserve">had </w:t>
      </w:r>
      <w:r w:rsidR="00D54E68" w:rsidRPr="00D54E68">
        <w:rPr>
          <w:lang w:val="en-GB"/>
        </w:rPr>
        <w:t>abandoned or waived its right to claim damages in favour of the right to</w:t>
      </w:r>
      <w:r w:rsidR="007B6858">
        <w:rPr>
          <w:lang w:val="en-GB"/>
        </w:rPr>
        <w:t xml:space="preserve"> </w:t>
      </w:r>
      <w:r w:rsidR="00AE3F6D">
        <w:rPr>
          <w:lang w:val="en-GB"/>
        </w:rPr>
        <w:t xml:space="preserve">exclusively </w:t>
      </w:r>
      <w:r w:rsidR="00D54E68" w:rsidRPr="00D54E68">
        <w:rPr>
          <w:lang w:val="en-GB"/>
        </w:rPr>
        <w:t>pursue disciplinary proceedings</w:t>
      </w:r>
      <w:r w:rsidR="00AE3F6D">
        <w:rPr>
          <w:lang w:val="en-GB"/>
        </w:rPr>
        <w:t>.</w:t>
      </w:r>
      <w:r w:rsidR="00D54E68">
        <w:rPr>
          <w:lang w:val="en-GB"/>
        </w:rPr>
        <w:t xml:space="preserve"> In this regard it </w:t>
      </w:r>
      <w:r w:rsidR="000F2D83">
        <w:rPr>
          <w:lang w:val="en-GB"/>
        </w:rPr>
        <w:t xml:space="preserve">was </w:t>
      </w:r>
      <w:r w:rsidR="00D54E68">
        <w:rPr>
          <w:lang w:val="en-GB"/>
        </w:rPr>
        <w:t xml:space="preserve">suggested by counsel for </w:t>
      </w:r>
      <w:r w:rsidR="006C7DE7">
        <w:rPr>
          <w:lang w:val="en-GB"/>
        </w:rPr>
        <w:t>Mr Roux</w:t>
      </w:r>
      <w:r w:rsidR="00D54E68">
        <w:rPr>
          <w:lang w:val="en-GB"/>
        </w:rPr>
        <w:t xml:space="preserve"> that the remedy </w:t>
      </w:r>
      <w:r w:rsidR="00E23C1B">
        <w:rPr>
          <w:lang w:val="en-GB"/>
        </w:rPr>
        <w:t>available to the University w</w:t>
      </w:r>
      <w:r w:rsidR="00FB6BE5">
        <w:rPr>
          <w:lang w:val="en-GB"/>
        </w:rPr>
        <w:t>as</w:t>
      </w:r>
      <w:r w:rsidR="008A7B5B">
        <w:rPr>
          <w:lang w:val="en-GB"/>
        </w:rPr>
        <w:t xml:space="preserve"> </w:t>
      </w:r>
      <w:r w:rsidR="00E23C1B">
        <w:rPr>
          <w:lang w:val="en-GB"/>
        </w:rPr>
        <w:t>merely that of resorting to its disciplinary proceedings with the ultimate sanction of dismissa</w:t>
      </w:r>
      <w:r w:rsidR="008A7B5B">
        <w:rPr>
          <w:lang w:val="en-GB"/>
        </w:rPr>
        <w:t xml:space="preserve">l and </w:t>
      </w:r>
      <w:r w:rsidR="000F2D83">
        <w:rPr>
          <w:lang w:val="en-GB"/>
        </w:rPr>
        <w:t>to the extent that the Uni</w:t>
      </w:r>
      <w:r w:rsidR="008A7B5B">
        <w:rPr>
          <w:lang w:val="en-GB"/>
        </w:rPr>
        <w:t>versity sought to have recover</w:t>
      </w:r>
      <w:r w:rsidR="000F2D83">
        <w:rPr>
          <w:lang w:val="en-GB"/>
        </w:rPr>
        <w:t xml:space="preserve"> damages</w:t>
      </w:r>
      <w:r w:rsidR="008A7B5B">
        <w:rPr>
          <w:lang w:val="en-GB"/>
        </w:rPr>
        <w:t xml:space="preserve"> from Mr Roux </w:t>
      </w:r>
      <w:r w:rsidR="000F2D83">
        <w:rPr>
          <w:lang w:val="en-GB"/>
        </w:rPr>
        <w:t>it was incumbent on it to have pleaded and proved special damages.</w:t>
      </w:r>
      <w:r w:rsidR="004F5ADD">
        <w:rPr>
          <w:lang w:val="en-GB"/>
        </w:rPr>
        <w:t xml:space="preserve"> </w:t>
      </w:r>
      <w:r w:rsidR="002560D0">
        <w:rPr>
          <w:lang w:val="en-GB"/>
        </w:rPr>
        <w:t xml:space="preserve">The issue of special or general damages </w:t>
      </w:r>
      <w:r w:rsidR="005F098A">
        <w:rPr>
          <w:lang w:val="en-GB"/>
        </w:rPr>
        <w:t xml:space="preserve">was fully argued </w:t>
      </w:r>
      <w:r w:rsidR="002560D0">
        <w:rPr>
          <w:lang w:val="en-GB"/>
        </w:rPr>
        <w:t>before the arbitrators and their finding of law</w:t>
      </w:r>
      <w:r w:rsidR="00D5614D">
        <w:rPr>
          <w:lang w:val="en-GB"/>
        </w:rPr>
        <w:t>s</w:t>
      </w:r>
      <w:r w:rsidR="002560D0">
        <w:rPr>
          <w:lang w:val="en-GB"/>
        </w:rPr>
        <w:t xml:space="preserve"> cannot be</w:t>
      </w:r>
      <w:r w:rsidR="004C54B1">
        <w:rPr>
          <w:lang w:val="en-GB"/>
        </w:rPr>
        <w:t xml:space="preserve"> the subject of</w:t>
      </w:r>
      <w:r w:rsidR="00025DF7">
        <w:rPr>
          <w:lang w:val="en-GB"/>
        </w:rPr>
        <w:t xml:space="preserve"> </w:t>
      </w:r>
      <w:r w:rsidR="00D5614D">
        <w:rPr>
          <w:lang w:val="en-GB"/>
        </w:rPr>
        <w:t>re</w:t>
      </w:r>
      <w:r w:rsidR="00025DF7">
        <w:rPr>
          <w:lang w:val="en-GB"/>
        </w:rPr>
        <w:t xml:space="preserve">determination by </w:t>
      </w:r>
      <w:r w:rsidR="000F2D83">
        <w:rPr>
          <w:lang w:val="en-GB"/>
        </w:rPr>
        <w:t>this court.</w:t>
      </w:r>
      <w:r>
        <w:rPr>
          <w:lang w:val="en-GB"/>
        </w:rPr>
        <w:t xml:space="preserve"> </w:t>
      </w:r>
      <w:r w:rsidR="002560D0">
        <w:rPr>
          <w:lang w:val="en-GB"/>
        </w:rPr>
        <w:t>The claims in the postulate on behalf of Mr Roux that in the context of the employment relationship, where unauthorised expenditure</w:t>
      </w:r>
      <w:r w:rsidR="00D5614D">
        <w:rPr>
          <w:lang w:val="en-GB"/>
        </w:rPr>
        <w:t xml:space="preserve"> is made </w:t>
      </w:r>
      <w:r w:rsidR="002560D0">
        <w:rPr>
          <w:lang w:val="en-GB"/>
        </w:rPr>
        <w:t>by an employee within the scope of the employer business and calculated to benefit the employer constitute</w:t>
      </w:r>
      <w:r w:rsidR="00FB6BE5">
        <w:rPr>
          <w:lang w:val="en-GB"/>
        </w:rPr>
        <w:t>d</w:t>
      </w:r>
      <w:r w:rsidR="002560D0">
        <w:rPr>
          <w:lang w:val="en-GB"/>
        </w:rPr>
        <w:t xml:space="preserve"> a loss that should have been pleaded and proved as special damages by the employer does </w:t>
      </w:r>
      <w:r w:rsidR="00D5614D">
        <w:rPr>
          <w:lang w:val="en-GB"/>
        </w:rPr>
        <w:t xml:space="preserve">not </w:t>
      </w:r>
      <w:r w:rsidR="002560D0">
        <w:rPr>
          <w:lang w:val="en-GB"/>
        </w:rPr>
        <w:t xml:space="preserve">in my view, </w:t>
      </w:r>
      <w:r w:rsidR="00D5614D">
        <w:rPr>
          <w:lang w:val="en-GB"/>
        </w:rPr>
        <w:t xml:space="preserve">as with the </w:t>
      </w:r>
      <w:r w:rsidR="002560D0">
        <w:rPr>
          <w:lang w:val="en-GB"/>
        </w:rPr>
        <w:t>claim on the onus challenge</w:t>
      </w:r>
      <w:r w:rsidR="00D5614D">
        <w:rPr>
          <w:lang w:val="en-GB"/>
        </w:rPr>
        <w:t xml:space="preserve"> </w:t>
      </w:r>
      <w:r w:rsidR="002560D0">
        <w:rPr>
          <w:lang w:val="en-GB"/>
        </w:rPr>
        <w:t>avail Mr Roux for the</w:t>
      </w:r>
      <w:r>
        <w:rPr>
          <w:lang w:val="en-GB"/>
        </w:rPr>
        <w:t xml:space="preserve"> very same reasons.</w:t>
      </w:r>
    </w:p>
    <w:p w14:paraId="432A752F" w14:textId="2014FCB6" w:rsidR="00E23C1B" w:rsidRDefault="00D5614D" w:rsidP="004B3B04">
      <w:pPr>
        <w:pStyle w:val="Level2"/>
        <w:numPr>
          <w:ilvl w:val="0"/>
          <w:numId w:val="0"/>
        </w:numPr>
        <w:spacing w:line="360" w:lineRule="auto"/>
        <w:ind w:left="720"/>
        <w:rPr>
          <w:lang w:val="en-GB"/>
        </w:rPr>
      </w:pPr>
      <w:r>
        <w:t>Moreover</w:t>
      </w:r>
      <w:r w:rsidR="004B3B04">
        <w:t>,</w:t>
      </w:r>
      <w:r>
        <w:t xml:space="preserve"> as already alluded to in </w:t>
      </w:r>
      <w:r>
        <w:rPr>
          <w:i/>
        </w:rPr>
        <w:t>Telcordia</w:t>
      </w:r>
      <w:r w:rsidR="009538C0">
        <w:rPr>
          <w:i/>
        </w:rPr>
        <w:t>,</w:t>
      </w:r>
      <w:r>
        <w:rPr>
          <w:i/>
        </w:rPr>
        <w:t xml:space="preserve"> </w:t>
      </w:r>
      <w:r>
        <w:t>Harms JA described the nature of the enquiry with reference to the mandate of the arbitrator in the arbitration agreement entered into between the parties.</w:t>
      </w:r>
      <w:r w:rsidR="004B3B04">
        <w:t xml:space="preserve"> </w:t>
      </w:r>
      <w:r>
        <w:t xml:space="preserve">The fact that an arbitrator might have either misinterpreted the agreement, failed to apply South African law correctly or had regard to inadmissible evidence did not mean that he misconceived the </w:t>
      </w:r>
      <w:r>
        <w:rPr>
          <w:u w:val="single"/>
        </w:rPr>
        <w:t>nature of the enquiry</w:t>
      </w:r>
      <w:r>
        <w:t xml:space="preserve"> or his duties in connection therewith”. Counsel for the University correctly contended that it was wrong for Mr Roux to suggest that ‘if the arbitrators erred in not requiring the University to plead special damages and erred by placing the onus of the applicant to show a compensating benefit they misconceived the nature of the enquiry.</w:t>
      </w:r>
      <w:r w:rsidR="009F64A9">
        <w:t xml:space="preserve"> </w:t>
      </w:r>
      <w:r w:rsidR="00C025A0">
        <w:t>In my view, Mr Roux was given a fair trial and the application of the common law on either that on the onus or the special damages challenge by the arbitrators did not detract from that.</w:t>
      </w:r>
      <w:r>
        <w:t xml:space="preserve"> </w:t>
      </w:r>
    </w:p>
    <w:p w14:paraId="2005704B" w14:textId="77777777" w:rsidR="003B02AD" w:rsidRDefault="003B02AD" w:rsidP="003B02AD">
      <w:pPr>
        <w:rPr>
          <w:b/>
        </w:rPr>
      </w:pPr>
      <w:r>
        <w:rPr>
          <w:b/>
        </w:rPr>
        <w:t>DEVELOPING THE COMMON LAW</w:t>
      </w:r>
    </w:p>
    <w:p w14:paraId="0BB1AE10" w14:textId="77777777" w:rsidR="003B02AD" w:rsidRDefault="003B02AD" w:rsidP="003B02AD">
      <w:pPr>
        <w:rPr>
          <w:b/>
        </w:rPr>
      </w:pPr>
    </w:p>
    <w:p w14:paraId="250D02D0" w14:textId="5C9E6697" w:rsidR="00373813" w:rsidRDefault="00E91637" w:rsidP="00E91637">
      <w:pPr>
        <w:spacing w:line="360" w:lineRule="auto"/>
        <w:ind w:left="720" w:hanging="720"/>
        <w:jc w:val="both"/>
      </w:pPr>
      <w:r>
        <w:t>[7</w:t>
      </w:r>
      <w:r w:rsidR="000B734A">
        <w:t>5</w:t>
      </w:r>
      <w:r>
        <w:t>]</w:t>
      </w:r>
      <w:r>
        <w:tab/>
      </w:r>
      <w:r w:rsidR="003B02AD" w:rsidRPr="00E91637">
        <w:t>This challenge is raised as the alternative to that of the challenges on onus and special damages.</w:t>
      </w:r>
      <w:r>
        <w:t xml:space="preserve"> </w:t>
      </w:r>
      <w:r w:rsidR="003B02AD" w:rsidRPr="00E91637">
        <w:t>It is non</w:t>
      </w:r>
      <w:r>
        <w:t>e</w:t>
      </w:r>
      <w:r w:rsidR="003B02AD" w:rsidRPr="00E91637">
        <w:t xml:space="preserve">theless based on the same postulate as that </w:t>
      </w:r>
      <w:r w:rsidR="003B02AD" w:rsidRPr="00E91637">
        <w:lastRenderedPageBreak/>
        <w:t>contended for in the founding affidavit referred to earlier</w:t>
      </w:r>
      <w:r w:rsidR="009538C0">
        <w:t xml:space="preserve"> (para 10)</w:t>
      </w:r>
      <w:r w:rsidR="003B02AD" w:rsidRPr="00E91637">
        <w:t xml:space="preserve">. At the outset </w:t>
      </w:r>
      <w:r w:rsidR="004C32E8">
        <w:t xml:space="preserve">when </w:t>
      </w:r>
      <w:r w:rsidR="003B02AD" w:rsidRPr="00E91637">
        <w:t>dealing with this challenge, the court is</w:t>
      </w:r>
      <w:r w:rsidR="00D5614D">
        <w:t xml:space="preserve"> equally </w:t>
      </w:r>
      <w:r w:rsidR="003B02AD" w:rsidRPr="00E91637">
        <w:t>bound by the pleadings in the matter and the facts found by the arbitrators to have been proved.</w:t>
      </w:r>
      <w:r>
        <w:t xml:space="preserve"> </w:t>
      </w:r>
      <w:r w:rsidR="004C32E8">
        <w:t xml:space="preserve">The development of the common law must take place on the facts before the court. </w:t>
      </w:r>
      <w:r w:rsidR="003B02AD" w:rsidRPr="00E91637">
        <w:t>Mr Roux accepts for the purpose of this challenge that the common law as expressed</w:t>
      </w:r>
      <w:r w:rsidR="003B02AD">
        <w:rPr>
          <w:b/>
        </w:rPr>
        <w:t xml:space="preserve"> </w:t>
      </w:r>
      <w:r w:rsidR="003B02AD" w:rsidRPr="00E91637">
        <w:t xml:space="preserve">in </w:t>
      </w:r>
      <w:r w:rsidR="003B02AD" w:rsidRPr="00E91637">
        <w:rPr>
          <w:i/>
        </w:rPr>
        <w:t>Japmoco</w:t>
      </w:r>
      <w:r w:rsidR="003B02AD" w:rsidRPr="00E91637">
        <w:t xml:space="preserve"> is correct.</w:t>
      </w:r>
      <w:r>
        <w:t xml:space="preserve"> </w:t>
      </w:r>
      <w:r w:rsidR="003B02AD" w:rsidRPr="00E91637">
        <w:t>The question that arises therefore is</w:t>
      </w:r>
      <w:r w:rsidR="00D5614D">
        <w:t xml:space="preserve"> whether </w:t>
      </w:r>
      <w:r w:rsidR="003B02AD" w:rsidRPr="00E91637">
        <w:t xml:space="preserve">the application of the common law to the pleadings and facts of this particular matter </w:t>
      </w:r>
      <w:r w:rsidR="0005369A">
        <w:t xml:space="preserve">is </w:t>
      </w:r>
      <w:r w:rsidR="003B02AD" w:rsidRPr="00E91637">
        <w:t>inconsistent with the provisions of Section 39(2) of the Constitution.</w:t>
      </w:r>
      <w:r w:rsidR="00A07E1F">
        <w:t xml:space="preserve"> </w:t>
      </w:r>
      <w:r w:rsidR="003B02AD" w:rsidRPr="00E91637">
        <w:t>That</w:t>
      </w:r>
      <w:r w:rsidR="00A07E1F">
        <w:t>,</w:t>
      </w:r>
      <w:r w:rsidR="003B02AD" w:rsidRPr="00E91637">
        <w:t xml:space="preserve"> however</w:t>
      </w:r>
      <w:r w:rsidR="00A07E1F">
        <w:t>,</w:t>
      </w:r>
      <w:r w:rsidR="003B02AD" w:rsidRPr="00E91637">
        <w:t xml:space="preserve"> is not a </w:t>
      </w:r>
      <w:r w:rsidR="004C32E8">
        <w:t xml:space="preserve">substantive </w:t>
      </w:r>
      <w:r w:rsidR="003B02AD" w:rsidRPr="00E91637">
        <w:t>question that this court must determine but rather</w:t>
      </w:r>
      <w:r w:rsidR="004C32E8">
        <w:t>,</w:t>
      </w:r>
      <w:r w:rsidR="003B02AD" w:rsidRPr="00E91637">
        <w:t xml:space="preserve"> whether the fact that the arbitrators had not even considered the </w:t>
      </w:r>
      <w:r w:rsidR="00373813">
        <w:t xml:space="preserve">development </w:t>
      </w:r>
      <w:r w:rsidR="003B02AD" w:rsidRPr="00E91637">
        <w:t>the common law in the matter before them amounted to a gross irregularity</w:t>
      </w:r>
      <w:r w:rsidR="00C025A0">
        <w:t xml:space="preserve"> in the proceedings.</w:t>
      </w:r>
      <w:r w:rsidR="00C025A0" w:rsidRPr="00E91637">
        <w:t xml:space="preserve"> </w:t>
      </w:r>
      <w:r w:rsidR="003B02AD" w:rsidRPr="00E91637">
        <w:t>Put differently, did the pleadings and facts raise a Constitu</w:t>
      </w:r>
      <w:r w:rsidR="00373813">
        <w:t>t</w:t>
      </w:r>
      <w:r w:rsidR="003B02AD" w:rsidRPr="00E91637">
        <w:t xml:space="preserve">ional issue? The Constitutional Court in the oft quoted decision on the development of the common law stated in </w:t>
      </w:r>
      <w:r w:rsidR="003B02AD" w:rsidRPr="00373813">
        <w:rPr>
          <w:i/>
        </w:rPr>
        <w:t>Carmic</w:t>
      </w:r>
      <w:r w:rsidR="00373813" w:rsidRPr="00373813">
        <w:rPr>
          <w:i/>
        </w:rPr>
        <w:t>he</w:t>
      </w:r>
      <w:r w:rsidR="003B02AD" w:rsidRPr="00373813">
        <w:rPr>
          <w:i/>
        </w:rPr>
        <w:t>le</w:t>
      </w:r>
      <w:r w:rsidR="00373813">
        <w:t xml:space="preserve"> </w:t>
      </w:r>
      <w:r w:rsidR="00373813">
        <w:rPr>
          <w:i/>
          <w:iCs/>
        </w:rPr>
        <w:t>v Minister of Safety &amp; Security 2001 (4) SA 938 (CC)</w:t>
      </w:r>
      <w:r w:rsidR="004C32E8">
        <w:rPr>
          <w:i/>
          <w:iCs/>
        </w:rPr>
        <w:t>;</w:t>
      </w:r>
    </w:p>
    <w:p w14:paraId="05DAF08D" w14:textId="77777777" w:rsidR="00373813" w:rsidRDefault="00373813" w:rsidP="00373813">
      <w:pPr>
        <w:ind w:firstLine="720"/>
        <w:rPr>
          <w:b/>
        </w:rPr>
      </w:pPr>
    </w:p>
    <w:p w14:paraId="45C0AB4E" w14:textId="4E48CF41" w:rsidR="003B02AD" w:rsidRPr="00373813" w:rsidRDefault="003B02AD" w:rsidP="00373813">
      <w:pPr>
        <w:ind w:firstLine="720"/>
        <w:rPr>
          <w:sz w:val="22"/>
          <w:szCs w:val="22"/>
        </w:rPr>
      </w:pPr>
      <w:r w:rsidRPr="00373813">
        <w:rPr>
          <w:sz w:val="22"/>
          <w:szCs w:val="22"/>
        </w:rPr>
        <w:t>“74</w:t>
      </w:r>
      <w:r w:rsidR="00373813">
        <w:rPr>
          <w:sz w:val="22"/>
          <w:szCs w:val="22"/>
        </w:rPr>
        <w:t>.</w:t>
      </w:r>
      <w:r w:rsidR="00373813">
        <w:rPr>
          <w:sz w:val="22"/>
          <w:szCs w:val="22"/>
        </w:rPr>
        <w:tab/>
      </w:r>
      <w:r w:rsidRPr="00373813">
        <w:rPr>
          <w:sz w:val="22"/>
          <w:szCs w:val="22"/>
        </w:rPr>
        <w:t>That said,</w:t>
      </w:r>
      <w:r w:rsidR="00373813">
        <w:rPr>
          <w:sz w:val="22"/>
          <w:szCs w:val="22"/>
        </w:rPr>
        <w:t xml:space="preserve"> </w:t>
      </w:r>
      <w:r w:rsidRPr="00373813">
        <w:rPr>
          <w:sz w:val="22"/>
          <w:szCs w:val="22"/>
        </w:rPr>
        <w:t>each case must ultimately depend on its own facts.”</w:t>
      </w:r>
    </w:p>
    <w:p w14:paraId="0B78B46B" w14:textId="77777777" w:rsidR="003B02AD" w:rsidRPr="00373813" w:rsidRDefault="003B02AD" w:rsidP="003B02AD">
      <w:pPr>
        <w:rPr>
          <w:sz w:val="22"/>
          <w:szCs w:val="22"/>
        </w:rPr>
      </w:pPr>
    </w:p>
    <w:p w14:paraId="499D7110" w14:textId="77777777" w:rsidR="001D3721" w:rsidRDefault="001D3721" w:rsidP="003B02AD">
      <w:pPr>
        <w:spacing w:line="360" w:lineRule="auto"/>
        <w:ind w:left="720" w:hanging="720"/>
        <w:jc w:val="both"/>
      </w:pPr>
    </w:p>
    <w:p w14:paraId="30AE219F" w14:textId="0FC6E353" w:rsidR="003B02AD" w:rsidRDefault="003B02AD" w:rsidP="003B02AD">
      <w:pPr>
        <w:spacing w:line="360" w:lineRule="auto"/>
        <w:ind w:left="720" w:hanging="720"/>
        <w:jc w:val="both"/>
      </w:pPr>
      <w:r>
        <w:t>[</w:t>
      </w:r>
      <w:r w:rsidR="00616A4B">
        <w:t>7</w:t>
      </w:r>
      <w:r w:rsidR="000B734A">
        <w:t>6</w:t>
      </w:r>
      <w:r>
        <w:t>]</w:t>
      </w:r>
      <w:r>
        <w:tab/>
        <w:t>In my view</w:t>
      </w:r>
      <w:r w:rsidR="00373813">
        <w:t>,</w:t>
      </w:r>
      <w:r>
        <w:t xml:space="preserve"> </w:t>
      </w:r>
      <w:r w:rsidR="00373813">
        <w:t>t</w:t>
      </w:r>
      <w:r>
        <w:t xml:space="preserve">he challenge by the Mr Roux that the </w:t>
      </w:r>
      <w:r w:rsidR="00C025A0">
        <w:t>I</w:t>
      </w:r>
      <w:r>
        <w:t xml:space="preserve">nitial </w:t>
      </w:r>
      <w:r w:rsidR="00C025A0">
        <w:t>A</w:t>
      </w:r>
      <w:r>
        <w:t xml:space="preserve">rbitrator and the </w:t>
      </w:r>
      <w:r w:rsidR="00C025A0">
        <w:t>A</w:t>
      </w:r>
      <w:r>
        <w:t xml:space="preserve">ppeal </w:t>
      </w:r>
      <w:r w:rsidR="00C025A0">
        <w:t>T</w:t>
      </w:r>
      <w:r>
        <w:t xml:space="preserve">ribunal had failed to consider the development of the common law as set out </w:t>
      </w:r>
      <w:r>
        <w:rPr>
          <w:i/>
        </w:rPr>
        <w:t xml:space="preserve">Japmoco </w:t>
      </w:r>
      <w:r>
        <w:t>and therefore committed what amounted to a gross irregularity in the proceedings, suffer</w:t>
      </w:r>
      <w:r w:rsidR="00373813">
        <w:t>e</w:t>
      </w:r>
      <w:r>
        <w:t>d from the same afflictions as that raised by Mr Roux in respect of the challenge</w:t>
      </w:r>
      <w:r w:rsidR="009538C0">
        <w:t>s</w:t>
      </w:r>
      <w:r>
        <w:t xml:space="preserve"> on the onus and that on special damages. The facts found to be proved by the arbitrators and their findings that the Mr Roux had failed to prove any benefit to the University and more importantly that the unlawful expenditure was neither legi</w:t>
      </w:r>
      <w:r w:rsidR="00373813">
        <w:t>ti</w:t>
      </w:r>
      <w:r>
        <w:t>mate nor in the scope of business of the University detracted equally from the underlying premise of Mr Roux`s challenge on this ground. Counsel for the Mr Roux in argument repeatedly referred to what they regarded as the “unchallenged claim of benefits” that accrued to the University as a result of the unlawful expenditure. They also submitted in argument that the</w:t>
      </w:r>
      <w:r w:rsidR="00373813">
        <w:t xml:space="preserve"> Constitutional </w:t>
      </w:r>
      <w:r>
        <w:t xml:space="preserve">challenge was not dependant on whether the issue of benefits </w:t>
      </w:r>
      <w:r w:rsidR="0005369A">
        <w:t>was</w:t>
      </w:r>
      <w:r>
        <w:t xml:space="preserve"> common cause or not and neither on the legitimacy of the expenditure. It was based primarily on the claim that the </w:t>
      </w:r>
      <w:r>
        <w:lastRenderedPageBreak/>
        <w:t>expenditure by Mr Roux as an employee was made in the scope of the business of the Univer</w:t>
      </w:r>
      <w:r w:rsidR="00F64AC0">
        <w:t>sity. As counsel put it, “</w:t>
      </w:r>
      <w:r>
        <w:t>on t</w:t>
      </w:r>
      <w:r w:rsidR="00F64AC0">
        <w:t>he projects of the University” a</w:t>
      </w:r>
      <w:r>
        <w:t>nd</w:t>
      </w:r>
      <w:r w:rsidR="0005369A">
        <w:t xml:space="preserve"> likewise </w:t>
      </w:r>
      <w:r>
        <w:t xml:space="preserve">relied principally on the finding of the </w:t>
      </w:r>
      <w:r w:rsidR="00C025A0">
        <w:t>A</w:t>
      </w:r>
      <w:r>
        <w:t xml:space="preserve">ppeal </w:t>
      </w:r>
      <w:r w:rsidR="00C025A0">
        <w:t>T</w:t>
      </w:r>
      <w:r>
        <w:t xml:space="preserve">ribunal referred in </w:t>
      </w:r>
      <w:r w:rsidR="00C16407">
        <w:t>paragraph 15</w:t>
      </w:r>
      <w:r w:rsidR="009F64A9">
        <w:t xml:space="preserve"> </w:t>
      </w:r>
      <w:r w:rsidR="0005369A">
        <w:t xml:space="preserve">above </w:t>
      </w:r>
      <w:r w:rsidR="00C16407">
        <w:t xml:space="preserve">in </w:t>
      </w:r>
      <w:r>
        <w:t>regard to Mr Roux</w:t>
      </w:r>
      <w:r w:rsidR="00C16407">
        <w:t>’s</w:t>
      </w:r>
      <w:r>
        <w:t xml:space="preserve"> claim that the expenditure was “in die normale gang van die Rugby Klub en sy</w:t>
      </w:r>
      <w:r w:rsidR="00F64AC0">
        <w:t xml:space="preserve"> uitgawes” for support. </w:t>
      </w:r>
    </w:p>
    <w:p w14:paraId="234CA5CF" w14:textId="77777777" w:rsidR="003B02AD" w:rsidRDefault="003B02AD" w:rsidP="003B02AD">
      <w:pPr>
        <w:spacing w:line="360" w:lineRule="auto"/>
        <w:ind w:left="720" w:hanging="720"/>
        <w:jc w:val="both"/>
      </w:pPr>
    </w:p>
    <w:p w14:paraId="4E81AFE5" w14:textId="65A96080" w:rsidR="003B02AD" w:rsidRDefault="003B02AD" w:rsidP="003B02AD">
      <w:pPr>
        <w:spacing w:line="360" w:lineRule="auto"/>
        <w:ind w:left="720" w:hanging="720"/>
        <w:jc w:val="both"/>
      </w:pPr>
      <w:r>
        <w:t>[</w:t>
      </w:r>
      <w:r w:rsidR="00616A4B">
        <w:t>7</w:t>
      </w:r>
      <w:r w:rsidR="000B734A">
        <w:t>7</w:t>
      </w:r>
      <w:r>
        <w:t>]</w:t>
      </w:r>
      <w:r>
        <w:tab/>
        <w:t xml:space="preserve">The nature of the plea by Mr Roux in the claims before the arbitrators where he simply denied not only the terms of the contract, its breach but also the unlawful allocations and the unlawful expenditure and the application of the common law to the issue of onus likewise detracted from a consideration as to whether a Constitutional issue arose in the matter. In short, neither the pleadings, nor the facts found </w:t>
      </w:r>
      <w:r w:rsidR="00C025A0">
        <w:t>to be</w:t>
      </w:r>
      <w:r>
        <w:t xml:space="preserve"> proved by the arbitrators and the application of the common law would</w:t>
      </w:r>
      <w:r w:rsidR="00C16407">
        <w:t xml:space="preserve"> in my view</w:t>
      </w:r>
      <w:r>
        <w:t xml:space="preserve">, per se, have given rise to a consideration </w:t>
      </w:r>
      <w:r w:rsidR="00C16407">
        <w:t>for</w:t>
      </w:r>
      <w:r>
        <w:t xml:space="preserve"> the development of the common law in this matter. </w:t>
      </w:r>
    </w:p>
    <w:p w14:paraId="6045B8C9" w14:textId="77777777" w:rsidR="003B02AD" w:rsidRDefault="003B02AD" w:rsidP="003B02AD">
      <w:pPr>
        <w:spacing w:line="360" w:lineRule="auto"/>
        <w:ind w:left="720" w:hanging="720"/>
        <w:jc w:val="both"/>
      </w:pPr>
    </w:p>
    <w:p w14:paraId="6DCED3A1" w14:textId="7E749526" w:rsidR="003B02AD" w:rsidRDefault="003B02AD" w:rsidP="003B02AD">
      <w:pPr>
        <w:spacing w:line="360" w:lineRule="auto"/>
        <w:ind w:left="720" w:hanging="720"/>
        <w:jc w:val="both"/>
      </w:pPr>
      <w:r>
        <w:t>[</w:t>
      </w:r>
      <w:r w:rsidR="00616A4B">
        <w:t>7</w:t>
      </w:r>
      <w:r w:rsidR="000B734A">
        <w:t>8</w:t>
      </w:r>
      <w:r>
        <w:t>]</w:t>
      </w:r>
      <w:r>
        <w:tab/>
        <w:t>In the founding affidavit the deponent on behalf of Mr Roux contend</w:t>
      </w:r>
      <w:r w:rsidR="00C16407">
        <w:t>ed</w:t>
      </w:r>
      <w:r>
        <w:t xml:space="preserve"> that the common law </w:t>
      </w:r>
      <w:r w:rsidR="00C16407">
        <w:t>wa</w:t>
      </w:r>
      <w:r>
        <w:t>s procedurally unfair because it allow</w:t>
      </w:r>
      <w:r w:rsidR="00C16407">
        <w:t>ed</w:t>
      </w:r>
      <w:r>
        <w:t xml:space="preserve"> an employe</w:t>
      </w:r>
      <w:r w:rsidR="00C16407">
        <w:t>r</w:t>
      </w:r>
      <w:r>
        <w:t xml:space="preserve"> to claim the entire value of the authorisation, (a) without pleading special damages and b) where the onus rests entirely on the employee to establish the compensating benefit. He contends that it was procedurally unfair because an employee cannot be expected to establish what benefits an employer received from th</w:t>
      </w:r>
      <w:r w:rsidR="00F64AC0">
        <w:t>e expenditure of its own funds</w:t>
      </w:r>
      <w:r w:rsidR="00C16407">
        <w:t xml:space="preserve"> and</w:t>
      </w:r>
      <w:r w:rsidR="00F64AC0">
        <w:t>,</w:t>
      </w:r>
      <w:r w:rsidR="00C16407">
        <w:t xml:space="preserve"> amongst others, </w:t>
      </w:r>
      <w:r w:rsidR="0011048C">
        <w:t>claimed</w:t>
      </w:r>
      <w:r>
        <w:t xml:space="preserve"> that the failure on the part of the arbitrator</w:t>
      </w:r>
      <w:r w:rsidR="0011048C">
        <w:t>s</w:t>
      </w:r>
      <w:r>
        <w:t xml:space="preserve"> to</w:t>
      </w:r>
      <w:r w:rsidR="0011048C">
        <w:t xml:space="preserve"> even </w:t>
      </w:r>
      <w:r>
        <w:t xml:space="preserve">consider whether it was necessary to develop the common law resulted in them </w:t>
      </w:r>
      <w:r w:rsidR="0011048C">
        <w:t xml:space="preserve">having </w:t>
      </w:r>
      <w:r w:rsidR="0005369A">
        <w:t>completely</w:t>
      </w:r>
      <w:r>
        <w:t xml:space="preserve"> misconceived the nature of the inquiry and that the awards should be reviewed and the matters remitted to the arbitrators</w:t>
      </w:r>
      <w:r w:rsidR="00440FCB">
        <w:t>.</w:t>
      </w:r>
    </w:p>
    <w:p w14:paraId="3299B4CF" w14:textId="77777777" w:rsidR="003B02AD" w:rsidRDefault="003B02AD" w:rsidP="003B02AD">
      <w:pPr>
        <w:spacing w:line="360" w:lineRule="auto"/>
        <w:ind w:left="720" w:hanging="720"/>
        <w:jc w:val="both"/>
      </w:pPr>
    </w:p>
    <w:p w14:paraId="4DBA43A3" w14:textId="0376517B" w:rsidR="003B02AD" w:rsidRDefault="003B02AD" w:rsidP="00F64AC0">
      <w:pPr>
        <w:pStyle w:val="BowLevel2ListAlt"/>
        <w:numPr>
          <w:ilvl w:val="0"/>
          <w:numId w:val="0"/>
        </w:numPr>
        <w:tabs>
          <w:tab w:val="left" w:pos="720"/>
        </w:tabs>
        <w:spacing w:before="240" w:after="240"/>
        <w:ind w:left="720" w:hanging="720"/>
        <w:rPr>
          <w:rFonts w:ascii="Arial" w:hAnsi="Arial" w:cs="Arial"/>
          <w:iCs/>
          <w:sz w:val="24"/>
          <w:szCs w:val="24"/>
        </w:rPr>
      </w:pPr>
      <w:r>
        <w:rPr>
          <w:rFonts w:ascii="Arial" w:hAnsi="Arial" w:cs="Arial"/>
          <w:sz w:val="24"/>
          <w:szCs w:val="24"/>
        </w:rPr>
        <w:t>[</w:t>
      </w:r>
      <w:r w:rsidR="009538C0">
        <w:rPr>
          <w:rFonts w:ascii="Arial" w:hAnsi="Arial" w:cs="Arial"/>
          <w:sz w:val="24"/>
          <w:szCs w:val="24"/>
        </w:rPr>
        <w:t>7</w:t>
      </w:r>
      <w:r w:rsidR="000B734A">
        <w:rPr>
          <w:rFonts w:ascii="Arial" w:hAnsi="Arial" w:cs="Arial"/>
          <w:sz w:val="24"/>
          <w:szCs w:val="24"/>
        </w:rPr>
        <w:t>9</w:t>
      </w:r>
      <w:r>
        <w:rPr>
          <w:rFonts w:ascii="Arial" w:hAnsi="Arial" w:cs="Arial"/>
          <w:sz w:val="24"/>
          <w:szCs w:val="24"/>
        </w:rPr>
        <w:t>]</w:t>
      </w:r>
      <w:r>
        <w:rPr>
          <w:rFonts w:ascii="Arial" w:hAnsi="Arial" w:cs="Arial"/>
          <w:sz w:val="24"/>
          <w:szCs w:val="24"/>
        </w:rPr>
        <w:tab/>
        <w:t>Counsel for the University correctly contended as much as the issue of the development of the common law had neither been pleaded nor raised in argument before the arbitrators and given that the principle</w:t>
      </w:r>
      <w:r w:rsidR="004B3B04">
        <w:rPr>
          <w:rFonts w:ascii="Arial" w:hAnsi="Arial" w:cs="Arial"/>
          <w:sz w:val="24"/>
          <w:szCs w:val="24"/>
        </w:rPr>
        <w:t xml:space="preserve"> </w:t>
      </w:r>
      <w:r>
        <w:rPr>
          <w:rFonts w:ascii="Arial" w:hAnsi="Arial" w:cs="Arial"/>
          <w:sz w:val="24"/>
          <w:szCs w:val="24"/>
        </w:rPr>
        <w:t xml:space="preserve">in </w:t>
      </w:r>
      <w:r>
        <w:rPr>
          <w:rFonts w:ascii="Arial" w:hAnsi="Arial" w:cs="Arial"/>
          <w:i/>
          <w:sz w:val="24"/>
          <w:szCs w:val="24"/>
        </w:rPr>
        <w:t>Cool Ideas v Hubbard</w:t>
      </w:r>
      <w:r>
        <w:rPr>
          <w:rFonts w:ascii="Arial" w:hAnsi="Arial" w:cs="Arial"/>
          <w:sz w:val="24"/>
          <w:szCs w:val="24"/>
        </w:rPr>
        <w:t xml:space="preserve"> 2014 (4) 474 (CC)</w:t>
      </w:r>
      <w:r w:rsidR="004D0FB9">
        <w:rPr>
          <w:rFonts w:ascii="Arial" w:hAnsi="Arial" w:cs="Arial"/>
          <w:sz w:val="24"/>
          <w:szCs w:val="24"/>
        </w:rPr>
        <w:t xml:space="preserve"> (where </w:t>
      </w:r>
      <w:r>
        <w:rPr>
          <w:rFonts w:ascii="Arial" w:hAnsi="Arial" w:cs="Arial"/>
          <w:sz w:val="24"/>
          <w:szCs w:val="24"/>
        </w:rPr>
        <w:t>the High Court was asked to enforce an order that was contrary to the law)</w:t>
      </w:r>
      <w:r w:rsidR="0005369A">
        <w:rPr>
          <w:rFonts w:ascii="Arial" w:hAnsi="Arial" w:cs="Arial"/>
          <w:sz w:val="24"/>
          <w:szCs w:val="24"/>
        </w:rPr>
        <w:t xml:space="preserve"> w</w:t>
      </w:r>
      <w:r w:rsidR="0011048C">
        <w:rPr>
          <w:rFonts w:ascii="Arial" w:hAnsi="Arial" w:cs="Arial"/>
          <w:sz w:val="24"/>
          <w:szCs w:val="24"/>
        </w:rPr>
        <w:t>as</w:t>
      </w:r>
      <w:r w:rsidR="0005369A">
        <w:rPr>
          <w:rFonts w:ascii="Arial" w:hAnsi="Arial" w:cs="Arial"/>
          <w:sz w:val="24"/>
          <w:szCs w:val="24"/>
        </w:rPr>
        <w:t xml:space="preserve"> not applicable in this matter</w:t>
      </w:r>
      <w:r>
        <w:rPr>
          <w:rFonts w:ascii="Arial" w:hAnsi="Arial" w:cs="Arial"/>
          <w:sz w:val="24"/>
          <w:szCs w:val="24"/>
        </w:rPr>
        <w:t xml:space="preserve"> that any </w:t>
      </w:r>
      <w:r>
        <w:rPr>
          <w:rFonts w:ascii="Arial" w:hAnsi="Arial" w:cs="Arial"/>
          <w:sz w:val="24"/>
          <w:szCs w:val="24"/>
        </w:rPr>
        <w:lastRenderedPageBreak/>
        <w:t>inquiry into a suggested constitutional inquiry would have been that for the arbitrators and not th</w:t>
      </w:r>
      <w:r w:rsidR="00C16407">
        <w:rPr>
          <w:rFonts w:ascii="Arial" w:hAnsi="Arial" w:cs="Arial"/>
          <w:sz w:val="24"/>
          <w:szCs w:val="24"/>
        </w:rPr>
        <w:t>is</w:t>
      </w:r>
      <w:r>
        <w:rPr>
          <w:rFonts w:ascii="Arial" w:hAnsi="Arial" w:cs="Arial"/>
          <w:sz w:val="24"/>
          <w:szCs w:val="24"/>
        </w:rPr>
        <w:t xml:space="preserve"> court. The University makes the point that had the issue of the development of the common law been raised and the facts found to be different, but the decision was not to develop the common law, that finding would not have constituted a ‘gross irregularity’ which could be reviewed under section 33(1)(b). Inasmuch as </w:t>
      </w:r>
      <w:r w:rsidR="00C16407">
        <w:rPr>
          <w:rFonts w:ascii="Arial" w:hAnsi="Arial" w:cs="Arial"/>
          <w:sz w:val="24"/>
          <w:szCs w:val="24"/>
        </w:rPr>
        <w:t xml:space="preserve">that </w:t>
      </w:r>
      <w:r>
        <w:rPr>
          <w:rFonts w:ascii="Arial" w:hAnsi="Arial" w:cs="Arial"/>
          <w:sz w:val="24"/>
          <w:szCs w:val="24"/>
        </w:rPr>
        <w:t>was within the jurisdiction of the arbitrators to decide th</w:t>
      </w:r>
      <w:r w:rsidR="00C16407">
        <w:rPr>
          <w:rFonts w:ascii="Arial" w:hAnsi="Arial" w:cs="Arial"/>
          <w:sz w:val="24"/>
          <w:szCs w:val="24"/>
        </w:rPr>
        <w:t>e</w:t>
      </w:r>
      <w:r>
        <w:rPr>
          <w:rFonts w:ascii="Arial" w:hAnsi="Arial" w:cs="Arial"/>
          <w:sz w:val="24"/>
          <w:szCs w:val="24"/>
        </w:rPr>
        <w:t xml:space="preserve"> issue. That deci</w:t>
      </w:r>
      <w:r w:rsidR="00F64AC0">
        <w:rPr>
          <w:rFonts w:ascii="Arial" w:hAnsi="Arial" w:cs="Arial"/>
          <w:sz w:val="24"/>
          <w:szCs w:val="24"/>
        </w:rPr>
        <w:t>si</w:t>
      </w:r>
      <w:r>
        <w:rPr>
          <w:rFonts w:ascii="Arial" w:hAnsi="Arial" w:cs="Arial"/>
          <w:sz w:val="24"/>
          <w:szCs w:val="24"/>
        </w:rPr>
        <w:t>on would have been binding on the parties with reference to the principle</w:t>
      </w:r>
      <w:r w:rsidR="0011048C">
        <w:rPr>
          <w:rFonts w:ascii="Arial" w:hAnsi="Arial" w:cs="Arial"/>
          <w:sz w:val="24"/>
          <w:szCs w:val="24"/>
        </w:rPr>
        <w:t xml:space="preserve"> by </w:t>
      </w:r>
      <w:r>
        <w:rPr>
          <w:rFonts w:ascii="Arial" w:hAnsi="Arial" w:cs="Arial"/>
          <w:sz w:val="24"/>
          <w:szCs w:val="24"/>
        </w:rPr>
        <w:t>Innes CJ</w:t>
      </w:r>
      <w:r w:rsidR="00F64AC0">
        <w:rPr>
          <w:rFonts w:ascii="Arial" w:hAnsi="Arial" w:cs="Arial"/>
          <w:sz w:val="24"/>
          <w:szCs w:val="24"/>
        </w:rPr>
        <w:t>,</w:t>
      </w:r>
      <w:r>
        <w:rPr>
          <w:rFonts w:ascii="Arial" w:hAnsi="Arial" w:cs="Arial"/>
          <w:sz w:val="24"/>
          <w:szCs w:val="24"/>
        </w:rPr>
        <w:t xml:space="preserve"> in </w:t>
      </w:r>
      <w:r>
        <w:rPr>
          <w:rFonts w:ascii="Arial" w:hAnsi="Arial" w:cs="Arial"/>
          <w:i/>
          <w:iCs/>
          <w:sz w:val="24"/>
          <w:szCs w:val="24"/>
        </w:rPr>
        <w:t xml:space="preserve">Doyle v Shenker. </w:t>
      </w:r>
      <w:r w:rsidR="00F64AC0">
        <w:rPr>
          <w:rFonts w:ascii="Arial" w:hAnsi="Arial" w:cs="Arial"/>
          <w:iCs/>
          <w:sz w:val="24"/>
          <w:szCs w:val="24"/>
        </w:rPr>
        <w:t xml:space="preserve">The University and, </w:t>
      </w:r>
      <w:r>
        <w:rPr>
          <w:rFonts w:ascii="Arial" w:hAnsi="Arial" w:cs="Arial"/>
          <w:iCs/>
          <w:sz w:val="24"/>
          <w:szCs w:val="24"/>
        </w:rPr>
        <w:t>in my view</w:t>
      </w:r>
      <w:r w:rsidR="00F64AC0">
        <w:rPr>
          <w:rFonts w:ascii="Arial" w:hAnsi="Arial" w:cs="Arial"/>
          <w:iCs/>
          <w:sz w:val="24"/>
          <w:szCs w:val="24"/>
        </w:rPr>
        <w:t>,</w:t>
      </w:r>
      <w:r w:rsidR="004B3B04">
        <w:rPr>
          <w:rFonts w:ascii="Arial" w:hAnsi="Arial" w:cs="Arial"/>
          <w:iCs/>
          <w:sz w:val="24"/>
          <w:szCs w:val="24"/>
        </w:rPr>
        <w:t xml:space="preserve"> </w:t>
      </w:r>
      <w:r>
        <w:rPr>
          <w:rFonts w:ascii="Arial" w:hAnsi="Arial" w:cs="Arial"/>
          <w:iCs/>
          <w:sz w:val="24"/>
          <w:szCs w:val="24"/>
        </w:rPr>
        <w:t>correctly</w:t>
      </w:r>
      <w:r w:rsidR="0011048C">
        <w:rPr>
          <w:rFonts w:ascii="Arial" w:hAnsi="Arial" w:cs="Arial"/>
          <w:iCs/>
          <w:sz w:val="24"/>
          <w:szCs w:val="24"/>
        </w:rPr>
        <w:t xml:space="preserve"> so</w:t>
      </w:r>
      <w:r w:rsidR="00C16407">
        <w:rPr>
          <w:rFonts w:ascii="Arial" w:hAnsi="Arial" w:cs="Arial"/>
          <w:iCs/>
          <w:sz w:val="24"/>
          <w:szCs w:val="24"/>
        </w:rPr>
        <w:t>,</w:t>
      </w:r>
      <w:r>
        <w:rPr>
          <w:rFonts w:ascii="Arial" w:hAnsi="Arial" w:cs="Arial"/>
          <w:iCs/>
          <w:sz w:val="24"/>
          <w:szCs w:val="24"/>
        </w:rPr>
        <w:t xml:space="preserve"> did not contend that the arbitrators were not empowered to have developed the common law nor </w:t>
      </w:r>
      <w:r w:rsidR="00C16407">
        <w:rPr>
          <w:rFonts w:ascii="Arial" w:hAnsi="Arial" w:cs="Arial"/>
          <w:iCs/>
          <w:sz w:val="24"/>
          <w:szCs w:val="24"/>
        </w:rPr>
        <w:t xml:space="preserve">to </w:t>
      </w:r>
      <w:r>
        <w:rPr>
          <w:rFonts w:ascii="Arial" w:hAnsi="Arial" w:cs="Arial"/>
          <w:iCs/>
          <w:sz w:val="24"/>
          <w:szCs w:val="24"/>
        </w:rPr>
        <w:t>do so even if the parties themselves had not sought its developme</w:t>
      </w:r>
      <w:r w:rsidR="00F64AC0">
        <w:rPr>
          <w:rFonts w:ascii="Arial" w:hAnsi="Arial" w:cs="Arial"/>
          <w:iCs/>
          <w:sz w:val="24"/>
          <w:szCs w:val="24"/>
        </w:rPr>
        <w:t>n</w:t>
      </w:r>
      <w:r>
        <w:rPr>
          <w:rFonts w:ascii="Arial" w:hAnsi="Arial" w:cs="Arial"/>
          <w:iCs/>
          <w:sz w:val="24"/>
          <w:szCs w:val="24"/>
        </w:rPr>
        <w:t xml:space="preserve">t. The University contended though that the </w:t>
      </w:r>
      <w:r w:rsidR="00A25ED8">
        <w:rPr>
          <w:rFonts w:ascii="Arial" w:hAnsi="Arial" w:cs="Arial"/>
          <w:iCs/>
          <w:sz w:val="24"/>
          <w:szCs w:val="24"/>
        </w:rPr>
        <w:t xml:space="preserve">facts </w:t>
      </w:r>
      <w:r>
        <w:rPr>
          <w:rFonts w:ascii="Arial" w:hAnsi="Arial" w:cs="Arial"/>
          <w:iCs/>
          <w:sz w:val="24"/>
          <w:szCs w:val="24"/>
        </w:rPr>
        <w:t xml:space="preserve">of this matter did not give rise to a consideration of the development of the common law and neither was the failure of the arbitrators to have done so a reviewable gross irregularly on the pleaded case and facts found by the arbitrators.   </w:t>
      </w:r>
    </w:p>
    <w:p w14:paraId="7DC1A744" w14:textId="7BD6B6DB" w:rsidR="003B02AD" w:rsidRDefault="00F64AC0" w:rsidP="00F64AC0">
      <w:pPr>
        <w:pStyle w:val="BowLevel2ListAlt"/>
        <w:numPr>
          <w:ilvl w:val="0"/>
          <w:numId w:val="0"/>
        </w:numPr>
        <w:tabs>
          <w:tab w:val="left" w:pos="720"/>
        </w:tabs>
        <w:spacing w:before="240" w:after="240"/>
        <w:ind w:left="720" w:hanging="720"/>
        <w:rPr>
          <w:rFonts w:ascii="Arial" w:hAnsi="Arial" w:cs="Arial"/>
          <w:iCs/>
          <w:sz w:val="24"/>
          <w:szCs w:val="24"/>
        </w:rPr>
      </w:pPr>
      <w:r>
        <w:rPr>
          <w:rFonts w:ascii="Arial" w:hAnsi="Arial" w:cs="Arial"/>
          <w:iCs/>
          <w:sz w:val="24"/>
          <w:szCs w:val="24"/>
        </w:rPr>
        <w:t>[</w:t>
      </w:r>
      <w:r w:rsidR="000B734A">
        <w:rPr>
          <w:rFonts w:ascii="Arial" w:hAnsi="Arial" w:cs="Arial"/>
          <w:iCs/>
          <w:sz w:val="24"/>
          <w:szCs w:val="24"/>
        </w:rPr>
        <w:t>80</w:t>
      </w:r>
      <w:r>
        <w:rPr>
          <w:rFonts w:ascii="Arial" w:hAnsi="Arial" w:cs="Arial"/>
          <w:iCs/>
          <w:sz w:val="24"/>
          <w:szCs w:val="24"/>
        </w:rPr>
        <w:t>]</w:t>
      </w:r>
      <w:r>
        <w:rPr>
          <w:rFonts w:ascii="Arial" w:hAnsi="Arial" w:cs="Arial"/>
          <w:iCs/>
          <w:sz w:val="24"/>
          <w:szCs w:val="24"/>
        </w:rPr>
        <w:tab/>
      </w:r>
      <w:r w:rsidR="003B02AD">
        <w:rPr>
          <w:rFonts w:ascii="Arial" w:hAnsi="Arial" w:cs="Arial"/>
          <w:iCs/>
          <w:sz w:val="24"/>
          <w:szCs w:val="24"/>
        </w:rPr>
        <w:t>In the context of an arbitration</w:t>
      </w:r>
      <w:r w:rsidR="0011048C">
        <w:rPr>
          <w:rFonts w:ascii="Arial" w:hAnsi="Arial" w:cs="Arial"/>
          <w:iCs/>
          <w:sz w:val="24"/>
          <w:szCs w:val="24"/>
        </w:rPr>
        <w:t>,</w:t>
      </w:r>
      <w:r w:rsidR="003B02AD">
        <w:rPr>
          <w:rFonts w:ascii="Arial" w:hAnsi="Arial" w:cs="Arial"/>
          <w:iCs/>
          <w:sz w:val="24"/>
          <w:szCs w:val="24"/>
        </w:rPr>
        <w:t xml:space="preserve"> counsel for Mr Roux submitted that the development of the common law </w:t>
      </w:r>
      <w:r w:rsidR="00C16407">
        <w:rPr>
          <w:rFonts w:ascii="Arial" w:hAnsi="Arial" w:cs="Arial"/>
          <w:iCs/>
          <w:sz w:val="24"/>
          <w:szCs w:val="24"/>
        </w:rPr>
        <w:t xml:space="preserve">would </w:t>
      </w:r>
      <w:r w:rsidR="003B02AD">
        <w:rPr>
          <w:rFonts w:ascii="Arial" w:hAnsi="Arial" w:cs="Arial"/>
          <w:iCs/>
          <w:sz w:val="24"/>
          <w:szCs w:val="24"/>
        </w:rPr>
        <w:t xml:space="preserve">have no precedential effect and correctly pointed out that a vast majority of arbitration awards </w:t>
      </w:r>
      <w:r w:rsidR="0011048C">
        <w:rPr>
          <w:rFonts w:ascii="Arial" w:hAnsi="Arial" w:cs="Arial"/>
          <w:iCs/>
          <w:sz w:val="24"/>
          <w:szCs w:val="24"/>
        </w:rPr>
        <w:t>were</w:t>
      </w:r>
      <w:r w:rsidR="003B02AD">
        <w:rPr>
          <w:rFonts w:ascii="Arial" w:hAnsi="Arial" w:cs="Arial"/>
          <w:iCs/>
          <w:sz w:val="24"/>
          <w:szCs w:val="24"/>
        </w:rPr>
        <w:t xml:space="preserve"> private and therefore never become public.</w:t>
      </w:r>
      <w:r>
        <w:rPr>
          <w:rFonts w:ascii="Arial" w:hAnsi="Arial" w:cs="Arial"/>
          <w:iCs/>
          <w:sz w:val="24"/>
          <w:szCs w:val="24"/>
        </w:rPr>
        <w:t xml:space="preserve"> </w:t>
      </w:r>
      <w:r w:rsidR="003B02AD">
        <w:rPr>
          <w:rFonts w:ascii="Arial" w:hAnsi="Arial" w:cs="Arial"/>
          <w:iCs/>
          <w:sz w:val="24"/>
          <w:szCs w:val="24"/>
        </w:rPr>
        <w:t>But even those that become public would not bind other courts.</w:t>
      </w:r>
      <w:r>
        <w:rPr>
          <w:rFonts w:ascii="Arial" w:hAnsi="Arial" w:cs="Arial"/>
          <w:iCs/>
          <w:sz w:val="24"/>
          <w:szCs w:val="24"/>
        </w:rPr>
        <w:t xml:space="preserve"> </w:t>
      </w:r>
      <w:r w:rsidR="003B02AD">
        <w:rPr>
          <w:rFonts w:ascii="Arial" w:hAnsi="Arial" w:cs="Arial"/>
          <w:iCs/>
          <w:sz w:val="24"/>
          <w:szCs w:val="24"/>
        </w:rPr>
        <w:t>But that did not mean that the law should not be developed for the purposes of the arbitration in order to properly resolve the individual dispute before the arbitrator</w:t>
      </w:r>
      <w:r w:rsidR="00A25ED8">
        <w:rPr>
          <w:rFonts w:ascii="Arial" w:hAnsi="Arial" w:cs="Arial"/>
          <w:iCs/>
          <w:sz w:val="24"/>
          <w:szCs w:val="24"/>
        </w:rPr>
        <w:t>.</w:t>
      </w:r>
      <w:r w:rsidR="004B3B04">
        <w:rPr>
          <w:rFonts w:ascii="Arial" w:hAnsi="Arial" w:cs="Arial"/>
          <w:iCs/>
          <w:sz w:val="24"/>
          <w:szCs w:val="24"/>
        </w:rPr>
        <w:t xml:space="preserve"> </w:t>
      </w:r>
      <w:r w:rsidR="00A25ED8">
        <w:rPr>
          <w:rFonts w:ascii="Arial" w:hAnsi="Arial" w:cs="Arial"/>
          <w:iCs/>
          <w:sz w:val="24"/>
          <w:szCs w:val="24"/>
        </w:rPr>
        <w:t>Needles</w:t>
      </w:r>
      <w:r w:rsidR="004B3B04">
        <w:rPr>
          <w:rFonts w:ascii="Arial" w:hAnsi="Arial" w:cs="Arial"/>
          <w:iCs/>
          <w:sz w:val="24"/>
          <w:szCs w:val="24"/>
        </w:rPr>
        <w:t>s</w:t>
      </w:r>
      <w:r w:rsidR="00A25ED8">
        <w:rPr>
          <w:rFonts w:ascii="Arial" w:hAnsi="Arial" w:cs="Arial"/>
          <w:iCs/>
          <w:sz w:val="24"/>
          <w:szCs w:val="24"/>
        </w:rPr>
        <w:t xml:space="preserve"> to state that dispute must be determined on the pleaded case and the facts found to be proved. </w:t>
      </w:r>
      <w:r w:rsidR="003B02AD">
        <w:rPr>
          <w:rFonts w:ascii="Arial" w:hAnsi="Arial" w:cs="Arial"/>
          <w:iCs/>
          <w:sz w:val="24"/>
          <w:szCs w:val="24"/>
        </w:rPr>
        <w:t xml:space="preserve"> </w:t>
      </w:r>
    </w:p>
    <w:p w14:paraId="093AE0DB" w14:textId="21226603" w:rsidR="003B02AD" w:rsidRDefault="00F64AC0" w:rsidP="00F64AC0">
      <w:pPr>
        <w:pStyle w:val="BowLevel2ListAlt"/>
        <w:numPr>
          <w:ilvl w:val="0"/>
          <w:numId w:val="0"/>
        </w:numPr>
        <w:tabs>
          <w:tab w:val="left" w:pos="720"/>
        </w:tabs>
        <w:spacing w:before="240" w:after="240"/>
        <w:ind w:left="720" w:hanging="720"/>
        <w:rPr>
          <w:rFonts w:ascii="Arial" w:hAnsi="Arial" w:cs="Arial"/>
          <w:iCs/>
          <w:sz w:val="24"/>
          <w:szCs w:val="24"/>
        </w:rPr>
      </w:pPr>
      <w:r>
        <w:rPr>
          <w:rFonts w:ascii="Arial" w:hAnsi="Arial" w:cs="Arial"/>
          <w:iCs/>
          <w:sz w:val="24"/>
          <w:szCs w:val="24"/>
        </w:rPr>
        <w:t>[</w:t>
      </w:r>
      <w:r w:rsidR="009538C0">
        <w:rPr>
          <w:rFonts w:ascii="Arial" w:hAnsi="Arial" w:cs="Arial"/>
          <w:iCs/>
          <w:sz w:val="24"/>
          <w:szCs w:val="24"/>
        </w:rPr>
        <w:t>8</w:t>
      </w:r>
      <w:r w:rsidR="000B734A">
        <w:rPr>
          <w:rFonts w:ascii="Arial" w:hAnsi="Arial" w:cs="Arial"/>
          <w:iCs/>
          <w:sz w:val="24"/>
          <w:szCs w:val="24"/>
        </w:rPr>
        <w:t>1</w:t>
      </w:r>
      <w:r>
        <w:rPr>
          <w:rFonts w:ascii="Arial" w:hAnsi="Arial" w:cs="Arial"/>
          <w:iCs/>
          <w:sz w:val="24"/>
          <w:szCs w:val="24"/>
        </w:rPr>
        <w:t>]</w:t>
      </w:r>
      <w:r>
        <w:rPr>
          <w:rFonts w:ascii="Arial" w:hAnsi="Arial" w:cs="Arial"/>
          <w:iCs/>
          <w:sz w:val="24"/>
          <w:szCs w:val="24"/>
        </w:rPr>
        <w:tab/>
      </w:r>
      <w:r w:rsidR="003B02AD">
        <w:rPr>
          <w:rFonts w:ascii="Arial" w:hAnsi="Arial" w:cs="Arial"/>
          <w:iCs/>
          <w:sz w:val="24"/>
          <w:szCs w:val="24"/>
        </w:rPr>
        <w:t xml:space="preserve">It is necessary to consider whether the particular </w:t>
      </w:r>
      <w:r w:rsidR="00C16407">
        <w:rPr>
          <w:rFonts w:ascii="Arial" w:hAnsi="Arial" w:cs="Arial"/>
          <w:iCs/>
          <w:sz w:val="24"/>
          <w:szCs w:val="24"/>
        </w:rPr>
        <w:t xml:space="preserve">circumstances </w:t>
      </w:r>
      <w:r w:rsidR="003B02AD">
        <w:rPr>
          <w:rFonts w:ascii="Arial" w:hAnsi="Arial" w:cs="Arial"/>
          <w:iCs/>
          <w:sz w:val="24"/>
          <w:szCs w:val="24"/>
        </w:rPr>
        <w:t>of the matter before the arbitrator</w:t>
      </w:r>
      <w:r w:rsidR="00A25ED8">
        <w:rPr>
          <w:rFonts w:ascii="Arial" w:hAnsi="Arial" w:cs="Arial"/>
          <w:iCs/>
          <w:sz w:val="24"/>
          <w:szCs w:val="24"/>
        </w:rPr>
        <w:t>s</w:t>
      </w:r>
      <w:r w:rsidR="003B02AD">
        <w:rPr>
          <w:rFonts w:ascii="Arial" w:hAnsi="Arial" w:cs="Arial"/>
          <w:iCs/>
          <w:sz w:val="24"/>
          <w:szCs w:val="24"/>
        </w:rPr>
        <w:t xml:space="preserve"> </w:t>
      </w:r>
      <w:r w:rsidR="00C16407">
        <w:rPr>
          <w:rFonts w:ascii="Arial" w:hAnsi="Arial" w:cs="Arial"/>
          <w:iCs/>
          <w:sz w:val="24"/>
          <w:szCs w:val="24"/>
        </w:rPr>
        <w:t>sh</w:t>
      </w:r>
      <w:r w:rsidR="003B02AD">
        <w:rPr>
          <w:rFonts w:ascii="Arial" w:hAnsi="Arial" w:cs="Arial"/>
          <w:iCs/>
          <w:sz w:val="24"/>
          <w:szCs w:val="24"/>
        </w:rPr>
        <w:t>ould have given rise to a consideration of the development of the common law.</w:t>
      </w:r>
    </w:p>
    <w:p w14:paraId="11A7AAB0" w14:textId="45131BBD" w:rsidR="003B02AD" w:rsidRDefault="003B02AD" w:rsidP="00F64AC0">
      <w:pPr>
        <w:pStyle w:val="BowLevel2ListAlt"/>
        <w:numPr>
          <w:ilvl w:val="0"/>
          <w:numId w:val="0"/>
        </w:numPr>
        <w:tabs>
          <w:tab w:val="left" w:pos="720"/>
        </w:tabs>
        <w:spacing w:before="240" w:after="240"/>
        <w:ind w:left="720" w:hanging="720"/>
        <w:rPr>
          <w:rFonts w:ascii="Arial" w:hAnsi="Arial" w:cs="Arial"/>
          <w:iCs/>
          <w:sz w:val="24"/>
          <w:szCs w:val="24"/>
        </w:rPr>
      </w:pPr>
      <w:r>
        <w:rPr>
          <w:rFonts w:ascii="Arial" w:hAnsi="Arial" w:cs="Arial"/>
          <w:iCs/>
          <w:sz w:val="24"/>
          <w:szCs w:val="24"/>
        </w:rPr>
        <w:t>[</w:t>
      </w:r>
      <w:r w:rsidR="005D1308">
        <w:rPr>
          <w:rFonts w:ascii="Arial" w:hAnsi="Arial" w:cs="Arial"/>
          <w:iCs/>
          <w:sz w:val="24"/>
          <w:szCs w:val="24"/>
        </w:rPr>
        <w:t>8</w:t>
      </w:r>
      <w:r w:rsidR="000B734A">
        <w:rPr>
          <w:rFonts w:ascii="Arial" w:hAnsi="Arial" w:cs="Arial"/>
          <w:iCs/>
          <w:sz w:val="24"/>
          <w:szCs w:val="24"/>
        </w:rPr>
        <w:t>2</w:t>
      </w:r>
      <w:r>
        <w:rPr>
          <w:rFonts w:ascii="Arial" w:hAnsi="Arial" w:cs="Arial"/>
          <w:iCs/>
          <w:sz w:val="24"/>
          <w:szCs w:val="24"/>
        </w:rPr>
        <w:t>]</w:t>
      </w:r>
      <w:r>
        <w:rPr>
          <w:rFonts w:ascii="Arial" w:hAnsi="Arial" w:cs="Arial"/>
          <w:iCs/>
          <w:sz w:val="24"/>
          <w:szCs w:val="24"/>
        </w:rPr>
        <w:tab/>
      </w:r>
      <w:r w:rsidR="00C16407">
        <w:rPr>
          <w:rFonts w:ascii="Arial" w:hAnsi="Arial" w:cs="Arial"/>
          <w:iCs/>
          <w:sz w:val="24"/>
          <w:szCs w:val="24"/>
        </w:rPr>
        <w:t xml:space="preserve">I should point out that in </w:t>
      </w:r>
      <w:r>
        <w:rPr>
          <w:rFonts w:ascii="Arial" w:hAnsi="Arial" w:cs="Arial"/>
          <w:iCs/>
          <w:sz w:val="24"/>
          <w:szCs w:val="24"/>
        </w:rPr>
        <w:t>the heads of argument filed on behalf of Mr Roux it was contended that the arbitrators were obliged to consider the development of the common law where ‘there is a plausible claim</w:t>
      </w:r>
      <w:r w:rsidR="009953CC">
        <w:rPr>
          <w:rFonts w:ascii="Arial" w:hAnsi="Arial" w:cs="Arial"/>
          <w:iCs/>
          <w:sz w:val="24"/>
          <w:szCs w:val="24"/>
        </w:rPr>
        <w:t>’</w:t>
      </w:r>
      <w:r>
        <w:rPr>
          <w:rFonts w:ascii="Arial" w:hAnsi="Arial" w:cs="Arial"/>
          <w:iCs/>
          <w:sz w:val="24"/>
          <w:szCs w:val="24"/>
        </w:rPr>
        <w:t xml:space="preserve"> for the development. They submit</w:t>
      </w:r>
      <w:r w:rsidR="00C16407">
        <w:rPr>
          <w:rFonts w:ascii="Arial" w:hAnsi="Arial" w:cs="Arial"/>
          <w:iCs/>
          <w:sz w:val="24"/>
          <w:szCs w:val="24"/>
        </w:rPr>
        <w:t>ted</w:t>
      </w:r>
      <w:r>
        <w:rPr>
          <w:rFonts w:ascii="Arial" w:hAnsi="Arial" w:cs="Arial"/>
          <w:iCs/>
          <w:sz w:val="24"/>
          <w:szCs w:val="24"/>
        </w:rPr>
        <w:t xml:space="preserve"> that</w:t>
      </w:r>
      <w:r w:rsidR="0011048C">
        <w:rPr>
          <w:rFonts w:ascii="Arial" w:hAnsi="Arial" w:cs="Arial"/>
          <w:iCs/>
          <w:sz w:val="24"/>
          <w:szCs w:val="24"/>
        </w:rPr>
        <w:t>,</w:t>
      </w:r>
      <w:r>
        <w:rPr>
          <w:rFonts w:ascii="Arial" w:hAnsi="Arial" w:cs="Arial"/>
          <w:iCs/>
          <w:sz w:val="24"/>
          <w:szCs w:val="24"/>
        </w:rPr>
        <w:t xml:space="preserve"> Mr Roux did not contend that an arbitration award could be set aside on a mere technicality that </w:t>
      </w:r>
      <w:r w:rsidR="00C16407">
        <w:rPr>
          <w:rFonts w:ascii="Arial" w:hAnsi="Arial" w:cs="Arial"/>
          <w:iCs/>
          <w:sz w:val="24"/>
          <w:szCs w:val="24"/>
        </w:rPr>
        <w:t xml:space="preserve">the </w:t>
      </w:r>
      <w:r>
        <w:rPr>
          <w:rFonts w:ascii="Arial" w:hAnsi="Arial" w:cs="Arial"/>
          <w:iCs/>
          <w:sz w:val="24"/>
          <w:szCs w:val="24"/>
        </w:rPr>
        <w:t xml:space="preserve">arbitrator did not consider a constitutional </w:t>
      </w:r>
      <w:r>
        <w:rPr>
          <w:rFonts w:ascii="Arial" w:hAnsi="Arial" w:cs="Arial"/>
          <w:iCs/>
          <w:sz w:val="24"/>
          <w:szCs w:val="24"/>
        </w:rPr>
        <w:lastRenderedPageBreak/>
        <w:t xml:space="preserve">claim when there </w:t>
      </w:r>
      <w:r w:rsidR="00C16407">
        <w:rPr>
          <w:rFonts w:ascii="Arial" w:hAnsi="Arial" w:cs="Arial"/>
          <w:iCs/>
          <w:sz w:val="24"/>
          <w:szCs w:val="24"/>
        </w:rPr>
        <w:t>wa</w:t>
      </w:r>
      <w:r>
        <w:rPr>
          <w:rFonts w:ascii="Arial" w:hAnsi="Arial" w:cs="Arial"/>
          <w:iCs/>
          <w:sz w:val="24"/>
          <w:szCs w:val="24"/>
        </w:rPr>
        <w:t>s “no plausible constitutional reas</w:t>
      </w:r>
      <w:r w:rsidR="009953CC">
        <w:rPr>
          <w:rFonts w:ascii="Arial" w:hAnsi="Arial" w:cs="Arial"/>
          <w:iCs/>
          <w:sz w:val="24"/>
          <w:szCs w:val="24"/>
        </w:rPr>
        <w:t>on to develop the common law”</w:t>
      </w:r>
      <w:r w:rsidR="00AB1EA3">
        <w:rPr>
          <w:rFonts w:ascii="Arial" w:hAnsi="Arial" w:cs="Arial"/>
          <w:iCs/>
          <w:sz w:val="24"/>
          <w:szCs w:val="24"/>
        </w:rPr>
        <w:t>.</w:t>
      </w:r>
      <w:r w:rsidR="009953CC">
        <w:rPr>
          <w:rFonts w:ascii="Arial" w:hAnsi="Arial" w:cs="Arial"/>
          <w:iCs/>
          <w:sz w:val="24"/>
          <w:szCs w:val="24"/>
        </w:rPr>
        <w:t xml:space="preserve"> </w:t>
      </w:r>
      <w:r>
        <w:rPr>
          <w:rFonts w:ascii="Arial" w:hAnsi="Arial" w:cs="Arial"/>
          <w:iCs/>
          <w:sz w:val="24"/>
          <w:szCs w:val="24"/>
        </w:rPr>
        <w:t xml:space="preserve">That would be bizarre and open for abuse. </w:t>
      </w:r>
      <w:r w:rsidR="00A25ED8">
        <w:rPr>
          <w:rFonts w:ascii="Arial" w:hAnsi="Arial" w:cs="Arial"/>
          <w:iCs/>
          <w:sz w:val="24"/>
          <w:szCs w:val="24"/>
        </w:rPr>
        <w:t>It</w:t>
      </w:r>
      <w:r>
        <w:rPr>
          <w:rFonts w:ascii="Arial" w:hAnsi="Arial" w:cs="Arial"/>
          <w:iCs/>
          <w:sz w:val="24"/>
          <w:szCs w:val="24"/>
        </w:rPr>
        <w:t xml:space="preserve"> would le</w:t>
      </w:r>
      <w:r w:rsidR="009953CC">
        <w:rPr>
          <w:rFonts w:ascii="Arial" w:hAnsi="Arial" w:cs="Arial"/>
          <w:iCs/>
          <w:sz w:val="24"/>
          <w:szCs w:val="24"/>
        </w:rPr>
        <w:t xml:space="preserve">ad as they correctly point out </w:t>
      </w:r>
      <w:r>
        <w:rPr>
          <w:rFonts w:ascii="Arial" w:hAnsi="Arial" w:cs="Arial"/>
          <w:iCs/>
          <w:sz w:val="24"/>
          <w:szCs w:val="24"/>
        </w:rPr>
        <w:t>that every unsuccessful party would seek to escape an arbitration award for no substantive reason other than merely</w:t>
      </w:r>
      <w:r w:rsidR="00C16407">
        <w:rPr>
          <w:rFonts w:ascii="Arial" w:hAnsi="Arial" w:cs="Arial"/>
          <w:iCs/>
          <w:sz w:val="24"/>
          <w:szCs w:val="24"/>
        </w:rPr>
        <w:t xml:space="preserve"> that</w:t>
      </w:r>
      <w:r>
        <w:rPr>
          <w:rFonts w:ascii="Arial" w:hAnsi="Arial" w:cs="Arial"/>
          <w:iCs/>
          <w:sz w:val="24"/>
          <w:szCs w:val="24"/>
        </w:rPr>
        <w:t xml:space="preserve"> the arbitrator had not gone through a formulaic exercise of stating that the common law did not require development</w:t>
      </w:r>
      <w:r w:rsidR="0011048C">
        <w:rPr>
          <w:rFonts w:ascii="Arial" w:hAnsi="Arial" w:cs="Arial"/>
          <w:iCs/>
          <w:sz w:val="24"/>
          <w:szCs w:val="24"/>
        </w:rPr>
        <w:t>.</w:t>
      </w:r>
      <w:r>
        <w:rPr>
          <w:rFonts w:ascii="Arial" w:hAnsi="Arial" w:cs="Arial"/>
          <w:iCs/>
          <w:sz w:val="24"/>
          <w:szCs w:val="24"/>
        </w:rPr>
        <w:t xml:space="preserve"> In the course, of argument, the court raised with counsel for Mr Roux as to the correctness of the standard</w:t>
      </w:r>
      <w:r w:rsidR="009953CC">
        <w:rPr>
          <w:rFonts w:ascii="Arial" w:hAnsi="Arial" w:cs="Arial"/>
          <w:iCs/>
          <w:sz w:val="24"/>
          <w:szCs w:val="24"/>
        </w:rPr>
        <w:t xml:space="preserve"> </w:t>
      </w:r>
      <w:r>
        <w:rPr>
          <w:rFonts w:ascii="Arial" w:hAnsi="Arial" w:cs="Arial"/>
          <w:iCs/>
          <w:sz w:val="24"/>
          <w:szCs w:val="24"/>
        </w:rPr>
        <w:t xml:space="preserve">of </w:t>
      </w:r>
      <w:r w:rsidR="00A25ED8">
        <w:rPr>
          <w:rFonts w:ascii="Arial" w:hAnsi="Arial" w:cs="Arial"/>
          <w:iCs/>
          <w:sz w:val="24"/>
          <w:szCs w:val="24"/>
        </w:rPr>
        <w:t>“</w:t>
      </w:r>
      <w:r>
        <w:rPr>
          <w:rFonts w:ascii="Arial" w:hAnsi="Arial" w:cs="Arial"/>
          <w:iCs/>
          <w:sz w:val="24"/>
          <w:szCs w:val="24"/>
        </w:rPr>
        <w:t>plausibility</w:t>
      </w:r>
      <w:r w:rsidR="00A25ED8">
        <w:rPr>
          <w:rFonts w:ascii="Arial" w:hAnsi="Arial" w:cs="Arial"/>
          <w:iCs/>
          <w:sz w:val="24"/>
          <w:szCs w:val="24"/>
        </w:rPr>
        <w:t>”</w:t>
      </w:r>
      <w:r>
        <w:rPr>
          <w:rFonts w:ascii="Arial" w:hAnsi="Arial" w:cs="Arial"/>
          <w:iCs/>
          <w:sz w:val="24"/>
          <w:szCs w:val="24"/>
        </w:rPr>
        <w:t xml:space="preserve"> suggested by Mr Roux of a </w:t>
      </w:r>
      <w:r w:rsidR="0011048C">
        <w:rPr>
          <w:rFonts w:ascii="Arial" w:hAnsi="Arial" w:cs="Arial"/>
          <w:iCs/>
          <w:sz w:val="24"/>
          <w:szCs w:val="24"/>
        </w:rPr>
        <w:t>C</w:t>
      </w:r>
      <w:r>
        <w:rPr>
          <w:rFonts w:ascii="Arial" w:hAnsi="Arial" w:cs="Arial"/>
          <w:iCs/>
          <w:sz w:val="24"/>
          <w:szCs w:val="24"/>
        </w:rPr>
        <w:t xml:space="preserve">onstitutional claim. In response he accepted that mere plausibility of a </w:t>
      </w:r>
      <w:r w:rsidR="0011048C">
        <w:rPr>
          <w:rFonts w:ascii="Arial" w:hAnsi="Arial" w:cs="Arial"/>
          <w:iCs/>
          <w:sz w:val="24"/>
          <w:szCs w:val="24"/>
        </w:rPr>
        <w:t>C</w:t>
      </w:r>
      <w:r>
        <w:rPr>
          <w:rFonts w:ascii="Arial" w:hAnsi="Arial" w:cs="Arial"/>
          <w:iCs/>
          <w:sz w:val="24"/>
          <w:szCs w:val="24"/>
        </w:rPr>
        <w:t xml:space="preserve">onstitutional claim would be too low a standard and in that regard referred </w:t>
      </w:r>
      <w:r w:rsidR="00C16407">
        <w:rPr>
          <w:rFonts w:ascii="Arial" w:hAnsi="Arial" w:cs="Arial"/>
          <w:iCs/>
          <w:sz w:val="24"/>
          <w:szCs w:val="24"/>
        </w:rPr>
        <w:t xml:space="preserve">the court </w:t>
      </w:r>
      <w:r>
        <w:rPr>
          <w:rFonts w:ascii="Arial" w:hAnsi="Arial" w:cs="Arial"/>
          <w:iCs/>
          <w:sz w:val="24"/>
          <w:szCs w:val="24"/>
        </w:rPr>
        <w:t xml:space="preserve">to </w:t>
      </w:r>
      <w:r>
        <w:rPr>
          <w:rFonts w:ascii="Arial" w:hAnsi="Arial" w:cs="Arial"/>
          <w:i/>
          <w:iCs/>
          <w:sz w:val="24"/>
          <w:szCs w:val="24"/>
        </w:rPr>
        <w:t xml:space="preserve">Carmichele v Minister of Safety &amp; Security </w:t>
      </w:r>
      <w:r>
        <w:rPr>
          <w:rFonts w:ascii="Arial" w:hAnsi="Arial" w:cs="Arial"/>
          <w:iCs/>
          <w:sz w:val="24"/>
          <w:szCs w:val="24"/>
        </w:rPr>
        <w:t xml:space="preserve">and </w:t>
      </w:r>
      <w:r>
        <w:rPr>
          <w:rFonts w:ascii="Arial" w:hAnsi="Arial" w:cs="Arial"/>
          <w:i/>
          <w:iCs/>
          <w:sz w:val="24"/>
          <w:szCs w:val="24"/>
        </w:rPr>
        <w:t>Everfresh Market Virginia (Pty) Ltd v Shoprite Checkers</w:t>
      </w:r>
      <w:r>
        <w:rPr>
          <w:rFonts w:ascii="Arial" w:hAnsi="Arial" w:cs="Arial"/>
          <w:iCs/>
          <w:sz w:val="24"/>
          <w:szCs w:val="24"/>
        </w:rPr>
        <w:t xml:space="preserve"> (Pty) Ltd 2012 (1) SA 256 (CC) for guidance as to when a </w:t>
      </w:r>
      <w:r w:rsidR="0011048C">
        <w:rPr>
          <w:rFonts w:ascii="Arial" w:hAnsi="Arial" w:cs="Arial"/>
          <w:iCs/>
          <w:sz w:val="24"/>
          <w:szCs w:val="24"/>
        </w:rPr>
        <w:t>C</w:t>
      </w:r>
      <w:r>
        <w:rPr>
          <w:rFonts w:ascii="Arial" w:hAnsi="Arial" w:cs="Arial"/>
          <w:iCs/>
          <w:sz w:val="24"/>
          <w:szCs w:val="24"/>
        </w:rPr>
        <w:t xml:space="preserve">onstitutional claim is implicated that would require of a court or the arbitrators to invoke </w:t>
      </w:r>
      <w:r w:rsidR="00616E23">
        <w:rPr>
          <w:rFonts w:ascii="Arial" w:hAnsi="Arial" w:cs="Arial"/>
          <w:iCs/>
          <w:sz w:val="24"/>
          <w:szCs w:val="24"/>
        </w:rPr>
        <w:t>section 39(2) of the Constitution</w:t>
      </w:r>
      <w:r w:rsidR="0011048C">
        <w:rPr>
          <w:rFonts w:ascii="Arial" w:hAnsi="Arial" w:cs="Arial"/>
          <w:iCs/>
          <w:sz w:val="24"/>
          <w:szCs w:val="24"/>
        </w:rPr>
        <w:t xml:space="preserve"> to</w:t>
      </w:r>
      <w:r>
        <w:rPr>
          <w:rFonts w:ascii="Arial" w:hAnsi="Arial" w:cs="Arial"/>
          <w:iCs/>
          <w:sz w:val="24"/>
          <w:szCs w:val="24"/>
        </w:rPr>
        <w:t xml:space="preserve"> develo</w:t>
      </w:r>
      <w:r w:rsidR="0011048C">
        <w:rPr>
          <w:rFonts w:ascii="Arial" w:hAnsi="Arial" w:cs="Arial"/>
          <w:iCs/>
          <w:sz w:val="24"/>
          <w:szCs w:val="24"/>
        </w:rPr>
        <w:t>p</w:t>
      </w:r>
      <w:r>
        <w:rPr>
          <w:rFonts w:ascii="Arial" w:hAnsi="Arial" w:cs="Arial"/>
          <w:iCs/>
          <w:sz w:val="24"/>
          <w:szCs w:val="24"/>
        </w:rPr>
        <w:t xml:space="preserve"> the common law. In </w:t>
      </w:r>
      <w:r>
        <w:rPr>
          <w:rFonts w:ascii="Arial" w:hAnsi="Arial" w:cs="Arial"/>
          <w:i/>
          <w:iCs/>
          <w:sz w:val="24"/>
          <w:szCs w:val="24"/>
        </w:rPr>
        <w:t xml:space="preserve">Carmichele </w:t>
      </w:r>
      <w:r>
        <w:rPr>
          <w:rFonts w:ascii="Arial" w:hAnsi="Arial" w:cs="Arial"/>
          <w:iCs/>
          <w:sz w:val="24"/>
          <w:szCs w:val="24"/>
        </w:rPr>
        <w:t>the issue that arose was of an egregiousness nature and as O’</w:t>
      </w:r>
      <w:r w:rsidR="009953CC">
        <w:rPr>
          <w:rFonts w:ascii="Arial" w:hAnsi="Arial" w:cs="Arial"/>
          <w:iCs/>
          <w:sz w:val="24"/>
          <w:szCs w:val="24"/>
        </w:rPr>
        <w:t xml:space="preserve"> </w:t>
      </w:r>
      <w:r>
        <w:rPr>
          <w:rFonts w:ascii="Arial" w:hAnsi="Arial" w:cs="Arial"/>
          <w:iCs/>
          <w:sz w:val="24"/>
          <w:szCs w:val="24"/>
        </w:rPr>
        <w:t xml:space="preserve">Regan CJ stated:  </w:t>
      </w:r>
    </w:p>
    <w:p w14:paraId="684BDE67" w14:textId="77777777" w:rsidR="003B02AD" w:rsidRDefault="003B02AD" w:rsidP="003B02AD">
      <w:pPr>
        <w:pStyle w:val="Level1"/>
        <w:widowControl w:val="0"/>
        <w:numPr>
          <w:ilvl w:val="0"/>
          <w:numId w:val="0"/>
        </w:numPr>
        <w:autoSpaceDE w:val="0"/>
        <w:autoSpaceDN w:val="0"/>
        <w:adjustRightInd w:val="0"/>
        <w:spacing w:after="0" w:line="360" w:lineRule="auto"/>
        <w:ind w:left="720"/>
        <w:rPr>
          <w:rFonts w:cs="Arial"/>
          <w:sz w:val="22"/>
          <w:lang w:val="en-GB"/>
        </w:rPr>
      </w:pPr>
      <w:r>
        <w:rPr>
          <w:sz w:val="22"/>
        </w:rPr>
        <w:t>‘[40]</w:t>
      </w:r>
      <w:r>
        <w:rPr>
          <w:sz w:val="22"/>
        </w:rPr>
        <w:tab/>
      </w:r>
      <w:r>
        <w:rPr>
          <w:rFonts w:cs="Arial"/>
          <w:sz w:val="22"/>
          <w:lang w:val="en-GB"/>
        </w:rPr>
        <w:t>It was implicit in the applicant’s case that the common law had to be developed beyond existing precedent. In such a situation there are two stages to the inquiry a court is obliged to undertake. They cannot be hermetically separated from one another. The first stage is to consider whether the existing common law, having regard to the section 39(2) objectives, requires development in accordance with these objectives. This inquiry requires a reconsideration of the common law in the light of section 39(2). If this inquiry leads to a positive answer, the second stage concerns itself with how such development is to take place in order to meet the section 39(2) objectives. Possibly because of the way the case was argued before them, neither the High Court nor the SCA embarked on either stage of the above inquiry.’</w:t>
      </w:r>
    </w:p>
    <w:p w14:paraId="41A005A9" w14:textId="77777777" w:rsidR="003B02AD" w:rsidRDefault="003B02AD" w:rsidP="003B02AD">
      <w:pPr>
        <w:pStyle w:val="Level1"/>
        <w:widowControl w:val="0"/>
        <w:numPr>
          <w:ilvl w:val="0"/>
          <w:numId w:val="0"/>
        </w:numPr>
        <w:autoSpaceDE w:val="0"/>
        <w:autoSpaceDN w:val="0"/>
        <w:adjustRightInd w:val="0"/>
        <w:spacing w:after="0" w:line="360" w:lineRule="auto"/>
        <w:ind w:left="720"/>
        <w:rPr>
          <w:rFonts w:cs="Arial"/>
          <w:sz w:val="22"/>
          <w:lang w:val="en-GB"/>
        </w:rPr>
      </w:pPr>
    </w:p>
    <w:p w14:paraId="1615346F" w14:textId="366AF0B9" w:rsidR="00E532FB" w:rsidRDefault="003B02AD" w:rsidP="003B02AD">
      <w:pPr>
        <w:spacing w:after="480" w:line="360" w:lineRule="auto"/>
        <w:ind w:left="720" w:hanging="720"/>
        <w:jc w:val="both"/>
      </w:pPr>
      <w:r>
        <w:t>[8</w:t>
      </w:r>
      <w:r w:rsidR="000B734A">
        <w:t>3</w:t>
      </w:r>
      <w:r>
        <w:t>]</w:t>
      </w:r>
      <w:r>
        <w:tab/>
        <w:t xml:space="preserve">In reliance on the minority dissenting judgment of Yacoob J in </w:t>
      </w:r>
      <w:r>
        <w:rPr>
          <w:i/>
        </w:rPr>
        <w:t xml:space="preserve">Everfresh </w:t>
      </w:r>
      <w:r w:rsidR="00616E23">
        <w:t xml:space="preserve">where the court was asked to infuse the law </w:t>
      </w:r>
      <w:r w:rsidR="0011048C">
        <w:t xml:space="preserve"> of </w:t>
      </w:r>
      <w:r w:rsidR="00616E23">
        <w:t>contract with constitutional values</w:t>
      </w:r>
      <w:r w:rsidR="00616E23">
        <w:rPr>
          <w:rStyle w:val="FootnoteReference"/>
        </w:rPr>
        <w:footnoteReference w:id="21"/>
      </w:r>
      <w:r w:rsidRPr="009953CC">
        <w:t xml:space="preserve">and </w:t>
      </w:r>
      <w:r w:rsidRPr="009953CC">
        <w:lastRenderedPageBreak/>
        <w:t>mindful that the court was there dealing with the issue of an application for leave to appeal</w:t>
      </w:r>
      <w:r>
        <w:rPr>
          <w:i/>
        </w:rPr>
        <w:t xml:space="preserve">, </w:t>
      </w:r>
      <w:r>
        <w:t>reliance was also placed on whether a constitutional issue was implicit in the applicant’s case that the common law had to be developed. Yacoob J</w:t>
      </w:r>
      <w:r w:rsidR="009953CC">
        <w:t>,</w:t>
      </w:r>
      <w:r>
        <w:t xml:space="preserve"> however</w:t>
      </w:r>
      <w:r w:rsidR="009953CC">
        <w:t>,</w:t>
      </w:r>
      <w:r>
        <w:t xml:space="preserve"> made the point that in the context of where a constitutional issue had not been raised before in the High Court or Supreme Court of Appeal there was no bar to considering the legal point provided that the ‘pleaded and established facts allow this without prejudice to the opposing parties</w:t>
      </w:r>
      <w:r>
        <w:rPr>
          <w:rStyle w:val="FootnoteReference"/>
        </w:rPr>
        <w:footnoteReference w:id="22"/>
      </w:r>
      <w:r>
        <w:t xml:space="preserve">. The crucial question </w:t>
      </w:r>
      <w:r w:rsidR="00E532FB">
        <w:t>wa</w:t>
      </w:r>
      <w:r>
        <w:t xml:space="preserve">s thus whether it would have been unfair to determine the issue in that court on the facts pleaded and accepted by the High Court. In his view, there was no possible prejudice. For the majority Moseneke J in considering whether it was in the interest of justice to consider the grant of leave to appeal considered the nature of the </w:t>
      </w:r>
      <w:r w:rsidR="00614169">
        <w:t>C</w:t>
      </w:r>
      <w:r>
        <w:t xml:space="preserve">onstitutional issue raised. He noted that </w:t>
      </w:r>
      <w:r>
        <w:rPr>
          <w:i/>
        </w:rPr>
        <w:t>Everfresh’s</w:t>
      </w:r>
      <w:r>
        <w:t xml:space="preserve"> case had</w:t>
      </w:r>
      <w:r w:rsidR="00E532FB">
        <w:t xml:space="preserve"> ‘indeed taken different forms in</w:t>
      </w:r>
      <w:r>
        <w:t xml:space="preserve"> different forums and so</w:t>
      </w:r>
      <w:r w:rsidR="009953CC">
        <w:t xml:space="preserve">metimes in the same forum” and </w:t>
      </w:r>
      <w:r>
        <w:t xml:space="preserve">also noted a mutation in </w:t>
      </w:r>
      <w:r w:rsidRPr="009953CC">
        <w:rPr>
          <w:i/>
        </w:rPr>
        <w:t>Everfresh’s</w:t>
      </w:r>
      <w:r>
        <w:t xml:space="preserve"> case. Moseneke J declined to accept the invitation to adapt the common law</w:t>
      </w:r>
      <w:r w:rsidR="004004C3">
        <w:t>,</w:t>
      </w:r>
      <w:r w:rsidR="004B3B04">
        <w:t xml:space="preserve"> </w:t>
      </w:r>
      <w:r w:rsidR="004004C3">
        <w:t>despite its importance</w:t>
      </w:r>
      <w:r w:rsidR="00614169">
        <w:t xml:space="preserve"> and possible impact on the law of contract</w:t>
      </w:r>
      <w:r w:rsidR="004004C3">
        <w:t xml:space="preserve">, </w:t>
      </w:r>
      <w:r w:rsidR="00614169">
        <w:t>“…</w:t>
      </w:r>
      <w:r>
        <w:t>inasmuch as the Shoprite would have been prejudiced having been confronted at a very late stage in the proceedings</w:t>
      </w:r>
      <w:r w:rsidR="00614169">
        <w:t xml:space="preserve">” with the issue of the development of the common law. </w:t>
      </w:r>
      <w:r>
        <w:t xml:space="preserve"> Had the matters been raised in good time Shoprite would hav</w:t>
      </w:r>
      <w:r w:rsidR="00614169">
        <w:t>e had the</w:t>
      </w:r>
      <w:r w:rsidR="00AB1EA3">
        <w:t xml:space="preserve"> </w:t>
      </w:r>
      <w:r>
        <w:t xml:space="preserve">opportunity to meet them head on by perhaps tendering evidence or advancing new arguments or adapting their contentions. Whilst I am mindful that matter related to a determination of a </w:t>
      </w:r>
      <w:r w:rsidR="00614169">
        <w:t>C</w:t>
      </w:r>
      <w:r>
        <w:t>onstitutional issue in the context of an application for leave to appeal</w:t>
      </w:r>
      <w:r w:rsidR="009953CC">
        <w:t xml:space="preserve"> </w:t>
      </w:r>
      <w:r>
        <w:t xml:space="preserve">in the Constitutional Court it does give an indication as when and how a </w:t>
      </w:r>
      <w:r w:rsidR="009538C0">
        <w:t>C</w:t>
      </w:r>
      <w:r>
        <w:t>onstitutional issue is implicated.</w:t>
      </w:r>
      <w:r w:rsidR="009953CC">
        <w:t xml:space="preserve"> </w:t>
      </w:r>
    </w:p>
    <w:p w14:paraId="5F536448" w14:textId="488239BF" w:rsidR="00E532FB" w:rsidRDefault="00E532FB" w:rsidP="003B02AD">
      <w:pPr>
        <w:spacing w:after="480" w:line="360" w:lineRule="auto"/>
        <w:ind w:left="720" w:hanging="720"/>
        <w:jc w:val="both"/>
      </w:pPr>
      <w:r>
        <w:t>[8</w:t>
      </w:r>
      <w:r w:rsidR="000B734A">
        <w:t>4</w:t>
      </w:r>
      <w:r>
        <w:t>]</w:t>
      </w:r>
      <w:r>
        <w:tab/>
      </w:r>
      <w:r w:rsidR="003B02AD">
        <w:t>In this matter the arbitrators were dealing with an employee who in his pleadings baldy denied having breached his contract with the University by having made any unlawful allocations from the Universit</w:t>
      </w:r>
      <w:r w:rsidR="009953CC">
        <w:t>y</w:t>
      </w:r>
      <w:r w:rsidR="003B02AD">
        <w:t>`s unrestricted funds and having unlawfully expended the funds.</w:t>
      </w:r>
      <w:r w:rsidR="009953CC">
        <w:t xml:space="preserve"> </w:t>
      </w:r>
      <w:r w:rsidR="003B02AD">
        <w:t>The University carried the onus of proving the breach which it did. The University was required to prove its damages in accordance with the law,</w:t>
      </w:r>
      <w:r w:rsidR="009953CC">
        <w:t xml:space="preserve"> </w:t>
      </w:r>
      <w:r w:rsidR="003B02AD">
        <w:t xml:space="preserve">which it did and found that such </w:t>
      </w:r>
      <w:r>
        <w:t xml:space="preserve">damages </w:t>
      </w:r>
      <w:r w:rsidR="003B02AD">
        <w:lastRenderedPageBreak/>
        <w:t xml:space="preserve">were general in nature. Mr Roux contended that in the employment context such benefits should have been pleaded and proved as special damages and relieving the University of that onus raised a </w:t>
      </w:r>
      <w:r w:rsidR="00B82200">
        <w:t>C</w:t>
      </w:r>
      <w:r w:rsidR="003B02AD">
        <w:t>onstitutional issue. It was however not pleaded by Mr Roux that the University received any benefits arising from the unlawful allocations and unlawful expenditure.</w:t>
      </w:r>
      <w:r w:rsidR="009953CC">
        <w:t xml:space="preserve"> </w:t>
      </w:r>
      <w:r w:rsidR="003B02AD">
        <w:t xml:space="preserve">Such a contention would in any event have been wholly inconsistent with his </w:t>
      </w:r>
      <w:r w:rsidR="00614169">
        <w:t xml:space="preserve">pleaded </w:t>
      </w:r>
      <w:r w:rsidR="003B02AD">
        <w:t>denial of any expenditure. None</w:t>
      </w:r>
      <w:r w:rsidR="00614169">
        <w:t>,</w:t>
      </w:r>
      <w:r w:rsidR="00AB1EA3">
        <w:t xml:space="preserve"> </w:t>
      </w:r>
      <w:r w:rsidR="003B02AD">
        <w:t xml:space="preserve">was in </w:t>
      </w:r>
      <w:r w:rsidR="009953CC">
        <w:t xml:space="preserve">fact found to have been proved </w:t>
      </w:r>
      <w:r w:rsidR="003B02AD">
        <w:t xml:space="preserve">by the arbitrators. Mr Roux contended that the expenditure was </w:t>
      </w:r>
      <w:r w:rsidR="004004C3">
        <w:t xml:space="preserve">legitimate and </w:t>
      </w:r>
      <w:r w:rsidR="003B02AD">
        <w:t>in the scope of the University`s business</w:t>
      </w:r>
      <w:r w:rsidR="004004C3">
        <w:t>.</w:t>
      </w:r>
      <w:r w:rsidR="003B02AD">
        <w:t xml:space="preserve"> The arbitrators found to the contrary. </w:t>
      </w:r>
    </w:p>
    <w:p w14:paraId="0886CF02" w14:textId="685702E0" w:rsidR="003B02AD" w:rsidRDefault="002C14ED" w:rsidP="003B02AD">
      <w:pPr>
        <w:spacing w:after="480" w:line="360" w:lineRule="auto"/>
        <w:ind w:left="720" w:hanging="720"/>
        <w:jc w:val="both"/>
      </w:pPr>
      <w:r>
        <w:t>[8</w:t>
      </w:r>
      <w:r w:rsidR="000B734A">
        <w:t>5</w:t>
      </w:r>
      <w:r w:rsidR="00E532FB">
        <w:t>]</w:t>
      </w:r>
      <w:r w:rsidR="00E532FB">
        <w:tab/>
      </w:r>
      <w:r w:rsidR="003B02AD">
        <w:t>The arbitrators found on the application of the common law Mr Roux carried the onus to plead and prove any benefits</w:t>
      </w:r>
      <w:r w:rsidR="004004C3">
        <w:t xml:space="preserve"> he contended for</w:t>
      </w:r>
      <w:r w:rsidR="003B02AD">
        <w:t>.</w:t>
      </w:r>
      <w:r w:rsidR="009953CC">
        <w:t xml:space="preserve"> </w:t>
      </w:r>
      <w:r w:rsidR="003B02AD">
        <w:t>Mr Roux contends a Constitutional issue on the question of onus</w:t>
      </w:r>
      <w:r w:rsidR="00614169">
        <w:t xml:space="preserve"> arose</w:t>
      </w:r>
      <w:r w:rsidR="003B02AD">
        <w:t>.</w:t>
      </w:r>
      <w:r w:rsidR="009953CC">
        <w:t xml:space="preserve"> He contends</w:t>
      </w:r>
      <w:r w:rsidR="003B02AD">
        <w:t>,</w:t>
      </w:r>
      <w:r w:rsidR="009953CC">
        <w:t xml:space="preserve"> </w:t>
      </w:r>
      <w:r w:rsidR="003B02AD">
        <w:t xml:space="preserve">firstly that if the employee is unable to prove that the University obtained benefits which he claimed the University </w:t>
      </w:r>
      <w:r w:rsidR="00614169">
        <w:t>did</w:t>
      </w:r>
      <w:r w:rsidR="003B02AD">
        <w:t>,</w:t>
      </w:r>
      <w:r w:rsidR="009953CC">
        <w:t xml:space="preserve"> </w:t>
      </w:r>
      <w:r w:rsidR="003B02AD">
        <w:t>there was a risk that that the University would obtain a double benefit.</w:t>
      </w:r>
      <w:r w:rsidR="009953CC">
        <w:t xml:space="preserve"> </w:t>
      </w:r>
      <w:r w:rsidR="003B02AD">
        <w:t>That risk ar</w:t>
      </w:r>
      <w:r w:rsidR="00614169">
        <w:t>ose</w:t>
      </w:r>
      <w:r w:rsidR="003B02AD">
        <w:t xml:space="preserve"> so he contend</w:t>
      </w:r>
      <w:r w:rsidR="00E532FB">
        <w:t>ed,</w:t>
      </w:r>
      <w:r w:rsidR="003B02AD">
        <w:t xml:space="preserve"> as the employee, </w:t>
      </w:r>
      <w:r w:rsidR="004004C3">
        <w:t>he</w:t>
      </w:r>
      <w:r w:rsidR="003B02AD">
        <w:t xml:space="preserve"> would not know what exactly the benefits </w:t>
      </w:r>
      <w:r w:rsidR="004004C3">
        <w:t>were</w:t>
      </w:r>
      <w:r w:rsidR="00614169">
        <w:t>.</w:t>
      </w:r>
      <w:r w:rsidR="003B02AD">
        <w:t xml:space="preserve"> In context, on the facts of the matter</w:t>
      </w:r>
      <w:r w:rsidR="004004C3">
        <w:t>,</w:t>
      </w:r>
      <w:r w:rsidR="003B02AD">
        <w:t xml:space="preserve"> Mr Roux </w:t>
      </w:r>
      <w:r w:rsidR="004004C3">
        <w:t xml:space="preserve">knew </w:t>
      </w:r>
      <w:r w:rsidR="003B02AD">
        <w:t xml:space="preserve">full well what benefits he </w:t>
      </w:r>
      <w:r w:rsidR="00C3416C">
        <w:t xml:space="preserve">contended </w:t>
      </w:r>
      <w:r w:rsidR="009953CC">
        <w:t>the University obtained</w:t>
      </w:r>
      <w:r w:rsidR="003B02AD">
        <w:t>.</w:t>
      </w:r>
      <w:r w:rsidR="009953CC">
        <w:t xml:space="preserve"> </w:t>
      </w:r>
      <w:r w:rsidR="003B02AD">
        <w:t>He made the expenditure</w:t>
      </w:r>
      <w:r w:rsidR="004004C3">
        <w:t xml:space="preserve"> and did so consciously over a period of</w:t>
      </w:r>
      <w:r w:rsidR="00614169">
        <w:t xml:space="preserve"> </w:t>
      </w:r>
      <w:r w:rsidR="004004C3">
        <w:t>ten years</w:t>
      </w:r>
      <w:r w:rsidR="003B02AD">
        <w:t>.</w:t>
      </w:r>
      <w:r w:rsidR="009953CC">
        <w:t xml:space="preserve"> </w:t>
      </w:r>
      <w:r w:rsidR="004004C3">
        <w:t>H</w:t>
      </w:r>
      <w:r w:rsidR="003B02AD">
        <w:t xml:space="preserve">e qualified two expert witnesses on the quantification of the benefits which he elected not </w:t>
      </w:r>
      <w:r w:rsidR="00E532FB">
        <w:t xml:space="preserve">to </w:t>
      </w:r>
      <w:r w:rsidR="003B02AD">
        <w:t>lead.</w:t>
      </w:r>
      <w:r w:rsidR="009953CC">
        <w:t xml:space="preserve"> </w:t>
      </w:r>
      <w:r w:rsidR="003B02AD">
        <w:t>If he was able to quantify the benefits than he knew what they entailed and could very easily have pleaded and proved such benefits.</w:t>
      </w:r>
      <w:r w:rsidR="009953CC">
        <w:t xml:space="preserve"> </w:t>
      </w:r>
      <w:r w:rsidR="003B02AD">
        <w:t xml:space="preserve">He contended though that the information with regard to the benefits </w:t>
      </w:r>
      <w:r w:rsidR="00E532FB">
        <w:t>were</w:t>
      </w:r>
      <w:r w:rsidR="003B02AD">
        <w:t xml:space="preserve"> in the records of the University and he as the employee had no access to such records.</w:t>
      </w:r>
      <w:r w:rsidR="009953CC">
        <w:t xml:space="preserve"> </w:t>
      </w:r>
      <w:r w:rsidR="003B02AD">
        <w:t>He</w:t>
      </w:r>
      <w:r w:rsidR="004004C3">
        <w:t xml:space="preserve"> had </w:t>
      </w:r>
      <w:r w:rsidR="003B02AD">
        <w:t xml:space="preserve">sought discovery of the records of the University </w:t>
      </w:r>
      <w:r w:rsidR="00E532FB">
        <w:t>but was</w:t>
      </w:r>
      <w:r w:rsidR="003B02AD">
        <w:t xml:space="preserve"> unsuccessful.</w:t>
      </w:r>
      <w:r w:rsidR="006F2852">
        <w:t xml:space="preserve"> </w:t>
      </w:r>
      <w:r w:rsidR="003B02AD">
        <w:t>The University refused furnishing him any</w:t>
      </w:r>
      <w:r w:rsidR="00C3416C">
        <w:t>,</w:t>
      </w:r>
      <w:r w:rsidR="003B02AD">
        <w:t xml:space="preserve"> as the request was not based on his pleaded case. He </w:t>
      </w:r>
      <w:r w:rsidR="00C3416C">
        <w:t xml:space="preserve">moreover </w:t>
      </w:r>
      <w:r w:rsidR="003B02AD">
        <w:t>failed to compel the University through the use of the rules.</w:t>
      </w:r>
      <w:r w:rsidR="006F2852">
        <w:t xml:space="preserve"> </w:t>
      </w:r>
      <w:r w:rsidR="003B02AD">
        <w:t>He c</w:t>
      </w:r>
      <w:r w:rsidR="004004C3">
        <w:t xml:space="preserve">ould </w:t>
      </w:r>
      <w:r w:rsidR="003B02AD">
        <w:t>hardly complain of not been able to have acce</w:t>
      </w:r>
      <w:r w:rsidR="006F2852">
        <w:t>s</w:t>
      </w:r>
      <w:r w:rsidR="003B02AD">
        <w:t>sed any records.</w:t>
      </w:r>
      <w:r w:rsidR="006F2852">
        <w:t xml:space="preserve"> </w:t>
      </w:r>
      <w:r w:rsidR="003B02AD">
        <w:t xml:space="preserve">His counsel contended that an employee </w:t>
      </w:r>
      <w:r w:rsidR="00E532FB">
        <w:t xml:space="preserve">other than </w:t>
      </w:r>
      <w:r w:rsidR="003B02AD">
        <w:t>Mr Roux may not have the resources to obtain such records. That clearly did not arise in the circumstances of Mr Roux. Lastly</w:t>
      </w:r>
      <w:r w:rsidR="006F2852">
        <w:t xml:space="preserve"> he contended </w:t>
      </w:r>
      <w:r w:rsidR="003B02AD">
        <w:t xml:space="preserve">that the onus should not be on the employee to prove the benefits because there may be an </w:t>
      </w:r>
      <w:r w:rsidR="003B02AD">
        <w:lastRenderedPageBreak/>
        <w:t>ongoing relationship between the employee and employer.</w:t>
      </w:r>
      <w:r w:rsidR="006F2852">
        <w:t xml:space="preserve"> </w:t>
      </w:r>
      <w:r w:rsidR="003B02AD">
        <w:t>That</w:t>
      </w:r>
      <w:r w:rsidR="004004C3">
        <w:t xml:space="preserve"> claim</w:t>
      </w:r>
      <w:r w:rsidR="003B02AD">
        <w:t xml:space="preserve"> does not strike me as any reason for the shift of the onus in the commo</w:t>
      </w:r>
      <w:r w:rsidR="00E532FB">
        <w:t xml:space="preserve">n law in the context of Mr Roux’s </w:t>
      </w:r>
      <w:r w:rsidR="001116C9">
        <w:t>position.</w:t>
      </w:r>
    </w:p>
    <w:p w14:paraId="36C02484" w14:textId="7D03DD6A" w:rsidR="003B02AD" w:rsidRDefault="006F2852" w:rsidP="003B02AD">
      <w:pPr>
        <w:spacing w:after="480" w:line="360" w:lineRule="auto"/>
        <w:ind w:left="720" w:hanging="720"/>
        <w:jc w:val="both"/>
      </w:pPr>
      <w:r>
        <w:t>[</w:t>
      </w:r>
      <w:r w:rsidR="005D1308">
        <w:t>8</w:t>
      </w:r>
      <w:r w:rsidR="000B734A">
        <w:t>6</w:t>
      </w:r>
      <w:r>
        <w:t>]</w:t>
      </w:r>
      <w:r>
        <w:tab/>
      </w:r>
      <w:r w:rsidR="003B02AD">
        <w:t>Counsel for Mr Roux</w:t>
      </w:r>
      <w:r w:rsidR="00614169">
        <w:t xml:space="preserve"> </w:t>
      </w:r>
      <w:r w:rsidR="00380E0B">
        <w:t>also contended</w:t>
      </w:r>
      <w:r w:rsidR="003B02AD">
        <w:t xml:space="preserve"> that the common law made no distinction between employees who may have acted intentionally or negligently. It was not the pleaded case of Mr Roux that he had acted negligently. The common law cannot be developed in the abstract but on the facts of the</w:t>
      </w:r>
      <w:r w:rsidR="001116C9">
        <w:t xml:space="preserve"> pleaded</w:t>
      </w:r>
      <w:r w:rsidR="003B02AD">
        <w:t xml:space="preserve"> case.</w:t>
      </w:r>
    </w:p>
    <w:p w14:paraId="2D5D73E0" w14:textId="4354EC4D" w:rsidR="003B02AD" w:rsidRDefault="003B02AD" w:rsidP="003B02AD">
      <w:pPr>
        <w:spacing w:after="480" w:line="360" w:lineRule="auto"/>
        <w:ind w:left="720" w:hanging="720"/>
        <w:jc w:val="both"/>
      </w:pPr>
      <w:r>
        <w:t>[</w:t>
      </w:r>
      <w:r w:rsidR="005D1308">
        <w:t>8</w:t>
      </w:r>
      <w:r w:rsidR="000B734A">
        <w:t>7</w:t>
      </w:r>
      <w:r>
        <w:t xml:space="preserve">] </w:t>
      </w:r>
      <w:r w:rsidR="006F2852">
        <w:tab/>
      </w:r>
      <w:r>
        <w:t xml:space="preserve">Mr Roux contended that there were two </w:t>
      </w:r>
      <w:r w:rsidR="00E532FB">
        <w:t xml:space="preserve">reasonable </w:t>
      </w:r>
      <w:r>
        <w:t>claims which the arbitrator</w:t>
      </w:r>
      <w:r w:rsidR="00380E0B">
        <w:t>s</w:t>
      </w:r>
      <w:r>
        <w:t xml:space="preserve">  were obliged to consider and in this regard referred to two </w:t>
      </w:r>
      <w:r w:rsidR="00380E0B">
        <w:t>C</w:t>
      </w:r>
      <w:r>
        <w:t>onstitutional concerns</w:t>
      </w:r>
      <w:r w:rsidR="006F2852">
        <w:t>,</w:t>
      </w:r>
      <w:r>
        <w:t xml:space="preserve"> that of an arbitrary deprivation of property </w:t>
      </w:r>
      <w:r w:rsidR="00E532FB">
        <w:t>in section 25(1)</w:t>
      </w:r>
      <w:r w:rsidR="009C74AC">
        <w:rPr>
          <w:rStyle w:val="FootnoteReference"/>
        </w:rPr>
        <w:footnoteReference w:id="23"/>
      </w:r>
      <w:r w:rsidR="00E532FB">
        <w:t xml:space="preserve"> </w:t>
      </w:r>
      <w:r w:rsidR="003E5E54">
        <w:t>and</w:t>
      </w:r>
      <w:r w:rsidR="004004C3">
        <w:t xml:space="preserve"> unfair labour practice </w:t>
      </w:r>
      <w:r w:rsidR="003E5E54">
        <w:t>in section 23(1)</w:t>
      </w:r>
      <w:r w:rsidR="009C74AC">
        <w:rPr>
          <w:rStyle w:val="FootnoteReference"/>
        </w:rPr>
        <w:footnoteReference w:id="24"/>
      </w:r>
      <w:r w:rsidR="003E5E54">
        <w:t xml:space="preserve"> of the Constitutio</w:t>
      </w:r>
      <w:r w:rsidR="004004C3">
        <w:t>n.</w:t>
      </w:r>
      <w:r w:rsidRPr="00982D09">
        <w:t xml:space="preserve"> </w:t>
      </w:r>
      <w:r>
        <w:t xml:space="preserve">For the purposes of this judgment </w:t>
      </w:r>
      <w:r w:rsidR="006F2852">
        <w:t xml:space="preserve">it is not necessary to deal in </w:t>
      </w:r>
      <w:r>
        <w:t>any detail with these contentions but to point out by way of a broad overview what the</w:t>
      </w:r>
      <w:r w:rsidR="00011A98">
        <w:t xml:space="preserve">y were </w:t>
      </w:r>
      <w:r w:rsidR="00681878">
        <w:t>in respect of the challenge</w:t>
      </w:r>
      <w:r>
        <w:t>.</w:t>
      </w:r>
    </w:p>
    <w:p w14:paraId="753323D4" w14:textId="77777777" w:rsidR="003B02AD" w:rsidRDefault="003B02AD" w:rsidP="003B02AD">
      <w:pPr>
        <w:spacing w:after="480" w:line="360" w:lineRule="auto"/>
        <w:ind w:left="720" w:hanging="720"/>
        <w:jc w:val="both"/>
        <w:rPr>
          <w:u w:val="single"/>
        </w:rPr>
      </w:pPr>
      <w:r>
        <w:tab/>
        <w:t>1.</w:t>
      </w:r>
      <w:r>
        <w:tab/>
      </w:r>
      <w:r>
        <w:rPr>
          <w:u w:val="single"/>
        </w:rPr>
        <w:t>Arbitrary deprivation of property.</w:t>
      </w:r>
    </w:p>
    <w:p w14:paraId="45F2697C" w14:textId="20BBC3B7" w:rsidR="003B02AD" w:rsidRPr="00B365FD" w:rsidRDefault="003B02AD" w:rsidP="003B02AD">
      <w:pPr>
        <w:pStyle w:val="Level2"/>
        <w:numPr>
          <w:ilvl w:val="0"/>
          <w:numId w:val="0"/>
        </w:numPr>
        <w:spacing w:line="360" w:lineRule="auto"/>
        <w:ind w:left="720"/>
        <w:rPr>
          <w:lang w:val="en-GB"/>
        </w:rPr>
      </w:pPr>
      <w:r>
        <w:rPr>
          <w:rFonts w:cs="Arial"/>
          <w:szCs w:val="24"/>
        </w:rPr>
        <w:t>The applicant contended that the common law as applied by the arbitrator</w:t>
      </w:r>
      <w:r w:rsidR="00681878">
        <w:rPr>
          <w:rFonts w:cs="Arial"/>
          <w:szCs w:val="24"/>
        </w:rPr>
        <w:t>s</w:t>
      </w:r>
      <w:r>
        <w:rPr>
          <w:rFonts w:cs="Arial"/>
          <w:szCs w:val="24"/>
        </w:rPr>
        <w:t xml:space="preserve"> constituted an arbitrary deprivation of property contrary to section 25(1) of the Constitution. They contend money is property</w:t>
      </w:r>
      <w:r>
        <w:rPr>
          <w:rStyle w:val="FootnoteReference"/>
        </w:rPr>
        <w:footnoteReference w:id="25"/>
      </w:r>
      <w:r>
        <w:rPr>
          <w:rFonts w:cs="Arial"/>
          <w:szCs w:val="24"/>
        </w:rPr>
        <w:t>.</w:t>
      </w:r>
      <w:r>
        <w:rPr>
          <w:szCs w:val="24"/>
        </w:rPr>
        <w:t xml:space="preserve"> A law that compels a person to pay that money to another is a deprivation</w:t>
      </w:r>
      <w:r>
        <w:rPr>
          <w:rStyle w:val="FootnoteReference"/>
        </w:rPr>
        <w:footnoteReference w:id="26"/>
      </w:r>
      <w:r>
        <w:rPr>
          <w:szCs w:val="24"/>
        </w:rPr>
        <w:t>. The question turns on whether the common law, which permits the deprivation of Mr Roux’s property, is arbitrary. The applicants placed reliance on the decision of</w:t>
      </w:r>
      <w:r>
        <w:rPr>
          <w:rFonts w:cs="Arial"/>
          <w:szCs w:val="24"/>
        </w:rPr>
        <w:t xml:space="preserve"> </w:t>
      </w:r>
      <w:r>
        <w:rPr>
          <w:rFonts w:cs="Arial"/>
          <w:i/>
          <w:iCs/>
          <w:szCs w:val="24"/>
        </w:rPr>
        <w:t xml:space="preserve">First National Bank </w:t>
      </w:r>
      <w:r>
        <w:rPr>
          <w:rFonts w:cs="Arial"/>
          <w:i/>
          <w:iCs/>
          <w:szCs w:val="24"/>
        </w:rPr>
        <w:lastRenderedPageBreak/>
        <w:t>of SA Limited t/a Wesbank v Commissioner for the South African Revenue Services and Another; First National Bank of SA Limited t/a Wesbank v Minister of Finance</w:t>
      </w:r>
      <w:r>
        <w:rPr>
          <w:rFonts w:cs="Arial"/>
          <w:bCs/>
          <w:szCs w:val="24"/>
        </w:rPr>
        <w:t xml:space="preserve"> [2002] ZACC 5; 2002 (4) SA 768; 2002 (7) BCLR 702 (CC)</w:t>
      </w:r>
      <w:r w:rsidR="00681878">
        <w:rPr>
          <w:rFonts w:cs="Arial"/>
          <w:bCs/>
          <w:szCs w:val="24"/>
        </w:rPr>
        <w:t>’ t</w:t>
      </w:r>
      <w:r>
        <w:rPr>
          <w:bCs/>
          <w:szCs w:val="24"/>
        </w:rPr>
        <w:t xml:space="preserve">hat a deprivation is arbitrary if there is not ‘sufficient reason’ or if it is procedurally unfair. In considering whether there is </w:t>
      </w:r>
      <w:r w:rsidRPr="00B365FD">
        <w:rPr>
          <w:bCs/>
          <w:szCs w:val="24"/>
        </w:rPr>
        <w:t>‘</w:t>
      </w:r>
      <w:r w:rsidRPr="00B365FD">
        <w:rPr>
          <w:lang w:val="en-GB"/>
        </w:rPr>
        <w:t xml:space="preserve">sufficient reason’ the Court has to consider a variety of factors, including ‘the relationship between means employed, namely the deprivation in question, and ends sought to be achieved, namely the purpose of the law in question.’ </w:t>
      </w:r>
    </w:p>
    <w:p w14:paraId="7FC5A26B" w14:textId="77777777" w:rsidR="003B02AD" w:rsidRPr="00B365FD" w:rsidRDefault="003B02AD" w:rsidP="00681878">
      <w:pPr>
        <w:pStyle w:val="Level1"/>
        <w:numPr>
          <w:ilvl w:val="0"/>
          <w:numId w:val="0"/>
        </w:numPr>
        <w:spacing w:line="360" w:lineRule="auto"/>
        <w:ind w:left="720"/>
        <w:rPr>
          <w:szCs w:val="24"/>
          <w:u w:val="single"/>
        </w:rPr>
      </w:pPr>
      <w:r>
        <w:rPr>
          <w:lang w:val="en-GB"/>
        </w:rPr>
        <w:t xml:space="preserve">The Court must also consider </w:t>
      </w:r>
      <w:r w:rsidRPr="00B365FD">
        <w:rPr>
          <w:lang w:val="en-GB"/>
        </w:rPr>
        <w:t xml:space="preserve">‘the relationship between the purpose for the deprivation and the person whose property is affected” and </w:t>
      </w:r>
      <w:r w:rsidRPr="00B365FD">
        <w:rPr>
          <w:color w:val="000000" w:themeColor="text1"/>
          <w:lang w:val="en-GB"/>
        </w:rPr>
        <w:t>“</w:t>
      </w:r>
      <w:r w:rsidRPr="00B365FD">
        <w:rPr>
          <w:lang w:val="en-GB"/>
        </w:rPr>
        <w:t>the relationship between the purpose of the deprivation and the nature of the property as well as the extent of the deprivation in respect of such property.’</w:t>
      </w:r>
    </w:p>
    <w:p w14:paraId="5BF4E40C" w14:textId="034D1BE2" w:rsidR="003B02AD" w:rsidRDefault="003B02AD" w:rsidP="00681878">
      <w:pPr>
        <w:pStyle w:val="BowLevel2ListAlt"/>
        <w:numPr>
          <w:ilvl w:val="0"/>
          <w:numId w:val="0"/>
        </w:numPr>
        <w:tabs>
          <w:tab w:val="left" w:pos="720"/>
        </w:tabs>
        <w:spacing w:before="240" w:after="240"/>
        <w:ind w:left="720" w:hanging="720"/>
        <w:rPr>
          <w:rFonts w:ascii="Arial" w:hAnsi="Arial" w:cs="Arial"/>
          <w:sz w:val="24"/>
          <w:szCs w:val="24"/>
        </w:rPr>
      </w:pPr>
      <w:r>
        <w:rPr>
          <w:rFonts w:ascii="Arial" w:hAnsi="Arial" w:cs="Arial"/>
          <w:sz w:val="24"/>
          <w:szCs w:val="24"/>
        </w:rPr>
        <w:t>[</w:t>
      </w:r>
      <w:r w:rsidR="005D1308">
        <w:rPr>
          <w:rFonts w:ascii="Arial" w:hAnsi="Arial" w:cs="Arial"/>
          <w:sz w:val="24"/>
          <w:szCs w:val="24"/>
        </w:rPr>
        <w:t>8</w:t>
      </w:r>
      <w:r w:rsidR="000B734A">
        <w:rPr>
          <w:rFonts w:ascii="Arial" w:hAnsi="Arial" w:cs="Arial"/>
          <w:sz w:val="24"/>
          <w:szCs w:val="24"/>
        </w:rPr>
        <w:t>8</w:t>
      </w:r>
      <w:r>
        <w:rPr>
          <w:rFonts w:ascii="Arial" w:hAnsi="Arial" w:cs="Arial"/>
          <w:sz w:val="24"/>
          <w:szCs w:val="24"/>
        </w:rPr>
        <w:t>]</w:t>
      </w:r>
      <w:r>
        <w:rPr>
          <w:rFonts w:ascii="Arial" w:hAnsi="Arial" w:cs="Arial"/>
          <w:sz w:val="24"/>
          <w:szCs w:val="24"/>
        </w:rPr>
        <w:tab/>
        <w:t xml:space="preserve">Counsel on behalf of Mr Roux contented that if an employee in breach of his employment contract restricted the employer`s ability to spend its money the employee </w:t>
      </w:r>
      <w:r w:rsidR="00681878">
        <w:rPr>
          <w:rFonts w:ascii="Arial" w:hAnsi="Arial" w:cs="Arial"/>
          <w:sz w:val="24"/>
          <w:szCs w:val="24"/>
        </w:rPr>
        <w:t>would be</w:t>
      </w:r>
      <w:r>
        <w:rPr>
          <w:rFonts w:ascii="Arial" w:hAnsi="Arial" w:cs="Arial"/>
          <w:sz w:val="24"/>
          <w:szCs w:val="24"/>
        </w:rPr>
        <w:t xml:space="preserve"> liable for the full amount no matter how the money was spent.</w:t>
      </w:r>
      <w:r w:rsidR="00EA1A39">
        <w:rPr>
          <w:rFonts w:ascii="Arial" w:hAnsi="Arial" w:cs="Arial"/>
          <w:sz w:val="24"/>
          <w:szCs w:val="24"/>
        </w:rPr>
        <w:t xml:space="preserve"> </w:t>
      </w:r>
      <w:r>
        <w:rPr>
          <w:rFonts w:ascii="Arial" w:hAnsi="Arial" w:cs="Arial"/>
          <w:sz w:val="24"/>
          <w:szCs w:val="24"/>
        </w:rPr>
        <w:t xml:space="preserve">The common law as per </w:t>
      </w:r>
      <w:r w:rsidRPr="00EA1A39">
        <w:rPr>
          <w:rFonts w:ascii="Arial" w:hAnsi="Arial" w:cs="Arial"/>
          <w:i/>
          <w:sz w:val="24"/>
          <w:szCs w:val="24"/>
        </w:rPr>
        <w:t>Japmoco</w:t>
      </w:r>
      <w:r>
        <w:rPr>
          <w:rFonts w:ascii="Arial" w:hAnsi="Arial" w:cs="Arial"/>
          <w:sz w:val="24"/>
          <w:szCs w:val="24"/>
        </w:rPr>
        <w:t xml:space="preserve"> required of the employee to positively prove that the funds were beneficial to the employer.</w:t>
      </w:r>
      <w:r w:rsidR="00EA1A39">
        <w:rPr>
          <w:rFonts w:ascii="Arial" w:hAnsi="Arial" w:cs="Arial"/>
          <w:sz w:val="24"/>
          <w:szCs w:val="24"/>
        </w:rPr>
        <w:t xml:space="preserve"> </w:t>
      </w:r>
      <w:r w:rsidR="00681878">
        <w:rPr>
          <w:rFonts w:ascii="Arial" w:hAnsi="Arial" w:cs="Arial"/>
          <w:sz w:val="24"/>
          <w:szCs w:val="24"/>
        </w:rPr>
        <w:t xml:space="preserve">However, </w:t>
      </w:r>
      <w:r>
        <w:rPr>
          <w:rFonts w:ascii="Arial" w:hAnsi="Arial" w:cs="Arial"/>
          <w:sz w:val="24"/>
          <w:szCs w:val="24"/>
        </w:rPr>
        <w:t xml:space="preserve">Mr Roux like any employee who </w:t>
      </w:r>
      <w:r w:rsidR="00380E0B">
        <w:rPr>
          <w:rFonts w:ascii="Arial" w:hAnsi="Arial" w:cs="Arial"/>
          <w:sz w:val="24"/>
          <w:szCs w:val="24"/>
        </w:rPr>
        <w:t xml:space="preserve">unlawfully </w:t>
      </w:r>
      <w:r>
        <w:rPr>
          <w:rFonts w:ascii="Arial" w:hAnsi="Arial" w:cs="Arial"/>
          <w:sz w:val="24"/>
          <w:szCs w:val="24"/>
        </w:rPr>
        <w:t>spends money (not merely misallocate</w:t>
      </w:r>
      <w:r w:rsidR="00681878">
        <w:rPr>
          <w:rFonts w:ascii="Arial" w:hAnsi="Arial" w:cs="Arial"/>
          <w:sz w:val="24"/>
          <w:szCs w:val="24"/>
        </w:rPr>
        <w:t>s it</w:t>
      </w:r>
      <w:r w:rsidR="00380E0B">
        <w:rPr>
          <w:rFonts w:ascii="Arial" w:hAnsi="Arial" w:cs="Arial"/>
          <w:sz w:val="24"/>
          <w:szCs w:val="24"/>
        </w:rPr>
        <w:t xml:space="preserve"> within the accounts of the employer,</w:t>
      </w:r>
      <w:r w:rsidR="00011A98">
        <w:rPr>
          <w:rFonts w:ascii="Arial" w:hAnsi="Arial" w:cs="Arial"/>
          <w:sz w:val="24"/>
          <w:szCs w:val="24"/>
        </w:rPr>
        <w:t xml:space="preserve"> as </w:t>
      </w:r>
      <w:r w:rsidR="00681878">
        <w:rPr>
          <w:rFonts w:ascii="Arial" w:hAnsi="Arial" w:cs="Arial"/>
          <w:sz w:val="24"/>
          <w:szCs w:val="24"/>
        </w:rPr>
        <w:t>such</w:t>
      </w:r>
      <w:r>
        <w:rPr>
          <w:rFonts w:ascii="Arial" w:hAnsi="Arial" w:cs="Arial"/>
          <w:sz w:val="24"/>
          <w:szCs w:val="24"/>
        </w:rPr>
        <w:t xml:space="preserve"> money would still be in the account</w:t>
      </w:r>
      <w:r w:rsidR="00681878">
        <w:rPr>
          <w:rFonts w:ascii="Arial" w:hAnsi="Arial" w:cs="Arial"/>
          <w:sz w:val="24"/>
          <w:szCs w:val="24"/>
        </w:rPr>
        <w:t>s</w:t>
      </w:r>
      <w:r>
        <w:rPr>
          <w:rFonts w:ascii="Arial" w:hAnsi="Arial" w:cs="Arial"/>
          <w:sz w:val="24"/>
          <w:szCs w:val="24"/>
        </w:rPr>
        <w:t xml:space="preserve"> of the employer)</w:t>
      </w:r>
      <w:r w:rsidR="005D31FB">
        <w:rPr>
          <w:rFonts w:ascii="Arial" w:hAnsi="Arial" w:cs="Arial"/>
          <w:sz w:val="24"/>
          <w:szCs w:val="24"/>
        </w:rPr>
        <w:t>,</w:t>
      </w:r>
      <w:r w:rsidR="00011A98">
        <w:rPr>
          <w:rFonts w:ascii="Arial" w:hAnsi="Arial" w:cs="Arial"/>
          <w:sz w:val="24"/>
          <w:szCs w:val="24"/>
        </w:rPr>
        <w:t xml:space="preserve"> </w:t>
      </w:r>
      <w:r w:rsidR="00380E0B">
        <w:rPr>
          <w:rFonts w:ascii="Arial" w:hAnsi="Arial" w:cs="Arial"/>
          <w:sz w:val="24"/>
          <w:szCs w:val="24"/>
        </w:rPr>
        <w:t xml:space="preserve">it </w:t>
      </w:r>
      <w:r w:rsidR="00681878">
        <w:rPr>
          <w:rFonts w:ascii="Arial" w:hAnsi="Arial" w:cs="Arial"/>
          <w:sz w:val="24"/>
          <w:szCs w:val="24"/>
        </w:rPr>
        <w:t>is the e</w:t>
      </w:r>
      <w:r>
        <w:rPr>
          <w:rFonts w:ascii="Arial" w:hAnsi="Arial" w:cs="Arial"/>
          <w:sz w:val="24"/>
          <w:szCs w:val="24"/>
        </w:rPr>
        <w:t>mploye</w:t>
      </w:r>
      <w:r w:rsidR="00380E0B">
        <w:rPr>
          <w:rFonts w:ascii="Arial" w:hAnsi="Arial" w:cs="Arial"/>
          <w:sz w:val="24"/>
          <w:szCs w:val="24"/>
        </w:rPr>
        <w:t>e</w:t>
      </w:r>
      <w:r>
        <w:rPr>
          <w:rFonts w:ascii="Arial" w:hAnsi="Arial" w:cs="Arial"/>
          <w:sz w:val="24"/>
          <w:szCs w:val="24"/>
        </w:rPr>
        <w:t xml:space="preserve"> </w:t>
      </w:r>
      <w:r w:rsidR="00681878">
        <w:rPr>
          <w:rFonts w:ascii="Arial" w:hAnsi="Arial" w:cs="Arial"/>
          <w:sz w:val="24"/>
          <w:szCs w:val="24"/>
        </w:rPr>
        <w:t>who</w:t>
      </w:r>
      <w:r>
        <w:rPr>
          <w:rFonts w:ascii="Arial" w:hAnsi="Arial" w:cs="Arial"/>
          <w:sz w:val="24"/>
          <w:szCs w:val="24"/>
        </w:rPr>
        <w:t xml:space="preserve"> know</w:t>
      </w:r>
      <w:r w:rsidR="00011A98">
        <w:rPr>
          <w:rFonts w:ascii="Arial" w:hAnsi="Arial" w:cs="Arial"/>
          <w:sz w:val="24"/>
          <w:szCs w:val="24"/>
        </w:rPr>
        <w:t>s</w:t>
      </w:r>
      <w:r>
        <w:rPr>
          <w:rFonts w:ascii="Arial" w:hAnsi="Arial" w:cs="Arial"/>
          <w:sz w:val="24"/>
          <w:szCs w:val="24"/>
        </w:rPr>
        <w:t xml:space="preserve"> how the money </w:t>
      </w:r>
      <w:r w:rsidR="00011A98">
        <w:rPr>
          <w:rFonts w:ascii="Arial" w:hAnsi="Arial" w:cs="Arial"/>
          <w:sz w:val="24"/>
          <w:szCs w:val="24"/>
        </w:rPr>
        <w:t>was</w:t>
      </w:r>
      <w:r>
        <w:rPr>
          <w:rFonts w:ascii="Arial" w:hAnsi="Arial" w:cs="Arial"/>
          <w:sz w:val="24"/>
          <w:szCs w:val="24"/>
        </w:rPr>
        <w:t xml:space="preserve"> spent.</w:t>
      </w:r>
      <w:r w:rsidR="00EA1A39">
        <w:rPr>
          <w:rFonts w:ascii="Arial" w:hAnsi="Arial" w:cs="Arial"/>
          <w:sz w:val="24"/>
          <w:szCs w:val="24"/>
        </w:rPr>
        <w:t xml:space="preserve"> </w:t>
      </w:r>
      <w:r>
        <w:rPr>
          <w:rFonts w:ascii="Arial" w:hAnsi="Arial" w:cs="Arial"/>
          <w:sz w:val="24"/>
          <w:szCs w:val="24"/>
        </w:rPr>
        <w:t>All Mr Roux had to do was to plead how the money was spent and prove that it was for the benefit of the University.</w:t>
      </w:r>
      <w:r w:rsidR="00EA1A39">
        <w:rPr>
          <w:rFonts w:ascii="Arial" w:hAnsi="Arial" w:cs="Arial"/>
          <w:sz w:val="24"/>
          <w:szCs w:val="24"/>
        </w:rPr>
        <w:t xml:space="preserve"> </w:t>
      </w:r>
      <w:r>
        <w:rPr>
          <w:rFonts w:ascii="Arial" w:hAnsi="Arial" w:cs="Arial"/>
          <w:sz w:val="24"/>
          <w:szCs w:val="24"/>
        </w:rPr>
        <w:t>The employer carried the onus of proving its loss as the University did</w:t>
      </w:r>
      <w:r w:rsidR="00380E0B">
        <w:rPr>
          <w:rFonts w:ascii="Arial" w:hAnsi="Arial" w:cs="Arial"/>
          <w:sz w:val="24"/>
          <w:szCs w:val="24"/>
        </w:rPr>
        <w:t>,</w:t>
      </w:r>
      <w:r>
        <w:rPr>
          <w:rFonts w:ascii="Arial" w:hAnsi="Arial" w:cs="Arial"/>
          <w:sz w:val="24"/>
          <w:szCs w:val="24"/>
        </w:rPr>
        <w:t xml:space="preserve"> and found by</w:t>
      </w:r>
      <w:r w:rsidR="00380E0B">
        <w:rPr>
          <w:rFonts w:ascii="Arial" w:hAnsi="Arial" w:cs="Arial"/>
          <w:sz w:val="24"/>
          <w:szCs w:val="24"/>
        </w:rPr>
        <w:t xml:space="preserve"> the arbitrators </w:t>
      </w:r>
      <w:r>
        <w:rPr>
          <w:rFonts w:ascii="Arial" w:hAnsi="Arial" w:cs="Arial"/>
          <w:sz w:val="24"/>
          <w:szCs w:val="24"/>
        </w:rPr>
        <w:t xml:space="preserve">on </w:t>
      </w:r>
      <w:r w:rsidR="00380E0B">
        <w:rPr>
          <w:rFonts w:ascii="Arial" w:hAnsi="Arial" w:cs="Arial"/>
          <w:sz w:val="24"/>
          <w:szCs w:val="24"/>
        </w:rPr>
        <w:t>the application of lon</w:t>
      </w:r>
      <w:r w:rsidR="00AB1EA3">
        <w:rPr>
          <w:rFonts w:ascii="Arial" w:hAnsi="Arial" w:cs="Arial"/>
          <w:sz w:val="24"/>
          <w:szCs w:val="24"/>
        </w:rPr>
        <w:t>g</w:t>
      </w:r>
      <w:r w:rsidR="00380E0B">
        <w:rPr>
          <w:rFonts w:ascii="Arial" w:hAnsi="Arial" w:cs="Arial"/>
          <w:sz w:val="24"/>
          <w:szCs w:val="24"/>
        </w:rPr>
        <w:t xml:space="preserve"> </w:t>
      </w:r>
      <w:r>
        <w:rPr>
          <w:rFonts w:ascii="Arial" w:hAnsi="Arial" w:cs="Arial"/>
          <w:sz w:val="24"/>
          <w:szCs w:val="24"/>
        </w:rPr>
        <w:t>standing legal authority</w:t>
      </w:r>
      <w:r w:rsidR="00380E0B">
        <w:rPr>
          <w:rFonts w:ascii="Arial" w:hAnsi="Arial" w:cs="Arial"/>
          <w:sz w:val="24"/>
          <w:szCs w:val="24"/>
        </w:rPr>
        <w:t>.</w:t>
      </w:r>
      <w:r>
        <w:rPr>
          <w:rFonts w:ascii="Arial" w:hAnsi="Arial" w:cs="Arial"/>
          <w:sz w:val="24"/>
          <w:szCs w:val="24"/>
        </w:rPr>
        <w:t xml:space="preserve"> If Mr Roux had purchased any assets such as</w:t>
      </w:r>
      <w:r w:rsidR="00380E0B">
        <w:rPr>
          <w:rFonts w:ascii="Arial" w:hAnsi="Arial" w:cs="Arial"/>
          <w:sz w:val="24"/>
          <w:szCs w:val="24"/>
        </w:rPr>
        <w:t xml:space="preserve"> that of </w:t>
      </w:r>
      <w:r>
        <w:rPr>
          <w:rFonts w:ascii="Arial" w:hAnsi="Arial" w:cs="Arial"/>
          <w:sz w:val="24"/>
          <w:szCs w:val="24"/>
        </w:rPr>
        <w:t>the of quoted example of a fork lift for the University,</w:t>
      </w:r>
      <w:r w:rsidR="00F366AE">
        <w:rPr>
          <w:rFonts w:ascii="Arial" w:hAnsi="Arial" w:cs="Arial"/>
          <w:sz w:val="24"/>
          <w:szCs w:val="24"/>
        </w:rPr>
        <w:t xml:space="preserve"> </w:t>
      </w:r>
      <w:r>
        <w:rPr>
          <w:rFonts w:ascii="Arial" w:hAnsi="Arial" w:cs="Arial"/>
          <w:sz w:val="24"/>
          <w:szCs w:val="24"/>
        </w:rPr>
        <w:t>all he had to do was to have pleaded and proved it.</w:t>
      </w:r>
      <w:r w:rsidR="00681878">
        <w:rPr>
          <w:rFonts w:ascii="Arial" w:hAnsi="Arial" w:cs="Arial"/>
          <w:sz w:val="24"/>
          <w:szCs w:val="24"/>
        </w:rPr>
        <w:t xml:space="preserve"> There wa</w:t>
      </w:r>
      <w:r w:rsidR="00F366AE">
        <w:rPr>
          <w:rFonts w:ascii="Arial" w:hAnsi="Arial" w:cs="Arial"/>
          <w:sz w:val="24"/>
          <w:szCs w:val="24"/>
        </w:rPr>
        <w:t>s</w:t>
      </w:r>
      <w:r w:rsidR="00011A98">
        <w:rPr>
          <w:rFonts w:ascii="Arial" w:hAnsi="Arial" w:cs="Arial"/>
          <w:sz w:val="24"/>
          <w:szCs w:val="24"/>
        </w:rPr>
        <w:t xml:space="preserve"> in my view</w:t>
      </w:r>
      <w:r w:rsidR="00F366AE">
        <w:rPr>
          <w:rFonts w:ascii="Arial" w:hAnsi="Arial" w:cs="Arial"/>
          <w:sz w:val="24"/>
          <w:szCs w:val="24"/>
        </w:rPr>
        <w:t xml:space="preserve"> no inevitable </w:t>
      </w:r>
      <w:r>
        <w:rPr>
          <w:rFonts w:ascii="Arial" w:hAnsi="Arial" w:cs="Arial"/>
          <w:sz w:val="24"/>
          <w:szCs w:val="24"/>
        </w:rPr>
        <w:t>risk of a double benefit to the University simply because Mr Roux adopted an intransigent attitude in his pleadings. Mor</w:t>
      </w:r>
      <w:r w:rsidR="00F366AE">
        <w:rPr>
          <w:rFonts w:ascii="Arial" w:hAnsi="Arial" w:cs="Arial"/>
          <w:sz w:val="24"/>
          <w:szCs w:val="24"/>
        </w:rPr>
        <w:t>eo</w:t>
      </w:r>
      <w:r>
        <w:rPr>
          <w:rFonts w:ascii="Arial" w:hAnsi="Arial" w:cs="Arial"/>
          <w:sz w:val="24"/>
          <w:szCs w:val="24"/>
        </w:rPr>
        <w:t>ver</w:t>
      </w:r>
      <w:r w:rsidR="00F366AE">
        <w:rPr>
          <w:rFonts w:ascii="Arial" w:hAnsi="Arial" w:cs="Arial"/>
          <w:sz w:val="24"/>
          <w:szCs w:val="24"/>
        </w:rPr>
        <w:t>,</w:t>
      </w:r>
      <w:r>
        <w:rPr>
          <w:rFonts w:ascii="Arial" w:hAnsi="Arial" w:cs="Arial"/>
          <w:sz w:val="24"/>
          <w:szCs w:val="24"/>
        </w:rPr>
        <w:t xml:space="preserve"> he could hardly complain that he was at any disadvantage of been able to obtain information of any such benefits</w:t>
      </w:r>
      <w:r w:rsidR="00380E0B">
        <w:rPr>
          <w:rFonts w:ascii="Arial" w:hAnsi="Arial" w:cs="Arial"/>
          <w:sz w:val="24"/>
          <w:szCs w:val="24"/>
        </w:rPr>
        <w:t xml:space="preserve"> he claimed the University </w:t>
      </w:r>
      <w:r w:rsidR="00355AD1">
        <w:rPr>
          <w:rFonts w:ascii="Arial" w:hAnsi="Arial" w:cs="Arial"/>
          <w:sz w:val="24"/>
          <w:szCs w:val="24"/>
        </w:rPr>
        <w:t>obtained. He</w:t>
      </w:r>
      <w:r w:rsidR="00380E0B">
        <w:rPr>
          <w:rFonts w:ascii="Arial" w:hAnsi="Arial" w:cs="Arial"/>
          <w:sz w:val="24"/>
          <w:szCs w:val="24"/>
        </w:rPr>
        <w:t xml:space="preserve"> should </w:t>
      </w:r>
      <w:r w:rsidR="003926BE">
        <w:rPr>
          <w:rFonts w:ascii="Arial" w:hAnsi="Arial" w:cs="Arial"/>
          <w:sz w:val="24"/>
          <w:szCs w:val="24"/>
        </w:rPr>
        <w:t xml:space="preserve">and could </w:t>
      </w:r>
      <w:r w:rsidR="00380E0B">
        <w:rPr>
          <w:rFonts w:ascii="Arial" w:hAnsi="Arial" w:cs="Arial"/>
          <w:sz w:val="24"/>
          <w:szCs w:val="24"/>
        </w:rPr>
        <w:t>have</w:t>
      </w:r>
      <w:r>
        <w:rPr>
          <w:rFonts w:ascii="Arial" w:hAnsi="Arial" w:cs="Arial"/>
          <w:sz w:val="24"/>
          <w:szCs w:val="24"/>
        </w:rPr>
        <w:t xml:space="preserve"> pleaded</w:t>
      </w:r>
      <w:r w:rsidR="00681878">
        <w:rPr>
          <w:rFonts w:ascii="Arial" w:hAnsi="Arial" w:cs="Arial"/>
          <w:sz w:val="24"/>
          <w:szCs w:val="24"/>
        </w:rPr>
        <w:t xml:space="preserve"> the </w:t>
      </w:r>
      <w:r>
        <w:rPr>
          <w:rFonts w:ascii="Arial" w:hAnsi="Arial" w:cs="Arial"/>
          <w:sz w:val="24"/>
          <w:szCs w:val="24"/>
        </w:rPr>
        <w:t>benefits and</w:t>
      </w:r>
      <w:r w:rsidR="00355AD1">
        <w:rPr>
          <w:rFonts w:ascii="Arial" w:hAnsi="Arial" w:cs="Arial"/>
          <w:sz w:val="24"/>
          <w:szCs w:val="24"/>
        </w:rPr>
        <w:t xml:space="preserve"> fully</w:t>
      </w:r>
      <w:r>
        <w:rPr>
          <w:rFonts w:ascii="Arial" w:hAnsi="Arial" w:cs="Arial"/>
          <w:sz w:val="24"/>
          <w:szCs w:val="24"/>
        </w:rPr>
        <w:t xml:space="preserve"> access</w:t>
      </w:r>
      <w:r w:rsidR="00681878">
        <w:rPr>
          <w:rFonts w:ascii="Arial" w:hAnsi="Arial" w:cs="Arial"/>
          <w:sz w:val="24"/>
          <w:szCs w:val="24"/>
        </w:rPr>
        <w:t>ed</w:t>
      </w:r>
      <w:r>
        <w:rPr>
          <w:rFonts w:ascii="Arial" w:hAnsi="Arial" w:cs="Arial"/>
          <w:sz w:val="24"/>
          <w:szCs w:val="24"/>
        </w:rPr>
        <w:t xml:space="preserve"> the rules</w:t>
      </w:r>
      <w:r w:rsidR="00681878">
        <w:rPr>
          <w:rFonts w:ascii="Arial" w:hAnsi="Arial" w:cs="Arial"/>
          <w:sz w:val="24"/>
          <w:szCs w:val="24"/>
        </w:rPr>
        <w:t xml:space="preserve"> of court</w:t>
      </w:r>
      <w:r w:rsidR="00380E0B">
        <w:rPr>
          <w:rFonts w:ascii="Arial" w:hAnsi="Arial" w:cs="Arial"/>
          <w:sz w:val="24"/>
          <w:szCs w:val="24"/>
        </w:rPr>
        <w:t xml:space="preserve"> for further </w:t>
      </w:r>
      <w:r w:rsidR="00355AD1">
        <w:rPr>
          <w:rFonts w:ascii="Arial" w:hAnsi="Arial" w:cs="Arial"/>
          <w:sz w:val="24"/>
          <w:szCs w:val="24"/>
        </w:rPr>
        <w:t xml:space="preserve">any </w:t>
      </w:r>
      <w:r w:rsidR="00380E0B">
        <w:rPr>
          <w:rFonts w:ascii="Arial" w:hAnsi="Arial" w:cs="Arial"/>
          <w:sz w:val="24"/>
          <w:szCs w:val="24"/>
        </w:rPr>
        <w:t>information he needed</w:t>
      </w:r>
      <w:r>
        <w:rPr>
          <w:rFonts w:ascii="Arial" w:hAnsi="Arial" w:cs="Arial"/>
          <w:sz w:val="24"/>
          <w:szCs w:val="24"/>
        </w:rPr>
        <w:t>.</w:t>
      </w:r>
      <w:r w:rsidR="00F366AE">
        <w:rPr>
          <w:rFonts w:ascii="Arial" w:hAnsi="Arial" w:cs="Arial"/>
          <w:sz w:val="24"/>
          <w:szCs w:val="24"/>
        </w:rPr>
        <w:t xml:space="preserve"> </w:t>
      </w:r>
      <w:r>
        <w:rPr>
          <w:rFonts w:ascii="Arial" w:hAnsi="Arial" w:cs="Arial"/>
          <w:sz w:val="24"/>
          <w:szCs w:val="24"/>
        </w:rPr>
        <w:t xml:space="preserve">On this </w:t>
      </w:r>
      <w:r>
        <w:rPr>
          <w:rFonts w:ascii="Arial" w:hAnsi="Arial" w:cs="Arial"/>
          <w:sz w:val="24"/>
          <w:szCs w:val="24"/>
        </w:rPr>
        <w:lastRenderedPageBreak/>
        <w:t>score Mr Roux</w:t>
      </w:r>
      <w:r w:rsidR="00011A98">
        <w:rPr>
          <w:rFonts w:ascii="Arial" w:hAnsi="Arial" w:cs="Arial"/>
          <w:sz w:val="24"/>
          <w:szCs w:val="24"/>
        </w:rPr>
        <w:t xml:space="preserve"> also </w:t>
      </w:r>
      <w:r>
        <w:rPr>
          <w:rFonts w:ascii="Arial" w:hAnsi="Arial" w:cs="Arial"/>
          <w:sz w:val="24"/>
          <w:szCs w:val="24"/>
        </w:rPr>
        <w:t>complained that the common law was procedu</w:t>
      </w:r>
      <w:r w:rsidR="00F366AE">
        <w:rPr>
          <w:rFonts w:ascii="Arial" w:hAnsi="Arial" w:cs="Arial"/>
          <w:sz w:val="24"/>
          <w:szCs w:val="24"/>
        </w:rPr>
        <w:t>ral</w:t>
      </w:r>
      <w:r>
        <w:rPr>
          <w:rFonts w:ascii="Arial" w:hAnsi="Arial" w:cs="Arial"/>
          <w:sz w:val="24"/>
          <w:szCs w:val="24"/>
        </w:rPr>
        <w:t>ly unfair</w:t>
      </w:r>
      <w:r w:rsidR="00011A98">
        <w:rPr>
          <w:rFonts w:ascii="Arial" w:hAnsi="Arial" w:cs="Arial"/>
          <w:sz w:val="24"/>
          <w:szCs w:val="24"/>
        </w:rPr>
        <w:t xml:space="preserve"> for reasons no different than that already raised.</w:t>
      </w:r>
      <w:r>
        <w:rPr>
          <w:rFonts w:ascii="Arial" w:hAnsi="Arial" w:cs="Arial"/>
          <w:sz w:val="24"/>
          <w:szCs w:val="24"/>
        </w:rPr>
        <w:t xml:space="preserve"> In the light of the fact</w:t>
      </w:r>
      <w:r w:rsidR="00A3641D">
        <w:rPr>
          <w:rFonts w:ascii="Arial" w:hAnsi="Arial" w:cs="Arial"/>
          <w:sz w:val="24"/>
          <w:szCs w:val="24"/>
        </w:rPr>
        <w:t>s</w:t>
      </w:r>
      <w:r>
        <w:rPr>
          <w:rFonts w:ascii="Arial" w:hAnsi="Arial" w:cs="Arial"/>
          <w:sz w:val="24"/>
          <w:szCs w:val="24"/>
        </w:rPr>
        <w:t xml:space="preserve"> of the </w:t>
      </w:r>
      <w:r w:rsidR="00011A98">
        <w:rPr>
          <w:rFonts w:ascii="Arial" w:hAnsi="Arial" w:cs="Arial"/>
          <w:sz w:val="24"/>
          <w:szCs w:val="24"/>
        </w:rPr>
        <w:t>matter and Mr Roux`s pleaded def</w:t>
      </w:r>
      <w:r w:rsidR="002D7715">
        <w:rPr>
          <w:rFonts w:ascii="Arial" w:hAnsi="Arial" w:cs="Arial"/>
          <w:sz w:val="24"/>
          <w:szCs w:val="24"/>
        </w:rPr>
        <w:t>e</w:t>
      </w:r>
      <w:r w:rsidR="00011A98">
        <w:rPr>
          <w:rFonts w:ascii="Arial" w:hAnsi="Arial" w:cs="Arial"/>
          <w:sz w:val="24"/>
          <w:szCs w:val="24"/>
        </w:rPr>
        <w:t xml:space="preserve">nces </w:t>
      </w:r>
      <w:r>
        <w:rPr>
          <w:rFonts w:ascii="Arial" w:hAnsi="Arial" w:cs="Arial"/>
          <w:sz w:val="24"/>
          <w:szCs w:val="24"/>
        </w:rPr>
        <w:t>it would</w:t>
      </w:r>
      <w:r w:rsidR="00137067">
        <w:rPr>
          <w:rFonts w:ascii="Arial" w:hAnsi="Arial" w:cs="Arial"/>
          <w:sz w:val="24"/>
          <w:szCs w:val="24"/>
        </w:rPr>
        <w:t>,</w:t>
      </w:r>
      <w:r>
        <w:rPr>
          <w:rFonts w:ascii="Arial" w:hAnsi="Arial" w:cs="Arial"/>
          <w:sz w:val="24"/>
          <w:szCs w:val="24"/>
        </w:rPr>
        <w:t xml:space="preserve"> in my view</w:t>
      </w:r>
      <w:r w:rsidR="00137067">
        <w:rPr>
          <w:rFonts w:ascii="Arial" w:hAnsi="Arial" w:cs="Arial"/>
          <w:sz w:val="24"/>
          <w:szCs w:val="24"/>
        </w:rPr>
        <w:t>,</w:t>
      </w:r>
      <w:r w:rsidR="00011A98">
        <w:rPr>
          <w:rFonts w:ascii="Arial" w:hAnsi="Arial" w:cs="Arial"/>
          <w:sz w:val="24"/>
          <w:szCs w:val="24"/>
        </w:rPr>
        <w:t xml:space="preserve"> not</w:t>
      </w:r>
      <w:r>
        <w:rPr>
          <w:rFonts w:ascii="Arial" w:hAnsi="Arial" w:cs="Arial"/>
          <w:sz w:val="24"/>
          <w:szCs w:val="24"/>
        </w:rPr>
        <w:t xml:space="preserve"> have triggered a consideration </w:t>
      </w:r>
      <w:r w:rsidR="00355AD1">
        <w:rPr>
          <w:rFonts w:ascii="Arial" w:hAnsi="Arial" w:cs="Arial"/>
          <w:sz w:val="24"/>
          <w:szCs w:val="24"/>
        </w:rPr>
        <w:t>by the arbitrators to</w:t>
      </w:r>
      <w:r w:rsidR="00011A98">
        <w:rPr>
          <w:rFonts w:ascii="Arial" w:hAnsi="Arial" w:cs="Arial"/>
          <w:sz w:val="24"/>
          <w:szCs w:val="24"/>
        </w:rPr>
        <w:t xml:space="preserve"> </w:t>
      </w:r>
      <w:r>
        <w:rPr>
          <w:rFonts w:ascii="Arial" w:hAnsi="Arial" w:cs="Arial"/>
          <w:sz w:val="24"/>
          <w:szCs w:val="24"/>
        </w:rPr>
        <w:t>develop the common law.</w:t>
      </w:r>
      <w:r w:rsidR="00F366AE">
        <w:rPr>
          <w:rFonts w:ascii="Arial" w:hAnsi="Arial" w:cs="Arial"/>
          <w:sz w:val="24"/>
          <w:szCs w:val="24"/>
        </w:rPr>
        <w:t xml:space="preserve"> </w:t>
      </w:r>
      <w:r>
        <w:rPr>
          <w:rFonts w:ascii="Arial" w:hAnsi="Arial" w:cs="Arial"/>
          <w:sz w:val="24"/>
          <w:szCs w:val="24"/>
        </w:rPr>
        <w:t xml:space="preserve">The </w:t>
      </w:r>
      <w:r w:rsidR="00355AD1">
        <w:rPr>
          <w:rFonts w:ascii="Arial" w:hAnsi="Arial" w:cs="Arial"/>
          <w:sz w:val="24"/>
          <w:szCs w:val="24"/>
        </w:rPr>
        <w:t xml:space="preserve">facts </w:t>
      </w:r>
      <w:r>
        <w:rPr>
          <w:rFonts w:ascii="Arial" w:hAnsi="Arial" w:cs="Arial"/>
          <w:sz w:val="24"/>
          <w:szCs w:val="24"/>
        </w:rPr>
        <w:t>before the arbitrators did not</w:t>
      </w:r>
      <w:r w:rsidR="00011A98">
        <w:rPr>
          <w:rFonts w:ascii="Arial" w:hAnsi="Arial" w:cs="Arial"/>
          <w:sz w:val="24"/>
          <w:szCs w:val="24"/>
        </w:rPr>
        <w:t xml:space="preserve"> in my view </w:t>
      </w:r>
      <w:r>
        <w:rPr>
          <w:rFonts w:ascii="Arial" w:hAnsi="Arial" w:cs="Arial"/>
          <w:sz w:val="24"/>
          <w:szCs w:val="24"/>
        </w:rPr>
        <w:t>implicate an arbitrary deprivation of property and</w:t>
      </w:r>
      <w:r w:rsidR="00F366AE">
        <w:rPr>
          <w:rFonts w:ascii="Arial" w:hAnsi="Arial" w:cs="Arial"/>
          <w:sz w:val="24"/>
          <w:szCs w:val="24"/>
        </w:rPr>
        <w:t>,</w:t>
      </w:r>
      <w:r>
        <w:rPr>
          <w:rFonts w:ascii="Arial" w:hAnsi="Arial" w:cs="Arial"/>
          <w:sz w:val="24"/>
          <w:szCs w:val="24"/>
        </w:rPr>
        <w:t xml:space="preserve"> </w:t>
      </w:r>
      <w:r w:rsidR="00011A98">
        <w:rPr>
          <w:rFonts w:ascii="Arial" w:hAnsi="Arial" w:cs="Arial"/>
          <w:sz w:val="24"/>
          <w:szCs w:val="24"/>
        </w:rPr>
        <w:t>the development of the common law</w:t>
      </w:r>
      <w:r>
        <w:rPr>
          <w:rFonts w:ascii="Arial" w:hAnsi="Arial" w:cs="Arial"/>
          <w:sz w:val="24"/>
          <w:szCs w:val="24"/>
        </w:rPr>
        <w:t xml:space="preserve"> was unsurprising</w:t>
      </w:r>
      <w:r w:rsidR="00011A98">
        <w:rPr>
          <w:rFonts w:ascii="Arial" w:hAnsi="Arial" w:cs="Arial"/>
          <w:sz w:val="24"/>
          <w:szCs w:val="24"/>
        </w:rPr>
        <w:t>ly not considered by them.</w:t>
      </w:r>
      <w:r>
        <w:rPr>
          <w:rFonts w:ascii="Arial" w:hAnsi="Arial" w:cs="Arial"/>
          <w:sz w:val="24"/>
          <w:szCs w:val="24"/>
        </w:rPr>
        <w:t xml:space="preserve"> </w:t>
      </w:r>
    </w:p>
    <w:p w14:paraId="5CDD7FE4" w14:textId="75F3D390" w:rsidR="003B02AD" w:rsidRDefault="00F366AE" w:rsidP="00076A49">
      <w:pPr>
        <w:pStyle w:val="FootnoteText"/>
        <w:spacing w:line="360" w:lineRule="auto"/>
        <w:ind w:left="720" w:hanging="720"/>
        <w:jc w:val="both"/>
        <w:rPr>
          <w:sz w:val="24"/>
          <w:szCs w:val="24"/>
        </w:rPr>
      </w:pPr>
      <w:r>
        <w:rPr>
          <w:sz w:val="24"/>
          <w:szCs w:val="24"/>
        </w:rPr>
        <w:t>[</w:t>
      </w:r>
      <w:r w:rsidR="005D1308">
        <w:rPr>
          <w:sz w:val="24"/>
          <w:szCs w:val="24"/>
        </w:rPr>
        <w:t>8</w:t>
      </w:r>
      <w:r w:rsidR="000B734A">
        <w:rPr>
          <w:sz w:val="24"/>
          <w:szCs w:val="24"/>
        </w:rPr>
        <w:t>9</w:t>
      </w:r>
      <w:r>
        <w:rPr>
          <w:sz w:val="24"/>
          <w:szCs w:val="24"/>
        </w:rPr>
        <w:t>]</w:t>
      </w:r>
      <w:r>
        <w:rPr>
          <w:sz w:val="24"/>
          <w:szCs w:val="24"/>
        </w:rPr>
        <w:tab/>
      </w:r>
      <w:r w:rsidR="003B02AD" w:rsidRPr="00076A49">
        <w:rPr>
          <w:sz w:val="24"/>
          <w:szCs w:val="24"/>
        </w:rPr>
        <w:t>Counsel for the University correctly pointed out that relia</w:t>
      </w:r>
      <w:r w:rsidRPr="00076A49">
        <w:rPr>
          <w:sz w:val="24"/>
          <w:szCs w:val="24"/>
        </w:rPr>
        <w:t xml:space="preserve">nce </w:t>
      </w:r>
      <w:r w:rsidR="00A3641D">
        <w:rPr>
          <w:sz w:val="24"/>
          <w:szCs w:val="24"/>
        </w:rPr>
        <w:t xml:space="preserve">by Mr Roux </w:t>
      </w:r>
      <w:r w:rsidRPr="00076A49">
        <w:rPr>
          <w:sz w:val="24"/>
          <w:szCs w:val="24"/>
        </w:rPr>
        <w:t xml:space="preserve">on the decision in </w:t>
      </w:r>
      <w:r w:rsidR="00076A49" w:rsidRPr="00076A49">
        <w:rPr>
          <w:bCs/>
          <w:i/>
          <w:iCs/>
          <w:sz w:val="24"/>
          <w:szCs w:val="24"/>
        </w:rPr>
        <w:t>National Credit Regulator v Opperman and Others</w:t>
      </w:r>
      <w:r w:rsidR="00076A49" w:rsidRPr="00076A49">
        <w:rPr>
          <w:sz w:val="24"/>
          <w:szCs w:val="24"/>
        </w:rPr>
        <w:t xml:space="preserve"> [2012] ZACC 29; 2013 (2) BCLR 170 (CC); 2013 (2) SA 1 (CC)</w:t>
      </w:r>
      <w:r w:rsidR="00076A49">
        <w:rPr>
          <w:sz w:val="24"/>
          <w:szCs w:val="24"/>
        </w:rPr>
        <w:t xml:space="preserve"> </w:t>
      </w:r>
      <w:r w:rsidR="003B02AD">
        <w:rPr>
          <w:sz w:val="24"/>
          <w:szCs w:val="24"/>
        </w:rPr>
        <w:t xml:space="preserve">was </w:t>
      </w:r>
      <w:r w:rsidR="00076A49">
        <w:rPr>
          <w:sz w:val="24"/>
          <w:szCs w:val="24"/>
        </w:rPr>
        <w:t>misconceived</w:t>
      </w:r>
      <w:r w:rsidR="003B02AD">
        <w:rPr>
          <w:sz w:val="24"/>
          <w:szCs w:val="24"/>
        </w:rPr>
        <w:t>.</w:t>
      </w:r>
      <w:r w:rsidR="00076A49">
        <w:rPr>
          <w:sz w:val="24"/>
          <w:szCs w:val="24"/>
        </w:rPr>
        <w:t xml:space="preserve"> </w:t>
      </w:r>
      <w:r w:rsidR="003B02AD">
        <w:rPr>
          <w:sz w:val="24"/>
          <w:szCs w:val="24"/>
        </w:rPr>
        <w:t>That matter dealt with the provisions of the National Credit 34 of 2005 that impacted on the rights of a credit provided under an unlawful credit agreement. There the Constitutional Court invoked the provision of Section 25(1) of the Constitution and found the implicated provisions of the National Credit Act to be invalid.</w:t>
      </w:r>
      <w:r w:rsidR="008F623A">
        <w:rPr>
          <w:sz w:val="24"/>
          <w:szCs w:val="24"/>
        </w:rPr>
        <w:t xml:space="preserve"> </w:t>
      </w:r>
      <w:r w:rsidR="003B02AD">
        <w:rPr>
          <w:sz w:val="24"/>
          <w:szCs w:val="24"/>
        </w:rPr>
        <w:t>The constitutional issue in that matter was clearly implicated</w:t>
      </w:r>
      <w:r w:rsidR="00A3641D">
        <w:rPr>
          <w:sz w:val="24"/>
          <w:szCs w:val="24"/>
        </w:rPr>
        <w:t xml:space="preserve"> on its facts</w:t>
      </w:r>
      <w:r w:rsidR="003B02AD">
        <w:rPr>
          <w:sz w:val="24"/>
          <w:szCs w:val="24"/>
        </w:rPr>
        <w:t xml:space="preserve">. </w:t>
      </w:r>
    </w:p>
    <w:p w14:paraId="4C76405C" w14:textId="580B797A" w:rsidR="008F623A" w:rsidRDefault="008F623A" w:rsidP="003B02AD">
      <w:pPr>
        <w:spacing w:after="480" w:line="360" w:lineRule="auto"/>
        <w:jc w:val="both"/>
        <w:rPr>
          <w:b/>
        </w:rPr>
      </w:pPr>
    </w:p>
    <w:p w14:paraId="2AE5959C" w14:textId="0AF0A1A7" w:rsidR="003B02AD" w:rsidRPr="008F623A" w:rsidRDefault="003B02AD" w:rsidP="003B02AD">
      <w:pPr>
        <w:spacing w:after="480" w:line="360" w:lineRule="auto"/>
        <w:jc w:val="both"/>
        <w:rPr>
          <w:b/>
        </w:rPr>
      </w:pPr>
      <w:r w:rsidRPr="008F623A">
        <w:rPr>
          <w:b/>
        </w:rPr>
        <w:t>Unfair Labour Practice</w:t>
      </w:r>
    </w:p>
    <w:p w14:paraId="44A94602" w14:textId="34878D0B" w:rsidR="003B02AD" w:rsidRPr="008F623A" w:rsidRDefault="008F623A" w:rsidP="008F623A">
      <w:pPr>
        <w:pStyle w:val="FootnoteText"/>
        <w:spacing w:line="360" w:lineRule="auto"/>
        <w:ind w:left="720" w:hanging="720"/>
        <w:jc w:val="both"/>
        <w:rPr>
          <w:sz w:val="24"/>
          <w:szCs w:val="24"/>
        </w:rPr>
      </w:pPr>
      <w:r w:rsidRPr="009B6E22">
        <w:rPr>
          <w:sz w:val="24"/>
          <w:szCs w:val="24"/>
        </w:rPr>
        <w:t>[</w:t>
      </w:r>
      <w:r w:rsidR="003926BE">
        <w:rPr>
          <w:sz w:val="24"/>
          <w:szCs w:val="24"/>
        </w:rPr>
        <w:t>9</w:t>
      </w:r>
      <w:r w:rsidR="000B734A">
        <w:rPr>
          <w:sz w:val="24"/>
          <w:szCs w:val="24"/>
        </w:rPr>
        <w:t>0</w:t>
      </w:r>
      <w:r w:rsidRPr="009B6E22">
        <w:rPr>
          <w:sz w:val="24"/>
          <w:szCs w:val="24"/>
        </w:rPr>
        <w:t>]</w:t>
      </w:r>
      <w:r w:rsidRPr="009B6E22">
        <w:rPr>
          <w:sz w:val="24"/>
          <w:szCs w:val="24"/>
        </w:rPr>
        <w:tab/>
      </w:r>
      <w:r w:rsidR="00A3641D">
        <w:rPr>
          <w:sz w:val="24"/>
          <w:szCs w:val="24"/>
        </w:rPr>
        <w:t xml:space="preserve">The </w:t>
      </w:r>
      <w:r w:rsidR="003B02AD" w:rsidRPr="008F623A">
        <w:rPr>
          <w:sz w:val="24"/>
          <w:szCs w:val="24"/>
        </w:rPr>
        <w:t>arbitrators found that the loss suffered by the University as result of the unauthorised expenditure was general damages as opposed to special damages notwithstanding that the claim arose in the context to an employment contract.</w:t>
      </w:r>
      <w:r w:rsidRPr="008F623A">
        <w:rPr>
          <w:sz w:val="24"/>
          <w:szCs w:val="24"/>
        </w:rPr>
        <w:t xml:space="preserve"> </w:t>
      </w:r>
      <w:r w:rsidR="005026A9">
        <w:rPr>
          <w:sz w:val="24"/>
          <w:szCs w:val="24"/>
        </w:rPr>
        <w:t>Counsel on behalf of Mr Roux submitted that the inasmuch as</w:t>
      </w:r>
      <w:r w:rsidR="003B02AD" w:rsidRPr="008F623A">
        <w:rPr>
          <w:sz w:val="24"/>
          <w:szCs w:val="24"/>
        </w:rPr>
        <w:t xml:space="preserve"> </w:t>
      </w:r>
      <w:r w:rsidR="001116C9">
        <w:rPr>
          <w:sz w:val="24"/>
          <w:szCs w:val="24"/>
        </w:rPr>
        <w:t xml:space="preserve">the </w:t>
      </w:r>
      <w:r w:rsidR="003B02AD" w:rsidRPr="008F623A">
        <w:rPr>
          <w:sz w:val="24"/>
          <w:szCs w:val="24"/>
        </w:rPr>
        <w:t>common law applied to all employment contracts</w:t>
      </w:r>
      <w:r w:rsidR="005026A9">
        <w:rPr>
          <w:sz w:val="24"/>
          <w:szCs w:val="24"/>
        </w:rPr>
        <w:t>,</w:t>
      </w:r>
      <w:r w:rsidR="0084630A">
        <w:rPr>
          <w:sz w:val="24"/>
          <w:szCs w:val="24"/>
        </w:rPr>
        <w:t xml:space="preserve"> </w:t>
      </w:r>
      <w:r w:rsidR="003B02AD" w:rsidRPr="008F623A">
        <w:rPr>
          <w:sz w:val="24"/>
          <w:szCs w:val="24"/>
        </w:rPr>
        <w:t>that unless the employee could prove that the employer had not suffered a loss the employee would be liable for the full amount of the loss.</w:t>
      </w:r>
      <w:r w:rsidRPr="008F623A">
        <w:rPr>
          <w:sz w:val="24"/>
          <w:szCs w:val="24"/>
        </w:rPr>
        <w:t xml:space="preserve"> </w:t>
      </w:r>
      <w:r w:rsidR="003B02AD" w:rsidRPr="008F623A">
        <w:rPr>
          <w:sz w:val="24"/>
          <w:szCs w:val="24"/>
        </w:rPr>
        <w:t xml:space="preserve">The contention made by Mr Roux was that the common law allowed for the claim as general damages constituted an unfair labour practice. The basis for such claim was similarly based </w:t>
      </w:r>
      <w:r w:rsidR="00A3641D">
        <w:rPr>
          <w:sz w:val="24"/>
          <w:szCs w:val="24"/>
        </w:rPr>
        <w:t xml:space="preserve">to </w:t>
      </w:r>
      <w:r w:rsidR="003B02AD" w:rsidRPr="008F623A">
        <w:rPr>
          <w:sz w:val="24"/>
          <w:szCs w:val="24"/>
        </w:rPr>
        <w:t xml:space="preserve">that in respect of the arbitrary deprivation of property </w:t>
      </w:r>
      <w:r w:rsidR="001116C9">
        <w:rPr>
          <w:sz w:val="24"/>
          <w:szCs w:val="24"/>
        </w:rPr>
        <w:t xml:space="preserve">on the issues of the onus and </w:t>
      </w:r>
      <w:r w:rsidR="003B02AD" w:rsidRPr="008F623A">
        <w:rPr>
          <w:sz w:val="24"/>
          <w:szCs w:val="24"/>
        </w:rPr>
        <w:t>relat</w:t>
      </w:r>
      <w:r w:rsidR="001116C9">
        <w:rPr>
          <w:sz w:val="24"/>
          <w:szCs w:val="24"/>
        </w:rPr>
        <w:t>ed</w:t>
      </w:r>
      <w:r w:rsidR="003B02AD" w:rsidRPr="008F623A">
        <w:rPr>
          <w:sz w:val="24"/>
          <w:szCs w:val="24"/>
        </w:rPr>
        <w:t xml:space="preserve"> to the </w:t>
      </w:r>
      <w:r w:rsidR="001116C9">
        <w:rPr>
          <w:sz w:val="24"/>
          <w:szCs w:val="24"/>
        </w:rPr>
        <w:t xml:space="preserve">alleged </w:t>
      </w:r>
      <w:r w:rsidR="003B02AD" w:rsidRPr="008F623A">
        <w:rPr>
          <w:sz w:val="24"/>
          <w:szCs w:val="24"/>
        </w:rPr>
        <w:t>risk of a double benefit, the inability of an employee to prove a benefit</w:t>
      </w:r>
      <w:r w:rsidR="00C11280">
        <w:rPr>
          <w:sz w:val="24"/>
          <w:szCs w:val="24"/>
        </w:rPr>
        <w:t>,</w:t>
      </w:r>
      <w:r w:rsidR="003B02AD" w:rsidRPr="008F623A">
        <w:rPr>
          <w:sz w:val="24"/>
          <w:szCs w:val="24"/>
        </w:rPr>
        <w:t xml:space="preserve"> </w:t>
      </w:r>
      <w:r w:rsidR="00C11280">
        <w:rPr>
          <w:sz w:val="24"/>
          <w:szCs w:val="24"/>
        </w:rPr>
        <w:t xml:space="preserve">and </w:t>
      </w:r>
      <w:r w:rsidR="003B02AD" w:rsidRPr="008F623A">
        <w:rPr>
          <w:sz w:val="24"/>
          <w:szCs w:val="24"/>
        </w:rPr>
        <w:t xml:space="preserve">that </w:t>
      </w:r>
      <w:r w:rsidR="00C11280">
        <w:rPr>
          <w:sz w:val="24"/>
          <w:szCs w:val="24"/>
        </w:rPr>
        <w:t xml:space="preserve">of </w:t>
      </w:r>
      <w:r w:rsidR="005026A9">
        <w:rPr>
          <w:sz w:val="24"/>
          <w:szCs w:val="24"/>
        </w:rPr>
        <w:t>an</w:t>
      </w:r>
      <w:r w:rsidR="003B02AD" w:rsidRPr="008F623A">
        <w:rPr>
          <w:sz w:val="24"/>
          <w:szCs w:val="24"/>
        </w:rPr>
        <w:t xml:space="preserve"> ongoing relationship</w:t>
      </w:r>
      <w:r w:rsidRPr="008F623A">
        <w:rPr>
          <w:sz w:val="24"/>
          <w:szCs w:val="24"/>
        </w:rPr>
        <w:t xml:space="preserve"> between employer and employee.</w:t>
      </w:r>
      <w:r w:rsidR="0084630A">
        <w:rPr>
          <w:sz w:val="24"/>
          <w:szCs w:val="24"/>
        </w:rPr>
        <w:t xml:space="preserve"> </w:t>
      </w:r>
      <w:r w:rsidR="005026A9">
        <w:rPr>
          <w:sz w:val="24"/>
          <w:szCs w:val="24"/>
        </w:rPr>
        <w:t>It needs no repetition that the</w:t>
      </w:r>
      <w:r w:rsidR="00C11280">
        <w:rPr>
          <w:sz w:val="24"/>
          <w:szCs w:val="24"/>
        </w:rPr>
        <w:t>se</w:t>
      </w:r>
      <w:r w:rsidR="005026A9">
        <w:rPr>
          <w:sz w:val="24"/>
          <w:szCs w:val="24"/>
        </w:rPr>
        <w:t xml:space="preserve"> claims in the context of Mr Roux`s </w:t>
      </w:r>
      <w:r w:rsidR="005026A9">
        <w:rPr>
          <w:sz w:val="24"/>
          <w:szCs w:val="24"/>
        </w:rPr>
        <w:lastRenderedPageBreak/>
        <w:t>circumstance was without any merit.</w:t>
      </w:r>
      <w:r w:rsidR="003B02AD" w:rsidRPr="008F623A">
        <w:rPr>
          <w:sz w:val="24"/>
          <w:szCs w:val="24"/>
        </w:rPr>
        <w:t xml:space="preserve"> Reliance was placed </w:t>
      </w:r>
      <w:r w:rsidRPr="008F623A">
        <w:rPr>
          <w:rFonts w:eastAsia="Calibri" w:cs="Times New Roman"/>
          <w:i/>
          <w:sz w:val="24"/>
          <w:szCs w:val="24"/>
          <w:lang w:eastAsia="en-US"/>
        </w:rPr>
        <w:t>Pretorius and Another v Transport Pension Fund and Another</w:t>
      </w:r>
      <w:r w:rsidRPr="008F623A">
        <w:rPr>
          <w:rFonts w:eastAsia="Calibri" w:cs="Times New Roman"/>
          <w:b/>
          <w:i/>
          <w:sz w:val="24"/>
          <w:szCs w:val="24"/>
          <w:lang w:eastAsia="en-US"/>
        </w:rPr>
        <w:t xml:space="preserve"> </w:t>
      </w:r>
      <w:r w:rsidRPr="008F623A">
        <w:rPr>
          <w:rFonts w:eastAsia="Calibri" w:cs="Times New Roman"/>
          <w:sz w:val="24"/>
          <w:szCs w:val="24"/>
          <w:lang w:eastAsia="en-US"/>
        </w:rPr>
        <w:t>[2018] ZACC 10; 2018 (7) BCLR 838 (CC); 2019 (2) SA 37 (CC)</w:t>
      </w:r>
      <w:r w:rsidR="00A3641D">
        <w:rPr>
          <w:rFonts w:eastAsia="Calibri" w:cs="Times New Roman"/>
          <w:sz w:val="24"/>
          <w:szCs w:val="24"/>
          <w:lang w:eastAsia="en-US"/>
        </w:rPr>
        <w:t xml:space="preserve">. That matter </w:t>
      </w:r>
      <w:r w:rsidR="003B02AD" w:rsidRPr="008F623A">
        <w:rPr>
          <w:sz w:val="24"/>
          <w:szCs w:val="24"/>
        </w:rPr>
        <w:t>was distinguishable</w:t>
      </w:r>
      <w:r w:rsidR="005026A9">
        <w:rPr>
          <w:sz w:val="24"/>
          <w:szCs w:val="24"/>
        </w:rPr>
        <w:t xml:space="preserve"> as</w:t>
      </w:r>
      <w:r w:rsidR="003B02AD" w:rsidRPr="008F623A">
        <w:rPr>
          <w:sz w:val="24"/>
          <w:szCs w:val="24"/>
        </w:rPr>
        <w:t xml:space="preserve"> </w:t>
      </w:r>
      <w:r w:rsidR="00A3641D">
        <w:rPr>
          <w:sz w:val="24"/>
          <w:szCs w:val="24"/>
        </w:rPr>
        <w:t xml:space="preserve">it </w:t>
      </w:r>
      <w:r w:rsidR="003B02AD" w:rsidRPr="008F623A">
        <w:rPr>
          <w:sz w:val="24"/>
          <w:szCs w:val="24"/>
        </w:rPr>
        <w:t xml:space="preserve">dealt with a financial promise made to employees and was decided </w:t>
      </w:r>
      <w:r w:rsidR="00A3641D">
        <w:rPr>
          <w:sz w:val="24"/>
          <w:szCs w:val="24"/>
        </w:rPr>
        <w:t xml:space="preserve">on </w:t>
      </w:r>
      <w:r w:rsidR="003B02AD" w:rsidRPr="008F623A">
        <w:rPr>
          <w:sz w:val="24"/>
          <w:szCs w:val="24"/>
        </w:rPr>
        <w:t>only at the stage of exception.</w:t>
      </w:r>
      <w:r>
        <w:rPr>
          <w:sz w:val="24"/>
          <w:szCs w:val="24"/>
        </w:rPr>
        <w:t xml:space="preserve"> </w:t>
      </w:r>
      <w:r w:rsidR="003B02AD" w:rsidRPr="008F623A">
        <w:rPr>
          <w:sz w:val="24"/>
          <w:szCs w:val="24"/>
        </w:rPr>
        <w:t>In my view</w:t>
      </w:r>
      <w:r>
        <w:rPr>
          <w:sz w:val="24"/>
          <w:szCs w:val="24"/>
        </w:rPr>
        <w:t>,</w:t>
      </w:r>
      <w:r w:rsidR="003B02AD" w:rsidRPr="008F623A">
        <w:rPr>
          <w:sz w:val="24"/>
          <w:szCs w:val="24"/>
        </w:rPr>
        <w:t xml:space="preserve"> an unfair labour practice was hardly implicated in the circumstances of Mr Roux.</w:t>
      </w:r>
      <w:r>
        <w:rPr>
          <w:sz w:val="24"/>
          <w:szCs w:val="24"/>
        </w:rPr>
        <w:t xml:space="preserve"> </w:t>
      </w:r>
      <w:r w:rsidR="003B02AD" w:rsidRPr="008F623A">
        <w:rPr>
          <w:sz w:val="24"/>
          <w:szCs w:val="24"/>
        </w:rPr>
        <w:t>As with the claim of an arbitrary deprivation of property,</w:t>
      </w:r>
      <w:r w:rsidR="00A53E38">
        <w:rPr>
          <w:sz w:val="24"/>
          <w:szCs w:val="24"/>
        </w:rPr>
        <w:t xml:space="preserve"> </w:t>
      </w:r>
      <w:r w:rsidR="00A3641D">
        <w:rPr>
          <w:sz w:val="24"/>
          <w:szCs w:val="24"/>
        </w:rPr>
        <w:t>o</w:t>
      </w:r>
      <w:r w:rsidR="003B02AD" w:rsidRPr="008F623A">
        <w:rPr>
          <w:sz w:val="24"/>
          <w:szCs w:val="24"/>
        </w:rPr>
        <w:t>n the facts of this matter and the pleaded case of Mr Roux I am unable to find that the arbitrators had misconceived the nature of the inquiry</w:t>
      </w:r>
      <w:r w:rsidR="005026A9">
        <w:rPr>
          <w:sz w:val="24"/>
          <w:szCs w:val="24"/>
        </w:rPr>
        <w:t xml:space="preserve"> by simply having failed to consider the development of the common law</w:t>
      </w:r>
      <w:r w:rsidR="003B02AD" w:rsidRPr="008F623A">
        <w:rPr>
          <w:sz w:val="24"/>
          <w:szCs w:val="24"/>
        </w:rPr>
        <w:t xml:space="preserve"> </w:t>
      </w:r>
      <w:r w:rsidR="003926BE">
        <w:rPr>
          <w:sz w:val="24"/>
          <w:szCs w:val="24"/>
        </w:rPr>
        <w:t xml:space="preserve">which </w:t>
      </w:r>
      <w:r w:rsidR="003B02AD" w:rsidRPr="008F623A">
        <w:rPr>
          <w:sz w:val="24"/>
          <w:szCs w:val="24"/>
        </w:rPr>
        <w:t>resulted in a</w:t>
      </w:r>
      <w:r w:rsidR="005026A9">
        <w:rPr>
          <w:sz w:val="24"/>
          <w:szCs w:val="24"/>
        </w:rPr>
        <w:t>ny</w:t>
      </w:r>
      <w:r w:rsidR="003B02AD" w:rsidRPr="008F623A">
        <w:rPr>
          <w:sz w:val="24"/>
          <w:szCs w:val="24"/>
        </w:rPr>
        <w:t xml:space="preserve"> gross irregularity.</w:t>
      </w:r>
    </w:p>
    <w:p w14:paraId="2CEF8761" w14:textId="762A75C8" w:rsidR="003B02AD" w:rsidRDefault="003B02AD" w:rsidP="003B02AD">
      <w:pPr>
        <w:spacing w:after="480" w:line="360" w:lineRule="auto"/>
        <w:jc w:val="both"/>
      </w:pPr>
    </w:p>
    <w:p w14:paraId="4B383B2B" w14:textId="77777777" w:rsidR="009B6E22" w:rsidRPr="00FB222E" w:rsidRDefault="009B6E22" w:rsidP="009B6E22">
      <w:pPr>
        <w:pStyle w:val="FootnoteText"/>
        <w:spacing w:line="360" w:lineRule="auto"/>
        <w:jc w:val="both"/>
        <w:rPr>
          <w:b/>
          <w:sz w:val="24"/>
          <w:szCs w:val="24"/>
          <w:lang w:val="en-GB"/>
        </w:rPr>
      </w:pPr>
      <w:r w:rsidRPr="00FB222E">
        <w:rPr>
          <w:rFonts w:eastAsia="Calibri" w:cs="Times New Roman"/>
          <w:b/>
          <w:sz w:val="24"/>
          <w:szCs w:val="24"/>
          <w:lang w:val="en-GB" w:eastAsia="en-US"/>
        </w:rPr>
        <w:t>THE EXTENTION OF THE SIX WEEK PERIODS</w:t>
      </w:r>
      <w:r>
        <w:rPr>
          <w:rFonts w:eastAsia="Calibri" w:cs="Times New Roman"/>
          <w:b/>
          <w:sz w:val="24"/>
          <w:szCs w:val="24"/>
          <w:lang w:val="en-GB" w:eastAsia="en-US"/>
        </w:rPr>
        <w:t xml:space="preserve"> AND THE CLAIM OF THE APPLICANT’S ACQUIESSENCE AND AWARDS</w:t>
      </w:r>
    </w:p>
    <w:p w14:paraId="4742CEB1" w14:textId="77777777" w:rsidR="009B6E22" w:rsidRDefault="009B6E22" w:rsidP="009B6E22">
      <w:pPr>
        <w:pStyle w:val="FootnoteText"/>
        <w:spacing w:line="360" w:lineRule="auto"/>
        <w:jc w:val="both"/>
        <w:rPr>
          <w:rFonts w:eastAsia="Calibri"/>
          <w:sz w:val="24"/>
          <w:szCs w:val="24"/>
          <w:lang w:val="en-US" w:eastAsia="en-US"/>
        </w:rPr>
      </w:pPr>
    </w:p>
    <w:p w14:paraId="69002F9E" w14:textId="60E83C13" w:rsidR="009B6E22" w:rsidRDefault="00A3641D" w:rsidP="009B6E22">
      <w:pPr>
        <w:pStyle w:val="FootnoteText"/>
        <w:spacing w:line="360" w:lineRule="auto"/>
        <w:ind w:left="720" w:hanging="720"/>
        <w:jc w:val="both"/>
        <w:rPr>
          <w:rFonts w:eastAsia="Calibri"/>
          <w:sz w:val="24"/>
          <w:szCs w:val="24"/>
          <w:lang w:val="en-US" w:eastAsia="en-US"/>
        </w:rPr>
      </w:pPr>
      <w:r>
        <w:rPr>
          <w:rFonts w:eastAsia="Calibri"/>
          <w:sz w:val="24"/>
          <w:szCs w:val="24"/>
          <w:lang w:val="en-US" w:eastAsia="en-US"/>
        </w:rPr>
        <w:t>[</w:t>
      </w:r>
      <w:r w:rsidR="005D1308">
        <w:rPr>
          <w:rFonts w:eastAsia="Calibri"/>
          <w:sz w:val="24"/>
          <w:szCs w:val="24"/>
          <w:lang w:val="en-US" w:eastAsia="en-US"/>
        </w:rPr>
        <w:t>9</w:t>
      </w:r>
      <w:r w:rsidR="000B734A">
        <w:rPr>
          <w:rFonts w:eastAsia="Calibri"/>
          <w:sz w:val="24"/>
          <w:szCs w:val="24"/>
          <w:lang w:val="en-US" w:eastAsia="en-US"/>
        </w:rPr>
        <w:t>1</w:t>
      </w:r>
      <w:r w:rsidR="009B6E22">
        <w:rPr>
          <w:rFonts w:eastAsia="Calibri"/>
          <w:sz w:val="24"/>
          <w:szCs w:val="24"/>
          <w:lang w:val="en-US" w:eastAsia="en-US"/>
        </w:rPr>
        <w:t>]</w:t>
      </w:r>
      <w:r w:rsidR="009B6E22">
        <w:rPr>
          <w:rFonts w:eastAsia="Calibri"/>
          <w:sz w:val="24"/>
          <w:szCs w:val="24"/>
          <w:lang w:val="en-US" w:eastAsia="en-US"/>
        </w:rPr>
        <w:tab/>
        <w:t xml:space="preserve">In the light of the strength of the University’s opposition to the grounds of attack on the </w:t>
      </w:r>
      <w:r>
        <w:rPr>
          <w:rFonts w:eastAsia="Calibri"/>
          <w:sz w:val="24"/>
          <w:szCs w:val="24"/>
          <w:lang w:val="en-US" w:eastAsia="en-US"/>
        </w:rPr>
        <w:t>findings by the arbitrator</w:t>
      </w:r>
      <w:r w:rsidR="005026A9">
        <w:rPr>
          <w:rFonts w:eastAsia="Calibri"/>
          <w:sz w:val="24"/>
          <w:szCs w:val="24"/>
          <w:lang w:val="en-US" w:eastAsia="en-US"/>
        </w:rPr>
        <w:t>s</w:t>
      </w:r>
      <w:r w:rsidR="009B6E22">
        <w:rPr>
          <w:rFonts w:eastAsia="Calibri"/>
          <w:sz w:val="24"/>
          <w:szCs w:val="24"/>
          <w:lang w:val="en-US" w:eastAsia="en-US"/>
        </w:rPr>
        <w:t xml:space="preserve"> </w:t>
      </w:r>
      <w:r>
        <w:rPr>
          <w:rFonts w:eastAsia="Calibri"/>
          <w:sz w:val="24"/>
          <w:szCs w:val="24"/>
          <w:lang w:val="en-US" w:eastAsia="en-US"/>
        </w:rPr>
        <w:t>a</w:t>
      </w:r>
      <w:r w:rsidR="009B6E22">
        <w:rPr>
          <w:rFonts w:eastAsia="Calibri"/>
          <w:sz w:val="24"/>
          <w:szCs w:val="24"/>
          <w:lang w:val="en-US" w:eastAsia="en-US"/>
        </w:rPr>
        <w:t xml:space="preserve">gainst Mr Roux, I do not intend to deal in any detail with the remaining points in limine. In respect of Mr Roux’s failure to bring the proceedings under 33(1) within the six week period after the ruling of the </w:t>
      </w:r>
      <w:r w:rsidR="00703406">
        <w:rPr>
          <w:rFonts w:eastAsia="Calibri"/>
          <w:sz w:val="24"/>
          <w:szCs w:val="24"/>
          <w:lang w:val="en-US" w:eastAsia="en-US"/>
        </w:rPr>
        <w:t>I</w:t>
      </w:r>
      <w:r w:rsidR="009B6E22">
        <w:rPr>
          <w:rFonts w:eastAsia="Calibri"/>
          <w:sz w:val="24"/>
          <w:szCs w:val="24"/>
          <w:lang w:val="en-US" w:eastAsia="en-US"/>
        </w:rPr>
        <w:t xml:space="preserve">nitial </w:t>
      </w:r>
      <w:r w:rsidR="00703406">
        <w:rPr>
          <w:rFonts w:eastAsia="Calibri"/>
          <w:sz w:val="24"/>
          <w:szCs w:val="24"/>
          <w:lang w:val="en-US" w:eastAsia="en-US"/>
        </w:rPr>
        <w:t>A</w:t>
      </w:r>
      <w:r w:rsidR="009B6E22">
        <w:rPr>
          <w:rFonts w:eastAsia="Calibri"/>
          <w:sz w:val="24"/>
          <w:szCs w:val="24"/>
          <w:lang w:val="en-US" w:eastAsia="en-US"/>
        </w:rPr>
        <w:t>rbitrator</w:t>
      </w:r>
      <w:r>
        <w:rPr>
          <w:rFonts w:eastAsia="Calibri"/>
          <w:sz w:val="24"/>
          <w:szCs w:val="24"/>
          <w:lang w:val="en-US" w:eastAsia="en-US"/>
        </w:rPr>
        <w:t xml:space="preserve">, Mr Roux </w:t>
      </w:r>
      <w:r w:rsidR="009B6E22">
        <w:rPr>
          <w:rFonts w:eastAsia="Calibri"/>
          <w:sz w:val="24"/>
          <w:szCs w:val="24"/>
          <w:lang w:val="en-US" w:eastAsia="en-US"/>
        </w:rPr>
        <w:t xml:space="preserve">proffered </w:t>
      </w:r>
      <w:r>
        <w:rPr>
          <w:rFonts w:eastAsia="Calibri"/>
          <w:sz w:val="24"/>
          <w:szCs w:val="24"/>
          <w:lang w:val="en-US" w:eastAsia="en-US"/>
        </w:rPr>
        <w:t xml:space="preserve">the reason that </w:t>
      </w:r>
      <w:r w:rsidR="009B6E22">
        <w:rPr>
          <w:rFonts w:eastAsia="Calibri"/>
          <w:sz w:val="24"/>
          <w:szCs w:val="24"/>
          <w:lang w:val="en-US" w:eastAsia="en-US"/>
        </w:rPr>
        <w:t>the University should</w:t>
      </w:r>
      <w:r w:rsidR="005026A9">
        <w:rPr>
          <w:rFonts w:eastAsia="Calibri"/>
          <w:sz w:val="24"/>
          <w:szCs w:val="24"/>
          <w:lang w:val="en-US" w:eastAsia="en-US"/>
        </w:rPr>
        <w:t xml:space="preserve"> have</w:t>
      </w:r>
      <w:r w:rsidR="009B6E22">
        <w:rPr>
          <w:rFonts w:eastAsia="Calibri"/>
          <w:sz w:val="24"/>
          <w:szCs w:val="24"/>
          <w:lang w:val="en-US" w:eastAsia="en-US"/>
        </w:rPr>
        <w:t xml:space="preserve"> consider</w:t>
      </w:r>
      <w:r w:rsidR="005026A9">
        <w:rPr>
          <w:rFonts w:eastAsia="Calibri"/>
          <w:sz w:val="24"/>
          <w:szCs w:val="24"/>
          <w:lang w:val="en-US" w:eastAsia="en-US"/>
        </w:rPr>
        <w:t>ed</w:t>
      </w:r>
      <w:r w:rsidR="009B6E22">
        <w:rPr>
          <w:rFonts w:eastAsia="Calibri"/>
          <w:sz w:val="24"/>
          <w:szCs w:val="24"/>
          <w:lang w:val="en-US" w:eastAsia="en-US"/>
        </w:rPr>
        <w:t xml:space="preserve"> the </w:t>
      </w:r>
      <w:r>
        <w:rPr>
          <w:rFonts w:eastAsia="Calibri"/>
          <w:sz w:val="24"/>
          <w:szCs w:val="24"/>
          <w:lang w:val="en-US" w:eastAsia="en-US"/>
        </w:rPr>
        <w:t>A</w:t>
      </w:r>
      <w:r w:rsidR="009B6E22">
        <w:rPr>
          <w:rFonts w:eastAsia="Calibri"/>
          <w:sz w:val="24"/>
          <w:szCs w:val="24"/>
          <w:lang w:val="en-US" w:eastAsia="en-US"/>
        </w:rPr>
        <w:t xml:space="preserve">rbitration </w:t>
      </w:r>
      <w:r>
        <w:rPr>
          <w:rFonts w:eastAsia="Calibri"/>
          <w:sz w:val="24"/>
          <w:szCs w:val="24"/>
          <w:lang w:val="en-US" w:eastAsia="en-US"/>
        </w:rPr>
        <w:t>A</w:t>
      </w:r>
      <w:r w:rsidR="009B6E22">
        <w:rPr>
          <w:rFonts w:eastAsia="Calibri"/>
          <w:sz w:val="24"/>
          <w:szCs w:val="24"/>
          <w:lang w:val="en-US" w:eastAsia="en-US"/>
        </w:rPr>
        <w:t xml:space="preserve">greement which entitled him to an automatic right of appeal. Counsel for the University pointed out that the proceedings under section 33 (1) arose within the parameters of the Act while </w:t>
      </w:r>
      <w:r>
        <w:rPr>
          <w:rFonts w:eastAsia="Calibri"/>
          <w:sz w:val="24"/>
          <w:szCs w:val="24"/>
          <w:lang w:val="en-US" w:eastAsia="en-US"/>
        </w:rPr>
        <w:t xml:space="preserve">the </w:t>
      </w:r>
      <w:r w:rsidR="009B6E22">
        <w:rPr>
          <w:rFonts w:eastAsia="Calibri"/>
          <w:sz w:val="24"/>
          <w:szCs w:val="24"/>
          <w:lang w:val="en-US" w:eastAsia="en-US"/>
        </w:rPr>
        <w:t xml:space="preserve">automatic right of appeal arose within the context of the </w:t>
      </w:r>
      <w:r>
        <w:rPr>
          <w:rFonts w:eastAsia="Calibri"/>
          <w:sz w:val="24"/>
          <w:szCs w:val="24"/>
          <w:lang w:val="en-US" w:eastAsia="en-US"/>
        </w:rPr>
        <w:t>A</w:t>
      </w:r>
      <w:r w:rsidR="009B6E22">
        <w:rPr>
          <w:rFonts w:eastAsia="Calibri"/>
          <w:sz w:val="24"/>
          <w:szCs w:val="24"/>
          <w:lang w:val="en-US" w:eastAsia="en-US"/>
        </w:rPr>
        <w:t xml:space="preserve">rbitration </w:t>
      </w:r>
      <w:r>
        <w:rPr>
          <w:rFonts w:eastAsia="Calibri"/>
          <w:sz w:val="24"/>
          <w:szCs w:val="24"/>
          <w:lang w:val="en-US" w:eastAsia="en-US"/>
        </w:rPr>
        <w:t>A</w:t>
      </w:r>
      <w:r w:rsidR="009B6E22">
        <w:rPr>
          <w:rFonts w:eastAsia="Calibri"/>
          <w:sz w:val="24"/>
          <w:szCs w:val="24"/>
          <w:lang w:val="en-US" w:eastAsia="en-US"/>
        </w:rPr>
        <w:t xml:space="preserve">greement entered between the parties. The University contended </w:t>
      </w:r>
      <w:r>
        <w:rPr>
          <w:rFonts w:eastAsia="Calibri"/>
          <w:sz w:val="24"/>
          <w:szCs w:val="24"/>
          <w:lang w:val="en-US" w:eastAsia="en-US"/>
        </w:rPr>
        <w:t xml:space="preserve">that it </w:t>
      </w:r>
      <w:r w:rsidR="009B6E22">
        <w:rPr>
          <w:rFonts w:eastAsia="Calibri"/>
          <w:sz w:val="24"/>
          <w:szCs w:val="24"/>
          <w:lang w:val="en-US" w:eastAsia="en-US"/>
        </w:rPr>
        <w:t xml:space="preserve">was simply not good enough for Mr Roux to have adopted an almost dismissive attitude in referring the University to the arbitration agreement as an explanation for his failure to have timeously brought his section 33(1) challenge. However, as indicated during the course of the proceedings and the reasons given by Mr Roux for </w:t>
      </w:r>
      <w:r>
        <w:rPr>
          <w:rFonts w:eastAsia="Calibri"/>
          <w:sz w:val="24"/>
          <w:szCs w:val="24"/>
          <w:lang w:val="en-US" w:eastAsia="en-US"/>
        </w:rPr>
        <w:t xml:space="preserve">also </w:t>
      </w:r>
      <w:r w:rsidR="009B6E22">
        <w:rPr>
          <w:rFonts w:eastAsia="Calibri"/>
          <w:sz w:val="24"/>
          <w:szCs w:val="24"/>
          <w:lang w:val="en-US" w:eastAsia="en-US"/>
        </w:rPr>
        <w:t xml:space="preserve">not having brought application timeously after the </w:t>
      </w:r>
      <w:r>
        <w:rPr>
          <w:rFonts w:eastAsia="Calibri"/>
          <w:sz w:val="24"/>
          <w:szCs w:val="24"/>
          <w:lang w:val="en-US" w:eastAsia="en-US"/>
        </w:rPr>
        <w:t xml:space="preserve">award of the </w:t>
      </w:r>
      <w:r w:rsidR="00137067">
        <w:rPr>
          <w:rFonts w:eastAsia="Calibri"/>
          <w:sz w:val="24"/>
          <w:szCs w:val="24"/>
          <w:lang w:val="en-US" w:eastAsia="en-US"/>
        </w:rPr>
        <w:t>A</w:t>
      </w:r>
      <w:r w:rsidR="009B6E22">
        <w:rPr>
          <w:rFonts w:eastAsia="Calibri"/>
          <w:sz w:val="24"/>
          <w:szCs w:val="24"/>
          <w:lang w:val="en-US" w:eastAsia="en-US"/>
        </w:rPr>
        <w:t xml:space="preserve">ppeal </w:t>
      </w:r>
      <w:r w:rsidR="00137067">
        <w:rPr>
          <w:rFonts w:eastAsia="Calibri"/>
          <w:sz w:val="24"/>
          <w:szCs w:val="24"/>
          <w:lang w:val="en-US" w:eastAsia="en-US"/>
        </w:rPr>
        <w:t>T</w:t>
      </w:r>
      <w:r w:rsidR="009B6E22">
        <w:rPr>
          <w:rFonts w:eastAsia="Calibri"/>
          <w:sz w:val="24"/>
          <w:szCs w:val="24"/>
          <w:lang w:val="en-US" w:eastAsia="en-US"/>
        </w:rPr>
        <w:t>ribunal I was</w:t>
      </w:r>
      <w:r w:rsidR="005026A9">
        <w:rPr>
          <w:rFonts w:eastAsia="Calibri"/>
          <w:sz w:val="24"/>
          <w:szCs w:val="24"/>
          <w:lang w:val="en-US" w:eastAsia="en-US"/>
        </w:rPr>
        <w:t xml:space="preserve"> sympathetically </w:t>
      </w:r>
      <w:r w:rsidR="009B6E22">
        <w:rPr>
          <w:rFonts w:eastAsia="Calibri"/>
          <w:sz w:val="24"/>
          <w:szCs w:val="24"/>
          <w:lang w:val="en-US" w:eastAsia="en-US"/>
        </w:rPr>
        <w:t xml:space="preserve">inclined to condone the lateness of the application. I was mindful that Mr Roux in respect of the late challenge to the </w:t>
      </w:r>
      <w:r w:rsidR="00137067">
        <w:rPr>
          <w:rFonts w:eastAsia="Calibri"/>
          <w:sz w:val="24"/>
          <w:szCs w:val="24"/>
          <w:lang w:val="en-US" w:eastAsia="en-US"/>
        </w:rPr>
        <w:t>I</w:t>
      </w:r>
      <w:r w:rsidR="009B6E22">
        <w:rPr>
          <w:rFonts w:eastAsia="Calibri"/>
          <w:sz w:val="24"/>
          <w:szCs w:val="24"/>
          <w:lang w:val="en-US" w:eastAsia="en-US"/>
        </w:rPr>
        <w:t xml:space="preserve">nitial </w:t>
      </w:r>
      <w:r w:rsidR="00137067">
        <w:rPr>
          <w:rFonts w:eastAsia="Calibri"/>
          <w:sz w:val="24"/>
          <w:szCs w:val="24"/>
          <w:lang w:val="en-US" w:eastAsia="en-US"/>
        </w:rPr>
        <w:t>A</w:t>
      </w:r>
      <w:r w:rsidR="009B6E22">
        <w:rPr>
          <w:rFonts w:eastAsia="Calibri"/>
          <w:sz w:val="24"/>
          <w:szCs w:val="24"/>
          <w:lang w:val="en-US" w:eastAsia="en-US"/>
        </w:rPr>
        <w:t>rbitrator</w:t>
      </w:r>
      <w:r w:rsidR="002C14ED">
        <w:rPr>
          <w:rFonts w:eastAsia="Calibri"/>
          <w:sz w:val="24"/>
          <w:szCs w:val="24"/>
          <w:lang w:val="en-US" w:eastAsia="en-US"/>
        </w:rPr>
        <w:t>’</w:t>
      </w:r>
      <w:r w:rsidR="009B6E22">
        <w:rPr>
          <w:rFonts w:eastAsia="Calibri"/>
          <w:sz w:val="24"/>
          <w:szCs w:val="24"/>
          <w:lang w:val="en-US" w:eastAsia="en-US"/>
        </w:rPr>
        <w:t xml:space="preserve">s </w:t>
      </w:r>
      <w:r w:rsidR="009B6E22">
        <w:rPr>
          <w:rFonts w:eastAsia="Calibri"/>
          <w:sz w:val="24"/>
          <w:szCs w:val="24"/>
          <w:lang w:val="en-US" w:eastAsia="en-US"/>
        </w:rPr>
        <w:lastRenderedPageBreak/>
        <w:t>award had</w:t>
      </w:r>
      <w:r w:rsidR="005026A9">
        <w:rPr>
          <w:rFonts w:eastAsia="Calibri"/>
          <w:sz w:val="24"/>
          <w:szCs w:val="24"/>
          <w:lang w:val="en-US" w:eastAsia="en-US"/>
        </w:rPr>
        <w:t xml:space="preserve"> in all probability</w:t>
      </w:r>
      <w:r w:rsidR="009B6E22">
        <w:rPr>
          <w:rFonts w:eastAsia="Calibri"/>
          <w:sz w:val="24"/>
          <w:szCs w:val="24"/>
          <w:lang w:val="en-US" w:eastAsia="en-US"/>
        </w:rPr>
        <w:t xml:space="preserve"> been acting on the advice and assistance of his legal representatives. In respect of the short delay in bringing the award after the appeal tribunals award it appeared that he had been afflicted by Covid and other difficulties surrounding the December vacation period. The University also claimed that Mr Roux had acquiesced in the awards of the arbitrators. In that regard they referred to correspondence between his legal representative and that of the University in which a proposal was made for them to negotiate a payment plan of the award. It appeared from the replying affidavit that the reason why the proposals for a payment plan was made by Mr Roux was because of him having heard that there were threats to sequestrate him in the event that he was unable to </w:t>
      </w:r>
      <w:r w:rsidR="005F5E19">
        <w:rPr>
          <w:rFonts w:eastAsia="Calibri"/>
          <w:sz w:val="24"/>
          <w:szCs w:val="24"/>
          <w:lang w:val="en-US" w:eastAsia="en-US"/>
        </w:rPr>
        <w:t>meet</w:t>
      </w:r>
      <w:r w:rsidR="009B6E22">
        <w:rPr>
          <w:rFonts w:eastAsia="Calibri"/>
          <w:sz w:val="24"/>
          <w:szCs w:val="24"/>
          <w:lang w:val="en-US" w:eastAsia="en-US"/>
        </w:rPr>
        <w:t xml:space="preserve"> the awards. Rather interestingly, that issue</w:t>
      </w:r>
      <w:r w:rsidR="005F5E19">
        <w:rPr>
          <w:rFonts w:eastAsia="Calibri"/>
          <w:sz w:val="24"/>
          <w:szCs w:val="24"/>
          <w:lang w:val="en-US" w:eastAsia="en-US"/>
        </w:rPr>
        <w:t xml:space="preserve"> also </w:t>
      </w:r>
      <w:r w:rsidR="009B6E22">
        <w:rPr>
          <w:rFonts w:eastAsia="Calibri"/>
          <w:sz w:val="24"/>
          <w:szCs w:val="24"/>
          <w:lang w:val="en-US" w:eastAsia="en-US"/>
        </w:rPr>
        <w:t>arose</w:t>
      </w:r>
      <w:r w:rsidR="005F5E19">
        <w:rPr>
          <w:rFonts w:eastAsia="Calibri"/>
          <w:sz w:val="24"/>
          <w:szCs w:val="24"/>
          <w:lang w:val="en-US" w:eastAsia="en-US"/>
        </w:rPr>
        <w:t xml:space="preserve"> albeit in a different context with </w:t>
      </w:r>
      <w:r w:rsidR="009B6E22">
        <w:rPr>
          <w:rFonts w:eastAsia="Calibri"/>
          <w:sz w:val="24"/>
          <w:szCs w:val="24"/>
          <w:lang w:val="en-US" w:eastAsia="en-US"/>
        </w:rPr>
        <w:t xml:space="preserve">the abandoned point on limine in regard to </w:t>
      </w:r>
      <w:r w:rsidR="005F5E19">
        <w:rPr>
          <w:rFonts w:eastAsia="Calibri"/>
          <w:sz w:val="24"/>
          <w:szCs w:val="24"/>
          <w:lang w:val="en-US" w:eastAsia="en-US"/>
        </w:rPr>
        <w:t xml:space="preserve">the issue of </w:t>
      </w:r>
      <w:r w:rsidR="009B6E22">
        <w:rPr>
          <w:rFonts w:eastAsia="Calibri"/>
          <w:sz w:val="24"/>
          <w:szCs w:val="24"/>
          <w:lang w:val="en-US" w:eastAsia="en-US"/>
        </w:rPr>
        <w:t>compliance with Rule 41</w:t>
      </w:r>
      <w:r w:rsidR="005F5E19">
        <w:rPr>
          <w:rFonts w:eastAsia="Calibri"/>
          <w:sz w:val="24"/>
          <w:szCs w:val="24"/>
          <w:lang w:val="en-US" w:eastAsia="en-US"/>
        </w:rPr>
        <w:t>(A)</w:t>
      </w:r>
      <w:r w:rsidR="009B6E22">
        <w:rPr>
          <w:rFonts w:eastAsia="Calibri"/>
          <w:sz w:val="24"/>
          <w:szCs w:val="24"/>
          <w:lang w:val="en-US" w:eastAsia="en-US"/>
        </w:rPr>
        <w:t>.</w:t>
      </w:r>
    </w:p>
    <w:p w14:paraId="22A70D47" w14:textId="77777777" w:rsidR="00B365FD" w:rsidRDefault="00B365FD" w:rsidP="009B6E22">
      <w:pPr>
        <w:spacing w:after="480" w:line="360" w:lineRule="auto"/>
        <w:ind w:left="720" w:hanging="720"/>
        <w:jc w:val="both"/>
      </w:pPr>
    </w:p>
    <w:p w14:paraId="0DE5A6A8" w14:textId="2B3EA655" w:rsidR="009B6E22" w:rsidRDefault="00A3641D" w:rsidP="009B6E22">
      <w:pPr>
        <w:spacing w:after="480" w:line="360" w:lineRule="auto"/>
        <w:ind w:left="720" w:hanging="720"/>
        <w:jc w:val="both"/>
      </w:pPr>
      <w:r>
        <w:t>[9</w:t>
      </w:r>
      <w:r w:rsidR="000B734A">
        <w:t>2</w:t>
      </w:r>
      <w:r w:rsidR="009B6E22">
        <w:t>]</w:t>
      </w:r>
      <w:r w:rsidR="009B6E22">
        <w:tab/>
        <w:t>If anything th</w:t>
      </w:r>
      <w:r>
        <w:t>e</w:t>
      </w:r>
      <w:r w:rsidR="009B6E22">
        <w:t xml:space="preserve"> concern about his possible sequestration may in all probability have </w:t>
      </w:r>
      <w:r>
        <w:t xml:space="preserve">in </w:t>
      </w:r>
      <w:r w:rsidR="009B6E22">
        <w:t>part motiv</w:t>
      </w:r>
      <w:r>
        <w:t>ated</w:t>
      </w:r>
      <w:r w:rsidR="009B6E22">
        <w:t xml:space="preserve"> the il</w:t>
      </w:r>
      <w:r>
        <w:t>l-fated challenges against the award</w:t>
      </w:r>
      <w:r w:rsidR="005F5E19">
        <w:t>s by the arbitrators.</w:t>
      </w:r>
      <w:r w:rsidR="009B6E22">
        <w:t xml:space="preserve"> The University</w:t>
      </w:r>
      <w:r w:rsidR="004B4A16">
        <w:t>, however,</w:t>
      </w:r>
      <w:r w:rsidR="009B6E22">
        <w:t xml:space="preserve"> did not in argument</w:t>
      </w:r>
      <w:r w:rsidR="005F5E19">
        <w:t xml:space="preserve"> p</w:t>
      </w:r>
      <w:r w:rsidR="0084630A">
        <w:t>u</w:t>
      </w:r>
      <w:r w:rsidR="005F5E19">
        <w:t xml:space="preserve">rsue </w:t>
      </w:r>
      <w:r w:rsidR="009B6E22">
        <w:t xml:space="preserve">the issue of the of </w:t>
      </w:r>
      <w:r w:rsidR="003926BE">
        <w:t xml:space="preserve">the </w:t>
      </w:r>
      <w:r w:rsidR="009B6E22" w:rsidRPr="003926BE">
        <w:rPr>
          <w:i/>
        </w:rPr>
        <w:t>bona fides</w:t>
      </w:r>
      <w:r w:rsidR="009B6E22">
        <w:t xml:space="preserve"> of Mr Roux </w:t>
      </w:r>
      <w:r w:rsidR="005F5E19">
        <w:t xml:space="preserve">that it </w:t>
      </w:r>
      <w:r w:rsidR="009B6E22">
        <w:t xml:space="preserve">raised in </w:t>
      </w:r>
      <w:r w:rsidR="004B4A16">
        <w:t>its</w:t>
      </w:r>
      <w:r w:rsidR="009B6E22">
        <w:t xml:space="preserve"> answering affidavit. I therefore need say no more on it. However, mindful of the authorit</w:t>
      </w:r>
      <w:r w:rsidR="005F5E19">
        <w:t>y</w:t>
      </w:r>
      <w:r w:rsidR="004463D2">
        <w:rPr>
          <w:rStyle w:val="FootnoteReference"/>
        </w:rPr>
        <w:footnoteReference w:id="27"/>
      </w:r>
      <w:r w:rsidR="009B6E22">
        <w:t xml:space="preserve"> referred </w:t>
      </w:r>
      <w:r w:rsidR="009B6E22">
        <w:lastRenderedPageBreak/>
        <w:t xml:space="preserve">to by counsel </w:t>
      </w:r>
      <w:r w:rsidR="004B4A16">
        <w:t xml:space="preserve">for Mr Roux </w:t>
      </w:r>
      <w:r w:rsidR="009B6E22">
        <w:t>in respect of the issue on acquiescence</w:t>
      </w:r>
      <w:r w:rsidR="005F5E19">
        <w:t>,</w:t>
      </w:r>
      <w:r w:rsidR="004B4A16">
        <w:t xml:space="preserve"> </w:t>
      </w:r>
      <w:r w:rsidR="009B6E22">
        <w:t xml:space="preserve">I am prepared to accept that </w:t>
      </w:r>
      <w:r w:rsidR="005F5E19">
        <w:t xml:space="preserve">Mr Roux </w:t>
      </w:r>
      <w:r w:rsidR="009B6E22">
        <w:t xml:space="preserve">had not entirely acquiesced in the awards. </w:t>
      </w:r>
    </w:p>
    <w:p w14:paraId="3E3728AA" w14:textId="77777777" w:rsidR="009B6E22" w:rsidRDefault="009B6E22" w:rsidP="009B6E22">
      <w:pPr>
        <w:spacing w:after="480" w:line="360" w:lineRule="auto"/>
        <w:ind w:left="720" w:hanging="720"/>
        <w:jc w:val="both"/>
        <w:rPr>
          <w:b/>
        </w:rPr>
      </w:pPr>
      <w:r w:rsidRPr="004D2680">
        <w:rPr>
          <w:b/>
        </w:rPr>
        <w:t>COSTS</w:t>
      </w:r>
    </w:p>
    <w:p w14:paraId="651FCCFC" w14:textId="707B704D" w:rsidR="009B6E22" w:rsidRDefault="008549DA" w:rsidP="009B6E22">
      <w:pPr>
        <w:spacing w:after="480" w:line="360" w:lineRule="auto"/>
        <w:ind w:left="720" w:hanging="720"/>
        <w:jc w:val="both"/>
      </w:pPr>
      <w:r>
        <w:t>[9</w:t>
      </w:r>
      <w:r w:rsidR="000B734A">
        <w:t>3</w:t>
      </w:r>
      <w:r>
        <w:t>]</w:t>
      </w:r>
      <w:r>
        <w:tab/>
      </w:r>
      <w:r w:rsidR="009B6E22" w:rsidRPr="008549DA">
        <w:t>Counsel for Mr Roux accepted that</w:t>
      </w:r>
      <w:r w:rsidR="00D15EB7">
        <w:t xml:space="preserve">, if unsuccessful, </w:t>
      </w:r>
      <w:r w:rsidR="009B6E22" w:rsidRPr="008549DA">
        <w:t>costs should follow the course.</w:t>
      </w:r>
      <w:r>
        <w:t xml:space="preserve"> </w:t>
      </w:r>
      <w:r w:rsidR="009B6E22" w:rsidRPr="008549DA">
        <w:t>I see no reason to depart from that principle in this matter.</w:t>
      </w:r>
    </w:p>
    <w:p w14:paraId="7152C558" w14:textId="20A6B9B5" w:rsidR="00892662" w:rsidRPr="00892662" w:rsidRDefault="00892662" w:rsidP="009B6E22">
      <w:pPr>
        <w:spacing w:after="480" w:line="360" w:lineRule="auto"/>
        <w:ind w:left="720" w:hanging="720"/>
        <w:jc w:val="both"/>
        <w:rPr>
          <w:b/>
        </w:rPr>
      </w:pPr>
      <w:r w:rsidRPr="00892662">
        <w:rPr>
          <w:b/>
        </w:rPr>
        <w:t>ORDER</w:t>
      </w:r>
    </w:p>
    <w:p w14:paraId="1007C77A" w14:textId="21A88307" w:rsidR="009B6E22" w:rsidRDefault="004B4A16" w:rsidP="009B6E22">
      <w:pPr>
        <w:spacing w:after="480" w:line="360" w:lineRule="auto"/>
        <w:ind w:left="720" w:hanging="720"/>
        <w:jc w:val="both"/>
      </w:pPr>
      <w:r>
        <w:t>[9</w:t>
      </w:r>
      <w:r w:rsidR="000B734A">
        <w:t>4</w:t>
      </w:r>
      <w:r w:rsidR="0062301D">
        <w:t>]</w:t>
      </w:r>
      <w:r w:rsidR="0062301D">
        <w:tab/>
      </w:r>
      <w:r w:rsidR="009B6E22">
        <w:t xml:space="preserve">In the result the following </w:t>
      </w:r>
      <w:r w:rsidR="003926BE">
        <w:t>O</w:t>
      </w:r>
      <w:r w:rsidR="009B6E22">
        <w:t>rder is made:</w:t>
      </w:r>
    </w:p>
    <w:p w14:paraId="157C4454" w14:textId="77777777" w:rsidR="009B6E22" w:rsidRDefault="009B6E22" w:rsidP="009B6E22">
      <w:pPr>
        <w:spacing w:after="480" w:line="360" w:lineRule="auto"/>
        <w:ind w:left="720" w:hanging="720"/>
        <w:jc w:val="both"/>
      </w:pPr>
      <w:r>
        <w:tab/>
        <w:t>1.</w:t>
      </w:r>
      <w:r>
        <w:tab/>
        <w:t>In the matter under case number 6577/2022:</w:t>
      </w:r>
    </w:p>
    <w:p w14:paraId="5B55F60C" w14:textId="3AC53033" w:rsidR="009B6E22" w:rsidRDefault="009B6E22" w:rsidP="009B6E22">
      <w:pPr>
        <w:spacing w:after="480" w:line="360" w:lineRule="auto"/>
        <w:ind w:left="2160" w:hanging="720"/>
        <w:jc w:val="both"/>
      </w:pPr>
      <w:r>
        <w:t>1.</w:t>
      </w:r>
      <w:r w:rsidR="000363D8">
        <w:t>1</w:t>
      </w:r>
      <w:r>
        <w:tab/>
        <w:t xml:space="preserve">An extension is granted in terms of Section 38 of the Arbitration Act as well as that for the </w:t>
      </w:r>
      <w:r w:rsidR="005F5E19">
        <w:t xml:space="preserve">setting aside </w:t>
      </w:r>
      <w:r>
        <w:t>of the awards under section 33 of the Arbitration Ac</w:t>
      </w:r>
      <w:r w:rsidR="005F5E19">
        <w:t>t.</w:t>
      </w:r>
    </w:p>
    <w:p w14:paraId="0BCD18A8" w14:textId="25586802" w:rsidR="009B6E22" w:rsidRDefault="000363D8" w:rsidP="009B6E22">
      <w:pPr>
        <w:spacing w:after="480" w:line="360" w:lineRule="auto"/>
        <w:ind w:left="2160" w:hanging="720"/>
        <w:jc w:val="both"/>
      </w:pPr>
      <w:r>
        <w:t>1.</w:t>
      </w:r>
      <w:r w:rsidR="009B6E22">
        <w:t>2</w:t>
      </w:r>
      <w:r w:rsidR="009B6E22">
        <w:tab/>
        <w:t>The relief sought in paragraph</w:t>
      </w:r>
      <w:r w:rsidR="00D15EB7">
        <w:t>s</w:t>
      </w:r>
      <w:r w:rsidR="009B6E22">
        <w:t xml:space="preserve"> 2.1</w:t>
      </w:r>
      <w:r w:rsidR="005F60A7">
        <w:t>, 2.2 a</w:t>
      </w:r>
      <w:r w:rsidR="009B6E22">
        <w:t>nd 2.</w:t>
      </w:r>
      <w:r w:rsidR="005F60A7">
        <w:t>3</w:t>
      </w:r>
      <w:r w:rsidR="009B6E22">
        <w:t xml:space="preserve"> </w:t>
      </w:r>
      <w:r w:rsidR="005F60A7">
        <w:t xml:space="preserve">for the review and setting aside </w:t>
      </w:r>
      <w:r w:rsidR="00D15EB7">
        <w:t xml:space="preserve">of the awards </w:t>
      </w:r>
      <w:r w:rsidR="005F60A7">
        <w:t>in terms of section 3</w:t>
      </w:r>
      <w:r w:rsidR="00D15EB7">
        <w:t>3</w:t>
      </w:r>
      <w:r w:rsidR="005F60A7">
        <w:t xml:space="preserve"> of the </w:t>
      </w:r>
      <w:r w:rsidR="00D15EB7">
        <w:t xml:space="preserve">Arbitration </w:t>
      </w:r>
      <w:r w:rsidR="005F60A7">
        <w:t xml:space="preserve">Act is dismissed. </w:t>
      </w:r>
    </w:p>
    <w:p w14:paraId="5637A6E4" w14:textId="62489D89" w:rsidR="009B6E22" w:rsidRDefault="000363D8" w:rsidP="009B6E22">
      <w:pPr>
        <w:spacing w:after="480" w:line="360" w:lineRule="auto"/>
        <w:ind w:left="2160" w:hanging="720"/>
        <w:jc w:val="both"/>
      </w:pPr>
      <w:r>
        <w:t>1.3</w:t>
      </w:r>
      <w:r w:rsidR="009B6E22">
        <w:tab/>
        <w:t>The applicant is ordered to pay the costs of the application including the costs of two counsel, where so employed.</w:t>
      </w:r>
    </w:p>
    <w:p w14:paraId="300A6C12" w14:textId="77777777" w:rsidR="009B6E22" w:rsidRDefault="009B6E22" w:rsidP="009B6E22">
      <w:pPr>
        <w:tabs>
          <w:tab w:val="left" w:pos="720"/>
        </w:tabs>
        <w:spacing w:after="480" w:line="360" w:lineRule="auto"/>
        <w:ind w:left="1440" w:hanging="1440"/>
        <w:jc w:val="both"/>
      </w:pPr>
      <w:r>
        <w:lastRenderedPageBreak/>
        <w:tab/>
        <w:t>2.</w:t>
      </w:r>
      <w:r>
        <w:tab/>
        <w:t xml:space="preserve">In respect of matter under case number 11368/2015 an order is made in the following terms: </w:t>
      </w:r>
      <w:r>
        <w:tab/>
      </w:r>
    </w:p>
    <w:p w14:paraId="1AE0AFF4" w14:textId="56C2C9D0" w:rsidR="009B6E22" w:rsidRDefault="009B6E22" w:rsidP="009B6E22">
      <w:pPr>
        <w:tabs>
          <w:tab w:val="left" w:pos="720"/>
        </w:tabs>
        <w:spacing w:after="480" w:line="360" w:lineRule="auto"/>
        <w:ind w:left="1440" w:hanging="1440"/>
        <w:jc w:val="both"/>
      </w:pPr>
      <w:r>
        <w:tab/>
      </w:r>
      <w:r>
        <w:tab/>
      </w:r>
      <w:r w:rsidRPr="00E45446">
        <w:t>That</w:t>
      </w:r>
      <w:r>
        <w:t xml:space="preserve"> the Final Arbitration Award and the Award of the Appeal Tribunal annexed to the Founding Affidavit and marked “C” and “D” respectively, </w:t>
      </w:r>
      <w:r w:rsidR="004B4A16">
        <w:t xml:space="preserve">is </w:t>
      </w:r>
      <w:r w:rsidR="005F60A7">
        <w:t xml:space="preserve">hereby made </w:t>
      </w:r>
      <w:r>
        <w:t xml:space="preserve">an order </w:t>
      </w:r>
      <w:r w:rsidR="005F60A7">
        <w:t>of court</w:t>
      </w:r>
      <w:r>
        <w:t xml:space="preserve"> and that in terms </w:t>
      </w:r>
      <w:r w:rsidR="00892662">
        <w:t>here</w:t>
      </w:r>
      <w:r>
        <w:t>of</w:t>
      </w:r>
      <w:r w:rsidR="005F60A7">
        <w:t>:</w:t>
      </w:r>
      <w:r>
        <w:t xml:space="preserve"> </w:t>
      </w:r>
    </w:p>
    <w:p w14:paraId="38CAED12" w14:textId="77777777" w:rsidR="009B6E22" w:rsidRDefault="009B6E22" w:rsidP="009B6E22">
      <w:pPr>
        <w:pStyle w:val="ListParagraph"/>
        <w:tabs>
          <w:tab w:val="left" w:pos="1620"/>
        </w:tabs>
        <w:spacing w:after="480" w:line="360" w:lineRule="auto"/>
        <w:ind w:left="1080" w:firstLine="360"/>
        <w:jc w:val="both"/>
      </w:pPr>
      <w:r>
        <w:t>1.1</w:t>
      </w:r>
      <w:r>
        <w:tab/>
        <w:t>The First Respondent is directed:</w:t>
      </w:r>
    </w:p>
    <w:p w14:paraId="5BF5A5AD" w14:textId="77777777" w:rsidR="009B6E22" w:rsidRDefault="009B6E22" w:rsidP="009B6E22">
      <w:pPr>
        <w:pStyle w:val="ListParagraph"/>
        <w:tabs>
          <w:tab w:val="left" w:pos="1440"/>
          <w:tab w:val="left" w:pos="2250"/>
        </w:tabs>
        <w:spacing w:after="480" w:line="360" w:lineRule="auto"/>
        <w:ind w:left="1080"/>
        <w:jc w:val="both"/>
      </w:pPr>
      <w:r>
        <w:tab/>
      </w:r>
      <w:r>
        <w:tab/>
        <w:t>1.1.1</w:t>
      </w:r>
      <w:r>
        <w:tab/>
        <w:t>to pay the Applicant the sum of R37 116 402.00; and</w:t>
      </w:r>
    </w:p>
    <w:p w14:paraId="79E1CB64" w14:textId="77777777" w:rsidR="009B6E22" w:rsidRDefault="009B6E22" w:rsidP="009B6E22">
      <w:pPr>
        <w:pStyle w:val="ListParagraph"/>
        <w:tabs>
          <w:tab w:val="left" w:pos="1440"/>
        </w:tabs>
        <w:spacing w:after="480" w:line="360" w:lineRule="auto"/>
        <w:ind w:left="2250" w:hanging="1170"/>
        <w:jc w:val="both"/>
      </w:pPr>
      <w:r>
        <w:tab/>
      </w:r>
      <w:r>
        <w:tab/>
        <w:t>1.1.2</w:t>
      </w:r>
      <w:r>
        <w:tab/>
        <w:t xml:space="preserve">to pay interest on the amount of R37 116 402.00 at the prescribed rate from date of service of summons commencing action, namely 23 June 2015, until payment in full. </w:t>
      </w:r>
    </w:p>
    <w:p w14:paraId="1890973D" w14:textId="053143B5" w:rsidR="009B6E22" w:rsidRDefault="009B6E22" w:rsidP="005F60A7">
      <w:pPr>
        <w:pStyle w:val="ListParagraph"/>
        <w:tabs>
          <w:tab w:val="left" w:pos="1620"/>
        </w:tabs>
        <w:spacing w:after="480" w:line="360" w:lineRule="auto"/>
        <w:ind w:left="2250" w:hanging="810"/>
        <w:jc w:val="both"/>
      </w:pPr>
      <w:r>
        <w:t>1.2</w:t>
      </w:r>
      <w:r>
        <w:tab/>
      </w:r>
      <w:r w:rsidR="004B4A16">
        <w:t>…</w:t>
      </w:r>
      <w:r w:rsidR="00D15EB7">
        <w:t>relates to the second respondent</w:t>
      </w:r>
      <w:r w:rsidR="005F60A7">
        <w:t>.</w:t>
      </w:r>
      <w:r>
        <w:tab/>
      </w:r>
      <w:r>
        <w:tab/>
      </w:r>
    </w:p>
    <w:p w14:paraId="7E06C152" w14:textId="369AD8B7" w:rsidR="009B6E22" w:rsidRDefault="009B6E22" w:rsidP="009B6E22">
      <w:pPr>
        <w:pStyle w:val="ListParagraph"/>
        <w:tabs>
          <w:tab w:val="left" w:pos="1440"/>
        </w:tabs>
        <w:spacing w:after="480" w:line="360" w:lineRule="auto"/>
        <w:ind w:left="2160" w:hanging="990"/>
        <w:jc w:val="both"/>
      </w:pPr>
      <w:r>
        <w:tab/>
        <w:t>1.3</w:t>
      </w:r>
      <w:r>
        <w:tab/>
      </w:r>
      <w:r w:rsidR="004B4A16">
        <w:t>…</w:t>
      </w:r>
      <w:r w:rsidR="00D15EB7">
        <w:t xml:space="preserve">relates to the </w:t>
      </w:r>
      <w:r w:rsidR="005F60A7">
        <w:t>second respondent.</w:t>
      </w:r>
    </w:p>
    <w:p w14:paraId="64334F89" w14:textId="77777777" w:rsidR="009B6E22" w:rsidRDefault="009B6E22" w:rsidP="00E578FD">
      <w:pPr>
        <w:pStyle w:val="ListParagraph"/>
        <w:tabs>
          <w:tab w:val="left" w:pos="1440"/>
          <w:tab w:val="left" w:pos="1620"/>
        </w:tabs>
        <w:spacing w:after="480" w:line="360" w:lineRule="auto"/>
        <w:ind w:left="2160" w:hanging="720"/>
        <w:jc w:val="both"/>
      </w:pPr>
      <w:r>
        <w:t>1.4</w:t>
      </w:r>
      <w:r>
        <w:tab/>
        <w:t>The First Respondent is directed to pay the Applicant’s costs of suit, such costs to include the costs consequent upon the employment of two counsel;</w:t>
      </w:r>
    </w:p>
    <w:p w14:paraId="1F7F3894" w14:textId="0A946084" w:rsidR="009B6E22" w:rsidRDefault="009B6E22" w:rsidP="009B6E22">
      <w:pPr>
        <w:pStyle w:val="ListParagraph"/>
        <w:tabs>
          <w:tab w:val="left" w:pos="1620"/>
        </w:tabs>
        <w:spacing w:after="480" w:line="360" w:lineRule="auto"/>
        <w:ind w:left="2160" w:hanging="720"/>
        <w:jc w:val="both"/>
      </w:pPr>
      <w:r>
        <w:t>1.5</w:t>
      </w:r>
      <w:r>
        <w:tab/>
      </w:r>
      <w:r w:rsidR="004B4A16">
        <w:t>…</w:t>
      </w:r>
      <w:r w:rsidR="003A5355">
        <w:t>relates to the second respondent.</w:t>
      </w:r>
    </w:p>
    <w:p w14:paraId="6EAA3844" w14:textId="77777777" w:rsidR="009B6E22" w:rsidRDefault="009B6E22" w:rsidP="009B6E22">
      <w:pPr>
        <w:pStyle w:val="ListParagraph"/>
        <w:tabs>
          <w:tab w:val="left" w:pos="1620"/>
          <w:tab w:val="left" w:pos="2160"/>
        </w:tabs>
        <w:spacing w:after="480" w:line="360" w:lineRule="auto"/>
        <w:ind w:left="2160" w:hanging="720"/>
        <w:jc w:val="both"/>
      </w:pPr>
      <w:r>
        <w:t>1.6</w:t>
      </w:r>
      <w:r>
        <w:tab/>
        <w:t>The First Respondent is directed to pay the Applicant’s costs of the appeal, such costs to include the costs consequent upon the employment of two counsel, and the costs of the Arbitration Appeal Tribunal;</w:t>
      </w:r>
    </w:p>
    <w:p w14:paraId="133D72E1" w14:textId="4B1250AE" w:rsidR="009B6E22" w:rsidRDefault="009B6E22" w:rsidP="009B6E22">
      <w:pPr>
        <w:pStyle w:val="ListParagraph"/>
        <w:tabs>
          <w:tab w:val="left" w:pos="1620"/>
        </w:tabs>
        <w:spacing w:after="480" w:line="360" w:lineRule="auto"/>
        <w:ind w:left="2160" w:hanging="720"/>
        <w:jc w:val="both"/>
      </w:pPr>
      <w:r>
        <w:t>1.7</w:t>
      </w:r>
      <w:r>
        <w:tab/>
      </w:r>
      <w:r w:rsidR="004B4A16">
        <w:t>…</w:t>
      </w:r>
      <w:r w:rsidR="003A5355">
        <w:t>relates to the second respondent.</w:t>
      </w:r>
    </w:p>
    <w:p w14:paraId="376CE40D" w14:textId="1F518275" w:rsidR="009B6E22" w:rsidRDefault="00E578FD" w:rsidP="009B6E22">
      <w:pPr>
        <w:tabs>
          <w:tab w:val="left" w:pos="720"/>
        </w:tabs>
        <w:spacing w:after="480" w:line="360" w:lineRule="auto"/>
        <w:ind w:left="1440" w:hanging="1440"/>
        <w:jc w:val="both"/>
      </w:pPr>
      <w:r>
        <w:tab/>
        <w:t>3.</w:t>
      </w:r>
      <w:r>
        <w:tab/>
        <w:t xml:space="preserve">Costs of the application including the costs of two counsel where so employed. </w:t>
      </w:r>
    </w:p>
    <w:p w14:paraId="73B16CA5" w14:textId="77777777" w:rsidR="00137067" w:rsidRDefault="00137067" w:rsidP="009B6E22">
      <w:pPr>
        <w:spacing w:after="480" w:line="360" w:lineRule="auto"/>
        <w:jc w:val="both"/>
        <w:rPr>
          <w:b/>
        </w:rPr>
      </w:pPr>
    </w:p>
    <w:p w14:paraId="25307669" w14:textId="77777777" w:rsidR="009B6E22" w:rsidRDefault="009B6E22" w:rsidP="009B6E22">
      <w:pPr>
        <w:pStyle w:val="ListParagraph"/>
        <w:spacing w:after="240" w:line="360" w:lineRule="auto"/>
        <w:ind w:left="5040"/>
        <w:jc w:val="both"/>
        <w:rPr>
          <w:b/>
        </w:rPr>
      </w:pPr>
      <w:r>
        <w:rPr>
          <w:b/>
        </w:rPr>
        <w:t>________________</w:t>
      </w:r>
    </w:p>
    <w:p w14:paraId="4F3B65D2" w14:textId="77777777" w:rsidR="009B6E22" w:rsidRDefault="009B6E22" w:rsidP="009B6E22">
      <w:pPr>
        <w:pStyle w:val="ListParagraph"/>
        <w:spacing w:after="240" w:line="360" w:lineRule="auto"/>
        <w:ind w:left="5040"/>
        <w:jc w:val="both"/>
        <w:rPr>
          <w:b/>
        </w:rPr>
      </w:pPr>
      <w:r>
        <w:rPr>
          <w:b/>
        </w:rPr>
        <w:t xml:space="preserve">V C SALDANHA </w:t>
      </w:r>
    </w:p>
    <w:p w14:paraId="34BE14AA" w14:textId="77777777" w:rsidR="009B6E22" w:rsidRPr="009B2945" w:rsidRDefault="009B6E22" w:rsidP="009B6E22">
      <w:pPr>
        <w:pStyle w:val="ListParagraph"/>
        <w:spacing w:after="240" w:line="360" w:lineRule="auto"/>
        <w:ind w:left="5040"/>
        <w:jc w:val="both"/>
        <w:rPr>
          <w:b/>
        </w:rPr>
      </w:pPr>
      <w:r>
        <w:rPr>
          <w:b/>
        </w:rPr>
        <w:t>JUDGE OF THE HIGH COURT</w:t>
      </w:r>
    </w:p>
    <w:p w14:paraId="7B2B7C65" w14:textId="77777777" w:rsidR="009B6E22" w:rsidRDefault="009B6E22" w:rsidP="009B6E22"/>
    <w:p w14:paraId="7C29671B" w14:textId="77777777" w:rsidR="003B02AD" w:rsidRDefault="003B02AD" w:rsidP="003B02AD">
      <w:pPr>
        <w:spacing w:after="480" w:line="360" w:lineRule="auto"/>
        <w:jc w:val="both"/>
      </w:pPr>
    </w:p>
    <w:p w14:paraId="5B6572F7" w14:textId="77777777" w:rsidR="003B02AD" w:rsidRDefault="003B02AD" w:rsidP="003B02AD">
      <w:pPr>
        <w:spacing w:after="480" w:line="360" w:lineRule="auto"/>
        <w:jc w:val="both"/>
      </w:pPr>
      <w:r>
        <w:t xml:space="preserve">  </w:t>
      </w:r>
    </w:p>
    <w:p w14:paraId="5BC96599" w14:textId="77777777" w:rsidR="003B02AD" w:rsidRDefault="003B02AD" w:rsidP="003B02AD">
      <w:pPr>
        <w:spacing w:after="480" w:line="360" w:lineRule="auto"/>
        <w:jc w:val="both"/>
      </w:pPr>
    </w:p>
    <w:p w14:paraId="584B8F6C" w14:textId="77777777" w:rsidR="003B02AD" w:rsidRDefault="003B02AD" w:rsidP="003B02AD">
      <w:pPr>
        <w:spacing w:after="480" w:line="360" w:lineRule="auto"/>
        <w:jc w:val="both"/>
      </w:pPr>
    </w:p>
    <w:p w14:paraId="65CA1134" w14:textId="77777777" w:rsidR="003B02AD" w:rsidRDefault="003B02AD" w:rsidP="003B02AD">
      <w:pPr>
        <w:spacing w:after="480" w:line="360" w:lineRule="auto"/>
        <w:jc w:val="both"/>
      </w:pPr>
    </w:p>
    <w:p w14:paraId="1402D21B" w14:textId="77777777" w:rsidR="003B02AD" w:rsidRDefault="003B02AD" w:rsidP="003B02AD">
      <w:pPr>
        <w:spacing w:after="480" w:line="360" w:lineRule="auto"/>
        <w:jc w:val="both"/>
      </w:pPr>
    </w:p>
    <w:p w14:paraId="4B4323F5" w14:textId="77777777" w:rsidR="003B02AD" w:rsidRDefault="003B02AD" w:rsidP="003B02AD">
      <w:pPr>
        <w:spacing w:after="480" w:line="360" w:lineRule="auto"/>
        <w:jc w:val="both"/>
      </w:pPr>
    </w:p>
    <w:p w14:paraId="69C75926" w14:textId="77777777" w:rsidR="003B02AD" w:rsidRDefault="003B02AD" w:rsidP="003B02AD"/>
    <w:p w14:paraId="4905BCF8" w14:textId="77777777" w:rsidR="00D54E68" w:rsidRPr="00D54E68" w:rsidRDefault="00D54E68" w:rsidP="00E23C1B">
      <w:pPr>
        <w:pStyle w:val="Level2"/>
        <w:numPr>
          <w:ilvl w:val="0"/>
          <w:numId w:val="0"/>
        </w:numPr>
        <w:spacing w:line="360" w:lineRule="auto"/>
        <w:ind w:left="720" w:hanging="720"/>
        <w:rPr>
          <w:lang w:val="en-GB"/>
        </w:rPr>
      </w:pPr>
    </w:p>
    <w:p w14:paraId="7C2F424B" w14:textId="77777777" w:rsidR="001F323A" w:rsidRPr="001F323A" w:rsidRDefault="001F323A" w:rsidP="001F323A">
      <w:pPr>
        <w:spacing w:after="360" w:line="360" w:lineRule="auto"/>
        <w:jc w:val="both"/>
        <w:rPr>
          <w:sz w:val="22"/>
          <w:szCs w:val="22"/>
        </w:rPr>
      </w:pPr>
    </w:p>
    <w:p w14:paraId="3C0F2D09" w14:textId="77777777" w:rsidR="00084B43" w:rsidRPr="00BE0934" w:rsidRDefault="00084B43" w:rsidP="00084B43">
      <w:pPr>
        <w:spacing w:after="480" w:line="360" w:lineRule="auto"/>
        <w:ind w:left="720"/>
        <w:jc w:val="both"/>
      </w:pPr>
    </w:p>
    <w:p w14:paraId="2D3F7A6D" w14:textId="77777777" w:rsidR="001A40EB" w:rsidRPr="00C6772C" w:rsidRDefault="001A40EB" w:rsidP="000011F2">
      <w:pPr>
        <w:spacing w:after="480" w:line="360" w:lineRule="auto"/>
        <w:jc w:val="both"/>
      </w:pPr>
    </w:p>
    <w:p w14:paraId="77487E5D" w14:textId="77777777" w:rsidR="00E45446" w:rsidRDefault="00E45446" w:rsidP="000011F2">
      <w:pPr>
        <w:spacing w:after="480" w:line="360" w:lineRule="auto"/>
        <w:jc w:val="both"/>
        <w:rPr>
          <w:b/>
        </w:rPr>
      </w:pPr>
    </w:p>
    <w:p w14:paraId="33249CAA" w14:textId="77777777" w:rsidR="00DA1CBD" w:rsidRDefault="00DA1CBD" w:rsidP="000011F2">
      <w:pPr>
        <w:pStyle w:val="ListParagraph"/>
        <w:spacing w:after="240" w:line="360" w:lineRule="auto"/>
        <w:ind w:left="5040"/>
        <w:jc w:val="both"/>
        <w:rPr>
          <w:b/>
        </w:rPr>
      </w:pPr>
      <w:r>
        <w:rPr>
          <w:b/>
        </w:rPr>
        <w:t>________________</w:t>
      </w:r>
    </w:p>
    <w:p w14:paraId="1E9AE85F" w14:textId="77777777" w:rsidR="00DA1CBD" w:rsidRPr="009B2945" w:rsidRDefault="0030731B" w:rsidP="000011F2">
      <w:pPr>
        <w:pStyle w:val="ListParagraph"/>
        <w:spacing w:after="240" w:line="360" w:lineRule="auto"/>
        <w:ind w:left="5040"/>
        <w:jc w:val="both"/>
        <w:rPr>
          <w:b/>
        </w:rPr>
      </w:pPr>
      <w:r>
        <w:rPr>
          <w:b/>
        </w:rPr>
        <w:t>V C SALDANHA</w:t>
      </w:r>
      <w:r w:rsidR="00DA1CBD">
        <w:rPr>
          <w:b/>
        </w:rPr>
        <w:t xml:space="preserve"> </w:t>
      </w:r>
    </w:p>
    <w:sectPr w:rsidR="00DA1CBD" w:rsidRPr="009B2945" w:rsidSect="00F4257E">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04406" w14:textId="77777777" w:rsidR="0033389B" w:rsidRDefault="0033389B" w:rsidP="00F4257E">
      <w:r>
        <w:separator/>
      </w:r>
    </w:p>
  </w:endnote>
  <w:endnote w:type="continuationSeparator" w:id="0">
    <w:p w14:paraId="2A4C6DFD" w14:textId="77777777" w:rsidR="0033389B" w:rsidRDefault="0033389B"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C943" w14:textId="77777777" w:rsidR="0033389B" w:rsidRDefault="0033389B" w:rsidP="00F4257E">
      <w:r>
        <w:separator/>
      </w:r>
    </w:p>
  </w:footnote>
  <w:footnote w:type="continuationSeparator" w:id="0">
    <w:p w14:paraId="547DBEE0" w14:textId="77777777" w:rsidR="0033389B" w:rsidRDefault="0033389B" w:rsidP="00F4257E">
      <w:r>
        <w:continuationSeparator/>
      </w:r>
    </w:p>
  </w:footnote>
  <w:footnote w:id="1">
    <w:p w14:paraId="5CD01971" w14:textId="1C72EBD6" w:rsidR="00E245F7" w:rsidRPr="00E45446" w:rsidRDefault="00E245F7" w:rsidP="005942C9">
      <w:pPr>
        <w:pStyle w:val="FootnoteText"/>
        <w:jc w:val="both"/>
        <w:rPr>
          <w:lang w:val="en-GB"/>
        </w:rPr>
      </w:pPr>
      <w:r>
        <w:rPr>
          <w:rStyle w:val="FootnoteReference"/>
        </w:rPr>
        <w:footnoteRef/>
      </w:r>
      <w:r w:rsidRPr="00AA768A">
        <w:rPr>
          <w:sz w:val="18"/>
          <w:szCs w:val="18"/>
        </w:rPr>
        <w:t>33 Setting aside of award (1) Where- (a) any member of an arbitration tribunal has misconducted himself in relation to his duties as arbitrator or umpire; or (b) an arbitration tribunal has committed any gross irregularity in the conduct of the arbitration proceedings or has exceeded its powers; or (c) an award has been improperly obtained, the court may, on the application of any party to the reference after due notice to the other party or parties, make an order setting the award aside.</w:t>
      </w:r>
    </w:p>
  </w:footnote>
  <w:footnote w:id="2">
    <w:p w14:paraId="3335DD90" w14:textId="37B2CABC" w:rsidR="00E245F7" w:rsidRPr="006310F4" w:rsidRDefault="00E245F7" w:rsidP="006310F4">
      <w:pPr>
        <w:jc w:val="both"/>
        <w:rPr>
          <w:sz w:val="18"/>
          <w:szCs w:val="18"/>
        </w:rPr>
      </w:pPr>
      <w:r>
        <w:rPr>
          <w:rStyle w:val="FootnoteReference"/>
        </w:rPr>
        <w:footnoteRef/>
      </w:r>
      <w:r w:rsidRPr="006310F4">
        <w:rPr>
          <w:sz w:val="18"/>
          <w:szCs w:val="18"/>
        </w:rPr>
        <w:t xml:space="preserve"> When interpreting any legislation, and when developing the common law or customary law, every court, tribunal or forum must promote the spirit, purport and objects of the Bill of Rights.</w:t>
      </w:r>
    </w:p>
    <w:p w14:paraId="073DA30A" w14:textId="200229C4" w:rsidR="00E245F7" w:rsidRPr="006310F4" w:rsidRDefault="00E245F7" w:rsidP="006310F4">
      <w:pPr>
        <w:pStyle w:val="FootnoteText"/>
        <w:jc w:val="both"/>
        <w:rPr>
          <w:sz w:val="18"/>
          <w:szCs w:val="18"/>
          <w:lang w:val="en-GB"/>
        </w:rPr>
      </w:pPr>
    </w:p>
  </w:footnote>
  <w:footnote w:id="3">
    <w:p w14:paraId="366CD8F2" w14:textId="77777777" w:rsidR="00E245F7" w:rsidRDefault="00E245F7" w:rsidP="00DD3DAF">
      <w:pPr>
        <w:pStyle w:val="FootnoteText"/>
        <w:ind w:left="135"/>
        <w:jc w:val="both"/>
        <w:rPr>
          <w:sz w:val="18"/>
          <w:szCs w:val="18"/>
          <w:lang w:val="en-GB"/>
        </w:rPr>
      </w:pPr>
      <w:r w:rsidRPr="00053819">
        <w:rPr>
          <w:sz w:val="18"/>
          <w:szCs w:val="18"/>
        </w:rPr>
        <w:t>2</w:t>
      </w:r>
      <w:r>
        <w:rPr>
          <w:sz w:val="18"/>
          <w:szCs w:val="18"/>
        </w:rPr>
        <w:t xml:space="preserve"> (a)</w:t>
      </w:r>
      <w:r>
        <w:rPr>
          <w:sz w:val="18"/>
          <w:szCs w:val="18"/>
          <w:lang w:val="en-GB"/>
        </w:rPr>
        <w:t xml:space="preserve"> In every new action or application proceeding, the plaintiff or applicant shall, together with the summons or              combined summons or notice of motion, serve on each defendant or respondent a notice indicating whether such plaintiff or applicant agrees to or opposes referral of the dispute to mediation. </w:t>
      </w:r>
    </w:p>
    <w:p w14:paraId="08CB8E0A" w14:textId="77777777" w:rsidR="00E245F7" w:rsidRPr="00053819" w:rsidRDefault="00E245F7" w:rsidP="00DD3DAF">
      <w:pPr>
        <w:pStyle w:val="FootnoteText"/>
        <w:ind w:left="135"/>
        <w:jc w:val="both"/>
        <w:rPr>
          <w:sz w:val="18"/>
          <w:szCs w:val="18"/>
          <w:lang w:val="en-GB"/>
        </w:rPr>
      </w:pPr>
      <w:r>
        <w:rPr>
          <w:sz w:val="18"/>
          <w:szCs w:val="18"/>
          <w:lang w:val="en-GB"/>
        </w:rPr>
        <w:t xml:space="preserve">(b) A defendant or respondent shall, when delivering a notice of intention to defend or a notice of intention to oppose, or at any time thereafter, but not later than the delivery of a plea or answering affidavit, serve on each plaintiff or applicant or the plaintiff’s or applicant’s attorneys, a notice indicating whether such defendant or respondent agrees to or opposes referral of the dispute to mediation. </w:t>
      </w:r>
    </w:p>
  </w:footnote>
  <w:footnote w:id="4">
    <w:p w14:paraId="6B2DF976" w14:textId="0233C8C6" w:rsidR="00E245F7" w:rsidRPr="001A7E1F" w:rsidRDefault="00E245F7">
      <w:pPr>
        <w:pStyle w:val="FootnoteText"/>
        <w:rPr>
          <w:sz w:val="18"/>
          <w:szCs w:val="18"/>
          <w:lang w:val="en-GB"/>
        </w:rPr>
      </w:pPr>
      <w:r>
        <w:rPr>
          <w:rStyle w:val="FootnoteReference"/>
        </w:rPr>
        <w:footnoteRef/>
      </w:r>
      <w:r>
        <w:t xml:space="preserve"> </w:t>
      </w:r>
      <w:r w:rsidRPr="001A7E1F">
        <w:rPr>
          <w:sz w:val="18"/>
          <w:szCs w:val="18"/>
          <w:lang w:val="en-GB"/>
        </w:rPr>
        <w:t>8.1 Any Party shall have an automatic right to appeal the final award of the Arbitrator.</w:t>
      </w:r>
    </w:p>
  </w:footnote>
  <w:footnote w:id="5">
    <w:p w14:paraId="4CCB2600" w14:textId="537B25BE" w:rsidR="00E245F7" w:rsidRDefault="00E245F7" w:rsidP="006310F4">
      <w:pPr>
        <w:spacing w:after="480"/>
        <w:ind w:left="720" w:hanging="720"/>
        <w:jc w:val="both"/>
        <w:rPr>
          <w:sz w:val="18"/>
          <w:szCs w:val="18"/>
        </w:rPr>
      </w:pPr>
      <w:r>
        <w:rPr>
          <w:rStyle w:val="FootnoteReference"/>
        </w:rPr>
        <w:footnoteRef/>
      </w:r>
      <w:r>
        <w:t xml:space="preserve"> </w:t>
      </w:r>
      <w:r>
        <w:rPr>
          <w:sz w:val="18"/>
          <w:szCs w:val="18"/>
        </w:rPr>
        <w:t>75.3</w:t>
      </w:r>
      <w:r>
        <w:rPr>
          <w:sz w:val="18"/>
          <w:szCs w:val="18"/>
        </w:rPr>
        <w:tab/>
        <w:t>Mr De Beer’s appeal against the arbitrator’s award succeeds to the extent that paragraph 21.7.5 of the arbitrator’s award is deleted, and substituted by the following wording:</w:t>
      </w:r>
    </w:p>
    <w:p w14:paraId="287DB3AE" w14:textId="77777777" w:rsidR="00E245F7" w:rsidRDefault="00E245F7" w:rsidP="00A14325">
      <w:pPr>
        <w:spacing w:after="480"/>
        <w:ind w:left="1440" w:hanging="720"/>
        <w:jc w:val="both"/>
        <w:rPr>
          <w:sz w:val="18"/>
          <w:szCs w:val="18"/>
        </w:rPr>
      </w:pPr>
      <w:r>
        <w:rPr>
          <w:sz w:val="18"/>
          <w:szCs w:val="18"/>
        </w:rPr>
        <w:t>21.7.5.1</w:t>
      </w:r>
      <w:r>
        <w:rPr>
          <w:sz w:val="18"/>
          <w:szCs w:val="18"/>
        </w:rPr>
        <w:tab/>
        <w:t>the first defendant is ordered to pay the plaintiff’s costs of suit, such costs to include those costs consequent upon the employment of two counsel;</w:t>
      </w:r>
    </w:p>
    <w:p w14:paraId="0204456C" w14:textId="65BCC4F1" w:rsidR="00E245F7" w:rsidRPr="006310F4" w:rsidRDefault="00E245F7" w:rsidP="006310F4">
      <w:pPr>
        <w:spacing w:after="480"/>
        <w:ind w:left="1440" w:hanging="720"/>
        <w:jc w:val="both"/>
        <w:rPr>
          <w:lang w:val="en-GB"/>
        </w:rPr>
      </w:pPr>
      <w:r>
        <w:rPr>
          <w:sz w:val="18"/>
          <w:szCs w:val="18"/>
        </w:rPr>
        <w:t>21.7.5.2</w:t>
      </w:r>
      <w:r>
        <w:rPr>
          <w:sz w:val="18"/>
          <w:szCs w:val="18"/>
        </w:rPr>
        <w:tab/>
        <w:t>the second defendant is ordered to pay the plaintiff’s costs of the case before the hearing, and 5% of the plaintiff’s subsequent costs of the arbitration, such costs to include those costs consequent upon the employment of two counsel.’</w:t>
      </w:r>
    </w:p>
  </w:footnote>
  <w:footnote w:id="6">
    <w:p w14:paraId="0414CC1C" w14:textId="30AD014C" w:rsidR="00E245F7" w:rsidRPr="007121AB" w:rsidRDefault="00E245F7" w:rsidP="005A3EC4">
      <w:pPr>
        <w:jc w:val="both"/>
        <w:rPr>
          <w:sz w:val="18"/>
          <w:szCs w:val="18"/>
        </w:rPr>
      </w:pPr>
      <w:r>
        <w:rPr>
          <w:rStyle w:val="FootnoteReference"/>
        </w:rPr>
        <w:footnoteRef/>
      </w:r>
      <w:r w:rsidRPr="007121AB">
        <w:rPr>
          <w:sz w:val="18"/>
          <w:szCs w:val="18"/>
        </w:rPr>
        <w:t>33 (2) An application pursuant to this section shall be made within six weeks after the publication of the award to the parties: Provided that when the setting aside of the award is requested on the grounds of corruption, such application shall be made within six weeks after the discovery of the corruption and in any case not later than three years after the date on which the award was so published.</w:t>
      </w:r>
    </w:p>
    <w:p w14:paraId="2CE703AC" w14:textId="77777777" w:rsidR="00E245F7" w:rsidRPr="005A3EC4" w:rsidRDefault="00E245F7">
      <w:pPr>
        <w:pStyle w:val="FootnoteText"/>
        <w:rPr>
          <w:lang w:val="en-GB"/>
        </w:rPr>
      </w:pPr>
    </w:p>
  </w:footnote>
  <w:footnote w:id="7">
    <w:p w14:paraId="0ADFAF31" w14:textId="77777777" w:rsidR="00E245F7" w:rsidRPr="004E3117" w:rsidRDefault="00E245F7" w:rsidP="00231665">
      <w:pPr>
        <w:rPr>
          <w:sz w:val="18"/>
          <w:szCs w:val="18"/>
        </w:rPr>
      </w:pPr>
      <w:r>
        <w:rPr>
          <w:rStyle w:val="FootnoteReference"/>
        </w:rPr>
        <w:footnoteRef/>
      </w:r>
      <w:r>
        <w:t xml:space="preserve"> </w:t>
      </w:r>
      <w:r w:rsidRPr="004E3117">
        <w:rPr>
          <w:sz w:val="18"/>
          <w:szCs w:val="18"/>
        </w:rPr>
        <w:t>The court may, on good cause shown, extend any period of time fixed by or under this Act, whether such period has expired or not.</w:t>
      </w:r>
    </w:p>
    <w:p w14:paraId="652637A8" w14:textId="4B9D8A38" w:rsidR="00E245F7" w:rsidRPr="00231665" w:rsidRDefault="00E245F7">
      <w:pPr>
        <w:pStyle w:val="FootnoteText"/>
        <w:rPr>
          <w:lang w:val="en-GB"/>
        </w:rPr>
      </w:pPr>
    </w:p>
  </w:footnote>
  <w:footnote w:id="8">
    <w:p w14:paraId="297C3A45" w14:textId="6A7E883E" w:rsidR="00E245F7" w:rsidRPr="00D32FDC" w:rsidRDefault="00E245F7" w:rsidP="00D32FDC">
      <w:pPr>
        <w:pStyle w:val="FootnoteText"/>
        <w:jc w:val="both"/>
        <w:rPr>
          <w:sz w:val="18"/>
          <w:szCs w:val="18"/>
          <w:lang w:val="en-GB"/>
        </w:rPr>
      </w:pPr>
      <w:r>
        <w:rPr>
          <w:rStyle w:val="FootnoteReference"/>
        </w:rPr>
        <w:footnoteRef/>
      </w:r>
      <w:r>
        <w:t xml:space="preserve"> </w:t>
      </w:r>
      <w:r w:rsidRPr="00D32FDC">
        <w:rPr>
          <w:sz w:val="18"/>
          <w:szCs w:val="18"/>
          <w:lang w:val="en-GB"/>
        </w:rPr>
        <w:t>Mr Roux complied with the provisions of Rule 16A.</w:t>
      </w:r>
      <w:r>
        <w:rPr>
          <w:sz w:val="18"/>
          <w:szCs w:val="18"/>
          <w:lang w:val="en-GB"/>
        </w:rPr>
        <w:t xml:space="preserve"> of the Uniform Rules.</w:t>
      </w:r>
      <w:r w:rsidRPr="00D32FDC">
        <w:rPr>
          <w:sz w:val="18"/>
          <w:szCs w:val="18"/>
          <w:lang w:val="en-GB"/>
        </w:rPr>
        <w:t xml:space="preserve"> Notice was given that a </w:t>
      </w:r>
      <w:r w:rsidR="00CB16B4">
        <w:rPr>
          <w:sz w:val="18"/>
          <w:szCs w:val="18"/>
          <w:lang w:val="en-GB"/>
        </w:rPr>
        <w:t>C</w:t>
      </w:r>
      <w:r w:rsidRPr="00D32FDC">
        <w:rPr>
          <w:sz w:val="18"/>
          <w:szCs w:val="18"/>
          <w:lang w:val="en-GB"/>
        </w:rPr>
        <w:t xml:space="preserve">onstitutional issue was to be raised in the application. The wording of the </w:t>
      </w:r>
      <w:r w:rsidR="00CB16B4">
        <w:rPr>
          <w:sz w:val="18"/>
          <w:szCs w:val="18"/>
          <w:lang w:val="en-GB"/>
        </w:rPr>
        <w:t>N</w:t>
      </w:r>
      <w:r w:rsidRPr="00D32FDC">
        <w:rPr>
          <w:sz w:val="18"/>
          <w:szCs w:val="18"/>
          <w:lang w:val="en-GB"/>
        </w:rPr>
        <w:t>otice was based substantially o</w:t>
      </w:r>
      <w:r>
        <w:rPr>
          <w:sz w:val="18"/>
          <w:szCs w:val="18"/>
          <w:lang w:val="en-GB"/>
        </w:rPr>
        <w:t>n</w:t>
      </w:r>
      <w:r w:rsidRPr="00D32FDC">
        <w:rPr>
          <w:sz w:val="18"/>
          <w:szCs w:val="18"/>
          <w:lang w:val="en-GB"/>
        </w:rPr>
        <w:t xml:space="preserve"> the content</w:t>
      </w:r>
      <w:r>
        <w:rPr>
          <w:sz w:val="18"/>
          <w:szCs w:val="18"/>
          <w:lang w:val="en-GB"/>
        </w:rPr>
        <w:t>s</w:t>
      </w:r>
      <w:r w:rsidRPr="00D32FDC">
        <w:rPr>
          <w:sz w:val="18"/>
          <w:szCs w:val="18"/>
          <w:lang w:val="en-GB"/>
        </w:rPr>
        <w:t xml:space="preserve"> of paragraph 9.1, 9.2 and 9.3 of the founding affidavit</w:t>
      </w:r>
      <w:r>
        <w:rPr>
          <w:sz w:val="18"/>
          <w:szCs w:val="18"/>
          <w:lang w:val="en-GB"/>
        </w:rPr>
        <w:t xml:space="preserve"> (referred to above)</w:t>
      </w:r>
      <w:r w:rsidRPr="00D32FDC">
        <w:rPr>
          <w:sz w:val="18"/>
          <w:szCs w:val="18"/>
          <w:lang w:val="en-GB"/>
        </w:rPr>
        <w:t xml:space="preserve">. </w:t>
      </w:r>
    </w:p>
  </w:footnote>
  <w:footnote w:id="9">
    <w:p w14:paraId="430B4FC9" w14:textId="11DE302C" w:rsidR="00E245F7" w:rsidRDefault="00E245F7" w:rsidP="00094FE6">
      <w:pPr>
        <w:pStyle w:val="FootnoteText"/>
        <w:jc w:val="both"/>
        <w:rPr>
          <w:iCs/>
          <w:sz w:val="18"/>
          <w:szCs w:val="18"/>
          <w:lang w:val="en-GB"/>
        </w:rPr>
      </w:pPr>
      <w:r>
        <w:rPr>
          <w:rStyle w:val="FootnoteReference"/>
        </w:rPr>
        <w:footnoteRef/>
      </w:r>
      <w:r>
        <w:t xml:space="preserve"> </w:t>
      </w:r>
      <w:r w:rsidRPr="00094FE6">
        <w:rPr>
          <w:iCs/>
          <w:sz w:val="18"/>
          <w:szCs w:val="18"/>
          <w:lang w:val="en-GB"/>
        </w:rPr>
        <w:t>The initial arbitrator remarked at para</w:t>
      </w:r>
      <w:r>
        <w:rPr>
          <w:iCs/>
          <w:sz w:val="18"/>
          <w:szCs w:val="18"/>
          <w:lang w:val="en-GB"/>
        </w:rPr>
        <w:t xml:space="preserve"> </w:t>
      </w:r>
      <w:r w:rsidRPr="00094FE6">
        <w:rPr>
          <w:iCs/>
          <w:sz w:val="18"/>
          <w:szCs w:val="18"/>
          <w:lang w:val="en-GB"/>
        </w:rPr>
        <w:t>151 of the final award that it was not Mr Roux`s pleaded case that his conduct caused the University to obtain some advantage from the transfers out of the University’s accounts.</w:t>
      </w:r>
      <w:r>
        <w:rPr>
          <w:iCs/>
          <w:sz w:val="18"/>
          <w:szCs w:val="18"/>
          <w:lang w:val="en-GB"/>
        </w:rPr>
        <w:t xml:space="preserve"> </w:t>
      </w:r>
      <w:r w:rsidRPr="00094FE6">
        <w:rPr>
          <w:iCs/>
          <w:sz w:val="18"/>
          <w:szCs w:val="18"/>
          <w:lang w:val="en-GB"/>
        </w:rPr>
        <w:t>He would, had that been his case</w:t>
      </w:r>
      <w:r>
        <w:rPr>
          <w:iCs/>
          <w:sz w:val="18"/>
          <w:szCs w:val="18"/>
          <w:lang w:val="en-GB"/>
        </w:rPr>
        <w:t xml:space="preserve"> he would have </w:t>
      </w:r>
      <w:r w:rsidRPr="00094FE6">
        <w:rPr>
          <w:iCs/>
          <w:sz w:val="18"/>
          <w:szCs w:val="18"/>
          <w:lang w:val="en-GB"/>
        </w:rPr>
        <w:t>been required in accordance with rule 22(2) to</w:t>
      </w:r>
      <w:r>
        <w:rPr>
          <w:iCs/>
          <w:sz w:val="18"/>
          <w:szCs w:val="18"/>
          <w:lang w:val="en-GB"/>
        </w:rPr>
        <w:t xml:space="preserve"> have </w:t>
      </w:r>
      <w:r w:rsidRPr="00094FE6">
        <w:rPr>
          <w:iCs/>
          <w:sz w:val="18"/>
          <w:szCs w:val="18"/>
          <w:lang w:val="en-GB"/>
        </w:rPr>
        <w:t>plead</w:t>
      </w:r>
      <w:r>
        <w:rPr>
          <w:iCs/>
          <w:sz w:val="18"/>
          <w:szCs w:val="18"/>
          <w:lang w:val="en-GB"/>
        </w:rPr>
        <w:t>ed</w:t>
      </w:r>
      <w:r w:rsidRPr="00094FE6">
        <w:rPr>
          <w:iCs/>
          <w:sz w:val="18"/>
          <w:szCs w:val="18"/>
          <w:lang w:val="en-GB"/>
        </w:rPr>
        <w:t xml:space="preserve"> that defence.</w:t>
      </w:r>
    </w:p>
    <w:p w14:paraId="093A8B5F" w14:textId="6DFCBD41" w:rsidR="00E245F7" w:rsidRDefault="00E245F7" w:rsidP="00094FE6">
      <w:pPr>
        <w:pStyle w:val="FootnoteText"/>
        <w:jc w:val="both"/>
        <w:rPr>
          <w:iCs/>
          <w:sz w:val="18"/>
          <w:szCs w:val="18"/>
          <w:lang w:val="en-GB"/>
        </w:rPr>
      </w:pPr>
      <w:r>
        <w:rPr>
          <w:iCs/>
          <w:sz w:val="18"/>
          <w:szCs w:val="18"/>
          <w:lang w:val="en-GB"/>
        </w:rPr>
        <w:t>149. Rule 22(2) provides:</w:t>
      </w:r>
    </w:p>
    <w:p w14:paraId="4FF2C188" w14:textId="7A4915A1" w:rsidR="00E245F7" w:rsidRDefault="00E245F7" w:rsidP="00094FE6">
      <w:pPr>
        <w:pStyle w:val="FootnoteText"/>
        <w:jc w:val="both"/>
        <w:rPr>
          <w:iCs/>
          <w:sz w:val="18"/>
          <w:szCs w:val="18"/>
          <w:lang w:val="en-GB"/>
        </w:rPr>
      </w:pPr>
      <w:r>
        <w:rPr>
          <w:iCs/>
          <w:sz w:val="18"/>
          <w:szCs w:val="18"/>
          <w:lang w:val="en-GB"/>
        </w:rPr>
        <w:t xml:space="preserve">‘The defendant shall in his plea either admit or deny or confess and avoid all the material facts alleged in the combined summons or declaration or state which of the said facts are not admitted and to what extent, </w:t>
      </w:r>
      <w:r w:rsidRPr="00235142">
        <w:rPr>
          <w:iCs/>
          <w:sz w:val="18"/>
          <w:szCs w:val="18"/>
          <w:u w:val="single"/>
          <w:lang w:val="en-GB"/>
        </w:rPr>
        <w:t>and shall clearly and concisely state all material facts upon which he relies</w:t>
      </w:r>
      <w:r>
        <w:rPr>
          <w:iCs/>
          <w:sz w:val="18"/>
          <w:szCs w:val="18"/>
          <w:lang w:val="en-GB"/>
        </w:rPr>
        <w:t xml:space="preserve"> (emphasis added)’. </w:t>
      </w:r>
    </w:p>
    <w:p w14:paraId="551E36FE" w14:textId="08BDAF23" w:rsidR="00E245F7" w:rsidRDefault="00E245F7" w:rsidP="00094FE6">
      <w:pPr>
        <w:pStyle w:val="FootnoteText"/>
        <w:jc w:val="both"/>
        <w:rPr>
          <w:sz w:val="18"/>
          <w:szCs w:val="18"/>
          <w:lang w:val="en-GB"/>
        </w:rPr>
      </w:pPr>
      <w:r>
        <w:rPr>
          <w:sz w:val="18"/>
          <w:szCs w:val="18"/>
          <w:lang w:val="en-GB"/>
        </w:rPr>
        <w:t>Para 150, The authors of Erasmus Superior Court Practice comment as follows regarding the underlined portion of the rule:</w:t>
      </w:r>
    </w:p>
    <w:p w14:paraId="60CFCD3A" w14:textId="614F507B" w:rsidR="00E245F7" w:rsidRPr="00094FE6" w:rsidRDefault="00E245F7" w:rsidP="00094FE6">
      <w:pPr>
        <w:pStyle w:val="FootnoteText"/>
        <w:jc w:val="both"/>
        <w:rPr>
          <w:sz w:val="18"/>
          <w:szCs w:val="18"/>
          <w:lang w:val="en-GB"/>
        </w:rPr>
      </w:pPr>
      <w:r>
        <w:rPr>
          <w:sz w:val="18"/>
          <w:szCs w:val="18"/>
          <w:lang w:val="en-GB"/>
        </w:rPr>
        <w:t xml:space="preserve">‘What is required of the defendant is that he states the grounds of his defence with sufficient precision, and in sufficient detail to enable the plaintiff to know what case he has to meet …In some cases, even if the defendant deals with all the allegations in the plaintiff’s combined summons or declaration, his defence will not properly appear. A bare denial of the plaintiff’s allegations may in certain circumstances not fully convey to the plaintiff the nature of the case he has to meet. An explanation or the qualification of a denial will, for example, be necessary where the denial is partial or where it implies some positive allegation by way of explanation upon which the defence will rest’.   </w:t>
      </w:r>
    </w:p>
  </w:footnote>
  <w:footnote w:id="10">
    <w:p w14:paraId="0B5F3610" w14:textId="039E1DED" w:rsidR="00E245F7" w:rsidRPr="0083387C" w:rsidRDefault="00E245F7" w:rsidP="0083387C">
      <w:pPr>
        <w:spacing w:after="480"/>
        <w:ind w:left="180" w:hanging="180"/>
        <w:jc w:val="both"/>
        <w:rPr>
          <w:sz w:val="18"/>
          <w:szCs w:val="18"/>
        </w:rPr>
      </w:pPr>
      <w:r>
        <w:rPr>
          <w:rStyle w:val="FootnoteReference"/>
        </w:rPr>
        <w:footnoteRef/>
      </w:r>
      <w:r>
        <w:t xml:space="preserve"> </w:t>
      </w:r>
      <w:r w:rsidRPr="0083387C">
        <w:rPr>
          <w:sz w:val="18"/>
          <w:szCs w:val="18"/>
        </w:rPr>
        <w:t xml:space="preserve">It appeared </w:t>
      </w:r>
      <w:r>
        <w:rPr>
          <w:sz w:val="18"/>
          <w:szCs w:val="18"/>
        </w:rPr>
        <w:t>in</w:t>
      </w:r>
      <w:r w:rsidRPr="0083387C">
        <w:rPr>
          <w:sz w:val="18"/>
          <w:szCs w:val="18"/>
        </w:rPr>
        <w:t xml:space="preserve"> the heads of argument</w:t>
      </w:r>
      <w:r>
        <w:rPr>
          <w:sz w:val="18"/>
          <w:szCs w:val="18"/>
        </w:rPr>
        <w:t xml:space="preserve"> filed</w:t>
      </w:r>
      <w:r w:rsidRPr="0083387C">
        <w:rPr>
          <w:sz w:val="18"/>
          <w:szCs w:val="18"/>
        </w:rPr>
        <w:t xml:space="preserve"> on behalf of Mr Roux before the appeal tribunal and attached to the founding affidavit </w:t>
      </w:r>
      <w:r>
        <w:rPr>
          <w:sz w:val="18"/>
          <w:szCs w:val="18"/>
        </w:rPr>
        <w:t xml:space="preserve">in this application, </w:t>
      </w:r>
      <w:r w:rsidRPr="0083387C">
        <w:rPr>
          <w:sz w:val="18"/>
          <w:szCs w:val="18"/>
        </w:rPr>
        <w:t>the evidence by Mr Roux was</w:t>
      </w:r>
      <w:r>
        <w:rPr>
          <w:sz w:val="18"/>
          <w:szCs w:val="18"/>
        </w:rPr>
        <w:t xml:space="preserve"> recorded </w:t>
      </w:r>
      <w:r w:rsidRPr="0083387C">
        <w:rPr>
          <w:sz w:val="18"/>
          <w:szCs w:val="18"/>
        </w:rPr>
        <w:t>as:</w:t>
      </w:r>
    </w:p>
    <w:p w14:paraId="5EA9CBAB" w14:textId="0756B69A" w:rsidR="00E245F7" w:rsidRPr="0083387C" w:rsidRDefault="00E245F7" w:rsidP="0083387C">
      <w:pPr>
        <w:tabs>
          <w:tab w:val="left" w:pos="180"/>
        </w:tabs>
        <w:spacing w:after="480"/>
        <w:ind w:left="180"/>
        <w:jc w:val="both"/>
        <w:rPr>
          <w:sz w:val="18"/>
          <w:szCs w:val="18"/>
        </w:rPr>
      </w:pPr>
      <w:r w:rsidRPr="0083387C">
        <w:rPr>
          <w:sz w:val="18"/>
          <w:szCs w:val="18"/>
        </w:rPr>
        <w:t>“…[O]ns kan honderde transaksies kry wat niks met transformasie te doen het nie want dis in die normale gang van die Rugby Klub en sy uitgawes. Ek sê weer, selfs hierdie proses een en elke keer twee rekenmeesters, twee universiteits getekenmagtigde amptenare wat een en elke keer hierdie uitgawes goedgekeur het as legitieme universiteitsuitgawes. Dit is so getuig deur KPMG en mnr Lombard het ook gesê dat hy dit nie kan betwyfel nie”</w:t>
      </w:r>
      <w:r>
        <w:rPr>
          <w:sz w:val="18"/>
          <w:szCs w:val="18"/>
        </w:rPr>
        <w:t>. [Record vol 22 pp2398/20-2399/2]</w:t>
      </w:r>
      <w:r w:rsidRPr="0083387C">
        <w:rPr>
          <w:sz w:val="18"/>
          <w:szCs w:val="18"/>
        </w:rPr>
        <w:t>.</w:t>
      </w:r>
    </w:p>
    <w:p w14:paraId="32F74061" w14:textId="29AA5175" w:rsidR="00E245F7" w:rsidRPr="0083387C" w:rsidRDefault="00E245F7" w:rsidP="0083387C">
      <w:pPr>
        <w:spacing w:after="480"/>
        <w:ind w:left="90" w:hanging="90"/>
        <w:jc w:val="both"/>
        <w:rPr>
          <w:sz w:val="18"/>
          <w:szCs w:val="18"/>
        </w:rPr>
      </w:pPr>
    </w:p>
    <w:p w14:paraId="06B48769" w14:textId="70A11FD6" w:rsidR="00E245F7" w:rsidRPr="00B3099B" w:rsidRDefault="00E245F7">
      <w:pPr>
        <w:pStyle w:val="FootnoteText"/>
        <w:rPr>
          <w:lang w:val="en-GB"/>
        </w:rPr>
      </w:pPr>
    </w:p>
  </w:footnote>
  <w:footnote w:id="11">
    <w:p w14:paraId="7E6E4791" w14:textId="5A2B1456" w:rsidR="00E245F7" w:rsidRPr="00B3099B" w:rsidRDefault="00E245F7" w:rsidP="00045C18">
      <w:pPr>
        <w:jc w:val="both"/>
        <w:rPr>
          <w:rFonts w:eastAsia="DengXian"/>
          <w:color w:val="000000" w:themeColor="text1"/>
          <w:sz w:val="18"/>
          <w:szCs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FootnoteReference"/>
        </w:rPr>
        <w:footnoteRef/>
      </w:r>
      <w:r>
        <w:t xml:space="preserve"> </w:t>
      </w:r>
      <w:r w:rsidRPr="00A33E20">
        <w:rPr>
          <w:sz w:val="18"/>
          <w:szCs w:val="18"/>
        </w:rPr>
        <w:t xml:space="preserve">Counsel for the University pointed out that unauthorised expenditure of these public funds were of the utmost </w:t>
      </w:r>
      <w:r>
        <w:rPr>
          <w:sz w:val="18"/>
          <w:szCs w:val="18"/>
        </w:rPr>
        <w:t xml:space="preserve">      </w:t>
      </w:r>
      <w:r w:rsidRPr="00A33E20">
        <w:rPr>
          <w:sz w:val="18"/>
          <w:szCs w:val="18"/>
        </w:rPr>
        <w:t>seriousness</w:t>
      </w:r>
      <w:r>
        <w:rPr>
          <w:sz w:val="18"/>
          <w:szCs w:val="18"/>
        </w:rPr>
        <w:t xml:space="preserve"> and referenced, the </w:t>
      </w:r>
      <w:r w:rsidRPr="00B3099B">
        <w:rPr>
          <w:rFonts w:eastAsia="DengXian"/>
          <w:sz w:val="18"/>
          <w:szCs w:val="18"/>
          <w:lang w:eastAsia="zh-CN"/>
        </w:rPr>
        <w:t>National Treasury guidelines</w:t>
      </w:r>
      <w:r>
        <w:rPr>
          <w:rFonts w:eastAsia="DengXian"/>
          <w:sz w:val="18"/>
          <w:szCs w:val="18"/>
          <w:lang w:eastAsia="zh-CN"/>
        </w:rPr>
        <w:t xml:space="preserve"> that</w:t>
      </w:r>
      <w:r w:rsidRPr="00B3099B">
        <w:rPr>
          <w:rFonts w:eastAsia="DengXian"/>
          <w:sz w:val="18"/>
          <w:szCs w:val="18"/>
          <w:lang w:eastAsia="zh-CN"/>
        </w:rPr>
        <w:t xml:space="preserve"> require</w:t>
      </w:r>
      <w:r>
        <w:rPr>
          <w:rFonts w:eastAsia="DengXian"/>
          <w:sz w:val="18"/>
          <w:szCs w:val="18"/>
          <w:lang w:eastAsia="zh-CN"/>
        </w:rPr>
        <w:t>d</w:t>
      </w:r>
      <w:r w:rsidRPr="00B3099B">
        <w:rPr>
          <w:rFonts w:eastAsia="DengXian"/>
          <w:sz w:val="18"/>
          <w:szCs w:val="18"/>
          <w:lang w:eastAsia="zh-CN"/>
        </w:rPr>
        <w:t xml:space="preserve"> unauthorised and irregular expenditure of public funds to be claimed from the guilty party. See, for example, National Treasury</w:t>
      </w:r>
      <w:r>
        <w:rPr>
          <w:rFonts w:eastAsia="DengXian"/>
          <w:sz w:val="18"/>
          <w:szCs w:val="18"/>
          <w:lang w:eastAsia="zh-CN"/>
        </w:rPr>
        <w:t>,</w:t>
      </w:r>
      <w:r w:rsidRPr="00B3099B">
        <w:rPr>
          <w:rFonts w:eastAsia="DengXian"/>
          <w:sz w:val="18"/>
          <w:szCs w:val="18"/>
          <w:lang w:eastAsia="zh-CN"/>
        </w:rPr>
        <w:t xml:space="preserve"> </w:t>
      </w:r>
      <w:r w:rsidRPr="00B3099B">
        <w:rPr>
          <w:rFonts w:eastAsia="DengXian"/>
          <w:i/>
          <w:iCs/>
          <w:sz w:val="18"/>
          <w:szCs w:val="18"/>
          <w:lang w:eastAsia="zh-CN"/>
        </w:rPr>
        <w:t xml:space="preserve">“Irregular Expenditure Framework”, </w:t>
      </w:r>
      <w:r w:rsidRPr="00B3099B">
        <w:rPr>
          <w:rFonts w:eastAsia="DengXian"/>
          <w:sz w:val="18"/>
          <w:szCs w:val="18"/>
          <w:lang w:eastAsia="zh-CN"/>
        </w:rPr>
        <w:t xml:space="preserve">available at </w:t>
      </w:r>
      <w:r w:rsidRPr="00B3099B">
        <w:rPr>
          <w:rFonts w:eastAsia="DengXian"/>
          <w:color w:val="000000" w:themeColor="text1"/>
          <w:sz w:val="18"/>
          <w:szCs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http://www.treasury.gov.za/legislation/pfma/TreasuryInstruction/AccountGeneral.aspx.</w:t>
      </w:r>
    </w:p>
    <w:p w14:paraId="74A0EE21" w14:textId="0C45CC31" w:rsidR="00E245F7" w:rsidRPr="00A33E20" w:rsidRDefault="00E245F7" w:rsidP="001377AA">
      <w:pPr>
        <w:pStyle w:val="FootnoteText"/>
        <w:jc w:val="both"/>
        <w:rPr>
          <w:sz w:val="18"/>
          <w:szCs w:val="18"/>
          <w:lang w:val="en-GB"/>
        </w:rPr>
      </w:pPr>
    </w:p>
  </w:footnote>
  <w:footnote w:id="12">
    <w:p w14:paraId="4ACFF205" w14:textId="77777777" w:rsidR="00E245F7" w:rsidRDefault="00E245F7" w:rsidP="00F347AE">
      <w:pPr>
        <w:pStyle w:val="FootnoteText"/>
        <w:rPr>
          <w:sz w:val="18"/>
          <w:szCs w:val="18"/>
          <w:lang w:val="en-GB"/>
        </w:rPr>
      </w:pPr>
      <w:r>
        <w:rPr>
          <w:rStyle w:val="FootnoteReference"/>
        </w:rPr>
        <w:footnoteRef/>
      </w:r>
      <w:r>
        <w:t xml:space="preserve"> </w:t>
      </w:r>
      <w:r>
        <w:rPr>
          <w:sz w:val="18"/>
          <w:szCs w:val="18"/>
          <w:lang w:val="en-GB"/>
        </w:rPr>
        <w:t xml:space="preserve">I have included the full text of the Appeal Tribunal’s finding as it is necessary to reflect it properly. </w:t>
      </w:r>
    </w:p>
  </w:footnote>
  <w:footnote w:id="13">
    <w:p w14:paraId="41635654" w14:textId="4B8AE2A5" w:rsidR="00E245F7" w:rsidRPr="00616A4B" w:rsidRDefault="00E245F7" w:rsidP="004F3460">
      <w:pPr>
        <w:jc w:val="both"/>
        <w:rPr>
          <w:sz w:val="18"/>
          <w:szCs w:val="18"/>
        </w:rPr>
      </w:pPr>
      <w:r>
        <w:rPr>
          <w:rStyle w:val="FootnoteReference"/>
        </w:rPr>
        <w:footnoteRef/>
      </w:r>
      <w:r>
        <w:t xml:space="preserve"> </w:t>
      </w:r>
      <w:r w:rsidRPr="00616A4B">
        <w:rPr>
          <w:sz w:val="18"/>
          <w:szCs w:val="18"/>
        </w:rPr>
        <w:t>33. (1) Everyone has the right to administrative action that is lawful, reasonable and procedurally fair. (2) Everyone whose rights have been adversely affected by administrative action has the right to be given written reasons. (3) National legislation must be enacted to give effect to these rights, and must— Chapter 2: Bill of Rights 14 (a) provide for the review of administrative action by a court or, where appropriate, an independent and impartial tribunal; (b) impose a duty on the state to give effect to the rights in subsections (1) and (2); and (c) promote an efficient administration.</w:t>
      </w:r>
    </w:p>
    <w:p w14:paraId="1ADF2FC3" w14:textId="24AEDC8E" w:rsidR="00E245F7" w:rsidRPr="00616A4B" w:rsidRDefault="00E245F7">
      <w:pPr>
        <w:pStyle w:val="FootnoteText"/>
        <w:rPr>
          <w:sz w:val="18"/>
          <w:szCs w:val="18"/>
          <w:lang w:val="en-GB"/>
        </w:rPr>
      </w:pPr>
    </w:p>
  </w:footnote>
  <w:footnote w:id="14">
    <w:p w14:paraId="3B6264DC" w14:textId="183EC526" w:rsidR="00E245F7" w:rsidRPr="00616A4B" w:rsidRDefault="00E245F7" w:rsidP="003655D6">
      <w:pPr>
        <w:jc w:val="both"/>
        <w:rPr>
          <w:sz w:val="18"/>
          <w:szCs w:val="18"/>
        </w:rPr>
      </w:pPr>
      <w:r w:rsidRPr="00616A4B">
        <w:rPr>
          <w:rStyle w:val="FootnoteReference"/>
          <w:sz w:val="18"/>
          <w:szCs w:val="18"/>
        </w:rPr>
        <w:footnoteRef/>
      </w:r>
      <w:r w:rsidRPr="00616A4B">
        <w:rPr>
          <w:sz w:val="18"/>
          <w:szCs w:val="18"/>
        </w:rPr>
        <w:t>145(2)(a)(ii) ‘that a defect referred to in subsection (1), means: ‘a… that the Commissioner</w:t>
      </w:r>
      <w:r w:rsidRPr="00616A4B">
        <w:rPr>
          <w:sz w:val="18"/>
          <w:szCs w:val="18"/>
        </w:rPr>
        <w:softHyphen/>
        <w:t xml:space="preserve"> (i) committed misconduct in relation to the duties of the commissioner as an arbitrator; (ii) committed gross irregularity in the conduct of the arbitration proceedings; or….’</w:t>
      </w:r>
    </w:p>
    <w:p w14:paraId="5BF40BFE" w14:textId="23A53A0E" w:rsidR="00E245F7" w:rsidRPr="00616A4B" w:rsidRDefault="00E245F7">
      <w:pPr>
        <w:pStyle w:val="FootnoteText"/>
        <w:rPr>
          <w:sz w:val="18"/>
          <w:szCs w:val="18"/>
          <w:lang w:val="en-GB"/>
        </w:rPr>
      </w:pPr>
    </w:p>
  </w:footnote>
  <w:footnote w:id="15">
    <w:p w14:paraId="4EEA774A" w14:textId="2D83FF77" w:rsidR="00E245F7" w:rsidRPr="00616A4B" w:rsidRDefault="00E245F7">
      <w:pPr>
        <w:pStyle w:val="FootnoteText"/>
        <w:rPr>
          <w:sz w:val="18"/>
          <w:szCs w:val="18"/>
          <w:lang w:val="en-GB"/>
        </w:rPr>
      </w:pPr>
      <w:r w:rsidRPr="00616A4B">
        <w:rPr>
          <w:rStyle w:val="FootnoteReference"/>
          <w:sz w:val="18"/>
          <w:szCs w:val="18"/>
        </w:rPr>
        <w:footnoteRef/>
      </w:r>
      <w:r w:rsidRPr="00616A4B">
        <w:rPr>
          <w:sz w:val="18"/>
          <w:szCs w:val="18"/>
        </w:rPr>
        <w:t xml:space="preserve"> </w:t>
      </w:r>
      <w:r w:rsidRPr="00616A4B">
        <w:rPr>
          <w:sz w:val="18"/>
          <w:szCs w:val="18"/>
          <w:lang w:val="en-GB"/>
        </w:rPr>
        <w:t>See also Herholdt v Nedbank (Cosatu as Amicus Curiae – 2013 (6) SA 224 (SCA).</w:t>
      </w:r>
    </w:p>
  </w:footnote>
  <w:footnote w:id="16">
    <w:p w14:paraId="3584AB7C" w14:textId="0500AE6A" w:rsidR="00E245F7" w:rsidRPr="00395EAC" w:rsidRDefault="00E245F7" w:rsidP="00AD0131">
      <w:pPr>
        <w:pStyle w:val="Level1"/>
        <w:numPr>
          <w:ilvl w:val="0"/>
          <w:numId w:val="0"/>
        </w:numPr>
        <w:spacing w:line="240" w:lineRule="auto"/>
        <w:rPr>
          <w:sz w:val="18"/>
          <w:szCs w:val="18"/>
          <w:lang w:val="en-GB"/>
        </w:rPr>
      </w:pPr>
      <w:r>
        <w:rPr>
          <w:rStyle w:val="FootnoteReference"/>
        </w:rPr>
        <w:footnoteRef/>
      </w:r>
      <w:r>
        <w:t xml:space="preserve"> </w:t>
      </w:r>
      <w:r w:rsidRPr="00395EAC">
        <w:rPr>
          <w:sz w:val="18"/>
          <w:szCs w:val="18"/>
          <w:lang w:val="en-GB"/>
        </w:rPr>
        <w:t>Ramsden: The Law of Arbitration (2010 reprint) 201,</w:t>
      </w:r>
      <w:r>
        <w:rPr>
          <w:sz w:val="18"/>
          <w:szCs w:val="18"/>
          <w:lang w:val="en-GB"/>
        </w:rPr>
        <w:t xml:space="preserve"> </w:t>
      </w:r>
      <w:r w:rsidRPr="00395EAC">
        <w:rPr>
          <w:sz w:val="18"/>
          <w:szCs w:val="18"/>
          <w:lang w:val="en-GB"/>
        </w:rPr>
        <w:t xml:space="preserve">Harms JA in Telcordia </w:t>
      </w:r>
      <w:r w:rsidRPr="00AD0131">
        <w:rPr>
          <w:sz w:val="18"/>
          <w:szCs w:val="18"/>
        </w:rPr>
        <w:t>Technologies Inc v Telkom SA Ltd 2007 (3) SA 266 (SCA)</w:t>
      </w:r>
      <w:r w:rsidRPr="00AD0131">
        <w:rPr>
          <w:sz w:val="18"/>
          <w:szCs w:val="18"/>
          <w:lang w:val="en-GB"/>
        </w:rPr>
        <w:t xml:space="preserve"> </w:t>
      </w:r>
      <w:r>
        <w:rPr>
          <w:sz w:val="18"/>
          <w:szCs w:val="18"/>
          <w:lang w:val="en-GB"/>
        </w:rPr>
        <w:t xml:space="preserve">at para 67, following a </w:t>
      </w:r>
      <w:r w:rsidRPr="00395EAC">
        <w:rPr>
          <w:sz w:val="18"/>
          <w:szCs w:val="18"/>
          <w:lang w:val="en-GB"/>
        </w:rPr>
        <w:t>recordal of the origins of the Act and in application to the authorities to the contention raised by the respondent in</w:t>
      </w:r>
      <w:r>
        <w:rPr>
          <w:sz w:val="18"/>
          <w:szCs w:val="18"/>
          <w:lang w:val="en-GB"/>
        </w:rPr>
        <w:t xml:space="preserve"> </w:t>
      </w:r>
      <w:r w:rsidRPr="00395EAC">
        <w:rPr>
          <w:sz w:val="18"/>
          <w:szCs w:val="18"/>
          <w:lang w:val="en-GB"/>
        </w:rPr>
        <w:t>that matter …”</w:t>
      </w:r>
      <w:r>
        <w:rPr>
          <w:sz w:val="18"/>
          <w:szCs w:val="18"/>
          <w:lang w:val="en-GB"/>
        </w:rPr>
        <w:t xml:space="preserve"> </w:t>
      </w:r>
      <w:r w:rsidRPr="00395EAC">
        <w:rPr>
          <w:sz w:val="18"/>
          <w:szCs w:val="18"/>
          <w:lang w:val="en-GB"/>
        </w:rPr>
        <w:t>In any event the parties bound themselves to arbitration in terms of the Act,</w:t>
      </w:r>
      <w:r>
        <w:rPr>
          <w:sz w:val="18"/>
          <w:szCs w:val="18"/>
          <w:lang w:val="en-GB"/>
        </w:rPr>
        <w:t xml:space="preserve"> and if the Act, </w:t>
      </w:r>
      <w:r w:rsidRPr="00395EAC">
        <w:rPr>
          <w:sz w:val="18"/>
          <w:szCs w:val="18"/>
          <w:lang w:val="en-GB"/>
        </w:rPr>
        <w:t>properly interpreted,</w:t>
      </w:r>
      <w:r>
        <w:rPr>
          <w:sz w:val="18"/>
          <w:szCs w:val="18"/>
          <w:lang w:val="en-GB"/>
        </w:rPr>
        <w:t xml:space="preserve"> </w:t>
      </w:r>
      <w:r w:rsidRPr="00395EAC">
        <w:rPr>
          <w:sz w:val="18"/>
          <w:szCs w:val="18"/>
          <w:lang w:val="en-GB"/>
        </w:rPr>
        <w:t>does not allow a review for a material error of law,</w:t>
      </w:r>
      <w:r>
        <w:rPr>
          <w:sz w:val="18"/>
          <w:szCs w:val="18"/>
          <w:lang w:val="en-GB"/>
        </w:rPr>
        <w:t xml:space="preserve"> </w:t>
      </w:r>
      <w:r w:rsidRPr="00395EAC">
        <w:rPr>
          <w:sz w:val="18"/>
          <w:szCs w:val="18"/>
          <w:lang w:val="en-GB"/>
        </w:rPr>
        <w:t>one cannot imply a contrary term.</w:t>
      </w:r>
      <w:r>
        <w:rPr>
          <w:sz w:val="18"/>
          <w:szCs w:val="18"/>
          <w:lang w:val="en-GB"/>
        </w:rPr>
        <w:t xml:space="preserve"> </w:t>
      </w:r>
      <w:r w:rsidRPr="00395EAC">
        <w:rPr>
          <w:sz w:val="18"/>
          <w:szCs w:val="18"/>
          <w:lang w:val="en-GB"/>
        </w:rPr>
        <w:t>Also parties cannot by agreement extend the grounds of review as contained in the Act”</w:t>
      </w:r>
      <w:r>
        <w:rPr>
          <w:sz w:val="18"/>
          <w:szCs w:val="18"/>
          <w:lang w:val="en-GB"/>
        </w:rPr>
        <w:t>.</w:t>
      </w:r>
      <w:r w:rsidRPr="00395EAC">
        <w:rPr>
          <w:sz w:val="18"/>
          <w:szCs w:val="18"/>
          <w:lang w:val="en-GB"/>
        </w:rPr>
        <w:t xml:space="preserve">   </w:t>
      </w:r>
    </w:p>
  </w:footnote>
  <w:footnote w:id="17">
    <w:p w14:paraId="3DB39142" w14:textId="5932A983" w:rsidR="00E245F7" w:rsidRPr="00DD3F3F" w:rsidRDefault="00E245F7">
      <w:pPr>
        <w:pStyle w:val="FootnoteText"/>
        <w:rPr>
          <w:sz w:val="18"/>
          <w:szCs w:val="18"/>
          <w:lang w:val="en-GB"/>
        </w:rPr>
      </w:pPr>
      <w:r>
        <w:rPr>
          <w:rStyle w:val="FootnoteReference"/>
        </w:rPr>
        <w:footnoteRef/>
      </w:r>
      <w:r>
        <w:t xml:space="preserve"> </w:t>
      </w:r>
      <w:r w:rsidRPr="00DD3F3F">
        <w:rPr>
          <w:sz w:val="18"/>
          <w:szCs w:val="18"/>
          <w:lang w:val="en-GB"/>
        </w:rPr>
        <w:t xml:space="preserve">At 236-237; </w:t>
      </w:r>
      <w:r>
        <w:rPr>
          <w:sz w:val="18"/>
          <w:szCs w:val="18"/>
          <w:lang w:val="en-GB"/>
        </w:rPr>
        <w:t xml:space="preserve">   </w:t>
      </w:r>
    </w:p>
  </w:footnote>
  <w:footnote w:id="18">
    <w:p w14:paraId="64AA16AA" w14:textId="2A92A0D9" w:rsidR="00E245F7" w:rsidRPr="006F3E80" w:rsidRDefault="00E245F7" w:rsidP="00E24DC2">
      <w:pPr>
        <w:pStyle w:val="FootnoteText"/>
        <w:jc w:val="both"/>
        <w:rPr>
          <w:sz w:val="18"/>
          <w:szCs w:val="18"/>
        </w:rPr>
      </w:pPr>
      <w:r>
        <w:rPr>
          <w:rStyle w:val="FootnoteReference"/>
        </w:rPr>
        <w:footnoteRef/>
      </w:r>
      <w:r>
        <w:t xml:space="preserve"> </w:t>
      </w:r>
      <w:r w:rsidRPr="006F3E80">
        <w:rPr>
          <w:sz w:val="18"/>
          <w:szCs w:val="18"/>
        </w:rPr>
        <w:t>Counsel for the University usefully referred to a presentation delivered by Brand JA titled “JUDICIAL REVIEW OF ARBITRATION AWARD” at the University of Stellenbosch,</w:t>
      </w:r>
      <w:r>
        <w:rPr>
          <w:sz w:val="18"/>
          <w:szCs w:val="18"/>
        </w:rPr>
        <w:t xml:space="preserve"> where amongst others, he stated;</w:t>
      </w:r>
      <w:r w:rsidRPr="006F3E80">
        <w:rPr>
          <w:sz w:val="18"/>
          <w:szCs w:val="18"/>
        </w:rPr>
        <w:t xml:space="preserve"> ‘</w:t>
      </w:r>
      <w:r>
        <w:rPr>
          <w:sz w:val="18"/>
          <w:szCs w:val="18"/>
        </w:rPr>
        <w:t>…</w:t>
      </w:r>
      <w:r w:rsidRPr="006F3E80">
        <w:rPr>
          <w:sz w:val="18"/>
          <w:szCs w:val="18"/>
        </w:rPr>
        <w:t xml:space="preserve">It is remarkable that the advantages of arbitration are as true today as they were when Voet described them in his day. He wrote that arbitration was often resorted to for “the termination of a suit and the avoidance of a formal trial” as an alternative to the “heavy expenses of lawsuits, the din of legal proceedings, their harassing labours and pernicious delays, and finally the burdensome and weary waiting on the uncertainty of law”. His comments bring another age-old truth into sharp relief: the primary and essential value of arbitration lies in the very fact that it exists as a way of avoiding a formal trial. Indeed, the advantages of arbitration are unfailingly framed in comparison with the disadvantages of litigation, and centre on the ways in which arbitration offers a means of circumventing these. </w:t>
      </w:r>
    </w:p>
    <w:p w14:paraId="3E1AA301" w14:textId="77777777" w:rsidR="00E245F7" w:rsidRPr="006F3E80" w:rsidRDefault="00E245F7" w:rsidP="00E24DC2">
      <w:pPr>
        <w:pStyle w:val="FootnoteText"/>
        <w:jc w:val="both"/>
        <w:rPr>
          <w:sz w:val="18"/>
          <w:szCs w:val="18"/>
        </w:rPr>
      </w:pPr>
      <w:r w:rsidRPr="006F3E80">
        <w:rPr>
          <w:sz w:val="18"/>
          <w:szCs w:val="18"/>
        </w:rPr>
        <w:t>It stands to reason, then, that these advantages are diminished, or even largely destroyed, if the courts should adopt an over-keen approach to intervene in arbitration awards. This is so because an interventionist approach by the courts is likely to encourage losing parties who feel that the arbitrator’s decision is wrong – as losing parties mostly do – to take their chances with the court. And if arbitration becomes a mere prelude to judicial review, its essential virtue is lost. There is also the argument that is wrong in principle for the courts to meddle in disputes that the parties themselves clearly chose to withdraw from them.</w:t>
      </w:r>
    </w:p>
    <w:p w14:paraId="5F8541EB" w14:textId="77777777" w:rsidR="00E245F7" w:rsidRDefault="00E245F7" w:rsidP="00E24DC2">
      <w:pPr>
        <w:pStyle w:val="FootnoteText"/>
        <w:jc w:val="both"/>
        <w:rPr>
          <w:sz w:val="18"/>
          <w:szCs w:val="18"/>
        </w:rPr>
      </w:pPr>
      <w:r w:rsidRPr="006F3E80">
        <w:rPr>
          <w:sz w:val="18"/>
          <w:szCs w:val="18"/>
        </w:rPr>
        <w:t>After all this it seems that gross irregularity in the conduct of proceedings now bears two meanings in consensual or private arbitrations, on the one hand, and LRA arbitrations, on the other hand, while in statutory arbitrations, outside the field of the LRA, the position is governed by section 6 of PAJA.</w:t>
      </w:r>
    </w:p>
    <w:p w14:paraId="204D4B25" w14:textId="28DC60C8" w:rsidR="00E245F7" w:rsidRPr="006F3E80" w:rsidRDefault="00E245F7" w:rsidP="00E24DC2">
      <w:pPr>
        <w:pStyle w:val="FootnoteText"/>
        <w:jc w:val="both"/>
        <w:rPr>
          <w:sz w:val="18"/>
          <w:szCs w:val="18"/>
          <w:lang w:val="en-GB"/>
        </w:rPr>
      </w:pPr>
      <w:r w:rsidRPr="006F3E80">
        <w:rPr>
          <w:sz w:val="18"/>
          <w:szCs w:val="18"/>
        </w:rPr>
        <w:t xml:space="preserve"> Counsel for Mr Roux </w:t>
      </w:r>
      <w:r>
        <w:rPr>
          <w:sz w:val="18"/>
          <w:szCs w:val="18"/>
        </w:rPr>
        <w:t xml:space="preserve">appropriately </w:t>
      </w:r>
      <w:r w:rsidRPr="006F3E80">
        <w:rPr>
          <w:sz w:val="18"/>
          <w:szCs w:val="18"/>
        </w:rPr>
        <w:t xml:space="preserve">pointed </w:t>
      </w:r>
      <w:r>
        <w:rPr>
          <w:sz w:val="18"/>
          <w:szCs w:val="18"/>
        </w:rPr>
        <w:t xml:space="preserve">to </w:t>
      </w:r>
      <w:r w:rsidRPr="006F3E80">
        <w:rPr>
          <w:sz w:val="18"/>
          <w:szCs w:val="18"/>
        </w:rPr>
        <w:t>the following remarks</w:t>
      </w:r>
      <w:r>
        <w:rPr>
          <w:sz w:val="18"/>
          <w:szCs w:val="18"/>
        </w:rPr>
        <w:t xml:space="preserve"> made </w:t>
      </w:r>
      <w:r w:rsidRPr="006F3E80">
        <w:rPr>
          <w:sz w:val="18"/>
          <w:szCs w:val="18"/>
        </w:rPr>
        <w:t>in the paper</w:t>
      </w:r>
      <w:r>
        <w:rPr>
          <w:sz w:val="18"/>
          <w:szCs w:val="18"/>
        </w:rPr>
        <w:t>;</w:t>
      </w:r>
      <w:r w:rsidRPr="006F3E80">
        <w:rPr>
          <w:sz w:val="18"/>
          <w:szCs w:val="18"/>
        </w:rPr>
        <w:t xml:space="preserve"> ‘</w:t>
      </w:r>
      <w:r>
        <w:rPr>
          <w:sz w:val="18"/>
          <w:szCs w:val="18"/>
        </w:rPr>
        <w:t>…</w:t>
      </w:r>
      <w:r w:rsidRPr="006F3E80">
        <w:rPr>
          <w:sz w:val="18"/>
          <w:szCs w:val="18"/>
        </w:rPr>
        <w:t>On the other hand, courts cannot distance themselves completely from the arbitration process. The paradox intrinsic to arbitration is that it requires the force and assistance of the very institution from which it seeks to escape”</w:t>
      </w:r>
    </w:p>
  </w:footnote>
  <w:footnote w:id="19">
    <w:p w14:paraId="09AB1ECA" w14:textId="38197B52" w:rsidR="00E245F7" w:rsidRPr="001C31E3" w:rsidRDefault="00E245F7" w:rsidP="001C31E3">
      <w:pPr>
        <w:jc w:val="both"/>
        <w:rPr>
          <w:sz w:val="18"/>
          <w:szCs w:val="18"/>
        </w:rPr>
      </w:pPr>
      <w:r w:rsidRPr="001C31E3">
        <w:rPr>
          <w:rStyle w:val="FootnoteReference"/>
          <w:sz w:val="18"/>
          <w:szCs w:val="18"/>
        </w:rPr>
        <w:footnoteRef/>
      </w:r>
      <w:r>
        <w:rPr>
          <w:sz w:val="18"/>
          <w:szCs w:val="18"/>
        </w:rPr>
        <w:t xml:space="preserve"> Ellis v Morgan, Ellis v Dessai 1909 TS 576 at 581.</w:t>
      </w:r>
    </w:p>
    <w:p w14:paraId="7C04767F" w14:textId="6A43B818" w:rsidR="00E245F7" w:rsidRPr="001C31E3" w:rsidRDefault="00E245F7">
      <w:pPr>
        <w:pStyle w:val="FootnoteText"/>
        <w:rPr>
          <w:lang w:val="en-GB"/>
        </w:rPr>
      </w:pPr>
    </w:p>
  </w:footnote>
  <w:footnote w:id="20">
    <w:p w14:paraId="0DD45CCD" w14:textId="2BDD7A25" w:rsidR="00E245F7" w:rsidRDefault="00E245F7" w:rsidP="003549CD">
      <w:pPr>
        <w:pStyle w:val="Level1"/>
        <w:numPr>
          <w:ilvl w:val="0"/>
          <w:numId w:val="0"/>
        </w:numPr>
        <w:spacing w:line="240" w:lineRule="auto"/>
        <w:rPr>
          <w:iCs/>
          <w:sz w:val="18"/>
          <w:szCs w:val="18"/>
        </w:rPr>
      </w:pPr>
      <w:r>
        <w:rPr>
          <w:rStyle w:val="FootnoteReference"/>
        </w:rPr>
        <w:footnoteRef/>
      </w:r>
      <w:r>
        <w:t xml:space="preserve"> </w:t>
      </w:r>
      <w:r w:rsidRPr="00B83482">
        <w:rPr>
          <w:iCs/>
          <w:sz w:val="18"/>
          <w:szCs w:val="18"/>
        </w:rPr>
        <w:t>In this regard counsel for Mr Roux placed reliance of the concurring</w:t>
      </w:r>
      <w:r>
        <w:rPr>
          <w:iCs/>
          <w:sz w:val="18"/>
          <w:szCs w:val="18"/>
        </w:rPr>
        <w:t xml:space="preserve"> </w:t>
      </w:r>
      <w:r w:rsidRPr="00B83482">
        <w:rPr>
          <w:iCs/>
          <w:sz w:val="18"/>
          <w:szCs w:val="18"/>
        </w:rPr>
        <w:t xml:space="preserve">judgment of Nugent JA </w:t>
      </w:r>
      <w:r>
        <w:rPr>
          <w:iCs/>
          <w:sz w:val="18"/>
          <w:szCs w:val="18"/>
        </w:rPr>
        <w:t>i</w:t>
      </w:r>
      <w:r w:rsidRPr="00B83482">
        <w:rPr>
          <w:iCs/>
          <w:sz w:val="18"/>
          <w:szCs w:val="18"/>
        </w:rPr>
        <w:t>n which he summarise</w:t>
      </w:r>
      <w:r w:rsidR="009538C0">
        <w:rPr>
          <w:iCs/>
          <w:sz w:val="18"/>
          <w:szCs w:val="18"/>
        </w:rPr>
        <w:t>d</w:t>
      </w:r>
      <w:r w:rsidRPr="00B83482">
        <w:rPr>
          <w:iCs/>
          <w:sz w:val="18"/>
          <w:szCs w:val="18"/>
        </w:rPr>
        <w:t xml:space="preserve"> the position of the majority judgme</w:t>
      </w:r>
      <w:r>
        <w:rPr>
          <w:iCs/>
          <w:sz w:val="18"/>
          <w:szCs w:val="18"/>
        </w:rPr>
        <w:t xml:space="preserve">nt as follows: </w:t>
      </w:r>
    </w:p>
    <w:p w14:paraId="6D2B80A3" w14:textId="0A5E859A" w:rsidR="00E245F7" w:rsidRDefault="00E245F7" w:rsidP="003549CD">
      <w:pPr>
        <w:pStyle w:val="Level1"/>
        <w:numPr>
          <w:ilvl w:val="0"/>
          <w:numId w:val="0"/>
        </w:numPr>
        <w:spacing w:line="240" w:lineRule="auto"/>
        <w:rPr>
          <w:iCs/>
          <w:sz w:val="18"/>
          <w:szCs w:val="18"/>
          <w:lang w:val="en-GB"/>
        </w:rPr>
      </w:pPr>
      <w:r>
        <w:rPr>
          <w:iCs/>
          <w:sz w:val="18"/>
          <w:szCs w:val="18"/>
          <w:lang w:val="en-GB"/>
        </w:rPr>
        <w:t>‘</w:t>
      </w:r>
      <w:r w:rsidRPr="003549CD">
        <w:rPr>
          <w:iCs/>
          <w:sz w:val="18"/>
          <w:szCs w:val="18"/>
          <w:lang w:val="en-GB"/>
        </w:rPr>
        <w:t>[29] … As appears from the judgment of Nienaber JA at paras [22] ff, at least the money that is realised from the right of action in contract against the seller must be taken into account in determining whether and to what extent the respondent suffered loss. It emerged in the evidence that the respondent had received some such payments. How much he received never emerged. That alone, as Nienaber JA indicates, is sufficient to disable his claim.</w:t>
      </w:r>
      <w:r>
        <w:rPr>
          <w:iCs/>
          <w:sz w:val="18"/>
          <w:szCs w:val="18"/>
          <w:lang w:val="en-GB"/>
        </w:rPr>
        <w:t>’</w:t>
      </w:r>
    </w:p>
    <w:p w14:paraId="06ED8AF1" w14:textId="5F2CF502" w:rsidR="00E245F7" w:rsidRPr="003549CD" w:rsidRDefault="00E245F7" w:rsidP="003549CD">
      <w:pPr>
        <w:pStyle w:val="Level1"/>
        <w:numPr>
          <w:ilvl w:val="0"/>
          <w:numId w:val="0"/>
        </w:numPr>
        <w:spacing w:line="240" w:lineRule="auto"/>
        <w:rPr>
          <w:iCs/>
          <w:sz w:val="18"/>
          <w:szCs w:val="18"/>
          <w:lang w:val="en-GB"/>
        </w:rPr>
      </w:pPr>
      <w:r>
        <w:rPr>
          <w:iCs/>
          <w:sz w:val="18"/>
          <w:szCs w:val="18"/>
          <w:lang w:val="en-GB"/>
        </w:rPr>
        <w:t xml:space="preserve">The summary, in my view does not assist him as it does not deal fully with the findings of the majority on the question of the onus of proving the compensatory benefits.  </w:t>
      </w:r>
    </w:p>
    <w:p w14:paraId="7D31D405" w14:textId="4A069761" w:rsidR="00E245F7" w:rsidRPr="00B83482" w:rsidRDefault="00E245F7">
      <w:pPr>
        <w:pStyle w:val="FootnoteText"/>
        <w:rPr>
          <w:sz w:val="18"/>
          <w:szCs w:val="18"/>
          <w:lang w:val="en-GB"/>
        </w:rPr>
      </w:pPr>
    </w:p>
  </w:footnote>
  <w:footnote w:id="21">
    <w:p w14:paraId="4B66E65D" w14:textId="15708FEE" w:rsidR="00E245F7" w:rsidRPr="0082257C" w:rsidRDefault="00E245F7" w:rsidP="0082257C">
      <w:pPr>
        <w:pStyle w:val="FootnoteText"/>
        <w:jc w:val="both"/>
        <w:rPr>
          <w:sz w:val="18"/>
          <w:szCs w:val="18"/>
          <w:lang w:val="en-GB"/>
        </w:rPr>
      </w:pPr>
      <w:r>
        <w:rPr>
          <w:rStyle w:val="FootnoteReference"/>
        </w:rPr>
        <w:footnoteRef/>
      </w:r>
      <w:r>
        <w:t xml:space="preserve"> </w:t>
      </w:r>
      <w:r w:rsidRPr="0082257C">
        <w:rPr>
          <w:sz w:val="18"/>
          <w:szCs w:val="18"/>
          <w:lang w:val="en-GB"/>
        </w:rPr>
        <w:t>[23]</w:t>
      </w:r>
      <w:r w:rsidRPr="0082257C">
        <w:rPr>
          <w:sz w:val="18"/>
          <w:szCs w:val="18"/>
          <w:lang w:val="en-GB"/>
        </w:rPr>
        <w:tab/>
        <w:t xml:space="preserve">The values embraced by an appropriate appreciation of ubuntu are also relevant in the process of determining the spirit, purport and objects of the Constitution. The development of our economy and contract law has thus far predominantly been shaped by colonial legal tradition represented by English law, Roman law and Roman-Dutch law. The common law of contract regulates the environment within which trade and commerce take place. Its development should take cognisance of the values if the vast majority of people who are now able to take part without hindrance in trade and commerce. And it may well be that the approach of the majority of people in our country places a higher value on negotiating in good faith than would otherwise have been the case. Contract law cannot confine itself to colonial legal tradition alone. </w:t>
      </w:r>
    </w:p>
  </w:footnote>
  <w:footnote w:id="22">
    <w:p w14:paraId="6816C1A8" w14:textId="77777777" w:rsidR="00E245F7" w:rsidRDefault="00E245F7" w:rsidP="003B02AD">
      <w:pPr>
        <w:pStyle w:val="FootnoteText"/>
        <w:rPr>
          <w:lang w:val="en-GB"/>
        </w:rPr>
      </w:pPr>
      <w:r>
        <w:rPr>
          <w:rStyle w:val="FootnoteReference"/>
        </w:rPr>
        <w:footnoteRef/>
      </w:r>
      <w:r>
        <w:t xml:space="preserve"> </w:t>
      </w:r>
      <w:r>
        <w:rPr>
          <w:lang w:val="en-GB"/>
        </w:rPr>
        <w:t>(Barkhuizen v Napier)</w:t>
      </w:r>
    </w:p>
  </w:footnote>
  <w:footnote w:id="23">
    <w:p w14:paraId="0D3AE173" w14:textId="77777777" w:rsidR="00E245F7" w:rsidRPr="00CF18A5" w:rsidRDefault="00E245F7" w:rsidP="009C74AC">
      <w:pPr>
        <w:rPr>
          <w:sz w:val="18"/>
          <w:szCs w:val="18"/>
        </w:rPr>
      </w:pPr>
      <w:r>
        <w:rPr>
          <w:rStyle w:val="FootnoteReference"/>
        </w:rPr>
        <w:footnoteRef/>
      </w:r>
      <w:r>
        <w:t xml:space="preserve"> </w:t>
      </w:r>
      <w:r w:rsidRPr="00CF18A5">
        <w:rPr>
          <w:sz w:val="18"/>
          <w:szCs w:val="18"/>
        </w:rPr>
        <w:t>25. (1) No one may be deprived of property except in terms of law of general application, and no law may permit arbitrary deprivation of property.</w:t>
      </w:r>
    </w:p>
    <w:p w14:paraId="2BBACE82" w14:textId="30D56363" w:rsidR="00E245F7" w:rsidRPr="009C74AC" w:rsidRDefault="00E245F7">
      <w:pPr>
        <w:pStyle w:val="FootnoteText"/>
        <w:rPr>
          <w:lang w:val="en-GB"/>
        </w:rPr>
      </w:pPr>
    </w:p>
  </w:footnote>
  <w:footnote w:id="24">
    <w:p w14:paraId="0D31618D" w14:textId="69FC98EF" w:rsidR="00E245F7" w:rsidRPr="00272105" w:rsidRDefault="00E245F7" w:rsidP="009C74AC">
      <w:pPr>
        <w:rPr>
          <w:sz w:val="18"/>
          <w:szCs w:val="18"/>
        </w:rPr>
      </w:pPr>
      <w:r>
        <w:rPr>
          <w:rStyle w:val="FootnoteReference"/>
        </w:rPr>
        <w:footnoteRef/>
      </w:r>
      <w:r w:rsidRPr="00272105">
        <w:rPr>
          <w:sz w:val="18"/>
          <w:szCs w:val="18"/>
        </w:rPr>
        <w:t>23. (1) Everyone has the right to fair labour practices.</w:t>
      </w:r>
    </w:p>
    <w:p w14:paraId="0665B51A" w14:textId="0CCC6549" w:rsidR="00E245F7" w:rsidRPr="009C74AC" w:rsidRDefault="00E245F7">
      <w:pPr>
        <w:pStyle w:val="FootnoteText"/>
        <w:rPr>
          <w:lang w:val="en-GB"/>
        </w:rPr>
      </w:pPr>
    </w:p>
  </w:footnote>
  <w:footnote w:id="25">
    <w:p w14:paraId="6D99F004" w14:textId="77777777" w:rsidR="00E245F7" w:rsidRDefault="00E245F7" w:rsidP="003B02AD">
      <w:pPr>
        <w:pStyle w:val="FootnoteText"/>
        <w:jc w:val="both"/>
        <w:rPr>
          <w:rFonts w:eastAsia="Calibri"/>
          <w:i/>
          <w:sz w:val="18"/>
          <w:szCs w:val="18"/>
          <w:lang w:val="en-US" w:eastAsia="en-US"/>
        </w:rPr>
      </w:pPr>
      <w:r>
        <w:rPr>
          <w:rStyle w:val="FootnoteReference"/>
          <w:i/>
        </w:rPr>
        <w:footnoteRef/>
      </w:r>
      <w:r>
        <w:rPr>
          <w:i/>
        </w:rPr>
        <w:t xml:space="preserve"> </w:t>
      </w:r>
      <w:r>
        <w:rPr>
          <w:rFonts w:eastAsia="Calibri"/>
          <w:i/>
          <w:iCs/>
          <w:sz w:val="18"/>
          <w:szCs w:val="18"/>
          <w:lang w:eastAsia="en-US"/>
        </w:rPr>
        <w:t>Chevron SA (Pty) Limited v Wilson t/a Wilson’s Transport and Others</w:t>
      </w:r>
      <w:r>
        <w:rPr>
          <w:rFonts w:eastAsia="Calibri"/>
          <w:bCs/>
          <w:i/>
          <w:sz w:val="18"/>
          <w:szCs w:val="18"/>
          <w:lang w:eastAsia="en-US"/>
        </w:rPr>
        <w:t xml:space="preserve"> [2015] ZACC 15; 2015 (10) BCLR 1158 (CC) at para 16.</w:t>
      </w:r>
    </w:p>
    <w:p w14:paraId="4599C35D" w14:textId="77777777" w:rsidR="00E245F7" w:rsidRDefault="00E245F7" w:rsidP="003B02AD">
      <w:pPr>
        <w:pStyle w:val="FootnoteText"/>
        <w:jc w:val="both"/>
        <w:rPr>
          <w:i/>
          <w:sz w:val="18"/>
          <w:szCs w:val="18"/>
          <w:lang w:val="en-GB"/>
        </w:rPr>
      </w:pPr>
    </w:p>
  </w:footnote>
  <w:footnote w:id="26">
    <w:p w14:paraId="36E88EA4" w14:textId="77777777" w:rsidR="00E245F7" w:rsidRDefault="00E245F7" w:rsidP="003B02AD">
      <w:pPr>
        <w:pStyle w:val="FootnoteText"/>
        <w:jc w:val="both"/>
        <w:rPr>
          <w:rFonts w:eastAsia="Calibri"/>
          <w:i/>
          <w:sz w:val="18"/>
          <w:szCs w:val="18"/>
          <w:lang w:val="en-US" w:eastAsia="en-US"/>
        </w:rPr>
      </w:pPr>
      <w:r>
        <w:rPr>
          <w:rStyle w:val="FootnoteReference"/>
          <w:i/>
          <w:sz w:val="18"/>
          <w:szCs w:val="18"/>
        </w:rPr>
        <w:footnoteRef/>
      </w:r>
      <w:r>
        <w:rPr>
          <w:i/>
          <w:sz w:val="18"/>
          <w:szCs w:val="18"/>
        </w:rPr>
        <w:t xml:space="preserve"> </w:t>
      </w:r>
      <w:r>
        <w:rPr>
          <w:rFonts w:eastAsia="Calibri"/>
          <w:i/>
          <w:iCs/>
          <w:sz w:val="18"/>
          <w:szCs w:val="18"/>
          <w:lang w:val="en-US" w:eastAsia="en-US"/>
        </w:rPr>
        <w:t>National Credit Regulator v Opperman and Others</w:t>
      </w:r>
      <w:r>
        <w:rPr>
          <w:rFonts w:eastAsia="Calibri"/>
          <w:bCs/>
          <w:i/>
          <w:iCs/>
          <w:sz w:val="18"/>
          <w:szCs w:val="18"/>
          <w:lang w:val="en-US" w:eastAsia="en-US"/>
        </w:rPr>
        <w:t xml:space="preserve"> </w:t>
      </w:r>
      <w:r>
        <w:rPr>
          <w:rFonts w:eastAsia="Calibri"/>
          <w:bCs/>
          <w:i/>
          <w:sz w:val="18"/>
          <w:szCs w:val="18"/>
          <w:lang w:val="en-US" w:eastAsia="en-US"/>
        </w:rPr>
        <w:t>[2012] ZACC 29; 2013 (2) BCLR 170 (CC); 2013 (2) SA 1 (CC).</w:t>
      </w:r>
    </w:p>
    <w:p w14:paraId="12B50AD7" w14:textId="77777777" w:rsidR="00E245F7" w:rsidRDefault="00E245F7" w:rsidP="003B02AD">
      <w:pPr>
        <w:pStyle w:val="FootnoteText"/>
        <w:jc w:val="both"/>
        <w:rPr>
          <w:i/>
          <w:sz w:val="18"/>
          <w:szCs w:val="18"/>
          <w:lang w:val="en-GB"/>
        </w:rPr>
      </w:pPr>
    </w:p>
  </w:footnote>
  <w:footnote w:id="27">
    <w:p w14:paraId="31E9DEE5" w14:textId="77777777" w:rsidR="00E245F7" w:rsidRPr="008549DA" w:rsidRDefault="00E245F7" w:rsidP="004463D2">
      <w:pPr>
        <w:pStyle w:val="Level1"/>
        <w:numPr>
          <w:ilvl w:val="0"/>
          <w:numId w:val="0"/>
        </w:numPr>
        <w:spacing w:line="240" w:lineRule="auto"/>
        <w:rPr>
          <w:sz w:val="18"/>
          <w:szCs w:val="18"/>
          <w:lang w:val="en-GB"/>
        </w:rPr>
      </w:pPr>
      <w:r>
        <w:rPr>
          <w:rStyle w:val="FootnoteReference"/>
        </w:rPr>
        <w:footnoteRef/>
      </w:r>
      <w:r>
        <w:t xml:space="preserve"> </w:t>
      </w:r>
      <w:r w:rsidRPr="004463D2">
        <w:rPr>
          <w:sz w:val="18"/>
          <w:szCs w:val="18"/>
          <w:lang w:val="en-GB"/>
        </w:rPr>
        <w:t xml:space="preserve">Mogoeng CJ explained the principles governing peremption in </w:t>
      </w:r>
      <w:r w:rsidRPr="008549DA">
        <w:rPr>
          <w:sz w:val="18"/>
          <w:szCs w:val="18"/>
          <w:lang w:val="en-GB"/>
        </w:rPr>
        <w:t>South African Revenue Service v Commission for Conciliation, Mediation and Arbitration 2017 (1) SA 549 (CC):</w:t>
      </w:r>
    </w:p>
    <w:p w14:paraId="7418C08B" w14:textId="77777777" w:rsidR="00E245F7" w:rsidRPr="004463D2" w:rsidRDefault="00E245F7" w:rsidP="004463D2">
      <w:pPr>
        <w:pStyle w:val="Quote"/>
        <w:ind w:left="0"/>
        <w:jc w:val="both"/>
        <w:rPr>
          <w:sz w:val="18"/>
          <w:szCs w:val="18"/>
          <w:lang w:val="en-GB"/>
        </w:rPr>
      </w:pPr>
      <w:r w:rsidRPr="004463D2">
        <w:rPr>
          <w:sz w:val="18"/>
          <w:szCs w:val="18"/>
          <w:lang w:val="en-GB"/>
        </w:rPr>
        <w:t>“[26] Peremption is a waiver of one’s constitutional right to appeal in a way that leaves no shred of reasonable doubt about the losing party’s self resignation to the unfavourable order that could otherwise be appealed against.  [Dabner v South African Railways and Harbours 1920 AD 583 at 594] articulates principles that govern peremption very well in these terms:</w:t>
      </w:r>
    </w:p>
    <w:p w14:paraId="749F8E07" w14:textId="77777777" w:rsidR="00E245F7" w:rsidRPr="004463D2" w:rsidRDefault="00E245F7" w:rsidP="00AD31D1">
      <w:pPr>
        <w:pStyle w:val="Quote"/>
        <w:ind w:left="540" w:hanging="90"/>
        <w:jc w:val="both"/>
        <w:rPr>
          <w:sz w:val="18"/>
          <w:szCs w:val="18"/>
          <w:lang w:val="en-GB"/>
        </w:rPr>
      </w:pPr>
      <w:r w:rsidRPr="004463D2">
        <w:rPr>
          <w:sz w:val="18"/>
          <w:szCs w:val="18"/>
          <w:lang w:val="en-GB"/>
        </w:rPr>
        <w:t>‘The rule with regard to peremption is well settled, and has been enunciated on several occasions by this Court.  If the conduct of an unsuccessful litigant is such as to point indubitably and necessarily to the conclusion that he does not intend to attack the judgment, then he is held to have acquiesced in it.  But the conduct relied upon must be unequivocal and must be inconsistent with any intention to appeal.  And the onus of establishing that position is upon the party alleging it.”</w:t>
      </w:r>
    </w:p>
    <w:p w14:paraId="2818945C" w14:textId="77777777" w:rsidR="00E245F7" w:rsidRPr="004463D2" w:rsidRDefault="00E245F7" w:rsidP="004463D2">
      <w:pPr>
        <w:pStyle w:val="Quote"/>
        <w:jc w:val="both"/>
        <w:rPr>
          <w:sz w:val="18"/>
          <w:szCs w:val="18"/>
          <w:lang w:val="en-GB"/>
        </w:rPr>
      </w:pPr>
      <w:r w:rsidRPr="004463D2">
        <w:rPr>
          <w:sz w:val="18"/>
          <w:szCs w:val="18"/>
          <w:lang w:val="en-GB"/>
        </w:rPr>
        <w:t>The onus to establish peremption would be discharged only when the conduct or communication relied on does “point indubitably and necessarily to the conclusion” that there has been an abandonment of the right to appeal and a resignation to the unfavourable judgment or order.</w:t>
      </w:r>
    </w:p>
    <w:p w14:paraId="520063F7" w14:textId="77777777" w:rsidR="00E245F7" w:rsidRPr="004463D2" w:rsidRDefault="00E245F7" w:rsidP="004463D2">
      <w:pPr>
        <w:pStyle w:val="Quote"/>
        <w:jc w:val="both"/>
        <w:rPr>
          <w:sz w:val="18"/>
          <w:szCs w:val="18"/>
          <w:lang w:val="en-GB"/>
        </w:rPr>
      </w:pPr>
      <w:r w:rsidRPr="004463D2">
        <w:rPr>
          <w:sz w:val="18"/>
          <w:szCs w:val="18"/>
          <w:lang w:val="en-GB"/>
        </w:rPr>
        <w:t>…</w:t>
      </w:r>
    </w:p>
    <w:p w14:paraId="7407CCB3" w14:textId="77777777" w:rsidR="00E245F7" w:rsidRPr="004463D2" w:rsidRDefault="00E245F7" w:rsidP="004463D2">
      <w:pPr>
        <w:pStyle w:val="Quote"/>
        <w:spacing w:after="600"/>
        <w:jc w:val="both"/>
        <w:rPr>
          <w:sz w:val="18"/>
          <w:szCs w:val="18"/>
          <w:lang w:val="en-GB"/>
        </w:rPr>
      </w:pPr>
      <w:r w:rsidRPr="004463D2">
        <w:rPr>
          <w:sz w:val="18"/>
          <w:szCs w:val="18"/>
          <w:lang w:val="en-GB"/>
        </w:rPr>
        <w:t>[28] The broader policy considerations that would establish peremption are that those litigants who have unreservedly jettisoned their right of appeal must for the sake of finality be held to their choice in the interests of the parties and of justice.  But, where the enforcement of that choice would not advance the interests of justice, then that overriding constitutional standard for appealability would have to be accorded its force by purposefully departing from the abundantly clear decision not to appeal. …”</w:t>
      </w:r>
    </w:p>
    <w:p w14:paraId="5DB55201" w14:textId="7D55CBCF" w:rsidR="00E245F7" w:rsidRPr="004463D2" w:rsidRDefault="00E245F7">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3E60" w14:textId="77777777" w:rsidR="00E245F7" w:rsidRDefault="00E245F7">
    <w:pPr>
      <w:pStyle w:val="Header"/>
      <w:jc w:val="center"/>
    </w:pPr>
  </w:p>
  <w:sdt>
    <w:sdtPr>
      <w:id w:val="1185634087"/>
      <w:docPartObj>
        <w:docPartGallery w:val="Page Numbers (Top of Page)"/>
        <w:docPartUnique/>
      </w:docPartObj>
    </w:sdtPr>
    <w:sdtEndPr>
      <w:rPr>
        <w:noProof/>
      </w:rPr>
    </w:sdtEndPr>
    <w:sdtContent>
      <w:p w14:paraId="3F8ADF0A" w14:textId="67580985" w:rsidR="00E245F7" w:rsidRDefault="00E245F7">
        <w:pPr>
          <w:pStyle w:val="Header"/>
          <w:jc w:val="center"/>
          <w:rPr>
            <w:noProof/>
          </w:rPr>
        </w:pPr>
        <w:r>
          <w:fldChar w:fldCharType="begin"/>
        </w:r>
        <w:r>
          <w:instrText xml:space="preserve"> PAGE   \* MERGEFORMAT </w:instrText>
        </w:r>
        <w:r>
          <w:fldChar w:fldCharType="separate"/>
        </w:r>
        <w:r w:rsidR="00710ACB">
          <w:rPr>
            <w:noProof/>
          </w:rPr>
          <w:t>3</w:t>
        </w:r>
        <w:r>
          <w:rPr>
            <w:noProof/>
          </w:rPr>
          <w:fldChar w:fldCharType="end"/>
        </w:r>
      </w:p>
      <w:p w14:paraId="4D9B4757" w14:textId="77777777" w:rsidR="00E245F7" w:rsidRDefault="0033389B">
        <w:pPr>
          <w:pStyle w:val="Header"/>
          <w:jc w:val="center"/>
        </w:pPr>
      </w:p>
    </w:sdtContent>
  </w:sdt>
  <w:p w14:paraId="590CC419" w14:textId="77777777" w:rsidR="00E245F7" w:rsidRDefault="00E24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FC59E0"/>
    <w:lvl w:ilvl="0">
      <w:start w:val="1"/>
      <w:numFmt w:val="bullet"/>
      <w:lvlText w:val=""/>
      <w:lvlJc w:val="left"/>
      <w:pPr>
        <w:tabs>
          <w:tab w:val="num" w:pos="360"/>
        </w:tabs>
        <w:ind w:left="360" w:hanging="360"/>
      </w:pPr>
      <w:rPr>
        <w:rFonts w:ascii="Symbol" w:hAnsi="Symbol" w:hint="default"/>
      </w:rPr>
    </w:lvl>
  </w:abstractNum>
  <w:abstractNum w:abstractNumId="1">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
    <w:nsid w:val="082B7F5B"/>
    <w:multiLevelType w:val="multilevel"/>
    <w:tmpl w:val="1368DC8E"/>
    <w:lvl w:ilvl="0">
      <w:start w:val="1"/>
      <w:numFmt w:val="decimal"/>
      <w:pStyle w:val="Level1"/>
      <w:lvlText w:val="%1."/>
      <w:lvlJc w:val="left"/>
      <w:pPr>
        <w:ind w:left="360" w:hanging="360"/>
      </w:pPr>
      <w:rPr>
        <w:rFonts w:hint="default"/>
        <w:b w:val="0"/>
        <w:color w:val="auto"/>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EE6E12"/>
    <w:multiLevelType w:val="hybridMultilevel"/>
    <w:tmpl w:val="9E14089C"/>
    <w:lvl w:ilvl="0" w:tplc="D466E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DD7D02"/>
    <w:multiLevelType w:val="multilevel"/>
    <w:tmpl w:val="697AF2D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492199"/>
    <w:multiLevelType w:val="hybridMultilevel"/>
    <w:tmpl w:val="8ED85FD8"/>
    <w:lvl w:ilvl="0" w:tplc="84E8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235F2D61"/>
    <w:multiLevelType w:val="multilevel"/>
    <w:tmpl w:val="33FCB5EA"/>
    <w:lvl w:ilvl="0">
      <w:start w:val="2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7261CC9"/>
    <w:multiLevelType w:val="multilevel"/>
    <w:tmpl w:val="2368AFBE"/>
    <w:lvl w:ilvl="0">
      <w:start w:val="1"/>
      <w:numFmt w:val="decimal"/>
      <w:lvlText w:val="%1."/>
      <w:lvlJc w:val="left"/>
      <w:pPr>
        <w:ind w:left="680" w:hanging="680"/>
      </w:pPr>
      <w:rPr>
        <w:rFonts w:ascii="Arial" w:hAnsi="Arial" w:cs="Arial" w:hint="default"/>
        <w:i w:val="0"/>
        <w:iCs w:val="0"/>
        <w:sz w:val="24"/>
        <w:szCs w:val="24"/>
      </w:rPr>
    </w:lvl>
    <w:lvl w:ilvl="1">
      <w:start w:val="1"/>
      <w:numFmt w:val="decimal"/>
      <w:lvlText w:val="%1.%2."/>
      <w:lvlJc w:val="left"/>
      <w:pPr>
        <w:ind w:left="1418" w:hanging="738"/>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7">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8">
    <w:nsid w:val="30DC1932"/>
    <w:multiLevelType w:val="multilevel"/>
    <w:tmpl w:val="AB2EB8B0"/>
    <w:lvl w:ilvl="0">
      <w:start w:val="24"/>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84E5398"/>
    <w:multiLevelType w:val="hybridMultilevel"/>
    <w:tmpl w:val="C374E7A4"/>
    <w:lvl w:ilvl="0" w:tplc="3DD68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B145E"/>
    <w:multiLevelType w:val="hybridMultilevel"/>
    <w:tmpl w:val="16E25F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23">
    <w:nsid w:val="3DEB2393"/>
    <w:multiLevelType w:val="multilevel"/>
    <w:tmpl w:val="ABCE7DCE"/>
    <w:lvl w:ilvl="0">
      <w:start w:val="1"/>
      <w:numFmt w:val="decimal"/>
      <w:pStyle w:val="Numberin1"/>
      <w:isLgl/>
      <w:lvlText w:val="%1."/>
      <w:lvlJc w:val="left"/>
      <w:pPr>
        <w:tabs>
          <w:tab w:val="num" w:pos="720"/>
        </w:tabs>
        <w:ind w:left="720" w:hanging="720"/>
      </w:pPr>
      <w:rPr>
        <w:u w:val="none"/>
      </w:rPr>
    </w:lvl>
    <w:lvl w:ilvl="1">
      <w:start w:val="1"/>
      <w:numFmt w:val="decimal"/>
      <w:isLgl/>
      <w:lvlText w:val="%1.%2"/>
      <w:lvlJc w:val="left"/>
      <w:pPr>
        <w:tabs>
          <w:tab w:val="num" w:pos="1656"/>
        </w:tabs>
        <w:ind w:left="1656" w:hanging="936"/>
      </w:pPr>
      <w:rPr>
        <w:u w:val="none"/>
      </w:rPr>
    </w:lvl>
    <w:lvl w:ilvl="2">
      <w:start w:val="1"/>
      <w:numFmt w:val="decimal"/>
      <w:isLgl/>
      <w:lvlText w:val="%1.%2.%3"/>
      <w:lvlJc w:val="left"/>
      <w:pPr>
        <w:tabs>
          <w:tab w:val="num" w:pos="2736"/>
        </w:tabs>
        <w:ind w:left="2736" w:hanging="1080"/>
      </w:pPr>
      <w:rPr>
        <w:u w:val="none"/>
      </w:rPr>
    </w:lvl>
    <w:lvl w:ilvl="3">
      <w:start w:val="1"/>
      <w:numFmt w:val="decimal"/>
      <w:isLgl/>
      <w:lvlText w:val="%1.%2.%3.%4"/>
      <w:lvlJc w:val="left"/>
      <w:pPr>
        <w:tabs>
          <w:tab w:val="num" w:pos="3600"/>
        </w:tabs>
        <w:ind w:left="3600" w:hanging="1440"/>
      </w:pPr>
      <w:rPr>
        <w:u w:val="none"/>
      </w:rPr>
    </w:lvl>
    <w:lvl w:ilvl="4">
      <w:start w:val="1"/>
      <w:numFmt w:val="decimal"/>
      <w:isLgl/>
      <w:lvlText w:val="%1.%2.%3.%4.%5"/>
      <w:lvlJc w:val="left"/>
      <w:pPr>
        <w:tabs>
          <w:tab w:val="num" w:pos="4320"/>
        </w:tabs>
        <w:ind w:left="4320" w:hanging="1440"/>
      </w:pPr>
      <w:rPr>
        <w:u w:val="none"/>
      </w:rPr>
    </w:lvl>
    <w:lvl w:ilvl="5">
      <w:start w:val="1"/>
      <w:numFmt w:val="decimal"/>
      <w:isLgl/>
      <w:lvlText w:val="%1.%2.%3.%4.%5.%6"/>
      <w:lvlJc w:val="left"/>
      <w:pPr>
        <w:tabs>
          <w:tab w:val="num" w:pos="5328"/>
        </w:tabs>
        <w:ind w:left="5328" w:hanging="1728"/>
      </w:pPr>
      <w:rPr>
        <w:u w:val="none"/>
      </w:rPr>
    </w:lvl>
    <w:lvl w:ilvl="6">
      <w:start w:val="1"/>
      <w:numFmt w:val="decimal"/>
      <w:isLgl/>
      <w:lvlText w:val="%1.%2.%3.%4.%5.%6.%7"/>
      <w:lvlJc w:val="left"/>
      <w:pPr>
        <w:tabs>
          <w:tab w:val="num" w:pos="6192"/>
        </w:tabs>
        <w:ind w:left="6192" w:hanging="1872"/>
      </w:pPr>
      <w:rPr>
        <w:u w:val="none"/>
      </w:rPr>
    </w:lvl>
    <w:lvl w:ilvl="7">
      <w:start w:val="1"/>
      <w:numFmt w:val="decimal"/>
      <w:isLgl/>
      <w:lvlText w:val="%1.%2.%3.%4.%5.%6.%7.%8"/>
      <w:lvlJc w:val="left"/>
      <w:pPr>
        <w:tabs>
          <w:tab w:val="num" w:pos="7128"/>
        </w:tabs>
        <w:ind w:left="7128" w:hanging="2088"/>
      </w:pPr>
      <w:rPr>
        <w:u w:val="none"/>
      </w:rPr>
    </w:lvl>
    <w:lvl w:ilvl="8">
      <w:start w:val="1"/>
      <w:numFmt w:val="decimal"/>
      <w:isLgl/>
      <w:lvlText w:val="%1.%2.%3.%4.%5.%6.%7.%8.%9"/>
      <w:lvlJc w:val="left"/>
      <w:pPr>
        <w:tabs>
          <w:tab w:val="num" w:pos="8064"/>
        </w:tabs>
        <w:ind w:left="8064" w:hanging="2304"/>
      </w:pPr>
      <w:rPr>
        <w:u w:val="none"/>
      </w:rPr>
    </w:lvl>
  </w:abstractNum>
  <w:abstractNum w:abstractNumId="24">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1D13BD"/>
    <w:multiLevelType w:val="multilevel"/>
    <w:tmpl w:val="92E84EDC"/>
    <w:lvl w:ilvl="0">
      <w:start w:val="1"/>
      <w:numFmt w:val="decimal"/>
      <w:pStyle w:val="JUGMENTNUMBERED"/>
      <w:lvlText w:val="[%1]"/>
      <w:lvlJc w:val="left"/>
      <w:pPr>
        <w:tabs>
          <w:tab w:val="num" w:pos="680"/>
        </w:tabs>
      </w:pPr>
      <w:rPr>
        <w:rFonts w:hint="default"/>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47B9372F"/>
    <w:multiLevelType w:val="hybridMultilevel"/>
    <w:tmpl w:val="78FCC4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EB2475F"/>
    <w:multiLevelType w:val="multilevel"/>
    <w:tmpl w:val="DE20F902"/>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9">
    <w:nsid w:val="555B421B"/>
    <w:multiLevelType w:val="multilevel"/>
    <w:tmpl w:val="FBD2577E"/>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33">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CAE1231"/>
    <w:multiLevelType w:val="hybridMultilevel"/>
    <w:tmpl w:val="25E426BA"/>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F25601"/>
    <w:multiLevelType w:val="hybridMultilevel"/>
    <w:tmpl w:val="56FC9C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594B9D"/>
    <w:multiLevelType w:val="hybridMultilevel"/>
    <w:tmpl w:val="7D886EC8"/>
    <w:lvl w:ilvl="0" w:tplc="B7F85AEC">
      <w:start w:val="1"/>
      <w:numFmt w:val="upperRoman"/>
      <w:lvlText w:val="%1)"/>
      <w:lvlJc w:val="left"/>
      <w:pPr>
        <w:ind w:left="1216" w:hanging="720"/>
      </w:pPr>
      <w:rPr>
        <w:rFonts w:hint="default"/>
      </w:rPr>
    </w:lvl>
    <w:lvl w:ilvl="1" w:tplc="1C090019" w:tentative="1">
      <w:start w:val="1"/>
      <w:numFmt w:val="lowerLetter"/>
      <w:lvlText w:val="%2."/>
      <w:lvlJc w:val="left"/>
      <w:pPr>
        <w:ind w:left="1576" w:hanging="360"/>
      </w:pPr>
    </w:lvl>
    <w:lvl w:ilvl="2" w:tplc="1C09001B" w:tentative="1">
      <w:start w:val="1"/>
      <w:numFmt w:val="lowerRoman"/>
      <w:lvlText w:val="%3."/>
      <w:lvlJc w:val="right"/>
      <w:pPr>
        <w:ind w:left="2296" w:hanging="180"/>
      </w:pPr>
    </w:lvl>
    <w:lvl w:ilvl="3" w:tplc="1C09000F" w:tentative="1">
      <w:start w:val="1"/>
      <w:numFmt w:val="decimal"/>
      <w:lvlText w:val="%4."/>
      <w:lvlJc w:val="left"/>
      <w:pPr>
        <w:ind w:left="3016" w:hanging="360"/>
      </w:pPr>
    </w:lvl>
    <w:lvl w:ilvl="4" w:tplc="1C090019" w:tentative="1">
      <w:start w:val="1"/>
      <w:numFmt w:val="lowerLetter"/>
      <w:lvlText w:val="%5."/>
      <w:lvlJc w:val="left"/>
      <w:pPr>
        <w:ind w:left="3736" w:hanging="360"/>
      </w:pPr>
    </w:lvl>
    <w:lvl w:ilvl="5" w:tplc="1C09001B" w:tentative="1">
      <w:start w:val="1"/>
      <w:numFmt w:val="lowerRoman"/>
      <w:lvlText w:val="%6."/>
      <w:lvlJc w:val="right"/>
      <w:pPr>
        <w:ind w:left="4456" w:hanging="180"/>
      </w:pPr>
    </w:lvl>
    <w:lvl w:ilvl="6" w:tplc="1C09000F" w:tentative="1">
      <w:start w:val="1"/>
      <w:numFmt w:val="decimal"/>
      <w:lvlText w:val="%7."/>
      <w:lvlJc w:val="left"/>
      <w:pPr>
        <w:ind w:left="5176" w:hanging="360"/>
      </w:pPr>
    </w:lvl>
    <w:lvl w:ilvl="7" w:tplc="1C090019" w:tentative="1">
      <w:start w:val="1"/>
      <w:numFmt w:val="lowerLetter"/>
      <w:lvlText w:val="%8."/>
      <w:lvlJc w:val="left"/>
      <w:pPr>
        <w:ind w:left="5896" w:hanging="360"/>
      </w:pPr>
    </w:lvl>
    <w:lvl w:ilvl="8" w:tplc="1C09001B" w:tentative="1">
      <w:start w:val="1"/>
      <w:numFmt w:val="lowerRoman"/>
      <w:lvlText w:val="%9."/>
      <w:lvlJc w:val="right"/>
      <w:pPr>
        <w:ind w:left="6616" w:hanging="180"/>
      </w:pPr>
    </w:lvl>
  </w:abstractNum>
  <w:abstractNum w:abstractNumId="38">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9">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5"/>
  </w:num>
  <w:num w:numId="2">
    <w:abstractNumId w:val="22"/>
  </w:num>
  <w:num w:numId="3">
    <w:abstractNumId w:val="40"/>
  </w:num>
  <w:num w:numId="4">
    <w:abstractNumId w:val="15"/>
  </w:num>
  <w:num w:numId="5">
    <w:abstractNumId w:val="7"/>
  </w:num>
  <w:num w:numId="6">
    <w:abstractNumId w:val="5"/>
  </w:num>
  <w:num w:numId="7">
    <w:abstractNumId w:val="30"/>
  </w:num>
  <w:num w:numId="8">
    <w:abstractNumId w:val="17"/>
  </w:num>
  <w:num w:numId="9">
    <w:abstractNumId w:val="16"/>
  </w:num>
  <w:num w:numId="10">
    <w:abstractNumId w:val="38"/>
  </w:num>
  <w:num w:numId="11">
    <w:abstractNumId w:val="43"/>
  </w:num>
  <w:num w:numId="12">
    <w:abstractNumId w:val="26"/>
  </w:num>
  <w:num w:numId="13">
    <w:abstractNumId w:val="11"/>
  </w:num>
  <w:num w:numId="14">
    <w:abstractNumId w:val="31"/>
  </w:num>
  <w:num w:numId="15">
    <w:abstractNumId w:val="12"/>
  </w:num>
  <w:num w:numId="16">
    <w:abstractNumId w:val="32"/>
  </w:num>
  <w:num w:numId="17">
    <w:abstractNumId w:val="21"/>
  </w:num>
  <w:num w:numId="18">
    <w:abstractNumId w:val="42"/>
  </w:num>
  <w:num w:numId="19">
    <w:abstractNumId w:val="34"/>
  </w:num>
  <w:num w:numId="20">
    <w:abstractNumId w:val="4"/>
  </w:num>
  <w:num w:numId="21">
    <w:abstractNumId w:val="1"/>
  </w:num>
  <w:num w:numId="22">
    <w:abstractNumId w:val="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1"/>
  </w:num>
  <w:num w:numId="26">
    <w:abstractNumId w:val="39"/>
  </w:num>
  <w:num w:numId="27">
    <w:abstractNumId w:val="28"/>
  </w:num>
  <w:num w:numId="28">
    <w:abstractNumId w:val="29"/>
  </w:num>
  <w:num w:numId="29">
    <w:abstractNumId w:val="33"/>
  </w:num>
  <w:num w:numId="30">
    <w:abstractNumId w:val="36"/>
  </w:num>
  <w:num w:numId="31">
    <w:abstractNumId w:val="27"/>
  </w:num>
  <w:num w:numId="32">
    <w:abstractNumId w:val="20"/>
  </w:num>
  <w:num w:numId="33">
    <w:abstractNumId w:val="10"/>
  </w:num>
  <w:num w:numId="34">
    <w:abstractNumId w:val="24"/>
  </w:num>
  <w:num w:numId="35">
    <w:abstractNumId w:val="23"/>
  </w:num>
  <w:num w:numId="36">
    <w:abstractNumId w:val="14"/>
  </w:num>
  <w:num w:numId="37">
    <w:abstractNumId w:val="2"/>
  </w:num>
  <w:num w:numId="38">
    <w:abstractNumId w:val="8"/>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Restart w:val="0"/>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39">
    <w:abstractNumId w:val="0"/>
  </w:num>
  <w:num w:numId="40">
    <w:abstractNumId w:val="3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9"/>
  </w:num>
  <w:num w:numId="48">
    <w:abstractNumId w:val="25"/>
  </w:num>
  <w:num w:numId="49">
    <w:abstractNumId w:val="1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1F2"/>
    <w:rsid w:val="00001381"/>
    <w:rsid w:val="0000185F"/>
    <w:rsid w:val="0000283B"/>
    <w:rsid w:val="0000327A"/>
    <w:rsid w:val="00003C15"/>
    <w:rsid w:val="00004F0C"/>
    <w:rsid w:val="000050A2"/>
    <w:rsid w:val="00005214"/>
    <w:rsid w:val="00005C07"/>
    <w:rsid w:val="00006442"/>
    <w:rsid w:val="00006E2C"/>
    <w:rsid w:val="00010862"/>
    <w:rsid w:val="00011A98"/>
    <w:rsid w:val="00011F16"/>
    <w:rsid w:val="00013C43"/>
    <w:rsid w:val="00016132"/>
    <w:rsid w:val="00016727"/>
    <w:rsid w:val="00017D48"/>
    <w:rsid w:val="000202F7"/>
    <w:rsid w:val="000225BD"/>
    <w:rsid w:val="00022EBC"/>
    <w:rsid w:val="00025DF7"/>
    <w:rsid w:val="00027F1B"/>
    <w:rsid w:val="00030389"/>
    <w:rsid w:val="00030442"/>
    <w:rsid w:val="00032180"/>
    <w:rsid w:val="00034402"/>
    <w:rsid w:val="00035F78"/>
    <w:rsid w:val="000363D8"/>
    <w:rsid w:val="00036B90"/>
    <w:rsid w:val="00037257"/>
    <w:rsid w:val="00040BD1"/>
    <w:rsid w:val="00041A4A"/>
    <w:rsid w:val="0004469E"/>
    <w:rsid w:val="00044E4A"/>
    <w:rsid w:val="00045063"/>
    <w:rsid w:val="00045C18"/>
    <w:rsid w:val="00047888"/>
    <w:rsid w:val="000504FA"/>
    <w:rsid w:val="00050CBA"/>
    <w:rsid w:val="00051552"/>
    <w:rsid w:val="00051785"/>
    <w:rsid w:val="00052513"/>
    <w:rsid w:val="0005369A"/>
    <w:rsid w:val="00053819"/>
    <w:rsid w:val="00056F3B"/>
    <w:rsid w:val="000571F9"/>
    <w:rsid w:val="00057F20"/>
    <w:rsid w:val="000603C6"/>
    <w:rsid w:val="00061198"/>
    <w:rsid w:val="00061907"/>
    <w:rsid w:val="00061B5A"/>
    <w:rsid w:val="00062376"/>
    <w:rsid w:val="00062BE1"/>
    <w:rsid w:val="00063B2E"/>
    <w:rsid w:val="00063C0E"/>
    <w:rsid w:val="00066579"/>
    <w:rsid w:val="00067F62"/>
    <w:rsid w:val="00070DF9"/>
    <w:rsid w:val="00071200"/>
    <w:rsid w:val="000728A2"/>
    <w:rsid w:val="000732EB"/>
    <w:rsid w:val="00074967"/>
    <w:rsid w:val="00076A49"/>
    <w:rsid w:val="0007789C"/>
    <w:rsid w:val="00080E27"/>
    <w:rsid w:val="00080F26"/>
    <w:rsid w:val="00081A59"/>
    <w:rsid w:val="00082B97"/>
    <w:rsid w:val="00083CF6"/>
    <w:rsid w:val="00084B43"/>
    <w:rsid w:val="00084FD7"/>
    <w:rsid w:val="00086448"/>
    <w:rsid w:val="00086622"/>
    <w:rsid w:val="000876F2"/>
    <w:rsid w:val="00090278"/>
    <w:rsid w:val="00091E0D"/>
    <w:rsid w:val="00092029"/>
    <w:rsid w:val="0009264F"/>
    <w:rsid w:val="0009297E"/>
    <w:rsid w:val="00094FE6"/>
    <w:rsid w:val="00095938"/>
    <w:rsid w:val="00097268"/>
    <w:rsid w:val="000974DC"/>
    <w:rsid w:val="000A4421"/>
    <w:rsid w:val="000A5153"/>
    <w:rsid w:val="000A595C"/>
    <w:rsid w:val="000A7583"/>
    <w:rsid w:val="000B103A"/>
    <w:rsid w:val="000B1F09"/>
    <w:rsid w:val="000B734A"/>
    <w:rsid w:val="000B7977"/>
    <w:rsid w:val="000C2012"/>
    <w:rsid w:val="000C267C"/>
    <w:rsid w:val="000C272C"/>
    <w:rsid w:val="000C30A5"/>
    <w:rsid w:val="000C4546"/>
    <w:rsid w:val="000C5A3A"/>
    <w:rsid w:val="000C5CFB"/>
    <w:rsid w:val="000C6358"/>
    <w:rsid w:val="000C68E8"/>
    <w:rsid w:val="000C7FE0"/>
    <w:rsid w:val="000D0428"/>
    <w:rsid w:val="000D1823"/>
    <w:rsid w:val="000D296F"/>
    <w:rsid w:val="000D3070"/>
    <w:rsid w:val="000D335D"/>
    <w:rsid w:val="000D3B6A"/>
    <w:rsid w:val="000D6582"/>
    <w:rsid w:val="000E14AD"/>
    <w:rsid w:val="000E2938"/>
    <w:rsid w:val="000E58E8"/>
    <w:rsid w:val="000E66CF"/>
    <w:rsid w:val="000E6814"/>
    <w:rsid w:val="000E7D51"/>
    <w:rsid w:val="000F0075"/>
    <w:rsid w:val="000F0458"/>
    <w:rsid w:val="000F138A"/>
    <w:rsid w:val="000F1A51"/>
    <w:rsid w:val="000F26E0"/>
    <w:rsid w:val="000F2D83"/>
    <w:rsid w:val="000F38A9"/>
    <w:rsid w:val="000F6201"/>
    <w:rsid w:val="000F7DBB"/>
    <w:rsid w:val="0010279D"/>
    <w:rsid w:val="00104D05"/>
    <w:rsid w:val="00105886"/>
    <w:rsid w:val="00105DE0"/>
    <w:rsid w:val="0011048C"/>
    <w:rsid w:val="0011144A"/>
    <w:rsid w:val="001116C9"/>
    <w:rsid w:val="001131F8"/>
    <w:rsid w:val="00121044"/>
    <w:rsid w:val="0012219A"/>
    <w:rsid w:val="00122665"/>
    <w:rsid w:val="00122CDF"/>
    <w:rsid w:val="00124CA5"/>
    <w:rsid w:val="00126FD5"/>
    <w:rsid w:val="001279FE"/>
    <w:rsid w:val="0013136F"/>
    <w:rsid w:val="00131BD2"/>
    <w:rsid w:val="001324D2"/>
    <w:rsid w:val="001330B9"/>
    <w:rsid w:val="00136292"/>
    <w:rsid w:val="00137067"/>
    <w:rsid w:val="001377AA"/>
    <w:rsid w:val="001416ED"/>
    <w:rsid w:val="00141DE9"/>
    <w:rsid w:val="00142667"/>
    <w:rsid w:val="001430A2"/>
    <w:rsid w:val="0014329E"/>
    <w:rsid w:val="0014505D"/>
    <w:rsid w:val="00147849"/>
    <w:rsid w:val="0015034F"/>
    <w:rsid w:val="00156BAD"/>
    <w:rsid w:val="00162871"/>
    <w:rsid w:val="00163D0F"/>
    <w:rsid w:val="00163DB5"/>
    <w:rsid w:val="001644A8"/>
    <w:rsid w:val="001653CA"/>
    <w:rsid w:val="00166F0F"/>
    <w:rsid w:val="00167CD5"/>
    <w:rsid w:val="00170FC8"/>
    <w:rsid w:val="00172620"/>
    <w:rsid w:val="00172950"/>
    <w:rsid w:val="001753B1"/>
    <w:rsid w:val="001804F1"/>
    <w:rsid w:val="00180D06"/>
    <w:rsid w:val="00181F11"/>
    <w:rsid w:val="001852DA"/>
    <w:rsid w:val="001854A2"/>
    <w:rsid w:val="0018560A"/>
    <w:rsid w:val="001857C8"/>
    <w:rsid w:val="00187756"/>
    <w:rsid w:val="0019056D"/>
    <w:rsid w:val="00191096"/>
    <w:rsid w:val="00194343"/>
    <w:rsid w:val="00194BFB"/>
    <w:rsid w:val="001A1BF1"/>
    <w:rsid w:val="001A40EB"/>
    <w:rsid w:val="001A4398"/>
    <w:rsid w:val="001A4ED8"/>
    <w:rsid w:val="001A7E1F"/>
    <w:rsid w:val="001B27E1"/>
    <w:rsid w:val="001B6EF9"/>
    <w:rsid w:val="001B7B6F"/>
    <w:rsid w:val="001C31E3"/>
    <w:rsid w:val="001C4C6B"/>
    <w:rsid w:val="001C63D3"/>
    <w:rsid w:val="001D3721"/>
    <w:rsid w:val="001D5E48"/>
    <w:rsid w:val="001D63ED"/>
    <w:rsid w:val="001D6819"/>
    <w:rsid w:val="001E28A3"/>
    <w:rsid w:val="001E3E7F"/>
    <w:rsid w:val="001E4798"/>
    <w:rsid w:val="001E4E58"/>
    <w:rsid w:val="001E5029"/>
    <w:rsid w:val="001E611A"/>
    <w:rsid w:val="001F100E"/>
    <w:rsid w:val="001F323A"/>
    <w:rsid w:val="001F391A"/>
    <w:rsid w:val="001F3B36"/>
    <w:rsid w:val="001F5FB6"/>
    <w:rsid w:val="001F770B"/>
    <w:rsid w:val="002009A6"/>
    <w:rsid w:val="002013B4"/>
    <w:rsid w:val="002020AA"/>
    <w:rsid w:val="00204075"/>
    <w:rsid w:val="00205047"/>
    <w:rsid w:val="002060E7"/>
    <w:rsid w:val="0020643D"/>
    <w:rsid w:val="002074E8"/>
    <w:rsid w:val="00207B6C"/>
    <w:rsid w:val="002153DF"/>
    <w:rsid w:val="00216AF0"/>
    <w:rsid w:val="002221F1"/>
    <w:rsid w:val="002225C8"/>
    <w:rsid w:val="00223A31"/>
    <w:rsid w:val="00223C51"/>
    <w:rsid w:val="002279EA"/>
    <w:rsid w:val="00231665"/>
    <w:rsid w:val="00231E96"/>
    <w:rsid w:val="00234140"/>
    <w:rsid w:val="00235142"/>
    <w:rsid w:val="002355D0"/>
    <w:rsid w:val="00235ECD"/>
    <w:rsid w:val="00236806"/>
    <w:rsid w:val="00240475"/>
    <w:rsid w:val="00240E3E"/>
    <w:rsid w:val="00245D23"/>
    <w:rsid w:val="0024689F"/>
    <w:rsid w:val="0025089F"/>
    <w:rsid w:val="00252595"/>
    <w:rsid w:val="002548BB"/>
    <w:rsid w:val="00254F7A"/>
    <w:rsid w:val="002560D0"/>
    <w:rsid w:val="00260006"/>
    <w:rsid w:val="00264778"/>
    <w:rsid w:val="0026490A"/>
    <w:rsid w:val="00265647"/>
    <w:rsid w:val="002660DE"/>
    <w:rsid w:val="00270206"/>
    <w:rsid w:val="00270230"/>
    <w:rsid w:val="00270B6A"/>
    <w:rsid w:val="00270E03"/>
    <w:rsid w:val="00275580"/>
    <w:rsid w:val="00275849"/>
    <w:rsid w:val="00277AAD"/>
    <w:rsid w:val="00280B77"/>
    <w:rsid w:val="00283B33"/>
    <w:rsid w:val="00283E38"/>
    <w:rsid w:val="0028442C"/>
    <w:rsid w:val="00285395"/>
    <w:rsid w:val="00285B38"/>
    <w:rsid w:val="00287835"/>
    <w:rsid w:val="0029037C"/>
    <w:rsid w:val="0029424F"/>
    <w:rsid w:val="002945B3"/>
    <w:rsid w:val="00294973"/>
    <w:rsid w:val="002A1F48"/>
    <w:rsid w:val="002B0569"/>
    <w:rsid w:val="002B12F3"/>
    <w:rsid w:val="002B2A3E"/>
    <w:rsid w:val="002B2C3A"/>
    <w:rsid w:val="002B791F"/>
    <w:rsid w:val="002C00FE"/>
    <w:rsid w:val="002C05D3"/>
    <w:rsid w:val="002C14ED"/>
    <w:rsid w:val="002C2F6C"/>
    <w:rsid w:val="002C3960"/>
    <w:rsid w:val="002C3B6B"/>
    <w:rsid w:val="002C6B38"/>
    <w:rsid w:val="002C7CD3"/>
    <w:rsid w:val="002D1856"/>
    <w:rsid w:val="002D19B3"/>
    <w:rsid w:val="002D48AB"/>
    <w:rsid w:val="002D62D3"/>
    <w:rsid w:val="002D7427"/>
    <w:rsid w:val="002D7715"/>
    <w:rsid w:val="002E3671"/>
    <w:rsid w:val="002E3D97"/>
    <w:rsid w:val="002E46FF"/>
    <w:rsid w:val="002E58A0"/>
    <w:rsid w:val="002E6446"/>
    <w:rsid w:val="002E7809"/>
    <w:rsid w:val="002F00F1"/>
    <w:rsid w:val="002F12E8"/>
    <w:rsid w:val="002F1F89"/>
    <w:rsid w:val="002F506F"/>
    <w:rsid w:val="002F5101"/>
    <w:rsid w:val="002F52BA"/>
    <w:rsid w:val="002F5A94"/>
    <w:rsid w:val="00301275"/>
    <w:rsid w:val="00301AF2"/>
    <w:rsid w:val="00303F67"/>
    <w:rsid w:val="00304433"/>
    <w:rsid w:val="003057A3"/>
    <w:rsid w:val="00305D95"/>
    <w:rsid w:val="0030731B"/>
    <w:rsid w:val="003076DD"/>
    <w:rsid w:val="00313209"/>
    <w:rsid w:val="00313AFF"/>
    <w:rsid w:val="00313EBA"/>
    <w:rsid w:val="003161AC"/>
    <w:rsid w:val="00316863"/>
    <w:rsid w:val="00320A49"/>
    <w:rsid w:val="00321843"/>
    <w:rsid w:val="003220E4"/>
    <w:rsid w:val="003228E2"/>
    <w:rsid w:val="00323139"/>
    <w:rsid w:val="0032486C"/>
    <w:rsid w:val="0032525F"/>
    <w:rsid w:val="003253AC"/>
    <w:rsid w:val="00326B5F"/>
    <w:rsid w:val="003277FC"/>
    <w:rsid w:val="003320B3"/>
    <w:rsid w:val="00333783"/>
    <w:rsid w:val="0033389B"/>
    <w:rsid w:val="00334AAC"/>
    <w:rsid w:val="00334EE3"/>
    <w:rsid w:val="003352A8"/>
    <w:rsid w:val="00335F69"/>
    <w:rsid w:val="00336932"/>
    <w:rsid w:val="00336974"/>
    <w:rsid w:val="00336B0E"/>
    <w:rsid w:val="00336CC6"/>
    <w:rsid w:val="00340803"/>
    <w:rsid w:val="00341F5C"/>
    <w:rsid w:val="0034445D"/>
    <w:rsid w:val="00346CDF"/>
    <w:rsid w:val="00347F90"/>
    <w:rsid w:val="00347FD7"/>
    <w:rsid w:val="00351732"/>
    <w:rsid w:val="00351B4D"/>
    <w:rsid w:val="00352EE8"/>
    <w:rsid w:val="00353567"/>
    <w:rsid w:val="00353987"/>
    <w:rsid w:val="003539CE"/>
    <w:rsid w:val="003549CD"/>
    <w:rsid w:val="00355AD1"/>
    <w:rsid w:val="003564F7"/>
    <w:rsid w:val="00362958"/>
    <w:rsid w:val="00362D4F"/>
    <w:rsid w:val="00362ECE"/>
    <w:rsid w:val="003655D6"/>
    <w:rsid w:val="0036571E"/>
    <w:rsid w:val="0036620E"/>
    <w:rsid w:val="00373813"/>
    <w:rsid w:val="0037384C"/>
    <w:rsid w:val="00373D7B"/>
    <w:rsid w:val="003743CB"/>
    <w:rsid w:val="00374B26"/>
    <w:rsid w:val="003761AF"/>
    <w:rsid w:val="003775B5"/>
    <w:rsid w:val="00380E0B"/>
    <w:rsid w:val="00383245"/>
    <w:rsid w:val="00387F5A"/>
    <w:rsid w:val="0039112B"/>
    <w:rsid w:val="003926BE"/>
    <w:rsid w:val="0039546A"/>
    <w:rsid w:val="00395E50"/>
    <w:rsid w:val="00395EAC"/>
    <w:rsid w:val="00396F52"/>
    <w:rsid w:val="003A2265"/>
    <w:rsid w:val="003A3EBB"/>
    <w:rsid w:val="003A5355"/>
    <w:rsid w:val="003A6D82"/>
    <w:rsid w:val="003A7F63"/>
    <w:rsid w:val="003B01A1"/>
    <w:rsid w:val="003B02AD"/>
    <w:rsid w:val="003B0868"/>
    <w:rsid w:val="003B35DE"/>
    <w:rsid w:val="003B461A"/>
    <w:rsid w:val="003B5B98"/>
    <w:rsid w:val="003B6629"/>
    <w:rsid w:val="003B6DB3"/>
    <w:rsid w:val="003B7C1F"/>
    <w:rsid w:val="003C0270"/>
    <w:rsid w:val="003C1E65"/>
    <w:rsid w:val="003C3D40"/>
    <w:rsid w:val="003C4A6E"/>
    <w:rsid w:val="003C626E"/>
    <w:rsid w:val="003D0062"/>
    <w:rsid w:val="003D19E7"/>
    <w:rsid w:val="003D3356"/>
    <w:rsid w:val="003D3F3F"/>
    <w:rsid w:val="003D4A9C"/>
    <w:rsid w:val="003D4EA2"/>
    <w:rsid w:val="003D5DE6"/>
    <w:rsid w:val="003D6C58"/>
    <w:rsid w:val="003D7C57"/>
    <w:rsid w:val="003E15EB"/>
    <w:rsid w:val="003E52B5"/>
    <w:rsid w:val="003E5E54"/>
    <w:rsid w:val="003E6BA5"/>
    <w:rsid w:val="003F040D"/>
    <w:rsid w:val="003F175A"/>
    <w:rsid w:val="003F2B86"/>
    <w:rsid w:val="003F402D"/>
    <w:rsid w:val="003F41BF"/>
    <w:rsid w:val="003F45A7"/>
    <w:rsid w:val="003F5942"/>
    <w:rsid w:val="003F5F41"/>
    <w:rsid w:val="004004C3"/>
    <w:rsid w:val="00402B0E"/>
    <w:rsid w:val="00406B01"/>
    <w:rsid w:val="00411271"/>
    <w:rsid w:val="0041299F"/>
    <w:rsid w:val="004130EF"/>
    <w:rsid w:val="00413357"/>
    <w:rsid w:val="00413812"/>
    <w:rsid w:val="004149FF"/>
    <w:rsid w:val="00415010"/>
    <w:rsid w:val="0041598F"/>
    <w:rsid w:val="00417A6E"/>
    <w:rsid w:val="00417A80"/>
    <w:rsid w:val="00421FE8"/>
    <w:rsid w:val="00422758"/>
    <w:rsid w:val="0042321D"/>
    <w:rsid w:val="004234F1"/>
    <w:rsid w:val="00423895"/>
    <w:rsid w:val="00426848"/>
    <w:rsid w:val="004272C8"/>
    <w:rsid w:val="00427E97"/>
    <w:rsid w:val="00430932"/>
    <w:rsid w:val="00431D68"/>
    <w:rsid w:val="0043347C"/>
    <w:rsid w:val="00435CDB"/>
    <w:rsid w:val="00435F46"/>
    <w:rsid w:val="004369D7"/>
    <w:rsid w:val="004378CA"/>
    <w:rsid w:val="00437BBF"/>
    <w:rsid w:val="00437EEC"/>
    <w:rsid w:val="004405E5"/>
    <w:rsid w:val="00440FCB"/>
    <w:rsid w:val="004426A4"/>
    <w:rsid w:val="004441AA"/>
    <w:rsid w:val="0044420D"/>
    <w:rsid w:val="004463D2"/>
    <w:rsid w:val="00451E49"/>
    <w:rsid w:val="0045308D"/>
    <w:rsid w:val="00453091"/>
    <w:rsid w:val="00453306"/>
    <w:rsid w:val="00453B20"/>
    <w:rsid w:val="00456B03"/>
    <w:rsid w:val="00457BC2"/>
    <w:rsid w:val="00463FFB"/>
    <w:rsid w:val="0046468D"/>
    <w:rsid w:val="00464CD7"/>
    <w:rsid w:val="004655CE"/>
    <w:rsid w:val="00465FC2"/>
    <w:rsid w:val="0046670C"/>
    <w:rsid w:val="00466A59"/>
    <w:rsid w:val="00467AB2"/>
    <w:rsid w:val="0047255B"/>
    <w:rsid w:val="004726CC"/>
    <w:rsid w:val="004735F4"/>
    <w:rsid w:val="004738B9"/>
    <w:rsid w:val="004767FF"/>
    <w:rsid w:val="004774A8"/>
    <w:rsid w:val="00480E6F"/>
    <w:rsid w:val="00482702"/>
    <w:rsid w:val="00482E56"/>
    <w:rsid w:val="00483BF0"/>
    <w:rsid w:val="00486E10"/>
    <w:rsid w:val="00490333"/>
    <w:rsid w:val="0049188A"/>
    <w:rsid w:val="0049307A"/>
    <w:rsid w:val="00493BB8"/>
    <w:rsid w:val="00494AE1"/>
    <w:rsid w:val="00494F3B"/>
    <w:rsid w:val="0049516F"/>
    <w:rsid w:val="004A2A70"/>
    <w:rsid w:val="004A4DE7"/>
    <w:rsid w:val="004A578A"/>
    <w:rsid w:val="004A5BB3"/>
    <w:rsid w:val="004A671A"/>
    <w:rsid w:val="004B0EDA"/>
    <w:rsid w:val="004B347E"/>
    <w:rsid w:val="004B3B04"/>
    <w:rsid w:val="004B4A16"/>
    <w:rsid w:val="004B5BF5"/>
    <w:rsid w:val="004B7DE8"/>
    <w:rsid w:val="004C1AFC"/>
    <w:rsid w:val="004C1E4D"/>
    <w:rsid w:val="004C3172"/>
    <w:rsid w:val="004C32E8"/>
    <w:rsid w:val="004C3492"/>
    <w:rsid w:val="004C54B1"/>
    <w:rsid w:val="004C62C0"/>
    <w:rsid w:val="004C792E"/>
    <w:rsid w:val="004C7C9E"/>
    <w:rsid w:val="004D0FB9"/>
    <w:rsid w:val="004D189C"/>
    <w:rsid w:val="004D1AE1"/>
    <w:rsid w:val="004D22E2"/>
    <w:rsid w:val="004D2682"/>
    <w:rsid w:val="004D35E9"/>
    <w:rsid w:val="004D644F"/>
    <w:rsid w:val="004D69D1"/>
    <w:rsid w:val="004E3372"/>
    <w:rsid w:val="004E516C"/>
    <w:rsid w:val="004E59A0"/>
    <w:rsid w:val="004E5F25"/>
    <w:rsid w:val="004E6D19"/>
    <w:rsid w:val="004F3460"/>
    <w:rsid w:val="004F3796"/>
    <w:rsid w:val="004F527A"/>
    <w:rsid w:val="004F54C8"/>
    <w:rsid w:val="004F5ADD"/>
    <w:rsid w:val="004F6535"/>
    <w:rsid w:val="004F668F"/>
    <w:rsid w:val="004F68D5"/>
    <w:rsid w:val="00500AA6"/>
    <w:rsid w:val="005026A9"/>
    <w:rsid w:val="005028D9"/>
    <w:rsid w:val="00502DCE"/>
    <w:rsid w:val="005039BD"/>
    <w:rsid w:val="005049E6"/>
    <w:rsid w:val="00504CEC"/>
    <w:rsid w:val="00506D90"/>
    <w:rsid w:val="00510073"/>
    <w:rsid w:val="00511848"/>
    <w:rsid w:val="00511993"/>
    <w:rsid w:val="00511C9E"/>
    <w:rsid w:val="00511D83"/>
    <w:rsid w:val="00512AC9"/>
    <w:rsid w:val="00514AB6"/>
    <w:rsid w:val="00516A9B"/>
    <w:rsid w:val="005228EB"/>
    <w:rsid w:val="00522EF9"/>
    <w:rsid w:val="00522FE9"/>
    <w:rsid w:val="005257B4"/>
    <w:rsid w:val="00527C42"/>
    <w:rsid w:val="005304A7"/>
    <w:rsid w:val="005309D4"/>
    <w:rsid w:val="00532EE1"/>
    <w:rsid w:val="00540A04"/>
    <w:rsid w:val="00546477"/>
    <w:rsid w:val="00546C4E"/>
    <w:rsid w:val="005472C3"/>
    <w:rsid w:val="005477B2"/>
    <w:rsid w:val="00550110"/>
    <w:rsid w:val="00553925"/>
    <w:rsid w:val="00553B48"/>
    <w:rsid w:val="00555257"/>
    <w:rsid w:val="00555A92"/>
    <w:rsid w:val="00556863"/>
    <w:rsid w:val="0056004F"/>
    <w:rsid w:val="00561EDF"/>
    <w:rsid w:val="00565A7C"/>
    <w:rsid w:val="00565B0D"/>
    <w:rsid w:val="00565F00"/>
    <w:rsid w:val="00566518"/>
    <w:rsid w:val="00566CA5"/>
    <w:rsid w:val="00572662"/>
    <w:rsid w:val="00573106"/>
    <w:rsid w:val="00576610"/>
    <w:rsid w:val="0057775E"/>
    <w:rsid w:val="00580943"/>
    <w:rsid w:val="00581E00"/>
    <w:rsid w:val="0058240C"/>
    <w:rsid w:val="0058591B"/>
    <w:rsid w:val="00585A11"/>
    <w:rsid w:val="00585D9D"/>
    <w:rsid w:val="00585FC1"/>
    <w:rsid w:val="0058638B"/>
    <w:rsid w:val="00586B85"/>
    <w:rsid w:val="00587B26"/>
    <w:rsid w:val="0059046B"/>
    <w:rsid w:val="00591017"/>
    <w:rsid w:val="005913B2"/>
    <w:rsid w:val="00592C7E"/>
    <w:rsid w:val="00592E64"/>
    <w:rsid w:val="005942C9"/>
    <w:rsid w:val="00596702"/>
    <w:rsid w:val="00596E0A"/>
    <w:rsid w:val="00597F94"/>
    <w:rsid w:val="005A0CB1"/>
    <w:rsid w:val="005A12CA"/>
    <w:rsid w:val="005A3DE6"/>
    <w:rsid w:val="005A3EC4"/>
    <w:rsid w:val="005A42AF"/>
    <w:rsid w:val="005A63C5"/>
    <w:rsid w:val="005A64B0"/>
    <w:rsid w:val="005A6690"/>
    <w:rsid w:val="005A7903"/>
    <w:rsid w:val="005B0734"/>
    <w:rsid w:val="005B1080"/>
    <w:rsid w:val="005B36A6"/>
    <w:rsid w:val="005B3EF2"/>
    <w:rsid w:val="005B417B"/>
    <w:rsid w:val="005B539C"/>
    <w:rsid w:val="005B5864"/>
    <w:rsid w:val="005C0211"/>
    <w:rsid w:val="005C24A5"/>
    <w:rsid w:val="005C25FD"/>
    <w:rsid w:val="005C5467"/>
    <w:rsid w:val="005C6FC3"/>
    <w:rsid w:val="005D0CD2"/>
    <w:rsid w:val="005D1308"/>
    <w:rsid w:val="005D153A"/>
    <w:rsid w:val="005D2EB8"/>
    <w:rsid w:val="005D3066"/>
    <w:rsid w:val="005D31FB"/>
    <w:rsid w:val="005D35B6"/>
    <w:rsid w:val="005D410E"/>
    <w:rsid w:val="005D42EA"/>
    <w:rsid w:val="005D5C6A"/>
    <w:rsid w:val="005D7959"/>
    <w:rsid w:val="005E1017"/>
    <w:rsid w:val="005E1D98"/>
    <w:rsid w:val="005E6262"/>
    <w:rsid w:val="005E71F6"/>
    <w:rsid w:val="005F035D"/>
    <w:rsid w:val="005F098A"/>
    <w:rsid w:val="005F0C3A"/>
    <w:rsid w:val="005F149C"/>
    <w:rsid w:val="005F1A2D"/>
    <w:rsid w:val="005F260D"/>
    <w:rsid w:val="005F2757"/>
    <w:rsid w:val="005F454A"/>
    <w:rsid w:val="005F547F"/>
    <w:rsid w:val="005F5CB8"/>
    <w:rsid w:val="005F5E19"/>
    <w:rsid w:val="005F60A7"/>
    <w:rsid w:val="005F7547"/>
    <w:rsid w:val="00600181"/>
    <w:rsid w:val="00600422"/>
    <w:rsid w:val="00600CBB"/>
    <w:rsid w:val="0060119C"/>
    <w:rsid w:val="0060122F"/>
    <w:rsid w:val="00601E41"/>
    <w:rsid w:val="00602B8C"/>
    <w:rsid w:val="00602F26"/>
    <w:rsid w:val="00603812"/>
    <w:rsid w:val="00603925"/>
    <w:rsid w:val="006052BB"/>
    <w:rsid w:val="00606679"/>
    <w:rsid w:val="00606D48"/>
    <w:rsid w:val="00606DB0"/>
    <w:rsid w:val="00610C12"/>
    <w:rsid w:val="00610F02"/>
    <w:rsid w:val="00610F8D"/>
    <w:rsid w:val="006113AF"/>
    <w:rsid w:val="00612930"/>
    <w:rsid w:val="00614169"/>
    <w:rsid w:val="00614380"/>
    <w:rsid w:val="006155B2"/>
    <w:rsid w:val="00616A4B"/>
    <w:rsid w:val="00616E23"/>
    <w:rsid w:val="00620B00"/>
    <w:rsid w:val="0062301D"/>
    <w:rsid w:val="00623F45"/>
    <w:rsid w:val="00627726"/>
    <w:rsid w:val="0063080A"/>
    <w:rsid w:val="006310F4"/>
    <w:rsid w:val="006314EF"/>
    <w:rsid w:val="006325F3"/>
    <w:rsid w:val="006354B4"/>
    <w:rsid w:val="0063609C"/>
    <w:rsid w:val="00636995"/>
    <w:rsid w:val="00640271"/>
    <w:rsid w:val="00640B7E"/>
    <w:rsid w:val="00643915"/>
    <w:rsid w:val="006444FA"/>
    <w:rsid w:val="00645666"/>
    <w:rsid w:val="00652B69"/>
    <w:rsid w:val="0065329A"/>
    <w:rsid w:val="0065443E"/>
    <w:rsid w:val="006579B2"/>
    <w:rsid w:val="00661652"/>
    <w:rsid w:val="00661D2E"/>
    <w:rsid w:val="00663D98"/>
    <w:rsid w:val="00664485"/>
    <w:rsid w:val="00670636"/>
    <w:rsid w:val="0067096F"/>
    <w:rsid w:val="0067121F"/>
    <w:rsid w:val="00671AAD"/>
    <w:rsid w:val="006724F1"/>
    <w:rsid w:val="00674144"/>
    <w:rsid w:val="00676080"/>
    <w:rsid w:val="0068136C"/>
    <w:rsid w:val="00681878"/>
    <w:rsid w:val="00683A43"/>
    <w:rsid w:val="00684457"/>
    <w:rsid w:val="00684A27"/>
    <w:rsid w:val="00685579"/>
    <w:rsid w:val="00685F3B"/>
    <w:rsid w:val="0068625C"/>
    <w:rsid w:val="00686904"/>
    <w:rsid w:val="00693403"/>
    <w:rsid w:val="00694C8A"/>
    <w:rsid w:val="006950E8"/>
    <w:rsid w:val="00695323"/>
    <w:rsid w:val="00695B1A"/>
    <w:rsid w:val="00697486"/>
    <w:rsid w:val="006A0BAC"/>
    <w:rsid w:val="006A30E2"/>
    <w:rsid w:val="006A5024"/>
    <w:rsid w:val="006A5DE0"/>
    <w:rsid w:val="006B0445"/>
    <w:rsid w:val="006B0510"/>
    <w:rsid w:val="006B3610"/>
    <w:rsid w:val="006B56ED"/>
    <w:rsid w:val="006C0B9B"/>
    <w:rsid w:val="006C1A8D"/>
    <w:rsid w:val="006C4F4B"/>
    <w:rsid w:val="006C7521"/>
    <w:rsid w:val="006C782C"/>
    <w:rsid w:val="006C7CCA"/>
    <w:rsid w:val="006C7DE7"/>
    <w:rsid w:val="006D216F"/>
    <w:rsid w:val="006D2490"/>
    <w:rsid w:val="006D2610"/>
    <w:rsid w:val="006D30A6"/>
    <w:rsid w:val="006D3546"/>
    <w:rsid w:val="006D40B8"/>
    <w:rsid w:val="006D4538"/>
    <w:rsid w:val="006D5ED7"/>
    <w:rsid w:val="006D5EF0"/>
    <w:rsid w:val="006D6544"/>
    <w:rsid w:val="006D6C51"/>
    <w:rsid w:val="006D787E"/>
    <w:rsid w:val="006D7902"/>
    <w:rsid w:val="006E5135"/>
    <w:rsid w:val="006E5363"/>
    <w:rsid w:val="006E639B"/>
    <w:rsid w:val="006E716A"/>
    <w:rsid w:val="006E7EBD"/>
    <w:rsid w:val="006E7F77"/>
    <w:rsid w:val="006F0DDA"/>
    <w:rsid w:val="006F2121"/>
    <w:rsid w:val="006F2852"/>
    <w:rsid w:val="006F2F9A"/>
    <w:rsid w:val="006F3E80"/>
    <w:rsid w:val="006F4520"/>
    <w:rsid w:val="006F55E8"/>
    <w:rsid w:val="006F6EAE"/>
    <w:rsid w:val="007011BB"/>
    <w:rsid w:val="007017A2"/>
    <w:rsid w:val="00702144"/>
    <w:rsid w:val="00702B62"/>
    <w:rsid w:val="00703406"/>
    <w:rsid w:val="00704D23"/>
    <w:rsid w:val="00705105"/>
    <w:rsid w:val="00705CA5"/>
    <w:rsid w:val="00706077"/>
    <w:rsid w:val="007062BE"/>
    <w:rsid w:val="00706A97"/>
    <w:rsid w:val="00707561"/>
    <w:rsid w:val="00710ACB"/>
    <w:rsid w:val="007110BA"/>
    <w:rsid w:val="00712A27"/>
    <w:rsid w:val="00713029"/>
    <w:rsid w:val="007134CF"/>
    <w:rsid w:val="0071418E"/>
    <w:rsid w:val="00714A20"/>
    <w:rsid w:val="007162D6"/>
    <w:rsid w:val="007162DA"/>
    <w:rsid w:val="007171F5"/>
    <w:rsid w:val="0071723C"/>
    <w:rsid w:val="0072052B"/>
    <w:rsid w:val="0072204C"/>
    <w:rsid w:val="007229AE"/>
    <w:rsid w:val="00723EDA"/>
    <w:rsid w:val="007240E1"/>
    <w:rsid w:val="00724983"/>
    <w:rsid w:val="00724C73"/>
    <w:rsid w:val="00725B27"/>
    <w:rsid w:val="00725B5E"/>
    <w:rsid w:val="00725F43"/>
    <w:rsid w:val="00726A27"/>
    <w:rsid w:val="00727AB2"/>
    <w:rsid w:val="00727F3F"/>
    <w:rsid w:val="0073189C"/>
    <w:rsid w:val="00735A90"/>
    <w:rsid w:val="00735BB8"/>
    <w:rsid w:val="0073682E"/>
    <w:rsid w:val="00740569"/>
    <w:rsid w:val="007415C2"/>
    <w:rsid w:val="00752042"/>
    <w:rsid w:val="00753F92"/>
    <w:rsid w:val="007540E2"/>
    <w:rsid w:val="0075432B"/>
    <w:rsid w:val="0075635E"/>
    <w:rsid w:val="00757A6B"/>
    <w:rsid w:val="0076064D"/>
    <w:rsid w:val="00760657"/>
    <w:rsid w:val="007621EF"/>
    <w:rsid w:val="00762C0E"/>
    <w:rsid w:val="0076307C"/>
    <w:rsid w:val="00763E45"/>
    <w:rsid w:val="00764447"/>
    <w:rsid w:val="007655EC"/>
    <w:rsid w:val="00765A03"/>
    <w:rsid w:val="007668FE"/>
    <w:rsid w:val="00770F8F"/>
    <w:rsid w:val="00771563"/>
    <w:rsid w:val="00771E80"/>
    <w:rsid w:val="00772339"/>
    <w:rsid w:val="00773A24"/>
    <w:rsid w:val="00774364"/>
    <w:rsid w:val="00775D15"/>
    <w:rsid w:val="007765D5"/>
    <w:rsid w:val="0078244C"/>
    <w:rsid w:val="00783E94"/>
    <w:rsid w:val="007845D1"/>
    <w:rsid w:val="00784D7E"/>
    <w:rsid w:val="007863CC"/>
    <w:rsid w:val="00791750"/>
    <w:rsid w:val="00791C96"/>
    <w:rsid w:val="0079223B"/>
    <w:rsid w:val="00792C03"/>
    <w:rsid w:val="00792C85"/>
    <w:rsid w:val="00793FA1"/>
    <w:rsid w:val="007951A4"/>
    <w:rsid w:val="007967A5"/>
    <w:rsid w:val="007968A5"/>
    <w:rsid w:val="00796C29"/>
    <w:rsid w:val="007A07EC"/>
    <w:rsid w:val="007A10C0"/>
    <w:rsid w:val="007A43EB"/>
    <w:rsid w:val="007A4418"/>
    <w:rsid w:val="007B0AA7"/>
    <w:rsid w:val="007B0CB7"/>
    <w:rsid w:val="007B38ED"/>
    <w:rsid w:val="007B517C"/>
    <w:rsid w:val="007B67AC"/>
    <w:rsid w:val="007B6858"/>
    <w:rsid w:val="007B7DC6"/>
    <w:rsid w:val="007C0086"/>
    <w:rsid w:val="007C00F7"/>
    <w:rsid w:val="007C07A8"/>
    <w:rsid w:val="007C23AB"/>
    <w:rsid w:val="007C2CC6"/>
    <w:rsid w:val="007C35F8"/>
    <w:rsid w:val="007C384A"/>
    <w:rsid w:val="007C460B"/>
    <w:rsid w:val="007C531C"/>
    <w:rsid w:val="007C5E37"/>
    <w:rsid w:val="007C6D01"/>
    <w:rsid w:val="007C70A6"/>
    <w:rsid w:val="007C732B"/>
    <w:rsid w:val="007D04BD"/>
    <w:rsid w:val="007D1353"/>
    <w:rsid w:val="007D1750"/>
    <w:rsid w:val="007D2C7F"/>
    <w:rsid w:val="007D3D82"/>
    <w:rsid w:val="007D6E1C"/>
    <w:rsid w:val="007E0C13"/>
    <w:rsid w:val="007E467C"/>
    <w:rsid w:val="007E4F2F"/>
    <w:rsid w:val="007E6BE6"/>
    <w:rsid w:val="007E769B"/>
    <w:rsid w:val="007E773E"/>
    <w:rsid w:val="007F1C4A"/>
    <w:rsid w:val="007F2E75"/>
    <w:rsid w:val="007F59CA"/>
    <w:rsid w:val="007F7B84"/>
    <w:rsid w:val="007F7CA4"/>
    <w:rsid w:val="007F7E31"/>
    <w:rsid w:val="00803678"/>
    <w:rsid w:val="008048A0"/>
    <w:rsid w:val="0081081E"/>
    <w:rsid w:val="008113CE"/>
    <w:rsid w:val="0081526F"/>
    <w:rsid w:val="008159F3"/>
    <w:rsid w:val="00817B29"/>
    <w:rsid w:val="00817E17"/>
    <w:rsid w:val="008212E2"/>
    <w:rsid w:val="00821DAA"/>
    <w:rsid w:val="0082257C"/>
    <w:rsid w:val="00822606"/>
    <w:rsid w:val="0082427B"/>
    <w:rsid w:val="00824B4B"/>
    <w:rsid w:val="00824C4D"/>
    <w:rsid w:val="0082565D"/>
    <w:rsid w:val="00825836"/>
    <w:rsid w:val="0082676E"/>
    <w:rsid w:val="00826CB3"/>
    <w:rsid w:val="008272F1"/>
    <w:rsid w:val="00827365"/>
    <w:rsid w:val="00827E09"/>
    <w:rsid w:val="00830CD5"/>
    <w:rsid w:val="00830F2B"/>
    <w:rsid w:val="00831201"/>
    <w:rsid w:val="0083162E"/>
    <w:rsid w:val="00832C68"/>
    <w:rsid w:val="00832DA8"/>
    <w:rsid w:val="00832E39"/>
    <w:rsid w:val="0083387C"/>
    <w:rsid w:val="00833903"/>
    <w:rsid w:val="008347E3"/>
    <w:rsid w:val="00840040"/>
    <w:rsid w:val="00842776"/>
    <w:rsid w:val="00843067"/>
    <w:rsid w:val="00845BA4"/>
    <w:rsid w:val="0084630A"/>
    <w:rsid w:val="00850A03"/>
    <w:rsid w:val="00851769"/>
    <w:rsid w:val="008520F2"/>
    <w:rsid w:val="008530E8"/>
    <w:rsid w:val="008549DA"/>
    <w:rsid w:val="00855D9E"/>
    <w:rsid w:val="00861366"/>
    <w:rsid w:val="0086172C"/>
    <w:rsid w:val="00862063"/>
    <w:rsid w:val="008620ED"/>
    <w:rsid w:val="0086258A"/>
    <w:rsid w:val="00863BC9"/>
    <w:rsid w:val="00865674"/>
    <w:rsid w:val="00865C73"/>
    <w:rsid w:val="00866558"/>
    <w:rsid w:val="008665A6"/>
    <w:rsid w:val="008666E9"/>
    <w:rsid w:val="00866E34"/>
    <w:rsid w:val="00866EBB"/>
    <w:rsid w:val="00870165"/>
    <w:rsid w:val="00872A92"/>
    <w:rsid w:val="0087614E"/>
    <w:rsid w:val="00876C47"/>
    <w:rsid w:val="008771CF"/>
    <w:rsid w:val="008778F6"/>
    <w:rsid w:val="00880CAE"/>
    <w:rsid w:val="00880CF8"/>
    <w:rsid w:val="00881660"/>
    <w:rsid w:val="00882A5F"/>
    <w:rsid w:val="008830AA"/>
    <w:rsid w:val="008844B1"/>
    <w:rsid w:val="00885198"/>
    <w:rsid w:val="008864DA"/>
    <w:rsid w:val="00887995"/>
    <w:rsid w:val="00892662"/>
    <w:rsid w:val="00894596"/>
    <w:rsid w:val="00894928"/>
    <w:rsid w:val="00894B2B"/>
    <w:rsid w:val="00895F39"/>
    <w:rsid w:val="00897493"/>
    <w:rsid w:val="00897728"/>
    <w:rsid w:val="008A13EE"/>
    <w:rsid w:val="008A1553"/>
    <w:rsid w:val="008A191B"/>
    <w:rsid w:val="008A2BEF"/>
    <w:rsid w:val="008A4439"/>
    <w:rsid w:val="008A5E0B"/>
    <w:rsid w:val="008A7313"/>
    <w:rsid w:val="008A7B5B"/>
    <w:rsid w:val="008B0BD4"/>
    <w:rsid w:val="008B1592"/>
    <w:rsid w:val="008B1669"/>
    <w:rsid w:val="008B1C03"/>
    <w:rsid w:val="008B53B7"/>
    <w:rsid w:val="008B5D62"/>
    <w:rsid w:val="008B6372"/>
    <w:rsid w:val="008B7A17"/>
    <w:rsid w:val="008C0871"/>
    <w:rsid w:val="008C1BC3"/>
    <w:rsid w:val="008C2186"/>
    <w:rsid w:val="008C3576"/>
    <w:rsid w:val="008C58F1"/>
    <w:rsid w:val="008C7DE3"/>
    <w:rsid w:val="008D0EF5"/>
    <w:rsid w:val="008D1D5D"/>
    <w:rsid w:val="008D3FC0"/>
    <w:rsid w:val="008D6A09"/>
    <w:rsid w:val="008E3868"/>
    <w:rsid w:val="008E55AF"/>
    <w:rsid w:val="008E650E"/>
    <w:rsid w:val="008E693E"/>
    <w:rsid w:val="008F0D4E"/>
    <w:rsid w:val="008F1810"/>
    <w:rsid w:val="008F35B2"/>
    <w:rsid w:val="008F4A1C"/>
    <w:rsid w:val="008F568D"/>
    <w:rsid w:val="008F6007"/>
    <w:rsid w:val="008F623A"/>
    <w:rsid w:val="008F7614"/>
    <w:rsid w:val="00902769"/>
    <w:rsid w:val="00904A15"/>
    <w:rsid w:val="00906688"/>
    <w:rsid w:val="009067EE"/>
    <w:rsid w:val="009105D9"/>
    <w:rsid w:val="00910713"/>
    <w:rsid w:val="00910B2C"/>
    <w:rsid w:val="0091184D"/>
    <w:rsid w:val="00913933"/>
    <w:rsid w:val="00913D94"/>
    <w:rsid w:val="00915692"/>
    <w:rsid w:val="009160D8"/>
    <w:rsid w:val="00917155"/>
    <w:rsid w:val="00917745"/>
    <w:rsid w:val="00917E7C"/>
    <w:rsid w:val="00920046"/>
    <w:rsid w:val="00921EFF"/>
    <w:rsid w:val="00923670"/>
    <w:rsid w:val="00923A2F"/>
    <w:rsid w:val="00923D27"/>
    <w:rsid w:val="00924873"/>
    <w:rsid w:val="00925B30"/>
    <w:rsid w:val="00927C7A"/>
    <w:rsid w:val="00930C6B"/>
    <w:rsid w:val="00930D44"/>
    <w:rsid w:val="00932927"/>
    <w:rsid w:val="009336AD"/>
    <w:rsid w:val="00933E86"/>
    <w:rsid w:val="00934F8E"/>
    <w:rsid w:val="00935287"/>
    <w:rsid w:val="00943A19"/>
    <w:rsid w:val="0094531D"/>
    <w:rsid w:val="0094706F"/>
    <w:rsid w:val="00947422"/>
    <w:rsid w:val="00950442"/>
    <w:rsid w:val="00951097"/>
    <w:rsid w:val="00951F57"/>
    <w:rsid w:val="009538C0"/>
    <w:rsid w:val="00954A58"/>
    <w:rsid w:val="009562C7"/>
    <w:rsid w:val="00960E96"/>
    <w:rsid w:val="00962689"/>
    <w:rsid w:val="00964E96"/>
    <w:rsid w:val="009650D6"/>
    <w:rsid w:val="00970113"/>
    <w:rsid w:val="0097092F"/>
    <w:rsid w:val="00972EDA"/>
    <w:rsid w:val="00973625"/>
    <w:rsid w:val="00976686"/>
    <w:rsid w:val="00976D3C"/>
    <w:rsid w:val="00977109"/>
    <w:rsid w:val="009776DE"/>
    <w:rsid w:val="00982FAD"/>
    <w:rsid w:val="0098308C"/>
    <w:rsid w:val="0098565A"/>
    <w:rsid w:val="00992220"/>
    <w:rsid w:val="009927B9"/>
    <w:rsid w:val="00993F39"/>
    <w:rsid w:val="009948A6"/>
    <w:rsid w:val="009953CC"/>
    <w:rsid w:val="009957D5"/>
    <w:rsid w:val="009A035A"/>
    <w:rsid w:val="009A0C04"/>
    <w:rsid w:val="009A188B"/>
    <w:rsid w:val="009A2AE1"/>
    <w:rsid w:val="009A2CBD"/>
    <w:rsid w:val="009A4126"/>
    <w:rsid w:val="009A43BC"/>
    <w:rsid w:val="009A4AA7"/>
    <w:rsid w:val="009A4FDF"/>
    <w:rsid w:val="009A606A"/>
    <w:rsid w:val="009A6099"/>
    <w:rsid w:val="009A7299"/>
    <w:rsid w:val="009B1DFD"/>
    <w:rsid w:val="009B2945"/>
    <w:rsid w:val="009B2973"/>
    <w:rsid w:val="009B6E22"/>
    <w:rsid w:val="009C084F"/>
    <w:rsid w:val="009C1BBA"/>
    <w:rsid w:val="009C2CD0"/>
    <w:rsid w:val="009C40DD"/>
    <w:rsid w:val="009C430B"/>
    <w:rsid w:val="009C4F83"/>
    <w:rsid w:val="009C537C"/>
    <w:rsid w:val="009C74AC"/>
    <w:rsid w:val="009C7D3F"/>
    <w:rsid w:val="009D0E0E"/>
    <w:rsid w:val="009D14DB"/>
    <w:rsid w:val="009D2093"/>
    <w:rsid w:val="009D257D"/>
    <w:rsid w:val="009D346C"/>
    <w:rsid w:val="009D3627"/>
    <w:rsid w:val="009D4042"/>
    <w:rsid w:val="009D4BBA"/>
    <w:rsid w:val="009D4CF6"/>
    <w:rsid w:val="009D69D2"/>
    <w:rsid w:val="009E01AE"/>
    <w:rsid w:val="009E0227"/>
    <w:rsid w:val="009E0D1C"/>
    <w:rsid w:val="009E266C"/>
    <w:rsid w:val="009E6508"/>
    <w:rsid w:val="009E7ED9"/>
    <w:rsid w:val="009F01DA"/>
    <w:rsid w:val="009F20BB"/>
    <w:rsid w:val="009F2F6F"/>
    <w:rsid w:val="009F342B"/>
    <w:rsid w:val="009F4E48"/>
    <w:rsid w:val="009F5F66"/>
    <w:rsid w:val="009F64A9"/>
    <w:rsid w:val="009F7CF5"/>
    <w:rsid w:val="00A026E6"/>
    <w:rsid w:val="00A029BE"/>
    <w:rsid w:val="00A031C2"/>
    <w:rsid w:val="00A07A58"/>
    <w:rsid w:val="00A07E1F"/>
    <w:rsid w:val="00A100AB"/>
    <w:rsid w:val="00A141ED"/>
    <w:rsid w:val="00A14325"/>
    <w:rsid w:val="00A14A91"/>
    <w:rsid w:val="00A16587"/>
    <w:rsid w:val="00A20029"/>
    <w:rsid w:val="00A22E2B"/>
    <w:rsid w:val="00A22FCA"/>
    <w:rsid w:val="00A23089"/>
    <w:rsid w:val="00A23AD8"/>
    <w:rsid w:val="00A25ED8"/>
    <w:rsid w:val="00A26396"/>
    <w:rsid w:val="00A2671A"/>
    <w:rsid w:val="00A31C95"/>
    <w:rsid w:val="00A33E20"/>
    <w:rsid w:val="00A341AD"/>
    <w:rsid w:val="00A352F8"/>
    <w:rsid w:val="00A35AB1"/>
    <w:rsid w:val="00A3641D"/>
    <w:rsid w:val="00A36BCC"/>
    <w:rsid w:val="00A37068"/>
    <w:rsid w:val="00A40D60"/>
    <w:rsid w:val="00A41B4C"/>
    <w:rsid w:val="00A42AF9"/>
    <w:rsid w:val="00A42BC9"/>
    <w:rsid w:val="00A42EC5"/>
    <w:rsid w:val="00A43789"/>
    <w:rsid w:val="00A438DD"/>
    <w:rsid w:val="00A43E81"/>
    <w:rsid w:val="00A46FAA"/>
    <w:rsid w:val="00A531FE"/>
    <w:rsid w:val="00A53E38"/>
    <w:rsid w:val="00A55CBA"/>
    <w:rsid w:val="00A561B6"/>
    <w:rsid w:val="00A633AD"/>
    <w:rsid w:val="00A63A78"/>
    <w:rsid w:val="00A66164"/>
    <w:rsid w:val="00A666C4"/>
    <w:rsid w:val="00A67631"/>
    <w:rsid w:val="00A701A5"/>
    <w:rsid w:val="00A708A6"/>
    <w:rsid w:val="00A71CB8"/>
    <w:rsid w:val="00A72562"/>
    <w:rsid w:val="00A73931"/>
    <w:rsid w:val="00A73B2D"/>
    <w:rsid w:val="00A752B3"/>
    <w:rsid w:val="00A76F38"/>
    <w:rsid w:val="00A7707C"/>
    <w:rsid w:val="00A774E5"/>
    <w:rsid w:val="00A8002F"/>
    <w:rsid w:val="00A802BD"/>
    <w:rsid w:val="00A80946"/>
    <w:rsid w:val="00A8215B"/>
    <w:rsid w:val="00A82567"/>
    <w:rsid w:val="00A8353E"/>
    <w:rsid w:val="00A844E2"/>
    <w:rsid w:val="00A85299"/>
    <w:rsid w:val="00A86551"/>
    <w:rsid w:val="00A901FB"/>
    <w:rsid w:val="00A91BEF"/>
    <w:rsid w:val="00A93128"/>
    <w:rsid w:val="00A9653E"/>
    <w:rsid w:val="00A96DE4"/>
    <w:rsid w:val="00AA1888"/>
    <w:rsid w:val="00AA3AC3"/>
    <w:rsid w:val="00AA466F"/>
    <w:rsid w:val="00AA4BC5"/>
    <w:rsid w:val="00AA510B"/>
    <w:rsid w:val="00AA60AC"/>
    <w:rsid w:val="00AA61B1"/>
    <w:rsid w:val="00AA6716"/>
    <w:rsid w:val="00AA785A"/>
    <w:rsid w:val="00AB1EA3"/>
    <w:rsid w:val="00AB23CB"/>
    <w:rsid w:val="00AB29C9"/>
    <w:rsid w:val="00AB32EC"/>
    <w:rsid w:val="00AB3AB0"/>
    <w:rsid w:val="00AB6640"/>
    <w:rsid w:val="00AB7F3D"/>
    <w:rsid w:val="00AC1007"/>
    <w:rsid w:val="00AC12E8"/>
    <w:rsid w:val="00AC3608"/>
    <w:rsid w:val="00AC396E"/>
    <w:rsid w:val="00AC3EEE"/>
    <w:rsid w:val="00AC40FA"/>
    <w:rsid w:val="00AC4370"/>
    <w:rsid w:val="00AC5CBE"/>
    <w:rsid w:val="00AC6825"/>
    <w:rsid w:val="00AD0029"/>
    <w:rsid w:val="00AD0131"/>
    <w:rsid w:val="00AD0FF8"/>
    <w:rsid w:val="00AD1704"/>
    <w:rsid w:val="00AD1AAD"/>
    <w:rsid w:val="00AD2E3C"/>
    <w:rsid w:val="00AD31D1"/>
    <w:rsid w:val="00AD577D"/>
    <w:rsid w:val="00AD6871"/>
    <w:rsid w:val="00AD68FE"/>
    <w:rsid w:val="00AD7FFD"/>
    <w:rsid w:val="00AE232D"/>
    <w:rsid w:val="00AE3F6D"/>
    <w:rsid w:val="00AE4108"/>
    <w:rsid w:val="00AE5A7B"/>
    <w:rsid w:val="00AE7272"/>
    <w:rsid w:val="00AF1913"/>
    <w:rsid w:val="00AF3B8A"/>
    <w:rsid w:val="00AF4478"/>
    <w:rsid w:val="00AF631F"/>
    <w:rsid w:val="00AF6D9B"/>
    <w:rsid w:val="00AF7136"/>
    <w:rsid w:val="00AF7274"/>
    <w:rsid w:val="00B0020F"/>
    <w:rsid w:val="00B017AC"/>
    <w:rsid w:val="00B0256F"/>
    <w:rsid w:val="00B039DD"/>
    <w:rsid w:val="00B05690"/>
    <w:rsid w:val="00B067C9"/>
    <w:rsid w:val="00B06B86"/>
    <w:rsid w:val="00B074BB"/>
    <w:rsid w:val="00B100A8"/>
    <w:rsid w:val="00B10A56"/>
    <w:rsid w:val="00B10CA3"/>
    <w:rsid w:val="00B140F2"/>
    <w:rsid w:val="00B1569F"/>
    <w:rsid w:val="00B20D94"/>
    <w:rsid w:val="00B214BD"/>
    <w:rsid w:val="00B21AAB"/>
    <w:rsid w:val="00B23373"/>
    <w:rsid w:val="00B23709"/>
    <w:rsid w:val="00B23A13"/>
    <w:rsid w:val="00B25272"/>
    <w:rsid w:val="00B26753"/>
    <w:rsid w:val="00B26955"/>
    <w:rsid w:val="00B26B60"/>
    <w:rsid w:val="00B26B94"/>
    <w:rsid w:val="00B27449"/>
    <w:rsid w:val="00B3099B"/>
    <w:rsid w:val="00B336CA"/>
    <w:rsid w:val="00B33B9E"/>
    <w:rsid w:val="00B340B8"/>
    <w:rsid w:val="00B34674"/>
    <w:rsid w:val="00B365FD"/>
    <w:rsid w:val="00B36BBC"/>
    <w:rsid w:val="00B36E17"/>
    <w:rsid w:val="00B4091A"/>
    <w:rsid w:val="00B40C24"/>
    <w:rsid w:val="00B43E6F"/>
    <w:rsid w:val="00B452EB"/>
    <w:rsid w:val="00B45411"/>
    <w:rsid w:val="00B46DA4"/>
    <w:rsid w:val="00B500F8"/>
    <w:rsid w:val="00B50EBF"/>
    <w:rsid w:val="00B52DC0"/>
    <w:rsid w:val="00B52EE4"/>
    <w:rsid w:val="00B542C0"/>
    <w:rsid w:val="00B54517"/>
    <w:rsid w:val="00B56C4C"/>
    <w:rsid w:val="00B578F2"/>
    <w:rsid w:val="00B621E5"/>
    <w:rsid w:val="00B63E33"/>
    <w:rsid w:val="00B64D25"/>
    <w:rsid w:val="00B707DF"/>
    <w:rsid w:val="00B70F60"/>
    <w:rsid w:val="00B71EE8"/>
    <w:rsid w:val="00B730AB"/>
    <w:rsid w:val="00B73341"/>
    <w:rsid w:val="00B73D99"/>
    <w:rsid w:val="00B765D7"/>
    <w:rsid w:val="00B81337"/>
    <w:rsid w:val="00B81685"/>
    <w:rsid w:val="00B81BB6"/>
    <w:rsid w:val="00B81EFB"/>
    <w:rsid w:val="00B82200"/>
    <w:rsid w:val="00B82D55"/>
    <w:rsid w:val="00B83482"/>
    <w:rsid w:val="00B840D5"/>
    <w:rsid w:val="00B8500B"/>
    <w:rsid w:val="00B851BF"/>
    <w:rsid w:val="00B858BB"/>
    <w:rsid w:val="00B85E17"/>
    <w:rsid w:val="00B909DD"/>
    <w:rsid w:val="00B91189"/>
    <w:rsid w:val="00B930D4"/>
    <w:rsid w:val="00B93996"/>
    <w:rsid w:val="00B951EF"/>
    <w:rsid w:val="00B958F2"/>
    <w:rsid w:val="00B967F0"/>
    <w:rsid w:val="00B96897"/>
    <w:rsid w:val="00B97833"/>
    <w:rsid w:val="00BA06E5"/>
    <w:rsid w:val="00BA1B69"/>
    <w:rsid w:val="00BA4D78"/>
    <w:rsid w:val="00BA598F"/>
    <w:rsid w:val="00BA689E"/>
    <w:rsid w:val="00BB0DF4"/>
    <w:rsid w:val="00BB3022"/>
    <w:rsid w:val="00BB3F9F"/>
    <w:rsid w:val="00BB4761"/>
    <w:rsid w:val="00BB4D59"/>
    <w:rsid w:val="00BB574A"/>
    <w:rsid w:val="00BC03DD"/>
    <w:rsid w:val="00BC2F1A"/>
    <w:rsid w:val="00BC51A3"/>
    <w:rsid w:val="00BC6AE9"/>
    <w:rsid w:val="00BC78B1"/>
    <w:rsid w:val="00BD275A"/>
    <w:rsid w:val="00BD369C"/>
    <w:rsid w:val="00BD38B2"/>
    <w:rsid w:val="00BD455E"/>
    <w:rsid w:val="00BD569A"/>
    <w:rsid w:val="00BD5B3E"/>
    <w:rsid w:val="00BE0934"/>
    <w:rsid w:val="00BE1596"/>
    <w:rsid w:val="00BE2BFC"/>
    <w:rsid w:val="00BE327A"/>
    <w:rsid w:val="00BE372C"/>
    <w:rsid w:val="00BE3894"/>
    <w:rsid w:val="00BE3A27"/>
    <w:rsid w:val="00BE3EE0"/>
    <w:rsid w:val="00BE4E2B"/>
    <w:rsid w:val="00BE52AE"/>
    <w:rsid w:val="00BE56B1"/>
    <w:rsid w:val="00BE71E2"/>
    <w:rsid w:val="00BE7C96"/>
    <w:rsid w:val="00BE7E3A"/>
    <w:rsid w:val="00BF1A09"/>
    <w:rsid w:val="00BF2120"/>
    <w:rsid w:val="00BF3109"/>
    <w:rsid w:val="00BF6D46"/>
    <w:rsid w:val="00C012A1"/>
    <w:rsid w:val="00C025A0"/>
    <w:rsid w:val="00C02921"/>
    <w:rsid w:val="00C02FFD"/>
    <w:rsid w:val="00C039FD"/>
    <w:rsid w:val="00C04303"/>
    <w:rsid w:val="00C04A4F"/>
    <w:rsid w:val="00C057FF"/>
    <w:rsid w:val="00C05838"/>
    <w:rsid w:val="00C05C6B"/>
    <w:rsid w:val="00C05EA7"/>
    <w:rsid w:val="00C0698C"/>
    <w:rsid w:val="00C076FD"/>
    <w:rsid w:val="00C11280"/>
    <w:rsid w:val="00C14AFB"/>
    <w:rsid w:val="00C16407"/>
    <w:rsid w:val="00C17AE0"/>
    <w:rsid w:val="00C17F15"/>
    <w:rsid w:val="00C202EE"/>
    <w:rsid w:val="00C20ECD"/>
    <w:rsid w:val="00C23CB3"/>
    <w:rsid w:val="00C246EA"/>
    <w:rsid w:val="00C2548A"/>
    <w:rsid w:val="00C25E02"/>
    <w:rsid w:val="00C263FF"/>
    <w:rsid w:val="00C2780F"/>
    <w:rsid w:val="00C279F4"/>
    <w:rsid w:val="00C329A2"/>
    <w:rsid w:val="00C330E2"/>
    <w:rsid w:val="00C34165"/>
    <w:rsid w:val="00C3416C"/>
    <w:rsid w:val="00C4103B"/>
    <w:rsid w:val="00C41404"/>
    <w:rsid w:val="00C418E2"/>
    <w:rsid w:val="00C45486"/>
    <w:rsid w:val="00C4650D"/>
    <w:rsid w:val="00C466B1"/>
    <w:rsid w:val="00C46ECE"/>
    <w:rsid w:val="00C47C71"/>
    <w:rsid w:val="00C47D8E"/>
    <w:rsid w:val="00C50106"/>
    <w:rsid w:val="00C5045F"/>
    <w:rsid w:val="00C50649"/>
    <w:rsid w:val="00C508DC"/>
    <w:rsid w:val="00C50A6B"/>
    <w:rsid w:val="00C545F9"/>
    <w:rsid w:val="00C578B2"/>
    <w:rsid w:val="00C62247"/>
    <w:rsid w:val="00C630BC"/>
    <w:rsid w:val="00C63685"/>
    <w:rsid w:val="00C66AA3"/>
    <w:rsid w:val="00C6772C"/>
    <w:rsid w:val="00C72322"/>
    <w:rsid w:val="00C73C36"/>
    <w:rsid w:val="00C7426B"/>
    <w:rsid w:val="00C77DF8"/>
    <w:rsid w:val="00C77E75"/>
    <w:rsid w:val="00C77F85"/>
    <w:rsid w:val="00C81153"/>
    <w:rsid w:val="00C834AA"/>
    <w:rsid w:val="00C8371D"/>
    <w:rsid w:val="00C83F19"/>
    <w:rsid w:val="00C84D85"/>
    <w:rsid w:val="00C8519E"/>
    <w:rsid w:val="00C85E2C"/>
    <w:rsid w:val="00C90D99"/>
    <w:rsid w:val="00C90FBF"/>
    <w:rsid w:val="00C93CA7"/>
    <w:rsid w:val="00C9425C"/>
    <w:rsid w:val="00C9479E"/>
    <w:rsid w:val="00C95108"/>
    <w:rsid w:val="00C9551F"/>
    <w:rsid w:val="00C95FF5"/>
    <w:rsid w:val="00C96031"/>
    <w:rsid w:val="00C969A1"/>
    <w:rsid w:val="00C97CBD"/>
    <w:rsid w:val="00CA0208"/>
    <w:rsid w:val="00CA234A"/>
    <w:rsid w:val="00CA3826"/>
    <w:rsid w:val="00CA575C"/>
    <w:rsid w:val="00CA6218"/>
    <w:rsid w:val="00CA79D5"/>
    <w:rsid w:val="00CB0E82"/>
    <w:rsid w:val="00CB16B4"/>
    <w:rsid w:val="00CB1E14"/>
    <w:rsid w:val="00CB28EE"/>
    <w:rsid w:val="00CB2D0C"/>
    <w:rsid w:val="00CB5150"/>
    <w:rsid w:val="00CB7ADD"/>
    <w:rsid w:val="00CC1ADC"/>
    <w:rsid w:val="00CC255F"/>
    <w:rsid w:val="00CC4052"/>
    <w:rsid w:val="00CC4A9E"/>
    <w:rsid w:val="00CC5B84"/>
    <w:rsid w:val="00CD0E29"/>
    <w:rsid w:val="00CD0E6E"/>
    <w:rsid w:val="00CD19A7"/>
    <w:rsid w:val="00CD3A30"/>
    <w:rsid w:val="00CD62E2"/>
    <w:rsid w:val="00CD654A"/>
    <w:rsid w:val="00CD68E5"/>
    <w:rsid w:val="00CD797A"/>
    <w:rsid w:val="00CE0038"/>
    <w:rsid w:val="00CE082E"/>
    <w:rsid w:val="00CE1479"/>
    <w:rsid w:val="00CE1601"/>
    <w:rsid w:val="00CE1D29"/>
    <w:rsid w:val="00CE1D54"/>
    <w:rsid w:val="00CE3715"/>
    <w:rsid w:val="00CE37EA"/>
    <w:rsid w:val="00CE7106"/>
    <w:rsid w:val="00CE790F"/>
    <w:rsid w:val="00CE7D61"/>
    <w:rsid w:val="00CF0233"/>
    <w:rsid w:val="00CF0602"/>
    <w:rsid w:val="00CF4155"/>
    <w:rsid w:val="00CF446F"/>
    <w:rsid w:val="00CF71B9"/>
    <w:rsid w:val="00D00169"/>
    <w:rsid w:val="00D01686"/>
    <w:rsid w:val="00D01B67"/>
    <w:rsid w:val="00D03EE7"/>
    <w:rsid w:val="00D05668"/>
    <w:rsid w:val="00D0698E"/>
    <w:rsid w:val="00D079D9"/>
    <w:rsid w:val="00D107FA"/>
    <w:rsid w:val="00D11106"/>
    <w:rsid w:val="00D11D3D"/>
    <w:rsid w:val="00D13DC1"/>
    <w:rsid w:val="00D1421D"/>
    <w:rsid w:val="00D15EB7"/>
    <w:rsid w:val="00D17AC5"/>
    <w:rsid w:val="00D2139F"/>
    <w:rsid w:val="00D21646"/>
    <w:rsid w:val="00D253E8"/>
    <w:rsid w:val="00D257EE"/>
    <w:rsid w:val="00D25D23"/>
    <w:rsid w:val="00D268FE"/>
    <w:rsid w:val="00D272E5"/>
    <w:rsid w:val="00D32FDC"/>
    <w:rsid w:val="00D36DC3"/>
    <w:rsid w:val="00D4022C"/>
    <w:rsid w:val="00D4062F"/>
    <w:rsid w:val="00D40740"/>
    <w:rsid w:val="00D41EEF"/>
    <w:rsid w:val="00D441BC"/>
    <w:rsid w:val="00D46F35"/>
    <w:rsid w:val="00D506EC"/>
    <w:rsid w:val="00D51303"/>
    <w:rsid w:val="00D516F5"/>
    <w:rsid w:val="00D51FB8"/>
    <w:rsid w:val="00D52F7C"/>
    <w:rsid w:val="00D54E68"/>
    <w:rsid w:val="00D553D1"/>
    <w:rsid w:val="00D556AF"/>
    <w:rsid w:val="00D5614D"/>
    <w:rsid w:val="00D57536"/>
    <w:rsid w:val="00D619E5"/>
    <w:rsid w:val="00D6265C"/>
    <w:rsid w:val="00D63C54"/>
    <w:rsid w:val="00D6694C"/>
    <w:rsid w:val="00D67062"/>
    <w:rsid w:val="00D70054"/>
    <w:rsid w:val="00D71096"/>
    <w:rsid w:val="00D73F7B"/>
    <w:rsid w:val="00D755EB"/>
    <w:rsid w:val="00D77613"/>
    <w:rsid w:val="00D81631"/>
    <w:rsid w:val="00D822A0"/>
    <w:rsid w:val="00D822F6"/>
    <w:rsid w:val="00D833D8"/>
    <w:rsid w:val="00D83DD4"/>
    <w:rsid w:val="00D83E64"/>
    <w:rsid w:val="00D85428"/>
    <w:rsid w:val="00D90484"/>
    <w:rsid w:val="00D91E20"/>
    <w:rsid w:val="00D932C3"/>
    <w:rsid w:val="00D95C92"/>
    <w:rsid w:val="00D96FA9"/>
    <w:rsid w:val="00D979B4"/>
    <w:rsid w:val="00DA0BC9"/>
    <w:rsid w:val="00DA0F73"/>
    <w:rsid w:val="00DA1CBD"/>
    <w:rsid w:val="00DA2A34"/>
    <w:rsid w:val="00DA4F05"/>
    <w:rsid w:val="00DA7FA4"/>
    <w:rsid w:val="00DB04DB"/>
    <w:rsid w:val="00DB0D2F"/>
    <w:rsid w:val="00DB0DFE"/>
    <w:rsid w:val="00DB250E"/>
    <w:rsid w:val="00DB3187"/>
    <w:rsid w:val="00DB4015"/>
    <w:rsid w:val="00DB530C"/>
    <w:rsid w:val="00DB7854"/>
    <w:rsid w:val="00DC1D6B"/>
    <w:rsid w:val="00DC222F"/>
    <w:rsid w:val="00DC4E74"/>
    <w:rsid w:val="00DC5CB4"/>
    <w:rsid w:val="00DC7FFB"/>
    <w:rsid w:val="00DD06B4"/>
    <w:rsid w:val="00DD1209"/>
    <w:rsid w:val="00DD13B3"/>
    <w:rsid w:val="00DD3DAF"/>
    <w:rsid w:val="00DD3F3F"/>
    <w:rsid w:val="00DD569E"/>
    <w:rsid w:val="00DD613B"/>
    <w:rsid w:val="00DD67F9"/>
    <w:rsid w:val="00DD6954"/>
    <w:rsid w:val="00DE4CCC"/>
    <w:rsid w:val="00DE5211"/>
    <w:rsid w:val="00DE56FF"/>
    <w:rsid w:val="00DE58A9"/>
    <w:rsid w:val="00DE5E68"/>
    <w:rsid w:val="00DE69FD"/>
    <w:rsid w:val="00DE76AC"/>
    <w:rsid w:val="00DE7A07"/>
    <w:rsid w:val="00DF2995"/>
    <w:rsid w:val="00DF2AF7"/>
    <w:rsid w:val="00DF2B4B"/>
    <w:rsid w:val="00DF3DF0"/>
    <w:rsid w:val="00DF661C"/>
    <w:rsid w:val="00DF6D51"/>
    <w:rsid w:val="00E005BD"/>
    <w:rsid w:val="00E0141B"/>
    <w:rsid w:val="00E019C3"/>
    <w:rsid w:val="00E0395A"/>
    <w:rsid w:val="00E0457D"/>
    <w:rsid w:val="00E0762C"/>
    <w:rsid w:val="00E101BC"/>
    <w:rsid w:val="00E109CF"/>
    <w:rsid w:val="00E10E07"/>
    <w:rsid w:val="00E11599"/>
    <w:rsid w:val="00E1214F"/>
    <w:rsid w:val="00E15470"/>
    <w:rsid w:val="00E1685E"/>
    <w:rsid w:val="00E1702C"/>
    <w:rsid w:val="00E17A1D"/>
    <w:rsid w:val="00E20EBC"/>
    <w:rsid w:val="00E231D6"/>
    <w:rsid w:val="00E237C6"/>
    <w:rsid w:val="00E23C1B"/>
    <w:rsid w:val="00E241A3"/>
    <w:rsid w:val="00E245F7"/>
    <w:rsid w:val="00E24DC2"/>
    <w:rsid w:val="00E264E1"/>
    <w:rsid w:val="00E2652E"/>
    <w:rsid w:val="00E27333"/>
    <w:rsid w:val="00E279BC"/>
    <w:rsid w:val="00E319A4"/>
    <w:rsid w:val="00E31F35"/>
    <w:rsid w:val="00E31F75"/>
    <w:rsid w:val="00E33BD4"/>
    <w:rsid w:val="00E365ED"/>
    <w:rsid w:val="00E36689"/>
    <w:rsid w:val="00E37558"/>
    <w:rsid w:val="00E40531"/>
    <w:rsid w:val="00E4144F"/>
    <w:rsid w:val="00E43250"/>
    <w:rsid w:val="00E439B2"/>
    <w:rsid w:val="00E45446"/>
    <w:rsid w:val="00E454C3"/>
    <w:rsid w:val="00E45D90"/>
    <w:rsid w:val="00E50BE7"/>
    <w:rsid w:val="00E51360"/>
    <w:rsid w:val="00E52E6B"/>
    <w:rsid w:val="00E532FB"/>
    <w:rsid w:val="00E542DD"/>
    <w:rsid w:val="00E555AB"/>
    <w:rsid w:val="00E55BF4"/>
    <w:rsid w:val="00E569F2"/>
    <w:rsid w:val="00E56B93"/>
    <w:rsid w:val="00E578FD"/>
    <w:rsid w:val="00E62A28"/>
    <w:rsid w:val="00E71C3F"/>
    <w:rsid w:val="00E71D18"/>
    <w:rsid w:val="00E729ED"/>
    <w:rsid w:val="00E72D1F"/>
    <w:rsid w:val="00E74682"/>
    <w:rsid w:val="00E750A6"/>
    <w:rsid w:val="00E76201"/>
    <w:rsid w:val="00E818AA"/>
    <w:rsid w:val="00E83485"/>
    <w:rsid w:val="00E84258"/>
    <w:rsid w:val="00E84A31"/>
    <w:rsid w:val="00E862BA"/>
    <w:rsid w:val="00E87752"/>
    <w:rsid w:val="00E87817"/>
    <w:rsid w:val="00E908D9"/>
    <w:rsid w:val="00E91637"/>
    <w:rsid w:val="00E91F09"/>
    <w:rsid w:val="00E9209D"/>
    <w:rsid w:val="00E9412C"/>
    <w:rsid w:val="00E95E61"/>
    <w:rsid w:val="00EA1A39"/>
    <w:rsid w:val="00EA4FB8"/>
    <w:rsid w:val="00EA5C72"/>
    <w:rsid w:val="00EB4AC7"/>
    <w:rsid w:val="00EB59B0"/>
    <w:rsid w:val="00EB7742"/>
    <w:rsid w:val="00EC02B6"/>
    <w:rsid w:val="00EC1EF5"/>
    <w:rsid w:val="00EC226E"/>
    <w:rsid w:val="00EC5A4F"/>
    <w:rsid w:val="00ED4AF7"/>
    <w:rsid w:val="00ED5D37"/>
    <w:rsid w:val="00ED76DD"/>
    <w:rsid w:val="00EE019F"/>
    <w:rsid w:val="00EE12F9"/>
    <w:rsid w:val="00EE14EC"/>
    <w:rsid w:val="00EE2160"/>
    <w:rsid w:val="00EE3BD9"/>
    <w:rsid w:val="00EE798D"/>
    <w:rsid w:val="00EF0037"/>
    <w:rsid w:val="00EF0125"/>
    <w:rsid w:val="00EF0619"/>
    <w:rsid w:val="00EF07C2"/>
    <w:rsid w:val="00EF0A34"/>
    <w:rsid w:val="00EF11BA"/>
    <w:rsid w:val="00EF2C0B"/>
    <w:rsid w:val="00EF3313"/>
    <w:rsid w:val="00EF5504"/>
    <w:rsid w:val="00F00862"/>
    <w:rsid w:val="00F0332E"/>
    <w:rsid w:val="00F03ACB"/>
    <w:rsid w:val="00F03BB2"/>
    <w:rsid w:val="00F0439C"/>
    <w:rsid w:val="00F04A45"/>
    <w:rsid w:val="00F05454"/>
    <w:rsid w:val="00F076FA"/>
    <w:rsid w:val="00F117DE"/>
    <w:rsid w:val="00F11A08"/>
    <w:rsid w:val="00F11AAD"/>
    <w:rsid w:val="00F11B08"/>
    <w:rsid w:val="00F13DC4"/>
    <w:rsid w:val="00F1404A"/>
    <w:rsid w:val="00F142FB"/>
    <w:rsid w:val="00F15403"/>
    <w:rsid w:val="00F178BB"/>
    <w:rsid w:val="00F201B0"/>
    <w:rsid w:val="00F22E20"/>
    <w:rsid w:val="00F2323A"/>
    <w:rsid w:val="00F240FE"/>
    <w:rsid w:val="00F25EFD"/>
    <w:rsid w:val="00F26363"/>
    <w:rsid w:val="00F267D9"/>
    <w:rsid w:val="00F27F7F"/>
    <w:rsid w:val="00F302D2"/>
    <w:rsid w:val="00F30675"/>
    <w:rsid w:val="00F347AE"/>
    <w:rsid w:val="00F36668"/>
    <w:rsid w:val="00F366AE"/>
    <w:rsid w:val="00F40B24"/>
    <w:rsid w:val="00F41563"/>
    <w:rsid w:val="00F4257E"/>
    <w:rsid w:val="00F4490A"/>
    <w:rsid w:val="00F503AE"/>
    <w:rsid w:val="00F51698"/>
    <w:rsid w:val="00F5183A"/>
    <w:rsid w:val="00F531CA"/>
    <w:rsid w:val="00F547E3"/>
    <w:rsid w:val="00F54D06"/>
    <w:rsid w:val="00F565C2"/>
    <w:rsid w:val="00F56FC1"/>
    <w:rsid w:val="00F63921"/>
    <w:rsid w:val="00F64AC0"/>
    <w:rsid w:val="00F67498"/>
    <w:rsid w:val="00F70BF8"/>
    <w:rsid w:val="00F70D05"/>
    <w:rsid w:val="00F72D41"/>
    <w:rsid w:val="00F73042"/>
    <w:rsid w:val="00F731EC"/>
    <w:rsid w:val="00F73941"/>
    <w:rsid w:val="00F73FA8"/>
    <w:rsid w:val="00F75BE2"/>
    <w:rsid w:val="00F81390"/>
    <w:rsid w:val="00F8267B"/>
    <w:rsid w:val="00F83222"/>
    <w:rsid w:val="00F83739"/>
    <w:rsid w:val="00F83C07"/>
    <w:rsid w:val="00F86A0D"/>
    <w:rsid w:val="00F905B2"/>
    <w:rsid w:val="00F912FC"/>
    <w:rsid w:val="00F917CB"/>
    <w:rsid w:val="00F918AF"/>
    <w:rsid w:val="00F91BAA"/>
    <w:rsid w:val="00F93BD6"/>
    <w:rsid w:val="00F94164"/>
    <w:rsid w:val="00F95112"/>
    <w:rsid w:val="00F9775A"/>
    <w:rsid w:val="00F97F7C"/>
    <w:rsid w:val="00FA097F"/>
    <w:rsid w:val="00FA1723"/>
    <w:rsid w:val="00FA4EF8"/>
    <w:rsid w:val="00FA6009"/>
    <w:rsid w:val="00FA611A"/>
    <w:rsid w:val="00FA6312"/>
    <w:rsid w:val="00FB08E3"/>
    <w:rsid w:val="00FB6BE5"/>
    <w:rsid w:val="00FC0A25"/>
    <w:rsid w:val="00FC57A7"/>
    <w:rsid w:val="00FC7CC2"/>
    <w:rsid w:val="00FD0299"/>
    <w:rsid w:val="00FD0DC8"/>
    <w:rsid w:val="00FD16BB"/>
    <w:rsid w:val="00FD33A1"/>
    <w:rsid w:val="00FD4D66"/>
    <w:rsid w:val="00FD4FAA"/>
    <w:rsid w:val="00FD50B8"/>
    <w:rsid w:val="00FD52DB"/>
    <w:rsid w:val="00FD66FB"/>
    <w:rsid w:val="00FD6C76"/>
    <w:rsid w:val="00FD6E60"/>
    <w:rsid w:val="00FE2A3C"/>
    <w:rsid w:val="00FE2C97"/>
    <w:rsid w:val="00FE72DE"/>
    <w:rsid w:val="00FE7A6C"/>
    <w:rsid w:val="00FF077B"/>
    <w:rsid w:val="00FF07A9"/>
    <w:rsid w:val="00FF1896"/>
    <w:rsid w:val="00FF5DC9"/>
    <w:rsid w:val="00FF75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7228"/>
  <w15:docId w15:val="{66616657-720F-45C0-8BD7-E9E3A2E4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431D68"/>
    <w:pPr>
      <w:keepNext/>
      <w:spacing w:line="480" w:lineRule="auto"/>
      <w:jc w:val="both"/>
      <w:outlineLvl w:val="0"/>
    </w:pPr>
    <w:rPr>
      <w:b/>
      <w:lang w:val="en-GB" w:eastAsia="en-US"/>
    </w:rPr>
  </w:style>
  <w:style w:type="paragraph" w:styleId="Heading2">
    <w:name w:val="heading 2"/>
    <w:basedOn w:val="Normal"/>
    <w:next w:val="Normal"/>
    <w:link w:val="Heading2Char"/>
    <w:uiPriority w:val="9"/>
    <w:semiHidden/>
    <w:unhideWhenUsed/>
    <w:qFormat/>
    <w:rsid w:val="00D5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
    <w:basedOn w:val="Normal"/>
    <w:link w:val="FootnoteTextChar"/>
    <w:uiPriority w:val="99"/>
    <w:unhideWhenUsed/>
    <w:qFormat/>
    <w:rsid w:val="00D932C3"/>
    <w:rPr>
      <w:sz w:val="20"/>
      <w:szCs w:val="20"/>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
    <w:basedOn w:val="DefaultParagraphFont"/>
    <w:link w:val="FootnoteText"/>
    <w:uiPriority w:val="99"/>
    <w:qFormat/>
    <w:rsid w:val="00D932C3"/>
    <w:rPr>
      <w:rFonts w:ascii="Arial" w:eastAsia="Times New Roman" w:hAnsi="Arial" w:cs="Arial"/>
      <w:sz w:val="20"/>
      <w:szCs w:val="20"/>
      <w:lang w:eastAsia="en-GB"/>
    </w:rPr>
  </w:style>
  <w:style w:type="character" w:styleId="FootnoteReference">
    <w:name w:val="footnote reference"/>
    <w:aliases w:val="Footnote Reference + Superscript,Ref,de nota al pie,註腳內容"/>
    <w:basedOn w:val="DefaultParagraphFont"/>
    <w:uiPriority w:val="99"/>
    <w:unhideWhenUsed/>
    <w:qFormat/>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character" w:customStyle="1" w:styleId="Heading1Char">
    <w:name w:val="Heading 1 Char"/>
    <w:basedOn w:val="DefaultParagraphFont"/>
    <w:link w:val="Heading1"/>
    <w:uiPriority w:val="9"/>
    <w:rsid w:val="00431D68"/>
    <w:rPr>
      <w:rFonts w:ascii="Arial" w:eastAsia="Times New Roman" w:hAnsi="Arial" w:cs="Arial"/>
      <w:b/>
      <w:sz w:val="24"/>
      <w:szCs w:val="24"/>
      <w:lang w:val="en-GB"/>
    </w:rPr>
  </w:style>
  <w:style w:type="paragraph" w:customStyle="1" w:styleId="BowLevel1ListAlt">
    <w:name w:val="Bow_Level 1 List Alt+["/>
    <w:basedOn w:val="Normal"/>
    <w:rsid w:val="00B074BB"/>
    <w:pPr>
      <w:numPr>
        <w:numId w:val="34"/>
      </w:numPr>
      <w:spacing w:after="200" w:line="360" w:lineRule="auto"/>
      <w:jc w:val="both"/>
    </w:pPr>
    <w:rPr>
      <w:rFonts w:ascii="Century Gothic" w:hAnsi="Century Gothic" w:cs="Times New Roman"/>
      <w:sz w:val="18"/>
      <w:szCs w:val="18"/>
      <w:lang w:val="en-US" w:eastAsia="en-US"/>
    </w:rPr>
  </w:style>
  <w:style w:type="paragraph" w:customStyle="1" w:styleId="BowLevel2ListAlt">
    <w:name w:val="Bow_Level 2 List Alt ]"/>
    <w:basedOn w:val="Normal"/>
    <w:link w:val="BowLevel2ListAltChar"/>
    <w:rsid w:val="00B074BB"/>
    <w:pPr>
      <w:numPr>
        <w:ilvl w:val="1"/>
        <w:numId w:val="34"/>
      </w:numPr>
      <w:spacing w:after="200" w:line="360" w:lineRule="auto"/>
      <w:jc w:val="both"/>
    </w:pPr>
    <w:rPr>
      <w:rFonts w:ascii="Century Gothic" w:hAnsi="Century Gothic" w:cs="Times New Roman"/>
      <w:sz w:val="18"/>
      <w:szCs w:val="18"/>
      <w:lang w:eastAsia="en-US"/>
    </w:rPr>
  </w:style>
  <w:style w:type="character" w:customStyle="1" w:styleId="BowLevel2ListAltChar">
    <w:name w:val="Bow_Level 2 List Alt ] Char"/>
    <w:link w:val="BowLevel2ListAlt"/>
    <w:rsid w:val="00B074BB"/>
    <w:rPr>
      <w:rFonts w:ascii="Century Gothic" w:eastAsia="Times New Roman" w:hAnsi="Century Gothic" w:cs="Times New Roman"/>
      <w:sz w:val="18"/>
      <w:szCs w:val="18"/>
    </w:rPr>
  </w:style>
  <w:style w:type="paragraph" w:customStyle="1" w:styleId="BowLevel3ListAlt">
    <w:name w:val="Bow_Level 3 List Alt+'"/>
    <w:basedOn w:val="Normal"/>
    <w:rsid w:val="00B074BB"/>
    <w:pPr>
      <w:numPr>
        <w:ilvl w:val="2"/>
        <w:numId w:val="34"/>
      </w:numPr>
      <w:spacing w:after="200" w:line="360" w:lineRule="auto"/>
      <w:jc w:val="both"/>
    </w:pPr>
    <w:rPr>
      <w:rFonts w:ascii="Century Gothic" w:hAnsi="Century Gothic" w:cs="Times New Roman"/>
      <w:sz w:val="18"/>
      <w:szCs w:val="18"/>
      <w:lang w:val="en-US" w:eastAsia="en-US"/>
    </w:rPr>
  </w:style>
  <w:style w:type="paragraph" w:customStyle="1" w:styleId="BowLevel4ListAlt">
    <w:name w:val="Bow_Level 4 List Alt+/"/>
    <w:basedOn w:val="Normal"/>
    <w:rsid w:val="00B074BB"/>
    <w:pPr>
      <w:numPr>
        <w:ilvl w:val="3"/>
        <w:numId w:val="34"/>
      </w:numPr>
      <w:spacing w:after="200" w:line="360" w:lineRule="auto"/>
      <w:jc w:val="both"/>
    </w:pPr>
    <w:rPr>
      <w:rFonts w:ascii="Century Gothic" w:hAnsi="Century Gothic" w:cs="Times New Roman"/>
      <w:sz w:val="18"/>
      <w:szCs w:val="18"/>
      <w:lang w:eastAsia="en-US"/>
    </w:rPr>
  </w:style>
  <w:style w:type="paragraph" w:customStyle="1" w:styleId="BowLevel5ListAlt">
    <w:name w:val="Bow_Level 5 List Alt+."/>
    <w:basedOn w:val="Normal"/>
    <w:rsid w:val="00B074BB"/>
    <w:pPr>
      <w:numPr>
        <w:ilvl w:val="4"/>
        <w:numId w:val="34"/>
      </w:numPr>
      <w:spacing w:after="200" w:line="360" w:lineRule="auto"/>
      <w:jc w:val="both"/>
    </w:pPr>
    <w:rPr>
      <w:rFonts w:ascii="Century Gothic" w:hAnsi="Century Gothic" w:cs="Times New Roman"/>
      <w:sz w:val="18"/>
      <w:szCs w:val="18"/>
      <w:lang w:val="en-US" w:eastAsia="en-US"/>
    </w:rPr>
  </w:style>
  <w:style w:type="paragraph" w:customStyle="1" w:styleId="BowLevel6ListAlt">
    <w:name w:val="Bow_Level 6 List Alt+"/>
    <w:basedOn w:val="Normal"/>
    <w:rsid w:val="00B074BB"/>
    <w:pPr>
      <w:numPr>
        <w:ilvl w:val="5"/>
        <w:numId w:val="34"/>
      </w:numPr>
      <w:spacing w:after="200" w:line="360" w:lineRule="auto"/>
      <w:jc w:val="both"/>
    </w:pPr>
    <w:rPr>
      <w:rFonts w:ascii="Century Gothic" w:hAnsi="Century Gothic" w:cs="Times New Roman"/>
      <w:sz w:val="18"/>
      <w:szCs w:val="18"/>
      <w:lang w:val="en-US" w:eastAsia="en-US"/>
    </w:rPr>
  </w:style>
  <w:style w:type="paragraph" w:customStyle="1" w:styleId="BowLevel7ListAltM">
    <w:name w:val="Bow_Level 7 List Alt+M"/>
    <w:basedOn w:val="Normal"/>
    <w:rsid w:val="00B074BB"/>
    <w:pPr>
      <w:numPr>
        <w:ilvl w:val="6"/>
        <w:numId w:val="34"/>
      </w:numPr>
      <w:spacing w:after="200" w:line="360" w:lineRule="auto"/>
      <w:jc w:val="both"/>
    </w:pPr>
    <w:rPr>
      <w:rFonts w:ascii="Century Gothic" w:hAnsi="Century Gothic" w:cs="Times New Roman"/>
      <w:sz w:val="18"/>
      <w:szCs w:val="18"/>
      <w:lang w:val="en-US" w:eastAsia="en-US"/>
    </w:rPr>
  </w:style>
  <w:style w:type="paragraph" w:customStyle="1" w:styleId="Numberin1">
    <w:name w:val="Number in 1"/>
    <w:basedOn w:val="Normal"/>
    <w:link w:val="Numberin1Char"/>
    <w:rsid w:val="00DD3F3F"/>
    <w:pPr>
      <w:widowControl w:val="0"/>
      <w:numPr>
        <w:numId w:val="35"/>
      </w:numPr>
      <w:spacing w:before="240" w:after="120" w:line="480" w:lineRule="auto"/>
      <w:jc w:val="both"/>
    </w:pPr>
    <w:rPr>
      <w:rFonts w:cs="Times New Roman"/>
      <w:szCs w:val="20"/>
      <w:lang w:val="en-GB" w:eastAsia="en-ZA"/>
    </w:rPr>
  </w:style>
  <w:style w:type="character" w:customStyle="1" w:styleId="Numberin1Char">
    <w:name w:val="Number in 1 Char"/>
    <w:link w:val="Numberin1"/>
    <w:rsid w:val="00DD3F3F"/>
    <w:rPr>
      <w:rFonts w:ascii="Arial" w:eastAsia="Times New Roman" w:hAnsi="Arial" w:cs="Times New Roman"/>
      <w:sz w:val="24"/>
      <w:szCs w:val="20"/>
      <w:lang w:val="en-GB" w:eastAsia="en-ZA"/>
    </w:rPr>
  </w:style>
  <w:style w:type="paragraph" w:customStyle="1" w:styleId="Level1">
    <w:name w:val="Level 1"/>
    <w:basedOn w:val="Normal"/>
    <w:qFormat/>
    <w:rsid w:val="00B82D55"/>
    <w:pPr>
      <w:numPr>
        <w:numId w:val="37"/>
      </w:numPr>
      <w:spacing w:after="360" w:line="480" w:lineRule="auto"/>
      <w:ind w:left="851" w:hanging="851"/>
      <w:jc w:val="both"/>
    </w:pPr>
    <w:rPr>
      <w:rFonts w:eastAsia="Calibri" w:cs="Times New Roman"/>
      <w:szCs w:val="22"/>
      <w:lang w:eastAsia="en-US"/>
    </w:rPr>
  </w:style>
  <w:style w:type="paragraph" w:customStyle="1" w:styleId="Level2">
    <w:name w:val="Level 2"/>
    <w:basedOn w:val="Normal"/>
    <w:qFormat/>
    <w:rsid w:val="00B82D55"/>
    <w:pPr>
      <w:numPr>
        <w:ilvl w:val="1"/>
        <w:numId w:val="37"/>
      </w:numPr>
      <w:spacing w:after="360" w:line="480" w:lineRule="auto"/>
      <w:ind w:left="1815" w:hanging="964"/>
      <w:jc w:val="both"/>
    </w:pPr>
    <w:rPr>
      <w:rFonts w:eastAsia="Calibri" w:cs="Times New Roman"/>
      <w:szCs w:val="22"/>
      <w:lang w:eastAsia="en-US"/>
    </w:rPr>
  </w:style>
  <w:style w:type="paragraph" w:customStyle="1" w:styleId="Level3">
    <w:name w:val="Level 3"/>
    <w:basedOn w:val="Normal"/>
    <w:qFormat/>
    <w:rsid w:val="00B82D55"/>
    <w:pPr>
      <w:numPr>
        <w:ilvl w:val="2"/>
        <w:numId w:val="37"/>
      </w:numPr>
      <w:spacing w:after="360" w:line="480" w:lineRule="auto"/>
      <w:ind w:left="2608" w:hanging="1077"/>
      <w:jc w:val="both"/>
    </w:pPr>
    <w:rPr>
      <w:rFonts w:eastAsia="Calibri" w:cs="Times New Roman"/>
      <w:szCs w:val="22"/>
      <w:lang w:eastAsia="en-US"/>
    </w:rPr>
  </w:style>
  <w:style w:type="paragraph" w:styleId="Quote">
    <w:name w:val="Quote"/>
    <w:basedOn w:val="Normal"/>
    <w:next w:val="Normal"/>
    <w:link w:val="QuoteChar"/>
    <w:uiPriority w:val="29"/>
    <w:qFormat/>
    <w:rsid w:val="00F008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0862"/>
    <w:rPr>
      <w:rFonts w:ascii="Arial" w:eastAsia="Times New Roman" w:hAnsi="Arial" w:cs="Arial"/>
      <w:i/>
      <w:iCs/>
      <w:color w:val="404040" w:themeColor="text1" w:themeTint="BF"/>
      <w:sz w:val="24"/>
      <w:szCs w:val="24"/>
      <w:lang w:eastAsia="en-GB"/>
    </w:rPr>
  </w:style>
  <w:style w:type="character" w:customStyle="1" w:styleId="Heading2Char">
    <w:name w:val="Heading 2 Char"/>
    <w:basedOn w:val="DefaultParagraphFont"/>
    <w:link w:val="Heading2"/>
    <w:uiPriority w:val="9"/>
    <w:semiHidden/>
    <w:rsid w:val="00D54E68"/>
    <w:rPr>
      <w:rFonts w:asciiTheme="majorHAnsi" w:eastAsiaTheme="majorEastAsia" w:hAnsiTheme="majorHAnsi" w:cstheme="majorBidi"/>
      <w:color w:val="365F91" w:themeColor="accent1" w:themeShade="BF"/>
      <w:sz w:val="26"/>
      <w:szCs w:val="26"/>
      <w:lang w:eastAsia="en-GB"/>
    </w:rPr>
  </w:style>
  <w:style w:type="character" w:styleId="CommentReference">
    <w:name w:val="annotation reference"/>
    <w:basedOn w:val="DefaultParagraphFont"/>
    <w:uiPriority w:val="99"/>
    <w:semiHidden/>
    <w:unhideWhenUsed/>
    <w:rsid w:val="007110BA"/>
    <w:rPr>
      <w:sz w:val="16"/>
      <w:szCs w:val="16"/>
    </w:rPr>
  </w:style>
  <w:style w:type="paragraph" w:styleId="CommentText">
    <w:name w:val="annotation text"/>
    <w:basedOn w:val="Normal"/>
    <w:link w:val="CommentTextChar"/>
    <w:uiPriority w:val="99"/>
    <w:semiHidden/>
    <w:unhideWhenUsed/>
    <w:rsid w:val="007110BA"/>
    <w:rPr>
      <w:sz w:val="20"/>
      <w:szCs w:val="20"/>
    </w:rPr>
  </w:style>
  <w:style w:type="character" w:customStyle="1" w:styleId="CommentTextChar">
    <w:name w:val="Comment Text Char"/>
    <w:basedOn w:val="DefaultParagraphFont"/>
    <w:link w:val="CommentText"/>
    <w:uiPriority w:val="99"/>
    <w:semiHidden/>
    <w:rsid w:val="007110B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110BA"/>
    <w:rPr>
      <w:b/>
      <w:bCs/>
    </w:rPr>
  </w:style>
  <w:style w:type="character" w:customStyle="1" w:styleId="CommentSubjectChar">
    <w:name w:val="Comment Subject Char"/>
    <w:basedOn w:val="CommentTextChar"/>
    <w:link w:val="CommentSubject"/>
    <w:uiPriority w:val="99"/>
    <w:semiHidden/>
    <w:rsid w:val="007110BA"/>
    <w:rPr>
      <w:rFonts w:ascii="Arial" w:eastAsia="Times New Roman" w:hAnsi="Arial" w:cs="Arial"/>
      <w:b/>
      <w:bCs/>
      <w:sz w:val="20"/>
      <w:szCs w:val="20"/>
      <w:lang w:eastAsia="en-GB"/>
    </w:rPr>
  </w:style>
  <w:style w:type="paragraph" w:customStyle="1" w:styleId="JUGMENTNUMBERED">
    <w:name w:val="JUGMENT NUMBERED"/>
    <w:basedOn w:val="Normal"/>
    <w:uiPriority w:val="99"/>
    <w:rsid w:val="00B64D25"/>
    <w:pPr>
      <w:numPr>
        <w:numId w:val="48"/>
      </w:numPr>
      <w:spacing w:line="480" w:lineRule="auto"/>
      <w:jc w:val="both"/>
    </w:pPr>
    <w:rPr>
      <w:rFonts w:ascii="Times New Roman" w:hAnsi="Times New Roman" w:cs="Times New Roman"/>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3454">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9547447">
      <w:bodyDiv w:val="1"/>
      <w:marLeft w:val="0"/>
      <w:marRight w:val="0"/>
      <w:marTop w:val="0"/>
      <w:marBottom w:val="0"/>
      <w:divBdr>
        <w:top w:val="none" w:sz="0" w:space="0" w:color="auto"/>
        <w:left w:val="none" w:sz="0" w:space="0" w:color="auto"/>
        <w:bottom w:val="none" w:sz="0" w:space="0" w:color="auto"/>
        <w:right w:val="none" w:sz="0" w:space="0" w:color="auto"/>
      </w:divBdr>
    </w:div>
    <w:div w:id="676154187">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092698554">
      <w:bodyDiv w:val="1"/>
      <w:marLeft w:val="0"/>
      <w:marRight w:val="0"/>
      <w:marTop w:val="0"/>
      <w:marBottom w:val="0"/>
      <w:divBdr>
        <w:top w:val="none" w:sz="0" w:space="0" w:color="auto"/>
        <w:left w:val="none" w:sz="0" w:space="0" w:color="auto"/>
        <w:bottom w:val="none" w:sz="0" w:space="0" w:color="auto"/>
        <w:right w:val="none" w:sz="0" w:space="0" w:color="auto"/>
      </w:divBdr>
    </w:div>
    <w:div w:id="1556156278">
      <w:bodyDiv w:val="1"/>
      <w:marLeft w:val="0"/>
      <w:marRight w:val="0"/>
      <w:marTop w:val="0"/>
      <w:marBottom w:val="0"/>
      <w:divBdr>
        <w:top w:val="none" w:sz="0" w:space="0" w:color="auto"/>
        <w:left w:val="none" w:sz="0" w:space="0" w:color="auto"/>
        <w:bottom w:val="none" w:sz="0" w:space="0" w:color="auto"/>
        <w:right w:val="none" w:sz="0" w:space="0" w:color="auto"/>
      </w:divBdr>
    </w:div>
    <w:div w:id="1623026570">
      <w:bodyDiv w:val="1"/>
      <w:marLeft w:val="0"/>
      <w:marRight w:val="0"/>
      <w:marTop w:val="0"/>
      <w:marBottom w:val="0"/>
      <w:divBdr>
        <w:top w:val="none" w:sz="0" w:space="0" w:color="auto"/>
        <w:left w:val="none" w:sz="0" w:space="0" w:color="auto"/>
        <w:bottom w:val="none" w:sz="0" w:space="0" w:color="auto"/>
        <w:right w:val="none" w:sz="0" w:space="0" w:color="auto"/>
      </w:divBdr>
    </w:div>
    <w:div w:id="1825393932">
      <w:bodyDiv w:val="1"/>
      <w:marLeft w:val="0"/>
      <w:marRight w:val="0"/>
      <w:marTop w:val="0"/>
      <w:marBottom w:val="0"/>
      <w:divBdr>
        <w:top w:val="none" w:sz="0" w:space="0" w:color="auto"/>
        <w:left w:val="none" w:sz="0" w:space="0" w:color="auto"/>
        <w:bottom w:val="none" w:sz="0" w:space="0" w:color="auto"/>
        <w:right w:val="none" w:sz="0" w:space="0" w:color="auto"/>
      </w:divBdr>
    </w:div>
    <w:div w:id="1826386300">
      <w:bodyDiv w:val="1"/>
      <w:marLeft w:val="0"/>
      <w:marRight w:val="0"/>
      <w:marTop w:val="0"/>
      <w:marBottom w:val="0"/>
      <w:divBdr>
        <w:top w:val="none" w:sz="0" w:space="0" w:color="auto"/>
        <w:left w:val="none" w:sz="0" w:space="0" w:color="auto"/>
        <w:bottom w:val="none" w:sz="0" w:space="0" w:color="auto"/>
        <w:right w:val="none" w:sz="0" w:space="0" w:color="auto"/>
      </w:divBdr>
    </w:div>
    <w:div w:id="2043968406">
      <w:bodyDiv w:val="1"/>
      <w:marLeft w:val="0"/>
      <w:marRight w:val="0"/>
      <w:marTop w:val="0"/>
      <w:marBottom w:val="0"/>
      <w:divBdr>
        <w:top w:val="none" w:sz="0" w:space="0" w:color="auto"/>
        <w:left w:val="none" w:sz="0" w:space="0" w:color="auto"/>
        <w:bottom w:val="none" w:sz="0" w:space="0" w:color="auto"/>
        <w:right w:val="none" w:sz="0" w:space="0" w:color="auto"/>
      </w:divBdr>
    </w:div>
    <w:div w:id="2080664175">
      <w:bodyDiv w:val="1"/>
      <w:marLeft w:val="0"/>
      <w:marRight w:val="0"/>
      <w:marTop w:val="0"/>
      <w:marBottom w:val="0"/>
      <w:divBdr>
        <w:top w:val="none" w:sz="0" w:space="0" w:color="auto"/>
        <w:left w:val="none" w:sz="0" w:space="0" w:color="auto"/>
        <w:bottom w:val="none" w:sz="0" w:space="0" w:color="auto"/>
        <w:right w:val="none" w:sz="0" w:space="0" w:color="auto"/>
      </w:divBdr>
    </w:div>
    <w:div w:id="2084062589">
      <w:bodyDiv w:val="1"/>
      <w:marLeft w:val="0"/>
      <w:marRight w:val="0"/>
      <w:marTop w:val="0"/>
      <w:marBottom w:val="0"/>
      <w:divBdr>
        <w:top w:val="none" w:sz="0" w:space="0" w:color="auto"/>
        <w:left w:val="none" w:sz="0" w:space="0" w:color="auto"/>
        <w:bottom w:val="none" w:sz="0" w:space="0" w:color="auto"/>
        <w:right w:val="none" w:sz="0" w:space="0" w:color="auto"/>
      </w:divBdr>
    </w:div>
    <w:div w:id="21230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F4DA-37D7-4CAD-801D-E8F7B0CB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17382</Words>
  <Characters>99081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Kay</dc:creator>
  <cp:keywords/>
  <dc:description/>
  <cp:lastModifiedBy>Mokone</cp:lastModifiedBy>
  <cp:revision>3</cp:revision>
  <cp:lastPrinted>2023-04-25T13:34:00Z</cp:lastPrinted>
  <dcterms:created xsi:type="dcterms:W3CDTF">2023-04-26T07:30:00Z</dcterms:created>
  <dcterms:modified xsi:type="dcterms:W3CDTF">2023-04-26T07:32:00Z</dcterms:modified>
</cp:coreProperties>
</file>