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C84CF" w14:textId="5AB68757" w:rsidR="00EA5AC0" w:rsidRDefault="00EA5AC0" w:rsidP="00DF581A">
      <w:pPr>
        <w:tabs>
          <w:tab w:val="right" w:pos="8504"/>
        </w:tabs>
        <w:spacing w:line="276" w:lineRule="auto"/>
        <w:rPr>
          <w:b/>
          <w:caps/>
          <w:color w:val="000000"/>
          <w:sz w:val="26"/>
          <w:szCs w:val="26"/>
        </w:rPr>
      </w:pPr>
      <w:r w:rsidRPr="004E73BA">
        <w:rPr>
          <w:noProof/>
          <w:lang w:val="en-US"/>
        </w:rPr>
        <w:drawing>
          <wp:anchor distT="0" distB="0" distL="114300" distR="114300" simplePos="0" relativeHeight="251659264" behindDoc="0" locked="0" layoutInCell="1" allowOverlap="1" wp14:anchorId="4BDD2242" wp14:editId="1B774208">
            <wp:simplePos x="0" y="0"/>
            <wp:positionH relativeFrom="column">
              <wp:posOffset>2025650</wp:posOffset>
            </wp:positionH>
            <wp:positionV relativeFrom="paragraph">
              <wp:posOffset>83820</wp:posOffset>
            </wp:positionV>
            <wp:extent cx="1498600" cy="14528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0" cy="1452880"/>
                    </a:xfrm>
                    <a:prstGeom prst="rect">
                      <a:avLst/>
                    </a:prstGeom>
                    <a:noFill/>
                  </pic:spPr>
                </pic:pic>
              </a:graphicData>
            </a:graphic>
            <wp14:sizeRelH relativeFrom="margin">
              <wp14:pctWidth>0</wp14:pctWidth>
            </wp14:sizeRelH>
            <wp14:sizeRelV relativeFrom="margin">
              <wp14:pctHeight>0</wp14:pctHeight>
            </wp14:sizeRelV>
          </wp:anchor>
        </w:drawing>
      </w:r>
    </w:p>
    <w:p w14:paraId="7FF2F46B" w14:textId="77777777" w:rsidR="00DF581A" w:rsidRPr="004E73BA" w:rsidRDefault="00DF581A" w:rsidP="00DF581A">
      <w:pPr>
        <w:tabs>
          <w:tab w:val="right" w:pos="8504"/>
        </w:tabs>
        <w:spacing w:line="276" w:lineRule="auto"/>
        <w:rPr>
          <w:b/>
          <w:caps/>
          <w:color w:val="000000"/>
          <w:sz w:val="26"/>
          <w:szCs w:val="26"/>
        </w:rPr>
      </w:pPr>
    </w:p>
    <w:p w14:paraId="2F6FB25F" w14:textId="77777777" w:rsidR="00EA5AC0" w:rsidRPr="004E73BA" w:rsidRDefault="00EA5AC0" w:rsidP="00EA5AC0">
      <w:pPr>
        <w:spacing w:before="240"/>
        <w:rPr>
          <w:b/>
          <w:caps/>
          <w:color w:val="000000"/>
          <w:sz w:val="26"/>
          <w:szCs w:val="26"/>
        </w:rPr>
      </w:pPr>
    </w:p>
    <w:p w14:paraId="6B1AB0B1" w14:textId="77777777" w:rsidR="00EA5AC0" w:rsidRPr="004E73BA" w:rsidRDefault="00EA5AC0" w:rsidP="00EA5AC0">
      <w:pPr>
        <w:spacing w:before="240"/>
        <w:rPr>
          <w:b/>
          <w:caps/>
          <w:color w:val="000000"/>
          <w:sz w:val="26"/>
          <w:szCs w:val="26"/>
        </w:rPr>
      </w:pPr>
    </w:p>
    <w:p w14:paraId="79F96065" w14:textId="77777777" w:rsidR="00EA5AC0" w:rsidRPr="004E73BA" w:rsidRDefault="00EA5AC0" w:rsidP="00EA5AC0">
      <w:pPr>
        <w:spacing w:before="240"/>
        <w:jc w:val="center"/>
        <w:rPr>
          <w:b/>
          <w:caps/>
          <w:color w:val="000000"/>
          <w:sz w:val="26"/>
          <w:szCs w:val="26"/>
        </w:rPr>
      </w:pPr>
    </w:p>
    <w:p w14:paraId="6EF40AAF" w14:textId="77777777" w:rsidR="00EA5AC0" w:rsidRPr="004E73BA" w:rsidRDefault="00EA5AC0" w:rsidP="00EA5AC0">
      <w:pPr>
        <w:spacing w:before="240"/>
        <w:jc w:val="center"/>
        <w:rPr>
          <w:b/>
          <w:caps/>
          <w:color w:val="000000"/>
          <w:sz w:val="26"/>
          <w:szCs w:val="26"/>
        </w:rPr>
      </w:pPr>
      <w:r w:rsidRPr="004E73BA">
        <w:rPr>
          <w:b/>
          <w:caps/>
          <w:color w:val="000000"/>
          <w:sz w:val="26"/>
          <w:szCs w:val="26"/>
        </w:rPr>
        <w:t>IN THE HIGH court of South Africa</w:t>
      </w:r>
    </w:p>
    <w:p w14:paraId="234ACF7E" w14:textId="77777777" w:rsidR="00EA5AC0" w:rsidRPr="004E73BA" w:rsidRDefault="00EA5AC0" w:rsidP="00EA5AC0">
      <w:pPr>
        <w:spacing w:before="240"/>
        <w:jc w:val="center"/>
        <w:rPr>
          <w:b/>
          <w:caps/>
          <w:color w:val="000000"/>
          <w:sz w:val="26"/>
          <w:szCs w:val="26"/>
        </w:rPr>
      </w:pPr>
      <w:r w:rsidRPr="004E73BA">
        <w:rPr>
          <w:b/>
          <w:caps/>
          <w:color w:val="000000"/>
          <w:sz w:val="26"/>
          <w:szCs w:val="26"/>
        </w:rPr>
        <w:t>(WESTERN CAPE DIVISION, CAPE TOWN)</w:t>
      </w:r>
    </w:p>
    <w:p w14:paraId="0D90AAEE" w14:textId="70FD26AE" w:rsidR="00744ACF" w:rsidRDefault="00744ACF" w:rsidP="00457619">
      <w:pPr>
        <w:spacing w:line="240" w:lineRule="auto"/>
      </w:pPr>
      <w:r w:rsidRPr="00C93275">
        <w:rPr>
          <w:b/>
        </w:rPr>
        <w:t xml:space="preserve">                                                                                                </w:t>
      </w:r>
      <w:r w:rsidRPr="00C93275">
        <w:t xml:space="preserve">Case No.: </w:t>
      </w:r>
      <w:r w:rsidR="00BB1477" w:rsidRPr="00C93275">
        <w:t>15426</w:t>
      </w:r>
      <w:r w:rsidRPr="00C93275">
        <w:t>/202</w:t>
      </w:r>
      <w:r w:rsidR="00BB1477" w:rsidRPr="00C93275">
        <w:t>1</w:t>
      </w:r>
    </w:p>
    <w:p w14:paraId="09B6450F" w14:textId="0711872A" w:rsidR="00457619" w:rsidRPr="00C93275" w:rsidRDefault="00EA5AC0" w:rsidP="00EA5AC0">
      <w:pPr>
        <w:spacing w:line="240" w:lineRule="auto"/>
        <w:ind w:left="5040"/>
        <w:rPr>
          <w:b/>
        </w:rPr>
      </w:pPr>
      <w:r>
        <w:t xml:space="preserve">     </w:t>
      </w:r>
      <w:r w:rsidR="00457619">
        <w:t xml:space="preserve">Read with case no: </w:t>
      </w:r>
      <w:r>
        <w:t>19201</w:t>
      </w:r>
      <w:r w:rsidR="00457619">
        <w:t>/2020</w:t>
      </w:r>
    </w:p>
    <w:p w14:paraId="01FA142D" w14:textId="385C4F00" w:rsidR="00744ACF" w:rsidRPr="00C93275" w:rsidRDefault="00744ACF" w:rsidP="00744ACF">
      <w:pPr>
        <w:spacing w:line="480" w:lineRule="auto"/>
        <w:ind w:right="-336"/>
      </w:pPr>
      <w:r w:rsidRPr="00C93275">
        <w:t>In the matter between:</w:t>
      </w:r>
    </w:p>
    <w:p w14:paraId="71E4C029" w14:textId="7CA40C3C" w:rsidR="00744ACF" w:rsidRPr="00C93275" w:rsidRDefault="00BC7D37" w:rsidP="00EC6A06">
      <w:pPr>
        <w:tabs>
          <w:tab w:val="right" w:pos="9333"/>
        </w:tabs>
        <w:spacing w:after="0" w:line="480" w:lineRule="auto"/>
        <w:rPr>
          <w:rFonts w:eastAsia="Arial"/>
          <w:bCs/>
          <w:lang w:eastAsia="en-ZA"/>
        </w:rPr>
      </w:pPr>
      <w:bookmarkStart w:id="0" w:name="_Hlk61429091"/>
      <w:r w:rsidRPr="00C93275">
        <w:rPr>
          <w:rFonts w:eastAsia="Arial"/>
          <w:b/>
          <w:lang w:eastAsia="en-ZA"/>
        </w:rPr>
        <w:t>HERMAN BESTER NO</w:t>
      </w:r>
      <w:r w:rsidR="00744ACF" w:rsidRPr="00C93275">
        <w:rPr>
          <w:rFonts w:eastAsia="Arial"/>
          <w:b/>
          <w:bCs/>
          <w:lang w:eastAsia="en-ZA"/>
        </w:rPr>
        <w:t xml:space="preserve">           </w:t>
      </w:r>
      <w:r w:rsidR="00744ACF" w:rsidRPr="00C93275">
        <w:rPr>
          <w:rFonts w:eastAsia="Arial"/>
          <w:bCs/>
          <w:lang w:eastAsia="en-ZA"/>
        </w:rPr>
        <w:t xml:space="preserve">                    </w:t>
      </w:r>
      <w:bookmarkEnd w:id="0"/>
      <w:r w:rsidR="00744ACF" w:rsidRPr="00C93275">
        <w:rPr>
          <w:rFonts w:eastAsia="Arial"/>
          <w:bCs/>
          <w:lang w:eastAsia="en-ZA"/>
        </w:rPr>
        <w:t xml:space="preserve">                                        </w:t>
      </w:r>
      <w:r w:rsidR="006E3492">
        <w:rPr>
          <w:rFonts w:eastAsia="Arial"/>
          <w:bCs/>
          <w:lang w:eastAsia="en-ZA"/>
        </w:rPr>
        <w:tab/>
      </w:r>
      <w:r w:rsidRPr="00C93275">
        <w:rPr>
          <w:rFonts w:eastAsia="Arial"/>
          <w:bCs/>
          <w:lang w:eastAsia="en-ZA"/>
        </w:rPr>
        <w:t xml:space="preserve">First </w:t>
      </w:r>
      <w:bookmarkStart w:id="1" w:name="_Hlk95061031"/>
      <w:r w:rsidR="00744ACF" w:rsidRPr="00C93275">
        <w:rPr>
          <w:rFonts w:eastAsia="Arial"/>
          <w:bCs/>
          <w:lang w:eastAsia="en-ZA"/>
        </w:rPr>
        <w:t>Applicant</w:t>
      </w:r>
      <w:bookmarkEnd w:id="1"/>
    </w:p>
    <w:p w14:paraId="6FACDF7A" w14:textId="77777777" w:rsidR="00EC6A06" w:rsidRPr="00C93275" w:rsidRDefault="00EC6A06" w:rsidP="00EC6A06">
      <w:pPr>
        <w:tabs>
          <w:tab w:val="right" w:pos="9333"/>
        </w:tabs>
        <w:spacing w:after="0" w:line="480" w:lineRule="auto"/>
        <w:rPr>
          <w:rFonts w:eastAsia="Arial"/>
          <w:bCs/>
          <w:lang w:eastAsia="en-ZA"/>
        </w:rPr>
      </w:pPr>
      <w:r w:rsidRPr="00C93275">
        <w:rPr>
          <w:rFonts w:eastAsia="Arial"/>
          <w:b/>
          <w:lang w:eastAsia="en-ZA"/>
        </w:rPr>
        <w:t>ADRIAAN WILLEM VAN ROOYEN NO</w:t>
      </w:r>
      <w:r w:rsidRPr="00C93275">
        <w:rPr>
          <w:rFonts w:eastAsia="Arial"/>
          <w:bCs/>
          <w:lang w:eastAsia="en-ZA"/>
        </w:rPr>
        <w:tab/>
        <w:t xml:space="preserve">Second </w:t>
      </w:r>
      <w:r w:rsidR="002151C0" w:rsidRPr="00C93275">
        <w:rPr>
          <w:rFonts w:eastAsia="Arial"/>
          <w:bCs/>
          <w:lang w:eastAsia="en-ZA"/>
        </w:rPr>
        <w:t>Applicant</w:t>
      </w:r>
    </w:p>
    <w:p w14:paraId="56064288" w14:textId="77777777" w:rsidR="00EC6A06" w:rsidRPr="00C93275" w:rsidRDefault="00EC6A06" w:rsidP="00EC6A06">
      <w:pPr>
        <w:tabs>
          <w:tab w:val="right" w:pos="9333"/>
        </w:tabs>
        <w:spacing w:after="0" w:line="480" w:lineRule="auto"/>
        <w:rPr>
          <w:rFonts w:eastAsia="Arial"/>
          <w:bCs/>
          <w:lang w:eastAsia="en-ZA"/>
        </w:rPr>
      </w:pPr>
      <w:r w:rsidRPr="00C93275">
        <w:rPr>
          <w:rFonts w:eastAsia="Arial"/>
          <w:b/>
          <w:lang w:eastAsia="en-ZA"/>
        </w:rPr>
        <w:t>CHRISTOPHER JAMES ROOS NO</w:t>
      </w:r>
      <w:r w:rsidRPr="00C93275">
        <w:rPr>
          <w:rFonts w:eastAsia="Arial"/>
          <w:bCs/>
          <w:lang w:eastAsia="en-ZA"/>
        </w:rPr>
        <w:tab/>
        <w:t xml:space="preserve">Third </w:t>
      </w:r>
      <w:r w:rsidR="002151C0" w:rsidRPr="00C93275">
        <w:rPr>
          <w:rFonts w:eastAsia="Arial"/>
          <w:bCs/>
          <w:lang w:eastAsia="en-ZA"/>
        </w:rPr>
        <w:t>Applicant</w:t>
      </w:r>
    </w:p>
    <w:p w14:paraId="493334F2" w14:textId="2D7C49D2" w:rsidR="00EC6A06" w:rsidRPr="00C93275" w:rsidRDefault="00EC6A06" w:rsidP="00EC6A06">
      <w:pPr>
        <w:spacing w:after="0" w:line="480" w:lineRule="auto"/>
        <w:rPr>
          <w:rFonts w:eastAsia="Arial"/>
          <w:bCs/>
          <w:lang w:eastAsia="en-ZA"/>
        </w:rPr>
      </w:pPr>
      <w:r w:rsidRPr="00C93275">
        <w:rPr>
          <w:rFonts w:eastAsia="Arial"/>
          <w:b/>
          <w:lang w:eastAsia="en-ZA"/>
        </w:rPr>
        <w:t>JACOLIEN FRIEDA BARNARD NO</w:t>
      </w:r>
      <w:r w:rsidRPr="00C93275">
        <w:rPr>
          <w:rFonts w:eastAsia="Arial"/>
          <w:bCs/>
          <w:lang w:eastAsia="en-ZA"/>
        </w:rPr>
        <w:tab/>
        <w:t xml:space="preserve">                            </w:t>
      </w:r>
      <w:r w:rsidR="002151C0" w:rsidRPr="00C93275">
        <w:rPr>
          <w:rFonts w:eastAsia="Arial"/>
          <w:bCs/>
          <w:lang w:eastAsia="en-ZA"/>
        </w:rPr>
        <w:t xml:space="preserve">            </w:t>
      </w:r>
      <w:r w:rsidRPr="00C93275">
        <w:rPr>
          <w:rFonts w:eastAsia="Arial"/>
          <w:bCs/>
          <w:lang w:eastAsia="en-ZA"/>
        </w:rPr>
        <w:t>Fourth</w:t>
      </w:r>
      <w:r w:rsidR="00F20EE5">
        <w:rPr>
          <w:rFonts w:eastAsia="Arial"/>
          <w:bCs/>
          <w:lang w:eastAsia="en-ZA"/>
        </w:rPr>
        <w:t xml:space="preserve"> </w:t>
      </w:r>
      <w:r w:rsidR="002151C0" w:rsidRPr="00C93275">
        <w:rPr>
          <w:rFonts w:eastAsia="Arial"/>
          <w:bCs/>
          <w:lang w:eastAsia="en-ZA"/>
        </w:rPr>
        <w:t>Applicant</w:t>
      </w:r>
    </w:p>
    <w:p w14:paraId="4C830413" w14:textId="77777777" w:rsidR="00EC6A06" w:rsidRPr="00C93275" w:rsidRDefault="00EC6A06" w:rsidP="00EC6A06">
      <w:pPr>
        <w:tabs>
          <w:tab w:val="right" w:pos="9333"/>
        </w:tabs>
        <w:spacing w:line="240" w:lineRule="auto"/>
        <w:rPr>
          <w:rFonts w:eastAsia="Arial"/>
          <w:bCs/>
          <w:lang w:eastAsia="en-ZA"/>
        </w:rPr>
      </w:pPr>
      <w:bookmarkStart w:id="2" w:name="_Hlk95067669"/>
      <w:r w:rsidRPr="00C93275">
        <w:rPr>
          <w:rFonts w:eastAsia="Arial"/>
          <w:b/>
          <w:lang w:eastAsia="en-ZA"/>
        </w:rPr>
        <w:t>DEIDRE BASSON N.O.</w:t>
      </w:r>
      <w:r w:rsidRPr="00C93275">
        <w:rPr>
          <w:rFonts w:eastAsia="Arial"/>
          <w:bCs/>
          <w:lang w:eastAsia="en-ZA"/>
        </w:rPr>
        <w:tab/>
        <w:t xml:space="preserve">Fifth </w:t>
      </w:r>
      <w:r w:rsidR="002151C0" w:rsidRPr="00C93275">
        <w:rPr>
          <w:rFonts w:eastAsia="Arial"/>
          <w:bCs/>
          <w:lang w:eastAsia="en-ZA"/>
        </w:rPr>
        <w:t>Applicant</w:t>
      </w:r>
      <w:bookmarkEnd w:id="2"/>
    </w:p>
    <w:p w14:paraId="594036C6" w14:textId="77777777" w:rsidR="001E125B" w:rsidRPr="00C93275" w:rsidRDefault="00FE7DD7" w:rsidP="00EC6A06">
      <w:pPr>
        <w:tabs>
          <w:tab w:val="right" w:pos="9333"/>
        </w:tabs>
        <w:spacing w:line="240" w:lineRule="auto"/>
        <w:rPr>
          <w:rFonts w:eastAsia="Arial"/>
          <w:bCs/>
          <w:lang w:eastAsia="en-ZA"/>
        </w:rPr>
      </w:pPr>
      <w:r w:rsidRPr="00FE7DD7">
        <w:rPr>
          <w:rFonts w:eastAsia="Arial"/>
          <w:b/>
          <w:lang w:eastAsia="en-ZA"/>
        </w:rPr>
        <w:t>CHAVONNES BADENHORST ST CLAIR COOPER</w:t>
      </w:r>
      <w:r w:rsidR="001E125B" w:rsidRPr="00C93275">
        <w:rPr>
          <w:rFonts w:eastAsia="Arial"/>
          <w:b/>
          <w:lang w:eastAsia="en-ZA"/>
        </w:rPr>
        <w:t xml:space="preserve"> N.O.</w:t>
      </w:r>
      <w:r w:rsidR="001E125B" w:rsidRPr="00C93275">
        <w:rPr>
          <w:rFonts w:eastAsia="Arial"/>
          <w:bCs/>
          <w:lang w:eastAsia="en-ZA"/>
        </w:rPr>
        <w:tab/>
        <w:t>Sixth Applicant</w:t>
      </w:r>
    </w:p>
    <w:p w14:paraId="0F823D06" w14:textId="77777777" w:rsidR="00EC6A06" w:rsidRPr="00C93275" w:rsidRDefault="00EC6A06" w:rsidP="00EC6A06">
      <w:pPr>
        <w:tabs>
          <w:tab w:val="right" w:pos="8640"/>
        </w:tabs>
        <w:spacing w:after="0" w:line="240" w:lineRule="auto"/>
        <w:rPr>
          <w:rFonts w:eastAsia="Arial"/>
          <w:bCs/>
          <w:lang w:eastAsia="en-ZA"/>
        </w:rPr>
      </w:pPr>
      <w:r w:rsidRPr="00C93275">
        <w:rPr>
          <w:rFonts w:eastAsia="Arial"/>
          <w:bCs/>
          <w:lang w:eastAsia="en-ZA"/>
        </w:rPr>
        <w:t xml:space="preserve">In their capacities as the duly appointed joint </w:t>
      </w:r>
    </w:p>
    <w:p w14:paraId="126BC2A9" w14:textId="77777777" w:rsidR="00EC6A06" w:rsidRPr="00C93275" w:rsidRDefault="00EC6A06" w:rsidP="00EC6A06">
      <w:pPr>
        <w:tabs>
          <w:tab w:val="right" w:pos="8640"/>
        </w:tabs>
        <w:spacing w:after="0" w:line="240" w:lineRule="auto"/>
        <w:rPr>
          <w:rFonts w:eastAsia="Arial"/>
          <w:bCs/>
          <w:lang w:eastAsia="en-ZA"/>
        </w:rPr>
      </w:pPr>
      <w:r w:rsidRPr="00C93275">
        <w:rPr>
          <w:rFonts w:eastAsia="Arial"/>
          <w:bCs/>
          <w:lang w:eastAsia="en-ZA"/>
        </w:rPr>
        <w:t>liquidators of Mirror Trading International (Pty)</w:t>
      </w:r>
    </w:p>
    <w:p w14:paraId="4B1778B4" w14:textId="77777777" w:rsidR="00EC6A06" w:rsidRPr="00C93275" w:rsidRDefault="00EC6A06" w:rsidP="00EC6A06">
      <w:pPr>
        <w:tabs>
          <w:tab w:val="right" w:pos="9333"/>
        </w:tabs>
        <w:spacing w:line="480" w:lineRule="auto"/>
        <w:rPr>
          <w:rFonts w:eastAsia="Arial"/>
          <w:bCs/>
          <w:lang w:eastAsia="en-ZA"/>
        </w:rPr>
      </w:pPr>
      <w:r w:rsidRPr="00C93275">
        <w:rPr>
          <w:rFonts w:eastAsia="Arial"/>
          <w:bCs/>
          <w:lang w:eastAsia="en-ZA"/>
        </w:rPr>
        <w:t>Ltd (in liquidation)</w:t>
      </w:r>
    </w:p>
    <w:p w14:paraId="5E7E6AC7" w14:textId="77777777" w:rsidR="00744ACF" w:rsidRPr="00C93275" w:rsidRDefault="00744ACF" w:rsidP="00744ACF">
      <w:pPr>
        <w:tabs>
          <w:tab w:val="right" w:pos="8640"/>
        </w:tabs>
        <w:spacing w:line="480" w:lineRule="auto"/>
        <w:rPr>
          <w:rFonts w:eastAsia="Arial"/>
          <w:bCs/>
          <w:lang w:eastAsia="en-ZA"/>
        </w:rPr>
      </w:pPr>
      <w:r w:rsidRPr="00C93275">
        <w:rPr>
          <w:rFonts w:eastAsia="Arial"/>
          <w:bCs/>
          <w:lang w:eastAsia="en-ZA"/>
        </w:rPr>
        <w:t>and</w:t>
      </w:r>
    </w:p>
    <w:p w14:paraId="32D348E2" w14:textId="77777777" w:rsidR="00744ACF" w:rsidRPr="00C93275" w:rsidRDefault="00744ACF" w:rsidP="00E02EB9">
      <w:pPr>
        <w:tabs>
          <w:tab w:val="right" w:pos="9333"/>
        </w:tabs>
        <w:spacing w:after="0" w:line="240" w:lineRule="auto"/>
        <w:rPr>
          <w:rFonts w:eastAsia="Arial"/>
          <w:bCs/>
          <w:lang w:eastAsia="en-ZA"/>
        </w:rPr>
      </w:pPr>
      <w:r w:rsidRPr="00C93275">
        <w:rPr>
          <w:rFonts w:eastAsia="Arial"/>
          <w:b/>
          <w:bCs/>
          <w:lang w:eastAsia="en-ZA"/>
        </w:rPr>
        <w:t>MIRROR TRADING INTERNATIONAL (PTY) LTD</w:t>
      </w:r>
      <w:r w:rsidRPr="00C93275">
        <w:rPr>
          <w:rFonts w:eastAsia="Arial"/>
          <w:bCs/>
          <w:lang w:eastAsia="en-ZA"/>
        </w:rPr>
        <w:tab/>
        <w:t xml:space="preserve">     First Respondent</w:t>
      </w:r>
    </w:p>
    <w:p w14:paraId="6E9FD1DA" w14:textId="77777777" w:rsidR="002F6166" w:rsidRPr="00C93275" w:rsidRDefault="00E02EB9" w:rsidP="00744ACF">
      <w:pPr>
        <w:tabs>
          <w:tab w:val="right" w:pos="9333"/>
        </w:tabs>
        <w:spacing w:line="240" w:lineRule="auto"/>
        <w:rPr>
          <w:rFonts w:eastAsia="Arial"/>
          <w:b/>
          <w:lang w:eastAsia="en-ZA"/>
        </w:rPr>
      </w:pPr>
      <w:r w:rsidRPr="00C93275">
        <w:rPr>
          <w:rFonts w:eastAsia="Arial"/>
          <w:b/>
          <w:lang w:eastAsia="en-ZA"/>
        </w:rPr>
        <w:t>(in liquidation) t/a MTI</w:t>
      </w:r>
    </w:p>
    <w:p w14:paraId="04428A8A" w14:textId="212E0636" w:rsidR="00744ACF" w:rsidRPr="00C93275" w:rsidRDefault="003C578F" w:rsidP="00657749">
      <w:pPr>
        <w:tabs>
          <w:tab w:val="right" w:pos="9333"/>
        </w:tabs>
        <w:spacing w:after="0" w:line="480" w:lineRule="auto"/>
        <w:rPr>
          <w:rFonts w:eastAsia="Arial"/>
          <w:bCs/>
          <w:lang w:eastAsia="en-ZA"/>
        </w:rPr>
      </w:pPr>
      <w:r w:rsidRPr="00C93275">
        <w:rPr>
          <w:rFonts w:eastAsia="Arial"/>
          <w:b/>
          <w:lang w:eastAsia="en-ZA"/>
        </w:rPr>
        <w:t>CLYNTON HUGH MARKS</w:t>
      </w:r>
      <w:r w:rsidR="00744ACF" w:rsidRPr="00C93275">
        <w:rPr>
          <w:rFonts w:eastAsia="Arial"/>
          <w:bCs/>
          <w:lang w:eastAsia="en-ZA"/>
        </w:rPr>
        <w:tab/>
        <w:t xml:space="preserve"> Second Respondent</w:t>
      </w:r>
    </w:p>
    <w:p w14:paraId="07C98ACE" w14:textId="77777777" w:rsidR="00A73D96" w:rsidRPr="00C93275" w:rsidRDefault="003C578F" w:rsidP="00013650">
      <w:pPr>
        <w:tabs>
          <w:tab w:val="left" w:pos="6840"/>
        </w:tabs>
        <w:spacing w:after="0" w:line="480" w:lineRule="auto"/>
        <w:rPr>
          <w:rFonts w:eastAsia="Arial"/>
          <w:bCs/>
          <w:lang w:eastAsia="en-ZA"/>
        </w:rPr>
      </w:pPr>
      <w:r w:rsidRPr="00C93275">
        <w:rPr>
          <w:rFonts w:eastAsia="Arial"/>
          <w:b/>
          <w:lang w:eastAsia="en-ZA"/>
        </w:rPr>
        <w:t>HENRI ROBERT HONIBALL</w:t>
      </w:r>
      <w:r w:rsidR="00657749" w:rsidRPr="00C93275">
        <w:rPr>
          <w:rFonts w:eastAsia="Arial"/>
          <w:bCs/>
          <w:lang w:eastAsia="en-ZA"/>
        </w:rPr>
        <w:tab/>
        <w:t>Third Respondent</w:t>
      </w:r>
    </w:p>
    <w:p w14:paraId="59DEBCED" w14:textId="77777777" w:rsidR="00013650" w:rsidRDefault="003C578F" w:rsidP="00013650">
      <w:pPr>
        <w:tabs>
          <w:tab w:val="right" w:pos="9333"/>
        </w:tabs>
        <w:spacing w:line="240" w:lineRule="auto"/>
        <w:rPr>
          <w:rFonts w:eastAsia="Arial"/>
          <w:bCs/>
          <w:lang w:eastAsia="en-ZA"/>
        </w:rPr>
      </w:pPr>
      <w:r w:rsidRPr="00C93275">
        <w:rPr>
          <w:rFonts w:eastAsia="Arial"/>
          <w:b/>
          <w:bCs/>
          <w:lang w:eastAsia="en-ZA"/>
        </w:rPr>
        <w:t>CECIL JOHN JACOB ROWE</w:t>
      </w:r>
      <w:r w:rsidR="00013650" w:rsidRPr="00C93275">
        <w:rPr>
          <w:rFonts w:eastAsia="Arial"/>
          <w:bCs/>
          <w:lang w:eastAsia="en-ZA"/>
        </w:rPr>
        <w:tab/>
        <w:t xml:space="preserve">     </w:t>
      </w:r>
      <w:r w:rsidR="00BB1477" w:rsidRPr="00C93275">
        <w:rPr>
          <w:rFonts w:eastAsia="Arial"/>
          <w:bCs/>
          <w:lang w:eastAsia="en-ZA"/>
        </w:rPr>
        <w:t>Fourth</w:t>
      </w:r>
      <w:r w:rsidR="00013650" w:rsidRPr="00C93275">
        <w:rPr>
          <w:rFonts w:eastAsia="Arial"/>
          <w:bCs/>
          <w:lang w:eastAsia="en-ZA"/>
        </w:rPr>
        <w:t xml:space="preserve"> Respondent</w:t>
      </w:r>
    </w:p>
    <w:p w14:paraId="01DC2A6A" w14:textId="77777777" w:rsidR="00DF581A" w:rsidRDefault="00DF581A" w:rsidP="00013650">
      <w:pPr>
        <w:tabs>
          <w:tab w:val="right" w:pos="9333"/>
        </w:tabs>
        <w:spacing w:line="240" w:lineRule="auto"/>
        <w:rPr>
          <w:rFonts w:eastAsia="Arial"/>
          <w:bCs/>
          <w:lang w:eastAsia="en-ZA"/>
        </w:rPr>
      </w:pPr>
    </w:p>
    <w:p w14:paraId="0A77A5E1" w14:textId="77777777" w:rsidR="00DF581A" w:rsidRPr="00C93275" w:rsidRDefault="00DF581A" w:rsidP="00013650">
      <w:pPr>
        <w:tabs>
          <w:tab w:val="right" w:pos="9333"/>
        </w:tabs>
        <w:spacing w:line="240" w:lineRule="auto"/>
        <w:rPr>
          <w:rFonts w:eastAsia="Arial"/>
          <w:bCs/>
          <w:lang w:eastAsia="en-ZA"/>
        </w:rPr>
      </w:pPr>
    </w:p>
    <w:p w14:paraId="5102C3DC" w14:textId="77777777" w:rsidR="00013650" w:rsidRPr="00C93275" w:rsidRDefault="002D6440" w:rsidP="00BB1477">
      <w:pPr>
        <w:tabs>
          <w:tab w:val="right" w:pos="9333"/>
        </w:tabs>
        <w:spacing w:after="0" w:line="240" w:lineRule="auto"/>
        <w:rPr>
          <w:rFonts w:eastAsia="Arial"/>
          <w:bCs/>
          <w:lang w:eastAsia="en-ZA"/>
        </w:rPr>
      </w:pPr>
      <w:r w:rsidRPr="00C93275">
        <w:rPr>
          <w:rFonts w:eastAsia="Arial"/>
          <w:b/>
          <w:bCs/>
          <w:lang w:eastAsia="en-ZA"/>
        </w:rPr>
        <w:lastRenderedPageBreak/>
        <w:t>ALL MEMBERS/INVESTORS OF MIRROR TRADING</w:t>
      </w:r>
      <w:r w:rsidR="00013650" w:rsidRPr="00C93275">
        <w:rPr>
          <w:rFonts w:eastAsia="Arial"/>
          <w:bCs/>
          <w:lang w:eastAsia="en-ZA"/>
        </w:rPr>
        <w:tab/>
        <w:t xml:space="preserve"> </w:t>
      </w:r>
      <w:r w:rsidR="00BB1477" w:rsidRPr="00C93275">
        <w:rPr>
          <w:rFonts w:eastAsia="Arial"/>
          <w:bCs/>
          <w:lang w:eastAsia="en-ZA"/>
        </w:rPr>
        <w:t>Fifth</w:t>
      </w:r>
      <w:r w:rsidR="00013650" w:rsidRPr="00C93275">
        <w:rPr>
          <w:rFonts w:eastAsia="Arial"/>
          <w:bCs/>
          <w:lang w:eastAsia="en-ZA"/>
        </w:rPr>
        <w:t xml:space="preserve"> Respondent</w:t>
      </w:r>
    </w:p>
    <w:p w14:paraId="7220C11C" w14:textId="77777777" w:rsidR="001134BD" w:rsidRPr="00C93275" w:rsidRDefault="001134BD" w:rsidP="00013650">
      <w:pPr>
        <w:tabs>
          <w:tab w:val="right" w:pos="9333"/>
        </w:tabs>
        <w:spacing w:after="0" w:line="480" w:lineRule="auto"/>
        <w:rPr>
          <w:rFonts w:eastAsia="Arial"/>
          <w:bCs/>
          <w:lang w:eastAsia="en-ZA"/>
        </w:rPr>
      </w:pPr>
      <w:r w:rsidRPr="00C93275">
        <w:rPr>
          <w:rFonts w:eastAsia="Arial"/>
          <w:b/>
          <w:bCs/>
          <w:lang w:eastAsia="en-ZA"/>
        </w:rPr>
        <w:t>INTERNATIONAL (PTY) LTD</w:t>
      </w:r>
      <w:r w:rsidR="00BB1477" w:rsidRPr="00C93275">
        <w:rPr>
          <w:rFonts w:eastAsia="Arial"/>
          <w:b/>
          <w:bCs/>
          <w:lang w:eastAsia="en-ZA"/>
        </w:rPr>
        <w:t xml:space="preserve"> (IN LIQUIDATION)</w:t>
      </w:r>
    </w:p>
    <w:p w14:paraId="6D9D487A" w14:textId="4AE0435A" w:rsidR="00013650" w:rsidRDefault="006A23D5" w:rsidP="00013650">
      <w:pPr>
        <w:tabs>
          <w:tab w:val="left" w:pos="6840"/>
        </w:tabs>
        <w:spacing w:line="480" w:lineRule="auto"/>
        <w:rPr>
          <w:rFonts w:eastAsia="Arial"/>
          <w:bCs/>
          <w:lang w:eastAsia="en-ZA"/>
        </w:rPr>
      </w:pPr>
      <w:r w:rsidRPr="00C93275">
        <w:rPr>
          <w:rFonts w:eastAsia="Arial"/>
          <w:b/>
          <w:bCs/>
          <w:lang w:eastAsia="en-ZA"/>
        </w:rPr>
        <w:t>FINANCIAL SECTOR CONDUCT AUTHORITY (FSCA)</w:t>
      </w:r>
      <w:r w:rsidR="00013650" w:rsidRPr="00C93275">
        <w:rPr>
          <w:rFonts w:eastAsia="Arial"/>
          <w:bCs/>
          <w:lang w:eastAsia="en-ZA"/>
        </w:rPr>
        <w:tab/>
      </w:r>
      <w:r w:rsidR="00BB1477" w:rsidRPr="00C93275">
        <w:rPr>
          <w:rFonts w:eastAsia="Arial"/>
          <w:bCs/>
          <w:lang w:eastAsia="en-ZA"/>
        </w:rPr>
        <w:t>Sixth</w:t>
      </w:r>
      <w:r w:rsidR="00013650" w:rsidRPr="00C93275">
        <w:rPr>
          <w:rFonts w:eastAsia="Arial"/>
          <w:bCs/>
          <w:lang w:eastAsia="en-ZA"/>
        </w:rPr>
        <w:t xml:space="preserve"> Respondent</w:t>
      </w:r>
    </w:p>
    <w:p w14:paraId="08711B43" w14:textId="14F21FE2" w:rsidR="00EA5AC0" w:rsidRPr="00EA5AC0" w:rsidRDefault="00EA5AC0" w:rsidP="00EA5AC0">
      <w:pPr>
        <w:tabs>
          <w:tab w:val="right" w:pos="9000"/>
        </w:tabs>
        <w:overflowPunct w:val="0"/>
        <w:autoSpaceDE w:val="0"/>
        <w:autoSpaceDN w:val="0"/>
        <w:adjustRightInd w:val="0"/>
        <w:ind w:right="1"/>
        <w:textAlignment w:val="baseline"/>
        <w:rPr>
          <w:bCs/>
        </w:rPr>
      </w:pPr>
      <w:r w:rsidRPr="00EA5AC0">
        <w:rPr>
          <w:bCs/>
          <w:u w:val="single"/>
        </w:rPr>
        <w:t>Coram</w:t>
      </w:r>
      <w:r w:rsidRPr="00EA5AC0">
        <w:rPr>
          <w:bCs/>
        </w:rPr>
        <w:t>:         De Wet, AJ</w:t>
      </w:r>
    </w:p>
    <w:p w14:paraId="5D112B58" w14:textId="080ECB0A" w:rsidR="00EA5AC0" w:rsidRDefault="00EA5AC0" w:rsidP="00EA5AC0">
      <w:pPr>
        <w:spacing w:line="240" w:lineRule="auto"/>
      </w:pPr>
      <w:r w:rsidRPr="00EA5AC0">
        <w:rPr>
          <w:u w:val="single"/>
        </w:rPr>
        <w:t>Date of Judgment</w:t>
      </w:r>
      <w:r w:rsidRPr="00EA5AC0">
        <w:t>: This judgment was handed down electronically by circulation to the parties’ legal representatives by email</w:t>
      </w:r>
      <w:r w:rsidR="00CE3BDA">
        <w:t xml:space="preserve"> on </w:t>
      </w:r>
      <w:r w:rsidR="00214396">
        <w:t>2</w:t>
      </w:r>
      <w:r w:rsidR="00134670">
        <w:t>6</w:t>
      </w:r>
      <w:r w:rsidR="00214396">
        <w:t xml:space="preserve"> </w:t>
      </w:r>
      <w:r w:rsidR="00310335">
        <w:t>April</w:t>
      </w:r>
      <w:r w:rsidR="00275100">
        <w:t xml:space="preserve"> 2</w:t>
      </w:r>
      <w:r>
        <w:t>02</w:t>
      </w:r>
      <w:r w:rsidR="00275100">
        <w:t>3</w:t>
      </w:r>
      <w:r w:rsidRPr="00EA5AC0">
        <w:t>.</w:t>
      </w:r>
    </w:p>
    <w:p w14:paraId="011BD79C" w14:textId="77777777" w:rsidR="00EA5AC0" w:rsidRPr="00EA5AC0" w:rsidRDefault="00EA5AC0" w:rsidP="00EA5AC0">
      <w:pPr>
        <w:pBdr>
          <w:bottom w:val="single" w:sz="4" w:space="1" w:color="auto"/>
        </w:pBdr>
        <w:spacing w:line="240" w:lineRule="auto"/>
      </w:pPr>
    </w:p>
    <w:p w14:paraId="242B3941" w14:textId="77777777" w:rsidR="00EA5AC0" w:rsidRPr="00EA5AC0" w:rsidRDefault="00EA5AC0" w:rsidP="00EA5AC0">
      <w:pPr>
        <w:spacing w:line="240" w:lineRule="auto"/>
        <w:jc w:val="center"/>
      </w:pPr>
    </w:p>
    <w:p w14:paraId="29404909" w14:textId="77777777" w:rsidR="00EA5AC0" w:rsidRPr="00EA5AC0" w:rsidRDefault="00EA5AC0" w:rsidP="00EA5AC0">
      <w:pPr>
        <w:tabs>
          <w:tab w:val="right" w:pos="8640"/>
        </w:tabs>
        <w:spacing w:line="240" w:lineRule="auto"/>
        <w:jc w:val="center"/>
        <w:rPr>
          <w:b/>
        </w:rPr>
      </w:pPr>
      <w:r w:rsidRPr="00EA5AC0">
        <w:rPr>
          <w:b/>
        </w:rPr>
        <w:t>JUDGMENT</w:t>
      </w:r>
    </w:p>
    <w:p w14:paraId="223EB53A" w14:textId="77777777" w:rsidR="00EA5AC0" w:rsidRPr="00EA5AC0" w:rsidRDefault="00EA5AC0" w:rsidP="00EA5AC0">
      <w:pPr>
        <w:pBdr>
          <w:bottom w:val="single" w:sz="4" w:space="1" w:color="auto"/>
        </w:pBdr>
        <w:spacing w:line="240" w:lineRule="auto"/>
        <w:jc w:val="center"/>
      </w:pPr>
    </w:p>
    <w:p w14:paraId="5A4CDA11" w14:textId="16CEBFCC" w:rsidR="00EA5AC0" w:rsidRPr="006626CB" w:rsidRDefault="00EA5AC0" w:rsidP="00BD3F5D">
      <w:pPr>
        <w:spacing w:line="480" w:lineRule="auto"/>
        <w:rPr>
          <w:u w:val="single"/>
        </w:rPr>
      </w:pPr>
      <w:r w:rsidRPr="006626CB">
        <w:rPr>
          <w:u w:val="single"/>
        </w:rPr>
        <w:t>DE WET, AJ</w:t>
      </w:r>
      <w:r w:rsidR="005671C1">
        <w:rPr>
          <w:u w:val="single"/>
        </w:rPr>
        <w:t>:</w:t>
      </w:r>
    </w:p>
    <w:p w14:paraId="43429780" w14:textId="0512A691" w:rsidR="000428BC" w:rsidRPr="005B58C9" w:rsidRDefault="000428BC" w:rsidP="000428BC">
      <w:pPr>
        <w:pStyle w:val="ListParagraph"/>
        <w:spacing w:line="360" w:lineRule="auto"/>
        <w:rPr>
          <w:i/>
          <w:iCs/>
        </w:rPr>
      </w:pPr>
      <w:r w:rsidRPr="005B58C9">
        <w:rPr>
          <w:i/>
          <w:iCs/>
        </w:rPr>
        <w:t>“People all over the world, and South Africans are no exception, are bewitch</w:t>
      </w:r>
      <w:r>
        <w:rPr>
          <w:i/>
          <w:iCs/>
        </w:rPr>
        <w:t>ed</w:t>
      </w:r>
      <w:r w:rsidRPr="005B58C9">
        <w:rPr>
          <w:i/>
          <w:iCs/>
        </w:rPr>
        <w:t xml:space="preserve"> and fascinated by any idea or scheme promising, in most cases, instant wealth, new homes, new cars, holidays abroad and all material possessions that can be acquired with an abundance of money. A further attraction of these schemes is the perception that the money will keep rolling in with little or no effort by the participants, the hardest part being to count one’s money.</w:t>
      </w:r>
    </w:p>
    <w:p w14:paraId="0C08A059" w14:textId="18389ED7" w:rsidR="000E72BD" w:rsidRDefault="000428BC" w:rsidP="000428BC">
      <w:pPr>
        <w:spacing w:line="360" w:lineRule="auto"/>
        <w:ind w:left="720"/>
        <w:rPr>
          <w:i/>
          <w:iCs/>
        </w:rPr>
      </w:pPr>
      <w:r w:rsidRPr="005B58C9">
        <w:rPr>
          <w:i/>
          <w:iCs/>
        </w:rPr>
        <w:t>A consumer who participates in these</w:t>
      </w:r>
      <w:r w:rsidRPr="005F2F39">
        <w:rPr>
          <w:i/>
          <w:iCs/>
        </w:rPr>
        <w:t xml:space="preserve"> </w:t>
      </w:r>
      <w:r w:rsidR="007B0D22" w:rsidRPr="005F2F39">
        <w:rPr>
          <w:i/>
          <w:iCs/>
        </w:rPr>
        <w:t>‘</w:t>
      </w:r>
      <w:r w:rsidRPr="005F2F39">
        <w:rPr>
          <w:i/>
          <w:iCs/>
        </w:rPr>
        <w:t>easy money making</w:t>
      </w:r>
      <w:r w:rsidR="007B0D22" w:rsidRPr="005F2F39">
        <w:rPr>
          <w:i/>
          <w:iCs/>
        </w:rPr>
        <w:t>’</w:t>
      </w:r>
      <w:r w:rsidRPr="005B58C9">
        <w:rPr>
          <w:i/>
          <w:iCs/>
        </w:rPr>
        <w:t xml:space="preserve"> schemes apparently believes that money, and lots of it, is there for the taking, without considering where this money comes from. Many consumers are handsomely rewarded by participating in these schemes. Unfortunately, there are many more consumers who lose their money. The total amount gained by the </w:t>
      </w:r>
      <w:r w:rsidRPr="005F2F39">
        <w:rPr>
          <w:i/>
          <w:iCs/>
        </w:rPr>
        <w:t xml:space="preserve">promoters and other participants of these </w:t>
      </w:r>
      <w:r w:rsidR="007B0D22" w:rsidRPr="005F2F39">
        <w:rPr>
          <w:i/>
          <w:iCs/>
        </w:rPr>
        <w:t>‘</w:t>
      </w:r>
      <w:r w:rsidRPr="005F2F39">
        <w:rPr>
          <w:i/>
          <w:iCs/>
        </w:rPr>
        <w:t>easy money</w:t>
      </w:r>
      <w:r w:rsidR="005F2F39">
        <w:rPr>
          <w:i/>
          <w:iCs/>
        </w:rPr>
        <w:t xml:space="preserve"> </w:t>
      </w:r>
      <w:r w:rsidRPr="005F2F39">
        <w:rPr>
          <w:i/>
          <w:iCs/>
        </w:rPr>
        <w:t>making</w:t>
      </w:r>
      <w:r w:rsidR="007B0D22" w:rsidRPr="005F2F39">
        <w:rPr>
          <w:i/>
          <w:iCs/>
        </w:rPr>
        <w:t>’</w:t>
      </w:r>
      <w:r w:rsidRPr="005F2F39">
        <w:rPr>
          <w:i/>
          <w:iCs/>
        </w:rPr>
        <w:t xml:space="preserve"> schemes is </w:t>
      </w:r>
      <w:r w:rsidRPr="005B58C9">
        <w:rPr>
          <w:i/>
          <w:iCs/>
        </w:rPr>
        <w:t>usually equal to the amount lost by the other participants. Participants come from all walks of life</w:t>
      </w:r>
      <w:r w:rsidR="00DF05C0">
        <w:rPr>
          <w:i/>
          <w:iCs/>
        </w:rPr>
        <w:t>”</w:t>
      </w:r>
      <w:r w:rsidR="00DF05C0">
        <w:rPr>
          <w:rStyle w:val="FootnoteReference"/>
          <w:i/>
          <w:iCs/>
        </w:rPr>
        <w:footnoteReference w:id="1"/>
      </w:r>
    </w:p>
    <w:p w14:paraId="50863F17" w14:textId="590DCDBF" w:rsidR="003C621C" w:rsidRDefault="00560794" w:rsidP="00560794">
      <w:pPr>
        <w:pStyle w:val="BodyText3"/>
        <w:spacing w:after="240" w:line="480" w:lineRule="auto"/>
        <w:rPr>
          <w:sz w:val="24"/>
          <w:szCs w:val="24"/>
        </w:rPr>
      </w:pPr>
      <w:r>
        <w:rPr>
          <w:sz w:val="22"/>
          <w:szCs w:val="22"/>
        </w:rPr>
        <w:t>[1</w:t>
      </w:r>
      <w:bookmarkStart w:id="3" w:name="_GoBack"/>
      <w:bookmarkEnd w:id="3"/>
      <w:r>
        <w:rPr>
          <w:sz w:val="22"/>
          <w:szCs w:val="22"/>
        </w:rPr>
        <w:t>]</w:t>
      </w:r>
      <w:r>
        <w:rPr>
          <w:sz w:val="22"/>
          <w:szCs w:val="22"/>
        </w:rPr>
        <w:tab/>
      </w:r>
      <w:r w:rsidR="00C96853" w:rsidRPr="00F23C2D">
        <w:rPr>
          <w:sz w:val="24"/>
          <w:szCs w:val="24"/>
        </w:rPr>
        <w:t>The first to sixth applicants</w:t>
      </w:r>
      <w:r w:rsidR="00040C7A" w:rsidRPr="00F23C2D">
        <w:rPr>
          <w:sz w:val="24"/>
          <w:szCs w:val="24"/>
        </w:rPr>
        <w:t>,</w:t>
      </w:r>
      <w:r w:rsidR="00C96853" w:rsidRPr="00F23C2D">
        <w:rPr>
          <w:sz w:val="24"/>
          <w:szCs w:val="24"/>
        </w:rPr>
        <w:t xml:space="preserve"> in their capacities as joint final liquidators of</w:t>
      </w:r>
      <w:r w:rsidR="00CF3E89">
        <w:rPr>
          <w:sz w:val="24"/>
          <w:szCs w:val="24"/>
        </w:rPr>
        <w:t xml:space="preserve"> </w:t>
      </w:r>
      <w:r w:rsidR="00C96853" w:rsidRPr="00F23C2D">
        <w:rPr>
          <w:sz w:val="24"/>
          <w:szCs w:val="24"/>
        </w:rPr>
        <w:t xml:space="preserve">Mirror Trading International (Pty) Ltd (“MTI”), seek the following declaratory relief </w:t>
      </w:r>
      <w:r w:rsidR="00905721">
        <w:rPr>
          <w:sz w:val="24"/>
          <w:szCs w:val="24"/>
        </w:rPr>
        <w:t>[</w:t>
      </w:r>
      <w:r w:rsidR="00C96853" w:rsidRPr="00F23C2D">
        <w:rPr>
          <w:sz w:val="24"/>
          <w:szCs w:val="24"/>
        </w:rPr>
        <w:t>by</w:t>
      </w:r>
      <w:r w:rsidR="00416E7F">
        <w:rPr>
          <w:sz w:val="24"/>
          <w:szCs w:val="24"/>
        </w:rPr>
        <w:t xml:space="preserve"> </w:t>
      </w:r>
      <w:r w:rsidR="00C96853" w:rsidRPr="00F23C2D">
        <w:rPr>
          <w:sz w:val="24"/>
          <w:szCs w:val="24"/>
        </w:rPr>
        <w:t xml:space="preserve">way of </w:t>
      </w:r>
      <w:r w:rsidR="00C96853" w:rsidRPr="00F23C2D">
        <w:rPr>
          <w:sz w:val="24"/>
          <w:szCs w:val="24"/>
        </w:rPr>
        <w:lastRenderedPageBreak/>
        <w:t>application</w:t>
      </w:r>
      <w:r w:rsidR="00A516CC">
        <w:rPr>
          <w:sz w:val="24"/>
          <w:szCs w:val="24"/>
        </w:rPr>
        <w:t>]</w:t>
      </w:r>
      <w:r w:rsidR="00B06E16" w:rsidRPr="00F23C2D">
        <w:rPr>
          <w:sz w:val="24"/>
          <w:szCs w:val="24"/>
        </w:rPr>
        <w:t xml:space="preserve"> in terms of s 21(a)(c) of the Superior Court</w:t>
      </w:r>
      <w:r w:rsidR="00B06E16" w:rsidRPr="00134670">
        <w:rPr>
          <w:sz w:val="24"/>
          <w:szCs w:val="24"/>
        </w:rPr>
        <w:t>s</w:t>
      </w:r>
      <w:r w:rsidR="00B06E16" w:rsidRPr="00F23C2D">
        <w:rPr>
          <w:sz w:val="24"/>
          <w:szCs w:val="24"/>
        </w:rPr>
        <w:t xml:space="preserve"> Act, 10 of</w:t>
      </w:r>
      <w:r w:rsidR="00416E7F">
        <w:rPr>
          <w:sz w:val="24"/>
          <w:szCs w:val="24"/>
        </w:rPr>
        <w:t xml:space="preserve"> </w:t>
      </w:r>
      <w:r w:rsidR="00B06E16" w:rsidRPr="00F23C2D">
        <w:rPr>
          <w:sz w:val="24"/>
          <w:szCs w:val="24"/>
        </w:rPr>
        <w:t>2013</w:t>
      </w:r>
      <w:r w:rsidR="00416E7F">
        <w:rPr>
          <w:sz w:val="24"/>
          <w:szCs w:val="24"/>
        </w:rPr>
        <w:t xml:space="preserve"> </w:t>
      </w:r>
      <w:r w:rsidR="00B06E16" w:rsidRPr="00F23C2D">
        <w:rPr>
          <w:sz w:val="24"/>
          <w:szCs w:val="24"/>
        </w:rPr>
        <w:t>(“the main application”</w:t>
      </w:r>
      <w:r w:rsidR="00F23C2D">
        <w:rPr>
          <w:sz w:val="24"/>
          <w:szCs w:val="24"/>
        </w:rPr>
        <w:t>)</w:t>
      </w:r>
      <w:r w:rsidR="00DF05C0">
        <w:rPr>
          <w:rStyle w:val="FootnoteReference"/>
          <w:sz w:val="24"/>
          <w:szCs w:val="24"/>
        </w:rPr>
        <w:footnoteReference w:id="2"/>
      </w:r>
      <w:r w:rsidR="00D736B0">
        <w:rPr>
          <w:sz w:val="24"/>
          <w:szCs w:val="24"/>
        </w:rPr>
        <w:t>:</w:t>
      </w:r>
      <w:r w:rsidR="00464A58">
        <w:rPr>
          <w:sz w:val="24"/>
          <w:szCs w:val="24"/>
        </w:rPr>
        <w:t xml:space="preserve">  </w:t>
      </w:r>
    </w:p>
    <w:p w14:paraId="7155B627" w14:textId="6E8F624E" w:rsidR="00C96853" w:rsidRPr="003F0EB5" w:rsidRDefault="00D12BC2" w:rsidP="005718D2">
      <w:pPr>
        <w:pStyle w:val="BodyText3"/>
        <w:spacing w:after="240" w:line="480" w:lineRule="auto"/>
        <w:rPr>
          <w:vanish/>
        </w:rPr>
      </w:pPr>
      <w:bookmarkStart w:id="4" w:name="_Hlk133236872"/>
      <w:r>
        <w:rPr>
          <w:sz w:val="24"/>
          <w:szCs w:val="24"/>
        </w:rPr>
        <w:t xml:space="preserve">   </w:t>
      </w:r>
      <w:r w:rsidR="00D736B0">
        <w:rPr>
          <w:sz w:val="24"/>
          <w:szCs w:val="24"/>
        </w:rPr>
        <w:t>“</w:t>
      </w:r>
      <w:r w:rsidR="00464A58">
        <w:rPr>
          <w:sz w:val="24"/>
          <w:szCs w:val="24"/>
        </w:rPr>
        <w:t>1.1</w:t>
      </w:r>
      <w:r w:rsidR="00464A58">
        <w:rPr>
          <w:sz w:val="24"/>
          <w:szCs w:val="24"/>
        </w:rPr>
        <w:tab/>
      </w:r>
    </w:p>
    <w:p w14:paraId="0039F21B" w14:textId="207EC558" w:rsidR="00C96853" w:rsidRPr="00560794" w:rsidRDefault="00560794" w:rsidP="00560794">
      <w:pPr>
        <w:spacing w:line="480" w:lineRule="auto"/>
        <w:ind w:left="360" w:hanging="360"/>
        <w:rPr>
          <w:vanish/>
        </w:rPr>
      </w:pPr>
      <w:r w:rsidRPr="003F0EB5">
        <w:rPr>
          <w:vanish/>
        </w:rPr>
        <w:t>3</w:t>
      </w:r>
      <w:r w:rsidRPr="003F0EB5">
        <w:rPr>
          <w:vanish/>
        </w:rPr>
        <w:tab/>
      </w:r>
    </w:p>
    <w:p w14:paraId="4A0993B4" w14:textId="2254CA0B" w:rsidR="00C96853" w:rsidRPr="00560794" w:rsidRDefault="00560794" w:rsidP="00560794">
      <w:pPr>
        <w:spacing w:line="480" w:lineRule="auto"/>
        <w:ind w:left="360" w:hanging="360"/>
        <w:rPr>
          <w:vanish/>
        </w:rPr>
      </w:pPr>
      <w:r w:rsidRPr="003F0EB5">
        <w:rPr>
          <w:vanish/>
        </w:rPr>
        <w:t>4</w:t>
      </w:r>
      <w:r w:rsidRPr="003F0EB5">
        <w:rPr>
          <w:vanish/>
        </w:rPr>
        <w:tab/>
      </w:r>
    </w:p>
    <w:p w14:paraId="0E0AE2CA" w14:textId="6FFE20D3" w:rsidR="004A36F9" w:rsidRDefault="00560794" w:rsidP="00560794">
      <w:pPr>
        <w:spacing w:line="480" w:lineRule="auto"/>
      </w:pPr>
      <w:r>
        <w:t>1.1.1.1.1.1.1.1.1</w:t>
      </w:r>
      <w:r>
        <w:tab/>
      </w:r>
      <w:r w:rsidR="00C96853" w:rsidRPr="00C96853">
        <w:t>an order declaring that the business model of MTI is an illegal</w:t>
      </w:r>
      <w:r w:rsidR="003B0863">
        <w:t xml:space="preserve"> </w:t>
      </w:r>
      <w:r w:rsidR="004A36F9">
        <w:t>and/or</w:t>
      </w:r>
      <w:r w:rsidR="00214396">
        <w:t xml:space="preserve"> </w:t>
      </w:r>
      <w:r w:rsidR="004A36F9">
        <w:tab/>
        <w:t>unlawful scheme and/or that MTI at all relevant times operated an</w:t>
      </w:r>
      <w:r w:rsidR="00214396">
        <w:t xml:space="preserve"> illegal</w:t>
      </w:r>
      <w:r w:rsidR="004A36F9">
        <w:tab/>
      </w:r>
      <w:r w:rsidR="004A36F9">
        <w:tab/>
        <w:t>and/or unlawful business;</w:t>
      </w:r>
    </w:p>
    <w:p w14:paraId="255CD173" w14:textId="77777777" w:rsidR="003C621C" w:rsidRDefault="003C621C" w:rsidP="005718D2">
      <w:pPr>
        <w:pStyle w:val="ListParagraph"/>
        <w:spacing w:line="276" w:lineRule="auto"/>
        <w:ind w:left="0"/>
      </w:pPr>
    </w:p>
    <w:p w14:paraId="14173EE0" w14:textId="097EE9EA" w:rsidR="00C96853" w:rsidRDefault="00560794" w:rsidP="00560794">
      <w:pPr>
        <w:spacing w:line="480" w:lineRule="auto"/>
        <w:ind w:left="794" w:hanging="567"/>
      </w:pPr>
      <w:r>
        <w:t>1.2</w:t>
      </w:r>
      <w:r>
        <w:tab/>
      </w:r>
      <w:r w:rsidR="00C96853" w:rsidRPr="00C96853">
        <w:t xml:space="preserve">an order declaring all agreements purportedly concluded between </w:t>
      </w:r>
      <w:r w:rsidR="003B0863">
        <w:t>[MTI]</w:t>
      </w:r>
      <w:r w:rsidR="00770CC8">
        <w:t xml:space="preserve"> </w:t>
      </w:r>
      <w:r w:rsidR="00C96853" w:rsidRPr="00C96853">
        <w:t xml:space="preserve">and its investors in respect of the trading/management/investment of </w:t>
      </w:r>
      <w:r w:rsidR="00F23C2D">
        <w:t>b</w:t>
      </w:r>
      <w:r w:rsidR="00C96853" w:rsidRPr="00C96853">
        <w:t xml:space="preserve">itcoin for the purported benefit of the investors, to be unlawful and </w:t>
      </w:r>
      <w:r w:rsidR="00C96853" w:rsidRPr="00560794">
        <w:rPr>
          <w:i/>
        </w:rPr>
        <w:t>void ab initio</w:t>
      </w:r>
      <w:r w:rsidR="00C96853" w:rsidRPr="00C96853">
        <w:t>;</w:t>
      </w:r>
    </w:p>
    <w:bookmarkEnd w:id="4"/>
    <w:p w14:paraId="3543B141" w14:textId="77777777" w:rsidR="003C621C" w:rsidRDefault="003C621C" w:rsidP="003C621C">
      <w:pPr>
        <w:pStyle w:val="ListParagraph"/>
        <w:spacing w:line="276" w:lineRule="auto"/>
        <w:ind w:left="794"/>
      </w:pPr>
    </w:p>
    <w:p w14:paraId="0DB4955B" w14:textId="2DABB0B4" w:rsidR="00C96853" w:rsidRDefault="00560794" w:rsidP="00560794">
      <w:pPr>
        <w:spacing w:line="480" w:lineRule="auto"/>
        <w:ind w:left="794" w:hanging="567"/>
      </w:pPr>
      <w:r>
        <w:t>1.3</w:t>
      </w:r>
      <w:r>
        <w:tab/>
      </w:r>
      <w:r w:rsidR="00C96853" w:rsidRPr="00C96853">
        <w:t xml:space="preserve">an order declaring that MTI </w:t>
      </w:r>
      <w:r w:rsidR="00905721">
        <w:t>has been</w:t>
      </w:r>
      <w:r w:rsidR="00C96853" w:rsidRPr="00C96853">
        <w:t xml:space="preserve"> factually insolvent </w:t>
      </w:r>
      <w:r w:rsidR="00905721">
        <w:t>(</w:t>
      </w:r>
      <w:r w:rsidR="00C96853" w:rsidRPr="00C96853">
        <w:t>in that the value of its liabilities exceeded the value of its assets</w:t>
      </w:r>
      <w:r w:rsidR="00905721">
        <w:t>)</w:t>
      </w:r>
      <w:r w:rsidR="00C96853" w:rsidRPr="00C96853">
        <w:t xml:space="preserve"> since 18 August 2019</w:t>
      </w:r>
      <w:r w:rsidR="00770CC8">
        <w:t xml:space="preserve"> until</w:t>
      </w:r>
      <w:r w:rsidR="00905721">
        <w:t xml:space="preserve"> </w:t>
      </w:r>
      <w:r w:rsidR="00C96853" w:rsidRPr="00C96853">
        <w:t>the date of its winding-up on 29 December 2020;</w:t>
      </w:r>
    </w:p>
    <w:p w14:paraId="16891B95" w14:textId="77777777" w:rsidR="003C621C" w:rsidRDefault="003C621C" w:rsidP="003C621C">
      <w:pPr>
        <w:pStyle w:val="ListParagraph"/>
        <w:spacing w:line="276" w:lineRule="auto"/>
      </w:pPr>
    </w:p>
    <w:p w14:paraId="1F2912F3" w14:textId="070C854E" w:rsidR="00C96853" w:rsidRPr="005671C1" w:rsidRDefault="00560794" w:rsidP="00560794">
      <w:pPr>
        <w:spacing w:line="480" w:lineRule="auto"/>
        <w:ind w:left="794" w:hanging="567"/>
      </w:pPr>
      <w:r w:rsidRPr="005671C1">
        <w:t>1.4</w:t>
      </w:r>
      <w:r w:rsidRPr="005671C1">
        <w:tab/>
      </w:r>
      <w:r w:rsidR="00C96853" w:rsidRPr="00C96853">
        <w:t xml:space="preserve">an order declaring that any and all dispositions, whether by means of  payment in fiat currency or by means of  transfer of </w:t>
      </w:r>
      <w:r w:rsidR="00F23C2D">
        <w:t>b</w:t>
      </w:r>
      <w:r w:rsidR="00C96853" w:rsidRPr="00C96853">
        <w:t xml:space="preserve">itcoin (or any other crypto currency) made by or on behalf of MTI to any of its investors or other third party, as payment or part payment of purported profits, referral commissions or any other remuneration in respect of and pursuant to the unlawful </w:t>
      </w:r>
      <w:r w:rsidR="00C96853" w:rsidRPr="00C96853">
        <w:lastRenderedPageBreak/>
        <w:t xml:space="preserve">investment scheme perpetrated by MTI, to be dispositions without value, as </w:t>
      </w:r>
      <w:r w:rsidR="00C96853" w:rsidRPr="005671C1">
        <w:t xml:space="preserve">defined in </w:t>
      </w:r>
      <w:r w:rsidR="005671C1" w:rsidRPr="005671C1">
        <w:t>section 2</w:t>
      </w:r>
      <w:r w:rsidR="00C96853" w:rsidRPr="005671C1">
        <w:t>, read with s</w:t>
      </w:r>
      <w:r w:rsidR="005671C1" w:rsidRPr="005671C1">
        <w:t xml:space="preserve">ection </w:t>
      </w:r>
      <w:r w:rsidR="00C96853" w:rsidRPr="005671C1">
        <w:t>26(1) of the Insolvency Act</w:t>
      </w:r>
      <w:r w:rsidR="002B3A81" w:rsidRPr="005671C1">
        <w:t xml:space="preserve">, </w:t>
      </w:r>
      <w:r w:rsidR="00C96853" w:rsidRPr="005671C1">
        <w:t>24 of 1936 (as amended) ("the Insolvency Act");</w:t>
      </w:r>
    </w:p>
    <w:p w14:paraId="0015FAB7" w14:textId="77777777" w:rsidR="00137899" w:rsidRPr="005671C1" w:rsidRDefault="00137899" w:rsidP="003C621C">
      <w:pPr>
        <w:pStyle w:val="ListParagraph"/>
        <w:spacing w:line="276" w:lineRule="auto"/>
      </w:pPr>
    </w:p>
    <w:p w14:paraId="20242138" w14:textId="1DD7C974" w:rsidR="00137899" w:rsidRPr="005671C1" w:rsidRDefault="00560794" w:rsidP="00560794">
      <w:pPr>
        <w:spacing w:line="480" w:lineRule="auto"/>
        <w:ind w:left="794" w:hanging="567"/>
      </w:pPr>
      <w:r w:rsidRPr="005671C1">
        <w:t>1.5</w:t>
      </w:r>
      <w:r w:rsidRPr="005671C1">
        <w:tab/>
      </w:r>
      <w:r w:rsidR="00C96853" w:rsidRPr="00137899">
        <w:t xml:space="preserve">an order declaring any and all dispositions, whether by means of a payment in fiat currency or by means of a transfer of </w:t>
      </w:r>
      <w:r w:rsidR="00F23C2D">
        <w:t>b</w:t>
      </w:r>
      <w:r w:rsidR="00C96853" w:rsidRPr="00137899">
        <w:t xml:space="preserve">itcoin (or any other crypto currency), made by or on behalf of MTI to any of its investors or any third party as payment or part payment of any purported claim or entitlement pursuant to the unlawful investment scheme, within 6 months before the </w:t>
      </w:r>
      <w:r w:rsidR="00C96853" w:rsidRPr="00560794">
        <w:rPr>
          <w:i/>
          <w:iCs/>
        </w:rPr>
        <w:t xml:space="preserve">concursus creditorium </w:t>
      </w:r>
      <w:r w:rsidR="00C96853" w:rsidRPr="00137899">
        <w:t xml:space="preserve">i.e., all dispositions since 23 June 2020, to be dispositions which had the effect of preferring one or more of MTI's creditors above others, as </w:t>
      </w:r>
      <w:r w:rsidR="00C96853" w:rsidRPr="005671C1">
        <w:t>defined in s</w:t>
      </w:r>
      <w:r w:rsidR="005671C1" w:rsidRPr="005671C1">
        <w:t xml:space="preserve">ection </w:t>
      </w:r>
      <w:r w:rsidR="00C96853" w:rsidRPr="005671C1">
        <w:t>2, read with s</w:t>
      </w:r>
      <w:r w:rsidR="005671C1" w:rsidRPr="005671C1">
        <w:t xml:space="preserve">ection </w:t>
      </w:r>
      <w:r w:rsidR="00C96853" w:rsidRPr="005671C1">
        <w:t>29(1) of the Insolvency Act and that such dispositions were not made in the ordinary course of business as provided for in section 29(1) of the Insolvency Act</w:t>
      </w:r>
      <w:r w:rsidR="00137899" w:rsidRPr="005671C1">
        <w:rPr>
          <w:rStyle w:val="FootnoteReference"/>
        </w:rPr>
        <w:footnoteReference w:id="3"/>
      </w:r>
      <w:r w:rsidR="00C96853" w:rsidRPr="005671C1">
        <w:t>;</w:t>
      </w:r>
    </w:p>
    <w:p w14:paraId="1E086AC9" w14:textId="77777777" w:rsidR="00137899" w:rsidRDefault="00137899" w:rsidP="003C621C">
      <w:pPr>
        <w:pStyle w:val="ListParagraph"/>
        <w:spacing w:line="276" w:lineRule="auto"/>
        <w:ind w:left="1440"/>
      </w:pPr>
    </w:p>
    <w:p w14:paraId="40A99055" w14:textId="3AC1A792" w:rsidR="00464A58" w:rsidRPr="005671C1" w:rsidRDefault="00560794" w:rsidP="00560794">
      <w:pPr>
        <w:spacing w:line="480" w:lineRule="auto"/>
        <w:ind w:left="794" w:hanging="567"/>
      </w:pPr>
      <w:r w:rsidRPr="005671C1">
        <w:t>1.6</w:t>
      </w:r>
      <w:r w:rsidRPr="005671C1">
        <w:tab/>
      </w:r>
      <w:r w:rsidR="00C96853" w:rsidRPr="00137899">
        <w:t xml:space="preserve">that leave be granted to the </w:t>
      </w:r>
      <w:r w:rsidR="00464A58">
        <w:t xml:space="preserve">liquidators of MTI </w:t>
      </w:r>
      <w:r w:rsidR="00C96853" w:rsidRPr="00137899">
        <w:t xml:space="preserve">to approach this Court on the same papers, duly amplified where necessary, for orders setting aside specific dispositions as described in </w:t>
      </w:r>
      <w:r w:rsidR="00464A58">
        <w:t>1.4</w:t>
      </w:r>
      <w:r w:rsidR="00C96853" w:rsidRPr="00137899">
        <w:t xml:space="preserve"> and </w:t>
      </w:r>
      <w:r w:rsidR="00464A58">
        <w:t>1.</w:t>
      </w:r>
      <w:r w:rsidR="00C96853" w:rsidRPr="00137899">
        <w:t xml:space="preserve">5 above, in terms of </w:t>
      </w:r>
      <w:r w:rsidR="00C96853" w:rsidRPr="005671C1">
        <w:t>s</w:t>
      </w:r>
      <w:r w:rsidR="005671C1" w:rsidRPr="005671C1">
        <w:t>ections</w:t>
      </w:r>
      <w:r w:rsidR="00C96853" w:rsidRPr="005671C1">
        <w:t xml:space="preserve"> 26 and/or 29 of the Insolvency Act and for orders declaring that the liquidators of MTI are entitled to recover the aforesaid dispositions, alternatively </w:t>
      </w:r>
      <w:r w:rsidR="00C96853" w:rsidRPr="00137899">
        <w:t xml:space="preserve">the value thereof at the date of each disposition or the value thereof at the date on which the respective dispositions are set aside, whichever is the higher, as provided </w:t>
      </w:r>
      <w:r w:rsidR="00C96853" w:rsidRPr="005671C1">
        <w:t>for in section 32(3) of the Insolvency Act</w:t>
      </w:r>
      <w:r w:rsidR="00770CC8" w:rsidRPr="005671C1">
        <w:t>;</w:t>
      </w:r>
    </w:p>
    <w:p w14:paraId="4412DF3A" w14:textId="77777777" w:rsidR="00464A58" w:rsidRDefault="00464A58" w:rsidP="003C621C">
      <w:pPr>
        <w:pStyle w:val="ListParagraph"/>
        <w:spacing w:line="276" w:lineRule="auto"/>
      </w:pPr>
    </w:p>
    <w:p w14:paraId="49B40426" w14:textId="2B8C57B8" w:rsidR="00464A58" w:rsidRPr="005671C1" w:rsidRDefault="00560794" w:rsidP="00560794">
      <w:pPr>
        <w:spacing w:line="480" w:lineRule="auto"/>
        <w:ind w:left="794" w:hanging="567"/>
      </w:pPr>
      <w:r w:rsidRPr="005671C1">
        <w:t>1.7</w:t>
      </w:r>
      <w:r w:rsidRPr="005671C1">
        <w:tab/>
      </w:r>
      <w:r w:rsidR="00464A58">
        <w:t xml:space="preserve">the costs of this application shall be paid by any party/parties opposing this </w:t>
      </w:r>
      <w:r w:rsidR="00D736B0" w:rsidRPr="005671C1">
        <w:t>a</w:t>
      </w:r>
      <w:r w:rsidR="00464A58" w:rsidRPr="005671C1">
        <w:t>pplication, jointly and severally, the one paying the other to be absolved;</w:t>
      </w:r>
    </w:p>
    <w:p w14:paraId="1A0FF4B5" w14:textId="77777777" w:rsidR="00464A58" w:rsidRDefault="00464A58" w:rsidP="00464A58">
      <w:pPr>
        <w:pStyle w:val="ListParagraph"/>
      </w:pPr>
    </w:p>
    <w:p w14:paraId="59351332" w14:textId="0E4DE16A" w:rsidR="00C96853" w:rsidRPr="00137899" w:rsidRDefault="00560794" w:rsidP="00560794">
      <w:pPr>
        <w:spacing w:line="480" w:lineRule="auto"/>
        <w:ind w:left="794" w:hanging="567"/>
      </w:pPr>
      <w:r w:rsidRPr="00137899">
        <w:t>1.8</w:t>
      </w:r>
      <w:r w:rsidRPr="00137899">
        <w:tab/>
      </w:r>
      <w:r w:rsidR="00464A58">
        <w:t>save as aforesaid, the costs of this application are costs in the liquidation of the First Respondent</w:t>
      </w:r>
      <w:r w:rsidR="004A36F9">
        <w:t>”.</w:t>
      </w:r>
      <w:r w:rsidR="00C96853" w:rsidRPr="00137899">
        <w:tab/>
      </w:r>
    </w:p>
    <w:p w14:paraId="59CB94C4" w14:textId="305FB31D" w:rsidR="00885F0A" w:rsidRDefault="00560794" w:rsidP="00560794">
      <w:pPr>
        <w:pStyle w:val="BodyText3"/>
        <w:spacing w:after="240" w:line="480" w:lineRule="auto"/>
        <w:rPr>
          <w:sz w:val="24"/>
          <w:szCs w:val="24"/>
        </w:rPr>
      </w:pPr>
      <w:r>
        <w:rPr>
          <w:sz w:val="22"/>
          <w:szCs w:val="22"/>
        </w:rPr>
        <w:t>[2]</w:t>
      </w:r>
      <w:r>
        <w:rPr>
          <w:sz w:val="22"/>
          <w:szCs w:val="22"/>
        </w:rPr>
        <w:tab/>
      </w:r>
      <w:r w:rsidR="00176D6B" w:rsidRPr="00C93275">
        <w:rPr>
          <w:sz w:val="24"/>
          <w:szCs w:val="24"/>
        </w:rPr>
        <w:t xml:space="preserve">In terms of </w:t>
      </w:r>
      <w:r w:rsidR="00176D6B">
        <w:rPr>
          <w:sz w:val="24"/>
          <w:szCs w:val="24"/>
        </w:rPr>
        <w:t xml:space="preserve">an </w:t>
      </w:r>
      <w:r w:rsidR="00176D6B" w:rsidRPr="00C93275">
        <w:rPr>
          <w:sz w:val="24"/>
          <w:szCs w:val="24"/>
        </w:rPr>
        <w:t>order granted</w:t>
      </w:r>
      <w:r w:rsidR="00310335">
        <w:rPr>
          <w:sz w:val="24"/>
          <w:szCs w:val="24"/>
        </w:rPr>
        <w:t xml:space="preserve"> by De Villiers AJ</w:t>
      </w:r>
      <w:r w:rsidR="00176D6B" w:rsidRPr="00C93275">
        <w:rPr>
          <w:sz w:val="24"/>
          <w:szCs w:val="24"/>
        </w:rPr>
        <w:t xml:space="preserve"> on 22 January 2021, the powers of the liquidators were extended</w:t>
      </w:r>
      <w:r w:rsidR="00905721">
        <w:rPr>
          <w:sz w:val="24"/>
          <w:szCs w:val="24"/>
        </w:rPr>
        <w:t xml:space="preserve"> to </w:t>
      </w:r>
      <w:r w:rsidR="00502DE7">
        <w:rPr>
          <w:sz w:val="24"/>
          <w:szCs w:val="24"/>
        </w:rPr>
        <w:t xml:space="preserve">include </w:t>
      </w:r>
      <w:r w:rsidR="00176D6B" w:rsidRPr="00C93275">
        <w:rPr>
          <w:sz w:val="24"/>
          <w:szCs w:val="24"/>
        </w:rPr>
        <w:t xml:space="preserve">the power to institute legal proceedings. </w:t>
      </w:r>
      <w:r w:rsidR="004906DF">
        <w:rPr>
          <w:sz w:val="24"/>
          <w:szCs w:val="24"/>
        </w:rPr>
        <w:t>Apart from th</w:t>
      </w:r>
      <w:r w:rsidR="002C574E">
        <w:rPr>
          <w:sz w:val="24"/>
          <w:szCs w:val="24"/>
        </w:rPr>
        <w:t>is order, the parties hereto</w:t>
      </w:r>
      <w:r w:rsidR="00B97580">
        <w:rPr>
          <w:sz w:val="24"/>
          <w:szCs w:val="24"/>
        </w:rPr>
        <w:t xml:space="preserve">, by agreement, </w:t>
      </w:r>
      <w:r w:rsidR="002C574E">
        <w:rPr>
          <w:sz w:val="24"/>
          <w:szCs w:val="24"/>
        </w:rPr>
        <w:t>converted th</w:t>
      </w:r>
      <w:r w:rsidR="0064744C">
        <w:rPr>
          <w:sz w:val="24"/>
          <w:szCs w:val="24"/>
        </w:rPr>
        <w:t xml:space="preserve">e relief </w:t>
      </w:r>
      <w:r w:rsidR="007D0917">
        <w:rPr>
          <w:sz w:val="24"/>
          <w:szCs w:val="24"/>
        </w:rPr>
        <w:t>initially claimed in the liquidation proceedings,</w:t>
      </w:r>
      <w:r w:rsidR="002B3A81">
        <w:rPr>
          <w:sz w:val="24"/>
          <w:szCs w:val="24"/>
        </w:rPr>
        <w:t xml:space="preserve"> to which I will revert below</w:t>
      </w:r>
      <w:r w:rsidR="0098643A">
        <w:rPr>
          <w:sz w:val="24"/>
          <w:szCs w:val="24"/>
        </w:rPr>
        <w:t>,</w:t>
      </w:r>
      <w:r w:rsidR="007D0917">
        <w:rPr>
          <w:sz w:val="24"/>
          <w:szCs w:val="24"/>
        </w:rPr>
        <w:t xml:space="preserve"> </w:t>
      </w:r>
      <w:r w:rsidR="00237786">
        <w:rPr>
          <w:sz w:val="24"/>
          <w:szCs w:val="24"/>
        </w:rPr>
        <w:t>into a</w:t>
      </w:r>
      <w:r w:rsidR="002B3A81">
        <w:rPr>
          <w:sz w:val="24"/>
          <w:szCs w:val="24"/>
        </w:rPr>
        <w:t xml:space="preserve"> </w:t>
      </w:r>
      <w:r w:rsidR="00237786">
        <w:rPr>
          <w:sz w:val="24"/>
          <w:szCs w:val="24"/>
        </w:rPr>
        <w:t xml:space="preserve">separate application under case number </w:t>
      </w:r>
      <w:r w:rsidR="002B3A81">
        <w:rPr>
          <w:sz w:val="24"/>
          <w:szCs w:val="24"/>
        </w:rPr>
        <w:t>15426/2021.</w:t>
      </w:r>
      <w:r w:rsidR="00237786">
        <w:rPr>
          <w:sz w:val="24"/>
          <w:szCs w:val="24"/>
        </w:rPr>
        <w:t xml:space="preserve"> The respondents do not dispute</w:t>
      </w:r>
      <w:r w:rsidR="002B3A81">
        <w:rPr>
          <w:sz w:val="24"/>
          <w:szCs w:val="24"/>
        </w:rPr>
        <w:t xml:space="preserve"> </w:t>
      </w:r>
      <w:r w:rsidR="00237786">
        <w:rPr>
          <w:sz w:val="24"/>
          <w:szCs w:val="24"/>
        </w:rPr>
        <w:t>the</w:t>
      </w:r>
      <w:r w:rsidR="002C42E9">
        <w:rPr>
          <w:sz w:val="24"/>
          <w:szCs w:val="24"/>
        </w:rPr>
        <w:t xml:space="preserve"> </w:t>
      </w:r>
      <w:r w:rsidR="00237786">
        <w:rPr>
          <w:sz w:val="24"/>
          <w:szCs w:val="24"/>
        </w:rPr>
        <w:t>authority of the applicants to launch this application</w:t>
      </w:r>
      <w:r w:rsidR="00885F0A">
        <w:rPr>
          <w:sz w:val="24"/>
          <w:szCs w:val="24"/>
        </w:rPr>
        <w:t>.</w:t>
      </w:r>
    </w:p>
    <w:p w14:paraId="6C274D13" w14:textId="3F0EA86A" w:rsidR="00DB7C38" w:rsidRPr="00905721" w:rsidRDefault="00560794" w:rsidP="00560794">
      <w:pPr>
        <w:pStyle w:val="BodyText3"/>
        <w:spacing w:after="240" w:line="480" w:lineRule="auto"/>
        <w:rPr>
          <w:sz w:val="24"/>
          <w:szCs w:val="24"/>
        </w:rPr>
      </w:pPr>
      <w:r w:rsidRPr="00905721">
        <w:rPr>
          <w:sz w:val="22"/>
          <w:szCs w:val="22"/>
        </w:rPr>
        <w:t>[3]</w:t>
      </w:r>
      <w:r w:rsidRPr="00905721">
        <w:rPr>
          <w:sz w:val="22"/>
          <w:szCs w:val="22"/>
        </w:rPr>
        <w:tab/>
      </w:r>
      <w:r w:rsidR="00A3620D" w:rsidRPr="004E6E32">
        <w:rPr>
          <w:sz w:val="24"/>
          <w:szCs w:val="24"/>
        </w:rPr>
        <w:t>During</w:t>
      </w:r>
      <w:r w:rsidR="00403094" w:rsidRPr="004E6E32">
        <w:rPr>
          <w:sz w:val="24"/>
          <w:szCs w:val="24"/>
        </w:rPr>
        <w:t xml:space="preserve"> the proceeding various interlocutory applications, ranging from</w:t>
      </w:r>
      <w:r w:rsidR="00AE5BED">
        <w:rPr>
          <w:sz w:val="24"/>
          <w:szCs w:val="24"/>
        </w:rPr>
        <w:t xml:space="preserve"> postponement applications,</w:t>
      </w:r>
      <w:r w:rsidR="00403094" w:rsidRPr="004E6E32">
        <w:rPr>
          <w:sz w:val="24"/>
          <w:szCs w:val="24"/>
        </w:rPr>
        <w:t xml:space="preserve"> intervention applications, applications </w:t>
      </w:r>
      <w:r w:rsidR="000363D7" w:rsidRPr="004E6E32">
        <w:rPr>
          <w:sz w:val="24"/>
          <w:szCs w:val="24"/>
        </w:rPr>
        <w:t>to</w:t>
      </w:r>
      <w:r w:rsidR="00403094" w:rsidRPr="004E6E32">
        <w:rPr>
          <w:sz w:val="24"/>
          <w:szCs w:val="24"/>
        </w:rPr>
        <w:t xml:space="preserve"> strike out</w:t>
      </w:r>
      <w:r w:rsidR="00AE5BED">
        <w:rPr>
          <w:sz w:val="24"/>
          <w:szCs w:val="24"/>
        </w:rPr>
        <w:t xml:space="preserve"> and</w:t>
      </w:r>
      <w:r w:rsidR="00403094" w:rsidRPr="004E6E32">
        <w:rPr>
          <w:sz w:val="24"/>
          <w:szCs w:val="24"/>
        </w:rPr>
        <w:t xml:space="preserve"> applications for the stay of </w:t>
      </w:r>
      <w:r w:rsidR="000363D7" w:rsidRPr="004E6E32">
        <w:rPr>
          <w:sz w:val="24"/>
          <w:szCs w:val="24"/>
        </w:rPr>
        <w:t>the declaratory proceedings</w:t>
      </w:r>
      <w:r w:rsidR="00AE5BED">
        <w:rPr>
          <w:sz w:val="24"/>
          <w:szCs w:val="24"/>
        </w:rPr>
        <w:t xml:space="preserve"> pending other proceedings</w:t>
      </w:r>
      <w:r w:rsidR="00905721">
        <w:rPr>
          <w:sz w:val="24"/>
          <w:szCs w:val="24"/>
        </w:rPr>
        <w:t xml:space="preserve"> </w:t>
      </w:r>
      <w:r w:rsidR="00403094" w:rsidRPr="004E6E32">
        <w:rPr>
          <w:sz w:val="24"/>
          <w:szCs w:val="24"/>
        </w:rPr>
        <w:t>were launched by various parties.</w:t>
      </w:r>
      <w:r w:rsidR="00AE5BED">
        <w:rPr>
          <w:sz w:val="24"/>
          <w:szCs w:val="24"/>
        </w:rPr>
        <w:t xml:space="preserve"> At the time of the final hearing of the matter the record consisted of more than </w:t>
      </w:r>
      <w:r w:rsidR="003B0863">
        <w:rPr>
          <w:sz w:val="24"/>
          <w:szCs w:val="24"/>
        </w:rPr>
        <w:t>7</w:t>
      </w:r>
      <w:r w:rsidR="00AE5BED">
        <w:rPr>
          <w:sz w:val="24"/>
          <w:szCs w:val="24"/>
        </w:rPr>
        <w:t>000 pages. M</w:t>
      </w:r>
      <w:r w:rsidR="00403094" w:rsidRPr="004E6E32">
        <w:rPr>
          <w:sz w:val="24"/>
          <w:szCs w:val="24"/>
        </w:rPr>
        <w:t>ost applications were either settled or withdrawn</w:t>
      </w:r>
      <w:r w:rsidR="00310335" w:rsidRPr="004E6E32">
        <w:rPr>
          <w:sz w:val="24"/>
          <w:szCs w:val="24"/>
        </w:rPr>
        <w:t>.</w:t>
      </w:r>
      <w:r w:rsidR="00B360CF">
        <w:rPr>
          <w:rStyle w:val="FootnoteReference"/>
          <w:sz w:val="24"/>
          <w:szCs w:val="24"/>
        </w:rPr>
        <w:footnoteReference w:id="4"/>
      </w:r>
      <w:r w:rsidR="00403094" w:rsidRPr="004E6E32">
        <w:rPr>
          <w:sz w:val="24"/>
          <w:szCs w:val="24"/>
        </w:rPr>
        <w:t xml:space="preserve">  The applications for condonation for the late filing of affidavits and the filing of further affidavits</w:t>
      </w:r>
      <w:r w:rsidR="004E0F3F" w:rsidRPr="004E6E32">
        <w:rPr>
          <w:sz w:val="24"/>
          <w:szCs w:val="24"/>
        </w:rPr>
        <w:t xml:space="preserve"> were no</w:t>
      </w:r>
      <w:r w:rsidR="0098643A" w:rsidRPr="004E6E32">
        <w:rPr>
          <w:sz w:val="24"/>
          <w:szCs w:val="24"/>
        </w:rPr>
        <w:t>t</w:t>
      </w:r>
      <w:r w:rsidR="004E0F3F" w:rsidRPr="004E6E32">
        <w:rPr>
          <w:sz w:val="24"/>
          <w:szCs w:val="24"/>
        </w:rPr>
        <w:t xml:space="preserve"> opposed and w</w:t>
      </w:r>
      <w:r w:rsidR="00905721">
        <w:rPr>
          <w:sz w:val="24"/>
          <w:szCs w:val="24"/>
        </w:rPr>
        <w:t>ere</w:t>
      </w:r>
      <w:r w:rsidR="004E0F3F" w:rsidRPr="004E6E32">
        <w:rPr>
          <w:sz w:val="24"/>
          <w:szCs w:val="24"/>
        </w:rPr>
        <w:t xml:space="preserve"> </w:t>
      </w:r>
      <w:r w:rsidR="003B0863">
        <w:rPr>
          <w:sz w:val="24"/>
          <w:szCs w:val="24"/>
        </w:rPr>
        <w:t>granted</w:t>
      </w:r>
      <w:r w:rsidR="000363D7" w:rsidRPr="004E6E32">
        <w:rPr>
          <w:sz w:val="24"/>
          <w:szCs w:val="24"/>
        </w:rPr>
        <w:t>. W</w:t>
      </w:r>
      <w:r w:rsidR="004E0F3F" w:rsidRPr="004E6E32">
        <w:rPr>
          <w:sz w:val="24"/>
          <w:szCs w:val="24"/>
        </w:rPr>
        <w:t xml:space="preserve">hat </w:t>
      </w:r>
      <w:r w:rsidR="00403094" w:rsidRPr="004E6E32">
        <w:rPr>
          <w:sz w:val="24"/>
          <w:szCs w:val="24"/>
        </w:rPr>
        <w:t xml:space="preserve">ultimately </w:t>
      </w:r>
      <w:r w:rsidR="00403094" w:rsidRPr="004E6E32">
        <w:rPr>
          <w:sz w:val="24"/>
          <w:szCs w:val="24"/>
        </w:rPr>
        <w:lastRenderedPageBreak/>
        <w:t>remained for d</w:t>
      </w:r>
      <w:r w:rsidR="0098643A" w:rsidRPr="004E6E32">
        <w:rPr>
          <w:sz w:val="24"/>
          <w:szCs w:val="24"/>
        </w:rPr>
        <w:t>etermination</w:t>
      </w:r>
      <w:r w:rsidR="00403094" w:rsidRPr="004E6E32">
        <w:rPr>
          <w:sz w:val="24"/>
          <w:szCs w:val="24"/>
        </w:rPr>
        <w:t xml:space="preserve"> was the relief claimed by the applicants</w:t>
      </w:r>
      <w:r w:rsidR="00AE5BED">
        <w:rPr>
          <w:sz w:val="24"/>
          <w:szCs w:val="24"/>
        </w:rPr>
        <w:t xml:space="preserve"> in the main application</w:t>
      </w:r>
      <w:r w:rsidR="0098643A" w:rsidRPr="004E6E32">
        <w:rPr>
          <w:sz w:val="24"/>
          <w:szCs w:val="24"/>
        </w:rPr>
        <w:t>, the counter</w:t>
      </w:r>
      <w:r w:rsidR="00DA6117" w:rsidRPr="004E6E32">
        <w:rPr>
          <w:sz w:val="24"/>
          <w:szCs w:val="24"/>
        </w:rPr>
        <w:t>-</w:t>
      </w:r>
      <w:r w:rsidR="0098643A" w:rsidRPr="004E6E32">
        <w:rPr>
          <w:sz w:val="24"/>
          <w:szCs w:val="24"/>
        </w:rPr>
        <w:t>application filed by second respondent (“Marks”) and the applica</w:t>
      </w:r>
      <w:r w:rsidR="000363D7" w:rsidRPr="004E6E32">
        <w:rPr>
          <w:sz w:val="24"/>
          <w:szCs w:val="24"/>
        </w:rPr>
        <w:t xml:space="preserve">tion </w:t>
      </w:r>
      <w:r w:rsidR="0098643A" w:rsidRPr="004E6E32">
        <w:rPr>
          <w:sz w:val="24"/>
          <w:szCs w:val="24"/>
        </w:rPr>
        <w:t xml:space="preserve">by third respondent </w:t>
      </w:r>
      <w:r w:rsidR="000363D7" w:rsidRPr="004E6E32">
        <w:rPr>
          <w:sz w:val="24"/>
          <w:szCs w:val="24"/>
        </w:rPr>
        <w:t>(“Honiball”)</w:t>
      </w:r>
      <w:r w:rsidR="00675BF1">
        <w:rPr>
          <w:sz w:val="24"/>
          <w:szCs w:val="24"/>
        </w:rPr>
        <w:t>, supported by Marks,</w:t>
      </w:r>
      <w:r w:rsidR="000363D7" w:rsidRPr="004E6E32">
        <w:rPr>
          <w:sz w:val="24"/>
          <w:szCs w:val="24"/>
        </w:rPr>
        <w:t xml:space="preserve"> </w:t>
      </w:r>
      <w:r w:rsidR="0098643A" w:rsidRPr="004E6E32">
        <w:rPr>
          <w:sz w:val="24"/>
          <w:szCs w:val="24"/>
        </w:rPr>
        <w:t xml:space="preserve">that certain disputes of fact </w:t>
      </w:r>
      <w:r w:rsidR="000363D7" w:rsidRPr="004E6E32">
        <w:rPr>
          <w:sz w:val="24"/>
          <w:szCs w:val="24"/>
        </w:rPr>
        <w:t>be</w:t>
      </w:r>
      <w:r w:rsidR="0098643A" w:rsidRPr="004E6E32">
        <w:rPr>
          <w:sz w:val="24"/>
          <w:szCs w:val="24"/>
        </w:rPr>
        <w:t xml:space="preserve"> referred </w:t>
      </w:r>
      <w:r w:rsidR="000363D7" w:rsidRPr="004E6E32">
        <w:rPr>
          <w:sz w:val="24"/>
          <w:szCs w:val="24"/>
        </w:rPr>
        <w:t>t</w:t>
      </w:r>
      <w:r w:rsidR="0098643A" w:rsidRPr="004E6E32">
        <w:rPr>
          <w:sz w:val="24"/>
          <w:szCs w:val="24"/>
        </w:rPr>
        <w:t xml:space="preserve">o oral </w:t>
      </w:r>
      <w:r w:rsidR="00D93E18" w:rsidRPr="004E6E32">
        <w:rPr>
          <w:sz w:val="24"/>
          <w:szCs w:val="24"/>
        </w:rPr>
        <w:t>evidence</w:t>
      </w:r>
      <w:r w:rsidR="00D93E18" w:rsidRPr="00905721">
        <w:rPr>
          <w:sz w:val="24"/>
          <w:szCs w:val="24"/>
        </w:rPr>
        <w:t xml:space="preserve">. </w:t>
      </w:r>
      <w:r w:rsidR="000363D7" w:rsidRPr="00905721">
        <w:rPr>
          <w:sz w:val="24"/>
          <w:szCs w:val="24"/>
        </w:rPr>
        <w:t>At the final hearing of the applications, the respondents requested that the main application be referred to trial should it not be dismissed.</w:t>
      </w:r>
    </w:p>
    <w:p w14:paraId="63FE03F3" w14:textId="2EFF3B22" w:rsidR="00040C7A" w:rsidRPr="002536C5" w:rsidRDefault="0029753D" w:rsidP="0009179B">
      <w:pPr>
        <w:pStyle w:val="BodyText3"/>
        <w:spacing w:after="240" w:line="480" w:lineRule="auto"/>
        <w:rPr>
          <w:i/>
          <w:iCs/>
          <w:sz w:val="24"/>
          <w:szCs w:val="24"/>
          <w:u w:val="single"/>
        </w:rPr>
      </w:pPr>
      <w:r>
        <w:rPr>
          <w:i/>
          <w:iCs/>
          <w:sz w:val="24"/>
          <w:szCs w:val="24"/>
          <w:u w:val="single"/>
        </w:rPr>
        <w:t>Relevant g</w:t>
      </w:r>
      <w:r w:rsidR="00137899" w:rsidRPr="002536C5">
        <w:rPr>
          <w:i/>
          <w:iCs/>
          <w:sz w:val="24"/>
          <w:szCs w:val="24"/>
          <w:u w:val="single"/>
        </w:rPr>
        <w:t>eneral b</w:t>
      </w:r>
      <w:r w:rsidR="00040C7A" w:rsidRPr="002536C5">
        <w:rPr>
          <w:i/>
          <w:iCs/>
          <w:sz w:val="24"/>
          <w:szCs w:val="24"/>
          <w:u w:val="single"/>
        </w:rPr>
        <w:t>ackground</w:t>
      </w:r>
      <w:r w:rsidR="005D01A5" w:rsidRPr="002536C5">
        <w:rPr>
          <w:i/>
          <w:iCs/>
          <w:sz w:val="24"/>
          <w:szCs w:val="24"/>
          <w:u w:val="single"/>
        </w:rPr>
        <w:t>:</w:t>
      </w:r>
    </w:p>
    <w:p w14:paraId="11EE86C0" w14:textId="1E6FB8BB" w:rsidR="00EA5AC0" w:rsidRPr="00EA5AC0" w:rsidRDefault="00560794" w:rsidP="00560794">
      <w:pPr>
        <w:pStyle w:val="BodyText3"/>
        <w:spacing w:after="240" w:line="480" w:lineRule="auto"/>
        <w:rPr>
          <w:sz w:val="24"/>
          <w:szCs w:val="24"/>
        </w:rPr>
      </w:pPr>
      <w:r w:rsidRPr="00EA5AC0">
        <w:rPr>
          <w:sz w:val="22"/>
          <w:szCs w:val="22"/>
        </w:rPr>
        <w:t>[4]</w:t>
      </w:r>
      <w:r w:rsidRPr="00EA5AC0">
        <w:rPr>
          <w:sz w:val="22"/>
          <w:szCs w:val="22"/>
        </w:rPr>
        <w:tab/>
      </w:r>
      <w:r w:rsidR="00040C7A">
        <w:rPr>
          <w:sz w:val="24"/>
          <w:szCs w:val="24"/>
        </w:rPr>
        <w:t>A creditor and investor of MTI, Mr Lee</w:t>
      </w:r>
      <w:r w:rsidR="005D01A5">
        <w:rPr>
          <w:sz w:val="24"/>
          <w:szCs w:val="24"/>
        </w:rPr>
        <w:t xml:space="preserve"> (he subsequently </w:t>
      </w:r>
      <w:r w:rsidR="00852CF5">
        <w:rPr>
          <w:sz w:val="24"/>
          <w:szCs w:val="24"/>
        </w:rPr>
        <w:t xml:space="preserve">joined in </w:t>
      </w:r>
      <w:r w:rsidR="00DF05C0">
        <w:rPr>
          <w:sz w:val="24"/>
          <w:szCs w:val="24"/>
        </w:rPr>
        <w:t>this application</w:t>
      </w:r>
      <w:r w:rsidR="00852CF5">
        <w:rPr>
          <w:sz w:val="24"/>
          <w:szCs w:val="24"/>
        </w:rPr>
        <w:t xml:space="preserve"> </w:t>
      </w:r>
      <w:r w:rsidR="003539ED">
        <w:rPr>
          <w:sz w:val="24"/>
          <w:szCs w:val="24"/>
        </w:rPr>
        <w:t xml:space="preserve">as an opposing party even though part of </w:t>
      </w:r>
      <w:r w:rsidR="00852CF5">
        <w:rPr>
          <w:sz w:val="24"/>
          <w:szCs w:val="24"/>
        </w:rPr>
        <w:t>the fifth respondent)</w:t>
      </w:r>
      <w:r w:rsidR="00040C7A">
        <w:rPr>
          <w:sz w:val="24"/>
          <w:szCs w:val="24"/>
        </w:rPr>
        <w:t>, launched an urgent application</w:t>
      </w:r>
      <w:r w:rsidR="002B3A81">
        <w:rPr>
          <w:sz w:val="24"/>
          <w:szCs w:val="24"/>
        </w:rPr>
        <w:t xml:space="preserve"> </w:t>
      </w:r>
      <w:r w:rsidR="00040C7A">
        <w:rPr>
          <w:sz w:val="24"/>
          <w:szCs w:val="24"/>
        </w:rPr>
        <w:t>for the liquidat</w:t>
      </w:r>
      <w:r w:rsidR="000C3A12">
        <w:rPr>
          <w:sz w:val="24"/>
          <w:szCs w:val="24"/>
        </w:rPr>
        <w:t xml:space="preserve">ion </w:t>
      </w:r>
      <w:r w:rsidR="00040C7A">
        <w:rPr>
          <w:sz w:val="24"/>
          <w:szCs w:val="24"/>
        </w:rPr>
        <w:t>of MTI during December 202</w:t>
      </w:r>
      <w:r w:rsidR="00AA29F5">
        <w:rPr>
          <w:sz w:val="24"/>
          <w:szCs w:val="24"/>
        </w:rPr>
        <w:t>0</w:t>
      </w:r>
      <w:r w:rsidR="00040C7A">
        <w:rPr>
          <w:sz w:val="24"/>
          <w:szCs w:val="24"/>
        </w:rPr>
        <w:t xml:space="preserve"> and a provisional winding-up order was granted on </w:t>
      </w:r>
      <w:r w:rsidR="00EA5AC0" w:rsidRPr="00EA5AC0">
        <w:rPr>
          <w:sz w:val="24"/>
          <w:szCs w:val="24"/>
        </w:rPr>
        <w:t>29 December 2020</w:t>
      </w:r>
      <w:r w:rsidR="00EA5AC0">
        <w:rPr>
          <w:sz w:val="24"/>
          <w:szCs w:val="24"/>
        </w:rPr>
        <w:t xml:space="preserve"> by Rogers J in the fast lane</w:t>
      </w:r>
      <w:r w:rsidR="002B3A81">
        <w:rPr>
          <w:sz w:val="24"/>
          <w:szCs w:val="24"/>
        </w:rPr>
        <w:t xml:space="preserve"> </w:t>
      </w:r>
      <w:r w:rsidR="00EA5AC0">
        <w:rPr>
          <w:sz w:val="24"/>
          <w:szCs w:val="24"/>
        </w:rPr>
        <w:t>under case number 19201/2020</w:t>
      </w:r>
      <w:r w:rsidR="00EA5AC0" w:rsidRPr="00EA5AC0">
        <w:rPr>
          <w:sz w:val="24"/>
          <w:szCs w:val="24"/>
        </w:rPr>
        <w:t>.</w:t>
      </w:r>
      <w:r w:rsidR="00EA5AC0">
        <w:rPr>
          <w:sz w:val="24"/>
          <w:szCs w:val="24"/>
        </w:rPr>
        <w:t xml:space="preserve"> Pursuant to the provisional order the</w:t>
      </w:r>
      <w:r w:rsidR="002B3A81">
        <w:rPr>
          <w:sz w:val="24"/>
          <w:szCs w:val="24"/>
        </w:rPr>
        <w:t xml:space="preserve"> </w:t>
      </w:r>
      <w:r w:rsidR="00EA5AC0">
        <w:rPr>
          <w:sz w:val="24"/>
          <w:szCs w:val="24"/>
        </w:rPr>
        <w:t xml:space="preserve">applicants </w:t>
      </w:r>
      <w:r w:rsidR="003755E1">
        <w:rPr>
          <w:sz w:val="24"/>
          <w:szCs w:val="24"/>
        </w:rPr>
        <w:t>(</w:t>
      </w:r>
      <w:r w:rsidR="00231F3C" w:rsidRPr="003755E1">
        <w:rPr>
          <w:sz w:val="24"/>
          <w:szCs w:val="24"/>
        </w:rPr>
        <w:t>save for the sixth applicant</w:t>
      </w:r>
      <w:r w:rsidR="003755E1" w:rsidRPr="003755E1">
        <w:rPr>
          <w:sz w:val="24"/>
          <w:szCs w:val="24"/>
        </w:rPr>
        <w:t>)</w:t>
      </w:r>
      <w:r w:rsidR="00231F3C">
        <w:rPr>
          <w:sz w:val="24"/>
          <w:szCs w:val="24"/>
        </w:rPr>
        <w:t xml:space="preserve"> </w:t>
      </w:r>
      <w:r w:rsidR="00EA5AC0">
        <w:rPr>
          <w:sz w:val="24"/>
          <w:szCs w:val="24"/>
        </w:rPr>
        <w:t xml:space="preserve">were appointed as the provisional liquidators of MTI. </w:t>
      </w:r>
      <w:r w:rsidR="00EA5AC0" w:rsidRPr="00EA5AC0">
        <w:rPr>
          <w:sz w:val="24"/>
          <w:szCs w:val="24"/>
        </w:rPr>
        <w:t xml:space="preserve"> </w:t>
      </w:r>
    </w:p>
    <w:p w14:paraId="185AE09A" w14:textId="3AB3CA96" w:rsidR="00BD3F5D" w:rsidRDefault="00560794" w:rsidP="00560794">
      <w:pPr>
        <w:pStyle w:val="BodyText3"/>
        <w:spacing w:after="240" w:line="480" w:lineRule="auto"/>
        <w:rPr>
          <w:sz w:val="24"/>
          <w:szCs w:val="24"/>
        </w:rPr>
      </w:pPr>
      <w:r>
        <w:rPr>
          <w:sz w:val="22"/>
          <w:szCs w:val="22"/>
        </w:rPr>
        <w:t>[5]</w:t>
      </w:r>
      <w:r>
        <w:rPr>
          <w:sz w:val="22"/>
          <w:szCs w:val="22"/>
        </w:rPr>
        <w:tab/>
      </w:r>
      <w:r w:rsidR="00EA5AC0" w:rsidRPr="00EA5AC0">
        <w:rPr>
          <w:sz w:val="24"/>
          <w:szCs w:val="24"/>
        </w:rPr>
        <w:t xml:space="preserve">On 26 February 2021 Selzar Law, ostensibly on </w:t>
      </w:r>
      <w:r w:rsidR="00980885">
        <w:rPr>
          <w:sz w:val="24"/>
          <w:szCs w:val="24"/>
        </w:rPr>
        <w:t xml:space="preserve">behalf of </w:t>
      </w:r>
      <w:r w:rsidR="00EA5AC0" w:rsidRPr="00EA5AC0">
        <w:rPr>
          <w:sz w:val="24"/>
          <w:szCs w:val="24"/>
        </w:rPr>
        <w:t>MTI, filed a notice</w:t>
      </w:r>
      <w:r w:rsidR="002B3A81">
        <w:rPr>
          <w:sz w:val="24"/>
          <w:szCs w:val="24"/>
        </w:rPr>
        <w:t xml:space="preserve"> </w:t>
      </w:r>
      <w:r w:rsidR="00EA5AC0" w:rsidRPr="00EA5AC0">
        <w:rPr>
          <w:sz w:val="24"/>
          <w:szCs w:val="24"/>
        </w:rPr>
        <w:t xml:space="preserve">of intention to oppose. </w:t>
      </w:r>
      <w:r w:rsidR="008A198C">
        <w:rPr>
          <w:sz w:val="24"/>
          <w:szCs w:val="24"/>
        </w:rPr>
        <w:t>Mr Lee</w:t>
      </w:r>
      <w:r w:rsidR="00EA5AC0" w:rsidRPr="00EA5AC0">
        <w:rPr>
          <w:sz w:val="24"/>
          <w:szCs w:val="24"/>
        </w:rPr>
        <w:t>, not surprisingly, filed a notice in terms</w:t>
      </w:r>
      <w:r w:rsidR="002B3A81">
        <w:rPr>
          <w:sz w:val="24"/>
          <w:szCs w:val="24"/>
        </w:rPr>
        <w:t xml:space="preserve"> </w:t>
      </w:r>
      <w:r w:rsidR="00EA5AC0" w:rsidRPr="00EA5AC0">
        <w:rPr>
          <w:sz w:val="24"/>
          <w:szCs w:val="24"/>
        </w:rPr>
        <w:t xml:space="preserve">of rule 7(1) </w:t>
      </w:r>
      <w:r w:rsidR="00040C7A">
        <w:rPr>
          <w:sz w:val="24"/>
          <w:szCs w:val="24"/>
        </w:rPr>
        <w:t xml:space="preserve">of the Uniform Rules of </w:t>
      </w:r>
      <w:r w:rsidR="00AE5BED">
        <w:rPr>
          <w:sz w:val="24"/>
          <w:szCs w:val="24"/>
        </w:rPr>
        <w:t>C</w:t>
      </w:r>
      <w:r w:rsidR="00040C7A">
        <w:rPr>
          <w:sz w:val="24"/>
          <w:szCs w:val="24"/>
        </w:rPr>
        <w:t xml:space="preserve">ourt, </w:t>
      </w:r>
      <w:r w:rsidR="00EA5AC0" w:rsidRPr="00EA5AC0">
        <w:rPr>
          <w:sz w:val="24"/>
          <w:szCs w:val="24"/>
        </w:rPr>
        <w:t>calling upon Selzar Law to provide copies</w:t>
      </w:r>
      <w:r w:rsidR="002B3A81">
        <w:rPr>
          <w:sz w:val="24"/>
          <w:szCs w:val="24"/>
        </w:rPr>
        <w:t xml:space="preserve"> </w:t>
      </w:r>
      <w:r w:rsidR="00EA5AC0" w:rsidRPr="00EA5AC0">
        <w:rPr>
          <w:sz w:val="24"/>
          <w:szCs w:val="24"/>
        </w:rPr>
        <w:t xml:space="preserve">of the power of attorney and resolutions </w:t>
      </w:r>
      <w:r w:rsidR="008A198C">
        <w:rPr>
          <w:sz w:val="24"/>
          <w:szCs w:val="24"/>
        </w:rPr>
        <w:t>adopted</w:t>
      </w:r>
      <w:r w:rsidR="00EA5AC0" w:rsidRPr="00EA5AC0">
        <w:rPr>
          <w:sz w:val="24"/>
          <w:szCs w:val="24"/>
        </w:rPr>
        <w:t xml:space="preserve"> by MTI authorising them to oppose the application on behalf of MTI. In response to this </w:t>
      </w:r>
      <w:r w:rsidR="00EA5AC0">
        <w:rPr>
          <w:sz w:val="24"/>
          <w:szCs w:val="24"/>
        </w:rPr>
        <w:t>n</w:t>
      </w:r>
      <w:r w:rsidR="00EA5AC0" w:rsidRPr="00EA5AC0">
        <w:rPr>
          <w:sz w:val="24"/>
          <w:szCs w:val="24"/>
        </w:rPr>
        <w:t>otice</w:t>
      </w:r>
      <w:r w:rsidR="00040C7A">
        <w:rPr>
          <w:sz w:val="24"/>
          <w:szCs w:val="24"/>
        </w:rPr>
        <w:t xml:space="preserve">, </w:t>
      </w:r>
      <w:r w:rsidR="00EA5AC0" w:rsidRPr="00EA5AC0">
        <w:rPr>
          <w:sz w:val="24"/>
          <w:szCs w:val="24"/>
        </w:rPr>
        <w:t xml:space="preserve">a </w:t>
      </w:r>
      <w:r w:rsidR="00F21212">
        <w:rPr>
          <w:sz w:val="24"/>
          <w:szCs w:val="24"/>
        </w:rPr>
        <w:t>r</w:t>
      </w:r>
      <w:r w:rsidR="00EA5AC0" w:rsidRPr="00EA5AC0">
        <w:rPr>
          <w:sz w:val="24"/>
          <w:szCs w:val="24"/>
        </w:rPr>
        <w:t xml:space="preserve">esolution and a </w:t>
      </w:r>
      <w:r w:rsidR="00F21212">
        <w:rPr>
          <w:sz w:val="24"/>
          <w:szCs w:val="24"/>
        </w:rPr>
        <w:t>p</w:t>
      </w:r>
      <w:r w:rsidR="00EA5AC0" w:rsidRPr="00EA5AC0">
        <w:rPr>
          <w:sz w:val="24"/>
          <w:szCs w:val="24"/>
        </w:rPr>
        <w:t xml:space="preserve">ower of </w:t>
      </w:r>
      <w:r w:rsidR="00F21212">
        <w:rPr>
          <w:sz w:val="24"/>
          <w:szCs w:val="24"/>
        </w:rPr>
        <w:t>a</w:t>
      </w:r>
      <w:r w:rsidR="00EA5AC0" w:rsidRPr="00EA5AC0">
        <w:rPr>
          <w:sz w:val="24"/>
          <w:szCs w:val="24"/>
        </w:rPr>
        <w:t>ttorney</w:t>
      </w:r>
      <w:r w:rsidR="00A53282">
        <w:rPr>
          <w:sz w:val="24"/>
          <w:szCs w:val="24"/>
        </w:rPr>
        <w:t xml:space="preserve"> </w:t>
      </w:r>
      <w:r w:rsidR="00EA5AC0" w:rsidRPr="00EA5AC0">
        <w:rPr>
          <w:sz w:val="24"/>
          <w:szCs w:val="24"/>
        </w:rPr>
        <w:t>dated 26 February 2021</w:t>
      </w:r>
      <w:r w:rsidR="00A53282">
        <w:rPr>
          <w:sz w:val="24"/>
          <w:szCs w:val="24"/>
        </w:rPr>
        <w:t xml:space="preserve"> </w:t>
      </w:r>
      <w:r w:rsidR="00040C7A">
        <w:rPr>
          <w:sz w:val="24"/>
          <w:szCs w:val="24"/>
        </w:rPr>
        <w:t>w</w:t>
      </w:r>
      <w:r w:rsidR="00134670">
        <w:rPr>
          <w:sz w:val="24"/>
          <w:szCs w:val="24"/>
        </w:rPr>
        <w:t>ere</w:t>
      </w:r>
      <w:r w:rsidR="00040C7A">
        <w:rPr>
          <w:sz w:val="24"/>
          <w:szCs w:val="24"/>
        </w:rPr>
        <w:t xml:space="preserve"> filed wherefrom </w:t>
      </w:r>
      <w:r w:rsidR="00A53282">
        <w:rPr>
          <w:sz w:val="24"/>
          <w:szCs w:val="24"/>
        </w:rPr>
        <w:t>it appeared that</w:t>
      </w:r>
      <w:r w:rsidR="007711F0">
        <w:rPr>
          <w:sz w:val="24"/>
          <w:szCs w:val="24"/>
        </w:rPr>
        <w:t xml:space="preserve"> Marks</w:t>
      </w:r>
      <w:r w:rsidR="000363D7">
        <w:rPr>
          <w:sz w:val="24"/>
          <w:szCs w:val="24"/>
        </w:rPr>
        <w:t>,</w:t>
      </w:r>
      <w:r w:rsidR="00040C7A">
        <w:rPr>
          <w:sz w:val="24"/>
          <w:szCs w:val="24"/>
        </w:rPr>
        <w:t xml:space="preserve"> </w:t>
      </w:r>
      <w:r w:rsidR="00F21212">
        <w:rPr>
          <w:sz w:val="24"/>
          <w:szCs w:val="24"/>
        </w:rPr>
        <w:t>claim</w:t>
      </w:r>
      <w:r w:rsidR="00980885">
        <w:rPr>
          <w:sz w:val="24"/>
          <w:szCs w:val="24"/>
        </w:rPr>
        <w:t xml:space="preserve">ing </w:t>
      </w:r>
      <w:r w:rsidR="00F21212">
        <w:rPr>
          <w:sz w:val="24"/>
          <w:szCs w:val="24"/>
        </w:rPr>
        <w:t>to</w:t>
      </w:r>
      <w:r w:rsidR="007711F0">
        <w:rPr>
          <w:sz w:val="24"/>
          <w:szCs w:val="24"/>
        </w:rPr>
        <w:t xml:space="preserve"> </w:t>
      </w:r>
      <w:r w:rsidR="00F21212">
        <w:rPr>
          <w:sz w:val="24"/>
          <w:szCs w:val="24"/>
        </w:rPr>
        <w:t xml:space="preserve">be a </w:t>
      </w:r>
      <w:r w:rsidR="00EA5AC0" w:rsidRPr="00EA5AC0">
        <w:rPr>
          <w:sz w:val="24"/>
          <w:szCs w:val="24"/>
        </w:rPr>
        <w:t xml:space="preserve">50% shareholder of </w:t>
      </w:r>
      <w:r w:rsidR="00F21212">
        <w:rPr>
          <w:sz w:val="24"/>
          <w:szCs w:val="24"/>
        </w:rPr>
        <w:t xml:space="preserve">MTI, had </w:t>
      </w:r>
      <w:r w:rsidR="00EA5AC0" w:rsidRPr="00EA5AC0">
        <w:rPr>
          <w:sz w:val="24"/>
          <w:szCs w:val="24"/>
        </w:rPr>
        <w:t>called a meeting of shareholders, which</w:t>
      </w:r>
      <w:r w:rsidR="002B3A81">
        <w:rPr>
          <w:sz w:val="24"/>
          <w:szCs w:val="24"/>
        </w:rPr>
        <w:t xml:space="preserve"> </w:t>
      </w:r>
      <w:r w:rsidR="00EA5AC0" w:rsidRPr="00EA5AC0">
        <w:rPr>
          <w:sz w:val="24"/>
          <w:szCs w:val="24"/>
        </w:rPr>
        <w:t>only he attended</w:t>
      </w:r>
      <w:r w:rsidR="00F21212">
        <w:rPr>
          <w:sz w:val="24"/>
          <w:szCs w:val="24"/>
        </w:rPr>
        <w:t>,</w:t>
      </w:r>
      <w:r w:rsidR="00EA5AC0" w:rsidRPr="00EA5AC0">
        <w:rPr>
          <w:sz w:val="24"/>
          <w:szCs w:val="24"/>
        </w:rPr>
        <w:t xml:space="preserve"> as Mr Steynberg</w:t>
      </w:r>
      <w:r w:rsidR="00513D9E">
        <w:rPr>
          <w:sz w:val="24"/>
          <w:szCs w:val="24"/>
        </w:rPr>
        <w:t xml:space="preserve"> (“Steynberg”)</w:t>
      </w:r>
      <w:r w:rsidR="00F21212">
        <w:rPr>
          <w:sz w:val="24"/>
          <w:szCs w:val="24"/>
        </w:rPr>
        <w:t xml:space="preserve">, the other shareholder of MTI, </w:t>
      </w:r>
      <w:r w:rsidR="00EA5AC0" w:rsidRPr="00EA5AC0">
        <w:rPr>
          <w:sz w:val="24"/>
          <w:szCs w:val="24"/>
        </w:rPr>
        <w:t>had</w:t>
      </w:r>
      <w:r w:rsidR="002C42E9">
        <w:rPr>
          <w:sz w:val="24"/>
          <w:szCs w:val="24"/>
        </w:rPr>
        <w:t xml:space="preserve"> </w:t>
      </w:r>
      <w:r w:rsidR="00EA5AC0" w:rsidRPr="00EA5AC0">
        <w:rPr>
          <w:sz w:val="24"/>
          <w:szCs w:val="24"/>
        </w:rPr>
        <w:t>disappeared</w:t>
      </w:r>
      <w:r w:rsidR="00A53282">
        <w:rPr>
          <w:sz w:val="24"/>
          <w:szCs w:val="24"/>
        </w:rPr>
        <w:t xml:space="preserve"> and </w:t>
      </w:r>
      <w:r w:rsidR="00040C7A">
        <w:rPr>
          <w:sz w:val="24"/>
          <w:szCs w:val="24"/>
        </w:rPr>
        <w:t xml:space="preserve">could not be located. I will return to Steynberg later. </w:t>
      </w:r>
      <w:r w:rsidR="00F21212">
        <w:rPr>
          <w:sz w:val="24"/>
          <w:szCs w:val="24"/>
        </w:rPr>
        <w:t xml:space="preserve">At this meeting </w:t>
      </w:r>
      <w:r w:rsidR="00A53282">
        <w:rPr>
          <w:sz w:val="24"/>
          <w:szCs w:val="24"/>
        </w:rPr>
        <w:t xml:space="preserve">Marks </w:t>
      </w:r>
      <w:r w:rsidR="00F21212">
        <w:rPr>
          <w:sz w:val="24"/>
          <w:szCs w:val="24"/>
        </w:rPr>
        <w:t xml:space="preserve">resolved to </w:t>
      </w:r>
      <w:r w:rsidR="00EA5AC0" w:rsidRPr="00EA5AC0">
        <w:rPr>
          <w:sz w:val="24"/>
          <w:szCs w:val="24"/>
        </w:rPr>
        <w:t>appoint himself to act as a director of</w:t>
      </w:r>
      <w:r w:rsidR="007711F0">
        <w:rPr>
          <w:sz w:val="24"/>
          <w:szCs w:val="24"/>
        </w:rPr>
        <w:t xml:space="preserve"> </w:t>
      </w:r>
      <w:r w:rsidR="00F21212">
        <w:rPr>
          <w:sz w:val="24"/>
          <w:szCs w:val="24"/>
        </w:rPr>
        <w:t xml:space="preserve">MTI </w:t>
      </w:r>
      <w:r w:rsidR="00980885" w:rsidRPr="00EA5AC0">
        <w:rPr>
          <w:sz w:val="24"/>
          <w:szCs w:val="24"/>
        </w:rPr>
        <w:t>to</w:t>
      </w:r>
      <w:r w:rsidR="00EA5AC0" w:rsidRPr="00EA5AC0">
        <w:rPr>
          <w:sz w:val="24"/>
          <w:szCs w:val="24"/>
        </w:rPr>
        <w:t xml:space="preserve"> </w:t>
      </w:r>
      <w:r w:rsidR="00EA5AC0" w:rsidRPr="00EA5AC0">
        <w:rPr>
          <w:i/>
          <w:sz w:val="24"/>
          <w:szCs w:val="24"/>
        </w:rPr>
        <w:t>inter alia</w:t>
      </w:r>
      <w:r w:rsidR="00EA5AC0" w:rsidRPr="00EA5AC0">
        <w:rPr>
          <w:sz w:val="24"/>
          <w:szCs w:val="24"/>
        </w:rPr>
        <w:t xml:space="preserve"> oppose </w:t>
      </w:r>
      <w:r w:rsidR="00F21212">
        <w:rPr>
          <w:sz w:val="24"/>
          <w:szCs w:val="24"/>
        </w:rPr>
        <w:t xml:space="preserve">the liquidation </w:t>
      </w:r>
      <w:r w:rsidR="00EA5AC0" w:rsidRPr="00EA5AC0">
        <w:rPr>
          <w:sz w:val="24"/>
          <w:szCs w:val="24"/>
        </w:rPr>
        <w:t>application.</w:t>
      </w:r>
    </w:p>
    <w:p w14:paraId="127041A4" w14:textId="4B91FD6B" w:rsidR="00866467" w:rsidRDefault="00560794" w:rsidP="00560794">
      <w:pPr>
        <w:pStyle w:val="BodyText3"/>
        <w:spacing w:after="240" w:line="480" w:lineRule="auto"/>
        <w:rPr>
          <w:sz w:val="24"/>
          <w:szCs w:val="24"/>
        </w:rPr>
      </w:pPr>
      <w:r>
        <w:rPr>
          <w:sz w:val="22"/>
          <w:szCs w:val="22"/>
        </w:rPr>
        <w:lastRenderedPageBreak/>
        <w:t>[6]</w:t>
      </w:r>
      <w:r>
        <w:rPr>
          <w:sz w:val="22"/>
          <w:szCs w:val="22"/>
        </w:rPr>
        <w:tab/>
      </w:r>
      <w:r w:rsidR="00EA5AC0" w:rsidRPr="00B83D4B">
        <w:rPr>
          <w:sz w:val="24"/>
          <w:szCs w:val="24"/>
        </w:rPr>
        <w:t xml:space="preserve">On 8 March 2021, </w:t>
      </w:r>
      <w:r w:rsidR="00F21212" w:rsidRPr="00B83D4B">
        <w:rPr>
          <w:sz w:val="24"/>
          <w:szCs w:val="24"/>
        </w:rPr>
        <w:t xml:space="preserve">Marks filed a </w:t>
      </w:r>
      <w:r w:rsidR="00EA5AC0" w:rsidRPr="00B83D4B">
        <w:rPr>
          <w:sz w:val="24"/>
          <w:szCs w:val="24"/>
        </w:rPr>
        <w:t xml:space="preserve">preliminary answering affidavit </w:t>
      </w:r>
      <w:r w:rsidR="00B83D4B">
        <w:rPr>
          <w:sz w:val="24"/>
          <w:szCs w:val="24"/>
        </w:rPr>
        <w:t xml:space="preserve">in the liquidation application and on </w:t>
      </w:r>
      <w:r w:rsidR="00EA5AC0" w:rsidRPr="00B83D4B">
        <w:rPr>
          <w:sz w:val="24"/>
          <w:szCs w:val="24"/>
        </w:rPr>
        <w:t>5 May 2021</w:t>
      </w:r>
      <w:r w:rsidR="00F21212" w:rsidRPr="00B83D4B">
        <w:rPr>
          <w:sz w:val="24"/>
          <w:szCs w:val="24"/>
        </w:rPr>
        <w:t>,</w:t>
      </w:r>
      <w:r w:rsidR="00EA5AC0" w:rsidRPr="00B83D4B">
        <w:rPr>
          <w:sz w:val="24"/>
          <w:szCs w:val="24"/>
        </w:rPr>
        <w:t xml:space="preserve"> the </w:t>
      </w:r>
      <w:r w:rsidR="003B0863">
        <w:rPr>
          <w:sz w:val="24"/>
          <w:szCs w:val="24"/>
        </w:rPr>
        <w:t xml:space="preserve">then </w:t>
      </w:r>
      <w:r w:rsidR="00EA5AC0" w:rsidRPr="00B83D4B">
        <w:rPr>
          <w:sz w:val="24"/>
          <w:szCs w:val="24"/>
        </w:rPr>
        <w:t xml:space="preserve">provisional liquidators filed </w:t>
      </w:r>
      <w:r w:rsidR="00F21212" w:rsidRPr="00B83D4B">
        <w:rPr>
          <w:sz w:val="24"/>
          <w:szCs w:val="24"/>
        </w:rPr>
        <w:t>a</w:t>
      </w:r>
      <w:r w:rsidR="002B3A81">
        <w:rPr>
          <w:sz w:val="24"/>
          <w:szCs w:val="24"/>
        </w:rPr>
        <w:t xml:space="preserve"> </w:t>
      </w:r>
      <w:r w:rsidR="00F21212" w:rsidRPr="00B83D4B">
        <w:rPr>
          <w:sz w:val="24"/>
          <w:szCs w:val="24"/>
        </w:rPr>
        <w:t>further affidavit</w:t>
      </w:r>
      <w:r w:rsidR="00980885" w:rsidRPr="00B83D4B">
        <w:rPr>
          <w:sz w:val="24"/>
          <w:szCs w:val="24"/>
        </w:rPr>
        <w:t xml:space="preserve"> </w:t>
      </w:r>
      <w:r w:rsidR="00A53282" w:rsidRPr="00B83D4B">
        <w:rPr>
          <w:sz w:val="24"/>
          <w:szCs w:val="24"/>
        </w:rPr>
        <w:t xml:space="preserve">which they described </w:t>
      </w:r>
      <w:r w:rsidR="00980885" w:rsidRPr="00B83D4B">
        <w:rPr>
          <w:sz w:val="24"/>
          <w:szCs w:val="24"/>
        </w:rPr>
        <w:t>“</w:t>
      </w:r>
      <w:r w:rsidR="00980885" w:rsidRPr="00866467">
        <w:rPr>
          <w:sz w:val="22"/>
          <w:szCs w:val="22"/>
        </w:rPr>
        <w:t>as a fulfilment of their duty as</w:t>
      </w:r>
      <w:r w:rsidR="002B3A81" w:rsidRPr="00866467">
        <w:rPr>
          <w:sz w:val="22"/>
          <w:szCs w:val="22"/>
        </w:rPr>
        <w:t xml:space="preserve"> </w:t>
      </w:r>
      <w:r w:rsidR="00980885" w:rsidRPr="00866467">
        <w:rPr>
          <w:sz w:val="22"/>
          <w:szCs w:val="22"/>
        </w:rPr>
        <w:t>provisional liquidators to place before the court information relating to events</w:t>
      </w:r>
      <w:r w:rsidR="002B3A81" w:rsidRPr="00866467">
        <w:rPr>
          <w:sz w:val="22"/>
          <w:szCs w:val="22"/>
        </w:rPr>
        <w:t xml:space="preserve"> </w:t>
      </w:r>
      <w:r w:rsidR="00980885" w:rsidRPr="00866467">
        <w:rPr>
          <w:sz w:val="22"/>
          <w:szCs w:val="22"/>
        </w:rPr>
        <w:t>that occurred since their appointment as provisional liquidators and that</w:t>
      </w:r>
      <w:r w:rsidR="002B3A81" w:rsidRPr="00866467">
        <w:rPr>
          <w:sz w:val="22"/>
          <w:szCs w:val="22"/>
        </w:rPr>
        <w:t xml:space="preserve"> </w:t>
      </w:r>
      <w:r w:rsidR="00980885" w:rsidRPr="00866467">
        <w:rPr>
          <w:sz w:val="22"/>
          <w:szCs w:val="22"/>
        </w:rPr>
        <w:t>would b</w:t>
      </w:r>
      <w:r w:rsidR="002C42E9" w:rsidRPr="00866467">
        <w:rPr>
          <w:sz w:val="22"/>
          <w:szCs w:val="22"/>
        </w:rPr>
        <w:t>e</w:t>
      </w:r>
      <w:r w:rsidR="00980885" w:rsidRPr="00866467">
        <w:rPr>
          <w:sz w:val="22"/>
          <w:szCs w:val="22"/>
        </w:rPr>
        <w:t xml:space="preserve"> relevant in the process of </w:t>
      </w:r>
      <w:r w:rsidR="00134670" w:rsidRPr="00866467">
        <w:rPr>
          <w:sz w:val="22"/>
          <w:szCs w:val="22"/>
        </w:rPr>
        <w:t xml:space="preserve">determining </w:t>
      </w:r>
      <w:r w:rsidR="00980885" w:rsidRPr="00866467">
        <w:rPr>
          <w:sz w:val="22"/>
          <w:szCs w:val="22"/>
        </w:rPr>
        <w:t>whether a final winding-up order should be granted</w:t>
      </w:r>
      <w:r w:rsidR="00980885" w:rsidRPr="00B83D4B">
        <w:rPr>
          <w:sz w:val="24"/>
          <w:szCs w:val="24"/>
        </w:rPr>
        <w:t>”.</w:t>
      </w:r>
    </w:p>
    <w:p w14:paraId="5044A2AC" w14:textId="7EC6246C" w:rsidR="00B83D4B" w:rsidRDefault="00980885" w:rsidP="00866467">
      <w:pPr>
        <w:pStyle w:val="BodyText3"/>
        <w:spacing w:after="240" w:line="480" w:lineRule="auto"/>
        <w:rPr>
          <w:sz w:val="24"/>
          <w:szCs w:val="24"/>
        </w:rPr>
      </w:pPr>
      <w:r w:rsidRPr="00B83D4B">
        <w:rPr>
          <w:sz w:val="24"/>
          <w:szCs w:val="24"/>
        </w:rPr>
        <w:t xml:space="preserve"> </w:t>
      </w:r>
    </w:p>
    <w:p w14:paraId="5BF44054" w14:textId="099C4865" w:rsidR="00B83D4B" w:rsidRDefault="00560794" w:rsidP="00560794">
      <w:pPr>
        <w:pStyle w:val="BodyText3"/>
        <w:spacing w:after="240" w:line="480" w:lineRule="auto"/>
        <w:rPr>
          <w:sz w:val="24"/>
          <w:szCs w:val="24"/>
        </w:rPr>
      </w:pPr>
      <w:r>
        <w:rPr>
          <w:sz w:val="22"/>
          <w:szCs w:val="22"/>
        </w:rPr>
        <w:t>[7]</w:t>
      </w:r>
      <w:r>
        <w:rPr>
          <w:sz w:val="22"/>
          <w:szCs w:val="22"/>
        </w:rPr>
        <w:tab/>
      </w:r>
      <w:r w:rsidR="00980885" w:rsidRPr="00B83D4B">
        <w:rPr>
          <w:sz w:val="24"/>
          <w:szCs w:val="24"/>
        </w:rPr>
        <w:t>This affidavit</w:t>
      </w:r>
      <w:r w:rsidR="00137899" w:rsidRPr="00B83D4B">
        <w:rPr>
          <w:sz w:val="24"/>
          <w:szCs w:val="24"/>
        </w:rPr>
        <w:t>, which included a</w:t>
      </w:r>
      <w:r w:rsidR="00D93E18">
        <w:rPr>
          <w:sz w:val="24"/>
          <w:szCs w:val="24"/>
        </w:rPr>
        <w:t>n extensive draft investigation report dated 18 January 2021</w:t>
      </w:r>
      <w:r w:rsidR="00137899" w:rsidRPr="00B83D4B">
        <w:rPr>
          <w:sz w:val="24"/>
          <w:szCs w:val="24"/>
        </w:rPr>
        <w:t xml:space="preserve"> </w:t>
      </w:r>
      <w:r w:rsidR="003B0863">
        <w:rPr>
          <w:sz w:val="24"/>
          <w:szCs w:val="24"/>
        </w:rPr>
        <w:t>by</w:t>
      </w:r>
      <w:r w:rsidR="00137899" w:rsidRPr="00B83D4B">
        <w:rPr>
          <w:sz w:val="24"/>
          <w:szCs w:val="24"/>
        </w:rPr>
        <w:t xml:space="preserve"> the Financial</w:t>
      </w:r>
      <w:r w:rsidR="00B83D4B">
        <w:rPr>
          <w:sz w:val="24"/>
          <w:szCs w:val="24"/>
        </w:rPr>
        <w:t xml:space="preserve"> </w:t>
      </w:r>
      <w:r w:rsidR="00D93E18">
        <w:rPr>
          <w:sz w:val="24"/>
          <w:szCs w:val="24"/>
        </w:rPr>
        <w:t xml:space="preserve">Sector </w:t>
      </w:r>
      <w:r w:rsidR="00A3620D">
        <w:rPr>
          <w:sz w:val="24"/>
          <w:szCs w:val="24"/>
        </w:rPr>
        <w:t xml:space="preserve">Conduct </w:t>
      </w:r>
      <w:r w:rsidR="00D93E18">
        <w:rPr>
          <w:sz w:val="24"/>
          <w:szCs w:val="24"/>
        </w:rPr>
        <w:t xml:space="preserve">Authority </w:t>
      </w:r>
      <w:r w:rsidR="00B83D4B" w:rsidRPr="00B83D4B">
        <w:rPr>
          <w:sz w:val="24"/>
          <w:szCs w:val="24"/>
        </w:rPr>
        <w:t>(“FSCA”)</w:t>
      </w:r>
      <w:r w:rsidR="00A3620D">
        <w:rPr>
          <w:rStyle w:val="FootnoteReference"/>
          <w:sz w:val="24"/>
          <w:szCs w:val="24"/>
        </w:rPr>
        <w:footnoteReference w:id="5"/>
      </w:r>
      <w:r w:rsidR="00B83D4B" w:rsidRPr="00B83D4B">
        <w:rPr>
          <w:sz w:val="24"/>
          <w:szCs w:val="24"/>
        </w:rPr>
        <w:t>, was also filed in support of an application for leave</w:t>
      </w:r>
      <w:r w:rsidR="007711F0">
        <w:rPr>
          <w:sz w:val="24"/>
          <w:szCs w:val="24"/>
        </w:rPr>
        <w:t xml:space="preserve"> </w:t>
      </w:r>
      <w:r w:rsidR="00B83D4B" w:rsidRPr="00B83D4B">
        <w:rPr>
          <w:sz w:val="24"/>
          <w:szCs w:val="24"/>
        </w:rPr>
        <w:t>to intervene and to claim declaratory relief which was essentially in the same</w:t>
      </w:r>
      <w:r w:rsidR="007711F0">
        <w:rPr>
          <w:sz w:val="24"/>
          <w:szCs w:val="24"/>
        </w:rPr>
        <w:t xml:space="preserve"> </w:t>
      </w:r>
      <w:r w:rsidR="00B83D4B" w:rsidRPr="00B83D4B">
        <w:rPr>
          <w:sz w:val="24"/>
          <w:szCs w:val="24"/>
        </w:rPr>
        <w:t>terms as that which forms the subject-matter of th</w:t>
      </w:r>
      <w:r w:rsidR="00AE5BED">
        <w:rPr>
          <w:sz w:val="24"/>
          <w:szCs w:val="24"/>
        </w:rPr>
        <w:t>e main</w:t>
      </w:r>
      <w:r w:rsidR="00B83D4B" w:rsidRPr="00B83D4B">
        <w:rPr>
          <w:sz w:val="24"/>
          <w:szCs w:val="24"/>
        </w:rPr>
        <w:t xml:space="preserve"> application. The liquidation application and interlocutory applications were by agreement between the parties</w:t>
      </w:r>
      <w:r w:rsidR="008A198C">
        <w:rPr>
          <w:sz w:val="24"/>
          <w:szCs w:val="24"/>
        </w:rPr>
        <w:t xml:space="preserve"> </w:t>
      </w:r>
      <w:r w:rsidR="008A198C" w:rsidRPr="00B83D4B">
        <w:rPr>
          <w:sz w:val="24"/>
          <w:szCs w:val="24"/>
        </w:rPr>
        <w:t>postponed for hearing</w:t>
      </w:r>
      <w:r w:rsidR="00B83D4B" w:rsidRPr="00B83D4B">
        <w:rPr>
          <w:sz w:val="24"/>
          <w:szCs w:val="24"/>
        </w:rPr>
        <w:t xml:space="preserve"> to 8 September</w:t>
      </w:r>
      <w:r w:rsidR="00C864B0">
        <w:rPr>
          <w:sz w:val="24"/>
          <w:szCs w:val="24"/>
        </w:rPr>
        <w:t xml:space="preserve"> </w:t>
      </w:r>
      <w:r w:rsidR="00B83D4B" w:rsidRPr="00B83D4B">
        <w:rPr>
          <w:sz w:val="24"/>
          <w:szCs w:val="24"/>
        </w:rPr>
        <w:t>2021 in terms of an agreed timeframe for the exchange of further affidavits</w:t>
      </w:r>
      <w:r w:rsidR="00C864B0">
        <w:rPr>
          <w:sz w:val="24"/>
          <w:szCs w:val="24"/>
        </w:rPr>
        <w:t xml:space="preserve"> </w:t>
      </w:r>
      <w:r w:rsidR="00B83D4B" w:rsidRPr="00B83D4B">
        <w:rPr>
          <w:sz w:val="24"/>
          <w:szCs w:val="24"/>
        </w:rPr>
        <w:t>and submissions.</w:t>
      </w:r>
    </w:p>
    <w:p w14:paraId="4A7497A3" w14:textId="1BD9B25D" w:rsidR="00BD3F5D" w:rsidRPr="00B83D4B" w:rsidRDefault="00560794" w:rsidP="00560794">
      <w:pPr>
        <w:pStyle w:val="BodyText3"/>
        <w:spacing w:after="240" w:line="480" w:lineRule="auto"/>
        <w:rPr>
          <w:sz w:val="24"/>
          <w:szCs w:val="24"/>
        </w:rPr>
      </w:pPr>
      <w:r w:rsidRPr="00B83D4B">
        <w:rPr>
          <w:sz w:val="22"/>
          <w:szCs w:val="22"/>
        </w:rPr>
        <w:t>[8]</w:t>
      </w:r>
      <w:r w:rsidRPr="00B83D4B">
        <w:rPr>
          <w:sz w:val="22"/>
          <w:szCs w:val="22"/>
        </w:rPr>
        <w:tab/>
      </w:r>
      <w:r w:rsidR="00693C9F" w:rsidRPr="00B83D4B">
        <w:rPr>
          <w:sz w:val="24"/>
          <w:szCs w:val="24"/>
        </w:rPr>
        <w:t xml:space="preserve">On 14 June 2021, </w:t>
      </w:r>
      <w:r w:rsidR="00EA5AC0" w:rsidRPr="00B83D4B">
        <w:rPr>
          <w:sz w:val="24"/>
          <w:szCs w:val="24"/>
        </w:rPr>
        <w:t xml:space="preserve">Marks, in his capacity as a prospective creditor or shareholder, filed a </w:t>
      </w:r>
      <w:r w:rsidR="00693C9F" w:rsidRPr="00B83D4B">
        <w:rPr>
          <w:sz w:val="24"/>
          <w:szCs w:val="24"/>
        </w:rPr>
        <w:t>n</w:t>
      </w:r>
      <w:r w:rsidR="00EA5AC0" w:rsidRPr="00B83D4B">
        <w:rPr>
          <w:sz w:val="24"/>
          <w:szCs w:val="24"/>
        </w:rPr>
        <w:t>otice in terms of Rule 6(12</w:t>
      </w:r>
      <w:r w:rsidR="00EA5AC0" w:rsidRPr="008A198C">
        <w:rPr>
          <w:sz w:val="24"/>
          <w:szCs w:val="24"/>
        </w:rPr>
        <w:t>)(</w:t>
      </w:r>
      <w:r w:rsidR="00B83D4B" w:rsidRPr="008A198C">
        <w:rPr>
          <w:sz w:val="24"/>
          <w:szCs w:val="24"/>
        </w:rPr>
        <w:t>c</w:t>
      </w:r>
      <w:r w:rsidR="00EA5AC0" w:rsidRPr="008A198C">
        <w:rPr>
          <w:sz w:val="24"/>
          <w:szCs w:val="24"/>
        </w:rPr>
        <w:t>)</w:t>
      </w:r>
      <w:r w:rsidR="00EA5AC0" w:rsidRPr="00B83D4B">
        <w:rPr>
          <w:sz w:val="24"/>
          <w:szCs w:val="24"/>
        </w:rPr>
        <w:t xml:space="preserve"> requesting a reconsideration of the provisional order granted on 29 December 2020</w:t>
      </w:r>
      <w:r w:rsidR="00693C9F" w:rsidRPr="00B83D4B">
        <w:rPr>
          <w:sz w:val="24"/>
          <w:szCs w:val="24"/>
        </w:rPr>
        <w:t xml:space="preserve"> by</w:t>
      </w:r>
      <w:r w:rsidR="007711F0">
        <w:rPr>
          <w:sz w:val="24"/>
          <w:szCs w:val="24"/>
        </w:rPr>
        <w:t xml:space="preserve"> </w:t>
      </w:r>
      <w:r w:rsidR="00693C9F" w:rsidRPr="00B83D4B">
        <w:rPr>
          <w:sz w:val="24"/>
          <w:szCs w:val="24"/>
        </w:rPr>
        <w:t>Rogers J</w:t>
      </w:r>
      <w:r w:rsidR="00EA5AC0" w:rsidRPr="00B83D4B">
        <w:rPr>
          <w:sz w:val="24"/>
          <w:szCs w:val="24"/>
        </w:rPr>
        <w:t>.</w:t>
      </w:r>
      <w:r w:rsidR="00693C9F" w:rsidRPr="00B83D4B">
        <w:rPr>
          <w:sz w:val="24"/>
          <w:szCs w:val="24"/>
        </w:rPr>
        <w:t xml:space="preserve"> He further filed a</w:t>
      </w:r>
      <w:r w:rsidR="00EA5AC0" w:rsidRPr="00B83D4B">
        <w:rPr>
          <w:sz w:val="24"/>
          <w:szCs w:val="24"/>
        </w:rPr>
        <w:t xml:space="preserve">n application </w:t>
      </w:r>
      <w:r w:rsidR="00693C9F" w:rsidRPr="00B83D4B">
        <w:rPr>
          <w:sz w:val="24"/>
          <w:szCs w:val="24"/>
        </w:rPr>
        <w:t xml:space="preserve">for leave to </w:t>
      </w:r>
      <w:r w:rsidR="00EA5AC0" w:rsidRPr="00B83D4B">
        <w:rPr>
          <w:sz w:val="24"/>
          <w:szCs w:val="24"/>
        </w:rPr>
        <w:t xml:space="preserve">intervene </w:t>
      </w:r>
      <w:r w:rsidR="00693C9F" w:rsidRPr="00B83D4B">
        <w:rPr>
          <w:sz w:val="24"/>
          <w:szCs w:val="24"/>
        </w:rPr>
        <w:t>and a</w:t>
      </w:r>
      <w:r w:rsidR="007711F0">
        <w:rPr>
          <w:sz w:val="24"/>
          <w:szCs w:val="24"/>
        </w:rPr>
        <w:t xml:space="preserve"> </w:t>
      </w:r>
      <w:r w:rsidR="00693C9F" w:rsidRPr="00B83D4B">
        <w:rPr>
          <w:sz w:val="24"/>
          <w:szCs w:val="24"/>
        </w:rPr>
        <w:t>co</w:t>
      </w:r>
      <w:r w:rsidR="00EA5AC0" w:rsidRPr="00B83D4B">
        <w:rPr>
          <w:sz w:val="24"/>
          <w:szCs w:val="24"/>
        </w:rPr>
        <w:t xml:space="preserve">nditional application in terms of </w:t>
      </w:r>
      <w:r w:rsidR="00693C9F" w:rsidRPr="00B83D4B">
        <w:rPr>
          <w:sz w:val="24"/>
          <w:szCs w:val="24"/>
        </w:rPr>
        <w:t>s</w:t>
      </w:r>
      <w:r w:rsidR="00EA5AC0" w:rsidRPr="00B83D4B">
        <w:rPr>
          <w:sz w:val="24"/>
          <w:szCs w:val="24"/>
        </w:rPr>
        <w:t xml:space="preserve"> 413 read with </w:t>
      </w:r>
      <w:r w:rsidR="00693C9F" w:rsidRPr="00B83D4B">
        <w:rPr>
          <w:sz w:val="24"/>
          <w:szCs w:val="24"/>
        </w:rPr>
        <w:t xml:space="preserve">s </w:t>
      </w:r>
      <w:r w:rsidR="00EA5AC0" w:rsidRPr="00B83D4B">
        <w:rPr>
          <w:sz w:val="24"/>
          <w:szCs w:val="24"/>
        </w:rPr>
        <w:t>353(2) of the Companies</w:t>
      </w:r>
      <w:r w:rsidR="00D93E18">
        <w:rPr>
          <w:sz w:val="24"/>
          <w:szCs w:val="24"/>
        </w:rPr>
        <w:t xml:space="preserve"> </w:t>
      </w:r>
      <w:r w:rsidR="00EA5AC0" w:rsidRPr="00B83D4B">
        <w:rPr>
          <w:sz w:val="24"/>
          <w:szCs w:val="24"/>
        </w:rPr>
        <w:t>Act</w:t>
      </w:r>
      <w:r w:rsidR="00D93E18">
        <w:rPr>
          <w:sz w:val="24"/>
          <w:szCs w:val="24"/>
        </w:rPr>
        <w:t xml:space="preserve">, </w:t>
      </w:r>
      <w:r w:rsidR="008A198C">
        <w:rPr>
          <w:sz w:val="24"/>
          <w:szCs w:val="24"/>
        </w:rPr>
        <w:t>61</w:t>
      </w:r>
      <w:r w:rsidR="00D93E18">
        <w:rPr>
          <w:sz w:val="24"/>
          <w:szCs w:val="24"/>
        </w:rPr>
        <w:t xml:space="preserve"> of </w:t>
      </w:r>
      <w:r w:rsidR="008A198C">
        <w:rPr>
          <w:sz w:val="24"/>
          <w:szCs w:val="24"/>
        </w:rPr>
        <w:t>1973</w:t>
      </w:r>
      <w:r w:rsidR="00D93E18">
        <w:rPr>
          <w:sz w:val="24"/>
          <w:szCs w:val="24"/>
        </w:rPr>
        <w:t xml:space="preserve"> (“</w:t>
      </w:r>
      <w:r w:rsidR="008A198C">
        <w:rPr>
          <w:sz w:val="24"/>
          <w:szCs w:val="24"/>
        </w:rPr>
        <w:t>the 1973</w:t>
      </w:r>
      <w:r w:rsidR="00D93E18">
        <w:rPr>
          <w:sz w:val="24"/>
          <w:szCs w:val="24"/>
        </w:rPr>
        <w:t xml:space="preserve"> Act”).</w:t>
      </w:r>
    </w:p>
    <w:p w14:paraId="5AFF1603" w14:textId="1210715D" w:rsidR="00BD3F5D" w:rsidRDefault="00560794" w:rsidP="00560794">
      <w:pPr>
        <w:pStyle w:val="BodyText3"/>
        <w:spacing w:after="240" w:line="480" w:lineRule="auto"/>
        <w:rPr>
          <w:sz w:val="24"/>
          <w:szCs w:val="24"/>
        </w:rPr>
      </w:pPr>
      <w:r>
        <w:rPr>
          <w:sz w:val="22"/>
          <w:szCs w:val="22"/>
        </w:rPr>
        <w:t>[9]</w:t>
      </w:r>
      <w:r>
        <w:rPr>
          <w:sz w:val="22"/>
          <w:szCs w:val="22"/>
        </w:rPr>
        <w:tab/>
      </w:r>
      <w:r w:rsidR="00693C9F" w:rsidRPr="00BD3F5D">
        <w:rPr>
          <w:sz w:val="24"/>
          <w:szCs w:val="24"/>
        </w:rPr>
        <w:t>Despite the various further applications which w</w:t>
      </w:r>
      <w:r w:rsidR="009652D1">
        <w:rPr>
          <w:sz w:val="24"/>
          <w:szCs w:val="24"/>
        </w:rPr>
        <w:t>ere</w:t>
      </w:r>
      <w:r w:rsidR="00693C9F" w:rsidRPr="00BD3F5D">
        <w:rPr>
          <w:sz w:val="24"/>
          <w:szCs w:val="24"/>
        </w:rPr>
        <w:t xml:space="preserve"> filed days before the hearing, the matter </w:t>
      </w:r>
      <w:r w:rsidR="00693C9F" w:rsidRPr="008A198C">
        <w:rPr>
          <w:sz w:val="24"/>
          <w:szCs w:val="24"/>
        </w:rPr>
        <w:t xml:space="preserve">proceeded </w:t>
      </w:r>
      <w:r w:rsidR="007711F0" w:rsidRPr="008A198C">
        <w:rPr>
          <w:sz w:val="24"/>
          <w:szCs w:val="24"/>
        </w:rPr>
        <w:t xml:space="preserve">as it was </w:t>
      </w:r>
      <w:r w:rsidR="00693C9F" w:rsidRPr="008A198C">
        <w:rPr>
          <w:sz w:val="24"/>
          <w:szCs w:val="24"/>
        </w:rPr>
        <w:t>agree</w:t>
      </w:r>
      <w:r w:rsidR="008A198C" w:rsidRPr="008A198C">
        <w:rPr>
          <w:sz w:val="24"/>
          <w:szCs w:val="24"/>
        </w:rPr>
        <w:t>d</w:t>
      </w:r>
      <w:r w:rsidR="00693C9F" w:rsidRPr="008A198C">
        <w:rPr>
          <w:sz w:val="24"/>
          <w:szCs w:val="24"/>
        </w:rPr>
        <w:t xml:space="preserve"> between</w:t>
      </w:r>
      <w:r w:rsidR="00693C9F" w:rsidRPr="00BD3F5D">
        <w:rPr>
          <w:sz w:val="24"/>
          <w:szCs w:val="24"/>
        </w:rPr>
        <w:t xml:space="preserve"> the parties that Marks be granted leave </w:t>
      </w:r>
      <w:r w:rsidR="00EA5AC0" w:rsidRPr="00BD3F5D">
        <w:rPr>
          <w:sz w:val="24"/>
          <w:szCs w:val="24"/>
        </w:rPr>
        <w:t xml:space="preserve">to intervene as </w:t>
      </w:r>
      <w:r w:rsidR="00693C9F" w:rsidRPr="00BD3F5D">
        <w:rPr>
          <w:sz w:val="24"/>
          <w:szCs w:val="24"/>
        </w:rPr>
        <w:t>the t</w:t>
      </w:r>
      <w:r w:rsidR="00EA5AC0" w:rsidRPr="00BD3F5D">
        <w:rPr>
          <w:sz w:val="24"/>
          <w:szCs w:val="24"/>
        </w:rPr>
        <w:t xml:space="preserve">hird </w:t>
      </w:r>
      <w:r w:rsidR="00693C9F" w:rsidRPr="00BD3F5D">
        <w:rPr>
          <w:sz w:val="24"/>
          <w:szCs w:val="24"/>
        </w:rPr>
        <w:t>r</w:t>
      </w:r>
      <w:r w:rsidR="00EA5AC0" w:rsidRPr="00BD3F5D">
        <w:rPr>
          <w:sz w:val="24"/>
          <w:szCs w:val="24"/>
        </w:rPr>
        <w:t>espondent</w:t>
      </w:r>
      <w:r w:rsidR="00693C9F" w:rsidRPr="00BD3F5D">
        <w:rPr>
          <w:sz w:val="24"/>
          <w:szCs w:val="24"/>
        </w:rPr>
        <w:t xml:space="preserve"> under case number 19201/2020</w:t>
      </w:r>
      <w:r w:rsidR="00A53282">
        <w:rPr>
          <w:sz w:val="24"/>
          <w:szCs w:val="24"/>
        </w:rPr>
        <w:t xml:space="preserve"> </w:t>
      </w:r>
      <w:r w:rsidR="00A53282">
        <w:rPr>
          <w:sz w:val="24"/>
          <w:szCs w:val="24"/>
        </w:rPr>
        <w:lastRenderedPageBreak/>
        <w:t xml:space="preserve">and that he was entitled to proceed with </w:t>
      </w:r>
      <w:r w:rsidR="000C1BF5">
        <w:rPr>
          <w:sz w:val="24"/>
          <w:szCs w:val="24"/>
        </w:rPr>
        <w:t xml:space="preserve">the application for reconsideration. </w:t>
      </w:r>
      <w:r w:rsidR="007711F0">
        <w:rPr>
          <w:sz w:val="24"/>
          <w:szCs w:val="24"/>
        </w:rPr>
        <w:t>Marks abandoned his conditional application</w:t>
      </w:r>
      <w:r w:rsidR="00C82614">
        <w:rPr>
          <w:sz w:val="24"/>
          <w:szCs w:val="24"/>
        </w:rPr>
        <w:t>.</w:t>
      </w:r>
      <w:r w:rsidR="002D0B06">
        <w:rPr>
          <w:sz w:val="24"/>
          <w:szCs w:val="24"/>
        </w:rPr>
        <w:t xml:space="preserve"> </w:t>
      </w:r>
    </w:p>
    <w:p w14:paraId="5A614B5A" w14:textId="796AD23D" w:rsidR="00EA5AC0" w:rsidRPr="006E4AFE" w:rsidRDefault="00560794" w:rsidP="00560794">
      <w:pPr>
        <w:pStyle w:val="BodyText3"/>
        <w:spacing w:after="240" w:line="480" w:lineRule="auto"/>
        <w:rPr>
          <w:sz w:val="24"/>
          <w:szCs w:val="24"/>
        </w:rPr>
      </w:pPr>
      <w:r w:rsidRPr="006E4AFE">
        <w:rPr>
          <w:sz w:val="22"/>
          <w:szCs w:val="22"/>
        </w:rPr>
        <w:t>[10]</w:t>
      </w:r>
      <w:r w:rsidRPr="006E4AFE">
        <w:rPr>
          <w:sz w:val="22"/>
          <w:szCs w:val="22"/>
        </w:rPr>
        <w:tab/>
      </w:r>
      <w:r w:rsidR="00EA5AC0" w:rsidRPr="006E4AFE">
        <w:rPr>
          <w:sz w:val="24"/>
          <w:szCs w:val="24"/>
        </w:rPr>
        <w:t xml:space="preserve">In the matter of </w:t>
      </w:r>
      <w:r w:rsidR="00EA5AC0" w:rsidRPr="006E4AFE">
        <w:rPr>
          <w:i/>
          <w:sz w:val="24"/>
          <w:szCs w:val="24"/>
        </w:rPr>
        <w:t>ISDN Solutions (Pty) Ltd v CSDN Solutions CC and Others</w:t>
      </w:r>
      <w:r w:rsidR="008A198C" w:rsidRPr="006E4AFE">
        <w:rPr>
          <w:sz w:val="24"/>
          <w:szCs w:val="24"/>
        </w:rPr>
        <w:t xml:space="preserve"> </w:t>
      </w:r>
      <w:r w:rsidR="00EA5AC0" w:rsidRPr="006E4AFE">
        <w:rPr>
          <w:sz w:val="24"/>
          <w:szCs w:val="24"/>
        </w:rPr>
        <w:t xml:space="preserve">1996 (4) SA 484 (W) at 486I-487B the court held </w:t>
      </w:r>
      <w:r w:rsidR="00651BF2" w:rsidRPr="006E4AFE">
        <w:rPr>
          <w:sz w:val="24"/>
          <w:szCs w:val="24"/>
        </w:rPr>
        <w:t>in regard</w:t>
      </w:r>
      <w:r w:rsidR="008A198C" w:rsidRPr="006E4AFE">
        <w:rPr>
          <w:sz w:val="24"/>
          <w:szCs w:val="24"/>
        </w:rPr>
        <w:t xml:space="preserve"> to Rule 6(12)(</w:t>
      </w:r>
      <w:r w:rsidR="006E757A" w:rsidRPr="006E4AFE">
        <w:rPr>
          <w:sz w:val="24"/>
          <w:szCs w:val="24"/>
        </w:rPr>
        <w:t>c</w:t>
      </w:r>
      <w:r w:rsidR="008A198C" w:rsidRPr="006E4AFE">
        <w:rPr>
          <w:sz w:val="24"/>
          <w:szCs w:val="24"/>
        </w:rPr>
        <w:t>)</w:t>
      </w:r>
      <w:r w:rsidR="00651BF2" w:rsidRPr="006E4AFE">
        <w:rPr>
          <w:sz w:val="24"/>
          <w:szCs w:val="24"/>
        </w:rPr>
        <w:t xml:space="preserve"> </w:t>
      </w:r>
      <w:r w:rsidR="00EA5AC0" w:rsidRPr="006E4AFE">
        <w:rPr>
          <w:sz w:val="24"/>
          <w:szCs w:val="24"/>
        </w:rPr>
        <w:t>that:</w:t>
      </w:r>
    </w:p>
    <w:p w14:paraId="44E06F35" w14:textId="77777777" w:rsidR="00BA67B9" w:rsidRDefault="00EA5AC0" w:rsidP="00BD3F5D">
      <w:pPr>
        <w:pStyle w:val="BodyText3"/>
        <w:spacing w:after="240" w:line="480" w:lineRule="auto"/>
        <w:ind w:left="720"/>
        <w:rPr>
          <w:sz w:val="22"/>
          <w:szCs w:val="22"/>
        </w:rPr>
      </w:pPr>
      <w:r w:rsidRPr="00EA5AC0">
        <w:rPr>
          <w:sz w:val="24"/>
          <w:szCs w:val="24"/>
        </w:rPr>
        <w:t xml:space="preserve">“... </w:t>
      </w:r>
      <w:r w:rsidRPr="00240325">
        <w:rPr>
          <w:sz w:val="22"/>
          <w:szCs w:val="22"/>
        </w:rPr>
        <w:t xml:space="preserve">the dominant purpose of the Rule seems relatively plain. It affords an aggrieved party a mechanism designed to redress imbalances in, and injustices and oppression flowing from, an order granted as a matter of urgency in his absence. In the </w:t>
      </w:r>
    </w:p>
    <w:p w14:paraId="6194A9C3" w14:textId="19EA197C" w:rsidR="00EA5AC0" w:rsidRPr="00240325" w:rsidRDefault="00EA5AC0" w:rsidP="00BD3F5D">
      <w:pPr>
        <w:pStyle w:val="BodyText3"/>
        <w:spacing w:after="240" w:line="480" w:lineRule="auto"/>
        <w:ind w:left="720"/>
        <w:rPr>
          <w:sz w:val="22"/>
          <w:szCs w:val="22"/>
        </w:rPr>
      </w:pPr>
      <w:r w:rsidRPr="00240325">
        <w:rPr>
          <w:sz w:val="22"/>
          <w:szCs w:val="22"/>
        </w:rPr>
        <w:t>circumstances of urgency where an affected party is not present, factors which might conceivably impact on the content and form of an order may not be known to either the applicant for urgent relief or the Judge required to determine it. The order in question may be either interim or final in its operation. Reconsideration may involve a deletion of the order, either in whole or in part, or the engraftment of additions thereto.</w:t>
      </w:r>
    </w:p>
    <w:p w14:paraId="325EC8EC" w14:textId="7C6CD6C4" w:rsidR="00EA5AC0" w:rsidRPr="00EA5AC0" w:rsidRDefault="00EA5AC0" w:rsidP="00BD3F5D">
      <w:pPr>
        <w:pStyle w:val="BodyText3"/>
        <w:spacing w:after="240" w:line="480" w:lineRule="auto"/>
        <w:ind w:left="720"/>
        <w:rPr>
          <w:sz w:val="24"/>
          <w:szCs w:val="24"/>
        </w:rPr>
      </w:pPr>
      <w:r w:rsidRPr="00240325">
        <w:rPr>
          <w:sz w:val="22"/>
          <w:szCs w:val="22"/>
        </w:rPr>
        <w:t>The framers of the rule have not sought to delineate the factors which might legitimately be taken into reckoning in determining whether any particular order falls to be reconsidered. What is plain is that a wide discretion is intended</w:t>
      </w:r>
      <w:r w:rsidRPr="00EA5AC0">
        <w:rPr>
          <w:sz w:val="24"/>
          <w:szCs w:val="24"/>
        </w:rPr>
        <w:t xml:space="preserve">.” </w:t>
      </w:r>
    </w:p>
    <w:p w14:paraId="5E0FA82C" w14:textId="7B25EFBB" w:rsidR="00EA5AC0" w:rsidRPr="00651BF2" w:rsidRDefault="00560794" w:rsidP="00560794">
      <w:pPr>
        <w:pStyle w:val="BodyText3"/>
        <w:spacing w:after="240" w:line="480" w:lineRule="auto"/>
        <w:rPr>
          <w:sz w:val="24"/>
          <w:szCs w:val="24"/>
        </w:rPr>
      </w:pPr>
      <w:r w:rsidRPr="00651BF2">
        <w:rPr>
          <w:sz w:val="22"/>
          <w:szCs w:val="22"/>
        </w:rPr>
        <w:t>[11]</w:t>
      </w:r>
      <w:r w:rsidRPr="00651BF2">
        <w:rPr>
          <w:sz w:val="22"/>
          <w:szCs w:val="22"/>
        </w:rPr>
        <w:tab/>
      </w:r>
      <w:r w:rsidR="00651BF2" w:rsidRPr="008B1D4D">
        <w:rPr>
          <w:sz w:val="24"/>
          <w:szCs w:val="24"/>
        </w:rPr>
        <w:t>As</w:t>
      </w:r>
      <w:r w:rsidR="00C82614">
        <w:rPr>
          <w:sz w:val="24"/>
          <w:szCs w:val="24"/>
        </w:rPr>
        <w:t xml:space="preserve"> </w:t>
      </w:r>
      <w:r w:rsidR="00651BF2">
        <w:rPr>
          <w:sz w:val="24"/>
          <w:szCs w:val="24"/>
        </w:rPr>
        <w:t>to wh</w:t>
      </w:r>
      <w:r w:rsidR="008B1D4D">
        <w:rPr>
          <w:sz w:val="24"/>
          <w:szCs w:val="24"/>
        </w:rPr>
        <w:t>at</w:t>
      </w:r>
      <w:r w:rsidR="00651BF2">
        <w:rPr>
          <w:sz w:val="24"/>
          <w:szCs w:val="24"/>
        </w:rPr>
        <w:t xml:space="preserve"> information may be </w:t>
      </w:r>
      <w:r w:rsidR="008B1D4D">
        <w:rPr>
          <w:sz w:val="24"/>
          <w:szCs w:val="24"/>
        </w:rPr>
        <w:t>taken into account</w:t>
      </w:r>
      <w:r w:rsidR="00651BF2">
        <w:rPr>
          <w:sz w:val="24"/>
          <w:szCs w:val="24"/>
        </w:rPr>
        <w:t xml:space="preserve"> by the court upon a   </w:t>
      </w:r>
      <w:r w:rsidR="00651BF2" w:rsidRPr="00651BF2">
        <w:rPr>
          <w:sz w:val="24"/>
          <w:szCs w:val="24"/>
        </w:rPr>
        <w:t>reconsideration</w:t>
      </w:r>
      <w:r w:rsidR="00856F3A">
        <w:rPr>
          <w:sz w:val="24"/>
          <w:szCs w:val="24"/>
        </w:rPr>
        <w:t xml:space="preserve">, it </w:t>
      </w:r>
      <w:r w:rsidR="00651BF2" w:rsidRPr="00651BF2">
        <w:rPr>
          <w:sz w:val="24"/>
          <w:szCs w:val="24"/>
        </w:rPr>
        <w:t>was held i</w:t>
      </w:r>
      <w:r w:rsidR="00EA5AC0" w:rsidRPr="00651BF2">
        <w:rPr>
          <w:sz w:val="24"/>
          <w:szCs w:val="24"/>
        </w:rPr>
        <w:t xml:space="preserve">n the matter of </w:t>
      </w:r>
      <w:r w:rsidR="00EA5AC0" w:rsidRPr="00651BF2">
        <w:rPr>
          <w:i/>
          <w:sz w:val="24"/>
          <w:szCs w:val="24"/>
        </w:rPr>
        <w:t>The Reclamation Group (Pty) Ltd v Smit and Others</w:t>
      </w:r>
      <w:r w:rsidR="00EA5AC0" w:rsidRPr="00651BF2">
        <w:rPr>
          <w:sz w:val="24"/>
          <w:szCs w:val="24"/>
        </w:rPr>
        <w:t xml:space="preserve"> 2004 (1) SA 215</w:t>
      </w:r>
      <w:r w:rsidR="003B0863">
        <w:rPr>
          <w:sz w:val="24"/>
          <w:szCs w:val="24"/>
        </w:rPr>
        <w:t xml:space="preserve"> </w:t>
      </w:r>
      <w:r w:rsidR="003B0863" w:rsidRPr="00134670">
        <w:rPr>
          <w:sz w:val="24"/>
          <w:szCs w:val="24"/>
        </w:rPr>
        <w:t>(SECLD)</w:t>
      </w:r>
      <w:r w:rsidR="00A3620D">
        <w:rPr>
          <w:sz w:val="24"/>
          <w:szCs w:val="24"/>
        </w:rPr>
        <w:t>,</w:t>
      </w:r>
      <w:r w:rsidR="00EA5AC0" w:rsidRPr="00651BF2">
        <w:rPr>
          <w:sz w:val="24"/>
          <w:szCs w:val="24"/>
        </w:rPr>
        <w:t xml:space="preserve"> that as a full set of affidavits had been filed at the date of the hearing, </w:t>
      </w:r>
      <w:r w:rsidR="00651BF2">
        <w:rPr>
          <w:sz w:val="24"/>
          <w:szCs w:val="24"/>
        </w:rPr>
        <w:t>it</w:t>
      </w:r>
      <w:r w:rsidR="00EA5AC0" w:rsidRPr="00651BF2">
        <w:rPr>
          <w:sz w:val="24"/>
          <w:szCs w:val="24"/>
        </w:rPr>
        <w:t xml:space="preserve"> resulted in a new set of circumstances and both sides’ </w:t>
      </w:r>
      <w:r w:rsidR="00100024">
        <w:rPr>
          <w:sz w:val="24"/>
          <w:szCs w:val="24"/>
        </w:rPr>
        <w:t xml:space="preserve">story was now </w:t>
      </w:r>
      <w:r w:rsidR="00EA5AC0" w:rsidRPr="00651BF2">
        <w:rPr>
          <w:sz w:val="24"/>
          <w:szCs w:val="24"/>
        </w:rPr>
        <w:t>before Court</w:t>
      </w:r>
      <w:r w:rsidR="00B360CF">
        <w:rPr>
          <w:rStyle w:val="FootnoteReference"/>
          <w:sz w:val="24"/>
          <w:szCs w:val="24"/>
        </w:rPr>
        <w:footnoteReference w:id="6"/>
      </w:r>
      <w:r w:rsidR="005671C1">
        <w:rPr>
          <w:sz w:val="24"/>
          <w:szCs w:val="24"/>
        </w:rPr>
        <w:t>.</w:t>
      </w:r>
    </w:p>
    <w:p w14:paraId="7B5AF744" w14:textId="72F6A507" w:rsidR="00856F3A" w:rsidRPr="00100024" w:rsidRDefault="00560794" w:rsidP="00560794">
      <w:pPr>
        <w:pStyle w:val="BodyText3"/>
        <w:spacing w:after="240" w:line="480" w:lineRule="auto"/>
        <w:rPr>
          <w:sz w:val="24"/>
          <w:szCs w:val="24"/>
        </w:rPr>
      </w:pPr>
      <w:r w:rsidRPr="00100024">
        <w:rPr>
          <w:sz w:val="22"/>
          <w:szCs w:val="22"/>
        </w:rPr>
        <w:t>[12]</w:t>
      </w:r>
      <w:r w:rsidRPr="00100024">
        <w:rPr>
          <w:sz w:val="22"/>
          <w:szCs w:val="22"/>
        </w:rPr>
        <w:tab/>
      </w:r>
      <w:r w:rsidR="00FC5929" w:rsidRPr="00100024">
        <w:rPr>
          <w:sz w:val="24"/>
          <w:szCs w:val="24"/>
        </w:rPr>
        <w:t>In this matter, th</w:t>
      </w:r>
      <w:r w:rsidR="00EA5AC0" w:rsidRPr="00100024">
        <w:rPr>
          <w:sz w:val="24"/>
          <w:szCs w:val="24"/>
        </w:rPr>
        <w:t xml:space="preserve">e issue of whether </w:t>
      </w:r>
      <w:r w:rsidR="003333F4" w:rsidRPr="00100024">
        <w:rPr>
          <w:sz w:val="24"/>
          <w:szCs w:val="24"/>
        </w:rPr>
        <w:t>he</w:t>
      </w:r>
      <w:r w:rsidR="00354CFE" w:rsidRPr="00100024">
        <w:rPr>
          <w:sz w:val="24"/>
          <w:szCs w:val="24"/>
        </w:rPr>
        <w:t xml:space="preserve"> </w:t>
      </w:r>
      <w:r w:rsidR="00EA5AC0" w:rsidRPr="00100024">
        <w:rPr>
          <w:sz w:val="24"/>
          <w:szCs w:val="24"/>
        </w:rPr>
        <w:t>had any authority to file opposing papers aside</w:t>
      </w:r>
      <w:r w:rsidR="00A47202" w:rsidRPr="00100024">
        <w:rPr>
          <w:sz w:val="24"/>
          <w:szCs w:val="24"/>
        </w:rPr>
        <w:t>,</w:t>
      </w:r>
      <w:r w:rsidR="00EA5AC0" w:rsidRPr="00100024">
        <w:rPr>
          <w:sz w:val="24"/>
          <w:szCs w:val="24"/>
        </w:rPr>
        <w:t xml:space="preserve"> </w:t>
      </w:r>
      <w:r w:rsidR="00856F3A" w:rsidRPr="00100024">
        <w:rPr>
          <w:sz w:val="24"/>
          <w:szCs w:val="24"/>
        </w:rPr>
        <w:t>Marks placed a p</w:t>
      </w:r>
      <w:r w:rsidR="00EA5AC0" w:rsidRPr="00100024">
        <w:rPr>
          <w:sz w:val="24"/>
          <w:szCs w:val="24"/>
        </w:rPr>
        <w:t xml:space="preserve">rovisional opposing affidavit </w:t>
      </w:r>
      <w:r w:rsidR="00856F3A" w:rsidRPr="00100024">
        <w:rPr>
          <w:sz w:val="24"/>
          <w:szCs w:val="24"/>
        </w:rPr>
        <w:t xml:space="preserve">consisting of more than 600 </w:t>
      </w:r>
      <w:r w:rsidR="00856F3A" w:rsidRPr="00100024">
        <w:rPr>
          <w:sz w:val="24"/>
          <w:szCs w:val="24"/>
        </w:rPr>
        <w:lastRenderedPageBreak/>
        <w:t xml:space="preserve">pages before the court </w:t>
      </w:r>
      <w:r w:rsidR="00EA5AC0" w:rsidRPr="00100024">
        <w:rPr>
          <w:sz w:val="24"/>
          <w:szCs w:val="24"/>
        </w:rPr>
        <w:t>on 26 April 2021</w:t>
      </w:r>
      <w:r w:rsidR="00856F3A" w:rsidRPr="00100024">
        <w:rPr>
          <w:sz w:val="24"/>
          <w:szCs w:val="24"/>
        </w:rPr>
        <w:t xml:space="preserve">. </w:t>
      </w:r>
      <w:r w:rsidR="00922D6B" w:rsidRPr="00100024">
        <w:rPr>
          <w:sz w:val="24"/>
          <w:szCs w:val="24"/>
        </w:rPr>
        <w:t>The a</w:t>
      </w:r>
      <w:r w:rsidR="00EA5AC0" w:rsidRPr="00100024">
        <w:rPr>
          <w:sz w:val="24"/>
          <w:szCs w:val="24"/>
        </w:rPr>
        <w:t>pplicant</w:t>
      </w:r>
      <w:r w:rsidR="00A47202" w:rsidRPr="00100024">
        <w:rPr>
          <w:sz w:val="24"/>
          <w:szCs w:val="24"/>
        </w:rPr>
        <w:t>s</w:t>
      </w:r>
      <w:r w:rsidR="00EA5AC0" w:rsidRPr="00100024">
        <w:rPr>
          <w:sz w:val="24"/>
          <w:szCs w:val="24"/>
        </w:rPr>
        <w:t xml:space="preserve"> </w:t>
      </w:r>
      <w:r w:rsidR="00856F3A" w:rsidRPr="00100024">
        <w:rPr>
          <w:sz w:val="24"/>
          <w:szCs w:val="24"/>
        </w:rPr>
        <w:t xml:space="preserve">and the FSCA </w:t>
      </w:r>
      <w:r w:rsidR="00EA5AC0" w:rsidRPr="00100024">
        <w:rPr>
          <w:sz w:val="24"/>
          <w:szCs w:val="24"/>
        </w:rPr>
        <w:t xml:space="preserve">filed </w:t>
      </w:r>
      <w:r w:rsidR="00856F3A" w:rsidRPr="00100024">
        <w:rPr>
          <w:sz w:val="24"/>
          <w:szCs w:val="24"/>
        </w:rPr>
        <w:t>replies thereto and M</w:t>
      </w:r>
      <w:r w:rsidR="006E2C15" w:rsidRPr="00100024">
        <w:rPr>
          <w:sz w:val="24"/>
          <w:szCs w:val="24"/>
        </w:rPr>
        <w:t>arks</w:t>
      </w:r>
      <w:r w:rsidR="00EA5AC0" w:rsidRPr="00100024">
        <w:rPr>
          <w:sz w:val="24"/>
          <w:szCs w:val="24"/>
        </w:rPr>
        <w:t xml:space="preserve"> filed a</w:t>
      </w:r>
      <w:r w:rsidR="00922D6B" w:rsidRPr="00100024">
        <w:rPr>
          <w:sz w:val="24"/>
          <w:szCs w:val="24"/>
        </w:rPr>
        <w:t xml:space="preserve"> further</w:t>
      </w:r>
      <w:r w:rsidR="00EA5AC0" w:rsidRPr="00100024">
        <w:rPr>
          <w:sz w:val="24"/>
          <w:szCs w:val="24"/>
        </w:rPr>
        <w:t xml:space="preserve"> provisional opposing affidavit on 11 June 2021 to the application launched by the provisional liquidators to intervene in order to claim </w:t>
      </w:r>
      <w:r w:rsidR="00856F3A" w:rsidRPr="00100024">
        <w:rPr>
          <w:sz w:val="24"/>
          <w:szCs w:val="24"/>
        </w:rPr>
        <w:t xml:space="preserve">the </w:t>
      </w:r>
      <w:r w:rsidR="00EA5AC0" w:rsidRPr="00100024">
        <w:rPr>
          <w:sz w:val="24"/>
          <w:szCs w:val="24"/>
        </w:rPr>
        <w:t>interdictory relief</w:t>
      </w:r>
      <w:r w:rsidR="00856F3A" w:rsidRPr="00100024">
        <w:rPr>
          <w:sz w:val="24"/>
          <w:szCs w:val="24"/>
        </w:rPr>
        <w:t xml:space="preserve"> which is the subject-matter of </w:t>
      </w:r>
      <w:r w:rsidR="003333F4" w:rsidRPr="00100024">
        <w:rPr>
          <w:sz w:val="24"/>
          <w:szCs w:val="24"/>
        </w:rPr>
        <w:t>the main</w:t>
      </w:r>
      <w:r w:rsidR="00856F3A" w:rsidRPr="00100024">
        <w:rPr>
          <w:sz w:val="24"/>
          <w:szCs w:val="24"/>
        </w:rPr>
        <w:t xml:space="preserve"> application</w:t>
      </w:r>
      <w:r w:rsidR="00922D6B" w:rsidRPr="00100024">
        <w:rPr>
          <w:sz w:val="24"/>
          <w:szCs w:val="24"/>
        </w:rPr>
        <w:t xml:space="preserve">. </w:t>
      </w:r>
      <w:r w:rsidR="00EA5AC0" w:rsidRPr="00100024">
        <w:rPr>
          <w:sz w:val="24"/>
          <w:szCs w:val="24"/>
        </w:rPr>
        <w:t xml:space="preserve">Marks </w:t>
      </w:r>
      <w:r w:rsidR="00134670" w:rsidRPr="00100024">
        <w:rPr>
          <w:sz w:val="24"/>
          <w:szCs w:val="24"/>
        </w:rPr>
        <w:t xml:space="preserve">then </w:t>
      </w:r>
      <w:r w:rsidR="00856F3A" w:rsidRPr="00100024">
        <w:rPr>
          <w:sz w:val="24"/>
          <w:szCs w:val="24"/>
        </w:rPr>
        <w:t>brought a</w:t>
      </w:r>
      <w:r w:rsidR="00134670" w:rsidRPr="00100024">
        <w:rPr>
          <w:sz w:val="24"/>
          <w:szCs w:val="24"/>
        </w:rPr>
        <w:t xml:space="preserve"> further a</w:t>
      </w:r>
      <w:r w:rsidR="00856F3A" w:rsidRPr="00100024">
        <w:rPr>
          <w:sz w:val="24"/>
          <w:szCs w:val="24"/>
        </w:rPr>
        <w:t xml:space="preserve">pplication </w:t>
      </w:r>
      <w:r w:rsidR="00EA5AC0" w:rsidRPr="00100024">
        <w:rPr>
          <w:sz w:val="24"/>
          <w:szCs w:val="24"/>
        </w:rPr>
        <w:t>to intervene</w:t>
      </w:r>
      <w:r w:rsidR="00856F3A" w:rsidRPr="00100024">
        <w:rPr>
          <w:sz w:val="24"/>
          <w:szCs w:val="24"/>
        </w:rPr>
        <w:t xml:space="preserve"> and </w:t>
      </w:r>
      <w:r w:rsidR="00EA5AC0" w:rsidRPr="00100024">
        <w:rPr>
          <w:sz w:val="24"/>
          <w:szCs w:val="24"/>
        </w:rPr>
        <w:t xml:space="preserve">a </w:t>
      </w:r>
      <w:r w:rsidR="003B0863" w:rsidRPr="00100024">
        <w:rPr>
          <w:sz w:val="24"/>
          <w:szCs w:val="24"/>
        </w:rPr>
        <w:t xml:space="preserve">further </w:t>
      </w:r>
      <w:r w:rsidR="00EA5AC0" w:rsidRPr="00100024">
        <w:rPr>
          <w:sz w:val="24"/>
          <w:szCs w:val="24"/>
        </w:rPr>
        <w:t xml:space="preserve">conditional application requesting the </w:t>
      </w:r>
      <w:r w:rsidR="00856F3A" w:rsidRPr="00100024">
        <w:rPr>
          <w:sz w:val="24"/>
          <w:szCs w:val="24"/>
        </w:rPr>
        <w:t>c</w:t>
      </w:r>
      <w:r w:rsidR="00EA5AC0" w:rsidRPr="00100024">
        <w:rPr>
          <w:sz w:val="24"/>
          <w:szCs w:val="24"/>
        </w:rPr>
        <w:t xml:space="preserve">ourt to stay the winding-up </w:t>
      </w:r>
      <w:r w:rsidR="00A32656" w:rsidRPr="00100024">
        <w:rPr>
          <w:sz w:val="24"/>
          <w:szCs w:val="24"/>
        </w:rPr>
        <w:t xml:space="preserve">process </w:t>
      </w:r>
      <w:r w:rsidR="004708E7" w:rsidRPr="00100024">
        <w:rPr>
          <w:sz w:val="24"/>
          <w:szCs w:val="24"/>
        </w:rPr>
        <w:t xml:space="preserve">as aforesaid, </w:t>
      </w:r>
      <w:r w:rsidR="00134670" w:rsidRPr="00100024">
        <w:rPr>
          <w:sz w:val="24"/>
          <w:szCs w:val="24"/>
        </w:rPr>
        <w:t xml:space="preserve">which applications were </w:t>
      </w:r>
      <w:r w:rsidR="004708E7" w:rsidRPr="00100024">
        <w:rPr>
          <w:sz w:val="24"/>
          <w:szCs w:val="24"/>
        </w:rPr>
        <w:t xml:space="preserve">supported </w:t>
      </w:r>
      <w:r w:rsidR="00A32656" w:rsidRPr="00100024">
        <w:rPr>
          <w:sz w:val="24"/>
          <w:szCs w:val="24"/>
        </w:rPr>
        <w:t>by</w:t>
      </w:r>
      <w:r w:rsidR="004708E7" w:rsidRPr="00100024">
        <w:rPr>
          <w:sz w:val="24"/>
          <w:szCs w:val="24"/>
        </w:rPr>
        <w:t xml:space="preserve"> voluminous affidavits.</w:t>
      </w:r>
    </w:p>
    <w:p w14:paraId="42F4F770" w14:textId="39725A15" w:rsidR="00856F3A" w:rsidRDefault="00560794" w:rsidP="00560794">
      <w:pPr>
        <w:pStyle w:val="BodyText3"/>
        <w:spacing w:after="240" w:line="480" w:lineRule="auto"/>
        <w:rPr>
          <w:sz w:val="24"/>
          <w:szCs w:val="24"/>
        </w:rPr>
      </w:pPr>
      <w:r>
        <w:rPr>
          <w:sz w:val="22"/>
          <w:szCs w:val="22"/>
        </w:rPr>
        <w:t>[13]</w:t>
      </w:r>
      <w:r>
        <w:rPr>
          <w:sz w:val="22"/>
          <w:szCs w:val="22"/>
        </w:rPr>
        <w:tab/>
      </w:r>
      <w:r w:rsidR="00EA5AC0" w:rsidRPr="00BD3F5D">
        <w:rPr>
          <w:sz w:val="24"/>
          <w:szCs w:val="24"/>
        </w:rPr>
        <w:t>I consequently had the benefit</w:t>
      </w:r>
      <w:r w:rsidR="00922D6B">
        <w:rPr>
          <w:sz w:val="24"/>
          <w:szCs w:val="24"/>
        </w:rPr>
        <w:t>,</w:t>
      </w:r>
      <w:r w:rsidR="00EA5AC0" w:rsidRPr="00BD3F5D">
        <w:rPr>
          <w:sz w:val="24"/>
          <w:szCs w:val="24"/>
        </w:rPr>
        <w:t xml:space="preserve"> not only of argument on behalf of the party </w:t>
      </w:r>
      <w:r w:rsidR="00856F3A">
        <w:rPr>
          <w:sz w:val="24"/>
          <w:szCs w:val="24"/>
        </w:rPr>
        <w:t xml:space="preserve">allegedly </w:t>
      </w:r>
      <w:r w:rsidR="00EA5AC0" w:rsidRPr="00BD3F5D">
        <w:rPr>
          <w:sz w:val="24"/>
          <w:szCs w:val="24"/>
        </w:rPr>
        <w:t>absent during the granting of the original order</w:t>
      </w:r>
      <w:r w:rsidR="00B40B7B">
        <w:rPr>
          <w:sz w:val="24"/>
          <w:szCs w:val="24"/>
        </w:rPr>
        <w:t>,</w:t>
      </w:r>
      <w:r w:rsidR="00EA5AC0" w:rsidRPr="00BD3F5D">
        <w:rPr>
          <w:sz w:val="24"/>
          <w:szCs w:val="24"/>
        </w:rPr>
        <w:t xml:space="preserve"> but also the benefit of the </w:t>
      </w:r>
      <w:r w:rsidR="00856F3A">
        <w:rPr>
          <w:sz w:val="24"/>
          <w:szCs w:val="24"/>
        </w:rPr>
        <w:t xml:space="preserve">information </w:t>
      </w:r>
      <w:r w:rsidR="00EA5AC0" w:rsidRPr="00BD3F5D">
        <w:rPr>
          <w:sz w:val="24"/>
          <w:szCs w:val="24"/>
        </w:rPr>
        <w:t xml:space="preserve">contained in the </w:t>
      </w:r>
      <w:r w:rsidR="00856F3A">
        <w:rPr>
          <w:sz w:val="24"/>
          <w:szCs w:val="24"/>
        </w:rPr>
        <w:t xml:space="preserve">many </w:t>
      </w:r>
      <w:r w:rsidR="00EA5AC0" w:rsidRPr="00BD3F5D">
        <w:rPr>
          <w:sz w:val="24"/>
          <w:szCs w:val="24"/>
        </w:rPr>
        <w:t xml:space="preserve">affidavits filed </w:t>
      </w:r>
      <w:r w:rsidR="00856F3A">
        <w:rPr>
          <w:sz w:val="24"/>
          <w:szCs w:val="24"/>
        </w:rPr>
        <w:t xml:space="preserve">at that stage. </w:t>
      </w:r>
    </w:p>
    <w:p w14:paraId="21803706" w14:textId="33009C21" w:rsidR="00856F3A" w:rsidRDefault="00560794" w:rsidP="00560794">
      <w:pPr>
        <w:pStyle w:val="BodyText3"/>
        <w:spacing w:after="240" w:line="480" w:lineRule="auto"/>
        <w:rPr>
          <w:sz w:val="24"/>
          <w:szCs w:val="24"/>
        </w:rPr>
      </w:pPr>
      <w:r>
        <w:rPr>
          <w:sz w:val="22"/>
          <w:szCs w:val="22"/>
        </w:rPr>
        <w:t>[14]</w:t>
      </w:r>
      <w:r>
        <w:rPr>
          <w:sz w:val="22"/>
          <w:szCs w:val="22"/>
        </w:rPr>
        <w:tab/>
      </w:r>
      <w:r w:rsidR="00856F3A">
        <w:rPr>
          <w:sz w:val="24"/>
          <w:szCs w:val="24"/>
        </w:rPr>
        <w:t xml:space="preserve">The </w:t>
      </w:r>
      <w:r w:rsidR="00EA5AC0" w:rsidRPr="00BD3F5D">
        <w:rPr>
          <w:sz w:val="24"/>
          <w:szCs w:val="24"/>
        </w:rPr>
        <w:t>mechanism provided for in terms of Rule 6(12)(c)</w:t>
      </w:r>
      <w:r w:rsidR="00856F3A">
        <w:rPr>
          <w:sz w:val="24"/>
          <w:szCs w:val="24"/>
        </w:rPr>
        <w:t xml:space="preserve">, is </w:t>
      </w:r>
      <w:r w:rsidR="00EA5AC0" w:rsidRPr="00BD3F5D">
        <w:rPr>
          <w:sz w:val="24"/>
          <w:szCs w:val="24"/>
        </w:rPr>
        <w:t>to redress imbalances, injustices and/or oppression which may flow from an order granted in an urgent matter in a party’s absence</w:t>
      </w:r>
      <w:r w:rsidR="00856F3A">
        <w:rPr>
          <w:sz w:val="24"/>
          <w:szCs w:val="24"/>
        </w:rPr>
        <w:t xml:space="preserve">. It therefore, in my view, follows that all available information, properly before court at the </w:t>
      </w:r>
      <w:r w:rsidR="000C1BF5">
        <w:rPr>
          <w:sz w:val="24"/>
          <w:szCs w:val="24"/>
        </w:rPr>
        <w:t xml:space="preserve">time of </w:t>
      </w:r>
      <w:r w:rsidR="00856F3A">
        <w:rPr>
          <w:sz w:val="24"/>
          <w:szCs w:val="24"/>
        </w:rPr>
        <w:t>reconsideration, should be considered.</w:t>
      </w:r>
    </w:p>
    <w:p w14:paraId="38836006" w14:textId="0CDDC5F9" w:rsidR="00EA5AC0" w:rsidRPr="00EA5AC0" w:rsidRDefault="00560794" w:rsidP="00560794">
      <w:pPr>
        <w:pStyle w:val="BodyText3"/>
        <w:spacing w:after="240" w:line="480" w:lineRule="auto"/>
        <w:rPr>
          <w:sz w:val="24"/>
          <w:szCs w:val="24"/>
        </w:rPr>
      </w:pPr>
      <w:r w:rsidRPr="00EA5AC0">
        <w:rPr>
          <w:sz w:val="22"/>
          <w:szCs w:val="22"/>
        </w:rPr>
        <w:t>[15]</w:t>
      </w:r>
      <w:r w:rsidRPr="00EA5AC0">
        <w:rPr>
          <w:sz w:val="22"/>
          <w:szCs w:val="22"/>
        </w:rPr>
        <w:tab/>
      </w:r>
      <w:r w:rsidR="00EA5AC0" w:rsidRPr="00EA5AC0">
        <w:rPr>
          <w:sz w:val="24"/>
          <w:szCs w:val="24"/>
        </w:rPr>
        <w:t xml:space="preserve">In the matter of </w:t>
      </w:r>
      <w:r w:rsidR="00EA5AC0" w:rsidRPr="00C00514">
        <w:rPr>
          <w:iCs/>
          <w:sz w:val="24"/>
          <w:szCs w:val="24"/>
        </w:rPr>
        <w:t>Phillips and Others v National Director of Public Prosecutions</w:t>
      </w:r>
      <w:r w:rsidR="00EA5AC0" w:rsidRPr="00EA5AC0">
        <w:rPr>
          <w:sz w:val="24"/>
          <w:szCs w:val="24"/>
        </w:rPr>
        <w:t xml:space="preserve"> </w:t>
      </w:r>
      <w:r w:rsidR="00EA5AC0" w:rsidRPr="00DB7C38">
        <w:rPr>
          <w:sz w:val="24"/>
          <w:szCs w:val="24"/>
        </w:rPr>
        <w:t>2003 (6)</w:t>
      </w:r>
      <w:r w:rsidR="00EA5AC0" w:rsidRPr="00EA5AC0">
        <w:rPr>
          <w:sz w:val="24"/>
          <w:szCs w:val="24"/>
        </w:rPr>
        <w:t xml:space="preserve"> SA 447 (SCA) How</w:t>
      </w:r>
      <w:r w:rsidR="007B0D22">
        <w:rPr>
          <w:sz w:val="24"/>
          <w:szCs w:val="24"/>
        </w:rPr>
        <w:t>i</w:t>
      </w:r>
      <w:r w:rsidR="00EA5AC0" w:rsidRPr="00EA5AC0">
        <w:rPr>
          <w:sz w:val="24"/>
          <w:szCs w:val="24"/>
        </w:rPr>
        <w:t>e J</w:t>
      </w:r>
      <w:r w:rsidR="007B0D22">
        <w:rPr>
          <w:sz w:val="24"/>
          <w:szCs w:val="24"/>
        </w:rPr>
        <w:t>A</w:t>
      </w:r>
      <w:r w:rsidR="00EA5AC0" w:rsidRPr="00EA5AC0">
        <w:rPr>
          <w:sz w:val="24"/>
          <w:szCs w:val="24"/>
        </w:rPr>
        <w:t xml:space="preserve"> held at </w:t>
      </w:r>
      <w:r w:rsidR="004708E7">
        <w:rPr>
          <w:sz w:val="24"/>
          <w:szCs w:val="24"/>
        </w:rPr>
        <w:t xml:space="preserve">para </w:t>
      </w:r>
      <w:r w:rsidR="00C00514">
        <w:rPr>
          <w:sz w:val="24"/>
          <w:szCs w:val="24"/>
        </w:rPr>
        <w:t>[</w:t>
      </w:r>
      <w:r w:rsidR="00EA5AC0" w:rsidRPr="00EA5AC0">
        <w:rPr>
          <w:sz w:val="24"/>
          <w:szCs w:val="24"/>
        </w:rPr>
        <w:t>29</w:t>
      </w:r>
      <w:r w:rsidR="00C00514">
        <w:rPr>
          <w:sz w:val="24"/>
          <w:szCs w:val="24"/>
        </w:rPr>
        <w:t>]</w:t>
      </w:r>
      <w:r w:rsidR="00EA5AC0" w:rsidRPr="00EA5AC0">
        <w:rPr>
          <w:sz w:val="24"/>
          <w:szCs w:val="24"/>
        </w:rPr>
        <w:t xml:space="preserve"> that: </w:t>
      </w:r>
    </w:p>
    <w:p w14:paraId="755C3F74" w14:textId="088A0DBA" w:rsidR="00EA5AC0" w:rsidRPr="000C1BF5" w:rsidRDefault="00EA5AC0" w:rsidP="00BA549D">
      <w:pPr>
        <w:pStyle w:val="BodyText3"/>
        <w:spacing w:after="240" w:line="480" w:lineRule="auto"/>
        <w:ind w:left="720"/>
        <w:rPr>
          <w:sz w:val="24"/>
          <w:szCs w:val="24"/>
        </w:rPr>
      </w:pPr>
      <w:r w:rsidRPr="00EA5AC0">
        <w:rPr>
          <w:sz w:val="24"/>
          <w:szCs w:val="24"/>
        </w:rPr>
        <w:t>“</w:t>
      </w:r>
      <w:r w:rsidRPr="00240325">
        <w:rPr>
          <w:sz w:val="22"/>
          <w:szCs w:val="22"/>
        </w:rPr>
        <w:t>It is trite that an ex parte applicant must disclose all material facts that might influence the Court in deciding the application. If the applicant fails in this regard and the application is nevertheless granted in provisional form, the Court hearing the matter on the return day has a discretion, when given the full facts, to set aside the provisional order or confirm it. In exercising that discretion</w:t>
      </w:r>
      <w:r w:rsidR="00240325">
        <w:rPr>
          <w:sz w:val="22"/>
          <w:szCs w:val="22"/>
        </w:rPr>
        <w:t>,</w:t>
      </w:r>
      <w:r w:rsidRPr="00240325">
        <w:rPr>
          <w:sz w:val="22"/>
          <w:szCs w:val="22"/>
        </w:rPr>
        <w:t xml:space="preserve"> the later Court will have regard to the extent of the non-disclosure; the question whether the first Court might have been influenced by proper disclosure; the reasons for non-disclosure and the consequences of setting the provisional order aside</w:t>
      </w:r>
      <w:r w:rsidRPr="00EA5AC0">
        <w:rPr>
          <w:sz w:val="24"/>
          <w:szCs w:val="24"/>
        </w:rPr>
        <w:t>.”</w:t>
      </w:r>
      <w:r w:rsidRPr="000C1BF5">
        <w:rPr>
          <w:sz w:val="24"/>
          <w:szCs w:val="24"/>
        </w:rPr>
        <w:t xml:space="preserve">  </w:t>
      </w:r>
    </w:p>
    <w:p w14:paraId="035E4281" w14:textId="2D6167F4" w:rsidR="008B6E22" w:rsidRDefault="00560794" w:rsidP="00560794">
      <w:pPr>
        <w:pStyle w:val="BodyText3"/>
        <w:spacing w:after="240" w:line="480" w:lineRule="auto"/>
        <w:rPr>
          <w:sz w:val="24"/>
          <w:szCs w:val="24"/>
        </w:rPr>
      </w:pPr>
      <w:r>
        <w:rPr>
          <w:sz w:val="22"/>
          <w:szCs w:val="22"/>
        </w:rPr>
        <w:lastRenderedPageBreak/>
        <w:t>[16]</w:t>
      </w:r>
      <w:r>
        <w:rPr>
          <w:sz w:val="22"/>
          <w:szCs w:val="22"/>
        </w:rPr>
        <w:tab/>
      </w:r>
      <w:r w:rsidR="00730FCF" w:rsidRPr="000C1BF5">
        <w:rPr>
          <w:sz w:val="24"/>
          <w:szCs w:val="24"/>
        </w:rPr>
        <w:t>Marks did not allege</w:t>
      </w:r>
      <w:r w:rsidR="00C40EDE" w:rsidRPr="000C1BF5">
        <w:rPr>
          <w:sz w:val="24"/>
          <w:szCs w:val="24"/>
        </w:rPr>
        <w:t xml:space="preserve"> </w:t>
      </w:r>
      <w:r w:rsidR="007B0D22" w:rsidRPr="000C1BF5">
        <w:rPr>
          <w:sz w:val="24"/>
          <w:szCs w:val="24"/>
        </w:rPr>
        <w:t>that</w:t>
      </w:r>
      <w:r w:rsidR="00C40EDE" w:rsidRPr="000C1BF5">
        <w:rPr>
          <w:sz w:val="24"/>
          <w:szCs w:val="24"/>
        </w:rPr>
        <w:t xml:space="preserve"> </w:t>
      </w:r>
      <w:r w:rsidR="00EA5AC0" w:rsidRPr="000C1BF5">
        <w:rPr>
          <w:sz w:val="24"/>
          <w:szCs w:val="24"/>
        </w:rPr>
        <w:t xml:space="preserve">non-disclosures </w:t>
      </w:r>
      <w:r w:rsidR="00C40EDE" w:rsidRPr="000C1BF5">
        <w:rPr>
          <w:sz w:val="24"/>
          <w:szCs w:val="24"/>
        </w:rPr>
        <w:t xml:space="preserve">were made by </w:t>
      </w:r>
      <w:r w:rsidR="00384EEE" w:rsidRPr="000C1BF5">
        <w:rPr>
          <w:sz w:val="24"/>
          <w:szCs w:val="24"/>
        </w:rPr>
        <w:t>the a</w:t>
      </w:r>
      <w:r w:rsidR="00EA5AC0" w:rsidRPr="000C1BF5">
        <w:rPr>
          <w:sz w:val="24"/>
          <w:szCs w:val="24"/>
        </w:rPr>
        <w:t>pplicant prior to the provisional order being granted</w:t>
      </w:r>
      <w:r w:rsidR="00134670" w:rsidRPr="000C1BF5">
        <w:rPr>
          <w:sz w:val="24"/>
          <w:szCs w:val="24"/>
        </w:rPr>
        <w:t xml:space="preserve"> and I </w:t>
      </w:r>
      <w:r w:rsidR="00B57CBB">
        <w:rPr>
          <w:sz w:val="24"/>
          <w:szCs w:val="24"/>
        </w:rPr>
        <w:t xml:space="preserve">could not </w:t>
      </w:r>
      <w:r w:rsidR="00134670" w:rsidRPr="000C1BF5">
        <w:rPr>
          <w:sz w:val="24"/>
          <w:szCs w:val="24"/>
        </w:rPr>
        <w:t>find that any material non-disclosures</w:t>
      </w:r>
      <w:r w:rsidR="00AA65D6">
        <w:rPr>
          <w:sz w:val="24"/>
          <w:szCs w:val="24"/>
        </w:rPr>
        <w:t xml:space="preserve"> were made</w:t>
      </w:r>
      <w:r w:rsidR="0003051A" w:rsidRPr="000C1BF5">
        <w:rPr>
          <w:sz w:val="24"/>
          <w:szCs w:val="24"/>
        </w:rPr>
        <w:t xml:space="preserve">. </w:t>
      </w:r>
      <w:r w:rsidR="000C1BF5" w:rsidRPr="000C1BF5">
        <w:rPr>
          <w:sz w:val="24"/>
          <w:szCs w:val="24"/>
        </w:rPr>
        <w:t xml:space="preserve">The case made out </w:t>
      </w:r>
      <w:r w:rsidR="000C1BF5" w:rsidRPr="000C1BF5">
        <w:rPr>
          <w:i/>
          <w:iCs/>
          <w:sz w:val="24"/>
          <w:szCs w:val="24"/>
        </w:rPr>
        <w:t>ex parte</w:t>
      </w:r>
      <w:r w:rsidR="000C1BF5" w:rsidRPr="000C1BF5">
        <w:rPr>
          <w:sz w:val="24"/>
          <w:szCs w:val="24"/>
        </w:rPr>
        <w:t xml:space="preserve"> ha</w:t>
      </w:r>
      <w:r w:rsidR="00AA65D6">
        <w:rPr>
          <w:sz w:val="24"/>
          <w:szCs w:val="24"/>
        </w:rPr>
        <w:t>d not been d</w:t>
      </w:r>
      <w:r w:rsidR="000C1BF5" w:rsidRPr="000C1BF5">
        <w:rPr>
          <w:sz w:val="24"/>
          <w:szCs w:val="24"/>
        </w:rPr>
        <w:t>islodged by the facts which were placed before court in the reconsideration. The reconsideration was according dismissed.</w:t>
      </w:r>
      <w:r w:rsidR="00C40EDE" w:rsidRPr="000C1BF5">
        <w:rPr>
          <w:sz w:val="24"/>
          <w:szCs w:val="24"/>
        </w:rPr>
        <w:t xml:space="preserve"> </w:t>
      </w:r>
    </w:p>
    <w:p w14:paraId="33EB1D1D" w14:textId="77777777" w:rsidR="001D42FF" w:rsidRPr="000C1BF5" w:rsidRDefault="001D42FF" w:rsidP="001D42FF">
      <w:pPr>
        <w:pStyle w:val="BodyText3"/>
        <w:spacing w:after="240" w:line="480" w:lineRule="auto"/>
        <w:rPr>
          <w:sz w:val="24"/>
          <w:szCs w:val="24"/>
        </w:rPr>
      </w:pPr>
    </w:p>
    <w:p w14:paraId="1CBE1645" w14:textId="6209CF45" w:rsidR="00C40EDE" w:rsidRDefault="00560794" w:rsidP="00560794">
      <w:pPr>
        <w:pStyle w:val="BodyText3"/>
        <w:spacing w:after="240" w:line="480" w:lineRule="auto"/>
        <w:rPr>
          <w:sz w:val="24"/>
          <w:szCs w:val="24"/>
        </w:rPr>
      </w:pPr>
      <w:r>
        <w:rPr>
          <w:sz w:val="22"/>
          <w:szCs w:val="22"/>
        </w:rPr>
        <w:t>[17]</w:t>
      </w:r>
      <w:r>
        <w:rPr>
          <w:sz w:val="22"/>
          <w:szCs w:val="22"/>
        </w:rPr>
        <w:tab/>
      </w:r>
      <w:r w:rsidR="008B6E22">
        <w:rPr>
          <w:sz w:val="24"/>
          <w:szCs w:val="24"/>
        </w:rPr>
        <w:t>The a</w:t>
      </w:r>
      <w:r w:rsidR="00EA5AC0" w:rsidRPr="00BA549D">
        <w:rPr>
          <w:sz w:val="24"/>
          <w:szCs w:val="24"/>
        </w:rPr>
        <w:t>pplicant ha</w:t>
      </w:r>
      <w:r w:rsidR="008B6E22">
        <w:rPr>
          <w:sz w:val="24"/>
          <w:szCs w:val="24"/>
        </w:rPr>
        <w:t>d</w:t>
      </w:r>
      <w:r w:rsidR="00EA5AC0" w:rsidRPr="00BA549D">
        <w:rPr>
          <w:sz w:val="24"/>
          <w:szCs w:val="24"/>
        </w:rPr>
        <w:t xml:space="preserve"> established that he ha</w:t>
      </w:r>
      <w:r w:rsidR="000C1BF5">
        <w:rPr>
          <w:sz w:val="24"/>
          <w:szCs w:val="24"/>
        </w:rPr>
        <w:t>d</w:t>
      </w:r>
      <w:r w:rsidR="00EA5AC0" w:rsidRPr="00BA549D">
        <w:rPr>
          <w:sz w:val="24"/>
          <w:szCs w:val="24"/>
        </w:rPr>
        <w:t xml:space="preserve"> a claim against </w:t>
      </w:r>
      <w:r w:rsidR="007B0D22">
        <w:rPr>
          <w:sz w:val="24"/>
          <w:szCs w:val="24"/>
        </w:rPr>
        <w:t>MTI</w:t>
      </w:r>
      <w:r w:rsidR="008B6E22">
        <w:rPr>
          <w:sz w:val="24"/>
          <w:szCs w:val="24"/>
        </w:rPr>
        <w:t xml:space="preserve"> which it was unable to pay </w:t>
      </w:r>
      <w:r w:rsidR="001B7F43">
        <w:rPr>
          <w:sz w:val="24"/>
          <w:szCs w:val="24"/>
        </w:rPr>
        <w:t xml:space="preserve">and </w:t>
      </w:r>
      <w:r w:rsidR="00C40EDE">
        <w:rPr>
          <w:sz w:val="24"/>
          <w:szCs w:val="24"/>
        </w:rPr>
        <w:t xml:space="preserve">it was further </w:t>
      </w:r>
      <w:r w:rsidR="00987C69">
        <w:rPr>
          <w:sz w:val="24"/>
          <w:szCs w:val="24"/>
        </w:rPr>
        <w:t xml:space="preserve">common cause that MTI was unable to </w:t>
      </w:r>
      <w:r w:rsidR="00EA5AC0" w:rsidRPr="00BA549D">
        <w:rPr>
          <w:sz w:val="24"/>
          <w:szCs w:val="24"/>
        </w:rPr>
        <w:t>trade as the only person who allegedly ha</w:t>
      </w:r>
      <w:r w:rsidR="00987C69">
        <w:rPr>
          <w:sz w:val="24"/>
          <w:szCs w:val="24"/>
        </w:rPr>
        <w:t>d</w:t>
      </w:r>
      <w:r w:rsidR="00EA5AC0" w:rsidRPr="00BA549D">
        <w:rPr>
          <w:sz w:val="24"/>
          <w:szCs w:val="24"/>
        </w:rPr>
        <w:t xml:space="preserve"> access to the cryptocurrency codes, Steynberg, ha</w:t>
      </w:r>
      <w:r w:rsidR="00987C69">
        <w:rPr>
          <w:sz w:val="24"/>
          <w:szCs w:val="24"/>
        </w:rPr>
        <w:t>d</w:t>
      </w:r>
      <w:r w:rsidR="00EA5AC0" w:rsidRPr="00BA549D">
        <w:rPr>
          <w:sz w:val="24"/>
          <w:szCs w:val="24"/>
        </w:rPr>
        <w:t xml:space="preserve"> disappeared. </w:t>
      </w:r>
      <w:r w:rsidR="009233D6">
        <w:rPr>
          <w:sz w:val="24"/>
          <w:szCs w:val="24"/>
        </w:rPr>
        <w:t xml:space="preserve">Based on </w:t>
      </w:r>
      <w:r w:rsidR="000363D7">
        <w:rPr>
          <w:sz w:val="24"/>
          <w:szCs w:val="24"/>
        </w:rPr>
        <w:t>all the facts before court</w:t>
      </w:r>
      <w:r w:rsidR="009233D6">
        <w:rPr>
          <w:sz w:val="24"/>
          <w:szCs w:val="24"/>
        </w:rPr>
        <w:t xml:space="preserve">, it was in my view </w:t>
      </w:r>
      <w:r w:rsidR="00EA5AC0" w:rsidRPr="00BA549D">
        <w:rPr>
          <w:sz w:val="24"/>
          <w:szCs w:val="24"/>
        </w:rPr>
        <w:t>just and equitable to finally w</w:t>
      </w:r>
      <w:r w:rsidR="00C40EDE">
        <w:rPr>
          <w:sz w:val="24"/>
          <w:szCs w:val="24"/>
        </w:rPr>
        <w:t>ind</w:t>
      </w:r>
      <w:r w:rsidR="00EA5AC0" w:rsidRPr="00BA549D">
        <w:rPr>
          <w:sz w:val="24"/>
          <w:szCs w:val="24"/>
        </w:rPr>
        <w:t xml:space="preserve">-up </w:t>
      </w:r>
      <w:r w:rsidR="00980885" w:rsidRPr="00BA549D">
        <w:rPr>
          <w:sz w:val="24"/>
          <w:szCs w:val="24"/>
        </w:rPr>
        <w:t xml:space="preserve">MTI. </w:t>
      </w:r>
      <w:r w:rsidR="00C40EDE">
        <w:rPr>
          <w:sz w:val="24"/>
          <w:szCs w:val="24"/>
        </w:rPr>
        <w:t>On 30 June 2021 a final liquidation order was granted and a further order, which pertained to the various further applications before me, was granted by agreement between the parties</w:t>
      </w:r>
      <w:r w:rsidR="00C40EDE">
        <w:rPr>
          <w:rStyle w:val="FootnoteReference"/>
          <w:sz w:val="24"/>
          <w:szCs w:val="24"/>
        </w:rPr>
        <w:footnoteReference w:id="7"/>
      </w:r>
      <w:r w:rsidR="005671C1">
        <w:rPr>
          <w:sz w:val="24"/>
          <w:szCs w:val="24"/>
        </w:rPr>
        <w:t>.</w:t>
      </w:r>
    </w:p>
    <w:p w14:paraId="217E845B" w14:textId="13594070" w:rsidR="00B44C09" w:rsidRDefault="00560794" w:rsidP="00560794">
      <w:pPr>
        <w:pStyle w:val="BodyText3"/>
        <w:spacing w:after="240" w:line="480" w:lineRule="auto"/>
        <w:rPr>
          <w:sz w:val="24"/>
          <w:szCs w:val="24"/>
        </w:rPr>
      </w:pPr>
      <w:r>
        <w:rPr>
          <w:sz w:val="22"/>
          <w:szCs w:val="22"/>
        </w:rPr>
        <w:t>[18]</w:t>
      </w:r>
      <w:r>
        <w:rPr>
          <w:sz w:val="22"/>
          <w:szCs w:val="22"/>
        </w:rPr>
        <w:tab/>
      </w:r>
      <w:r w:rsidR="00C62F05" w:rsidRPr="00C40EDE">
        <w:rPr>
          <w:sz w:val="24"/>
          <w:szCs w:val="24"/>
        </w:rPr>
        <w:t>Prior to the hearing of the application</w:t>
      </w:r>
      <w:r w:rsidR="001B2D6F">
        <w:rPr>
          <w:sz w:val="24"/>
          <w:szCs w:val="24"/>
        </w:rPr>
        <w:t>s</w:t>
      </w:r>
      <w:r w:rsidR="00C62F05" w:rsidRPr="00C40EDE">
        <w:rPr>
          <w:sz w:val="24"/>
          <w:szCs w:val="24"/>
        </w:rPr>
        <w:t>,</w:t>
      </w:r>
      <w:r w:rsidR="001B2D6F">
        <w:rPr>
          <w:sz w:val="24"/>
          <w:szCs w:val="24"/>
        </w:rPr>
        <w:t xml:space="preserve"> and</w:t>
      </w:r>
      <w:r w:rsidR="00C62F05" w:rsidRPr="00C40EDE">
        <w:rPr>
          <w:sz w:val="24"/>
          <w:szCs w:val="24"/>
        </w:rPr>
        <w:t xml:space="preserve"> </w:t>
      </w:r>
      <w:r w:rsidR="00D66057" w:rsidRPr="00C40EDE">
        <w:rPr>
          <w:sz w:val="24"/>
          <w:szCs w:val="24"/>
        </w:rPr>
        <w:t>in September 2021</w:t>
      </w:r>
      <w:r w:rsidR="004708E7">
        <w:rPr>
          <w:sz w:val="24"/>
          <w:szCs w:val="24"/>
        </w:rPr>
        <w:t>,</w:t>
      </w:r>
      <w:r w:rsidR="00D66057" w:rsidRPr="00C40EDE">
        <w:rPr>
          <w:sz w:val="24"/>
          <w:szCs w:val="24"/>
        </w:rPr>
        <w:t xml:space="preserve"> </w:t>
      </w:r>
      <w:r w:rsidR="00C62F05" w:rsidRPr="00C40EDE">
        <w:rPr>
          <w:sz w:val="24"/>
          <w:szCs w:val="24"/>
        </w:rPr>
        <w:t xml:space="preserve">the applicants were </w:t>
      </w:r>
      <w:r w:rsidR="00207777" w:rsidRPr="00C40EDE">
        <w:rPr>
          <w:sz w:val="24"/>
          <w:szCs w:val="24"/>
        </w:rPr>
        <w:t>appointed as the</w:t>
      </w:r>
      <w:r w:rsidR="004509EC" w:rsidRPr="00C40EDE">
        <w:rPr>
          <w:sz w:val="24"/>
          <w:szCs w:val="24"/>
        </w:rPr>
        <w:t xml:space="preserve"> final</w:t>
      </w:r>
      <w:r w:rsidR="00207777" w:rsidRPr="00C40EDE">
        <w:rPr>
          <w:sz w:val="24"/>
          <w:szCs w:val="24"/>
        </w:rPr>
        <w:t xml:space="preserve"> </w:t>
      </w:r>
      <w:r w:rsidR="007E19A3" w:rsidRPr="00C40EDE">
        <w:rPr>
          <w:sz w:val="24"/>
          <w:szCs w:val="24"/>
        </w:rPr>
        <w:t>liquidators of MTI</w:t>
      </w:r>
      <w:r w:rsidR="00C62F05" w:rsidRPr="00C40EDE">
        <w:rPr>
          <w:sz w:val="24"/>
          <w:szCs w:val="24"/>
        </w:rPr>
        <w:t xml:space="preserve"> and several </w:t>
      </w:r>
      <w:r w:rsidR="004509EC" w:rsidRPr="00C40EDE">
        <w:rPr>
          <w:sz w:val="24"/>
          <w:szCs w:val="24"/>
        </w:rPr>
        <w:t xml:space="preserve">further </w:t>
      </w:r>
      <w:r w:rsidR="00AC3B0C" w:rsidRPr="00C40EDE">
        <w:rPr>
          <w:sz w:val="24"/>
          <w:szCs w:val="24"/>
        </w:rPr>
        <w:t xml:space="preserve">interlocutory applications were launched by </w:t>
      </w:r>
      <w:r w:rsidR="00C40EDE">
        <w:rPr>
          <w:sz w:val="24"/>
          <w:szCs w:val="24"/>
        </w:rPr>
        <w:t xml:space="preserve">other </w:t>
      </w:r>
      <w:r w:rsidR="00AC3B0C" w:rsidRPr="00C40EDE">
        <w:rPr>
          <w:sz w:val="24"/>
          <w:szCs w:val="24"/>
        </w:rPr>
        <w:t xml:space="preserve">investors/members </w:t>
      </w:r>
      <w:r w:rsidR="009B281C" w:rsidRPr="00C40EDE">
        <w:rPr>
          <w:sz w:val="24"/>
          <w:szCs w:val="24"/>
        </w:rPr>
        <w:t>of MTI</w:t>
      </w:r>
      <w:r w:rsidR="00B45E4D" w:rsidRPr="00C40EDE">
        <w:rPr>
          <w:sz w:val="24"/>
          <w:szCs w:val="24"/>
        </w:rPr>
        <w:t>.</w:t>
      </w:r>
      <w:r w:rsidR="009B281C" w:rsidRPr="00C40EDE">
        <w:rPr>
          <w:sz w:val="24"/>
          <w:szCs w:val="24"/>
        </w:rPr>
        <w:t xml:space="preserve"> Th</w:t>
      </w:r>
      <w:r w:rsidR="00C62F05" w:rsidRPr="00C40EDE">
        <w:rPr>
          <w:sz w:val="24"/>
          <w:szCs w:val="24"/>
        </w:rPr>
        <w:t xml:space="preserve">e parties </w:t>
      </w:r>
      <w:r w:rsidR="007B0D22">
        <w:rPr>
          <w:sz w:val="24"/>
          <w:szCs w:val="24"/>
        </w:rPr>
        <w:t>then</w:t>
      </w:r>
      <w:r w:rsidR="00C62F05" w:rsidRPr="00C40EDE">
        <w:rPr>
          <w:sz w:val="24"/>
          <w:szCs w:val="24"/>
        </w:rPr>
        <w:t xml:space="preserve"> agree</w:t>
      </w:r>
      <w:r w:rsidR="00A47202" w:rsidRPr="00C40EDE">
        <w:rPr>
          <w:sz w:val="24"/>
          <w:szCs w:val="24"/>
        </w:rPr>
        <w:t>d</w:t>
      </w:r>
      <w:r w:rsidR="00C62F05" w:rsidRPr="00C40EDE">
        <w:rPr>
          <w:sz w:val="24"/>
          <w:szCs w:val="24"/>
        </w:rPr>
        <w:t xml:space="preserve"> th</w:t>
      </w:r>
      <w:r w:rsidR="00DA6117">
        <w:rPr>
          <w:sz w:val="24"/>
          <w:szCs w:val="24"/>
        </w:rPr>
        <w:t>at the declaratory relief sought by the applica</w:t>
      </w:r>
      <w:r w:rsidR="007B0D22">
        <w:rPr>
          <w:sz w:val="24"/>
          <w:szCs w:val="24"/>
        </w:rPr>
        <w:t>nts</w:t>
      </w:r>
      <w:r w:rsidR="00DA6117">
        <w:rPr>
          <w:sz w:val="24"/>
          <w:szCs w:val="24"/>
        </w:rPr>
        <w:t xml:space="preserve"> and </w:t>
      </w:r>
      <w:r w:rsidR="00C40EDE">
        <w:rPr>
          <w:sz w:val="24"/>
          <w:szCs w:val="24"/>
        </w:rPr>
        <w:t xml:space="preserve">the </w:t>
      </w:r>
      <w:r w:rsidR="00DA6117">
        <w:rPr>
          <w:sz w:val="24"/>
          <w:szCs w:val="24"/>
        </w:rPr>
        <w:t xml:space="preserve">further </w:t>
      </w:r>
      <w:r w:rsidR="00C62F05" w:rsidRPr="00C40EDE">
        <w:rPr>
          <w:sz w:val="24"/>
          <w:szCs w:val="24"/>
        </w:rPr>
        <w:t xml:space="preserve">interlocutory </w:t>
      </w:r>
      <w:r w:rsidR="00C62F05" w:rsidRPr="00C40EDE">
        <w:rPr>
          <w:sz w:val="24"/>
          <w:szCs w:val="24"/>
        </w:rPr>
        <w:lastRenderedPageBreak/>
        <w:t>applications be postponed in terms of an agreed order</w:t>
      </w:r>
      <w:r w:rsidR="00C40EDE">
        <w:rPr>
          <w:rStyle w:val="FootnoteReference"/>
          <w:sz w:val="24"/>
          <w:szCs w:val="24"/>
        </w:rPr>
        <w:footnoteReference w:id="8"/>
      </w:r>
      <w:r w:rsidR="005671C1">
        <w:rPr>
          <w:sz w:val="24"/>
          <w:szCs w:val="24"/>
        </w:rPr>
        <w:t>.</w:t>
      </w:r>
      <w:r w:rsidR="00DA6117">
        <w:rPr>
          <w:sz w:val="24"/>
          <w:szCs w:val="24"/>
        </w:rPr>
        <w:t xml:space="preserve"> This order made provision for service on members/investors </w:t>
      </w:r>
      <w:r w:rsidR="00B44C09">
        <w:rPr>
          <w:sz w:val="24"/>
          <w:szCs w:val="24"/>
        </w:rPr>
        <w:t>on the following basis:</w:t>
      </w:r>
    </w:p>
    <w:p w14:paraId="2132334A" w14:textId="77777777" w:rsidR="004F08C0" w:rsidRDefault="004F08C0" w:rsidP="00F622B4">
      <w:pPr>
        <w:pStyle w:val="BodyText3"/>
        <w:spacing w:after="240" w:line="480" w:lineRule="auto"/>
        <w:rPr>
          <w:sz w:val="24"/>
          <w:szCs w:val="24"/>
        </w:rPr>
      </w:pPr>
    </w:p>
    <w:p w14:paraId="2E609AE1" w14:textId="08E9FB45" w:rsidR="00AB1F95" w:rsidRDefault="00560794" w:rsidP="00560794">
      <w:pPr>
        <w:pStyle w:val="BodyText3"/>
        <w:spacing w:after="240" w:line="480" w:lineRule="auto"/>
        <w:ind w:left="1279" w:hanging="465"/>
        <w:rPr>
          <w:sz w:val="24"/>
          <w:szCs w:val="24"/>
        </w:rPr>
      </w:pPr>
      <w:r>
        <w:rPr>
          <w:sz w:val="24"/>
          <w:szCs w:val="24"/>
        </w:rPr>
        <w:t>18.1</w:t>
      </w:r>
      <w:r>
        <w:rPr>
          <w:sz w:val="24"/>
          <w:szCs w:val="24"/>
        </w:rPr>
        <w:tab/>
      </w:r>
      <w:r w:rsidR="00672C84">
        <w:rPr>
          <w:sz w:val="24"/>
          <w:szCs w:val="24"/>
        </w:rPr>
        <w:t xml:space="preserve">By posting the </w:t>
      </w:r>
      <w:r w:rsidR="008822A5" w:rsidRPr="00B44C09">
        <w:rPr>
          <w:sz w:val="24"/>
          <w:szCs w:val="24"/>
        </w:rPr>
        <w:t xml:space="preserve">order on the </w:t>
      </w:r>
      <w:r w:rsidR="008822A5" w:rsidRPr="00B44C09">
        <w:rPr>
          <w:i/>
          <w:iCs/>
          <w:sz w:val="24"/>
          <w:szCs w:val="24"/>
        </w:rPr>
        <w:t>Telegram</w:t>
      </w:r>
      <w:r w:rsidR="008822A5" w:rsidRPr="00B44C09">
        <w:rPr>
          <w:sz w:val="24"/>
          <w:szCs w:val="24"/>
        </w:rPr>
        <w:t xml:space="preserve"> </w:t>
      </w:r>
      <w:r w:rsidR="00672C84">
        <w:rPr>
          <w:sz w:val="24"/>
          <w:szCs w:val="24"/>
        </w:rPr>
        <w:t>p</w:t>
      </w:r>
      <w:r w:rsidR="008822A5" w:rsidRPr="00B44C09">
        <w:rPr>
          <w:sz w:val="24"/>
          <w:szCs w:val="24"/>
        </w:rPr>
        <w:t>latform</w:t>
      </w:r>
      <w:r w:rsidR="00672C84">
        <w:rPr>
          <w:sz w:val="24"/>
          <w:szCs w:val="24"/>
        </w:rPr>
        <w:t xml:space="preserve"> of </w:t>
      </w:r>
      <w:r w:rsidR="00AB1F95">
        <w:rPr>
          <w:sz w:val="24"/>
          <w:szCs w:val="24"/>
        </w:rPr>
        <w:t>MTI</w:t>
      </w:r>
      <w:r w:rsidR="008822A5" w:rsidRPr="00B44C09">
        <w:rPr>
          <w:sz w:val="24"/>
          <w:szCs w:val="24"/>
        </w:rPr>
        <w:t>, whereon member</w:t>
      </w:r>
      <w:r w:rsidR="00AB1F95">
        <w:rPr>
          <w:sz w:val="24"/>
          <w:szCs w:val="24"/>
        </w:rPr>
        <w:t>s</w:t>
      </w:r>
      <w:r w:rsidR="008822A5" w:rsidRPr="00B44C09">
        <w:rPr>
          <w:sz w:val="24"/>
          <w:szCs w:val="24"/>
        </w:rPr>
        <w:t xml:space="preserve"> communicate</w:t>
      </w:r>
      <w:r w:rsidR="00AB1F95">
        <w:rPr>
          <w:sz w:val="24"/>
          <w:szCs w:val="24"/>
        </w:rPr>
        <w:t>;</w:t>
      </w:r>
    </w:p>
    <w:p w14:paraId="3CAA1E9C" w14:textId="5E3741F3" w:rsidR="00C30FB2" w:rsidRDefault="00560794" w:rsidP="00560794">
      <w:pPr>
        <w:pStyle w:val="BodyText3"/>
        <w:spacing w:after="240" w:line="480" w:lineRule="auto"/>
        <w:ind w:left="1279" w:hanging="465"/>
        <w:rPr>
          <w:sz w:val="24"/>
          <w:szCs w:val="24"/>
        </w:rPr>
      </w:pPr>
      <w:r>
        <w:rPr>
          <w:sz w:val="24"/>
          <w:szCs w:val="24"/>
        </w:rPr>
        <w:t>18.2</w:t>
      </w:r>
      <w:r>
        <w:rPr>
          <w:sz w:val="24"/>
          <w:szCs w:val="24"/>
        </w:rPr>
        <w:tab/>
      </w:r>
      <w:r w:rsidR="00AB1F95">
        <w:rPr>
          <w:sz w:val="24"/>
          <w:szCs w:val="24"/>
        </w:rPr>
        <w:t xml:space="preserve">By </w:t>
      </w:r>
      <w:r w:rsidR="00CB13CF">
        <w:rPr>
          <w:sz w:val="24"/>
          <w:szCs w:val="24"/>
        </w:rPr>
        <w:t xml:space="preserve">notification to all </w:t>
      </w:r>
      <w:r w:rsidR="008822A5" w:rsidRPr="00CB13CF">
        <w:rPr>
          <w:sz w:val="24"/>
          <w:szCs w:val="24"/>
        </w:rPr>
        <w:t xml:space="preserve">known members/investors of MTI by way of a letter which </w:t>
      </w:r>
      <w:r w:rsidR="007B0D22">
        <w:rPr>
          <w:sz w:val="24"/>
          <w:szCs w:val="24"/>
        </w:rPr>
        <w:t>had</w:t>
      </w:r>
      <w:r w:rsidR="008822A5" w:rsidRPr="00CB13CF">
        <w:rPr>
          <w:sz w:val="24"/>
          <w:szCs w:val="24"/>
        </w:rPr>
        <w:t xml:space="preserve"> to include a hyperlink allowing interested parties access to the order and all papers filed of record in the matter (including the finalised </w:t>
      </w:r>
      <w:r w:rsidR="008822A5" w:rsidRPr="00CB13CF">
        <w:rPr>
          <w:sz w:val="24"/>
          <w:szCs w:val="24"/>
        </w:rPr>
        <w:lastRenderedPageBreak/>
        <w:t xml:space="preserve">winding-up application), </w:t>
      </w:r>
      <w:r w:rsidR="007B0D22">
        <w:rPr>
          <w:sz w:val="24"/>
          <w:szCs w:val="24"/>
        </w:rPr>
        <w:t xml:space="preserve">sent </w:t>
      </w:r>
      <w:r w:rsidR="008822A5" w:rsidRPr="00CB13CF">
        <w:rPr>
          <w:sz w:val="24"/>
          <w:szCs w:val="24"/>
        </w:rPr>
        <w:t>by way of email to the known email addresses of members/investors</w:t>
      </w:r>
      <w:r w:rsidR="00C30FB2">
        <w:rPr>
          <w:sz w:val="24"/>
          <w:szCs w:val="24"/>
        </w:rPr>
        <w:t xml:space="preserve">; and </w:t>
      </w:r>
    </w:p>
    <w:p w14:paraId="3A055EC0" w14:textId="611ADA58" w:rsidR="00A24130" w:rsidRPr="00797390" w:rsidRDefault="00560794" w:rsidP="00560794">
      <w:pPr>
        <w:pStyle w:val="BodyText3"/>
        <w:spacing w:after="240" w:line="480" w:lineRule="auto"/>
        <w:ind w:left="1279" w:hanging="465"/>
        <w:rPr>
          <w:sz w:val="24"/>
          <w:szCs w:val="24"/>
        </w:rPr>
      </w:pPr>
      <w:r w:rsidRPr="00797390">
        <w:rPr>
          <w:sz w:val="24"/>
          <w:szCs w:val="24"/>
        </w:rPr>
        <w:t>18.3</w:t>
      </w:r>
      <w:r w:rsidRPr="00797390">
        <w:rPr>
          <w:sz w:val="24"/>
          <w:szCs w:val="24"/>
        </w:rPr>
        <w:tab/>
      </w:r>
      <w:r w:rsidR="00C30FB2">
        <w:rPr>
          <w:sz w:val="24"/>
          <w:szCs w:val="24"/>
        </w:rPr>
        <w:t xml:space="preserve">By publication of the order </w:t>
      </w:r>
      <w:r w:rsidR="008822A5" w:rsidRPr="00C30FB2">
        <w:rPr>
          <w:sz w:val="24"/>
          <w:szCs w:val="24"/>
        </w:rPr>
        <w:t xml:space="preserve">in the </w:t>
      </w:r>
      <w:r w:rsidR="008822A5" w:rsidRPr="00C30FB2">
        <w:rPr>
          <w:i/>
          <w:iCs/>
          <w:sz w:val="24"/>
          <w:szCs w:val="24"/>
        </w:rPr>
        <w:t>Rapport</w:t>
      </w:r>
      <w:r w:rsidR="008822A5" w:rsidRPr="00C30FB2">
        <w:rPr>
          <w:sz w:val="24"/>
          <w:szCs w:val="24"/>
        </w:rPr>
        <w:t xml:space="preserve"> and </w:t>
      </w:r>
      <w:r w:rsidR="008822A5" w:rsidRPr="00C30FB2">
        <w:rPr>
          <w:i/>
          <w:iCs/>
          <w:sz w:val="24"/>
          <w:szCs w:val="24"/>
        </w:rPr>
        <w:t>Sunday Times</w:t>
      </w:r>
      <w:r w:rsidR="008822A5" w:rsidRPr="00C30FB2">
        <w:rPr>
          <w:sz w:val="24"/>
          <w:szCs w:val="24"/>
        </w:rPr>
        <w:t xml:space="preserve"> </w:t>
      </w:r>
      <w:r w:rsidR="008822A5" w:rsidRPr="00797390">
        <w:rPr>
          <w:sz w:val="24"/>
          <w:szCs w:val="24"/>
        </w:rPr>
        <w:t>newspapers</w:t>
      </w:r>
      <w:r w:rsidR="00C30FB2" w:rsidRPr="00797390">
        <w:rPr>
          <w:sz w:val="24"/>
          <w:szCs w:val="24"/>
        </w:rPr>
        <w:t>.</w:t>
      </w:r>
    </w:p>
    <w:p w14:paraId="0923FBD0" w14:textId="25A0041D" w:rsidR="008822A5" w:rsidRDefault="00492212" w:rsidP="00274159">
      <w:pPr>
        <w:pStyle w:val="BodyText3"/>
        <w:spacing w:after="240" w:line="480" w:lineRule="auto"/>
        <w:rPr>
          <w:sz w:val="24"/>
          <w:szCs w:val="24"/>
        </w:rPr>
      </w:pPr>
      <w:r>
        <w:rPr>
          <w:sz w:val="24"/>
          <w:szCs w:val="24"/>
        </w:rPr>
        <w:t xml:space="preserve">[19]   </w:t>
      </w:r>
      <w:r w:rsidR="008822A5" w:rsidRPr="00A24130">
        <w:rPr>
          <w:sz w:val="24"/>
          <w:szCs w:val="24"/>
        </w:rPr>
        <w:t xml:space="preserve">It was undisputed that service was indeed </w:t>
      </w:r>
      <w:r w:rsidR="008822A5" w:rsidRPr="00797390">
        <w:rPr>
          <w:sz w:val="24"/>
          <w:szCs w:val="24"/>
        </w:rPr>
        <w:t>effected</w:t>
      </w:r>
      <w:r w:rsidR="008822A5" w:rsidRPr="00A24130">
        <w:rPr>
          <w:sz w:val="24"/>
          <w:szCs w:val="24"/>
        </w:rPr>
        <w:t xml:space="preserve"> in accordance with the</w:t>
      </w:r>
      <w:r w:rsidR="00A24130">
        <w:rPr>
          <w:sz w:val="24"/>
          <w:szCs w:val="24"/>
        </w:rPr>
        <w:t xml:space="preserve"> </w:t>
      </w:r>
      <w:r w:rsidR="008822A5" w:rsidRPr="00A24130">
        <w:rPr>
          <w:sz w:val="24"/>
          <w:szCs w:val="24"/>
        </w:rPr>
        <w:t>agreed order.</w:t>
      </w:r>
      <w:r w:rsidR="00755086">
        <w:rPr>
          <w:sz w:val="24"/>
          <w:szCs w:val="24"/>
        </w:rPr>
        <w:t xml:space="preserve"> </w:t>
      </w:r>
    </w:p>
    <w:p w14:paraId="0A4B4C39" w14:textId="77777777" w:rsidR="00F622B4" w:rsidRDefault="00F622B4" w:rsidP="00274159">
      <w:pPr>
        <w:pStyle w:val="BodyText3"/>
        <w:spacing w:after="240" w:line="480" w:lineRule="auto"/>
        <w:rPr>
          <w:sz w:val="24"/>
          <w:szCs w:val="24"/>
        </w:rPr>
      </w:pPr>
    </w:p>
    <w:p w14:paraId="7D3A833C" w14:textId="60E67213" w:rsidR="008822A5" w:rsidRDefault="00492212" w:rsidP="00274159">
      <w:pPr>
        <w:pStyle w:val="BodyText3"/>
        <w:spacing w:after="240" w:line="480" w:lineRule="auto"/>
        <w:rPr>
          <w:sz w:val="24"/>
          <w:szCs w:val="24"/>
        </w:rPr>
      </w:pPr>
      <w:r>
        <w:rPr>
          <w:sz w:val="24"/>
          <w:szCs w:val="24"/>
        </w:rPr>
        <w:t>[20</w:t>
      </w:r>
      <w:r w:rsidR="00CF48EB">
        <w:rPr>
          <w:sz w:val="24"/>
          <w:szCs w:val="24"/>
        </w:rPr>
        <w:t xml:space="preserve">] </w:t>
      </w:r>
      <w:r w:rsidR="00274159">
        <w:rPr>
          <w:sz w:val="24"/>
          <w:szCs w:val="24"/>
        </w:rPr>
        <w:t xml:space="preserve">   </w:t>
      </w:r>
      <w:r w:rsidR="00CF48EB">
        <w:rPr>
          <w:sz w:val="24"/>
          <w:szCs w:val="24"/>
        </w:rPr>
        <w:t>In</w:t>
      </w:r>
      <w:r w:rsidR="008822A5" w:rsidRPr="00565270">
        <w:rPr>
          <w:sz w:val="24"/>
          <w:szCs w:val="24"/>
        </w:rPr>
        <w:t xml:space="preserve"> </w:t>
      </w:r>
      <w:r w:rsidR="008822A5" w:rsidRPr="007B0D22">
        <w:rPr>
          <w:sz w:val="24"/>
          <w:szCs w:val="24"/>
        </w:rPr>
        <w:t xml:space="preserve">Fourie NO and </w:t>
      </w:r>
      <w:r w:rsidR="00F622B4">
        <w:rPr>
          <w:sz w:val="24"/>
          <w:szCs w:val="24"/>
        </w:rPr>
        <w:t>O</w:t>
      </w:r>
      <w:r w:rsidR="008822A5" w:rsidRPr="007B0D22">
        <w:rPr>
          <w:sz w:val="24"/>
          <w:szCs w:val="24"/>
        </w:rPr>
        <w:t>thers v Edeling NO and others</w:t>
      </w:r>
      <w:r w:rsidR="008822A5" w:rsidRPr="00565270">
        <w:rPr>
          <w:sz w:val="24"/>
          <w:szCs w:val="24"/>
        </w:rPr>
        <w:t xml:space="preserve"> [2005] 4 All SA 393 (SCA)</w:t>
      </w:r>
      <w:r w:rsidR="00565270">
        <w:rPr>
          <w:sz w:val="24"/>
          <w:szCs w:val="24"/>
        </w:rPr>
        <w:t xml:space="preserve"> </w:t>
      </w:r>
      <w:r w:rsidR="008822A5" w:rsidRPr="00565270">
        <w:rPr>
          <w:sz w:val="24"/>
          <w:szCs w:val="24"/>
        </w:rPr>
        <w:t xml:space="preserve">at para [21], the Supreme Court of Appeal criticised </w:t>
      </w:r>
      <w:r w:rsidR="00D61D22">
        <w:rPr>
          <w:sz w:val="24"/>
          <w:szCs w:val="24"/>
        </w:rPr>
        <w:t xml:space="preserve">the </w:t>
      </w:r>
      <w:r w:rsidR="008822A5" w:rsidRPr="00565270">
        <w:rPr>
          <w:sz w:val="24"/>
          <w:szCs w:val="24"/>
        </w:rPr>
        <w:t xml:space="preserve">service </w:t>
      </w:r>
      <w:r w:rsidR="00D61D22">
        <w:rPr>
          <w:sz w:val="24"/>
          <w:szCs w:val="24"/>
        </w:rPr>
        <w:t xml:space="preserve">which took place </w:t>
      </w:r>
      <w:r w:rsidR="008822A5" w:rsidRPr="00565270">
        <w:rPr>
          <w:sz w:val="24"/>
          <w:szCs w:val="24"/>
        </w:rPr>
        <w:t>on the basis that the court order provid</w:t>
      </w:r>
      <w:r w:rsidR="00EA7CC3">
        <w:rPr>
          <w:sz w:val="24"/>
          <w:szCs w:val="24"/>
        </w:rPr>
        <w:t>ed</w:t>
      </w:r>
      <w:r w:rsidR="008822A5" w:rsidRPr="00565270">
        <w:rPr>
          <w:sz w:val="24"/>
          <w:szCs w:val="24"/>
        </w:rPr>
        <w:t xml:space="preserve"> for publication describ</w:t>
      </w:r>
      <w:r w:rsidR="00EA7CC3">
        <w:rPr>
          <w:sz w:val="24"/>
          <w:szCs w:val="24"/>
        </w:rPr>
        <w:t>ing</w:t>
      </w:r>
      <w:r w:rsidR="008822A5" w:rsidRPr="00565270">
        <w:rPr>
          <w:sz w:val="24"/>
          <w:szCs w:val="24"/>
        </w:rPr>
        <w:t xml:space="preserve"> the role of a particular party as the “investors</w:t>
      </w:r>
      <w:r w:rsidR="007B0D22">
        <w:rPr>
          <w:sz w:val="24"/>
          <w:szCs w:val="24"/>
        </w:rPr>
        <w:t>’</w:t>
      </w:r>
      <w:r w:rsidR="008822A5" w:rsidRPr="00565270">
        <w:rPr>
          <w:sz w:val="24"/>
          <w:szCs w:val="24"/>
        </w:rPr>
        <w:t xml:space="preserve"> representative</w:t>
      </w:r>
      <w:r w:rsidR="0066116F">
        <w:rPr>
          <w:sz w:val="24"/>
          <w:szCs w:val="24"/>
        </w:rPr>
        <w:t>”,</w:t>
      </w:r>
      <w:r w:rsidR="008822A5" w:rsidRPr="00565270">
        <w:rPr>
          <w:sz w:val="24"/>
          <w:szCs w:val="24"/>
        </w:rPr>
        <w:t xml:space="preserve"> wh</w:t>
      </w:r>
      <w:r w:rsidR="0003051A">
        <w:rPr>
          <w:sz w:val="24"/>
          <w:szCs w:val="24"/>
        </w:rPr>
        <w:t>en</w:t>
      </w:r>
      <w:r w:rsidR="008822A5" w:rsidRPr="00565270">
        <w:rPr>
          <w:sz w:val="24"/>
          <w:szCs w:val="24"/>
        </w:rPr>
        <w:t xml:space="preserve"> that was factually incorrect. In those circumstances the court found that “</w:t>
      </w:r>
      <w:r w:rsidR="008822A5" w:rsidRPr="00565270">
        <w:rPr>
          <w:i/>
          <w:iCs/>
          <w:sz w:val="24"/>
          <w:szCs w:val="24"/>
        </w:rPr>
        <w:t>service fell</w:t>
      </w:r>
      <w:r w:rsidR="0066116F">
        <w:rPr>
          <w:i/>
          <w:iCs/>
          <w:sz w:val="24"/>
          <w:szCs w:val="24"/>
        </w:rPr>
        <w:t xml:space="preserve"> </w:t>
      </w:r>
      <w:r w:rsidR="008822A5" w:rsidRPr="00565270">
        <w:rPr>
          <w:i/>
          <w:iCs/>
          <w:sz w:val="24"/>
          <w:szCs w:val="24"/>
        </w:rPr>
        <w:t xml:space="preserve">gravely short of what would have been required to ensure that the investors receive a fair trial”. </w:t>
      </w:r>
      <w:r w:rsidR="0080471A">
        <w:rPr>
          <w:sz w:val="24"/>
          <w:szCs w:val="24"/>
        </w:rPr>
        <w:t>T</w:t>
      </w:r>
      <w:r w:rsidR="008822A5" w:rsidRPr="00565270">
        <w:rPr>
          <w:sz w:val="24"/>
          <w:szCs w:val="24"/>
        </w:rPr>
        <w:t>he SCA</w:t>
      </w:r>
      <w:r w:rsidR="0080471A">
        <w:rPr>
          <w:sz w:val="24"/>
          <w:szCs w:val="24"/>
        </w:rPr>
        <w:t>, however</w:t>
      </w:r>
      <w:r w:rsidR="008822A5" w:rsidRPr="00565270">
        <w:rPr>
          <w:sz w:val="24"/>
          <w:szCs w:val="24"/>
        </w:rPr>
        <w:t xml:space="preserve"> upheld the relief granted </w:t>
      </w:r>
      <w:r w:rsidR="008822A5" w:rsidRPr="00565270">
        <w:rPr>
          <w:i/>
          <w:iCs/>
          <w:sz w:val="24"/>
          <w:szCs w:val="24"/>
        </w:rPr>
        <w:t xml:space="preserve">a quo, </w:t>
      </w:r>
      <w:r w:rsidR="008822A5" w:rsidRPr="00565270">
        <w:rPr>
          <w:sz w:val="24"/>
          <w:szCs w:val="24"/>
        </w:rPr>
        <w:t xml:space="preserve">which is comparable to the relief sought by the applicants, and found, with reference to </w:t>
      </w:r>
      <w:r w:rsidR="00D95805">
        <w:rPr>
          <w:sz w:val="24"/>
          <w:szCs w:val="24"/>
        </w:rPr>
        <w:t xml:space="preserve">the relief </w:t>
      </w:r>
      <w:r w:rsidR="008822A5" w:rsidRPr="00565270">
        <w:rPr>
          <w:sz w:val="24"/>
          <w:szCs w:val="24"/>
        </w:rPr>
        <w:t>sought by the applicants (leave to</w:t>
      </w:r>
      <w:r w:rsidR="00DC5021">
        <w:rPr>
          <w:sz w:val="24"/>
          <w:szCs w:val="24"/>
        </w:rPr>
        <w:t xml:space="preserve"> </w:t>
      </w:r>
      <w:r w:rsidR="008822A5" w:rsidRPr="00565270">
        <w:rPr>
          <w:sz w:val="24"/>
          <w:szCs w:val="24"/>
        </w:rPr>
        <w:t>approach this Court on the same papers for setting aside specific</w:t>
      </w:r>
      <w:r w:rsidR="00DC5021">
        <w:rPr>
          <w:sz w:val="24"/>
          <w:szCs w:val="24"/>
        </w:rPr>
        <w:t xml:space="preserve"> </w:t>
      </w:r>
      <w:r w:rsidR="008822A5" w:rsidRPr="00565270">
        <w:rPr>
          <w:sz w:val="24"/>
          <w:szCs w:val="24"/>
        </w:rPr>
        <w:t>dispositions) that:</w:t>
      </w:r>
    </w:p>
    <w:p w14:paraId="0688182A" w14:textId="2E13B0E4" w:rsidR="0040439F" w:rsidRDefault="0040439F" w:rsidP="0040439F">
      <w:pPr>
        <w:pStyle w:val="BodyText3"/>
        <w:spacing w:after="240" w:line="480" w:lineRule="auto"/>
        <w:ind w:left="720"/>
        <w:rPr>
          <w:sz w:val="24"/>
          <w:szCs w:val="24"/>
        </w:rPr>
      </w:pPr>
      <w:r w:rsidRPr="00644DEF">
        <w:t>“</w:t>
      </w:r>
      <w:r w:rsidRPr="00644DEF">
        <w:rPr>
          <w:sz w:val="22"/>
          <w:szCs w:val="22"/>
        </w:rPr>
        <w:t>Any investor against whom such recovery proceedings are brought would be free to maintain that he or she is, for lack of notification or by reason of having been misled by the terms of the publication, not bound by the order of Hartzenberg J. It may be that fresh setting aside proceedings against such an investor would then have to be combined with the recovery proceedings</w:t>
      </w:r>
      <w:r w:rsidRPr="00644DEF">
        <w:t>.”</w:t>
      </w:r>
    </w:p>
    <w:p w14:paraId="2F3B08F9" w14:textId="22819AC2" w:rsidR="008E2688" w:rsidRDefault="00560794" w:rsidP="00560794">
      <w:pPr>
        <w:pStyle w:val="BodyText3"/>
        <w:spacing w:after="240" w:line="480" w:lineRule="auto"/>
        <w:ind w:left="709" w:hanging="709"/>
        <w:rPr>
          <w:sz w:val="24"/>
          <w:szCs w:val="24"/>
        </w:rPr>
      </w:pPr>
      <w:r>
        <w:rPr>
          <w:sz w:val="22"/>
          <w:szCs w:val="22"/>
        </w:rPr>
        <w:t>[21]</w:t>
      </w:r>
      <w:r>
        <w:rPr>
          <w:sz w:val="22"/>
          <w:szCs w:val="22"/>
        </w:rPr>
        <w:tab/>
      </w:r>
      <w:r w:rsidR="004B62CD">
        <w:rPr>
          <w:sz w:val="24"/>
          <w:szCs w:val="24"/>
        </w:rPr>
        <w:t xml:space="preserve">For purposes of this </w:t>
      </w:r>
      <w:r w:rsidR="00DC314E">
        <w:rPr>
          <w:sz w:val="24"/>
          <w:szCs w:val="24"/>
        </w:rPr>
        <w:t>application,</w:t>
      </w:r>
      <w:r w:rsidR="004B62CD">
        <w:rPr>
          <w:sz w:val="24"/>
          <w:szCs w:val="24"/>
        </w:rPr>
        <w:t xml:space="preserve"> I am satisfied that </w:t>
      </w:r>
      <w:r w:rsidR="001E6F07">
        <w:rPr>
          <w:sz w:val="24"/>
          <w:szCs w:val="24"/>
        </w:rPr>
        <w:t xml:space="preserve">sufficient service </w:t>
      </w:r>
      <w:r w:rsidR="00D92BD7">
        <w:rPr>
          <w:sz w:val="24"/>
          <w:szCs w:val="24"/>
        </w:rPr>
        <w:t>was effected</w:t>
      </w:r>
      <w:r w:rsidR="00D95805">
        <w:rPr>
          <w:sz w:val="24"/>
          <w:szCs w:val="24"/>
        </w:rPr>
        <w:t xml:space="preserve"> in order to proceed with the main application.</w:t>
      </w:r>
      <w:r w:rsidR="007B0D22">
        <w:rPr>
          <w:sz w:val="24"/>
          <w:szCs w:val="24"/>
        </w:rPr>
        <w:t xml:space="preserve"> </w:t>
      </w:r>
    </w:p>
    <w:p w14:paraId="0FFCE8BA" w14:textId="4EE4D4DD" w:rsidR="008E2688" w:rsidRPr="002536C5" w:rsidRDefault="008E2688" w:rsidP="002536C5">
      <w:pPr>
        <w:pStyle w:val="BodyText3"/>
        <w:spacing w:after="240" w:line="480" w:lineRule="auto"/>
        <w:rPr>
          <w:i/>
          <w:iCs/>
          <w:sz w:val="24"/>
          <w:szCs w:val="24"/>
          <w:u w:val="single"/>
        </w:rPr>
      </w:pPr>
      <w:r w:rsidRPr="002536C5">
        <w:rPr>
          <w:i/>
          <w:iCs/>
          <w:sz w:val="24"/>
          <w:szCs w:val="24"/>
          <w:u w:val="single"/>
        </w:rPr>
        <w:t>Non-joinder:</w:t>
      </w:r>
    </w:p>
    <w:p w14:paraId="5C1F6861" w14:textId="5DFF342D" w:rsidR="005F2F39" w:rsidRDefault="00560794" w:rsidP="00560794">
      <w:pPr>
        <w:pStyle w:val="BodyText3"/>
        <w:spacing w:after="240" w:line="480" w:lineRule="auto"/>
        <w:rPr>
          <w:sz w:val="24"/>
          <w:szCs w:val="24"/>
        </w:rPr>
      </w:pPr>
      <w:r>
        <w:rPr>
          <w:sz w:val="22"/>
          <w:szCs w:val="22"/>
        </w:rPr>
        <w:lastRenderedPageBreak/>
        <w:t>[22]</w:t>
      </w:r>
      <w:r>
        <w:rPr>
          <w:sz w:val="22"/>
          <w:szCs w:val="22"/>
        </w:rPr>
        <w:tab/>
      </w:r>
      <w:r w:rsidR="008E2688">
        <w:rPr>
          <w:sz w:val="24"/>
          <w:szCs w:val="24"/>
        </w:rPr>
        <w:t xml:space="preserve">It was contended by Marks that </w:t>
      </w:r>
      <w:r w:rsidR="00980ACE">
        <w:rPr>
          <w:sz w:val="24"/>
          <w:szCs w:val="24"/>
        </w:rPr>
        <w:t>there was an obligation</w:t>
      </w:r>
      <w:r w:rsidR="00A95EE8">
        <w:rPr>
          <w:sz w:val="24"/>
          <w:szCs w:val="24"/>
        </w:rPr>
        <w:t xml:space="preserve"> on the applicants to join all members/investors of MTI </w:t>
      </w:r>
      <w:r w:rsidR="0092314B">
        <w:rPr>
          <w:sz w:val="24"/>
          <w:szCs w:val="24"/>
        </w:rPr>
        <w:t>to these proceedings and that the application should be dismissed as a result of such non-joinder.</w:t>
      </w:r>
      <w:r w:rsidR="00A47094">
        <w:rPr>
          <w:sz w:val="24"/>
          <w:szCs w:val="24"/>
        </w:rPr>
        <w:t xml:space="preserve"> </w:t>
      </w:r>
      <w:r w:rsidR="0092314B">
        <w:rPr>
          <w:sz w:val="24"/>
          <w:szCs w:val="24"/>
        </w:rPr>
        <w:t xml:space="preserve"> </w:t>
      </w:r>
      <w:r w:rsidR="00662DD3" w:rsidRPr="001A6ABB">
        <w:rPr>
          <w:sz w:val="24"/>
          <w:szCs w:val="24"/>
        </w:rPr>
        <w:t>Whilst the general principle is that parties with a direct and substantial interest should be joined as parties in court</w:t>
      </w:r>
    </w:p>
    <w:p w14:paraId="7A6FCD5F" w14:textId="77777777" w:rsidR="005F2F39" w:rsidRDefault="005F2F39" w:rsidP="005F2F39">
      <w:pPr>
        <w:pStyle w:val="BodyText3"/>
        <w:spacing w:after="240" w:line="480" w:lineRule="auto"/>
        <w:rPr>
          <w:sz w:val="24"/>
          <w:szCs w:val="24"/>
        </w:rPr>
      </w:pPr>
    </w:p>
    <w:p w14:paraId="1B05429C" w14:textId="77777777" w:rsidR="005F2F39" w:rsidRDefault="005F2F39" w:rsidP="005F2F39">
      <w:pPr>
        <w:pStyle w:val="BodyText3"/>
        <w:spacing w:after="240" w:line="480" w:lineRule="auto"/>
        <w:rPr>
          <w:sz w:val="24"/>
          <w:szCs w:val="24"/>
        </w:rPr>
      </w:pPr>
    </w:p>
    <w:p w14:paraId="2CE60C9A" w14:textId="77777777" w:rsidR="005F2F39" w:rsidRDefault="005F2F39" w:rsidP="005F2F39">
      <w:pPr>
        <w:pStyle w:val="BodyText3"/>
        <w:spacing w:after="240" w:line="480" w:lineRule="auto"/>
        <w:rPr>
          <w:sz w:val="24"/>
          <w:szCs w:val="24"/>
        </w:rPr>
      </w:pPr>
    </w:p>
    <w:p w14:paraId="50501FFC" w14:textId="33D92826" w:rsidR="00662DD3" w:rsidRDefault="00662DD3" w:rsidP="005F2F39">
      <w:pPr>
        <w:pStyle w:val="BodyText3"/>
        <w:spacing w:after="240" w:line="480" w:lineRule="auto"/>
        <w:rPr>
          <w:sz w:val="24"/>
          <w:szCs w:val="24"/>
        </w:rPr>
      </w:pPr>
      <w:r w:rsidRPr="001A6ABB">
        <w:rPr>
          <w:sz w:val="24"/>
          <w:szCs w:val="24"/>
        </w:rPr>
        <w:t>proceedings, it may be departed from in exceptional circumstances</w:t>
      </w:r>
      <w:r w:rsidR="001A6ABB">
        <w:rPr>
          <w:sz w:val="24"/>
          <w:szCs w:val="24"/>
        </w:rPr>
        <w:t xml:space="preserve">. In this regard and in the matter of </w:t>
      </w:r>
      <w:r w:rsidR="00C908AA" w:rsidRPr="00C908AA">
        <w:rPr>
          <w:sz w:val="24"/>
          <w:szCs w:val="24"/>
        </w:rPr>
        <w:t>E</w:t>
      </w:r>
      <w:r w:rsidRPr="00C908AA">
        <w:rPr>
          <w:sz w:val="24"/>
          <w:szCs w:val="24"/>
        </w:rPr>
        <w:t>conomic Freedom Fighters and others v Speaker of the National Assembly and others [2016] 1 All SA 520 (WCC), the court considered earlier authorities an</w:t>
      </w:r>
      <w:r w:rsidRPr="001A6ABB">
        <w:rPr>
          <w:sz w:val="24"/>
          <w:szCs w:val="24"/>
        </w:rPr>
        <w:t>d explained</w:t>
      </w:r>
      <w:r w:rsidR="00C908AA">
        <w:rPr>
          <w:sz w:val="24"/>
          <w:szCs w:val="24"/>
        </w:rPr>
        <w:t xml:space="preserve">, in summary, </w:t>
      </w:r>
      <w:r w:rsidRPr="001A6ABB">
        <w:rPr>
          <w:sz w:val="24"/>
          <w:szCs w:val="24"/>
        </w:rPr>
        <w:t>that</w:t>
      </w:r>
      <w:r w:rsidR="00304DC0">
        <w:rPr>
          <w:sz w:val="24"/>
          <w:szCs w:val="24"/>
        </w:rPr>
        <w:t xml:space="preserve"> when considering the necessity of joinder</w:t>
      </w:r>
      <w:r w:rsidR="00177270">
        <w:rPr>
          <w:sz w:val="24"/>
          <w:szCs w:val="24"/>
        </w:rPr>
        <w:t xml:space="preserve">, it must be done within the context of the case and more particularly </w:t>
      </w:r>
      <w:r w:rsidR="00EA3534">
        <w:rPr>
          <w:sz w:val="24"/>
          <w:szCs w:val="24"/>
        </w:rPr>
        <w:t xml:space="preserve">with reference to </w:t>
      </w:r>
      <w:r w:rsidR="00177270">
        <w:rPr>
          <w:sz w:val="24"/>
          <w:szCs w:val="24"/>
        </w:rPr>
        <w:t xml:space="preserve">what the nature and effect </w:t>
      </w:r>
      <w:r w:rsidR="00C53619" w:rsidRPr="00BA1614">
        <w:rPr>
          <w:sz w:val="24"/>
          <w:szCs w:val="24"/>
        </w:rPr>
        <w:t xml:space="preserve">of the relief </w:t>
      </w:r>
      <w:r w:rsidRPr="00BA1614">
        <w:rPr>
          <w:sz w:val="24"/>
          <w:szCs w:val="24"/>
        </w:rPr>
        <w:t>sought or</w:t>
      </w:r>
      <w:r w:rsidR="007B0D22">
        <w:rPr>
          <w:sz w:val="24"/>
          <w:szCs w:val="24"/>
        </w:rPr>
        <w:t xml:space="preserve"> that</w:t>
      </w:r>
      <w:r w:rsidRPr="00BA1614">
        <w:rPr>
          <w:sz w:val="24"/>
          <w:szCs w:val="24"/>
        </w:rPr>
        <w:t xml:space="preserve"> may be granted</w:t>
      </w:r>
      <w:r w:rsidR="00712557">
        <w:rPr>
          <w:sz w:val="24"/>
          <w:szCs w:val="24"/>
        </w:rPr>
        <w:t>,</w:t>
      </w:r>
      <w:r w:rsidR="00DB7C38">
        <w:rPr>
          <w:sz w:val="24"/>
          <w:szCs w:val="24"/>
        </w:rPr>
        <w:t xml:space="preserve"> is</w:t>
      </w:r>
      <w:r w:rsidRPr="00BA1614">
        <w:rPr>
          <w:sz w:val="24"/>
          <w:szCs w:val="24"/>
        </w:rPr>
        <w:t>.</w:t>
      </w:r>
      <w:r w:rsidRPr="00BA1614">
        <w:rPr>
          <w:rStyle w:val="FootnoteReference"/>
          <w:sz w:val="24"/>
          <w:szCs w:val="24"/>
        </w:rPr>
        <w:footnoteReference w:id="9"/>
      </w:r>
    </w:p>
    <w:p w14:paraId="135EE685" w14:textId="720C53FE" w:rsidR="00662DD3" w:rsidRDefault="00560794" w:rsidP="00560794">
      <w:pPr>
        <w:pStyle w:val="BodyText3"/>
        <w:spacing w:after="240" w:line="480" w:lineRule="auto"/>
        <w:rPr>
          <w:sz w:val="24"/>
          <w:szCs w:val="24"/>
        </w:rPr>
      </w:pPr>
      <w:r>
        <w:rPr>
          <w:sz w:val="22"/>
          <w:szCs w:val="22"/>
        </w:rPr>
        <w:t>[23]</w:t>
      </w:r>
      <w:r>
        <w:rPr>
          <w:sz w:val="22"/>
          <w:szCs w:val="22"/>
        </w:rPr>
        <w:tab/>
      </w:r>
      <w:r w:rsidR="00662DD3" w:rsidRPr="006D2939">
        <w:rPr>
          <w:sz w:val="24"/>
          <w:szCs w:val="24"/>
        </w:rPr>
        <w:t>The rationale for joinder is that all substantially and directly interested parties may be heard before the order is given, which is a matter of fairn</w:t>
      </w:r>
      <w:r w:rsidR="00662DD3" w:rsidRPr="00712557">
        <w:rPr>
          <w:sz w:val="24"/>
          <w:szCs w:val="24"/>
        </w:rPr>
        <w:t>ess</w:t>
      </w:r>
      <w:r w:rsidR="00B360CF">
        <w:rPr>
          <w:rStyle w:val="FootnoteReference"/>
          <w:sz w:val="24"/>
          <w:szCs w:val="24"/>
        </w:rPr>
        <w:footnoteReference w:id="10"/>
      </w:r>
    </w:p>
    <w:p w14:paraId="2D7E6D72" w14:textId="6E98AC06" w:rsidR="00662DD3" w:rsidRPr="007B0D22" w:rsidRDefault="00560794" w:rsidP="00560794">
      <w:pPr>
        <w:pStyle w:val="BodyText3"/>
        <w:spacing w:after="240" w:line="480" w:lineRule="auto"/>
        <w:rPr>
          <w:sz w:val="24"/>
          <w:szCs w:val="24"/>
        </w:rPr>
      </w:pPr>
      <w:r w:rsidRPr="007B0D22">
        <w:rPr>
          <w:sz w:val="22"/>
          <w:szCs w:val="22"/>
        </w:rPr>
        <w:t>[24]</w:t>
      </w:r>
      <w:r w:rsidRPr="007B0D22">
        <w:rPr>
          <w:sz w:val="22"/>
          <w:szCs w:val="22"/>
        </w:rPr>
        <w:tab/>
      </w:r>
      <w:r w:rsidR="001A00C5">
        <w:rPr>
          <w:sz w:val="24"/>
          <w:szCs w:val="24"/>
        </w:rPr>
        <w:t xml:space="preserve">Flexibility based on pragmatic grounds was remarked upon as follows in </w:t>
      </w:r>
      <w:r w:rsidR="00135C7A" w:rsidRPr="007B0D22">
        <w:rPr>
          <w:sz w:val="24"/>
          <w:szCs w:val="24"/>
        </w:rPr>
        <w:t xml:space="preserve">the matter of </w:t>
      </w:r>
      <w:r w:rsidR="00662DD3" w:rsidRPr="007B0D22">
        <w:rPr>
          <w:sz w:val="24"/>
          <w:szCs w:val="24"/>
        </w:rPr>
        <w:t xml:space="preserve">Wholesale Provision Supplies CC v Exim International CC and </w:t>
      </w:r>
      <w:r w:rsidR="00D1130A">
        <w:rPr>
          <w:sz w:val="24"/>
          <w:szCs w:val="24"/>
        </w:rPr>
        <w:t>A</w:t>
      </w:r>
      <w:r w:rsidR="00662DD3" w:rsidRPr="007B0D22">
        <w:rPr>
          <w:sz w:val="24"/>
          <w:szCs w:val="24"/>
        </w:rPr>
        <w:t>nother 1995 (1) SA 150 (T)</w:t>
      </w:r>
      <w:r w:rsidR="00B360CF">
        <w:rPr>
          <w:rStyle w:val="FootnoteReference"/>
          <w:sz w:val="24"/>
          <w:szCs w:val="24"/>
        </w:rPr>
        <w:footnoteReference w:id="11"/>
      </w:r>
      <w:r w:rsidR="001A00C5">
        <w:rPr>
          <w:sz w:val="24"/>
          <w:szCs w:val="24"/>
        </w:rPr>
        <w:t>:</w:t>
      </w:r>
    </w:p>
    <w:p w14:paraId="4566F73B" w14:textId="77777777" w:rsidR="00662DD3" w:rsidRDefault="00662DD3" w:rsidP="00662DD3">
      <w:pPr>
        <w:pStyle w:val="ListParagraph"/>
        <w:spacing w:line="360" w:lineRule="auto"/>
        <w:rPr>
          <w:i/>
          <w:iCs/>
        </w:rPr>
      </w:pPr>
      <w:r w:rsidRPr="005B58C9">
        <w:rPr>
          <w:i/>
          <w:iCs/>
        </w:rPr>
        <w:t xml:space="preserve">“the rule which seeks to avoid orders which might affect third parties in proceedings between other parties is not simply a mechanical or technical rule </w:t>
      </w:r>
      <w:r w:rsidRPr="00A46089">
        <w:rPr>
          <w:i/>
          <w:iCs/>
        </w:rPr>
        <w:t>which must ritualistically be applied, regardless of the circumstances of the</w:t>
      </w:r>
      <w:r w:rsidRPr="005B58C9">
        <w:rPr>
          <w:i/>
          <w:iCs/>
        </w:rPr>
        <w:t xml:space="preserve"> </w:t>
      </w:r>
      <w:r w:rsidRPr="00A46089">
        <w:rPr>
          <w:i/>
          <w:iCs/>
        </w:rPr>
        <w:t>case.”</w:t>
      </w:r>
    </w:p>
    <w:p w14:paraId="1A2759EB" w14:textId="6BB08985" w:rsidR="00662DD3" w:rsidRPr="001D5647" w:rsidRDefault="00560794" w:rsidP="00560794">
      <w:pPr>
        <w:pStyle w:val="BodyText3"/>
        <w:spacing w:after="240" w:line="480" w:lineRule="auto"/>
        <w:rPr>
          <w:sz w:val="24"/>
          <w:szCs w:val="24"/>
        </w:rPr>
      </w:pPr>
      <w:r w:rsidRPr="001D5647">
        <w:rPr>
          <w:sz w:val="22"/>
          <w:szCs w:val="22"/>
        </w:rPr>
        <w:lastRenderedPageBreak/>
        <w:t>[25]</w:t>
      </w:r>
      <w:r w:rsidRPr="001D5647">
        <w:rPr>
          <w:sz w:val="22"/>
          <w:szCs w:val="22"/>
        </w:rPr>
        <w:tab/>
      </w:r>
      <w:r w:rsidR="00ED47CE" w:rsidRPr="001D5647">
        <w:rPr>
          <w:sz w:val="24"/>
          <w:szCs w:val="24"/>
        </w:rPr>
        <w:t>The court further held that w</w:t>
      </w:r>
      <w:r w:rsidR="00662DD3" w:rsidRPr="001D5647">
        <w:rPr>
          <w:sz w:val="24"/>
          <w:szCs w:val="24"/>
        </w:rPr>
        <w:t>here the interests of a very large and effectively indeterminable number of persons may be affected by the order sought, it would be impracticable to require that they should all be joined. A pragmatic approach has to be adopted in such cases in identifying who needs to be joined as a necessary party</w:t>
      </w:r>
      <w:r w:rsidR="00B50F42" w:rsidRPr="001D5647">
        <w:rPr>
          <w:rStyle w:val="FootnoteReference"/>
          <w:sz w:val="24"/>
          <w:szCs w:val="24"/>
        </w:rPr>
        <w:footnoteReference w:id="12"/>
      </w:r>
      <w:r w:rsidR="005671C1">
        <w:rPr>
          <w:sz w:val="24"/>
          <w:szCs w:val="24"/>
        </w:rPr>
        <w:t>.</w:t>
      </w:r>
    </w:p>
    <w:p w14:paraId="72B14AC9" w14:textId="5D99ADE1" w:rsidR="00662DD3" w:rsidRDefault="00560794" w:rsidP="00560794">
      <w:pPr>
        <w:spacing w:line="480" w:lineRule="auto"/>
      </w:pPr>
      <w:r>
        <w:rPr>
          <w:sz w:val="22"/>
          <w:szCs w:val="22"/>
        </w:rPr>
        <w:t>[26]</w:t>
      </w:r>
      <w:r>
        <w:rPr>
          <w:sz w:val="22"/>
          <w:szCs w:val="22"/>
        </w:rPr>
        <w:tab/>
      </w:r>
      <w:r w:rsidR="0098439E">
        <w:t xml:space="preserve">In this matter the relief claimed, particularly in prayers </w:t>
      </w:r>
      <w:r w:rsidR="00797390">
        <w:t>1</w:t>
      </w:r>
      <w:r w:rsidR="0098439E">
        <w:t xml:space="preserve">.1 and </w:t>
      </w:r>
      <w:r w:rsidR="00797390">
        <w:t>1</w:t>
      </w:r>
      <w:r w:rsidR="0098439E">
        <w:t xml:space="preserve">.2 of the application, </w:t>
      </w:r>
      <w:r w:rsidR="00AA6E5D">
        <w:t xml:space="preserve">amounts to a consideration </w:t>
      </w:r>
      <w:r w:rsidR="00C27ED9">
        <w:t>of whether</w:t>
      </w:r>
      <w:r w:rsidR="00934435">
        <w:t xml:space="preserve"> the business operated by MTI</w:t>
      </w:r>
      <w:r w:rsidR="00886BDC">
        <w:t>,</w:t>
      </w:r>
      <w:r w:rsidR="00934435">
        <w:t xml:space="preserve"> </w:t>
      </w:r>
      <w:r w:rsidR="00CC3DA6">
        <w:t>objectively and not with reference to the subjective views of members/investors</w:t>
      </w:r>
      <w:r w:rsidR="00FB3021">
        <w:t xml:space="preserve">, was unlawful and if so what the consequences of such unlawfulness </w:t>
      </w:r>
      <w:r w:rsidR="00FB44DF">
        <w:t>are on the contracts concluded between MTI and its members/investors</w:t>
      </w:r>
      <w:r w:rsidR="00B360CF">
        <w:rPr>
          <w:rStyle w:val="FootnoteReference"/>
        </w:rPr>
        <w:footnoteReference w:id="13"/>
      </w:r>
      <w:r w:rsidR="005671C1">
        <w:t>.</w:t>
      </w:r>
    </w:p>
    <w:p w14:paraId="563AE8B4" w14:textId="77777777" w:rsidR="005F2F39" w:rsidRDefault="005F2F39" w:rsidP="005F2F39">
      <w:pPr>
        <w:pStyle w:val="ListParagraph"/>
        <w:spacing w:line="480" w:lineRule="auto"/>
        <w:ind w:left="0"/>
      </w:pPr>
    </w:p>
    <w:p w14:paraId="5A5CD6A7" w14:textId="1AEECA8B" w:rsidR="000E75A8" w:rsidRDefault="00560794" w:rsidP="00560794">
      <w:pPr>
        <w:spacing w:line="480" w:lineRule="auto"/>
      </w:pPr>
      <w:r>
        <w:rPr>
          <w:sz w:val="22"/>
          <w:szCs w:val="22"/>
        </w:rPr>
        <w:t>[27]</w:t>
      </w:r>
      <w:r>
        <w:rPr>
          <w:sz w:val="22"/>
          <w:szCs w:val="22"/>
        </w:rPr>
        <w:tab/>
      </w:r>
      <w:r w:rsidR="005B485B" w:rsidRPr="00560794">
        <w:rPr>
          <w:color w:val="auto"/>
        </w:rPr>
        <w:t xml:space="preserve">Members/investors were </w:t>
      </w:r>
      <w:r w:rsidR="00B30F27" w:rsidRPr="00560794">
        <w:rPr>
          <w:color w:val="auto"/>
        </w:rPr>
        <w:t xml:space="preserve">further </w:t>
      </w:r>
      <w:r w:rsidR="005B485B" w:rsidRPr="00560794">
        <w:rPr>
          <w:color w:val="auto"/>
        </w:rPr>
        <w:t>given an opportunity to be heard on various occasions during the course of the</w:t>
      </w:r>
      <w:r w:rsidR="003C2E17" w:rsidRPr="00560794">
        <w:rPr>
          <w:color w:val="auto"/>
        </w:rPr>
        <w:t xml:space="preserve"> litigation, many members</w:t>
      </w:r>
      <w:r w:rsidR="0080471A" w:rsidRPr="00560794">
        <w:rPr>
          <w:color w:val="auto"/>
        </w:rPr>
        <w:t>/investors</w:t>
      </w:r>
      <w:r w:rsidR="003C2E17" w:rsidRPr="00560794">
        <w:rPr>
          <w:color w:val="auto"/>
        </w:rPr>
        <w:t xml:space="preserve"> intervened and some members</w:t>
      </w:r>
      <w:r w:rsidR="0080471A" w:rsidRPr="00560794">
        <w:rPr>
          <w:color w:val="auto"/>
        </w:rPr>
        <w:t>/investors</w:t>
      </w:r>
      <w:r w:rsidR="003C2E17" w:rsidRPr="00560794">
        <w:rPr>
          <w:color w:val="auto"/>
        </w:rPr>
        <w:t xml:space="preserve"> filed opposing affidavits and counter </w:t>
      </w:r>
      <w:r w:rsidR="0080471A" w:rsidRPr="00560794">
        <w:rPr>
          <w:color w:val="auto"/>
        </w:rPr>
        <w:t xml:space="preserve">- </w:t>
      </w:r>
      <w:r w:rsidR="003C2E17" w:rsidRPr="00560794">
        <w:rPr>
          <w:color w:val="auto"/>
        </w:rPr>
        <w:t xml:space="preserve">applications. </w:t>
      </w:r>
      <w:r w:rsidR="009B6C32" w:rsidRPr="00560794">
        <w:rPr>
          <w:color w:val="auto"/>
        </w:rPr>
        <w:t>What is abundantly clear from all the affidavits filed to date, is that none of the members/investors had any personal knowledge or insight into the business of MTI</w:t>
      </w:r>
      <w:r w:rsidR="00E321E4" w:rsidRPr="00560794">
        <w:rPr>
          <w:color w:val="auto"/>
        </w:rPr>
        <w:t xml:space="preserve">. </w:t>
      </w:r>
      <w:r w:rsidR="00F8335E" w:rsidRPr="00560794">
        <w:rPr>
          <w:color w:val="auto"/>
        </w:rPr>
        <w:t xml:space="preserve">Further, given </w:t>
      </w:r>
      <w:r w:rsidR="00677758" w:rsidRPr="00560794">
        <w:rPr>
          <w:color w:val="auto"/>
        </w:rPr>
        <w:t xml:space="preserve">the </w:t>
      </w:r>
      <w:r w:rsidR="00E321E4" w:rsidRPr="00560794">
        <w:rPr>
          <w:color w:val="auto"/>
        </w:rPr>
        <w:t>magnitude of</w:t>
      </w:r>
      <w:r w:rsidR="00677758" w:rsidRPr="00560794">
        <w:rPr>
          <w:color w:val="auto"/>
        </w:rPr>
        <w:t xml:space="preserve"> members</w:t>
      </w:r>
      <w:r w:rsidR="001F7A59">
        <w:rPr>
          <w:rStyle w:val="FootnoteReference"/>
          <w:color w:val="auto"/>
        </w:rPr>
        <w:footnoteReference w:id="14"/>
      </w:r>
      <w:r w:rsidR="00677758" w:rsidRPr="00560794">
        <w:rPr>
          <w:color w:val="auto"/>
        </w:rPr>
        <w:t xml:space="preserve"> in South Africa and abroad</w:t>
      </w:r>
      <w:r w:rsidR="00B360CF">
        <w:rPr>
          <w:rStyle w:val="FootnoteReference"/>
          <w:color w:val="auto"/>
        </w:rPr>
        <w:footnoteReference w:id="15"/>
      </w:r>
      <w:r w:rsidR="00FB4555" w:rsidRPr="00560794">
        <w:rPr>
          <w:color w:val="auto"/>
        </w:rPr>
        <w:t>,</w:t>
      </w:r>
      <w:r w:rsidR="00BB5978" w:rsidRPr="00560794">
        <w:rPr>
          <w:color w:val="auto"/>
        </w:rPr>
        <w:t xml:space="preserve"> over wh</w:t>
      </w:r>
      <w:r w:rsidR="001A00C5" w:rsidRPr="00560794">
        <w:rPr>
          <w:color w:val="auto"/>
        </w:rPr>
        <w:t xml:space="preserve">om </w:t>
      </w:r>
      <w:r w:rsidR="00BB5978" w:rsidRPr="00560794">
        <w:rPr>
          <w:color w:val="auto"/>
        </w:rPr>
        <w:t>this court does not have jurisdiction</w:t>
      </w:r>
      <w:r w:rsidR="0008280C" w:rsidRPr="00560794">
        <w:rPr>
          <w:color w:val="auto"/>
        </w:rPr>
        <w:t xml:space="preserve">, the </w:t>
      </w:r>
      <w:r w:rsidR="00965708" w:rsidRPr="00560794">
        <w:rPr>
          <w:color w:val="auto"/>
        </w:rPr>
        <w:t xml:space="preserve">alleged inaccuracy of the </w:t>
      </w:r>
      <w:r w:rsidR="00DC314E" w:rsidRPr="00560794">
        <w:rPr>
          <w:color w:val="auto"/>
        </w:rPr>
        <w:t>back-office</w:t>
      </w:r>
      <w:r w:rsidR="00965708" w:rsidRPr="00560794">
        <w:rPr>
          <w:color w:val="auto"/>
        </w:rPr>
        <w:t xml:space="preserve"> dat</w:t>
      </w:r>
      <w:r w:rsidR="004E7F5F" w:rsidRPr="00560794">
        <w:rPr>
          <w:color w:val="auto"/>
        </w:rPr>
        <w:t>a</w:t>
      </w:r>
      <w:r w:rsidR="00965708" w:rsidRPr="00560794">
        <w:rPr>
          <w:color w:val="auto"/>
        </w:rPr>
        <w:t xml:space="preserve"> and the conflicting statements of the management of MTI</w:t>
      </w:r>
      <w:r w:rsidR="000E75A8" w:rsidRPr="00560794">
        <w:rPr>
          <w:color w:val="auto"/>
        </w:rPr>
        <w:t xml:space="preserve">, </w:t>
      </w:r>
      <w:r w:rsidR="00F8335E" w:rsidRPr="00560794">
        <w:rPr>
          <w:color w:val="auto"/>
        </w:rPr>
        <w:t xml:space="preserve">it would simply not </w:t>
      </w:r>
      <w:r w:rsidR="00BB5978" w:rsidRPr="00560794">
        <w:rPr>
          <w:color w:val="auto"/>
        </w:rPr>
        <w:t xml:space="preserve">have </w:t>
      </w:r>
      <w:r w:rsidR="00BB5978" w:rsidRPr="00DC314E">
        <w:t xml:space="preserve">been </w:t>
      </w:r>
      <w:r w:rsidR="00F8335E" w:rsidRPr="00DC314E">
        <w:t xml:space="preserve">pragmatic </w:t>
      </w:r>
      <w:r w:rsidR="00B30F27" w:rsidRPr="00DC314E">
        <w:t xml:space="preserve">to </w:t>
      </w:r>
      <w:r w:rsidR="00F8335E" w:rsidRPr="00DC314E">
        <w:t xml:space="preserve">join </w:t>
      </w:r>
      <w:r w:rsidR="007E5E7A" w:rsidRPr="00DC314E">
        <w:t xml:space="preserve">all known members/investors of MTI. In the circumstances I am of the view that </w:t>
      </w:r>
      <w:r w:rsidR="000E75A8" w:rsidRPr="00DC314E">
        <w:t xml:space="preserve">the applicants </w:t>
      </w:r>
      <w:r w:rsidR="00FB4555">
        <w:t xml:space="preserve">should </w:t>
      </w:r>
      <w:r w:rsidR="000E75A8" w:rsidRPr="00DC314E">
        <w:t xml:space="preserve">not </w:t>
      </w:r>
      <w:r w:rsidR="00FB4555">
        <w:t xml:space="preserve">be </w:t>
      </w:r>
      <w:r w:rsidR="000E75A8" w:rsidRPr="00DC314E">
        <w:t>non-suited as a result of non-joinder.</w:t>
      </w:r>
    </w:p>
    <w:p w14:paraId="32F14CCF" w14:textId="2E184CF7" w:rsidR="00E93F39" w:rsidRPr="00E93F39" w:rsidRDefault="00E93F39" w:rsidP="00103625">
      <w:pPr>
        <w:pStyle w:val="BodyText3"/>
        <w:spacing w:after="240" w:line="480" w:lineRule="auto"/>
        <w:rPr>
          <w:i/>
          <w:iCs/>
          <w:sz w:val="24"/>
          <w:szCs w:val="24"/>
          <w:u w:val="single"/>
        </w:rPr>
      </w:pPr>
      <w:r>
        <w:rPr>
          <w:i/>
          <w:iCs/>
          <w:sz w:val="24"/>
          <w:szCs w:val="24"/>
          <w:u w:val="single"/>
        </w:rPr>
        <w:lastRenderedPageBreak/>
        <w:t>MTI</w:t>
      </w:r>
      <w:r w:rsidR="00EA5435">
        <w:rPr>
          <w:i/>
          <w:iCs/>
          <w:sz w:val="24"/>
          <w:szCs w:val="24"/>
          <w:u w:val="single"/>
        </w:rPr>
        <w:t xml:space="preserve"> and the FSCA</w:t>
      </w:r>
      <w:r>
        <w:rPr>
          <w:i/>
          <w:iCs/>
          <w:sz w:val="24"/>
          <w:szCs w:val="24"/>
          <w:u w:val="single"/>
        </w:rPr>
        <w:t>:</w:t>
      </w:r>
    </w:p>
    <w:p w14:paraId="58A2AB9D" w14:textId="1BAFF848" w:rsidR="00240325" w:rsidRDefault="00560794" w:rsidP="00560794">
      <w:pPr>
        <w:pStyle w:val="BodyText3"/>
        <w:spacing w:after="240" w:line="480" w:lineRule="auto"/>
        <w:rPr>
          <w:sz w:val="24"/>
          <w:szCs w:val="24"/>
        </w:rPr>
      </w:pPr>
      <w:r>
        <w:rPr>
          <w:sz w:val="22"/>
          <w:szCs w:val="22"/>
        </w:rPr>
        <w:t>[28]</w:t>
      </w:r>
      <w:r>
        <w:rPr>
          <w:sz w:val="22"/>
          <w:szCs w:val="22"/>
        </w:rPr>
        <w:tab/>
      </w:r>
      <w:r w:rsidR="00551554" w:rsidRPr="00E93F39">
        <w:rPr>
          <w:sz w:val="24"/>
          <w:szCs w:val="24"/>
        </w:rPr>
        <w:t>MTI</w:t>
      </w:r>
      <w:r w:rsidR="00E93F39" w:rsidRPr="00E93F39">
        <w:rPr>
          <w:sz w:val="24"/>
          <w:szCs w:val="24"/>
        </w:rPr>
        <w:t xml:space="preserve"> was </w:t>
      </w:r>
      <w:r w:rsidR="00551554" w:rsidRPr="00E93F39">
        <w:rPr>
          <w:sz w:val="24"/>
          <w:szCs w:val="24"/>
        </w:rPr>
        <w:t xml:space="preserve">founded by its sole registered director and chief executive officer, Steynberg, </w:t>
      </w:r>
      <w:r w:rsidR="00E93F39" w:rsidRPr="00E93F39">
        <w:rPr>
          <w:sz w:val="24"/>
          <w:szCs w:val="24"/>
        </w:rPr>
        <w:t xml:space="preserve">during </w:t>
      </w:r>
      <w:r w:rsidR="00797390">
        <w:rPr>
          <w:sz w:val="24"/>
          <w:szCs w:val="24"/>
        </w:rPr>
        <w:t>April 2019</w:t>
      </w:r>
      <w:r w:rsidR="00E93F39" w:rsidRPr="00E93F39">
        <w:rPr>
          <w:sz w:val="24"/>
          <w:szCs w:val="24"/>
        </w:rPr>
        <w:t>.</w:t>
      </w:r>
      <w:r w:rsidR="00797390">
        <w:rPr>
          <w:sz w:val="24"/>
          <w:szCs w:val="24"/>
        </w:rPr>
        <w:t xml:space="preserve"> </w:t>
      </w:r>
      <w:r w:rsidR="00E93F39" w:rsidRPr="00E93F39">
        <w:rPr>
          <w:sz w:val="24"/>
          <w:szCs w:val="24"/>
        </w:rPr>
        <w:t xml:space="preserve">Initially the nature of its business was </w:t>
      </w:r>
      <w:r w:rsidR="00551554" w:rsidRPr="00E93F39">
        <w:rPr>
          <w:sz w:val="24"/>
          <w:szCs w:val="24"/>
        </w:rPr>
        <w:t>described as "</w:t>
      </w:r>
      <w:r w:rsidR="00551554" w:rsidRPr="00E93F39">
        <w:rPr>
          <w:i/>
          <w:sz w:val="24"/>
          <w:szCs w:val="24"/>
        </w:rPr>
        <w:t>an internet based crypto-currency</w:t>
      </w:r>
      <w:r w:rsidR="006E757A" w:rsidRPr="0003051A">
        <w:rPr>
          <w:rStyle w:val="FootnoteReference"/>
          <w:i/>
          <w:sz w:val="24"/>
          <w:szCs w:val="24"/>
        </w:rPr>
        <w:footnoteReference w:id="16"/>
      </w:r>
      <w:r w:rsidR="00551554" w:rsidRPr="00E93F39">
        <w:rPr>
          <w:i/>
          <w:sz w:val="24"/>
          <w:szCs w:val="24"/>
        </w:rPr>
        <w:t xml:space="preserve"> club which performs its business through the website </w:t>
      </w:r>
      <w:hyperlink r:id="rId9" w:history="1">
        <w:r w:rsidR="00551554" w:rsidRPr="00E93F39">
          <w:rPr>
            <w:rStyle w:val="Hyperlink"/>
            <w:i/>
            <w:sz w:val="24"/>
            <w:szCs w:val="24"/>
          </w:rPr>
          <w:t>www.mymticlub.com</w:t>
        </w:r>
      </w:hyperlink>
      <w:r w:rsidR="00551554" w:rsidRPr="00E93F39">
        <w:rPr>
          <w:i/>
          <w:sz w:val="24"/>
          <w:szCs w:val="24"/>
        </w:rPr>
        <w:t xml:space="preserve"> and its official offices in Stellenbosch, Western Cape, South Africa.  The benefit to members is in the form of the crypto-currency </w:t>
      </w:r>
      <w:r w:rsidR="00F23C2D">
        <w:rPr>
          <w:i/>
          <w:sz w:val="24"/>
          <w:szCs w:val="24"/>
        </w:rPr>
        <w:t>b</w:t>
      </w:r>
      <w:r w:rsidR="00551554" w:rsidRPr="00E93F39">
        <w:rPr>
          <w:i/>
          <w:sz w:val="24"/>
          <w:szCs w:val="24"/>
        </w:rPr>
        <w:t>itcoin where members</w:t>
      </w:r>
      <w:r w:rsidR="00FB4555">
        <w:rPr>
          <w:i/>
          <w:sz w:val="24"/>
          <w:szCs w:val="24"/>
        </w:rPr>
        <w:t>’</w:t>
      </w:r>
      <w:r w:rsidR="00551554" w:rsidRPr="00E93F39">
        <w:rPr>
          <w:i/>
          <w:sz w:val="24"/>
          <w:szCs w:val="24"/>
        </w:rPr>
        <w:t xml:space="preserve"> </w:t>
      </w:r>
      <w:r w:rsidR="00F23C2D">
        <w:rPr>
          <w:i/>
          <w:sz w:val="24"/>
          <w:szCs w:val="24"/>
        </w:rPr>
        <w:t>b</w:t>
      </w:r>
      <w:r w:rsidR="00551554" w:rsidRPr="00E93F39">
        <w:rPr>
          <w:i/>
          <w:sz w:val="24"/>
          <w:szCs w:val="24"/>
        </w:rPr>
        <w:t>itcoin grows through forex trading by a registered and regulated broker".</w:t>
      </w:r>
      <w:r w:rsidR="00551554" w:rsidRPr="00E93F39">
        <w:rPr>
          <w:sz w:val="24"/>
          <w:szCs w:val="24"/>
        </w:rPr>
        <w:t xml:space="preserve">  This description </w:t>
      </w:r>
      <w:r w:rsidR="00E93F39" w:rsidRPr="00E93F39">
        <w:rPr>
          <w:sz w:val="24"/>
          <w:szCs w:val="24"/>
        </w:rPr>
        <w:t xml:space="preserve">appeared </w:t>
      </w:r>
      <w:r w:rsidR="00551554" w:rsidRPr="00E93F39">
        <w:rPr>
          <w:sz w:val="24"/>
          <w:szCs w:val="24"/>
        </w:rPr>
        <w:t>in an electronic document uploaded on the official MTI website, which document purportedly served to regulate the contractual relationship between MTI and its investors</w:t>
      </w:r>
      <w:r w:rsidR="002F6BD1">
        <w:rPr>
          <w:sz w:val="24"/>
          <w:szCs w:val="24"/>
        </w:rPr>
        <w:t xml:space="preserve"> during the second period of </w:t>
      </w:r>
      <w:r w:rsidR="00932CEF">
        <w:rPr>
          <w:sz w:val="24"/>
          <w:szCs w:val="24"/>
        </w:rPr>
        <w:t>the operations of MTI to which I will return later</w:t>
      </w:r>
      <w:r w:rsidR="00551554" w:rsidRPr="00E93F39">
        <w:rPr>
          <w:sz w:val="24"/>
          <w:szCs w:val="24"/>
        </w:rPr>
        <w:t>.</w:t>
      </w:r>
    </w:p>
    <w:p w14:paraId="00F05E98" w14:textId="6E0046FB" w:rsidR="00240325" w:rsidRPr="0080471A" w:rsidRDefault="00560794" w:rsidP="00560794">
      <w:pPr>
        <w:pStyle w:val="BodyText3"/>
        <w:spacing w:after="240" w:line="480" w:lineRule="auto"/>
        <w:rPr>
          <w:sz w:val="24"/>
          <w:szCs w:val="24"/>
        </w:rPr>
      </w:pPr>
      <w:r w:rsidRPr="0080471A">
        <w:rPr>
          <w:sz w:val="22"/>
          <w:szCs w:val="22"/>
        </w:rPr>
        <w:t>[29]</w:t>
      </w:r>
      <w:r w:rsidRPr="0080471A">
        <w:rPr>
          <w:sz w:val="22"/>
          <w:szCs w:val="22"/>
        </w:rPr>
        <w:tab/>
      </w:r>
      <w:r w:rsidR="00551554" w:rsidRPr="0080471A">
        <w:rPr>
          <w:sz w:val="24"/>
          <w:szCs w:val="24"/>
        </w:rPr>
        <w:t xml:space="preserve">Investors in MTI </w:t>
      </w:r>
      <w:r w:rsidR="00E93F39" w:rsidRPr="0080471A">
        <w:rPr>
          <w:sz w:val="24"/>
          <w:szCs w:val="24"/>
        </w:rPr>
        <w:t xml:space="preserve">were </w:t>
      </w:r>
      <w:r w:rsidR="00551554" w:rsidRPr="0080471A">
        <w:rPr>
          <w:sz w:val="24"/>
          <w:szCs w:val="24"/>
        </w:rPr>
        <w:t xml:space="preserve">referred to as members of </w:t>
      </w:r>
      <w:r w:rsidR="00F93DF0" w:rsidRPr="0080471A">
        <w:rPr>
          <w:sz w:val="24"/>
          <w:szCs w:val="24"/>
        </w:rPr>
        <w:t xml:space="preserve">the </w:t>
      </w:r>
      <w:r w:rsidR="00551554" w:rsidRPr="0080471A">
        <w:rPr>
          <w:sz w:val="24"/>
          <w:szCs w:val="24"/>
        </w:rPr>
        <w:t>MTI investors club</w:t>
      </w:r>
      <w:r w:rsidR="00014584" w:rsidRPr="0080471A">
        <w:rPr>
          <w:sz w:val="24"/>
          <w:szCs w:val="24"/>
        </w:rPr>
        <w:t xml:space="preserve"> </w:t>
      </w:r>
      <w:r w:rsidR="00114BB7" w:rsidRPr="0080471A">
        <w:rPr>
          <w:sz w:val="24"/>
          <w:szCs w:val="24"/>
        </w:rPr>
        <w:t>(</w:t>
      </w:r>
      <w:r w:rsidR="0003051A">
        <w:rPr>
          <w:sz w:val="24"/>
          <w:szCs w:val="24"/>
        </w:rPr>
        <w:t>“</w:t>
      </w:r>
      <w:r w:rsidR="00250121">
        <w:rPr>
          <w:sz w:val="24"/>
          <w:szCs w:val="24"/>
        </w:rPr>
        <w:t xml:space="preserve">My </w:t>
      </w:r>
      <w:r w:rsidR="00114BB7" w:rsidRPr="0080471A">
        <w:rPr>
          <w:sz w:val="24"/>
          <w:szCs w:val="24"/>
        </w:rPr>
        <w:t xml:space="preserve">MTI </w:t>
      </w:r>
      <w:r w:rsidR="004840F0">
        <w:rPr>
          <w:sz w:val="24"/>
          <w:szCs w:val="24"/>
        </w:rPr>
        <w:t>C</w:t>
      </w:r>
      <w:r w:rsidR="00250121">
        <w:rPr>
          <w:sz w:val="24"/>
          <w:szCs w:val="24"/>
        </w:rPr>
        <w:t>lub</w:t>
      </w:r>
      <w:r w:rsidR="00114BB7" w:rsidRPr="0080471A">
        <w:rPr>
          <w:sz w:val="24"/>
          <w:szCs w:val="24"/>
        </w:rPr>
        <w:t>”)</w:t>
      </w:r>
      <w:r w:rsidR="001A0DFB" w:rsidRPr="0080471A">
        <w:rPr>
          <w:sz w:val="24"/>
          <w:szCs w:val="24"/>
        </w:rPr>
        <w:t xml:space="preserve">, </w:t>
      </w:r>
      <w:r w:rsidR="00DB7C38" w:rsidRPr="0080471A">
        <w:rPr>
          <w:sz w:val="24"/>
          <w:szCs w:val="24"/>
        </w:rPr>
        <w:t>(</w:t>
      </w:r>
      <w:r w:rsidR="001A0DFB" w:rsidRPr="0080471A">
        <w:rPr>
          <w:sz w:val="24"/>
          <w:szCs w:val="24"/>
        </w:rPr>
        <w:t>I</w:t>
      </w:r>
      <w:r w:rsidR="00FB4555" w:rsidRPr="0080471A">
        <w:rPr>
          <w:sz w:val="24"/>
          <w:szCs w:val="24"/>
        </w:rPr>
        <w:t xml:space="preserve"> </w:t>
      </w:r>
      <w:r w:rsidR="00995EB6">
        <w:rPr>
          <w:sz w:val="24"/>
          <w:szCs w:val="24"/>
        </w:rPr>
        <w:t xml:space="preserve">will </w:t>
      </w:r>
      <w:r w:rsidR="001A0DFB" w:rsidRPr="0080471A">
        <w:rPr>
          <w:sz w:val="24"/>
          <w:szCs w:val="24"/>
        </w:rPr>
        <w:t>refer to these members</w:t>
      </w:r>
      <w:r w:rsidR="00C51079" w:rsidRPr="0080471A">
        <w:rPr>
          <w:sz w:val="24"/>
          <w:szCs w:val="24"/>
        </w:rPr>
        <w:t xml:space="preserve"> as </w:t>
      </w:r>
      <w:r w:rsidR="001A0DFB" w:rsidRPr="0080471A">
        <w:rPr>
          <w:sz w:val="24"/>
          <w:szCs w:val="24"/>
        </w:rPr>
        <w:t>investors</w:t>
      </w:r>
      <w:r w:rsidR="00995EB6">
        <w:rPr>
          <w:sz w:val="24"/>
          <w:szCs w:val="24"/>
        </w:rPr>
        <w:t xml:space="preserve"> in line with Fourie NO </w:t>
      </w:r>
      <w:r w:rsidR="0003051A">
        <w:rPr>
          <w:i/>
          <w:iCs/>
          <w:sz w:val="24"/>
          <w:szCs w:val="24"/>
        </w:rPr>
        <w:t xml:space="preserve">supra) </w:t>
      </w:r>
      <w:r w:rsidR="00E93F39" w:rsidRPr="0080471A">
        <w:rPr>
          <w:sz w:val="24"/>
          <w:szCs w:val="24"/>
        </w:rPr>
        <w:t xml:space="preserve"> and t</w:t>
      </w:r>
      <w:r w:rsidR="00551554" w:rsidRPr="0080471A">
        <w:rPr>
          <w:sz w:val="24"/>
          <w:szCs w:val="24"/>
        </w:rPr>
        <w:t xml:space="preserve">he following were the most important and relevant terms and conditions of </w:t>
      </w:r>
      <w:r w:rsidR="00C51079" w:rsidRPr="0080471A">
        <w:rPr>
          <w:sz w:val="24"/>
          <w:szCs w:val="24"/>
        </w:rPr>
        <w:t xml:space="preserve">their agreement with </w:t>
      </w:r>
      <w:r w:rsidR="00551554" w:rsidRPr="0080471A">
        <w:rPr>
          <w:sz w:val="24"/>
          <w:szCs w:val="24"/>
        </w:rPr>
        <w:t>MTI</w:t>
      </w:r>
      <w:r w:rsidR="00C51079" w:rsidRPr="0080471A">
        <w:rPr>
          <w:sz w:val="24"/>
          <w:szCs w:val="24"/>
        </w:rPr>
        <w:t>:</w:t>
      </w:r>
    </w:p>
    <w:p w14:paraId="6F63B2F0" w14:textId="66C9FD1E" w:rsidR="00E93F39" w:rsidRDefault="00560794" w:rsidP="00560794">
      <w:pPr>
        <w:spacing w:line="480" w:lineRule="auto"/>
        <w:ind w:left="1758" w:hanging="851"/>
      </w:pPr>
      <w:r>
        <w:t>29.1</w:t>
      </w:r>
      <w:r>
        <w:tab/>
      </w:r>
      <w:r w:rsidR="00E93F39" w:rsidRPr="00797390">
        <w:t>Upon acce</w:t>
      </w:r>
      <w:r w:rsidR="00E93F39" w:rsidRPr="00557FED">
        <w:t xml:space="preserve">ssing and registering on the MTI website and/or by </w:t>
      </w:r>
      <w:r w:rsidR="009C6176" w:rsidRPr="00557FED">
        <w:t>using</w:t>
      </w:r>
      <w:r w:rsidR="009C6176">
        <w:t xml:space="preserve"> any</w:t>
      </w:r>
      <w:r w:rsidR="002F2E60">
        <w:t xml:space="preserve"> </w:t>
      </w:r>
      <w:r w:rsidR="00E93F39" w:rsidRPr="00557FED">
        <w:t>MTI</w:t>
      </w:r>
      <w:r w:rsidR="00E93F39">
        <w:t xml:space="preserve"> </w:t>
      </w:r>
      <w:r w:rsidR="00E93F39" w:rsidRPr="00557FED">
        <w:t>services, a member agreed that he/she has read,</w:t>
      </w:r>
      <w:r w:rsidR="00E93F39">
        <w:t xml:space="preserve"> </w:t>
      </w:r>
      <w:r w:rsidR="001138FD">
        <w:t>u</w:t>
      </w:r>
      <w:r w:rsidR="00E93F39">
        <w:t>nderstood</w:t>
      </w:r>
      <w:r w:rsidR="001138FD">
        <w:t xml:space="preserve"> </w:t>
      </w:r>
      <w:r w:rsidR="00E93F39" w:rsidRPr="00557FED">
        <w:t>and agreed</w:t>
      </w:r>
      <w:r w:rsidR="00E93F39">
        <w:t xml:space="preserve"> </w:t>
      </w:r>
      <w:r w:rsidR="00E93F39" w:rsidRPr="00557FED">
        <w:t>to and undertook to abide by the terms of the MT</w:t>
      </w:r>
      <w:r w:rsidR="00797390">
        <w:t>I</w:t>
      </w:r>
      <w:r w:rsidR="001138FD">
        <w:t xml:space="preserve"> </w:t>
      </w:r>
      <w:r w:rsidR="00E93F39" w:rsidRPr="00557FED">
        <w:t>agreement.</w:t>
      </w:r>
    </w:p>
    <w:p w14:paraId="5AF1021E" w14:textId="77777777" w:rsidR="002536C5" w:rsidRDefault="002536C5" w:rsidP="005F2F39">
      <w:pPr>
        <w:pStyle w:val="ListParagraph"/>
        <w:spacing w:line="480" w:lineRule="auto"/>
        <w:ind w:left="907"/>
      </w:pPr>
    </w:p>
    <w:p w14:paraId="5ED48271" w14:textId="3034CEDA" w:rsidR="00E93F39" w:rsidRDefault="00560794" w:rsidP="00560794">
      <w:pPr>
        <w:spacing w:line="480" w:lineRule="auto"/>
        <w:ind w:left="1758" w:hanging="851"/>
      </w:pPr>
      <w:r>
        <w:t>29.2</w:t>
      </w:r>
      <w:r>
        <w:tab/>
      </w:r>
      <w:r w:rsidR="00E93F39" w:rsidRPr="00474222">
        <w:t xml:space="preserve">The marketing of MTI's business was based on a multi-level </w:t>
      </w:r>
      <w:r w:rsidR="00DB7C38">
        <w:t>m</w:t>
      </w:r>
      <w:r w:rsidR="00E93F39" w:rsidRPr="00474222">
        <w:t>arketing</w:t>
      </w:r>
      <w:r w:rsidR="00DB7C38">
        <w:t xml:space="preserve"> </w:t>
      </w:r>
      <w:r w:rsidR="00E93F39" w:rsidRPr="00474222">
        <w:t xml:space="preserve">strategy.  In addition to receiving a share of trading profits, </w:t>
      </w:r>
      <w:r w:rsidR="00E93F39" w:rsidRPr="00474222">
        <w:lastRenderedPageBreak/>
        <w:t>members</w:t>
      </w:r>
      <w:r w:rsidR="00DB7C38">
        <w:t xml:space="preserve"> </w:t>
      </w:r>
      <w:r w:rsidR="00E93F39" w:rsidRPr="00474222">
        <w:t>also received a variety of incentive-based remunerations, based on the referral of new members who also joined MTI and made an</w:t>
      </w:r>
      <w:r w:rsidR="00DB7C38">
        <w:t xml:space="preserve"> </w:t>
      </w:r>
      <w:r w:rsidR="00E93F39" w:rsidRPr="00474222">
        <w:t>investment.</w:t>
      </w:r>
    </w:p>
    <w:p w14:paraId="10B426FF" w14:textId="77777777" w:rsidR="002536C5" w:rsidRDefault="002536C5" w:rsidP="005F2F39">
      <w:pPr>
        <w:pStyle w:val="ListParagraph"/>
      </w:pPr>
    </w:p>
    <w:p w14:paraId="7399CB24" w14:textId="6F4AAB26" w:rsidR="00777DA1" w:rsidRDefault="00560794" w:rsidP="00560794">
      <w:pPr>
        <w:spacing w:line="480" w:lineRule="auto"/>
        <w:ind w:left="1758" w:hanging="851"/>
      </w:pPr>
      <w:r>
        <w:t>29.3</w:t>
      </w:r>
      <w:r>
        <w:tab/>
      </w:r>
      <w:r w:rsidR="00E93F39" w:rsidRPr="00557FED">
        <w:t>The proceeds derived from trading profits to which members were entitled, were regulated by the MTI compensation plan, which consisted of five income streams described as:</w:t>
      </w:r>
    </w:p>
    <w:p w14:paraId="0E62BF8E" w14:textId="77777777" w:rsidR="005F2F39" w:rsidRDefault="005F2F39" w:rsidP="005F2F39">
      <w:pPr>
        <w:pStyle w:val="ListParagraph"/>
      </w:pPr>
    </w:p>
    <w:p w14:paraId="3BF7034A" w14:textId="4CAA8F25" w:rsidR="00E93F39" w:rsidRDefault="00560794" w:rsidP="00560794">
      <w:pPr>
        <w:spacing w:line="480" w:lineRule="auto"/>
        <w:ind w:left="2534" w:hanging="720"/>
      </w:pPr>
      <w:r>
        <w:t>29.3.1</w:t>
      </w:r>
      <w:r>
        <w:tab/>
      </w:r>
      <w:r w:rsidR="0009179B">
        <w:t xml:space="preserve"> </w:t>
      </w:r>
      <w:r w:rsidR="0009179B">
        <w:tab/>
        <w:t xml:space="preserve"> </w:t>
      </w:r>
      <w:r w:rsidR="00E93F39" w:rsidRPr="00BE6D6F">
        <w:t xml:space="preserve">40% </w:t>
      </w:r>
      <w:r w:rsidR="00E93F39">
        <w:t>m</w:t>
      </w:r>
      <w:r w:rsidR="00E93F39" w:rsidRPr="00BE6D6F">
        <w:t xml:space="preserve">embers </w:t>
      </w:r>
      <w:r w:rsidR="00E93F39">
        <w:t>d</w:t>
      </w:r>
      <w:r w:rsidR="00E93F39" w:rsidRPr="00BE6D6F">
        <w:t xml:space="preserve">aily </w:t>
      </w:r>
      <w:r w:rsidR="00E93F39">
        <w:t>t</w:t>
      </w:r>
      <w:r w:rsidR="00E93F39" w:rsidRPr="00BE6D6F">
        <w:t xml:space="preserve">rading </w:t>
      </w:r>
      <w:r w:rsidR="00E93F39">
        <w:t>b</w:t>
      </w:r>
      <w:r w:rsidR="00E93F39" w:rsidRPr="00BE6D6F">
        <w:t>onus</w:t>
      </w:r>
      <w:r w:rsidR="00E93F39">
        <w:t>;</w:t>
      </w:r>
    </w:p>
    <w:p w14:paraId="0E45F298" w14:textId="5C3C67CD" w:rsidR="00E93F39" w:rsidRDefault="00560794" w:rsidP="00560794">
      <w:pPr>
        <w:spacing w:line="480" w:lineRule="auto"/>
        <w:ind w:left="2534" w:hanging="720"/>
      </w:pPr>
      <w:r>
        <w:t>29.3.2</w:t>
      </w:r>
      <w:r>
        <w:tab/>
      </w:r>
      <w:r w:rsidR="002F2E60">
        <w:tab/>
      </w:r>
      <w:r w:rsidR="00E93F39" w:rsidRPr="005A7896">
        <w:t xml:space="preserve">10% </w:t>
      </w:r>
      <w:r w:rsidR="00E93F39">
        <w:t>d</w:t>
      </w:r>
      <w:r w:rsidR="00E93F39" w:rsidRPr="005A7896">
        <w:t xml:space="preserve">irect </w:t>
      </w:r>
      <w:r w:rsidR="00E93F39">
        <w:t>o</w:t>
      </w:r>
      <w:r w:rsidR="00E93F39" w:rsidRPr="005A7896">
        <w:t>nce-</w:t>
      </w:r>
      <w:r w:rsidR="00E93F39">
        <w:t>o</w:t>
      </w:r>
      <w:r w:rsidR="00E93F39" w:rsidRPr="005A7896">
        <w:t>f</w:t>
      </w:r>
      <w:r w:rsidR="00FB4555">
        <w:t>f</w:t>
      </w:r>
      <w:r w:rsidR="00E93F39" w:rsidRPr="005A7896">
        <w:t xml:space="preserve"> </w:t>
      </w:r>
      <w:r w:rsidR="00E93F39">
        <w:t>r</w:t>
      </w:r>
      <w:r w:rsidR="00E93F39" w:rsidRPr="005A7896">
        <w:t xml:space="preserve">eferral </w:t>
      </w:r>
      <w:r w:rsidR="00E93F39">
        <w:t>b</w:t>
      </w:r>
      <w:r w:rsidR="00E93F39" w:rsidRPr="005A7896">
        <w:t>onus</w:t>
      </w:r>
      <w:r w:rsidR="00E93F39">
        <w:t>;</w:t>
      </w:r>
    </w:p>
    <w:p w14:paraId="2C787A5A" w14:textId="0F5DEF70" w:rsidR="00E93F39" w:rsidRDefault="00560794" w:rsidP="00560794">
      <w:pPr>
        <w:spacing w:line="480" w:lineRule="auto"/>
        <w:ind w:left="2534" w:hanging="720"/>
      </w:pPr>
      <w:r>
        <w:t>29.3.3</w:t>
      </w:r>
      <w:r>
        <w:tab/>
      </w:r>
      <w:r w:rsidR="002F2E60">
        <w:tab/>
      </w:r>
      <w:r w:rsidR="00E93F39" w:rsidRPr="005A7896">
        <w:t xml:space="preserve">20% </w:t>
      </w:r>
      <w:r w:rsidR="00E93F39">
        <w:t>w</w:t>
      </w:r>
      <w:r w:rsidR="00E93F39" w:rsidRPr="005A7896">
        <w:t xml:space="preserve">eekly </w:t>
      </w:r>
      <w:r w:rsidR="00E93F39">
        <w:t>p</w:t>
      </w:r>
      <w:r w:rsidR="00E93F39" w:rsidRPr="005A7896">
        <w:t>rofit-</w:t>
      </w:r>
      <w:r w:rsidR="00E93F39">
        <w:t>s</w:t>
      </w:r>
      <w:r w:rsidR="00E93F39" w:rsidRPr="005A7896">
        <w:t xml:space="preserve">haring </w:t>
      </w:r>
      <w:r w:rsidR="00E93F39">
        <w:t>b</w:t>
      </w:r>
      <w:r w:rsidR="00E93F39" w:rsidRPr="005A7896">
        <w:t>onus</w:t>
      </w:r>
      <w:r w:rsidR="00E93F39">
        <w:t>;</w:t>
      </w:r>
    </w:p>
    <w:p w14:paraId="7A62157F" w14:textId="77777777" w:rsidR="005F2F39" w:rsidRDefault="005F2F39" w:rsidP="005F2F39">
      <w:pPr>
        <w:pStyle w:val="ListParagraph"/>
        <w:spacing w:line="480" w:lineRule="auto"/>
        <w:ind w:left="2534"/>
      </w:pPr>
    </w:p>
    <w:p w14:paraId="63E8E669" w14:textId="77777777" w:rsidR="005F2F39" w:rsidRDefault="005F2F39" w:rsidP="005F2F39">
      <w:pPr>
        <w:pStyle w:val="ListParagraph"/>
        <w:spacing w:line="480" w:lineRule="auto"/>
        <w:ind w:left="2534"/>
      </w:pPr>
    </w:p>
    <w:p w14:paraId="3550F330" w14:textId="77777777" w:rsidR="005F2F39" w:rsidRDefault="005F2F39" w:rsidP="005F2F39">
      <w:pPr>
        <w:pStyle w:val="ListParagraph"/>
        <w:spacing w:line="480" w:lineRule="auto"/>
        <w:ind w:left="2534"/>
      </w:pPr>
    </w:p>
    <w:p w14:paraId="24FA8CF6" w14:textId="003FAF4C" w:rsidR="00E93F39" w:rsidRDefault="00560794" w:rsidP="00560794">
      <w:pPr>
        <w:spacing w:line="480" w:lineRule="auto"/>
        <w:ind w:left="2534" w:hanging="720"/>
      </w:pPr>
      <w:r>
        <w:t>29.3.4</w:t>
      </w:r>
      <w:r>
        <w:tab/>
      </w:r>
      <w:r w:rsidR="0009179B">
        <w:tab/>
      </w:r>
      <w:r w:rsidR="00E93F39" w:rsidRPr="00A9036F">
        <w:t xml:space="preserve">2.5% P1 </w:t>
      </w:r>
      <w:r w:rsidR="00E93F39">
        <w:t>l</w:t>
      </w:r>
      <w:r w:rsidR="00E93F39" w:rsidRPr="00A9036F">
        <w:t xml:space="preserve">eadership </w:t>
      </w:r>
      <w:r w:rsidR="00E93F39">
        <w:t>b</w:t>
      </w:r>
      <w:r w:rsidR="00E93F39" w:rsidRPr="00A9036F">
        <w:t>onus</w:t>
      </w:r>
      <w:r w:rsidR="00E93F39">
        <w:t>;</w:t>
      </w:r>
    </w:p>
    <w:p w14:paraId="3AFE9109" w14:textId="60E34D4F" w:rsidR="00E93F39" w:rsidRDefault="00560794" w:rsidP="00560794">
      <w:pPr>
        <w:spacing w:line="480" w:lineRule="auto"/>
        <w:ind w:left="2534" w:hanging="720"/>
      </w:pPr>
      <w:r>
        <w:t>29.3.5</w:t>
      </w:r>
      <w:r>
        <w:tab/>
      </w:r>
      <w:r w:rsidR="0009179B">
        <w:t xml:space="preserve">      </w:t>
      </w:r>
      <w:r w:rsidR="00E93F39" w:rsidRPr="00910DE0">
        <w:t xml:space="preserve">2.5% P2 </w:t>
      </w:r>
      <w:r w:rsidR="00E93F39">
        <w:t>l</w:t>
      </w:r>
      <w:r w:rsidR="00E93F39" w:rsidRPr="00910DE0">
        <w:t xml:space="preserve">eadership </w:t>
      </w:r>
      <w:r w:rsidR="00E93F39">
        <w:t>b</w:t>
      </w:r>
      <w:r w:rsidR="00E93F39" w:rsidRPr="00910DE0">
        <w:t>onus.</w:t>
      </w:r>
    </w:p>
    <w:p w14:paraId="6BA736A2" w14:textId="77777777" w:rsidR="00CF48EB" w:rsidRDefault="00CF48EB" w:rsidP="005F2F39">
      <w:pPr>
        <w:pStyle w:val="ListParagraph"/>
        <w:spacing w:line="480" w:lineRule="auto"/>
        <w:ind w:left="2444"/>
      </w:pPr>
    </w:p>
    <w:p w14:paraId="530ECDAD" w14:textId="43D669D2" w:rsidR="00E93F39" w:rsidRDefault="00560794" w:rsidP="00560794">
      <w:pPr>
        <w:spacing w:line="480" w:lineRule="auto"/>
        <w:ind w:left="1758" w:hanging="851"/>
      </w:pPr>
      <w:r>
        <w:t>29.4</w:t>
      </w:r>
      <w:r>
        <w:tab/>
      </w:r>
      <w:r w:rsidR="00E93F39" w:rsidRPr="00E30D81">
        <w:t xml:space="preserve">All of the above income streams would be paid from the daily profits made by MTI through its trading activities and not from any of the </w:t>
      </w:r>
      <w:r w:rsidR="00F23C2D">
        <w:t>b</w:t>
      </w:r>
      <w:r w:rsidR="00E93F39" w:rsidRPr="00E30D81">
        <w:t xml:space="preserve">itcoin invested by the </w:t>
      </w:r>
      <w:r w:rsidR="00E93F39" w:rsidRPr="00797390">
        <w:t>investors.</w:t>
      </w:r>
      <w:r w:rsidR="00E93F39" w:rsidRPr="00E30D81">
        <w:t xml:space="preserve"> </w:t>
      </w:r>
    </w:p>
    <w:p w14:paraId="4A3EA1BF" w14:textId="77777777" w:rsidR="00761D48" w:rsidRDefault="00761D48" w:rsidP="005F2F39">
      <w:pPr>
        <w:pStyle w:val="ListParagraph"/>
        <w:spacing w:line="276" w:lineRule="auto"/>
        <w:ind w:left="1323"/>
      </w:pPr>
    </w:p>
    <w:p w14:paraId="61EAFA8A" w14:textId="449CBE16" w:rsidR="00240325" w:rsidRDefault="00560794" w:rsidP="00560794">
      <w:pPr>
        <w:pStyle w:val="BodyText3"/>
        <w:spacing w:after="240" w:line="480" w:lineRule="auto"/>
        <w:rPr>
          <w:sz w:val="24"/>
          <w:szCs w:val="24"/>
        </w:rPr>
      </w:pPr>
      <w:r>
        <w:rPr>
          <w:sz w:val="22"/>
          <w:szCs w:val="22"/>
        </w:rPr>
        <w:t>[30]</w:t>
      </w:r>
      <w:r>
        <w:rPr>
          <w:sz w:val="22"/>
          <w:szCs w:val="22"/>
        </w:rPr>
        <w:tab/>
      </w:r>
      <w:r w:rsidR="00551554" w:rsidRPr="00E93F39">
        <w:rPr>
          <w:sz w:val="24"/>
          <w:szCs w:val="24"/>
        </w:rPr>
        <w:t>The business model of MTI was summarised in an online</w:t>
      </w:r>
      <w:r w:rsidR="00DA6117">
        <w:rPr>
          <w:sz w:val="24"/>
          <w:szCs w:val="24"/>
        </w:rPr>
        <w:t xml:space="preserve"> </w:t>
      </w:r>
      <w:r w:rsidR="00551554" w:rsidRPr="00E93F39">
        <w:rPr>
          <w:sz w:val="24"/>
          <w:szCs w:val="24"/>
        </w:rPr>
        <w:t xml:space="preserve">presentation, </w:t>
      </w:r>
      <w:r w:rsidR="004509EC" w:rsidRPr="00E93F39">
        <w:rPr>
          <w:sz w:val="24"/>
          <w:szCs w:val="24"/>
        </w:rPr>
        <w:t>and used</w:t>
      </w:r>
      <w:r w:rsidR="00551554" w:rsidRPr="00E93F39">
        <w:rPr>
          <w:sz w:val="24"/>
          <w:szCs w:val="24"/>
        </w:rPr>
        <w:t xml:space="preserve"> to attract new investors.</w:t>
      </w:r>
    </w:p>
    <w:p w14:paraId="55721648" w14:textId="4EE50FD2" w:rsidR="00FD0771" w:rsidRDefault="00560794" w:rsidP="00560794">
      <w:pPr>
        <w:pStyle w:val="BodyText3"/>
        <w:spacing w:after="240" w:line="480" w:lineRule="auto"/>
        <w:rPr>
          <w:sz w:val="24"/>
          <w:szCs w:val="24"/>
        </w:rPr>
      </w:pPr>
      <w:r>
        <w:rPr>
          <w:sz w:val="22"/>
          <w:szCs w:val="22"/>
        </w:rPr>
        <w:lastRenderedPageBreak/>
        <w:t>[31]</w:t>
      </w:r>
      <w:r>
        <w:rPr>
          <w:sz w:val="22"/>
          <w:szCs w:val="22"/>
        </w:rPr>
        <w:tab/>
      </w:r>
      <w:r w:rsidR="00FD0771" w:rsidRPr="0080471A">
        <w:rPr>
          <w:sz w:val="24"/>
          <w:szCs w:val="24"/>
        </w:rPr>
        <w:t>During 2020 the FSCA</w:t>
      </w:r>
      <w:r w:rsidR="008C6532" w:rsidRPr="0080471A">
        <w:rPr>
          <w:sz w:val="24"/>
          <w:szCs w:val="24"/>
        </w:rPr>
        <w:t xml:space="preserve">, due to an anonymous </w:t>
      </w:r>
      <w:r w:rsidR="000F767F">
        <w:rPr>
          <w:sz w:val="24"/>
          <w:szCs w:val="24"/>
        </w:rPr>
        <w:t>disclosure</w:t>
      </w:r>
      <w:r w:rsidR="008C6532" w:rsidRPr="0080471A">
        <w:rPr>
          <w:sz w:val="24"/>
          <w:szCs w:val="24"/>
        </w:rPr>
        <w:t xml:space="preserve">, </w:t>
      </w:r>
      <w:r w:rsidR="00DA6117" w:rsidRPr="0080471A">
        <w:rPr>
          <w:sz w:val="24"/>
          <w:szCs w:val="24"/>
        </w:rPr>
        <w:t>started</w:t>
      </w:r>
      <w:r w:rsidR="000F767F">
        <w:rPr>
          <w:sz w:val="24"/>
          <w:szCs w:val="24"/>
        </w:rPr>
        <w:t xml:space="preserve"> i</w:t>
      </w:r>
      <w:r w:rsidR="00DA6117" w:rsidRPr="0080471A">
        <w:rPr>
          <w:sz w:val="24"/>
          <w:szCs w:val="24"/>
        </w:rPr>
        <w:t xml:space="preserve">nvestigation the business of MTI and </w:t>
      </w:r>
      <w:r w:rsidR="00FD0771" w:rsidRPr="0080471A">
        <w:rPr>
          <w:sz w:val="24"/>
          <w:szCs w:val="24"/>
        </w:rPr>
        <w:t xml:space="preserve">conducted interviews with </w:t>
      </w:r>
      <w:r w:rsidR="00FD0771" w:rsidRPr="0080471A">
        <w:rPr>
          <w:i/>
          <w:iCs/>
          <w:sz w:val="24"/>
          <w:szCs w:val="24"/>
        </w:rPr>
        <w:t>inter alia</w:t>
      </w:r>
      <w:r w:rsidR="00FD0771" w:rsidRPr="0080471A">
        <w:rPr>
          <w:sz w:val="24"/>
          <w:szCs w:val="24"/>
        </w:rPr>
        <w:t xml:space="preserve"> Steynberg, </w:t>
      </w:r>
      <w:r w:rsidR="00956077" w:rsidRPr="0080471A">
        <w:rPr>
          <w:sz w:val="24"/>
          <w:szCs w:val="24"/>
        </w:rPr>
        <w:t xml:space="preserve">Cheri Marks </w:t>
      </w:r>
      <w:r w:rsidR="00FD0771" w:rsidRPr="0080471A">
        <w:rPr>
          <w:sz w:val="24"/>
          <w:szCs w:val="24"/>
        </w:rPr>
        <w:t>and Keith Badenhorst</w:t>
      </w:r>
      <w:r w:rsidR="008C6532" w:rsidRPr="0080471A">
        <w:rPr>
          <w:sz w:val="24"/>
          <w:szCs w:val="24"/>
        </w:rPr>
        <w:t xml:space="preserve">. </w:t>
      </w:r>
      <w:r w:rsidR="00FD0771" w:rsidRPr="0080471A">
        <w:rPr>
          <w:sz w:val="24"/>
          <w:szCs w:val="24"/>
        </w:rPr>
        <w:t xml:space="preserve">Their interviews are on record and </w:t>
      </w:r>
      <w:r w:rsidR="00FB4555" w:rsidRPr="0080471A">
        <w:rPr>
          <w:sz w:val="24"/>
          <w:szCs w:val="24"/>
        </w:rPr>
        <w:t>are</w:t>
      </w:r>
      <w:r w:rsidR="00FD0771" w:rsidRPr="0080471A">
        <w:rPr>
          <w:sz w:val="24"/>
          <w:szCs w:val="24"/>
        </w:rPr>
        <w:t xml:space="preserve"> not set out herein.</w:t>
      </w:r>
    </w:p>
    <w:p w14:paraId="26717D8D" w14:textId="26957638" w:rsidR="00071F0F" w:rsidRDefault="00560794" w:rsidP="00560794">
      <w:pPr>
        <w:pStyle w:val="BodyText3"/>
        <w:spacing w:after="240" w:line="480" w:lineRule="auto"/>
        <w:rPr>
          <w:sz w:val="24"/>
          <w:szCs w:val="24"/>
        </w:rPr>
      </w:pPr>
      <w:r>
        <w:rPr>
          <w:sz w:val="22"/>
          <w:szCs w:val="22"/>
        </w:rPr>
        <w:t>[32]</w:t>
      </w:r>
      <w:r>
        <w:rPr>
          <w:sz w:val="22"/>
          <w:szCs w:val="22"/>
        </w:rPr>
        <w:tab/>
      </w:r>
      <w:r w:rsidR="00071F0F" w:rsidRPr="00071F0F">
        <w:rPr>
          <w:sz w:val="24"/>
          <w:szCs w:val="24"/>
        </w:rPr>
        <w:t xml:space="preserve">After the </w:t>
      </w:r>
      <w:r w:rsidR="008C6532">
        <w:rPr>
          <w:sz w:val="24"/>
          <w:szCs w:val="24"/>
        </w:rPr>
        <w:t xml:space="preserve">aforesaid interviews [Steynberg was interviewed on 29 July 2020], </w:t>
      </w:r>
      <w:r w:rsidR="00071F0F" w:rsidRPr="00071F0F">
        <w:rPr>
          <w:sz w:val="24"/>
          <w:szCs w:val="24"/>
        </w:rPr>
        <w:t xml:space="preserve">Steynberg and the main promotor of MTI, Ward, represented to the FSCA, and to all of MTI’s investors, by way of circulars, website notices, YouTube clips and on public social media forums, </w:t>
      </w:r>
      <w:r w:rsidR="009C08EC">
        <w:rPr>
          <w:i/>
          <w:iCs/>
          <w:sz w:val="24"/>
          <w:szCs w:val="24"/>
        </w:rPr>
        <w:t>inter alia</w:t>
      </w:r>
      <w:r w:rsidR="009C08EC">
        <w:rPr>
          <w:sz w:val="24"/>
          <w:szCs w:val="24"/>
        </w:rPr>
        <w:t xml:space="preserve"> and in summary, </w:t>
      </w:r>
      <w:r w:rsidR="00071F0F" w:rsidRPr="00071F0F">
        <w:rPr>
          <w:sz w:val="24"/>
          <w:szCs w:val="24"/>
        </w:rPr>
        <w:t>that:</w:t>
      </w:r>
    </w:p>
    <w:p w14:paraId="6AEA5E4A" w14:textId="2BD1B18F" w:rsidR="00071F0F" w:rsidRDefault="00560794" w:rsidP="00560794">
      <w:pPr>
        <w:pStyle w:val="BodyText3"/>
        <w:spacing w:after="240" w:line="480" w:lineRule="auto"/>
        <w:ind w:left="1361" w:hanging="641"/>
        <w:rPr>
          <w:sz w:val="24"/>
          <w:szCs w:val="24"/>
        </w:rPr>
      </w:pPr>
      <w:r>
        <w:rPr>
          <w:sz w:val="24"/>
          <w:szCs w:val="24"/>
        </w:rPr>
        <w:t>32.1</w:t>
      </w:r>
      <w:r>
        <w:rPr>
          <w:sz w:val="24"/>
          <w:szCs w:val="24"/>
        </w:rPr>
        <w:tab/>
      </w:r>
      <w:r w:rsidR="00071F0F" w:rsidRPr="00D12BC2">
        <w:rPr>
          <w:sz w:val="24"/>
          <w:szCs w:val="24"/>
        </w:rPr>
        <w:t>Due</w:t>
      </w:r>
      <w:r w:rsidR="00071F0F">
        <w:rPr>
          <w:sz w:val="24"/>
          <w:szCs w:val="24"/>
        </w:rPr>
        <w:t xml:space="preserve"> to concerns expressed by the FSCA concerning the lawfulness of the activities of MTI, MTI had moved the entire bitcoin trading pool of MTI from the trader where it was allegedly held (FXChoice</w:t>
      </w:r>
      <w:r w:rsidR="009571A0">
        <w:rPr>
          <w:rStyle w:val="FootnoteReference"/>
          <w:sz w:val="24"/>
          <w:szCs w:val="24"/>
        </w:rPr>
        <w:footnoteReference w:id="17"/>
      </w:r>
      <w:r w:rsidR="00071F0F">
        <w:rPr>
          <w:sz w:val="24"/>
          <w:szCs w:val="24"/>
        </w:rPr>
        <w:t>) to a new trading platform known as Trade 300, in anticipation of a fear expressed by Steynberg that FXChoice may freeze all the bitcoin held by it pursuant to a cease-and-desist notice MTI had received from the Texas State Security Board</w:t>
      </w:r>
      <w:r w:rsidR="00071F0F">
        <w:rPr>
          <w:rStyle w:val="FootnoteReference"/>
          <w:sz w:val="24"/>
          <w:szCs w:val="24"/>
        </w:rPr>
        <w:footnoteReference w:id="18"/>
      </w:r>
      <w:r w:rsidR="00071F0F">
        <w:rPr>
          <w:sz w:val="24"/>
          <w:szCs w:val="24"/>
        </w:rPr>
        <w:t>;</w:t>
      </w:r>
    </w:p>
    <w:p w14:paraId="3C303571" w14:textId="2957E3FA" w:rsidR="00071F0F" w:rsidRDefault="00560794" w:rsidP="00560794">
      <w:pPr>
        <w:pStyle w:val="BodyText3"/>
        <w:spacing w:after="240" w:line="480" w:lineRule="auto"/>
        <w:ind w:left="1361" w:hanging="641"/>
        <w:rPr>
          <w:sz w:val="24"/>
          <w:szCs w:val="24"/>
        </w:rPr>
      </w:pPr>
      <w:r>
        <w:rPr>
          <w:sz w:val="24"/>
          <w:szCs w:val="24"/>
        </w:rPr>
        <w:t>32.2</w:t>
      </w:r>
      <w:r>
        <w:rPr>
          <w:sz w:val="24"/>
          <w:szCs w:val="24"/>
        </w:rPr>
        <w:tab/>
      </w:r>
      <w:r w:rsidR="00071F0F">
        <w:rPr>
          <w:sz w:val="24"/>
          <w:szCs w:val="24"/>
        </w:rPr>
        <w:t>the new broker, Trade 300, was not a licenced forex trader and having been registered in</w:t>
      </w:r>
      <w:r w:rsidR="00FB4555">
        <w:rPr>
          <w:sz w:val="24"/>
          <w:szCs w:val="24"/>
        </w:rPr>
        <w:t xml:space="preserve"> </w:t>
      </w:r>
      <w:r w:rsidR="00071F0F" w:rsidRPr="009C6176">
        <w:rPr>
          <w:sz w:val="24"/>
          <w:szCs w:val="24"/>
        </w:rPr>
        <w:t>Nevis</w:t>
      </w:r>
      <w:r w:rsidR="00071F0F">
        <w:rPr>
          <w:sz w:val="24"/>
          <w:szCs w:val="24"/>
        </w:rPr>
        <w:t>, it did not require forex trading licenses;</w:t>
      </w:r>
    </w:p>
    <w:p w14:paraId="207F13EF" w14:textId="2ADADCDD" w:rsidR="00071F0F" w:rsidRDefault="00560794" w:rsidP="00560794">
      <w:pPr>
        <w:pStyle w:val="BodyText3"/>
        <w:spacing w:after="240" w:line="480" w:lineRule="auto"/>
        <w:ind w:left="1361" w:hanging="641"/>
        <w:rPr>
          <w:sz w:val="24"/>
          <w:szCs w:val="24"/>
        </w:rPr>
      </w:pPr>
      <w:r>
        <w:rPr>
          <w:sz w:val="24"/>
          <w:szCs w:val="24"/>
        </w:rPr>
        <w:t>32.3</w:t>
      </w:r>
      <w:r>
        <w:rPr>
          <w:sz w:val="24"/>
          <w:szCs w:val="24"/>
        </w:rPr>
        <w:tab/>
      </w:r>
      <w:r w:rsidR="00071F0F">
        <w:rPr>
          <w:sz w:val="24"/>
          <w:szCs w:val="24"/>
        </w:rPr>
        <w:t>the bitcoin frozen at that stage in the FXChoice account, amounting to approximately 1282 bitcoin, was not part of MTI investors’ bitcoin, but belonged to MTI and Steynberg; and</w:t>
      </w:r>
    </w:p>
    <w:p w14:paraId="462C702C" w14:textId="4592C6A1" w:rsidR="00071F0F" w:rsidRDefault="00560794" w:rsidP="00560794">
      <w:pPr>
        <w:pStyle w:val="BodyText3"/>
        <w:spacing w:after="240" w:line="480" w:lineRule="auto"/>
        <w:ind w:left="1361" w:hanging="641"/>
        <w:rPr>
          <w:sz w:val="24"/>
          <w:szCs w:val="24"/>
        </w:rPr>
      </w:pPr>
      <w:r>
        <w:rPr>
          <w:sz w:val="24"/>
          <w:szCs w:val="24"/>
        </w:rPr>
        <w:t>32.4</w:t>
      </w:r>
      <w:r>
        <w:rPr>
          <w:sz w:val="24"/>
          <w:szCs w:val="24"/>
        </w:rPr>
        <w:tab/>
      </w:r>
      <w:r w:rsidR="00071F0F">
        <w:rPr>
          <w:sz w:val="24"/>
          <w:szCs w:val="24"/>
        </w:rPr>
        <w:t xml:space="preserve">MTI had moved the bitcoin held by it in the trading pool </w:t>
      </w:r>
      <w:r w:rsidR="00430C79">
        <w:rPr>
          <w:sz w:val="24"/>
          <w:szCs w:val="24"/>
        </w:rPr>
        <w:t>at</w:t>
      </w:r>
      <w:r w:rsidR="00071F0F">
        <w:rPr>
          <w:sz w:val="24"/>
          <w:szCs w:val="24"/>
        </w:rPr>
        <w:t xml:space="preserve"> FXChoice to Trade 300, in four transfers over a period from 21 July 2020 to 24 July </w:t>
      </w:r>
      <w:r w:rsidR="00071F0F">
        <w:rPr>
          <w:sz w:val="24"/>
          <w:szCs w:val="24"/>
        </w:rPr>
        <w:lastRenderedPageBreak/>
        <w:t>2020, with the number of bitcoin</w:t>
      </w:r>
      <w:r w:rsidR="00FB4555">
        <w:rPr>
          <w:sz w:val="24"/>
          <w:szCs w:val="24"/>
        </w:rPr>
        <w:t xml:space="preserve"> </w:t>
      </w:r>
      <w:r w:rsidR="00071F0F">
        <w:rPr>
          <w:sz w:val="24"/>
          <w:szCs w:val="24"/>
        </w:rPr>
        <w:t xml:space="preserve">transferred to Trade 300 being 16 444 </w:t>
      </w:r>
      <w:r w:rsidR="00071F0F" w:rsidRPr="00D12BC2">
        <w:rPr>
          <w:sz w:val="24"/>
          <w:szCs w:val="24"/>
        </w:rPr>
        <w:t>bitcoin.</w:t>
      </w:r>
      <w:r w:rsidR="00FB4555">
        <w:rPr>
          <w:sz w:val="24"/>
          <w:szCs w:val="24"/>
        </w:rPr>
        <w:t xml:space="preserve"> </w:t>
      </w:r>
    </w:p>
    <w:p w14:paraId="31D8123D" w14:textId="5FEA963F" w:rsidR="00071F0F" w:rsidRPr="00E1383D" w:rsidRDefault="00560794" w:rsidP="00560794">
      <w:pPr>
        <w:pStyle w:val="BodyText3"/>
        <w:spacing w:after="240" w:line="480" w:lineRule="auto"/>
        <w:rPr>
          <w:sz w:val="24"/>
          <w:szCs w:val="24"/>
        </w:rPr>
      </w:pPr>
      <w:r w:rsidRPr="00E1383D">
        <w:rPr>
          <w:sz w:val="22"/>
          <w:szCs w:val="22"/>
        </w:rPr>
        <w:t>[33]</w:t>
      </w:r>
      <w:r w:rsidRPr="00E1383D">
        <w:rPr>
          <w:sz w:val="22"/>
          <w:szCs w:val="22"/>
        </w:rPr>
        <w:tab/>
      </w:r>
      <w:r w:rsidR="008C6532">
        <w:rPr>
          <w:sz w:val="24"/>
          <w:szCs w:val="24"/>
        </w:rPr>
        <w:t xml:space="preserve">MTI was provisionally liquidated on 29 December 2020 and the </w:t>
      </w:r>
      <w:r w:rsidR="00071F0F" w:rsidRPr="00E1383D">
        <w:rPr>
          <w:sz w:val="24"/>
          <w:szCs w:val="24"/>
        </w:rPr>
        <w:t xml:space="preserve">FSCA’s investigations concluded with a report being issued by it on </w:t>
      </w:r>
      <w:r w:rsidR="00071F0F" w:rsidRPr="00D92BD7">
        <w:rPr>
          <w:sz w:val="24"/>
          <w:szCs w:val="24"/>
        </w:rPr>
        <w:t xml:space="preserve">18 January 2021 (“the FSCA report”), wherein it was </w:t>
      </w:r>
      <w:r w:rsidR="00430C79" w:rsidRPr="00D92BD7">
        <w:rPr>
          <w:sz w:val="24"/>
          <w:szCs w:val="24"/>
        </w:rPr>
        <w:t>concluded</w:t>
      </w:r>
      <w:r w:rsidR="00071F0F" w:rsidRPr="00D92BD7">
        <w:rPr>
          <w:sz w:val="24"/>
          <w:szCs w:val="24"/>
        </w:rPr>
        <w:t xml:space="preserve"> that MTI’s business was unlawful in</w:t>
      </w:r>
      <w:r w:rsidR="00071F0F" w:rsidRPr="00E1383D">
        <w:rPr>
          <w:sz w:val="24"/>
          <w:szCs w:val="24"/>
        </w:rPr>
        <w:t xml:space="preserve"> a number of respects</w:t>
      </w:r>
      <w:r w:rsidR="000964DE">
        <w:rPr>
          <w:sz w:val="24"/>
          <w:szCs w:val="24"/>
        </w:rPr>
        <w:t>. Various affidavits were filed by representatives of the FSCA in support of the FSCA report</w:t>
      </w:r>
      <w:r w:rsidR="002B69E4">
        <w:rPr>
          <w:sz w:val="24"/>
          <w:szCs w:val="24"/>
        </w:rPr>
        <w:t>,</w:t>
      </w:r>
      <w:r w:rsidR="000964DE">
        <w:rPr>
          <w:sz w:val="24"/>
          <w:szCs w:val="24"/>
        </w:rPr>
        <w:t xml:space="preserve"> and </w:t>
      </w:r>
      <w:r w:rsidR="002B69E4">
        <w:rPr>
          <w:sz w:val="24"/>
          <w:szCs w:val="24"/>
        </w:rPr>
        <w:t xml:space="preserve">later </w:t>
      </w:r>
      <w:r w:rsidR="000964DE">
        <w:rPr>
          <w:sz w:val="24"/>
          <w:szCs w:val="24"/>
        </w:rPr>
        <w:t>in order to deal with certain disputes</w:t>
      </w:r>
      <w:r w:rsidR="002B69E4">
        <w:rPr>
          <w:sz w:val="24"/>
          <w:szCs w:val="24"/>
        </w:rPr>
        <w:t xml:space="preserve"> raised by the respondents</w:t>
      </w:r>
      <w:r w:rsidR="00375B2F">
        <w:rPr>
          <w:sz w:val="24"/>
          <w:szCs w:val="24"/>
        </w:rPr>
        <w:t>,</w:t>
      </w:r>
      <w:r w:rsidR="000964DE">
        <w:rPr>
          <w:sz w:val="24"/>
          <w:szCs w:val="24"/>
        </w:rPr>
        <w:t xml:space="preserve"> to which I will return</w:t>
      </w:r>
      <w:r w:rsidR="002B69E4">
        <w:rPr>
          <w:sz w:val="24"/>
          <w:szCs w:val="24"/>
        </w:rPr>
        <w:t xml:space="preserve">. </w:t>
      </w:r>
      <w:r w:rsidR="000964DE">
        <w:rPr>
          <w:sz w:val="24"/>
          <w:szCs w:val="24"/>
        </w:rPr>
        <w:t>In summary it was the findings of the FSCA that</w:t>
      </w:r>
      <w:r w:rsidR="00071F0F" w:rsidRPr="00E1383D">
        <w:rPr>
          <w:sz w:val="24"/>
          <w:szCs w:val="24"/>
        </w:rPr>
        <w:t xml:space="preserve"> MTI:</w:t>
      </w:r>
    </w:p>
    <w:p w14:paraId="49408839" w14:textId="7D347146" w:rsidR="00071F0F" w:rsidRDefault="00560794" w:rsidP="00560794">
      <w:pPr>
        <w:pStyle w:val="BodyText3"/>
        <w:spacing w:after="240" w:line="480" w:lineRule="auto"/>
        <w:ind w:left="680" w:firstLine="40"/>
        <w:rPr>
          <w:sz w:val="24"/>
          <w:szCs w:val="24"/>
        </w:rPr>
      </w:pPr>
      <w:r>
        <w:rPr>
          <w:sz w:val="24"/>
          <w:szCs w:val="24"/>
        </w:rPr>
        <w:t>33.1</w:t>
      </w:r>
      <w:r>
        <w:rPr>
          <w:sz w:val="24"/>
          <w:szCs w:val="24"/>
        </w:rPr>
        <w:tab/>
      </w:r>
      <w:r w:rsidR="00071F0F" w:rsidRPr="00D12BC2">
        <w:rPr>
          <w:sz w:val="24"/>
          <w:szCs w:val="24"/>
        </w:rPr>
        <w:t>ope</w:t>
      </w:r>
      <w:r w:rsidR="00071F0F">
        <w:rPr>
          <w:sz w:val="24"/>
          <w:szCs w:val="24"/>
        </w:rPr>
        <w:t xml:space="preserve">rated a massive fraudulent and unlawful investment scheme, in flagrant disregard of </w:t>
      </w:r>
      <w:r w:rsidR="002B69E4">
        <w:rPr>
          <w:sz w:val="24"/>
          <w:szCs w:val="24"/>
        </w:rPr>
        <w:t>various</w:t>
      </w:r>
      <w:r w:rsidR="00071F0F">
        <w:rPr>
          <w:sz w:val="24"/>
          <w:szCs w:val="24"/>
        </w:rPr>
        <w:t xml:space="preserve"> financial sector laws;</w:t>
      </w:r>
    </w:p>
    <w:p w14:paraId="4BB6D949" w14:textId="4A5014A2" w:rsidR="00071F0F" w:rsidRDefault="00560794" w:rsidP="00560794">
      <w:pPr>
        <w:pStyle w:val="BodyText3"/>
        <w:spacing w:after="240" w:line="480" w:lineRule="auto"/>
        <w:ind w:left="680" w:firstLine="40"/>
        <w:rPr>
          <w:sz w:val="24"/>
          <w:szCs w:val="24"/>
        </w:rPr>
      </w:pPr>
      <w:r>
        <w:rPr>
          <w:sz w:val="24"/>
          <w:szCs w:val="24"/>
        </w:rPr>
        <w:t>33.2</w:t>
      </w:r>
      <w:r>
        <w:rPr>
          <w:sz w:val="24"/>
          <w:szCs w:val="24"/>
        </w:rPr>
        <w:tab/>
      </w:r>
      <w:r w:rsidR="00071F0F">
        <w:rPr>
          <w:sz w:val="24"/>
          <w:szCs w:val="24"/>
        </w:rPr>
        <w:t>conducted an illegal, unregistered financial services business in contravention of (at least) s 7 of the Financial Advisory and Intermediary Services Act, 37 of 2002 (“the FAIS Act”);</w:t>
      </w:r>
    </w:p>
    <w:p w14:paraId="40BA928C" w14:textId="4EE535DC" w:rsidR="00071F0F" w:rsidRDefault="00560794" w:rsidP="00560794">
      <w:pPr>
        <w:pStyle w:val="BodyText3"/>
        <w:spacing w:after="240" w:line="480" w:lineRule="auto"/>
        <w:ind w:left="680" w:firstLine="40"/>
        <w:rPr>
          <w:sz w:val="24"/>
          <w:szCs w:val="24"/>
        </w:rPr>
      </w:pPr>
      <w:r>
        <w:rPr>
          <w:sz w:val="24"/>
          <w:szCs w:val="24"/>
        </w:rPr>
        <w:t>33.3</w:t>
      </w:r>
      <w:r>
        <w:rPr>
          <w:sz w:val="24"/>
          <w:szCs w:val="24"/>
        </w:rPr>
        <w:tab/>
      </w:r>
      <w:r w:rsidR="00071F0F">
        <w:rPr>
          <w:sz w:val="24"/>
          <w:szCs w:val="24"/>
        </w:rPr>
        <w:t>that the</w:t>
      </w:r>
      <w:r w:rsidR="000964DE">
        <w:rPr>
          <w:sz w:val="24"/>
          <w:szCs w:val="24"/>
        </w:rPr>
        <w:t xml:space="preserve">re can be no other conclusion but that the </w:t>
      </w:r>
      <w:r w:rsidR="00071F0F">
        <w:rPr>
          <w:sz w:val="24"/>
          <w:szCs w:val="24"/>
        </w:rPr>
        <w:t>investments made by investors into MTI and the scheme conducted by it, were misappropriate</w:t>
      </w:r>
      <w:r w:rsidR="00071F0F" w:rsidRPr="00D12BC2">
        <w:rPr>
          <w:sz w:val="24"/>
          <w:szCs w:val="24"/>
        </w:rPr>
        <w:t>d</w:t>
      </w:r>
      <w:r w:rsidR="00FB4555" w:rsidRPr="00D12BC2">
        <w:rPr>
          <w:sz w:val="24"/>
          <w:szCs w:val="24"/>
        </w:rPr>
        <w:t>.</w:t>
      </w:r>
    </w:p>
    <w:p w14:paraId="5094D435" w14:textId="4CD97EE0" w:rsidR="00071F0F" w:rsidRDefault="00560794" w:rsidP="00560794">
      <w:pPr>
        <w:pStyle w:val="BodyText3"/>
        <w:spacing w:after="240" w:line="480" w:lineRule="auto"/>
        <w:rPr>
          <w:sz w:val="24"/>
          <w:szCs w:val="24"/>
        </w:rPr>
      </w:pPr>
      <w:r>
        <w:rPr>
          <w:sz w:val="22"/>
          <w:szCs w:val="22"/>
        </w:rPr>
        <w:t>[34]</w:t>
      </w:r>
      <w:r>
        <w:rPr>
          <w:sz w:val="22"/>
          <w:szCs w:val="22"/>
        </w:rPr>
        <w:tab/>
      </w:r>
      <w:r w:rsidR="00071F0F">
        <w:rPr>
          <w:sz w:val="24"/>
          <w:szCs w:val="24"/>
        </w:rPr>
        <w:t>From the information gathered by the FSCA, it was further concluded that the representations made by MTI, Steynberg and the management and marketing team of MTI to the investors of MTI</w:t>
      </w:r>
      <w:r w:rsidR="002B69E4">
        <w:rPr>
          <w:sz w:val="24"/>
          <w:szCs w:val="24"/>
        </w:rPr>
        <w:t xml:space="preserve"> [and the FSCA]</w:t>
      </w:r>
      <w:r w:rsidR="00071F0F">
        <w:rPr>
          <w:sz w:val="24"/>
          <w:szCs w:val="24"/>
        </w:rPr>
        <w:t>, were false in one or more of the following respects:</w:t>
      </w:r>
    </w:p>
    <w:p w14:paraId="789DDCCD" w14:textId="483FA63E" w:rsidR="00071F0F" w:rsidRDefault="00560794" w:rsidP="00560794">
      <w:pPr>
        <w:pStyle w:val="BodyText3"/>
        <w:spacing w:after="240" w:line="480" w:lineRule="auto"/>
        <w:ind w:left="1474" w:hanging="754"/>
        <w:rPr>
          <w:sz w:val="24"/>
          <w:szCs w:val="24"/>
        </w:rPr>
      </w:pPr>
      <w:r>
        <w:rPr>
          <w:sz w:val="24"/>
          <w:szCs w:val="24"/>
        </w:rPr>
        <w:t>34.1</w:t>
      </w:r>
      <w:r>
        <w:rPr>
          <w:sz w:val="24"/>
          <w:szCs w:val="24"/>
        </w:rPr>
        <w:tab/>
      </w:r>
      <w:r w:rsidR="00071F0F" w:rsidRPr="00D12BC2">
        <w:rPr>
          <w:sz w:val="24"/>
          <w:szCs w:val="24"/>
        </w:rPr>
        <w:t>MT</w:t>
      </w:r>
      <w:r w:rsidR="00071F0F">
        <w:rPr>
          <w:sz w:val="24"/>
          <w:szCs w:val="24"/>
        </w:rPr>
        <w:t xml:space="preserve">I </w:t>
      </w:r>
      <w:r w:rsidR="000964DE">
        <w:rPr>
          <w:sz w:val="24"/>
          <w:szCs w:val="24"/>
        </w:rPr>
        <w:t xml:space="preserve">did not </w:t>
      </w:r>
      <w:r w:rsidR="00071F0F">
        <w:rPr>
          <w:sz w:val="24"/>
          <w:szCs w:val="24"/>
        </w:rPr>
        <w:t xml:space="preserve">move bitcoin from FXChoice </w:t>
      </w:r>
      <w:r w:rsidR="000964DE">
        <w:rPr>
          <w:sz w:val="24"/>
          <w:szCs w:val="24"/>
        </w:rPr>
        <w:t>during 2020</w:t>
      </w:r>
      <w:r w:rsidR="00673A3E">
        <w:rPr>
          <w:sz w:val="24"/>
          <w:szCs w:val="24"/>
        </w:rPr>
        <w:t>,</w:t>
      </w:r>
      <w:r w:rsidR="000964DE">
        <w:rPr>
          <w:sz w:val="24"/>
          <w:szCs w:val="24"/>
        </w:rPr>
        <w:t xml:space="preserve"> as </w:t>
      </w:r>
      <w:r w:rsidR="00071F0F">
        <w:rPr>
          <w:sz w:val="24"/>
          <w:szCs w:val="24"/>
        </w:rPr>
        <w:t>MTI’s account with FXChoice had been frozen</w:t>
      </w:r>
      <w:r w:rsidR="002B69E4">
        <w:rPr>
          <w:sz w:val="24"/>
          <w:szCs w:val="24"/>
        </w:rPr>
        <w:t xml:space="preserve"> on 10 June 2020</w:t>
      </w:r>
      <w:r w:rsidR="00071F0F">
        <w:rPr>
          <w:sz w:val="24"/>
          <w:szCs w:val="24"/>
        </w:rPr>
        <w:t xml:space="preserve"> and the bitcoin could not be moved;</w:t>
      </w:r>
    </w:p>
    <w:p w14:paraId="5B2CA5B9" w14:textId="10D14B3A" w:rsidR="00071F0F" w:rsidRDefault="00560794" w:rsidP="00560794">
      <w:pPr>
        <w:pStyle w:val="BodyText3"/>
        <w:spacing w:after="240" w:line="480" w:lineRule="auto"/>
        <w:ind w:left="1474" w:hanging="754"/>
        <w:rPr>
          <w:sz w:val="24"/>
          <w:szCs w:val="24"/>
        </w:rPr>
      </w:pPr>
      <w:r>
        <w:rPr>
          <w:sz w:val="24"/>
          <w:szCs w:val="24"/>
        </w:rPr>
        <w:lastRenderedPageBreak/>
        <w:t>34.2</w:t>
      </w:r>
      <w:r>
        <w:rPr>
          <w:sz w:val="24"/>
          <w:szCs w:val="24"/>
        </w:rPr>
        <w:tab/>
      </w:r>
      <w:r w:rsidR="00071F0F">
        <w:rPr>
          <w:sz w:val="24"/>
          <w:szCs w:val="24"/>
        </w:rPr>
        <w:t xml:space="preserve">Trade 300 did not exit and was </w:t>
      </w:r>
      <w:r w:rsidR="00A86339">
        <w:rPr>
          <w:sz w:val="24"/>
          <w:szCs w:val="24"/>
        </w:rPr>
        <w:t>a</w:t>
      </w:r>
      <w:r w:rsidR="00B419B9">
        <w:rPr>
          <w:sz w:val="24"/>
          <w:szCs w:val="24"/>
        </w:rPr>
        <w:t xml:space="preserve"> fictious</w:t>
      </w:r>
      <w:r w:rsidR="00A86339">
        <w:rPr>
          <w:sz w:val="24"/>
          <w:szCs w:val="24"/>
        </w:rPr>
        <w:t xml:space="preserve"> platform </w:t>
      </w:r>
      <w:r w:rsidR="00071F0F">
        <w:rPr>
          <w:sz w:val="24"/>
          <w:szCs w:val="24"/>
        </w:rPr>
        <w:t>created by Steynberg</w:t>
      </w:r>
      <w:r w:rsidR="000964DE">
        <w:rPr>
          <w:rStyle w:val="FootnoteReference"/>
          <w:sz w:val="24"/>
          <w:szCs w:val="24"/>
        </w:rPr>
        <w:footnoteReference w:id="19"/>
      </w:r>
      <w:r w:rsidR="00071F0F">
        <w:rPr>
          <w:sz w:val="24"/>
          <w:szCs w:val="24"/>
        </w:rPr>
        <w:t>;</w:t>
      </w:r>
    </w:p>
    <w:p w14:paraId="5ADE90C8" w14:textId="6E06AABF" w:rsidR="00071F0F" w:rsidRDefault="00560794" w:rsidP="00560794">
      <w:pPr>
        <w:pStyle w:val="BodyText3"/>
        <w:spacing w:after="240" w:line="480" w:lineRule="auto"/>
        <w:ind w:left="1474" w:hanging="754"/>
        <w:rPr>
          <w:sz w:val="24"/>
          <w:szCs w:val="24"/>
        </w:rPr>
      </w:pPr>
      <w:r>
        <w:rPr>
          <w:sz w:val="24"/>
          <w:szCs w:val="24"/>
        </w:rPr>
        <w:t>34.3</w:t>
      </w:r>
      <w:r>
        <w:rPr>
          <w:sz w:val="24"/>
          <w:szCs w:val="24"/>
        </w:rPr>
        <w:tab/>
      </w:r>
      <w:r w:rsidR="00071F0F">
        <w:rPr>
          <w:sz w:val="24"/>
          <w:szCs w:val="24"/>
        </w:rPr>
        <w:t>The bitcoin frozen by FXChoice was not the property of Steynberg, but belonged to MTI and formed part of the so-called trading pool</w:t>
      </w:r>
      <w:r w:rsidR="002B69E4">
        <w:rPr>
          <w:sz w:val="24"/>
          <w:szCs w:val="24"/>
        </w:rPr>
        <w:t>;</w:t>
      </w:r>
    </w:p>
    <w:p w14:paraId="27653C0C" w14:textId="1D0543CC" w:rsidR="00071F0F" w:rsidRDefault="00560794" w:rsidP="00560794">
      <w:pPr>
        <w:pStyle w:val="BodyText3"/>
        <w:spacing w:after="240" w:line="480" w:lineRule="auto"/>
        <w:ind w:left="1474" w:hanging="754"/>
        <w:rPr>
          <w:sz w:val="24"/>
          <w:szCs w:val="24"/>
        </w:rPr>
      </w:pPr>
      <w:r>
        <w:rPr>
          <w:sz w:val="24"/>
          <w:szCs w:val="24"/>
        </w:rPr>
        <w:t>34.4</w:t>
      </w:r>
      <w:r>
        <w:rPr>
          <w:sz w:val="24"/>
          <w:szCs w:val="24"/>
        </w:rPr>
        <w:tab/>
      </w:r>
      <w:r w:rsidR="00071F0F">
        <w:rPr>
          <w:sz w:val="24"/>
          <w:szCs w:val="24"/>
        </w:rPr>
        <w:t>The bitcoin of the MTI investors, as pooled in MTI, were not transferred immediately to any FXChoice trader account, but, instead, diverted to accounts under the control of Steynberg and the management and marketing team;</w:t>
      </w:r>
    </w:p>
    <w:p w14:paraId="71BD67B5" w14:textId="007B80B5" w:rsidR="00071F0F" w:rsidRDefault="00560794" w:rsidP="00560794">
      <w:pPr>
        <w:pStyle w:val="BodyText3"/>
        <w:spacing w:after="240" w:line="480" w:lineRule="auto"/>
        <w:ind w:left="1474" w:hanging="754"/>
        <w:rPr>
          <w:sz w:val="24"/>
          <w:szCs w:val="24"/>
        </w:rPr>
      </w:pPr>
      <w:r>
        <w:rPr>
          <w:sz w:val="24"/>
          <w:szCs w:val="24"/>
        </w:rPr>
        <w:t>34.5</w:t>
      </w:r>
      <w:r>
        <w:rPr>
          <w:sz w:val="24"/>
          <w:szCs w:val="24"/>
        </w:rPr>
        <w:tab/>
      </w:r>
      <w:r w:rsidR="00071F0F">
        <w:rPr>
          <w:sz w:val="24"/>
          <w:szCs w:val="24"/>
        </w:rPr>
        <w:t>Only a limited number of bitcoin were traded with by MTI at FXChoice and losses were incurred in the following approximate respects:</w:t>
      </w:r>
    </w:p>
    <w:p w14:paraId="0A40724F" w14:textId="72213F04" w:rsidR="00071F0F" w:rsidRDefault="00560794" w:rsidP="00560794">
      <w:pPr>
        <w:pStyle w:val="BodyText3"/>
        <w:spacing w:after="240" w:line="480" w:lineRule="auto"/>
        <w:ind w:left="2520" w:hanging="1080"/>
        <w:rPr>
          <w:sz w:val="24"/>
          <w:szCs w:val="24"/>
        </w:rPr>
      </w:pPr>
      <w:r>
        <w:rPr>
          <w:sz w:val="24"/>
          <w:szCs w:val="24"/>
        </w:rPr>
        <w:t>34.5.1</w:t>
      </w:r>
      <w:r>
        <w:rPr>
          <w:sz w:val="24"/>
          <w:szCs w:val="24"/>
        </w:rPr>
        <w:tab/>
      </w:r>
      <w:r w:rsidR="00D03309">
        <w:rPr>
          <w:sz w:val="24"/>
          <w:szCs w:val="24"/>
        </w:rPr>
        <w:t xml:space="preserve">50,95 </w:t>
      </w:r>
      <w:r w:rsidR="002B1193">
        <w:rPr>
          <w:sz w:val="24"/>
          <w:szCs w:val="24"/>
        </w:rPr>
        <w:t xml:space="preserve">bitcoin were deposited </w:t>
      </w:r>
      <w:r w:rsidR="00071F0F">
        <w:rPr>
          <w:sz w:val="24"/>
          <w:szCs w:val="24"/>
        </w:rPr>
        <w:t xml:space="preserve">into specified MAM accounts, </w:t>
      </w:r>
      <w:r w:rsidR="002B1193">
        <w:rPr>
          <w:sz w:val="24"/>
          <w:szCs w:val="24"/>
        </w:rPr>
        <w:t xml:space="preserve">of which </w:t>
      </w:r>
      <w:r w:rsidR="00071F0F">
        <w:rPr>
          <w:sz w:val="24"/>
          <w:szCs w:val="24"/>
        </w:rPr>
        <w:t>22 bitcoin were lost</w:t>
      </w:r>
      <w:r w:rsidR="00B802D3">
        <w:rPr>
          <w:sz w:val="24"/>
          <w:szCs w:val="24"/>
        </w:rPr>
        <w:t>. This appears to have been during the first period of operation during 2019</w:t>
      </w:r>
      <w:r w:rsidR="00071F0F">
        <w:rPr>
          <w:sz w:val="24"/>
          <w:szCs w:val="24"/>
        </w:rPr>
        <w:t>;</w:t>
      </w:r>
    </w:p>
    <w:p w14:paraId="656DF55F" w14:textId="2CFFF330" w:rsidR="00071F0F" w:rsidRDefault="00560794" w:rsidP="00560794">
      <w:pPr>
        <w:pStyle w:val="BodyText3"/>
        <w:spacing w:after="240" w:line="480" w:lineRule="auto"/>
        <w:ind w:left="2520" w:hanging="1080"/>
        <w:rPr>
          <w:sz w:val="24"/>
          <w:szCs w:val="24"/>
        </w:rPr>
      </w:pPr>
      <w:r>
        <w:rPr>
          <w:sz w:val="24"/>
          <w:szCs w:val="24"/>
        </w:rPr>
        <w:t>34.5.2</w:t>
      </w:r>
      <w:r>
        <w:rPr>
          <w:sz w:val="24"/>
          <w:szCs w:val="24"/>
        </w:rPr>
        <w:tab/>
      </w:r>
      <w:r w:rsidR="00071F0F">
        <w:rPr>
          <w:sz w:val="24"/>
          <w:szCs w:val="24"/>
        </w:rPr>
        <w:t>for a subsequent period</w:t>
      </w:r>
      <w:r w:rsidR="00B802D3">
        <w:rPr>
          <w:sz w:val="24"/>
          <w:szCs w:val="24"/>
        </w:rPr>
        <w:t>,</w:t>
      </w:r>
      <w:r w:rsidR="00071F0F">
        <w:rPr>
          <w:sz w:val="24"/>
          <w:szCs w:val="24"/>
        </w:rPr>
        <w:t xml:space="preserve"> from approximately January 2020 to 3 June 2020, a limited number of bitcoin were deposited with FXChoice in a total number of 1846,72, of which MTI made a loss in trading of 566,68 bitcoin, resulting in an approximate capital loss of 30%.</w:t>
      </w:r>
    </w:p>
    <w:p w14:paraId="466B31F3" w14:textId="5882CD04" w:rsidR="00071F0F" w:rsidRDefault="00560794" w:rsidP="00560794">
      <w:pPr>
        <w:pStyle w:val="BodyText3"/>
        <w:spacing w:after="240" w:line="480" w:lineRule="auto"/>
        <w:ind w:left="1440" w:hanging="754"/>
        <w:rPr>
          <w:sz w:val="24"/>
          <w:szCs w:val="24"/>
        </w:rPr>
      </w:pPr>
      <w:r>
        <w:rPr>
          <w:sz w:val="24"/>
          <w:szCs w:val="24"/>
        </w:rPr>
        <w:t>34.6</w:t>
      </w:r>
      <w:r>
        <w:rPr>
          <w:sz w:val="24"/>
          <w:szCs w:val="24"/>
        </w:rPr>
        <w:tab/>
      </w:r>
      <w:r w:rsidR="002B69E4">
        <w:rPr>
          <w:sz w:val="24"/>
          <w:szCs w:val="24"/>
        </w:rPr>
        <w:t>No profits were found on any other</w:t>
      </w:r>
      <w:r w:rsidR="00071F0F">
        <w:rPr>
          <w:sz w:val="24"/>
          <w:szCs w:val="24"/>
        </w:rPr>
        <w:t xml:space="preserve"> trading platform;</w:t>
      </w:r>
    </w:p>
    <w:p w14:paraId="49F22BB9" w14:textId="6F20CDC4" w:rsidR="00071F0F" w:rsidRPr="002B69E4" w:rsidRDefault="00560794" w:rsidP="00560794">
      <w:pPr>
        <w:pStyle w:val="BodyText3"/>
        <w:spacing w:after="240" w:line="480" w:lineRule="auto"/>
        <w:ind w:left="1440" w:hanging="754"/>
        <w:rPr>
          <w:sz w:val="24"/>
          <w:szCs w:val="24"/>
        </w:rPr>
      </w:pPr>
      <w:r w:rsidRPr="002B69E4">
        <w:rPr>
          <w:sz w:val="24"/>
          <w:szCs w:val="24"/>
        </w:rPr>
        <w:t>34.7</w:t>
      </w:r>
      <w:r w:rsidRPr="002B69E4">
        <w:rPr>
          <w:sz w:val="24"/>
          <w:szCs w:val="24"/>
        </w:rPr>
        <w:tab/>
      </w:r>
      <w:r w:rsidR="00071F0F" w:rsidRPr="002B69E4">
        <w:rPr>
          <w:sz w:val="24"/>
          <w:szCs w:val="24"/>
        </w:rPr>
        <w:t xml:space="preserve">All </w:t>
      </w:r>
      <w:r w:rsidR="00E373B4">
        <w:rPr>
          <w:sz w:val="24"/>
          <w:szCs w:val="24"/>
        </w:rPr>
        <w:t>daily published reports</w:t>
      </w:r>
      <w:r w:rsidR="00071F0F" w:rsidRPr="002B69E4">
        <w:rPr>
          <w:sz w:val="24"/>
          <w:szCs w:val="24"/>
        </w:rPr>
        <w:t xml:space="preserve"> of daily trading profits were false</w:t>
      </w:r>
      <w:r w:rsidR="002B69E4" w:rsidRPr="002B69E4">
        <w:rPr>
          <w:sz w:val="24"/>
          <w:szCs w:val="24"/>
        </w:rPr>
        <w:t xml:space="preserve"> and </w:t>
      </w:r>
      <w:r w:rsidR="00071F0F" w:rsidRPr="002B69E4">
        <w:rPr>
          <w:sz w:val="24"/>
          <w:szCs w:val="24"/>
        </w:rPr>
        <w:t>reports that MTI investors’ bitcoin grew every day, as a result of trading profits, by way of trading bonuses, were false</w:t>
      </w:r>
      <w:r w:rsidR="002B69E4">
        <w:rPr>
          <w:sz w:val="24"/>
          <w:szCs w:val="24"/>
        </w:rPr>
        <w:t xml:space="preserve">. </w:t>
      </w:r>
    </w:p>
    <w:p w14:paraId="6A843856" w14:textId="56CF70A2" w:rsidR="00071F0F" w:rsidRDefault="00560794" w:rsidP="00560794">
      <w:pPr>
        <w:pStyle w:val="BodyText3"/>
        <w:spacing w:after="240" w:line="480" w:lineRule="auto"/>
        <w:ind w:left="1440" w:hanging="754"/>
        <w:rPr>
          <w:sz w:val="24"/>
          <w:szCs w:val="24"/>
        </w:rPr>
      </w:pPr>
      <w:r>
        <w:rPr>
          <w:sz w:val="24"/>
          <w:szCs w:val="24"/>
        </w:rPr>
        <w:lastRenderedPageBreak/>
        <w:t>34.8</w:t>
      </w:r>
      <w:r>
        <w:rPr>
          <w:sz w:val="24"/>
          <w:szCs w:val="24"/>
        </w:rPr>
        <w:tab/>
      </w:r>
      <w:r w:rsidR="00071F0F">
        <w:rPr>
          <w:sz w:val="24"/>
          <w:szCs w:val="24"/>
        </w:rPr>
        <w:t>All reports that MTI had continuously traded profitably</w:t>
      </w:r>
      <w:r w:rsidR="00194A62">
        <w:rPr>
          <w:sz w:val="24"/>
          <w:szCs w:val="24"/>
        </w:rPr>
        <w:t xml:space="preserve"> (in the so-called second period)</w:t>
      </w:r>
      <w:r w:rsidR="00071F0F">
        <w:rPr>
          <w:sz w:val="24"/>
          <w:szCs w:val="24"/>
        </w:rPr>
        <w:t>, were false;</w:t>
      </w:r>
    </w:p>
    <w:p w14:paraId="6D723D2A" w14:textId="244A70A0" w:rsidR="00071F0F" w:rsidRPr="002B69E4" w:rsidRDefault="00560794" w:rsidP="00560794">
      <w:pPr>
        <w:pStyle w:val="BodyText3"/>
        <w:spacing w:after="240" w:line="480" w:lineRule="auto"/>
        <w:ind w:left="1440" w:hanging="754"/>
        <w:rPr>
          <w:sz w:val="24"/>
          <w:szCs w:val="24"/>
        </w:rPr>
      </w:pPr>
      <w:r w:rsidRPr="002B69E4">
        <w:rPr>
          <w:sz w:val="24"/>
          <w:szCs w:val="24"/>
        </w:rPr>
        <w:t>34.9</w:t>
      </w:r>
      <w:r w:rsidRPr="002B69E4">
        <w:rPr>
          <w:sz w:val="24"/>
          <w:szCs w:val="24"/>
        </w:rPr>
        <w:tab/>
      </w:r>
      <w:r w:rsidR="00071F0F" w:rsidRPr="002B69E4">
        <w:rPr>
          <w:sz w:val="24"/>
          <w:szCs w:val="24"/>
        </w:rPr>
        <w:t xml:space="preserve">All reports that the trading of MTI’s bitcoin was </w:t>
      </w:r>
      <w:r w:rsidR="00807198" w:rsidRPr="002B69E4">
        <w:rPr>
          <w:sz w:val="24"/>
          <w:szCs w:val="24"/>
        </w:rPr>
        <w:t>e</w:t>
      </w:r>
      <w:r w:rsidR="00071F0F" w:rsidRPr="002B69E4">
        <w:rPr>
          <w:sz w:val="24"/>
          <w:szCs w:val="24"/>
        </w:rPr>
        <w:t>ffected by a bot with artificial intelligence, were false;</w:t>
      </w:r>
    </w:p>
    <w:p w14:paraId="52A1731C" w14:textId="3D5C9845" w:rsidR="00071F0F" w:rsidRDefault="00560794" w:rsidP="00560794">
      <w:pPr>
        <w:pStyle w:val="BodyText3"/>
        <w:spacing w:after="240" w:line="480" w:lineRule="auto"/>
        <w:ind w:left="1440" w:hanging="754"/>
        <w:rPr>
          <w:sz w:val="24"/>
          <w:szCs w:val="24"/>
        </w:rPr>
      </w:pPr>
      <w:r>
        <w:rPr>
          <w:sz w:val="24"/>
          <w:szCs w:val="24"/>
        </w:rPr>
        <w:t>34.10</w:t>
      </w:r>
      <w:r>
        <w:rPr>
          <w:sz w:val="24"/>
          <w:szCs w:val="24"/>
        </w:rPr>
        <w:tab/>
      </w:r>
      <w:r w:rsidR="00071F0F">
        <w:rPr>
          <w:sz w:val="24"/>
          <w:szCs w:val="24"/>
        </w:rPr>
        <w:t>Reports that the bot traded in real time were false;</w:t>
      </w:r>
    </w:p>
    <w:p w14:paraId="16C9E6F2" w14:textId="551FBB2D" w:rsidR="00071F0F" w:rsidRDefault="00560794" w:rsidP="00560794">
      <w:pPr>
        <w:pStyle w:val="BodyText3"/>
        <w:spacing w:after="240" w:line="480" w:lineRule="auto"/>
        <w:ind w:left="1440" w:hanging="754"/>
        <w:rPr>
          <w:sz w:val="24"/>
          <w:szCs w:val="24"/>
        </w:rPr>
      </w:pPr>
      <w:r>
        <w:rPr>
          <w:sz w:val="24"/>
          <w:szCs w:val="24"/>
        </w:rPr>
        <w:t>34.11</w:t>
      </w:r>
      <w:r>
        <w:rPr>
          <w:sz w:val="24"/>
          <w:szCs w:val="24"/>
        </w:rPr>
        <w:tab/>
      </w:r>
      <w:r w:rsidR="00071F0F">
        <w:rPr>
          <w:sz w:val="24"/>
          <w:szCs w:val="24"/>
        </w:rPr>
        <w:t>The report that the bitcoin of MTI</w:t>
      </w:r>
      <w:r w:rsidR="00E373B4">
        <w:rPr>
          <w:sz w:val="24"/>
          <w:szCs w:val="24"/>
        </w:rPr>
        <w:t>,</w:t>
      </w:r>
      <w:r w:rsidR="00071F0F">
        <w:rPr>
          <w:sz w:val="24"/>
          <w:szCs w:val="24"/>
        </w:rPr>
        <w:t xml:space="preserve"> held at FXChoice</w:t>
      </w:r>
      <w:r w:rsidR="00E373B4">
        <w:rPr>
          <w:sz w:val="24"/>
          <w:szCs w:val="24"/>
        </w:rPr>
        <w:t>,</w:t>
      </w:r>
      <w:r w:rsidR="00071F0F">
        <w:rPr>
          <w:sz w:val="24"/>
          <w:szCs w:val="24"/>
        </w:rPr>
        <w:t xml:space="preserve"> were transferred to a new broker, </w:t>
      </w:r>
      <w:r w:rsidR="00194A62">
        <w:rPr>
          <w:sz w:val="24"/>
          <w:szCs w:val="24"/>
        </w:rPr>
        <w:t xml:space="preserve">Trade 300, </w:t>
      </w:r>
      <w:r w:rsidR="00071F0F">
        <w:rPr>
          <w:sz w:val="24"/>
          <w:szCs w:val="24"/>
        </w:rPr>
        <w:t xml:space="preserve">were false.  </w:t>
      </w:r>
    </w:p>
    <w:p w14:paraId="5AAD895C" w14:textId="19650FE6" w:rsidR="00071F0F" w:rsidRDefault="00560794" w:rsidP="00560794">
      <w:pPr>
        <w:pStyle w:val="BodyText3"/>
        <w:spacing w:after="240" w:line="480" w:lineRule="auto"/>
        <w:ind w:left="1440" w:hanging="754"/>
        <w:rPr>
          <w:sz w:val="24"/>
          <w:szCs w:val="24"/>
        </w:rPr>
      </w:pPr>
      <w:r>
        <w:rPr>
          <w:sz w:val="24"/>
          <w:szCs w:val="24"/>
        </w:rPr>
        <w:t>34.12</w:t>
      </w:r>
      <w:r>
        <w:rPr>
          <w:sz w:val="24"/>
          <w:szCs w:val="24"/>
        </w:rPr>
        <w:tab/>
      </w:r>
      <w:r w:rsidR="00194A62">
        <w:rPr>
          <w:sz w:val="24"/>
          <w:szCs w:val="24"/>
        </w:rPr>
        <w:t xml:space="preserve">In summary, and contrary to </w:t>
      </w:r>
      <w:r w:rsidR="00071F0F">
        <w:rPr>
          <w:sz w:val="24"/>
          <w:szCs w:val="24"/>
        </w:rPr>
        <w:t>what was represented to MTI investors, and the public at large:</w:t>
      </w:r>
    </w:p>
    <w:p w14:paraId="1859A6FD" w14:textId="77777777" w:rsidR="005F2F39" w:rsidRDefault="005F2F39" w:rsidP="005F2F39">
      <w:pPr>
        <w:pStyle w:val="BodyText3"/>
        <w:spacing w:after="240" w:line="480" w:lineRule="auto"/>
        <w:ind w:left="1440"/>
        <w:rPr>
          <w:sz w:val="24"/>
          <w:szCs w:val="24"/>
        </w:rPr>
      </w:pPr>
    </w:p>
    <w:p w14:paraId="4E7B7825" w14:textId="04FA824A" w:rsidR="00071F0F" w:rsidRDefault="00560794" w:rsidP="00560794">
      <w:pPr>
        <w:pStyle w:val="BodyText3"/>
        <w:spacing w:after="240" w:line="480" w:lineRule="auto"/>
        <w:ind w:left="2520" w:hanging="1080"/>
        <w:rPr>
          <w:sz w:val="24"/>
          <w:szCs w:val="24"/>
        </w:rPr>
      </w:pPr>
      <w:r>
        <w:rPr>
          <w:sz w:val="24"/>
          <w:szCs w:val="24"/>
        </w:rPr>
        <w:t>34.12.1</w:t>
      </w:r>
      <w:r>
        <w:rPr>
          <w:sz w:val="24"/>
          <w:szCs w:val="24"/>
        </w:rPr>
        <w:tab/>
      </w:r>
      <w:r w:rsidR="00071F0F">
        <w:rPr>
          <w:sz w:val="24"/>
          <w:szCs w:val="24"/>
        </w:rPr>
        <w:t>MTI never achieved any growth in bitcoin as a result of trading activities;</w:t>
      </w:r>
    </w:p>
    <w:p w14:paraId="71BD0898" w14:textId="2D25249E" w:rsidR="00071F0F" w:rsidRDefault="00560794" w:rsidP="00560794">
      <w:pPr>
        <w:pStyle w:val="BodyText3"/>
        <w:spacing w:after="240" w:line="480" w:lineRule="auto"/>
        <w:ind w:left="2520" w:hanging="1080"/>
        <w:rPr>
          <w:sz w:val="24"/>
          <w:szCs w:val="24"/>
        </w:rPr>
      </w:pPr>
      <w:r>
        <w:rPr>
          <w:sz w:val="24"/>
          <w:szCs w:val="24"/>
        </w:rPr>
        <w:t>34.12.2</w:t>
      </w:r>
      <w:r>
        <w:rPr>
          <w:sz w:val="24"/>
          <w:szCs w:val="24"/>
        </w:rPr>
        <w:tab/>
      </w:r>
      <w:r w:rsidR="00071F0F">
        <w:rPr>
          <w:sz w:val="24"/>
          <w:szCs w:val="24"/>
        </w:rPr>
        <w:t xml:space="preserve">MTI could </w:t>
      </w:r>
      <w:r w:rsidR="00601971">
        <w:rPr>
          <w:sz w:val="24"/>
          <w:szCs w:val="24"/>
        </w:rPr>
        <w:t xml:space="preserve">therefore </w:t>
      </w:r>
      <w:r w:rsidR="00071F0F">
        <w:rPr>
          <w:sz w:val="24"/>
          <w:szCs w:val="24"/>
        </w:rPr>
        <w:t>never</w:t>
      </w:r>
      <w:r w:rsidR="00601971">
        <w:rPr>
          <w:sz w:val="24"/>
          <w:szCs w:val="24"/>
        </w:rPr>
        <w:t xml:space="preserve"> have</w:t>
      </w:r>
      <w:r w:rsidR="00071F0F">
        <w:rPr>
          <w:sz w:val="24"/>
          <w:szCs w:val="24"/>
        </w:rPr>
        <w:t xml:space="preserve"> reflect</w:t>
      </w:r>
      <w:r w:rsidR="00601971">
        <w:rPr>
          <w:sz w:val="24"/>
          <w:szCs w:val="24"/>
        </w:rPr>
        <w:t>ed</w:t>
      </w:r>
      <w:r w:rsidR="00071F0F">
        <w:rPr>
          <w:sz w:val="24"/>
          <w:szCs w:val="24"/>
        </w:rPr>
        <w:t xml:space="preserve"> such growth in bitcoin to MTI investors, as it daily did;</w:t>
      </w:r>
    </w:p>
    <w:p w14:paraId="759B45B1" w14:textId="43018A58" w:rsidR="009D33BF" w:rsidRDefault="00560794" w:rsidP="00560794">
      <w:pPr>
        <w:pStyle w:val="BodyText3"/>
        <w:spacing w:after="240" w:line="480" w:lineRule="auto"/>
        <w:ind w:left="2520" w:hanging="1080"/>
        <w:rPr>
          <w:sz w:val="24"/>
          <w:szCs w:val="24"/>
        </w:rPr>
      </w:pPr>
      <w:r>
        <w:rPr>
          <w:sz w:val="24"/>
          <w:szCs w:val="24"/>
        </w:rPr>
        <w:t>34.12.3</w:t>
      </w:r>
      <w:r>
        <w:rPr>
          <w:sz w:val="24"/>
          <w:szCs w:val="24"/>
        </w:rPr>
        <w:tab/>
      </w:r>
      <w:r w:rsidR="00071F0F">
        <w:rPr>
          <w:sz w:val="24"/>
          <w:szCs w:val="24"/>
        </w:rPr>
        <w:t xml:space="preserve">MTI could never, from any </w:t>
      </w:r>
      <w:r w:rsidR="00071F0F" w:rsidRPr="00E1383D">
        <w:rPr>
          <w:i/>
          <w:iCs/>
          <w:sz w:val="24"/>
          <w:szCs w:val="24"/>
        </w:rPr>
        <w:t>bona fide</w:t>
      </w:r>
      <w:r w:rsidR="00071F0F">
        <w:rPr>
          <w:sz w:val="24"/>
          <w:szCs w:val="24"/>
        </w:rPr>
        <w:t xml:space="preserve"> trading activities</w:t>
      </w:r>
      <w:r w:rsidR="00194A62">
        <w:rPr>
          <w:sz w:val="24"/>
          <w:szCs w:val="24"/>
        </w:rPr>
        <w:t>,</w:t>
      </w:r>
      <w:r w:rsidR="00071F0F">
        <w:rPr>
          <w:sz w:val="24"/>
          <w:szCs w:val="24"/>
        </w:rPr>
        <w:t xml:space="preserve"> pay investors </w:t>
      </w:r>
      <w:r w:rsidR="00601971">
        <w:rPr>
          <w:sz w:val="24"/>
          <w:szCs w:val="24"/>
        </w:rPr>
        <w:t>who withdraw</w:t>
      </w:r>
      <w:r w:rsidR="00071F0F">
        <w:rPr>
          <w:sz w:val="24"/>
          <w:szCs w:val="24"/>
        </w:rPr>
        <w:t xml:space="preserve"> their bitcoin</w:t>
      </w:r>
      <w:r w:rsidR="00194A62">
        <w:rPr>
          <w:sz w:val="24"/>
          <w:szCs w:val="24"/>
        </w:rPr>
        <w:t xml:space="preserve">, </w:t>
      </w:r>
      <w:r w:rsidR="00071F0F">
        <w:rPr>
          <w:sz w:val="24"/>
          <w:szCs w:val="24"/>
        </w:rPr>
        <w:t>and</w:t>
      </w:r>
    </w:p>
    <w:p w14:paraId="7BFF914C" w14:textId="370E8498" w:rsidR="00071F0F" w:rsidRDefault="00560794" w:rsidP="00560794">
      <w:pPr>
        <w:pStyle w:val="BodyText3"/>
        <w:spacing w:after="240" w:line="480" w:lineRule="auto"/>
        <w:ind w:left="2520" w:hanging="1080"/>
        <w:rPr>
          <w:sz w:val="24"/>
          <w:szCs w:val="24"/>
        </w:rPr>
      </w:pPr>
      <w:r>
        <w:rPr>
          <w:sz w:val="24"/>
          <w:szCs w:val="24"/>
        </w:rPr>
        <w:t>34.12.4</w:t>
      </w:r>
      <w:r>
        <w:rPr>
          <w:sz w:val="24"/>
          <w:szCs w:val="24"/>
        </w:rPr>
        <w:tab/>
      </w:r>
      <w:r w:rsidR="00071F0F">
        <w:rPr>
          <w:sz w:val="24"/>
          <w:szCs w:val="24"/>
        </w:rPr>
        <w:t xml:space="preserve">MTI used bitcoin received from later investors to pay earlier </w:t>
      </w:r>
      <w:r w:rsidR="00071F0F" w:rsidRPr="00D12BC2">
        <w:rPr>
          <w:sz w:val="24"/>
          <w:szCs w:val="24"/>
        </w:rPr>
        <w:t>investors</w:t>
      </w:r>
      <w:r w:rsidR="00807198">
        <w:rPr>
          <w:sz w:val="24"/>
          <w:szCs w:val="24"/>
        </w:rPr>
        <w:t>.</w:t>
      </w:r>
    </w:p>
    <w:p w14:paraId="5B16FB91" w14:textId="391007F8" w:rsidR="000F767F" w:rsidRDefault="00560794" w:rsidP="00560794">
      <w:pPr>
        <w:pStyle w:val="BodyText3"/>
        <w:spacing w:after="240" w:line="480" w:lineRule="auto"/>
        <w:rPr>
          <w:sz w:val="24"/>
          <w:szCs w:val="24"/>
        </w:rPr>
      </w:pPr>
      <w:r>
        <w:rPr>
          <w:sz w:val="22"/>
          <w:szCs w:val="22"/>
        </w:rPr>
        <w:t>[35]</w:t>
      </w:r>
      <w:r>
        <w:rPr>
          <w:sz w:val="22"/>
          <w:szCs w:val="22"/>
        </w:rPr>
        <w:tab/>
      </w:r>
      <w:r w:rsidR="00557FED" w:rsidRPr="00E93F39">
        <w:rPr>
          <w:sz w:val="24"/>
          <w:szCs w:val="24"/>
        </w:rPr>
        <w:t xml:space="preserve">According to </w:t>
      </w:r>
      <w:r w:rsidR="00071F0F">
        <w:rPr>
          <w:sz w:val="24"/>
          <w:szCs w:val="24"/>
        </w:rPr>
        <w:t xml:space="preserve">the </w:t>
      </w:r>
      <w:r w:rsidR="00557FED" w:rsidRPr="00E93F39">
        <w:rPr>
          <w:sz w:val="24"/>
          <w:szCs w:val="24"/>
        </w:rPr>
        <w:t>FS</w:t>
      </w:r>
      <w:r w:rsidR="00FD0771">
        <w:rPr>
          <w:sz w:val="24"/>
          <w:szCs w:val="24"/>
        </w:rPr>
        <w:t>CA</w:t>
      </w:r>
      <w:r w:rsidR="00071F0F">
        <w:rPr>
          <w:sz w:val="24"/>
          <w:szCs w:val="24"/>
        </w:rPr>
        <w:t xml:space="preserve"> report</w:t>
      </w:r>
      <w:r w:rsidR="00557FED" w:rsidRPr="00E93F39">
        <w:rPr>
          <w:sz w:val="24"/>
          <w:szCs w:val="24"/>
        </w:rPr>
        <w:t xml:space="preserve">, </w:t>
      </w:r>
      <w:r w:rsidR="00F874CD" w:rsidRPr="00E93F39">
        <w:rPr>
          <w:sz w:val="24"/>
          <w:szCs w:val="24"/>
        </w:rPr>
        <w:t>t</w:t>
      </w:r>
      <w:r w:rsidR="00551554" w:rsidRPr="00E93F39">
        <w:rPr>
          <w:sz w:val="24"/>
          <w:szCs w:val="24"/>
        </w:rPr>
        <w:t xml:space="preserve">he lifespan of the business of MTI can be divided into three periods.  </w:t>
      </w:r>
    </w:p>
    <w:p w14:paraId="1BBC8EEF" w14:textId="3A1E5783" w:rsidR="00240325" w:rsidRPr="00807D00" w:rsidRDefault="00560794" w:rsidP="00560794">
      <w:pPr>
        <w:pStyle w:val="BodyText3"/>
        <w:spacing w:after="240" w:line="480" w:lineRule="auto"/>
        <w:rPr>
          <w:sz w:val="24"/>
          <w:szCs w:val="24"/>
        </w:rPr>
      </w:pPr>
      <w:r w:rsidRPr="00807D00">
        <w:rPr>
          <w:sz w:val="22"/>
          <w:szCs w:val="22"/>
        </w:rPr>
        <w:t>[36]</w:t>
      </w:r>
      <w:r w:rsidRPr="00807D00">
        <w:rPr>
          <w:sz w:val="22"/>
          <w:szCs w:val="22"/>
        </w:rPr>
        <w:tab/>
      </w:r>
      <w:r w:rsidR="00551554" w:rsidRPr="00807D00">
        <w:rPr>
          <w:sz w:val="24"/>
          <w:szCs w:val="24"/>
        </w:rPr>
        <w:t>The</w:t>
      </w:r>
      <w:r w:rsidR="00557FED" w:rsidRPr="00807D00">
        <w:rPr>
          <w:sz w:val="24"/>
          <w:szCs w:val="24"/>
        </w:rPr>
        <w:t xml:space="preserve"> </w:t>
      </w:r>
      <w:r w:rsidR="00551554" w:rsidRPr="00807D00">
        <w:rPr>
          <w:sz w:val="24"/>
          <w:szCs w:val="24"/>
        </w:rPr>
        <w:t>first was during April 2019 to July 2019, when clients of MTI had linked</w:t>
      </w:r>
      <w:r w:rsidR="00557FED" w:rsidRPr="00807D00">
        <w:rPr>
          <w:sz w:val="24"/>
          <w:szCs w:val="24"/>
        </w:rPr>
        <w:t xml:space="preserve"> </w:t>
      </w:r>
      <w:r w:rsidR="00551554" w:rsidRPr="00807D00">
        <w:rPr>
          <w:sz w:val="24"/>
          <w:szCs w:val="24"/>
        </w:rPr>
        <w:t>sub-accounts on the FXChoice platform,</w:t>
      </w:r>
      <w:r w:rsidR="00557FED" w:rsidRPr="00807D00">
        <w:rPr>
          <w:sz w:val="24"/>
          <w:szCs w:val="24"/>
        </w:rPr>
        <w:t xml:space="preserve"> </w:t>
      </w:r>
      <w:r w:rsidR="00551554" w:rsidRPr="00807D00">
        <w:rPr>
          <w:sz w:val="24"/>
          <w:szCs w:val="24"/>
        </w:rPr>
        <w:t>trading in foreign currency (“forex”),</w:t>
      </w:r>
      <w:r w:rsidR="00557FED" w:rsidRPr="00807D00">
        <w:rPr>
          <w:sz w:val="24"/>
          <w:szCs w:val="24"/>
        </w:rPr>
        <w:t xml:space="preserve"> </w:t>
      </w:r>
      <w:r w:rsidR="00551554" w:rsidRPr="00807D00">
        <w:rPr>
          <w:sz w:val="24"/>
          <w:szCs w:val="24"/>
        </w:rPr>
        <w:t>in</w:t>
      </w:r>
      <w:r w:rsidR="00807D00" w:rsidRPr="00807D00">
        <w:rPr>
          <w:sz w:val="24"/>
          <w:szCs w:val="24"/>
        </w:rPr>
        <w:t xml:space="preserve"> </w:t>
      </w:r>
      <w:r w:rsidR="00551554" w:rsidRPr="00807D00">
        <w:rPr>
          <w:sz w:val="24"/>
          <w:szCs w:val="24"/>
        </w:rPr>
        <w:t xml:space="preserve"> </w:t>
      </w:r>
      <w:r w:rsidR="00551554" w:rsidRPr="00807D00">
        <w:rPr>
          <w:sz w:val="24"/>
          <w:szCs w:val="24"/>
        </w:rPr>
        <w:lastRenderedPageBreak/>
        <w:t xml:space="preserve">respect of which a human trader's trades were mirrored onto each </w:t>
      </w:r>
      <w:r w:rsidR="00A32656" w:rsidRPr="00807D00">
        <w:rPr>
          <w:sz w:val="24"/>
          <w:szCs w:val="24"/>
        </w:rPr>
        <w:t xml:space="preserve">investors </w:t>
      </w:r>
      <w:r w:rsidR="00551554" w:rsidRPr="00807D00">
        <w:rPr>
          <w:sz w:val="24"/>
          <w:szCs w:val="24"/>
        </w:rPr>
        <w:t>sub-account (the "</w:t>
      </w:r>
      <w:r w:rsidR="00551554" w:rsidRPr="00807D00">
        <w:rPr>
          <w:bCs/>
          <w:i/>
          <w:iCs/>
          <w:sz w:val="24"/>
          <w:szCs w:val="24"/>
        </w:rPr>
        <w:t>MAM accounts</w:t>
      </w:r>
      <w:r w:rsidR="00551554" w:rsidRPr="00807D00">
        <w:rPr>
          <w:sz w:val="24"/>
          <w:szCs w:val="24"/>
        </w:rPr>
        <w:t>").</w:t>
      </w:r>
      <w:r w:rsidR="00557FED" w:rsidRPr="00807D00">
        <w:rPr>
          <w:sz w:val="24"/>
          <w:szCs w:val="24"/>
        </w:rPr>
        <w:t xml:space="preserve"> </w:t>
      </w:r>
      <w:r w:rsidR="00071F0F" w:rsidRPr="00807D00">
        <w:rPr>
          <w:sz w:val="24"/>
          <w:szCs w:val="24"/>
        </w:rPr>
        <w:t xml:space="preserve">Hence the name: Mirror Trading. </w:t>
      </w:r>
      <w:r w:rsidR="00551554" w:rsidRPr="00807D00">
        <w:rPr>
          <w:sz w:val="24"/>
          <w:szCs w:val="24"/>
        </w:rPr>
        <w:t>The</w:t>
      </w:r>
      <w:r w:rsidR="00557FED" w:rsidRPr="00807D00">
        <w:rPr>
          <w:sz w:val="24"/>
          <w:szCs w:val="24"/>
        </w:rPr>
        <w:t xml:space="preserve"> </w:t>
      </w:r>
      <w:r w:rsidR="00551554" w:rsidRPr="00807D00">
        <w:rPr>
          <w:sz w:val="24"/>
          <w:szCs w:val="24"/>
        </w:rPr>
        <w:t>first period preceded the launch of MTI's website and the implementation of</w:t>
      </w:r>
      <w:r w:rsidR="00557FED" w:rsidRPr="00807D00">
        <w:rPr>
          <w:sz w:val="24"/>
          <w:szCs w:val="24"/>
        </w:rPr>
        <w:t xml:space="preserve"> </w:t>
      </w:r>
      <w:r w:rsidR="00551554" w:rsidRPr="00807D00">
        <w:rPr>
          <w:sz w:val="24"/>
          <w:szCs w:val="24"/>
        </w:rPr>
        <w:t>the MTI agreement</w:t>
      </w:r>
      <w:r w:rsidR="00441BE3" w:rsidRPr="00807D00">
        <w:rPr>
          <w:sz w:val="24"/>
          <w:szCs w:val="24"/>
        </w:rPr>
        <w:t xml:space="preserve">. </w:t>
      </w:r>
    </w:p>
    <w:p w14:paraId="2A19AB7B" w14:textId="03A3B333" w:rsidR="005F2F39" w:rsidRDefault="00560794" w:rsidP="00560794">
      <w:pPr>
        <w:pStyle w:val="BodyText3"/>
        <w:spacing w:after="240" w:line="480" w:lineRule="auto"/>
        <w:rPr>
          <w:sz w:val="24"/>
          <w:szCs w:val="24"/>
        </w:rPr>
      </w:pPr>
      <w:r>
        <w:rPr>
          <w:sz w:val="22"/>
          <w:szCs w:val="22"/>
        </w:rPr>
        <w:t>[37]</w:t>
      </w:r>
      <w:r>
        <w:rPr>
          <w:sz w:val="22"/>
          <w:szCs w:val="22"/>
        </w:rPr>
        <w:tab/>
      </w:r>
      <w:r w:rsidR="00551554" w:rsidRPr="00D92BD7">
        <w:rPr>
          <w:sz w:val="24"/>
          <w:szCs w:val="24"/>
        </w:rPr>
        <w:t>The second period was from August 2019 to October 2020</w:t>
      </w:r>
      <w:r w:rsidR="00071F0F" w:rsidRPr="00D92BD7">
        <w:rPr>
          <w:sz w:val="24"/>
          <w:szCs w:val="24"/>
        </w:rPr>
        <w:t xml:space="preserve">. This </w:t>
      </w:r>
      <w:r w:rsidR="00807198" w:rsidRPr="00D92BD7">
        <w:rPr>
          <w:sz w:val="24"/>
          <w:szCs w:val="24"/>
        </w:rPr>
        <w:t>was</w:t>
      </w:r>
      <w:r w:rsidR="00071F0F" w:rsidRPr="00D92BD7">
        <w:rPr>
          <w:sz w:val="24"/>
          <w:szCs w:val="24"/>
        </w:rPr>
        <w:t xml:space="preserve"> </w:t>
      </w:r>
      <w:r w:rsidR="00551554" w:rsidRPr="00D92BD7">
        <w:rPr>
          <w:sz w:val="24"/>
          <w:szCs w:val="24"/>
        </w:rPr>
        <w:t xml:space="preserve">when MTI launched its website and implemented the MTI agreement.  </w:t>
      </w:r>
      <w:r w:rsidR="00071F0F" w:rsidRPr="00D92BD7">
        <w:rPr>
          <w:sz w:val="24"/>
          <w:szCs w:val="24"/>
        </w:rPr>
        <w:t xml:space="preserve">During this </w:t>
      </w:r>
      <w:r w:rsidR="00551554" w:rsidRPr="00D92BD7">
        <w:rPr>
          <w:sz w:val="24"/>
          <w:szCs w:val="24"/>
        </w:rPr>
        <w:t>period</w:t>
      </w:r>
      <w:r w:rsidR="00BF7560" w:rsidRPr="00D92BD7">
        <w:rPr>
          <w:sz w:val="24"/>
          <w:szCs w:val="24"/>
        </w:rPr>
        <w:t xml:space="preserve"> and from 2019, </w:t>
      </w:r>
      <w:r w:rsidR="00240325" w:rsidRPr="00D92BD7">
        <w:rPr>
          <w:sz w:val="24"/>
          <w:szCs w:val="24"/>
        </w:rPr>
        <w:t>Marks assisted Steynberg in recruiting investors</w:t>
      </w:r>
      <w:r w:rsidR="00BF7560" w:rsidRPr="00D92BD7">
        <w:rPr>
          <w:sz w:val="24"/>
          <w:szCs w:val="24"/>
        </w:rPr>
        <w:t xml:space="preserve"> and his</w:t>
      </w:r>
      <w:r w:rsidR="00071F0F" w:rsidRPr="00D92BD7">
        <w:rPr>
          <w:sz w:val="24"/>
          <w:szCs w:val="24"/>
        </w:rPr>
        <w:t xml:space="preserve"> </w:t>
      </w:r>
      <w:r w:rsidR="00BF7560" w:rsidRPr="00D92BD7">
        <w:rPr>
          <w:sz w:val="24"/>
          <w:szCs w:val="24"/>
        </w:rPr>
        <w:t xml:space="preserve">spouse, </w:t>
      </w:r>
      <w:r w:rsidR="00A32656" w:rsidRPr="00D92BD7">
        <w:rPr>
          <w:sz w:val="24"/>
          <w:szCs w:val="24"/>
        </w:rPr>
        <w:t>Cheri Marks</w:t>
      </w:r>
      <w:r w:rsidR="00194A62" w:rsidRPr="00D92BD7">
        <w:rPr>
          <w:sz w:val="24"/>
          <w:szCs w:val="24"/>
        </w:rPr>
        <w:t xml:space="preserve">, </w:t>
      </w:r>
      <w:r w:rsidR="00225545" w:rsidRPr="00D92BD7">
        <w:rPr>
          <w:sz w:val="24"/>
          <w:szCs w:val="24"/>
        </w:rPr>
        <w:t>assisted from February/March</w:t>
      </w:r>
      <w:r w:rsidR="00792F89" w:rsidRPr="00D92BD7">
        <w:rPr>
          <w:sz w:val="24"/>
          <w:szCs w:val="24"/>
        </w:rPr>
        <w:t xml:space="preserve"> 2</w:t>
      </w:r>
      <w:r w:rsidR="00225545" w:rsidRPr="00D92BD7">
        <w:rPr>
          <w:sz w:val="24"/>
          <w:szCs w:val="24"/>
        </w:rPr>
        <w:t>020</w:t>
      </w:r>
      <w:r w:rsidR="00065D4C" w:rsidRPr="00D92BD7">
        <w:rPr>
          <w:sz w:val="24"/>
          <w:szCs w:val="24"/>
        </w:rPr>
        <w:t xml:space="preserve"> </w:t>
      </w:r>
      <w:r w:rsidR="00225545" w:rsidRPr="00D92BD7">
        <w:rPr>
          <w:sz w:val="24"/>
          <w:szCs w:val="24"/>
        </w:rPr>
        <w:t>with</w:t>
      </w:r>
      <w:r w:rsidR="00071F0F" w:rsidRPr="00D92BD7">
        <w:rPr>
          <w:sz w:val="24"/>
          <w:szCs w:val="24"/>
        </w:rPr>
        <w:t xml:space="preserve"> t</w:t>
      </w:r>
      <w:r w:rsidR="00225545" w:rsidRPr="00D92BD7">
        <w:rPr>
          <w:sz w:val="24"/>
          <w:szCs w:val="24"/>
        </w:rPr>
        <w:t>he marketing of MTI</w:t>
      </w:r>
      <w:r w:rsidR="00240325" w:rsidRPr="00D92BD7">
        <w:rPr>
          <w:sz w:val="24"/>
          <w:szCs w:val="24"/>
        </w:rPr>
        <w:t>.</w:t>
      </w:r>
      <w:r w:rsidR="007F7EC1" w:rsidRPr="00D92BD7">
        <w:rPr>
          <w:sz w:val="24"/>
          <w:szCs w:val="24"/>
        </w:rPr>
        <w:t xml:space="preserve"> </w:t>
      </w:r>
      <w:r w:rsidR="00240325" w:rsidRPr="00D92BD7">
        <w:rPr>
          <w:sz w:val="24"/>
          <w:szCs w:val="24"/>
        </w:rPr>
        <w:t xml:space="preserve">From July/August 2020, the </w:t>
      </w:r>
      <w:r w:rsidR="00240325" w:rsidRPr="00D92BD7">
        <w:rPr>
          <w:i/>
          <w:iCs/>
          <w:sz w:val="24"/>
          <w:szCs w:val="24"/>
        </w:rPr>
        <w:t>de facto</w:t>
      </w:r>
      <w:r w:rsidR="00071F0F" w:rsidRPr="00D92BD7">
        <w:rPr>
          <w:i/>
          <w:iCs/>
          <w:sz w:val="24"/>
          <w:szCs w:val="24"/>
        </w:rPr>
        <w:t xml:space="preserve"> </w:t>
      </w:r>
      <w:r w:rsidR="00240325" w:rsidRPr="00D92BD7">
        <w:rPr>
          <w:sz w:val="24"/>
          <w:szCs w:val="24"/>
        </w:rPr>
        <w:t xml:space="preserve">directors of MTI were Steynberg, Marks, Ward and </w:t>
      </w:r>
      <w:r w:rsidR="004B1625" w:rsidRPr="00D92BD7">
        <w:rPr>
          <w:sz w:val="24"/>
          <w:szCs w:val="24"/>
        </w:rPr>
        <w:t xml:space="preserve">one </w:t>
      </w:r>
      <w:r w:rsidR="00240325" w:rsidRPr="00D92BD7">
        <w:rPr>
          <w:sz w:val="24"/>
          <w:szCs w:val="24"/>
        </w:rPr>
        <w:t>Monica Coetzee. The</w:t>
      </w:r>
      <w:r w:rsidR="00071F0F" w:rsidRPr="00D92BD7">
        <w:rPr>
          <w:sz w:val="24"/>
          <w:szCs w:val="24"/>
        </w:rPr>
        <w:t xml:space="preserve"> </w:t>
      </w:r>
      <w:r w:rsidR="00240325" w:rsidRPr="00D92BD7">
        <w:rPr>
          <w:sz w:val="24"/>
          <w:szCs w:val="24"/>
        </w:rPr>
        <w:t>first board meeting was held on 28 August 2020.</w:t>
      </w:r>
      <w:r w:rsidR="00071F0F" w:rsidRPr="00D92BD7">
        <w:rPr>
          <w:sz w:val="24"/>
          <w:szCs w:val="24"/>
        </w:rPr>
        <w:t xml:space="preserve"> </w:t>
      </w:r>
      <w:r w:rsidR="00062B4C" w:rsidRPr="00D92BD7">
        <w:rPr>
          <w:sz w:val="24"/>
          <w:szCs w:val="24"/>
        </w:rPr>
        <w:t xml:space="preserve">The bitcoin invested by investors were </w:t>
      </w:r>
      <w:r w:rsidR="00601971">
        <w:rPr>
          <w:sz w:val="24"/>
          <w:szCs w:val="24"/>
        </w:rPr>
        <w:t xml:space="preserve">said to have been </w:t>
      </w:r>
      <w:r w:rsidR="00240325" w:rsidRPr="00D92BD7">
        <w:rPr>
          <w:sz w:val="24"/>
          <w:szCs w:val="24"/>
        </w:rPr>
        <w:t xml:space="preserve">utilised for </w:t>
      </w:r>
      <w:r w:rsidR="00071F0F" w:rsidRPr="00D92BD7">
        <w:rPr>
          <w:sz w:val="24"/>
          <w:szCs w:val="24"/>
        </w:rPr>
        <w:t>f</w:t>
      </w:r>
      <w:r w:rsidR="00240325" w:rsidRPr="00D92BD7">
        <w:rPr>
          <w:sz w:val="24"/>
          <w:szCs w:val="24"/>
        </w:rPr>
        <w:t>orex trading in the</w:t>
      </w:r>
    </w:p>
    <w:p w14:paraId="7CB0FB02" w14:textId="77777777" w:rsidR="005F2F39" w:rsidRDefault="005F2F39" w:rsidP="005F2F39">
      <w:pPr>
        <w:pStyle w:val="BodyText3"/>
        <w:spacing w:after="240" w:line="480" w:lineRule="auto"/>
        <w:rPr>
          <w:sz w:val="24"/>
          <w:szCs w:val="24"/>
        </w:rPr>
      </w:pPr>
    </w:p>
    <w:p w14:paraId="292E1DEC" w14:textId="2D4CF71E" w:rsidR="00240325" w:rsidRDefault="00240325" w:rsidP="005F2F39">
      <w:pPr>
        <w:pStyle w:val="BodyText3"/>
        <w:spacing w:after="240" w:line="480" w:lineRule="auto"/>
        <w:rPr>
          <w:sz w:val="24"/>
          <w:szCs w:val="24"/>
        </w:rPr>
      </w:pPr>
      <w:r w:rsidRPr="00D92BD7">
        <w:rPr>
          <w:sz w:val="24"/>
          <w:szCs w:val="24"/>
        </w:rPr>
        <w:t xml:space="preserve">name of MTI via the regulated FXChoice platform under the exclusive supervision of Steynberg. The product which MTI traded </w:t>
      </w:r>
      <w:r w:rsidR="00452A77" w:rsidRPr="00D92BD7">
        <w:rPr>
          <w:sz w:val="24"/>
          <w:szCs w:val="24"/>
        </w:rPr>
        <w:t xml:space="preserve">during this period </w:t>
      </w:r>
      <w:r w:rsidRPr="00D92BD7">
        <w:rPr>
          <w:sz w:val="24"/>
          <w:szCs w:val="24"/>
        </w:rPr>
        <w:t>was so-called “CFD</w:t>
      </w:r>
      <w:r w:rsidR="00A32656" w:rsidRPr="00D92BD7">
        <w:rPr>
          <w:sz w:val="24"/>
          <w:szCs w:val="24"/>
        </w:rPr>
        <w:t>’s</w:t>
      </w:r>
      <w:r w:rsidRPr="00D92BD7">
        <w:rPr>
          <w:sz w:val="24"/>
          <w:szCs w:val="24"/>
        </w:rPr>
        <w:t>” (contract for a difference) based on foreign currency pairs.</w:t>
      </w:r>
      <w:r w:rsidR="00452A77" w:rsidRPr="00D92BD7">
        <w:rPr>
          <w:sz w:val="24"/>
          <w:szCs w:val="24"/>
        </w:rPr>
        <w:t xml:space="preserve"> </w:t>
      </w:r>
      <w:r w:rsidRPr="00D92BD7">
        <w:rPr>
          <w:sz w:val="24"/>
          <w:szCs w:val="24"/>
        </w:rPr>
        <w:t>Steynberg alleged that the trading was done profitably by utilising a</w:t>
      </w:r>
      <w:r w:rsidR="00A32656" w:rsidRPr="00D92BD7">
        <w:rPr>
          <w:sz w:val="24"/>
          <w:szCs w:val="24"/>
        </w:rPr>
        <w:t xml:space="preserve">n </w:t>
      </w:r>
      <w:r w:rsidRPr="00D92BD7">
        <w:rPr>
          <w:sz w:val="24"/>
          <w:szCs w:val="24"/>
        </w:rPr>
        <w:t>artificial intelligence bot, developed by Keith Badenhorst, and that MTI only had one negative day of trading during th</w:t>
      </w:r>
      <w:r w:rsidR="00071F0F" w:rsidRPr="00D92BD7">
        <w:rPr>
          <w:sz w:val="24"/>
          <w:szCs w:val="24"/>
        </w:rPr>
        <w:t>is</w:t>
      </w:r>
      <w:r w:rsidRPr="00D92BD7">
        <w:rPr>
          <w:sz w:val="24"/>
          <w:szCs w:val="24"/>
        </w:rPr>
        <w:t xml:space="preserve"> period.</w:t>
      </w:r>
    </w:p>
    <w:p w14:paraId="420D0597" w14:textId="754C1A8E" w:rsidR="001627D7" w:rsidRPr="004D1F05" w:rsidRDefault="00560794" w:rsidP="00560794">
      <w:pPr>
        <w:pStyle w:val="BodyText3"/>
        <w:spacing w:after="240" w:line="480" w:lineRule="auto"/>
        <w:rPr>
          <w:sz w:val="24"/>
          <w:szCs w:val="24"/>
        </w:rPr>
      </w:pPr>
      <w:r w:rsidRPr="004D1F05">
        <w:rPr>
          <w:sz w:val="22"/>
          <w:szCs w:val="22"/>
        </w:rPr>
        <w:t>[38]</w:t>
      </w:r>
      <w:r w:rsidRPr="004D1F05">
        <w:rPr>
          <w:sz w:val="22"/>
          <w:szCs w:val="22"/>
        </w:rPr>
        <w:tab/>
      </w:r>
      <w:r w:rsidR="007F7EC1" w:rsidRPr="004D1F05">
        <w:rPr>
          <w:sz w:val="24"/>
          <w:szCs w:val="24"/>
        </w:rPr>
        <w:t xml:space="preserve">The third period </w:t>
      </w:r>
      <w:r w:rsidR="00DB7CA7" w:rsidRPr="004D1F05">
        <w:rPr>
          <w:sz w:val="24"/>
          <w:szCs w:val="24"/>
        </w:rPr>
        <w:t xml:space="preserve">was </w:t>
      </w:r>
      <w:r w:rsidR="007F7EC1" w:rsidRPr="004D1F05">
        <w:rPr>
          <w:sz w:val="24"/>
          <w:szCs w:val="24"/>
        </w:rPr>
        <w:t>from October 2020 to December 2020</w:t>
      </w:r>
      <w:r w:rsidR="00DB7CA7" w:rsidRPr="004D1F05">
        <w:rPr>
          <w:sz w:val="24"/>
          <w:szCs w:val="24"/>
        </w:rPr>
        <w:t xml:space="preserve">. </w:t>
      </w:r>
      <w:r w:rsidR="007F7EC1" w:rsidRPr="004D1F05">
        <w:rPr>
          <w:sz w:val="24"/>
          <w:szCs w:val="24"/>
        </w:rPr>
        <w:t xml:space="preserve">Steynberg alleged that during this period, he transferred all the </w:t>
      </w:r>
      <w:r w:rsidR="00F23C2D" w:rsidRPr="004D1F05">
        <w:rPr>
          <w:sz w:val="24"/>
          <w:szCs w:val="24"/>
        </w:rPr>
        <w:t>b</w:t>
      </w:r>
      <w:r w:rsidR="007F7EC1" w:rsidRPr="004D1F05">
        <w:rPr>
          <w:sz w:val="24"/>
          <w:szCs w:val="24"/>
        </w:rPr>
        <w:t xml:space="preserve">itcoin in the MTI pool of members' </w:t>
      </w:r>
      <w:r w:rsidR="00F23C2D" w:rsidRPr="004D1F05">
        <w:rPr>
          <w:sz w:val="24"/>
          <w:szCs w:val="24"/>
        </w:rPr>
        <w:t>b</w:t>
      </w:r>
      <w:r w:rsidR="007F7EC1" w:rsidRPr="004D1F05">
        <w:rPr>
          <w:sz w:val="24"/>
          <w:szCs w:val="24"/>
        </w:rPr>
        <w:t xml:space="preserve">itcoin from FXChoice to </w:t>
      </w:r>
      <w:r w:rsidR="00EF58CC" w:rsidRPr="004D1F05">
        <w:rPr>
          <w:sz w:val="24"/>
          <w:szCs w:val="24"/>
        </w:rPr>
        <w:t>the u</w:t>
      </w:r>
      <w:r w:rsidR="007F7EC1" w:rsidRPr="004D1F05">
        <w:rPr>
          <w:sz w:val="24"/>
          <w:szCs w:val="24"/>
        </w:rPr>
        <w:t xml:space="preserve">nregulated broker, Trade 300.  In this period, MTI allegedly no longer traded in CFD's based on forex pairs, but in CFD's based on cryptocurrency pairs, also using </w:t>
      </w:r>
      <w:r w:rsidR="00A32656" w:rsidRPr="004D1F05">
        <w:rPr>
          <w:sz w:val="24"/>
          <w:szCs w:val="24"/>
        </w:rPr>
        <w:t>the</w:t>
      </w:r>
      <w:r w:rsidR="007F7EC1" w:rsidRPr="004D1F05">
        <w:rPr>
          <w:sz w:val="24"/>
          <w:szCs w:val="24"/>
        </w:rPr>
        <w:t xml:space="preserve"> artificial intelligence bot.</w:t>
      </w:r>
    </w:p>
    <w:p w14:paraId="49BCC0DF" w14:textId="65908BB2" w:rsidR="00551554" w:rsidRPr="007C792A" w:rsidRDefault="00560794" w:rsidP="00560794">
      <w:pPr>
        <w:pStyle w:val="BodyText3"/>
        <w:spacing w:after="240" w:line="480" w:lineRule="auto"/>
        <w:rPr>
          <w:sz w:val="24"/>
          <w:szCs w:val="24"/>
        </w:rPr>
      </w:pPr>
      <w:r w:rsidRPr="007C792A">
        <w:rPr>
          <w:sz w:val="22"/>
          <w:szCs w:val="22"/>
        </w:rPr>
        <w:t>[39]</w:t>
      </w:r>
      <w:r w:rsidRPr="007C792A">
        <w:rPr>
          <w:sz w:val="22"/>
          <w:szCs w:val="22"/>
        </w:rPr>
        <w:tab/>
      </w:r>
      <w:r w:rsidR="00551554" w:rsidRPr="00CE0DD4">
        <w:rPr>
          <w:sz w:val="24"/>
          <w:szCs w:val="24"/>
        </w:rPr>
        <w:t xml:space="preserve">Steynberg went missing on </w:t>
      </w:r>
      <w:r w:rsidR="00EC08EB" w:rsidRPr="00CE0DD4">
        <w:rPr>
          <w:sz w:val="24"/>
          <w:szCs w:val="24"/>
        </w:rPr>
        <w:t xml:space="preserve">about </w:t>
      </w:r>
      <w:r w:rsidR="00551554" w:rsidRPr="00CE0DD4">
        <w:rPr>
          <w:sz w:val="24"/>
          <w:szCs w:val="24"/>
        </w:rPr>
        <w:t xml:space="preserve">14 December 2020 while he was still busy </w:t>
      </w:r>
      <w:r w:rsidR="00551554" w:rsidRPr="001973E9">
        <w:rPr>
          <w:sz w:val="24"/>
          <w:szCs w:val="24"/>
        </w:rPr>
        <w:t xml:space="preserve">processing withdrawal requests from investors.  There were approximately 16,000 withdrawal requests, totalling approximately 2,600 </w:t>
      </w:r>
      <w:r w:rsidR="00F23C2D" w:rsidRPr="001973E9">
        <w:rPr>
          <w:sz w:val="24"/>
          <w:szCs w:val="24"/>
        </w:rPr>
        <w:t>b</w:t>
      </w:r>
      <w:r w:rsidR="00551554" w:rsidRPr="001973E9">
        <w:rPr>
          <w:sz w:val="24"/>
          <w:szCs w:val="24"/>
        </w:rPr>
        <w:t>itcoin.  These payments were never effected.</w:t>
      </w:r>
      <w:r w:rsidR="004B1625" w:rsidRPr="001973E9">
        <w:rPr>
          <w:sz w:val="24"/>
          <w:szCs w:val="24"/>
        </w:rPr>
        <w:t xml:space="preserve"> </w:t>
      </w:r>
      <w:r w:rsidR="00EA5435" w:rsidRPr="001973E9">
        <w:rPr>
          <w:sz w:val="24"/>
          <w:szCs w:val="24"/>
        </w:rPr>
        <w:t xml:space="preserve">According to media publications in </w:t>
      </w:r>
      <w:r w:rsidR="004B1625" w:rsidRPr="001973E9">
        <w:rPr>
          <w:sz w:val="24"/>
          <w:szCs w:val="24"/>
        </w:rPr>
        <w:t>January 2020</w:t>
      </w:r>
      <w:r w:rsidR="00EA5435" w:rsidRPr="001973E9">
        <w:rPr>
          <w:sz w:val="24"/>
          <w:szCs w:val="24"/>
        </w:rPr>
        <w:t xml:space="preserve"> Steynberg was</w:t>
      </w:r>
      <w:r w:rsidR="00EA5435">
        <w:rPr>
          <w:sz w:val="24"/>
          <w:szCs w:val="24"/>
        </w:rPr>
        <w:t xml:space="preserve"> </w:t>
      </w:r>
      <w:r w:rsidR="00EA5435" w:rsidRPr="007C792A">
        <w:rPr>
          <w:sz w:val="24"/>
          <w:szCs w:val="24"/>
        </w:rPr>
        <w:lastRenderedPageBreak/>
        <w:t xml:space="preserve">arrested and incarcerated </w:t>
      </w:r>
      <w:r w:rsidR="00194A62" w:rsidRPr="007C792A">
        <w:rPr>
          <w:sz w:val="24"/>
          <w:szCs w:val="24"/>
        </w:rPr>
        <w:t xml:space="preserve">during January 2020 </w:t>
      </w:r>
      <w:r w:rsidR="00EA5435" w:rsidRPr="007C792A">
        <w:rPr>
          <w:sz w:val="24"/>
          <w:szCs w:val="24"/>
        </w:rPr>
        <w:t>in Brazil. His estate was finally sequestrated in April 2021.</w:t>
      </w:r>
      <w:r w:rsidR="004B1625" w:rsidRPr="007C792A">
        <w:rPr>
          <w:sz w:val="24"/>
          <w:szCs w:val="24"/>
        </w:rPr>
        <w:t xml:space="preserve"> </w:t>
      </w:r>
    </w:p>
    <w:p w14:paraId="082B0A63" w14:textId="2D425B38" w:rsidR="002A500E" w:rsidRPr="002F4255" w:rsidRDefault="002F4255" w:rsidP="002A500E">
      <w:pPr>
        <w:pStyle w:val="BodyText3"/>
        <w:spacing w:after="240" w:line="480" w:lineRule="auto"/>
        <w:rPr>
          <w:i/>
          <w:iCs/>
          <w:sz w:val="24"/>
          <w:szCs w:val="24"/>
          <w:u w:val="single"/>
        </w:rPr>
      </w:pPr>
      <w:r>
        <w:rPr>
          <w:i/>
          <w:iCs/>
          <w:sz w:val="24"/>
          <w:szCs w:val="24"/>
          <w:u w:val="single"/>
        </w:rPr>
        <w:t>Grounds of opposition to the relief claimed by the applicants:</w:t>
      </w:r>
    </w:p>
    <w:p w14:paraId="75894FBF" w14:textId="64F351A8" w:rsidR="002536C5" w:rsidRDefault="00560794" w:rsidP="00560794">
      <w:pPr>
        <w:pStyle w:val="BodyText3"/>
        <w:spacing w:after="240" w:line="480" w:lineRule="auto"/>
        <w:rPr>
          <w:sz w:val="24"/>
          <w:szCs w:val="24"/>
        </w:rPr>
      </w:pPr>
      <w:r>
        <w:rPr>
          <w:sz w:val="22"/>
          <w:szCs w:val="22"/>
        </w:rPr>
        <w:t>[40]</w:t>
      </w:r>
      <w:r>
        <w:rPr>
          <w:sz w:val="22"/>
          <w:szCs w:val="22"/>
        </w:rPr>
        <w:tab/>
      </w:r>
      <w:r w:rsidR="002536C5" w:rsidRPr="002536C5">
        <w:rPr>
          <w:sz w:val="24"/>
          <w:szCs w:val="24"/>
        </w:rPr>
        <w:t>It appears from the affidavits filed on behalf of the respondents, that they have no personal information regarding the operation and management of MTI</w:t>
      </w:r>
      <w:r w:rsidR="00194A62">
        <w:rPr>
          <w:sz w:val="24"/>
          <w:szCs w:val="24"/>
        </w:rPr>
        <w:t>.</w:t>
      </w:r>
      <w:r w:rsidR="002536C5" w:rsidRPr="002536C5">
        <w:rPr>
          <w:sz w:val="24"/>
          <w:szCs w:val="24"/>
        </w:rPr>
        <w:t xml:space="preserve"> </w:t>
      </w:r>
      <w:r w:rsidR="00194A62">
        <w:rPr>
          <w:sz w:val="24"/>
          <w:szCs w:val="24"/>
        </w:rPr>
        <w:t>They</w:t>
      </w:r>
      <w:r w:rsidR="00AA7921">
        <w:rPr>
          <w:sz w:val="24"/>
          <w:szCs w:val="24"/>
        </w:rPr>
        <w:t>,</w:t>
      </w:r>
      <w:r w:rsidR="00194A62">
        <w:rPr>
          <w:sz w:val="24"/>
          <w:szCs w:val="24"/>
        </w:rPr>
        <w:t xml:space="preserve"> </w:t>
      </w:r>
      <w:r w:rsidR="002536C5" w:rsidRPr="002536C5">
        <w:rPr>
          <w:sz w:val="24"/>
          <w:szCs w:val="24"/>
        </w:rPr>
        <w:t xml:space="preserve">given their precarious position, and I will merely summarise, </w:t>
      </w:r>
      <w:r w:rsidR="00373B04">
        <w:rPr>
          <w:sz w:val="24"/>
          <w:szCs w:val="24"/>
        </w:rPr>
        <w:t xml:space="preserve">therefore </w:t>
      </w:r>
      <w:r w:rsidR="002536C5">
        <w:rPr>
          <w:sz w:val="24"/>
          <w:szCs w:val="24"/>
        </w:rPr>
        <w:t>base</w:t>
      </w:r>
      <w:r w:rsidR="00373B04">
        <w:rPr>
          <w:sz w:val="24"/>
          <w:szCs w:val="24"/>
        </w:rPr>
        <w:t>d</w:t>
      </w:r>
      <w:r w:rsidR="002536C5">
        <w:rPr>
          <w:sz w:val="24"/>
          <w:szCs w:val="24"/>
        </w:rPr>
        <w:t xml:space="preserve"> </w:t>
      </w:r>
      <w:r w:rsidR="002536C5" w:rsidRPr="002536C5">
        <w:rPr>
          <w:sz w:val="24"/>
          <w:szCs w:val="24"/>
        </w:rPr>
        <w:t>their opposition to the relief claimed</w:t>
      </w:r>
      <w:r w:rsidR="006254E9">
        <w:rPr>
          <w:sz w:val="24"/>
          <w:szCs w:val="24"/>
        </w:rPr>
        <w:t xml:space="preserve"> by the applicants</w:t>
      </w:r>
      <w:r w:rsidR="002536C5" w:rsidRPr="002536C5">
        <w:rPr>
          <w:sz w:val="24"/>
          <w:szCs w:val="24"/>
        </w:rPr>
        <w:t>, on the following:</w:t>
      </w:r>
    </w:p>
    <w:p w14:paraId="3CAE155A" w14:textId="77777777" w:rsidR="005F2F39" w:rsidRDefault="005F2F39" w:rsidP="005F2F39">
      <w:pPr>
        <w:pStyle w:val="BodyText3"/>
        <w:spacing w:after="240" w:line="480" w:lineRule="auto"/>
        <w:rPr>
          <w:sz w:val="24"/>
          <w:szCs w:val="24"/>
        </w:rPr>
      </w:pPr>
    </w:p>
    <w:p w14:paraId="2EA0D73B" w14:textId="77777777" w:rsidR="005F2F39" w:rsidRPr="002536C5" w:rsidRDefault="005F2F39" w:rsidP="005F2F39">
      <w:pPr>
        <w:pStyle w:val="BodyText3"/>
        <w:spacing w:after="240" w:line="480" w:lineRule="auto"/>
        <w:rPr>
          <w:sz w:val="24"/>
          <w:szCs w:val="24"/>
        </w:rPr>
      </w:pPr>
    </w:p>
    <w:p w14:paraId="2FC55729" w14:textId="7A1E2E2C" w:rsidR="002536C5" w:rsidRDefault="00601971" w:rsidP="00661444">
      <w:pPr>
        <w:pStyle w:val="BodyText3"/>
        <w:spacing w:after="240" w:line="480" w:lineRule="auto"/>
        <w:ind w:left="1440" w:hanging="720"/>
        <w:rPr>
          <w:sz w:val="24"/>
          <w:szCs w:val="24"/>
        </w:rPr>
      </w:pPr>
      <w:r>
        <w:rPr>
          <w:sz w:val="24"/>
          <w:szCs w:val="24"/>
        </w:rPr>
        <w:t>40</w:t>
      </w:r>
      <w:r w:rsidR="00661444">
        <w:rPr>
          <w:sz w:val="24"/>
          <w:szCs w:val="24"/>
        </w:rPr>
        <w:t>.1</w:t>
      </w:r>
      <w:r>
        <w:rPr>
          <w:sz w:val="24"/>
          <w:szCs w:val="24"/>
        </w:rPr>
        <w:tab/>
      </w:r>
      <w:r w:rsidR="002536C5">
        <w:rPr>
          <w:sz w:val="24"/>
          <w:szCs w:val="24"/>
        </w:rPr>
        <w:t>They were not investors in MTI and never transferred ownership of their bitcoin to MTI;</w:t>
      </w:r>
    </w:p>
    <w:p w14:paraId="323058A7" w14:textId="6675CE87" w:rsidR="002536C5" w:rsidRDefault="00601971" w:rsidP="00661444">
      <w:pPr>
        <w:pStyle w:val="BodyText3"/>
        <w:spacing w:after="240" w:line="480" w:lineRule="auto"/>
        <w:ind w:left="1440" w:hanging="720"/>
        <w:rPr>
          <w:sz w:val="24"/>
          <w:szCs w:val="24"/>
        </w:rPr>
      </w:pPr>
      <w:r>
        <w:rPr>
          <w:sz w:val="24"/>
          <w:szCs w:val="24"/>
        </w:rPr>
        <w:t>40</w:t>
      </w:r>
      <w:r w:rsidR="00661444">
        <w:rPr>
          <w:sz w:val="24"/>
          <w:szCs w:val="24"/>
        </w:rPr>
        <w:t>.2</w:t>
      </w:r>
      <w:r w:rsidR="00661444">
        <w:rPr>
          <w:sz w:val="24"/>
          <w:szCs w:val="24"/>
        </w:rPr>
        <w:tab/>
      </w:r>
      <w:r w:rsidR="002536C5" w:rsidRPr="00D943EA">
        <w:rPr>
          <w:sz w:val="24"/>
          <w:szCs w:val="24"/>
        </w:rPr>
        <w:t xml:space="preserve">All payments to MTI </w:t>
      </w:r>
      <w:r w:rsidR="002536C5">
        <w:rPr>
          <w:sz w:val="24"/>
          <w:szCs w:val="24"/>
        </w:rPr>
        <w:t xml:space="preserve">were </w:t>
      </w:r>
      <w:r w:rsidR="002536C5" w:rsidRPr="00D943EA">
        <w:rPr>
          <w:sz w:val="24"/>
          <w:szCs w:val="24"/>
        </w:rPr>
        <w:t>by way of transfer of cryptocurrency, more particularly bitcoin</w:t>
      </w:r>
      <w:r w:rsidR="00661444">
        <w:rPr>
          <w:sz w:val="24"/>
          <w:szCs w:val="24"/>
        </w:rPr>
        <w:t>,</w:t>
      </w:r>
      <w:r w:rsidR="002536C5">
        <w:rPr>
          <w:sz w:val="24"/>
          <w:szCs w:val="24"/>
        </w:rPr>
        <w:t xml:space="preserve"> and as bitcoin is not regulated </w:t>
      </w:r>
      <w:r>
        <w:rPr>
          <w:sz w:val="24"/>
          <w:szCs w:val="24"/>
        </w:rPr>
        <w:t>by</w:t>
      </w:r>
      <w:r w:rsidR="002536C5">
        <w:rPr>
          <w:sz w:val="24"/>
          <w:szCs w:val="24"/>
        </w:rPr>
        <w:t xml:space="preserve"> South African law it does not amount to movable property in terms of the Insolvency Act;</w:t>
      </w:r>
    </w:p>
    <w:p w14:paraId="5D31ECEB" w14:textId="67A5F6A0" w:rsidR="002536C5" w:rsidRPr="00601971" w:rsidRDefault="00560794" w:rsidP="00560794">
      <w:pPr>
        <w:pStyle w:val="BodyText3"/>
        <w:spacing w:after="240" w:line="480" w:lineRule="auto"/>
        <w:ind w:left="1418" w:hanging="698"/>
        <w:rPr>
          <w:sz w:val="24"/>
          <w:szCs w:val="24"/>
        </w:rPr>
      </w:pPr>
      <w:r w:rsidRPr="00601971">
        <w:rPr>
          <w:sz w:val="24"/>
          <w:szCs w:val="24"/>
        </w:rPr>
        <w:t>40.3</w:t>
      </w:r>
      <w:r w:rsidRPr="00601971">
        <w:rPr>
          <w:sz w:val="24"/>
          <w:szCs w:val="24"/>
        </w:rPr>
        <w:tab/>
      </w:r>
      <w:r w:rsidR="002536C5" w:rsidRPr="00601971">
        <w:rPr>
          <w:sz w:val="24"/>
          <w:szCs w:val="24"/>
        </w:rPr>
        <w:t xml:space="preserve">They contractually agreed to pool their bitcoin with other members in </w:t>
      </w:r>
      <w:r w:rsidR="00601971" w:rsidRPr="00601971">
        <w:rPr>
          <w:sz w:val="24"/>
          <w:szCs w:val="24"/>
        </w:rPr>
        <w:t xml:space="preserve">   </w:t>
      </w:r>
      <w:r w:rsidR="002536C5" w:rsidRPr="00601971">
        <w:rPr>
          <w:sz w:val="24"/>
          <w:szCs w:val="24"/>
        </w:rPr>
        <w:t xml:space="preserve">the so-called </w:t>
      </w:r>
      <w:r w:rsidR="00A57C97" w:rsidRPr="00601971">
        <w:rPr>
          <w:sz w:val="24"/>
          <w:szCs w:val="24"/>
        </w:rPr>
        <w:t xml:space="preserve">My </w:t>
      </w:r>
      <w:r w:rsidR="002536C5" w:rsidRPr="00601971">
        <w:rPr>
          <w:sz w:val="24"/>
          <w:szCs w:val="24"/>
        </w:rPr>
        <w:t xml:space="preserve">MTI </w:t>
      </w:r>
      <w:r w:rsidR="008807D6">
        <w:rPr>
          <w:sz w:val="24"/>
          <w:szCs w:val="24"/>
        </w:rPr>
        <w:t>C</w:t>
      </w:r>
      <w:r w:rsidR="00A57C97" w:rsidRPr="00601971">
        <w:rPr>
          <w:sz w:val="24"/>
          <w:szCs w:val="24"/>
        </w:rPr>
        <w:t>lub</w:t>
      </w:r>
      <w:r w:rsidR="002536C5" w:rsidRPr="00601971">
        <w:rPr>
          <w:sz w:val="24"/>
          <w:szCs w:val="24"/>
        </w:rPr>
        <w:t xml:space="preserve"> and the trading transactions with </w:t>
      </w:r>
      <w:r w:rsidR="00003943">
        <w:rPr>
          <w:sz w:val="24"/>
          <w:szCs w:val="24"/>
        </w:rPr>
        <w:t>b</w:t>
      </w:r>
      <w:r w:rsidR="002536C5" w:rsidRPr="00601971">
        <w:rPr>
          <w:sz w:val="24"/>
          <w:szCs w:val="24"/>
        </w:rPr>
        <w:t>itcoin was not meant to be regulated by South African law due to it being bitcoin</w:t>
      </w:r>
      <w:r w:rsidR="006E3C37">
        <w:rPr>
          <w:rStyle w:val="FootnoteReference"/>
          <w:sz w:val="24"/>
          <w:szCs w:val="24"/>
        </w:rPr>
        <w:footnoteReference w:id="20"/>
      </w:r>
      <w:r w:rsidR="002536C5" w:rsidRPr="00601971">
        <w:rPr>
          <w:sz w:val="24"/>
          <w:szCs w:val="24"/>
        </w:rPr>
        <w:t>;</w:t>
      </w:r>
    </w:p>
    <w:p w14:paraId="332537DB" w14:textId="0733C1FF" w:rsidR="00846C59" w:rsidRDefault="00560794" w:rsidP="00560794">
      <w:pPr>
        <w:pStyle w:val="BodyText3"/>
        <w:spacing w:after="240" w:line="480" w:lineRule="auto"/>
        <w:ind w:left="1418" w:hanging="698"/>
        <w:rPr>
          <w:sz w:val="24"/>
          <w:szCs w:val="24"/>
        </w:rPr>
      </w:pPr>
      <w:r>
        <w:rPr>
          <w:sz w:val="24"/>
          <w:szCs w:val="24"/>
        </w:rPr>
        <w:t>40.4</w:t>
      </w:r>
      <w:r>
        <w:rPr>
          <w:sz w:val="24"/>
          <w:szCs w:val="24"/>
        </w:rPr>
        <w:tab/>
      </w:r>
      <w:r w:rsidR="002536C5" w:rsidRPr="00661444">
        <w:rPr>
          <w:sz w:val="24"/>
          <w:szCs w:val="24"/>
        </w:rPr>
        <w:t xml:space="preserve">There </w:t>
      </w:r>
      <w:r w:rsidR="00661444">
        <w:rPr>
          <w:sz w:val="24"/>
          <w:szCs w:val="24"/>
        </w:rPr>
        <w:t>are</w:t>
      </w:r>
      <w:r w:rsidR="002536C5" w:rsidRPr="00661444">
        <w:rPr>
          <w:sz w:val="24"/>
          <w:szCs w:val="24"/>
        </w:rPr>
        <w:t xml:space="preserve"> dispute</w:t>
      </w:r>
      <w:r w:rsidR="009A5A35">
        <w:rPr>
          <w:sz w:val="24"/>
          <w:szCs w:val="24"/>
        </w:rPr>
        <w:t>s</w:t>
      </w:r>
      <w:r w:rsidR="002536C5" w:rsidRPr="00661444">
        <w:rPr>
          <w:sz w:val="24"/>
          <w:szCs w:val="24"/>
        </w:rPr>
        <w:t xml:space="preserve"> of fact</w:t>
      </w:r>
      <w:r w:rsidR="00661444">
        <w:rPr>
          <w:sz w:val="24"/>
          <w:szCs w:val="24"/>
        </w:rPr>
        <w:t>s</w:t>
      </w:r>
      <w:r w:rsidR="002536C5" w:rsidRPr="00661444">
        <w:rPr>
          <w:sz w:val="24"/>
          <w:szCs w:val="24"/>
        </w:rPr>
        <w:t xml:space="preserve"> which cannot be determined on application</w:t>
      </w:r>
      <w:r w:rsidR="00AD2F37">
        <w:rPr>
          <w:sz w:val="24"/>
          <w:szCs w:val="24"/>
        </w:rPr>
        <w:t>. Thes</w:t>
      </w:r>
      <w:r w:rsidR="00C8592E">
        <w:rPr>
          <w:sz w:val="24"/>
          <w:szCs w:val="24"/>
        </w:rPr>
        <w:t xml:space="preserve">e pertain to </w:t>
      </w:r>
      <w:r w:rsidR="00661444">
        <w:rPr>
          <w:sz w:val="24"/>
          <w:szCs w:val="24"/>
        </w:rPr>
        <w:t xml:space="preserve">whether MTI was </w:t>
      </w:r>
      <w:r w:rsidR="00C8592E">
        <w:rPr>
          <w:sz w:val="24"/>
          <w:szCs w:val="24"/>
        </w:rPr>
        <w:t xml:space="preserve">an </w:t>
      </w:r>
      <w:r w:rsidR="00661444">
        <w:rPr>
          <w:sz w:val="24"/>
          <w:szCs w:val="24"/>
        </w:rPr>
        <w:t>illegal</w:t>
      </w:r>
      <w:r w:rsidR="00C8592E">
        <w:rPr>
          <w:sz w:val="24"/>
          <w:szCs w:val="24"/>
        </w:rPr>
        <w:t xml:space="preserve">/unlawful </w:t>
      </w:r>
      <w:r w:rsidR="00661444">
        <w:rPr>
          <w:sz w:val="24"/>
          <w:szCs w:val="24"/>
        </w:rPr>
        <w:t>and fraudulent</w:t>
      </w:r>
      <w:r w:rsidR="00C8592E">
        <w:rPr>
          <w:sz w:val="24"/>
          <w:szCs w:val="24"/>
        </w:rPr>
        <w:t xml:space="preserve"> </w:t>
      </w:r>
      <w:r w:rsidR="00C8592E">
        <w:rPr>
          <w:sz w:val="24"/>
          <w:szCs w:val="24"/>
        </w:rPr>
        <w:lastRenderedPageBreak/>
        <w:t>scheme</w:t>
      </w:r>
      <w:r w:rsidR="00661444">
        <w:rPr>
          <w:sz w:val="24"/>
          <w:szCs w:val="24"/>
        </w:rPr>
        <w:t>, whether the evidence pr</w:t>
      </w:r>
      <w:r w:rsidR="00601971">
        <w:rPr>
          <w:sz w:val="24"/>
          <w:szCs w:val="24"/>
        </w:rPr>
        <w:t>o</w:t>
      </w:r>
      <w:r w:rsidR="00661444">
        <w:rPr>
          <w:sz w:val="24"/>
          <w:szCs w:val="24"/>
        </w:rPr>
        <w:t xml:space="preserve">cured from FXChoice could be </w:t>
      </w:r>
      <w:r w:rsidR="00094353">
        <w:rPr>
          <w:sz w:val="24"/>
          <w:szCs w:val="24"/>
        </w:rPr>
        <w:t>accepted a</w:t>
      </w:r>
      <w:r w:rsidR="00661444">
        <w:rPr>
          <w:sz w:val="24"/>
          <w:szCs w:val="24"/>
        </w:rPr>
        <w:t xml:space="preserve">s </w:t>
      </w:r>
      <w:r w:rsidR="00D27520">
        <w:rPr>
          <w:sz w:val="24"/>
          <w:szCs w:val="24"/>
        </w:rPr>
        <w:t xml:space="preserve">the existence of </w:t>
      </w:r>
      <w:r w:rsidR="00661444">
        <w:rPr>
          <w:sz w:val="24"/>
          <w:szCs w:val="24"/>
        </w:rPr>
        <w:t xml:space="preserve">Mr Stephenson, </w:t>
      </w:r>
      <w:r w:rsidR="00D27520">
        <w:rPr>
          <w:sz w:val="24"/>
          <w:szCs w:val="24"/>
        </w:rPr>
        <w:t>who deposed to various affidavits in these proceedings, is qu</w:t>
      </w:r>
      <w:r w:rsidR="007D6AC6">
        <w:rPr>
          <w:sz w:val="24"/>
          <w:szCs w:val="24"/>
        </w:rPr>
        <w:t xml:space="preserve">eried; whether trading took place </w:t>
      </w:r>
      <w:r w:rsidR="00942A6C">
        <w:rPr>
          <w:sz w:val="24"/>
          <w:szCs w:val="24"/>
        </w:rPr>
        <w:t>(some investors attest to seeing “live trading” during 2020</w:t>
      </w:r>
      <w:r w:rsidR="00601971">
        <w:rPr>
          <w:sz w:val="24"/>
          <w:szCs w:val="24"/>
        </w:rPr>
        <w:t>)</w:t>
      </w:r>
      <w:r w:rsidR="00942A6C">
        <w:rPr>
          <w:sz w:val="24"/>
          <w:szCs w:val="24"/>
        </w:rPr>
        <w:t xml:space="preserve">; </w:t>
      </w:r>
      <w:r w:rsidR="00560B5B">
        <w:rPr>
          <w:sz w:val="24"/>
          <w:szCs w:val="24"/>
        </w:rPr>
        <w:t>whether the statements p</w:t>
      </w:r>
      <w:r w:rsidR="00661444">
        <w:rPr>
          <w:sz w:val="24"/>
          <w:szCs w:val="24"/>
        </w:rPr>
        <w:t>rovided to members were falsified</w:t>
      </w:r>
      <w:r w:rsidR="00560B5B">
        <w:rPr>
          <w:sz w:val="24"/>
          <w:szCs w:val="24"/>
        </w:rPr>
        <w:t xml:space="preserve">; whether there was indeed an </w:t>
      </w:r>
      <w:r w:rsidR="002640A0">
        <w:rPr>
          <w:sz w:val="24"/>
          <w:szCs w:val="24"/>
        </w:rPr>
        <w:t>artificial intelligence bot and whether MTI was insolvent</w:t>
      </w:r>
      <w:r w:rsidR="00846C59">
        <w:rPr>
          <w:sz w:val="24"/>
          <w:szCs w:val="24"/>
        </w:rPr>
        <w:t xml:space="preserve"> for purposes of recovery proceedings in terms of the Insolvency Act</w:t>
      </w:r>
      <w:r w:rsidR="00373B04">
        <w:rPr>
          <w:sz w:val="24"/>
          <w:szCs w:val="24"/>
        </w:rPr>
        <w:t>;</w:t>
      </w:r>
    </w:p>
    <w:p w14:paraId="1189FBB0" w14:textId="07BD60B5" w:rsidR="002536C5" w:rsidRPr="00661444" w:rsidRDefault="00560794" w:rsidP="00560794">
      <w:pPr>
        <w:pStyle w:val="BodyText3"/>
        <w:spacing w:after="240" w:line="480" w:lineRule="auto"/>
        <w:ind w:left="1418" w:hanging="698"/>
        <w:rPr>
          <w:sz w:val="24"/>
          <w:szCs w:val="24"/>
        </w:rPr>
      </w:pPr>
      <w:r w:rsidRPr="00661444">
        <w:rPr>
          <w:sz w:val="24"/>
          <w:szCs w:val="24"/>
        </w:rPr>
        <w:t>40.5</w:t>
      </w:r>
      <w:r w:rsidRPr="00661444">
        <w:rPr>
          <w:sz w:val="24"/>
          <w:szCs w:val="24"/>
        </w:rPr>
        <w:tab/>
      </w:r>
      <w:r w:rsidR="002536C5" w:rsidRPr="00661444">
        <w:rPr>
          <w:sz w:val="24"/>
          <w:szCs w:val="24"/>
        </w:rPr>
        <w:t xml:space="preserve">The applicants have failed to establish the necessary facts </w:t>
      </w:r>
      <w:r w:rsidR="00661444">
        <w:rPr>
          <w:sz w:val="24"/>
          <w:szCs w:val="24"/>
        </w:rPr>
        <w:t>which</w:t>
      </w:r>
      <w:r w:rsidR="002536C5" w:rsidRPr="00661444">
        <w:rPr>
          <w:sz w:val="24"/>
          <w:szCs w:val="24"/>
        </w:rPr>
        <w:t xml:space="preserve"> entitle them to the declaratory relief claimed.</w:t>
      </w:r>
    </w:p>
    <w:p w14:paraId="398EE5C8" w14:textId="19D564A9" w:rsidR="00011913" w:rsidRDefault="00011913" w:rsidP="00011913">
      <w:pPr>
        <w:pStyle w:val="BodyText3"/>
        <w:spacing w:after="240" w:line="360" w:lineRule="auto"/>
        <w:rPr>
          <w:i/>
          <w:iCs/>
          <w:sz w:val="24"/>
          <w:szCs w:val="24"/>
          <w:u w:val="single"/>
        </w:rPr>
      </w:pPr>
      <w:r w:rsidRPr="00011913">
        <w:rPr>
          <w:i/>
          <w:iCs/>
          <w:sz w:val="24"/>
          <w:szCs w:val="24"/>
          <w:u w:val="single"/>
        </w:rPr>
        <w:t>Does bitcoin (cryptocurrency) fall within the definition of property in the context of the Insolvency Act</w:t>
      </w:r>
      <w:r w:rsidR="00992E11">
        <w:rPr>
          <w:i/>
          <w:iCs/>
          <w:sz w:val="24"/>
          <w:szCs w:val="24"/>
          <w:u w:val="single"/>
        </w:rPr>
        <w:t xml:space="preserve"> and does this court have jurisdiction </w:t>
      </w:r>
      <w:r w:rsidR="00997E07">
        <w:rPr>
          <w:i/>
          <w:iCs/>
          <w:sz w:val="24"/>
          <w:szCs w:val="24"/>
          <w:u w:val="single"/>
        </w:rPr>
        <w:t>in respect of cryptocurrency:</w:t>
      </w:r>
    </w:p>
    <w:p w14:paraId="0A863D44" w14:textId="20BCD829" w:rsidR="0018083F" w:rsidRPr="0018083F" w:rsidRDefault="00560794" w:rsidP="00560794">
      <w:pPr>
        <w:pStyle w:val="BodyText3"/>
        <w:spacing w:after="240" w:line="480" w:lineRule="auto"/>
        <w:rPr>
          <w:sz w:val="24"/>
          <w:szCs w:val="24"/>
        </w:rPr>
      </w:pPr>
      <w:r w:rsidRPr="0018083F">
        <w:rPr>
          <w:sz w:val="22"/>
          <w:szCs w:val="22"/>
        </w:rPr>
        <w:t>[41]</w:t>
      </w:r>
      <w:r w:rsidRPr="0018083F">
        <w:rPr>
          <w:sz w:val="22"/>
          <w:szCs w:val="22"/>
        </w:rPr>
        <w:tab/>
      </w:r>
      <w:r w:rsidR="0018083F" w:rsidRPr="0018083F">
        <w:rPr>
          <w:sz w:val="24"/>
          <w:szCs w:val="24"/>
        </w:rPr>
        <w:t>The definition of “property” in s 2 of the Insolvency Act is:</w:t>
      </w:r>
    </w:p>
    <w:p w14:paraId="5AE920BC" w14:textId="460C6F1B" w:rsidR="0018083F" w:rsidRDefault="0018083F" w:rsidP="0018083F">
      <w:pPr>
        <w:pStyle w:val="BodyText3"/>
        <w:spacing w:after="240" w:line="480" w:lineRule="auto"/>
        <w:ind w:left="1440"/>
        <w:rPr>
          <w:sz w:val="22"/>
          <w:szCs w:val="22"/>
        </w:rPr>
      </w:pPr>
      <w:r>
        <w:rPr>
          <w:sz w:val="24"/>
          <w:szCs w:val="24"/>
        </w:rPr>
        <w:t>“</w:t>
      </w:r>
      <w:r w:rsidRPr="00661444">
        <w:rPr>
          <w:sz w:val="22"/>
          <w:szCs w:val="22"/>
        </w:rPr>
        <w:t>’property’</w:t>
      </w:r>
      <w:r>
        <w:rPr>
          <w:sz w:val="22"/>
          <w:szCs w:val="22"/>
        </w:rPr>
        <w:t xml:space="preserve"> means movable or immovable property wherever situate within the Republic,</w:t>
      </w:r>
      <w:r w:rsidR="00A1472E">
        <w:rPr>
          <w:sz w:val="22"/>
          <w:szCs w:val="22"/>
        </w:rPr>
        <w:t xml:space="preserve"> </w:t>
      </w:r>
      <w:r>
        <w:rPr>
          <w:sz w:val="22"/>
          <w:szCs w:val="22"/>
        </w:rPr>
        <w:t>and includes contingent interests in property other than the contingent interests of a fidei commissary heir or legatee.”</w:t>
      </w:r>
      <w:r w:rsidR="0027093E">
        <w:rPr>
          <w:sz w:val="22"/>
          <w:szCs w:val="22"/>
        </w:rPr>
        <w:t xml:space="preserve">  </w:t>
      </w:r>
    </w:p>
    <w:p w14:paraId="3C99ADA1" w14:textId="12BE11C8" w:rsidR="0018083F" w:rsidRDefault="00560794" w:rsidP="00560794">
      <w:pPr>
        <w:pStyle w:val="BodyText3"/>
        <w:spacing w:after="240" w:line="480" w:lineRule="auto"/>
        <w:rPr>
          <w:sz w:val="24"/>
          <w:szCs w:val="24"/>
        </w:rPr>
      </w:pPr>
      <w:r>
        <w:rPr>
          <w:sz w:val="22"/>
          <w:szCs w:val="22"/>
        </w:rPr>
        <w:t>[42]</w:t>
      </w:r>
      <w:r>
        <w:rPr>
          <w:sz w:val="22"/>
          <w:szCs w:val="22"/>
        </w:rPr>
        <w:tab/>
      </w:r>
      <w:r w:rsidR="0018083F">
        <w:rPr>
          <w:sz w:val="24"/>
          <w:szCs w:val="24"/>
        </w:rPr>
        <w:t>I</w:t>
      </w:r>
      <w:r w:rsidR="0018083F" w:rsidRPr="00777DA1">
        <w:rPr>
          <w:sz w:val="24"/>
          <w:szCs w:val="24"/>
        </w:rPr>
        <w:t>t is trite that “the meaning of ‘property’ in relation to the provisions of the Insolvency Act, in the light of the definition thereof in s 2, is much wider than under the common law.”</w:t>
      </w:r>
      <w:r w:rsidR="0027093E">
        <w:rPr>
          <w:rStyle w:val="FootnoteReference"/>
          <w:sz w:val="24"/>
          <w:szCs w:val="24"/>
        </w:rPr>
        <w:footnoteReference w:id="21"/>
      </w:r>
      <w:r w:rsidR="0018083F" w:rsidRPr="00777DA1">
        <w:rPr>
          <w:sz w:val="24"/>
          <w:szCs w:val="24"/>
        </w:rPr>
        <w:t xml:space="preserve"> </w:t>
      </w:r>
    </w:p>
    <w:p w14:paraId="73A277B9" w14:textId="338F124E" w:rsidR="0082008B" w:rsidRPr="0018083F" w:rsidRDefault="00560794" w:rsidP="00560794">
      <w:pPr>
        <w:pStyle w:val="BodyText3"/>
        <w:spacing w:after="240" w:line="480" w:lineRule="auto"/>
        <w:rPr>
          <w:sz w:val="24"/>
          <w:szCs w:val="24"/>
        </w:rPr>
      </w:pPr>
      <w:r w:rsidRPr="0018083F">
        <w:rPr>
          <w:sz w:val="22"/>
          <w:szCs w:val="22"/>
        </w:rPr>
        <w:t>[43]</w:t>
      </w:r>
      <w:r w:rsidRPr="0018083F">
        <w:rPr>
          <w:sz w:val="22"/>
          <w:szCs w:val="22"/>
        </w:rPr>
        <w:tab/>
      </w:r>
      <w:r w:rsidR="0082008B" w:rsidRPr="0018083F">
        <w:rPr>
          <w:sz w:val="24"/>
          <w:szCs w:val="24"/>
        </w:rPr>
        <w:t xml:space="preserve">Money falls within the definition of movable property and </w:t>
      </w:r>
      <w:r w:rsidR="009F796C" w:rsidRPr="0018083F">
        <w:rPr>
          <w:sz w:val="24"/>
          <w:szCs w:val="24"/>
        </w:rPr>
        <w:t xml:space="preserve">is </w:t>
      </w:r>
      <w:r w:rsidR="0082008B" w:rsidRPr="0018083F">
        <w:rPr>
          <w:sz w:val="24"/>
          <w:szCs w:val="24"/>
        </w:rPr>
        <w:t>included in a debtor’s insolvent estate.</w:t>
      </w:r>
      <w:r w:rsidR="008E0CBC">
        <w:rPr>
          <w:rStyle w:val="FootnoteReference"/>
          <w:sz w:val="24"/>
          <w:szCs w:val="24"/>
        </w:rPr>
        <w:footnoteReference w:id="22"/>
      </w:r>
    </w:p>
    <w:p w14:paraId="1B78DC3F" w14:textId="28933CC5" w:rsidR="0082008B" w:rsidRDefault="00560794" w:rsidP="00560794">
      <w:pPr>
        <w:pStyle w:val="BodyText3"/>
        <w:spacing w:after="240" w:line="480" w:lineRule="auto"/>
        <w:rPr>
          <w:sz w:val="24"/>
          <w:szCs w:val="24"/>
        </w:rPr>
      </w:pPr>
      <w:r>
        <w:rPr>
          <w:sz w:val="22"/>
          <w:szCs w:val="22"/>
        </w:rPr>
        <w:lastRenderedPageBreak/>
        <w:t>[44]</w:t>
      </w:r>
      <w:r>
        <w:rPr>
          <w:sz w:val="22"/>
          <w:szCs w:val="22"/>
        </w:rPr>
        <w:tab/>
      </w:r>
      <w:r w:rsidR="00881C08" w:rsidRPr="00FC3349">
        <w:rPr>
          <w:sz w:val="24"/>
          <w:szCs w:val="24"/>
        </w:rPr>
        <w:t xml:space="preserve">From the available information it appears that, </w:t>
      </w:r>
      <w:r w:rsidR="0082008B" w:rsidRPr="00FC3349">
        <w:rPr>
          <w:sz w:val="24"/>
          <w:szCs w:val="24"/>
        </w:rPr>
        <w:t>in general, cryptocurrency possesses the following characteristics:</w:t>
      </w:r>
      <w:r w:rsidR="00172E44" w:rsidRPr="00FC3349">
        <w:rPr>
          <w:sz w:val="24"/>
          <w:szCs w:val="24"/>
        </w:rPr>
        <w:t xml:space="preserve"> </w:t>
      </w:r>
      <w:r w:rsidR="0082008B" w:rsidRPr="00FC3349">
        <w:rPr>
          <w:sz w:val="24"/>
          <w:szCs w:val="24"/>
        </w:rPr>
        <w:t>it is a thing</w:t>
      </w:r>
      <w:r w:rsidR="008D319D" w:rsidRPr="00FC3349">
        <w:rPr>
          <w:sz w:val="24"/>
          <w:szCs w:val="24"/>
        </w:rPr>
        <w:t xml:space="preserve">, </w:t>
      </w:r>
      <w:r w:rsidR="0082008B" w:rsidRPr="00FC3349">
        <w:rPr>
          <w:sz w:val="24"/>
          <w:szCs w:val="24"/>
        </w:rPr>
        <w:t>incorporeal</w:t>
      </w:r>
      <w:r w:rsidR="008D319D" w:rsidRPr="00FC3349">
        <w:rPr>
          <w:sz w:val="24"/>
          <w:szCs w:val="24"/>
        </w:rPr>
        <w:t>,</w:t>
      </w:r>
      <w:r w:rsidR="008E0CBC">
        <w:rPr>
          <w:rStyle w:val="FootnoteReference"/>
          <w:sz w:val="24"/>
          <w:szCs w:val="24"/>
        </w:rPr>
        <w:footnoteReference w:id="23"/>
      </w:r>
      <w:r w:rsidR="008E0CBC" w:rsidRPr="00FC3349">
        <w:rPr>
          <w:sz w:val="24"/>
          <w:szCs w:val="24"/>
        </w:rPr>
        <w:t xml:space="preserve"> </w:t>
      </w:r>
      <w:r w:rsidR="0082008B" w:rsidRPr="00FC3349">
        <w:rPr>
          <w:sz w:val="24"/>
          <w:szCs w:val="24"/>
        </w:rPr>
        <w:t>intangible</w:t>
      </w:r>
      <w:r w:rsidR="008D319D" w:rsidRPr="00FC3349">
        <w:rPr>
          <w:sz w:val="24"/>
          <w:szCs w:val="24"/>
        </w:rPr>
        <w:t xml:space="preserve">, </w:t>
      </w:r>
      <w:r w:rsidR="0082008B" w:rsidRPr="00FC3349">
        <w:rPr>
          <w:sz w:val="24"/>
          <w:szCs w:val="24"/>
        </w:rPr>
        <w:t>fungible</w:t>
      </w:r>
      <w:r w:rsidR="008D319D" w:rsidRPr="00FC3349">
        <w:rPr>
          <w:sz w:val="24"/>
          <w:szCs w:val="24"/>
        </w:rPr>
        <w:t xml:space="preserve">, </w:t>
      </w:r>
      <w:r w:rsidR="0082008B" w:rsidRPr="00FC3349">
        <w:rPr>
          <w:sz w:val="24"/>
          <w:szCs w:val="24"/>
        </w:rPr>
        <w:t>divisible</w:t>
      </w:r>
      <w:r w:rsidR="0094240A">
        <w:rPr>
          <w:sz w:val="24"/>
          <w:szCs w:val="24"/>
        </w:rPr>
        <w:t xml:space="preserve"> and </w:t>
      </w:r>
      <w:r w:rsidR="0082008B" w:rsidRPr="00FC3349">
        <w:rPr>
          <w:sz w:val="24"/>
          <w:szCs w:val="24"/>
        </w:rPr>
        <w:t>movable.</w:t>
      </w:r>
    </w:p>
    <w:p w14:paraId="06A62186" w14:textId="072B70CE" w:rsidR="0082008B" w:rsidRDefault="00560794" w:rsidP="00560794">
      <w:pPr>
        <w:pStyle w:val="BodyText3"/>
        <w:spacing w:after="240" w:line="480" w:lineRule="auto"/>
        <w:rPr>
          <w:sz w:val="24"/>
          <w:szCs w:val="24"/>
        </w:rPr>
      </w:pPr>
      <w:r>
        <w:rPr>
          <w:sz w:val="22"/>
          <w:szCs w:val="22"/>
        </w:rPr>
        <w:t>[45]</w:t>
      </w:r>
      <w:r>
        <w:rPr>
          <w:sz w:val="22"/>
          <w:szCs w:val="22"/>
        </w:rPr>
        <w:tab/>
      </w:r>
      <w:r w:rsidR="0027093E">
        <w:rPr>
          <w:sz w:val="24"/>
          <w:szCs w:val="24"/>
        </w:rPr>
        <w:t>I was referred to</w:t>
      </w:r>
      <w:r w:rsidR="0082008B" w:rsidRPr="00A516CC">
        <w:rPr>
          <w:sz w:val="24"/>
          <w:szCs w:val="24"/>
        </w:rPr>
        <w:t xml:space="preserve"> the matter of David Ian Rusco and Melcolm Russel Moore v Cryptopia Limited (in liquidation),</w:t>
      </w:r>
      <w:r w:rsidR="008E0CBC">
        <w:rPr>
          <w:rStyle w:val="FootnoteReference"/>
          <w:sz w:val="24"/>
          <w:szCs w:val="24"/>
        </w:rPr>
        <w:footnoteReference w:id="24"/>
      </w:r>
      <w:r w:rsidR="0027093E">
        <w:rPr>
          <w:sz w:val="24"/>
          <w:szCs w:val="24"/>
        </w:rPr>
        <w:t xml:space="preserve"> where</w:t>
      </w:r>
      <w:r w:rsidR="0082008B" w:rsidRPr="00A516CC">
        <w:rPr>
          <w:sz w:val="24"/>
          <w:szCs w:val="24"/>
        </w:rPr>
        <w:t xml:space="preserve"> the </w:t>
      </w:r>
      <w:r w:rsidR="0027093E">
        <w:rPr>
          <w:sz w:val="24"/>
          <w:szCs w:val="24"/>
        </w:rPr>
        <w:t xml:space="preserve">High Court of New Zealand </w:t>
      </w:r>
      <w:r w:rsidR="0082008B" w:rsidRPr="00A516CC">
        <w:rPr>
          <w:sz w:val="24"/>
          <w:szCs w:val="24"/>
        </w:rPr>
        <w:t>held that cryptocurrencies are a</w:t>
      </w:r>
      <w:r w:rsidR="0082008B" w:rsidRPr="00DB7C38">
        <w:rPr>
          <w:sz w:val="24"/>
          <w:szCs w:val="24"/>
        </w:rPr>
        <w:t xml:space="preserve"> type of intangible property and that various cryptocurrencies are “property” within the relevant definition of the New Zealand Companies Act (of 1993).  The court</w:t>
      </w:r>
      <w:r w:rsidR="00654BE2" w:rsidRPr="00DB7C38">
        <w:rPr>
          <w:sz w:val="24"/>
          <w:szCs w:val="24"/>
        </w:rPr>
        <w:t xml:space="preserve"> </w:t>
      </w:r>
      <w:r w:rsidR="0082008B" w:rsidRPr="00DB7C38">
        <w:rPr>
          <w:sz w:val="24"/>
          <w:szCs w:val="24"/>
        </w:rPr>
        <w:t>referred to cryptocurrency as “digital assets”.</w:t>
      </w:r>
    </w:p>
    <w:p w14:paraId="2E60D3D8" w14:textId="208AC81B" w:rsidR="0082008B" w:rsidRPr="00DB7C38" w:rsidRDefault="00560794" w:rsidP="00560794">
      <w:pPr>
        <w:pStyle w:val="BodyText3"/>
        <w:spacing w:after="240" w:line="480" w:lineRule="auto"/>
        <w:rPr>
          <w:rStyle w:val="FootnoteReference"/>
          <w:sz w:val="24"/>
          <w:szCs w:val="24"/>
          <w:vertAlign w:val="baseline"/>
        </w:rPr>
      </w:pPr>
      <w:r w:rsidRPr="00DB7C38">
        <w:rPr>
          <w:rStyle w:val="FootnoteReference"/>
          <w:sz w:val="22"/>
          <w:szCs w:val="22"/>
          <w:vertAlign w:val="baseline"/>
        </w:rPr>
        <w:t>[46]</w:t>
      </w:r>
      <w:r w:rsidRPr="00DB7C38">
        <w:rPr>
          <w:rStyle w:val="FootnoteReference"/>
          <w:sz w:val="22"/>
          <w:szCs w:val="22"/>
          <w:vertAlign w:val="baseline"/>
        </w:rPr>
        <w:tab/>
      </w:r>
      <w:r w:rsidR="0082008B" w:rsidRPr="00DB7C38">
        <w:rPr>
          <w:sz w:val="24"/>
          <w:szCs w:val="24"/>
        </w:rPr>
        <w:t>The South African Revenue Service has demanded that gains and losses on cryptocurrency be declared and classifies cryptocurrency as intangible assets, which is subject to taxation.</w:t>
      </w:r>
      <w:r w:rsidR="00C0051E">
        <w:rPr>
          <w:rStyle w:val="FootnoteReference"/>
          <w:sz w:val="24"/>
          <w:szCs w:val="24"/>
        </w:rPr>
        <w:footnoteReference w:id="25"/>
      </w:r>
    </w:p>
    <w:p w14:paraId="001EF3DB" w14:textId="04C1F96F" w:rsidR="0082008B" w:rsidRPr="00373B04" w:rsidRDefault="00560794" w:rsidP="00560794">
      <w:pPr>
        <w:pStyle w:val="BodyText3"/>
        <w:spacing w:after="240" w:line="480" w:lineRule="auto"/>
        <w:rPr>
          <w:sz w:val="24"/>
          <w:szCs w:val="24"/>
        </w:rPr>
      </w:pPr>
      <w:r w:rsidRPr="00373B04">
        <w:rPr>
          <w:sz w:val="22"/>
          <w:szCs w:val="22"/>
        </w:rPr>
        <w:t>[47]</w:t>
      </w:r>
      <w:r w:rsidRPr="00373B04">
        <w:rPr>
          <w:sz w:val="22"/>
          <w:szCs w:val="22"/>
        </w:rPr>
        <w:tab/>
      </w:r>
      <w:r w:rsidR="00700696">
        <w:rPr>
          <w:sz w:val="24"/>
          <w:szCs w:val="24"/>
        </w:rPr>
        <w:t>I was also referred to</w:t>
      </w:r>
      <w:r w:rsidR="0082008B" w:rsidRPr="00A516CC">
        <w:rPr>
          <w:sz w:val="24"/>
          <w:szCs w:val="24"/>
        </w:rPr>
        <w:t xml:space="preserve"> the matter of Robertson v Person Unknown</w:t>
      </w:r>
      <w:r w:rsidR="00C0051E">
        <w:rPr>
          <w:rStyle w:val="FootnoteReference"/>
          <w:sz w:val="24"/>
          <w:szCs w:val="24"/>
        </w:rPr>
        <w:footnoteReference w:id="26"/>
      </w:r>
      <w:r w:rsidR="0082008B" w:rsidRPr="00A516CC">
        <w:rPr>
          <w:sz w:val="24"/>
          <w:szCs w:val="24"/>
        </w:rPr>
        <w:t xml:space="preserve"> </w:t>
      </w:r>
      <w:r w:rsidR="00700696">
        <w:rPr>
          <w:sz w:val="24"/>
          <w:szCs w:val="24"/>
        </w:rPr>
        <w:t>whe</w:t>
      </w:r>
      <w:r w:rsidR="00CB3865">
        <w:rPr>
          <w:sz w:val="24"/>
          <w:szCs w:val="24"/>
        </w:rPr>
        <w:t>re</w:t>
      </w:r>
      <w:r w:rsidR="00700696">
        <w:rPr>
          <w:sz w:val="24"/>
          <w:szCs w:val="24"/>
        </w:rPr>
        <w:t xml:space="preserve"> </w:t>
      </w:r>
      <w:r w:rsidR="0082008B" w:rsidRPr="00A516CC">
        <w:rPr>
          <w:sz w:val="24"/>
          <w:szCs w:val="24"/>
        </w:rPr>
        <w:t xml:space="preserve">Justice Moulder </w:t>
      </w:r>
      <w:r w:rsidR="00700696">
        <w:rPr>
          <w:sz w:val="24"/>
          <w:szCs w:val="24"/>
        </w:rPr>
        <w:t xml:space="preserve">in the United Kingdom </w:t>
      </w:r>
      <w:r w:rsidR="0082008B" w:rsidRPr="00A516CC">
        <w:rPr>
          <w:sz w:val="24"/>
          <w:szCs w:val="24"/>
        </w:rPr>
        <w:t>granted an asset preservation order in respect of cryptocurrency on an exchange, Coinbase UK Limited, holding that bitcoin is to be treated as “property”.</w:t>
      </w:r>
      <w:r w:rsidR="00373B04">
        <w:rPr>
          <w:sz w:val="24"/>
          <w:szCs w:val="24"/>
        </w:rPr>
        <w:t xml:space="preserve"> </w:t>
      </w:r>
      <w:r w:rsidR="0082008B" w:rsidRPr="00373B04">
        <w:rPr>
          <w:sz w:val="24"/>
          <w:szCs w:val="24"/>
        </w:rPr>
        <w:t>In AA v Persons Unknown</w:t>
      </w:r>
      <w:r w:rsidR="00C0051E">
        <w:rPr>
          <w:rStyle w:val="FootnoteReference"/>
          <w:sz w:val="24"/>
          <w:szCs w:val="24"/>
        </w:rPr>
        <w:footnoteReference w:id="27"/>
      </w:r>
      <w:r w:rsidR="00700696" w:rsidRPr="00373B04">
        <w:rPr>
          <w:sz w:val="24"/>
          <w:szCs w:val="24"/>
        </w:rPr>
        <w:t>,</w:t>
      </w:r>
      <w:r w:rsidR="0082008B" w:rsidRPr="00373B04">
        <w:rPr>
          <w:sz w:val="24"/>
          <w:szCs w:val="24"/>
        </w:rPr>
        <w:t xml:space="preserve"> Justice Bryan held that crypto assets were “property” for the granting of proprietary relief.</w:t>
      </w:r>
    </w:p>
    <w:p w14:paraId="1D777F6B" w14:textId="46494AA8" w:rsidR="00CB3865" w:rsidRDefault="00560794" w:rsidP="00560794">
      <w:pPr>
        <w:pStyle w:val="BodyText3"/>
        <w:spacing w:after="240" w:line="480" w:lineRule="auto"/>
        <w:rPr>
          <w:sz w:val="24"/>
          <w:szCs w:val="24"/>
        </w:rPr>
      </w:pPr>
      <w:r>
        <w:rPr>
          <w:sz w:val="22"/>
          <w:szCs w:val="22"/>
        </w:rPr>
        <w:t>[48]</w:t>
      </w:r>
      <w:r>
        <w:rPr>
          <w:sz w:val="22"/>
          <w:szCs w:val="22"/>
        </w:rPr>
        <w:tab/>
      </w:r>
      <w:r w:rsidR="0018083F" w:rsidRPr="00CB3865">
        <w:rPr>
          <w:sz w:val="24"/>
          <w:szCs w:val="24"/>
        </w:rPr>
        <w:t>I agree with the applicants that even on the strictest interpretation of the meaning of property, c</w:t>
      </w:r>
      <w:r w:rsidR="0082008B" w:rsidRPr="00CB3865">
        <w:rPr>
          <w:sz w:val="24"/>
          <w:szCs w:val="24"/>
        </w:rPr>
        <w:t>ryptocurrency</w:t>
      </w:r>
      <w:r w:rsidR="00B05BBD" w:rsidRPr="00CB3865">
        <w:rPr>
          <w:sz w:val="24"/>
          <w:szCs w:val="24"/>
        </w:rPr>
        <w:t xml:space="preserve">, like money, is </w:t>
      </w:r>
      <w:r w:rsidR="0082008B" w:rsidRPr="00CB3865">
        <w:rPr>
          <w:sz w:val="24"/>
          <w:szCs w:val="24"/>
        </w:rPr>
        <w:t>movable property for the purpose of the definition of “property” in s 2 of the Insolvency Act</w:t>
      </w:r>
      <w:r w:rsidR="00CB3865">
        <w:rPr>
          <w:sz w:val="24"/>
          <w:szCs w:val="24"/>
        </w:rPr>
        <w:t>.</w:t>
      </w:r>
    </w:p>
    <w:p w14:paraId="2BB76F29" w14:textId="4CFDF914" w:rsidR="003C286E" w:rsidRPr="00740C47" w:rsidRDefault="00560794" w:rsidP="00560794">
      <w:pPr>
        <w:pStyle w:val="BodyText3"/>
        <w:spacing w:after="240" w:line="480" w:lineRule="auto"/>
        <w:rPr>
          <w:sz w:val="24"/>
          <w:szCs w:val="24"/>
        </w:rPr>
      </w:pPr>
      <w:r w:rsidRPr="00740C47">
        <w:rPr>
          <w:sz w:val="22"/>
          <w:szCs w:val="22"/>
        </w:rPr>
        <w:lastRenderedPageBreak/>
        <w:t>[49]</w:t>
      </w:r>
      <w:r w:rsidRPr="00740C47">
        <w:rPr>
          <w:sz w:val="22"/>
          <w:szCs w:val="22"/>
        </w:rPr>
        <w:tab/>
      </w:r>
      <w:r w:rsidR="009917AB" w:rsidRPr="00740C47">
        <w:rPr>
          <w:sz w:val="24"/>
          <w:szCs w:val="24"/>
        </w:rPr>
        <w:t>T</w:t>
      </w:r>
      <w:r w:rsidR="0072369C" w:rsidRPr="00740C47">
        <w:rPr>
          <w:sz w:val="24"/>
          <w:szCs w:val="24"/>
        </w:rPr>
        <w:t>he respondents</w:t>
      </w:r>
      <w:r w:rsidR="00E1049A" w:rsidRPr="00740C47">
        <w:rPr>
          <w:sz w:val="24"/>
          <w:szCs w:val="24"/>
        </w:rPr>
        <w:t>’</w:t>
      </w:r>
      <w:r w:rsidR="0072369C" w:rsidRPr="00740C47">
        <w:rPr>
          <w:sz w:val="24"/>
          <w:szCs w:val="24"/>
        </w:rPr>
        <w:t xml:space="preserve"> contention that cryptocurrency is not movable property is illogical and </w:t>
      </w:r>
      <w:r w:rsidR="003C286E" w:rsidRPr="00740C47">
        <w:rPr>
          <w:sz w:val="24"/>
          <w:szCs w:val="24"/>
        </w:rPr>
        <w:t xml:space="preserve">will lead to the absurd result that an insolvent with cryptocurrency will be untouchable </w:t>
      </w:r>
      <w:r w:rsidR="00601971" w:rsidRPr="00740C47">
        <w:rPr>
          <w:sz w:val="24"/>
          <w:szCs w:val="24"/>
        </w:rPr>
        <w:t>under</w:t>
      </w:r>
      <w:r w:rsidR="003C286E" w:rsidRPr="00740C47">
        <w:rPr>
          <w:sz w:val="24"/>
          <w:szCs w:val="24"/>
        </w:rPr>
        <w:t xml:space="preserve"> the Insolvency Act.</w:t>
      </w:r>
      <w:r w:rsidR="005F54BA" w:rsidRPr="00740C47">
        <w:rPr>
          <w:sz w:val="24"/>
          <w:szCs w:val="24"/>
        </w:rPr>
        <w:t xml:space="preserve"> </w:t>
      </w:r>
      <w:r w:rsidR="00F96E55" w:rsidRPr="00740C47">
        <w:rPr>
          <w:sz w:val="24"/>
          <w:szCs w:val="24"/>
        </w:rPr>
        <w:t>In this regard the applicants, correctly so</w:t>
      </w:r>
      <w:r w:rsidR="00601971" w:rsidRPr="00740C47">
        <w:rPr>
          <w:sz w:val="24"/>
          <w:szCs w:val="24"/>
        </w:rPr>
        <w:t xml:space="preserve"> in my view</w:t>
      </w:r>
      <w:r w:rsidR="00F96E55" w:rsidRPr="00740C47">
        <w:rPr>
          <w:sz w:val="24"/>
          <w:szCs w:val="24"/>
        </w:rPr>
        <w:t xml:space="preserve">, relied on the </w:t>
      </w:r>
      <w:r w:rsidR="003C286E" w:rsidRPr="00740C47">
        <w:rPr>
          <w:sz w:val="24"/>
          <w:szCs w:val="24"/>
        </w:rPr>
        <w:t>“</w:t>
      </w:r>
      <w:r w:rsidR="003C286E" w:rsidRPr="00740C47">
        <w:rPr>
          <w:i/>
          <w:iCs/>
          <w:sz w:val="24"/>
          <w:szCs w:val="24"/>
        </w:rPr>
        <w:t>always speaking”</w:t>
      </w:r>
      <w:r w:rsidR="003C286E" w:rsidRPr="00740C47">
        <w:rPr>
          <w:sz w:val="24"/>
          <w:szCs w:val="24"/>
        </w:rPr>
        <w:t xml:space="preserve"> doctrine of interpretation</w:t>
      </w:r>
      <w:r w:rsidR="00394539" w:rsidRPr="00740C47">
        <w:rPr>
          <w:sz w:val="24"/>
          <w:szCs w:val="24"/>
        </w:rPr>
        <w:t xml:space="preserve"> as explained in the matter of </w:t>
      </w:r>
      <w:r w:rsidR="003C286E" w:rsidRPr="00740C47">
        <w:rPr>
          <w:sz w:val="24"/>
          <w:szCs w:val="24"/>
        </w:rPr>
        <w:t xml:space="preserve">Malcolm v Premier, Western Cape Government 2014 (3) SA 177 (SCA) </w:t>
      </w:r>
      <w:r w:rsidR="00601971" w:rsidRPr="00740C47">
        <w:rPr>
          <w:sz w:val="24"/>
          <w:szCs w:val="24"/>
        </w:rPr>
        <w:t xml:space="preserve">at </w:t>
      </w:r>
      <w:r w:rsidR="003C286E" w:rsidRPr="00740C47">
        <w:rPr>
          <w:sz w:val="24"/>
          <w:szCs w:val="24"/>
        </w:rPr>
        <w:t>para [11]</w:t>
      </w:r>
      <w:r w:rsidR="003C286E" w:rsidRPr="00DB7C38">
        <w:rPr>
          <w:rStyle w:val="FootnoteReference"/>
          <w:sz w:val="24"/>
          <w:szCs w:val="24"/>
        </w:rPr>
        <w:footnoteReference w:id="28"/>
      </w:r>
      <w:r w:rsidR="00566D03" w:rsidRPr="00740C47">
        <w:rPr>
          <w:sz w:val="24"/>
          <w:szCs w:val="24"/>
        </w:rPr>
        <w:t>,</w:t>
      </w:r>
      <w:r w:rsidR="00354E28" w:rsidRPr="00740C47">
        <w:rPr>
          <w:sz w:val="24"/>
          <w:szCs w:val="24"/>
        </w:rPr>
        <w:t xml:space="preserve"> </w:t>
      </w:r>
      <w:r w:rsidR="00F96E55" w:rsidRPr="00740C47">
        <w:rPr>
          <w:sz w:val="24"/>
          <w:szCs w:val="24"/>
        </w:rPr>
        <w:t xml:space="preserve">where </w:t>
      </w:r>
      <w:r w:rsidR="00245767" w:rsidRPr="00740C47">
        <w:rPr>
          <w:sz w:val="24"/>
          <w:szCs w:val="24"/>
        </w:rPr>
        <w:t>it was remarked that:</w:t>
      </w:r>
    </w:p>
    <w:p w14:paraId="3E319EDF" w14:textId="77777777" w:rsidR="00601971" w:rsidRDefault="003C286E" w:rsidP="005D5E4C">
      <w:pPr>
        <w:pStyle w:val="BodyText3"/>
        <w:spacing w:after="240" w:line="480" w:lineRule="auto"/>
        <w:ind w:left="814"/>
        <w:rPr>
          <w:i/>
          <w:iCs/>
          <w:sz w:val="22"/>
          <w:szCs w:val="22"/>
        </w:rPr>
      </w:pPr>
      <w:r w:rsidRPr="00CC3B42">
        <w:rPr>
          <w:sz w:val="22"/>
          <w:szCs w:val="22"/>
        </w:rPr>
        <w:t>“</w:t>
      </w:r>
      <w:r w:rsidRPr="00CC3B42">
        <w:rPr>
          <w:i/>
          <w:iCs/>
          <w:sz w:val="22"/>
          <w:szCs w:val="22"/>
        </w:rPr>
        <w:t>There is obvious sense in this approach when a court is confronted with a novel situation that could not have been in the contemplation of the legislature at the time the legislation was enacted. Courts can then, in the light of the broad purpose of the</w:t>
      </w:r>
    </w:p>
    <w:p w14:paraId="14549D83" w14:textId="10A8AB61" w:rsidR="003C286E" w:rsidRPr="00CC3B42" w:rsidRDefault="003C286E" w:rsidP="005D5E4C">
      <w:pPr>
        <w:pStyle w:val="BodyText3"/>
        <w:spacing w:after="240" w:line="480" w:lineRule="auto"/>
        <w:ind w:left="814"/>
        <w:rPr>
          <w:sz w:val="22"/>
          <w:szCs w:val="22"/>
        </w:rPr>
      </w:pPr>
      <w:r w:rsidRPr="00CC3B42">
        <w:rPr>
          <w:i/>
          <w:iCs/>
          <w:sz w:val="22"/>
          <w:szCs w:val="22"/>
        </w:rPr>
        <w:t xml:space="preserve"> legislation, current social conditions and technological development, determine whether the new situation can properly, as a matter of interpretation, be encompassed by the language”</w:t>
      </w:r>
      <w:r w:rsidRPr="00CC3B42">
        <w:rPr>
          <w:sz w:val="22"/>
          <w:szCs w:val="22"/>
        </w:rPr>
        <w:t xml:space="preserve">  </w:t>
      </w:r>
    </w:p>
    <w:p w14:paraId="7A11BBBB" w14:textId="56A9D930" w:rsidR="00CE3355" w:rsidRPr="00123B4C" w:rsidRDefault="00560794" w:rsidP="00560794">
      <w:pPr>
        <w:pStyle w:val="BodyText3"/>
        <w:spacing w:after="240" w:line="480" w:lineRule="auto"/>
        <w:rPr>
          <w:sz w:val="24"/>
          <w:szCs w:val="24"/>
        </w:rPr>
      </w:pPr>
      <w:r w:rsidRPr="00123B4C">
        <w:rPr>
          <w:sz w:val="22"/>
          <w:szCs w:val="22"/>
        </w:rPr>
        <w:t>[50]</w:t>
      </w:r>
      <w:r w:rsidRPr="00123B4C">
        <w:rPr>
          <w:sz w:val="22"/>
          <w:szCs w:val="22"/>
        </w:rPr>
        <w:tab/>
      </w:r>
      <w:r w:rsidR="00245767" w:rsidRPr="00123B4C">
        <w:rPr>
          <w:sz w:val="24"/>
          <w:szCs w:val="24"/>
        </w:rPr>
        <w:t>The development of technology and inter</w:t>
      </w:r>
      <w:r w:rsidR="000312AC" w:rsidRPr="00123B4C">
        <w:rPr>
          <w:sz w:val="24"/>
          <w:szCs w:val="24"/>
        </w:rPr>
        <w:t xml:space="preserve">net </w:t>
      </w:r>
      <w:r w:rsidR="00245767" w:rsidRPr="00123B4C">
        <w:rPr>
          <w:sz w:val="24"/>
          <w:szCs w:val="24"/>
        </w:rPr>
        <w:t>enabled devices</w:t>
      </w:r>
      <w:r w:rsidR="0072369C" w:rsidRPr="00123B4C">
        <w:rPr>
          <w:sz w:val="24"/>
          <w:szCs w:val="24"/>
        </w:rPr>
        <w:t>,</w:t>
      </w:r>
      <w:r w:rsidR="00245767" w:rsidRPr="00123B4C">
        <w:rPr>
          <w:sz w:val="24"/>
          <w:szCs w:val="24"/>
        </w:rPr>
        <w:t xml:space="preserve"> the use of which </w:t>
      </w:r>
      <w:r w:rsidR="0072369C" w:rsidRPr="00123B4C">
        <w:rPr>
          <w:sz w:val="24"/>
          <w:szCs w:val="24"/>
        </w:rPr>
        <w:t>transcends</w:t>
      </w:r>
      <w:r w:rsidR="00245767" w:rsidRPr="00123B4C">
        <w:rPr>
          <w:sz w:val="24"/>
          <w:szCs w:val="24"/>
        </w:rPr>
        <w:t xml:space="preserve"> </w:t>
      </w:r>
      <w:r w:rsidR="0072369C" w:rsidRPr="00123B4C">
        <w:rPr>
          <w:sz w:val="24"/>
          <w:szCs w:val="24"/>
        </w:rPr>
        <w:t>physical</w:t>
      </w:r>
      <w:r w:rsidR="00245767" w:rsidRPr="00123B4C">
        <w:rPr>
          <w:sz w:val="24"/>
          <w:szCs w:val="24"/>
        </w:rPr>
        <w:t xml:space="preserve"> </w:t>
      </w:r>
      <w:r w:rsidR="0072369C" w:rsidRPr="00123B4C">
        <w:rPr>
          <w:sz w:val="24"/>
          <w:szCs w:val="24"/>
        </w:rPr>
        <w:t>boundaries</w:t>
      </w:r>
      <w:r w:rsidR="000312AC" w:rsidRPr="00123B4C">
        <w:rPr>
          <w:sz w:val="24"/>
          <w:szCs w:val="24"/>
        </w:rPr>
        <w:t>,</w:t>
      </w:r>
      <w:r w:rsidR="00245767" w:rsidRPr="00123B4C">
        <w:rPr>
          <w:sz w:val="24"/>
          <w:szCs w:val="24"/>
        </w:rPr>
        <w:t xml:space="preserve"> has resulted in new </w:t>
      </w:r>
      <w:r w:rsidR="0072369C" w:rsidRPr="00123B4C">
        <w:rPr>
          <w:sz w:val="24"/>
          <w:szCs w:val="24"/>
        </w:rPr>
        <w:t>concepts</w:t>
      </w:r>
      <w:r w:rsidR="00245767" w:rsidRPr="00123B4C">
        <w:rPr>
          <w:sz w:val="24"/>
          <w:szCs w:val="24"/>
        </w:rPr>
        <w:t xml:space="preserve"> and ar</w:t>
      </w:r>
      <w:r w:rsidR="0072369C" w:rsidRPr="00123B4C">
        <w:rPr>
          <w:sz w:val="24"/>
          <w:szCs w:val="24"/>
        </w:rPr>
        <w:t>eas of law developing</w:t>
      </w:r>
      <w:r w:rsidR="00224571">
        <w:rPr>
          <w:rStyle w:val="FootnoteReference"/>
          <w:sz w:val="24"/>
          <w:szCs w:val="24"/>
        </w:rPr>
        <w:footnoteReference w:id="29"/>
      </w:r>
      <w:r w:rsidR="000312AC" w:rsidRPr="00123B4C">
        <w:rPr>
          <w:sz w:val="24"/>
          <w:szCs w:val="24"/>
        </w:rPr>
        <w:t xml:space="preserve">. </w:t>
      </w:r>
      <w:r w:rsidR="0072369C" w:rsidRPr="00123B4C">
        <w:rPr>
          <w:sz w:val="24"/>
          <w:szCs w:val="24"/>
        </w:rPr>
        <w:t xml:space="preserve"> </w:t>
      </w:r>
      <w:r w:rsidR="001332C0" w:rsidRPr="00123B4C">
        <w:rPr>
          <w:sz w:val="24"/>
          <w:szCs w:val="24"/>
        </w:rPr>
        <w:t xml:space="preserve">Based on </w:t>
      </w:r>
      <w:r w:rsidR="00415406" w:rsidRPr="00123B4C">
        <w:rPr>
          <w:sz w:val="24"/>
          <w:szCs w:val="24"/>
        </w:rPr>
        <w:t>the accepted principles of interpretation (which I deal with below)</w:t>
      </w:r>
      <w:r w:rsidR="008A1966" w:rsidRPr="00123B4C">
        <w:rPr>
          <w:sz w:val="24"/>
          <w:szCs w:val="24"/>
        </w:rPr>
        <w:t xml:space="preserve">, bitcoin is </w:t>
      </w:r>
      <w:r w:rsidR="00E20B2C" w:rsidRPr="00123B4C">
        <w:rPr>
          <w:sz w:val="24"/>
          <w:szCs w:val="24"/>
        </w:rPr>
        <w:t xml:space="preserve">movable </w:t>
      </w:r>
      <w:r w:rsidR="00B3492E" w:rsidRPr="00123B4C">
        <w:rPr>
          <w:sz w:val="24"/>
          <w:szCs w:val="24"/>
        </w:rPr>
        <w:t xml:space="preserve">property for purposes of the Insolvency Act and </w:t>
      </w:r>
      <w:r w:rsidR="00CE3355" w:rsidRPr="00123B4C">
        <w:rPr>
          <w:sz w:val="24"/>
          <w:szCs w:val="24"/>
        </w:rPr>
        <w:t xml:space="preserve">the </w:t>
      </w:r>
      <w:r w:rsidR="00167B33" w:rsidRPr="00123B4C">
        <w:rPr>
          <w:sz w:val="24"/>
          <w:szCs w:val="24"/>
        </w:rPr>
        <w:t>transfer or disposition</w:t>
      </w:r>
      <w:r w:rsidR="009870F7" w:rsidRPr="00123B4C">
        <w:rPr>
          <w:sz w:val="24"/>
          <w:szCs w:val="24"/>
        </w:rPr>
        <w:t xml:space="preserve"> thereof </w:t>
      </w:r>
      <w:r w:rsidR="008B2FAB">
        <w:rPr>
          <w:sz w:val="24"/>
          <w:szCs w:val="24"/>
        </w:rPr>
        <w:t xml:space="preserve">should </w:t>
      </w:r>
      <w:r w:rsidR="00CE3355" w:rsidRPr="00123B4C">
        <w:rPr>
          <w:sz w:val="24"/>
          <w:szCs w:val="24"/>
        </w:rPr>
        <w:t>be dealt with in terms of the Insolvency Act.</w:t>
      </w:r>
    </w:p>
    <w:p w14:paraId="430A2088" w14:textId="4DFF4FEB" w:rsidR="00916830" w:rsidRPr="00682C01" w:rsidRDefault="00560794" w:rsidP="00560794">
      <w:pPr>
        <w:pStyle w:val="BodyText3"/>
        <w:spacing w:after="240" w:line="480" w:lineRule="auto"/>
        <w:rPr>
          <w:sz w:val="24"/>
          <w:szCs w:val="24"/>
        </w:rPr>
      </w:pPr>
      <w:r w:rsidRPr="00682C01">
        <w:rPr>
          <w:sz w:val="22"/>
          <w:szCs w:val="22"/>
        </w:rPr>
        <w:t>[51]</w:t>
      </w:r>
      <w:r w:rsidRPr="00682C01">
        <w:rPr>
          <w:sz w:val="22"/>
          <w:szCs w:val="22"/>
        </w:rPr>
        <w:tab/>
      </w:r>
      <w:r w:rsidR="00A32656" w:rsidRPr="00682C01">
        <w:rPr>
          <w:sz w:val="24"/>
          <w:szCs w:val="24"/>
        </w:rPr>
        <w:t>On</w:t>
      </w:r>
      <w:r w:rsidR="005E7356" w:rsidRPr="00682C01">
        <w:rPr>
          <w:sz w:val="24"/>
          <w:szCs w:val="24"/>
        </w:rPr>
        <w:t xml:space="preserve"> the issue of whether the bitcoin was </w:t>
      </w:r>
      <w:r w:rsidR="00552735">
        <w:rPr>
          <w:sz w:val="24"/>
          <w:szCs w:val="24"/>
        </w:rPr>
        <w:t>“</w:t>
      </w:r>
      <w:r w:rsidR="005E7356" w:rsidRPr="00682C01">
        <w:rPr>
          <w:sz w:val="24"/>
          <w:szCs w:val="24"/>
        </w:rPr>
        <w:t>owned</w:t>
      </w:r>
      <w:r w:rsidR="00552735">
        <w:rPr>
          <w:sz w:val="24"/>
          <w:szCs w:val="24"/>
        </w:rPr>
        <w:t>”</w:t>
      </w:r>
      <w:r w:rsidR="005E7356" w:rsidRPr="00682C01">
        <w:rPr>
          <w:sz w:val="24"/>
          <w:szCs w:val="24"/>
        </w:rPr>
        <w:t xml:space="preserve"> by the </w:t>
      </w:r>
      <w:r w:rsidR="008B2FAB" w:rsidRPr="00682C01">
        <w:rPr>
          <w:sz w:val="24"/>
          <w:szCs w:val="24"/>
        </w:rPr>
        <w:t>investors</w:t>
      </w:r>
      <w:r w:rsidR="005E7356" w:rsidRPr="00682C01">
        <w:rPr>
          <w:sz w:val="24"/>
          <w:szCs w:val="24"/>
        </w:rPr>
        <w:t xml:space="preserve">, </w:t>
      </w:r>
      <w:r w:rsidR="00692CF9" w:rsidRPr="00682C01">
        <w:rPr>
          <w:sz w:val="24"/>
          <w:szCs w:val="24"/>
        </w:rPr>
        <w:t>it is true that</w:t>
      </w:r>
      <w:r w:rsidR="00D9199F" w:rsidRPr="00682C01">
        <w:rPr>
          <w:sz w:val="24"/>
          <w:szCs w:val="24"/>
        </w:rPr>
        <w:t xml:space="preserve"> ownership of bitcoin depends on the facts of each</w:t>
      </w:r>
      <w:r w:rsidR="00206865" w:rsidRPr="00682C01">
        <w:rPr>
          <w:sz w:val="24"/>
          <w:szCs w:val="24"/>
        </w:rPr>
        <w:t xml:space="preserve"> case. </w:t>
      </w:r>
      <w:r w:rsidR="00531B2A" w:rsidRPr="00682C01">
        <w:rPr>
          <w:sz w:val="24"/>
          <w:szCs w:val="24"/>
        </w:rPr>
        <w:t xml:space="preserve">In </w:t>
      </w:r>
      <w:r w:rsidR="00531B2A" w:rsidRPr="00682C01">
        <w:rPr>
          <w:i/>
          <w:iCs/>
          <w:sz w:val="24"/>
          <w:szCs w:val="24"/>
        </w:rPr>
        <w:t>casu</w:t>
      </w:r>
      <w:r w:rsidR="00531B2A" w:rsidRPr="00682C01">
        <w:rPr>
          <w:sz w:val="24"/>
          <w:szCs w:val="24"/>
        </w:rPr>
        <w:t xml:space="preserve">, </w:t>
      </w:r>
      <w:r w:rsidR="00A35D66" w:rsidRPr="00682C01">
        <w:rPr>
          <w:sz w:val="24"/>
          <w:szCs w:val="24"/>
        </w:rPr>
        <w:t xml:space="preserve">investors transferred their movable assets </w:t>
      </w:r>
      <w:r w:rsidR="00653A41" w:rsidRPr="00682C01">
        <w:rPr>
          <w:sz w:val="24"/>
          <w:szCs w:val="24"/>
        </w:rPr>
        <w:t xml:space="preserve">(bitcoin), from their own wallets to a wallet controlled by Steynberg </w:t>
      </w:r>
      <w:r w:rsidR="00E90E1C" w:rsidRPr="00682C01">
        <w:rPr>
          <w:sz w:val="24"/>
          <w:szCs w:val="24"/>
        </w:rPr>
        <w:t>on behalf of MTI</w:t>
      </w:r>
      <w:r w:rsidR="00D33A7F" w:rsidRPr="00682C01">
        <w:rPr>
          <w:sz w:val="24"/>
          <w:szCs w:val="24"/>
        </w:rPr>
        <w:t xml:space="preserve"> (and probably held in the name of Steynberg)</w:t>
      </w:r>
      <w:r w:rsidR="00833ADB" w:rsidRPr="00682C01">
        <w:rPr>
          <w:sz w:val="24"/>
          <w:szCs w:val="24"/>
        </w:rPr>
        <w:t>, the so-called pooled account</w:t>
      </w:r>
      <w:r w:rsidR="00692CF9" w:rsidRPr="00682C01">
        <w:rPr>
          <w:sz w:val="24"/>
          <w:szCs w:val="24"/>
        </w:rPr>
        <w:t>.</w:t>
      </w:r>
      <w:r w:rsidR="00DF51B9" w:rsidRPr="00682C01">
        <w:rPr>
          <w:sz w:val="24"/>
          <w:szCs w:val="24"/>
        </w:rPr>
        <w:t xml:space="preserve"> </w:t>
      </w:r>
      <w:r w:rsidR="00692CF9" w:rsidRPr="00682C01">
        <w:rPr>
          <w:sz w:val="24"/>
          <w:szCs w:val="24"/>
        </w:rPr>
        <w:t xml:space="preserve"> </w:t>
      </w:r>
      <w:r w:rsidR="00D80EE0" w:rsidRPr="00682C01">
        <w:rPr>
          <w:sz w:val="24"/>
          <w:szCs w:val="24"/>
        </w:rPr>
        <w:t xml:space="preserve">MTI then, in its name, transferred the bitcoin to brokers who held it in an account in the name of MTI. According to Steynberg’s evidence at the </w:t>
      </w:r>
      <w:r w:rsidR="00D80EE0" w:rsidRPr="00682C01">
        <w:rPr>
          <w:sz w:val="24"/>
          <w:szCs w:val="24"/>
        </w:rPr>
        <w:lastRenderedPageBreak/>
        <w:t xml:space="preserve">FSCA, the brokers did not know about the </w:t>
      </w:r>
      <w:r w:rsidR="00552735">
        <w:rPr>
          <w:sz w:val="24"/>
          <w:szCs w:val="24"/>
        </w:rPr>
        <w:t>“</w:t>
      </w:r>
      <w:r w:rsidR="00D80EE0" w:rsidRPr="00682C01">
        <w:rPr>
          <w:sz w:val="24"/>
          <w:szCs w:val="24"/>
        </w:rPr>
        <w:t>members</w:t>
      </w:r>
      <w:r w:rsidR="00552735">
        <w:rPr>
          <w:sz w:val="24"/>
          <w:szCs w:val="24"/>
        </w:rPr>
        <w:t>”</w:t>
      </w:r>
      <w:r w:rsidR="00682C01">
        <w:rPr>
          <w:sz w:val="24"/>
          <w:szCs w:val="24"/>
        </w:rPr>
        <w:t>,</w:t>
      </w:r>
      <w:r w:rsidR="001D0916" w:rsidRPr="00682C01">
        <w:rPr>
          <w:sz w:val="24"/>
          <w:szCs w:val="24"/>
        </w:rPr>
        <w:t xml:space="preserve"> and he </w:t>
      </w:r>
      <w:r w:rsidR="00BC7AC8" w:rsidRPr="00682C01">
        <w:rPr>
          <w:sz w:val="24"/>
          <w:szCs w:val="24"/>
        </w:rPr>
        <w:t xml:space="preserve">further explained that </w:t>
      </w:r>
      <w:r w:rsidR="00552735">
        <w:rPr>
          <w:sz w:val="24"/>
          <w:szCs w:val="24"/>
        </w:rPr>
        <w:t>“</w:t>
      </w:r>
      <w:r w:rsidR="001D0916" w:rsidRPr="00682C01">
        <w:rPr>
          <w:sz w:val="24"/>
          <w:szCs w:val="24"/>
        </w:rPr>
        <w:t>members</w:t>
      </w:r>
      <w:r w:rsidR="00552735">
        <w:rPr>
          <w:sz w:val="24"/>
          <w:szCs w:val="24"/>
        </w:rPr>
        <w:t>”</w:t>
      </w:r>
      <w:r w:rsidR="001D0916" w:rsidRPr="00682C01">
        <w:rPr>
          <w:sz w:val="24"/>
          <w:szCs w:val="24"/>
        </w:rPr>
        <w:t xml:space="preserve"> would share in profits and losses of MTI. In other words: if MTI suffered losses, the reduction in the total amount of bitcoin would result in an investor being unable to claim entitlement to the number of bitcoin that he/she invested. </w:t>
      </w:r>
      <w:r w:rsidR="00E0507B" w:rsidRPr="00682C01">
        <w:rPr>
          <w:sz w:val="24"/>
          <w:szCs w:val="24"/>
        </w:rPr>
        <w:t>The</w:t>
      </w:r>
      <w:r w:rsidR="005D6E7B" w:rsidRPr="00682C01">
        <w:rPr>
          <w:sz w:val="24"/>
          <w:szCs w:val="24"/>
        </w:rPr>
        <w:t xml:space="preserve">se facts clearly </w:t>
      </w:r>
      <w:r w:rsidR="00883CE2" w:rsidRPr="00682C01">
        <w:rPr>
          <w:sz w:val="24"/>
          <w:szCs w:val="24"/>
        </w:rPr>
        <w:t xml:space="preserve">demonstrate that </w:t>
      </w:r>
      <w:r w:rsidR="00972F6D" w:rsidRPr="00682C01">
        <w:rPr>
          <w:sz w:val="24"/>
          <w:szCs w:val="24"/>
        </w:rPr>
        <w:t xml:space="preserve">investors </w:t>
      </w:r>
      <w:r w:rsidR="00F857E9" w:rsidRPr="00682C01">
        <w:rPr>
          <w:sz w:val="24"/>
          <w:szCs w:val="24"/>
        </w:rPr>
        <w:t xml:space="preserve">lost </w:t>
      </w:r>
      <w:r w:rsidR="00420B73">
        <w:rPr>
          <w:sz w:val="24"/>
          <w:szCs w:val="24"/>
        </w:rPr>
        <w:t>“</w:t>
      </w:r>
      <w:r w:rsidR="00883CE2" w:rsidRPr="00682C01">
        <w:rPr>
          <w:sz w:val="24"/>
          <w:szCs w:val="24"/>
        </w:rPr>
        <w:t>ownership</w:t>
      </w:r>
      <w:r w:rsidR="00420B73">
        <w:rPr>
          <w:sz w:val="24"/>
          <w:szCs w:val="24"/>
        </w:rPr>
        <w:t>”</w:t>
      </w:r>
      <w:r w:rsidR="00883CE2" w:rsidRPr="00682C01">
        <w:rPr>
          <w:sz w:val="24"/>
          <w:szCs w:val="24"/>
        </w:rPr>
        <w:t xml:space="preserve"> of th</w:t>
      </w:r>
      <w:r w:rsidR="00916830" w:rsidRPr="00682C01">
        <w:rPr>
          <w:sz w:val="24"/>
          <w:szCs w:val="24"/>
        </w:rPr>
        <w:t xml:space="preserve">eir </w:t>
      </w:r>
      <w:r w:rsidR="00F857E9" w:rsidRPr="00682C01">
        <w:rPr>
          <w:sz w:val="24"/>
          <w:szCs w:val="24"/>
        </w:rPr>
        <w:t>bitcoin w</w:t>
      </w:r>
      <w:r w:rsidR="00AA427E" w:rsidRPr="00682C01">
        <w:rPr>
          <w:sz w:val="24"/>
          <w:szCs w:val="24"/>
        </w:rPr>
        <w:t xml:space="preserve">hilst acquiring personal rights against MTI. </w:t>
      </w:r>
    </w:p>
    <w:p w14:paraId="0A099134" w14:textId="44496047" w:rsidR="00740C47" w:rsidRPr="004D1F05" w:rsidRDefault="00560794" w:rsidP="00560794">
      <w:pPr>
        <w:pStyle w:val="BodyText3"/>
        <w:spacing w:after="240" w:line="480" w:lineRule="auto"/>
        <w:rPr>
          <w:sz w:val="24"/>
          <w:szCs w:val="24"/>
        </w:rPr>
      </w:pPr>
      <w:r w:rsidRPr="004D1F05">
        <w:rPr>
          <w:sz w:val="22"/>
          <w:szCs w:val="22"/>
        </w:rPr>
        <w:t>[52]</w:t>
      </w:r>
      <w:r w:rsidRPr="004D1F05">
        <w:rPr>
          <w:sz w:val="22"/>
          <w:szCs w:val="22"/>
        </w:rPr>
        <w:tab/>
      </w:r>
      <w:r w:rsidR="00740C47" w:rsidRPr="004D1F05">
        <w:rPr>
          <w:sz w:val="24"/>
          <w:szCs w:val="24"/>
        </w:rPr>
        <w:t xml:space="preserve">The operation of MTI’s business in cyberspace, is irrelevant. MTI is domiciled in South Africa and its movable property, wherever situated, is therefore considered to be present at </w:t>
      </w:r>
      <w:r w:rsidR="00740C47" w:rsidRPr="00123B4C">
        <w:rPr>
          <w:sz w:val="24"/>
          <w:szCs w:val="24"/>
        </w:rPr>
        <w:t>its domicile</w:t>
      </w:r>
      <w:r w:rsidR="00740C47" w:rsidRPr="00123B4C">
        <w:rPr>
          <w:rStyle w:val="FootnoteReference"/>
          <w:sz w:val="24"/>
          <w:szCs w:val="24"/>
        </w:rPr>
        <w:footnoteReference w:id="30"/>
      </w:r>
      <w:r w:rsidR="00740C47" w:rsidRPr="00123B4C">
        <w:rPr>
          <w:sz w:val="24"/>
          <w:szCs w:val="24"/>
        </w:rPr>
        <w:t xml:space="preserve"> </w:t>
      </w:r>
    </w:p>
    <w:p w14:paraId="2574C7D0" w14:textId="7CEDAD27" w:rsidR="00420F7F" w:rsidRPr="00EC6606" w:rsidRDefault="00420F7F" w:rsidP="00420F7F">
      <w:pPr>
        <w:pStyle w:val="BodyText3"/>
        <w:spacing w:after="240" w:line="480" w:lineRule="auto"/>
        <w:rPr>
          <w:i/>
          <w:iCs/>
          <w:sz w:val="24"/>
          <w:szCs w:val="24"/>
          <w:u w:val="single"/>
        </w:rPr>
      </w:pPr>
      <w:r w:rsidRPr="00EC6606">
        <w:rPr>
          <w:i/>
          <w:iCs/>
          <w:sz w:val="24"/>
          <w:szCs w:val="24"/>
          <w:u w:val="single"/>
        </w:rPr>
        <w:t>Marks</w:t>
      </w:r>
      <w:r w:rsidR="006B0D35" w:rsidRPr="00EC6606">
        <w:rPr>
          <w:i/>
          <w:iCs/>
          <w:sz w:val="24"/>
          <w:szCs w:val="24"/>
          <w:u w:val="single"/>
        </w:rPr>
        <w:t>’s opposition and counter</w:t>
      </w:r>
      <w:r w:rsidR="00795072">
        <w:rPr>
          <w:i/>
          <w:iCs/>
          <w:sz w:val="24"/>
          <w:szCs w:val="24"/>
          <w:u w:val="single"/>
        </w:rPr>
        <w:t>-</w:t>
      </w:r>
      <w:r w:rsidR="006B0D35" w:rsidRPr="00EC6606">
        <w:rPr>
          <w:i/>
          <w:iCs/>
          <w:sz w:val="24"/>
          <w:szCs w:val="24"/>
          <w:u w:val="single"/>
        </w:rPr>
        <w:t>application</w:t>
      </w:r>
      <w:r w:rsidRPr="00EC6606">
        <w:rPr>
          <w:i/>
          <w:iCs/>
          <w:sz w:val="24"/>
          <w:szCs w:val="24"/>
          <w:u w:val="single"/>
        </w:rPr>
        <w:t>:</w:t>
      </w:r>
    </w:p>
    <w:p w14:paraId="5553E5BB" w14:textId="054BB41D" w:rsidR="00625598" w:rsidRPr="004D1F05" w:rsidRDefault="00560794" w:rsidP="00560794">
      <w:pPr>
        <w:pStyle w:val="BodyText3"/>
        <w:spacing w:after="240" w:line="480" w:lineRule="auto"/>
        <w:rPr>
          <w:sz w:val="24"/>
          <w:szCs w:val="24"/>
        </w:rPr>
      </w:pPr>
      <w:r w:rsidRPr="004D1F05">
        <w:rPr>
          <w:sz w:val="22"/>
          <w:szCs w:val="22"/>
        </w:rPr>
        <w:t>[53]</w:t>
      </w:r>
      <w:r w:rsidRPr="004D1F05">
        <w:rPr>
          <w:sz w:val="22"/>
          <w:szCs w:val="22"/>
        </w:rPr>
        <w:tab/>
      </w:r>
      <w:r w:rsidR="004161EB" w:rsidRPr="004D1F05">
        <w:rPr>
          <w:sz w:val="24"/>
          <w:szCs w:val="24"/>
        </w:rPr>
        <w:t xml:space="preserve">In order to establish </w:t>
      </w:r>
      <w:r w:rsidR="004161EB" w:rsidRPr="004D1F05">
        <w:rPr>
          <w:i/>
          <w:iCs/>
          <w:sz w:val="24"/>
          <w:szCs w:val="24"/>
        </w:rPr>
        <w:t>locus standi</w:t>
      </w:r>
      <w:r w:rsidR="004842D1" w:rsidRPr="004D1F05">
        <w:rPr>
          <w:sz w:val="24"/>
          <w:szCs w:val="24"/>
        </w:rPr>
        <w:t xml:space="preserve"> for purposes of his </w:t>
      </w:r>
      <w:r w:rsidR="004A5DCB" w:rsidRPr="004D1F05">
        <w:rPr>
          <w:sz w:val="24"/>
          <w:szCs w:val="24"/>
        </w:rPr>
        <w:t xml:space="preserve">opposition to the main </w:t>
      </w:r>
      <w:r w:rsidR="00A32656" w:rsidRPr="004D1F05">
        <w:rPr>
          <w:sz w:val="24"/>
          <w:szCs w:val="24"/>
        </w:rPr>
        <w:t xml:space="preserve">application </w:t>
      </w:r>
      <w:r w:rsidR="004A5DCB" w:rsidRPr="004D1F05">
        <w:rPr>
          <w:sz w:val="24"/>
          <w:szCs w:val="24"/>
        </w:rPr>
        <w:t>and for purposes of the counter</w:t>
      </w:r>
      <w:r w:rsidR="00A32656" w:rsidRPr="004D1F05">
        <w:rPr>
          <w:sz w:val="24"/>
          <w:szCs w:val="24"/>
        </w:rPr>
        <w:t>-</w:t>
      </w:r>
      <w:r w:rsidR="004A5DCB" w:rsidRPr="004D1F05">
        <w:rPr>
          <w:sz w:val="24"/>
          <w:szCs w:val="24"/>
        </w:rPr>
        <w:t xml:space="preserve">application, </w:t>
      </w:r>
      <w:r w:rsidR="003A0F39" w:rsidRPr="004D1F05">
        <w:rPr>
          <w:sz w:val="24"/>
          <w:szCs w:val="24"/>
        </w:rPr>
        <w:t xml:space="preserve">Marks </w:t>
      </w:r>
      <w:r w:rsidR="004161EB" w:rsidRPr="004D1F05">
        <w:rPr>
          <w:sz w:val="24"/>
          <w:szCs w:val="24"/>
        </w:rPr>
        <w:t xml:space="preserve">firstly submitted that he is a director and shareholder of MTI and </w:t>
      </w:r>
      <w:r w:rsidR="001151D5" w:rsidRPr="004D1F05">
        <w:rPr>
          <w:sz w:val="24"/>
          <w:szCs w:val="24"/>
        </w:rPr>
        <w:t>secondly</w:t>
      </w:r>
      <w:r w:rsidR="008B2FAB">
        <w:rPr>
          <w:sz w:val="24"/>
          <w:szCs w:val="24"/>
        </w:rPr>
        <w:t xml:space="preserve">, </w:t>
      </w:r>
      <w:r w:rsidR="00625598" w:rsidRPr="004D1F05">
        <w:rPr>
          <w:sz w:val="24"/>
          <w:szCs w:val="24"/>
        </w:rPr>
        <w:t>that</w:t>
      </w:r>
      <w:r w:rsidR="00E86A14" w:rsidRPr="004D1F05">
        <w:rPr>
          <w:sz w:val="24"/>
          <w:szCs w:val="24"/>
        </w:rPr>
        <w:t xml:space="preserve"> he acted as a representative of </w:t>
      </w:r>
      <w:r w:rsidR="00A32656" w:rsidRPr="004D1F05">
        <w:rPr>
          <w:sz w:val="24"/>
          <w:szCs w:val="24"/>
        </w:rPr>
        <w:t xml:space="preserve">the </w:t>
      </w:r>
      <w:r w:rsidR="003A0F39" w:rsidRPr="004D1F05">
        <w:rPr>
          <w:sz w:val="24"/>
          <w:szCs w:val="24"/>
        </w:rPr>
        <w:t xml:space="preserve">so-called My </w:t>
      </w:r>
      <w:r w:rsidR="0046752E" w:rsidRPr="004D1F05">
        <w:rPr>
          <w:sz w:val="24"/>
          <w:szCs w:val="24"/>
        </w:rPr>
        <w:t xml:space="preserve">MTI </w:t>
      </w:r>
      <w:r w:rsidR="00542AAB">
        <w:rPr>
          <w:sz w:val="24"/>
          <w:szCs w:val="24"/>
        </w:rPr>
        <w:t>C</w:t>
      </w:r>
      <w:r w:rsidR="007902FE" w:rsidRPr="004D1F05">
        <w:rPr>
          <w:sz w:val="24"/>
          <w:szCs w:val="24"/>
        </w:rPr>
        <w:t>lub</w:t>
      </w:r>
      <w:r w:rsidR="0072369C" w:rsidRPr="004D1F05">
        <w:rPr>
          <w:sz w:val="24"/>
          <w:szCs w:val="24"/>
        </w:rPr>
        <w:t>.</w:t>
      </w:r>
      <w:r w:rsidR="00625598" w:rsidRPr="004D1F05">
        <w:rPr>
          <w:sz w:val="24"/>
          <w:szCs w:val="24"/>
        </w:rPr>
        <w:t xml:space="preserve"> </w:t>
      </w:r>
    </w:p>
    <w:p w14:paraId="0B35580E" w14:textId="46AD66C0" w:rsidR="005604F3" w:rsidRDefault="00560794" w:rsidP="00560794">
      <w:pPr>
        <w:pStyle w:val="BodyText3"/>
        <w:spacing w:after="240" w:line="480" w:lineRule="auto"/>
        <w:rPr>
          <w:sz w:val="24"/>
          <w:szCs w:val="24"/>
        </w:rPr>
      </w:pPr>
      <w:r>
        <w:rPr>
          <w:sz w:val="22"/>
          <w:szCs w:val="22"/>
        </w:rPr>
        <w:t>[54]</w:t>
      </w:r>
      <w:r>
        <w:rPr>
          <w:sz w:val="22"/>
          <w:szCs w:val="22"/>
        </w:rPr>
        <w:tab/>
      </w:r>
      <w:r w:rsidR="00625598" w:rsidRPr="00D01218">
        <w:rPr>
          <w:sz w:val="24"/>
          <w:szCs w:val="24"/>
        </w:rPr>
        <w:t xml:space="preserve">From the investigations by the FSCA and </w:t>
      </w:r>
      <w:r w:rsidR="004B0D22" w:rsidRPr="00D01218">
        <w:rPr>
          <w:sz w:val="24"/>
          <w:szCs w:val="24"/>
        </w:rPr>
        <w:t>information obtained in the s 417/418 enquir</w:t>
      </w:r>
      <w:r w:rsidR="00373B04">
        <w:rPr>
          <w:sz w:val="24"/>
          <w:szCs w:val="24"/>
        </w:rPr>
        <w:t>ies</w:t>
      </w:r>
      <w:r w:rsidR="004B0D22" w:rsidRPr="00D01218">
        <w:rPr>
          <w:sz w:val="24"/>
          <w:szCs w:val="24"/>
        </w:rPr>
        <w:t xml:space="preserve">, it appears that </w:t>
      </w:r>
      <w:r w:rsidR="00644DEF" w:rsidRPr="00D01218">
        <w:rPr>
          <w:sz w:val="24"/>
          <w:szCs w:val="24"/>
        </w:rPr>
        <w:t xml:space="preserve">Steynberg </w:t>
      </w:r>
      <w:r w:rsidR="008878F3" w:rsidRPr="00D01218">
        <w:rPr>
          <w:sz w:val="24"/>
          <w:szCs w:val="24"/>
        </w:rPr>
        <w:t>was</w:t>
      </w:r>
      <w:r w:rsidR="00644DEF" w:rsidRPr="00D01218">
        <w:rPr>
          <w:sz w:val="24"/>
          <w:szCs w:val="24"/>
        </w:rPr>
        <w:t xml:space="preserve"> the only director of MTI registered with CIPC.</w:t>
      </w:r>
      <w:r w:rsidR="008878F3" w:rsidRPr="00D01218">
        <w:rPr>
          <w:sz w:val="24"/>
          <w:szCs w:val="24"/>
        </w:rPr>
        <w:t xml:space="preserve"> T</w:t>
      </w:r>
      <w:r w:rsidR="00644DEF" w:rsidRPr="00D01218">
        <w:rPr>
          <w:sz w:val="24"/>
          <w:szCs w:val="24"/>
        </w:rPr>
        <w:t>he minutes of MTl's board meetings reflect that</w:t>
      </w:r>
      <w:r w:rsidR="00C60AD2">
        <w:rPr>
          <w:sz w:val="24"/>
          <w:szCs w:val="24"/>
        </w:rPr>
        <w:t xml:space="preserve"> f</w:t>
      </w:r>
      <w:r w:rsidR="00644DEF" w:rsidRPr="00D01218">
        <w:rPr>
          <w:sz w:val="24"/>
          <w:szCs w:val="24"/>
        </w:rPr>
        <w:t xml:space="preserve">rom August to December 2020, Steynberg, Marks, Ward and Monica Coetzee collectively acted as the </w:t>
      </w:r>
      <w:r w:rsidR="00644DEF" w:rsidRPr="00D01218">
        <w:rPr>
          <w:i/>
          <w:iCs/>
          <w:sz w:val="24"/>
          <w:szCs w:val="24"/>
        </w:rPr>
        <w:t>de facto</w:t>
      </w:r>
      <w:r w:rsidR="00644DEF" w:rsidRPr="00D01218">
        <w:rPr>
          <w:sz w:val="24"/>
          <w:szCs w:val="24"/>
        </w:rPr>
        <w:t xml:space="preserve"> directors. This </w:t>
      </w:r>
      <w:r w:rsidR="00372D46" w:rsidRPr="00D01218">
        <w:rPr>
          <w:sz w:val="24"/>
          <w:szCs w:val="24"/>
        </w:rPr>
        <w:t xml:space="preserve">was </w:t>
      </w:r>
      <w:r w:rsidR="00644DEF" w:rsidRPr="00D01218">
        <w:rPr>
          <w:sz w:val="24"/>
          <w:szCs w:val="24"/>
        </w:rPr>
        <w:t xml:space="preserve">confirmed by Marks </w:t>
      </w:r>
      <w:r w:rsidR="00372D46" w:rsidRPr="00D01218">
        <w:rPr>
          <w:sz w:val="24"/>
          <w:szCs w:val="24"/>
        </w:rPr>
        <w:t>in his first provisional affidavit</w:t>
      </w:r>
      <w:r w:rsidR="00644DEF" w:rsidRPr="00D01218">
        <w:rPr>
          <w:sz w:val="24"/>
          <w:szCs w:val="24"/>
        </w:rPr>
        <w:t>.</w:t>
      </w:r>
      <w:r w:rsidR="00B73CDE" w:rsidRPr="00D01218">
        <w:rPr>
          <w:sz w:val="24"/>
          <w:szCs w:val="24"/>
        </w:rPr>
        <w:t xml:space="preserve"> At the last recorded meeting of these directors on 15 December 202</w:t>
      </w:r>
      <w:r w:rsidR="00154589" w:rsidRPr="00D01218">
        <w:rPr>
          <w:sz w:val="24"/>
          <w:szCs w:val="24"/>
        </w:rPr>
        <w:t xml:space="preserve">0, it was recorded that when Steynberg </w:t>
      </w:r>
      <w:r w:rsidR="00644DEF" w:rsidRPr="00D01218">
        <w:rPr>
          <w:sz w:val="24"/>
          <w:szCs w:val="24"/>
        </w:rPr>
        <w:t>"</w:t>
      </w:r>
      <w:r w:rsidR="00644DEF" w:rsidRPr="00D01218">
        <w:rPr>
          <w:i/>
          <w:iCs/>
          <w:sz w:val="24"/>
          <w:szCs w:val="24"/>
        </w:rPr>
        <w:t>disappeared on or about 12 December 2020 the de facto board members declined to function in any managerial role within MTI and the management structure effectively came to a grinding halt</w:t>
      </w:r>
      <w:r w:rsidR="00644DEF" w:rsidRPr="00D01218">
        <w:rPr>
          <w:sz w:val="24"/>
          <w:szCs w:val="24"/>
        </w:rPr>
        <w:t>".</w:t>
      </w:r>
    </w:p>
    <w:p w14:paraId="66C6FE8F" w14:textId="2A3176F5" w:rsidR="002D3780" w:rsidRPr="0084791E" w:rsidRDefault="00560794" w:rsidP="00560794">
      <w:pPr>
        <w:pStyle w:val="BodyText3"/>
        <w:spacing w:after="240" w:line="480" w:lineRule="auto"/>
        <w:rPr>
          <w:sz w:val="24"/>
          <w:szCs w:val="24"/>
        </w:rPr>
      </w:pPr>
      <w:r w:rsidRPr="0084791E">
        <w:rPr>
          <w:sz w:val="22"/>
          <w:szCs w:val="22"/>
        </w:rPr>
        <w:lastRenderedPageBreak/>
        <w:t>[55]</w:t>
      </w:r>
      <w:r w:rsidRPr="0084791E">
        <w:rPr>
          <w:sz w:val="22"/>
          <w:szCs w:val="22"/>
        </w:rPr>
        <w:tab/>
      </w:r>
      <w:r w:rsidR="00E2790B" w:rsidRPr="0084791E">
        <w:rPr>
          <w:sz w:val="24"/>
          <w:szCs w:val="24"/>
        </w:rPr>
        <w:t>On Mark</w:t>
      </w:r>
      <w:r w:rsidR="00486FA1" w:rsidRPr="0084791E">
        <w:rPr>
          <w:sz w:val="24"/>
          <w:szCs w:val="24"/>
        </w:rPr>
        <w:t>s</w:t>
      </w:r>
      <w:r w:rsidR="00084E1F" w:rsidRPr="0084791E">
        <w:rPr>
          <w:sz w:val="24"/>
          <w:szCs w:val="24"/>
        </w:rPr>
        <w:t>’s</w:t>
      </w:r>
      <w:r w:rsidR="00E2790B" w:rsidRPr="0084791E">
        <w:rPr>
          <w:sz w:val="24"/>
          <w:szCs w:val="24"/>
        </w:rPr>
        <w:t xml:space="preserve"> </w:t>
      </w:r>
      <w:r w:rsidR="00845E92" w:rsidRPr="0084791E">
        <w:rPr>
          <w:sz w:val="24"/>
          <w:szCs w:val="24"/>
        </w:rPr>
        <w:t xml:space="preserve">own </w:t>
      </w:r>
      <w:r w:rsidR="00E2790B" w:rsidRPr="0084791E">
        <w:rPr>
          <w:sz w:val="24"/>
          <w:szCs w:val="24"/>
        </w:rPr>
        <w:t>version, he was no longer a director of MTI as from 12 December 202</w:t>
      </w:r>
      <w:r w:rsidR="001370F6" w:rsidRPr="0084791E">
        <w:rPr>
          <w:sz w:val="24"/>
          <w:szCs w:val="24"/>
        </w:rPr>
        <w:t>0</w:t>
      </w:r>
      <w:r w:rsidR="00F2731A" w:rsidRPr="0084791E">
        <w:rPr>
          <w:sz w:val="24"/>
          <w:szCs w:val="24"/>
        </w:rPr>
        <w:t xml:space="preserve"> and on </w:t>
      </w:r>
      <w:r w:rsidR="00486FA1" w:rsidRPr="0084791E">
        <w:rPr>
          <w:sz w:val="24"/>
          <w:szCs w:val="24"/>
        </w:rPr>
        <w:t xml:space="preserve">the issue of whether </w:t>
      </w:r>
      <w:r w:rsidR="00AC5D75" w:rsidRPr="0084791E">
        <w:rPr>
          <w:sz w:val="24"/>
          <w:szCs w:val="24"/>
        </w:rPr>
        <w:t xml:space="preserve">he </w:t>
      </w:r>
      <w:r w:rsidR="005A170C" w:rsidRPr="0084791E">
        <w:rPr>
          <w:sz w:val="24"/>
          <w:szCs w:val="24"/>
        </w:rPr>
        <w:t>is a shareholder of MTI</w:t>
      </w:r>
      <w:r w:rsidR="00AC5D75" w:rsidRPr="0084791E">
        <w:rPr>
          <w:sz w:val="24"/>
          <w:szCs w:val="24"/>
        </w:rPr>
        <w:t xml:space="preserve">, </w:t>
      </w:r>
      <w:r w:rsidR="005A170C" w:rsidRPr="0084791E">
        <w:rPr>
          <w:sz w:val="24"/>
          <w:szCs w:val="24"/>
        </w:rPr>
        <w:t>it is noted that</w:t>
      </w:r>
      <w:r w:rsidR="00B72FB4" w:rsidRPr="0084791E">
        <w:rPr>
          <w:sz w:val="24"/>
          <w:szCs w:val="24"/>
        </w:rPr>
        <w:t xml:space="preserve"> </w:t>
      </w:r>
      <w:r w:rsidR="00566470" w:rsidRPr="0084791E">
        <w:rPr>
          <w:sz w:val="24"/>
          <w:szCs w:val="24"/>
        </w:rPr>
        <w:t xml:space="preserve">it </w:t>
      </w:r>
      <w:r w:rsidR="00031C50" w:rsidRPr="0084791E">
        <w:rPr>
          <w:sz w:val="24"/>
          <w:szCs w:val="24"/>
        </w:rPr>
        <w:t xml:space="preserve">now appears to that the applicants </w:t>
      </w:r>
      <w:r w:rsidR="00F12497" w:rsidRPr="0084791E">
        <w:rPr>
          <w:sz w:val="24"/>
          <w:szCs w:val="24"/>
        </w:rPr>
        <w:t xml:space="preserve">acknowledge that </w:t>
      </w:r>
      <w:r w:rsidR="00031C50" w:rsidRPr="0084791E">
        <w:rPr>
          <w:sz w:val="24"/>
          <w:szCs w:val="24"/>
        </w:rPr>
        <w:t>Marks was a shareholder of MTI</w:t>
      </w:r>
      <w:r w:rsidR="00CC2A00" w:rsidRPr="0084791E">
        <w:rPr>
          <w:sz w:val="24"/>
          <w:szCs w:val="24"/>
        </w:rPr>
        <w:t>.</w:t>
      </w:r>
      <w:r w:rsidR="00CC2A00" w:rsidRPr="00186BF8">
        <w:rPr>
          <w:rStyle w:val="FootnoteReference"/>
          <w:sz w:val="24"/>
          <w:szCs w:val="24"/>
        </w:rPr>
        <w:footnoteReference w:id="31"/>
      </w:r>
      <w:r w:rsidR="00084E1F" w:rsidRPr="0084791E">
        <w:rPr>
          <w:sz w:val="24"/>
          <w:szCs w:val="24"/>
        </w:rPr>
        <w:t xml:space="preserve"> </w:t>
      </w:r>
      <w:r w:rsidR="00F12497" w:rsidRPr="0084791E">
        <w:rPr>
          <w:sz w:val="24"/>
          <w:szCs w:val="24"/>
        </w:rPr>
        <w:t xml:space="preserve">Whether or not Marks was a shareholder of MTI </w:t>
      </w:r>
      <w:r w:rsidR="00141EAD" w:rsidRPr="0084791E">
        <w:rPr>
          <w:sz w:val="24"/>
          <w:szCs w:val="24"/>
        </w:rPr>
        <w:t xml:space="preserve">is of no relevance for purposes of determining the relief claimed herein and as aforesaid, he was joined </w:t>
      </w:r>
      <w:r w:rsidR="003B5DDE" w:rsidRPr="0084791E">
        <w:rPr>
          <w:sz w:val="24"/>
          <w:szCs w:val="24"/>
        </w:rPr>
        <w:t>by</w:t>
      </w:r>
      <w:r w:rsidR="0084791E" w:rsidRPr="0084791E">
        <w:rPr>
          <w:sz w:val="24"/>
          <w:szCs w:val="24"/>
        </w:rPr>
        <w:t xml:space="preserve"> </w:t>
      </w:r>
      <w:r w:rsidR="003B5DDE" w:rsidRPr="0084791E">
        <w:rPr>
          <w:sz w:val="24"/>
          <w:szCs w:val="24"/>
        </w:rPr>
        <w:t>agreement between the parties as a respondent in these proceedings.</w:t>
      </w:r>
      <w:r w:rsidR="006128E1" w:rsidRPr="0084791E">
        <w:rPr>
          <w:sz w:val="24"/>
          <w:szCs w:val="24"/>
        </w:rPr>
        <w:t xml:space="preserve"> It is however </w:t>
      </w:r>
      <w:r w:rsidR="002177B3" w:rsidRPr="0084791E">
        <w:rPr>
          <w:sz w:val="24"/>
          <w:szCs w:val="24"/>
        </w:rPr>
        <w:t xml:space="preserve">difficult to understand how </w:t>
      </w:r>
      <w:r w:rsidR="00644DEF" w:rsidRPr="0084791E">
        <w:rPr>
          <w:sz w:val="24"/>
          <w:szCs w:val="24"/>
        </w:rPr>
        <w:t>Marks</w:t>
      </w:r>
      <w:r w:rsidR="002177B3" w:rsidRPr="0084791E">
        <w:rPr>
          <w:sz w:val="24"/>
          <w:szCs w:val="24"/>
        </w:rPr>
        <w:t xml:space="preserve">, in the absence of Steynberg, could have appointed himself as </w:t>
      </w:r>
      <w:r w:rsidR="002279FE" w:rsidRPr="0084791E">
        <w:rPr>
          <w:sz w:val="24"/>
          <w:szCs w:val="24"/>
        </w:rPr>
        <w:t xml:space="preserve">the only director of MTI and how </w:t>
      </w:r>
      <w:r w:rsidR="00200CDB" w:rsidRPr="0084791E">
        <w:rPr>
          <w:sz w:val="24"/>
          <w:szCs w:val="24"/>
        </w:rPr>
        <w:t>he</w:t>
      </w:r>
      <w:r w:rsidR="001E3024" w:rsidRPr="0084791E">
        <w:rPr>
          <w:sz w:val="24"/>
          <w:szCs w:val="24"/>
        </w:rPr>
        <w:t xml:space="preserve">, on his own version, </w:t>
      </w:r>
      <w:r w:rsidR="00554E8B" w:rsidRPr="0084791E">
        <w:rPr>
          <w:sz w:val="24"/>
          <w:szCs w:val="24"/>
        </w:rPr>
        <w:t xml:space="preserve">has </w:t>
      </w:r>
      <w:r w:rsidR="002279FE" w:rsidRPr="0084791E">
        <w:rPr>
          <w:sz w:val="24"/>
          <w:szCs w:val="24"/>
        </w:rPr>
        <w:t>any authority t</w:t>
      </w:r>
      <w:r w:rsidR="008B2FAB" w:rsidRPr="0084791E">
        <w:rPr>
          <w:sz w:val="24"/>
          <w:szCs w:val="24"/>
        </w:rPr>
        <w:t>o</w:t>
      </w:r>
      <w:r w:rsidR="002279FE" w:rsidRPr="0084791E">
        <w:rPr>
          <w:sz w:val="24"/>
          <w:szCs w:val="24"/>
        </w:rPr>
        <w:t xml:space="preserve"> represent MTI </w:t>
      </w:r>
      <w:r w:rsidR="00554E8B" w:rsidRPr="0084791E">
        <w:rPr>
          <w:sz w:val="24"/>
          <w:szCs w:val="24"/>
        </w:rPr>
        <w:t xml:space="preserve">or any of the investors </w:t>
      </w:r>
      <w:r w:rsidR="002279FE" w:rsidRPr="0084791E">
        <w:rPr>
          <w:sz w:val="24"/>
          <w:szCs w:val="24"/>
        </w:rPr>
        <w:t>in these proceedings.</w:t>
      </w:r>
      <w:r w:rsidR="00BF2C97" w:rsidRPr="0084791E">
        <w:rPr>
          <w:sz w:val="24"/>
          <w:szCs w:val="24"/>
        </w:rPr>
        <w:t xml:space="preserve"> </w:t>
      </w:r>
      <w:r w:rsidR="00716200" w:rsidRPr="0084791E">
        <w:rPr>
          <w:sz w:val="24"/>
          <w:szCs w:val="24"/>
        </w:rPr>
        <w:t xml:space="preserve">If </w:t>
      </w:r>
      <w:r w:rsidR="00BF2C97" w:rsidRPr="0084791E">
        <w:rPr>
          <w:sz w:val="24"/>
          <w:szCs w:val="24"/>
        </w:rPr>
        <w:t>Marks</w:t>
      </w:r>
      <w:r w:rsidR="00AE7311" w:rsidRPr="0084791E">
        <w:rPr>
          <w:sz w:val="24"/>
          <w:szCs w:val="24"/>
        </w:rPr>
        <w:t xml:space="preserve"> was indeed a director of MTI, </w:t>
      </w:r>
      <w:r w:rsidR="00484C8C" w:rsidRPr="0084791E">
        <w:rPr>
          <w:sz w:val="24"/>
          <w:szCs w:val="24"/>
        </w:rPr>
        <w:t xml:space="preserve">he had dismally failed to fulfil his duties as a director and there is further a conflict of interest between </w:t>
      </w:r>
      <w:r w:rsidR="00164389" w:rsidRPr="0084791E">
        <w:rPr>
          <w:sz w:val="24"/>
          <w:szCs w:val="24"/>
        </w:rPr>
        <w:t xml:space="preserve">him and other investors, </w:t>
      </w:r>
      <w:r w:rsidR="00807198" w:rsidRPr="0084791E">
        <w:rPr>
          <w:sz w:val="24"/>
          <w:szCs w:val="24"/>
        </w:rPr>
        <w:t>similar to what the SCA had found in Fourie N</w:t>
      </w:r>
      <w:r w:rsidR="00E25531" w:rsidRPr="0084791E">
        <w:rPr>
          <w:sz w:val="24"/>
          <w:szCs w:val="24"/>
        </w:rPr>
        <w:t>O</w:t>
      </w:r>
      <w:r w:rsidR="00807198" w:rsidRPr="0084791E">
        <w:rPr>
          <w:sz w:val="24"/>
          <w:szCs w:val="24"/>
        </w:rPr>
        <w:t xml:space="preserve"> (</w:t>
      </w:r>
      <w:r w:rsidR="008B2FAB" w:rsidRPr="0084791E">
        <w:rPr>
          <w:i/>
          <w:iCs/>
          <w:sz w:val="24"/>
          <w:szCs w:val="24"/>
        </w:rPr>
        <w:t>supra</w:t>
      </w:r>
      <w:r w:rsidR="00807198" w:rsidRPr="0084791E">
        <w:rPr>
          <w:sz w:val="24"/>
          <w:szCs w:val="24"/>
        </w:rPr>
        <w:t>)</w:t>
      </w:r>
      <w:r w:rsidR="00E25531" w:rsidRPr="0084791E">
        <w:rPr>
          <w:sz w:val="24"/>
          <w:szCs w:val="24"/>
        </w:rPr>
        <w:t>.</w:t>
      </w:r>
      <w:r w:rsidR="002D3780" w:rsidRPr="0084791E">
        <w:rPr>
          <w:sz w:val="24"/>
          <w:szCs w:val="24"/>
        </w:rPr>
        <w:t xml:space="preserve"> </w:t>
      </w:r>
    </w:p>
    <w:p w14:paraId="7E4A2749" w14:textId="0E3534A6" w:rsidR="00E7111D" w:rsidRPr="00084E1F" w:rsidRDefault="00560794" w:rsidP="00560794">
      <w:pPr>
        <w:pStyle w:val="BodyText3"/>
        <w:spacing w:after="240" w:line="480" w:lineRule="auto"/>
        <w:rPr>
          <w:sz w:val="24"/>
          <w:szCs w:val="24"/>
        </w:rPr>
      </w:pPr>
      <w:r w:rsidRPr="00084E1F">
        <w:rPr>
          <w:sz w:val="22"/>
          <w:szCs w:val="22"/>
        </w:rPr>
        <w:t>[56]</w:t>
      </w:r>
      <w:r w:rsidRPr="00084E1F">
        <w:rPr>
          <w:sz w:val="22"/>
          <w:szCs w:val="22"/>
        </w:rPr>
        <w:tab/>
      </w:r>
      <w:r w:rsidR="00362657">
        <w:rPr>
          <w:sz w:val="24"/>
          <w:szCs w:val="24"/>
        </w:rPr>
        <w:t>Whether Marks is a creditor of MTI is also debatable. On the available information</w:t>
      </w:r>
      <w:r w:rsidR="00B67D5B">
        <w:rPr>
          <w:sz w:val="24"/>
          <w:szCs w:val="24"/>
        </w:rPr>
        <w:t xml:space="preserve">, Marks had held </w:t>
      </w:r>
      <w:r w:rsidR="00D441BA" w:rsidRPr="004A4BE0">
        <w:rPr>
          <w:sz w:val="24"/>
          <w:szCs w:val="24"/>
        </w:rPr>
        <w:t xml:space="preserve">at least </w:t>
      </w:r>
      <w:r w:rsidR="002D3780" w:rsidRPr="004A4BE0">
        <w:rPr>
          <w:sz w:val="24"/>
          <w:szCs w:val="24"/>
        </w:rPr>
        <w:t xml:space="preserve">two accounts </w:t>
      </w:r>
      <w:r w:rsidR="001A5514" w:rsidRPr="004A4BE0">
        <w:rPr>
          <w:sz w:val="24"/>
          <w:szCs w:val="24"/>
        </w:rPr>
        <w:t xml:space="preserve">in his name, </w:t>
      </w:r>
      <w:r w:rsidR="002D3780" w:rsidRPr="004A4BE0">
        <w:rPr>
          <w:sz w:val="24"/>
          <w:szCs w:val="24"/>
        </w:rPr>
        <w:t xml:space="preserve">being account numbers 7176010 and 2306852. Based on the rand value of </w:t>
      </w:r>
      <w:r w:rsidR="001A5514" w:rsidRPr="004A4BE0">
        <w:rPr>
          <w:sz w:val="24"/>
          <w:szCs w:val="24"/>
        </w:rPr>
        <w:t>b</w:t>
      </w:r>
      <w:r w:rsidR="002D3780" w:rsidRPr="004A4BE0">
        <w:rPr>
          <w:sz w:val="24"/>
          <w:szCs w:val="24"/>
        </w:rPr>
        <w:t xml:space="preserve">itcoin on the respective dates when the relevant </w:t>
      </w:r>
      <w:r w:rsidR="00C937D2" w:rsidRPr="004A4BE0">
        <w:rPr>
          <w:sz w:val="24"/>
          <w:szCs w:val="24"/>
        </w:rPr>
        <w:t>b</w:t>
      </w:r>
      <w:r w:rsidR="002D3780" w:rsidRPr="004A4BE0">
        <w:rPr>
          <w:sz w:val="24"/>
          <w:szCs w:val="24"/>
        </w:rPr>
        <w:t>itcoin was deposited and withdrawn, Marks profited from this investment with MTI in an amount of at least R34,334,133.09.</w:t>
      </w:r>
      <w:r w:rsidR="0088695C" w:rsidRPr="004A4BE0">
        <w:rPr>
          <w:sz w:val="24"/>
          <w:szCs w:val="24"/>
        </w:rPr>
        <w:t xml:space="preserve"> </w:t>
      </w:r>
      <w:r w:rsidR="00E7111D">
        <w:rPr>
          <w:sz w:val="24"/>
          <w:szCs w:val="24"/>
        </w:rPr>
        <w:t xml:space="preserve"> I however accept that there exists a dispute of fact in respect of the accuracy of the </w:t>
      </w:r>
      <w:r w:rsidR="00084E1F">
        <w:rPr>
          <w:sz w:val="24"/>
          <w:szCs w:val="24"/>
        </w:rPr>
        <w:t>back-office</w:t>
      </w:r>
      <w:r w:rsidR="00E7111D">
        <w:rPr>
          <w:sz w:val="24"/>
          <w:szCs w:val="24"/>
        </w:rPr>
        <w:t xml:space="preserve"> data</w:t>
      </w:r>
      <w:r w:rsidR="00084E1F">
        <w:rPr>
          <w:sz w:val="24"/>
          <w:szCs w:val="24"/>
        </w:rPr>
        <w:t xml:space="preserve"> to which I will return.</w:t>
      </w:r>
    </w:p>
    <w:p w14:paraId="2E5B37DA" w14:textId="1B1EF8A3" w:rsidR="00CB3865" w:rsidRPr="001973E9" w:rsidRDefault="00560794" w:rsidP="00560794">
      <w:pPr>
        <w:pStyle w:val="BodyText3"/>
        <w:spacing w:after="240" w:line="480" w:lineRule="auto"/>
        <w:rPr>
          <w:sz w:val="24"/>
          <w:szCs w:val="24"/>
        </w:rPr>
      </w:pPr>
      <w:r w:rsidRPr="001973E9">
        <w:rPr>
          <w:sz w:val="22"/>
          <w:szCs w:val="22"/>
        </w:rPr>
        <w:t>[57]</w:t>
      </w:r>
      <w:r w:rsidRPr="001973E9">
        <w:rPr>
          <w:sz w:val="22"/>
          <w:szCs w:val="22"/>
        </w:rPr>
        <w:tab/>
      </w:r>
      <w:r w:rsidR="00C14975" w:rsidRPr="001973E9">
        <w:rPr>
          <w:sz w:val="24"/>
          <w:szCs w:val="24"/>
        </w:rPr>
        <w:t xml:space="preserve">Whatever his status, </w:t>
      </w:r>
      <w:r w:rsidR="00644DEF" w:rsidRPr="001973E9">
        <w:rPr>
          <w:sz w:val="24"/>
          <w:szCs w:val="24"/>
        </w:rPr>
        <w:t>Marks</w:t>
      </w:r>
      <w:r w:rsidR="00C14C5B" w:rsidRPr="001973E9">
        <w:rPr>
          <w:sz w:val="24"/>
          <w:szCs w:val="24"/>
        </w:rPr>
        <w:t xml:space="preserve">, on his </w:t>
      </w:r>
      <w:r w:rsidR="00CE254C" w:rsidRPr="001973E9">
        <w:rPr>
          <w:sz w:val="24"/>
          <w:szCs w:val="24"/>
        </w:rPr>
        <w:t xml:space="preserve">version, </w:t>
      </w:r>
      <w:r w:rsidR="00644DEF" w:rsidRPr="001973E9">
        <w:rPr>
          <w:sz w:val="24"/>
          <w:szCs w:val="24"/>
        </w:rPr>
        <w:t xml:space="preserve">has no first-hand knowledge (or any knowledge) of material information relating to MTI, such as the alleged trading conducted on behalf of MTI, </w:t>
      </w:r>
      <w:r w:rsidR="00F9530E" w:rsidRPr="001973E9">
        <w:rPr>
          <w:sz w:val="24"/>
          <w:szCs w:val="24"/>
        </w:rPr>
        <w:t xml:space="preserve">whether the artificial intelligence bot existed and was used for trading </w:t>
      </w:r>
      <w:r w:rsidR="00E7111D" w:rsidRPr="001973E9">
        <w:rPr>
          <w:sz w:val="24"/>
          <w:szCs w:val="24"/>
        </w:rPr>
        <w:t xml:space="preserve">as </w:t>
      </w:r>
      <w:r w:rsidR="00F9530E" w:rsidRPr="001973E9">
        <w:rPr>
          <w:sz w:val="24"/>
          <w:szCs w:val="24"/>
        </w:rPr>
        <w:t xml:space="preserve">alleged, </w:t>
      </w:r>
      <w:r w:rsidR="00644DEF" w:rsidRPr="001973E9">
        <w:rPr>
          <w:sz w:val="24"/>
          <w:szCs w:val="24"/>
        </w:rPr>
        <w:t xml:space="preserve">the wallets in which </w:t>
      </w:r>
      <w:r w:rsidR="00AF5373" w:rsidRPr="001973E9">
        <w:rPr>
          <w:sz w:val="24"/>
          <w:szCs w:val="24"/>
        </w:rPr>
        <w:t>b</w:t>
      </w:r>
      <w:r w:rsidR="00644DEF" w:rsidRPr="001973E9">
        <w:rPr>
          <w:sz w:val="24"/>
          <w:szCs w:val="24"/>
        </w:rPr>
        <w:t xml:space="preserve">itcoin received from members were held, </w:t>
      </w:r>
      <w:r w:rsidR="00272D22" w:rsidRPr="001973E9">
        <w:rPr>
          <w:sz w:val="24"/>
          <w:szCs w:val="24"/>
        </w:rPr>
        <w:t xml:space="preserve">the </w:t>
      </w:r>
      <w:r w:rsidR="00644DEF" w:rsidRPr="001973E9">
        <w:rPr>
          <w:sz w:val="24"/>
          <w:szCs w:val="24"/>
        </w:rPr>
        <w:t xml:space="preserve">transfer of </w:t>
      </w:r>
      <w:r w:rsidR="00AF5373" w:rsidRPr="001973E9">
        <w:rPr>
          <w:sz w:val="24"/>
          <w:szCs w:val="24"/>
        </w:rPr>
        <w:t>b</w:t>
      </w:r>
      <w:r w:rsidR="00644DEF" w:rsidRPr="001973E9">
        <w:rPr>
          <w:sz w:val="24"/>
          <w:szCs w:val="24"/>
        </w:rPr>
        <w:t>itcoin by MTI to traders or brokers, the existence of Trade 300</w:t>
      </w:r>
      <w:r w:rsidR="00B3322F" w:rsidRPr="001973E9">
        <w:rPr>
          <w:sz w:val="24"/>
          <w:szCs w:val="24"/>
        </w:rPr>
        <w:t xml:space="preserve"> </w:t>
      </w:r>
      <w:r w:rsidR="00644DEF" w:rsidRPr="001973E9">
        <w:rPr>
          <w:sz w:val="24"/>
          <w:szCs w:val="24"/>
        </w:rPr>
        <w:lastRenderedPageBreak/>
        <w:t xml:space="preserve">and, crucially, the whereabouts or total of the balance of </w:t>
      </w:r>
      <w:r w:rsidR="00AF5373" w:rsidRPr="001973E9">
        <w:rPr>
          <w:sz w:val="24"/>
          <w:szCs w:val="24"/>
        </w:rPr>
        <w:t>b</w:t>
      </w:r>
      <w:r w:rsidR="00644DEF" w:rsidRPr="001973E9">
        <w:rPr>
          <w:sz w:val="24"/>
          <w:szCs w:val="24"/>
        </w:rPr>
        <w:t xml:space="preserve">itcoin received from </w:t>
      </w:r>
      <w:r w:rsidR="00373B04" w:rsidRPr="001973E9">
        <w:rPr>
          <w:sz w:val="24"/>
          <w:szCs w:val="24"/>
        </w:rPr>
        <w:t>investors</w:t>
      </w:r>
      <w:r w:rsidR="00644DEF" w:rsidRPr="001973E9">
        <w:rPr>
          <w:sz w:val="24"/>
          <w:szCs w:val="24"/>
        </w:rPr>
        <w:t>.</w:t>
      </w:r>
      <w:r w:rsidR="00C14C5B" w:rsidRPr="001973E9">
        <w:rPr>
          <w:sz w:val="24"/>
          <w:szCs w:val="24"/>
        </w:rPr>
        <w:t xml:space="preserve"> He further has </w:t>
      </w:r>
      <w:r w:rsidR="00644DEF" w:rsidRPr="001973E9">
        <w:rPr>
          <w:sz w:val="24"/>
          <w:szCs w:val="24"/>
        </w:rPr>
        <w:t xml:space="preserve">no expertise in trading and </w:t>
      </w:r>
      <w:r w:rsidR="00B3322F" w:rsidRPr="001973E9">
        <w:rPr>
          <w:sz w:val="24"/>
          <w:szCs w:val="24"/>
        </w:rPr>
        <w:t>artificial intelligent bots</w:t>
      </w:r>
      <w:r w:rsidR="00644DEF" w:rsidRPr="001973E9">
        <w:rPr>
          <w:sz w:val="24"/>
          <w:szCs w:val="24"/>
        </w:rPr>
        <w:t>.</w:t>
      </w:r>
      <w:r w:rsidR="00FA2904" w:rsidRPr="001973E9">
        <w:rPr>
          <w:sz w:val="24"/>
          <w:szCs w:val="24"/>
        </w:rPr>
        <w:t xml:space="preserve"> </w:t>
      </w:r>
      <w:r w:rsidR="00D3542F" w:rsidRPr="001973E9">
        <w:rPr>
          <w:sz w:val="24"/>
          <w:szCs w:val="24"/>
        </w:rPr>
        <w:t xml:space="preserve">From a </w:t>
      </w:r>
      <w:r w:rsidR="00FC1E9B" w:rsidRPr="001973E9">
        <w:rPr>
          <w:sz w:val="24"/>
          <w:szCs w:val="24"/>
        </w:rPr>
        <w:t>perusal of MTl's terms and conditions</w:t>
      </w:r>
      <w:r w:rsidR="00D3542F" w:rsidRPr="001973E9">
        <w:rPr>
          <w:sz w:val="24"/>
          <w:szCs w:val="24"/>
        </w:rPr>
        <w:t>,</w:t>
      </w:r>
      <w:r w:rsidR="00FC1E9B" w:rsidRPr="001973E9">
        <w:rPr>
          <w:sz w:val="24"/>
          <w:szCs w:val="24"/>
        </w:rPr>
        <w:t xml:space="preserve"> </w:t>
      </w:r>
      <w:r w:rsidR="00B72CB9" w:rsidRPr="001973E9">
        <w:rPr>
          <w:sz w:val="24"/>
          <w:szCs w:val="24"/>
        </w:rPr>
        <w:t xml:space="preserve">it is apparent that </w:t>
      </w:r>
      <w:r w:rsidR="0063008C" w:rsidRPr="001973E9">
        <w:rPr>
          <w:sz w:val="24"/>
          <w:szCs w:val="24"/>
        </w:rPr>
        <w:t xml:space="preserve">the My MTI </w:t>
      </w:r>
      <w:r w:rsidR="0014482D">
        <w:rPr>
          <w:sz w:val="24"/>
          <w:szCs w:val="24"/>
        </w:rPr>
        <w:t>C</w:t>
      </w:r>
      <w:r w:rsidR="0063008C" w:rsidRPr="001973E9">
        <w:rPr>
          <w:sz w:val="24"/>
          <w:szCs w:val="24"/>
        </w:rPr>
        <w:t xml:space="preserve">lub is not </w:t>
      </w:r>
      <w:r w:rsidR="00FC1E9B" w:rsidRPr="001973E9">
        <w:rPr>
          <w:sz w:val="24"/>
          <w:szCs w:val="24"/>
        </w:rPr>
        <w:t>an entity separate from MTI</w:t>
      </w:r>
      <w:r w:rsidR="00D3542F" w:rsidRPr="001973E9">
        <w:rPr>
          <w:sz w:val="24"/>
          <w:szCs w:val="24"/>
        </w:rPr>
        <w:t xml:space="preserve"> as </w:t>
      </w:r>
      <w:r w:rsidR="00C0762F" w:rsidRPr="001973E9">
        <w:rPr>
          <w:sz w:val="24"/>
          <w:szCs w:val="24"/>
        </w:rPr>
        <w:t xml:space="preserve">MTI </w:t>
      </w:r>
      <w:r w:rsidR="00D3542F" w:rsidRPr="001973E9">
        <w:rPr>
          <w:sz w:val="24"/>
          <w:szCs w:val="24"/>
        </w:rPr>
        <w:t xml:space="preserve">had </w:t>
      </w:r>
      <w:r w:rsidR="00FC1E9B" w:rsidRPr="001973E9">
        <w:rPr>
          <w:sz w:val="24"/>
          <w:szCs w:val="24"/>
        </w:rPr>
        <w:t>reserved the prerogative to amend the terms and conditions</w:t>
      </w:r>
      <w:r w:rsidR="00373B04" w:rsidRPr="001973E9">
        <w:rPr>
          <w:sz w:val="24"/>
          <w:szCs w:val="24"/>
        </w:rPr>
        <w:t xml:space="preserve"> </w:t>
      </w:r>
      <w:r w:rsidR="00406A1C" w:rsidRPr="001973E9">
        <w:rPr>
          <w:sz w:val="24"/>
          <w:szCs w:val="24"/>
        </w:rPr>
        <w:t>u</w:t>
      </w:r>
      <w:r w:rsidR="00FC1E9B" w:rsidRPr="001973E9">
        <w:rPr>
          <w:sz w:val="24"/>
          <w:szCs w:val="24"/>
        </w:rPr>
        <w:t>nilaterally</w:t>
      </w:r>
      <w:r w:rsidR="00C0762F" w:rsidRPr="001973E9">
        <w:rPr>
          <w:sz w:val="24"/>
          <w:szCs w:val="24"/>
        </w:rPr>
        <w:t xml:space="preserve"> </w:t>
      </w:r>
      <w:r w:rsidR="00373B04" w:rsidRPr="001973E9">
        <w:rPr>
          <w:sz w:val="24"/>
          <w:szCs w:val="24"/>
        </w:rPr>
        <w:t xml:space="preserve">and to even </w:t>
      </w:r>
      <w:r w:rsidR="00FC1E9B" w:rsidRPr="001973E9">
        <w:rPr>
          <w:sz w:val="24"/>
          <w:szCs w:val="24"/>
        </w:rPr>
        <w:t xml:space="preserve">reject a "sponsor'' application without stating </w:t>
      </w:r>
      <w:r w:rsidR="00406A1C" w:rsidRPr="001973E9">
        <w:rPr>
          <w:sz w:val="24"/>
          <w:szCs w:val="24"/>
        </w:rPr>
        <w:t>r</w:t>
      </w:r>
      <w:r w:rsidR="00FC1E9B" w:rsidRPr="001973E9">
        <w:rPr>
          <w:sz w:val="24"/>
          <w:szCs w:val="24"/>
        </w:rPr>
        <w:t>easons.</w:t>
      </w:r>
    </w:p>
    <w:p w14:paraId="5F5CDC5C" w14:textId="255A7A9F" w:rsidR="00FC1E9B" w:rsidRPr="00CB3865" w:rsidRDefault="00560794" w:rsidP="00560794">
      <w:pPr>
        <w:pStyle w:val="BodyText3"/>
        <w:spacing w:after="240" w:line="480" w:lineRule="auto"/>
        <w:rPr>
          <w:sz w:val="24"/>
          <w:szCs w:val="24"/>
        </w:rPr>
      </w:pPr>
      <w:r w:rsidRPr="00CB3865">
        <w:rPr>
          <w:sz w:val="22"/>
          <w:szCs w:val="22"/>
        </w:rPr>
        <w:t>[58]</w:t>
      </w:r>
      <w:r w:rsidRPr="00CB3865">
        <w:rPr>
          <w:sz w:val="22"/>
          <w:szCs w:val="22"/>
        </w:rPr>
        <w:tab/>
      </w:r>
      <w:r w:rsidR="00FC1E9B" w:rsidRPr="00CB3865">
        <w:rPr>
          <w:sz w:val="24"/>
          <w:szCs w:val="24"/>
        </w:rPr>
        <w:t>It was further alleged, and not disputed that the M</w:t>
      </w:r>
      <w:r w:rsidR="000A0F33" w:rsidRPr="00CB3865">
        <w:rPr>
          <w:sz w:val="24"/>
          <w:szCs w:val="24"/>
        </w:rPr>
        <w:t>y</w:t>
      </w:r>
      <w:r w:rsidR="00FC1E9B" w:rsidRPr="00CB3865">
        <w:rPr>
          <w:sz w:val="24"/>
          <w:szCs w:val="24"/>
        </w:rPr>
        <w:t xml:space="preserve"> MTI </w:t>
      </w:r>
      <w:r w:rsidR="00DB5C43">
        <w:rPr>
          <w:sz w:val="24"/>
          <w:szCs w:val="24"/>
        </w:rPr>
        <w:t>C</w:t>
      </w:r>
      <w:r w:rsidR="000A0F33" w:rsidRPr="00CB3865">
        <w:rPr>
          <w:sz w:val="24"/>
          <w:szCs w:val="24"/>
        </w:rPr>
        <w:t>lub h</w:t>
      </w:r>
      <w:r w:rsidR="00FC1E9B" w:rsidRPr="00CB3865">
        <w:rPr>
          <w:sz w:val="24"/>
          <w:szCs w:val="24"/>
        </w:rPr>
        <w:t>as not been registered or formed in terms of another law as required by section 8(3) of the 2008 Companies Act and, as a result, it cannot exist as a separate legal entity</w:t>
      </w:r>
      <w:r w:rsidR="00607321">
        <w:rPr>
          <w:rStyle w:val="FootnoteReference"/>
          <w:sz w:val="24"/>
          <w:szCs w:val="24"/>
        </w:rPr>
        <w:footnoteReference w:id="32"/>
      </w:r>
      <w:r w:rsidR="00FC1E9B" w:rsidRPr="00CB3865">
        <w:rPr>
          <w:sz w:val="24"/>
          <w:szCs w:val="24"/>
        </w:rPr>
        <w:t xml:space="preserve">. </w:t>
      </w:r>
    </w:p>
    <w:p w14:paraId="2E7E992E" w14:textId="3A7E9658" w:rsidR="00373B04" w:rsidRDefault="00560794" w:rsidP="00560794">
      <w:pPr>
        <w:pStyle w:val="BodyText3"/>
        <w:spacing w:after="240" w:line="480" w:lineRule="auto"/>
        <w:rPr>
          <w:sz w:val="24"/>
          <w:szCs w:val="24"/>
        </w:rPr>
      </w:pPr>
      <w:r>
        <w:rPr>
          <w:sz w:val="22"/>
          <w:szCs w:val="22"/>
        </w:rPr>
        <w:t>[59]</w:t>
      </w:r>
      <w:r>
        <w:rPr>
          <w:sz w:val="22"/>
          <w:szCs w:val="22"/>
        </w:rPr>
        <w:tab/>
      </w:r>
      <w:r w:rsidR="009E095C">
        <w:rPr>
          <w:sz w:val="24"/>
          <w:szCs w:val="24"/>
        </w:rPr>
        <w:t>For th</w:t>
      </w:r>
      <w:r w:rsidR="00CB3865">
        <w:rPr>
          <w:sz w:val="24"/>
          <w:szCs w:val="24"/>
        </w:rPr>
        <w:t>e</w:t>
      </w:r>
      <w:r w:rsidR="009E095C">
        <w:rPr>
          <w:sz w:val="24"/>
          <w:szCs w:val="24"/>
        </w:rPr>
        <w:t xml:space="preserve"> </w:t>
      </w:r>
      <w:r w:rsidR="00373B04">
        <w:rPr>
          <w:sz w:val="24"/>
          <w:szCs w:val="24"/>
        </w:rPr>
        <w:t xml:space="preserve">aforesaid reasons, </w:t>
      </w:r>
      <w:r w:rsidR="00DB5C43">
        <w:rPr>
          <w:sz w:val="24"/>
          <w:szCs w:val="24"/>
        </w:rPr>
        <w:t xml:space="preserve">I find that </w:t>
      </w:r>
      <w:r w:rsidR="00373B04">
        <w:rPr>
          <w:sz w:val="24"/>
          <w:szCs w:val="24"/>
        </w:rPr>
        <w:t xml:space="preserve">Marks has no </w:t>
      </w:r>
      <w:r w:rsidR="00373B04" w:rsidRPr="00CB3865">
        <w:rPr>
          <w:i/>
          <w:iCs/>
          <w:sz w:val="24"/>
          <w:szCs w:val="24"/>
        </w:rPr>
        <w:t>locus standi</w:t>
      </w:r>
      <w:r w:rsidR="00373B04">
        <w:rPr>
          <w:sz w:val="24"/>
          <w:szCs w:val="24"/>
        </w:rPr>
        <w:t xml:space="preserve"> to act on behalf of the My MTI Club.</w:t>
      </w:r>
      <w:r w:rsidR="00D63C56">
        <w:rPr>
          <w:sz w:val="24"/>
          <w:szCs w:val="24"/>
        </w:rPr>
        <w:t xml:space="preserve"> The merits of his counter-application, which was limited to prayers 1.1 and 1.9</w:t>
      </w:r>
      <w:r w:rsidR="00D63C56">
        <w:rPr>
          <w:rStyle w:val="FootnoteReference"/>
          <w:sz w:val="24"/>
          <w:szCs w:val="24"/>
        </w:rPr>
        <w:footnoteReference w:id="33"/>
      </w:r>
      <w:r w:rsidR="00FC0312">
        <w:rPr>
          <w:sz w:val="24"/>
          <w:szCs w:val="24"/>
        </w:rPr>
        <w:t>, is dealt with later herein.</w:t>
      </w:r>
    </w:p>
    <w:p w14:paraId="0B556D70" w14:textId="13FBB5EA" w:rsidR="000D26D7" w:rsidRDefault="00560794" w:rsidP="00560794">
      <w:pPr>
        <w:pStyle w:val="BodyText3"/>
        <w:spacing w:after="240" w:line="480" w:lineRule="auto"/>
        <w:rPr>
          <w:sz w:val="24"/>
          <w:szCs w:val="24"/>
        </w:rPr>
      </w:pPr>
      <w:r>
        <w:rPr>
          <w:sz w:val="22"/>
          <w:szCs w:val="22"/>
        </w:rPr>
        <w:t>[60]</w:t>
      </w:r>
      <w:r>
        <w:rPr>
          <w:sz w:val="22"/>
          <w:szCs w:val="22"/>
        </w:rPr>
        <w:tab/>
      </w:r>
      <w:r w:rsidR="00DE7904">
        <w:rPr>
          <w:sz w:val="24"/>
          <w:szCs w:val="24"/>
        </w:rPr>
        <w:t xml:space="preserve">Marks’s </w:t>
      </w:r>
      <w:r w:rsidR="00577E61" w:rsidRPr="00DE7904">
        <w:rPr>
          <w:sz w:val="24"/>
          <w:szCs w:val="24"/>
        </w:rPr>
        <w:t xml:space="preserve">voluminous </w:t>
      </w:r>
      <w:r w:rsidR="00FA2904" w:rsidRPr="00DE7904">
        <w:rPr>
          <w:sz w:val="24"/>
          <w:szCs w:val="24"/>
        </w:rPr>
        <w:t xml:space="preserve">affidavits </w:t>
      </w:r>
      <w:r w:rsidR="002A5F7C" w:rsidRPr="00DE7904">
        <w:rPr>
          <w:sz w:val="24"/>
          <w:szCs w:val="24"/>
        </w:rPr>
        <w:t xml:space="preserve">were of no assistance to this court in determining </w:t>
      </w:r>
      <w:r w:rsidR="00BF3C1B" w:rsidRPr="00DE7904">
        <w:rPr>
          <w:sz w:val="24"/>
          <w:szCs w:val="24"/>
        </w:rPr>
        <w:t xml:space="preserve">the </w:t>
      </w:r>
      <w:r w:rsidR="00B22C4E" w:rsidRPr="00DE7904">
        <w:rPr>
          <w:sz w:val="24"/>
          <w:szCs w:val="24"/>
        </w:rPr>
        <w:t xml:space="preserve">correctness of the factual </w:t>
      </w:r>
      <w:r w:rsidR="00624B06" w:rsidRPr="00DE7904">
        <w:rPr>
          <w:sz w:val="24"/>
          <w:szCs w:val="24"/>
        </w:rPr>
        <w:t xml:space="preserve">information placed before court </w:t>
      </w:r>
      <w:r w:rsidR="005353DC" w:rsidRPr="00DE7904">
        <w:rPr>
          <w:sz w:val="24"/>
          <w:szCs w:val="24"/>
        </w:rPr>
        <w:t xml:space="preserve">by the applicants and the </w:t>
      </w:r>
      <w:r w:rsidR="00624B06" w:rsidRPr="00DE7904">
        <w:rPr>
          <w:sz w:val="24"/>
          <w:szCs w:val="24"/>
        </w:rPr>
        <w:t>FSCA</w:t>
      </w:r>
      <w:r w:rsidR="005353DC" w:rsidRPr="00DE7904">
        <w:rPr>
          <w:sz w:val="24"/>
          <w:szCs w:val="24"/>
        </w:rPr>
        <w:t>.</w:t>
      </w:r>
    </w:p>
    <w:p w14:paraId="1199EBA1" w14:textId="07A31F6C" w:rsidR="00CC483C" w:rsidRPr="003B7D19" w:rsidRDefault="00A46A32" w:rsidP="000D26D7">
      <w:pPr>
        <w:pStyle w:val="BodyText3"/>
        <w:spacing w:after="240" w:line="480" w:lineRule="auto"/>
        <w:rPr>
          <w:i/>
          <w:iCs/>
          <w:sz w:val="24"/>
          <w:szCs w:val="24"/>
          <w:u w:val="single"/>
        </w:rPr>
      </w:pPr>
      <w:r w:rsidRPr="003B7D19">
        <w:rPr>
          <w:i/>
          <w:iCs/>
          <w:sz w:val="24"/>
          <w:szCs w:val="24"/>
          <w:u w:val="single"/>
        </w:rPr>
        <w:t xml:space="preserve">The opposition by </w:t>
      </w:r>
      <w:r w:rsidR="000D26D7" w:rsidRPr="003B7D19">
        <w:rPr>
          <w:i/>
          <w:iCs/>
          <w:sz w:val="24"/>
          <w:szCs w:val="24"/>
          <w:u w:val="single"/>
        </w:rPr>
        <w:t>Rowe</w:t>
      </w:r>
      <w:r w:rsidRPr="003B7D19">
        <w:rPr>
          <w:i/>
          <w:iCs/>
          <w:sz w:val="24"/>
          <w:szCs w:val="24"/>
          <w:u w:val="single"/>
        </w:rPr>
        <w:t>:</w:t>
      </w:r>
      <w:r w:rsidR="005353DC" w:rsidRPr="003B7D19">
        <w:rPr>
          <w:i/>
          <w:iCs/>
          <w:sz w:val="24"/>
          <w:szCs w:val="24"/>
          <w:u w:val="single"/>
        </w:rPr>
        <w:t xml:space="preserve"> </w:t>
      </w:r>
    </w:p>
    <w:p w14:paraId="05AC53CE" w14:textId="131E7F06" w:rsidR="000D26D7" w:rsidRDefault="00560794" w:rsidP="00560794">
      <w:pPr>
        <w:pStyle w:val="BodyText3"/>
        <w:spacing w:after="240" w:line="480" w:lineRule="auto"/>
        <w:rPr>
          <w:sz w:val="24"/>
          <w:szCs w:val="24"/>
        </w:rPr>
      </w:pPr>
      <w:r>
        <w:rPr>
          <w:sz w:val="22"/>
          <w:szCs w:val="22"/>
        </w:rPr>
        <w:t>[61]</w:t>
      </w:r>
      <w:r>
        <w:rPr>
          <w:sz w:val="22"/>
          <w:szCs w:val="22"/>
        </w:rPr>
        <w:tab/>
      </w:r>
      <w:r w:rsidR="00A46A32">
        <w:rPr>
          <w:sz w:val="24"/>
          <w:szCs w:val="24"/>
        </w:rPr>
        <w:t xml:space="preserve">The opposition by </w:t>
      </w:r>
      <w:r w:rsidR="00ED655E">
        <w:rPr>
          <w:sz w:val="24"/>
          <w:szCs w:val="24"/>
        </w:rPr>
        <w:t xml:space="preserve">the </w:t>
      </w:r>
      <w:r w:rsidR="00A46A32">
        <w:rPr>
          <w:sz w:val="24"/>
          <w:szCs w:val="24"/>
        </w:rPr>
        <w:t xml:space="preserve">Rowe </w:t>
      </w:r>
      <w:r w:rsidR="00ED655E">
        <w:rPr>
          <w:sz w:val="24"/>
          <w:szCs w:val="24"/>
        </w:rPr>
        <w:t xml:space="preserve">investors </w:t>
      </w:r>
      <w:r w:rsidR="00A46A32">
        <w:rPr>
          <w:sz w:val="24"/>
          <w:szCs w:val="24"/>
        </w:rPr>
        <w:t>w</w:t>
      </w:r>
      <w:r w:rsidR="00ED655E">
        <w:rPr>
          <w:sz w:val="24"/>
          <w:szCs w:val="24"/>
        </w:rPr>
        <w:t>ere</w:t>
      </w:r>
      <w:r w:rsidR="00A46A32">
        <w:rPr>
          <w:sz w:val="24"/>
          <w:szCs w:val="24"/>
        </w:rPr>
        <w:t xml:space="preserve"> limited to the relief claimed </w:t>
      </w:r>
      <w:r w:rsidR="00016A25">
        <w:rPr>
          <w:sz w:val="24"/>
          <w:szCs w:val="24"/>
        </w:rPr>
        <w:t xml:space="preserve">by the applicants </w:t>
      </w:r>
      <w:r w:rsidR="0055336C">
        <w:rPr>
          <w:sz w:val="24"/>
          <w:szCs w:val="24"/>
        </w:rPr>
        <w:t xml:space="preserve">in </w:t>
      </w:r>
      <w:r w:rsidR="00016A25">
        <w:rPr>
          <w:sz w:val="24"/>
          <w:szCs w:val="24"/>
        </w:rPr>
        <w:t>p</w:t>
      </w:r>
      <w:r w:rsidR="00ED655E">
        <w:rPr>
          <w:sz w:val="24"/>
          <w:szCs w:val="24"/>
        </w:rPr>
        <w:t xml:space="preserve">rayers </w:t>
      </w:r>
      <w:r w:rsidR="00016A25">
        <w:rPr>
          <w:sz w:val="24"/>
          <w:szCs w:val="24"/>
        </w:rPr>
        <w:t>1.</w:t>
      </w:r>
      <w:r w:rsidR="00ED655E">
        <w:rPr>
          <w:sz w:val="24"/>
          <w:szCs w:val="24"/>
        </w:rPr>
        <w:t>4</w:t>
      </w:r>
      <w:r w:rsidR="00016A25">
        <w:rPr>
          <w:sz w:val="24"/>
          <w:szCs w:val="24"/>
        </w:rPr>
        <w:t xml:space="preserve"> to 1.6 </w:t>
      </w:r>
      <w:r w:rsidR="00ED655E">
        <w:rPr>
          <w:sz w:val="24"/>
          <w:szCs w:val="24"/>
        </w:rPr>
        <w:t xml:space="preserve">of the notice of motion </w:t>
      </w:r>
      <w:r w:rsidR="00016A25">
        <w:rPr>
          <w:sz w:val="24"/>
          <w:szCs w:val="24"/>
        </w:rPr>
        <w:t xml:space="preserve">and further, in the event of the court </w:t>
      </w:r>
      <w:r w:rsidR="00401CFD">
        <w:rPr>
          <w:sz w:val="24"/>
          <w:szCs w:val="24"/>
        </w:rPr>
        <w:t>granting such relief</w:t>
      </w:r>
      <w:r w:rsidR="00286153">
        <w:rPr>
          <w:sz w:val="24"/>
          <w:szCs w:val="24"/>
        </w:rPr>
        <w:t>,</w:t>
      </w:r>
      <w:r w:rsidR="00401CFD">
        <w:rPr>
          <w:sz w:val="24"/>
          <w:szCs w:val="24"/>
        </w:rPr>
        <w:t xml:space="preserve"> that certain safeguards be put in place.</w:t>
      </w:r>
      <w:r w:rsidR="00ED655E">
        <w:rPr>
          <w:sz w:val="24"/>
          <w:szCs w:val="24"/>
        </w:rPr>
        <w:t xml:space="preserve"> The Rowe investors </w:t>
      </w:r>
      <w:r w:rsidR="00286153">
        <w:rPr>
          <w:sz w:val="24"/>
          <w:szCs w:val="24"/>
        </w:rPr>
        <w:t xml:space="preserve">case is </w:t>
      </w:r>
      <w:r w:rsidR="00ED655E">
        <w:rPr>
          <w:sz w:val="24"/>
          <w:szCs w:val="24"/>
        </w:rPr>
        <w:t xml:space="preserve">that they </w:t>
      </w:r>
      <w:r w:rsidR="00F41336">
        <w:rPr>
          <w:sz w:val="24"/>
          <w:szCs w:val="24"/>
        </w:rPr>
        <w:t xml:space="preserve">“parted with their property” in the </w:t>
      </w:r>
      <w:r w:rsidR="00ED655E" w:rsidRPr="00F41336">
        <w:rPr>
          <w:i/>
          <w:iCs/>
          <w:sz w:val="24"/>
          <w:szCs w:val="24"/>
        </w:rPr>
        <w:t>bona fide</w:t>
      </w:r>
      <w:r w:rsidR="00ED655E">
        <w:rPr>
          <w:sz w:val="24"/>
          <w:szCs w:val="24"/>
        </w:rPr>
        <w:t xml:space="preserve"> belief that MTI operated </w:t>
      </w:r>
      <w:r w:rsidR="00ED655E">
        <w:rPr>
          <w:sz w:val="24"/>
          <w:szCs w:val="24"/>
        </w:rPr>
        <w:lastRenderedPageBreak/>
        <w:t>a legitimate business</w:t>
      </w:r>
      <w:r w:rsidR="00F41336">
        <w:rPr>
          <w:sz w:val="24"/>
          <w:szCs w:val="24"/>
        </w:rPr>
        <w:t xml:space="preserve">. These members could not contribute any relevant information pertaining to the operations of or the solvency of MTI at any particular time. </w:t>
      </w:r>
      <w:r w:rsidR="00ED655E">
        <w:rPr>
          <w:sz w:val="24"/>
          <w:szCs w:val="24"/>
        </w:rPr>
        <w:t xml:space="preserve"> </w:t>
      </w:r>
    </w:p>
    <w:p w14:paraId="590B0EC6" w14:textId="157819C9" w:rsidR="009A6179" w:rsidRPr="003B7D19" w:rsidRDefault="009A6179" w:rsidP="009A6179">
      <w:pPr>
        <w:pStyle w:val="BodyText3"/>
        <w:spacing w:after="240" w:line="480" w:lineRule="auto"/>
        <w:rPr>
          <w:i/>
          <w:iCs/>
          <w:sz w:val="24"/>
          <w:szCs w:val="24"/>
          <w:u w:val="single"/>
        </w:rPr>
      </w:pPr>
      <w:r w:rsidRPr="003B7D19">
        <w:rPr>
          <w:i/>
          <w:iCs/>
          <w:sz w:val="24"/>
          <w:szCs w:val="24"/>
          <w:u w:val="single"/>
        </w:rPr>
        <w:t>The opposition by Lee:</w:t>
      </w:r>
    </w:p>
    <w:p w14:paraId="361C9557" w14:textId="5806ACC2" w:rsidR="00401CFD" w:rsidRDefault="00560794" w:rsidP="00560794">
      <w:pPr>
        <w:pStyle w:val="BodyText3"/>
        <w:spacing w:after="240" w:line="480" w:lineRule="auto"/>
        <w:rPr>
          <w:sz w:val="24"/>
          <w:szCs w:val="24"/>
        </w:rPr>
      </w:pPr>
      <w:r>
        <w:rPr>
          <w:sz w:val="22"/>
          <w:szCs w:val="22"/>
        </w:rPr>
        <w:t>[62]</w:t>
      </w:r>
      <w:r>
        <w:rPr>
          <w:sz w:val="22"/>
          <w:szCs w:val="22"/>
        </w:rPr>
        <w:tab/>
      </w:r>
      <w:r w:rsidR="00F41336">
        <w:rPr>
          <w:sz w:val="24"/>
          <w:szCs w:val="24"/>
        </w:rPr>
        <w:t>Lee bases his opposition to the relief sought on the same grounds relied on by Marks and Honiball</w:t>
      </w:r>
      <w:r w:rsidR="005257A2">
        <w:rPr>
          <w:sz w:val="24"/>
          <w:szCs w:val="24"/>
        </w:rPr>
        <w:t xml:space="preserve">. </w:t>
      </w:r>
      <w:r w:rsidR="00F41336">
        <w:rPr>
          <w:sz w:val="24"/>
          <w:szCs w:val="24"/>
        </w:rPr>
        <w:t xml:space="preserve"> </w:t>
      </w:r>
    </w:p>
    <w:p w14:paraId="105BD58B" w14:textId="1EC896F4" w:rsidR="007764A2" w:rsidRPr="008221DD" w:rsidRDefault="006D5CE3" w:rsidP="007764A2">
      <w:pPr>
        <w:pStyle w:val="BodyText3"/>
        <w:spacing w:after="240" w:line="480" w:lineRule="auto"/>
        <w:rPr>
          <w:i/>
          <w:iCs/>
          <w:sz w:val="24"/>
          <w:szCs w:val="24"/>
          <w:u w:val="single"/>
        </w:rPr>
      </w:pPr>
      <w:r w:rsidRPr="008221DD">
        <w:rPr>
          <w:i/>
          <w:iCs/>
          <w:sz w:val="24"/>
          <w:szCs w:val="24"/>
          <w:u w:val="single"/>
        </w:rPr>
        <w:t>The opposition by Honiball:</w:t>
      </w:r>
    </w:p>
    <w:p w14:paraId="59DB1FA7" w14:textId="2F367A82" w:rsidR="009A6179" w:rsidRPr="00542AAB" w:rsidRDefault="00560794" w:rsidP="00560794">
      <w:pPr>
        <w:pStyle w:val="BodyText3"/>
        <w:spacing w:after="240" w:line="480" w:lineRule="auto"/>
        <w:rPr>
          <w:sz w:val="24"/>
          <w:szCs w:val="24"/>
        </w:rPr>
      </w:pPr>
      <w:r w:rsidRPr="00542AAB">
        <w:rPr>
          <w:sz w:val="22"/>
          <w:szCs w:val="22"/>
        </w:rPr>
        <w:t>[63]</w:t>
      </w:r>
      <w:r w:rsidRPr="00542AAB">
        <w:rPr>
          <w:sz w:val="22"/>
          <w:szCs w:val="22"/>
        </w:rPr>
        <w:tab/>
      </w:r>
      <w:r w:rsidR="0015265C" w:rsidRPr="00542AAB">
        <w:rPr>
          <w:sz w:val="24"/>
          <w:szCs w:val="24"/>
        </w:rPr>
        <w:t xml:space="preserve">Honiball’s opposition </w:t>
      </w:r>
      <w:r w:rsidR="008B2FAB" w:rsidRPr="00542AAB">
        <w:rPr>
          <w:sz w:val="24"/>
          <w:szCs w:val="24"/>
        </w:rPr>
        <w:t xml:space="preserve">is in essence </w:t>
      </w:r>
      <w:r w:rsidR="00702B4E" w:rsidRPr="00542AAB">
        <w:rPr>
          <w:sz w:val="24"/>
          <w:szCs w:val="24"/>
        </w:rPr>
        <w:t xml:space="preserve">a denial </w:t>
      </w:r>
      <w:r w:rsidR="002270DB" w:rsidRPr="00542AAB">
        <w:rPr>
          <w:sz w:val="24"/>
          <w:szCs w:val="24"/>
        </w:rPr>
        <w:t xml:space="preserve">that </w:t>
      </w:r>
      <w:r w:rsidR="007C27D9" w:rsidRPr="00542AAB">
        <w:rPr>
          <w:sz w:val="24"/>
          <w:szCs w:val="24"/>
        </w:rPr>
        <w:t xml:space="preserve">MTI’s business amounted to </w:t>
      </w:r>
      <w:r w:rsidR="00702B4E" w:rsidRPr="00542AAB">
        <w:rPr>
          <w:sz w:val="24"/>
          <w:szCs w:val="24"/>
        </w:rPr>
        <w:t xml:space="preserve">statutory contraventions </w:t>
      </w:r>
      <w:r w:rsidR="00CF370E" w:rsidRPr="00542AAB">
        <w:rPr>
          <w:sz w:val="24"/>
          <w:szCs w:val="24"/>
        </w:rPr>
        <w:t xml:space="preserve">which </w:t>
      </w:r>
      <w:r w:rsidR="00634E97" w:rsidRPr="00542AAB">
        <w:rPr>
          <w:sz w:val="24"/>
          <w:szCs w:val="24"/>
        </w:rPr>
        <w:t>rendered the business of M</w:t>
      </w:r>
      <w:r w:rsidR="00EF639D" w:rsidRPr="00542AAB">
        <w:rPr>
          <w:sz w:val="24"/>
          <w:szCs w:val="24"/>
        </w:rPr>
        <w:t xml:space="preserve">TI </w:t>
      </w:r>
      <w:r w:rsidR="00634E97" w:rsidRPr="00542AAB">
        <w:rPr>
          <w:sz w:val="24"/>
          <w:szCs w:val="24"/>
        </w:rPr>
        <w:t xml:space="preserve">illegal or unlawful, </w:t>
      </w:r>
      <w:r w:rsidR="006166A0" w:rsidRPr="00542AAB">
        <w:rPr>
          <w:sz w:val="24"/>
          <w:szCs w:val="24"/>
        </w:rPr>
        <w:t xml:space="preserve">that the applicants had failed to establish that the business </w:t>
      </w:r>
      <w:r w:rsidR="00A71EFC" w:rsidRPr="00542AAB">
        <w:rPr>
          <w:sz w:val="24"/>
          <w:szCs w:val="24"/>
        </w:rPr>
        <w:t xml:space="preserve">of MTI amounted to </w:t>
      </w:r>
      <w:r w:rsidR="00CF370E" w:rsidRPr="00542AAB">
        <w:rPr>
          <w:sz w:val="24"/>
          <w:szCs w:val="24"/>
        </w:rPr>
        <w:t xml:space="preserve">a </w:t>
      </w:r>
      <w:r w:rsidR="00A71EFC" w:rsidRPr="00542AAB">
        <w:rPr>
          <w:sz w:val="24"/>
          <w:szCs w:val="24"/>
        </w:rPr>
        <w:t>common law ponzi</w:t>
      </w:r>
      <w:r w:rsidR="00223CDF" w:rsidRPr="00542AAB">
        <w:rPr>
          <w:sz w:val="24"/>
          <w:szCs w:val="24"/>
        </w:rPr>
        <w:t>-</w:t>
      </w:r>
      <w:r w:rsidR="00A71EFC" w:rsidRPr="00542AAB">
        <w:rPr>
          <w:sz w:val="24"/>
          <w:szCs w:val="24"/>
        </w:rPr>
        <w:t xml:space="preserve">scheme and finally that there are disputes of facts that cannot be resolved by way </w:t>
      </w:r>
      <w:r w:rsidR="00CF370E" w:rsidRPr="00542AAB">
        <w:rPr>
          <w:sz w:val="24"/>
          <w:szCs w:val="24"/>
        </w:rPr>
        <w:t>of application.</w:t>
      </w:r>
      <w:r w:rsidR="0015265C" w:rsidRPr="00542AAB">
        <w:rPr>
          <w:sz w:val="24"/>
          <w:szCs w:val="24"/>
        </w:rPr>
        <w:t xml:space="preserve"> </w:t>
      </w:r>
    </w:p>
    <w:p w14:paraId="1D53A96C" w14:textId="77777777" w:rsidR="000C605C" w:rsidRDefault="00FA497C" w:rsidP="00BD3F5D">
      <w:pPr>
        <w:pStyle w:val="BodyText3"/>
        <w:spacing w:after="240" w:line="480" w:lineRule="auto"/>
        <w:rPr>
          <w:i/>
          <w:iCs/>
          <w:sz w:val="24"/>
          <w:szCs w:val="24"/>
          <w:u w:val="single"/>
        </w:rPr>
      </w:pPr>
      <w:r w:rsidRPr="00D92BD7">
        <w:rPr>
          <w:i/>
          <w:iCs/>
          <w:sz w:val="24"/>
          <w:szCs w:val="24"/>
          <w:u w:val="single"/>
        </w:rPr>
        <w:t xml:space="preserve">The </w:t>
      </w:r>
      <w:r w:rsidR="000C605C" w:rsidRPr="00D92BD7">
        <w:rPr>
          <w:i/>
          <w:iCs/>
          <w:sz w:val="24"/>
          <w:szCs w:val="24"/>
          <w:u w:val="single"/>
        </w:rPr>
        <w:t>admissibility</w:t>
      </w:r>
      <w:r w:rsidRPr="00D92BD7">
        <w:rPr>
          <w:i/>
          <w:iCs/>
          <w:sz w:val="24"/>
          <w:szCs w:val="24"/>
          <w:u w:val="single"/>
        </w:rPr>
        <w:t xml:space="preserve"> of</w:t>
      </w:r>
      <w:r w:rsidR="000C605C" w:rsidRPr="00D92BD7">
        <w:rPr>
          <w:i/>
          <w:iCs/>
          <w:sz w:val="24"/>
          <w:szCs w:val="24"/>
          <w:u w:val="single"/>
        </w:rPr>
        <w:t xml:space="preserve"> </w:t>
      </w:r>
      <w:r w:rsidRPr="00D92BD7">
        <w:rPr>
          <w:i/>
          <w:iCs/>
          <w:sz w:val="24"/>
          <w:szCs w:val="24"/>
          <w:u w:val="single"/>
        </w:rPr>
        <w:t>evidence</w:t>
      </w:r>
      <w:r w:rsidR="000C605C" w:rsidRPr="00D92BD7">
        <w:rPr>
          <w:i/>
          <w:iCs/>
          <w:sz w:val="24"/>
          <w:szCs w:val="24"/>
          <w:u w:val="single"/>
        </w:rPr>
        <w:t>:</w:t>
      </w:r>
    </w:p>
    <w:p w14:paraId="6FB339B3" w14:textId="4C247F5A" w:rsidR="001436B4" w:rsidRPr="00D92BD7" w:rsidRDefault="00560794" w:rsidP="00560794">
      <w:pPr>
        <w:pStyle w:val="BodyText3"/>
        <w:spacing w:after="240" w:line="480" w:lineRule="auto"/>
        <w:rPr>
          <w:b/>
          <w:bCs/>
          <w:sz w:val="24"/>
          <w:szCs w:val="24"/>
        </w:rPr>
      </w:pPr>
      <w:r w:rsidRPr="00D92BD7">
        <w:rPr>
          <w:sz w:val="22"/>
          <w:szCs w:val="22"/>
        </w:rPr>
        <w:t>[64]</w:t>
      </w:r>
      <w:r w:rsidRPr="00D92BD7">
        <w:rPr>
          <w:sz w:val="22"/>
          <w:szCs w:val="22"/>
        </w:rPr>
        <w:tab/>
      </w:r>
      <w:r w:rsidR="00B800EC">
        <w:rPr>
          <w:sz w:val="24"/>
          <w:szCs w:val="24"/>
        </w:rPr>
        <w:t xml:space="preserve">Marks contends that the information obtained by the applicants during the course of the </w:t>
      </w:r>
      <w:r w:rsidR="004A3F42">
        <w:rPr>
          <w:sz w:val="24"/>
          <w:szCs w:val="24"/>
        </w:rPr>
        <w:t xml:space="preserve">s 417/418 enquiries and </w:t>
      </w:r>
      <w:r w:rsidR="004A3F42" w:rsidRPr="00084E1F">
        <w:rPr>
          <w:sz w:val="24"/>
          <w:szCs w:val="24"/>
        </w:rPr>
        <w:t>subsequent</w:t>
      </w:r>
      <w:r w:rsidR="004A3F42">
        <w:rPr>
          <w:sz w:val="24"/>
          <w:szCs w:val="24"/>
        </w:rPr>
        <w:t xml:space="preserve"> reports by retired Justice Fabricius, </w:t>
      </w:r>
      <w:r w:rsidR="005513CF">
        <w:rPr>
          <w:sz w:val="24"/>
          <w:szCs w:val="24"/>
        </w:rPr>
        <w:t>which w</w:t>
      </w:r>
      <w:r w:rsidR="00373B04">
        <w:rPr>
          <w:sz w:val="24"/>
          <w:szCs w:val="24"/>
        </w:rPr>
        <w:t>ere</w:t>
      </w:r>
      <w:r w:rsidR="005513CF">
        <w:rPr>
          <w:sz w:val="24"/>
          <w:szCs w:val="24"/>
        </w:rPr>
        <w:t xml:space="preserve"> placed before court with his consent, </w:t>
      </w:r>
      <w:r w:rsidR="001436B4">
        <w:rPr>
          <w:sz w:val="24"/>
          <w:szCs w:val="24"/>
        </w:rPr>
        <w:t>amount to hearsay and should be disregarded</w:t>
      </w:r>
      <w:r w:rsidR="00D6613B">
        <w:rPr>
          <w:sz w:val="24"/>
          <w:szCs w:val="24"/>
        </w:rPr>
        <w:t>, alternatively it was submitted that diminished weight should be attached thereto.</w:t>
      </w:r>
      <w:r w:rsidR="001436B4">
        <w:rPr>
          <w:sz w:val="24"/>
          <w:szCs w:val="24"/>
        </w:rPr>
        <w:t xml:space="preserve"> He </w:t>
      </w:r>
      <w:r w:rsidR="00E7111D">
        <w:rPr>
          <w:sz w:val="24"/>
          <w:szCs w:val="24"/>
        </w:rPr>
        <w:t>however</w:t>
      </w:r>
      <w:r w:rsidR="001436B4">
        <w:rPr>
          <w:sz w:val="24"/>
          <w:szCs w:val="24"/>
        </w:rPr>
        <w:t xml:space="preserve"> </w:t>
      </w:r>
      <w:r w:rsidR="00397567">
        <w:rPr>
          <w:sz w:val="24"/>
          <w:szCs w:val="24"/>
        </w:rPr>
        <w:t xml:space="preserve">did </w:t>
      </w:r>
      <w:r w:rsidR="001436B4">
        <w:rPr>
          <w:sz w:val="24"/>
          <w:szCs w:val="24"/>
        </w:rPr>
        <w:t xml:space="preserve">not persist with </w:t>
      </w:r>
      <w:r w:rsidR="005513CF">
        <w:rPr>
          <w:sz w:val="24"/>
          <w:szCs w:val="24"/>
        </w:rPr>
        <w:t xml:space="preserve">his </w:t>
      </w:r>
      <w:r w:rsidR="001436B4">
        <w:rPr>
          <w:sz w:val="24"/>
          <w:szCs w:val="24"/>
        </w:rPr>
        <w:t>striking out application</w:t>
      </w:r>
      <w:r w:rsidR="0009179B">
        <w:rPr>
          <w:sz w:val="24"/>
          <w:szCs w:val="24"/>
        </w:rPr>
        <w:t>.</w:t>
      </w:r>
    </w:p>
    <w:p w14:paraId="19C467A4" w14:textId="18A34F43" w:rsidR="00026FE4" w:rsidRDefault="00560794" w:rsidP="00560794">
      <w:pPr>
        <w:pStyle w:val="BodyText3"/>
        <w:spacing w:after="240" w:line="480" w:lineRule="auto"/>
        <w:rPr>
          <w:sz w:val="24"/>
          <w:szCs w:val="24"/>
        </w:rPr>
      </w:pPr>
      <w:r>
        <w:rPr>
          <w:sz w:val="22"/>
          <w:szCs w:val="22"/>
        </w:rPr>
        <w:t>[65]</w:t>
      </w:r>
      <w:r>
        <w:rPr>
          <w:sz w:val="22"/>
          <w:szCs w:val="22"/>
        </w:rPr>
        <w:tab/>
      </w:r>
      <w:r w:rsidR="003F24E5">
        <w:rPr>
          <w:sz w:val="24"/>
          <w:szCs w:val="24"/>
        </w:rPr>
        <w:t xml:space="preserve">From the record it </w:t>
      </w:r>
      <w:r w:rsidR="00E34940">
        <w:rPr>
          <w:sz w:val="24"/>
          <w:szCs w:val="24"/>
        </w:rPr>
        <w:t>appears</w:t>
      </w:r>
      <w:r w:rsidR="003F24E5">
        <w:rPr>
          <w:sz w:val="24"/>
          <w:szCs w:val="24"/>
        </w:rPr>
        <w:t xml:space="preserve"> that the applicants and the FSCA, within the constraints of the situation (Steynberg </w:t>
      </w:r>
      <w:r w:rsidR="00356025">
        <w:rPr>
          <w:sz w:val="24"/>
          <w:szCs w:val="24"/>
        </w:rPr>
        <w:t xml:space="preserve">for example </w:t>
      </w:r>
      <w:r w:rsidR="0018551F">
        <w:rPr>
          <w:sz w:val="24"/>
          <w:szCs w:val="24"/>
        </w:rPr>
        <w:t xml:space="preserve">disappearing and then </w:t>
      </w:r>
      <w:r w:rsidR="00356025">
        <w:rPr>
          <w:sz w:val="24"/>
          <w:szCs w:val="24"/>
        </w:rPr>
        <w:t xml:space="preserve">being </w:t>
      </w:r>
      <w:r w:rsidR="0018551F">
        <w:rPr>
          <w:sz w:val="24"/>
          <w:szCs w:val="24"/>
        </w:rPr>
        <w:t xml:space="preserve">arrested and </w:t>
      </w:r>
      <w:r w:rsidR="00356025">
        <w:rPr>
          <w:sz w:val="24"/>
          <w:szCs w:val="24"/>
        </w:rPr>
        <w:t xml:space="preserve">incarcerated in Brazil and </w:t>
      </w:r>
      <w:r w:rsidR="007508F3">
        <w:rPr>
          <w:sz w:val="24"/>
          <w:szCs w:val="24"/>
        </w:rPr>
        <w:t>Marks</w:t>
      </w:r>
      <w:r w:rsidR="00934B0E">
        <w:rPr>
          <w:sz w:val="24"/>
          <w:szCs w:val="24"/>
        </w:rPr>
        <w:t>,</w:t>
      </w:r>
      <w:r w:rsidR="007508F3">
        <w:rPr>
          <w:sz w:val="24"/>
          <w:szCs w:val="24"/>
        </w:rPr>
        <w:t xml:space="preserve"> who ha</w:t>
      </w:r>
      <w:r w:rsidR="00E34940">
        <w:rPr>
          <w:sz w:val="24"/>
          <w:szCs w:val="24"/>
        </w:rPr>
        <w:t>s</w:t>
      </w:r>
      <w:r w:rsidR="007508F3">
        <w:rPr>
          <w:sz w:val="24"/>
          <w:szCs w:val="24"/>
        </w:rPr>
        <w:t xml:space="preserve"> admitted in these proceedings that there was no proper oversight or control or even financial records</w:t>
      </w:r>
      <w:r w:rsidR="00692305">
        <w:rPr>
          <w:sz w:val="24"/>
          <w:szCs w:val="24"/>
        </w:rPr>
        <w:t xml:space="preserve"> in respect of MTI’s operations), </w:t>
      </w:r>
      <w:r w:rsidR="002D3780" w:rsidRPr="002D3780">
        <w:rPr>
          <w:sz w:val="24"/>
          <w:szCs w:val="24"/>
        </w:rPr>
        <w:t>ha</w:t>
      </w:r>
      <w:r w:rsidR="00E34940">
        <w:rPr>
          <w:sz w:val="24"/>
          <w:szCs w:val="24"/>
        </w:rPr>
        <w:t xml:space="preserve">s secured </w:t>
      </w:r>
      <w:r w:rsidR="002D3780" w:rsidRPr="002D3780">
        <w:rPr>
          <w:sz w:val="24"/>
          <w:szCs w:val="24"/>
        </w:rPr>
        <w:t xml:space="preserve">all </w:t>
      </w:r>
      <w:r w:rsidR="00705ACB">
        <w:rPr>
          <w:sz w:val="24"/>
          <w:szCs w:val="24"/>
        </w:rPr>
        <w:t xml:space="preserve">the available </w:t>
      </w:r>
      <w:r w:rsidR="002D3780" w:rsidRPr="002D3780">
        <w:rPr>
          <w:sz w:val="24"/>
          <w:szCs w:val="24"/>
        </w:rPr>
        <w:t xml:space="preserve">evidence </w:t>
      </w:r>
      <w:r w:rsidR="00E34940">
        <w:rPr>
          <w:sz w:val="24"/>
          <w:szCs w:val="24"/>
        </w:rPr>
        <w:t>which has been placed before this court</w:t>
      </w:r>
      <w:r w:rsidR="00E46CAD">
        <w:rPr>
          <w:sz w:val="24"/>
          <w:szCs w:val="24"/>
        </w:rPr>
        <w:t xml:space="preserve">. </w:t>
      </w:r>
      <w:r w:rsidR="00DD4429">
        <w:rPr>
          <w:sz w:val="24"/>
          <w:szCs w:val="24"/>
        </w:rPr>
        <w:t xml:space="preserve">Witnesses at the enquiries such as </w:t>
      </w:r>
      <w:r w:rsidR="00E7111D">
        <w:rPr>
          <w:sz w:val="24"/>
          <w:szCs w:val="24"/>
        </w:rPr>
        <w:t>Badenhorst</w:t>
      </w:r>
      <w:r w:rsidR="00E7769B">
        <w:rPr>
          <w:sz w:val="24"/>
          <w:szCs w:val="24"/>
        </w:rPr>
        <w:t xml:space="preserve"> and </w:t>
      </w:r>
      <w:r w:rsidR="00E7111D">
        <w:rPr>
          <w:sz w:val="24"/>
          <w:szCs w:val="24"/>
        </w:rPr>
        <w:t xml:space="preserve">Van </w:t>
      </w:r>
      <w:r w:rsidR="00DD4429">
        <w:rPr>
          <w:sz w:val="24"/>
          <w:szCs w:val="24"/>
        </w:rPr>
        <w:t>Deventer</w:t>
      </w:r>
      <w:r w:rsidR="00E7769B">
        <w:rPr>
          <w:sz w:val="24"/>
          <w:szCs w:val="24"/>
        </w:rPr>
        <w:t>, also deposed to affidavits in these proceedings</w:t>
      </w:r>
      <w:r w:rsidR="002603E7">
        <w:rPr>
          <w:sz w:val="24"/>
          <w:szCs w:val="24"/>
        </w:rPr>
        <w:t>.</w:t>
      </w:r>
      <w:r w:rsidR="005B01FC">
        <w:rPr>
          <w:sz w:val="24"/>
          <w:szCs w:val="24"/>
        </w:rPr>
        <w:t xml:space="preserve"> </w:t>
      </w:r>
      <w:r w:rsidR="00E7769B">
        <w:rPr>
          <w:sz w:val="24"/>
          <w:szCs w:val="24"/>
        </w:rPr>
        <w:t xml:space="preserve">Marks </w:t>
      </w:r>
      <w:r w:rsidR="005B01FC">
        <w:rPr>
          <w:sz w:val="24"/>
          <w:szCs w:val="24"/>
        </w:rPr>
        <w:t xml:space="preserve">is a party to these </w:t>
      </w:r>
      <w:r w:rsidR="005B01FC">
        <w:rPr>
          <w:sz w:val="24"/>
          <w:szCs w:val="24"/>
        </w:rPr>
        <w:lastRenderedPageBreak/>
        <w:t xml:space="preserve">proceedings and </w:t>
      </w:r>
      <w:r w:rsidR="00026FE4">
        <w:rPr>
          <w:sz w:val="24"/>
          <w:szCs w:val="24"/>
        </w:rPr>
        <w:t xml:space="preserve">other </w:t>
      </w:r>
      <w:r w:rsidR="00E7769B">
        <w:rPr>
          <w:sz w:val="24"/>
          <w:szCs w:val="24"/>
        </w:rPr>
        <w:t xml:space="preserve">witnesses such as Kruger, </w:t>
      </w:r>
      <w:r w:rsidR="00026FE4">
        <w:rPr>
          <w:sz w:val="24"/>
          <w:szCs w:val="24"/>
        </w:rPr>
        <w:t>form part of the fifth respondent before court.</w:t>
      </w:r>
      <w:r w:rsidR="00C21C8E">
        <w:rPr>
          <w:sz w:val="24"/>
          <w:szCs w:val="24"/>
        </w:rPr>
        <w:t xml:space="preserve"> </w:t>
      </w:r>
      <w:r w:rsidR="008D1A14">
        <w:rPr>
          <w:sz w:val="24"/>
          <w:szCs w:val="24"/>
        </w:rPr>
        <w:t xml:space="preserve">Marks </w:t>
      </w:r>
      <w:r w:rsidR="00C21C8E">
        <w:rPr>
          <w:sz w:val="24"/>
          <w:szCs w:val="24"/>
        </w:rPr>
        <w:t xml:space="preserve">was fully informed of his rights during the enquiries and legally represented and has raised no prejudice that would be suffered should such evidence be admitted. </w:t>
      </w:r>
    </w:p>
    <w:p w14:paraId="73F17A9B" w14:textId="73E0F852" w:rsidR="00312EE2" w:rsidRDefault="00560794" w:rsidP="00560794">
      <w:pPr>
        <w:pStyle w:val="BodyText3"/>
        <w:spacing w:after="240" w:line="480" w:lineRule="auto"/>
        <w:rPr>
          <w:sz w:val="24"/>
          <w:szCs w:val="24"/>
        </w:rPr>
      </w:pPr>
      <w:r>
        <w:rPr>
          <w:sz w:val="22"/>
          <w:szCs w:val="22"/>
        </w:rPr>
        <w:t>[66]</w:t>
      </w:r>
      <w:r>
        <w:rPr>
          <w:sz w:val="22"/>
          <w:szCs w:val="22"/>
        </w:rPr>
        <w:tab/>
      </w:r>
      <w:r w:rsidR="002D3780" w:rsidRPr="002D3780">
        <w:rPr>
          <w:sz w:val="24"/>
          <w:szCs w:val="24"/>
        </w:rPr>
        <w:t xml:space="preserve">Having regard to the </w:t>
      </w:r>
      <w:r w:rsidR="009C6EFE">
        <w:rPr>
          <w:sz w:val="24"/>
          <w:szCs w:val="24"/>
        </w:rPr>
        <w:t xml:space="preserve">considerations </w:t>
      </w:r>
      <w:r w:rsidR="00E34940" w:rsidRPr="009C6EFE">
        <w:rPr>
          <w:sz w:val="24"/>
          <w:szCs w:val="24"/>
        </w:rPr>
        <w:t xml:space="preserve">enunciated </w:t>
      </w:r>
      <w:r w:rsidR="002D3780" w:rsidRPr="009C6EFE">
        <w:rPr>
          <w:sz w:val="24"/>
          <w:szCs w:val="24"/>
        </w:rPr>
        <w:t>i</w:t>
      </w:r>
      <w:r w:rsidR="002D3780" w:rsidRPr="002D3780">
        <w:rPr>
          <w:sz w:val="24"/>
          <w:szCs w:val="24"/>
        </w:rPr>
        <w:t xml:space="preserve">n s3(1)(c) of the Law of Evidence Amendment Act, 45 of 1988, </w:t>
      </w:r>
      <w:r w:rsidR="005D0D63">
        <w:rPr>
          <w:sz w:val="24"/>
          <w:szCs w:val="24"/>
        </w:rPr>
        <w:t xml:space="preserve">I believe it is </w:t>
      </w:r>
      <w:r w:rsidR="002D3780" w:rsidRPr="002D3780">
        <w:rPr>
          <w:sz w:val="24"/>
          <w:szCs w:val="24"/>
        </w:rPr>
        <w:t xml:space="preserve">in the interests of justice to admit the evidence </w:t>
      </w:r>
      <w:r w:rsidR="005D0D63">
        <w:rPr>
          <w:sz w:val="24"/>
          <w:szCs w:val="24"/>
        </w:rPr>
        <w:t>obtained through the enquir</w:t>
      </w:r>
      <w:r w:rsidR="00E34940">
        <w:rPr>
          <w:sz w:val="24"/>
          <w:szCs w:val="24"/>
        </w:rPr>
        <w:t>i</w:t>
      </w:r>
      <w:r w:rsidR="005D0D63">
        <w:rPr>
          <w:sz w:val="24"/>
          <w:szCs w:val="24"/>
        </w:rPr>
        <w:t>es</w:t>
      </w:r>
      <w:r w:rsidR="002D3780" w:rsidRPr="00C93275">
        <w:rPr>
          <w:rStyle w:val="FootnoteReference"/>
          <w:sz w:val="24"/>
          <w:szCs w:val="24"/>
        </w:rPr>
        <w:footnoteReference w:id="34"/>
      </w:r>
      <w:r w:rsidR="002D3780" w:rsidRPr="002D3780">
        <w:rPr>
          <w:sz w:val="24"/>
          <w:szCs w:val="24"/>
        </w:rPr>
        <w:t>.</w:t>
      </w:r>
    </w:p>
    <w:p w14:paraId="6D9BB29A" w14:textId="77777777" w:rsidR="005F2F39" w:rsidRDefault="005F2F39" w:rsidP="00CF48EB">
      <w:pPr>
        <w:pStyle w:val="BodyText3"/>
        <w:spacing w:after="240" w:line="480" w:lineRule="auto"/>
        <w:rPr>
          <w:i/>
          <w:iCs/>
          <w:sz w:val="24"/>
          <w:szCs w:val="24"/>
          <w:u w:val="single"/>
        </w:rPr>
      </w:pPr>
    </w:p>
    <w:p w14:paraId="307F8E5F" w14:textId="6B6DC7ED" w:rsidR="0032417D" w:rsidRPr="00133C0D" w:rsidRDefault="0032417D" w:rsidP="00CF48EB">
      <w:pPr>
        <w:pStyle w:val="BodyText3"/>
        <w:spacing w:after="240" w:line="480" w:lineRule="auto"/>
        <w:rPr>
          <w:i/>
          <w:iCs/>
          <w:sz w:val="24"/>
          <w:szCs w:val="24"/>
          <w:u w:val="single"/>
        </w:rPr>
      </w:pPr>
      <w:r w:rsidRPr="00D92BD7">
        <w:rPr>
          <w:i/>
          <w:iCs/>
          <w:sz w:val="24"/>
          <w:szCs w:val="24"/>
          <w:u w:val="single"/>
        </w:rPr>
        <w:t>Dispute of fact:</w:t>
      </w:r>
    </w:p>
    <w:p w14:paraId="034B739C" w14:textId="4234850C" w:rsidR="00133C0D" w:rsidRDefault="00560794" w:rsidP="00560794">
      <w:pPr>
        <w:pStyle w:val="BodyText3"/>
        <w:spacing w:after="240" w:line="480" w:lineRule="auto"/>
        <w:rPr>
          <w:sz w:val="24"/>
          <w:szCs w:val="24"/>
        </w:rPr>
      </w:pPr>
      <w:r>
        <w:rPr>
          <w:sz w:val="22"/>
          <w:szCs w:val="22"/>
        </w:rPr>
        <w:t>[67]</w:t>
      </w:r>
      <w:r>
        <w:rPr>
          <w:sz w:val="22"/>
          <w:szCs w:val="22"/>
        </w:rPr>
        <w:tab/>
      </w:r>
      <w:r w:rsidR="00CB3865">
        <w:rPr>
          <w:sz w:val="24"/>
          <w:szCs w:val="24"/>
        </w:rPr>
        <w:t>D</w:t>
      </w:r>
      <w:r w:rsidR="00133C0D" w:rsidRPr="00133C0D">
        <w:rPr>
          <w:sz w:val="24"/>
          <w:szCs w:val="24"/>
        </w:rPr>
        <w:t xml:space="preserve">eclaratory relief can only be granted if the facts as stated by </w:t>
      </w:r>
      <w:r w:rsidR="0002286A">
        <w:rPr>
          <w:sz w:val="24"/>
          <w:szCs w:val="24"/>
        </w:rPr>
        <w:t xml:space="preserve">the </w:t>
      </w:r>
      <w:r w:rsidR="00133C0D" w:rsidRPr="00133C0D">
        <w:rPr>
          <w:sz w:val="24"/>
          <w:szCs w:val="24"/>
        </w:rPr>
        <w:t>respondents, together with the facts alleged by the applicants that are admitted by the respondents, justify such an order.</w:t>
      </w:r>
      <w:r w:rsidR="00133C0D" w:rsidRPr="00133C0D">
        <w:rPr>
          <w:rStyle w:val="FootnoteReference"/>
          <w:sz w:val="24"/>
          <w:szCs w:val="24"/>
        </w:rPr>
        <w:footnoteReference w:id="35"/>
      </w:r>
      <w:r w:rsidR="00133C0D" w:rsidRPr="00133C0D">
        <w:rPr>
          <w:sz w:val="24"/>
          <w:szCs w:val="24"/>
        </w:rPr>
        <w:t xml:space="preserve"> </w:t>
      </w:r>
    </w:p>
    <w:p w14:paraId="15320F11" w14:textId="68A94E7A" w:rsidR="005F2F06" w:rsidRDefault="00560794" w:rsidP="00560794">
      <w:pPr>
        <w:pStyle w:val="BodyText3"/>
        <w:spacing w:after="240" w:line="480" w:lineRule="auto"/>
        <w:rPr>
          <w:sz w:val="24"/>
          <w:szCs w:val="24"/>
        </w:rPr>
      </w:pPr>
      <w:r>
        <w:rPr>
          <w:sz w:val="22"/>
          <w:szCs w:val="22"/>
        </w:rPr>
        <w:t>[68]</w:t>
      </w:r>
      <w:r>
        <w:rPr>
          <w:sz w:val="22"/>
          <w:szCs w:val="22"/>
        </w:rPr>
        <w:tab/>
      </w:r>
      <w:r w:rsidR="00812093">
        <w:rPr>
          <w:sz w:val="24"/>
          <w:szCs w:val="24"/>
        </w:rPr>
        <w:t xml:space="preserve">It was argued that </w:t>
      </w:r>
      <w:r w:rsidR="005F2F06">
        <w:rPr>
          <w:sz w:val="24"/>
          <w:szCs w:val="24"/>
        </w:rPr>
        <w:t>the application should be referred to trial, if not dismissed, as there are factual disputes which cannot be determined on the papers</w:t>
      </w:r>
      <w:r w:rsidR="00812093">
        <w:rPr>
          <w:sz w:val="24"/>
          <w:szCs w:val="24"/>
        </w:rPr>
        <w:t>.</w:t>
      </w:r>
    </w:p>
    <w:p w14:paraId="4E514478" w14:textId="4CB8CD50" w:rsidR="00812093" w:rsidRPr="00CB3865" w:rsidRDefault="00560794" w:rsidP="00560794">
      <w:pPr>
        <w:pStyle w:val="BodyText3"/>
        <w:spacing w:after="240" w:line="480" w:lineRule="auto"/>
        <w:rPr>
          <w:sz w:val="24"/>
          <w:szCs w:val="24"/>
        </w:rPr>
      </w:pPr>
      <w:r w:rsidRPr="00CB3865">
        <w:rPr>
          <w:sz w:val="22"/>
          <w:szCs w:val="22"/>
        </w:rPr>
        <w:t>[69]</w:t>
      </w:r>
      <w:r w:rsidRPr="00CB3865">
        <w:rPr>
          <w:sz w:val="22"/>
          <w:szCs w:val="22"/>
        </w:rPr>
        <w:tab/>
      </w:r>
      <w:r w:rsidR="00812093" w:rsidRPr="00133C0D">
        <w:rPr>
          <w:sz w:val="24"/>
          <w:szCs w:val="24"/>
        </w:rPr>
        <w:t>In a nutshell, the opposing respondents allege that there are disputes of fact pertaining to the following issues: the existence of Mr Daniel Stephenson (Stephenson), a representative of FXChoice, who assisted the applicants and the FSCA in their investigations; whether investors were provided with false trading</w:t>
      </w:r>
      <w:r w:rsidR="00CB3865">
        <w:rPr>
          <w:sz w:val="24"/>
          <w:szCs w:val="24"/>
        </w:rPr>
        <w:t xml:space="preserve"> </w:t>
      </w:r>
      <w:r w:rsidR="00812093" w:rsidRPr="00CB3865">
        <w:rPr>
          <w:sz w:val="24"/>
          <w:szCs w:val="24"/>
        </w:rPr>
        <w:t>statements by MTI (or Steynberg) whilst MTI utilised FXChoice’s trading platform; whether an artificial intelligence bot was utilised by MTI (or Steynberg) for trading purposes; whether the available back office data of MTI is accurate; whether there was in fact successful trading by MTI (it does appear that there w</w:t>
      </w:r>
      <w:r w:rsidR="00C21C8E">
        <w:rPr>
          <w:sz w:val="24"/>
          <w:szCs w:val="24"/>
        </w:rPr>
        <w:t>as</w:t>
      </w:r>
      <w:r w:rsidR="00812093" w:rsidRPr="00CB3865">
        <w:rPr>
          <w:sz w:val="24"/>
          <w:szCs w:val="24"/>
        </w:rPr>
        <w:t xml:space="preserve"> some trading by </w:t>
      </w:r>
      <w:r w:rsidR="00812093" w:rsidRPr="00CB3865">
        <w:rPr>
          <w:sz w:val="24"/>
          <w:szCs w:val="24"/>
        </w:rPr>
        <w:lastRenderedPageBreak/>
        <w:t>MTI, albeit on the available information unsuccessful) and whether MTI is/was insolvent</w:t>
      </w:r>
      <w:r w:rsidR="00373B04" w:rsidRPr="00CB3865">
        <w:rPr>
          <w:sz w:val="24"/>
          <w:szCs w:val="24"/>
        </w:rPr>
        <w:t xml:space="preserve"> and from when</w:t>
      </w:r>
      <w:r w:rsidR="00812093" w:rsidRPr="00CB3865">
        <w:rPr>
          <w:sz w:val="24"/>
          <w:szCs w:val="24"/>
        </w:rPr>
        <w:t>.</w:t>
      </w:r>
    </w:p>
    <w:p w14:paraId="4E8E90AE" w14:textId="0FD72BD2" w:rsidR="00812093" w:rsidRDefault="00560794" w:rsidP="00560794">
      <w:pPr>
        <w:pStyle w:val="BodyText3"/>
        <w:spacing w:after="240" w:line="480" w:lineRule="auto"/>
        <w:rPr>
          <w:sz w:val="24"/>
          <w:szCs w:val="24"/>
        </w:rPr>
      </w:pPr>
      <w:r>
        <w:rPr>
          <w:sz w:val="22"/>
          <w:szCs w:val="22"/>
        </w:rPr>
        <w:t>[70]</w:t>
      </w:r>
      <w:r>
        <w:rPr>
          <w:sz w:val="22"/>
          <w:szCs w:val="22"/>
        </w:rPr>
        <w:tab/>
      </w:r>
      <w:r w:rsidR="00812093">
        <w:rPr>
          <w:sz w:val="24"/>
          <w:szCs w:val="24"/>
        </w:rPr>
        <w:t>The court in the well-know</w:t>
      </w:r>
      <w:r w:rsidR="00C21C8E">
        <w:rPr>
          <w:sz w:val="24"/>
          <w:szCs w:val="24"/>
        </w:rPr>
        <w:t>n</w:t>
      </w:r>
      <w:r w:rsidR="00812093">
        <w:rPr>
          <w:sz w:val="24"/>
          <w:szCs w:val="24"/>
        </w:rPr>
        <w:t xml:space="preserve"> matter of </w:t>
      </w:r>
      <w:r w:rsidR="001031BC">
        <w:rPr>
          <w:sz w:val="24"/>
          <w:szCs w:val="24"/>
        </w:rPr>
        <w:t>Plascon-Evans</w:t>
      </w:r>
      <w:r w:rsidR="00C21C8E">
        <w:rPr>
          <w:sz w:val="24"/>
          <w:szCs w:val="24"/>
        </w:rPr>
        <w:t xml:space="preserve"> (Pty) Ltd v Van Riebeeck Paints (Pty) Ltd 1984(3) SA 623 (A) at 634,</w:t>
      </w:r>
      <w:r w:rsidR="001031BC">
        <w:rPr>
          <w:i/>
          <w:iCs/>
          <w:sz w:val="24"/>
          <w:szCs w:val="24"/>
        </w:rPr>
        <w:t xml:space="preserve"> </w:t>
      </w:r>
      <w:r w:rsidR="00812093">
        <w:rPr>
          <w:sz w:val="24"/>
          <w:szCs w:val="24"/>
        </w:rPr>
        <w:t>explained the principles relating to the resolution of disputes of fact as follows:</w:t>
      </w:r>
    </w:p>
    <w:p w14:paraId="2D70640B" w14:textId="2D8CDBC0" w:rsidR="00552E30" w:rsidRPr="0002286A" w:rsidRDefault="00560794" w:rsidP="00560794">
      <w:pPr>
        <w:pStyle w:val="BodyText3"/>
        <w:spacing w:after="240" w:line="480" w:lineRule="auto"/>
        <w:ind w:left="930" w:hanging="465"/>
        <w:rPr>
          <w:sz w:val="24"/>
          <w:szCs w:val="24"/>
        </w:rPr>
      </w:pPr>
      <w:r w:rsidRPr="0002286A">
        <w:rPr>
          <w:sz w:val="24"/>
          <w:szCs w:val="24"/>
        </w:rPr>
        <w:t>70.1</w:t>
      </w:r>
      <w:r w:rsidRPr="0002286A">
        <w:rPr>
          <w:sz w:val="24"/>
          <w:szCs w:val="24"/>
        </w:rPr>
        <w:tab/>
      </w:r>
      <w:r w:rsidR="00552E30" w:rsidRPr="00123B4C">
        <w:rPr>
          <w:sz w:val="24"/>
          <w:szCs w:val="24"/>
        </w:rPr>
        <w:t>a final interdict c</w:t>
      </w:r>
      <w:r w:rsidR="00812093" w:rsidRPr="00123B4C">
        <w:rPr>
          <w:sz w:val="24"/>
          <w:szCs w:val="24"/>
        </w:rPr>
        <w:t>an</w:t>
      </w:r>
      <w:r w:rsidR="00552E30" w:rsidRPr="00123B4C">
        <w:rPr>
          <w:sz w:val="24"/>
          <w:szCs w:val="24"/>
        </w:rPr>
        <w:t xml:space="preserve"> only be granted in motion proceedings if the facts, as stated by the respondent, together with the admitted facts in the applicant’s affidavits, justify an order.  </w:t>
      </w:r>
      <w:r w:rsidR="00812093" w:rsidRPr="00123B4C">
        <w:rPr>
          <w:sz w:val="24"/>
          <w:szCs w:val="24"/>
        </w:rPr>
        <w:t>W</w:t>
      </w:r>
      <w:r w:rsidR="00552E30" w:rsidRPr="00123B4C">
        <w:rPr>
          <w:sz w:val="24"/>
          <w:szCs w:val="24"/>
        </w:rPr>
        <w:t>here facts, though not formally admitted, cannot be denied, they m</w:t>
      </w:r>
      <w:r w:rsidR="00552E30" w:rsidRPr="0002286A">
        <w:rPr>
          <w:sz w:val="24"/>
          <w:szCs w:val="24"/>
        </w:rPr>
        <w:t>ust be regarded as admitted</w:t>
      </w:r>
      <w:r w:rsidR="00123B4C" w:rsidRPr="0002286A">
        <w:rPr>
          <w:rStyle w:val="FootnoteReference"/>
          <w:sz w:val="24"/>
          <w:szCs w:val="24"/>
        </w:rPr>
        <w:footnoteReference w:id="36"/>
      </w:r>
      <w:r w:rsidR="00552E30" w:rsidRPr="0002286A">
        <w:rPr>
          <w:sz w:val="24"/>
          <w:szCs w:val="24"/>
        </w:rPr>
        <w:t>;</w:t>
      </w:r>
    </w:p>
    <w:p w14:paraId="4BBAC6DF" w14:textId="52BCBC33" w:rsidR="00552E30" w:rsidRPr="0002286A" w:rsidRDefault="00560794" w:rsidP="00560794">
      <w:pPr>
        <w:pStyle w:val="BodyText3"/>
        <w:spacing w:after="240" w:line="480" w:lineRule="auto"/>
        <w:ind w:left="930" w:hanging="465"/>
        <w:rPr>
          <w:sz w:val="24"/>
          <w:szCs w:val="24"/>
        </w:rPr>
      </w:pPr>
      <w:r w:rsidRPr="0002286A">
        <w:rPr>
          <w:sz w:val="24"/>
          <w:szCs w:val="24"/>
        </w:rPr>
        <w:t>70.2</w:t>
      </w:r>
      <w:r w:rsidRPr="0002286A">
        <w:rPr>
          <w:sz w:val="24"/>
          <w:szCs w:val="24"/>
        </w:rPr>
        <w:tab/>
      </w:r>
      <w:r w:rsidR="00552E30" w:rsidRPr="0002286A">
        <w:rPr>
          <w:sz w:val="24"/>
          <w:szCs w:val="24"/>
        </w:rPr>
        <w:t xml:space="preserve">A court, in motion proceedings, is not confined to only the above-mentioned consideration </w:t>
      </w:r>
      <w:r w:rsidR="00812093" w:rsidRPr="0002286A">
        <w:rPr>
          <w:sz w:val="24"/>
          <w:szCs w:val="24"/>
        </w:rPr>
        <w:t>and in certain</w:t>
      </w:r>
      <w:r w:rsidR="00552E30" w:rsidRPr="0002286A">
        <w:rPr>
          <w:sz w:val="24"/>
          <w:szCs w:val="24"/>
        </w:rPr>
        <w:t xml:space="preserve"> circumstances the denial by the respondent of a fact alleged by the applicant may not be such as to raise a real, genuine or </w:t>
      </w:r>
      <w:r w:rsidR="00552E30" w:rsidRPr="0002286A">
        <w:rPr>
          <w:i/>
          <w:iCs/>
          <w:sz w:val="24"/>
          <w:szCs w:val="24"/>
        </w:rPr>
        <w:t>bona fide</w:t>
      </w:r>
      <w:r w:rsidR="00552E30" w:rsidRPr="0002286A">
        <w:rPr>
          <w:sz w:val="24"/>
          <w:szCs w:val="24"/>
        </w:rPr>
        <w:t xml:space="preserve"> dispute of fact</w:t>
      </w:r>
      <w:r w:rsidR="00123B4C" w:rsidRPr="0002286A">
        <w:rPr>
          <w:rStyle w:val="FootnoteReference"/>
          <w:sz w:val="24"/>
          <w:szCs w:val="24"/>
        </w:rPr>
        <w:footnoteReference w:id="37"/>
      </w:r>
      <w:r w:rsidR="00552E30" w:rsidRPr="0002286A">
        <w:rPr>
          <w:sz w:val="24"/>
          <w:szCs w:val="24"/>
        </w:rPr>
        <w:t>;</w:t>
      </w:r>
    </w:p>
    <w:p w14:paraId="576C40C9" w14:textId="79231A81" w:rsidR="00552E30" w:rsidRPr="0002286A" w:rsidRDefault="00560794" w:rsidP="00560794">
      <w:pPr>
        <w:pStyle w:val="BodyText3"/>
        <w:spacing w:after="240" w:line="480" w:lineRule="auto"/>
        <w:ind w:left="930" w:hanging="465"/>
        <w:rPr>
          <w:sz w:val="24"/>
          <w:szCs w:val="24"/>
        </w:rPr>
      </w:pPr>
      <w:r w:rsidRPr="0002286A">
        <w:rPr>
          <w:sz w:val="24"/>
          <w:szCs w:val="24"/>
        </w:rPr>
        <w:t>70.3</w:t>
      </w:r>
      <w:r w:rsidRPr="0002286A">
        <w:rPr>
          <w:sz w:val="24"/>
          <w:szCs w:val="24"/>
        </w:rPr>
        <w:tab/>
      </w:r>
      <w:r w:rsidR="00552E30" w:rsidRPr="0002286A">
        <w:rPr>
          <w:sz w:val="24"/>
          <w:szCs w:val="24"/>
        </w:rPr>
        <w:t>Where the allegations or denials of the respondent are so far-fetched, or clearly untenable, the court is justified in rejecting such facts merely on the papers.</w:t>
      </w:r>
    </w:p>
    <w:p w14:paraId="2D225BB4" w14:textId="1684A10D" w:rsidR="00552E30" w:rsidRPr="00812093" w:rsidRDefault="00560794" w:rsidP="00560794">
      <w:pPr>
        <w:pStyle w:val="BodyText3"/>
        <w:spacing w:after="240" w:line="480" w:lineRule="auto"/>
        <w:rPr>
          <w:sz w:val="24"/>
          <w:szCs w:val="24"/>
        </w:rPr>
      </w:pPr>
      <w:r w:rsidRPr="00812093">
        <w:rPr>
          <w:sz w:val="22"/>
          <w:szCs w:val="22"/>
        </w:rPr>
        <w:t>[71]</w:t>
      </w:r>
      <w:r w:rsidRPr="00812093">
        <w:rPr>
          <w:sz w:val="22"/>
          <w:szCs w:val="22"/>
        </w:rPr>
        <w:tab/>
      </w:r>
      <w:r w:rsidR="00552E30" w:rsidRPr="00812093">
        <w:rPr>
          <w:sz w:val="24"/>
          <w:szCs w:val="24"/>
        </w:rPr>
        <w:t xml:space="preserve">A real and </w:t>
      </w:r>
      <w:r w:rsidR="00552E30" w:rsidRPr="00812093">
        <w:rPr>
          <w:i/>
          <w:iCs/>
          <w:sz w:val="24"/>
          <w:szCs w:val="24"/>
        </w:rPr>
        <w:t xml:space="preserve">bona fide </w:t>
      </w:r>
      <w:r w:rsidR="00552E30" w:rsidRPr="00812093">
        <w:rPr>
          <w:sz w:val="24"/>
          <w:szCs w:val="24"/>
        </w:rPr>
        <w:t>dispute of fact can exist only where the court is satisfied that the party who purports to raise the dispute has, in his or her affidavit, seriously and unambiguously addressed the fact said to be disputed</w:t>
      </w:r>
      <w:r w:rsidR="00137162">
        <w:rPr>
          <w:rStyle w:val="FootnoteReference"/>
          <w:sz w:val="24"/>
          <w:szCs w:val="24"/>
        </w:rPr>
        <w:footnoteReference w:id="38"/>
      </w:r>
      <w:r w:rsidR="00A307D1">
        <w:rPr>
          <w:sz w:val="24"/>
          <w:szCs w:val="24"/>
        </w:rPr>
        <w:t xml:space="preserve"> . The dispute must also be relevant to issues to be determined. </w:t>
      </w:r>
    </w:p>
    <w:p w14:paraId="1A24CFA6" w14:textId="5F09D030" w:rsidR="00552E30" w:rsidRPr="00A307D1" w:rsidRDefault="00560794" w:rsidP="00560794">
      <w:pPr>
        <w:pStyle w:val="BodyText3"/>
        <w:spacing w:after="240" w:line="480" w:lineRule="auto"/>
        <w:rPr>
          <w:sz w:val="24"/>
          <w:szCs w:val="24"/>
        </w:rPr>
      </w:pPr>
      <w:r w:rsidRPr="00A307D1">
        <w:rPr>
          <w:sz w:val="22"/>
          <w:szCs w:val="22"/>
        </w:rPr>
        <w:t>[72]</w:t>
      </w:r>
      <w:r w:rsidRPr="00A307D1">
        <w:rPr>
          <w:sz w:val="22"/>
          <w:szCs w:val="22"/>
        </w:rPr>
        <w:tab/>
      </w:r>
      <w:r w:rsidR="00552E30" w:rsidRPr="00A307D1">
        <w:rPr>
          <w:sz w:val="24"/>
          <w:szCs w:val="24"/>
        </w:rPr>
        <w:t xml:space="preserve">In </w:t>
      </w:r>
      <w:r w:rsidR="00552E30" w:rsidRPr="00A307D1">
        <w:rPr>
          <w:sz w:val="24"/>
          <w:szCs w:val="24"/>
          <w:u w:val="single"/>
        </w:rPr>
        <w:t>Soffiantini v Mould</w:t>
      </w:r>
      <w:r w:rsidR="00137162">
        <w:rPr>
          <w:rStyle w:val="FootnoteReference"/>
          <w:sz w:val="24"/>
          <w:szCs w:val="24"/>
          <w:u w:val="single"/>
        </w:rPr>
        <w:footnoteReference w:id="39"/>
      </w:r>
      <w:r w:rsidR="00552E30" w:rsidRPr="00A307D1">
        <w:rPr>
          <w:sz w:val="24"/>
          <w:szCs w:val="24"/>
        </w:rPr>
        <w:t xml:space="preserve">, Price JP </w:t>
      </w:r>
      <w:r w:rsidR="00373B04">
        <w:rPr>
          <w:sz w:val="24"/>
          <w:szCs w:val="24"/>
        </w:rPr>
        <w:t>stated that</w:t>
      </w:r>
      <w:r w:rsidR="00552E30" w:rsidRPr="00A307D1">
        <w:rPr>
          <w:sz w:val="24"/>
          <w:szCs w:val="24"/>
        </w:rPr>
        <w:t>:</w:t>
      </w:r>
    </w:p>
    <w:p w14:paraId="113EE32E" w14:textId="39282712" w:rsidR="00552E30" w:rsidRDefault="00552E30" w:rsidP="00552E30">
      <w:pPr>
        <w:ind w:left="720"/>
        <w:rPr>
          <w:i/>
          <w:iCs/>
        </w:rPr>
      </w:pPr>
      <w:r w:rsidRPr="000642EB">
        <w:rPr>
          <w:i/>
          <w:iCs/>
        </w:rPr>
        <w:lastRenderedPageBreak/>
        <w:t>'If by a mere denial in general terms a respondent can defeat or delay an applicant who comes to Court on motion, then motion proceedings are worthless, for a respondent can always defeat or delay a petitioner by such a device. 'It is necessary to make a robust, common-sense approach to a dispute on motion as otherwise the effective functioning of the Court can be hamstrung and circumvented by the most simple and blatant stratagem. The Court must not hesitate to decide an issue of fact on affidavit merely because it may be difficult to do so. Justice can be defeated or seriously impeded and delayed by an over-fastidious approach to a dispute raised in affidavits.”</w:t>
      </w:r>
    </w:p>
    <w:p w14:paraId="72D6E33E" w14:textId="77777777" w:rsidR="00C21C8E" w:rsidRPr="000642EB" w:rsidRDefault="00C21C8E" w:rsidP="00552E30">
      <w:pPr>
        <w:ind w:left="720"/>
        <w:rPr>
          <w:i/>
          <w:iCs/>
        </w:rPr>
      </w:pPr>
    </w:p>
    <w:p w14:paraId="32570C78" w14:textId="5963A6FB" w:rsidR="00552E30" w:rsidRPr="00A307D1" w:rsidRDefault="00560794" w:rsidP="00560794">
      <w:pPr>
        <w:pStyle w:val="BodyText3"/>
        <w:spacing w:after="240" w:line="480" w:lineRule="auto"/>
        <w:rPr>
          <w:sz w:val="24"/>
          <w:szCs w:val="24"/>
        </w:rPr>
      </w:pPr>
      <w:r w:rsidRPr="00A307D1">
        <w:rPr>
          <w:sz w:val="22"/>
          <w:szCs w:val="22"/>
        </w:rPr>
        <w:t>[73]</w:t>
      </w:r>
      <w:r w:rsidRPr="00A307D1">
        <w:rPr>
          <w:sz w:val="22"/>
          <w:szCs w:val="22"/>
        </w:rPr>
        <w:tab/>
      </w:r>
      <w:r w:rsidR="00552E30" w:rsidRPr="00A307D1">
        <w:rPr>
          <w:sz w:val="24"/>
          <w:szCs w:val="24"/>
        </w:rPr>
        <w:t>A respondent, in addition, cannot merely allege conclusions as facts.  A respondent must produce admissible evidence in support of such facts. In motion proceedings the affidavits constitute not only the evidence, but also the pleadings.  A party, in motion proceedings, is consequently expected to allege the required facts and, in addition, to support such facts by adducing admissible evidence.</w:t>
      </w:r>
      <w:r w:rsidR="00137162">
        <w:rPr>
          <w:rStyle w:val="FootnoteReference"/>
          <w:sz w:val="24"/>
          <w:szCs w:val="24"/>
        </w:rPr>
        <w:footnoteReference w:id="40"/>
      </w:r>
    </w:p>
    <w:p w14:paraId="50861A5B" w14:textId="0113384E" w:rsidR="00552E30" w:rsidRPr="00A307D1" w:rsidRDefault="00560794" w:rsidP="00560794">
      <w:pPr>
        <w:pStyle w:val="BodyText3"/>
        <w:spacing w:after="240" w:line="480" w:lineRule="auto"/>
        <w:rPr>
          <w:sz w:val="24"/>
          <w:szCs w:val="24"/>
        </w:rPr>
      </w:pPr>
      <w:r w:rsidRPr="00A307D1">
        <w:rPr>
          <w:sz w:val="22"/>
          <w:szCs w:val="22"/>
        </w:rPr>
        <w:t>[74]</w:t>
      </w:r>
      <w:r w:rsidRPr="00A307D1">
        <w:rPr>
          <w:sz w:val="22"/>
          <w:szCs w:val="22"/>
        </w:rPr>
        <w:tab/>
      </w:r>
      <w:r w:rsidR="00552E30" w:rsidRPr="00A307D1">
        <w:rPr>
          <w:sz w:val="24"/>
          <w:szCs w:val="24"/>
        </w:rPr>
        <w:t>Although the so-called robust common-sense approach usually relates to a situation where the respondent makes bald, vague and hollow denials of factual matter, it has been held to be applicable in accessing a detailed version, which is wholly fanciful and untenable.</w:t>
      </w:r>
      <w:r w:rsidR="00552E30" w:rsidRPr="00A307D1">
        <w:rPr>
          <w:rStyle w:val="FootnoteReference"/>
          <w:sz w:val="24"/>
          <w:szCs w:val="24"/>
        </w:rPr>
        <w:t xml:space="preserve"> </w:t>
      </w:r>
      <w:r w:rsidR="000E1DAE">
        <w:rPr>
          <w:rStyle w:val="FootnoteReference"/>
          <w:sz w:val="24"/>
          <w:szCs w:val="24"/>
        </w:rPr>
        <w:footnoteReference w:id="41"/>
      </w:r>
    </w:p>
    <w:p w14:paraId="01C9E9B5" w14:textId="34AA372B" w:rsidR="00552E30" w:rsidRPr="00A307D1" w:rsidRDefault="00560794" w:rsidP="00560794">
      <w:pPr>
        <w:pStyle w:val="BodyText3"/>
        <w:spacing w:after="240" w:line="480" w:lineRule="auto"/>
        <w:rPr>
          <w:sz w:val="24"/>
          <w:szCs w:val="24"/>
        </w:rPr>
      </w:pPr>
      <w:r w:rsidRPr="00A307D1">
        <w:rPr>
          <w:sz w:val="22"/>
          <w:szCs w:val="22"/>
        </w:rPr>
        <w:t>[75]</w:t>
      </w:r>
      <w:r w:rsidRPr="00A307D1">
        <w:rPr>
          <w:sz w:val="22"/>
          <w:szCs w:val="22"/>
        </w:rPr>
        <w:tab/>
      </w:r>
      <w:r w:rsidR="00552E30" w:rsidRPr="00A307D1">
        <w:rPr>
          <w:sz w:val="24"/>
          <w:szCs w:val="24"/>
        </w:rPr>
        <w:t>I</w:t>
      </w:r>
      <w:r w:rsidR="00552E30" w:rsidRPr="001031BC">
        <w:rPr>
          <w:sz w:val="24"/>
          <w:szCs w:val="24"/>
        </w:rPr>
        <w:t xml:space="preserve">n Transnet v Rubenstein </w:t>
      </w:r>
      <w:r w:rsidR="00141F96">
        <w:rPr>
          <w:sz w:val="24"/>
          <w:szCs w:val="24"/>
        </w:rPr>
        <w:t>(</w:t>
      </w:r>
      <w:r w:rsidR="00141F96">
        <w:rPr>
          <w:i/>
          <w:iCs/>
          <w:sz w:val="24"/>
          <w:szCs w:val="24"/>
        </w:rPr>
        <w:t xml:space="preserve">supra) </w:t>
      </w:r>
      <w:r w:rsidR="00552E30" w:rsidRPr="001031BC">
        <w:rPr>
          <w:sz w:val="24"/>
          <w:szCs w:val="24"/>
        </w:rPr>
        <w:t>th</w:t>
      </w:r>
      <w:r w:rsidR="00552E30" w:rsidRPr="00A307D1">
        <w:rPr>
          <w:sz w:val="24"/>
          <w:szCs w:val="24"/>
        </w:rPr>
        <w:t>e Supreme Court of Appeal held that a respondent is required to make necessary allegations to set up a defence (or grounds for opposition) and support such allegations by evidence</w:t>
      </w:r>
      <w:r w:rsidR="000E1DAE">
        <w:rPr>
          <w:rStyle w:val="FootnoteReference"/>
          <w:sz w:val="24"/>
          <w:szCs w:val="24"/>
        </w:rPr>
        <w:footnoteReference w:id="42"/>
      </w:r>
      <w:r w:rsidR="00373B04">
        <w:rPr>
          <w:sz w:val="24"/>
          <w:szCs w:val="24"/>
        </w:rPr>
        <w:t>.</w:t>
      </w:r>
    </w:p>
    <w:p w14:paraId="3A176C51" w14:textId="22E48AB6" w:rsidR="00552E30" w:rsidRDefault="00560794" w:rsidP="00560794">
      <w:pPr>
        <w:pStyle w:val="BodyText3"/>
        <w:spacing w:after="240" w:line="480" w:lineRule="auto"/>
        <w:rPr>
          <w:sz w:val="24"/>
          <w:szCs w:val="24"/>
        </w:rPr>
      </w:pPr>
      <w:r>
        <w:rPr>
          <w:sz w:val="22"/>
          <w:szCs w:val="22"/>
        </w:rPr>
        <w:t>[76]</w:t>
      </w:r>
      <w:r>
        <w:rPr>
          <w:sz w:val="22"/>
          <w:szCs w:val="22"/>
        </w:rPr>
        <w:tab/>
      </w:r>
      <w:r w:rsidR="00552E30" w:rsidRPr="00593337">
        <w:rPr>
          <w:sz w:val="24"/>
          <w:szCs w:val="24"/>
        </w:rPr>
        <w:t xml:space="preserve">Another principle that is apposite in this matter, flows from the limited access that the liquidators have to facts in the context of the mismanagement of MTI. </w:t>
      </w:r>
      <w:r w:rsidR="00552E30" w:rsidRPr="00593337">
        <w:rPr>
          <w:sz w:val="24"/>
          <w:szCs w:val="24"/>
        </w:rPr>
        <w:lastRenderedPageBreak/>
        <w:t>‘</w:t>
      </w:r>
      <w:r w:rsidR="00552E30" w:rsidRPr="00593337">
        <w:rPr>
          <w:i/>
          <w:iCs/>
          <w:sz w:val="24"/>
          <w:szCs w:val="24"/>
        </w:rPr>
        <w:t>Generally, the quantum of evidence a party can be expected to adduce depends upon the amount of evidence at his disposal’.</w:t>
      </w:r>
      <w:r w:rsidR="000E1DAE">
        <w:rPr>
          <w:rStyle w:val="FootnoteReference"/>
          <w:i/>
          <w:iCs/>
          <w:sz w:val="24"/>
          <w:szCs w:val="24"/>
        </w:rPr>
        <w:footnoteReference w:id="43"/>
      </w:r>
    </w:p>
    <w:p w14:paraId="44F1E2EC" w14:textId="275FD7BF" w:rsidR="00096E13" w:rsidRDefault="00560794" w:rsidP="00560794">
      <w:pPr>
        <w:pStyle w:val="BodyText3"/>
        <w:spacing w:after="240" w:line="480" w:lineRule="auto"/>
        <w:rPr>
          <w:sz w:val="24"/>
          <w:szCs w:val="24"/>
        </w:rPr>
      </w:pPr>
      <w:r>
        <w:rPr>
          <w:sz w:val="22"/>
          <w:szCs w:val="22"/>
        </w:rPr>
        <w:t>[77]</w:t>
      </w:r>
      <w:r>
        <w:rPr>
          <w:sz w:val="22"/>
          <w:szCs w:val="22"/>
        </w:rPr>
        <w:tab/>
      </w:r>
      <w:r w:rsidR="00E362FF" w:rsidRPr="00542AAB">
        <w:rPr>
          <w:sz w:val="24"/>
          <w:szCs w:val="24"/>
        </w:rPr>
        <w:t xml:space="preserve">I </w:t>
      </w:r>
      <w:r w:rsidR="00E22AFD" w:rsidRPr="00542AAB">
        <w:rPr>
          <w:sz w:val="24"/>
          <w:szCs w:val="24"/>
        </w:rPr>
        <w:t xml:space="preserve">shall </w:t>
      </w:r>
      <w:r w:rsidR="00E362FF" w:rsidRPr="00542AAB">
        <w:rPr>
          <w:sz w:val="24"/>
          <w:szCs w:val="24"/>
        </w:rPr>
        <w:t xml:space="preserve">deal with the </w:t>
      </w:r>
      <w:r w:rsidR="00571D89" w:rsidRPr="00542AAB">
        <w:rPr>
          <w:sz w:val="24"/>
          <w:szCs w:val="24"/>
        </w:rPr>
        <w:t xml:space="preserve">question of whether MTI was </w:t>
      </w:r>
      <w:r w:rsidR="00E22AFD" w:rsidRPr="00542AAB">
        <w:rPr>
          <w:sz w:val="24"/>
          <w:szCs w:val="24"/>
        </w:rPr>
        <w:t>an illegal/unlawful and fraudulent scheme</w:t>
      </w:r>
      <w:r w:rsidR="00A2603E">
        <w:rPr>
          <w:sz w:val="24"/>
          <w:szCs w:val="24"/>
        </w:rPr>
        <w:t xml:space="preserve"> and </w:t>
      </w:r>
      <w:r w:rsidR="00E96D4A" w:rsidRPr="00542AAB">
        <w:rPr>
          <w:sz w:val="24"/>
          <w:szCs w:val="24"/>
        </w:rPr>
        <w:t xml:space="preserve">the question </w:t>
      </w:r>
      <w:r w:rsidR="00FE3FCE" w:rsidRPr="00542AAB">
        <w:rPr>
          <w:sz w:val="24"/>
          <w:szCs w:val="24"/>
        </w:rPr>
        <w:t xml:space="preserve">of </w:t>
      </w:r>
      <w:r w:rsidR="00E96D4A" w:rsidRPr="00542AAB">
        <w:rPr>
          <w:sz w:val="24"/>
          <w:szCs w:val="24"/>
        </w:rPr>
        <w:t xml:space="preserve">whether MTI was </w:t>
      </w:r>
      <w:r w:rsidR="00A3435F" w:rsidRPr="00542AAB">
        <w:rPr>
          <w:sz w:val="24"/>
          <w:szCs w:val="24"/>
        </w:rPr>
        <w:t xml:space="preserve">factually </w:t>
      </w:r>
      <w:r w:rsidR="00E96D4A" w:rsidRPr="00542AAB">
        <w:rPr>
          <w:sz w:val="24"/>
          <w:szCs w:val="24"/>
        </w:rPr>
        <w:t xml:space="preserve">insolvent from </w:t>
      </w:r>
      <w:r w:rsidR="00FE3FCE" w:rsidRPr="00542AAB">
        <w:rPr>
          <w:sz w:val="24"/>
          <w:szCs w:val="24"/>
        </w:rPr>
        <w:t>18 August 2019 (the beginning of the second period)</w:t>
      </w:r>
      <w:r w:rsidR="00AE63B3">
        <w:rPr>
          <w:sz w:val="24"/>
          <w:szCs w:val="24"/>
        </w:rPr>
        <w:t xml:space="preserve"> with reference to </w:t>
      </w:r>
      <w:r w:rsidR="009C6EFE">
        <w:rPr>
          <w:sz w:val="24"/>
          <w:szCs w:val="24"/>
        </w:rPr>
        <w:t xml:space="preserve">the </w:t>
      </w:r>
      <w:r w:rsidR="00AE63B3">
        <w:rPr>
          <w:sz w:val="24"/>
          <w:szCs w:val="24"/>
        </w:rPr>
        <w:t xml:space="preserve">dispute </w:t>
      </w:r>
      <w:r w:rsidR="008C4211">
        <w:rPr>
          <w:sz w:val="24"/>
          <w:szCs w:val="24"/>
        </w:rPr>
        <w:t>regarding the reliability of the MTI back office date</w:t>
      </w:r>
      <w:r w:rsidR="00A3435F" w:rsidRPr="00542AAB">
        <w:rPr>
          <w:sz w:val="24"/>
          <w:szCs w:val="24"/>
        </w:rPr>
        <w:t xml:space="preserve">, separately from the </w:t>
      </w:r>
      <w:r w:rsidR="00DE6250" w:rsidRPr="00542AAB">
        <w:rPr>
          <w:sz w:val="24"/>
          <w:szCs w:val="24"/>
        </w:rPr>
        <w:t xml:space="preserve">disputes of fact raised in respect of the evidence obtained by the FSCA from FXChoice, </w:t>
      </w:r>
      <w:r w:rsidR="00B91D02" w:rsidRPr="00542AAB">
        <w:rPr>
          <w:sz w:val="24"/>
          <w:szCs w:val="24"/>
        </w:rPr>
        <w:t>the exi</w:t>
      </w:r>
      <w:r w:rsidR="008147C4" w:rsidRPr="00542AAB">
        <w:rPr>
          <w:sz w:val="24"/>
          <w:szCs w:val="24"/>
        </w:rPr>
        <w:t>s</w:t>
      </w:r>
      <w:r w:rsidR="00B91D02" w:rsidRPr="00542AAB">
        <w:rPr>
          <w:sz w:val="24"/>
          <w:szCs w:val="24"/>
        </w:rPr>
        <w:t>t</w:t>
      </w:r>
      <w:r w:rsidR="008147C4" w:rsidRPr="00542AAB">
        <w:rPr>
          <w:sz w:val="24"/>
          <w:szCs w:val="24"/>
        </w:rPr>
        <w:t xml:space="preserve">ence </w:t>
      </w:r>
      <w:r w:rsidR="00B91D02" w:rsidRPr="00542AAB">
        <w:rPr>
          <w:sz w:val="24"/>
          <w:szCs w:val="24"/>
        </w:rPr>
        <w:t xml:space="preserve">of Trade 300 and the existence </w:t>
      </w:r>
      <w:r w:rsidR="001D0CE5" w:rsidRPr="00542AAB">
        <w:rPr>
          <w:sz w:val="24"/>
          <w:szCs w:val="24"/>
        </w:rPr>
        <w:t xml:space="preserve">and utilisation </w:t>
      </w:r>
      <w:r w:rsidR="00B91D02" w:rsidRPr="00542AAB">
        <w:rPr>
          <w:sz w:val="24"/>
          <w:szCs w:val="24"/>
        </w:rPr>
        <w:t>of the artificial intelligence bot.</w:t>
      </w:r>
      <w:r w:rsidR="00E22AFD" w:rsidRPr="00542AAB">
        <w:rPr>
          <w:sz w:val="24"/>
          <w:szCs w:val="24"/>
        </w:rPr>
        <w:t xml:space="preserve"> </w:t>
      </w:r>
    </w:p>
    <w:p w14:paraId="1D50BD49" w14:textId="77777777" w:rsidR="005F2F39" w:rsidRDefault="005F2F39" w:rsidP="005F2F39">
      <w:pPr>
        <w:pStyle w:val="BodyText3"/>
        <w:spacing w:after="240" w:line="480" w:lineRule="auto"/>
        <w:rPr>
          <w:sz w:val="24"/>
          <w:szCs w:val="24"/>
        </w:rPr>
      </w:pPr>
    </w:p>
    <w:p w14:paraId="4D37E508" w14:textId="4BA0C714" w:rsidR="004658F3" w:rsidRPr="004658F3" w:rsidRDefault="002D6CF2" w:rsidP="004658F3">
      <w:pPr>
        <w:pStyle w:val="BodyText3"/>
        <w:spacing w:after="240" w:line="480" w:lineRule="auto"/>
        <w:rPr>
          <w:i/>
          <w:iCs/>
          <w:sz w:val="24"/>
          <w:szCs w:val="24"/>
          <w:u w:val="single"/>
        </w:rPr>
      </w:pPr>
      <w:r>
        <w:rPr>
          <w:i/>
          <w:iCs/>
          <w:sz w:val="24"/>
          <w:szCs w:val="24"/>
          <w:u w:val="single"/>
        </w:rPr>
        <w:t xml:space="preserve">The existence of </w:t>
      </w:r>
      <w:r w:rsidR="00852785">
        <w:rPr>
          <w:i/>
          <w:iCs/>
          <w:sz w:val="24"/>
          <w:szCs w:val="24"/>
          <w:u w:val="single"/>
        </w:rPr>
        <w:t>Stephenson</w:t>
      </w:r>
      <w:r w:rsidR="00146F7D">
        <w:rPr>
          <w:i/>
          <w:iCs/>
          <w:sz w:val="24"/>
          <w:szCs w:val="24"/>
          <w:u w:val="single"/>
        </w:rPr>
        <w:t>:</w:t>
      </w:r>
    </w:p>
    <w:p w14:paraId="735744FB" w14:textId="5893563A" w:rsidR="00F777DF" w:rsidRDefault="00560794" w:rsidP="00560794">
      <w:pPr>
        <w:pStyle w:val="BodyText3"/>
        <w:spacing w:after="240" w:line="480" w:lineRule="auto"/>
        <w:rPr>
          <w:sz w:val="24"/>
          <w:szCs w:val="24"/>
        </w:rPr>
      </w:pPr>
      <w:r>
        <w:rPr>
          <w:sz w:val="22"/>
          <w:szCs w:val="22"/>
        </w:rPr>
        <w:t>[78]</w:t>
      </w:r>
      <w:r>
        <w:rPr>
          <w:sz w:val="22"/>
          <w:szCs w:val="22"/>
        </w:rPr>
        <w:tab/>
      </w:r>
      <w:r w:rsidR="002D6CF2">
        <w:rPr>
          <w:sz w:val="24"/>
          <w:szCs w:val="24"/>
        </w:rPr>
        <w:t xml:space="preserve">It appears to be common cause that the FSCA and consequently the applicants, </w:t>
      </w:r>
      <w:r w:rsidR="00DC2A49">
        <w:rPr>
          <w:sz w:val="24"/>
          <w:szCs w:val="24"/>
        </w:rPr>
        <w:t>r</w:t>
      </w:r>
      <w:r w:rsidR="002D6CF2">
        <w:rPr>
          <w:sz w:val="24"/>
          <w:szCs w:val="24"/>
        </w:rPr>
        <w:t>el</w:t>
      </w:r>
      <w:r w:rsidR="00ED655E">
        <w:rPr>
          <w:sz w:val="24"/>
          <w:szCs w:val="24"/>
        </w:rPr>
        <w:t>y</w:t>
      </w:r>
      <w:r w:rsidR="002D6CF2">
        <w:rPr>
          <w:sz w:val="24"/>
          <w:szCs w:val="24"/>
        </w:rPr>
        <w:t xml:space="preserve"> </w:t>
      </w:r>
      <w:r w:rsidR="005E07C0">
        <w:rPr>
          <w:sz w:val="24"/>
          <w:szCs w:val="24"/>
        </w:rPr>
        <w:t xml:space="preserve">heavily on the information obtained from FXChoice by way of </w:t>
      </w:r>
      <w:r w:rsidR="008575BA">
        <w:rPr>
          <w:sz w:val="24"/>
          <w:szCs w:val="24"/>
        </w:rPr>
        <w:t>Stephenson</w:t>
      </w:r>
      <w:r w:rsidR="00DC2A49">
        <w:rPr>
          <w:sz w:val="24"/>
          <w:szCs w:val="24"/>
        </w:rPr>
        <w:t>,</w:t>
      </w:r>
      <w:r w:rsidR="00F777DF">
        <w:rPr>
          <w:sz w:val="24"/>
          <w:szCs w:val="24"/>
        </w:rPr>
        <w:t xml:space="preserve"> who deposed to </w:t>
      </w:r>
      <w:r w:rsidR="00796D4E">
        <w:rPr>
          <w:sz w:val="24"/>
          <w:szCs w:val="24"/>
        </w:rPr>
        <w:t xml:space="preserve">affidavits on 28 October 2022 and again on 30 November 2021 in these proceedings. </w:t>
      </w:r>
    </w:p>
    <w:p w14:paraId="333A48B4" w14:textId="6F3B7F66" w:rsidR="00F9338C" w:rsidRPr="00ED655E" w:rsidRDefault="00560794" w:rsidP="00560794">
      <w:pPr>
        <w:pStyle w:val="BodyText3"/>
        <w:spacing w:after="240" w:line="480" w:lineRule="auto"/>
        <w:rPr>
          <w:sz w:val="24"/>
          <w:szCs w:val="24"/>
        </w:rPr>
      </w:pPr>
      <w:r w:rsidRPr="00ED655E">
        <w:rPr>
          <w:sz w:val="22"/>
          <w:szCs w:val="22"/>
        </w:rPr>
        <w:t>[79]</w:t>
      </w:r>
      <w:r w:rsidRPr="00ED655E">
        <w:rPr>
          <w:sz w:val="22"/>
          <w:szCs w:val="22"/>
        </w:rPr>
        <w:tab/>
      </w:r>
      <w:r w:rsidR="00CD0E83" w:rsidRPr="00ED655E">
        <w:rPr>
          <w:sz w:val="24"/>
          <w:szCs w:val="24"/>
        </w:rPr>
        <w:t xml:space="preserve">Stephenson </w:t>
      </w:r>
      <w:r w:rsidR="00ED655E" w:rsidRPr="00ED655E">
        <w:rPr>
          <w:sz w:val="24"/>
          <w:szCs w:val="24"/>
        </w:rPr>
        <w:t xml:space="preserve">deposed to an affidavit in which he confirmed that </w:t>
      </w:r>
      <w:r w:rsidR="00CD0E83" w:rsidRPr="00ED655E">
        <w:rPr>
          <w:sz w:val="24"/>
          <w:szCs w:val="24"/>
        </w:rPr>
        <w:t xml:space="preserve">he is </w:t>
      </w:r>
      <w:r w:rsidR="000E1DAE" w:rsidRPr="00ED655E">
        <w:rPr>
          <w:sz w:val="24"/>
          <w:szCs w:val="24"/>
        </w:rPr>
        <w:t>a citizen</w:t>
      </w:r>
      <w:r w:rsidR="00ED655E" w:rsidRPr="00ED655E">
        <w:rPr>
          <w:sz w:val="24"/>
          <w:szCs w:val="24"/>
        </w:rPr>
        <w:t xml:space="preserve"> of the United Kingdom</w:t>
      </w:r>
      <w:r w:rsidR="00087C9D" w:rsidRPr="00ED655E">
        <w:rPr>
          <w:sz w:val="24"/>
          <w:szCs w:val="24"/>
        </w:rPr>
        <w:t xml:space="preserve">, with passport </w:t>
      </w:r>
      <w:r w:rsidR="00D92BD7" w:rsidRPr="00ED655E">
        <w:rPr>
          <w:sz w:val="24"/>
          <w:szCs w:val="24"/>
        </w:rPr>
        <w:t>number</w:t>
      </w:r>
      <w:r w:rsidR="00B827C9" w:rsidRPr="00ED655E">
        <w:rPr>
          <w:sz w:val="24"/>
          <w:szCs w:val="24"/>
        </w:rPr>
        <w:t xml:space="preserve"> 562083892</w:t>
      </w:r>
      <w:r w:rsidR="00ED655E" w:rsidRPr="00ED655E">
        <w:rPr>
          <w:sz w:val="24"/>
          <w:szCs w:val="24"/>
        </w:rPr>
        <w:t xml:space="preserve">, </w:t>
      </w:r>
      <w:r w:rsidR="00B827C9" w:rsidRPr="00ED655E">
        <w:rPr>
          <w:sz w:val="24"/>
          <w:szCs w:val="24"/>
        </w:rPr>
        <w:t xml:space="preserve">in his capacity as the Administrative Director of FXChoice, a Belize </w:t>
      </w:r>
      <w:r w:rsidR="00ED655E" w:rsidRPr="00ED655E">
        <w:rPr>
          <w:sz w:val="24"/>
          <w:szCs w:val="24"/>
        </w:rPr>
        <w:t>International</w:t>
      </w:r>
      <w:r w:rsidR="00B827C9" w:rsidRPr="00ED655E">
        <w:rPr>
          <w:sz w:val="24"/>
          <w:szCs w:val="24"/>
        </w:rPr>
        <w:t xml:space="preserve"> Business Company, with company number 105,968</w:t>
      </w:r>
      <w:r w:rsidR="00ED655E" w:rsidRPr="00ED655E">
        <w:rPr>
          <w:sz w:val="24"/>
          <w:szCs w:val="24"/>
        </w:rPr>
        <w:t xml:space="preserve">. </w:t>
      </w:r>
    </w:p>
    <w:p w14:paraId="534FF915" w14:textId="7CA8B52D" w:rsidR="0079755A" w:rsidRPr="00C21C8E" w:rsidRDefault="00560794" w:rsidP="00560794">
      <w:pPr>
        <w:pStyle w:val="BodyText3"/>
        <w:spacing w:after="240" w:line="480" w:lineRule="auto"/>
        <w:rPr>
          <w:sz w:val="24"/>
          <w:szCs w:val="24"/>
        </w:rPr>
      </w:pPr>
      <w:r w:rsidRPr="00C21C8E">
        <w:rPr>
          <w:sz w:val="22"/>
          <w:szCs w:val="22"/>
        </w:rPr>
        <w:t>[80]</w:t>
      </w:r>
      <w:r w:rsidRPr="00C21C8E">
        <w:rPr>
          <w:sz w:val="22"/>
          <w:szCs w:val="22"/>
        </w:rPr>
        <w:tab/>
      </w:r>
      <w:r w:rsidR="004F2B83" w:rsidRPr="00C21C8E">
        <w:rPr>
          <w:sz w:val="24"/>
          <w:szCs w:val="24"/>
        </w:rPr>
        <w:t xml:space="preserve">The second and third </w:t>
      </w:r>
      <w:r w:rsidR="00C21C8E">
        <w:rPr>
          <w:sz w:val="24"/>
          <w:szCs w:val="24"/>
        </w:rPr>
        <w:t>respondents</w:t>
      </w:r>
      <w:r w:rsidR="004F2B83" w:rsidRPr="00C21C8E">
        <w:rPr>
          <w:sz w:val="24"/>
          <w:szCs w:val="24"/>
        </w:rPr>
        <w:t xml:space="preserve"> placed the existence of Stephenson in dispute on the basis that his signatures </w:t>
      </w:r>
      <w:r w:rsidR="004D11C0" w:rsidRPr="00C21C8E">
        <w:rPr>
          <w:sz w:val="24"/>
          <w:szCs w:val="24"/>
        </w:rPr>
        <w:t>on the affidavits before court</w:t>
      </w:r>
      <w:r w:rsidR="00C21C8E">
        <w:rPr>
          <w:sz w:val="24"/>
          <w:szCs w:val="24"/>
        </w:rPr>
        <w:t xml:space="preserve">, </w:t>
      </w:r>
      <w:r w:rsidR="004D11C0" w:rsidRPr="00C21C8E">
        <w:rPr>
          <w:sz w:val="24"/>
          <w:szCs w:val="24"/>
        </w:rPr>
        <w:t>in their opinion</w:t>
      </w:r>
      <w:r w:rsidR="00C21C8E">
        <w:rPr>
          <w:sz w:val="24"/>
          <w:szCs w:val="24"/>
        </w:rPr>
        <w:t xml:space="preserve">, differ </w:t>
      </w:r>
      <w:r w:rsidR="004D11C0" w:rsidRPr="00C21C8E">
        <w:rPr>
          <w:sz w:val="24"/>
          <w:szCs w:val="24"/>
        </w:rPr>
        <w:t xml:space="preserve">and </w:t>
      </w:r>
      <w:r w:rsidR="00141142" w:rsidRPr="00C21C8E">
        <w:rPr>
          <w:sz w:val="24"/>
          <w:szCs w:val="24"/>
        </w:rPr>
        <w:t>because an investigative journalist</w:t>
      </w:r>
      <w:r w:rsidR="00E10FB3" w:rsidRPr="00C21C8E">
        <w:rPr>
          <w:sz w:val="24"/>
          <w:szCs w:val="24"/>
        </w:rPr>
        <w:t xml:space="preserve">, </w:t>
      </w:r>
      <w:r w:rsidR="00141142" w:rsidRPr="00C21C8E">
        <w:rPr>
          <w:sz w:val="24"/>
          <w:szCs w:val="24"/>
        </w:rPr>
        <w:t xml:space="preserve">who is interested in writing a book about </w:t>
      </w:r>
      <w:r w:rsidR="00141142" w:rsidRPr="00C21C8E">
        <w:rPr>
          <w:sz w:val="24"/>
          <w:szCs w:val="24"/>
        </w:rPr>
        <w:lastRenderedPageBreak/>
        <w:t>MTI</w:t>
      </w:r>
      <w:r w:rsidR="00E10FB3" w:rsidRPr="00C21C8E">
        <w:rPr>
          <w:sz w:val="24"/>
          <w:szCs w:val="24"/>
        </w:rPr>
        <w:t xml:space="preserve">, </w:t>
      </w:r>
      <w:r w:rsidR="00141142" w:rsidRPr="00C21C8E">
        <w:rPr>
          <w:sz w:val="24"/>
          <w:szCs w:val="24"/>
        </w:rPr>
        <w:t xml:space="preserve">could find no evidence of his existence. </w:t>
      </w:r>
      <w:r w:rsidR="00323627" w:rsidRPr="00C21C8E">
        <w:rPr>
          <w:sz w:val="24"/>
          <w:szCs w:val="24"/>
        </w:rPr>
        <w:t xml:space="preserve">What the court should make of this is unclear. </w:t>
      </w:r>
    </w:p>
    <w:p w14:paraId="03A958C7" w14:textId="2581B926" w:rsidR="005F683C" w:rsidRDefault="00560794" w:rsidP="00560794">
      <w:pPr>
        <w:pStyle w:val="BodyText3"/>
        <w:spacing w:after="240" w:line="480" w:lineRule="auto"/>
        <w:rPr>
          <w:sz w:val="24"/>
          <w:szCs w:val="24"/>
        </w:rPr>
      </w:pPr>
      <w:r>
        <w:rPr>
          <w:sz w:val="22"/>
          <w:szCs w:val="22"/>
        </w:rPr>
        <w:t>[81]</w:t>
      </w:r>
      <w:r>
        <w:rPr>
          <w:sz w:val="22"/>
          <w:szCs w:val="22"/>
        </w:rPr>
        <w:tab/>
      </w:r>
      <w:r w:rsidR="0079755A">
        <w:rPr>
          <w:sz w:val="24"/>
          <w:szCs w:val="24"/>
        </w:rPr>
        <w:t xml:space="preserve">What is however </w:t>
      </w:r>
      <w:r w:rsidR="0039574F">
        <w:rPr>
          <w:sz w:val="24"/>
          <w:szCs w:val="24"/>
        </w:rPr>
        <w:t xml:space="preserve">undisputed is </w:t>
      </w:r>
      <w:r w:rsidR="00470AFE">
        <w:rPr>
          <w:sz w:val="24"/>
          <w:szCs w:val="24"/>
        </w:rPr>
        <w:t xml:space="preserve">the fact that </w:t>
      </w:r>
      <w:r w:rsidR="007F6B10">
        <w:rPr>
          <w:sz w:val="24"/>
          <w:szCs w:val="24"/>
        </w:rPr>
        <w:t>Stephenson signed two affidavits</w:t>
      </w:r>
      <w:r w:rsidR="000D6A41">
        <w:rPr>
          <w:sz w:val="24"/>
          <w:szCs w:val="24"/>
        </w:rPr>
        <w:t xml:space="preserve"> in these proceedings, before </w:t>
      </w:r>
      <w:r w:rsidR="00710B36">
        <w:rPr>
          <w:sz w:val="24"/>
          <w:szCs w:val="24"/>
        </w:rPr>
        <w:t xml:space="preserve">a notary public, </w:t>
      </w:r>
      <w:r w:rsidR="00585CA2">
        <w:rPr>
          <w:sz w:val="24"/>
          <w:szCs w:val="24"/>
        </w:rPr>
        <w:t>Mr O’Conner</w:t>
      </w:r>
      <w:r w:rsidR="00710B36">
        <w:rPr>
          <w:sz w:val="24"/>
          <w:szCs w:val="24"/>
        </w:rPr>
        <w:t xml:space="preserve">, who </w:t>
      </w:r>
      <w:r w:rsidR="00585CA2">
        <w:rPr>
          <w:sz w:val="24"/>
          <w:szCs w:val="24"/>
        </w:rPr>
        <w:t>exist</w:t>
      </w:r>
      <w:r w:rsidR="003031A6">
        <w:rPr>
          <w:sz w:val="24"/>
          <w:szCs w:val="24"/>
        </w:rPr>
        <w:t>s</w:t>
      </w:r>
      <w:r w:rsidR="00585CA2">
        <w:rPr>
          <w:sz w:val="24"/>
          <w:szCs w:val="24"/>
        </w:rPr>
        <w:t xml:space="preserve"> </w:t>
      </w:r>
      <w:r w:rsidR="00F05064">
        <w:rPr>
          <w:sz w:val="24"/>
          <w:szCs w:val="24"/>
        </w:rPr>
        <w:t xml:space="preserve">and </w:t>
      </w:r>
      <w:r w:rsidR="00822726">
        <w:rPr>
          <w:sz w:val="24"/>
          <w:szCs w:val="24"/>
        </w:rPr>
        <w:t xml:space="preserve">practices in </w:t>
      </w:r>
      <w:r w:rsidR="00F20ACF">
        <w:rPr>
          <w:sz w:val="24"/>
          <w:szCs w:val="24"/>
        </w:rPr>
        <w:t>London, England</w:t>
      </w:r>
      <w:r w:rsidR="00A35163">
        <w:rPr>
          <w:sz w:val="24"/>
          <w:szCs w:val="24"/>
        </w:rPr>
        <w:t>.</w:t>
      </w:r>
      <w:r w:rsidR="00F05064">
        <w:rPr>
          <w:rStyle w:val="FootnoteReference"/>
          <w:sz w:val="24"/>
          <w:szCs w:val="24"/>
        </w:rPr>
        <w:footnoteReference w:id="44"/>
      </w:r>
    </w:p>
    <w:p w14:paraId="3761AE5D" w14:textId="3CDA8088" w:rsidR="00B2057E" w:rsidRDefault="00560794" w:rsidP="00560794">
      <w:pPr>
        <w:pStyle w:val="BodyText3"/>
        <w:spacing w:after="240" w:line="480" w:lineRule="auto"/>
        <w:rPr>
          <w:sz w:val="24"/>
          <w:szCs w:val="24"/>
        </w:rPr>
      </w:pPr>
      <w:r>
        <w:rPr>
          <w:sz w:val="22"/>
          <w:szCs w:val="22"/>
        </w:rPr>
        <w:t>[82]</w:t>
      </w:r>
      <w:r>
        <w:rPr>
          <w:sz w:val="22"/>
          <w:szCs w:val="22"/>
        </w:rPr>
        <w:tab/>
      </w:r>
      <w:r w:rsidR="00C36EAB">
        <w:rPr>
          <w:sz w:val="24"/>
          <w:szCs w:val="24"/>
        </w:rPr>
        <w:t xml:space="preserve">It further appears that Stephenson replied to an email of the journalist and confirmed that it </w:t>
      </w:r>
      <w:r w:rsidR="00E877EB">
        <w:rPr>
          <w:sz w:val="24"/>
          <w:szCs w:val="24"/>
        </w:rPr>
        <w:t>was his signature on the two affidavits before court during February 2022.</w:t>
      </w:r>
      <w:r w:rsidR="00E877EB">
        <w:rPr>
          <w:rStyle w:val="FootnoteReference"/>
          <w:sz w:val="24"/>
          <w:szCs w:val="24"/>
        </w:rPr>
        <w:footnoteReference w:id="45"/>
      </w:r>
      <w:r w:rsidR="00A35163">
        <w:rPr>
          <w:sz w:val="24"/>
          <w:szCs w:val="24"/>
        </w:rPr>
        <w:t xml:space="preserve"> </w:t>
      </w:r>
    </w:p>
    <w:p w14:paraId="1B13C326" w14:textId="678D9002" w:rsidR="00B2057E" w:rsidRDefault="00560794" w:rsidP="00560794">
      <w:pPr>
        <w:pStyle w:val="BodyText3"/>
        <w:spacing w:after="240" w:line="480" w:lineRule="auto"/>
        <w:rPr>
          <w:sz w:val="24"/>
          <w:szCs w:val="24"/>
        </w:rPr>
      </w:pPr>
      <w:r>
        <w:rPr>
          <w:sz w:val="22"/>
          <w:szCs w:val="22"/>
        </w:rPr>
        <w:t>[83]</w:t>
      </w:r>
      <w:r>
        <w:rPr>
          <w:sz w:val="22"/>
          <w:szCs w:val="22"/>
        </w:rPr>
        <w:tab/>
      </w:r>
      <w:r w:rsidR="009D6A6F">
        <w:rPr>
          <w:sz w:val="24"/>
          <w:szCs w:val="24"/>
        </w:rPr>
        <w:t xml:space="preserve">The respondents have failed to place any facts before court to </w:t>
      </w:r>
      <w:r w:rsidR="00C21C8E">
        <w:rPr>
          <w:sz w:val="24"/>
          <w:szCs w:val="24"/>
        </w:rPr>
        <w:t xml:space="preserve">substantiate </w:t>
      </w:r>
      <w:r w:rsidR="00607716">
        <w:rPr>
          <w:sz w:val="24"/>
          <w:szCs w:val="24"/>
        </w:rPr>
        <w:t xml:space="preserve">doubt </w:t>
      </w:r>
      <w:r w:rsidR="00C21C8E">
        <w:rPr>
          <w:sz w:val="24"/>
          <w:szCs w:val="24"/>
        </w:rPr>
        <w:t xml:space="preserve">to </w:t>
      </w:r>
      <w:r w:rsidR="00607716">
        <w:rPr>
          <w:sz w:val="24"/>
          <w:szCs w:val="24"/>
        </w:rPr>
        <w:t xml:space="preserve">the existence </w:t>
      </w:r>
      <w:r w:rsidR="00F2429E">
        <w:rPr>
          <w:sz w:val="24"/>
          <w:szCs w:val="24"/>
        </w:rPr>
        <w:t xml:space="preserve">of </w:t>
      </w:r>
      <w:r w:rsidR="00607716">
        <w:rPr>
          <w:sz w:val="24"/>
          <w:szCs w:val="24"/>
        </w:rPr>
        <w:t>Stephenson</w:t>
      </w:r>
      <w:r w:rsidR="00F2429E">
        <w:rPr>
          <w:sz w:val="24"/>
          <w:szCs w:val="24"/>
        </w:rPr>
        <w:t xml:space="preserve"> or for the court to disregard the facts </w:t>
      </w:r>
      <w:r w:rsidR="00F37053">
        <w:rPr>
          <w:sz w:val="24"/>
          <w:szCs w:val="24"/>
        </w:rPr>
        <w:t>reported by him</w:t>
      </w:r>
      <w:r w:rsidR="00F2429E">
        <w:rPr>
          <w:sz w:val="24"/>
          <w:szCs w:val="24"/>
        </w:rPr>
        <w:t xml:space="preserve">. </w:t>
      </w:r>
      <w:r w:rsidR="009D129E">
        <w:rPr>
          <w:sz w:val="24"/>
          <w:szCs w:val="24"/>
        </w:rPr>
        <w:t xml:space="preserve"> </w:t>
      </w:r>
    </w:p>
    <w:p w14:paraId="497A95AD" w14:textId="7DC86158" w:rsidR="00AA6B1D" w:rsidRPr="001D7E1E" w:rsidRDefault="00AA6B1D" w:rsidP="00AA6B1D">
      <w:pPr>
        <w:pStyle w:val="BodyText3"/>
        <w:spacing w:after="240" w:line="480" w:lineRule="auto"/>
        <w:rPr>
          <w:i/>
          <w:iCs/>
          <w:sz w:val="24"/>
          <w:szCs w:val="24"/>
          <w:u w:val="single"/>
        </w:rPr>
      </w:pPr>
      <w:r w:rsidRPr="001D7E1E">
        <w:rPr>
          <w:i/>
          <w:iCs/>
          <w:sz w:val="24"/>
          <w:szCs w:val="24"/>
          <w:u w:val="single"/>
        </w:rPr>
        <w:t xml:space="preserve">The </w:t>
      </w:r>
      <w:r>
        <w:rPr>
          <w:i/>
          <w:iCs/>
          <w:sz w:val="24"/>
          <w:szCs w:val="24"/>
          <w:u w:val="single"/>
        </w:rPr>
        <w:t>exi</w:t>
      </w:r>
      <w:r w:rsidR="00CB5385">
        <w:rPr>
          <w:i/>
          <w:iCs/>
          <w:sz w:val="24"/>
          <w:szCs w:val="24"/>
          <w:u w:val="single"/>
        </w:rPr>
        <w:t>s</w:t>
      </w:r>
      <w:r>
        <w:rPr>
          <w:i/>
          <w:iCs/>
          <w:sz w:val="24"/>
          <w:szCs w:val="24"/>
          <w:u w:val="single"/>
        </w:rPr>
        <w:t>t</w:t>
      </w:r>
      <w:r w:rsidR="00CB5385">
        <w:rPr>
          <w:i/>
          <w:iCs/>
          <w:sz w:val="24"/>
          <w:szCs w:val="24"/>
          <w:u w:val="single"/>
        </w:rPr>
        <w:t xml:space="preserve">ence </w:t>
      </w:r>
      <w:r>
        <w:rPr>
          <w:i/>
          <w:iCs/>
          <w:sz w:val="24"/>
          <w:szCs w:val="24"/>
          <w:u w:val="single"/>
        </w:rPr>
        <w:t>of Trade 300 and the artificial intelligence bot:</w:t>
      </w:r>
    </w:p>
    <w:p w14:paraId="79B9C3FD" w14:textId="1EE23810" w:rsidR="00E863F8" w:rsidRPr="00C21C8E" w:rsidRDefault="00560794" w:rsidP="00560794">
      <w:pPr>
        <w:pStyle w:val="BodyText3"/>
        <w:spacing w:after="240" w:line="480" w:lineRule="auto"/>
        <w:rPr>
          <w:sz w:val="24"/>
          <w:szCs w:val="24"/>
        </w:rPr>
      </w:pPr>
      <w:r w:rsidRPr="00C21C8E">
        <w:rPr>
          <w:sz w:val="22"/>
          <w:szCs w:val="22"/>
        </w:rPr>
        <w:t>[84]</w:t>
      </w:r>
      <w:r w:rsidRPr="00C21C8E">
        <w:rPr>
          <w:sz w:val="22"/>
          <w:szCs w:val="22"/>
        </w:rPr>
        <w:tab/>
      </w:r>
      <w:r w:rsidR="00530B32" w:rsidRPr="00AA6B1D">
        <w:rPr>
          <w:sz w:val="24"/>
          <w:szCs w:val="24"/>
        </w:rPr>
        <w:t xml:space="preserve">The evidence </w:t>
      </w:r>
      <w:r w:rsidR="00791B98" w:rsidRPr="00AA6B1D">
        <w:rPr>
          <w:sz w:val="24"/>
          <w:szCs w:val="24"/>
        </w:rPr>
        <w:t xml:space="preserve">show that </w:t>
      </w:r>
      <w:r w:rsidR="002D3780" w:rsidRPr="00AA6B1D">
        <w:rPr>
          <w:sz w:val="24"/>
          <w:szCs w:val="24"/>
        </w:rPr>
        <w:t>Trade 300 and the email address used by it</w:t>
      </w:r>
      <w:r w:rsidR="00791B98" w:rsidRPr="00AA6B1D">
        <w:rPr>
          <w:sz w:val="24"/>
          <w:szCs w:val="24"/>
        </w:rPr>
        <w:t>,</w:t>
      </w:r>
      <w:r w:rsidR="002D3780" w:rsidRPr="00AA6B1D">
        <w:rPr>
          <w:sz w:val="24"/>
          <w:szCs w:val="24"/>
        </w:rPr>
        <w:t xml:space="preserve"> w</w:t>
      </w:r>
      <w:r w:rsidR="00E7111D" w:rsidRPr="00AA6B1D">
        <w:rPr>
          <w:sz w:val="24"/>
          <w:szCs w:val="24"/>
        </w:rPr>
        <w:t>as</w:t>
      </w:r>
      <w:r w:rsidR="002D3780" w:rsidRPr="00AA6B1D">
        <w:rPr>
          <w:sz w:val="24"/>
          <w:szCs w:val="24"/>
        </w:rPr>
        <w:t xml:space="preserve"> created by Steynberg and </w:t>
      </w:r>
      <w:r w:rsidR="00F37053">
        <w:rPr>
          <w:sz w:val="24"/>
          <w:szCs w:val="24"/>
        </w:rPr>
        <w:t xml:space="preserve">that </w:t>
      </w:r>
      <w:r w:rsidR="002D3780" w:rsidRPr="00AA6B1D">
        <w:rPr>
          <w:sz w:val="24"/>
          <w:szCs w:val="24"/>
        </w:rPr>
        <w:t xml:space="preserve">no trace </w:t>
      </w:r>
      <w:r w:rsidR="00F37053">
        <w:rPr>
          <w:sz w:val="24"/>
          <w:szCs w:val="24"/>
        </w:rPr>
        <w:t xml:space="preserve">could </w:t>
      </w:r>
      <w:r w:rsidR="002D3780" w:rsidRPr="00AA6B1D">
        <w:rPr>
          <w:sz w:val="24"/>
          <w:szCs w:val="24"/>
        </w:rPr>
        <w:t xml:space="preserve">be found that it is indeed an operating broker. </w:t>
      </w:r>
      <w:r w:rsidR="00791B98" w:rsidRPr="00AA6B1D">
        <w:rPr>
          <w:sz w:val="24"/>
          <w:szCs w:val="24"/>
        </w:rPr>
        <w:t xml:space="preserve">None of the respondents were able to place any evidence before court to </w:t>
      </w:r>
      <w:r w:rsidR="00791B98" w:rsidRPr="00C21C8E">
        <w:rPr>
          <w:sz w:val="24"/>
          <w:szCs w:val="24"/>
        </w:rPr>
        <w:t>show that it exist</w:t>
      </w:r>
      <w:r w:rsidR="00F37053" w:rsidRPr="00C21C8E">
        <w:rPr>
          <w:sz w:val="24"/>
          <w:szCs w:val="24"/>
        </w:rPr>
        <w:t>s</w:t>
      </w:r>
      <w:r w:rsidR="00791B98" w:rsidRPr="00C21C8E">
        <w:rPr>
          <w:sz w:val="24"/>
          <w:szCs w:val="24"/>
        </w:rPr>
        <w:t xml:space="preserve"> or that any funds were transferred by Steynberg or MTI </w:t>
      </w:r>
      <w:r w:rsidR="00156E0D" w:rsidRPr="00C21C8E">
        <w:rPr>
          <w:sz w:val="24"/>
          <w:szCs w:val="24"/>
        </w:rPr>
        <w:t xml:space="preserve">to such entity or </w:t>
      </w:r>
      <w:r w:rsidR="005C2E6C" w:rsidRPr="00C21C8E">
        <w:rPr>
          <w:sz w:val="24"/>
          <w:szCs w:val="24"/>
        </w:rPr>
        <w:t xml:space="preserve">any other entity for that matter. </w:t>
      </w:r>
      <w:r w:rsidR="00D0103F" w:rsidRPr="00C21C8E">
        <w:rPr>
          <w:sz w:val="24"/>
          <w:szCs w:val="24"/>
        </w:rPr>
        <w:t xml:space="preserve">The inevitable conclusion is: </w:t>
      </w:r>
      <w:r w:rsidR="005138C6" w:rsidRPr="00C21C8E">
        <w:rPr>
          <w:sz w:val="24"/>
          <w:szCs w:val="24"/>
        </w:rPr>
        <w:t>the representations made to investors by Steynberg and the management of MTI to investors in this regard</w:t>
      </w:r>
      <w:r w:rsidR="00E863F8" w:rsidRPr="00C21C8E">
        <w:rPr>
          <w:sz w:val="24"/>
          <w:szCs w:val="24"/>
        </w:rPr>
        <w:t>, w</w:t>
      </w:r>
      <w:r w:rsidR="00373B04" w:rsidRPr="00C21C8E">
        <w:rPr>
          <w:sz w:val="24"/>
          <w:szCs w:val="24"/>
        </w:rPr>
        <w:t>ere</w:t>
      </w:r>
      <w:r w:rsidR="00E863F8" w:rsidRPr="00C21C8E">
        <w:rPr>
          <w:sz w:val="24"/>
          <w:szCs w:val="24"/>
        </w:rPr>
        <w:t xml:space="preserve"> false.</w:t>
      </w:r>
      <w:r w:rsidR="00554DD3" w:rsidRPr="00C21C8E">
        <w:rPr>
          <w:sz w:val="24"/>
          <w:szCs w:val="24"/>
        </w:rPr>
        <w:t xml:space="preserve"> </w:t>
      </w:r>
    </w:p>
    <w:p w14:paraId="2C412EB3" w14:textId="1EC8F816" w:rsidR="000848BA" w:rsidRPr="00A2603E" w:rsidRDefault="00560794" w:rsidP="00560794">
      <w:pPr>
        <w:pStyle w:val="BodyText3"/>
        <w:spacing w:after="240" w:line="480" w:lineRule="auto"/>
        <w:rPr>
          <w:sz w:val="24"/>
          <w:szCs w:val="24"/>
        </w:rPr>
      </w:pPr>
      <w:r w:rsidRPr="00A2603E">
        <w:rPr>
          <w:sz w:val="22"/>
          <w:szCs w:val="22"/>
        </w:rPr>
        <w:t>[85]</w:t>
      </w:r>
      <w:r w:rsidRPr="00A2603E">
        <w:rPr>
          <w:sz w:val="22"/>
          <w:szCs w:val="22"/>
        </w:rPr>
        <w:tab/>
      </w:r>
      <w:r w:rsidR="00176A33" w:rsidRPr="00A2603E">
        <w:rPr>
          <w:sz w:val="24"/>
          <w:szCs w:val="24"/>
        </w:rPr>
        <w:t xml:space="preserve">Insofar as </w:t>
      </w:r>
      <w:r w:rsidR="009C1817" w:rsidRPr="00A2603E">
        <w:rPr>
          <w:sz w:val="24"/>
          <w:szCs w:val="24"/>
        </w:rPr>
        <w:t xml:space="preserve">the bot is concerned, </w:t>
      </w:r>
      <w:r w:rsidR="00176A33" w:rsidRPr="00A2603E">
        <w:rPr>
          <w:sz w:val="24"/>
          <w:szCs w:val="24"/>
        </w:rPr>
        <w:t xml:space="preserve">Steynberg </w:t>
      </w:r>
      <w:r w:rsidR="009C1817" w:rsidRPr="00A2603E">
        <w:rPr>
          <w:sz w:val="24"/>
          <w:szCs w:val="24"/>
        </w:rPr>
        <w:t xml:space="preserve">told the FSCA </w:t>
      </w:r>
      <w:r w:rsidR="009F09AC" w:rsidRPr="00A2603E">
        <w:rPr>
          <w:sz w:val="24"/>
          <w:szCs w:val="24"/>
        </w:rPr>
        <w:t xml:space="preserve">during 2020 </w:t>
      </w:r>
      <w:r w:rsidR="009C1817" w:rsidRPr="00A2603E">
        <w:rPr>
          <w:sz w:val="24"/>
          <w:szCs w:val="24"/>
        </w:rPr>
        <w:t>that M</w:t>
      </w:r>
      <w:r w:rsidR="00774F6A" w:rsidRPr="00A2603E">
        <w:rPr>
          <w:sz w:val="24"/>
          <w:szCs w:val="24"/>
        </w:rPr>
        <w:t xml:space="preserve">TI </w:t>
      </w:r>
      <w:r w:rsidR="009F6893" w:rsidRPr="00A2603E">
        <w:rPr>
          <w:sz w:val="24"/>
          <w:szCs w:val="24"/>
        </w:rPr>
        <w:t xml:space="preserve">had been </w:t>
      </w:r>
      <w:r w:rsidR="00EE6874" w:rsidRPr="00A2603E">
        <w:rPr>
          <w:sz w:val="24"/>
          <w:szCs w:val="24"/>
        </w:rPr>
        <w:t>trading by using an artificial intelligence bot since July 201</w:t>
      </w:r>
      <w:r w:rsidR="007B71D3" w:rsidRPr="00A2603E">
        <w:rPr>
          <w:sz w:val="24"/>
          <w:szCs w:val="24"/>
        </w:rPr>
        <w:t>9</w:t>
      </w:r>
      <w:r w:rsidR="004D17AB" w:rsidRPr="00A2603E">
        <w:rPr>
          <w:sz w:val="24"/>
          <w:szCs w:val="24"/>
        </w:rPr>
        <w:t xml:space="preserve">, which bot was developed </w:t>
      </w:r>
      <w:r w:rsidR="00F077CE" w:rsidRPr="00A2603E">
        <w:rPr>
          <w:sz w:val="24"/>
          <w:szCs w:val="24"/>
        </w:rPr>
        <w:t>by Keith Badenhorst</w:t>
      </w:r>
      <w:r w:rsidR="00BB6285" w:rsidRPr="00A2603E">
        <w:rPr>
          <w:sz w:val="24"/>
          <w:szCs w:val="24"/>
        </w:rPr>
        <w:t>, who was still maintaining and “tweaking” the bot</w:t>
      </w:r>
      <w:r w:rsidR="00EE4B0B" w:rsidRPr="00A2603E">
        <w:rPr>
          <w:sz w:val="24"/>
          <w:szCs w:val="24"/>
        </w:rPr>
        <w:t xml:space="preserve"> in </w:t>
      </w:r>
      <w:r w:rsidR="00EE4B0B" w:rsidRPr="00A2603E">
        <w:rPr>
          <w:sz w:val="24"/>
          <w:szCs w:val="24"/>
        </w:rPr>
        <w:lastRenderedPageBreak/>
        <w:t xml:space="preserve">order to ensure </w:t>
      </w:r>
      <w:r w:rsidR="00FC066F" w:rsidRPr="00A2603E">
        <w:rPr>
          <w:sz w:val="24"/>
          <w:szCs w:val="24"/>
        </w:rPr>
        <w:t xml:space="preserve">its performance and in order to </w:t>
      </w:r>
      <w:r w:rsidR="008C1721" w:rsidRPr="00A2603E">
        <w:rPr>
          <w:sz w:val="24"/>
          <w:szCs w:val="24"/>
        </w:rPr>
        <w:t>“adjust to market conditions”. According to him Badenhorst was paid</w:t>
      </w:r>
      <w:r w:rsidR="00FB01DE" w:rsidRPr="00A2603E">
        <w:rPr>
          <w:sz w:val="24"/>
          <w:szCs w:val="24"/>
        </w:rPr>
        <w:t xml:space="preserve"> </w:t>
      </w:r>
      <w:r w:rsidR="00E106D7" w:rsidRPr="00A2603E">
        <w:rPr>
          <w:sz w:val="24"/>
          <w:szCs w:val="24"/>
        </w:rPr>
        <w:t>30% (later</w:t>
      </w:r>
      <w:r w:rsidR="00FB01DE" w:rsidRPr="00A2603E">
        <w:rPr>
          <w:sz w:val="24"/>
          <w:szCs w:val="24"/>
        </w:rPr>
        <w:t xml:space="preserve"> </w:t>
      </w:r>
      <w:r w:rsidR="00E106D7" w:rsidRPr="00A2603E">
        <w:rPr>
          <w:sz w:val="24"/>
          <w:szCs w:val="24"/>
        </w:rPr>
        <w:t>25%) of MTI’s profits</w:t>
      </w:r>
      <w:r w:rsidR="000848BA" w:rsidRPr="00A2603E">
        <w:rPr>
          <w:sz w:val="24"/>
          <w:szCs w:val="24"/>
        </w:rPr>
        <w:t xml:space="preserve"> and a human could not effect such trades.</w:t>
      </w:r>
    </w:p>
    <w:p w14:paraId="2A3939E0" w14:textId="60C2732A" w:rsidR="00D47E9F" w:rsidRPr="005F2F39" w:rsidRDefault="00560794" w:rsidP="00560794">
      <w:pPr>
        <w:pStyle w:val="BodyText3"/>
        <w:spacing w:after="240" w:line="480" w:lineRule="auto"/>
      </w:pPr>
      <w:r w:rsidRPr="005F2F39">
        <w:rPr>
          <w:sz w:val="22"/>
          <w:szCs w:val="22"/>
        </w:rPr>
        <w:t>[86]</w:t>
      </w:r>
      <w:r w:rsidRPr="005F2F39">
        <w:rPr>
          <w:sz w:val="22"/>
          <w:szCs w:val="22"/>
        </w:rPr>
        <w:tab/>
      </w:r>
      <w:r w:rsidR="00E106D7" w:rsidRPr="009C6EFE">
        <w:rPr>
          <w:sz w:val="24"/>
          <w:szCs w:val="24"/>
        </w:rPr>
        <w:t>Keith Badenhorst testified under oath before the FSCA on 26 October 2020</w:t>
      </w:r>
      <w:r w:rsidR="00831234" w:rsidRPr="009C6EFE">
        <w:rPr>
          <w:sz w:val="24"/>
          <w:szCs w:val="24"/>
        </w:rPr>
        <w:t xml:space="preserve">, at the enquiry and he </w:t>
      </w:r>
      <w:r w:rsidR="00E106D7" w:rsidRPr="009C6EFE">
        <w:rPr>
          <w:sz w:val="24"/>
          <w:szCs w:val="24"/>
        </w:rPr>
        <w:t>deposed to an affidavit in this</w:t>
      </w:r>
      <w:r w:rsidR="00831234" w:rsidRPr="009C6EFE">
        <w:rPr>
          <w:sz w:val="24"/>
          <w:szCs w:val="24"/>
        </w:rPr>
        <w:t xml:space="preserve"> application</w:t>
      </w:r>
      <w:r w:rsidR="00373B04" w:rsidRPr="009C6EFE">
        <w:rPr>
          <w:sz w:val="24"/>
          <w:szCs w:val="24"/>
        </w:rPr>
        <w:t xml:space="preserve">. He explained that </w:t>
      </w:r>
      <w:r w:rsidR="008264B0" w:rsidRPr="009C6EFE">
        <w:rPr>
          <w:sz w:val="24"/>
          <w:szCs w:val="24"/>
        </w:rPr>
        <w:t xml:space="preserve">he and Steynberg “dabbled” </w:t>
      </w:r>
      <w:r w:rsidR="002E0CC8" w:rsidRPr="009C6EFE">
        <w:rPr>
          <w:sz w:val="24"/>
          <w:szCs w:val="24"/>
        </w:rPr>
        <w:t xml:space="preserve">in the development of a </w:t>
      </w:r>
      <w:r w:rsidR="00ED6572" w:rsidRPr="009C6EFE">
        <w:rPr>
          <w:sz w:val="24"/>
          <w:szCs w:val="24"/>
        </w:rPr>
        <w:t>rule-based</w:t>
      </w:r>
      <w:r w:rsidR="002E0CC8" w:rsidRPr="009C6EFE">
        <w:rPr>
          <w:sz w:val="24"/>
          <w:szCs w:val="24"/>
        </w:rPr>
        <w:t xml:space="preserve"> bot until about 2015</w:t>
      </w:r>
      <w:r w:rsidR="00373B04" w:rsidRPr="009C6EFE">
        <w:rPr>
          <w:sz w:val="24"/>
          <w:szCs w:val="24"/>
        </w:rPr>
        <w:t>,</w:t>
      </w:r>
      <w:r w:rsidR="002E0CC8" w:rsidRPr="009C6EFE">
        <w:rPr>
          <w:sz w:val="24"/>
          <w:szCs w:val="24"/>
        </w:rPr>
        <w:t xml:space="preserve"> at which stage he </w:t>
      </w:r>
      <w:r w:rsidR="00B85D6F" w:rsidRPr="009C6EFE">
        <w:rPr>
          <w:sz w:val="24"/>
          <w:szCs w:val="24"/>
        </w:rPr>
        <w:t xml:space="preserve">walked away from the project. He had not been involved in the upgrading of the bot </w:t>
      </w:r>
      <w:r w:rsidR="00C74920" w:rsidRPr="009C6EFE">
        <w:rPr>
          <w:sz w:val="24"/>
          <w:szCs w:val="24"/>
        </w:rPr>
        <w:t>in any material way and he was not aware that Steynberg was using the bot for trading purposes</w:t>
      </w:r>
      <w:r w:rsidR="00373B04" w:rsidRPr="009C6EFE">
        <w:rPr>
          <w:sz w:val="24"/>
          <w:szCs w:val="24"/>
        </w:rPr>
        <w:t xml:space="preserve">. He, quite interestingly, </w:t>
      </w:r>
      <w:r w:rsidR="00D47E9F" w:rsidRPr="009C6EFE">
        <w:rPr>
          <w:sz w:val="24"/>
          <w:szCs w:val="24"/>
        </w:rPr>
        <w:t>state</w:t>
      </w:r>
      <w:r w:rsidR="00F216C9" w:rsidRPr="009C6EFE">
        <w:rPr>
          <w:sz w:val="24"/>
          <w:szCs w:val="24"/>
        </w:rPr>
        <w:t>d</w:t>
      </w:r>
      <w:r w:rsidR="00D47E9F" w:rsidRPr="009C6EFE">
        <w:rPr>
          <w:sz w:val="24"/>
          <w:szCs w:val="24"/>
        </w:rPr>
        <w:t xml:space="preserve"> that: </w:t>
      </w:r>
    </w:p>
    <w:p w14:paraId="18B4BB21" w14:textId="77777777" w:rsidR="005F2F39" w:rsidRPr="00D47E9F" w:rsidRDefault="005F2F39" w:rsidP="005F2F39">
      <w:pPr>
        <w:pStyle w:val="BodyText3"/>
        <w:spacing w:after="240" w:line="480" w:lineRule="auto"/>
      </w:pPr>
    </w:p>
    <w:p w14:paraId="207D33A3" w14:textId="4674B174" w:rsidR="00D47E9F" w:rsidRPr="000642EB" w:rsidRDefault="00D47E9F" w:rsidP="00F216C9">
      <w:pPr>
        <w:ind w:left="720"/>
      </w:pPr>
      <w:r w:rsidRPr="00D47E9F">
        <w:rPr>
          <w:i/>
          <w:iCs/>
        </w:rPr>
        <w:t>“The first time I was made aware of myself being involved in this whole situation, was last year when the FSCA contacted me.”</w:t>
      </w:r>
      <w:r w:rsidRPr="000642EB">
        <w:t xml:space="preserve"> </w:t>
      </w:r>
    </w:p>
    <w:p w14:paraId="753CF9E1" w14:textId="77777777" w:rsidR="001973E9" w:rsidRPr="00D47E9F" w:rsidRDefault="001973E9" w:rsidP="00D47E9F">
      <w:pPr>
        <w:pStyle w:val="BodyText3"/>
        <w:spacing w:after="240" w:line="480" w:lineRule="auto"/>
        <w:ind w:left="720"/>
      </w:pPr>
    </w:p>
    <w:p w14:paraId="7205290D" w14:textId="1A2D8E8D" w:rsidR="003039DB" w:rsidRPr="009C6EFE" w:rsidRDefault="00560794" w:rsidP="00560794">
      <w:pPr>
        <w:pStyle w:val="BodyText3"/>
        <w:spacing w:after="240" w:line="480" w:lineRule="auto"/>
      </w:pPr>
      <w:r w:rsidRPr="009C6EFE">
        <w:rPr>
          <w:sz w:val="22"/>
          <w:szCs w:val="22"/>
        </w:rPr>
        <w:t>[87]</w:t>
      </w:r>
      <w:r w:rsidRPr="009C6EFE">
        <w:rPr>
          <w:sz w:val="22"/>
          <w:szCs w:val="22"/>
        </w:rPr>
        <w:tab/>
      </w:r>
      <w:r w:rsidR="00EE52AA">
        <w:rPr>
          <w:sz w:val="24"/>
          <w:szCs w:val="24"/>
        </w:rPr>
        <w:t>He denied ever being involved in MTI</w:t>
      </w:r>
      <w:r w:rsidR="005C202D">
        <w:rPr>
          <w:sz w:val="24"/>
          <w:szCs w:val="24"/>
        </w:rPr>
        <w:t xml:space="preserve">, </w:t>
      </w:r>
      <w:r w:rsidR="00EE52AA">
        <w:rPr>
          <w:sz w:val="24"/>
          <w:szCs w:val="24"/>
        </w:rPr>
        <w:t xml:space="preserve">the business of MTI </w:t>
      </w:r>
      <w:r w:rsidR="005C202D">
        <w:rPr>
          <w:sz w:val="24"/>
          <w:szCs w:val="24"/>
        </w:rPr>
        <w:t>or the trading activities of MTI</w:t>
      </w:r>
      <w:r w:rsidR="003039DB">
        <w:rPr>
          <w:sz w:val="24"/>
          <w:szCs w:val="24"/>
        </w:rPr>
        <w:t xml:space="preserve"> and was not paid for any services allegedly rendered.</w:t>
      </w:r>
    </w:p>
    <w:p w14:paraId="1443FEC9" w14:textId="66C12176" w:rsidR="00E106D7" w:rsidRDefault="00560794" w:rsidP="00560794">
      <w:pPr>
        <w:pStyle w:val="BodyText3"/>
        <w:spacing w:after="240" w:line="480" w:lineRule="auto"/>
        <w:rPr>
          <w:sz w:val="24"/>
          <w:szCs w:val="24"/>
        </w:rPr>
      </w:pPr>
      <w:r>
        <w:rPr>
          <w:sz w:val="22"/>
          <w:szCs w:val="22"/>
        </w:rPr>
        <w:t>[88]</w:t>
      </w:r>
      <w:r>
        <w:rPr>
          <w:sz w:val="22"/>
          <w:szCs w:val="22"/>
        </w:rPr>
        <w:tab/>
      </w:r>
      <w:r w:rsidR="00E733D6">
        <w:rPr>
          <w:sz w:val="24"/>
          <w:szCs w:val="24"/>
        </w:rPr>
        <w:t xml:space="preserve">Mr Bell, </w:t>
      </w:r>
      <w:r w:rsidR="00260077">
        <w:rPr>
          <w:sz w:val="24"/>
          <w:szCs w:val="24"/>
        </w:rPr>
        <w:t xml:space="preserve">the </w:t>
      </w:r>
      <w:r w:rsidR="00E106D7" w:rsidRPr="00D650E0">
        <w:rPr>
          <w:sz w:val="24"/>
          <w:szCs w:val="24"/>
        </w:rPr>
        <w:t xml:space="preserve">Chief Operations Officer of MTI, </w:t>
      </w:r>
      <w:r w:rsidR="00260077">
        <w:rPr>
          <w:sz w:val="24"/>
          <w:szCs w:val="24"/>
        </w:rPr>
        <w:t>s</w:t>
      </w:r>
      <w:r w:rsidR="00E106D7" w:rsidRPr="00D650E0">
        <w:rPr>
          <w:sz w:val="24"/>
          <w:szCs w:val="24"/>
        </w:rPr>
        <w:t>tated in his letter of resignation dated 26 June 2020</w:t>
      </w:r>
      <w:r w:rsidR="00260077">
        <w:rPr>
          <w:sz w:val="24"/>
          <w:szCs w:val="24"/>
        </w:rPr>
        <w:t>, in this regard as follows</w:t>
      </w:r>
      <w:r w:rsidR="00E106D7" w:rsidRPr="00D650E0">
        <w:rPr>
          <w:sz w:val="24"/>
          <w:szCs w:val="24"/>
        </w:rPr>
        <w:t xml:space="preserve">: </w:t>
      </w:r>
    </w:p>
    <w:p w14:paraId="5E9398BC" w14:textId="77777777" w:rsidR="0098668F" w:rsidRPr="0098668F" w:rsidRDefault="0098668F" w:rsidP="0098668F">
      <w:pPr>
        <w:pStyle w:val="ListParagraph"/>
        <w:ind w:left="1077"/>
        <w:rPr>
          <w:i/>
          <w:iCs/>
        </w:rPr>
      </w:pPr>
      <w:r w:rsidRPr="000642EB">
        <w:t>“</w:t>
      </w:r>
      <w:r w:rsidRPr="0098668F">
        <w:rPr>
          <w:i/>
          <w:iCs/>
        </w:rPr>
        <w:t>The BOT, which is at the heart of everything, remains a dark and closed cloud and is a major issue for me and for many other members. I have repeatedly asked you many times for information including this week, which you have promised repeatedly to give to me, with every time you have so promised to provide information, you have done nothing.</w:t>
      </w:r>
    </w:p>
    <w:p w14:paraId="4BE58655" w14:textId="77777777" w:rsidR="0098668F" w:rsidRDefault="0098668F" w:rsidP="0098668F">
      <w:pPr>
        <w:pStyle w:val="ListParagraph"/>
        <w:ind w:left="1077"/>
        <w:rPr>
          <w:i/>
          <w:iCs/>
        </w:rPr>
      </w:pPr>
    </w:p>
    <w:p w14:paraId="5F574614" w14:textId="6F1D2371" w:rsidR="0098668F" w:rsidRDefault="0098668F" w:rsidP="0098668F">
      <w:pPr>
        <w:pStyle w:val="ListParagraph"/>
        <w:ind w:left="1077"/>
        <w:rPr>
          <w:i/>
          <w:iCs/>
        </w:rPr>
      </w:pPr>
      <w:r w:rsidRPr="0098668F">
        <w:rPr>
          <w:i/>
          <w:iCs/>
        </w:rPr>
        <w:t>More and more people are questioning the Bot and accounting records and as of today, with me paralysed by your non-response, with myself and the team unable to respond properly to inquirers, I have come to a point at which I cannot deal with this anymore.”</w:t>
      </w:r>
    </w:p>
    <w:p w14:paraId="78FB1DC6" w14:textId="77777777" w:rsidR="0098668F" w:rsidRDefault="0098668F" w:rsidP="0098668F">
      <w:pPr>
        <w:pStyle w:val="ListParagraph"/>
        <w:ind w:left="1077"/>
        <w:rPr>
          <w:i/>
          <w:iCs/>
        </w:rPr>
      </w:pPr>
    </w:p>
    <w:p w14:paraId="29885D5D" w14:textId="434C7213" w:rsidR="00F22153" w:rsidRDefault="00560794" w:rsidP="00560794">
      <w:pPr>
        <w:pStyle w:val="BodyText3"/>
        <w:spacing w:after="240" w:line="480" w:lineRule="auto"/>
        <w:rPr>
          <w:sz w:val="24"/>
          <w:szCs w:val="24"/>
        </w:rPr>
      </w:pPr>
      <w:r>
        <w:rPr>
          <w:sz w:val="22"/>
          <w:szCs w:val="22"/>
        </w:rPr>
        <w:t>[89]</w:t>
      </w:r>
      <w:r>
        <w:rPr>
          <w:sz w:val="22"/>
          <w:szCs w:val="22"/>
        </w:rPr>
        <w:tab/>
      </w:r>
      <w:r w:rsidR="0098668F">
        <w:rPr>
          <w:sz w:val="24"/>
          <w:szCs w:val="24"/>
        </w:rPr>
        <w:t xml:space="preserve">The evidence of Badenhorst and </w:t>
      </w:r>
      <w:r w:rsidR="00F22153">
        <w:rPr>
          <w:sz w:val="24"/>
          <w:szCs w:val="24"/>
        </w:rPr>
        <w:t xml:space="preserve">Mr Bell </w:t>
      </w:r>
      <w:r w:rsidR="009F6893">
        <w:rPr>
          <w:sz w:val="24"/>
          <w:szCs w:val="24"/>
        </w:rPr>
        <w:t>was</w:t>
      </w:r>
      <w:r w:rsidR="00F22153">
        <w:rPr>
          <w:sz w:val="24"/>
          <w:szCs w:val="24"/>
        </w:rPr>
        <w:t xml:space="preserve"> not disputed by the respondents.</w:t>
      </w:r>
    </w:p>
    <w:p w14:paraId="573FF199" w14:textId="4C325DFC" w:rsidR="0049639E" w:rsidRDefault="00560794" w:rsidP="00560794">
      <w:pPr>
        <w:pStyle w:val="BodyText3"/>
        <w:spacing w:after="240" w:line="480" w:lineRule="auto"/>
        <w:rPr>
          <w:sz w:val="24"/>
          <w:szCs w:val="24"/>
        </w:rPr>
      </w:pPr>
      <w:r>
        <w:rPr>
          <w:sz w:val="22"/>
          <w:szCs w:val="22"/>
        </w:rPr>
        <w:lastRenderedPageBreak/>
        <w:t>[90]</w:t>
      </w:r>
      <w:r>
        <w:rPr>
          <w:sz w:val="22"/>
          <w:szCs w:val="22"/>
        </w:rPr>
        <w:tab/>
      </w:r>
      <w:r w:rsidR="009740E0" w:rsidRPr="0026302E">
        <w:rPr>
          <w:sz w:val="24"/>
          <w:szCs w:val="24"/>
        </w:rPr>
        <w:t xml:space="preserve">There are consequently no </w:t>
      </w:r>
      <w:r w:rsidR="009740E0" w:rsidRPr="0026302E">
        <w:rPr>
          <w:i/>
          <w:iCs/>
          <w:sz w:val="24"/>
          <w:szCs w:val="24"/>
        </w:rPr>
        <w:t>bona fide</w:t>
      </w:r>
      <w:r w:rsidR="009740E0" w:rsidRPr="0026302E">
        <w:rPr>
          <w:sz w:val="24"/>
          <w:szCs w:val="24"/>
        </w:rPr>
        <w:t xml:space="preserve"> dispute of fact and</w:t>
      </w:r>
      <w:r w:rsidR="00FB3676" w:rsidRPr="0026302E">
        <w:rPr>
          <w:sz w:val="24"/>
          <w:szCs w:val="24"/>
        </w:rPr>
        <w:t xml:space="preserve"> on the </w:t>
      </w:r>
      <w:r w:rsidR="00ED6572" w:rsidRPr="0026302E">
        <w:rPr>
          <w:sz w:val="24"/>
          <w:szCs w:val="24"/>
        </w:rPr>
        <w:t>evidence,</w:t>
      </w:r>
      <w:r w:rsidR="00FB3676" w:rsidRPr="0026302E">
        <w:rPr>
          <w:sz w:val="24"/>
          <w:szCs w:val="24"/>
        </w:rPr>
        <w:t xml:space="preserve"> I find that </w:t>
      </w:r>
      <w:r w:rsidR="00B10490" w:rsidRPr="0026302E">
        <w:rPr>
          <w:sz w:val="24"/>
          <w:szCs w:val="24"/>
        </w:rPr>
        <w:t>Steynberg did not use an artificial intelligence bot to achieve th</w:t>
      </w:r>
      <w:r w:rsidR="0048509D" w:rsidRPr="0026302E">
        <w:rPr>
          <w:sz w:val="24"/>
          <w:szCs w:val="24"/>
        </w:rPr>
        <w:t xml:space="preserve">e alleged incredible trading results and that he </w:t>
      </w:r>
      <w:r w:rsidR="003A1252" w:rsidRPr="0026302E">
        <w:rPr>
          <w:sz w:val="24"/>
          <w:szCs w:val="24"/>
        </w:rPr>
        <w:t xml:space="preserve">did not transfer bitcoin deposited by investors held in a pooled account </w:t>
      </w:r>
      <w:r w:rsidR="00F03687" w:rsidRPr="0026302E">
        <w:rPr>
          <w:sz w:val="24"/>
          <w:szCs w:val="24"/>
        </w:rPr>
        <w:t>at FXChoice to an unregulated broker named Trade 300.</w:t>
      </w:r>
      <w:r w:rsidR="00373B04" w:rsidRPr="0026302E">
        <w:rPr>
          <w:sz w:val="24"/>
          <w:szCs w:val="24"/>
        </w:rPr>
        <w:t xml:space="preserve"> It follows that the </w:t>
      </w:r>
      <w:r w:rsidR="0026302E" w:rsidRPr="0026302E">
        <w:rPr>
          <w:sz w:val="24"/>
          <w:szCs w:val="24"/>
        </w:rPr>
        <w:t>representations</w:t>
      </w:r>
      <w:r w:rsidR="00373B04" w:rsidRPr="0026302E">
        <w:rPr>
          <w:sz w:val="24"/>
          <w:szCs w:val="24"/>
        </w:rPr>
        <w:t xml:space="preserve"> made by Steynberg and the management of MTI </w:t>
      </w:r>
      <w:r w:rsidR="00292F5F">
        <w:rPr>
          <w:sz w:val="24"/>
          <w:szCs w:val="24"/>
        </w:rPr>
        <w:t xml:space="preserve">in this regard </w:t>
      </w:r>
      <w:r w:rsidR="00373B04" w:rsidRPr="0026302E">
        <w:rPr>
          <w:sz w:val="24"/>
          <w:szCs w:val="24"/>
        </w:rPr>
        <w:t>were false.</w:t>
      </w:r>
    </w:p>
    <w:p w14:paraId="6A0F32FA" w14:textId="77777777" w:rsidR="005F2F39" w:rsidRDefault="005F2F39" w:rsidP="005F2F39">
      <w:pPr>
        <w:pStyle w:val="BodyText3"/>
        <w:spacing w:after="240" w:line="480" w:lineRule="auto"/>
        <w:rPr>
          <w:sz w:val="24"/>
          <w:szCs w:val="24"/>
        </w:rPr>
      </w:pPr>
    </w:p>
    <w:p w14:paraId="40CF0F70" w14:textId="77777777" w:rsidR="005F2F39" w:rsidRDefault="005F2F39" w:rsidP="005F2F39">
      <w:pPr>
        <w:pStyle w:val="BodyText3"/>
        <w:spacing w:after="240" w:line="480" w:lineRule="auto"/>
        <w:rPr>
          <w:sz w:val="24"/>
          <w:szCs w:val="24"/>
        </w:rPr>
      </w:pPr>
    </w:p>
    <w:p w14:paraId="4A9424DD" w14:textId="77777777" w:rsidR="005F2F39" w:rsidRDefault="005F2F39" w:rsidP="005F2F39">
      <w:pPr>
        <w:pStyle w:val="BodyText3"/>
        <w:spacing w:after="240" w:line="480" w:lineRule="auto"/>
        <w:rPr>
          <w:sz w:val="24"/>
          <w:szCs w:val="24"/>
        </w:rPr>
      </w:pPr>
    </w:p>
    <w:p w14:paraId="07513BC4" w14:textId="75EACFCA" w:rsidR="000A0074" w:rsidRDefault="00560794" w:rsidP="00560794">
      <w:pPr>
        <w:pStyle w:val="BodyText3"/>
        <w:spacing w:after="240" w:line="480" w:lineRule="auto"/>
        <w:rPr>
          <w:sz w:val="24"/>
          <w:szCs w:val="24"/>
        </w:rPr>
      </w:pPr>
      <w:r>
        <w:rPr>
          <w:sz w:val="22"/>
          <w:szCs w:val="22"/>
        </w:rPr>
        <w:t>[91]</w:t>
      </w:r>
      <w:r>
        <w:rPr>
          <w:sz w:val="22"/>
          <w:szCs w:val="22"/>
        </w:rPr>
        <w:tab/>
      </w:r>
      <w:r w:rsidR="000A0074" w:rsidRPr="009C6EFE">
        <w:rPr>
          <w:sz w:val="24"/>
          <w:szCs w:val="24"/>
        </w:rPr>
        <w:t>The false representations pertaining to Trade 300 and the artificial intelligence bot, in my view, on a balance of probabilities, show that the business of MTI was fraudulent. I agree with the applicants that the fraud perpetrated by Steynberg and MTI were not isolated incidences but rather fundamental aspects of the structure of the business and as such tainted the business operations of MTI as a whole.</w:t>
      </w:r>
    </w:p>
    <w:p w14:paraId="7015D748" w14:textId="3B9A79ED" w:rsidR="002803FA" w:rsidRPr="00A960B1" w:rsidRDefault="00860F4B" w:rsidP="0034483C">
      <w:pPr>
        <w:spacing w:line="480" w:lineRule="auto"/>
        <w:rPr>
          <w:i/>
          <w:iCs/>
          <w:u w:val="single"/>
        </w:rPr>
      </w:pPr>
      <w:r w:rsidRPr="00A960B1">
        <w:rPr>
          <w:i/>
          <w:iCs/>
          <w:u w:val="single"/>
        </w:rPr>
        <w:t>Was the business of MTI illegal and unlawful?:</w:t>
      </w:r>
    </w:p>
    <w:p w14:paraId="38B562D6" w14:textId="10E680E0" w:rsidR="00AB4016" w:rsidRDefault="00560794" w:rsidP="00560794">
      <w:pPr>
        <w:pStyle w:val="BodyText3"/>
        <w:spacing w:after="240" w:line="480" w:lineRule="auto"/>
        <w:rPr>
          <w:sz w:val="24"/>
          <w:szCs w:val="24"/>
        </w:rPr>
      </w:pPr>
      <w:r>
        <w:rPr>
          <w:sz w:val="22"/>
          <w:szCs w:val="22"/>
        </w:rPr>
        <w:t>[92]</w:t>
      </w:r>
      <w:r>
        <w:rPr>
          <w:sz w:val="22"/>
          <w:szCs w:val="22"/>
        </w:rPr>
        <w:tab/>
      </w:r>
      <w:r w:rsidR="00FE1596" w:rsidRPr="00FE1D81">
        <w:rPr>
          <w:sz w:val="24"/>
          <w:szCs w:val="24"/>
        </w:rPr>
        <w:t xml:space="preserve">It is </w:t>
      </w:r>
      <w:r w:rsidR="003B461E" w:rsidRPr="0026302E">
        <w:rPr>
          <w:sz w:val="24"/>
          <w:szCs w:val="24"/>
        </w:rPr>
        <w:t>the</w:t>
      </w:r>
      <w:r w:rsidR="003B461E" w:rsidRPr="00FE1D81">
        <w:rPr>
          <w:sz w:val="24"/>
          <w:szCs w:val="24"/>
        </w:rPr>
        <w:t xml:space="preserve"> </w:t>
      </w:r>
      <w:r w:rsidR="0009179B" w:rsidRPr="00FE1D81">
        <w:rPr>
          <w:sz w:val="24"/>
          <w:szCs w:val="24"/>
        </w:rPr>
        <w:t>applicants</w:t>
      </w:r>
      <w:r w:rsidR="00FF471D">
        <w:rPr>
          <w:sz w:val="24"/>
          <w:szCs w:val="24"/>
        </w:rPr>
        <w:t>’</w:t>
      </w:r>
      <w:r w:rsidR="003B461E" w:rsidRPr="00FE1D81">
        <w:rPr>
          <w:sz w:val="24"/>
          <w:szCs w:val="24"/>
        </w:rPr>
        <w:t xml:space="preserve"> case</w:t>
      </w:r>
      <w:r w:rsidR="00277FBE" w:rsidRPr="00FE1D81">
        <w:rPr>
          <w:sz w:val="24"/>
          <w:szCs w:val="24"/>
        </w:rPr>
        <w:t>, with reliance on the report filed by the FSCA and the reports and evidence obtained by way of the s 417/418 enquiries</w:t>
      </w:r>
      <w:r w:rsidR="003B461E" w:rsidRPr="00FE1D81">
        <w:rPr>
          <w:sz w:val="24"/>
          <w:szCs w:val="24"/>
        </w:rPr>
        <w:t xml:space="preserve">, that the business of MTI </w:t>
      </w:r>
      <w:r w:rsidR="009F6893">
        <w:rPr>
          <w:sz w:val="24"/>
          <w:szCs w:val="24"/>
        </w:rPr>
        <w:t xml:space="preserve">contravened certain statutory provisions and was therefore </w:t>
      </w:r>
      <w:r w:rsidR="003B461E" w:rsidRPr="00FE1D81">
        <w:rPr>
          <w:sz w:val="24"/>
          <w:szCs w:val="24"/>
        </w:rPr>
        <w:t>an illegal and or unlawful</w:t>
      </w:r>
      <w:r w:rsidR="00FE1D81" w:rsidRPr="00FE1D81">
        <w:rPr>
          <w:sz w:val="24"/>
          <w:szCs w:val="24"/>
        </w:rPr>
        <w:t xml:space="preserve"> as </w:t>
      </w:r>
      <w:r w:rsidR="00860F4B" w:rsidRPr="00FE1D81">
        <w:rPr>
          <w:sz w:val="24"/>
          <w:szCs w:val="24"/>
        </w:rPr>
        <w:t>it:</w:t>
      </w:r>
    </w:p>
    <w:p w14:paraId="7A8D1DEC" w14:textId="1B4DC0B4" w:rsidR="006451A0" w:rsidRDefault="00560794" w:rsidP="00560794">
      <w:pPr>
        <w:pStyle w:val="BodyText3"/>
        <w:spacing w:after="240" w:line="480" w:lineRule="auto"/>
        <w:ind w:left="825" w:hanging="465"/>
        <w:rPr>
          <w:sz w:val="24"/>
          <w:szCs w:val="24"/>
        </w:rPr>
      </w:pPr>
      <w:r>
        <w:rPr>
          <w:sz w:val="24"/>
          <w:szCs w:val="24"/>
        </w:rPr>
        <w:t>92.1</w:t>
      </w:r>
      <w:r>
        <w:rPr>
          <w:sz w:val="24"/>
          <w:szCs w:val="24"/>
        </w:rPr>
        <w:tab/>
      </w:r>
      <w:r w:rsidR="00DD440C" w:rsidRPr="0026302E">
        <w:rPr>
          <w:sz w:val="24"/>
          <w:szCs w:val="24"/>
        </w:rPr>
        <w:t>render</w:t>
      </w:r>
      <w:r w:rsidR="00E228F2" w:rsidRPr="0026302E">
        <w:rPr>
          <w:sz w:val="24"/>
          <w:szCs w:val="24"/>
        </w:rPr>
        <w:t>ed</w:t>
      </w:r>
      <w:r w:rsidR="00DD440C" w:rsidRPr="0026302E">
        <w:rPr>
          <w:sz w:val="24"/>
          <w:szCs w:val="24"/>
        </w:rPr>
        <w:t xml:space="preserve"> financial services without the necessary licence being issued </w:t>
      </w:r>
      <w:r w:rsidR="0026302E">
        <w:rPr>
          <w:sz w:val="24"/>
          <w:szCs w:val="24"/>
        </w:rPr>
        <w:t xml:space="preserve">  </w:t>
      </w:r>
      <w:r w:rsidR="00DD440C" w:rsidRPr="0026302E">
        <w:rPr>
          <w:sz w:val="24"/>
          <w:szCs w:val="24"/>
        </w:rPr>
        <w:t xml:space="preserve">by the FSCA, as provided for in s 7 read with s 8 of the </w:t>
      </w:r>
      <w:r w:rsidR="009F6893">
        <w:rPr>
          <w:sz w:val="24"/>
          <w:szCs w:val="24"/>
        </w:rPr>
        <w:t>FAIS Act;</w:t>
      </w:r>
    </w:p>
    <w:p w14:paraId="48DF603D" w14:textId="265EBB8C" w:rsidR="006451A0" w:rsidRDefault="00560794" w:rsidP="00560794">
      <w:pPr>
        <w:pStyle w:val="BodyText3"/>
        <w:spacing w:after="240" w:line="480" w:lineRule="auto"/>
        <w:ind w:left="825" w:hanging="465"/>
        <w:rPr>
          <w:sz w:val="24"/>
          <w:szCs w:val="24"/>
        </w:rPr>
      </w:pPr>
      <w:r>
        <w:rPr>
          <w:sz w:val="24"/>
          <w:szCs w:val="24"/>
        </w:rPr>
        <w:t>92.2</w:t>
      </w:r>
      <w:r>
        <w:rPr>
          <w:sz w:val="24"/>
          <w:szCs w:val="24"/>
        </w:rPr>
        <w:tab/>
      </w:r>
      <w:r w:rsidR="00DD440C" w:rsidRPr="009C6EFE">
        <w:rPr>
          <w:sz w:val="24"/>
          <w:szCs w:val="24"/>
        </w:rPr>
        <w:t>act</w:t>
      </w:r>
      <w:r w:rsidR="00E228F2" w:rsidRPr="009C6EFE">
        <w:rPr>
          <w:sz w:val="24"/>
          <w:szCs w:val="24"/>
        </w:rPr>
        <w:t>ed</w:t>
      </w:r>
      <w:r w:rsidR="00DD440C" w:rsidRPr="009C6EFE">
        <w:rPr>
          <w:sz w:val="24"/>
          <w:szCs w:val="24"/>
        </w:rPr>
        <w:t xml:space="preserve"> as a so-called Over-The-Counter Derivative Provider, as defined by Regulation 2 of the Financial Markets Act, 19 of 2012 ("</w:t>
      </w:r>
      <w:r w:rsidR="00DD440C" w:rsidRPr="009C6EFE">
        <w:rPr>
          <w:bCs/>
          <w:sz w:val="24"/>
          <w:szCs w:val="24"/>
        </w:rPr>
        <w:t>the FMA"</w:t>
      </w:r>
      <w:r w:rsidR="00DD440C" w:rsidRPr="009C6EFE">
        <w:rPr>
          <w:sz w:val="24"/>
          <w:szCs w:val="24"/>
        </w:rPr>
        <w:t>), read with s 6(8) of the FMA</w:t>
      </w:r>
      <w:r w:rsidR="003E1CAE" w:rsidRPr="009C6EFE">
        <w:rPr>
          <w:sz w:val="24"/>
          <w:szCs w:val="24"/>
        </w:rPr>
        <w:t>;</w:t>
      </w:r>
    </w:p>
    <w:p w14:paraId="0EB269C7" w14:textId="6B6F42B3" w:rsidR="003E1CAE" w:rsidRDefault="00560794" w:rsidP="00560794">
      <w:pPr>
        <w:pStyle w:val="BodyText3"/>
        <w:spacing w:after="240" w:line="480" w:lineRule="auto"/>
        <w:ind w:left="825" w:hanging="465"/>
        <w:rPr>
          <w:sz w:val="24"/>
          <w:szCs w:val="24"/>
        </w:rPr>
      </w:pPr>
      <w:r>
        <w:rPr>
          <w:sz w:val="24"/>
          <w:szCs w:val="24"/>
        </w:rPr>
        <w:lastRenderedPageBreak/>
        <w:t>92.3</w:t>
      </w:r>
      <w:r>
        <w:rPr>
          <w:sz w:val="24"/>
          <w:szCs w:val="24"/>
        </w:rPr>
        <w:tab/>
      </w:r>
      <w:r w:rsidR="00B929B9" w:rsidRPr="009C6EFE">
        <w:rPr>
          <w:sz w:val="24"/>
          <w:szCs w:val="24"/>
        </w:rPr>
        <w:t>p</w:t>
      </w:r>
      <w:r w:rsidR="008450AF" w:rsidRPr="009C6EFE">
        <w:rPr>
          <w:sz w:val="24"/>
          <w:szCs w:val="24"/>
        </w:rPr>
        <w:t>rovided</w:t>
      </w:r>
      <w:r w:rsidR="00DD440C" w:rsidRPr="009C6EFE">
        <w:rPr>
          <w:sz w:val="24"/>
          <w:szCs w:val="24"/>
        </w:rPr>
        <w:t>, as a business or part of a business, a financial product, a financial service or market infra structure in contravention of the provisions of Section 111 of the Financial Sector Regulation Act, 9 of 2017</w:t>
      </w:r>
      <w:r w:rsidR="003E1CAE" w:rsidRPr="009C6EFE">
        <w:rPr>
          <w:sz w:val="24"/>
          <w:szCs w:val="24"/>
        </w:rPr>
        <w:t>;</w:t>
      </w:r>
    </w:p>
    <w:p w14:paraId="1D705EA7" w14:textId="42239DF3" w:rsidR="006451A0" w:rsidRDefault="00560794" w:rsidP="00560794">
      <w:pPr>
        <w:pStyle w:val="BodyText3"/>
        <w:spacing w:after="240" w:line="480" w:lineRule="auto"/>
        <w:ind w:left="825" w:hanging="465"/>
        <w:rPr>
          <w:sz w:val="24"/>
          <w:szCs w:val="24"/>
        </w:rPr>
      </w:pPr>
      <w:r>
        <w:rPr>
          <w:sz w:val="24"/>
          <w:szCs w:val="24"/>
        </w:rPr>
        <w:t>92.4</w:t>
      </w:r>
      <w:r>
        <w:rPr>
          <w:sz w:val="24"/>
          <w:szCs w:val="24"/>
        </w:rPr>
        <w:tab/>
      </w:r>
      <w:r w:rsidR="00DD440C" w:rsidRPr="009C6EFE">
        <w:rPr>
          <w:sz w:val="24"/>
          <w:szCs w:val="24"/>
        </w:rPr>
        <w:t>conduct</w:t>
      </w:r>
      <w:r w:rsidR="008450AF" w:rsidRPr="009C6EFE">
        <w:rPr>
          <w:sz w:val="24"/>
          <w:szCs w:val="24"/>
        </w:rPr>
        <w:t>ed</w:t>
      </w:r>
      <w:r w:rsidR="00DD440C" w:rsidRPr="009C6EFE">
        <w:rPr>
          <w:sz w:val="24"/>
          <w:szCs w:val="24"/>
        </w:rPr>
        <w:t xml:space="preserve"> a collective investment scheme as defined in s 1 of the C</w:t>
      </w:r>
      <w:r w:rsidR="00DD440C" w:rsidRPr="009C6EFE">
        <w:rPr>
          <w:b/>
          <w:bCs/>
          <w:sz w:val="24"/>
          <w:szCs w:val="24"/>
        </w:rPr>
        <w:t>o</w:t>
      </w:r>
      <w:r w:rsidR="00DD440C" w:rsidRPr="009C6EFE">
        <w:rPr>
          <w:sz w:val="24"/>
          <w:szCs w:val="24"/>
        </w:rPr>
        <w:t xml:space="preserve">llective Investment Schemes Control Act, 45 of 2002 ("the CISC Act"), without being registered as a manager or being an authorised agent or being exempted from the provisions of the </w:t>
      </w:r>
      <w:r w:rsidR="00DD440C" w:rsidRPr="009C6EFE">
        <w:rPr>
          <w:bCs/>
          <w:sz w:val="24"/>
          <w:szCs w:val="24"/>
        </w:rPr>
        <w:t>CISC</w:t>
      </w:r>
      <w:r w:rsidR="00DD440C" w:rsidRPr="009C6EFE">
        <w:rPr>
          <w:sz w:val="24"/>
          <w:szCs w:val="24"/>
        </w:rPr>
        <w:t xml:space="preserve"> Act, as provided for in s 5 of the </w:t>
      </w:r>
      <w:r w:rsidR="00DD440C" w:rsidRPr="009C6EFE">
        <w:rPr>
          <w:bCs/>
          <w:sz w:val="24"/>
          <w:szCs w:val="24"/>
        </w:rPr>
        <w:t>CISC</w:t>
      </w:r>
      <w:r w:rsidR="00DD440C" w:rsidRPr="009C6EFE">
        <w:rPr>
          <w:sz w:val="24"/>
          <w:szCs w:val="24"/>
        </w:rPr>
        <w:t xml:space="preserve"> Act</w:t>
      </w:r>
      <w:r w:rsidR="003E1CAE" w:rsidRPr="009C6EFE">
        <w:rPr>
          <w:sz w:val="24"/>
          <w:szCs w:val="24"/>
        </w:rPr>
        <w:t>;</w:t>
      </w:r>
    </w:p>
    <w:p w14:paraId="0A33217F" w14:textId="61C79ECA" w:rsidR="006451A0" w:rsidRDefault="00560794" w:rsidP="00560794">
      <w:pPr>
        <w:pStyle w:val="BodyText3"/>
        <w:spacing w:after="240" w:line="480" w:lineRule="auto"/>
        <w:ind w:left="825" w:hanging="465"/>
        <w:rPr>
          <w:sz w:val="24"/>
          <w:szCs w:val="24"/>
        </w:rPr>
      </w:pPr>
      <w:r>
        <w:rPr>
          <w:sz w:val="24"/>
          <w:szCs w:val="24"/>
        </w:rPr>
        <w:t>92.5</w:t>
      </w:r>
      <w:r>
        <w:rPr>
          <w:sz w:val="24"/>
          <w:szCs w:val="24"/>
        </w:rPr>
        <w:tab/>
      </w:r>
      <w:r w:rsidR="00DD440C" w:rsidRPr="009C6EFE">
        <w:rPr>
          <w:sz w:val="24"/>
          <w:szCs w:val="24"/>
        </w:rPr>
        <w:t>directly or indirectly promot</w:t>
      </w:r>
      <w:r w:rsidR="003B1F74" w:rsidRPr="009C6EFE">
        <w:rPr>
          <w:sz w:val="24"/>
          <w:szCs w:val="24"/>
        </w:rPr>
        <w:t>ed</w:t>
      </w:r>
      <w:r w:rsidR="00DD440C" w:rsidRPr="009C6EFE">
        <w:rPr>
          <w:sz w:val="24"/>
          <w:szCs w:val="24"/>
        </w:rPr>
        <w:t>, knowingly join</w:t>
      </w:r>
      <w:r w:rsidR="009F6893" w:rsidRPr="009C6EFE">
        <w:rPr>
          <w:sz w:val="24"/>
          <w:szCs w:val="24"/>
        </w:rPr>
        <w:t>ed</w:t>
      </w:r>
      <w:r w:rsidR="00DD440C" w:rsidRPr="009C6EFE">
        <w:rPr>
          <w:sz w:val="24"/>
          <w:szCs w:val="24"/>
        </w:rPr>
        <w:t xml:space="preserve"> or enter</w:t>
      </w:r>
      <w:r w:rsidR="009F6893" w:rsidRPr="009C6EFE">
        <w:rPr>
          <w:sz w:val="24"/>
          <w:szCs w:val="24"/>
        </w:rPr>
        <w:t>ed</w:t>
      </w:r>
      <w:r w:rsidR="00DD440C" w:rsidRPr="009C6EFE">
        <w:rPr>
          <w:sz w:val="24"/>
          <w:szCs w:val="24"/>
        </w:rPr>
        <w:t xml:space="preserve"> into or participate</w:t>
      </w:r>
      <w:r w:rsidR="009F6893" w:rsidRPr="009C6EFE">
        <w:rPr>
          <w:sz w:val="24"/>
          <w:szCs w:val="24"/>
        </w:rPr>
        <w:t>d</w:t>
      </w:r>
      <w:r w:rsidR="00DD440C" w:rsidRPr="009C6EFE">
        <w:rPr>
          <w:sz w:val="24"/>
          <w:szCs w:val="24"/>
        </w:rPr>
        <w:t xml:space="preserve"> in a fraudulent financial transaction, as described in s 42(4) of the Consumer Protection Act, 68 of 2008 ("the CPA")</w:t>
      </w:r>
      <w:r w:rsidR="003E1CAE" w:rsidRPr="009C6EFE">
        <w:rPr>
          <w:sz w:val="24"/>
          <w:szCs w:val="24"/>
        </w:rPr>
        <w:t>;</w:t>
      </w:r>
    </w:p>
    <w:p w14:paraId="54C32463" w14:textId="1C436D5F" w:rsidR="00A133CD" w:rsidRPr="009C6EFE" w:rsidRDefault="00560794" w:rsidP="00560794">
      <w:pPr>
        <w:pStyle w:val="BodyText3"/>
        <w:spacing w:after="240" w:line="480" w:lineRule="auto"/>
        <w:ind w:left="825" w:hanging="465"/>
        <w:rPr>
          <w:sz w:val="24"/>
          <w:szCs w:val="24"/>
        </w:rPr>
      </w:pPr>
      <w:r w:rsidRPr="009C6EFE">
        <w:rPr>
          <w:sz w:val="24"/>
          <w:szCs w:val="24"/>
        </w:rPr>
        <w:t>92.6</w:t>
      </w:r>
      <w:r w:rsidRPr="009C6EFE">
        <w:rPr>
          <w:sz w:val="24"/>
          <w:szCs w:val="24"/>
        </w:rPr>
        <w:tab/>
      </w:r>
      <w:r w:rsidR="00DD440C" w:rsidRPr="009C6EFE">
        <w:rPr>
          <w:sz w:val="24"/>
          <w:szCs w:val="24"/>
        </w:rPr>
        <w:t>directly or indirectly promot</w:t>
      </w:r>
      <w:r w:rsidR="001E7633" w:rsidRPr="009C6EFE">
        <w:rPr>
          <w:sz w:val="24"/>
          <w:szCs w:val="24"/>
        </w:rPr>
        <w:t>ed</w:t>
      </w:r>
      <w:r w:rsidR="00DD440C" w:rsidRPr="009C6EFE">
        <w:rPr>
          <w:sz w:val="24"/>
          <w:szCs w:val="24"/>
        </w:rPr>
        <w:t xml:space="preserve"> and conduct</w:t>
      </w:r>
      <w:r w:rsidR="001E7633" w:rsidRPr="009C6EFE">
        <w:rPr>
          <w:sz w:val="24"/>
          <w:szCs w:val="24"/>
        </w:rPr>
        <w:t>ed</w:t>
      </w:r>
      <w:r w:rsidR="00DD440C" w:rsidRPr="009C6EFE">
        <w:rPr>
          <w:sz w:val="24"/>
          <w:szCs w:val="24"/>
        </w:rPr>
        <w:t xml:space="preserve"> a pyramid scheme, as described in s 43(2)(b) read with s 43(4) of the CPA. </w:t>
      </w:r>
    </w:p>
    <w:p w14:paraId="39A07B2C" w14:textId="26C6309B" w:rsidR="00CF24F1" w:rsidRPr="000E1DAE" w:rsidRDefault="00560794" w:rsidP="00560794">
      <w:pPr>
        <w:pStyle w:val="BodyText3"/>
        <w:spacing w:after="240" w:line="480" w:lineRule="auto"/>
        <w:rPr>
          <w:sz w:val="24"/>
          <w:szCs w:val="24"/>
        </w:rPr>
      </w:pPr>
      <w:r w:rsidRPr="000E1DAE">
        <w:rPr>
          <w:sz w:val="22"/>
          <w:szCs w:val="22"/>
        </w:rPr>
        <w:t>[93]</w:t>
      </w:r>
      <w:r w:rsidRPr="000E1DAE">
        <w:rPr>
          <w:sz w:val="22"/>
          <w:szCs w:val="22"/>
        </w:rPr>
        <w:tab/>
      </w:r>
      <w:r w:rsidR="009F6893">
        <w:rPr>
          <w:sz w:val="24"/>
          <w:szCs w:val="24"/>
        </w:rPr>
        <w:t xml:space="preserve">Applicants further contended that </w:t>
      </w:r>
      <w:r w:rsidR="00B5154A" w:rsidRPr="000E1DAE">
        <w:rPr>
          <w:sz w:val="24"/>
          <w:szCs w:val="24"/>
        </w:rPr>
        <w:t>the business of MTI amount</w:t>
      </w:r>
      <w:r w:rsidR="003C4D75" w:rsidRPr="000E1DAE">
        <w:rPr>
          <w:sz w:val="24"/>
          <w:szCs w:val="24"/>
        </w:rPr>
        <w:t>ed</w:t>
      </w:r>
      <w:r w:rsidR="00B5154A" w:rsidRPr="000E1DAE">
        <w:rPr>
          <w:sz w:val="24"/>
          <w:szCs w:val="24"/>
        </w:rPr>
        <w:t xml:space="preserve"> to common law fraud</w:t>
      </w:r>
      <w:r w:rsidR="009F6893">
        <w:rPr>
          <w:sz w:val="24"/>
          <w:szCs w:val="24"/>
        </w:rPr>
        <w:t xml:space="preserve"> </w:t>
      </w:r>
      <w:r w:rsidR="003E58A9" w:rsidRPr="000E1DAE">
        <w:rPr>
          <w:sz w:val="24"/>
          <w:szCs w:val="24"/>
        </w:rPr>
        <w:t>b</w:t>
      </w:r>
      <w:r w:rsidR="00DD440C" w:rsidRPr="000E1DAE">
        <w:rPr>
          <w:sz w:val="24"/>
          <w:szCs w:val="24"/>
        </w:rPr>
        <w:t xml:space="preserve">y having an underlying business model which was designed and implemented to perpetrate a fraud on members of the public by enticing them to invest in an illegal </w:t>
      </w:r>
      <w:r w:rsidR="00D87E07" w:rsidRPr="000E1DAE">
        <w:rPr>
          <w:sz w:val="24"/>
          <w:szCs w:val="24"/>
        </w:rPr>
        <w:t>p</w:t>
      </w:r>
      <w:r w:rsidR="00DD440C" w:rsidRPr="000E1DAE">
        <w:rPr>
          <w:sz w:val="24"/>
          <w:szCs w:val="24"/>
        </w:rPr>
        <w:t>onzi</w:t>
      </w:r>
      <w:r w:rsidR="00FF471D" w:rsidRPr="000E1DAE">
        <w:rPr>
          <w:sz w:val="24"/>
          <w:szCs w:val="24"/>
        </w:rPr>
        <w:t>-</w:t>
      </w:r>
      <w:r w:rsidR="00DD440C" w:rsidRPr="000E1DAE">
        <w:rPr>
          <w:sz w:val="24"/>
          <w:szCs w:val="24"/>
        </w:rPr>
        <w:t xml:space="preserve">type investment scheme with the fraudulent intent to convince members of the public to transfer their right, title and interest, alternatively the effective control over their right, title and interest in their assets (specifically </w:t>
      </w:r>
      <w:r w:rsidR="007C1732" w:rsidRPr="000E1DAE">
        <w:rPr>
          <w:sz w:val="24"/>
          <w:szCs w:val="24"/>
        </w:rPr>
        <w:t>b</w:t>
      </w:r>
      <w:r w:rsidR="00DD440C" w:rsidRPr="000E1DAE">
        <w:rPr>
          <w:sz w:val="24"/>
          <w:szCs w:val="24"/>
        </w:rPr>
        <w:t>itcoin) to MTI and, ultimately enabling its directing mind(s), being its director(s) and/or shareholders and/or senior management to misappropriate these assets for his/their personal gain</w:t>
      </w:r>
      <w:r w:rsidR="00B84E0D" w:rsidRPr="000E1DAE">
        <w:rPr>
          <w:sz w:val="24"/>
          <w:szCs w:val="24"/>
        </w:rPr>
        <w:t>.</w:t>
      </w:r>
    </w:p>
    <w:p w14:paraId="30FE65E1" w14:textId="7744D5AC" w:rsidR="00C37B45" w:rsidRDefault="00560794" w:rsidP="00560794">
      <w:pPr>
        <w:pStyle w:val="BodyText3"/>
        <w:spacing w:after="240" w:line="480" w:lineRule="auto"/>
        <w:rPr>
          <w:sz w:val="24"/>
          <w:szCs w:val="24"/>
        </w:rPr>
      </w:pPr>
      <w:r>
        <w:rPr>
          <w:sz w:val="22"/>
          <w:szCs w:val="22"/>
        </w:rPr>
        <w:t>[94]</w:t>
      </w:r>
      <w:r>
        <w:rPr>
          <w:sz w:val="22"/>
          <w:szCs w:val="22"/>
        </w:rPr>
        <w:tab/>
      </w:r>
      <w:r w:rsidR="0038721F">
        <w:rPr>
          <w:sz w:val="24"/>
          <w:szCs w:val="24"/>
        </w:rPr>
        <w:t xml:space="preserve">It is so that it does not </w:t>
      </w:r>
      <w:r w:rsidR="009F6893">
        <w:rPr>
          <w:sz w:val="24"/>
          <w:szCs w:val="24"/>
        </w:rPr>
        <w:t>foll</w:t>
      </w:r>
      <w:r w:rsidR="0038721F">
        <w:rPr>
          <w:sz w:val="24"/>
          <w:szCs w:val="24"/>
        </w:rPr>
        <w:t xml:space="preserve">ow that a business conducted in breach of statutory </w:t>
      </w:r>
      <w:r w:rsidR="00522B03">
        <w:rPr>
          <w:sz w:val="24"/>
          <w:szCs w:val="24"/>
        </w:rPr>
        <w:t>provisions amounts to an illegal or unlawful scheme</w:t>
      </w:r>
      <w:r w:rsidR="009F6893">
        <w:rPr>
          <w:sz w:val="24"/>
          <w:szCs w:val="24"/>
        </w:rPr>
        <w:t xml:space="preserve">. </w:t>
      </w:r>
      <w:r w:rsidR="00581125">
        <w:rPr>
          <w:sz w:val="24"/>
          <w:szCs w:val="24"/>
        </w:rPr>
        <w:t xml:space="preserve">A breach of statutory provisions </w:t>
      </w:r>
      <w:r w:rsidR="00373B04">
        <w:rPr>
          <w:sz w:val="24"/>
          <w:szCs w:val="24"/>
        </w:rPr>
        <w:t xml:space="preserve">also </w:t>
      </w:r>
      <w:r w:rsidR="00581125">
        <w:rPr>
          <w:sz w:val="24"/>
          <w:szCs w:val="24"/>
        </w:rPr>
        <w:t xml:space="preserve">does not </w:t>
      </w:r>
      <w:r w:rsidR="009F6893">
        <w:rPr>
          <w:sz w:val="24"/>
          <w:szCs w:val="24"/>
        </w:rPr>
        <w:t xml:space="preserve">necessarily </w:t>
      </w:r>
      <w:r w:rsidR="00581125">
        <w:rPr>
          <w:sz w:val="24"/>
          <w:szCs w:val="24"/>
        </w:rPr>
        <w:t xml:space="preserve">render </w:t>
      </w:r>
      <w:r w:rsidR="009F6893">
        <w:rPr>
          <w:sz w:val="24"/>
          <w:szCs w:val="24"/>
        </w:rPr>
        <w:t xml:space="preserve">the </w:t>
      </w:r>
      <w:r w:rsidR="00C37B45">
        <w:rPr>
          <w:sz w:val="24"/>
          <w:szCs w:val="24"/>
        </w:rPr>
        <w:t xml:space="preserve">underlying agreements invalid. </w:t>
      </w:r>
    </w:p>
    <w:p w14:paraId="15BCA2FD" w14:textId="206C56A6" w:rsidR="004D44F9" w:rsidRDefault="00560794" w:rsidP="00560794">
      <w:pPr>
        <w:pStyle w:val="BodyText3"/>
        <w:spacing w:after="240" w:line="480" w:lineRule="auto"/>
        <w:rPr>
          <w:sz w:val="24"/>
          <w:szCs w:val="24"/>
        </w:rPr>
      </w:pPr>
      <w:r>
        <w:rPr>
          <w:sz w:val="22"/>
          <w:szCs w:val="22"/>
        </w:rPr>
        <w:lastRenderedPageBreak/>
        <w:t>[95]</w:t>
      </w:r>
      <w:r>
        <w:rPr>
          <w:sz w:val="22"/>
          <w:szCs w:val="22"/>
        </w:rPr>
        <w:tab/>
      </w:r>
      <w:r w:rsidR="00C37B45">
        <w:rPr>
          <w:sz w:val="24"/>
          <w:szCs w:val="24"/>
        </w:rPr>
        <w:t xml:space="preserve">Whether or not the business of </w:t>
      </w:r>
      <w:r w:rsidR="00745C5E">
        <w:rPr>
          <w:sz w:val="24"/>
          <w:szCs w:val="24"/>
        </w:rPr>
        <w:t>M</w:t>
      </w:r>
      <w:r w:rsidR="00C37B45">
        <w:rPr>
          <w:sz w:val="24"/>
          <w:szCs w:val="24"/>
        </w:rPr>
        <w:t xml:space="preserve">TI was in breach of all the statutory provisions </w:t>
      </w:r>
      <w:r w:rsidR="00523FC3">
        <w:rPr>
          <w:sz w:val="24"/>
          <w:szCs w:val="24"/>
        </w:rPr>
        <w:t>relied on by the applicants</w:t>
      </w:r>
      <w:r w:rsidR="009F6893">
        <w:rPr>
          <w:sz w:val="24"/>
          <w:szCs w:val="24"/>
        </w:rPr>
        <w:t xml:space="preserve"> need </w:t>
      </w:r>
      <w:r w:rsidR="00523FC3">
        <w:rPr>
          <w:sz w:val="24"/>
          <w:szCs w:val="24"/>
        </w:rPr>
        <w:t xml:space="preserve">in my view </w:t>
      </w:r>
      <w:r w:rsidR="009F6893">
        <w:rPr>
          <w:sz w:val="24"/>
          <w:szCs w:val="24"/>
        </w:rPr>
        <w:t xml:space="preserve">not to be decided, </w:t>
      </w:r>
      <w:r w:rsidR="00523FC3">
        <w:rPr>
          <w:sz w:val="24"/>
          <w:szCs w:val="24"/>
        </w:rPr>
        <w:t>if it is shown, on a balance of probabilities</w:t>
      </w:r>
      <w:r w:rsidR="0039278A">
        <w:rPr>
          <w:sz w:val="24"/>
          <w:szCs w:val="24"/>
        </w:rPr>
        <w:t>, that MTI’s business was a common law ponzi</w:t>
      </w:r>
      <w:r w:rsidR="001A36B8">
        <w:rPr>
          <w:sz w:val="24"/>
          <w:szCs w:val="24"/>
        </w:rPr>
        <w:t xml:space="preserve">-type </w:t>
      </w:r>
      <w:r w:rsidR="0039278A">
        <w:rPr>
          <w:sz w:val="24"/>
          <w:szCs w:val="24"/>
        </w:rPr>
        <w:t xml:space="preserve">scheme or conducted in breach of the </w:t>
      </w:r>
      <w:r w:rsidR="00534A13">
        <w:rPr>
          <w:sz w:val="24"/>
          <w:szCs w:val="24"/>
        </w:rPr>
        <w:t>CPA.</w:t>
      </w:r>
    </w:p>
    <w:p w14:paraId="17B80AF2" w14:textId="77777777" w:rsidR="005F2F39" w:rsidRDefault="005F2F39" w:rsidP="005F2F39">
      <w:pPr>
        <w:pStyle w:val="BodyText3"/>
        <w:spacing w:after="240" w:line="480" w:lineRule="auto"/>
        <w:rPr>
          <w:sz w:val="24"/>
          <w:szCs w:val="24"/>
        </w:rPr>
      </w:pPr>
    </w:p>
    <w:p w14:paraId="35D03EBC" w14:textId="77777777" w:rsidR="005F2F39" w:rsidRDefault="005F2F39" w:rsidP="005F2F39">
      <w:pPr>
        <w:pStyle w:val="BodyText3"/>
        <w:spacing w:after="240" w:line="480" w:lineRule="auto"/>
        <w:rPr>
          <w:sz w:val="24"/>
          <w:szCs w:val="24"/>
        </w:rPr>
      </w:pPr>
    </w:p>
    <w:p w14:paraId="3168B530" w14:textId="2B8ECD72" w:rsidR="000226B1" w:rsidRDefault="00560794" w:rsidP="00560794">
      <w:pPr>
        <w:pStyle w:val="BodyText3"/>
        <w:spacing w:after="240" w:line="480" w:lineRule="auto"/>
        <w:rPr>
          <w:sz w:val="24"/>
          <w:szCs w:val="24"/>
        </w:rPr>
      </w:pPr>
      <w:r>
        <w:rPr>
          <w:sz w:val="22"/>
          <w:szCs w:val="22"/>
        </w:rPr>
        <w:t>[96]</w:t>
      </w:r>
      <w:r>
        <w:rPr>
          <w:sz w:val="22"/>
          <w:szCs w:val="22"/>
        </w:rPr>
        <w:tab/>
      </w:r>
      <w:r w:rsidR="00534A13" w:rsidRPr="0026302E">
        <w:rPr>
          <w:sz w:val="24"/>
          <w:szCs w:val="24"/>
        </w:rPr>
        <w:t xml:space="preserve">I </w:t>
      </w:r>
      <w:r w:rsidR="009F6893">
        <w:rPr>
          <w:sz w:val="24"/>
          <w:szCs w:val="24"/>
        </w:rPr>
        <w:t xml:space="preserve">am nonetheless </w:t>
      </w:r>
      <w:r w:rsidR="00534A13" w:rsidRPr="0026302E">
        <w:rPr>
          <w:sz w:val="24"/>
          <w:szCs w:val="24"/>
        </w:rPr>
        <w:t>of the view that MTI</w:t>
      </w:r>
      <w:r w:rsidR="001D6CA3" w:rsidRPr="0026302E">
        <w:rPr>
          <w:sz w:val="24"/>
          <w:szCs w:val="24"/>
        </w:rPr>
        <w:t xml:space="preserve">, </w:t>
      </w:r>
      <w:r w:rsidR="009F6893">
        <w:rPr>
          <w:sz w:val="24"/>
          <w:szCs w:val="24"/>
        </w:rPr>
        <w:t xml:space="preserve">as found by the </w:t>
      </w:r>
      <w:r w:rsidR="001D6CA3" w:rsidRPr="0026302E">
        <w:rPr>
          <w:sz w:val="24"/>
          <w:szCs w:val="24"/>
        </w:rPr>
        <w:t xml:space="preserve">FSCA, </w:t>
      </w:r>
      <w:r w:rsidR="00373B04" w:rsidRPr="0026302E">
        <w:rPr>
          <w:sz w:val="24"/>
          <w:szCs w:val="24"/>
        </w:rPr>
        <w:t xml:space="preserve">breached several statutory provisions, such as </w:t>
      </w:r>
      <w:r w:rsidR="001D6CA3" w:rsidRPr="0026302E">
        <w:rPr>
          <w:sz w:val="24"/>
          <w:szCs w:val="24"/>
        </w:rPr>
        <w:t>s 7 of the FAIS Act</w:t>
      </w:r>
      <w:r w:rsidR="00373B04" w:rsidRPr="0026302E">
        <w:rPr>
          <w:sz w:val="24"/>
          <w:szCs w:val="24"/>
        </w:rPr>
        <w:t xml:space="preserve"> </w:t>
      </w:r>
      <w:r w:rsidR="000B1D94" w:rsidRPr="0026302E">
        <w:rPr>
          <w:sz w:val="24"/>
          <w:szCs w:val="24"/>
        </w:rPr>
        <w:t xml:space="preserve">in that it rendered financial services without a </w:t>
      </w:r>
      <w:r w:rsidR="00ED6572" w:rsidRPr="0026302E">
        <w:rPr>
          <w:sz w:val="24"/>
          <w:szCs w:val="24"/>
        </w:rPr>
        <w:t>licence</w:t>
      </w:r>
      <w:r w:rsidR="005C7346" w:rsidRPr="0026302E">
        <w:rPr>
          <w:sz w:val="24"/>
          <w:szCs w:val="24"/>
        </w:rPr>
        <w:t>. In</w:t>
      </w:r>
      <w:r w:rsidR="007E66AA" w:rsidRPr="0026302E">
        <w:rPr>
          <w:sz w:val="24"/>
          <w:szCs w:val="24"/>
        </w:rPr>
        <w:t xml:space="preserve"> this regard and inso</w:t>
      </w:r>
      <w:r w:rsidR="005C7346" w:rsidRPr="0026302E">
        <w:rPr>
          <w:sz w:val="24"/>
          <w:szCs w:val="24"/>
        </w:rPr>
        <w:t>far as it was argued that</w:t>
      </w:r>
      <w:r w:rsidR="0026302E" w:rsidRPr="0026302E">
        <w:rPr>
          <w:sz w:val="24"/>
          <w:szCs w:val="24"/>
        </w:rPr>
        <w:t xml:space="preserve"> </w:t>
      </w:r>
      <w:r w:rsidR="005C7346" w:rsidRPr="0026302E">
        <w:rPr>
          <w:sz w:val="24"/>
          <w:szCs w:val="24"/>
        </w:rPr>
        <w:t>crypt</w:t>
      </w:r>
      <w:r w:rsidR="00C64207" w:rsidRPr="0026302E">
        <w:rPr>
          <w:sz w:val="24"/>
          <w:szCs w:val="24"/>
        </w:rPr>
        <w:t>o</w:t>
      </w:r>
      <w:r w:rsidR="005C7346" w:rsidRPr="0026302E">
        <w:rPr>
          <w:sz w:val="24"/>
          <w:szCs w:val="24"/>
        </w:rPr>
        <w:t xml:space="preserve"> assets do not fall </w:t>
      </w:r>
      <w:r w:rsidR="00AF1DEA" w:rsidRPr="0026302E">
        <w:rPr>
          <w:sz w:val="24"/>
          <w:szCs w:val="24"/>
        </w:rPr>
        <w:t>under the auspices of the FAIS Act, the evidence of S</w:t>
      </w:r>
      <w:r w:rsidR="00B16785" w:rsidRPr="0026302E">
        <w:rPr>
          <w:sz w:val="24"/>
          <w:szCs w:val="24"/>
        </w:rPr>
        <w:t xml:space="preserve">teynberg </w:t>
      </w:r>
      <w:r w:rsidR="00AF1DEA" w:rsidRPr="0026302E">
        <w:rPr>
          <w:sz w:val="24"/>
          <w:szCs w:val="24"/>
        </w:rPr>
        <w:t>to the FSCA</w:t>
      </w:r>
      <w:r w:rsidR="00CA17C8" w:rsidRPr="0026302E">
        <w:rPr>
          <w:sz w:val="24"/>
          <w:szCs w:val="24"/>
        </w:rPr>
        <w:t>, was that MTI tra</w:t>
      </w:r>
      <w:r w:rsidR="00B16785" w:rsidRPr="0026302E">
        <w:rPr>
          <w:sz w:val="24"/>
          <w:szCs w:val="24"/>
        </w:rPr>
        <w:t>ded</w:t>
      </w:r>
      <w:r w:rsidR="00CA17C8" w:rsidRPr="0026302E">
        <w:rPr>
          <w:sz w:val="24"/>
          <w:szCs w:val="24"/>
        </w:rPr>
        <w:t xml:space="preserve"> in forex initially and later in CFD’s, which are both regulated</w:t>
      </w:r>
      <w:r w:rsidR="000B1D94" w:rsidRPr="0026302E">
        <w:rPr>
          <w:sz w:val="24"/>
          <w:szCs w:val="24"/>
        </w:rPr>
        <w:t xml:space="preserve"> and required a </w:t>
      </w:r>
      <w:r w:rsidR="00D92BD7" w:rsidRPr="0026302E">
        <w:rPr>
          <w:sz w:val="24"/>
          <w:szCs w:val="24"/>
        </w:rPr>
        <w:t>licence</w:t>
      </w:r>
      <w:r w:rsidR="00CA17C8" w:rsidRPr="0026302E">
        <w:rPr>
          <w:sz w:val="24"/>
          <w:szCs w:val="24"/>
        </w:rPr>
        <w:t xml:space="preserve">. </w:t>
      </w:r>
      <w:r w:rsidR="007E66AA" w:rsidRPr="0026302E">
        <w:rPr>
          <w:sz w:val="24"/>
          <w:szCs w:val="24"/>
        </w:rPr>
        <w:t>T</w:t>
      </w:r>
      <w:r w:rsidR="00C064BD" w:rsidRPr="0026302E">
        <w:rPr>
          <w:sz w:val="24"/>
          <w:szCs w:val="24"/>
        </w:rPr>
        <w:t>he evi</w:t>
      </w:r>
      <w:r w:rsidR="00B16785" w:rsidRPr="0026302E">
        <w:rPr>
          <w:sz w:val="24"/>
          <w:szCs w:val="24"/>
        </w:rPr>
        <w:t xml:space="preserve">dence </w:t>
      </w:r>
      <w:r w:rsidR="00C064BD" w:rsidRPr="0026302E">
        <w:rPr>
          <w:sz w:val="24"/>
          <w:szCs w:val="24"/>
        </w:rPr>
        <w:t>was that MTI acted</w:t>
      </w:r>
      <w:r w:rsidR="000226B1" w:rsidRPr="0026302E">
        <w:rPr>
          <w:sz w:val="24"/>
          <w:szCs w:val="24"/>
        </w:rPr>
        <w:t xml:space="preserve"> as an intermediary between the investors looking to invest in bitcoin and the online broker. The investors would deposit their bitcoin into a wallet controlled by MTI, who would then invest the funds into a foreign trading market. The bitcoin </w:t>
      </w:r>
      <w:r w:rsidR="009F6893">
        <w:rPr>
          <w:sz w:val="24"/>
          <w:szCs w:val="24"/>
        </w:rPr>
        <w:t>was</w:t>
      </w:r>
      <w:r w:rsidR="000226B1" w:rsidRPr="0026302E">
        <w:rPr>
          <w:sz w:val="24"/>
          <w:szCs w:val="24"/>
        </w:rPr>
        <w:t xml:space="preserve"> never exchanged for any other currency. </w:t>
      </w:r>
    </w:p>
    <w:p w14:paraId="18FBCDA1" w14:textId="09415CB9" w:rsidR="000226B1" w:rsidRPr="00700696" w:rsidRDefault="00560794" w:rsidP="00560794">
      <w:pPr>
        <w:pStyle w:val="BodyText3"/>
        <w:spacing w:after="240" w:line="480" w:lineRule="auto"/>
        <w:rPr>
          <w:sz w:val="24"/>
          <w:szCs w:val="24"/>
        </w:rPr>
      </w:pPr>
      <w:r w:rsidRPr="00700696">
        <w:rPr>
          <w:sz w:val="22"/>
          <w:szCs w:val="22"/>
        </w:rPr>
        <w:t>[97]</w:t>
      </w:r>
      <w:r w:rsidRPr="00700696">
        <w:rPr>
          <w:sz w:val="22"/>
          <w:szCs w:val="22"/>
        </w:rPr>
        <w:tab/>
      </w:r>
      <w:r w:rsidR="000B1D94">
        <w:rPr>
          <w:sz w:val="24"/>
          <w:szCs w:val="24"/>
        </w:rPr>
        <w:t xml:space="preserve">Furthermore, and at </w:t>
      </w:r>
      <w:r w:rsidR="000226B1" w:rsidRPr="00700696">
        <w:rPr>
          <w:sz w:val="24"/>
          <w:szCs w:val="24"/>
        </w:rPr>
        <w:t>the first interviews with the management of MTI during July 2020 by the FSCA, it was explicitly stated by the FSCA</w:t>
      </w:r>
      <w:r w:rsidR="000B1D94">
        <w:rPr>
          <w:sz w:val="24"/>
          <w:szCs w:val="24"/>
        </w:rPr>
        <w:t xml:space="preserve"> to Steynberg and MTI’s management</w:t>
      </w:r>
      <w:r w:rsidR="000226B1" w:rsidRPr="00700696">
        <w:rPr>
          <w:sz w:val="24"/>
          <w:szCs w:val="24"/>
        </w:rPr>
        <w:t xml:space="preserve">, that it required proof that trades were being made by MTI’s brokers and that the funds or assets were not being “pocketed”. It was </w:t>
      </w:r>
      <w:r w:rsidR="001A33A1">
        <w:rPr>
          <w:sz w:val="24"/>
          <w:szCs w:val="24"/>
        </w:rPr>
        <w:t xml:space="preserve">further </w:t>
      </w:r>
      <w:r w:rsidR="000226B1" w:rsidRPr="00700696">
        <w:rPr>
          <w:sz w:val="24"/>
          <w:szCs w:val="24"/>
        </w:rPr>
        <w:t>expressly stated by the FSCA that it ha</w:t>
      </w:r>
      <w:r w:rsidR="000226B1">
        <w:rPr>
          <w:sz w:val="24"/>
          <w:szCs w:val="24"/>
        </w:rPr>
        <w:t>d</w:t>
      </w:r>
      <w:r w:rsidR="000226B1" w:rsidRPr="00700696">
        <w:rPr>
          <w:sz w:val="24"/>
          <w:szCs w:val="24"/>
        </w:rPr>
        <w:t xml:space="preserve"> concerns about the fact that trades through FXChoice were not in the name of the actual clients but rather in the name of MTI itself and that this was known as a discretionary investment for which a licence is required. It was also pointed out that the issue </w:t>
      </w:r>
      <w:r w:rsidR="000226B1">
        <w:rPr>
          <w:sz w:val="24"/>
          <w:szCs w:val="24"/>
        </w:rPr>
        <w:t>was</w:t>
      </w:r>
      <w:r w:rsidR="000226B1" w:rsidRPr="00700696">
        <w:rPr>
          <w:sz w:val="24"/>
          <w:szCs w:val="24"/>
        </w:rPr>
        <w:t xml:space="preserve"> not that MTI was trading in bitcoin but rather that assets </w:t>
      </w:r>
      <w:r w:rsidR="000226B1" w:rsidRPr="00700696">
        <w:rPr>
          <w:sz w:val="24"/>
          <w:szCs w:val="24"/>
        </w:rPr>
        <w:lastRenderedPageBreak/>
        <w:t>were pooled together, given to a forex broker and then traded in the name of MTI</w:t>
      </w:r>
      <w:r w:rsidR="000226B1">
        <w:rPr>
          <w:sz w:val="24"/>
          <w:szCs w:val="24"/>
        </w:rPr>
        <w:t xml:space="preserve"> and that was a </w:t>
      </w:r>
      <w:r w:rsidR="000226B1" w:rsidRPr="00700696">
        <w:rPr>
          <w:sz w:val="24"/>
          <w:szCs w:val="24"/>
        </w:rPr>
        <w:t>contravention of the C</w:t>
      </w:r>
      <w:r w:rsidR="004D4DE2">
        <w:rPr>
          <w:sz w:val="24"/>
          <w:szCs w:val="24"/>
        </w:rPr>
        <w:t>ISC Act.</w:t>
      </w:r>
      <w:r w:rsidR="000226B1" w:rsidRPr="00700696">
        <w:rPr>
          <w:sz w:val="24"/>
          <w:szCs w:val="24"/>
        </w:rPr>
        <w:t xml:space="preserve">  </w:t>
      </w:r>
    </w:p>
    <w:p w14:paraId="1C780DF2" w14:textId="2646E80F" w:rsidR="002D658A" w:rsidRPr="00860F4B" w:rsidRDefault="00560794" w:rsidP="00560794">
      <w:pPr>
        <w:pStyle w:val="BodyText3"/>
        <w:spacing w:after="240" w:line="480" w:lineRule="auto"/>
        <w:rPr>
          <w:sz w:val="24"/>
          <w:szCs w:val="24"/>
        </w:rPr>
      </w:pPr>
      <w:r w:rsidRPr="00860F4B">
        <w:rPr>
          <w:sz w:val="22"/>
          <w:szCs w:val="22"/>
        </w:rPr>
        <w:t>[98]</w:t>
      </w:r>
      <w:r w:rsidRPr="00860F4B">
        <w:rPr>
          <w:sz w:val="22"/>
          <w:szCs w:val="22"/>
        </w:rPr>
        <w:tab/>
      </w:r>
      <w:r w:rsidR="009F6893">
        <w:rPr>
          <w:sz w:val="24"/>
          <w:szCs w:val="24"/>
        </w:rPr>
        <w:t>T</w:t>
      </w:r>
      <w:r w:rsidR="000B1D94">
        <w:rPr>
          <w:sz w:val="24"/>
          <w:szCs w:val="24"/>
        </w:rPr>
        <w:t>he concerns raised by the FSCA</w:t>
      </w:r>
      <w:r w:rsidR="009F6893">
        <w:rPr>
          <w:sz w:val="24"/>
          <w:szCs w:val="24"/>
        </w:rPr>
        <w:t xml:space="preserve"> are substantiated by </w:t>
      </w:r>
      <w:r w:rsidR="000226B1">
        <w:rPr>
          <w:sz w:val="24"/>
          <w:szCs w:val="24"/>
        </w:rPr>
        <w:t>MTI</w:t>
      </w:r>
      <w:r w:rsidR="000B1D94">
        <w:rPr>
          <w:sz w:val="24"/>
          <w:szCs w:val="24"/>
        </w:rPr>
        <w:t>’s</w:t>
      </w:r>
      <w:r w:rsidR="000226B1">
        <w:rPr>
          <w:sz w:val="24"/>
          <w:szCs w:val="24"/>
        </w:rPr>
        <w:t xml:space="preserve"> management public report to investors, after these interviews, that it was trading in derivative instruments based on forex pairs and that considerable profits were made.</w:t>
      </w:r>
      <w:r w:rsidR="000226B1">
        <w:rPr>
          <w:rStyle w:val="FootnoteReference"/>
          <w:sz w:val="24"/>
          <w:szCs w:val="24"/>
        </w:rPr>
        <w:footnoteReference w:id="46"/>
      </w:r>
    </w:p>
    <w:p w14:paraId="59C57C25" w14:textId="1BEB2068" w:rsidR="00E7007F" w:rsidRPr="00512735" w:rsidRDefault="00560794" w:rsidP="00560794">
      <w:pPr>
        <w:pStyle w:val="BodyText3"/>
        <w:spacing w:after="240" w:line="480" w:lineRule="auto"/>
        <w:rPr>
          <w:sz w:val="24"/>
          <w:szCs w:val="24"/>
        </w:rPr>
      </w:pPr>
      <w:r w:rsidRPr="00512735">
        <w:rPr>
          <w:sz w:val="22"/>
          <w:szCs w:val="22"/>
        </w:rPr>
        <w:t>[99]</w:t>
      </w:r>
      <w:r w:rsidRPr="00512735">
        <w:rPr>
          <w:sz w:val="22"/>
          <w:szCs w:val="22"/>
        </w:rPr>
        <w:tab/>
      </w:r>
      <w:r w:rsidR="002C02DE">
        <w:rPr>
          <w:sz w:val="24"/>
          <w:szCs w:val="24"/>
        </w:rPr>
        <w:t>In light of the aforesaid evidence the argument that</w:t>
      </w:r>
      <w:r w:rsidR="00CE39D6">
        <w:rPr>
          <w:sz w:val="24"/>
          <w:szCs w:val="24"/>
        </w:rPr>
        <w:t xml:space="preserve"> bitcoin is not a “financial product” for purposes of the FAIS Act and the C</w:t>
      </w:r>
      <w:r w:rsidR="009F6893">
        <w:rPr>
          <w:sz w:val="24"/>
          <w:szCs w:val="24"/>
        </w:rPr>
        <w:t>P</w:t>
      </w:r>
      <w:r w:rsidR="00726DDF">
        <w:rPr>
          <w:sz w:val="24"/>
          <w:szCs w:val="24"/>
        </w:rPr>
        <w:t>A Act, is contrived.</w:t>
      </w:r>
    </w:p>
    <w:p w14:paraId="5891094C" w14:textId="32705EA1" w:rsidR="003430EE" w:rsidRDefault="00560794" w:rsidP="00560794">
      <w:pPr>
        <w:pStyle w:val="BodyText3"/>
        <w:spacing w:after="240" w:line="480" w:lineRule="auto"/>
        <w:rPr>
          <w:sz w:val="24"/>
          <w:szCs w:val="24"/>
        </w:rPr>
      </w:pPr>
      <w:r>
        <w:rPr>
          <w:sz w:val="22"/>
          <w:szCs w:val="22"/>
        </w:rPr>
        <w:t>[100]</w:t>
      </w:r>
      <w:r>
        <w:rPr>
          <w:sz w:val="22"/>
          <w:szCs w:val="22"/>
        </w:rPr>
        <w:tab/>
      </w:r>
      <w:r w:rsidR="00266432">
        <w:rPr>
          <w:sz w:val="24"/>
          <w:szCs w:val="24"/>
        </w:rPr>
        <w:t xml:space="preserve">Even if I am wrong </w:t>
      </w:r>
      <w:r w:rsidR="000B1D94">
        <w:rPr>
          <w:sz w:val="24"/>
          <w:szCs w:val="24"/>
        </w:rPr>
        <w:t xml:space="preserve">in this regard, and the manner in which MTI operated its business was not subject to the oversight of the FSCA, </w:t>
      </w:r>
      <w:r w:rsidR="00A54A84">
        <w:rPr>
          <w:sz w:val="24"/>
          <w:szCs w:val="24"/>
        </w:rPr>
        <w:t xml:space="preserve">I am of the view that on </w:t>
      </w:r>
      <w:r w:rsidR="00C744E9">
        <w:rPr>
          <w:sz w:val="24"/>
          <w:szCs w:val="24"/>
        </w:rPr>
        <w:t xml:space="preserve">the </w:t>
      </w:r>
      <w:r w:rsidR="00A54A84">
        <w:rPr>
          <w:sz w:val="24"/>
          <w:szCs w:val="24"/>
        </w:rPr>
        <w:t xml:space="preserve">evidence before court, the applicants have shown </w:t>
      </w:r>
      <w:r w:rsidR="00CA7555">
        <w:rPr>
          <w:sz w:val="24"/>
          <w:szCs w:val="24"/>
        </w:rPr>
        <w:t xml:space="preserve">that MTI’s business </w:t>
      </w:r>
      <w:r w:rsidR="00C744E9">
        <w:rPr>
          <w:sz w:val="24"/>
          <w:szCs w:val="24"/>
        </w:rPr>
        <w:t>a</w:t>
      </w:r>
      <w:r w:rsidR="00CA7555">
        <w:rPr>
          <w:sz w:val="24"/>
          <w:szCs w:val="24"/>
        </w:rPr>
        <w:t>mount</w:t>
      </w:r>
      <w:r w:rsidR="00C744E9">
        <w:rPr>
          <w:sz w:val="24"/>
          <w:szCs w:val="24"/>
        </w:rPr>
        <w:t>ed</w:t>
      </w:r>
      <w:r w:rsidR="00CA7555">
        <w:rPr>
          <w:sz w:val="24"/>
          <w:szCs w:val="24"/>
        </w:rPr>
        <w:t xml:space="preserve"> to an unlawful and fraudulent scheme</w:t>
      </w:r>
      <w:r w:rsidR="00AF1042">
        <w:rPr>
          <w:sz w:val="24"/>
          <w:szCs w:val="24"/>
        </w:rPr>
        <w:t xml:space="preserve"> as a result of the various false representations made to investors.</w:t>
      </w:r>
      <w:r w:rsidR="00781E94">
        <w:rPr>
          <w:rStyle w:val="FootnoteReference"/>
          <w:sz w:val="24"/>
          <w:szCs w:val="24"/>
        </w:rPr>
        <w:footnoteReference w:id="47"/>
      </w:r>
      <w:r w:rsidR="0026302E">
        <w:rPr>
          <w:sz w:val="24"/>
          <w:szCs w:val="24"/>
        </w:rPr>
        <w:t xml:space="preserve"> </w:t>
      </w:r>
    </w:p>
    <w:p w14:paraId="22DC0695" w14:textId="1B6FFE02" w:rsidR="00552E30" w:rsidRPr="0043371E" w:rsidRDefault="00560794" w:rsidP="00560794">
      <w:pPr>
        <w:pStyle w:val="BodyText3"/>
        <w:spacing w:after="240" w:line="480" w:lineRule="auto"/>
        <w:rPr>
          <w:sz w:val="24"/>
          <w:szCs w:val="24"/>
        </w:rPr>
      </w:pPr>
      <w:r w:rsidRPr="0043371E">
        <w:rPr>
          <w:sz w:val="22"/>
          <w:szCs w:val="22"/>
        </w:rPr>
        <w:t>[101]</w:t>
      </w:r>
      <w:r w:rsidRPr="0043371E">
        <w:rPr>
          <w:sz w:val="22"/>
          <w:szCs w:val="22"/>
        </w:rPr>
        <w:tab/>
      </w:r>
      <w:r w:rsidR="000B1D94" w:rsidRPr="0043371E">
        <w:rPr>
          <w:sz w:val="24"/>
          <w:szCs w:val="24"/>
        </w:rPr>
        <w:t>On the conspectus of the evidence, it cannot seriously be argued</w:t>
      </w:r>
      <w:r w:rsidR="00C36535" w:rsidRPr="0043371E">
        <w:rPr>
          <w:sz w:val="24"/>
          <w:szCs w:val="24"/>
        </w:rPr>
        <w:t>,</w:t>
      </w:r>
      <w:r w:rsidR="00DF1D90" w:rsidRPr="0043371E">
        <w:rPr>
          <w:sz w:val="24"/>
          <w:szCs w:val="24"/>
        </w:rPr>
        <w:t xml:space="preserve"> </w:t>
      </w:r>
      <w:r w:rsidR="009C7C4E" w:rsidRPr="0043371E">
        <w:rPr>
          <w:sz w:val="24"/>
          <w:szCs w:val="24"/>
        </w:rPr>
        <w:t xml:space="preserve">that </w:t>
      </w:r>
      <w:r w:rsidR="00552E30" w:rsidRPr="0043371E">
        <w:rPr>
          <w:sz w:val="24"/>
          <w:szCs w:val="24"/>
        </w:rPr>
        <w:t xml:space="preserve">MTI </w:t>
      </w:r>
      <w:r w:rsidR="000B1D94" w:rsidRPr="0043371E">
        <w:rPr>
          <w:sz w:val="24"/>
          <w:szCs w:val="24"/>
        </w:rPr>
        <w:t xml:space="preserve">did not </w:t>
      </w:r>
      <w:r w:rsidR="00552E30" w:rsidRPr="0043371E">
        <w:rPr>
          <w:sz w:val="24"/>
          <w:szCs w:val="24"/>
        </w:rPr>
        <w:t xml:space="preserve">conduct a </w:t>
      </w:r>
      <w:r w:rsidR="009C7C4E" w:rsidRPr="0043371E">
        <w:rPr>
          <w:sz w:val="24"/>
          <w:szCs w:val="24"/>
        </w:rPr>
        <w:t>p</w:t>
      </w:r>
      <w:r w:rsidR="00552E30" w:rsidRPr="0043371E">
        <w:rPr>
          <w:sz w:val="24"/>
          <w:szCs w:val="24"/>
        </w:rPr>
        <w:t>yramid scheme</w:t>
      </w:r>
      <w:r w:rsidR="009C7C4E" w:rsidRPr="0043371E">
        <w:rPr>
          <w:sz w:val="24"/>
          <w:szCs w:val="24"/>
        </w:rPr>
        <w:t xml:space="preserve"> </w:t>
      </w:r>
      <w:r w:rsidR="00033F27" w:rsidRPr="0043371E">
        <w:rPr>
          <w:sz w:val="24"/>
          <w:szCs w:val="24"/>
        </w:rPr>
        <w:t xml:space="preserve">in contravention of ss 42 and 43 of the CPA </w:t>
      </w:r>
      <w:r w:rsidR="007313AE" w:rsidRPr="0043371E">
        <w:rPr>
          <w:sz w:val="24"/>
          <w:szCs w:val="24"/>
        </w:rPr>
        <w:t xml:space="preserve">if one considers </w:t>
      </w:r>
      <w:r w:rsidR="00033F27" w:rsidRPr="0043371E">
        <w:rPr>
          <w:sz w:val="24"/>
          <w:szCs w:val="24"/>
        </w:rPr>
        <w:t xml:space="preserve">the evidence of </w:t>
      </w:r>
      <w:r w:rsidR="00DC1B2D" w:rsidRPr="0043371E">
        <w:rPr>
          <w:sz w:val="24"/>
          <w:szCs w:val="24"/>
        </w:rPr>
        <w:t>Steynberg himself</w:t>
      </w:r>
      <w:r w:rsidR="00852B8B" w:rsidRPr="0043371E">
        <w:rPr>
          <w:sz w:val="24"/>
          <w:szCs w:val="24"/>
        </w:rPr>
        <w:t xml:space="preserve">, </w:t>
      </w:r>
      <w:r w:rsidR="00DC1B2D" w:rsidRPr="0043371E">
        <w:rPr>
          <w:sz w:val="24"/>
          <w:szCs w:val="24"/>
        </w:rPr>
        <w:t xml:space="preserve"> </w:t>
      </w:r>
      <w:r w:rsidR="00852B8B" w:rsidRPr="0043371E">
        <w:rPr>
          <w:sz w:val="24"/>
          <w:szCs w:val="24"/>
        </w:rPr>
        <w:t>t</w:t>
      </w:r>
      <w:r w:rsidR="00552E30" w:rsidRPr="0043371E">
        <w:rPr>
          <w:sz w:val="24"/>
          <w:szCs w:val="24"/>
        </w:rPr>
        <w:t xml:space="preserve">he binary structure explained by </w:t>
      </w:r>
      <w:r w:rsidR="00852B8B" w:rsidRPr="0043371E">
        <w:rPr>
          <w:sz w:val="24"/>
          <w:szCs w:val="24"/>
        </w:rPr>
        <w:t>Ward during the enquiries and in the public domain</w:t>
      </w:r>
      <w:r w:rsidR="00625D9A" w:rsidRPr="0043371E">
        <w:rPr>
          <w:sz w:val="24"/>
          <w:szCs w:val="24"/>
        </w:rPr>
        <w:t xml:space="preserve">, </w:t>
      </w:r>
      <w:r w:rsidR="00552E30" w:rsidRPr="0043371E">
        <w:rPr>
          <w:sz w:val="24"/>
          <w:szCs w:val="24"/>
        </w:rPr>
        <w:t>Marks's explanations at board meetings regarding the growth of membership numbers through teams and leaders</w:t>
      </w:r>
      <w:r w:rsidR="00625D9A" w:rsidRPr="0043371E">
        <w:rPr>
          <w:sz w:val="24"/>
          <w:szCs w:val="24"/>
        </w:rPr>
        <w:t xml:space="preserve">, and the </w:t>
      </w:r>
      <w:r w:rsidR="00552E30" w:rsidRPr="0043371E">
        <w:rPr>
          <w:sz w:val="24"/>
          <w:szCs w:val="24"/>
        </w:rPr>
        <w:t xml:space="preserve">evidence of Ignatius Bell who, save for an investment of R7,000.00 on his behalf by Steynberg, made no further investment but recruited investors and had approximately 190 000 investors in his "downline" in the MTI binary system. Based on the MTI compensation plan, dependent on the investors recruited by Bell, he was enabled to earn </w:t>
      </w:r>
      <w:r w:rsidR="001031BC" w:rsidRPr="0043371E">
        <w:rPr>
          <w:sz w:val="24"/>
          <w:szCs w:val="24"/>
        </w:rPr>
        <w:t xml:space="preserve">an </w:t>
      </w:r>
      <w:r w:rsidR="00552E30" w:rsidRPr="0043371E">
        <w:rPr>
          <w:sz w:val="24"/>
          <w:szCs w:val="24"/>
        </w:rPr>
        <w:t>income of R6 million per month.</w:t>
      </w:r>
    </w:p>
    <w:p w14:paraId="07C45700" w14:textId="711B9963" w:rsidR="00CF24F1" w:rsidRPr="00CF24F1" w:rsidRDefault="00CF24F1" w:rsidP="00BD3F5D">
      <w:pPr>
        <w:pStyle w:val="BodyText3"/>
        <w:spacing w:after="240" w:line="480" w:lineRule="auto"/>
        <w:rPr>
          <w:i/>
          <w:iCs/>
          <w:sz w:val="24"/>
          <w:szCs w:val="24"/>
          <w:u w:val="single"/>
        </w:rPr>
      </w:pPr>
      <w:r w:rsidRPr="00DF1D90">
        <w:rPr>
          <w:i/>
          <w:iCs/>
          <w:sz w:val="24"/>
          <w:szCs w:val="24"/>
          <w:u w:val="single"/>
        </w:rPr>
        <w:lastRenderedPageBreak/>
        <w:t>Declar</w:t>
      </w:r>
      <w:r w:rsidRPr="00CF24F1">
        <w:rPr>
          <w:i/>
          <w:iCs/>
          <w:sz w:val="24"/>
          <w:szCs w:val="24"/>
          <w:u w:val="single"/>
        </w:rPr>
        <w:t>ing all agreements between MTI and its investors to be unlawful and void ab initio:</w:t>
      </w:r>
    </w:p>
    <w:p w14:paraId="702F6025" w14:textId="791E5356" w:rsidR="003300DD" w:rsidRDefault="00560794" w:rsidP="00560794">
      <w:pPr>
        <w:pStyle w:val="BodyText3"/>
        <w:spacing w:after="240" w:line="480" w:lineRule="auto"/>
        <w:rPr>
          <w:sz w:val="24"/>
          <w:szCs w:val="24"/>
          <w:lang w:eastAsia="en-ZA"/>
        </w:rPr>
      </w:pPr>
      <w:r>
        <w:rPr>
          <w:sz w:val="22"/>
          <w:szCs w:val="22"/>
          <w:lang w:eastAsia="en-ZA"/>
        </w:rPr>
        <w:t>[102]</w:t>
      </w:r>
      <w:r>
        <w:rPr>
          <w:sz w:val="22"/>
          <w:szCs w:val="22"/>
          <w:lang w:eastAsia="en-ZA"/>
        </w:rPr>
        <w:tab/>
      </w:r>
      <w:r w:rsidR="00CD3B14" w:rsidRPr="001031BC">
        <w:rPr>
          <w:sz w:val="24"/>
          <w:szCs w:val="24"/>
        </w:rPr>
        <w:t xml:space="preserve">The applicants </w:t>
      </w:r>
      <w:r w:rsidR="007313AE">
        <w:rPr>
          <w:sz w:val="24"/>
          <w:szCs w:val="24"/>
        </w:rPr>
        <w:t xml:space="preserve">seeks </w:t>
      </w:r>
      <w:r w:rsidR="00CD3B14" w:rsidRPr="001031BC">
        <w:rPr>
          <w:sz w:val="24"/>
          <w:szCs w:val="24"/>
        </w:rPr>
        <w:t xml:space="preserve">an order declaring </w:t>
      </w:r>
      <w:r w:rsidR="00D63CD5" w:rsidRPr="001031BC">
        <w:rPr>
          <w:sz w:val="24"/>
          <w:szCs w:val="24"/>
        </w:rPr>
        <w:t xml:space="preserve">that </w:t>
      </w:r>
      <w:r w:rsidR="00656C81" w:rsidRPr="001031BC">
        <w:rPr>
          <w:sz w:val="24"/>
          <w:szCs w:val="24"/>
        </w:rPr>
        <w:t xml:space="preserve">all </w:t>
      </w:r>
      <w:r w:rsidR="00CF24F1" w:rsidRPr="001031BC">
        <w:rPr>
          <w:sz w:val="24"/>
          <w:szCs w:val="24"/>
        </w:rPr>
        <w:t xml:space="preserve">agreements between MTI and investors formed part of the unlawful business of MTI and are therefore void </w:t>
      </w:r>
      <w:r w:rsidR="00CF24F1" w:rsidRPr="001031BC">
        <w:rPr>
          <w:i/>
          <w:iCs/>
          <w:sz w:val="24"/>
          <w:szCs w:val="24"/>
        </w:rPr>
        <w:t>ab initio</w:t>
      </w:r>
      <w:r w:rsidR="00CF24F1" w:rsidRPr="001031BC">
        <w:rPr>
          <w:sz w:val="24"/>
          <w:szCs w:val="24"/>
        </w:rPr>
        <w:t xml:space="preserve"> with the result that investors ha</w:t>
      </w:r>
      <w:r w:rsidR="0026302E" w:rsidRPr="001031BC">
        <w:rPr>
          <w:sz w:val="24"/>
          <w:szCs w:val="24"/>
        </w:rPr>
        <w:t>ve</w:t>
      </w:r>
      <w:r w:rsidR="00CF24F1" w:rsidRPr="001031BC">
        <w:rPr>
          <w:sz w:val="24"/>
          <w:szCs w:val="24"/>
        </w:rPr>
        <w:t xml:space="preserve"> no </w:t>
      </w:r>
      <w:r w:rsidR="007313AE">
        <w:rPr>
          <w:sz w:val="24"/>
          <w:szCs w:val="24"/>
        </w:rPr>
        <w:t xml:space="preserve">contractual </w:t>
      </w:r>
      <w:r w:rsidR="00CF24F1" w:rsidRPr="001031BC">
        <w:rPr>
          <w:sz w:val="24"/>
          <w:szCs w:val="24"/>
        </w:rPr>
        <w:t>right to share in any profits of MTI</w:t>
      </w:r>
      <w:r w:rsidR="00CA27D6" w:rsidRPr="001031BC">
        <w:rPr>
          <w:sz w:val="24"/>
          <w:szCs w:val="24"/>
        </w:rPr>
        <w:t xml:space="preserve"> with reliance on the matter of </w:t>
      </w:r>
      <w:r w:rsidR="00CA27D6" w:rsidRPr="001031BC">
        <w:rPr>
          <w:sz w:val="24"/>
          <w:szCs w:val="24"/>
          <w:lang w:eastAsia="en-ZA"/>
        </w:rPr>
        <w:t>Allpay Consolidated Investment Holdings (Pty) Ltd and Others v Chief Executive Officer of the South African Social Security Agency and Others 2014 (4) SA 179 (CC)</w:t>
      </w:r>
      <w:r w:rsidR="007313AE">
        <w:rPr>
          <w:sz w:val="24"/>
          <w:szCs w:val="24"/>
          <w:lang w:eastAsia="en-ZA"/>
        </w:rPr>
        <w:t xml:space="preserve"> at </w:t>
      </w:r>
      <w:r w:rsidR="00CA27D6" w:rsidRPr="001031BC">
        <w:rPr>
          <w:sz w:val="24"/>
          <w:szCs w:val="24"/>
          <w:lang w:eastAsia="en-ZA"/>
        </w:rPr>
        <w:t>para [67]</w:t>
      </w:r>
      <w:r w:rsidR="00D55E29" w:rsidRPr="001031BC">
        <w:rPr>
          <w:sz w:val="24"/>
          <w:szCs w:val="24"/>
          <w:lang w:eastAsia="en-ZA"/>
        </w:rPr>
        <w:t xml:space="preserve"> and </w:t>
      </w:r>
      <w:r w:rsidR="002C6B32" w:rsidRPr="001031BC">
        <w:rPr>
          <w:sz w:val="24"/>
          <w:szCs w:val="24"/>
          <w:lang w:eastAsia="en-ZA"/>
        </w:rPr>
        <w:t>the order that was granted in Fourie NO</w:t>
      </w:r>
      <w:r w:rsidR="00FC0418" w:rsidRPr="001031BC">
        <w:rPr>
          <w:sz w:val="24"/>
          <w:szCs w:val="24"/>
          <w:lang w:eastAsia="en-ZA"/>
        </w:rPr>
        <w:t xml:space="preserve"> (</w:t>
      </w:r>
      <w:r w:rsidR="00FC0418" w:rsidRPr="001031BC">
        <w:rPr>
          <w:i/>
          <w:iCs/>
          <w:sz w:val="24"/>
          <w:szCs w:val="24"/>
          <w:lang w:eastAsia="en-ZA"/>
        </w:rPr>
        <w:t>supra</w:t>
      </w:r>
      <w:r w:rsidR="00FC0418" w:rsidRPr="001031BC">
        <w:rPr>
          <w:sz w:val="24"/>
          <w:szCs w:val="24"/>
          <w:lang w:eastAsia="en-ZA"/>
        </w:rPr>
        <w:t>).</w:t>
      </w:r>
    </w:p>
    <w:p w14:paraId="18F68DCF" w14:textId="6E9C315B" w:rsidR="00CF24F1" w:rsidRDefault="00560794" w:rsidP="00560794">
      <w:pPr>
        <w:pStyle w:val="BodyText3"/>
        <w:spacing w:after="240" w:line="480" w:lineRule="auto"/>
        <w:rPr>
          <w:sz w:val="24"/>
          <w:szCs w:val="24"/>
        </w:rPr>
      </w:pPr>
      <w:r>
        <w:rPr>
          <w:sz w:val="22"/>
          <w:szCs w:val="22"/>
        </w:rPr>
        <w:t>[103]</w:t>
      </w:r>
      <w:r>
        <w:rPr>
          <w:sz w:val="22"/>
          <w:szCs w:val="22"/>
        </w:rPr>
        <w:tab/>
      </w:r>
      <w:r w:rsidR="00691648">
        <w:rPr>
          <w:sz w:val="24"/>
          <w:szCs w:val="24"/>
          <w:lang w:eastAsia="en-ZA"/>
        </w:rPr>
        <w:t xml:space="preserve">It was submitted that </w:t>
      </w:r>
      <w:r w:rsidR="00691648" w:rsidRPr="00FC0418">
        <w:rPr>
          <w:sz w:val="24"/>
          <w:szCs w:val="24"/>
          <w:lang w:eastAsia="en-ZA"/>
        </w:rPr>
        <w:t>a</w:t>
      </w:r>
      <w:r w:rsidR="00691648">
        <w:rPr>
          <w:sz w:val="24"/>
          <w:szCs w:val="24"/>
          <w:lang w:eastAsia="en-ZA"/>
        </w:rPr>
        <w:t xml:space="preserve"> declaratory order to this effect w</w:t>
      </w:r>
      <w:r w:rsidR="007313AE">
        <w:rPr>
          <w:sz w:val="24"/>
          <w:szCs w:val="24"/>
          <w:lang w:eastAsia="en-ZA"/>
        </w:rPr>
        <w:t xml:space="preserve">ould </w:t>
      </w:r>
      <w:r w:rsidR="00CF24F1" w:rsidRPr="00691648">
        <w:rPr>
          <w:sz w:val="24"/>
          <w:szCs w:val="24"/>
        </w:rPr>
        <w:t xml:space="preserve">determine the </w:t>
      </w:r>
      <w:r w:rsidR="007313AE">
        <w:rPr>
          <w:sz w:val="24"/>
          <w:szCs w:val="24"/>
        </w:rPr>
        <w:t xml:space="preserve">extent of </w:t>
      </w:r>
      <w:r w:rsidR="00CF24F1" w:rsidRPr="00691648">
        <w:rPr>
          <w:sz w:val="24"/>
          <w:szCs w:val="24"/>
        </w:rPr>
        <w:t xml:space="preserve">claims that investors may have against MTI in liquidation and </w:t>
      </w:r>
      <w:r w:rsidR="007313AE">
        <w:rPr>
          <w:sz w:val="24"/>
          <w:szCs w:val="24"/>
        </w:rPr>
        <w:t xml:space="preserve">the converse being </w:t>
      </w:r>
      <w:r w:rsidR="00CF24F1" w:rsidRPr="00691648">
        <w:rPr>
          <w:sz w:val="24"/>
          <w:szCs w:val="24"/>
        </w:rPr>
        <w:t xml:space="preserve">the extent to which the </w:t>
      </w:r>
      <w:r w:rsidR="006F5DE3">
        <w:rPr>
          <w:sz w:val="24"/>
          <w:szCs w:val="24"/>
        </w:rPr>
        <w:t xml:space="preserve">applicants </w:t>
      </w:r>
      <w:r w:rsidR="00CF24F1" w:rsidRPr="00691648">
        <w:rPr>
          <w:sz w:val="24"/>
          <w:szCs w:val="24"/>
        </w:rPr>
        <w:t>may have claims against investors who have shared in MTI’s alleged profits.</w:t>
      </w:r>
      <w:r w:rsidR="000B1D94">
        <w:rPr>
          <w:rStyle w:val="FootnoteReference"/>
          <w:sz w:val="24"/>
          <w:szCs w:val="24"/>
        </w:rPr>
        <w:footnoteReference w:id="48"/>
      </w:r>
    </w:p>
    <w:p w14:paraId="32C5C2E4" w14:textId="353FE0B4" w:rsidR="00DA0C8E" w:rsidRPr="00474BC2" w:rsidRDefault="00560794" w:rsidP="00560794">
      <w:pPr>
        <w:pStyle w:val="BodyText3"/>
        <w:spacing w:after="240" w:line="480" w:lineRule="auto"/>
        <w:rPr>
          <w:sz w:val="24"/>
          <w:szCs w:val="24"/>
        </w:rPr>
      </w:pPr>
      <w:r w:rsidRPr="00474BC2">
        <w:rPr>
          <w:sz w:val="22"/>
          <w:szCs w:val="22"/>
        </w:rPr>
        <w:t>[104]</w:t>
      </w:r>
      <w:r w:rsidRPr="00474BC2">
        <w:rPr>
          <w:sz w:val="22"/>
          <w:szCs w:val="22"/>
        </w:rPr>
        <w:tab/>
      </w:r>
      <w:r w:rsidR="00681CFF">
        <w:rPr>
          <w:sz w:val="24"/>
          <w:szCs w:val="24"/>
        </w:rPr>
        <w:t>The order in Fourie NO (</w:t>
      </w:r>
      <w:r w:rsidR="00681CFF" w:rsidRPr="007313AE">
        <w:rPr>
          <w:i/>
          <w:iCs/>
          <w:sz w:val="24"/>
          <w:szCs w:val="24"/>
        </w:rPr>
        <w:t>supra</w:t>
      </w:r>
      <w:r w:rsidR="00681CFF">
        <w:rPr>
          <w:sz w:val="24"/>
          <w:szCs w:val="24"/>
        </w:rPr>
        <w:t xml:space="preserve">) was granted prior to the enactment of the </w:t>
      </w:r>
      <w:r w:rsidR="00952978">
        <w:rPr>
          <w:sz w:val="24"/>
          <w:szCs w:val="24"/>
        </w:rPr>
        <w:t>C</w:t>
      </w:r>
      <w:r w:rsidR="00681CFF">
        <w:rPr>
          <w:sz w:val="24"/>
          <w:szCs w:val="24"/>
        </w:rPr>
        <w:t>PA</w:t>
      </w:r>
      <w:r w:rsidR="00952978">
        <w:rPr>
          <w:sz w:val="24"/>
          <w:szCs w:val="24"/>
        </w:rPr>
        <w:t xml:space="preserve"> and at</w:t>
      </w:r>
      <w:r w:rsidR="00F42566">
        <w:rPr>
          <w:sz w:val="24"/>
          <w:szCs w:val="24"/>
        </w:rPr>
        <w:t xml:space="preserve"> t</w:t>
      </w:r>
      <w:r w:rsidR="00CF24F1" w:rsidRPr="00681CFF">
        <w:rPr>
          <w:sz w:val="24"/>
          <w:szCs w:val="24"/>
        </w:rPr>
        <w:t>he time, the CPA’s predecessor, the Consumer Affairs (Unfair Business Practices) Act, 71 of 1988, (“the 1988 Act”)</w:t>
      </w:r>
      <w:r w:rsidR="00952978">
        <w:rPr>
          <w:sz w:val="24"/>
          <w:szCs w:val="24"/>
        </w:rPr>
        <w:t>,</w:t>
      </w:r>
      <w:r w:rsidR="00CF24F1" w:rsidRPr="00681CFF">
        <w:rPr>
          <w:sz w:val="24"/>
          <w:szCs w:val="24"/>
        </w:rPr>
        <w:t xml:space="preserve"> was </w:t>
      </w:r>
      <w:r w:rsidR="007313AE">
        <w:rPr>
          <w:sz w:val="24"/>
          <w:szCs w:val="24"/>
        </w:rPr>
        <w:t xml:space="preserve">in </w:t>
      </w:r>
      <w:r w:rsidR="00CF24F1" w:rsidRPr="00681CFF">
        <w:rPr>
          <w:sz w:val="24"/>
          <w:szCs w:val="24"/>
        </w:rPr>
        <w:t xml:space="preserve">effect. </w:t>
      </w:r>
      <w:r w:rsidR="00551D9E">
        <w:rPr>
          <w:sz w:val="24"/>
          <w:szCs w:val="24"/>
        </w:rPr>
        <w:t xml:space="preserve">The question </w:t>
      </w:r>
      <w:r w:rsidR="00551D9E" w:rsidRPr="007279FD">
        <w:rPr>
          <w:sz w:val="24"/>
          <w:szCs w:val="24"/>
        </w:rPr>
        <w:t>is</w:t>
      </w:r>
      <w:r w:rsidR="00551D9E">
        <w:rPr>
          <w:sz w:val="24"/>
          <w:szCs w:val="24"/>
        </w:rPr>
        <w:t xml:space="preserve"> thus whether the CPA </w:t>
      </w:r>
      <w:r w:rsidR="00D07553">
        <w:rPr>
          <w:sz w:val="24"/>
          <w:szCs w:val="24"/>
        </w:rPr>
        <w:t>has had any effect on</w:t>
      </w:r>
      <w:r w:rsidR="00D07553" w:rsidRPr="00E164E6">
        <w:rPr>
          <w:sz w:val="24"/>
          <w:szCs w:val="24"/>
        </w:rPr>
        <w:t xml:space="preserve"> the </w:t>
      </w:r>
      <w:r w:rsidR="00021555" w:rsidRPr="00E164E6">
        <w:rPr>
          <w:sz w:val="24"/>
          <w:szCs w:val="24"/>
        </w:rPr>
        <w:t>finding in Fourie NO (</w:t>
      </w:r>
      <w:r w:rsidR="00021555" w:rsidRPr="007313AE">
        <w:rPr>
          <w:i/>
          <w:iCs/>
          <w:sz w:val="24"/>
          <w:szCs w:val="24"/>
        </w:rPr>
        <w:t>supra</w:t>
      </w:r>
      <w:r w:rsidR="00021555" w:rsidRPr="00E164E6">
        <w:rPr>
          <w:sz w:val="24"/>
          <w:szCs w:val="24"/>
        </w:rPr>
        <w:t xml:space="preserve">) and further whether the CPA </w:t>
      </w:r>
      <w:r w:rsidR="00021555" w:rsidRPr="00105E5A">
        <w:rPr>
          <w:sz w:val="24"/>
          <w:szCs w:val="24"/>
        </w:rPr>
        <w:t xml:space="preserve">renders </w:t>
      </w:r>
      <w:r w:rsidR="00DA0C8E" w:rsidRPr="00105E5A">
        <w:rPr>
          <w:sz w:val="24"/>
          <w:szCs w:val="24"/>
        </w:rPr>
        <w:t>a</w:t>
      </w:r>
      <w:r w:rsidR="00474BC2">
        <w:rPr>
          <w:sz w:val="24"/>
          <w:szCs w:val="24"/>
        </w:rPr>
        <w:t xml:space="preserve"> </w:t>
      </w:r>
      <w:r w:rsidR="00474BC2" w:rsidRPr="00474BC2">
        <w:rPr>
          <w:sz w:val="24"/>
          <w:szCs w:val="24"/>
        </w:rPr>
        <w:t xml:space="preserve">pyramid </w:t>
      </w:r>
      <w:r w:rsidR="00AD511C">
        <w:rPr>
          <w:sz w:val="24"/>
          <w:szCs w:val="24"/>
        </w:rPr>
        <w:t xml:space="preserve">or ponzi-type </w:t>
      </w:r>
      <w:r w:rsidR="00DA0C8E" w:rsidRPr="00474BC2">
        <w:rPr>
          <w:sz w:val="24"/>
          <w:szCs w:val="24"/>
        </w:rPr>
        <w:t>scheme illegal.</w:t>
      </w:r>
    </w:p>
    <w:p w14:paraId="58CA78DA" w14:textId="58C268EB" w:rsidR="00CF24F1" w:rsidRPr="00E164E6" w:rsidRDefault="00560794" w:rsidP="00560794">
      <w:pPr>
        <w:pStyle w:val="BodyText3"/>
        <w:spacing w:after="240" w:line="480" w:lineRule="auto"/>
        <w:rPr>
          <w:sz w:val="24"/>
          <w:szCs w:val="24"/>
        </w:rPr>
      </w:pPr>
      <w:r w:rsidRPr="00E164E6">
        <w:rPr>
          <w:sz w:val="22"/>
          <w:szCs w:val="22"/>
        </w:rPr>
        <w:t>[105]</w:t>
      </w:r>
      <w:r w:rsidRPr="00E164E6">
        <w:rPr>
          <w:sz w:val="22"/>
          <w:szCs w:val="22"/>
        </w:rPr>
        <w:tab/>
      </w:r>
      <w:r w:rsidR="00E164E6" w:rsidRPr="00105E5A">
        <w:rPr>
          <w:sz w:val="24"/>
          <w:szCs w:val="24"/>
        </w:rPr>
        <w:t xml:space="preserve">It was said in </w:t>
      </w:r>
      <w:r w:rsidR="00CF24F1" w:rsidRPr="00105E5A">
        <w:rPr>
          <w:sz w:val="24"/>
          <w:szCs w:val="24"/>
        </w:rPr>
        <w:t>Schierhout v Minister of Justice</w:t>
      </w:r>
      <w:r w:rsidR="00CF24F1" w:rsidRPr="00105E5A">
        <w:rPr>
          <w:i/>
          <w:iCs/>
          <w:sz w:val="24"/>
          <w:szCs w:val="24"/>
        </w:rPr>
        <w:t xml:space="preserve"> </w:t>
      </w:r>
      <w:r w:rsidR="00CF24F1" w:rsidRPr="00105E5A">
        <w:rPr>
          <w:sz w:val="24"/>
          <w:szCs w:val="24"/>
        </w:rPr>
        <w:t xml:space="preserve">1926 AD 99 at </w:t>
      </w:r>
      <w:r w:rsidR="000352F3">
        <w:rPr>
          <w:sz w:val="24"/>
          <w:szCs w:val="24"/>
        </w:rPr>
        <w:t>[</w:t>
      </w:r>
      <w:r w:rsidR="00CF24F1" w:rsidRPr="00105E5A">
        <w:rPr>
          <w:sz w:val="24"/>
          <w:szCs w:val="24"/>
        </w:rPr>
        <w:t>109</w:t>
      </w:r>
      <w:r w:rsidR="000352F3">
        <w:rPr>
          <w:sz w:val="24"/>
          <w:szCs w:val="24"/>
        </w:rPr>
        <w:t>]</w:t>
      </w:r>
      <w:r w:rsidR="00CF24F1" w:rsidRPr="00105E5A">
        <w:rPr>
          <w:sz w:val="24"/>
          <w:szCs w:val="24"/>
        </w:rPr>
        <w:t xml:space="preserve">, </w:t>
      </w:r>
      <w:r w:rsidR="006D6196" w:rsidRPr="00105E5A">
        <w:rPr>
          <w:sz w:val="24"/>
          <w:szCs w:val="24"/>
        </w:rPr>
        <w:t>that</w:t>
      </w:r>
      <w:r w:rsidR="00CF24F1" w:rsidRPr="00105E5A">
        <w:rPr>
          <w:sz w:val="24"/>
          <w:szCs w:val="24"/>
        </w:rPr>
        <w:t>: “</w:t>
      </w:r>
      <w:r w:rsidR="00CF24F1" w:rsidRPr="00105E5A">
        <w:rPr>
          <w:i/>
          <w:iCs/>
          <w:sz w:val="24"/>
          <w:szCs w:val="24"/>
        </w:rPr>
        <w:t>It is a fundamental principle of our law that a thing done contrary to the direct prohibition of the law is void and of no effect”</w:t>
      </w:r>
      <w:r w:rsidR="00105E5A" w:rsidRPr="00105E5A">
        <w:rPr>
          <w:i/>
          <w:iCs/>
          <w:sz w:val="24"/>
          <w:szCs w:val="24"/>
        </w:rPr>
        <w:t xml:space="preserve">. </w:t>
      </w:r>
      <w:r w:rsidR="00105E5A" w:rsidRPr="00105E5A">
        <w:rPr>
          <w:sz w:val="24"/>
          <w:szCs w:val="24"/>
        </w:rPr>
        <w:t>It was however p</w:t>
      </w:r>
      <w:r w:rsidR="00CF24F1" w:rsidRPr="00105E5A">
        <w:rPr>
          <w:sz w:val="24"/>
          <w:szCs w:val="24"/>
          <w:lang w:val="af-ZA"/>
        </w:rPr>
        <w:t xml:space="preserve">ointed out in </w:t>
      </w:r>
      <w:r w:rsidR="00CF24F1" w:rsidRPr="00105E5A">
        <w:rPr>
          <w:bCs/>
          <w:iCs/>
          <w:sz w:val="24"/>
          <w:szCs w:val="24"/>
          <w:lang w:val="af-ZA"/>
        </w:rPr>
        <w:t>Lupacchini NO v Minister of Safety and Security</w:t>
      </w:r>
      <w:r w:rsidR="00CF24F1" w:rsidRPr="00105E5A">
        <w:rPr>
          <w:bCs/>
          <w:i/>
          <w:sz w:val="24"/>
          <w:szCs w:val="24"/>
          <w:lang w:val="af-ZA"/>
        </w:rPr>
        <w:t xml:space="preserve"> </w:t>
      </w:r>
      <w:r w:rsidR="00CF24F1" w:rsidRPr="00105E5A">
        <w:rPr>
          <w:bCs/>
          <w:sz w:val="24"/>
          <w:szCs w:val="24"/>
          <w:lang w:val="af-ZA"/>
        </w:rPr>
        <w:t>2010 (6) SA 457 (SCA)</w:t>
      </w:r>
      <w:r w:rsidR="00CF24F1" w:rsidRPr="00105E5A">
        <w:rPr>
          <w:bCs/>
          <w:i/>
          <w:sz w:val="24"/>
          <w:szCs w:val="24"/>
          <w:lang w:val="af-ZA"/>
        </w:rPr>
        <w:t xml:space="preserve"> </w:t>
      </w:r>
      <w:r w:rsidR="003A316B">
        <w:rPr>
          <w:bCs/>
          <w:iCs/>
          <w:sz w:val="24"/>
          <w:szCs w:val="24"/>
          <w:lang w:val="af-ZA"/>
        </w:rPr>
        <w:t>at</w:t>
      </w:r>
      <w:r w:rsidR="007313AE">
        <w:rPr>
          <w:bCs/>
          <w:i/>
          <w:sz w:val="24"/>
          <w:szCs w:val="24"/>
          <w:lang w:val="af-ZA"/>
        </w:rPr>
        <w:t xml:space="preserve"> </w:t>
      </w:r>
      <w:r w:rsidR="00CF24F1" w:rsidRPr="00105E5A">
        <w:rPr>
          <w:bCs/>
          <w:sz w:val="24"/>
          <w:szCs w:val="24"/>
          <w:lang w:val="af-ZA"/>
        </w:rPr>
        <w:t xml:space="preserve">para </w:t>
      </w:r>
      <w:r w:rsidR="007313AE">
        <w:rPr>
          <w:bCs/>
          <w:sz w:val="24"/>
          <w:szCs w:val="24"/>
          <w:lang w:val="af-ZA"/>
        </w:rPr>
        <w:t>[</w:t>
      </w:r>
      <w:r w:rsidR="00CF24F1" w:rsidRPr="00E164E6">
        <w:rPr>
          <w:bCs/>
          <w:sz w:val="24"/>
          <w:szCs w:val="24"/>
          <w:lang w:val="af-ZA"/>
        </w:rPr>
        <w:t>8</w:t>
      </w:r>
      <w:r w:rsidR="007313AE">
        <w:rPr>
          <w:bCs/>
          <w:sz w:val="24"/>
          <w:szCs w:val="24"/>
          <w:lang w:val="af-ZA"/>
        </w:rPr>
        <w:t>]</w:t>
      </w:r>
      <w:r w:rsidR="00091858">
        <w:rPr>
          <w:bCs/>
          <w:sz w:val="24"/>
          <w:szCs w:val="24"/>
          <w:lang w:val="af-ZA"/>
        </w:rPr>
        <w:t xml:space="preserve"> </w:t>
      </w:r>
      <w:r w:rsidR="00474BC2">
        <w:rPr>
          <w:bCs/>
          <w:sz w:val="24"/>
          <w:szCs w:val="24"/>
          <w:lang w:val="af-ZA"/>
        </w:rPr>
        <w:t>that:</w:t>
      </w:r>
    </w:p>
    <w:p w14:paraId="052C3FEE" w14:textId="68BD37BF" w:rsidR="00CF24F1" w:rsidRDefault="00CF24F1" w:rsidP="00BD3F5D">
      <w:pPr>
        <w:spacing w:line="480" w:lineRule="auto"/>
        <w:ind w:left="709"/>
        <w:rPr>
          <w:i/>
          <w:iCs/>
          <w:sz w:val="22"/>
          <w:szCs w:val="22"/>
          <w:lang w:val="en-US"/>
        </w:rPr>
      </w:pPr>
      <w:r w:rsidRPr="00E164E6">
        <w:rPr>
          <w:i/>
          <w:iCs/>
          <w:lang w:val="af-ZA"/>
        </w:rPr>
        <w:t>“</w:t>
      </w:r>
      <w:r w:rsidRPr="00776FA0">
        <w:rPr>
          <w:i/>
          <w:iCs/>
          <w:lang w:val="af-ZA"/>
        </w:rPr>
        <w:t xml:space="preserve">... </w:t>
      </w:r>
      <w:r w:rsidRPr="00CF24F1">
        <w:rPr>
          <w:i/>
          <w:iCs/>
          <w:sz w:val="22"/>
          <w:szCs w:val="22"/>
          <w:lang w:val="af-ZA"/>
        </w:rPr>
        <w:t xml:space="preserve">[T]hat will not always be the case. Later cases have made it clear that whether that is so will depend upon the proper construction of the particular legislation. What </w:t>
      </w:r>
      <w:r w:rsidRPr="00CF24F1">
        <w:rPr>
          <w:i/>
          <w:iCs/>
          <w:sz w:val="22"/>
          <w:szCs w:val="22"/>
          <w:lang w:val="af-ZA"/>
        </w:rPr>
        <w:lastRenderedPageBreak/>
        <w:t xml:space="preserve">has emerged from those cases was articulated by Corbett AJA in Swart v Smuts </w:t>
      </w:r>
      <w:r w:rsidRPr="00CF24F1">
        <w:rPr>
          <w:i/>
          <w:iCs/>
          <w:sz w:val="22"/>
          <w:szCs w:val="22"/>
          <w:lang w:val="en-US"/>
        </w:rPr>
        <w:t>1971 (1) SA 819 (A) at 829C-G:</w:t>
      </w:r>
    </w:p>
    <w:p w14:paraId="48CC8884" w14:textId="77777777" w:rsidR="005F2F39" w:rsidRDefault="005F2F39" w:rsidP="00BD3F5D">
      <w:pPr>
        <w:spacing w:line="480" w:lineRule="auto"/>
        <w:ind w:left="709"/>
        <w:rPr>
          <w:i/>
          <w:iCs/>
          <w:sz w:val="22"/>
          <w:szCs w:val="22"/>
          <w:lang w:val="en-US"/>
        </w:rPr>
      </w:pPr>
    </w:p>
    <w:p w14:paraId="6E6C081B" w14:textId="77777777" w:rsidR="005F2F39" w:rsidRDefault="005F2F39" w:rsidP="00BD3F5D">
      <w:pPr>
        <w:spacing w:line="480" w:lineRule="auto"/>
        <w:ind w:left="709"/>
        <w:rPr>
          <w:i/>
          <w:iCs/>
          <w:sz w:val="22"/>
          <w:szCs w:val="22"/>
          <w:lang w:val="en-US"/>
        </w:rPr>
      </w:pPr>
    </w:p>
    <w:p w14:paraId="631D3BB7" w14:textId="77777777" w:rsidR="005F2F39" w:rsidRPr="00CF24F1" w:rsidRDefault="005F2F39" w:rsidP="00BD3F5D">
      <w:pPr>
        <w:spacing w:line="480" w:lineRule="auto"/>
        <w:ind w:left="709"/>
        <w:rPr>
          <w:i/>
          <w:iCs/>
          <w:sz w:val="22"/>
          <w:szCs w:val="22"/>
          <w:lang w:val="en-US"/>
        </w:rPr>
      </w:pPr>
    </w:p>
    <w:p w14:paraId="0D9D37E0" w14:textId="110376C9" w:rsidR="00CF24F1" w:rsidRPr="005F2F39" w:rsidRDefault="00CF24F1" w:rsidP="005F2F39">
      <w:pPr>
        <w:spacing w:line="480" w:lineRule="auto"/>
        <w:ind w:left="709"/>
        <w:rPr>
          <w:i/>
          <w:iCs/>
          <w:sz w:val="22"/>
          <w:szCs w:val="22"/>
        </w:rPr>
      </w:pPr>
      <w:r w:rsidRPr="00CF24F1">
        <w:rPr>
          <w:i/>
          <w:iCs/>
          <w:sz w:val="22"/>
          <w:szCs w:val="22"/>
        </w:rPr>
        <w:t xml:space="preserve">‘Die regsbeginsels wat van toepassing is by beoordeling van die geldigheid of nietigheid van ‘n transaksie wat aangegaan is, of ‘n handeling wat verrig is, in strydmet ‘n statutêre bepaling of met verontagsaming van ‘n statutêre vereiste, is welbekend en is alreeds dikwels deur hierdie Hof gekonstateer (sien </w:t>
      </w:r>
      <w:r w:rsidRPr="00CF24F1">
        <w:rPr>
          <w:i/>
          <w:iCs/>
          <w:sz w:val="22"/>
          <w:szCs w:val="22"/>
          <w:lang w:val="af-ZA"/>
        </w:rPr>
        <w:t>...). Dit blyk uit</w:t>
      </w:r>
      <w:r w:rsidR="001973E9">
        <w:rPr>
          <w:i/>
          <w:iCs/>
          <w:sz w:val="22"/>
          <w:szCs w:val="22"/>
          <w:lang w:val="af-ZA"/>
        </w:rPr>
        <w:t xml:space="preserve"> </w:t>
      </w:r>
      <w:r w:rsidRPr="00CF24F1">
        <w:rPr>
          <w:i/>
          <w:iCs/>
          <w:sz w:val="22"/>
          <w:szCs w:val="22"/>
          <w:lang w:val="af-ZA"/>
        </w:rPr>
        <w:t xml:space="preserve"> hierdie en ander tersaaklike gewysdes dat wanneer die onderhawige wetsbepaling self nie uitdruklik verklaar dat sodanige transaksie of handeling van nul en gener waarde is nie, die geldigheid daarvan uiteindelik van die bedoeling van die Wetgewer afhang. </w:t>
      </w:r>
      <w:r w:rsidRPr="00CF24F1">
        <w:rPr>
          <w:i/>
          <w:iCs/>
          <w:sz w:val="22"/>
          <w:szCs w:val="22"/>
          <w:u w:val="single"/>
          <w:lang w:val="af-ZA"/>
        </w:rPr>
        <w:t>In die algemeen word ‘n handeling wat in stryd met ‘n statutêre bepaling verrig is, as ‘n nietigheid beskou</w:t>
      </w:r>
      <w:r w:rsidRPr="00CF24F1">
        <w:rPr>
          <w:i/>
          <w:iCs/>
          <w:sz w:val="22"/>
          <w:szCs w:val="22"/>
          <w:lang w:val="af-ZA"/>
        </w:rPr>
        <w:t>, maar hierdie is nie ‘n vaste of onbuigsame reël nie. Deeglike oorweging van die bewoording van die statuut en van sy doel en strekking kan tot die gevolgtrekking lei dat die Wetgewer geen nietigheidsbedoeling gehad het nie</w:t>
      </w:r>
      <w:r>
        <w:rPr>
          <w:i/>
          <w:iCs/>
          <w:lang w:val="af-ZA"/>
        </w:rPr>
        <w:t xml:space="preserve">.” </w:t>
      </w:r>
      <w:r>
        <w:rPr>
          <w:lang w:val="af-ZA"/>
        </w:rPr>
        <w:t>(</w:t>
      </w:r>
      <w:r w:rsidR="007313AE">
        <w:rPr>
          <w:lang w:val="af-ZA"/>
        </w:rPr>
        <w:t xml:space="preserve">my emphasis) </w:t>
      </w:r>
    </w:p>
    <w:p w14:paraId="1C7AC84E" w14:textId="76C40360" w:rsidR="00CF24F1" w:rsidRPr="007313AE" w:rsidRDefault="00560794" w:rsidP="00560794">
      <w:pPr>
        <w:pStyle w:val="BodyText3"/>
        <w:spacing w:after="240" w:line="480" w:lineRule="auto"/>
        <w:rPr>
          <w:sz w:val="24"/>
          <w:szCs w:val="24"/>
        </w:rPr>
      </w:pPr>
      <w:r w:rsidRPr="007313AE">
        <w:rPr>
          <w:sz w:val="22"/>
          <w:szCs w:val="22"/>
        </w:rPr>
        <w:t>[106]</w:t>
      </w:r>
      <w:r w:rsidRPr="007313AE">
        <w:rPr>
          <w:sz w:val="22"/>
          <w:szCs w:val="22"/>
        </w:rPr>
        <w:tab/>
      </w:r>
      <w:r w:rsidR="00CF24F1" w:rsidRPr="00CF24F1">
        <w:rPr>
          <w:sz w:val="24"/>
          <w:szCs w:val="24"/>
        </w:rPr>
        <w:t>In searching for the intention of the legislature, general principles of interpretation apply. Thos</w:t>
      </w:r>
      <w:r w:rsidR="00CF24F1" w:rsidRPr="007313AE">
        <w:rPr>
          <w:sz w:val="24"/>
          <w:szCs w:val="24"/>
        </w:rPr>
        <w:t xml:space="preserve">e principles were formulated as follows in </w:t>
      </w:r>
      <w:r w:rsidR="00CF24F1" w:rsidRPr="007313AE">
        <w:rPr>
          <w:bCs/>
          <w:sz w:val="24"/>
          <w:szCs w:val="24"/>
        </w:rPr>
        <w:t>Natal Joint Municipal Pension Fund v Endumeni Municipality</w:t>
      </w:r>
      <w:r w:rsidR="00CF24F1" w:rsidRPr="007313AE">
        <w:rPr>
          <w:sz w:val="24"/>
          <w:szCs w:val="24"/>
        </w:rPr>
        <w:t xml:space="preserve"> 2012 (4) SA 593 (SCA) para [18]:</w:t>
      </w:r>
    </w:p>
    <w:p w14:paraId="35B0C8B4" w14:textId="77777777" w:rsidR="000B1D94" w:rsidRDefault="00C579E6" w:rsidP="00C579E6">
      <w:pPr>
        <w:pStyle w:val="ListParagraph"/>
        <w:spacing w:line="480" w:lineRule="auto"/>
        <w:ind w:left="1077"/>
        <w:rPr>
          <w:i/>
          <w:sz w:val="22"/>
          <w:szCs w:val="22"/>
        </w:rPr>
      </w:pPr>
      <w:r w:rsidRPr="007313AE">
        <w:t>“</w:t>
      </w:r>
      <w:r w:rsidRPr="007313AE">
        <w:rPr>
          <w:i/>
        </w:rPr>
        <w:t>…</w:t>
      </w:r>
      <w:r w:rsidRPr="007313AE">
        <w:rPr>
          <w:i/>
          <w:sz w:val="22"/>
          <w:szCs w:val="22"/>
        </w:rPr>
        <w:t>The present st</w:t>
      </w:r>
      <w:r w:rsidRPr="00CF24F1">
        <w:rPr>
          <w:i/>
          <w:sz w:val="22"/>
          <w:szCs w:val="22"/>
        </w:rPr>
        <w:t xml:space="preserve">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w:t>
      </w:r>
    </w:p>
    <w:p w14:paraId="566D2FDB" w14:textId="77777777" w:rsidR="005F2F39" w:rsidRDefault="00C579E6" w:rsidP="00C579E6">
      <w:pPr>
        <w:pStyle w:val="ListParagraph"/>
        <w:spacing w:line="480" w:lineRule="auto"/>
        <w:ind w:left="1077"/>
        <w:rPr>
          <w:i/>
          <w:sz w:val="22"/>
          <w:szCs w:val="22"/>
        </w:rPr>
      </w:pPr>
      <w:r w:rsidRPr="00CF24F1">
        <w:rPr>
          <w:i/>
          <w:sz w:val="22"/>
          <w:szCs w:val="22"/>
        </w:rPr>
        <w:lastRenderedPageBreak/>
        <w:t xml:space="preserve">the light of the ordinary rules of grammar and syntax; the context in which the provision appears; the apparent purpose to which it is directed and the material known to those responsible for its production. Where more than one meaning is </w:t>
      </w:r>
    </w:p>
    <w:p w14:paraId="4B3458B5" w14:textId="77777777" w:rsidR="005F2F39" w:rsidRDefault="005F2F39" w:rsidP="00C579E6">
      <w:pPr>
        <w:pStyle w:val="ListParagraph"/>
        <w:spacing w:line="480" w:lineRule="auto"/>
        <w:ind w:left="1077"/>
        <w:rPr>
          <w:i/>
          <w:sz w:val="22"/>
          <w:szCs w:val="22"/>
        </w:rPr>
      </w:pPr>
    </w:p>
    <w:p w14:paraId="4293102A" w14:textId="77777777" w:rsidR="005F2F39" w:rsidRDefault="005F2F39" w:rsidP="00C579E6">
      <w:pPr>
        <w:pStyle w:val="ListParagraph"/>
        <w:spacing w:line="480" w:lineRule="auto"/>
        <w:ind w:left="1077"/>
        <w:rPr>
          <w:i/>
          <w:sz w:val="22"/>
          <w:szCs w:val="22"/>
        </w:rPr>
      </w:pPr>
    </w:p>
    <w:p w14:paraId="5EB261F4" w14:textId="77777777" w:rsidR="005F2F39" w:rsidRDefault="005F2F39" w:rsidP="00C579E6">
      <w:pPr>
        <w:pStyle w:val="ListParagraph"/>
        <w:spacing w:line="480" w:lineRule="auto"/>
        <w:ind w:left="1077"/>
        <w:rPr>
          <w:i/>
          <w:sz w:val="22"/>
          <w:szCs w:val="22"/>
        </w:rPr>
      </w:pPr>
    </w:p>
    <w:p w14:paraId="409BBBC4" w14:textId="77777777" w:rsidR="005F2F39" w:rsidRDefault="005F2F39" w:rsidP="00C579E6">
      <w:pPr>
        <w:pStyle w:val="ListParagraph"/>
        <w:spacing w:line="480" w:lineRule="auto"/>
        <w:ind w:left="1077"/>
        <w:rPr>
          <w:i/>
          <w:sz w:val="22"/>
          <w:szCs w:val="22"/>
        </w:rPr>
      </w:pPr>
    </w:p>
    <w:p w14:paraId="7316A35C" w14:textId="77777777" w:rsidR="005F2F39" w:rsidRDefault="005F2F39" w:rsidP="00C579E6">
      <w:pPr>
        <w:pStyle w:val="ListParagraph"/>
        <w:spacing w:line="480" w:lineRule="auto"/>
        <w:ind w:left="1077"/>
        <w:rPr>
          <w:i/>
          <w:sz w:val="22"/>
          <w:szCs w:val="22"/>
        </w:rPr>
      </w:pPr>
    </w:p>
    <w:p w14:paraId="43F58600" w14:textId="317F135D" w:rsidR="00C579E6" w:rsidRDefault="00C579E6" w:rsidP="00C579E6">
      <w:pPr>
        <w:pStyle w:val="ListParagraph"/>
        <w:spacing w:line="480" w:lineRule="auto"/>
        <w:ind w:left="1077"/>
        <w:rPr>
          <w:iCs/>
        </w:rPr>
      </w:pPr>
      <w:r w:rsidRPr="00CF24F1">
        <w:rPr>
          <w:i/>
          <w:sz w:val="22"/>
          <w:szCs w:val="22"/>
        </w:rPr>
        <w:t xml:space="preserve">possible each possibility must be weighed in the light of all these factors. The process is objective, not subjective. </w:t>
      </w:r>
      <w:r w:rsidRPr="00CF24F1">
        <w:rPr>
          <w:i/>
          <w:sz w:val="22"/>
          <w:szCs w:val="22"/>
          <w:u w:val="single"/>
        </w:rPr>
        <w:t>A sensible meaning is to be preferred to one that leads to insensible or unbusinesslike results or undermines the apparent</w:t>
      </w:r>
      <w:r w:rsidR="005F2F39">
        <w:rPr>
          <w:i/>
          <w:sz w:val="22"/>
          <w:szCs w:val="22"/>
          <w:u w:val="single"/>
        </w:rPr>
        <w:t xml:space="preserve"> </w:t>
      </w:r>
      <w:r w:rsidRPr="00CF24F1">
        <w:rPr>
          <w:i/>
          <w:sz w:val="22"/>
          <w:szCs w:val="22"/>
          <w:u w:val="single"/>
        </w:rPr>
        <w:t>purpose of the document</w:t>
      </w:r>
      <w:r w:rsidRPr="00CF24F1">
        <w:rPr>
          <w:i/>
          <w:sz w:val="22"/>
          <w:szCs w:val="22"/>
        </w:rPr>
        <w:t xml:space="preserve">. … </w:t>
      </w:r>
      <w:r w:rsidRPr="00CF24F1">
        <w:rPr>
          <w:i/>
          <w:sz w:val="22"/>
          <w:szCs w:val="22"/>
          <w:u w:val="single"/>
        </w:rPr>
        <w:t>The inevitable point of departure is the language of the provision itself, read in context and having regard to the purpose of the provision and the background to the preparation and production of the document</w:t>
      </w:r>
      <w:r w:rsidRPr="00CF24F1">
        <w:rPr>
          <w:i/>
          <w:sz w:val="22"/>
          <w:szCs w:val="22"/>
        </w:rPr>
        <w:t>.</w:t>
      </w:r>
      <w:r w:rsidRPr="00CF24F1">
        <w:rPr>
          <w:i/>
        </w:rPr>
        <w:t xml:space="preserve">” </w:t>
      </w:r>
      <w:r w:rsidRPr="00CF24F1">
        <w:rPr>
          <w:iCs/>
        </w:rPr>
        <w:t xml:space="preserve"> (</w:t>
      </w:r>
      <w:r w:rsidR="007313AE">
        <w:rPr>
          <w:iCs/>
        </w:rPr>
        <w:t>my emphasis</w:t>
      </w:r>
      <w:r w:rsidRPr="00CF24F1">
        <w:rPr>
          <w:iCs/>
        </w:rPr>
        <w:t>)</w:t>
      </w:r>
    </w:p>
    <w:p w14:paraId="1082DAE3" w14:textId="29C7F30D" w:rsidR="00860F4B" w:rsidRDefault="00560794" w:rsidP="00560794">
      <w:pPr>
        <w:pStyle w:val="BodyText3"/>
        <w:spacing w:after="240" w:line="480" w:lineRule="auto"/>
        <w:rPr>
          <w:sz w:val="24"/>
          <w:szCs w:val="24"/>
        </w:rPr>
      </w:pPr>
      <w:r>
        <w:rPr>
          <w:sz w:val="22"/>
          <w:szCs w:val="22"/>
        </w:rPr>
        <w:t>[107]</w:t>
      </w:r>
      <w:r>
        <w:rPr>
          <w:sz w:val="22"/>
          <w:szCs w:val="22"/>
        </w:rPr>
        <w:tab/>
      </w:r>
      <w:r w:rsidR="00860F4B" w:rsidRPr="00C579E6">
        <w:rPr>
          <w:sz w:val="24"/>
          <w:szCs w:val="24"/>
        </w:rPr>
        <w:t xml:space="preserve">In </w:t>
      </w:r>
      <w:r w:rsidR="007313AE">
        <w:rPr>
          <w:sz w:val="24"/>
          <w:szCs w:val="24"/>
        </w:rPr>
        <w:t xml:space="preserve">regard to </w:t>
      </w:r>
      <w:r w:rsidR="00860F4B" w:rsidRPr="00C579E6">
        <w:rPr>
          <w:sz w:val="24"/>
          <w:szCs w:val="24"/>
        </w:rPr>
        <w:t>the application of the CPA, it was argued that a sensible interpretation of the words “</w:t>
      </w:r>
      <w:r w:rsidR="00860F4B" w:rsidRPr="00C579E6">
        <w:rPr>
          <w:i/>
          <w:iCs/>
          <w:sz w:val="24"/>
          <w:szCs w:val="24"/>
        </w:rPr>
        <w:t>(a) person must not directly or indirectly promote … a pyramid scheme”</w:t>
      </w:r>
      <w:r w:rsidR="005A37C5">
        <w:rPr>
          <w:sz w:val="24"/>
          <w:szCs w:val="24"/>
        </w:rPr>
        <w:t>,</w:t>
      </w:r>
      <w:r w:rsidR="00860F4B" w:rsidRPr="00C579E6">
        <w:rPr>
          <w:i/>
          <w:iCs/>
          <w:sz w:val="24"/>
          <w:szCs w:val="24"/>
        </w:rPr>
        <w:t xml:space="preserve"> </w:t>
      </w:r>
      <w:r w:rsidR="00860F4B" w:rsidRPr="00C579E6">
        <w:rPr>
          <w:sz w:val="24"/>
          <w:szCs w:val="24"/>
        </w:rPr>
        <w:t>inevitably leads to the conclusion that a pyramid scheme is illegal</w:t>
      </w:r>
      <w:r w:rsidR="006F3E9E">
        <w:rPr>
          <w:sz w:val="24"/>
          <w:szCs w:val="24"/>
        </w:rPr>
        <w:t xml:space="preserve">. </w:t>
      </w:r>
      <w:r w:rsidR="00860F4B" w:rsidRPr="00C579E6">
        <w:rPr>
          <w:sz w:val="24"/>
          <w:szCs w:val="24"/>
        </w:rPr>
        <w:t xml:space="preserve">I was referred to Van Eeden, </w:t>
      </w:r>
      <w:r w:rsidR="00860F4B" w:rsidRPr="00C579E6">
        <w:rPr>
          <w:i/>
          <w:iCs/>
          <w:sz w:val="24"/>
          <w:szCs w:val="24"/>
        </w:rPr>
        <w:t>Consumer Protection Law in South Africa</w:t>
      </w:r>
      <w:r w:rsidR="00860F4B" w:rsidRPr="00C579E6">
        <w:rPr>
          <w:sz w:val="24"/>
          <w:szCs w:val="24"/>
        </w:rPr>
        <w:t>, 2</w:t>
      </w:r>
      <w:r w:rsidR="00860F4B" w:rsidRPr="00C579E6">
        <w:rPr>
          <w:sz w:val="24"/>
          <w:szCs w:val="24"/>
          <w:vertAlign w:val="superscript"/>
        </w:rPr>
        <w:t>nd</w:t>
      </w:r>
      <w:r w:rsidR="00860F4B" w:rsidRPr="00C579E6">
        <w:rPr>
          <w:sz w:val="24"/>
          <w:szCs w:val="24"/>
        </w:rPr>
        <w:t xml:space="preserve"> ed, par</w:t>
      </w:r>
      <w:r w:rsidR="007313AE">
        <w:rPr>
          <w:sz w:val="24"/>
          <w:szCs w:val="24"/>
        </w:rPr>
        <w:t>a</w:t>
      </w:r>
      <w:r w:rsidR="00860F4B" w:rsidRPr="00C579E6">
        <w:rPr>
          <w:sz w:val="24"/>
          <w:szCs w:val="24"/>
        </w:rPr>
        <w:t xml:space="preserve"> 2.3 where it is stated that the CPA prohibits pyramid schemes and to para 7.5 where it is stated in respect of </w:t>
      </w:r>
      <w:r w:rsidR="006F3E9E">
        <w:rPr>
          <w:sz w:val="24"/>
          <w:szCs w:val="24"/>
        </w:rPr>
        <w:t xml:space="preserve">such </w:t>
      </w:r>
      <w:r w:rsidR="00860F4B" w:rsidRPr="00C579E6">
        <w:rPr>
          <w:sz w:val="24"/>
          <w:szCs w:val="24"/>
        </w:rPr>
        <w:t xml:space="preserve">schemes: </w:t>
      </w:r>
      <w:r w:rsidR="00860F4B" w:rsidRPr="00C579E6">
        <w:rPr>
          <w:i/>
          <w:iCs/>
          <w:sz w:val="24"/>
          <w:szCs w:val="24"/>
        </w:rPr>
        <w:t>“Such schemes are not regulated, in the sense that they may be conducted subject to compliance with certain requirements; they are prohibited outright.”</w:t>
      </w:r>
      <w:r w:rsidR="00C579E6">
        <w:rPr>
          <w:i/>
          <w:iCs/>
          <w:sz w:val="24"/>
          <w:szCs w:val="24"/>
        </w:rPr>
        <w:t xml:space="preserve"> </w:t>
      </w:r>
    </w:p>
    <w:p w14:paraId="2754CC3E" w14:textId="729719DC" w:rsidR="000B1D94" w:rsidRDefault="00560794" w:rsidP="00560794">
      <w:pPr>
        <w:pStyle w:val="BodyText3"/>
        <w:spacing w:after="240" w:line="480" w:lineRule="auto"/>
        <w:rPr>
          <w:sz w:val="24"/>
          <w:szCs w:val="24"/>
        </w:rPr>
      </w:pPr>
      <w:r>
        <w:rPr>
          <w:sz w:val="22"/>
          <w:szCs w:val="22"/>
        </w:rPr>
        <w:t>[108]</w:t>
      </w:r>
      <w:r>
        <w:rPr>
          <w:sz w:val="22"/>
          <w:szCs w:val="22"/>
        </w:rPr>
        <w:tab/>
      </w:r>
      <w:r w:rsidR="008D2A4D" w:rsidRPr="00C579E6">
        <w:rPr>
          <w:sz w:val="24"/>
          <w:szCs w:val="24"/>
        </w:rPr>
        <w:t>In accordance with the aforesaid principles and on the q</w:t>
      </w:r>
      <w:r w:rsidR="00C579E6">
        <w:rPr>
          <w:sz w:val="24"/>
          <w:szCs w:val="24"/>
        </w:rPr>
        <w:t xml:space="preserve">uestion </w:t>
      </w:r>
      <w:r w:rsidR="008D2A4D" w:rsidRPr="00C579E6">
        <w:rPr>
          <w:sz w:val="24"/>
          <w:szCs w:val="24"/>
        </w:rPr>
        <w:t xml:space="preserve">of whether the CPA brought about any change in the law relating to pyramid schemes, the point of departure is the language of the provisions, read in context and having regard to the purpose of the provisions, bearing in mind that a sensible meaning is preferred to one </w:t>
      </w:r>
      <w:r w:rsidR="008D2A4D" w:rsidRPr="00C579E6">
        <w:rPr>
          <w:sz w:val="24"/>
          <w:szCs w:val="24"/>
        </w:rPr>
        <w:lastRenderedPageBreak/>
        <w:t>that leads to insensible or unbusinesslike result</w:t>
      </w:r>
      <w:r w:rsidR="00242DCC">
        <w:rPr>
          <w:sz w:val="24"/>
          <w:szCs w:val="24"/>
        </w:rPr>
        <w:t xml:space="preserve"> </w:t>
      </w:r>
      <w:r w:rsidR="008D2A4D" w:rsidRPr="00C579E6">
        <w:rPr>
          <w:sz w:val="24"/>
          <w:szCs w:val="24"/>
        </w:rPr>
        <w:t>or undermines the apparent purpose of the CPA.</w:t>
      </w:r>
    </w:p>
    <w:p w14:paraId="61AC903C" w14:textId="77777777" w:rsidR="005F2F39" w:rsidRDefault="005F2F39" w:rsidP="005F2F39">
      <w:pPr>
        <w:pStyle w:val="BodyText3"/>
        <w:spacing w:after="240" w:line="480" w:lineRule="auto"/>
        <w:rPr>
          <w:sz w:val="24"/>
          <w:szCs w:val="24"/>
        </w:rPr>
      </w:pPr>
    </w:p>
    <w:p w14:paraId="3943CD70" w14:textId="77777777" w:rsidR="005F2F39" w:rsidRDefault="005F2F39" w:rsidP="005F2F39">
      <w:pPr>
        <w:pStyle w:val="BodyText3"/>
        <w:spacing w:after="240" w:line="480" w:lineRule="auto"/>
        <w:rPr>
          <w:sz w:val="24"/>
          <w:szCs w:val="24"/>
        </w:rPr>
      </w:pPr>
    </w:p>
    <w:p w14:paraId="4ED14664" w14:textId="77777777" w:rsidR="005F2F39" w:rsidRDefault="005F2F39" w:rsidP="005F2F39">
      <w:pPr>
        <w:pStyle w:val="BodyText3"/>
        <w:spacing w:after="240" w:line="480" w:lineRule="auto"/>
        <w:rPr>
          <w:sz w:val="24"/>
          <w:szCs w:val="24"/>
        </w:rPr>
      </w:pPr>
    </w:p>
    <w:p w14:paraId="130BA7FE" w14:textId="03B284A3" w:rsidR="00523A2F" w:rsidRDefault="00560794" w:rsidP="00560794">
      <w:pPr>
        <w:pStyle w:val="BodyText3"/>
        <w:spacing w:after="240" w:line="480" w:lineRule="auto"/>
        <w:rPr>
          <w:sz w:val="24"/>
          <w:szCs w:val="24"/>
        </w:rPr>
      </w:pPr>
      <w:r>
        <w:rPr>
          <w:sz w:val="22"/>
          <w:szCs w:val="22"/>
        </w:rPr>
        <w:t>[109]</w:t>
      </w:r>
      <w:r>
        <w:rPr>
          <w:sz w:val="22"/>
          <w:szCs w:val="22"/>
        </w:rPr>
        <w:tab/>
      </w:r>
      <w:r w:rsidR="00CF24F1" w:rsidRPr="00034A99">
        <w:rPr>
          <w:sz w:val="24"/>
          <w:szCs w:val="24"/>
        </w:rPr>
        <w:t xml:space="preserve">Section 43 </w:t>
      </w:r>
      <w:r w:rsidR="003525A4" w:rsidRPr="00034A99">
        <w:rPr>
          <w:sz w:val="24"/>
          <w:szCs w:val="24"/>
        </w:rPr>
        <w:t xml:space="preserve">of the CPA </w:t>
      </w:r>
      <w:r w:rsidR="00CF24F1" w:rsidRPr="00034A99">
        <w:rPr>
          <w:sz w:val="24"/>
          <w:szCs w:val="24"/>
        </w:rPr>
        <w:t>reads</w:t>
      </w:r>
      <w:r w:rsidR="00F03092">
        <w:rPr>
          <w:sz w:val="24"/>
          <w:szCs w:val="24"/>
        </w:rPr>
        <w:t>,</w:t>
      </w:r>
      <w:r w:rsidR="00CF24F1" w:rsidRPr="00034A99">
        <w:rPr>
          <w:sz w:val="24"/>
          <w:szCs w:val="24"/>
        </w:rPr>
        <w:t xml:space="preserve"> </w:t>
      </w:r>
      <w:r w:rsidR="00CF24F1" w:rsidRPr="00034A99">
        <w:rPr>
          <w:i/>
          <w:iCs/>
          <w:sz w:val="24"/>
          <w:szCs w:val="24"/>
        </w:rPr>
        <w:t>inter alia</w:t>
      </w:r>
      <w:r w:rsidR="00AC0581">
        <w:rPr>
          <w:sz w:val="24"/>
          <w:szCs w:val="24"/>
        </w:rPr>
        <w:t>,</w:t>
      </w:r>
      <w:r w:rsidR="00CF24F1" w:rsidRPr="00034A99">
        <w:rPr>
          <w:sz w:val="24"/>
          <w:szCs w:val="24"/>
        </w:rPr>
        <w:t xml:space="preserve"> as follows:</w:t>
      </w:r>
    </w:p>
    <w:p w14:paraId="4D277013" w14:textId="77777777" w:rsidR="00523A2F" w:rsidRPr="005E031D" w:rsidRDefault="00523A2F" w:rsidP="00F03092">
      <w:pPr>
        <w:pStyle w:val="ListParagraph"/>
        <w:spacing w:line="240" w:lineRule="auto"/>
        <w:ind w:left="1077"/>
        <w:rPr>
          <w:i/>
          <w:iCs/>
          <w:sz w:val="22"/>
          <w:szCs w:val="22"/>
        </w:rPr>
      </w:pPr>
      <w:r w:rsidRPr="00776FA0">
        <w:t>“</w:t>
      </w:r>
      <w:r w:rsidRPr="005E031D">
        <w:rPr>
          <w:i/>
          <w:iCs/>
          <w:sz w:val="22"/>
          <w:szCs w:val="22"/>
        </w:rPr>
        <w:t xml:space="preserve">43 Pyramid and related schemes </w:t>
      </w:r>
    </w:p>
    <w:p w14:paraId="7D0379E4" w14:textId="77777777" w:rsidR="00523A2F" w:rsidRPr="005E031D" w:rsidRDefault="00523A2F" w:rsidP="00AC0581">
      <w:pPr>
        <w:pStyle w:val="ListParagraph"/>
        <w:spacing w:line="240" w:lineRule="auto"/>
        <w:ind w:left="1077" w:firstLine="363"/>
        <w:rPr>
          <w:i/>
          <w:iCs/>
          <w:sz w:val="22"/>
          <w:szCs w:val="22"/>
        </w:rPr>
      </w:pPr>
      <w:r w:rsidRPr="005E031D">
        <w:rPr>
          <w:i/>
          <w:iCs/>
          <w:sz w:val="22"/>
          <w:szCs w:val="22"/>
        </w:rPr>
        <w:t>(1) …</w:t>
      </w:r>
    </w:p>
    <w:p w14:paraId="09681CBD" w14:textId="77777777" w:rsidR="00523A2F" w:rsidRPr="005E031D" w:rsidRDefault="00523A2F" w:rsidP="00AC0581">
      <w:pPr>
        <w:pStyle w:val="ListParagraph"/>
        <w:spacing w:line="240" w:lineRule="auto"/>
        <w:ind w:left="1440"/>
        <w:rPr>
          <w:i/>
          <w:iCs/>
          <w:sz w:val="22"/>
          <w:szCs w:val="22"/>
        </w:rPr>
      </w:pPr>
      <w:r w:rsidRPr="005E031D">
        <w:rPr>
          <w:i/>
          <w:iCs/>
          <w:sz w:val="22"/>
          <w:szCs w:val="22"/>
        </w:rPr>
        <w:t xml:space="preserve">(2) A person must not directly or indirectly promote, or </w:t>
      </w:r>
      <w:r w:rsidRPr="003525A4">
        <w:rPr>
          <w:i/>
          <w:iCs/>
          <w:sz w:val="22"/>
          <w:szCs w:val="22"/>
        </w:rPr>
        <w:t>knowingly j</w:t>
      </w:r>
      <w:r w:rsidRPr="005E031D">
        <w:rPr>
          <w:i/>
          <w:iCs/>
          <w:sz w:val="22"/>
          <w:szCs w:val="22"/>
        </w:rPr>
        <w:t>oin, enter or participate in—</w:t>
      </w:r>
    </w:p>
    <w:p w14:paraId="7A232A57" w14:textId="77777777" w:rsidR="00523A2F" w:rsidRPr="005E031D" w:rsidRDefault="00523A2F" w:rsidP="003300DD">
      <w:pPr>
        <w:pStyle w:val="ListParagraph"/>
        <w:spacing w:line="240" w:lineRule="auto"/>
        <w:ind w:left="1797" w:firstLine="363"/>
        <w:rPr>
          <w:i/>
          <w:iCs/>
          <w:sz w:val="22"/>
          <w:szCs w:val="22"/>
        </w:rPr>
      </w:pPr>
      <w:r w:rsidRPr="005E031D">
        <w:rPr>
          <w:i/>
          <w:iCs/>
          <w:sz w:val="22"/>
          <w:szCs w:val="22"/>
        </w:rPr>
        <w:t>(a) …</w:t>
      </w:r>
    </w:p>
    <w:p w14:paraId="321C47D6" w14:textId="748A82AC" w:rsidR="00523A2F" w:rsidRPr="005E031D" w:rsidRDefault="00523A2F" w:rsidP="003300DD">
      <w:pPr>
        <w:pStyle w:val="ListParagraph"/>
        <w:spacing w:line="240" w:lineRule="auto"/>
        <w:ind w:left="1797" w:firstLine="363"/>
        <w:rPr>
          <w:i/>
          <w:iCs/>
          <w:sz w:val="22"/>
          <w:szCs w:val="22"/>
        </w:rPr>
      </w:pPr>
      <w:r w:rsidRPr="005E031D">
        <w:rPr>
          <w:i/>
          <w:iCs/>
          <w:sz w:val="22"/>
          <w:szCs w:val="22"/>
        </w:rPr>
        <w:t>(b) a pyramid scheme, as described in subsection (4);</w:t>
      </w:r>
    </w:p>
    <w:p w14:paraId="01FCBCE1" w14:textId="1855AB02" w:rsidR="00523A2F" w:rsidRPr="005E031D" w:rsidRDefault="00523A2F" w:rsidP="003300DD">
      <w:pPr>
        <w:pStyle w:val="ListParagraph"/>
        <w:spacing w:line="240" w:lineRule="auto"/>
        <w:ind w:left="1797" w:firstLine="363"/>
        <w:rPr>
          <w:i/>
          <w:iCs/>
          <w:sz w:val="22"/>
          <w:szCs w:val="22"/>
        </w:rPr>
      </w:pPr>
      <w:r w:rsidRPr="005E031D">
        <w:rPr>
          <w:i/>
          <w:iCs/>
          <w:sz w:val="22"/>
          <w:szCs w:val="22"/>
        </w:rPr>
        <w:t>(c) …</w:t>
      </w:r>
    </w:p>
    <w:p w14:paraId="57E6B8F0" w14:textId="77777777" w:rsidR="00523A2F" w:rsidRPr="005E031D" w:rsidRDefault="00523A2F" w:rsidP="003300DD">
      <w:pPr>
        <w:pStyle w:val="ListParagraph"/>
        <w:spacing w:line="240" w:lineRule="auto"/>
        <w:ind w:left="1797" w:firstLine="363"/>
        <w:rPr>
          <w:i/>
          <w:iCs/>
          <w:sz w:val="22"/>
          <w:szCs w:val="22"/>
        </w:rPr>
      </w:pPr>
      <w:r w:rsidRPr="005E031D">
        <w:rPr>
          <w:i/>
          <w:iCs/>
          <w:sz w:val="22"/>
          <w:szCs w:val="22"/>
        </w:rPr>
        <w:t>(d) …,</w:t>
      </w:r>
    </w:p>
    <w:p w14:paraId="4951A7AE" w14:textId="1709A4F5" w:rsidR="00523A2F" w:rsidRPr="005E031D" w:rsidRDefault="00523A2F" w:rsidP="00AC0581">
      <w:pPr>
        <w:pStyle w:val="ListParagraph"/>
        <w:spacing w:line="240" w:lineRule="auto"/>
        <w:ind w:left="1077" w:firstLine="363"/>
        <w:rPr>
          <w:i/>
          <w:iCs/>
          <w:sz w:val="22"/>
          <w:szCs w:val="22"/>
        </w:rPr>
      </w:pPr>
      <w:r w:rsidRPr="005E031D">
        <w:rPr>
          <w:i/>
          <w:iCs/>
          <w:sz w:val="22"/>
          <w:szCs w:val="22"/>
        </w:rPr>
        <w:t>or cause any other person to do so.</w:t>
      </w:r>
    </w:p>
    <w:p w14:paraId="5C9A9C8B" w14:textId="77777777" w:rsidR="00523A2F" w:rsidRPr="005E031D" w:rsidRDefault="00523A2F" w:rsidP="00AC0581">
      <w:pPr>
        <w:pStyle w:val="ListParagraph"/>
        <w:spacing w:line="240" w:lineRule="auto"/>
        <w:ind w:left="1077" w:firstLine="363"/>
        <w:rPr>
          <w:i/>
          <w:iCs/>
          <w:sz w:val="22"/>
          <w:szCs w:val="22"/>
        </w:rPr>
      </w:pPr>
      <w:r w:rsidRPr="005E031D">
        <w:rPr>
          <w:i/>
          <w:iCs/>
          <w:sz w:val="22"/>
          <w:szCs w:val="22"/>
        </w:rPr>
        <w:t>(3) …</w:t>
      </w:r>
    </w:p>
    <w:p w14:paraId="327474A3" w14:textId="77777777" w:rsidR="00523A2F" w:rsidRPr="005E031D" w:rsidRDefault="00523A2F" w:rsidP="00AC0581">
      <w:pPr>
        <w:pStyle w:val="ListParagraph"/>
        <w:spacing w:line="240" w:lineRule="auto"/>
        <w:ind w:left="1077" w:firstLine="363"/>
        <w:rPr>
          <w:i/>
          <w:iCs/>
          <w:sz w:val="22"/>
          <w:szCs w:val="22"/>
        </w:rPr>
      </w:pPr>
      <w:r w:rsidRPr="005E031D">
        <w:rPr>
          <w:i/>
          <w:iCs/>
          <w:sz w:val="22"/>
          <w:szCs w:val="22"/>
        </w:rPr>
        <w:t>(4) An arrangement, agreement, practice or scheme is a pyramid scheme if—</w:t>
      </w:r>
    </w:p>
    <w:p w14:paraId="38AB5985" w14:textId="7B07A9EC" w:rsidR="00523A2F" w:rsidRPr="005E031D" w:rsidRDefault="00523A2F" w:rsidP="003300DD">
      <w:pPr>
        <w:pStyle w:val="ListParagraph"/>
        <w:spacing w:line="240" w:lineRule="auto"/>
        <w:ind w:left="2160"/>
        <w:rPr>
          <w:i/>
          <w:iCs/>
          <w:sz w:val="22"/>
          <w:szCs w:val="22"/>
        </w:rPr>
      </w:pPr>
      <w:r w:rsidRPr="005E031D">
        <w:rPr>
          <w:i/>
          <w:iCs/>
          <w:sz w:val="22"/>
          <w:szCs w:val="22"/>
        </w:rPr>
        <w:t>(a) participants in the scheme receive compensation derived primarily from their respective recruitment of other persons as participants, rather than from the sale of any goods or services; or</w:t>
      </w:r>
    </w:p>
    <w:p w14:paraId="20962806" w14:textId="77777777" w:rsidR="00523A2F" w:rsidRDefault="00523A2F" w:rsidP="003300DD">
      <w:pPr>
        <w:pStyle w:val="ListParagraph"/>
        <w:spacing w:line="240" w:lineRule="auto"/>
        <w:ind w:left="2160"/>
        <w:rPr>
          <w:i/>
          <w:iCs/>
        </w:rPr>
      </w:pPr>
      <w:r w:rsidRPr="005E031D">
        <w:rPr>
          <w:i/>
          <w:iCs/>
          <w:sz w:val="22"/>
          <w:szCs w:val="22"/>
        </w:rPr>
        <w:t>(b) the emphasis in the promotion of the scheme indicates an arrangement or practice contemplated in paragraph (a)</w:t>
      </w:r>
      <w:r w:rsidRPr="00776FA0">
        <w:rPr>
          <w:i/>
          <w:iCs/>
        </w:rPr>
        <w:t xml:space="preserve">.” </w:t>
      </w:r>
    </w:p>
    <w:p w14:paraId="64D206B4" w14:textId="77777777" w:rsidR="00AC0581" w:rsidRDefault="00AC0581" w:rsidP="00F03092">
      <w:pPr>
        <w:pStyle w:val="ListParagraph"/>
        <w:spacing w:line="240" w:lineRule="auto"/>
        <w:ind w:left="1077"/>
        <w:rPr>
          <w:i/>
          <w:iCs/>
        </w:rPr>
      </w:pPr>
    </w:p>
    <w:p w14:paraId="5FB1EDD3" w14:textId="77777777" w:rsidR="0026302E" w:rsidRDefault="0026302E" w:rsidP="00F03092">
      <w:pPr>
        <w:pStyle w:val="ListParagraph"/>
        <w:spacing w:line="240" w:lineRule="auto"/>
        <w:ind w:left="1077"/>
        <w:rPr>
          <w:i/>
          <w:iCs/>
        </w:rPr>
      </w:pPr>
    </w:p>
    <w:p w14:paraId="53352DA1" w14:textId="0B923972" w:rsidR="00B47B30" w:rsidRPr="005F2F39" w:rsidRDefault="00560794" w:rsidP="00560794">
      <w:pPr>
        <w:pStyle w:val="BodyText3"/>
        <w:spacing w:after="240" w:line="480" w:lineRule="auto"/>
        <w:rPr>
          <w:sz w:val="24"/>
          <w:szCs w:val="24"/>
        </w:rPr>
      </w:pPr>
      <w:r w:rsidRPr="005F2F39">
        <w:rPr>
          <w:sz w:val="22"/>
          <w:szCs w:val="22"/>
        </w:rPr>
        <w:t>[110]</w:t>
      </w:r>
      <w:r w:rsidRPr="005F2F39">
        <w:rPr>
          <w:sz w:val="22"/>
          <w:szCs w:val="22"/>
        </w:rPr>
        <w:tab/>
      </w:r>
      <w:r w:rsidR="008D2A4D" w:rsidRPr="005F2F39">
        <w:rPr>
          <w:sz w:val="24"/>
          <w:szCs w:val="24"/>
        </w:rPr>
        <w:t xml:space="preserve">Section </w:t>
      </w:r>
      <w:r w:rsidR="00F30FEF" w:rsidRPr="005F2F39">
        <w:rPr>
          <w:sz w:val="24"/>
          <w:szCs w:val="24"/>
        </w:rPr>
        <w:t xml:space="preserve">43(2) </w:t>
      </w:r>
      <w:r w:rsidR="008D2A4D" w:rsidRPr="005F2F39">
        <w:rPr>
          <w:sz w:val="24"/>
          <w:szCs w:val="24"/>
        </w:rPr>
        <w:t>in my view, given the language and the purpose of the</w:t>
      </w:r>
      <w:r w:rsidR="00C34F1E" w:rsidRPr="005F2F39">
        <w:rPr>
          <w:sz w:val="24"/>
          <w:szCs w:val="24"/>
        </w:rPr>
        <w:t xml:space="preserve"> A</w:t>
      </w:r>
      <w:r w:rsidR="008D2A4D" w:rsidRPr="005F2F39">
        <w:rPr>
          <w:sz w:val="24"/>
          <w:szCs w:val="24"/>
        </w:rPr>
        <w:t>ct, makes it illegal to operate a pyramid scheme. In terms of the 1988 Act, there was no dist</w:t>
      </w:r>
      <w:r w:rsidR="00ED7919" w:rsidRPr="005F2F39">
        <w:rPr>
          <w:sz w:val="24"/>
          <w:szCs w:val="24"/>
        </w:rPr>
        <w:t xml:space="preserve">inction </w:t>
      </w:r>
      <w:r w:rsidR="008D2A4D" w:rsidRPr="005F2F39">
        <w:rPr>
          <w:sz w:val="24"/>
          <w:szCs w:val="24"/>
        </w:rPr>
        <w:t xml:space="preserve">between parties who joined knowingly and those who joined </w:t>
      </w:r>
      <w:r w:rsidR="00F91AB9" w:rsidRPr="005F2F39">
        <w:rPr>
          <w:sz w:val="24"/>
          <w:szCs w:val="24"/>
        </w:rPr>
        <w:t>unknowingly</w:t>
      </w:r>
      <w:r w:rsidR="008D2A4D" w:rsidRPr="005F2F39">
        <w:rPr>
          <w:sz w:val="24"/>
          <w:szCs w:val="24"/>
        </w:rPr>
        <w:t>, which raises the question of whether person</w:t>
      </w:r>
      <w:r w:rsidR="007313AE" w:rsidRPr="005F2F39">
        <w:rPr>
          <w:sz w:val="24"/>
          <w:szCs w:val="24"/>
        </w:rPr>
        <w:t>s</w:t>
      </w:r>
      <w:r w:rsidR="008D2A4D" w:rsidRPr="005F2F39">
        <w:rPr>
          <w:sz w:val="24"/>
          <w:szCs w:val="24"/>
        </w:rPr>
        <w:t xml:space="preserve"> who unknowingly join, enter or participate in a pyramid scheme, will be entitled to </w:t>
      </w:r>
      <w:r w:rsidR="00F91AB9" w:rsidRPr="005F2F39">
        <w:rPr>
          <w:sz w:val="24"/>
          <w:szCs w:val="24"/>
        </w:rPr>
        <w:t>enforce</w:t>
      </w:r>
      <w:r w:rsidR="008D2A4D" w:rsidRPr="005F2F39">
        <w:rPr>
          <w:sz w:val="24"/>
          <w:szCs w:val="24"/>
        </w:rPr>
        <w:t xml:space="preserve"> an agreement between themselves and the </w:t>
      </w:r>
      <w:r w:rsidR="004C634F" w:rsidRPr="005F2F39">
        <w:rPr>
          <w:sz w:val="24"/>
          <w:szCs w:val="24"/>
        </w:rPr>
        <w:t>il</w:t>
      </w:r>
      <w:r w:rsidR="00F91AB9" w:rsidRPr="005F2F39">
        <w:rPr>
          <w:sz w:val="24"/>
          <w:szCs w:val="24"/>
        </w:rPr>
        <w:t>legal scheme. This can</w:t>
      </w:r>
      <w:r w:rsidR="007313AE" w:rsidRPr="005F2F39">
        <w:rPr>
          <w:sz w:val="24"/>
          <w:szCs w:val="24"/>
        </w:rPr>
        <w:t xml:space="preserve">not </w:t>
      </w:r>
      <w:r w:rsidR="00F91AB9" w:rsidRPr="005F2F39">
        <w:rPr>
          <w:sz w:val="24"/>
          <w:szCs w:val="24"/>
        </w:rPr>
        <w:t>be and I agree with Mr van Rooyen</w:t>
      </w:r>
      <w:r w:rsidR="007313AE" w:rsidRPr="005F2F39">
        <w:rPr>
          <w:sz w:val="24"/>
          <w:szCs w:val="24"/>
        </w:rPr>
        <w:t xml:space="preserve"> (SC) </w:t>
      </w:r>
      <w:r w:rsidR="00F91AB9" w:rsidRPr="005F2F39">
        <w:rPr>
          <w:sz w:val="24"/>
          <w:szCs w:val="24"/>
        </w:rPr>
        <w:t>that the dist</w:t>
      </w:r>
      <w:r w:rsidR="00591406" w:rsidRPr="005F2F39">
        <w:rPr>
          <w:sz w:val="24"/>
          <w:szCs w:val="24"/>
        </w:rPr>
        <w:t xml:space="preserve">inction </w:t>
      </w:r>
      <w:r w:rsidR="00F91AB9" w:rsidRPr="005F2F39">
        <w:rPr>
          <w:sz w:val="24"/>
          <w:szCs w:val="24"/>
        </w:rPr>
        <w:t>in the CPA simply excludes the unknowing participants from be</w:t>
      </w:r>
      <w:r w:rsidR="00591406" w:rsidRPr="005F2F39">
        <w:rPr>
          <w:sz w:val="24"/>
          <w:szCs w:val="24"/>
        </w:rPr>
        <w:t xml:space="preserve">ing </w:t>
      </w:r>
      <w:r w:rsidR="00F91AB9" w:rsidRPr="005F2F39">
        <w:rPr>
          <w:sz w:val="24"/>
          <w:szCs w:val="24"/>
        </w:rPr>
        <w:t xml:space="preserve">liable in terms of s 112 to pay administrative fines. </w:t>
      </w:r>
    </w:p>
    <w:p w14:paraId="4702195F" w14:textId="79F6C937" w:rsidR="00341F19" w:rsidRPr="00B47B30" w:rsidRDefault="00560794" w:rsidP="00560794">
      <w:pPr>
        <w:pStyle w:val="BodyText3"/>
        <w:spacing w:after="240" w:line="480" w:lineRule="auto"/>
        <w:rPr>
          <w:sz w:val="24"/>
          <w:szCs w:val="24"/>
        </w:rPr>
      </w:pPr>
      <w:r w:rsidRPr="00B47B30">
        <w:rPr>
          <w:sz w:val="22"/>
          <w:szCs w:val="22"/>
        </w:rPr>
        <w:t>[111]</w:t>
      </w:r>
      <w:r w:rsidRPr="00B47B30">
        <w:rPr>
          <w:sz w:val="22"/>
          <w:szCs w:val="22"/>
        </w:rPr>
        <w:tab/>
      </w:r>
      <w:r w:rsidR="00627F9B" w:rsidRPr="00D92BD7">
        <w:rPr>
          <w:sz w:val="24"/>
          <w:szCs w:val="24"/>
        </w:rPr>
        <w:t xml:space="preserve">As </w:t>
      </w:r>
      <w:r w:rsidR="002D5DF5" w:rsidRPr="00D92BD7">
        <w:rPr>
          <w:sz w:val="24"/>
          <w:szCs w:val="24"/>
        </w:rPr>
        <w:t>pointed out previously in this judgment</w:t>
      </w:r>
      <w:r w:rsidR="005B59EB" w:rsidRPr="00D92BD7">
        <w:rPr>
          <w:sz w:val="24"/>
          <w:szCs w:val="24"/>
        </w:rPr>
        <w:t>,</w:t>
      </w:r>
      <w:r w:rsidR="002D5DF5" w:rsidRPr="00D92BD7">
        <w:rPr>
          <w:sz w:val="24"/>
          <w:szCs w:val="24"/>
        </w:rPr>
        <w:t xml:space="preserve"> the b</w:t>
      </w:r>
      <w:r w:rsidR="00341F19" w:rsidRPr="00D92BD7">
        <w:rPr>
          <w:sz w:val="24"/>
          <w:szCs w:val="24"/>
        </w:rPr>
        <w:t>usiness conducted by MTI contravened provisions of several statutes other than the CPA</w:t>
      </w:r>
      <w:r w:rsidR="002D5DF5" w:rsidRPr="00D92BD7">
        <w:rPr>
          <w:sz w:val="24"/>
          <w:szCs w:val="24"/>
        </w:rPr>
        <w:t xml:space="preserve"> and </w:t>
      </w:r>
      <w:r w:rsidR="00AF30FF" w:rsidRPr="00D92BD7">
        <w:rPr>
          <w:sz w:val="24"/>
          <w:szCs w:val="24"/>
        </w:rPr>
        <w:t xml:space="preserve">it appears on the </w:t>
      </w:r>
      <w:r w:rsidR="00AF30FF" w:rsidRPr="00D92BD7">
        <w:rPr>
          <w:sz w:val="24"/>
          <w:szCs w:val="24"/>
        </w:rPr>
        <w:lastRenderedPageBreak/>
        <w:t xml:space="preserve">facts which cannot be denied by the respondents that the underlying </w:t>
      </w:r>
      <w:r w:rsidR="00341F19" w:rsidRPr="00D92BD7">
        <w:rPr>
          <w:sz w:val="24"/>
          <w:szCs w:val="24"/>
        </w:rPr>
        <w:t>business model</w:t>
      </w:r>
      <w:r w:rsidR="00B47B30">
        <w:rPr>
          <w:sz w:val="24"/>
          <w:szCs w:val="24"/>
        </w:rPr>
        <w:t xml:space="preserve"> </w:t>
      </w:r>
      <w:r w:rsidR="009E6840" w:rsidRPr="00B47B30">
        <w:rPr>
          <w:sz w:val="24"/>
          <w:szCs w:val="24"/>
        </w:rPr>
        <w:t xml:space="preserve">of MTI was </w:t>
      </w:r>
      <w:r w:rsidR="00341F19" w:rsidRPr="00B47B30">
        <w:rPr>
          <w:sz w:val="24"/>
          <w:szCs w:val="24"/>
        </w:rPr>
        <w:t>designed and implemented to perpetrate a fraud on members of the public</w:t>
      </w:r>
      <w:r w:rsidR="00A967CB" w:rsidRPr="00B47B30">
        <w:rPr>
          <w:sz w:val="24"/>
          <w:szCs w:val="24"/>
        </w:rPr>
        <w:t xml:space="preserve"> which ultimately enabled </w:t>
      </w:r>
      <w:r w:rsidR="00034A99" w:rsidRPr="00B47B30">
        <w:rPr>
          <w:sz w:val="24"/>
          <w:szCs w:val="24"/>
        </w:rPr>
        <w:t xml:space="preserve">its </w:t>
      </w:r>
      <w:r w:rsidR="00341F19" w:rsidRPr="00B47B30">
        <w:rPr>
          <w:sz w:val="24"/>
          <w:szCs w:val="24"/>
        </w:rPr>
        <w:t>directing mind(s), being its director(s) and/or shareholders and/or senior management</w:t>
      </w:r>
      <w:r w:rsidR="00034A99" w:rsidRPr="00B47B30">
        <w:rPr>
          <w:sz w:val="24"/>
          <w:szCs w:val="24"/>
        </w:rPr>
        <w:t xml:space="preserve">, </w:t>
      </w:r>
      <w:r w:rsidR="00341F19" w:rsidRPr="00B47B30">
        <w:rPr>
          <w:sz w:val="24"/>
          <w:szCs w:val="24"/>
        </w:rPr>
        <w:t xml:space="preserve">to misappropriate </w:t>
      </w:r>
      <w:r w:rsidR="00034A99" w:rsidRPr="00B47B30">
        <w:rPr>
          <w:sz w:val="24"/>
          <w:szCs w:val="24"/>
        </w:rPr>
        <w:t xml:space="preserve">investors assets for their </w:t>
      </w:r>
      <w:r w:rsidR="00341F19" w:rsidRPr="00B47B30">
        <w:rPr>
          <w:sz w:val="24"/>
          <w:szCs w:val="24"/>
        </w:rPr>
        <w:t>personal gain.</w:t>
      </w:r>
    </w:p>
    <w:p w14:paraId="21136A45" w14:textId="3E59113B" w:rsidR="00425311" w:rsidRPr="00825A2E" w:rsidRDefault="00560794" w:rsidP="00560794">
      <w:pPr>
        <w:pStyle w:val="BodyText3"/>
        <w:spacing w:after="240" w:line="480" w:lineRule="auto"/>
        <w:rPr>
          <w:sz w:val="24"/>
          <w:szCs w:val="24"/>
        </w:rPr>
      </w:pPr>
      <w:r w:rsidRPr="00825A2E">
        <w:rPr>
          <w:sz w:val="22"/>
          <w:szCs w:val="22"/>
        </w:rPr>
        <w:t>[112]</w:t>
      </w:r>
      <w:r w:rsidRPr="00825A2E">
        <w:rPr>
          <w:sz w:val="22"/>
          <w:szCs w:val="22"/>
        </w:rPr>
        <w:tab/>
      </w:r>
      <w:r w:rsidR="00425311" w:rsidRPr="00D95789">
        <w:rPr>
          <w:sz w:val="24"/>
          <w:szCs w:val="24"/>
        </w:rPr>
        <w:t xml:space="preserve">Section 2(1) </w:t>
      </w:r>
      <w:r w:rsidR="00B47B30">
        <w:rPr>
          <w:sz w:val="24"/>
          <w:szCs w:val="24"/>
        </w:rPr>
        <w:t xml:space="preserve">of the CPA </w:t>
      </w:r>
      <w:r w:rsidR="00425311" w:rsidRPr="00D95789">
        <w:rPr>
          <w:sz w:val="24"/>
          <w:szCs w:val="24"/>
        </w:rPr>
        <w:t>provides that</w:t>
      </w:r>
      <w:r w:rsidR="00F91AB9" w:rsidRPr="00D95789">
        <w:rPr>
          <w:sz w:val="24"/>
          <w:szCs w:val="24"/>
        </w:rPr>
        <w:t xml:space="preserve">: </w:t>
      </w:r>
      <w:r w:rsidR="00F91AB9" w:rsidRPr="00D95789">
        <w:rPr>
          <w:sz w:val="24"/>
          <w:szCs w:val="24"/>
        </w:rPr>
        <w:tab/>
      </w:r>
      <w:r w:rsidR="00425311" w:rsidRPr="00D95789">
        <w:rPr>
          <w:sz w:val="24"/>
          <w:szCs w:val="24"/>
        </w:rPr>
        <w:t>“</w:t>
      </w:r>
      <w:r w:rsidR="00425311" w:rsidRPr="00D95789">
        <w:rPr>
          <w:i/>
          <w:iCs/>
          <w:sz w:val="24"/>
          <w:szCs w:val="24"/>
        </w:rPr>
        <w:t>This Act must be interpreted in a manner that gives effect to the purposes set out in section 3.”</w:t>
      </w:r>
      <w:r w:rsidR="00F91AB9">
        <w:rPr>
          <w:rStyle w:val="FootnoteReference"/>
          <w:i/>
          <w:iCs/>
          <w:sz w:val="24"/>
          <w:szCs w:val="24"/>
        </w:rPr>
        <w:footnoteReference w:id="49"/>
      </w:r>
    </w:p>
    <w:p w14:paraId="3EC185AC" w14:textId="0E787625" w:rsidR="00425311" w:rsidRDefault="00560794" w:rsidP="00560794">
      <w:pPr>
        <w:pStyle w:val="BodyText3"/>
        <w:spacing w:after="240" w:line="480" w:lineRule="auto"/>
        <w:rPr>
          <w:sz w:val="24"/>
          <w:szCs w:val="24"/>
        </w:rPr>
      </w:pPr>
      <w:r>
        <w:rPr>
          <w:sz w:val="22"/>
          <w:szCs w:val="22"/>
        </w:rPr>
        <w:t>[113]</w:t>
      </w:r>
      <w:r>
        <w:rPr>
          <w:sz w:val="22"/>
          <w:szCs w:val="22"/>
        </w:rPr>
        <w:tab/>
      </w:r>
      <w:r w:rsidR="00425311" w:rsidRPr="00825A2E">
        <w:rPr>
          <w:sz w:val="24"/>
          <w:szCs w:val="24"/>
        </w:rPr>
        <w:t xml:space="preserve">In respect of “consumer interest”, Van Eeden </w:t>
      </w:r>
      <w:r w:rsidR="00B47B30">
        <w:rPr>
          <w:sz w:val="24"/>
          <w:szCs w:val="24"/>
        </w:rPr>
        <w:t xml:space="preserve">at </w:t>
      </w:r>
      <w:r w:rsidR="00425311" w:rsidRPr="00825A2E">
        <w:rPr>
          <w:sz w:val="24"/>
          <w:szCs w:val="24"/>
        </w:rPr>
        <w:t>par</w:t>
      </w:r>
      <w:r w:rsidR="00B47B30">
        <w:rPr>
          <w:sz w:val="24"/>
          <w:szCs w:val="24"/>
        </w:rPr>
        <w:t>a</w:t>
      </w:r>
      <w:r w:rsidR="00425311" w:rsidRPr="00825A2E">
        <w:rPr>
          <w:sz w:val="24"/>
          <w:szCs w:val="24"/>
        </w:rPr>
        <w:t xml:space="preserve"> 1.2 states:</w:t>
      </w:r>
    </w:p>
    <w:p w14:paraId="762C1976" w14:textId="77777777" w:rsidR="00825A2E" w:rsidRDefault="00825A2E" w:rsidP="00825A2E">
      <w:pPr>
        <w:pStyle w:val="BodyText3"/>
        <w:spacing w:after="240" w:line="480" w:lineRule="auto"/>
        <w:ind w:left="1077"/>
      </w:pPr>
      <w:r w:rsidRPr="00776FA0">
        <w:t>“</w:t>
      </w:r>
      <w:r w:rsidRPr="00F91AB9">
        <w:rPr>
          <w:sz w:val="22"/>
          <w:szCs w:val="22"/>
        </w:rPr>
        <w:t>'Consumer interest' is not immutable and should not be a doctrinaire concept; it must be context and time sensitive, and must be realised in balance with other legitimate societal interests in respect whereof it does not assert priority or superiority. Consumer interest must also be seen as distinct from the individual's interest as a citizen; and comprising the public interest in conjunction with other group and individual interests</w:t>
      </w:r>
      <w:r w:rsidRPr="00F91AB9">
        <w:rPr>
          <w:i/>
          <w:iCs/>
        </w:rPr>
        <w:t>.</w:t>
      </w:r>
      <w:r w:rsidRPr="00776FA0">
        <w:t>”</w:t>
      </w:r>
    </w:p>
    <w:p w14:paraId="6DEEC370" w14:textId="7790F0F2" w:rsidR="00425311" w:rsidRDefault="00560794" w:rsidP="00560794">
      <w:pPr>
        <w:pStyle w:val="BodyText3"/>
        <w:spacing w:after="240" w:line="480" w:lineRule="auto"/>
        <w:rPr>
          <w:sz w:val="24"/>
          <w:szCs w:val="24"/>
        </w:rPr>
      </w:pPr>
      <w:r>
        <w:rPr>
          <w:sz w:val="22"/>
          <w:szCs w:val="22"/>
        </w:rPr>
        <w:t>[114]</w:t>
      </w:r>
      <w:r>
        <w:rPr>
          <w:sz w:val="22"/>
          <w:szCs w:val="22"/>
        </w:rPr>
        <w:tab/>
      </w:r>
      <w:r w:rsidR="00425311" w:rsidRPr="003D3D2A">
        <w:rPr>
          <w:sz w:val="24"/>
          <w:szCs w:val="24"/>
        </w:rPr>
        <w:t>If an “</w:t>
      </w:r>
      <w:r w:rsidR="00425311" w:rsidRPr="003D3D2A">
        <w:rPr>
          <w:i/>
          <w:iCs/>
          <w:sz w:val="24"/>
          <w:szCs w:val="24"/>
        </w:rPr>
        <w:t>unknowing”</w:t>
      </w:r>
      <w:r w:rsidR="00425311" w:rsidRPr="003D3D2A">
        <w:rPr>
          <w:sz w:val="24"/>
          <w:szCs w:val="24"/>
        </w:rPr>
        <w:t xml:space="preserve"> investor is permitted to enforce an agreement with MTI, it will </w:t>
      </w:r>
      <w:r w:rsidR="008478C3">
        <w:rPr>
          <w:sz w:val="24"/>
          <w:szCs w:val="24"/>
        </w:rPr>
        <w:t xml:space="preserve">give effect to a business that is prohibited by the CPA and it will give effect to a fraudulent scheme which would not be in accordance with </w:t>
      </w:r>
      <w:r w:rsidR="00425311" w:rsidRPr="003D3D2A">
        <w:rPr>
          <w:sz w:val="24"/>
          <w:szCs w:val="24"/>
        </w:rPr>
        <w:t>the purpose and policy of the CPA set out in s 3.</w:t>
      </w:r>
    </w:p>
    <w:p w14:paraId="0D1279B1" w14:textId="244148C2" w:rsidR="00425311" w:rsidRDefault="00560794" w:rsidP="00560794">
      <w:pPr>
        <w:pStyle w:val="BodyText3"/>
        <w:spacing w:after="240" w:line="480" w:lineRule="auto"/>
        <w:rPr>
          <w:sz w:val="24"/>
          <w:szCs w:val="24"/>
        </w:rPr>
      </w:pPr>
      <w:r>
        <w:rPr>
          <w:sz w:val="22"/>
          <w:szCs w:val="22"/>
        </w:rPr>
        <w:t>[115]</w:t>
      </w:r>
      <w:r>
        <w:rPr>
          <w:sz w:val="22"/>
          <w:szCs w:val="22"/>
        </w:rPr>
        <w:tab/>
      </w:r>
      <w:r w:rsidR="00906A84" w:rsidRPr="00C25C57">
        <w:rPr>
          <w:sz w:val="24"/>
          <w:szCs w:val="24"/>
        </w:rPr>
        <w:t>Further to this</w:t>
      </w:r>
      <w:r w:rsidR="00840DD9">
        <w:rPr>
          <w:sz w:val="24"/>
          <w:szCs w:val="24"/>
        </w:rPr>
        <w:t>,</w:t>
      </w:r>
      <w:r w:rsidR="00906A84" w:rsidRPr="00C25C57">
        <w:rPr>
          <w:sz w:val="24"/>
          <w:szCs w:val="24"/>
        </w:rPr>
        <w:t xml:space="preserve"> s</w:t>
      </w:r>
      <w:r w:rsidR="00425311" w:rsidRPr="00C25C57">
        <w:rPr>
          <w:sz w:val="24"/>
          <w:szCs w:val="24"/>
        </w:rPr>
        <w:t xml:space="preserve"> 51 </w:t>
      </w:r>
      <w:r w:rsidR="00B47B30">
        <w:rPr>
          <w:sz w:val="24"/>
          <w:szCs w:val="24"/>
        </w:rPr>
        <w:t xml:space="preserve">of the CPA </w:t>
      </w:r>
      <w:r w:rsidR="00425311" w:rsidRPr="00C25C57">
        <w:rPr>
          <w:sz w:val="24"/>
          <w:szCs w:val="24"/>
        </w:rPr>
        <w:t>reads</w:t>
      </w:r>
      <w:r w:rsidR="00906A84" w:rsidRPr="00C25C57">
        <w:rPr>
          <w:sz w:val="24"/>
          <w:szCs w:val="24"/>
        </w:rPr>
        <w:t>,</w:t>
      </w:r>
      <w:r w:rsidR="00425311" w:rsidRPr="00C25C57">
        <w:rPr>
          <w:sz w:val="24"/>
          <w:szCs w:val="24"/>
        </w:rPr>
        <w:t xml:space="preserve"> </w:t>
      </w:r>
      <w:r w:rsidR="00425311" w:rsidRPr="00C25C57">
        <w:rPr>
          <w:i/>
          <w:iCs/>
          <w:sz w:val="24"/>
          <w:szCs w:val="24"/>
        </w:rPr>
        <w:t>inter alia</w:t>
      </w:r>
      <w:r w:rsidR="00906A84" w:rsidRPr="00C25C57">
        <w:rPr>
          <w:sz w:val="24"/>
          <w:szCs w:val="24"/>
        </w:rPr>
        <w:t>,</w:t>
      </w:r>
      <w:r w:rsidR="00425311" w:rsidRPr="00C25C57">
        <w:rPr>
          <w:sz w:val="24"/>
          <w:szCs w:val="24"/>
        </w:rPr>
        <w:t xml:space="preserve"> as follows:</w:t>
      </w:r>
    </w:p>
    <w:p w14:paraId="08549021" w14:textId="372FFACC" w:rsidR="009457E0" w:rsidRDefault="009457E0" w:rsidP="00556AED">
      <w:pPr>
        <w:pStyle w:val="ListParagraph"/>
        <w:autoSpaceDE w:val="0"/>
        <w:autoSpaceDN w:val="0"/>
        <w:adjustRightInd w:val="0"/>
        <w:spacing w:line="240" w:lineRule="auto"/>
        <w:ind w:left="1077"/>
        <w:rPr>
          <w:sz w:val="22"/>
          <w:szCs w:val="22"/>
        </w:rPr>
      </w:pPr>
      <w:r w:rsidRPr="00C25C57">
        <w:t>“</w:t>
      </w:r>
      <w:r w:rsidRPr="00C25C57">
        <w:rPr>
          <w:sz w:val="22"/>
          <w:szCs w:val="22"/>
        </w:rPr>
        <w:t>51</w:t>
      </w:r>
      <w:r w:rsidR="003D046B">
        <w:rPr>
          <w:sz w:val="22"/>
          <w:szCs w:val="22"/>
        </w:rPr>
        <w:t>.</w:t>
      </w:r>
      <w:r w:rsidRPr="00C25C57">
        <w:rPr>
          <w:sz w:val="22"/>
          <w:szCs w:val="22"/>
        </w:rPr>
        <w:tab/>
        <w:t>Prohibited transactions, agreements, terms or conditions</w:t>
      </w:r>
    </w:p>
    <w:p w14:paraId="2B76BAAD" w14:textId="77777777" w:rsidR="00C930A4" w:rsidRPr="00C25C57" w:rsidRDefault="00C930A4" w:rsidP="00556AED">
      <w:pPr>
        <w:pStyle w:val="ListParagraph"/>
        <w:autoSpaceDE w:val="0"/>
        <w:autoSpaceDN w:val="0"/>
        <w:adjustRightInd w:val="0"/>
        <w:spacing w:line="240" w:lineRule="auto"/>
        <w:ind w:left="1077"/>
        <w:rPr>
          <w:sz w:val="22"/>
          <w:szCs w:val="22"/>
        </w:rPr>
      </w:pPr>
    </w:p>
    <w:p w14:paraId="2F2A0127" w14:textId="77777777" w:rsidR="009457E0" w:rsidRPr="00C25C57" w:rsidRDefault="009457E0" w:rsidP="003D046B">
      <w:pPr>
        <w:pStyle w:val="ListParagraph"/>
        <w:autoSpaceDE w:val="0"/>
        <w:autoSpaceDN w:val="0"/>
        <w:adjustRightInd w:val="0"/>
        <w:spacing w:line="240" w:lineRule="auto"/>
        <w:ind w:left="2157" w:hanging="720"/>
        <w:rPr>
          <w:sz w:val="22"/>
          <w:szCs w:val="22"/>
        </w:rPr>
      </w:pPr>
      <w:r w:rsidRPr="00C25C57">
        <w:rPr>
          <w:sz w:val="22"/>
          <w:szCs w:val="22"/>
        </w:rPr>
        <w:lastRenderedPageBreak/>
        <w:t xml:space="preserve">(1) </w:t>
      </w:r>
      <w:r w:rsidRPr="00C25C57">
        <w:rPr>
          <w:sz w:val="22"/>
          <w:szCs w:val="22"/>
        </w:rPr>
        <w:tab/>
        <w:t>A supplier must not make a transaction or agreement subject to any term or condition if—</w:t>
      </w:r>
    </w:p>
    <w:p w14:paraId="797B13B9" w14:textId="04BF6157" w:rsidR="009457E0" w:rsidRPr="00C25C57" w:rsidRDefault="009457E0" w:rsidP="003D046B">
      <w:pPr>
        <w:pStyle w:val="ListParagraph"/>
        <w:autoSpaceDE w:val="0"/>
        <w:autoSpaceDN w:val="0"/>
        <w:adjustRightInd w:val="0"/>
        <w:spacing w:line="240" w:lineRule="auto"/>
        <w:ind w:left="1077" w:firstLine="360"/>
        <w:rPr>
          <w:sz w:val="22"/>
          <w:szCs w:val="22"/>
        </w:rPr>
      </w:pPr>
      <w:r w:rsidRPr="00C25C57">
        <w:rPr>
          <w:sz w:val="22"/>
          <w:szCs w:val="22"/>
        </w:rPr>
        <w:t xml:space="preserve">(a) </w:t>
      </w:r>
      <w:r w:rsidR="000E1DAE">
        <w:rPr>
          <w:sz w:val="22"/>
          <w:szCs w:val="22"/>
        </w:rPr>
        <w:tab/>
      </w:r>
      <w:r w:rsidRPr="00C25C57">
        <w:rPr>
          <w:sz w:val="22"/>
          <w:szCs w:val="22"/>
        </w:rPr>
        <w:t xml:space="preserve"> its general purpose or effect is to –</w:t>
      </w:r>
    </w:p>
    <w:p w14:paraId="01B0A941" w14:textId="77777777" w:rsidR="009457E0" w:rsidRPr="00C25C57" w:rsidRDefault="009457E0" w:rsidP="003D046B">
      <w:pPr>
        <w:pStyle w:val="ListParagraph"/>
        <w:autoSpaceDE w:val="0"/>
        <w:autoSpaceDN w:val="0"/>
        <w:adjustRightInd w:val="0"/>
        <w:spacing w:line="240" w:lineRule="auto"/>
        <w:ind w:left="1797" w:firstLine="363"/>
        <w:rPr>
          <w:sz w:val="22"/>
          <w:szCs w:val="22"/>
        </w:rPr>
      </w:pPr>
      <w:r w:rsidRPr="00C25C57">
        <w:rPr>
          <w:sz w:val="22"/>
          <w:szCs w:val="22"/>
        </w:rPr>
        <w:t xml:space="preserve">(i) defeat the purposes and policy of this Act; </w:t>
      </w:r>
    </w:p>
    <w:p w14:paraId="7159DEA1" w14:textId="77777777" w:rsidR="009457E0" w:rsidRPr="00C25C57" w:rsidRDefault="009457E0" w:rsidP="000E1DAE">
      <w:pPr>
        <w:pStyle w:val="ListParagraph"/>
        <w:autoSpaceDE w:val="0"/>
        <w:autoSpaceDN w:val="0"/>
        <w:adjustRightInd w:val="0"/>
        <w:spacing w:line="240" w:lineRule="auto"/>
        <w:ind w:left="1797" w:firstLine="363"/>
        <w:rPr>
          <w:sz w:val="22"/>
          <w:szCs w:val="22"/>
        </w:rPr>
      </w:pPr>
      <w:r w:rsidRPr="00C25C57">
        <w:rPr>
          <w:sz w:val="22"/>
          <w:szCs w:val="22"/>
        </w:rPr>
        <w:t>(ii) mislead or deceive the consumer; or</w:t>
      </w:r>
    </w:p>
    <w:p w14:paraId="1FBEB34A" w14:textId="2CBA9515" w:rsidR="009457E0" w:rsidRPr="00C25C57" w:rsidRDefault="009457E0" w:rsidP="000E1DAE">
      <w:pPr>
        <w:pStyle w:val="ListParagraph"/>
        <w:autoSpaceDE w:val="0"/>
        <w:autoSpaceDN w:val="0"/>
        <w:adjustRightInd w:val="0"/>
        <w:spacing w:line="240" w:lineRule="auto"/>
        <w:ind w:left="1797" w:firstLine="363"/>
        <w:rPr>
          <w:sz w:val="22"/>
          <w:szCs w:val="22"/>
        </w:rPr>
      </w:pPr>
      <w:r w:rsidRPr="00C25C57">
        <w:rPr>
          <w:sz w:val="22"/>
          <w:szCs w:val="22"/>
        </w:rPr>
        <w:t>(iii) subject the consumer to fraudulent conduct;</w:t>
      </w:r>
    </w:p>
    <w:p w14:paraId="71F0DE8B" w14:textId="3D05FCB4" w:rsidR="009457E0" w:rsidRPr="00C25C57" w:rsidRDefault="009457E0" w:rsidP="003D046B">
      <w:pPr>
        <w:pStyle w:val="ListParagraph"/>
        <w:autoSpaceDE w:val="0"/>
        <w:autoSpaceDN w:val="0"/>
        <w:adjustRightInd w:val="0"/>
        <w:spacing w:line="240" w:lineRule="auto"/>
        <w:ind w:left="1077" w:firstLine="363"/>
        <w:rPr>
          <w:sz w:val="22"/>
          <w:szCs w:val="22"/>
        </w:rPr>
      </w:pPr>
      <w:r w:rsidRPr="00C25C57">
        <w:rPr>
          <w:sz w:val="22"/>
          <w:szCs w:val="22"/>
        </w:rPr>
        <w:t xml:space="preserve">(b)  </w:t>
      </w:r>
      <w:r w:rsidR="000E1DAE">
        <w:rPr>
          <w:sz w:val="22"/>
          <w:szCs w:val="22"/>
        </w:rPr>
        <w:tab/>
      </w:r>
      <w:r w:rsidRPr="00C25C57">
        <w:rPr>
          <w:sz w:val="22"/>
          <w:szCs w:val="22"/>
        </w:rPr>
        <w:t>it directly or indirectly purports to –</w:t>
      </w:r>
    </w:p>
    <w:p w14:paraId="40967155" w14:textId="77777777" w:rsidR="009457E0" w:rsidRPr="00C25C57" w:rsidRDefault="009457E0" w:rsidP="000E1DAE">
      <w:pPr>
        <w:pStyle w:val="ListParagraph"/>
        <w:autoSpaceDE w:val="0"/>
        <w:autoSpaceDN w:val="0"/>
        <w:adjustRightInd w:val="0"/>
        <w:spacing w:line="240" w:lineRule="auto"/>
        <w:ind w:left="1797" w:firstLine="363"/>
        <w:rPr>
          <w:sz w:val="22"/>
          <w:szCs w:val="22"/>
        </w:rPr>
      </w:pPr>
      <w:r w:rsidRPr="00C25C57">
        <w:rPr>
          <w:sz w:val="22"/>
          <w:szCs w:val="22"/>
        </w:rPr>
        <w:t xml:space="preserve">(i)  waive or deprive a consumer of a right in terms of this Act; </w:t>
      </w:r>
    </w:p>
    <w:p w14:paraId="6686A703" w14:textId="77777777" w:rsidR="009457E0" w:rsidRPr="00C25C57" w:rsidRDefault="009457E0" w:rsidP="003D046B">
      <w:pPr>
        <w:pStyle w:val="ListParagraph"/>
        <w:autoSpaceDE w:val="0"/>
        <w:autoSpaceDN w:val="0"/>
        <w:adjustRightInd w:val="0"/>
        <w:spacing w:line="240" w:lineRule="auto"/>
        <w:ind w:left="1797" w:firstLine="363"/>
        <w:rPr>
          <w:sz w:val="22"/>
          <w:szCs w:val="22"/>
        </w:rPr>
      </w:pPr>
      <w:r w:rsidRPr="00C25C57">
        <w:rPr>
          <w:sz w:val="22"/>
          <w:szCs w:val="22"/>
        </w:rPr>
        <w:t xml:space="preserve">(ii)  avoid a supplier’s obligation or duty in terms of this Act; </w:t>
      </w:r>
    </w:p>
    <w:p w14:paraId="56C215D3" w14:textId="77777777" w:rsidR="009457E0" w:rsidRPr="00C25C57" w:rsidRDefault="009457E0" w:rsidP="000E1DAE">
      <w:pPr>
        <w:pStyle w:val="ListParagraph"/>
        <w:autoSpaceDE w:val="0"/>
        <w:autoSpaceDN w:val="0"/>
        <w:adjustRightInd w:val="0"/>
        <w:spacing w:line="240" w:lineRule="auto"/>
        <w:ind w:left="1797" w:firstLine="363"/>
        <w:rPr>
          <w:sz w:val="22"/>
          <w:szCs w:val="22"/>
        </w:rPr>
      </w:pPr>
      <w:r w:rsidRPr="00C25C57">
        <w:rPr>
          <w:sz w:val="22"/>
          <w:szCs w:val="22"/>
        </w:rPr>
        <w:t>(iii) set aside or override the effect of any provision of this Act; or</w:t>
      </w:r>
    </w:p>
    <w:p w14:paraId="6ECC2387" w14:textId="3B72E289" w:rsidR="009457E0" w:rsidRPr="00C25C57" w:rsidRDefault="009457E0" w:rsidP="000E1DAE">
      <w:pPr>
        <w:pStyle w:val="ListParagraph"/>
        <w:autoSpaceDE w:val="0"/>
        <w:autoSpaceDN w:val="0"/>
        <w:adjustRightInd w:val="0"/>
        <w:spacing w:line="240" w:lineRule="auto"/>
        <w:ind w:left="1797" w:firstLine="363"/>
        <w:rPr>
          <w:sz w:val="22"/>
          <w:szCs w:val="22"/>
        </w:rPr>
      </w:pPr>
      <w:r w:rsidRPr="00C25C57">
        <w:rPr>
          <w:sz w:val="22"/>
          <w:szCs w:val="22"/>
        </w:rPr>
        <w:t>(iv) authorise the supplier to—</w:t>
      </w:r>
    </w:p>
    <w:p w14:paraId="287BF71E" w14:textId="41697D1B" w:rsidR="009457E0" w:rsidRPr="00C25C57" w:rsidRDefault="009457E0" w:rsidP="003D046B">
      <w:pPr>
        <w:pStyle w:val="ListParagraph"/>
        <w:autoSpaceDE w:val="0"/>
        <w:autoSpaceDN w:val="0"/>
        <w:adjustRightInd w:val="0"/>
        <w:spacing w:line="240" w:lineRule="auto"/>
        <w:ind w:left="1797" w:firstLine="363"/>
        <w:rPr>
          <w:sz w:val="22"/>
          <w:szCs w:val="22"/>
        </w:rPr>
      </w:pPr>
      <w:r w:rsidRPr="00C25C57">
        <w:rPr>
          <w:sz w:val="22"/>
          <w:szCs w:val="22"/>
        </w:rPr>
        <w:t>(aa) do anything that is unlawful in terms of this Act; or</w:t>
      </w:r>
    </w:p>
    <w:p w14:paraId="36C40427" w14:textId="035A6E78" w:rsidR="009457E0" w:rsidRPr="00C25C57" w:rsidRDefault="009457E0" w:rsidP="003D046B">
      <w:pPr>
        <w:pStyle w:val="ListParagraph"/>
        <w:autoSpaceDE w:val="0"/>
        <w:autoSpaceDN w:val="0"/>
        <w:adjustRightInd w:val="0"/>
        <w:spacing w:line="240" w:lineRule="auto"/>
        <w:ind w:left="1797" w:firstLine="363"/>
        <w:rPr>
          <w:sz w:val="22"/>
          <w:szCs w:val="22"/>
        </w:rPr>
      </w:pPr>
      <w:r w:rsidRPr="00C25C57">
        <w:rPr>
          <w:sz w:val="22"/>
          <w:szCs w:val="22"/>
        </w:rPr>
        <w:t>(</w:t>
      </w:r>
      <w:r w:rsidR="00D92BD7" w:rsidRPr="00C25C57">
        <w:rPr>
          <w:sz w:val="22"/>
          <w:szCs w:val="22"/>
        </w:rPr>
        <w:t>bb)</w:t>
      </w:r>
      <w:r w:rsidR="00D92BD7">
        <w:rPr>
          <w:sz w:val="22"/>
          <w:szCs w:val="22"/>
        </w:rPr>
        <w:t xml:space="preserve"> </w:t>
      </w:r>
      <w:r w:rsidR="00D92BD7" w:rsidRPr="00C25C57">
        <w:rPr>
          <w:sz w:val="22"/>
          <w:szCs w:val="22"/>
        </w:rPr>
        <w:t>fail</w:t>
      </w:r>
      <w:r w:rsidRPr="00C25C57">
        <w:rPr>
          <w:sz w:val="22"/>
          <w:szCs w:val="22"/>
        </w:rPr>
        <w:t xml:space="preserve"> to do anything that is required in terms of this Act;</w:t>
      </w:r>
    </w:p>
    <w:p w14:paraId="18E0263C" w14:textId="46B52812" w:rsidR="009457E0" w:rsidRPr="00C25C57" w:rsidRDefault="009457E0" w:rsidP="004B1C23">
      <w:pPr>
        <w:pStyle w:val="ListParagraph"/>
        <w:autoSpaceDE w:val="0"/>
        <w:autoSpaceDN w:val="0"/>
        <w:adjustRightInd w:val="0"/>
        <w:spacing w:line="240" w:lineRule="auto"/>
        <w:ind w:left="1077"/>
        <w:rPr>
          <w:sz w:val="22"/>
          <w:szCs w:val="22"/>
        </w:rPr>
      </w:pPr>
      <w:r w:rsidRPr="00C25C57">
        <w:rPr>
          <w:sz w:val="22"/>
          <w:szCs w:val="22"/>
        </w:rPr>
        <w:t>…</w:t>
      </w:r>
      <w:r w:rsidR="003D046B">
        <w:rPr>
          <w:sz w:val="22"/>
          <w:szCs w:val="22"/>
        </w:rPr>
        <w:tab/>
      </w:r>
    </w:p>
    <w:p w14:paraId="6A278C02" w14:textId="77777777" w:rsidR="009457E0" w:rsidRPr="00C25C57" w:rsidRDefault="009457E0" w:rsidP="00223D54">
      <w:pPr>
        <w:autoSpaceDE w:val="0"/>
        <w:autoSpaceDN w:val="0"/>
        <w:adjustRightInd w:val="0"/>
        <w:spacing w:line="240" w:lineRule="auto"/>
        <w:ind w:left="1440"/>
        <w:rPr>
          <w:i/>
          <w:iCs/>
        </w:rPr>
      </w:pPr>
      <w:r w:rsidRPr="00C25C57">
        <w:rPr>
          <w:sz w:val="22"/>
          <w:szCs w:val="22"/>
        </w:rPr>
        <w:t>(3) A purported transaction or agreement, provision, term or condition of a transaction or agreement, or notice to which a transaction or agreement is purported to be subject, is void to the extent that it contravenes this section</w:t>
      </w:r>
      <w:r w:rsidRPr="00C25C57">
        <w:rPr>
          <w:i/>
          <w:iCs/>
        </w:rPr>
        <w:t xml:space="preserve">. </w:t>
      </w:r>
    </w:p>
    <w:p w14:paraId="0A331C1F" w14:textId="77777777" w:rsidR="009457E0" w:rsidRDefault="009457E0" w:rsidP="00223D54">
      <w:pPr>
        <w:pStyle w:val="ListParagraph"/>
        <w:autoSpaceDE w:val="0"/>
        <w:autoSpaceDN w:val="0"/>
        <w:adjustRightInd w:val="0"/>
        <w:spacing w:line="240" w:lineRule="auto"/>
        <w:ind w:left="1077" w:firstLine="363"/>
        <w:rPr>
          <w:i/>
          <w:iCs/>
        </w:rPr>
      </w:pPr>
      <w:r w:rsidRPr="00C25C57">
        <w:rPr>
          <w:i/>
          <w:iCs/>
        </w:rPr>
        <w:t>…”</w:t>
      </w:r>
    </w:p>
    <w:p w14:paraId="0A9E9577" w14:textId="77777777" w:rsidR="000E3A1C" w:rsidRDefault="000E3A1C" w:rsidP="00223D54">
      <w:pPr>
        <w:pStyle w:val="ListParagraph"/>
        <w:autoSpaceDE w:val="0"/>
        <w:autoSpaceDN w:val="0"/>
        <w:adjustRightInd w:val="0"/>
        <w:spacing w:line="240" w:lineRule="auto"/>
        <w:ind w:left="1077" w:firstLine="363"/>
        <w:rPr>
          <w:i/>
          <w:iCs/>
        </w:rPr>
      </w:pPr>
    </w:p>
    <w:p w14:paraId="7CE98B7A" w14:textId="64016309" w:rsidR="00425311" w:rsidRDefault="00560794" w:rsidP="00560794">
      <w:pPr>
        <w:pStyle w:val="BodyText3"/>
        <w:spacing w:after="240" w:line="480" w:lineRule="auto"/>
        <w:rPr>
          <w:sz w:val="24"/>
          <w:szCs w:val="24"/>
        </w:rPr>
      </w:pPr>
      <w:r>
        <w:rPr>
          <w:sz w:val="22"/>
          <w:szCs w:val="22"/>
        </w:rPr>
        <w:t>[116]</w:t>
      </w:r>
      <w:r>
        <w:rPr>
          <w:sz w:val="22"/>
          <w:szCs w:val="22"/>
        </w:rPr>
        <w:tab/>
      </w:r>
      <w:r w:rsidR="00B47B30">
        <w:rPr>
          <w:sz w:val="24"/>
          <w:szCs w:val="24"/>
        </w:rPr>
        <w:t>I</w:t>
      </w:r>
      <w:r w:rsidR="00425311" w:rsidRPr="00C25C57">
        <w:rPr>
          <w:sz w:val="24"/>
          <w:szCs w:val="24"/>
        </w:rPr>
        <w:t>t appears from the context of s 51</w:t>
      </w:r>
      <w:r w:rsidR="00BC078C">
        <w:rPr>
          <w:sz w:val="24"/>
          <w:szCs w:val="24"/>
        </w:rPr>
        <w:t>,</w:t>
      </w:r>
      <w:r w:rsidR="00425311" w:rsidRPr="00C25C57">
        <w:rPr>
          <w:sz w:val="24"/>
          <w:szCs w:val="24"/>
        </w:rPr>
        <w:t xml:space="preserve"> and in particular s 51(3)</w:t>
      </w:r>
      <w:r w:rsidR="00BC078C">
        <w:rPr>
          <w:sz w:val="24"/>
          <w:szCs w:val="24"/>
        </w:rPr>
        <w:t>,</w:t>
      </w:r>
      <w:r w:rsidR="00425311" w:rsidRPr="00C25C57">
        <w:rPr>
          <w:sz w:val="24"/>
          <w:szCs w:val="24"/>
        </w:rPr>
        <w:t xml:space="preserve"> which provides </w:t>
      </w:r>
      <w:r w:rsidR="00425311" w:rsidRPr="00C25C57">
        <w:rPr>
          <w:i/>
          <w:iCs/>
          <w:sz w:val="24"/>
          <w:szCs w:val="24"/>
        </w:rPr>
        <w:t>inter alia</w:t>
      </w:r>
      <w:r w:rsidR="00425311" w:rsidRPr="00C25C57">
        <w:rPr>
          <w:sz w:val="24"/>
          <w:szCs w:val="24"/>
        </w:rPr>
        <w:t xml:space="preserve"> that a “</w:t>
      </w:r>
      <w:r w:rsidR="00425311" w:rsidRPr="00C25C57">
        <w:rPr>
          <w:i/>
          <w:iCs/>
          <w:sz w:val="24"/>
          <w:szCs w:val="24"/>
        </w:rPr>
        <w:t>purported transaction or agreement</w:t>
      </w:r>
      <w:r w:rsidR="00425311" w:rsidRPr="00C25C57">
        <w:rPr>
          <w:sz w:val="24"/>
          <w:szCs w:val="24"/>
        </w:rPr>
        <w:t xml:space="preserve"> … </w:t>
      </w:r>
      <w:r w:rsidR="00425311" w:rsidRPr="00C25C57">
        <w:rPr>
          <w:i/>
          <w:iCs/>
          <w:sz w:val="24"/>
          <w:szCs w:val="24"/>
        </w:rPr>
        <w:t>is void to the extent that it contra</w:t>
      </w:r>
      <w:r w:rsidR="00425311" w:rsidRPr="00500451">
        <w:rPr>
          <w:i/>
          <w:iCs/>
          <w:sz w:val="24"/>
          <w:szCs w:val="24"/>
        </w:rPr>
        <w:t xml:space="preserve">venes this section”, </w:t>
      </w:r>
      <w:r w:rsidR="00425311" w:rsidRPr="00500451">
        <w:rPr>
          <w:sz w:val="24"/>
          <w:szCs w:val="24"/>
        </w:rPr>
        <w:t>that it is not limited to “</w:t>
      </w:r>
      <w:r w:rsidR="00425311" w:rsidRPr="00500451">
        <w:rPr>
          <w:i/>
          <w:iCs/>
          <w:sz w:val="24"/>
          <w:szCs w:val="24"/>
        </w:rPr>
        <w:t>a list of unfair terms</w:t>
      </w:r>
      <w:r w:rsidR="00425311" w:rsidRPr="00500451">
        <w:rPr>
          <w:sz w:val="24"/>
          <w:szCs w:val="24"/>
        </w:rPr>
        <w:t>”.</w:t>
      </w:r>
    </w:p>
    <w:p w14:paraId="4A3C201F" w14:textId="5E46FA68" w:rsidR="00D92BD7" w:rsidRDefault="00560794" w:rsidP="00560794">
      <w:pPr>
        <w:pStyle w:val="BodyText3"/>
        <w:spacing w:after="240" w:line="480" w:lineRule="auto"/>
        <w:rPr>
          <w:sz w:val="24"/>
          <w:szCs w:val="24"/>
        </w:rPr>
      </w:pPr>
      <w:r>
        <w:rPr>
          <w:sz w:val="22"/>
          <w:szCs w:val="22"/>
        </w:rPr>
        <w:t>[117]</w:t>
      </w:r>
      <w:r>
        <w:rPr>
          <w:sz w:val="22"/>
          <w:szCs w:val="22"/>
        </w:rPr>
        <w:tab/>
      </w:r>
      <w:r w:rsidR="00B47B30">
        <w:rPr>
          <w:sz w:val="24"/>
          <w:szCs w:val="24"/>
        </w:rPr>
        <w:t>T</w:t>
      </w:r>
      <w:r w:rsidR="00425311" w:rsidRPr="00EA7CC3">
        <w:rPr>
          <w:sz w:val="24"/>
          <w:szCs w:val="24"/>
        </w:rPr>
        <w:t xml:space="preserve">he terms of the agreements between MTI and investors are in conflict with the provisions of s 51(1), particularly the </w:t>
      </w:r>
      <w:r w:rsidR="001031BC" w:rsidRPr="00EA7CC3">
        <w:rPr>
          <w:sz w:val="24"/>
          <w:szCs w:val="24"/>
        </w:rPr>
        <w:t xml:space="preserve">sections </w:t>
      </w:r>
      <w:r w:rsidR="00617986" w:rsidRPr="00EA7CC3">
        <w:rPr>
          <w:sz w:val="24"/>
          <w:szCs w:val="24"/>
        </w:rPr>
        <w:t xml:space="preserve">already </w:t>
      </w:r>
      <w:r w:rsidR="00B47B30">
        <w:rPr>
          <w:sz w:val="24"/>
          <w:szCs w:val="24"/>
        </w:rPr>
        <w:t xml:space="preserve">highlighted previously herein and </w:t>
      </w:r>
      <w:r w:rsidR="001031BC" w:rsidRPr="00EA7CC3">
        <w:rPr>
          <w:sz w:val="24"/>
          <w:szCs w:val="24"/>
        </w:rPr>
        <w:t xml:space="preserve">are therefore </w:t>
      </w:r>
      <w:r w:rsidR="00425311" w:rsidRPr="00EA7CC3">
        <w:rPr>
          <w:sz w:val="24"/>
          <w:szCs w:val="24"/>
        </w:rPr>
        <w:t>void pursuant to s 51(3).</w:t>
      </w:r>
    </w:p>
    <w:p w14:paraId="20A85F6E" w14:textId="631CADDE" w:rsidR="00552E30" w:rsidRDefault="00560794" w:rsidP="00560794">
      <w:pPr>
        <w:pStyle w:val="BodyText3"/>
        <w:spacing w:after="240" w:line="480" w:lineRule="auto"/>
        <w:rPr>
          <w:sz w:val="24"/>
          <w:szCs w:val="24"/>
        </w:rPr>
      </w:pPr>
      <w:r>
        <w:rPr>
          <w:sz w:val="22"/>
          <w:szCs w:val="22"/>
        </w:rPr>
        <w:t>[118]</w:t>
      </w:r>
      <w:r>
        <w:rPr>
          <w:sz w:val="22"/>
          <w:szCs w:val="22"/>
        </w:rPr>
        <w:tab/>
      </w:r>
      <w:r w:rsidR="00552E30" w:rsidRPr="00500451">
        <w:rPr>
          <w:sz w:val="24"/>
          <w:szCs w:val="24"/>
        </w:rPr>
        <w:t>Voidness of agreements</w:t>
      </w:r>
      <w:r w:rsidR="00161597">
        <w:rPr>
          <w:sz w:val="24"/>
          <w:szCs w:val="24"/>
        </w:rPr>
        <w:t>,</w:t>
      </w:r>
      <w:r w:rsidR="00552E30" w:rsidRPr="00500451">
        <w:rPr>
          <w:sz w:val="24"/>
          <w:szCs w:val="24"/>
        </w:rPr>
        <w:t xml:space="preserve"> in the course of illegal transactions</w:t>
      </w:r>
      <w:r w:rsidR="00161597">
        <w:rPr>
          <w:sz w:val="24"/>
          <w:szCs w:val="24"/>
        </w:rPr>
        <w:t>,</w:t>
      </w:r>
      <w:r w:rsidR="00552E30" w:rsidRPr="00500451">
        <w:rPr>
          <w:sz w:val="24"/>
          <w:szCs w:val="24"/>
        </w:rPr>
        <w:t xml:space="preserve"> does not only depend on the question as to whether a </w:t>
      </w:r>
      <w:r w:rsidR="00425D94">
        <w:rPr>
          <w:sz w:val="24"/>
          <w:szCs w:val="24"/>
        </w:rPr>
        <w:t>p</w:t>
      </w:r>
      <w:r w:rsidR="00552E30" w:rsidRPr="00500451">
        <w:rPr>
          <w:sz w:val="24"/>
          <w:szCs w:val="24"/>
        </w:rPr>
        <w:t>onzi</w:t>
      </w:r>
      <w:r w:rsidR="00161597">
        <w:rPr>
          <w:sz w:val="24"/>
          <w:szCs w:val="24"/>
        </w:rPr>
        <w:t>-</w:t>
      </w:r>
      <w:r w:rsidR="00552E30" w:rsidRPr="00500451">
        <w:rPr>
          <w:sz w:val="24"/>
          <w:szCs w:val="24"/>
        </w:rPr>
        <w:t xml:space="preserve">scheme was conducted. </w:t>
      </w:r>
      <w:r w:rsidR="00425D94">
        <w:rPr>
          <w:sz w:val="24"/>
          <w:szCs w:val="24"/>
        </w:rPr>
        <w:t>In Fourie NO (</w:t>
      </w:r>
      <w:r w:rsidR="001031BC">
        <w:rPr>
          <w:i/>
          <w:iCs/>
          <w:sz w:val="24"/>
          <w:szCs w:val="24"/>
        </w:rPr>
        <w:t>supra</w:t>
      </w:r>
      <w:r w:rsidR="00425D94">
        <w:rPr>
          <w:sz w:val="24"/>
          <w:szCs w:val="24"/>
        </w:rPr>
        <w:t xml:space="preserve">) each </w:t>
      </w:r>
      <w:r w:rsidR="00552E30" w:rsidRPr="00500451">
        <w:rPr>
          <w:sz w:val="24"/>
          <w:szCs w:val="24"/>
        </w:rPr>
        <w:t>of the following bases for illegality was considered to trigger voidness of agreements:</w:t>
      </w:r>
    </w:p>
    <w:p w14:paraId="236FF067" w14:textId="791D3818" w:rsidR="001E2BF9" w:rsidRPr="00B47B30" w:rsidRDefault="00202E32" w:rsidP="007D2953">
      <w:pPr>
        <w:pStyle w:val="BodyText3"/>
        <w:spacing w:after="240" w:line="480" w:lineRule="auto"/>
        <w:ind w:left="1440" w:hanging="720"/>
        <w:rPr>
          <w:i/>
          <w:iCs/>
          <w:sz w:val="24"/>
          <w:szCs w:val="24"/>
        </w:rPr>
      </w:pPr>
      <w:r>
        <w:rPr>
          <w:sz w:val="24"/>
          <w:szCs w:val="24"/>
        </w:rPr>
        <w:t>118.1</w:t>
      </w:r>
      <w:r>
        <w:rPr>
          <w:sz w:val="24"/>
          <w:szCs w:val="24"/>
        </w:rPr>
        <w:tab/>
      </w:r>
      <w:r w:rsidR="001E2BF9" w:rsidRPr="00F03C25">
        <w:rPr>
          <w:sz w:val="24"/>
          <w:szCs w:val="24"/>
        </w:rPr>
        <w:t>A contrave</w:t>
      </w:r>
      <w:r w:rsidR="001E2BF9" w:rsidRPr="00745534">
        <w:rPr>
          <w:sz w:val="24"/>
          <w:szCs w:val="24"/>
        </w:rPr>
        <w:t>ntion of section 11 of the Banks Act</w:t>
      </w:r>
      <w:r w:rsidR="001E2BF9" w:rsidRPr="00745534">
        <w:rPr>
          <w:rStyle w:val="FootnoteReference"/>
          <w:sz w:val="24"/>
          <w:szCs w:val="24"/>
        </w:rPr>
        <w:footnoteReference w:id="50"/>
      </w:r>
      <w:r w:rsidR="001E2BF9" w:rsidRPr="00745534">
        <w:rPr>
          <w:sz w:val="24"/>
          <w:szCs w:val="24"/>
        </w:rPr>
        <w:t xml:space="preserve">, due to the peremptory language of the provision that a contravention constitutes a criminal </w:t>
      </w:r>
      <w:r w:rsidR="001E2BF9" w:rsidRPr="00B47B30">
        <w:rPr>
          <w:sz w:val="24"/>
          <w:szCs w:val="24"/>
        </w:rPr>
        <w:t xml:space="preserve">offence and that such prohibited transactions are void </w:t>
      </w:r>
      <w:r w:rsidR="001E2BF9" w:rsidRPr="00B47B30">
        <w:rPr>
          <w:i/>
          <w:iCs/>
          <w:sz w:val="24"/>
          <w:szCs w:val="24"/>
        </w:rPr>
        <w:t>ab initio;</w:t>
      </w:r>
    </w:p>
    <w:p w14:paraId="5A0FA3F7" w14:textId="04A843A4" w:rsidR="00817EF7" w:rsidRDefault="00817EF7" w:rsidP="001E2BF9">
      <w:pPr>
        <w:pStyle w:val="BodyText3"/>
        <w:spacing w:after="240" w:line="480" w:lineRule="auto"/>
        <w:ind w:firstLine="720"/>
        <w:rPr>
          <w:sz w:val="24"/>
          <w:szCs w:val="24"/>
        </w:rPr>
      </w:pPr>
      <w:r w:rsidRPr="00B47B30">
        <w:rPr>
          <w:sz w:val="24"/>
          <w:szCs w:val="24"/>
        </w:rPr>
        <w:lastRenderedPageBreak/>
        <w:t>1</w:t>
      </w:r>
      <w:r w:rsidR="00202E32">
        <w:rPr>
          <w:sz w:val="24"/>
          <w:szCs w:val="24"/>
        </w:rPr>
        <w:t>18.2</w:t>
      </w:r>
      <w:r w:rsidR="00202E32">
        <w:rPr>
          <w:sz w:val="24"/>
          <w:szCs w:val="24"/>
        </w:rPr>
        <w:tab/>
      </w:r>
      <w:r w:rsidR="001E2BF9">
        <w:rPr>
          <w:sz w:val="24"/>
          <w:szCs w:val="24"/>
        </w:rPr>
        <w:t>a pyramid scheme</w:t>
      </w:r>
      <w:r>
        <w:rPr>
          <w:sz w:val="24"/>
          <w:szCs w:val="24"/>
        </w:rPr>
        <w:t>;</w:t>
      </w:r>
    </w:p>
    <w:p w14:paraId="639E4FDE" w14:textId="4637AD30" w:rsidR="001E2BF9" w:rsidRDefault="00817EF7" w:rsidP="001E2BF9">
      <w:pPr>
        <w:pStyle w:val="BodyText3"/>
        <w:spacing w:after="240" w:line="480" w:lineRule="auto"/>
        <w:ind w:firstLine="720"/>
        <w:rPr>
          <w:sz w:val="24"/>
          <w:szCs w:val="24"/>
        </w:rPr>
      </w:pPr>
      <w:r>
        <w:rPr>
          <w:sz w:val="24"/>
          <w:szCs w:val="24"/>
        </w:rPr>
        <w:t>1</w:t>
      </w:r>
      <w:r w:rsidR="00202E32">
        <w:rPr>
          <w:sz w:val="24"/>
          <w:szCs w:val="24"/>
        </w:rPr>
        <w:t>18.3 a</w:t>
      </w:r>
      <w:r w:rsidR="001E2BF9">
        <w:rPr>
          <w:sz w:val="24"/>
          <w:szCs w:val="24"/>
        </w:rPr>
        <w:t>nd a</w:t>
      </w:r>
      <w:r w:rsidR="001E2BF9" w:rsidRPr="000642EB">
        <w:t xml:space="preserve"> </w:t>
      </w:r>
      <w:r w:rsidR="001E2BF9" w:rsidRPr="005B11CA">
        <w:rPr>
          <w:sz w:val="24"/>
          <w:szCs w:val="24"/>
        </w:rPr>
        <w:t>fraudulent scheme in terms of the common law.</w:t>
      </w:r>
    </w:p>
    <w:p w14:paraId="78B6B099" w14:textId="14963FDD" w:rsidR="00552E30" w:rsidRDefault="00560794" w:rsidP="00560794">
      <w:pPr>
        <w:pStyle w:val="BodyText3"/>
        <w:spacing w:after="240" w:line="480" w:lineRule="auto"/>
        <w:rPr>
          <w:sz w:val="24"/>
          <w:szCs w:val="24"/>
        </w:rPr>
      </w:pPr>
      <w:r>
        <w:rPr>
          <w:sz w:val="22"/>
          <w:szCs w:val="22"/>
        </w:rPr>
        <w:t>[119]</w:t>
      </w:r>
      <w:r>
        <w:rPr>
          <w:sz w:val="22"/>
          <w:szCs w:val="22"/>
        </w:rPr>
        <w:tab/>
      </w:r>
      <w:r w:rsidR="006946F1">
        <w:rPr>
          <w:sz w:val="24"/>
          <w:szCs w:val="24"/>
        </w:rPr>
        <w:t xml:space="preserve">It follows that if the </w:t>
      </w:r>
      <w:r w:rsidR="00552E30" w:rsidRPr="005727EA">
        <w:rPr>
          <w:sz w:val="24"/>
          <w:szCs w:val="24"/>
        </w:rPr>
        <w:t>agreements</w:t>
      </w:r>
      <w:r w:rsidR="00AD0870">
        <w:rPr>
          <w:sz w:val="24"/>
          <w:szCs w:val="24"/>
        </w:rPr>
        <w:t>,</w:t>
      </w:r>
      <w:r w:rsidR="00552E30" w:rsidRPr="005727EA">
        <w:rPr>
          <w:sz w:val="24"/>
          <w:szCs w:val="24"/>
        </w:rPr>
        <w:t xml:space="preserve"> </w:t>
      </w:r>
      <w:r w:rsidR="006946F1">
        <w:rPr>
          <w:sz w:val="24"/>
          <w:szCs w:val="24"/>
        </w:rPr>
        <w:t>on the facts of this application</w:t>
      </w:r>
      <w:r w:rsidR="00AD0870">
        <w:rPr>
          <w:sz w:val="24"/>
          <w:szCs w:val="24"/>
        </w:rPr>
        <w:t>,</w:t>
      </w:r>
      <w:r w:rsidR="006946F1">
        <w:rPr>
          <w:sz w:val="24"/>
          <w:szCs w:val="24"/>
        </w:rPr>
        <w:t xml:space="preserve"> </w:t>
      </w:r>
      <w:r w:rsidR="00CC3A29">
        <w:rPr>
          <w:sz w:val="24"/>
          <w:szCs w:val="24"/>
        </w:rPr>
        <w:t xml:space="preserve">are </w:t>
      </w:r>
      <w:r w:rsidR="001424F9">
        <w:rPr>
          <w:sz w:val="24"/>
          <w:szCs w:val="24"/>
        </w:rPr>
        <w:t xml:space="preserve">not declared void </w:t>
      </w:r>
      <w:r w:rsidR="001424F9" w:rsidRPr="00313B67">
        <w:rPr>
          <w:i/>
          <w:iCs/>
          <w:sz w:val="24"/>
          <w:szCs w:val="24"/>
        </w:rPr>
        <w:t>ab initio</w:t>
      </w:r>
      <w:r w:rsidR="001424F9" w:rsidRPr="00313B67">
        <w:rPr>
          <w:sz w:val="24"/>
          <w:szCs w:val="24"/>
        </w:rPr>
        <w:t>,</w:t>
      </w:r>
      <w:r w:rsidR="001424F9">
        <w:rPr>
          <w:sz w:val="24"/>
          <w:szCs w:val="24"/>
        </w:rPr>
        <w:t xml:space="preserve"> </w:t>
      </w:r>
      <w:r w:rsidR="00552E30" w:rsidRPr="005727EA">
        <w:rPr>
          <w:sz w:val="24"/>
          <w:szCs w:val="24"/>
        </w:rPr>
        <w:t xml:space="preserve">it </w:t>
      </w:r>
      <w:r w:rsidR="00BB62B0">
        <w:rPr>
          <w:sz w:val="24"/>
          <w:szCs w:val="24"/>
        </w:rPr>
        <w:t xml:space="preserve">will condone </w:t>
      </w:r>
      <w:r w:rsidR="00552E30" w:rsidRPr="005727EA">
        <w:rPr>
          <w:sz w:val="24"/>
          <w:szCs w:val="24"/>
        </w:rPr>
        <w:t>a scheme that is fraudulent</w:t>
      </w:r>
      <w:r w:rsidR="001B0C7E">
        <w:rPr>
          <w:sz w:val="24"/>
          <w:szCs w:val="24"/>
        </w:rPr>
        <w:t xml:space="preserve"> and in </w:t>
      </w:r>
      <w:r w:rsidR="00552E30" w:rsidRPr="005727EA">
        <w:rPr>
          <w:sz w:val="24"/>
          <w:szCs w:val="24"/>
        </w:rPr>
        <w:t>conflict with several statutes.</w:t>
      </w:r>
      <w:r w:rsidR="00B3227F">
        <w:rPr>
          <w:sz w:val="24"/>
          <w:szCs w:val="24"/>
        </w:rPr>
        <w:t xml:space="preserve"> Such result will be contrary to public policy considerations.</w:t>
      </w:r>
    </w:p>
    <w:p w14:paraId="2B7BDA08" w14:textId="0CBEF3A9" w:rsidR="00DD6047" w:rsidRDefault="00560794" w:rsidP="00560794">
      <w:pPr>
        <w:pStyle w:val="BodyText3"/>
        <w:spacing w:after="240" w:line="480" w:lineRule="auto"/>
        <w:rPr>
          <w:sz w:val="24"/>
          <w:szCs w:val="24"/>
        </w:rPr>
      </w:pPr>
      <w:r>
        <w:rPr>
          <w:sz w:val="22"/>
          <w:szCs w:val="22"/>
        </w:rPr>
        <w:t>[120]</w:t>
      </w:r>
      <w:r>
        <w:rPr>
          <w:sz w:val="22"/>
          <w:szCs w:val="22"/>
        </w:rPr>
        <w:tab/>
      </w:r>
      <w:r w:rsidR="006110CB">
        <w:rPr>
          <w:sz w:val="24"/>
          <w:szCs w:val="24"/>
        </w:rPr>
        <w:t xml:space="preserve">I </w:t>
      </w:r>
      <w:r w:rsidR="00666626">
        <w:rPr>
          <w:sz w:val="24"/>
          <w:szCs w:val="24"/>
        </w:rPr>
        <w:t xml:space="preserve">further </w:t>
      </w:r>
      <w:r w:rsidR="006110CB">
        <w:rPr>
          <w:sz w:val="24"/>
          <w:szCs w:val="24"/>
        </w:rPr>
        <w:t xml:space="preserve">agree that </w:t>
      </w:r>
      <w:r w:rsidR="00682465">
        <w:rPr>
          <w:sz w:val="24"/>
          <w:szCs w:val="24"/>
        </w:rPr>
        <w:t>the peremptory terms of s 7 of the FAIS Act and s 111 of FSRA Act</w:t>
      </w:r>
      <w:r w:rsidR="00294EDA">
        <w:rPr>
          <w:sz w:val="24"/>
          <w:szCs w:val="24"/>
        </w:rPr>
        <w:t xml:space="preserve"> (“</w:t>
      </w:r>
      <w:r w:rsidR="00294EDA" w:rsidRPr="00294EDA">
        <w:rPr>
          <w:i/>
          <w:iCs/>
          <w:sz w:val="24"/>
          <w:szCs w:val="24"/>
        </w:rPr>
        <w:t>may not</w:t>
      </w:r>
      <w:r w:rsidR="00294EDA">
        <w:rPr>
          <w:sz w:val="24"/>
          <w:szCs w:val="24"/>
        </w:rPr>
        <w:t xml:space="preserve">”) and </w:t>
      </w:r>
      <w:r w:rsidR="007E77BB">
        <w:rPr>
          <w:sz w:val="24"/>
          <w:szCs w:val="24"/>
        </w:rPr>
        <w:t>the fact that a contravention of the Act constitutes a criminal offence, renders the business operations of MTI</w:t>
      </w:r>
      <w:r w:rsidR="00DD6047">
        <w:rPr>
          <w:sz w:val="24"/>
          <w:szCs w:val="24"/>
        </w:rPr>
        <w:t xml:space="preserve"> illegal and unlawful</w:t>
      </w:r>
      <w:r w:rsidR="000C4FCE">
        <w:rPr>
          <w:sz w:val="24"/>
          <w:szCs w:val="24"/>
        </w:rPr>
        <w:t xml:space="preserve"> over and above the </w:t>
      </w:r>
      <w:r w:rsidR="007A5BD6">
        <w:rPr>
          <w:sz w:val="24"/>
          <w:szCs w:val="24"/>
        </w:rPr>
        <w:t>fact that a pyr</w:t>
      </w:r>
      <w:r w:rsidR="007A5BD6" w:rsidRPr="004654DD">
        <w:rPr>
          <w:sz w:val="24"/>
          <w:szCs w:val="24"/>
        </w:rPr>
        <w:t xml:space="preserve">amid scheme is prohibited </w:t>
      </w:r>
      <w:r w:rsidR="008D70D4" w:rsidRPr="004654DD">
        <w:rPr>
          <w:sz w:val="24"/>
          <w:szCs w:val="24"/>
        </w:rPr>
        <w:t>in terms of s 43 of the CPA.</w:t>
      </w:r>
    </w:p>
    <w:p w14:paraId="7C64D880" w14:textId="77777777" w:rsidR="00E805A2" w:rsidRDefault="00E805A2" w:rsidP="003300DD">
      <w:pPr>
        <w:pStyle w:val="BodyText3"/>
        <w:spacing w:after="240" w:line="480" w:lineRule="auto"/>
        <w:rPr>
          <w:i/>
          <w:iCs/>
          <w:sz w:val="24"/>
          <w:szCs w:val="24"/>
          <w:u w:val="single"/>
        </w:rPr>
      </w:pPr>
      <w:r w:rsidRPr="00341F19">
        <w:rPr>
          <w:i/>
          <w:iCs/>
          <w:sz w:val="24"/>
          <w:szCs w:val="24"/>
          <w:u w:val="single"/>
        </w:rPr>
        <w:t xml:space="preserve">Declaring that MTI is factually insolvent and that dispositions </w:t>
      </w:r>
      <w:r>
        <w:rPr>
          <w:i/>
          <w:iCs/>
          <w:sz w:val="24"/>
          <w:szCs w:val="24"/>
          <w:u w:val="single"/>
        </w:rPr>
        <w:t xml:space="preserve">as </w:t>
      </w:r>
      <w:r w:rsidRPr="00341F19">
        <w:rPr>
          <w:i/>
          <w:iCs/>
          <w:sz w:val="24"/>
          <w:szCs w:val="24"/>
          <w:u w:val="single"/>
        </w:rPr>
        <w:t>contemplated in sections 26 and 29 of the Insolven</w:t>
      </w:r>
      <w:r>
        <w:rPr>
          <w:i/>
          <w:iCs/>
          <w:sz w:val="24"/>
          <w:szCs w:val="24"/>
          <w:u w:val="single"/>
        </w:rPr>
        <w:t>c</w:t>
      </w:r>
      <w:r w:rsidRPr="00341F19">
        <w:rPr>
          <w:i/>
          <w:iCs/>
          <w:sz w:val="24"/>
          <w:szCs w:val="24"/>
          <w:u w:val="single"/>
        </w:rPr>
        <w:t>y Act were made:</w:t>
      </w:r>
      <w:r>
        <w:rPr>
          <w:i/>
          <w:iCs/>
          <w:sz w:val="24"/>
          <w:szCs w:val="24"/>
          <w:u w:val="single"/>
        </w:rPr>
        <w:t xml:space="preserve"> </w:t>
      </w:r>
    </w:p>
    <w:p w14:paraId="252DD76C" w14:textId="4CA5B935" w:rsidR="00E805A2" w:rsidRPr="00E558E2" w:rsidRDefault="00560794" w:rsidP="00560794">
      <w:pPr>
        <w:pStyle w:val="BodyText3"/>
        <w:spacing w:after="240" w:line="480" w:lineRule="auto"/>
        <w:rPr>
          <w:sz w:val="24"/>
          <w:szCs w:val="24"/>
        </w:rPr>
      </w:pPr>
      <w:r w:rsidRPr="00E558E2">
        <w:rPr>
          <w:sz w:val="22"/>
          <w:szCs w:val="22"/>
        </w:rPr>
        <w:t>[121]</w:t>
      </w:r>
      <w:r w:rsidRPr="00E558E2">
        <w:rPr>
          <w:sz w:val="22"/>
          <w:szCs w:val="22"/>
        </w:rPr>
        <w:tab/>
      </w:r>
      <w:r w:rsidR="00E805A2" w:rsidRPr="00E558E2">
        <w:rPr>
          <w:sz w:val="24"/>
          <w:szCs w:val="24"/>
        </w:rPr>
        <w:t>Applicants contend that the factual insolvency of MTI is demonstrated</w:t>
      </w:r>
      <w:r w:rsidR="001D48D9" w:rsidRPr="00E558E2">
        <w:rPr>
          <w:sz w:val="24"/>
          <w:szCs w:val="24"/>
        </w:rPr>
        <w:t xml:space="preserve">, </w:t>
      </w:r>
      <w:r w:rsidR="001D48D9" w:rsidRPr="00E558E2">
        <w:rPr>
          <w:i/>
          <w:iCs/>
          <w:sz w:val="24"/>
          <w:szCs w:val="24"/>
        </w:rPr>
        <w:t>inter alia</w:t>
      </w:r>
      <w:r w:rsidR="001D48D9" w:rsidRPr="00E558E2">
        <w:rPr>
          <w:sz w:val="24"/>
          <w:szCs w:val="24"/>
        </w:rPr>
        <w:t xml:space="preserve">, </w:t>
      </w:r>
      <w:r w:rsidR="00E805A2" w:rsidRPr="00E558E2">
        <w:rPr>
          <w:sz w:val="24"/>
          <w:szCs w:val="24"/>
        </w:rPr>
        <w:t>by the fact that investors requested the withdrawal of 2 600 bitcoin in December 2020 but those withdrawals were not effected by MTI. Only 1280 bitcoin could be found by the liquidators</w:t>
      </w:r>
      <w:r w:rsidR="001D48D9" w:rsidRPr="00E558E2">
        <w:rPr>
          <w:sz w:val="24"/>
          <w:szCs w:val="24"/>
        </w:rPr>
        <w:t xml:space="preserve"> and </w:t>
      </w:r>
      <w:r w:rsidR="00EB59A6" w:rsidRPr="00E558E2">
        <w:rPr>
          <w:sz w:val="24"/>
          <w:szCs w:val="24"/>
        </w:rPr>
        <w:t xml:space="preserve">further </w:t>
      </w:r>
      <w:r w:rsidR="001D48D9" w:rsidRPr="00E558E2">
        <w:rPr>
          <w:sz w:val="24"/>
          <w:szCs w:val="24"/>
        </w:rPr>
        <w:t xml:space="preserve">that </w:t>
      </w:r>
      <w:r w:rsidR="00E805A2" w:rsidRPr="00E558E2">
        <w:rPr>
          <w:sz w:val="24"/>
          <w:szCs w:val="24"/>
        </w:rPr>
        <w:t>MTI’s back</w:t>
      </w:r>
      <w:r w:rsidR="00EB59A6" w:rsidRPr="00E558E2">
        <w:rPr>
          <w:sz w:val="24"/>
          <w:szCs w:val="24"/>
        </w:rPr>
        <w:t xml:space="preserve"> </w:t>
      </w:r>
      <w:r w:rsidR="00E805A2" w:rsidRPr="00E558E2">
        <w:rPr>
          <w:sz w:val="24"/>
          <w:szCs w:val="24"/>
        </w:rPr>
        <w:t>office database reflect</w:t>
      </w:r>
      <w:r w:rsidR="000A29DB" w:rsidRPr="00E558E2">
        <w:rPr>
          <w:sz w:val="24"/>
          <w:szCs w:val="24"/>
        </w:rPr>
        <w:t>s</w:t>
      </w:r>
      <w:r w:rsidR="00E805A2" w:rsidRPr="00E558E2">
        <w:rPr>
          <w:sz w:val="24"/>
          <w:szCs w:val="24"/>
        </w:rPr>
        <w:t xml:space="preserve"> the extent of MTI’s insolvency. </w:t>
      </w:r>
      <w:r w:rsidR="001D48D9" w:rsidRPr="00E558E2">
        <w:rPr>
          <w:sz w:val="24"/>
          <w:szCs w:val="24"/>
        </w:rPr>
        <w:t>In this regard the applicants rel</w:t>
      </w:r>
      <w:r w:rsidR="00420B73">
        <w:rPr>
          <w:sz w:val="24"/>
          <w:szCs w:val="24"/>
        </w:rPr>
        <w:t>y</w:t>
      </w:r>
      <w:r w:rsidR="001D48D9" w:rsidRPr="00E558E2">
        <w:rPr>
          <w:sz w:val="24"/>
          <w:szCs w:val="24"/>
        </w:rPr>
        <w:t xml:space="preserve"> on the</w:t>
      </w:r>
      <w:r w:rsidR="00025431" w:rsidRPr="00E558E2">
        <w:rPr>
          <w:sz w:val="24"/>
          <w:szCs w:val="24"/>
        </w:rPr>
        <w:t xml:space="preserve"> evidence of Stephenson and the </w:t>
      </w:r>
      <w:r w:rsidR="001D48D9" w:rsidRPr="00E558E2">
        <w:rPr>
          <w:sz w:val="24"/>
          <w:szCs w:val="24"/>
        </w:rPr>
        <w:t xml:space="preserve">investigation by </w:t>
      </w:r>
      <w:r w:rsidR="00420B73">
        <w:rPr>
          <w:sz w:val="24"/>
          <w:szCs w:val="24"/>
        </w:rPr>
        <w:t xml:space="preserve">Mr </w:t>
      </w:r>
      <w:r w:rsidR="001D48D9" w:rsidRPr="00E558E2">
        <w:rPr>
          <w:sz w:val="24"/>
          <w:szCs w:val="24"/>
        </w:rPr>
        <w:t>Pedersen</w:t>
      </w:r>
      <w:r w:rsidR="00420B73">
        <w:rPr>
          <w:sz w:val="24"/>
          <w:szCs w:val="24"/>
        </w:rPr>
        <w:t>,</w:t>
      </w:r>
      <w:r w:rsidR="00E558E2">
        <w:rPr>
          <w:sz w:val="24"/>
          <w:szCs w:val="24"/>
        </w:rPr>
        <w:t xml:space="preserve"> with r</w:t>
      </w:r>
      <w:r w:rsidR="00025431" w:rsidRPr="00E558E2">
        <w:rPr>
          <w:sz w:val="24"/>
          <w:szCs w:val="24"/>
        </w:rPr>
        <w:t xml:space="preserve">eference to the </w:t>
      </w:r>
      <w:r w:rsidR="00E558E2">
        <w:rPr>
          <w:sz w:val="24"/>
          <w:szCs w:val="24"/>
        </w:rPr>
        <w:t xml:space="preserve">Maxtra </w:t>
      </w:r>
      <w:r w:rsidR="00025431" w:rsidRPr="00E558E2">
        <w:rPr>
          <w:sz w:val="24"/>
          <w:szCs w:val="24"/>
        </w:rPr>
        <w:t>back office data</w:t>
      </w:r>
      <w:r w:rsidR="00E805A2" w:rsidRPr="00E558E2">
        <w:rPr>
          <w:sz w:val="24"/>
          <w:szCs w:val="24"/>
        </w:rPr>
        <w:t>.</w:t>
      </w:r>
    </w:p>
    <w:p w14:paraId="3991D595" w14:textId="676945C0" w:rsidR="00416D78" w:rsidRDefault="00560794" w:rsidP="00560794">
      <w:pPr>
        <w:pStyle w:val="BodyText3"/>
        <w:spacing w:after="240" w:line="480" w:lineRule="auto"/>
        <w:rPr>
          <w:sz w:val="24"/>
          <w:szCs w:val="24"/>
        </w:rPr>
      </w:pPr>
      <w:r>
        <w:rPr>
          <w:sz w:val="22"/>
          <w:szCs w:val="22"/>
        </w:rPr>
        <w:t>[122]</w:t>
      </w:r>
      <w:r>
        <w:rPr>
          <w:sz w:val="22"/>
          <w:szCs w:val="22"/>
        </w:rPr>
        <w:tab/>
      </w:r>
      <w:r w:rsidR="000A4E0E">
        <w:rPr>
          <w:sz w:val="24"/>
          <w:szCs w:val="24"/>
        </w:rPr>
        <w:t>According to Stephenson, MTI</w:t>
      </w:r>
      <w:r w:rsidR="00CB6189">
        <w:rPr>
          <w:sz w:val="24"/>
          <w:szCs w:val="24"/>
        </w:rPr>
        <w:t>, during the first period, h</w:t>
      </w:r>
      <w:r w:rsidR="00416D78" w:rsidRPr="00F9338C">
        <w:rPr>
          <w:sz w:val="24"/>
          <w:szCs w:val="24"/>
        </w:rPr>
        <w:t xml:space="preserve">ad a so-called MAM account with </w:t>
      </w:r>
      <w:r w:rsidR="00416D78">
        <w:rPr>
          <w:sz w:val="24"/>
          <w:szCs w:val="24"/>
        </w:rPr>
        <w:t xml:space="preserve">FXChoice </w:t>
      </w:r>
      <w:r w:rsidR="00416D78" w:rsidRPr="00F9338C">
        <w:rPr>
          <w:sz w:val="24"/>
          <w:szCs w:val="24"/>
        </w:rPr>
        <w:t xml:space="preserve">and a total of 50.95 bitcoin was deposited </w:t>
      </w:r>
      <w:r w:rsidR="00E558E2">
        <w:rPr>
          <w:sz w:val="24"/>
          <w:szCs w:val="24"/>
        </w:rPr>
        <w:t>in</w:t>
      </w:r>
      <w:r w:rsidR="00416D78" w:rsidRPr="00F9338C">
        <w:rPr>
          <w:sz w:val="24"/>
          <w:szCs w:val="24"/>
        </w:rPr>
        <w:t>to that account. MTI lost 22 bitcoin and clients withdrew what was left of their funds, bringing the activity on that account to a close. In 2020 MTI restarted with a new live count</w:t>
      </w:r>
      <w:r w:rsidR="00420B73">
        <w:rPr>
          <w:sz w:val="24"/>
          <w:szCs w:val="24"/>
        </w:rPr>
        <w:t xml:space="preserve">, </w:t>
      </w:r>
      <w:r w:rsidR="00416D78" w:rsidRPr="00F9338C">
        <w:rPr>
          <w:sz w:val="24"/>
          <w:szCs w:val="24"/>
        </w:rPr>
        <w:t>account 174850 and MTI advised that it was its funds that would be traded (this is in line with what Steynberg advised the FSCA, but contrary to what Marks stated under oath in his provisional opposing affidavit to the liquidation application).</w:t>
      </w:r>
    </w:p>
    <w:p w14:paraId="3D3189C8" w14:textId="77777777" w:rsidR="00202E32" w:rsidRDefault="00202E32" w:rsidP="00202E32">
      <w:pPr>
        <w:pStyle w:val="BodyText3"/>
        <w:spacing w:after="240" w:line="480" w:lineRule="auto"/>
        <w:rPr>
          <w:sz w:val="24"/>
          <w:szCs w:val="24"/>
        </w:rPr>
      </w:pPr>
    </w:p>
    <w:p w14:paraId="27FDEAAB" w14:textId="77777777" w:rsidR="00202E32" w:rsidRPr="00F9338C" w:rsidRDefault="00202E32" w:rsidP="00202E32">
      <w:pPr>
        <w:pStyle w:val="BodyText3"/>
        <w:spacing w:after="240" w:line="480" w:lineRule="auto"/>
        <w:rPr>
          <w:sz w:val="24"/>
          <w:szCs w:val="24"/>
        </w:rPr>
      </w:pPr>
    </w:p>
    <w:p w14:paraId="2ABB89F3" w14:textId="05173C19" w:rsidR="00416D78" w:rsidRPr="000E1DAE" w:rsidRDefault="00560794" w:rsidP="00560794">
      <w:pPr>
        <w:pStyle w:val="BodyText3"/>
        <w:spacing w:after="240" w:line="480" w:lineRule="auto"/>
        <w:rPr>
          <w:sz w:val="24"/>
          <w:szCs w:val="24"/>
        </w:rPr>
      </w:pPr>
      <w:r w:rsidRPr="000E1DAE">
        <w:rPr>
          <w:sz w:val="22"/>
          <w:szCs w:val="22"/>
        </w:rPr>
        <w:t>[123]</w:t>
      </w:r>
      <w:r w:rsidRPr="000E1DAE">
        <w:rPr>
          <w:sz w:val="22"/>
          <w:szCs w:val="22"/>
        </w:rPr>
        <w:tab/>
      </w:r>
      <w:r w:rsidR="00B715DC">
        <w:rPr>
          <w:sz w:val="24"/>
          <w:szCs w:val="24"/>
        </w:rPr>
        <w:t>C</w:t>
      </w:r>
      <w:r w:rsidR="00416D78" w:rsidRPr="000E1DAE">
        <w:rPr>
          <w:sz w:val="24"/>
          <w:szCs w:val="24"/>
        </w:rPr>
        <w:t xml:space="preserve">ontrary to what was stated by MTI to investors, </w:t>
      </w:r>
      <w:r w:rsidR="00B715DC">
        <w:rPr>
          <w:sz w:val="24"/>
          <w:szCs w:val="24"/>
        </w:rPr>
        <w:t xml:space="preserve">Stephenson states that </w:t>
      </w:r>
      <w:r w:rsidR="00416D78" w:rsidRPr="000E1DAE">
        <w:rPr>
          <w:sz w:val="24"/>
          <w:szCs w:val="24"/>
        </w:rPr>
        <w:t xml:space="preserve">MTI did not trade as alleged by Steynberg and </w:t>
      </w:r>
      <w:r w:rsidR="00B715DC">
        <w:rPr>
          <w:sz w:val="24"/>
          <w:szCs w:val="24"/>
        </w:rPr>
        <w:t xml:space="preserve">that </w:t>
      </w:r>
      <w:r w:rsidR="00416D78" w:rsidRPr="000E1DAE">
        <w:rPr>
          <w:sz w:val="24"/>
          <w:szCs w:val="24"/>
        </w:rPr>
        <w:t xml:space="preserve">during the second period, the limited trading that MTI did, was massively unsuccessful. FXChoice blocked trading on MTI’s live account as they came into possession of trade accounts provided by MTI to investors which were false statements </w:t>
      </w:r>
      <w:r w:rsidR="00BD264C">
        <w:rPr>
          <w:sz w:val="24"/>
          <w:szCs w:val="24"/>
        </w:rPr>
        <w:t xml:space="preserve">as it </w:t>
      </w:r>
      <w:r w:rsidR="00416D78" w:rsidRPr="000E1DAE">
        <w:rPr>
          <w:sz w:val="24"/>
          <w:szCs w:val="24"/>
        </w:rPr>
        <w:t xml:space="preserve">did not correlate with the live trades on the account of MTI. According </w:t>
      </w:r>
      <w:r w:rsidR="00255193">
        <w:rPr>
          <w:sz w:val="24"/>
          <w:szCs w:val="24"/>
        </w:rPr>
        <w:t xml:space="preserve">FXChoice, </w:t>
      </w:r>
      <w:r w:rsidR="00416D78" w:rsidRPr="000E1DAE">
        <w:rPr>
          <w:sz w:val="24"/>
          <w:szCs w:val="24"/>
        </w:rPr>
        <w:t>the investors were provided with manipulated winning demo trade statements. After blocking MTI’s account</w:t>
      </w:r>
      <w:r w:rsidR="00E558E2">
        <w:rPr>
          <w:sz w:val="24"/>
          <w:szCs w:val="24"/>
        </w:rPr>
        <w:t xml:space="preserve">, </w:t>
      </w:r>
      <w:r w:rsidR="00416D78" w:rsidRPr="000E1DAE">
        <w:rPr>
          <w:sz w:val="24"/>
          <w:szCs w:val="24"/>
        </w:rPr>
        <w:t>it was granted an opportunity to provide further documentation confirming the source of MTI’s funds and to explain the discrepancy between the live trades and the statements provided to MTI’s investors. MTI failed to do so.</w:t>
      </w:r>
    </w:p>
    <w:p w14:paraId="77A7FA6D" w14:textId="09791495" w:rsidR="00416D78" w:rsidRDefault="00560794" w:rsidP="00560794">
      <w:pPr>
        <w:pStyle w:val="BodyText3"/>
        <w:spacing w:after="240" w:line="480" w:lineRule="auto"/>
        <w:rPr>
          <w:sz w:val="24"/>
          <w:szCs w:val="24"/>
        </w:rPr>
      </w:pPr>
      <w:r>
        <w:rPr>
          <w:sz w:val="22"/>
          <w:szCs w:val="22"/>
        </w:rPr>
        <w:t>[124]</w:t>
      </w:r>
      <w:r>
        <w:rPr>
          <w:sz w:val="22"/>
          <w:szCs w:val="22"/>
        </w:rPr>
        <w:tab/>
      </w:r>
      <w:r w:rsidR="00416D78">
        <w:rPr>
          <w:sz w:val="24"/>
          <w:szCs w:val="24"/>
        </w:rPr>
        <w:t xml:space="preserve">On 13 July 2020, after the account was blocked, FXChoice received a withdrawal request of 280 bitcoin which was refused. MTI was again asked for audited financial statements which it failed to provide previously. On 7 August 2020 the account was marked as “fraud”. </w:t>
      </w:r>
    </w:p>
    <w:p w14:paraId="023F2EEC" w14:textId="0D582466" w:rsidR="00416D78" w:rsidRDefault="00560794" w:rsidP="00560794">
      <w:pPr>
        <w:pStyle w:val="BodyText3"/>
        <w:spacing w:after="240" w:line="480" w:lineRule="auto"/>
        <w:rPr>
          <w:sz w:val="24"/>
          <w:szCs w:val="24"/>
        </w:rPr>
      </w:pPr>
      <w:r>
        <w:rPr>
          <w:sz w:val="22"/>
          <w:szCs w:val="22"/>
        </w:rPr>
        <w:t>[125]</w:t>
      </w:r>
      <w:r>
        <w:rPr>
          <w:sz w:val="22"/>
          <w:szCs w:val="22"/>
        </w:rPr>
        <w:tab/>
      </w:r>
      <w:r w:rsidR="00416D78">
        <w:rPr>
          <w:sz w:val="24"/>
          <w:szCs w:val="24"/>
        </w:rPr>
        <w:t xml:space="preserve">According to </w:t>
      </w:r>
      <w:r w:rsidR="00CA6D13">
        <w:rPr>
          <w:sz w:val="24"/>
          <w:szCs w:val="24"/>
        </w:rPr>
        <w:t>th</w:t>
      </w:r>
      <w:r w:rsidR="00E558E2">
        <w:rPr>
          <w:sz w:val="24"/>
          <w:szCs w:val="24"/>
        </w:rPr>
        <w:t>e records of FXChoice</w:t>
      </w:r>
      <w:r w:rsidR="00CA6D13">
        <w:rPr>
          <w:sz w:val="24"/>
          <w:szCs w:val="24"/>
        </w:rPr>
        <w:t xml:space="preserve">, </w:t>
      </w:r>
      <w:r w:rsidR="00416D78" w:rsidRPr="00D60F69">
        <w:rPr>
          <w:sz w:val="24"/>
          <w:szCs w:val="24"/>
        </w:rPr>
        <w:t>MTI did not withdraw any funds in 2020 but deposited a total of 1,845,978,020.00 bit and lost 566,676,745.3 bit through trading</w:t>
      </w:r>
      <w:r w:rsidR="00416D78">
        <w:rPr>
          <w:sz w:val="24"/>
          <w:szCs w:val="24"/>
        </w:rPr>
        <w:t xml:space="preserve">. The </w:t>
      </w:r>
      <w:r w:rsidR="00416D78" w:rsidRPr="00D60F69">
        <w:rPr>
          <w:sz w:val="24"/>
          <w:szCs w:val="24"/>
        </w:rPr>
        <w:t>remaining balance of 1,280,045.63 bit was frozen and later converted by the applicants in the liquidation proceedings.</w:t>
      </w:r>
      <w:r w:rsidR="00416D78">
        <w:rPr>
          <w:sz w:val="24"/>
          <w:szCs w:val="24"/>
        </w:rPr>
        <w:t xml:space="preserve"> FXChoice was not involved in the third period on the available evidence.</w:t>
      </w:r>
      <w:r w:rsidR="00416D78" w:rsidRPr="00D60F69">
        <w:rPr>
          <w:sz w:val="24"/>
          <w:szCs w:val="24"/>
        </w:rPr>
        <w:t xml:space="preserve"> </w:t>
      </w:r>
    </w:p>
    <w:p w14:paraId="3753D6F9" w14:textId="55ED580F" w:rsidR="00F74402" w:rsidRDefault="00560794" w:rsidP="00560794">
      <w:pPr>
        <w:pStyle w:val="BodyText3"/>
        <w:spacing w:after="240" w:line="480" w:lineRule="auto"/>
        <w:rPr>
          <w:sz w:val="24"/>
          <w:szCs w:val="24"/>
        </w:rPr>
      </w:pPr>
      <w:r>
        <w:rPr>
          <w:sz w:val="22"/>
          <w:szCs w:val="22"/>
        </w:rPr>
        <w:t>[126]</w:t>
      </w:r>
      <w:r>
        <w:rPr>
          <w:sz w:val="22"/>
          <w:szCs w:val="22"/>
        </w:rPr>
        <w:tab/>
      </w:r>
      <w:r w:rsidR="00E558E2" w:rsidRPr="00E558E2">
        <w:rPr>
          <w:i/>
          <w:iCs/>
          <w:sz w:val="24"/>
          <w:szCs w:val="24"/>
        </w:rPr>
        <w:t>Prima facie</w:t>
      </w:r>
      <w:r w:rsidR="00E558E2">
        <w:rPr>
          <w:sz w:val="24"/>
          <w:szCs w:val="24"/>
        </w:rPr>
        <w:t xml:space="preserve">, the </w:t>
      </w:r>
      <w:r w:rsidR="0068260B">
        <w:rPr>
          <w:sz w:val="24"/>
          <w:szCs w:val="24"/>
        </w:rPr>
        <w:t xml:space="preserve">aforesaid </w:t>
      </w:r>
      <w:r w:rsidR="00F74402">
        <w:rPr>
          <w:sz w:val="24"/>
          <w:szCs w:val="24"/>
        </w:rPr>
        <w:t>evidence show</w:t>
      </w:r>
      <w:r w:rsidR="00420B73">
        <w:rPr>
          <w:sz w:val="24"/>
          <w:szCs w:val="24"/>
        </w:rPr>
        <w:t>s</w:t>
      </w:r>
      <w:r w:rsidR="00F74402">
        <w:rPr>
          <w:sz w:val="24"/>
          <w:szCs w:val="24"/>
        </w:rPr>
        <w:t xml:space="preserve"> that:</w:t>
      </w:r>
    </w:p>
    <w:p w14:paraId="58E73130" w14:textId="3CA9B764" w:rsidR="00416D78" w:rsidRDefault="00560794" w:rsidP="00560794">
      <w:pPr>
        <w:pStyle w:val="BodyText3"/>
        <w:spacing w:after="240" w:line="480" w:lineRule="auto"/>
        <w:ind w:left="1230" w:hanging="600"/>
        <w:rPr>
          <w:sz w:val="24"/>
          <w:szCs w:val="24"/>
        </w:rPr>
      </w:pPr>
      <w:r>
        <w:rPr>
          <w:sz w:val="24"/>
          <w:szCs w:val="24"/>
        </w:rPr>
        <w:t>126.1</w:t>
      </w:r>
      <w:r>
        <w:rPr>
          <w:sz w:val="24"/>
          <w:szCs w:val="24"/>
        </w:rPr>
        <w:tab/>
      </w:r>
      <w:r w:rsidR="00416D78">
        <w:rPr>
          <w:sz w:val="24"/>
          <w:szCs w:val="24"/>
        </w:rPr>
        <w:t xml:space="preserve">Contrary to the </w:t>
      </w:r>
      <w:r w:rsidR="00416D78" w:rsidRPr="002D3780">
        <w:rPr>
          <w:sz w:val="24"/>
          <w:szCs w:val="24"/>
        </w:rPr>
        <w:t>remarkable profits claimed by MT</w:t>
      </w:r>
      <w:r w:rsidR="00416D78">
        <w:rPr>
          <w:sz w:val="24"/>
          <w:szCs w:val="24"/>
        </w:rPr>
        <w:t>I</w:t>
      </w:r>
      <w:r w:rsidR="00416D78" w:rsidRPr="002D3780">
        <w:rPr>
          <w:sz w:val="24"/>
          <w:szCs w:val="24"/>
        </w:rPr>
        <w:t>, it traded at a loss whilst making use of FXChoice as a broker</w:t>
      </w:r>
      <w:r w:rsidR="00416D78">
        <w:rPr>
          <w:sz w:val="24"/>
          <w:szCs w:val="24"/>
        </w:rPr>
        <w:t xml:space="preserve"> and the nature of </w:t>
      </w:r>
      <w:r w:rsidR="00416D78" w:rsidRPr="002D3780">
        <w:rPr>
          <w:sz w:val="24"/>
          <w:szCs w:val="24"/>
        </w:rPr>
        <w:t xml:space="preserve">MTI’s </w:t>
      </w:r>
      <w:r w:rsidR="00416D78">
        <w:rPr>
          <w:sz w:val="24"/>
          <w:szCs w:val="24"/>
        </w:rPr>
        <w:t xml:space="preserve">business was CFD derivative </w:t>
      </w:r>
      <w:r w:rsidR="00416D78" w:rsidRPr="002D3780">
        <w:rPr>
          <w:sz w:val="24"/>
          <w:szCs w:val="24"/>
        </w:rPr>
        <w:t>trading</w:t>
      </w:r>
      <w:r w:rsidR="00416D78">
        <w:rPr>
          <w:sz w:val="24"/>
          <w:szCs w:val="24"/>
        </w:rPr>
        <w:t>;</w:t>
      </w:r>
    </w:p>
    <w:p w14:paraId="1B5276D1" w14:textId="77777777" w:rsidR="00202E32" w:rsidRDefault="00202E32" w:rsidP="00202E32">
      <w:pPr>
        <w:pStyle w:val="BodyText3"/>
        <w:spacing w:after="240" w:line="480" w:lineRule="auto"/>
        <w:ind w:left="1230"/>
        <w:rPr>
          <w:sz w:val="24"/>
          <w:szCs w:val="24"/>
        </w:rPr>
      </w:pPr>
    </w:p>
    <w:p w14:paraId="3856D8A7" w14:textId="7F13FBA4" w:rsidR="00416D78" w:rsidRDefault="00560794" w:rsidP="00560794">
      <w:pPr>
        <w:pStyle w:val="BodyText3"/>
        <w:spacing w:after="240" w:line="480" w:lineRule="auto"/>
        <w:ind w:left="1230" w:hanging="600"/>
        <w:rPr>
          <w:sz w:val="24"/>
          <w:szCs w:val="24"/>
        </w:rPr>
      </w:pPr>
      <w:r>
        <w:rPr>
          <w:sz w:val="24"/>
          <w:szCs w:val="24"/>
        </w:rPr>
        <w:t>126.2</w:t>
      </w:r>
      <w:r>
        <w:rPr>
          <w:sz w:val="24"/>
          <w:szCs w:val="24"/>
        </w:rPr>
        <w:tab/>
      </w:r>
      <w:r w:rsidR="00416D78" w:rsidRPr="00E558E2">
        <w:rPr>
          <w:sz w:val="24"/>
          <w:szCs w:val="24"/>
        </w:rPr>
        <w:t xml:space="preserve">Only a very limited amount of bitcoin was deposited in 2020 </w:t>
      </w:r>
      <w:r w:rsidR="00420B73">
        <w:rPr>
          <w:sz w:val="24"/>
          <w:szCs w:val="24"/>
        </w:rPr>
        <w:t xml:space="preserve">at FXChoice </w:t>
      </w:r>
      <w:r w:rsidR="00416D78" w:rsidRPr="00E558E2">
        <w:rPr>
          <w:sz w:val="24"/>
          <w:szCs w:val="24"/>
        </w:rPr>
        <w:t>and nothing was withdrawn;</w:t>
      </w:r>
    </w:p>
    <w:p w14:paraId="76C24CD1" w14:textId="7B04B801" w:rsidR="00416D78" w:rsidRPr="00E558E2" w:rsidRDefault="00560794" w:rsidP="00560794">
      <w:pPr>
        <w:pStyle w:val="BodyText3"/>
        <w:spacing w:after="240" w:line="480" w:lineRule="auto"/>
        <w:ind w:left="1230" w:hanging="600"/>
        <w:rPr>
          <w:sz w:val="24"/>
          <w:szCs w:val="24"/>
        </w:rPr>
      </w:pPr>
      <w:r w:rsidRPr="00E558E2">
        <w:rPr>
          <w:sz w:val="24"/>
          <w:szCs w:val="24"/>
        </w:rPr>
        <w:t>126.3</w:t>
      </w:r>
      <w:r w:rsidRPr="00E558E2">
        <w:rPr>
          <w:sz w:val="24"/>
          <w:szCs w:val="24"/>
        </w:rPr>
        <w:tab/>
      </w:r>
      <w:r w:rsidR="00416D78" w:rsidRPr="00E558E2">
        <w:rPr>
          <w:sz w:val="24"/>
          <w:szCs w:val="24"/>
        </w:rPr>
        <w:t>No bitcoin was transferred from the only live account in the name of MTI, or the individual accounts held in the name of Steynberg, to a broker called Trade 300 during 2020</w:t>
      </w:r>
      <w:r w:rsidR="00420B73">
        <w:rPr>
          <w:sz w:val="24"/>
          <w:szCs w:val="24"/>
        </w:rPr>
        <w:t xml:space="preserve"> from FXChoice.</w:t>
      </w:r>
    </w:p>
    <w:p w14:paraId="042CC4A6" w14:textId="25459F80" w:rsidR="00420B73" w:rsidRDefault="00560794" w:rsidP="00560794">
      <w:pPr>
        <w:pStyle w:val="BodyText3"/>
        <w:spacing w:after="240" w:line="480" w:lineRule="auto"/>
        <w:rPr>
          <w:sz w:val="24"/>
          <w:szCs w:val="24"/>
        </w:rPr>
      </w:pPr>
      <w:r>
        <w:rPr>
          <w:sz w:val="22"/>
          <w:szCs w:val="22"/>
        </w:rPr>
        <w:t>[127]</w:t>
      </w:r>
      <w:r>
        <w:rPr>
          <w:sz w:val="22"/>
          <w:szCs w:val="22"/>
        </w:rPr>
        <w:tab/>
      </w:r>
      <w:r w:rsidR="00E805A2" w:rsidRPr="00E558E2">
        <w:rPr>
          <w:sz w:val="24"/>
          <w:szCs w:val="24"/>
        </w:rPr>
        <w:t xml:space="preserve">Mr Pedersen, a forensic cybercrime investigator, </w:t>
      </w:r>
      <w:r w:rsidR="00E558E2" w:rsidRPr="00E558E2">
        <w:rPr>
          <w:sz w:val="24"/>
          <w:szCs w:val="24"/>
        </w:rPr>
        <w:t>instructed by the applicants</w:t>
      </w:r>
      <w:r w:rsidR="00420B73">
        <w:rPr>
          <w:sz w:val="24"/>
          <w:szCs w:val="24"/>
        </w:rPr>
        <w:t xml:space="preserve">, </w:t>
      </w:r>
      <w:r w:rsidR="00E558E2" w:rsidRPr="00E558E2">
        <w:rPr>
          <w:sz w:val="24"/>
          <w:szCs w:val="24"/>
        </w:rPr>
        <w:t xml:space="preserve">states that </w:t>
      </w:r>
      <w:r w:rsidR="00E805A2" w:rsidRPr="00E558E2">
        <w:rPr>
          <w:sz w:val="24"/>
          <w:szCs w:val="24"/>
        </w:rPr>
        <w:t>in his expert opinion, as set out in his report of July 2020 (the “Tokyo report”), and based on the back-office data, it appear</w:t>
      </w:r>
      <w:r w:rsidR="00E558E2" w:rsidRPr="00E558E2">
        <w:rPr>
          <w:sz w:val="24"/>
          <w:szCs w:val="24"/>
        </w:rPr>
        <w:t>s</w:t>
      </w:r>
      <w:r w:rsidR="00E805A2" w:rsidRPr="00E558E2">
        <w:rPr>
          <w:sz w:val="24"/>
          <w:szCs w:val="24"/>
        </w:rPr>
        <w:t xml:space="preserve"> that MTI had approximately 200 000 investors (ignoring the duplicate and dormant accounts), but that it is difficult to determine the correct number with accuracy as the database does not reflect any particulars of wallets wherein bitcoin deposited by investors were held. He </w:t>
      </w:r>
      <w:r w:rsidR="00E558E2" w:rsidRPr="00E558E2">
        <w:rPr>
          <w:sz w:val="24"/>
          <w:szCs w:val="24"/>
        </w:rPr>
        <w:t xml:space="preserve">further states that as July 2020, MTI should have had a balance of 10 866.87 bitcoin (this equates to R 2.1 billion at that time), which cannot be found. </w:t>
      </w:r>
    </w:p>
    <w:p w14:paraId="2BCD81C0" w14:textId="5817D4A5" w:rsidR="00E805A2" w:rsidRPr="00202E32" w:rsidRDefault="00560794" w:rsidP="00560794">
      <w:pPr>
        <w:pStyle w:val="BodyText3"/>
        <w:spacing w:after="240" w:line="480" w:lineRule="auto"/>
        <w:rPr>
          <w:sz w:val="24"/>
          <w:szCs w:val="24"/>
        </w:rPr>
      </w:pPr>
      <w:r w:rsidRPr="00202E32">
        <w:rPr>
          <w:sz w:val="22"/>
          <w:szCs w:val="22"/>
        </w:rPr>
        <w:t>[128]</w:t>
      </w:r>
      <w:r w:rsidRPr="00202E32">
        <w:rPr>
          <w:sz w:val="22"/>
          <w:szCs w:val="22"/>
        </w:rPr>
        <w:tab/>
      </w:r>
      <w:r w:rsidR="00420B73">
        <w:rPr>
          <w:sz w:val="24"/>
          <w:szCs w:val="24"/>
        </w:rPr>
        <w:t xml:space="preserve">Mr </w:t>
      </w:r>
      <w:r w:rsidR="00E558E2" w:rsidRPr="00E558E2">
        <w:rPr>
          <w:sz w:val="24"/>
          <w:szCs w:val="24"/>
        </w:rPr>
        <w:t xml:space="preserve">Pederson however </w:t>
      </w:r>
      <w:r w:rsidR="00C21791" w:rsidRPr="00E558E2">
        <w:rPr>
          <w:sz w:val="24"/>
          <w:szCs w:val="24"/>
        </w:rPr>
        <w:t>qual</w:t>
      </w:r>
      <w:r w:rsidR="00E805A2" w:rsidRPr="00E558E2">
        <w:rPr>
          <w:sz w:val="24"/>
          <w:szCs w:val="24"/>
        </w:rPr>
        <w:t>ified his findings by stating that: “</w:t>
      </w:r>
      <w:r w:rsidR="00E805A2" w:rsidRPr="00E558E2">
        <w:rPr>
          <w:sz w:val="22"/>
          <w:szCs w:val="22"/>
        </w:rPr>
        <w:t>The database is most likely incomplete in terms of full and comprehensive investment and withdrawal data. The first withdrawal data is notes as 2019-08-20 while the first deposit is on 2020/02/24. This would indicate a legacy system where perhaps date base been caried in from another database and older data is available. The database shows no indication of active trading in BTC via the database. It is common cause that withdrawals by members were a manual process performed off of the “MTI back-office” and that consequently there is no direct buy/se; data available to verify transactions. It is common cause that the database is a legacy system which has been worked on by a number of different parties at different period of time.”</w:t>
      </w:r>
    </w:p>
    <w:p w14:paraId="628C4E63" w14:textId="77777777" w:rsidR="00202E32" w:rsidRDefault="00202E32" w:rsidP="00202E32">
      <w:pPr>
        <w:pStyle w:val="BodyText3"/>
        <w:spacing w:after="240" w:line="480" w:lineRule="auto"/>
        <w:rPr>
          <w:sz w:val="22"/>
          <w:szCs w:val="22"/>
        </w:rPr>
      </w:pPr>
    </w:p>
    <w:p w14:paraId="3D4EA3D2" w14:textId="77777777" w:rsidR="00202E32" w:rsidRPr="00420B73" w:rsidRDefault="00202E32" w:rsidP="00202E32">
      <w:pPr>
        <w:pStyle w:val="BodyText3"/>
        <w:spacing w:after="240" w:line="480" w:lineRule="auto"/>
        <w:rPr>
          <w:sz w:val="24"/>
          <w:szCs w:val="24"/>
        </w:rPr>
      </w:pPr>
    </w:p>
    <w:p w14:paraId="7DA25601" w14:textId="3DCF630E" w:rsidR="00E805A2" w:rsidRDefault="00560794" w:rsidP="00560794">
      <w:pPr>
        <w:pStyle w:val="BodyText3"/>
        <w:spacing w:after="240" w:line="480" w:lineRule="auto"/>
        <w:rPr>
          <w:sz w:val="24"/>
          <w:szCs w:val="24"/>
        </w:rPr>
      </w:pPr>
      <w:r>
        <w:rPr>
          <w:sz w:val="22"/>
          <w:szCs w:val="22"/>
        </w:rPr>
        <w:lastRenderedPageBreak/>
        <w:t>[129]</w:t>
      </w:r>
      <w:r>
        <w:rPr>
          <w:sz w:val="22"/>
          <w:szCs w:val="22"/>
        </w:rPr>
        <w:tab/>
      </w:r>
      <w:r w:rsidR="00E805A2" w:rsidRPr="00420B73">
        <w:rPr>
          <w:sz w:val="24"/>
          <w:szCs w:val="24"/>
        </w:rPr>
        <w:t xml:space="preserve">Mr Gooden, another expert employed by the applicants, </w:t>
      </w:r>
      <w:r w:rsidR="00E558E2" w:rsidRPr="00420B73">
        <w:rPr>
          <w:sz w:val="24"/>
          <w:szCs w:val="24"/>
        </w:rPr>
        <w:t xml:space="preserve">states </w:t>
      </w:r>
      <w:r w:rsidR="00E805A2" w:rsidRPr="00420B73">
        <w:rPr>
          <w:sz w:val="24"/>
          <w:szCs w:val="24"/>
        </w:rPr>
        <w:t>that he was asked to investigate whether it is possible to manipulate FXChoice and MetaTrader 4 (“MT4”) software in order for a pro-demo account to appear as if</w:t>
      </w:r>
      <w:r w:rsidR="00C21791" w:rsidRPr="00420B73">
        <w:rPr>
          <w:sz w:val="24"/>
          <w:szCs w:val="24"/>
        </w:rPr>
        <w:t xml:space="preserve"> it was a </w:t>
      </w:r>
      <w:r w:rsidR="00E805A2" w:rsidRPr="00420B73">
        <w:rPr>
          <w:sz w:val="24"/>
          <w:szCs w:val="24"/>
        </w:rPr>
        <w:t xml:space="preserve">pro-live account. He found that it can easily be manipulated and that daily trade statements can easily be fabricated.  </w:t>
      </w:r>
    </w:p>
    <w:p w14:paraId="57CA6756" w14:textId="194D1946" w:rsidR="00E805A2" w:rsidRDefault="00560794" w:rsidP="00560794">
      <w:pPr>
        <w:pStyle w:val="BodyText3"/>
        <w:spacing w:after="240" w:line="480" w:lineRule="auto"/>
        <w:rPr>
          <w:sz w:val="24"/>
          <w:szCs w:val="24"/>
        </w:rPr>
      </w:pPr>
      <w:r>
        <w:rPr>
          <w:sz w:val="22"/>
          <w:szCs w:val="22"/>
        </w:rPr>
        <w:t>[130]</w:t>
      </w:r>
      <w:r>
        <w:rPr>
          <w:sz w:val="22"/>
          <w:szCs w:val="22"/>
        </w:rPr>
        <w:tab/>
      </w:r>
      <w:r w:rsidR="00E805A2" w:rsidRPr="00420B73">
        <w:rPr>
          <w:sz w:val="24"/>
          <w:szCs w:val="24"/>
        </w:rPr>
        <w:t>Marks</w:t>
      </w:r>
      <w:r w:rsidR="00E558E2" w:rsidRPr="00420B73">
        <w:rPr>
          <w:sz w:val="24"/>
          <w:szCs w:val="24"/>
        </w:rPr>
        <w:t>,</w:t>
      </w:r>
      <w:r w:rsidR="00E805A2" w:rsidRPr="00420B73">
        <w:rPr>
          <w:sz w:val="24"/>
          <w:szCs w:val="24"/>
        </w:rPr>
        <w:t xml:space="preserve"> on the other hand</w:t>
      </w:r>
      <w:r w:rsidR="00E558E2" w:rsidRPr="00420B73">
        <w:rPr>
          <w:sz w:val="24"/>
          <w:szCs w:val="24"/>
        </w:rPr>
        <w:t>,</w:t>
      </w:r>
      <w:r w:rsidR="00E805A2" w:rsidRPr="00420B73">
        <w:rPr>
          <w:sz w:val="24"/>
          <w:szCs w:val="24"/>
        </w:rPr>
        <w:t xml:space="preserve"> filed </w:t>
      </w:r>
      <w:r w:rsidR="002466FE" w:rsidRPr="00420B73">
        <w:rPr>
          <w:sz w:val="24"/>
          <w:szCs w:val="24"/>
        </w:rPr>
        <w:t xml:space="preserve">an </w:t>
      </w:r>
      <w:r w:rsidR="00E805A2" w:rsidRPr="00420B73">
        <w:rPr>
          <w:sz w:val="24"/>
          <w:szCs w:val="24"/>
        </w:rPr>
        <w:t>expert report by Mr Liam Timm, a cyber security consultant</w:t>
      </w:r>
      <w:r w:rsidR="00E558E2" w:rsidRPr="00420B73">
        <w:rPr>
          <w:sz w:val="24"/>
          <w:szCs w:val="24"/>
        </w:rPr>
        <w:t xml:space="preserve">, who states that in his expert opinion, </w:t>
      </w:r>
      <w:r w:rsidR="00E805A2" w:rsidRPr="00420B73">
        <w:rPr>
          <w:sz w:val="24"/>
          <w:szCs w:val="24"/>
        </w:rPr>
        <w:t>the back</w:t>
      </w:r>
      <w:r w:rsidR="00E558E2" w:rsidRPr="00420B73">
        <w:rPr>
          <w:sz w:val="24"/>
          <w:szCs w:val="24"/>
        </w:rPr>
        <w:t xml:space="preserve"> </w:t>
      </w:r>
      <w:r w:rsidR="00E805A2" w:rsidRPr="00420B73">
        <w:rPr>
          <w:sz w:val="24"/>
          <w:szCs w:val="24"/>
        </w:rPr>
        <w:t xml:space="preserve">office data was obfuscated and the database of MTI was incomplete. It is according to him therefore impossible to validate the integrity of trade data. He </w:t>
      </w:r>
      <w:r w:rsidR="00DC120C" w:rsidRPr="00420B73">
        <w:rPr>
          <w:sz w:val="24"/>
          <w:szCs w:val="24"/>
        </w:rPr>
        <w:t xml:space="preserve">further states that he was </w:t>
      </w:r>
      <w:r w:rsidR="00E805A2" w:rsidRPr="00420B73">
        <w:rPr>
          <w:sz w:val="24"/>
          <w:szCs w:val="24"/>
        </w:rPr>
        <w:t>placed in possession of selected videos of demo trades shown to investors, Muller and Haasbroek, and was of the view that there was live trading</w:t>
      </w:r>
      <w:r w:rsidR="00E558E2" w:rsidRPr="00420B73">
        <w:rPr>
          <w:sz w:val="24"/>
          <w:szCs w:val="24"/>
        </w:rPr>
        <w:t>, contrary to what is stated by FXChoice</w:t>
      </w:r>
      <w:r w:rsidR="00E805A2" w:rsidRPr="00420B73">
        <w:rPr>
          <w:sz w:val="24"/>
          <w:szCs w:val="24"/>
        </w:rPr>
        <w:t xml:space="preserve">. </w:t>
      </w:r>
    </w:p>
    <w:p w14:paraId="51DD8611" w14:textId="1B835B2A" w:rsidR="0000380E" w:rsidRDefault="00560794" w:rsidP="00560794">
      <w:pPr>
        <w:pStyle w:val="BodyText3"/>
        <w:spacing w:after="240" w:line="480" w:lineRule="auto"/>
        <w:rPr>
          <w:sz w:val="24"/>
          <w:szCs w:val="24"/>
        </w:rPr>
      </w:pPr>
      <w:r>
        <w:rPr>
          <w:sz w:val="22"/>
          <w:szCs w:val="22"/>
        </w:rPr>
        <w:t>[131]</w:t>
      </w:r>
      <w:r>
        <w:rPr>
          <w:sz w:val="22"/>
          <w:szCs w:val="22"/>
        </w:rPr>
        <w:tab/>
      </w:r>
      <w:r w:rsidR="00E805A2" w:rsidRPr="00420B73">
        <w:rPr>
          <w:sz w:val="24"/>
          <w:szCs w:val="24"/>
        </w:rPr>
        <w:t>Marks also fil</w:t>
      </w:r>
      <w:r w:rsidR="00903C10" w:rsidRPr="00420B73">
        <w:rPr>
          <w:sz w:val="24"/>
          <w:szCs w:val="24"/>
        </w:rPr>
        <w:t>ed</w:t>
      </w:r>
      <w:r w:rsidR="00E805A2" w:rsidRPr="00420B73">
        <w:rPr>
          <w:sz w:val="24"/>
          <w:szCs w:val="24"/>
        </w:rPr>
        <w:t xml:space="preserve"> an affidavit by </w:t>
      </w:r>
      <w:r w:rsidR="00903C10" w:rsidRPr="00420B73">
        <w:rPr>
          <w:sz w:val="24"/>
          <w:szCs w:val="24"/>
        </w:rPr>
        <w:t xml:space="preserve">a </w:t>
      </w:r>
      <w:r w:rsidR="00E805A2" w:rsidRPr="00420B73">
        <w:rPr>
          <w:sz w:val="24"/>
          <w:szCs w:val="24"/>
        </w:rPr>
        <w:t xml:space="preserve">Mr Stone, </w:t>
      </w:r>
      <w:r w:rsidR="00903C10" w:rsidRPr="00420B73">
        <w:rPr>
          <w:sz w:val="24"/>
          <w:szCs w:val="24"/>
        </w:rPr>
        <w:t>who scrutinised on day’s trading history of MTI, 29 June 2020, on an account history report, and concluded therefrom</w:t>
      </w:r>
      <w:r w:rsidR="00E558E2" w:rsidRPr="00420B73">
        <w:rPr>
          <w:sz w:val="24"/>
          <w:szCs w:val="24"/>
        </w:rPr>
        <w:t xml:space="preserve">, </w:t>
      </w:r>
      <w:r w:rsidR="00903C10" w:rsidRPr="00420B73">
        <w:rPr>
          <w:sz w:val="24"/>
          <w:szCs w:val="24"/>
        </w:rPr>
        <w:t>that in his opinion MTI traded and that the statements in respect of that day were not</w:t>
      </w:r>
      <w:r w:rsidR="00420B73">
        <w:rPr>
          <w:sz w:val="24"/>
          <w:szCs w:val="24"/>
        </w:rPr>
        <w:t xml:space="preserve"> </w:t>
      </w:r>
      <w:r w:rsidR="00903C10" w:rsidRPr="00420B73">
        <w:rPr>
          <w:sz w:val="24"/>
          <w:szCs w:val="24"/>
        </w:rPr>
        <w:t xml:space="preserve">fictious nor fabricated. Contrary to this Steynberg’s evidence, </w:t>
      </w:r>
      <w:r w:rsidR="0000380E" w:rsidRPr="00420B73">
        <w:rPr>
          <w:sz w:val="24"/>
          <w:szCs w:val="24"/>
        </w:rPr>
        <w:t xml:space="preserve">which was confirmed by Stephenson, was that since </w:t>
      </w:r>
      <w:r w:rsidR="00E805A2" w:rsidRPr="00420B73">
        <w:rPr>
          <w:sz w:val="24"/>
          <w:szCs w:val="24"/>
        </w:rPr>
        <w:t>10 June 2020</w:t>
      </w:r>
      <w:r w:rsidR="0000380E" w:rsidRPr="00420B73">
        <w:rPr>
          <w:sz w:val="24"/>
          <w:szCs w:val="24"/>
        </w:rPr>
        <w:t>, he did not trade on the MTI account at FXChoice.</w:t>
      </w:r>
    </w:p>
    <w:p w14:paraId="2E829AA7" w14:textId="7B0C220E" w:rsidR="00D93D51" w:rsidRDefault="00560794" w:rsidP="00560794">
      <w:pPr>
        <w:pStyle w:val="BodyText3"/>
        <w:spacing w:after="240" w:line="480" w:lineRule="auto"/>
        <w:rPr>
          <w:sz w:val="24"/>
          <w:szCs w:val="24"/>
        </w:rPr>
      </w:pPr>
      <w:r>
        <w:rPr>
          <w:sz w:val="22"/>
          <w:szCs w:val="22"/>
        </w:rPr>
        <w:t>[132]</w:t>
      </w:r>
      <w:r>
        <w:rPr>
          <w:sz w:val="22"/>
          <w:szCs w:val="22"/>
        </w:rPr>
        <w:tab/>
      </w:r>
      <w:r w:rsidR="00D93D51" w:rsidRPr="00420B73">
        <w:rPr>
          <w:sz w:val="24"/>
          <w:szCs w:val="24"/>
        </w:rPr>
        <w:t xml:space="preserve">The findings in the </w:t>
      </w:r>
      <w:r w:rsidR="00E558E2" w:rsidRPr="00420B73">
        <w:rPr>
          <w:sz w:val="24"/>
          <w:szCs w:val="24"/>
        </w:rPr>
        <w:t>FSCA report</w:t>
      </w:r>
      <w:r w:rsidR="00D93D51" w:rsidRPr="00420B73">
        <w:rPr>
          <w:sz w:val="24"/>
          <w:szCs w:val="24"/>
        </w:rPr>
        <w:t xml:space="preserve"> confirms that </w:t>
      </w:r>
      <w:r w:rsidR="00E558E2" w:rsidRPr="00420B73">
        <w:rPr>
          <w:sz w:val="24"/>
          <w:szCs w:val="24"/>
        </w:rPr>
        <w:t xml:space="preserve">trading </w:t>
      </w:r>
      <w:r w:rsidR="00D93D51" w:rsidRPr="00420B73">
        <w:rPr>
          <w:sz w:val="24"/>
          <w:szCs w:val="24"/>
        </w:rPr>
        <w:t xml:space="preserve">did take place in </w:t>
      </w:r>
      <w:r w:rsidR="00E558E2" w:rsidRPr="00420B73">
        <w:rPr>
          <w:sz w:val="24"/>
          <w:szCs w:val="24"/>
        </w:rPr>
        <w:t xml:space="preserve">the first period and </w:t>
      </w:r>
      <w:r w:rsidR="00D93D51" w:rsidRPr="00420B73">
        <w:rPr>
          <w:sz w:val="24"/>
          <w:szCs w:val="24"/>
        </w:rPr>
        <w:t xml:space="preserve">that </w:t>
      </w:r>
      <w:r w:rsidR="00E558E2" w:rsidRPr="00420B73">
        <w:rPr>
          <w:sz w:val="24"/>
          <w:szCs w:val="24"/>
        </w:rPr>
        <w:t xml:space="preserve">limited trading </w:t>
      </w:r>
      <w:r w:rsidR="00D93D51" w:rsidRPr="00420B73">
        <w:rPr>
          <w:sz w:val="24"/>
          <w:szCs w:val="24"/>
        </w:rPr>
        <w:t xml:space="preserve">took place </w:t>
      </w:r>
      <w:r w:rsidR="00E558E2" w:rsidRPr="00420B73">
        <w:rPr>
          <w:sz w:val="24"/>
          <w:szCs w:val="24"/>
        </w:rPr>
        <w:t xml:space="preserve">during the second period. </w:t>
      </w:r>
    </w:p>
    <w:p w14:paraId="5D681385" w14:textId="1FFAFEC2" w:rsidR="00D93D51" w:rsidRDefault="00560794" w:rsidP="00560794">
      <w:pPr>
        <w:pStyle w:val="BodyText3"/>
        <w:spacing w:after="240" w:line="480" w:lineRule="auto"/>
        <w:rPr>
          <w:sz w:val="24"/>
          <w:szCs w:val="24"/>
        </w:rPr>
      </w:pPr>
      <w:r>
        <w:rPr>
          <w:sz w:val="22"/>
          <w:szCs w:val="22"/>
        </w:rPr>
        <w:t>[133]</w:t>
      </w:r>
      <w:r>
        <w:rPr>
          <w:sz w:val="22"/>
          <w:szCs w:val="22"/>
        </w:rPr>
        <w:tab/>
      </w:r>
      <w:r w:rsidR="00E805A2" w:rsidRPr="00420B73">
        <w:rPr>
          <w:sz w:val="24"/>
          <w:szCs w:val="24"/>
        </w:rPr>
        <w:t>It appear</w:t>
      </w:r>
      <w:r w:rsidR="00D93D51" w:rsidRPr="00420B73">
        <w:rPr>
          <w:sz w:val="24"/>
          <w:szCs w:val="24"/>
        </w:rPr>
        <w:t xml:space="preserve">s </w:t>
      </w:r>
      <w:r w:rsidR="00E805A2" w:rsidRPr="00420B73">
        <w:rPr>
          <w:sz w:val="24"/>
          <w:szCs w:val="24"/>
        </w:rPr>
        <w:t>that the implementation of the referral fee entitlement during April 2020</w:t>
      </w:r>
      <w:r w:rsidR="00D93D51" w:rsidRPr="00420B73">
        <w:rPr>
          <w:sz w:val="24"/>
          <w:szCs w:val="24"/>
        </w:rPr>
        <w:t>,</w:t>
      </w:r>
      <w:r w:rsidR="00E805A2" w:rsidRPr="00420B73">
        <w:rPr>
          <w:sz w:val="24"/>
          <w:szCs w:val="24"/>
        </w:rPr>
        <w:t xml:space="preserve"> as part of the investors benefits, </w:t>
      </w:r>
      <w:r w:rsidR="00D93D51" w:rsidRPr="00420B73">
        <w:rPr>
          <w:sz w:val="24"/>
          <w:szCs w:val="24"/>
        </w:rPr>
        <w:t xml:space="preserve">which </w:t>
      </w:r>
      <w:r w:rsidR="00E805A2" w:rsidRPr="00420B73">
        <w:rPr>
          <w:sz w:val="24"/>
          <w:szCs w:val="24"/>
        </w:rPr>
        <w:t>entitled founding members and certain investors to qualify for 10 % referral bonus</w:t>
      </w:r>
      <w:r w:rsidR="00D93D51" w:rsidRPr="00420B73">
        <w:rPr>
          <w:sz w:val="24"/>
          <w:szCs w:val="24"/>
        </w:rPr>
        <w:t xml:space="preserve">, </w:t>
      </w:r>
      <w:r w:rsidR="00E805A2" w:rsidRPr="00420B73">
        <w:rPr>
          <w:sz w:val="24"/>
          <w:szCs w:val="24"/>
        </w:rPr>
        <w:t xml:space="preserve">together with the unsustainable business of MTI, sunk the boat. </w:t>
      </w:r>
    </w:p>
    <w:p w14:paraId="7AA56980" w14:textId="1BA18F16" w:rsidR="00E805A2" w:rsidRDefault="00560794" w:rsidP="00560794">
      <w:pPr>
        <w:pStyle w:val="BodyText3"/>
        <w:spacing w:after="240" w:line="480" w:lineRule="auto"/>
        <w:rPr>
          <w:sz w:val="24"/>
          <w:szCs w:val="24"/>
        </w:rPr>
      </w:pPr>
      <w:r>
        <w:rPr>
          <w:sz w:val="22"/>
          <w:szCs w:val="22"/>
        </w:rPr>
        <w:lastRenderedPageBreak/>
        <w:t>[134]</w:t>
      </w:r>
      <w:r>
        <w:rPr>
          <w:sz w:val="22"/>
          <w:szCs w:val="22"/>
        </w:rPr>
        <w:tab/>
      </w:r>
      <w:r w:rsidR="00D93D51" w:rsidRPr="00420B73">
        <w:rPr>
          <w:sz w:val="24"/>
          <w:szCs w:val="24"/>
        </w:rPr>
        <w:t>Unlike the factual situation in Fourie NO (</w:t>
      </w:r>
      <w:r w:rsidR="00D93D51" w:rsidRPr="00420B73">
        <w:rPr>
          <w:i/>
          <w:iCs/>
          <w:sz w:val="24"/>
          <w:szCs w:val="24"/>
        </w:rPr>
        <w:t>supra</w:t>
      </w:r>
      <w:r w:rsidR="00D93D51" w:rsidRPr="00420B73">
        <w:rPr>
          <w:sz w:val="24"/>
          <w:szCs w:val="24"/>
        </w:rPr>
        <w:t>), it is disputed, for purposes of this application for declaratory relief, that MTI was all at material times, or from a specific date, insolvent in that its liabilities exceeded its assets. Rather, it is alleged that trading in fact occurred, that profits were made and that the volume thereof cannot be determined as the available data is incomplete.</w:t>
      </w:r>
      <w:r w:rsidR="00670EBC" w:rsidRPr="00420B73">
        <w:rPr>
          <w:sz w:val="24"/>
          <w:szCs w:val="24"/>
        </w:rPr>
        <w:t xml:space="preserve"> Further to this, and again unlike the situation in Fourie NO (</w:t>
      </w:r>
      <w:r w:rsidR="00670EBC" w:rsidRPr="00420B73">
        <w:rPr>
          <w:i/>
          <w:iCs/>
          <w:sz w:val="24"/>
          <w:szCs w:val="24"/>
        </w:rPr>
        <w:t>supra)</w:t>
      </w:r>
      <w:r w:rsidR="00670EBC" w:rsidRPr="00420B73">
        <w:rPr>
          <w:sz w:val="24"/>
          <w:szCs w:val="24"/>
        </w:rPr>
        <w:t xml:space="preserve">, </w:t>
      </w:r>
      <w:r w:rsidR="00E805A2" w:rsidRPr="00420B73">
        <w:rPr>
          <w:sz w:val="24"/>
          <w:szCs w:val="24"/>
        </w:rPr>
        <w:t>MTI may, depending on the claim(s) that each and every investor may have had at a specific time, have had sufficient underlying assets or investments at times</w:t>
      </w:r>
      <w:r w:rsidR="00C21791" w:rsidRPr="00420B73">
        <w:rPr>
          <w:sz w:val="24"/>
          <w:szCs w:val="24"/>
        </w:rPr>
        <w:t>,</w:t>
      </w:r>
      <w:r w:rsidR="00E805A2" w:rsidRPr="00420B73">
        <w:rPr>
          <w:sz w:val="24"/>
          <w:szCs w:val="24"/>
        </w:rPr>
        <w:t xml:space="preserve"> given the initial exponential growth in the value of bitcoin</w:t>
      </w:r>
      <w:r w:rsidR="001A49B8" w:rsidRPr="00420B73">
        <w:rPr>
          <w:sz w:val="24"/>
          <w:szCs w:val="24"/>
        </w:rPr>
        <w:t xml:space="preserve"> and its volatile nature</w:t>
      </w:r>
      <w:r w:rsidR="00E805A2" w:rsidRPr="00420B73">
        <w:rPr>
          <w:sz w:val="24"/>
          <w:szCs w:val="24"/>
        </w:rPr>
        <w:t>.</w:t>
      </w:r>
    </w:p>
    <w:p w14:paraId="78D0BCF7" w14:textId="53FFE92F" w:rsidR="00E805A2" w:rsidRDefault="00560794" w:rsidP="00560794">
      <w:pPr>
        <w:pStyle w:val="BodyText3"/>
        <w:spacing w:after="240" w:line="480" w:lineRule="auto"/>
        <w:rPr>
          <w:sz w:val="24"/>
          <w:szCs w:val="24"/>
        </w:rPr>
      </w:pPr>
      <w:r>
        <w:rPr>
          <w:sz w:val="22"/>
          <w:szCs w:val="22"/>
        </w:rPr>
        <w:t>[135]</w:t>
      </w:r>
      <w:r>
        <w:rPr>
          <w:sz w:val="22"/>
          <w:szCs w:val="22"/>
        </w:rPr>
        <w:tab/>
      </w:r>
      <w:r w:rsidR="00E805A2" w:rsidRPr="00420B73">
        <w:rPr>
          <w:sz w:val="24"/>
          <w:szCs w:val="24"/>
        </w:rPr>
        <w:t>A further distinguishing fact is that in Fourie N</w:t>
      </w:r>
      <w:r w:rsidR="00C21791" w:rsidRPr="00420B73">
        <w:rPr>
          <w:sz w:val="24"/>
          <w:szCs w:val="24"/>
        </w:rPr>
        <w:t>O (</w:t>
      </w:r>
      <w:r w:rsidR="00C21791" w:rsidRPr="00420B73">
        <w:rPr>
          <w:i/>
          <w:iCs/>
          <w:sz w:val="24"/>
          <w:szCs w:val="24"/>
        </w:rPr>
        <w:t>supra)</w:t>
      </w:r>
      <w:r w:rsidR="00E805A2" w:rsidRPr="00420B73">
        <w:rPr>
          <w:sz w:val="24"/>
          <w:szCs w:val="24"/>
        </w:rPr>
        <w:t xml:space="preserve"> all the investors were innocent and unaware of the fact that the scheme was illegal. In the present matter </w:t>
      </w:r>
      <w:r w:rsidR="00670EBC" w:rsidRPr="00420B73">
        <w:rPr>
          <w:sz w:val="24"/>
          <w:szCs w:val="24"/>
        </w:rPr>
        <w:t xml:space="preserve">it appears that </w:t>
      </w:r>
      <w:r w:rsidR="00E805A2" w:rsidRPr="00420B73">
        <w:rPr>
          <w:sz w:val="24"/>
          <w:szCs w:val="24"/>
        </w:rPr>
        <w:t>some investors conducted their own illegal schemes within the MTI scheme. Investors who knew that the MTI scheme was illegal would not have claims based upon enrichment against MTI</w:t>
      </w:r>
      <w:r w:rsidR="00670EBC" w:rsidRPr="00420B73">
        <w:rPr>
          <w:sz w:val="24"/>
          <w:szCs w:val="24"/>
        </w:rPr>
        <w:t xml:space="preserve">, </w:t>
      </w:r>
      <w:r w:rsidR="00E805A2" w:rsidRPr="00420B73">
        <w:rPr>
          <w:sz w:val="24"/>
          <w:szCs w:val="24"/>
        </w:rPr>
        <w:t>which would have a mater</w:t>
      </w:r>
      <w:r w:rsidR="00C21791" w:rsidRPr="00420B73">
        <w:rPr>
          <w:sz w:val="24"/>
          <w:szCs w:val="24"/>
        </w:rPr>
        <w:t>i</w:t>
      </w:r>
      <w:r w:rsidR="00E805A2" w:rsidRPr="00420B73">
        <w:rPr>
          <w:sz w:val="24"/>
          <w:szCs w:val="24"/>
        </w:rPr>
        <w:t>al effect on the nature and extent of the liabilities of MTI.</w:t>
      </w:r>
    </w:p>
    <w:p w14:paraId="22CDC045" w14:textId="4C5E2D62" w:rsidR="00420B73" w:rsidRDefault="00560794" w:rsidP="00560794">
      <w:pPr>
        <w:pStyle w:val="BodyText3"/>
        <w:spacing w:after="240" w:line="480" w:lineRule="auto"/>
        <w:rPr>
          <w:sz w:val="24"/>
          <w:szCs w:val="24"/>
        </w:rPr>
      </w:pPr>
      <w:r>
        <w:rPr>
          <w:sz w:val="22"/>
          <w:szCs w:val="22"/>
        </w:rPr>
        <w:t>[136]</w:t>
      </w:r>
      <w:r>
        <w:rPr>
          <w:sz w:val="22"/>
          <w:szCs w:val="22"/>
        </w:rPr>
        <w:tab/>
      </w:r>
      <w:r w:rsidR="00E558E2" w:rsidRPr="00420B73">
        <w:rPr>
          <w:sz w:val="24"/>
          <w:szCs w:val="24"/>
        </w:rPr>
        <w:t xml:space="preserve">Whilst in my view there can be no material dispute as to whether the business of MTI was illegal, unlawful and fraudulent and that upon such finding it follows that that the agreements between investors and the scheme must be void </w:t>
      </w:r>
      <w:r w:rsidR="00E558E2" w:rsidRPr="00420B73">
        <w:rPr>
          <w:i/>
          <w:iCs/>
          <w:sz w:val="24"/>
          <w:szCs w:val="24"/>
        </w:rPr>
        <w:t>ab initio</w:t>
      </w:r>
      <w:r w:rsidR="00E558E2" w:rsidRPr="00420B73">
        <w:rPr>
          <w:sz w:val="24"/>
          <w:szCs w:val="24"/>
        </w:rPr>
        <w:t>, I am not persuaded to grant declaratory relief</w:t>
      </w:r>
      <w:r w:rsidR="00420B73">
        <w:rPr>
          <w:sz w:val="24"/>
          <w:szCs w:val="24"/>
        </w:rPr>
        <w:t>,</w:t>
      </w:r>
      <w:r w:rsidR="00E558E2" w:rsidRPr="00420B73">
        <w:rPr>
          <w:sz w:val="24"/>
          <w:szCs w:val="24"/>
        </w:rPr>
        <w:t xml:space="preserve"> by way of application</w:t>
      </w:r>
      <w:r w:rsidR="00420B73">
        <w:rPr>
          <w:sz w:val="24"/>
          <w:szCs w:val="24"/>
        </w:rPr>
        <w:t>,</w:t>
      </w:r>
      <w:r w:rsidR="00E558E2" w:rsidRPr="00420B73">
        <w:rPr>
          <w:sz w:val="24"/>
          <w:szCs w:val="24"/>
        </w:rPr>
        <w:t xml:space="preserve"> that MTI was factually insolvent on a particular date or that dispositions were made as contemplated in ss 26 and 29 of the Insolvency Act. </w:t>
      </w:r>
    </w:p>
    <w:p w14:paraId="5AF9B958" w14:textId="77777777" w:rsidR="00202E32" w:rsidRDefault="00202E32" w:rsidP="005F2F39">
      <w:pPr>
        <w:pStyle w:val="BodyText3"/>
        <w:spacing w:after="240" w:line="480" w:lineRule="auto"/>
        <w:rPr>
          <w:i/>
          <w:iCs/>
          <w:sz w:val="24"/>
          <w:szCs w:val="24"/>
          <w:u w:val="single"/>
        </w:rPr>
      </w:pPr>
    </w:p>
    <w:p w14:paraId="22BB4717" w14:textId="77777777" w:rsidR="00202E32" w:rsidRDefault="00202E32" w:rsidP="005F2F39">
      <w:pPr>
        <w:pStyle w:val="BodyText3"/>
        <w:spacing w:after="240" w:line="480" w:lineRule="auto"/>
        <w:rPr>
          <w:i/>
          <w:iCs/>
          <w:sz w:val="24"/>
          <w:szCs w:val="24"/>
          <w:u w:val="single"/>
        </w:rPr>
      </w:pPr>
    </w:p>
    <w:p w14:paraId="59B86DA0" w14:textId="77777777" w:rsidR="00202E32" w:rsidRDefault="00202E32" w:rsidP="005F2F39">
      <w:pPr>
        <w:pStyle w:val="BodyText3"/>
        <w:spacing w:after="240" w:line="480" w:lineRule="auto"/>
        <w:rPr>
          <w:i/>
          <w:iCs/>
          <w:sz w:val="24"/>
          <w:szCs w:val="24"/>
          <w:u w:val="single"/>
        </w:rPr>
      </w:pPr>
    </w:p>
    <w:p w14:paraId="5B817908" w14:textId="77777777" w:rsidR="00202E32" w:rsidRDefault="00202E32" w:rsidP="005F2F39">
      <w:pPr>
        <w:pStyle w:val="BodyText3"/>
        <w:spacing w:after="240" w:line="480" w:lineRule="auto"/>
        <w:rPr>
          <w:i/>
          <w:iCs/>
          <w:sz w:val="24"/>
          <w:szCs w:val="24"/>
          <w:u w:val="single"/>
        </w:rPr>
      </w:pPr>
    </w:p>
    <w:p w14:paraId="7A22215A" w14:textId="1352688C" w:rsidR="005F2F39" w:rsidRPr="0071165F" w:rsidRDefault="005F2F39" w:rsidP="005F2F39">
      <w:pPr>
        <w:pStyle w:val="BodyText3"/>
        <w:spacing w:after="240" w:line="480" w:lineRule="auto"/>
        <w:rPr>
          <w:i/>
          <w:iCs/>
          <w:sz w:val="24"/>
          <w:szCs w:val="24"/>
          <w:u w:val="single"/>
        </w:rPr>
      </w:pPr>
      <w:r w:rsidRPr="0071165F">
        <w:rPr>
          <w:i/>
          <w:iCs/>
          <w:sz w:val="24"/>
          <w:szCs w:val="24"/>
          <w:u w:val="single"/>
        </w:rPr>
        <w:lastRenderedPageBreak/>
        <w:t>Conclusion:</w:t>
      </w:r>
    </w:p>
    <w:p w14:paraId="36D04A54" w14:textId="3BB93CCC" w:rsidR="00E805A2" w:rsidRDefault="00560794" w:rsidP="00560794">
      <w:pPr>
        <w:pStyle w:val="BodyText3"/>
        <w:spacing w:after="240" w:line="480" w:lineRule="auto"/>
        <w:rPr>
          <w:sz w:val="24"/>
          <w:szCs w:val="24"/>
        </w:rPr>
      </w:pPr>
      <w:r>
        <w:rPr>
          <w:sz w:val="22"/>
          <w:szCs w:val="22"/>
        </w:rPr>
        <w:t>[137]</w:t>
      </w:r>
      <w:r>
        <w:rPr>
          <w:sz w:val="22"/>
          <w:szCs w:val="22"/>
        </w:rPr>
        <w:tab/>
      </w:r>
      <w:r w:rsidR="00E805A2" w:rsidRPr="005F2F39">
        <w:rPr>
          <w:sz w:val="24"/>
          <w:szCs w:val="24"/>
        </w:rPr>
        <w:t xml:space="preserve">MTl's business clearly amounted to an unlawful </w:t>
      </w:r>
      <w:r w:rsidR="00CC3D99" w:rsidRPr="005F2F39">
        <w:rPr>
          <w:sz w:val="24"/>
          <w:szCs w:val="24"/>
        </w:rPr>
        <w:t>p</w:t>
      </w:r>
      <w:r w:rsidR="00E805A2" w:rsidRPr="005F2F39">
        <w:rPr>
          <w:sz w:val="24"/>
          <w:szCs w:val="24"/>
        </w:rPr>
        <w:t>onzi-scheme, i</w:t>
      </w:r>
      <w:r w:rsidR="00DC5828" w:rsidRPr="005F2F39">
        <w:rPr>
          <w:sz w:val="24"/>
          <w:szCs w:val="24"/>
        </w:rPr>
        <w:t>.</w:t>
      </w:r>
      <w:r w:rsidR="00E805A2" w:rsidRPr="005F2F39">
        <w:rPr>
          <w:sz w:val="24"/>
          <w:szCs w:val="24"/>
        </w:rPr>
        <w:t>e</w:t>
      </w:r>
      <w:r w:rsidR="00FE50FF" w:rsidRPr="005F2F39">
        <w:rPr>
          <w:sz w:val="24"/>
          <w:szCs w:val="24"/>
        </w:rPr>
        <w:t>.</w:t>
      </w:r>
      <w:r w:rsidR="00E805A2" w:rsidRPr="005F2F39">
        <w:rPr>
          <w:sz w:val="24"/>
          <w:szCs w:val="24"/>
        </w:rPr>
        <w:t xml:space="preserve"> a fraudulent investing scam promising high rates of return to investors and generating returns for earlier investors with investments taken from later investors.</w:t>
      </w:r>
    </w:p>
    <w:p w14:paraId="36060868" w14:textId="197F179A" w:rsidR="00E805A2" w:rsidRDefault="00560794" w:rsidP="00560794">
      <w:pPr>
        <w:pStyle w:val="BodyText3"/>
        <w:spacing w:after="240" w:line="480" w:lineRule="auto"/>
        <w:rPr>
          <w:sz w:val="24"/>
          <w:szCs w:val="24"/>
        </w:rPr>
      </w:pPr>
      <w:r>
        <w:rPr>
          <w:sz w:val="22"/>
          <w:szCs w:val="22"/>
        </w:rPr>
        <w:t>[138]</w:t>
      </w:r>
      <w:r>
        <w:rPr>
          <w:sz w:val="22"/>
          <w:szCs w:val="22"/>
        </w:rPr>
        <w:tab/>
      </w:r>
      <w:r w:rsidR="00E805A2" w:rsidRPr="005F2F39">
        <w:rPr>
          <w:sz w:val="24"/>
          <w:szCs w:val="24"/>
        </w:rPr>
        <w:t>It would appear that there is no pool of members bitcoin, Trade 300 does not exist, the artificial intelligence bot never existed or trade</w:t>
      </w:r>
      <w:r w:rsidR="001D48D9" w:rsidRPr="005F2F39">
        <w:rPr>
          <w:sz w:val="24"/>
          <w:szCs w:val="24"/>
        </w:rPr>
        <w:t>d</w:t>
      </w:r>
      <w:r w:rsidR="00CC3D99" w:rsidRPr="005F2F39">
        <w:rPr>
          <w:sz w:val="24"/>
          <w:szCs w:val="24"/>
        </w:rPr>
        <w:t xml:space="preserve"> and </w:t>
      </w:r>
      <w:r w:rsidR="00E805A2" w:rsidRPr="005F2F39">
        <w:rPr>
          <w:sz w:val="24"/>
          <w:szCs w:val="24"/>
        </w:rPr>
        <w:t xml:space="preserve">the remarkable trading results presented to investors were </w:t>
      </w:r>
      <w:r w:rsidR="00B73A77" w:rsidRPr="005F2F39">
        <w:rPr>
          <w:i/>
          <w:iCs/>
          <w:sz w:val="24"/>
          <w:szCs w:val="24"/>
        </w:rPr>
        <w:t>prima facie</w:t>
      </w:r>
      <w:r w:rsidR="00B73A77" w:rsidRPr="005F2F39">
        <w:rPr>
          <w:sz w:val="24"/>
          <w:szCs w:val="24"/>
        </w:rPr>
        <w:t xml:space="preserve"> </w:t>
      </w:r>
      <w:r w:rsidR="00E805A2" w:rsidRPr="005F2F39">
        <w:rPr>
          <w:sz w:val="24"/>
          <w:szCs w:val="24"/>
        </w:rPr>
        <w:t>false</w:t>
      </w:r>
      <w:r w:rsidR="00B73A77" w:rsidRPr="005F2F39">
        <w:rPr>
          <w:sz w:val="24"/>
          <w:szCs w:val="24"/>
        </w:rPr>
        <w:t>.</w:t>
      </w:r>
      <w:r w:rsidR="00E805A2" w:rsidRPr="005F2F39">
        <w:rPr>
          <w:sz w:val="24"/>
          <w:szCs w:val="24"/>
        </w:rPr>
        <w:t xml:space="preserve">  </w:t>
      </w:r>
    </w:p>
    <w:p w14:paraId="262DC9E1" w14:textId="22AE7304" w:rsidR="00967412" w:rsidRDefault="00560794" w:rsidP="00560794">
      <w:pPr>
        <w:pStyle w:val="BodyText3"/>
        <w:spacing w:after="240" w:line="480" w:lineRule="auto"/>
        <w:rPr>
          <w:sz w:val="24"/>
          <w:szCs w:val="24"/>
        </w:rPr>
      </w:pPr>
      <w:r>
        <w:rPr>
          <w:sz w:val="22"/>
          <w:szCs w:val="22"/>
        </w:rPr>
        <w:t>[139]</w:t>
      </w:r>
      <w:r>
        <w:rPr>
          <w:sz w:val="22"/>
          <w:szCs w:val="22"/>
        </w:rPr>
        <w:tab/>
      </w:r>
      <w:r w:rsidR="00E805A2" w:rsidRPr="005F2F39">
        <w:rPr>
          <w:sz w:val="24"/>
          <w:szCs w:val="24"/>
        </w:rPr>
        <w:t>I am satisfied after due consideration of all the relevant principles applicable to disputes of fact</w:t>
      </w:r>
      <w:r w:rsidR="00253827" w:rsidRPr="005F2F39">
        <w:rPr>
          <w:sz w:val="24"/>
          <w:szCs w:val="24"/>
        </w:rPr>
        <w:t xml:space="preserve">, </w:t>
      </w:r>
      <w:r w:rsidR="00E805A2" w:rsidRPr="005F2F39">
        <w:rPr>
          <w:sz w:val="24"/>
          <w:szCs w:val="24"/>
        </w:rPr>
        <w:t>the granting of declaratory relief</w:t>
      </w:r>
      <w:r w:rsidR="00253827" w:rsidRPr="005F2F39">
        <w:rPr>
          <w:sz w:val="24"/>
          <w:szCs w:val="24"/>
        </w:rPr>
        <w:t xml:space="preserve"> and the relevant sections of the Insolvency Act</w:t>
      </w:r>
      <w:r w:rsidR="00E805A2" w:rsidRPr="005F2F39">
        <w:rPr>
          <w:sz w:val="24"/>
          <w:szCs w:val="24"/>
        </w:rPr>
        <w:t>, that the applicants have shown, on a balance of probabilities</w:t>
      </w:r>
      <w:r w:rsidR="005F2F39">
        <w:rPr>
          <w:sz w:val="24"/>
          <w:szCs w:val="24"/>
        </w:rPr>
        <w:t>,</w:t>
      </w:r>
      <w:r w:rsidR="00E805A2" w:rsidRPr="005F2F39">
        <w:rPr>
          <w:sz w:val="24"/>
          <w:szCs w:val="24"/>
        </w:rPr>
        <w:t xml:space="preserve"> that they are entitled to the relief claimed in paras</w:t>
      </w:r>
      <w:r w:rsidR="00D82886" w:rsidRPr="005F2F39">
        <w:rPr>
          <w:sz w:val="24"/>
          <w:szCs w:val="24"/>
        </w:rPr>
        <w:t xml:space="preserve"> </w:t>
      </w:r>
      <w:r w:rsidR="00E805A2" w:rsidRPr="005F2F39">
        <w:rPr>
          <w:sz w:val="24"/>
          <w:szCs w:val="24"/>
        </w:rPr>
        <w:t xml:space="preserve">1.1 and 1.2 of the notice of motion. </w:t>
      </w:r>
    </w:p>
    <w:p w14:paraId="48F66D6D" w14:textId="77777777" w:rsidR="005F2F39" w:rsidRDefault="005F2F39" w:rsidP="005F2F39">
      <w:pPr>
        <w:pStyle w:val="BodyText3"/>
        <w:spacing w:after="240" w:line="480" w:lineRule="auto"/>
        <w:rPr>
          <w:i/>
          <w:iCs/>
          <w:sz w:val="24"/>
          <w:szCs w:val="24"/>
          <w:u w:val="single"/>
        </w:rPr>
      </w:pPr>
      <w:r>
        <w:rPr>
          <w:i/>
          <w:iCs/>
          <w:sz w:val="24"/>
          <w:szCs w:val="24"/>
          <w:u w:val="single"/>
        </w:rPr>
        <w:t>Costs:</w:t>
      </w:r>
    </w:p>
    <w:p w14:paraId="1EF2A26D" w14:textId="6671469A" w:rsidR="00E805A2" w:rsidRDefault="00560794" w:rsidP="00560794">
      <w:pPr>
        <w:pStyle w:val="BodyText3"/>
        <w:spacing w:after="240" w:line="480" w:lineRule="auto"/>
        <w:rPr>
          <w:sz w:val="24"/>
          <w:szCs w:val="24"/>
        </w:rPr>
      </w:pPr>
      <w:r>
        <w:rPr>
          <w:sz w:val="22"/>
          <w:szCs w:val="22"/>
        </w:rPr>
        <w:t>[140]</w:t>
      </w:r>
      <w:r>
        <w:rPr>
          <w:sz w:val="22"/>
          <w:szCs w:val="22"/>
        </w:rPr>
        <w:tab/>
      </w:r>
      <w:r w:rsidR="00CC3D99" w:rsidRPr="005F2F39">
        <w:rPr>
          <w:sz w:val="24"/>
          <w:szCs w:val="24"/>
        </w:rPr>
        <w:t>B</w:t>
      </w:r>
      <w:r w:rsidR="00E805A2" w:rsidRPr="005F2F39">
        <w:rPr>
          <w:sz w:val="24"/>
          <w:szCs w:val="24"/>
        </w:rPr>
        <w:t>y reason of the exceptional facts, the complexity of the matter, the voluminous documents filed and the difficulty, complexity, voluminous documentation, multiplicity of issues and, to an extent, the novel issues raised</w:t>
      </w:r>
      <w:r w:rsidR="00CC3D99" w:rsidRPr="005F2F39">
        <w:rPr>
          <w:sz w:val="24"/>
          <w:szCs w:val="24"/>
        </w:rPr>
        <w:t xml:space="preserve">, it will be fair in my view, </w:t>
      </w:r>
      <w:r w:rsidR="00E805A2" w:rsidRPr="005F2F39">
        <w:rPr>
          <w:sz w:val="24"/>
          <w:szCs w:val="24"/>
        </w:rPr>
        <w:t>for the purpose of doing justice between the parties</w:t>
      </w:r>
      <w:r w:rsidR="00CC3D99" w:rsidRPr="005F2F39">
        <w:rPr>
          <w:sz w:val="24"/>
          <w:szCs w:val="24"/>
        </w:rPr>
        <w:t xml:space="preserve">, </w:t>
      </w:r>
      <w:r w:rsidR="005F2F39" w:rsidRPr="005F2F39">
        <w:rPr>
          <w:sz w:val="24"/>
          <w:szCs w:val="24"/>
        </w:rPr>
        <w:t xml:space="preserve">to find </w:t>
      </w:r>
      <w:r w:rsidR="00CC3D99" w:rsidRPr="005F2F39">
        <w:rPr>
          <w:sz w:val="24"/>
          <w:szCs w:val="24"/>
        </w:rPr>
        <w:t xml:space="preserve">that it was reasonable to employ two counsel and to </w:t>
      </w:r>
      <w:r w:rsidR="00E805A2" w:rsidRPr="005F2F39">
        <w:rPr>
          <w:sz w:val="24"/>
          <w:szCs w:val="24"/>
        </w:rPr>
        <w:t>allow the fees of those counsel</w:t>
      </w:r>
      <w:r w:rsidR="00E805A2">
        <w:rPr>
          <w:rStyle w:val="FootnoteReference"/>
          <w:sz w:val="24"/>
          <w:szCs w:val="24"/>
        </w:rPr>
        <w:footnoteReference w:id="51"/>
      </w:r>
      <w:r w:rsidR="00CC3D99" w:rsidRPr="005F2F39">
        <w:rPr>
          <w:sz w:val="24"/>
          <w:szCs w:val="24"/>
        </w:rPr>
        <w:t>.</w:t>
      </w:r>
    </w:p>
    <w:p w14:paraId="5D4DFD5F" w14:textId="40482123" w:rsidR="00E805A2" w:rsidRPr="005F2F39" w:rsidRDefault="00560794" w:rsidP="00560794">
      <w:pPr>
        <w:pStyle w:val="BodyText3"/>
        <w:spacing w:after="240" w:line="480" w:lineRule="auto"/>
        <w:rPr>
          <w:sz w:val="24"/>
          <w:szCs w:val="24"/>
        </w:rPr>
      </w:pPr>
      <w:r w:rsidRPr="005F2F39">
        <w:rPr>
          <w:sz w:val="22"/>
          <w:szCs w:val="22"/>
        </w:rPr>
        <w:t>[141]</w:t>
      </w:r>
      <w:r w:rsidRPr="005F2F39">
        <w:rPr>
          <w:sz w:val="22"/>
          <w:szCs w:val="22"/>
        </w:rPr>
        <w:tab/>
      </w:r>
      <w:r w:rsidR="00E805A2" w:rsidRPr="005F2F39">
        <w:rPr>
          <w:sz w:val="24"/>
          <w:szCs w:val="24"/>
        </w:rPr>
        <w:t>In the circumstances the following order is made:</w:t>
      </w:r>
    </w:p>
    <w:p w14:paraId="13FE142F" w14:textId="77777777" w:rsidR="00E805A2" w:rsidRDefault="00E805A2" w:rsidP="005F2F39">
      <w:pPr>
        <w:pStyle w:val="BodyText3"/>
        <w:spacing w:after="240" w:line="480" w:lineRule="auto"/>
        <w:rPr>
          <w:vanish/>
        </w:rPr>
      </w:pPr>
      <w:r>
        <w:rPr>
          <w:sz w:val="24"/>
          <w:szCs w:val="24"/>
        </w:rPr>
        <w:t>1.</w:t>
      </w:r>
      <w:r>
        <w:rPr>
          <w:sz w:val="24"/>
          <w:szCs w:val="24"/>
        </w:rPr>
        <w:tab/>
      </w:r>
    </w:p>
    <w:p w14:paraId="15590D6B" w14:textId="4EB2E6AC" w:rsidR="00E805A2" w:rsidRPr="00560794" w:rsidRDefault="00560794" w:rsidP="00560794">
      <w:pPr>
        <w:spacing w:line="480" w:lineRule="auto"/>
        <w:ind w:left="360" w:hanging="360"/>
        <w:rPr>
          <w:vanish/>
        </w:rPr>
      </w:pPr>
      <w:r>
        <w:rPr>
          <w:vanish/>
        </w:rPr>
        <w:t>3</w:t>
      </w:r>
      <w:r>
        <w:rPr>
          <w:vanish/>
        </w:rPr>
        <w:tab/>
      </w:r>
    </w:p>
    <w:p w14:paraId="14647A25" w14:textId="655E8F40" w:rsidR="00E805A2" w:rsidRPr="00560794" w:rsidRDefault="00560794" w:rsidP="00560794">
      <w:pPr>
        <w:spacing w:line="480" w:lineRule="auto"/>
        <w:ind w:left="360" w:hanging="360"/>
        <w:rPr>
          <w:vanish/>
        </w:rPr>
      </w:pPr>
      <w:r>
        <w:rPr>
          <w:vanish/>
        </w:rPr>
        <w:t>4</w:t>
      </w:r>
      <w:r>
        <w:rPr>
          <w:vanish/>
        </w:rPr>
        <w:tab/>
      </w:r>
    </w:p>
    <w:p w14:paraId="1927F585" w14:textId="397751B2" w:rsidR="00D82886" w:rsidRDefault="00560794" w:rsidP="00560794">
      <w:pPr>
        <w:spacing w:line="480" w:lineRule="auto"/>
      </w:pPr>
      <w:r>
        <w:lastRenderedPageBreak/>
        <w:t>1.8.1.1.1.1.1.1.1</w:t>
      </w:r>
      <w:r>
        <w:tab/>
      </w:r>
      <w:r w:rsidR="00E805A2">
        <w:t xml:space="preserve">The business model of </w:t>
      </w:r>
      <w:r w:rsidR="00BE4BB7">
        <w:t xml:space="preserve">Mirror Trading International (Pty) Ltd (in liquidation) </w:t>
      </w:r>
    </w:p>
    <w:p w14:paraId="6DAEA0B9" w14:textId="4CD16BF8" w:rsidR="00E805A2" w:rsidRDefault="00D82886" w:rsidP="005F2F39">
      <w:pPr>
        <w:pStyle w:val="ListParagraph"/>
        <w:spacing w:line="480" w:lineRule="auto"/>
        <w:ind w:left="0" w:firstLine="720"/>
      </w:pPr>
      <w:r>
        <w:t xml:space="preserve">(“MTI”) </w:t>
      </w:r>
      <w:r w:rsidR="00E805A2">
        <w:t xml:space="preserve">is declared to be </w:t>
      </w:r>
      <w:r w:rsidR="00BE4BB7">
        <w:t xml:space="preserve">an </w:t>
      </w:r>
      <w:r w:rsidR="00E805A2">
        <w:t>illegal and unlawful scheme.</w:t>
      </w:r>
    </w:p>
    <w:p w14:paraId="3CE8D876" w14:textId="77777777" w:rsidR="00202E32" w:rsidRDefault="00202E32" w:rsidP="005F2F39">
      <w:pPr>
        <w:pStyle w:val="ListParagraph"/>
        <w:spacing w:line="480" w:lineRule="auto"/>
        <w:ind w:left="0" w:firstLine="720"/>
      </w:pPr>
    </w:p>
    <w:p w14:paraId="6000CE31" w14:textId="77777777" w:rsidR="00202E32" w:rsidRDefault="00202E32" w:rsidP="005F2F39">
      <w:pPr>
        <w:pStyle w:val="ListParagraph"/>
        <w:spacing w:line="480" w:lineRule="auto"/>
        <w:ind w:left="0" w:firstLine="720"/>
      </w:pPr>
    </w:p>
    <w:p w14:paraId="1D367C35" w14:textId="77777777" w:rsidR="00202E32" w:rsidRDefault="00202E32" w:rsidP="005F2F39">
      <w:pPr>
        <w:pStyle w:val="ListParagraph"/>
        <w:spacing w:line="480" w:lineRule="auto"/>
        <w:ind w:left="0" w:firstLine="720"/>
      </w:pPr>
    </w:p>
    <w:p w14:paraId="6F401B63" w14:textId="1D85841A" w:rsidR="00E805A2" w:rsidRDefault="00E805A2" w:rsidP="005F2F39">
      <w:pPr>
        <w:pStyle w:val="ListParagraph"/>
        <w:spacing w:line="480" w:lineRule="auto"/>
        <w:ind w:left="0"/>
      </w:pPr>
      <w:r>
        <w:t xml:space="preserve"> 2.</w:t>
      </w:r>
      <w:r>
        <w:tab/>
        <w:t xml:space="preserve">All agreements concluded between MTI and its investors in respect of the </w:t>
      </w:r>
    </w:p>
    <w:p w14:paraId="0967A2D9" w14:textId="77777777" w:rsidR="00E805A2" w:rsidRDefault="00E805A2" w:rsidP="005F2F39">
      <w:pPr>
        <w:pStyle w:val="ListParagraph"/>
        <w:spacing w:line="480" w:lineRule="auto"/>
        <w:ind w:left="0"/>
      </w:pPr>
      <w:r>
        <w:t xml:space="preserve">          trading/management/investment of bitcoin for the purported benefit of the </w:t>
      </w:r>
    </w:p>
    <w:p w14:paraId="67DF184D" w14:textId="1F6267C4" w:rsidR="00E805A2" w:rsidRDefault="00E805A2" w:rsidP="005F2F39">
      <w:pPr>
        <w:pStyle w:val="ListParagraph"/>
        <w:spacing w:line="480" w:lineRule="auto"/>
        <w:ind w:left="0"/>
      </w:pPr>
      <w:r>
        <w:t xml:space="preserve">          investors, </w:t>
      </w:r>
      <w:r w:rsidR="00BE4BB7">
        <w:t>are</w:t>
      </w:r>
      <w:r>
        <w:t xml:space="preserve"> declared unlawful and </w:t>
      </w:r>
      <w:r>
        <w:rPr>
          <w:i/>
        </w:rPr>
        <w:t>void ab initio</w:t>
      </w:r>
      <w:r>
        <w:t>;</w:t>
      </w:r>
    </w:p>
    <w:p w14:paraId="76CC5F70" w14:textId="7FE01139" w:rsidR="00E805A2" w:rsidRDefault="00E805A2" w:rsidP="005F2F39">
      <w:pPr>
        <w:pStyle w:val="ListParagraph"/>
        <w:spacing w:line="480" w:lineRule="auto"/>
        <w:ind w:left="0"/>
      </w:pPr>
      <w:r>
        <w:t>3.</w:t>
      </w:r>
      <w:r>
        <w:tab/>
        <w:t>The remainder of the relief claimed by the applicants is refused.</w:t>
      </w:r>
    </w:p>
    <w:p w14:paraId="19763796" w14:textId="7772C20E" w:rsidR="00E805A2" w:rsidRDefault="00D82886" w:rsidP="005F2F39">
      <w:pPr>
        <w:pStyle w:val="ListParagraph"/>
        <w:spacing w:line="480" w:lineRule="auto"/>
        <w:ind w:hanging="720"/>
      </w:pPr>
      <w:r>
        <w:t>4</w:t>
      </w:r>
      <w:r w:rsidR="00E805A2">
        <w:t>.</w:t>
      </w:r>
      <w:r w:rsidR="00E805A2">
        <w:tab/>
        <w:t>The counter-application by second respondent is dismissed with costs</w:t>
      </w:r>
      <w:r>
        <w:t>, such costs to include the costs of t</w:t>
      </w:r>
      <w:r w:rsidR="005F2F39">
        <w:t>wo</w:t>
      </w:r>
      <w:r>
        <w:t xml:space="preserve"> counsel where so employed</w:t>
      </w:r>
      <w:r w:rsidR="00E805A2">
        <w:t>.</w:t>
      </w:r>
    </w:p>
    <w:p w14:paraId="088E5CAA" w14:textId="79B76879" w:rsidR="00D82886" w:rsidRDefault="00D82886" w:rsidP="005F2F39">
      <w:pPr>
        <w:pStyle w:val="ListParagraph"/>
        <w:spacing w:line="480" w:lineRule="auto"/>
        <w:ind w:hanging="720"/>
      </w:pPr>
      <w:r>
        <w:t>5</w:t>
      </w:r>
      <w:r w:rsidR="00E805A2">
        <w:t>.</w:t>
      </w:r>
      <w:r w:rsidR="00E805A2">
        <w:tab/>
        <w:t>The application for referral to oral evidence by third respondent is dismissed with costs</w:t>
      </w:r>
      <w:r>
        <w:t>, such costs to include the costs of t</w:t>
      </w:r>
      <w:r w:rsidR="005F2F39">
        <w:t>wo</w:t>
      </w:r>
      <w:r>
        <w:t xml:space="preserve"> counsel where so employed.</w:t>
      </w:r>
    </w:p>
    <w:p w14:paraId="5E7A8E7D" w14:textId="03D8F976" w:rsidR="00D82886" w:rsidRDefault="00D82886" w:rsidP="005F2F39">
      <w:pPr>
        <w:pStyle w:val="ListParagraph"/>
        <w:spacing w:line="480" w:lineRule="auto"/>
        <w:ind w:hanging="720"/>
      </w:pPr>
      <w:r>
        <w:t>6.</w:t>
      </w:r>
      <w:r>
        <w:tab/>
        <w:t>The costs of the main application, on an unopposed basis, including the costs of t</w:t>
      </w:r>
      <w:r w:rsidR="005F2F39">
        <w:t>wo</w:t>
      </w:r>
      <w:r>
        <w:t xml:space="preserve"> counsel where so employed, are costs in the liquidation.</w:t>
      </w:r>
    </w:p>
    <w:p w14:paraId="6289BDF8" w14:textId="6947AF26" w:rsidR="00D82886" w:rsidRDefault="00D82886" w:rsidP="005F2F39">
      <w:pPr>
        <w:pStyle w:val="ListParagraph"/>
        <w:spacing w:line="480" w:lineRule="auto"/>
        <w:ind w:hanging="720"/>
      </w:pPr>
      <w:r>
        <w:t>7.</w:t>
      </w:r>
      <w:r>
        <w:tab/>
        <w:t>The costs occasioned by the opposition to the main application, including the costs of t</w:t>
      </w:r>
      <w:r w:rsidR="0050670E">
        <w:t>wo</w:t>
      </w:r>
      <w:r>
        <w:t xml:space="preserve"> counsel where so employed, are to be paid by the second and third respondents, jointly and severally.</w:t>
      </w:r>
    </w:p>
    <w:p w14:paraId="711F8F3D" w14:textId="77777777" w:rsidR="00EB7976" w:rsidRPr="00AD2315" w:rsidRDefault="00EB7976" w:rsidP="00EB7976">
      <w:pPr>
        <w:spacing w:after="0" w:line="240" w:lineRule="auto"/>
        <w:jc w:val="right"/>
        <w:rPr>
          <w:rFonts w:eastAsia="Calibri"/>
        </w:rPr>
      </w:pPr>
      <w:r w:rsidRPr="00AD2315">
        <w:rPr>
          <w:rFonts w:eastAsia="Calibri"/>
        </w:rPr>
        <w:t xml:space="preserve">           _____________________________</w:t>
      </w:r>
    </w:p>
    <w:p w14:paraId="62C715B6" w14:textId="77777777" w:rsidR="00EB7976" w:rsidRPr="00AD2315" w:rsidRDefault="00EB7976" w:rsidP="00EB7976">
      <w:pPr>
        <w:spacing w:after="0" w:line="240" w:lineRule="auto"/>
        <w:jc w:val="right"/>
        <w:rPr>
          <w:rFonts w:eastAsia="Calibri"/>
          <w:b/>
          <w:bCs/>
        </w:rPr>
      </w:pPr>
      <w:r w:rsidRPr="00AD2315">
        <w:rPr>
          <w:rFonts w:eastAsia="Calibri"/>
          <w:b/>
          <w:bCs/>
        </w:rPr>
        <w:t xml:space="preserve">                A De Wet</w:t>
      </w:r>
    </w:p>
    <w:p w14:paraId="0A98DF61" w14:textId="77777777" w:rsidR="00EB7976" w:rsidRPr="00AD2315" w:rsidRDefault="00EB7976" w:rsidP="00EB7976">
      <w:pPr>
        <w:spacing w:after="0" w:line="240" w:lineRule="auto"/>
        <w:jc w:val="right"/>
        <w:rPr>
          <w:rFonts w:eastAsia="Calibri"/>
          <w:b/>
          <w:bCs/>
        </w:rPr>
      </w:pPr>
      <w:r w:rsidRPr="00AD2315">
        <w:rPr>
          <w:rFonts w:eastAsia="Calibri"/>
          <w:b/>
          <w:bCs/>
        </w:rPr>
        <w:t>Acting Judge of the High Court</w:t>
      </w:r>
    </w:p>
    <w:p w14:paraId="1E5FDB49" w14:textId="69446E8B" w:rsidR="00EB7976" w:rsidRDefault="00EB7976" w:rsidP="00EB7976">
      <w:pPr>
        <w:spacing w:after="0" w:line="360" w:lineRule="auto"/>
        <w:ind w:left="4320" w:hanging="4320"/>
        <w:rPr>
          <w:rFonts w:eastAsia="Calibri"/>
        </w:rPr>
      </w:pPr>
    </w:p>
    <w:p w14:paraId="3145113C" w14:textId="77777777" w:rsidR="00202E32" w:rsidRDefault="00202E32" w:rsidP="00EB7976">
      <w:pPr>
        <w:spacing w:after="0" w:line="360" w:lineRule="auto"/>
        <w:rPr>
          <w:rFonts w:eastAsia="Calibri"/>
        </w:rPr>
      </w:pPr>
    </w:p>
    <w:p w14:paraId="03C2719E" w14:textId="4E47BDB1" w:rsidR="004B7E2B" w:rsidRPr="00B50F42" w:rsidRDefault="00EB7976" w:rsidP="00EB7976">
      <w:pPr>
        <w:spacing w:after="0" w:line="360" w:lineRule="auto"/>
        <w:rPr>
          <w:rFonts w:eastAsia="Calibri"/>
        </w:rPr>
      </w:pPr>
      <w:r>
        <w:rPr>
          <w:rFonts w:eastAsia="Calibri"/>
        </w:rPr>
        <w:t>On behalf of the applicants</w:t>
      </w:r>
      <w:r w:rsidRPr="00AD2315">
        <w:rPr>
          <w:rFonts w:eastAsia="Calibri"/>
        </w:rPr>
        <w:t>:</w:t>
      </w:r>
      <w:r w:rsidRPr="00AD2315">
        <w:rPr>
          <w:rFonts w:eastAsia="Calibri"/>
        </w:rPr>
        <w:tab/>
      </w:r>
      <w:r w:rsidRPr="00B50F42">
        <w:rPr>
          <w:rFonts w:eastAsia="Calibri"/>
        </w:rPr>
        <w:t xml:space="preserve">Advocates Rudi van Rooyen SC and </w:t>
      </w:r>
    </w:p>
    <w:p w14:paraId="0AA62489" w14:textId="77777777" w:rsidR="004B7E2B" w:rsidRPr="00B50F42" w:rsidRDefault="00EB7976" w:rsidP="00EB7976">
      <w:pPr>
        <w:spacing w:after="0" w:line="360" w:lineRule="auto"/>
        <w:ind w:left="2880" w:firstLine="720"/>
        <w:rPr>
          <w:rFonts w:eastAsia="Calibri"/>
        </w:rPr>
      </w:pPr>
      <w:r w:rsidRPr="00B50F42">
        <w:rPr>
          <w:rFonts w:eastAsia="Calibri"/>
        </w:rPr>
        <w:t xml:space="preserve">Rinier Raubenheimer instructed by </w:t>
      </w:r>
    </w:p>
    <w:p w14:paraId="5E6C4893" w14:textId="22D4480E" w:rsidR="00EB7976" w:rsidRPr="00B50F42" w:rsidRDefault="00EB7976" w:rsidP="004B7E2B">
      <w:pPr>
        <w:spacing w:after="0" w:line="360" w:lineRule="auto"/>
        <w:ind w:left="2880" w:firstLine="720"/>
        <w:rPr>
          <w:rFonts w:eastAsia="Calibri"/>
        </w:rPr>
      </w:pPr>
      <w:r w:rsidRPr="00B50F42">
        <w:rPr>
          <w:rFonts w:eastAsia="Calibri"/>
        </w:rPr>
        <w:t xml:space="preserve">MOSTERT &amp; BOSMAN </w:t>
      </w:r>
      <w:r w:rsidR="00D85AC1" w:rsidRPr="00B50F42">
        <w:rPr>
          <w:rFonts w:eastAsia="Calibri"/>
        </w:rPr>
        <w:t>(Ref: Mr Pierre du Toit)</w:t>
      </w:r>
    </w:p>
    <w:p w14:paraId="70E6FA99" w14:textId="408AC92D" w:rsidR="00EB7976" w:rsidRPr="00B50F42" w:rsidRDefault="00EB7976" w:rsidP="00EB7976">
      <w:pPr>
        <w:spacing w:after="0" w:line="360" w:lineRule="auto"/>
        <w:rPr>
          <w:rFonts w:eastAsia="Calibri"/>
        </w:rPr>
      </w:pPr>
      <w:r w:rsidRPr="00B50F42">
        <w:rPr>
          <w:rFonts w:eastAsia="Calibri"/>
        </w:rPr>
        <w:tab/>
      </w:r>
      <w:r w:rsidRPr="00B50F42">
        <w:rPr>
          <w:rFonts w:eastAsia="Calibri"/>
        </w:rPr>
        <w:tab/>
      </w:r>
      <w:r w:rsidRPr="00B50F42">
        <w:rPr>
          <w:rFonts w:eastAsia="Calibri"/>
        </w:rPr>
        <w:tab/>
      </w:r>
      <w:r w:rsidRPr="00B50F42">
        <w:rPr>
          <w:rFonts w:eastAsia="Calibri"/>
        </w:rPr>
        <w:tab/>
      </w:r>
      <w:r w:rsidRPr="00B50F42">
        <w:rPr>
          <w:rFonts w:eastAsia="Calibri"/>
        </w:rPr>
        <w:tab/>
        <w:t>Email: Pierred@mbalaw.co.za</w:t>
      </w:r>
    </w:p>
    <w:p w14:paraId="15DE8E2B" w14:textId="77777777" w:rsidR="00CA14EF" w:rsidRPr="00B50F42" w:rsidRDefault="00CA14EF" w:rsidP="00EB7976">
      <w:pPr>
        <w:spacing w:after="0" w:line="360" w:lineRule="auto"/>
        <w:rPr>
          <w:rFonts w:eastAsia="Calibri"/>
        </w:rPr>
      </w:pPr>
    </w:p>
    <w:p w14:paraId="5F42E212" w14:textId="6BAAF2FC" w:rsidR="004B7E2B" w:rsidRPr="00B50F42" w:rsidRDefault="00EB7976" w:rsidP="00EB7976">
      <w:pPr>
        <w:spacing w:after="0" w:line="360" w:lineRule="auto"/>
        <w:ind w:right="-180"/>
        <w:rPr>
          <w:rFonts w:eastAsia="Calibri"/>
        </w:rPr>
      </w:pPr>
      <w:bookmarkStart w:id="7" w:name="_Hlk124493787"/>
      <w:r w:rsidRPr="00B50F42">
        <w:rPr>
          <w:rFonts w:eastAsia="Calibri"/>
        </w:rPr>
        <w:t>On behalf of the second</w:t>
      </w:r>
      <w:r w:rsidRPr="00B50F42">
        <w:rPr>
          <w:rFonts w:eastAsia="Calibri"/>
        </w:rPr>
        <w:tab/>
      </w:r>
      <w:r w:rsidRPr="00B50F42">
        <w:rPr>
          <w:rFonts w:eastAsia="Calibri"/>
        </w:rPr>
        <w:tab/>
      </w:r>
      <w:r w:rsidR="005F2F39">
        <w:rPr>
          <w:rFonts w:eastAsia="Calibri"/>
        </w:rPr>
        <w:t xml:space="preserve">Adv </w:t>
      </w:r>
      <w:r w:rsidR="004B7E2B" w:rsidRPr="00B50F42">
        <w:rPr>
          <w:rFonts w:eastAsia="Calibri"/>
        </w:rPr>
        <w:t xml:space="preserve">Sydney Alberts </w:t>
      </w:r>
    </w:p>
    <w:p w14:paraId="3FE13421" w14:textId="229E5019" w:rsidR="00EB7976" w:rsidRPr="00B50F42" w:rsidRDefault="00916AC6" w:rsidP="00916AC6">
      <w:pPr>
        <w:spacing w:after="0" w:line="360" w:lineRule="auto"/>
        <w:ind w:right="-180"/>
        <w:rPr>
          <w:rFonts w:eastAsia="Calibri"/>
        </w:rPr>
      </w:pPr>
      <w:r w:rsidRPr="00B50F42">
        <w:rPr>
          <w:rFonts w:eastAsia="Calibri"/>
        </w:rPr>
        <w:lastRenderedPageBreak/>
        <w:t>respondent:</w:t>
      </w:r>
      <w:r w:rsidRPr="00B50F42">
        <w:rPr>
          <w:rFonts w:eastAsia="Calibri"/>
        </w:rPr>
        <w:tab/>
      </w:r>
      <w:r w:rsidRPr="00B50F42">
        <w:rPr>
          <w:rFonts w:eastAsia="Calibri"/>
        </w:rPr>
        <w:tab/>
      </w:r>
      <w:r w:rsidRPr="00B50F42">
        <w:rPr>
          <w:rFonts w:eastAsia="Calibri"/>
        </w:rPr>
        <w:tab/>
      </w:r>
      <w:r w:rsidRPr="00B50F42">
        <w:rPr>
          <w:rFonts w:eastAsia="Calibri"/>
        </w:rPr>
        <w:tab/>
      </w:r>
      <w:r w:rsidR="00EB7976" w:rsidRPr="00B50F42">
        <w:rPr>
          <w:rFonts w:eastAsia="Calibri"/>
        </w:rPr>
        <w:t>Selzer Law (Ref: Mr Henry Selzer</w:t>
      </w:r>
      <w:r w:rsidR="00D85AC1" w:rsidRPr="00B50F42">
        <w:rPr>
          <w:rFonts w:eastAsia="Calibri"/>
        </w:rPr>
        <w:t>)</w:t>
      </w:r>
    </w:p>
    <w:p w14:paraId="6114E3FD" w14:textId="24E245E5" w:rsidR="00EB7976" w:rsidRPr="00B50F42" w:rsidRDefault="00916AC6" w:rsidP="00EB7976">
      <w:pPr>
        <w:spacing w:after="0" w:line="360" w:lineRule="auto"/>
        <w:ind w:right="-180"/>
        <w:rPr>
          <w:rFonts w:eastAsia="Calibri"/>
        </w:rPr>
      </w:pPr>
      <w:r w:rsidRPr="00B50F42">
        <w:rPr>
          <w:rFonts w:eastAsia="Calibri"/>
        </w:rPr>
        <w:tab/>
      </w:r>
      <w:r w:rsidR="00EB7976" w:rsidRPr="00B50F42">
        <w:rPr>
          <w:rFonts w:eastAsia="Calibri"/>
        </w:rPr>
        <w:tab/>
      </w:r>
      <w:r w:rsidR="00EB7976" w:rsidRPr="00B50F42">
        <w:rPr>
          <w:rFonts w:eastAsia="Calibri"/>
        </w:rPr>
        <w:tab/>
      </w:r>
      <w:r w:rsidR="00EB7976" w:rsidRPr="00B50F42">
        <w:rPr>
          <w:rFonts w:eastAsia="Calibri"/>
        </w:rPr>
        <w:tab/>
      </w:r>
      <w:r w:rsidR="00EB7976" w:rsidRPr="00B50F42">
        <w:rPr>
          <w:rFonts w:eastAsia="Calibri"/>
        </w:rPr>
        <w:tab/>
        <w:t xml:space="preserve">Email: </w:t>
      </w:r>
      <w:hyperlink r:id="rId10" w:history="1">
        <w:r w:rsidR="00EB7976" w:rsidRPr="00B50F42">
          <w:rPr>
            <w:rStyle w:val="Hyperlink"/>
            <w:rFonts w:eastAsia="Calibri"/>
            <w:color w:val="000000" w:themeColor="text1"/>
          </w:rPr>
          <w:t>henry@selzerlaw.co.za</w:t>
        </w:r>
      </w:hyperlink>
    </w:p>
    <w:bookmarkEnd w:id="7"/>
    <w:p w14:paraId="3595CD8A" w14:textId="77777777" w:rsidR="00FC0346" w:rsidRPr="00B50F42" w:rsidRDefault="00FC0346" w:rsidP="00EB7976">
      <w:pPr>
        <w:spacing w:after="0" w:line="360" w:lineRule="auto"/>
        <w:ind w:left="3600" w:firstLine="720"/>
        <w:rPr>
          <w:rFonts w:eastAsia="Calibri"/>
        </w:rPr>
      </w:pPr>
    </w:p>
    <w:p w14:paraId="4E4C61F4" w14:textId="17FBA86F" w:rsidR="004B7E2B" w:rsidRPr="00B50F42" w:rsidRDefault="00EB7976" w:rsidP="00EB7976">
      <w:pPr>
        <w:spacing w:after="0" w:line="360" w:lineRule="auto"/>
        <w:ind w:right="-180"/>
        <w:rPr>
          <w:rFonts w:eastAsia="Calibri"/>
        </w:rPr>
      </w:pPr>
      <w:r w:rsidRPr="00B50F42">
        <w:rPr>
          <w:rFonts w:eastAsia="Calibri"/>
        </w:rPr>
        <w:t>On behalf of the third</w:t>
      </w:r>
      <w:r w:rsidRPr="00B50F42">
        <w:rPr>
          <w:rFonts w:eastAsia="Calibri"/>
        </w:rPr>
        <w:tab/>
      </w:r>
      <w:r w:rsidRPr="00B50F42">
        <w:rPr>
          <w:rFonts w:eastAsia="Calibri"/>
        </w:rPr>
        <w:tab/>
      </w:r>
      <w:r w:rsidR="004B7E2B" w:rsidRPr="00B50F42">
        <w:rPr>
          <w:rFonts w:eastAsia="Calibri"/>
        </w:rPr>
        <w:t xml:space="preserve">Hanri Loots, Pieter-Schalk Bothma and Mary-Anne </w:t>
      </w:r>
      <w:r w:rsidR="00916AC6" w:rsidRPr="00B50F42">
        <w:rPr>
          <w:rFonts w:eastAsia="Calibri"/>
        </w:rPr>
        <w:t>respondent:</w:t>
      </w:r>
      <w:r w:rsidR="00916AC6" w:rsidRPr="00B50F42">
        <w:rPr>
          <w:rFonts w:eastAsia="Calibri"/>
        </w:rPr>
        <w:tab/>
      </w:r>
      <w:r w:rsidR="00916AC6" w:rsidRPr="00B50F42">
        <w:rPr>
          <w:rFonts w:eastAsia="Calibri"/>
        </w:rPr>
        <w:tab/>
      </w:r>
      <w:r w:rsidR="00916AC6" w:rsidRPr="00B50F42">
        <w:rPr>
          <w:rFonts w:eastAsia="Calibri"/>
        </w:rPr>
        <w:tab/>
      </w:r>
      <w:r w:rsidR="00916AC6" w:rsidRPr="00B50F42">
        <w:rPr>
          <w:rFonts w:eastAsia="Calibri"/>
        </w:rPr>
        <w:tab/>
        <w:t>McChesney</w:t>
      </w:r>
    </w:p>
    <w:p w14:paraId="24D35634" w14:textId="35D52DD7" w:rsidR="00EB7976" w:rsidRDefault="00EB7976" w:rsidP="004B7E2B">
      <w:pPr>
        <w:spacing w:after="0" w:line="360" w:lineRule="auto"/>
        <w:ind w:left="2880" w:right="-180" w:firstLine="720"/>
        <w:rPr>
          <w:rFonts w:eastAsia="Calibri"/>
        </w:rPr>
      </w:pPr>
      <w:r>
        <w:rPr>
          <w:rFonts w:eastAsia="Calibri"/>
        </w:rPr>
        <w:t>Duvenhage de Villiers (Ref: Mr Duvenhage</w:t>
      </w:r>
      <w:r w:rsidR="00D85AC1">
        <w:rPr>
          <w:rFonts w:eastAsia="Calibri"/>
        </w:rPr>
        <w:t>)</w:t>
      </w:r>
    </w:p>
    <w:p w14:paraId="5B0FEB07" w14:textId="4B1E0475" w:rsidR="00D85AC1" w:rsidRDefault="00916AC6" w:rsidP="00EB7976">
      <w:pPr>
        <w:spacing w:after="0" w:line="360" w:lineRule="auto"/>
        <w:ind w:right="-180"/>
        <w:rPr>
          <w:rFonts w:eastAsia="Calibri"/>
        </w:rPr>
      </w:pPr>
      <w:r>
        <w:rPr>
          <w:rFonts w:eastAsia="Calibri"/>
        </w:rPr>
        <w:tab/>
      </w:r>
      <w:r w:rsidR="00EB7976">
        <w:rPr>
          <w:rFonts w:eastAsia="Calibri"/>
        </w:rPr>
        <w:tab/>
      </w:r>
      <w:r w:rsidR="00EB7976">
        <w:rPr>
          <w:rFonts w:eastAsia="Calibri"/>
        </w:rPr>
        <w:tab/>
      </w:r>
      <w:r w:rsidR="00EB7976">
        <w:rPr>
          <w:rFonts w:eastAsia="Calibri"/>
        </w:rPr>
        <w:tab/>
      </w:r>
      <w:r w:rsidR="00EB7976">
        <w:rPr>
          <w:rFonts w:eastAsia="Calibri"/>
        </w:rPr>
        <w:tab/>
        <w:t xml:space="preserve">Email: </w:t>
      </w:r>
      <w:hyperlink r:id="rId11" w:history="1">
        <w:r w:rsidR="00D85AC1" w:rsidRPr="003C2F67">
          <w:rPr>
            <w:rStyle w:val="Hyperlink"/>
            <w:rFonts w:eastAsia="Calibri"/>
          </w:rPr>
          <w:t>bd@duvdevill.co.za</w:t>
        </w:r>
      </w:hyperlink>
      <w:r w:rsidR="00D85AC1">
        <w:rPr>
          <w:rFonts w:eastAsia="Calibri"/>
        </w:rPr>
        <w:t xml:space="preserve"> / </w:t>
      </w:r>
    </w:p>
    <w:p w14:paraId="061915B5" w14:textId="12072915" w:rsidR="00EB7976" w:rsidRDefault="00C43712" w:rsidP="00D85AC1">
      <w:pPr>
        <w:spacing w:after="0" w:line="360" w:lineRule="auto"/>
        <w:ind w:left="2880" w:right="-180" w:firstLine="720"/>
        <w:rPr>
          <w:rFonts w:eastAsia="Calibri"/>
        </w:rPr>
      </w:pPr>
      <w:hyperlink r:id="rId12" w:history="1">
        <w:r w:rsidR="00D85AC1" w:rsidRPr="003C2F67">
          <w:rPr>
            <w:rStyle w:val="Hyperlink"/>
            <w:rFonts w:eastAsia="Calibri"/>
          </w:rPr>
          <w:t>monique@dudevill.co.za</w:t>
        </w:r>
      </w:hyperlink>
    </w:p>
    <w:p w14:paraId="5F731FE9" w14:textId="77777777" w:rsidR="00FC0346" w:rsidRDefault="00FC0346" w:rsidP="00D85AC1">
      <w:pPr>
        <w:spacing w:after="0" w:line="360" w:lineRule="auto"/>
        <w:ind w:left="2880" w:right="-180" w:firstLine="720"/>
        <w:rPr>
          <w:rFonts w:eastAsia="Calibri"/>
        </w:rPr>
      </w:pPr>
    </w:p>
    <w:p w14:paraId="0375CFCA" w14:textId="5D0C9663" w:rsidR="00916AC6" w:rsidRDefault="00D85AC1" w:rsidP="00D85AC1">
      <w:pPr>
        <w:spacing w:after="0" w:line="360" w:lineRule="auto"/>
        <w:ind w:right="-180"/>
        <w:rPr>
          <w:rFonts w:eastAsia="Calibri"/>
        </w:rPr>
      </w:pPr>
      <w:r>
        <w:rPr>
          <w:rFonts w:eastAsia="Calibri"/>
        </w:rPr>
        <w:t>On behalf of the fourth</w:t>
      </w:r>
      <w:r>
        <w:rPr>
          <w:rFonts w:eastAsia="Calibri"/>
        </w:rPr>
        <w:tab/>
      </w:r>
      <w:r>
        <w:rPr>
          <w:rFonts w:eastAsia="Calibri"/>
        </w:rPr>
        <w:tab/>
      </w:r>
      <w:r w:rsidR="00916AC6">
        <w:rPr>
          <w:rFonts w:eastAsia="Calibri"/>
        </w:rPr>
        <w:t>Henry Cowley</w:t>
      </w:r>
    </w:p>
    <w:p w14:paraId="471A2766" w14:textId="546AC83A" w:rsidR="00D85AC1" w:rsidRDefault="00916AC6" w:rsidP="00916AC6">
      <w:pPr>
        <w:spacing w:after="0" w:line="360" w:lineRule="auto"/>
        <w:ind w:right="-180"/>
        <w:rPr>
          <w:rFonts w:eastAsia="Calibri"/>
        </w:rPr>
      </w:pPr>
      <w:r>
        <w:rPr>
          <w:rFonts w:eastAsia="Calibri"/>
        </w:rPr>
        <w:t>respondent:</w:t>
      </w:r>
      <w:r>
        <w:rPr>
          <w:rFonts w:eastAsia="Calibri"/>
        </w:rPr>
        <w:tab/>
      </w:r>
      <w:r>
        <w:rPr>
          <w:rFonts w:eastAsia="Calibri"/>
        </w:rPr>
        <w:tab/>
      </w:r>
      <w:r>
        <w:rPr>
          <w:rFonts w:eastAsia="Calibri"/>
        </w:rPr>
        <w:tab/>
      </w:r>
      <w:r>
        <w:rPr>
          <w:rFonts w:eastAsia="Calibri"/>
        </w:rPr>
        <w:tab/>
      </w:r>
      <w:r w:rsidR="00D85AC1">
        <w:rPr>
          <w:rFonts w:eastAsia="Calibri"/>
        </w:rPr>
        <w:t>EDJ Attorneys (Ref: Mr E de Jager)</w:t>
      </w:r>
    </w:p>
    <w:p w14:paraId="51665F93" w14:textId="7C6DAA40" w:rsidR="00D85AC1" w:rsidRDefault="00D85AC1" w:rsidP="00D85AC1">
      <w:pPr>
        <w:spacing w:after="0" w:line="360" w:lineRule="auto"/>
        <w:ind w:right="-180"/>
        <w:rPr>
          <w:rFonts w:eastAsia="Calibri"/>
        </w:rPr>
      </w:pPr>
      <w:r>
        <w:rPr>
          <w:rFonts w:eastAsia="Calibri"/>
        </w:rPr>
        <w:tab/>
      </w:r>
      <w:r>
        <w:rPr>
          <w:rFonts w:eastAsia="Calibri"/>
        </w:rPr>
        <w:tab/>
      </w:r>
      <w:r>
        <w:rPr>
          <w:rFonts w:eastAsia="Calibri"/>
        </w:rPr>
        <w:tab/>
      </w:r>
      <w:r w:rsidR="00916AC6">
        <w:rPr>
          <w:rFonts w:eastAsia="Calibri"/>
        </w:rPr>
        <w:tab/>
      </w:r>
      <w:r w:rsidR="00916AC6">
        <w:rPr>
          <w:rFonts w:eastAsia="Calibri"/>
        </w:rPr>
        <w:tab/>
      </w:r>
      <w:r>
        <w:rPr>
          <w:rFonts w:eastAsia="Calibri"/>
        </w:rPr>
        <w:t xml:space="preserve">Email: </w:t>
      </w:r>
      <w:hyperlink r:id="rId13" w:history="1">
        <w:r w:rsidRPr="003C2F67">
          <w:rPr>
            <w:rStyle w:val="Hyperlink"/>
            <w:rFonts w:eastAsia="Calibri"/>
          </w:rPr>
          <w:t>litigation@edjinc.co.za</w:t>
        </w:r>
      </w:hyperlink>
    </w:p>
    <w:p w14:paraId="435D1854" w14:textId="5E9C072F" w:rsidR="00D85AC1" w:rsidRDefault="00D85AC1" w:rsidP="00D85AC1">
      <w:pPr>
        <w:spacing w:after="0" w:line="360" w:lineRule="auto"/>
        <w:ind w:right="-180"/>
        <w:rPr>
          <w:rFonts w:eastAsia="Calibri"/>
        </w:rPr>
      </w:pPr>
    </w:p>
    <w:p w14:paraId="3DB2254B" w14:textId="341E3D5C" w:rsidR="00D85AC1" w:rsidRDefault="00D85AC1" w:rsidP="00D85AC1">
      <w:pPr>
        <w:spacing w:after="0" w:line="360" w:lineRule="auto"/>
        <w:ind w:right="-180"/>
        <w:rPr>
          <w:rFonts w:eastAsia="Calibri"/>
        </w:rPr>
      </w:pPr>
      <w:r>
        <w:rPr>
          <w:rFonts w:eastAsia="Calibri"/>
        </w:rPr>
        <w:t>On behalf of Anton Lee</w:t>
      </w:r>
      <w:r>
        <w:rPr>
          <w:rFonts w:eastAsia="Calibri"/>
        </w:rPr>
        <w:tab/>
      </w:r>
      <w:r>
        <w:rPr>
          <w:rFonts w:eastAsia="Calibri"/>
        </w:rPr>
        <w:tab/>
        <w:t>Allis Attorneys (Ref: Mr Allis)</w:t>
      </w:r>
    </w:p>
    <w:p w14:paraId="764D8802" w14:textId="5DF7A268" w:rsidR="00D85AC1" w:rsidRDefault="00D85AC1" w:rsidP="00D85AC1">
      <w:pPr>
        <w:spacing w:after="0" w:line="360" w:lineRule="auto"/>
        <w:ind w:right="-180"/>
        <w:rPr>
          <w:rFonts w:eastAsia="Calibri"/>
        </w:rPr>
      </w:pPr>
      <w:r>
        <w:rPr>
          <w:rFonts w:eastAsia="Calibri"/>
        </w:rPr>
        <w:t>(member of fifth respondent):</w:t>
      </w:r>
      <w:r>
        <w:rPr>
          <w:rFonts w:eastAsia="Calibri"/>
        </w:rPr>
        <w:tab/>
        <w:t xml:space="preserve">Email: </w:t>
      </w:r>
      <w:hyperlink r:id="rId14" w:history="1">
        <w:r w:rsidRPr="003C2F67">
          <w:rPr>
            <w:rStyle w:val="Hyperlink"/>
            <w:rFonts w:eastAsia="Calibri"/>
          </w:rPr>
          <w:t>allisattorneys@gmail.com</w:t>
        </w:r>
      </w:hyperlink>
    </w:p>
    <w:p w14:paraId="42B94B76" w14:textId="184751AC" w:rsidR="00D85AC1" w:rsidRDefault="00D85AC1" w:rsidP="00D85AC1">
      <w:pPr>
        <w:spacing w:after="0" w:line="360" w:lineRule="auto"/>
        <w:ind w:right="-180"/>
        <w:rPr>
          <w:rFonts w:eastAsia="Calibri"/>
        </w:rPr>
      </w:pPr>
    </w:p>
    <w:p w14:paraId="3AEBAB8B" w14:textId="31FE9BB3" w:rsidR="00D85AC1" w:rsidRDefault="00D85AC1" w:rsidP="00D85AC1">
      <w:pPr>
        <w:spacing w:after="0" w:line="360" w:lineRule="auto"/>
        <w:ind w:right="-180"/>
        <w:rPr>
          <w:rFonts w:eastAsia="Calibri"/>
        </w:rPr>
      </w:pPr>
      <w:r>
        <w:rPr>
          <w:rFonts w:eastAsia="Calibri"/>
        </w:rPr>
        <w:t>On behalf of Adele Bodenstein</w:t>
      </w:r>
      <w:r>
        <w:rPr>
          <w:rFonts w:eastAsia="Calibri"/>
        </w:rPr>
        <w:tab/>
        <w:t>Attorneys unknown. Her former attorneys’</w:t>
      </w:r>
    </w:p>
    <w:p w14:paraId="7E20B5F4" w14:textId="50FD14E3" w:rsidR="00D85AC1" w:rsidRDefault="00D85AC1" w:rsidP="00D85AC1">
      <w:pPr>
        <w:spacing w:after="0" w:line="360" w:lineRule="auto"/>
        <w:ind w:right="-180"/>
        <w:rPr>
          <w:rFonts w:eastAsia="Calibri"/>
        </w:rPr>
      </w:pPr>
      <w:r>
        <w:rPr>
          <w:rFonts w:eastAsia="Calibri"/>
        </w:rPr>
        <w:t>(member of fifth respondent):</w:t>
      </w:r>
      <w:r>
        <w:rPr>
          <w:rFonts w:eastAsia="Calibri"/>
        </w:rPr>
        <w:tab/>
        <w:t>particulars are Lombard &amp; Kriek Inc (Ref:</w:t>
      </w:r>
    </w:p>
    <w:p w14:paraId="18173783" w14:textId="17B56043" w:rsidR="00D85AC1" w:rsidRDefault="00D85AC1" w:rsidP="00D85AC1">
      <w:pPr>
        <w:spacing w:after="0" w:line="360" w:lineRule="auto"/>
        <w:ind w:right="-180"/>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JC Kriek Email: </w:t>
      </w:r>
      <w:hyperlink r:id="rId15" w:history="1">
        <w:r w:rsidRPr="003C2F67">
          <w:rPr>
            <w:rStyle w:val="Hyperlink"/>
            <w:rFonts w:eastAsia="Calibri"/>
          </w:rPr>
          <w:t>jc@lomattorneys.co.za</w:t>
        </w:r>
      </w:hyperlink>
    </w:p>
    <w:p w14:paraId="17285670" w14:textId="77777777" w:rsidR="006A064F" w:rsidRDefault="006A064F" w:rsidP="006A064F">
      <w:pPr>
        <w:widowControl w:val="0"/>
        <w:tabs>
          <w:tab w:val="left" w:pos="851"/>
          <w:tab w:val="left" w:pos="1701"/>
          <w:tab w:val="left" w:pos="2835"/>
          <w:tab w:val="left" w:pos="3969"/>
          <w:tab w:val="left" w:pos="4706"/>
        </w:tabs>
        <w:spacing w:line="480" w:lineRule="auto"/>
      </w:pPr>
    </w:p>
    <w:sectPr w:rsidR="006A064F" w:rsidSect="00274159">
      <w:headerReference w:type="default" r:id="rId16"/>
      <w:pgSz w:w="11906" w:h="16838"/>
      <w:pgMar w:top="1276" w:right="1274"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C5A02" w14:textId="77777777" w:rsidR="00C43712" w:rsidRDefault="00C43712" w:rsidP="00465AFD">
      <w:pPr>
        <w:spacing w:after="0" w:line="240" w:lineRule="auto"/>
      </w:pPr>
      <w:r>
        <w:separator/>
      </w:r>
    </w:p>
  </w:endnote>
  <w:endnote w:type="continuationSeparator" w:id="0">
    <w:p w14:paraId="6CC51A21" w14:textId="77777777" w:rsidR="00C43712" w:rsidRDefault="00C43712" w:rsidP="0046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antGarde Md BT">
    <w:altName w:val="Century Gothic"/>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6EE0C" w14:textId="77777777" w:rsidR="00C43712" w:rsidRDefault="00C43712" w:rsidP="00465AFD">
      <w:pPr>
        <w:spacing w:after="0" w:line="240" w:lineRule="auto"/>
      </w:pPr>
      <w:r>
        <w:separator/>
      </w:r>
    </w:p>
  </w:footnote>
  <w:footnote w:type="continuationSeparator" w:id="0">
    <w:p w14:paraId="781E9B24" w14:textId="77777777" w:rsidR="00C43712" w:rsidRDefault="00C43712" w:rsidP="00465AFD">
      <w:pPr>
        <w:spacing w:after="0" w:line="240" w:lineRule="auto"/>
      </w:pPr>
      <w:r>
        <w:continuationSeparator/>
      </w:r>
    </w:p>
  </w:footnote>
  <w:footnote w:id="1">
    <w:p w14:paraId="54322E3C" w14:textId="044BA9CD" w:rsidR="00DF05C0" w:rsidRPr="007B0D22" w:rsidRDefault="00DF05C0">
      <w:pPr>
        <w:pStyle w:val="FootnoteText"/>
        <w:rPr>
          <w:sz w:val="22"/>
          <w:szCs w:val="22"/>
        </w:rPr>
      </w:pPr>
      <w:r w:rsidRPr="007B0D22">
        <w:rPr>
          <w:rStyle w:val="FootnoteReference"/>
          <w:sz w:val="22"/>
          <w:szCs w:val="22"/>
        </w:rPr>
        <w:footnoteRef/>
      </w:r>
      <w:r w:rsidR="00D736B0">
        <w:rPr>
          <w:sz w:val="22"/>
          <w:szCs w:val="22"/>
        </w:rPr>
        <w:t xml:space="preserve"> </w:t>
      </w:r>
      <w:r w:rsidR="00D736B0">
        <w:rPr>
          <w:sz w:val="18"/>
          <w:szCs w:val="18"/>
        </w:rPr>
        <w:t>Government Gazette, 9 June 1999, No. 20169, Business Practices Committee, Report in terms of Section 10 (1) of the Harmful Business Practices Act, 1988 (Act No. 71 of 1988), Report 76, page</w:t>
      </w:r>
      <w:r w:rsidR="00C2266E">
        <w:rPr>
          <w:sz w:val="18"/>
          <w:szCs w:val="18"/>
        </w:rPr>
        <w:t xml:space="preserve"> </w:t>
      </w:r>
      <w:r w:rsidR="00D736B0">
        <w:rPr>
          <w:sz w:val="18"/>
          <w:szCs w:val="18"/>
        </w:rPr>
        <w:t>1</w:t>
      </w:r>
      <w:r w:rsidRPr="007B0D22">
        <w:rPr>
          <w:sz w:val="18"/>
          <w:szCs w:val="18"/>
        </w:rPr>
        <w:t>.</w:t>
      </w:r>
    </w:p>
  </w:footnote>
  <w:footnote w:id="2">
    <w:p w14:paraId="6B11F503" w14:textId="79AEE4D6" w:rsidR="00DF05C0" w:rsidRPr="007B0D22" w:rsidRDefault="00DF05C0">
      <w:pPr>
        <w:pStyle w:val="FootnoteText"/>
        <w:rPr>
          <w:sz w:val="22"/>
          <w:szCs w:val="22"/>
        </w:rPr>
      </w:pPr>
      <w:r w:rsidRPr="007B0D22">
        <w:rPr>
          <w:rStyle w:val="FootnoteReference"/>
          <w:sz w:val="22"/>
          <w:szCs w:val="22"/>
        </w:rPr>
        <w:footnoteRef/>
      </w:r>
      <w:r w:rsidRPr="007B0D22">
        <w:rPr>
          <w:sz w:val="22"/>
          <w:szCs w:val="22"/>
        </w:rPr>
        <w:t xml:space="preserve"> </w:t>
      </w:r>
      <w:r w:rsidRPr="007B0D22">
        <w:rPr>
          <w:sz w:val="18"/>
          <w:szCs w:val="18"/>
        </w:rPr>
        <w:t>“A Division …. has the power - ………. (c) in its discretion, and at the instance of any interested person, to enquire into and determine any existing, future or contingent right or obligation, notwithstanding that such person cannot claim any relief consequential upon the determination.”</w:t>
      </w:r>
    </w:p>
  </w:footnote>
  <w:footnote w:id="3">
    <w:p w14:paraId="716A5619" w14:textId="0446BB53" w:rsidR="00137899" w:rsidRPr="007B0D22" w:rsidRDefault="00137899">
      <w:pPr>
        <w:pStyle w:val="FootnoteText"/>
        <w:rPr>
          <w:sz w:val="18"/>
          <w:szCs w:val="18"/>
        </w:rPr>
      </w:pPr>
      <w:r w:rsidRPr="007B0D22">
        <w:rPr>
          <w:rStyle w:val="FootnoteReference"/>
          <w:sz w:val="18"/>
          <w:szCs w:val="18"/>
        </w:rPr>
        <w:footnoteRef/>
      </w:r>
      <w:r w:rsidRPr="007B0D22">
        <w:rPr>
          <w:sz w:val="18"/>
          <w:szCs w:val="18"/>
        </w:rPr>
        <w:t xml:space="preserve"> At the hearing, the insertion of the following words at the end of the relief claimed in</w:t>
      </w:r>
      <w:r w:rsidR="000363D7" w:rsidRPr="007B0D22">
        <w:rPr>
          <w:sz w:val="18"/>
          <w:szCs w:val="18"/>
        </w:rPr>
        <w:t xml:space="preserve"> </w:t>
      </w:r>
      <w:r w:rsidRPr="007B0D22">
        <w:rPr>
          <w:sz w:val="18"/>
          <w:szCs w:val="18"/>
        </w:rPr>
        <w:t xml:space="preserve">paragraph </w:t>
      </w:r>
      <w:r w:rsidR="00214396">
        <w:rPr>
          <w:sz w:val="18"/>
          <w:szCs w:val="18"/>
        </w:rPr>
        <w:t>1</w:t>
      </w:r>
      <w:r w:rsidRPr="007B0D22">
        <w:rPr>
          <w:sz w:val="18"/>
          <w:szCs w:val="18"/>
        </w:rPr>
        <w:t>.5</w:t>
      </w:r>
      <w:r w:rsidR="002B3A81" w:rsidRPr="007B0D22">
        <w:rPr>
          <w:sz w:val="18"/>
          <w:szCs w:val="18"/>
        </w:rPr>
        <w:t xml:space="preserve"> </w:t>
      </w:r>
      <w:r w:rsidR="000363D7" w:rsidRPr="007B0D22">
        <w:rPr>
          <w:sz w:val="18"/>
          <w:szCs w:val="18"/>
        </w:rPr>
        <w:t>of</w:t>
      </w:r>
      <w:r w:rsidR="002B3A81" w:rsidRPr="007B0D22">
        <w:rPr>
          <w:sz w:val="18"/>
          <w:szCs w:val="18"/>
        </w:rPr>
        <w:t xml:space="preserve"> the notice of motion</w:t>
      </w:r>
      <w:r w:rsidRPr="007B0D22">
        <w:rPr>
          <w:sz w:val="18"/>
          <w:szCs w:val="18"/>
        </w:rPr>
        <w:t xml:space="preserve"> above was sought: “</w:t>
      </w:r>
      <w:r w:rsidRPr="007B0D22">
        <w:rPr>
          <w:i/>
          <w:iCs/>
          <w:sz w:val="18"/>
          <w:szCs w:val="18"/>
        </w:rPr>
        <w:t>unless members can show the contrary (i.e. that the specific disposition was made in the normal course of business) in the proceedings contemplated in paragraph 3.6 below”</w:t>
      </w:r>
      <w:r w:rsidRPr="007B0D22">
        <w:rPr>
          <w:sz w:val="18"/>
          <w:szCs w:val="18"/>
        </w:rPr>
        <w:t>. It was submitted that this would afford members</w:t>
      </w:r>
      <w:r w:rsidR="002B3A81" w:rsidRPr="007B0D22">
        <w:rPr>
          <w:sz w:val="18"/>
          <w:szCs w:val="18"/>
        </w:rPr>
        <w:t xml:space="preserve"> </w:t>
      </w:r>
      <w:r w:rsidRPr="007B0D22">
        <w:rPr>
          <w:sz w:val="18"/>
          <w:szCs w:val="18"/>
        </w:rPr>
        <w:t>the</w:t>
      </w:r>
      <w:r w:rsidR="002B3A81" w:rsidRPr="007B0D22">
        <w:rPr>
          <w:sz w:val="18"/>
          <w:szCs w:val="18"/>
        </w:rPr>
        <w:t xml:space="preserve"> opportunity t</w:t>
      </w:r>
      <w:r w:rsidRPr="007B0D22">
        <w:rPr>
          <w:sz w:val="18"/>
          <w:szCs w:val="18"/>
        </w:rPr>
        <w:t>o raise defences</w:t>
      </w:r>
      <w:r w:rsidR="00DF05C0" w:rsidRPr="007B0D22">
        <w:rPr>
          <w:sz w:val="18"/>
          <w:szCs w:val="18"/>
        </w:rPr>
        <w:t xml:space="preserve"> </w:t>
      </w:r>
      <w:r w:rsidRPr="007B0D22">
        <w:rPr>
          <w:sz w:val="18"/>
          <w:szCs w:val="18"/>
        </w:rPr>
        <w:t>contemplated</w:t>
      </w:r>
      <w:r w:rsidR="002B3A81" w:rsidRPr="007B0D22">
        <w:rPr>
          <w:sz w:val="18"/>
          <w:szCs w:val="18"/>
        </w:rPr>
        <w:t xml:space="preserve"> i</w:t>
      </w:r>
      <w:r w:rsidRPr="007B0D22">
        <w:rPr>
          <w:sz w:val="18"/>
          <w:szCs w:val="18"/>
        </w:rPr>
        <w:t>n</w:t>
      </w:r>
      <w:r w:rsidR="00DF05C0" w:rsidRPr="007B0D22">
        <w:rPr>
          <w:sz w:val="18"/>
          <w:szCs w:val="18"/>
        </w:rPr>
        <w:t xml:space="preserve"> </w:t>
      </w:r>
      <w:r w:rsidRPr="007B0D22">
        <w:rPr>
          <w:sz w:val="18"/>
          <w:szCs w:val="18"/>
        </w:rPr>
        <w:t>Griffiths v Janse van Rensburg NO</w:t>
      </w:r>
      <w:r w:rsidR="00DF05C0" w:rsidRPr="007B0D22">
        <w:rPr>
          <w:sz w:val="18"/>
          <w:szCs w:val="18"/>
        </w:rPr>
        <w:t xml:space="preserve"> </w:t>
      </w:r>
      <w:r w:rsidRPr="007B0D22">
        <w:rPr>
          <w:sz w:val="18"/>
          <w:szCs w:val="18"/>
        </w:rPr>
        <w:t>and</w:t>
      </w:r>
      <w:r w:rsidR="00DF05C0" w:rsidRPr="007B0D22">
        <w:rPr>
          <w:sz w:val="18"/>
          <w:szCs w:val="18"/>
        </w:rPr>
        <w:t xml:space="preserve"> </w:t>
      </w:r>
      <w:r w:rsidRPr="007B0D22">
        <w:rPr>
          <w:sz w:val="18"/>
          <w:szCs w:val="18"/>
        </w:rPr>
        <w:t>another</w:t>
      </w:r>
      <w:r w:rsidR="00DF05C0" w:rsidRPr="007B0D22">
        <w:rPr>
          <w:sz w:val="18"/>
          <w:szCs w:val="18"/>
        </w:rPr>
        <w:t xml:space="preserve"> [</w:t>
      </w:r>
      <w:r w:rsidRPr="007B0D22">
        <w:rPr>
          <w:sz w:val="18"/>
          <w:szCs w:val="18"/>
        </w:rPr>
        <w:t>2016]</w:t>
      </w:r>
      <w:r w:rsidR="00DF05C0" w:rsidRPr="007B0D22">
        <w:rPr>
          <w:sz w:val="18"/>
          <w:szCs w:val="18"/>
        </w:rPr>
        <w:t xml:space="preserve"> </w:t>
      </w:r>
      <w:r w:rsidRPr="007B0D22">
        <w:rPr>
          <w:sz w:val="18"/>
          <w:szCs w:val="18"/>
        </w:rPr>
        <w:t>1</w:t>
      </w:r>
      <w:r w:rsidR="00DF05C0" w:rsidRPr="007B0D22">
        <w:rPr>
          <w:sz w:val="18"/>
          <w:szCs w:val="18"/>
        </w:rPr>
        <w:t xml:space="preserve"> </w:t>
      </w:r>
      <w:r w:rsidRPr="007B0D22">
        <w:rPr>
          <w:sz w:val="18"/>
          <w:szCs w:val="18"/>
        </w:rPr>
        <w:t>All</w:t>
      </w:r>
      <w:r w:rsidR="00DF05C0" w:rsidRPr="007B0D22">
        <w:rPr>
          <w:sz w:val="18"/>
          <w:szCs w:val="18"/>
        </w:rPr>
        <w:t xml:space="preserve"> </w:t>
      </w:r>
      <w:r w:rsidRPr="007B0D22">
        <w:rPr>
          <w:sz w:val="18"/>
          <w:szCs w:val="18"/>
        </w:rPr>
        <w:t>SA</w:t>
      </w:r>
      <w:r w:rsidR="00DF05C0" w:rsidRPr="007B0D22">
        <w:rPr>
          <w:sz w:val="18"/>
          <w:szCs w:val="18"/>
        </w:rPr>
        <w:t xml:space="preserve"> </w:t>
      </w:r>
      <w:r w:rsidRPr="007B0D22">
        <w:rPr>
          <w:sz w:val="18"/>
          <w:szCs w:val="18"/>
        </w:rPr>
        <w:t>643</w:t>
      </w:r>
      <w:r w:rsidR="002F2E60" w:rsidRPr="007B0D22">
        <w:rPr>
          <w:sz w:val="18"/>
          <w:szCs w:val="18"/>
        </w:rPr>
        <w:t xml:space="preserve"> </w:t>
      </w:r>
      <w:r w:rsidRPr="007B0D22">
        <w:rPr>
          <w:sz w:val="18"/>
          <w:szCs w:val="18"/>
        </w:rPr>
        <w:t>(SCA).</w:t>
      </w:r>
    </w:p>
  </w:footnote>
  <w:footnote w:id="4">
    <w:p w14:paraId="2CB46E73" w14:textId="35AFC3B7" w:rsidR="00B360CF" w:rsidRDefault="00B360CF" w:rsidP="00B360CF">
      <w:pPr>
        <w:pStyle w:val="FootnoteText"/>
        <w:rPr>
          <w:sz w:val="18"/>
          <w:szCs w:val="18"/>
        </w:rPr>
      </w:pPr>
      <w:r>
        <w:rPr>
          <w:rStyle w:val="FootnoteReference"/>
        </w:rPr>
        <w:footnoteRef/>
      </w:r>
      <w:r w:rsidR="008B2FAB">
        <w:rPr>
          <w:sz w:val="18"/>
          <w:szCs w:val="18"/>
        </w:rPr>
        <w:t xml:space="preserve">  </w:t>
      </w:r>
      <w:r w:rsidRPr="007B0D22">
        <w:rPr>
          <w:sz w:val="18"/>
          <w:szCs w:val="18"/>
        </w:rPr>
        <w:t xml:space="preserve">During February 2022, 15 000 of the so-called Kriel investors, brought an application to stay the proceedings pending an application for the removal of the </w:t>
      </w:r>
      <w:r w:rsidRPr="00AE5BED">
        <w:rPr>
          <w:sz w:val="18"/>
          <w:szCs w:val="18"/>
        </w:rPr>
        <w:t>applicants. This application was settled in March 2022,</w:t>
      </w:r>
      <w:r>
        <w:rPr>
          <w:sz w:val="18"/>
          <w:szCs w:val="18"/>
        </w:rPr>
        <w:t xml:space="preserve"> the relevant terms of the Kriel agreement were:</w:t>
      </w:r>
    </w:p>
    <w:p w14:paraId="20FE0972" w14:textId="77777777" w:rsidR="00B360CF" w:rsidRDefault="00B360CF" w:rsidP="00B360CF">
      <w:pPr>
        <w:pStyle w:val="FootnoteText"/>
        <w:rPr>
          <w:sz w:val="18"/>
          <w:szCs w:val="18"/>
        </w:rPr>
      </w:pPr>
      <w:r>
        <w:rPr>
          <w:sz w:val="18"/>
          <w:szCs w:val="18"/>
        </w:rPr>
        <w:t>“1.3 The claims of loser investors against MTI will be calculated using the following formula:</w:t>
      </w:r>
    </w:p>
    <w:p w14:paraId="4CBD21D2" w14:textId="77777777" w:rsidR="00B360CF" w:rsidRDefault="00B360CF" w:rsidP="00B360CF">
      <w:pPr>
        <w:pStyle w:val="FootnoteText"/>
        <w:rPr>
          <w:sz w:val="18"/>
          <w:szCs w:val="18"/>
        </w:rPr>
      </w:pPr>
      <w:r>
        <w:rPr>
          <w:sz w:val="18"/>
          <w:szCs w:val="18"/>
        </w:rPr>
        <w:t xml:space="preserve">       [Actual amount invested) excluding peer to peer and internal MTI account transfers), calculated on the    </w:t>
      </w:r>
    </w:p>
    <w:p w14:paraId="0EC7531A" w14:textId="77777777" w:rsidR="00B360CF" w:rsidRDefault="00B360CF" w:rsidP="00B360CF">
      <w:pPr>
        <w:pStyle w:val="FootnoteText"/>
        <w:rPr>
          <w:sz w:val="18"/>
          <w:szCs w:val="18"/>
        </w:rPr>
      </w:pPr>
      <w:r>
        <w:rPr>
          <w:sz w:val="18"/>
          <w:szCs w:val="18"/>
        </w:rPr>
        <w:t xml:space="preserve">       highest value of bitcoin on the date of the investment] </w:t>
      </w:r>
    </w:p>
    <w:p w14:paraId="0FCBCFCF" w14:textId="77777777" w:rsidR="00B360CF" w:rsidRDefault="00B360CF" w:rsidP="00B360CF">
      <w:pPr>
        <w:pStyle w:val="FootnoteText"/>
        <w:rPr>
          <w:sz w:val="18"/>
          <w:szCs w:val="18"/>
        </w:rPr>
      </w:pPr>
      <w:r>
        <w:rPr>
          <w:sz w:val="18"/>
          <w:szCs w:val="18"/>
        </w:rPr>
        <w:t xml:space="preserve">       Less</w:t>
      </w:r>
    </w:p>
    <w:p w14:paraId="18EFF6FE" w14:textId="77777777" w:rsidR="00B360CF" w:rsidRDefault="00B360CF" w:rsidP="00B360CF">
      <w:pPr>
        <w:pStyle w:val="FootnoteText"/>
        <w:rPr>
          <w:sz w:val="18"/>
          <w:szCs w:val="18"/>
        </w:rPr>
      </w:pPr>
      <w:r>
        <w:rPr>
          <w:sz w:val="18"/>
          <w:szCs w:val="18"/>
        </w:rPr>
        <w:t xml:space="preserve">       [Actual payments made to an investor, based on the value of bitcoin on the date of the payment]</w:t>
      </w:r>
    </w:p>
    <w:p w14:paraId="48E329FE" w14:textId="77777777" w:rsidR="00B360CF" w:rsidRDefault="00B360CF" w:rsidP="00B360CF">
      <w:pPr>
        <w:pStyle w:val="FootnoteText"/>
        <w:ind w:left="720" w:hanging="720"/>
        <w:rPr>
          <w:sz w:val="18"/>
          <w:szCs w:val="18"/>
        </w:rPr>
      </w:pPr>
      <w:r>
        <w:rPr>
          <w:sz w:val="18"/>
          <w:szCs w:val="18"/>
        </w:rPr>
        <w:t xml:space="preserve">1.4  The value of bitcoin as per the abovementioned formula, will be based on the value, in South African Rand, </w:t>
      </w:r>
    </w:p>
    <w:p w14:paraId="4DCEC632" w14:textId="77777777" w:rsidR="00B360CF" w:rsidRDefault="00B360CF" w:rsidP="00B360CF">
      <w:pPr>
        <w:pStyle w:val="FootnoteText"/>
        <w:ind w:left="720" w:hanging="720"/>
        <w:rPr>
          <w:sz w:val="18"/>
          <w:szCs w:val="18"/>
        </w:rPr>
      </w:pPr>
      <w:r>
        <w:rPr>
          <w:sz w:val="18"/>
          <w:szCs w:val="18"/>
        </w:rPr>
        <w:t xml:space="preserve">       as published by Luno (South Africa) on the specific day.”</w:t>
      </w:r>
    </w:p>
    <w:p w14:paraId="10964C9A" w14:textId="77777777" w:rsidR="00B360CF" w:rsidRDefault="00B360CF" w:rsidP="00B360CF">
      <w:pPr>
        <w:pStyle w:val="FootnoteText"/>
        <w:ind w:left="720" w:hanging="720"/>
        <w:rPr>
          <w:sz w:val="18"/>
          <w:szCs w:val="18"/>
        </w:rPr>
      </w:pPr>
      <w:r>
        <w:rPr>
          <w:sz w:val="18"/>
          <w:szCs w:val="18"/>
        </w:rPr>
        <w:t xml:space="preserve">2.    The abovementioned agreement is conditional on the High Court finding that the business of MTI was </w:t>
      </w:r>
    </w:p>
    <w:p w14:paraId="71055AA7" w14:textId="77777777" w:rsidR="00B360CF" w:rsidRDefault="00B360CF" w:rsidP="00B360CF">
      <w:pPr>
        <w:pStyle w:val="FootnoteText"/>
        <w:ind w:left="720" w:hanging="720"/>
        <w:rPr>
          <w:sz w:val="18"/>
          <w:szCs w:val="18"/>
        </w:rPr>
      </w:pPr>
      <w:r>
        <w:rPr>
          <w:sz w:val="18"/>
          <w:szCs w:val="18"/>
        </w:rPr>
        <w:t xml:space="preserve">        conducted illegally. Pending the fulfilment of this condition, the parties shall act in accordance with the terms </w:t>
      </w:r>
    </w:p>
    <w:p w14:paraId="7573A709" w14:textId="77777777" w:rsidR="00B360CF" w:rsidRDefault="00B360CF" w:rsidP="00B360CF">
      <w:pPr>
        <w:pStyle w:val="FootnoteText"/>
        <w:ind w:left="720" w:hanging="720"/>
        <w:rPr>
          <w:sz w:val="18"/>
          <w:szCs w:val="18"/>
        </w:rPr>
      </w:pPr>
      <w:r>
        <w:rPr>
          <w:sz w:val="18"/>
          <w:szCs w:val="18"/>
        </w:rPr>
        <w:t xml:space="preserve">        thereof, except for the finalisation of a first liquidation and distribution account.</w:t>
      </w:r>
    </w:p>
    <w:p w14:paraId="70DBF389" w14:textId="77777777" w:rsidR="00B360CF" w:rsidRDefault="00B360CF" w:rsidP="00B360CF">
      <w:pPr>
        <w:pStyle w:val="FootnoteText"/>
        <w:ind w:left="720" w:hanging="720"/>
        <w:rPr>
          <w:sz w:val="18"/>
          <w:szCs w:val="18"/>
        </w:rPr>
      </w:pPr>
      <w:r>
        <w:rPr>
          <w:sz w:val="18"/>
          <w:szCs w:val="18"/>
        </w:rPr>
        <w:t xml:space="preserve">3.     It is recorded that the terms of the abovementioned agreement, will be applicable to all net loser investors of </w:t>
      </w:r>
    </w:p>
    <w:p w14:paraId="411AC4EF" w14:textId="5D6C5500" w:rsidR="00B360CF" w:rsidRDefault="00B360CF" w:rsidP="00B360CF">
      <w:pPr>
        <w:pStyle w:val="FootnoteText"/>
        <w:ind w:left="720" w:hanging="720"/>
        <w:rPr>
          <w:sz w:val="18"/>
          <w:szCs w:val="18"/>
        </w:rPr>
      </w:pPr>
      <w:r>
        <w:rPr>
          <w:sz w:val="18"/>
          <w:szCs w:val="18"/>
        </w:rPr>
        <w:t xml:space="preserve">        MTI, irrespective of whether they are represented by GetaQuid.”</w:t>
      </w:r>
    </w:p>
    <w:p w14:paraId="15170016" w14:textId="3B01C989" w:rsidR="00B360CF" w:rsidRDefault="00B360CF">
      <w:pPr>
        <w:pStyle w:val="FootnoteText"/>
      </w:pPr>
      <w:r>
        <w:t xml:space="preserve"> </w:t>
      </w:r>
    </w:p>
  </w:footnote>
  <w:footnote w:id="5">
    <w:p w14:paraId="18DB5888" w14:textId="0FD6674D" w:rsidR="00A3620D" w:rsidRPr="00761A67" w:rsidRDefault="00A3620D">
      <w:pPr>
        <w:pStyle w:val="FootnoteText"/>
        <w:rPr>
          <w:sz w:val="18"/>
          <w:szCs w:val="18"/>
          <w:lang w:val="en-GB"/>
        </w:rPr>
      </w:pPr>
      <w:r w:rsidRPr="00761A67">
        <w:rPr>
          <w:rStyle w:val="FootnoteReference"/>
          <w:sz w:val="18"/>
          <w:szCs w:val="18"/>
        </w:rPr>
        <w:footnoteRef/>
      </w:r>
      <w:r w:rsidRPr="00761A67">
        <w:rPr>
          <w:sz w:val="18"/>
          <w:szCs w:val="18"/>
        </w:rPr>
        <w:t xml:space="preserve"> </w:t>
      </w:r>
      <w:r w:rsidRPr="00761A67">
        <w:rPr>
          <w:sz w:val="18"/>
          <w:szCs w:val="18"/>
          <w:lang w:val="en-GB"/>
        </w:rPr>
        <w:t>The FSCA came into existence on 1 April 2018 as part of a model of regulation introduced by the Financial Services Board (“FSB”) known as the “Twin Peaks” model. The FSCA took over the functions of regulating and supervising the conduct of financial institutions previously performed by the FSB.</w:t>
      </w:r>
    </w:p>
  </w:footnote>
  <w:footnote w:id="6">
    <w:p w14:paraId="4F390BBD" w14:textId="7DD34D31" w:rsidR="00B360CF" w:rsidRPr="003B0863" w:rsidRDefault="00B360CF">
      <w:pPr>
        <w:pStyle w:val="FootnoteText"/>
        <w:rPr>
          <w:b/>
          <w:bCs/>
        </w:rPr>
      </w:pPr>
      <w:r>
        <w:rPr>
          <w:rStyle w:val="FootnoteReference"/>
        </w:rPr>
        <w:footnoteRef/>
      </w:r>
      <w:r>
        <w:t xml:space="preserve"> </w:t>
      </w:r>
      <w:r w:rsidRPr="007B0D22">
        <w:rPr>
          <w:sz w:val="18"/>
          <w:szCs w:val="18"/>
        </w:rPr>
        <w:t>See also Oosthuizen v Mijs 2009 (6) SA 266 (W) at 2691</w:t>
      </w:r>
      <w:r>
        <w:rPr>
          <w:sz w:val="18"/>
          <w:szCs w:val="18"/>
        </w:rPr>
        <w:t>;</w:t>
      </w:r>
      <w:r w:rsidRPr="007B0D22">
        <w:rPr>
          <w:sz w:val="18"/>
          <w:szCs w:val="18"/>
        </w:rPr>
        <w:t xml:space="preserve"> Industrial Development Corporation of South Africa v Sooliman 2013(5) 603 (</w:t>
      </w:r>
      <w:r w:rsidRPr="00A3620D">
        <w:rPr>
          <w:sz w:val="18"/>
          <w:szCs w:val="18"/>
        </w:rPr>
        <w:t>G</w:t>
      </w:r>
      <w:r w:rsidRPr="007B0D22">
        <w:rPr>
          <w:sz w:val="18"/>
          <w:szCs w:val="18"/>
        </w:rPr>
        <w:t>J) at</w:t>
      </w:r>
      <w:r w:rsidR="004E7F5F">
        <w:rPr>
          <w:sz w:val="18"/>
          <w:szCs w:val="18"/>
        </w:rPr>
        <w:t xml:space="preserve"> para [</w:t>
      </w:r>
      <w:r w:rsidRPr="007B0D22">
        <w:rPr>
          <w:sz w:val="18"/>
          <w:szCs w:val="18"/>
        </w:rPr>
        <w:t>9</w:t>
      </w:r>
      <w:r w:rsidR="004E7F5F">
        <w:rPr>
          <w:sz w:val="18"/>
          <w:szCs w:val="18"/>
        </w:rPr>
        <w:t>]</w:t>
      </w:r>
      <w:r w:rsidRPr="007B0D22">
        <w:rPr>
          <w:sz w:val="18"/>
          <w:szCs w:val="18"/>
        </w:rPr>
        <w:t xml:space="preserve"> and Faraday Taxi Association v Director Registration and monitoring: MEC for Roads and Transport</w:t>
      </w:r>
      <w:r w:rsidR="00134670">
        <w:rPr>
          <w:sz w:val="18"/>
          <w:szCs w:val="18"/>
        </w:rPr>
        <w:t xml:space="preserve"> and Other</w:t>
      </w:r>
      <w:r w:rsidR="00134670" w:rsidRPr="00134670">
        <w:rPr>
          <w:sz w:val="18"/>
          <w:szCs w:val="18"/>
        </w:rPr>
        <w:t>s</w:t>
      </w:r>
      <w:r w:rsidR="00134670">
        <w:rPr>
          <w:sz w:val="18"/>
          <w:szCs w:val="18"/>
        </w:rPr>
        <w:t xml:space="preserve"> </w:t>
      </w:r>
      <w:r w:rsidR="00134670" w:rsidRPr="00134670">
        <w:rPr>
          <w:sz w:val="18"/>
          <w:szCs w:val="18"/>
        </w:rPr>
        <w:t>(</w:t>
      </w:r>
      <w:r w:rsidRPr="00134670">
        <w:rPr>
          <w:sz w:val="18"/>
          <w:szCs w:val="18"/>
        </w:rPr>
        <w:t>58879/2021</w:t>
      </w:r>
      <w:r w:rsidR="00EA7CC3">
        <w:rPr>
          <w:sz w:val="18"/>
          <w:szCs w:val="18"/>
        </w:rPr>
        <w:t>)</w:t>
      </w:r>
      <w:r w:rsidR="00134670" w:rsidRPr="00134670">
        <w:rPr>
          <w:sz w:val="18"/>
          <w:szCs w:val="18"/>
        </w:rPr>
        <w:t xml:space="preserve"> [2022 ZAGPJHC 213</w:t>
      </w:r>
      <w:r w:rsidR="00C00514">
        <w:rPr>
          <w:sz w:val="18"/>
          <w:szCs w:val="18"/>
        </w:rPr>
        <w:t xml:space="preserve"> </w:t>
      </w:r>
      <w:r w:rsidR="00134670" w:rsidRPr="00134670">
        <w:rPr>
          <w:sz w:val="18"/>
          <w:szCs w:val="18"/>
        </w:rPr>
        <w:t>(5 April 2022)</w:t>
      </w:r>
    </w:p>
  </w:footnote>
  <w:footnote w:id="7">
    <w:p w14:paraId="1B63CC4C" w14:textId="77777777" w:rsidR="005C13BE" w:rsidRPr="003D211C" w:rsidRDefault="00C40EDE">
      <w:pPr>
        <w:pStyle w:val="FootnoteText"/>
        <w:rPr>
          <w:sz w:val="18"/>
          <w:szCs w:val="18"/>
        </w:rPr>
      </w:pPr>
      <w:r w:rsidRPr="003D211C">
        <w:rPr>
          <w:rStyle w:val="FootnoteReference"/>
          <w:sz w:val="18"/>
          <w:szCs w:val="18"/>
        </w:rPr>
        <w:footnoteRef/>
      </w:r>
      <w:r w:rsidRPr="003D211C">
        <w:rPr>
          <w:sz w:val="18"/>
          <w:szCs w:val="18"/>
        </w:rPr>
        <w:t xml:space="preserve"> </w:t>
      </w:r>
      <w:r w:rsidR="00BA5677" w:rsidRPr="003D211C">
        <w:rPr>
          <w:sz w:val="18"/>
          <w:szCs w:val="18"/>
        </w:rPr>
        <w:t xml:space="preserve">“By agreement between Third Respondent and First to Fifth Proposed Intervening Parties (“the Proposed Intervening Parties”); </w:t>
      </w:r>
    </w:p>
    <w:p w14:paraId="68516EC0" w14:textId="77777777" w:rsidR="005C13BE" w:rsidRPr="003D211C" w:rsidRDefault="00BA5677">
      <w:pPr>
        <w:pStyle w:val="FootnoteText"/>
        <w:rPr>
          <w:b/>
          <w:bCs/>
          <w:sz w:val="18"/>
          <w:szCs w:val="18"/>
          <w:u w:val="single"/>
        </w:rPr>
      </w:pPr>
      <w:r w:rsidRPr="003D211C">
        <w:rPr>
          <w:b/>
          <w:bCs/>
          <w:sz w:val="18"/>
          <w:szCs w:val="18"/>
          <w:u w:val="single"/>
        </w:rPr>
        <w:t xml:space="preserve">IT IS ORDERED THAT: </w:t>
      </w:r>
    </w:p>
    <w:p w14:paraId="411DFB37" w14:textId="77777777" w:rsidR="005C13BE" w:rsidRPr="003D211C" w:rsidRDefault="00BA5677">
      <w:pPr>
        <w:pStyle w:val="FootnoteText"/>
        <w:rPr>
          <w:sz w:val="18"/>
          <w:szCs w:val="18"/>
        </w:rPr>
      </w:pPr>
      <w:r w:rsidRPr="003D211C">
        <w:rPr>
          <w:sz w:val="18"/>
          <w:szCs w:val="18"/>
        </w:rPr>
        <w:t>1. The application, launched by the Proposed Intervening Parties, is postponed to the semi-urgent roll for hearing, on Wednesday 8 September 2021.</w:t>
      </w:r>
      <w:r w:rsidR="000B57BC" w:rsidRPr="003D211C">
        <w:rPr>
          <w:sz w:val="18"/>
          <w:szCs w:val="18"/>
        </w:rPr>
        <w:t xml:space="preserve"> </w:t>
      </w:r>
    </w:p>
    <w:p w14:paraId="19E805AC" w14:textId="77777777" w:rsidR="005C13BE" w:rsidRPr="003D211C" w:rsidRDefault="000B57BC">
      <w:pPr>
        <w:pStyle w:val="FootnoteText"/>
        <w:rPr>
          <w:sz w:val="18"/>
          <w:szCs w:val="18"/>
        </w:rPr>
      </w:pPr>
      <w:r w:rsidRPr="003D211C">
        <w:rPr>
          <w:sz w:val="18"/>
          <w:szCs w:val="18"/>
        </w:rPr>
        <w:t xml:space="preserve">2. By no later than 7 July 2021 Third Respondent, shall publish this order on the telegram social media platform used by First Respondent and shall file by no later than 12 July 2021 an affidavit confirming such publication and annexing proof thereof: </w:t>
      </w:r>
    </w:p>
    <w:p w14:paraId="0E267836" w14:textId="77777777" w:rsidR="005C13BE" w:rsidRPr="003D211C" w:rsidRDefault="000B57BC" w:rsidP="005C13BE">
      <w:pPr>
        <w:pStyle w:val="FootnoteText"/>
        <w:rPr>
          <w:sz w:val="18"/>
          <w:szCs w:val="18"/>
        </w:rPr>
      </w:pPr>
      <w:r w:rsidRPr="003D211C">
        <w:rPr>
          <w:sz w:val="18"/>
          <w:szCs w:val="18"/>
        </w:rPr>
        <w:t xml:space="preserve">3. Any party who wishes to oppose any of the relief sought by the Proposed Intervening Parties, shall file their answering affidavits, dealing with all the relief sought by the Proposed Intervening Parties, on or before 30 July 2021. </w:t>
      </w:r>
    </w:p>
    <w:p w14:paraId="14A8C915" w14:textId="77777777" w:rsidR="005C13BE" w:rsidRPr="003D211C" w:rsidRDefault="000B57BC">
      <w:pPr>
        <w:pStyle w:val="FootnoteText"/>
        <w:rPr>
          <w:sz w:val="18"/>
          <w:szCs w:val="18"/>
        </w:rPr>
      </w:pPr>
      <w:r w:rsidRPr="003D211C">
        <w:rPr>
          <w:sz w:val="18"/>
          <w:szCs w:val="18"/>
        </w:rPr>
        <w:t xml:space="preserve">4. The Proposed Intervening Parties shall file their replying affidavits, if any, on/or before13 August 2021. </w:t>
      </w:r>
    </w:p>
    <w:p w14:paraId="14C890EF" w14:textId="77777777" w:rsidR="005C13BE" w:rsidRPr="003D211C" w:rsidRDefault="000B57BC">
      <w:pPr>
        <w:pStyle w:val="FootnoteText"/>
        <w:rPr>
          <w:sz w:val="18"/>
          <w:szCs w:val="18"/>
        </w:rPr>
      </w:pPr>
      <w:r w:rsidRPr="003D211C">
        <w:rPr>
          <w:sz w:val="18"/>
          <w:szCs w:val="18"/>
        </w:rPr>
        <w:t xml:space="preserve">5. The Proposed Intervening Parties shall file their heads of argument on/or before 24 August 2021. </w:t>
      </w:r>
    </w:p>
    <w:p w14:paraId="29B3C3DA" w14:textId="2A36D650" w:rsidR="00C40EDE" w:rsidRPr="003D211C" w:rsidRDefault="000B57BC">
      <w:pPr>
        <w:pStyle w:val="FootnoteText"/>
        <w:rPr>
          <w:sz w:val="18"/>
          <w:szCs w:val="18"/>
        </w:rPr>
      </w:pPr>
      <w:r w:rsidRPr="003D211C">
        <w:rPr>
          <w:sz w:val="18"/>
          <w:szCs w:val="18"/>
        </w:rPr>
        <w:t>6. Any party who opposes the intervention application shall file heads of argument on/or before 31 August 2021. 7. All questions of costs shall stand over for later determination.”</w:t>
      </w:r>
    </w:p>
  </w:footnote>
  <w:footnote w:id="8">
    <w:p w14:paraId="6538E497" w14:textId="77777777" w:rsidR="00F55C32" w:rsidRDefault="00C40EDE" w:rsidP="007D3386">
      <w:pPr>
        <w:spacing w:after="0" w:line="240" w:lineRule="auto"/>
        <w:rPr>
          <w:sz w:val="18"/>
          <w:szCs w:val="18"/>
          <w:lang w:val="en-US"/>
        </w:rPr>
      </w:pPr>
      <w:r w:rsidRPr="007B0D22">
        <w:rPr>
          <w:rStyle w:val="FootnoteReference"/>
          <w:sz w:val="18"/>
          <w:szCs w:val="18"/>
        </w:rPr>
        <w:footnoteRef/>
      </w:r>
      <w:r w:rsidRPr="007B0D22">
        <w:rPr>
          <w:sz w:val="18"/>
          <w:szCs w:val="18"/>
        </w:rPr>
        <w:t xml:space="preserve"> </w:t>
      </w:r>
      <w:r w:rsidR="007D3386" w:rsidRPr="008D335B">
        <w:rPr>
          <w:b/>
          <w:bCs/>
          <w:sz w:val="18"/>
          <w:szCs w:val="18"/>
          <w:lang w:val="en-US"/>
        </w:rPr>
        <w:t>“</w:t>
      </w:r>
      <w:r w:rsidR="007D3386" w:rsidRPr="000F767F">
        <w:rPr>
          <w:sz w:val="18"/>
          <w:szCs w:val="18"/>
          <w:lang w:val="en-US"/>
        </w:rPr>
        <w:t>By agreement between the First to Fifth Applicants and the First to Fourth Respondents and the Sixth</w:t>
      </w:r>
    </w:p>
    <w:p w14:paraId="1C51853F" w14:textId="05428D71" w:rsidR="007D3386" w:rsidRPr="000F767F" w:rsidRDefault="007D3386" w:rsidP="007D3386">
      <w:pPr>
        <w:spacing w:after="0" w:line="240" w:lineRule="auto"/>
        <w:rPr>
          <w:sz w:val="18"/>
          <w:szCs w:val="18"/>
          <w:lang w:val="en-US"/>
        </w:rPr>
      </w:pPr>
      <w:r w:rsidRPr="000F767F">
        <w:rPr>
          <w:sz w:val="18"/>
          <w:szCs w:val="18"/>
          <w:lang w:val="en-US"/>
        </w:rPr>
        <w:t xml:space="preserve"> </w:t>
      </w:r>
      <w:r w:rsidR="00F55C32">
        <w:rPr>
          <w:sz w:val="18"/>
          <w:szCs w:val="18"/>
          <w:lang w:val="en-US"/>
        </w:rPr>
        <w:t xml:space="preserve">   </w:t>
      </w:r>
      <w:r w:rsidRPr="000F767F">
        <w:rPr>
          <w:sz w:val="18"/>
          <w:szCs w:val="18"/>
          <w:lang w:val="en-US"/>
        </w:rPr>
        <w:t>Respondent, the following order is made:</w:t>
      </w:r>
    </w:p>
    <w:p w14:paraId="2FBA04D5" w14:textId="09B856E5" w:rsidR="004708E7" w:rsidRPr="000F767F" w:rsidRDefault="00761A67" w:rsidP="00F55C32">
      <w:pPr>
        <w:tabs>
          <w:tab w:val="left" w:pos="284"/>
        </w:tabs>
        <w:spacing w:after="0" w:line="240" w:lineRule="auto"/>
        <w:ind w:left="426" w:hanging="426"/>
        <w:rPr>
          <w:sz w:val="18"/>
          <w:szCs w:val="18"/>
          <w:lang w:val="en-US"/>
        </w:rPr>
      </w:pPr>
      <w:r w:rsidRPr="000F767F">
        <w:rPr>
          <w:sz w:val="18"/>
          <w:szCs w:val="18"/>
          <w:lang w:val="en-US"/>
        </w:rPr>
        <w:t>1.</w:t>
      </w:r>
      <w:r w:rsidR="00F55C32">
        <w:rPr>
          <w:sz w:val="18"/>
          <w:szCs w:val="18"/>
          <w:lang w:val="en-US"/>
        </w:rPr>
        <w:t xml:space="preserve">   </w:t>
      </w:r>
      <w:r w:rsidR="007D3386" w:rsidRPr="000F767F">
        <w:rPr>
          <w:sz w:val="18"/>
          <w:szCs w:val="18"/>
          <w:lang w:val="en-US"/>
        </w:rPr>
        <w:t xml:space="preserve">This matter, in which the flowing relief will be sought by the above Applicants, is postponed for hearing </w:t>
      </w:r>
      <w:r w:rsidR="004708E7" w:rsidRPr="000F767F">
        <w:rPr>
          <w:sz w:val="18"/>
          <w:szCs w:val="18"/>
          <w:lang w:val="en-US"/>
        </w:rPr>
        <w:t>before</w:t>
      </w:r>
    </w:p>
    <w:p w14:paraId="68B6DBCF" w14:textId="2F2A6D85" w:rsidR="007D3386" w:rsidRDefault="004708E7" w:rsidP="004708E7">
      <w:pPr>
        <w:spacing w:after="0" w:line="240" w:lineRule="auto"/>
        <w:ind w:left="426" w:hanging="426"/>
        <w:rPr>
          <w:sz w:val="18"/>
          <w:szCs w:val="18"/>
          <w:lang w:val="en-US"/>
        </w:rPr>
      </w:pPr>
      <w:r w:rsidRPr="000F767F">
        <w:rPr>
          <w:sz w:val="18"/>
          <w:szCs w:val="18"/>
          <w:lang w:val="en-US"/>
        </w:rPr>
        <w:t xml:space="preserve">   </w:t>
      </w:r>
      <w:r w:rsidR="00F55C32">
        <w:rPr>
          <w:sz w:val="18"/>
          <w:szCs w:val="18"/>
          <w:lang w:val="en-US"/>
        </w:rPr>
        <w:t xml:space="preserve"> </w:t>
      </w:r>
      <w:r w:rsidRPr="000F767F">
        <w:rPr>
          <w:sz w:val="18"/>
          <w:szCs w:val="18"/>
          <w:lang w:val="en-US"/>
        </w:rPr>
        <w:t xml:space="preserve"> </w:t>
      </w:r>
      <w:r w:rsidR="00F55C32">
        <w:rPr>
          <w:sz w:val="18"/>
          <w:szCs w:val="18"/>
          <w:lang w:val="en-US"/>
        </w:rPr>
        <w:t xml:space="preserve"> </w:t>
      </w:r>
      <w:r w:rsidRPr="000F767F">
        <w:rPr>
          <w:sz w:val="18"/>
          <w:szCs w:val="18"/>
          <w:lang w:val="en-US"/>
        </w:rPr>
        <w:t>the</w:t>
      </w:r>
      <w:r w:rsidR="007D3386" w:rsidRPr="000F767F">
        <w:rPr>
          <w:sz w:val="18"/>
          <w:szCs w:val="18"/>
          <w:lang w:val="en-US"/>
        </w:rPr>
        <w:t xml:space="preserve"> </w:t>
      </w:r>
      <w:r w:rsidR="007D3386" w:rsidRPr="008D335B">
        <w:rPr>
          <w:sz w:val="18"/>
          <w:szCs w:val="18"/>
          <w:lang w:val="en-US"/>
        </w:rPr>
        <w:t>Honourable Acting Justice De Wet on 2 March 2022:</w:t>
      </w:r>
    </w:p>
    <w:p w14:paraId="71C824E6" w14:textId="26233163" w:rsidR="004708E7" w:rsidRDefault="004708E7" w:rsidP="00F55C32">
      <w:pPr>
        <w:tabs>
          <w:tab w:val="left" w:pos="284"/>
        </w:tabs>
        <w:spacing w:after="0" w:line="240" w:lineRule="auto"/>
        <w:ind w:left="426" w:hanging="426"/>
        <w:rPr>
          <w:sz w:val="18"/>
          <w:szCs w:val="18"/>
          <w:lang w:val="en-US"/>
        </w:rPr>
      </w:pPr>
      <w:r>
        <w:rPr>
          <w:sz w:val="18"/>
          <w:szCs w:val="18"/>
          <w:lang w:val="en-US"/>
        </w:rPr>
        <w:t xml:space="preserve">  </w:t>
      </w:r>
      <w:r w:rsidR="00F55C32">
        <w:rPr>
          <w:sz w:val="18"/>
          <w:szCs w:val="18"/>
          <w:lang w:val="en-US"/>
        </w:rPr>
        <w:t xml:space="preserve"> </w:t>
      </w:r>
      <w:r>
        <w:rPr>
          <w:sz w:val="18"/>
          <w:szCs w:val="18"/>
          <w:lang w:val="en-US"/>
        </w:rPr>
        <w:t xml:space="preserve">  </w:t>
      </w:r>
      <w:r w:rsidR="00F55C32">
        <w:rPr>
          <w:sz w:val="18"/>
          <w:szCs w:val="18"/>
          <w:lang w:val="en-US"/>
        </w:rPr>
        <w:t xml:space="preserve"> </w:t>
      </w:r>
      <w:r>
        <w:rPr>
          <w:sz w:val="18"/>
          <w:szCs w:val="18"/>
          <w:lang w:val="en-US"/>
        </w:rPr>
        <w:t>1.1 [See the prayers as set out in para 1 of this judgement]</w:t>
      </w:r>
    </w:p>
    <w:p w14:paraId="1AA156C0" w14:textId="2F713C4D" w:rsidR="00AA66F8" w:rsidRDefault="007D3386" w:rsidP="004708E7">
      <w:pPr>
        <w:spacing w:after="0" w:line="240" w:lineRule="auto"/>
        <w:ind w:left="426" w:hanging="426"/>
        <w:rPr>
          <w:sz w:val="18"/>
          <w:szCs w:val="18"/>
          <w:lang w:val="en-US"/>
        </w:rPr>
      </w:pPr>
      <w:r w:rsidRPr="008D335B">
        <w:rPr>
          <w:sz w:val="18"/>
          <w:szCs w:val="18"/>
          <w:lang w:val="en-US"/>
        </w:rPr>
        <w:t>2.</w:t>
      </w:r>
      <w:r>
        <w:rPr>
          <w:sz w:val="18"/>
          <w:szCs w:val="18"/>
          <w:lang w:val="en-US"/>
        </w:rPr>
        <w:t xml:space="preserve"> </w:t>
      </w:r>
      <w:r w:rsidR="00F55C32">
        <w:rPr>
          <w:sz w:val="18"/>
          <w:szCs w:val="18"/>
          <w:lang w:val="en-US"/>
        </w:rPr>
        <w:t xml:space="preserve">  </w:t>
      </w:r>
      <w:r w:rsidRPr="008D335B">
        <w:rPr>
          <w:sz w:val="18"/>
          <w:szCs w:val="18"/>
          <w:lang w:val="en-US"/>
        </w:rPr>
        <w:t>All affidavits, notice and documents filed, up to and including 8 September 2021, in the matter in this Court</w:t>
      </w:r>
      <w:r w:rsidR="00AA66F8">
        <w:rPr>
          <w:sz w:val="18"/>
          <w:szCs w:val="18"/>
          <w:lang w:val="en-US"/>
        </w:rPr>
        <w:t xml:space="preserve"> </w:t>
      </w:r>
    </w:p>
    <w:p w14:paraId="07EB9C3F" w14:textId="54147249" w:rsidR="00F55C32" w:rsidRDefault="00AA66F8" w:rsidP="00F55C32">
      <w:pPr>
        <w:tabs>
          <w:tab w:val="left" w:pos="142"/>
        </w:tabs>
        <w:spacing w:after="0" w:line="240" w:lineRule="auto"/>
        <w:ind w:left="426" w:hanging="426"/>
        <w:rPr>
          <w:sz w:val="18"/>
          <w:szCs w:val="18"/>
          <w:lang w:val="en-US"/>
        </w:rPr>
      </w:pPr>
      <w:r>
        <w:rPr>
          <w:sz w:val="18"/>
          <w:szCs w:val="18"/>
          <w:lang w:val="en-US"/>
        </w:rPr>
        <w:t xml:space="preserve">  </w:t>
      </w:r>
      <w:r w:rsidR="00F55C32">
        <w:rPr>
          <w:sz w:val="18"/>
          <w:szCs w:val="18"/>
          <w:lang w:val="en-US"/>
        </w:rPr>
        <w:t xml:space="preserve"> </w:t>
      </w:r>
      <w:r>
        <w:rPr>
          <w:sz w:val="18"/>
          <w:szCs w:val="18"/>
          <w:lang w:val="en-US"/>
        </w:rPr>
        <w:t xml:space="preserve">  </w:t>
      </w:r>
      <w:r w:rsidR="00F55C32">
        <w:rPr>
          <w:sz w:val="18"/>
          <w:szCs w:val="18"/>
          <w:lang w:val="en-US"/>
        </w:rPr>
        <w:t xml:space="preserve"> </w:t>
      </w:r>
      <w:r w:rsidR="007D3386" w:rsidRPr="008D335B">
        <w:rPr>
          <w:sz w:val="18"/>
          <w:szCs w:val="18"/>
          <w:lang w:val="en-US"/>
        </w:rPr>
        <w:t>under case number 19201/2020 shall be deemed to have been filed in this application and all parties are</w:t>
      </w:r>
    </w:p>
    <w:p w14:paraId="6E683D0B" w14:textId="523CAFDD" w:rsidR="007D3386" w:rsidRDefault="00F55C32" w:rsidP="00F55C32">
      <w:pPr>
        <w:tabs>
          <w:tab w:val="left" w:pos="426"/>
        </w:tabs>
        <w:spacing w:after="0" w:line="240" w:lineRule="auto"/>
        <w:ind w:left="426" w:hanging="426"/>
        <w:rPr>
          <w:sz w:val="18"/>
          <w:szCs w:val="18"/>
          <w:lang w:val="en-US"/>
        </w:rPr>
      </w:pPr>
      <w:r>
        <w:rPr>
          <w:sz w:val="18"/>
          <w:szCs w:val="18"/>
          <w:lang w:val="en-US"/>
        </w:rPr>
        <w:t xml:space="preserve">      </w:t>
      </w:r>
      <w:r w:rsidR="007D3386" w:rsidRPr="008D335B">
        <w:rPr>
          <w:sz w:val="18"/>
          <w:szCs w:val="18"/>
          <w:lang w:val="en-US"/>
        </w:rPr>
        <w:t>entitled</w:t>
      </w:r>
      <w:r>
        <w:rPr>
          <w:sz w:val="18"/>
          <w:szCs w:val="18"/>
          <w:lang w:val="en-US"/>
        </w:rPr>
        <w:t xml:space="preserve"> t</w:t>
      </w:r>
      <w:r w:rsidR="007D3386" w:rsidRPr="008D335B">
        <w:rPr>
          <w:sz w:val="18"/>
          <w:szCs w:val="18"/>
          <w:lang w:val="en-US"/>
        </w:rPr>
        <w:t>o rely thereon in support of or opposition to this application.</w:t>
      </w:r>
    </w:p>
    <w:p w14:paraId="39D49F40" w14:textId="1D4AA7CF" w:rsidR="00F55C32" w:rsidRDefault="007D3386" w:rsidP="000F767F">
      <w:pPr>
        <w:spacing w:after="0" w:line="240" w:lineRule="auto"/>
        <w:ind w:left="426" w:hanging="426"/>
        <w:rPr>
          <w:sz w:val="18"/>
          <w:szCs w:val="18"/>
          <w:lang w:val="en-US"/>
        </w:rPr>
      </w:pPr>
      <w:r w:rsidRPr="008D335B">
        <w:rPr>
          <w:sz w:val="18"/>
          <w:szCs w:val="18"/>
          <w:lang w:val="en-US"/>
        </w:rPr>
        <w:t>3.</w:t>
      </w:r>
      <w:r w:rsidR="00F55C32">
        <w:rPr>
          <w:sz w:val="18"/>
          <w:szCs w:val="18"/>
          <w:lang w:val="en-US"/>
        </w:rPr>
        <w:t xml:space="preserve">   </w:t>
      </w:r>
      <w:r w:rsidRPr="008D335B">
        <w:rPr>
          <w:sz w:val="18"/>
          <w:szCs w:val="18"/>
          <w:lang w:val="en-US"/>
        </w:rPr>
        <w:t>The applicants are granted until 30 September 20221 to supplement their affidavits in support of the relief that</w:t>
      </w:r>
    </w:p>
    <w:p w14:paraId="7650BB22" w14:textId="7FEA3EEB" w:rsidR="007D3386" w:rsidRDefault="00F55C32" w:rsidP="000F767F">
      <w:pPr>
        <w:spacing w:after="0" w:line="240" w:lineRule="auto"/>
        <w:ind w:left="426" w:hanging="426"/>
        <w:rPr>
          <w:sz w:val="18"/>
          <w:szCs w:val="18"/>
          <w:lang w:val="en-US"/>
        </w:rPr>
      </w:pPr>
      <w:r>
        <w:rPr>
          <w:sz w:val="18"/>
          <w:szCs w:val="18"/>
          <w:lang w:val="en-US"/>
        </w:rPr>
        <w:t xml:space="preserve">     </w:t>
      </w:r>
      <w:r w:rsidR="00AA66F8">
        <w:rPr>
          <w:sz w:val="18"/>
          <w:szCs w:val="18"/>
          <w:lang w:val="en-US"/>
        </w:rPr>
        <w:t xml:space="preserve"> </w:t>
      </w:r>
      <w:r w:rsidR="007D3386" w:rsidRPr="008D335B">
        <w:rPr>
          <w:sz w:val="18"/>
          <w:szCs w:val="18"/>
          <w:lang w:val="en-US"/>
        </w:rPr>
        <w:t>they seek.</w:t>
      </w:r>
    </w:p>
    <w:p w14:paraId="76C1AFE1" w14:textId="671E20D6" w:rsidR="007D3386" w:rsidRDefault="007D3386" w:rsidP="004708E7">
      <w:pPr>
        <w:spacing w:after="0" w:line="240" w:lineRule="auto"/>
        <w:ind w:left="426" w:hanging="426"/>
        <w:rPr>
          <w:sz w:val="18"/>
          <w:szCs w:val="18"/>
          <w:lang w:val="en-US"/>
        </w:rPr>
      </w:pPr>
      <w:r w:rsidRPr="008D335B">
        <w:rPr>
          <w:sz w:val="18"/>
          <w:szCs w:val="18"/>
          <w:lang w:val="en-US"/>
        </w:rPr>
        <w:t>4.</w:t>
      </w:r>
      <w:r w:rsidR="00F55C32">
        <w:rPr>
          <w:sz w:val="18"/>
          <w:szCs w:val="18"/>
          <w:lang w:val="en-US"/>
        </w:rPr>
        <w:t xml:space="preserve"> </w:t>
      </w:r>
      <w:r w:rsidR="004708E7">
        <w:rPr>
          <w:sz w:val="18"/>
          <w:szCs w:val="18"/>
          <w:lang w:val="en-US"/>
        </w:rPr>
        <w:t xml:space="preserve"> </w:t>
      </w:r>
      <w:r w:rsidR="00F55C32">
        <w:rPr>
          <w:sz w:val="18"/>
          <w:szCs w:val="18"/>
          <w:lang w:val="en-US"/>
        </w:rPr>
        <w:t xml:space="preserve"> </w:t>
      </w:r>
      <w:r w:rsidRPr="008D335B">
        <w:rPr>
          <w:sz w:val="18"/>
          <w:szCs w:val="18"/>
          <w:lang w:val="en-US"/>
        </w:rPr>
        <w:t>The Sixth Respondent is granted until 30 September 2021 to file a further affidavit, should it choose to do so.</w:t>
      </w:r>
    </w:p>
    <w:p w14:paraId="347D0ADD" w14:textId="01B71144" w:rsidR="00AA66F8" w:rsidRDefault="007D3386" w:rsidP="00AA66F8">
      <w:pPr>
        <w:spacing w:after="0" w:line="240" w:lineRule="auto"/>
        <w:ind w:left="426" w:hanging="426"/>
        <w:rPr>
          <w:sz w:val="18"/>
          <w:szCs w:val="18"/>
          <w:lang w:val="en-US"/>
        </w:rPr>
      </w:pPr>
      <w:r w:rsidRPr="008D335B">
        <w:rPr>
          <w:sz w:val="18"/>
          <w:szCs w:val="18"/>
          <w:lang w:val="en-US"/>
        </w:rPr>
        <w:t>5.</w:t>
      </w:r>
      <w:r w:rsidR="004708E7">
        <w:rPr>
          <w:sz w:val="18"/>
          <w:szCs w:val="18"/>
          <w:lang w:val="en-US"/>
        </w:rPr>
        <w:t xml:space="preserve"> </w:t>
      </w:r>
      <w:r w:rsidR="00F55C32">
        <w:rPr>
          <w:sz w:val="18"/>
          <w:szCs w:val="18"/>
          <w:lang w:val="en-US"/>
        </w:rPr>
        <w:t xml:space="preserve">  </w:t>
      </w:r>
      <w:r w:rsidRPr="008D335B">
        <w:rPr>
          <w:sz w:val="18"/>
          <w:szCs w:val="18"/>
          <w:lang w:val="en-US"/>
        </w:rPr>
        <w:t>Any party, forming part of the Fifth Respondent, and wishing to oppose or support the relief sought by the</w:t>
      </w:r>
    </w:p>
    <w:p w14:paraId="52F9F83B" w14:textId="1AC48F38" w:rsidR="00AA66F8" w:rsidRDefault="00AA66F8" w:rsidP="00AA66F8">
      <w:pPr>
        <w:spacing w:after="0" w:line="240" w:lineRule="auto"/>
        <w:ind w:left="426" w:hanging="426"/>
        <w:rPr>
          <w:sz w:val="18"/>
          <w:szCs w:val="18"/>
          <w:lang w:val="en-US"/>
        </w:rPr>
      </w:pPr>
      <w:r>
        <w:rPr>
          <w:sz w:val="18"/>
          <w:szCs w:val="18"/>
          <w:lang w:val="en-US"/>
        </w:rPr>
        <w:t xml:space="preserve">  </w:t>
      </w:r>
      <w:r w:rsidR="00F55C32">
        <w:rPr>
          <w:sz w:val="18"/>
          <w:szCs w:val="18"/>
          <w:lang w:val="en-US"/>
        </w:rPr>
        <w:t xml:space="preserve"> </w:t>
      </w:r>
      <w:r>
        <w:rPr>
          <w:sz w:val="18"/>
          <w:szCs w:val="18"/>
          <w:lang w:val="en-US"/>
        </w:rPr>
        <w:t xml:space="preserve">  </w:t>
      </w:r>
      <w:r w:rsidR="00F55C32">
        <w:rPr>
          <w:sz w:val="18"/>
          <w:szCs w:val="18"/>
          <w:lang w:val="en-US"/>
        </w:rPr>
        <w:t xml:space="preserve"> </w:t>
      </w:r>
      <w:r w:rsidR="007D3386" w:rsidRPr="008D335B">
        <w:rPr>
          <w:sz w:val="18"/>
          <w:szCs w:val="18"/>
          <w:lang w:val="en-US"/>
        </w:rPr>
        <w:t>Applicants, be required to comply with Rule 6(5)(d) by notifying the Applicants’ attorneys by e-mail at</w:t>
      </w:r>
      <w:r>
        <w:rPr>
          <w:sz w:val="18"/>
          <w:szCs w:val="18"/>
          <w:lang w:val="en-US"/>
        </w:rPr>
        <w:t xml:space="preserve"> </w:t>
      </w:r>
    </w:p>
    <w:p w14:paraId="7F4CE3C2" w14:textId="24B6FAE9" w:rsidR="00AA66F8" w:rsidRDefault="00AA66F8" w:rsidP="00AA66F8">
      <w:pPr>
        <w:spacing w:after="0" w:line="240" w:lineRule="auto"/>
        <w:ind w:left="426" w:hanging="426"/>
        <w:rPr>
          <w:sz w:val="18"/>
          <w:szCs w:val="18"/>
          <w:lang w:val="en-US"/>
        </w:rPr>
      </w:pPr>
      <w:r>
        <w:rPr>
          <w:sz w:val="18"/>
          <w:szCs w:val="18"/>
          <w:lang w:val="en-US"/>
        </w:rPr>
        <w:t xml:space="preserve">   </w:t>
      </w:r>
      <w:r w:rsidR="00F55C32">
        <w:rPr>
          <w:sz w:val="18"/>
          <w:szCs w:val="18"/>
          <w:lang w:val="en-US"/>
        </w:rPr>
        <w:t xml:space="preserve"> </w:t>
      </w:r>
      <w:r>
        <w:rPr>
          <w:sz w:val="18"/>
          <w:szCs w:val="18"/>
          <w:lang w:val="en-US"/>
        </w:rPr>
        <w:t xml:space="preserve"> </w:t>
      </w:r>
      <w:r w:rsidR="00F55C32">
        <w:rPr>
          <w:sz w:val="18"/>
          <w:szCs w:val="18"/>
          <w:lang w:val="en-US"/>
        </w:rPr>
        <w:t xml:space="preserve"> </w:t>
      </w:r>
      <w:r w:rsidR="007D3386" w:rsidRPr="008D335B">
        <w:rPr>
          <w:sz w:val="18"/>
          <w:szCs w:val="18"/>
          <w:lang w:val="en-US"/>
        </w:rPr>
        <w:t>mtiadmin@mbalaw.co.za , in writing, on or before 20 September 2021 that he or she intends to oppose or</w:t>
      </w:r>
    </w:p>
    <w:p w14:paraId="78DFE66F" w14:textId="2B277B6E" w:rsidR="00F55C32" w:rsidRDefault="00AA66F8" w:rsidP="00AA66F8">
      <w:pPr>
        <w:spacing w:after="0" w:line="240" w:lineRule="auto"/>
        <w:ind w:left="426" w:hanging="426"/>
        <w:rPr>
          <w:sz w:val="18"/>
          <w:szCs w:val="18"/>
          <w:lang w:val="en-US"/>
        </w:rPr>
      </w:pPr>
      <w:r>
        <w:rPr>
          <w:sz w:val="18"/>
          <w:szCs w:val="18"/>
          <w:lang w:val="en-US"/>
        </w:rPr>
        <w:t xml:space="preserve">   </w:t>
      </w:r>
      <w:r w:rsidR="00F55C32">
        <w:rPr>
          <w:sz w:val="18"/>
          <w:szCs w:val="18"/>
          <w:lang w:val="en-US"/>
        </w:rPr>
        <w:t xml:space="preserve">   </w:t>
      </w:r>
      <w:r w:rsidR="007D3386" w:rsidRPr="008D335B">
        <w:rPr>
          <w:sz w:val="18"/>
          <w:szCs w:val="18"/>
          <w:lang w:val="en-US"/>
        </w:rPr>
        <w:t>support the application, and in such notice appoint an address within 15 kilometers of the office of the registrar,</w:t>
      </w:r>
      <w:r w:rsidR="00F55C32">
        <w:rPr>
          <w:sz w:val="18"/>
          <w:szCs w:val="18"/>
          <w:lang w:val="en-US"/>
        </w:rPr>
        <w:t xml:space="preserve"> </w:t>
      </w:r>
    </w:p>
    <w:p w14:paraId="2E2A79EA" w14:textId="3281A340" w:rsidR="00F55C32" w:rsidRDefault="00F55C32" w:rsidP="00AA66F8">
      <w:pPr>
        <w:spacing w:after="0" w:line="240" w:lineRule="auto"/>
        <w:ind w:left="426" w:hanging="426"/>
        <w:rPr>
          <w:sz w:val="18"/>
          <w:szCs w:val="18"/>
          <w:lang w:val="en-US"/>
        </w:rPr>
      </w:pPr>
      <w:r>
        <w:rPr>
          <w:sz w:val="18"/>
          <w:szCs w:val="18"/>
          <w:lang w:val="en-US"/>
        </w:rPr>
        <w:t xml:space="preserve">      </w:t>
      </w:r>
      <w:r w:rsidR="007D3386" w:rsidRPr="008D335B">
        <w:rPr>
          <w:sz w:val="18"/>
          <w:szCs w:val="18"/>
          <w:lang w:val="en-US"/>
        </w:rPr>
        <w:t>at which such person will accept notice and service of all documents and notices, as well as such person’s</w:t>
      </w:r>
      <w:r w:rsidR="000F767F">
        <w:rPr>
          <w:sz w:val="18"/>
          <w:szCs w:val="18"/>
          <w:lang w:val="en-US"/>
        </w:rPr>
        <w:t xml:space="preserve"> </w:t>
      </w:r>
    </w:p>
    <w:p w14:paraId="0256DD3D" w14:textId="5E3DABD3" w:rsidR="007D3386" w:rsidRDefault="00F55C32" w:rsidP="00AA66F8">
      <w:pPr>
        <w:spacing w:after="0" w:line="240" w:lineRule="auto"/>
        <w:ind w:left="426" w:hanging="426"/>
        <w:rPr>
          <w:sz w:val="18"/>
          <w:szCs w:val="18"/>
          <w:lang w:val="en-US"/>
        </w:rPr>
      </w:pPr>
      <w:r>
        <w:rPr>
          <w:sz w:val="18"/>
          <w:szCs w:val="18"/>
          <w:lang w:val="en-US"/>
        </w:rPr>
        <w:t xml:space="preserve">      </w:t>
      </w:r>
      <w:r w:rsidR="007D3386" w:rsidRPr="008D335B">
        <w:rPr>
          <w:sz w:val="18"/>
          <w:szCs w:val="18"/>
          <w:lang w:val="en-US"/>
        </w:rPr>
        <w:t>postal, facsimile or electronic mail addresses where available.</w:t>
      </w:r>
    </w:p>
    <w:p w14:paraId="31538E26" w14:textId="4F2F6E67" w:rsidR="00F55C32" w:rsidRDefault="007D3386" w:rsidP="00AA66F8">
      <w:pPr>
        <w:spacing w:after="0" w:line="240" w:lineRule="auto"/>
        <w:ind w:left="426" w:hanging="426"/>
        <w:rPr>
          <w:sz w:val="18"/>
          <w:szCs w:val="18"/>
          <w:lang w:val="en-US"/>
        </w:rPr>
      </w:pPr>
      <w:r w:rsidRPr="008D335B">
        <w:rPr>
          <w:sz w:val="18"/>
          <w:szCs w:val="18"/>
          <w:lang w:val="en-US"/>
        </w:rPr>
        <w:t>6.</w:t>
      </w:r>
      <w:r w:rsidR="004708E7">
        <w:rPr>
          <w:sz w:val="18"/>
          <w:szCs w:val="18"/>
          <w:lang w:val="en-US"/>
        </w:rPr>
        <w:t xml:space="preserve"> </w:t>
      </w:r>
      <w:r w:rsidR="00F55C32">
        <w:rPr>
          <w:sz w:val="18"/>
          <w:szCs w:val="18"/>
          <w:lang w:val="en-US"/>
        </w:rPr>
        <w:t xml:space="preserve">  </w:t>
      </w:r>
      <w:r w:rsidRPr="008D335B">
        <w:rPr>
          <w:sz w:val="18"/>
          <w:szCs w:val="18"/>
          <w:lang w:val="en-US"/>
        </w:rPr>
        <w:t>Any party, forming part of the Fifth Respondent, wishing to support the Applicants’ application be granted until</w:t>
      </w:r>
      <w:r w:rsidR="00F55C32">
        <w:rPr>
          <w:sz w:val="18"/>
          <w:szCs w:val="18"/>
          <w:lang w:val="en-US"/>
        </w:rPr>
        <w:t xml:space="preserve"> </w:t>
      </w:r>
    </w:p>
    <w:p w14:paraId="04AACA98" w14:textId="69AB4E3E" w:rsidR="007D3386" w:rsidRDefault="00F55C32" w:rsidP="00AA66F8">
      <w:pPr>
        <w:spacing w:after="0" w:line="240" w:lineRule="auto"/>
        <w:ind w:left="426" w:hanging="426"/>
        <w:rPr>
          <w:sz w:val="18"/>
          <w:szCs w:val="18"/>
          <w:lang w:val="en-US"/>
        </w:rPr>
      </w:pPr>
      <w:r>
        <w:rPr>
          <w:sz w:val="18"/>
          <w:szCs w:val="18"/>
          <w:lang w:val="en-US"/>
        </w:rPr>
        <w:t xml:space="preserve">      </w:t>
      </w:r>
      <w:r w:rsidR="007D3386" w:rsidRPr="008D335B">
        <w:rPr>
          <w:sz w:val="18"/>
          <w:szCs w:val="18"/>
          <w:lang w:val="en-US"/>
        </w:rPr>
        <w:t>30 September 2021 to file and affidavit in support thereof.</w:t>
      </w:r>
    </w:p>
    <w:p w14:paraId="2DC16F75" w14:textId="729A792C" w:rsidR="00F55C32" w:rsidRDefault="007D3386" w:rsidP="00AA66F8">
      <w:pPr>
        <w:spacing w:after="0" w:line="240" w:lineRule="auto"/>
        <w:rPr>
          <w:sz w:val="18"/>
          <w:szCs w:val="18"/>
          <w:lang w:val="en-US"/>
        </w:rPr>
      </w:pPr>
      <w:bookmarkStart w:id="5" w:name="_Hlk133409087"/>
      <w:r w:rsidRPr="008D335B">
        <w:rPr>
          <w:sz w:val="18"/>
          <w:szCs w:val="18"/>
          <w:lang w:val="en-US"/>
        </w:rPr>
        <w:t>7.</w:t>
      </w:r>
      <w:r w:rsidR="004708E7">
        <w:rPr>
          <w:sz w:val="18"/>
          <w:szCs w:val="18"/>
          <w:lang w:val="en-US"/>
        </w:rPr>
        <w:t xml:space="preserve"> </w:t>
      </w:r>
      <w:r w:rsidR="00F55C32">
        <w:rPr>
          <w:sz w:val="18"/>
          <w:szCs w:val="18"/>
          <w:lang w:val="en-US"/>
        </w:rPr>
        <w:t xml:space="preserve">  </w:t>
      </w:r>
      <w:r w:rsidRPr="008D335B">
        <w:rPr>
          <w:sz w:val="18"/>
          <w:szCs w:val="18"/>
          <w:lang w:val="en-US"/>
        </w:rPr>
        <w:t xml:space="preserve">Rule 35(14) is to be applicable to the current Application as between the First to Fifth Applicants and the First </w:t>
      </w:r>
      <w:r w:rsidR="00F55C32">
        <w:rPr>
          <w:sz w:val="18"/>
          <w:szCs w:val="18"/>
          <w:lang w:val="en-US"/>
        </w:rPr>
        <w:t xml:space="preserve">     </w:t>
      </w:r>
    </w:p>
    <w:p w14:paraId="56BCCB7B" w14:textId="64B443D0" w:rsidR="007D3386" w:rsidRDefault="00F55C32" w:rsidP="00F55C32">
      <w:pPr>
        <w:spacing w:after="0" w:line="240" w:lineRule="auto"/>
        <w:rPr>
          <w:sz w:val="18"/>
          <w:szCs w:val="18"/>
          <w:lang w:val="en-US"/>
        </w:rPr>
      </w:pPr>
      <w:r>
        <w:rPr>
          <w:sz w:val="18"/>
          <w:szCs w:val="18"/>
          <w:lang w:val="en-US"/>
        </w:rPr>
        <w:t xml:space="preserve">      </w:t>
      </w:r>
      <w:r w:rsidR="007D3386" w:rsidRPr="008D335B">
        <w:rPr>
          <w:sz w:val="18"/>
          <w:szCs w:val="18"/>
          <w:lang w:val="en-US"/>
        </w:rPr>
        <w:t>to Fifth Respondents.</w:t>
      </w:r>
    </w:p>
    <w:p w14:paraId="0D826287" w14:textId="425D8F61" w:rsidR="00AA66F8" w:rsidRDefault="007D3386" w:rsidP="004708E7">
      <w:pPr>
        <w:spacing w:after="0" w:line="240" w:lineRule="auto"/>
        <w:rPr>
          <w:sz w:val="18"/>
          <w:szCs w:val="18"/>
          <w:lang w:val="en-US"/>
        </w:rPr>
      </w:pPr>
      <w:r w:rsidRPr="008D335B">
        <w:rPr>
          <w:sz w:val="18"/>
          <w:szCs w:val="18"/>
          <w:lang w:val="en-US"/>
        </w:rPr>
        <w:t>8.</w:t>
      </w:r>
      <w:r w:rsidR="004708E7">
        <w:rPr>
          <w:sz w:val="18"/>
          <w:szCs w:val="18"/>
          <w:lang w:val="en-US"/>
        </w:rPr>
        <w:t xml:space="preserve"> </w:t>
      </w:r>
      <w:r w:rsidR="000F767F">
        <w:rPr>
          <w:sz w:val="18"/>
          <w:szCs w:val="18"/>
          <w:lang w:val="en-US"/>
        </w:rPr>
        <w:t xml:space="preserve"> </w:t>
      </w:r>
      <w:r w:rsidR="00F55C32">
        <w:rPr>
          <w:sz w:val="18"/>
          <w:szCs w:val="18"/>
          <w:lang w:val="en-US"/>
        </w:rPr>
        <w:t xml:space="preserve"> </w:t>
      </w:r>
      <w:r w:rsidRPr="008D335B">
        <w:rPr>
          <w:sz w:val="18"/>
          <w:szCs w:val="18"/>
          <w:lang w:val="en-US"/>
        </w:rPr>
        <w:t xml:space="preserve">All parties, including the parties included in the group of the Fifth Respondent, are granted up to 13 October </w:t>
      </w:r>
      <w:r w:rsidR="004708E7">
        <w:rPr>
          <w:sz w:val="18"/>
          <w:szCs w:val="18"/>
          <w:lang w:val="en-US"/>
        </w:rPr>
        <w:t xml:space="preserve"> </w:t>
      </w:r>
      <w:r w:rsidR="00AA66F8">
        <w:rPr>
          <w:sz w:val="18"/>
          <w:szCs w:val="18"/>
          <w:lang w:val="en-US"/>
        </w:rPr>
        <w:t xml:space="preserve"> </w:t>
      </w:r>
    </w:p>
    <w:p w14:paraId="319C5E59" w14:textId="18E34748" w:rsidR="007D3386" w:rsidRDefault="00AA66F8" w:rsidP="00AA66F8">
      <w:pPr>
        <w:spacing w:after="0" w:line="240" w:lineRule="auto"/>
        <w:rPr>
          <w:sz w:val="18"/>
          <w:szCs w:val="18"/>
          <w:lang w:val="en-US"/>
        </w:rPr>
      </w:pPr>
      <w:r>
        <w:rPr>
          <w:sz w:val="18"/>
          <w:szCs w:val="18"/>
          <w:lang w:val="en-US"/>
        </w:rPr>
        <w:t xml:space="preserve">    </w:t>
      </w:r>
      <w:r w:rsidR="00F55C32">
        <w:rPr>
          <w:sz w:val="18"/>
          <w:szCs w:val="18"/>
          <w:lang w:val="en-US"/>
        </w:rPr>
        <w:t xml:space="preserve">  </w:t>
      </w:r>
      <w:r w:rsidR="007D3386" w:rsidRPr="008D335B">
        <w:rPr>
          <w:sz w:val="18"/>
          <w:szCs w:val="18"/>
          <w:lang w:val="en-US"/>
        </w:rPr>
        <w:t>2021 to file a notice in terms of 35(14).</w:t>
      </w:r>
    </w:p>
    <w:p w14:paraId="5C068D50" w14:textId="3D4FB0C7" w:rsidR="004511AE" w:rsidRDefault="007D3386" w:rsidP="007D3386">
      <w:pPr>
        <w:spacing w:after="0" w:line="240" w:lineRule="auto"/>
        <w:ind w:left="720" w:hanging="720"/>
        <w:rPr>
          <w:sz w:val="18"/>
          <w:szCs w:val="18"/>
          <w:lang w:val="en-US"/>
        </w:rPr>
      </w:pPr>
      <w:r w:rsidRPr="008D335B">
        <w:rPr>
          <w:sz w:val="18"/>
          <w:szCs w:val="18"/>
          <w:lang w:val="en-US"/>
        </w:rPr>
        <w:t>9.</w:t>
      </w:r>
      <w:r w:rsidR="00F55C32">
        <w:rPr>
          <w:sz w:val="18"/>
          <w:szCs w:val="18"/>
          <w:lang w:val="en-US"/>
        </w:rPr>
        <w:t xml:space="preserve">   </w:t>
      </w:r>
      <w:r w:rsidRPr="008D335B">
        <w:rPr>
          <w:sz w:val="18"/>
          <w:szCs w:val="18"/>
          <w:lang w:val="en-US"/>
        </w:rPr>
        <w:t xml:space="preserve">Any party to whom a notice in terms of Rule 35(14) was directed, it to file a response to such notice and/or </w:t>
      </w:r>
    </w:p>
    <w:p w14:paraId="1E4024A0" w14:textId="455E916C" w:rsidR="007D3386" w:rsidRDefault="004511AE" w:rsidP="00722651">
      <w:pPr>
        <w:tabs>
          <w:tab w:val="left" w:pos="426"/>
        </w:tabs>
        <w:spacing w:after="0" w:line="240" w:lineRule="auto"/>
        <w:ind w:left="720" w:hanging="720"/>
        <w:rPr>
          <w:sz w:val="18"/>
          <w:szCs w:val="18"/>
          <w:lang w:val="en-US"/>
        </w:rPr>
      </w:pPr>
      <w:r>
        <w:rPr>
          <w:sz w:val="18"/>
          <w:szCs w:val="18"/>
          <w:lang w:val="en-US"/>
        </w:rPr>
        <w:t xml:space="preserve">     </w:t>
      </w:r>
      <w:r w:rsidR="00F55C32">
        <w:rPr>
          <w:sz w:val="18"/>
          <w:szCs w:val="18"/>
          <w:lang w:val="en-US"/>
        </w:rPr>
        <w:t xml:space="preserve"> </w:t>
      </w:r>
      <w:r w:rsidR="007D3386" w:rsidRPr="008D335B">
        <w:rPr>
          <w:sz w:val="18"/>
          <w:szCs w:val="18"/>
          <w:lang w:val="en-US"/>
        </w:rPr>
        <w:t>comply with the request contained in the notice, within 10(ten) days of receipt of such notice.</w:t>
      </w:r>
    </w:p>
    <w:p w14:paraId="65E5FBA9" w14:textId="0A7989BF" w:rsidR="004511AE" w:rsidRDefault="007D3386" w:rsidP="007D3386">
      <w:pPr>
        <w:spacing w:after="0" w:line="240" w:lineRule="auto"/>
        <w:ind w:left="720" w:hanging="720"/>
        <w:rPr>
          <w:sz w:val="18"/>
          <w:szCs w:val="18"/>
          <w:lang w:val="en-US"/>
        </w:rPr>
      </w:pPr>
      <w:r w:rsidRPr="008D335B">
        <w:rPr>
          <w:sz w:val="18"/>
          <w:szCs w:val="18"/>
          <w:lang w:val="en-US"/>
        </w:rPr>
        <w:t>10.</w:t>
      </w:r>
      <w:r w:rsidR="00F55C32">
        <w:rPr>
          <w:sz w:val="18"/>
          <w:szCs w:val="18"/>
          <w:lang w:val="en-US"/>
        </w:rPr>
        <w:t xml:space="preserve"> </w:t>
      </w:r>
      <w:r w:rsidRPr="008D335B">
        <w:rPr>
          <w:sz w:val="18"/>
          <w:szCs w:val="18"/>
          <w:lang w:val="en-US"/>
        </w:rPr>
        <w:t>Any further affidavit intended to be filed in opposition (to the relief sought by the First to Fifth Applicants), by</w:t>
      </w:r>
    </w:p>
    <w:p w14:paraId="38232BC5" w14:textId="3C79326D" w:rsidR="007D3386" w:rsidRDefault="004511AE" w:rsidP="00722651">
      <w:pPr>
        <w:tabs>
          <w:tab w:val="left" w:pos="426"/>
        </w:tabs>
        <w:spacing w:after="0" w:line="240" w:lineRule="auto"/>
        <w:ind w:left="720" w:hanging="720"/>
        <w:rPr>
          <w:sz w:val="18"/>
          <w:szCs w:val="18"/>
          <w:lang w:val="en-US"/>
        </w:rPr>
      </w:pPr>
      <w:r>
        <w:rPr>
          <w:sz w:val="18"/>
          <w:szCs w:val="18"/>
          <w:lang w:val="en-US"/>
        </w:rPr>
        <w:t xml:space="preserve">     </w:t>
      </w:r>
      <w:r w:rsidR="00F55C32">
        <w:rPr>
          <w:sz w:val="18"/>
          <w:szCs w:val="18"/>
          <w:lang w:val="en-US"/>
        </w:rPr>
        <w:t xml:space="preserve"> </w:t>
      </w:r>
      <w:r w:rsidR="007D3386" w:rsidRPr="008D335B">
        <w:rPr>
          <w:sz w:val="18"/>
          <w:szCs w:val="18"/>
          <w:lang w:val="en-US"/>
        </w:rPr>
        <w:t>any party, shall be filed by no later than 10 January 2022.</w:t>
      </w:r>
    </w:p>
    <w:p w14:paraId="34A03652" w14:textId="0CB42804" w:rsidR="007D3386" w:rsidRDefault="007D3386" w:rsidP="007D3386">
      <w:pPr>
        <w:spacing w:after="0" w:line="240" w:lineRule="auto"/>
        <w:ind w:left="720" w:hanging="720"/>
        <w:rPr>
          <w:sz w:val="18"/>
          <w:szCs w:val="18"/>
          <w:lang w:val="en-US"/>
        </w:rPr>
      </w:pPr>
      <w:r w:rsidRPr="008D335B">
        <w:rPr>
          <w:sz w:val="18"/>
          <w:szCs w:val="18"/>
          <w:lang w:val="en-US"/>
        </w:rPr>
        <w:t>11.</w:t>
      </w:r>
      <w:r w:rsidR="00F55C32">
        <w:rPr>
          <w:sz w:val="18"/>
          <w:szCs w:val="18"/>
          <w:lang w:val="en-US"/>
        </w:rPr>
        <w:t xml:space="preserve"> </w:t>
      </w:r>
      <w:r w:rsidRPr="008D335B">
        <w:rPr>
          <w:sz w:val="18"/>
          <w:szCs w:val="18"/>
          <w:lang w:val="en-US"/>
        </w:rPr>
        <w:t>The First to Fifth Applicants’ replying affidavit shall be filed by no later than 31 January 2022.</w:t>
      </w:r>
    </w:p>
    <w:p w14:paraId="650F0CDE" w14:textId="66C1D116" w:rsidR="00CF78A1" w:rsidRDefault="007D3386" w:rsidP="007D3386">
      <w:pPr>
        <w:spacing w:after="0" w:line="240" w:lineRule="auto"/>
        <w:ind w:left="720" w:hanging="720"/>
        <w:rPr>
          <w:sz w:val="18"/>
          <w:szCs w:val="18"/>
          <w:lang w:val="en-US"/>
        </w:rPr>
      </w:pPr>
      <w:r w:rsidRPr="008D335B">
        <w:rPr>
          <w:sz w:val="18"/>
          <w:szCs w:val="18"/>
          <w:lang w:val="en-US"/>
        </w:rPr>
        <w:t>12.</w:t>
      </w:r>
      <w:r w:rsidR="00F55C32">
        <w:rPr>
          <w:sz w:val="18"/>
          <w:szCs w:val="18"/>
          <w:lang w:val="en-US"/>
        </w:rPr>
        <w:t xml:space="preserve"> </w:t>
      </w:r>
      <w:r w:rsidRPr="008D335B">
        <w:rPr>
          <w:sz w:val="18"/>
          <w:szCs w:val="18"/>
          <w:lang w:val="en-US"/>
        </w:rPr>
        <w:t>Any interlocutory applications shall be adjudicated, expediently, on a date or dates to be determined by</w:t>
      </w:r>
      <w:r w:rsidR="00CF78A1">
        <w:rPr>
          <w:sz w:val="18"/>
          <w:szCs w:val="18"/>
          <w:lang w:val="en-US"/>
        </w:rPr>
        <w:t xml:space="preserve"> </w:t>
      </w:r>
    </w:p>
    <w:p w14:paraId="17688D39" w14:textId="441E4AF5" w:rsidR="007D3386" w:rsidRPr="000F767F" w:rsidRDefault="00CF78A1" w:rsidP="007D3386">
      <w:pPr>
        <w:spacing w:after="0" w:line="240" w:lineRule="auto"/>
        <w:ind w:left="720" w:hanging="720"/>
        <w:rPr>
          <w:sz w:val="18"/>
          <w:szCs w:val="18"/>
          <w:lang w:val="en-US"/>
        </w:rPr>
      </w:pPr>
      <w:r>
        <w:rPr>
          <w:sz w:val="18"/>
          <w:szCs w:val="18"/>
          <w:lang w:val="en-US"/>
        </w:rPr>
        <w:t xml:space="preserve">     </w:t>
      </w:r>
      <w:r w:rsidR="00F55C32">
        <w:rPr>
          <w:sz w:val="18"/>
          <w:szCs w:val="18"/>
          <w:lang w:val="en-US"/>
        </w:rPr>
        <w:t xml:space="preserve"> </w:t>
      </w:r>
      <w:r w:rsidR="007D3386" w:rsidRPr="008D335B">
        <w:rPr>
          <w:sz w:val="18"/>
          <w:szCs w:val="18"/>
          <w:lang w:val="en-US"/>
        </w:rPr>
        <w:t>Acting</w:t>
      </w:r>
      <w:r>
        <w:rPr>
          <w:sz w:val="18"/>
          <w:szCs w:val="18"/>
          <w:lang w:val="en-US"/>
        </w:rPr>
        <w:t xml:space="preserve"> </w:t>
      </w:r>
      <w:r w:rsidR="007D3386" w:rsidRPr="008D335B">
        <w:rPr>
          <w:sz w:val="18"/>
          <w:szCs w:val="18"/>
          <w:lang w:val="en-US"/>
        </w:rPr>
        <w:t>Justice De Wet.</w:t>
      </w:r>
    </w:p>
    <w:p w14:paraId="5D06D407" w14:textId="67426620" w:rsidR="004511AE" w:rsidRPr="000F767F" w:rsidRDefault="007D3386" w:rsidP="004511AE">
      <w:pPr>
        <w:tabs>
          <w:tab w:val="left" w:pos="284"/>
        </w:tabs>
        <w:spacing w:after="0" w:line="240" w:lineRule="auto"/>
        <w:ind w:left="720" w:hanging="720"/>
        <w:rPr>
          <w:sz w:val="18"/>
          <w:szCs w:val="18"/>
          <w:lang w:val="en-US"/>
        </w:rPr>
      </w:pPr>
      <w:r w:rsidRPr="000F767F">
        <w:rPr>
          <w:sz w:val="18"/>
          <w:szCs w:val="18"/>
          <w:lang w:val="en-US"/>
        </w:rPr>
        <w:t>13.</w:t>
      </w:r>
      <w:r w:rsidR="004511AE" w:rsidRPr="000F767F">
        <w:rPr>
          <w:sz w:val="18"/>
          <w:szCs w:val="18"/>
          <w:lang w:val="en-US"/>
        </w:rPr>
        <w:t xml:space="preserve"> </w:t>
      </w:r>
      <w:r w:rsidRPr="000F767F">
        <w:rPr>
          <w:sz w:val="18"/>
          <w:szCs w:val="18"/>
          <w:lang w:val="en-US"/>
        </w:rPr>
        <w:t xml:space="preserve">Heads of Argument will be filed by all interested parties in accordance with the rules and practice directives </w:t>
      </w:r>
    </w:p>
    <w:p w14:paraId="509688A4" w14:textId="74DDC41B" w:rsidR="007D3386" w:rsidRPr="000F767F" w:rsidRDefault="004511AE" w:rsidP="004511AE">
      <w:pPr>
        <w:tabs>
          <w:tab w:val="left" w:pos="284"/>
        </w:tabs>
        <w:spacing w:after="0" w:line="240" w:lineRule="auto"/>
        <w:ind w:left="720" w:hanging="720"/>
        <w:rPr>
          <w:sz w:val="18"/>
          <w:szCs w:val="18"/>
          <w:lang w:val="en-US"/>
        </w:rPr>
      </w:pPr>
      <w:r w:rsidRPr="000F767F">
        <w:rPr>
          <w:sz w:val="18"/>
          <w:szCs w:val="18"/>
          <w:lang w:val="en-US"/>
        </w:rPr>
        <w:tab/>
      </w:r>
      <w:r w:rsidR="00F55C32">
        <w:rPr>
          <w:sz w:val="18"/>
          <w:szCs w:val="18"/>
          <w:lang w:val="en-US"/>
        </w:rPr>
        <w:t xml:space="preserve"> </w:t>
      </w:r>
      <w:r w:rsidR="007D3386" w:rsidRPr="000F767F">
        <w:rPr>
          <w:sz w:val="18"/>
          <w:szCs w:val="18"/>
          <w:lang w:val="en-US"/>
        </w:rPr>
        <w:t>of this Honourable Court.</w:t>
      </w:r>
      <w:r w:rsidRPr="000F767F">
        <w:rPr>
          <w:sz w:val="18"/>
          <w:szCs w:val="18"/>
          <w:lang w:val="en-US"/>
        </w:rPr>
        <w:t xml:space="preserve"> </w:t>
      </w:r>
    </w:p>
    <w:p w14:paraId="7A4AFB25" w14:textId="3AF8C657" w:rsidR="007D3386" w:rsidRPr="000F767F" w:rsidRDefault="007D3386" w:rsidP="007D3386">
      <w:pPr>
        <w:spacing w:after="0" w:line="240" w:lineRule="auto"/>
        <w:ind w:left="720" w:hanging="720"/>
        <w:rPr>
          <w:sz w:val="18"/>
          <w:szCs w:val="18"/>
          <w:lang w:val="en-US"/>
        </w:rPr>
      </w:pPr>
      <w:r w:rsidRPr="000F767F">
        <w:rPr>
          <w:sz w:val="18"/>
          <w:szCs w:val="18"/>
          <w:lang w:val="en-US"/>
        </w:rPr>
        <w:t>14.</w:t>
      </w:r>
      <w:r w:rsidR="00F55C32">
        <w:rPr>
          <w:sz w:val="18"/>
          <w:szCs w:val="18"/>
          <w:lang w:val="en-US"/>
        </w:rPr>
        <w:t xml:space="preserve"> </w:t>
      </w:r>
      <w:r w:rsidRPr="000F767F">
        <w:rPr>
          <w:sz w:val="18"/>
          <w:szCs w:val="18"/>
          <w:lang w:val="en-US"/>
        </w:rPr>
        <w:t>Substituted service of this order and application shall be effected in the following manner:</w:t>
      </w:r>
    </w:p>
    <w:p w14:paraId="3CC01FCF" w14:textId="22C02241" w:rsidR="004511AE" w:rsidRPr="000F767F" w:rsidRDefault="004511AE" w:rsidP="004511AE">
      <w:pPr>
        <w:spacing w:after="0" w:line="240" w:lineRule="auto"/>
        <w:rPr>
          <w:sz w:val="18"/>
          <w:szCs w:val="18"/>
          <w:lang w:val="en-US"/>
        </w:rPr>
      </w:pPr>
      <w:r w:rsidRPr="000F767F">
        <w:rPr>
          <w:sz w:val="18"/>
          <w:szCs w:val="18"/>
          <w:lang w:val="en-US"/>
        </w:rPr>
        <w:t>14.1 the</w:t>
      </w:r>
      <w:r w:rsidR="007D3386" w:rsidRPr="000F767F">
        <w:rPr>
          <w:sz w:val="18"/>
          <w:szCs w:val="18"/>
          <w:lang w:val="en-US"/>
        </w:rPr>
        <w:t xml:space="preserve"> Second Respondent shall post this order on the </w:t>
      </w:r>
      <w:r w:rsidR="007D3386" w:rsidRPr="000F767F">
        <w:rPr>
          <w:i/>
          <w:iCs/>
          <w:sz w:val="18"/>
          <w:szCs w:val="18"/>
          <w:lang w:val="en-US"/>
        </w:rPr>
        <w:t>Telegram</w:t>
      </w:r>
      <w:r w:rsidR="007D3386" w:rsidRPr="000F767F">
        <w:rPr>
          <w:sz w:val="18"/>
          <w:szCs w:val="18"/>
          <w:lang w:val="en-US"/>
        </w:rPr>
        <w:t xml:space="preserve"> Platform by no later than 15 September 2021, </w:t>
      </w:r>
      <w:r w:rsidRPr="000F767F">
        <w:rPr>
          <w:sz w:val="18"/>
          <w:szCs w:val="18"/>
          <w:lang w:val="en-US"/>
        </w:rPr>
        <w:t xml:space="preserve">  </w:t>
      </w:r>
    </w:p>
    <w:p w14:paraId="56FE7C0B" w14:textId="74326EC0" w:rsidR="00080057" w:rsidRPr="000F767F" w:rsidRDefault="004511AE" w:rsidP="004511AE">
      <w:pPr>
        <w:spacing w:after="0" w:line="240" w:lineRule="auto"/>
        <w:rPr>
          <w:sz w:val="18"/>
          <w:szCs w:val="18"/>
          <w:lang w:val="en-US"/>
        </w:rPr>
      </w:pPr>
      <w:r w:rsidRPr="000F767F">
        <w:rPr>
          <w:sz w:val="18"/>
          <w:szCs w:val="18"/>
          <w:lang w:val="en-US"/>
        </w:rPr>
        <w:t xml:space="preserve">        </w:t>
      </w:r>
      <w:r w:rsidR="007D3386" w:rsidRPr="000F767F">
        <w:rPr>
          <w:sz w:val="18"/>
          <w:szCs w:val="18"/>
          <w:lang w:val="en-US"/>
        </w:rPr>
        <w:t xml:space="preserve">and file an affidavit with confirmation of compliance with this provision by no later than 21 September 2021; </w:t>
      </w:r>
    </w:p>
    <w:p w14:paraId="6393092A" w14:textId="77777777" w:rsidR="004511AE" w:rsidRPr="000F767F" w:rsidRDefault="007D3386" w:rsidP="004511AE">
      <w:pPr>
        <w:tabs>
          <w:tab w:val="left" w:pos="142"/>
          <w:tab w:val="left" w:pos="426"/>
        </w:tabs>
        <w:spacing w:after="0" w:line="240" w:lineRule="auto"/>
        <w:rPr>
          <w:sz w:val="18"/>
          <w:szCs w:val="18"/>
          <w:lang w:val="en-US"/>
        </w:rPr>
      </w:pPr>
      <w:r w:rsidRPr="000F767F">
        <w:rPr>
          <w:sz w:val="18"/>
          <w:szCs w:val="18"/>
          <w:lang w:val="en-US"/>
        </w:rPr>
        <w:t>14.2</w:t>
      </w:r>
      <w:r w:rsidR="004511AE" w:rsidRPr="000F767F">
        <w:rPr>
          <w:sz w:val="18"/>
          <w:szCs w:val="18"/>
          <w:lang w:val="en-US"/>
        </w:rPr>
        <w:t xml:space="preserve"> </w:t>
      </w:r>
      <w:r w:rsidRPr="000F767F">
        <w:rPr>
          <w:sz w:val="18"/>
          <w:szCs w:val="18"/>
          <w:lang w:val="en-US"/>
        </w:rPr>
        <w:t xml:space="preserve">the First to the Fifth Applicants shall notify all known members/investors of the First Respondent of this order </w:t>
      </w:r>
    </w:p>
    <w:p w14:paraId="4C3EC5FC" w14:textId="77777777" w:rsidR="004511AE" w:rsidRPr="000F767F" w:rsidRDefault="004511AE" w:rsidP="004511AE">
      <w:pPr>
        <w:spacing w:after="0" w:line="240" w:lineRule="auto"/>
        <w:rPr>
          <w:sz w:val="18"/>
          <w:szCs w:val="18"/>
          <w:lang w:val="en-US"/>
        </w:rPr>
      </w:pPr>
      <w:r w:rsidRPr="000F767F">
        <w:rPr>
          <w:sz w:val="18"/>
          <w:szCs w:val="18"/>
          <w:lang w:val="en-US"/>
        </w:rPr>
        <w:t xml:space="preserve">        </w:t>
      </w:r>
      <w:r w:rsidR="007D3386" w:rsidRPr="000F767F">
        <w:rPr>
          <w:sz w:val="18"/>
          <w:szCs w:val="18"/>
          <w:lang w:val="en-US"/>
        </w:rPr>
        <w:t xml:space="preserve">by way of a letter which letter is to include a hyperlink allowing interested parties access to this order and all </w:t>
      </w:r>
    </w:p>
    <w:p w14:paraId="21E7203E" w14:textId="77777777" w:rsidR="004511AE" w:rsidRPr="000F767F" w:rsidRDefault="004511AE" w:rsidP="004511AE">
      <w:pPr>
        <w:spacing w:after="0" w:line="240" w:lineRule="auto"/>
        <w:rPr>
          <w:sz w:val="18"/>
          <w:szCs w:val="18"/>
          <w:lang w:val="en-US"/>
        </w:rPr>
      </w:pPr>
      <w:r w:rsidRPr="000F767F">
        <w:rPr>
          <w:sz w:val="18"/>
          <w:szCs w:val="18"/>
          <w:lang w:val="en-US"/>
        </w:rPr>
        <w:t xml:space="preserve">        </w:t>
      </w:r>
      <w:r w:rsidR="007D3386" w:rsidRPr="000F767F">
        <w:rPr>
          <w:sz w:val="18"/>
          <w:szCs w:val="18"/>
          <w:lang w:val="en-US"/>
        </w:rPr>
        <w:t xml:space="preserve">papers filed of record in this matter (including the finalised winding-up application), by way of email to the </w:t>
      </w:r>
    </w:p>
    <w:p w14:paraId="15CD7CB2" w14:textId="77777777" w:rsidR="004511AE" w:rsidRPr="000F767F" w:rsidRDefault="004511AE" w:rsidP="004511AE">
      <w:pPr>
        <w:spacing w:after="0" w:line="240" w:lineRule="auto"/>
        <w:rPr>
          <w:sz w:val="18"/>
          <w:szCs w:val="18"/>
          <w:lang w:val="en-US"/>
        </w:rPr>
      </w:pPr>
      <w:r w:rsidRPr="000F767F">
        <w:rPr>
          <w:sz w:val="18"/>
          <w:szCs w:val="18"/>
          <w:lang w:val="en-US"/>
        </w:rPr>
        <w:t xml:space="preserve">        </w:t>
      </w:r>
      <w:r w:rsidR="007D3386" w:rsidRPr="000F767F">
        <w:rPr>
          <w:sz w:val="18"/>
          <w:szCs w:val="18"/>
          <w:lang w:val="en-US"/>
        </w:rPr>
        <w:t xml:space="preserve">known email address of the members/investors, which service is to be effected by 15 September 2021, and </w:t>
      </w:r>
    </w:p>
    <w:p w14:paraId="3ACC3F58" w14:textId="77777777" w:rsidR="004511AE" w:rsidRPr="000F767F" w:rsidRDefault="004511AE" w:rsidP="004511AE">
      <w:pPr>
        <w:spacing w:after="0" w:line="240" w:lineRule="auto"/>
        <w:rPr>
          <w:sz w:val="18"/>
          <w:szCs w:val="18"/>
          <w:lang w:val="en-US"/>
        </w:rPr>
      </w:pPr>
      <w:r w:rsidRPr="000F767F">
        <w:rPr>
          <w:sz w:val="18"/>
          <w:szCs w:val="18"/>
          <w:lang w:val="en-US"/>
        </w:rPr>
        <w:t xml:space="preserve">        </w:t>
      </w:r>
      <w:r w:rsidR="007D3386" w:rsidRPr="000F767F">
        <w:rPr>
          <w:sz w:val="18"/>
          <w:szCs w:val="18"/>
          <w:lang w:val="en-US"/>
        </w:rPr>
        <w:t xml:space="preserve">compliance herewith is to be confirmed by affidavit (by the liquidators or the liquidators’ attorney), to be filed </w:t>
      </w:r>
    </w:p>
    <w:p w14:paraId="2DF39CC9" w14:textId="246EB227" w:rsidR="00080057" w:rsidRPr="000F767F" w:rsidRDefault="004511AE" w:rsidP="004511AE">
      <w:pPr>
        <w:spacing w:after="0" w:line="240" w:lineRule="auto"/>
        <w:rPr>
          <w:sz w:val="18"/>
          <w:szCs w:val="18"/>
          <w:lang w:val="en-US"/>
        </w:rPr>
      </w:pPr>
      <w:r w:rsidRPr="000F767F">
        <w:rPr>
          <w:sz w:val="18"/>
          <w:szCs w:val="18"/>
          <w:lang w:val="en-US"/>
        </w:rPr>
        <w:t xml:space="preserve">        </w:t>
      </w:r>
      <w:r w:rsidR="007D3386" w:rsidRPr="000F767F">
        <w:rPr>
          <w:sz w:val="18"/>
          <w:szCs w:val="18"/>
          <w:lang w:val="en-US"/>
        </w:rPr>
        <w:t xml:space="preserve">by 21 September 2021. </w:t>
      </w:r>
    </w:p>
    <w:p w14:paraId="1A35E0D9" w14:textId="77777777" w:rsidR="004511AE" w:rsidRPr="000F767F" w:rsidRDefault="007D3386" w:rsidP="004511AE">
      <w:pPr>
        <w:spacing w:after="0" w:line="240" w:lineRule="auto"/>
        <w:rPr>
          <w:sz w:val="18"/>
          <w:szCs w:val="18"/>
          <w:lang w:val="en-US"/>
        </w:rPr>
      </w:pPr>
      <w:r w:rsidRPr="000F767F">
        <w:rPr>
          <w:sz w:val="18"/>
          <w:szCs w:val="18"/>
          <w:lang w:val="en-US"/>
        </w:rPr>
        <w:t>14.3</w:t>
      </w:r>
      <w:r w:rsidR="004511AE" w:rsidRPr="000F767F">
        <w:rPr>
          <w:sz w:val="18"/>
          <w:szCs w:val="18"/>
          <w:lang w:val="en-US"/>
        </w:rPr>
        <w:t xml:space="preserve"> </w:t>
      </w:r>
      <w:r w:rsidRPr="000F767F">
        <w:rPr>
          <w:sz w:val="18"/>
          <w:szCs w:val="18"/>
          <w:lang w:val="en-US"/>
        </w:rPr>
        <w:t xml:space="preserve">by 19 September 2021, the First to Fifth Applicants shall publish the order in the </w:t>
      </w:r>
      <w:r w:rsidRPr="000F767F">
        <w:rPr>
          <w:i/>
          <w:iCs/>
          <w:sz w:val="18"/>
          <w:szCs w:val="18"/>
          <w:lang w:val="en-US"/>
        </w:rPr>
        <w:t xml:space="preserve">Rapport </w:t>
      </w:r>
      <w:r w:rsidRPr="000F767F">
        <w:rPr>
          <w:sz w:val="18"/>
          <w:szCs w:val="18"/>
          <w:lang w:val="en-US"/>
        </w:rPr>
        <w:t xml:space="preserve">and </w:t>
      </w:r>
      <w:r w:rsidRPr="000F767F">
        <w:rPr>
          <w:i/>
          <w:iCs/>
          <w:sz w:val="18"/>
          <w:szCs w:val="18"/>
          <w:lang w:val="en-US"/>
        </w:rPr>
        <w:t>Sunday Times</w:t>
      </w:r>
      <w:r w:rsidRPr="000F767F">
        <w:rPr>
          <w:sz w:val="18"/>
          <w:szCs w:val="18"/>
          <w:lang w:val="en-US"/>
        </w:rPr>
        <w:t xml:space="preserve"> </w:t>
      </w:r>
    </w:p>
    <w:p w14:paraId="5E90696C" w14:textId="77777777" w:rsidR="004511AE" w:rsidRPr="000F767F" w:rsidRDefault="004511AE" w:rsidP="004511AE">
      <w:pPr>
        <w:spacing w:after="0" w:line="240" w:lineRule="auto"/>
        <w:rPr>
          <w:sz w:val="18"/>
          <w:szCs w:val="18"/>
          <w:lang w:val="en-US"/>
        </w:rPr>
      </w:pPr>
      <w:r w:rsidRPr="000F767F">
        <w:rPr>
          <w:sz w:val="18"/>
          <w:szCs w:val="18"/>
          <w:lang w:val="en-US"/>
        </w:rPr>
        <w:t xml:space="preserve">        </w:t>
      </w:r>
      <w:r w:rsidR="007D3386" w:rsidRPr="000F767F">
        <w:rPr>
          <w:sz w:val="18"/>
          <w:szCs w:val="18"/>
          <w:lang w:val="en-US"/>
        </w:rPr>
        <w:t xml:space="preserve">newspapers, and compliance herewith is to be confirmed by affidavit (by the liquidators or the liquidators’ </w:t>
      </w:r>
    </w:p>
    <w:p w14:paraId="3523FAD0" w14:textId="47C872CA" w:rsidR="007D3386" w:rsidRPr="000F767F" w:rsidRDefault="004511AE" w:rsidP="004511AE">
      <w:pPr>
        <w:spacing w:after="0" w:line="240" w:lineRule="auto"/>
        <w:rPr>
          <w:sz w:val="18"/>
          <w:szCs w:val="18"/>
          <w:lang w:val="en-US"/>
        </w:rPr>
      </w:pPr>
      <w:r w:rsidRPr="000F767F">
        <w:rPr>
          <w:sz w:val="18"/>
          <w:szCs w:val="18"/>
          <w:lang w:val="en-US"/>
        </w:rPr>
        <w:t xml:space="preserve">        </w:t>
      </w:r>
      <w:r w:rsidR="007D3386" w:rsidRPr="000F767F">
        <w:rPr>
          <w:sz w:val="18"/>
          <w:szCs w:val="18"/>
          <w:lang w:val="en-US"/>
        </w:rPr>
        <w:t xml:space="preserve">attorney), to be filed by 21 September 2021. </w:t>
      </w:r>
    </w:p>
    <w:p w14:paraId="524BD4DA" w14:textId="17AEDE44" w:rsidR="00C40EDE" w:rsidRPr="007B0D22" w:rsidRDefault="007D3386" w:rsidP="007D3386">
      <w:pPr>
        <w:pStyle w:val="FootnoteText"/>
        <w:rPr>
          <w:sz w:val="18"/>
          <w:szCs w:val="18"/>
        </w:rPr>
      </w:pPr>
      <w:r w:rsidRPr="000F767F">
        <w:rPr>
          <w:sz w:val="18"/>
          <w:szCs w:val="18"/>
          <w:lang w:val="en-US"/>
        </w:rPr>
        <w:t>15.</w:t>
      </w:r>
      <w:r w:rsidR="00722651" w:rsidRPr="000F767F">
        <w:rPr>
          <w:sz w:val="18"/>
          <w:szCs w:val="18"/>
          <w:lang w:val="en-US"/>
        </w:rPr>
        <w:t xml:space="preserve">   </w:t>
      </w:r>
      <w:r w:rsidRPr="000F767F">
        <w:rPr>
          <w:sz w:val="18"/>
          <w:szCs w:val="18"/>
          <w:lang w:val="en-US"/>
        </w:rPr>
        <w:t>All questions of costs stand over for l</w:t>
      </w:r>
      <w:r>
        <w:rPr>
          <w:sz w:val="18"/>
          <w:szCs w:val="18"/>
          <w:lang w:val="en-US"/>
        </w:rPr>
        <w:t>ater determination”</w:t>
      </w:r>
    </w:p>
    <w:bookmarkEnd w:id="5"/>
  </w:footnote>
  <w:footnote w:id="9">
    <w:p w14:paraId="5FEDC8A1" w14:textId="651B6780" w:rsidR="00662DD3" w:rsidRPr="00B360CF" w:rsidRDefault="00662DD3" w:rsidP="00662DD3">
      <w:pPr>
        <w:pStyle w:val="FootnoteText"/>
        <w:rPr>
          <w:sz w:val="18"/>
          <w:szCs w:val="18"/>
          <w:u w:val="single"/>
        </w:rPr>
      </w:pPr>
      <w:r w:rsidRPr="00B360CF">
        <w:rPr>
          <w:rStyle w:val="FootnoteReference"/>
          <w:sz w:val="18"/>
          <w:szCs w:val="18"/>
        </w:rPr>
        <w:footnoteRef/>
      </w:r>
      <w:r w:rsidRPr="00B360CF">
        <w:rPr>
          <w:sz w:val="18"/>
          <w:szCs w:val="18"/>
        </w:rPr>
        <w:t xml:space="preserve"> </w:t>
      </w:r>
      <w:r w:rsidR="00712557" w:rsidRPr="00B360CF">
        <w:rPr>
          <w:sz w:val="18"/>
          <w:szCs w:val="18"/>
        </w:rPr>
        <w:t xml:space="preserve"> </w:t>
      </w:r>
      <w:r w:rsidRPr="00B360CF">
        <w:rPr>
          <w:sz w:val="18"/>
          <w:szCs w:val="18"/>
        </w:rPr>
        <w:t>para [27]</w:t>
      </w:r>
    </w:p>
  </w:footnote>
  <w:footnote w:id="10">
    <w:p w14:paraId="4BC7CC7F" w14:textId="64EDFED0" w:rsidR="00B360CF" w:rsidRPr="00B360CF" w:rsidRDefault="00B360CF">
      <w:pPr>
        <w:pStyle w:val="FootnoteText"/>
        <w:rPr>
          <w:sz w:val="18"/>
          <w:szCs w:val="18"/>
        </w:rPr>
      </w:pPr>
      <w:r w:rsidRPr="00B360CF">
        <w:rPr>
          <w:rStyle w:val="FootnoteReference"/>
          <w:sz w:val="18"/>
          <w:szCs w:val="18"/>
        </w:rPr>
        <w:footnoteRef/>
      </w:r>
      <w:r w:rsidRPr="00B360CF">
        <w:rPr>
          <w:sz w:val="18"/>
          <w:szCs w:val="18"/>
        </w:rPr>
        <w:t xml:space="preserve"> para [30</w:t>
      </w:r>
      <w:r w:rsidR="004E7F5F">
        <w:rPr>
          <w:sz w:val="18"/>
          <w:szCs w:val="18"/>
        </w:rPr>
        <w:t>]</w:t>
      </w:r>
    </w:p>
  </w:footnote>
  <w:footnote w:id="11">
    <w:p w14:paraId="58620DCB" w14:textId="31B5148B" w:rsidR="00B360CF" w:rsidRPr="00B360CF" w:rsidRDefault="00B360CF">
      <w:pPr>
        <w:pStyle w:val="FootnoteText"/>
        <w:rPr>
          <w:sz w:val="18"/>
          <w:szCs w:val="18"/>
        </w:rPr>
      </w:pPr>
      <w:r w:rsidRPr="00B360CF">
        <w:rPr>
          <w:rStyle w:val="FootnoteReference"/>
          <w:sz w:val="18"/>
          <w:szCs w:val="18"/>
        </w:rPr>
        <w:footnoteRef/>
      </w:r>
      <w:r w:rsidRPr="00B360CF">
        <w:rPr>
          <w:sz w:val="18"/>
          <w:szCs w:val="18"/>
        </w:rPr>
        <w:t xml:space="preserve"> para [37]</w:t>
      </w:r>
    </w:p>
  </w:footnote>
  <w:footnote w:id="12">
    <w:p w14:paraId="50C8CCD0" w14:textId="7A3445AA" w:rsidR="00B50F42" w:rsidRPr="00987F1A" w:rsidRDefault="00B50F42">
      <w:pPr>
        <w:pStyle w:val="FootnoteText"/>
        <w:rPr>
          <w:sz w:val="18"/>
          <w:szCs w:val="18"/>
        </w:rPr>
      </w:pPr>
      <w:r>
        <w:rPr>
          <w:rStyle w:val="FootnoteReference"/>
        </w:rPr>
        <w:footnoteRef/>
      </w:r>
      <w:r>
        <w:t xml:space="preserve"> </w:t>
      </w:r>
      <w:r w:rsidR="00987F1A">
        <w:rPr>
          <w:sz w:val="18"/>
          <w:szCs w:val="18"/>
        </w:rPr>
        <w:t>Para</w:t>
      </w:r>
      <w:r w:rsidR="001F7A59">
        <w:rPr>
          <w:sz w:val="18"/>
          <w:szCs w:val="18"/>
        </w:rPr>
        <w:t xml:space="preserve"> </w:t>
      </w:r>
      <w:r w:rsidR="00987F1A">
        <w:rPr>
          <w:sz w:val="18"/>
          <w:szCs w:val="18"/>
        </w:rPr>
        <w:t>[47]</w:t>
      </w:r>
      <w:r w:rsidR="001A00C5">
        <w:rPr>
          <w:sz w:val="18"/>
          <w:szCs w:val="18"/>
        </w:rPr>
        <w:t xml:space="preserve">; Also see </w:t>
      </w:r>
      <w:r w:rsidR="00987F1A">
        <w:rPr>
          <w:sz w:val="18"/>
          <w:szCs w:val="18"/>
        </w:rPr>
        <w:t>Road Accident Fund v Legal Practice Council and others (</w:t>
      </w:r>
      <w:r w:rsidR="001F7A59">
        <w:rPr>
          <w:sz w:val="18"/>
          <w:szCs w:val="18"/>
        </w:rPr>
        <w:t>P</w:t>
      </w:r>
      <w:r w:rsidR="00987F1A">
        <w:rPr>
          <w:sz w:val="18"/>
          <w:szCs w:val="18"/>
        </w:rPr>
        <w:t xml:space="preserve">retoria Attorneys Association and another as </w:t>
      </w:r>
      <w:r w:rsidR="00987F1A">
        <w:rPr>
          <w:i/>
          <w:iCs/>
          <w:sz w:val="18"/>
          <w:szCs w:val="18"/>
        </w:rPr>
        <w:t>amici curiae</w:t>
      </w:r>
      <w:r w:rsidR="00987F1A">
        <w:rPr>
          <w:sz w:val="18"/>
          <w:szCs w:val="18"/>
        </w:rPr>
        <w:t>) [2021]2 All SA 886 (GP) paras [9]-[10]</w:t>
      </w:r>
    </w:p>
  </w:footnote>
  <w:footnote w:id="13">
    <w:p w14:paraId="77541A2D" w14:textId="1BB646B7" w:rsidR="00B360CF" w:rsidRPr="001A00C5" w:rsidRDefault="00B360CF">
      <w:pPr>
        <w:pStyle w:val="FootnoteText"/>
        <w:rPr>
          <w:b/>
          <w:bCs/>
        </w:rPr>
      </w:pPr>
      <w:r>
        <w:rPr>
          <w:rStyle w:val="FootnoteReference"/>
        </w:rPr>
        <w:footnoteRef/>
      </w:r>
      <w:r w:rsidR="001F7A59">
        <w:t xml:space="preserve"> </w:t>
      </w:r>
      <w:r w:rsidR="001F7A59">
        <w:rPr>
          <w:sz w:val="18"/>
          <w:szCs w:val="18"/>
        </w:rPr>
        <w:t xml:space="preserve">Para [47] </w:t>
      </w:r>
    </w:p>
  </w:footnote>
  <w:footnote w:id="14">
    <w:p w14:paraId="0135A4B5" w14:textId="3984B9DC" w:rsidR="001F7A59" w:rsidRPr="00CE3BDA" w:rsidRDefault="001F7A59">
      <w:pPr>
        <w:pStyle w:val="FootnoteText"/>
      </w:pPr>
      <w:r w:rsidRPr="00CE3BDA">
        <w:rPr>
          <w:rStyle w:val="FootnoteReference"/>
        </w:rPr>
        <w:footnoteRef/>
      </w:r>
      <w:r w:rsidRPr="00CE3BDA">
        <w:t xml:space="preserve"> </w:t>
      </w:r>
      <w:r w:rsidRPr="00CE3BDA">
        <w:rPr>
          <w:sz w:val="18"/>
          <w:szCs w:val="18"/>
        </w:rPr>
        <w:t>According to the statements made by St</w:t>
      </w:r>
      <w:r w:rsidR="001A00C5" w:rsidRPr="00CE3BDA">
        <w:rPr>
          <w:sz w:val="18"/>
          <w:szCs w:val="18"/>
        </w:rPr>
        <w:t>e</w:t>
      </w:r>
      <w:r w:rsidRPr="00CE3BDA">
        <w:rPr>
          <w:sz w:val="18"/>
          <w:szCs w:val="18"/>
        </w:rPr>
        <w:t>ynberg to the FSCA the members/investors were approximately 300 000 whilst Pederson estimates members/investors to be in the region of 200 000</w:t>
      </w:r>
      <w:r w:rsidR="00CE3BDA">
        <w:rPr>
          <w:sz w:val="18"/>
          <w:szCs w:val="18"/>
        </w:rPr>
        <w:t xml:space="preserve"> of which </w:t>
      </w:r>
      <w:r w:rsidR="00B12A41">
        <w:rPr>
          <w:sz w:val="18"/>
          <w:szCs w:val="18"/>
        </w:rPr>
        <w:t xml:space="preserve">about </w:t>
      </w:r>
      <w:r w:rsidR="00CE3BDA">
        <w:rPr>
          <w:sz w:val="18"/>
          <w:szCs w:val="18"/>
        </w:rPr>
        <w:t>1</w:t>
      </w:r>
      <w:r w:rsidR="00542AAB">
        <w:rPr>
          <w:sz w:val="18"/>
          <w:szCs w:val="18"/>
        </w:rPr>
        <w:t>6</w:t>
      </w:r>
      <w:r w:rsidR="00B12A41">
        <w:rPr>
          <w:sz w:val="18"/>
          <w:szCs w:val="18"/>
        </w:rPr>
        <w:t>6</w:t>
      </w:r>
      <w:r w:rsidR="00542AAB">
        <w:rPr>
          <w:sz w:val="18"/>
          <w:szCs w:val="18"/>
        </w:rPr>
        <w:t xml:space="preserve"> 000 are South Africans</w:t>
      </w:r>
      <w:r w:rsidRPr="00CE3BDA">
        <w:rPr>
          <w:sz w:val="18"/>
          <w:szCs w:val="18"/>
        </w:rPr>
        <w:t xml:space="preserve">.  </w:t>
      </w:r>
    </w:p>
  </w:footnote>
  <w:footnote w:id="15">
    <w:p w14:paraId="6B44B8F9" w14:textId="725E34C8" w:rsidR="00B360CF" w:rsidRPr="001A00C5" w:rsidRDefault="00B360CF">
      <w:pPr>
        <w:pStyle w:val="FootnoteText"/>
        <w:rPr>
          <w:b/>
          <w:bCs/>
        </w:rPr>
      </w:pPr>
      <w:r w:rsidRPr="00CE3BDA">
        <w:rPr>
          <w:rStyle w:val="FootnoteReference"/>
        </w:rPr>
        <w:footnoteRef/>
      </w:r>
      <w:r w:rsidRPr="00CE3BDA">
        <w:t xml:space="preserve"> </w:t>
      </w:r>
      <w:bookmarkStart w:id="6" w:name="_Hlk133238055"/>
      <w:r w:rsidR="007C792A" w:rsidRPr="00CE3BDA">
        <w:rPr>
          <w:sz w:val="18"/>
          <w:szCs w:val="18"/>
        </w:rPr>
        <w:t xml:space="preserve">Pedersen’s report </w:t>
      </w:r>
      <w:r w:rsidR="00CE3BDA">
        <w:rPr>
          <w:sz w:val="18"/>
          <w:szCs w:val="18"/>
        </w:rPr>
        <w:t xml:space="preserve">indicates that countries such as the United States of America, Namibia, Canada, India, the United Kingdom and Nigeria, all had more than 5 000 investors. </w:t>
      </w:r>
    </w:p>
    <w:bookmarkEnd w:id="6"/>
  </w:footnote>
  <w:footnote w:id="16">
    <w:p w14:paraId="3956190F" w14:textId="5888F64F" w:rsidR="008E0CBC" w:rsidRPr="001F7A59" w:rsidRDefault="006E757A" w:rsidP="008E0CBC">
      <w:pPr>
        <w:pStyle w:val="FootnoteText"/>
        <w:rPr>
          <w:sz w:val="18"/>
          <w:szCs w:val="18"/>
        </w:rPr>
      </w:pPr>
      <w:r w:rsidRPr="0003051A">
        <w:rPr>
          <w:rStyle w:val="FootnoteReference"/>
        </w:rPr>
        <w:footnoteRef/>
      </w:r>
      <w:r w:rsidR="008E0CBC" w:rsidRPr="0003051A">
        <w:rPr>
          <w:sz w:val="18"/>
          <w:szCs w:val="18"/>
        </w:rPr>
        <w:t xml:space="preserve">The Oxford dictionary defines </w:t>
      </w:r>
      <w:r w:rsidR="008B2FAB">
        <w:rPr>
          <w:sz w:val="18"/>
          <w:szCs w:val="18"/>
        </w:rPr>
        <w:t>c</w:t>
      </w:r>
      <w:r w:rsidR="008E0CBC" w:rsidRPr="0003051A">
        <w:rPr>
          <w:sz w:val="18"/>
          <w:szCs w:val="18"/>
        </w:rPr>
        <w:t>ryptocurrency is a digital currency in which transactions are verified and records maintained by a decentralized system using cryptography, rather than by centralized authority.</w:t>
      </w:r>
    </w:p>
    <w:p w14:paraId="370C15B6" w14:textId="77777777" w:rsidR="008E0CBC" w:rsidRDefault="008E0CBC" w:rsidP="008E0CBC">
      <w:pPr>
        <w:pStyle w:val="FootnoteText"/>
      </w:pPr>
    </w:p>
    <w:p w14:paraId="1963D332" w14:textId="65A9C8F9" w:rsidR="00987F1A" w:rsidRPr="007B0D22" w:rsidRDefault="006E757A" w:rsidP="001F7A59">
      <w:pPr>
        <w:pStyle w:val="FootnoteText"/>
        <w:rPr>
          <w:sz w:val="18"/>
          <w:szCs w:val="18"/>
        </w:rPr>
      </w:pPr>
      <w:r>
        <w:t xml:space="preserve"> </w:t>
      </w:r>
    </w:p>
    <w:p w14:paraId="5F204721" w14:textId="25A9ED66" w:rsidR="006E757A" w:rsidRPr="006E757A" w:rsidRDefault="00A63A29">
      <w:pPr>
        <w:pStyle w:val="FootnoteText"/>
        <w:rPr>
          <w:sz w:val="18"/>
          <w:szCs w:val="18"/>
          <w:lang w:val="en-US"/>
        </w:rPr>
      </w:pPr>
      <w:r>
        <w:rPr>
          <w:sz w:val="18"/>
          <w:szCs w:val="18"/>
          <w:lang w:val="en-US"/>
        </w:rPr>
        <w:t xml:space="preserve"> </w:t>
      </w:r>
      <w:r w:rsidR="006E757A">
        <w:rPr>
          <w:sz w:val="18"/>
          <w:szCs w:val="18"/>
          <w:lang w:val="en-US"/>
        </w:rPr>
        <w:t xml:space="preserve"> </w:t>
      </w:r>
    </w:p>
  </w:footnote>
  <w:footnote w:id="17">
    <w:p w14:paraId="3A139493" w14:textId="49BCEEAF" w:rsidR="009571A0" w:rsidRPr="001973E9" w:rsidRDefault="009571A0">
      <w:pPr>
        <w:pStyle w:val="FootnoteText"/>
        <w:rPr>
          <w:sz w:val="18"/>
          <w:szCs w:val="18"/>
        </w:rPr>
      </w:pPr>
      <w:r w:rsidRPr="001973E9">
        <w:rPr>
          <w:rStyle w:val="FootnoteReference"/>
          <w:sz w:val="18"/>
          <w:szCs w:val="18"/>
        </w:rPr>
        <w:footnoteRef/>
      </w:r>
      <w:r w:rsidRPr="001973E9">
        <w:rPr>
          <w:sz w:val="18"/>
          <w:szCs w:val="18"/>
        </w:rPr>
        <w:t xml:space="preserve"> </w:t>
      </w:r>
      <w:r w:rsidR="00920288" w:rsidRPr="001973E9">
        <w:rPr>
          <w:sz w:val="18"/>
          <w:szCs w:val="18"/>
        </w:rPr>
        <w:t xml:space="preserve">FXChoice is a </w:t>
      </w:r>
      <w:r w:rsidR="009C08EC" w:rsidRPr="001973E9">
        <w:rPr>
          <w:sz w:val="18"/>
          <w:szCs w:val="18"/>
        </w:rPr>
        <w:t xml:space="preserve">Belize registered on-line trading platforem and a </w:t>
      </w:r>
      <w:r w:rsidR="00920288" w:rsidRPr="001973E9">
        <w:rPr>
          <w:sz w:val="18"/>
          <w:szCs w:val="18"/>
        </w:rPr>
        <w:t xml:space="preserve">reputable </w:t>
      </w:r>
      <w:r w:rsidR="009C08EC" w:rsidRPr="001973E9">
        <w:rPr>
          <w:sz w:val="18"/>
          <w:szCs w:val="18"/>
        </w:rPr>
        <w:t xml:space="preserve">and regulated </w:t>
      </w:r>
      <w:r w:rsidR="00060B00" w:rsidRPr="001973E9">
        <w:rPr>
          <w:sz w:val="18"/>
          <w:szCs w:val="18"/>
        </w:rPr>
        <w:t>broker</w:t>
      </w:r>
      <w:r w:rsidR="009C08EC" w:rsidRPr="001973E9">
        <w:rPr>
          <w:sz w:val="18"/>
          <w:szCs w:val="18"/>
        </w:rPr>
        <w:t>.</w:t>
      </w:r>
      <w:r w:rsidR="00060B00" w:rsidRPr="001973E9">
        <w:rPr>
          <w:sz w:val="18"/>
          <w:szCs w:val="18"/>
        </w:rPr>
        <w:t xml:space="preserve"> </w:t>
      </w:r>
    </w:p>
  </w:footnote>
  <w:footnote w:id="18">
    <w:p w14:paraId="4254D9BE" w14:textId="13E0D0AA" w:rsidR="00071F0F" w:rsidRPr="001973E9" w:rsidRDefault="00071F0F">
      <w:pPr>
        <w:pStyle w:val="FootnoteText"/>
        <w:rPr>
          <w:sz w:val="18"/>
          <w:szCs w:val="18"/>
        </w:rPr>
      </w:pPr>
      <w:r w:rsidRPr="001973E9">
        <w:rPr>
          <w:rStyle w:val="FootnoteReference"/>
          <w:sz w:val="18"/>
          <w:szCs w:val="18"/>
        </w:rPr>
        <w:footnoteRef/>
      </w:r>
      <w:r w:rsidRPr="001973E9">
        <w:rPr>
          <w:sz w:val="18"/>
          <w:szCs w:val="18"/>
        </w:rPr>
        <w:t xml:space="preserve"> </w:t>
      </w:r>
      <w:r w:rsidR="00746E51" w:rsidRPr="001973E9">
        <w:rPr>
          <w:sz w:val="18"/>
          <w:szCs w:val="18"/>
        </w:rPr>
        <w:t xml:space="preserve">On 7 January 2021, the FSCA became aware that </w:t>
      </w:r>
      <w:r w:rsidRPr="001973E9">
        <w:rPr>
          <w:sz w:val="18"/>
          <w:szCs w:val="18"/>
        </w:rPr>
        <w:t xml:space="preserve">The Texas State Security Board </w:t>
      </w:r>
      <w:r w:rsidR="00746E51" w:rsidRPr="001973E9">
        <w:rPr>
          <w:sz w:val="18"/>
          <w:szCs w:val="18"/>
        </w:rPr>
        <w:t xml:space="preserve">had issued an emergency cease and desist order against MTI, Steynberg and </w:t>
      </w:r>
      <w:r w:rsidR="009C08EC" w:rsidRPr="001973E9">
        <w:rPr>
          <w:sz w:val="18"/>
          <w:szCs w:val="18"/>
        </w:rPr>
        <w:t xml:space="preserve">three </w:t>
      </w:r>
      <w:r w:rsidR="00746E51" w:rsidRPr="001973E9">
        <w:rPr>
          <w:sz w:val="18"/>
          <w:szCs w:val="18"/>
        </w:rPr>
        <w:t>other individuals</w:t>
      </w:r>
      <w:r w:rsidR="009C08EC" w:rsidRPr="001973E9">
        <w:rPr>
          <w:sz w:val="18"/>
          <w:szCs w:val="18"/>
        </w:rPr>
        <w:t xml:space="preserve"> for offering securities for sale in Texas without being registered; fraud in connection with the offer for sale of securities; making statements that are materially misleading or otherwise likely to deceive the public and due to their conduct, acts and practices threatening immediate and irreparable harm according to the report.</w:t>
      </w:r>
    </w:p>
  </w:footnote>
  <w:footnote w:id="19">
    <w:p w14:paraId="757CD6F8" w14:textId="6C9E69E5" w:rsidR="000964DE" w:rsidRPr="000964DE" w:rsidRDefault="000964DE">
      <w:pPr>
        <w:pStyle w:val="FootnoteText"/>
        <w:rPr>
          <w:sz w:val="20"/>
          <w:szCs w:val="20"/>
          <w:lang w:val="en-GB"/>
        </w:rPr>
      </w:pPr>
      <w:r w:rsidRPr="000964DE">
        <w:rPr>
          <w:rStyle w:val="FootnoteReference"/>
          <w:sz w:val="20"/>
          <w:szCs w:val="20"/>
        </w:rPr>
        <w:footnoteRef/>
      </w:r>
      <w:r w:rsidRPr="000964DE">
        <w:rPr>
          <w:sz w:val="20"/>
          <w:szCs w:val="20"/>
        </w:rPr>
        <w:t xml:space="preserve"> </w:t>
      </w:r>
      <w:r w:rsidRPr="000964DE">
        <w:rPr>
          <w:sz w:val="20"/>
          <w:szCs w:val="20"/>
          <w:lang w:val="en-GB"/>
        </w:rPr>
        <w:t>The only reference linked to the website was the name of “Joe Steyn” which is a known alias of Steynberg.</w:t>
      </w:r>
    </w:p>
  </w:footnote>
  <w:footnote w:id="20">
    <w:p w14:paraId="3E4E23B0" w14:textId="676D0401" w:rsidR="006E3C37" w:rsidRDefault="006E3C37">
      <w:pPr>
        <w:pStyle w:val="FootnoteText"/>
        <w:rPr>
          <w:sz w:val="18"/>
          <w:szCs w:val="18"/>
        </w:rPr>
      </w:pPr>
      <w:r>
        <w:rPr>
          <w:rStyle w:val="FootnoteReference"/>
        </w:rPr>
        <w:footnoteRef/>
      </w:r>
      <w:r>
        <w:t xml:space="preserve"> </w:t>
      </w:r>
      <w:r w:rsidR="00601971">
        <w:rPr>
          <w:sz w:val="18"/>
          <w:szCs w:val="18"/>
        </w:rPr>
        <w:t xml:space="preserve">The relevant </w:t>
      </w:r>
      <w:r w:rsidR="00A1472E">
        <w:rPr>
          <w:sz w:val="18"/>
          <w:szCs w:val="18"/>
        </w:rPr>
        <w:t xml:space="preserve">terms </w:t>
      </w:r>
      <w:r w:rsidR="00601971">
        <w:rPr>
          <w:sz w:val="18"/>
          <w:szCs w:val="18"/>
        </w:rPr>
        <w:t>of the agreement are:</w:t>
      </w:r>
      <w:r w:rsidR="008B2FAB">
        <w:rPr>
          <w:sz w:val="18"/>
          <w:szCs w:val="18"/>
        </w:rPr>
        <w:t xml:space="preserve"> </w:t>
      </w:r>
      <w:r>
        <w:t>“</w:t>
      </w:r>
      <w:r>
        <w:rPr>
          <w:sz w:val="18"/>
          <w:szCs w:val="18"/>
        </w:rPr>
        <w:t xml:space="preserve">Clause 2: MTI is an internet based cryptocurrency online trading platform which performs its business through the website known as </w:t>
      </w:r>
      <w:hyperlink r:id="rId1" w:history="1">
        <w:r w:rsidRPr="004F4B05">
          <w:rPr>
            <w:rStyle w:val="Hyperlink"/>
            <w:sz w:val="18"/>
            <w:szCs w:val="18"/>
          </w:rPr>
          <w:t>www.mymticlub.com</w:t>
        </w:r>
      </w:hyperlink>
      <w:r w:rsidR="000174C4">
        <w:rPr>
          <w:rStyle w:val="Hyperlink"/>
          <w:sz w:val="18"/>
          <w:szCs w:val="18"/>
          <w:u w:val="none"/>
        </w:rPr>
        <w:t>.</w:t>
      </w:r>
      <w:r>
        <w:rPr>
          <w:sz w:val="18"/>
          <w:szCs w:val="18"/>
        </w:rPr>
        <w:t xml:space="preserve"> MTI operates as club where interested parties acquire membership to the club for the primary purpose to trade the cryptocurrency known as Bitcon on MTI’s online trading platform, whereby MTI utilizes members’ Bitcoin to trade on the global cryptocurrency market via various cryptocurrency brokers and brokerage firms.</w:t>
      </w:r>
    </w:p>
    <w:p w14:paraId="40AED614" w14:textId="3E5A4E70" w:rsidR="006E3C37" w:rsidRPr="006E3C37" w:rsidRDefault="006E3C37">
      <w:pPr>
        <w:pStyle w:val="FootnoteText"/>
        <w:rPr>
          <w:sz w:val="18"/>
          <w:szCs w:val="18"/>
        </w:rPr>
      </w:pPr>
      <w:r>
        <w:rPr>
          <w:sz w:val="18"/>
          <w:szCs w:val="18"/>
        </w:rPr>
        <w:t>Clause 3: All members, prospective members and proxy members, through their action of depositing Bitcoin into the MTI online trading platform, unequivocally consent and agree to MTI holding their Bitcoin on their behalf in a Bitcoin trading pool account, which contains all other members’ Bitcoin funds, for the purposes of trading on the cryptocurrency market where various cryptocurrency denominations are bought and sold on behalf of members, in order to earn gains from such trading activities for the benefit of such members.”</w:t>
      </w:r>
    </w:p>
  </w:footnote>
  <w:footnote w:id="21">
    <w:p w14:paraId="29AA5B70" w14:textId="452B53DC" w:rsidR="0027093E" w:rsidRDefault="008E0CBC">
      <w:pPr>
        <w:pStyle w:val="FootnoteText"/>
      </w:pPr>
      <w:r>
        <w:rPr>
          <w:rStyle w:val="FootnoteReference"/>
          <w:sz w:val="20"/>
          <w:szCs w:val="20"/>
        </w:rPr>
        <w:t>22</w:t>
      </w:r>
      <w:r w:rsidR="0027093E" w:rsidRPr="0027093E">
        <w:rPr>
          <w:sz w:val="20"/>
          <w:szCs w:val="20"/>
        </w:rPr>
        <w:t xml:space="preserve"> Meskin, Insolvency Law, para. 5-1 and Van Zyl and Others NNO V Turner and Another NNO 1998 (2) SA 236 (C) para [21]. Meskin continues to state: “By ‘movable property’, in this context, is meant ‘every kind of property and every right or interest which is not ‘immovable property’…”</w:t>
      </w:r>
    </w:p>
  </w:footnote>
  <w:footnote w:id="22">
    <w:p w14:paraId="70205403" w14:textId="66B16EBA" w:rsidR="008E0CBC" w:rsidRPr="00601971" w:rsidRDefault="008E0CBC">
      <w:pPr>
        <w:pStyle w:val="FootnoteText"/>
      </w:pPr>
      <w:r w:rsidRPr="00601971">
        <w:rPr>
          <w:rStyle w:val="FootnoteReference"/>
        </w:rPr>
        <w:footnoteRef/>
      </w:r>
      <w:r w:rsidRPr="00601971">
        <w:t xml:space="preserve"> </w:t>
      </w:r>
      <w:r w:rsidRPr="00601971">
        <w:rPr>
          <w:sz w:val="20"/>
          <w:szCs w:val="20"/>
        </w:rPr>
        <w:t>Land – en Landboubank van Suid Afrika v Joubert NO 1982 (3) SA 643 (C) at para 653.</w:t>
      </w:r>
    </w:p>
  </w:footnote>
  <w:footnote w:id="23">
    <w:p w14:paraId="0F2D0BED" w14:textId="5B15E43F" w:rsidR="008E0CBC" w:rsidRPr="00601971" w:rsidRDefault="008E0CBC">
      <w:pPr>
        <w:pStyle w:val="FootnoteText"/>
      </w:pPr>
      <w:r w:rsidRPr="00601971">
        <w:rPr>
          <w:rStyle w:val="FootnoteReference"/>
        </w:rPr>
        <w:footnoteRef/>
      </w:r>
      <w:r w:rsidRPr="00601971">
        <w:rPr>
          <w:sz w:val="20"/>
          <w:szCs w:val="20"/>
        </w:rPr>
        <w:t>In MV Snow Delta – Serva Ship Limited v Discount Tonnage Limited 2000 (2) SA 746 (SCA), Harms JA remarked that rights in relation to a contractual performance of another have, since time immemorial being classified as incorporeal. The obligation is property but the right (often refered to as an action) of the creditor is property.</w:t>
      </w:r>
    </w:p>
  </w:footnote>
  <w:footnote w:id="24">
    <w:p w14:paraId="6818D8D6" w14:textId="7005047F" w:rsidR="008E0CBC" w:rsidRPr="00601971" w:rsidRDefault="008E0CBC">
      <w:pPr>
        <w:pStyle w:val="FootnoteText"/>
      </w:pPr>
      <w:r w:rsidRPr="00601971">
        <w:rPr>
          <w:rStyle w:val="FootnoteReference"/>
        </w:rPr>
        <w:footnoteRef/>
      </w:r>
      <w:r w:rsidRPr="00601971">
        <w:t xml:space="preserve"> </w:t>
      </w:r>
      <w:r w:rsidRPr="00601971">
        <w:rPr>
          <w:sz w:val="20"/>
          <w:szCs w:val="20"/>
        </w:rPr>
        <w:t>CIV-2019-409-00544 [2020] NZHC728.</w:t>
      </w:r>
    </w:p>
  </w:footnote>
  <w:footnote w:id="25">
    <w:p w14:paraId="2F943548" w14:textId="77777777" w:rsidR="00C0051E" w:rsidRPr="00601971" w:rsidRDefault="00C0051E" w:rsidP="00C0051E">
      <w:pPr>
        <w:pStyle w:val="FootnoteText"/>
        <w:rPr>
          <w:sz w:val="18"/>
          <w:szCs w:val="18"/>
        </w:rPr>
      </w:pPr>
      <w:r w:rsidRPr="00601971">
        <w:rPr>
          <w:rStyle w:val="FootnoteReference"/>
          <w:sz w:val="18"/>
          <w:szCs w:val="18"/>
        </w:rPr>
        <w:footnoteRef/>
      </w:r>
      <w:r w:rsidRPr="00601971">
        <w:rPr>
          <w:sz w:val="18"/>
          <w:szCs w:val="18"/>
        </w:rPr>
        <w:t xml:space="preserve"> </w:t>
      </w:r>
      <w:hyperlink r:id="rId2" w:history="1">
        <w:r w:rsidRPr="00601971">
          <w:rPr>
            <w:rStyle w:val="Hyperlink"/>
            <w:sz w:val="18"/>
            <w:szCs w:val="18"/>
            <w:u w:val="none"/>
          </w:rPr>
          <w:t>https://www.sars.gov.za/wp-content/uploads/IFWG-CAR-WG-Position-paper-on-crypto-ssets.pdf</w:t>
        </w:r>
      </w:hyperlink>
      <w:r w:rsidRPr="00601971">
        <w:rPr>
          <w:sz w:val="18"/>
          <w:szCs w:val="18"/>
        </w:rPr>
        <w:t xml:space="preserve">. </w:t>
      </w:r>
    </w:p>
    <w:p w14:paraId="0297F2A8" w14:textId="57540FF9" w:rsidR="00C0051E" w:rsidRPr="00601971" w:rsidRDefault="00C0051E" w:rsidP="00C0051E">
      <w:pPr>
        <w:pStyle w:val="FootnoteText"/>
        <w:ind w:left="360" w:hanging="360"/>
      </w:pPr>
      <w:r w:rsidRPr="00601971">
        <w:rPr>
          <w:sz w:val="18"/>
          <w:szCs w:val="18"/>
        </w:rPr>
        <w:t>See, in general, Tonelaria Nacional RSA Pty Ltd v CSARS 2021 (2) SA 297 (WCC) – fn6.</w:t>
      </w:r>
    </w:p>
  </w:footnote>
  <w:footnote w:id="26">
    <w:p w14:paraId="32908B89" w14:textId="4EF5B38D" w:rsidR="00C0051E" w:rsidRPr="00C0051E" w:rsidRDefault="00C0051E">
      <w:pPr>
        <w:pStyle w:val="FootnoteText"/>
        <w:rPr>
          <w:sz w:val="18"/>
          <w:szCs w:val="18"/>
        </w:rPr>
      </w:pPr>
      <w:r w:rsidRPr="00C0051E">
        <w:rPr>
          <w:rStyle w:val="FootnoteReference"/>
          <w:sz w:val="18"/>
          <w:szCs w:val="18"/>
        </w:rPr>
        <w:footnoteRef/>
      </w:r>
      <w:r w:rsidRPr="00C0051E">
        <w:rPr>
          <w:sz w:val="18"/>
          <w:szCs w:val="18"/>
        </w:rPr>
        <w:t xml:space="preserve"> CL – 2019 – 000444.</w:t>
      </w:r>
    </w:p>
  </w:footnote>
  <w:footnote w:id="27">
    <w:p w14:paraId="135C9532" w14:textId="57342272" w:rsidR="00C0051E" w:rsidRPr="00C0051E" w:rsidRDefault="00C0051E">
      <w:pPr>
        <w:pStyle w:val="FootnoteText"/>
        <w:rPr>
          <w:sz w:val="18"/>
          <w:szCs w:val="18"/>
        </w:rPr>
      </w:pPr>
      <w:r w:rsidRPr="00C0051E">
        <w:rPr>
          <w:rStyle w:val="FootnoteReference"/>
          <w:sz w:val="18"/>
          <w:szCs w:val="18"/>
        </w:rPr>
        <w:footnoteRef/>
      </w:r>
      <w:r w:rsidRPr="00C0051E">
        <w:rPr>
          <w:sz w:val="18"/>
          <w:szCs w:val="18"/>
        </w:rPr>
        <w:t>[2019] EWHC 3556 (Comm).</w:t>
      </w:r>
    </w:p>
  </w:footnote>
  <w:footnote w:id="28">
    <w:p w14:paraId="28430C89" w14:textId="65ED924B" w:rsidR="003C286E" w:rsidRPr="00245767" w:rsidRDefault="003C286E" w:rsidP="003C286E">
      <w:pPr>
        <w:pStyle w:val="FootnoteText"/>
        <w:rPr>
          <w:sz w:val="20"/>
          <w:szCs w:val="20"/>
        </w:rPr>
      </w:pPr>
      <w:r w:rsidRPr="00123B4C">
        <w:rPr>
          <w:rStyle w:val="FootnoteReference"/>
          <w:sz w:val="20"/>
          <w:szCs w:val="20"/>
        </w:rPr>
        <w:footnoteRef/>
      </w:r>
      <w:r w:rsidRPr="00123B4C">
        <w:rPr>
          <w:sz w:val="20"/>
          <w:szCs w:val="20"/>
        </w:rPr>
        <w:t xml:space="preserve">  </w:t>
      </w:r>
      <w:r w:rsidR="00542AAB">
        <w:rPr>
          <w:sz w:val="20"/>
          <w:szCs w:val="20"/>
        </w:rPr>
        <w:t xml:space="preserve">See </w:t>
      </w:r>
      <w:r w:rsidRPr="00123B4C">
        <w:rPr>
          <w:sz w:val="20"/>
          <w:szCs w:val="20"/>
        </w:rPr>
        <w:t>Toneleria Nacional RSA (Pty) Ltd v Commissioner, South African Revenue Service</w:t>
      </w:r>
      <w:r w:rsidRPr="00245767">
        <w:rPr>
          <w:sz w:val="20"/>
          <w:szCs w:val="20"/>
        </w:rPr>
        <w:t xml:space="preserve"> 2021 (2) SA 297 (WCC) para [25] </w:t>
      </w:r>
    </w:p>
  </w:footnote>
  <w:footnote w:id="29">
    <w:p w14:paraId="0B942F72" w14:textId="644F0F57" w:rsidR="00224571" w:rsidRDefault="00224571">
      <w:pPr>
        <w:pStyle w:val="FootnoteText"/>
      </w:pPr>
      <w:r w:rsidRPr="00123B4C">
        <w:rPr>
          <w:rStyle w:val="FootnoteReference"/>
          <w:sz w:val="18"/>
          <w:szCs w:val="18"/>
        </w:rPr>
        <w:footnoteRef/>
      </w:r>
      <w:r w:rsidRPr="00123B4C">
        <w:rPr>
          <w:sz w:val="18"/>
          <w:szCs w:val="18"/>
        </w:rPr>
        <w:t xml:space="preserve">  </w:t>
      </w:r>
      <w:r w:rsidR="00DB4729" w:rsidRPr="00123B4C">
        <w:rPr>
          <w:sz w:val="18"/>
          <w:szCs w:val="18"/>
        </w:rPr>
        <w:t>S</w:t>
      </w:r>
      <w:r w:rsidRPr="00123B4C">
        <w:rPr>
          <w:sz w:val="18"/>
          <w:szCs w:val="18"/>
        </w:rPr>
        <w:t>ee</w:t>
      </w:r>
      <w:r w:rsidRPr="00224571">
        <w:rPr>
          <w:sz w:val="18"/>
          <w:szCs w:val="18"/>
        </w:rPr>
        <w:t xml:space="preserve"> </w:t>
      </w:r>
      <w:r w:rsidR="00DB4729">
        <w:rPr>
          <w:sz w:val="18"/>
          <w:szCs w:val="18"/>
        </w:rPr>
        <w:t>C</w:t>
      </w:r>
      <w:r w:rsidRPr="00224571">
        <w:rPr>
          <w:sz w:val="18"/>
          <w:szCs w:val="18"/>
        </w:rPr>
        <w:t xml:space="preserve">ybercrime: </w:t>
      </w:r>
      <w:r w:rsidR="00DB4729">
        <w:rPr>
          <w:sz w:val="18"/>
          <w:szCs w:val="18"/>
        </w:rPr>
        <w:t>K</w:t>
      </w:r>
      <w:r w:rsidRPr="00224571">
        <w:rPr>
          <w:sz w:val="18"/>
          <w:szCs w:val="18"/>
        </w:rPr>
        <w:t>ey issues and debates</w:t>
      </w:r>
      <w:r w:rsidR="00542AAB">
        <w:rPr>
          <w:sz w:val="18"/>
          <w:szCs w:val="18"/>
        </w:rPr>
        <w:t>:</w:t>
      </w:r>
      <w:r w:rsidRPr="00224571">
        <w:rPr>
          <w:sz w:val="18"/>
          <w:szCs w:val="18"/>
        </w:rPr>
        <w:t xml:space="preserve"> Alisdair A Gillepsie regarding cybercrime, particularly pertains to issues of jurisdiction.</w:t>
      </w:r>
    </w:p>
  </w:footnote>
  <w:footnote w:id="30">
    <w:p w14:paraId="1BD951F2" w14:textId="77777777" w:rsidR="00740C47" w:rsidRPr="00123B4C" w:rsidRDefault="00740C47" w:rsidP="00740C47">
      <w:pPr>
        <w:pStyle w:val="FootnoteText"/>
        <w:rPr>
          <w:lang w:val="en-US"/>
        </w:rPr>
      </w:pPr>
      <w:r w:rsidRPr="00123B4C">
        <w:rPr>
          <w:rStyle w:val="FootnoteReference"/>
        </w:rPr>
        <w:footnoteRef/>
      </w:r>
      <w:r w:rsidRPr="00123B4C">
        <w:t xml:space="preserve"> </w:t>
      </w:r>
      <w:r w:rsidRPr="00123B4C">
        <w:rPr>
          <w:sz w:val="18"/>
          <w:szCs w:val="18"/>
        </w:rPr>
        <w:t>See Viljoen v Venter NO 1981 (2) SA 152 WLD) 154D-155E and, particularly, 155D where Re Estate Morris 1907 TS 657 at 666 was quoted with approval: “</w:t>
      </w:r>
      <w:r w:rsidRPr="00123B4C">
        <w:rPr>
          <w:i/>
          <w:iCs/>
          <w:sz w:val="18"/>
          <w:szCs w:val="18"/>
        </w:rPr>
        <w:t>By a fiction of law the insolvent’s movable property is all considered to be present at his domicile”</w:t>
      </w:r>
    </w:p>
  </w:footnote>
  <w:footnote w:id="31">
    <w:p w14:paraId="6808A40C" w14:textId="3A9167D9" w:rsidR="00CC2A00" w:rsidRPr="00B50F42" w:rsidRDefault="00CC2A00">
      <w:pPr>
        <w:pStyle w:val="FootnoteText"/>
        <w:rPr>
          <w:sz w:val="20"/>
          <w:szCs w:val="20"/>
        </w:rPr>
      </w:pPr>
      <w:r w:rsidRPr="00B50F42">
        <w:rPr>
          <w:rStyle w:val="FootnoteReference"/>
          <w:sz w:val="20"/>
          <w:szCs w:val="20"/>
        </w:rPr>
        <w:footnoteRef/>
      </w:r>
      <w:r w:rsidRPr="00B50F42">
        <w:rPr>
          <w:sz w:val="20"/>
          <w:szCs w:val="20"/>
        </w:rPr>
        <w:t xml:space="preserve"> </w:t>
      </w:r>
      <w:r w:rsidR="008910D6" w:rsidRPr="00B50F42">
        <w:rPr>
          <w:sz w:val="20"/>
          <w:szCs w:val="20"/>
        </w:rPr>
        <w:t>In a further application under case number 13721/22 by the applicants</w:t>
      </w:r>
      <w:r w:rsidR="005C762F" w:rsidRPr="00B50F42">
        <w:rPr>
          <w:sz w:val="20"/>
          <w:szCs w:val="20"/>
        </w:rPr>
        <w:t xml:space="preserve"> in this court, they state Marks was a shareholder of MTI</w:t>
      </w:r>
      <w:r w:rsidR="00EB501C" w:rsidRPr="00B50F42">
        <w:rPr>
          <w:sz w:val="20"/>
          <w:szCs w:val="20"/>
        </w:rPr>
        <w:t xml:space="preserve">. </w:t>
      </w:r>
      <w:r w:rsidR="005C762F" w:rsidRPr="00B50F42">
        <w:rPr>
          <w:sz w:val="20"/>
          <w:szCs w:val="20"/>
        </w:rPr>
        <w:t xml:space="preserve"> </w:t>
      </w:r>
      <w:r w:rsidR="00E0257E" w:rsidRPr="00B50F42">
        <w:rPr>
          <w:sz w:val="20"/>
          <w:szCs w:val="20"/>
        </w:rPr>
        <w:t>In terms of s 1 of the Companies Act, a “shareholder”</w:t>
      </w:r>
      <w:r w:rsidR="00512A76" w:rsidRPr="00B50F42">
        <w:rPr>
          <w:sz w:val="20"/>
          <w:szCs w:val="20"/>
        </w:rPr>
        <w:t>, subject to s 57(1), means the holder of a share issued by a company and who is entered as such in the cer</w:t>
      </w:r>
      <w:r w:rsidR="008239DC" w:rsidRPr="00B50F42">
        <w:rPr>
          <w:sz w:val="20"/>
          <w:szCs w:val="20"/>
        </w:rPr>
        <w:t xml:space="preserve">tificated or uncertificated </w:t>
      </w:r>
      <w:r w:rsidR="00CF48EB" w:rsidRPr="00B50F42">
        <w:rPr>
          <w:sz w:val="20"/>
          <w:szCs w:val="20"/>
        </w:rPr>
        <w:t>sureties</w:t>
      </w:r>
      <w:r w:rsidR="008239DC" w:rsidRPr="00B50F42">
        <w:rPr>
          <w:sz w:val="20"/>
          <w:szCs w:val="20"/>
        </w:rPr>
        <w:t xml:space="preserve"> register, as the case may be.</w:t>
      </w:r>
    </w:p>
  </w:footnote>
  <w:footnote w:id="32">
    <w:p w14:paraId="223C56C2" w14:textId="77777777" w:rsidR="00607321" w:rsidRPr="00607321" w:rsidRDefault="00607321" w:rsidP="00607321">
      <w:pPr>
        <w:pStyle w:val="BodyText3"/>
        <w:spacing w:after="240" w:line="240" w:lineRule="auto"/>
        <w:rPr>
          <w:sz w:val="18"/>
          <w:szCs w:val="18"/>
        </w:rPr>
      </w:pPr>
      <w:r>
        <w:rPr>
          <w:rStyle w:val="FootnoteReference"/>
        </w:rPr>
        <w:footnoteRef/>
      </w:r>
      <w:r>
        <w:t xml:space="preserve"> </w:t>
      </w:r>
      <w:r w:rsidRPr="00607321">
        <w:rPr>
          <w:sz w:val="18"/>
          <w:szCs w:val="18"/>
        </w:rPr>
        <w:t>Section 8(3) reads as follows in this regard:</w:t>
      </w:r>
    </w:p>
    <w:p w14:paraId="25A6E4E2" w14:textId="77777777" w:rsidR="00123B4C" w:rsidRDefault="00607321" w:rsidP="00123B4C">
      <w:pPr>
        <w:pStyle w:val="lg-para3"/>
        <w:shd w:val="clear" w:color="auto" w:fill="FFFFFF"/>
        <w:spacing w:before="0" w:beforeAutospacing="0" w:after="0" w:afterAutospacing="0"/>
        <w:ind w:left="709"/>
        <w:jc w:val="both"/>
        <w:rPr>
          <w:rFonts w:ascii="Arial" w:hAnsi="Arial"/>
          <w:i/>
          <w:iCs/>
          <w:color w:val="000000"/>
          <w:sz w:val="18"/>
          <w:szCs w:val="18"/>
        </w:rPr>
      </w:pPr>
      <w:r w:rsidRPr="00607321">
        <w:rPr>
          <w:rFonts w:ascii="Arial" w:hAnsi="Arial"/>
          <w:i/>
          <w:iCs/>
          <w:sz w:val="18"/>
          <w:szCs w:val="18"/>
        </w:rPr>
        <w:t>“</w:t>
      </w:r>
      <w:r w:rsidRPr="00607321">
        <w:rPr>
          <w:rFonts w:ascii="Arial" w:hAnsi="Arial"/>
          <w:i/>
          <w:iCs/>
          <w:color w:val="000000"/>
          <w:sz w:val="18"/>
          <w:szCs w:val="18"/>
        </w:rPr>
        <w:t>No association of persons formed after 31 December 1939 for the purpose of carrying on any business that has for its object the acquisition of gain by the association or its individual members is or may be a company or other form of body corporate unless it—</w:t>
      </w:r>
    </w:p>
    <w:p w14:paraId="1EAC600A" w14:textId="048CB921" w:rsidR="00123B4C" w:rsidRDefault="00607321" w:rsidP="00123B4C">
      <w:pPr>
        <w:pStyle w:val="lg-para3"/>
        <w:shd w:val="clear" w:color="auto" w:fill="FFFFFF"/>
        <w:spacing w:before="0" w:beforeAutospacing="0" w:after="0" w:afterAutospacing="0"/>
        <w:ind w:left="709"/>
        <w:jc w:val="both"/>
        <w:rPr>
          <w:rFonts w:ascii="Arial" w:hAnsi="Arial"/>
          <w:i/>
          <w:iCs/>
          <w:color w:val="000000"/>
          <w:sz w:val="18"/>
          <w:szCs w:val="18"/>
        </w:rPr>
      </w:pPr>
      <w:r w:rsidRPr="00607321">
        <w:rPr>
          <w:rFonts w:ascii="Arial" w:hAnsi="Arial"/>
          <w:i/>
          <w:iCs/>
          <w:color w:val="000000"/>
          <w:sz w:val="18"/>
          <w:szCs w:val="18"/>
        </w:rPr>
        <w:t>(a)   is registered as a company under this Act;</w:t>
      </w:r>
    </w:p>
    <w:p w14:paraId="74B1B44B" w14:textId="20C41D7F" w:rsidR="00607321" w:rsidRPr="00607321" w:rsidRDefault="00607321" w:rsidP="00123B4C">
      <w:pPr>
        <w:pStyle w:val="lg-a-1"/>
        <w:shd w:val="clear" w:color="auto" w:fill="FFFFFF"/>
        <w:spacing w:before="0" w:beforeAutospacing="0" w:after="0" w:afterAutospacing="0"/>
        <w:ind w:left="1361" w:hanging="681"/>
        <w:jc w:val="both"/>
        <w:rPr>
          <w:rFonts w:ascii="Arial" w:hAnsi="Arial"/>
          <w:i/>
          <w:iCs/>
          <w:color w:val="000000"/>
          <w:sz w:val="18"/>
          <w:szCs w:val="18"/>
        </w:rPr>
      </w:pPr>
      <w:r w:rsidRPr="00607321">
        <w:rPr>
          <w:rFonts w:ascii="Arial" w:hAnsi="Arial"/>
          <w:i/>
          <w:iCs/>
          <w:color w:val="000000"/>
          <w:sz w:val="18"/>
          <w:szCs w:val="18"/>
        </w:rPr>
        <w:t>(b)   is formed pursuant to another law; or</w:t>
      </w:r>
    </w:p>
    <w:p w14:paraId="15B8C8D8" w14:textId="6930BF88" w:rsidR="00607321" w:rsidRDefault="00607321" w:rsidP="009C6EFE">
      <w:pPr>
        <w:pStyle w:val="lg-a-1"/>
        <w:shd w:val="clear" w:color="auto" w:fill="FFFFFF"/>
        <w:spacing w:before="0" w:beforeAutospacing="0" w:after="0" w:afterAutospacing="0"/>
        <w:ind w:firstLine="680"/>
        <w:jc w:val="both"/>
      </w:pPr>
      <w:r w:rsidRPr="00607321">
        <w:rPr>
          <w:rFonts w:ascii="Arial" w:hAnsi="Arial"/>
          <w:i/>
          <w:iCs/>
          <w:color w:val="000000"/>
          <w:sz w:val="18"/>
          <w:szCs w:val="18"/>
        </w:rPr>
        <w:t>(c)   was formed pursuant to Letters Patent or Royal Charter before 31 May 1962.”</w:t>
      </w:r>
    </w:p>
  </w:footnote>
  <w:footnote w:id="33">
    <w:p w14:paraId="74927125" w14:textId="12D1F6D2" w:rsidR="00D63C56" w:rsidRDefault="00D63C56">
      <w:pPr>
        <w:pStyle w:val="FootnoteText"/>
      </w:pPr>
      <w:r>
        <w:rPr>
          <w:rStyle w:val="FootnoteReference"/>
        </w:rPr>
        <w:footnoteRef/>
      </w:r>
      <w:r>
        <w:t xml:space="preserve"> </w:t>
      </w:r>
      <w:r w:rsidR="008A393B" w:rsidRPr="008A393B">
        <w:rPr>
          <w:sz w:val="18"/>
          <w:szCs w:val="18"/>
        </w:rPr>
        <w:t>Marks claim</w:t>
      </w:r>
      <w:r w:rsidR="009C6EFE">
        <w:rPr>
          <w:sz w:val="18"/>
          <w:szCs w:val="18"/>
        </w:rPr>
        <w:t>s</w:t>
      </w:r>
      <w:r w:rsidR="008A393B" w:rsidRPr="008A393B">
        <w:rPr>
          <w:sz w:val="18"/>
          <w:szCs w:val="18"/>
        </w:rPr>
        <w:t xml:space="preserve"> an order </w:t>
      </w:r>
      <w:r w:rsidR="009C6EFE">
        <w:rPr>
          <w:sz w:val="18"/>
          <w:szCs w:val="18"/>
        </w:rPr>
        <w:t>declaring that</w:t>
      </w:r>
      <w:r w:rsidR="008A393B" w:rsidRPr="008A393B">
        <w:rPr>
          <w:sz w:val="18"/>
          <w:szCs w:val="18"/>
        </w:rPr>
        <w:t>:</w:t>
      </w:r>
      <w:r w:rsidR="009C6EFE">
        <w:rPr>
          <w:sz w:val="18"/>
          <w:szCs w:val="18"/>
        </w:rPr>
        <w:t xml:space="preserve"> “the MTI TERMS AND CONDITIONS AGREEMENT as concluded with each member of the MY MTI CLUB, is a valid and binding Agreement exclusively regulating the contractual relationship between MTI and each MYMTI CLUB Member.” and costs.</w:t>
      </w:r>
    </w:p>
  </w:footnote>
  <w:footnote w:id="34">
    <w:p w14:paraId="3787C082" w14:textId="77777777" w:rsidR="002D3780" w:rsidRPr="00B55954" w:rsidRDefault="002D3780" w:rsidP="002D3780">
      <w:pPr>
        <w:pStyle w:val="FootnoteText"/>
        <w:rPr>
          <w:sz w:val="20"/>
          <w:szCs w:val="20"/>
        </w:rPr>
      </w:pPr>
      <w:r w:rsidRPr="00B55954">
        <w:rPr>
          <w:rStyle w:val="FootnoteReference"/>
          <w:sz w:val="20"/>
          <w:szCs w:val="20"/>
        </w:rPr>
        <w:footnoteRef/>
      </w:r>
      <w:r w:rsidRPr="00B55954">
        <w:rPr>
          <w:sz w:val="20"/>
          <w:szCs w:val="20"/>
        </w:rPr>
        <w:t xml:space="preserve"> See </w:t>
      </w:r>
      <w:r w:rsidRPr="003525A4">
        <w:rPr>
          <w:sz w:val="20"/>
          <w:szCs w:val="20"/>
        </w:rPr>
        <w:t xml:space="preserve">Van Zyl NNO v Kaye NO </w:t>
      </w:r>
      <w:r w:rsidRPr="00B55954">
        <w:rPr>
          <w:sz w:val="20"/>
          <w:szCs w:val="20"/>
        </w:rPr>
        <w:t>2014 (4) SA 452 (WCC) para [44]</w:t>
      </w:r>
    </w:p>
  </w:footnote>
  <w:footnote w:id="35">
    <w:p w14:paraId="009ECDF7" w14:textId="6D35D1BA" w:rsidR="00133C0D" w:rsidRPr="00B55954" w:rsidRDefault="00133C0D" w:rsidP="00133C0D">
      <w:pPr>
        <w:pStyle w:val="FootnoteText"/>
        <w:rPr>
          <w:sz w:val="20"/>
          <w:szCs w:val="20"/>
        </w:rPr>
      </w:pPr>
      <w:r w:rsidRPr="00B55954">
        <w:rPr>
          <w:rStyle w:val="FootnoteReference"/>
          <w:sz w:val="20"/>
          <w:szCs w:val="20"/>
        </w:rPr>
        <w:footnoteRef/>
      </w:r>
      <w:r w:rsidRPr="00B55954">
        <w:rPr>
          <w:sz w:val="20"/>
          <w:szCs w:val="20"/>
        </w:rPr>
        <w:t xml:space="preserve"> </w:t>
      </w:r>
      <w:r w:rsidR="00C21C8E">
        <w:rPr>
          <w:sz w:val="20"/>
          <w:szCs w:val="20"/>
        </w:rPr>
        <w:t>See Stellenbosch Farmers Winery Ltd v Stellenvale Winery (Pty) Ltd 1957 (4) SA 234 (C) at 235.</w:t>
      </w:r>
    </w:p>
  </w:footnote>
  <w:footnote w:id="36">
    <w:p w14:paraId="4F9B1E6E" w14:textId="60832885" w:rsidR="00123B4C" w:rsidRPr="00137162" w:rsidRDefault="00123B4C">
      <w:pPr>
        <w:pStyle w:val="FootnoteText"/>
        <w:rPr>
          <w:sz w:val="18"/>
          <w:szCs w:val="18"/>
        </w:rPr>
      </w:pPr>
      <w:r w:rsidRPr="00137162">
        <w:rPr>
          <w:rStyle w:val="FootnoteReference"/>
          <w:sz w:val="18"/>
          <w:szCs w:val="18"/>
        </w:rPr>
        <w:footnoteRef/>
      </w:r>
      <w:r w:rsidRPr="00137162">
        <w:rPr>
          <w:sz w:val="18"/>
          <w:szCs w:val="18"/>
        </w:rPr>
        <w:t xml:space="preserve"> </w:t>
      </w:r>
      <w:r w:rsidRPr="00137162">
        <w:rPr>
          <w:sz w:val="18"/>
          <w:szCs w:val="18"/>
          <w:lang w:val="en-US"/>
        </w:rPr>
        <w:t>634E-G</w:t>
      </w:r>
    </w:p>
  </w:footnote>
  <w:footnote w:id="37">
    <w:p w14:paraId="49670699" w14:textId="555A46C1" w:rsidR="00123B4C" w:rsidRPr="00137162" w:rsidRDefault="00123B4C">
      <w:pPr>
        <w:pStyle w:val="FootnoteText"/>
        <w:rPr>
          <w:sz w:val="18"/>
          <w:szCs w:val="18"/>
        </w:rPr>
      </w:pPr>
      <w:r w:rsidRPr="00137162">
        <w:rPr>
          <w:rStyle w:val="FootnoteReference"/>
          <w:sz w:val="18"/>
          <w:szCs w:val="18"/>
        </w:rPr>
        <w:footnoteRef/>
      </w:r>
      <w:r w:rsidRPr="00137162">
        <w:rPr>
          <w:sz w:val="18"/>
          <w:szCs w:val="18"/>
        </w:rPr>
        <w:t xml:space="preserve"> </w:t>
      </w:r>
      <w:r w:rsidR="00137162" w:rsidRPr="00137162">
        <w:rPr>
          <w:sz w:val="18"/>
          <w:szCs w:val="18"/>
          <w:lang w:val="en-US"/>
        </w:rPr>
        <w:t>634H</w:t>
      </w:r>
    </w:p>
  </w:footnote>
  <w:footnote w:id="38">
    <w:p w14:paraId="31732A9D" w14:textId="77777777" w:rsidR="00137162" w:rsidRDefault="00137162">
      <w:pPr>
        <w:pStyle w:val="FootnoteText"/>
        <w:rPr>
          <w:sz w:val="18"/>
          <w:szCs w:val="18"/>
          <w:u w:val="single"/>
          <w:lang w:val="en-US"/>
        </w:rPr>
      </w:pPr>
      <w:r>
        <w:rPr>
          <w:rStyle w:val="FootnoteReference"/>
        </w:rPr>
        <w:footnoteRef/>
      </w:r>
      <w:r w:rsidRPr="00A307D1">
        <w:rPr>
          <w:sz w:val="18"/>
          <w:szCs w:val="18"/>
          <w:u w:val="single"/>
          <w:lang w:val="en-US"/>
        </w:rPr>
        <w:t>Wightman v Headfour (Pty) Ltd &amp; another</w:t>
      </w:r>
      <w:r w:rsidRPr="00A307D1">
        <w:rPr>
          <w:sz w:val="18"/>
          <w:szCs w:val="18"/>
          <w:lang w:val="en-US"/>
        </w:rPr>
        <w:t xml:space="preserve"> 2008 (3) 371 (SCA), and as applied in </w:t>
      </w:r>
      <w:r w:rsidRPr="00A307D1">
        <w:rPr>
          <w:sz w:val="18"/>
          <w:szCs w:val="18"/>
          <w:u w:val="single"/>
          <w:lang w:val="en-US"/>
        </w:rPr>
        <w:t xml:space="preserve">Minister of Environmental </w:t>
      </w:r>
    </w:p>
    <w:p w14:paraId="05C04998" w14:textId="2A36A80C" w:rsidR="00137162" w:rsidRDefault="00137162">
      <w:pPr>
        <w:pStyle w:val="FootnoteText"/>
      </w:pPr>
      <w:r w:rsidRPr="00137162">
        <w:rPr>
          <w:sz w:val="18"/>
          <w:szCs w:val="18"/>
          <w:lang w:val="en-US"/>
        </w:rPr>
        <w:t xml:space="preserve">   </w:t>
      </w:r>
      <w:r w:rsidRPr="00A307D1">
        <w:rPr>
          <w:sz w:val="18"/>
          <w:szCs w:val="18"/>
          <w:u w:val="single"/>
          <w:lang w:val="en-US"/>
        </w:rPr>
        <w:t>Affairs v Recycling and Economic Development Initiative of South Africa NPC</w:t>
      </w:r>
      <w:r w:rsidRPr="00A307D1">
        <w:rPr>
          <w:sz w:val="18"/>
          <w:szCs w:val="18"/>
          <w:lang w:val="en-US"/>
        </w:rPr>
        <w:t xml:space="preserve"> 2018 (3) SA 604 (WCC)</w:t>
      </w:r>
    </w:p>
  </w:footnote>
  <w:footnote w:id="39">
    <w:p w14:paraId="4BC08BB1" w14:textId="38F00F00" w:rsidR="00137162" w:rsidRDefault="00137162">
      <w:pPr>
        <w:pStyle w:val="FootnoteText"/>
      </w:pPr>
      <w:r>
        <w:rPr>
          <w:rStyle w:val="FootnoteReference"/>
        </w:rPr>
        <w:footnoteRef/>
      </w:r>
      <w:r>
        <w:t xml:space="preserve"> </w:t>
      </w:r>
      <w:r w:rsidRPr="00A307D1">
        <w:rPr>
          <w:sz w:val="18"/>
          <w:szCs w:val="18"/>
        </w:rPr>
        <w:t>1956 (4) SA 150 (E) at 154 F - H</w:t>
      </w:r>
    </w:p>
  </w:footnote>
  <w:footnote w:id="40">
    <w:p w14:paraId="4904F87B" w14:textId="5010CE00" w:rsidR="00137162" w:rsidRPr="00C21C8E" w:rsidRDefault="00137162">
      <w:pPr>
        <w:pStyle w:val="FootnoteText"/>
      </w:pPr>
      <w:r>
        <w:rPr>
          <w:rStyle w:val="FootnoteReference"/>
        </w:rPr>
        <w:footnoteRef/>
      </w:r>
      <w:r>
        <w:t xml:space="preserve"> </w:t>
      </w:r>
      <w:r w:rsidRPr="00C21C8E">
        <w:rPr>
          <w:sz w:val="18"/>
          <w:szCs w:val="18"/>
          <w:lang w:val="en-US"/>
        </w:rPr>
        <w:t>Transnet v Rubenstein 2006 (1) SA 591 (SCA) paras [28] and [29]</w:t>
      </w:r>
    </w:p>
  </w:footnote>
  <w:footnote w:id="41">
    <w:p w14:paraId="64CA4416" w14:textId="2CA4247F" w:rsidR="000E1DAE" w:rsidRPr="00C21C8E" w:rsidRDefault="000E1DAE">
      <w:pPr>
        <w:pStyle w:val="FootnoteText"/>
      </w:pPr>
      <w:r w:rsidRPr="00C21C8E">
        <w:rPr>
          <w:rStyle w:val="FootnoteReference"/>
        </w:rPr>
        <w:footnoteRef/>
      </w:r>
      <w:r w:rsidRPr="00C21C8E">
        <w:t xml:space="preserve"> </w:t>
      </w:r>
      <w:r w:rsidRPr="00C21C8E">
        <w:rPr>
          <w:sz w:val="18"/>
          <w:szCs w:val="18"/>
          <w:lang w:val="en-US"/>
        </w:rPr>
        <w:t>Trust Verification Centre v PSE Truth Detection CC &amp; others 1998 (2) 689 (W); Buffalo Freight Systems (Pty) Ltd v Crestleigh Trading (Pty) Ltd &amp; another 2011 (1) SA 8 (SCA)</w:t>
      </w:r>
    </w:p>
  </w:footnote>
  <w:footnote w:id="42">
    <w:p w14:paraId="3B74CCBC" w14:textId="2B119FDE" w:rsidR="000E1DAE" w:rsidRPr="00C21C8E" w:rsidRDefault="000E1DAE">
      <w:pPr>
        <w:pStyle w:val="FootnoteText"/>
        <w:rPr>
          <w:sz w:val="18"/>
          <w:szCs w:val="18"/>
        </w:rPr>
      </w:pPr>
      <w:r w:rsidRPr="00C21C8E">
        <w:rPr>
          <w:rStyle w:val="FootnoteReference"/>
        </w:rPr>
        <w:footnoteRef/>
      </w:r>
      <w:r w:rsidRPr="00C21C8E">
        <w:t xml:space="preserve"> </w:t>
      </w:r>
      <w:r w:rsidR="00175EAC" w:rsidRPr="00175EAC">
        <w:rPr>
          <w:sz w:val="18"/>
          <w:szCs w:val="18"/>
        </w:rPr>
        <w:t>P</w:t>
      </w:r>
      <w:r w:rsidRPr="00C21C8E">
        <w:rPr>
          <w:sz w:val="18"/>
          <w:szCs w:val="18"/>
        </w:rPr>
        <w:t>aras [28] to [30]</w:t>
      </w:r>
    </w:p>
  </w:footnote>
  <w:footnote w:id="43">
    <w:p w14:paraId="03E65D9A" w14:textId="31350BFB" w:rsidR="000E1DAE" w:rsidRDefault="000E1DAE">
      <w:pPr>
        <w:pStyle w:val="FootnoteText"/>
      </w:pPr>
      <w:r w:rsidRPr="00C21C8E">
        <w:rPr>
          <w:rStyle w:val="FootnoteReference"/>
        </w:rPr>
        <w:footnoteRef/>
      </w:r>
      <w:r w:rsidRPr="00C21C8E">
        <w:t xml:space="preserve"> </w:t>
      </w:r>
      <w:r w:rsidRPr="00C21C8E">
        <w:rPr>
          <w:sz w:val="20"/>
          <w:szCs w:val="20"/>
          <w:lang w:val="en-US"/>
        </w:rPr>
        <w:t>Schmidt, Law of Evidence, 3-28 to 3-28(1)</w:t>
      </w:r>
    </w:p>
  </w:footnote>
  <w:footnote w:id="44">
    <w:p w14:paraId="6760EA27" w14:textId="723D27BF" w:rsidR="00F05064" w:rsidRPr="00E70F99" w:rsidRDefault="00F05064">
      <w:pPr>
        <w:pStyle w:val="FootnoteText"/>
        <w:rPr>
          <w:sz w:val="18"/>
          <w:szCs w:val="18"/>
        </w:rPr>
      </w:pPr>
      <w:r w:rsidRPr="00E70F99">
        <w:rPr>
          <w:rStyle w:val="FootnoteReference"/>
          <w:sz w:val="18"/>
          <w:szCs w:val="18"/>
        </w:rPr>
        <w:footnoteRef/>
      </w:r>
      <w:r w:rsidRPr="00E70F99">
        <w:rPr>
          <w:sz w:val="18"/>
          <w:szCs w:val="18"/>
        </w:rPr>
        <w:t xml:space="preserve"> </w:t>
      </w:r>
      <w:r w:rsidR="00BB4769" w:rsidRPr="00E70F99">
        <w:rPr>
          <w:sz w:val="18"/>
          <w:szCs w:val="18"/>
        </w:rPr>
        <w:t>According to the journalist Mr O’Conner even had a copy of one of the affidavit</w:t>
      </w:r>
      <w:r w:rsidR="00426EBD" w:rsidRPr="00E70F99">
        <w:rPr>
          <w:sz w:val="18"/>
          <w:szCs w:val="18"/>
        </w:rPr>
        <w:t xml:space="preserve">s, without the annexures, </w:t>
      </w:r>
      <w:r w:rsidR="00FB5FA5" w:rsidRPr="00E70F99">
        <w:rPr>
          <w:sz w:val="18"/>
          <w:szCs w:val="18"/>
        </w:rPr>
        <w:t>and provided him with a copy of the affidavit.</w:t>
      </w:r>
    </w:p>
  </w:footnote>
  <w:footnote w:id="45">
    <w:p w14:paraId="013C2FFC" w14:textId="16740BDA" w:rsidR="00E877EB" w:rsidRDefault="00E877EB">
      <w:pPr>
        <w:pStyle w:val="FootnoteText"/>
      </w:pPr>
      <w:r w:rsidRPr="00E70F99">
        <w:rPr>
          <w:rStyle w:val="FootnoteReference"/>
          <w:sz w:val="18"/>
          <w:szCs w:val="18"/>
        </w:rPr>
        <w:footnoteRef/>
      </w:r>
      <w:r w:rsidRPr="00E70F99">
        <w:rPr>
          <w:sz w:val="18"/>
          <w:szCs w:val="18"/>
        </w:rPr>
        <w:t xml:space="preserve"> Despite this</w:t>
      </w:r>
      <w:r w:rsidR="00731F04" w:rsidRPr="00E70F99">
        <w:rPr>
          <w:sz w:val="18"/>
          <w:szCs w:val="18"/>
        </w:rPr>
        <w:t xml:space="preserve"> email, the journalist still doubts whether it was indeed Mr Stephenson who replied to his email.</w:t>
      </w:r>
    </w:p>
  </w:footnote>
  <w:footnote w:id="46">
    <w:p w14:paraId="6644CDA6" w14:textId="2BE83C80" w:rsidR="000226B1" w:rsidRPr="000E1DAE" w:rsidRDefault="000226B1" w:rsidP="000226B1">
      <w:pPr>
        <w:pStyle w:val="FootnoteText"/>
        <w:rPr>
          <w:sz w:val="18"/>
          <w:szCs w:val="18"/>
        </w:rPr>
      </w:pPr>
      <w:r w:rsidRPr="000E1DAE">
        <w:rPr>
          <w:rStyle w:val="FootnoteReference"/>
          <w:sz w:val="18"/>
          <w:szCs w:val="18"/>
        </w:rPr>
        <w:footnoteRef/>
      </w:r>
      <w:r w:rsidRPr="000E1DAE">
        <w:rPr>
          <w:sz w:val="18"/>
          <w:szCs w:val="18"/>
        </w:rPr>
        <w:t xml:space="preserve"> It was published that MTI made a monthly profit of approximately 10 % during this period and that this represented a monthly growth of members’ pooled bitcoin of 10 %. Thes</w:t>
      </w:r>
      <w:r w:rsidR="004F67F5">
        <w:rPr>
          <w:sz w:val="18"/>
          <w:szCs w:val="18"/>
        </w:rPr>
        <w:t>e</w:t>
      </w:r>
      <w:r w:rsidRPr="000E1DAE">
        <w:rPr>
          <w:sz w:val="18"/>
          <w:szCs w:val="18"/>
        </w:rPr>
        <w:t xml:space="preserve"> profits were </w:t>
      </w:r>
      <w:r w:rsidR="000352F3">
        <w:rPr>
          <w:sz w:val="18"/>
          <w:szCs w:val="18"/>
        </w:rPr>
        <w:t xml:space="preserve">allegedly </w:t>
      </w:r>
      <w:r w:rsidRPr="000E1DAE">
        <w:rPr>
          <w:sz w:val="18"/>
          <w:szCs w:val="18"/>
        </w:rPr>
        <w:t xml:space="preserve">high and consistent. </w:t>
      </w:r>
    </w:p>
  </w:footnote>
  <w:footnote w:id="47">
    <w:p w14:paraId="356F4252" w14:textId="0765B878" w:rsidR="00781E94" w:rsidRPr="000E1DAE" w:rsidRDefault="00781E94">
      <w:pPr>
        <w:pStyle w:val="FootnoteText"/>
        <w:rPr>
          <w:sz w:val="18"/>
          <w:szCs w:val="18"/>
        </w:rPr>
      </w:pPr>
      <w:r w:rsidRPr="000E1DAE">
        <w:rPr>
          <w:rStyle w:val="FootnoteReference"/>
          <w:sz w:val="18"/>
          <w:szCs w:val="18"/>
        </w:rPr>
        <w:footnoteRef/>
      </w:r>
      <w:r w:rsidRPr="000E1DAE">
        <w:rPr>
          <w:sz w:val="18"/>
          <w:szCs w:val="18"/>
        </w:rPr>
        <w:t xml:space="preserve"> See para</w:t>
      </w:r>
      <w:r w:rsidR="009D5F8A">
        <w:rPr>
          <w:sz w:val="18"/>
          <w:szCs w:val="18"/>
        </w:rPr>
        <w:t>s 32 and 34 o</w:t>
      </w:r>
      <w:r w:rsidRPr="000E1DAE">
        <w:rPr>
          <w:sz w:val="18"/>
          <w:szCs w:val="18"/>
        </w:rPr>
        <w:t>f this judgment</w:t>
      </w:r>
      <w:r w:rsidR="000352F3">
        <w:rPr>
          <w:sz w:val="18"/>
          <w:szCs w:val="18"/>
        </w:rPr>
        <w:t>.</w:t>
      </w:r>
    </w:p>
  </w:footnote>
  <w:footnote w:id="48">
    <w:p w14:paraId="3E2DC544" w14:textId="2B416E2A" w:rsidR="000B1D94" w:rsidRPr="000E1DAE" w:rsidRDefault="000B1D94">
      <w:pPr>
        <w:pStyle w:val="FootnoteText"/>
        <w:rPr>
          <w:sz w:val="18"/>
          <w:szCs w:val="18"/>
          <w:lang w:val="en-US"/>
        </w:rPr>
      </w:pPr>
      <w:r w:rsidRPr="000E1DAE">
        <w:rPr>
          <w:rStyle w:val="FootnoteReference"/>
          <w:sz w:val="18"/>
          <w:szCs w:val="18"/>
        </w:rPr>
        <w:footnoteRef/>
      </w:r>
      <w:r w:rsidRPr="000E1DAE">
        <w:rPr>
          <w:sz w:val="18"/>
          <w:szCs w:val="18"/>
        </w:rPr>
        <w:t xml:space="preserve"> </w:t>
      </w:r>
      <w:r w:rsidRPr="000E1DAE">
        <w:rPr>
          <w:sz w:val="18"/>
          <w:szCs w:val="18"/>
          <w:lang w:val="en-US"/>
        </w:rPr>
        <w:t>How this should be dealt with is subject to another application in this court under case no</w:t>
      </w:r>
      <w:r w:rsidR="00542AAB">
        <w:rPr>
          <w:sz w:val="18"/>
          <w:szCs w:val="18"/>
          <w:lang w:val="en-US"/>
        </w:rPr>
        <w:t xml:space="preserve"> 13721/22.</w:t>
      </w:r>
    </w:p>
  </w:footnote>
  <w:footnote w:id="49">
    <w:p w14:paraId="1525E9BE" w14:textId="77777777" w:rsidR="00F91AB9" w:rsidRPr="00F91AB9" w:rsidRDefault="00F91AB9" w:rsidP="000E1DAE">
      <w:pPr>
        <w:pStyle w:val="BodyText3"/>
        <w:spacing w:after="0" w:line="240" w:lineRule="auto"/>
        <w:rPr>
          <w:sz w:val="18"/>
          <w:szCs w:val="18"/>
        </w:rPr>
      </w:pPr>
      <w:r>
        <w:rPr>
          <w:rStyle w:val="FootnoteReference"/>
        </w:rPr>
        <w:footnoteRef/>
      </w:r>
      <w:r>
        <w:t xml:space="preserve"> </w:t>
      </w:r>
      <w:r w:rsidRPr="00F91AB9">
        <w:rPr>
          <w:sz w:val="18"/>
          <w:szCs w:val="18"/>
        </w:rPr>
        <w:t xml:space="preserve">Section 3 reads </w:t>
      </w:r>
      <w:r w:rsidRPr="00F91AB9">
        <w:rPr>
          <w:i/>
          <w:iCs/>
          <w:sz w:val="18"/>
          <w:szCs w:val="18"/>
        </w:rPr>
        <w:t>inter alia</w:t>
      </w:r>
      <w:r w:rsidRPr="00F91AB9">
        <w:rPr>
          <w:sz w:val="18"/>
          <w:szCs w:val="18"/>
        </w:rPr>
        <w:t xml:space="preserve"> as follows:</w:t>
      </w:r>
    </w:p>
    <w:p w14:paraId="460844C9" w14:textId="77777777" w:rsidR="00C930A4" w:rsidRDefault="00F91AB9" w:rsidP="001973E9">
      <w:pPr>
        <w:autoSpaceDE w:val="0"/>
        <w:autoSpaceDN w:val="0"/>
        <w:adjustRightInd w:val="0"/>
        <w:spacing w:after="0" w:line="240" w:lineRule="auto"/>
        <w:ind w:firstLine="720"/>
        <w:rPr>
          <w:sz w:val="18"/>
          <w:szCs w:val="18"/>
        </w:rPr>
      </w:pPr>
      <w:r w:rsidRPr="00F91AB9">
        <w:rPr>
          <w:sz w:val="18"/>
          <w:szCs w:val="18"/>
        </w:rPr>
        <w:t>“3 Purpose and policy of Act</w:t>
      </w:r>
      <w:r w:rsidR="00C25C57">
        <w:rPr>
          <w:sz w:val="18"/>
          <w:szCs w:val="18"/>
        </w:rPr>
        <w:t xml:space="preserve"> </w:t>
      </w:r>
    </w:p>
    <w:p w14:paraId="717644BF" w14:textId="13C63605" w:rsidR="00ED6572" w:rsidRDefault="00F91AB9" w:rsidP="00EA7CC3">
      <w:pPr>
        <w:autoSpaceDE w:val="0"/>
        <w:autoSpaceDN w:val="0"/>
        <w:adjustRightInd w:val="0"/>
        <w:spacing w:after="0" w:line="240" w:lineRule="auto"/>
        <w:ind w:left="720"/>
        <w:rPr>
          <w:sz w:val="18"/>
          <w:szCs w:val="18"/>
        </w:rPr>
      </w:pPr>
      <w:r w:rsidRPr="00F91AB9">
        <w:rPr>
          <w:sz w:val="18"/>
          <w:szCs w:val="18"/>
        </w:rPr>
        <w:t>(a) The purposes of this Act are to promote and advance the social and economic welfare of consumers</w:t>
      </w:r>
      <w:r w:rsidR="001973E9">
        <w:rPr>
          <w:sz w:val="18"/>
          <w:szCs w:val="18"/>
        </w:rPr>
        <w:t xml:space="preserve"> </w:t>
      </w:r>
      <w:r w:rsidR="00EA7CC3">
        <w:rPr>
          <w:sz w:val="18"/>
          <w:szCs w:val="18"/>
        </w:rPr>
        <w:t xml:space="preserve"> </w:t>
      </w:r>
      <w:r w:rsidRPr="00F91AB9">
        <w:rPr>
          <w:sz w:val="18"/>
          <w:szCs w:val="18"/>
        </w:rPr>
        <w:t>in South Africa by—</w:t>
      </w:r>
    </w:p>
    <w:p w14:paraId="50E129D4" w14:textId="632A867D" w:rsidR="00F91AB9" w:rsidRPr="00F91AB9" w:rsidRDefault="00F91AB9" w:rsidP="00EA7CC3">
      <w:pPr>
        <w:autoSpaceDE w:val="0"/>
        <w:autoSpaceDN w:val="0"/>
        <w:adjustRightInd w:val="0"/>
        <w:spacing w:after="0" w:line="240" w:lineRule="auto"/>
        <w:ind w:firstLine="720"/>
        <w:rPr>
          <w:sz w:val="18"/>
          <w:szCs w:val="18"/>
        </w:rPr>
      </w:pPr>
      <w:r w:rsidRPr="00F91AB9">
        <w:rPr>
          <w:sz w:val="18"/>
          <w:szCs w:val="18"/>
        </w:rPr>
        <w:t>(d)  protecting consumers from –</w:t>
      </w:r>
    </w:p>
    <w:p w14:paraId="6D77D3A2" w14:textId="64A3E967" w:rsidR="00F91AB9" w:rsidRPr="00F91AB9" w:rsidRDefault="00F91AB9" w:rsidP="001973E9">
      <w:pPr>
        <w:autoSpaceDE w:val="0"/>
        <w:autoSpaceDN w:val="0"/>
        <w:adjustRightInd w:val="0"/>
        <w:spacing w:after="0" w:line="240" w:lineRule="auto"/>
        <w:rPr>
          <w:sz w:val="18"/>
          <w:szCs w:val="18"/>
        </w:rPr>
      </w:pPr>
      <w:r w:rsidRPr="00F91AB9">
        <w:rPr>
          <w:sz w:val="18"/>
          <w:szCs w:val="18"/>
        </w:rPr>
        <w:t>(i) unconscionable, unfair, unreasonable, unjust or otherwis</w:t>
      </w:r>
      <w:r w:rsidR="000E3A1C">
        <w:rPr>
          <w:sz w:val="18"/>
          <w:szCs w:val="18"/>
        </w:rPr>
        <w:t xml:space="preserve">e </w:t>
      </w:r>
      <w:r w:rsidRPr="00F91AB9">
        <w:rPr>
          <w:sz w:val="18"/>
          <w:szCs w:val="18"/>
        </w:rPr>
        <w:t>improper trade practices; and</w:t>
      </w:r>
    </w:p>
    <w:p w14:paraId="6C76C7A4" w14:textId="77777777" w:rsidR="00421044" w:rsidRDefault="00F91AB9" w:rsidP="000E1DAE">
      <w:pPr>
        <w:autoSpaceDE w:val="0"/>
        <w:autoSpaceDN w:val="0"/>
        <w:adjustRightInd w:val="0"/>
        <w:spacing w:after="0" w:line="240" w:lineRule="auto"/>
        <w:rPr>
          <w:sz w:val="18"/>
          <w:szCs w:val="18"/>
        </w:rPr>
      </w:pPr>
      <w:r w:rsidRPr="00F91AB9">
        <w:rPr>
          <w:sz w:val="18"/>
          <w:szCs w:val="18"/>
        </w:rPr>
        <w:t>(ii)  deceptive, misleading, unfair or fraudulent conduct;</w:t>
      </w:r>
    </w:p>
    <w:p w14:paraId="542DE138" w14:textId="0E54F63A" w:rsidR="00F91AB9" w:rsidRPr="00F91AB9" w:rsidRDefault="00F91AB9" w:rsidP="000E1DAE">
      <w:pPr>
        <w:autoSpaceDE w:val="0"/>
        <w:autoSpaceDN w:val="0"/>
        <w:adjustRightInd w:val="0"/>
        <w:spacing w:after="0" w:line="240" w:lineRule="auto"/>
        <w:rPr>
          <w:sz w:val="18"/>
          <w:szCs w:val="18"/>
        </w:rPr>
      </w:pPr>
      <w:r w:rsidRPr="00F91AB9">
        <w:rPr>
          <w:sz w:val="18"/>
          <w:szCs w:val="18"/>
        </w:rPr>
        <w:t>(e) improving consumer awareness and information and encouraging responsible and informed consumer choice and behaviour;</w:t>
      </w:r>
    </w:p>
    <w:p w14:paraId="2346ABF6" w14:textId="59DCC982" w:rsidR="00F91AB9" w:rsidRPr="00F91AB9" w:rsidRDefault="00F91AB9" w:rsidP="000E1DAE">
      <w:pPr>
        <w:pStyle w:val="FootnoteText"/>
        <w:rPr>
          <w:lang w:val="en-US"/>
        </w:rPr>
      </w:pPr>
      <w:r w:rsidRPr="00F91AB9">
        <w:rPr>
          <w:sz w:val="18"/>
          <w:szCs w:val="18"/>
        </w:rPr>
        <w:t>(f)</w:t>
      </w:r>
      <w:r w:rsidR="00421044">
        <w:rPr>
          <w:sz w:val="18"/>
          <w:szCs w:val="18"/>
        </w:rPr>
        <w:t xml:space="preserve"> </w:t>
      </w:r>
      <w:r w:rsidRPr="00F91AB9">
        <w:rPr>
          <w:sz w:val="18"/>
          <w:szCs w:val="18"/>
        </w:rPr>
        <w:t>promoting consumer confidence, empowerment, and the development of a culture of consumer responsibility, through individual and group education, vigilance, advocacy and activism;</w:t>
      </w:r>
      <w:r w:rsidRPr="00F91AB9">
        <w:rPr>
          <w:i/>
          <w:iCs/>
          <w:sz w:val="18"/>
          <w:szCs w:val="18"/>
        </w:rPr>
        <w:t xml:space="preserve"> …”</w:t>
      </w:r>
    </w:p>
  </w:footnote>
  <w:footnote w:id="50">
    <w:p w14:paraId="179FD103" w14:textId="2FC03742" w:rsidR="003B5976" w:rsidRDefault="001E2BF9" w:rsidP="00EA7CC3">
      <w:pPr>
        <w:spacing w:after="0" w:line="240" w:lineRule="auto"/>
        <w:rPr>
          <w:sz w:val="18"/>
          <w:szCs w:val="18"/>
        </w:rPr>
      </w:pPr>
      <w:r>
        <w:rPr>
          <w:rStyle w:val="FootnoteReference"/>
        </w:rPr>
        <w:footnoteRef/>
      </w:r>
      <w:r>
        <w:t xml:space="preserve"> </w:t>
      </w:r>
      <w:r w:rsidRPr="001930E4">
        <w:rPr>
          <w:sz w:val="18"/>
          <w:szCs w:val="18"/>
        </w:rPr>
        <w:t>‘</w:t>
      </w:r>
      <w:r w:rsidRPr="001930E4">
        <w:rPr>
          <w:i/>
          <w:iCs/>
          <w:sz w:val="18"/>
          <w:szCs w:val="18"/>
        </w:rPr>
        <w:t xml:space="preserve">(1) … no person shall conduct the business of a bank unless such a person is a public company and is </w:t>
      </w:r>
      <w:r w:rsidR="003B5976">
        <w:rPr>
          <w:i/>
          <w:iCs/>
          <w:sz w:val="18"/>
          <w:szCs w:val="18"/>
        </w:rPr>
        <w:t>r</w:t>
      </w:r>
      <w:r w:rsidRPr="001930E4">
        <w:rPr>
          <w:i/>
          <w:iCs/>
          <w:sz w:val="18"/>
          <w:szCs w:val="18"/>
        </w:rPr>
        <w:t>egistered as a bank in terms of this Act</w:t>
      </w:r>
      <w:r w:rsidRPr="001930E4">
        <w:rPr>
          <w:sz w:val="18"/>
          <w:szCs w:val="18"/>
        </w:rPr>
        <w:t>.</w:t>
      </w:r>
      <w:r w:rsidR="003B5976">
        <w:rPr>
          <w:sz w:val="18"/>
          <w:szCs w:val="18"/>
        </w:rPr>
        <w:t xml:space="preserve"> </w:t>
      </w:r>
    </w:p>
    <w:p w14:paraId="38766A07" w14:textId="76A0F339" w:rsidR="001E2BF9" w:rsidRDefault="001E2BF9" w:rsidP="00EA7CC3">
      <w:pPr>
        <w:spacing w:after="0" w:line="240" w:lineRule="auto"/>
      </w:pPr>
      <w:r w:rsidRPr="001930E4">
        <w:rPr>
          <w:i/>
          <w:iCs/>
          <w:sz w:val="18"/>
          <w:szCs w:val="18"/>
        </w:rPr>
        <w:t>(2) Any person who contravenes a provision of ss1 shall be guilty of an offence.”</w:t>
      </w:r>
    </w:p>
  </w:footnote>
  <w:footnote w:id="51">
    <w:p w14:paraId="27471FF5" w14:textId="77777777" w:rsidR="00E805A2" w:rsidRDefault="00E805A2" w:rsidP="00E805A2">
      <w:pPr>
        <w:pStyle w:val="FootnoteText"/>
        <w:ind w:left="360" w:hanging="360"/>
        <w:rPr>
          <w:sz w:val="20"/>
          <w:szCs w:val="20"/>
        </w:rPr>
      </w:pPr>
      <w:r>
        <w:rPr>
          <w:rStyle w:val="FootnoteReference"/>
          <w:sz w:val="20"/>
          <w:szCs w:val="20"/>
        </w:rPr>
        <w:footnoteRef/>
      </w:r>
      <w:r>
        <w:rPr>
          <w:sz w:val="20"/>
          <w:szCs w:val="20"/>
        </w:rPr>
        <w:t xml:space="preserve"> </w:t>
      </w:r>
      <w:r>
        <w:rPr>
          <w:sz w:val="20"/>
          <w:szCs w:val="20"/>
        </w:rPr>
        <w:tab/>
        <w:t xml:space="preserve">See Cilliers, </w:t>
      </w:r>
      <w:r>
        <w:rPr>
          <w:i/>
          <w:iCs/>
          <w:sz w:val="20"/>
          <w:szCs w:val="20"/>
        </w:rPr>
        <w:t>Law of Costs</w:t>
      </w:r>
      <w:r>
        <w:rPr>
          <w:sz w:val="20"/>
          <w:szCs w:val="20"/>
        </w:rPr>
        <w:t>, 3</w:t>
      </w:r>
      <w:r>
        <w:rPr>
          <w:sz w:val="20"/>
          <w:szCs w:val="20"/>
          <w:vertAlign w:val="superscript"/>
        </w:rPr>
        <w:t>rd</w:t>
      </w:r>
      <w:r>
        <w:rPr>
          <w:sz w:val="20"/>
          <w:szCs w:val="20"/>
        </w:rPr>
        <w:t xml:space="preserve"> ed at 13-38(6) para 13.24 and the authorities referred to therein.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727914"/>
      <w:docPartObj>
        <w:docPartGallery w:val="Page Numbers (Top of Page)"/>
        <w:docPartUnique/>
      </w:docPartObj>
    </w:sdtPr>
    <w:sdtEndPr>
      <w:rPr>
        <w:noProof/>
      </w:rPr>
    </w:sdtEndPr>
    <w:sdtContent>
      <w:p w14:paraId="1EB30EF0" w14:textId="77777777" w:rsidR="005A17C3" w:rsidRDefault="005A17C3">
        <w:pPr>
          <w:pStyle w:val="Header"/>
          <w:jc w:val="right"/>
        </w:pPr>
        <w:r>
          <w:fldChar w:fldCharType="begin"/>
        </w:r>
        <w:r>
          <w:instrText xml:space="preserve"> PAGE   \* MERGEFORMAT </w:instrText>
        </w:r>
        <w:r>
          <w:fldChar w:fldCharType="separate"/>
        </w:r>
        <w:r w:rsidR="00560794">
          <w:rPr>
            <w:noProof/>
          </w:rPr>
          <w:t>3</w:t>
        </w:r>
        <w:r>
          <w:rPr>
            <w:noProof/>
          </w:rPr>
          <w:fldChar w:fldCharType="end"/>
        </w:r>
      </w:p>
    </w:sdtContent>
  </w:sdt>
  <w:p w14:paraId="5650C7B5" w14:textId="77777777" w:rsidR="005A17C3" w:rsidRDefault="005A1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7665"/>
    <w:multiLevelType w:val="multilevel"/>
    <w:tmpl w:val="FADA2A28"/>
    <w:lvl w:ilvl="0">
      <w:start w:val="1"/>
      <w:numFmt w:val="decimal"/>
      <w:lvlText w:val="%1"/>
      <w:lvlJc w:val="left"/>
      <w:pPr>
        <w:ind w:left="567" w:hanging="567"/>
      </w:pPr>
      <w:rPr>
        <w:rFonts w:hint="default"/>
      </w:rPr>
    </w:lvl>
    <w:lvl w:ilvl="1">
      <w:start w:val="1"/>
      <w:numFmt w:val="decimal"/>
      <w:lvlText w:val="%1.%2"/>
      <w:lvlJc w:val="left"/>
      <w:pPr>
        <w:ind w:left="794" w:hanging="567"/>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92" w:hanging="1452"/>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613" w:hanging="2733"/>
      </w:pPr>
      <w:rPr>
        <w:rFonts w:hint="default"/>
      </w:rPr>
    </w:lvl>
  </w:abstractNum>
  <w:abstractNum w:abstractNumId="1">
    <w:nsid w:val="0BA97EB0"/>
    <w:multiLevelType w:val="multilevel"/>
    <w:tmpl w:val="F4D405BE"/>
    <w:lvl w:ilvl="0">
      <w:start w:val="30"/>
      <w:numFmt w:val="decimal"/>
      <w:isLgl/>
      <w:lvlText w:val="[%1]"/>
      <w:lvlJc w:val="left"/>
      <w:pPr>
        <w:tabs>
          <w:tab w:val="num" w:pos="927"/>
        </w:tabs>
        <w:ind w:left="397" w:hanging="37"/>
      </w:pPr>
      <w:rPr>
        <w:rFonts w:hint="default"/>
        <w:i w:val="0"/>
        <w:iCs w:val="0"/>
        <w:sz w:val="22"/>
        <w:szCs w:val="22"/>
      </w:rPr>
    </w:lvl>
    <w:lvl w:ilvl="1">
      <w:start w:val="1"/>
      <w:numFmt w:val="decimal"/>
      <w:lvlText w:val="(%2)"/>
      <w:lvlJc w:val="left"/>
      <w:pPr>
        <w:tabs>
          <w:tab w:val="num" w:pos="927"/>
        </w:tabs>
        <w:ind w:left="360" w:firstLine="0"/>
      </w:pPr>
      <w:rPr>
        <w:rFonts w:ascii="Arial" w:eastAsia="Times New Roman" w:hAnsi="Arial" w:cs="Arial" w:hint="default"/>
      </w:rPr>
    </w:lvl>
    <w:lvl w:ilvl="2">
      <w:start w:val="1"/>
      <w:numFmt w:val="decimal"/>
      <w:lvlText w:val="[%1.%2.%3.]"/>
      <w:lvlJc w:val="left"/>
      <w:pPr>
        <w:tabs>
          <w:tab w:val="num" w:pos="927"/>
        </w:tabs>
        <w:ind w:left="360" w:firstLine="0"/>
      </w:pPr>
      <w:rPr>
        <w:rFonts w:hint="default"/>
      </w:rPr>
    </w:lvl>
    <w:lvl w:ilvl="3">
      <w:start w:val="1"/>
      <w:numFmt w:val="decimal"/>
      <w:lvlText w:val="[%1.%2.%3.%4.]"/>
      <w:lvlJc w:val="left"/>
      <w:pPr>
        <w:tabs>
          <w:tab w:val="num" w:pos="927"/>
        </w:tabs>
        <w:ind w:left="360" w:firstLine="0"/>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
    <w:nsid w:val="14D6093B"/>
    <w:multiLevelType w:val="multilevel"/>
    <w:tmpl w:val="95C4F3F6"/>
    <w:lvl w:ilvl="0">
      <w:start w:val="1"/>
      <w:numFmt w:val="decimal"/>
      <w:isLgl/>
      <w:lvlText w:val="[%1]"/>
      <w:lvlJc w:val="left"/>
      <w:pPr>
        <w:tabs>
          <w:tab w:val="num" w:pos="927"/>
        </w:tabs>
        <w:ind w:left="397" w:hanging="37"/>
      </w:pPr>
      <w:rPr>
        <w:rFonts w:hint="default"/>
        <w:i w:val="0"/>
        <w:iCs w:val="0"/>
        <w:sz w:val="22"/>
        <w:szCs w:val="22"/>
      </w:rPr>
    </w:lvl>
    <w:lvl w:ilvl="1">
      <w:start w:val="1"/>
      <w:numFmt w:val="decimal"/>
      <w:lvlText w:val="(%2)"/>
      <w:lvlJc w:val="left"/>
      <w:pPr>
        <w:tabs>
          <w:tab w:val="num" w:pos="927"/>
        </w:tabs>
        <w:ind w:left="360" w:firstLine="0"/>
      </w:pPr>
      <w:rPr>
        <w:rFonts w:ascii="Arial" w:eastAsia="Times New Roman" w:hAnsi="Arial" w:cs="Arial" w:hint="default"/>
      </w:rPr>
    </w:lvl>
    <w:lvl w:ilvl="2">
      <w:start w:val="1"/>
      <w:numFmt w:val="decimal"/>
      <w:lvlText w:val="[%1.%2.%3.]"/>
      <w:lvlJc w:val="left"/>
      <w:pPr>
        <w:tabs>
          <w:tab w:val="num" w:pos="927"/>
        </w:tabs>
        <w:ind w:left="360" w:firstLine="0"/>
      </w:pPr>
      <w:rPr>
        <w:rFonts w:hint="default"/>
      </w:rPr>
    </w:lvl>
    <w:lvl w:ilvl="3">
      <w:start w:val="1"/>
      <w:numFmt w:val="decimal"/>
      <w:lvlText w:val="[%1.%2.%3.%4.]"/>
      <w:lvlJc w:val="left"/>
      <w:pPr>
        <w:tabs>
          <w:tab w:val="num" w:pos="927"/>
        </w:tabs>
        <w:ind w:left="360" w:firstLine="0"/>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nsid w:val="240D3654"/>
    <w:multiLevelType w:val="multilevel"/>
    <w:tmpl w:val="EF60D51A"/>
    <w:lvl w:ilvl="0">
      <w:start w:val="70"/>
      <w:numFmt w:val="decimal"/>
      <w:lvlText w:val="%1"/>
      <w:lvlJc w:val="left"/>
      <w:pPr>
        <w:ind w:left="465" w:hanging="465"/>
      </w:pPr>
      <w:rPr>
        <w:rFonts w:hint="default"/>
      </w:rPr>
    </w:lvl>
    <w:lvl w:ilvl="1">
      <w:start w:val="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4">
    <w:nsid w:val="2626296A"/>
    <w:multiLevelType w:val="multilevel"/>
    <w:tmpl w:val="6BD8C290"/>
    <w:lvl w:ilvl="0">
      <w:start w:val="40"/>
      <w:numFmt w:val="decimal"/>
      <w:lvlText w:val="%1"/>
      <w:lvlJc w:val="left"/>
      <w:pPr>
        <w:ind w:left="465" w:hanging="465"/>
      </w:pPr>
      <w:rPr>
        <w:rFonts w:hint="default"/>
      </w:rPr>
    </w:lvl>
    <w:lvl w:ilvl="1">
      <w:start w:val="3"/>
      <w:numFmt w:val="decimal"/>
      <w:lvlText w:val="%1.%2"/>
      <w:lvlJc w:val="left"/>
      <w:pPr>
        <w:ind w:left="1418" w:hanging="69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7D3158C"/>
    <w:multiLevelType w:val="multilevel"/>
    <w:tmpl w:val="96E419BC"/>
    <w:lvl w:ilvl="0">
      <w:start w:val="33"/>
      <w:numFmt w:val="decimal"/>
      <w:lvlText w:val="%1"/>
      <w:lvlJc w:val="left"/>
      <w:pPr>
        <w:ind w:left="465" w:hanging="465"/>
      </w:pPr>
      <w:rPr>
        <w:rFonts w:hint="default"/>
      </w:rPr>
    </w:lvl>
    <w:lvl w:ilvl="1">
      <w:start w:val="1"/>
      <w:numFmt w:val="decimal"/>
      <w:lvlText w:val="%1.%2"/>
      <w:lvlJc w:val="left"/>
      <w:pPr>
        <w:ind w:left="680" w:firstLine="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30AB4162"/>
    <w:multiLevelType w:val="multilevel"/>
    <w:tmpl w:val="34D42862"/>
    <w:lvl w:ilvl="0">
      <w:start w:val="34"/>
      <w:numFmt w:val="decimal"/>
      <w:lvlText w:val="%1"/>
      <w:lvlJc w:val="left"/>
      <w:pPr>
        <w:ind w:left="465" w:hanging="465"/>
      </w:pPr>
      <w:rPr>
        <w:rFonts w:hint="default"/>
      </w:rPr>
    </w:lvl>
    <w:lvl w:ilvl="1">
      <w:start w:val="1"/>
      <w:numFmt w:val="decimal"/>
      <w:lvlText w:val="%1.%2"/>
      <w:lvlJc w:val="left"/>
      <w:pPr>
        <w:ind w:left="1474" w:hanging="75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B38002A"/>
    <w:multiLevelType w:val="multilevel"/>
    <w:tmpl w:val="D84C920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3FEE560C"/>
    <w:multiLevelType w:val="multilevel"/>
    <w:tmpl w:val="97C85C8A"/>
    <w:lvl w:ilvl="0">
      <w:start w:val="126"/>
      <w:numFmt w:val="decimal"/>
      <w:lvlText w:val="%1"/>
      <w:lvlJc w:val="left"/>
      <w:pPr>
        <w:ind w:left="600" w:hanging="600"/>
      </w:pPr>
      <w:rPr>
        <w:rFonts w:hint="default"/>
      </w:rPr>
    </w:lvl>
    <w:lvl w:ilvl="1">
      <w:start w:val="1"/>
      <w:numFmt w:val="decimal"/>
      <w:lvlText w:val="%1.%2"/>
      <w:lvlJc w:val="left"/>
      <w:pPr>
        <w:ind w:left="1230" w:hanging="60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9">
    <w:nsid w:val="484C5605"/>
    <w:multiLevelType w:val="multilevel"/>
    <w:tmpl w:val="BA12ED18"/>
    <w:lvl w:ilvl="0">
      <w:start w:val="32"/>
      <w:numFmt w:val="decimal"/>
      <w:isLgl/>
      <w:lvlText w:val="[%1]"/>
      <w:lvlJc w:val="left"/>
      <w:pPr>
        <w:tabs>
          <w:tab w:val="num" w:pos="927"/>
        </w:tabs>
        <w:ind w:left="1077" w:hanging="717"/>
      </w:pPr>
      <w:rPr>
        <w:rFonts w:hint="default"/>
        <w:b w:val="0"/>
        <w:bCs w:val="0"/>
        <w:i w:val="0"/>
        <w:iCs w:val="0"/>
        <w:sz w:val="22"/>
        <w:szCs w:val="22"/>
      </w:rPr>
    </w:lvl>
    <w:lvl w:ilvl="1">
      <w:start w:val="1"/>
      <w:numFmt w:val="decimal"/>
      <w:lvlText w:val="(%2)"/>
      <w:lvlJc w:val="left"/>
      <w:pPr>
        <w:tabs>
          <w:tab w:val="num" w:pos="927"/>
        </w:tabs>
        <w:ind w:left="360" w:firstLine="0"/>
      </w:pPr>
      <w:rPr>
        <w:rFonts w:ascii="Arial" w:eastAsia="Times New Roman" w:hAnsi="Arial" w:cs="Arial" w:hint="default"/>
      </w:rPr>
    </w:lvl>
    <w:lvl w:ilvl="2">
      <w:start w:val="1"/>
      <w:numFmt w:val="decimal"/>
      <w:lvlText w:val="[%1.%2.%3.]"/>
      <w:lvlJc w:val="left"/>
      <w:pPr>
        <w:tabs>
          <w:tab w:val="num" w:pos="927"/>
        </w:tabs>
        <w:ind w:left="360" w:firstLine="0"/>
      </w:pPr>
      <w:rPr>
        <w:rFonts w:hint="default"/>
      </w:rPr>
    </w:lvl>
    <w:lvl w:ilvl="3">
      <w:start w:val="1"/>
      <w:numFmt w:val="decimal"/>
      <w:lvlText w:val="[%1.%2.%3.%4.]"/>
      <w:lvlJc w:val="left"/>
      <w:pPr>
        <w:tabs>
          <w:tab w:val="num" w:pos="927"/>
        </w:tabs>
        <w:ind w:left="360" w:firstLine="0"/>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0">
    <w:nsid w:val="531B7E56"/>
    <w:multiLevelType w:val="multilevel"/>
    <w:tmpl w:val="0CBA9AF8"/>
    <w:lvl w:ilvl="0">
      <w:start w:val="9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5AC862E8"/>
    <w:multiLevelType w:val="multilevel"/>
    <w:tmpl w:val="89CCDF4E"/>
    <w:lvl w:ilvl="0">
      <w:start w:val="29"/>
      <w:numFmt w:val="decimal"/>
      <w:lvlText w:val="%1"/>
      <w:lvlJc w:val="left"/>
      <w:pPr>
        <w:ind w:left="465" w:hanging="465"/>
      </w:pPr>
      <w:rPr>
        <w:rFonts w:hint="default"/>
      </w:rPr>
    </w:lvl>
    <w:lvl w:ilvl="1">
      <w:start w:val="1"/>
      <w:numFmt w:val="decimal"/>
      <w:lvlText w:val="%1.%2"/>
      <w:lvlJc w:val="left"/>
      <w:pPr>
        <w:ind w:left="1758" w:hanging="851"/>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056" w:hanging="1800"/>
      </w:pPr>
      <w:rPr>
        <w:rFonts w:hint="default"/>
      </w:rPr>
    </w:lvl>
  </w:abstractNum>
  <w:abstractNum w:abstractNumId="12">
    <w:nsid w:val="60FD283C"/>
    <w:multiLevelType w:val="multilevel"/>
    <w:tmpl w:val="141CE5D8"/>
    <w:lvl w:ilvl="0">
      <w:start w:val="28"/>
      <w:numFmt w:val="decimal"/>
      <w:isLgl/>
      <w:lvlText w:val="[%1]"/>
      <w:lvlJc w:val="left"/>
      <w:pPr>
        <w:tabs>
          <w:tab w:val="num" w:pos="927"/>
        </w:tabs>
        <w:ind w:left="397" w:hanging="37"/>
      </w:pPr>
      <w:rPr>
        <w:rFonts w:hint="default"/>
        <w:i w:val="0"/>
        <w:iCs w:val="0"/>
        <w:sz w:val="22"/>
        <w:szCs w:val="22"/>
      </w:rPr>
    </w:lvl>
    <w:lvl w:ilvl="1">
      <w:start w:val="1"/>
      <w:numFmt w:val="decimal"/>
      <w:lvlText w:val="(%2)"/>
      <w:lvlJc w:val="left"/>
      <w:pPr>
        <w:tabs>
          <w:tab w:val="num" w:pos="927"/>
        </w:tabs>
        <w:ind w:left="360" w:firstLine="0"/>
      </w:pPr>
      <w:rPr>
        <w:rFonts w:ascii="Arial" w:eastAsia="Times New Roman" w:hAnsi="Arial" w:cs="Arial" w:hint="default"/>
      </w:rPr>
    </w:lvl>
    <w:lvl w:ilvl="2">
      <w:start w:val="1"/>
      <w:numFmt w:val="decimal"/>
      <w:lvlText w:val="[%1.%2.%3.]"/>
      <w:lvlJc w:val="left"/>
      <w:pPr>
        <w:tabs>
          <w:tab w:val="num" w:pos="927"/>
        </w:tabs>
        <w:ind w:left="360" w:firstLine="0"/>
      </w:pPr>
      <w:rPr>
        <w:rFonts w:hint="default"/>
      </w:rPr>
    </w:lvl>
    <w:lvl w:ilvl="3">
      <w:start w:val="1"/>
      <w:numFmt w:val="decimal"/>
      <w:lvlText w:val="[%1.%2.%3.%4.]"/>
      <w:lvlJc w:val="left"/>
      <w:pPr>
        <w:tabs>
          <w:tab w:val="num" w:pos="927"/>
        </w:tabs>
        <w:ind w:left="360" w:firstLine="0"/>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3">
    <w:nsid w:val="6D9C404F"/>
    <w:multiLevelType w:val="multilevel"/>
    <w:tmpl w:val="A18AAC80"/>
    <w:lvl w:ilvl="0">
      <w:start w:val="32"/>
      <w:numFmt w:val="decimal"/>
      <w:lvlText w:val="%1"/>
      <w:lvlJc w:val="left"/>
      <w:pPr>
        <w:ind w:left="465" w:hanging="465"/>
      </w:pPr>
      <w:rPr>
        <w:rFonts w:hint="default"/>
      </w:rPr>
    </w:lvl>
    <w:lvl w:ilvl="1">
      <w:start w:val="1"/>
      <w:numFmt w:val="decimal"/>
      <w:lvlText w:val="%1.%2"/>
      <w:lvlJc w:val="left"/>
      <w:pPr>
        <w:ind w:left="1361" w:hanging="641"/>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716E65F7"/>
    <w:multiLevelType w:val="multilevel"/>
    <w:tmpl w:val="DC82263C"/>
    <w:lvl w:ilvl="0">
      <w:start w:val="21"/>
      <w:numFmt w:val="decimal"/>
      <w:isLgl/>
      <w:lvlText w:val="[%1]"/>
      <w:lvlJc w:val="left"/>
      <w:pPr>
        <w:tabs>
          <w:tab w:val="num" w:pos="927"/>
        </w:tabs>
        <w:ind w:left="1021" w:hanging="661"/>
      </w:pPr>
      <w:rPr>
        <w:rFonts w:hint="default"/>
        <w:i w:val="0"/>
        <w:iCs w:val="0"/>
        <w:sz w:val="22"/>
        <w:szCs w:val="22"/>
      </w:rPr>
    </w:lvl>
    <w:lvl w:ilvl="1">
      <w:start w:val="1"/>
      <w:numFmt w:val="decimal"/>
      <w:lvlText w:val="(%2)"/>
      <w:lvlJc w:val="left"/>
      <w:pPr>
        <w:tabs>
          <w:tab w:val="num" w:pos="927"/>
        </w:tabs>
        <w:ind w:left="360" w:firstLine="0"/>
      </w:pPr>
      <w:rPr>
        <w:rFonts w:ascii="Arial" w:eastAsia="Times New Roman" w:hAnsi="Arial" w:cs="Arial" w:hint="default"/>
      </w:rPr>
    </w:lvl>
    <w:lvl w:ilvl="2">
      <w:start w:val="1"/>
      <w:numFmt w:val="decimal"/>
      <w:lvlText w:val="[%1.%2.%3.]"/>
      <w:lvlJc w:val="left"/>
      <w:pPr>
        <w:tabs>
          <w:tab w:val="num" w:pos="927"/>
        </w:tabs>
        <w:ind w:left="360" w:firstLine="0"/>
      </w:pPr>
      <w:rPr>
        <w:rFonts w:hint="default"/>
      </w:rPr>
    </w:lvl>
    <w:lvl w:ilvl="3">
      <w:start w:val="1"/>
      <w:numFmt w:val="decimal"/>
      <w:lvlText w:val="[%1.%2.%3.%4.]"/>
      <w:lvlJc w:val="left"/>
      <w:pPr>
        <w:tabs>
          <w:tab w:val="num" w:pos="927"/>
        </w:tabs>
        <w:ind w:left="360" w:firstLine="0"/>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5">
    <w:nsid w:val="727E0A94"/>
    <w:multiLevelType w:val="multilevel"/>
    <w:tmpl w:val="1B4EE638"/>
    <w:lvl w:ilvl="0">
      <w:start w:val="18"/>
      <w:numFmt w:val="decimal"/>
      <w:lvlText w:val="%1"/>
      <w:lvlJc w:val="left"/>
      <w:pPr>
        <w:ind w:left="465" w:hanging="465"/>
      </w:pPr>
      <w:rPr>
        <w:rFonts w:hint="default"/>
      </w:rPr>
    </w:lvl>
    <w:lvl w:ilvl="1">
      <w:start w:val="1"/>
      <w:numFmt w:val="decimal"/>
      <w:lvlText w:val="%1.%2"/>
      <w:lvlJc w:val="left"/>
      <w:pPr>
        <w:ind w:left="1279" w:hanging="465"/>
      </w:pPr>
      <w:rPr>
        <w:rFonts w:hint="default"/>
      </w:rPr>
    </w:lvl>
    <w:lvl w:ilvl="2">
      <w:start w:val="1"/>
      <w:numFmt w:val="decimal"/>
      <w:lvlText w:val="%1.%2.%3"/>
      <w:lvlJc w:val="left"/>
      <w:pPr>
        <w:ind w:left="2348" w:hanging="720"/>
      </w:pPr>
      <w:rPr>
        <w:rFonts w:hint="default"/>
      </w:rPr>
    </w:lvl>
    <w:lvl w:ilvl="3">
      <w:start w:val="1"/>
      <w:numFmt w:val="decimal"/>
      <w:lvlText w:val="%1.%2.%3.%4"/>
      <w:lvlJc w:val="left"/>
      <w:pPr>
        <w:ind w:left="3522" w:hanging="1080"/>
      </w:pPr>
      <w:rPr>
        <w:rFonts w:hint="default"/>
      </w:rPr>
    </w:lvl>
    <w:lvl w:ilvl="4">
      <w:start w:val="1"/>
      <w:numFmt w:val="decimal"/>
      <w:lvlText w:val="%1.%2.%3.%4.%5"/>
      <w:lvlJc w:val="left"/>
      <w:pPr>
        <w:ind w:left="4336" w:hanging="1080"/>
      </w:pPr>
      <w:rPr>
        <w:rFonts w:hint="default"/>
      </w:rPr>
    </w:lvl>
    <w:lvl w:ilvl="5">
      <w:start w:val="1"/>
      <w:numFmt w:val="decimal"/>
      <w:lvlText w:val="%1.%2.%3.%4.%5.%6"/>
      <w:lvlJc w:val="left"/>
      <w:pPr>
        <w:ind w:left="5510" w:hanging="1440"/>
      </w:pPr>
      <w:rPr>
        <w:rFonts w:hint="default"/>
      </w:rPr>
    </w:lvl>
    <w:lvl w:ilvl="6">
      <w:start w:val="1"/>
      <w:numFmt w:val="decimal"/>
      <w:lvlText w:val="%1.%2.%3.%4.%5.%6.%7"/>
      <w:lvlJc w:val="left"/>
      <w:pPr>
        <w:ind w:left="6324" w:hanging="1440"/>
      </w:pPr>
      <w:rPr>
        <w:rFonts w:hint="default"/>
      </w:rPr>
    </w:lvl>
    <w:lvl w:ilvl="7">
      <w:start w:val="1"/>
      <w:numFmt w:val="decimal"/>
      <w:lvlText w:val="%1.%2.%3.%4.%5.%6.%7.%8"/>
      <w:lvlJc w:val="left"/>
      <w:pPr>
        <w:ind w:left="7498" w:hanging="1800"/>
      </w:pPr>
      <w:rPr>
        <w:rFonts w:hint="default"/>
      </w:rPr>
    </w:lvl>
    <w:lvl w:ilvl="8">
      <w:start w:val="1"/>
      <w:numFmt w:val="decimal"/>
      <w:lvlText w:val="%1.%2.%3.%4.%5.%6.%7.%8.%9"/>
      <w:lvlJc w:val="left"/>
      <w:pPr>
        <w:ind w:left="8312" w:hanging="1800"/>
      </w:pPr>
      <w:rPr>
        <w:rFonts w:hint="default"/>
      </w:rPr>
    </w:lvl>
  </w:abstractNum>
  <w:num w:numId="1">
    <w:abstractNumId w:val="7"/>
  </w:num>
  <w:num w:numId="2">
    <w:abstractNumId w:val="2"/>
  </w:num>
  <w:num w:numId="3">
    <w:abstractNumId w:val="0"/>
  </w:num>
  <w:num w:numId="4">
    <w:abstractNumId w:val="2"/>
    <w:lvlOverride w:ilvl="0">
      <w:lvl w:ilvl="0">
        <w:start w:val="1"/>
        <w:numFmt w:val="decimal"/>
        <w:isLgl/>
        <w:lvlText w:val="[%1]"/>
        <w:lvlJc w:val="left"/>
        <w:pPr>
          <w:tabs>
            <w:tab w:val="num" w:pos="567"/>
          </w:tabs>
          <w:ind w:left="0" w:firstLine="0"/>
        </w:pPr>
        <w:rPr>
          <w:rFonts w:hint="default"/>
          <w:i w:val="0"/>
          <w:iCs w:val="0"/>
          <w:sz w:val="22"/>
          <w:szCs w:val="22"/>
        </w:rPr>
      </w:lvl>
    </w:lvlOverride>
    <w:lvlOverride w:ilvl="1">
      <w:lvl w:ilvl="1">
        <w:start w:val="1"/>
        <w:numFmt w:val="decimal"/>
        <w:lvlText w:val="(%2)"/>
        <w:lvlJc w:val="left"/>
        <w:pPr>
          <w:tabs>
            <w:tab w:val="num" w:pos="567"/>
          </w:tabs>
          <w:ind w:left="0" w:firstLine="0"/>
        </w:pPr>
        <w:rPr>
          <w:rFonts w:ascii="Arial" w:eastAsia="Times New Roman" w:hAnsi="Arial" w:cs="Arial" w:hint="default"/>
        </w:rPr>
      </w:lvl>
    </w:lvlOverride>
    <w:lvlOverride w:ilvl="2">
      <w:lvl w:ilvl="2">
        <w:start w:val="1"/>
        <w:numFmt w:val="decimal"/>
        <w:lvlText w:val="[%1.%2.%3.]"/>
        <w:lvlJc w:val="left"/>
        <w:pPr>
          <w:tabs>
            <w:tab w:val="num" w:pos="567"/>
          </w:tabs>
          <w:ind w:left="0" w:firstLine="0"/>
        </w:pPr>
        <w:rPr>
          <w:rFonts w:hint="default"/>
        </w:rPr>
      </w:lvl>
    </w:lvlOverride>
    <w:lvlOverride w:ilvl="3">
      <w:lvl w:ilvl="3">
        <w:start w:val="1"/>
        <w:numFmt w:val="decimal"/>
        <w:lvlText w:val="[%1.%2.%3.%4.]"/>
        <w:lvlJc w:val="left"/>
        <w:pPr>
          <w:tabs>
            <w:tab w:val="num" w:pos="567"/>
          </w:tabs>
          <w:ind w:left="0" w:firstLine="0"/>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5">
    <w:abstractNumId w:val="15"/>
  </w:num>
  <w:num w:numId="6">
    <w:abstractNumId w:val="2"/>
    <w:lvlOverride w:ilvl="0">
      <w:lvl w:ilvl="0">
        <w:start w:val="1"/>
        <w:numFmt w:val="decimal"/>
        <w:isLgl/>
        <w:lvlText w:val="[%1]"/>
        <w:lvlJc w:val="left"/>
        <w:pPr>
          <w:tabs>
            <w:tab w:val="num" w:pos="567"/>
          </w:tabs>
          <w:ind w:left="0" w:firstLine="0"/>
        </w:pPr>
        <w:rPr>
          <w:rFonts w:hint="default"/>
          <w:i w:val="0"/>
          <w:iCs w:val="0"/>
          <w:sz w:val="22"/>
          <w:szCs w:val="22"/>
        </w:rPr>
      </w:lvl>
    </w:lvlOverride>
    <w:lvlOverride w:ilvl="1">
      <w:lvl w:ilvl="1">
        <w:start w:val="1"/>
        <w:numFmt w:val="decimal"/>
        <w:lvlText w:val="(%2)"/>
        <w:lvlJc w:val="left"/>
        <w:pPr>
          <w:tabs>
            <w:tab w:val="num" w:pos="567"/>
          </w:tabs>
          <w:ind w:left="0" w:firstLine="0"/>
        </w:pPr>
        <w:rPr>
          <w:rFonts w:ascii="Arial" w:eastAsia="Times New Roman" w:hAnsi="Arial" w:cs="Arial" w:hint="default"/>
        </w:rPr>
      </w:lvl>
    </w:lvlOverride>
    <w:lvlOverride w:ilvl="2">
      <w:lvl w:ilvl="2">
        <w:start w:val="1"/>
        <w:numFmt w:val="decimal"/>
        <w:lvlText w:val="[%1.%2.%3.]"/>
        <w:lvlJc w:val="left"/>
        <w:pPr>
          <w:tabs>
            <w:tab w:val="num" w:pos="567"/>
          </w:tabs>
          <w:ind w:left="0" w:firstLine="0"/>
        </w:pPr>
        <w:rPr>
          <w:rFonts w:hint="default"/>
        </w:rPr>
      </w:lvl>
    </w:lvlOverride>
    <w:lvlOverride w:ilvl="3">
      <w:lvl w:ilvl="3">
        <w:start w:val="1"/>
        <w:numFmt w:val="decimal"/>
        <w:lvlText w:val="[%1.%2.%3.%4.]"/>
        <w:lvlJc w:val="left"/>
        <w:pPr>
          <w:tabs>
            <w:tab w:val="num" w:pos="567"/>
          </w:tabs>
          <w:ind w:left="0" w:firstLine="0"/>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7">
    <w:abstractNumId w:val="1"/>
  </w:num>
  <w:num w:numId="8">
    <w:abstractNumId w:val="12"/>
  </w:num>
  <w:num w:numId="9">
    <w:abstractNumId w:val="14"/>
  </w:num>
  <w:num w:numId="10">
    <w:abstractNumId w:val="9"/>
  </w:num>
  <w:num w:numId="11">
    <w:abstractNumId w:val="11"/>
  </w:num>
  <w:num w:numId="12">
    <w:abstractNumId w:val="13"/>
  </w:num>
  <w:num w:numId="13">
    <w:abstractNumId w:val="5"/>
  </w:num>
  <w:num w:numId="14">
    <w:abstractNumId w:val="6"/>
  </w:num>
  <w:num w:numId="15">
    <w:abstractNumId w:val="4"/>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E389C02-97F4-461C-9CAA-BBF197759836}"/>
    <w:docVar w:name="dgnword-eventsink" w:val="3188478248560"/>
  </w:docVars>
  <w:rsids>
    <w:rsidRoot w:val="00744ACF"/>
    <w:rsid w:val="000005B7"/>
    <w:rsid w:val="00000DE1"/>
    <w:rsid w:val="00002818"/>
    <w:rsid w:val="000036FD"/>
    <w:rsid w:val="0000380E"/>
    <w:rsid w:val="00003943"/>
    <w:rsid w:val="00004147"/>
    <w:rsid w:val="000055B6"/>
    <w:rsid w:val="00006BE4"/>
    <w:rsid w:val="000071B6"/>
    <w:rsid w:val="0001036B"/>
    <w:rsid w:val="00010C75"/>
    <w:rsid w:val="00011913"/>
    <w:rsid w:val="0001265B"/>
    <w:rsid w:val="00012F60"/>
    <w:rsid w:val="0001345D"/>
    <w:rsid w:val="00013650"/>
    <w:rsid w:val="0001436C"/>
    <w:rsid w:val="00014584"/>
    <w:rsid w:val="0001467F"/>
    <w:rsid w:val="00016A25"/>
    <w:rsid w:val="000172D0"/>
    <w:rsid w:val="00017325"/>
    <w:rsid w:val="000174C4"/>
    <w:rsid w:val="00017E1E"/>
    <w:rsid w:val="00021555"/>
    <w:rsid w:val="0002182C"/>
    <w:rsid w:val="000219E6"/>
    <w:rsid w:val="0002203A"/>
    <w:rsid w:val="00022374"/>
    <w:rsid w:val="000226B1"/>
    <w:rsid w:val="0002286A"/>
    <w:rsid w:val="00024030"/>
    <w:rsid w:val="00024CE5"/>
    <w:rsid w:val="0002517C"/>
    <w:rsid w:val="00025431"/>
    <w:rsid w:val="00025AC0"/>
    <w:rsid w:val="00026777"/>
    <w:rsid w:val="00026942"/>
    <w:rsid w:val="00026FE4"/>
    <w:rsid w:val="0003051A"/>
    <w:rsid w:val="000306D2"/>
    <w:rsid w:val="00030C89"/>
    <w:rsid w:val="000312AC"/>
    <w:rsid w:val="0003150D"/>
    <w:rsid w:val="00031C50"/>
    <w:rsid w:val="00032382"/>
    <w:rsid w:val="0003309A"/>
    <w:rsid w:val="00033F27"/>
    <w:rsid w:val="00034972"/>
    <w:rsid w:val="00034A99"/>
    <w:rsid w:val="000352F3"/>
    <w:rsid w:val="00035362"/>
    <w:rsid w:val="00035E53"/>
    <w:rsid w:val="000363D7"/>
    <w:rsid w:val="00036D6D"/>
    <w:rsid w:val="0003727D"/>
    <w:rsid w:val="00040C7A"/>
    <w:rsid w:val="0004182E"/>
    <w:rsid w:val="000418B3"/>
    <w:rsid w:val="000428BC"/>
    <w:rsid w:val="00042E1E"/>
    <w:rsid w:val="00044810"/>
    <w:rsid w:val="00045A28"/>
    <w:rsid w:val="00045B47"/>
    <w:rsid w:val="000472AD"/>
    <w:rsid w:val="00047EC9"/>
    <w:rsid w:val="000504C0"/>
    <w:rsid w:val="00050CB9"/>
    <w:rsid w:val="000510D0"/>
    <w:rsid w:val="00054EED"/>
    <w:rsid w:val="00055584"/>
    <w:rsid w:val="000555D7"/>
    <w:rsid w:val="00056313"/>
    <w:rsid w:val="00057A6D"/>
    <w:rsid w:val="00060AA8"/>
    <w:rsid w:val="00060B00"/>
    <w:rsid w:val="00061A4D"/>
    <w:rsid w:val="0006235E"/>
    <w:rsid w:val="0006258F"/>
    <w:rsid w:val="00062856"/>
    <w:rsid w:val="00062B4C"/>
    <w:rsid w:val="000633E8"/>
    <w:rsid w:val="000642EB"/>
    <w:rsid w:val="000646BA"/>
    <w:rsid w:val="0006492F"/>
    <w:rsid w:val="00065C7C"/>
    <w:rsid w:val="00065D4C"/>
    <w:rsid w:val="000665B8"/>
    <w:rsid w:val="00066EA3"/>
    <w:rsid w:val="0006743E"/>
    <w:rsid w:val="000676DC"/>
    <w:rsid w:val="000703F4"/>
    <w:rsid w:val="00070406"/>
    <w:rsid w:val="00070CBC"/>
    <w:rsid w:val="00070FBE"/>
    <w:rsid w:val="00071949"/>
    <w:rsid w:val="00071AA9"/>
    <w:rsid w:val="00071F0F"/>
    <w:rsid w:val="0007217C"/>
    <w:rsid w:val="00072630"/>
    <w:rsid w:val="00073595"/>
    <w:rsid w:val="000760BD"/>
    <w:rsid w:val="00076D36"/>
    <w:rsid w:val="00077A47"/>
    <w:rsid w:val="00080057"/>
    <w:rsid w:val="0008022C"/>
    <w:rsid w:val="00080961"/>
    <w:rsid w:val="00081EB2"/>
    <w:rsid w:val="0008280C"/>
    <w:rsid w:val="00083D6D"/>
    <w:rsid w:val="00083DE5"/>
    <w:rsid w:val="00084192"/>
    <w:rsid w:val="000848BA"/>
    <w:rsid w:val="000849A2"/>
    <w:rsid w:val="00084E1F"/>
    <w:rsid w:val="00084F7A"/>
    <w:rsid w:val="00086481"/>
    <w:rsid w:val="000877C4"/>
    <w:rsid w:val="00087AE6"/>
    <w:rsid w:val="00087C9D"/>
    <w:rsid w:val="0009083E"/>
    <w:rsid w:val="0009179B"/>
    <w:rsid w:val="00091858"/>
    <w:rsid w:val="00092EE1"/>
    <w:rsid w:val="00094353"/>
    <w:rsid w:val="000957C7"/>
    <w:rsid w:val="00095F1B"/>
    <w:rsid w:val="000964DE"/>
    <w:rsid w:val="00096E13"/>
    <w:rsid w:val="000A0074"/>
    <w:rsid w:val="000A019D"/>
    <w:rsid w:val="000A02FA"/>
    <w:rsid w:val="000A04EE"/>
    <w:rsid w:val="000A0F33"/>
    <w:rsid w:val="000A12B7"/>
    <w:rsid w:val="000A1532"/>
    <w:rsid w:val="000A29DB"/>
    <w:rsid w:val="000A326E"/>
    <w:rsid w:val="000A4E0E"/>
    <w:rsid w:val="000A600F"/>
    <w:rsid w:val="000A7CE8"/>
    <w:rsid w:val="000B026B"/>
    <w:rsid w:val="000B0868"/>
    <w:rsid w:val="000B1AD8"/>
    <w:rsid w:val="000B1D94"/>
    <w:rsid w:val="000B226D"/>
    <w:rsid w:val="000B2C5A"/>
    <w:rsid w:val="000B3909"/>
    <w:rsid w:val="000B402C"/>
    <w:rsid w:val="000B55E5"/>
    <w:rsid w:val="000B55FB"/>
    <w:rsid w:val="000B57BC"/>
    <w:rsid w:val="000B6548"/>
    <w:rsid w:val="000B7177"/>
    <w:rsid w:val="000C0436"/>
    <w:rsid w:val="000C18D2"/>
    <w:rsid w:val="000C1BF5"/>
    <w:rsid w:val="000C3A12"/>
    <w:rsid w:val="000C4FCE"/>
    <w:rsid w:val="000C520A"/>
    <w:rsid w:val="000C595C"/>
    <w:rsid w:val="000C6028"/>
    <w:rsid w:val="000C605C"/>
    <w:rsid w:val="000C657A"/>
    <w:rsid w:val="000C6630"/>
    <w:rsid w:val="000C726D"/>
    <w:rsid w:val="000D1552"/>
    <w:rsid w:val="000D17CB"/>
    <w:rsid w:val="000D2532"/>
    <w:rsid w:val="000D26D7"/>
    <w:rsid w:val="000D277F"/>
    <w:rsid w:val="000D2AC7"/>
    <w:rsid w:val="000D38D5"/>
    <w:rsid w:val="000D3BBE"/>
    <w:rsid w:val="000D409E"/>
    <w:rsid w:val="000D6A41"/>
    <w:rsid w:val="000D742A"/>
    <w:rsid w:val="000E0267"/>
    <w:rsid w:val="000E052C"/>
    <w:rsid w:val="000E0748"/>
    <w:rsid w:val="000E081C"/>
    <w:rsid w:val="000E08FB"/>
    <w:rsid w:val="000E0DF5"/>
    <w:rsid w:val="000E1A4D"/>
    <w:rsid w:val="000E1DAE"/>
    <w:rsid w:val="000E28CD"/>
    <w:rsid w:val="000E3A1C"/>
    <w:rsid w:val="000E50D7"/>
    <w:rsid w:val="000E5302"/>
    <w:rsid w:val="000E6382"/>
    <w:rsid w:val="000E72BD"/>
    <w:rsid w:val="000E75A8"/>
    <w:rsid w:val="000F06EA"/>
    <w:rsid w:val="000F1430"/>
    <w:rsid w:val="000F1DBC"/>
    <w:rsid w:val="000F268A"/>
    <w:rsid w:val="000F277A"/>
    <w:rsid w:val="000F2936"/>
    <w:rsid w:val="000F3224"/>
    <w:rsid w:val="000F3307"/>
    <w:rsid w:val="000F335F"/>
    <w:rsid w:val="000F4CA9"/>
    <w:rsid w:val="000F578A"/>
    <w:rsid w:val="000F5B01"/>
    <w:rsid w:val="000F5EB3"/>
    <w:rsid w:val="000F767F"/>
    <w:rsid w:val="000F7BF3"/>
    <w:rsid w:val="00100024"/>
    <w:rsid w:val="00100874"/>
    <w:rsid w:val="00100EC0"/>
    <w:rsid w:val="001013F1"/>
    <w:rsid w:val="0010285C"/>
    <w:rsid w:val="001031BC"/>
    <w:rsid w:val="00103515"/>
    <w:rsid w:val="00103625"/>
    <w:rsid w:val="0010395E"/>
    <w:rsid w:val="00105CE0"/>
    <w:rsid w:val="00105E5A"/>
    <w:rsid w:val="00106342"/>
    <w:rsid w:val="00107278"/>
    <w:rsid w:val="001100ED"/>
    <w:rsid w:val="0011024E"/>
    <w:rsid w:val="001102C3"/>
    <w:rsid w:val="001110C6"/>
    <w:rsid w:val="00112F86"/>
    <w:rsid w:val="001134BD"/>
    <w:rsid w:val="001137F4"/>
    <w:rsid w:val="001138FD"/>
    <w:rsid w:val="0011463D"/>
    <w:rsid w:val="00114BB7"/>
    <w:rsid w:val="001151D5"/>
    <w:rsid w:val="00115807"/>
    <w:rsid w:val="001167A3"/>
    <w:rsid w:val="00116C67"/>
    <w:rsid w:val="00117029"/>
    <w:rsid w:val="001177BC"/>
    <w:rsid w:val="00117BDA"/>
    <w:rsid w:val="00117C89"/>
    <w:rsid w:val="00120036"/>
    <w:rsid w:val="0012254B"/>
    <w:rsid w:val="0012310F"/>
    <w:rsid w:val="0012322A"/>
    <w:rsid w:val="00123510"/>
    <w:rsid w:val="00123B4C"/>
    <w:rsid w:val="001247F3"/>
    <w:rsid w:val="00124AED"/>
    <w:rsid w:val="00124C0B"/>
    <w:rsid w:val="0012548A"/>
    <w:rsid w:val="001258DD"/>
    <w:rsid w:val="001332C0"/>
    <w:rsid w:val="00133C0D"/>
    <w:rsid w:val="00133E3E"/>
    <w:rsid w:val="001342FB"/>
    <w:rsid w:val="00134670"/>
    <w:rsid w:val="001346F2"/>
    <w:rsid w:val="00135264"/>
    <w:rsid w:val="00135C36"/>
    <w:rsid w:val="00135C7A"/>
    <w:rsid w:val="00135CAE"/>
    <w:rsid w:val="00135CF7"/>
    <w:rsid w:val="00136205"/>
    <w:rsid w:val="001370F6"/>
    <w:rsid w:val="00137162"/>
    <w:rsid w:val="00137718"/>
    <w:rsid w:val="00137899"/>
    <w:rsid w:val="00141142"/>
    <w:rsid w:val="001416C9"/>
    <w:rsid w:val="00141EAD"/>
    <w:rsid w:val="00141F96"/>
    <w:rsid w:val="001424F9"/>
    <w:rsid w:val="00142E96"/>
    <w:rsid w:val="001436B4"/>
    <w:rsid w:val="0014482D"/>
    <w:rsid w:val="00145E54"/>
    <w:rsid w:val="00146F7D"/>
    <w:rsid w:val="001479E8"/>
    <w:rsid w:val="0015265C"/>
    <w:rsid w:val="001531D2"/>
    <w:rsid w:val="001532D9"/>
    <w:rsid w:val="00153784"/>
    <w:rsid w:val="00153EC6"/>
    <w:rsid w:val="0015412D"/>
    <w:rsid w:val="00154589"/>
    <w:rsid w:val="001567BE"/>
    <w:rsid w:val="00156E0D"/>
    <w:rsid w:val="00157016"/>
    <w:rsid w:val="00157AE9"/>
    <w:rsid w:val="00160970"/>
    <w:rsid w:val="001611C2"/>
    <w:rsid w:val="00161597"/>
    <w:rsid w:val="001627D7"/>
    <w:rsid w:val="00162B02"/>
    <w:rsid w:val="00162F52"/>
    <w:rsid w:val="00162F61"/>
    <w:rsid w:val="00163887"/>
    <w:rsid w:val="0016399F"/>
    <w:rsid w:val="00164389"/>
    <w:rsid w:val="001656E8"/>
    <w:rsid w:val="00166A63"/>
    <w:rsid w:val="00167B33"/>
    <w:rsid w:val="00167FC3"/>
    <w:rsid w:val="00171EF1"/>
    <w:rsid w:val="001727A1"/>
    <w:rsid w:val="001727ED"/>
    <w:rsid w:val="00172E44"/>
    <w:rsid w:val="0017356E"/>
    <w:rsid w:val="00175275"/>
    <w:rsid w:val="001756A7"/>
    <w:rsid w:val="001756C0"/>
    <w:rsid w:val="00175B51"/>
    <w:rsid w:val="00175EAC"/>
    <w:rsid w:val="00176A33"/>
    <w:rsid w:val="00176B0F"/>
    <w:rsid w:val="00176CF8"/>
    <w:rsid w:val="00176D6B"/>
    <w:rsid w:val="00177270"/>
    <w:rsid w:val="00177FC6"/>
    <w:rsid w:val="0018083F"/>
    <w:rsid w:val="00180B4F"/>
    <w:rsid w:val="00180E90"/>
    <w:rsid w:val="001827D7"/>
    <w:rsid w:val="00182D19"/>
    <w:rsid w:val="001846B4"/>
    <w:rsid w:val="00184DE8"/>
    <w:rsid w:val="0018551F"/>
    <w:rsid w:val="00186BF8"/>
    <w:rsid w:val="00187BD0"/>
    <w:rsid w:val="00190FD0"/>
    <w:rsid w:val="00191FF8"/>
    <w:rsid w:val="001930E4"/>
    <w:rsid w:val="00194837"/>
    <w:rsid w:val="00194A62"/>
    <w:rsid w:val="00195A44"/>
    <w:rsid w:val="00195ECC"/>
    <w:rsid w:val="001962C2"/>
    <w:rsid w:val="00196DD6"/>
    <w:rsid w:val="00196E62"/>
    <w:rsid w:val="001973E9"/>
    <w:rsid w:val="0019796B"/>
    <w:rsid w:val="00197DAA"/>
    <w:rsid w:val="001A00C5"/>
    <w:rsid w:val="001A0DFB"/>
    <w:rsid w:val="001A2279"/>
    <w:rsid w:val="001A3081"/>
    <w:rsid w:val="001A33A1"/>
    <w:rsid w:val="001A33D9"/>
    <w:rsid w:val="001A36B8"/>
    <w:rsid w:val="001A47DF"/>
    <w:rsid w:val="001A49B8"/>
    <w:rsid w:val="001A4E13"/>
    <w:rsid w:val="001A5514"/>
    <w:rsid w:val="001A56DC"/>
    <w:rsid w:val="001A5816"/>
    <w:rsid w:val="001A645D"/>
    <w:rsid w:val="001A6701"/>
    <w:rsid w:val="001A6ABB"/>
    <w:rsid w:val="001B0C7E"/>
    <w:rsid w:val="001B129D"/>
    <w:rsid w:val="001B2D6F"/>
    <w:rsid w:val="001B37D7"/>
    <w:rsid w:val="001B3C14"/>
    <w:rsid w:val="001B4BAA"/>
    <w:rsid w:val="001B5422"/>
    <w:rsid w:val="001B7F43"/>
    <w:rsid w:val="001C099D"/>
    <w:rsid w:val="001C3087"/>
    <w:rsid w:val="001C3842"/>
    <w:rsid w:val="001C43BB"/>
    <w:rsid w:val="001C46CE"/>
    <w:rsid w:val="001C5089"/>
    <w:rsid w:val="001C58D5"/>
    <w:rsid w:val="001C67E7"/>
    <w:rsid w:val="001C6E30"/>
    <w:rsid w:val="001D00B1"/>
    <w:rsid w:val="001D02B7"/>
    <w:rsid w:val="001D0916"/>
    <w:rsid w:val="001D0CE5"/>
    <w:rsid w:val="001D2FDA"/>
    <w:rsid w:val="001D389E"/>
    <w:rsid w:val="001D4130"/>
    <w:rsid w:val="001D42FF"/>
    <w:rsid w:val="001D48D9"/>
    <w:rsid w:val="001D5439"/>
    <w:rsid w:val="001D55FB"/>
    <w:rsid w:val="001D5647"/>
    <w:rsid w:val="001D663C"/>
    <w:rsid w:val="001D6CA3"/>
    <w:rsid w:val="001D729F"/>
    <w:rsid w:val="001D7E1E"/>
    <w:rsid w:val="001E0661"/>
    <w:rsid w:val="001E125B"/>
    <w:rsid w:val="001E1788"/>
    <w:rsid w:val="001E25D4"/>
    <w:rsid w:val="001E2BF9"/>
    <w:rsid w:val="001E2D40"/>
    <w:rsid w:val="001E3024"/>
    <w:rsid w:val="001E369E"/>
    <w:rsid w:val="001E3E37"/>
    <w:rsid w:val="001E4429"/>
    <w:rsid w:val="001E58D6"/>
    <w:rsid w:val="001E69D6"/>
    <w:rsid w:val="001E6B54"/>
    <w:rsid w:val="001E6C0B"/>
    <w:rsid w:val="001E6F07"/>
    <w:rsid w:val="001E7129"/>
    <w:rsid w:val="001E7633"/>
    <w:rsid w:val="001F19AA"/>
    <w:rsid w:val="001F45BA"/>
    <w:rsid w:val="001F4F5C"/>
    <w:rsid w:val="001F60AF"/>
    <w:rsid w:val="001F6F49"/>
    <w:rsid w:val="001F7A59"/>
    <w:rsid w:val="0020047A"/>
    <w:rsid w:val="00200B19"/>
    <w:rsid w:val="00200B2A"/>
    <w:rsid w:val="00200CDB"/>
    <w:rsid w:val="00202E32"/>
    <w:rsid w:val="00202FD0"/>
    <w:rsid w:val="00204671"/>
    <w:rsid w:val="00206865"/>
    <w:rsid w:val="00207164"/>
    <w:rsid w:val="00207400"/>
    <w:rsid w:val="00207777"/>
    <w:rsid w:val="0021058B"/>
    <w:rsid w:val="0021170D"/>
    <w:rsid w:val="0021176B"/>
    <w:rsid w:val="002127A0"/>
    <w:rsid w:val="0021376C"/>
    <w:rsid w:val="00214396"/>
    <w:rsid w:val="002151C0"/>
    <w:rsid w:val="002164CE"/>
    <w:rsid w:val="002167CF"/>
    <w:rsid w:val="002177B3"/>
    <w:rsid w:val="002208C3"/>
    <w:rsid w:val="00220E4E"/>
    <w:rsid w:val="00221426"/>
    <w:rsid w:val="002220F1"/>
    <w:rsid w:val="00222101"/>
    <w:rsid w:val="00223BB0"/>
    <w:rsid w:val="00223CDF"/>
    <w:rsid w:val="00223D54"/>
    <w:rsid w:val="00224318"/>
    <w:rsid w:val="00224352"/>
    <w:rsid w:val="00224571"/>
    <w:rsid w:val="00224649"/>
    <w:rsid w:val="00224F18"/>
    <w:rsid w:val="00225322"/>
    <w:rsid w:val="00225545"/>
    <w:rsid w:val="00226E6C"/>
    <w:rsid w:val="002270DB"/>
    <w:rsid w:val="002279FE"/>
    <w:rsid w:val="00230359"/>
    <w:rsid w:val="002303EF"/>
    <w:rsid w:val="002305F4"/>
    <w:rsid w:val="00231990"/>
    <w:rsid w:val="00231F3C"/>
    <w:rsid w:val="00232BBC"/>
    <w:rsid w:val="00233FF1"/>
    <w:rsid w:val="0023589C"/>
    <w:rsid w:val="00236328"/>
    <w:rsid w:val="002369F6"/>
    <w:rsid w:val="00236A1C"/>
    <w:rsid w:val="00237786"/>
    <w:rsid w:val="00240325"/>
    <w:rsid w:val="0024189C"/>
    <w:rsid w:val="00242DCC"/>
    <w:rsid w:val="00244EA4"/>
    <w:rsid w:val="00245767"/>
    <w:rsid w:val="002466FE"/>
    <w:rsid w:val="002474A7"/>
    <w:rsid w:val="00250121"/>
    <w:rsid w:val="00251777"/>
    <w:rsid w:val="00251DAA"/>
    <w:rsid w:val="00252298"/>
    <w:rsid w:val="00252944"/>
    <w:rsid w:val="00252DBB"/>
    <w:rsid w:val="002536C5"/>
    <w:rsid w:val="00253827"/>
    <w:rsid w:val="00254C9B"/>
    <w:rsid w:val="00255193"/>
    <w:rsid w:val="00255577"/>
    <w:rsid w:val="00255682"/>
    <w:rsid w:val="00255E7E"/>
    <w:rsid w:val="0025669F"/>
    <w:rsid w:val="002576BF"/>
    <w:rsid w:val="00260077"/>
    <w:rsid w:val="002603E7"/>
    <w:rsid w:val="00260422"/>
    <w:rsid w:val="002613EC"/>
    <w:rsid w:val="002619A5"/>
    <w:rsid w:val="00261D63"/>
    <w:rsid w:val="002628DB"/>
    <w:rsid w:val="0026302E"/>
    <w:rsid w:val="00263454"/>
    <w:rsid w:val="002640A0"/>
    <w:rsid w:val="00266432"/>
    <w:rsid w:val="00266855"/>
    <w:rsid w:val="0026689D"/>
    <w:rsid w:val="0027093E"/>
    <w:rsid w:val="00272401"/>
    <w:rsid w:val="00272BA2"/>
    <w:rsid w:val="00272D22"/>
    <w:rsid w:val="0027358E"/>
    <w:rsid w:val="00273804"/>
    <w:rsid w:val="00274159"/>
    <w:rsid w:val="002744B8"/>
    <w:rsid w:val="00274B61"/>
    <w:rsid w:val="00275100"/>
    <w:rsid w:val="00275909"/>
    <w:rsid w:val="00277554"/>
    <w:rsid w:val="00277FBE"/>
    <w:rsid w:val="002803FA"/>
    <w:rsid w:val="00280B13"/>
    <w:rsid w:val="00280EE6"/>
    <w:rsid w:val="00281766"/>
    <w:rsid w:val="002827C9"/>
    <w:rsid w:val="00283A49"/>
    <w:rsid w:val="002840DD"/>
    <w:rsid w:val="002846E2"/>
    <w:rsid w:val="00285658"/>
    <w:rsid w:val="00285B5F"/>
    <w:rsid w:val="00285DE7"/>
    <w:rsid w:val="00286153"/>
    <w:rsid w:val="00287EA2"/>
    <w:rsid w:val="0029037E"/>
    <w:rsid w:val="00291CC8"/>
    <w:rsid w:val="002925F4"/>
    <w:rsid w:val="00292F5F"/>
    <w:rsid w:val="00293D0A"/>
    <w:rsid w:val="00293FB1"/>
    <w:rsid w:val="00294399"/>
    <w:rsid w:val="00294896"/>
    <w:rsid w:val="00294EDA"/>
    <w:rsid w:val="00295A36"/>
    <w:rsid w:val="00296808"/>
    <w:rsid w:val="00296CA3"/>
    <w:rsid w:val="0029753D"/>
    <w:rsid w:val="002A059A"/>
    <w:rsid w:val="002A2138"/>
    <w:rsid w:val="002A24DD"/>
    <w:rsid w:val="002A2546"/>
    <w:rsid w:val="002A2F11"/>
    <w:rsid w:val="002A35DC"/>
    <w:rsid w:val="002A4904"/>
    <w:rsid w:val="002A500E"/>
    <w:rsid w:val="002A50B0"/>
    <w:rsid w:val="002A50F0"/>
    <w:rsid w:val="002A5F7C"/>
    <w:rsid w:val="002A6110"/>
    <w:rsid w:val="002A6ED6"/>
    <w:rsid w:val="002B1193"/>
    <w:rsid w:val="002B13BB"/>
    <w:rsid w:val="002B1B12"/>
    <w:rsid w:val="002B2D32"/>
    <w:rsid w:val="002B3A81"/>
    <w:rsid w:val="002B4233"/>
    <w:rsid w:val="002B4326"/>
    <w:rsid w:val="002B4B02"/>
    <w:rsid w:val="002B57F1"/>
    <w:rsid w:val="002B627D"/>
    <w:rsid w:val="002B6299"/>
    <w:rsid w:val="002B69E4"/>
    <w:rsid w:val="002C02DE"/>
    <w:rsid w:val="002C079B"/>
    <w:rsid w:val="002C0C5A"/>
    <w:rsid w:val="002C165B"/>
    <w:rsid w:val="002C1779"/>
    <w:rsid w:val="002C25A3"/>
    <w:rsid w:val="002C2C0E"/>
    <w:rsid w:val="002C3327"/>
    <w:rsid w:val="002C42E9"/>
    <w:rsid w:val="002C452B"/>
    <w:rsid w:val="002C50E6"/>
    <w:rsid w:val="002C574E"/>
    <w:rsid w:val="002C5828"/>
    <w:rsid w:val="002C5BBE"/>
    <w:rsid w:val="002C6B32"/>
    <w:rsid w:val="002C6C85"/>
    <w:rsid w:val="002C7538"/>
    <w:rsid w:val="002D0617"/>
    <w:rsid w:val="002D076F"/>
    <w:rsid w:val="002D07A2"/>
    <w:rsid w:val="002D0B06"/>
    <w:rsid w:val="002D127A"/>
    <w:rsid w:val="002D3780"/>
    <w:rsid w:val="002D41B4"/>
    <w:rsid w:val="002D4EB3"/>
    <w:rsid w:val="002D50FC"/>
    <w:rsid w:val="002D5DF5"/>
    <w:rsid w:val="002D6440"/>
    <w:rsid w:val="002D658A"/>
    <w:rsid w:val="002D6924"/>
    <w:rsid w:val="002D6CF2"/>
    <w:rsid w:val="002D6D8D"/>
    <w:rsid w:val="002E0CC8"/>
    <w:rsid w:val="002E1D53"/>
    <w:rsid w:val="002E2C47"/>
    <w:rsid w:val="002E30E6"/>
    <w:rsid w:val="002E4478"/>
    <w:rsid w:val="002E51DF"/>
    <w:rsid w:val="002E5655"/>
    <w:rsid w:val="002E6957"/>
    <w:rsid w:val="002F2E60"/>
    <w:rsid w:val="002F3301"/>
    <w:rsid w:val="002F3840"/>
    <w:rsid w:val="002F4255"/>
    <w:rsid w:val="002F6166"/>
    <w:rsid w:val="002F6BD1"/>
    <w:rsid w:val="002F74C9"/>
    <w:rsid w:val="00301870"/>
    <w:rsid w:val="00301D0E"/>
    <w:rsid w:val="003031A6"/>
    <w:rsid w:val="003039DB"/>
    <w:rsid w:val="00304DC0"/>
    <w:rsid w:val="00305B6C"/>
    <w:rsid w:val="00305C3B"/>
    <w:rsid w:val="00310335"/>
    <w:rsid w:val="00311219"/>
    <w:rsid w:val="00311EB2"/>
    <w:rsid w:val="00312711"/>
    <w:rsid w:val="00312EE2"/>
    <w:rsid w:val="00313A51"/>
    <w:rsid w:val="00313B67"/>
    <w:rsid w:val="00313D9A"/>
    <w:rsid w:val="00314345"/>
    <w:rsid w:val="003145C1"/>
    <w:rsid w:val="0031594D"/>
    <w:rsid w:val="00320704"/>
    <w:rsid w:val="003213BB"/>
    <w:rsid w:val="00321733"/>
    <w:rsid w:val="00321A33"/>
    <w:rsid w:val="00321C5D"/>
    <w:rsid w:val="0032213F"/>
    <w:rsid w:val="00323627"/>
    <w:rsid w:val="00324151"/>
    <w:rsid w:val="0032417D"/>
    <w:rsid w:val="0032417F"/>
    <w:rsid w:val="00326193"/>
    <w:rsid w:val="003268E4"/>
    <w:rsid w:val="003272D0"/>
    <w:rsid w:val="00327B91"/>
    <w:rsid w:val="003300DD"/>
    <w:rsid w:val="0033335B"/>
    <w:rsid w:val="0033335D"/>
    <w:rsid w:val="003333F4"/>
    <w:rsid w:val="003367DB"/>
    <w:rsid w:val="003405F6"/>
    <w:rsid w:val="00341B04"/>
    <w:rsid w:val="00341F19"/>
    <w:rsid w:val="003424B3"/>
    <w:rsid w:val="00342524"/>
    <w:rsid w:val="003430EE"/>
    <w:rsid w:val="0034483C"/>
    <w:rsid w:val="00344B78"/>
    <w:rsid w:val="00345701"/>
    <w:rsid w:val="003457BF"/>
    <w:rsid w:val="0034621B"/>
    <w:rsid w:val="00346FE9"/>
    <w:rsid w:val="00347699"/>
    <w:rsid w:val="00351B6E"/>
    <w:rsid w:val="00351D70"/>
    <w:rsid w:val="003525A4"/>
    <w:rsid w:val="003539ED"/>
    <w:rsid w:val="00353B70"/>
    <w:rsid w:val="00354CFE"/>
    <w:rsid w:val="00354E28"/>
    <w:rsid w:val="00356025"/>
    <w:rsid w:val="00357054"/>
    <w:rsid w:val="0036032D"/>
    <w:rsid w:val="00360B46"/>
    <w:rsid w:val="00362657"/>
    <w:rsid w:val="003627C4"/>
    <w:rsid w:val="00363838"/>
    <w:rsid w:val="003638BD"/>
    <w:rsid w:val="00363997"/>
    <w:rsid w:val="00363C42"/>
    <w:rsid w:val="00363D37"/>
    <w:rsid w:val="0037050A"/>
    <w:rsid w:val="0037234A"/>
    <w:rsid w:val="003725F4"/>
    <w:rsid w:val="00372637"/>
    <w:rsid w:val="003729C2"/>
    <w:rsid w:val="00372D46"/>
    <w:rsid w:val="0037353B"/>
    <w:rsid w:val="00373B04"/>
    <w:rsid w:val="00375303"/>
    <w:rsid w:val="003755E1"/>
    <w:rsid w:val="00375B2F"/>
    <w:rsid w:val="003772CF"/>
    <w:rsid w:val="003774C8"/>
    <w:rsid w:val="00377826"/>
    <w:rsid w:val="003805DE"/>
    <w:rsid w:val="00380C26"/>
    <w:rsid w:val="003836BC"/>
    <w:rsid w:val="003839FC"/>
    <w:rsid w:val="00383CF9"/>
    <w:rsid w:val="00384EEE"/>
    <w:rsid w:val="0038721F"/>
    <w:rsid w:val="00387AA9"/>
    <w:rsid w:val="00390B65"/>
    <w:rsid w:val="003914CE"/>
    <w:rsid w:val="00391DB5"/>
    <w:rsid w:val="0039278A"/>
    <w:rsid w:val="003935AD"/>
    <w:rsid w:val="003936F0"/>
    <w:rsid w:val="00393F47"/>
    <w:rsid w:val="00394110"/>
    <w:rsid w:val="00394539"/>
    <w:rsid w:val="00394673"/>
    <w:rsid w:val="0039574F"/>
    <w:rsid w:val="003964EF"/>
    <w:rsid w:val="00396AEF"/>
    <w:rsid w:val="00396E4F"/>
    <w:rsid w:val="00396FB1"/>
    <w:rsid w:val="00396FE6"/>
    <w:rsid w:val="00397567"/>
    <w:rsid w:val="003A031F"/>
    <w:rsid w:val="003A0E2B"/>
    <w:rsid w:val="003A0F39"/>
    <w:rsid w:val="003A1252"/>
    <w:rsid w:val="003A1FAC"/>
    <w:rsid w:val="003A2660"/>
    <w:rsid w:val="003A316B"/>
    <w:rsid w:val="003A3A3D"/>
    <w:rsid w:val="003B0863"/>
    <w:rsid w:val="003B1101"/>
    <w:rsid w:val="003B176D"/>
    <w:rsid w:val="003B1F74"/>
    <w:rsid w:val="003B2DFB"/>
    <w:rsid w:val="003B3D15"/>
    <w:rsid w:val="003B461E"/>
    <w:rsid w:val="003B541A"/>
    <w:rsid w:val="003B5976"/>
    <w:rsid w:val="003B5DDE"/>
    <w:rsid w:val="003B7D19"/>
    <w:rsid w:val="003B7FA5"/>
    <w:rsid w:val="003C0D8D"/>
    <w:rsid w:val="003C22EE"/>
    <w:rsid w:val="003C2624"/>
    <w:rsid w:val="003C286E"/>
    <w:rsid w:val="003C2BBE"/>
    <w:rsid w:val="003C2E17"/>
    <w:rsid w:val="003C3445"/>
    <w:rsid w:val="003C404F"/>
    <w:rsid w:val="003C4D75"/>
    <w:rsid w:val="003C578F"/>
    <w:rsid w:val="003C621C"/>
    <w:rsid w:val="003C6292"/>
    <w:rsid w:val="003D01AF"/>
    <w:rsid w:val="003D046B"/>
    <w:rsid w:val="003D068B"/>
    <w:rsid w:val="003D1996"/>
    <w:rsid w:val="003D1F51"/>
    <w:rsid w:val="003D2036"/>
    <w:rsid w:val="003D211C"/>
    <w:rsid w:val="003D2AF2"/>
    <w:rsid w:val="003D2EFE"/>
    <w:rsid w:val="003D3D2A"/>
    <w:rsid w:val="003D3EAE"/>
    <w:rsid w:val="003D4C4E"/>
    <w:rsid w:val="003D52E7"/>
    <w:rsid w:val="003D5BB1"/>
    <w:rsid w:val="003D65BE"/>
    <w:rsid w:val="003D6A88"/>
    <w:rsid w:val="003E000D"/>
    <w:rsid w:val="003E0FC2"/>
    <w:rsid w:val="003E127E"/>
    <w:rsid w:val="003E16AB"/>
    <w:rsid w:val="003E1CAE"/>
    <w:rsid w:val="003E1D82"/>
    <w:rsid w:val="003E21B8"/>
    <w:rsid w:val="003E4034"/>
    <w:rsid w:val="003E48D0"/>
    <w:rsid w:val="003E508F"/>
    <w:rsid w:val="003E516F"/>
    <w:rsid w:val="003E58A9"/>
    <w:rsid w:val="003E79D9"/>
    <w:rsid w:val="003E7BB1"/>
    <w:rsid w:val="003F0EB5"/>
    <w:rsid w:val="003F2409"/>
    <w:rsid w:val="003F24E5"/>
    <w:rsid w:val="003F4185"/>
    <w:rsid w:val="003F57A2"/>
    <w:rsid w:val="003F6ABB"/>
    <w:rsid w:val="003F7FF0"/>
    <w:rsid w:val="004013BD"/>
    <w:rsid w:val="00401CFD"/>
    <w:rsid w:val="004021D6"/>
    <w:rsid w:val="00403094"/>
    <w:rsid w:val="0040439F"/>
    <w:rsid w:val="00404715"/>
    <w:rsid w:val="0040596C"/>
    <w:rsid w:val="00405F1E"/>
    <w:rsid w:val="0040683E"/>
    <w:rsid w:val="00406A1C"/>
    <w:rsid w:val="00406C71"/>
    <w:rsid w:val="00407088"/>
    <w:rsid w:val="004078E8"/>
    <w:rsid w:val="004079B1"/>
    <w:rsid w:val="00407BD3"/>
    <w:rsid w:val="00407E0E"/>
    <w:rsid w:val="00411BF3"/>
    <w:rsid w:val="00411FE2"/>
    <w:rsid w:val="00415406"/>
    <w:rsid w:val="00415494"/>
    <w:rsid w:val="004161D5"/>
    <w:rsid w:val="004161E8"/>
    <w:rsid w:val="004161EB"/>
    <w:rsid w:val="00416D78"/>
    <w:rsid w:val="00416E7F"/>
    <w:rsid w:val="00417FBF"/>
    <w:rsid w:val="00417FEB"/>
    <w:rsid w:val="00420B73"/>
    <w:rsid w:val="00420BC5"/>
    <w:rsid w:val="00420DB8"/>
    <w:rsid w:val="00420F7F"/>
    <w:rsid w:val="00420FA6"/>
    <w:rsid w:val="00421044"/>
    <w:rsid w:val="0042182D"/>
    <w:rsid w:val="00421F0C"/>
    <w:rsid w:val="00423110"/>
    <w:rsid w:val="00425311"/>
    <w:rsid w:val="00425D94"/>
    <w:rsid w:val="00426651"/>
    <w:rsid w:val="00426DAF"/>
    <w:rsid w:val="00426EBD"/>
    <w:rsid w:val="00426F1A"/>
    <w:rsid w:val="0043069C"/>
    <w:rsid w:val="004308C2"/>
    <w:rsid w:val="00430C79"/>
    <w:rsid w:val="00430C7F"/>
    <w:rsid w:val="00431B81"/>
    <w:rsid w:val="0043371E"/>
    <w:rsid w:val="0043709A"/>
    <w:rsid w:val="00437768"/>
    <w:rsid w:val="0043794B"/>
    <w:rsid w:val="0044035F"/>
    <w:rsid w:val="00440431"/>
    <w:rsid w:val="004409BC"/>
    <w:rsid w:val="00441BE3"/>
    <w:rsid w:val="00442481"/>
    <w:rsid w:val="0044439E"/>
    <w:rsid w:val="00444964"/>
    <w:rsid w:val="00445863"/>
    <w:rsid w:val="00447951"/>
    <w:rsid w:val="00447C34"/>
    <w:rsid w:val="00450006"/>
    <w:rsid w:val="004509EC"/>
    <w:rsid w:val="004511AE"/>
    <w:rsid w:val="004512AF"/>
    <w:rsid w:val="0045259D"/>
    <w:rsid w:val="00452A77"/>
    <w:rsid w:val="0045321F"/>
    <w:rsid w:val="004541A4"/>
    <w:rsid w:val="0045493C"/>
    <w:rsid w:val="00455838"/>
    <w:rsid w:val="004569FB"/>
    <w:rsid w:val="00457209"/>
    <w:rsid w:val="00457474"/>
    <w:rsid w:val="00457619"/>
    <w:rsid w:val="00462687"/>
    <w:rsid w:val="004633F9"/>
    <w:rsid w:val="00464901"/>
    <w:rsid w:val="00464A58"/>
    <w:rsid w:val="00464E47"/>
    <w:rsid w:val="004654DD"/>
    <w:rsid w:val="004658F3"/>
    <w:rsid w:val="00465AFD"/>
    <w:rsid w:val="00465DAF"/>
    <w:rsid w:val="00466364"/>
    <w:rsid w:val="0046752E"/>
    <w:rsid w:val="004707A9"/>
    <w:rsid w:val="004708E7"/>
    <w:rsid w:val="00470AFE"/>
    <w:rsid w:val="00471261"/>
    <w:rsid w:val="00471283"/>
    <w:rsid w:val="004717D1"/>
    <w:rsid w:val="00472A9B"/>
    <w:rsid w:val="00472AA0"/>
    <w:rsid w:val="00472AEC"/>
    <w:rsid w:val="00473913"/>
    <w:rsid w:val="0047394C"/>
    <w:rsid w:val="00473951"/>
    <w:rsid w:val="00473ECE"/>
    <w:rsid w:val="00474222"/>
    <w:rsid w:val="0047448C"/>
    <w:rsid w:val="00474BC2"/>
    <w:rsid w:val="00476FAE"/>
    <w:rsid w:val="0048073C"/>
    <w:rsid w:val="0048147C"/>
    <w:rsid w:val="00482100"/>
    <w:rsid w:val="00483306"/>
    <w:rsid w:val="004840F0"/>
    <w:rsid w:val="004842D1"/>
    <w:rsid w:val="00484C8C"/>
    <w:rsid w:val="0048509D"/>
    <w:rsid w:val="004861DB"/>
    <w:rsid w:val="004867F4"/>
    <w:rsid w:val="00486FA1"/>
    <w:rsid w:val="0048764D"/>
    <w:rsid w:val="004905EC"/>
    <w:rsid w:val="004906DF"/>
    <w:rsid w:val="004908C5"/>
    <w:rsid w:val="00490D05"/>
    <w:rsid w:val="004910E6"/>
    <w:rsid w:val="00491A91"/>
    <w:rsid w:val="00492212"/>
    <w:rsid w:val="004941FE"/>
    <w:rsid w:val="0049639E"/>
    <w:rsid w:val="00496D07"/>
    <w:rsid w:val="00497B14"/>
    <w:rsid w:val="004A08E3"/>
    <w:rsid w:val="004A1ECE"/>
    <w:rsid w:val="004A2D1E"/>
    <w:rsid w:val="004A36F9"/>
    <w:rsid w:val="004A3F42"/>
    <w:rsid w:val="004A4179"/>
    <w:rsid w:val="004A4A96"/>
    <w:rsid w:val="004A4BE0"/>
    <w:rsid w:val="004A4C09"/>
    <w:rsid w:val="004A51CB"/>
    <w:rsid w:val="004A5955"/>
    <w:rsid w:val="004A5DCB"/>
    <w:rsid w:val="004A7794"/>
    <w:rsid w:val="004A7DCD"/>
    <w:rsid w:val="004B0D22"/>
    <w:rsid w:val="004B1625"/>
    <w:rsid w:val="004B1A1A"/>
    <w:rsid w:val="004B1C23"/>
    <w:rsid w:val="004B27D8"/>
    <w:rsid w:val="004B28D8"/>
    <w:rsid w:val="004B2D04"/>
    <w:rsid w:val="004B3605"/>
    <w:rsid w:val="004B387A"/>
    <w:rsid w:val="004B4869"/>
    <w:rsid w:val="004B492C"/>
    <w:rsid w:val="004B58C2"/>
    <w:rsid w:val="004B59F7"/>
    <w:rsid w:val="004B6098"/>
    <w:rsid w:val="004B62CD"/>
    <w:rsid w:val="004B6A30"/>
    <w:rsid w:val="004B7C6F"/>
    <w:rsid w:val="004B7E2B"/>
    <w:rsid w:val="004C1387"/>
    <w:rsid w:val="004C419C"/>
    <w:rsid w:val="004C4CEF"/>
    <w:rsid w:val="004C4F70"/>
    <w:rsid w:val="004C6032"/>
    <w:rsid w:val="004C634F"/>
    <w:rsid w:val="004C67B7"/>
    <w:rsid w:val="004C6A40"/>
    <w:rsid w:val="004C75C1"/>
    <w:rsid w:val="004C7EC2"/>
    <w:rsid w:val="004D11C0"/>
    <w:rsid w:val="004D12B9"/>
    <w:rsid w:val="004D17AB"/>
    <w:rsid w:val="004D1AB8"/>
    <w:rsid w:val="004D1DE1"/>
    <w:rsid w:val="004D1F05"/>
    <w:rsid w:val="004D3EFB"/>
    <w:rsid w:val="004D44F9"/>
    <w:rsid w:val="004D4BD8"/>
    <w:rsid w:val="004D4DE2"/>
    <w:rsid w:val="004D4F5A"/>
    <w:rsid w:val="004D5966"/>
    <w:rsid w:val="004D5EC4"/>
    <w:rsid w:val="004D5F04"/>
    <w:rsid w:val="004D6268"/>
    <w:rsid w:val="004D6EAF"/>
    <w:rsid w:val="004D7178"/>
    <w:rsid w:val="004E0D05"/>
    <w:rsid w:val="004E0F3F"/>
    <w:rsid w:val="004E19A0"/>
    <w:rsid w:val="004E1C3E"/>
    <w:rsid w:val="004E22D9"/>
    <w:rsid w:val="004E37CC"/>
    <w:rsid w:val="004E5CB2"/>
    <w:rsid w:val="004E6E32"/>
    <w:rsid w:val="004E7A22"/>
    <w:rsid w:val="004E7E16"/>
    <w:rsid w:val="004E7F5F"/>
    <w:rsid w:val="004F08C0"/>
    <w:rsid w:val="004F1A3F"/>
    <w:rsid w:val="004F1E3D"/>
    <w:rsid w:val="004F2A31"/>
    <w:rsid w:val="004F2B83"/>
    <w:rsid w:val="004F2C74"/>
    <w:rsid w:val="004F2DCD"/>
    <w:rsid w:val="004F32EC"/>
    <w:rsid w:val="004F4E62"/>
    <w:rsid w:val="004F5487"/>
    <w:rsid w:val="004F5851"/>
    <w:rsid w:val="004F5BDF"/>
    <w:rsid w:val="004F628D"/>
    <w:rsid w:val="004F67F5"/>
    <w:rsid w:val="004F78A4"/>
    <w:rsid w:val="00500451"/>
    <w:rsid w:val="00501C91"/>
    <w:rsid w:val="00502481"/>
    <w:rsid w:val="00502AF7"/>
    <w:rsid w:val="00502C4A"/>
    <w:rsid w:val="00502DE7"/>
    <w:rsid w:val="0050480C"/>
    <w:rsid w:val="00504B43"/>
    <w:rsid w:val="00505593"/>
    <w:rsid w:val="00505A1F"/>
    <w:rsid w:val="0050670E"/>
    <w:rsid w:val="00506A05"/>
    <w:rsid w:val="00507980"/>
    <w:rsid w:val="005125D5"/>
    <w:rsid w:val="00512735"/>
    <w:rsid w:val="00512A76"/>
    <w:rsid w:val="00512CBC"/>
    <w:rsid w:val="005138C6"/>
    <w:rsid w:val="00513BC8"/>
    <w:rsid w:val="00513D9E"/>
    <w:rsid w:val="0051431A"/>
    <w:rsid w:val="005157CC"/>
    <w:rsid w:val="00516940"/>
    <w:rsid w:val="00520323"/>
    <w:rsid w:val="005204EC"/>
    <w:rsid w:val="005218AA"/>
    <w:rsid w:val="00522B03"/>
    <w:rsid w:val="00523A2F"/>
    <w:rsid w:val="00523FC3"/>
    <w:rsid w:val="005257A2"/>
    <w:rsid w:val="00525FE1"/>
    <w:rsid w:val="0052688B"/>
    <w:rsid w:val="00526ACC"/>
    <w:rsid w:val="00526D7A"/>
    <w:rsid w:val="00527E61"/>
    <w:rsid w:val="00530AE4"/>
    <w:rsid w:val="00530B32"/>
    <w:rsid w:val="00531B2A"/>
    <w:rsid w:val="005322AD"/>
    <w:rsid w:val="00534A13"/>
    <w:rsid w:val="005353DC"/>
    <w:rsid w:val="00535A5F"/>
    <w:rsid w:val="00535F77"/>
    <w:rsid w:val="00536A0E"/>
    <w:rsid w:val="005379E9"/>
    <w:rsid w:val="005405B6"/>
    <w:rsid w:val="00541289"/>
    <w:rsid w:val="00541E61"/>
    <w:rsid w:val="00542AAB"/>
    <w:rsid w:val="0054415C"/>
    <w:rsid w:val="005441FC"/>
    <w:rsid w:val="005445ED"/>
    <w:rsid w:val="0054567F"/>
    <w:rsid w:val="0054666E"/>
    <w:rsid w:val="00547749"/>
    <w:rsid w:val="00547761"/>
    <w:rsid w:val="00550B93"/>
    <w:rsid w:val="00550BF8"/>
    <w:rsid w:val="005513CF"/>
    <w:rsid w:val="00551554"/>
    <w:rsid w:val="00551B25"/>
    <w:rsid w:val="00551D9E"/>
    <w:rsid w:val="00552735"/>
    <w:rsid w:val="00552E30"/>
    <w:rsid w:val="00553289"/>
    <w:rsid w:val="0055336C"/>
    <w:rsid w:val="005542AC"/>
    <w:rsid w:val="005548DD"/>
    <w:rsid w:val="00554DD3"/>
    <w:rsid w:val="00554E8B"/>
    <w:rsid w:val="00556AED"/>
    <w:rsid w:val="00557D93"/>
    <w:rsid w:val="00557FB2"/>
    <w:rsid w:val="00557FED"/>
    <w:rsid w:val="005604F3"/>
    <w:rsid w:val="00560794"/>
    <w:rsid w:val="00560B5B"/>
    <w:rsid w:val="00561004"/>
    <w:rsid w:val="00562036"/>
    <w:rsid w:val="005621DA"/>
    <w:rsid w:val="00563713"/>
    <w:rsid w:val="00565270"/>
    <w:rsid w:val="0056617F"/>
    <w:rsid w:val="00566470"/>
    <w:rsid w:val="00566D03"/>
    <w:rsid w:val="005671C1"/>
    <w:rsid w:val="00570FC3"/>
    <w:rsid w:val="005718D2"/>
    <w:rsid w:val="00571909"/>
    <w:rsid w:val="00571D89"/>
    <w:rsid w:val="005723D2"/>
    <w:rsid w:val="005727EA"/>
    <w:rsid w:val="00572CDE"/>
    <w:rsid w:val="00573FE6"/>
    <w:rsid w:val="00575158"/>
    <w:rsid w:val="0057524B"/>
    <w:rsid w:val="00576319"/>
    <w:rsid w:val="00577E61"/>
    <w:rsid w:val="00580C2B"/>
    <w:rsid w:val="00580EE9"/>
    <w:rsid w:val="00581125"/>
    <w:rsid w:val="00581375"/>
    <w:rsid w:val="0058349C"/>
    <w:rsid w:val="00583DE6"/>
    <w:rsid w:val="00585CA2"/>
    <w:rsid w:val="005903F1"/>
    <w:rsid w:val="00590E06"/>
    <w:rsid w:val="00591406"/>
    <w:rsid w:val="0059167B"/>
    <w:rsid w:val="005916EC"/>
    <w:rsid w:val="00591E99"/>
    <w:rsid w:val="00592334"/>
    <w:rsid w:val="00592E58"/>
    <w:rsid w:val="00593337"/>
    <w:rsid w:val="005933D4"/>
    <w:rsid w:val="005936B5"/>
    <w:rsid w:val="005965D7"/>
    <w:rsid w:val="00597966"/>
    <w:rsid w:val="005A170C"/>
    <w:rsid w:val="005A17C3"/>
    <w:rsid w:val="005A1D1C"/>
    <w:rsid w:val="005A2742"/>
    <w:rsid w:val="005A2DAF"/>
    <w:rsid w:val="005A37C5"/>
    <w:rsid w:val="005A5451"/>
    <w:rsid w:val="005A54AA"/>
    <w:rsid w:val="005A6973"/>
    <w:rsid w:val="005A6BF5"/>
    <w:rsid w:val="005A73B4"/>
    <w:rsid w:val="005A765D"/>
    <w:rsid w:val="005A7727"/>
    <w:rsid w:val="005A7896"/>
    <w:rsid w:val="005A7E30"/>
    <w:rsid w:val="005B01FC"/>
    <w:rsid w:val="005B09D2"/>
    <w:rsid w:val="005B11CA"/>
    <w:rsid w:val="005B254C"/>
    <w:rsid w:val="005B2AE1"/>
    <w:rsid w:val="005B2F30"/>
    <w:rsid w:val="005B44E3"/>
    <w:rsid w:val="005B485B"/>
    <w:rsid w:val="005B58C9"/>
    <w:rsid w:val="005B59EB"/>
    <w:rsid w:val="005B60EE"/>
    <w:rsid w:val="005B69D8"/>
    <w:rsid w:val="005C1270"/>
    <w:rsid w:val="005C13BE"/>
    <w:rsid w:val="005C1C70"/>
    <w:rsid w:val="005C1F0C"/>
    <w:rsid w:val="005C202D"/>
    <w:rsid w:val="005C2907"/>
    <w:rsid w:val="005C2E6C"/>
    <w:rsid w:val="005C432A"/>
    <w:rsid w:val="005C48B2"/>
    <w:rsid w:val="005C58B8"/>
    <w:rsid w:val="005C6740"/>
    <w:rsid w:val="005C71BD"/>
    <w:rsid w:val="005C7346"/>
    <w:rsid w:val="005C762F"/>
    <w:rsid w:val="005C77DA"/>
    <w:rsid w:val="005C785D"/>
    <w:rsid w:val="005D01A5"/>
    <w:rsid w:val="005D0D63"/>
    <w:rsid w:val="005D11C8"/>
    <w:rsid w:val="005D11E2"/>
    <w:rsid w:val="005D1503"/>
    <w:rsid w:val="005D18D3"/>
    <w:rsid w:val="005D197C"/>
    <w:rsid w:val="005D4C16"/>
    <w:rsid w:val="005D555E"/>
    <w:rsid w:val="005D57C8"/>
    <w:rsid w:val="005D5C56"/>
    <w:rsid w:val="005D5E4C"/>
    <w:rsid w:val="005D6E7B"/>
    <w:rsid w:val="005D72B5"/>
    <w:rsid w:val="005E0307"/>
    <w:rsid w:val="005E031D"/>
    <w:rsid w:val="005E07C0"/>
    <w:rsid w:val="005E2632"/>
    <w:rsid w:val="005E28D0"/>
    <w:rsid w:val="005E3124"/>
    <w:rsid w:val="005E32F3"/>
    <w:rsid w:val="005E4292"/>
    <w:rsid w:val="005E51DD"/>
    <w:rsid w:val="005E62D3"/>
    <w:rsid w:val="005E7356"/>
    <w:rsid w:val="005F02C5"/>
    <w:rsid w:val="005F1156"/>
    <w:rsid w:val="005F1925"/>
    <w:rsid w:val="005F2631"/>
    <w:rsid w:val="005F2662"/>
    <w:rsid w:val="005F2F06"/>
    <w:rsid w:val="005F2F39"/>
    <w:rsid w:val="005F3D55"/>
    <w:rsid w:val="005F4530"/>
    <w:rsid w:val="005F54BA"/>
    <w:rsid w:val="005F5A0E"/>
    <w:rsid w:val="005F683C"/>
    <w:rsid w:val="00601032"/>
    <w:rsid w:val="00601971"/>
    <w:rsid w:val="00602424"/>
    <w:rsid w:val="00603658"/>
    <w:rsid w:val="006037B3"/>
    <w:rsid w:val="00603BE8"/>
    <w:rsid w:val="00604BC9"/>
    <w:rsid w:val="00607321"/>
    <w:rsid w:val="00607716"/>
    <w:rsid w:val="0061019C"/>
    <w:rsid w:val="00610CE4"/>
    <w:rsid w:val="006110CB"/>
    <w:rsid w:val="00611570"/>
    <w:rsid w:val="00611AA9"/>
    <w:rsid w:val="006128E1"/>
    <w:rsid w:val="006129C4"/>
    <w:rsid w:val="006137A7"/>
    <w:rsid w:val="00614354"/>
    <w:rsid w:val="006149AA"/>
    <w:rsid w:val="00614F06"/>
    <w:rsid w:val="006162B8"/>
    <w:rsid w:val="006166A0"/>
    <w:rsid w:val="00616E5C"/>
    <w:rsid w:val="00617554"/>
    <w:rsid w:val="00617986"/>
    <w:rsid w:val="006179E5"/>
    <w:rsid w:val="0062083C"/>
    <w:rsid w:val="006218CF"/>
    <w:rsid w:val="00622618"/>
    <w:rsid w:val="00623594"/>
    <w:rsid w:val="00624B06"/>
    <w:rsid w:val="00625407"/>
    <w:rsid w:val="006254E9"/>
    <w:rsid w:val="00625598"/>
    <w:rsid w:val="006258A1"/>
    <w:rsid w:val="00625D9A"/>
    <w:rsid w:val="00625DA0"/>
    <w:rsid w:val="00625FFA"/>
    <w:rsid w:val="00626237"/>
    <w:rsid w:val="006263B9"/>
    <w:rsid w:val="00626544"/>
    <w:rsid w:val="00627044"/>
    <w:rsid w:val="00627ED8"/>
    <w:rsid w:val="00627F9B"/>
    <w:rsid w:val="0063008C"/>
    <w:rsid w:val="00631E84"/>
    <w:rsid w:val="006334A9"/>
    <w:rsid w:val="00634E97"/>
    <w:rsid w:val="00634F00"/>
    <w:rsid w:val="006350EA"/>
    <w:rsid w:val="00635685"/>
    <w:rsid w:val="00636B0B"/>
    <w:rsid w:val="00637F2B"/>
    <w:rsid w:val="006435E3"/>
    <w:rsid w:val="00643B4E"/>
    <w:rsid w:val="00644DEF"/>
    <w:rsid w:val="006451A0"/>
    <w:rsid w:val="0064744C"/>
    <w:rsid w:val="00647F15"/>
    <w:rsid w:val="00647FD0"/>
    <w:rsid w:val="00650A27"/>
    <w:rsid w:val="00650D2C"/>
    <w:rsid w:val="00650D38"/>
    <w:rsid w:val="00651BF2"/>
    <w:rsid w:val="00653A41"/>
    <w:rsid w:val="00653EA5"/>
    <w:rsid w:val="00654BE2"/>
    <w:rsid w:val="00654C7D"/>
    <w:rsid w:val="006559AE"/>
    <w:rsid w:val="00656C81"/>
    <w:rsid w:val="00657749"/>
    <w:rsid w:val="006579D6"/>
    <w:rsid w:val="00657B88"/>
    <w:rsid w:val="006604F6"/>
    <w:rsid w:val="00660BE5"/>
    <w:rsid w:val="0066116F"/>
    <w:rsid w:val="00661444"/>
    <w:rsid w:val="006626CB"/>
    <w:rsid w:val="0066296A"/>
    <w:rsid w:val="00662DD3"/>
    <w:rsid w:val="00663806"/>
    <w:rsid w:val="00663899"/>
    <w:rsid w:val="00664517"/>
    <w:rsid w:val="00664E79"/>
    <w:rsid w:val="00666626"/>
    <w:rsid w:val="00670364"/>
    <w:rsid w:val="00670EA5"/>
    <w:rsid w:val="00670EBC"/>
    <w:rsid w:val="00671BD9"/>
    <w:rsid w:val="006721F0"/>
    <w:rsid w:val="00672C84"/>
    <w:rsid w:val="00672C90"/>
    <w:rsid w:val="00673A3E"/>
    <w:rsid w:val="006753F7"/>
    <w:rsid w:val="006754CB"/>
    <w:rsid w:val="00675BF1"/>
    <w:rsid w:val="00675DD1"/>
    <w:rsid w:val="0067606C"/>
    <w:rsid w:val="006769F3"/>
    <w:rsid w:val="00677758"/>
    <w:rsid w:val="006808AD"/>
    <w:rsid w:val="00680B80"/>
    <w:rsid w:val="00681CFF"/>
    <w:rsid w:val="00682465"/>
    <w:rsid w:val="0068260B"/>
    <w:rsid w:val="00682C01"/>
    <w:rsid w:val="00683E8E"/>
    <w:rsid w:val="006848FC"/>
    <w:rsid w:val="00685536"/>
    <w:rsid w:val="00686796"/>
    <w:rsid w:val="00686D42"/>
    <w:rsid w:val="00687EF2"/>
    <w:rsid w:val="00690684"/>
    <w:rsid w:val="00690C6B"/>
    <w:rsid w:val="00690CDA"/>
    <w:rsid w:val="00691344"/>
    <w:rsid w:val="00691648"/>
    <w:rsid w:val="00692305"/>
    <w:rsid w:val="00692CF9"/>
    <w:rsid w:val="00692EE1"/>
    <w:rsid w:val="0069392C"/>
    <w:rsid w:val="00693C9F"/>
    <w:rsid w:val="006946F1"/>
    <w:rsid w:val="00695D65"/>
    <w:rsid w:val="00695F19"/>
    <w:rsid w:val="006975CE"/>
    <w:rsid w:val="00697E9E"/>
    <w:rsid w:val="006A064F"/>
    <w:rsid w:val="006A1BB0"/>
    <w:rsid w:val="006A23D5"/>
    <w:rsid w:val="006A2558"/>
    <w:rsid w:val="006A2DFE"/>
    <w:rsid w:val="006A4ED9"/>
    <w:rsid w:val="006A5065"/>
    <w:rsid w:val="006A6E29"/>
    <w:rsid w:val="006A76BC"/>
    <w:rsid w:val="006B0D35"/>
    <w:rsid w:val="006B29D5"/>
    <w:rsid w:val="006B2DE5"/>
    <w:rsid w:val="006B2FB6"/>
    <w:rsid w:val="006B300E"/>
    <w:rsid w:val="006B44AC"/>
    <w:rsid w:val="006B4632"/>
    <w:rsid w:val="006B4E42"/>
    <w:rsid w:val="006B572A"/>
    <w:rsid w:val="006B5A26"/>
    <w:rsid w:val="006B61AC"/>
    <w:rsid w:val="006B6AB4"/>
    <w:rsid w:val="006B770B"/>
    <w:rsid w:val="006B7C54"/>
    <w:rsid w:val="006C1681"/>
    <w:rsid w:val="006C1D19"/>
    <w:rsid w:val="006C218F"/>
    <w:rsid w:val="006C5FEF"/>
    <w:rsid w:val="006C6E20"/>
    <w:rsid w:val="006D0932"/>
    <w:rsid w:val="006D1271"/>
    <w:rsid w:val="006D1E92"/>
    <w:rsid w:val="006D26D6"/>
    <w:rsid w:val="006D2939"/>
    <w:rsid w:val="006D2A0C"/>
    <w:rsid w:val="006D3AC5"/>
    <w:rsid w:val="006D3B8A"/>
    <w:rsid w:val="006D476E"/>
    <w:rsid w:val="006D5CE3"/>
    <w:rsid w:val="006D6196"/>
    <w:rsid w:val="006E28B8"/>
    <w:rsid w:val="006E2C15"/>
    <w:rsid w:val="006E3492"/>
    <w:rsid w:val="006E368D"/>
    <w:rsid w:val="006E3C37"/>
    <w:rsid w:val="006E4AFE"/>
    <w:rsid w:val="006E757A"/>
    <w:rsid w:val="006F0887"/>
    <w:rsid w:val="006F0B10"/>
    <w:rsid w:val="006F1302"/>
    <w:rsid w:val="006F2CD2"/>
    <w:rsid w:val="006F3E9E"/>
    <w:rsid w:val="006F5DE3"/>
    <w:rsid w:val="006F66B4"/>
    <w:rsid w:val="006F768C"/>
    <w:rsid w:val="00700696"/>
    <w:rsid w:val="007011F2"/>
    <w:rsid w:val="00702B4E"/>
    <w:rsid w:val="00702D47"/>
    <w:rsid w:val="00705681"/>
    <w:rsid w:val="00705ACB"/>
    <w:rsid w:val="00705E8E"/>
    <w:rsid w:val="00706BF3"/>
    <w:rsid w:val="00710063"/>
    <w:rsid w:val="00710769"/>
    <w:rsid w:val="00710B36"/>
    <w:rsid w:val="0071165F"/>
    <w:rsid w:val="007118A1"/>
    <w:rsid w:val="00712557"/>
    <w:rsid w:val="0071273A"/>
    <w:rsid w:val="007128C0"/>
    <w:rsid w:val="00713B96"/>
    <w:rsid w:val="00713F37"/>
    <w:rsid w:val="00716200"/>
    <w:rsid w:val="00716A4A"/>
    <w:rsid w:val="00717A8B"/>
    <w:rsid w:val="007205A8"/>
    <w:rsid w:val="00721C8D"/>
    <w:rsid w:val="00722651"/>
    <w:rsid w:val="00722D58"/>
    <w:rsid w:val="0072302C"/>
    <w:rsid w:val="0072369C"/>
    <w:rsid w:val="00723FC4"/>
    <w:rsid w:val="00725BE8"/>
    <w:rsid w:val="00726786"/>
    <w:rsid w:val="00726DDF"/>
    <w:rsid w:val="007279FD"/>
    <w:rsid w:val="00730783"/>
    <w:rsid w:val="00730FCF"/>
    <w:rsid w:val="00731119"/>
    <w:rsid w:val="0073118E"/>
    <w:rsid w:val="007313AE"/>
    <w:rsid w:val="00731F04"/>
    <w:rsid w:val="0073522B"/>
    <w:rsid w:val="00737699"/>
    <w:rsid w:val="00737A86"/>
    <w:rsid w:val="00737E0F"/>
    <w:rsid w:val="00740800"/>
    <w:rsid w:val="00740C47"/>
    <w:rsid w:val="00741472"/>
    <w:rsid w:val="00741CDF"/>
    <w:rsid w:val="007421F3"/>
    <w:rsid w:val="007428C9"/>
    <w:rsid w:val="00743C58"/>
    <w:rsid w:val="007444E7"/>
    <w:rsid w:val="007449F0"/>
    <w:rsid w:val="00744ACF"/>
    <w:rsid w:val="00745534"/>
    <w:rsid w:val="00745C5E"/>
    <w:rsid w:val="00746146"/>
    <w:rsid w:val="00746E51"/>
    <w:rsid w:val="00747ECC"/>
    <w:rsid w:val="007508F3"/>
    <w:rsid w:val="00750AD5"/>
    <w:rsid w:val="00751ECB"/>
    <w:rsid w:val="00753C33"/>
    <w:rsid w:val="00754E5E"/>
    <w:rsid w:val="00755086"/>
    <w:rsid w:val="0075602C"/>
    <w:rsid w:val="00756FEE"/>
    <w:rsid w:val="00761801"/>
    <w:rsid w:val="00761A67"/>
    <w:rsid w:val="00761D48"/>
    <w:rsid w:val="0076235D"/>
    <w:rsid w:val="007626AE"/>
    <w:rsid w:val="00764298"/>
    <w:rsid w:val="00764BEE"/>
    <w:rsid w:val="0076515B"/>
    <w:rsid w:val="00766065"/>
    <w:rsid w:val="00766761"/>
    <w:rsid w:val="0076712E"/>
    <w:rsid w:val="00767417"/>
    <w:rsid w:val="00770363"/>
    <w:rsid w:val="007709C2"/>
    <w:rsid w:val="00770C9F"/>
    <w:rsid w:val="00770CC8"/>
    <w:rsid w:val="007711B8"/>
    <w:rsid w:val="007711F0"/>
    <w:rsid w:val="007714C8"/>
    <w:rsid w:val="00771788"/>
    <w:rsid w:val="00771811"/>
    <w:rsid w:val="007730E8"/>
    <w:rsid w:val="00774F6A"/>
    <w:rsid w:val="00775847"/>
    <w:rsid w:val="007764A2"/>
    <w:rsid w:val="00777021"/>
    <w:rsid w:val="00777DA1"/>
    <w:rsid w:val="0078145F"/>
    <w:rsid w:val="00781E94"/>
    <w:rsid w:val="007825B1"/>
    <w:rsid w:val="00787046"/>
    <w:rsid w:val="00787134"/>
    <w:rsid w:val="0078755E"/>
    <w:rsid w:val="007902FE"/>
    <w:rsid w:val="007903AB"/>
    <w:rsid w:val="0079143D"/>
    <w:rsid w:val="00791558"/>
    <w:rsid w:val="00791B98"/>
    <w:rsid w:val="00792406"/>
    <w:rsid w:val="00792F89"/>
    <w:rsid w:val="00793591"/>
    <w:rsid w:val="00793749"/>
    <w:rsid w:val="00793EBC"/>
    <w:rsid w:val="0079427C"/>
    <w:rsid w:val="007947DD"/>
    <w:rsid w:val="00795072"/>
    <w:rsid w:val="00795802"/>
    <w:rsid w:val="007966D0"/>
    <w:rsid w:val="00796D4E"/>
    <w:rsid w:val="00796F82"/>
    <w:rsid w:val="00796F96"/>
    <w:rsid w:val="00796FCC"/>
    <w:rsid w:val="00797390"/>
    <w:rsid w:val="007974E8"/>
    <w:rsid w:val="0079755A"/>
    <w:rsid w:val="007A0F66"/>
    <w:rsid w:val="007A1508"/>
    <w:rsid w:val="007A3E2A"/>
    <w:rsid w:val="007A50B0"/>
    <w:rsid w:val="007A58E2"/>
    <w:rsid w:val="007A5BD6"/>
    <w:rsid w:val="007A630A"/>
    <w:rsid w:val="007A6F95"/>
    <w:rsid w:val="007A7E84"/>
    <w:rsid w:val="007B0D22"/>
    <w:rsid w:val="007B0F23"/>
    <w:rsid w:val="007B1F8E"/>
    <w:rsid w:val="007B221C"/>
    <w:rsid w:val="007B339D"/>
    <w:rsid w:val="007B3DAE"/>
    <w:rsid w:val="007B585C"/>
    <w:rsid w:val="007B6A39"/>
    <w:rsid w:val="007B6CEB"/>
    <w:rsid w:val="007B71D3"/>
    <w:rsid w:val="007B755A"/>
    <w:rsid w:val="007C008E"/>
    <w:rsid w:val="007C1732"/>
    <w:rsid w:val="007C1837"/>
    <w:rsid w:val="007C1C75"/>
    <w:rsid w:val="007C27D9"/>
    <w:rsid w:val="007C5C94"/>
    <w:rsid w:val="007C7294"/>
    <w:rsid w:val="007C73F3"/>
    <w:rsid w:val="007C792A"/>
    <w:rsid w:val="007C7A9C"/>
    <w:rsid w:val="007C7BDE"/>
    <w:rsid w:val="007D0917"/>
    <w:rsid w:val="007D24B0"/>
    <w:rsid w:val="007D2953"/>
    <w:rsid w:val="007D3386"/>
    <w:rsid w:val="007D4B7B"/>
    <w:rsid w:val="007D4CDB"/>
    <w:rsid w:val="007D53B9"/>
    <w:rsid w:val="007D5521"/>
    <w:rsid w:val="007D6AC6"/>
    <w:rsid w:val="007E148A"/>
    <w:rsid w:val="007E16A7"/>
    <w:rsid w:val="007E19A3"/>
    <w:rsid w:val="007E19C5"/>
    <w:rsid w:val="007E42FD"/>
    <w:rsid w:val="007E5E7A"/>
    <w:rsid w:val="007E5EB9"/>
    <w:rsid w:val="007E65E6"/>
    <w:rsid w:val="007E66AA"/>
    <w:rsid w:val="007E6890"/>
    <w:rsid w:val="007E70AD"/>
    <w:rsid w:val="007E75D4"/>
    <w:rsid w:val="007E77BB"/>
    <w:rsid w:val="007F02D2"/>
    <w:rsid w:val="007F0EA0"/>
    <w:rsid w:val="007F0EE7"/>
    <w:rsid w:val="007F1D13"/>
    <w:rsid w:val="007F2C6D"/>
    <w:rsid w:val="007F4BD3"/>
    <w:rsid w:val="007F4F69"/>
    <w:rsid w:val="007F64A8"/>
    <w:rsid w:val="007F64F6"/>
    <w:rsid w:val="007F66C5"/>
    <w:rsid w:val="007F6B10"/>
    <w:rsid w:val="007F70A5"/>
    <w:rsid w:val="007F7D41"/>
    <w:rsid w:val="007F7EC1"/>
    <w:rsid w:val="00800871"/>
    <w:rsid w:val="0080415F"/>
    <w:rsid w:val="0080437C"/>
    <w:rsid w:val="0080471A"/>
    <w:rsid w:val="00806AA6"/>
    <w:rsid w:val="00806BFB"/>
    <w:rsid w:val="00807198"/>
    <w:rsid w:val="00807C2B"/>
    <w:rsid w:val="00807D00"/>
    <w:rsid w:val="00810D52"/>
    <w:rsid w:val="00811912"/>
    <w:rsid w:val="00812093"/>
    <w:rsid w:val="00812B3F"/>
    <w:rsid w:val="00812D4D"/>
    <w:rsid w:val="0081359D"/>
    <w:rsid w:val="00814532"/>
    <w:rsid w:val="008147C4"/>
    <w:rsid w:val="00814AFA"/>
    <w:rsid w:val="0081621C"/>
    <w:rsid w:val="0081666A"/>
    <w:rsid w:val="00817845"/>
    <w:rsid w:val="00817EF7"/>
    <w:rsid w:val="0082008B"/>
    <w:rsid w:val="00820DC3"/>
    <w:rsid w:val="00821532"/>
    <w:rsid w:val="008221DD"/>
    <w:rsid w:val="00822726"/>
    <w:rsid w:val="0082328A"/>
    <w:rsid w:val="00823785"/>
    <w:rsid w:val="008239DC"/>
    <w:rsid w:val="00823A08"/>
    <w:rsid w:val="00825A2E"/>
    <w:rsid w:val="00825B11"/>
    <w:rsid w:val="008264B0"/>
    <w:rsid w:val="0082729E"/>
    <w:rsid w:val="00827D55"/>
    <w:rsid w:val="00830912"/>
    <w:rsid w:val="00830937"/>
    <w:rsid w:val="00831234"/>
    <w:rsid w:val="00831A41"/>
    <w:rsid w:val="00831E4F"/>
    <w:rsid w:val="00832668"/>
    <w:rsid w:val="00832F6B"/>
    <w:rsid w:val="00833ADB"/>
    <w:rsid w:val="008344C9"/>
    <w:rsid w:val="008352C7"/>
    <w:rsid w:val="008359FD"/>
    <w:rsid w:val="00835B40"/>
    <w:rsid w:val="00835B41"/>
    <w:rsid w:val="0083612E"/>
    <w:rsid w:val="00836DCD"/>
    <w:rsid w:val="00840007"/>
    <w:rsid w:val="00840A56"/>
    <w:rsid w:val="00840D7E"/>
    <w:rsid w:val="00840DD9"/>
    <w:rsid w:val="00841194"/>
    <w:rsid w:val="008424A4"/>
    <w:rsid w:val="008424FE"/>
    <w:rsid w:val="00842D99"/>
    <w:rsid w:val="00843529"/>
    <w:rsid w:val="0084499E"/>
    <w:rsid w:val="008450AF"/>
    <w:rsid w:val="0084511E"/>
    <w:rsid w:val="00845E92"/>
    <w:rsid w:val="00846C59"/>
    <w:rsid w:val="008478C3"/>
    <w:rsid w:val="0084791E"/>
    <w:rsid w:val="0085078A"/>
    <w:rsid w:val="008521B7"/>
    <w:rsid w:val="00852785"/>
    <w:rsid w:val="00852ACB"/>
    <w:rsid w:val="00852B8B"/>
    <w:rsid w:val="00852CF5"/>
    <w:rsid w:val="00854333"/>
    <w:rsid w:val="008545DD"/>
    <w:rsid w:val="0085620E"/>
    <w:rsid w:val="0085666F"/>
    <w:rsid w:val="00856F3A"/>
    <w:rsid w:val="00857231"/>
    <w:rsid w:val="008575BA"/>
    <w:rsid w:val="00860EBD"/>
    <w:rsid w:val="00860F4B"/>
    <w:rsid w:val="00861BAB"/>
    <w:rsid w:val="0086202F"/>
    <w:rsid w:val="0086215B"/>
    <w:rsid w:val="008623FE"/>
    <w:rsid w:val="00865106"/>
    <w:rsid w:val="00865A64"/>
    <w:rsid w:val="00865D1A"/>
    <w:rsid w:val="008660F8"/>
    <w:rsid w:val="00866467"/>
    <w:rsid w:val="008666B5"/>
    <w:rsid w:val="00866DCE"/>
    <w:rsid w:val="008679B2"/>
    <w:rsid w:val="00867B71"/>
    <w:rsid w:val="008738FC"/>
    <w:rsid w:val="00873BB4"/>
    <w:rsid w:val="0087478F"/>
    <w:rsid w:val="00874A3B"/>
    <w:rsid w:val="00876186"/>
    <w:rsid w:val="00877527"/>
    <w:rsid w:val="00877C92"/>
    <w:rsid w:val="00877F5C"/>
    <w:rsid w:val="008807D6"/>
    <w:rsid w:val="00880BE9"/>
    <w:rsid w:val="00880DC0"/>
    <w:rsid w:val="00881C08"/>
    <w:rsid w:val="008822A5"/>
    <w:rsid w:val="00883762"/>
    <w:rsid w:val="00883A94"/>
    <w:rsid w:val="00883ABE"/>
    <w:rsid w:val="00883CE2"/>
    <w:rsid w:val="0088536D"/>
    <w:rsid w:val="0088573F"/>
    <w:rsid w:val="00885B75"/>
    <w:rsid w:val="00885F0A"/>
    <w:rsid w:val="00886143"/>
    <w:rsid w:val="0088695C"/>
    <w:rsid w:val="008869DC"/>
    <w:rsid w:val="00886BDC"/>
    <w:rsid w:val="008878F3"/>
    <w:rsid w:val="00887C89"/>
    <w:rsid w:val="00891046"/>
    <w:rsid w:val="008910D6"/>
    <w:rsid w:val="00893A56"/>
    <w:rsid w:val="00894163"/>
    <w:rsid w:val="00894F4B"/>
    <w:rsid w:val="0089512A"/>
    <w:rsid w:val="008954CB"/>
    <w:rsid w:val="00896548"/>
    <w:rsid w:val="0089722E"/>
    <w:rsid w:val="008A1966"/>
    <w:rsid w:val="008A198C"/>
    <w:rsid w:val="008A2BCE"/>
    <w:rsid w:val="008A2C43"/>
    <w:rsid w:val="008A393B"/>
    <w:rsid w:val="008A7E4D"/>
    <w:rsid w:val="008B0187"/>
    <w:rsid w:val="008B0982"/>
    <w:rsid w:val="008B0A8F"/>
    <w:rsid w:val="008B0AD6"/>
    <w:rsid w:val="008B194D"/>
    <w:rsid w:val="008B1D4D"/>
    <w:rsid w:val="008B2FAB"/>
    <w:rsid w:val="008B5E90"/>
    <w:rsid w:val="008B65EA"/>
    <w:rsid w:val="008B6E22"/>
    <w:rsid w:val="008C0175"/>
    <w:rsid w:val="008C06A2"/>
    <w:rsid w:val="008C07C0"/>
    <w:rsid w:val="008C1721"/>
    <w:rsid w:val="008C2695"/>
    <w:rsid w:val="008C4211"/>
    <w:rsid w:val="008C43A9"/>
    <w:rsid w:val="008C48A8"/>
    <w:rsid w:val="008C55B4"/>
    <w:rsid w:val="008C6532"/>
    <w:rsid w:val="008C7630"/>
    <w:rsid w:val="008C79EB"/>
    <w:rsid w:val="008D1A14"/>
    <w:rsid w:val="008D1E11"/>
    <w:rsid w:val="008D22D4"/>
    <w:rsid w:val="008D2397"/>
    <w:rsid w:val="008D2A4D"/>
    <w:rsid w:val="008D319D"/>
    <w:rsid w:val="008D4C68"/>
    <w:rsid w:val="008D4FF1"/>
    <w:rsid w:val="008D5EB6"/>
    <w:rsid w:val="008D622B"/>
    <w:rsid w:val="008D636C"/>
    <w:rsid w:val="008D6557"/>
    <w:rsid w:val="008D6923"/>
    <w:rsid w:val="008D70D4"/>
    <w:rsid w:val="008D7347"/>
    <w:rsid w:val="008D7861"/>
    <w:rsid w:val="008E0CBC"/>
    <w:rsid w:val="008E1C21"/>
    <w:rsid w:val="008E1DD3"/>
    <w:rsid w:val="008E1DE8"/>
    <w:rsid w:val="008E2688"/>
    <w:rsid w:val="008E2B7F"/>
    <w:rsid w:val="008E34A1"/>
    <w:rsid w:val="008E47CE"/>
    <w:rsid w:val="008E4B2F"/>
    <w:rsid w:val="008E529A"/>
    <w:rsid w:val="008E60D4"/>
    <w:rsid w:val="008E628B"/>
    <w:rsid w:val="008E72AE"/>
    <w:rsid w:val="008E77DE"/>
    <w:rsid w:val="008E7EDB"/>
    <w:rsid w:val="008F0265"/>
    <w:rsid w:val="008F096D"/>
    <w:rsid w:val="008F10CB"/>
    <w:rsid w:val="008F1B5F"/>
    <w:rsid w:val="008F2A4F"/>
    <w:rsid w:val="008F485D"/>
    <w:rsid w:val="008F5BBA"/>
    <w:rsid w:val="008F6048"/>
    <w:rsid w:val="008F7164"/>
    <w:rsid w:val="008F73E0"/>
    <w:rsid w:val="008F7EE0"/>
    <w:rsid w:val="009018EA"/>
    <w:rsid w:val="00901E95"/>
    <w:rsid w:val="00901F76"/>
    <w:rsid w:val="009021C6"/>
    <w:rsid w:val="009025B4"/>
    <w:rsid w:val="00903C10"/>
    <w:rsid w:val="0090483D"/>
    <w:rsid w:val="00904AA3"/>
    <w:rsid w:val="00904DA5"/>
    <w:rsid w:val="00904E4C"/>
    <w:rsid w:val="00905721"/>
    <w:rsid w:val="00906A84"/>
    <w:rsid w:val="00906EE8"/>
    <w:rsid w:val="00910DE0"/>
    <w:rsid w:val="0091103B"/>
    <w:rsid w:val="00912195"/>
    <w:rsid w:val="0091412D"/>
    <w:rsid w:val="009142CD"/>
    <w:rsid w:val="0091559D"/>
    <w:rsid w:val="00915949"/>
    <w:rsid w:val="00915B81"/>
    <w:rsid w:val="00916370"/>
    <w:rsid w:val="00916830"/>
    <w:rsid w:val="00916946"/>
    <w:rsid w:val="00916AC6"/>
    <w:rsid w:val="00917471"/>
    <w:rsid w:val="00917857"/>
    <w:rsid w:val="00917C73"/>
    <w:rsid w:val="00920288"/>
    <w:rsid w:val="009215C8"/>
    <w:rsid w:val="00921D8B"/>
    <w:rsid w:val="0092283A"/>
    <w:rsid w:val="00922D31"/>
    <w:rsid w:val="00922D6B"/>
    <w:rsid w:val="0092314B"/>
    <w:rsid w:val="009233D6"/>
    <w:rsid w:val="00923C1D"/>
    <w:rsid w:val="0092415C"/>
    <w:rsid w:val="00925976"/>
    <w:rsid w:val="00925E91"/>
    <w:rsid w:val="009267A9"/>
    <w:rsid w:val="0092749F"/>
    <w:rsid w:val="009304B9"/>
    <w:rsid w:val="009312AA"/>
    <w:rsid w:val="00931FD9"/>
    <w:rsid w:val="009325C4"/>
    <w:rsid w:val="00932CEF"/>
    <w:rsid w:val="009331D4"/>
    <w:rsid w:val="00934435"/>
    <w:rsid w:val="00934B0E"/>
    <w:rsid w:val="00935BFF"/>
    <w:rsid w:val="00936652"/>
    <w:rsid w:val="00937573"/>
    <w:rsid w:val="00940910"/>
    <w:rsid w:val="009418A2"/>
    <w:rsid w:val="009421B6"/>
    <w:rsid w:val="0094240A"/>
    <w:rsid w:val="00942A6C"/>
    <w:rsid w:val="009433DA"/>
    <w:rsid w:val="009452EF"/>
    <w:rsid w:val="009456DB"/>
    <w:rsid w:val="009457E0"/>
    <w:rsid w:val="00947DD2"/>
    <w:rsid w:val="00950B68"/>
    <w:rsid w:val="0095117A"/>
    <w:rsid w:val="009522CF"/>
    <w:rsid w:val="00952950"/>
    <w:rsid w:val="00952978"/>
    <w:rsid w:val="009530D9"/>
    <w:rsid w:val="00953B85"/>
    <w:rsid w:val="00953EC8"/>
    <w:rsid w:val="00955AD0"/>
    <w:rsid w:val="00956077"/>
    <w:rsid w:val="009571A0"/>
    <w:rsid w:val="00957B27"/>
    <w:rsid w:val="009614A0"/>
    <w:rsid w:val="0096279F"/>
    <w:rsid w:val="00965189"/>
    <w:rsid w:val="009652D1"/>
    <w:rsid w:val="0096565F"/>
    <w:rsid w:val="00965708"/>
    <w:rsid w:val="00966362"/>
    <w:rsid w:val="00966626"/>
    <w:rsid w:val="00967412"/>
    <w:rsid w:val="00967CF9"/>
    <w:rsid w:val="0097232E"/>
    <w:rsid w:val="0097255A"/>
    <w:rsid w:val="0097257A"/>
    <w:rsid w:val="00972C3D"/>
    <w:rsid w:val="00972EF6"/>
    <w:rsid w:val="00972F6D"/>
    <w:rsid w:val="009736FE"/>
    <w:rsid w:val="00973C6C"/>
    <w:rsid w:val="00973FF1"/>
    <w:rsid w:val="009740E0"/>
    <w:rsid w:val="0097424B"/>
    <w:rsid w:val="0098027B"/>
    <w:rsid w:val="00980885"/>
    <w:rsid w:val="00980ACE"/>
    <w:rsid w:val="00980AE2"/>
    <w:rsid w:val="009825FA"/>
    <w:rsid w:val="00983B77"/>
    <w:rsid w:val="0098439E"/>
    <w:rsid w:val="00984CF9"/>
    <w:rsid w:val="00984FEA"/>
    <w:rsid w:val="009859FE"/>
    <w:rsid w:val="00985EC8"/>
    <w:rsid w:val="0098643A"/>
    <w:rsid w:val="0098668F"/>
    <w:rsid w:val="009870F7"/>
    <w:rsid w:val="00987C69"/>
    <w:rsid w:val="00987E46"/>
    <w:rsid w:val="00987F1A"/>
    <w:rsid w:val="00990704"/>
    <w:rsid w:val="009917AB"/>
    <w:rsid w:val="00992547"/>
    <w:rsid w:val="00992E11"/>
    <w:rsid w:val="00993261"/>
    <w:rsid w:val="009937FF"/>
    <w:rsid w:val="00993A53"/>
    <w:rsid w:val="00994687"/>
    <w:rsid w:val="0099541A"/>
    <w:rsid w:val="00995EB6"/>
    <w:rsid w:val="0099611D"/>
    <w:rsid w:val="00997E07"/>
    <w:rsid w:val="009A0295"/>
    <w:rsid w:val="009A0B08"/>
    <w:rsid w:val="009A0BCE"/>
    <w:rsid w:val="009A0CA2"/>
    <w:rsid w:val="009A1BC5"/>
    <w:rsid w:val="009A3D5B"/>
    <w:rsid w:val="009A429C"/>
    <w:rsid w:val="009A4F39"/>
    <w:rsid w:val="009A569B"/>
    <w:rsid w:val="009A5734"/>
    <w:rsid w:val="009A5A35"/>
    <w:rsid w:val="009A5FC9"/>
    <w:rsid w:val="009A6179"/>
    <w:rsid w:val="009A6805"/>
    <w:rsid w:val="009A6FBD"/>
    <w:rsid w:val="009A7264"/>
    <w:rsid w:val="009A7E0D"/>
    <w:rsid w:val="009B02DB"/>
    <w:rsid w:val="009B0FEE"/>
    <w:rsid w:val="009B10FF"/>
    <w:rsid w:val="009B1963"/>
    <w:rsid w:val="009B1C73"/>
    <w:rsid w:val="009B1CF1"/>
    <w:rsid w:val="009B212B"/>
    <w:rsid w:val="009B22EE"/>
    <w:rsid w:val="009B281C"/>
    <w:rsid w:val="009B3498"/>
    <w:rsid w:val="009B4A20"/>
    <w:rsid w:val="009B4BA5"/>
    <w:rsid w:val="009B4D30"/>
    <w:rsid w:val="009B6614"/>
    <w:rsid w:val="009B66A2"/>
    <w:rsid w:val="009B6C32"/>
    <w:rsid w:val="009B6F31"/>
    <w:rsid w:val="009B7BC7"/>
    <w:rsid w:val="009C07F9"/>
    <w:rsid w:val="009C08EC"/>
    <w:rsid w:val="009C0D60"/>
    <w:rsid w:val="009C1817"/>
    <w:rsid w:val="009C2E59"/>
    <w:rsid w:val="009C38A4"/>
    <w:rsid w:val="009C4D50"/>
    <w:rsid w:val="009C6176"/>
    <w:rsid w:val="009C67E9"/>
    <w:rsid w:val="009C6B88"/>
    <w:rsid w:val="009C6EFE"/>
    <w:rsid w:val="009C7C4E"/>
    <w:rsid w:val="009D129E"/>
    <w:rsid w:val="009D33BF"/>
    <w:rsid w:val="009D3AC6"/>
    <w:rsid w:val="009D5F8A"/>
    <w:rsid w:val="009D6A6F"/>
    <w:rsid w:val="009D704E"/>
    <w:rsid w:val="009D7980"/>
    <w:rsid w:val="009D7EEF"/>
    <w:rsid w:val="009D7F19"/>
    <w:rsid w:val="009E095C"/>
    <w:rsid w:val="009E0B71"/>
    <w:rsid w:val="009E390C"/>
    <w:rsid w:val="009E4128"/>
    <w:rsid w:val="009E4FD6"/>
    <w:rsid w:val="009E55CF"/>
    <w:rsid w:val="009E5970"/>
    <w:rsid w:val="009E6840"/>
    <w:rsid w:val="009E6A82"/>
    <w:rsid w:val="009E727A"/>
    <w:rsid w:val="009F09AC"/>
    <w:rsid w:val="009F1EC9"/>
    <w:rsid w:val="009F236D"/>
    <w:rsid w:val="009F26A5"/>
    <w:rsid w:val="009F4F70"/>
    <w:rsid w:val="009F5F16"/>
    <w:rsid w:val="009F6893"/>
    <w:rsid w:val="009F6B03"/>
    <w:rsid w:val="009F76EE"/>
    <w:rsid w:val="009F796C"/>
    <w:rsid w:val="009F7DD9"/>
    <w:rsid w:val="00A0116B"/>
    <w:rsid w:val="00A01C22"/>
    <w:rsid w:val="00A02183"/>
    <w:rsid w:val="00A031C1"/>
    <w:rsid w:val="00A04E9B"/>
    <w:rsid w:val="00A06E7A"/>
    <w:rsid w:val="00A07B6B"/>
    <w:rsid w:val="00A07BC4"/>
    <w:rsid w:val="00A07F79"/>
    <w:rsid w:val="00A10556"/>
    <w:rsid w:val="00A1188B"/>
    <w:rsid w:val="00A11B45"/>
    <w:rsid w:val="00A1262F"/>
    <w:rsid w:val="00A133CD"/>
    <w:rsid w:val="00A14141"/>
    <w:rsid w:val="00A1472E"/>
    <w:rsid w:val="00A155AD"/>
    <w:rsid w:val="00A16AFD"/>
    <w:rsid w:val="00A17400"/>
    <w:rsid w:val="00A17A5D"/>
    <w:rsid w:val="00A2194C"/>
    <w:rsid w:val="00A21D80"/>
    <w:rsid w:val="00A23CF1"/>
    <w:rsid w:val="00A23D7C"/>
    <w:rsid w:val="00A24130"/>
    <w:rsid w:val="00A2603E"/>
    <w:rsid w:val="00A26E5A"/>
    <w:rsid w:val="00A307D1"/>
    <w:rsid w:val="00A31914"/>
    <w:rsid w:val="00A31E3B"/>
    <w:rsid w:val="00A3207A"/>
    <w:rsid w:val="00A32656"/>
    <w:rsid w:val="00A33931"/>
    <w:rsid w:val="00A33AB1"/>
    <w:rsid w:val="00A3435F"/>
    <w:rsid w:val="00A3502F"/>
    <w:rsid w:val="00A35163"/>
    <w:rsid w:val="00A35D66"/>
    <w:rsid w:val="00A35F09"/>
    <w:rsid w:val="00A3620D"/>
    <w:rsid w:val="00A3725F"/>
    <w:rsid w:val="00A37477"/>
    <w:rsid w:val="00A40FDC"/>
    <w:rsid w:val="00A4108F"/>
    <w:rsid w:val="00A41CFE"/>
    <w:rsid w:val="00A42034"/>
    <w:rsid w:val="00A42042"/>
    <w:rsid w:val="00A43884"/>
    <w:rsid w:val="00A43E54"/>
    <w:rsid w:val="00A4572D"/>
    <w:rsid w:val="00A46089"/>
    <w:rsid w:val="00A46A32"/>
    <w:rsid w:val="00A47094"/>
    <w:rsid w:val="00A47202"/>
    <w:rsid w:val="00A513DC"/>
    <w:rsid w:val="00A516CC"/>
    <w:rsid w:val="00A5170F"/>
    <w:rsid w:val="00A53282"/>
    <w:rsid w:val="00A54729"/>
    <w:rsid w:val="00A54A84"/>
    <w:rsid w:val="00A54FB1"/>
    <w:rsid w:val="00A55384"/>
    <w:rsid w:val="00A55417"/>
    <w:rsid w:val="00A5579B"/>
    <w:rsid w:val="00A57ABA"/>
    <w:rsid w:val="00A57C97"/>
    <w:rsid w:val="00A623C0"/>
    <w:rsid w:val="00A63A29"/>
    <w:rsid w:val="00A65E17"/>
    <w:rsid w:val="00A66403"/>
    <w:rsid w:val="00A66458"/>
    <w:rsid w:val="00A70CD3"/>
    <w:rsid w:val="00A70F81"/>
    <w:rsid w:val="00A71B1B"/>
    <w:rsid w:val="00A71EFC"/>
    <w:rsid w:val="00A72EB0"/>
    <w:rsid w:val="00A73D96"/>
    <w:rsid w:val="00A7569F"/>
    <w:rsid w:val="00A7724B"/>
    <w:rsid w:val="00A7729E"/>
    <w:rsid w:val="00A777C9"/>
    <w:rsid w:val="00A80333"/>
    <w:rsid w:val="00A81DC6"/>
    <w:rsid w:val="00A821B3"/>
    <w:rsid w:val="00A847BA"/>
    <w:rsid w:val="00A85F33"/>
    <w:rsid w:val="00A86339"/>
    <w:rsid w:val="00A87F1D"/>
    <w:rsid w:val="00A9034C"/>
    <w:rsid w:val="00A9036F"/>
    <w:rsid w:val="00A90AE2"/>
    <w:rsid w:val="00A90C21"/>
    <w:rsid w:val="00A90FAD"/>
    <w:rsid w:val="00A9129D"/>
    <w:rsid w:val="00A94512"/>
    <w:rsid w:val="00A950C0"/>
    <w:rsid w:val="00A95EE8"/>
    <w:rsid w:val="00A960B1"/>
    <w:rsid w:val="00A967CB"/>
    <w:rsid w:val="00A9681E"/>
    <w:rsid w:val="00A97564"/>
    <w:rsid w:val="00AA09B0"/>
    <w:rsid w:val="00AA13EF"/>
    <w:rsid w:val="00AA29F5"/>
    <w:rsid w:val="00AA33A1"/>
    <w:rsid w:val="00AA3E4D"/>
    <w:rsid w:val="00AA3EBA"/>
    <w:rsid w:val="00AA4073"/>
    <w:rsid w:val="00AA427E"/>
    <w:rsid w:val="00AA49CC"/>
    <w:rsid w:val="00AA65D6"/>
    <w:rsid w:val="00AA66F8"/>
    <w:rsid w:val="00AA69A6"/>
    <w:rsid w:val="00AA6B1D"/>
    <w:rsid w:val="00AA6C9F"/>
    <w:rsid w:val="00AA6E5D"/>
    <w:rsid w:val="00AA6E5E"/>
    <w:rsid w:val="00AA7921"/>
    <w:rsid w:val="00AA7C3D"/>
    <w:rsid w:val="00AB1F95"/>
    <w:rsid w:val="00AB2158"/>
    <w:rsid w:val="00AB35CD"/>
    <w:rsid w:val="00AB4016"/>
    <w:rsid w:val="00AB5805"/>
    <w:rsid w:val="00AB7ACA"/>
    <w:rsid w:val="00AB7C72"/>
    <w:rsid w:val="00AB7D25"/>
    <w:rsid w:val="00AC0581"/>
    <w:rsid w:val="00AC1497"/>
    <w:rsid w:val="00AC14B1"/>
    <w:rsid w:val="00AC33B9"/>
    <w:rsid w:val="00AC34BB"/>
    <w:rsid w:val="00AC392C"/>
    <w:rsid w:val="00AC3B0C"/>
    <w:rsid w:val="00AC5D2B"/>
    <w:rsid w:val="00AC5D75"/>
    <w:rsid w:val="00AC7EC6"/>
    <w:rsid w:val="00AC7FBC"/>
    <w:rsid w:val="00AD0870"/>
    <w:rsid w:val="00AD2F37"/>
    <w:rsid w:val="00AD30DD"/>
    <w:rsid w:val="00AD3247"/>
    <w:rsid w:val="00AD511C"/>
    <w:rsid w:val="00AD7B76"/>
    <w:rsid w:val="00AD7B92"/>
    <w:rsid w:val="00AE05A7"/>
    <w:rsid w:val="00AE126D"/>
    <w:rsid w:val="00AE179F"/>
    <w:rsid w:val="00AE2229"/>
    <w:rsid w:val="00AE268B"/>
    <w:rsid w:val="00AE2CF3"/>
    <w:rsid w:val="00AE4230"/>
    <w:rsid w:val="00AE4393"/>
    <w:rsid w:val="00AE5BED"/>
    <w:rsid w:val="00AE5D0C"/>
    <w:rsid w:val="00AE63B3"/>
    <w:rsid w:val="00AE71B5"/>
    <w:rsid w:val="00AE7311"/>
    <w:rsid w:val="00AE7315"/>
    <w:rsid w:val="00AE73A6"/>
    <w:rsid w:val="00AF0A82"/>
    <w:rsid w:val="00AF1042"/>
    <w:rsid w:val="00AF14AE"/>
    <w:rsid w:val="00AF1DEA"/>
    <w:rsid w:val="00AF1EAE"/>
    <w:rsid w:val="00AF30FF"/>
    <w:rsid w:val="00AF361A"/>
    <w:rsid w:val="00AF5373"/>
    <w:rsid w:val="00AF5D4B"/>
    <w:rsid w:val="00AF6E0E"/>
    <w:rsid w:val="00AF70F4"/>
    <w:rsid w:val="00AF7300"/>
    <w:rsid w:val="00B000FC"/>
    <w:rsid w:val="00B00976"/>
    <w:rsid w:val="00B00EA6"/>
    <w:rsid w:val="00B01F3B"/>
    <w:rsid w:val="00B0241F"/>
    <w:rsid w:val="00B03B09"/>
    <w:rsid w:val="00B040B3"/>
    <w:rsid w:val="00B045F3"/>
    <w:rsid w:val="00B0462C"/>
    <w:rsid w:val="00B04CE0"/>
    <w:rsid w:val="00B05BBD"/>
    <w:rsid w:val="00B06E16"/>
    <w:rsid w:val="00B07F80"/>
    <w:rsid w:val="00B10490"/>
    <w:rsid w:val="00B111B5"/>
    <w:rsid w:val="00B12A41"/>
    <w:rsid w:val="00B14826"/>
    <w:rsid w:val="00B1514F"/>
    <w:rsid w:val="00B15F6B"/>
    <w:rsid w:val="00B1606F"/>
    <w:rsid w:val="00B1621A"/>
    <w:rsid w:val="00B16785"/>
    <w:rsid w:val="00B1798E"/>
    <w:rsid w:val="00B20154"/>
    <w:rsid w:val="00B20445"/>
    <w:rsid w:val="00B2057E"/>
    <w:rsid w:val="00B2087A"/>
    <w:rsid w:val="00B20A41"/>
    <w:rsid w:val="00B22C4E"/>
    <w:rsid w:val="00B24CA1"/>
    <w:rsid w:val="00B264FA"/>
    <w:rsid w:val="00B2661E"/>
    <w:rsid w:val="00B26E4C"/>
    <w:rsid w:val="00B277C9"/>
    <w:rsid w:val="00B27D59"/>
    <w:rsid w:val="00B27D8A"/>
    <w:rsid w:val="00B30F27"/>
    <w:rsid w:val="00B32195"/>
    <w:rsid w:val="00B3227F"/>
    <w:rsid w:val="00B32C8F"/>
    <w:rsid w:val="00B3322F"/>
    <w:rsid w:val="00B346D1"/>
    <w:rsid w:val="00B3492E"/>
    <w:rsid w:val="00B34AA9"/>
    <w:rsid w:val="00B34BEC"/>
    <w:rsid w:val="00B353C1"/>
    <w:rsid w:val="00B35976"/>
    <w:rsid w:val="00B3597F"/>
    <w:rsid w:val="00B35C9C"/>
    <w:rsid w:val="00B360CF"/>
    <w:rsid w:val="00B37DBB"/>
    <w:rsid w:val="00B407CE"/>
    <w:rsid w:val="00B40B7B"/>
    <w:rsid w:val="00B40FDE"/>
    <w:rsid w:val="00B415CB"/>
    <w:rsid w:val="00B419B9"/>
    <w:rsid w:val="00B41B9E"/>
    <w:rsid w:val="00B42404"/>
    <w:rsid w:val="00B43DFC"/>
    <w:rsid w:val="00B44933"/>
    <w:rsid w:val="00B44C09"/>
    <w:rsid w:val="00B4570B"/>
    <w:rsid w:val="00B45E4D"/>
    <w:rsid w:val="00B46193"/>
    <w:rsid w:val="00B47B30"/>
    <w:rsid w:val="00B5019B"/>
    <w:rsid w:val="00B50AC0"/>
    <w:rsid w:val="00B50B72"/>
    <w:rsid w:val="00B50F42"/>
    <w:rsid w:val="00B5154A"/>
    <w:rsid w:val="00B52D8E"/>
    <w:rsid w:val="00B55954"/>
    <w:rsid w:val="00B55C78"/>
    <w:rsid w:val="00B56F0B"/>
    <w:rsid w:val="00B57660"/>
    <w:rsid w:val="00B57CBB"/>
    <w:rsid w:val="00B60A58"/>
    <w:rsid w:val="00B60ED3"/>
    <w:rsid w:val="00B62704"/>
    <w:rsid w:val="00B64226"/>
    <w:rsid w:val="00B665DC"/>
    <w:rsid w:val="00B6692F"/>
    <w:rsid w:val="00B66BB2"/>
    <w:rsid w:val="00B66BBA"/>
    <w:rsid w:val="00B67BFE"/>
    <w:rsid w:val="00B67D5B"/>
    <w:rsid w:val="00B70E67"/>
    <w:rsid w:val="00B715DC"/>
    <w:rsid w:val="00B72CB9"/>
    <w:rsid w:val="00B72FB4"/>
    <w:rsid w:val="00B73A77"/>
    <w:rsid w:val="00B73CDE"/>
    <w:rsid w:val="00B73EE0"/>
    <w:rsid w:val="00B748A3"/>
    <w:rsid w:val="00B75A66"/>
    <w:rsid w:val="00B774CD"/>
    <w:rsid w:val="00B800EC"/>
    <w:rsid w:val="00B802D3"/>
    <w:rsid w:val="00B80344"/>
    <w:rsid w:val="00B80AD8"/>
    <w:rsid w:val="00B80F89"/>
    <w:rsid w:val="00B81C2E"/>
    <w:rsid w:val="00B827C9"/>
    <w:rsid w:val="00B838F9"/>
    <w:rsid w:val="00B83D4B"/>
    <w:rsid w:val="00B84471"/>
    <w:rsid w:val="00B844E9"/>
    <w:rsid w:val="00B8458F"/>
    <w:rsid w:val="00B84971"/>
    <w:rsid w:val="00B84E0D"/>
    <w:rsid w:val="00B8576A"/>
    <w:rsid w:val="00B85B3F"/>
    <w:rsid w:val="00B85D6F"/>
    <w:rsid w:val="00B87116"/>
    <w:rsid w:val="00B87276"/>
    <w:rsid w:val="00B90AA1"/>
    <w:rsid w:val="00B90C69"/>
    <w:rsid w:val="00B90E6E"/>
    <w:rsid w:val="00B912EE"/>
    <w:rsid w:val="00B9134A"/>
    <w:rsid w:val="00B91D02"/>
    <w:rsid w:val="00B927C7"/>
    <w:rsid w:val="00B92989"/>
    <w:rsid w:val="00B929B9"/>
    <w:rsid w:val="00B9371D"/>
    <w:rsid w:val="00B94E49"/>
    <w:rsid w:val="00B956CF"/>
    <w:rsid w:val="00B95D4F"/>
    <w:rsid w:val="00B97580"/>
    <w:rsid w:val="00BA0B9C"/>
    <w:rsid w:val="00BA1614"/>
    <w:rsid w:val="00BA1675"/>
    <w:rsid w:val="00BA1872"/>
    <w:rsid w:val="00BA2D1C"/>
    <w:rsid w:val="00BA2F95"/>
    <w:rsid w:val="00BA32D9"/>
    <w:rsid w:val="00BA4AE5"/>
    <w:rsid w:val="00BA4DA7"/>
    <w:rsid w:val="00BA549D"/>
    <w:rsid w:val="00BA5576"/>
    <w:rsid w:val="00BA5651"/>
    <w:rsid w:val="00BA5677"/>
    <w:rsid w:val="00BA59A6"/>
    <w:rsid w:val="00BA650F"/>
    <w:rsid w:val="00BA67B9"/>
    <w:rsid w:val="00BA6DDD"/>
    <w:rsid w:val="00BB0005"/>
    <w:rsid w:val="00BB0141"/>
    <w:rsid w:val="00BB0B24"/>
    <w:rsid w:val="00BB1477"/>
    <w:rsid w:val="00BB1527"/>
    <w:rsid w:val="00BB185C"/>
    <w:rsid w:val="00BB2BFB"/>
    <w:rsid w:val="00BB41BA"/>
    <w:rsid w:val="00BB43C4"/>
    <w:rsid w:val="00BB46E7"/>
    <w:rsid w:val="00BB4769"/>
    <w:rsid w:val="00BB534B"/>
    <w:rsid w:val="00BB56CE"/>
    <w:rsid w:val="00BB5978"/>
    <w:rsid w:val="00BB6285"/>
    <w:rsid w:val="00BB62B0"/>
    <w:rsid w:val="00BB6D19"/>
    <w:rsid w:val="00BB74F7"/>
    <w:rsid w:val="00BC078C"/>
    <w:rsid w:val="00BC17C2"/>
    <w:rsid w:val="00BC1A9E"/>
    <w:rsid w:val="00BC1DDF"/>
    <w:rsid w:val="00BC1E27"/>
    <w:rsid w:val="00BC1E83"/>
    <w:rsid w:val="00BC2969"/>
    <w:rsid w:val="00BC3464"/>
    <w:rsid w:val="00BC3C42"/>
    <w:rsid w:val="00BC4408"/>
    <w:rsid w:val="00BC4942"/>
    <w:rsid w:val="00BC5BA5"/>
    <w:rsid w:val="00BC5ED3"/>
    <w:rsid w:val="00BC78C4"/>
    <w:rsid w:val="00BC7AC8"/>
    <w:rsid w:val="00BC7D37"/>
    <w:rsid w:val="00BD0EC0"/>
    <w:rsid w:val="00BD12C3"/>
    <w:rsid w:val="00BD264C"/>
    <w:rsid w:val="00BD2AAB"/>
    <w:rsid w:val="00BD2C22"/>
    <w:rsid w:val="00BD2E9B"/>
    <w:rsid w:val="00BD3F5D"/>
    <w:rsid w:val="00BD4DE0"/>
    <w:rsid w:val="00BD5178"/>
    <w:rsid w:val="00BD629D"/>
    <w:rsid w:val="00BD7091"/>
    <w:rsid w:val="00BE0EE9"/>
    <w:rsid w:val="00BE0F67"/>
    <w:rsid w:val="00BE1837"/>
    <w:rsid w:val="00BE201D"/>
    <w:rsid w:val="00BE25DF"/>
    <w:rsid w:val="00BE2749"/>
    <w:rsid w:val="00BE2E20"/>
    <w:rsid w:val="00BE3050"/>
    <w:rsid w:val="00BE4BB7"/>
    <w:rsid w:val="00BE6D6F"/>
    <w:rsid w:val="00BE6FC7"/>
    <w:rsid w:val="00BE70FE"/>
    <w:rsid w:val="00BF1108"/>
    <w:rsid w:val="00BF2C97"/>
    <w:rsid w:val="00BF2E48"/>
    <w:rsid w:val="00BF3C1B"/>
    <w:rsid w:val="00BF4636"/>
    <w:rsid w:val="00BF5FD6"/>
    <w:rsid w:val="00BF5FE1"/>
    <w:rsid w:val="00BF7334"/>
    <w:rsid w:val="00BF7526"/>
    <w:rsid w:val="00BF7560"/>
    <w:rsid w:val="00C00514"/>
    <w:rsid w:val="00C0051E"/>
    <w:rsid w:val="00C00715"/>
    <w:rsid w:val="00C02FDE"/>
    <w:rsid w:val="00C04854"/>
    <w:rsid w:val="00C054A4"/>
    <w:rsid w:val="00C064BD"/>
    <w:rsid w:val="00C0762F"/>
    <w:rsid w:val="00C105A7"/>
    <w:rsid w:val="00C10E18"/>
    <w:rsid w:val="00C117B8"/>
    <w:rsid w:val="00C14572"/>
    <w:rsid w:val="00C14975"/>
    <w:rsid w:val="00C14C5B"/>
    <w:rsid w:val="00C15006"/>
    <w:rsid w:val="00C154C3"/>
    <w:rsid w:val="00C15527"/>
    <w:rsid w:val="00C1739C"/>
    <w:rsid w:val="00C209CF"/>
    <w:rsid w:val="00C21791"/>
    <w:rsid w:val="00C21C8E"/>
    <w:rsid w:val="00C2212C"/>
    <w:rsid w:val="00C22358"/>
    <w:rsid w:val="00C2236A"/>
    <w:rsid w:val="00C2254F"/>
    <w:rsid w:val="00C2266E"/>
    <w:rsid w:val="00C23208"/>
    <w:rsid w:val="00C240F1"/>
    <w:rsid w:val="00C24C6B"/>
    <w:rsid w:val="00C25C57"/>
    <w:rsid w:val="00C270FC"/>
    <w:rsid w:val="00C27ED9"/>
    <w:rsid w:val="00C30394"/>
    <w:rsid w:val="00C30FB2"/>
    <w:rsid w:val="00C31A02"/>
    <w:rsid w:val="00C3231C"/>
    <w:rsid w:val="00C3298F"/>
    <w:rsid w:val="00C331DC"/>
    <w:rsid w:val="00C34016"/>
    <w:rsid w:val="00C34BEC"/>
    <w:rsid w:val="00C34F1E"/>
    <w:rsid w:val="00C35311"/>
    <w:rsid w:val="00C354F2"/>
    <w:rsid w:val="00C35BB8"/>
    <w:rsid w:val="00C35C4B"/>
    <w:rsid w:val="00C36535"/>
    <w:rsid w:val="00C3695E"/>
    <w:rsid w:val="00C36A24"/>
    <w:rsid w:val="00C36EAB"/>
    <w:rsid w:val="00C37768"/>
    <w:rsid w:val="00C37B45"/>
    <w:rsid w:val="00C37D60"/>
    <w:rsid w:val="00C4045F"/>
    <w:rsid w:val="00C406F6"/>
    <w:rsid w:val="00C40EDE"/>
    <w:rsid w:val="00C42143"/>
    <w:rsid w:val="00C4228D"/>
    <w:rsid w:val="00C43712"/>
    <w:rsid w:val="00C441CF"/>
    <w:rsid w:val="00C442D0"/>
    <w:rsid w:val="00C44C89"/>
    <w:rsid w:val="00C457E1"/>
    <w:rsid w:val="00C46428"/>
    <w:rsid w:val="00C47E30"/>
    <w:rsid w:val="00C506DF"/>
    <w:rsid w:val="00C51079"/>
    <w:rsid w:val="00C512AD"/>
    <w:rsid w:val="00C52BDB"/>
    <w:rsid w:val="00C5350A"/>
    <w:rsid w:val="00C53619"/>
    <w:rsid w:val="00C5365A"/>
    <w:rsid w:val="00C579E6"/>
    <w:rsid w:val="00C60550"/>
    <w:rsid w:val="00C60AD2"/>
    <w:rsid w:val="00C60C97"/>
    <w:rsid w:val="00C61278"/>
    <w:rsid w:val="00C62803"/>
    <w:rsid w:val="00C62F05"/>
    <w:rsid w:val="00C64082"/>
    <w:rsid w:val="00C64207"/>
    <w:rsid w:val="00C65630"/>
    <w:rsid w:val="00C67186"/>
    <w:rsid w:val="00C7292B"/>
    <w:rsid w:val="00C72E39"/>
    <w:rsid w:val="00C744E9"/>
    <w:rsid w:val="00C74920"/>
    <w:rsid w:val="00C74B38"/>
    <w:rsid w:val="00C75061"/>
    <w:rsid w:val="00C762D0"/>
    <w:rsid w:val="00C766E7"/>
    <w:rsid w:val="00C80374"/>
    <w:rsid w:val="00C81060"/>
    <w:rsid w:val="00C816E4"/>
    <w:rsid w:val="00C8183F"/>
    <w:rsid w:val="00C81F3F"/>
    <w:rsid w:val="00C82614"/>
    <w:rsid w:val="00C8374F"/>
    <w:rsid w:val="00C84A63"/>
    <w:rsid w:val="00C85024"/>
    <w:rsid w:val="00C8592E"/>
    <w:rsid w:val="00C864B0"/>
    <w:rsid w:val="00C87AC2"/>
    <w:rsid w:val="00C908AA"/>
    <w:rsid w:val="00C930A4"/>
    <w:rsid w:val="00C93275"/>
    <w:rsid w:val="00C937D2"/>
    <w:rsid w:val="00C942F1"/>
    <w:rsid w:val="00C94829"/>
    <w:rsid w:val="00C9616C"/>
    <w:rsid w:val="00C96853"/>
    <w:rsid w:val="00C97E8E"/>
    <w:rsid w:val="00C97FC7"/>
    <w:rsid w:val="00CA0598"/>
    <w:rsid w:val="00CA129F"/>
    <w:rsid w:val="00CA14EF"/>
    <w:rsid w:val="00CA15A1"/>
    <w:rsid w:val="00CA17C8"/>
    <w:rsid w:val="00CA27D6"/>
    <w:rsid w:val="00CA2A04"/>
    <w:rsid w:val="00CA35F6"/>
    <w:rsid w:val="00CA4224"/>
    <w:rsid w:val="00CA435B"/>
    <w:rsid w:val="00CA6422"/>
    <w:rsid w:val="00CA6D13"/>
    <w:rsid w:val="00CA7555"/>
    <w:rsid w:val="00CA7F0F"/>
    <w:rsid w:val="00CA7FF3"/>
    <w:rsid w:val="00CB0FCE"/>
    <w:rsid w:val="00CB13CF"/>
    <w:rsid w:val="00CB1F8E"/>
    <w:rsid w:val="00CB2226"/>
    <w:rsid w:val="00CB3865"/>
    <w:rsid w:val="00CB51C8"/>
    <w:rsid w:val="00CB5385"/>
    <w:rsid w:val="00CB6189"/>
    <w:rsid w:val="00CC056C"/>
    <w:rsid w:val="00CC05A4"/>
    <w:rsid w:val="00CC2A00"/>
    <w:rsid w:val="00CC3A29"/>
    <w:rsid w:val="00CC3B42"/>
    <w:rsid w:val="00CC3D99"/>
    <w:rsid w:val="00CC3DA6"/>
    <w:rsid w:val="00CC478E"/>
    <w:rsid w:val="00CC483C"/>
    <w:rsid w:val="00CC5249"/>
    <w:rsid w:val="00CC52EE"/>
    <w:rsid w:val="00CC5888"/>
    <w:rsid w:val="00CC5F17"/>
    <w:rsid w:val="00CC66A1"/>
    <w:rsid w:val="00CC6A6D"/>
    <w:rsid w:val="00CC6D2A"/>
    <w:rsid w:val="00CC6F2A"/>
    <w:rsid w:val="00CC73CC"/>
    <w:rsid w:val="00CD01A5"/>
    <w:rsid w:val="00CD08FE"/>
    <w:rsid w:val="00CD0E83"/>
    <w:rsid w:val="00CD199C"/>
    <w:rsid w:val="00CD1D1A"/>
    <w:rsid w:val="00CD214C"/>
    <w:rsid w:val="00CD233F"/>
    <w:rsid w:val="00CD375F"/>
    <w:rsid w:val="00CD3B14"/>
    <w:rsid w:val="00CE02BC"/>
    <w:rsid w:val="00CE0865"/>
    <w:rsid w:val="00CE0DD4"/>
    <w:rsid w:val="00CE254C"/>
    <w:rsid w:val="00CE31AB"/>
    <w:rsid w:val="00CE3355"/>
    <w:rsid w:val="00CE39D6"/>
    <w:rsid w:val="00CE3BDA"/>
    <w:rsid w:val="00CE6595"/>
    <w:rsid w:val="00CE790A"/>
    <w:rsid w:val="00CF16CB"/>
    <w:rsid w:val="00CF24F1"/>
    <w:rsid w:val="00CF370E"/>
    <w:rsid w:val="00CF3E89"/>
    <w:rsid w:val="00CF4472"/>
    <w:rsid w:val="00CF48EB"/>
    <w:rsid w:val="00CF6C67"/>
    <w:rsid w:val="00CF78A1"/>
    <w:rsid w:val="00CF7CB3"/>
    <w:rsid w:val="00D0103F"/>
    <w:rsid w:val="00D01218"/>
    <w:rsid w:val="00D01E50"/>
    <w:rsid w:val="00D02454"/>
    <w:rsid w:val="00D03213"/>
    <w:rsid w:val="00D03309"/>
    <w:rsid w:val="00D07553"/>
    <w:rsid w:val="00D07E07"/>
    <w:rsid w:val="00D10231"/>
    <w:rsid w:val="00D10D52"/>
    <w:rsid w:val="00D1130A"/>
    <w:rsid w:val="00D12987"/>
    <w:rsid w:val="00D12BC2"/>
    <w:rsid w:val="00D16AB8"/>
    <w:rsid w:val="00D171AD"/>
    <w:rsid w:val="00D177F8"/>
    <w:rsid w:val="00D20836"/>
    <w:rsid w:val="00D2281C"/>
    <w:rsid w:val="00D23479"/>
    <w:rsid w:val="00D23CAF"/>
    <w:rsid w:val="00D2526B"/>
    <w:rsid w:val="00D26BF0"/>
    <w:rsid w:val="00D27520"/>
    <w:rsid w:val="00D27AB7"/>
    <w:rsid w:val="00D30351"/>
    <w:rsid w:val="00D313AC"/>
    <w:rsid w:val="00D33505"/>
    <w:rsid w:val="00D33995"/>
    <w:rsid w:val="00D33A7F"/>
    <w:rsid w:val="00D3542F"/>
    <w:rsid w:val="00D35DDD"/>
    <w:rsid w:val="00D37329"/>
    <w:rsid w:val="00D40BB5"/>
    <w:rsid w:val="00D4101B"/>
    <w:rsid w:val="00D41315"/>
    <w:rsid w:val="00D4182E"/>
    <w:rsid w:val="00D42A75"/>
    <w:rsid w:val="00D42AEB"/>
    <w:rsid w:val="00D43219"/>
    <w:rsid w:val="00D441BA"/>
    <w:rsid w:val="00D45CC0"/>
    <w:rsid w:val="00D46017"/>
    <w:rsid w:val="00D464A3"/>
    <w:rsid w:val="00D47E9F"/>
    <w:rsid w:val="00D51927"/>
    <w:rsid w:val="00D5198A"/>
    <w:rsid w:val="00D5282E"/>
    <w:rsid w:val="00D53242"/>
    <w:rsid w:val="00D544FA"/>
    <w:rsid w:val="00D549EA"/>
    <w:rsid w:val="00D54F16"/>
    <w:rsid w:val="00D5553A"/>
    <w:rsid w:val="00D55E29"/>
    <w:rsid w:val="00D56F2F"/>
    <w:rsid w:val="00D57B31"/>
    <w:rsid w:val="00D605A7"/>
    <w:rsid w:val="00D60F69"/>
    <w:rsid w:val="00D616A5"/>
    <w:rsid w:val="00D6190B"/>
    <w:rsid w:val="00D61D22"/>
    <w:rsid w:val="00D62191"/>
    <w:rsid w:val="00D62EB9"/>
    <w:rsid w:val="00D637A2"/>
    <w:rsid w:val="00D63C56"/>
    <w:rsid w:val="00D63CD5"/>
    <w:rsid w:val="00D64898"/>
    <w:rsid w:val="00D650E0"/>
    <w:rsid w:val="00D659A9"/>
    <w:rsid w:val="00D65B7C"/>
    <w:rsid w:val="00D66057"/>
    <w:rsid w:val="00D6613B"/>
    <w:rsid w:val="00D67336"/>
    <w:rsid w:val="00D726DC"/>
    <w:rsid w:val="00D736B0"/>
    <w:rsid w:val="00D74AA8"/>
    <w:rsid w:val="00D74EB3"/>
    <w:rsid w:val="00D76013"/>
    <w:rsid w:val="00D771B6"/>
    <w:rsid w:val="00D77C32"/>
    <w:rsid w:val="00D80EE0"/>
    <w:rsid w:val="00D81068"/>
    <w:rsid w:val="00D81885"/>
    <w:rsid w:val="00D82886"/>
    <w:rsid w:val="00D8324C"/>
    <w:rsid w:val="00D835CE"/>
    <w:rsid w:val="00D8458B"/>
    <w:rsid w:val="00D85AC1"/>
    <w:rsid w:val="00D864DE"/>
    <w:rsid w:val="00D86B94"/>
    <w:rsid w:val="00D877D3"/>
    <w:rsid w:val="00D87B23"/>
    <w:rsid w:val="00D87BE4"/>
    <w:rsid w:val="00D87E07"/>
    <w:rsid w:val="00D900A4"/>
    <w:rsid w:val="00D90D10"/>
    <w:rsid w:val="00D9199F"/>
    <w:rsid w:val="00D92BD7"/>
    <w:rsid w:val="00D93D51"/>
    <w:rsid w:val="00D93E18"/>
    <w:rsid w:val="00D943EA"/>
    <w:rsid w:val="00D94547"/>
    <w:rsid w:val="00D94C98"/>
    <w:rsid w:val="00D9577B"/>
    <w:rsid w:val="00D95789"/>
    <w:rsid w:val="00D95805"/>
    <w:rsid w:val="00D95DEA"/>
    <w:rsid w:val="00D960D7"/>
    <w:rsid w:val="00D9669A"/>
    <w:rsid w:val="00D968A6"/>
    <w:rsid w:val="00DA012E"/>
    <w:rsid w:val="00DA0BB8"/>
    <w:rsid w:val="00DA0C8E"/>
    <w:rsid w:val="00DA2B39"/>
    <w:rsid w:val="00DA3105"/>
    <w:rsid w:val="00DA47EB"/>
    <w:rsid w:val="00DA4D2B"/>
    <w:rsid w:val="00DA5FA9"/>
    <w:rsid w:val="00DA6117"/>
    <w:rsid w:val="00DB0A42"/>
    <w:rsid w:val="00DB1678"/>
    <w:rsid w:val="00DB3272"/>
    <w:rsid w:val="00DB3805"/>
    <w:rsid w:val="00DB39E6"/>
    <w:rsid w:val="00DB3E64"/>
    <w:rsid w:val="00DB3FFB"/>
    <w:rsid w:val="00DB4729"/>
    <w:rsid w:val="00DB48F7"/>
    <w:rsid w:val="00DB5C43"/>
    <w:rsid w:val="00DB621A"/>
    <w:rsid w:val="00DB6243"/>
    <w:rsid w:val="00DB7C38"/>
    <w:rsid w:val="00DB7CA7"/>
    <w:rsid w:val="00DB7F23"/>
    <w:rsid w:val="00DC120C"/>
    <w:rsid w:val="00DC1B2D"/>
    <w:rsid w:val="00DC2A49"/>
    <w:rsid w:val="00DC314E"/>
    <w:rsid w:val="00DC3391"/>
    <w:rsid w:val="00DC5021"/>
    <w:rsid w:val="00DC5286"/>
    <w:rsid w:val="00DC5828"/>
    <w:rsid w:val="00DC5B3F"/>
    <w:rsid w:val="00DC60DF"/>
    <w:rsid w:val="00DC6C93"/>
    <w:rsid w:val="00DC7FF8"/>
    <w:rsid w:val="00DD0780"/>
    <w:rsid w:val="00DD14B9"/>
    <w:rsid w:val="00DD1B6C"/>
    <w:rsid w:val="00DD2EEE"/>
    <w:rsid w:val="00DD440C"/>
    <w:rsid w:val="00DD4429"/>
    <w:rsid w:val="00DD4AA4"/>
    <w:rsid w:val="00DD558D"/>
    <w:rsid w:val="00DD56BE"/>
    <w:rsid w:val="00DD5C08"/>
    <w:rsid w:val="00DD6047"/>
    <w:rsid w:val="00DE2AD2"/>
    <w:rsid w:val="00DE2F77"/>
    <w:rsid w:val="00DE5EF2"/>
    <w:rsid w:val="00DE6250"/>
    <w:rsid w:val="00DE7904"/>
    <w:rsid w:val="00DF05C0"/>
    <w:rsid w:val="00DF0881"/>
    <w:rsid w:val="00DF10F6"/>
    <w:rsid w:val="00DF1BF9"/>
    <w:rsid w:val="00DF1D2C"/>
    <w:rsid w:val="00DF1D90"/>
    <w:rsid w:val="00DF20E3"/>
    <w:rsid w:val="00DF3FD0"/>
    <w:rsid w:val="00DF51B9"/>
    <w:rsid w:val="00DF581A"/>
    <w:rsid w:val="00DF6FA9"/>
    <w:rsid w:val="00DF70AA"/>
    <w:rsid w:val="00DF7190"/>
    <w:rsid w:val="00E015FF"/>
    <w:rsid w:val="00E01BEF"/>
    <w:rsid w:val="00E0257E"/>
    <w:rsid w:val="00E02C40"/>
    <w:rsid w:val="00E02EB9"/>
    <w:rsid w:val="00E02F3A"/>
    <w:rsid w:val="00E03AB4"/>
    <w:rsid w:val="00E03AC7"/>
    <w:rsid w:val="00E03D51"/>
    <w:rsid w:val="00E0413D"/>
    <w:rsid w:val="00E04C9D"/>
    <w:rsid w:val="00E0507B"/>
    <w:rsid w:val="00E05121"/>
    <w:rsid w:val="00E05F97"/>
    <w:rsid w:val="00E066D6"/>
    <w:rsid w:val="00E07557"/>
    <w:rsid w:val="00E1049A"/>
    <w:rsid w:val="00E106D7"/>
    <w:rsid w:val="00E10FB3"/>
    <w:rsid w:val="00E1382E"/>
    <w:rsid w:val="00E1383D"/>
    <w:rsid w:val="00E15C49"/>
    <w:rsid w:val="00E164E6"/>
    <w:rsid w:val="00E17B2A"/>
    <w:rsid w:val="00E200A7"/>
    <w:rsid w:val="00E20B2C"/>
    <w:rsid w:val="00E20BFD"/>
    <w:rsid w:val="00E227B5"/>
    <w:rsid w:val="00E228F2"/>
    <w:rsid w:val="00E22AFD"/>
    <w:rsid w:val="00E24276"/>
    <w:rsid w:val="00E24377"/>
    <w:rsid w:val="00E245F4"/>
    <w:rsid w:val="00E25531"/>
    <w:rsid w:val="00E2582B"/>
    <w:rsid w:val="00E2583E"/>
    <w:rsid w:val="00E26F96"/>
    <w:rsid w:val="00E276A0"/>
    <w:rsid w:val="00E2790B"/>
    <w:rsid w:val="00E30758"/>
    <w:rsid w:val="00E3091B"/>
    <w:rsid w:val="00E30D81"/>
    <w:rsid w:val="00E321E4"/>
    <w:rsid w:val="00E322C5"/>
    <w:rsid w:val="00E34818"/>
    <w:rsid w:val="00E34940"/>
    <w:rsid w:val="00E35D44"/>
    <w:rsid w:val="00E362F5"/>
    <w:rsid w:val="00E362FF"/>
    <w:rsid w:val="00E36C11"/>
    <w:rsid w:val="00E373B4"/>
    <w:rsid w:val="00E40D7E"/>
    <w:rsid w:val="00E412BB"/>
    <w:rsid w:val="00E41BC6"/>
    <w:rsid w:val="00E449DB"/>
    <w:rsid w:val="00E45CF4"/>
    <w:rsid w:val="00E46CAD"/>
    <w:rsid w:val="00E4712B"/>
    <w:rsid w:val="00E47A49"/>
    <w:rsid w:val="00E5123F"/>
    <w:rsid w:val="00E54036"/>
    <w:rsid w:val="00E558E2"/>
    <w:rsid w:val="00E5683E"/>
    <w:rsid w:val="00E57057"/>
    <w:rsid w:val="00E57F30"/>
    <w:rsid w:val="00E60C10"/>
    <w:rsid w:val="00E62D38"/>
    <w:rsid w:val="00E6327C"/>
    <w:rsid w:val="00E671BC"/>
    <w:rsid w:val="00E67234"/>
    <w:rsid w:val="00E6763B"/>
    <w:rsid w:val="00E7007F"/>
    <w:rsid w:val="00E70F99"/>
    <w:rsid w:val="00E7111D"/>
    <w:rsid w:val="00E72800"/>
    <w:rsid w:val="00E733D6"/>
    <w:rsid w:val="00E762A7"/>
    <w:rsid w:val="00E76490"/>
    <w:rsid w:val="00E7667C"/>
    <w:rsid w:val="00E768AF"/>
    <w:rsid w:val="00E7769B"/>
    <w:rsid w:val="00E805A2"/>
    <w:rsid w:val="00E8308D"/>
    <w:rsid w:val="00E8313E"/>
    <w:rsid w:val="00E8393C"/>
    <w:rsid w:val="00E83999"/>
    <w:rsid w:val="00E85535"/>
    <w:rsid w:val="00E8555A"/>
    <w:rsid w:val="00E8612D"/>
    <w:rsid w:val="00E863F8"/>
    <w:rsid w:val="00E868A3"/>
    <w:rsid w:val="00E86A14"/>
    <w:rsid w:val="00E86D6E"/>
    <w:rsid w:val="00E86DC4"/>
    <w:rsid w:val="00E86F23"/>
    <w:rsid w:val="00E8749D"/>
    <w:rsid w:val="00E877EB"/>
    <w:rsid w:val="00E901F0"/>
    <w:rsid w:val="00E90E1C"/>
    <w:rsid w:val="00E93647"/>
    <w:rsid w:val="00E93673"/>
    <w:rsid w:val="00E93F39"/>
    <w:rsid w:val="00E94504"/>
    <w:rsid w:val="00E94A7F"/>
    <w:rsid w:val="00E9541C"/>
    <w:rsid w:val="00E9553E"/>
    <w:rsid w:val="00E9578B"/>
    <w:rsid w:val="00E96824"/>
    <w:rsid w:val="00E96D4A"/>
    <w:rsid w:val="00EA0AD9"/>
    <w:rsid w:val="00EA0B1A"/>
    <w:rsid w:val="00EA0C65"/>
    <w:rsid w:val="00EA0ED2"/>
    <w:rsid w:val="00EA1158"/>
    <w:rsid w:val="00EA150E"/>
    <w:rsid w:val="00EA1711"/>
    <w:rsid w:val="00EA2F2D"/>
    <w:rsid w:val="00EA3534"/>
    <w:rsid w:val="00EA3A6E"/>
    <w:rsid w:val="00EA482D"/>
    <w:rsid w:val="00EA521C"/>
    <w:rsid w:val="00EA5435"/>
    <w:rsid w:val="00EA5AC0"/>
    <w:rsid w:val="00EA612E"/>
    <w:rsid w:val="00EA63C8"/>
    <w:rsid w:val="00EA7974"/>
    <w:rsid w:val="00EA7B14"/>
    <w:rsid w:val="00EA7CC3"/>
    <w:rsid w:val="00EB037C"/>
    <w:rsid w:val="00EB10BB"/>
    <w:rsid w:val="00EB113F"/>
    <w:rsid w:val="00EB26C4"/>
    <w:rsid w:val="00EB501C"/>
    <w:rsid w:val="00EB59A6"/>
    <w:rsid w:val="00EB7976"/>
    <w:rsid w:val="00EC03EE"/>
    <w:rsid w:val="00EC08EB"/>
    <w:rsid w:val="00EC09C1"/>
    <w:rsid w:val="00EC2A73"/>
    <w:rsid w:val="00EC37DC"/>
    <w:rsid w:val="00EC44A5"/>
    <w:rsid w:val="00EC44B6"/>
    <w:rsid w:val="00EC4834"/>
    <w:rsid w:val="00EC4D32"/>
    <w:rsid w:val="00EC6606"/>
    <w:rsid w:val="00EC66D2"/>
    <w:rsid w:val="00EC6A06"/>
    <w:rsid w:val="00EC73E5"/>
    <w:rsid w:val="00EC7582"/>
    <w:rsid w:val="00ED15EF"/>
    <w:rsid w:val="00ED379F"/>
    <w:rsid w:val="00ED3968"/>
    <w:rsid w:val="00ED3BC2"/>
    <w:rsid w:val="00ED47CE"/>
    <w:rsid w:val="00ED4805"/>
    <w:rsid w:val="00ED5DCD"/>
    <w:rsid w:val="00ED655E"/>
    <w:rsid w:val="00ED6572"/>
    <w:rsid w:val="00ED67F3"/>
    <w:rsid w:val="00ED7919"/>
    <w:rsid w:val="00EE08DC"/>
    <w:rsid w:val="00EE40D9"/>
    <w:rsid w:val="00EE48F3"/>
    <w:rsid w:val="00EE4B0B"/>
    <w:rsid w:val="00EE52AA"/>
    <w:rsid w:val="00EE5439"/>
    <w:rsid w:val="00EE579E"/>
    <w:rsid w:val="00EE5F16"/>
    <w:rsid w:val="00EE6874"/>
    <w:rsid w:val="00EE6E47"/>
    <w:rsid w:val="00EE6E59"/>
    <w:rsid w:val="00EE6EEF"/>
    <w:rsid w:val="00EF0612"/>
    <w:rsid w:val="00EF1473"/>
    <w:rsid w:val="00EF232D"/>
    <w:rsid w:val="00EF408F"/>
    <w:rsid w:val="00EF58CC"/>
    <w:rsid w:val="00EF639D"/>
    <w:rsid w:val="00EF6426"/>
    <w:rsid w:val="00EF6A52"/>
    <w:rsid w:val="00EF7EAF"/>
    <w:rsid w:val="00F0088F"/>
    <w:rsid w:val="00F0118E"/>
    <w:rsid w:val="00F016D4"/>
    <w:rsid w:val="00F03092"/>
    <w:rsid w:val="00F031AF"/>
    <w:rsid w:val="00F03687"/>
    <w:rsid w:val="00F03C25"/>
    <w:rsid w:val="00F04B2C"/>
    <w:rsid w:val="00F05064"/>
    <w:rsid w:val="00F05CDD"/>
    <w:rsid w:val="00F0617D"/>
    <w:rsid w:val="00F077CE"/>
    <w:rsid w:val="00F07A3E"/>
    <w:rsid w:val="00F12497"/>
    <w:rsid w:val="00F1271E"/>
    <w:rsid w:val="00F13BB0"/>
    <w:rsid w:val="00F13E5D"/>
    <w:rsid w:val="00F14EF5"/>
    <w:rsid w:val="00F20ACF"/>
    <w:rsid w:val="00F20EE5"/>
    <w:rsid w:val="00F21212"/>
    <w:rsid w:val="00F216C9"/>
    <w:rsid w:val="00F21A30"/>
    <w:rsid w:val="00F22153"/>
    <w:rsid w:val="00F222FF"/>
    <w:rsid w:val="00F238BF"/>
    <w:rsid w:val="00F23C2D"/>
    <w:rsid w:val="00F23DB3"/>
    <w:rsid w:val="00F2429E"/>
    <w:rsid w:val="00F2727D"/>
    <w:rsid w:val="00F2731A"/>
    <w:rsid w:val="00F27E67"/>
    <w:rsid w:val="00F300E8"/>
    <w:rsid w:val="00F303C4"/>
    <w:rsid w:val="00F30FEF"/>
    <w:rsid w:val="00F310A2"/>
    <w:rsid w:val="00F31B99"/>
    <w:rsid w:val="00F32011"/>
    <w:rsid w:val="00F32A47"/>
    <w:rsid w:val="00F33551"/>
    <w:rsid w:val="00F3472D"/>
    <w:rsid w:val="00F35C1B"/>
    <w:rsid w:val="00F366AA"/>
    <w:rsid w:val="00F37053"/>
    <w:rsid w:val="00F41028"/>
    <w:rsid w:val="00F41336"/>
    <w:rsid w:val="00F42566"/>
    <w:rsid w:val="00F43B55"/>
    <w:rsid w:val="00F43FD5"/>
    <w:rsid w:val="00F44E23"/>
    <w:rsid w:val="00F451E8"/>
    <w:rsid w:val="00F46998"/>
    <w:rsid w:val="00F469E0"/>
    <w:rsid w:val="00F47750"/>
    <w:rsid w:val="00F50840"/>
    <w:rsid w:val="00F513E1"/>
    <w:rsid w:val="00F51F49"/>
    <w:rsid w:val="00F52E3F"/>
    <w:rsid w:val="00F5567F"/>
    <w:rsid w:val="00F55C32"/>
    <w:rsid w:val="00F5651D"/>
    <w:rsid w:val="00F565C3"/>
    <w:rsid w:val="00F56B8F"/>
    <w:rsid w:val="00F57221"/>
    <w:rsid w:val="00F573E6"/>
    <w:rsid w:val="00F5745B"/>
    <w:rsid w:val="00F57D6B"/>
    <w:rsid w:val="00F60E43"/>
    <w:rsid w:val="00F61E4C"/>
    <w:rsid w:val="00F622B4"/>
    <w:rsid w:val="00F6365A"/>
    <w:rsid w:val="00F6590F"/>
    <w:rsid w:val="00F66C08"/>
    <w:rsid w:val="00F67092"/>
    <w:rsid w:val="00F67FD8"/>
    <w:rsid w:val="00F7034D"/>
    <w:rsid w:val="00F709A1"/>
    <w:rsid w:val="00F71E51"/>
    <w:rsid w:val="00F71F6D"/>
    <w:rsid w:val="00F71FB7"/>
    <w:rsid w:val="00F72173"/>
    <w:rsid w:val="00F72522"/>
    <w:rsid w:val="00F72C23"/>
    <w:rsid w:val="00F7306F"/>
    <w:rsid w:val="00F7310D"/>
    <w:rsid w:val="00F73CA5"/>
    <w:rsid w:val="00F74182"/>
    <w:rsid w:val="00F74402"/>
    <w:rsid w:val="00F75828"/>
    <w:rsid w:val="00F765E3"/>
    <w:rsid w:val="00F76638"/>
    <w:rsid w:val="00F770EE"/>
    <w:rsid w:val="00F777DF"/>
    <w:rsid w:val="00F8076D"/>
    <w:rsid w:val="00F82075"/>
    <w:rsid w:val="00F823BF"/>
    <w:rsid w:val="00F826F5"/>
    <w:rsid w:val="00F82CD6"/>
    <w:rsid w:val="00F8335E"/>
    <w:rsid w:val="00F841E7"/>
    <w:rsid w:val="00F848F3"/>
    <w:rsid w:val="00F857E9"/>
    <w:rsid w:val="00F8735A"/>
    <w:rsid w:val="00F874CD"/>
    <w:rsid w:val="00F90F2F"/>
    <w:rsid w:val="00F914F0"/>
    <w:rsid w:val="00F918C8"/>
    <w:rsid w:val="00F9197F"/>
    <w:rsid w:val="00F91AB9"/>
    <w:rsid w:val="00F91EE0"/>
    <w:rsid w:val="00F92834"/>
    <w:rsid w:val="00F92C91"/>
    <w:rsid w:val="00F9338C"/>
    <w:rsid w:val="00F935C8"/>
    <w:rsid w:val="00F93DF0"/>
    <w:rsid w:val="00F948FB"/>
    <w:rsid w:val="00F94BF5"/>
    <w:rsid w:val="00F9530E"/>
    <w:rsid w:val="00F96E55"/>
    <w:rsid w:val="00F979B5"/>
    <w:rsid w:val="00FA0BD3"/>
    <w:rsid w:val="00FA168E"/>
    <w:rsid w:val="00FA2904"/>
    <w:rsid w:val="00FA32D4"/>
    <w:rsid w:val="00FA3ACC"/>
    <w:rsid w:val="00FA489C"/>
    <w:rsid w:val="00FA497C"/>
    <w:rsid w:val="00FA5549"/>
    <w:rsid w:val="00FA6886"/>
    <w:rsid w:val="00FA7119"/>
    <w:rsid w:val="00FA7324"/>
    <w:rsid w:val="00FB01DE"/>
    <w:rsid w:val="00FB021D"/>
    <w:rsid w:val="00FB0FAF"/>
    <w:rsid w:val="00FB108C"/>
    <w:rsid w:val="00FB3021"/>
    <w:rsid w:val="00FB31C8"/>
    <w:rsid w:val="00FB3676"/>
    <w:rsid w:val="00FB44DF"/>
    <w:rsid w:val="00FB4555"/>
    <w:rsid w:val="00FB5FA5"/>
    <w:rsid w:val="00FB6991"/>
    <w:rsid w:val="00FB71CD"/>
    <w:rsid w:val="00FB7316"/>
    <w:rsid w:val="00FB7579"/>
    <w:rsid w:val="00FB78C2"/>
    <w:rsid w:val="00FC0312"/>
    <w:rsid w:val="00FC0346"/>
    <w:rsid w:val="00FC0418"/>
    <w:rsid w:val="00FC066F"/>
    <w:rsid w:val="00FC191F"/>
    <w:rsid w:val="00FC1DB4"/>
    <w:rsid w:val="00FC1E9B"/>
    <w:rsid w:val="00FC3349"/>
    <w:rsid w:val="00FC38BD"/>
    <w:rsid w:val="00FC4C0A"/>
    <w:rsid w:val="00FC5929"/>
    <w:rsid w:val="00FC6022"/>
    <w:rsid w:val="00FC62EC"/>
    <w:rsid w:val="00FC6962"/>
    <w:rsid w:val="00FD0771"/>
    <w:rsid w:val="00FD232F"/>
    <w:rsid w:val="00FD2492"/>
    <w:rsid w:val="00FD265E"/>
    <w:rsid w:val="00FD4DA4"/>
    <w:rsid w:val="00FD4DD9"/>
    <w:rsid w:val="00FD5231"/>
    <w:rsid w:val="00FD5BE2"/>
    <w:rsid w:val="00FD5EDA"/>
    <w:rsid w:val="00FD63E4"/>
    <w:rsid w:val="00FD65B5"/>
    <w:rsid w:val="00FE1596"/>
    <w:rsid w:val="00FE1D81"/>
    <w:rsid w:val="00FE2AA6"/>
    <w:rsid w:val="00FE2AF3"/>
    <w:rsid w:val="00FE2C16"/>
    <w:rsid w:val="00FE3FCE"/>
    <w:rsid w:val="00FE406B"/>
    <w:rsid w:val="00FE50FF"/>
    <w:rsid w:val="00FE54AC"/>
    <w:rsid w:val="00FE7DD7"/>
    <w:rsid w:val="00FF0457"/>
    <w:rsid w:val="00FF0CAD"/>
    <w:rsid w:val="00FF20EE"/>
    <w:rsid w:val="00FF28CE"/>
    <w:rsid w:val="00FF418E"/>
    <w:rsid w:val="00FF471D"/>
    <w:rsid w:val="00FF4BAD"/>
    <w:rsid w:val="00FF56EC"/>
    <w:rsid w:val="00FF5720"/>
    <w:rsid w:val="00FF5B47"/>
    <w:rsid w:val="00FF6068"/>
    <w:rsid w:val="00FF6343"/>
    <w:rsid w:val="00FF7536"/>
    <w:rsid w:val="00FF7A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6F38"/>
  <w15:chartTrackingRefBased/>
  <w15:docId w15:val="{E5231D00-ACB6-4447-86D0-CCD69570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ACF"/>
    <w:pPr>
      <w:spacing w:after="240" w:line="360" w:lineRule="atLeast"/>
      <w:jc w:val="both"/>
    </w:pPr>
  </w:style>
  <w:style w:type="paragraph" w:styleId="Heading1">
    <w:name w:val="heading 1"/>
    <w:basedOn w:val="Normal"/>
    <w:next w:val="Normal"/>
    <w:link w:val="Heading1Char"/>
    <w:uiPriority w:val="9"/>
    <w:qFormat/>
    <w:rsid w:val="00974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36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744ACF"/>
    <w:rPr>
      <w:rFonts w:ascii="AvantGarde Md BT" w:hAnsi="AvantGarde Md BT" w:hint="default"/>
      <w:b/>
      <w:bCs w:val="0"/>
      <w:spacing w:val="14"/>
      <w:sz w:val="20"/>
    </w:rPr>
  </w:style>
  <w:style w:type="paragraph" w:styleId="ListParagraph">
    <w:name w:val="List Paragraph"/>
    <w:basedOn w:val="Normal"/>
    <w:uiPriority w:val="34"/>
    <w:qFormat/>
    <w:rsid w:val="00744ACF"/>
    <w:pPr>
      <w:ind w:left="720"/>
      <w:contextualSpacing/>
    </w:pPr>
  </w:style>
  <w:style w:type="character" w:styleId="Hyperlink">
    <w:name w:val="Hyperlink"/>
    <w:rsid w:val="00744ACF"/>
    <w:rPr>
      <w:color w:val="000080"/>
      <w:u w:val="single"/>
    </w:rPr>
  </w:style>
  <w:style w:type="character" w:customStyle="1" w:styleId="UnresolvedMention1">
    <w:name w:val="Unresolved Mention1"/>
    <w:basedOn w:val="DefaultParagraphFont"/>
    <w:uiPriority w:val="99"/>
    <w:semiHidden/>
    <w:unhideWhenUsed/>
    <w:rsid w:val="00F32A47"/>
    <w:rPr>
      <w:color w:val="605E5C"/>
      <w:shd w:val="clear" w:color="auto" w:fill="E1DFDD"/>
    </w:rPr>
  </w:style>
  <w:style w:type="paragraph" w:styleId="Header">
    <w:name w:val="header"/>
    <w:basedOn w:val="Normal"/>
    <w:link w:val="HeaderChar"/>
    <w:uiPriority w:val="99"/>
    <w:unhideWhenUsed/>
    <w:rsid w:val="00465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AFD"/>
    <w:rPr>
      <w:rFonts w:ascii="Arial" w:eastAsia="Times New Roman" w:hAnsi="Arial" w:cs="Times New Roman"/>
      <w:sz w:val="20"/>
      <w:szCs w:val="20"/>
      <w:lang w:val="en-GB" w:eastAsia="en-GB"/>
    </w:rPr>
  </w:style>
  <w:style w:type="paragraph" w:styleId="Footer">
    <w:name w:val="footer"/>
    <w:basedOn w:val="Normal"/>
    <w:link w:val="FooterChar"/>
    <w:uiPriority w:val="99"/>
    <w:unhideWhenUsed/>
    <w:rsid w:val="00465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AFD"/>
    <w:rPr>
      <w:rFonts w:ascii="Arial" w:eastAsia="Times New Roman" w:hAnsi="Arial" w:cs="Times New Roman"/>
      <w:sz w:val="20"/>
      <w:szCs w:val="20"/>
      <w:lang w:val="en-GB" w:eastAsia="en-GB"/>
    </w:rPr>
  </w:style>
  <w:style w:type="paragraph" w:styleId="FootnoteText">
    <w:name w:val="footnote text"/>
    <w:basedOn w:val="Normal"/>
    <w:link w:val="FootnoteTextChar"/>
    <w:uiPriority w:val="99"/>
    <w:unhideWhenUsed/>
    <w:rsid w:val="004512AF"/>
    <w:pPr>
      <w:spacing w:after="0" w:line="240" w:lineRule="auto"/>
    </w:pPr>
  </w:style>
  <w:style w:type="character" w:customStyle="1" w:styleId="FootnoteTextChar">
    <w:name w:val="Footnote Text Char"/>
    <w:basedOn w:val="DefaultParagraphFont"/>
    <w:link w:val="FootnoteText"/>
    <w:uiPriority w:val="99"/>
    <w:rsid w:val="004512AF"/>
    <w:rPr>
      <w:rFonts w:ascii="Arial" w:eastAsia="Times New Roman" w:hAnsi="Arial" w:cs="Times New Roman"/>
      <w:sz w:val="20"/>
      <w:szCs w:val="20"/>
      <w:lang w:val="en-GB" w:eastAsia="en-GB"/>
    </w:rPr>
  </w:style>
  <w:style w:type="character" w:styleId="FootnoteReference">
    <w:name w:val="footnote reference"/>
    <w:basedOn w:val="DefaultParagraphFont"/>
    <w:uiPriority w:val="99"/>
    <w:unhideWhenUsed/>
    <w:rsid w:val="004512AF"/>
    <w:rPr>
      <w:vertAlign w:val="superscript"/>
    </w:rPr>
  </w:style>
  <w:style w:type="paragraph" w:styleId="BodyText">
    <w:name w:val="Body Text"/>
    <w:basedOn w:val="Normal"/>
    <w:link w:val="BodyTextChar"/>
    <w:uiPriority w:val="1"/>
    <w:qFormat/>
    <w:rsid w:val="003A0E2B"/>
    <w:pPr>
      <w:autoSpaceDE w:val="0"/>
      <w:autoSpaceDN w:val="0"/>
      <w:adjustRightInd w:val="0"/>
      <w:spacing w:after="0" w:line="240" w:lineRule="auto"/>
      <w:ind w:left="40"/>
      <w:jc w:val="left"/>
    </w:pPr>
    <w:rPr>
      <w:sz w:val="25"/>
      <w:szCs w:val="25"/>
    </w:rPr>
  </w:style>
  <w:style w:type="character" w:customStyle="1" w:styleId="BodyTextChar">
    <w:name w:val="Body Text Char"/>
    <w:basedOn w:val="DefaultParagraphFont"/>
    <w:link w:val="BodyText"/>
    <w:uiPriority w:val="1"/>
    <w:rsid w:val="003A0E2B"/>
    <w:rPr>
      <w:rFonts w:ascii="Arial" w:hAnsi="Arial" w:cs="Arial"/>
      <w:sz w:val="25"/>
      <w:szCs w:val="25"/>
    </w:rPr>
  </w:style>
  <w:style w:type="paragraph" w:customStyle="1" w:styleId="lg-para3">
    <w:name w:val="lg-para3"/>
    <w:basedOn w:val="Normal"/>
    <w:rsid w:val="00C209CF"/>
    <w:pPr>
      <w:spacing w:before="100" w:beforeAutospacing="1" w:after="100" w:afterAutospacing="1" w:line="240" w:lineRule="auto"/>
      <w:jc w:val="left"/>
    </w:pPr>
    <w:rPr>
      <w:rFonts w:ascii="Times New Roman" w:hAnsi="Times New Roman"/>
      <w:lang w:eastAsia="en-ZA"/>
    </w:rPr>
  </w:style>
  <w:style w:type="paragraph" w:customStyle="1" w:styleId="lg-a-1">
    <w:name w:val="lg-a-1"/>
    <w:basedOn w:val="Normal"/>
    <w:rsid w:val="00C209CF"/>
    <w:pPr>
      <w:spacing w:before="100" w:beforeAutospacing="1" w:after="100" w:afterAutospacing="1" w:line="240" w:lineRule="auto"/>
      <w:jc w:val="left"/>
    </w:pPr>
    <w:rPr>
      <w:rFonts w:ascii="Times New Roman" w:hAnsi="Times New Roman"/>
      <w:lang w:eastAsia="en-ZA"/>
    </w:rPr>
  </w:style>
  <w:style w:type="character" w:customStyle="1" w:styleId="Heading1Char">
    <w:name w:val="Heading 1 Char"/>
    <w:basedOn w:val="DefaultParagraphFont"/>
    <w:link w:val="Heading1"/>
    <w:uiPriority w:val="9"/>
    <w:rsid w:val="0097424B"/>
    <w:rPr>
      <w:rFonts w:asciiTheme="majorHAnsi" w:eastAsiaTheme="majorEastAsia" w:hAnsiTheme="majorHAnsi" w:cstheme="majorBidi"/>
      <w:color w:val="2F5496" w:themeColor="accent1" w:themeShade="BF"/>
      <w:sz w:val="32"/>
      <w:szCs w:val="32"/>
      <w:lang w:val="en-GB" w:eastAsia="en-GB"/>
    </w:rPr>
  </w:style>
  <w:style w:type="paragraph" w:styleId="TOCHeading">
    <w:name w:val="TOC Heading"/>
    <w:basedOn w:val="Heading1"/>
    <w:next w:val="Normal"/>
    <w:uiPriority w:val="39"/>
    <w:unhideWhenUsed/>
    <w:qFormat/>
    <w:rsid w:val="0097424B"/>
    <w:pPr>
      <w:spacing w:line="259" w:lineRule="auto"/>
      <w:jc w:val="left"/>
      <w:outlineLvl w:val="9"/>
    </w:pPr>
    <w:rPr>
      <w:lang w:val="en-US"/>
    </w:rPr>
  </w:style>
  <w:style w:type="table" w:styleId="TableGrid">
    <w:name w:val="Table Grid"/>
    <w:basedOn w:val="TableNormal"/>
    <w:uiPriority w:val="39"/>
    <w:rsid w:val="00544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1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7C3"/>
    <w:rPr>
      <w:rFonts w:ascii="Segoe UI" w:eastAsia="Times New Roman" w:hAnsi="Segoe UI" w:cs="Segoe UI"/>
      <w:sz w:val="18"/>
      <w:szCs w:val="18"/>
      <w:lang w:val="en-GB" w:eastAsia="en-GB"/>
    </w:rPr>
  </w:style>
  <w:style w:type="paragraph" w:styleId="Revision">
    <w:name w:val="Revision"/>
    <w:hidden/>
    <w:uiPriority w:val="99"/>
    <w:semiHidden/>
    <w:rsid w:val="00A3502F"/>
    <w:pPr>
      <w:spacing w:after="0" w:line="240" w:lineRule="auto"/>
    </w:pPr>
    <w:rPr>
      <w:rFonts w:eastAsia="Times New Roman" w:cs="Times New Roman"/>
      <w:sz w:val="20"/>
      <w:szCs w:val="20"/>
      <w:lang w:val="en-GB" w:eastAsia="en-GB"/>
    </w:rPr>
  </w:style>
  <w:style w:type="paragraph" w:styleId="Title">
    <w:name w:val="Title"/>
    <w:basedOn w:val="Normal"/>
    <w:link w:val="TitleChar"/>
    <w:qFormat/>
    <w:rsid w:val="00EA5AC0"/>
    <w:pPr>
      <w:spacing w:after="0" w:line="240" w:lineRule="auto"/>
      <w:jc w:val="center"/>
    </w:pPr>
    <w:rPr>
      <w:rFonts w:ascii="Book Antiqua" w:hAnsi="Book Antiqua"/>
      <w:b/>
    </w:rPr>
  </w:style>
  <w:style w:type="character" w:customStyle="1" w:styleId="TitleChar">
    <w:name w:val="Title Char"/>
    <w:basedOn w:val="DefaultParagraphFont"/>
    <w:link w:val="Title"/>
    <w:rsid w:val="00EA5AC0"/>
    <w:rPr>
      <w:rFonts w:ascii="Book Antiqua" w:eastAsia="Times New Roman" w:hAnsi="Book Antiqua" w:cs="Times New Roman"/>
      <w:b/>
      <w:sz w:val="24"/>
      <w:szCs w:val="20"/>
    </w:rPr>
  </w:style>
  <w:style w:type="paragraph" w:styleId="BodyText3">
    <w:name w:val="Body Text 3"/>
    <w:basedOn w:val="Normal"/>
    <w:link w:val="BodyText3Char"/>
    <w:uiPriority w:val="99"/>
    <w:unhideWhenUsed/>
    <w:rsid w:val="00EA5AC0"/>
    <w:pPr>
      <w:spacing w:after="120"/>
    </w:pPr>
    <w:rPr>
      <w:sz w:val="16"/>
      <w:szCs w:val="16"/>
    </w:rPr>
  </w:style>
  <w:style w:type="character" w:customStyle="1" w:styleId="BodyText3Char">
    <w:name w:val="Body Text 3 Char"/>
    <w:basedOn w:val="DefaultParagraphFont"/>
    <w:link w:val="BodyText3"/>
    <w:uiPriority w:val="99"/>
    <w:rsid w:val="00EA5AC0"/>
    <w:rPr>
      <w:rFonts w:ascii="Arial" w:eastAsia="Times New Roman" w:hAnsi="Arial" w:cs="Times New Roman"/>
      <w:sz w:val="16"/>
      <w:szCs w:val="16"/>
      <w:lang w:val="en-GB" w:eastAsia="en-GB"/>
    </w:rPr>
  </w:style>
  <w:style w:type="character" w:customStyle="1" w:styleId="UnresolvedMention">
    <w:name w:val="Unresolved Mention"/>
    <w:basedOn w:val="DefaultParagraphFont"/>
    <w:uiPriority w:val="99"/>
    <w:semiHidden/>
    <w:unhideWhenUsed/>
    <w:rsid w:val="00EB7976"/>
    <w:rPr>
      <w:color w:val="605E5C"/>
      <w:shd w:val="clear" w:color="auto" w:fill="E1DFDD"/>
    </w:rPr>
  </w:style>
  <w:style w:type="character" w:customStyle="1" w:styleId="Heading2Char">
    <w:name w:val="Heading 2 Char"/>
    <w:basedOn w:val="DefaultParagraphFont"/>
    <w:link w:val="Heading2"/>
    <w:uiPriority w:val="9"/>
    <w:rsid w:val="00103625"/>
    <w:rPr>
      <w:rFonts w:asciiTheme="majorHAnsi" w:eastAsiaTheme="majorEastAsia" w:hAnsiTheme="majorHAnsi" w:cstheme="majorBidi"/>
      <w:color w:val="2F5496" w:themeColor="accent1" w:themeShade="BF"/>
      <w:sz w:val="26"/>
      <w:szCs w:val="26"/>
      <w:lang w:val="en-GB" w:eastAsia="en-GB"/>
    </w:rPr>
  </w:style>
  <w:style w:type="paragraph" w:styleId="EndnoteText">
    <w:name w:val="endnote text"/>
    <w:basedOn w:val="Normal"/>
    <w:link w:val="EndnoteTextChar"/>
    <w:uiPriority w:val="99"/>
    <w:semiHidden/>
    <w:unhideWhenUsed/>
    <w:rsid w:val="00DF05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05C0"/>
    <w:rPr>
      <w:sz w:val="20"/>
      <w:szCs w:val="20"/>
    </w:rPr>
  </w:style>
  <w:style w:type="character" w:styleId="EndnoteReference">
    <w:name w:val="endnote reference"/>
    <w:basedOn w:val="DefaultParagraphFont"/>
    <w:uiPriority w:val="99"/>
    <w:semiHidden/>
    <w:unhideWhenUsed/>
    <w:rsid w:val="00DF0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281">
      <w:bodyDiv w:val="1"/>
      <w:marLeft w:val="0"/>
      <w:marRight w:val="0"/>
      <w:marTop w:val="0"/>
      <w:marBottom w:val="0"/>
      <w:divBdr>
        <w:top w:val="none" w:sz="0" w:space="0" w:color="auto"/>
        <w:left w:val="none" w:sz="0" w:space="0" w:color="auto"/>
        <w:bottom w:val="none" w:sz="0" w:space="0" w:color="auto"/>
        <w:right w:val="none" w:sz="0" w:space="0" w:color="auto"/>
      </w:divBdr>
    </w:div>
    <w:div w:id="56632129">
      <w:bodyDiv w:val="1"/>
      <w:marLeft w:val="0"/>
      <w:marRight w:val="0"/>
      <w:marTop w:val="0"/>
      <w:marBottom w:val="0"/>
      <w:divBdr>
        <w:top w:val="none" w:sz="0" w:space="0" w:color="auto"/>
        <w:left w:val="none" w:sz="0" w:space="0" w:color="auto"/>
        <w:bottom w:val="none" w:sz="0" w:space="0" w:color="auto"/>
        <w:right w:val="none" w:sz="0" w:space="0" w:color="auto"/>
      </w:divBdr>
    </w:div>
    <w:div w:id="257300382">
      <w:bodyDiv w:val="1"/>
      <w:marLeft w:val="0"/>
      <w:marRight w:val="0"/>
      <w:marTop w:val="0"/>
      <w:marBottom w:val="0"/>
      <w:divBdr>
        <w:top w:val="none" w:sz="0" w:space="0" w:color="auto"/>
        <w:left w:val="none" w:sz="0" w:space="0" w:color="auto"/>
        <w:bottom w:val="none" w:sz="0" w:space="0" w:color="auto"/>
        <w:right w:val="none" w:sz="0" w:space="0" w:color="auto"/>
      </w:divBdr>
    </w:div>
    <w:div w:id="549809560">
      <w:bodyDiv w:val="1"/>
      <w:marLeft w:val="0"/>
      <w:marRight w:val="0"/>
      <w:marTop w:val="0"/>
      <w:marBottom w:val="0"/>
      <w:divBdr>
        <w:top w:val="none" w:sz="0" w:space="0" w:color="auto"/>
        <w:left w:val="none" w:sz="0" w:space="0" w:color="auto"/>
        <w:bottom w:val="none" w:sz="0" w:space="0" w:color="auto"/>
        <w:right w:val="none" w:sz="0" w:space="0" w:color="auto"/>
      </w:divBdr>
    </w:div>
    <w:div w:id="709495547">
      <w:bodyDiv w:val="1"/>
      <w:marLeft w:val="0"/>
      <w:marRight w:val="0"/>
      <w:marTop w:val="0"/>
      <w:marBottom w:val="0"/>
      <w:divBdr>
        <w:top w:val="none" w:sz="0" w:space="0" w:color="auto"/>
        <w:left w:val="none" w:sz="0" w:space="0" w:color="auto"/>
        <w:bottom w:val="none" w:sz="0" w:space="0" w:color="auto"/>
        <w:right w:val="none" w:sz="0" w:space="0" w:color="auto"/>
      </w:divBdr>
    </w:div>
    <w:div w:id="956134906">
      <w:bodyDiv w:val="1"/>
      <w:marLeft w:val="0"/>
      <w:marRight w:val="0"/>
      <w:marTop w:val="0"/>
      <w:marBottom w:val="0"/>
      <w:divBdr>
        <w:top w:val="none" w:sz="0" w:space="0" w:color="auto"/>
        <w:left w:val="none" w:sz="0" w:space="0" w:color="auto"/>
        <w:bottom w:val="none" w:sz="0" w:space="0" w:color="auto"/>
        <w:right w:val="none" w:sz="0" w:space="0" w:color="auto"/>
      </w:divBdr>
    </w:div>
    <w:div w:id="160487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litigation@edjinc.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que@dudevill.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duvdevill.co.za" TargetMode="External"/><Relationship Id="rId5" Type="http://schemas.openxmlformats.org/officeDocument/2006/relationships/webSettings" Target="webSettings.xml"/><Relationship Id="rId15" Type="http://schemas.openxmlformats.org/officeDocument/2006/relationships/hyperlink" Target="mailto:jc@lomattorneys.co.za" TargetMode="External"/><Relationship Id="rId10" Type="http://schemas.openxmlformats.org/officeDocument/2006/relationships/hyperlink" Target="mailto:henry@selzerlaw.co.za" TargetMode="External"/><Relationship Id="rId4" Type="http://schemas.openxmlformats.org/officeDocument/2006/relationships/settings" Target="settings.xml"/><Relationship Id="rId9" Type="http://schemas.openxmlformats.org/officeDocument/2006/relationships/hyperlink" Target="http://www.mymticlub.com" TargetMode="External"/><Relationship Id="rId14" Type="http://schemas.openxmlformats.org/officeDocument/2006/relationships/hyperlink" Target="mailto:allisattorneys@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rs.gov.za/wp-content/uploads/IFWG-CAR-WG-Position-paper-on-crypto-ssets.pdf" TargetMode="External"/><Relationship Id="rId1" Type="http://schemas.openxmlformats.org/officeDocument/2006/relationships/hyperlink" Target="http://www.mymti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923C-3D6C-4102-A945-5E57E623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11992</Words>
  <Characters>68358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Van Rooyen</dc:creator>
  <cp:keywords/>
  <dc:description/>
  <cp:lastModifiedBy>Mokone</cp:lastModifiedBy>
  <cp:revision>3</cp:revision>
  <cp:lastPrinted>2023-04-27T09:32:00Z</cp:lastPrinted>
  <dcterms:created xsi:type="dcterms:W3CDTF">2023-05-03T06:56:00Z</dcterms:created>
  <dcterms:modified xsi:type="dcterms:W3CDTF">2023-05-03T07:04:00Z</dcterms:modified>
</cp:coreProperties>
</file>