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D2E" w:rsidRPr="00882339" w:rsidRDefault="00BA6D2E" w:rsidP="00BA6D2E">
      <w:pPr>
        <w:spacing w:after="0" w:line="240" w:lineRule="auto"/>
        <w:ind w:left="140"/>
        <w:jc w:val="center"/>
        <w:rPr>
          <w:rFonts w:ascii="Arial" w:eastAsia="Calibri" w:hAnsi="Arial" w:cs="Arial"/>
          <w:color w:val="000000"/>
          <w:sz w:val="24"/>
          <w:szCs w:val="24"/>
        </w:rPr>
      </w:pPr>
      <w:r w:rsidRPr="00882339">
        <w:rPr>
          <w:rFonts w:ascii="Arial" w:eastAsia="Calibri" w:hAnsi="Arial" w:cs="Arial"/>
          <w:noProof/>
          <w:color w:val="000000"/>
          <w:sz w:val="24"/>
          <w:szCs w:val="24"/>
        </w:rPr>
        <w:drawing>
          <wp:inline distT="0" distB="0" distL="0" distR="0" wp14:anchorId="4BC5E470" wp14:editId="01D96E83">
            <wp:extent cx="1362075" cy="12477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1362075" cy="1247775"/>
                    </a:xfrm>
                    <a:prstGeom prst="rect">
                      <a:avLst/>
                    </a:prstGeom>
                  </pic:spPr>
                </pic:pic>
              </a:graphicData>
            </a:graphic>
          </wp:inline>
        </w:drawing>
      </w:r>
    </w:p>
    <w:p w:rsidR="00BA6D2E" w:rsidRPr="00882339" w:rsidRDefault="00BA6D2E" w:rsidP="00BA6D2E">
      <w:pPr>
        <w:spacing w:after="0" w:line="360" w:lineRule="auto"/>
        <w:ind w:left="72" w:right="2" w:hanging="10"/>
        <w:jc w:val="center"/>
        <w:rPr>
          <w:rFonts w:ascii="Arial" w:eastAsia="Calibri" w:hAnsi="Arial" w:cs="Arial"/>
          <w:color w:val="000000"/>
          <w:sz w:val="24"/>
          <w:szCs w:val="24"/>
        </w:rPr>
      </w:pPr>
      <w:r w:rsidRPr="00882339">
        <w:rPr>
          <w:rFonts w:ascii="Arial" w:eastAsia="Arial" w:hAnsi="Arial" w:cs="Arial"/>
          <w:b/>
          <w:color w:val="000000"/>
          <w:sz w:val="24"/>
          <w:szCs w:val="24"/>
        </w:rPr>
        <w:t>IN THE HIGH COURT OF SOUTH AFRICA</w:t>
      </w:r>
    </w:p>
    <w:p w:rsidR="00BA6D2E" w:rsidRPr="00882339" w:rsidRDefault="00BA6D2E" w:rsidP="00BA6D2E">
      <w:pPr>
        <w:spacing w:after="0" w:line="360" w:lineRule="auto"/>
        <w:ind w:left="72" w:hanging="10"/>
        <w:jc w:val="center"/>
        <w:rPr>
          <w:rFonts w:ascii="Arial" w:eastAsia="Arial" w:hAnsi="Arial" w:cs="Arial"/>
          <w:b/>
          <w:color w:val="000000"/>
          <w:sz w:val="24"/>
          <w:szCs w:val="24"/>
        </w:rPr>
      </w:pPr>
      <w:r w:rsidRPr="00882339">
        <w:rPr>
          <w:rFonts w:ascii="Arial" w:eastAsia="Arial" w:hAnsi="Arial" w:cs="Arial"/>
          <w:b/>
          <w:color w:val="000000"/>
          <w:sz w:val="24"/>
          <w:szCs w:val="24"/>
        </w:rPr>
        <w:t>(WESTERN CAPE DIVISION, CAPE TOWN)</w:t>
      </w:r>
    </w:p>
    <w:p w:rsidR="00BA6D2E" w:rsidRPr="00882339" w:rsidRDefault="00BA6D2E" w:rsidP="002A37F0">
      <w:pPr>
        <w:spacing w:after="0" w:line="360" w:lineRule="auto"/>
        <w:ind w:left="72" w:hanging="10"/>
        <w:jc w:val="both"/>
        <w:rPr>
          <w:rFonts w:ascii="Arial" w:eastAsia="Arial" w:hAnsi="Arial" w:cs="Arial"/>
          <w:b/>
          <w:color w:val="000000"/>
          <w:sz w:val="24"/>
          <w:szCs w:val="24"/>
        </w:rPr>
      </w:pPr>
    </w:p>
    <w:p w:rsidR="00BA6D2E" w:rsidRDefault="00BA6D2E" w:rsidP="00BA6D2E">
      <w:pPr>
        <w:spacing w:after="0" w:line="480" w:lineRule="auto"/>
        <w:ind w:left="124"/>
        <w:jc w:val="right"/>
        <w:rPr>
          <w:rFonts w:ascii="Arial" w:eastAsia="Arial" w:hAnsi="Arial" w:cs="Arial"/>
          <w:b/>
          <w:color w:val="000000"/>
          <w:sz w:val="24"/>
          <w:szCs w:val="24"/>
        </w:rPr>
      </w:pPr>
      <w:r w:rsidRPr="00882339">
        <w:rPr>
          <w:rFonts w:ascii="Arial" w:eastAsia="Arial" w:hAnsi="Arial" w:cs="Arial"/>
          <w:b/>
          <w:color w:val="000000"/>
          <w:sz w:val="24"/>
          <w:szCs w:val="24"/>
        </w:rPr>
        <w:t xml:space="preserve">CASE NO: </w:t>
      </w:r>
      <w:r>
        <w:rPr>
          <w:rFonts w:ascii="Arial" w:eastAsia="Arial" w:hAnsi="Arial" w:cs="Arial"/>
          <w:b/>
          <w:color w:val="000000"/>
          <w:sz w:val="24"/>
          <w:szCs w:val="24"/>
        </w:rPr>
        <w:t>12310/2021</w:t>
      </w:r>
    </w:p>
    <w:p w:rsidR="00BA6D2E" w:rsidRPr="00882339" w:rsidRDefault="00BA6D2E" w:rsidP="00BA6D2E">
      <w:pPr>
        <w:spacing w:after="0" w:line="360" w:lineRule="auto"/>
        <w:ind w:left="124"/>
        <w:jc w:val="both"/>
        <w:rPr>
          <w:rFonts w:ascii="Arial" w:eastAsia="Calibri" w:hAnsi="Arial" w:cs="Arial"/>
          <w:color w:val="000000"/>
          <w:sz w:val="24"/>
          <w:szCs w:val="24"/>
        </w:rPr>
      </w:pPr>
    </w:p>
    <w:p w:rsidR="00BA6D2E" w:rsidRPr="00882339" w:rsidRDefault="00BA6D2E" w:rsidP="00BA6D2E">
      <w:pPr>
        <w:spacing w:after="0" w:line="480" w:lineRule="auto"/>
        <w:jc w:val="both"/>
        <w:rPr>
          <w:rFonts w:ascii="Arial" w:eastAsia="Arial" w:hAnsi="Arial" w:cs="Arial"/>
          <w:color w:val="000000"/>
          <w:sz w:val="24"/>
          <w:szCs w:val="24"/>
        </w:rPr>
      </w:pPr>
      <w:r>
        <w:rPr>
          <w:rFonts w:ascii="Arial" w:eastAsia="Arial" w:hAnsi="Arial" w:cs="Arial"/>
          <w:b/>
          <w:color w:val="000000"/>
          <w:sz w:val="24"/>
          <w:szCs w:val="24"/>
        </w:rPr>
        <w:t>KAAP AGRI BEDRYF LIMITED</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First Applicant</w:t>
      </w:r>
    </w:p>
    <w:p w:rsidR="00BA6D2E" w:rsidRPr="0020319E" w:rsidRDefault="00F3231F" w:rsidP="00BA6D2E">
      <w:pPr>
        <w:spacing w:after="0" w:line="480" w:lineRule="auto"/>
        <w:jc w:val="both"/>
        <w:rPr>
          <w:rFonts w:ascii="Arial" w:eastAsia="Calibri" w:hAnsi="Arial" w:cs="Arial"/>
          <w:color w:val="000000"/>
          <w:sz w:val="24"/>
          <w:szCs w:val="24"/>
        </w:rPr>
      </w:pPr>
      <w:r>
        <w:rPr>
          <w:rFonts w:ascii="Arial" w:eastAsia="Calibri" w:hAnsi="Arial" w:cs="Arial"/>
          <w:b/>
          <w:color w:val="000000"/>
          <w:sz w:val="24"/>
          <w:szCs w:val="24"/>
        </w:rPr>
        <w:t>TEGO PLASTICS PROPRIETARY LIMITED</w:t>
      </w:r>
      <w:r w:rsidR="00BA6D2E">
        <w:rPr>
          <w:rFonts w:ascii="Arial" w:eastAsia="Calibri" w:hAnsi="Arial" w:cs="Arial"/>
          <w:color w:val="000000"/>
          <w:sz w:val="24"/>
          <w:szCs w:val="24"/>
        </w:rPr>
        <w:tab/>
      </w:r>
      <w:r w:rsidR="00BA6D2E">
        <w:rPr>
          <w:rFonts w:ascii="Arial" w:eastAsia="Calibri" w:hAnsi="Arial" w:cs="Arial"/>
          <w:color w:val="000000"/>
          <w:sz w:val="24"/>
          <w:szCs w:val="24"/>
        </w:rPr>
        <w:tab/>
      </w:r>
      <w:r w:rsidR="00BA6D2E">
        <w:rPr>
          <w:rFonts w:ascii="Arial" w:eastAsia="Calibri" w:hAnsi="Arial" w:cs="Arial"/>
          <w:color w:val="000000"/>
          <w:sz w:val="24"/>
          <w:szCs w:val="24"/>
        </w:rPr>
        <w:tab/>
      </w:r>
      <w:r w:rsidR="00BA6D2E">
        <w:rPr>
          <w:rFonts w:ascii="Arial" w:eastAsia="Calibri" w:hAnsi="Arial" w:cs="Arial"/>
          <w:color w:val="000000"/>
          <w:sz w:val="24"/>
          <w:szCs w:val="24"/>
        </w:rPr>
        <w:tab/>
        <w:t xml:space="preserve">Second Applicant </w:t>
      </w:r>
    </w:p>
    <w:p w:rsidR="00BA6D2E" w:rsidRDefault="00BA6D2E" w:rsidP="002A37F0">
      <w:pPr>
        <w:spacing w:after="0" w:line="360" w:lineRule="auto"/>
        <w:jc w:val="both"/>
        <w:rPr>
          <w:rFonts w:ascii="Arial" w:eastAsia="Arial" w:hAnsi="Arial" w:cs="Arial"/>
          <w:color w:val="000000"/>
          <w:sz w:val="24"/>
          <w:szCs w:val="24"/>
        </w:rPr>
      </w:pPr>
    </w:p>
    <w:p w:rsidR="00BA6D2E" w:rsidRPr="00882339" w:rsidRDefault="00BA6D2E" w:rsidP="00BA6D2E">
      <w:pPr>
        <w:spacing w:after="0" w:line="480" w:lineRule="auto"/>
        <w:jc w:val="both"/>
        <w:rPr>
          <w:rFonts w:ascii="Arial" w:eastAsia="Arial" w:hAnsi="Arial" w:cs="Arial"/>
          <w:b/>
          <w:color w:val="000000"/>
          <w:sz w:val="24"/>
          <w:szCs w:val="24"/>
        </w:rPr>
      </w:pPr>
      <w:r w:rsidRPr="00882339">
        <w:rPr>
          <w:rFonts w:ascii="Arial" w:eastAsia="Arial" w:hAnsi="Arial" w:cs="Arial"/>
          <w:color w:val="000000"/>
          <w:sz w:val="24"/>
          <w:szCs w:val="24"/>
        </w:rPr>
        <w:t>and</w:t>
      </w:r>
      <w:r w:rsidRPr="00882339">
        <w:rPr>
          <w:rFonts w:ascii="Arial" w:eastAsia="Arial" w:hAnsi="Arial" w:cs="Arial"/>
          <w:b/>
          <w:color w:val="000000"/>
          <w:sz w:val="24"/>
          <w:szCs w:val="24"/>
        </w:rPr>
        <w:t xml:space="preserve"> </w:t>
      </w:r>
    </w:p>
    <w:p w:rsidR="00BA6D2E" w:rsidRPr="00882339" w:rsidRDefault="00BA6D2E" w:rsidP="002A37F0">
      <w:pPr>
        <w:spacing w:after="0" w:line="360" w:lineRule="auto"/>
        <w:jc w:val="both"/>
        <w:rPr>
          <w:rFonts w:ascii="Arial" w:eastAsia="Calibri" w:hAnsi="Arial" w:cs="Arial"/>
          <w:color w:val="000000"/>
          <w:sz w:val="24"/>
          <w:szCs w:val="24"/>
        </w:rPr>
      </w:pPr>
    </w:p>
    <w:p w:rsidR="00BA6D2E" w:rsidRDefault="00BA6D2E" w:rsidP="00BA6D2E">
      <w:pPr>
        <w:spacing w:after="0" w:line="480" w:lineRule="auto"/>
        <w:jc w:val="both"/>
        <w:rPr>
          <w:rFonts w:ascii="Arial" w:eastAsia="Arial" w:hAnsi="Arial" w:cs="Arial"/>
          <w:color w:val="000000"/>
          <w:sz w:val="24"/>
          <w:szCs w:val="24"/>
        </w:rPr>
      </w:pPr>
      <w:r>
        <w:rPr>
          <w:rFonts w:ascii="Arial" w:eastAsia="Arial" w:hAnsi="Arial" w:cs="Arial"/>
          <w:b/>
          <w:color w:val="000000"/>
          <w:sz w:val="24"/>
          <w:szCs w:val="24"/>
        </w:rPr>
        <w:t>MELAPLASTICS</w:t>
      </w:r>
      <w:r w:rsidR="00F3231F">
        <w:rPr>
          <w:rFonts w:ascii="Arial" w:eastAsia="Arial" w:hAnsi="Arial" w:cs="Arial"/>
          <w:b/>
          <w:color w:val="000000"/>
          <w:sz w:val="24"/>
          <w:szCs w:val="24"/>
        </w:rPr>
        <w:t xml:space="preserve"> PROPRIETARY LIMITED</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First Respondent</w:t>
      </w:r>
    </w:p>
    <w:p w:rsidR="00BA6D2E" w:rsidRDefault="00F3231F" w:rsidP="00BA6D2E">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ALBERT EDWARD SMITH</w:t>
      </w:r>
      <w:r>
        <w:rPr>
          <w:rFonts w:ascii="Arial" w:eastAsia="Arial" w:hAnsi="Arial" w:cs="Arial"/>
          <w:b/>
          <w:color w:val="000000"/>
          <w:sz w:val="24"/>
          <w:szCs w:val="24"/>
        </w:rPr>
        <w:tab/>
      </w:r>
      <w:r w:rsidR="00BA6D2E">
        <w:rPr>
          <w:rFonts w:ascii="Arial" w:eastAsia="Arial" w:hAnsi="Arial" w:cs="Arial"/>
          <w:b/>
          <w:color w:val="000000"/>
          <w:sz w:val="24"/>
          <w:szCs w:val="24"/>
        </w:rPr>
        <w:tab/>
      </w:r>
      <w:r w:rsidR="00BA6D2E">
        <w:rPr>
          <w:rFonts w:ascii="Arial" w:eastAsia="Arial" w:hAnsi="Arial" w:cs="Arial"/>
          <w:b/>
          <w:color w:val="000000"/>
          <w:sz w:val="24"/>
          <w:szCs w:val="24"/>
        </w:rPr>
        <w:tab/>
      </w:r>
      <w:r w:rsidR="00BA6D2E">
        <w:rPr>
          <w:rFonts w:ascii="Arial" w:eastAsia="Arial" w:hAnsi="Arial" w:cs="Arial"/>
          <w:b/>
          <w:color w:val="000000"/>
          <w:sz w:val="24"/>
          <w:szCs w:val="24"/>
        </w:rPr>
        <w:tab/>
      </w:r>
      <w:r w:rsidR="00BA6D2E">
        <w:rPr>
          <w:rFonts w:ascii="Arial" w:eastAsia="Arial" w:hAnsi="Arial" w:cs="Arial"/>
          <w:color w:val="000000"/>
          <w:sz w:val="24"/>
          <w:szCs w:val="24"/>
        </w:rPr>
        <w:tab/>
      </w:r>
      <w:r w:rsidR="00BA6D2E">
        <w:rPr>
          <w:rFonts w:ascii="Arial" w:eastAsia="Arial" w:hAnsi="Arial" w:cs="Arial"/>
          <w:color w:val="000000"/>
          <w:sz w:val="24"/>
          <w:szCs w:val="24"/>
        </w:rPr>
        <w:tab/>
        <w:t>Second Respondent</w:t>
      </w:r>
    </w:p>
    <w:p w:rsidR="00F3231F" w:rsidRDefault="00F3231F" w:rsidP="002A37F0">
      <w:pPr>
        <w:spacing w:after="0" w:line="360" w:lineRule="auto"/>
        <w:jc w:val="both"/>
        <w:rPr>
          <w:rFonts w:ascii="Arial" w:eastAsia="Arial" w:hAnsi="Arial" w:cs="Arial"/>
          <w:color w:val="000000"/>
          <w:sz w:val="24"/>
          <w:szCs w:val="24"/>
        </w:rPr>
      </w:pPr>
    </w:p>
    <w:p w:rsidR="00F3231F" w:rsidRDefault="00F3231F" w:rsidP="00BA6D2E">
      <w:pPr>
        <w:spacing w:after="0" w:line="276" w:lineRule="auto"/>
        <w:jc w:val="both"/>
        <w:rPr>
          <w:rFonts w:ascii="Arial" w:eastAsia="Arial" w:hAnsi="Arial" w:cs="Arial"/>
          <w:color w:val="000000"/>
          <w:sz w:val="24"/>
          <w:szCs w:val="24"/>
        </w:rPr>
      </w:pPr>
    </w:p>
    <w:p w:rsidR="00F3231F" w:rsidRDefault="00F3231F" w:rsidP="00BA6D2E">
      <w:pPr>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In re </w:t>
      </w:r>
      <w:r w:rsidRPr="00F3231F">
        <w:rPr>
          <w:rFonts w:ascii="Arial" w:eastAsia="Arial" w:hAnsi="Arial" w:cs="Arial"/>
          <w:color w:val="000000"/>
          <w:sz w:val="24"/>
          <w:szCs w:val="24"/>
        </w:rPr>
        <w:t>the action between</w:t>
      </w:r>
      <w:r>
        <w:rPr>
          <w:rFonts w:ascii="Arial" w:eastAsia="Arial" w:hAnsi="Arial" w:cs="Arial"/>
          <w:i/>
          <w:color w:val="000000"/>
          <w:sz w:val="24"/>
          <w:szCs w:val="24"/>
        </w:rPr>
        <w:t>:</w:t>
      </w:r>
    </w:p>
    <w:p w:rsidR="00F3231F" w:rsidRDefault="00F3231F" w:rsidP="002A37F0">
      <w:pPr>
        <w:spacing w:after="0" w:line="360" w:lineRule="auto"/>
        <w:jc w:val="both"/>
        <w:rPr>
          <w:rFonts w:ascii="Arial" w:eastAsia="Arial" w:hAnsi="Arial" w:cs="Arial"/>
          <w:i/>
          <w:color w:val="000000"/>
          <w:sz w:val="24"/>
          <w:szCs w:val="24"/>
        </w:rPr>
      </w:pPr>
    </w:p>
    <w:p w:rsidR="00F3231F" w:rsidRPr="00F3231F" w:rsidRDefault="00F3231F" w:rsidP="00F3231F">
      <w:pPr>
        <w:spacing w:after="0" w:line="276" w:lineRule="auto"/>
        <w:jc w:val="right"/>
        <w:rPr>
          <w:rFonts w:ascii="Arial" w:eastAsia="Arial" w:hAnsi="Arial" w:cs="Arial"/>
          <w:b/>
          <w:color w:val="000000"/>
          <w:sz w:val="24"/>
          <w:szCs w:val="24"/>
        </w:rPr>
      </w:pPr>
      <w:r w:rsidRPr="00F3231F">
        <w:rPr>
          <w:rFonts w:ascii="Arial" w:eastAsia="Arial" w:hAnsi="Arial" w:cs="Arial"/>
          <w:b/>
          <w:color w:val="000000"/>
          <w:sz w:val="24"/>
          <w:szCs w:val="24"/>
        </w:rPr>
        <w:t>Case No: 12310/2021</w:t>
      </w:r>
    </w:p>
    <w:p w:rsidR="00F3231F" w:rsidRDefault="00F3231F" w:rsidP="002A37F0">
      <w:pPr>
        <w:spacing w:after="0" w:line="360" w:lineRule="auto"/>
        <w:rPr>
          <w:rFonts w:ascii="Arial" w:eastAsia="Arial" w:hAnsi="Arial" w:cs="Arial"/>
          <w:color w:val="000000"/>
          <w:sz w:val="24"/>
          <w:szCs w:val="24"/>
        </w:rPr>
      </w:pPr>
    </w:p>
    <w:p w:rsidR="00F3231F" w:rsidRPr="00882339" w:rsidRDefault="00F3231F" w:rsidP="00F3231F">
      <w:pPr>
        <w:spacing w:after="0" w:line="480" w:lineRule="auto"/>
        <w:jc w:val="both"/>
        <w:rPr>
          <w:rFonts w:ascii="Arial" w:eastAsia="Arial" w:hAnsi="Arial" w:cs="Arial"/>
          <w:color w:val="000000"/>
          <w:sz w:val="24"/>
          <w:szCs w:val="24"/>
        </w:rPr>
      </w:pPr>
      <w:r>
        <w:rPr>
          <w:rFonts w:ascii="Arial" w:eastAsia="Arial" w:hAnsi="Arial" w:cs="Arial"/>
          <w:b/>
          <w:color w:val="000000"/>
          <w:sz w:val="24"/>
          <w:szCs w:val="24"/>
        </w:rPr>
        <w:t>KAAP AGRI BEDRYF LIMITED</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First Plaintiff</w:t>
      </w:r>
    </w:p>
    <w:p w:rsidR="00F3231F" w:rsidRPr="0020319E" w:rsidRDefault="00F3231F" w:rsidP="00F3231F">
      <w:pPr>
        <w:spacing w:after="0" w:line="480" w:lineRule="auto"/>
        <w:jc w:val="both"/>
        <w:rPr>
          <w:rFonts w:ascii="Arial" w:eastAsia="Calibri" w:hAnsi="Arial" w:cs="Arial"/>
          <w:color w:val="000000"/>
          <w:sz w:val="24"/>
          <w:szCs w:val="24"/>
        </w:rPr>
      </w:pPr>
      <w:r>
        <w:rPr>
          <w:rFonts w:ascii="Arial" w:eastAsia="Calibri" w:hAnsi="Arial" w:cs="Arial"/>
          <w:b/>
          <w:color w:val="000000"/>
          <w:sz w:val="24"/>
          <w:szCs w:val="24"/>
        </w:rPr>
        <w:t>TEGO PLASTICS PROPRIETARY LIMITED</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t>Second Plaintiff</w:t>
      </w:r>
    </w:p>
    <w:p w:rsidR="00F3231F" w:rsidRDefault="00F3231F" w:rsidP="002A37F0">
      <w:pPr>
        <w:spacing w:after="0" w:line="360" w:lineRule="auto"/>
        <w:jc w:val="both"/>
        <w:rPr>
          <w:rFonts w:ascii="Arial" w:eastAsia="Arial" w:hAnsi="Arial" w:cs="Arial"/>
          <w:color w:val="000000"/>
          <w:sz w:val="24"/>
          <w:szCs w:val="24"/>
        </w:rPr>
      </w:pPr>
    </w:p>
    <w:p w:rsidR="00F3231F" w:rsidRPr="00882339" w:rsidRDefault="00F3231F" w:rsidP="00F3231F">
      <w:pPr>
        <w:spacing w:after="0" w:line="480" w:lineRule="auto"/>
        <w:jc w:val="both"/>
        <w:rPr>
          <w:rFonts w:ascii="Arial" w:eastAsia="Arial" w:hAnsi="Arial" w:cs="Arial"/>
          <w:b/>
          <w:color w:val="000000"/>
          <w:sz w:val="24"/>
          <w:szCs w:val="24"/>
        </w:rPr>
      </w:pPr>
      <w:r w:rsidRPr="00882339">
        <w:rPr>
          <w:rFonts w:ascii="Arial" w:eastAsia="Arial" w:hAnsi="Arial" w:cs="Arial"/>
          <w:color w:val="000000"/>
          <w:sz w:val="24"/>
          <w:szCs w:val="24"/>
        </w:rPr>
        <w:t>and</w:t>
      </w:r>
      <w:r w:rsidRPr="00882339">
        <w:rPr>
          <w:rFonts w:ascii="Arial" w:eastAsia="Arial" w:hAnsi="Arial" w:cs="Arial"/>
          <w:b/>
          <w:color w:val="000000"/>
          <w:sz w:val="24"/>
          <w:szCs w:val="24"/>
        </w:rPr>
        <w:t xml:space="preserve"> </w:t>
      </w:r>
    </w:p>
    <w:p w:rsidR="00F3231F" w:rsidRPr="00882339" w:rsidRDefault="00F3231F" w:rsidP="002A37F0">
      <w:pPr>
        <w:spacing w:after="0" w:line="360" w:lineRule="auto"/>
        <w:jc w:val="both"/>
        <w:rPr>
          <w:rFonts w:ascii="Arial" w:eastAsia="Calibri" w:hAnsi="Arial" w:cs="Arial"/>
          <w:color w:val="000000"/>
          <w:sz w:val="24"/>
          <w:szCs w:val="24"/>
        </w:rPr>
      </w:pPr>
    </w:p>
    <w:p w:rsidR="00F3231F" w:rsidRDefault="00F3231F" w:rsidP="00F3231F">
      <w:pPr>
        <w:spacing w:after="0" w:line="480" w:lineRule="auto"/>
        <w:jc w:val="both"/>
        <w:rPr>
          <w:rFonts w:ascii="Arial" w:eastAsia="Arial" w:hAnsi="Arial" w:cs="Arial"/>
          <w:color w:val="000000"/>
          <w:sz w:val="24"/>
          <w:szCs w:val="24"/>
        </w:rPr>
      </w:pPr>
      <w:r>
        <w:rPr>
          <w:rFonts w:ascii="Arial" w:eastAsia="Arial" w:hAnsi="Arial" w:cs="Arial"/>
          <w:b/>
          <w:color w:val="000000"/>
          <w:sz w:val="24"/>
          <w:szCs w:val="24"/>
        </w:rPr>
        <w:t>MELAPLASTICS PROPRIETARY LIMITED</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First Defendant</w:t>
      </w:r>
    </w:p>
    <w:p w:rsidR="00F3231F" w:rsidRDefault="00F3231F" w:rsidP="00F3231F">
      <w:pP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ALBERT EDWARD SMITH</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Second Defendant</w:t>
      </w:r>
    </w:p>
    <w:p w:rsidR="00F3231F" w:rsidRPr="00F3231F" w:rsidRDefault="00F3231F" w:rsidP="002A37F0">
      <w:pPr>
        <w:spacing w:after="0" w:line="360" w:lineRule="auto"/>
        <w:rPr>
          <w:rFonts w:ascii="Arial" w:eastAsia="Arial" w:hAnsi="Arial" w:cs="Arial"/>
          <w:color w:val="000000"/>
          <w:sz w:val="24"/>
          <w:szCs w:val="24"/>
        </w:rPr>
      </w:pPr>
    </w:p>
    <w:p w:rsidR="00BA6D2E" w:rsidRPr="00882339" w:rsidRDefault="00BA6D2E" w:rsidP="002A37F0">
      <w:pPr>
        <w:tabs>
          <w:tab w:val="center" w:pos="4462"/>
          <w:tab w:val="center" w:pos="5183"/>
          <w:tab w:val="center" w:pos="5903"/>
          <w:tab w:val="right" w:pos="9247"/>
        </w:tabs>
        <w:spacing w:after="185" w:line="360" w:lineRule="auto"/>
        <w:jc w:val="both"/>
        <w:rPr>
          <w:rFonts w:ascii="Arial" w:eastAsia="Calibri" w:hAnsi="Arial" w:cs="Arial"/>
          <w:color w:val="000000"/>
          <w:sz w:val="24"/>
          <w:szCs w:val="24"/>
        </w:rPr>
      </w:pPr>
      <w:r w:rsidRPr="00882339">
        <w:rPr>
          <w:rFonts w:ascii="Arial" w:eastAsia="Arial" w:hAnsi="Arial" w:cs="Arial"/>
          <w:b/>
          <w:color w:val="000000"/>
          <w:sz w:val="24"/>
          <w:szCs w:val="24"/>
        </w:rPr>
        <w:t>______________________________________________________________________</w:t>
      </w:r>
    </w:p>
    <w:p w:rsidR="00BA6D2E" w:rsidRPr="00882339" w:rsidRDefault="00BA6D2E" w:rsidP="002A37F0">
      <w:pPr>
        <w:pBdr>
          <w:bottom w:val="single" w:sz="12" w:space="1" w:color="auto"/>
        </w:pBdr>
        <w:spacing w:after="0" w:line="360" w:lineRule="auto"/>
        <w:ind w:left="72" w:right="10" w:hanging="10"/>
        <w:jc w:val="center"/>
        <w:rPr>
          <w:rFonts w:ascii="Arial" w:eastAsia="Arial" w:hAnsi="Arial" w:cs="Arial"/>
          <w:b/>
          <w:color w:val="000000"/>
          <w:sz w:val="24"/>
          <w:szCs w:val="24"/>
        </w:rPr>
      </w:pPr>
      <w:r w:rsidRPr="00882339">
        <w:rPr>
          <w:rFonts w:ascii="Arial" w:eastAsia="Arial" w:hAnsi="Arial" w:cs="Arial"/>
          <w:b/>
          <w:color w:val="000000"/>
          <w:sz w:val="24"/>
          <w:szCs w:val="24"/>
        </w:rPr>
        <w:t>JUDGMENT</w:t>
      </w:r>
      <w:r>
        <w:rPr>
          <w:rFonts w:ascii="Arial" w:eastAsia="Arial" w:hAnsi="Arial" w:cs="Arial"/>
          <w:b/>
          <w:color w:val="000000"/>
          <w:sz w:val="24"/>
          <w:szCs w:val="24"/>
        </w:rPr>
        <w:t xml:space="preserve"> ELECTRONICALLY DELIVERED ON </w:t>
      </w:r>
      <w:r w:rsidR="00EA0958">
        <w:rPr>
          <w:rFonts w:ascii="Arial" w:eastAsia="Arial" w:hAnsi="Arial" w:cs="Arial"/>
          <w:b/>
          <w:color w:val="000000"/>
          <w:sz w:val="24"/>
          <w:szCs w:val="24"/>
        </w:rPr>
        <w:t>19</w:t>
      </w:r>
      <w:r>
        <w:rPr>
          <w:rFonts w:ascii="Arial" w:eastAsia="Arial" w:hAnsi="Arial" w:cs="Arial"/>
          <w:b/>
          <w:color w:val="000000"/>
          <w:sz w:val="24"/>
          <w:szCs w:val="24"/>
        </w:rPr>
        <w:t xml:space="preserve"> JANUARY 2023</w:t>
      </w:r>
    </w:p>
    <w:p w:rsidR="00BA6D2E" w:rsidRPr="00882339" w:rsidRDefault="00BA6D2E" w:rsidP="002A37F0">
      <w:pPr>
        <w:pBdr>
          <w:bottom w:val="single" w:sz="12" w:space="1" w:color="auto"/>
        </w:pBdr>
        <w:spacing w:after="0" w:line="360" w:lineRule="auto"/>
        <w:ind w:left="72" w:right="10" w:hanging="10"/>
        <w:jc w:val="center"/>
        <w:rPr>
          <w:rFonts w:ascii="Arial" w:eastAsia="Arial" w:hAnsi="Arial" w:cs="Arial"/>
          <w:b/>
          <w:color w:val="000000"/>
          <w:sz w:val="24"/>
          <w:szCs w:val="24"/>
        </w:rPr>
      </w:pPr>
    </w:p>
    <w:p w:rsidR="00652CB2" w:rsidRDefault="00652CB2" w:rsidP="00BA6D2E">
      <w:pPr>
        <w:spacing w:line="360" w:lineRule="auto"/>
        <w:jc w:val="both"/>
        <w:rPr>
          <w:rFonts w:ascii="Arial" w:hAnsi="Arial" w:cs="Arial"/>
          <w:b/>
          <w:sz w:val="24"/>
          <w:szCs w:val="24"/>
          <w:u w:val="single"/>
        </w:rPr>
      </w:pPr>
    </w:p>
    <w:p w:rsidR="00BA6D2E" w:rsidRPr="00BA6D2E" w:rsidRDefault="00BA6D2E" w:rsidP="00BA6D2E">
      <w:pPr>
        <w:spacing w:line="360" w:lineRule="auto"/>
        <w:jc w:val="both"/>
        <w:rPr>
          <w:rFonts w:ascii="Arial" w:hAnsi="Arial" w:cs="Arial"/>
          <w:b/>
          <w:sz w:val="24"/>
          <w:szCs w:val="24"/>
        </w:rPr>
      </w:pPr>
      <w:r w:rsidRPr="00F3231F">
        <w:rPr>
          <w:rFonts w:ascii="Arial" w:hAnsi="Arial" w:cs="Arial"/>
          <w:b/>
          <w:sz w:val="24"/>
          <w:szCs w:val="24"/>
          <w:u w:val="single"/>
        </w:rPr>
        <w:t>WATHEN-FALKEN, AJ</w:t>
      </w:r>
      <w:r w:rsidRPr="00BA6D2E">
        <w:rPr>
          <w:rFonts w:ascii="Arial" w:hAnsi="Arial" w:cs="Arial"/>
          <w:b/>
          <w:sz w:val="24"/>
          <w:szCs w:val="24"/>
        </w:rPr>
        <w:t>:</w:t>
      </w:r>
    </w:p>
    <w:p w:rsidR="00BA6D2E" w:rsidRDefault="00BA6D2E" w:rsidP="00BA6D2E">
      <w:pPr>
        <w:spacing w:line="360" w:lineRule="auto"/>
        <w:jc w:val="both"/>
        <w:rPr>
          <w:rFonts w:ascii="Arial" w:hAnsi="Arial" w:cs="Arial"/>
          <w:sz w:val="24"/>
          <w:szCs w:val="24"/>
        </w:rPr>
      </w:pPr>
    </w:p>
    <w:p w:rsidR="008F5145" w:rsidRPr="00F12153" w:rsidRDefault="00F12153" w:rsidP="00F12153">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FC028A" w:rsidRPr="00F12153">
        <w:rPr>
          <w:rFonts w:ascii="Arial" w:hAnsi="Arial" w:cs="Arial"/>
          <w:sz w:val="24"/>
          <w:szCs w:val="24"/>
        </w:rPr>
        <w:t>The Applicants seek leave to amend its particulars of clai</w:t>
      </w:r>
      <w:r w:rsidR="00C61F58" w:rsidRPr="00F12153">
        <w:rPr>
          <w:rFonts w:ascii="Arial" w:hAnsi="Arial" w:cs="Arial"/>
          <w:sz w:val="24"/>
          <w:szCs w:val="24"/>
        </w:rPr>
        <w:t>m. It is common cause that</w:t>
      </w:r>
      <w:r w:rsidR="00740ED7" w:rsidRPr="00F12153">
        <w:rPr>
          <w:rFonts w:ascii="Arial" w:hAnsi="Arial" w:cs="Arial"/>
          <w:sz w:val="24"/>
          <w:szCs w:val="24"/>
        </w:rPr>
        <w:t xml:space="preserve"> both</w:t>
      </w:r>
      <w:r w:rsidR="00C61F58" w:rsidRPr="00F12153">
        <w:rPr>
          <w:rFonts w:ascii="Arial" w:hAnsi="Arial" w:cs="Arial"/>
          <w:sz w:val="24"/>
          <w:szCs w:val="24"/>
        </w:rPr>
        <w:t xml:space="preserve"> the Applicants and </w:t>
      </w:r>
      <w:r w:rsidR="00740ED7" w:rsidRPr="00F12153">
        <w:rPr>
          <w:rFonts w:ascii="Arial" w:hAnsi="Arial" w:cs="Arial"/>
          <w:sz w:val="24"/>
          <w:szCs w:val="24"/>
        </w:rPr>
        <w:t xml:space="preserve">both the </w:t>
      </w:r>
      <w:r w:rsidR="00C61F58" w:rsidRPr="00F12153">
        <w:rPr>
          <w:rFonts w:ascii="Arial" w:hAnsi="Arial" w:cs="Arial"/>
          <w:sz w:val="24"/>
          <w:szCs w:val="24"/>
        </w:rPr>
        <w:t>R</w:t>
      </w:r>
      <w:r w:rsidR="00FC028A" w:rsidRPr="00F12153">
        <w:rPr>
          <w:rFonts w:ascii="Arial" w:hAnsi="Arial" w:cs="Arial"/>
          <w:sz w:val="24"/>
          <w:szCs w:val="24"/>
        </w:rPr>
        <w:t xml:space="preserve">espondents concluded a bouquet of agreements which created a variety of legal obligations between them. </w:t>
      </w:r>
      <w:r w:rsidR="000D5862" w:rsidRPr="00F12153">
        <w:rPr>
          <w:rFonts w:ascii="Arial" w:hAnsi="Arial" w:cs="Arial"/>
          <w:sz w:val="24"/>
          <w:szCs w:val="24"/>
        </w:rPr>
        <w:t>These include a licencing agreement, consulting agreement, request for pro</w:t>
      </w:r>
      <w:r w:rsidR="00F21F04" w:rsidRPr="00F12153">
        <w:rPr>
          <w:rFonts w:ascii="Arial" w:hAnsi="Arial" w:cs="Arial"/>
          <w:sz w:val="24"/>
          <w:szCs w:val="24"/>
        </w:rPr>
        <w:t xml:space="preserve">posal </w:t>
      </w:r>
      <w:r w:rsidR="00757832" w:rsidRPr="00F12153">
        <w:rPr>
          <w:rFonts w:ascii="Arial" w:hAnsi="Arial" w:cs="Arial"/>
          <w:sz w:val="24"/>
          <w:szCs w:val="24"/>
        </w:rPr>
        <w:t>employer’s</w:t>
      </w:r>
      <w:r w:rsidR="00F21F04" w:rsidRPr="00F12153">
        <w:rPr>
          <w:rFonts w:ascii="Arial" w:hAnsi="Arial" w:cs="Arial"/>
          <w:sz w:val="24"/>
          <w:szCs w:val="24"/>
        </w:rPr>
        <w:t xml:space="preserve"> requirements and an employment</w:t>
      </w:r>
      <w:r w:rsidR="000D5862" w:rsidRPr="00F12153">
        <w:rPr>
          <w:rFonts w:ascii="Arial" w:hAnsi="Arial" w:cs="Arial"/>
          <w:sz w:val="24"/>
          <w:szCs w:val="24"/>
        </w:rPr>
        <w:t xml:space="preserve"> agreement</w:t>
      </w:r>
      <w:r w:rsidR="00655884" w:rsidRPr="00F12153">
        <w:rPr>
          <w:rFonts w:ascii="Arial" w:hAnsi="Arial" w:cs="Arial"/>
          <w:sz w:val="24"/>
          <w:szCs w:val="24"/>
        </w:rPr>
        <w:t>, all of which hold</w:t>
      </w:r>
      <w:r w:rsidR="00F21F04" w:rsidRPr="00F12153">
        <w:rPr>
          <w:rFonts w:ascii="Arial" w:hAnsi="Arial" w:cs="Arial"/>
          <w:sz w:val="24"/>
          <w:szCs w:val="24"/>
        </w:rPr>
        <w:t xml:space="preserve"> relevance to the purpose of the contractual relationships</w:t>
      </w:r>
      <w:r w:rsidR="002A37F0" w:rsidRPr="00F12153">
        <w:rPr>
          <w:rFonts w:ascii="Arial" w:hAnsi="Arial" w:cs="Arial"/>
          <w:sz w:val="24"/>
          <w:szCs w:val="24"/>
        </w:rPr>
        <w:t xml:space="preserve"> initially</w:t>
      </w:r>
      <w:r w:rsidR="00F21F04" w:rsidRPr="00F12153">
        <w:rPr>
          <w:rFonts w:ascii="Arial" w:hAnsi="Arial" w:cs="Arial"/>
          <w:sz w:val="24"/>
          <w:szCs w:val="24"/>
        </w:rPr>
        <w:t xml:space="preserve"> formed for the production of bulk plastic container bins.</w:t>
      </w:r>
      <w:r w:rsidR="00655884" w:rsidRPr="00F12153">
        <w:rPr>
          <w:rFonts w:ascii="Arial" w:hAnsi="Arial" w:cs="Arial"/>
          <w:sz w:val="24"/>
          <w:szCs w:val="24"/>
        </w:rPr>
        <w:t xml:space="preserve"> </w:t>
      </w:r>
    </w:p>
    <w:p w:rsidR="00BA6D2E" w:rsidRDefault="00BA6D2E" w:rsidP="00BA6D2E">
      <w:pPr>
        <w:pStyle w:val="ListParagraph"/>
        <w:spacing w:line="360" w:lineRule="auto"/>
        <w:jc w:val="both"/>
        <w:rPr>
          <w:rFonts w:ascii="Arial" w:hAnsi="Arial" w:cs="Arial"/>
          <w:sz w:val="24"/>
          <w:szCs w:val="24"/>
        </w:rPr>
      </w:pPr>
    </w:p>
    <w:p w:rsidR="00FC028A" w:rsidRPr="00F12153" w:rsidRDefault="00F12153" w:rsidP="00F12153">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BA6D2E" w:rsidRPr="00F12153">
        <w:rPr>
          <w:rFonts w:ascii="Arial" w:hAnsi="Arial" w:cs="Arial"/>
          <w:sz w:val="24"/>
          <w:szCs w:val="24"/>
        </w:rPr>
        <w:t xml:space="preserve">The </w:t>
      </w:r>
      <w:r w:rsidR="00B04D22" w:rsidRPr="00F12153">
        <w:rPr>
          <w:rFonts w:ascii="Arial" w:hAnsi="Arial" w:cs="Arial"/>
          <w:sz w:val="24"/>
          <w:szCs w:val="24"/>
        </w:rPr>
        <w:t>particulars of claim</w:t>
      </w:r>
      <w:r w:rsidR="005C30FD" w:rsidRPr="00BA6D2E">
        <w:rPr>
          <w:rStyle w:val="FootnoteReference"/>
          <w:rFonts w:ascii="Arial" w:hAnsi="Arial" w:cs="Arial"/>
          <w:sz w:val="24"/>
          <w:szCs w:val="24"/>
        </w:rPr>
        <w:footnoteReference w:id="1"/>
      </w:r>
      <w:r w:rsidR="00B04D22" w:rsidRPr="00F12153">
        <w:rPr>
          <w:rFonts w:ascii="Arial" w:hAnsi="Arial" w:cs="Arial"/>
          <w:sz w:val="24"/>
          <w:szCs w:val="24"/>
        </w:rPr>
        <w:t xml:space="preserve"> and the proposed amended particulars of claim set out </w:t>
      </w:r>
      <w:r w:rsidR="00655884" w:rsidRPr="00F12153">
        <w:rPr>
          <w:rFonts w:ascii="Arial" w:hAnsi="Arial" w:cs="Arial"/>
          <w:sz w:val="24"/>
          <w:szCs w:val="24"/>
        </w:rPr>
        <w:t>in broad</w:t>
      </w:r>
      <w:bookmarkStart w:id="0" w:name="_GoBack"/>
      <w:bookmarkEnd w:id="0"/>
      <w:r w:rsidR="00655884" w:rsidRPr="00F12153">
        <w:rPr>
          <w:rFonts w:ascii="Arial" w:hAnsi="Arial" w:cs="Arial"/>
          <w:sz w:val="24"/>
          <w:szCs w:val="24"/>
        </w:rPr>
        <w:t xml:space="preserve"> terms </w:t>
      </w:r>
      <w:r w:rsidR="00B04D22" w:rsidRPr="00F12153">
        <w:rPr>
          <w:rFonts w:ascii="Arial" w:hAnsi="Arial" w:cs="Arial"/>
          <w:sz w:val="24"/>
          <w:szCs w:val="24"/>
        </w:rPr>
        <w:t xml:space="preserve">the cause </w:t>
      </w:r>
      <w:r w:rsidR="00655884" w:rsidRPr="00F12153">
        <w:rPr>
          <w:rFonts w:ascii="Arial" w:hAnsi="Arial" w:cs="Arial"/>
          <w:sz w:val="24"/>
          <w:szCs w:val="24"/>
        </w:rPr>
        <w:t>of action for damages in the alternative.</w:t>
      </w:r>
    </w:p>
    <w:p w:rsidR="00BA6D2E" w:rsidRPr="00BA6D2E" w:rsidRDefault="00BA6D2E" w:rsidP="00652CB2">
      <w:pPr>
        <w:pStyle w:val="ListParagraph"/>
        <w:spacing w:line="360" w:lineRule="auto"/>
        <w:rPr>
          <w:rFonts w:ascii="Arial" w:hAnsi="Arial" w:cs="Arial"/>
          <w:sz w:val="24"/>
          <w:szCs w:val="24"/>
        </w:rPr>
      </w:pPr>
    </w:p>
    <w:p w:rsidR="00FC028A" w:rsidRPr="00F12153" w:rsidRDefault="00F12153" w:rsidP="00F12153">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BA6D2E" w:rsidRPr="00F12153">
        <w:rPr>
          <w:rFonts w:ascii="Arial" w:hAnsi="Arial" w:cs="Arial"/>
          <w:sz w:val="24"/>
          <w:szCs w:val="24"/>
        </w:rPr>
        <w:t xml:space="preserve">The </w:t>
      </w:r>
      <w:r w:rsidR="00775360" w:rsidRPr="00F12153">
        <w:rPr>
          <w:rFonts w:ascii="Arial" w:hAnsi="Arial" w:cs="Arial"/>
          <w:sz w:val="24"/>
          <w:szCs w:val="24"/>
        </w:rPr>
        <w:t>cause of action is for damages rooted in one of three alternative breaches of agreement:</w:t>
      </w:r>
    </w:p>
    <w:p w:rsidR="00BA6D2E" w:rsidRPr="00BA6D2E" w:rsidRDefault="00BA6D2E" w:rsidP="00652CB2">
      <w:pPr>
        <w:pStyle w:val="ListParagraph"/>
        <w:spacing w:line="360" w:lineRule="auto"/>
        <w:rPr>
          <w:rFonts w:ascii="Arial" w:hAnsi="Arial" w:cs="Arial"/>
          <w:sz w:val="24"/>
          <w:szCs w:val="24"/>
        </w:rPr>
      </w:pPr>
    </w:p>
    <w:p w:rsidR="00BA6D2E" w:rsidRPr="00F12153" w:rsidRDefault="00F12153" w:rsidP="00F12153">
      <w:pPr>
        <w:spacing w:line="360" w:lineRule="auto"/>
        <w:ind w:left="144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BA6D2E" w:rsidRPr="00F12153">
        <w:rPr>
          <w:rFonts w:ascii="Arial" w:hAnsi="Arial" w:cs="Arial"/>
          <w:sz w:val="24"/>
          <w:szCs w:val="24"/>
        </w:rPr>
        <w:t xml:space="preserve">Claim </w:t>
      </w:r>
      <w:r w:rsidR="00757832" w:rsidRPr="00F12153">
        <w:rPr>
          <w:rFonts w:ascii="Arial" w:hAnsi="Arial" w:cs="Arial"/>
          <w:sz w:val="24"/>
          <w:szCs w:val="24"/>
        </w:rPr>
        <w:t>1:</w:t>
      </w:r>
      <w:r w:rsidR="00BA6D2E" w:rsidRPr="00F12153">
        <w:rPr>
          <w:rFonts w:ascii="Arial" w:hAnsi="Arial" w:cs="Arial"/>
          <w:sz w:val="24"/>
          <w:szCs w:val="24"/>
        </w:rPr>
        <w:t xml:space="preserve"> for damages</w:t>
      </w:r>
      <w:r w:rsidR="00C61F58" w:rsidRPr="00F12153">
        <w:rPr>
          <w:rFonts w:ascii="Arial" w:hAnsi="Arial" w:cs="Arial"/>
          <w:sz w:val="24"/>
          <w:szCs w:val="24"/>
        </w:rPr>
        <w:t xml:space="preserve"> to S</w:t>
      </w:r>
      <w:r w:rsidR="00BA6D2E" w:rsidRPr="00F12153">
        <w:rPr>
          <w:rFonts w:ascii="Arial" w:hAnsi="Arial" w:cs="Arial"/>
          <w:sz w:val="24"/>
          <w:szCs w:val="24"/>
        </w:rPr>
        <w:t xml:space="preserve">econd </w:t>
      </w:r>
      <w:r w:rsidR="00C61F58" w:rsidRPr="00F12153">
        <w:rPr>
          <w:rFonts w:ascii="Arial" w:hAnsi="Arial" w:cs="Arial"/>
          <w:sz w:val="24"/>
          <w:szCs w:val="24"/>
        </w:rPr>
        <w:t>A</w:t>
      </w:r>
      <w:r w:rsidR="00757832" w:rsidRPr="00F12153">
        <w:rPr>
          <w:rFonts w:ascii="Arial" w:hAnsi="Arial" w:cs="Arial"/>
          <w:sz w:val="24"/>
          <w:szCs w:val="24"/>
        </w:rPr>
        <w:t>pplicant caused</w:t>
      </w:r>
      <w:r w:rsidR="00C61F58" w:rsidRPr="00F12153">
        <w:rPr>
          <w:rFonts w:ascii="Arial" w:hAnsi="Arial" w:cs="Arial"/>
          <w:sz w:val="24"/>
          <w:szCs w:val="24"/>
        </w:rPr>
        <w:t xml:space="preserve"> by First R</w:t>
      </w:r>
      <w:r w:rsidR="00BA6D2E" w:rsidRPr="00F12153">
        <w:rPr>
          <w:rFonts w:ascii="Arial" w:hAnsi="Arial" w:cs="Arial"/>
          <w:sz w:val="24"/>
          <w:szCs w:val="24"/>
        </w:rPr>
        <w:t xml:space="preserve">espondent in breach </w:t>
      </w:r>
      <w:r w:rsidR="00757832" w:rsidRPr="00F12153">
        <w:rPr>
          <w:rFonts w:ascii="Arial" w:hAnsi="Arial" w:cs="Arial"/>
          <w:sz w:val="24"/>
          <w:szCs w:val="24"/>
        </w:rPr>
        <w:t>of the</w:t>
      </w:r>
      <w:r w:rsidR="00BA6D2E" w:rsidRPr="00F12153">
        <w:rPr>
          <w:rFonts w:ascii="Arial" w:hAnsi="Arial" w:cs="Arial"/>
          <w:sz w:val="24"/>
          <w:szCs w:val="24"/>
        </w:rPr>
        <w:t xml:space="preserve"> Licence and Royalty Agreement which is a written agreement.; alternatively</w:t>
      </w:r>
    </w:p>
    <w:p w:rsidR="00BA6D2E" w:rsidRPr="00BA6D2E" w:rsidRDefault="00BA6D2E" w:rsidP="00BA6D2E">
      <w:pPr>
        <w:pStyle w:val="ListParagraph"/>
        <w:spacing w:line="360" w:lineRule="auto"/>
        <w:ind w:left="1440"/>
        <w:jc w:val="both"/>
        <w:rPr>
          <w:rFonts w:ascii="Arial" w:hAnsi="Arial" w:cs="Arial"/>
          <w:sz w:val="24"/>
          <w:szCs w:val="24"/>
        </w:rPr>
      </w:pPr>
    </w:p>
    <w:p w:rsidR="00BA6D2E" w:rsidRPr="00F12153" w:rsidRDefault="00F12153" w:rsidP="00F12153">
      <w:pPr>
        <w:spacing w:line="360" w:lineRule="auto"/>
        <w:ind w:left="144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BA6D2E" w:rsidRPr="00F12153">
        <w:rPr>
          <w:rFonts w:ascii="Arial" w:hAnsi="Arial" w:cs="Arial"/>
          <w:sz w:val="24"/>
          <w:szCs w:val="24"/>
        </w:rPr>
        <w:t xml:space="preserve">Claim </w:t>
      </w:r>
      <w:r w:rsidR="00757832" w:rsidRPr="00F12153">
        <w:rPr>
          <w:rFonts w:ascii="Arial" w:hAnsi="Arial" w:cs="Arial"/>
          <w:sz w:val="24"/>
          <w:szCs w:val="24"/>
        </w:rPr>
        <w:t>2:</w:t>
      </w:r>
      <w:r w:rsidR="00BA6D2E" w:rsidRPr="00F12153">
        <w:rPr>
          <w:rFonts w:ascii="Arial" w:hAnsi="Arial" w:cs="Arial"/>
          <w:sz w:val="24"/>
          <w:szCs w:val="24"/>
        </w:rPr>
        <w:t xml:space="preserve"> the claim for damages to </w:t>
      </w:r>
      <w:r w:rsidR="00C61F58" w:rsidRPr="00F12153">
        <w:rPr>
          <w:rFonts w:ascii="Arial" w:hAnsi="Arial" w:cs="Arial"/>
          <w:sz w:val="24"/>
          <w:szCs w:val="24"/>
        </w:rPr>
        <w:t>First Respondent caused by S</w:t>
      </w:r>
      <w:r w:rsidR="00BA6D2E" w:rsidRPr="00F12153">
        <w:rPr>
          <w:rFonts w:ascii="Arial" w:hAnsi="Arial" w:cs="Arial"/>
          <w:sz w:val="24"/>
          <w:szCs w:val="24"/>
        </w:rPr>
        <w:t xml:space="preserve">econd </w:t>
      </w:r>
      <w:r w:rsidR="00C61F58" w:rsidRPr="00F12153">
        <w:rPr>
          <w:rFonts w:ascii="Arial" w:hAnsi="Arial" w:cs="Arial"/>
          <w:sz w:val="24"/>
          <w:szCs w:val="24"/>
        </w:rPr>
        <w:t>R</w:t>
      </w:r>
      <w:r w:rsidR="00BA6D2E" w:rsidRPr="00F12153">
        <w:rPr>
          <w:rFonts w:ascii="Arial" w:hAnsi="Arial" w:cs="Arial"/>
          <w:sz w:val="24"/>
          <w:szCs w:val="24"/>
        </w:rPr>
        <w:t xml:space="preserve">espondent in breach of a written </w:t>
      </w:r>
      <w:r w:rsidR="00757832" w:rsidRPr="00F12153">
        <w:rPr>
          <w:rFonts w:ascii="Arial" w:hAnsi="Arial" w:cs="Arial"/>
          <w:sz w:val="24"/>
          <w:szCs w:val="24"/>
        </w:rPr>
        <w:t>agreement entitled</w:t>
      </w:r>
      <w:r w:rsidR="00BA6D2E" w:rsidRPr="00F12153">
        <w:rPr>
          <w:rFonts w:ascii="Arial" w:hAnsi="Arial" w:cs="Arial"/>
          <w:sz w:val="24"/>
          <w:szCs w:val="24"/>
        </w:rPr>
        <w:t xml:space="preserve"> Terms of Reference: Consulting Services: and further in the alternative:</w:t>
      </w:r>
    </w:p>
    <w:p w:rsidR="00BA6D2E" w:rsidRPr="00BA6D2E" w:rsidRDefault="00BA6D2E" w:rsidP="00652CB2">
      <w:pPr>
        <w:pStyle w:val="ListParagraph"/>
        <w:spacing w:line="360" w:lineRule="auto"/>
        <w:rPr>
          <w:rFonts w:ascii="Arial" w:hAnsi="Arial" w:cs="Arial"/>
          <w:sz w:val="24"/>
          <w:szCs w:val="24"/>
        </w:rPr>
      </w:pPr>
    </w:p>
    <w:p w:rsidR="00BA6D2E" w:rsidRPr="00F12153" w:rsidRDefault="00F12153" w:rsidP="00F12153">
      <w:pPr>
        <w:spacing w:line="360" w:lineRule="auto"/>
        <w:ind w:left="1440" w:hanging="720"/>
        <w:jc w:val="both"/>
        <w:rPr>
          <w:rFonts w:ascii="Arial" w:hAnsi="Arial" w:cs="Arial"/>
          <w:sz w:val="24"/>
          <w:szCs w:val="24"/>
        </w:rPr>
      </w:pPr>
      <w:r w:rsidRPr="00BA6D2E">
        <w:rPr>
          <w:rFonts w:ascii="Arial" w:hAnsi="Arial" w:cs="Arial"/>
          <w:sz w:val="24"/>
          <w:szCs w:val="24"/>
        </w:rPr>
        <w:t>3.3</w:t>
      </w:r>
      <w:r w:rsidRPr="00BA6D2E">
        <w:rPr>
          <w:rFonts w:ascii="Arial" w:hAnsi="Arial" w:cs="Arial"/>
          <w:sz w:val="24"/>
          <w:szCs w:val="24"/>
        </w:rPr>
        <w:tab/>
      </w:r>
      <w:r w:rsidR="00BA6D2E" w:rsidRPr="00F12153">
        <w:rPr>
          <w:rFonts w:ascii="Arial" w:hAnsi="Arial" w:cs="Arial"/>
          <w:sz w:val="24"/>
          <w:szCs w:val="24"/>
        </w:rPr>
        <w:t xml:space="preserve">Claim </w:t>
      </w:r>
      <w:r w:rsidR="00757832" w:rsidRPr="00F12153">
        <w:rPr>
          <w:rFonts w:ascii="Arial" w:hAnsi="Arial" w:cs="Arial"/>
          <w:sz w:val="24"/>
          <w:szCs w:val="24"/>
        </w:rPr>
        <w:t>3:</w:t>
      </w:r>
      <w:r w:rsidR="00C61F58" w:rsidRPr="00F12153">
        <w:rPr>
          <w:rFonts w:ascii="Arial" w:hAnsi="Arial" w:cs="Arial"/>
          <w:sz w:val="24"/>
          <w:szCs w:val="24"/>
        </w:rPr>
        <w:t xml:space="preserve"> for damages to First and/or S</w:t>
      </w:r>
      <w:r w:rsidR="00BA6D2E" w:rsidRPr="00F12153">
        <w:rPr>
          <w:rFonts w:ascii="Arial" w:hAnsi="Arial" w:cs="Arial"/>
          <w:sz w:val="24"/>
          <w:szCs w:val="24"/>
        </w:rPr>
        <w:t xml:space="preserve">econd </w:t>
      </w:r>
      <w:r w:rsidR="00C61F58" w:rsidRPr="00F12153">
        <w:rPr>
          <w:rFonts w:ascii="Arial" w:hAnsi="Arial" w:cs="Arial"/>
          <w:sz w:val="24"/>
          <w:szCs w:val="24"/>
        </w:rPr>
        <w:t>A</w:t>
      </w:r>
      <w:r w:rsidR="00757832" w:rsidRPr="00F12153">
        <w:rPr>
          <w:rFonts w:ascii="Arial" w:hAnsi="Arial" w:cs="Arial"/>
          <w:sz w:val="24"/>
          <w:szCs w:val="24"/>
        </w:rPr>
        <w:t>pplicants caused</w:t>
      </w:r>
      <w:r w:rsidR="00C61F58" w:rsidRPr="00F12153">
        <w:rPr>
          <w:rFonts w:ascii="Arial" w:hAnsi="Arial" w:cs="Arial"/>
          <w:sz w:val="24"/>
          <w:szCs w:val="24"/>
        </w:rPr>
        <w:t xml:space="preserve"> by Second R</w:t>
      </w:r>
      <w:r w:rsidR="00BA6D2E" w:rsidRPr="00F12153">
        <w:rPr>
          <w:rFonts w:ascii="Arial" w:hAnsi="Arial" w:cs="Arial"/>
          <w:sz w:val="24"/>
          <w:szCs w:val="24"/>
        </w:rPr>
        <w:t>espondent in breach of a written agreement entitled Fixed Term Employment Agreement.</w:t>
      </w:r>
    </w:p>
    <w:p w:rsidR="00BA6D2E" w:rsidRDefault="00BA6D2E" w:rsidP="00BA6D2E">
      <w:pPr>
        <w:pStyle w:val="ListParagraph"/>
        <w:spacing w:line="360" w:lineRule="auto"/>
        <w:jc w:val="both"/>
        <w:rPr>
          <w:rFonts w:ascii="Arial" w:hAnsi="Arial" w:cs="Arial"/>
          <w:sz w:val="24"/>
          <w:szCs w:val="24"/>
        </w:rPr>
      </w:pPr>
    </w:p>
    <w:p w:rsidR="00B04D22" w:rsidRPr="00F12153" w:rsidRDefault="00F12153" w:rsidP="00F12153">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BA6D2E" w:rsidRPr="00F12153">
        <w:rPr>
          <w:rFonts w:ascii="Arial" w:hAnsi="Arial" w:cs="Arial"/>
          <w:sz w:val="24"/>
          <w:szCs w:val="24"/>
        </w:rPr>
        <w:t xml:space="preserve">The </w:t>
      </w:r>
      <w:r w:rsidR="00F34177" w:rsidRPr="00F12153">
        <w:rPr>
          <w:rFonts w:ascii="Arial" w:hAnsi="Arial" w:cs="Arial"/>
          <w:sz w:val="24"/>
          <w:szCs w:val="24"/>
        </w:rPr>
        <w:t>original POC was delivered on 23 July 2021.</w:t>
      </w:r>
    </w:p>
    <w:p w:rsidR="00BA6D2E" w:rsidRDefault="00BA6D2E" w:rsidP="00BA6D2E">
      <w:pPr>
        <w:pStyle w:val="ListParagraph"/>
        <w:spacing w:line="360" w:lineRule="auto"/>
        <w:jc w:val="both"/>
        <w:rPr>
          <w:rFonts w:ascii="Arial" w:hAnsi="Arial" w:cs="Arial"/>
          <w:sz w:val="24"/>
          <w:szCs w:val="24"/>
        </w:rPr>
      </w:pPr>
    </w:p>
    <w:p w:rsidR="00F34177" w:rsidRPr="00F12153" w:rsidRDefault="00F12153" w:rsidP="00F12153">
      <w:pPr>
        <w:spacing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BA6D2E" w:rsidRPr="00F12153">
        <w:rPr>
          <w:rFonts w:ascii="Arial" w:hAnsi="Arial" w:cs="Arial"/>
          <w:sz w:val="24"/>
          <w:szCs w:val="24"/>
        </w:rPr>
        <w:t>O</w:t>
      </w:r>
      <w:r w:rsidR="00C61F58" w:rsidRPr="00F12153">
        <w:rPr>
          <w:rFonts w:ascii="Arial" w:hAnsi="Arial" w:cs="Arial"/>
          <w:sz w:val="24"/>
          <w:szCs w:val="24"/>
        </w:rPr>
        <w:t>n 29 September 2021 the R</w:t>
      </w:r>
      <w:r w:rsidR="00B04D22" w:rsidRPr="00F12153">
        <w:rPr>
          <w:rFonts w:ascii="Arial" w:hAnsi="Arial" w:cs="Arial"/>
          <w:sz w:val="24"/>
          <w:szCs w:val="24"/>
        </w:rPr>
        <w:t>espondents</w:t>
      </w:r>
      <w:r w:rsidR="00C61F58" w:rsidRPr="00F12153">
        <w:rPr>
          <w:rFonts w:ascii="Arial" w:hAnsi="Arial" w:cs="Arial"/>
          <w:sz w:val="24"/>
          <w:szCs w:val="24"/>
        </w:rPr>
        <w:t xml:space="preserve"> </w:t>
      </w:r>
      <w:r w:rsidR="005C30FD" w:rsidRPr="00F12153">
        <w:rPr>
          <w:rFonts w:ascii="Arial" w:hAnsi="Arial" w:cs="Arial"/>
          <w:sz w:val="24"/>
          <w:szCs w:val="24"/>
        </w:rPr>
        <w:t>delivered a notice to remove a cause of complaint in terms of R</w:t>
      </w:r>
      <w:r w:rsidR="004E4C02" w:rsidRPr="00F12153">
        <w:rPr>
          <w:rFonts w:ascii="Arial" w:hAnsi="Arial" w:cs="Arial"/>
          <w:sz w:val="24"/>
          <w:szCs w:val="24"/>
        </w:rPr>
        <w:t>ule</w:t>
      </w:r>
      <w:r w:rsidR="005C30FD" w:rsidRPr="00F12153">
        <w:rPr>
          <w:rFonts w:ascii="Arial" w:hAnsi="Arial" w:cs="Arial"/>
          <w:sz w:val="24"/>
          <w:szCs w:val="24"/>
        </w:rPr>
        <w:t xml:space="preserve"> 23(1) </w:t>
      </w:r>
      <w:r w:rsidR="005C30FD" w:rsidRPr="00BA6D2E">
        <w:rPr>
          <w:rStyle w:val="FootnoteReference"/>
          <w:rFonts w:ascii="Arial" w:hAnsi="Arial" w:cs="Arial"/>
          <w:sz w:val="24"/>
          <w:szCs w:val="24"/>
        </w:rPr>
        <w:footnoteReference w:id="2"/>
      </w:r>
      <w:r w:rsidR="005C30FD" w:rsidRPr="00F12153">
        <w:rPr>
          <w:rFonts w:ascii="Arial" w:hAnsi="Arial" w:cs="Arial"/>
          <w:sz w:val="24"/>
          <w:szCs w:val="24"/>
        </w:rPr>
        <w:t xml:space="preserve"> together with an exception raised in terms of rule 23 (1).</w:t>
      </w:r>
    </w:p>
    <w:p w:rsidR="00BA6D2E" w:rsidRPr="00BA6D2E" w:rsidRDefault="00BA6D2E" w:rsidP="00652CB2">
      <w:pPr>
        <w:pStyle w:val="ListParagraph"/>
        <w:spacing w:line="360" w:lineRule="auto"/>
        <w:rPr>
          <w:rFonts w:ascii="Arial" w:hAnsi="Arial" w:cs="Arial"/>
          <w:sz w:val="24"/>
          <w:szCs w:val="24"/>
        </w:rPr>
      </w:pPr>
    </w:p>
    <w:p w:rsidR="00F34177" w:rsidRPr="00F12153" w:rsidRDefault="00F12153" w:rsidP="00F12153">
      <w:pPr>
        <w:spacing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BA6D2E" w:rsidRPr="00F12153">
        <w:rPr>
          <w:rFonts w:ascii="Arial" w:hAnsi="Arial" w:cs="Arial"/>
          <w:sz w:val="24"/>
          <w:szCs w:val="24"/>
        </w:rPr>
        <w:t>The</w:t>
      </w:r>
      <w:r w:rsidR="00072F3F" w:rsidRPr="00F12153">
        <w:rPr>
          <w:rFonts w:ascii="Arial" w:hAnsi="Arial" w:cs="Arial"/>
          <w:sz w:val="24"/>
          <w:szCs w:val="24"/>
        </w:rPr>
        <w:t xml:space="preserve"> essence of the complaint is </w:t>
      </w:r>
      <w:r w:rsidR="00F34177" w:rsidRPr="00F12153">
        <w:rPr>
          <w:rFonts w:ascii="Arial" w:hAnsi="Arial" w:cs="Arial"/>
          <w:sz w:val="24"/>
          <w:szCs w:val="24"/>
        </w:rPr>
        <w:t xml:space="preserve">that the parts of the POC dealing with the alleged damages caused as a result of alleged breaches are vague and embarrassing and that part thereof justifies an exception on the basis that the applicants POC did not contain averments which are necessary to sustain the various causes </w:t>
      </w:r>
      <w:r w:rsidR="00C61F58" w:rsidRPr="00F12153">
        <w:rPr>
          <w:rFonts w:ascii="Arial" w:hAnsi="Arial" w:cs="Arial"/>
          <w:sz w:val="24"/>
          <w:szCs w:val="24"/>
        </w:rPr>
        <w:t>of action which the A</w:t>
      </w:r>
      <w:r w:rsidR="00F34177" w:rsidRPr="00F12153">
        <w:rPr>
          <w:rFonts w:ascii="Arial" w:hAnsi="Arial" w:cs="Arial"/>
          <w:sz w:val="24"/>
          <w:szCs w:val="24"/>
        </w:rPr>
        <w:t>pplicants ha</w:t>
      </w:r>
      <w:r w:rsidR="00C61F58" w:rsidRPr="00F12153">
        <w:rPr>
          <w:rFonts w:ascii="Arial" w:hAnsi="Arial" w:cs="Arial"/>
          <w:sz w:val="24"/>
          <w:szCs w:val="24"/>
        </w:rPr>
        <w:t>ve raised against the Re</w:t>
      </w:r>
      <w:r w:rsidR="00F34177" w:rsidRPr="00F12153">
        <w:rPr>
          <w:rFonts w:ascii="Arial" w:hAnsi="Arial" w:cs="Arial"/>
          <w:sz w:val="24"/>
          <w:szCs w:val="24"/>
        </w:rPr>
        <w:t>spondents.</w:t>
      </w:r>
    </w:p>
    <w:p w:rsidR="00BA6D2E" w:rsidRPr="00BA6D2E" w:rsidRDefault="00BA6D2E" w:rsidP="00652CB2">
      <w:pPr>
        <w:pStyle w:val="ListParagraph"/>
        <w:spacing w:line="360" w:lineRule="auto"/>
        <w:rPr>
          <w:rFonts w:ascii="Arial" w:hAnsi="Arial" w:cs="Arial"/>
          <w:sz w:val="24"/>
          <w:szCs w:val="24"/>
        </w:rPr>
      </w:pPr>
    </w:p>
    <w:p w:rsidR="00B04D22" w:rsidRPr="00F12153" w:rsidRDefault="00F12153" w:rsidP="00F12153">
      <w:pPr>
        <w:spacing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BA6D2E" w:rsidRPr="00F12153">
        <w:rPr>
          <w:rFonts w:ascii="Arial" w:hAnsi="Arial" w:cs="Arial"/>
          <w:sz w:val="24"/>
          <w:szCs w:val="24"/>
        </w:rPr>
        <w:t xml:space="preserve">The </w:t>
      </w:r>
      <w:r w:rsidR="005C30FD" w:rsidRPr="00F12153">
        <w:rPr>
          <w:rFonts w:ascii="Arial" w:hAnsi="Arial" w:cs="Arial"/>
          <w:sz w:val="24"/>
          <w:szCs w:val="24"/>
        </w:rPr>
        <w:t>Applicants thereafter delivered a notice to amend the original POC in terms of Rule 28(1) annexing the proposed amendment.</w:t>
      </w:r>
    </w:p>
    <w:p w:rsidR="00BA6D2E" w:rsidRPr="00BA6D2E" w:rsidRDefault="00BA6D2E" w:rsidP="00652CB2">
      <w:pPr>
        <w:pStyle w:val="ListParagraph"/>
        <w:spacing w:line="360" w:lineRule="auto"/>
        <w:rPr>
          <w:rFonts w:ascii="Arial" w:hAnsi="Arial" w:cs="Arial"/>
          <w:sz w:val="24"/>
          <w:szCs w:val="24"/>
        </w:rPr>
      </w:pPr>
    </w:p>
    <w:p w:rsidR="005C30FD" w:rsidRPr="00F12153" w:rsidRDefault="00F12153" w:rsidP="00F12153">
      <w:pPr>
        <w:spacing w:line="360" w:lineRule="auto"/>
        <w:ind w:left="720" w:hanging="720"/>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BA6D2E" w:rsidRPr="00F12153">
        <w:rPr>
          <w:rFonts w:ascii="Arial" w:hAnsi="Arial" w:cs="Arial"/>
          <w:sz w:val="24"/>
          <w:szCs w:val="24"/>
        </w:rPr>
        <w:t xml:space="preserve">The </w:t>
      </w:r>
      <w:r w:rsidR="00C61F58" w:rsidRPr="00F12153">
        <w:rPr>
          <w:rFonts w:ascii="Arial" w:hAnsi="Arial" w:cs="Arial"/>
          <w:sz w:val="24"/>
          <w:szCs w:val="24"/>
        </w:rPr>
        <w:t>Re</w:t>
      </w:r>
      <w:r w:rsidR="005C30FD" w:rsidRPr="00F12153">
        <w:rPr>
          <w:rFonts w:ascii="Arial" w:hAnsi="Arial" w:cs="Arial"/>
          <w:sz w:val="24"/>
          <w:szCs w:val="24"/>
        </w:rPr>
        <w:t>spondents</w:t>
      </w:r>
      <w:r w:rsidR="00740ED7" w:rsidRPr="00F12153">
        <w:rPr>
          <w:rFonts w:ascii="Arial" w:hAnsi="Arial" w:cs="Arial"/>
          <w:sz w:val="24"/>
          <w:szCs w:val="24"/>
        </w:rPr>
        <w:t>’</w:t>
      </w:r>
      <w:r w:rsidR="005C30FD" w:rsidRPr="00F12153">
        <w:rPr>
          <w:rFonts w:ascii="Arial" w:hAnsi="Arial" w:cs="Arial"/>
          <w:sz w:val="24"/>
          <w:szCs w:val="24"/>
        </w:rPr>
        <w:t xml:space="preserve"> </w:t>
      </w:r>
      <w:r w:rsidR="00C61F58" w:rsidRPr="00F12153">
        <w:rPr>
          <w:rFonts w:ascii="Arial" w:hAnsi="Arial" w:cs="Arial"/>
          <w:sz w:val="24"/>
          <w:szCs w:val="24"/>
        </w:rPr>
        <w:t xml:space="preserve">subsequently delivered a notice </w:t>
      </w:r>
      <w:r w:rsidR="005C30FD" w:rsidRPr="00F12153">
        <w:rPr>
          <w:rFonts w:ascii="Arial" w:hAnsi="Arial" w:cs="Arial"/>
          <w:sz w:val="24"/>
          <w:szCs w:val="24"/>
        </w:rPr>
        <w:t>objecting to</w:t>
      </w:r>
      <w:r w:rsidR="00C61F58" w:rsidRPr="00F12153">
        <w:rPr>
          <w:rFonts w:ascii="Arial" w:hAnsi="Arial" w:cs="Arial"/>
          <w:sz w:val="24"/>
          <w:szCs w:val="24"/>
        </w:rPr>
        <w:t xml:space="preserve"> the A</w:t>
      </w:r>
      <w:r w:rsidR="005C30FD" w:rsidRPr="00F12153">
        <w:rPr>
          <w:rFonts w:ascii="Arial" w:hAnsi="Arial" w:cs="Arial"/>
          <w:sz w:val="24"/>
          <w:szCs w:val="24"/>
        </w:rPr>
        <w:t>pplicants</w:t>
      </w:r>
      <w:r w:rsidR="00740ED7" w:rsidRPr="00F12153">
        <w:rPr>
          <w:rFonts w:ascii="Arial" w:hAnsi="Arial" w:cs="Arial"/>
          <w:sz w:val="24"/>
          <w:szCs w:val="24"/>
        </w:rPr>
        <w:t>’</w:t>
      </w:r>
      <w:r w:rsidR="005C30FD" w:rsidRPr="00F12153">
        <w:rPr>
          <w:rFonts w:ascii="Arial" w:hAnsi="Arial" w:cs="Arial"/>
          <w:sz w:val="24"/>
          <w:szCs w:val="24"/>
        </w:rPr>
        <w:t xml:space="preserve"> notice to amend and </w:t>
      </w:r>
      <w:r w:rsidR="00757832" w:rsidRPr="00F12153">
        <w:rPr>
          <w:rFonts w:ascii="Arial" w:hAnsi="Arial" w:cs="Arial"/>
          <w:sz w:val="24"/>
          <w:szCs w:val="24"/>
        </w:rPr>
        <w:t>the proposed</w:t>
      </w:r>
      <w:r w:rsidR="005C30FD" w:rsidRPr="00F12153">
        <w:rPr>
          <w:rFonts w:ascii="Arial" w:hAnsi="Arial" w:cs="Arial"/>
          <w:sz w:val="24"/>
          <w:szCs w:val="24"/>
        </w:rPr>
        <w:t xml:space="preserve"> amended POC</w:t>
      </w:r>
      <w:r w:rsidR="0005003D" w:rsidRPr="00F12153">
        <w:rPr>
          <w:rFonts w:ascii="Arial" w:hAnsi="Arial" w:cs="Arial"/>
          <w:sz w:val="24"/>
          <w:szCs w:val="24"/>
        </w:rPr>
        <w:t xml:space="preserve"> essentially</w:t>
      </w:r>
      <w:r w:rsidR="005C30FD" w:rsidRPr="00F12153">
        <w:rPr>
          <w:rFonts w:ascii="Arial" w:hAnsi="Arial" w:cs="Arial"/>
          <w:sz w:val="24"/>
          <w:szCs w:val="24"/>
        </w:rPr>
        <w:t xml:space="preserve"> </w:t>
      </w:r>
      <w:r w:rsidR="0005003D" w:rsidRPr="00F12153">
        <w:rPr>
          <w:rFonts w:ascii="Arial" w:hAnsi="Arial" w:cs="Arial"/>
          <w:sz w:val="24"/>
          <w:szCs w:val="24"/>
        </w:rPr>
        <w:t>on the same grounds as it did to the original POC and included an application to strike out portions of the application to amend which is said to have gone beyond what is required in the assessment of the case pleaded.</w:t>
      </w:r>
    </w:p>
    <w:p w:rsidR="00BA6D2E" w:rsidRPr="00BA6D2E" w:rsidRDefault="00BA6D2E" w:rsidP="00BA6D2E">
      <w:pPr>
        <w:pStyle w:val="ListParagraph"/>
        <w:rPr>
          <w:rFonts w:ascii="Arial" w:hAnsi="Arial" w:cs="Arial"/>
          <w:sz w:val="24"/>
          <w:szCs w:val="24"/>
        </w:rPr>
      </w:pPr>
    </w:p>
    <w:p w:rsidR="00072F3F" w:rsidRPr="00F12153" w:rsidRDefault="00F12153" w:rsidP="00F12153">
      <w:pPr>
        <w:spacing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BA6D2E" w:rsidRPr="00F12153">
        <w:rPr>
          <w:rFonts w:ascii="Arial" w:hAnsi="Arial" w:cs="Arial"/>
          <w:sz w:val="24"/>
          <w:szCs w:val="24"/>
        </w:rPr>
        <w:t xml:space="preserve">The </w:t>
      </w:r>
      <w:r w:rsidR="00072F3F" w:rsidRPr="00F12153">
        <w:rPr>
          <w:rFonts w:ascii="Arial" w:hAnsi="Arial" w:cs="Arial"/>
          <w:sz w:val="24"/>
          <w:szCs w:val="24"/>
        </w:rPr>
        <w:t xml:space="preserve">grounds of the </w:t>
      </w:r>
      <w:r w:rsidR="00C61F58" w:rsidRPr="00F12153">
        <w:rPr>
          <w:rFonts w:ascii="Arial" w:hAnsi="Arial" w:cs="Arial"/>
          <w:sz w:val="24"/>
          <w:szCs w:val="24"/>
        </w:rPr>
        <w:t>Respondents</w:t>
      </w:r>
      <w:r w:rsidR="00740ED7" w:rsidRPr="00F12153">
        <w:rPr>
          <w:rFonts w:ascii="Arial" w:hAnsi="Arial" w:cs="Arial"/>
          <w:sz w:val="24"/>
          <w:szCs w:val="24"/>
        </w:rPr>
        <w:t>’</w:t>
      </w:r>
      <w:r w:rsidR="00072F3F" w:rsidRPr="00F12153">
        <w:rPr>
          <w:rFonts w:ascii="Arial" w:hAnsi="Arial" w:cs="Arial"/>
          <w:sz w:val="24"/>
          <w:szCs w:val="24"/>
        </w:rPr>
        <w:t xml:space="preserve"> objections to the proposed amendments are, that if amended;</w:t>
      </w:r>
    </w:p>
    <w:p w:rsidR="00652CB2" w:rsidRPr="00652CB2" w:rsidRDefault="00652CB2" w:rsidP="00652CB2">
      <w:pPr>
        <w:pStyle w:val="ListParagraph"/>
        <w:spacing w:line="360" w:lineRule="auto"/>
        <w:rPr>
          <w:rFonts w:ascii="Arial" w:hAnsi="Arial" w:cs="Arial"/>
          <w:sz w:val="24"/>
          <w:szCs w:val="24"/>
        </w:rPr>
      </w:pPr>
    </w:p>
    <w:p w:rsidR="00BA6D2E" w:rsidRPr="00F12153" w:rsidRDefault="00F12153" w:rsidP="00F12153">
      <w:pPr>
        <w:spacing w:line="360" w:lineRule="auto"/>
        <w:ind w:left="1440" w:hanging="720"/>
        <w:jc w:val="both"/>
        <w:rPr>
          <w:rFonts w:ascii="Arial" w:hAnsi="Arial" w:cs="Arial"/>
          <w:sz w:val="24"/>
          <w:szCs w:val="24"/>
        </w:rPr>
      </w:pPr>
      <w:r>
        <w:rPr>
          <w:rFonts w:ascii="Arial" w:hAnsi="Arial" w:cs="Arial"/>
          <w:sz w:val="24"/>
          <w:szCs w:val="24"/>
        </w:rPr>
        <w:t>9.1</w:t>
      </w:r>
      <w:r>
        <w:rPr>
          <w:rFonts w:ascii="Arial" w:hAnsi="Arial" w:cs="Arial"/>
          <w:sz w:val="24"/>
          <w:szCs w:val="24"/>
        </w:rPr>
        <w:tab/>
      </w:r>
      <w:r w:rsidR="00BA6D2E" w:rsidRPr="00F12153">
        <w:rPr>
          <w:rFonts w:ascii="Arial" w:hAnsi="Arial" w:cs="Arial"/>
          <w:sz w:val="24"/>
          <w:szCs w:val="24"/>
        </w:rPr>
        <w:t xml:space="preserve">The particulars would still lack the averments which are necessary to sustain the </w:t>
      </w:r>
      <w:r w:rsidR="004E4C02" w:rsidRPr="00F12153">
        <w:rPr>
          <w:rFonts w:ascii="Arial" w:hAnsi="Arial" w:cs="Arial"/>
          <w:sz w:val="24"/>
          <w:szCs w:val="24"/>
        </w:rPr>
        <w:t>Applicant</w:t>
      </w:r>
      <w:r w:rsidR="00740ED7" w:rsidRPr="00F12153">
        <w:rPr>
          <w:rFonts w:ascii="Arial" w:hAnsi="Arial" w:cs="Arial"/>
          <w:sz w:val="24"/>
          <w:szCs w:val="24"/>
        </w:rPr>
        <w:t>s’</w:t>
      </w:r>
      <w:r w:rsidR="004E4C02" w:rsidRPr="00F12153">
        <w:rPr>
          <w:rFonts w:ascii="Arial" w:hAnsi="Arial" w:cs="Arial"/>
          <w:sz w:val="24"/>
          <w:szCs w:val="24"/>
        </w:rPr>
        <w:t xml:space="preserve"> </w:t>
      </w:r>
      <w:r w:rsidR="00BA6D2E" w:rsidRPr="00F12153">
        <w:rPr>
          <w:rFonts w:ascii="Arial" w:hAnsi="Arial" w:cs="Arial"/>
          <w:sz w:val="24"/>
          <w:szCs w:val="24"/>
        </w:rPr>
        <w:t>various causes of action and would render the parti</w:t>
      </w:r>
      <w:r w:rsidR="00C61F58" w:rsidRPr="00F12153">
        <w:rPr>
          <w:rFonts w:ascii="Arial" w:hAnsi="Arial" w:cs="Arial"/>
          <w:sz w:val="24"/>
          <w:szCs w:val="24"/>
        </w:rPr>
        <w:t>culars vague and embarrassing; a</w:t>
      </w:r>
      <w:r w:rsidR="00BA6D2E" w:rsidRPr="00F12153">
        <w:rPr>
          <w:rFonts w:ascii="Arial" w:hAnsi="Arial" w:cs="Arial"/>
          <w:sz w:val="24"/>
          <w:szCs w:val="24"/>
        </w:rPr>
        <w:t>nd in addition</w:t>
      </w:r>
    </w:p>
    <w:p w:rsidR="00BA6D2E" w:rsidRDefault="00BA6D2E" w:rsidP="00BA6D2E">
      <w:pPr>
        <w:pStyle w:val="ListParagraph"/>
        <w:spacing w:line="360" w:lineRule="auto"/>
        <w:ind w:left="1440"/>
        <w:jc w:val="both"/>
        <w:rPr>
          <w:rFonts w:ascii="Arial" w:hAnsi="Arial" w:cs="Arial"/>
          <w:sz w:val="24"/>
          <w:szCs w:val="24"/>
        </w:rPr>
      </w:pPr>
    </w:p>
    <w:p w:rsidR="00BA6D2E" w:rsidRPr="00F12153" w:rsidRDefault="00F12153" w:rsidP="00F12153">
      <w:pPr>
        <w:spacing w:line="360" w:lineRule="auto"/>
        <w:ind w:left="1440" w:hanging="720"/>
        <w:jc w:val="both"/>
        <w:rPr>
          <w:rFonts w:ascii="Arial" w:hAnsi="Arial" w:cs="Arial"/>
          <w:sz w:val="24"/>
          <w:szCs w:val="24"/>
        </w:rPr>
      </w:pPr>
      <w:r w:rsidRPr="00BA6D2E">
        <w:rPr>
          <w:rFonts w:ascii="Arial" w:hAnsi="Arial" w:cs="Arial"/>
          <w:sz w:val="24"/>
          <w:szCs w:val="24"/>
        </w:rPr>
        <w:t>9.2</w:t>
      </w:r>
      <w:r w:rsidRPr="00BA6D2E">
        <w:rPr>
          <w:rFonts w:ascii="Arial" w:hAnsi="Arial" w:cs="Arial"/>
          <w:sz w:val="24"/>
          <w:szCs w:val="24"/>
        </w:rPr>
        <w:tab/>
      </w:r>
      <w:r w:rsidR="00BA6D2E" w:rsidRPr="00F12153">
        <w:rPr>
          <w:rFonts w:ascii="Arial" w:hAnsi="Arial" w:cs="Arial"/>
          <w:sz w:val="24"/>
          <w:szCs w:val="24"/>
        </w:rPr>
        <w:t>That the amendments as set in in paragraph 27 to 27.4 of the proposed amendments would render the particulars excipiable on the basis that it is not supported by the terms of the Consulting agreement and the contract of Intent respectively.</w:t>
      </w:r>
    </w:p>
    <w:p w:rsidR="00BA6D2E" w:rsidRDefault="00BA6D2E" w:rsidP="00BA6D2E">
      <w:pPr>
        <w:pStyle w:val="ListParagraph"/>
        <w:spacing w:line="360" w:lineRule="auto"/>
        <w:jc w:val="both"/>
        <w:rPr>
          <w:rFonts w:ascii="Arial" w:hAnsi="Arial" w:cs="Arial"/>
          <w:sz w:val="24"/>
          <w:szCs w:val="24"/>
        </w:rPr>
      </w:pPr>
    </w:p>
    <w:p w:rsidR="00D719CD" w:rsidRPr="00F12153" w:rsidRDefault="00F12153" w:rsidP="00F12153">
      <w:pPr>
        <w:spacing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A6D2E" w:rsidRPr="00F12153">
        <w:rPr>
          <w:rFonts w:ascii="Arial" w:hAnsi="Arial" w:cs="Arial"/>
          <w:sz w:val="24"/>
          <w:szCs w:val="24"/>
        </w:rPr>
        <w:t xml:space="preserve">It  </w:t>
      </w:r>
      <w:r w:rsidR="00D719CD" w:rsidRPr="00F12153">
        <w:rPr>
          <w:rFonts w:ascii="Arial" w:hAnsi="Arial" w:cs="Arial"/>
          <w:sz w:val="24"/>
          <w:szCs w:val="24"/>
        </w:rPr>
        <w:t>is trite that an exception that a pleading is vague and embarrassing is not directed at a particular paragraph within a cause of action; it goes to the whole cause of action , which must be demonstrated to be vague and embarrassing.</w:t>
      </w:r>
      <w:r w:rsidR="00D719CD" w:rsidRPr="00BA6D2E">
        <w:rPr>
          <w:rStyle w:val="FootnoteReference"/>
          <w:rFonts w:ascii="Arial" w:hAnsi="Arial" w:cs="Arial"/>
          <w:sz w:val="24"/>
          <w:szCs w:val="24"/>
        </w:rPr>
        <w:footnoteReference w:id="3"/>
      </w:r>
      <w:r w:rsidR="00D719CD" w:rsidRPr="00F12153">
        <w:rPr>
          <w:rFonts w:ascii="Arial" w:hAnsi="Arial" w:cs="Arial"/>
          <w:sz w:val="24"/>
          <w:szCs w:val="24"/>
        </w:rPr>
        <w:t xml:space="preserve">  </w:t>
      </w:r>
      <w:r w:rsidR="005877E1" w:rsidRPr="00F12153">
        <w:rPr>
          <w:rFonts w:ascii="Arial" w:hAnsi="Arial" w:cs="Arial"/>
          <w:sz w:val="24"/>
          <w:szCs w:val="24"/>
        </w:rPr>
        <w:t xml:space="preserve">Further thereto, an exception cannot be sustained unless the excipient demonstrates that he would be seriously prejudiced if the offending allegations are not expunged. </w:t>
      </w:r>
    </w:p>
    <w:p w:rsidR="00BA6D2E" w:rsidRDefault="00BA6D2E" w:rsidP="00BA6D2E">
      <w:pPr>
        <w:pStyle w:val="ListParagraph"/>
        <w:spacing w:line="360" w:lineRule="auto"/>
        <w:jc w:val="both"/>
        <w:rPr>
          <w:rFonts w:ascii="Arial" w:hAnsi="Arial" w:cs="Arial"/>
          <w:sz w:val="24"/>
          <w:szCs w:val="24"/>
        </w:rPr>
      </w:pPr>
    </w:p>
    <w:p w:rsidR="005877E1" w:rsidRPr="00F12153" w:rsidRDefault="00F12153" w:rsidP="00F12153">
      <w:pPr>
        <w:spacing w:line="360" w:lineRule="auto"/>
        <w:ind w:left="720" w:hanging="720"/>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BA6D2E" w:rsidRPr="00F12153">
        <w:rPr>
          <w:rFonts w:ascii="Arial" w:hAnsi="Arial" w:cs="Arial"/>
          <w:sz w:val="24"/>
          <w:szCs w:val="24"/>
        </w:rPr>
        <w:t>T</w:t>
      </w:r>
      <w:r w:rsidR="004E4C02" w:rsidRPr="00F12153">
        <w:rPr>
          <w:rFonts w:ascii="Arial" w:hAnsi="Arial" w:cs="Arial"/>
          <w:sz w:val="24"/>
          <w:szCs w:val="24"/>
        </w:rPr>
        <w:t>h</w:t>
      </w:r>
      <w:r w:rsidR="002A37F0" w:rsidRPr="00F12153">
        <w:rPr>
          <w:rFonts w:ascii="Arial" w:hAnsi="Arial" w:cs="Arial"/>
          <w:sz w:val="24"/>
          <w:szCs w:val="24"/>
        </w:rPr>
        <w:t>e</w:t>
      </w:r>
      <w:r w:rsidR="00BA6D2E" w:rsidRPr="00F12153">
        <w:rPr>
          <w:rFonts w:ascii="Arial" w:hAnsi="Arial" w:cs="Arial"/>
          <w:sz w:val="24"/>
          <w:szCs w:val="24"/>
        </w:rPr>
        <w:t xml:space="preserve"> </w:t>
      </w:r>
      <w:r w:rsidR="00655884" w:rsidRPr="00F12153">
        <w:rPr>
          <w:rFonts w:ascii="Arial" w:hAnsi="Arial" w:cs="Arial"/>
          <w:sz w:val="24"/>
          <w:szCs w:val="24"/>
        </w:rPr>
        <w:t>issue therefore falling to be determined is whether the Applicant</w:t>
      </w:r>
      <w:r w:rsidR="005450CA" w:rsidRPr="00F12153">
        <w:rPr>
          <w:rFonts w:ascii="Arial" w:hAnsi="Arial" w:cs="Arial"/>
          <w:sz w:val="24"/>
          <w:szCs w:val="24"/>
        </w:rPr>
        <w:t>s</w:t>
      </w:r>
      <w:r w:rsidR="00655884" w:rsidRPr="00F12153">
        <w:rPr>
          <w:rFonts w:ascii="Arial" w:hAnsi="Arial" w:cs="Arial"/>
          <w:sz w:val="24"/>
          <w:szCs w:val="24"/>
        </w:rPr>
        <w:t xml:space="preserve"> should be granted leave to amend its particulars of claim</w:t>
      </w:r>
      <w:r w:rsidR="001C1588" w:rsidRPr="00F12153">
        <w:rPr>
          <w:rFonts w:ascii="Arial" w:hAnsi="Arial" w:cs="Arial"/>
          <w:sz w:val="24"/>
          <w:szCs w:val="24"/>
        </w:rPr>
        <w:t xml:space="preserve"> </w:t>
      </w:r>
      <w:r w:rsidR="00655884" w:rsidRPr="00F12153">
        <w:rPr>
          <w:rFonts w:ascii="Arial" w:hAnsi="Arial" w:cs="Arial"/>
          <w:sz w:val="24"/>
          <w:szCs w:val="24"/>
        </w:rPr>
        <w:t>attached to its summons in the manner it proposes.</w:t>
      </w:r>
    </w:p>
    <w:p w:rsidR="00BA6D2E" w:rsidRPr="00BA6D2E" w:rsidRDefault="00BA6D2E" w:rsidP="00652CB2">
      <w:pPr>
        <w:pStyle w:val="ListParagraph"/>
        <w:spacing w:line="360" w:lineRule="auto"/>
        <w:rPr>
          <w:rFonts w:ascii="Arial" w:hAnsi="Arial" w:cs="Arial"/>
          <w:sz w:val="24"/>
          <w:szCs w:val="24"/>
        </w:rPr>
      </w:pPr>
    </w:p>
    <w:p w:rsidR="001C1588" w:rsidRPr="00F12153" w:rsidRDefault="00F12153" w:rsidP="00F12153">
      <w:pPr>
        <w:spacing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BA6D2E" w:rsidRPr="00F12153">
        <w:rPr>
          <w:rFonts w:ascii="Arial" w:hAnsi="Arial" w:cs="Arial"/>
          <w:sz w:val="24"/>
          <w:szCs w:val="24"/>
        </w:rPr>
        <w:t xml:space="preserve">The </w:t>
      </w:r>
      <w:r w:rsidR="001C1588" w:rsidRPr="00F12153">
        <w:rPr>
          <w:rFonts w:ascii="Arial" w:hAnsi="Arial" w:cs="Arial"/>
          <w:sz w:val="24"/>
          <w:szCs w:val="24"/>
        </w:rPr>
        <w:t xml:space="preserve">competing rights </w:t>
      </w:r>
      <w:r w:rsidR="00757832" w:rsidRPr="00F12153">
        <w:rPr>
          <w:rFonts w:ascii="Arial" w:hAnsi="Arial" w:cs="Arial"/>
          <w:sz w:val="24"/>
          <w:szCs w:val="24"/>
        </w:rPr>
        <w:t>being,</w:t>
      </w:r>
      <w:r w:rsidR="00652E8E" w:rsidRPr="00F12153">
        <w:rPr>
          <w:rFonts w:ascii="Arial" w:hAnsi="Arial" w:cs="Arial"/>
          <w:sz w:val="24"/>
          <w:szCs w:val="24"/>
        </w:rPr>
        <w:t xml:space="preserve"> the right of the A</w:t>
      </w:r>
      <w:r w:rsidR="001C1588" w:rsidRPr="00F12153">
        <w:rPr>
          <w:rFonts w:ascii="Arial" w:hAnsi="Arial" w:cs="Arial"/>
          <w:sz w:val="24"/>
          <w:szCs w:val="24"/>
        </w:rPr>
        <w:t>pplicant</w:t>
      </w:r>
      <w:r w:rsidR="005450CA" w:rsidRPr="00F12153">
        <w:rPr>
          <w:rFonts w:ascii="Arial" w:hAnsi="Arial" w:cs="Arial"/>
          <w:sz w:val="24"/>
          <w:szCs w:val="24"/>
        </w:rPr>
        <w:t>s</w:t>
      </w:r>
      <w:r w:rsidR="001C1588" w:rsidRPr="00F12153">
        <w:rPr>
          <w:rFonts w:ascii="Arial" w:hAnsi="Arial" w:cs="Arial"/>
          <w:sz w:val="24"/>
          <w:szCs w:val="24"/>
        </w:rPr>
        <w:t xml:space="preserve"> to amend its </w:t>
      </w:r>
      <w:r w:rsidR="00757832" w:rsidRPr="00F12153">
        <w:rPr>
          <w:rFonts w:ascii="Arial" w:hAnsi="Arial" w:cs="Arial"/>
          <w:sz w:val="24"/>
          <w:szCs w:val="24"/>
        </w:rPr>
        <w:t>pleadings, where</w:t>
      </w:r>
      <w:r w:rsidR="001C1588" w:rsidRPr="00F12153">
        <w:rPr>
          <w:rFonts w:ascii="Arial" w:hAnsi="Arial" w:cs="Arial"/>
          <w:sz w:val="24"/>
          <w:szCs w:val="24"/>
        </w:rPr>
        <w:t xml:space="preserve"> such amendment is not mala </w:t>
      </w:r>
      <w:r w:rsidR="00652E8E" w:rsidRPr="00F12153">
        <w:rPr>
          <w:rFonts w:ascii="Arial" w:hAnsi="Arial" w:cs="Arial"/>
          <w:sz w:val="24"/>
          <w:szCs w:val="24"/>
        </w:rPr>
        <w:t>fides; a</w:t>
      </w:r>
      <w:r w:rsidR="00757832" w:rsidRPr="00F12153">
        <w:rPr>
          <w:rFonts w:ascii="Arial" w:hAnsi="Arial" w:cs="Arial"/>
          <w:sz w:val="24"/>
          <w:szCs w:val="24"/>
        </w:rPr>
        <w:t>nd</w:t>
      </w:r>
      <w:r w:rsidR="001C1588" w:rsidRPr="00F12153">
        <w:rPr>
          <w:rFonts w:ascii="Arial" w:hAnsi="Arial" w:cs="Arial"/>
          <w:sz w:val="24"/>
          <w:szCs w:val="24"/>
        </w:rPr>
        <w:t xml:space="preserve"> the right of the Respondent</w:t>
      </w:r>
      <w:r w:rsidR="005450CA" w:rsidRPr="00F12153">
        <w:rPr>
          <w:rFonts w:ascii="Arial" w:hAnsi="Arial" w:cs="Arial"/>
          <w:sz w:val="24"/>
          <w:szCs w:val="24"/>
        </w:rPr>
        <w:t>s</w:t>
      </w:r>
      <w:r w:rsidR="001C1588" w:rsidRPr="00F12153">
        <w:rPr>
          <w:rFonts w:ascii="Arial" w:hAnsi="Arial" w:cs="Arial"/>
          <w:sz w:val="24"/>
          <w:szCs w:val="24"/>
        </w:rPr>
        <w:t xml:space="preserve"> to object to the amendment where such amendment may cause prejudice to the respondent. Ultimately, this </w:t>
      </w:r>
      <w:r w:rsidR="005450CA" w:rsidRPr="00F12153">
        <w:rPr>
          <w:rFonts w:ascii="Arial" w:hAnsi="Arial" w:cs="Arial"/>
          <w:sz w:val="24"/>
          <w:szCs w:val="24"/>
        </w:rPr>
        <w:t>C</w:t>
      </w:r>
      <w:r w:rsidR="001C1588" w:rsidRPr="00F12153">
        <w:rPr>
          <w:rFonts w:ascii="Arial" w:hAnsi="Arial" w:cs="Arial"/>
          <w:sz w:val="24"/>
          <w:szCs w:val="24"/>
        </w:rPr>
        <w:t xml:space="preserve">ourt has a discretion to allow or disallow the amendments holding the interest of justice </w:t>
      </w:r>
      <w:r w:rsidR="00757832" w:rsidRPr="00F12153">
        <w:rPr>
          <w:rFonts w:ascii="Arial" w:hAnsi="Arial" w:cs="Arial"/>
          <w:sz w:val="24"/>
          <w:szCs w:val="24"/>
        </w:rPr>
        <w:t>and sanctity</w:t>
      </w:r>
      <w:r w:rsidR="001C1588" w:rsidRPr="00F12153">
        <w:rPr>
          <w:rFonts w:ascii="Arial" w:hAnsi="Arial" w:cs="Arial"/>
          <w:sz w:val="24"/>
          <w:szCs w:val="24"/>
        </w:rPr>
        <w:t xml:space="preserve"> of trial time as its yardstick. </w:t>
      </w:r>
    </w:p>
    <w:p w:rsidR="00757832" w:rsidRPr="00757832" w:rsidRDefault="00757832" w:rsidP="00757832">
      <w:pPr>
        <w:pStyle w:val="ListParagraph"/>
        <w:rPr>
          <w:rFonts w:ascii="Arial" w:hAnsi="Arial" w:cs="Arial"/>
          <w:sz w:val="24"/>
          <w:szCs w:val="24"/>
        </w:rPr>
      </w:pPr>
    </w:p>
    <w:p w:rsidR="001C1588" w:rsidRPr="00F12153" w:rsidRDefault="00F12153" w:rsidP="00F12153">
      <w:pPr>
        <w:spacing w:line="360" w:lineRule="auto"/>
        <w:ind w:left="720" w:hanging="720"/>
        <w:jc w:val="both"/>
        <w:rPr>
          <w:rFonts w:ascii="Arial" w:hAnsi="Arial" w:cs="Arial"/>
          <w:sz w:val="24"/>
          <w:szCs w:val="24"/>
        </w:rPr>
      </w:pPr>
      <w:r w:rsidRPr="00652CB2">
        <w:rPr>
          <w:rFonts w:ascii="Arial" w:hAnsi="Arial" w:cs="Arial"/>
          <w:sz w:val="24"/>
          <w:szCs w:val="24"/>
        </w:rPr>
        <w:t>13.</w:t>
      </w:r>
      <w:r w:rsidRPr="00652CB2">
        <w:rPr>
          <w:rFonts w:ascii="Arial" w:hAnsi="Arial" w:cs="Arial"/>
          <w:sz w:val="24"/>
          <w:szCs w:val="24"/>
        </w:rPr>
        <w:tab/>
      </w:r>
      <w:r w:rsidR="00757832" w:rsidRPr="00F12153">
        <w:rPr>
          <w:rFonts w:ascii="Arial" w:hAnsi="Arial" w:cs="Arial"/>
          <w:sz w:val="24"/>
          <w:szCs w:val="24"/>
        </w:rPr>
        <w:t xml:space="preserve">The </w:t>
      </w:r>
      <w:r w:rsidR="000C15D4" w:rsidRPr="00F12153">
        <w:rPr>
          <w:rFonts w:ascii="Arial" w:hAnsi="Arial" w:cs="Arial"/>
          <w:sz w:val="24"/>
          <w:szCs w:val="24"/>
        </w:rPr>
        <w:t>primary object of allowing an amendment is ‘</w:t>
      </w:r>
      <w:r w:rsidR="000C15D4" w:rsidRPr="00F12153">
        <w:rPr>
          <w:rFonts w:ascii="Arial" w:hAnsi="Arial" w:cs="Arial"/>
          <w:i/>
          <w:sz w:val="24"/>
          <w:szCs w:val="24"/>
        </w:rPr>
        <w:t>to obtain a proper ventilation of the dispute between the parties, to determine the real issues between them, so that justice may be done…’</w:t>
      </w:r>
      <w:r w:rsidR="000C15D4" w:rsidRPr="00BA6D2E">
        <w:rPr>
          <w:rStyle w:val="FootnoteReference"/>
          <w:rFonts w:ascii="Arial" w:hAnsi="Arial" w:cs="Arial"/>
          <w:sz w:val="24"/>
          <w:szCs w:val="24"/>
        </w:rPr>
        <w:footnoteReference w:id="4"/>
      </w:r>
    </w:p>
    <w:p w:rsidR="00652CB2" w:rsidRPr="00652CB2" w:rsidRDefault="00652CB2" w:rsidP="00652CB2">
      <w:pPr>
        <w:pStyle w:val="ListParagraph"/>
        <w:spacing w:line="360" w:lineRule="auto"/>
        <w:rPr>
          <w:rFonts w:ascii="Arial" w:hAnsi="Arial" w:cs="Arial"/>
          <w:sz w:val="24"/>
          <w:szCs w:val="24"/>
        </w:rPr>
      </w:pPr>
    </w:p>
    <w:p w:rsidR="000C15D4" w:rsidRPr="00F12153" w:rsidRDefault="00F12153" w:rsidP="00F12153">
      <w:pPr>
        <w:spacing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757832" w:rsidRPr="00F12153">
        <w:rPr>
          <w:rFonts w:ascii="Arial" w:hAnsi="Arial" w:cs="Arial"/>
          <w:sz w:val="24"/>
          <w:szCs w:val="24"/>
        </w:rPr>
        <w:t xml:space="preserve">This </w:t>
      </w:r>
      <w:r w:rsidR="000C15D4" w:rsidRPr="00F12153">
        <w:rPr>
          <w:rFonts w:ascii="Arial" w:hAnsi="Arial" w:cs="Arial"/>
          <w:sz w:val="24"/>
          <w:szCs w:val="24"/>
        </w:rPr>
        <w:t xml:space="preserve">view must be contrasted with the courts inclination to disallow an amendment if such amendment is not made in good faith or done for the sole purpose of prejudicing the opposing </w:t>
      </w:r>
      <w:r w:rsidR="00757832" w:rsidRPr="00F12153">
        <w:rPr>
          <w:rFonts w:ascii="Arial" w:hAnsi="Arial" w:cs="Arial"/>
          <w:sz w:val="24"/>
          <w:szCs w:val="24"/>
        </w:rPr>
        <w:t>party; or</w:t>
      </w:r>
      <w:r w:rsidR="000C15D4" w:rsidRPr="00F12153">
        <w:rPr>
          <w:rFonts w:ascii="Arial" w:hAnsi="Arial" w:cs="Arial"/>
          <w:sz w:val="24"/>
          <w:szCs w:val="24"/>
        </w:rPr>
        <w:t xml:space="preserve"> in cases of obvious injustice to the opposing party.</w:t>
      </w:r>
    </w:p>
    <w:p w:rsidR="00757832" w:rsidRPr="00757832" w:rsidRDefault="00757832" w:rsidP="00652CB2">
      <w:pPr>
        <w:pStyle w:val="ListParagraph"/>
        <w:spacing w:line="360" w:lineRule="auto"/>
        <w:rPr>
          <w:rFonts w:ascii="Arial" w:hAnsi="Arial" w:cs="Arial"/>
          <w:sz w:val="24"/>
          <w:szCs w:val="24"/>
        </w:rPr>
      </w:pPr>
    </w:p>
    <w:p w:rsidR="000D5862" w:rsidRPr="00F12153" w:rsidRDefault="00F12153" w:rsidP="00F12153">
      <w:pPr>
        <w:spacing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757832" w:rsidRPr="00F12153">
        <w:rPr>
          <w:rFonts w:ascii="Arial" w:hAnsi="Arial" w:cs="Arial"/>
          <w:sz w:val="24"/>
          <w:szCs w:val="24"/>
        </w:rPr>
        <w:t xml:space="preserve">The </w:t>
      </w:r>
      <w:r w:rsidR="00652E8E" w:rsidRPr="00F12153">
        <w:rPr>
          <w:rFonts w:ascii="Arial" w:hAnsi="Arial" w:cs="Arial"/>
          <w:sz w:val="24"/>
          <w:szCs w:val="24"/>
        </w:rPr>
        <w:t>A</w:t>
      </w:r>
      <w:r w:rsidR="000C15D4" w:rsidRPr="00F12153">
        <w:rPr>
          <w:rFonts w:ascii="Arial" w:hAnsi="Arial" w:cs="Arial"/>
          <w:sz w:val="24"/>
          <w:szCs w:val="24"/>
        </w:rPr>
        <w:t>pplicant</w:t>
      </w:r>
      <w:r w:rsidR="005450CA" w:rsidRPr="00F12153">
        <w:rPr>
          <w:rFonts w:ascii="Arial" w:hAnsi="Arial" w:cs="Arial"/>
          <w:sz w:val="24"/>
          <w:szCs w:val="24"/>
        </w:rPr>
        <w:t>s</w:t>
      </w:r>
      <w:r w:rsidR="000C15D4" w:rsidRPr="00F12153">
        <w:rPr>
          <w:rFonts w:ascii="Arial" w:hAnsi="Arial" w:cs="Arial"/>
          <w:sz w:val="24"/>
          <w:szCs w:val="24"/>
        </w:rPr>
        <w:t xml:space="preserve"> ha</w:t>
      </w:r>
      <w:r w:rsidR="005450CA" w:rsidRPr="00F12153">
        <w:rPr>
          <w:rFonts w:ascii="Arial" w:hAnsi="Arial" w:cs="Arial"/>
          <w:sz w:val="24"/>
          <w:szCs w:val="24"/>
        </w:rPr>
        <w:t>ve</w:t>
      </w:r>
      <w:r w:rsidR="000C15D4" w:rsidRPr="00F12153">
        <w:rPr>
          <w:rFonts w:ascii="Arial" w:hAnsi="Arial" w:cs="Arial"/>
          <w:sz w:val="24"/>
          <w:szCs w:val="24"/>
        </w:rPr>
        <w:t xml:space="preserve"> contextualized its proposed amendments in its heads of argument as </w:t>
      </w:r>
      <w:r w:rsidR="00757832" w:rsidRPr="00F12153">
        <w:rPr>
          <w:rFonts w:ascii="Arial" w:hAnsi="Arial" w:cs="Arial"/>
          <w:sz w:val="24"/>
          <w:szCs w:val="24"/>
        </w:rPr>
        <w:t>follows:</w:t>
      </w:r>
    </w:p>
    <w:p w:rsidR="00757832" w:rsidRDefault="00757832" w:rsidP="00652CB2">
      <w:pPr>
        <w:pStyle w:val="ListParagraph"/>
        <w:spacing w:line="360" w:lineRule="auto"/>
        <w:rPr>
          <w:rFonts w:ascii="Arial" w:hAnsi="Arial" w:cs="Arial"/>
          <w:sz w:val="24"/>
          <w:szCs w:val="24"/>
        </w:rPr>
      </w:pPr>
    </w:p>
    <w:p w:rsidR="00392BD4" w:rsidRPr="00F12153" w:rsidRDefault="00F12153" w:rsidP="00F12153">
      <w:pPr>
        <w:spacing w:line="360" w:lineRule="auto"/>
        <w:ind w:left="1440" w:hanging="720"/>
        <w:jc w:val="both"/>
        <w:rPr>
          <w:rFonts w:ascii="Arial" w:hAnsi="Arial" w:cs="Arial"/>
          <w:i/>
          <w:sz w:val="24"/>
          <w:szCs w:val="24"/>
        </w:rPr>
      </w:pPr>
      <w:r w:rsidRPr="005450CA">
        <w:rPr>
          <w:rFonts w:ascii="Arial" w:hAnsi="Arial" w:cs="Arial"/>
          <w:i/>
          <w:sz w:val="24"/>
          <w:szCs w:val="24"/>
        </w:rPr>
        <w:t>15.1</w:t>
      </w:r>
      <w:r w:rsidRPr="005450CA">
        <w:rPr>
          <w:rFonts w:ascii="Arial" w:hAnsi="Arial" w:cs="Arial"/>
          <w:i/>
          <w:sz w:val="24"/>
          <w:szCs w:val="24"/>
        </w:rPr>
        <w:tab/>
      </w:r>
      <w:r w:rsidR="00392BD4" w:rsidRPr="00F12153">
        <w:rPr>
          <w:rFonts w:ascii="Arial" w:hAnsi="Arial" w:cs="Arial"/>
          <w:i/>
          <w:sz w:val="24"/>
          <w:szCs w:val="24"/>
        </w:rPr>
        <w:t>KABL, of which Tego is a wholly-owned subsidiary, carries on business in the agricultural, fuel and related markets in Southern Africa.</w:t>
      </w:r>
    </w:p>
    <w:p w:rsidR="00392BD4" w:rsidRPr="005450CA" w:rsidRDefault="00392BD4" w:rsidP="00392BD4">
      <w:pPr>
        <w:pStyle w:val="ListParagraph"/>
        <w:spacing w:line="360" w:lineRule="auto"/>
        <w:ind w:left="1440"/>
        <w:jc w:val="both"/>
        <w:rPr>
          <w:rFonts w:ascii="Arial" w:hAnsi="Arial" w:cs="Arial"/>
          <w:i/>
          <w:sz w:val="24"/>
          <w:szCs w:val="24"/>
        </w:rPr>
      </w:pPr>
    </w:p>
    <w:p w:rsidR="00392BD4" w:rsidRPr="00F12153" w:rsidRDefault="00F12153" w:rsidP="00F12153">
      <w:pPr>
        <w:spacing w:line="360" w:lineRule="auto"/>
        <w:ind w:left="1440" w:hanging="720"/>
        <w:jc w:val="both"/>
        <w:rPr>
          <w:rFonts w:ascii="Arial" w:hAnsi="Arial" w:cs="Arial"/>
          <w:i/>
          <w:sz w:val="24"/>
          <w:szCs w:val="24"/>
        </w:rPr>
      </w:pPr>
      <w:r w:rsidRPr="005450CA">
        <w:rPr>
          <w:rFonts w:ascii="Arial" w:hAnsi="Arial" w:cs="Arial"/>
          <w:i/>
          <w:sz w:val="24"/>
          <w:szCs w:val="24"/>
        </w:rPr>
        <w:t>15.2</w:t>
      </w:r>
      <w:r w:rsidRPr="005450CA">
        <w:rPr>
          <w:rFonts w:ascii="Arial" w:hAnsi="Arial" w:cs="Arial"/>
          <w:i/>
          <w:sz w:val="24"/>
          <w:szCs w:val="24"/>
        </w:rPr>
        <w:tab/>
      </w:r>
      <w:r w:rsidR="00392BD4" w:rsidRPr="00F12153">
        <w:rPr>
          <w:rFonts w:ascii="Arial" w:hAnsi="Arial" w:cs="Arial"/>
          <w:i/>
          <w:sz w:val="24"/>
          <w:szCs w:val="24"/>
        </w:rPr>
        <w:t>From 2017 onwards, the Applicants engaged the Respondents in order to establish a large machine injection moulding manufacturing plant in Cape Town for the initial purpose of producing large plastic bulk bins for use in the post-harvest phase of the fresh produce / agricultural value chain.</w:t>
      </w:r>
      <w:r w:rsidR="00392BD4" w:rsidRPr="005450CA">
        <w:rPr>
          <w:rStyle w:val="FootnoteReference"/>
          <w:rFonts w:ascii="Arial" w:hAnsi="Arial" w:cs="Arial"/>
          <w:i/>
          <w:sz w:val="24"/>
          <w:szCs w:val="24"/>
        </w:rPr>
        <w:footnoteReference w:id="5"/>
      </w:r>
    </w:p>
    <w:p w:rsidR="00392BD4" w:rsidRPr="005450CA" w:rsidRDefault="00392BD4" w:rsidP="00652CB2">
      <w:pPr>
        <w:pStyle w:val="ListParagraph"/>
        <w:spacing w:line="360" w:lineRule="auto"/>
        <w:rPr>
          <w:rFonts w:ascii="Arial" w:hAnsi="Arial" w:cs="Arial"/>
          <w:i/>
          <w:sz w:val="24"/>
          <w:szCs w:val="24"/>
        </w:rPr>
      </w:pPr>
    </w:p>
    <w:p w:rsidR="00392BD4" w:rsidRPr="00F12153" w:rsidRDefault="00F12153" w:rsidP="00F12153">
      <w:pPr>
        <w:spacing w:line="360" w:lineRule="auto"/>
        <w:ind w:left="1440" w:hanging="720"/>
        <w:jc w:val="both"/>
        <w:rPr>
          <w:rFonts w:ascii="Arial" w:hAnsi="Arial" w:cs="Arial"/>
          <w:i/>
          <w:sz w:val="24"/>
          <w:szCs w:val="24"/>
        </w:rPr>
      </w:pPr>
      <w:r w:rsidRPr="005450CA">
        <w:rPr>
          <w:rFonts w:ascii="Arial" w:hAnsi="Arial" w:cs="Arial"/>
          <w:i/>
          <w:sz w:val="24"/>
          <w:szCs w:val="24"/>
        </w:rPr>
        <w:t>15.3</w:t>
      </w:r>
      <w:r w:rsidRPr="005450CA">
        <w:rPr>
          <w:rFonts w:ascii="Arial" w:hAnsi="Arial" w:cs="Arial"/>
          <w:i/>
          <w:sz w:val="24"/>
          <w:szCs w:val="24"/>
        </w:rPr>
        <w:tab/>
      </w:r>
      <w:r w:rsidR="00392BD4" w:rsidRPr="00F12153">
        <w:rPr>
          <w:rFonts w:ascii="Arial" w:hAnsi="Arial" w:cs="Arial"/>
          <w:i/>
          <w:sz w:val="24"/>
          <w:szCs w:val="24"/>
        </w:rPr>
        <w:t>To that end, in or about November 2018 the Applicants and the Respondents concluded the suite of three agreements mentioned above, namely:</w:t>
      </w:r>
    </w:p>
    <w:p w:rsidR="00392BD4" w:rsidRPr="005450CA" w:rsidRDefault="00392BD4" w:rsidP="00392BD4">
      <w:pPr>
        <w:pStyle w:val="ListParagraph"/>
        <w:spacing w:line="360" w:lineRule="auto"/>
        <w:ind w:left="1440"/>
        <w:jc w:val="both"/>
        <w:rPr>
          <w:rFonts w:ascii="Arial" w:hAnsi="Arial" w:cs="Arial"/>
          <w:i/>
          <w:sz w:val="24"/>
          <w:szCs w:val="24"/>
        </w:rPr>
      </w:pPr>
    </w:p>
    <w:p w:rsidR="00392BD4" w:rsidRPr="005450CA" w:rsidRDefault="00392BD4" w:rsidP="00392BD4">
      <w:pPr>
        <w:pStyle w:val="ListParagraph"/>
        <w:spacing w:line="360" w:lineRule="auto"/>
        <w:ind w:left="1440"/>
        <w:jc w:val="both"/>
        <w:rPr>
          <w:rFonts w:ascii="Arial" w:hAnsi="Arial" w:cs="Arial"/>
          <w:i/>
          <w:sz w:val="24"/>
          <w:szCs w:val="24"/>
        </w:rPr>
      </w:pPr>
      <w:r w:rsidRPr="005450CA">
        <w:rPr>
          <w:rFonts w:ascii="Arial" w:hAnsi="Arial" w:cs="Arial"/>
          <w:i/>
          <w:sz w:val="24"/>
          <w:szCs w:val="24"/>
        </w:rPr>
        <w:t>15.3.1</w:t>
      </w:r>
      <w:r w:rsidRPr="005450CA">
        <w:rPr>
          <w:rFonts w:ascii="Arial" w:hAnsi="Arial" w:cs="Arial"/>
          <w:i/>
          <w:sz w:val="24"/>
          <w:szCs w:val="24"/>
        </w:rPr>
        <w:tab/>
        <w:t xml:space="preserve">the </w:t>
      </w:r>
      <w:r w:rsidRPr="005450CA">
        <w:rPr>
          <w:rFonts w:ascii="Arial" w:hAnsi="Arial" w:cs="Arial"/>
          <w:i/>
          <w:sz w:val="24"/>
          <w:szCs w:val="24"/>
          <w:u w:val="single"/>
        </w:rPr>
        <w:t>Consulting Agreement</w:t>
      </w:r>
      <w:r w:rsidRPr="005450CA">
        <w:rPr>
          <w:rFonts w:ascii="Arial" w:hAnsi="Arial" w:cs="Arial"/>
          <w:i/>
          <w:sz w:val="24"/>
          <w:szCs w:val="24"/>
        </w:rPr>
        <w:t xml:space="preserve"> concluded by Smith with KABL;</w:t>
      </w:r>
    </w:p>
    <w:p w:rsidR="00392BD4" w:rsidRPr="005450CA" w:rsidRDefault="00392BD4" w:rsidP="00392BD4">
      <w:pPr>
        <w:pStyle w:val="ListParagraph"/>
        <w:spacing w:line="360" w:lineRule="auto"/>
        <w:ind w:left="1440"/>
        <w:jc w:val="both"/>
        <w:rPr>
          <w:rFonts w:ascii="Arial" w:hAnsi="Arial" w:cs="Arial"/>
          <w:i/>
          <w:sz w:val="24"/>
          <w:szCs w:val="24"/>
        </w:rPr>
      </w:pPr>
    </w:p>
    <w:p w:rsidR="00392BD4" w:rsidRPr="005450CA" w:rsidRDefault="00392BD4" w:rsidP="00392BD4">
      <w:pPr>
        <w:pStyle w:val="ListParagraph"/>
        <w:spacing w:line="360" w:lineRule="auto"/>
        <w:ind w:left="1440"/>
        <w:jc w:val="both"/>
        <w:rPr>
          <w:rFonts w:ascii="Arial" w:hAnsi="Arial" w:cs="Arial"/>
          <w:i/>
          <w:sz w:val="24"/>
          <w:szCs w:val="24"/>
        </w:rPr>
      </w:pPr>
      <w:r w:rsidRPr="005450CA">
        <w:rPr>
          <w:rFonts w:ascii="Arial" w:hAnsi="Arial" w:cs="Arial"/>
          <w:i/>
          <w:sz w:val="24"/>
          <w:szCs w:val="24"/>
        </w:rPr>
        <w:t>15.3.2</w:t>
      </w:r>
      <w:r w:rsidRPr="005450CA">
        <w:rPr>
          <w:rFonts w:ascii="Arial" w:hAnsi="Arial" w:cs="Arial"/>
          <w:i/>
          <w:sz w:val="24"/>
          <w:szCs w:val="24"/>
        </w:rPr>
        <w:tab/>
        <w:t xml:space="preserve">the </w:t>
      </w:r>
      <w:r w:rsidRPr="005450CA">
        <w:rPr>
          <w:rFonts w:ascii="Arial" w:hAnsi="Arial" w:cs="Arial"/>
          <w:i/>
          <w:sz w:val="24"/>
          <w:szCs w:val="24"/>
          <w:u w:val="single"/>
        </w:rPr>
        <w:t>Licence Agreement</w:t>
      </w:r>
      <w:r w:rsidRPr="005450CA">
        <w:rPr>
          <w:rFonts w:ascii="Arial" w:hAnsi="Arial" w:cs="Arial"/>
          <w:i/>
          <w:sz w:val="24"/>
          <w:szCs w:val="24"/>
        </w:rPr>
        <w:t xml:space="preserve"> concluded by Melaplastics with Tego; and</w:t>
      </w:r>
    </w:p>
    <w:p w:rsidR="00392BD4" w:rsidRPr="005450CA" w:rsidRDefault="00392BD4" w:rsidP="00392BD4">
      <w:pPr>
        <w:pStyle w:val="ListParagraph"/>
        <w:spacing w:line="360" w:lineRule="auto"/>
        <w:ind w:left="1440"/>
        <w:jc w:val="both"/>
        <w:rPr>
          <w:rFonts w:ascii="Arial" w:hAnsi="Arial" w:cs="Arial"/>
          <w:i/>
          <w:sz w:val="24"/>
          <w:szCs w:val="24"/>
        </w:rPr>
      </w:pPr>
    </w:p>
    <w:p w:rsidR="00392BD4" w:rsidRPr="005450CA" w:rsidRDefault="00392BD4" w:rsidP="00392BD4">
      <w:pPr>
        <w:pStyle w:val="ListParagraph"/>
        <w:spacing w:line="360" w:lineRule="auto"/>
        <w:ind w:left="2160" w:hanging="720"/>
        <w:jc w:val="both"/>
        <w:rPr>
          <w:rFonts w:ascii="Arial" w:hAnsi="Arial" w:cs="Arial"/>
          <w:i/>
          <w:sz w:val="24"/>
          <w:szCs w:val="24"/>
        </w:rPr>
      </w:pPr>
      <w:r w:rsidRPr="005450CA">
        <w:rPr>
          <w:rFonts w:ascii="Arial" w:hAnsi="Arial" w:cs="Arial"/>
          <w:i/>
          <w:sz w:val="24"/>
          <w:szCs w:val="24"/>
        </w:rPr>
        <w:lastRenderedPageBreak/>
        <w:t>15.3.3</w:t>
      </w:r>
      <w:r w:rsidRPr="005450CA">
        <w:rPr>
          <w:rFonts w:ascii="Arial" w:hAnsi="Arial" w:cs="Arial"/>
          <w:i/>
          <w:sz w:val="24"/>
          <w:szCs w:val="24"/>
        </w:rPr>
        <w:tab/>
        <w:t xml:space="preserve">the </w:t>
      </w:r>
      <w:r w:rsidRPr="005450CA">
        <w:rPr>
          <w:rFonts w:ascii="Arial" w:hAnsi="Arial" w:cs="Arial"/>
          <w:i/>
          <w:sz w:val="24"/>
          <w:szCs w:val="24"/>
          <w:u w:val="single"/>
        </w:rPr>
        <w:t>Employment Agreement</w:t>
      </w:r>
      <w:r w:rsidRPr="005450CA">
        <w:rPr>
          <w:rFonts w:ascii="Arial" w:hAnsi="Arial" w:cs="Arial"/>
          <w:i/>
          <w:sz w:val="24"/>
          <w:szCs w:val="24"/>
        </w:rPr>
        <w:t xml:space="preserve"> concluded by Smith with Tego and KABL.</w:t>
      </w:r>
    </w:p>
    <w:p w:rsidR="00F3231F" w:rsidRPr="005450CA" w:rsidRDefault="00F3231F" w:rsidP="00392BD4">
      <w:pPr>
        <w:pStyle w:val="ListParagraph"/>
        <w:spacing w:line="360" w:lineRule="auto"/>
        <w:ind w:left="2160" w:hanging="720"/>
        <w:jc w:val="both"/>
        <w:rPr>
          <w:rFonts w:ascii="Arial" w:hAnsi="Arial" w:cs="Arial"/>
          <w:i/>
          <w:sz w:val="24"/>
          <w:szCs w:val="24"/>
        </w:rPr>
      </w:pPr>
    </w:p>
    <w:p w:rsidR="00392BD4" w:rsidRPr="00F12153" w:rsidRDefault="00F12153" w:rsidP="00F12153">
      <w:pPr>
        <w:spacing w:line="360" w:lineRule="auto"/>
        <w:ind w:left="1440" w:hanging="720"/>
        <w:jc w:val="both"/>
        <w:rPr>
          <w:rFonts w:ascii="Arial" w:hAnsi="Arial" w:cs="Arial"/>
          <w:i/>
          <w:sz w:val="24"/>
          <w:szCs w:val="24"/>
        </w:rPr>
      </w:pPr>
      <w:r w:rsidRPr="005450CA">
        <w:rPr>
          <w:rFonts w:ascii="Arial" w:hAnsi="Arial" w:cs="Arial"/>
          <w:i/>
          <w:sz w:val="24"/>
          <w:szCs w:val="24"/>
        </w:rPr>
        <w:t>15.4</w:t>
      </w:r>
      <w:r w:rsidRPr="005450CA">
        <w:rPr>
          <w:rFonts w:ascii="Arial" w:hAnsi="Arial" w:cs="Arial"/>
          <w:i/>
          <w:sz w:val="24"/>
          <w:szCs w:val="24"/>
        </w:rPr>
        <w:tab/>
      </w:r>
      <w:r w:rsidR="00392BD4" w:rsidRPr="00F12153">
        <w:rPr>
          <w:rFonts w:ascii="Arial" w:hAnsi="Arial" w:cs="Arial"/>
          <w:i/>
          <w:sz w:val="24"/>
          <w:szCs w:val="24"/>
        </w:rPr>
        <w:t>However, as pleaded in the original POC and amended POC,</w:t>
      </w:r>
      <w:r w:rsidR="00392BD4" w:rsidRPr="005450CA">
        <w:rPr>
          <w:rStyle w:val="FootnoteReference"/>
          <w:rFonts w:ascii="Arial" w:hAnsi="Arial" w:cs="Arial"/>
          <w:i/>
          <w:sz w:val="24"/>
          <w:szCs w:val="24"/>
        </w:rPr>
        <w:footnoteReference w:id="6"/>
      </w:r>
      <w:r w:rsidR="00D2051B" w:rsidRPr="00F12153">
        <w:rPr>
          <w:rFonts w:ascii="Arial" w:hAnsi="Arial" w:cs="Arial"/>
          <w:i/>
          <w:sz w:val="24"/>
          <w:szCs w:val="24"/>
        </w:rPr>
        <w:t xml:space="preserve"> the bulk bins thus produced are (inter alia) sub-standard, of poor quality, structurally defective, and not fit for purpose.  For example, even though they are contractually required to be stackable up to a height of eight fully-loaded bulk bins, at such a height bulk bins and stacks ultimately collapse.</w:t>
      </w:r>
    </w:p>
    <w:p w:rsidR="00D2051B" w:rsidRPr="005450CA" w:rsidRDefault="00D2051B" w:rsidP="00D2051B">
      <w:pPr>
        <w:pStyle w:val="ListParagraph"/>
        <w:spacing w:line="360" w:lineRule="auto"/>
        <w:ind w:left="1440"/>
        <w:jc w:val="both"/>
        <w:rPr>
          <w:rFonts w:ascii="Arial" w:hAnsi="Arial" w:cs="Arial"/>
          <w:i/>
          <w:sz w:val="24"/>
          <w:szCs w:val="24"/>
        </w:rPr>
      </w:pPr>
    </w:p>
    <w:p w:rsidR="00D2051B" w:rsidRPr="00F12153" w:rsidRDefault="00F12153" w:rsidP="00F12153">
      <w:pPr>
        <w:spacing w:line="360" w:lineRule="auto"/>
        <w:ind w:left="1440" w:hanging="720"/>
        <w:jc w:val="both"/>
        <w:rPr>
          <w:rFonts w:ascii="Arial" w:hAnsi="Arial" w:cs="Arial"/>
          <w:i/>
          <w:sz w:val="24"/>
          <w:szCs w:val="24"/>
        </w:rPr>
      </w:pPr>
      <w:r w:rsidRPr="005450CA">
        <w:rPr>
          <w:rFonts w:ascii="Arial" w:hAnsi="Arial" w:cs="Arial"/>
          <w:i/>
          <w:sz w:val="24"/>
          <w:szCs w:val="24"/>
        </w:rPr>
        <w:t>15.5</w:t>
      </w:r>
      <w:r w:rsidRPr="005450CA">
        <w:rPr>
          <w:rFonts w:ascii="Arial" w:hAnsi="Arial" w:cs="Arial"/>
          <w:i/>
          <w:sz w:val="24"/>
          <w:szCs w:val="24"/>
        </w:rPr>
        <w:tab/>
      </w:r>
      <w:r w:rsidR="00D2051B" w:rsidRPr="00F12153">
        <w:rPr>
          <w:rFonts w:ascii="Arial" w:hAnsi="Arial" w:cs="Arial"/>
          <w:i/>
          <w:sz w:val="24"/>
          <w:szCs w:val="24"/>
        </w:rPr>
        <w:t>As a result, the Applicants have suffered damages in excess of R100 million.</w:t>
      </w:r>
      <w:r w:rsidR="00D2051B" w:rsidRPr="005450CA">
        <w:rPr>
          <w:rStyle w:val="FootnoteReference"/>
          <w:rFonts w:ascii="Arial" w:hAnsi="Arial" w:cs="Arial"/>
          <w:i/>
          <w:sz w:val="24"/>
          <w:szCs w:val="24"/>
        </w:rPr>
        <w:footnoteReference w:id="7"/>
      </w:r>
    </w:p>
    <w:p w:rsidR="00D2051B" w:rsidRPr="005450CA" w:rsidRDefault="00D2051B" w:rsidP="00652CB2">
      <w:pPr>
        <w:pStyle w:val="ListParagraph"/>
        <w:spacing w:line="360" w:lineRule="auto"/>
        <w:rPr>
          <w:rFonts w:ascii="Arial" w:hAnsi="Arial" w:cs="Arial"/>
          <w:i/>
          <w:sz w:val="24"/>
          <w:szCs w:val="24"/>
        </w:rPr>
      </w:pPr>
    </w:p>
    <w:p w:rsidR="00D2051B" w:rsidRPr="00F12153" w:rsidRDefault="00F12153" w:rsidP="00F12153">
      <w:pPr>
        <w:spacing w:line="360" w:lineRule="auto"/>
        <w:ind w:left="1440" w:hanging="720"/>
        <w:jc w:val="both"/>
        <w:rPr>
          <w:rFonts w:ascii="Arial" w:hAnsi="Arial" w:cs="Arial"/>
          <w:i/>
          <w:sz w:val="24"/>
          <w:szCs w:val="24"/>
        </w:rPr>
      </w:pPr>
      <w:r w:rsidRPr="005450CA">
        <w:rPr>
          <w:rFonts w:ascii="Arial" w:hAnsi="Arial" w:cs="Arial"/>
          <w:i/>
          <w:sz w:val="24"/>
          <w:szCs w:val="24"/>
        </w:rPr>
        <w:t>15.6</w:t>
      </w:r>
      <w:r w:rsidRPr="005450CA">
        <w:rPr>
          <w:rFonts w:ascii="Arial" w:hAnsi="Arial" w:cs="Arial"/>
          <w:i/>
          <w:sz w:val="24"/>
          <w:szCs w:val="24"/>
        </w:rPr>
        <w:tab/>
      </w:r>
      <w:r w:rsidR="00D2051B" w:rsidRPr="00F12153">
        <w:rPr>
          <w:rFonts w:ascii="Arial" w:hAnsi="Arial" w:cs="Arial"/>
          <w:i/>
          <w:sz w:val="24"/>
          <w:szCs w:val="24"/>
        </w:rPr>
        <w:t xml:space="preserve">Accordingly, in both the original POC and amended POC, the Applicants pleaded three </w:t>
      </w:r>
      <w:r w:rsidR="00D2051B" w:rsidRPr="00F12153">
        <w:rPr>
          <w:rFonts w:ascii="Arial" w:hAnsi="Arial" w:cs="Arial"/>
          <w:i/>
          <w:sz w:val="24"/>
          <w:szCs w:val="24"/>
          <w:u w:val="single"/>
        </w:rPr>
        <w:t>alternative</w:t>
      </w:r>
      <w:r w:rsidR="00D2051B" w:rsidRPr="00F12153">
        <w:rPr>
          <w:rFonts w:ascii="Arial" w:hAnsi="Arial" w:cs="Arial"/>
          <w:i/>
          <w:sz w:val="24"/>
          <w:szCs w:val="24"/>
        </w:rPr>
        <w:t xml:space="preserve"> causes of action, as summarized above in paragraph 4, namely, </w:t>
      </w:r>
      <w:r w:rsidR="00D2051B" w:rsidRPr="00F12153">
        <w:rPr>
          <w:rFonts w:ascii="Arial" w:hAnsi="Arial" w:cs="Arial"/>
          <w:i/>
          <w:sz w:val="24"/>
          <w:szCs w:val="24"/>
          <w:u w:val="single"/>
        </w:rPr>
        <w:t>claim 1</w:t>
      </w:r>
      <w:r w:rsidR="00D2051B" w:rsidRPr="00F12153">
        <w:rPr>
          <w:rFonts w:ascii="Arial" w:hAnsi="Arial" w:cs="Arial"/>
          <w:i/>
          <w:sz w:val="24"/>
          <w:szCs w:val="24"/>
        </w:rPr>
        <w:t xml:space="preserve"> (i.e., Tego sues Melaplastics for breach of the Licence Agreement), </w:t>
      </w:r>
      <w:r w:rsidR="00D2051B" w:rsidRPr="00F12153">
        <w:rPr>
          <w:rFonts w:ascii="Arial" w:hAnsi="Arial" w:cs="Arial"/>
          <w:i/>
          <w:sz w:val="24"/>
          <w:szCs w:val="24"/>
          <w:u w:val="single"/>
        </w:rPr>
        <w:t>claim 2</w:t>
      </w:r>
      <w:r w:rsidR="00D2051B" w:rsidRPr="00F12153">
        <w:rPr>
          <w:rFonts w:ascii="Arial" w:hAnsi="Arial" w:cs="Arial"/>
          <w:i/>
          <w:sz w:val="24"/>
          <w:szCs w:val="24"/>
        </w:rPr>
        <w:t xml:space="preserve"> (i.e., KABL sues Smith for breach of the Consulting Agreement), and </w:t>
      </w:r>
      <w:r w:rsidR="00D2051B" w:rsidRPr="00F12153">
        <w:rPr>
          <w:rFonts w:ascii="Arial" w:hAnsi="Arial" w:cs="Arial"/>
          <w:i/>
          <w:sz w:val="24"/>
          <w:szCs w:val="24"/>
          <w:u w:val="single"/>
        </w:rPr>
        <w:t>claim 3</w:t>
      </w:r>
      <w:r w:rsidR="00D2051B" w:rsidRPr="00F12153">
        <w:rPr>
          <w:rFonts w:ascii="Arial" w:hAnsi="Arial" w:cs="Arial"/>
          <w:i/>
          <w:sz w:val="24"/>
          <w:szCs w:val="24"/>
        </w:rPr>
        <w:t xml:space="preserve"> (i.e., Tego and KABL sue Smith for breach of the Employment Agreement).</w:t>
      </w:r>
    </w:p>
    <w:p w:rsidR="00D2051B" w:rsidRPr="005450CA" w:rsidRDefault="00D2051B" w:rsidP="00652CB2">
      <w:pPr>
        <w:pStyle w:val="ListParagraph"/>
        <w:spacing w:line="360" w:lineRule="auto"/>
        <w:rPr>
          <w:rFonts w:ascii="Arial" w:hAnsi="Arial" w:cs="Arial"/>
          <w:i/>
          <w:sz w:val="24"/>
          <w:szCs w:val="24"/>
        </w:rPr>
      </w:pPr>
    </w:p>
    <w:p w:rsidR="00D2051B" w:rsidRPr="00F12153" w:rsidRDefault="00F12153" w:rsidP="00F12153">
      <w:pPr>
        <w:spacing w:line="360" w:lineRule="auto"/>
        <w:ind w:left="1440" w:hanging="720"/>
        <w:jc w:val="both"/>
        <w:rPr>
          <w:rFonts w:ascii="Arial" w:hAnsi="Arial" w:cs="Arial"/>
          <w:i/>
          <w:sz w:val="24"/>
          <w:szCs w:val="24"/>
        </w:rPr>
      </w:pPr>
      <w:r w:rsidRPr="005450CA">
        <w:rPr>
          <w:rFonts w:ascii="Arial" w:hAnsi="Arial" w:cs="Arial"/>
          <w:i/>
          <w:sz w:val="24"/>
          <w:szCs w:val="24"/>
        </w:rPr>
        <w:t>15.7</w:t>
      </w:r>
      <w:r w:rsidRPr="005450CA">
        <w:rPr>
          <w:rFonts w:ascii="Arial" w:hAnsi="Arial" w:cs="Arial"/>
          <w:i/>
          <w:sz w:val="24"/>
          <w:szCs w:val="24"/>
        </w:rPr>
        <w:tab/>
      </w:r>
      <w:r w:rsidR="00D2051B" w:rsidRPr="00F12153">
        <w:rPr>
          <w:rFonts w:ascii="Arial" w:hAnsi="Arial" w:cs="Arial"/>
          <w:i/>
          <w:sz w:val="24"/>
          <w:szCs w:val="24"/>
        </w:rPr>
        <w:t xml:space="preserve">Obviously, it is for the Applicants to prove at trial (i) whether Melaplastics breached the Licence Agreement, whether Smith breached the Consulting </w:t>
      </w:r>
      <w:r w:rsidR="00905073" w:rsidRPr="00F12153">
        <w:rPr>
          <w:rFonts w:ascii="Arial" w:hAnsi="Arial" w:cs="Arial"/>
          <w:i/>
          <w:sz w:val="24"/>
          <w:szCs w:val="24"/>
        </w:rPr>
        <w:t>Agreement</w:t>
      </w:r>
      <w:r w:rsidR="00D2051B" w:rsidRPr="00F12153">
        <w:rPr>
          <w:rFonts w:ascii="Arial" w:hAnsi="Arial" w:cs="Arial"/>
          <w:i/>
          <w:sz w:val="24"/>
          <w:szCs w:val="24"/>
        </w:rPr>
        <w:t>, or whether Smith breached the Employment Agreement, and (ii) in one of these events, what damages, if any, were suffered by Tego or KABL as a result of a proven breach.</w:t>
      </w:r>
    </w:p>
    <w:p w:rsidR="00D2051B" w:rsidRPr="005450CA" w:rsidRDefault="00D2051B" w:rsidP="00652CB2">
      <w:pPr>
        <w:pStyle w:val="ListParagraph"/>
        <w:spacing w:line="360" w:lineRule="auto"/>
        <w:rPr>
          <w:rFonts w:ascii="Arial" w:hAnsi="Arial" w:cs="Arial"/>
          <w:i/>
          <w:sz w:val="24"/>
          <w:szCs w:val="24"/>
        </w:rPr>
      </w:pPr>
    </w:p>
    <w:p w:rsidR="00D2051B" w:rsidRPr="00F12153" w:rsidRDefault="00F12153" w:rsidP="00F12153">
      <w:pPr>
        <w:spacing w:line="360" w:lineRule="auto"/>
        <w:ind w:left="1440" w:hanging="720"/>
        <w:jc w:val="both"/>
        <w:rPr>
          <w:rFonts w:ascii="Arial" w:hAnsi="Arial" w:cs="Arial"/>
          <w:i/>
          <w:sz w:val="24"/>
          <w:szCs w:val="24"/>
        </w:rPr>
      </w:pPr>
      <w:r w:rsidRPr="005450CA">
        <w:rPr>
          <w:rFonts w:ascii="Arial" w:hAnsi="Arial" w:cs="Arial"/>
          <w:i/>
          <w:sz w:val="24"/>
          <w:szCs w:val="24"/>
        </w:rPr>
        <w:t>15.8</w:t>
      </w:r>
      <w:r w:rsidRPr="005450CA">
        <w:rPr>
          <w:rFonts w:ascii="Arial" w:hAnsi="Arial" w:cs="Arial"/>
          <w:i/>
          <w:sz w:val="24"/>
          <w:szCs w:val="24"/>
        </w:rPr>
        <w:tab/>
      </w:r>
      <w:r w:rsidR="00D2051B" w:rsidRPr="00F12153">
        <w:rPr>
          <w:rFonts w:ascii="Arial" w:hAnsi="Arial" w:cs="Arial"/>
          <w:i/>
          <w:sz w:val="24"/>
          <w:szCs w:val="24"/>
        </w:rPr>
        <w:t>Plainly, both (i) and (ii) are matters for evidence.</w:t>
      </w:r>
    </w:p>
    <w:p w:rsidR="00D2051B" w:rsidRPr="005450CA" w:rsidRDefault="00D2051B" w:rsidP="00652CB2">
      <w:pPr>
        <w:pStyle w:val="ListParagraph"/>
        <w:spacing w:line="360" w:lineRule="auto"/>
        <w:rPr>
          <w:rFonts w:ascii="Arial" w:hAnsi="Arial" w:cs="Arial"/>
          <w:i/>
          <w:sz w:val="24"/>
          <w:szCs w:val="24"/>
        </w:rPr>
      </w:pPr>
    </w:p>
    <w:p w:rsidR="00D2051B" w:rsidRPr="00F12153" w:rsidRDefault="00F12153" w:rsidP="00F12153">
      <w:pPr>
        <w:spacing w:line="360" w:lineRule="auto"/>
        <w:ind w:left="1440" w:hanging="720"/>
        <w:jc w:val="both"/>
        <w:rPr>
          <w:rFonts w:ascii="Arial" w:hAnsi="Arial" w:cs="Arial"/>
          <w:i/>
          <w:sz w:val="24"/>
          <w:szCs w:val="24"/>
        </w:rPr>
      </w:pPr>
      <w:r w:rsidRPr="005450CA">
        <w:rPr>
          <w:rFonts w:ascii="Arial" w:hAnsi="Arial" w:cs="Arial"/>
          <w:i/>
          <w:sz w:val="24"/>
          <w:szCs w:val="24"/>
        </w:rPr>
        <w:t>15.9</w:t>
      </w:r>
      <w:r w:rsidRPr="005450CA">
        <w:rPr>
          <w:rFonts w:ascii="Arial" w:hAnsi="Arial" w:cs="Arial"/>
          <w:i/>
          <w:sz w:val="24"/>
          <w:szCs w:val="24"/>
        </w:rPr>
        <w:tab/>
      </w:r>
      <w:r w:rsidR="00D2051B" w:rsidRPr="00F12153">
        <w:rPr>
          <w:rFonts w:ascii="Arial" w:hAnsi="Arial" w:cs="Arial"/>
          <w:i/>
          <w:sz w:val="24"/>
          <w:szCs w:val="24"/>
        </w:rPr>
        <w:t>Each such claim would stand on its own feet and would have to be proved independently of any other claim.</w:t>
      </w:r>
    </w:p>
    <w:p w:rsidR="00905073" w:rsidRPr="00F12153" w:rsidRDefault="00F12153" w:rsidP="00F12153">
      <w:pPr>
        <w:spacing w:line="360" w:lineRule="auto"/>
        <w:ind w:left="1440" w:hanging="720"/>
        <w:jc w:val="both"/>
        <w:rPr>
          <w:rFonts w:ascii="Arial" w:hAnsi="Arial" w:cs="Arial"/>
          <w:sz w:val="24"/>
          <w:szCs w:val="24"/>
        </w:rPr>
      </w:pPr>
      <w:r w:rsidRPr="00392BD4">
        <w:rPr>
          <w:rFonts w:ascii="Arial" w:hAnsi="Arial" w:cs="Arial"/>
          <w:sz w:val="24"/>
          <w:szCs w:val="24"/>
        </w:rPr>
        <w:lastRenderedPageBreak/>
        <w:t>15.10</w:t>
      </w:r>
      <w:r w:rsidRPr="00392BD4">
        <w:rPr>
          <w:rFonts w:ascii="Arial" w:hAnsi="Arial" w:cs="Arial"/>
          <w:sz w:val="24"/>
          <w:szCs w:val="24"/>
        </w:rPr>
        <w:tab/>
      </w:r>
      <w:r w:rsidR="00905073" w:rsidRPr="00F12153">
        <w:rPr>
          <w:rFonts w:ascii="Arial" w:hAnsi="Arial" w:cs="Arial"/>
          <w:i/>
          <w:sz w:val="24"/>
          <w:szCs w:val="24"/>
        </w:rPr>
        <w:t xml:space="preserve">It is not part of the Applicants’ pleaded case that </w:t>
      </w:r>
      <w:r w:rsidR="00905073" w:rsidRPr="00F12153">
        <w:rPr>
          <w:rFonts w:ascii="Arial" w:hAnsi="Arial" w:cs="Arial"/>
          <w:i/>
          <w:sz w:val="24"/>
          <w:szCs w:val="24"/>
          <w:u w:val="single"/>
        </w:rPr>
        <w:t>the same damages</w:t>
      </w:r>
      <w:r w:rsidR="00905073" w:rsidRPr="00F12153">
        <w:rPr>
          <w:rFonts w:ascii="Arial" w:hAnsi="Arial" w:cs="Arial"/>
          <w:i/>
          <w:sz w:val="24"/>
          <w:szCs w:val="24"/>
        </w:rPr>
        <w:t xml:space="preserve"> could ever be awarded more than once, for example to Tego under both claim 1 and 3; or to KABL under both claim 2 and claim 3; or to both Tego and KABL under claim 3.  That is because, to repeat, the Applicants have pleaded the three causes of action </w:t>
      </w:r>
      <w:r w:rsidR="00905073" w:rsidRPr="00F12153">
        <w:rPr>
          <w:rFonts w:ascii="Arial" w:hAnsi="Arial" w:cs="Arial"/>
          <w:b/>
          <w:i/>
          <w:sz w:val="24"/>
          <w:szCs w:val="24"/>
          <w:u w:val="single"/>
        </w:rPr>
        <w:t>in the alternative</w:t>
      </w:r>
      <w:r w:rsidR="00905073" w:rsidRPr="00F12153">
        <w:rPr>
          <w:rFonts w:ascii="Arial" w:hAnsi="Arial" w:cs="Arial"/>
          <w:i/>
          <w:sz w:val="24"/>
          <w:szCs w:val="24"/>
        </w:rPr>
        <w:t>, as they are entitled to do</w:t>
      </w:r>
      <w:r w:rsidR="00905073" w:rsidRPr="00F12153">
        <w:rPr>
          <w:rFonts w:ascii="Arial" w:hAnsi="Arial" w:cs="Arial"/>
          <w:sz w:val="24"/>
          <w:szCs w:val="24"/>
        </w:rPr>
        <w:t>.</w:t>
      </w:r>
    </w:p>
    <w:p w:rsidR="00392BD4" w:rsidRPr="00392BD4" w:rsidRDefault="00392BD4" w:rsidP="002A37F0">
      <w:pPr>
        <w:spacing w:after="0" w:line="276" w:lineRule="auto"/>
        <w:rPr>
          <w:rFonts w:ascii="Arial" w:hAnsi="Arial" w:cs="Arial"/>
          <w:sz w:val="24"/>
          <w:szCs w:val="24"/>
        </w:rPr>
      </w:pPr>
    </w:p>
    <w:p w:rsidR="0005003D" w:rsidRPr="00F12153" w:rsidRDefault="00F12153" w:rsidP="00F12153">
      <w:pPr>
        <w:spacing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757832" w:rsidRPr="00F12153">
        <w:rPr>
          <w:rFonts w:ascii="Arial" w:hAnsi="Arial" w:cs="Arial"/>
          <w:sz w:val="24"/>
          <w:szCs w:val="24"/>
        </w:rPr>
        <w:t xml:space="preserve">The </w:t>
      </w:r>
      <w:r w:rsidR="00652E8E" w:rsidRPr="00F12153">
        <w:rPr>
          <w:rFonts w:ascii="Arial" w:hAnsi="Arial" w:cs="Arial"/>
          <w:sz w:val="24"/>
          <w:szCs w:val="24"/>
        </w:rPr>
        <w:t>Respondents</w:t>
      </w:r>
      <w:r w:rsidR="005450CA" w:rsidRPr="00F12153">
        <w:rPr>
          <w:rFonts w:ascii="Arial" w:hAnsi="Arial" w:cs="Arial"/>
          <w:sz w:val="24"/>
          <w:szCs w:val="24"/>
        </w:rPr>
        <w:t>’</w:t>
      </w:r>
      <w:r w:rsidR="00934B84" w:rsidRPr="00F12153">
        <w:rPr>
          <w:rFonts w:ascii="Arial" w:hAnsi="Arial" w:cs="Arial"/>
          <w:sz w:val="24"/>
          <w:szCs w:val="24"/>
        </w:rPr>
        <w:t xml:space="preserve"> objection to the proposed amendment is </w:t>
      </w:r>
      <w:r w:rsidR="00757832" w:rsidRPr="00F12153">
        <w:rPr>
          <w:rFonts w:ascii="Arial" w:hAnsi="Arial" w:cs="Arial"/>
          <w:sz w:val="24"/>
          <w:szCs w:val="24"/>
        </w:rPr>
        <w:t>multi-pronged</w:t>
      </w:r>
      <w:r w:rsidR="002E6689" w:rsidRPr="00F12153">
        <w:rPr>
          <w:rFonts w:ascii="Arial" w:hAnsi="Arial" w:cs="Arial"/>
          <w:sz w:val="24"/>
          <w:szCs w:val="24"/>
        </w:rPr>
        <w:t xml:space="preserve"> which is detailed in its heads of argument insofar as it relates to the various contracts entered into between the parties including suspensive conditions contained therein.  The bite of the objections </w:t>
      </w:r>
      <w:r w:rsidR="00F964EB" w:rsidRPr="00F12153">
        <w:rPr>
          <w:rFonts w:ascii="Arial" w:hAnsi="Arial" w:cs="Arial"/>
          <w:sz w:val="24"/>
          <w:szCs w:val="24"/>
        </w:rPr>
        <w:t>lies</w:t>
      </w:r>
      <w:r w:rsidR="002E6689" w:rsidRPr="00F12153">
        <w:rPr>
          <w:rFonts w:ascii="Arial" w:hAnsi="Arial" w:cs="Arial"/>
          <w:sz w:val="24"/>
          <w:szCs w:val="24"/>
        </w:rPr>
        <w:t xml:space="preserve"> in the </w:t>
      </w:r>
      <w:r w:rsidR="001E6EFC" w:rsidRPr="00F12153">
        <w:rPr>
          <w:rFonts w:ascii="Arial" w:hAnsi="Arial" w:cs="Arial"/>
          <w:sz w:val="24"/>
          <w:szCs w:val="24"/>
        </w:rPr>
        <w:t xml:space="preserve">sentiment that each of the agreements </w:t>
      </w:r>
      <w:r w:rsidR="00F964EB" w:rsidRPr="00F12153">
        <w:rPr>
          <w:rFonts w:ascii="Arial" w:hAnsi="Arial" w:cs="Arial"/>
          <w:sz w:val="24"/>
          <w:szCs w:val="24"/>
        </w:rPr>
        <w:t>self-destructs</w:t>
      </w:r>
      <w:r w:rsidR="001E6EFC" w:rsidRPr="00F12153">
        <w:rPr>
          <w:rFonts w:ascii="Arial" w:hAnsi="Arial" w:cs="Arial"/>
          <w:sz w:val="24"/>
          <w:szCs w:val="24"/>
        </w:rPr>
        <w:t xml:space="preserve"> when the parties seek to conclude </w:t>
      </w:r>
      <w:r w:rsidR="00F964EB" w:rsidRPr="00F12153">
        <w:rPr>
          <w:rFonts w:ascii="Arial" w:hAnsi="Arial" w:cs="Arial"/>
          <w:sz w:val="24"/>
          <w:szCs w:val="24"/>
        </w:rPr>
        <w:t>an</w:t>
      </w:r>
      <w:r w:rsidR="001E6EFC" w:rsidRPr="00F12153">
        <w:rPr>
          <w:rFonts w:ascii="Arial" w:hAnsi="Arial" w:cs="Arial"/>
          <w:sz w:val="24"/>
          <w:szCs w:val="24"/>
        </w:rPr>
        <w:t xml:space="preserve"> agreement after the date of the suspensive conditions because of the </w:t>
      </w:r>
      <w:r w:rsidR="00F964EB" w:rsidRPr="00F12153">
        <w:rPr>
          <w:rFonts w:ascii="Arial" w:hAnsi="Arial" w:cs="Arial"/>
          <w:sz w:val="24"/>
          <w:szCs w:val="24"/>
        </w:rPr>
        <w:t>self-contained</w:t>
      </w:r>
      <w:r w:rsidR="001E6EFC" w:rsidRPr="00F12153">
        <w:rPr>
          <w:rFonts w:ascii="Arial" w:hAnsi="Arial" w:cs="Arial"/>
          <w:sz w:val="24"/>
          <w:szCs w:val="24"/>
        </w:rPr>
        <w:t xml:space="preserve"> </w:t>
      </w:r>
      <w:r w:rsidR="00F964EB" w:rsidRPr="00F12153">
        <w:rPr>
          <w:rFonts w:ascii="Arial" w:hAnsi="Arial" w:cs="Arial"/>
          <w:sz w:val="24"/>
          <w:szCs w:val="24"/>
        </w:rPr>
        <w:t>suspensive</w:t>
      </w:r>
      <w:r w:rsidR="001E6EFC" w:rsidRPr="00F12153">
        <w:rPr>
          <w:rFonts w:ascii="Arial" w:hAnsi="Arial" w:cs="Arial"/>
          <w:sz w:val="24"/>
          <w:szCs w:val="24"/>
        </w:rPr>
        <w:t xml:space="preserve"> conditions. This it is argued rings true to the main an</w:t>
      </w:r>
      <w:r w:rsidR="005450CA" w:rsidRPr="00F12153">
        <w:rPr>
          <w:rFonts w:ascii="Arial" w:hAnsi="Arial" w:cs="Arial"/>
          <w:sz w:val="24"/>
          <w:szCs w:val="24"/>
        </w:rPr>
        <w:t>d the alternative claims.  The R</w:t>
      </w:r>
      <w:r w:rsidR="001E6EFC" w:rsidRPr="00F12153">
        <w:rPr>
          <w:rFonts w:ascii="Arial" w:hAnsi="Arial" w:cs="Arial"/>
          <w:sz w:val="24"/>
          <w:szCs w:val="24"/>
        </w:rPr>
        <w:t xml:space="preserve">espondents </w:t>
      </w:r>
      <w:r w:rsidR="00F964EB" w:rsidRPr="00F12153">
        <w:rPr>
          <w:rFonts w:ascii="Arial" w:hAnsi="Arial" w:cs="Arial"/>
          <w:sz w:val="24"/>
          <w:szCs w:val="24"/>
        </w:rPr>
        <w:t>are therefore</w:t>
      </w:r>
      <w:r w:rsidR="001E6EFC" w:rsidRPr="00F12153">
        <w:rPr>
          <w:rFonts w:ascii="Arial" w:hAnsi="Arial" w:cs="Arial"/>
          <w:sz w:val="24"/>
          <w:szCs w:val="24"/>
        </w:rPr>
        <w:t xml:space="preserve"> </w:t>
      </w:r>
      <w:r w:rsidR="002A37F0" w:rsidRPr="00F12153">
        <w:rPr>
          <w:rFonts w:ascii="Arial" w:hAnsi="Arial" w:cs="Arial"/>
          <w:sz w:val="24"/>
          <w:szCs w:val="24"/>
        </w:rPr>
        <w:t>of the view that if the A</w:t>
      </w:r>
      <w:r w:rsidR="001E6EFC" w:rsidRPr="00F12153">
        <w:rPr>
          <w:rFonts w:ascii="Arial" w:hAnsi="Arial" w:cs="Arial"/>
          <w:sz w:val="24"/>
          <w:szCs w:val="24"/>
        </w:rPr>
        <w:t>pplican</w:t>
      </w:r>
      <w:r w:rsidR="002A37F0" w:rsidRPr="00F12153">
        <w:rPr>
          <w:rFonts w:ascii="Arial" w:hAnsi="Arial" w:cs="Arial"/>
          <w:sz w:val="24"/>
          <w:szCs w:val="24"/>
        </w:rPr>
        <w:t>ts do have a claim against the R</w:t>
      </w:r>
      <w:r w:rsidR="001E6EFC" w:rsidRPr="00F12153">
        <w:rPr>
          <w:rFonts w:ascii="Arial" w:hAnsi="Arial" w:cs="Arial"/>
          <w:sz w:val="24"/>
          <w:szCs w:val="24"/>
        </w:rPr>
        <w:t xml:space="preserve">espondents, it ought to be founded in an entirely new agreement </w:t>
      </w:r>
      <w:r w:rsidR="00F964EB" w:rsidRPr="00F12153">
        <w:rPr>
          <w:rFonts w:ascii="Arial" w:hAnsi="Arial" w:cs="Arial"/>
          <w:sz w:val="24"/>
          <w:szCs w:val="24"/>
        </w:rPr>
        <w:t>(with</w:t>
      </w:r>
      <w:r w:rsidR="00E82D2F" w:rsidRPr="00F12153">
        <w:rPr>
          <w:rFonts w:ascii="Arial" w:hAnsi="Arial" w:cs="Arial"/>
          <w:sz w:val="24"/>
          <w:szCs w:val="24"/>
        </w:rPr>
        <w:t xml:space="preserve"> a different cause of action).</w:t>
      </w:r>
    </w:p>
    <w:p w:rsidR="00757832" w:rsidRDefault="00757832" w:rsidP="00757832">
      <w:pPr>
        <w:pStyle w:val="ListParagraph"/>
        <w:spacing w:line="360" w:lineRule="auto"/>
        <w:jc w:val="both"/>
        <w:rPr>
          <w:rFonts w:ascii="Arial" w:hAnsi="Arial" w:cs="Arial"/>
          <w:sz w:val="24"/>
          <w:szCs w:val="24"/>
        </w:rPr>
      </w:pPr>
    </w:p>
    <w:p w:rsidR="00E82D2F" w:rsidRPr="00F12153" w:rsidRDefault="00F12153" w:rsidP="00F12153">
      <w:pPr>
        <w:spacing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757832" w:rsidRPr="00F12153">
        <w:rPr>
          <w:rFonts w:ascii="Arial" w:hAnsi="Arial" w:cs="Arial"/>
          <w:sz w:val="24"/>
          <w:szCs w:val="24"/>
        </w:rPr>
        <w:t>Res</w:t>
      </w:r>
      <w:r w:rsidR="00E82D2F" w:rsidRPr="00F12153">
        <w:rPr>
          <w:rFonts w:ascii="Arial" w:hAnsi="Arial" w:cs="Arial"/>
          <w:sz w:val="24"/>
          <w:szCs w:val="24"/>
        </w:rPr>
        <w:t>pondents</w:t>
      </w:r>
      <w:r w:rsidR="00652E8E" w:rsidRPr="00F12153">
        <w:rPr>
          <w:rFonts w:ascii="Arial" w:hAnsi="Arial" w:cs="Arial"/>
          <w:sz w:val="24"/>
          <w:szCs w:val="24"/>
        </w:rPr>
        <w:t xml:space="preserve"> are also of the view that the A</w:t>
      </w:r>
      <w:r w:rsidR="00E82D2F" w:rsidRPr="00F12153">
        <w:rPr>
          <w:rFonts w:ascii="Arial" w:hAnsi="Arial" w:cs="Arial"/>
          <w:sz w:val="24"/>
          <w:szCs w:val="24"/>
        </w:rPr>
        <w:t xml:space="preserve">pplicants caused confusion in the nature of the employment and consulting agreements </w:t>
      </w:r>
      <w:r w:rsidR="00F964EB" w:rsidRPr="00F12153">
        <w:rPr>
          <w:rFonts w:ascii="Arial" w:hAnsi="Arial" w:cs="Arial"/>
          <w:sz w:val="24"/>
          <w:szCs w:val="24"/>
        </w:rPr>
        <w:t>resulting</w:t>
      </w:r>
      <w:r w:rsidR="00E82D2F" w:rsidRPr="00F12153">
        <w:rPr>
          <w:rFonts w:ascii="Arial" w:hAnsi="Arial" w:cs="Arial"/>
          <w:sz w:val="24"/>
          <w:szCs w:val="24"/>
        </w:rPr>
        <w:t xml:space="preserve"> in it being vag</w:t>
      </w:r>
      <w:r w:rsidR="00652E8E" w:rsidRPr="00F12153">
        <w:rPr>
          <w:rFonts w:ascii="Arial" w:hAnsi="Arial" w:cs="Arial"/>
          <w:sz w:val="24"/>
          <w:szCs w:val="24"/>
        </w:rPr>
        <w:t>ue. The damages claimed by the A</w:t>
      </w:r>
      <w:r w:rsidR="00E82D2F" w:rsidRPr="00F12153">
        <w:rPr>
          <w:rFonts w:ascii="Arial" w:hAnsi="Arial" w:cs="Arial"/>
          <w:sz w:val="24"/>
          <w:szCs w:val="24"/>
        </w:rPr>
        <w:t>pplicant</w:t>
      </w:r>
      <w:r w:rsidR="002A37F0" w:rsidRPr="00F12153">
        <w:rPr>
          <w:rFonts w:ascii="Arial" w:hAnsi="Arial" w:cs="Arial"/>
          <w:sz w:val="24"/>
          <w:szCs w:val="24"/>
        </w:rPr>
        <w:t>s are</w:t>
      </w:r>
      <w:r w:rsidR="00E82D2F" w:rsidRPr="00F12153">
        <w:rPr>
          <w:rFonts w:ascii="Arial" w:hAnsi="Arial" w:cs="Arial"/>
          <w:sz w:val="24"/>
          <w:szCs w:val="24"/>
        </w:rPr>
        <w:t xml:space="preserve"> also said to be lacking in particularity in that the </w:t>
      </w:r>
      <w:r w:rsidR="004E4C02" w:rsidRPr="00F12153">
        <w:rPr>
          <w:rFonts w:ascii="Arial" w:hAnsi="Arial" w:cs="Arial"/>
          <w:sz w:val="24"/>
          <w:szCs w:val="24"/>
        </w:rPr>
        <w:t>POC</w:t>
      </w:r>
      <w:r w:rsidR="00E82D2F" w:rsidRPr="00F12153">
        <w:rPr>
          <w:rFonts w:ascii="Arial" w:hAnsi="Arial" w:cs="Arial"/>
          <w:sz w:val="24"/>
          <w:szCs w:val="24"/>
        </w:rPr>
        <w:t xml:space="preserve"> does not set out or distinguish ‘who suffered what damage’. The question in this regard is of cour</w:t>
      </w:r>
      <w:r w:rsidR="001202F2" w:rsidRPr="00F12153">
        <w:rPr>
          <w:rFonts w:ascii="Arial" w:hAnsi="Arial" w:cs="Arial"/>
          <w:sz w:val="24"/>
          <w:szCs w:val="24"/>
        </w:rPr>
        <w:t>se whether its lack o</w:t>
      </w:r>
      <w:r w:rsidR="00652E8E" w:rsidRPr="00F12153">
        <w:rPr>
          <w:rFonts w:ascii="Arial" w:hAnsi="Arial" w:cs="Arial"/>
          <w:sz w:val="24"/>
          <w:szCs w:val="24"/>
        </w:rPr>
        <w:t>f detail</w:t>
      </w:r>
      <w:r w:rsidR="00F16816" w:rsidRPr="00F12153">
        <w:rPr>
          <w:rFonts w:ascii="Arial" w:hAnsi="Arial" w:cs="Arial"/>
          <w:sz w:val="24"/>
          <w:szCs w:val="24"/>
        </w:rPr>
        <w:t xml:space="preserve"> complained of </w:t>
      </w:r>
      <w:r w:rsidR="00652E8E" w:rsidRPr="00F12153">
        <w:rPr>
          <w:rFonts w:ascii="Arial" w:hAnsi="Arial" w:cs="Arial"/>
          <w:sz w:val="24"/>
          <w:szCs w:val="24"/>
        </w:rPr>
        <w:t>is prohibitive to the R</w:t>
      </w:r>
      <w:r w:rsidR="001202F2" w:rsidRPr="00F12153">
        <w:rPr>
          <w:rFonts w:ascii="Arial" w:hAnsi="Arial" w:cs="Arial"/>
          <w:sz w:val="24"/>
          <w:szCs w:val="24"/>
        </w:rPr>
        <w:t>espondent</w:t>
      </w:r>
      <w:r w:rsidR="002A37F0" w:rsidRPr="00F12153">
        <w:rPr>
          <w:rFonts w:ascii="Arial" w:hAnsi="Arial" w:cs="Arial"/>
          <w:sz w:val="24"/>
          <w:szCs w:val="24"/>
        </w:rPr>
        <w:t>s</w:t>
      </w:r>
      <w:r w:rsidR="001202F2" w:rsidRPr="00F12153">
        <w:rPr>
          <w:rFonts w:ascii="Arial" w:hAnsi="Arial" w:cs="Arial"/>
          <w:sz w:val="24"/>
          <w:szCs w:val="24"/>
        </w:rPr>
        <w:t xml:space="preserve"> to plead or whether it </w:t>
      </w:r>
      <w:r w:rsidR="00F16816" w:rsidRPr="00F12153">
        <w:rPr>
          <w:rFonts w:ascii="Arial" w:hAnsi="Arial" w:cs="Arial"/>
          <w:sz w:val="24"/>
          <w:szCs w:val="24"/>
        </w:rPr>
        <w:t>is an issue to be</w:t>
      </w:r>
      <w:r w:rsidR="001202F2" w:rsidRPr="00F12153">
        <w:rPr>
          <w:rFonts w:ascii="Arial" w:hAnsi="Arial" w:cs="Arial"/>
          <w:sz w:val="24"/>
          <w:szCs w:val="24"/>
        </w:rPr>
        <w:t xml:space="preserve"> determined at trial.</w:t>
      </w:r>
    </w:p>
    <w:p w:rsidR="00757832" w:rsidRPr="00757832" w:rsidRDefault="00757832" w:rsidP="00652CB2">
      <w:pPr>
        <w:pStyle w:val="ListParagraph"/>
        <w:spacing w:line="360" w:lineRule="auto"/>
        <w:rPr>
          <w:rFonts w:ascii="Arial" w:hAnsi="Arial" w:cs="Arial"/>
          <w:sz w:val="24"/>
          <w:szCs w:val="24"/>
        </w:rPr>
      </w:pPr>
    </w:p>
    <w:p w:rsidR="00757832" w:rsidRPr="00F12153" w:rsidRDefault="00F12153" w:rsidP="00F12153">
      <w:pPr>
        <w:spacing w:line="36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C61F58" w:rsidRPr="00F12153">
        <w:rPr>
          <w:rFonts w:ascii="Arial" w:hAnsi="Arial" w:cs="Arial"/>
          <w:sz w:val="24"/>
          <w:szCs w:val="24"/>
        </w:rPr>
        <w:t>It is</w:t>
      </w:r>
      <w:r w:rsidR="001202F2" w:rsidRPr="00F12153">
        <w:rPr>
          <w:rFonts w:ascii="Arial" w:hAnsi="Arial" w:cs="Arial"/>
          <w:sz w:val="24"/>
          <w:szCs w:val="24"/>
        </w:rPr>
        <w:t xml:space="preserve"> the </w:t>
      </w:r>
      <w:r w:rsidR="00905073" w:rsidRPr="00F12153">
        <w:rPr>
          <w:rFonts w:ascii="Arial" w:hAnsi="Arial" w:cs="Arial"/>
          <w:sz w:val="24"/>
          <w:szCs w:val="24"/>
        </w:rPr>
        <w:t>R</w:t>
      </w:r>
      <w:r w:rsidR="00652E8E" w:rsidRPr="00F12153">
        <w:rPr>
          <w:rFonts w:ascii="Arial" w:hAnsi="Arial" w:cs="Arial"/>
          <w:sz w:val="24"/>
          <w:szCs w:val="24"/>
        </w:rPr>
        <w:t>espondents</w:t>
      </w:r>
      <w:r w:rsidR="005450CA" w:rsidRPr="00F12153">
        <w:rPr>
          <w:rFonts w:ascii="Arial" w:hAnsi="Arial" w:cs="Arial"/>
          <w:sz w:val="24"/>
          <w:szCs w:val="24"/>
        </w:rPr>
        <w:t>’</w:t>
      </w:r>
      <w:r w:rsidR="001202F2" w:rsidRPr="00F12153">
        <w:rPr>
          <w:rFonts w:ascii="Arial" w:hAnsi="Arial" w:cs="Arial"/>
          <w:sz w:val="24"/>
          <w:szCs w:val="24"/>
        </w:rPr>
        <w:t xml:space="preserve"> argument that the amendments are excipiable on the grounds of it being vague and </w:t>
      </w:r>
      <w:r w:rsidR="00C61F58" w:rsidRPr="00F12153">
        <w:rPr>
          <w:rFonts w:ascii="Arial" w:hAnsi="Arial" w:cs="Arial"/>
          <w:sz w:val="24"/>
          <w:szCs w:val="24"/>
        </w:rPr>
        <w:t>embarrassing and</w:t>
      </w:r>
      <w:r w:rsidR="001202F2" w:rsidRPr="00F12153">
        <w:rPr>
          <w:rFonts w:ascii="Arial" w:hAnsi="Arial" w:cs="Arial"/>
          <w:sz w:val="24"/>
          <w:szCs w:val="24"/>
        </w:rPr>
        <w:t xml:space="preserve"> that it should not be allowed.</w:t>
      </w:r>
    </w:p>
    <w:p w:rsidR="00757832" w:rsidRPr="00757832" w:rsidRDefault="00757832" w:rsidP="00652CB2">
      <w:pPr>
        <w:pStyle w:val="ListParagraph"/>
        <w:spacing w:line="360" w:lineRule="auto"/>
        <w:rPr>
          <w:rFonts w:ascii="Arial" w:hAnsi="Arial" w:cs="Arial"/>
          <w:sz w:val="24"/>
          <w:szCs w:val="24"/>
        </w:rPr>
      </w:pPr>
    </w:p>
    <w:p w:rsidR="001202F2" w:rsidRPr="00F12153" w:rsidRDefault="00F12153" w:rsidP="00F12153">
      <w:pPr>
        <w:spacing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757832" w:rsidRPr="00F12153">
        <w:rPr>
          <w:rFonts w:ascii="Arial" w:hAnsi="Arial" w:cs="Arial"/>
          <w:sz w:val="24"/>
          <w:szCs w:val="24"/>
        </w:rPr>
        <w:t>The C</w:t>
      </w:r>
      <w:r w:rsidR="001202F2" w:rsidRPr="00F12153">
        <w:rPr>
          <w:rFonts w:ascii="Arial" w:hAnsi="Arial" w:cs="Arial"/>
          <w:sz w:val="24"/>
          <w:szCs w:val="24"/>
        </w:rPr>
        <w:t>ourt</w:t>
      </w:r>
      <w:r w:rsidR="00757832" w:rsidRPr="00F12153">
        <w:rPr>
          <w:rFonts w:ascii="Arial" w:hAnsi="Arial" w:cs="Arial"/>
          <w:sz w:val="24"/>
          <w:szCs w:val="24"/>
        </w:rPr>
        <w:t>’</w:t>
      </w:r>
      <w:r w:rsidR="001202F2" w:rsidRPr="00F12153">
        <w:rPr>
          <w:rFonts w:ascii="Arial" w:hAnsi="Arial" w:cs="Arial"/>
          <w:sz w:val="24"/>
          <w:szCs w:val="24"/>
        </w:rPr>
        <w:t xml:space="preserve">s approach in dealing with </w:t>
      </w:r>
      <w:r w:rsidR="00C61F58" w:rsidRPr="00F12153">
        <w:rPr>
          <w:rFonts w:ascii="Arial" w:hAnsi="Arial" w:cs="Arial"/>
          <w:sz w:val="24"/>
          <w:szCs w:val="24"/>
        </w:rPr>
        <w:t>amendments</w:t>
      </w:r>
      <w:r w:rsidR="001202F2" w:rsidRPr="00F12153">
        <w:rPr>
          <w:rFonts w:ascii="Arial" w:hAnsi="Arial" w:cs="Arial"/>
          <w:sz w:val="24"/>
          <w:szCs w:val="24"/>
        </w:rPr>
        <w:t xml:space="preserve"> </w:t>
      </w:r>
      <w:r w:rsidR="00C61F58" w:rsidRPr="00F12153">
        <w:rPr>
          <w:rFonts w:ascii="Arial" w:hAnsi="Arial" w:cs="Arial"/>
          <w:sz w:val="24"/>
          <w:szCs w:val="24"/>
        </w:rPr>
        <w:t>should</w:t>
      </w:r>
      <w:r w:rsidR="001202F2" w:rsidRPr="00F12153">
        <w:rPr>
          <w:rFonts w:ascii="Arial" w:hAnsi="Arial" w:cs="Arial"/>
          <w:sz w:val="24"/>
          <w:szCs w:val="24"/>
        </w:rPr>
        <w:t xml:space="preserve"> has always been that an application for amendment should be allowed unless </w:t>
      </w:r>
      <w:r w:rsidR="00C61F58" w:rsidRPr="00F12153">
        <w:rPr>
          <w:rFonts w:ascii="Arial" w:hAnsi="Arial" w:cs="Arial"/>
          <w:sz w:val="24"/>
          <w:szCs w:val="24"/>
        </w:rPr>
        <w:t>that</w:t>
      </w:r>
      <w:r w:rsidR="001202F2" w:rsidRPr="00F12153">
        <w:rPr>
          <w:rFonts w:ascii="Arial" w:hAnsi="Arial" w:cs="Arial"/>
          <w:sz w:val="24"/>
          <w:szCs w:val="24"/>
        </w:rPr>
        <w:t xml:space="preserve"> application is mala fides</w:t>
      </w:r>
      <w:r w:rsidR="008E1A33" w:rsidRPr="00F12153">
        <w:rPr>
          <w:rFonts w:ascii="Arial" w:hAnsi="Arial" w:cs="Arial"/>
          <w:sz w:val="24"/>
          <w:szCs w:val="24"/>
        </w:rPr>
        <w:t>.</w:t>
      </w:r>
    </w:p>
    <w:p w:rsidR="008E1A33" w:rsidRPr="00F12153" w:rsidRDefault="00F12153" w:rsidP="00F12153">
      <w:pPr>
        <w:spacing w:line="360" w:lineRule="auto"/>
        <w:ind w:left="720" w:hanging="720"/>
        <w:jc w:val="both"/>
        <w:rPr>
          <w:rFonts w:ascii="Arial" w:hAnsi="Arial" w:cs="Arial"/>
          <w:sz w:val="24"/>
          <w:szCs w:val="24"/>
        </w:rPr>
      </w:pPr>
      <w:r>
        <w:rPr>
          <w:rFonts w:ascii="Arial" w:hAnsi="Arial" w:cs="Arial"/>
          <w:sz w:val="24"/>
          <w:szCs w:val="24"/>
        </w:rPr>
        <w:lastRenderedPageBreak/>
        <w:t>20.</w:t>
      </w:r>
      <w:r>
        <w:rPr>
          <w:rFonts w:ascii="Arial" w:hAnsi="Arial" w:cs="Arial"/>
          <w:sz w:val="24"/>
          <w:szCs w:val="24"/>
        </w:rPr>
        <w:tab/>
      </w:r>
      <w:r w:rsidR="00757832" w:rsidRPr="00F12153">
        <w:rPr>
          <w:rFonts w:ascii="Arial" w:hAnsi="Arial" w:cs="Arial"/>
          <w:sz w:val="24"/>
          <w:szCs w:val="24"/>
        </w:rPr>
        <w:t xml:space="preserve">A </w:t>
      </w:r>
      <w:r w:rsidR="008E1A33" w:rsidRPr="00F12153">
        <w:rPr>
          <w:rFonts w:ascii="Arial" w:hAnsi="Arial" w:cs="Arial"/>
          <w:sz w:val="24"/>
          <w:szCs w:val="24"/>
        </w:rPr>
        <w:t>locus classicus for amendment of pleadings can be found in  Moolman v Estate Moolman</w:t>
      </w:r>
      <w:r w:rsidR="008E1A33" w:rsidRPr="00BA6D2E">
        <w:rPr>
          <w:rStyle w:val="FootnoteReference"/>
          <w:rFonts w:ascii="Arial" w:hAnsi="Arial" w:cs="Arial"/>
          <w:sz w:val="24"/>
          <w:szCs w:val="24"/>
        </w:rPr>
        <w:footnoteReference w:id="8"/>
      </w:r>
      <w:r w:rsidR="008E1A33" w:rsidRPr="00F12153">
        <w:rPr>
          <w:rFonts w:ascii="Arial" w:hAnsi="Arial" w:cs="Arial"/>
          <w:sz w:val="24"/>
          <w:szCs w:val="24"/>
        </w:rPr>
        <w:t xml:space="preserve"> where the court said :</w:t>
      </w:r>
    </w:p>
    <w:p w:rsidR="00757832" w:rsidRPr="00757832" w:rsidRDefault="00757832" w:rsidP="002A37F0">
      <w:pPr>
        <w:pStyle w:val="ListParagraph"/>
        <w:spacing w:after="0" w:line="360" w:lineRule="auto"/>
        <w:rPr>
          <w:rFonts w:ascii="Arial" w:hAnsi="Arial" w:cs="Arial"/>
          <w:sz w:val="24"/>
          <w:szCs w:val="24"/>
        </w:rPr>
      </w:pPr>
    </w:p>
    <w:p w:rsidR="00757832" w:rsidRPr="00652E8E" w:rsidRDefault="00C61F58" w:rsidP="00757832">
      <w:pPr>
        <w:spacing w:line="360" w:lineRule="auto"/>
        <w:ind w:left="720"/>
        <w:jc w:val="both"/>
        <w:rPr>
          <w:rFonts w:ascii="Arial" w:hAnsi="Arial" w:cs="Arial"/>
          <w:i/>
          <w:color w:val="000000" w:themeColor="text1"/>
          <w:sz w:val="24"/>
          <w:szCs w:val="24"/>
        </w:rPr>
      </w:pPr>
      <w:r w:rsidRPr="00652E8E">
        <w:rPr>
          <w:rFonts w:ascii="Arial" w:hAnsi="Arial" w:cs="Arial"/>
          <w:i/>
          <w:color w:val="000000" w:themeColor="text1"/>
          <w:sz w:val="24"/>
          <w:szCs w:val="24"/>
        </w:rPr>
        <w:t>“the</w:t>
      </w:r>
      <w:r w:rsidR="00757832" w:rsidRPr="00652E8E">
        <w:rPr>
          <w:rFonts w:ascii="Arial" w:hAnsi="Arial" w:cs="Arial"/>
          <w:i/>
          <w:color w:val="000000" w:themeColor="text1"/>
          <w:sz w:val="24"/>
          <w:szCs w:val="24"/>
        </w:rPr>
        <w:t xml:space="preserve"> practical rule adopted seems to be that amendments will always be allowed unless the application to amend is mala fide or unless such amendment would cause an injustice to the other side which cannot be compensated by costs or in other words unless the parties cannot be put back for the purposes of injustice in the same </w:t>
      </w:r>
      <w:r w:rsidRPr="00652E8E">
        <w:rPr>
          <w:rFonts w:ascii="Arial" w:hAnsi="Arial" w:cs="Arial"/>
          <w:i/>
          <w:color w:val="000000" w:themeColor="text1"/>
          <w:sz w:val="24"/>
          <w:szCs w:val="24"/>
        </w:rPr>
        <w:t>position</w:t>
      </w:r>
      <w:r w:rsidR="00757832" w:rsidRPr="00652E8E">
        <w:rPr>
          <w:rFonts w:ascii="Arial" w:hAnsi="Arial" w:cs="Arial"/>
          <w:i/>
          <w:color w:val="000000" w:themeColor="text1"/>
          <w:sz w:val="24"/>
          <w:szCs w:val="24"/>
        </w:rPr>
        <w:t xml:space="preserve"> s they were when the pleading which it is sought to amend was filed.”</w:t>
      </w:r>
    </w:p>
    <w:p w:rsidR="00757832" w:rsidRDefault="00757832" w:rsidP="00757832">
      <w:pPr>
        <w:pStyle w:val="ListParagraph"/>
        <w:spacing w:line="360" w:lineRule="auto"/>
        <w:jc w:val="both"/>
        <w:rPr>
          <w:rFonts w:ascii="Arial" w:hAnsi="Arial" w:cs="Arial"/>
          <w:sz w:val="24"/>
          <w:szCs w:val="24"/>
        </w:rPr>
      </w:pPr>
    </w:p>
    <w:p w:rsidR="008E1A33" w:rsidRPr="00F12153" w:rsidRDefault="00F12153" w:rsidP="00F12153">
      <w:pPr>
        <w:spacing w:line="360" w:lineRule="auto"/>
        <w:ind w:left="720" w:hanging="720"/>
        <w:jc w:val="both"/>
        <w:rPr>
          <w:rFonts w:ascii="Arial" w:hAnsi="Arial" w:cs="Arial"/>
          <w:color w:val="000000" w:themeColor="text1"/>
          <w:sz w:val="24"/>
          <w:szCs w:val="24"/>
        </w:rPr>
      </w:pPr>
      <w:r w:rsidRPr="00652E8E">
        <w:rPr>
          <w:rFonts w:ascii="Arial" w:hAnsi="Arial" w:cs="Arial"/>
          <w:color w:val="000000" w:themeColor="text1"/>
          <w:sz w:val="24"/>
          <w:szCs w:val="24"/>
        </w:rPr>
        <w:t>21.</w:t>
      </w:r>
      <w:r w:rsidRPr="00652E8E">
        <w:rPr>
          <w:rFonts w:ascii="Arial" w:hAnsi="Arial" w:cs="Arial"/>
          <w:color w:val="000000" w:themeColor="text1"/>
          <w:sz w:val="24"/>
          <w:szCs w:val="24"/>
        </w:rPr>
        <w:tab/>
      </w:r>
      <w:r w:rsidR="008E1A33" w:rsidRPr="00F12153">
        <w:rPr>
          <w:rFonts w:ascii="Arial" w:hAnsi="Arial" w:cs="Arial"/>
          <w:color w:val="000000" w:themeColor="text1"/>
          <w:sz w:val="24"/>
          <w:szCs w:val="24"/>
        </w:rPr>
        <w:t>The idea is to avoid a situation where if it is refused the same parties w</w:t>
      </w:r>
      <w:r w:rsidR="00652E8E" w:rsidRPr="00F12153">
        <w:rPr>
          <w:rFonts w:ascii="Arial" w:hAnsi="Arial" w:cs="Arial"/>
          <w:color w:val="000000" w:themeColor="text1"/>
          <w:sz w:val="24"/>
          <w:szCs w:val="24"/>
        </w:rPr>
        <w:t>ill be brought before the same C</w:t>
      </w:r>
      <w:r w:rsidR="008E1A33" w:rsidRPr="00F12153">
        <w:rPr>
          <w:rFonts w:ascii="Arial" w:hAnsi="Arial" w:cs="Arial"/>
          <w:color w:val="000000" w:themeColor="text1"/>
          <w:sz w:val="24"/>
          <w:szCs w:val="24"/>
        </w:rPr>
        <w:t xml:space="preserve">ourt for determination on the same issue.  </w:t>
      </w:r>
    </w:p>
    <w:p w:rsidR="00757832" w:rsidRPr="00652E8E" w:rsidRDefault="00757832" w:rsidP="00757832">
      <w:pPr>
        <w:pStyle w:val="ListParagraph"/>
        <w:spacing w:line="360" w:lineRule="auto"/>
        <w:jc w:val="both"/>
        <w:rPr>
          <w:rFonts w:ascii="Arial" w:hAnsi="Arial" w:cs="Arial"/>
          <w:color w:val="000000" w:themeColor="text1"/>
          <w:sz w:val="24"/>
          <w:szCs w:val="24"/>
        </w:rPr>
      </w:pPr>
    </w:p>
    <w:p w:rsidR="008E1A33" w:rsidRPr="00F12153" w:rsidRDefault="00F12153" w:rsidP="00F12153">
      <w:pPr>
        <w:spacing w:line="360" w:lineRule="auto"/>
        <w:ind w:left="720" w:hanging="720"/>
        <w:jc w:val="both"/>
        <w:rPr>
          <w:rFonts w:ascii="Arial" w:hAnsi="Arial" w:cs="Arial"/>
          <w:color w:val="000000" w:themeColor="text1"/>
          <w:sz w:val="24"/>
          <w:szCs w:val="24"/>
        </w:rPr>
      </w:pPr>
      <w:r w:rsidRPr="00652E8E">
        <w:rPr>
          <w:rFonts w:ascii="Arial" w:hAnsi="Arial" w:cs="Arial"/>
          <w:color w:val="000000" w:themeColor="text1"/>
          <w:sz w:val="24"/>
          <w:szCs w:val="24"/>
        </w:rPr>
        <w:t>22.</w:t>
      </w:r>
      <w:r w:rsidRPr="00652E8E">
        <w:rPr>
          <w:rFonts w:ascii="Arial" w:hAnsi="Arial" w:cs="Arial"/>
          <w:color w:val="000000" w:themeColor="text1"/>
          <w:sz w:val="24"/>
          <w:szCs w:val="24"/>
        </w:rPr>
        <w:tab/>
      </w:r>
      <w:r w:rsidR="00757832" w:rsidRPr="00F12153">
        <w:rPr>
          <w:rFonts w:ascii="Arial" w:hAnsi="Arial" w:cs="Arial"/>
          <w:color w:val="000000" w:themeColor="text1"/>
          <w:sz w:val="24"/>
          <w:szCs w:val="24"/>
        </w:rPr>
        <w:t xml:space="preserve">An </w:t>
      </w:r>
      <w:r w:rsidR="00652E8E" w:rsidRPr="00F12153">
        <w:rPr>
          <w:rFonts w:ascii="Arial" w:hAnsi="Arial" w:cs="Arial"/>
          <w:color w:val="000000" w:themeColor="text1"/>
          <w:sz w:val="24"/>
          <w:szCs w:val="24"/>
        </w:rPr>
        <w:t>A</w:t>
      </w:r>
      <w:r w:rsidR="008E1A33" w:rsidRPr="00F12153">
        <w:rPr>
          <w:rFonts w:ascii="Arial" w:hAnsi="Arial" w:cs="Arial"/>
          <w:color w:val="000000" w:themeColor="text1"/>
          <w:sz w:val="24"/>
          <w:szCs w:val="24"/>
        </w:rPr>
        <w:t>pplicant must demonstrate that the proposed amendment is worthy of consideration and that it introduces a triable issue</w:t>
      </w:r>
      <w:r w:rsidR="006A5C22" w:rsidRPr="00F12153">
        <w:rPr>
          <w:rFonts w:ascii="Arial" w:hAnsi="Arial" w:cs="Arial"/>
          <w:color w:val="000000" w:themeColor="text1"/>
          <w:sz w:val="24"/>
          <w:szCs w:val="24"/>
        </w:rPr>
        <w:t>, this must then in turn be we</w:t>
      </w:r>
      <w:r w:rsidR="008E1A33" w:rsidRPr="00F12153">
        <w:rPr>
          <w:rFonts w:ascii="Arial" w:hAnsi="Arial" w:cs="Arial"/>
          <w:color w:val="000000" w:themeColor="text1"/>
          <w:sz w:val="24"/>
          <w:szCs w:val="24"/>
        </w:rPr>
        <w:t xml:space="preserve">ighed up </w:t>
      </w:r>
      <w:r w:rsidR="006A5C22" w:rsidRPr="00F12153">
        <w:rPr>
          <w:rFonts w:ascii="Arial" w:hAnsi="Arial" w:cs="Arial"/>
          <w:color w:val="000000" w:themeColor="text1"/>
          <w:sz w:val="24"/>
          <w:szCs w:val="24"/>
        </w:rPr>
        <w:t>against the objection raised by the opponent to ascertain prejudice or whether the amendment would render the pleading excipiable.</w:t>
      </w:r>
    </w:p>
    <w:p w:rsidR="00757832" w:rsidRPr="00652E8E" w:rsidRDefault="00757832" w:rsidP="00652CB2">
      <w:pPr>
        <w:pStyle w:val="ListParagraph"/>
        <w:spacing w:line="360" w:lineRule="auto"/>
        <w:rPr>
          <w:rFonts w:ascii="Arial" w:hAnsi="Arial" w:cs="Arial"/>
          <w:color w:val="000000" w:themeColor="text1"/>
          <w:sz w:val="24"/>
          <w:szCs w:val="24"/>
        </w:rPr>
      </w:pPr>
    </w:p>
    <w:p w:rsidR="006A5C22" w:rsidRPr="00F12153" w:rsidRDefault="00F12153" w:rsidP="00F12153">
      <w:pPr>
        <w:spacing w:line="360" w:lineRule="auto"/>
        <w:ind w:left="720" w:hanging="720"/>
        <w:jc w:val="both"/>
        <w:rPr>
          <w:rFonts w:ascii="Arial" w:hAnsi="Arial" w:cs="Arial"/>
          <w:color w:val="000000" w:themeColor="text1"/>
          <w:sz w:val="24"/>
          <w:szCs w:val="24"/>
        </w:rPr>
      </w:pPr>
      <w:r w:rsidRPr="00652E8E">
        <w:rPr>
          <w:rFonts w:ascii="Arial" w:hAnsi="Arial" w:cs="Arial"/>
          <w:color w:val="000000" w:themeColor="text1"/>
          <w:sz w:val="24"/>
          <w:szCs w:val="24"/>
        </w:rPr>
        <w:t>23.</w:t>
      </w:r>
      <w:r w:rsidRPr="00652E8E">
        <w:rPr>
          <w:rFonts w:ascii="Arial" w:hAnsi="Arial" w:cs="Arial"/>
          <w:color w:val="000000" w:themeColor="text1"/>
          <w:sz w:val="24"/>
          <w:szCs w:val="24"/>
        </w:rPr>
        <w:tab/>
      </w:r>
      <w:r w:rsidR="00757832" w:rsidRPr="00F12153">
        <w:rPr>
          <w:rFonts w:ascii="Arial" w:hAnsi="Arial" w:cs="Arial"/>
          <w:color w:val="000000" w:themeColor="text1"/>
          <w:sz w:val="24"/>
          <w:szCs w:val="24"/>
        </w:rPr>
        <w:t>I</w:t>
      </w:r>
      <w:r w:rsidR="006A5C22" w:rsidRPr="00F12153">
        <w:rPr>
          <w:rFonts w:ascii="Arial" w:hAnsi="Arial" w:cs="Arial"/>
          <w:color w:val="000000" w:themeColor="text1"/>
          <w:sz w:val="24"/>
          <w:szCs w:val="24"/>
        </w:rPr>
        <w:t xml:space="preserve">n exercising this judicial discretion, a </w:t>
      </w:r>
      <w:r w:rsidR="002A37F0" w:rsidRPr="00F12153">
        <w:rPr>
          <w:rFonts w:ascii="Arial" w:hAnsi="Arial" w:cs="Arial"/>
          <w:color w:val="000000" w:themeColor="text1"/>
          <w:sz w:val="24"/>
          <w:szCs w:val="24"/>
        </w:rPr>
        <w:t>C</w:t>
      </w:r>
      <w:r w:rsidR="006A5C22" w:rsidRPr="00F12153">
        <w:rPr>
          <w:rFonts w:ascii="Arial" w:hAnsi="Arial" w:cs="Arial"/>
          <w:color w:val="000000" w:themeColor="text1"/>
          <w:sz w:val="24"/>
          <w:szCs w:val="24"/>
        </w:rPr>
        <w:t>ourt ought not to be overly technical.</w:t>
      </w:r>
      <w:r w:rsidR="006A5C22" w:rsidRPr="00652E8E">
        <w:rPr>
          <w:rStyle w:val="FootnoteReference"/>
          <w:rFonts w:ascii="Arial" w:hAnsi="Arial" w:cs="Arial"/>
          <w:color w:val="000000" w:themeColor="text1"/>
          <w:sz w:val="24"/>
          <w:szCs w:val="24"/>
        </w:rPr>
        <w:footnoteReference w:id="9"/>
      </w:r>
    </w:p>
    <w:p w:rsidR="00757832" w:rsidRPr="00652E8E" w:rsidRDefault="00757832" w:rsidP="00652CB2">
      <w:pPr>
        <w:pStyle w:val="ListParagraph"/>
        <w:spacing w:line="360" w:lineRule="auto"/>
        <w:rPr>
          <w:rFonts w:ascii="Arial" w:hAnsi="Arial" w:cs="Arial"/>
          <w:color w:val="000000" w:themeColor="text1"/>
          <w:sz w:val="24"/>
          <w:szCs w:val="24"/>
        </w:rPr>
      </w:pPr>
    </w:p>
    <w:p w:rsidR="00AF46C7" w:rsidRPr="00F12153" w:rsidRDefault="00F12153" w:rsidP="00F12153">
      <w:pPr>
        <w:spacing w:line="360" w:lineRule="auto"/>
        <w:ind w:left="720" w:hanging="720"/>
        <w:jc w:val="both"/>
        <w:rPr>
          <w:rFonts w:ascii="Arial" w:hAnsi="Arial" w:cs="Arial"/>
          <w:color w:val="000000" w:themeColor="text1"/>
          <w:sz w:val="24"/>
          <w:szCs w:val="24"/>
        </w:rPr>
      </w:pPr>
      <w:r w:rsidRPr="00652E8E">
        <w:rPr>
          <w:rFonts w:ascii="Arial" w:hAnsi="Arial" w:cs="Arial"/>
          <w:color w:val="000000" w:themeColor="text1"/>
          <w:sz w:val="24"/>
          <w:szCs w:val="24"/>
        </w:rPr>
        <w:t>24.</w:t>
      </w:r>
      <w:r w:rsidRPr="00652E8E">
        <w:rPr>
          <w:rFonts w:ascii="Arial" w:hAnsi="Arial" w:cs="Arial"/>
          <w:color w:val="000000" w:themeColor="text1"/>
          <w:sz w:val="24"/>
          <w:szCs w:val="24"/>
        </w:rPr>
        <w:tab/>
      </w:r>
      <w:r w:rsidR="00757832" w:rsidRPr="00F12153">
        <w:rPr>
          <w:rFonts w:ascii="Arial" w:hAnsi="Arial" w:cs="Arial"/>
          <w:color w:val="000000" w:themeColor="text1"/>
          <w:sz w:val="24"/>
          <w:szCs w:val="24"/>
        </w:rPr>
        <w:t>T</w:t>
      </w:r>
      <w:r w:rsidR="006A5C22" w:rsidRPr="00F12153">
        <w:rPr>
          <w:rFonts w:ascii="Arial" w:hAnsi="Arial" w:cs="Arial"/>
          <w:color w:val="000000" w:themeColor="text1"/>
          <w:sz w:val="24"/>
          <w:szCs w:val="24"/>
        </w:rPr>
        <w:t>he issue is whether the present case is without merit but for the amendment.</w:t>
      </w:r>
      <w:r w:rsidR="005450CA" w:rsidRPr="00F12153">
        <w:rPr>
          <w:rFonts w:ascii="Arial" w:hAnsi="Arial" w:cs="Arial"/>
          <w:color w:val="000000" w:themeColor="text1"/>
          <w:sz w:val="24"/>
          <w:szCs w:val="24"/>
        </w:rPr>
        <w:t xml:space="preserve"> </w:t>
      </w:r>
      <w:r w:rsidR="006A5C22" w:rsidRPr="00F12153">
        <w:rPr>
          <w:rFonts w:ascii="Arial" w:hAnsi="Arial" w:cs="Arial"/>
          <w:color w:val="000000" w:themeColor="text1"/>
          <w:sz w:val="24"/>
          <w:szCs w:val="24"/>
        </w:rPr>
        <w:t xml:space="preserve"> </w:t>
      </w:r>
      <w:r w:rsidR="005450CA" w:rsidRPr="00F12153">
        <w:rPr>
          <w:rFonts w:ascii="Arial" w:hAnsi="Arial" w:cs="Arial"/>
          <w:color w:val="000000" w:themeColor="text1"/>
          <w:sz w:val="24"/>
          <w:szCs w:val="24"/>
        </w:rPr>
        <w:t xml:space="preserve">Both </w:t>
      </w:r>
      <w:r w:rsidR="006A5C22" w:rsidRPr="00F12153">
        <w:rPr>
          <w:rFonts w:ascii="Arial" w:hAnsi="Arial" w:cs="Arial"/>
          <w:color w:val="000000" w:themeColor="text1"/>
          <w:sz w:val="24"/>
          <w:szCs w:val="24"/>
        </w:rPr>
        <w:t>Applicants argued that the application to amend was superfluously</w:t>
      </w:r>
      <w:r w:rsidR="005450CA" w:rsidRPr="00F12153">
        <w:rPr>
          <w:rFonts w:ascii="Arial" w:hAnsi="Arial" w:cs="Arial"/>
          <w:color w:val="000000" w:themeColor="text1"/>
          <w:sz w:val="24"/>
          <w:szCs w:val="24"/>
        </w:rPr>
        <w:t xml:space="preserve"> effected</w:t>
      </w:r>
      <w:r w:rsidR="006A5C22" w:rsidRPr="00F12153">
        <w:rPr>
          <w:rFonts w:ascii="Arial" w:hAnsi="Arial" w:cs="Arial"/>
          <w:color w:val="000000" w:themeColor="text1"/>
          <w:sz w:val="24"/>
          <w:szCs w:val="24"/>
        </w:rPr>
        <w:t xml:space="preserve"> as a result of the </w:t>
      </w:r>
      <w:r w:rsidR="00652E8E" w:rsidRPr="00F12153">
        <w:rPr>
          <w:rFonts w:ascii="Arial" w:hAnsi="Arial" w:cs="Arial"/>
          <w:color w:val="000000" w:themeColor="text1"/>
          <w:sz w:val="24"/>
          <w:szCs w:val="24"/>
        </w:rPr>
        <w:t>Respondents</w:t>
      </w:r>
      <w:r w:rsidR="005450CA" w:rsidRPr="00F12153">
        <w:rPr>
          <w:rFonts w:ascii="Arial" w:hAnsi="Arial" w:cs="Arial"/>
          <w:color w:val="000000" w:themeColor="text1"/>
          <w:sz w:val="24"/>
          <w:szCs w:val="24"/>
        </w:rPr>
        <w:t>’</w:t>
      </w:r>
      <w:r w:rsidR="006A5C22" w:rsidRPr="00F12153">
        <w:rPr>
          <w:rFonts w:ascii="Arial" w:hAnsi="Arial" w:cs="Arial"/>
          <w:color w:val="000000" w:themeColor="text1"/>
          <w:sz w:val="24"/>
          <w:szCs w:val="24"/>
        </w:rPr>
        <w:t xml:space="preserve"> exceptions raised and not because it considered it necessary </w:t>
      </w:r>
      <w:r w:rsidR="005450CA" w:rsidRPr="00F12153">
        <w:rPr>
          <w:rFonts w:ascii="Arial" w:hAnsi="Arial" w:cs="Arial"/>
          <w:color w:val="000000" w:themeColor="text1"/>
          <w:sz w:val="24"/>
          <w:szCs w:val="24"/>
        </w:rPr>
        <w:t>due to</w:t>
      </w:r>
      <w:r w:rsidR="006A5C22" w:rsidRPr="00F12153">
        <w:rPr>
          <w:rFonts w:ascii="Arial" w:hAnsi="Arial" w:cs="Arial"/>
          <w:color w:val="000000" w:themeColor="text1"/>
          <w:sz w:val="24"/>
          <w:szCs w:val="24"/>
        </w:rPr>
        <w:t xml:space="preserve"> some or other shortcoming. The amendments </w:t>
      </w:r>
      <w:r w:rsidR="00AF46C7" w:rsidRPr="00F12153">
        <w:rPr>
          <w:rFonts w:ascii="Arial" w:hAnsi="Arial" w:cs="Arial"/>
          <w:color w:val="000000" w:themeColor="text1"/>
          <w:sz w:val="24"/>
          <w:szCs w:val="24"/>
        </w:rPr>
        <w:t xml:space="preserve">were proposed to render more clarity to facilitate the </w:t>
      </w:r>
      <w:r w:rsidR="005450CA" w:rsidRPr="00F12153">
        <w:rPr>
          <w:rFonts w:ascii="Arial" w:hAnsi="Arial" w:cs="Arial"/>
          <w:color w:val="000000" w:themeColor="text1"/>
          <w:sz w:val="24"/>
          <w:szCs w:val="24"/>
        </w:rPr>
        <w:t>Respondents’</w:t>
      </w:r>
      <w:r w:rsidR="00AF46C7" w:rsidRPr="00F12153">
        <w:rPr>
          <w:rFonts w:ascii="Arial" w:hAnsi="Arial" w:cs="Arial"/>
          <w:color w:val="000000" w:themeColor="text1"/>
          <w:sz w:val="24"/>
          <w:szCs w:val="24"/>
        </w:rPr>
        <w:t xml:space="preserve"> plea and ultimate progression of the matter. </w:t>
      </w:r>
    </w:p>
    <w:p w:rsidR="00757832" w:rsidRPr="00652E8E" w:rsidRDefault="00757832" w:rsidP="00757832">
      <w:pPr>
        <w:pStyle w:val="ListParagraph"/>
        <w:rPr>
          <w:rFonts w:ascii="Arial" w:hAnsi="Arial" w:cs="Arial"/>
          <w:color w:val="000000" w:themeColor="text1"/>
          <w:sz w:val="24"/>
          <w:szCs w:val="24"/>
        </w:rPr>
      </w:pPr>
    </w:p>
    <w:p w:rsidR="00AF46C7" w:rsidRPr="00F12153" w:rsidRDefault="00F12153" w:rsidP="00F12153">
      <w:pPr>
        <w:spacing w:line="360" w:lineRule="auto"/>
        <w:ind w:left="720" w:hanging="720"/>
        <w:jc w:val="both"/>
        <w:rPr>
          <w:rFonts w:ascii="Arial" w:hAnsi="Arial" w:cs="Arial"/>
          <w:color w:val="000000" w:themeColor="text1"/>
          <w:sz w:val="24"/>
          <w:szCs w:val="24"/>
        </w:rPr>
      </w:pPr>
      <w:r w:rsidRPr="00652E8E">
        <w:rPr>
          <w:rFonts w:ascii="Arial" w:hAnsi="Arial" w:cs="Arial"/>
          <w:color w:val="000000" w:themeColor="text1"/>
          <w:sz w:val="24"/>
          <w:szCs w:val="24"/>
        </w:rPr>
        <w:lastRenderedPageBreak/>
        <w:t>25.</w:t>
      </w:r>
      <w:r w:rsidRPr="00652E8E">
        <w:rPr>
          <w:rFonts w:ascii="Arial" w:hAnsi="Arial" w:cs="Arial"/>
          <w:color w:val="000000" w:themeColor="text1"/>
          <w:sz w:val="24"/>
          <w:szCs w:val="24"/>
        </w:rPr>
        <w:tab/>
      </w:r>
      <w:r w:rsidR="00757832" w:rsidRPr="00F12153">
        <w:rPr>
          <w:rFonts w:ascii="Arial" w:hAnsi="Arial" w:cs="Arial"/>
          <w:color w:val="000000" w:themeColor="text1"/>
          <w:sz w:val="24"/>
          <w:szCs w:val="24"/>
        </w:rPr>
        <w:t>I</w:t>
      </w:r>
      <w:r w:rsidR="00AF46C7" w:rsidRPr="00F12153">
        <w:rPr>
          <w:rFonts w:ascii="Arial" w:hAnsi="Arial" w:cs="Arial"/>
          <w:color w:val="000000" w:themeColor="text1"/>
          <w:sz w:val="24"/>
          <w:szCs w:val="24"/>
        </w:rPr>
        <w:t>t is trite that the excipient</w:t>
      </w:r>
      <w:r w:rsidR="002A37F0" w:rsidRPr="00F12153">
        <w:rPr>
          <w:rFonts w:ascii="Arial" w:hAnsi="Arial" w:cs="Arial"/>
          <w:color w:val="000000" w:themeColor="text1"/>
          <w:sz w:val="24"/>
          <w:szCs w:val="24"/>
        </w:rPr>
        <w:t>/</w:t>
      </w:r>
      <w:r w:rsidR="00AF46C7" w:rsidRPr="00F12153">
        <w:rPr>
          <w:rFonts w:ascii="Arial" w:hAnsi="Arial" w:cs="Arial"/>
          <w:color w:val="000000" w:themeColor="text1"/>
          <w:sz w:val="24"/>
          <w:szCs w:val="24"/>
        </w:rPr>
        <w:t>objector be</w:t>
      </w:r>
      <w:r w:rsidR="00652E8E" w:rsidRPr="00F12153">
        <w:rPr>
          <w:rFonts w:ascii="Arial" w:hAnsi="Arial" w:cs="Arial"/>
          <w:color w:val="000000" w:themeColor="text1"/>
          <w:sz w:val="24"/>
          <w:szCs w:val="24"/>
        </w:rPr>
        <w:t>ars the onus of persuading the C</w:t>
      </w:r>
      <w:r w:rsidR="00AF46C7" w:rsidRPr="00F12153">
        <w:rPr>
          <w:rFonts w:ascii="Arial" w:hAnsi="Arial" w:cs="Arial"/>
          <w:color w:val="000000" w:themeColor="text1"/>
          <w:sz w:val="24"/>
          <w:szCs w:val="24"/>
        </w:rPr>
        <w:t>ourt that upon every interpretation which the pleading can reasonably bear, no cause of action is disclosed.</w:t>
      </w:r>
    </w:p>
    <w:p w:rsidR="00757832" w:rsidRPr="00652E8E" w:rsidRDefault="00757832" w:rsidP="00652CB2">
      <w:pPr>
        <w:pStyle w:val="ListParagraph"/>
        <w:spacing w:line="360" w:lineRule="auto"/>
        <w:rPr>
          <w:rFonts w:ascii="Arial" w:hAnsi="Arial" w:cs="Arial"/>
          <w:color w:val="000000" w:themeColor="text1"/>
          <w:sz w:val="24"/>
          <w:szCs w:val="24"/>
        </w:rPr>
      </w:pPr>
    </w:p>
    <w:p w:rsidR="00E82D2F" w:rsidRPr="00F12153" w:rsidRDefault="00F12153" w:rsidP="00F12153">
      <w:pPr>
        <w:spacing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26.</w:t>
      </w:r>
      <w:r>
        <w:rPr>
          <w:rFonts w:ascii="Arial" w:hAnsi="Arial" w:cs="Arial"/>
          <w:color w:val="000000" w:themeColor="text1"/>
          <w:sz w:val="24"/>
          <w:szCs w:val="24"/>
        </w:rPr>
        <w:tab/>
      </w:r>
      <w:r w:rsidR="00757832" w:rsidRPr="00F12153">
        <w:rPr>
          <w:rFonts w:ascii="Arial" w:hAnsi="Arial" w:cs="Arial"/>
          <w:color w:val="000000" w:themeColor="text1"/>
          <w:sz w:val="24"/>
          <w:szCs w:val="24"/>
        </w:rPr>
        <w:t>T</w:t>
      </w:r>
      <w:r w:rsidR="00AF46C7" w:rsidRPr="00F12153">
        <w:rPr>
          <w:rFonts w:ascii="Arial" w:hAnsi="Arial" w:cs="Arial"/>
          <w:color w:val="000000" w:themeColor="text1"/>
          <w:sz w:val="24"/>
          <w:szCs w:val="24"/>
        </w:rPr>
        <w:t>he quest</w:t>
      </w:r>
      <w:r w:rsidR="00652E8E" w:rsidRPr="00F12153">
        <w:rPr>
          <w:rFonts w:ascii="Arial" w:hAnsi="Arial" w:cs="Arial"/>
          <w:color w:val="000000" w:themeColor="text1"/>
          <w:sz w:val="24"/>
          <w:szCs w:val="24"/>
        </w:rPr>
        <w:t>ion to be asked is whether the A</w:t>
      </w:r>
      <w:r w:rsidR="00AF46C7" w:rsidRPr="00F12153">
        <w:rPr>
          <w:rFonts w:ascii="Arial" w:hAnsi="Arial" w:cs="Arial"/>
          <w:color w:val="000000" w:themeColor="text1"/>
          <w:sz w:val="24"/>
          <w:szCs w:val="24"/>
        </w:rPr>
        <w:t>pplicant</w:t>
      </w:r>
      <w:r w:rsidR="005450CA" w:rsidRPr="00F12153">
        <w:rPr>
          <w:rFonts w:ascii="Arial" w:hAnsi="Arial" w:cs="Arial"/>
          <w:color w:val="000000" w:themeColor="text1"/>
          <w:sz w:val="24"/>
          <w:szCs w:val="24"/>
        </w:rPr>
        <w:t>s</w:t>
      </w:r>
      <w:r w:rsidR="00AF46C7" w:rsidRPr="00F12153">
        <w:rPr>
          <w:rFonts w:ascii="Arial" w:hAnsi="Arial" w:cs="Arial"/>
          <w:color w:val="000000" w:themeColor="text1"/>
          <w:sz w:val="24"/>
          <w:szCs w:val="24"/>
        </w:rPr>
        <w:t xml:space="preserve"> ha</w:t>
      </w:r>
      <w:r w:rsidR="005450CA" w:rsidRPr="00F12153">
        <w:rPr>
          <w:rFonts w:ascii="Arial" w:hAnsi="Arial" w:cs="Arial"/>
          <w:color w:val="000000" w:themeColor="text1"/>
          <w:sz w:val="24"/>
          <w:szCs w:val="24"/>
        </w:rPr>
        <w:t>ve</w:t>
      </w:r>
      <w:r w:rsidR="00AF46C7" w:rsidRPr="00F12153">
        <w:rPr>
          <w:rFonts w:ascii="Arial" w:hAnsi="Arial" w:cs="Arial"/>
          <w:color w:val="000000" w:themeColor="text1"/>
          <w:sz w:val="24"/>
          <w:szCs w:val="24"/>
        </w:rPr>
        <w:t xml:space="preserve"> pleaded the material facts that upon every interpretation in its summons can reasonably </w:t>
      </w:r>
      <w:r w:rsidR="00757832" w:rsidRPr="00F12153">
        <w:rPr>
          <w:rFonts w:ascii="Arial" w:hAnsi="Arial" w:cs="Arial"/>
          <w:color w:val="000000" w:themeColor="text1"/>
          <w:sz w:val="24"/>
          <w:szCs w:val="24"/>
        </w:rPr>
        <w:t>bear,</w:t>
      </w:r>
      <w:r w:rsidR="00AF46C7" w:rsidRPr="00F12153">
        <w:rPr>
          <w:rFonts w:ascii="Arial" w:hAnsi="Arial" w:cs="Arial"/>
          <w:color w:val="000000" w:themeColor="text1"/>
          <w:sz w:val="24"/>
          <w:szCs w:val="24"/>
        </w:rPr>
        <w:t xml:space="preserve"> no cause of action.</w:t>
      </w:r>
      <w:r w:rsidR="00757832" w:rsidRPr="00F12153">
        <w:rPr>
          <w:rFonts w:ascii="Arial" w:hAnsi="Arial" w:cs="Arial"/>
          <w:color w:val="000000" w:themeColor="text1"/>
          <w:sz w:val="24"/>
          <w:szCs w:val="24"/>
        </w:rPr>
        <w:t xml:space="preserve"> </w:t>
      </w:r>
    </w:p>
    <w:p w:rsidR="00652CB2" w:rsidRPr="00652CB2" w:rsidRDefault="00652CB2" w:rsidP="00652CB2">
      <w:pPr>
        <w:pStyle w:val="ListParagraph"/>
        <w:spacing w:line="360" w:lineRule="auto"/>
        <w:rPr>
          <w:rFonts w:ascii="Arial" w:hAnsi="Arial" w:cs="Arial"/>
          <w:color w:val="000000" w:themeColor="text1"/>
          <w:sz w:val="24"/>
          <w:szCs w:val="24"/>
        </w:rPr>
      </w:pPr>
    </w:p>
    <w:p w:rsidR="00652E8E" w:rsidRPr="00F12153" w:rsidRDefault="00F12153" w:rsidP="00F12153">
      <w:pPr>
        <w:spacing w:line="360" w:lineRule="auto"/>
        <w:ind w:left="720" w:hanging="720"/>
        <w:jc w:val="both"/>
        <w:rPr>
          <w:rFonts w:ascii="Arial" w:hAnsi="Arial" w:cs="Arial"/>
          <w:color w:val="000000" w:themeColor="text1"/>
          <w:sz w:val="24"/>
          <w:szCs w:val="24"/>
        </w:rPr>
      </w:pPr>
      <w:r w:rsidRPr="00392BD4">
        <w:rPr>
          <w:rFonts w:ascii="Arial" w:hAnsi="Arial" w:cs="Arial"/>
          <w:color w:val="000000" w:themeColor="text1"/>
          <w:sz w:val="24"/>
          <w:szCs w:val="24"/>
        </w:rPr>
        <w:t>27.</w:t>
      </w:r>
      <w:r w:rsidRPr="00392BD4">
        <w:rPr>
          <w:rFonts w:ascii="Arial" w:hAnsi="Arial" w:cs="Arial"/>
          <w:color w:val="000000" w:themeColor="text1"/>
          <w:sz w:val="24"/>
          <w:szCs w:val="24"/>
        </w:rPr>
        <w:tab/>
      </w:r>
      <w:r w:rsidR="00652E8E" w:rsidRPr="00F12153">
        <w:rPr>
          <w:rFonts w:ascii="Arial" w:hAnsi="Arial" w:cs="Arial"/>
          <w:color w:val="000000" w:themeColor="text1"/>
          <w:sz w:val="24"/>
          <w:szCs w:val="24"/>
        </w:rPr>
        <w:t xml:space="preserve">The </w:t>
      </w:r>
      <w:r w:rsidR="00905073" w:rsidRPr="00F12153">
        <w:rPr>
          <w:rFonts w:ascii="Arial" w:hAnsi="Arial" w:cs="Arial"/>
          <w:color w:val="000000" w:themeColor="text1"/>
          <w:sz w:val="24"/>
          <w:szCs w:val="24"/>
        </w:rPr>
        <w:t>preemptory</w:t>
      </w:r>
      <w:r w:rsidR="00652E8E" w:rsidRPr="00F12153">
        <w:rPr>
          <w:rFonts w:ascii="Arial" w:hAnsi="Arial" w:cs="Arial"/>
          <w:color w:val="000000" w:themeColor="text1"/>
          <w:sz w:val="24"/>
          <w:szCs w:val="24"/>
        </w:rPr>
        <w:t xml:space="preserve"> </w:t>
      </w:r>
      <w:r w:rsidR="00905073" w:rsidRPr="00F12153">
        <w:rPr>
          <w:rFonts w:ascii="Arial" w:hAnsi="Arial" w:cs="Arial"/>
          <w:color w:val="000000" w:themeColor="text1"/>
          <w:sz w:val="24"/>
          <w:szCs w:val="24"/>
        </w:rPr>
        <w:t>requirements for</w:t>
      </w:r>
      <w:r w:rsidR="00652E8E" w:rsidRPr="00F12153">
        <w:rPr>
          <w:rFonts w:ascii="Arial" w:hAnsi="Arial" w:cs="Arial"/>
          <w:color w:val="000000" w:themeColor="text1"/>
          <w:sz w:val="24"/>
          <w:szCs w:val="24"/>
        </w:rPr>
        <w:t xml:space="preserve"> the formulation of pleadings in general are set out in RULE 18(4) which provides:</w:t>
      </w:r>
    </w:p>
    <w:p w:rsidR="00652E8E" w:rsidRPr="00392BD4" w:rsidRDefault="00652E8E" w:rsidP="002A37F0">
      <w:pPr>
        <w:pStyle w:val="ListParagraph"/>
        <w:spacing w:after="0" w:line="360" w:lineRule="auto"/>
        <w:jc w:val="both"/>
        <w:rPr>
          <w:rFonts w:ascii="Arial" w:hAnsi="Arial" w:cs="Arial"/>
          <w:color w:val="000000" w:themeColor="text1"/>
          <w:sz w:val="24"/>
          <w:szCs w:val="24"/>
        </w:rPr>
      </w:pPr>
    </w:p>
    <w:p w:rsidR="00652E8E" w:rsidRPr="00392BD4" w:rsidRDefault="00905073" w:rsidP="00392BD4">
      <w:pPr>
        <w:spacing w:line="360" w:lineRule="auto"/>
        <w:ind w:left="720"/>
        <w:jc w:val="both"/>
        <w:rPr>
          <w:rFonts w:ascii="Arial" w:hAnsi="Arial" w:cs="Arial"/>
          <w:i/>
          <w:color w:val="000000" w:themeColor="text1"/>
          <w:sz w:val="24"/>
          <w:szCs w:val="24"/>
        </w:rPr>
      </w:pPr>
      <w:r w:rsidRPr="00392BD4">
        <w:rPr>
          <w:rFonts w:ascii="Arial" w:hAnsi="Arial" w:cs="Arial"/>
          <w:i/>
          <w:color w:val="000000" w:themeColor="text1"/>
          <w:sz w:val="24"/>
          <w:szCs w:val="24"/>
        </w:rPr>
        <w:t>“each</w:t>
      </w:r>
      <w:r w:rsidR="00652E8E" w:rsidRPr="00392BD4">
        <w:rPr>
          <w:rFonts w:ascii="Arial" w:hAnsi="Arial" w:cs="Arial"/>
          <w:i/>
          <w:color w:val="000000" w:themeColor="text1"/>
          <w:sz w:val="24"/>
          <w:szCs w:val="24"/>
        </w:rPr>
        <w:t xml:space="preserve"> pleading shall contain a clear and concise statement of the material facts upon which the pleader relies for his claim with sufficient particularity to enable the opposite party to reply thereto.”</w:t>
      </w:r>
    </w:p>
    <w:p w:rsidR="00652E8E" w:rsidRPr="00392BD4" w:rsidRDefault="00652E8E" w:rsidP="00392BD4">
      <w:pPr>
        <w:pStyle w:val="ListParagraph"/>
        <w:spacing w:line="360" w:lineRule="auto"/>
        <w:jc w:val="both"/>
        <w:rPr>
          <w:rFonts w:ascii="Arial" w:hAnsi="Arial" w:cs="Arial"/>
          <w:color w:val="000000" w:themeColor="text1"/>
          <w:sz w:val="24"/>
          <w:szCs w:val="24"/>
        </w:rPr>
      </w:pPr>
    </w:p>
    <w:p w:rsidR="00652E8E" w:rsidRPr="00F12153" w:rsidRDefault="00F12153" w:rsidP="00F12153">
      <w:pPr>
        <w:spacing w:line="360" w:lineRule="auto"/>
        <w:ind w:left="720" w:hanging="720"/>
        <w:jc w:val="both"/>
        <w:rPr>
          <w:rFonts w:ascii="Arial" w:hAnsi="Arial" w:cs="Arial"/>
          <w:color w:val="000000" w:themeColor="text1"/>
          <w:sz w:val="24"/>
          <w:szCs w:val="24"/>
        </w:rPr>
      </w:pPr>
      <w:r w:rsidRPr="00392BD4">
        <w:rPr>
          <w:rFonts w:ascii="Arial" w:hAnsi="Arial" w:cs="Arial"/>
          <w:color w:val="000000" w:themeColor="text1"/>
          <w:sz w:val="24"/>
          <w:szCs w:val="24"/>
        </w:rPr>
        <w:t>28.</w:t>
      </w:r>
      <w:r w:rsidRPr="00392BD4">
        <w:rPr>
          <w:rFonts w:ascii="Arial" w:hAnsi="Arial" w:cs="Arial"/>
          <w:color w:val="000000" w:themeColor="text1"/>
          <w:sz w:val="24"/>
          <w:szCs w:val="24"/>
        </w:rPr>
        <w:tab/>
      </w:r>
      <w:r w:rsidR="00652E8E" w:rsidRPr="00F12153">
        <w:rPr>
          <w:rFonts w:ascii="Arial" w:hAnsi="Arial" w:cs="Arial"/>
          <w:color w:val="000000" w:themeColor="text1"/>
          <w:sz w:val="24"/>
          <w:szCs w:val="24"/>
        </w:rPr>
        <w:t>The averments dealing with the breach of the agreements are dealt with in the alternative insofar as it relates to the relevant participating parties.</w:t>
      </w:r>
      <w:r w:rsidR="00652E8E" w:rsidRPr="00392BD4">
        <w:rPr>
          <w:rStyle w:val="FootnoteReference"/>
          <w:rFonts w:ascii="Arial" w:hAnsi="Arial" w:cs="Arial"/>
          <w:color w:val="000000" w:themeColor="text1"/>
          <w:sz w:val="24"/>
          <w:szCs w:val="24"/>
        </w:rPr>
        <w:footnoteReference w:id="10"/>
      </w:r>
      <w:r w:rsidR="00652E8E" w:rsidRPr="00F12153">
        <w:rPr>
          <w:rFonts w:ascii="Arial" w:hAnsi="Arial" w:cs="Arial"/>
          <w:color w:val="000000" w:themeColor="text1"/>
          <w:sz w:val="24"/>
          <w:szCs w:val="24"/>
        </w:rPr>
        <w:t xml:space="preserve">  The statements contain the essential averments necessary to sustain  the damages action. It contains sufficient detail </w:t>
      </w:r>
      <w:r w:rsidR="00F3231F" w:rsidRPr="00F12153">
        <w:rPr>
          <w:rFonts w:ascii="Arial" w:hAnsi="Arial" w:cs="Arial"/>
          <w:color w:val="000000" w:themeColor="text1"/>
          <w:sz w:val="24"/>
          <w:szCs w:val="24"/>
        </w:rPr>
        <w:t>enabling the R</w:t>
      </w:r>
      <w:r w:rsidR="00652E8E" w:rsidRPr="00F12153">
        <w:rPr>
          <w:rFonts w:ascii="Arial" w:hAnsi="Arial" w:cs="Arial"/>
          <w:color w:val="000000" w:themeColor="text1"/>
          <w:sz w:val="24"/>
          <w:szCs w:val="24"/>
        </w:rPr>
        <w:t>espondent</w:t>
      </w:r>
      <w:r w:rsidR="00EA0958" w:rsidRPr="00F12153">
        <w:rPr>
          <w:rFonts w:ascii="Arial" w:hAnsi="Arial" w:cs="Arial"/>
          <w:color w:val="000000" w:themeColor="text1"/>
          <w:sz w:val="24"/>
          <w:szCs w:val="24"/>
        </w:rPr>
        <w:t>s</w:t>
      </w:r>
      <w:r w:rsidR="00652E8E" w:rsidRPr="00F12153">
        <w:rPr>
          <w:rFonts w:ascii="Arial" w:hAnsi="Arial" w:cs="Arial"/>
          <w:color w:val="000000" w:themeColor="text1"/>
          <w:sz w:val="24"/>
          <w:szCs w:val="24"/>
        </w:rPr>
        <w:t xml:space="preserve"> </w:t>
      </w:r>
      <w:r w:rsidR="00F3231F" w:rsidRPr="00F12153">
        <w:rPr>
          <w:rFonts w:ascii="Arial" w:hAnsi="Arial" w:cs="Arial"/>
          <w:color w:val="000000" w:themeColor="text1"/>
          <w:sz w:val="24"/>
          <w:szCs w:val="24"/>
        </w:rPr>
        <w:t>to</w:t>
      </w:r>
      <w:r w:rsidR="005B6427" w:rsidRPr="00F12153">
        <w:rPr>
          <w:rFonts w:ascii="Arial" w:hAnsi="Arial" w:cs="Arial"/>
          <w:color w:val="000000" w:themeColor="text1"/>
          <w:sz w:val="24"/>
          <w:szCs w:val="24"/>
        </w:rPr>
        <w:t xml:space="preserve"> plead thereto. The Applicants are</w:t>
      </w:r>
      <w:r w:rsidR="00652E8E" w:rsidRPr="00F12153">
        <w:rPr>
          <w:rFonts w:ascii="Arial" w:hAnsi="Arial" w:cs="Arial"/>
          <w:color w:val="000000" w:themeColor="text1"/>
          <w:sz w:val="24"/>
          <w:szCs w:val="24"/>
        </w:rPr>
        <w:t xml:space="preserve"> entitled to tender its claims in the alternative and I have difficulty finding that it is impossible for the Respondent</w:t>
      </w:r>
      <w:r w:rsidR="00EA0958" w:rsidRPr="00F12153">
        <w:rPr>
          <w:rFonts w:ascii="Arial" w:hAnsi="Arial" w:cs="Arial"/>
          <w:color w:val="000000" w:themeColor="text1"/>
          <w:sz w:val="24"/>
          <w:szCs w:val="24"/>
        </w:rPr>
        <w:t>s</w:t>
      </w:r>
      <w:r w:rsidR="00652E8E" w:rsidRPr="00F12153">
        <w:rPr>
          <w:rFonts w:ascii="Arial" w:hAnsi="Arial" w:cs="Arial"/>
          <w:color w:val="000000" w:themeColor="text1"/>
          <w:sz w:val="24"/>
          <w:szCs w:val="24"/>
        </w:rPr>
        <w:t xml:space="preserve"> to plead thereto. </w:t>
      </w:r>
    </w:p>
    <w:p w:rsidR="00652E8E" w:rsidRPr="00392BD4" w:rsidRDefault="00652E8E" w:rsidP="00392BD4">
      <w:pPr>
        <w:pStyle w:val="ListParagraph"/>
        <w:spacing w:line="360" w:lineRule="auto"/>
        <w:jc w:val="both"/>
        <w:rPr>
          <w:rFonts w:ascii="Arial" w:hAnsi="Arial" w:cs="Arial"/>
          <w:color w:val="000000" w:themeColor="text1"/>
          <w:sz w:val="24"/>
          <w:szCs w:val="24"/>
        </w:rPr>
      </w:pPr>
    </w:p>
    <w:p w:rsidR="00652E8E" w:rsidRPr="00F12153" w:rsidRDefault="00F12153" w:rsidP="00F12153">
      <w:pPr>
        <w:spacing w:line="360" w:lineRule="auto"/>
        <w:ind w:left="720" w:hanging="720"/>
        <w:jc w:val="both"/>
        <w:rPr>
          <w:rFonts w:ascii="Arial" w:hAnsi="Arial" w:cs="Arial"/>
          <w:color w:val="000000" w:themeColor="text1"/>
          <w:sz w:val="24"/>
          <w:szCs w:val="24"/>
        </w:rPr>
      </w:pPr>
      <w:r w:rsidRPr="00392BD4">
        <w:rPr>
          <w:rFonts w:ascii="Arial" w:hAnsi="Arial" w:cs="Arial"/>
          <w:color w:val="000000" w:themeColor="text1"/>
          <w:sz w:val="24"/>
          <w:szCs w:val="24"/>
        </w:rPr>
        <w:t>29.</w:t>
      </w:r>
      <w:r w:rsidRPr="00392BD4">
        <w:rPr>
          <w:rFonts w:ascii="Arial" w:hAnsi="Arial" w:cs="Arial"/>
          <w:color w:val="000000" w:themeColor="text1"/>
          <w:sz w:val="24"/>
          <w:szCs w:val="24"/>
        </w:rPr>
        <w:tab/>
      </w:r>
      <w:r w:rsidR="00652E8E" w:rsidRPr="00F12153">
        <w:rPr>
          <w:rFonts w:ascii="Arial" w:hAnsi="Arial" w:cs="Arial"/>
          <w:color w:val="000000" w:themeColor="text1"/>
          <w:sz w:val="24"/>
          <w:szCs w:val="24"/>
        </w:rPr>
        <w:t xml:space="preserve">The Applicants set out in respect of all agreements: </w:t>
      </w:r>
      <w:r w:rsidR="00F3231F" w:rsidRPr="00F12153">
        <w:rPr>
          <w:rFonts w:ascii="Arial" w:hAnsi="Arial" w:cs="Arial"/>
          <w:color w:val="000000" w:themeColor="text1"/>
          <w:sz w:val="24"/>
          <w:szCs w:val="24"/>
        </w:rPr>
        <w:t>(</w:t>
      </w:r>
      <w:r w:rsidR="00652E8E" w:rsidRPr="00F12153">
        <w:rPr>
          <w:rFonts w:ascii="Arial" w:hAnsi="Arial" w:cs="Arial"/>
          <w:color w:val="000000" w:themeColor="text1"/>
          <w:sz w:val="24"/>
          <w:szCs w:val="24"/>
        </w:rPr>
        <w:t xml:space="preserve">i) the relationships involved; </w:t>
      </w:r>
      <w:r w:rsidR="00F3231F" w:rsidRPr="00F12153">
        <w:rPr>
          <w:rFonts w:ascii="Arial" w:hAnsi="Arial" w:cs="Arial"/>
          <w:color w:val="000000" w:themeColor="text1"/>
          <w:sz w:val="24"/>
          <w:szCs w:val="24"/>
        </w:rPr>
        <w:t>(</w:t>
      </w:r>
      <w:r w:rsidR="00652E8E" w:rsidRPr="00F12153">
        <w:rPr>
          <w:rFonts w:ascii="Arial" w:hAnsi="Arial" w:cs="Arial"/>
          <w:color w:val="000000" w:themeColor="text1"/>
          <w:sz w:val="24"/>
          <w:szCs w:val="24"/>
        </w:rPr>
        <w:t>ii) the contractual expectations;</w:t>
      </w:r>
      <w:r w:rsidR="00F3231F" w:rsidRPr="00F12153">
        <w:rPr>
          <w:rFonts w:ascii="Arial" w:hAnsi="Arial" w:cs="Arial"/>
          <w:color w:val="000000" w:themeColor="text1"/>
          <w:sz w:val="24"/>
          <w:szCs w:val="24"/>
        </w:rPr>
        <w:t xml:space="preserve"> (</w:t>
      </w:r>
      <w:r w:rsidR="00652E8E" w:rsidRPr="00F12153">
        <w:rPr>
          <w:rFonts w:ascii="Arial" w:hAnsi="Arial" w:cs="Arial"/>
          <w:color w:val="000000" w:themeColor="text1"/>
          <w:sz w:val="24"/>
          <w:szCs w:val="24"/>
        </w:rPr>
        <w:t>iii) the breeches and</w:t>
      </w:r>
      <w:r w:rsidR="00F3231F" w:rsidRPr="00F12153">
        <w:rPr>
          <w:rFonts w:ascii="Arial" w:hAnsi="Arial" w:cs="Arial"/>
          <w:color w:val="000000" w:themeColor="text1"/>
          <w:sz w:val="24"/>
          <w:szCs w:val="24"/>
        </w:rPr>
        <w:t xml:space="preserve"> (</w:t>
      </w:r>
      <w:r w:rsidR="00652E8E" w:rsidRPr="00F12153">
        <w:rPr>
          <w:rFonts w:ascii="Arial" w:hAnsi="Arial" w:cs="Arial"/>
          <w:color w:val="000000" w:themeColor="text1"/>
          <w:sz w:val="24"/>
          <w:szCs w:val="24"/>
        </w:rPr>
        <w:t>iv)</w:t>
      </w:r>
      <w:r w:rsidR="00F3231F" w:rsidRPr="00F12153">
        <w:rPr>
          <w:rFonts w:ascii="Arial" w:hAnsi="Arial" w:cs="Arial"/>
          <w:color w:val="000000" w:themeColor="text1"/>
          <w:sz w:val="24"/>
          <w:szCs w:val="24"/>
        </w:rPr>
        <w:t xml:space="preserve"> </w:t>
      </w:r>
      <w:r w:rsidR="00652E8E" w:rsidRPr="00F12153">
        <w:rPr>
          <w:rFonts w:ascii="Arial" w:hAnsi="Arial" w:cs="Arial"/>
          <w:color w:val="000000" w:themeColor="text1"/>
          <w:sz w:val="24"/>
          <w:szCs w:val="24"/>
        </w:rPr>
        <w:t xml:space="preserve">the consequential </w:t>
      </w:r>
      <w:r w:rsidR="00F3231F" w:rsidRPr="00F12153">
        <w:rPr>
          <w:rFonts w:ascii="Arial" w:hAnsi="Arial" w:cs="Arial"/>
          <w:color w:val="000000" w:themeColor="text1"/>
          <w:sz w:val="24"/>
          <w:szCs w:val="24"/>
        </w:rPr>
        <w:t>losses incurred</w:t>
      </w:r>
      <w:r w:rsidR="00652E8E" w:rsidRPr="00F12153">
        <w:rPr>
          <w:rFonts w:ascii="Arial" w:hAnsi="Arial" w:cs="Arial"/>
          <w:color w:val="000000" w:themeColor="text1"/>
          <w:sz w:val="24"/>
          <w:szCs w:val="24"/>
        </w:rPr>
        <w:t>.</w:t>
      </w:r>
    </w:p>
    <w:p w:rsidR="00652E8E" w:rsidRPr="00392BD4" w:rsidRDefault="00652E8E" w:rsidP="00392BD4">
      <w:pPr>
        <w:pStyle w:val="ListParagraph"/>
        <w:spacing w:line="360" w:lineRule="auto"/>
        <w:jc w:val="both"/>
        <w:rPr>
          <w:rFonts w:ascii="Arial" w:hAnsi="Arial" w:cs="Arial"/>
          <w:color w:val="000000" w:themeColor="text1"/>
          <w:sz w:val="24"/>
          <w:szCs w:val="24"/>
        </w:rPr>
      </w:pPr>
    </w:p>
    <w:p w:rsidR="00652E8E" w:rsidRPr="00F12153" w:rsidRDefault="00F12153" w:rsidP="00F12153">
      <w:pPr>
        <w:spacing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30.</w:t>
      </w:r>
      <w:r>
        <w:rPr>
          <w:rFonts w:ascii="Arial" w:hAnsi="Arial" w:cs="Arial"/>
          <w:color w:val="000000" w:themeColor="text1"/>
          <w:sz w:val="24"/>
          <w:szCs w:val="24"/>
        </w:rPr>
        <w:tab/>
      </w:r>
      <w:r w:rsidR="00652E8E" w:rsidRPr="00F12153">
        <w:rPr>
          <w:rFonts w:ascii="Arial" w:hAnsi="Arial" w:cs="Arial"/>
          <w:color w:val="000000" w:themeColor="text1"/>
          <w:sz w:val="24"/>
          <w:szCs w:val="24"/>
        </w:rPr>
        <w:t>The Respondents</w:t>
      </w:r>
      <w:r w:rsidR="005B6427" w:rsidRPr="00F12153">
        <w:rPr>
          <w:rFonts w:ascii="Arial" w:hAnsi="Arial" w:cs="Arial"/>
          <w:color w:val="000000" w:themeColor="text1"/>
          <w:sz w:val="24"/>
          <w:szCs w:val="24"/>
        </w:rPr>
        <w:t>’</w:t>
      </w:r>
      <w:r w:rsidR="00652E8E" w:rsidRPr="00F12153">
        <w:rPr>
          <w:rFonts w:ascii="Arial" w:hAnsi="Arial" w:cs="Arial"/>
          <w:color w:val="000000" w:themeColor="text1"/>
          <w:sz w:val="24"/>
          <w:szCs w:val="24"/>
        </w:rPr>
        <w:t xml:space="preserve"> complaint in raising objection seems not to be that no sufficient material facts have been pleaded </w:t>
      </w:r>
      <w:r w:rsidR="00652E8E" w:rsidRPr="00F12153">
        <w:rPr>
          <w:rFonts w:ascii="Arial" w:hAnsi="Arial" w:cs="Arial"/>
          <w:i/>
          <w:color w:val="000000" w:themeColor="text1"/>
          <w:sz w:val="24"/>
          <w:szCs w:val="24"/>
        </w:rPr>
        <w:t xml:space="preserve">per </w:t>
      </w:r>
      <w:r w:rsidR="00F3231F" w:rsidRPr="00F12153">
        <w:rPr>
          <w:rFonts w:ascii="Arial" w:hAnsi="Arial" w:cs="Arial"/>
          <w:i/>
          <w:color w:val="000000" w:themeColor="text1"/>
          <w:sz w:val="24"/>
          <w:szCs w:val="24"/>
        </w:rPr>
        <w:t>se</w:t>
      </w:r>
      <w:r w:rsidR="00F3231F" w:rsidRPr="00F12153">
        <w:rPr>
          <w:rFonts w:ascii="Arial" w:hAnsi="Arial" w:cs="Arial"/>
          <w:color w:val="000000" w:themeColor="text1"/>
          <w:sz w:val="24"/>
          <w:szCs w:val="24"/>
        </w:rPr>
        <w:t>,</w:t>
      </w:r>
      <w:r w:rsidR="00652E8E" w:rsidRPr="00F12153">
        <w:rPr>
          <w:rFonts w:ascii="Arial" w:hAnsi="Arial" w:cs="Arial"/>
          <w:color w:val="000000" w:themeColor="text1"/>
          <w:sz w:val="24"/>
          <w:szCs w:val="24"/>
        </w:rPr>
        <w:t xml:space="preserve"> but rather that the facts pleaded are inconsistent with the terms and conditions of the various contracts </w:t>
      </w:r>
      <w:r w:rsidR="00652E8E" w:rsidRPr="00F12153">
        <w:rPr>
          <w:rFonts w:ascii="Arial" w:hAnsi="Arial" w:cs="Arial"/>
          <w:i/>
          <w:color w:val="000000" w:themeColor="text1"/>
          <w:sz w:val="24"/>
          <w:szCs w:val="24"/>
        </w:rPr>
        <w:t>vis a vis</w:t>
      </w:r>
      <w:r w:rsidR="00652E8E" w:rsidRPr="00F12153">
        <w:rPr>
          <w:rFonts w:ascii="Arial" w:hAnsi="Arial" w:cs="Arial"/>
          <w:color w:val="000000" w:themeColor="text1"/>
          <w:sz w:val="24"/>
          <w:szCs w:val="24"/>
        </w:rPr>
        <w:t xml:space="preserve"> the fact </w:t>
      </w:r>
      <w:r w:rsidR="00652E8E" w:rsidRPr="00F12153">
        <w:rPr>
          <w:rFonts w:ascii="Arial" w:hAnsi="Arial" w:cs="Arial"/>
          <w:color w:val="000000" w:themeColor="text1"/>
          <w:sz w:val="24"/>
          <w:szCs w:val="24"/>
        </w:rPr>
        <w:lastRenderedPageBreak/>
        <w:t>that the suspensive condition</w:t>
      </w:r>
      <w:r w:rsidR="00EA0958" w:rsidRPr="00F12153">
        <w:rPr>
          <w:rFonts w:ascii="Arial" w:hAnsi="Arial" w:cs="Arial"/>
          <w:color w:val="000000" w:themeColor="text1"/>
          <w:sz w:val="24"/>
          <w:szCs w:val="24"/>
        </w:rPr>
        <w:t>s</w:t>
      </w:r>
      <w:r w:rsidR="00652E8E" w:rsidRPr="00F12153">
        <w:rPr>
          <w:rFonts w:ascii="Arial" w:hAnsi="Arial" w:cs="Arial"/>
          <w:color w:val="000000" w:themeColor="text1"/>
          <w:sz w:val="24"/>
          <w:szCs w:val="24"/>
        </w:rPr>
        <w:t xml:space="preserve"> were </w:t>
      </w:r>
      <w:r w:rsidR="00F3231F" w:rsidRPr="00F12153">
        <w:rPr>
          <w:rFonts w:ascii="Arial" w:hAnsi="Arial" w:cs="Arial"/>
          <w:color w:val="000000" w:themeColor="text1"/>
          <w:sz w:val="24"/>
          <w:szCs w:val="24"/>
        </w:rPr>
        <w:t>unfulfilled,</w:t>
      </w:r>
      <w:r w:rsidR="00652E8E" w:rsidRPr="00F12153">
        <w:rPr>
          <w:rFonts w:ascii="Arial" w:hAnsi="Arial" w:cs="Arial"/>
          <w:color w:val="000000" w:themeColor="text1"/>
          <w:sz w:val="24"/>
          <w:szCs w:val="24"/>
        </w:rPr>
        <w:t xml:space="preserve"> and that the cl</w:t>
      </w:r>
      <w:r w:rsidR="00EA0958" w:rsidRPr="00F12153">
        <w:rPr>
          <w:rFonts w:ascii="Arial" w:hAnsi="Arial" w:cs="Arial"/>
          <w:color w:val="000000" w:themeColor="text1"/>
          <w:sz w:val="24"/>
          <w:szCs w:val="24"/>
        </w:rPr>
        <w:t xml:space="preserve">aims ought to have been </w:t>
      </w:r>
      <w:r w:rsidR="005B6427" w:rsidRPr="00F12153">
        <w:rPr>
          <w:rFonts w:ascii="Arial" w:hAnsi="Arial" w:cs="Arial"/>
          <w:color w:val="000000" w:themeColor="text1"/>
          <w:sz w:val="24"/>
          <w:szCs w:val="24"/>
        </w:rPr>
        <w:t>founded on an entirely different basis</w:t>
      </w:r>
      <w:r w:rsidR="00EA0958" w:rsidRPr="00F12153">
        <w:rPr>
          <w:rFonts w:ascii="Arial" w:hAnsi="Arial" w:cs="Arial"/>
          <w:color w:val="000000" w:themeColor="text1"/>
          <w:sz w:val="24"/>
          <w:szCs w:val="24"/>
        </w:rPr>
        <w:t>.</w:t>
      </w:r>
    </w:p>
    <w:p w:rsidR="00652CB2" w:rsidRPr="00652CB2" w:rsidRDefault="00652CB2" w:rsidP="00652CB2">
      <w:pPr>
        <w:pStyle w:val="ListParagraph"/>
        <w:spacing w:line="360" w:lineRule="auto"/>
        <w:rPr>
          <w:rFonts w:ascii="Arial" w:hAnsi="Arial" w:cs="Arial"/>
          <w:color w:val="000000" w:themeColor="text1"/>
          <w:sz w:val="24"/>
          <w:szCs w:val="24"/>
        </w:rPr>
      </w:pPr>
    </w:p>
    <w:p w:rsidR="00652E8E" w:rsidRPr="00F12153" w:rsidRDefault="00F12153" w:rsidP="00F12153">
      <w:pPr>
        <w:spacing w:line="360" w:lineRule="auto"/>
        <w:ind w:left="720" w:hanging="720"/>
        <w:jc w:val="both"/>
        <w:rPr>
          <w:rFonts w:ascii="Arial" w:hAnsi="Arial" w:cs="Arial"/>
          <w:color w:val="000000" w:themeColor="text1"/>
          <w:sz w:val="24"/>
          <w:szCs w:val="24"/>
        </w:rPr>
      </w:pPr>
      <w:r w:rsidRPr="00392BD4">
        <w:rPr>
          <w:rFonts w:ascii="Arial" w:hAnsi="Arial" w:cs="Arial"/>
          <w:color w:val="000000" w:themeColor="text1"/>
          <w:sz w:val="24"/>
          <w:szCs w:val="24"/>
        </w:rPr>
        <w:t>31.</w:t>
      </w:r>
      <w:r w:rsidRPr="00392BD4">
        <w:rPr>
          <w:rFonts w:ascii="Arial" w:hAnsi="Arial" w:cs="Arial"/>
          <w:color w:val="000000" w:themeColor="text1"/>
          <w:sz w:val="24"/>
          <w:szCs w:val="24"/>
        </w:rPr>
        <w:tab/>
      </w:r>
      <w:r w:rsidR="00652E8E" w:rsidRPr="00F12153">
        <w:rPr>
          <w:rFonts w:ascii="Arial" w:hAnsi="Arial" w:cs="Arial"/>
          <w:color w:val="000000" w:themeColor="text1"/>
          <w:sz w:val="24"/>
          <w:szCs w:val="24"/>
        </w:rPr>
        <w:t>This raises legal argument as regards the terms of the various agreements as well as the interpretation thereof. These are argua</w:t>
      </w:r>
      <w:r w:rsidR="00EA0958" w:rsidRPr="00F12153">
        <w:rPr>
          <w:rFonts w:ascii="Arial" w:hAnsi="Arial" w:cs="Arial"/>
          <w:color w:val="000000" w:themeColor="text1"/>
          <w:sz w:val="24"/>
          <w:szCs w:val="24"/>
        </w:rPr>
        <w:t>ble points best argued at trial.  M</w:t>
      </w:r>
      <w:r w:rsidR="00652E8E" w:rsidRPr="00F12153">
        <w:rPr>
          <w:rFonts w:ascii="Arial" w:hAnsi="Arial" w:cs="Arial"/>
          <w:color w:val="000000" w:themeColor="text1"/>
          <w:sz w:val="24"/>
          <w:szCs w:val="24"/>
        </w:rPr>
        <w:t xml:space="preserve">y view is </w:t>
      </w:r>
      <w:r w:rsidR="00F3231F" w:rsidRPr="00F12153">
        <w:rPr>
          <w:rFonts w:ascii="Arial" w:hAnsi="Arial" w:cs="Arial"/>
          <w:color w:val="000000" w:themeColor="text1"/>
          <w:sz w:val="24"/>
          <w:szCs w:val="24"/>
        </w:rPr>
        <w:t>therefore</w:t>
      </w:r>
      <w:r w:rsidR="00652E8E" w:rsidRPr="00F12153">
        <w:rPr>
          <w:rFonts w:ascii="Arial" w:hAnsi="Arial" w:cs="Arial"/>
          <w:color w:val="000000" w:themeColor="text1"/>
          <w:sz w:val="24"/>
          <w:szCs w:val="24"/>
        </w:rPr>
        <w:t xml:space="preserve"> that the respective </w:t>
      </w:r>
      <w:r w:rsidR="00F3231F" w:rsidRPr="00F12153">
        <w:rPr>
          <w:rFonts w:ascii="Arial" w:hAnsi="Arial" w:cs="Arial"/>
          <w:color w:val="000000" w:themeColor="text1"/>
          <w:sz w:val="24"/>
          <w:szCs w:val="24"/>
        </w:rPr>
        <w:t>parties’</w:t>
      </w:r>
      <w:r w:rsidR="00652E8E" w:rsidRPr="00F12153">
        <w:rPr>
          <w:rFonts w:ascii="Arial" w:hAnsi="Arial" w:cs="Arial"/>
          <w:color w:val="000000" w:themeColor="text1"/>
          <w:sz w:val="24"/>
          <w:szCs w:val="24"/>
        </w:rPr>
        <w:t xml:space="preserve"> legal rights and their corresponding liabilities flowing from the suite of agreements is more a matter of argument than pleading. </w:t>
      </w:r>
    </w:p>
    <w:p w:rsidR="00652E8E" w:rsidRPr="00392BD4" w:rsidRDefault="00652E8E" w:rsidP="00392BD4">
      <w:pPr>
        <w:pStyle w:val="ListParagraph"/>
        <w:spacing w:line="360" w:lineRule="auto"/>
        <w:jc w:val="both"/>
        <w:rPr>
          <w:rFonts w:ascii="Arial" w:hAnsi="Arial" w:cs="Arial"/>
          <w:color w:val="000000" w:themeColor="text1"/>
          <w:sz w:val="24"/>
          <w:szCs w:val="24"/>
        </w:rPr>
      </w:pPr>
    </w:p>
    <w:p w:rsidR="00652E8E" w:rsidRPr="00F12153" w:rsidRDefault="00F12153" w:rsidP="00F12153">
      <w:pPr>
        <w:spacing w:line="360" w:lineRule="auto"/>
        <w:ind w:left="720" w:hanging="720"/>
        <w:jc w:val="both"/>
        <w:rPr>
          <w:rFonts w:ascii="Arial" w:hAnsi="Arial" w:cs="Arial"/>
          <w:color w:val="000000" w:themeColor="text1"/>
          <w:sz w:val="24"/>
          <w:szCs w:val="24"/>
        </w:rPr>
      </w:pPr>
      <w:r w:rsidRPr="00392BD4">
        <w:rPr>
          <w:rFonts w:ascii="Arial" w:hAnsi="Arial" w:cs="Arial"/>
          <w:color w:val="000000" w:themeColor="text1"/>
          <w:sz w:val="24"/>
          <w:szCs w:val="24"/>
        </w:rPr>
        <w:t>32.</w:t>
      </w:r>
      <w:r w:rsidRPr="00392BD4">
        <w:rPr>
          <w:rFonts w:ascii="Arial" w:hAnsi="Arial" w:cs="Arial"/>
          <w:color w:val="000000" w:themeColor="text1"/>
          <w:sz w:val="24"/>
          <w:szCs w:val="24"/>
        </w:rPr>
        <w:tab/>
      </w:r>
      <w:r w:rsidR="00652E8E" w:rsidRPr="00F12153">
        <w:rPr>
          <w:rFonts w:ascii="Arial" w:hAnsi="Arial" w:cs="Arial"/>
          <w:color w:val="000000" w:themeColor="text1"/>
          <w:sz w:val="24"/>
          <w:szCs w:val="24"/>
        </w:rPr>
        <w:t xml:space="preserve">In the result I find the objections raised are </w:t>
      </w:r>
      <w:r w:rsidR="00EA0958" w:rsidRPr="00F12153">
        <w:rPr>
          <w:rFonts w:ascii="Arial" w:hAnsi="Arial" w:cs="Arial"/>
          <w:color w:val="000000" w:themeColor="text1"/>
          <w:sz w:val="24"/>
          <w:szCs w:val="24"/>
        </w:rPr>
        <w:t xml:space="preserve">not </w:t>
      </w:r>
      <w:r w:rsidR="00F3231F" w:rsidRPr="00F12153">
        <w:rPr>
          <w:rFonts w:ascii="Arial" w:hAnsi="Arial" w:cs="Arial"/>
          <w:color w:val="000000" w:themeColor="text1"/>
          <w:sz w:val="24"/>
          <w:szCs w:val="24"/>
        </w:rPr>
        <w:t>sufficiently</w:t>
      </w:r>
      <w:r w:rsidR="00652E8E" w:rsidRPr="00F12153">
        <w:rPr>
          <w:rFonts w:ascii="Arial" w:hAnsi="Arial" w:cs="Arial"/>
          <w:color w:val="000000" w:themeColor="text1"/>
          <w:sz w:val="24"/>
          <w:szCs w:val="24"/>
        </w:rPr>
        <w:t xml:space="preserve"> well founded to repulse the proposed amendment.</w:t>
      </w:r>
    </w:p>
    <w:p w:rsidR="00652E8E" w:rsidRPr="00392BD4" w:rsidRDefault="00652E8E" w:rsidP="00392BD4">
      <w:pPr>
        <w:pStyle w:val="ListParagraph"/>
        <w:spacing w:line="360" w:lineRule="auto"/>
        <w:jc w:val="both"/>
        <w:rPr>
          <w:rFonts w:ascii="Arial" w:hAnsi="Arial" w:cs="Arial"/>
          <w:color w:val="000000" w:themeColor="text1"/>
          <w:sz w:val="24"/>
          <w:szCs w:val="24"/>
        </w:rPr>
      </w:pPr>
    </w:p>
    <w:p w:rsidR="00652E8E" w:rsidRPr="00F12153" w:rsidRDefault="00F12153" w:rsidP="00F12153">
      <w:pPr>
        <w:spacing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33.</w:t>
      </w:r>
      <w:r>
        <w:rPr>
          <w:rFonts w:ascii="Arial" w:hAnsi="Arial" w:cs="Arial"/>
          <w:color w:val="000000" w:themeColor="text1"/>
          <w:sz w:val="24"/>
          <w:szCs w:val="24"/>
        </w:rPr>
        <w:tab/>
      </w:r>
      <w:r w:rsidR="00652E8E" w:rsidRPr="00F12153">
        <w:rPr>
          <w:rFonts w:ascii="Arial" w:hAnsi="Arial" w:cs="Arial"/>
          <w:color w:val="000000" w:themeColor="text1"/>
          <w:sz w:val="24"/>
          <w:szCs w:val="24"/>
        </w:rPr>
        <w:t>In the circumstances of this case I am of the view that the amendment should be allowed to enable the parties to ventilate themselves at trial.</w:t>
      </w:r>
    </w:p>
    <w:p w:rsidR="00F3231F" w:rsidRPr="00F3231F" w:rsidRDefault="00F3231F" w:rsidP="00652CB2">
      <w:pPr>
        <w:pStyle w:val="ListParagraph"/>
        <w:spacing w:line="360" w:lineRule="auto"/>
        <w:rPr>
          <w:rFonts w:ascii="Arial" w:hAnsi="Arial" w:cs="Arial"/>
          <w:color w:val="000000" w:themeColor="text1"/>
          <w:sz w:val="24"/>
          <w:szCs w:val="24"/>
        </w:rPr>
      </w:pPr>
    </w:p>
    <w:p w:rsidR="00652E8E" w:rsidRPr="00392BD4" w:rsidRDefault="00652E8E" w:rsidP="00392BD4">
      <w:pPr>
        <w:spacing w:line="360" w:lineRule="auto"/>
        <w:jc w:val="both"/>
        <w:rPr>
          <w:rFonts w:ascii="Arial" w:hAnsi="Arial" w:cs="Arial"/>
          <w:color w:val="000000" w:themeColor="text1"/>
          <w:sz w:val="24"/>
          <w:szCs w:val="24"/>
        </w:rPr>
      </w:pPr>
      <w:r w:rsidRPr="00392BD4">
        <w:rPr>
          <w:rFonts w:ascii="Arial" w:hAnsi="Arial" w:cs="Arial"/>
          <w:color w:val="000000" w:themeColor="text1"/>
          <w:sz w:val="24"/>
          <w:szCs w:val="24"/>
        </w:rPr>
        <w:t xml:space="preserve">I grant the following </w:t>
      </w:r>
      <w:r w:rsidR="00F3231F" w:rsidRPr="00392BD4">
        <w:rPr>
          <w:rFonts w:ascii="Arial" w:hAnsi="Arial" w:cs="Arial"/>
          <w:color w:val="000000" w:themeColor="text1"/>
          <w:sz w:val="24"/>
          <w:szCs w:val="24"/>
        </w:rPr>
        <w:t>order:</w:t>
      </w:r>
    </w:p>
    <w:p w:rsidR="00062216" w:rsidRPr="00392BD4" w:rsidRDefault="00062216" w:rsidP="002A37F0">
      <w:pPr>
        <w:spacing w:after="0" w:line="360" w:lineRule="auto"/>
        <w:jc w:val="both"/>
        <w:rPr>
          <w:rFonts w:ascii="Arial" w:hAnsi="Arial" w:cs="Arial"/>
          <w:color w:val="000000" w:themeColor="text1"/>
          <w:sz w:val="24"/>
          <w:szCs w:val="24"/>
        </w:rPr>
      </w:pPr>
    </w:p>
    <w:p w:rsidR="00652E8E" w:rsidRDefault="00062216" w:rsidP="00392BD4">
      <w:pPr>
        <w:spacing w:line="360" w:lineRule="auto"/>
        <w:ind w:left="1440" w:hanging="720"/>
        <w:jc w:val="both"/>
        <w:rPr>
          <w:rFonts w:ascii="Arial" w:hAnsi="Arial" w:cs="Arial"/>
          <w:color w:val="000000" w:themeColor="text1"/>
          <w:sz w:val="24"/>
          <w:szCs w:val="24"/>
        </w:rPr>
      </w:pPr>
      <w:r w:rsidRPr="00392BD4">
        <w:rPr>
          <w:rFonts w:ascii="Arial" w:hAnsi="Arial" w:cs="Arial"/>
          <w:color w:val="000000" w:themeColor="text1"/>
          <w:sz w:val="24"/>
          <w:szCs w:val="24"/>
        </w:rPr>
        <w:t>[i]</w:t>
      </w:r>
      <w:r w:rsidRPr="00392BD4">
        <w:rPr>
          <w:rFonts w:ascii="Arial" w:hAnsi="Arial" w:cs="Arial"/>
          <w:color w:val="000000" w:themeColor="text1"/>
          <w:sz w:val="24"/>
          <w:szCs w:val="24"/>
        </w:rPr>
        <w:tab/>
      </w:r>
      <w:r w:rsidR="00652E8E" w:rsidRPr="00392BD4">
        <w:rPr>
          <w:rFonts w:ascii="Arial" w:hAnsi="Arial" w:cs="Arial"/>
          <w:color w:val="000000" w:themeColor="text1"/>
          <w:sz w:val="24"/>
          <w:szCs w:val="24"/>
        </w:rPr>
        <w:t>The Applicant</w:t>
      </w:r>
      <w:r w:rsidR="005B6427">
        <w:rPr>
          <w:rFonts w:ascii="Arial" w:hAnsi="Arial" w:cs="Arial"/>
          <w:color w:val="000000" w:themeColor="text1"/>
          <w:sz w:val="24"/>
          <w:szCs w:val="24"/>
        </w:rPr>
        <w:t>s</w:t>
      </w:r>
      <w:r w:rsidR="00652E8E" w:rsidRPr="00392BD4">
        <w:rPr>
          <w:rFonts w:ascii="Arial" w:hAnsi="Arial" w:cs="Arial"/>
          <w:color w:val="000000" w:themeColor="text1"/>
          <w:sz w:val="24"/>
          <w:szCs w:val="24"/>
        </w:rPr>
        <w:t xml:space="preserve"> </w:t>
      </w:r>
      <w:r w:rsidR="005B6427">
        <w:rPr>
          <w:rFonts w:ascii="Arial" w:hAnsi="Arial" w:cs="Arial"/>
          <w:color w:val="000000" w:themeColor="text1"/>
          <w:sz w:val="24"/>
          <w:szCs w:val="24"/>
        </w:rPr>
        <w:t>are</w:t>
      </w:r>
      <w:r w:rsidR="00652E8E" w:rsidRPr="00392BD4">
        <w:rPr>
          <w:rFonts w:ascii="Arial" w:hAnsi="Arial" w:cs="Arial"/>
          <w:color w:val="000000" w:themeColor="text1"/>
          <w:sz w:val="24"/>
          <w:szCs w:val="24"/>
        </w:rPr>
        <w:t xml:space="preserve"> granted leave to amend its particulars of claim in accordance with the notice </w:t>
      </w:r>
      <w:r w:rsidR="00392BD4">
        <w:rPr>
          <w:rFonts w:ascii="Arial" w:hAnsi="Arial" w:cs="Arial"/>
          <w:color w:val="000000" w:themeColor="text1"/>
          <w:sz w:val="24"/>
          <w:szCs w:val="24"/>
        </w:rPr>
        <w:t>of intention to amend dated 20 O</w:t>
      </w:r>
      <w:r w:rsidR="00652E8E" w:rsidRPr="00392BD4">
        <w:rPr>
          <w:rFonts w:ascii="Arial" w:hAnsi="Arial" w:cs="Arial"/>
          <w:color w:val="000000" w:themeColor="text1"/>
          <w:sz w:val="24"/>
          <w:szCs w:val="24"/>
        </w:rPr>
        <w:t>ctober 2021.</w:t>
      </w:r>
    </w:p>
    <w:p w:rsidR="00EA0958" w:rsidRPr="00392BD4" w:rsidRDefault="00EA0958" w:rsidP="00392BD4">
      <w:pPr>
        <w:spacing w:line="360" w:lineRule="auto"/>
        <w:ind w:left="1440" w:hanging="720"/>
        <w:jc w:val="both"/>
        <w:rPr>
          <w:rFonts w:ascii="Arial" w:hAnsi="Arial" w:cs="Arial"/>
          <w:color w:val="000000" w:themeColor="text1"/>
          <w:sz w:val="24"/>
          <w:szCs w:val="24"/>
        </w:rPr>
      </w:pPr>
      <w:r>
        <w:rPr>
          <w:rFonts w:ascii="Arial" w:hAnsi="Arial" w:cs="Arial"/>
          <w:color w:val="000000" w:themeColor="text1"/>
          <w:sz w:val="24"/>
          <w:szCs w:val="24"/>
        </w:rPr>
        <w:t>[ii]</w:t>
      </w:r>
      <w:r>
        <w:rPr>
          <w:rFonts w:ascii="Arial" w:hAnsi="Arial" w:cs="Arial"/>
          <w:color w:val="000000" w:themeColor="text1"/>
          <w:sz w:val="24"/>
          <w:szCs w:val="24"/>
        </w:rPr>
        <w:tab/>
        <w:t>The Respondents</w:t>
      </w:r>
      <w:r w:rsidR="005B6427">
        <w:rPr>
          <w:rFonts w:ascii="Arial" w:hAnsi="Arial" w:cs="Arial"/>
          <w:color w:val="000000" w:themeColor="text1"/>
          <w:sz w:val="24"/>
          <w:szCs w:val="24"/>
        </w:rPr>
        <w:t>’/</w:t>
      </w:r>
      <w:r>
        <w:rPr>
          <w:rFonts w:ascii="Arial" w:hAnsi="Arial" w:cs="Arial"/>
          <w:color w:val="000000" w:themeColor="text1"/>
          <w:sz w:val="24"/>
          <w:szCs w:val="24"/>
        </w:rPr>
        <w:t>Excipients’ exception is dismissed.</w:t>
      </w:r>
    </w:p>
    <w:p w:rsidR="00652E8E" w:rsidRDefault="00062216" w:rsidP="00392BD4">
      <w:pPr>
        <w:spacing w:line="360" w:lineRule="auto"/>
        <w:ind w:left="1440" w:hanging="720"/>
        <w:jc w:val="both"/>
        <w:rPr>
          <w:rFonts w:ascii="Arial" w:hAnsi="Arial" w:cs="Arial"/>
          <w:color w:val="000000" w:themeColor="text1"/>
          <w:sz w:val="24"/>
          <w:szCs w:val="24"/>
        </w:rPr>
      </w:pPr>
      <w:r w:rsidRPr="00392BD4">
        <w:rPr>
          <w:rFonts w:ascii="Arial" w:hAnsi="Arial" w:cs="Arial"/>
          <w:color w:val="000000" w:themeColor="text1"/>
          <w:sz w:val="24"/>
          <w:szCs w:val="24"/>
        </w:rPr>
        <w:t>[i</w:t>
      </w:r>
      <w:r w:rsidR="00EA0958">
        <w:rPr>
          <w:rFonts w:ascii="Arial" w:hAnsi="Arial" w:cs="Arial"/>
          <w:color w:val="000000" w:themeColor="text1"/>
          <w:sz w:val="24"/>
          <w:szCs w:val="24"/>
        </w:rPr>
        <w:t>i</w:t>
      </w:r>
      <w:r w:rsidRPr="00392BD4">
        <w:rPr>
          <w:rFonts w:ascii="Arial" w:hAnsi="Arial" w:cs="Arial"/>
          <w:color w:val="000000" w:themeColor="text1"/>
          <w:sz w:val="24"/>
          <w:szCs w:val="24"/>
        </w:rPr>
        <w:t>i]</w:t>
      </w:r>
      <w:r w:rsidRPr="00392BD4">
        <w:rPr>
          <w:rFonts w:ascii="Arial" w:hAnsi="Arial" w:cs="Arial"/>
          <w:color w:val="000000" w:themeColor="text1"/>
          <w:sz w:val="24"/>
          <w:szCs w:val="24"/>
        </w:rPr>
        <w:tab/>
        <w:t xml:space="preserve">The </w:t>
      </w:r>
      <w:r w:rsidR="005B6427">
        <w:rPr>
          <w:rFonts w:ascii="Arial" w:hAnsi="Arial" w:cs="Arial"/>
          <w:color w:val="000000" w:themeColor="text1"/>
          <w:sz w:val="24"/>
          <w:szCs w:val="24"/>
        </w:rPr>
        <w:t>Applicants are</w:t>
      </w:r>
      <w:r w:rsidR="00652E8E" w:rsidRPr="00392BD4">
        <w:rPr>
          <w:rFonts w:ascii="Arial" w:hAnsi="Arial" w:cs="Arial"/>
          <w:color w:val="000000" w:themeColor="text1"/>
          <w:sz w:val="24"/>
          <w:szCs w:val="24"/>
        </w:rPr>
        <w:t xml:space="preserve"> directed to effect the aforesaid amendment within ten (10) days from date hereof.</w:t>
      </w:r>
    </w:p>
    <w:p w:rsidR="00652E8E" w:rsidRPr="00392BD4" w:rsidRDefault="00062216" w:rsidP="00392BD4">
      <w:pPr>
        <w:spacing w:line="360" w:lineRule="auto"/>
        <w:ind w:left="1440" w:hanging="720"/>
        <w:jc w:val="both"/>
        <w:rPr>
          <w:rFonts w:ascii="Arial" w:hAnsi="Arial" w:cs="Arial"/>
          <w:color w:val="000000" w:themeColor="text1"/>
          <w:sz w:val="24"/>
          <w:szCs w:val="24"/>
        </w:rPr>
      </w:pPr>
      <w:r w:rsidRPr="00392BD4">
        <w:rPr>
          <w:rFonts w:ascii="Arial" w:hAnsi="Arial" w:cs="Arial"/>
          <w:color w:val="000000" w:themeColor="text1"/>
          <w:sz w:val="24"/>
          <w:szCs w:val="24"/>
        </w:rPr>
        <w:t>[i</w:t>
      </w:r>
      <w:r w:rsidR="00EA0958">
        <w:rPr>
          <w:rFonts w:ascii="Arial" w:hAnsi="Arial" w:cs="Arial"/>
          <w:color w:val="000000" w:themeColor="text1"/>
          <w:sz w:val="24"/>
          <w:szCs w:val="24"/>
        </w:rPr>
        <w:t>v</w:t>
      </w:r>
      <w:r w:rsidRPr="00392BD4">
        <w:rPr>
          <w:rFonts w:ascii="Arial" w:hAnsi="Arial" w:cs="Arial"/>
          <w:color w:val="000000" w:themeColor="text1"/>
          <w:sz w:val="24"/>
          <w:szCs w:val="24"/>
        </w:rPr>
        <w:t>]</w:t>
      </w:r>
      <w:r w:rsidRPr="00392BD4">
        <w:rPr>
          <w:rFonts w:ascii="Arial" w:hAnsi="Arial" w:cs="Arial"/>
          <w:color w:val="000000" w:themeColor="text1"/>
          <w:sz w:val="24"/>
          <w:szCs w:val="24"/>
        </w:rPr>
        <w:tab/>
        <w:t>Th</w:t>
      </w:r>
      <w:r w:rsidR="00652E8E" w:rsidRPr="00392BD4">
        <w:rPr>
          <w:rFonts w:ascii="Arial" w:hAnsi="Arial" w:cs="Arial"/>
          <w:color w:val="000000" w:themeColor="text1"/>
          <w:sz w:val="24"/>
          <w:szCs w:val="24"/>
        </w:rPr>
        <w:t>e Respondents shall pay the costs</w:t>
      </w:r>
      <w:r w:rsidR="008C2847">
        <w:rPr>
          <w:rFonts w:ascii="Arial" w:hAnsi="Arial" w:cs="Arial"/>
          <w:color w:val="000000" w:themeColor="text1"/>
          <w:sz w:val="24"/>
          <w:szCs w:val="24"/>
        </w:rPr>
        <w:t>.</w:t>
      </w:r>
    </w:p>
    <w:p w:rsidR="00652CB2" w:rsidRDefault="00652CB2" w:rsidP="00392BD4">
      <w:pPr>
        <w:spacing w:line="360" w:lineRule="auto"/>
        <w:jc w:val="both"/>
        <w:rPr>
          <w:rFonts w:ascii="Arial" w:hAnsi="Arial" w:cs="Arial"/>
          <w:color w:val="000000" w:themeColor="text1"/>
          <w:sz w:val="24"/>
          <w:szCs w:val="24"/>
        </w:rPr>
      </w:pPr>
    </w:p>
    <w:p w:rsidR="00A95776" w:rsidRDefault="00A95776" w:rsidP="00392BD4">
      <w:pPr>
        <w:spacing w:line="360" w:lineRule="auto"/>
        <w:jc w:val="both"/>
        <w:rPr>
          <w:rFonts w:ascii="Arial" w:hAnsi="Arial" w:cs="Arial"/>
          <w:color w:val="000000" w:themeColor="text1"/>
          <w:sz w:val="24"/>
          <w:szCs w:val="24"/>
        </w:rPr>
      </w:pPr>
    </w:p>
    <w:p w:rsidR="00F3231F" w:rsidRDefault="00F3231F" w:rsidP="00F3231F">
      <w:pPr>
        <w:spacing w:line="360" w:lineRule="auto"/>
        <w:jc w:val="right"/>
        <w:rPr>
          <w:rFonts w:ascii="Arial" w:hAnsi="Arial" w:cs="Arial"/>
          <w:color w:val="000000" w:themeColor="text1"/>
          <w:sz w:val="24"/>
          <w:szCs w:val="24"/>
        </w:rPr>
      </w:pPr>
      <w:r>
        <w:rPr>
          <w:rFonts w:ascii="Arial" w:hAnsi="Arial" w:cs="Arial"/>
          <w:color w:val="000000" w:themeColor="text1"/>
          <w:sz w:val="24"/>
          <w:szCs w:val="24"/>
        </w:rPr>
        <w:t>_________________________________</w:t>
      </w:r>
    </w:p>
    <w:p w:rsidR="00F3231F" w:rsidRDefault="00F3231F" w:rsidP="00A95776">
      <w:pPr>
        <w:spacing w:line="276" w:lineRule="auto"/>
        <w:jc w:val="right"/>
        <w:rPr>
          <w:rFonts w:ascii="Arial" w:hAnsi="Arial" w:cs="Arial"/>
          <w:b/>
          <w:color w:val="000000" w:themeColor="text1"/>
          <w:sz w:val="24"/>
          <w:szCs w:val="24"/>
        </w:rPr>
      </w:pPr>
      <w:r>
        <w:rPr>
          <w:rFonts w:ascii="Arial" w:hAnsi="Arial" w:cs="Arial"/>
          <w:b/>
          <w:color w:val="000000" w:themeColor="text1"/>
          <w:sz w:val="24"/>
          <w:szCs w:val="24"/>
        </w:rPr>
        <w:t>WATHEN-FALKEN, AJ</w:t>
      </w:r>
    </w:p>
    <w:p w:rsidR="00F3231F" w:rsidRDefault="00F3231F" w:rsidP="00A95776">
      <w:pPr>
        <w:spacing w:line="276" w:lineRule="auto"/>
        <w:jc w:val="right"/>
        <w:rPr>
          <w:rFonts w:ascii="Arial" w:hAnsi="Arial" w:cs="Arial"/>
          <w:b/>
          <w:color w:val="000000" w:themeColor="text1"/>
          <w:sz w:val="24"/>
          <w:szCs w:val="24"/>
        </w:rPr>
      </w:pPr>
      <w:r>
        <w:rPr>
          <w:rFonts w:ascii="Arial" w:hAnsi="Arial" w:cs="Arial"/>
          <w:b/>
          <w:color w:val="000000" w:themeColor="text1"/>
          <w:sz w:val="24"/>
          <w:szCs w:val="24"/>
        </w:rPr>
        <w:t>ACTING JUDGE OF THE HIGH COURT</w:t>
      </w:r>
    </w:p>
    <w:p w:rsidR="006142C2" w:rsidRDefault="006142C2" w:rsidP="006142C2">
      <w:pPr>
        <w:spacing w:line="276" w:lineRule="auto"/>
        <w:rPr>
          <w:rFonts w:ascii="Arial" w:hAnsi="Arial" w:cs="Arial"/>
          <w:b/>
          <w:color w:val="000000" w:themeColor="text1"/>
          <w:sz w:val="24"/>
          <w:szCs w:val="24"/>
        </w:rPr>
      </w:pPr>
    </w:p>
    <w:p w:rsidR="006142C2" w:rsidRDefault="006142C2" w:rsidP="006142C2">
      <w:pPr>
        <w:spacing w:line="276" w:lineRule="auto"/>
        <w:rPr>
          <w:rFonts w:ascii="Arial" w:hAnsi="Arial" w:cs="Arial"/>
          <w:b/>
          <w:color w:val="000000" w:themeColor="text1"/>
          <w:sz w:val="24"/>
          <w:szCs w:val="24"/>
        </w:rPr>
      </w:pPr>
    </w:p>
    <w:p w:rsidR="006142C2" w:rsidRPr="006142C2" w:rsidRDefault="006142C2" w:rsidP="006142C2">
      <w:pPr>
        <w:spacing w:line="276" w:lineRule="auto"/>
        <w:rPr>
          <w:rFonts w:ascii="Arial" w:hAnsi="Arial" w:cs="Arial"/>
          <w:b/>
          <w:color w:val="000000" w:themeColor="text1"/>
          <w:sz w:val="24"/>
          <w:szCs w:val="24"/>
        </w:rPr>
      </w:pPr>
      <w:r>
        <w:rPr>
          <w:rFonts w:ascii="Arial" w:hAnsi="Arial" w:cs="Arial"/>
          <w:b/>
          <w:color w:val="000000" w:themeColor="text1"/>
          <w:sz w:val="24"/>
          <w:szCs w:val="24"/>
        </w:rPr>
        <w:t>CORAM</w:t>
      </w:r>
      <w:r w:rsidR="00AF4C55">
        <w:rPr>
          <w:rFonts w:ascii="Arial" w:hAnsi="Arial" w:cs="Arial"/>
          <w:b/>
          <w:color w:val="000000" w:themeColor="text1"/>
          <w:sz w:val="24"/>
          <w:szCs w:val="24"/>
        </w:rPr>
        <w:t xml:space="preserve"> (Case No: 12310/2021)</w:t>
      </w:r>
      <w:r>
        <w:rPr>
          <w:rFonts w:ascii="Arial" w:hAnsi="Arial" w:cs="Arial"/>
          <w:b/>
          <w:color w:val="000000" w:themeColor="text1"/>
          <w:sz w:val="24"/>
          <w:szCs w:val="24"/>
        </w:rPr>
        <w:tab/>
      </w:r>
      <w:r>
        <w:rPr>
          <w:rFonts w:ascii="Arial" w:hAnsi="Arial" w:cs="Arial"/>
          <w:b/>
          <w:color w:val="000000" w:themeColor="text1"/>
          <w:sz w:val="24"/>
          <w:szCs w:val="24"/>
        </w:rPr>
        <w:tab/>
        <w:t>:</w:t>
      </w:r>
      <w:r>
        <w:rPr>
          <w:rFonts w:ascii="Arial" w:hAnsi="Arial" w:cs="Arial"/>
          <w:b/>
          <w:color w:val="000000" w:themeColor="text1"/>
          <w:sz w:val="24"/>
          <w:szCs w:val="24"/>
        </w:rPr>
        <w:tab/>
      </w:r>
      <w:r w:rsidRPr="006142C2">
        <w:rPr>
          <w:rFonts w:ascii="Arial" w:hAnsi="Arial" w:cs="Arial"/>
          <w:b/>
          <w:color w:val="000000" w:themeColor="text1"/>
          <w:sz w:val="24"/>
          <w:szCs w:val="24"/>
        </w:rPr>
        <w:t>ACTING JUDGE WATHEN-FALKEN</w:t>
      </w:r>
    </w:p>
    <w:p w:rsidR="006142C2" w:rsidRDefault="006142C2" w:rsidP="006142C2">
      <w:pPr>
        <w:spacing w:line="276" w:lineRule="auto"/>
        <w:rPr>
          <w:rFonts w:ascii="Arial" w:hAnsi="Arial" w:cs="Arial"/>
          <w:b/>
          <w:color w:val="000000" w:themeColor="text1"/>
          <w:sz w:val="24"/>
          <w:szCs w:val="24"/>
        </w:rPr>
      </w:pPr>
    </w:p>
    <w:p w:rsidR="006142C2" w:rsidRDefault="006142C2" w:rsidP="006142C2">
      <w:pPr>
        <w:spacing w:line="276" w:lineRule="auto"/>
        <w:rPr>
          <w:rFonts w:ascii="Arial" w:hAnsi="Arial" w:cs="Arial"/>
          <w:b/>
          <w:color w:val="000000" w:themeColor="text1"/>
          <w:sz w:val="24"/>
          <w:szCs w:val="24"/>
        </w:rPr>
      </w:pPr>
      <w:r>
        <w:rPr>
          <w:rFonts w:ascii="Arial" w:hAnsi="Arial" w:cs="Arial"/>
          <w:b/>
          <w:color w:val="000000" w:themeColor="text1"/>
          <w:sz w:val="24"/>
          <w:szCs w:val="24"/>
        </w:rPr>
        <w:t>DATE OF HEARING</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w:t>
      </w:r>
      <w:r>
        <w:rPr>
          <w:rFonts w:ascii="Arial" w:hAnsi="Arial" w:cs="Arial"/>
          <w:b/>
          <w:color w:val="000000" w:themeColor="text1"/>
          <w:sz w:val="24"/>
          <w:szCs w:val="24"/>
        </w:rPr>
        <w:tab/>
        <w:t>13 JUNE 2022</w:t>
      </w:r>
    </w:p>
    <w:p w:rsidR="006142C2" w:rsidRDefault="006142C2" w:rsidP="006142C2">
      <w:pPr>
        <w:spacing w:line="276" w:lineRule="auto"/>
        <w:rPr>
          <w:rFonts w:ascii="Arial" w:hAnsi="Arial" w:cs="Arial"/>
          <w:b/>
          <w:color w:val="000000" w:themeColor="text1"/>
          <w:sz w:val="24"/>
          <w:szCs w:val="24"/>
        </w:rPr>
      </w:pPr>
    </w:p>
    <w:p w:rsidR="006142C2" w:rsidRDefault="006142C2" w:rsidP="006142C2">
      <w:pPr>
        <w:spacing w:line="276" w:lineRule="auto"/>
        <w:rPr>
          <w:rFonts w:ascii="Arial" w:hAnsi="Arial" w:cs="Arial"/>
          <w:b/>
          <w:color w:val="000000" w:themeColor="text1"/>
          <w:sz w:val="24"/>
          <w:szCs w:val="24"/>
        </w:rPr>
      </w:pPr>
      <w:r>
        <w:rPr>
          <w:rFonts w:ascii="Arial" w:hAnsi="Arial" w:cs="Arial"/>
          <w:b/>
          <w:color w:val="000000" w:themeColor="text1"/>
          <w:sz w:val="24"/>
          <w:szCs w:val="24"/>
        </w:rPr>
        <w:t>DATE DELIVERED</w:t>
      </w:r>
      <w:r w:rsidR="00506269">
        <w:rPr>
          <w:rFonts w:ascii="Arial" w:hAnsi="Arial" w:cs="Arial"/>
          <w:b/>
          <w:color w:val="000000" w:themeColor="text1"/>
          <w:sz w:val="24"/>
          <w:szCs w:val="24"/>
        </w:rPr>
        <w:tab/>
        <w:t>(Electronically)</w:t>
      </w:r>
      <w:r w:rsidR="0080478C">
        <w:rPr>
          <w:rFonts w:ascii="Arial" w:hAnsi="Arial" w:cs="Arial"/>
          <w:b/>
          <w:color w:val="000000" w:themeColor="text1"/>
          <w:sz w:val="24"/>
          <w:szCs w:val="24"/>
        </w:rPr>
        <w:tab/>
      </w:r>
      <w:r>
        <w:rPr>
          <w:rFonts w:ascii="Arial" w:hAnsi="Arial" w:cs="Arial"/>
          <w:b/>
          <w:color w:val="000000" w:themeColor="text1"/>
          <w:sz w:val="24"/>
          <w:szCs w:val="24"/>
        </w:rPr>
        <w:t>:</w:t>
      </w:r>
      <w:r>
        <w:rPr>
          <w:rFonts w:ascii="Arial" w:hAnsi="Arial" w:cs="Arial"/>
          <w:b/>
          <w:color w:val="000000" w:themeColor="text1"/>
          <w:sz w:val="24"/>
          <w:szCs w:val="24"/>
        </w:rPr>
        <w:tab/>
        <w:t>19 JANUARY 2023</w:t>
      </w:r>
      <w:r w:rsidR="00506269">
        <w:rPr>
          <w:rFonts w:ascii="Arial" w:hAnsi="Arial" w:cs="Arial"/>
          <w:b/>
          <w:color w:val="000000" w:themeColor="text1"/>
          <w:sz w:val="24"/>
          <w:szCs w:val="24"/>
        </w:rPr>
        <w:t xml:space="preserve"> </w:t>
      </w:r>
    </w:p>
    <w:p w:rsidR="006142C2" w:rsidRDefault="006142C2" w:rsidP="006142C2">
      <w:pPr>
        <w:spacing w:line="276" w:lineRule="auto"/>
        <w:rPr>
          <w:rFonts w:ascii="Arial" w:hAnsi="Arial" w:cs="Arial"/>
          <w:b/>
          <w:color w:val="000000" w:themeColor="text1"/>
          <w:sz w:val="24"/>
          <w:szCs w:val="24"/>
        </w:rPr>
      </w:pPr>
    </w:p>
    <w:p w:rsidR="006142C2" w:rsidRDefault="006142C2" w:rsidP="006142C2">
      <w:pPr>
        <w:spacing w:line="276" w:lineRule="auto"/>
        <w:rPr>
          <w:rFonts w:ascii="Arial" w:hAnsi="Arial" w:cs="Arial"/>
          <w:b/>
          <w:color w:val="000000" w:themeColor="text1"/>
          <w:sz w:val="24"/>
          <w:szCs w:val="24"/>
        </w:rPr>
      </w:pPr>
      <w:r>
        <w:rPr>
          <w:rFonts w:ascii="Arial" w:hAnsi="Arial" w:cs="Arial"/>
          <w:b/>
          <w:color w:val="000000" w:themeColor="text1"/>
          <w:sz w:val="24"/>
          <w:szCs w:val="24"/>
        </w:rPr>
        <w:t>COUNSEL FOR APPLICANTS</w:t>
      </w:r>
      <w:r>
        <w:rPr>
          <w:rFonts w:ascii="Arial" w:hAnsi="Arial" w:cs="Arial"/>
          <w:b/>
          <w:color w:val="000000" w:themeColor="text1"/>
          <w:sz w:val="24"/>
          <w:szCs w:val="24"/>
        </w:rPr>
        <w:tab/>
      </w:r>
      <w:r w:rsidR="0080478C">
        <w:rPr>
          <w:rFonts w:ascii="Arial" w:hAnsi="Arial" w:cs="Arial"/>
          <w:b/>
          <w:color w:val="000000" w:themeColor="text1"/>
          <w:sz w:val="24"/>
          <w:szCs w:val="24"/>
        </w:rPr>
        <w:tab/>
      </w:r>
      <w:r>
        <w:rPr>
          <w:rFonts w:ascii="Arial" w:hAnsi="Arial" w:cs="Arial"/>
          <w:b/>
          <w:color w:val="000000" w:themeColor="text1"/>
          <w:sz w:val="24"/>
          <w:szCs w:val="24"/>
        </w:rPr>
        <w:t>:</w:t>
      </w:r>
      <w:r>
        <w:rPr>
          <w:rFonts w:ascii="Arial" w:hAnsi="Arial" w:cs="Arial"/>
          <w:b/>
          <w:color w:val="000000" w:themeColor="text1"/>
          <w:sz w:val="24"/>
          <w:szCs w:val="24"/>
        </w:rPr>
        <w:tab/>
        <w:t>ADV. A SHOLTO-DOUGLAS SC</w:t>
      </w:r>
    </w:p>
    <w:p w:rsidR="0080478C" w:rsidRDefault="0080478C" w:rsidP="006142C2">
      <w:pPr>
        <w:spacing w:line="276" w:lineRule="auto"/>
        <w:rPr>
          <w:rFonts w:ascii="Arial" w:hAnsi="Arial" w:cs="Arial"/>
          <w:b/>
          <w:color w:val="000000" w:themeColor="text1"/>
          <w:sz w:val="24"/>
          <w:szCs w:val="24"/>
        </w:rPr>
      </w:pP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ADV. ALISTAIR PRICE</w:t>
      </w:r>
    </w:p>
    <w:p w:rsidR="006142C2" w:rsidRDefault="006142C2" w:rsidP="006142C2">
      <w:pPr>
        <w:spacing w:line="276" w:lineRule="auto"/>
        <w:rPr>
          <w:rFonts w:ascii="Arial" w:hAnsi="Arial" w:cs="Arial"/>
          <w:b/>
          <w:color w:val="000000" w:themeColor="text1"/>
          <w:sz w:val="24"/>
          <w:szCs w:val="24"/>
        </w:rPr>
      </w:pPr>
    </w:p>
    <w:p w:rsidR="006142C2" w:rsidRDefault="006142C2" w:rsidP="006142C2">
      <w:pPr>
        <w:spacing w:line="276" w:lineRule="auto"/>
        <w:rPr>
          <w:rFonts w:ascii="Arial" w:hAnsi="Arial" w:cs="Arial"/>
          <w:b/>
          <w:color w:val="000000" w:themeColor="text1"/>
          <w:sz w:val="24"/>
          <w:szCs w:val="24"/>
        </w:rPr>
      </w:pPr>
      <w:r>
        <w:rPr>
          <w:rFonts w:ascii="Arial" w:hAnsi="Arial" w:cs="Arial"/>
          <w:b/>
          <w:color w:val="000000" w:themeColor="text1"/>
          <w:sz w:val="24"/>
          <w:szCs w:val="24"/>
        </w:rPr>
        <w:t>INSTRUCTED BY</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w:t>
      </w:r>
      <w:r>
        <w:rPr>
          <w:rFonts w:ascii="Arial" w:hAnsi="Arial" w:cs="Arial"/>
          <w:b/>
          <w:color w:val="000000" w:themeColor="text1"/>
          <w:sz w:val="24"/>
          <w:szCs w:val="24"/>
        </w:rPr>
        <w:tab/>
        <w:t>ENS AFRICA ATTORNEYS</w:t>
      </w:r>
    </w:p>
    <w:p w:rsidR="006142C2" w:rsidRDefault="006142C2" w:rsidP="006142C2">
      <w:pPr>
        <w:spacing w:line="276" w:lineRule="auto"/>
        <w:rPr>
          <w:rFonts w:ascii="Arial" w:hAnsi="Arial" w:cs="Arial"/>
          <w:b/>
          <w:color w:val="000000" w:themeColor="text1"/>
          <w:sz w:val="24"/>
          <w:szCs w:val="24"/>
        </w:rPr>
      </w:pP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p>
    <w:p w:rsidR="006142C2" w:rsidRDefault="006142C2" w:rsidP="006142C2">
      <w:pPr>
        <w:spacing w:line="276" w:lineRule="auto"/>
        <w:rPr>
          <w:rFonts w:ascii="Arial" w:hAnsi="Arial" w:cs="Arial"/>
          <w:b/>
          <w:color w:val="000000" w:themeColor="text1"/>
          <w:sz w:val="24"/>
          <w:szCs w:val="24"/>
        </w:rPr>
      </w:pPr>
      <w:r>
        <w:rPr>
          <w:rFonts w:ascii="Arial" w:hAnsi="Arial" w:cs="Arial"/>
          <w:b/>
          <w:color w:val="000000" w:themeColor="text1"/>
          <w:sz w:val="24"/>
          <w:szCs w:val="24"/>
        </w:rPr>
        <w:t>COUNSEL FOR RESPONDENTS</w:t>
      </w:r>
      <w:r>
        <w:rPr>
          <w:rFonts w:ascii="Arial" w:hAnsi="Arial" w:cs="Arial"/>
          <w:b/>
          <w:color w:val="000000" w:themeColor="text1"/>
          <w:sz w:val="24"/>
          <w:szCs w:val="24"/>
        </w:rPr>
        <w:tab/>
        <w:t>:</w:t>
      </w:r>
      <w:r>
        <w:rPr>
          <w:rFonts w:ascii="Arial" w:hAnsi="Arial" w:cs="Arial"/>
          <w:b/>
          <w:color w:val="000000" w:themeColor="text1"/>
          <w:sz w:val="24"/>
          <w:szCs w:val="24"/>
        </w:rPr>
        <w:tab/>
        <w:t>ADV. R STELZNER SC</w:t>
      </w:r>
    </w:p>
    <w:p w:rsidR="0080478C" w:rsidRDefault="0080478C" w:rsidP="006142C2">
      <w:pPr>
        <w:spacing w:line="276" w:lineRule="auto"/>
        <w:rPr>
          <w:rFonts w:ascii="Arial" w:hAnsi="Arial" w:cs="Arial"/>
          <w:b/>
          <w:color w:val="000000" w:themeColor="text1"/>
          <w:sz w:val="24"/>
          <w:szCs w:val="24"/>
        </w:rPr>
      </w:pP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ADV. MICHAEL VAN STADEN</w:t>
      </w:r>
    </w:p>
    <w:p w:rsidR="006142C2" w:rsidRDefault="006142C2" w:rsidP="006142C2">
      <w:pPr>
        <w:spacing w:line="276" w:lineRule="auto"/>
        <w:rPr>
          <w:rFonts w:ascii="Arial" w:hAnsi="Arial" w:cs="Arial"/>
          <w:b/>
          <w:color w:val="000000" w:themeColor="text1"/>
          <w:sz w:val="24"/>
          <w:szCs w:val="24"/>
        </w:rPr>
      </w:pPr>
    </w:p>
    <w:p w:rsidR="006142C2" w:rsidRPr="006142C2" w:rsidRDefault="006142C2" w:rsidP="006142C2">
      <w:pPr>
        <w:spacing w:line="276" w:lineRule="auto"/>
        <w:rPr>
          <w:rFonts w:ascii="Arial" w:hAnsi="Arial" w:cs="Arial"/>
          <w:b/>
          <w:color w:val="000000" w:themeColor="text1"/>
          <w:sz w:val="24"/>
          <w:szCs w:val="24"/>
        </w:rPr>
      </w:pPr>
      <w:r>
        <w:rPr>
          <w:rFonts w:ascii="Arial" w:hAnsi="Arial" w:cs="Arial"/>
          <w:b/>
          <w:color w:val="000000" w:themeColor="text1"/>
          <w:sz w:val="24"/>
          <w:szCs w:val="24"/>
        </w:rPr>
        <w:t>INSTRUCTED BY</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w:t>
      </w:r>
      <w:r>
        <w:rPr>
          <w:rFonts w:ascii="Arial" w:hAnsi="Arial" w:cs="Arial"/>
          <w:b/>
          <w:color w:val="000000" w:themeColor="text1"/>
          <w:sz w:val="24"/>
          <w:szCs w:val="24"/>
        </w:rPr>
        <w:tab/>
        <w:t>MOSTERT &amp; BOSMAN ATTORNEYS</w:t>
      </w:r>
    </w:p>
    <w:sectPr w:rsidR="006142C2" w:rsidRPr="006142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CE5" w:rsidRDefault="007A5CE5" w:rsidP="005C30FD">
      <w:pPr>
        <w:spacing w:after="0" w:line="240" w:lineRule="auto"/>
      </w:pPr>
      <w:r>
        <w:separator/>
      </w:r>
    </w:p>
  </w:endnote>
  <w:endnote w:type="continuationSeparator" w:id="0">
    <w:p w:rsidR="007A5CE5" w:rsidRDefault="007A5CE5" w:rsidP="005C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35417"/>
      <w:docPartObj>
        <w:docPartGallery w:val="Page Numbers (Bottom of Page)"/>
        <w:docPartUnique/>
      </w:docPartObj>
    </w:sdtPr>
    <w:sdtEndPr>
      <w:rPr>
        <w:noProof/>
      </w:rPr>
    </w:sdtEndPr>
    <w:sdtContent>
      <w:p w:rsidR="00BA6D2E" w:rsidRDefault="00BA6D2E">
        <w:pPr>
          <w:pStyle w:val="Footer"/>
          <w:jc w:val="center"/>
        </w:pPr>
        <w:r>
          <w:fldChar w:fldCharType="begin"/>
        </w:r>
        <w:r>
          <w:instrText xml:space="preserve"> PAGE   \* MERGEFORMAT </w:instrText>
        </w:r>
        <w:r>
          <w:fldChar w:fldCharType="separate"/>
        </w:r>
        <w:r w:rsidR="00F12153">
          <w:rPr>
            <w:noProof/>
          </w:rPr>
          <w:t>2</w:t>
        </w:r>
        <w:r>
          <w:rPr>
            <w:noProof/>
          </w:rPr>
          <w:fldChar w:fldCharType="end"/>
        </w:r>
      </w:p>
    </w:sdtContent>
  </w:sdt>
  <w:p w:rsidR="00BA6D2E" w:rsidRDefault="00BA6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CE5" w:rsidRDefault="007A5CE5" w:rsidP="005C30FD">
      <w:pPr>
        <w:spacing w:after="0" w:line="240" w:lineRule="auto"/>
      </w:pPr>
      <w:r>
        <w:separator/>
      </w:r>
    </w:p>
  </w:footnote>
  <w:footnote w:type="continuationSeparator" w:id="0">
    <w:p w:rsidR="007A5CE5" w:rsidRDefault="007A5CE5" w:rsidP="005C30FD">
      <w:pPr>
        <w:spacing w:after="0" w:line="240" w:lineRule="auto"/>
      </w:pPr>
      <w:r>
        <w:continuationSeparator/>
      </w:r>
    </w:p>
  </w:footnote>
  <w:footnote w:id="1">
    <w:p w:rsidR="005C30FD" w:rsidRDefault="005C30FD">
      <w:pPr>
        <w:pStyle w:val="FootnoteText"/>
      </w:pPr>
      <w:r>
        <w:rPr>
          <w:rStyle w:val="FootnoteReference"/>
        </w:rPr>
        <w:footnoteRef/>
      </w:r>
      <w:r>
        <w:t xml:space="preserve"> Particulars of claim hereinafter referred to as the POC </w:t>
      </w:r>
    </w:p>
  </w:footnote>
  <w:footnote w:id="2">
    <w:p w:rsidR="005C30FD" w:rsidRDefault="005C30FD">
      <w:pPr>
        <w:pStyle w:val="FootnoteText"/>
      </w:pPr>
      <w:r>
        <w:rPr>
          <w:rStyle w:val="FootnoteReference"/>
        </w:rPr>
        <w:footnoteRef/>
      </w:r>
      <w:r>
        <w:t xml:space="preserve"> High court rule 23 (1)(a)</w:t>
      </w:r>
    </w:p>
  </w:footnote>
  <w:footnote w:id="3">
    <w:p w:rsidR="00D719CD" w:rsidRDefault="00D719CD">
      <w:pPr>
        <w:pStyle w:val="FootnoteText"/>
      </w:pPr>
      <w:r>
        <w:rPr>
          <w:rStyle w:val="FootnoteReference"/>
        </w:rPr>
        <w:footnoteRef/>
      </w:r>
      <w:r>
        <w:t xml:space="preserve"> Jowell v Bramwell-Jones 1998(1) SA836 (W) </w:t>
      </w:r>
    </w:p>
  </w:footnote>
  <w:footnote w:id="4">
    <w:p w:rsidR="000C15D4" w:rsidRDefault="000C15D4">
      <w:pPr>
        <w:pStyle w:val="FootnoteText"/>
      </w:pPr>
      <w:r>
        <w:rPr>
          <w:rStyle w:val="FootnoteReference"/>
        </w:rPr>
        <w:footnoteRef/>
      </w:r>
      <w:r>
        <w:t xml:space="preserve"> Cross v Ferreira 1950(3)SA443(CPD) at 447</w:t>
      </w:r>
    </w:p>
  </w:footnote>
  <w:footnote w:id="5">
    <w:p w:rsidR="00392BD4" w:rsidRPr="00392BD4" w:rsidRDefault="00392BD4">
      <w:pPr>
        <w:pStyle w:val="FootnoteText"/>
        <w:rPr>
          <w:lang w:val="en-GB"/>
        </w:rPr>
      </w:pPr>
      <w:r>
        <w:rPr>
          <w:rStyle w:val="FootnoteReference"/>
        </w:rPr>
        <w:footnoteRef/>
      </w:r>
      <w:r>
        <w:t xml:space="preserve"> </w:t>
      </w:r>
      <w:r>
        <w:rPr>
          <w:lang w:val="en-GB"/>
        </w:rPr>
        <w:t>See p 76 for the initial design of the bulk bin (annex POC1 to the original POC).</w:t>
      </w:r>
    </w:p>
  </w:footnote>
  <w:footnote w:id="6">
    <w:p w:rsidR="00392BD4" w:rsidRPr="00392BD4" w:rsidRDefault="00392BD4">
      <w:pPr>
        <w:pStyle w:val="FootnoteText"/>
        <w:rPr>
          <w:lang w:val="en-GB"/>
        </w:rPr>
      </w:pPr>
      <w:r>
        <w:rPr>
          <w:rStyle w:val="FootnoteReference"/>
        </w:rPr>
        <w:footnoteRef/>
      </w:r>
      <w:r>
        <w:t xml:space="preserve"> </w:t>
      </w:r>
      <w:r>
        <w:rPr>
          <w:lang w:val="en-GB"/>
        </w:rPr>
        <w:t>Original POC paras 42-44 pp 66-68; amended POC paras 45-47 pp 20-22.</w:t>
      </w:r>
    </w:p>
  </w:footnote>
  <w:footnote w:id="7">
    <w:p w:rsidR="00D2051B" w:rsidRPr="00D2051B" w:rsidRDefault="00D2051B">
      <w:pPr>
        <w:pStyle w:val="FootnoteText"/>
        <w:rPr>
          <w:lang w:val="en-GB"/>
        </w:rPr>
      </w:pPr>
      <w:r>
        <w:rPr>
          <w:rStyle w:val="FootnoteReference"/>
        </w:rPr>
        <w:footnoteRef/>
      </w:r>
      <w:r>
        <w:t xml:space="preserve"> </w:t>
      </w:r>
      <w:r>
        <w:rPr>
          <w:lang w:val="en-GB"/>
        </w:rPr>
        <w:t>Original POC paras 46, 49 and 52 pp 68-72; amended POC paras 49, 52 and 55 pp 23-27.</w:t>
      </w:r>
    </w:p>
  </w:footnote>
  <w:footnote w:id="8">
    <w:p w:rsidR="008E1A33" w:rsidRDefault="008E1A33">
      <w:pPr>
        <w:pStyle w:val="FootnoteText"/>
      </w:pPr>
      <w:r>
        <w:rPr>
          <w:rStyle w:val="FootnoteReference"/>
        </w:rPr>
        <w:footnoteRef/>
      </w:r>
      <w:r>
        <w:t xml:space="preserve"> 1927 CPD AT 27 AND 29</w:t>
      </w:r>
    </w:p>
  </w:footnote>
  <w:footnote w:id="9">
    <w:p w:rsidR="006A5C22" w:rsidRDefault="006A5C22">
      <w:pPr>
        <w:pStyle w:val="FootnoteText"/>
      </w:pPr>
      <w:r>
        <w:rPr>
          <w:rStyle w:val="FootnoteReference"/>
        </w:rPr>
        <w:footnoteRef/>
      </w:r>
      <w:r>
        <w:t xml:space="preserve"> Telemetric v Advertising standards authority south Africa 2006 (1) SA 461 (SCA): </w:t>
      </w:r>
      <w:r w:rsidR="00C61F58">
        <w:t>“exceptions</w:t>
      </w:r>
      <w:r>
        <w:t xml:space="preserve"> should be dealt with sensibly. They provide a useful mechanism to weed out cases without legal merit. An over- technical approach destroys their utility.”</w:t>
      </w:r>
    </w:p>
    <w:p w:rsidR="006A5C22" w:rsidRDefault="006A5C22">
      <w:pPr>
        <w:pStyle w:val="FootnoteText"/>
      </w:pPr>
    </w:p>
  </w:footnote>
  <w:footnote w:id="10">
    <w:p w:rsidR="00652E8E" w:rsidRDefault="00652E8E" w:rsidP="00652E8E">
      <w:pPr>
        <w:pStyle w:val="FootnoteText"/>
      </w:pPr>
      <w:r>
        <w:rPr>
          <w:rStyle w:val="FootnoteReference"/>
        </w:rPr>
        <w:footnoteRef/>
      </w:r>
      <w:r>
        <w:t xml:space="preserve"> See notice in terms of Rule 28 at page 226 to 254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E3557"/>
    <w:multiLevelType w:val="multilevel"/>
    <w:tmpl w:val="A5646C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228B67FE"/>
    <w:multiLevelType w:val="hybridMultilevel"/>
    <w:tmpl w:val="1506E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B45B7"/>
    <w:multiLevelType w:val="hybridMultilevel"/>
    <w:tmpl w:val="174C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C1657"/>
    <w:multiLevelType w:val="hybridMultilevel"/>
    <w:tmpl w:val="866A1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DF00AB"/>
    <w:multiLevelType w:val="hybridMultilevel"/>
    <w:tmpl w:val="30F2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8A"/>
    <w:rsid w:val="0005003D"/>
    <w:rsid w:val="00062216"/>
    <w:rsid w:val="00063397"/>
    <w:rsid w:val="00072F3F"/>
    <w:rsid w:val="000A0645"/>
    <w:rsid w:val="000C15D4"/>
    <w:rsid w:val="000D5862"/>
    <w:rsid w:val="001202F2"/>
    <w:rsid w:val="001948F0"/>
    <w:rsid w:val="001C1588"/>
    <w:rsid w:val="001E6EFC"/>
    <w:rsid w:val="00211E46"/>
    <w:rsid w:val="002654D6"/>
    <w:rsid w:val="002A37F0"/>
    <w:rsid w:val="002B2281"/>
    <w:rsid w:val="002E6689"/>
    <w:rsid w:val="00356727"/>
    <w:rsid w:val="00392BD4"/>
    <w:rsid w:val="003A719F"/>
    <w:rsid w:val="003B09BC"/>
    <w:rsid w:val="004E4C02"/>
    <w:rsid w:val="00506269"/>
    <w:rsid w:val="005450CA"/>
    <w:rsid w:val="005877E1"/>
    <w:rsid w:val="005906FB"/>
    <w:rsid w:val="005B6427"/>
    <w:rsid w:val="005C30FD"/>
    <w:rsid w:val="006142C2"/>
    <w:rsid w:val="00621D90"/>
    <w:rsid w:val="00652CB2"/>
    <w:rsid w:val="00652E8E"/>
    <w:rsid w:val="00655884"/>
    <w:rsid w:val="006A5C22"/>
    <w:rsid w:val="00740ED7"/>
    <w:rsid w:val="00741417"/>
    <w:rsid w:val="00757832"/>
    <w:rsid w:val="00775360"/>
    <w:rsid w:val="007A5CE5"/>
    <w:rsid w:val="0080478C"/>
    <w:rsid w:val="0083318E"/>
    <w:rsid w:val="008C2847"/>
    <w:rsid w:val="008E1A33"/>
    <w:rsid w:val="008F5145"/>
    <w:rsid w:val="00905073"/>
    <w:rsid w:val="00934B84"/>
    <w:rsid w:val="00991489"/>
    <w:rsid w:val="00A95776"/>
    <w:rsid w:val="00A95FDB"/>
    <w:rsid w:val="00AF46C7"/>
    <w:rsid w:val="00AF4C55"/>
    <w:rsid w:val="00B04D22"/>
    <w:rsid w:val="00B16B9D"/>
    <w:rsid w:val="00B51AD3"/>
    <w:rsid w:val="00BA6D2E"/>
    <w:rsid w:val="00C61F58"/>
    <w:rsid w:val="00D2051B"/>
    <w:rsid w:val="00D719CD"/>
    <w:rsid w:val="00D75BE4"/>
    <w:rsid w:val="00E42F07"/>
    <w:rsid w:val="00E51CD3"/>
    <w:rsid w:val="00E82D2F"/>
    <w:rsid w:val="00E84D29"/>
    <w:rsid w:val="00EA0958"/>
    <w:rsid w:val="00F12153"/>
    <w:rsid w:val="00F16816"/>
    <w:rsid w:val="00F21F04"/>
    <w:rsid w:val="00F3231F"/>
    <w:rsid w:val="00F34177"/>
    <w:rsid w:val="00F964EB"/>
    <w:rsid w:val="00FC028A"/>
    <w:rsid w:val="00FE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EBEA7-EFB7-43EC-A751-38923716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30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0FD"/>
    <w:rPr>
      <w:sz w:val="20"/>
      <w:szCs w:val="20"/>
    </w:rPr>
  </w:style>
  <w:style w:type="character" w:styleId="FootnoteReference">
    <w:name w:val="footnote reference"/>
    <w:basedOn w:val="DefaultParagraphFont"/>
    <w:uiPriority w:val="99"/>
    <w:semiHidden/>
    <w:unhideWhenUsed/>
    <w:rsid w:val="005C30FD"/>
    <w:rPr>
      <w:vertAlign w:val="superscript"/>
    </w:rPr>
  </w:style>
  <w:style w:type="paragraph" w:styleId="ListParagraph">
    <w:name w:val="List Paragraph"/>
    <w:basedOn w:val="Normal"/>
    <w:uiPriority w:val="34"/>
    <w:qFormat/>
    <w:rsid w:val="0005003D"/>
    <w:pPr>
      <w:ind w:left="720"/>
      <w:contextualSpacing/>
    </w:pPr>
  </w:style>
  <w:style w:type="paragraph" w:styleId="Header">
    <w:name w:val="header"/>
    <w:basedOn w:val="Normal"/>
    <w:link w:val="HeaderChar"/>
    <w:uiPriority w:val="99"/>
    <w:unhideWhenUsed/>
    <w:rsid w:val="00BA6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D2E"/>
  </w:style>
  <w:style w:type="paragraph" w:styleId="Footer">
    <w:name w:val="footer"/>
    <w:basedOn w:val="Normal"/>
    <w:link w:val="FooterChar"/>
    <w:uiPriority w:val="99"/>
    <w:unhideWhenUsed/>
    <w:rsid w:val="00BA6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D2E"/>
  </w:style>
  <w:style w:type="paragraph" w:styleId="EndnoteText">
    <w:name w:val="endnote text"/>
    <w:basedOn w:val="Normal"/>
    <w:link w:val="EndnoteTextChar"/>
    <w:uiPriority w:val="99"/>
    <w:semiHidden/>
    <w:unhideWhenUsed/>
    <w:rsid w:val="00392B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BD4"/>
    <w:rPr>
      <w:sz w:val="20"/>
      <w:szCs w:val="20"/>
    </w:rPr>
  </w:style>
  <w:style w:type="character" w:styleId="EndnoteReference">
    <w:name w:val="endnote reference"/>
    <w:basedOn w:val="DefaultParagraphFont"/>
    <w:uiPriority w:val="99"/>
    <w:semiHidden/>
    <w:unhideWhenUsed/>
    <w:rsid w:val="00392BD4"/>
    <w:rPr>
      <w:vertAlign w:val="superscript"/>
    </w:rPr>
  </w:style>
  <w:style w:type="paragraph" w:styleId="BalloonText">
    <w:name w:val="Balloon Text"/>
    <w:basedOn w:val="Normal"/>
    <w:link w:val="BalloonTextChar"/>
    <w:uiPriority w:val="99"/>
    <w:semiHidden/>
    <w:unhideWhenUsed/>
    <w:rsid w:val="00F32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D169F-ED54-4A90-9BF7-B0DFC6C5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Raadiyah Wathen-Falken</dc:creator>
  <cp:keywords/>
  <dc:description/>
  <cp:lastModifiedBy>Mokone</cp:lastModifiedBy>
  <cp:revision>3</cp:revision>
  <cp:lastPrinted>2023-01-19T12:27:00Z</cp:lastPrinted>
  <dcterms:created xsi:type="dcterms:W3CDTF">2023-01-30T12:41:00Z</dcterms:created>
  <dcterms:modified xsi:type="dcterms:W3CDTF">2023-01-30T12:42:00Z</dcterms:modified>
</cp:coreProperties>
</file>