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0B4" w:rsidRDefault="00C640B4" w:rsidP="00C640B4">
      <w:pPr>
        <w:pStyle w:val="Header"/>
        <w:jc w:val="center"/>
        <w:rPr>
          <w:rFonts w:ascii="Arial" w:hAnsi="Arial" w:cs="Arial"/>
          <w:b/>
          <w:lang w:val="en-GB"/>
        </w:rPr>
      </w:pPr>
      <w:bookmarkStart w:id="0" w:name="_GoBack"/>
      <w:bookmarkEnd w:id="0"/>
      <w:r w:rsidRPr="00AE0666">
        <w:rPr>
          <w:b/>
          <w:noProof/>
          <w:lang w:val="en-US"/>
        </w:rPr>
        <w:drawing>
          <wp:inline distT="0" distB="0" distL="0" distR="0" wp14:anchorId="7A104DBD" wp14:editId="5E83354F">
            <wp:extent cx="876300" cy="1035257"/>
            <wp:effectExtent l="0" t="0" r="0" b="0"/>
            <wp:docPr id="1" name="Picture 1" descr="Description: Description: cid:image001.png@01D297ED.F27B3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id:image001.png@01D297ED.F27B35D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0456" cy="1040167"/>
                    </a:xfrm>
                    <a:prstGeom prst="rect">
                      <a:avLst/>
                    </a:prstGeom>
                    <a:noFill/>
                    <a:ln>
                      <a:noFill/>
                    </a:ln>
                  </pic:spPr>
                </pic:pic>
              </a:graphicData>
            </a:graphic>
          </wp:inline>
        </w:drawing>
      </w:r>
      <w:r>
        <w:rPr>
          <w:rFonts w:ascii="Arial" w:hAnsi="Arial" w:cs="Arial"/>
          <w:b/>
          <w:lang w:val="en-GB"/>
        </w:rPr>
        <w:t xml:space="preserve"> </w:t>
      </w:r>
    </w:p>
    <w:p w:rsidR="00C640B4" w:rsidRDefault="00C640B4" w:rsidP="00C640B4">
      <w:pPr>
        <w:pStyle w:val="Header"/>
        <w:jc w:val="center"/>
        <w:rPr>
          <w:rFonts w:ascii="Arial" w:hAnsi="Arial" w:cs="Arial"/>
          <w:b/>
          <w:lang w:val="en-GB"/>
        </w:rPr>
      </w:pPr>
    </w:p>
    <w:p w:rsidR="00C640B4" w:rsidRPr="00AE0666" w:rsidRDefault="00C640B4" w:rsidP="00C640B4">
      <w:pPr>
        <w:pStyle w:val="Header"/>
        <w:spacing w:line="276" w:lineRule="auto"/>
        <w:jc w:val="center"/>
        <w:rPr>
          <w:rFonts w:ascii="Arial" w:hAnsi="Arial" w:cs="Arial"/>
          <w:b/>
          <w:lang w:val="en-GB"/>
        </w:rPr>
      </w:pPr>
      <w:r w:rsidRPr="00AE0666">
        <w:rPr>
          <w:rFonts w:ascii="Arial" w:hAnsi="Arial" w:cs="Arial"/>
          <w:b/>
          <w:lang w:val="en-GB"/>
        </w:rPr>
        <w:t>In the High Court of South Africa</w:t>
      </w:r>
    </w:p>
    <w:p w:rsidR="00C640B4" w:rsidRPr="00AE0666" w:rsidRDefault="00C640B4" w:rsidP="00C640B4">
      <w:pPr>
        <w:pStyle w:val="Header"/>
        <w:spacing w:line="276" w:lineRule="auto"/>
        <w:jc w:val="center"/>
        <w:rPr>
          <w:rFonts w:ascii="Arial" w:hAnsi="Arial" w:cs="Arial"/>
          <w:b/>
          <w:lang w:val="en-GB"/>
        </w:rPr>
      </w:pPr>
      <w:r w:rsidRPr="00AE0666">
        <w:rPr>
          <w:rFonts w:ascii="Arial" w:hAnsi="Arial" w:cs="Arial"/>
          <w:b/>
          <w:lang w:val="en-GB"/>
        </w:rPr>
        <w:t xml:space="preserve">  (Western Cape Division, Cape Town)</w:t>
      </w:r>
    </w:p>
    <w:p w:rsidR="00C640B4" w:rsidRDefault="00C640B4" w:rsidP="00C640B4">
      <w:pPr>
        <w:pStyle w:val="Header"/>
        <w:jc w:val="center"/>
        <w:rPr>
          <w:rFonts w:ascii="Calibri" w:hAnsi="Calibri" w:cs="Times New Roman"/>
          <w:lang w:val="en-GB"/>
        </w:rPr>
      </w:pPr>
    </w:p>
    <w:p w:rsidR="00C640B4" w:rsidRPr="0011453F" w:rsidRDefault="00C640B4" w:rsidP="00C640B4">
      <w:pPr>
        <w:tabs>
          <w:tab w:val="left" w:pos="7938"/>
        </w:tabs>
        <w:spacing w:after="0" w:line="240" w:lineRule="auto"/>
        <w:jc w:val="center"/>
        <w:rPr>
          <w:rFonts w:ascii="Arial" w:hAnsi="Arial" w:cs="Arial"/>
          <w:b/>
          <w:sz w:val="24"/>
          <w:szCs w:val="24"/>
        </w:rPr>
      </w:pPr>
      <w:r>
        <w:rPr>
          <w:rFonts w:ascii="Arial" w:hAnsi="Arial" w:cs="Arial"/>
          <w:b/>
          <w:sz w:val="24"/>
          <w:szCs w:val="24"/>
        </w:rPr>
        <w:t xml:space="preserve">                                                                                      Case Number:   </w:t>
      </w:r>
      <w:r w:rsidR="005A7DDB">
        <w:rPr>
          <w:rFonts w:ascii="Arial" w:hAnsi="Arial" w:cs="Arial"/>
          <w:b/>
          <w:sz w:val="24"/>
          <w:szCs w:val="24"/>
        </w:rPr>
        <w:t>8049/2019</w:t>
      </w:r>
      <w:r>
        <w:rPr>
          <w:rFonts w:ascii="Arial" w:hAnsi="Arial" w:cs="Arial"/>
          <w:b/>
          <w:sz w:val="24"/>
          <w:szCs w:val="24"/>
        </w:rPr>
        <w:t xml:space="preserve">                                       </w:t>
      </w:r>
    </w:p>
    <w:p w:rsidR="00C640B4" w:rsidRPr="0011453F" w:rsidRDefault="00C640B4" w:rsidP="00C640B4">
      <w:pPr>
        <w:tabs>
          <w:tab w:val="left" w:pos="7938"/>
        </w:tabs>
        <w:spacing w:after="0" w:line="240" w:lineRule="auto"/>
        <w:jc w:val="center"/>
        <w:rPr>
          <w:rFonts w:ascii="Arial" w:hAnsi="Arial" w:cs="Arial"/>
          <w:b/>
          <w:sz w:val="24"/>
          <w:szCs w:val="24"/>
        </w:rPr>
      </w:pPr>
      <w:r>
        <w:rPr>
          <w:rFonts w:ascii="Arial" w:hAnsi="Arial" w:cs="Arial"/>
          <w:b/>
          <w:sz w:val="24"/>
          <w:szCs w:val="24"/>
        </w:rPr>
        <w:t xml:space="preserve">                                    </w:t>
      </w:r>
    </w:p>
    <w:p w:rsidR="00C640B4" w:rsidRDefault="00C640B4" w:rsidP="00C640B4">
      <w:pPr>
        <w:tabs>
          <w:tab w:val="left" w:pos="7938"/>
        </w:tabs>
        <w:spacing w:after="0"/>
        <w:rPr>
          <w:rFonts w:ascii="Arial" w:hAnsi="Arial" w:cs="Arial"/>
          <w:sz w:val="24"/>
          <w:szCs w:val="24"/>
        </w:rPr>
      </w:pPr>
      <w:r>
        <w:rPr>
          <w:rFonts w:ascii="Arial" w:hAnsi="Arial" w:cs="Arial"/>
          <w:sz w:val="24"/>
          <w:szCs w:val="24"/>
        </w:rPr>
        <w:t>In the matter between:</w:t>
      </w:r>
      <w:r>
        <w:rPr>
          <w:rFonts w:ascii="Arial" w:hAnsi="Arial" w:cs="Arial"/>
          <w:sz w:val="24"/>
          <w:szCs w:val="24"/>
        </w:rPr>
        <w:tab/>
      </w:r>
    </w:p>
    <w:p w:rsidR="00C640B4" w:rsidRDefault="00C640B4" w:rsidP="00C640B4">
      <w:pPr>
        <w:tabs>
          <w:tab w:val="left" w:pos="7938"/>
        </w:tabs>
        <w:jc w:val="center"/>
        <w:rPr>
          <w:rFonts w:ascii="Arial" w:hAnsi="Arial" w:cs="Arial"/>
          <w:b/>
          <w:sz w:val="24"/>
          <w:szCs w:val="24"/>
        </w:rPr>
      </w:pPr>
    </w:p>
    <w:p w:rsidR="000626FF" w:rsidRDefault="005A7DDB" w:rsidP="00C640B4">
      <w:pPr>
        <w:tabs>
          <w:tab w:val="left" w:pos="7938"/>
        </w:tabs>
        <w:rPr>
          <w:rFonts w:ascii="Arial" w:hAnsi="Arial" w:cs="Arial"/>
          <w:sz w:val="24"/>
          <w:szCs w:val="24"/>
        </w:rPr>
      </w:pPr>
      <w:r>
        <w:rPr>
          <w:rFonts w:ascii="Arial" w:hAnsi="Arial" w:cs="Arial"/>
          <w:b/>
          <w:sz w:val="24"/>
          <w:szCs w:val="24"/>
        </w:rPr>
        <w:t xml:space="preserve">THE CITY OF CAPE TOWN                                           </w:t>
      </w:r>
      <w:r>
        <w:rPr>
          <w:rFonts w:ascii="Arial" w:hAnsi="Arial" w:cs="Arial"/>
          <w:sz w:val="24"/>
          <w:szCs w:val="24"/>
        </w:rPr>
        <w:t>Plaintiff</w:t>
      </w:r>
    </w:p>
    <w:p w:rsidR="00C640B4" w:rsidRDefault="000626FF" w:rsidP="00C640B4">
      <w:pPr>
        <w:tabs>
          <w:tab w:val="left" w:pos="7938"/>
        </w:tabs>
        <w:rPr>
          <w:rFonts w:ascii="Arial" w:hAnsi="Arial" w:cs="Arial"/>
          <w:b/>
          <w:sz w:val="24"/>
          <w:szCs w:val="24"/>
        </w:rPr>
      </w:pPr>
      <w:r w:rsidRPr="000626FF">
        <w:rPr>
          <w:rFonts w:ascii="Arial" w:hAnsi="Arial" w:cs="Arial"/>
          <w:b/>
          <w:sz w:val="24"/>
          <w:szCs w:val="24"/>
        </w:rPr>
        <w:t>A</w:t>
      </w:r>
      <w:r w:rsidR="00C640B4">
        <w:rPr>
          <w:rFonts w:ascii="Arial" w:hAnsi="Arial" w:cs="Arial"/>
          <w:b/>
          <w:sz w:val="24"/>
          <w:szCs w:val="24"/>
        </w:rPr>
        <w:t xml:space="preserve">nd </w:t>
      </w:r>
    </w:p>
    <w:p w:rsidR="00C640B4" w:rsidRPr="00D87150" w:rsidRDefault="00D87150" w:rsidP="00C640B4">
      <w:pPr>
        <w:tabs>
          <w:tab w:val="left" w:pos="7938"/>
        </w:tabs>
        <w:rPr>
          <w:rFonts w:ascii="Arial" w:hAnsi="Arial" w:cs="Arial"/>
          <w:sz w:val="24"/>
          <w:szCs w:val="24"/>
        </w:rPr>
      </w:pPr>
      <w:r>
        <w:rPr>
          <w:rFonts w:ascii="Arial" w:hAnsi="Arial" w:cs="Arial"/>
          <w:b/>
          <w:sz w:val="24"/>
          <w:szCs w:val="24"/>
        </w:rPr>
        <w:t xml:space="preserve">ICT-WORKS PROPRIETARY LIMITED                         </w:t>
      </w:r>
      <w:r>
        <w:rPr>
          <w:rFonts w:ascii="Arial" w:hAnsi="Arial" w:cs="Arial"/>
          <w:sz w:val="24"/>
          <w:szCs w:val="24"/>
        </w:rPr>
        <w:t>Defendant</w:t>
      </w:r>
    </w:p>
    <w:p w:rsidR="00C640B4" w:rsidRDefault="00C640B4" w:rsidP="00C640B4">
      <w:pPr>
        <w:tabs>
          <w:tab w:val="left" w:pos="7938"/>
        </w:tabs>
        <w:spacing w:after="0"/>
        <w:rPr>
          <w:rFonts w:ascii="Arial" w:hAnsi="Arial" w:cs="Arial"/>
          <w:b/>
          <w:sz w:val="24"/>
          <w:szCs w:val="24"/>
        </w:rPr>
      </w:pPr>
      <w:r>
        <w:rPr>
          <w:rFonts w:ascii="Arial" w:hAnsi="Arial" w:cs="Arial"/>
          <w:b/>
          <w:sz w:val="24"/>
          <w:szCs w:val="24"/>
        </w:rPr>
        <w:t>Date of hearing:</w:t>
      </w:r>
      <w:r w:rsidR="00BD4CEA">
        <w:rPr>
          <w:rFonts w:ascii="Arial" w:hAnsi="Arial" w:cs="Arial"/>
          <w:b/>
          <w:sz w:val="24"/>
          <w:szCs w:val="24"/>
        </w:rPr>
        <w:t xml:space="preserve">       19 April 2023</w:t>
      </w:r>
    </w:p>
    <w:p w:rsidR="00C640B4" w:rsidRDefault="00C640B4" w:rsidP="00C640B4">
      <w:pPr>
        <w:tabs>
          <w:tab w:val="left" w:pos="7938"/>
        </w:tabs>
        <w:spacing w:after="0"/>
        <w:rPr>
          <w:rFonts w:ascii="Arial" w:hAnsi="Arial" w:cs="Arial"/>
          <w:b/>
          <w:sz w:val="24"/>
          <w:szCs w:val="24"/>
        </w:rPr>
      </w:pPr>
      <w:r>
        <w:rPr>
          <w:rFonts w:ascii="Arial" w:hAnsi="Arial" w:cs="Arial"/>
          <w:b/>
          <w:sz w:val="24"/>
          <w:szCs w:val="24"/>
        </w:rPr>
        <w:t>Date of Judgment:</w:t>
      </w:r>
      <w:r w:rsidR="00BD4CEA">
        <w:rPr>
          <w:rFonts w:ascii="Arial" w:hAnsi="Arial" w:cs="Arial"/>
          <w:b/>
          <w:sz w:val="24"/>
          <w:szCs w:val="24"/>
        </w:rPr>
        <w:t xml:space="preserve">   28 April 2023</w:t>
      </w:r>
    </w:p>
    <w:p w:rsidR="00C640B4" w:rsidRDefault="00C640B4" w:rsidP="00C640B4">
      <w:pPr>
        <w:tabs>
          <w:tab w:val="left" w:pos="7938"/>
        </w:tabs>
        <w:spacing w:after="0"/>
        <w:rPr>
          <w:rFonts w:ascii="Arial" w:hAnsi="Arial" w:cs="Arial"/>
          <w:b/>
          <w:sz w:val="24"/>
          <w:szCs w:val="24"/>
        </w:rPr>
      </w:pPr>
    </w:p>
    <w:p w:rsidR="00C640B4" w:rsidRDefault="00D87150" w:rsidP="00C640B4">
      <w:pPr>
        <w:tabs>
          <w:tab w:val="left" w:pos="7938"/>
        </w:tabs>
        <w:spacing w:after="0"/>
        <w:rPr>
          <w:rFonts w:ascii="Arial" w:hAnsi="Arial" w:cs="Arial"/>
          <w:b/>
          <w:sz w:val="24"/>
          <w:szCs w:val="24"/>
        </w:rPr>
      </w:pPr>
      <w:r>
        <w:rPr>
          <w:rFonts w:ascii="Arial" w:hAnsi="Arial" w:cs="Arial"/>
          <w:b/>
          <w:sz w:val="24"/>
          <w:szCs w:val="24"/>
        </w:rPr>
        <w:t>Before: T</w:t>
      </w:r>
      <w:r w:rsidR="00C640B4">
        <w:rPr>
          <w:rFonts w:ascii="Arial" w:hAnsi="Arial" w:cs="Arial"/>
          <w:b/>
          <w:sz w:val="24"/>
          <w:szCs w:val="24"/>
        </w:rPr>
        <w:t xml:space="preserve">he Honourable Ms Acting Justice </w:t>
      </w:r>
      <w:r>
        <w:rPr>
          <w:rFonts w:ascii="Arial" w:hAnsi="Arial" w:cs="Arial"/>
          <w:b/>
          <w:sz w:val="24"/>
          <w:szCs w:val="24"/>
        </w:rPr>
        <w:t>Pangarker</w:t>
      </w:r>
      <w:r w:rsidR="00C640B4">
        <w:rPr>
          <w:rFonts w:ascii="Arial" w:hAnsi="Arial" w:cs="Arial"/>
          <w:b/>
          <w:sz w:val="24"/>
          <w:szCs w:val="24"/>
        </w:rPr>
        <w:t xml:space="preserve">                                                                                                                                                                               </w:t>
      </w:r>
    </w:p>
    <w:p w:rsidR="00C640B4" w:rsidRDefault="00C640B4" w:rsidP="00C640B4">
      <w:pPr>
        <w:pBdr>
          <w:bottom w:val="single" w:sz="12" w:space="1" w:color="auto"/>
        </w:pBdr>
        <w:spacing w:after="0" w:line="276" w:lineRule="auto"/>
        <w:jc w:val="both"/>
        <w:rPr>
          <w:rFonts w:ascii="Arial" w:hAnsi="Arial" w:cs="Arial"/>
          <w:sz w:val="24"/>
          <w:szCs w:val="24"/>
        </w:rPr>
      </w:pPr>
    </w:p>
    <w:p w:rsidR="00C640B4" w:rsidRDefault="00C640B4" w:rsidP="00C640B4">
      <w:pPr>
        <w:spacing w:after="0"/>
        <w:ind w:left="720" w:firstLine="720"/>
        <w:rPr>
          <w:rFonts w:ascii="Arial" w:hAnsi="Arial" w:cs="Arial"/>
          <w:b/>
          <w:sz w:val="24"/>
          <w:szCs w:val="24"/>
        </w:rPr>
      </w:pPr>
      <w:r>
        <w:rPr>
          <w:rFonts w:ascii="Arial" w:hAnsi="Arial" w:cs="Arial"/>
          <w:b/>
          <w:sz w:val="24"/>
          <w:szCs w:val="24"/>
        </w:rPr>
        <w:t xml:space="preserve">                           </w:t>
      </w:r>
    </w:p>
    <w:p w:rsidR="00C640B4" w:rsidRDefault="00C640B4" w:rsidP="00C640B4">
      <w:pPr>
        <w:spacing w:after="0"/>
        <w:jc w:val="center"/>
        <w:rPr>
          <w:rFonts w:ascii="Arial" w:hAnsi="Arial" w:cs="Arial"/>
          <w:b/>
          <w:sz w:val="24"/>
          <w:szCs w:val="24"/>
        </w:rPr>
      </w:pPr>
      <w:r>
        <w:rPr>
          <w:rFonts w:ascii="Arial" w:hAnsi="Arial" w:cs="Arial"/>
          <w:b/>
          <w:sz w:val="24"/>
          <w:szCs w:val="24"/>
        </w:rPr>
        <w:t xml:space="preserve">JUDGMENT DELIVERED THIS </w:t>
      </w:r>
      <w:r w:rsidR="00BD4CEA">
        <w:rPr>
          <w:rFonts w:ascii="Arial" w:hAnsi="Arial" w:cs="Arial"/>
          <w:b/>
          <w:sz w:val="24"/>
          <w:szCs w:val="24"/>
        </w:rPr>
        <w:t>28</w:t>
      </w:r>
      <w:r w:rsidR="00BD4CEA" w:rsidRPr="00BD4CEA">
        <w:rPr>
          <w:rFonts w:ascii="Arial" w:hAnsi="Arial" w:cs="Arial"/>
          <w:b/>
          <w:sz w:val="24"/>
          <w:szCs w:val="24"/>
          <w:vertAlign w:val="superscript"/>
        </w:rPr>
        <w:t>TH</w:t>
      </w:r>
      <w:r w:rsidR="00BD4CEA">
        <w:rPr>
          <w:rFonts w:ascii="Arial" w:hAnsi="Arial" w:cs="Arial"/>
          <w:b/>
          <w:sz w:val="24"/>
          <w:szCs w:val="24"/>
        </w:rPr>
        <w:t xml:space="preserve"> </w:t>
      </w:r>
      <w:r>
        <w:rPr>
          <w:rFonts w:ascii="Arial" w:hAnsi="Arial" w:cs="Arial"/>
          <w:b/>
          <w:sz w:val="24"/>
          <w:szCs w:val="24"/>
        </w:rPr>
        <w:t xml:space="preserve">DAY OF </w:t>
      </w:r>
      <w:r w:rsidR="00BD4CEA">
        <w:rPr>
          <w:rFonts w:ascii="Arial" w:hAnsi="Arial" w:cs="Arial"/>
          <w:b/>
          <w:sz w:val="24"/>
          <w:szCs w:val="24"/>
        </w:rPr>
        <w:t xml:space="preserve"> APRIL </w:t>
      </w:r>
      <w:r>
        <w:rPr>
          <w:rFonts w:ascii="Arial" w:hAnsi="Arial" w:cs="Arial"/>
          <w:b/>
          <w:sz w:val="24"/>
          <w:szCs w:val="24"/>
        </w:rPr>
        <w:t>2023</w:t>
      </w:r>
    </w:p>
    <w:p w:rsidR="00C640B4" w:rsidRDefault="00C640B4" w:rsidP="00C640B4">
      <w:pPr>
        <w:pBdr>
          <w:bottom w:val="single" w:sz="12" w:space="1" w:color="auto"/>
        </w:pBdr>
        <w:spacing w:after="0"/>
        <w:jc w:val="both"/>
        <w:rPr>
          <w:rFonts w:ascii="Arial" w:hAnsi="Arial" w:cs="Arial"/>
          <w:sz w:val="18"/>
          <w:szCs w:val="18"/>
        </w:rPr>
      </w:pPr>
    </w:p>
    <w:p w:rsidR="00C640B4" w:rsidRDefault="00C640B4" w:rsidP="00C640B4">
      <w:pPr>
        <w:spacing w:line="480" w:lineRule="auto"/>
        <w:jc w:val="both"/>
        <w:rPr>
          <w:rFonts w:ascii="Arial" w:hAnsi="Arial" w:cs="Arial"/>
          <w:b/>
          <w:sz w:val="24"/>
          <w:szCs w:val="24"/>
        </w:rPr>
      </w:pPr>
    </w:p>
    <w:p w:rsidR="00C640B4" w:rsidRPr="00C640B4" w:rsidRDefault="00C640B4" w:rsidP="00C640B4">
      <w:pPr>
        <w:spacing w:line="480" w:lineRule="auto"/>
        <w:jc w:val="both"/>
        <w:rPr>
          <w:rFonts w:ascii="Arial" w:hAnsi="Arial" w:cs="Arial"/>
          <w:b/>
          <w:sz w:val="24"/>
          <w:szCs w:val="24"/>
        </w:rPr>
      </w:pPr>
      <w:r>
        <w:rPr>
          <w:rFonts w:ascii="Arial" w:hAnsi="Arial" w:cs="Arial"/>
          <w:b/>
          <w:sz w:val="24"/>
          <w:szCs w:val="24"/>
        </w:rPr>
        <w:t>PA</w:t>
      </w:r>
      <w:r w:rsidR="00BD4CEA">
        <w:rPr>
          <w:rFonts w:ascii="Arial" w:hAnsi="Arial" w:cs="Arial"/>
          <w:b/>
          <w:sz w:val="24"/>
          <w:szCs w:val="24"/>
        </w:rPr>
        <w:t>N</w:t>
      </w:r>
      <w:r>
        <w:rPr>
          <w:rFonts w:ascii="Arial" w:hAnsi="Arial" w:cs="Arial"/>
          <w:b/>
          <w:sz w:val="24"/>
          <w:szCs w:val="24"/>
        </w:rPr>
        <w:t>GARKER, AJ</w:t>
      </w:r>
    </w:p>
    <w:p w:rsidR="00F1130D" w:rsidRPr="00F1130D" w:rsidRDefault="00F1130D" w:rsidP="00F1130D">
      <w:pPr>
        <w:spacing w:line="480" w:lineRule="auto"/>
        <w:jc w:val="both"/>
        <w:rPr>
          <w:rFonts w:ascii="Arial" w:hAnsi="Arial" w:cs="Arial"/>
          <w:sz w:val="24"/>
          <w:szCs w:val="24"/>
        </w:rPr>
      </w:pPr>
      <w:r w:rsidRPr="00F1130D">
        <w:rPr>
          <w:rFonts w:ascii="Arial" w:hAnsi="Arial" w:cs="Arial"/>
          <w:b/>
          <w:sz w:val="24"/>
          <w:szCs w:val="24"/>
          <w:u w:val="single"/>
        </w:rPr>
        <w:t>Introduction</w:t>
      </w:r>
    </w:p>
    <w:p w:rsidR="00F1130D" w:rsidRPr="00F1130D" w:rsidRDefault="00CB7701" w:rsidP="00F1130D">
      <w:pPr>
        <w:spacing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F1130D" w:rsidRPr="00F1130D">
        <w:rPr>
          <w:rFonts w:ascii="Arial" w:hAnsi="Arial" w:cs="Arial"/>
          <w:sz w:val="24"/>
          <w:szCs w:val="24"/>
        </w:rPr>
        <w:t xml:space="preserve">On 10 May 2022, Goliath DJP (as she then was) delivered a judgment pursuant to the hearing of an exception </w:t>
      </w:r>
      <w:r w:rsidR="0068407D">
        <w:rPr>
          <w:rFonts w:ascii="Arial" w:hAnsi="Arial" w:cs="Arial"/>
          <w:sz w:val="24"/>
          <w:szCs w:val="24"/>
        </w:rPr>
        <w:t xml:space="preserve">taken </w:t>
      </w:r>
      <w:r w:rsidR="00F1130D" w:rsidRPr="00F1130D">
        <w:rPr>
          <w:rFonts w:ascii="Arial" w:hAnsi="Arial" w:cs="Arial"/>
          <w:sz w:val="24"/>
          <w:szCs w:val="24"/>
        </w:rPr>
        <w:t xml:space="preserve">by the defendant against the plaintiff’s </w:t>
      </w:r>
      <w:r w:rsidR="009F0665">
        <w:rPr>
          <w:rFonts w:ascii="Arial" w:hAnsi="Arial" w:cs="Arial"/>
          <w:sz w:val="24"/>
          <w:szCs w:val="24"/>
        </w:rPr>
        <w:t>P</w:t>
      </w:r>
      <w:r w:rsidR="00F1130D" w:rsidRPr="00F1130D">
        <w:rPr>
          <w:rFonts w:ascii="Arial" w:hAnsi="Arial" w:cs="Arial"/>
          <w:sz w:val="24"/>
          <w:szCs w:val="24"/>
        </w:rPr>
        <w:t xml:space="preserve">articulars of </w:t>
      </w:r>
      <w:r w:rsidR="009F0665">
        <w:rPr>
          <w:rFonts w:ascii="Arial" w:hAnsi="Arial" w:cs="Arial"/>
          <w:sz w:val="24"/>
          <w:szCs w:val="24"/>
        </w:rPr>
        <w:t>C</w:t>
      </w:r>
      <w:r w:rsidR="00F1130D" w:rsidRPr="00F1130D">
        <w:rPr>
          <w:rFonts w:ascii="Arial" w:hAnsi="Arial" w:cs="Arial"/>
          <w:sz w:val="24"/>
          <w:szCs w:val="24"/>
        </w:rPr>
        <w:t xml:space="preserve">laim. At paragraph 43 of the judgment, the </w:t>
      </w:r>
      <w:r w:rsidR="00C640B4" w:rsidRPr="00F1130D">
        <w:rPr>
          <w:rFonts w:ascii="Arial" w:hAnsi="Arial" w:cs="Arial"/>
          <w:sz w:val="24"/>
          <w:szCs w:val="24"/>
        </w:rPr>
        <w:t>learned Judge</w:t>
      </w:r>
      <w:r w:rsidR="00F1130D" w:rsidRPr="00F1130D">
        <w:rPr>
          <w:rFonts w:ascii="Arial" w:hAnsi="Arial" w:cs="Arial"/>
          <w:sz w:val="24"/>
          <w:szCs w:val="24"/>
        </w:rPr>
        <w:t xml:space="preserve"> granted the following order (the Goliath order):</w:t>
      </w:r>
    </w:p>
    <w:p w:rsidR="00F1130D" w:rsidRPr="00C640B4" w:rsidRDefault="00F1130D" w:rsidP="00F1130D">
      <w:pPr>
        <w:spacing w:line="480" w:lineRule="auto"/>
        <w:jc w:val="both"/>
        <w:rPr>
          <w:rFonts w:ascii="Arial" w:hAnsi="Arial" w:cs="Arial"/>
          <w:i/>
        </w:rPr>
      </w:pPr>
      <w:r>
        <w:rPr>
          <w:rFonts w:ascii="Arial" w:hAnsi="Arial" w:cs="Arial"/>
          <w:sz w:val="24"/>
          <w:szCs w:val="24"/>
        </w:rPr>
        <w:tab/>
      </w:r>
      <w:r w:rsidRPr="00C640B4">
        <w:rPr>
          <w:rFonts w:ascii="Arial" w:hAnsi="Arial" w:cs="Arial"/>
          <w:i/>
        </w:rPr>
        <w:t>“43.1</w:t>
      </w:r>
      <w:r w:rsidRPr="00C640B4">
        <w:rPr>
          <w:rFonts w:ascii="Arial" w:hAnsi="Arial" w:cs="Arial"/>
          <w:i/>
        </w:rPr>
        <w:tab/>
        <w:t>The exception is upheld with costs.</w:t>
      </w:r>
    </w:p>
    <w:p w:rsidR="00F1130D" w:rsidRPr="00C640B4" w:rsidRDefault="00F1130D" w:rsidP="00C640B4">
      <w:pPr>
        <w:spacing w:line="480" w:lineRule="auto"/>
        <w:ind w:left="1440" w:hanging="720"/>
        <w:jc w:val="both"/>
        <w:rPr>
          <w:rFonts w:ascii="Arial" w:hAnsi="Arial" w:cs="Arial"/>
          <w:i/>
        </w:rPr>
      </w:pPr>
      <w:r w:rsidRPr="00C640B4">
        <w:rPr>
          <w:rFonts w:ascii="Arial" w:hAnsi="Arial" w:cs="Arial"/>
          <w:i/>
        </w:rPr>
        <w:t>43.2</w:t>
      </w:r>
      <w:r w:rsidRPr="00C640B4">
        <w:rPr>
          <w:rFonts w:ascii="Arial" w:hAnsi="Arial" w:cs="Arial"/>
          <w:i/>
        </w:rPr>
        <w:tab/>
      </w:r>
      <w:r w:rsidR="00C640B4" w:rsidRPr="00C640B4">
        <w:rPr>
          <w:rFonts w:ascii="Arial" w:hAnsi="Arial" w:cs="Arial"/>
          <w:i/>
        </w:rPr>
        <w:t>Plaintiff</w:t>
      </w:r>
      <w:r w:rsidRPr="00C640B4">
        <w:rPr>
          <w:rFonts w:ascii="Arial" w:hAnsi="Arial" w:cs="Arial"/>
          <w:i/>
        </w:rPr>
        <w:t xml:space="preserve"> is given leave to amend the particulars of claim by way of </w:t>
      </w:r>
      <w:r w:rsidR="00C640B4" w:rsidRPr="00C640B4">
        <w:rPr>
          <w:rFonts w:ascii="Arial" w:hAnsi="Arial" w:cs="Arial"/>
          <w:i/>
        </w:rPr>
        <w:t>n</w:t>
      </w:r>
      <w:r w:rsidRPr="00C640B4">
        <w:rPr>
          <w:rFonts w:ascii="Arial" w:hAnsi="Arial" w:cs="Arial"/>
          <w:i/>
        </w:rPr>
        <w:t>ot</w:t>
      </w:r>
      <w:r w:rsidR="00C640B4" w:rsidRPr="00C640B4">
        <w:rPr>
          <w:rFonts w:ascii="Arial" w:hAnsi="Arial" w:cs="Arial"/>
          <w:i/>
        </w:rPr>
        <w:t>i</w:t>
      </w:r>
      <w:r w:rsidRPr="00C640B4">
        <w:rPr>
          <w:rFonts w:ascii="Arial" w:hAnsi="Arial" w:cs="Arial"/>
          <w:i/>
        </w:rPr>
        <w:t>ce of amendment within 30 days of the date of this order.</w:t>
      </w:r>
    </w:p>
    <w:p w:rsidR="00F1130D" w:rsidRPr="00C640B4" w:rsidRDefault="00F1130D" w:rsidP="00C640B4">
      <w:pPr>
        <w:spacing w:line="480" w:lineRule="auto"/>
        <w:ind w:left="1440" w:hanging="720"/>
        <w:jc w:val="both"/>
        <w:rPr>
          <w:rFonts w:ascii="Arial" w:hAnsi="Arial" w:cs="Arial"/>
          <w:i/>
        </w:rPr>
      </w:pPr>
      <w:r w:rsidRPr="00C640B4">
        <w:rPr>
          <w:rFonts w:ascii="Arial" w:hAnsi="Arial" w:cs="Arial"/>
          <w:i/>
        </w:rPr>
        <w:lastRenderedPageBreak/>
        <w:t>43.3</w:t>
      </w:r>
      <w:r w:rsidRPr="00C640B4">
        <w:rPr>
          <w:rFonts w:ascii="Arial" w:hAnsi="Arial" w:cs="Arial"/>
          <w:i/>
        </w:rPr>
        <w:tab/>
        <w:t xml:space="preserve">Should the Plaintiff fail to amend the particulars of claim </w:t>
      </w:r>
      <w:r w:rsidR="00C640B4" w:rsidRPr="00C640B4">
        <w:rPr>
          <w:rFonts w:ascii="Arial" w:hAnsi="Arial" w:cs="Arial"/>
          <w:i/>
        </w:rPr>
        <w:t>within</w:t>
      </w:r>
      <w:r w:rsidRPr="00C640B4">
        <w:rPr>
          <w:rFonts w:ascii="Arial" w:hAnsi="Arial" w:cs="Arial"/>
          <w:i/>
        </w:rPr>
        <w:t xml:space="preserve"> the time stipulating</w:t>
      </w:r>
      <w:r w:rsidR="00C640B4" w:rsidRPr="00C640B4">
        <w:rPr>
          <w:rFonts w:ascii="Arial" w:hAnsi="Arial" w:cs="Arial"/>
          <w:i/>
        </w:rPr>
        <w:t xml:space="preserve"> in this order, the defendant is granted leave to set the matter down for an order striking out the Plaintiff’s claim.</w:t>
      </w:r>
    </w:p>
    <w:p w:rsidR="00C640B4" w:rsidRPr="00C640B4" w:rsidRDefault="00C640B4" w:rsidP="00C640B4">
      <w:pPr>
        <w:spacing w:line="480" w:lineRule="auto"/>
        <w:ind w:left="1440" w:hanging="720"/>
        <w:jc w:val="both"/>
        <w:rPr>
          <w:rFonts w:ascii="Arial" w:hAnsi="Arial" w:cs="Arial"/>
          <w:i/>
        </w:rPr>
      </w:pPr>
      <w:r w:rsidRPr="00C640B4">
        <w:rPr>
          <w:rFonts w:ascii="Arial" w:hAnsi="Arial" w:cs="Arial"/>
          <w:i/>
        </w:rPr>
        <w:t>43.4</w:t>
      </w:r>
      <w:r w:rsidRPr="00C640B4">
        <w:rPr>
          <w:rFonts w:ascii="Arial" w:hAnsi="Arial" w:cs="Arial"/>
          <w:i/>
        </w:rPr>
        <w:tab/>
        <w:t>The Plaintiff is ordered to pay the costs of the exception.”</w:t>
      </w:r>
    </w:p>
    <w:p w:rsidR="00F1130D" w:rsidRPr="00F1130D" w:rsidRDefault="00F1130D" w:rsidP="00F1130D">
      <w:pPr>
        <w:spacing w:line="480" w:lineRule="auto"/>
        <w:jc w:val="both"/>
        <w:rPr>
          <w:rFonts w:ascii="Arial" w:hAnsi="Arial" w:cs="Arial"/>
          <w:color w:val="FF0000"/>
          <w:sz w:val="24"/>
          <w:szCs w:val="24"/>
        </w:rPr>
      </w:pPr>
    </w:p>
    <w:p w:rsidR="00F1130D" w:rsidRPr="00F1130D" w:rsidRDefault="00CB7701" w:rsidP="00F1130D">
      <w:pPr>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9F0665">
        <w:rPr>
          <w:rFonts w:ascii="Arial" w:hAnsi="Arial" w:cs="Arial"/>
          <w:sz w:val="24"/>
          <w:szCs w:val="24"/>
        </w:rPr>
        <w:t>Thus</w:t>
      </w:r>
      <w:r w:rsidR="00F1130D" w:rsidRPr="00F1130D">
        <w:rPr>
          <w:rFonts w:ascii="Arial" w:hAnsi="Arial" w:cs="Arial"/>
          <w:sz w:val="24"/>
          <w:szCs w:val="24"/>
        </w:rPr>
        <w:t xml:space="preserve">, the plaintiff had 30 days from date of granting </w:t>
      </w:r>
      <w:r w:rsidR="009F0665">
        <w:rPr>
          <w:rFonts w:ascii="Arial" w:hAnsi="Arial" w:cs="Arial"/>
          <w:sz w:val="24"/>
          <w:szCs w:val="24"/>
        </w:rPr>
        <w:t xml:space="preserve">of </w:t>
      </w:r>
      <w:r w:rsidR="00F1130D" w:rsidRPr="00F1130D">
        <w:rPr>
          <w:rFonts w:ascii="Arial" w:hAnsi="Arial" w:cs="Arial"/>
          <w:sz w:val="24"/>
          <w:szCs w:val="24"/>
        </w:rPr>
        <w:t xml:space="preserve">the order to amend its Particulars of Claim by way of a notice of amendment and that failing such compliance, the defendant was granted leave to set the matter down for </w:t>
      </w:r>
      <w:r w:rsidR="009F0665">
        <w:rPr>
          <w:rFonts w:ascii="Arial" w:hAnsi="Arial" w:cs="Arial"/>
          <w:sz w:val="24"/>
          <w:szCs w:val="24"/>
        </w:rPr>
        <w:t xml:space="preserve">an order </w:t>
      </w:r>
      <w:r w:rsidR="00F1130D" w:rsidRPr="00F1130D">
        <w:rPr>
          <w:rFonts w:ascii="Arial" w:hAnsi="Arial" w:cs="Arial"/>
          <w:sz w:val="24"/>
          <w:szCs w:val="24"/>
        </w:rPr>
        <w:t>striking out</w:t>
      </w:r>
      <w:r w:rsidR="009F0665">
        <w:rPr>
          <w:rFonts w:ascii="Arial" w:hAnsi="Arial" w:cs="Arial"/>
          <w:sz w:val="24"/>
          <w:szCs w:val="24"/>
        </w:rPr>
        <w:t xml:space="preserve"> the plaintiff’s claim</w:t>
      </w:r>
      <w:r w:rsidR="00F1130D" w:rsidRPr="00F1130D">
        <w:rPr>
          <w:rFonts w:ascii="Arial" w:hAnsi="Arial" w:cs="Arial"/>
          <w:sz w:val="24"/>
          <w:szCs w:val="24"/>
        </w:rPr>
        <w:t xml:space="preserve">. The plaintiff instituted its damages claim against the defendant in May 2019 and it is based on the </w:t>
      </w:r>
      <w:r w:rsidR="00C640B4" w:rsidRPr="00F1130D">
        <w:rPr>
          <w:rFonts w:ascii="Arial" w:hAnsi="Arial" w:cs="Arial"/>
          <w:sz w:val="24"/>
          <w:szCs w:val="24"/>
        </w:rPr>
        <w:t>defendant’s breach</w:t>
      </w:r>
      <w:r w:rsidR="00F1130D" w:rsidRPr="00F1130D">
        <w:rPr>
          <w:rFonts w:ascii="Arial" w:hAnsi="Arial" w:cs="Arial"/>
          <w:sz w:val="24"/>
          <w:szCs w:val="24"/>
        </w:rPr>
        <w:t xml:space="preserve"> of contract in relation to the design, supply and development of the City of Cape Town’s “My City” bus fare and maintenance system. The parties had contracted with each other in February 2011 and the plaintiff pleads that the defendant failed to carry out the work in a proper and workmanlike fashion</w:t>
      </w:r>
      <w:r w:rsidR="009F0665">
        <w:rPr>
          <w:rFonts w:ascii="Arial" w:hAnsi="Arial" w:cs="Arial"/>
          <w:sz w:val="24"/>
          <w:szCs w:val="24"/>
        </w:rPr>
        <w:t>.</w:t>
      </w:r>
      <w:r w:rsidR="00F1130D" w:rsidRPr="00F1130D">
        <w:rPr>
          <w:rFonts w:ascii="Arial" w:hAnsi="Arial" w:cs="Arial"/>
          <w:sz w:val="24"/>
          <w:szCs w:val="24"/>
        </w:rPr>
        <w:t xml:space="preserve"> </w:t>
      </w:r>
    </w:p>
    <w:p w:rsidR="00F1130D" w:rsidRPr="00F1130D" w:rsidRDefault="00F1130D" w:rsidP="00F1130D">
      <w:pPr>
        <w:spacing w:line="480" w:lineRule="auto"/>
        <w:jc w:val="both"/>
        <w:rPr>
          <w:rFonts w:ascii="Arial" w:hAnsi="Arial" w:cs="Arial"/>
          <w:sz w:val="24"/>
          <w:szCs w:val="24"/>
        </w:rPr>
      </w:pPr>
    </w:p>
    <w:p w:rsidR="00F1130D" w:rsidRDefault="00CB7701" w:rsidP="00F1130D">
      <w:pPr>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F1130D" w:rsidRPr="00F1130D">
        <w:rPr>
          <w:rFonts w:ascii="Arial" w:hAnsi="Arial" w:cs="Arial"/>
          <w:sz w:val="24"/>
          <w:szCs w:val="24"/>
        </w:rPr>
        <w:t xml:space="preserve">The plaintiff failed to comply with the 30-day period as required by paragraph 43.2 of the Goliath order and such failure precipitated the two applications before me: the defendant’s application to strike out </w:t>
      </w:r>
      <w:r w:rsidR="00C640B4" w:rsidRPr="00F1130D">
        <w:rPr>
          <w:rFonts w:ascii="Arial" w:hAnsi="Arial" w:cs="Arial"/>
          <w:sz w:val="24"/>
          <w:szCs w:val="24"/>
        </w:rPr>
        <w:t>the plaintiff’s</w:t>
      </w:r>
      <w:r w:rsidR="00F1130D" w:rsidRPr="00F1130D">
        <w:rPr>
          <w:rFonts w:ascii="Arial" w:hAnsi="Arial" w:cs="Arial"/>
          <w:sz w:val="24"/>
          <w:szCs w:val="24"/>
        </w:rPr>
        <w:t xml:space="preserve"> </w:t>
      </w:r>
      <w:r w:rsidR="009F0665" w:rsidRPr="00F1130D">
        <w:rPr>
          <w:rFonts w:ascii="Arial" w:hAnsi="Arial" w:cs="Arial"/>
          <w:sz w:val="24"/>
          <w:szCs w:val="24"/>
        </w:rPr>
        <w:t>claim and</w:t>
      </w:r>
      <w:r w:rsidR="00F1130D" w:rsidRPr="00F1130D">
        <w:rPr>
          <w:rFonts w:ascii="Arial" w:hAnsi="Arial" w:cs="Arial"/>
          <w:sz w:val="24"/>
          <w:szCs w:val="24"/>
        </w:rPr>
        <w:t xml:space="preserve"> the plaintiff’s counter application for condonation for non-compliance with</w:t>
      </w:r>
      <w:r w:rsidR="0068407D">
        <w:rPr>
          <w:rFonts w:ascii="Arial" w:hAnsi="Arial" w:cs="Arial"/>
          <w:sz w:val="24"/>
          <w:szCs w:val="24"/>
        </w:rPr>
        <w:t xml:space="preserve"> the</w:t>
      </w:r>
      <w:r w:rsidR="00F1130D" w:rsidRPr="00F1130D">
        <w:rPr>
          <w:rFonts w:ascii="Arial" w:hAnsi="Arial" w:cs="Arial"/>
          <w:sz w:val="24"/>
          <w:szCs w:val="24"/>
        </w:rPr>
        <w:t xml:space="preserve"> </w:t>
      </w:r>
      <w:r w:rsidR="00F20E68" w:rsidRPr="00F1130D">
        <w:rPr>
          <w:rFonts w:ascii="Arial" w:hAnsi="Arial" w:cs="Arial"/>
          <w:sz w:val="24"/>
          <w:szCs w:val="24"/>
        </w:rPr>
        <w:t>30-day</w:t>
      </w:r>
      <w:r w:rsidR="009F0665">
        <w:rPr>
          <w:rFonts w:ascii="Arial" w:hAnsi="Arial" w:cs="Arial"/>
          <w:sz w:val="24"/>
          <w:szCs w:val="24"/>
        </w:rPr>
        <w:t xml:space="preserve"> time limitation. </w:t>
      </w:r>
      <w:r w:rsidR="0068407D">
        <w:rPr>
          <w:rFonts w:ascii="Arial" w:hAnsi="Arial" w:cs="Arial"/>
          <w:sz w:val="24"/>
          <w:szCs w:val="24"/>
        </w:rPr>
        <w:t xml:space="preserve">This </w:t>
      </w:r>
      <w:r w:rsidR="00F1130D" w:rsidRPr="00F1130D">
        <w:rPr>
          <w:rFonts w:ascii="Arial" w:hAnsi="Arial" w:cs="Arial"/>
          <w:sz w:val="24"/>
          <w:szCs w:val="24"/>
        </w:rPr>
        <w:t>period would have lapsed on 22 June 2022</w:t>
      </w:r>
      <w:r w:rsidR="0068407D">
        <w:rPr>
          <w:rFonts w:ascii="Arial" w:hAnsi="Arial" w:cs="Arial"/>
          <w:sz w:val="24"/>
          <w:szCs w:val="24"/>
        </w:rPr>
        <w:t>,</w:t>
      </w:r>
      <w:r w:rsidR="00F1130D" w:rsidRPr="00F1130D">
        <w:rPr>
          <w:rFonts w:ascii="Arial" w:hAnsi="Arial" w:cs="Arial"/>
          <w:sz w:val="24"/>
          <w:szCs w:val="24"/>
        </w:rPr>
        <w:t xml:space="preserve"> meaning that the plaintiff was required to amend its Particulars of Claim by </w:t>
      </w:r>
      <w:r w:rsidR="009F0665">
        <w:rPr>
          <w:rFonts w:ascii="Arial" w:hAnsi="Arial" w:cs="Arial"/>
          <w:sz w:val="24"/>
          <w:szCs w:val="24"/>
        </w:rPr>
        <w:t xml:space="preserve">such </w:t>
      </w:r>
      <w:r w:rsidR="00F1130D" w:rsidRPr="00F1130D">
        <w:rPr>
          <w:rFonts w:ascii="Arial" w:hAnsi="Arial" w:cs="Arial"/>
          <w:sz w:val="24"/>
          <w:szCs w:val="24"/>
        </w:rPr>
        <w:t>date.</w:t>
      </w:r>
      <w:r w:rsidR="009F0665">
        <w:rPr>
          <w:rFonts w:ascii="Arial" w:hAnsi="Arial" w:cs="Arial"/>
          <w:sz w:val="24"/>
          <w:szCs w:val="24"/>
        </w:rPr>
        <w:t xml:space="preserve"> The amendment was delivered on 22 July 2022.</w:t>
      </w:r>
    </w:p>
    <w:p w:rsidR="00F20E68" w:rsidRDefault="00F20E68" w:rsidP="00F1130D">
      <w:pPr>
        <w:spacing w:line="480" w:lineRule="auto"/>
        <w:jc w:val="both"/>
        <w:rPr>
          <w:rFonts w:ascii="Arial" w:hAnsi="Arial" w:cs="Arial"/>
          <w:sz w:val="24"/>
          <w:szCs w:val="24"/>
        </w:rPr>
      </w:pPr>
    </w:p>
    <w:p w:rsidR="00F20E68" w:rsidRPr="00F1130D" w:rsidRDefault="00F20E68" w:rsidP="00F1130D">
      <w:pPr>
        <w:spacing w:line="480" w:lineRule="auto"/>
        <w:jc w:val="both"/>
        <w:rPr>
          <w:rFonts w:ascii="Arial" w:hAnsi="Arial" w:cs="Arial"/>
          <w:sz w:val="24"/>
          <w:szCs w:val="24"/>
        </w:rPr>
      </w:pPr>
    </w:p>
    <w:p w:rsidR="00F1130D" w:rsidRPr="00F1130D" w:rsidRDefault="00F1130D" w:rsidP="00F1130D">
      <w:pPr>
        <w:spacing w:line="480" w:lineRule="auto"/>
        <w:jc w:val="both"/>
        <w:rPr>
          <w:rFonts w:ascii="Arial" w:hAnsi="Arial" w:cs="Arial"/>
          <w:sz w:val="24"/>
          <w:szCs w:val="24"/>
        </w:rPr>
      </w:pPr>
      <w:r w:rsidRPr="00F1130D">
        <w:rPr>
          <w:rFonts w:ascii="Arial" w:hAnsi="Arial" w:cs="Arial"/>
          <w:b/>
          <w:sz w:val="24"/>
          <w:szCs w:val="24"/>
          <w:u w:val="single"/>
        </w:rPr>
        <w:lastRenderedPageBreak/>
        <w:t>Relief sought</w:t>
      </w:r>
    </w:p>
    <w:p w:rsidR="00F1130D" w:rsidRPr="00F1130D" w:rsidRDefault="00CB7701" w:rsidP="00F1130D">
      <w:pPr>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F1130D" w:rsidRPr="00F1130D">
        <w:rPr>
          <w:rFonts w:ascii="Arial" w:hAnsi="Arial" w:cs="Arial"/>
          <w:sz w:val="24"/>
          <w:szCs w:val="24"/>
        </w:rPr>
        <w:t xml:space="preserve">In </w:t>
      </w:r>
      <w:r w:rsidR="009F0665">
        <w:rPr>
          <w:rFonts w:ascii="Arial" w:hAnsi="Arial" w:cs="Arial"/>
          <w:sz w:val="24"/>
          <w:szCs w:val="24"/>
        </w:rPr>
        <w:t>its</w:t>
      </w:r>
      <w:r w:rsidR="00F1130D" w:rsidRPr="00F1130D">
        <w:rPr>
          <w:rFonts w:ascii="Arial" w:hAnsi="Arial" w:cs="Arial"/>
          <w:sz w:val="24"/>
          <w:szCs w:val="24"/>
        </w:rPr>
        <w:t xml:space="preserve"> </w:t>
      </w:r>
      <w:r w:rsidR="0068407D">
        <w:rPr>
          <w:rFonts w:ascii="Arial" w:hAnsi="Arial" w:cs="Arial"/>
          <w:sz w:val="24"/>
          <w:szCs w:val="24"/>
        </w:rPr>
        <w:t xml:space="preserve">striking out </w:t>
      </w:r>
      <w:r w:rsidR="00F1130D" w:rsidRPr="00F1130D">
        <w:rPr>
          <w:rFonts w:ascii="Arial" w:hAnsi="Arial" w:cs="Arial"/>
          <w:sz w:val="24"/>
          <w:szCs w:val="24"/>
        </w:rPr>
        <w:t xml:space="preserve">application the </w:t>
      </w:r>
      <w:r w:rsidR="009F0665">
        <w:rPr>
          <w:rFonts w:ascii="Arial" w:hAnsi="Arial" w:cs="Arial"/>
          <w:sz w:val="24"/>
          <w:szCs w:val="24"/>
        </w:rPr>
        <w:t>defendant</w:t>
      </w:r>
      <w:r w:rsidR="00F1130D" w:rsidRPr="00F1130D">
        <w:rPr>
          <w:rFonts w:ascii="Arial" w:hAnsi="Arial" w:cs="Arial"/>
          <w:sz w:val="24"/>
          <w:szCs w:val="24"/>
        </w:rPr>
        <w:t xml:space="preserve"> applie</w:t>
      </w:r>
      <w:r w:rsidR="0068407D">
        <w:rPr>
          <w:rFonts w:ascii="Arial" w:hAnsi="Arial" w:cs="Arial"/>
          <w:sz w:val="24"/>
          <w:szCs w:val="24"/>
        </w:rPr>
        <w:t>s</w:t>
      </w:r>
      <w:r w:rsidR="00F1130D" w:rsidRPr="00F1130D">
        <w:rPr>
          <w:rFonts w:ascii="Arial" w:hAnsi="Arial" w:cs="Arial"/>
          <w:sz w:val="24"/>
          <w:szCs w:val="24"/>
        </w:rPr>
        <w:t xml:space="preserve"> for the dismissal of the plaintiff’s claim</w:t>
      </w:r>
      <w:r w:rsidR="000626FF">
        <w:rPr>
          <w:rFonts w:ascii="Arial" w:hAnsi="Arial" w:cs="Arial"/>
          <w:sz w:val="24"/>
          <w:szCs w:val="24"/>
        </w:rPr>
        <w:t>,</w:t>
      </w:r>
      <w:r w:rsidR="00F1130D" w:rsidRPr="00F1130D">
        <w:rPr>
          <w:rFonts w:ascii="Arial" w:hAnsi="Arial" w:cs="Arial"/>
          <w:sz w:val="24"/>
          <w:szCs w:val="24"/>
        </w:rPr>
        <w:t xml:space="preserve"> and in the alternative, for the claim to be struck </w:t>
      </w:r>
      <w:r w:rsidR="009F0665" w:rsidRPr="00F1130D">
        <w:rPr>
          <w:rFonts w:ascii="Arial" w:hAnsi="Arial" w:cs="Arial"/>
          <w:sz w:val="24"/>
          <w:szCs w:val="24"/>
        </w:rPr>
        <w:t>out with</w:t>
      </w:r>
      <w:r w:rsidR="00F1130D" w:rsidRPr="00F1130D">
        <w:rPr>
          <w:rFonts w:ascii="Arial" w:hAnsi="Arial" w:cs="Arial"/>
          <w:sz w:val="24"/>
          <w:szCs w:val="24"/>
        </w:rPr>
        <w:t xml:space="preserve"> costs. When proceedings commence</w:t>
      </w:r>
      <w:r w:rsidR="000626FF">
        <w:rPr>
          <w:rFonts w:ascii="Arial" w:hAnsi="Arial" w:cs="Arial"/>
          <w:sz w:val="24"/>
          <w:szCs w:val="24"/>
        </w:rPr>
        <w:t>d</w:t>
      </w:r>
      <w:r w:rsidR="00F1130D" w:rsidRPr="00F1130D">
        <w:rPr>
          <w:rFonts w:ascii="Arial" w:hAnsi="Arial" w:cs="Arial"/>
          <w:sz w:val="24"/>
          <w:szCs w:val="24"/>
        </w:rPr>
        <w:t xml:space="preserve"> on 19 April 2023, the defendant’s counsel advised that </w:t>
      </w:r>
      <w:r w:rsidR="009F0665">
        <w:rPr>
          <w:rFonts w:ascii="Arial" w:hAnsi="Arial" w:cs="Arial"/>
          <w:sz w:val="24"/>
          <w:szCs w:val="24"/>
        </w:rPr>
        <w:t xml:space="preserve">his client </w:t>
      </w:r>
      <w:r w:rsidR="00F1130D" w:rsidRPr="00F1130D">
        <w:rPr>
          <w:rFonts w:ascii="Arial" w:hAnsi="Arial" w:cs="Arial"/>
          <w:sz w:val="24"/>
          <w:szCs w:val="24"/>
        </w:rPr>
        <w:t xml:space="preserve">was not proceeding to seek a dismissal </w:t>
      </w:r>
      <w:r w:rsidR="000626FF">
        <w:rPr>
          <w:rFonts w:ascii="Arial" w:hAnsi="Arial" w:cs="Arial"/>
          <w:sz w:val="24"/>
          <w:szCs w:val="24"/>
        </w:rPr>
        <w:t xml:space="preserve">of the claim </w:t>
      </w:r>
      <w:r w:rsidR="00F1130D" w:rsidRPr="00F1130D">
        <w:rPr>
          <w:rFonts w:ascii="Arial" w:hAnsi="Arial" w:cs="Arial"/>
          <w:sz w:val="24"/>
          <w:szCs w:val="24"/>
        </w:rPr>
        <w:t>but persisted with the application to strike out</w:t>
      </w:r>
      <w:r w:rsidR="000626FF">
        <w:rPr>
          <w:rFonts w:ascii="Arial" w:hAnsi="Arial" w:cs="Arial"/>
          <w:sz w:val="24"/>
          <w:szCs w:val="24"/>
        </w:rPr>
        <w:t xml:space="preserve">. </w:t>
      </w:r>
      <w:r w:rsidR="00F1130D" w:rsidRPr="00F1130D">
        <w:rPr>
          <w:rFonts w:ascii="Arial" w:hAnsi="Arial" w:cs="Arial"/>
          <w:sz w:val="24"/>
          <w:szCs w:val="24"/>
        </w:rPr>
        <w:t xml:space="preserve">In its counter application, the plaintiff seeks condonation for the late delivery of its amendment and an order that the defendant pays the costs of the application in the event that </w:t>
      </w:r>
      <w:r w:rsidR="009F0665">
        <w:rPr>
          <w:rFonts w:ascii="Arial" w:hAnsi="Arial" w:cs="Arial"/>
          <w:sz w:val="24"/>
          <w:szCs w:val="24"/>
        </w:rPr>
        <w:t xml:space="preserve">it </w:t>
      </w:r>
      <w:r w:rsidR="00F1130D" w:rsidRPr="00F1130D">
        <w:rPr>
          <w:rFonts w:ascii="Arial" w:hAnsi="Arial" w:cs="Arial"/>
          <w:sz w:val="24"/>
          <w:szCs w:val="24"/>
        </w:rPr>
        <w:t>is opposed.</w:t>
      </w:r>
      <w:r w:rsidR="009F0665">
        <w:rPr>
          <w:rFonts w:ascii="Arial" w:hAnsi="Arial" w:cs="Arial"/>
          <w:sz w:val="24"/>
          <w:szCs w:val="24"/>
        </w:rPr>
        <w:t xml:space="preserve"> The parties are referred to as plaintiff and defendant in this judgment</w:t>
      </w:r>
      <w:r w:rsidR="001C2B53">
        <w:rPr>
          <w:rFonts w:ascii="Arial" w:hAnsi="Arial" w:cs="Arial"/>
          <w:sz w:val="24"/>
          <w:szCs w:val="24"/>
        </w:rPr>
        <w:t>. It was agreed that the condonation application would be argued first</w:t>
      </w:r>
      <w:r w:rsidR="009F0665">
        <w:rPr>
          <w:rFonts w:ascii="Arial" w:hAnsi="Arial" w:cs="Arial"/>
          <w:sz w:val="24"/>
          <w:szCs w:val="24"/>
        </w:rPr>
        <w:t>.</w:t>
      </w:r>
    </w:p>
    <w:p w:rsidR="00F1130D" w:rsidRPr="00F1130D" w:rsidRDefault="00F1130D" w:rsidP="00F1130D">
      <w:pPr>
        <w:spacing w:line="480" w:lineRule="auto"/>
        <w:jc w:val="both"/>
        <w:rPr>
          <w:rFonts w:ascii="Arial" w:hAnsi="Arial" w:cs="Arial"/>
          <w:sz w:val="24"/>
          <w:szCs w:val="24"/>
        </w:rPr>
      </w:pPr>
    </w:p>
    <w:p w:rsidR="00F1130D" w:rsidRPr="00F1130D" w:rsidRDefault="00F1130D" w:rsidP="00F1130D">
      <w:pPr>
        <w:spacing w:line="480" w:lineRule="auto"/>
        <w:jc w:val="both"/>
        <w:rPr>
          <w:rFonts w:ascii="Arial" w:hAnsi="Arial" w:cs="Arial"/>
          <w:b/>
          <w:sz w:val="24"/>
          <w:szCs w:val="24"/>
          <w:u w:val="single"/>
        </w:rPr>
      </w:pPr>
      <w:r w:rsidRPr="00F1130D">
        <w:rPr>
          <w:rFonts w:ascii="Arial" w:hAnsi="Arial" w:cs="Arial"/>
          <w:b/>
          <w:sz w:val="24"/>
          <w:szCs w:val="24"/>
          <w:u w:val="single"/>
        </w:rPr>
        <w:t>The defendant’s striking out application</w:t>
      </w:r>
    </w:p>
    <w:p w:rsidR="00F1130D" w:rsidRPr="00F1130D" w:rsidRDefault="00CB7701" w:rsidP="00F1130D">
      <w:pPr>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F1130D" w:rsidRPr="00F1130D">
        <w:rPr>
          <w:rFonts w:ascii="Arial" w:hAnsi="Arial" w:cs="Arial"/>
          <w:sz w:val="24"/>
          <w:szCs w:val="24"/>
        </w:rPr>
        <w:t xml:space="preserve">The defendant’s attorney deposed to an affidavit in support of the application  to strike </w:t>
      </w:r>
      <w:r w:rsidR="009F0665">
        <w:rPr>
          <w:rFonts w:ascii="Arial" w:hAnsi="Arial" w:cs="Arial"/>
          <w:sz w:val="24"/>
          <w:szCs w:val="24"/>
        </w:rPr>
        <w:t>out</w:t>
      </w:r>
      <w:r w:rsidR="00F1130D" w:rsidRPr="00F1130D">
        <w:rPr>
          <w:rFonts w:ascii="Arial" w:hAnsi="Arial" w:cs="Arial"/>
          <w:sz w:val="24"/>
          <w:szCs w:val="24"/>
        </w:rPr>
        <w:t xml:space="preserve">. The affidavit recites the history of the matter to the extent that the Summons was issued in May 2019 and that the action was defended. Subsequently, </w:t>
      </w:r>
      <w:r w:rsidR="009F0665">
        <w:rPr>
          <w:rFonts w:ascii="Arial" w:hAnsi="Arial" w:cs="Arial"/>
          <w:sz w:val="24"/>
          <w:szCs w:val="24"/>
        </w:rPr>
        <w:t xml:space="preserve">in June 2019, </w:t>
      </w:r>
      <w:r w:rsidR="00F1130D" w:rsidRPr="00F1130D">
        <w:rPr>
          <w:rFonts w:ascii="Arial" w:hAnsi="Arial" w:cs="Arial"/>
          <w:sz w:val="24"/>
          <w:szCs w:val="24"/>
        </w:rPr>
        <w:t xml:space="preserve">the defendant delivered a notice to remove </w:t>
      </w:r>
      <w:r w:rsidR="00C640B4" w:rsidRPr="00F1130D">
        <w:rPr>
          <w:rFonts w:ascii="Arial" w:hAnsi="Arial" w:cs="Arial"/>
          <w:sz w:val="24"/>
          <w:szCs w:val="24"/>
        </w:rPr>
        <w:t>the cause</w:t>
      </w:r>
      <w:r w:rsidR="00F1130D" w:rsidRPr="00F1130D">
        <w:rPr>
          <w:rFonts w:ascii="Arial" w:hAnsi="Arial" w:cs="Arial"/>
          <w:sz w:val="24"/>
          <w:szCs w:val="24"/>
        </w:rPr>
        <w:t xml:space="preserve"> of</w:t>
      </w:r>
      <w:r w:rsidR="0068407D">
        <w:rPr>
          <w:rFonts w:ascii="Arial" w:hAnsi="Arial" w:cs="Arial"/>
          <w:sz w:val="24"/>
          <w:szCs w:val="24"/>
        </w:rPr>
        <w:t xml:space="preserve"> complaint</w:t>
      </w:r>
      <w:r w:rsidR="00F1130D" w:rsidRPr="00F1130D">
        <w:rPr>
          <w:rFonts w:ascii="Arial" w:hAnsi="Arial" w:cs="Arial"/>
          <w:sz w:val="24"/>
          <w:szCs w:val="24"/>
        </w:rPr>
        <w:t xml:space="preserve"> which was followed by the delivery of an exception in July 2019 </w:t>
      </w:r>
      <w:r w:rsidR="009F0665">
        <w:rPr>
          <w:rFonts w:ascii="Arial" w:hAnsi="Arial" w:cs="Arial"/>
          <w:sz w:val="24"/>
          <w:szCs w:val="24"/>
        </w:rPr>
        <w:t xml:space="preserve">as </w:t>
      </w:r>
      <w:r w:rsidR="00F1130D" w:rsidRPr="00F1130D">
        <w:rPr>
          <w:rFonts w:ascii="Arial" w:hAnsi="Arial" w:cs="Arial"/>
          <w:sz w:val="24"/>
          <w:szCs w:val="24"/>
        </w:rPr>
        <w:t xml:space="preserve">the plaintiff had failed to remove the cause of complaint. </w:t>
      </w:r>
    </w:p>
    <w:p w:rsidR="00F1130D" w:rsidRPr="00F1130D" w:rsidRDefault="00F1130D" w:rsidP="00F1130D">
      <w:pPr>
        <w:spacing w:line="480" w:lineRule="auto"/>
        <w:jc w:val="both"/>
        <w:rPr>
          <w:rFonts w:ascii="Arial" w:hAnsi="Arial" w:cs="Arial"/>
          <w:sz w:val="24"/>
          <w:szCs w:val="24"/>
        </w:rPr>
      </w:pPr>
    </w:p>
    <w:p w:rsidR="00F1130D" w:rsidRPr="00F1130D" w:rsidRDefault="00CB7701" w:rsidP="00F1130D">
      <w:pPr>
        <w:spacing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F1130D" w:rsidRPr="00F1130D">
        <w:rPr>
          <w:rFonts w:ascii="Arial" w:hAnsi="Arial" w:cs="Arial"/>
          <w:sz w:val="24"/>
          <w:szCs w:val="24"/>
        </w:rPr>
        <w:t xml:space="preserve">The affidavit then </w:t>
      </w:r>
      <w:r w:rsidR="009F0665">
        <w:rPr>
          <w:rFonts w:ascii="Arial" w:hAnsi="Arial" w:cs="Arial"/>
          <w:sz w:val="24"/>
          <w:szCs w:val="24"/>
        </w:rPr>
        <w:t>refers to Goliath</w:t>
      </w:r>
      <w:r w:rsidR="0068407D">
        <w:rPr>
          <w:rFonts w:ascii="Arial" w:hAnsi="Arial" w:cs="Arial"/>
          <w:sz w:val="24"/>
          <w:szCs w:val="24"/>
        </w:rPr>
        <w:t xml:space="preserve"> DJP’s</w:t>
      </w:r>
      <w:r w:rsidR="009F0665">
        <w:rPr>
          <w:rFonts w:ascii="Arial" w:hAnsi="Arial" w:cs="Arial"/>
          <w:sz w:val="24"/>
          <w:szCs w:val="24"/>
        </w:rPr>
        <w:t xml:space="preserve"> order</w:t>
      </w:r>
      <w:r w:rsidR="0068407D">
        <w:rPr>
          <w:rFonts w:ascii="Arial" w:hAnsi="Arial" w:cs="Arial"/>
          <w:sz w:val="24"/>
          <w:szCs w:val="24"/>
        </w:rPr>
        <w:t xml:space="preserve"> and</w:t>
      </w:r>
      <w:r w:rsidR="009F0665">
        <w:rPr>
          <w:rFonts w:ascii="Arial" w:hAnsi="Arial" w:cs="Arial"/>
          <w:sz w:val="24"/>
          <w:szCs w:val="24"/>
        </w:rPr>
        <w:t xml:space="preserve"> that the </w:t>
      </w:r>
      <w:r w:rsidR="00F1130D" w:rsidRPr="00F1130D">
        <w:rPr>
          <w:rFonts w:ascii="Arial" w:hAnsi="Arial" w:cs="Arial"/>
          <w:sz w:val="24"/>
          <w:szCs w:val="24"/>
        </w:rPr>
        <w:t>exception was upheld</w:t>
      </w:r>
      <w:r w:rsidR="000626FF">
        <w:rPr>
          <w:rFonts w:ascii="Arial" w:hAnsi="Arial" w:cs="Arial"/>
          <w:sz w:val="24"/>
          <w:szCs w:val="24"/>
        </w:rPr>
        <w:t xml:space="preserve"> with costs </w:t>
      </w:r>
      <w:r w:rsidR="00F1130D" w:rsidRPr="00F1130D">
        <w:rPr>
          <w:rFonts w:ascii="Arial" w:hAnsi="Arial" w:cs="Arial"/>
          <w:sz w:val="24"/>
          <w:szCs w:val="24"/>
        </w:rPr>
        <w:t>and a copy of the judgment is attached to the striking out application. The affidavit confirms that the 30-day period lapsed on 22 June 20</w:t>
      </w:r>
      <w:r w:rsidR="000626FF">
        <w:rPr>
          <w:rFonts w:ascii="Arial" w:hAnsi="Arial" w:cs="Arial"/>
          <w:sz w:val="24"/>
          <w:szCs w:val="24"/>
        </w:rPr>
        <w:t>2</w:t>
      </w:r>
      <w:r w:rsidR="00F1130D" w:rsidRPr="00F1130D">
        <w:rPr>
          <w:rFonts w:ascii="Arial" w:hAnsi="Arial" w:cs="Arial"/>
          <w:sz w:val="24"/>
          <w:szCs w:val="24"/>
        </w:rPr>
        <w:t>2 and that the plaintiff had failed to amend its Particulars of Claim in accordance with the order.</w:t>
      </w:r>
    </w:p>
    <w:p w:rsidR="00F1130D" w:rsidRPr="00F1130D" w:rsidRDefault="00F1130D" w:rsidP="00F1130D">
      <w:pPr>
        <w:spacing w:line="480" w:lineRule="auto"/>
        <w:jc w:val="both"/>
        <w:rPr>
          <w:rFonts w:ascii="Arial" w:hAnsi="Arial" w:cs="Arial"/>
          <w:b/>
          <w:sz w:val="24"/>
          <w:szCs w:val="24"/>
          <w:u w:val="single"/>
        </w:rPr>
      </w:pPr>
      <w:r w:rsidRPr="00F1130D">
        <w:rPr>
          <w:rFonts w:ascii="Arial" w:hAnsi="Arial" w:cs="Arial"/>
          <w:sz w:val="24"/>
          <w:szCs w:val="24"/>
        </w:rPr>
        <w:lastRenderedPageBreak/>
        <w:t xml:space="preserve"> </w:t>
      </w:r>
      <w:r w:rsidRPr="00F1130D">
        <w:rPr>
          <w:rFonts w:ascii="Arial" w:hAnsi="Arial" w:cs="Arial"/>
          <w:b/>
          <w:sz w:val="24"/>
          <w:szCs w:val="24"/>
          <w:u w:val="single"/>
        </w:rPr>
        <w:t>The plaintiff’s condonation application</w:t>
      </w:r>
    </w:p>
    <w:p w:rsidR="00F1130D" w:rsidRPr="00F1130D" w:rsidRDefault="00CB7701" w:rsidP="00F1130D">
      <w:pPr>
        <w:spacing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F1130D" w:rsidRPr="00F1130D">
        <w:rPr>
          <w:rFonts w:ascii="Arial" w:hAnsi="Arial" w:cs="Arial"/>
          <w:sz w:val="24"/>
          <w:szCs w:val="24"/>
        </w:rPr>
        <w:t xml:space="preserve">As with the striking out application, the plaintiff’s attorney is the deponent to the affidavit in support of condonation. The attorney remarks that the 30 day time period afforded to amend its pleading was not </w:t>
      </w:r>
      <w:r w:rsidR="00F1130D" w:rsidRPr="00F1130D">
        <w:rPr>
          <w:rFonts w:ascii="Arial" w:hAnsi="Arial" w:cs="Arial"/>
          <w:i/>
          <w:sz w:val="24"/>
          <w:szCs w:val="24"/>
        </w:rPr>
        <w:t>“ungenerous”</w:t>
      </w:r>
      <w:r w:rsidR="00F1130D" w:rsidRPr="00F1130D">
        <w:rPr>
          <w:rStyle w:val="FootnoteReference"/>
          <w:rFonts w:ascii="Arial" w:hAnsi="Arial" w:cs="Arial"/>
          <w:sz w:val="24"/>
          <w:szCs w:val="24"/>
        </w:rPr>
        <w:footnoteReference w:id="1"/>
      </w:r>
      <w:r w:rsidR="00F1130D" w:rsidRPr="00F1130D">
        <w:rPr>
          <w:rFonts w:ascii="Arial" w:hAnsi="Arial" w:cs="Arial"/>
          <w:i/>
          <w:sz w:val="24"/>
          <w:szCs w:val="24"/>
        </w:rPr>
        <w:t xml:space="preserve">. </w:t>
      </w:r>
      <w:r w:rsidR="000626FF">
        <w:rPr>
          <w:rFonts w:ascii="Arial" w:hAnsi="Arial" w:cs="Arial"/>
          <w:sz w:val="24"/>
          <w:szCs w:val="24"/>
        </w:rPr>
        <w:t xml:space="preserve">The attorney </w:t>
      </w:r>
      <w:r w:rsidR="00F1130D" w:rsidRPr="00F1130D">
        <w:rPr>
          <w:rFonts w:ascii="Arial" w:hAnsi="Arial" w:cs="Arial"/>
          <w:sz w:val="24"/>
          <w:szCs w:val="24"/>
        </w:rPr>
        <w:t xml:space="preserve">explains that in order to effect the relevant amendments to the Particulars of Claim, it was necessary to obtain instructions to determine whether, in light of the judgment, the action should still be pursued and if so, to consult with City officials extensively and </w:t>
      </w:r>
      <w:r w:rsidR="009F0665">
        <w:rPr>
          <w:rFonts w:ascii="Arial" w:hAnsi="Arial" w:cs="Arial"/>
          <w:sz w:val="24"/>
          <w:szCs w:val="24"/>
        </w:rPr>
        <w:t xml:space="preserve">the </w:t>
      </w:r>
      <w:r w:rsidR="00F1130D" w:rsidRPr="00F1130D">
        <w:rPr>
          <w:rFonts w:ascii="Arial" w:hAnsi="Arial" w:cs="Arial"/>
          <w:sz w:val="24"/>
          <w:szCs w:val="24"/>
        </w:rPr>
        <w:t xml:space="preserve">external </w:t>
      </w:r>
      <w:r w:rsidR="009F0665">
        <w:rPr>
          <w:rFonts w:ascii="Arial" w:hAnsi="Arial" w:cs="Arial"/>
          <w:sz w:val="24"/>
          <w:szCs w:val="24"/>
        </w:rPr>
        <w:t>engineer, Telematics</w:t>
      </w:r>
      <w:r w:rsidR="00F1130D" w:rsidRPr="00F1130D">
        <w:rPr>
          <w:rFonts w:ascii="Arial" w:hAnsi="Arial" w:cs="Arial"/>
          <w:sz w:val="24"/>
          <w:szCs w:val="24"/>
        </w:rPr>
        <w:t xml:space="preserve">. The consultations occurred on, </w:t>
      </w:r>
      <w:r w:rsidR="009F0665">
        <w:rPr>
          <w:rFonts w:ascii="Arial" w:hAnsi="Arial" w:cs="Arial"/>
          <w:sz w:val="24"/>
          <w:szCs w:val="24"/>
        </w:rPr>
        <w:t>3</w:t>
      </w:r>
      <w:r w:rsidR="000626FF">
        <w:rPr>
          <w:rFonts w:ascii="Arial" w:hAnsi="Arial" w:cs="Arial"/>
          <w:sz w:val="24"/>
          <w:szCs w:val="24"/>
        </w:rPr>
        <w:t xml:space="preserve">, </w:t>
      </w:r>
      <w:r w:rsidR="00F1130D" w:rsidRPr="00F1130D">
        <w:rPr>
          <w:rFonts w:ascii="Arial" w:hAnsi="Arial" w:cs="Arial"/>
          <w:sz w:val="24"/>
          <w:szCs w:val="24"/>
        </w:rPr>
        <w:t xml:space="preserve">24 and 29 June 2022 respectively. </w:t>
      </w:r>
    </w:p>
    <w:p w:rsidR="00F1130D" w:rsidRPr="00F1130D" w:rsidRDefault="00F1130D" w:rsidP="00F1130D">
      <w:pPr>
        <w:spacing w:line="480" w:lineRule="auto"/>
        <w:jc w:val="both"/>
        <w:rPr>
          <w:rFonts w:ascii="Arial" w:hAnsi="Arial" w:cs="Arial"/>
          <w:sz w:val="24"/>
          <w:szCs w:val="24"/>
        </w:rPr>
      </w:pPr>
    </w:p>
    <w:p w:rsidR="00F1130D" w:rsidRPr="00F1130D" w:rsidRDefault="00CB7701" w:rsidP="00F1130D">
      <w:pPr>
        <w:spacing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F1130D" w:rsidRPr="00F1130D">
        <w:rPr>
          <w:rFonts w:ascii="Arial" w:hAnsi="Arial" w:cs="Arial"/>
          <w:sz w:val="24"/>
          <w:szCs w:val="24"/>
        </w:rPr>
        <w:t>In addition to the above, the attorney states that the claim is relatively complex</w:t>
      </w:r>
      <w:r w:rsidR="009F0665">
        <w:rPr>
          <w:rFonts w:ascii="Arial" w:hAnsi="Arial" w:cs="Arial"/>
          <w:sz w:val="24"/>
          <w:szCs w:val="24"/>
        </w:rPr>
        <w:t>,</w:t>
      </w:r>
      <w:r w:rsidR="00F1130D" w:rsidRPr="00F1130D">
        <w:rPr>
          <w:rFonts w:ascii="Arial" w:hAnsi="Arial" w:cs="Arial"/>
          <w:sz w:val="24"/>
          <w:szCs w:val="24"/>
        </w:rPr>
        <w:t xml:space="preserve"> that the tender document</w:t>
      </w:r>
      <w:r w:rsidR="0068407D">
        <w:rPr>
          <w:rFonts w:ascii="Arial" w:hAnsi="Arial" w:cs="Arial"/>
          <w:sz w:val="24"/>
          <w:szCs w:val="24"/>
        </w:rPr>
        <w:t xml:space="preserve"> is voluminous</w:t>
      </w:r>
      <w:r w:rsidR="00F1130D" w:rsidRPr="00F1130D">
        <w:rPr>
          <w:rFonts w:ascii="Arial" w:hAnsi="Arial" w:cs="Arial"/>
          <w:sz w:val="24"/>
          <w:szCs w:val="24"/>
        </w:rPr>
        <w:t xml:space="preserve">, </w:t>
      </w:r>
      <w:r w:rsidR="009F0665">
        <w:rPr>
          <w:rFonts w:ascii="Arial" w:hAnsi="Arial" w:cs="Arial"/>
          <w:sz w:val="24"/>
          <w:szCs w:val="24"/>
        </w:rPr>
        <w:t xml:space="preserve">that </w:t>
      </w:r>
      <w:r w:rsidR="00F1130D" w:rsidRPr="00F1130D">
        <w:rPr>
          <w:rFonts w:ascii="Arial" w:hAnsi="Arial" w:cs="Arial"/>
          <w:sz w:val="24"/>
          <w:szCs w:val="24"/>
        </w:rPr>
        <w:t>the amendment required careful consideration of the jud</w:t>
      </w:r>
      <w:r w:rsidR="009F0665">
        <w:rPr>
          <w:rFonts w:ascii="Arial" w:hAnsi="Arial" w:cs="Arial"/>
          <w:sz w:val="24"/>
          <w:szCs w:val="24"/>
        </w:rPr>
        <w:t>gment and further investigation</w:t>
      </w:r>
      <w:r w:rsidR="00F1130D" w:rsidRPr="00F1130D">
        <w:rPr>
          <w:rFonts w:ascii="Arial" w:hAnsi="Arial" w:cs="Arial"/>
          <w:sz w:val="24"/>
          <w:szCs w:val="24"/>
        </w:rPr>
        <w:t xml:space="preserve"> into the factual background and legal issues arising from</w:t>
      </w:r>
      <w:r w:rsidR="009F0665">
        <w:rPr>
          <w:rFonts w:ascii="Arial" w:hAnsi="Arial" w:cs="Arial"/>
          <w:sz w:val="24"/>
          <w:szCs w:val="24"/>
        </w:rPr>
        <w:t xml:space="preserve"> it</w:t>
      </w:r>
      <w:r w:rsidR="0068407D">
        <w:rPr>
          <w:rFonts w:ascii="Arial" w:hAnsi="Arial" w:cs="Arial"/>
          <w:sz w:val="24"/>
          <w:szCs w:val="24"/>
        </w:rPr>
        <w:t>.</w:t>
      </w:r>
      <w:r w:rsidR="00F1130D" w:rsidRPr="00F1130D">
        <w:rPr>
          <w:rFonts w:ascii="Arial" w:hAnsi="Arial" w:cs="Arial"/>
          <w:sz w:val="24"/>
          <w:szCs w:val="24"/>
        </w:rPr>
        <w:t xml:space="preserve"> A further challenge was that information related </w:t>
      </w:r>
      <w:r w:rsidR="009F0665">
        <w:rPr>
          <w:rFonts w:ascii="Arial" w:hAnsi="Arial" w:cs="Arial"/>
          <w:sz w:val="24"/>
          <w:szCs w:val="24"/>
        </w:rPr>
        <w:t xml:space="preserve">to the </w:t>
      </w:r>
      <w:r w:rsidR="00F1130D" w:rsidRPr="00F1130D">
        <w:rPr>
          <w:rFonts w:ascii="Arial" w:hAnsi="Arial" w:cs="Arial"/>
          <w:sz w:val="24"/>
          <w:szCs w:val="24"/>
        </w:rPr>
        <w:t xml:space="preserve">claim was in the hands of the defendant which still operated the transport management system </w:t>
      </w:r>
      <w:r w:rsidR="001C2B53">
        <w:rPr>
          <w:rFonts w:ascii="Arial" w:hAnsi="Arial" w:cs="Arial"/>
          <w:sz w:val="24"/>
          <w:szCs w:val="24"/>
        </w:rPr>
        <w:t xml:space="preserve">of “My City” </w:t>
      </w:r>
      <w:r w:rsidR="00F1130D" w:rsidRPr="00F1130D">
        <w:rPr>
          <w:rFonts w:ascii="Arial" w:hAnsi="Arial" w:cs="Arial"/>
          <w:sz w:val="24"/>
          <w:szCs w:val="24"/>
        </w:rPr>
        <w:t>on an outsourced basis.</w:t>
      </w:r>
    </w:p>
    <w:p w:rsidR="00F1130D" w:rsidRPr="00F1130D" w:rsidRDefault="00F1130D" w:rsidP="00F1130D">
      <w:pPr>
        <w:spacing w:line="480" w:lineRule="auto"/>
        <w:jc w:val="both"/>
        <w:rPr>
          <w:rFonts w:ascii="Arial" w:hAnsi="Arial" w:cs="Arial"/>
          <w:sz w:val="24"/>
          <w:szCs w:val="24"/>
        </w:rPr>
      </w:pPr>
    </w:p>
    <w:p w:rsidR="00F1130D" w:rsidRPr="00F1130D" w:rsidRDefault="00CB7701" w:rsidP="00F1130D">
      <w:pPr>
        <w:spacing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F1130D" w:rsidRPr="00F1130D">
        <w:rPr>
          <w:rFonts w:ascii="Arial" w:hAnsi="Arial" w:cs="Arial"/>
          <w:sz w:val="24"/>
          <w:szCs w:val="24"/>
        </w:rPr>
        <w:t xml:space="preserve">At paragraph 11 of the affidavit, the attorney </w:t>
      </w:r>
      <w:r w:rsidR="009F0665">
        <w:rPr>
          <w:rFonts w:ascii="Arial" w:hAnsi="Arial" w:cs="Arial"/>
          <w:sz w:val="24"/>
          <w:szCs w:val="24"/>
        </w:rPr>
        <w:t>explains that the matter is also</w:t>
      </w:r>
      <w:r w:rsidR="00F1130D" w:rsidRPr="00F1130D">
        <w:rPr>
          <w:rFonts w:ascii="Arial" w:hAnsi="Arial" w:cs="Arial"/>
          <w:sz w:val="24"/>
          <w:szCs w:val="24"/>
        </w:rPr>
        <w:t xml:space="preserve"> complicated as it relates to a pending matter </w:t>
      </w:r>
      <w:r w:rsidR="009F0665">
        <w:rPr>
          <w:rFonts w:ascii="Arial" w:hAnsi="Arial" w:cs="Arial"/>
          <w:sz w:val="24"/>
          <w:szCs w:val="24"/>
        </w:rPr>
        <w:t>in</w:t>
      </w:r>
      <w:r w:rsidR="00F1130D" w:rsidRPr="00F1130D">
        <w:rPr>
          <w:rFonts w:ascii="Arial" w:hAnsi="Arial" w:cs="Arial"/>
          <w:sz w:val="24"/>
          <w:szCs w:val="24"/>
        </w:rPr>
        <w:t xml:space="preserve"> this Division under case number 6582/2020. I point out that this particular </w:t>
      </w:r>
      <w:r w:rsidR="009F0665">
        <w:rPr>
          <w:rFonts w:ascii="Arial" w:hAnsi="Arial" w:cs="Arial"/>
          <w:sz w:val="24"/>
          <w:szCs w:val="24"/>
        </w:rPr>
        <w:t xml:space="preserve">issue </w:t>
      </w:r>
      <w:r w:rsidR="001C2B53">
        <w:rPr>
          <w:rFonts w:ascii="Arial" w:hAnsi="Arial" w:cs="Arial"/>
          <w:sz w:val="24"/>
          <w:szCs w:val="24"/>
        </w:rPr>
        <w:t xml:space="preserve">forming part of the explanation for delay </w:t>
      </w:r>
      <w:r w:rsidR="00F1130D" w:rsidRPr="00F1130D">
        <w:rPr>
          <w:rFonts w:ascii="Arial" w:hAnsi="Arial" w:cs="Arial"/>
          <w:sz w:val="24"/>
          <w:szCs w:val="24"/>
        </w:rPr>
        <w:t>was eventually abandoned during argument and accordingly I do not intend to address it further.</w:t>
      </w:r>
    </w:p>
    <w:p w:rsidR="00F1130D" w:rsidRPr="00F1130D" w:rsidRDefault="00CB7701" w:rsidP="00F1130D">
      <w:pPr>
        <w:spacing w:line="48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F1130D" w:rsidRPr="00F1130D">
        <w:rPr>
          <w:rFonts w:ascii="Arial" w:hAnsi="Arial" w:cs="Arial"/>
          <w:sz w:val="24"/>
          <w:szCs w:val="24"/>
        </w:rPr>
        <w:t xml:space="preserve">It is </w:t>
      </w:r>
      <w:r w:rsidR="009F0665">
        <w:rPr>
          <w:rFonts w:ascii="Arial" w:hAnsi="Arial" w:cs="Arial"/>
          <w:sz w:val="24"/>
          <w:szCs w:val="24"/>
        </w:rPr>
        <w:t>thus</w:t>
      </w:r>
      <w:r w:rsidR="00F20E68">
        <w:rPr>
          <w:rFonts w:ascii="Arial" w:hAnsi="Arial" w:cs="Arial"/>
          <w:sz w:val="24"/>
          <w:szCs w:val="24"/>
        </w:rPr>
        <w:t xml:space="preserve"> </w:t>
      </w:r>
      <w:r w:rsidR="00F1130D" w:rsidRPr="00F1130D">
        <w:rPr>
          <w:rFonts w:ascii="Arial" w:hAnsi="Arial" w:cs="Arial"/>
          <w:sz w:val="24"/>
          <w:szCs w:val="24"/>
        </w:rPr>
        <w:t xml:space="preserve">stated on behalf of the plaintiff that the delay in complying with the 30-day period was due to the following factors: </w:t>
      </w:r>
    </w:p>
    <w:p w:rsidR="00F1130D" w:rsidRPr="00F1130D" w:rsidRDefault="00CB7701" w:rsidP="00CB7701">
      <w:pPr>
        <w:spacing w:line="480" w:lineRule="auto"/>
        <w:ind w:firstLine="720"/>
        <w:jc w:val="both"/>
        <w:rPr>
          <w:rFonts w:ascii="Arial" w:hAnsi="Arial" w:cs="Arial"/>
          <w:sz w:val="24"/>
          <w:szCs w:val="24"/>
        </w:rPr>
      </w:pPr>
      <w:r>
        <w:rPr>
          <w:rFonts w:ascii="Arial" w:hAnsi="Arial" w:cs="Arial"/>
          <w:sz w:val="24"/>
          <w:szCs w:val="24"/>
        </w:rPr>
        <w:t>10.1</w:t>
      </w:r>
      <w:r>
        <w:rPr>
          <w:rFonts w:ascii="Arial" w:hAnsi="Arial" w:cs="Arial"/>
          <w:sz w:val="24"/>
          <w:szCs w:val="24"/>
        </w:rPr>
        <w:tab/>
        <w:t>C</w:t>
      </w:r>
      <w:r w:rsidR="00F1130D" w:rsidRPr="00F1130D">
        <w:rPr>
          <w:rFonts w:ascii="Arial" w:hAnsi="Arial" w:cs="Arial"/>
          <w:sz w:val="24"/>
          <w:szCs w:val="24"/>
        </w:rPr>
        <w:t xml:space="preserve">ertain City officials were on leave; </w:t>
      </w:r>
    </w:p>
    <w:p w:rsidR="00F1130D" w:rsidRPr="00F1130D" w:rsidRDefault="00CB7701" w:rsidP="00CB7701">
      <w:pPr>
        <w:spacing w:line="480" w:lineRule="auto"/>
        <w:ind w:left="1440" w:hanging="720"/>
        <w:jc w:val="both"/>
        <w:rPr>
          <w:rFonts w:ascii="Arial" w:hAnsi="Arial" w:cs="Arial"/>
          <w:sz w:val="24"/>
          <w:szCs w:val="24"/>
        </w:rPr>
      </w:pPr>
      <w:r>
        <w:rPr>
          <w:rFonts w:ascii="Arial" w:hAnsi="Arial" w:cs="Arial"/>
          <w:sz w:val="24"/>
          <w:szCs w:val="24"/>
        </w:rPr>
        <w:t>10.2</w:t>
      </w:r>
      <w:r>
        <w:rPr>
          <w:rFonts w:ascii="Arial" w:hAnsi="Arial" w:cs="Arial"/>
          <w:sz w:val="24"/>
          <w:szCs w:val="24"/>
        </w:rPr>
        <w:tab/>
        <w:t>I</w:t>
      </w:r>
      <w:r w:rsidR="00F1130D" w:rsidRPr="00F1130D">
        <w:rPr>
          <w:rFonts w:ascii="Arial" w:hAnsi="Arial" w:cs="Arial"/>
          <w:sz w:val="24"/>
          <w:szCs w:val="24"/>
        </w:rPr>
        <w:t>t was necessary to liaise with Telematics to obtain historical information and documents which were not available on the City’s records; and</w:t>
      </w:r>
    </w:p>
    <w:p w:rsidR="00F1130D" w:rsidRPr="00F1130D" w:rsidRDefault="00CB7701" w:rsidP="00CB7701">
      <w:pPr>
        <w:spacing w:line="480" w:lineRule="auto"/>
        <w:ind w:left="1440" w:hanging="720"/>
        <w:jc w:val="both"/>
        <w:rPr>
          <w:rFonts w:ascii="Arial" w:hAnsi="Arial" w:cs="Arial"/>
          <w:sz w:val="24"/>
          <w:szCs w:val="24"/>
        </w:rPr>
      </w:pPr>
      <w:r>
        <w:rPr>
          <w:rFonts w:ascii="Arial" w:hAnsi="Arial" w:cs="Arial"/>
          <w:sz w:val="24"/>
          <w:szCs w:val="24"/>
        </w:rPr>
        <w:t>10.3</w:t>
      </w:r>
      <w:r>
        <w:rPr>
          <w:rFonts w:ascii="Arial" w:hAnsi="Arial" w:cs="Arial"/>
          <w:sz w:val="24"/>
          <w:szCs w:val="24"/>
        </w:rPr>
        <w:tab/>
        <w:t>A</w:t>
      </w:r>
      <w:r w:rsidR="00F1130D" w:rsidRPr="00F1130D">
        <w:rPr>
          <w:rFonts w:ascii="Arial" w:hAnsi="Arial" w:cs="Arial"/>
          <w:sz w:val="24"/>
          <w:szCs w:val="24"/>
        </w:rPr>
        <w:t xml:space="preserve">fter the Goliath judgment, the parties became engaged in settlement discussions </w:t>
      </w:r>
      <w:r w:rsidR="0068407D">
        <w:rPr>
          <w:rFonts w:ascii="Arial" w:hAnsi="Arial" w:cs="Arial"/>
          <w:sz w:val="24"/>
          <w:szCs w:val="24"/>
        </w:rPr>
        <w:t xml:space="preserve">which ultimately proved </w:t>
      </w:r>
      <w:r w:rsidR="00F1130D" w:rsidRPr="00F1130D">
        <w:rPr>
          <w:rFonts w:ascii="Arial" w:hAnsi="Arial" w:cs="Arial"/>
          <w:sz w:val="24"/>
          <w:szCs w:val="24"/>
        </w:rPr>
        <w:t>unsuccessful.</w:t>
      </w:r>
    </w:p>
    <w:p w:rsidR="00F1130D" w:rsidRPr="00F1130D" w:rsidRDefault="00F1130D" w:rsidP="00F1130D">
      <w:pPr>
        <w:spacing w:line="480" w:lineRule="auto"/>
        <w:jc w:val="both"/>
        <w:rPr>
          <w:rFonts w:ascii="Arial" w:hAnsi="Arial" w:cs="Arial"/>
          <w:sz w:val="24"/>
          <w:szCs w:val="24"/>
        </w:rPr>
      </w:pPr>
    </w:p>
    <w:p w:rsidR="00F1130D" w:rsidRPr="00F1130D" w:rsidRDefault="00CB7701" w:rsidP="00F1130D">
      <w:pPr>
        <w:spacing w:line="48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F1130D" w:rsidRPr="00F1130D">
        <w:rPr>
          <w:rFonts w:ascii="Arial" w:hAnsi="Arial" w:cs="Arial"/>
          <w:sz w:val="24"/>
          <w:szCs w:val="24"/>
        </w:rPr>
        <w:t xml:space="preserve">On 23 June 2022, a day after the lapse of the </w:t>
      </w:r>
      <w:r w:rsidR="009F0665">
        <w:rPr>
          <w:rFonts w:ascii="Arial" w:hAnsi="Arial" w:cs="Arial"/>
          <w:sz w:val="24"/>
          <w:szCs w:val="24"/>
        </w:rPr>
        <w:t xml:space="preserve">30 days, </w:t>
      </w:r>
      <w:r w:rsidR="00F1130D" w:rsidRPr="00F1130D">
        <w:rPr>
          <w:rFonts w:ascii="Arial" w:hAnsi="Arial" w:cs="Arial"/>
          <w:sz w:val="24"/>
          <w:szCs w:val="24"/>
        </w:rPr>
        <w:t>the plaintiff’s attorney corresponded with the defendant’s attorney advising that the plaintiff awaited certain instructions from the City and would endeavour to deliver the amendment by 28 June 2022</w:t>
      </w:r>
      <w:r w:rsidR="00F1130D" w:rsidRPr="00F1130D">
        <w:rPr>
          <w:rStyle w:val="FootnoteReference"/>
          <w:rFonts w:ascii="Arial" w:hAnsi="Arial" w:cs="Arial"/>
          <w:sz w:val="24"/>
          <w:szCs w:val="24"/>
        </w:rPr>
        <w:footnoteReference w:id="2"/>
      </w:r>
      <w:r w:rsidR="00F1130D" w:rsidRPr="00F1130D">
        <w:rPr>
          <w:rFonts w:ascii="Arial" w:hAnsi="Arial" w:cs="Arial"/>
          <w:sz w:val="24"/>
          <w:szCs w:val="24"/>
        </w:rPr>
        <w:t xml:space="preserve">. The attorney had followed up with the relevant officials regarding the outstanding documents so that the amendment could be finalised. He explains that incomplete information was received from Telematics. </w:t>
      </w:r>
      <w:r w:rsidR="009F0665" w:rsidRPr="00F1130D">
        <w:rPr>
          <w:rFonts w:ascii="Arial" w:hAnsi="Arial" w:cs="Arial"/>
          <w:sz w:val="24"/>
          <w:szCs w:val="24"/>
        </w:rPr>
        <w:t>Accordingly,</w:t>
      </w:r>
      <w:r w:rsidR="00F1130D" w:rsidRPr="00F1130D">
        <w:rPr>
          <w:rFonts w:ascii="Arial" w:hAnsi="Arial" w:cs="Arial"/>
          <w:sz w:val="24"/>
          <w:szCs w:val="24"/>
        </w:rPr>
        <w:t xml:space="preserve"> therefore, the </w:t>
      </w:r>
      <w:r w:rsidR="001C2B53">
        <w:rPr>
          <w:rFonts w:ascii="Arial" w:hAnsi="Arial" w:cs="Arial"/>
          <w:sz w:val="24"/>
          <w:szCs w:val="24"/>
        </w:rPr>
        <w:t xml:space="preserve">plaintiff’s </w:t>
      </w:r>
      <w:r w:rsidR="00F1130D" w:rsidRPr="00F1130D">
        <w:rPr>
          <w:rFonts w:ascii="Arial" w:hAnsi="Arial" w:cs="Arial"/>
          <w:sz w:val="24"/>
          <w:szCs w:val="24"/>
        </w:rPr>
        <w:t>attorney had request</w:t>
      </w:r>
      <w:r w:rsidR="009F0665">
        <w:rPr>
          <w:rFonts w:ascii="Arial" w:hAnsi="Arial" w:cs="Arial"/>
          <w:sz w:val="24"/>
          <w:szCs w:val="24"/>
        </w:rPr>
        <w:t>ed the outstanding information from the relevant sources</w:t>
      </w:r>
    </w:p>
    <w:p w:rsidR="00F1130D" w:rsidRPr="00F1130D" w:rsidRDefault="00F1130D" w:rsidP="00F1130D">
      <w:pPr>
        <w:spacing w:line="480" w:lineRule="auto"/>
        <w:jc w:val="both"/>
        <w:rPr>
          <w:rFonts w:ascii="Arial" w:hAnsi="Arial" w:cs="Arial"/>
          <w:sz w:val="24"/>
          <w:szCs w:val="24"/>
        </w:rPr>
      </w:pPr>
    </w:p>
    <w:p w:rsidR="00F1130D" w:rsidRDefault="00CB7701" w:rsidP="00F1130D">
      <w:pPr>
        <w:spacing w:line="48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F1130D" w:rsidRPr="00F1130D">
        <w:rPr>
          <w:rFonts w:ascii="Arial" w:hAnsi="Arial" w:cs="Arial"/>
          <w:sz w:val="24"/>
          <w:szCs w:val="24"/>
        </w:rPr>
        <w:t xml:space="preserve">Further correspondence </w:t>
      </w:r>
      <w:r w:rsidR="003E3C26">
        <w:rPr>
          <w:rFonts w:ascii="Arial" w:hAnsi="Arial" w:cs="Arial"/>
          <w:sz w:val="24"/>
          <w:szCs w:val="24"/>
        </w:rPr>
        <w:t>followed</w:t>
      </w:r>
      <w:r w:rsidR="003E3C26" w:rsidRPr="00F1130D">
        <w:rPr>
          <w:rFonts w:ascii="Arial" w:hAnsi="Arial" w:cs="Arial"/>
          <w:sz w:val="24"/>
          <w:szCs w:val="24"/>
        </w:rPr>
        <w:t xml:space="preserve"> on</w:t>
      </w:r>
      <w:r w:rsidR="00F1130D" w:rsidRPr="00F1130D">
        <w:rPr>
          <w:rFonts w:ascii="Arial" w:hAnsi="Arial" w:cs="Arial"/>
          <w:sz w:val="24"/>
          <w:szCs w:val="24"/>
        </w:rPr>
        <w:t xml:space="preserve"> 8 July 2022, and once again, the plaintiff’s attorney </w:t>
      </w:r>
      <w:r w:rsidR="001C2B53">
        <w:rPr>
          <w:rFonts w:ascii="Arial" w:hAnsi="Arial" w:cs="Arial"/>
          <w:sz w:val="24"/>
          <w:szCs w:val="24"/>
        </w:rPr>
        <w:t xml:space="preserve">informed </w:t>
      </w:r>
      <w:r w:rsidR="00F1130D" w:rsidRPr="00F1130D">
        <w:rPr>
          <w:rFonts w:ascii="Arial" w:hAnsi="Arial" w:cs="Arial"/>
          <w:sz w:val="24"/>
          <w:szCs w:val="24"/>
        </w:rPr>
        <w:t xml:space="preserve">his opponent that </w:t>
      </w:r>
      <w:r w:rsidR="001B6BF9">
        <w:rPr>
          <w:rFonts w:ascii="Arial" w:hAnsi="Arial" w:cs="Arial"/>
          <w:sz w:val="24"/>
          <w:szCs w:val="24"/>
        </w:rPr>
        <w:t>he was</w:t>
      </w:r>
      <w:r w:rsidR="00F1130D" w:rsidRPr="00F1130D">
        <w:rPr>
          <w:rFonts w:ascii="Arial" w:hAnsi="Arial" w:cs="Arial"/>
          <w:sz w:val="24"/>
          <w:szCs w:val="24"/>
        </w:rPr>
        <w:t xml:space="preserve"> in the process of finalising the amendment</w:t>
      </w:r>
      <w:r w:rsidR="00F1130D" w:rsidRPr="00F1130D">
        <w:rPr>
          <w:rStyle w:val="FootnoteReference"/>
          <w:rFonts w:ascii="Arial" w:hAnsi="Arial" w:cs="Arial"/>
          <w:sz w:val="24"/>
          <w:szCs w:val="24"/>
        </w:rPr>
        <w:footnoteReference w:id="3"/>
      </w:r>
      <w:r w:rsidR="00F1130D" w:rsidRPr="00F1130D">
        <w:rPr>
          <w:rFonts w:ascii="Arial" w:hAnsi="Arial" w:cs="Arial"/>
          <w:sz w:val="24"/>
          <w:szCs w:val="24"/>
        </w:rPr>
        <w:t xml:space="preserve">. On 15 July 2022, the </w:t>
      </w:r>
      <w:r w:rsidR="001B6BF9">
        <w:rPr>
          <w:rFonts w:ascii="Arial" w:hAnsi="Arial" w:cs="Arial"/>
          <w:sz w:val="24"/>
          <w:szCs w:val="24"/>
        </w:rPr>
        <w:t xml:space="preserve">defendant’s attorney </w:t>
      </w:r>
      <w:r w:rsidR="00F1130D" w:rsidRPr="00F1130D">
        <w:rPr>
          <w:rFonts w:ascii="Arial" w:hAnsi="Arial" w:cs="Arial"/>
          <w:sz w:val="24"/>
          <w:szCs w:val="24"/>
        </w:rPr>
        <w:t xml:space="preserve">reiterated the Goliath order, </w:t>
      </w:r>
      <w:r w:rsidR="001B6BF9">
        <w:rPr>
          <w:rFonts w:ascii="Arial" w:hAnsi="Arial" w:cs="Arial"/>
          <w:sz w:val="24"/>
          <w:szCs w:val="24"/>
        </w:rPr>
        <w:t xml:space="preserve">emphasising that it had </w:t>
      </w:r>
      <w:r w:rsidR="00F1130D" w:rsidRPr="00F1130D">
        <w:rPr>
          <w:rFonts w:ascii="Arial" w:hAnsi="Arial" w:cs="Arial"/>
          <w:sz w:val="24"/>
          <w:szCs w:val="24"/>
        </w:rPr>
        <w:t xml:space="preserve">not been complied with, and the plaintiff was accordingly advised that the defendant was proceeding to enrol an application to strike out </w:t>
      </w:r>
      <w:r w:rsidR="0068407D">
        <w:rPr>
          <w:rFonts w:ascii="Arial" w:hAnsi="Arial" w:cs="Arial"/>
          <w:sz w:val="24"/>
          <w:szCs w:val="24"/>
        </w:rPr>
        <w:t>the plaintiff’s</w:t>
      </w:r>
      <w:r w:rsidR="00F1130D" w:rsidRPr="00F1130D">
        <w:rPr>
          <w:rFonts w:ascii="Arial" w:hAnsi="Arial" w:cs="Arial"/>
          <w:sz w:val="24"/>
          <w:szCs w:val="24"/>
        </w:rPr>
        <w:t xml:space="preserve"> claim. This </w:t>
      </w:r>
      <w:r w:rsidR="001B6BF9">
        <w:rPr>
          <w:rFonts w:ascii="Arial" w:hAnsi="Arial" w:cs="Arial"/>
          <w:sz w:val="24"/>
          <w:szCs w:val="24"/>
        </w:rPr>
        <w:t xml:space="preserve">correspondence </w:t>
      </w:r>
      <w:r w:rsidR="00F1130D" w:rsidRPr="00F1130D">
        <w:rPr>
          <w:rFonts w:ascii="Arial" w:hAnsi="Arial" w:cs="Arial"/>
          <w:sz w:val="24"/>
          <w:szCs w:val="24"/>
        </w:rPr>
        <w:t xml:space="preserve">was followed on 18 July 2022 by the plaintiff’s </w:t>
      </w:r>
      <w:r w:rsidR="001B6BF9" w:rsidRPr="00F1130D">
        <w:rPr>
          <w:rFonts w:ascii="Arial" w:hAnsi="Arial" w:cs="Arial"/>
          <w:sz w:val="24"/>
          <w:szCs w:val="24"/>
        </w:rPr>
        <w:t>attorney</w:t>
      </w:r>
      <w:r w:rsidR="0068407D">
        <w:rPr>
          <w:rFonts w:ascii="Arial" w:hAnsi="Arial" w:cs="Arial"/>
          <w:sz w:val="24"/>
          <w:szCs w:val="24"/>
        </w:rPr>
        <w:t xml:space="preserve"> who</w:t>
      </w:r>
      <w:r w:rsidR="001B6BF9" w:rsidRPr="00F1130D">
        <w:rPr>
          <w:rFonts w:ascii="Arial" w:hAnsi="Arial" w:cs="Arial"/>
          <w:sz w:val="24"/>
          <w:szCs w:val="24"/>
        </w:rPr>
        <w:t xml:space="preserve"> </w:t>
      </w:r>
      <w:r w:rsidR="001B6BF9">
        <w:rPr>
          <w:rFonts w:ascii="Arial" w:hAnsi="Arial" w:cs="Arial"/>
          <w:sz w:val="24"/>
          <w:szCs w:val="24"/>
        </w:rPr>
        <w:t xml:space="preserve">advised in writing </w:t>
      </w:r>
      <w:r w:rsidR="00F1130D" w:rsidRPr="00F1130D">
        <w:rPr>
          <w:rFonts w:ascii="Arial" w:hAnsi="Arial" w:cs="Arial"/>
          <w:sz w:val="24"/>
          <w:szCs w:val="24"/>
        </w:rPr>
        <w:t xml:space="preserve">that he still awaits final instructions from the City to </w:t>
      </w:r>
      <w:r w:rsidR="001C2B53">
        <w:rPr>
          <w:rFonts w:ascii="Arial" w:hAnsi="Arial" w:cs="Arial"/>
          <w:sz w:val="24"/>
          <w:szCs w:val="24"/>
        </w:rPr>
        <w:t xml:space="preserve">complete </w:t>
      </w:r>
      <w:r w:rsidR="00F1130D" w:rsidRPr="00F1130D">
        <w:rPr>
          <w:rFonts w:ascii="Arial" w:hAnsi="Arial" w:cs="Arial"/>
          <w:sz w:val="24"/>
          <w:szCs w:val="24"/>
        </w:rPr>
        <w:t xml:space="preserve">the amendment, which </w:t>
      </w:r>
      <w:r w:rsidR="0068407D">
        <w:rPr>
          <w:rFonts w:ascii="Arial" w:hAnsi="Arial" w:cs="Arial"/>
          <w:sz w:val="24"/>
          <w:szCs w:val="24"/>
        </w:rPr>
        <w:t xml:space="preserve">he was unable to </w:t>
      </w:r>
      <w:r w:rsidR="00F1130D" w:rsidRPr="00F1130D">
        <w:rPr>
          <w:rFonts w:ascii="Arial" w:hAnsi="Arial" w:cs="Arial"/>
          <w:sz w:val="24"/>
          <w:szCs w:val="24"/>
        </w:rPr>
        <w:t>obtain as certain City officials were on leave</w:t>
      </w:r>
      <w:r w:rsidR="001C2B53">
        <w:rPr>
          <w:rFonts w:ascii="Arial" w:hAnsi="Arial" w:cs="Arial"/>
          <w:sz w:val="24"/>
          <w:szCs w:val="24"/>
        </w:rPr>
        <w:t xml:space="preserve">. Furthermore, the </w:t>
      </w:r>
      <w:r w:rsidR="00F1130D" w:rsidRPr="00F1130D">
        <w:rPr>
          <w:rFonts w:ascii="Arial" w:hAnsi="Arial" w:cs="Arial"/>
          <w:sz w:val="24"/>
          <w:szCs w:val="24"/>
        </w:rPr>
        <w:t xml:space="preserve">external engineers and historical information were not readily available. The correspondence concludes by indicating that the City’s instructions were that the outstanding information and instructions would be made available during the course of that week and that the notice of amendment would be delivered by 22 July 2022.   </w:t>
      </w:r>
    </w:p>
    <w:p w:rsidR="003E3C26" w:rsidRPr="00F1130D" w:rsidRDefault="003E3C26" w:rsidP="00F1130D">
      <w:pPr>
        <w:spacing w:line="480" w:lineRule="auto"/>
        <w:jc w:val="both"/>
        <w:rPr>
          <w:rFonts w:ascii="Arial" w:hAnsi="Arial" w:cs="Arial"/>
          <w:sz w:val="24"/>
          <w:szCs w:val="24"/>
        </w:rPr>
      </w:pPr>
    </w:p>
    <w:p w:rsidR="00F1130D" w:rsidRPr="00F36708" w:rsidRDefault="0068407D" w:rsidP="00F1130D">
      <w:pPr>
        <w:spacing w:line="480" w:lineRule="auto"/>
        <w:jc w:val="both"/>
        <w:rPr>
          <w:rFonts w:ascii="Arial" w:hAnsi="Arial" w:cs="Arial"/>
          <w:sz w:val="24"/>
          <w:szCs w:val="24"/>
          <w:lang w:val="en-US"/>
        </w:rPr>
      </w:pPr>
      <w:r>
        <w:rPr>
          <w:rFonts w:ascii="Arial" w:hAnsi="Arial" w:cs="Arial"/>
          <w:b/>
          <w:sz w:val="24"/>
          <w:szCs w:val="24"/>
          <w:u w:val="single"/>
          <w:lang w:val="en-US"/>
        </w:rPr>
        <w:t>The p</w:t>
      </w:r>
      <w:r w:rsidR="001B6BF9">
        <w:rPr>
          <w:rFonts w:ascii="Arial" w:hAnsi="Arial" w:cs="Arial"/>
          <w:b/>
          <w:sz w:val="24"/>
          <w:szCs w:val="24"/>
          <w:u w:val="single"/>
          <w:lang w:val="en-US"/>
        </w:rPr>
        <w:t>laintiff’s submissions</w:t>
      </w:r>
    </w:p>
    <w:p w:rsidR="0068407D" w:rsidRDefault="00CB7701" w:rsidP="00F1130D">
      <w:pPr>
        <w:spacing w:line="480" w:lineRule="auto"/>
        <w:jc w:val="both"/>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r>
      <w:r w:rsidR="00F1130D" w:rsidRPr="00F36708">
        <w:rPr>
          <w:rFonts w:ascii="Arial" w:hAnsi="Arial" w:cs="Arial"/>
          <w:sz w:val="24"/>
          <w:szCs w:val="24"/>
          <w:lang w:val="en-US"/>
        </w:rPr>
        <w:t xml:space="preserve">Counsel for the </w:t>
      </w:r>
      <w:r w:rsidR="0068407D">
        <w:rPr>
          <w:rFonts w:ascii="Arial" w:hAnsi="Arial" w:cs="Arial"/>
          <w:sz w:val="24"/>
          <w:szCs w:val="24"/>
          <w:lang w:val="en-US"/>
        </w:rPr>
        <w:t>plaintiff</w:t>
      </w:r>
      <w:r w:rsidR="00F1130D" w:rsidRPr="00F36708">
        <w:rPr>
          <w:rFonts w:ascii="Arial" w:hAnsi="Arial" w:cs="Arial"/>
          <w:sz w:val="24"/>
          <w:szCs w:val="24"/>
          <w:lang w:val="en-US"/>
        </w:rPr>
        <w:t xml:space="preserve"> submitted </w:t>
      </w:r>
      <w:r w:rsidR="00C640B4" w:rsidRPr="00F36708">
        <w:rPr>
          <w:rFonts w:ascii="Arial" w:hAnsi="Arial" w:cs="Arial"/>
          <w:sz w:val="24"/>
          <w:szCs w:val="24"/>
          <w:lang w:val="en-US"/>
        </w:rPr>
        <w:t>that</w:t>
      </w:r>
      <w:r w:rsidR="001B6BF9">
        <w:rPr>
          <w:rFonts w:ascii="Arial" w:hAnsi="Arial" w:cs="Arial"/>
          <w:sz w:val="24"/>
          <w:szCs w:val="24"/>
          <w:lang w:val="en-US"/>
        </w:rPr>
        <w:t xml:space="preserve"> the amendment</w:t>
      </w:r>
      <w:r w:rsidR="0068407D">
        <w:rPr>
          <w:rFonts w:ascii="Arial" w:hAnsi="Arial" w:cs="Arial"/>
          <w:sz w:val="24"/>
          <w:szCs w:val="24"/>
          <w:lang w:val="en-US"/>
        </w:rPr>
        <w:t>s</w:t>
      </w:r>
      <w:r w:rsidR="001B6BF9">
        <w:rPr>
          <w:rFonts w:ascii="Arial" w:hAnsi="Arial" w:cs="Arial"/>
          <w:sz w:val="24"/>
          <w:szCs w:val="24"/>
          <w:lang w:val="en-US"/>
        </w:rPr>
        <w:t xml:space="preserve"> to the Particulars of Claim</w:t>
      </w:r>
      <w:r w:rsidR="00F1130D" w:rsidRPr="00F36708">
        <w:rPr>
          <w:rFonts w:ascii="Arial" w:hAnsi="Arial" w:cs="Arial"/>
          <w:sz w:val="24"/>
          <w:szCs w:val="24"/>
          <w:lang w:val="en-US"/>
        </w:rPr>
        <w:t xml:space="preserve"> </w:t>
      </w:r>
      <w:r w:rsidR="0068407D">
        <w:rPr>
          <w:rFonts w:ascii="Arial" w:hAnsi="Arial" w:cs="Arial"/>
          <w:sz w:val="24"/>
          <w:szCs w:val="24"/>
          <w:lang w:val="en-US"/>
        </w:rPr>
        <w:t>are</w:t>
      </w:r>
      <w:r w:rsidR="00F1130D" w:rsidRPr="00F36708">
        <w:rPr>
          <w:rFonts w:ascii="Arial" w:hAnsi="Arial" w:cs="Arial"/>
          <w:sz w:val="24"/>
          <w:szCs w:val="24"/>
          <w:lang w:val="en-US"/>
        </w:rPr>
        <w:t xml:space="preserve"> substantive and runs to </w:t>
      </w:r>
      <w:r w:rsidR="00C640B4" w:rsidRPr="00F36708">
        <w:rPr>
          <w:rFonts w:ascii="Arial" w:hAnsi="Arial" w:cs="Arial"/>
          <w:sz w:val="24"/>
          <w:szCs w:val="24"/>
          <w:lang w:val="en-US"/>
        </w:rPr>
        <w:t>hundreds</w:t>
      </w:r>
      <w:r w:rsidR="00F1130D" w:rsidRPr="00F36708">
        <w:rPr>
          <w:rFonts w:ascii="Arial" w:hAnsi="Arial" w:cs="Arial"/>
          <w:sz w:val="24"/>
          <w:szCs w:val="24"/>
          <w:lang w:val="en-US"/>
        </w:rPr>
        <w:t xml:space="preserve"> of pages. He admits that the City could have put something up before the </w:t>
      </w:r>
      <w:r w:rsidR="00C640B4" w:rsidRPr="00F36708">
        <w:rPr>
          <w:rFonts w:ascii="Arial" w:hAnsi="Arial" w:cs="Arial"/>
          <w:sz w:val="24"/>
          <w:szCs w:val="24"/>
          <w:lang w:val="en-US"/>
        </w:rPr>
        <w:t>30-day</w:t>
      </w:r>
      <w:r w:rsidR="00F1130D" w:rsidRPr="00F36708">
        <w:rPr>
          <w:rFonts w:ascii="Arial" w:hAnsi="Arial" w:cs="Arial"/>
          <w:sz w:val="24"/>
          <w:szCs w:val="24"/>
          <w:lang w:val="en-US"/>
        </w:rPr>
        <w:t xml:space="preserve"> deadline but it did not do so as it took the </w:t>
      </w:r>
      <w:r w:rsidR="001B6BF9">
        <w:rPr>
          <w:rFonts w:ascii="Arial" w:hAnsi="Arial" w:cs="Arial"/>
          <w:sz w:val="24"/>
          <w:szCs w:val="24"/>
          <w:lang w:val="en-US"/>
        </w:rPr>
        <w:t xml:space="preserve">Goliath </w:t>
      </w:r>
      <w:r w:rsidR="00F1130D" w:rsidRPr="00F36708">
        <w:rPr>
          <w:rFonts w:ascii="Arial" w:hAnsi="Arial" w:cs="Arial"/>
          <w:sz w:val="24"/>
          <w:szCs w:val="24"/>
          <w:lang w:val="en-US"/>
        </w:rPr>
        <w:t xml:space="preserve">judgment and </w:t>
      </w:r>
      <w:r w:rsidR="001C2B53">
        <w:rPr>
          <w:rFonts w:ascii="Arial" w:hAnsi="Arial" w:cs="Arial"/>
          <w:sz w:val="24"/>
          <w:szCs w:val="24"/>
          <w:lang w:val="en-US"/>
        </w:rPr>
        <w:t xml:space="preserve">the learned Judge’s findings </w:t>
      </w:r>
      <w:r w:rsidR="00F1130D" w:rsidRPr="00F36708">
        <w:rPr>
          <w:rFonts w:ascii="Arial" w:hAnsi="Arial" w:cs="Arial"/>
          <w:sz w:val="24"/>
          <w:szCs w:val="24"/>
          <w:lang w:val="en-US"/>
        </w:rPr>
        <w:t xml:space="preserve">regarding excipiability </w:t>
      </w:r>
      <w:r w:rsidR="00C640B4" w:rsidRPr="00F36708">
        <w:rPr>
          <w:rFonts w:ascii="Arial" w:hAnsi="Arial" w:cs="Arial"/>
          <w:sz w:val="24"/>
          <w:szCs w:val="24"/>
          <w:lang w:val="en-US"/>
        </w:rPr>
        <w:t>of the</w:t>
      </w:r>
      <w:r w:rsidR="00F1130D" w:rsidRPr="00F36708">
        <w:rPr>
          <w:rFonts w:ascii="Arial" w:hAnsi="Arial" w:cs="Arial"/>
          <w:sz w:val="24"/>
          <w:szCs w:val="24"/>
          <w:lang w:val="en-US"/>
        </w:rPr>
        <w:t xml:space="preserve"> pleadings</w:t>
      </w:r>
      <w:r w:rsidR="0068407D">
        <w:rPr>
          <w:rFonts w:ascii="Arial" w:hAnsi="Arial" w:cs="Arial"/>
          <w:sz w:val="24"/>
          <w:szCs w:val="24"/>
          <w:lang w:val="en-US"/>
        </w:rPr>
        <w:t>,</w:t>
      </w:r>
      <w:r w:rsidR="00F1130D" w:rsidRPr="00F36708">
        <w:rPr>
          <w:rFonts w:ascii="Arial" w:hAnsi="Arial" w:cs="Arial"/>
          <w:sz w:val="24"/>
          <w:szCs w:val="24"/>
          <w:lang w:val="en-US"/>
        </w:rPr>
        <w:t xml:space="preserve"> seriously. It requ</w:t>
      </w:r>
      <w:r w:rsidR="001C2B53">
        <w:rPr>
          <w:rFonts w:ascii="Arial" w:hAnsi="Arial" w:cs="Arial"/>
          <w:sz w:val="24"/>
          <w:szCs w:val="24"/>
          <w:lang w:val="en-US"/>
        </w:rPr>
        <w:t xml:space="preserve">ired of the </w:t>
      </w:r>
      <w:r w:rsidR="00F1130D" w:rsidRPr="00F36708">
        <w:rPr>
          <w:rFonts w:ascii="Arial" w:hAnsi="Arial" w:cs="Arial"/>
          <w:sz w:val="24"/>
          <w:szCs w:val="24"/>
          <w:lang w:val="en-US"/>
        </w:rPr>
        <w:t xml:space="preserve">City to investigate the evidence it had and </w:t>
      </w:r>
      <w:r w:rsidR="001C2B53">
        <w:rPr>
          <w:rFonts w:ascii="Arial" w:hAnsi="Arial" w:cs="Arial"/>
          <w:sz w:val="24"/>
          <w:szCs w:val="24"/>
          <w:lang w:val="en-US"/>
        </w:rPr>
        <w:t xml:space="preserve">consider the steps to be taken to attend to the </w:t>
      </w:r>
      <w:r w:rsidR="00F1130D" w:rsidRPr="00F36708">
        <w:rPr>
          <w:rFonts w:ascii="Arial" w:hAnsi="Arial" w:cs="Arial"/>
          <w:sz w:val="24"/>
          <w:szCs w:val="24"/>
          <w:lang w:val="en-US"/>
        </w:rPr>
        <w:t>amendments</w:t>
      </w:r>
      <w:r w:rsidR="001B6BF9">
        <w:rPr>
          <w:rFonts w:ascii="Arial" w:hAnsi="Arial" w:cs="Arial"/>
          <w:sz w:val="24"/>
          <w:szCs w:val="24"/>
          <w:lang w:val="en-US"/>
        </w:rPr>
        <w:t xml:space="preserve"> as set out</w:t>
      </w:r>
      <w:r w:rsidR="00F1130D" w:rsidRPr="00F36708">
        <w:rPr>
          <w:rFonts w:ascii="Arial" w:hAnsi="Arial" w:cs="Arial"/>
          <w:sz w:val="24"/>
          <w:szCs w:val="24"/>
          <w:lang w:val="en-US"/>
        </w:rPr>
        <w:t xml:space="preserve"> in the judgment. Counsel submits that the amendment, following on from the judgment, runs to 235 pages. </w:t>
      </w:r>
    </w:p>
    <w:p w:rsidR="0068407D" w:rsidRDefault="0068407D" w:rsidP="00F1130D">
      <w:pPr>
        <w:spacing w:line="480" w:lineRule="auto"/>
        <w:jc w:val="both"/>
        <w:rPr>
          <w:rFonts w:ascii="Arial" w:hAnsi="Arial" w:cs="Arial"/>
          <w:sz w:val="24"/>
          <w:szCs w:val="24"/>
          <w:lang w:val="en-US"/>
        </w:rPr>
      </w:pPr>
    </w:p>
    <w:p w:rsidR="00F1130D" w:rsidRDefault="0068407D" w:rsidP="00F1130D">
      <w:pPr>
        <w:spacing w:line="480" w:lineRule="auto"/>
        <w:jc w:val="both"/>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r>
      <w:r w:rsidR="00F1130D" w:rsidRPr="00F36708">
        <w:rPr>
          <w:rFonts w:ascii="Arial" w:hAnsi="Arial" w:cs="Arial"/>
          <w:sz w:val="24"/>
          <w:szCs w:val="24"/>
          <w:lang w:val="en-US"/>
        </w:rPr>
        <w:t>I am asked to take account of the prospects of success in that the question must be asked whether the amendment does what the G</w:t>
      </w:r>
      <w:r w:rsidR="00C1197E">
        <w:rPr>
          <w:rFonts w:ascii="Arial" w:hAnsi="Arial" w:cs="Arial"/>
          <w:sz w:val="24"/>
          <w:szCs w:val="24"/>
          <w:lang w:val="en-US"/>
        </w:rPr>
        <w:t>oliath judgment says it must do.</w:t>
      </w:r>
      <w:r w:rsidR="00F1130D" w:rsidRPr="00F36708">
        <w:rPr>
          <w:rFonts w:ascii="Arial" w:hAnsi="Arial" w:cs="Arial"/>
          <w:sz w:val="24"/>
          <w:szCs w:val="24"/>
          <w:lang w:val="en-US"/>
        </w:rPr>
        <w:t xml:space="preserve"> To this extent, the plaintiff submits that the </w:t>
      </w:r>
      <w:r w:rsidR="001B6BF9">
        <w:rPr>
          <w:rFonts w:ascii="Arial" w:hAnsi="Arial" w:cs="Arial"/>
          <w:sz w:val="24"/>
          <w:szCs w:val="24"/>
          <w:lang w:val="en-US"/>
        </w:rPr>
        <w:t>d</w:t>
      </w:r>
      <w:r w:rsidR="00F1130D" w:rsidRPr="00F36708">
        <w:rPr>
          <w:rFonts w:ascii="Arial" w:hAnsi="Arial" w:cs="Arial"/>
          <w:sz w:val="24"/>
          <w:szCs w:val="24"/>
          <w:lang w:val="en-US"/>
        </w:rPr>
        <w:t xml:space="preserve">efendant takes no issue </w:t>
      </w:r>
      <w:r w:rsidR="001B6BF9">
        <w:rPr>
          <w:rFonts w:ascii="Arial" w:hAnsi="Arial" w:cs="Arial"/>
          <w:sz w:val="24"/>
          <w:szCs w:val="24"/>
          <w:lang w:val="en-US"/>
        </w:rPr>
        <w:t xml:space="preserve">with the amendments </w:t>
      </w:r>
      <w:r w:rsidR="00F1130D" w:rsidRPr="00F36708">
        <w:rPr>
          <w:rFonts w:ascii="Arial" w:hAnsi="Arial" w:cs="Arial"/>
          <w:sz w:val="24"/>
          <w:szCs w:val="24"/>
          <w:lang w:val="en-US"/>
        </w:rPr>
        <w:t xml:space="preserve">and that the latter’s opposition does not </w:t>
      </w:r>
      <w:r w:rsidR="003E3C26" w:rsidRPr="00F36708">
        <w:rPr>
          <w:rFonts w:ascii="Arial" w:hAnsi="Arial" w:cs="Arial"/>
          <w:sz w:val="24"/>
          <w:szCs w:val="24"/>
          <w:lang w:val="en-US"/>
        </w:rPr>
        <w:t xml:space="preserve">address </w:t>
      </w:r>
      <w:r w:rsidR="00C1197E">
        <w:rPr>
          <w:rFonts w:ascii="Arial" w:hAnsi="Arial" w:cs="Arial"/>
          <w:sz w:val="24"/>
          <w:szCs w:val="24"/>
          <w:lang w:val="en-US"/>
        </w:rPr>
        <w:t>the amendments</w:t>
      </w:r>
      <w:r w:rsidR="001B6BF9">
        <w:rPr>
          <w:rFonts w:ascii="Arial" w:hAnsi="Arial" w:cs="Arial"/>
          <w:sz w:val="24"/>
          <w:szCs w:val="24"/>
          <w:lang w:val="en-US"/>
        </w:rPr>
        <w:t xml:space="preserve"> </w:t>
      </w:r>
      <w:r w:rsidR="00F1130D" w:rsidRPr="00F36708">
        <w:rPr>
          <w:rFonts w:ascii="Arial" w:hAnsi="Arial" w:cs="Arial"/>
          <w:sz w:val="24"/>
          <w:szCs w:val="24"/>
          <w:lang w:val="en-US"/>
        </w:rPr>
        <w:t xml:space="preserve">at all. </w:t>
      </w:r>
      <w:r w:rsidR="001B6BF9">
        <w:rPr>
          <w:rFonts w:ascii="Arial" w:hAnsi="Arial" w:cs="Arial"/>
          <w:sz w:val="24"/>
          <w:szCs w:val="24"/>
          <w:lang w:val="en-US"/>
        </w:rPr>
        <w:t>It is further submitted that the defendant does not attack the amendment</w:t>
      </w:r>
      <w:r w:rsidR="00C1197E">
        <w:rPr>
          <w:rFonts w:ascii="Arial" w:hAnsi="Arial" w:cs="Arial"/>
          <w:sz w:val="24"/>
          <w:szCs w:val="24"/>
          <w:lang w:val="en-US"/>
        </w:rPr>
        <w:t>s</w:t>
      </w:r>
      <w:r w:rsidR="001B6BF9">
        <w:rPr>
          <w:rFonts w:ascii="Arial" w:hAnsi="Arial" w:cs="Arial"/>
          <w:sz w:val="24"/>
          <w:szCs w:val="24"/>
          <w:lang w:val="en-US"/>
        </w:rPr>
        <w:t xml:space="preserve"> on the basis</w:t>
      </w:r>
      <w:r w:rsidR="00C1197E">
        <w:rPr>
          <w:rFonts w:ascii="Arial" w:hAnsi="Arial" w:cs="Arial"/>
          <w:sz w:val="24"/>
          <w:szCs w:val="24"/>
          <w:lang w:val="en-US"/>
        </w:rPr>
        <w:t xml:space="preserve"> of excipiability</w:t>
      </w:r>
      <w:r w:rsidR="001C2B53">
        <w:rPr>
          <w:rFonts w:ascii="Arial" w:hAnsi="Arial" w:cs="Arial"/>
          <w:sz w:val="24"/>
          <w:szCs w:val="24"/>
          <w:lang w:val="en-US"/>
        </w:rPr>
        <w:t xml:space="preserve"> and that the only issue relates to the lateness of delivery thereof and the reasons provided for such delay</w:t>
      </w:r>
      <w:r w:rsidR="001B6BF9">
        <w:rPr>
          <w:rFonts w:ascii="Arial" w:hAnsi="Arial" w:cs="Arial"/>
          <w:sz w:val="24"/>
          <w:szCs w:val="24"/>
          <w:lang w:val="en-US"/>
        </w:rPr>
        <w:t>.</w:t>
      </w:r>
    </w:p>
    <w:p w:rsidR="001C2B53" w:rsidRDefault="001C2B53" w:rsidP="00F1130D">
      <w:pPr>
        <w:spacing w:line="480" w:lineRule="auto"/>
        <w:jc w:val="both"/>
        <w:rPr>
          <w:rFonts w:ascii="Arial" w:hAnsi="Arial" w:cs="Arial"/>
          <w:sz w:val="24"/>
          <w:szCs w:val="24"/>
          <w:lang w:val="en-US"/>
        </w:rPr>
      </w:pPr>
    </w:p>
    <w:p w:rsidR="00F1130D" w:rsidRPr="00F36708" w:rsidRDefault="00C1197E" w:rsidP="00F1130D">
      <w:pPr>
        <w:spacing w:line="480" w:lineRule="auto"/>
        <w:jc w:val="both"/>
        <w:rPr>
          <w:rFonts w:ascii="Arial" w:hAnsi="Arial" w:cs="Arial"/>
          <w:sz w:val="24"/>
          <w:szCs w:val="24"/>
          <w:lang w:val="en-US"/>
        </w:rPr>
      </w:pPr>
      <w:r>
        <w:rPr>
          <w:rFonts w:ascii="Arial" w:hAnsi="Arial" w:cs="Arial"/>
          <w:sz w:val="24"/>
          <w:szCs w:val="24"/>
          <w:lang w:val="en-US"/>
        </w:rPr>
        <w:t>[15</w:t>
      </w:r>
      <w:r w:rsidR="00CB7701">
        <w:rPr>
          <w:rFonts w:ascii="Arial" w:hAnsi="Arial" w:cs="Arial"/>
          <w:sz w:val="24"/>
          <w:szCs w:val="24"/>
          <w:lang w:val="en-US"/>
        </w:rPr>
        <w:t>]</w:t>
      </w:r>
      <w:r w:rsidR="00CB7701">
        <w:rPr>
          <w:rFonts w:ascii="Arial" w:hAnsi="Arial" w:cs="Arial"/>
          <w:sz w:val="24"/>
          <w:szCs w:val="24"/>
          <w:lang w:val="en-US"/>
        </w:rPr>
        <w:tab/>
      </w:r>
      <w:r w:rsidR="00F1130D" w:rsidRPr="00F36708">
        <w:rPr>
          <w:rFonts w:ascii="Arial" w:hAnsi="Arial" w:cs="Arial"/>
          <w:sz w:val="24"/>
          <w:szCs w:val="24"/>
          <w:lang w:val="en-US"/>
        </w:rPr>
        <w:t>The amendment</w:t>
      </w:r>
      <w:r>
        <w:rPr>
          <w:rFonts w:ascii="Arial" w:hAnsi="Arial" w:cs="Arial"/>
          <w:sz w:val="24"/>
          <w:szCs w:val="24"/>
          <w:lang w:val="en-US"/>
        </w:rPr>
        <w:t>s</w:t>
      </w:r>
      <w:r w:rsidR="00F1130D" w:rsidRPr="00F36708">
        <w:rPr>
          <w:rFonts w:ascii="Arial" w:hAnsi="Arial" w:cs="Arial"/>
          <w:sz w:val="24"/>
          <w:szCs w:val="24"/>
          <w:lang w:val="en-US"/>
        </w:rPr>
        <w:t>, should condonation be granted, would mean that the plaintiff’s claim is increased</w:t>
      </w:r>
      <w:r w:rsidR="00F1130D">
        <w:rPr>
          <w:rFonts w:ascii="Arial" w:hAnsi="Arial" w:cs="Arial"/>
          <w:sz w:val="24"/>
          <w:szCs w:val="24"/>
          <w:lang w:val="en-US"/>
        </w:rPr>
        <w:t xml:space="preserve"> </w:t>
      </w:r>
      <w:r w:rsidR="00F1130D" w:rsidRPr="00F36708">
        <w:rPr>
          <w:rFonts w:ascii="Arial" w:hAnsi="Arial" w:cs="Arial"/>
          <w:sz w:val="24"/>
          <w:szCs w:val="24"/>
          <w:lang w:val="en-US"/>
        </w:rPr>
        <w:t xml:space="preserve">to R38million and </w:t>
      </w:r>
      <w:r w:rsidR="001B6BF9">
        <w:rPr>
          <w:rFonts w:ascii="Arial" w:hAnsi="Arial" w:cs="Arial"/>
          <w:sz w:val="24"/>
          <w:szCs w:val="24"/>
          <w:lang w:val="en-US"/>
        </w:rPr>
        <w:t xml:space="preserve">further </w:t>
      </w:r>
      <w:r w:rsidR="00F1130D" w:rsidRPr="00F36708">
        <w:rPr>
          <w:rFonts w:ascii="Arial" w:hAnsi="Arial" w:cs="Arial"/>
          <w:sz w:val="24"/>
          <w:szCs w:val="24"/>
          <w:lang w:val="en-US"/>
        </w:rPr>
        <w:t xml:space="preserve">substantive changes </w:t>
      </w:r>
      <w:r>
        <w:rPr>
          <w:rFonts w:ascii="Arial" w:hAnsi="Arial" w:cs="Arial"/>
          <w:sz w:val="24"/>
          <w:szCs w:val="24"/>
          <w:lang w:val="en-US"/>
        </w:rPr>
        <w:t>would take effect in respect of</w:t>
      </w:r>
      <w:r w:rsidR="00F1130D" w:rsidRPr="00F36708">
        <w:rPr>
          <w:rFonts w:ascii="Arial" w:hAnsi="Arial" w:cs="Arial"/>
          <w:sz w:val="24"/>
          <w:szCs w:val="24"/>
          <w:lang w:val="en-US"/>
        </w:rPr>
        <w:t xml:space="preserve"> the Particulars of Claim</w:t>
      </w:r>
      <w:r w:rsidR="001B6BF9">
        <w:rPr>
          <w:rFonts w:ascii="Arial" w:hAnsi="Arial" w:cs="Arial"/>
          <w:sz w:val="24"/>
          <w:szCs w:val="24"/>
          <w:lang w:val="en-US"/>
        </w:rPr>
        <w:t xml:space="preserve">. </w:t>
      </w:r>
      <w:r w:rsidR="00F1130D" w:rsidRPr="00F36708">
        <w:rPr>
          <w:rFonts w:ascii="Arial" w:hAnsi="Arial" w:cs="Arial"/>
          <w:sz w:val="24"/>
          <w:szCs w:val="24"/>
          <w:lang w:val="en-US"/>
        </w:rPr>
        <w:t xml:space="preserve">Counsel has further submitted that regard must be had to the extent of the City’s non-compliance with the order, which </w:t>
      </w:r>
      <w:r w:rsidR="001B6BF9">
        <w:rPr>
          <w:rFonts w:ascii="Arial" w:hAnsi="Arial" w:cs="Arial"/>
          <w:sz w:val="24"/>
          <w:szCs w:val="24"/>
          <w:lang w:val="en-US"/>
        </w:rPr>
        <w:t>is</w:t>
      </w:r>
      <w:r>
        <w:rPr>
          <w:rFonts w:ascii="Arial" w:hAnsi="Arial" w:cs="Arial"/>
          <w:sz w:val="24"/>
          <w:szCs w:val="24"/>
          <w:lang w:val="en-US"/>
        </w:rPr>
        <w:t xml:space="preserve"> limited to</w:t>
      </w:r>
      <w:r w:rsidR="001B6BF9">
        <w:rPr>
          <w:rFonts w:ascii="Arial" w:hAnsi="Arial" w:cs="Arial"/>
          <w:sz w:val="24"/>
          <w:szCs w:val="24"/>
          <w:lang w:val="en-US"/>
        </w:rPr>
        <w:t xml:space="preserve"> </w:t>
      </w:r>
      <w:r w:rsidR="00F1130D" w:rsidRPr="00F36708">
        <w:rPr>
          <w:rFonts w:ascii="Arial" w:hAnsi="Arial" w:cs="Arial"/>
          <w:sz w:val="24"/>
          <w:szCs w:val="24"/>
          <w:lang w:val="en-US"/>
        </w:rPr>
        <w:t>a further month (thirty) days</w:t>
      </w:r>
      <w:r>
        <w:rPr>
          <w:rFonts w:ascii="Arial" w:hAnsi="Arial" w:cs="Arial"/>
          <w:sz w:val="24"/>
          <w:szCs w:val="24"/>
          <w:lang w:val="en-US"/>
        </w:rPr>
        <w:t xml:space="preserve"> after the </w:t>
      </w:r>
      <w:r w:rsidR="001C2B53">
        <w:rPr>
          <w:rFonts w:ascii="Arial" w:hAnsi="Arial" w:cs="Arial"/>
          <w:sz w:val="24"/>
          <w:szCs w:val="24"/>
          <w:lang w:val="en-US"/>
        </w:rPr>
        <w:t xml:space="preserve">22 June 2022 </w:t>
      </w:r>
      <w:r>
        <w:rPr>
          <w:rFonts w:ascii="Arial" w:hAnsi="Arial" w:cs="Arial"/>
          <w:sz w:val="24"/>
          <w:szCs w:val="24"/>
          <w:lang w:val="en-US"/>
        </w:rPr>
        <w:t>deadline</w:t>
      </w:r>
      <w:r w:rsidR="00F1130D" w:rsidRPr="00F36708">
        <w:rPr>
          <w:rFonts w:ascii="Arial" w:hAnsi="Arial" w:cs="Arial"/>
          <w:sz w:val="24"/>
          <w:szCs w:val="24"/>
          <w:lang w:val="en-US"/>
        </w:rPr>
        <w:t xml:space="preserve">. </w:t>
      </w:r>
      <w:r w:rsidR="001C2B53">
        <w:rPr>
          <w:rFonts w:ascii="Arial" w:hAnsi="Arial" w:cs="Arial"/>
          <w:sz w:val="24"/>
          <w:szCs w:val="24"/>
          <w:lang w:val="en-US"/>
        </w:rPr>
        <w:t xml:space="preserve">The plaintiff’s counsel </w:t>
      </w:r>
      <w:r w:rsidR="00F1130D" w:rsidRPr="00F36708">
        <w:rPr>
          <w:rFonts w:ascii="Arial" w:hAnsi="Arial" w:cs="Arial"/>
          <w:sz w:val="24"/>
          <w:szCs w:val="24"/>
          <w:lang w:val="en-US"/>
        </w:rPr>
        <w:t xml:space="preserve"> has conceded that while the </w:t>
      </w:r>
      <w:r w:rsidR="00C640B4">
        <w:rPr>
          <w:rFonts w:ascii="Arial" w:hAnsi="Arial" w:cs="Arial"/>
          <w:sz w:val="24"/>
          <w:szCs w:val="24"/>
          <w:lang w:val="en-US"/>
        </w:rPr>
        <w:t xml:space="preserve">reasonable </w:t>
      </w:r>
      <w:r w:rsidR="00C640B4" w:rsidRPr="00F36708">
        <w:rPr>
          <w:rFonts w:ascii="Arial" w:hAnsi="Arial" w:cs="Arial"/>
          <w:sz w:val="24"/>
          <w:szCs w:val="24"/>
          <w:lang w:val="en-US"/>
        </w:rPr>
        <w:t>explanation</w:t>
      </w:r>
      <w:r w:rsidR="00F1130D" w:rsidRPr="00F36708">
        <w:rPr>
          <w:rFonts w:ascii="Arial" w:hAnsi="Arial" w:cs="Arial"/>
          <w:sz w:val="24"/>
          <w:szCs w:val="24"/>
          <w:lang w:val="en-US"/>
        </w:rPr>
        <w:t xml:space="preserve"> for </w:t>
      </w:r>
      <w:r w:rsidR="001C2B53">
        <w:rPr>
          <w:rFonts w:ascii="Arial" w:hAnsi="Arial" w:cs="Arial"/>
          <w:sz w:val="24"/>
          <w:szCs w:val="24"/>
          <w:lang w:val="en-US"/>
        </w:rPr>
        <w:t xml:space="preserve">his client’s </w:t>
      </w:r>
      <w:r w:rsidR="00F1130D" w:rsidRPr="00F36708">
        <w:rPr>
          <w:rFonts w:ascii="Arial" w:hAnsi="Arial" w:cs="Arial"/>
          <w:sz w:val="24"/>
          <w:szCs w:val="24"/>
          <w:lang w:val="en-US"/>
        </w:rPr>
        <w:t>delay is not a model of perfection, a</w:t>
      </w:r>
      <w:r w:rsidR="00F1130D">
        <w:rPr>
          <w:rFonts w:ascii="Arial" w:hAnsi="Arial" w:cs="Arial"/>
          <w:sz w:val="24"/>
          <w:szCs w:val="24"/>
          <w:lang w:val="en-US"/>
        </w:rPr>
        <w:t>n</w:t>
      </w:r>
      <w:r w:rsidR="00F1130D" w:rsidRPr="00F36708">
        <w:rPr>
          <w:rFonts w:ascii="Arial" w:hAnsi="Arial" w:cs="Arial"/>
          <w:sz w:val="24"/>
          <w:szCs w:val="24"/>
          <w:lang w:val="en-US"/>
        </w:rPr>
        <w:t xml:space="preserve">d </w:t>
      </w:r>
      <w:r w:rsidR="001C2B53">
        <w:rPr>
          <w:rFonts w:ascii="Arial" w:hAnsi="Arial" w:cs="Arial"/>
          <w:sz w:val="24"/>
          <w:szCs w:val="24"/>
          <w:lang w:val="en-US"/>
        </w:rPr>
        <w:t xml:space="preserve">that the latter </w:t>
      </w:r>
      <w:r w:rsidR="00F1130D" w:rsidRPr="00F36708">
        <w:rPr>
          <w:rFonts w:ascii="Arial" w:hAnsi="Arial" w:cs="Arial"/>
          <w:sz w:val="24"/>
          <w:szCs w:val="24"/>
          <w:lang w:val="en-US"/>
        </w:rPr>
        <w:t xml:space="preserve">can be criticized, the delay is nonetheless explained </w:t>
      </w:r>
      <w:r w:rsidR="001B6BF9">
        <w:rPr>
          <w:rFonts w:ascii="Arial" w:hAnsi="Arial" w:cs="Arial"/>
          <w:sz w:val="24"/>
          <w:szCs w:val="24"/>
          <w:lang w:val="en-US"/>
        </w:rPr>
        <w:t xml:space="preserve">in </w:t>
      </w:r>
      <w:r w:rsidR="00F1130D" w:rsidRPr="00F36708">
        <w:rPr>
          <w:rFonts w:ascii="Arial" w:hAnsi="Arial" w:cs="Arial"/>
          <w:sz w:val="24"/>
          <w:szCs w:val="24"/>
          <w:lang w:val="en-US"/>
        </w:rPr>
        <w:t xml:space="preserve">the </w:t>
      </w:r>
      <w:r w:rsidR="001B6BF9">
        <w:rPr>
          <w:rFonts w:ascii="Arial" w:hAnsi="Arial" w:cs="Arial"/>
          <w:sz w:val="24"/>
          <w:szCs w:val="24"/>
          <w:lang w:val="en-US"/>
        </w:rPr>
        <w:t xml:space="preserve">application, showing </w:t>
      </w:r>
      <w:r w:rsidR="003E3C26">
        <w:rPr>
          <w:rFonts w:ascii="Arial" w:hAnsi="Arial" w:cs="Arial"/>
          <w:sz w:val="24"/>
          <w:szCs w:val="24"/>
          <w:lang w:val="en-US"/>
        </w:rPr>
        <w:t>that</w:t>
      </w:r>
      <w:r w:rsidR="001B6BF9">
        <w:rPr>
          <w:rFonts w:ascii="Arial" w:hAnsi="Arial" w:cs="Arial"/>
          <w:sz w:val="24"/>
          <w:szCs w:val="24"/>
          <w:lang w:val="en-US"/>
        </w:rPr>
        <w:t xml:space="preserve"> the </w:t>
      </w:r>
      <w:r w:rsidR="00F1130D" w:rsidRPr="00F36708">
        <w:rPr>
          <w:rFonts w:ascii="Arial" w:hAnsi="Arial" w:cs="Arial"/>
          <w:sz w:val="24"/>
          <w:szCs w:val="24"/>
          <w:lang w:val="en-US"/>
        </w:rPr>
        <w:t xml:space="preserve">City is by no means </w:t>
      </w:r>
      <w:r w:rsidR="00F1130D" w:rsidRPr="00F36708">
        <w:rPr>
          <w:rFonts w:ascii="Arial" w:hAnsi="Arial" w:cs="Arial"/>
          <w:i/>
          <w:sz w:val="24"/>
          <w:szCs w:val="24"/>
          <w:lang w:val="en-US"/>
        </w:rPr>
        <w:t xml:space="preserve">mala fide </w:t>
      </w:r>
      <w:r w:rsidR="00F1130D" w:rsidRPr="00F36708">
        <w:rPr>
          <w:rFonts w:ascii="Arial" w:hAnsi="Arial" w:cs="Arial"/>
          <w:sz w:val="24"/>
          <w:szCs w:val="24"/>
          <w:lang w:val="en-US"/>
        </w:rPr>
        <w:t>in</w:t>
      </w:r>
      <w:r w:rsidR="001B6BF9">
        <w:rPr>
          <w:rFonts w:ascii="Arial" w:hAnsi="Arial" w:cs="Arial"/>
          <w:sz w:val="24"/>
          <w:szCs w:val="24"/>
          <w:lang w:val="en-US"/>
        </w:rPr>
        <w:t xml:space="preserve"> seeking condonation</w:t>
      </w:r>
      <w:r w:rsidR="00F1130D" w:rsidRPr="00F36708">
        <w:rPr>
          <w:rFonts w:ascii="Arial" w:hAnsi="Arial" w:cs="Arial"/>
          <w:sz w:val="24"/>
          <w:szCs w:val="24"/>
          <w:lang w:val="en-US"/>
        </w:rPr>
        <w:t>.</w:t>
      </w:r>
    </w:p>
    <w:p w:rsidR="00F1130D" w:rsidRPr="00F36708" w:rsidRDefault="00F1130D" w:rsidP="00F1130D">
      <w:pPr>
        <w:spacing w:line="480" w:lineRule="auto"/>
        <w:jc w:val="both"/>
        <w:rPr>
          <w:rFonts w:ascii="Arial" w:hAnsi="Arial" w:cs="Arial"/>
          <w:sz w:val="24"/>
          <w:szCs w:val="24"/>
          <w:lang w:val="en-US"/>
        </w:rPr>
      </w:pPr>
    </w:p>
    <w:p w:rsidR="00F1130D" w:rsidRDefault="00CB7701" w:rsidP="00F1130D">
      <w:pPr>
        <w:spacing w:line="480" w:lineRule="auto"/>
        <w:jc w:val="both"/>
        <w:rPr>
          <w:rFonts w:ascii="Arial" w:hAnsi="Arial" w:cs="Arial"/>
          <w:sz w:val="24"/>
          <w:szCs w:val="24"/>
          <w:lang w:val="en-US"/>
        </w:rPr>
      </w:pPr>
      <w:r>
        <w:rPr>
          <w:rFonts w:ascii="Arial" w:hAnsi="Arial" w:cs="Arial"/>
          <w:sz w:val="24"/>
          <w:szCs w:val="24"/>
          <w:lang w:val="en-US"/>
        </w:rPr>
        <w:t>[1</w:t>
      </w:r>
      <w:r w:rsidR="00C1197E">
        <w:rPr>
          <w:rFonts w:ascii="Arial" w:hAnsi="Arial" w:cs="Arial"/>
          <w:sz w:val="24"/>
          <w:szCs w:val="24"/>
          <w:lang w:val="en-US"/>
        </w:rPr>
        <w:t>6</w:t>
      </w:r>
      <w:r>
        <w:rPr>
          <w:rFonts w:ascii="Arial" w:hAnsi="Arial" w:cs="Arial"/>
          <w:sz w:val="24"/>
          <w:szCs w:val="24"/>
          <w:lang w:val="en-US"/>
        </w:rPr>
        <w:t>]</w:t>
      </w:r>
      <w:r>
        <w:rPr>
          <w:rFonts w:ascii="Arial" w:hAnsi="Arial" w:cs="Arial"/>
          <w:sz w:val="24"/>
          <w:szCs w:val="24"/>
          <w:lang w:val="en-US"/>
        </w:rPr>
        <w:tab/>
      </w:r>
      <w:r w:rsidR="00F1130D" w:rsidRPr="00F36708">
        <w:rPr>
          <w:rFonts w:ascii="Arial" w:hAnsi="Arial" w:cs="Arial"/>
          <w:sz w:val="24"/>
          <w:szCs w:val="24"/>
          <w:lang w:val="en-US"/>
        </w:rPr>
        <w:t xml:space="preserve">The further submissions </w:t>
      </w:r>
      <w:r w:rsidR="00C1197E">
        <w:rPr>
          <w:rFonts w:ascii="Arial" w:hAnsi="Arial" w:cs="Arial"/>
          <w:sz w:val="24"/>
          <w:szCs w:val="24"/>
          <w:lang w:val="en-US"/>
        </w:rPr>
        <w:t xml:space="preserve">by the plaintiff </w:t>
      </w:r>
      <w:r w:rsidR="00F1130D" w:rsidRPr="00F36708">
        <w:rPr>
          <w:rFonts w:ascii="Arial" w:hAnsi="Arial" w:cs="Arial"/>
          <w:sz w:val="24"/>
          <w:szCs w:val="24"/>
          <w:lang w:val="en-US"/>
        </w:rPr>
        <w:t>are that</w:t>
      </w:r>
      <w:r w:rsidR="00F1130D">
        <w:rPr>
          <w:rFonts w:ascii="Arial" w:hAnsi="Arial" w:cs="Arial"/>
          <w:sz w:val="24"/>
          <w:szCs w:val="24"/>
          <w:lang w:val="en-US"/>
        </w:rPr>
        <w:t xml:space="preserve"> </w:t>
      </w:r>
      <w:r w:rsidR="00F1130D" w:rsidRPr="00F36708">
        <w:rPr>
          <w:rFonts w:ascii="Arial" w:hAnsi="Arial" w:cs="Arial"/>
          <w:sz w:val="24"/>
          <w:szCs w:val="24"/>
          <w:lang w:val="en-US"/>
        </w:rPr>
        <w:t xml:space="preserve">the </w:t>
      </w:r>
      <w:r w:rsidR="001B6BF9">
        <w:rPr>
          <w:rFonts w:ascii="Arial" w:hAnsi="Arial" w:cs="Arial"/>
          <w:sz w:val="24"/>
          <w:szCs w:val="24"/>
          <w:lang w:val="en-US"/>
        </w:rPr>
        <w:t>C</w:t>
      </w:r>
      <w:r w:rsidR="00F1130D" w:rsidRPr="00F36708">
        <w:rPr>
          <w:rFonts w:ascii="Arial" w:hAnsi="Arial" w:cs="Arial"/>
          <w:sz w:val="24"/>
          <w:szCs w:val="24"/>
          <w:lang w:val="en-US"/>
        </w:rPr>
        <w:t xml:space="preserve">ourt </w:t>
      </w:r>
      <w:r w:rsidR="001B6BF9">
        <w:rPr>
          <w:rFonts w:ascii="Arial" w:hAnsi="Arial" w:cs="Arial"/>
          <w:sz w:val="24"/>
          <w:szCs w:val="24"/>
          <w:lang w:val="en-US"/>
        </w:rPr>
        <w:t>sh</w:t>
      </w:r>
      <w:r w:rsidR="00F1130D" w:rsidRPr="00F36708">
        <w:rPr>
          <w:rFonts w:ascii="Arial" w:hAnsi="Arial" w:cs="Arial"/>
          <w:sz w:val="24"/>
          <w:szCs w:val="24"/>
          <w:lang w:val="en-US"/>
        </w:rPr>
        <w:t>ould be mindful that</w:t>
      </w:r>
      <w:r w:rsidR="00F1130D">
        <w:rPr>
          <w:rFonts w:ascii="Arial" w:hAnsi="Arial" w:cs="Arial"/>
          <w:sz w:val="24"/>
          <w:szCs w:val="24"/>
          <w:lang w:val="en-US"/>
        </w:rPr>
        <w:t xml:space="preserve"> t</w:t>
      </w:r>
      <w:r w:rsidR="00F1130D" w:rsidRPr="00F36708">
        <w:rPr>
          <w:rFonts w:ascii="Arial" w:hAnsi="Arial" w:cs="Arial"/>
          <w:sz w:val="24"/>
          <w:szCs w:val="24"/>
          <w:lang w:val="en-US"/>
        </w:rPr>
        <w:t xml:space="preserve">he order </w:t>
      </w:r>
      <w:r w:rsidR="001B6BF9">
        <w:rPr>
          <w:rFonts w:ascii="Arial" w:hAnsi="Arial" w:cs="Arial"/>
          <w:sz w:val="24"/>
          <w:szCs w:val="24"/>
          <w:lang w:val="en-US"/>
        </w:rPr>
        <w:t xml:space="preserve">relates to a </w:t>
      </w:r>
      <w:r w:rsidR="00F1130D" w:rsidRPr="00F36708">
        <w:rPr>
          <w:rFonts w:ascii="Arial" w:hAnsi="Arial" w:cs="Arial"/>
          <w:sz w:val="24"/>
          <w:szCs w:val="24"/>
          <w:lang w:val="en-US"/>
        </w:rPr>
        <w:t xml:space="preserve">procedural </w:t>
      </w:r>
      <w:r w:rsidR="001B6BF9">
        <w:rPr>
          <w:rFonts w:ascii="Arial" w:hAnsi="Arial" w:cs="Arial"/>
          <w:sz w:val="24"/>
          <w:szCs w:val="24"/>
          <w:lang w:val="en-US"/>
        </w:rPr>
        <w:t>step</w:t>
      </w:r>
      <w:r w:rsidR="00924C1A">
        <w:rPr>
          <w:rFonts w:ascii="Arial" w:hAnsi="Arial" w:cs="Arial"/>
          <w:sz w:val="24"/>
          <w:szCs w:val="24"/>
          <w:lang w:val="en-US"/>
        </w:rPr>
        <w:t xml:space="preserve"> or requirement</w:t>
      </w:r>
      <w:r w:rsidR="001B6BF9">
        <w:rPr>
          <w:rFonts w:ascii="Arial" w:hAnsi="Arial" w:cs="Arial"/>
          <w:sz w:val="24"/>
          <w:szCs w:val="24"/>
          <w:lang w:val="en-US"/>
        </w:rPr>
        <w:t>, and it not a substantive order. In support of its case, t</w:t>
      </w:r>
      <w:r w:rsidR="00F1130D" w:rsidRPr="00F36708">
        <w:rPr>
          <w:rFonts w:ascii="Arial" w:hAnsi="Arial" w:cs="Arial"/>
          <w:sz w:val="24"/>
          <w:szCs w:val="24"/>
          <w:lang w:val="en-US"/>
        </w:rPr>
        <w:t xml:space="preserve">he plaintiff relies on </w:t>
      </w:r>
      <w:r w:rsidR="00F1130D" w:rsidRPr="00924C1A">
        <w:rPr>
          <w:rFonts w:ascii="Arial" w:hAnsi="Arial" w:cs="Arial"/>
          <w:b/>
          <w:sz w:val="24"/>
          <w:szCs w:val="24"/>
          <w:u w:val="single"/>
          <w:lang w:val="en-US"/>
        </w:rPr>
        <w:t>Finch v Finch</w:t>
      </w:r>
      <w:r w:rsidR="00C640B4">
        <w:rPr>
          <w:rStyle w:val="FootnoteReference"/>
          <w:rFonts w:ascii="Arial" w:hAnsi="Arial" w:cs="Arial"/>
          <w:b/>
          <w:sz w:val="24"/>
          <w:szCs w:val="24"/>
          <w:lang w:val="en-US"/>
        </w:rPr>
        <w:footnoteReference w:id="4"/>
      </w:r>
      <w:r w:rsidR="00F1130D" w:rsidRPr="00F36708">
        <w:rPr>
          <w:rFonts w:ascii="Arial" w:hAnsi="Arial" w:cs="Arial"/>
          <w:b/>
          <w:sz w:val="24"/>
          <w:szCs w:val="24"/>
          <w:lang w:val="en-US"/>
        </w:rPr>
        <w:t xml:space="preserve"> </w:t>
      </w:r>
      <w:r w:rsidR="00F1130D" w:rsidRPr="00F36708">
        <w:rPr>
          <w:rFonts w:ascii="Arial" w:hAnsi="Arial" w:cs="Arial"/>
          <w:sz w:val="24"/>
          <w:szCs w:val="24"/>
          <w:lang w:val="en-US"/>
        </w:rPr>
        <w:t xml:space="preserve"> where the question arose whether a plaintiff’s failure to have a </w:t>
      </w:r>
      <w:r w:rsidR="00F1130D" w:rsidRPr="00F36708">
        <w:rPr>
          <w:rFonts w:ascii="Arial" w:hAnsi="Arial" w:cs="Arial"/>
          <w:i/>
          <w:sz w:val="24"/>
          <w:szCs w:val="24"/>
          <w:lang w:val="en-US"/>
        </w:rPr>
        <w:t xml:space="preserve">rule nisi </w:t>
      </w:r>
      <w:r w:rsidR="00F1130D" w:rsidRPr="00F36708">
        <w:rPr>
          <w:rFonts w:ascii="Arial" w:hAnsi="Arial" w:cs="Arial"/>
          <w:sz w:val="24"/>
          <w:szCs w:val="24"/>
          <w:lang w:val="en-US"/>
        </w:rPr>
        <w:t>endorsed in terms of section 25(2)</w:t>
      </w:r>
      <w:r w:rsidR="00924C1A">
        <w:rPr>
          <w:rFonts w:ascii="Arial" w:hAnsi="Arial" w:cs="Arial"/>
          <w:sz w:val="24"/>
          <w:szCs w:val="24"/>
          <w:lang w:val="en-US"/>
        </w:rPr>
        <w:t xml:space="preserve"> </w:t>
      </w:r>
      <w:r w:rsidR="00F1130D" w:rsidRPr="00F36708">
        <w:rPr>
          <w:rFonts w:ascii="Arial" w:hAnsi="Arial" w:cs="Arial"/>
          <w:sz w:val="24"/>
          <w:szCs w:val="24"/>
          <w:lang w:val="en-US"/>
        </w:rPr>
        <w:t>(a) of the now repealed Supreme Court Act</w:t>
      </w:r>
      <w:r w:rsidR="00924C1A">
        <w:rPr>
          <w:rStyle w:val="FootnoteReference"/>
          <w:rFonts w:ascii="Arial" w:hAnsi="Arial" w:cs="Arial"/>
          <w:sz w:val="24"/>
          <w:szCs w:val="24"/>
          <w:lang w:val="en-US"/>
        </w:rPr>
        <w:footnoteReference w:id="5"/>
      </w:r>
      <w:r w:rsidR="00F1130D" w:rsidRPr="00F36708">
        <w:rPr>
          <w:rFonts w:ascii="Arial" w:hAnsi="Arial" w:cs="Arial"/>
          <w:sz w:val="24"/>
          <w:szCs w:val="24"/>
          <w:lang w:val="en-US"/>
        </w:rPr>
        <w:t xml:space="preserve">, was capable of condonation </w:t>
      </w:r>
      <w:r w:rsidR="001B6BF9">
        <w:rPr>
          <w:rFonts w:ascii="Arial" w:hAnsi="Arial" w:cs="Arial"/>
          <w:sz w:val="24"/>
          <w:szCs w:val="24"/>
          <w:lang w:val="en-US"/>
        </w:rPr>
        <w:t>b</w:t>
      </w:r>
      <w:r w:rsidR="00F1130D" w:rsidRPr="00F36708">
        <w:rPr>
          <w:rFonts w:ascii="Arial" w:hAnsi="Arial" w:cs="Arial"/>
          <w:sz w:val="24"/>
          <w:szCs w:val="24"/>
          <w:lang w:val="en-US"/>
        </w:rPr>
        <w:t xml:space="preserve">y the </w:t>
      </w:r>
      <w:r w:rsidR="001B6BF9">
        <w:rPr>
          <w:rFonts w:ascii="Arial" w:hAnsi="Arial" w:cs="Arial"/>
          <w:sz w:val="24"/>
          <w:szCs w:val="24"/>
          <w:lang w:val="en-US"/>
        </w:rPr>
        <w:t>C</w:t>
      </w:r>
      <w:r w:rsidR="00F1130D" w:rsidRPr="00F36708">
        <w:rPr>
          <w:rFonts w:ascii="Arial" w:hAnsi="Arial" w:cs="Arial"/>
          <w:sz w:val="24"/>
          <w:szCs w:val="24"/>
          <w:lang w:val="en-US"/>
        </w:rPr>
        <w:t xml:space="preserve">ourt. The </w:t>
      </w:r>
      <w:r w:rsidR="00924C1A">
        <w:rPr>
          <w:rFonts w:ascii="Arial" w:hAnsi="Arial" w:cs="Arial"/>
          <w:sz w:val="24"/>
          <w:szCs w:val="24"/>
          <w:lang w:val="en-US"/>
        </w:rPr>
        <w:t xml:space="preserve">High </w:t>
      </w:r>
      <w:r w:rsidR="001B6BF9">
        <w:rPr>
          <w:rFonts w:ascii="Arial" w:hAnsi="Arial" w:cs="Arial"/>
          <w:sz w:val="24"/>
          <w:szCs w:val="24"/>
          <w:lang w:val="en-US"/>
        </w:rPr>
        <w:t>C</w:t>
      </w:r>
      <w:r w:rsidR="00F1130D" w:rsidRPr="00F36708">
        <w:rPr>
          <w:rFonts w:ascii="Arial" w:hAnsi="Arial" w:cs="Arial"/>
          <w:sz w:val="24"/>
          <w:szCs w:val="24"/>
          <w:lang w:val="en-US"/>
        </w:rPr>
        <w:t xml:space="preserve">ourt condoned the non-compliance, holding that there must be a </w:t>
      </w:r>
      <w:r w:rsidR="001B6BF9" w:rsidRPr="00924C1A">
        <w:rPr>
          <w:rFonts w:ascii="Arial" w:hAnsi="Arial" w:cs="Arial"/>
          <w:i/>
          <w:sz w:val="24"/>
          <w:szCs w:val="24"/>
          <w:lang w:val="en-US"/>
        </w:rPr>
        <w:t>“</w:t>
      </w:r>
      <w:r w:rsidR="00F1130D" w:rsidRPr="00924C1A">
        <w:rPr>
          <w:rFonts w:ascii="Arial" w:hAnsi="Arial" w:cs="Arial"/>
          <w:i/>
          <w:sz w:val="24"/>
          <w:szCs w:val="24"/>
          <w:lang w:val="en-US"/>
        </w:rPr>
        <w:t>g</w:t>
      </w:r>
      <w:r w:rsidR="001B6BF9" w:rsidRPr="00924C1A">
        <w:rPr>
          <w:rFonts w:ascii="Arial" w:hAnsi="Arial" w:cs="Arial"/>
          <w:i/>
          <w:sz w:val="24"/>
          <w:szCs w:val="24"/>
          <w:lang w:val="en-US"/>
        </w:rPr>
        <w:t>ood and sufficient foundation”</w:t>
      </w:r>
      <w:r w:rsidR="001B6BF9">
        <w:rPr>
          <w:rStyle w:val="FootnoteReference"/>
          <w:rFonts w:ascii="Arial" w:hAnsi="Arial" w:cs="Arial"/>
          <w:sz w:val="24"/>
          <w:szCs w:val="24"/>
          <w:lang w:val="en-US"/>
        </w:rPr>
        <w:footnoteReference w:id="6"/>
      </w:r>
      <w:r w:rsidR="00F1130D" w:rsidRPr="00F36708">
        <w:rPr>
          <w:rFonts w:ascii="Arial" w:hAnsi="Arial" w:cs="Arial"/>
          <w:sz w:val="24"/>
          <w:szCs w:val="24"/>
          <w:lang w:val="en-US"/>
        </w:rPr>
        <w:t xml:space="preserve"> for the exercise of its discretion to condone non-compliance with s25 (</w:t>
      </w:r>
      <w:r w:rsidR="00C1197E">
        <w:rPr>
          <w:rFonts w:ascii="Arial" w:hAnsi="Arial" w:cs="Arial"/>
          <w:sz w:val="24"/>
          <w:szCs w:val="24"/>
          <w:lang w:val="en-US"/>
        </w:rPr>
        <w:t>2</w:t>
      </w:r>
      <w:r w:rsidR="00F1130D" w:rsidRPr="00F36708">
        <w:rPr>
          <w:rFonts w:ascii="Arial" w:hAnsi="Arial" w:cs="Arial"/>
          <w:sz w:val="24"/>
          <w:szCs w:val="24"/>
          <w:lang w:val="en-US"/>
        </w:rPr>
        <w:t>). The further submission is that the materiality of the breach is relevant.</w:t>
      </w:r>
    </w:p>
    <w:p w:rsidR="00C1197E" w:rsidRPr="00F36708" w:rsidRDefault="00C1197E" w:rsidP="00F1130D">
      <w:pPr>
        <w:spacing w:line="480" w:lineRule="auto"/>
        <w:jc w:val="both"/>
        <w:rPr>
          <w:rFonts w:ascii="Arial" w:hAnsi="Arial" w:cs="Arial"/>
          <w:sz w:val="24"/>
          <w:szCs w:val="24"/>
          <w:lang w:val="en-US"/>
        </w:rPr>
      </w:pPr>
    </w:p>
    <w:p w:rsidR="00F1130D" w:rsidRDefault="00CB7701" w:rsidP="00F1130D">
      <w:pPr>
        <w:spacing w:line="480" w:lineRule="auto"/>
        <w:jc w:val="both"/>
        <w:rPr>
          <w:rFonts w:ascii="Arial" w:hAnsi="Arial" w:cs="Arial"/>
          <w:sz w:val="24"/>
          <w:szCs w:val="24"/>
          <w:lang w:val="en-US"/>
        </w:rPr>
      </w:pPr>
      <w:r>
        <w:rPr>
          <w:rFonts w:ascii="Arial" w:hAnsi="Arial" w:cs="Arial"/>
          <w:sz w:val="24"/>
          <w:szCs w:val="24"/>
          <w:lang w:val="en-US"/>
        </w:rPr>
        <w:t>[1</w:t>
      </w:r>
      <w:r w:rsidR="00C1197E">
        <w:rPr>
          <w:rFonts w:ascii="Arial" w:hAnsi="Arial" w:cs="Arial"/>
          <w:sz w:val="24"/>
          <w:szCs w:val="24"/>
          <w:lang w:val="en-US"/>
        </w:rPr>
        <w:t>7</w:t>
      </w:r>
      <w:r>
        <w:rPr>
          <w:rFonts w:ascii="Arial" w:hAnsi="Arial" w:cs="Arial"/>
          <w:sz w:val="24"/>
          <w:szCs w:val="24"/>
          <w:lang w:val="en-US"/>
        </w:rPr>
        <w:t>]</w:t>
      </w:r>
      <w:r>
        <w:rPr>
          <w:rFonts w:ascii="Arial" w:hAnsi="Arial" w:cs="Arial"/>
          <w:sz w:val="24"/>
          <w:szCs w:val="24"/>
          <w:lang w:val="en-US"/>
        </w:rPr>
        <w:tab/>
      </w:r>
      <w:r w:rsidR="00F1130D" w:rsidRPr="00F36708">
        <w:rPr>
          <w:rFonts w:ascii="Arial" w:hAnsi="Arial" w:cs="Arial"/>
          <w:sz w:val="24"/>
          <w:szCs w:val="24"/>
          <w:lang w:val="en-US"/>
        </w:rPr>
        <w:t xml:space="preserve">As to the Defendant’s view that the </w:t>
      </w:r>
      <w:r w:rsidR="00F1130D" w:rsidRPr="00F20E68">
        <w:rPr>
          <w:rFonts w:ascii="Arial" w:hAnsi="Arial" w:cs="Arial"/>
          <w:sz w:val="24"/>
          <w:szCs w:val="24"/>
          <w:lang w:val="en-US"/>
        </w:rPr>
        <w:t>Plascon-Evans</w:t>
      </w:r>
      <w:r w:rsidR="00F1130D" w:rsidRPr="00F36708">
        <w:rPr>
          <w:rFonts w:ascii="Arial" w:hAnsi="Arial" w:cs="Arial"/>
          <w:b/>
          <w:sz w:val="24"/>
          <w:szCs w:val="24"/>
          <w:lang w:val="en-US"/>
        </w:rPr>
        <w:t xml:space="preserve"> </w:t>
      </w:r>
      <w:r w:rsidR="00F1130D" w:rsidRPr="00F36708">
        <w:rPr>
          <w:rFonts w:ascii="Arial" w:hAnsi="Arial" w:cs="Arial"/>
          <w:sz w:val="24"/>
          <w:szCs w:val="24"/>
          <w:lang w:val="en-US"/>
        </w:rPr>
        <w:t xml:space="preserve">rule applies, the plaintiff’s submission is that because </w:t>
      </w:r>
      <w:r w:rsidR="00C1197E">
        <w:rPr>
          <w:rFonts w:ascii="Arial" w:hAnsi="Arial" w:cs="Arial"/>
          <w:sz w:val="24"/>
          <w:szCs w:val="24"/>
          <w:lang w:val="en-US"/>
        </w:rPr>
        <w:t>th</w:t>
      </w:r>
      <w:r w:rsidR="00924C1A">
        <w:rPr>
          <w:rFonts w:ascii="Arial" w:hAnsi="Arial" w:cs="Arial"/>
          <w:sz w:val="24"/>
          <w:szCs w:val="24"/>
          <w:lang w:val="en-US"/>
        </w:rPr>
        <w:t xml:space="preserve">e condonation application </w:t>
      </w:r>
      <w:r w:rsidR="00F1130D" w:rsidRPr="00F36708">
        <w:rPr>
          <w:rFonts w:ascii="Arial" w:hAnsi="Arial" w:cs="Arial"/>
          <w:sz w:val="24"/>
          <w:szCs w:val="24"/>
          <w:lang w:val="en-US"/>
        </w:rPr>
        <w:t>is interlocutory</w:t>
      </w:r>
      <w:r w:rsidR="003E3C26">
        <w:rPr>
          <w:rFonts w:ascii="Arial" w:hAnsi="Arial" w:cs="Arial"/>
          <w:sz w:val="24"/>
          <w:szCs w:val="24"/>
          <w:lang w:val="en-US"/>
        </w:rPr>
        <w:t>,</w:t>
      </w:r>
      <w:r w:rsidR="00F1130D" w:rsidRPr="00F36708">
        <w:rPr>
          <w:rFonts w:ascii="Arial" w:hAnsi="Arial" w:cs="Arial"/>
          <w:sz w:val="24"/>
          <w:szCs w:val="24"/>
          <w:lang w:val="en-US"/>
        </w:rPr>
        <w:t xml:space="preserve"> the </w:t>
      </w:r>
      <w:r w:rsidR="003E3C26">
        <w:rPr>
          <w:rFonts w:ascii="Arial" w:hAnsi="Arial" w:cs="Arial"/>
          <w:sz w:val="24"/>
          <w:szCs w:val="24"/>
          <w:lang w:val="en-US"/>
        </w:rPr>
        <w:t xml:space="preserve">reliance on the aforesaid principle </w:t>
      </w:r>
      <w:r w:rsidR="00F1130D" w:rsidRPr="00F36708">
        <w:rPr>
          <w:rFonts w:ascii="Arial" w:hAnsi="Arial" w:cs="Arial"/>
          <w:sz w:val="24"/>
          <w:szCs w:val="24"/>
          <w:lang w:val="en-US"/>
        </w:rPr>
        <w:t xml:space="preserve">is incorrect. Similarly, there can be </w:t>
      </w:r>
      <w:r w:rsidR="003E3C26">
        <w:rPr>
          <w:rFonts w:ascii="Arial" w:hAnsi="Arial" w:cs="Arial"/>
          <w:sz w:val="24"/>
          <w:szCs w:val="24"/>
          <w:lang w:val="en-US"/>
        </w:rPr>
        <w:t>no</w:t>
      </w:r>
      <w:r w:rsidR="00F1130D" w:rsidRPr="00F36708">
        <w:rPr>
          <w:rFonts w:ascii="Arial" w:hAnsi="Arial" w:cs="Arial"/>
          <w:sz w:val="24"/>
          <w:szCs w:val="24"/>
          <w:lang w:val="en-US"/>
        </w:rPr>
        <w:t xml:space="preserve"> request to refer the issues to oral evidence. The plaintiff reli</w:t>
      </w:r>
      <w:r w:rsidR="003E3C26">
        <w:rPr>
          <w:rFonts w:ascii="Arial" w:hAnsi="Arial" w:cs="Arial"/>
          <w:sz w:val="24"/>
          <w:szCs w:val="24"/>
          <w:lang w:val="en-US"/>
        </w:rPr>
        <w:t>e</w:t>
      </w:r>
      <w:r w:rsidR="00F1130D" w:rsidRPr="00F36708">
        <w:rPr>
          <w:rFonts w:ascii="Arial" w:hAnsi="Arial" w:cs="Arial"/>
          <w:sz w:val="24"/>
          <w:szCs w:val="24"/>
          <w:lang w:val="en-US"/>
        </w:rPr>
        <w:t xml:space="preserve">s on </w:t>
      </w:r>
      <w:r w:rsidR="00F1130D" w:rsidRPr="00924C1A">
        <w:rPr>
          <w:rFonts w:ascii="Arial" w:hAnsi="Arial" w:cs="Arial"/>
          <w:b/>
          <w:sz w:val="24"/>
          <w:szCs w:val="24"/>
          <w:u w:val="single"/>
          <w:lang w:val="en-US"/>
        </w:rPr>
        <w:t>Wilson v Die Afrikaanse Pers Publikasies (Edms) Bpk</w:t>
      </w:r>
      <w:r w:rsidR="00C640B4">
        <w:rPr>
          <w:rStyle w:val="FootnoteReference"/>
          <w:rFonts w:ascii="Arial" w:hAnsi="Arial" w:cs="Arial"/>
          <w:b/>
          <w:sz w:val="24"/>
          <w:szCs w:val="24"/>
          <w:lang w:val="en-US"/>
        </w:rPr>
        <w:footnoteReference w:id="7"/>
      </w:r>
      <w:r w:rsidR="00F1130D" w:rsidRPr="00F36708">
        <w:rPr>
          <w:rFonts w:ascii="Arial" w:hAnsi="Arial" w:cs="Arial"/>
          <w:b/>
          <w:sz w:val="24"/>
          <w:szCs w:val="24"/>
          <w:lang w:val="en-US"/>
        </w:rPr>
        <w:t xml:space="preserve"> </w:t>
      </w:r>
      <w:r w:rsidR="00F1130D" w:rsidRPr="00F36708">
        <w:rPr>
          <w:rFonts w:ascii="Arial" w:hAnsi="Arial" w:cs="Arial"/>
          <w:sz w:val="24"/>
          <w:szCs w:val="24"/>
          <w:lang w:val="en-US"/>
        </w:rPr>
        <w:t xml:space="preserve"> and on </w:t>
      </w:r>
      <w:r w:rsidR="00F1130D" w:rsidRPr="00924C1A">
        <w:rPr>
          <w:rFonts w:ascii="Arial" w:hAnsi="Arial" w:cs="Arial"/>
          <w:b/>
          <w:sz w:val="24"/>
          <w:szCs w:val="24"/>
          <w:u w:val="single"/>
          <w:lang w:val="en-US"/>
        </w:rPr>
        <w:t xml:space="preserve">Paribas Asia Ltd and </w:t>
      </w:r>
      <w:r w:rsidR="00C1197E" w:rsidRPr="00924C1A">
        <w:rPr>
          <w:rFonts w:ascii="Arial" w:hAnsi="Arial" w:cs="Arial"/>
          <w:b/>
          <w:sz w:val="24"/>
          <w:szCs w:val="24"/>
          <w:u w:val="single"/>
          <w:lang w:val="en-US"/>
        </w:rPr>
        <w:t>O</w:t>
      </w:r>
      <w:r w:rsidR="00F1130D" w:rsidRPr="00924C1A">
        <w:rPr>
          <w:rFonts w:ascii="Arial" w:hAnsi="Arial" w:cs="Arial"/>
          <w:b/>
          <w:sz w:val="24"/>
          <w:szCs w:val="24"/>
          <w:u w:val="single"/>
          <w:lang w:val="en-US"/>
        </w:rPr>
        <w:t>thers v Liang and Others</w:t>
      </w:r>
      <w:r w:rsidR="005003DC">
        <w:rPr>
          <w:rStyle w:val="FootnoteReference"/>
          <w:rFonts w:ascii="Arial" w:hAnsi="Arial" w:cs="Arial"/>
          <w:b/>
          <w:sz w:val="24"/>
          <w:szCs w:val="24"/>
          <w:lang w:val="en-US"/>
        </w:rPr>
        <w:footnoteReference w:id="8"/>
      </w:r>
      <w:r w:rsidR="00F1130D" w:rsidRPr="00F36708">
        <w:rPr>
          <w:rFonts w:ascii="Arial" w:hAnsi="Arial" w:cs="Arial"/>
          <w:b/>
          <w:sz w:val="24"/>
          <w:szCs w:val="24"/>
          <w:lang w:val="en-US"/>
        </w:rPr>
        <w:t xml:space="preserve"> </w:t>
      </w:r>
      <w:r w:rsidR="00F1130D" w:rsidRPr="00F36708">
        <w:rPr>
          <w:rFonts w:ascii="Arial" w:hAnsi="Arial" w:cs="Arial"/>
          <w:sz w:val="24"/>
          <w:szCs w:val="24"/>
          <w:lang w:val="en-US"/>
        </w:rPr>
        <w:t xml:space="preserve"> as authority for holding that striking out</w:t>
      </w:r>
      <w:r w:rsidR="003E3C26">
        <w:rPr>
          <w:rFonts w:ascii="Arial" w:hAnsi="Arial" w:cs="Arial"/>
          <w:sz w:val="24"/>
          <w:szCs w:val="24"/>
          <w:lang w:val="en-US"/>
        </w:rPr>
        <w:t xml:space="preserve"> a claim or defense is</w:t>
      </w:r>
      <w:r w:rsidR="00F1130D" w:rsidRPr="00F36708">
        <w:rPr>
          <w:rFonts w:ascii="Arial" w:hAnsi="Arial" w:cs="Arial"/>
          <w:sz w:val="24"/>
          <w:szCs w:val="24"/>
          <w:lang w:val="en-US"/>
        </w:rPr>
        <w:t xml:space="preserve"> a drastic step, </w:t>
      </w:r>
      <w:r w:rsidR="003E3C26">
        <w:rPr>
          <w:rFonts w:ascii="Arial" w:hAnsi="Arial" w:cs="Arial"/>
          <w:sz w:val="24"/>
          <w:szCs w:val="24"/>
          <w:lang w:val="en-US"/>
        </w:rPr>
        <w:t xml:space="preserve">and </w:t>
      </w:r>
      <w:r w:rsidR="00F1130D" w:rsidRPr="00F36708">
        <w:rPr>
          <w:rFonts w:ascii="Arial" w:hAnsi="Arial" w:cs="Arial"/>
          <w:sz w:val="24"/>
          <w:szCs w:val="24"/>
          <w:lang w:val="en-US"/>
        </w:rPr>
        <w:t xml:space="preserve">should only be </w:t>
      </w:r>
      <w:r w:rsidR="00C1197E">
        <w:rPr>
          <w:rFonts w:ascii="Arial" w:hAnsi="Arial" w:cs="Arial"/>
          <w:sz w:val="24"/>
          <w:szCs w:val="24"/>
          <w:lang w:val="en-US"/>
        </w:rPr>
        <w:t xml:space="preserve">resorted </w:t>
      </w:r>
      <w:r w:rsidR="003E3C26">
        <w:rPr>
          <w:rFonts w:ascii="Arial" w:hAnsi="Arial" w:cs="Arial"/>
          <w:sz w:val="24"/>
          <w:szCs w:val="24"/>
          <w:lang w:val="en-US"/>
        </w:rPr>
        <w:t xml:space="preserve">to </w:t>
      </w:r>
      <w:r w:rsidR="00924C1A">
        <w:rPr>
          <w:rFonts w:ascii="Arial" w:hAnsi="Arial" w:cs="Arial"/>
          <w:sz w:val="24"/>
          <w:szCs w:val="24"/>
          <w:lang w:val="en-US"/>
        </w:rPr>
        <w:t xml:space="preserve">in </w:t>
      </w:r>
      <w:r w:rsidR="00C1197E">
        <w:rPr>
          <w:rFonts w:ascii="Arial" w:hAnsi="Arial" w:cs="Arial"/>
          <w:sz w:val="24"/>
          <w:szCs w:val="24"/>
          <w:lang w:val="en-US"/>
        </w:rPr>
        <w:t xml:space="preserve">instances </w:t>
      </w:r>
      <w:r w:rsidR="003E3C26">
        <w:rPr>
          <w:rFonts w:ascii="Arial" w:hAnsi="Arial" w:cs="Arial"/>
          <w:sz w:val="24"/>
          <w:szCs w:val="24"/>
          <w:lang w:val="en-US"/>
        </w:rPr>
        <w:t>where there is contumacy by the other party.</w:t>
      </w:r>
      <w:r w:rsidR="00F1130D" w:rsidRPr="00F36708">
        <w:rPr>
          <w:rFonts w:ascii="Arial" w:hAnsi="Arial" w:cs="Arial"/>
          <w:sz w:val="24"/>
          <w:szCs w:val="24"/>
          <w:lang w:val="en-US"/>
        </w:rPr>
        <w:t xml:space="preserve"> </w:t>
      </w:r>
      <w:r w:rsidR="003E3C26">
        <w:rPr>
          <w:rFonts w:ascii="Arial" w:hAnsi="Arial" w:cs="Arial"/>
          <w:sz w:val="24"/>
          <w:szCs w:val="24"/>
          <w:lang w:val="en-US"/>
        </w:rPr>
        <w:t>I</w:t>
      </w:r>
      <w:r w:rsidR="00F1130D" w:rsidRPr="00F36708">
        <w:rPr>
          <w:rFonts w:ascii="Arial" w:hAnsi="Arial" w:cs="Arial"/>
          <w:sz w:val="24"/>
          <w:szCs w:val="24"/>
          <w:lang w:val="en-US"/>
        </w:rPr>
        <w:t xml:space="preserve">t is </w:t>
      </w:r>
      <w:r w:rsidR="003E3C26">
        <w:rPr>
          <w:rFonts w:ascii="Arial" w:hAnsi="Arial" w:cs="Arial"/>
          <w:sz w:val="24"/>
          <w:szCs w:val="24"/>
          <w:lang w:val="en-US"/>
        </w:rPr>
        <w:t xml:space="preserve">thus </w:t>
      </w:r>
      <w:r w:rsidR="00F1130D" w:rsidRPr="00F36708">
        <w:rPr>
          <w:rFonts w:ascii="Arial" w:hAnsi="Arial" w:cs="Arial"/>
          <w:sz w:val="24"/>
          <w:szCs w:val="24"/>
          <w:lang w:val="en-US"/>
        </w:rPr>
        <w:t>argued that there is no basis for stating that the plaintiff</w:t>
      </w:r>
      <w:r w:rsidR="003E3C26">
        <w:rPr>
          <w:rFonts w:ascii="Arial" w:hAnsi="Arial" w:cs="Arial"/>
          <w:sz w:val="24"/>
          <w:szCs w:val="24"/>
          <w:lang w:val="en-US"/>
        </w:rPr>
        <w:t>’s</w:t>
      </w:r>
      <w:r w:rsidR="00F1130D" w:rsidRPr="00F36708">
        <w:rPr>
          <w:rFonts w:ascii="Arial" w:hAnsi="Arial" w:cs="Arial"/>
          <w:sz w:val="24"/>
          <w:szCs w:val="24"/>
          <w:lang w:val="en-US"/>
        </w:rPr>
        <w:t xml:space="preserve"> explanations are false, and that its </w:t>
      </w:r>
      <w:r w:rsidR="003E3C26">
        <w:rPr>
          <w:rFonts w:ascii="Arial" w:hAnsi="Arial" w:cs="Arial"/>
          <w:sz w:val="24"/>
          <w:szCs w:val="24"/>
          <w:lang w:val="en-US"/>
        </w:rPr>
        <w:t>actions</w:t>
      </w:r>
      <w:r w:rsidR="00F1130D" w:rsidRPr="00F36708">
        <w:rPr>
          <w:rFonts w:ascii="Arial" w:hAnsi="Arial" w:cs="Arial"/>
          <w:sz w:val="24"/>
          <w:szCs w:val="24"/>
          <w:lang w:val="en-US"/>
        </w:rPr>
        <w:t xml:space="preserve"> were deliberate. </w:t>
      </w:r>
      <w:r w:rsidR="00924C1A">
        <w:rPr>
          <w:rFonts w:ascii="Arial" w:hAnsi="Arial" w:cs="Arial"/>
          <w:sz w:val="24"/>
          <w:szCs w:val="24"/>
          <w:lang w:val="en-US"/>
        </w:rPr>
        <w:t xml:space="preserve">Thus, the </w:t>
      </w:r>
      <w:r w:rsidR="00F1130D" w:rsidRPr="00F36708">
        <w:rPr>
          <w:rFonts w:ascii="Arial" w:hAnsi="Arial" w:cs="Arial"/>
          <w:sz w:val="24"/>
          <w:szCs w:val="24"/>
          <w:lang w:val="en-US"/>
        </w:rPr>
        <w:t xml:space="preserve">plaintiff seeks condonation in respect of </w:t>
      </w:r>
      <w:r w:rsidR="00C1197E">
        <w:rPr>
          <w:rFonts w:ascii="Arial" w:hAnsi="Arial" w:cs="Arial"/>
          <w:sz w:val="24"/>
          <w:szCs w:val="24"/>
          <w:lang w:val="en-US"/>
        </w:rPr>
        <w:t xml:space="preserve">non-compliance with </w:t>
      </w:r>
      <w:r w:rsidR="00F1130D" w:rsidRPr="00F36708">
        <w:rPr>
          <w:rFonts w:ascii="Arial" w:hAnsi="Arial" w:cs="Arial"/>
          <w:sz w:val="24"/>
          <w:szCs w:val="24"/>
          <w:lang w:val="en-US"/>
        </w:rPr>
        <w:t>the Goliath order, dismiss</w:t>
      </w:r>
      <w:r w:rsidR="003E3C26">
        <w:rPr>
          <w:rFonts w:ascii="Arial" w:hAnsi="Arial" w:cs="Arial"/>
          <w:sz w:val="24"/>
          <w:szCs w:val="24"/>
          <w:lang w:val="en-US"/>
        </w:rPr>
        <w:t>al of</w:t>
      </w:r>
      <w:r w:rsidR="00F1130D" w:rsidRPr="00F36708">
        <w:rPr>
          <w:rFonts w:ascii="Arial" w:hAnsi="Arial" w:cs="Arial"/>
          <w:sz w:val="24"/>
          <w:szCs w:val="24"/>
          <w:lang w:val="en-US"/>
        </w:rPr>
        <w:t xml:space="preserve"> the striking out application and costs as per paragraph 52 of </w:t>
      </w:r>
      <w:r w:rsidR="003E3C26">
        <w:rPr>
          <w:rFonts w:ascii="Arial" w:hAnsi="Arial" w:cs="Arial"/>
          <w:sz w:val="24"/>
          <w:szCs w:val="24"/>
          <w:lang w:val="en-US"/>
        </w:rPr>
        <w:t>its</w:t>
      </w:r>
      <w:r w:rsidR="00F1130D" w:rsidRPr="00F36708">
        <w:rPr>
          <w:rFonts w:ascii="Arial" w:hAnsi="Arial" w:cs="Arial"/>
          <w:sz w:val="24"/>
          <w:szCs w:val="24"/>
          <w:lang w:val="en-US"/>
        </w:rPr>
        <w:t xml:space="preserve"> Heads of Argument.</w:t>
      </w:r>
    </w:p>
    <w:p w:rsidR="003E3C26" w:rsidRPr="00F36708" w:rsidRDefault="003E3C26" w:rsidP="00F1130D">
      <w:pPr>
        <w:spacing w:line="480" w:lineRule="auto"/>
        <w:jc w:val="both"/>
        <w:rPr>
          <w:rFonts w:ascii="Arial" w:hAnsi="Arial" w:cs="Arial"/>
          <w:sz w:val="24"/>
          <w:szCs w:val="24"/>
          <w:lang w:val="en-US"/>
        </w:rPr>
      </w:pPr>
    </w:p>
    <w:p w:rsidR="00F1130D" w:rsidRPr="00F1130D" w:rsidRDefault="003E3C26" w:rsidP="00F1130D">
      <w:pPr>
        <w:spacing w:line="480" w:lineRule="auto"/>
        <w:jc w:val="both"/>
        <w:rPr>
          <w:rFonts w:ascii="Arial" w:hAnsi="Arial" w:cs="Arial"/>
          <w:b/>
          <w:sz w:val="24"/>
          <w:szCs w:val="24"/>
          <w:u w:val="single"/>
        </w:rPr>
      </w:pPr>
      <w:r>
        <w:rPr>
          <w:rFonts w:ascii="Arial" w:hAnsi="Arial" w:cs="Arial"/>
          <w:b/>
          <w:sz w:val="24"/>
          <w:szCs w:val="24"/>
          <w:u w:val="single"/>
        </w:rPr>
        <w:t>The d</w:t>
      </w:r>
      <w:r w:rsidR="00F1130D" w:rsidRPr="00F1130D">
        <w:rPr>
          <w:rFonts w:ascii="Arial" w:hAnsi="Arial" w:cs="Arial"/>
          <w:b/>
          <w:sz w:val="24"/>
          <w:szCs w:val="24"/>
          <w:u w:val="single"/>
        </w:rPr>
        <w:t xml:space="preserve">efendant’s </w:t>
      </w:r>
      <w:r>
        <w:rPr>
          <w:rFonts w:ascii="Arial" w:hAnsi="Arial" w:cs="Arial"/>
          <w:b/>
          <w:sz w:val="24"/>
          <w:szCs w:val="24"/>
          <w:u w:val="single"/>
        </w:rPr>
        <w:t>opposition to the condonation application</w:t>
      </w:r>
    </w:p>
    <w:p w:rsidR="00F1130D" w:rsidRPr="00F1130D" w:rsidRDefault="00CB7701" w:rsidP="00F1130D">
      <w:pPr>
        <w:widowControl w:val="0"/>
        <w:autoSpaceDE w:val="0"/>
        <w:autoSpaceDN w:val="0"/>
        <w:adjustRightInd w:val="0"/>
        <w:spacing w:line="480" w:lineRule="auto"/>
        <w:jc w:val="both"/>
        <w:rPr>
          <w:rFonts w:ascii="Arial" w:hAnsi="Arial" w:cs="Arial"/>
          <w:color w:val="000000"/>
          <w:sz w:val="24"/>
          <w:szCs w:val="24"/>
        </w:rPr>
      </w:pPr>
      <w:r>
        <w:rPr>
          <w:rFonts w:ascii="Arial" w:hAnsi="Arial" w:cs="Arial"/>
          <w:color w:val="000000"/>
          <w:sz w:val="24"/>
          <w:szCs w:val="24"/>
        </w:rPr>
        <w:t>[1</w:t>
      </w:r>
      <w:r w:rsidR="00C1197E">
        <w:rPr>
          <w:rFonts w:ascii="Arial" w:hAnsi="Arial" w:cs="Arial"/>
          <w:color w:val="000000"/>
          <w:sz w:val="24"/>
          <w:szCs w:val="24"/>
        </w:rPr>
        <w:t>8</w:t>
      </w:r>
      <w:r>
        <w:rPr>
          <w:rFonts w:ascii="Arial" w:hAnsi="Arial" w:cs="Arial"/>
          <w:color w:val="000000"/>
          <w:sz w:val="24"/>
          <w:szCs w:val="24"/>
        </w:rPr>
        <w:t>]</w:t>
      </w:r>
      <w:r>
        <w:rPr>
          <w:rFonts w:ascii="Arial" w:hAnsi="Arial" w:cs="Arial"/>
          <w:color w:val="000000"/>
          <w:sz w:val="24"/>
          <w:szCs w:val="24"/>
        </w:rPr>
        <w:tab/>
      </w:r>
      <w:r w:rsidR="00F1130D" w:rsidRPr="00F1130D">
        <w:rPr>
          <w:rFonts w:ascii="Arial" w:hAnsi="Arial" w:cs="Arial"/>
          <w:color w:val="000000"/>
          <w:sz w:val="24"/>
          <w:szCs w:val="24"/>
        </w:rPr>
        <w:t xml:space="preserve">In the answering affidavit to the counter application, the defendant's </w:t>
      </w:r>
      <w:r w:rsidR="005003DC" w:rsidRPr="00F1130D">
        <w:rPr>
          <w:rFonts w:ascii="Arial" w:hAnsi="Arial" w:cs="Arial"/>
          <w:color w:val="000000"/>
          <w:sz w:val="24"/>
          <w:szCs w:val="24"/>
        </w:rPr>
        <w:t>attorney makes</w:t>
      </w:r>
      <w:r w:rsidR="00F1130D" w:rsidRPr="00F1130D">
        <w:rPr>
          <w:rFonts w:ascii="Arial" w:hAnsi="Arial" w:cs="Arial"/>
          <w:color w:val="000000"/>
          <w:sz w:val="24"/>
          <w:szCs w:val="24"/>
        </w:rPr>
        <w:t xml:space="preserve"> the averment that the City’s non-compliance with </w:t>
      </w:r>
      <w:r w:rsidR="003E3C26">
        <w:rPr>
          <w:rFonts w:ascii="Arial" w:hAnsi="Arial" w:cs="Arial"/>
          <w:color w:val="000000"/>
          <w:sz w:val="24"/>
          <w:szCs w:val="24"/>
        </w:rPr>
        <w:t xml:space="preserve">the </w:t>
      </w:r>
      <w:r w:rsidR="00F1130D" w:rsidRPr="00F1130D">
        <w:rPr>
          <w:rFonts w:ascii="Arial" w:hAnsi="Arial" w:cs="Arial"/>
          <w:color w:val="000000"/>
          <w:sz w:val="24"/>
          <w:szCs w:val="24"/>
        </w:rPr>
        <w:t xml:space="preserve">Court order was wilful, that it cannot be said that the City was unaware of </w:t>
      </w:r>
      <w:r w:rsidR="003E3C26">
        <w:rPr>
          <w:rFonts w:ascii="Arial" w:hAnsi="Arial" w:cs="Arial"/>
          <w:color w:val="000000"/>
          <w:sz w:val="24"/>
          <w:szCs w:val="24"/>
        </w:rPr>
        <w:t>the order</w:t>
      </w:r>
      <w:r w:rsidR="00F1130D" w:rsidRPr="00F1130D">
        <w:rPr>
          <w:rFonts w:ascii="Arial" w:hAnsi="Arial" w:cs="Arial"/>
          <w:color w:val="000000"/>
          <w:sz w:val="24"/>
          <w:szCs w:val="24"/>
        </w:rPr>
        <w:t>, nor can it be said that the City was unaware of what was required of it in terms</w:t>
      </w:r>
      <w:r w:rsidR="003E3C26">
        <w:rPr>
          <w:rFonts w:ascii="Arial" w:hAnsi="Arial" w:cs="Arial"/>
          <w:color w:val="000000"/>
          <w:sz w:val="24"/>
          <w:szCs w:val="24"/>
        </w:rPr>
        <w:t xml:space="preserve"> thereof</w:t>
      </w:r>
      <w:r w:rsidR="00F1130D" w:rsidRPr="00F1130D">
        <w:rPr>
          <w:rFonts w:ascii="Arial" w:hAnsi="Arial" w:cs="Arial"/>
          <w:color w:val="000000"/>
          <w:sz w:val="24"/>
          <w:szCs w:val="24"/>
        </w:rPr>
        <w:t xml:space="preserve">. It is </w:t>
      </w:r>
      <w:r w:rsidR="003E3C26">
        <w:rPr>
          <w:rFonts w:ascii="Arial" w:hAnsi="Arial" w:cs="Arial"/>
          <w:color w:val="000000"/>
          <w:sz w:val="24"/>
          <w:szCs w:val="24"/>
        </w:rPr>
        <w:t xml:space="preserve">pertinently argued </w:t>
      </w:r>
      <w:r w:rsidR="00F1130D" w:rsidRPr="00F1130D">
        <w:rPr>
          <w:rFonts w:ascii="Arial" w:hAnsi="Arial" w:cs="Arial"/>
          <w:color w:val="000000"/>
          <w:sz w:val="24"/>
          <w:szCs w:val="24"/>
        </w:rPr>
        <w:t xml:space="preserve">that the City chose not to comply with the </w:t>
      </w:r>
      <w:r w:rsidR="00924C1A">
        <w:rPr>
          <w:rFonts w:ascii="Arial" w:hAnsi="Arial" w:cs="Arial"/>
          <w:color w:val="000000"/>
          <w:sz w:val="24"/>
          <w:szCs w:val="24"/>
        </w:rPr>
        <w:t xml:space="preserve">Goliath </w:t>
      </w:r>
      <w:r w:rsidR="00F1130D" w:rsidRPr="00F1130D">
        <w:rPr>
          <w:rFonts w:ascii="Arial" w:hAnsi="Arial" w:cs="Arial"/>
          <w:color w:val="000000"/>
          <w:sz w:val="24"/>
          <w:szCs w:val="24"/>
        </w:rPr>
        <w:t xml:space="preserve">order. The attorney </w:t>
      </w:r>
      <w:r w:rsidR="003E3C26">
        <w:rPr>
          <w:rFonts w:ascii="Arial" w:hAnsi="Arial" w:cs="Arial"/>
          <w:color w:val="000000"/>
          <w:sz w:val="24"/>
          <w:szCs w:val="24"/>
        </w:rPr>
        <w:t xml:space="preserve">avers </w:t>
      </w:r>
      <w:r w:rsidR="00F1130D" w:rsidRPr="00F1130D">
        <w:rPr>
          <w:rFonts w:ascii="Arial" w:hAnsi="Arial" w:cs="Arial"/>
          <w:color w:val="000000"/>
          <w:sz w:val="24"/>
          <w:szCs w:val="24"/>
        </w:rPr>
        <w:t xml:space="preserve">that the plaintiff’s explanation for non-compliance </w:t>
      </w:r>
      <w:r w:rsidR="003E3C26">
        <w:rPr>
          <w:rFonts w:ascii="Arial" w:hAnsi="Arial" w:cs="Arial"/>
          <w:color w:val="000000"/>
          <w:sz w:val="24"/>
          <w:szCs w:val="24"/>
        </w:rPr>
        <w:t xml:space="preserve">relies on </w:t>
      </w:r>
      <w:r w:rsidR="00F1130D" w:rsidRPr="00F1130D">
        <w:rPr>
          <w:rFonts w:ascii="Arial" w:hAnsi="Arial" w:cs="Arial"/>
          <w:color w:val="000000"/>
          <w:sz w:val="24"/>
          <w:szCs w:val="24"/>
        </w:rPr>
        <w:t xml:space="preserve">factors which indicate that it was not convenient </w:t>
      </w:r>
      <w:r w:rsidR="00C1197E">
        <w:rPr>
          <w:rFonts w:ascii="Arial" w:hAnsi="Arial" w:cs="Arial"/>
          <w:color w:val="000000"/>
          <w:sz w:val="24"/>
          <w:szCs w:val="24"/>
        </w:rPr>
        <w:t xml:space="preserve">for </w:t>
      </w:r>
      <w:r w:rsidR="003E3C26">
        <w:rPr>
          <w:rFonts w:ascii="Arial" w:hAnsi="Arial" w:cs="Arial"/>
          <w:color w:val="000000"/>
          <w:sz w:val="24"/>
          <w:szCs w:val="24"/>
        </w:rPr>
        <w:t xml:space="preserve">it </w:t>
      </w:r>
      <w:r w:rsidR="00F1130D" w:rsidRPr="00F1130D">
        <w:rPr>
          <w:rFonts w:ascii="Arial" w:hAnsi="Arial" w:cs="Arial"/>
          <w:color w:val="000000"/>
          <w:sz w:val="24"/>
          <w:szCs w:val="24"/>
        </w:rPr>
        <w:t xml:space="preserve">to comply with the order. </w:t>
      </w:r>
    </w:p>
    <w:p w:rsidR="00F1130D" w:rsidRPr="00F1130D" w:rsidRDefault="00F1130D" w:rsidP="00F1130D">
      <w:pPr>
        <w:widowControl w:val="0"/>
        <w:autoSpaceDE w:val="0"/>
        <w:autoSpaceDN w:val="0"/>
        <w:adjustRightInd w:val="0"/>
        <w:spacing w:line="480" w:lineRule="auto"/>
        <w:jc w:val="both"/>
        <w:rPr>
          <w:rFonts w:ascii="Arial" w:hAnsi="Arial" w:cs="Arial"/>
          <w:color w:val="000000"/>
          <w:sz w:val="24"/>
          <w:szCs w:val="24"/>
        </w:rPr>
      </w:pPr>
    </w:p>
    <w:p w:rsidR="00F1130D" w:rsidRPr="00F1130D" w:rsidRDefault="00CB7701" w:rsidP="00F1130D">
      <w:pPr>
        <w:widowControl w:val="0"/>
        <w:autoSpaceDE w:val="0"/>
        <w:autoSpaceDN w:val="0"/>
        <w:adjustRightInd w:val="0"/>
        <w:spacing w:line="480" w:lineRule="auto"/>
        <w:jc w:val="both"/>
        <w:rPr>
          <w:rFonts w:ascii="Arial" w:hAnsi="Arial" w:cs="Arial"/>
          <w:color w:val="000000"/>
          <w:sz w:val="24"/>
          <w:szCs w:val="24"/>
        </w:rPr>
      </w:pPr>
      <w:r>
        <w:rPr>
          <w:rFonts w:ascii="Arial" w:hAnsi="Arial" w:cs="Arial"/>
          <w:color w:val="000000"/>
          <w:sz w:val="24"/>
          <w:szCs w:val="24"/>
        </w:rPr>
        <w:t>[1</w:t>
      </w:r>
      <w:r w:rsidR="00C1197E">
        <w:rPr>
          <w:rFonts w:ascii="Arial" w:hAnsi="Arial" w:cs="Arial"/>
          <w:color w:val="000000"/>
          <w:sz w:val="24"/>
          <w:szCs w:val="24"/>
        </w:rPr>
        <w:t>9</w:t>
      </w:r>
      <w:r>
        <w:rPr>
          <w:rFonts w:ascii="Arial" w:hAnsi="Arial" w:cs="Arial"/>
          <w:color w:val="000000"/>
          <w:sz w:val="24"/>
          <w:szCs w:val="24"/>
        </w:rPr>
        <w:t>]</w:t>
      </w:r>
      <w:r>
        <w:rPr>
          <w:rFonts w:ascii="Arial" w:hAnsi="Arial" w:cs="Arial"/>
          <w:color w:val="000000"/>
          <w:sz w:val="24"/>
          <w:szCs w:val="24"/>
        </w:rPr>
        <w:tab/>
      </w:r>
      <w:r w:rsidR="00F1130D" w:rsidRPr="00F1130D">
        <w:rPr>
          <w:rFonts w:ascii="Arial" w:hAnsi="Arial" w:cs="Arial"/>
          <w:color w:val="000000"/>
          <w:sz w:val="24"/>
          <w:szCs w:val="24"/>
        </w:rPr>
        <w:t>Furthermore, it is contended that given that the Summons was issued in May 2019, the plaintiff had sufficient time to determine what its position was and how to formulate its case, as well as what necessary evidence it required against the defendant. Despite this, the Particulars of Claim were materially defective. Subsequent to the judgment o</w:t>
      </w:r>
      <w:r w:rsidR="003E3C26">
        <w:rPr>
          <w:rFonts w:ascii="Arial" w:hAnsi="Arial" w:cs="Arial"/>
          <w:color w:val="000000"/>
          <w:sz w:val="24"/>
          <w:szCs w:val="24"/>
        </w:rPr>
        <w:t>n the irregular step by</w:t>
      </w:r>
      <w:r w:rsidR="00F1130D" w:rsidRPr="00F1130D">
        <w:rPr>
          <w:rFonts w:ascii="Arial" w:hAnsi="Arial" w:cs="Arial"/>
          <w:color w:val="000000"/>
          <w:sz w:val="24"/>
          <w:szCs w:val="24"/>
        </w:rPr>
        <w:t xml:space="preserve"> Kusevitsky J in August 2021, the City’s stance was to maintain that its case against the plaintiff was good. Furthermore, the plaintiff had </w:t>
      </w:r>
      <w:r w:rsidR="003E3C26">
        <w:rPr>
          <w:rFonts w:ascii="Arial" w:hAnsi="Arial" w:cs="Arial"/>
          <w:color w:val="000000"/>
          <w:sz w:val="24"/>
          <w:szCs w:val="24"/>
        </w:rPr>
        <w:t xml:space="preserve">an additional </w:t>
      </w:r>
      <w:r w:rsidR="00F1130D" w:rsidRPr="00F1130D">
        <w:rPr>
          <w:rFonts w:ascii="Arial" w:hAnsi="Arial" w:cs="Arial"/>
          <w:color w:val="000000"/>
          <w:sz w:val="24"/>
          <w:szCs w:val="24"/>
        </w:rPr>
        <w:t>opportunity to consider its position against the defendant. It is emphasized that despite the plaintiff's attorney’s concession that the 30-day period was not ungenerous, the plaintiff nonetheless failed to comply with the Goliath order and now sought condonation for its</w:t>
      </w:r>
      <w:r w:rsidR="00924C1A">
        <w:rPr>
          <w:rFonts w:ascii="Arial" w:hAnsi="Arial" w:cs="Arial"/>
          <w:color w:val="000000"/>
          <w:sz w:val="24"/>
          <w:szCs w:val="24"/>
        </w:rPr>
        <w:t xml:space="preserve"> wilful </w:t>
      </w:r>
      <w:r w:rsidR="00F1130D" w:rsidRPr="00F1130D">
        <w:rPr>
          <w:rFonts w:ascii="Arial" w:hAnsi="Arial" w:cs="Arial"/>
          <w:color w:val="000000"/>
          <w:sz w:val="24"/>
          <w:szCs w:val="24"/>
        </w:rPr>
        <w:t>misconduct.</w:t>
      </w:r>
    </w:p>
    <w:p w:rsidR="00F1130D" w:rsidRPr="00F1130D" w:rsidRDefault="00F1130D" w:rsidP="00F1130D">
      <w:pPr>
        <w:widowControl w:val="0"/>
        <w:autoSpaceDE w:val="0"/>
        <w:autoSpaceDN w:val="0"/>
        <w:adjustRightInd w:val="0"/>
        <w:spacing w:line="480" w:lineRule="auto"/>
        <w:jc w:val="both"/>
        <w:rPr>
          <w:rFonts w:ascii="Arial" w:hAnsi="Arial" w:cs="Arial"/>
          <w:color w:val="000000"/>
          <w:sz w:val="24"/>
          <w:szCs w:val="24"/>
        </w:rPr>
      </w:pPr>
    </w:p>
    <w:p w:rsidR="00F1130D" w:rsidRPr="00F1130D" w:rsidRDefault="00CB7701" w:rsidP="00F1130D">
      <w:pPr>
        <w:widowControl w:val="0"/>
        <w:autoSpaceDE w:val="0"/>
        <w:autoSpaceDN w:val="0"/>
        <w:adjustRightInd w:val="0"/>
        <w:spacing w:line="480" w:lineRule="auto"/>
        <w:jc w:val="both"/>
        <w:rPr>
          <w:rFonts w:ascii="Arial" w:hAnsi="Arial" w:cs="Arial"/>
          <w:color w:val="000000"/>
          <w:sz w:val="24"/>
          <w:szCs w:val="24"/>
        </w:rPr>
      </w:pPr>
      <w:r>
        <w:rPr>
          <w:rFonts w:ascii="Arial" w:hAnsi="Arial" w:cs="Arial"/>
          <w:color w:val="000000"/>
          <w:sz w:val="24"/>
          <w:szCs w:val="24"/>
        </w:rPr>
        <w:t>[</w:t>
      </w:r>
      <w:r w:rsidR="00C1197E">
        <w:rPr>
          <w:rFonts w:ascii="Arial" w:hAnsi="Arial" w:cs="Arial"/>
          <w:color w:val="000000"/>
          <w:sz w:val="24"/>
          <w:szCs w:val="24"/>
        </w:rPr>
        <w:t>20</w:t>
      </w:r>
      <w:r>
        <w:rPr>
          <w:rFonts w:ascii="Arial" w:hAnsi="Arial" w:cs="Arial"/>
          <w:color w:val="000000"/>
          <w:sz w:val="24"/>
          <w:szCs w:val="24"/>
        </w:rPr>
        <w:t>]</w:t>
      </w:r>
      <w:r>
        <w:rPr>
          <w:rFonts w:ascii="Arial" w:hAnsi="Arial" w:cs="Arial"/>
          <w:color w:val="000000"/>
          <w:sz w:val="24"/>
          <w:szCs w:val="24"/>
        </w:rPr>
        <w:tab/>
      </w:r>
      <w:r w:rsidR="00F1130D" w:rsidRPr="00F1130D">
        <w:rPr>
          <w:rFonts w:ascii="Arial" w:hAnsi="Arial" w:cs="Arial"/>
          <w:color w:val="000000"/>
          <w:sz w:val="24"/>
          <w:szCs w:val="24"/>
        </w:rPr>
        <w:t xml:space="preserve">At paragraph 22 of the answering affidavit, the Defendant makes the point that it is not in the interests of justice for the Court to exercise its discretion in favour of the City by granting condonation. In this regard, it is advanced that the </w:t>
      </w:r>
      <w:r w:rsidR="00177E4B">
        <w:rPr>
          <w:rFonts w:ascii="Arial" w:hAnsi="Arial" w:cs="Arial"/>
          <w:color w:val="000000"/>
          <w:sz w:val="24"/>
          <w:szCs w:val="24"/>
        </w:rPr>
        <w:t>d</w:t>
      </w:r>
      <w:r w:rsidR="00F1130D" w:rsidRPr="00F1130D">
        <w:rPr>
          <w:rFonts w:ascii="Arial" w:hAnsi="Arial" w:cs="Arial"/>
          <w:color w:val="000000"/>
          <w:sz w:val="24"/>
          <w:szCs w:val="24"/>
        </w:rPr>
        <w:t xml:space="preserve">efendant </w:t>
      </w:r>
      <w:r w:rsidR="00177E4B">
        <w:rPr>
          <w:rFonts w:ascii="Arial" w:hAnsi="Arial" w:cs="Arial"/>
          <w:color w:val="000000"/>
          <w:sz w:val="24"/>
          <w:szCs w:val="24"/>
        </w:rPr>
        <w:t xml:space="preserve">is </w:t>
      </w:r>
      <w:r w:rsidR="00F1130D" w:rsidRPr="00F1130D">
        <w:rPr>
          <w:rFonts w:ascii="Arial" w:hAnsi="Arial" w:cs="Arial"/>
          <w:color w:val="000000"/>
          <w:sz w:val="24"/>
          <w:szCs w:val="24"/>
        </w:rPr>
        <w:t xml:space="preserve">prejudiced by the City's conduct, </w:t>
      </w:r>
      <w:r w:rsidR="00177E4B">
        <w:rPr>
          <w:rFonts w:ascii="Arial" w:hAnsi="Arial" w:cs="Arial"/>
          <w:color w:val="000000"/>
          <w:sz w:val="24"/>
          <w:szCs w:val="24"/>
        </w:rPr>
        <w:t xml:space="preserve">and </w:t>
      </w:r>
      <w:r w:rsidR="00F1130D" w:rsidRPr="00F1130D">
        <w:rPr>
          <w:rFonts w:ascii="Arial" w:hAnsi="Arial" w:cs="Arial"/>
          <w:color w:val="000000"/>
          <w:sz w:val="24"/>
          <w:szCs w:val="24"/>
        </w:rPr>
        <w:t xml:space="preserve">cannot bear the financial burden of the </w:t>
      </w:r>
      <w:r w:rsidR="00177E4B">
        <w:rPr>
          <w:rFonts w:ascii="Arial" w:hAnsi="Arial" w:cs="Arial"/>
          <w:color w:val="000000"/>
          <w:sz w:val="24"/>
          <w:szCs w:val="24"/>
        </w:rPr>
        <w:t>p</w:t>
      </w:r>
      <w:r w:rsidR="00F1130D" w:rsidRPr="00F1130D">
        <w:rPr>
          <w:rFonts w:ascii="Arial" w:hAnsi="Arial" w:cs="Arial"/>
          <w:color w:val="000000"/>
          <w:sz w:val="24"/>
          <w:szCs w:val="24"/>
        </w:rPr>
        <w:t xml:space="preserve">laintiff's approach to its flawed case. It is submitted that the City, as an organ of State, is held to a higher standard than ordinary citizens, and in circumstances where the City flouts the Court order, the Court must hold it accountable for its actions. </w:t>
      </w:r>
    </w:p>
    <w:p w:rsidR="00F1130D" w:rsidRPr="00F1130D" w:rsidRDefault="00F1130D" w:rsidP="00F1130D">
      <w:pPr>
        <w:widowControl w:val="0"/>
        <w:autoSpaceDE w:val="0"/>
        <w:autoSpaceDN w:val="0"/>
        <w:adjustRightInd w:val="0"/>
        <w:spacing w:line="480" w:lineRule="auto"/>
        <w:jc w:val="both"/>
        <w:rPr>
          <w:rFonts w:ascii="Arial" w:hAnsi="Arial" w:cs="Arial"/>
          <w:color w:val="000000"/>
          <w:sz w:val="24"/>
          <w:szCs w:val="24"/>
        </w:rPr>
      </w:pPr>
    </w:p>
    <w:p w:rsidR="00F1130D" w:rsidRPr="00F1130D" w:rsidRDefault="00AC28B8" w:rsidP="00F1130D">
      <w:pPr>
        <w:widowControl w:val="0"/>
        <w:autoSpaceDE w:val="0"/>
        <w:autoSpaceDN w:val="0"/>
        <w:adjustRightInd w:val="0"/>
        <w:spacing w:line="480" w:lineRule="auto"/>
        <w:jc w:val="both"/>
        <w:rPr>
          <w:rFonts w:ascii="Arial" w:hAnsi="Arial" w:cs="Arial"/>
          <w:color w:val="000000"/>
          <w:sz w:val="24"/>
          <w:szCs w:val="24"/>
        </w:rPr>
      </w:pPr>
      <w:r>
        <w:rPr>
          <w:rFonts w:ascii="Arial" w:hAnsi="Arial" w:cs="Arial"/>
          <w:color w:val="000000"/>
          <w:sz w:val="24"/>
          <w:szCs w:val="24"/>
        </w:rPr>
        <w:t>[2</w:t>
      </w:r>
      <w:r w:rsidR="00C1197E">
        <w:rPr>
          <w:rFonts w:ascii="Arial" w:hAnsi="Arial" w:cs="Arial"/>
          <w:color w:val="000000"/>
          <w:sz w:val="24"/>
          <w:szCs w:val="24"/>
        </w:rPr>
        <w:t>1</w:t>
      </w:r>
      <w:r w:rsidR="00CB7701">
        <w:rPr>
          <w:rFonts w:ascii="Arial" w:hAnsi="Arial" w:cs="Arial"/>
          <w:color w:val="000000"/>
          <w:sz w:val="24"/>
          <w:szCs w:val="24"/>
        </w:rPr>
        <w:t>]</w:t>
      </w:r>
      <w:r w:rsidR="00CB7701">
        <w:rPr>
          <w:rFonts w:ascii="Arial" w:hAnsi="Arial" w:cs="Arial"/>
          <w:color w:val="000000"/>
          <w:sz w:val="24"/>
          <w:szCs w:val="24"/>
        </w:rPr>
        <w:tab/>
      </w:r>
      <w:r w:rsidR="00F1130D" w:rsidRPr="00F1130D">
        <w:rPr>
          <w:rFonts w:ascii="Arial" w:hAnsi="Arial" w:cs="Arial"/>
          <w:color w:val="000000"/>
          <w:sz w:val="24"/>
          <w:szCs w:val="24"/>
        </w:rPr>
        <w:t xml:space="preserve">I am reminded that the City is seeking an indulgence. The submission on behalf of the Defendant is that the non-compliance </w:t>
      </w:r>
      <w:r w:rsidR="00C1197E">
        <w:rPr>
          <w:rFonts w:ascii="Arial" w:hAnsi="Arial" w:cs="Arial"/>
          <w:color w:val="000000"/>
          <w:sz w:val="24"/>
          <w:szCs w:val="24"/>
        </w:rPr>
        <w:t>with</w:t>
      </w:r>
      <w:r w:rsidR="00F1130D" w:rsidRPr="00F1130D">
        <w:rPr>
          <w:rFonts w:ascii="Arial" w:hAnsi="Arial" w:cs="Arial"/>
          <w:color w:val="000000"/>
          <w:sz w:val="24"/>
          <w:szCs w:val="24"/>
        </w:rPr>
        <w:t xml:space="preserve"> the Court order should be viewed in a more serious light than non-compliance with the Rules or procedure. It is argued that the explanation for delay is inadequate and unreasonable, and that there are periods of time which the City does not explain. </w:t>
      </w:r>
    </w:p>
    <w:p w:rsidR="00F1130D" w:rsidRPr="00F1130D" w:rsidRDefault="00F1130D" w:rsidP="00F1130D">
      <w:pPr>
        <w:widowControl w:val="0"/>
        <w:autoSpaceDE w:val="0"/>
        <w:autoSpaceDN w:val="0"/>
        <w:adjustRightInd w:val="0"/>
        <w:spacing w:line="480" w:lineRule="auto"/>
        <w:jc w:val="both"/>
        <w:rPr>
          <w:rFonts w:ascii="Arial" w:hAnsi="Arial" w:cs="Arial"/>
          <w:color w:val="000000"/>
          <w:sz w:val="24"/>
          <w:szCs w:val="24"/>
        </w:rPr>
      </w:pPr>
    </w:p>
    <w:p w:rsidR="00F1130D" w:rsidRPr="00F1130D" w:rsidRDefault="00AC28B8" w:rsidP="00F1130D">
      <w:pPr>
        <w:widowControl w:val="0"/>
        <w:autoSpaceDE w:val="0"/>
        <w:autoSpaceDN w:val="0"/>
        <w:adjustRightInd w:val="0"/>
        <w:spacing w:line="480" w:lineRule="auto"/>
        <w:jc w:val="both"/>
        <w:rPr>
          <w:rFonts w:ascii="Arial" w:hAnsi="Arial" w:cs="Arial"/>
          <w:color w:val="000000"/>
          <w:sz w:val="24"/>
          <w:szCs w:val="24"/>
        </w:rPr>
      </w:pPr>
      <w:r>
        <w:rPr>
          <w:rFonts w:ascii="Arial" w:hAnsi="Arial" w:cs="Arial"/>
          <w:color w:val="000000"/>
          <w:sz w:val="24"/>
          <w:szCs w:val="24"/>
        </w:rPr>
        <w:t>[2</w:t>
      </w:r>
      <w:r w:rsidR="00C1197E">
        <w:rPr>
          <w:rFonts w:ascii="Arial" w:hAnsi="Arial" w:cs="Arial"/>
          <w:color w:val="000000"/>
          <w:sz w:val="24"/>
          <w:szCs w:val="24"/>
        </w:rPr>
        <w:t>2</w:t>
      </w:r>
      <w:r w:rsidR="00CB7701">
        <w:rPr>
          <w:rFonts w:ascii="Arial" w:hAnsi="Arial" w:cs="Arial"/>
          <w:color w:val="000000"/>
          <w:sz w:val="24"/>
          <w:szCs w:val="24"/>
        </w:rPr>
        <w:t>]</w:t>
      </w:r>
      <w:r w:rsidR="00CB7701">
        <w:rPr>
          <w:rFonts w:ascii="Arial" w:hAnsi="Arial" w:cs="Arial"/>
          <w:color w:val="000000"/>
          <w:sz w:val="24"/>
          <w:szCs w:val="24"/>
        </w:rPr>
        <w:tab/>
      </w:r>
      <w:r w:rsidR="00F1130D" w:rsidRPr="00F1130D">
        <w:rPr>
          <w:rFonts w:ascii="Arial" w:hAnsi="Arial" w:cs="Arial"/>
          <w:color w:val="000000"/>
          <w:sz w:val="24"/>
          <w:szCs w:val="24"/>
        </w:rPr>
        <w:t xml:space="preserve">The </w:t>
      </w:r>
      <w:r w:rsidR="00177E4B">
        <w:rPr>
          <w:rFonts w:ascii="Arial" w:hAnsi="Arial" w:cs="Arial"/>
          <w:color w:val="000000"/>
          <w:sz w:val="24"/>
          <w:szCs w:val="24"/>
        </w:rPr>
        <w:t>d</w:t>
      </w:r>
      <w:r w:rsidR="00F1130D" w:rsidRPr="00F1130D">
        <w:rPr>
          <w:rFonts w:ascii="Arial" w:hAnsi="Arial" w:cs="Arial"/>
          <w:color w:val="000000"/>
          <w:sz w:val="24"/>
          <w:szCs w:val="24"/>
        </w:rPr>
        <w:t xml:space="preserve">efendant takes issue with the Plaintiff’s explanation that it took three weeks to consider a judgment on an exception. In addition, the complaint is that the consultations with City officials only occurred in June, after the </w:t>
      </w:r>
      <w:r w:rsidR="00C1197E">
        <w:rPr>
          <w:rFonts w:ascii="Arial" w:hAnsi="Arial" w:cs="Arial"/>
          <w:color w:val="000000"/>
          <w:sz w:val="24"/>
          <w:szCs w:val="24"/>
        </w:rPr>
        <w:t>o</w:t>
      </w:r>
      <w:r w:rsidR="00F1130D" w:rsidRPr="00F1130D">
        <w:rPr>
          <w:rFonts w:ascii="Arial" w:hAnsi="Arial" w:cs="Arial"/>
          <w:color w:val="000000"/>
          <w:sz w:val="24"/>
          <w:szCs w:val="24"/>
        </w:rPr>
        <w:t>rder was granted. The City is thus criticized for not acting promptly following the judgment, more specifically</w:t>
      </w:r>
      <w:r w:rsidR="00177E4B">
        <w:rPr>
          <w:rFonts w:ascii="Arial" w:hAnsi="Arial" w:cs="Arial"/>
          <w:color w:val="000000"/>
          <w:sz w:val="24"/>
          <w:szCs w:val="24"/>
        </w:rPr>
        <w:t xml:space="preserve"> that </w:t>
      </w:r>
      <w:r w:rsidR="00F1130D" w:rsidRPr="00F1130D">
        <w:rPr>
          <w:rFonts w:ascii="Arial" w:hAnsi="Arial" w:cs="Arial"/>
          <w:color w:val="000000"/>
          <w:sz w:val="24"/>
          <w:szCs w:val="24"/>
        </w:rPr>
        <w:t>the last two consultations occurred at the end of June</w:t>
      </w:r>
      <w:r w:rsidR="00177E4B">
        <w:rPr>
          <w:rFonts w:ascii="Arial" w:hAnsi="Arial" w:cs="Arial"/>
          <w:color w:val="000000"/>
          <w:sz w:val="24"/>
          <w:szCs w:val="24"/>
        </w:rPr>
        <w:t>,</w:t>
      </w:r>
      <w:r w:rsidR="00F1130D" w:rsidRPr="00F1130D">
        <w:rPr>
          <w:rFonts w:ascii="Arial" w:hAnsi="Arial" w:cs="Arial"/>
          <w:color w:val="000000"/>
          <w:sz w:val="24"/>
          <w:szCs w:val="24"/>
        </w:rPr>
        <w:t xml:space="preserve"> after the lapse of the 30-day period.  As to the explanation of having to consult with Telematics, the defendant points out that this engineer had always been readily at the disposal of the City and was the engineer at the time of the institution of the Plaintiff’s action. The further complaint is that the information required is not specified. </w:t>
      </w:r>
    </w:p>
    <w:p w:rsidR="00F1130D" w:rsidRPr="00F1130D" w:rsidRDefault="00F1130D" w:rsidP="00F1130D">
      <w:pPr>
        <w:widowControl w:val="0"/>
        <w:autoSpaceDE w:val="0"/>
        <w:autoSpaceDN w:val="0"/>
        <w:adjustRightInd w:val="0"/>
        <w:spacing w:line="480" w:lineRule="auto"/>
        <w:jc w:val="both"/>
        <w:rPr>
          <w:rFonts w:ascii="Arial" w:hAnsi="Arial" w:cs="Arial"/>
          <w:color w:val="000000"/>
          <w:sz w:val="24"/>
          <w:szCs w:val="24"/>
        </w:rPr>
      </w:pPr>
    </w:p>
    <w:p w:rsidR="00F1130D" w:rsidRPr="00F1130D" w:rsidRDefault="00CB7701" w:rsidP="00F1130D">
      <w:pPr>
        <w:widowControl w:val="0"/>
        <w:autoSpaceDE w:val="0"/>
        <w:autoSpaceDN w:val="0"/>
        <w:adjustRightInd w:val="0"/>
        <w:spacing w:line="480" w:lineRule="auto"/>
        <w:jc w:val="both"/>
        <w:rPr>
          <w:rFonts w:ascii="Arial" w:hAnsi="Arial" w:cs="Arial"/>
          <w:color w:val="000000"/>
          <w:sz w:val="24"/>
          <w:szCs w:val="24"/>
        </w:rPr>
      </w:pPr>
      <w:r>
        <w:rPr>
          <w:rFonts w:ascii="Arial" w:hAnsi="Arial" w:cs="Arial"/>
          <w:color w:val="000000"/>
          <w:sz w:val="24"/>
          <w:szCs w:val="24"/>
        </w:rPr>
        <w:t>[2</w:t>
      </w:r>
      <w:r w:rsidR="00C1197E">
        <w:rPr>
          <w:rFonts w:ascii="Arial" w:hAnsi="Arial" w:cs="Arial"/>
          <w:color w:val="000000"/>
          <w:sz w:val="24"/>
          <w:szCs w:val="24"/>
        </w:rPr>
        <w:t>3</w:t>
      </w:r>
      <w:r>
        <w:rPr>
          <w:rFonts w:ascii="Arial" w:hAnsi="Arial" w:cs="Arial"/>
          <w:color w:val="000000"/>
          <w:sz w:val="24"/>
          <w:szCs w:val="24"/>
        </w:rPr>
        <w:t>]</w:t>
      </w:r>
      <w:r>
        <w:rPr>
          <w:rFonts w:ascii="Arial" w:hAnsi="Arial" w:cs="Arial"/>
          <w:color w:val="000000"/>
          <w:sz w:val="24"/>
          <w:szCs w:val="24"/>
        </w:rPr>
        <w:tab/>
      </w:r>
      <w:r w:rsidR="00F1130D" w:rsidRPr="00F1130D">
        <w:rPr>
          <w:rFonts w:ascii="Arial" w:hAnsi="Arial" w:cs="Arial"/>
          <w:color w:val="000000"/>
          <w:sz w:val="24"/>
          <w:szCs w:val="24"/>
        </w:rPr>
        <w:t xml:space="preserve">The </w:t>
      </w:r>
      <w:r w:rsidR="00177E4B">
        <w:rPr>
          <w:rFonts w:ascii="Arial" w:hAnsi="Arial" w:cs="Arial"/>
          <w:color w:val="000000"/>
          <w:sz w:val="24"/>
          <w:szCs w:val="24"/>
        </w:rPr>
        <w:t>d</w:t>
      </w:r>
      <w:r w:rsidR="00F1130D" w:rsidRPr="00F1130D">
        <w:rPr>
          <w:rFonts w:ascii="Arial" w:hAnsi="Arial" w:cs="Arial"/>
          <w:color w:val="000000"/>
          <w:sz w:val="24"/>
          <w:szCs w:val="24"/>
        </w:rPr>
        <w:t xml:space="preserve">efendant attacks the City’s explanation that the former had information relevant to it pursuing the amendment, and it is submitted that the </w:t>
      </w:r>
      <w:r w:rsidR="00177E4B">
        <w:rPr>
          <w:rFonts w:ascii="Arial" w:hAnsi="Arial" w:cs="Arial"/>
          <w:color w:val="000000"/>
          <w:sz w:val="24"/>
          <w:szCs w:val="24"/>
        </w:rPr>
        <w:t>p</w:t>
      </w:r>
      <w:r w:rsidR="00F1130D" w:rsidRPr="00F1130D">
        <w:rPr>
          <w:rFonts w:ascii="Arial" w:hAnsi="Arial" w:cs="Arial"/>
          <w:color w:val="000000"/>
          <w:sz w:val="24"/>
          <w:szCs w:val="24"/>
        </w:rPr>
        <w:t xml:space="preserve">laintiff never requested any information from </w:t>
      </w:r>
      <w:r w:rsidR="00177E4B">
        <w:rPr>
          <w:rFonts w:ascii="Arial" w:hAnsi="Arial" w:cs="Arial"/>
          <w:color w:val="000000"/>
          <w:sz w:val="24"/>
          <w:szCs w:val="24"/>
        </w:rPr>
        <w:t>the defendant</w:t>
      </w:r>
      <w:r w:rsidR="00F1130D" w:rsidRPr="00F1130D">
        <w:rPr>
          <w:rFonts w:ascii="Arial" w:hAnsi="Arial" w:cs="Arial"/>
          <w:color w:val="000000"/>
          <w:sz w:val="24"/>
          <w:szCs w:val="24"/>
        </w:rPr>
        <w:t xml:space="preserve"> at any stage. There is also no evidence that legal steps were taken in order to obtain such information. I point out that this basis for condonation was </w:t>
      </w:r>
      <w:r w:rsidR="00C1197E">
        <w:rPr>
          <w:rFonts w:ascii="Arial" w:hAnsi="Arial" w:cs="Arial"/>
          <w:color w:val="000000"/>
          <w:sz w:val="24"/>
          <w:szCs w:val="24"/>
        </w:rPr>
        <w:t xml:space="preserve">eventually </w:t>
      </w:r>
      <w:r w:rsidR="00F1130D" w:rsidRPr="00F1130D">
        <w:rPr>
          <w:rFonts w:ascii="Arial" w:hAnsi="Arial" w:cs="Arial"/>
          <w:color w:val="000000"/>
          <w:sz w:val="24"/>
          <w:szCs w:val="24"/>
        </w:rPr>
        <w:t>abandoned</w:t>
      </w:r>
      <w:r w:rsidR="00C1197E">
        <w:rPr>
          <w:rFonts w:ascii="Arial" w:hAnsi="Arial" w:cs="Arial"/>
          <w:color w:val="000000"/>
          <w:sz w:val="24"/>
          <w:szCs w:val="24"/>
        </w:rPr>
        <w:t xml:space="preserve"> during argument</w:t>
      </w:r>
      <w:r w:rsidR="00F1130D" w:rsidRPr="00F1130D">
        <w:rPr>
          <w:rFonts w:ascii="Arial" w:hAnsi="Arial" w:cs="Arial"/>
          <w:color w:val="000000"/>
          <w:sz w:val="24"/>
          <w:szCs w:val="24"/>
        </w:rPr>
        <w:t xml:space="preserve">. The </w:t>
      </w:r>
      <w:r w:rsidR="00177E4B">
        <w:rPr>
          <w:rFonts w:ascii="Arial" w:hAnsi="Arial" w:cs="Arial"/>
          <w:color w:val="000000"/>
          <w:sz w:val="24"/>
          <w:szCs w:val="24"/>
        </w:rPr>
        <w:t>d</w:t>
      </w:r>
      <w:r w:rsidR="00F1130D" w:rsidRPr="00F1130D">
        <w:rPr>
          <w:rFonts w:ascii="Arial" w:hAnsi="Arial" w:cs="Arial"/>
          <w:color w:val="000000"/>
          <w:sz w:val="24"/>
          <w:szCs w:val="24"/>
        </w:rPr>
        <w:t xml:space="preserve">efendant furthermore complains that the City officials who </w:t>
      </w:r>
      <w:r w:rsidR="00177E4B">
        <w:rPr>
          <w:rFonts w:ascii="Arial" w:hAnsi="Arial" w:cs="Arial"/>
          <w:color w:val="000000"/>
          <w:sz w:val="24"/>
          <w:szCs w:val="24"/>
        </w:rPr>
        <w:t xml:space="preserve">were </w:t>
      </w:r>
      <w:r w:rsidR="00F1130D" w:rsidRPr="00F1130D">
        <w:rPr>
          <w:rFonts w:ascii="Arial" w:hAnsi="Arial" w:cs="Arial"/>
          <w:color w:val="000000"/>
          <w:sz w:val="24"/>
          <w:szCs w:val="24"/>
        </w:rPr>
        <w:t xml:space="preserve">presumably on leave are not named and no indication is provided </w:t>
      </w:r>
      <w:r w:rsidR="008B07CB">
        <w:rPr>
          <w:rFonts w:ascii="Arial" w:hAnsi="Arial" w:cs="Arial"/>
          <w:color w:val="000000"/>
          <w:sz w:val="24"/>
          <w:szCs w:val="24"/>
        </w:rPr>
        <w:t xml:space="preserve">as to </w:t>
      </w:r>
      <w:r w:rsidR="00F1130D" w:rsidRPr="00F1130D">
        <w:rPr>
          <w:rFonts w:ascii="Arial" w:hAnsi="Arial" w:cs="Arial"/>
          <w:color w:val="000000"/>
          <w:sz w:val="24"/>
          <w:szCs w:val="24"/>
        </w:rPr>
        <w:t xml:space="preserve">when they were on leave and why they are essential for </w:t>
      </w:r>
      <w:r w:rsidR="00177E4B">
        <w:rPr>
          <w:rFonts w:ascii="Arial" w:hAnsi="Arial" w:cs="Arial"/>
          <w:color w:val="000000"/>
          <w:sz w:val="24"/>
          <w:szCs w:val="24"/>
        </w:rPr>
        <w:t>the</w:t>
      </w:r>
      <w:r w:rsidR="00C1197E">
        <w:rPr>
          <w:rFonts w:ascii="Arial" w:hAnsi="Arial" w:cs="Arial"/>
          <w:color w:val="000000"/>
          <w:sz w:val="24"/>
          <w:szCs w:val="24"/>
        </w:rPr>
        <w:t xml:space="preserve"> </w:t>
      </w:r>
      <w:r w:rsidR="00F1130D" w:rsidRPr="00F1130D">
        <w:rPr>
          <w:rFonts w:ascii="Arial" w:hAnsi="Arial" w:cs="Arial"/>
          <w:color w:val="000000"/>
          <w:sz w:val="24"/>
          <w:szCs w:val="24"/>
        </w:rPr>
        <w:t xml:space="preserve">finalization of the amendment. It is also pointed out that none of these officials have provided any confirmatory affidavits in the circumstances. Accordingly, it is argued that this Court is not in a position to scrutinize the acceptability of the City’s  assertion that officials were on leave. </w:t>
      </w:r>
    </w:p>
    <w:p w:rsidR="00F1130D" w:rsidRPr="00F1130D" w:rsidRDefault="00F1130D" w:rsidP="00F1130D">
      <w:pPr>
        <w:widowControl w:val="0"/>
        <w:autoSpaceDE w:val="0"/>
        <w:autoSpaceDN w:val="0"/>
        <w:adjustRightInd w:val="0"/>
        <w:spacing w:line="480" w:lineRule="auto"/>
        <w:jc w:val="both"/>
        <w:rPr>
          <w:rFonts w:ascii="Arial" w:hAnsi="Arial" w:cs="Arial"/>
          <w:color w:val="000000"/>
          <w:sz w:val="24"/>
          <w:szCs w:val="24"/>
        </w:rPr>
      </w:pPr>
    </w:p>
    <w:p w:rsidR="00F1130D" w:rsidRPr="00F1130D" w:rsidRDefault="00CB7701" w:rsidP="00F1130D">
      <w:pPr>
        <w:widowControl w:val="0"/>
        <w:autoSpaceDE w:val="0"/>
        <w:autoSpaceDN w:val="0"/>
        <w:adjustRightInd w:val="0"/>
        <w:spacing w:line="480" w:lineRule="auto"/>
        <w:jc w:val="both"/>
        <w:rPr>
          <w:rFonts w:ascii="Arial" w:hAnsi="Arial" w:cs="Arial"/>
          <w:color w:val="000000"/>
          <w:sz w:val="24"/>
          <w:szCs w:val="24"/>
        </w:rPr>
      </w:pPr>
      <w:r>
        <w:rPr>
          <w:rFonts w:ascii="Arial" w:hAnsi="Arial" w:cs="Arial"/>
          <w:color w:val="000000"/>
          <w:sz w:val="24"/>
          <w:szCs w:val="24"/>
        </w:rPr>
        <w:t>[2</w:t>
      </w:r>
      <w:r w:rsidR="00C1197E">
        <w:rPr>
          <w:rFonts w:ascii="Arial" w:hAnsi="Arial" w:cs="Arial"/>
          <w:color w:val="000000"/>
          <w:sz w:val="24"/>
          <w:szCs w:val="24"/>
        </w:rPr>
        <w:t>4</w:t>
      </w:r>
      <w:r>
        <w:rPr>
          <w:rFonts w:ascii="Arial" w:hAnsi="Arial" w:cs="Arial"/>
          <w:color w:val="000000"/>
          <w:sz w:val="24"/>
          <w:szCs w:val="24"/>
        </w:rPr>
        <w:t>]</w:t>
      </w:r>
      <w:r>
        <w:rPr>
          <w:rFonts w:ascii="Arial" w:hAnsi="Arial" w:cs="Arial"/>
          <w:color w:val="000000"/>
          <w:sz w:val="24"/>
          <w:szCs w:val="24"/>
        </w:rPr>
        <w:tab/>
      </w:r>
      <w:r w:rsidR="00F1130D" w:rsidRPr="00F1130D">
        <w:rPr>
          <w:rFonts w:ascii="Arial" w:hAnsi="Arial" w:cs="Arial"/>
          <w:color w:val="000000"/>
          <w:sz w:val="24"/>
          <w:szCs w:val="24"/>
        </w:rPr>
        <w:t xml:space="preserve">As to the explanation that the parties engaged in settlement negotiations, the </w:t>
      </w:r>
      <w:r w:rsidR="00177E4B">
        <w:rPr>
          <w:rFonts w:ascii="Arial" w:hAnsi="Arial" w:cs="Arial"/>
          <w:color w:val="000000"/>
          <w:sz w:val="24"/>
          <w:szCs w:val="24"/>
        </w:rPr>
        <w:t>d</w:t>
      </w:r>
      <w:r w:rsidR="00F1130D" w:rsidRPr="00F1130D">
        <w:rPr>
          <w:rFonts w:ascii="Arial" w:hAnsi="Arial" w:cs="Arial"/>
          <w:color w:val="000000"/>
          <w:sz w:val="24"/>
          <w:szCs w:val="24"/>
        </w:rPr>
        <w:t xml:space="preserve">efendant admits same but it is stated that the parties had </w:t>
      </w:r>
      <w:r w:rsidR="008B07CB">
        <w:rPr>
          <w:rFonts w:ascii="Arial" w:hAnsi="Arial" w:cs="Arial"/>
          <w:color w:val="000000"/>
          <w:sz w:val="24"/>
          <w:szCs w:val="24"/>
        </w:rPr>
        <w:t xml:space="preserve">already </w:t>
      </w:r>
      <w:r w:rsidR="00F1130D" w:rsidRPr="00F1130D">
        <w:rPr>
          <w:rFonts w:ascii="Arial" w:hAnsi="Arial" w:cs="Arial"/>
          <w:color w:val="000000"/>
          <w:sz w:val="24"/>
          <w:szCs w:val="24"/>
        </w:rPr>
        <w:t xml:space="preserve">engaged in such negotiations prior to the judgment of Goliath DJP. On this aspect, the argument is that notwithstanding settlement negotiations, the City was obliged to amend its Particulars of Claim in line with the </w:t>
      </w:r>
      <w:r w:rsidR="00177E4B">
        <w:rPr>
          <w:rFonts w:ascii="Arial" w:hAnsi="Arial" w:cs="Arial"/>
          <w:color w:val="000000"/>
          <w:sz w:val="24"/>
          <w:szCs w:val="24"/>
        </w:rPr>
        <w:t>o</w:t>
      </w:r>
      <w:r w:rsidR="00F1130D" w:rsidRPr="00F1130D">
        <w:rPr>
          <w:rFonts w:ascii="Arial" w:hAnsi="Arial" w:cs="Arial"/>
          <w:color w:val="000000"/>
          <w:sz w:val="24"/>
          <w:szCs w:val="24"/>
        </w:rPr>
        <w:t xml:space="preserve">rder. </w:t>
      </w:r>
      <w:r w:rsidR="00C1197E">
        <w:rPr>
          <w:rFonts w:ascii="Arial" w:hAnsi="Arial" w:cs="Arial"/>
          <w:color w:val="000000"/>
          <w:sz w:val="24"/>
          <w:szCs w:val="24"/>
        </w:rPr>
        <w:t xml:space="preserve">The defendant’s view is that </w:t>
      </w:r>
      <w:r w:rsidR="00F1130D" w:rsidRPr="00F1130D">
        <w:rPr>
          <w:rFonts w:ascii="Arial" w:hAnsi="Arial" w:cs="Arial"/>
          <w:color w:val="000000"/>
          <w:sz w:val="24"/>
          <w:szCs w:val="24"/>
        </w:rPr>
        <w:t>the City should have approached the Court to seek an extension of the deadline</w:t>
      </w:r>
      <w:r w:rsidR="00177E4B">
        <w:rPr>
          <w:rFonts w:ascii="Arial" w:hAnsi="Arial" w:cs="Arial"/>
          <w:color w:val="000000"/>
          <w:sz w:val="24"/>
          <w:szCs w:val="24"/>
        </w:rPr>
        <w:t xml:space="preserve"> referred to </w:t>
      </w:r>
      <w:r w:rsidR="00177E4B" w:rsidRPr="00F1130D">
        <w:rPr>
          <w:rFonts w:ascii="Arial" w:hAnsi="Arial" w:cs="Arial"/>
          <w:color w:val="000000"/>
          <w:sz w:val="24"/>
          <w:szCs w:val="24"/>
        </w:rPr>
        <w:t>in</w:t>
      </w:r>
      <w:r w:rsidR="00F1130D" w:rsidRPr="00F1130D">
        <w:rPr>
          <w:rFonts w:ascii="Arial" w:hAnsi="Arial" w:cs="Arial"/>
          <w:color w:val="000000"/>
          <w:sz w:val="24"/>
          <w:szCs w:val="24"/>
        </w:rPr>
        <w:t xml:space="preserve"> terms of paragraph 43.2 of the </w:t>
      </w:r>
      <w:r w:rsidR="00AC28B8" w:rsidRPr="00F1130D">
        <w:rPr>
          <w:rFonts w:ascii="Arial" w:hAnsi="Arial" w:cs="Arial"/>
          <w:color w:val="000000"/>
          <w:sz w:val="24"/>
          <w:szCs w:val="24"/>
        </w:rPr>
        <w:t>order</w:t>
      </w:r>
      <w:r w:rsidR="00F1130D" w:rsidRPr="00F1130D">
        <w:rPr>
          <w:rFonts w:ascii="Arial" w:hAnsi="Arial" w:cs="Arial"/>
          <w:color w:val="000000"/>
          <w:sz w:val="24"/>
          <w:szCs w:val="24"/>
        </w:rPr>
        <w:t xml:space="preserve"> before the</w:t>
      </w:r>
      <w:r w:rsidR="00177E4B">
        <w:rPr>
          <w:rFonts w:ascii="Arial" w:hAnsi="Arial" w:cs="Arial"/>
          <w:color w:val="000000"/>
          <w:sz w:val="24"/>
          <w:szCs w:val="24"/>
        </w:rPr>
        <w:t xml:space="preserve"> expiry of</w:t>
      </w:r>
      <w:r w:rsidR="00C1197E">
        <w:rPr>
          <w:rFonts w:ascii="Arial" w:hAnsi="Arial" w:cs="Arial"/>
          <w:color w:val="000000"/>
          <w:sz w:val="24"/>
          <w:szCs w:val="24"/>
        </w:rPr>
        <w:t xml:space="preserve"> 30 days</w:t>
      </w:r>
      <w:r w:rsidR="00F1130D" w:rsidRPr="00F1130D">
        <w:rPr>
          <w:rFonts w:ascii="Arial" w:hAnsi="Arial" w:cs="Arial"/>
          <w:color w:val="000000"/>
          <w:sz w:val="24"/>
          <w:szCs w:val="24"/>
        </w:rPr>
        <w:t xml:space="preserve">. </w:t>
      </w:r>
    </w:p>
    <w:p w:rsidR="00F1130D" w:rsidRPr="00F1130D" w:rsidRDefault="00F1130D" w:rsidP="00F1130D">
      <w:pPr>
        <w:widowControl w:val="0"/>
        <w:autoSpaceDE w:val="0"/>
        <w:autoSpaceDN w:val="0"/>
        <w:adjustRightInd w:val="0"/>
        <w:spacing w:line="480" w:lineRule="auto"/>
        <w:jc w:val="both"/>
        <w:rPr>
          <w:rFonts w:ascii="Arial" w:hAnsi="Arial" w:cs="Arial"/>
          <w:color w:val="000000"/>
          <w:sz w:val="24"/>
          <w:szCs w:val="24"/>
        </w:rPr>
      </w:pPr>
    </w:p>
    <w:p w:rsidR="00F1130D" w:rsidRPr="00F1130D" w:rsidRDefault="00AC28B8" w:rsidP="00F1130D">
      <w:pPr>
        <w:widowControl w:val="0"/>
        <w:autoSpaceDE w:val="0"/>
        <w:autoSpaceDN w:val="0"/>
        <w:adjustRightInd w:val="0"/>
        <w:spacing w:line="480" w:lineRule="auto"/>
        <w:jc w:val="both"/>
        <w:rPr>
          <w:rFonts w:ascii="Arial" w:hAnsi="Arial" w:cs="Arial"/>
          <w:sz w:val="24"/>
          <w:szCs w:val="24"/>
        </w:rPr>
      </w:pPr>
      <w:r>
        <w:rPr>
          <w:rFonts w:ascii="Arial" w:hAnsi="Arial" w:cs="Arial"/>
          <w:color w:val="000000"/>
          <w:sz w:val="24"/>
          <w:szCs w:val="24"/>
        </w:rPr>
        <w:t>[2</w:t>
      </w:r>
      <w:r w:rsidR="00C1197E">
        <w:rPr>
          <w:rFonts w:ascii="Arial" w:hAnsi="Arial" w:cs="Arial"/>
          <w:color w:val="000000"/>
          <w:sz w:val="24"/>
          <w:szCs w:val="24"/>
        </w:rPr>
        <w:t>5</w:t>
      </w:r>
      <w:r w:rsidR="00CB7701">
        <w:rPr>
          <w:rFonts w:ascii="Arial" w:hAnsi="Arial" w:cs="Arial"/>
          <w:color w:val="000000"/>
          <w:sz w:val="24"/>
          <w:szCs w:val="24"/>
        </w:rPr>
        <w:t>]</w:t>
      </w:r>
      <w:r w:rsidR="00CB7701">
        <w:rPr>
          <w:rFonts w:ascii="Arial" w:hAnsi="Arial" w:cs="Arial"/>
          <w:color w:val="000000"/>
          <w:sz w:val="24"/>
          <w:szCs w:val="24"/>
        </w:rPr>
        <w:tab/>
      </w:r>
      <w:r w:rsidR="00F1130D" w:rsidRPr="00F1130D">
        <w:rPr>
          <w:rFonts w:ascii="Arial" w:hAnsi="Arial" w:cs="Arial"/>
          <w:color w:val="000000"/>
          <w:sz w:val="24"/>
          <w:szCs w:val="24"/>
        </w:rPr>
        <w:t xml:space="preserve">On the question of prejudice, the </w:t>
      </w:r>
      <w:r w:rsidR="00177E4B">
        <w:rPr>
          <w:rFonts w:ascii="Arial" w:hAnsi="Arial" w:cs="Arial"/>
          <w:color w:val="000000"/>
          <w:sz w:val="24"/>
          <w:szCs w:val="24"/>
        </w:rPr>
        <w:t>d</w:t>
      </w:r>
      <w:r w:rsidR="00F1130D" w:rsidRPr="00F1130D">
        <w:rPr>
          <w:rFonts w:ascii="Arial" w:hAnsi="Arial" w:cs="Arial"/>
          <w:color w:val="000000"/>
          <w:sz w:val="24"/>
          <w:szCs w:val="24"/>
        </w:rPr>
        <w:t xml:space="preserve">efendant states that it is prejudiced by the botched attempt to prosecute </w:t>
      </w:r>
      <w:r w:rsidR="00C1197E">
        <w:rPr>
          <w:rFonts w:ascii="Arial" w:hAnsi="Arial" w:cs="Arial"/>
          <w:color w:val="000000"/>
          <w:sz w:val="24"/>
          <w:szCs w:val="24"/>
        </w:rPr>
        <w:t xml:space="preserve">the plaintiff’s </w:t>
      </w:r>
      <w:r w:rsidR="00F1130D" w:rsidRPr="00F1130D">
        <w:rPr>
          <w:rFonts w:ascii="Arial" w:hAnsi="Arial" w:cs="Arial"/>
          <w:color w:val="000000"/>
          <w:sz w:val="24"/>
          <w:szCs w:val="24"/>
        </w:rPr>
        <w:t xml:space="preserve">claim. As time goes by and the matter continues, the </w:t>
      </w:r>
      <w:r w:rsidR="00177E4B">
        <w:rPr>
          <w:rFonts w:ascii="Arial" w:hAnsi="Arial" w:cs="Arial"/>
          <w:color w:val="000000"/>
          <w:sz w:val="24"/>
          <w:szCs w:val="24"/>
        </w:rPr>
        <w:t>d</w:t>
      </w:r>
      <w:r w:rsidR="00F1130D" w:rsidRPr="00F1130D">
        <w:rPr>
          <w:rFonts w:ascii="Arial" w:hAnsi="Arial" w:cs="Arial"/>
          <w:color w:val="000000"/>
          <w:sz w:val="24"/>
          <w:szCs w:val="24"/>
        </w:rPr>
        <w:t xml:space="preserve">efendant remains defamed as a result of the averments in the pleading and the action hanging over its head. </w:t>
      </w:r>
      <w:r w:rsidR="00177E4B">
        <w:rPr>
          <w:rFonts w:ascii="Arial" w:hAnsi="Arial" w:cs="Arial"/>
          <w:color w:val="000000"/>
          <w:sz w:val="24"/>
          <w:szCs w:val="24"/>
        </w:rPr>
        <w:t xml:space="preserve">The </w:t>
      </w:r>
      <w:r w:rsidR="00C1197E">
        <w:rPr>
          <w:rFonts w:ascii="Arial" w:hAnsi="Arial" w:cs="Arial"/>
          <w:color w:val="000000"/>
          <w:sz w:val="24"/>
          <w:szCs w:val="24"/>
        </w:rPr>
        <w:t>defendant</w:t>
      </w:r>
      <w:r w:rsidR="00F1130D" w:rsidRPr="00F1130D">
        <w:rPr>
          <w:rFonts w:ascii="Arial" w:hAnsi="Arial" w:cs="Arial"/>
          <w:color w:val="000000"/>
          <w:sz w:val="24"/>
          <w:szCs w:val="24"/>
        </w:rPr>
        <w:t xml:space="preserve"> is a profitable business and is required to spend hours gathering supporting evidence and historical facts in order to defend itself against the City’s weak case, which is in the public domain.  I am asked to be mindful that were I to grant condonation, </w:t>
      </w:r>
      <w:r w:rsidR="008B07CB">
        <w:rPr>
          <w:rFonts w:ascii="Arial" w:hAnsi="Arial" w:cs="Arial"/>
          <w:color w:val="000000"/>
          <w:sz w:val="24"/>
          <w:szCs w:val="24"/>
        </w:rPr>
        <w:t xml:space="preserve">it would result in the </w:t>
      </w:r>
      <w:r w:rsidR="00F1130D" w:rsidRPr="00F1130D">
        <w:rPr>
          <w:rFonts w:ascii="Arial" w:hAnsi="Arial" w:cs="Arial"/>
          <w:color w:val="000000"/>
          <w:sz w:val="24"/>
          <w:szCs w:val="24"/>
        </w:rPr>
        <w:t xml:space="preserve">plaintiff </w:t>
      </w:r>
      <w:r w:rsidR="008B07CB">
        <w:rPr>
          <w:rFonts w:ascii="Arial" w:hAnsi="Arial" w:cs="Arial"/>
          <w:color w:val="000000"/>
          <w:sz w:val="24"/>
          <w:szCs w:val="24"/>
        </w:rPr>
        <w:t xml:space="preserve">obtaining </w:t>
      </w:r>
      <w:r w:rsidR="00F1130D" w:rsidRPr="00F1130D">
        <w:rPr>
          <w:rFonts w:ascii="Arial" w:hAnsi="Arial" w:cs="Arial"/>
          <w:color w:val="000000"/>
          <w:sz w:val="24"/>
          <w:szCs w:val="24"/>
        </w:rPr>
        <w:t xml:space="preserve">another bite at the cherry when it had failed to comply with an </w:t>
      </w:r>
      <w:r w:rsidR="00177E4B">
        <w:rPr>
          <w:rFonts w:ascii="Arial" w:hAnsi="Arial" w:cs="Arial"/>
          <w:color w:val="000000"/>
          <w:sz w:val="24"/>
          <w:szCs w:val="24"/>
        </w:rPr>
        <w:t>o</w:t>
      </w:r>
      <w:r w:rsidR="00F1130D" w:rsidRPr="00F1130D">
        <w:rPr>
          <w:rFonts w:ascii="Arial" w:hAnsi="Arial" w:cs="Arial"/>
          <w:color w:val="000000"/>
          <w:sz w:val="24"/>
          <w:szCs w:val="24"/>
        </w:rPr>
        <w:t xml:space="preserve">rder of Court and that this would not serve the interests of justice. The </w:t>
      </w:r>
      <w:r w:rsidR="00177E4B">
        <w:rPr>
          <w:rFonts w:ascii="Arial" w:hAnsi="Arial" w:cs="Arial"/>
          <w:color w:val="000000"/>
          <w:sz w:val="24"/>
          <w:szCs w:val="24"/>
        </w:rPr>
        <w:t>d</w:t>
      </w:r>
      <w:r w:rsidR="00F1130D" w:rsidRPr="00F1130D">
        <w:rPr>
          <w:rFonts w:ascii="Arial" w:hAnsi="Arial" w:cs="Arial"/>
          <w:color w:val="000000"/>
          <w:sz w:val="24"/>
          <w:szCs w:val="24"/>
        </w:rPr>
        <w:t>efendant argues that the confirmatory affidavit of the City’s senior legal advisor, Ms. Mark</w:t>
      </w:r>
      <w:r w:rsidR="00177E4B">
        <w:rPr>
          <w:rFonts w:ascii="Arial" w:hAnsi="Arial" w:cs="Arial"/>
          <w:color w:val="000000"/>
          <w:sz w:val="24"/>
          <w:szCs w:val="24"/>
        </w:rPr>
        <w:t>r</w:t>
      </w:r>
      <w:r w:rsidR="00F1130D" w:rsidRPr="00F1130D">
        <w:rPr>
          <w:rFonts w:ascii="Arial" w:hAnsi="Arial" w:cs="Arial"/>
          <w:color w:val="000000"/>
          <w:sz w:val="24"/>
          <w:szCs w:val="24"/>
        </w:rPr>
        <w:t xml:space="preserve">am, takes the matter no further. </w:t>
      </w:r>
      <w:r w:rsidR="00F1130D" w:rsidRPr="00F1130D">
        <w:rPr>
          <w:rFonts w:ascii="Arial" w:hAnsi="Arial" w:cs="Arial"/>
          <w:sz w:val="24"/>
          <w:szCs w:val="24"/>
        </w:rPr>
        <w:tab/>
      </w:r>
    </w:p>
    <w:p w:rsidR="00F1130D" w:rsidRPr="00F1130D" w:rsidRDefault="00F1130D" w:rsidP="00F1130D">
      <w:pPr>
        <w:widowControl w:val="0"/>
        <w:autoSpaceDE w:val="0"/>
        <w:autoSpaceDN w:val="0"/>
        <w:adjustRightInd w:val="0"/>
        <w:spacing w:line="480" w:lineRule="auto"/>
        <w:jc w:val="both"/>
        <w:rPr>
          <w:rFonts w:ascii="Arial" w:hAnsi="Arial" w:cs="Arial"/>
          <w:color w:val="000000"/>
          <w:sz w:val="24"/>
          <w:szCs w:val="24"/>
        </w:rPr>
      </w:pPr>
    </w:p>
    <w:p w:rsidR="00F1130D" w:rsidRDefault="00CB7701" w:rsidP="00F1130D">
      <w:pPr>
        <w:widowControl w:val="0"/>
        <w:autoSpaceDE w:val="0"/>
        <w:autoSpaceDN w:val="0"/>
        <w:adjustRightInd w:val="0"/>
        <w:spacing w:line="480" w:lineRule="auto"/>
        <w:jc w:val="both"/>
        <w:rPr>
          <w:rFonts w:ascii="Arial" w:hAnsi="Arial" w:cs="Arial"/>
          <w:color w:val="000000"/>
          <w:sz w:val="24"/>
          <w:szCs w:val="24"/>
        </w:rPr>
      </w:pPr>
      <w:r>
        <w:rPr>
          <w:rFonts w:ascii="Arial" w:hAnsi="Arial" w:cs="Arial"/>
          <w:color w:val="000000"/>
          <w:sz w:val="24"/>
          <w:szCs w:val="24"/>
        </w:rPr>
        <w:t>[2</w:t>
      </w:r>
      <w:r w:rsidR="00C1197E">
        <w:rPr>
          <w:rFonts w:ascii="Arial" w:hAnsi="Arial" w:cs="Arial"/>
          <w:color w:val="000000"/>
          <w:sz w:val="24"/>
          <w:szCs w:val="24"/>
        </w:rPr>
        <w:t>6</w:t>
      </w:r>
      <w:r>
        <w:rPr>
          <w:rFonts w:ascii="Arial" w:hAnsi="Arial" w:cs="Arial"/>
          <w:color w:val="000000"/>
          <w:sz w:val="24"/>
          <w:szCs w:val="24"/>
        </w:rPr>
        <w:t>]</w:t>
      </w:r>
      <w:r>
        <w:rPr>
          <w:rFonts w:ascii="Arial" w:hAnsi="Arial" w:cs="Arial"/>
          <w:color w:val="000000"/>
          <w:sz w:val="24"/>
          <w:szCs w:val="24"/>
        </w:rPr>
        <w:tab/>
      </w:r>
      <w:r w:rsidR="00F1130D" w:rsidRPr="00F1130D">
        <w:rPr>
          <w:rFonts w:ascii="Arial" w:hAnsi="Arial" w:cs="Arial"/>
          <w:color w:val="000000"/>
          <w:sz w:val="24"/>
          <w:szCs w:val="24"/>
        </w:rPr>
        <w:t xml:space="preserve">Furthermore, </w:t>
      </w:r>
      <w:r w:rsidR="00266CC1">
        <w:rPr>
          <w:rFonts w:ascii="Arial" w:hAnsi="Arial" w:cs="Arial"/>
          <w:color w:val="000000"/>
          <w:sz w:val="24"/>
          <w:szCs w:val="24"/>
        </w:rPr>
        <w:t xml:space="preserve">it is submitted that </w:t>
      </w:r>
      <w:r w:rsidR="00F1130D" w:rsidRPr="00F1130D">
        <w:rPr>
          <w:rFonts w:ascii="Arial" w:hAnsi="Arial" w:cs="Arial"/>
          <w:color w:val="000000"/>
          <w:sz w:val="24"/>
          <w:szCs w:val="24"/>
        </w:rPr>
        <w:t xml:space="preserve">the City is able to litigate luxuriously using public funds, </w:t>
      </w:r>
      <w:r w:rsidR="00C1197E">
        <w:rPr>
          <w:rFonts w:ascii="Arial" w:hAnsi="Arial" w:cs="Arial"/>
          <w:color w:val="000000"/>
          <w:sz w:val="24"/>
          <w:szCs w:val="24"/>
        </w:rPr>
        <w:t xml:space="preserve">while </w:t>
      </w:r>
      <w:r w:rsidR="00F1130D" w:rsidRPr="00F1130D">
        <w:rPr>
          <w:rFonts w:ascii="Arial" w:hAnsi="Arial" w:cs="Arial"/>
          <w:color w:val="000000"/>
          <w:sz w:val="24"/>
          <w:szCs w:val="24"/>
        </w:rPr>
        <w:t xml:space="preserve">the </w:t>
      </w:r>
      <w:r w:rsidR="00266CC1">
        <w:rPr>
          <w:rFonts w:ascii="Arial" w:hAnsi="Arial" w:cs="Arial"/>
          <w:color w:val="000000"/>
          <w:sz w:val="24"/>
          <w:szCs w:val="24"/>
        </w:rPr>
        <w:t>defendant has t</w:t>
      </w:r>
      <w:r w:rsidR="00F1130D" w:rsidRPr="00F1130D">
        <w:rPr>
          <w:rFonts w:ascii="Arial" w:hAnsi="Arial" w:cs="Arial"/>
          <w:color w:val="000000"/>
          <w:sz w:val="24"/>
          <w:szCs w:val="24"/>
        </w:rPr>
        <w:t>o carry the costs which were awarded on the ordinary scale</w:t>
      </w:r>
      <w:r w:rsidR="00C1197E">
        <w:rPr>
          <w:rFonts w:ascii="Arial" w:hAnsi="Arial" w:cs="Arial"/>
          <w:color w:val="000000"/>
          <w:sz w:val="24"/>
          <w:szCs w:val="24"/>
        </w:rPr>
        <w:t>,</w:t>
      </w:r>
      <w:r w:rsidR="00F1130D" w:rsidRPr="00F1130D">
        <w:rPr>
          <w:rFonts w:ascii="Arial" w:hAnsi="Arial" w:cs="Arial"/>
          <w:color w:val="000000"/>
          <w:sz w:val="24"/>
          <w:szCs w:val="24"/>
        </w:rPr>
        <w:t xml:space="preserve"> leaving the </w:t>
      </w:r>
      <w:r w:rsidR="00266CC1">
        <w:rPr>
          <w:rFonts w:ascii="Arial" w:hAnsi="Arial" w:cs="Arial"/>
          <w:color w:val="000000"/>
          <w:sz w:val="24"/>
          <w:szCs w:val="24"/>
        </w:rPr>
        <w:t>d</w:t>
      </w:r>
      <w:r w:rsidR="00F1130D" w:rsidRPr="00F1130D">
        <w:rPr>
          <w:rFonts w:ascii="Arial" w:hAnsi="Arial" w:cs="Arial"/>
          <w:color w:val="000000"/>
          <w:sz w:val="24"/>
          <w:szCs w:val="24"/>
        </w:rPr>
        <w:t xml:space="preserve">efendant out of pocket at the end of the day. The submission is made that the City should have withdrawn its action and started afresh. The </w:t>
      </w:r>
      <w:r w:rsidR="00266CC1">
        <w:rPr>
          <w:rFonts w:ascii="Arial" w:hAnsi="Arial" w:cs="Arial"/>
          <w:color w:val="000000"/>
          <w:sz w:val="24"/>
          <w:szCs w:val="24"/>
        </w:rPr>
        <w:t>d</w:t>
      </w:r>
      <w:r w:rsidR="00F1130D" w:rsidRPr="00F1130D">
        <w:rPr>
          <w:rFonts w:ascii="Arial" w:hAnsi="Arial" w:cs="Arial"/>
          <w:color w:val="000000"/>
          <w:sz w:val="24"/>
          <w:szCs w:val="24"/>
        </w:rPr>
        <w:t xml:space="preserve">efendant seeks an order dismissing the counter-application with costs and granting the striking out application with costs. </w:t>
      </w:r>
    </w:p>
    <w:p w:rsidR="004F16E0" w:rsidRDefault="004F16E0" w:rsidP="00F1130D">
      <w:pPr>
        <w:widowControl w:val="0"/>
        <w:autoSpaceDE w:val="0"/>
        <w:autoSpaceDN w:val="0"/>
        <w:adjustRightInd w:val="0"/>
        <w:spacing w:line="480" w:lineRule="auto"/>
        <w:jc w:val="both"/>
        <w:rPr>
          <w:rFonts w:ascii="Arial" w:hAnsi="Arial" w:cs="Arial"/>
          <w:color w:val="000000"/>
          <w:sz w:val="24"/>
          <w:szCs w:val="24"/>
        </w:rPr>
      </w:pPr>
    </w:p>
    <w:p w:rsidR="00266CC1" w:rsidRPr="00266CC1" w:rsidRDefault="00266CC1" w:rsidP="00F1130D">
      <w:pPr>
        <w:widowControl w:val="0"/>
        <w:autoSpaceDE w:val="0"/>
        <w:autoSpaceDN w:val="0"/>
        <w:adjustRightInd w:val="0"/>
        <w:spacing w:line="480" w:lineRule="auto"/>
        <w:jc w:val="both"/>
        <w:rPr>
          <w:rFonts w:ascii="Arial" w:hAnsi="Arial" w:cs="Arial"/>
          <w:color w:val="000000"/>
          <w:sz w:val="24"/>
          <w:szCs w:val="24"/>
        </w:rPr>
      </w:pPr>
      <w:r>
        <w:rPr>
          <w:rFonts w:ascii="Arial" w:hAnsi="Arial" w:cs="Arial"/>
          <w:b/>
          <w:color w:val="000000"/>
          <w:sz w:val="24"/>
          <w:szCs w:val="24"/>
          <w:u w:val="single"/>
        </w:rPr>
        <w:t>The defendant’s submissions</w:t>
      </w:r>
    </w:p>
    <w:p w:rsidR="0069399A" w:rsidRPr="00F36708" w:rsidRDefault="00CB7701" w:rsidP="00F36708">
      <w:pPr>
        <w:spacing w:line="480" w:lineRule="auto"/>
        <w:jc w:val="both"/>
        <w:rPr>
          <w:rFonts w:ascii="Arial" w:hAnsi="Arial" w:cs="Arial"/>
          <w:sz w:val="24"/>
          <w:szCs w:val="24"/>
          <w:lang w:val="en-US"/>
        </w:rPr>
      </w:pPr>
      <w:r>
        <w:rPr>
          <w:rFonts w:ascii="Arial" w:hAnsi="Arial" w:cs="Arial"/>
          <w:sz w:val="24"/>
          <w:szCs w:val="24"/>
          <w:lang w:val="en-US"/>
        </w:rPr>
        <w:t>[2</w:t>
      </w:r>
      <w:r w:rsidR="00C1197E">
        <w:rPr>
          <w:rFonts w:ascii="Arial" w:hAnsi="Arial" w:cs="Arial"/>
          <w:sz w:val="24"/>
          <w:szCs w:val="24"/>
          <w:lang w:val="en-US"/>
        </w:rPr>
        <w:t>7</w:t>
      </w:r>
      <w:r>
        <w:rPr>
          <w:rFonts w:ascii="Arial" w:hAnsi="Arial" w:cs="Arial"/>
          <w:sz w:val="24"/>
          <w:szCs w:val="24"/>
          <w:lang w:val="en-US"/>
        </w:rPr>
        <w:t>]</w:t>
      </w:r>
      <w:r>
        <w:rPr>
          <w:rFonts w:ascii="Arial" w:hAnsi="Arial" w:cs="Arial"/>
          <w:sz w:val="24"/>
          <w:szCs w:val="24"/>
          <w:lang w:val="en-US"/>
        </w:rPr>
        <w:tab/>
      </w:r>
      <w:r w:rsidR="0069399A" w:rsidRPr="00F36708">
        <w:rPr>
          <w:rFonts w:ascii="Arial" w:hAnsi="Arial" w:cs="Arial"/>
          <w:sz w:val="24"/>
          <w:szCs w:val="24"/>
          <w:lang w:val="en-US"/>
        </w:rPr>
        <w:t xml:space="preserve">The defendant’s counsel handed up a further note on oral argument, in addition to </w:t>
      </w:r>
      <w:r w:rsidR="00266CC1">
        <w:rPr>
          <w:rFonts w:ascii="Arial" w:hAnsi="Arial" w:cs="Arial"/>
          <w:sz w:val="24"/>
          <w:szCs w:val="24"/>
          <w:lang w:val="en-US"/>
        </w:rPr>
        <w:t xml:space="preserve">his </w:t>
      </w:r>
      <w:r w:rsidR="00B639A8" w:rsidRPr="00F36708">
        <w:rPr>
          <w:rFonts w:ascii="Arial" w:hAnsi="Arial" w:cs="Arial"/>
          <w:sz w:val="24"/>
          <w:szCs w:val="24"/>
          <w:lang w:val="en-US"/>
        </w:rPr>
        <w:t>Heads</w:t>
      </w:r>
      <w:r w:rsidR="0069399A" w:rsidRPr="00F36708">
        <w:rPr>
          <w:rFonts w:ascii="Arial" w:hAnsi="Arial" w:cs="Arial"/>
          <w:sz w:val="24"/>
          <w:szCs w:val="24"/>
          <w:lang w:val="en-US"/>
        </w:rPr>
        <w:t xml:space="preserve"> of </w:t>
      </w:r>
      <w:r w:rsidR="00B639A8" w:rsidRPr="00F36708">
        <w:rPr>
          <w:rFonts w:ascii="Arial" w:hAnsi="Arial" w:cs="Arial"/>
          <w:sz w:val="24"/>
          <w:szCs w:val="24"/>
          <w:lang w:val="en-US"/>
        </w:rPr>
        <w:t>Argument</w:t>
      </w:r>
      <w:r w:rsidR="0069399A" w:rsidRPr="00F36708">
        <w:rPr>
          <w:rFonts w:ascii="Arial" w:hAnsi="Arial" w:cs="Arial"/>
          <w:sz w:val="24"/>
          <w:szCs w:val="24"/>
          <w:lang w:val="en-US"/>
        </w:rPr>
        <w:t xml:space="preserve">. I must </w:t>
      </w:r>
      <w:r w:rsidR="00266CC1">
        <w:rPr>
          <w:rFonts w:ascii="Arial" w:hAnsi="Arial" w:cs="Arial"/>
          <w:sz w:val="24"/>
          <w:szCs w:val="24"/>
          <w:lang w:val="en-US"/>
        </w:rPr>
        <w:t xml:space="preserve">state </w:t>
      </w:r>
      <w:r w:rsidR="0069399A" w:rsidRPr="00F36708">
        <w:rPr>
          <w:rFonts w:ascii="Arial" w:hAnsi="Arial" w:cs="Arial"/>
          <w:sz w:val="24"/>
          <w:szCs w:val="24"/>
          <w:lang w:val="en-US"/>
        </w:rPr>
        <w:t xml:space="preserve">that the Heads of Argument amount to a </w:t>
      </w:r>
      <w:r w:rsidR="001B3544" w:rsidRPr="00F36708">
        <w:rPr>
          <w:rFonts w:ascii="Arial" w:hAnsi="Arial" w:cs="Arial"/>
          <w:sz w:val="24"/>
          <w:szCs w:val="24"/>
          <w:lang w:val="en-US"/>
        </w:rPr>
        <w:t>regurgitation</w:t>
      </w:r>
      <w:r w:rsidR="0069399A" w:rsidRPr="00F36708">
        <w:rPr>
          <w:rFonts w:ascii="Arial" w:hAnsi="Arial" w:cs="Arial"/>
          <w:sz w:val="24"/>
          <w:szCs w:val="24"/>
          <w:lang w:val="en-US"/>
        </w:rPr>
        <w:t xml:space="preserve"> of the </w:t>
      </w:r>
      <w:r w:rsidR="008B07CB">
        <w:rPr>
          <w:rFonts w:ascii="Arial" w:hAnsi="Arial" w:cs="Arial"/>
          <w:sz w:val="24"/>
          <w:szCs w:val="24"/>
          <w:lang w:val="en-US"/>
        </w:rPr>
        <w:t xml:space="preserve">defendant’s </w:t>
      </w:r>
      <w:r w:rsidR="0069399A" w:rsidRPr="00F36708">
        <w:rPr>
          <w:rFonts w:ascii="Arial" w:hAnsi="Arial" w:cs="Arial"/>
          <w:sz w:val="24"/>
          <w:szCs w:val="24"/>
          <w:lang w:val="en-US"/>
        </w:rPr>
        <w:t xml:space="preserve">answering affidavit, but for the references and discussion of authorities. </w:t>
      </w:r>
      <w:r w:rsidR="004F16E0">
        <w:rPr>
          <w:rFonts w:ascii="Arial" w:hAnsi="Arial" w:cs="Arial"/>
          <w:sz w:val="24"/>
          <w:szCs w:val="24"/>
          <w:lang w:val="en-US"/>
        </w:rPr>
        <w:t>Counsel submits that the</w:t>
      </w:r>
      <w:r w:rsidR="0069399A" w:rsidRPr="00F36708">
        <w:rPr>
          <w:rFonts w:ascii="Arial" w:hAnsi="Arial" w:cs="Arial"/>
          <w:sz w:val="24"/>
          <w:szCs w:val="24"/>
          <w:lang w:val="en-US"/>
        </w:rPr>
        <w:t xml:space="preserve"> defendant could not condone the </w:t>
      </w:r>
      <w:r w:rsidR="001B3544" w:rsidRPr="00F36708">
        <w:rPr>
          <w:rFonts w:ascii="Arial" w:hAnsi="Arial" w:cs="Arial"/>
          <w:sz w:val="24"/>
          <w:szCs w:val="24"/>
          <w:lang w:val="en-US"/>
        </w:rPr>
        <w:t>plaintiff’s</w:t>
      </w:r>
      <w:r w:rsidR="0069399A" w:rsidRPr="00F36708">
        <w:rPr>
          <w:rFonts w:ascii="Arial" w:hAnsi="Arial" w:cs="Arial"/>
          <w:sz w:val="24"/>
          <w:szCs w:val="24"/>
          <w:lang w:val="en-US"/>
        </w:rPr>
        <w:t xml:space="preserve"> non-</w:t>
      </w:r>
      <w:r w:rsidR="001B3544" w:rsidRPr="00F36708">
        <w:rPr>
          <w:rFonts w:ascii="Arial" w:hAnsi="Arial" w:cs="Arial"/>
          <w:sz w:val="24"/>
          <w:szCs w:val="24"/>
          <w:lang w:val="en-US"/>
        </w:rPr>
        <w:t>compliance</w:t>
      </w:r>
      <w:r w:rsidR="0069399A" w:rsidRPr="00F36708">
        <w:rPr>
          <w:rFonts w:ascii="Arial" w:hAnsi="Arial" w:cs="Arial"/>
          <w:sz w:val="24"/>
          <w:szCs w:val="24"/>
          <w:lang w:val="en-US"/>
        </w:rPr>
        <w:t xml:space="preserve"> and </w:t>
      </w:r>
      <w:r w:rsidR="001B3544" w:rsidRPr="00F36708">
        <w:rPr>
          <w:rFonts w:ascii="Arial" w:hAnsi="Arial" w:cs="Arial"/>
          <w:sz w:val="24"/>
          <w:szCs w:val="24"/>
          <w:lang w:val="en-US"/>
        </w:rPr>
        <w:t>that</w:t>
      </w:r>
      <w:r w:rsidR="0069399A" w:rsidRPr="00F36708">
        <w:rPr>
          <w:rFonts w:ascii="Arial" w:hAnsi="Arial" w:cs="Arial"/>
          <w:sz w:val="24"/>
          <w:szCs w:val="24"/>
          <w:lang w:val="en-US"/>
        </w:rPr>
        <w:t xml:space="preserve"> the breach of the order is thus willful. In addition, the</w:t>
      </w:r>
      <w:r w:rsidR="008B07CB">
        <w:rPr>
          <w:rFonts w:ascii="Arial" w:hAnsi="Arial" w:cs="Arial"/>
          <w:sz w:val="24"/>
          <w:szCs w:val="24"/>
          <w:lang w:val="en-US"/>
        </w:rPr>
        <w:t xml:space="preserve">re is an absence of a </w:t>
      </w:r>
      <w:r w:rsidR="0069399A" w:rsidRPr="00F36708">
        <w:rPr>
          <w:rFonts w:ascii="Arial" w:hAnsi="Arial" w:cs="Arial"/>
          <w:sz w:val="24"/>
          <w:szCs w:val="24"/>
          <w:lang w:val="en-US"/>
        </w:rPr>
        <w:t xml:space="preserve">clear, full and frank explanation </w:t>
      </w:r>
      <w:r w:rsidR="008B07CB">
        <w:rPr>
          <w:rFonts w:ascii="Arial" w:hAnsi="Arial" w:cs="Arial"/>
          <w:sz w:val="24"/>
          <w:szCs w:val="24"/>
          <w:lang w:val="en-US"/>
        </w:rPr>
        <w:t xml:space="preserve">for the plaintiff’s </w:t>
      </w:r>
      <w:r w:rsidR="0069399A" w:rsidRPr="00F36708">
        <w:rPr>
          <w:rFonts w:ascii="Arial" w:hAnsi="Arial" w:cs="Arial"/>
          <w:sz w:val="24"/>
          <w:szCs w:val="24"/>
          <w:lang w:val="en-US"/>
        </w:rPr>
        <w:t>delay</w:t>
      </w:r>
      <w:r w:rsidR="008B07CB">
        <w:rPr>
          <w:rFonts w:ascii="Arial" w:hAnsi="Arial" w:cs="Arial"/>
          <w:sz w:val="24"/>
          <w:szCs w:val="24"/>
          <w:lang w:val="en-US"/>
        </w:rPr>
        <w:t>.</w:t>
      </w:r>
      <w:r w:rsidR="004F16E0">
        <w:rPr>
          <w:rFonts w:ascii="Arial" w:hAnsi="Arial" w:cs="Arial"/>
          <w:sz w:val="24"/>
          <w:szCs w:val="24"/>
          <w:lang w:val="en-US"/>
        </w:rPr>
        <w:t xml:space="preserve"> It is submitted that</w:t>
      </w:r>
      <w:r w:rsidR="0069399A" w:rsidRPr="00F36708">
        <w:rPr>
          <w:rFonts w:ascii="Arial" w:hAnsi="Arial" w:cs="Arial"/>
          <w:b/>
          <w:sz w:val="24"/>
          <w:szCs w:val="24"/>
          <w:lang w:val="en-US"/>
        </w:rPr>
        <w:t xml:space="preserve"> </w:t>
      </w:r>
      <w:r w:rsidR="0069399A" w:rsidRPr="00F36708">
        <w:rPr>
          <w:rFonts w:ascii="Arial" w:hAnsi="Arial" w:cs="Arial"/>
          <w:sz w:val="24"/>
          <w:szCs w:val="24"/>
          <w:lang w:val="en-US"/>
        </w:rPr>
        <w:t xml:space="preserve">organs of State such as the plaintiff, are held to a higher standard when it comes to compliance with </w:t>
      </w:r>
      <w:r w:rsidR="004F16E0">
        <w:rPr>
          <w:rFonts w:ascii="Arial" w:hAnsi="Arial" w:cs="Arial"/>
          <w:sz w:val="24"/>
          <w:szCs w:val="24"/>
          <w:lang w:val="en-US"/>
        </w:rPr>
        <w:t>C</w:t>
      </w:r>
      <w:r w:rsidR="0069399A" w:rsidRPr="00F36708">
        <w:rPr>
          <w:rFonts w:ascii="Arial" w:hAnsi="Arial" w:cs="Arial"/>
          <w:sz w:val="24"/>
          <w:szCs w:val="24"/>
          <w:lang w:val="en-US"/>
        </w:rPr>
        <w:t>ourt orders</w:t>
      </w:r>
      <w:r w:rsidR="004F16E0">
        <w:rPr>
          <w:rStyle w:val="FootnoteReference"/>
          <w:rFonts w:ascii="Arial" w:hAnsi="Arial" w:cs="Arial"/>
          <w:sz w:val="24"/>
          <w:szCs w:val="24"/>
          <w:lang w:val="en-US"/>
        </w:rPr>
        <w:footnoteReference w:id="9"/>
      </w:r>
      <w:r w:rsidR="0069399A" w:rsidRPr="00F36708">
        <w:rPr>
          <w:rFonts w:ascii="Arial" w:hAnsi="Arial" w:cs="Arial"/>
          <w:sz w:val="24"/>
          <w:szCs w:val="24"/>
          <w:lang w:val="en-US"/>
        </w:rPr>
        <w:t>. The argument go</w:t>
      </w:r>
      <w:r w:rsidR="00F36708">
        <w:rPr>
          <w:rFonts w:ascii="Arial" w:hAnsi="Arial" w:cs="Arial"/>
          <w:sz w:val="24"/>
          <w:szCs w:val="24"/>
          <w:lang w:val="en-US"/>
        </w:rPr>
        <w:t>e</w:t>
      </w:r>
      <w:r w:rsidR="0069399A" w:rsidRPr="00F36708">
        <w:rPr>
          <w:rFonts w:ascii="Arial" w:hAnsi="Arial" w:cs="Arial"/>
          <w:sz w:val="24"/>
          <w:szCs w:val="24"/>
          <w:lang w:val="en-US"/>
        </w:rPr>
        <w:t xml:space="preserve">s </w:t>
      </w:r>
      <w:r w:rsidR="00F36708" w:rsidRPr="00F36708">
        <w:rPr>
          <w:rFonts w:ascii="Arial" w:hAnsi="Arial" w:cs="Arial"/>
          <w:sz w:val="24"/>
          <w:szCs w:val="24"/>
          <w:lang w:val="en-US"/>
        </w:rPr>
        <w:t>that</w:t>
      </w:r>
      <w:r w:rsidR="0069399A" w:rsidRPr="00F36708">
        <w:rPr>
          <w:rFonts w:ascii="Arial" w:hAnsi="Arial" w:cs="Arial"/>
          <w:sz w:val="24"/>
          <w:szCs w:val="24"/>
          <w:lang w:val="en-US"/>
        </w:rPr>
        <w:t xml:space="preserve"> if the explanation</w:t>
      </w:r>
      <w:r w:rsidR="004F16E0">
        <w:rPr>
          <w:rFonts w:ascii="Arial" w:hAnsi="Arial" w:cs="Arial"/>
          <w:sz w:val="24"/>
          <w:szCs w:val="24"/>
          <w:lang w:val="en-US"/>
        </w:rPr>
        <w:t xml:space="preserve"> does not pass muster</w:t>
      </w:r>
      <w:r w:rsidR="0069399A" w:rsidRPr="00F36708">
        <w:rPr>
          <w:rFonts w:ascii="Arial" w:hAnsi="Arial" w:cs="Arial"/>
          <w:sz w:val="24"/>
          <w:szCs w:val="24"/>
          <w:lang w:val="en-US"/>
        </w:rPr>
        <w:t>, then there is no need to deal with the rest of the issues in respect of condonation.</w:t>
      </w:r>
    </w:p>
    <w:p w:rsidR="0069399A" w:rsidRPr="00F36708" w:rsidRDefault="0069399A" w:rsidP="00F36708">
      <w:pPr>
        <w:spacing w:line="480" w:lineRule="auto"/>
        <w:jc w:val="both"/>
        <w:rPr>
          <w:rFonts w:ascii="Arial" w:hAnsi="Arial" w:cs="Arial"/>
          <w:sz w:val="24"/>
          <w:szCs w:val="24"/>
          <w:lang w:val="en-US"/>
        </w:rPr>
      </w:pPr>
    </w:p>
    <w:p w:rsidR="0069399A" w:rsidRDefault="00CB7701" w:rsidP="00F36708">
      <w:pPr>
        <w:spacing w:line="480" w:lineRule="auto"/>
        <w:jc w:val="both"/>
        <w:rPr>
          <w:rFonts w:ascii="Arial" w:hAnsi="Arial" w:cs="Arial"/>
          <w:sz w:val="24"/>
          <w:szCs w:val="24"/>
          <w:lang w:val="en-US"/>
        </w:rPr>
      </w:pPr>
      <w:r>
        <w:rPr>
          <w:rFonts w:ascii="Arial" w:hAnsi="Arial" w:cs="Arial"/>
          <w:sz w:val="24"/>
          <w:szCs w:val="24"/>
          <w:lang w:val="en-US"/>
        </w:rPr>
        <w:t>[28]</w:t>
      </w:r>
      <w:r>
        <w:rPr>
          <w:rFonts w:ascii="Arial" w:hAnsi="Arial" w:cs="Arial"/>
          <w:sz w:val="24"/>
          <w:szCs w:val="24"/>
          <w:lang w:val="en-US"/>
        </w:rPr>
        <w:tab/>
      </w:r>
      <w:r w:rsidR="004F16E0">
        <w:rPr>
          <w:rFonts w:ascii="Arial" w:hAnsi="Arial" w:cs="Arial"/>
          <w:sz w:val="24"/>
          <w:szCs w:val="24"/>
          <w:lang w:val="en-US"/>
        </w:rPr>
        <w:t>T</w:t>
      </w:r>
      <w:r w:rsidR="0069399A" w:rsidRPr="00F36708">
        <w:rPr>
          <w:rFonts w:ascii="Arial" w:hAnsi="Arial" w:cs="Arial"/>
          <w:sz w:val="24"/>
          <w:szCs w:val="24"/>
          <w:lang w:val="en-US"/>
        </w:rPr>
        <w:t xml:space="preserve">he </w:t>
      </w:r>
      <w:r w:rsidR="00F36708" w:rsidRPr="00F36708">
        <w:rPr>
          <w:rFonts w:ascii="Arial" w:hAnsi="Arial" w:cs="Arial"/>
          <w:sz w:val="24"/>
          <w:szCs w:val="24"/>
          <w:lang w:val="en-US"/>
        </w:rPr>
        <w:t>defendant’s</w:t>
      </w:r>
      <w:r w:rsidR="0069399A" w:rsidRPr="00F36708">
        <w:rPr>
          <w:rFonts w:ascii="Arial" w:hAnsi="Arial" w:cs="Arial"/>
          <w:sz w:val="24"/>
          <w:szCs w:val="24"/>
          <w:lang w:val="en-US"/>
        </w:rPr>
        <w:t xml:space="preserve"> counsel submits </w:t>
      </w:r>
      <w:r w:rsidR="004F16E0">
        <w:rPr>
          <w:rFonts w:ascii="Arial" w:hAnsi="Arial" w:cs="Arial"/>
          <w:sz w:val="24"/>
          <w:szCs w:val="24"/>
          <w:lang w:val="en-US"/>
        </w:rPr>
        <w:t xml:space="preserve">that </w:t>
      </w:r>
      <w:r w:rsidR="0069399A" w:rsidRPr="00F36708">
        <w:rPr>
          <w:rFonts w:ascii="Arial" w:hAnsi="Arial" w:cs="Arial"/>
          <w:sz w:val="24"/>
          <w:szCs w:val="24"/>
          <w:lang w:val="en-US"/>
        </w:rPr>
        <w:t xml:space="preserve">no reason is advanced for the failure to approach the </w:t>
      </w:r>
      <w:r w:rsidR="00C1197E">
        <w:rPr>
          <w:rFonts w:ascii="Arial" w:hAnsi="Arial" w:cs="Arial"/>
          <w:sz w:val="24"/>
          <w:szCs w:val="24"/>
          <w:lang w:val="en-US"/>
        </w:rPr>
        <w:t>C</w:t>
      </w:r>
      <w:r w:rsidR="0069399A" w:rsidRPr="00F36708">
        <w:rPr>
          <w:rFonts w:ascii="Arial" w:hAnsi="Arial" w:cs="Arial"/>
          <w:sz w:val="24"/>
          <w:szCs w:val="24"/>
          <w:lang w:val="en-US"/>
        </w:rPr>
        <w:t xml:space="preserve">ourt to seek an extension of the </w:t>
      </w:r>
      <w:r w:rsidR="00F36708">
        <w:rPr>
          <w:rFonts w:ascii="Arial" w:hAnsi="Arial" w:cs="Arial"/>
          <w:sz w:val="24"/>
          <w:szCs w:val="24"/>
          <w:lang w:val="en-US"/>
        </w:rPr>
        <w:t xml:space="preserve">30 days </w:t>
      </w:r>
      <w:r w:rsidR="004F16E0">
        <w:rPr>
          <w:rFonts w:ascii="Arial" w:hAnsi="Arial" w:cs="Arial"/>
          <w:sz w:val="24"/>
          <w:szCs w:val="24"/>
          <w:lang w:val="en-US"/>
        </w:rPr>
        <w:t>nor why</w:t>
      </w:r>
      <w:r w:rsidR="00F36708">
        <w:rPr>
          <w:rFonts w:ascii="Arial" w:hAnsi="Arial" w:cs="Arial"/>
          <w:sz w:val="24"/>
          <w:szCs w:val="24"/>
          <w:lang w:val="en-US"/>
        </w:rPr>
        <w:t xml:space="preserve"> the consultations with the officials and engineers </w:t>
      </w:r>
      <w:r w:rsidR="004F16E0">
        <w:rPr>
          <w:rFonts w:ascii="Arial" w:hAnsi="Arial" w:cs="Arial"/>
          <w:sz w:val="24"/>
          <w:szCs w:val="24"/>
          <w:lang w:val="en-US"/>
        </w:rPr>
        <w:t>only</w:t>
      </w:r>
      <w:r w:rsidR="00F36708">
        <w:rPr>
          <w:rFonts w:ascii="Arial" w:hAnsi="Arial" w:cs="Arial"/>
          <w:sz w:val="24"/>
          <w:szCs w:val="24"/>
          <w:lang w:val="en-US"/>
        </w:rPr>
        <w:t xml:space="preserve"> occurred in June</w:t>
      </w:r>
      <w:r w:rsidR="008B07CB">
        <w:rPr>
          <w:rFonts w:ascii="Arial" w:hAnsi="Arial" w:cs="Arial"/>
          <w:sz w:val="24"/>
          <w:szCs w:val="24"/>
          <w:lang w:val="en-US"/>
        </w:rPr>
        <w:t>, and the de</w:t>
      </w:r>
      <w:r w:rsidR="001B3544">
        <w:rPr>
          <w:rFonts w:ascii="Arial" w:hAnsi="Arial" w:cs="Arial"/>
          <w:sz w:val="24"/>
          <w:szCs w:val="24"/>
          <w:lang w:val="en-US"/>
        </w:rPr>
        <w:t>fendant</w:t>
      </w:r>
      <w:r w:rsidR="00F36708">
        <w:rPr>
          <w:rFonts w:ascii="Arial" w:hAnsi="Arial" w:cs="Arial"/>
          <w:sz w:val="24"/>
          <w:szCs w:val="24"/>
          <w:lang w:val="en-US"/>
        </w:rPr>
        <w:t xml:space="preserve"> was never requested to provide information </w:t>
      </w:r>
      <w:r w:rsidR="004F16E0">
        <w:rPr>
          <w:rFonts w:ascii="Arial" w:hAnsi="Arial" w:cs="Arial"/>
          <w:sz w:val="24"/>
          <w:szCs w:val="24"/>
          <w:lang w:val="en-US"/>
        </w:rPr>
        <w:t xml:space="preserve">in order </w:t>
      </w:r>
      <w:r w:rsidR="00F36708">
        <w:rPr>
          <w:rFonts w:ascii="Arial" w:hAnsi="Arial" w:cs="Arial"/>
          <w:sz w:val="24"/>
          <w:szCs w:val="24"/>
          <w:lang w:val="en-US"/>
        </w:rPr>
        <w:t xml:space="preserve">for the plaintiff to </w:t>
      </w:r>
      <w:r w:rsidR="001B3544">
        <w:rPr>
          <w:rFonts w:ascii="Arial" w:hAnsi="Arial" w:cs="Arial"/>
          <w:sz w:val="24"/>
          <w:szCs w:val="24"/>
          <w:lang w:val="en-US"/>
        </w:rPr>
        <w:t>have</w:t>
      </w:r>
      <w:r w:rsidR="00F36708">
        <w:rPr>
          <w:rFonts w:ascii="Arial" w:hAnsi="Arial" w:cs="Arial"/>
          <w:sz w:val="24"/>
          <w:szCs w:val="24"/>
          <w:lang w:val="en-US"/>
        </w:rPr>
        <w:t xml:space="preserve"> </w:t>
      </w:r>
      <w:r w:rsidR="001B3544">
        <w:rPr>
          <w:rFonts w:ascii="Arial" w:hAnsi="Arial" w:cs="Arial"/>
          <w:sz w:val="24"/>
          <w:szCs w:val="24"/>
          <w:lang w:val="en-US"/>
        </w:rPr>
        <w:t>attended</w:t>
      </w:r>
      <w:r w:rsidR="00F36708">
        <w:rPr>
          <w:rFonts w:ascii="Arial" w:hAnsi="Arial" w:cs="Arial"/>
          <w:sz w:val="24"/>
          <w:szCs w:val="24"/>
          <w:lang w:val="en-US"/>
        </w:rPr>
        <w:t xml:space="preserve"> to the amendment</w:t>
      </w:r>
      <w:r w:rsidR="00C1197E">
        <w:rPr>
          <w:rFonts w:ascii="Arial" w:hAnsi="Arial" w:cs="Arial"/>
          <w:sz w:val="24"/>
          <w:szCs w:val="24"/>
          <w:lang w:val="en-US"/>
        </w:rPr>
        <w:t>s</w:t>
      </w:r>
      <w:r w:rsidR="00F36708">
        <w:rPr>
          <w:rFonts w:ascii="Arial" w:hAnsi="Arial" w:cs="Arial"/>
          <w:sz w:val="24"/>
          <w:szCs w:val="24"/>
          <w:lang w:val="en-US"/>
        </w:rPr>
        <w:t>.</w:t>
      </w:r>
    </w:p>
    <w:p w:rsidR="00FE05D5" w:rsidRDefault="00CB7701" w:rsidP="00F36708">
      <w:pPr>
        <w:spacing w:line="480" w:lineRule="auto"/>
        <w:jc w:val="both"/>
        <w:rPr>
          <w:rFonts w:ascii="Arial" w:hAnsi="Arial" w:cs="Arial"/>
          <w:sz w:val="24"/>
          <w:szCs w:val="24"/>
          <w:lang w:val="en-US"/>
        </w:rPr>
      </w:pPr>
      <w:r>
        <w:rPr>
          <w:rFonts w:ascii="Arial" w:hAnsi="Arial" w:cs="Arial"/>
          <w:sz w:val="24"/>
          <w:szCs w:val="24"/>
          <w:lang w:val="en-US"/>
        </w:rPr>
        <w:t>[2</w:t>
      </w:r>
      <w:r w:rsidR="00C1197E">
        <w:rPr>
          <w:rFonts w:ascii="Arial" w:hAnsi="Arial" w:cs="Arial"/>
          <w:sz w:val="24"/>
          <w:szCs w:val="24"/>
          <w:lang w:val="en-US"/>
        </w:rPr>
        <w:t>9</w:t>
      </w:r>
      <w:r>
        <w:rPr>
          <w:rFonts w:ascii="Arial" w:hAnsi="Arial" w:cs="Arial"/>
          <w:sz w:val="24"/>
          <w:szCs w:val="24"/>
          <w:lang w:val="en-US"/>
        </w:rPr>
        <w:t>]</w:t>
      </w:r>
      <w:r>
        <w:rPr>
          <w:rFonts w:ascii="Arial" w:hAnsi="Arial" w:cs="Arial"/>
          <w:sz w:val="24"/>
          <w:szCs w:val="24"/>
          <w:lang w:val="en-US"/>
        </w:rPr>
        <w:tab/>
      </w:r>
      <w:r w:rsidR="00F36708">
        <w:rPr>
          <w:rFonts w:ascii="Arial" w:hAnsi="Arial" w:cs="Arial"/>
          <w:sz w:val="24"/>
          <w:szCs w:val="24"/>
          <w:lang w:val="en-US"/>
        </w:rPr>
        <w:t xml:space="preserve">As </w:t>
      </w:r>
      <w:r w:rsidR="00C1197E">
        <w:rPr>
          <w:rFonts w:ascii="Arial" w:hAnsi="Arial" w:cs="Arial"/>
          <w:sz w:val="24"/>
          <w:szCs w:val="24"/>
          <w:lang w:val="en-US"/>
        </w:rPr>
        <w:t xml:space="preserve">for </w:t>
      </w:r>
      <w:r w:rsidR="004F16E0">
        <w:rPr>
          <w:rFonts w:ascii="Arial" w:hAnsi="Arial" w:cs="Arial"/>
          <w:sz w:val="24"/>
          <w:szCs w:val="24"/>
          <w:lang w:val="en-US"/>
        </w:rPr>
        <w:t xml:space="preserve">Ms Markram’s </w:t>
      </w:r>
      <w:r w:rsidR="008D4F0A">
        <w:rPr>
          <w:rFonts w:ascii="Arial" w:hAnsi="Arial" w:cs="Arial"/>
          <w:sz w:val="24"/>
          <w:szCs w:val="24"/>
          <w:lang w:val="en-US"/>
        </w:rPr>
        <w:t xml:space="preserve">confirmatory </w:t>
      </w:r>
      <w:r w:rsidR="001B3544">
        <w:rPr>
          <w:rFonts w:ascii="Arial" w:hAnsi="Arial" w:cs="Arial"/>
          <w:sz w:val="24"/>
          <w:szCs w:val="24"/>
          <w:lang w:val="en-US"/>
        </w:rPr>
        <w:t>affidavit, it</w:t>
      </w:r>
      <w:r w:rsidR="008D4F0A">
        <w:rPr>
          <w:rFonts w:ascii="Arial" w:hAnsi="Arial" w:cs="Arial"/>
          <w:sz w:val="24"/>
          <w:szCs w:val="24"/>
          <w:lang w:val="en-US"/>
        </w:rPr>
        <w:t xml:space="preserve"> does not address the issues regarding officials on leave and falls short of what is s</w:t>
      </w:r>
      <w:r w:rsidR="004F16E0">
        <w:rPr>
          <w:rFonts w:ascii="Arial" w:hAnsi="Arial" w:cs="Arial"/>
          <w:sz w:val="24"/>
          <w:szCs w:val="24"/>
          <w:lang w:val="en-US"/>
        </w:rPr>
        <w:t>t</w:t>
      </w:r>
      <w:r w:rsidR="008D4F0A">
        <w:rPr>
          <w:rFonts w:ascii="Arial" w:hAnsi="Arial" w:cs="Arial"/>
          <w:sz w:val="24"/>
          <w:szCs w:val="24"/>
          <w:lang w:val="en-US"/>
        </w:rPr>
        <w:t xml:space="preserve">ated in </w:t>
      </w:r>
      <w:r w:rsidR="008D4F0A" w:rsidRPr="008B07CB">
        <w:rPr>
          <w:rFonts w:ascii="Arial" w:hAnsi="Arial" w:cs="Arial"/>
          <w:b/>
          <w:sz w:val="24"/>
          <w:szCs w:val="24"/>
          <w:u w:val="single"/>
          <w:lang w:val="en-US"/>
        </w:rPr>
        <w:t>Drift</w:t>
      </w:r>
      <w:r w:rsidR="00EC1894" w:rsidRPr="008B07CB">
        <w:rPr>
          <w:rFonts w:ascii="Arial" w:hAnsi="Arial" w:cs="Arial"/>
          <w:b/>
          <w:sz w:val="24"/>
          <w:szCs w:val="24"/>
          <w:u w:val="single"/>
          <w:lang w:val="en-US"/>
        </w:rPr>
        <w:t xml:space="preserve"> </w:t>
      </w:r>
      <w:r w:rsidR="008D4F0A" w:rsidRPr="008B07CB">
        <w:rPr>
          <w:rFonts w:ascii="Arial" w:hAnsi="Arial" w:cs="Arial"/>
          <w:b/>
          <w:sz w:val="24"/>
          <w:szCs w:val="24"/>
          <w:u w:val="single"/>
          <w:lang w:val="en-US"/>
        </w:rPr>
        <w:t>Supersand v Mogale City Local Government</w:t>
      </w:r>
      <w:r w:rsidR="00EC1894">
        <w:rPr>
          <w:rStyle w:val="FootnoteReference"/>
          <w:rFonts w:ascii="Arial" w:hAnsi="Arial" w:cs="Arial"/>
          <w:b/>
          <w:sz w:val="24"/>
          <w:szCs w:val="24"/>
          <w:lang w:val="en-US"/>
        </w:rPr>
        <w:footnoteReference w:id="10"/>
      </w:r>
      <w:r w:rsidR="001B3544">
        <w:rPr>
          <w:rFonts w:ascii="Arial" w:hAnsi="Arial" w:cs="Arial"/>
          <w:b/>
          <w:sz w:val="24"/>
          <w:szCs w:val="24"/>
          <w:lang w:val="en-US"/>
        </w:rPr>
        <w:t xml:space="preserve">. </w:t>
      </w:r>
      <w:r w:rsidR="001B3544" w:rsidRPr="00EC1894">
        <w:rPr>
          <w:rFonts w:ascii="Arial" w:hAnsi="Arial" w:cs="Arial"/>
          <w:sz w:val="24"/>
          <w:szCs w:val="24"/>
          <w:lang w:val="en-US"/>
        </w:rPr>
        <w:t>As</w:t>
      </w:r>
      <w:r w:rsidR="008D4F0A">
        <w:rPr>
          <w:rFonts w:ascii="Arial" w:hAnsi="Arial" w:cs="Arial"/>
          <w:sz w:val="24"/>
          <w:szCs w:val="24"/>
          <w:lang w:val="en-US"/>
        </w:rPr>
        <w:t xml:space="preserve"> </w:t>
      </w:r>
      <w:r w:rsidR="00E97915">
        <w:rPr>
          <w:rFonts w:ascii="Arial" w:hAnsi="Arial" w:cs="Arial"/>
          <w:sz w:val="24"/>
          <w:szCs w:val="24"/>
          <w:lang w:val="en-US"/>
        </w:rPr>
        <w:t xml:space="preserve">regards the </w:t>
      </w:r>
      <w:r w:rsidR="008D4F0A">
        <w:rPr>
          <w:rFonts w:ascii="Arial" w:hAnsi="Arial" w:cs="Arial"/>
          <w:sz w:val="24"/>
          <w:szCs w:val="24"/>
          <w:lang w:val="en-US"/>
        </w:rPr>
        <w:t xml:space="preserve">test for condonation, counsel submitted that </w:t>
      </w:r>
      <w:r w:rsidR="008D4F0A" w:rsidRPr="00E97915">
        <w:rPr>
          <w:rFonts w:ascii="Arial" w:hAnsi="Arial" w:cs="Arial"/>
          <w:b/>
          <w:sz w:val="24"/>
          <w:szCs w:val="24"/>
          <w:u w:val="single"/>
          <w:lang w:val="en-US"/>
        </w:rPr>
        <w:t xml:space="preserve">Wilson </w:t>
      </w:r>
      <w:r w:rsidR="00FE05D5">
        <w:rPr>
          <w:rFonts w:ascii="Arial" w:hAnsi="Arial" w:cs="Arial"/>
          <w:sz w:val="24"/>
          <w:szCs w:val="24"/>
          <w:lang w:val="en-US"/>
        </w:rPr>
        <w:t xml:space="preserve">was </w:t>
      </w:r>
      <w:r w:rsidR="008D4F0A">
        <w:rPr>
          <w:rFonts w:ascii="Arial" w:hAnsi="Arial" w:cs="Arial"/>
          <w:sz w:val="24"/>
          <w:szCs w:val="24"/>
          <w:lang w:val="en-US"/>
        </w:rPr>
        <w:t xml:space="preserve">overruled by the </w:t>
      </w:r>
      <w:r w:rsidR="001B3544">
        <w:rPr>
          <w:rFonts w:ascii="Arial" w:hAnsi="Arial" w:cs="Arial"/>
          <w:sz w:val="24"/>
          <w:szCs w:val="24"/>
          <w:lang w:val="en-US"/>
        </w:rPr>
        <w:t>Full</w:t>
      </w:r>
      <w:r w:rsidR="008D4F0A">
        <w:rPr>
          <w:rFonts w:ascii="Arial" w:hAnsi="Arial" w:cs="Arial"/>
          <w:sz w:val="24"/>
          <w:szCs w:val="24"/>
          <w:lang w:val="en-US"/>
        </w:rPr>
        <w:t xml:space="preserve"> Bench in </w:t>
      </w:r>
      <w:r w:rsidR="008D4F0A" w:rsidRPr="00E97915">
        <w:rPr>
          <w:rFonts w:ascii="Arial" w:hAnsi="Arial" w:cs="Arial"/>
          <w:b/>
          <w:sz w:val="24"/>
          <w:szCs w:val="24"/>
          <w:u w:val="single"/>
          <w:lang w:val="en-US"/>
        </w:rPr>
        <w:t xml:space="preserve">Wanson Company of South Africa (Pty) Ltd v </w:t>
      </w:r>
      <w:r w:rsidRPr="00E97915">
        <w:rPr>
          <w:rFonts w:ascii="Arial" w:hAnsi="Arial" w:cs="Arial"/>
          <w:b/>
          <w:sz w:val="24"/>
          <w:szCs w:val="24"/>
          <w:u w:val="single"/>
          <w:lang w:val="en-US"/>
        </w:rPr>
        <w:t xml:space="preserve">Establissements Wanson </w:t>
      </w:r>
      <w:r w:rsidR="00FE05D5" w:rsidRPr="00E97915">
        <w:rPr>
          <w:rFonts w:ascii="Arial" w:hAnsi="Arial" w:cs="Arial"/>
          <w:b/>
          <w:sz w:val="24"/>
          <w:szCs w:val="24"/>
          <w:u w:val="single"/>
          <w:lang w:val="en-US"/>
        </w:rPr>
        <w:t>Construction</w:t>
      </w:r>
      <w:r w:rsidRPr="00E97915">
        <w:rPr>
          <w:rFonts w:ascii="Arial" w:hAnsi="Arial" w:cs="Arial"/>
          <w:b/>
          <w:sz w:val="24"/>
          <w:szCs w:val="24"/>
          <w:u w:val="single"/>
          <w:lang w:val="en-US"/>
        </w:rPr>
        <w:t xml:space="preserve"> De Material Thermieque Societ</w:t>
      </w:r>
      <w:r w:rsidR="00FE05D5" w:rsidRPr="00E97915">
        <w:rPr>
          <w:rFonts w:ascii="Arial" w:hAnsi="Arial" w:cs="Arial"/>
          <w:b/>
          <w:sz w:val="24"/>
          <w:szCs w:val="24"/>
          <w:u w:val="single"/>
          <w:lang w:val="en-US"/>
        </w:rPr>
        <w:t>e</w:t>
      </w:r>
      <w:r w:rsidRPr="00E97915">
        <w:rPr>
          <w:rFonts w:ascii="Arial" w:hAnsi="Arial" w:cs="Arial"/>
          <w:b/>
          <w:sz w:val="24"/>
          <w:szCs w:val="24"/>
          <w:u w:val="single"/>
          <w:lang w:val="en-US"/>
        </w:rPr>
        <w:t xml:space="preserve"> Anonyme</w:t>
      </w:r>
      <w:r>
        <w:rPr>
          <w:rStyle w:val="FootnoteReference"/>
          <w:rFonts w:ascii="Arial" w:hAnsi="Arial" w:cs="Arial"/>
          <w:b/>
          <w:sz w:val="24"/>
          <w:szCs w:val="24"/>
          <w:lang w:val="en-US"/>
        </w:rPr>
        <w:footnoteReference w:id="11"/>
      </w:r>
      <w:r w:rsidR="008D4F0A">
        <w:rPr>
          <w:rFonts w:ascii="Arial" w:hAnsi="Arial" w:cs="Arial"/>
          <w:sz w:val="24"/>
          <w:szCs w:val="24"/>
          <w:lang w:val="en-US"/>
        </w:rPr>
        <w:t>, wh</w:t>
      </w:r>
      <w:r w:rsidR="00E97915">
        <w:rPr>
          <w:rFonts w:ascii="Arial" w:hAnsi="Arial" w:cs="Arial"/>
          <w:sz w:val="24"/>
          <w:szCs w:val="24"/>
          <w:lang w:val="en-US"/>
        </w:rPr>
        <w:t xml:space="preserve">ich </w:t>
      </w:r>
      <w:r w:rsidR="008D4F0A">
        <w:rPr>
          <w:rFonts w:ascii="Arial" w:hAnsi="Arial" w:cs="Arial"/>
          <w:sz w:val="24"/>
          <w:szCs w:val="24"/>
          <w:lang w:val="en-US"/>
        </w:rPr>
        <w:t xml:space="preserve">held that </w:t>
      </w:r>
      <w:r w:rsidR="001B3544">
        <w:rPr>
          <w:rFonts w:ascii="Arial" w:hAnsi="Arial" w:cs="Arial"/>
          <w:sz w:val="24"/>
          <w:szCs w:val="24"/>
          <w:lang w:val="en-US"/>
        </w:rPr>
        <w:t>contumacy</w:t>
      </w:r>
      <w:r w:rsidR="008D4F0A">
        <w:rPr>
          <w:rFonts w:ascii="Arial" w:hAnsi="Arial" w:cs="Arial"/>
          <w:sz w:val="24"/>
          <w:szCs w:val="24"/>
          <w:lang w:val="en-US"/>
        </w:rPr>
        <w:t xml:space="preserve"> was not the </w:t>
      </w:r>
      <w:r w:rsidR="00FE05D5">
        <w:rPr>
          <w:rFonts w:ascii="Arial" w:hAnsi="Arial" w:cs="Arial"/>
          <w:sz w:val="24"/>
          <w:szCs w:val="24"/>
          <w:lang w:val="en-US"/>
        </w:rPr>
        <w:t>only</w:t>
      </w:r>
      <w:r w:rsidR="008D4F0A">
        <w:rPr>
          <w:rFonts w:ascii="Arial" w:hAnsi="Arial" w:cs="Arial"/>
          <w:sz w:val="24"/>
          <w:szCs w:val="24"/>
          <w:lang w:val="en-US"/>
        </w:rPr>
        <w:t xml:space="preserve"> reason </w:t>
      </w:r>
      <w:r w:rsidR="001B3544">
        <w:rPr>
          <w:rFonts w:ascii="Arial" w:hAnsi="Arial" w:cs="Arial"/>
          <w:sz w:val="24"/>
          <w:szCs w:val="24"/>
          <w:lang w:val="en-US"/>
        </w:rPr>
        <w:t>for</w:t>
      </w:r>
      <w:r w:rsidR="008D4F0A">
        <w:rPr>
          <w:rFonts w:ascii="Arial" w:hAnsi="Arial" w:cs="Arial"/>
          <w:sz w:val="24"/>
          <w:szCs w:val="24"/>
          <w:lang w:val="en-US"/>
        </w:rPr>
        <w:t xml:space="preserve"> </w:t>
      </w:r>
      <w:r w:rsidR="001B3544">
        <w:rPr>
          <w:rFonts w:ascii="Arial" w:hAnsi="Arial" w:cs="Arial"/>
          <w:sz w:val="24"/>
          <w:szCs w:val="24"/>
          <w:lang w:val="en-US"/>
        </w:rPr>
        <w:t>striking</w:t>
      </w:r>
      <w:r w:rsidR="008D4F0A">
        <w:rPr>
          <w:rFonts w:ascii="Arial" w:hAnsi="Arial" w:cs="Arial"/>
          <w:sz w:val="24"/>
          <w:szCs w:val="24"/>
          <w:lang w:val="en-US"/>
        </w:rPr>
        <w:t xml:space="preserve"> out a </w:t>
      </w:r>
      <w:r w:rsidR="001B3544">
        <w:rPr>
          <w:rFonts w:ascii="Arial" w:hAnsi="Arial" w:cs="Arial"/>
          <w:sz w:val="24"/>
          <w:szCs w:val="24"/>
          <w:lang w:val="en-US"/>
        </w:rPr>
        <w:t>defense</w:t>
      </w:r>
      <w:r w:rsidR="00FE05D5">
        <w:rPr>
          <w:rFonts w:ascii="Arial" w:hAnsi="Arial" w:cs="Arial"/>
          <w:sz w:val="24"/>
          <w:szCs w:val="24"/>
          <w:lang w:val="en-US"/>
        </w:rPr>
        <w:t>.</w:t>
      </w:r>
      <w:r w:rsidR="008D4F0A">
        <w:rPr>
          <w:rFonts w:ascii="Arial" w:hAnsi="Arial" w:cs="Arial"/>
          <w:sz w:val="24"/>
          <w:szCs w:val="24"/>
          <w:lang w:val="en-US"/>
        </w:rPr>
        <w:t xml:space="preserve"> </w:t>
      </w:r>
    </w:p>
    <w:p w:rsidR="00E97915" w:rsidRDefault="00E97915" w:rsidP="00F36708">
      <w:pPr>
        <w:spacing w:line="480" w:lineRule="auto"/>
        <w:jc w:val="both"/>
        <w:rPr>
          <w:rFonts w:ascii="Arial" w:hAnsi="Arial" w:cs="Arial"/>
          <w:sz w:val="24"/>
          <w:szCs w:val="24"/>
          <w:lang w:val="en-US"/>
        </w:rPr>
      </w:pPr>
    </w:p>
    <w:p w:rsidR="008D4F0A" w:rsidRDefault="00FE05D5" w:rsidP="00F36708">
      <w:pPr>
        <w:spacing w:line="480" w:lineRule="auto"/>
        <w:jc w:val="both"/>
        <w:rPr>
          <w:rFonts w:ascii="Arial" w:hAnsi="Arial" w:cs="Arial"/>
          <w:sz w:val="24"/>
          <w:szCs w:val="24"/>
          <w:lang w:val="en-US"/>
        </w:rPr>
      </w:pPr>
      <w:r>
        <w:rPr>
          <w:rFonts w:ascii="Arial" w:hAnsi="Arial" w:cs="Arial"/>
          <w:sz w:val="24"/>
          <w:szCs w:val="24"/>
          <w:lang w:val="en-US"/>
        </w:rPr>
        <w:t>[</w:t>
      </w:r>
      <w:r w:rsidR="00C1197E">
        <w:rPr>
          <w:rFonts w:ascii="Arial" w:hAnsi="Arial" w:cs="Arial"/>
          <w:sz w:val="24"/>
          <w:szCs w:val="24"/>
          <w:lang w:val="en-US"/>
        </w:rPr>
        <w:t>30</w:t>
      </w:r>
      <w:r>
        <w:rPr>
          <w:rFonts w:ascii="Arial" w:hAnsi="Arial" w:cs="Arial"/>
          <w:sz w:val="24"/>
          <w:szCs w:val="24"/>
          <w:lang w:val="en-US"/>
        </w:rPr>
        <w:t>]</w:t>
      </w:r>
      <w:r>
        <w:rPr>
          <w:rFonts w:ascii="Arial" w:hAnsi="Arial" w:cs="Arial"/>
          <w:sz w:val="24"/>
          <w:szCs w:val="24"/>
          <w:lang w:val="en-US"/>
        </w:rPr>
        <w:tab/>
      </w:r>
      <w:r w:rsidR="008D4F0A">
        <w:rPr>
          <w:rFonts w:ascii="Arial" w:hAnsi="Arial" w:cs="Arial"/>
          <w:sz w:val="24"/>
          <w:szCs w:val="24"/>
          <w:lang w:val="en-US"/>
        </w:rPr>
        <w:t xml:space="preserve">The defendant denies that it </w:t>
      </w:r>
      <w:r w:rsidR="001B3544">
        <w:rPr>
          <w:rFonts w:ascii="Arial" w:hAnsi="Arial" w:cs="Arial"/>
          <w:sz w:val="24"/>
          <w:szCs w:val="24"/>
          <w:lang w:val="en-US"/>
        </w:rPr>
        <w:t>wishes</w:t>
      </w:r>
      <w:r w:rsidR="008D4F0A">
        <w:rPr>
          <w:rFonts w:ascii="Arial" w:hAnsi="Arial" w:cs="Arial"/>
          <w:sz w:val="24"/>
          <w:szCs w:val="24"/>
          <w:lang w:val="en-US"/>
        </w:rPr>
        <w:t xml:space="preserve"> the claim to be struck out </w:t>
      </w:r>
      <w:r>
        <w:rPr>
          <w:rFonts w:ascii="Arial" w:hAnsi="Arial" w:cs="Arial"/>
          <w:sz w:val="24"/>
          <w:szCs w:val="24"/>
          <w:lang w:val="en-US"/>
        </w:rPr>
        <w:t>because</w:t>
      </w:r>
      <w:r w:rsidR="008D4F0A">
        <w:rPr>
          <w:rFonts w:ascii="Arial" w:hAnsi="Arial" w:cs="Arial"/>
          <w:sz w:val="24"/>
          <w:szCs w:val="24"/>
          <w:lang w:val="en-US"/>
        </w:rPr>
        <w:t xml:space="preserve"> it is </w:t>
      </w:r>
      <w:r w:rsidR="001B3544">
        <w:rPr>
          <w:rFonts w:ascii="Arial" w:hAnsi="Arial" w:cs="Arial"/>
          <w:sz w:val="24"/>
          <w:szCs w:val="24"/>
          <w:lang w:val="en-US"/>
        </w:rPr>
        <w:t>reluctant</w:t>
      </w:r>
      <w:r w:rsidR="008D4F0A">
        <w:rPr>
          <w:rFonts w:ascii="Arial" w:hAnsi="Arial" w:cs="Arial"/>
          <w:sz w:val="24"/>
          <w:szCs w:val="24"/>
          <w:lang w:val="en-US"/>
        </w:rPr>
        <w:t xml:space="preserve"> to plead</w:t>
      </w:r>
      <w:r w:rsidR="00E97915">
        <w:rPr>
          <w:rFonts w:ascii="Arial" w:hAnsi="Arial" w:cs="Arial"/>
          <w:sz w:val="24"/>
          <w:szCs w:val="24"/>
          <w:lang w:val="en-US"/>
        </w:rPr>
        <w:t xml:space="preserve">. The argument is that </w:t>
      </w:r>
      <w:r w:rsidR="008D4F0A">
        <w:rPr>
          <w:rFonts w:ascii="Arial" w:hAnsi="Arial" w:cs="Arial"/>
          <w:sz w:val="24"/>
          <w:szCs w:val="24"/>
          <w:lang w:val="en-US"/>
        </w:rPr>
        <w:t>i</w:t>
      </w:r>
      <w:r w:rsidR="00CB7701">
        <w:rPr>
          <w:rFonts w:ascii="Arial" w:hAnsi="Arial" w:cs="Arial"/>
          <w:sz w:val="24"/>
          <w:szCs w:val="24"/>
          <w:lang w:val="en-US"/>
        </w:rPr>
        <w:t>t</w:t>
      </w:r>
      <w:r w:rsidR="008D4F0A">
        <w:rPr>
          <w:rFonts w:ascii="Arial" w:hAnsi="Arial" w:cs="Arial"/>
          <w:sz w:val="24"/>
          <w:szCs w:val="24"/>
          <w:lang w:val="en-US"/>
        </w:rPr>
        <w:t xml:space="preserve">s failure to address the </w:t>
      </w:r>
      <w:r w:rsidR="001B3544">
        <w:rPr>
          <w:rFonts w:ascii="Arial" w:hAnsi="Arial" w:cs="Arial"/>
          <w:sz w:val="24"/>
          <w:szCs w:val="24"/>
          <w:lang w:val="en-US"/>
        </w:rPr>
        <w:t>amendment</w:t>
      </w:r>
      <w:r w:rsidR="00C1197E">
        <w:rPr>
          <w:rFonts w:ascii="Arial" w:hAnsi="Arial" w:cs="Arial"/>
          <w:sz w:val="24"/>
          <w:szCs w:val="24"/>
          <w:lang w:val="en-US"/>
        </w:rPr>
        <w:t>s</w:t>
      </w:r>
      <w:r w:rsidR="008D4F0A">
        <w:rPr>
          <w:rFonts w:ascii="Arial" w:hAnsi="Arial" w:cs="Arial"/>
          <w:sz w:val="24"/>
          <w:szCs w:val="24"/>
          <w:lang w:val="en-US"/>
        </w:rPr>
        <w:t xml:space="preserve"> </w:t>
      </w:r>
      <w:r w:rsidR="00E97915">
        <w:rPr>
          <w:rFonts w:ascii="Arial" w:hAnsi="Arial" w:cs="Arial"/>
          <w:sz w:val="24"/>
          <w:szCs w:val="24"/>
          <w:lang w:val="en-US"/>
        </w:rPr>
        <w:t xml:space="preserve">is </w:t>
      </w:r>
      <w:r w:rsidR="008D4F0A">
        <w:rPr>
          <w:rFonts w:ascii="Arial" w:hAnsi="Arial" w:cs="Arial"/>
          <w:sz w:val="24"/>
          <w:szCs w:val="24"/>
          <w:lang w:val="en-US"/>
        </w:rPr>
        <w:t>through no reluctance</w:t>
      </w:r>
      <w:r w:rsidR="00E97915">
        <w:rPr>
          <w:rFonts w:ascii="Arial" w:hAnsi="Arial" w:cs="Arial"/>
          <w:sz w:val="24"/>
          <w:szCs w:val="24"/>
          <w:lang w:val="en-US"/>
        </w:rPr>
        <w:t xml:space="preserve"> to plead </w:t>
      </w:r>
      <w:r w:rsidR="008D4F0A">
        <w:rPr>
          <w:rFonts w:ascii="Arial" w:hAnsi="Arial" w:cs="Arial"/>
          <w:sz w:val="24"/>
          <w:szCs w:val="24"/>
          <w:lang w:val="en-US"/>
        </w:rPr>
        <w:t>but</w:t>
      </w:r>
      <w:r w:rsidR="00497422">
        <w:rPr>
          <w:rFonts w:ascii="Arial" w:hAnsi="Arial" w:cs="Arial"/>
          <w:sz w:val="24"/>
          <w:szCs w:val="24"/>
          <w:lang w:val="en-US"/>
        </w:rPr>
        <w:t xml:space="preserve"> due to</w:t>
      </w:r>
      <w:r>
        <w:rPr>
          <w:rFonts w:ascii="Arial" w:hAnsi="Arial" w:cs="Arial"/>
          <w:sz w:val="24"/>
          <w:szCs w:val="24"/>
          <w:lang w:val="en-US"/>
        </w:rPr>
        <w:t xml:space="preserve"> there </w:t>
      </w:r>
      <w:r w:rsidR="00497422">
        <w:rPr>
          <w:rFonts w:ascii="Arial" w:hAnsi="Arial" w:cs="Arial"/>
          <w:sz w:val="24"/>
          <w:szCs w:val="24"/>
          <w:lang w:val="en-US"/>
        </w:rPr>
        <w:t>being</w:t>
      </w:r>
      <w:r>
        <w:rPr>
          <w:rFonts w:ascii="Arial" w:hAnsi="Arial" w:cs="Arial"/>
          <w:sz w:val="24"/>
          <w:szCs w:val="24"/>
          <w:lang w:val="en-US"/>
        </w:rPr>
        <w:t xml:space="preserve"> no amendment to consider. </w:t>
      </w:r>
      <w:r w:rsidR="008D4F0A">
        <w:rPr>
          <w:rFonts w:ascii="Arial" w:hAnsi="Arial" w:cs="Arial"/>
          <w:sz w:val="24"/>
          <w:szCs w:val="24"/>
          <w:lang w:val="en-US"/>
        </w:rPr>
        <w:t xml:space="preserve">Counsel, though conceding that </w:t>
      </w:r>
      <w:r w:rsidR="00E97915">
        <w:rPr>
          <w:rFonts w:ascii="Arial" w:hAnsi="Arial" w:cs="Arial"/>
          <w:sz w:val="24"/>
          <w:szCs w:val="24"/>
          <w:lang w:val="en-US"/>
        </w:rPr>
        <w:t xml:space="preserve">the </w:t>
      </w:r>
      <w:r w:rsidR="008D4F0A">
        <w:rPr>
          <w:rFonts w:ascii="Arial" w:hAnsi="Arial" w:cs="Arial"/>
          <w:sz w:val="24"/>
          <w:szCs w:val="24"/>
          <w:lang w:val="en-US"/>
        </w:rPr>
        <w:t xml:space="preserve">Plascon-Evans is </w:t>
      </w:r>
      <w:r w:rsidR="00E97915">
        <w:rPr>
          <w:rFonts w:ascii="Arial" w:hAnsi="Arial" w:cs="Arial"/>
          <w:sz w:val="24"/>
          <w:szCs w:val="24"/>
          <w:lang w:val="en-US"/>
        </w:rPr>
        <w:t xml:space="preserve">not material in the determination of the application, nonetheless </w:t>
      </w:r>
      <w:r w:rsidR="008D4F0A">
        <w:rPr>
          <w:rFonts w:ascii="Arial" w:hAnsi="Arial" w:cs="Arial"/>
          <w:sz w:val="24"/>
          <w:szCs w:val="24"/>
          <w:lang w:val="en-US"/>
        </w:rPr>
        <w:t xml:space="preserve">submitted that the </w:t>
      </w:r>
      <w:r w:rsidR="001B3544">
        <w:rPr>
          <w:rFonts w:ascii="Arial" w:hAnsi="Arial" w:cs="Arial"/>
          <w:sz w:val="24"/>
          <w:szCs w:val="24"/>
          <w:lang w:val="en-US"/>
        </w:rPr>
        <w:t>striking</w:t>
      </w:r>
      <w:r w:rsidR="008D4F0A">
        <w:rPr>
          <w:rFonts w:ascii="Arial" w:hAnsi="Arial" w:cs="Arial"/>
          <w:sz w:val="24"/>
          <w:szCs w:val="24"/>
          <w:lang w:val="en-US"/>
        </w:rPr>
        <w:t xml:space="preserve"> out </w:t>
      </w:r>
      <w:r w:rsidR="001B3544">
        <w:rPr>
          <w:rFonts w:ascii="Arial" w:hAnsi="Arial" w:cs="Arial"/>
          <w:sz w:val="24"/>
          <w:szCs w:val="24"/>
          <w:lang w:val="en-US"/>
        </w:rPr>
        <w:t>application</w:t>
      </w:r>
      <w:r w:rsidR="008D4F0A">
        <w:rPr>
          <w:rFonts w:ascii="Arial" w:hAnsi="Arial" w:cs="Arial"/>
          <w:sz w:val="24"/>
          <w:szCs w:val="24"/>
          <w:lang w:val="en-US"/>
        </w:rPr>
        <w:t xml:space="preserve"> </w:t>
      </w:r>
      <w:r w:rsidR="00E97915">
        <w:rPr>
          <w:rFonts w:ascii="Arial" w:hAnsi="Arial" w:cs="Arial"/>
          <w:sz w:val="24"/>
          <w:szCs w:val="24"/>
          <w:lang w:val="en-US"/>
        </w:rPr>
        <w:t xml:space="preserve">and the  </w:t>
      </w:r>
      <w:r w:rsidR="008D4F0A">
        <w:rPr>
          <w:rFonts w:ascii="Arial" w:hAnsi="Arial" w:cs="Arial"/>
          <w:sz w:val="24"/>
          <w:szCs w:val="24"/>
          <w:lang w:val="en-US"/>
        </w:rPr>
        <w:t xml:space="preserve">condonation </w:t>
      </w:r>
      <w:r w:rsidR="001B3544">
        <w:rPr>
          <w:rFonts w:ascii="Arial" w:hAnsi="Arial" w:cs="Arial"/>
          <w:sz w:val="24"/>
          <w:szCs w:val="24"/>
          <w:lang w:val="en-US"/>
        </w:rPr>
        <w:t>application</w:t>
      </w:r>
      <w:r w:rsidR="00E97915">
        <w:rPr>
          <w:rFonts w:ascii="Arial" w:hAnsi="Arial" w:cs="Arial"/>
          <w:sz w:val="24"/>
          <w:szCs w:val="24"/>
          <w:lang w:val="en-US"/>
        </w:rPr>
        <w:t xml:space="preserve"> sought final relief. </w:t>
      </w:r>
      <w:r w:rsidR="008D4F0A">
        <w:rPr>
          <w:rFonts w:ascii="Arial" w:hAnsi="Arial" w:cs="Arial"/>
          <w:sz w:val="24"/>
          <w:szCs w:val="24"/>
          <w:lang w:val="en-US"/>
        </w:rPr>
        <w:t>It is further argued that the defendant is prejudiced by the serious allegations which the plaintiff makes in i</w:t>
      </w:r>
      <w:r>
        <w:rPr>
          <w:rFonts w:ascii="Arial" w:hAnsi="Arial" w:cs="Arial"/>
          <w:sz w:val="24"/>
          <w:szCs w:val="24"/>
          <w:lang w:val="en-US"/>
        </w:rPr>
        <w:t>t</w:t>
      </w:r>
      <w:r w:rsidR="008D4F0A">
        <w:rPr>
          <w:rFonts w:ascii="Arial" w:hAnsi="Arial" w:cs="Arial"/>
          <w:sz w:val="24"/>
          <w:szCs w:val="24"/>
          <w:lang w:val="en-US"/>
        </w:rPr>
        <w:t>s pleadings</w:t>
      </w:r>
      <w:r>
        <w:rPr>
          <w:rFonts w:ascii="Arial" w:hAnsi="Arial" w:cs="Arial"/>
          <w:sz w:val="24"/>
          <w:szCs w:val="24"/>
          <w:lang w:val="en-US"/>
        </w:rPr>
        <w:t>.</w:t>
      </w:r>
      <w:r w:rsidR="008D4F0A">
        <w:rPr>
          <w:rFonts w:ascii="Arial" w:hAnsi="Arial" w:cs="Arial"/>
          <w:sz w:val="24"/>
          <w:szCs w:val="24"/>
          <w:lang w:val="en-US"/>
        </w:rPr>
        <w:t xml:space="preserve"> </w:t>
      </w:r>
      <w:r>
        <w:rPr>
          <w:rFonts w:ascii="Arial" w:hAnsi="Arial" w:cs="Arial"/>
          <w:sz w:val="24"/>
          <w:szCs w:val="24"/>
          <w:lang w:val="en-US"/>
        </w:rPr>
        <w:t xml:space="preserve">It is submitted that the defendant’s </w:t>
      </w:r>
      <w:r w:rsidR="008D4F0A">
        <w:rPr>
          <w:rFonts w:ascii="Arial" w:hAnsi="Arial" w:cs="Arial"/>
          <w:sz w:val="24"/>
          <w:szCs w:val="24"/>
          <w:lang w:val="en-US"/>
        </w:rPr>
        <w:t xml:space="preserve">reputation is tarnished, and </w:t>
      </w:r>
      <w:r w:rsidR="001B3544">
        <w:rPr>
          <w:rFonts w:ascii="Arial" w:hAnsi="Arial" w:cs="Arial"/>
          <w:sz w:val="24"/>
          <w:szCs w:val="24"/>
          <w:lang w:val="en-US"/>
        </w:rPr>
        <w:t>that</w:t>
      </w:r>
      <w:r w:rsidR="008D4F0A">
        <w:rPr>
          <w:rFonts w:ascii="Arial" w:hAnsi="Arial" w:cs="Arial"/>
          <w:sz w:val="24"/>
          <w:szCs w:val="24"/>
          <w:lang w:val="en-US"/>
        </w:rPr>
        <w:t xml:space="preserve"> b</w:t>
      </w:r>
      <w:r>
        <w:rPr>
          <w:rFonts w:ascii="Arial" w:hAnsi="Arial" w:cs="Arial"/>
          <w:sz w:val="24"/>
          <w:szCs w:val="24"/>
          <w:lang w:val="en-US"/>
        </w:rPr>
        <w:t>r</w:t>
      </w:r>
      <w:r w:rsidR="008D4F0A">
        <w:rPr>
          <w:rFonts w:ascii="Arial" w:hAnsi="Arial" w:cs="Arial"/>
          <w:sz w:val="24"/>
          <w:szCs w:val="24"/>
          <w:lang w:val="en-US"/>
        </w:rPr>
        <w:t xml:space="preserve">each of a </w:t>
      </w:r>
      <w:r w:rsidR="00E97915">
        <w:rPr>
          <w:rFonts w:ascii="Arial" w:hAnsi="Arial" w:cs="Arial"/>
          <w:sz w:val="24"/>
          <w:szCs w:val="24"/>
          <w:lang w:val="en-US"/>
        </w:rPr>
        <w:t>C</w:t>
      </w:r>
      <w:r w:rsidR="008D4F0A">
        <w:rPr>
          <w:rFonts w:ascii="Arial" w:hAnsi="Arial" w:cs="Arial"/>
          <w:sz w:val="24"/>
          <w:szCs w:val="24"/>
          <w:lang w:val="en-US"/>
        </w:rPr>
        <w:t xml:space="preserve">ourt order </w:t>
      </w:r>
      <w:r w:rsidR="001B3544">
        <w:rPr>
          <w:rFonts w:ascii="Arial" w:hAnsi="Arial" w:cs="Arial"/>
          <w:sz w:val="24"/>
          <w:szCs w:val="24"/>
          <w:lang w:val="en-US"/>
        </w:rPr>
        <w:t>cannot</w:t>
      </w:r>
      <w:r w:rsidR="008D4F0A">
        <w:rPr>
          <w:rFonts w:ascii="Arial" w:hAnsi="Arial" w:cs="Arial"/>
          <w:sz w:val="24"/>
          <w:szCs w:val="24"/>
          <w:lang w:val="en-US"/>
        </w:rPr>
        <w:t xml:space="preserve"> be remedied b</w:t>
      </w:r>
      <w:r w:rsidR="001B3544">
        <w:rPr>
          <w:rFonts w:ascii="Arial" w:hAnsi="Arial" w:cs="Arial"/>
          <w:sz w:val="24"/>
          <w:szCs w:val="24"/>
          <w:lang w:val="en-US"/>
        </w:rPr>
        <w:t>y</w:t>
      </w:r>
      <w:r w:rsidR="008D4F0A">
        <w:rPr>
          <w:rFonts w:ascii="Arial" w:hAnsi="Arial" w:cs="Arial"/>
          <w:sz w:val="24"/>
          <w:szCs w:val="24"/>
          <w:lang w:val="en-US"/>
        </w:rPr>
        <w:t xml:space="preserve"> a costs order.</w:t>
      </w:r>
    </w:p>
    <w:p w:rsidR="008D4F0A" w:rsidRDefault="008D4F0A" w:rsidP="00F36708">
      <w:pPr>
        <w:spacing w:line="480" w:lineRule="auto"/>
        <w:jc w:val="both"/>
        <w:rPr>
          <w:rFonts w:ascii="Arial" w:hAnsi="Arial" w:cs="Arial"/>
          <w:sz w:val="24"/>
          <w:szCs w:val="24"/>
          <w:lang w:val="en-US"/>
        </w:rPr>
      </w:pPr>
    </w:p>
    <w:p w:rsidR="008D4F0A" w:rsidRDefault="00CB7701" w:rsidP="00F36708">
      <w:pPr>
        <w:spacing w:line="480" w:lineRule="auto"/>
        <w:jc w:val="both"/>
        <w:rPr>
          <w:rFonts w:ascii="Arial" w:hAnsi="Arial" w:cs="Arial"/>
          <w:sz w:val="24"/>
          <w:szCs w:val="24"/>
          <w:lang w:val="en-US"/>
        </w:rPr>
      </w:pPr>
      <w:r>
        <w:rPr>
          <w:rFonts w:ascii="Arial" w:hAnsi="Arial" w:cs="Arial"/>
          <w:sz w:val="24"/>
          <w:szCs w:val="24"/>
          <w:lang w:val="en-US"/>
        </w:rPr>
        <w:t>[</w:t>
      </w:r>
      <w:r w:rsidR="00497422">
        <w:rPr>
          <w:rFonts w:ascii="Arial" w:hAnsi="Arial" w:cs="Arial"/>
          <w:sz w:val="24"/>
          <w:szCs w:val="24"/>
          <w:lang w:val="en-US"/>
        </w:rPr>
        <w:t>31</w:t>
      </w:r>
      <w:r>
        <w:rPr>
          <w:rFonts w:ascii="Arial" w:hAnsi="Arial" w:cs="Arial"/>
          <w:sz w:val="24"/>
          <w:szCs w:val="24"/>
          <w:lang w:val="en-US"/>
        </w:rPr>
        <w:t>]</w:t>
      </w:r>
      <w:r>
        <w:rPr>
          <w:rFonts w:ascii="Arial" w:hAnsi="Arial" w:cs="Arial"/>
          <w:sz w:val="24"/>
          <w:szCs w:val="24"/>
          <w:lang w:val="en-US"/>
        </w:rPr>
        <w:tab/>
      </w:r>
      <w:r w:rsidR="00FE05D5">
        <w:rPr>
          <w:rFonts w:ascii="Arial" w:hAnsi="Arial" w:cs="Arial"/>
          <w:sz w:val="24"/>
          <w:szCs w:val="24"/>
          <w:lang w:val="en-US"/>
        </w:rPr>
        <w:t xml:space="preserve">In reply </w:t>
      </w:r>
      <w:r w:rsidR="008D4F0A">
        <w:rPr>
          <w:rFonts w:ascii="Arial" w:hAnsi="Arial" w:cs="Arial"/>
          <w:sz w:val="24"/>
          <w:szCs w:val="24"/>
          <w:lang w:val="en-US"/>
        </w:rPr>
        <w:t xml:space="preserve">plaintiff’s counsel emphasized that the test </w:t>
      </w:r>
      <w:r w:rsidR="00FE05D5">
        <w:rPr>
          <w:rFonts w:ascii="Arial" w:hAnsi="Arial" w:cs="Arial"/>
          <w:sz w:val="24"/>
          <w:szCs w:val="24"/>
          <w:lang w:val="en-US"/>
        </w:rPr>
        <w:t xml:space="preserve">for condonation </w:t>
      </w:r>
      <w:r w:rsidR="008D4F0A">
        <w:rPr>
          <w:rFonts w:ascii="Arial" w:hAnsi="Arial" w:cs="Arial"/>
          <w:sz w:val="24"/>
          <w:szCs w:val="24"/>
          <w:lang w:val="en-US"/>
        </w:rPr>
        <w:t xml:space="preserve">is as set out in </w:t>
      </w:r>
      <w:r w:rsidR="008D4F0A" w:rsidRPr="00E97915">
        <w:rPr>
          <w:rFonts w:ascii="Arial" w:hAnsi="Arial" w:cs="Arial"/>
          <w:b/>
          <w:sz w:val="24"/>
          <w:szCs w:val="24"/>
          <w:u w:val="single"/>
          <w:lang w:val="en-US"/>
        </w:rPr>
        <w:t>Du Plooy</w:t>
      </w:r>
      <w:r w:rsidR="00FE05D5" w:rsidRPr="00E97915">
        <w:rPr>
          <w:rFonts w:ascii="Arial" w:hAnsi="Arial" w:cs="Arial"/>
          <w:b/>
          <w:sz w:val="24"/>
          <w:szCs w:val="24"/>
          <w:u w:val="single"/>
          <w:lang w:val="en-US"/>
        </w:rPr>
        <w:t xml:space="preserve"> v Anwes Motors (Edms) Bpk</w:t>
      </w:r>
      <w:r w:rsidR="00FE05D5">
        <w:rPr>
          <w:rStyle w:val="FootnoteReference"/>
          <w:rFonts w:ascii="Arial" w:hAnsi="Arial" w:cs="Arial"/>
          <w:b/>
          <w:sz w:val="24"/>
          <w:szCs w:val="24"/>
          <w:lang w:val="en-US"/>
        </w:rPr>
        <w:footnoteReference w:id="12"/>
      </w:r>
      <w:r w:rsidR="008D4F0A">
        <w:rPr>
          <w:rFonts w:ascii="Arial" w:hAnsi="Arial" w:cs="Arial"/>
          <w:b/>
          <w:sz w:val="24"/>
          <w:szCs w:val="24"/>
          <w:lang w:val="en-US"/>
        </w:rPr>
        <w:t xml:space="preserve"> </w:t>
      </w:r>
      <w:r w:rsidR="00FE05D5">
        <w:rPr>
          <w:rFonts w:ascii="Arial" w:hAnsi="Arial" w:cs="Arial"/>
          <w:sz w:val="24"/>
          <w:szCs w:val="24"/>
          <w:lang w:val="en-US"/>
        </w:rPr>
        <w:t xml:space="preserve">and </w:t>
      </w:r>
      <w:r w:rsidR="00E97915">
        <w:rPr>
          <w:rFonts w:ascii="Arial" w:hAnsi="Arial" w:cs="Arial"/>
          <w:sz w:val="24"/>
          <w:szCs w:val="24"/>
          <w:lang w:val="en-US"/>
        </w:rPr>
        <w:t xml:space="preserve">emphasized </w:t>
      </w:r>
      <w:r w:rsidR="008D4F0A">
        <w:rPr>
          <w:rFonts w:ascii="Arial" w:hAnsi="Arial" w:cs="Arial"/>
          <w:sz w:val="24"/>
          <w:szCs w:val="24"/>
          <w:lang w:val="en-US"/>
        </w:rPr>
        <w:t xml:space="preserve">that </w:t>
      </w:r>
      <w:r w:rsidR="00E97915">
        <w:rPr>
          <w:rFonts w:ascii="Arial" w:hAnsi="Arial" w:cs="Arial"/>
          <w:sz w:val="24"/>
          <w:szCs w:val="24"/>
          <w:lang w:val="en-US"/>
        </w:rPr>
        <w:t xml:space="preserve">the defendant does not attack the </w:t>
      </w:r>
      <w:r w:rsidR="008D4F0A">
        <w:rPr>
          <w:rFonts w:ascii="Arial" w:hAnsi="Arial" w:cs="Arial"/>
          <w:sz w:val="24"/>
          <w:szCs w:val="24"/>
          <w:lang w:val="en-US"/>
        </w:rPr>
        <w:t>amendment</w:t>
      </w:r>
      <w:r w:rsidR="00497422">
        <w:rPr>
          <w:rFonts w:ascii="Arial" w:hAnsi="Arial" w:cs="Arial"/>
          <w:sz w:val="24"/>
          <w:szCs w:val="24"/>
          <w:lang w:val="en-US"/>
        </w:rPr>
        <w:t>s</w:t>
      </w:r>
      <w:r w:rsidR="00E97915">
        <w:rPr>
          <w:rFonts w:ascii="Arial" w:hAnsi="Arial" w:cs="Arial"/>
          <w:sz w:val="24"/>
          <w:szCs w:val="24"/>
          <w:lang w:val="en-US"/>
        </w:rPr>
        <w:t xml:space="preserve"> to the plaintiff’s pleadings</w:t>
      </w:r>
      <w:r w:rsidR="008D4F0A">
        <w:rPr>
          <w:rFonts w:ascii="Arial" w:hAnsi="Arial" w:cs="Arial"/>
          <w:sz w:val="24"/>
          <w:szCs w:val="24"/>
          <w:lang w:val="en-US"/>
        </w:rPr>
        <w:t xml:space="preserve">. </w:t>
      </w:r>
      <w:r w:rsidR="00E97915">
        <w:rPr>
          <w:rFonts w:ascii="Arial" w:hAnsi="Arial" w:cs="Arial"/>
          <w:sz w:val="24"/>
          <w:szCs w:val="24"/>
          <w:lang w:val="en-US"/>
        </w:rPr>
        <w:t>It was further submitted that t</w:t>
      </w:r>
      <w:r w:rsidR="008D4F0A">
        <w:rPr>
          <w:rFonts w:ascii="Arial" w:hAnsi="Arial" w:cs="Arial"/>
          <w:sz w:val="24"/>
          <w:szCs w:val="24"/>
          <w:lang w:val="en-US"/>
        </w:rPr>
        <w:t xml:space="preserve">he </w:t>
      </w:r>
      <w:r w:rsidR="00FE05D5">
        <w:rPr>
          <w:rFonts w:ascii="Arial" w:hAnsi="Arial" w:cs="Arial"/>
          <w:sz w:val="24"/>
          <w:szCs w:val="24"/>
          <w:lang w:val="en-US"/>
        </w:rPr>
        <w:t xml:space="preserve">Court order allows for </w:t>
      </w:r>
      <w:r w:rsidR="008D4F0A">
        <w:rPr>
          <w:rFonts w:ascii="Arial" w:hAnsi="Arial" w:cs="Arial"/>
          <w:sz w:val="24"/>
          <w:szCs w:val="24"/>
          <w:lang w:val="en-US"/>
        </w:rPr>
        <w:t>amendment</w:t>
      </w:r>
      <w:r w:rsidR="00E97915">
        <w:rPr>
          <w:rFonts w:ascii="Arial" w:hAnsi="Arial" w:cs="Arial"/>
          <w:sz w:val="24"/>
          <w:szCs w:val="24"/>
          <w:lang w:val="en-US"/>
        </w:rPr>
        <w:t>s</w:t>
      </w:r>
      <w:r w:rsidR="008D4F0A">
        <w:rPr>
          <w:rFonts w:ascii="Arial" w:hAnsi="Arial" w:cs="Arial"/>
          <w:sz w:val="24"/>
          <w:szCs w:val="24"/>
          <w:lang w:val="en-US"/>
        </w:rPr>
        <w:t xml:space="preserve"> and the only issue is the plaintiff’s lateness; furthermore, that the </w:t>
      </w:r>
      <w:r w:rsidR="001B3544">
        <w:rPr>
          <w:rFonts w:ascii="Arial" w:hAnsi="Arial" w:cs="Arial"/>
          <w:sz w:val="24"/>
          <w:szCs w:val="24"/>
          <w:lang w:val="en-US"/>
        </w:rPr>
        <w:t>o</w:t>
      </w:r>
      <w:r w:rsidR="00497422">
        <w:rPr>
          <w:rFonts w:ascii="Arial" w:hAnsi="Arial" w:cs="Arial"/>
          <w:sz w:val="24"/>
          <w:szCs w:val="24"/>
          <w:lang w:val="en-US"/>
        </w:rPr>
        <w:t>rder</w:t>
      </w:r>
      <w:r w:rsidR="008D4F0A">
        <w:rPr>
          <w:rFonts w:ascii="Arial" w:hAnsi="Arial" w:cs="Arial"/>
          <w:sz w:val="24"/>
          <w:szCs w:val="24"/>
          <w:lang w:val="en-US"/>
        </w:rPr>
        <w:t xml:space="preserve"> envisaged a further </w:t>
      </w:r>
      <w:r w:rsidR="001B3544">
        <w:rPr>
          <w:rFonts w:ascii="Arial" w:hAnsi="Arial" w:cs="Arial"/>
          <w:sz w:val="24"/>
          <w:szCs w:val="24"/>
          <w:lang w:val="en-US"/>
        </w:rPr>
        <w:t>step</w:t>
      </w:r>
      <w:r w:rsidR="008D4F0A">
        <w:rPr>
          <w:rFonts w:ascii="Arial" w:hAnsi="Arial" w:cs="Arial"/>
          <w:sz w:val="24"/>
          <w:szCs w:val="24"/>
          <w:lang w:val="en-US"/>
        </w:rPr>
        <w:t xml:space="preserve"> in the event of </w:t>
      </w:r>
      <w:r w:rsidR="00E97915">
        <w:rPr>
          <w:rFonts w:ascii="Arial" w:hAnsi="Arial" w:cs="Arial"/>
          <w:sz w:val="24"/>
          <w:szCs w:val="24"/>
          <w:lang w:val="en-US"/>
        </w:rPr>
        <w:t xml:space="preserve">the plaintiff’s </w:t>
      </w:r>
      <w:r w:rsidR="008D4F0A">
        <w:rPr>
          <w:rFonts w:ascii="Arial" w:hAnsi="Arial" w:cs="Arial"/>
          <w:sz w:val="24"/>
          <w:szCs w:val="24"/>
          <w:lang w:val="en-US"/>
        </w:rPr>
        <w:t xml:space="preserve">non-compliance, </w:t>
      </w:r>
      <w:r w:rsidR="001B3544">
        <w:rPr>
          <w:rFonts w:ascii="Arial" w:hAnsi="Arial" w:cs="Arial"/>
          <w:sz w:val="24"/>
          <w:szCs w:val="24"/>
          <w:lang w:val="en-US"/>
        </w:rPr>
        <w:t>albeit</w:t>
      </w:r>
      <w:r w:rsidR="008D4F0A">
        <w:rPr>
          <w:rFonts w:ascii="Arial" w:hAnsi="Arial" w:cs="Arial"/>
          <w:sz w:val="24"/>
          <w:szCs w:val="24"/>
          <w:lang w:val="en-US"/>
        </w:rPr>
        <w:t xml:space="preserve">, a striking out </w:t>
      </w:r>
      <w:r w:rsidR="001B3544">
        <w:rPr>
          <w:rFonts w:ascii="Arial" w:hAnsi="Arial" w:cs="Arial"/>
          <w:sz w:val="24"/>
          <w:szCs w:val="24"/>
          <w:lang w:val="en-US"/>
        </w:rPr>
        <w:t>application</w:t>
      </w:r>
      <w:r w:rsidR="008D4F0A">
        <w:rPr>
          <w:rFonts w:ascii="Arial" w:hAnsi="Arial" w:cs="Arial"/>
          <w:sz w:val="24"/>
          <w:szCs w:val="24"/>
          <w:lang w:val="en-US"/>
        </w:rPr>
        <w:t xml:space="preserve">, where the </w:t>
      </w:r>
      <w:r w:rsidR="00E97915">
        <w:rPr>
          <w:rFonts w:ascii="Arial" w:hAnsi="Arial" w:cs="Arial"/>
          <w:sz w:val="24"/>
          <w:szCs w:val="24"/>
          <w:lang w:val="en-US"/>
        </w:rPr>
        <w:t xml:space="preserve">plaintiff’s </w:t>
      </w:r>
      <w:r w:rsidR="001B3544">
        <w:rPr>
          <w:rFonts w:ascii="Arial" w:hAnsi="Arial" w:cs="Arial"/>
          <w:sz w:val="24"/>
          <w:szCs w:val="24"/>
          <w:lang w:val="en-US"/>
        </w:rPr>
        <w:t xml:space="preserve">explanation </w:t>
      </w:r>
      <w:r w:rsidR="00E97915">
        <w:rPr>
          <w:rFonts w:ascii="Arial" w:hAnsi="Arial" w:cs="Arial"/>
          <w:sz w:val="24"/>
          <w:szCs w:val="24"/>
          <w:lang w:val="en-US"/>
        </w:rPr>
        <w:t xml:space="preserve">for its </w:t>
      </w:r>
      <w:r w:rsidR="001B3544">
        <w:rPr>
          <w:rFonts w:ascii="Arial" w:hAnsi="Arial" w:cs="Arial"/>
          <w:sz w:val="24"/>
          <w:szCs w:val="24"/>
          <w:lang w:val="en-US"/>
        </w:rPr>
        <w:t>would</w:t>
      </w:r>
      <w:r w:rsidR="008D4F0A">
        <w:rPr>
          <w:rFonts w:ascii="Arial" w:hAnsi="Arial" w:cs="Arial"/>
          <w:sz w:val="24"/>
          <w:szCs w:val="24"/>
          <w:lang w:val="en-US"/>
        </w:rPr>
        <w:t xml:space="preserve"> be considered. Counsel also disagrees that </w:t>
      </w:r>
      <w:r w:rsidR="00FE05D5">
        <w:rPr>
          <w:rFonts w:ascii="Arial" w:hAnsi="Arial" w:cs="Arial"/>
          <w:sz w:val="24"/>
          <w:szCs w:val="24"/>
          <w:lang w:val="en-US"/>
        </w:rPr>
        <w:t xml:space="preserve">the applications </w:t>
      </w:r>
      <w:r w:rsidR="008D4F0A">
        <w:rPr>
          <w:rFonts w:ascii="Arial" w:hAnsi="Arial" w:cs="Arial"/>
          <w:sz w:val="24"/>
          <w:szCs w:val="24"/>
          <w:lang w:val="en-US"/>
        </w:rPr>
        <w:t>are</w:t>
      </w:r>
      <w:r w:rsidR="00FE05D5">
        <w:rPr>
          <w:rFonts w:ascii="Arial" w:hAnsi="Arial" w:cs="Arial"/>
          <w:sz w:val="24"/>
          <w:szCs w:val="24"/>
          <w:lang w:val="en-US"/>
        </w:rPr>
        <w:t xml:space="preserve"> for</w:t>
      </w:r>
      <w:r w:rsidR="008D4F0A">
        <w:rPr>
          <w:rFonts w:ascii="Arial" w:hAnsi="Arial" w:cs="Arial"/>
          <w:sz w:val="24"/>
          <w:szCs w:val="24"/>
          <w:lang w:val="en-US"/>
        </w:rPr>
        <w:t xml:space="preserve"> final relief.</w:t>
      </w:r>
    </w:p>
    <w:p w:rsidR="008D4F0A" w:rsidRPr="00E97915" w:rsidRDefault="008D4F0A" w:rsidP="00F36708">
      <w:pPr>
        <w:spacing w:line="480" w:lineRule="auto"/>
        <w:jc w:val="both"/>
        <w:rPr>
          <w:rFonts w:ascii="Arial" w:hAnsi="Arial" w:cs="Arial"/>
          <w:b/>
          <w:sz w:val="24"/>
          <w:szCs w:val="24"/>
          <w:lang w:val="en-US"/>
        </w:rPr>
      </w:pPr>
    </w:p>
    <w:p w:rsidR="008D4F0A" w:rsidRPr="00E97915" w:rsidRDefault="008D4F0A" w:rsidP="00F36708">
      <w:pPr>
        <w:spacing w:line="480" w:lineRule="auto"/>
        <w:jc w:val="both"/>
        <w:rPr>
          <w:rFonts w:ascii="Arial" w:hAnsi="Arial" w:cs="Arial"/>
          <w:b/>
          <w:sz w:val="24"/>
          <w:szCs w:val="24"/>
          <w:u w:val="single"/>
          <w:lang w:val="en-US"/>
        </w:rPr>
      </w:pPr>
      <w:r w:rsidRPr="00E97915">
        <w:rPr>
          <w:rFonts w:ascii="Arial" w:hAnsi="Arial" w:cs="Arial"/>
          <w:b/>
          <w:sz w:val="24"/>
          <w:szCs w:val="24"/>
          <w:u w:val="single"/>
          <w:lang w:val="en-US"/>
        </w:rPr>
        <w:t>Discussion</w:t>
      </w:r>
    </w:p>
    <w:p w:rsidR="008D4F0A" w:rsidRDefault="00CB7701" w:rsidP="00F36708">
      <w:pPr>
        <w:spacing w:line="480" w:lineRule="auto"/>
        <w:jc w:val="both"/>
        <w:rPr>
          <w:rFonts w:ascii="Arial" w:hAnsi="Arial" w:cs="Arial"/>
          <w:sz w:val="24"/>
          <w:szCs w:val="24"/>
          <w:lang w:val="en-US"/>
        </w:rPr>
      </w:pPr>
      <w:r>
        <w:rPr>
          <w:rFonts w:ascii="Arial" w:hAnsi="Arial" w:cs="Arial"/>
          <w:sz w:val="24"/>
          <w:szCs w:val="24"/>
          <w:lang w:val="en-US"/>
        </w:rPr>
        <w:t>[3</w:t>
      </w:r>
      <w:r w:rsidR="00497422">
        <w:rPr>
          <w:rFonts w:ascii="Arial" w:hAnsi="Arial" w:cs="Arial"/>
          <w:sz w:val="24"/>
          <w:szCs w:val="24"/>
          <w:lang w:val="en-US"/>
        </w:rPr>
        <w:t>2</w:t>
      </w:r>
      <w:r>
        <w:rPr>
          <w:rFonts w:ascii="Arial" w:hAnsi="Arial" w:cs="Arial"/>
          <w:sz w:val="24"/>
          <w:szCs w:val="24"/>
          <w:lang w:val="en-US"/>
        </w:rPr>
        <w:t>]</w:t>
      </w:r>
      <w:r>
        <w:rPr>
          <w:rFonts w:ascii="Arial" w:hAnsi="Arial" w:cs="Arial"/>
          <w:sz w:val="24"/>
          <w:szCs w:val="24"/>
          <w:lang w:val="en-US"/>
        </w:rPr>
        <w:tab/>
      </w:r>
      <w:r w:rsidR="008D4F0A">
        <w:rPr>
          <w:rFonts w:ascii="Arial" w:hAnsi="Arial" w:cs="Arial"/>
          <w:sz w:val="24"/>
          <w:szCs w:val="24"/>
          <w:lang w:val="en-US"/>
        </w:rPr>
        <w:t xml:space="preserve">The </w:t>
      </w:r>
      <w:r w:rsidR="00FE05D5">
        <w:rPr>
          <w:rFonts w:ascii="Arial" w:hAnsi="Arial" w:cs="Arial"/>
          <w:sz w:val="24"/>
          <w:szCs w:val="24"/>
          <w:lang w:val="en-US"/>
        </w:rPr>
        <w:t>C</w:t>
      </w:r>
      <w:r w:rsidR="008D4F0A">
        <w:rPr>
          <w:rFonts w:ascii="Arial" w:hAnsi="Arial" w:cs="Arial"/>
          <w:sz w:val="24"/>
          <w:szCs w:val="24"/>
          <w:lang w:val="en-US"/>
        </w:rPr>
        <w:t xml:space="preserve">ourt order </w:t>
      </w:r>
      <w:r w:rsidR="001B3544">
        <w:rPr>
          <w:rFonts w:ascii="Arial" w:hAnsi="Arial" w:cs="Arial"/>
          <w:sz w:val="24"/>
          <w:szCs w:val="24"/>
          <w:lang w:val="en-US"/>
        </w:rPr>
        <w:t>requires</w:t>
      </w:r>
      <w:r w:rsidR="008D4F0A">
        <w:rPr>
          <w:rFonts w:ascii="Arial" w:hAnsi="Arial" w:cs="Arial"/>
          <w:sz w:val="24"/>
          <w:szCs w:val="24"/>
          <w:lang w:val="en-US"/>
        </w:rPr>
        <w:t xml:space="preserve"> of the plaintiff to amend its Particulars of Claim by delivering its Notice of Amendment within 30 days </w:t>
      </w:r>
      <w:r w:rsidR="00497422">
        <w:rPr>
          <w:rFonts w:ascii="Arial" w:hAnsi="Arial" w:cs="Arial"/>
          <w:sz w:val="24"/>
          <w:szCs w:val="24"/>
          <w:lang w:val="en-US"/>
        </w:rPr>
        <w:t>of</w:t>
      </w:r>
      <w:r w:rsidR="008D4F0A">
        <w:rPr>
          <w:rFonts w:ascii="Arial" w:hAnsi="Arial" w:cs="Arial"/>
          <w:sz w:val="24"/>
          <w:szCs w:val="24"/>
          <w:lang w:val="en-US"/>
        </w:rPr>
        <w:t xml:space="preserve"> the order</w:t>
      </w:r>
      <w:r w:rsidR="00E97915">
        <w:rPr>
          <w:rFonts w:ascii="Arial" w:hAnsi="Arial" w:cs="Arial"/>
          <w:sz w:val="24"/>
          <w:szCs w:val="24"/>
          <w:lang w:val="en-US"/>
        </w:rPr>
        <w:t xml:space="preserve"> being granted. </w:t>
      </w:r>
      <w:r w:rsidR="00E700CB">
        <w:rPr>
          <w:rFonts w:ascii="Arial" w:hAnsi="Arial" w:cs="Arial"/>
          <w:sz w:val="24"/>
          <w:szCs w:val="24"/>
          <w:lang w:val="en-US"/>
        </w:rPr>
        <w:t xml:space="preserve">In the absence of such </w:t>
      </w:r>
      <w:r w:rsidR="001B3544">
        <w:rPr>
          <w:rFonts w:ascii="Arial" w:hAnsi="Arial" w:cs="Arial"/>
          <w:sz w:val="24"/>
          <w:szCs w:val="24"/>
          <w:lang w:val="en-US"/>
        </w:rPr>
        <w:t>compliance</w:t>
      </w:r>
      <w:r w:rsidR="00E700CB">
        <w:rPr>
          <w:rFonts w:ascii="Arial" w:hAnsi="Arial" w:cs="Arial"/>
          <w:sz w:val="24"/>
          <w:szCs w:val="24"/>
          <w:lang w:val="en-US"/>
        </w:rPr>
        <w:t xml:space="preserve">, a further procedure </w:t>
      </w:r>
      <w:r w:rsidR="00497422">
        <w:rPr>
          <w:rFonts w:ascii="Arial" w:hAnsi="Arial" w:cs="Arial"/>
          <w:sz w:val="24"/>
          <w:szCs w:val="24"/>
          <w:lang w:val="en-US"/>
        </w:rPr>
        <w:t>is</w:t>
      </w:r>
      <w:r w:rsidR="00E700CB">
        <w:rPr>
          <w:rFonts w:ascii="Arial" w:hAnsi="Arial" w:cs="Arial"/>
          <w:sz w:val="24"/>
          <w:szCs w:val="24"/>
          <w:lang w:val="en-US"/>
        </w:rPr>
        <w:t xml:space="preserve"> </w:t>
      </w:r>
      <w:r w:rsidR="00E97915">
        <w:rPr>
          <w:rFonts w:ascii="Arial" w:hAnsi="Arial" w:cs="Arial"/>
          <w:sz w:val="24"/>
          <w:szCs w:val="24"/>
          <w:lang w:val="en-US"/>
        </w:rPr>
        <w:t xml:space="preserve">indeed </w:t>
      </w:r>
      <w:r w:rsidR="00E700CB">
        <w:rPr>
          <w:rFonts w:ascii="Arial" w:hAnsi="Arial" w:cs="Arial"/>
          <w:sz w:val="24"/>
          <w:szCs w:val="24"/>
          <w:lang w:val="en-US"/>
        </w:rPr>
        <w:t xml:space="preserve">envisaged in paragraph 43.3 </w:t>
      </w:r>
      <w:r w:rsidR="00E97915">
        <w:rPr>
          <w:rFonts w:ascii="Arial" w:hAnsi="Arial" w:cs="Arial"/>
          <w:sz w:val="24"/>
          <w:szCs w:val="24"/>
          <w:lang w:val="en-US"/>
        </w:rPr>
        <w:t xml:space="preserve">of the Goliath order </w:t>
      </w:r>
      <w:r w:rsidR="00FE05D5">
        <w:rPr>
          <w:rFonts w:ascii="Arial" w:hAnsi="Arial" w:cs="Arial"/>
          <w:sz w:val="24"/>
          <w:szCs w:val="24"/>
          <w:lang w:val="en-US"/>
        </w:rPr>
        <w:t xml:space="preserve">in </w:t>
      </w:r>
      <w:r w:rsidR="00E700CB">
        <w:rPr>
          <w:rFonts w:ascii="Arial" w:hAnsi="Arial" w:cs="Arial"/>
          <w:sz w:val="24"/>
          <w:szCs w:val="24"/>
          <w:lang w:val="en-US"/>
        </w:rPr>
        <w:t xml:space="preserve">that the defendant was granted leave to apply to strike out the plaintiff’s claim. Having regard to </w:t>
      </w:r>
      <w:r w:rsidR="00FE05D5">
        <w:rPr>
          <w:rFonts w:ascii="Arial" w:hAnsi="Arial" w:cs="Arial"/>
          <w:sz w:val="24"/>
          <w:szCs w:val="24"/>
          <w:lang w:val="en-US"/>
        </w:rPr>
        <w:t xml:space="preserve">the </w:t>
      </w:r>
      <w:r w:rsidR="00E97915">
        <w:rPr>
          <w:rFonts w:ascii="Arial" w:hAnsi="Arial" w:cs="Arial"/>
          <w:sz w:val="24"/>
          <w:szCs w:val="24"/>
          <w:lang w:val="en-US"/>
        </w:rPr>
        <w:t xml:space="preserve">exception </w:t>
      </w:r>
      <w:r w:rsidR="00E700CB">
        <w:rPr>
          <w:rFonts w:ascii="Arial" w:hAnsi="Arial" w:cs="Arial"/>
          <w:sz w:val="24"/>
          <w:szCs w:val="24"/>
          <w:lang w:val="en-US"/>
        </w:rPr>
        <w:t xml:space="preserve">judgment, it is evident from paragraph 37 and following, that the learned </w:t>
      </w:r>
      <w:r w:rsidR="00497422">
        <w:rPr>
          <w:rFonts w:ascii="Arial" w:hAnsi="Arial" w:cs="Arial"/>
          <w:sz w:val="24"/>
          <w:szCs w:val="24"/>
          <w:lang w:val="en-US"/>
        </w:rPr>
        <w:t xml:space="preserve">Goliath DJP </w:t>
      </w:r>
      <w:r w:rsidR="00E700CB">
        <w:rPr>
          <w:rFonts w:ascii="Arial" w:hAnsi="Arial" w:cs="Arial"/>
          <w:sz w:val="24"/>
          <w:szCs w:val="24"/>
          <w:lang w:val="en-US"/>
        </w:rPr>
        <w:t>found that:</w:t>
      </w:r>
    </w:p>
    <w:p w:rsidR="00E700CB" w:rsidRPr="00CB7701" w:rsidRDefault="00E700CB" w:rsidP="00CB7701">
      <w:pPr>
        <w:pStyle w:val="ListParagraph"/>
        <w:numPr>
          <w:ilvl w:val="1"/>
          <w:numId w:val="5"/>
        </w:numPr>
        <w:spacing w:line="480" w:lineRule="auto"/>
        <w:jc w:val="both"/>
        <w:rPr>
          <w:rFonts w:ascii="Arial" w:hAnsi="Arial" w:cs="Arial"/>
          <w:sz w:val="24"/>
          <w:szCs w:val="24"/>
          <w:lang w:val="en-US"/>
        </w:rPr>
      </w:pPr>
      <w:r w:rsidRPr="00CB7701">
        <w:rPr>
          <w:rFonts w:ascii="Arial" w:hAnsi="Arial" w:cs="Arial"/>
          <w:sz w:val="24"/>
          <w:szCs w:val="24"/>
          <w:lang w:val="en-US"/>
        </w:rPr>
        <w:t xml:space="preserve">The plaintiff’s annexure </w:t>
      </w:r>
      <w:r w:rsidR="00614D56">
        <w:rPr>
          <w:rFonts w:ascii="Arial" w:hAnsi="Arial" w:cs="Arial"/>
          <w:sz w:val="24"/>
          <w:szCs w:val="24"/>
          <w:lang w:val="en-US"/>
        </w:rPr>
        <w:t>“</w:t>
      </w:r>
      <w:r w:rsidRPr="00CB7701">
        <w:rPr>
          <w:rFonts w:ascii="Arial" w:hAnsi="Arial" w:cs="Arial"/>
          <w:sz w:val="24"/>
          <w:szCs w:val="24"/>
          <w:lang w:val="en-US"/>
        </w:rPr>
        <w:t>POC3</w:t>
      </w:r>
      <w:r w:rsidR="00614D56">
        <w:rPr>
          <w:rFonts w:ascii="Arial" w:hAnsi="Arial" w:cs="Arial"/>
          <w:sz w:val="24"/>
          <w:szCs w:val="24"/>
          <w:lang w:val="en-US"/>
        </w:rPr>
        <w:t>”</w:t>
      </w:r>
      <w:r w:rsidRPr="00CB7701">
        <w:rPr>
          <w:rFonts w:ascii="Arial" w:hAnsi="Arial" w:cs="Arial"/>
          <w:sz w:val="24"/>
          <w:szCs w:val="24"/>
          <w:lang w:val="en-US"/>
        </w:rPr>
        <w:t xml:space="preserve"> to the Particulars of Claim does not </w:t>
      </w:r>
      <w:r w:rsidR="001B3544" w:rsidRPr="00CB7701">
        <w:rPr>
          <w:rFonts w:ascii="Arial" w:hAnsi="Arial" w:cs="Arial"/>
          <w:sz w:val="24"/>
          <w:szCs w:val="24"/>
          <w:lang w:val="en-US"/>
        </w:rPr>
        <w:t>deal</w:t>
      </w:r>
      <w:r w:rsidRPr="00CB7701">
        <w:rPr>
          <w:rFonts w:ascii="Arial" w:hAnsi="Arial" w:cs="Arial"/>
          <w:sz w:val="24"/>
          <w:szCs w:val="24"/>
          <w:lang w:val="en-US"/>
        </w:rPr>
        <w:t xml:space="preserve"> with defects and </w:t>
      </w:r>
      <w:r w:rsidR="00FE05D5">
        <w:rPr>
          <w:rFonts w:ascii="Arial" w:hAnsi="Arial" w:cs="Arial"/>
          <w:sz w:val="24"/>
          <w:szCs w:val="24"/>
          <w:lang w:val="en-US"/>
        </w:rPr>
        <w:t>t</w:t>
      </w:r>
      <w:r w:rsidRPr="00CB7701">
        <w:rPr>
          <w:rFonts w:ascii="Arial" w:hAnsi="Arial" w:cs="Arial"/>
          <w:sz w:val="24"/>
          <w:szCs w:val="24"/>
          <w:lang w:val="en-US"/>
        </w:rPr>
        <w:t xml:space="preserve">he like and thus the Particulars of Claim lack averments necessary to </w:t>
      </w:r>
      <w:r w:rsidR="001B3544" w:rsidRPr="00CB7701">
        <w:rPr>
          <w:rFonts w:ascii="Arial" w:hAnsi="Arial" w:cs="Arial"/>
          <w:sz w:val="24"/>
          <w:szCs w:val="24"/>
          <w:lang w:val="en-US"/>
        </w:rPr>
        <w:t>support</w:t>
      </w:r>
      <w:r w:rsidRPr="00CB7701">
        <w:rPr>
          <w:rFonts w:ascii="Arial" w:hAnsi="Arial" w:cs="Arial"/>
          <w:sz w:val="24"/>
          <w:szCs w:val="24"/>
          <w:lang w:val="en-US"/>
        </w:rPr>
        <w:t xml:space="preserve"> </w:t>
      </w:r>
      <w:r w:rsidR="001B3544" w:rsidRPr="00CB7701">
        <w:rPr>
          <w:rFonts w:ascii="Arial" w:hAnsi="Arial" w:cs="Arial"/>
          <w:sz w:val="24"/>
          <w:szCs w:val="24"/>
          <w:lang w:val="en-US"/>
        </w:rPr>
        <w:t>the</w:t>
      </w:r>
      <w:r w:rsidRPr="00CB7701">
        <w:rPr>
          <w:rFonts w:ascii="Arial" w:hAnsi="Arial" w:cs="Arial"/>
          <w:sz w:val="24"/>
          <w:szCs w:val="24"/>
          <w:lang w:val="en-US"/>
        </w:rPr>
        <w:t xml:space="preserve"> allegation that the defendant </w:t>
      </w:r>
      <w:r w:rsidR="001B3544" w:rsidRPr="00CB7701">
        <w:rPr>
          <w:rFonts w:ascii="Arial" w:hAnsi="Arial" w:cs="Arial"/>
          <w:sz w:val="24"/>
          <w:szCs w:val="24"/>
          <w:lang w:val="en-US"/>
        </w:rPr>
        <w:t>was</w:t>
      </w:r>
      <w:r w:rsidRPr="00CB7701">
        <w:rPr>
          <w:rFonts w:ascii="Arial" w:hAnsi="Arial" w:cs="Arial"/>
          <w:sz w:val="24"/>
          <w:szCs w:val="24"/>
          <w:lang w:val="en-US"/>
        </w:rPr>
        <w:t xml:space="preserve"> in breach</w:t>
      </w:r>
      <w:r w:rsidR="00FE05D5">
        <w:rPr>
          <w:rFonts w:ascii="Arial" w:hAnsi="Arial" w:cs="Arial"/>
          <w:sz w:val="24"/>
          <w:szCs w:val="24"/>
          <w:lang w:val="en-US"/>
        </w:rPr>
        <w:t xml:space="preserve"> of the </w:t>
      </w:r>
      <w:r w:rsidR="00497422">
        <w:rPr>
          <w:rFonts w:ascii="Arial" w:hAnsi="Arial" w:cs="Arial"/>
          <w:sz w:val="24"/>
          <w:szCs w:val="24"/>
          <w:lang w:val="en-US"/>
        </w:rPr>
        <w:t xml:space="preserve">parties’ </w:t>
      </w:r>
      <w:r w:rsidR="00FE05D5">
        <w:rPr>
          <w:rFonts w:ascii="Arial" w:hAnsi="Arial" w:cs="Arial"/>
          <w:sz w:val="24"/>
          <w:szCs w:val="24"/>
          <w:lang w:val="en-US"/>
        </w:rPr>
        <w:t>agreement</w:t>
      </w:r>
      <w:r w:rsidRPr="00CB7701">
        <w:rPr>
          <w:rFonts w:ascii="Arial" w:hAnsi="Arial" w:cs="Arial"/>
          <w:sz w:val="24"/>
          <w:szCs w:val="24"/>
          <w:lang w:val="en-US"/>
        </w:rPr>
        <w:t>;</w:t>
      </w:r>
    </w:p>
    <w:p w:rsidR="00E700CB" w:rsidRPr="00CB7701" w:rsidRDefault="00E700CB" w:rsidP="00CB7701">
      <w:pPr>
        <w:pStyle w:val="ListParagraph"/>
        <w:numPr>
          <w:ilvl w:val="1"/>
          <w:numId w:val="5"/>
        </w:numPr>
        <w:spacing w:line="480" w:lineRule="auto"/>
        <w:jc w:val="both"/>
        <w:rPr>
          <w:rFonts w:ascii="Arial" w:hAnsi="Arial" w:cs="Arial"/>
          <w:sz w:val="24"/>
          <w:szCs w:val="24"/>
          <w:lang w:val="en-US"/>
        </w:rPr>
      </w:pPr>
      <w:r w:rsidRPr="00CB7701">
        <w:rPr>
          <w:rFonts w:ascii="Arial" w:hAnsi="Arial" w:cs="Arial"/>
          <w:sz w:val="24"/>
          <w:szCs w:val="24"/>
          <w:lang w:val="en-US"/>
        </w:rPr>
        <w:t>Th</w:t>
      </w:r>
      <w:r w:rsidR="00FE05D5">
        <w:rPr>
          <w:rFonts w:ascii="Arial" w:hAnsi="Arial" w:cs="Arial"/>
          <w:sz w:val="24"/>
          <w:szCs w:val="24"/>
          <w:lang w:val="en-US"/>
        </w:rPr>
        <w:t>e</w:t>
      </w:r>
      <w:r w:rsidRPr="00CB7701">
        <w:rPr>
          <w:rFonts w:ascii="Arial" w:hAnsi="Arial" w:cs="Arial"/>
          <w:sz w:val="24"/>
          <w:szCs w:val="24"/>
          <w:lang w:val="en-US"/>
        </w:rPr>
        <w:t xml:space="preserve"> material </w:t>
      </w:r>
      <w:r w:rsidR="001B3544" w:rsidRPr="00CB7701">
        <w:rPr>
          <w:rFonts w:ascii="Arial" w:hAnsi="Arial" w:cs="Arial"/>
          <w:sz w:val="24"/>
          <w:szCs w:val="24"/>
          <w:lang w:val="en-US"/>
        </w:rPr>
        <w:t>facts</w:t>
      </w:r>
      <w:r w:rsidRPr="00CB7701">
        <w:rPr>
          <w:rFonts w:ascii="Arial" w:hAnsi="Arial" w:cs="Arial"/>
          <w:sz w:val="24"/>
          <w:szCs w:val="24"/>
          <w:lang w:val="en-US"/>
        </w:rPr>
        <w:t xml:space="preserve"> necessary to establish the contractual basis to </w:t>
      </w:r>
      <w:r w:rsidR="001B3544" w:rsidRPr="00CB7701">
        <w:rPr>
          <w:rFonts w:ascii="Arial" w:hAnsi="Arial" w:cs="Arial"/>
          <w:sz w:val="24"/>
          <w:szCs w:val="24"/>
          <w:lang w:val="en-US"/>
        </w:rPr>
        <w:t>support</w:t>
      </w:r>
      <w:r w:rsidRPr="00CB7701">
        <w:rPr>
          <w:rFonts w:ascii="Arial" w:hAnsi="Arial" w:cs="Arial"/>
          <w:sz w:val="24"/>
          <w:szCs w:val="24"/>
          <w:lang w:val="en-US"/>
        </w:rPr>
        <w:t xml:space="preserve"> the employer’s </w:t>
      </w:r>
      <w:r w:rsidR="00614D56">
        <w:rPr>
          <w:rFonts w:ascii="Arial" w:hAnsi="Arial" w:cs="Arial"/>
          <w:sz w:val="24"/>
          <w:szCs w:val="24"/>
          <w:lang w:val="en-US"/>
        </w:rPr>
        <w:t xml:space="preserve">(the City) </w:t>
      </w:r>
      <w:r w:rsidRPr="00CB7701">
        <w:rPr>
          <w:rFonts w:ascii="Arial" w:hAnsi="Arial" w:cs="Arial"/>
          <w:sz w:val="24"/>
          <w:szCs w:val="24"/>
          <w:lang w:val="en-US"/>
        </w:rPr>
        <w:t>claim was not properly pleaded;</w:t>
      </w:r>
    </w:p>
    <w:p w:rsidR="00E700CB" w:rsidRPr="00CB7701" w:rsidRDefault="00E700CB" w:rsidP="00CB7701">
      <w:pPr>
        <w:pStyle w:val="ListParagraph"/>
        <w:numPr>
          <w:ilvl w:val="1"/>
          <w:numId w:val="5"/>
        </w:numPr>
        <w:spacing w:line="480" w:lineRule="auto"/>
        <w:jc w:val="both"/>
        <w:rPr>
          <w:rFonts w:ascii="Arial" w:hAnsi="Arial" w:cs="Arial"/>
          <w:sz w:val="24"/>
          <w:szCs w:val="24"/>
          <w:lang w:val="en-US"/>
        </w:rPr>
      </w:pPr>
      <w:r w:rsidRPr="00CB7701">
        <w:rPr>
          <w:rFonts w:ascii="Arial" w:hAnsi="Arial" w:cs="Arial"/>
          <w:sz w:val="24"/>
          <w:szCs w:val="24"/>
          <w:lang w:val="en-US"/>
        </w:rPr>
        <w:t xml:space="preserve">The plaintiff failed to plead </w:t>
      </w:r>
      <w:r w:rsidR="001B3544" w:rsidRPr="00CB7701">
        <w:rPr>
          <w:rFonts w:ascii="Arial" w:hAnsi="Arial" w:cs="Arial"/>
          <w:sz w:val="24"/>
          <w:szCs w:val="24"/>
          <w:lang w:val="en-US"/>
        </w:rPr>
        <w:t>termination</w:t>
      </w:r>
      <w:r w:rsidRPr="00CB7701">
        <w:rPr>
          <w:rFonts w:ascii="Arial" w:hAnsi="Arial" w:cs="Arial"/>
          <w:sz w:val="24"/>
          <w:szCs w:val="24"/>
          <w:lang w:val="en-US"/>
        </w:rPr>
        <w:t xml:space="preserve"> of mediation (as a first step in dispute resolution); and</w:t>
      </w:r>
    </w:p>
    <w:p w:rsidR="00E700CB" w:rsidRPr="00CB7701" w:rsidRDefault="00E700CB" w:rsidP="00CB7701">
      <w:pPr>
        <w:pStyle w:val="ListParagraph"/>
        <w:numPr>
          <w:ilvl w:val="1"/>
          <w:numId w:val="5"/>
        </w:numPr>
        <w:spacing w:line="480" w:lineRule="auto"/>
        <w:jc w:val="both"/>
        <w:rPr>
          <w:rFonts w:ascii="Arial" w:hAnsi="Arial" w:cs="Arial"/>
          <w:sz w:val="24"/>
          <w:szCs w:val="24"/>
          <w:lang w:val="en-US"/>
        </w:rPr>
      </w:pPr>
      <w:r w:rsidRPr="00CB7701">
        <w:rPr>
          <w:rFonts w:ascii="Arial" w:hAnsi="Arial" w:cs="Arial"/>
          <w:sz w:val="24"/>
          <w:szCs w:val="24"/>
          <w:lang w:val="en-US"/>
        </w:rPr>
        <w:t>Th</w:t>
      </w:r>
      <w:r w:rsidR="00FE05D5">
        <w:rPr>
          <w:rFonts w:ascii="Arial" w:hAnsi="Arial" w:cs="Arial"/>
          <w:sz w:val="24"/>
          <w:szCs w:val="24"/>
          <w:lang w:val="en-US"/>
        </w:rPr>
        <w:t>e</w:t>
      </w:r>
      <w:r w:rsidRPr="00CB7701">
        <w:rPr>
          <w:rFonts w:ascii="Arial" w:hAnsi="Arial" w:cs="Arial"/>
          <w:sz w:val="24"/>
          <w:szCs w:val="24"/>
          <w:lang w:val="en-US"/>
        </w:rPr>
        <w:t xml:space="preserve"> plaintiff failed to sustain a cause of </w:t>
      </w:r>
      <w:r w:rsidR="001B3544" w:rsidRPr="00CB7701">
        <w:rPr>
          <w:rFonts w:ascii="Arial" w:hAnsi="Arial" w:cs="Arial"/>
          <w:sz w:val="24"/>
          <w:szCs w:val="24"/>
          <w:lang w:val="en-US"/>
        </w:rPr>
        <w:t>action</w:t>
      </w:r>
      <w:r w:rsidRPr="00CB7701">
        <w:rPr>
          <w:rFonts w:ascii="Arial" w:hAnsi="Arial" w:cs="Arial"/>
          <w:sz w:val="24"/>
          <w:szCs w:val="24"/>
          <w:lang w:val="en-US"/>
        </w:rPr>
        <w:t xml:space="preserve"> in support of the loss </w:t>
      </w:r>
      <w:r w:rsidR="001B3544" w:rsidRPr="00CB7701">
        <w:rPr>
          <w:rFonts w:ascii="Arial" w:hAnsi="Arial" w:cs="Arial"/>
          <w:sz w:val="24"/>
          <w:szCs w:val="24"/>
          <w:lang w:val="en-US"/>
        </w:rPr>
        <w:t>suffered</w:t>
      </w:r>
      <w:r w:rsidRPr="00CB7701">
        <w:rPr>
          <w:rFonts w:ascii="Arial" w:hAnsi="Arial" w:cs="Arial"/>
          <w:sz w:val="24"/>
          <w:szCs w:val="24"/>
          <w:lang w:val="en-US"/>
        </w:rPr>
        <w:t xml:space="preserve"> </w:t>
      </w:r>
      <w:r w:rsidR="001B3544" w:rsidRPr="00CB7701">
        <w:rPr>
          <w:rFonts w:ascii="Arial" w:hAnsi="Arial" w:cs="Arial"/>
          <w:sz w:val="24"/>
          <w:szCs w:val="24"/>
          <w:lang w:val="en-US"/>
        </w:rPr>
        <w:t>a</w:t>
      </w:r>
      <w:r w:rsidRPr="00CB7701">
        <w:rPr>
          <w:rFonts w:ascii="Arial" w:hAnsi="Arial" w:cs="Arial"/>
          <w:sz w:val="24"/>
          <w:szCs w:val="24"/>
          <w:lang w:val="en-US"/>
        </w:rPr>
        <w:t>s a result of breach of the parties’ contract.</w:t>
      </w:r>
    </w:p>
    <w:p w:rsidR="00E700CB" w:rsidRDefault="00E700CB" w:rsidP="00F36708">
      <w:pPr>
        <w:spacing w:line="480" w:lineRule="auto"/>
        <w:jc w:val="both"/>
        <w:rPr>
          <w:rFonts w:ascii="Arial" w:hAnsi="Arial" w:cs="Arial"/>
          <w:sz w:val="24"/>
          <w:szCs w:val="24"/>
          <w:lang w:val="en-US"/>
        </w:rPr>
      </w:pPr>
    </w:p>
    <w:p w:rsidR="00E700CB" w:rsidRDefault="00CB7701" w:rsidP="00F36708">
      <w:pPr>
        <w:spacing w:line="480" w:lineRule="auto"/>
        <w:jc w:val="both"/>
        <w:rPr>
          <w:rFonts w:ascii="Arial" w:hAnsi="Arial" w:cs="Arial"/>
          <w:sz w:val="24"/>
          <w:szCs w:val="24"/>
          <w:lang w:val="en-US"/>
        </w:rPr>
      </w:pPr>
      <w:r>
        <w:rPr>
          <w:rFonts w:ascii="Arial" w:hAnsi="Arial" w:cs="Arial"/>
          <w:sz w:val="24"/>
          <w:szCs w:val="24"/>
          <w:lang w:val="en-US"/>
        </w:rPr>
        <w:t>[3</w:t>
      </w:r>
      <w:r w:rsidR="00497422">
        <w:rPr>
          <w:rFonts w:ascii="Arial" w:hAnsi="Arial" w:cs="Arial"/>
          <w:sz w:val="24"/>
          <w:szCs w:val="24"/>
          <w:lang w:val="en-US"/>
        </w:rPr>
        <w:t>3</w:t>
      </w:r>
      <w:r>
        <w:rPr>
          <w:rFonts w:ascii="Arial" w:hAnsi="Arial" w:cs="Arial"/>
          <w:sz w:val="24"/>
          <w:szCs w:val="24"/>
          <w:lang w:val="en-US"/>
        </w:rPr>
        <w:t>]</w:t>
      </w:r>
      <w:r>
        <w:rPr>
          <w:rFonts w:ascii="Arial" w:hAnsi="Arial" w:cs="Arial"/>
          <w:sz w:val="24"/>
          <w:szCs w:val="24"/>
          <w:lang w:val="en-US"/>
        </w:rPr>
        <w:tab/>
      </w:r>
      <w:r w:rsidR="00E700CB">
        <w:rPr>
          <w:rFonts w:ascii="Arial" w:hAnsi="Arial" w:cs="Arial"/>
          <w:sz w:val="24"/>
          <w:szCs w:val="24"/>
          <w:lang w:val="en-US"/>
        </w:rPr>
        <w:t>Thus, the plaintiff was required to remedy its pleading i</w:t>
      </w:r>
      <w:r w:rsidR="00614D56">
        <w:rPr>
          <w:rFonts w:ascii="Arial" w:hAnsi="Arial" w:cs="Arial"/>
          <w:sz w:val="24"/>
          <w:szCs w:val="24"/>
          <w:lang w:val="en-US"/>
        </w:rPr>
        <w:t>n</w:t>
      </w:r>
      <w:r w:rsidR="00E700CB">
        <w:rPr>
          <w:rFonts w:ascii="Arial" w:hAnsi="Arial" w:cs="Arial"/>
          <w:sz w:val="24"/>
          <w:szCs w:val="24"/>
          <w:lang w:val="en-US"/>
        </w:rPr>
        <w:t xml:space="preserve"> respect of the substantive defects which the </w:t>
      </w:r>
      <w:r w:rsidR="00FE05D5">
        <w:rPr>
          <w:rFonts w:ascii="Arial" w:hAnsi="Arial" w:cs="Arial"/>
          <w:sz w:val="24"/>
          <w:szCs w:val="24"/>
          <w:lang w:val="en-US"/>
        </w:rPr>
        <w:t>C</w:t>
      </w:r>
      <w:r w:rsidR="00E700CB">
        <w:rPr>
          <w:rFonts w:ascii="Arial" w:hAnsi="Arial" w:cs="Arial"/>
          <w:sz w:val="24"/>
          <w:szCs w:val="24"/>
          <w:lang w:val="en-US"/>
        </w:rPr>
        <w:t xml:space="preserve">ourt found in its </w:t>
      </w:r>
      <w:r w:rsidR="001B3544">
        <w:rPr>
          <w:rFonts w:ascii="Arial" w:hAnsi="Arial" w:cs="Arial"/>
          <w:sz w:val="24"/>
          <w:szCs w:val="24"/>
          <w:lang w:val="en-US"/>
        </w:rPr>
        <w:t>Particulars</w:t>
      </w:r>
      <w:r w:rsidR="00E700CB">
        <w:rPr>
          <w:rFonts w:ascii="Arial" w:hAnsi="Arial" w:cs="Arial"/>
          <w:sz w:val="24"/>
          <w:szCs w:val="24"/>
          <w:lang w:val="en-US"/>
        </w:rPr>
        <w:t xml:space="preserve"> of Claim. Before addressing the condonation issue, it </w:t>
      </w:r>
      <w:r w:rsidR="001B3544">
        <w:rPr>
          <w:rFonts w:ascii="Arial" w:hAnsi="Arial" w:cs="Arial"/>
          <w:sz w:val="24"/>
          <w:szCs w:val="24"/>
          <w:lang w:val="en-US"/>
        </w:rPr>
        <w:t>behooves</w:t>
      </w:r>
      <w:r w:rsidR="00E700CB">
        <w:rPr>
          <w:rFonts w:ascii="Arial" w:hAnsi="Arial" w:cs="Arial"/>
          <w:sz w:val="24"/>
          <w:szCs w:val="24"/>
          <w:lang w:val="en-US"/>
        </w:rPr>
        <w:t xml:space="preserve"> me to remark that the Notice of </w:t>
      </w:r>
      <w:r w:rsidR="001B3544">
        <w:rPr>
          <w:rFonts w:ascii="Arial" w:hAnsi="Arial" w:cs="Arial"/>
          <w:sz w:val="24"/>
          <w:szCs w:val="24"/>
          <w:lang w:val="en-US"/>
        </w:rPr>
        <w:t>Amendment</w:t>
      </w:r>
      <w:r w:rsidR="00E700CB">
        <w:rPr>
          <w:rFonts w:ascii="Arial" w:hAnsi="Arial" w:cs="Arial"/>
          <w:sz w:val="24"/>
          <w:szCs w:val="24"/>
          <w:lang w:val="en-US"/>
        </w:rPr>
        <w:t xml:space="preserve"> appends Ann</w:t>
      </w:r>
      <w:r w:rsidR="00FE05D5">
        <w:rPr>
          <w:rFonts w:ascii="Arial" w:hAnsi="Arial" w:cs="Arial"/>
          <w:sz w:val="24"/>
          <w:szCs w:val="24"/>
          <w:lang w:val="en-US"/>
        </w:rPr>
        <w:t xml:space="preserve">exure </w:t>
      </w:r>
      <w:r w:rsidR="00E700CB">
        <w:rPr>
          <w:rFonts w:ascii="Arial" w:hAnsi="Arial" w:cs="Arial"/>
          <w:sz w:val="24"/>
          <w:szCs w:val="24"/>
          <w:lang w:val="en-US"/>
        </w:rPr>
        <w:t>”</w:t>
      </w:r>
      <w:r w:rsidR="00FE05D5">
        <w:rPr>
          <w:rFonts w:ascii="Arial" w:hAnsi="Arial" w:cs="Arial"/>
          <w:sz w:val="24"/>
          <w:szCs w:val="24"/>
          <w:lang w:val="en-US"/>
        </w:rPr>
        <w:t>A”</w:t>
      </w:r>
      <w:r w:rsidR="00614D56">
        <w:rPr>
          <w:rFonts w:ascii="Arial" w:hAnsi="Arial" w:cs="Arial"/>
          <w:sz w:val="24"/>
          <w:szCs w:val="24"/>
          <w:lang w:val="en-US"/>
        </w:rPr>
        <w:t xml:space="preserve"> which is the </w:t>
      </w:r>
      <w:r w:rsidR="00E700CB">
        <w:rPr>
          <w:rFonts w:ascii="Arial" w:hAnsi="Arial" w:cs="Arial"/>
          <w:sz w:val="24"/>
          <w:szCs w:val="24"/>
          <w:lang w:val="en-US"/>
        </w:rPr>
        <w:t xml:space="preserve">the Amended Particulars of Claim </w:t>
      </w:r>
      <w:r w:rsidR="001B3544">
        <w:rPr>
          <w:rFonts w:ascii="Arial" w:hAnsi="Arial" w:cs="Arial"/>
          <w:sz w:val="24"/>
          <w:szCs w:val="24"/>
          <w:lang w:val="en-US"/>
        </w:rPr>
        <w:t>together</w:t>
      </w:r>
      <w:r w:rsidR="00E700CB">
        <w:rPr>
          <w:rFonts w:ascii="Arial" w:hAnsi="Arial" w:cs="Arial"/>
          <w:sz w:val="24"/>
          <w:szCs w:val="24"/>
          <w:lang w:val="en-US"/>
        </w:rPr>
        <w:t xml:space="preserve"> with annexures relied</w:t>
      </w:r>
      <w:r w:rsidR="00614D56">
        <w:rPr>
          <w:rFonts w:ascii="Arial" w:hAnsi="Arial" w:cs="Arial"/>
          <w:sz w:val="24"/>
          <w:szCs w:val="24"/>
          <w:lang w:val="en-US"/>
        </w:rPr>
        <w:t>,</w:t>
      </w:r>
      <w:r w:rsidR="00E700CB">
        <w:rPr>
          <w:rFonts w:ascii="Arial" w:hAnsi="Arial" w:cs="Arial"/>
          <w:sz w:val="24"/>
          <w:szCs w:val="24"/>
          <w:lang w:val="en-US"/>
        </w:rPr>
        <w:t xml:space="preserve"> on to wit, “POC1-A; “POC2”; ‘’POC2A”; “POC4A’’ and ‘’POC4B’’. The Amended Particulars of Claim amount to 40 pages, and the </w:t>
      </w:r>
      <w:r w:rsidR="001B3544">
        <w:rPr>
          <w:rFonts w:ascii="Arial" w:hAnsi="Arial" w:cs="Arial"/>
          <w:sz w:val="24"/>
          <w:szCs w:val="24"/>
          <w:lang w:val="en-US"/>
        </w:rPr>
        <w:t>annexures</w:t>
      </w:r>
      <w:r w:rsidR="00E700CB">
        <w:rPr>
          <w:rFonts w:ascii="Arial" w:hAnsi="Arial" w:cs="Arial"/>
          <w:sz w:val="24"/>
          <w:szCs w:val="24"/>
          <w:lang w:val="en-US"/>
        </w:rPr>
        <w:t xml:space="preserve"> as </w:t>
      </w:r>
      <w:r w:rsidR="001B3544">
        <w:rPr>
          <w:rFonts w:ascii="Arial" w:hAnsi="Arial" w:cs="Arial"/>
          <w:sz w:val="24"/>
          <w:szCs w:val="24"/>
          <w:lang w:val="en-US"/>
        </w:rPr>
        <w:t>referred</w:t>
      </w:r>
      <w:r w:rsidR="00E700CB">
        <w:rPr>
          <w:rFonts w:ascii="Arial" w:hAnsi="Arial" w:cs="Arial"/>
          <w:sz w:val="24"/>
          <w:szCs w:val="24"/>
          <w:lang w:val="en-US"/>
        </w:rPr>
        <w:t xml:space="preserve"> to above, to 189 </w:t>
      </w:r>
      <w:r w:rsidR="001B3544">
        <w:rPr>
          <w:rFonts w:ascii="Arial" w:hAnsi="Arial" w:cs="Arial"/>
          <w:sz w:val="24"/>
          <w:szCs w:val="24"/>
          <w:lang w:val="en-US"/>
        </w:rPr>
        <w:t>pages</w:t>
      </w:r>
      <w:r w:rsidR="00E700CB">
        <w:rPr>
          <w:rFonts w:ascii="Arial" w:hAnsi="Arial" w:cs="Arial"/>
          <w:sz w:val="24"/>
          <w:szCs w:val="24"/>
          <w:lang w:val="en-US"/>
        </w:rPr>
        <w:t>. A quick perusal of ‘’POC1-A’’, the FI</w:t>
      </w:r>
      <w:r w:rsidR="00FE05D5">
        <w:rPr>
          <w:rFonts w:ascii="Arial" w:hAnsi="Arial" w:cs="Arial"/>
          <w:sz w:val="24"/>
          <w:szCs w:val="24"/>
          <w:lang w:val="en-US"/>
        </w:rPr>
        <w:t>D</w:t>
      </w:r>
      <w:r w:rsidR="00E700CB">
        <w:rPr>
          <w:rFonts w:ascii="Arial" w:hAnsi="Arial" w:cs="Arial"/>
          <w:sz w:val="24"/>
          <w:szCs w:val="24"/>
          <w:lang w:val="en-US"/>
        </w:rPr>
        <w:t xml:space="preserve">IC Conditions of </w:t>
      </w:r>
      <w:r w:rsidR="001B3544">
        <w:rPr>
          <w:rFonts w:ascii="Arial" w:hAnsi="Arial" w:cs="Arial"/>
          <w:sz w:val="24"/>
          <w:szCs w:val="24"/>
          <w:lang w:val="en-US"/>
        </w:rPr>
        <w:t>Contract</w:t>
      </w:r>
      <w:r w:rsidR="00E700CB">
        <w:rPr>
          <w:rFonts w:ascii="Arial" w:hAnsi="Arial" w:cs="Arial"/>
          <w:sz w:val="24"/>
          <w:szCs w:val="24"/>
          <w:lang w:val="en-US"/>
        </w:rPr>
        <w:t xml:space="preserve"> for Plan-and Design Build 1</w:t>
      </w:r>
      <w:r w:rsidR="00E700CB" w:rsidRPr="00E700CB">
        <w:rPr>
          <w:rFonts w:ascii="Arial" w:hAnsi="Arial" w:cs="Arial"/>
          <w:sz w:val="24"/>
          <w:szCs w:val="24"/>
          <w:vertAlign w:val="superscript"/>
          <w:lang w:val="en-US"/>
        </w:rPr>
        <w:t>st</w:t>
      </w:r>
      <w:r w:rsidR="00E700CB">
        <w:rPr>
          <w:rFonts w:ascii="Arial" w:hAnsi="Arial" w:cs="Arial"/>
          <w:sz w:val="24"/>
          <w:szCs w:val="24"/>
          <w:lang w:val="en-US"/>
        </w:rPr>
        <w:t xml:space="preserve"> Edition, which comprises part of the parties’ contract</w:t>
      </w:r>
      <w:r w:rsidR="00614D56">
        <w:rPr>
          <w:rFonts w:ascii="Arial" w:hAnsi="Arial" w:cs="Arial"/>
          <w:sz w:val="24"/>
          <w:szCs w:val="24"/>
          <w:lang w:val="en-US"/>
        </w:rPr>
        <w:t>,</w:t>
      </w:r>
      <w:r w:rsidR="00E700CB">
        <w:rPr>
          <w:rFonts w:ascii="Arial" w:hAnsi="Arial" w:cs="Arial"/>
          <w:sz w:val="24"/>
          <w:szCs w:val="24"/>
          <w:lang w:val="en-US"/>
        </w:rPr>
        <w:t xml:space="preserve"> </w:t>
      </w:r>
      <w:r w:rsidR="00FE05D5">
        <w:rPr>
          <w:rFonts w:ascii="Arial" w:hAnsi="Arial" w:cs="Arial"/>
          <w:sz w:val="24"/>
          <w:szCs w:val="24"/>
          <w:lang w:val="en-US"/>
        </w:rPr>
        <w:t xml:space="preserve">shows that it </w:t>
      </w:r>
      <w:r w:rsidR="00E700CB">
        <w:rPr>
          <w:rFonts w:ascii="Arial" w:hAnsi="Arial" w:cs="Arial"/>
          <w:sz w:val="24"/>
          <w:szCs w:val="24"/>
          <w:lang w:val="en-US"/>
        </w:rPr>
        <w:t xml:space="preserve">relates to the plaintiff’s IRT bus fare system, </w:t>
      </w:r>
      <w:r w:rsidR="00042016">
        <w:rPr>
          <w:rFonts w:ascii="Arial" w:hAnsi="Arial" w:cs="Arial"/>
          <w:sz w:val="24"/>
          <w:szCs w:val="24"/>
          <w:lang w:val="en-US"/>
        </w:rPr>
        <w:t xml:space="preserve">and </w:t>
      </w:r>
      <w:r w:rsidR="00E700CB">
        <w:rPr>
          <w:rFonts w:ascii="Arial" w:hAnsi="Arial" w:cs="Arial"/>
          <w:sz w:val="24"/>
          <w:szCs w:val="24"/>
          <w:lang w:val="en-US"/>
        </w:rPr>
        <w:t xml:space="preserve">that substantive </w:t>
      </w:r>
      <w:r w:rsidR="001B3544">
        <w:rPr>
          <w:rFonts w:ascii="Arial" w:hAnsi="Arial" w:cs="Arial"/>
          <w:sz w:val="24"/>
          <w:szCs w:val="24"/>
          <w:lang w:val="en-US"/>
        </w:rPr>
        <w:t>amendments</w:t>
      </w:r>
      <w:r w:rsidR="00E700CB">
        <w:rPr>
          <w:rFonts w:ascii="Arial" w:hAnsi="Arial" w:cs="Arial"/>
          <w:sz w:val="24"/>
          <w:szCs w:val="24"/>
          <w:lang w:val="en-US"/>
        </w:rPr>
        <w:t xml:space="preserve"> are made to it. In addition, and without making any findings on the correctness or ex</w:t>
      </w:r>
      <w:r w:rsidR="001B3544">
        <w:rPr>
          <w:rFonts w:ascii="Arial" w:hAnsi="Arial" w:cs="Arial"/>
          <w:sz w:val="24"/>
          <w:szCs w:val="24"/>
          <w:lang w:val="en-US"/>
        </w:rPr>
        <w:t>c</w:t>
      </w:r>
      <w:r w:rsidR="00E700CB">
        <w:rPr>
          <w:rFonts w:ascii="Arial" w:hAnsi="Arial" w:cs="Arial"/>
          <w:sz w:val="24"/>
          <w:szCs w:val="24"/>
          <w:lang w:val="en-US"/>
        </w:rPr>
        <w:t xml:space="preserve">ipiablity of the amendments, my observations </w:t>
      </w:r>
      <w:r w:rsidR="00042016">
        <w:rPr>
          <w:rFonts w:ascii="Arial" w:hAnsi="Arial" w:cs="Arial"/>
          <w:sz w:val="24"/>
          <w:szCs w:val="24"/>
          <w:lang w:val="en-US"/>
        </w:rPr>
        <w:t>are that</w:t>
      </w:r>
      <w:r w:rsidR="00E700CB">
        <w:rPr>
          <w:rFonts w:ascii="Arial" w:hAnsi="Arial" w:cs="Arial"/>
          <w:sz w:val="24"/>
          <w:szCs w:val="24"/>
          <w:lang w:val="en-US"/>
        </w:rPr>
        <w:t xml:space="preserve"> the </w:t>
      </w:r>
      <w:r w:rsidR="001B3544">
        <w:rPr>
          <w:rFonts w:ascii="Arial" w:hAnsi="Arial" w:cs="Arial"/>
          <w:sz w:val="24"/>
          <w:szCs w:val="24"/>
          <w:lang w:val="en-US"/>
        </w:rPr>
        <w:t>plaintiff</w:t>
      </w:r>
      <w:r w:rsidR="00E700CB">
        <w:rPr>
          <w:rFonts w:ascii="Arial" w:hAnsi="Arial" w:cs="Arial"/>
          <w:sz w:val="24"/>
          <w:szCs w:val="24"/>
          <w:lang w:val="en-US"/>
        </w:rPr>
        <w:t xml:space="preserve"> </w:t>
      </w:r>
      <w:r w:rsidR="00042016">
        <w:rPr>
          <w:rFonts w:ascii="Arial" w:hAnsi="Arial" w:cs="Arial"/>
          <w:sz w:val="24"/>
          <w:szCs w:val="24"/>
          <w:lang w:val="en-US"/>
        </w:rPr>
        <w:t xml:space="preserve">certainly addresses </w:t>
      </w:r>
      <w:r w:rsidR="00E700CB">
        <w:rPr>
          <w:rFonts w:ascii="Arial" w:hAnsi="Arial" w:cs="Arial"/>
          <w:sz w:val="24"/>
          <w:szCs w:val="24"/>
          <w:lang w:val="en-US"/>
        </w:rPr>
        <w:t>the findings made by the learned Jud</w:t>
      </w:r>
      <w:r w:rsidR="00042016">
        <w:rPr>
          <w:rFonts w:ascii="Arial" w:hAnsi="Arial" w:cs="Arial"/>
          <w:sz w:val="24"/>
          <w:szCs w:val="24"/>
          <w:lang w:val="en-US"/>
        </w:rPr>
        <w:t>g</w:t>
      </w:r>
      <w:r w:rsidR="00E700CB">
        <w:rPr>
          <w:rFonts w:ascii="Arial" w:hAnsi="Arial" w:cs="Arial"/>
          <w:sz w:val="24"/>
          <w:szCs w:val="24"/>
          <w:lang w:val="en-US"/>
        </w:rPr>
        <w:t xml:space="preserve">e </w:t>
      </w:r>
      <w:r w:rsidR="00042016">
        <w:rPr>
          <w:rFonts w:ascii="Arial" w:hAnsi="Arial" w:cs="Arial"/>
          <w:sz w:val="24"/>
          <w:szCs w:val="24"/>
          <w:lang w:val="en-US"/>
        </w:rPr>
        <w:t>in the exception</w:t>
      </w:r>
      <w:r w:rsidR="00497422">
        <w:rPr>
          <w:rFonts w:ascii="Arial" w:hAnsi="Arial" w:cs="Arial"/>
          <w:sz w:val="24"/>
          <w:szCs w:val="24"/>
          <w:lang w:val="en-US"/>
        </w:rPr>
        <w:t xml:space="preserve"> judgment</w:t>
      </w:r>
      <w:r w:rsidR="00E700CB">
        <w:rPr>
          <w:rFonts w:ascii="Arial" w:hAnsi="Arial" w:cs="Arial"/>
          <w:sz w:val="24"/>
          <w:szCs w:val="24"/>
          <w:lang w:val="en-US"/>
        </w:rPr>
        <w:t xml:space="preserve">, by making </w:t>
      </w:r>
      <w:r w:rsidR="001B3544">
        <w:rPr>
          <w:rFonts w:ascii="Arial" w:hAnsi="Arial" w:cs="Arial"/>
          <w:sz w:val="24"/>
          <w:szCs w:val="24"/>
          <w:lang w:val="en-US"/>
        </w:rPr>
        <w:t>amendments</w:t>
      </w:r>
      <w:r w:rsidR="00E700CB">
        <w:rPr>
          <w:rFonts w:ascii="Arial" w:hAnsi="Arial" w:cs="Arial"/>
          <w:sz w:val="24"/>
          <w:szCs w:val="24"/>
          <w:lang w:val="en-US"/>
        </w:rPr>
        <w:t xml:space="preserve"> to paragraphs 3.3</w:t>
      </w:r>
      <w:r w:rsidR="00614D56">
        <w:rPr>
          <w:rFonts w:ascii="Arial" w:hAnsi="Arial" w:cs="Arial"/>
          <w:sz w:val="24"/>
          <w:szCs w:val="24"/>
          <w:lang w:val="en-US"/>
        </w:rPr>
        <w:t>,</w:t>
      </w:r>
      <w:r w:rsidR="00E700CB">
        <w:rPr>
          <w:rFonts w:ascii="Arial" w:hAnsi="Arial" w:cs="Arial"/>
          <w:sz w:val="24"/>
          <w:szCs w:val="24"/>
          <w:lang w:val="en-US"/>
        </w:rPr>
        <w:t xml:space="preserve"> 3.4</w:t>
      </w:r>
      <w:r w:rsidR="00614D56">
        <w:rPr>
          <w:rFonts w:ascii="Arial" w:hAnsi="Arial" w:cs="Arial"/>
          <w:sz w:val="24"/>
          <w:szCs w:val="24"/>
          <w:lang w:val="en-US"/>
        </w:rPr>
        <w:t>,</w:t>
      </w:r>
      <w:r w:rsidR="00E700CB">
        <w:rPr>
          <w:rFonts w:ascii="Arial" w:hAnsi="Arial" w:cs="Arial"/>
          <w:sz w:val="24"/>
          <w:szCs w:val="24"/>
          <w:lang w:val="en-US"/>
        </w:rPr>
        <w:t xml:space="preserve"> 7</w:t>
      </w:r>
      <w:r w:rsidR="00614D56">
        <w:rPr>
          <w:rFonts w:ascii="Arial" w:hAnsi="Arial" w:cs="Arial"/>
          <w:sz w:val="24"/>
          <w:szCs w:val="24"/>
          <w:lang w:val="en-US"/>
        </w:rPr>
        <w:t>,</w:t>
      </w:r>
      <w:r w:rsidR="00E700CB">
        <w:rPr>
          <w:rFonts w:ascii="Arial" w:hAnsi="Arial" w:cs="Arial"/>
          <w:sz w:val="24"/>
          <w:szCs w:val="24"/>
          <w:lang w:val="en-US"/>
        </w:rPr>
        <w:t xml:space="preserve"> 8 and 10</w:t>
      </w:r>
      <w:r w:rsidR="001B3544">
        <w:rPr>
          <w:rFonts w:ascii="Arial" w:hAnsi="Arial" w:cs="Arial"/>
          <w:sz w:val="24"/>
          <w:szCs w:val="24"/>
          <w:lang w:val="en-US"/>
        </w:rPr>
        <w:t xml:space="preserve"> of the Particulars of </w:t>
      </w:r>
      <w:r w:rsidR="00760924">
        <w:rPr>
          <w:rFonts w:ascii="Arial" w:hAnsi="Arial" w:cs="Arial"/>
          <w:sz w:val="24"/>
          <w:szCs w:val="24"/>
          <w:lang w:val="en-US"/>
        </w:rPr>
        <w:t xml:space="preserve">Claim. </w:t>
      </w:r>
      <w:r w:rsidR="00042016">
        <w:rPr>
          <w:rFonts w:ascii="Arial" w:hAnsi="Arial" w:cs="Arial"/>
          <w:sz w:val="24"/>
          <w:szCs w:val="24"/>
          <w:lang w:val="en-US"/>
        </w:rPr>
        <w:t>T</w:t>
      </w:r>
      <w:r w:rsidR="00760924">
        <w:rPr>
          <w:rFonts w:ascii="Arial" w:hAnsi="Arial" w:cs="Arial"/>
          <w:sz w:val="24"/>
          <w:szCs w:val="24"/>
          <w:lang w:val="en-US"/>
        </w:rPr>
        <w:t xml:space="preserve">he further </w:t>
      </w:r>
      <w:r w:rsidR="001B3544">
        <w:rPr>
          <w:rFonts w:ascii="Arial" w:hAnsi="Arial" w:cs="Arial"/>
          <w:sz w:val="24"/>
          <w:szCs w:val="24"/>
          <w:lang w:val="en-US"/>
        </w:rPr>
        <w:t>amendment</w:t>
      </w:r>
      <w:r w:rsidR="00497422">
        <w:rPr>
          <w:rFonts w:ascii="Arial" w:hAnsi="Arial" w:cs="Arial"/>
          <w:sz w:val="24"/>
          <w:szCs w:val="24"/>
          <w:lang w:val="en-US"/>
        </w:rPr>
        <w:t>s</w:t>
      </w:r>
      <w:r w:rsidR="00760924">
        <w:rPr>
          <w:rFonts w:ascii="Arial" w:hAnsi="Arial" w:cs="Arial"/>
          <w:sz w:val="24"/>
          <w:szCs w:val="24"/>
          <w:lang w:val="en-US"/>
        </w:rPr>
        <w:t xml:space="preserve"> relate to the quantum of the claim, and alternative claims. Thus, I agree with the </w:t>
      </w:r>
      <w:r w:rsidR="001B3544">
        <w:rPr>
          <w:rFonts w:ascii="Arial" w:hAnsi="Arial" w:cs="Arial"/>
          <w:sz w:val="24"/>
          <w:szCs w:val="24"/>
          <w:lang w:val="en-US"/>
        </w:rPr>
        <w:t>plaintiff’s</w:t>
      </w:r>
      <w:r w:rsidR="00760924">
        <w:rPr>
          <w:rFonts w:ascii="Arial" w:hAnsi="Arial" w:cs="Arial"/>
          <w:sz w:val="24"/>
          <w:szCs w:val="24"/>
          <w:lang w:val="en-US"/>
        </w:rPr>
        <w:t xml:space="preserve"> counsel </w:t>
      </w:r>
      <w:r w:rsidR="001B3544">
        <w:rPr>
          <w:rFonts w:ascii="Arial" w:hAnsi="Arial" w:cs="Arial"/>
          <w:sz w:val="24"/>
          <w:szCs w:val="24"/>
          <w:lang w:val="en-US"/>
        </w:rPr>
        <w:t>that</w:t>
      </w:r>
      <w:r w:rsidR="00760924">
        <w:rPr>
          <w:rFonts w:ascii="Arial" w:hAnsi="Arial" w:cs="Arial"/>
          <w:sz w:val="24"/>
          <w:szCs w:val="24"/>
          <w:lang w:val="en-US"/>
        </w:rPr>
        <w:t xml:space="preserve"> the amendments seek to address the specific complaints raised in the exception judgment</w:t>
      </w:r>
      <w:r w:rsidR="001B3544">
        <w:rPr>
          <w:rFonts w:ascii="Arial" w:hAnsi="Arial" w:cs="Arial"/>
          <w:sz w:val="24"/>
          <w:szCs w:val="24"/>
          <w:lang w:val="en-US"/>
        </w:rPr>
        <w:t>,</w:t>
      </w:r>
      <w:r w:rsidR="00760924">
        <w:rPr>
          <w:rFonts w:ascii="Arial" w:hAnsi="Arial" w:cs="Arial"/>
          <w:sz w:val="24"/>
          <w:szCs w:val="24"/>
          <w:lang w:val="en-US"/>
        </w:rPr>
        <w:t xml:space="preserve"> and they are by no means inconsequential or minor.</w:t>
      </w:r>
    </w:p>
    <w:p w:rsidR="00760924" w:rsidRDefault="00760924" w:rsidP="00F36708">
      <w:pPr>
        <w:spacing w:line="480" w:lineRule="auto"/>
        <w:jc w:val="both"/>
        <w:rPr>
          <w:rFonts w:ascii="Arial" w:hAnsi="Arial" w:cs="Arial"/>
          <w:sz w:val="24"/>
          <w:szCs w:val="24"/>
          <w:lang w:val="en-US"/>
        </w:rPr>
      </w:pPr>
    </w:p>
    <w:p w:rsidR="00760924" w:rsidRDefault="00CB7701" w:rsidP="00F36708">
      <w:pPr>
        <w:spacing w:line="480" w:lineRule="auto"/>
        <w:jc w:val="both"/>
        <w:rPr>
          <w:rFonts w:ascii="Arial" w:hAnsi="Arial" w:cs="Arial"/>
          <w:sz w:val="24"/>
          <w:szCs w:val="24"/>
          <w:lang w:val="en-US"/>
        </w:rPr>
      </w:pPr>
      <w:r>
        <w:rPr>
          <w:rFonts w:ascii="Arial" w:hAnsi="Arial" w:cs="Arial"/>
          <w:sz w:val="24"/>
          <w:szCs w:val="24"/>
          <w:lang w:val="en-US"/>
        </w:rPr>
        <w:t>[3</w:t>
      </w:r>
      <w:r w:rsidR="00497422">
        <w:rPr>
          <w:rFonts w:ascii="Arial" w:hAnsi="Arial" w:cs="Arial"/>
          <w:sz w:val="24"/>
          <w:szCs w:val="24"/>
          <w:lang w:val="en-US"/>
        </w:rPr>
        <w:t>4</w:t>
      </w:r>
      <w:r>
        <w:rPr>
          <w:rFonts w:ascii="Arial" w:hAnsi="Arial" w:cs="Arial"/>
          <w:sz w:val="24"/>
          <w:szCs w:val="24"/>
          <w:lang w:val="en-US"/>
        </w:rPr>
        <w:t>]</w:t>
      </w:r>
      <w:r>
        <w:rPr>
          <w:rFonts w:ascii="Arial" w:hAnsi="Arial" w:cs="Arial"/>
          <w:sz w:val="24"/>
          <w:szCs w:val="24"/>
          <w:lang w:val="en-US"/>
        </w:rPr>
        <w:tab/>
      </w:r>
      <w:r w:rsidR="00760924">
        <w:rPr>
          <w:rFonts w:ascii="Arial" w:hAnsi="Arial" w:cs="Arial"/>
          <w:sz w:val="24"/>
          <w:szCs w:val="24"/>
          <w:lang w:val="en-US"/>
        </w:rPr>
        <w:t>As a matter of completeness, and having regard to the submission</w:t>
      </w:r>
      <w:r w:rsidR="00042016">
        <w:rPr>
          <w:rFonts w:ascii="Arial" w:hAnsi="Arial" w:cs="Arial"/>
          <w:sz w:val="24"/>
          <w:szCs w:val="24"/>
          <w:lang w:val="en-US"/>
        </w:rPr>
        <w:t>s</w:t>
      </w:r>
      <w:r w:rsidR="001B3544">
        <w:rPr>
          <w:rFonts w:ascii="Arial" w:hAnsi="Arial" w:cs="Arial"/>
          <w:sz w:val="24"/>
          <w:szCs w:val="24"/>
          <w:lang w:val="en-US"/>
        </w:rPr>
        <w:t xml:space="preserve"> </w:t>
      </w:r>
      <w:r w:rsidR="00760924">
        <w:rPr>
          <w:rFonts w:ascii="Arial" w:hAnsi="Arial" w:cs="Arial"/>
          <w:sz w:val="24"/>
          <w:szCs w:val="24"/>
          <w:lang w:val="en-US"/>
        </w:rPr>
        <w:t>of both parties</w:t>
      </w:r>
      <w:r w:rsidR="00042016">
        <w:rPr>
          <w:rFonts w:ascii="Arial" w:hAnsi="Arial" w:cs="Arial"/>
          <w:sz w:val="24"/>
          <w:szCs w:val="24"/>
          <w:lang w:val="en-US"/>
        </w:rPr>
        <w:t>,</w:t>
      </w:r>
      <w:r w:rsidR="00760924">
        <w:rPr>
          <w:rFonts w:ascii="Arial" w:hAnsi="Arial" w:cs="Arial"/>
          <w:sz w:val="24"/>
          <w:szCs w:val="24"/>
          <w:lang w:val="en-US"/>
        </w:rPr>
        <w:t xml:space="preserve"> </w:t>
      </w:r>
      <w:r w:rsidR="00042016">
        <w:rPr>
          <w:rFonts w:ascii="Arial" w:hAnsi="Arial" w:cs="Arial"/>
          <w:sz w:val="24"/>
          <w:szCs w:val="24"/>
          <w:lang w:val="en-US"/>
        </w:rPr>
        <w:t xml:space="preserve">I note that </w:t>
      </w:r>
      <w:r w:rsidR="00760924">
        <w:rPr>
          <w:rFonts w:ascii="Arial" w:hAnsi="Arial" w:cs="Arial"/>
          <w:sz w:val="24"/>
          <w:szCs w:val="24"/>
          <w:lang w:val="en-US"/>
        </w:rPr>
        <w:t>the Plascon-Ev</w:t>
      </w:r>
      <w:r w:rsidR="00497422">
        <w:rPr>
          <w:rFonts w:ascii="Arial" w:hAnsi="Arial" w:cs="Arial"/>
          <w:sz w:val="24"/>
          <w:szCs w:val="24"/>
          <w:lang w:val="en-US"/>
        </w:rPr>
        <w:t>a</w:t>
      </w:r>
      <w:r w:rsidR="00760924">
        <w:rPr>
          <w:rFonts w:ascii="Arial" w:hAnsi="Arial" w:cs="Arial"/>
          <w:sz w:val="24"/>
          <w:szCs w:val="24"/>
          <w:lang w:val="en-US"/>
        </w:rPr>
        <w:t>ns argument</w:t>
      </w:r>
      <w:r w:rsidR="00614D56">
        <w:rPr>
          <w:rFonts w:ascii="Arial" w:hAnsi="Arial" w:cs="Arial"/>
          <w:sz w:val="24"/>
          <w:szCs w:val="24"/>
          <w:lang w:val="en-US"/>
        </w:rPr>
        <w:t xml:space="preserve"> is seemingly not relied upon and </w:t>
      </w:r>
      <w:r w:rsidR="00760924">
        <w:rPr>
          <w:rFonts w:ascii="Arial" w:hAnsi="Arial" w:cs="Arial"/>
          <w:sz w:val="24"/>
          <w:szCs w:val="24"/>
          <w:lang w:val="en-US"/>
        </w:rPr>
        <w:t xml:space="preserve">the plaintiff’s reliance on a pending case 6582/2020, was abandoned. Furthermore, the </w:t>
      </w:r>
      <w:r w:rsidR="001B3544">
        <w:rPr>
          <w:rFonts w:ascii="Arial" w:hAnsi="Arial" w:cs="Arial"/>
          <w:sz w:val="24"/>
          <w:szCs w:val="24"/>
          <w:lang w:val="en-US"/>
        </w:rPr>
        <w:t>plaintiff</w:t>
      </w:r>
      <w:r w:rsidR="00760924">
        <w:rPr>
          <w:rFonts w:ascii="Arial" w:hAnsi="Arial" w:cs="Arial"/>
          <w:sz w:val="24"/>
          <w:szCs w:val="24"/>
          <w:lang w:val="en-US"/>
        </w:rPr>
        <w:t xml:space="preserve"> conceded</w:t>
      </w:r>
      <w:r w:rsidR="00042016">
        <w:rPr>
          <w:rFonts w:ascii="Arial" w:hAnsi="Arial" w:cs="Arial"/>
          <w:sz w:val="24"/>
          <w:szCs w:val="24"/>
          <w:lang w:val="en-US"/>
        </w:rPr>
        <w:t>,</w:t>
      </w:r>
      <w:r w:rsidR="00760924">
        <w:rPr>
          <w:rFonts w:ascii="Arial" w:hAnsi="Arial" w:cs="Arial"/>
          <w:sz w:val="24"/>
          <w:szCs w:val="24"/>
          <w:lang w:val="en-US"/>
        </w:rPr>
        <w:t xml:space="preserve"> correctly so in my view, that </w:t>
      </w:r>
      <w:r w:rsidR="001B3544">
        <w:rPr>
          <w:rFonts w:ascii="Arial" w:hAnsi="Arial" w:cs="Arial"/>
          <w:sz w:val="24"/>
          <w:szCs w:val="24"/>
          <w:lang w:val="en-US"/>
        </w:rPr>
        <w:t>it</w:t>
      </w:r>
      <w:r w:rsidR="00760924">
        <w:rPr>
          <w:rFonts w:ascii="Arial" w:hAnsi="Arial" w:cs="Arial"/>
          <w:sz w:val="24"/>
          <w:szCs w:val="24"/>
          <w:lang w:val="en-US"/>
        </w:rPr>
        <w:t xml:space="preserve"> did not </w:t>
      </w:r>
      <w:r w:rsidR="001B3544">
        <w:rPr>
          <w:rFonts w:ascii="Arial" w:hAnsi="Arial" w:cs="Arial"/>
          <w:sz w:val="24"/>
          <w:szCs w:val="24"/>
          <w:lang w:val="en-US"/>
        </w:rPr>
        <w:t>comply</w:t>
      </w:r>
      <w:r w:rsidR="00760924">
        <w:rPr>
          <w:rFonts w:ascii="Arial" w:hAnsi="Arial" w:cs="Arial"/>
          <w:sz w:val="24"/>
          <w:szCs w:val="24"/>
          <w:lang w:val="en-US"/>
        </w:rPr>
        <w:t xml:space="preserve"> with the </w:t>
      </w:r>
      <w:r w:rsidR="00042016">
        <w:rPr>
          <w:rFonts w:ascii="Arial" w:hAnsi="Arial" w:cs="Arial"/>
          <w:sz w:val="24"/>
          <w:szCs w:val="24"/>
          <w:lang w:val="en-US"/>
        </w:rPr>
        <w:t>30-day</w:t>
      </w:r>
      <w:r w:rsidR="00760924">
        <w:rPr>
          <w:rFonts w:ascii="Arial" w:hAnsi="Arial" w:cs="Arial"/>
          <w:sz w:val="24"/>
          <w:szCs w:val="24"/>
          <w:lang w:val="en-US"/>
        </w:rPr>
        <w:t xml:space="preserve"> time period allowed to amend the pleadings and that the City can be criticized for the delay and jumping </w:t>
      </w:r>
      <w:r w:rsidR="001B3544">
        <w:rPr>
          <w:rFonts w:ascii="Arial" w:hAnsi="Arial" w:cs="Arial"/>
          <w:sz w:val="24"/>
          <w:szCs w:val="24"/>
          <w:lang w:val="en-US"/>
        </w:rPr>
        <w:t>into</w:t>
      </w:r>
      <w:r w:rsidR="00760924">
        <w:rPr>
          <w:rFonts w:ascii="Arial" w:hAnsi="Arial" w:cs="Arial"/>
          <w:sz w:val="24"/>
          <w:szCs w:val="24"/>
          <w:lang w:val="en-US"/>
        </w:rPr>
        <w:t xml:space="preserve"> action (by way of correspondence), a day </w:t>
      </w:r>
      <w:r w:rsidR="001B3544">
        <w:rPr>
          <w:rFonts w:ascii="Arial" w:hAnsi="Arial" w:cs="Arial"/>
          <w:sz w:val="24"/>
          <w:szCs w:val="24"/>
          <w:lang w:val="en-US"/>
        </w:rPr>
        <w:t>after</w:t>
      </w:r>
      <w:r w:rsidR="00042016">
        <w:rPr>
          <w:rFonts w:ascii="Arial" w:hAnsi="Arial" w:cs="Arial"/>
          <w:sz w:val="24"/>
          <w:szCs w:val="24"/>
          <w:lang w:val="en-US"/>
        </w:rPr>
        <w:t xml:space="preserve"> the deadline had expired</w:t>
      </w:r>
      <w:r w:rsidR="00760924">
        <w:rPr>
          <w:rFonts w:ascii="Arial" w:hAnsi="Arial" w:cs="Arial"/>
          <w:sz w:val="24"/>
          <w:szCs w:val="24"/>
          <w:lang w:val="en-US"/>
        </w:rPr>
        <w:t>.</w:t>
      </w:r>
      <w:r w:rsidR="00497422">
        <w:rPr>
          <w:rFonts w:ascii="Arial" w:hAnsi="Arial" w:cs="Arial"/>
          <w:sz w:val="24"/>
          <w:szCs w:val="24"/>
          <w:lang w:val="en-US"/>
        </w:rPr>
        <w:t xml:space="preserve"> In addition, the averment that the defendant had information which the plaintiff considered necessary for the amendments, was </w:t>
      </w:r>
      <w:r w:rsidR="00614D56">
        <w:rPr>
          <w:rFonts w:ascii="Arial" w:hAnsi="Arial" w:cs="Arial"/>
          <w:sz w:val="24"/>
          <w:szCs w:val="24"/>
          <w:lang w:val="en-US"/>
        </w:rPr>
        <w:t xml:space="preserve">also a </w:t>
      </w:r>
      <w:r w:rsidR="00497422">
        <w:rPr>
          <w:rFonts w:ascii="Arial" w:hAnsi="Arial" w:cs="Arial"/>
          <w:sz w:val="24"/>
          <w:szCs w:val="24"/>
          <w:lang w:val="en-US"/>
        </w:rPr>
        <w:t>non-issue or abandoned.</w:t>
      </w:r>
    </w:p>
    <w:p w:rsidR="00760924" w:rsidRDefault="00AC28B8" w:rsidP="00F36708">
      <w:pPr>
        <w:spacing w:line="480" w:lineRule="auto"/>
        <w:jc w:val="both"/>
        <w:rPr>
          <w:rFonts w:ascii="Arial" w:hAnsi="Arial" w:cs="Arial"/>
          <w:sz w:val="24"/>
          <w:szCs w:val="24"/>
          <w:lang w:val="en-US"/>
        </w:rPr>
      </w:pPr>
      <w:r>
        <w:rPr>
          <w:rFonts w:ascii="Arial" w:hAnsi="Arial" w:cs="Arial"/>
          <w:sz w:val="24"/>
          <w:szCs w:val="24"/>
          <w:lang w:val="en-US"/>
        </w:rPr>
        <w:t>[3</w:t>
      </w:r>
      <w:r w:rsidR="00497422">
        <w:rPr>
          <w:rFonts w:ascii="Arial" w:hAnsi="Arial" w:cs="Arial"/>
          <w:sz w:val="24"/>
          <w:szCs w:val="24"/>
          <w:lang w:val="en-US"/>
        </w:rPr>
        <w:t>5</w:t>
      </w:r>
      <w:r w:rsidR="00CB7701">
        <w:rPr>
          <w:rFonts w:ascii="Arial" w:hAnsi="Arial" w:cs="Arial"/>
          <w:sz w:val="24"/>
          <w:szCs w:val="24"/>
          <w:lang w:val="en-US"/>
        </w:rPr>
        <w:t>]</w:t>
      </w:r>
      <w:r w:rsidR="00CB7701">
        <w:rPr>
          <w:rFonts w:ascii="Arial" w:hAnsi="Arial" w:cs="Arial"/>
          <w:sz w:val="24"/>
          <w:szCs w:val="24"/>
          <w:lang w:val="en-US"/>
        </w:rPr>
        <w:tab/>
        <w:t>It</w:t>
      </w:r>
      <w:r w:rsidR="00760924">
        <w:rPr>
          <w:rFonts w:ascii="Arial" w:hAnsi="Arial" w:cs="Arial"/>
          <w:sz w:val="24"/>
          <w:szCs w:val="24"/>
          <w:lang w:val="en-US"/>
        </w:rPr>
        <w:t xml:space="preserve"> is important to </w:t>
      </w:r>
      <w:r w:rsidR="001B3544">
        <w:rPr>
          <w:rFonts w:ascii="Arial" w:hAnsi="Arial" w:cs="Arial"/>
          <w:sz w:val="24"/>
          <w:szCs w:val="24"/>
          <w:lang w:val="en-US"/>
        </w:rPr>
        <w:t>note</w:t>
      </w:r>
      <w:r w:rsidR="00760924">
        <w:rPr>
          <w:rFonts w:ascii="Arial" w:hAnsi="Arial" w:cs="Arial"/>
          <w:sz w:val="24"/>
          <w:szCs w:val="24"/>
          <w:lang w:val="en-US"/>
        </w:rPr>
        <w:t xml:space="preserve"> </w:t>
      </w:r>
      <w:r w:rsidR="001B3544">
        <w:rPr>
          <w:rFonts w:ascii="Arial" w:hAnsi="Arial" w:cs="Arial"/>
          <w:sz w:val="24"/>
          <w:szCs w:val="24"/>
          <w:lang w:val="en-US"/>
        </w:rPr>
        <w:t xml:space="preserve">that </w:t>
      </w:r>
      <w:r w:rsidR="00760924">
        <w:rPr>
          <w:rFonts w:ascii="Arial" w:hAnsi="Arial" w:cs="Arial"/>
          <w:sz w:val="24"/>
          <w:szCs w:val="24"/>
          <w:lang w:val="en-US"/>
        </w:rPr>
        <w:t xml:space="preserve">the plaintiff’s condonation </w:t>
      </w:r>
      <w:r w:rsidR="00042016">
        <w:rPr>
          <w:rFonts w:ascii="Arial" w:hAnsi="Arial" w:cs="Arial"/>
          <w:sz w:val="24"/>
          <w:szCs w:val="24"/>
          <w:lang w:val="en-US"/>
        </w:rPr>
        <w:t xml:space="preserve">application </w:t>
      </w:r>
      <w:r w:rsidR="00497422">
        <w:rPr>
          <w:rFonts w:ascii="Arial" w:hAnsi="Arial" w:cs="Arial"/>
          <w:sz w:val="24"/>
          <w:szCs w:val="24"/>
          <w:lang w:val="en-US"/>
        </w:rPr>
        <w:t>does not relate to non-compliance with the Uniform Rules of C</w:t>
      </w:r>
      <w:r w:rsidR="00760924">
        <w:rPr>
          <w:rFonts w:ascii="Arial" w:hAnsi="Arial" w:cs="Arial"/>
          <w:sz w:val="24"/>
          <w:szCs w:val="24"/>
          <w:lang w:val="en-US"/>
        </w:rPr>
        <w:t xml:space="preserve">ourt. The non-compliance relates to </w:t>
      </w:r>
      <w:r w:rsidR="00042016">
        <w:rPr>
          <w:rFonts w:ascii="Arial" w:hAnsi="Arial" w:cs="Arial"/>
          <w:sz w:val="24"/>
          <w:szCs w:val="24"/>
          <w:lang w:val="en-US"/>
        </w:rPr>
        <w:t>its</w:t>
      </w:r>
      <w:r w:rsidR="00760924">
        <w:rPr>
          <w:rFonts w:ascii="Arial" w:hAnsi="Arial" w:cs="Arial"/>
          <w:sz w:val="24"/>
          <w:szCs w:val="24"/>
          <w:lang w:val="en-US"/>
        </w:rPr>
        <w:t xml:space="preserve"> </w:t>
      </w:r>
      <w:r w:rsidR="001B3544">
        <w:rPr>
          <w:rFonts w:ascii="Arial" w:hAnsi="Arial" w:cs="Arial"/>
          <w:sz w:val="24"/>
          <w:szCs w:val="24"/>
          <w:lang w:val="en-US"/>
        </w:rPr>
        <w:t>failure</w:t>
      </w:r>
      <w:r w:rsidR="00760924">
        <w:rPr>
          <w:rFonts w:ascii="Arial" w:hAnsi="Arial" w:cs="Arial"/>
          <w:sz w:val="24"/>
          <w:szCs w:val="24"/>
          <w:lang w:val="en-US"/>
        </w:rPr>
        <w:t xml:space="preserve"> to act in accordance </w:t>
      </w:r>
      <w:r w:rsidR="001B3544">
        <w:rPr>
          <w:rFonts w:ascii="Arial" w:hAnsi="Arial" w:cs="Arial"/>
          <w:sz w:val="24"/>
          <w:szCs w:val="24"/>
          <w:lang w:val="en-US"/>
        </w:rPr>
        <w:t>with</w:t>
      </w:r>
      <w:r w:rsidR="00760924">
        <w:rPr>
          <w:rFonts w:ascii="Arial" w:hAnsi="Arial" w:cs="Arial"/>
          <w:sz w:val="24"/>
          <w:szCs w:val="24"/>
          <w:lang w:val="en-US"/>
        </w:rPr>
        <w:t xml:space="preserve"> paragraph 43.2 of the Goliath order. To this extent, I agree with the defendant’s counsel </w:t>
      </w:r>
      <w:r w:rsidR="001B3544">
        <w:rPr>
          <w:rFonts w:ascii="Arial" w:hAnsi="Arial" w:cs="Arial"/>
          <w:sz w:val="24"/>
          <w:szCs w:val="24"/>
          <w:lang w:val="en-US"/>
        </w:rPr>
        <w:t>that</w:t>
      </w:r>
      <w:r w:rsidR="00760924">
        <w:rPr>
          <w:rFonts w:ascii="Arial" w:hAnsi="Arial" w:cs="Arial"/>
          <w:sz w:val="24"/>
          <w:szCs w:val="24"/>
          <w:lang w:val="en-US"/>
        </w:rPr>
        <w:t xml:space="preserve"> the </w:t>
      </w:r>
      <w:r w:rsidR="001B3544">
        <w:rPr>
          <w:rFonts w:ascii="Arial" w:hAnsi="Arial" w:cs="Arial"/>
          <w:sz w:val="24"/>
          <w:szCs w:val="24"/>
          <w:lang w:val="en-US"/>
        </w:rPr>
        <w:t>conduct</w:t>
      </w:r>
      <w:r w:rsidR="00760924">
        <w:rPr>
          <w:rFonts w:ascii="Arial" w:hAnsi="Arial" w:cs="Arial"/>
          <w:sz w:val="24"/>
          <w:szCs w:val="24"/>
          <w:lang w:val="en-US"/>
        </w:rPr>
        <w:t xml:space="preserve"> is egregious. I </w:t>
      </w:r>
      <w:r w:rsidR="00614D56">
        <w:rPr>
          <w:rFonts w:ascii="Arial" w:hAnsi="Arial" w:cs="Arial"/>
          <w:sz w:val="24"/>
          <w:szCs w:val="24"/>
          <w:lang w:val="en-US"/>
        </w:rPr>
        <w:t xml:space="preserve">furthermore agree with the submission </w:t>
      </w:r>
      <w:r w:rsidR="00760924">
        <w:rPr>
          <w:rFonts w:ascii="Arial" w:hAnsi="Arial" w:cs="Arial"/>
          <w:sz w:val="24"/>
          <w:szCs w:val="24"/>
          <w:lang w:val="en-US"/>
        </w:rPr>
        <w:t xml:space="preserve">that </w:t>
      </w:r>
      <w:r w:rsidR="00497422">
        <w:rPr>
          <w:rFonts w:ascii="Arial" w:hAnsi="Arial" w:cs="Arial"/>
          <w:sz w:val="24"/>
          <w:szCs w:val="24"/>
          <w:lang w:val="en-US"/>
        </w:rPr>
        <w:t>C</w:t>
      </w:r>
      <w:r w:rsidR="00760924">
        <w:rPr>
          <w:rFonts w:ascii="Arial" w:hAnsi="Arial" w:cs="Arial"/>
          <w:sz w:val="24"/>
          <w:szCs w:val="24"/>
          <w:lang w:val="en-US"/>
        </w:rPr>
        <w:t xml:space="preserve">ourt orders are required </w:t>
      </w:r>
      <w:r w:rsidR="001B3544">
        <w:rPr>
          <w:rFonts w:ascii="Arial" w:hAnsi="Arial" w:cs="Arial"/>
          <w:sz w:val="24"/>
          <w:szCs w:val="24"/>
          <w:lang w:val="en-US"/>
        </w:rPr>
        <w:t>to</w:t>
      </w:r>
      <w:r w:rsidR="00760924">
        <w:rPr>
          <w:rFonts w:ascii="Arial" w:hAnsi="Arial" w:cs="Arial"/>
          <w:sz w:val="24"/>
          <w:szCs w:val="24"/>
          <w:lang w:val="en-US"/>
        </w:rPr>
        <w:t xml:space="preserve"> be complied with and must be obeyed</w:t>
      </w:r>
      <w:r w:rsidR="00042016">
        <w:rPr>
          <w:rStyle w:val="FootnoteReference"/>
          <w:rFonts w:ascii="Arial" w:hAnsi="Arial" w:cs="Arial"/>
          <w:sz w:val="24"/>
          <w:szCs w:val="24"/>
          <w:lang w:val="en-US"/>
        </w:rPr>
        <w:footnoteReference w:id="13"/>
      </w:r>
      <w:r w:rsidR="00760924">
        <w:rPr>
          <w:rFonts w:ascii="Arial" w:hAnsi="Arial" w:cs="Arial"/>
          <w:sz w:val="24"/>
          <w:szCs w:val="24"/>
          <w:lang w:val="en-US"/>
        </w:rPr>
        <w:t xml:space="preserve">. </w:t>
      </w:r>
      <w:r w:rsidR="00614D56">
        <w:rPr>
          <w:rFonts w:ascii="Arial" w:hAnsi="Arial" w:cs="Arial"/>
          <w:sz w:val="24"/>
          <w:szCs w:val="24"/>
          <w:lang w:val="en-US"/>
        </w:rPr>
        <w:t>In this regard, s</w:t>
      </w:r>
      <w:r w:rsidR="00760924">
        <w:rPr>
          <w:rFonts w:ascii="Arial" w:hAnsi="Arial" w:cs="Arial"/>
          <w:sz w:val="24"/>
          <w:szCs w:val="24"/>
          <w:lang w:val="en-US"/>
        </w:rPr>
        <w:t xml:space="preserve">ection 165(5) of the Constitution of South Africa 1996, makes </w:t>
      </w:r>
      <w:r w:rsidR="001B3544">
        <w:rPr>
          <w:rFonts w:ascii="Arial" w:hAnsi="Arial" w:cs="Arial"/>
          <w:sz w:val="24"/>
          <w:szCs w:val="24"/>
          <w:lang w:val="en-US"/>
        </w:rPr>
        <w:t>orders</w:t>
      </w:r>
      <w:r w:rsidR="00760924">
        <w:rPr>
          <w:rFonts w:ascii="Arial" w:hAnsi="Arial" w:cs="Arial"/>
          <w:sz w:val="24"/>
          <w:szCs w:val="24"/>
          <w:lang w:val="en-US"/>
        </w:rPr>
        <w:t xml:space="preserve"> of </w:t>
      </w:r>
      <w:r w:rsidR="00042016">
        <w:rPr>
          <w:rFonts w:ascii="Arial" w:hAnsi="Arial" w:cs="Arial"/>
          <w:sz w:val="24"/>
          <w:szCs w:val="24"/>
          <w:lang w:val="en-US"/>
        </w:rPr>
        <w:t>C</w:t>
      </w:r>
      <w:r w:rsidR="00760924">
        <w:rPr>
          <w:rFonts w:ascii="Arial" w:hAnsi="Arial" w:cs="Arial"/>
          <w:sz w:val="24"/>
          <w:szCs w:val="24"/>
          <w:lang w:val="en-US"/>
        </w:rPr>
        <w:t xml:space="preserve">ourt binding on all persons and organs of State to whom such orders apply. I </w:t>
      </w:r>
      <w:r w:rsidR="00614D56">
        <w:rPr>
          <w:rFonts w:ascii="Arial" w:hAnsi="Arial" w:cs="Arial"/>
          <w:sz w:val="24"/>
          <w:szCs w:val="24"/>
          <w:lang w:val="en-US"/>
        </w:rPr>
        <w:t xml:space="preserve">am further in agreement that </w:t>
      </w:r>
      <w:r w:rsidR="00760924">
        <w:rPr>
          <w:rFonts w:ascii="Arial" w:hAnsi="Arial" w:cs="Arial"/>
          <w:sz w:val="24"/>
          <w:szCs w:val="24"/>
          <w:lang w:val="en-US"/>
        </w:rPr>
        <w:t>organs of State are held to a higher degree of accountability and duty to respect the law</w:t>
      </w:r>
      <w:r w:rsidR="00DD116B">
        <w:rPr>
          <w:rStyle w:val="FootnoteReference"/>
          <w:rFonts w:ascii="Arial" w:hAnsi="Arial" w:cs="Arial"/>
          <w:sz w:val="24"/>
          <w:szCs w:val="24"/>
          <w:lang w:val="en-US"/>
        </w:rPr>
        <w:footnoteReference w:id="14"/>
      </w:r>
      <w:r w:rsidR="00760924">
        <w:rPr>
          <w:rFonts w:ascii="Arial" w:hAnsi="Arial" w:cs="Arial"/>
          <w:sz w:val="24"/>
          <w:szCs w:val="24"/>
          <w:lang w:val="en-US"/>
        </w:rPr>
        <w:t xml:space="preserve">. The higher standard and duty to obey </w:t>
      </w:r>
      <w:r w:rsidR="00042016">
        <w:rPr>
          <w:rFonts w:ascii="Arial" w:hAnsi="Arial" w:cs="Arial"/>
          <w:sz w:val="24"/>
          <w:szCs w:val="24"/>
          <w:lang w:val="en-US"/>
        </w:rPr>
        <w:t>C</w:t>
      </w:r>
      <w:r w:rsidR="00760924">
        <w:rPr>
          <w:rFonts w:ascii="Arial" w:hAnsi="Arial" w:cs="Arial"/>
          <w:sz w:val="24"/>
          <w:szCs w:val="24"/>
          <w:lang w:val="en-US"/>
        </w:rPr>
        <w:t>ourt orders derives from section 165</w:t>
      </w:r>
      <w:r w:rsidR="00DD116B">
        <w:rPr>
          <w:rFonts w:ascii="Arial" w:hAnsi="Arial" w:cs="Arial"/>
          <w:sz w:val="24"/>
          <w:szCs w:val="24"/>
          <w:lang w:val="en-US"/>
        </w:rPr>
        <w:t>(</w:t>
      </w:r>
      <w:r w:rsidR="00760924">
        <w:rPr>
          <w:rFonts w:ascii="Arial" w:hAnsi="Arial" w:cs="Arial"/>
          <w:sz w:val="24"/>
          <w:szCs w:val="24"/>
          <w:lang w:val="en-US"/>
        </w:rPr>
        <w:t xml:space="preserve">4) of the </w:t>
      </w:r>
      <w:r w:rsidR="009B04AD">
        <w:rPr>
          <w:rFonts w:ascii="Arial" w:hAnsi="Arial" w:cs="Arial"/>
          <w:sz w:val="24"/>
          <w:szCs w:val="24"/>
          <w:lang w:val="en-US"/>
        </w:rPr>
        <w:t xml:space="preserve">Constitution which states that: </w:t>
      </w:r>
    </w:p>
    <w:p w:rsidR="00DD116B" w:rsidRPr="00DD116B" w:rsidRDefault="009B04AD" w:rsidP="00DD116B">
      <w:pPr>
        <w:pStyle w:val="NormalWeb"/>
        <w:shd w:val="clear" w:color="auto" w:fill="FFFFFF"/>
        <w:spacing w:before="144" w:beforeAutospacing="0" w:after="288" w:afterAutospacing="0" w:line="480" w:lineRule="auto"/>
        <w:rPr>
          <w:rFonts w:ascii="Verdana" w:hAnsi="Verdana"/>
          <w:i/>
          <w:color w:val="242121"/>
          <w:sz w:val="20"/>
          <w:szCs w:val="20"/>
        </w:rPr>
      </w:pPr>
      <w:r>
        <w:rPr>
          <w:rFonts w:ascii="Arial" w:hAnsi="Arial" w:cs="Arial"/>
          <w:lang w:val="en-US"/>
        </w:rPr>
        <w:tab/>
      </w:r>
      <w:r w:rsidR="00DD116B" w:rsidRPr="00DD116B">
        <w:rPr>
          <w:rFonts w:ascii="Arial" w:hAnsi="Arial" w:cs="Arial"/>
          <w:i/>
          <w:lang w:val="en-US"/>
        </w:rPr>
        <w:t>“</w:t>
      </w:r>
      <w:r w:rsidR="00DD116B" w:rsidRPr="00DD116B">
        <w:rPr>
          <w:rFonts w:ascii="Verdana" w:hAnsi="Verdana"/>
          <w:b/>
          <w:bCs/>
          <w:i/>
          <w:color w:val="242121"/>
          <w:sz w:val="20"/>
          <w:szCs w:val="20"/>
        </w:rPr>
        <w:t>165. Judicial authority</w:t>
      </w:r>
    </w:p>
    <w:p w:rsidR="00DD116B" w:rsidRPr="00DD116B" w:rsidRDefault="00DD116B" w:rsidP="00497422">
      <w:pPr>
        <w:pStyle w:val="NormalWeb"/>
        <w:numPr>
          <w:ilvl w:val="0"/>
          <w:numId w:val="7"/>
        </w:numPr>
        <w:shd w:val="clear" w:color="auto" w:fill="FFFFFF"/>
        <w:spacing w:before="144" w:beforeAutospacing="0" w:after="288" w:afterAutospacing="0" w:line="480" w:lineRule="auto"/>
        <w:rPr>
          <w:rFonts w:ascii="Verdana" w:hAnsi="Verdana"/>
          <w:i/>
          <w:color w:val="242121"/>
          <w:sz w:val="20"/>
          <w:szCs w:val="20"/>
        </w:rPr>
      </w:pPr>
      <w:r w:rsidRPr="00DD116B">
        <w:rPr>
          <w:rFonts w:ascii="Verdana" w:hAnsi="Verdana"/>
          <w:i/>
          <w:color w:val="242121"/>
          <w:sz w:val="20"/>
          <w:szCs w:val="20"/>
        </w:rPr>
        <w:t>Organs of state, through legislative and other measures, must assist and protect the courts to ensure the independence, impartiality, dignity, accessibility and effectiveness of the courts.</w:t>
      </w:r>
      <w:r>
        <w:rPr>
          <w:rFonts w:ascii="Verdana" w:hAnsi="Verdana"/>
          <w:i/>
          <w:color w:val="242121"/>
          <w:sz w:val="20"/>
          <w:szCs w:val="20"/>
        </w:rPr>
        <w:t>”</w:t>
      </w:r>
    </w:p>
    <w:p w:rsidR="009B04AD" w:rsidRDefault="009B04AD" w:rsidP="00F36708">
      <w:pPr>
        <w:spacing w:line="480" w:lineRule="auto"/>
        <w:jc w:val="both"/>
        <w:rPr>
          <w:rFonts w:ascii="Arial" w:hAnsi="Arial" w:cs="Arial"/>
          <w:sz w:val="24"/>
          <w:szCs w:val="24"/>
          <w:lang w:val="en-US"/>
        </w:rPr>
      </w:pPr>
    </w:p>
    <w:p w:rsidR="009B04AD" w:rsidRDefault="00AC28B8" w:rsidP="00F36708">
      <w:pPr>
        <w:spacing w:line="480" w:lineRule="auto"/>
        <w:jc w:val="both"/>
        <w:rPr>
          <w:rFonts w:ascii="Arial" w:hAnsi="Arial" w:cs="Arial"/>
          <w:sz w:val="24"/>
          <w:szCs w:val="24"/>
          <w:lang w:val="en-US"/>
        </w:rPr>
      </w:pPr>
      <w:r>
        <w:rPr>
          <w:rFonts w:ascii="Arial" w:hAnsi="Arial" w:cs="Arial"/>
          <w:sz w:val="24"/>
          <w:szCs w:val="24"/>
          <w:lang w:val="en-US"/>
        </w:rPr>
        <w:t>[3</w:t>
      </w:r>
      <w:r w:rsidR="00497422">
        <w:rPr>
          <w:rFonts w:ascii="Arial" w:hAnsi="Arial" w:cs="Arial"/>
          <w:sz w:val="24"/>
          <w:szCs w:val="24"/>
          <w:lang w:val="en-US"/>
        </w:rPr>
        <w:t>6</w:t>
      </w:r>
      <w:r w:rsidR="00CB7701">
        <w:rPr>
          <w:rFonts w:ascii="Arial" w:hAnsi="Arial" w:cs="Arial"/>
          <w:sz w:val="24"/>
          <w:szCs w:val="24"/>
          <w:lang w:val="en-US"/>
        </w:rPr>
        <w:t>]</w:t>
      </w:r>
      <w:r w:rsidR="00CB7701">
        <w:rPr>
          <w:rFonts w:ascii="Arial" w:hAnsi="Arial" w:cs="Arial"/>
          <w:sz w:val="24"/>
          <w:szCs w:val="24"/>
          <w:lang w:val="en-US"/>
        </w:rPr>
        <w:tab/>
      </w:r>
      <w:r w:rsidR="009B04AD">
        <w:rPr>
          <w:rFonts w:ascii="Arial" w:hAnsi="Arial" w:cs="Arial"/>
          <w:sz w:val="24"/>
          <w:szCs w:val="24"/>
          <w:lang w:val="en-US"/>
        </w:rPr>
        <w:t>The defendant’s argument, which refers to seriousness o</w:t>
      </w:r>
      <w:r w:rsidR="00042016">
        <w:rPr>
          <w:rFonts w:ascii="Arial" w:hAnsi="Arial" w:cs="Arial"/>
          <w:sz w:val="24"/>
          <w:szCs w:val="24"/>
          <w:lang w:val="en-US"/>
        </w:rPr>
        <w:t>r</w:t>
      </w:r>
      <w:r w:rsidR="009B04AD">
        <w:rPr>
          <w:rFonts w:ascii="Arial" w:hAnsi="Arial" w:cs="Arial"/>
          <w:sz w:val="24"/>
          <w:szCs w:val="24"/>
          <w:lang w:val="en-US"/>
        </w:rPr>
        <w:t xml:space="preserve"> disobedience of a </w:t>
      </w:r>
      <w:r w:rsidR="00497422">
        <w:rPr>
          <w:rFonts w:ascii="Arial" w:hAnsi="Arial" w:cs="Arial"/>
          <w:sz w:val="24"/>
          <w:szCs w:val="24"/>
          <w:lang w:val="en-US"/>
        </w:rPr>
        <w:t>C</w:t>
      </w:r>
      <w:r w:rsidR="009B04AD">
        <w:rPr>
          <w:rFonts w:ascii="Arial" w:hAnsi="Arial" w:cs="Arial"/>
          <w:sz w:val="24"/>
          <w:szCs w:val="24"/>
          <w:lang w:val="en-US"/>
        </w:rPr>
        <w:t xml:space="preserve">ourt order by an organ of State, concludes that in the context of this matter, the City’s breach of the Goliath order, warrants a </w:t>
      </w:r>
      <w:r w:rsidR="00051FCB">
        <w:rPr>
          <w:rFonts w:ascii="Arial" w:hAnsi="Arial" w:cs="Arial"/>
          <w:sz w:val="24"/>
          <w:szCs w:val="24"/>
          <w:lang w:val="en-US"/>
        </w:rPr>
        <w:t>striking</w:t>
      </w:r>
      <w:r w:rsidR="009B04AD">
        <w:rPr>
          <w:rFonts w:ascii="Arial" w:hAnsi="Arial" w:cs="Arial"/>
          <w:sz w:val="24"/>
          <w:szCs w:val="24"/>
          <w:lang w:val="en-US"/>
        </w:rPr>
        <w:t xml:space="preserve"> out of the plaintiff’s claim. In my view, this</w:t>
      </w:r>
      <w:r w:rsidR="00051FCB">
        <w:rPr>
          <w:rFonts w:ascii="Arial" w:hAnsi="Arial" w:cs="Arial"/>
          <w:sz w:val="24"/>
          <w:szCs w:val="24"/>
          <w:lang w:val="en-US"/>
        </w:rPr>
        <w:t xml:space="preserve"> conclusion is not as straightforward as the defendant proposes.</w:t>
      </w:r>
    </w:p>
    <w:p w:rsidR="00051FCB" w:rsidRDefault="00051FCB" w:rsidP="00F36708">
      <w:pPr>
        <w:spacing w:line="480" w:lineRule="auto"/>
        <w:jc w:val="both"/>
        <w:rPr>
          <w:rFonts w:ascii="Arial" w:hAnsi="Arial" w:cs="Arial"/>
          <w:sz w:val="24"/>
          <w:szCs w:val="24"/>
          <w:lang w:val="en-US"/>
        </w:rPr>
      </w:pPr>
    </w:p>
    <w:p w:rsidR="00051FCB" w:rsidRDefault="00CB7701" w:rsidP="00F36708">
      <w:pPr>
        <w:spacing w:line="480" w:lineRule="auto"/>
        <w:jc w:val="both"/>
        <w:rPr>
          <w:rFonts w:ascii="Arial" w:hAnsi="Arial" w:cs="Arial"/>
          <w:sz w:val="24"/>
          <w:szCs w:val="24"/>
          <w:lang w:val="en-US"/>
        </w:rPr>
      </w:pPr>
      <w:r>
        <w:rPr>
          <w:rFonts w:ascii="Arial" w:hAnsi="Arial" w:cs="Arial"/>
          <w:sz w:val="24"/>
          <w:szCs w:val="24"/>
          <w:lang w:val="en-US"/>
        </w:rPr>
        <w:t>[3</w:t>
      </w:r>
      <w:r w:rsidR="00497422">
        <w:rPr>
          <w:rFonts w:ascii="Arial" w:hAnsi="Arial" w:cs="Arial"/>
          <w:sz w:val="24"/>
          <w:szCs w:val="24"/>
          <w:lang w:val="en-US"/>
        </w:rPr>
        <w:t>7</w:t>
      </w:r>
      <w:r>
        <w:rPr>
          <w:rFonts w:ascii="Arial" w:hAnsi="Arial" w:cs="Arial"/>
          <w:sz w:val="24"/>
          <w:szCs w:val="24"/>
          <w:lang w:val="en-US"/>
        </w:rPr>
        <w:t>]</w:t>
      </w:r>
      <w:r>
        <w:rPr>
          <w:rFonts w:ascii="Arial" w:hAnsi="Arial" w:cs="Arial"/>
          <w:sz w:val="24"/>
          <w:szCs w:val="24"/>
          <w:lang w:val="en-US"/>
        </w:rPr>
        <w:tab/>
      </w:r>
      <w:r w:rsidR="00051FCB">
        <w:rPr>
          <w:rFonts w:ascii="Arial" w:hAnsi="Arial" w:cs="Arial"/>
          <w:sz w:val="24"/>
          <w:szCs w:val="24"/>
          <w:lang w:val="en-US"/>
        </w:rPr>
        <w:t>I tur</w:t>
      </w:r>
      <w:r>
        <w:rPr>
          <w:rFonts w:ascii="Arial" w:hAnsi="Arial" w:cs="Arial"/>
          <w:sz w:val="24"/>
          <w:szCs w:val="24"/>
          <w:lang w:val="en-US"/>
        </w:rPr>
        <w:t>n</w:t>
      </w:r>
      <w:r w:rsidR="00051FCB">
        <w:rPr>
          <w:rFonts w:ascii="Arial" w:hAnsi="Arial" w:cs="Arial"/>
          <w:sz w:val="24"/>
          <w:szCs w:val="24"/>
          <w:lang w:val="en-US"/>
        </w:rPr>
        <w:t xml:space="preserve"> then to the next issue </w:t>
      </w:r>
      <w:r w:rsidR="001B3544">
        <w:rPr>
          <w:rFonts w:ascii="Arial" w:hAnsi="Arial" w:cs="Arial"/>
          <w:sz w:val="24"/>
          <w:szCs w:val="24"/>
          <w:lang w:val="en-US"/>
        </w:rPr>
        <w:t>which</w:t>
      </w:r>
      <w:r w:rsidR="00051FCB">
        <w:rPr>
          <w:rFonts w:ascii="Arial" w:hAnsi="Arial" w:cs="Arial"/>
          <w:sz w:val="24"/>
          <w:szCs w:val="24"/>
          <w:lang w:val="en-US"/>
        </w:rPr>
        <w:t xml:space="preserve"> is whether non-compliance with a </w:t>
      </w:r>
      <w:r w:rsidR="00042016">
        <w:rPr>
          <w:rFonts w:ascii="Arial" w:hAnsi="Arial" w:cs="Arial"/>
          <w:sz w:val="24"/>
          <w:szCs w:val="24"/>
          <w:lang w:val="en-US"/>
        </w:rPr>
        <w:t>C</w:t>
      </w:r>
      <w:r w:rsidR="00051FCB">
        <w:rPr>
          <w:rFonts w:ascii="Arial" w:hAnsi="Arial" w:cs="Arial"/>
          <w:sz w:val="24"/>
          <w:szCs w:val="24"/>
          <w:lang w:val="en-US"/>
        </w:rPr>
        <w:t xml:space="preserve">ourt order may be condoned. The starting point is that the applications before me do not fall under contempt of </w:t>
      </w:r>
      <w:r w:rsidR="00042016">
        <w:rPr>
          <w:rFonts w:ascii="Arial" w:hAnsi="Arial" w:cs="Arial"/>
          <w:sz w:val="24"/>
          <w:szCs w:val="24"/>
          <w:lang w:val="en-US"/>
        </w:rPr>
        <w:t>C</w:t>
      </w:r>
      <w:r w:rsidR="00051FCB">
        <w:rPr>
          <w:rFonts w:ascii="Arial" w:hAnsi="Arial" w:cs="Arial"/>
          <w:sz w:val="24"/>
          <w:szCs w:val="24"/>
          <w:lang w:val="en-US"/>
        </w:rPr>
        <w:t xml:space="preserve">ourt proceedings, even </w:t>
      </w:r>
      <w:r w:rsidR="001B3544">
        <w:rPr>
          <w:rFonts w:ascii="Arial" w:hAnsi="Arial" w:cs="Arial"/>
          <w:sz w:val="24"/>
          <w:szCs w:val="24"/>
          <w:lang w:val="en-US"/>
        </w:rPr>
        <w:t>accepting</w:t>
      </w:r>
      <w:r w:rsidR="00051FCB">
        <w:rPr>
          <w:rFonts w:ascii="Arial" w:hAnsi="Arial" w:cs="Arial"/>
          <w:sz w:val="24"/>
          <w:szCs w:val="24"/>
          <w:lang w:val="en-US"/>
        </w:rPr>
        <w:t xml:space="preserve"> </w:t>
      </w:r>
      <w:r w:rsidR="001B3544">
        <w:rPr>
          <w:rFonts w:ascii="Arial" w:hAnsi="Arial" w:cs="Arial"/>
          <w:sz w:val="24"/>
          <w:szCs w:val="24"/>
          <w:lang w:val="en-US"/>
        </w:rPr>
        <w:t>that</w:t>
      </w:r>
      <w:r w:rsidR="00051FCB">
        <w:rPr>
          <w:rFonts w:ascii="Arial" w:hAnsi="Arial" w:cs="Arial"/>
          <w:sz w:val="24"/>
          <w:szCs w:val="24"/>
          <w:lang w:val="en-US"/>
        </w:rPr>
        <w:t xml:space="preserve"> the plaintiff </w:t>
      </w:r>
      <w:r w:rsidR="001B3544">
        <w:rPr>
          <w:rFonts w:ascii="Arial" w:hAnsi="Arial" w:cs="Arial"/>
          <w:sz w:val="24"/>
          <w:szCs w:val="24"/>
          <w:lang w:val="en-US"/>
        </w:rPr>
        <w:t>failed</w:t>
      </w:r>
      <w:r w:rsidR="00051FCB">
        <w:rPr>
          <w:rFonts w:ascii="Arial" w:hAnsi="Arial" w:cs="Arial"/>
          <w:sz w:val="24"/>
          <w:szCs w:val="24"/>
          <w:lang w:val="en-US"/>
        </w:rPr>
        <w:t xml:space="preserve"> to </w:t>
      </w:r>
      <w:r w:rsidR="001B3544">
        <w:rPr>
          <w:rFonts w:ascii="Arial" w:hAnsi="Arial" w:cs="Arial"/>
          <w:sz w:val="24"/>
          <w:szCs w:val="24"/>
          <w:lang w:val="en-US"/>
        </w:rPr>
        <w:t>comply</w:t>
      </w:r>
      <w:r w:rsidR="00051FCB">
        <w:rPr>
          <w:rFonts w:ascii="Arial" w:hAnsi="Arial" w:cs="Arial"/>
          <w:sz w:val="24"/>
          <w:szCs w:val="24"/>
          <w:lang w:val="en-US"/>
        </w:rPr>
        <w:t xml:space="preserve"> with paragraph 43.2 of the </w:t>
      </w:r>
      <w:r w:rsidR="00042016">
        <w:rPr>
          <w:rFonts w:ascii="Arial" w:hAnsi="Arial" w:cs="Arial"/>
          <w:sz w:val="24"/>
          <w:szCs w:val="24"/>
          <w:lang w:val="en-US"/>
        </w:rPr>
        <w:t xml:space="preserve">Goliath </w:t>
      </w:r>
      <w:r w:rsidR="00051FCB">
        <w:rPr>
          <w:rFonts w:ascii="Arial" w:hAnsi="Arial" w:cs="Arial"/>
          <w:sz w:val="24"/>
          <w:szCs w:val="24"/>
          <w:lang w:val="en-US"/>
        </w:rPr>
        <w:t xml:space="preserve">order. </w:t>
      </w:r>
      <w:r w:rsidR="00497422">
        <w:rPr>
          <w:rFonts w:ascii="Arial" w:hAnsi="Arial" w:cs="Arial"/>
          <w:sz w:val="24"/>
          <w:szCs w:val="24"/>
          <w:lang w:val="en-US"/>
        </w:rPr>
        <w:t>I</w:t>
      </w:r>
      <w:r w:rsidR="00051FCB">
        <w:rPr>
          <w:rFonts w:ascii="Arial" w:hAnsi="Arial" w:cs="Arial"/>
          <w:sz w:val="24"/>
          <w:szCs w:val="24"/>
          <w:lang w:val="en-US"/>
        </w:rPr>
        <w:t xml:space="preserve">t would seem that counsel are ultimately in agreement that non-compliance with a </w:t>
      </w:r>
      <w:r w:rsidR="00042016">
        <w:rPr>
          <w:rFonts w:ascii="Arial" w:hAnsi="Arial" w:cs="Arial"/>
          <w:sz w:val="24"/>
          <w:szCs w:val="24"/>
          <w:lang w:val="en-US"/>
        </w:rPr>
        <w:t>C</w:t>
      </w:r>
      <w:r w:rsidR="00051FCB">
        <w:rPr>
          <w:rFonts w:ascii="Arial" w:hAnsi="Arial" w:cs="Arial"/>
          <w:sz w:val="24"/>
          <w:szCs w:val="24"/>
          <w:lang w:val="en-US"/>
        </w:rPr>
        <w:t xml:space="preserve">ourt order may be </w:t>
      </w:r>
      <w:r w:rsidR="004C6D83">
        <w:rPr>
          <w:rFonts w:ascii="Arial" w:hAnsi="Arial" w:cs="Arial"/>
          <w:sz w:val="24"/>
          <w:szCs w:val="24"/>
          <w:lang w:val="en-US"/>
        </w:rPr>
        <w:t>condoned</w:t>
      </w:r>
      <w:r w:rsidR="00614D56">
        <w:rPr>
          <w:rFonts w:ascii="Arial" w:hAnsi="Arial" w:cs="Arial"/>
          <w:sz w:val="24"/>
          <w:szCs w:val="24"/>
          <w:lang w:val="en-US"/>
        </w:rPr>
        <w:t xml:space="preserve"> but s</w:t>
      </w:r>
      <w:r w:rsidR="00042016">
        <w:rPr>
          <w:rFonts w:ascii="Arial" w:hAnsi="Arial" w:cs="Arial"/>
          <w:sz w:val="24"/>
          <w:szCs w:val="24"/>
          <w:lang w:val="en-US"/>
        </w:rPr>
        <w:t>uch agreements notwithstanding, the consideration of condonation f</w:t>
      </w:r>
      <w:r w:rsidR="00614D56">
        <w:rPr>
          <w:rFonts w:ascii="Arial" w:hAnsi="Arial" w:cs="Arial"/>
          <w:sz w:val="24"/>
          <w:szCs w:val="24"/>
          <w:lang w:val="en-US"/>
        </w:rPr>
        <w:t>o</w:t>
      </w:r>
      <w:r w:rsidR="00042016">
        <w:rPr>
          <w:rFonts w:ascii="Arial" w:hAnsi="Arial" w:cs="Arial"/>
          <w:sz w:val="24"/>
          <w:szCs w:val="24"/>
          <w:lang w:val="en-US"/>
        </w:rPr>
        <w:t>r such non-compliance warrants my consideration.</w:t>
      </w:r>
    </w:p>
    <w:p w:rsidR="00051FCB" w:rsidRDefault="00051FCB" w:rsidP="00F36708">
      <w:pPr>
        <w:spacing w:line="480" w:lineRule="auto"/>
        <w:jc w:val="both"/>
        <w:rPr>
          <w:rFonts w:ascii="Arial" w:hAnsi="Arial" w:cs="Arial"/>
          <w:sz w:val="24"/>
          <w:szCs w:val="24"/>
          <w:lang w:val="en-US"/>
        </w:rPr>
      </w:pPr>
    </w:p>
    <w:p w:rsidR="00051FCB" w:rsidRDefault="00CB7701" w:rsidP="00F36708">
      <w:pPr>
        <w:spacing w:line="480" w:lineRule="auto"/>
        <w:jc w:val="both"/>
        <w:rPr>
          <w:rFonts w:ascii="Arial" w:hAnsi="Arial" w:cs="Arial"/>
          <w:sz w:val="24"/>
          <w:szCs w:val="24"/>
          <w:lang w:val="en-US"/>
        </w:rPr>
      </w:pPr>
      <w:r>
        <w:rPr>
          <w:rFonts w:ascii="Arial" w:hAnsi="Arial" w:cs="Arial"/>
          <w:sz w:val="24"/>
          <w:szCs w:val="24"/>
          <w:lang w:val="en-US"/>
        </w:rPr>
        <w:t>[3</w:t>
      </w:r>
      <w:r w:rsidR="00497422">
        <w:rPr>
          <w:rFonts w:ascii="Arial" w:hAnsi="Arial" w:cs="Arial"/>
          <w:sz w:val="24"/>
          <w:szCs w:val="24"/>
          <w:lang w:val="en-US"/>
        </w:rPr>
        <w:t>8</w:t>
      </w:r>
      <w:r>
        <w:rPr>
          <w:rFonts w:ascii="Arial" w:hAnsi="Arial" w:cs="Arial"/>
          <w:sz w:val="24"/>
          <w:szCs w:val="24"/>
          <w:lang w:val="en-US"/>
        </w:rPr>
        <w:t>]</w:t>
      </w:r>
      <w:r>
        <w:rPr>
          <w:rFonts w:ascii="Arial" w:hAnsi="Arial" w:cs="Arial"/>
          <w:sz w:val="24"/>
          <w:szCs w:val="24"/>
          <w:lang w:val="en-US"/>
        </w:rPr>
        <w:tab/>
      </w:r>
      <w:r w:rsidR="00051FCB">
        <w:rPr>
          <w:rFonts w:ascii="Arial" w:hAnsi="Arial" w:cs="Arial"/>
          <w:sz w:val="24"/>
          <w:szCs w:val="24"/>
          <w:lang w:val="en-US"/>
        </w:rPr>
        <w:t xml:space="preserve">I </w:t>
      </w:r>
      <w:r w:rsidR="00042016">
        <w:rPr>
          <w:rFonts w:ascii="Arial" w:hAnsi="Arial" w:cs="Arial"/>
          <w:sz w:val="24"/>
          <w:szCs w:val="24"/>
          <w:lang w:val="en-US"/>
        </w:rPr>
        <w:t>was</w:t>
      </w:r>
      <w:r w:rsidR="00051FCB">
        <w:rPr>
          <w:rFonts w:ascii="Arial" w:hAnsi="Arial" w:cs="Arial"/>
          <w:sz w:val="24"/>
          <w:szCs w:val="24"/>
          <w:lang w:val="en-US"/>
        </w:rPr>
        <w:t xml:space="preserve"> referred to certain authorities on which the plaintiff relies in support of the submission that condonation for non-compliance with a </w:t>
      </w:r>
      <w:r w:rsidR="00042016">
        <w:rPr>
          <w:rFonts w:ascii="Arial" w:hAnsi="Arial" w:cs="Arial"/>
          <w:sz w:val="24"/>
          <w:szCs w:val="24"/>
          <w:lang w:val="en-US"/>
        </w:rPr>
        <w:t>C</w:t>
      </w:r>
      <w:r w:rsidR="00051FCB">
        <w:rPr>
          <w:rFonts w:ascii="Arial" w:hAnsi="Arial" w:cs="Arial"/>
          <w:sz w:val="24"/>
          <w:szCs w:val="24"/>
          <w:lang w:val="en-US"/>
        </w:rPr>
        <w:t xml:space="preserve">ourt order may be granted. In </w:t>
      </w:r>
      <w:r w:rsidR="00051FCB" w:rsidRPr="00614D56">
        <w:rPr>
          <w:rFonts w:ascii="Arial" w:hAnsi="Arial" w:cs="Arial"/>
          <w:b/>
          <w:sz w:val="24"/>
          <w:szCs w:val="24"/>
          <w:u w:val="single"/>
          <w:lang w:val="en-US"/>
        </w:rPr>
        <w:t>Paribas</w:t>
      </w:r>
      <w:r w:rsidR="00076245" w:rsidRPr="00076245">
        <w:rPr>
          <w:rFonts w:ascii="Arial" w:hAnsi="Arial" w:cs="Arial"/>
          <w:i/>
          <w:sz w:val="24"/>
          <w:szCs w:val="24"/>
          <w:lang w:val="en-US"/>
        </w:rPr>
        <w:t xml:space="preserve"> (supra)</w:t>
      </w:r>
      <w:r w:rsidR="00051FCB">
        <w:rPr>
          <w:rFonts w:ascii="Arial" w:hAnsi="Arial" w:cs="Arial"/>
          <w:sz w:val="24"/>
          <w:szCs w:val="24"/>
          <w:lang w:val="en-US"/>
        </w:rPr>
        <w:t xml:space="preserve">, the </w:t>
      </w:r>
      <w:r w:rsidR="00042016">
        <w:rPr>
          <w:rFonts w:ascii="Arial" w:hAnsi="Arial" w:cs="Arial"/>
          <w:sz w:val="24"/>
          <w:szCs w:val="24"/>
          <w:lang w:val="en-US"/>
        </w:rPr>
        <w:t>C</w:t>
      </w:r>
      <w:r w:rsidR="00051FCB">
        <w:rPr>
          <w:rFonts w:ascii="Arial" w:hAnsi="Arial" w:cs="Arial"/>
          <w:sz w:val="24"/>
          <w:szCs w:val="24"/>
          <w:lang w:val="en-US"/>
        </w:rPr>
        <w:t xml:space="preserve">ourt held </w:t>
      </w:r>
      <w:r w:rsidR="004C6D83">
        <w:rPr>
          <w:rFonts w:ascii="Arial" w:hAnsi="Arial" w:cs="Arial"/>
          <w:sz w:val="24"/>
          <w:szCs w:val="24"/>
          <w:lang w:val="en-US"/>
        </w:rPr>
        <w:t>that</w:t>
      </w:r>
      <w:r w:rsidR="00051FCB">
        <w:rPr>
          <w:rFonts w:ascii="Arial" w:hAnsi="Arial" w:cs="Arial"/>
          <w:sz w:val="24"/>
          <w:szCs w:val="24"/>
          <w:lang w:val="en-US"/>
        </w:rPr>
        <w:t xml:space="preserve"> the answering </w:t>
      </w:r>
      <w:r w:rsidR="00042016">
        <w:rPr>
          <w:rFonts w:ascii="Arial" w:hAnsi="Arial" w:cs="Arial"/>
          <w:sz w:val="24"/>
          <w:szCs w:val="24"/>
          <w:lang w:val="en-US"/>
        </w:rPr>
        <w:t>affidavit</w:t>
      </w:r>
      <w:r w:rsidR="00076245">
        <w:rPr>
          <w:rFonts w:ascii="Arial" w:hAnsi="Arial" w:cs="Arial"/>
          <w:sz w:val="24"/>
          <w:szCs w:val="24"/>
          <w:lang w:val="en-US"/>
        </w:rPr>
        <w:t xml:space="preserve"> of the respondent’s attorney</w:t>
      </w:r>
      <w:r w:rsidR="00042016">
        <w:rPr>
          <w:rFonts w:ascii="Arial" w:hAnsi="Arial" w:cs="Arial"/>
          <w:sz w:val="24"/>
          <w:szCs w:val="24"/>
          <w:lang w:val="en-US"/>
        </w:rPr>
        <w:t>, which replied</w:t>
      </w:r>
      <w:r w:rsidR="00051FCB">
        <w:rPr>
          <w:rFonts w:ascii="Arial" w:hAnsi="Arial" w:cs="Arial"/>
          <w:sz w:val="24"/>
          <w:szCs w:val="24"/>
          <w:lang w:val="en-US"/>
        </w:rPr>
        <w:t xml:space="preserve"> to the applicant’s interrogatories pursuant to an earlier order granting the applicants leave to administer </w:t>
      </w:r>
      <w:r w:rsidR="004C6D83">
        <w:rPr>
          <w:rFonts w:ascii="Arial" w:hAnsi="Arial" w:cs="Arial"/>
          <w:sz w:val="24"/>
          <w:szCs w:val="24"/>
          <w:lang w:val="en-US"/>
        </w:rPr>
        <w:t>interrogatories</w:t>
      </w:r>
      <w:r w:rsidR="00051FCB">
        <w:rPr>
          <w:rFonts w:ascii="Arial" w:hAnsi="Arial" w:cs="Arial"/>
          <w:sz w:val="24"/>
          <w:szCs w:val="24"/>
          <w:lang w:val="en-US"/>
        </w:rPr>
        <w:t xml:space="preserve">, did not comply with the </w:t>
      </w:r>
      <w:r w:rsidR="00042016">
        <w:rPr>
          <w:rFonts w:ascii="Arial" w:hAnsi="Arial" w:cs="Arial"/>
          <w:sz w:val="24"/>
          <w:szCs w:val="24"/>
          <w:lang w:val="en-US"/>
        </w:rPr>
        <w:t xml:space="preserve">said </w:t>
      </w:r>
      <w:r w:rsidR="00051FCB">
        <w:rPr>
          <w:rFonts w:ascii="Arial" w:hAnsi="Arial" w:cs="Arial"/>
          <w:sz w:val="24"/>
          <w:szCs w:val="24"/>
          <w:lang w:val="en-US"/>
        </w:rPr>
        <w:t>order. It is evident from the fa</w:t>
      </w:r>
      <w:r w:rsidR="00042016">
        <w:rPr>
          <w:rFonts w:ascii="Arial" w:hAnsi="Arial" w:cs="Arial"/>
          <w:sz w:val="24"/>
          <w:szCs w:val="24"/>
          <w:lang w:val="en-US"/>
        </w:rPr>
        <w:t>c</w:t>
      </w:r>
      <w:r w:rsidR="00051FCB">
        <w:rPr>
          <w:rFonts w:ascii="Arial" w:hAnsi="Arial" w:cs="Arial"/>
          <w:sz w:val="24"/>
          <w:szCs w:val="24"/>
          <w:lang w:val="en-US"/>
        </w:rPr>
        <w:t xml:space="preserve">ts of </w:t>
      </w:r>
      <w:r w:rsidR="00497422" w:rsidRPr="00076245">
        <w:rPr>
          <w:rFonts w:ascii="Arial" w:hAnsi="Arial" w:cs="Arial"/>
          <w:b/>
          <w:sz w:val="24"/>
          <w:szCs w:val="24"/>
          <w:u w:val="single"/>
          <w:lang w:val="en-US"/>
        </w:rPr>
        <w:t>Paribas</w:t>
      </w:r>
      <w:r w:rsidR="00051FCB">
        <w:rPr>
          <w:rFonts w:ascii="Arial" w:hAnsi="Arial" w:cs="Arial"/>
          <w:sz w:val="24"/>
          <w:szCs w:val="24"/>
          <w:lang w:val="en-US"/>
        </w:rPr>
        <w:t xml:space="preserve"> that the respondents had taken steps to </w:t>
      </w:r>
      <w:r w:rsidR="004C6D83">
        <w:rPr>
          <w:rFonts w:ascii="Arial" w:hAnsi="Arial" w:cs="Arial"/>
          <w:sz w:val="24"/>
          <w:szCs w:val="24"/>
          <w:lang w:val="en-US"/>
        </w:rPr>
        <w:t>comply</w:t>
      </w:r>
      <w:r w:rsidR="00051FCB">
        <w:rPr>
          <w:rFonts w:ascii="Arial" w:hAnsi="Arial" w:cs="Arial"/>
          <w:sz w:val="24"/>
          <w:szCs w:val="24"/>
          <w:lang w:val="en-US"/>
        </w:rPr>
        <w:t xml:space="preserve"> with the </w:t>
      </w:r>
      <w:r w:rsidR="004C6D83">
        <w:rPr>
          <w:rFonts w:ascii="Arial" w:hAnsi="Arial" w:cs="Arial"/>
          <w:sz w:val="24"/>
          <w:szCs w:val="24"/>
          <w:lang w:val="en-US"/>
        </w:rPr>
        <w:t>order</w:t>
      </w:r>
      <w:r w:rsidR="00051FCB">
        <w:rPr>
          <w:rFonts w:ascii="Arial" w:hAnsi="Arial" w:cs="Arial"/>
          <w:sz w:val="24"/>
          <w:szCs w:val="24"/>
          <w:lang w:val="en-US"/>
        </w:rPr>
        <w:t xml:space="preserve">, </w:t>
      </w:r>
      <w:r w:rsidR="004C6D83">
        <w:rPr>
          <w:rFonts w:ascii="Arial" w:hAnsi="Arial" w:cs="Arial"/>
          <w:sz w:val="24"/>
          <w:szCs w:val="24"/>
          <w:lang w:val="en-US"/>
        </w:rPr>
        <w:t>albeit</w:t>
      </w:r>
      <w:r w:rsidR="00051FCB">
        <w:rPr>
          <w:rFonts w:ascii="Arial" w:hAnsi="Arial" w:cs="Arial"/>
          <w:sz w:val="24"/>
          <w:szCs w:val="24"/>
          <w:lang w:val="en-US"/>
        </w:rPr>
        <w:t xml:space="preserve"> not </w:t>
      </w:r>
      <w:r w:rsidR="004C6D83">
        <w:rPr>
          <w:rFonts w:ascii="Arial" w:hAnsi="Arial" w:cs="Arial"/>
          <w:sz w:val="24"/>
          <w:szCs w:val="24"/>
          <w:lang w:val="en-US"/>
        </w:rPr>
        <w:t>correctly</w:t>
      </w:r>
      <w:r w:rsidR="00051FCB">
        <w:rPr>
          <w:rFonts w:ascii="Arial" w:hAnsi="Arial" w:cs="Arial"/>
          <w:sz w:val="24"/>
          <w:szCs w:val="24"/>
          <w:lang w:val="en-US"/>
        </w:rPr>
        <w:t xml:space="preserve"> or as required. The </w:t>
      </w:r>
      <w:r w:rsidR="00076245">
        <w:rPr>
          <w:rFonts w:ascii="Arial" w:hAnsi="Arial" w:cs="Arial"/>
          <w:sz w:val="24"/>
          <w:szCs w:val="24"/>
          <w:lang w:val="en-US"/>
        </w:rPr>
        <w:t xml:space="preserve">High </w:t>
      </w:r>
      <w:r w:rsidR="00497422">
        <w:rPr>
          <w:rFonts w:ascii="Arial" w:hAnsi="Arial" w:cs="Arial"/>
          <w:sz w:val="24"/>
          <w:szCs w:val="24"/>
          <w:lang w:val="en-US"/>
        </w:rPr>
        <w:t>C</w:t>
      </w:r>
      <w:r w:rsidR="00051FCB">
        <w:rPr>
          <w:rFonts w:ascii="Arial" w:hAnsi="Arial" w:cs="Arial"/>
          <w:sz w:val="24"/>
          <w:szCs w:val="24"/>
          <w:lang w:val="en-US"/>
        </w:rPr>
        <w:t xml:space="preserve">ourt faced with the applicant’s striking out application, found </w:t>
      </w:r>
      <w:r w:rsidR="004C6D83">
        <w:rPr>
          <w:rFonts w:ascii="Arial" w:hAnsi="Arial" w:cs="Arial"/>
          <w:sz w:val="24"/>
          <w:szCs w:val="24"/>
          <w:lang w:val="en-US"/>
        </w:rPr>
        <w:t>that</w:t>
      </w:r>
      <w:r w:rsidR="00051FCB">
        <w:rPr>
          <w:rFonts w:ascii="Arial" w:hAnsi="Arial" w:cs="Arial"/>
          <w:sz w:val="24"/>
          <w:szCs w:val="24"/>
          <w:lang w:val="en-US"/>
        </w:rPr>
        <w:t xml:space="preserve"> it would be inappropriate in the </w:t>
      </w:r>
      <w:r w:rsidR="004C6D83">
        <w:rPr>
          <w:rFonts w:ascii="Arial" w:hAnsi="Arial" w:cs="Arial"/>
          <w:sz w:val="24"/>
          <w:szCs w:val="24"/>
          <w:lang w:val="en-US"/>
        </w:rPr>
        <w:t>circumstances</w:t>
      </w:r>
      <w:r w:rsidR="00051FCB">
        <w:rPr>
          <w:rFonts w:ascii="Arial" w:hAnsi="Arial" w:cs="Arial"/>
          <w:sz w:val="24"/>
          <w:szCs w:val="24"/>
          <w:lang w:val="en-US"/>
        </w:rPr>
        <w:t xml:space="preserve"> </w:t>
      </w:r>
      <w:r w:rsidR="00042016">
        <w:rPr>
          <w:rFonts w:ascii="Arial" w:hAnsi="Arial" w:cs="Arial"/>
          <w:sz w:val="24"/>
          <w:szCs w:val="24"/>
          <w:lang w:val="en-US"/>
        </w:rPr>
        <w:t>of th</w:t>
      </w:r>
      <w:r w:rsidR="00076245">
        <w:rPr>
          <w:rFonts w:ascii="Arial" w:hAnsi="Arial" w:cs="Arial"/>
          <w:sz w:val="24"/>
          <w:szCs w:val="24"/>
          <w:lang w:val="en-US"/>
        </w:rPr>
        <w:t>at m</w:t>
      </w:r>
      <w:r w:rsidR="00042016">
        <w:rPr>
          <w:rFonts w:ascii="Arial" w:hAnsi="Arial" w:cs="Arial"/>
          <w:sz w:val="24"/>
          <w:szCs w:val="24"/>
          <w:lang w:val="en-US"/>
        </w:rPr>
        <w:t xml:space="preserve">atter </w:t>
      </w:r>
      <w:r w:rsidR="00051FCB">
        <w:rPr>
          <w:rFonts w:ascii="Arial" w:hAnsi="Arial" w:cs="Arial"/>
          <w:sz w:val="24"/>
          <w:szCs w:val="24"/>
          <w:lang w:val="en-US"/>
        </w:rPr>
        <w:t>to dismiss the respondent’s actions</w:t>
      </w:r>
      <w:r w:rsidR="00076245">
        <w:rPr>
          <w:rStyle w:val="FootnoteReference"/>
          <w:rFonts w:ascii="Arial" w:hAnsi="Arial" w:cs="Arial"/>
          <w:sz w:val="24"/>
          <w:szCs w:val="24"/>
          <w:lang w:val="en-US"/>
        </w:rPr>
        <w:footnoteReference w:id="15"/>
      </w:r>
      <w:r w:rsidR="00051FCB">
        <w:rPr>
          <w:rFonts w:ascii="Arial" w:hAnsi="Arial" w:cs="Arial"/>
          <w:sz w:val="24"/>
          <w:szCs w:val="24"/>
          <w:lang w:val="en-US"/>
        </w:rPr>
        <w:t xml:space="preserve">. In </w:t>
      </w:r>
      <w:r w:rsidR="00051FCB" w:rsidRPr="00076245">
        <w:rPr>
          <w:rFonts w:ascii="Arial" w:hAnsi="Arial" w:cs="Arial"/>
          <w:b/>
          <w:sz w:val="24"/>
          <w:szCs w:val="24"/>
          <w:u w:val="single"/>
          <w:lang w:val="en-US"/>
        </w:rPr>
        <w:t>Cilibia</w:t>
      </w:r>
      <w:r w:rsidR="00042016" w:rsidRPr="00076245">
        <w:rPr>
          <w:rFonts w:ascii="Arial" w:hAnsi="Arial" w:cs="Arial"/>
          <w:b/>
          <w:sz w:val="24"/>
          <w:szCs w:val="24"/>
          <w:u w:val="single"/>
          <w:lang w:val="en-US"/>
        </w:rPr>
        <w:t xml:space="preserve"> v Cilibia</w:t>
      </w:r>
      <w:r w:rsidR="00042016">
        <w:rPr>
          <w:rStyle w:val="FootnoteReference"/>
          <w:rFonts w:ascii="Arial" w:hAnsi="Arial" w:cs="Arial"/>
          <w:b/>
          <w:sz w:val="24"/>
          <w:szCs w:val="24"/>
          <w:lang w:val="en-US"/>
        </w:rPr>
        <w:footnoteReference w:id="16"/>
      </w:r>
      <w:r w:rsidR="00051FCB">
        <w:rPr>
          <w:rFonts w:ascii="Arial" w:hAnsi="Arial" w:cs="Arial"/>
          <w:b/>
          <w:sz w:val="24"/>
          <w:szCs w:val="24"/>
          <w:lang w:val="en-US"/>
        </w:rPr>
        <w:t xml:space="preserve">, </w:t>
      </w:r>
      <w:r w:rsidR="00051FCB">
        <w:rPr>
          <w:rFonts w:ascii="Arial" w:hAnsi="Arial" w:cs="Arial"/>
          <w:sz w:val="24"/>
          <w:szCs w:val="24"/>
          <w:lang w:val="en-US"/>
        </w:rPr>
        <w:t xml:space="preserve">the </w:t>
      </w:r>
      <w:r w:rsidR="00076245">
        <w:rPr>
          <w:rFonts w:ascii="Arial" w:hAnsi="Arial" w:cs="Arial"/>
          <w:sz w:val="24"/>
          <w:szCs w:val="24"/>
          <w:lang w:val="en-US"/>
        </w:rPr>
        <w:t xml:space="preserve">High </w:t>
      </w:r>
      <w:r w:rsidR="00497422">
        <w:rPr>
          <w:rFonts w:ascii="Arial" w:hAnsi="Arial" w:cs="Arial"/>
          <w:sz w:val="24"/>
          <w:szCs w:val="24"/>
          <w:lang w:val="en-US"/>
        </w:rPr>
        <w:t>C</w:t>
      </w:r>
      <w:r w:rsidR="00051FCB">
        <w:rPr>
          <w:rFonts w:ascii="Arial" w:hAnsi="Arial" w:cs="Arial"/>
          <w:sz w:val="24"/>
          <w:szCs w:val="24"/>
          <w:lang w:val="en-US"/>
        </w:rPr>
        <w:t xml:space="preserve">ourt dealt with a contempt </w:t>
      </w:r>
      <w:r w:rsidR="00076245">
        <w:rPr>
          <w:rFonts w:ascii="Arial" w:hAnsi="Arial" w:cs="Arial"/>
          <w:sz w:val="24"/>
          <w:szCs w:val="24"/>
          <w:lang w:val="en-US"/>
        </w:rPr>
        <w:t xml:space="preserve">of Court </w:t>
      </w:r>
      <w:r w:rsidR="004C6D83">
        <w:rPr>
          <w:rFonts w:ascii="Arial" w:hAnsi="Arial" w:cs="Arial"/>
          <w:sz w:val="24"/>
          <w:szCs w:val="24"/>
          <w:lang w:val="en-US"/>
        </w:rPr>
        <w:t>application</w:t>
      </w:r>
      <w:r w:rsidR="00051FCB">
        <w:rPr>
          <w:rFonts w:ascii="Arial" w:hAnsi="Arial" w:cs="Arial"/>
          <w:sz w:val="24"/>
          <w:szCs w:val="24"/>
          <w:lang w:val="en-US"/>
        </w:rPr>
        <w:t xml:space="preserve">. The respondent was </w:t>
      </w:r>
      <w:r w:rsidR="00076245">
        <w:rPr>
          <w:rFonts w:ascii="Arial" w:hAnsi="Arial" w:cs="Arial"/>
          <w:sz w:val="24"/>
          <w:szCs w:val="24"/>
          <w:lang w:val="en-US"/>
        </w:rPr>
        <w:t xml:space="preserve">previously </w:t>
      </w:r>
      <w:r w:rsidR="004C6D83">
        <w:rPr>
          <w:rFonts w:ascii="Arial" w:hAnsi="Arial" w:cs="Arial"/>
          <w:sz w:val="24"/>
          <w:szCs w:val="24"/>
          <w:lang w:val="en-US"/>
        </w:rPr>
        <w:t>ordered</w:t>
      </w:r>
      <w:r w:rsidR="00051FCB">
        <w:rPr>
          <w:rFonts w:ascii="Arial" w:hAnsi="Arial" w:cs="Arial"/>
          <w:sz w:val="24"/>
          <w:szCs w:val="24"/>
          <w:lang w:val="en-US"/>
        </w:rPr>
        <w:t xml:space="preserve"> to file an answering affidavit by a certain date and failed</w:t>
      </w:r>
      <w:r w:rsidR="005B1AA3">
        <w:rPr>
          <w:rFonts w:ascii="Arial" w:hAnsi="Arial" w:cs="Arial"/>
          <w:sz w:val="24"/>
          <w:szCs w:val="24"/>
          <w:lang w:val="en-US"/>
        </w:rPr>
        <w:t xml:space="preserve"> to </w:t>
      </w:r>
      <w:r w:rsidR="00042016">
        <w:rPr>
          <w:rFonts w:ascii="Arial" w:hAnsi="Arial" w:cs="Arial"/>
          <w:sz w:val="24"/>
          <w:szCs w:val="24"/>
          <w:lang w:val="en-US"/>
        </w:rPr>
        <w:t>do so</w:t>
      </w:r>
      <w:r w:rsidR="005B1AA3">
        <w:rPr>
          <w:rFonts w:ascii="Arial" w:hAnsi="Arial" w:cs="Arial"/>
          <w:sz w:val="24"/>
          <w:szCs w:val="24"/>
          <w:lang w:val="en-US"/>
        </w:rPr>
        <w:t xml:space="preserve">. </w:t>
      </w:r>
      <w:r w:rsidR="00DE7EDA">
        <w:rPr>
          <w:rFonts w:ascii="Arial" w:hAnsi="Arial" w:cs="Arial"/>
          <w:sz w:val="24"/>
          <w:szCs w:val="24"/>
          <w:lang w:val="en-US"/>
        </w:rPr>
        <w:t>T</w:t>
      </w:r>
      <w:r w:rsidR="005B1AA3">
        <w:rPr>
          <w:rFonts w:ascii="Arial" w:hAnsi="Arial" w:cs="Arial"/>
          <w:sz w:val="24"/>
          <w:szCs w:val="24"/>
          <w:lang w:val="en-US"/>
        </w:rPr>
        <w:t xml:space="preserve">he </w:t>
      </w:r>
      <w:r w:rsidR="00DE7EDA">
        <w:rPr>
          <w:rFonts w:ascii="Arial" w:hAnsi="Arial" w:cs="Arial"/>
          <w:sz w:val="24"/>
          <w:szCs w:val="24"/>
          <w:lang w:val="en-US"/>
        </w:rPr>
        <w:t>High C</w:t>
      </w:r>
      <w:r w:rsidR="005B1AA3">
        <w:rPr>
          <w:rFonts w:ascii="Arial" w:hAnsi="Arial" w:cs="Arial"/>
          <w:sz w:val="24"/>
          <w:szCs w:val="24"/>
          <w:lang w:val="en-US"/>
        </w:rPr>
        <w:t>ourt granted condonation for such non-</w:t>
      </w:r>
      <w:r w:rsidR="004C6D83">
        <w:rPr>
          <w:rFonts w:ascii="Arial" w:hAnsi="Arial" w:cs="Arial"/>
          <w:sz w:val="24"/>
          <w:szCs w:val="24"/>
          <w:lang w:val="en-US"/>
        </w:rPr>
        <w:t>compliance</w:t>
      </w:r>
      <w:r w:rsidR="005B1AA3">
        <w:rPr>
          <w:rFonts w:ascii="Arial" w:hAnsi="Arial" w:cs="Arial"/>
          <w:sz w:val="24"/>
          <w:szCs w:val="24"/>
          <w:lang w:val="en-US"/>
        </w:rPr>
        <w:t>, having regard to the nature of the proceedings and the ser</w:t>
      </w:r>
      <w:r w:rsidR="00DE7EDA">
        <w:rPr>
          <w:rFonts w:ascii="Arial" w:hAnsi="Arial" w:cs="Arial"/>
          <w:sz w:val="24"/>
          <w:szCs w:val="24"/>
          <w:lang w:val="en-US"/>
        </w:rPr>
        <w:t>i</w:t>
      </w:r>
      <w:r w:rsidR="005B1AA3">
        <w:rPr>
          <w:rFonts w:ascii="Arial" w:hAnsi="Arial" w:cs="Arial"/>
          <w:sz w:val="24"/>
          <w:szCs w:val="24"/>
          <w:lang w:val="en-US"/>
        </w:rPr>
        <w:t xml:space="preserve">ous </w:t>
      </w:r>
      <w:r w:rsidR="004C6D83">
        <w:rPr>
          <w:rFonts w:ascii="Arial" w:hAnsi="Arial" w:cs="Arial"/>
          <w:sz w:val="24"/>
          <w:szCs w:val="24"/>
          <w:lang w:val="en-US"/>
        </w:rPr>
        <w:t>consequences</w:t>
      </w:r>
      <w:r w:rsidR="005B1AA3">
        <w:rPr>
          <w:rFonts w:ascii="Arial" w:hAnsi="Arial" w:cs="Arial"/>
          <w:sz w:val="24"/>
          <w:szCs w:val="24"/>
          <w:lang w:val="en-US"/>
        </w:rPr>
        <w:t xml:space="preserve"> that a </w:t>
      </w:r>
      <w:r w:rsidR="004C6D83">
        <w:rPr>
          <w:rFonts w:ascii="Arial" w:hAnsi="Arial" w:cs="Arial"/>
          <w:sz w:val="24"/>
          <w:szCs w:val="24"/>
          <w:lang w:val="en-US"/>
        </w:rPr>
        <w:t>finding</w:t>
      </w:r>
      <w:r w:rsidR="005B1AA3">
        <w:rPr>
          <w:rFonts w:ascii="Arial" w:hAnsi="Arial" w:cs="Arial"/>
          <w:sz w:val="24"/>
          <w:szCs w:val="24"/>
          <w:lang w:val="en-US"/>
        </w:rPr>
        <w:t xml:space="preserve"> in favour of the applicant would have for </w:t>
      </w:r>
      <w:r w:rsidR="004C6D83">
        <w:rPr>
          <w:rFonts w:ascii="Arial" w:hAnsi="Arial" w:cs="Arial"/>
          <w:sz w:val="24"/>
          <w:szCs w:val="24"/>
          <w:lang w:val="en-US"/>
        </w:rPr>
        <w:t>the</w:t>
      </w:r>
      <w:r w:rsidR="005B1AA3">
        <w:rPr>
          <w:rFonts w:ascii="Arial" w:hAnsi="Arial" w:cs="Arial"/>
          <w:sz w:val="24"/>
          <w:szCs w:val="24"/>
          <w:lang w:val="en-US"/>
        </w:rPr>
        <w:t xml:space="preserve"> respondent</w:t>
      </w:r>
      <w:r w:rsidR="00DE7EDA">
        <w:rPr>
          <w:rStyle w:val="FootnoteReference"/>
          <w:rFonts w:ascii="Arial" w:hAnsi="Arial" w:cs="Arial"/>
          <w:sz w:val="24"/>
          <w:szCs w:val="24"/>
          <w:lang w:val="en-US"/>
        </w:rPr>
        <w:footnoteReference w:id="17"/>
      </w:r>
      <w:r w:rsidR="005B1AA3">
        <w:rPr>
          <w:rFonts w:ascii="Arial" w:hAnsi="Arial" w:cs="Arial"/>
          <w:sz w:val="24"/>
          <w:szCs w:val="24"/>
          <w:lang w:val="en-US"/>
        </w:rPr>
        <w:t>.</w:t>
      </w:r>
    </w:p>
    <w:p w:rsidR="004C6D83" w:rsidRDefault="00CB7701" w:rsidP="00F36708">
      <w:pPr>
        <w:spacing w:line="480" w:lineRule="auto"/>
        <w:jc w:val="both"/>
        <w:rPr>
          <w:rFonts w:ascii="Arial" w:hAnsi="Arial" w:cs="Arial"/>
          <w:sz w:val="24"/>
          <w:szCs w:val="24"/>
          <w:lang w:val="en-US"/>
        </w:rPr>
      </w:pPr>
      <w:r>
        <w:rPr>
          <w:rFonts w:ascii="Arial" w:hAnsi="Arial" w:cs="Arial"/>
          <w:sz w:val="24"/>
          <w:szCs w:val="24"/>
          <w:lang w:val="en-US"/>
        </w:rPr>
        <w:t>[3</w:t>
      </w:r>
      <w:r w:rsidR="00497422">
        <w:rPr>
          <w:rFonts w:ascii="Arial" w:hAnsi="Arial" w:cs="Arial"/>
          <w:sz w:val="24"/>
          <w:szCs w:val="24"/>
          <w:lang w:val="en-US"/>
        </w:rPr>
        <w:t>9</w:t>
      </w:r>
      <w:r>
        <w:rPr>
          <w:rFonts w:ascii="Arial" w:hAnsi="Arial" w:cs="Arial"/>
          <w:sz w:val="24"/>
          <w:szCs w:val="24"/>
          <w:lang w:val="en-US"/>
        </w:rPr>
        <w:t>]</w:t>
      </w:r>
      <w:r>
        <w:rPr>
          <w:rFonts w:ascii="Arial" w:hAnsi="Arial" w:cs="Arial"/>
          <w:sz w:val="24"/>
          <w:szCs w:val="24"/>
          <w:lang w:val="en-US"/>
        </w:rPr>
        <w:tab/>
      </w:r>
      <w:r w:rsidR="00DE7EDA">
        <w:rPr>
          <w:rFonts w:ascii="Arial" w:hAnsi="Arial" w:cs="Arial"/>
          <w:sz w:val="24"/>
          <w:szCs w:val="24"/>
          <w:lang w:val="en-US"/>
        </w:rPr>
        <w:t>Having regard to the parties’ submissions and authorit</w:t>
      </w:r>
      <w:r w:rsidR="00076245">
        <w:rPr>
          <w:rFonts w:ascii="Arial" w:hAnsi="Arial" w:cs="Arial"/>
          <w:sz w:val="24"/>
          <w:szCs w:val="24"/>
          <w:lang w:val="en-US"/>
        </w:rPr>
        <w:t>ies</w:t>
      </w:r>
      <w:r w:rsidR="00DE7EDA">
        <w:rPr>
          <w:rFonts w:ascii="Arial" w:hAnsi="Arial" w:cs="Arial"/>
          <w:sz w:val="24"/>
          <w:szCs w:val="24"/>
          <w:lang w:val="en-US"/>
        </w:rPr>
        <w:t xml:space="preserve">, </w:t>
      </w:r>
      <w:r w:rsidR="00076245">
        <w:rPr>
          <w:rFonts w:ascii="Arial" w:hAnsi="Arial" w:cs="Arial"/>
          <w:sz w:val="24"/>
          <w:szCs w:val="24"/>
          <w:lang w:val="en-US"/>
        </w:rPr>
        <w:t xml:space="preserve">I conclude that </w:t>
      </w:r>
      <w:r w:rsidR="00DE7EDA">
        <w:rPr>
          <w:rFonts w:ascii="Arial" w:hAnsi="Arial" w:cs="Arial"/>
          <w:sz w:val="24"/>
          <w:szCs w:val="24"/>
          <w:lang w:val="en-US"/>
        </w:rPr>
        <w:t>th</w:t>
      </w:r>
      <w:r w:rsidR="004C6D83">
        <w:rPr>
          <w:rFonts w:ascii="Arial" w:hAnsi="Arial" w:cs="Arial"/>
          <w:sz w:val="24"/>
          <w:szCs w:val="24"/>
          <w:lang w:val="en-US"/>
        </w:rPr>
        <w:t xml:space="preserve">ere can be no doubt that a party </w:t>
      </w:r>
      <w:r w:rsidR="00DE7EDA">
        <w:rPr>
          <w:rFonts w:ascii="Arial" w:hAnsi="Arial" w:cs="Arial"/>
          <w:sz w:val="24"/>
          <w:szCs w:val="24"/>
          <w:lang w:val="en-US"/>
        </w:rPr>
        <w:t xml:space="preserve">is </w:t>
      </w:r>
      <w:r w:rsidR="001B3544">
        <w:rPr>
          <w:rFonts w:ascii="Arial" w:hAnsi="Arial" w:cs="Arial"/>
          <w:sz w:val="24"/>
          <w:szCs w:val="24"/>
          <w:lang w:val="en-US"/>
        </w:rPr>
        <w:t>entitled</w:t>
      </w:r>
      <w:r w:rsidR="004C6D83">
        <w:rPr>
          <w:rFonts w:ascii="Arial" w:hAnsi="Arial" w:cs="Arial"/>
          <w:sz w:val="24"/>
          <w:szCs w:val="24"/>
          <w:lang w:val="en-US"/>
        </w:rPr>
        <w:t xml:space="preserve"> to apply for condonation</w:t>
      </w:r>
      <w:r w:rsidR="00DE7EDA">
        <w:rPr>
          <w:rFonts w:ascii="Arial" w:hAnsi="Arial" w:cs="Arial"/>
          <w:sz w:val="24"/>
          <w:szCs w:val="24"/>
          <w:lang w:val="en-US"/>
        </w:rPr>
        <w:t xml:space="preserve"> for its non-compliance with a C</w:t>
      </w:r>
      <w:r w:rsidR="004C6D83">
        <w:rPr>
          <w:rFonts w:ascii="Arial" w:hAnsi="Arial" w:cs="Arial"/>
          <w:sz w:val="24"/>
          <w:szCs w:val="24"/>
          <w:lang w:val="en-US"/>
        </w:rPr>
        <w:t xml:space="preserve">ourt order. In the context of this matter and the order granted on </w:t>
      </w:r>
      <w:r w:rsidR="00076245">
        <w:rPr>
          <w:rFonts w:ascii="Arial" w:hAnsi="Arial" w:cs="Arial"/>
          <w:sz w:val="24"/>
          <w:szCs w:val="24"/>
          <w:lang w:val="en-US"/>
        </w:rPr>
        <w:t>10</w:t>
      </w:r>
      <w:r w:rsidR="004C6D83">
        <w:rPr>
          <w:rFonts w:ascii="Arial" w:hAnsi="Arial" w:cs="Arial"/>
          <w:sz w:val="24"/>
          <w:szCs w:val="24"/>
          <w:lang w:val="en-US"/>
        </w:rPr>
        <w:t xml:space="preserve"> May 2022, </w:t>
      </w:r>
      <w:r w:rsidR="00076245">
        <w:rPr>
          <w:rFonts w:ascii="Arial" w:hAnsi="Arial" w:cs="Arial"/>
          <w:sz w:val="24"/>
          <w:szCs w:val="24"/>
          <w:lang w:val="en-US"/>
        </w:rPr>
        <w:t xml:space="preserve">a </w:t>
      </w:r>
      <w:r w:rsidR="004C6D83">
        <w:rPr>
          <w:rFonts w:ascii="Arial" w:hAnsi="Arial" w:cs="Arial"/>
          <w:sz w:val="24"/>
          <w:szCs w:val="24"/>
          <w:lang w:val="en-US"/>
        </w:rPr>
        <w:t xml:space="preserve">further procedural </w:t>
      </w:r>
      <w:r w:rsidR="001B3544">
        <w:rPr>
          <w:rFonts w:ascii="Arial" w:hAnsi="Arial" w:cs="Arial"/>
          <w:sz w:val="24"/>
          <w:szCs w:val="24"/>
          <w:lang w:val="en-US"/>
        </w:rPr>
        <w:t>step</w:t>
      </w:r>
      <w:r w:rsidR="00076245">
        <w:rPr>
          <w:rFonts w:ascii="Arial" w:hAnsi="Arial" w:cs="Arial"/>
          <w:sz w:val="24"/>
          <w:szCs w:val="24"/>
          <w:lang w:val="en-US"/>
        </w:rPr>
        <w:t xml:space="preserve"> (striking out application) was envisaged and in </w:t>
      </w:r>
      <w:r w:rsidR="004C6D83">
        <w:rPr>
          <w:rFonts w:ascii="Arial" w:hAnsi="Arial" w:cs="Arial"/>
          <w:sz w:val="24"/>
          <w:szCs w:val="24"/>
          <w:lang w:val="en-US"/>
        </w:rPr>
        <w:t xml:space="preserve">my </w:t>
      </w:r>
      <w:r w:rsidR="001B3544">
        <w:rPr>
          <w:rFonts w:ascii="Arial" w:hAnsi="Arial" w:cs="Arial"/>
          <w:sz w:val="24"/>
          <w:szCs w:val="24"/>
          <w:lang w:val="en-US"/>
        </w:rPr>
        <w:t>view</w:t>
      </w:r>
      <w:r w:rsidR="004C6D83">
        <w:rPr>
          <w:rFonts w:ascii="Arial" w:hAnsi="Arial" w:cs="Arial"/>
          <w:sz w:val="24"/>
          <w:szCs w:val="24"/>
          <w:lang w:val="en-US"/>
        </w:rPr>
        <w:t xml:space="preserve">, </w:t>
      </w:r>
      <w:r w:rsidR="001B3544">
        <w:rPr>
          <w:rFonts w:ascii="Arial" w:hAnsi="Arial" w:cs="Arial"/>
          <w:sz w:val="24"/>
          <w:szCs w:val="24"/>
          <w:lang w:val="en-US"/>
        </w:rPr>
        <w:t>there</w:t>
      </w:r>
      <w:r w:rsidR="004C6D83">
        <w:rPr>
          <w:rFonts w:ascii="Arial" w:hAnsi="Arial" w:cs="Arial"/>
          <w:sz w:val="24"/>
          <w:szCs w:val="24"/>
          <w:lang w:val="en-US"/>
        </w:rPr>
        <w:t xml:space="preserve"> is nothing in the </w:t>
      </w:r>
      <w:r w:rsidR="00DE7EDA">
        <w:rPr>
          <w:rFonts w:ascii="Arial" w:hAnsi="Arial" w:cs="Arial"/>
          <w:sz w:val="24"/>
          <w:szCs w:val="24"/>
          <w:lang w:val="en-US"/>
        </w:rPr>
        <w:t xml:space="preserve">Goliath </w:t>
      </w:r>
      <w:r w:rsidR="004C6D83">
        <w:rPr>
          <w:rFonts w:ascii="Arial" w:hAnsi="Arial" w:cs="Arial"/>
          <w:sz w:val="24"/>
          <w:szCs w:val="24"/>
          <w:lang w:val="en-US"/>
        </w:rPr>
        <w:t xml:space="preserve">judgment or order </w:t>
      </w:r>
      <w:r w:rsidR="001B3544">
        <w:rPr>
          <w:rFonts w:ascii="Arial" w:hAnsi="Arial" w:cs="Arial"/>
          <w:sz w:val="24"/>
          <w:szCs w:val="24"/>
          <w:lang w:val="en-US"/>
        </w:rPr>
        <w:t>which</w:t>
      </w:r>
      <w:r w:rsidR="004C6D83">
        <w:rPr>
          <w:rFonts w:ascii="Arial" w:hAnsi="Arial" w:cs="Arial"/>
          <w:sz w:val="24"/>
          <w:szCs w:val="24"/>
          <w:lang w:val="en-US"/>
        </w:rPr>
        <w:t xml:space="preserve"> </w:t>
      </w:r>
      <w:r w:rsidR="001B3544">
        <w:rPr>
          <w:rFonts w:ascii="Arial" w:hAnsi="Arial" w:cs="Arial"/>
          <w:sz w:val="24"/>
          <w:szCs w:val="24"/>
          <w:lang w:val="en-US"/>
        </w:rPr>
        <w:t>would</w:t>
      </w:r>
      <w:r w:rsidR="004C6D83">
        <w:rPr>
          <w:rFonts w:ascii="Arial" w:hAnsi="Arial" w:cs="Arial"/>
          <w:sz w:val="24"/>
          <w:szCs w:val="24"/>
          <w:lang w:val="en-US"/>
        </w:rPr>
        <w:t xml:space="preserve"> preclude the plaintiff from applying for condonation in the event of its non-compliance with paragraph 43.2</w:t>
      </w:r>
      <w:r w:rsidR="00DE7EDA">
        <w:rPr>
          <w:rFonts w:ascii="Arial" w:hAnsi="Arial" w:cs="Arial"/>
          <w:sz w:val="24"/>
          <w:szCs w:val="24"/>
          <w:lang w:val="en-US"/>
        </w:rPr>
        <w:t xml:space="preserve"> thereof. In the circumstances, I am thus satisfied that the plaintiff is entitled to apply for condonation for its non-compliance.</w:t>
      </w:r>
    </w:p>
    <w:p w:rsidR="004C6D83" w:rsidRDefault="004C6D83" w:rsidP="00F36708">
      <w:pPr>
        <w:spacing w:line="480" w:lineRule="auto"/>
        <w:jc w:val="both"/>
        <w:rPr>
          <w:rFonts w:ascii="Arial" w:hAnsi="Arial" w:cs="Arial"/>
          <w:sz w:val="24"/>
          <w:szCs w:val="24"/>
          <w:lang w:val="en-US"/>
        </w:rPr>
      </w:pPr>
    </w:p>
    <w:p w:rsidR="004C6D83" w:rsidRDefault="00CB7701" w:rsidP="00F36708">
      <w:pPr>
        <w:spacing w:line="480" w:lineRule="auto"/>
        <w:jc w:val="both"/>
        <w:rPr>
          <w:rFonts w:ascii="Arial" w:hAnsi="Arial" w:cs="Arial"/>
          <w:sz w:val="24"/>
          <w:szCs w:val="24"/>
          <w:lang w:val="en-US"/>
        </w:rPr>
      </w:pPr>
      <w:r>
        <w:rPr>
          <w:rFonts w:ascii="Arial" w:hAnsi="Arial" w:cs="Arial"/>
          <w:sz w:val="24"/>
          <w:szCs w:val="24"/>
          <w:lang w:val="en-US"/>
        </w:rPr>
        <w:t>[</w:t>
      </w:r>
      <w:r w:rsidR="00497422">
        <w:rPr>
          <w:rFonts w:ascii="Arial" w:hAnsi="Arial" w:cs="Arial"/>
          <w:sz w:val="24"/>
          <w:szCs w:val="24"/>
          <w:lang w:val="en-US"/>
        </w:rPr>
        <w:t>40</w:t>
      </w:r>
      <w:r>
        <w:rPr>
          <w:rFonts w:ascii="Arial" w:hAnsi="Arial" w:cs="Arial"/>
          <w:sz w:val="24"/>
          <w:szCs w:val="24"/>
          <w:lang w:val="en-US"/>
        </w:rPr>
        <w:t>]</w:t>
      </w:r>
      <w:r>
        <w:rPr>
          <w:rFonts w:ascii="Arial" w:hAnsi="Arial" w:cs="Arial"/>
          <w:sz w:val="24"/>
          <w:szCs w:val="24"/>
          <w:lang w:val="en-US"/>
        </w:rPr>
        <w:tab/>
      </w:r>
      <w:r w:rsidR="004C6D83">
        <w:rPr>
          <w:rFonts w:ascii="Arial" w:hAnsi="Arial" w:cs="Arial"/>
          <w:sz w:val="24"/>
          <w:szCs w:val="24"/>
          <w:lang w:val="en-US"/>
        </w:rPr>
        <w:t>I</w:t>
      </w:r>
      <w:r w:rsidR="00EB6F32">
        <w:rPr>
          <w:rFonts w:ascii="Arial" w:hAnsi="Arial" w:cs="Arial"/>
          <w:sz w:val="24"/>
          <w:szCs w:val="24"/>
          <w:lang w:val="en-US"/>
        </w:rPr>
        <w:t xml:space="preserve"> hold the view that a </w:t>
      </w:r>
      <w:r w:rsidR="004C6D83">
        <w:rPr>
          <w:rFonts w:ascii="Arial" w:hAnsi="Arial" w:cs="Arial"/>
          <w:sz w:val="24"/>
          <w:szCs w:val="24"/>
          <w:lang w:val="en-US"/>
        </w:rPr>
        <w:t xml:space="preserve">discussion on condonation </w:t>
      </w:r>
      <w:r w:rsidR="00DE7EDA">
        <w:rPr>
          <w:rFonts w:ascii="Arial" w:hAnsi="Arial" w:cs="Arial"/>
          <w:sz w:val="24"/>
          <w:szCs w:val="24"/>
          <w:lang w:val="en-US"/>
        </w:rPr>
        <w:t xml:space="preserve">in this matter </w:t>
      </w:r>
      <w:r w:rsidR="004C6D83">
        <w:rPr>
          <w:rFonts w:ascii="Arial" w:hAnsi="Arial" w:cs="Arial"/>
          <w:sz w:val="24"/>
          <w:szCs w:val="24"/>
          <w:lang w:val="en-US"/>
        </w:rPr>
        <w:t xml:space="preserve">should be preceded by a </w:t>
      </w:r>
      <w:r w:rsidR="001B3544">
        <w:rPr>
          <w:rFonts w:ascii="Arial" w:hAnsi="Arial" w:cs="Arial"/>
          <w:sz w:val="24"/>
          <w:szCs w:val="24"/>
          <w:lang w:val="en-US"/>
        </w:rPr>
        <w:t>consideration</w:t>
      </w:r>
      <w:r w:rsidR="004C6D83">
        <w:rPr>
          <w:rFonts w:ascii="Arial" w:hAnsi="Arial" w:cs="Arial"/>
          <w:sz w:val="24"/>
          <w:szCs w:val="24"/>
          <w:lang w:val="en-US"/>
        </w:rPr>
        <w:t xml:space="preserve"> of the nature of the order and </w:t>
      </w:r>
      <w:r w:rsidR="00DE7EDA">
        <w:rPr>
          <w:rFonts w:ascii="Arial" w:hAnsi="Arial" w:cs="Arial"/>
          <w:sz w:val="24"/>
          <w:szCs w:val="24"/>
          <w:lang w:val="en-US"/>
        </w:rPr>
        <w:t xml:space="preserve">the </w:t>
      </w:r>
      <w:r w:rsidR="00EB6F32">
        <w:rPr>
          <w:rFonts w:ascii="Arial" w:hAnsi="Arial" w:cs="Arial"/>
          <w:sz w:val="24"/>
          <w:szCs w:val="24"/>
          <w:lang w:val="en-US"/>
        </w:rPr>
        <w:t xml:space="preserve">extent of </w:t>
      </w:r>
      <w:r w:rsidR="005A7DDB">
        <w:rPr>
          <w:rFonts w:ascii="Arial" w:hAnsi="Arial" w:cs="Arial"/>
          <w:sz w:val="24"/>
          <w:szCs w:val="24"/>
          <w:lang w:val="en-US"/>
        </w:rPr>
        <w:t>non-</w:t>
      </w:r>
      <w:r w:rsidR="004C6D83">
        <w:rPr>
          <w:rFonts w:ascii="Arial" w:hAnsi="Arial" w:cs="Arial"/>
          <w:sz w:val="24"/>
          <w:szCs w:val="24"/>
          <w:lang w:val="en-US"/>
        </w:rPr>
        <w:t>compliance thereof. In this regard, I am more incl</w:t>
      </w:r>
      <w:r w:rsidR="00DE7EDA">
        <w:rPr>
          <w:rFonts w:ascii="Arial" w:hAnsi="Arial" w:cs="Arial"/>
          <w:sz w:val="24"/>
          <w:szCs w:val="24"/>
          <w:lang w:val="en-US"/>
        </w:rPr>
        <w:t>ined</w:t>
      </w:r>
      <w:r w:rsidR="004C6D83">
        <w:rPr>
          <w:rFonts w:ascii="Arial" w:hAnsi="Arial" w:cs="Arial"/>
          <w:sz w:val="24"/>
          <w:szCs w:val="24"/>
          <w:lang w:val="en-US"/>
        </w:rPr>
        <w:t xml:space="preserve"> to find favour with the plaintiff’s submission in that </w:t>
      </w:r>
      <w:r w:rsidR="00EB6F32">
        <w:rPr>
          <w:rFonts w:ascii="Arial" w:hAnsi="Arial" w:cs="Arial"/>
          <w:sz w:val="24"/>
          <w:szCs w:val="24"/>
          <w:lang w:val="en-US"/>
        </w:rPr>
        <w:t xml:space="preserve">the nature of </w:t>
      </w:r>
      <w:r w:rsidR="004C6D83">
        <w:rPr>
          <w:rFonts w:ascii="Arial" w:hAnsi="Arial" w:cs="Arial"/>
          <w:sz w:val="24"/>
          <w:szCs w:val="24"/>
          <w:lang w:val="en-US"/>
        </w:rPr>
        <w:t xml:space="preserve">paragraph 43.2 </w:t>
      </w:r>
      <w:r w:rsidR="00EB6F32">
        <w:rPr>
          <w:rFonts w:ascii="Arial" w:hAnsi="Arial" w:cs="Arial"/>
          <w:sz w:val="24"/>
          <w:szCs w:val="24"/>
          <w:lang w:val="en-US"/>
        </w:rPr>
        <w:t xml:space="preserve">of the Goliath order </w:t>
      </w:r>
      <w:r w:rsidR="004C6D83">
        <w:rPr>
          <w:rFonts w:ascii="Arial" w:hAnsi="Arial" w:cs="Arial"/>
          <w:sz w:val="24"/>
          <w:szCs w:val="24"/>
          <w:lang w:val="en-US"/>
        </w:rPr>
        <w:t>is procedural and ti</w:t>
      </w:r>
      <w:r w:rsidR="00DE7EDA">
        <w:rPr>
          <w:rFonts w:ascii="Arial" w:hAnsi="Arial" w:cs="Arial"/>
          <w:sz w:val="24"/>
          <w:szCs w:val="24"/>
          <w:lang w:val="en-US"/>
        </w:rPr>
        <w:t>me-related, and not substantive.</w:t>
      </w:r>
      <w:r w:rsidR="004C6D83">
        <w:rPr>
          <w:rFonts w:ascii="Arial" w:hAnsi="Arial" w:cs="Arial"/>
          <w:sz w:val="24"/>
          <w:szCs w:val="24"/>
          <w:lang w:val="en-US"/>
        </w:rPr>
        <w:t xml:space="preserve"> Th</w:t>
      </w:r>
      <w:r w:rsidR="00EB6F32">
        <w:rPr>
          <w:rFonts w:ascii="Arial" w:hAnsi="Arial" w:cs="Arial"/>
          <w:sz w:val="24"/>
          <w:szCs w:val="24"/>
          <w:lang w:val="en-US"/>
        </w:rPr>
        <w:t xml:space="preserve">us, what </w:t>
      </w:r>
      <w:r w:rsidR="004C6D83">
        <w:rPr>
          <w:rFonts w:ascii="Arial" w:hAnsi="Arial" w:cs="Arial"/>
          <w:sz w:val="24"/>
          <w:szCs w:val="24"/>
          <w:lang w:val="en-US"/>
        </w:rPr>
        <w:t>was required of the plaintiff was to act</w:t>
      </w:r>
      <w:r w:rsidR="00DE7EDA">
        <w:rPr>
          <w:rFonts w:ascii="Arial" w:hAnsi="Arial" w:cs="Arial"/>
          <w:sz w:val="24"/>
          <w:szCs w:val="24"/>
          <w:lang w:val="en-US"/>
        </w:rPr>
        <w:t xml:space="preserve"> positively</w:t>
      </w:r>
      <w:r w:rsidR="004C6D83">
        <w:rPr>
          <w:rFonts w:ascii="Arial" w:hAnsi="Arial" w:cs="Arial"/>
          <w:sz w:val="24"/>
          <w:szCs w:val="24"/>
          <w:lang w:val="en-US"/>
        </w:rPr>
        <w:t xml:space="preserve"> by delivery of a </w:t>
      </w:r>
      <w:r w:rsidR="00EB6F32">
        <w:rPr>
          <w:rFonts w:ascii="Arial" w:hAnsi="Arial" w:cs="Arial"/>
          <w:sz w:val="24"/>
          <w:szCs w:val="24"/>
          <w:lang w:val="en-US"/>
        </w:rPr>
        <w:t>N</w:t>
      </w:r>
      <w:r w:rsidR="004C6D83">
        <w:rPr>
          <w:rFonts w:ascii="Arial" w:hAnsi="Arial" w:cs="Arial"/>
          <w:sz w:val="24"/>
          <w:szCs w:val="24"/>
          <w:lang w:val="en-US"/>
        </w:rPr>
        <w:t xml:space="preserve">otice of </w:t>
      </w:r>
      <w:r w:rsidR="00EB6F32">
        <w:rPr>
          <w:rFonts w:ascii="Arial" w:hAnsi="Arial" w:cs="Arial"/>
          <w:sz w:val="24"/>
          <w:szCs w:val="24"/>
          <w:lang w:val="en-US"/>
        </w:rPr>
        <w:t>A</w:t>
      </w:r>
      <w:r w:rsidR="004C6D83">
        <w:rPr>
          <w:rFonts w:ascii="Arial" w:hAnsi="Arial" w:cs="Arial"/>
          <w:sz w:val="24"/>
          <w:szCs w:val="24"/>
          <w:lang w:val="en-US"/>
        </w:rPr>
        <w:t>mendment within 30 days of the gran</w:t>
      </w:r>
      <w:r w:rsidR="001B3544">
        <w:rPr>
          <w:rFonts w:ascii="Arial" w:hAnsi="Arial" w:cs="Arial"/>
          <w:sz w:val="24"/>
          <w:szCs w:val="24"/>
          <w:lang w:val="en-US"/>
        </w:rPr>
        <w:t>t</w:t>
      </w:r>
      <w:r w:rsidR="004C6D83">
        <w:rPr>
          <w:rFonts w:ascii="Arial" w:hAnsi="Arial" w:cs="Arial"/>
          <w:sz w:val="24"/>
          <w:szCs w:val="24"/>
          <w:lang w:val="en-US"/>
        </w:rPr>
        <w:t>in</w:t>
      </w:r>
      <w:r w:rsidR="001B3544">
        <w:rPr>
          <w:rFonts w:ascii="Arial" w:hAnsi="Arial" w:cs="Arial"/>
          <w:sz w:val="24"/>
          <w:szCs w:val="24"/>
          <w:lang w:val="en-US"/>
        </w:rPr>
        <w:t>g</w:t>
      </w:r>
      <w:r w:rsidR="004C6D83">
        <w:rPr>
          <w:rFonts w:ascii="Arial" w:hAnsi="Arial" w:cs="Arial"/>
          <w:sz w:val="24"/>
          <w:szCs w:val="24"/>
          <w:lang w:val="en-US"/>
        </w:rPr>
        <w:t xml:space="preserve"> of the order. Thus</w:t>
      </w:r>
      <w:r w:rsidR="00EB6F32">
        <w:rPr>
          <w:rFonts w:ascii="Arial" w:hAnsi="Arial" w:cs="Arial"/>
          <w:sz w:val="24"/>
          <w:szCs w:val="24"/>
          <w:lang w:val="en-US"/>
        </w:rPr>
        <w:t>,</w:t>
      </w:r>
      <w:r w:rsidR="004C6D83">
        <w:rPr>
          <w:rFonts w:ascii="Arial" w:hAnsi="Arial" w:cs="Arial"/>
          <w:sz w:val="24"/>
          <w:szCs w:val="24"/>
          <w:lang w:val="en-US"/>
        </w:rPr>
        <w:t xml:space="preserve"> accepting</w:t>
      </w:r>
      <w:r w:rsidR="00DE7EDA">
        <w:rPr>
          <w:rFonts w:ascii="Arial" w:hAnsi="Arial" w:cs="Arial"/>
          <w:sz w:val="24"/>
          <w:szCs w:val="24"/>
          <w:lang w:val="en-US"/>
        </w:rPr>
        <w:t xml:space="preserve"> that</w:t>
      </w:r>
      <w:r w:rsidR="004C6D83">
        <w:rPr>
          <w:rFonts w:ascii="Arial" w:hAnsi="Arial" w:cs="Arial"/>
          <w:sz w:val="24"/>
          <w:szCs w:val="24"/>
          <w:lang w:val="en-US"/>
        </w:rPr>
        <w:t xml:space="preserve"> </w:t>
      </w:r>
      <w:r w:rsidR="00EB6F32">
        <w:rPr>
          <w:rFonts w:ascii="Arial" w:hAnsi="Arial" w:cs="Arial"/>
          <w:sz w:val="24"/>
          <w:szCs w:val="24"/>
          <w:lang w:val="en-US"/>
        </w:rPr>
        <w:t xml:space="preserve">in relation to </w:t>
      </w:r>
      <w:r w:rsidR="004C6D83">
        <w:rPr>
          <w:rFonts w:ascii="Arial" w:hAnsi="Arial" w:cs="Arial"/>
          <w:sz w:val="24"/>
          <w:szCs w:val="24"/>
          <w:lang w:val="en-US"/>
        </w:rPr>
        <w:t>the</w:t>
      </w:r>
      <w:r w:rsidR="00EB6F32">
        <w:rPr>
          <w:rFonts w:ascii="Arial" w:hAnsi="Arial" w:cs="Arial"/>
          <w:sz w:val="24"/>
          <w:szCs w:val="24"/>
          <w:lang w:val="en-US"/>
        </w:rPr>
        <w:t xml:space="preserve"> plaintiff, the </w:t>
      </w:r>
      <w:r w:rsidR="004C6D83">
        <w:rPr>
          <w:rFonts w:ascii="Arial" w:hAnsi="Arial" w:cs="Arial"/>
          <w:sz w:val="24"/>
          <w:szCs w:val="24"/>
          <w:lang w:val="en-US"/>
        </w:rPr>
        <w:t xml:space="preserve">order </w:t>
      </w:r>
      <w:r w:rsidR="00DE7EDA">
        <w:rPr>
          <w:rFonts w:ascii="Arial" w:hAnsi="Arial" w:cs="Arial"/>
          <w:sz w:val="24"/>
          <w:szCs w:val="24"/>
          <w:lang w:val="en-US"/>
        </w:rPr>
        <w:t>and</w:t>
      </w:r>
      <w:r w:rsidR="004C6D83">
        <w:rPr>
          <w:rFonts w:ascii="Arial" w:hAnsi="Arial" w:cs="Arial"/>
          <w:sz w:val="24"/>
          <w:szCs w:val="24"/>
          <w:lang w:val="en-US"/>
        </w:rPr>
        <w:t xml:space="preserve"> non-compliance </w:t>
      </w:r>
      <w:r w:rsidR="00EB6F32">
        <w:rPr>
          <w:rFonts w:ascii="Arial" w:hAnsi="Arial" w:cs="Arial"/>
          <w:sz w:val="24"/>
          <w:szCs w:val="24"/>
          <w:lang w:val="en-US"/>
        </w:rPr>
        <w:t xml:space="preserve">are </w:t>
      </w:r>
      <w:r w:rsidR="004C6D83">
        <w:rPr>
          <w:rFonts w:ascii="Arial" w:hAnsi="Arial" w:cs="Arial"/>
          <w:sz w:val="24"/>
          <w:szCs w:val="24"/>
          <w:lang w:val="en-US"/>
        </w:rPr>
        <w:t xml:space="preserve">time-related, </w:t>
      </w:r>
      <w:r w:rsidR="00DE7EDA">
        <w:rPr>
          <w:rFonts w:ascii="Arial" w:hAnsi="Arial" w:cs="Arial"/>
          <w:sz w:val="24"/>
          <w:szCs w:val="24"/>
          <w:lang w:val="en-US"/>
        </w:rPr>
        <w:t xml:space="preserve">I find that </w:t>
      </w:r>
      <w:r w:rsidR="004C6D83">
        <w:rPr>
          <w:rFonts w:ascii="Arial" w:hAnsi="Arial" w:cs="Arial"/>
          <w:sz w:val="24"/>
          <w:szCs w:val="24"/>
          <w:lang w:val="en-US"/>
        </w:rPr>
        <w:t xml:space="preserve">that the views by </w:t>
      </w:r>
      <w:r w:rsidR="00EB6F32">
        <w:rPr>
          <w:rFonts w:ascii="Arial" w:hAnsi="Arial" w:cs="Arial"/>
          <w:sz w:val="24"/>
          <w:szCs w:val="24"/>
          <w:lang w:val="en-US"/>
        </w:rPr>
        <w:t xml:space="preserve">the learned </w:t>
      </w:r>
      <w:r w:rsidR="004C6D83">
        <w:rPr>
          <w:rFonts w:ascii="Arial" w:hAnsi="Arial" w:cs="Arial"/>
          <w:sz w:val="24"/>
          <w:szCs w:val="24"/>
          <w:lang w:val="en-US"/>
        </w:rPr>
        <w:t xml:space="preserve">Heher, JA </w:t>
      </w:r>
      <w:r w:rsidR="00EB6F32">
        <w:rPr>
          <w:rFonts w:ascii="Arial" w:hAnsi="Arial" w:cs="Arial"/>
          <w:sz w:val="24"/>
          <w:szCs w:val="24"/>
          <w:lang w:val="en-US"/>
        </w:rPr>
        <w:t>i</w:t>
      </w:r>
      <w:r w:rsidR="004C6D83">
        <w:rPr>
          <w:rFonts w:ascii="Arial" w:hAnsi="Arial" w:cs="Arial"/>
          <w:sz w:val="24"/>
          <w:szCs w:val="24"/>
          <w:lang w:val="en-US"/>
        </w:rPr>
        <w:t xml:space="preserve">n </w:t>
      </w:r>
      <w:r w:rsidR="004C6D83" w:rsidRPr="00EB6F32">
        <w:rPr>
          <w:rFonts w:ascii="Arial" w:hAnsi="Arial" w:cs="Arial"/>
          <w:b/>
          <w:sz w:val="24"/>
          <w:szCs w:val="24"/>
          <w:u w:val="single"/>
          <w:lang w:val="en-US"/>
        </w:rPr>
        <w:t xml:space="preserve">Uitenhage Transitional Local </w:t>
      </w:r>
      <w:r w:rsidR="005A7DDB" w:rsidRPr="00EB6F32">
        <w:rPr>
          <w:rFonts w:ascii="Arial" w:hAnsi="Arial" w:cs="Arial"/>
          <w:b/>
          <w:sz w:val="24"/>
          <w:szCs w:val="24"/>
          <w:u w:val="single"/>
          <w:lang w:val="en-US"/>
        </w:rPr>
        <w:t>Council</w:t>
      </w:r>
      <w:r w:rsidR="004C6D83" w:rsidRPr="00EB6F32">
        <w:rPr>
          <w:rFonts w:ascii="Arial" w:hAnsi="Arial" w:cs="Arial"/>
          <w:b/>
          <w:sz w:val="24"/>
          <w:szCs w:val="24"/>
          <w:u w:val="single"/>
          <w:lang w:val="en-US"/>
        </w:rPr>
        <w:t xml:space="preserve"> v South African Revenue Service</w:t>
      </w:r>
      <w:r w:rsidR="004C6D83" w:rsidRPr="00EB6F32">
        <w:rPr>
          <w:rFonts w:ascii="Arial" w:hAnsi="Arial" w:cs="Arial"/>
          <w:b/>
          <w:sz w:val="24"/>
          <w:szCs w:val="24"/>
          <w:lang w:val="en-US"/>
        </w:rPr>
        <w:t xml:space="preserve"> </w:t>
      </w:r>
      <w:r w:rsidR="005A7DDB">
        <w:rPr>
          <w:rStyle w:val="FootnoteReference"/>
          <w:rFonts w:ascii="Arial" w:hAnsi="Arial" w:cs="Arial"/>
          <w:b/>
          <w:sz w:val="24"/>
          <w:szCs w:val="24"/>
          <w:lang w:val="en-US"/>
        </w:rPr>
        <w:footnoteReference w:id="18"/>
      </w:r>
      <w:r w:rsidR="004C6D83">
        <w:rPr>
          <w:rFonts w:ascii="Arial" w:hAnsi="Arial" w:cs="Arial"/>
          <w:sz w:val="24"/>
          <w:szCs w:val="24"/>
          <w:lang w:val="en-US"/>
        </w:rPr>
        <w:t xml:space="preserve"> are apt;</w:t>
      </w:r>
    </w:p>
    <w:p w:rsidR="005A7DDB" w:rsidRDefault="005A7DDB" w:rsidP="005A7DDB">
      <w:pPr>
        <w:pStyle w:val="BodyText3"/>
        <w:spacing w:line="480" w:lineRule="auto"/>
        <w:ind w:left="1440" w:hanging="720"/>
        <w:jc w:val="both"/>
        <w:rPr>
          <w:rFonts w:ascii="Arial" w:eastAsia="Times New Roman" w:hAnsi="Arial" w:cs="Arial"/>
          <w:sz w:val="22"/>
          <w:szCs w:val="22"/>
          <w:lang w:val="en-US"/>
        </w:rPr>
      </w:pPr>
      <w:r w:rsidRPr="00EB6F32">
        <w:rPr>
          <w:rFonts w:ascii="Arial" w:eastAsia="Times New Roman" w:hAnsi="Arial" w:cs="Arial"/>
          <w:i/>
          <w:sz w:val="22"/>
          <w:szCs w:val="22"/>
          <w:lang w:val="en-US"/>
        </w:rPr>
        <w:t>“[6]</w:t>
      </w:r>
      <w:r w:rsidRPr="005A7DDB">
        <w:rPr>
          <w:rFonts w:ascii="Arial" w:eastAsia="Times New Roman" w:hAnsi="Arial" w:cs="Arial"/>
          <w:i/>
          <w:sz w:val="22"/>
          <w:szCs w:val="22"/>
          <w:lang w:val="en-US"/>
        </w:rPr>
        <w:tab/>
        <w:t>One would have hoped that the many admonitions concerning what is required of an applicant in a condonation application would be trite knowledge among practitioners who are entrusted with the preparation of appeals to this Court:  condonation is not to be had merely for the asking; a full, detailed and accurate account of the causes of the delay and their effects must be furnished so as to enable the Court to understand clearly the reasons and to assess the responsibility</w:t>
      </w:r>
      <w:r w:rsidRPr="00DE7EDA">
        <w:rPr>
          <w:rFonts w:ascii="Arial" w:eastAsia="Times New Roman" w:hAnsi="Arial" w:cs="Arial"/>
          <w:i/>
          <w:sz w:val="22"/>
          <w:szCs w:val="22"/>
          <w:u w:val="single"/>
          <w:lang w:val="en-US"/>
        </w:rPr>
        <w:t>.  It must be obvious that if the non-compliance is time-related then the date, duration and extent of any obstacle on which reliance is placed must be spelled out</w:t>
      </w:r>
      <w:r w:rsidRPr="005A7DDB">
        <w:rPr>
          <w:rFonts w:ascii="Arial" w:eastAsia="Times New Roman" w:hAnsi="Arial" w:cs="Arial"/>
          <w:i/>
          <w:sz w:val="22"/>
          <w:szCs w:val="22"/>
          <w:lang w:val="en-US"/>
        </w:rPr>
        <w:t>.”</w:t>
      </w:r>
      <w:r w:rsidR="00DE7EDA">
        <w:rPr>
          <w:rFonts w:ascii="Arial" w:eastAsia="Times New Roman" w:hAnsi="Arial" w:cs="Arial"/>
          <w:i/>
          <w:sz w:val="22"/>
          <w:szCs w:val="22"/>
          <w:lang w:val="en-US"/>
        </w:rPr>
        <w:t xml:space="preserve"> </w:t>
      </w:r>
      <w:r w:rsidR="00DE7EDA">
        <w:rPr>
          <w:rFonts w:ascii="Arial" w:eastAsia="Times New Roman" w:hAnsi="Arial" w:cs="Arial"/>
          <w:sz w:val="22"/>
          <w:szCs w:val="22"/>
          <w:lang w:val="en-US"/>
        </w:rPr>
        <w:t>(</w:t>
      </w:r>
      <w:r w:rsidR="00DE7EDA" w:rsidRPr="00DE7EDA">
        <w:rPr>
          <w:rFonts w:ascii="Arial" w:eastAsia="Times New Roman" w:hAnsi="Arial" w:cs="Arial"/>
          <w:sz w:val="24"/>
          <w:szCs w:val="24"/>
          <w:lang w:val="en-US"/>
        </w:rPr>
        <w:t>my emphasis</w:t>
      </w:r>
      <w:r w:rsidR="00DE7EDA">
        <w:rPr>
          <w:rFonts w:ascii="Arial" w:eastAsia="Times New Roman" w:hAnsi="Arial" w:cs="Arial"/>
          <w:sz w:val="22"/>
          <w:szCs w:val="22"/>
          <w:lang w:val="en-US"/>
        </w:rPr>
        <w:t>)</w:t>
      </w:r>
    </w:p>
    <w:p w:rsidR="00EB6F32" w:rsidRPr="00DE7EDA" w:rsidRDefault="00EB6F32" w:rsidP="005A7DDB">
      <w:pPr>
        <w:pStyle w:val="BodyText3"/>
        <w:spacing w:line="480" w:lineRule="auto"/>
        <w:ind w:left="1440" w:hanging="720"/>
        <w:jc w:val="both"/>
        <w:rPr>
          <w:rFonts w:ascii="Arial" w:eastAsia="Times New Roman" w:hAnsi="Arial" w:cs="Arial"/>
          <w:sz w:val="22"/>
          <w:szCs w:val="22"/>
          <w:lang w:val="en-US"/>
        </w:rPr>
      </w:pPr>
    </w:p>
    <w:p w:rsidR="004C6D83" w:rsidRDefault="00CB7701" w:rsidP="00F36708">
      <w:pPr>
        <w:spacing w:line="480" w:lineRule="auto"/>
        <w:jc w:val="both"/>
        <w:rPr>
          <w:rFonts w:ascii="Arial" w:hAnsi="Arial" w:cs="Arial"/>
          <w:sz w:val="24"/>
          <w:szCs w:val="24"/>
          <w:lang w:val="en-US"/>
        </w:rPr>
      </w:pPr>
      <w:r>
        <w:rPr>
          <w:rFonts w:ascii="Arial" w:hAnsi="Arial" w:cs="Arial"/>
          <w:sz w:val="24"/>
          <w:szCs w:val="24"/>
          <w:lang w:val="en-US"/>
        </w:rPr>
        <w:t>[</w:t>
      </w:r>
      <w:r w:rsidR="00497422">
        <w:rPr>
          <w:rFonts w:ascii="Arial" w:hAnsi="Arial" w:cs="Arial"/>
          <w:sz w:val="24"/>
          <w:szCs w:val="24"/>
          <w:lang w:val="en-US"/>
        </w:rPr>
        <w:t>41</w:t>
      </w:r>
      <w:r>
        <w:rPr>
          <w:rFonts w:ascii="Arial" w:hAnsi="Arial" w:cs="Arial"/>
          <w:sz w:val="24"/>
          <w:szCs w:val="24"/>
          <w:lang w:val="en-US"/>
        </w:rPr>
        <w:t>]</w:t>
      </w:r>
      <w:r>
        <w:rPr>
          <w:rFonts w:ascii="Arial" w:hAnsi="Arial" w:cs="Arial"/>
          <w:sz w:val="24"/>
          <w:szCs w:val="24"/>
          <w:lang w:val="en-US"/>
        </w:rPr>
        <w:tab/>
      </w:r>
      <w:r w:rsidR="004C6D83">
        <w:rPr>
          <w:rFonts w:ascii="Arial" w:hAnsi="Arial" w:cs="Arial"/>
          <w:sz w:val="24"/>
          <w:szCs w:val="24"/>
          <w:lang w:val="en-US"/>
        </w:rPr>
        <w:t xml:space="preserve">Whist </w:t>
      </w:r>
      <w:r w:rsidR="00DE7EDA" w:rsidRPr="00DE7EDA">
        <w:rPr>
          <w:rFonts w:ascii="Arial" w:hAnsi="Arial" w:cs="Arial"/>
          <w:sz w:val="24"/>
          <w:szCs w:val="24"/>
          <w:lang w:val="en-US"/>
        </w:rPr>
        <w:t>Heher, JA in</w:t>
      </w:r>
      <w:r w:rsidR="00DE7EDA">
        <w:rPr>
          <w:rFonts w:ascii="Arial" w:hAnsi="Arial" w:cs="Arial"/>
          <w:b/>
          <w:sz w:val="24"/>
          <w:szCs w:val="24"/>
          <w:lang w:val="en-US"/>
        </w:rPr>
        <w:t xml:space="preserve"> </w:t>
      </w:r>
      <w:r w:rsidR="004C6D83" w:rsidRPr="00EB6F32">
        <w:rPr>
          <w:rFonts w:ascii="Arial" w:hAnsi="Arial" w:cs="Arial"/>
          <w:b/>
          <w:sz w:val="24"/>
          <w:szCs w:val="24"/>
          <w:u w:val="single"/>
          <w:lang w:val="en-US"/>
        </w:rPr>
        <w:t>Uitenhage</w:t>
      </w:r>
      <w:r w:rsidR="004C6D83">
        <w:rPr>
          <w:rFonts w:ascii="Arial" w:hAnsi="Arial" w:cs="Arial"/>
          <w:b/>
          <w:sz w:val="24"/>
          <w:szCs w:val="24"/>
          <w:lang w:val="en-US"/>
        </w:rPr>
        <w:t xml:space="preserve"> </w:t>
      </w:r>
      <w:r w:rsidR="004C6D83">
        <w:rPr>
          <w:rFonts w:ascii="Arial" w:hAnsi="Arial" w:cs="Arial"/>
          <w:sz w:val="24"/>
          <w:szCs w:val="24"/>
          <w:lang w:val="en-US"/>
        </w:rPr>
        <w:t>considered condonation for non-compliance with</w:t>
      </w:r>
      <w:r w:rsidR="00EB6F32">
        <w:rPr>
          <w:rFonts w:ascii="Arial" w:hAnsi="Arial" w:cs="Arial"/>
          <w:sz w:val="24"/>
          <w:szCs w:val="24"/>
          <w:lang w:val="en-US"/>
        </w:rPr>
        <w:t>in</w:t>
      </w:r>
      <w:r w:rsidR="004C6D83">
        <w:rPr>
          <w:rFonts w:ascii="Arial" w:hAnsi="Arial" w:cs="Arial"/>
          <w:sz w:val="24"/>
          <w:szCs w:val="24"/>
          <w:lang w:val="en-US"/>
        </w:rPr>
        <w:t xml:space="preserve"> </w:t>
      </w:r>
      <w:r w:rsidR="00362F97">
        <w:rPr>
          <w:rFonts w:ascii="Arial" w:hAnsi="Arial" w:cs="Arial"/>
          <w:sz w:val="24"/>
          <w:szCs w:val="24"/>
          <w:lang w:val="en-US"/>
        </w:rPr>
        <w:t xml:space="preserve">in the context of </w:t>
      </w:r>
      <w:r w:rsidR="004C6D83">
        <w:rPr>
          <w:rFonts w:ascii="Arial" w:hAnsi="Arial" w:cs="Arial"/>
          <w:sz w:val="24"/>
          <w:szCs w:val="24"/>
          <w:lang w:val="en-US"/>
        </w:rPr>
        <w:t>the Rules of the S</w:t>
      </w:r>
      <w:r w:rsidR="00EB6F32">
        <w:rPr>
          <w:rFonts w:ascii="Arial" w:hAnsi="Arial" w:cs="Arial"/>
          <w:sz w:val="24"/>
          <w:szCs w:val="24"/>
          <w:lang w:val="en-US"/>
        </w:rPr>
        <w:t xml:space="preserve">upreme Court of Appeal </w:t>
      </w:r>
      <w:r w:rsidR="004C6D83">
        <w:rPr>
          <w:rFonts w:ascii="Arial" w:hAnsi="Arial" w:cs="Arial"/>
          <w:sz w:val="24"/>
          <w:szCs w:val="24"/>
          <w:lang w:val="en-US"/>
        </w:rPr>
        <w:t>relating to the prosecution of appeals, the Jud</w:t>
      </w:r>
      <w:r w:rsidR="00DE7EDA">
        <w:rPr>
          <w:rFonts w:ascii="Arial" w:hAnsi="Arial" w:cs="Arial"/>
          <w:sz w:val="24"/>
          <w:szCs w:val="24"/>
          <w:lang w:val="en-US"/>
        </w:rPr>
        <w:t>g</w:t>
      </w:r>
      <w:r w:rsidR="004C6D83">
        <w:rPr>
          <w:rFonts w:ascii="Arial" w:hAnsi="Arial" w:cs="Arial"/>
          <w:sz w:val="24"/>
          <w:szCs w:val="24"/>
          <w:lang w:val="en-US"/>
        </w:rPr>
        <w:t>e of A</w:t>
      </w:r>
      <w:r w:rsidR="00017E5E">
        <w:rPr>
          <w:rFonts w:ascii="Arial" w:hAnsi="Arial" w:cs="Arial"/>
          <w:sz w:val="24"/>
          <w:szCs w:val="24"/>
          <w:lang w:val="en-US"/>
        </w:rPr>
        <w:t>ppeal</w:t>
      </w:r>
      <w:r w:rsidR="00DE7EDA">
        <w:rPr>
          <w:rFonts w:ascii="Arial" w:hAnsi="Arial" w:cs="Arial"/>
          <w:sz w:val="24"/>
          <w:szCs w:val="24"/>
          <w:lang w:val="en-US"/>
        </w:rPr>
        <w:t>’</w:t>
      </w:r>
      <w:r w:rsidR="00017E5E">
        <w:rPr>
          <w:rFonts w:ascii="Arial" w:hAnsi="Arial" w:cs="Arial"/>
          <w:sz w:val="24"/>
          <w:szCs w:val="24"/>
          <w:lang w:val="en-US"/>
        </w:rPr>
        <w:t>s comments regarding time-related non-compliance are applicable to the</w:t>
      </w:r>
      <w:r w:rsidR="00DE7EDA">
        <w:rPr>
          <w:rFonts w:ascii="Arial" w:hAnsi="Arial" w:cs="Arial"/>
          <w:sz w:val="24"/>
          <w:szCs w:val="24"/>
          <w:lang w:val="en-US"/>
        </w:rPr>
        <w:t xml:space="preserve"> plaintiff’s non-compliance in this matter</w:t>
      </w:r>
      <w:r w:rsidR="00017E5E">
        <w:rPr>
          <w:rFonts w:ascii="Arial" w:hAnsi="Arial" w:cs="Arial"/>
          <w:sz w:val="24"/>
          <w:szCs w:val="24"/>
          <w:lang w:val="en-US"/>
        </w:rPr>
        <w:t xml:space="preserve">. Having regard to the additional </w:t>
      </w:r>
      <w:r w:rsidR="001B3544">
        <w:rPr>
          <w:rFonts w:ascii="Arial" w:hAnsi="Arial" w:cs="Arial"/>
          <w:sz w:val="24"/>
          <w:szCs w:val="24"/>
          <w:lang w:val="en-US"/>
        </w:rPr>
        <w:t>authorities</w:t>
      </w:r>
      <w:r w:rsidR="00017E5E">
        <w:rPr>
          <w:rFonts w:ascii="Arial" w:hAnsi="Arial" w:cs="Arial"/>
          <w:sz w:val="24"/>
          <w:szCs w:val="24"/>
          <w:lang w:val="en-US"/>
        </w:rPr>
        <w:t xml:space="preserve"> provided by the parties, the further </w:t>
      </w:r>
      <w:r w:rsidR="00DE7EDA">
        <w:rPr>
          <w:rFonts w:ascii="Arial" w:hAnsi="Arial" w:cs="Arial"/>
          <w:sz w:val="24"/>
          <w:szCs w:val="24"/>
          <w:lang w:val="en-US"/>
        </w:rPr>
        <w:t xml:space="preserve">general </w:t>
      </w:r>
      <w:r w:rsidR="00017E5E">
        <w:rPr>
          <w:rFonts w:ascii="Arial" w:hAnsi="Arial" w:cs="Arial"/>
          <w:sz w:val="24"/>
          <w:szCs w:val="24"/>
          <w:lang w:val="en-US"/>
        </w:rPr>
        <w:t>gui</w:t>
      </w:r>
      <w:r w:rsidR="00DE7EDA">
        <w:rPr>
          <w:rFonts w:ascii="Arial" w:hAnsi="Arial" w:cs="Arial"/>
          <w:sz w:val="24"/>
          <w:szCs w:val="24"/>
          <w:lang w:val="en-US"/>
        </w:rPr>
        <w:t>delines provided by the higher C</w:t>
      </w:r>
      <w:r w:rsidR="00017E5E">
        <w:rPr>
          <w:rFonts w:ascii="Arial" w:hAnsi="Arial" w:cs="Arial"/>
          <w:sz w:val="24"/>
          <w:szCs w:val="24"/>
          <w:lang w:val="en-US"/>
        </w:rPr>
        <w:t>ourts regarding explanations for delays and non-compliance may be summarized as follows:</w:t>
      </w:r>
    </w:p>
    <w:p w:rsidR="00017E5E" w:rsidRPr="00CB7701" w:rsidRDefault="00017E5E" w:rsidP="00CB7701">
      <w:pPr>
        <w:pStyle w:val="ListParagraph"/>
        <w:numPr>
          <w:ilvl w:val="1"/>
          <w:numId w:val="6"/>
        </w:numPr>
        <w:spacing w:line="480" w:lineRule="auto"/>
        <w:jc w:val="both"/>
        <w:rPr>
          <w:rFonts w:ascii="Arial" w:hAnsi="Arial" w:cs="Arial"/>
          <w:sz w:val="24"/>
          <w:szCs w:val="24"/>
          <w:lang w:val="en-US"/>
        </w:rPr>
      </w:pPr>
      <w:r w:rsidRPr="00CB7701">
        <w:rPr>
          <w:rFonts w:ascii="Arial" w:hAnsi="Arial" w:cs="Arial"/>
          <w:sz w:val="24"/>
          <w:szCs w:val="24"/>
          <w:lang w:val="en-US"/>
        </w:rPr>
        <w:t xml:space="preserve">A full explanation for the non-compliance must be </w:t>
      </w:r>
      <w:r w:rsidR="001B3544" w:rsidRPr="00CB7701">
        <w:rPr>
          <w:rFonts w:ascii="Arial" w:hAnsi="Arial" w:cs="Arial"/>
          <w:sz w:val="24"/>
          <w:szCs w:val="24"/>
          <w:lang w:val="en-US"/>
        </w:rPr>
        <w:t>provided</w:t>
      </w:r>
      <w:r w:rsidRPr="00CB7701">
        <w:rPr>
          <w:rFonts w:ascii="Arial" w:hAnsi="Arial" w:cs="Arial"/>
          <w:sz w:val="24"/>
          <w:szCs w:val="24"/>
          <w:lang w:val="en-US"/>
        </w:rPr>
        <w:t xml:space="preserve"> and it must be reasonable</w:t>
      </w:r>
      <w:r w:rsidR="005A7DDB">
        <w:rPr>
          <w:rStyle w:val="FootnoteReference"/>
          <w:rFonts w:ascii="Arial" w:hAnsi="Arial" w:cs="Arial"/>
          <w:sz w:val="24"/>
          <w:szCs w:val="24"/>
          <w:lang w:val="en-US"/>
        </w:rPr>
        <w:footnoteReference w:id="19"/>
      </w:r>
      <w:r w:rsidRPr="00CB7701">
        <w:rPr>
          <w:rFonts w:ascii="Arial" w:hAnsi="Arial" w:cs="Arial"/>
          <w:sz w:val="24"/>
          <w:szCs w:val="24"/>
          <w:lang w:val="en-US"/>
        </w:rPr>
        <w:t>;</w:t>
      </w:r>
    </w:p>
    <w:p w:rsidR="00017E5E" w:rsidRPr="00CB7701" w:rsidRDefault="00017E5E" w:rsidP="00CB7701">
      <w:pPr>
        <w:pStyle w:val="ListParagraph"/>
        <w:numPr>
          <w:ilvl w:val="1"/>
          <w:numId w:val="6"/>
        </w:numPr>
        <w:spacing w:line="480" w:lineRule="auto"/>
        <w:jc w:val="both"/>
        <w:rPr>
          <w:rFonts w:ascii="Arial" w:hAnsi="Arial" w:cs="Arial"/>
          <w:sz w:val="24"/>
          <w:szCs w:val="24"/>
          <w:lang w:val="en-US"/>
        </w:rPr>
      </w:pPr>
      <w:r w:rsidRPr="00CB7701">
        <w:rPr>
          <w:rFonts w:ascii="Arial" w:hAnsi="Arial" w:cs="Arial"/>
          <w:sz w:val="24"/>
          <w:szCs w:val="24"/>
          <w:lang w:val="en-US"/>
        </w:rPr>
        <w:t xml:space="preserve">The explanation for delay must cover the entire </w:t>
      </w:r>
      <w:r w:rsidR="005A7DDB" w:rsidRPr="00CB7701">
        <w:rPr>
          <w:rFonts w:ascii="Arial" w:hAnsi="Arial" w:cs="Arial"/>
          <w:sz w:val="24"/>
          <w:szCs w:val="24"/>
          <w:lang w:val="en-US"/>
        </w:rPr>
        <w:t>period</w:t>
      </w:r>
      <w:r w:rsidRPr="00CB7701">
        <w:rPr>
          <w:rFonts w:ascii="Arial" w:hAnsi="Arial" w:cs="Arial"/>
          <w:sz w:val="24"/>
          <w:szCs w:val="24"/>
          <w:lang w:val="en-US"/>
        </w:rPr>
        <w:t xml:space="preserve"> of the delay</w:t>
      </w:r>
      <w:r w:rsidR="005A7DDB">
        <w:rPr>
          <w:rStyle w:val="FootnoteReference"/>
          <w:rFonts w:ascii="Arial" w:hAnsi="Arial" w:cs="Arial"/>
          <w:sz w:val="24"/>
          <w:szCs w:val="24"/>
          <w:lang w:val="en-US"/>
        </w:rPr>
        <w:footnoteReference w:id="20"/>
      </w:r>
      <w:r w:rsidRPr="00CB7701">
        <w:rPr>
          <w:rFonts w:ascii="Arial" w:hAnsi="Arial" w:cs="Arial"/>
          <w:sz w:val="24"/>
          <w:szCs w:val="24"/>
          <w:lang w:val="en-US"/>
        </w:rPr>
        <w:t>;</w:t>
      </w:r>
    </w:p>
    <w:p w:rsidR="00017E5E" w:rsidRDefault="00017E5E" w:rsidP="00CB7701">
      <w:pPr>
        <w:pStyle w:val="ListParagraph"/>
        <w:numPr>
          <w:ilvl w:val="1"/>
          <w:numId w:val="6"/>
        </w:numPr>
        <w:spacing w:line="480" w:lineRule="auto"/>
        <w:jc w:val="both"/>
        <w:rPr>
          <w:rFonts w:ascii="Arial" w:hAnsi="Arial" w:cs="Arial"/>
          <w:sz w:val="24"/>
          <w:szCs w:val="24"/>
          <w:lang w:val="en-US"/>
        </w:rPr>
      </w:pPr>
      <w:r w:rsidRPr="00CB7701">
        <w:rPr>
          <w:rFonts w:ascii="Arial" w:hAnsi="Arial" w:cs="Arial"/>
          <w:sz w:val="24"/>
          <w:szCs w:val="24"/>
          <w:lang w:val="en-US"/>
        </w:rPr>
        <w:t>The standard for consideration of a condonation application is the interests of justice</w:t>
      </w:r>
      <w:r w:rsidR="005A7DDB">
        <w:rPr>
          <w:rStyle w:val="FootnoteReference"/>
          <w:rFonts w:ascii="Arial" w:hAnsi="Arial" w:cs="Arial"/>
          <w:sz w:val="24"/>
          <w:szCs w:val="24"/>
          <w:lang w:val="en-US"/>
        </w:rPr>
        <w:footnoteReference w:id="21"/>
      </w:r>
      <w:r w:rsidRPr="00CB7701">
        <w:rPr>
          <w:rFonts w:ascii="Arial" w:hAnsi="Arial" w:cs="Arial"/>
          <w:sz w:val="24"/>
          <w:szCs w:val="24"/>
          <w:lang w:val="en-US"/>
        </w:rPr>
        <w:t>.</w:t>
      </w:r>
    </w:p>
    <w:p w:rsidR="00CB7701" w:rsidRPr="00CB7701" w:rsidRDefault="00CB7701" w:rsidP="00CB7701">
      <w:pPr>
        <w:pStyle w:val="ListParagraph"/>
        <w:spacing w:line="480" w:lineRule="auto"/>
        <w:ind w:left="1185"/>
        <w:jc w:val="both"/>
        <w:rPr>
          <w:rFonts w:ascii="Arial" w:hAnsi="Arial" w:cs="Arial"/>
          <w:sz w:val="24"/>
          <w:szCs w:val="24"/>
          <w:lang w:val="en-US"/>
        </w:rPr>
      </w:pPr>
    </w:p>
    <w:p w:rsidR="0055150C" w:rsidRDefault="00AC28B8" w:rsidP="0055150C">
      <w:pPr>
        <w:spacing w:line="480" w:lineRule="auto"/>
        <w:jc w:val="both"/>
        <w:rPr>
          <w:rFonts w:ascii="Arial" w:hAnsi="Arial" w:cs="Arial"/>
          <w:sz w:val="24"/>
          <w:szCs w:val="24"/>
          <w:lang w:val="en-US"/>
        </w:rPr>
      </w:pPr>
      <w:r>
        <w:rPr>
          <w:rFonts w:ascii="Arial" w:hAnsi="Arial" w:cs="Arial"/>
          <w:sz w:val="24"/>
          <w:szCs w:val="24"/>
          <w:lang w:val="en-US"/>
        </w:rPr>
        <w:t>[4</w:t>
      </w:r>
      <w:r w:rsidR="00362F97">
        <w:rPr>
          <w:rFonts w:ascii="Arial" w:hAnsi="Arial" w:cs="Arial"/>
          <w:sz w:val="24"/>
          <w:szCs w:val="24"/>
          <w:lang w:val="en-US"/>
        </w:rPr>
        <w:t>2</w:t>
      </w:r>
      <w:r w:rsidR="00CB7701">
        <w:rPr>
          <w:rFonts w:ascii="Arial" w:hAnsi="Arial" w:cs="Arial"/>
          <w:sz w:val="24"/>
          <w:szCs w:val="24"/>
          <w:lang w:val="en-US"/>
        </w:rPr>
        <w:t>]</w:t>
      </w:r>
      <w:r w:rsidR="00CB7701">
        <w:rPr>
          <w:rFonts w:ascii="Arial" w:hAnsi="Arial" w:cs="Arial"/>
          <w:sz w:val="24"/>
          <w:szCs w:val="24"/>
          <w:lang w:val="en-US"/>
        </w:rPr>
        <w:tab/>
      </w:r>
      <w:r w:rsidR="00017E5E">
        <w:rPr>
          <w:rFonts w:ascii="Arial" w:hAnsi="Arial" w:cs="Arial"/>
          <w:sz w:val="24"/>
          <w:szCs w:val="24"/>
          <w:lang w:val="en-US"/>
        </w:rPr>
        <w:t>T</w:t>
      </w:r>
      <w:r w:rsidR="00EB6F32">
        <w:rPr>
          <w:rFonts w:ascii="Arial" w:hAnsi="Arial" w:cs="Arial"/>
          <w:sz w:val="24"/>
          <w:szCs w:val="24"/>
          <w:lang w:val="en-US"/>
        </w:rPr>
        <w:t xml:space="preserve">urning to the </w:t>
      </w:r>
      <w:r w:rsidR="00DE7EDA">
        <w:rPr>
          <w:rFonts w:ascii="Arial" w:hAnsi="Arial" w:cs="Arial"/>
          <w:sz w:val="24"/>
          <w:szCs w:val="24"/>
          <w:lang w:val="en-US"/>
        </w:rPr>
        <w:t>C</w:t>
      </w:r>
      <w:r w:rsidR="00017E5E">
        <w:rPr>
          <w:rFonts w:ascii="Arial" w:hAnsi="Arial" w:cs="Arial"/>
          <w:sz w:val="24"/>
          <w:szCs w:val="24"/>
          <w:lang w:val="en-US"/>
        </w:rPr>
        <w:t xml:space="preserve">ourt’s discretion </w:t>
      </w:r>
      <w:r w:rsidR="00EB6F32">
        <w:rPr>
          <w:rFonts w:ascii="Arial" w:hAnsi="Arial" w:cs="Arial"/>
          <w:sz w:val="24"/>
          <w:szCs w:val="24"/>
          <w:lang w:val="en-US"/>
        </w:rPr>
        <w:t xml:space="preserve">to grant </w:t>
      </w:r>
      <w:r w:rsidR="00017E5E">
        <w:rPr>
          <w:rFonts w:ascii="Arial" w:hAnsi="Arial" w:cs="Arial"/>
          <w:sz w:val="24"/>
          <w:szCs w:val="24"/>
          <w:lang w:val="en-US"/>
        </w:rPr>
        <w:t>condonation</w:t>
      </w:r>
      <w:r w:rsidR="00EB6F32">
        <w:rPr>
          <w:rFonts w:ascii="Arial" w:hAnsi="Arial" w:cs="Arial"/>
          <w:sz w:val="24"/>
          <w:szCs w:val="24"/>
          <w:lang w:val="en-US"/>
        </w:rPr>
        <w:t xml:space="preserve">, it is trite that the discretion is a </w:t>
      </w:r>
      <w:r w:rsidR="00017E5E">
        <w:rPr>
          <w:rFonts w:ascii="Arial" w:hAnsi="Arial" w:cs="Arial"/>
          <w:sz w:val="24"/>
          <w:szCs w:val="24"/>
          <w:lang w:val="en-US"/>
        </w:rPr>
        <w:t xml:space="preserve">wide </w:t>
      </w:r>
      <w:r w:rsidR="00EB6F32">
        <w:rPr>
          <w:rFonts w:ascii="Arial" w:hAnsi="Arial" w:cs="Arial"/>
          <w:sz w:val="24"/>
          <w:szCs w:val="24"/>
          <w:lang w:val="en-US"/>
        </w:rPr>
        <w:t xml:space="preserve">discretion, having regard to the facts and circumstances of the matter. </w:t>
      </w:r>
      <w:r w:rsidR="00017E5E">
        <w:rPr>
          <w:rFonts w:ascii="Arial" w:hAnsi="Arial" w:cs="Arial"/>
          <w:sz w:val="24"/>
          <w:szCs w:val="24"/>
          <w:lang w:val="en-US"/>
        </w:rPr>
        <w:t xml:space="preserve">Turning to the explanation </w:t>
      </w:r>
      <w:r w:rsidR="00EB6F32">
        <w:rPr>
          <w:rFonts w:ascii="Arial" w:hAnsi="Arial" w:cs="Arial"/>
          <w:sz w:val="24"/>
          <w:szCs w:val="24"/>
          <w:lang w:val="en-US"/>
        </w:rPr>
        <w:t xml:space="preserve">for delay </w:t>
      </w:r>
      <w:r w:rsidR="00017E5E">
        <w:rPr>
          <w:rFonts w:ascii="Arial" w:hAnsi="Arial" w:cs="Arial"/>
          <w:sz w:val="24"/>
          <w:szCs w:val="24"/>
          <w:lang w:val="en-US"/>
        </w:rPr>
        <w:t xml:space="preserve">in this matter, </w:t>
      </w:r>
      <w:r w:rsidR="00EB6F32">
        <w:rPr>
          <w:rFonts w:ascii="Arial" w:hAnsi="Arial" w:cs="Arial"/>
          <w:sz w:val="24"/>
          <w:szCs w:val="24"/>
          <w:lang w:val="en-US"/>
        </w:rPr>
        <w:t xml:space="preserve">I point out that there </w:t>
      </w:r>
      <w:r w:rsidR="00017E5E">
        <w:rPr>
          <w:rFonts w:ascii="Arial" w:hAnsi="Arial" w:cs="Arial"/>
          <w:sz w:val="24"/>
          <w:szCs w:val="24"/>
          <w:lang w:val="en-US"/>
        </w:rPr>
        <w:t xml:space="preserve">is no explanation provided by the </w:t>
      </w:r>
      <w:r w:rsidR="001B3544">
        <w:rPr>
          <w:rFonts w:ascii="Arial" w:hAnsi="Arial" w:cs="Arial"/>
          <w:sz w:val="24"/>
          <w:szCs w:val="24"/>
          <w:lang w:val="en-US"/>
        </w:rPr>
        <w:t>plaintiff’s</w:t>
      </w:r>
      <w:r w:rsidR="00017E5E">
        <w:rPr>
          <w:rFonts w:ascii="Arial" w:hAnsi="Arial" w:cs="Arial"/>
          <w:sz w:val="24"/>
          <w:szCs w:val="24"/>
          <w:lang w:val="en-US"/>
        </w:rPr>
        <w:t xml:space="preserve"> </w:t>
      </w:r>
      <w:r w:rsidR="001B3544">
        <w:rPr>
          <w:rFonts w:ascii="Arial" w:hAnsi="Arial" w:cs="Arial"/>
          <w:sz w:val="24"/>
          <w:szCs w:val="24"/>
          <w:lang w:val="en-US"/>
        </w:rPr>
        <w:t>attorney</w:t>
      </w:r>
      <w:r w:rsidR="00017E5E">
        <w:rPr>
          <w:rFonts w:ascii="Arial" w:hAnsi="Arial" w:cs="Arial"/>
          <w:sz w:val="24"/>
          <w:szCs w:val="24"/>
          <w:lang w:val="en-US"/>
        </w:rPr>
        <w:t xml:space="preserve"> in his founding </w:t>
      </w:r>
      <w:r w:rsidR="00E52DCF">
        <w:rPr>
          <w:rFonts w:ascii="Arial" w:hAnsi="Arial" w:cs="Arial"/>
          <w:sz w:val="24"/>
          <w:szCs w:val="24"/>
          <w:lang w:val="en-US"/>
        </w:rPr>
        <w:t>affidavit</w:t>
      </w:r>
      <w:r w:rsidR="00017E5E">
        <w:rPr>
          <w:rFonts w:ascii="Arial" w:hAnsi="Arial" w:cs="Arial"/>
          <w:sz w:val="24"/>
          <w:szCs w:val="24"/>
          <w:lang w:val="en-US"/>
        </w:rPr>
        <w:t xml:space="preserve"> as to why, realizing that the </w:t>
      </w:r>
      <w:r w:rsidR="001B3544">
        <w:rPr>
          <w:rFonts w:ascii="Arial" w:hAnsi="Arial" w:cs="Arial"/>
          <w:sz w:val="24"/>
          <w:szCs w:val="24"/>
          <w:lang w:val="en-US"/>
        </w:rPr>
        <w:t>30-day</w:t>
      </w:r>
      <w:r w:rsidR="00017E5E">
        <w:rPr>
          <w:rFonts w:ascii="Arial" w:hAnsi="Arial" w:cs="Arial"/>
          <w:sz w:val="24"/>
          <w:szCs w:val="24"/>
          <w:lang w:val="en-US"/>
        </w:rPr>
        <w:t xml:space="preserve"> deadline was approaching, the </w:t>
      </w:r>
      <w:r w:rsidR="0055150C">
        <w:rPr>
          <w:rFonts w:ascii="Arial" w:hAnsi="Arial" w:cs="Arial"/>
          <w:sz w:val="24"/>
          <w:szCs w:val="24"/>
          <w:lang w:val="en-US"/>
        </w:rPr>
        <w:t>C</w:t>
      </w:r>
      <w:r w:rsidR="00017E5E">
        <w:rPr>
          <w:rFonts w:ascii="Arial" w:hAnsi="Arial" w:cs="Arial"/>
          <w:sz w:val="24"/>
          <w:szCs w:val="24"/>
          <w:lang w:val="en-US"/>
        </w:rPr>
        <w:t xml:space="preserve">ourt was not approached to seek an extension of the time period. </w:t>
      </w:r>
      <w:r w:rsidR="0055150C">
        <w:rPr>
          <w:rFonts w:ascii="Arial" w:hAnsi="Arial" w:cs="Arial"/>
          <w:sz w:val="24"/>
          <w:szCs w:val="24"/>
          <w:lang w:val="en-US"/>
        </w:rPr>
        <w:t xml:space="preserve">That being the case, the </w:t>
      </w:r>
      <w:r w:rsidR="00E52DCF">
        <w:rPr>
          <w:rFonts w:ascii="Arial" w:hAnsi="Arial" w:cs="Arial"/>
          <w:sz w:val="24"/>
          <w:szCs w:val="24"/>
          <w:lang w:val="en-US"/>
        </w:rPr>
        <w:t>defendant’s</w:t>
      </w:r>
      <w:r w:rsidR="00017E5E">
        <w:rPr>
          <w:rFonts w:ascii="Arial" w:hAnsi="Arial" w:cs="Arial"/>
          <w:sz w:val="24"/>
          <w:szCs w:val="24"/>
          <w:lang w:val="en-US"/>
        </w:rPr>
        <w:t xml:space="preserve"> criticism in this regard is </w:t>
      </w:r>
      <w:r w:rsidR="00DC5B90">
        <w:rPr>
          <w:rFonts w:ascii="Arial" w:hAnsi="Arial" w:cs="Arial"/>
          <w:sz w:val="24"/>
          <w:szCs w:val="24"/>
          <w:lang w:val="en-US"/>
        </w:rPr>
        <w:t xml:space="preserve">thus </w:t>
      </w:r>
      <w:r w:rsidR="00017E5E">
        <w:rPr>
          <w:rFonts w:ascii="Arial" w:hAnsi="Arial" w:cs="Arial"/>
          <w:sz w:val="24"/>
          <w:szCs w:val="24"/>
          <w:lang w:val="en-US"/>
        </w:rPr>
        <w:t>justified, so too its questioning of the lateness with which the plaintiff’s attorney communicated his c</w:t>
      </w:r>
      <w:r w:rsidR="00E52DCF">
        <w:rPr>
          <w:rFonts w:ascii="Arial" w:hAnsi="Arial" w:cs="Arial"/>
          <w:sz w:val="24"/>
          <w:szCs w:val="24"/>
          <w:lang w:val="en-US"/>
        </w:rPr>
        <w:t>lient</w:t>
      </w:r>
      <w:r w:rsidR="00017E5E">
        <w:rPr>
          <w:rFonts w:ascii="Arial" w:hAnsi="Arial" w:cs="Arial"/>
          <w:sz w:val="24"/>
          <w:szCs w:val="24"/>
          <w:lang w:val="en-US"/>
        </w:rPr>
        <w:t>’s challenges for the first time</w:t>
      </w:r>
      <w:r w:rsidR="00DE7EDA">
        <w:rPr>
          <w:rFonts w:ascii="Arial" w:hAnsi="Arial" w:cs="Arial"/>
          <w:sz w:val="24"/>
          <w:szCs w:val="24"/>
          <w:lang w:val="en-US"/>
        </w:rPr>
        <w:t xml:space="preserve">, which </w:t>
      </w:r>
      <w:r w:rsidR="0055150C">
        <w:rPr>
          <w:rFonts w:ascii="Arial" w:hAnsi="Arial" w:cs="Arial"/>
          <w:sz w:val="24"/>
          <w:szCs w:val="24"/>
          <w:lang w:val="en-US"/>
        </w:rPr>
        <w:t xml:space="preserve">only occurred a </w:t>
      </w:r>
      <w:r w:rsidR="00017E5E">
        <w:rPr>
          <w:rFonts w:ascii="Arial" w:hAnsi="Arial" w:cs="Arial"/>
          <w:sz w:val="24"/>
          <w:szCs w:val="24"/>
          <w:lang w:val="en-US"/>
        </w:rPr>
        <w:t xml:space="preserve">day after the </w:t>
      </w:r>
      <w:r w:rsidR="001B3544">
        <w:rPr>
          <w:rFonts w:ascii="Arial" w:hAnsi="Arial" w:cs="Arial"/>
          <w:sz w:val="24"/>
          <w:szCs w:val="24"/>
          <w:lang w:val="en-US"/>
        </w:rPr>
        <w:t>30-day</w:t>
      </w:r>
      <w:r w:rsidR="00017E5E">
        <w:rPr>
          <w:rFonts w:ascii="Arial" w:hAnsi="Arial" w:cs="Arial"/>
          <w:sz w:val="24"/>
          <w:szCs w:val="24"/>
          <w:lang w:val="en-US"/>
        </w:rPr>
        <w:t xml:space="preserve"> </w:t>
      </w:r>
      <w:r w:rsidR="00E52DCF">
        <w:rPr>
          <w:rFonts w:ascii="Arial" w:hAnsi="Arial" w:cs="Arial"/>
          <w:sz w:val="24"/>
          <w:szCs w:val="24"/>
          <w:lang w:val="en-US"/>
        </w:rPr>
        <w:t>period</w:t>
      </w:r>
      <w:r w:rsidR="00017E5E">
        <w:rPr>
          <w:rFonts w:ascii="Arial" w:hAnsi="Arial" w:cs="Arial"/>
          <w:sz w:val="24"/>
          <w:szCs w:val="24"/>
          <w:lang w:val="en-US"/>
        </w:rPr>
        <w:t xml:space="preserve"> had lapsed. </w:t>
      </w:r>
      <w:r w:rsidR="0055150C">
        <w:rPr>
          <w:rFonts w:ascii="Arial" w:hAnsi="Arial" w:cs="Arial"/>
          <w:sz w:val="24"/>
          <w:szCs w:val="24"/>
          <w:lang w:val="en-US"/>
        </w:rPr>
        <w:t xml:space="preserve">Most certainly, when I consider the yardstick and guidelines in </w:t>
      </w:r>
      <w:r w:rsidR="0055150C" w:rsidRPr="0055150C">
        <w:rPr>
          <w:rFonts w:ascii="Arial" w:hAnsi="Arial" w:cs="Arial"/>
          <w:b/>
          <w:sz w:val="24"/>
          <w:szCs w:val="24"/>
          <w:u w:val="single"/>
          <w:lang w:val="en-US"/>
        </w:rPr>
        <w:t>Uitenhage</w:t>
      </w:r>
      <w:r w:rsidR="0055150C" w:rsidRPr="0055150C">
        <w:rPr>
          <w:rFonts w:ascii="Arial" w:hAnsi="Arial" w:cs="Arial"/>
          <w:sz w:val="24"/>
          <w:szCs w:val="24"/>
          <w:lang w:val="en-US"/>
        </w:rPr>
        <w:t xml:space="preserve"> and other authorities referred </w:t>
      </w:r>
      <w:r w:rsidR="0055150C">
        <w:rPr>
          <w:rFonts w:ascii="Arial" w:hAnsi="Arial" w:cs="Arial"/>
          <w:sz w:val="24"/>
          <w:szCs w:val="24"/>
          <w:lang w:val="en-US"/>
        </w:rPr>
        <w:t xml:space="preserve">to </w:t>
      </w:r>
      <w:r w:rsidR="0055150C" w:rsidRPr="0055150C">
        <w:rPr>
          <w:rFonts w:ascii="Arial" w:hAnsi="Arial" w:cs="Arial"/>
          <w:sz w:val="24"/>
          <w:szCs w:val="24"/>
          <w:lang w:val="en-US"/>
        </w:rPr>
        <w:t>herein, the plaintiff’s explanation does not cover the entire period of the delay as from the granting of the order</w:t>
      </w:r>
      <w:r w:rsidR="0055150C">
        <w:rPr>
          <w:rFonts w:ascii="Arial" w:hAnsi="Arial" w:cs="Arial"/>
          <w:sz w:val="24"/>
          <w:szCs w:val="24"/>
          <w:lang w:val="en-US"/>
        </w:rPr>
        <w:t xml:space="preserve"> nor does it explain why the plaintiff’s attorney only communicated with his opponent for the first time, a day after the lapse of the 30 days. </w:t>
      </w:r>
      <w:r w:rsidR="0055150C" w:rsidRPr="0055150C">
        <w:rPr>
          <w:rFonts w:ascii="Arial" w:hAnsi="Arial" w:cs="Arial"/>
          <w:sz w:val="24"/>
          <w:szCs w:val="24"/>
          <w:lang w:val="en-US"/>
        </w:rPr>
        <w:t xml:space="preserve"> </w:t>
      </w:r>
      <w:r w:rsidR="0055150C">
        <w:rPr>
          <w:rFonts w:ascii="Arial" w:hAnsi="Arial" w:cs="Arial"/>
          <w:sz w:val="24"/>
          <w:szCs w:val="24"/>
          <w:lang w:val="en-US"/>
        </w:rPr>
        <w:t xml:space="preserve"> </w:t>
      </w:r>
    </w:p>
    <w:p w:rsidR="00DC5B90" w:rsidRDefault="00DC5B90" w:rsidP="00DC5B90">
      <w:pPr>
        <w:spacing w:line="480" w:lineRule="auto"/>
        <w:jc w:val="both"/>
        <w:rPr>
          <w:rFonts w:ascii="Arial" w:hAnsi="Arial" w:cs="Arial"/>
          <w:sz w:val="24"/>
          <w:szCs w:val="24"/>
          <w:lang w:val="en-US"/>
        </w:rPr>
      </w:pPr>
    </w:p>
    <w:p w:rsidR="00DC5B90" w:rsidRPr="00DC5B90" w:rsidRDefault="00DC5B90" w:rsidP="00DC5B90">
      <w:pPr>
        <w:spacing w:line="480" w:lineRule="auto"/>
        <w:jc w:val="both"/>
        <w:rPr>
          <w:rFonts w:ascii="Arial" w:hAnsi="Arial" w:cs="Arial"/>
          <w:sz w:val="24"/>
          <w:szCs w:val="24"/>
          <w:lang w:val="en-US"/>
        </w:rPr>
      </w:pPr>
      <w:r>
        <w:rPr>
          <w:rFonts w:ascii="Arial" w:hAnsi="Arial" w:cs="Arial"/>
          <w:sz w:val="24"/>
          <w:szCs w:val="24"/>
          <w:lang w:val="en-US"/>
        </w:rPr>
        <w:t>[43]</w:t>
      </w:r>
      <w:r>
        <w:rPr>
          <w:rFonts w:ascii="Arial" w:hAnsi="Arial" w:cs="Arial"/>
          <w:sz w:val="24"/>
          <w:szCs w:val="24"/>
          <w:lang w:val="en-US"/>
        </w:rPr>
        <w:tab/>
      </w:r>
      <w:r w:rsidR="0055150C">
        <w:rPr>
          <w:rFonts w:ascii="Arial" w:hAnsi="Arial" w:cs="Arial"/>
          <w:sz w:val="24"/>
          <w:szCs w:val="24"/>
          <w:lang w:val="en-US"/>
        </w:rPr>
        <w:t>In this regard, c</w:t>
      </w:r>
      <w:r>
        <w:rPr>
          <w:rFonts w:ascii="Arial" w:hAnsi="Arial" w:cs="Arial"/>
          <w:sz w:val="24"/>
          <w:szCs w:val="24"/>
          <w:lang w:val="en-US"/>
        </w:rPr>
        <w:t xml:space="preserve">ertainly the plaintiff’s attorney fails to </w:t>
      </w:r>
      <w:r w:rsidR="0055150C">
        <w:rPr>
          <w:rFonts w:ascii="Arial" w:hAnsi="Arial" w:cs="Arial"/>
          <w:sz w:val="24"/>
          <w:szCs w:val="24"/>
          <w:lang w:val="en-US"/>
        </w:rPr>
        <w:t xml:space="preserve">indicate </w:t>
      </w:r>
      <w:r>
        <w:rPr>
          <w:rFonts w:ascii="Arial" w:hAnsi="Arial" w:cs="Arial"/>
          <w:sz w:val="24"/>
          <w:szCs w:val="24"/>
          <w:lang w:val="en-US"/>
        </w:rPr>
        <w:t>how soon after 10 May 2022, contact was first made with officials and the engineer, and when information was requested from them for the first time</w:t>
      </w:r>
      <w:r w:rsidR="0055150C">
        <w:rPr>
          <w:rFonts w:ascii="Arial" w:hAnsi="Arial" w:cs="Arial"/>
          <w:sz w:val="24"/>
          <w:szCs w:val="24"/>
          <w:lang w:val="en-US"/>
        </w:rPr>
        <w:t xml:space="preserve"> in order to attend to the amendments</w:t>
      </w:r>
      <w:r>
        <w:rPr>
          <w:rFonts w:ascii="Arial" w:hAnsi="Arial" w:cs="Arial"/>
          <w:sz w:val="24"/>
          <w:szCs w:val="24"/>
          <w:lang w:val="en-US"/>
        </w:rPr>
        <w:t xml:space="preserve">. </w:t>
      </w:r>
      <w:r w:rsidR="0055150C">
        <w:rPr>
          <w:rFonts w:ascii="Arial" w:hAnsi="Arial" w:cs="Arial"/>
          <w:sz w:val="24"/>
          <w:szCs w:val="24"/>
          <w:lang w:val="en-US"/>
        </w:rPr>
        <w:t xml:space="preserve">The question is whether such failure clouds the explanation for delay and non-compliance to the extent that the counter-application should be refused? The defendant has approached the counter-application in a manner where it has broken down each explanation for the delay and in my view, categorized it as five excuses for non-compliance with the order. While I can appreciate the defendant’s </w:t>
      </w:r>
      <w:r w:rsidR="00FB1712">
        <w:rPr>
          <w:rFonts w:ascii="Arial" w:hAnsi="Arial" w:cs="Arial"/>
          <w:sz w:val="24"/>
          <w:szCs w:val="24"/>
          <w:lang w:val="en-US"/>
        </w:rPr>
        <w:t xml:space="preserve">opposition to </w:t>
      </w:r>
      <w:r w:rsidR="0055150C">
        <w:rPr>
          <w:rFonts w:ascii="Arial" w:hAnsi="Arial" w:cs="Arial"/>
          <w:sz w:val="24"/>
          <w:szCs w:val="24"/>
          <w:lang w:val="en-US"/>
        </w:rPr>
        <w:t xml:space="preserve">the request for condonation, I am of the view that the explanation should rather be  </w:t>
      </w:r>
      <w:r>
        <w:rPr>
          <w:rFonts w:ascii="Arial" w:hAnsi="Arial" w:cs="Arial"/>
          <w:sz w:val="24"/>
          <w:szCs w:val="24"/>
          <w:lang w:val="en-US"/>
        </w:rPr>
        <w:t xml:space="preserve"> considered holistically, </w:t>
      </w:r>
      <w:r w:rsidR="0055150C">
        <w:rPr>
          <w:rFonts w:ascii="Arial" w:hAnsi="Arial" w:cs="Arial"/>
          <w:sz w:val="24"/>
          <w:szCs w:val="24"/>
          <w:lang w:val="en-US"/>
        </w:rPr>
        <w:t xml:space="preserve">as opposed to in a </w:t>
      </w:r>
      <w:r>
        <w:rPr>
          <w:rFonts w:ascii="Arial" w:hAnsi="Arial" w:cs="Arial"/>
          <w:sz w:val="24"/>
          <w:szCs w:val="24"/>
          <w:lang w:val="en-US"/>
        </w:rPr>
        <w:t>piecemeal</w:t>
      </w:r>
      <w:r w:rsidR="0055150C">
        <w:rPr>
          <w:rFonts w:ascii="Arial" w:hAnsi="Arial" w:cs="Arial"/>
          <w:sz w:val="24"/>
          <w:szCs w:val="24"/>
          <w:lang w:val="en-US"/>
        </w:rPr>
        <w:t xml:space="preserve"> fashion</w:t>
      </w:r>
      <w:r>
        <w:rPr>
          <w:rFonts w:ascii="Arial" w:hAnsi="Arial" w:cs="Arial"/>
          <w:sz w:val="24"/>
          <w:szCs w:val="24"/>
          <w:lang w:val="en-US"/>
        </w:rPr>
        <w:t>, and within the context of the exception judgment</w:t>
      </w:r>
      <w:r w:rsidR="0055150C">
        <w:rPr>
          <w:rFonts w:ascii="Arial" w:hAnsi="Arial" w:cs="Arial"/>
          <w:sz w:val="24"/>
          <w:szCs w:val="24"/>
          <w:lang w:val="en-US"/>
        </w:rPr>
        <w:t xml:space="preserve">, the </w:t>
      </w:r>
      <w:r>
        <w:rPr>
          <w:rFonts w:ascii="Arial" w:hAnsi="Arial" w:cs="Arial"/>
          <w:sz w:val="24"/>
          <w:szCs w:val="24"/>
          <w:lang w:val="en-US"/>
        </w:rPr>
        <w:t>extent of the amendments to the pleadings</w:t>
      </w:r>
      <w:r w:rsidR="0055150C">
        <w:rPr>
          <w:rFonts w:ascii="Arial" w:hAnsi="Arial" w:cs="Arial"/>
          <w:sz w:val="24"/>
          <w:szCs w:val="24"/>
          <w:lang w:val="en-US"/>
        </w:rPr>
        <w:t xml:space="preserve"> and the interests of justice</w:t>
      </w:r>
      <w:r>
        <w:rPr>
          <w:rFonts w:ascii="Arial" w:hAnsi="Arial" w:cs="Arial"/>
          <w:sz w:val="24"/>
          <w:szCs w:val="24"/>
          <w:lang w:val="en-US"/>
        </w:rPr>
        <w:t>.</w:t>
      </w:r>
    </w:p>
    <w:p w:rsidR="00AC28B8" w:rsidRDefault="00AC28B8" w:rsidP="001B3544">
      <w:pPr>
        <w:spacing w:line="480" w:lineRule="auto"/>
        <w:ind w:left="720"/>
        <w:jc w:val="both"/>
        <w:rPr>
          <w:rFonts w:ascii="Arial" w:hAnsi="Arial" w:cs="Arial"/>
          <w:sz w:val="24"/>
          <w:szCs w:val="24"/>
          <w:lang w:val="en-US"/>
        </w:rPr>
      </w:pPr>
    </w:p>
    <w:p w:rsidR="00D714A6" w:rsidRDefault="00CB7701" w:rsidP="00F36708">
      <w:pPr>
        <w:spacing w:line="480" w:lineRule="auto"/>
        <w:jc w:val="both"/>
        <w:rPr>
          <w:rFonts w:ascii="Arial" w:hAnsi="Arial" w:cs="Arial"/>
          <w:sz w:val="24"/>
          <w:szCs w:val="24"/>
          <w:lang w:val="en-US"/>
        </w:rPr>
      </w:pPr>
      <w:r>
        <w:rPr>
          <w:rFonts w:ascii="Arial" w:hAnsi="Arial" w:cs="Arial"/>
          <w:sz w:val="24"/>
          <w:szCs w:val="24"/>
          <w:lang w:val="en-US"/>
        </w:rPr>
        <w:t>[4</w:t>
      </w:r>
      <w:r w:rsidR="00DC5B90">
        <w:rPr>
          <w:rFonts w:ascii="Arial" w:hAnsi="Arial" w:cs="Arial"/>
          <w:sz w:val="24"/>
          <w:szCs w:val="24"/>
          <w:lang w:val="en-US"/>
        </w:rPr>
        <w:t>4</w:t>
      </w:r>
      <w:r>
        <w:rPr>
          <w:rFonts w:ascii="Arial" w:hAnsi="Arial" w:cs="Arial"/>
          <w:sz w:val="24"/>
          <w:szCs w:val="24"/>
          <w:lang w:val="en-US"/>
        </w:rPr>
        <w:t>]</w:t>
      </w:r>
      <w:r>
        <w:rPr>
          <w:rFonts w:ascii="Arial" w:hAnsi="Arial" w:cs="Arial"/>
          <w:sz w:val="24"/>
          <w:szCs w:val="24"/>
          <w:lang w:val="en-US"/>
        </w:rPr>
        <w:tab/>
      </w:r>
      <w:r w:rsidR="00DC5B90">
        <w:rPr>
          <w:rFonts w:ascii="Arial" w:hAnsi="Arial" w:cs="Arial"/>
          <w:sz w:val="24"/>
          <w:szCs w:val="24"/>
          <w:lang w:val="en-US"/>
        </w:rPr>
        <w:t>D</w:t>
      </w:r>
      <w:r w:rsidR="00D714A6">
        <w:rPr>
          <w:rFonts w:ascii="Arial" w:hAnsi="Arial" w:cs="Arial"/>
          <w:sz w:val="24"/>
          <w:szCs w:val="24"/>
          <w:lang w:val="en-US"/>
        </w:rPr>
        <w:t xml:space="preserve">espite the </w:t>
      </w:r>
      <w:r w:rsidR="00074F4C">
        <w:rPr>
          <w:rFonts w:ascii="Arial" w:hAnsi="Arial" w:cs="Arial"/>
          <w:sz w:val="24"/>
          <w:szCs w:val="24"/>
          <w:lang w:val="en-US"/>
        </w:rPr>
        <w:t>shortcomings</w:t>
      </w:r>
      <w:r w:rsidR="00FB1712">
        <w:rPr>
          <w:rFonts w:ascii="Arial" w:hAnsi="Arial" w:cs="Arial"/>
          <w:sz w:val="24"/>
          <w:szCs w:val="24"/>
          <w:lang w:val="en-US"/>
        </w:rPr>
        <w:t xml:space="preserve"> in the explanation and absence of dates, it is nonetheless so that the </w:t>
      </w:r>
      <w:r w:rsidR="00D714A6">
        <w:rPr>
          <w:rFonts w:ascii="Arial" w:hAnsi="Arial" w:cs="Arial"/>
          <w:sz w:val="24"/>
          <w:szCs w:val="24"/>
          <w:lang w:val="en-US"/>
        </w:rPr>
        <w:t>plaintiff (through its</w:t>
      </w:r>
      <w:r w:rsidR="00663441">
        <w:rPr>
          <w:rFonts w:ascii="Arial" w:hAnsi="Arial" w:cs="Arial"/>
          <w:sz w:val="24"/>
          <w:szCs w:val="24"/>
          <w:lang w:val="en-US"/>
        </w:rPr>
        <w:t xml:space="preserve"> attorney</w:t>
      </w:r>
      <w:r w:rsidR="00D714A6">
        <w:rPr>
          <w:rFonts w:ascii="Arial" w:hAnsi="Arial" w:cs="Arial"/>
          <w:sz w:val="24"/>
          <w:szCs w:val="24"/>
          <w:lang w:val="en-US"/>
        </w:rPr>
        <w:t>), kept the defendant abreast of the difficulties</w:t>
      </w:r>
      <w:r w:rsidR="00663441">
        <w:rPr>
          <w:rFonts w:ascii="Arial" w:hAnsi="Arial" w:cs="Arial"/>
          <w:sz w:val="24"/>
          <w:szCs w:val="24"/>
          <w:lang w:val="en-US"/>
        </w:rPr>
        <w:t xml:space="preserve"> and challenges</w:t>
      </w:r>
      <w:r w:rsidR="00D714A6">
        <w:rPr>
          <w:rFonts w:ascii="Arial" w:hAnsi="Arial" w:cs="Arial"/>
          <w:sz w:val="24"/>
          <w:szCs w:val="24"/>
          <w:lang w:val="en-US"/>
        </w:rPr>
        <w:t xml:space="preserve"> it was experiencing </w:t>
      </w:r>
      <w:r w:rsidR="00074F4C">
        <w:rPr>
          <w:rFonts w:ascii="Arial" w:hAnsi="Arial" w:cs="Arial"/>
          <w:sz w:val="24"/>
          <w:szCs w:val="24"/>
          <w:lang w:val="en-US"/>
        </w:rPr>
        <w:t>in</w:t>
      </w:r>
      <w:r w:rsidR="00D714A6">
        <w:rPr>
          <w:rFonts w:ascii="Arial" w:hAnsi="Arial" w:cs="Arial"/>
          <w:sz w:val="24"/>
          <w:szCs w:val="24"/>
          <w:lang w:val="en-US"/>
        </w:rPr>
        <w:t xml:space="preserve"> obtaining </w:t>
      </w:r>
      <w:r w:rsidR="00074F4C">
        <w:rPr>
          <w:rFonts w:ascii="Arial" w:hAnsi="Arial" w:cs="Arial"/>
          <w:sz w:val="24"/>
          <w:szCs w:val="24"/>
          <w:lang w:val="en-US"/>
        </w:rPr>
        <w:t xml:space="preserve">instructions regarding the amendment. I gather from the correspondence between the parties’, that instructions were not finalized by 28 June 2022 as the </w:t>
      </w:r>
      <w:r w:rsidR="00663441">
        <w:rPr>
          <w:rFonts w:ascii="Arial" w:hAnsi="Arial" w:cs="Arial"/>
          <w:sz w:val="24"/>
          <w:szCs w:val="24"/>
          <w:lang w:val="en-US"/>
        </w:rPr>
        <w:t xml:space="preserve">plaintiff’s </w:t>
      </w:r>
      <w:r w:rsidR="00074F4C">
        <w:rPr>
          <w:rFonts w:ascii="Arial" w:hAnsi="Arial" w:cs="Arial"/>
          <w:sz w:val="24"/>
          <w:szCs w:val="24"/>
          <w:lang w:val="en-US"/>
        </w:rPr>
        <w:t xml:space="preserve">attorney was still awaiting same at 8 July 2022. A further, more detailed update followed on 18 July 2022, setting out that the delays were due to officials being on leave, awaiting instructions, the external engineer </w:t>
      </w:r>
      <w:r w:rsidR="00663441">
        <w:rPr>
          <w:rFonts w:ascii="Arial" w:hAnsi="Arial" w:cs="Arial"/>
          <w:sz w:val="24"/>
          <w:szCs w:val="24"/>
          <w:lang w:val="en-US"/>
        </w:rPr>
        <w:t>not</w:t>
      </w:r>
      <w:r w:rsidR="00074F4C">
        <w:rPr>
          <w:rFonts w:ascii="Arial" w:hAnsi="Arial" w:cs="Arial"/>
          <w:sz w:val="24"/>
          <w:szCs w:val="24"/>
          <w:lang w:val="en-US"/>
        </w:rPr>
        <w:t xml:space="preserve"> being readily available and historical information and documents not being readily </w:t>
      </w:r>
      <w:r w:rsidR="00663441">
        <w:rPr>
          <w:rFonts w:ascii="Arial" w:hAnsi="Arial" w:cs="Arial"/>
          <w:sz w:val="24"/>
          <w:szCs w:val="24"/>
          <w:lang w:val="en-US"/>
        </w:rPr>
        <w:t xml:space="preserve">accessible and </w:t>
      </w:r>
      <w:r w:rsidR="00074F4C">
        <w:rPr>
          <w:rFonts w:ascii="Arial" w:hAnsi="Arial" w:cs="Arial"/>
          <w:sz w:val="24"/>
          <w:szCs w:val="24"/>
          <w:lang w:val="en-US"/>
        </w:rPr>
        <w:t xml:space="preserve">available </w:t>
      </w:r>
      <w:r w:rsidR="00E52DCF">
        <w:rPr>
          <w:rFonts w:ascii="Arial" w:hAnsi="Arial" w:cs="Arial"/>
          <w:sz w:val="24"/>
          <w:szCs w:val="24"/>
          <w:lang w:val="en-US"/>
        </w:rPr>
        <w:t>in the City’s records.</w:t>
      </w:r>
    </w:p>
    <w:p w:rsidR="00E52DCF" w:rsidRDefault="00E52DCF" w:rsidP="00F36708">
      <w:pPr>
        <w:spacing w:line="480" w:lineRule="auto"/>
        <w:jc w:val="both"/>
        <w:rPr>
          <w:rFonts w:ascii="Arial" w:hAnsi="Arial" w:cs="Arial"/>
          <w:sz w:val="24"/>
          <w:szCs w:val="24"/>
          <w:lang w:val="en-US"/>
        </w:rPr>
      </w:pPr>
    </w:p>
    <w:p w:rsidR="00E52DCF" w:rsidRDefault="00AC28B8" w:rsidP="00F36708">
      <w:pPr>
        <w:spacing w:line="480" w:lineRule="auto"/>
        <w:jc w:val="both"/>
        <w:rPr>
          <w:rFonts w:ascii="Arial" w:hAnsi="Arial" w:cs="Arial"/>
          <w:sz w:val="24"/>
          <w:szCs w:val="24"/>
          <w:lang w:val="en-US"/>
        </w:rPr>
      </w:pPr>
      <w:r>
        <w:rPr>
          <w:rFonts w:ascii="Arial" w:hAnsi="Arial" w:cs="Arial"/>
          <w:sz w:val="24"/>
          <w:szCs w:val="24"/>
          <w:lang w:val="en-US"/>
        </w:rPr>
        <w:t>[4</w:t>
      </w:r>
      <w:r w:rsidR="00DC5B90">
        <w:rPr>
          <w:rFonts w:ascii="Arial" w:hAnsi="Arial" w:cs="Arial"/>
          <w:sz w:val="24"/>
          <w:szCs w:val="24"/>
          <w:lang w:val="en-US"/>
        </w:rPr>
        <w:t>5</w:t>
      </w:r>
      <w:r w:rsidR="00CB7701">
        <w:rPr>
          <w:rFonts w:ascii="Arial" w:hAnsi="Arial" w:cs="Arial"/>
          <w:sz w:val="24"/>
          <w:szCs w:val="24"/>
          <w:lang w:val="en-US"/>
        </w:rPr>
        <w:t>]</w:t>
      </w:r>
      <w:r w:rsidR="00CB7701">
        <w:rPr>
          <w:rFonts w:ascii="Arial" w:hAnsi="Arial" w:cs="Arial"/>
          <w:sz w:val="24"/>
          <w:szCs w:val="24"/>
          <w:lang w:val="en-US"/>
        </w:rPr>
        <w:tab/>
      </w:r>
      <w:r w:rsidR="00E52DCF">
        <w:rPr>
          <w:rFonts w:ascii="Arial" w:hAnsi="Arial" w:cs="Arial"/>
          <w:sz w:val="24"/>
          <w:szCs w:val="24"/>
          <w:lang w:val="en-US"/>
        </w:rPr>
        <w:t xml:space="preserve">In my view, the plaintiff’s explanation regarding incomplete information, the delay in </w:t>
      </w:r>
      <w:r w:rsidR="001B3544">
        <w:rPr>
          <w:rFonts w:ascii="Arial" w:hAnsi="Arial" w:cs="Arial"/>
          <w:sz w:val="24"/>
          <w:szCs w:val="24"/>
          <w:lang w:val="en-US"/>
        </w:rPr>
        <w:t>obtaining</w:t>
      </w:r>
      <w:r w:rsidR="00E52DCF">
        <w:rPr>
          <w:rFonts w:ascii="Arial" w:hAnsi="Arial" w:cs="Arial"/>
          <w:sz w:val="24"/>
          <w:szCs w:val="24"/>
          <w:lang w:val="en-US"/>
        </w:rPr>
        <w:t xml:space="preserve"> </w:t>
      </w:r>
      <w:r w:rsidR="001B3544">
        <w:rPr>
          <w:rFonts w:ascii="Arial" w:hAnsi="Arial" w:cs="Arial"/>
          <w:sz w:val="24"/>
          <w:szCs w:val="24"/>
          <w:lang w:val="en-US"/>
        </w:rPr>
        <w:t>documents</w:t>
      </w:r>
      <w:r w:rsidR="00E52DCF">
        <w:rPr>
          <w:rFonts w:ascii="Arial" w:hAnsi="Arial" w:cs="Arial"/>
          <w:sz w:val="24"/>
          <w:szCs w:val="24"/>
          <w:lang w:val="en-US"/>
        </w:rPr>
        <w:t xml:space="preserve"> and instructions, </w:t>
      </w:r>
      <w:r w:rsidR="00FB1712">
        <w:rPr>
          <w:rFonts w:ascii="Arial" w:hAnsi="Arial" w:cs="Arial"/>
          <w:sz w:val="24"/>
          <w:szCs w:val="24"/>
          <w:lang w:val="en-US"/>
        </w:rPr>
        <w:t xml:space="preserve">and the </w:t>
      </w:r>
      <w:r w:rsidR="00E52DCF">
        <w:rPr>
          <w:rFonts w:ascii="Arial" w:hAnsi="Arial" w:cs="Arial"/>
          <w:sz w:val="24"/>
          <w:szCs w:val="24"/>
          <w:lang w:val="en-US"/>
        </w:rPr>
        <w:t>difficult</w:t>
      </w:r>
      <w:r w:rsidR="00FB1712">
        <w:rPr>
          <w:rFonts w:ascii="Arial" w:hAnsi="Arial" w:cs="Arial"/>
          <w:sz w:val="24"/>
          <w:szCs w:val="24"/>
          <w:lang w:val="en-US"/>
        </w:rPr>
        <w:t>ies experienced in securing consultations with the external engineer,</w:t>
      </w:r>
      <w:r w:rsidR="00E52DCF">
        <w:rPr>
          <w:rFonts w:ascii="Arial" w:hAnsi="Arial" w:cs="Arial"/>
          <w:sz w:val="24"/>
          <w:szCs w:val="24"/>
          <w:lang w:val="en-US"/>
        </w:rPr>
        <w:t xml:space="preserve"> </w:t>
      </w:r>
      <w:r w:rsidR="00663441">
        <w:rPr>
          <w:rFonts w:ascii="Arial" w:hAnsi="Arial" w:cs="Arial"/>
          <w:sz w:val="24"/>
          <w:szCs w:val="24"/>
          <w:lang w:val="en-US"/>
        </w:rPr>
        <w:t xml:space="preserve">is at the very least </w:t>
      </w:r>
      <w:r w:rsidR="00E52DCF">
        <w:rPr>
          <w:rFonts w:ascii="Arial" w:hAnsi="Arial" w:cs="Arial"/>
          <w:sz w:val="24"/>
          <w:szCs w:val="24"/>
          <w:lang w:val="en-US"/>
        </w:rPr>
        <w:t>sufficiently full</w:t>
      </w:r>
      <w:r w:rsidR="00DC5B90">
        <w:rPr>
          <w:rFonts w:ascii="Arial" w:hAnsi="Arial" w:cs="Arial"/>
          <w:sz w:val="24"/>
          <w:szCs w:val="24"/>
          <w:lang w:val="en-US"/>
        </w:rPr>
        <w:t xml:space="preserve">. </w:t>
      </w:r>
      <w:r w:rsidR="00FB1712">
        <w:rPr>
          <w:rFonts w:ascii="Arial" w:hAnsi="Arial" w:cs="Arial"/>
          <w:sz w:val="24"/>
          <w:szCs w:val="24"/>
          <w:lang w:val="en-US"/>
        </w:rPr>
        <w:t xml:space="preserve">Furthermore, the </w:t>
      </w:r>
      <w:r w:rsidR="00DC5B90">
        <w:rPr>
          <w:rFonts w:ascii="Arial" w:hAnsi="Arial" w:cs="Arial"/>
          <w:sz w:val="24"/>
          <w:szCs w:val="24"/>
          <w:lang w:val="en-US"/>
        </w:rPr>
        <w:t xml:space="preserve">plaintiff was required to </w:t>
      </w:r>
      <w:r w:rsidR="00E52DCF">
        <w:rPr>
          <w:rFonts w:ascii="Arial" w:hAnsi="Arial" w:cs="Arial"/>
          <w:sz w:val="24"/>
          <w:szCs w:val="24"/>
          <w:lang w:val="en-US"/>
        </w:rPr>
        <w:t xml:space="preserve">effect substantial changes to its </w:t>
      </w:r>
      <w:r w:rsidR="001B3544">
        <w:rPr>
          <w:rFonts w:ascii="Arial" w:hAnsi="Arial" w:cs="Arial"/>
          <w:sz w:val="24"/>
          <w:szCs w:val="24"/>
          <w:lang w:val="en-US"/>
        </w:rPr>
        <w:t>pleadings</w:t>
      </w:r>
      <w:r w:rsidR="00E52DCF">
        <w:rPr>
          <w:rFonts w:ascii="Arial" w:hAnsi="Arial" w:cs="Arial"/>
          <w:sz w:val="24"/>
          <w:szCs w:val="24"/>
          <w:lang w:val="en-US"/>
        </w:rPr>
        <w:t xml:space="preserve"> and Annexures in light of the findings in the </w:t>
      </w:r>
      <w:r w:rsidR="001B3544">
        <w:rPr>
          <w:rFonts w:ascii="Arial" w:hAnsi="Arial" w:cs="Arial"/>
          <w:sz w:val="24"/>
          <w:szCs w:val="24"/>
          <w:lang w:val="en-US"/>
        </w:rPr>
        <w:t>exception</w:t>
      </w:r>
      <w:r w:rsidR="00E52DCF">
        <w:rPr>
          <w:rFonts w:ascii="Arial" w:hAnsi="Arial" w:cs="Arial"/>
          <w:sz w:val="24"/>
          <w:szCs w:val="24"/>
          <w:lang w:val="en-US"/>
        </w:rPr>
        <w:t xml:space="preserve"> judgment</w:t>
      </w:r>
      <w:r w:rsidR="00FB1712">
        <w:rPr>
          <w:rFonts w:ascii="Arial" w:hAnsi="Arial" w:cs="Arial"/>
          <w:sz w:val="24"/>
          <w:szCs w:val="24"/>
          <w:lang w:val="en-US"/>
        </w:rPr>
        <w:t xml:space="preserve"> and this is explained in the founding affidavit to the condonation application</w:t>
      </w:r>
      <w:r w:rsidR="00E52DCF">
        <w:rPr>
          <w:rFonts w:ascii="Arial" w:hAnsi="Arial" w:cs="Arial"/>
          <w:sz w:val="24"/>
          <w:szCs w:val="24"/>
          <w:lang w:val="en-US"/>
        </w:rPr>
        <w:t xml:space="preserve">. </w:t>
      </w:r>
      <w:r w:rsidR="00FB1712">
        <w:rPr>
          <w:rFonts w:ascii="Arial" w:hAnsi="Arial" w:cs="Arial"/>
          <w:sz w:val="24"/>
          <w:szCs w:val="24"/>
          <w:lang w:val="en-US"/>
        </w:rPr>
        <w:t xml:space="preserve">Given the complexity of the claim and the parties’ agreement relied upon by the plaintiff, it would be more than reasonable to expect that the City would need to </w:t>
      </w:r>
      <w:r w:rsidR="00E52DCF">
        <w:rPr>
          <w:rFonts w:ascii="Arial" w:hAnsi="Arial" w:cs="Arial"/>
          <w:sz w:val="24"/>
          <w:szCs w:val="24"/>
          <w:lang w:val="en-US"/>
        </w:rPr>
        <w:t>consult</w:t>
      </w:r>
      <w:r w:rsidR="00FB1712">
        <w:rPr>
          <w:rFonts w:ascii="Arial" w:hAnsi="Arial" w:cs="Arial"/>
          <w:sz w:val="24"/>
          <w:szCs w:val="24"/>
          <w:lang w:val="en-US"/>
        </w:rPr>
        <w:t xml:space="preserve"> with </w:t>
      </w:r>
      <w:r w:rsidR="00E52DCF">
        <w:rPr>
          <w:rFonts w:ascii="Arial" w:hAnsi="Arial" w:cs="Arial"/>
          <w:sz w:val="24"/>
          <w:szCs w:val="24"/>
          <w:lang w:val="en-US"/>
        </w:rPr>
        <w:t>various person</w:t>
      </w:r>
      <w:r w:rsidR="00663441">
        <w:rPr>
          <w:rFonts w:ascii="Arial" w:hAnsi="Arial" w:cs="Arial"/>
          <w:sz w:val="24"/>
          <w:szCs w:val="24"/>
          <w:lang w:val="en-US"/>
        </w:rPr>
        <w:t>nel</w:t>
      </w:r>
      <w:r w:rsidR="00E52DCF">
        <w:rPr>
          <w:rFonts w:ascii="Arial" w:hAnsi="Arial" w:cs="Arial"/>
          <w:sz w:val="24"/>
          <w:szCs w:val="24"/>
          <w:lang w:val="en-US"/>
        </w:rPr>
        <w:t xml:space="preserve"> </w:t>
      </w:r>
      <w:r w:rsidR="00FB1712">
        <w:rPr>
          <w:rFonts w:ascii="Arial" w:hAnsi="Arial" w:cs="Arial"/>
          <w:sz w:val="24"/>
          <w:szCs w:val="24"/>
          <w:lang w:val="en-US"/>
        </w:rPr>
        <w:t>a</w:t>
      </w:r>
      <w:r w:rsidR="00E52DCF">
        <w:rPr>
          <w:rFonts w:ascii="Arial" w:hAnsi="Arial" w:cs="Arial"/>
          <w:sz w:val="24"/>
          <w:szCs w:val="24"/>
          <w:lang w:val="en-US"/>
        </w:rPr>
        <w:t xml:space="preserve">nd its external engineer </w:t>
      </w:r>
      <w:r w:rsidR="00FB1712">
        <w:rPr>
          <w:rFonts w:ascii="Arial" w:hAnsi="Arial" w:cs="Arial"/>
          <w:sz w:val="24"/>
          <w:szCs w:val="24"/>
          <w:lang w:val="en-US"/>
        </w:rPr>
        <w:t xml:space="preserve">in order to consider which parts of its claim required attention and subsequent changes. Having regard to the explanation tendered, I hold the view that </w:t>
      </w:r>
      <w:r w:rsidR="003C0DAE">
        <w:rPr>
          <w:rFonts w:ascii="Arial" w:hAnsi="Arial" w:cs="Arial"/>
          <w:sz w:val="24"/>
          <w:szCs w:val="24"/>
          <w:lang w:val="en-US"/>
        </w:rPr>
        <w:t>t</w:t>
      </w:r>
      <w:r w:rsidR="00DC5B90">
        <w:rPr>
          <w:rFonts w:ascii="Arial" w:hAnsi="Arial" w:cs="Arial"/>
          <w:sz w:val="24"/>
          <w:szCs w:val="24"/>
          <w:lang w:val="en-US"/>
        </w:rPr>
        <w:t xml:space="preserve">he extent of the obstacles </w:t>
      </w:r>
      <w:r w:rsidR="00FB1712">
        <w:rPr>
          <w:rFonts w:ascii="Arial" w:hAnsi="Arial" w:cs="Arial"/>
          <w:sz w:val="24"/>
          <w:szCs w:val="24"/>
          <w:lang w:val="en-US"/>
        </w:rPr>
        <w:t>faced by the plaintiff</w:t>
      </w:r>
      <w:r w:rsidR="003C0DAE">
        <w:rPr>
          <w:rFonts w:ascii="Arial" w:hAnsi="Arial" w:cs="Arial"/>
          <w:sz w:val="24"/>
          <w:szCs w:val="24"/>
          <w:lang w:val="en-US"/>
        </w:rPr>
        <w:t xml:space="preserve">, </w:t>
      </w:r>
      <w:r w:rsidR="00DC5B90">
        <w:rPr>
          <w:rFonts w:ascii="Arial" w:hAnsi="Arial" w:cs="Arial"/>
          <w:sz w:val="24"/>
          <w:szCs w:val="24"/>
          <w:lang w:val="en-US"/>
        </w:rPr>
        <w:t>which led to the delay and non-compliance with paragraph 43.2</w:t>
      </w:r>
      <w:r w:rsidR="003C0DAE">
        <w:rPr>
          <w:rFonts w:ascii="Arial" w:hAnsi="Arial" w:cs="Arial"/>
          <w:sz w:val="24"/>
          <w:szCs w:val="24"/>
          <w:lang w:val="en-US"/>
        </w:rPr>
        <w:t xml:space="preserve">, are clearly described and with sufficient detail to give me an idea of the plaintiff’s challenges, even if I discount the reference to unnamed officials being on leave.   </w:t>
      </w:r>
    </w:p>
    <w:p w:rsidR="00E52DCF" w:rsidRDefault="00CB7701" w:rsidP="00F36708">
      <w:pPr>
        <w:spacing w:line="480" w:lineRule="auto"/>
        <w:jc w:val="both"/>
        <w:rPr>
          <w:rFonts w:ascii="Arial" w:hAnsi="Arial" w:cs="Arial"/>
          <w:sz w:val="24"/>
          <w:szCs w:val="24"/>
          <w:lang w:val="en-US"/>
        </w:rPr>
      </w:pPr>
      <w:r>
        <w:rPr>
          <w:rFonts w:ascii="Arial" w:hAnsi="Arial" w:cs="Arial"/>
          <w:sz w:val="24"/>
          <w:szCs w:val="24"/>
          <w:lang w:val="en-US"/>
        </w:rPr>
        <w:t>[4</w:t>
      </w:r>
      <w:r w:rsidR="00DC5B90">
        <w:rPr>
          <w:rFonts w:ascii="Arial" w:hAnsi="Arial" w:cs="Arial"/>
          <w:sz w:val="24"/>
          <w:szCs w:val="24"/>
          <w:lang w:val="en-US"/>
        </w:rPr>
        <w:t>6</w:t>
      </w:r>
      <w:r>
        <w:rPr>
          <w:rFonts w:ascii="Arial" w:hAnsi="Arial" w:cs="Arial"/>
          <w:sz w:val="24"/>
          <w:szCs w:val="24"/>
          <w:lang w:val="en-US"/>
        </w:rPr>
        <w:t>]</w:t>
      </w:r>
      <w:r>
        <w:rPr>
          <w:rFonts w:ascii="Arial" w:hAnsi="Arial" w:cs="Arial"/>
          <w:sz w:val="24"/>
          <w:szCs w:val="24"/>
          <w:lang w:val="en-US"/>
        </w:rPr>
        <w:tab/>
      </w:r>
      <w:r w:rsidR="00E52DCF">
        <w:rPr>
          <w:rFonts w:ascii="Arial" w:hAnsi="Arial" w:cs="Arial"/>
          <w:sz w:val="24"/>
          <w:szCs w:val="24"/>
          <w:lang w:val="en-US"/>
        </w:rPr>
        <w:t xml:space="preserve">While it </w:t>
      </w:r>
      <w:r w:rsidR="001B3544">
        <w:rPr>
          <w:rFonts w:ascii="Arial" w:hAnsi="Arial" w:cs="Arial"/>
          <w:sz w:val="24"/>
          <w:szCs w:val="24"/>
          <w:lang w:val="en-US"/>
        </w:rPr>
        <w:t>was</w:t>
      </w:r>
      <w:r w:rsidR="00E52DCF">
        <w:rPr>
          <w:rFonts w:ascii="Arial" w:hAnsi="Arial" w:cs="Arial"/>
          <w:sz w:val="24"/>
          <w:szCs w:val="24"/>
          <w:lang w:val="en-US"/>
        </w:rPr>
        <w:t xml:space="preserve"> been argued that the </w:t>
      </w:r>
      <w:r w:rsidR="001B3544">
        <w:rPr>
          <w:rFonts w:ascii="Arial" w:hAnsi="Arial" w:cs="Arial"/>
          <w:sz w:val="24"/>
          <w:szCs w:val="24"/>
          <w:lang w:val="en-US"/>
        </w:rPr>
        <w:t>plaintiff</w:t>
      </w:r>
      <w:r w:rsidR="00E52DCF">
        <w:rPr>
          <w:rFonts w:ascii="Arial" w:hAnsi="Arial" w:cs="Arial"/>
          <w:sz w:val="24"/>
          <w:szCs w:val="24"/>
          <w:lang w:val="en-US"/>
        </w:rPr>
        <w:t xml:space="preserve"> has not provided a </w:t>
      </w:r>
      <w:r w:rsidR="003C0DAE">
        <w:rPr>
          <w:rFonts w:ascii="Arial" w:hAnsi="Arial" w:cs="Arial"/>
          <w:sz w:val="24"/>
          <w:szCs w:val="24"/>
          <w:lang w:val="en-US"/>
        </w:rPr>
        <w:t xml:space="preserve">day-by-day  </w:t>
      </w:r>
      <w:r w:rsidR="00663441">
        <w:rPr>
          <w:rFonts w:ascii="Arial" w:hAnsi="Arial" w:cs="Arial"/>
          <w:sz w:val="24"/>
          <w:szCs w:val="24"/>
          <w:lang w:val="en-US"/>
        </w:rPr>
        <w:t xml:space="preserve"> </w:t>
      </w:r>
      <w:r w:rsidR="00E52DCF">
        <w:rPr>
          <w:rFonts w:ascii="Arial" w:hAnsi="Arial" w:cs="Arial"/>
          <w:sz w:val="24"/>
          <w:szCs w:val="24"/>
          <w:lang w:val="en-US"/>
        </w:rPr>
        <w:t xml:space="preserve">account of </w:t>
      </w:r>
      <w:r w:rsidR="003C0DAE">
        <w:rPr>
          <w:rFonts w:ascii="Arial" w:hAnsi="Arial" w:cs="Arial"/>
          <w:sz w:val="24"/>
          <w:szCs w:val="24"/>
          <w:lang w:val="en-US"/>
        </w:rPr>
        <w:t xml:space="preserve">its </w:t>
      </w:r>
      <w:r w:rsidR="00E52DCF">
        <w:rPr>
          <w:rFonts w:ascii="Arial" w:hAnsi="Arial" w:cs="Arial"/>
          <w:sz w:val="24"/>
          <w:szCs w:val="24"/>
          <w:lang w:val="en-US"/>
        </w:rPr>
        <w:t xml:space="preserve">delay subsequent to the </w:t>
      </w:r>
      <w:r w:rsidR="00663441">
        <w:rPr>
          <w:rFonts w:ascii="Arial" w:hAnsi="Arial" w:cs="Arial"/>
          <w:sz w:val="24"/>
          <w:szCs w:val="24"/>
          <w:lang w:val="en-US"/>
        </w:rPr>
        <w:t xml:space="preserve">granting of the </w:t>
      </w:r>
      <w:r w:rsidR="00E52DCF">
        <w:rPr>
          <w:rFonts w:ascii="Arial" w:hAnsi="Arial" w:cs="Arial"/>
          <w:sz w:val="24"/>
          <w:szCs w:val="24"/>
          <w:lang w:val="en-US"/>
        </w:rPr>
        <w:t>order</w:t>
      </w:r>
      <w:r w:rsidR="003C0DAE">
        <w:rPr>
          <w:rFonts w:ascii="Arial" w:hAnsi="Arial" w:cs="Arial"/>
          <w:sz w:val="24"/>
          <w:szCs w:val="24"/>
          <w:lang w:val="en-US"/>
        </w:rPr>
        <w:t xml:space="preserve"> as referred to in </w:t>
      </w:r>
      <w:r w:rsidR="003C0DAE" w:rsidRPr="003C0DAE">
        <w:rPr>
          <w:rFonts w:ascii="Arial" w:hAnsi="Arial" w:cs="Arial"/>
          <w:b/>
          <w:sz w:val="24"/>
          <w:szCs w:val="24"/>
          <w:u w:val="single"/>
          <w:lang w:val="en-US"/>
        </w:rPr>
        <w:t>Von Abo</w:t>
      </w:r>
      <w:r w:rsidR="003C0DAE">
        <w:rPr>
          <w:rStyle w:val="FootnoteReference"/>
          <w:rFonts w:ascii="Arial" w:hAnsi="Arial" w:cs="Arial"/>
          <w:b/>
          <w:sz w:val="24"/>
          <w:szCs w:val="24"/>
          <w:u w:val="single"/>
          <w:lang w:val="en-US"/>
        </w:rPr>
        <w:footnoteReference w:id="22"/>
      </w:r>
      <w:r w:rsidR="003C0DAE">
        <w:rPr>
          <w:rFonts w:ascii="Arial" w:hAnsi="Arial" w:cs="Arial"/>
          <w:sz w:val="24"/>
          <w:szCs w:val="24"/>
          <w:lang w:val="en-US"/>
        </w:rPr>
        <w:t xml:space="preserve"> </w:t>
      </w:r>
      <w:r w:rsidR="003C0DAE" w:rsidRPr="003C0DAE">
        <w:rPr>
          <w:rFonts w:ascii="Arial" w:hAnsi="Arial" w:cs="Arial"/>
          <w:i/>
          <w:sz w:val="24"/>
          <w:szCs w:val="24"/>
          <w:lang w:val="en-US"/>
        </w:rPr>
        <w:t>(supra)</w:t>
      </w:r>
      <w:r w:rsidR="00E52DCF">
        <w:rPr>
          <w:rFonts w:ascii="Arial" w:hAnsi="Arial" w:cs="Arial"/>
          <w:sz w:val="24"/>
          <w:szCs w:val="24"/>
          <w:lang w:val="en-US"/>
        </w:rPr>
        <w:t>, and not withstanding</w:t>
      </w:r>
      <w:r w:rsidR="003C0DAE">
        <w:rPr>
          <w:rFonts w:ascii="Arial" w:hAnsi="Arial" w:cs="Arial"/>
          <w:sz w:val="24"/>
          <w:szCs w:val="24"/>
          <w:lang w:val="en-US"/>
        </w:rPr>
        <w:t xml:space="preserve"> such </w:t>
      </w:r>
      <w:r w:rsidR="00663441">
        <w:rPr>
          <w:rFonts w:ascii="Arial" w:hAnsi="Arial" w:cs="Arial"/>
          <w:sz w:val="24"/>
          <w:szCs w:val="24"/>
          <w:lang w:val="en-US"/>
        </w:rPr>
        <w:t xml:space="preserve">justified </w:t>
      </w:r>
      <w:r w:rsidR="00E52DCF">
        <w:rPr>
          <w:rFonts w:ascii="Arial" w:hAnsi="Arial" w:cs="Arial"/>
          <w:sz w:val="24"/>
          <w:szCs w:val="24"/>
          <w:lang w:val="en-US"/>
        </w:rPr>
        <w:t>criticism, what is provided is certainly a reasonable explanation for delay. Absent a day-</w:t>
      </w:r>
      <w:r w:rsidR="001B3544">
        <w:rPr>
          <w:rFonts w:ascii="Arial" w:hAnsi="Arial" w:cs="Arial"/>
          <w:sz w:val="24"/>
          <w:szCs w:val="24"/>
          <w:lang w:val="en-US"/>
        </w:rPr>
        <w:t>by day</w:t>
      </w:r>
      <w:r w:rsidR="00E52DCF">
        <w:rPr>
          <w:rFonts w:ascii="Arial" w:hAnsi="Arial" w:cs="Arial"/>
          <w:sz w:val="24"/>
          <w:szCs w:val="24"/>
          <w:lang w:val="en-US"/>
        </w:rPr>
        <w:t xml:space="preserve"> explanation for </w:t>
      </w:r>
      <w:r w:rsidR="00663441">
        <w:rPr>
          <w:rFonts w:ascii="Arial" w:hAnsi="Arial" w:cs="Arial"/>
          <w:sz w:val="24"/>
          <w:szCs w:val="24"/>
          <w:lang w:val="en-US"/>
        </w:rPr>
        <w:t>such</w:t>
      </w:r>
      <w:r w:rsidR="00E52DCF">
        <w:rPr>
          <w:rFonts w:ascii="Arial" w:hAnsi="Arial" w:cs="Arial"/>
          <w:sz w:val="24"/>
          <w:szCs w:val="24"/>
          <w:lang w:val="en-US"/>
        </w:rPr>
        <w:t xml:space="preserve"> </w:t>
      </w:r>
      <w:r w:rsidR="001B3544">
        <w:rPr>
          <w:rFonts w:ascii="Arial" w:hAnsi="Arial" w:cs="Arial"/>
          <w:sz w:val="24"/>
          <w:szCs w:val="24"/>
          <w:lang w:val="en-US"/>
        </w:rPr>
        <w:t>delay</w:t>
      </w:r>
      <w:r w:rsidR="00663441">
        <w:rPr>
          <w:rFonts w:ascii="Arial" w:hAnsi="Arial" w:cs="Arial"/>
          <w:sz w:val="24"/>
          <w:szCs w:val="24"/>
          <w:lang w:val="en-US"/>
        </w:rPr>
        <w:t>,</w:t>
      </w:r>
      <w:r w:rsidR="00E52DCF">
        <w:rPr>
          <w:rFonts w:ascii="Arial" w:hAnsi="Arial" w:cs="Arial"/>
          <w:sz w:val="24"/>
          <w:szCs w:val="24"/>
          <w:lang w:val="en-US"/>
        </w:rPr>
        <w:t xml:space="preserve"> what I do see is an explanation in the affidavit</w:t>
      </w:r>
      <w:r w:rsidR="00663441">
        <w:rPr>
          <w:rFonts w:ascii="Arial" w:hAnsi="Arial" w:cs="Arial"/>
          <w:sz w:val="24"/>
          <w:szCs w:val="24"/>
          <w:lang w:val="en-US"/>
        </w:rPr>
        <w:t>,</w:t>
      </w:r>
      <w:r w:rsidR="00E52DCF">
        <w:rPr>
          <w:rFonts w:ascii="Arial" w:hAnsi="Arial" w:cs="Arial"/>
          <w:sz w:val="24"/>
          <w:szCs w:val="24"/>
          <w:lang w:val="en-US"/>
        </w:rPr>
        <w:t xml:space="preserve"> </w:t>
      </w:r>
      <w:r w:rsidR="003C0DAE">
        <w:rPr>
          <w:rFonts w:ascii="Arial" w:hAnsi="Arial" w:cs="Arial"/>
          <w:sz w:val="24"/>
          <w:szCs w:val="24"/>
          <w:lang w:val="en-US"/>
        </w:rPr>
        <w:t xml:space="preserve">confirmed </w:t>
      </w:r>
      <w:r w:rsidR="00E52DCF">
        <w:rPr>
          <w:rFonts w:ascii="Arial" w:hAnsi="Arial" w:cs="Arial"/>
          <w:sz w:val="24"/>
          <w:szCs w:val="24"/>
          <w:lang w:val="en-US"/>
        </w:rPr>
        <w:t xml:space="preserve">by the </w:t>
      </w:r>
      <w:r w:rsidR="003C0DAE">
        <w:rPr>
          <w:rFonts w:ascii="Arial" w:hAnsi="Arial" w:cs="Arial"/>
          <w:sz w:val="24"/>
          <w:szCs w:val="24"/>
          <w:lang w:val="en-US"/>
        </w:rPr>
        <w:t xml:space="preserve">attached </w:t>
      </w:r>
      <w:r w:rsidR="00663441">
        <w:rPr>
          <w:rFonts w:ascii="Arial" w:hAnsi="Arial" w:cs="Arial"/>
          <w:sz w:val="24"/>
          <w:szCs w:val="24"/>
          <w:lang w:val="en-US"/>
        </w:rPr>
        <w:t>correspondence</w:t>
      </w:r>
      <w:r w:rsidR="00E52DCF">
        <w:rPr>
          <w:rFonts w:ascii="Arial" w:hAnsi="Arial" w:cs="Arial"/>
          <w:sz w:val="24"/>
          <w:szCs w:val="24"/>
          <w:lang w:val="en-US"/>
        </w:rPr>
        <w:t>, which supports the view that not only was the plaintiff experiencing difficult</w:t>
      </w:r>
      <w:r w:rsidR="003C0DAE">
        <w:rPr>
          <w:rFonts w:ascii="Arial" w:hAnsi="Arial" w:cs="Arial"/>
          <w:sz w:val="24"/>
          <w:szCs w:val="24"/>
          <w:lang w:val="en-US"/>
        </w:rPr>
        <w:t>ies</w:t>
      </w:r>
      <w:r w:rsidR="00E52DCF">
        <w:rPr>
          <w:rFonts w:ascii="Arial" w:hAnsi="Arial" w:cs="Arial"/>
          <w:sz w:val="24"/>
          <w:szCs w:val="24"/>
          <w:lang w:val="en-US"/>
        </w:rPr>
        <w:t xml:space="preserve"> </w:t>
      </w:r>
      <w:r w:rsidR="002C4CD3">
        <w:rPr>
          <w:rFonts w:ascii="Arial" w:hAnsi="Arial" w:cs="Arial"/>
          <w:sz w:val="24"/>
          <w:szCs w:val="24"/>
          <w:lang w:val="en-US"/>
        </w:rPr>
        <w:t>in</w:t>
      </w:r>
      <w:r w:rsidR="00E52DCF">
        <w:rPr>
          <w:rFonts w:ascii="Arial" w:hAnsi="Arial" w:cs="Arial"/>
          <w:sz w:val="24"/>
          <w:szCs w:val="24"/>
          <w:lang w:val="en-US"/>
        </w:rPr>
        <w:t xml:space="preserve"> </w:t>
      </w:r>
      <w:r w:rsidR="002C4CD3">
        <w:rPr>
          <w:rFonts w:ascii="Arial" w:hAnsi="Arial" w:cs="Arial"/>
          <w:sz w:val="24"/>
          <w:szCs w:val="24"/>
          <w:lang w:val="en-US"/>
        </w:rPr>
        <w:t>obtaining</w:t>
      </w:r>
      <w:r w:rsidR="00E52DCF">
        <w:rPr>
          <w:rFonts w:ascii="Arial" w:hAnsi="Arial" w:cs="Arial"/>
          <w:sz w:val="24"/>
          <w:szCs w:val="24"/>
          <w:lang w:val="en-US"/>
        </w:rPr>
        <w:t xml:space="preserve"> </w:t>
      </w:r>
      <w:r w:rsidR="002C4CD3">
        <w:rPr>
          <w:rFonts w:ascii="Arial" w:hAnsi="Arial" w:cs="Arial"/>
          <w:sz w:val="24"/>
          <w:szCs w:val="24"/>
          <w:lang w:val="en-US"/>
        </w:rPr>
        <w:t>instructions</w:t>
      </w:r>
      <w:r w:rsidR="00E52DCF">
        <w:rPr>
          <w:rFonts w:ascii="Arial" w:hAnsi="Arial" w:cs="Arial"/>
          <w:sz w:val="24"/>
          <w:szCs w:val="24"/>
          <w:lang w:val="en-US"/>
        </w:rPr>
        <w:t xml:space="preserve">, consulting and procuring information and documents, </w:t>
      </w:r>
      <w:r w:rsidR="00663441">
        <w:rPr>
          <w:rFonts w:ascii="Arial" w:hAnsi="Arial" w:cs="Arial"/>
          <w:sz w:val="24"/>
          <w:szCs w:val="24"/>
          <w:lang w:val="en-US"/>
        </w:rPr>
        <w:t xml:space="preserve">but </w:t>
      </w:r>
      <w:r w:rsidR="00E52DCF">
        <w:rPr>
          <w:rFonts w:ascii="Arial" w:hAnsi="Arial" w:cs="Arial"/>
          <w:sz w:val="24"/>
          <w:szCs w:val="24"/>
          <w:lang w:val="en-US"/>
        </w:rPr>
        <w:t xml:space="preserve">it needed to seriously consider the findings related to the shortcomings in </w:t>
      </w:r>
      <w:r w:rsidR="00DC5B90">
        <w:rPr>
          <w:rFonts w:ascii="Arial" w:hAnsi="Arial" w:cs="Arial"/>
          <w:sz w:val="24"/>
          <w:szCs w:val="24"/>
          <w:lang w:val="en-US"/>
        </w:rPr>
        <w:t>its</w:t>
      </w:r>
      <w:r w:rsidR="00E52DCF">
        <w:rPr>
          <w:rFonts w:ascii="Arial" w:hAnsi="Arial" w:cs="Arial"/>
          <w:sz w:val="24"/>
          <w:szCs w:val="24"/>
          <w:lang w:val="en-US"/>
        </w:rPr>
        <w:t xml:space="preserve"> </w:t>
      </w:r>
      <w:r w:rsidR="002C4CD3">
        <w:rPr>
          <w:rFonts w:ascii="Arial" w:hAnsi="Arial" w:cs="Arial"/>
          <w:sz w:val="24"/>
          <w:szCs w:val="24"/>
          <w:lang w:val="en-US"/>
        </w:rPr>
        <w:t>pleadings</w:t>
      </w:r>
      <w:r w:rsidR="00E52DCF">
        <w:rPr>
          <w:rFonts w:ascii="Arial" w:hAnsi="Arial" w:cs="Arial"/>
          <w:sz w:val="24"/>
          <w:szCs w:val="24"/>
          <w:lang w:val="en-US"/>
        </w:rPr>
        <w:t>, a</w:t>
      </w:r>
      <w:r w:rsidR="00663441">
        <w:rPr>
          <w:rFonts w:ascii="Arial" w:hAnsi="Arial" w:cs="Arial"/>
          <w:sz w:val="24"/>
          <w:szCs w:val="24"/>
          <w:lang w:val="en-US"/>
        </w:rPr>
        <w:t>n</w:t>
      </w:r>
      <w:r w:rsidR="00E52DCF">
        <w:rPr>
          <w:rFonts w:ascii="Arial" w:hAnsi="Arial" w:cs="Arial"/>
          <w:sz w:val="24"/>
          <w:szCs w:val="24"/>
          <w:lang w:val="en-US"/>
        </w:rPr>
        <w:t xml:space="preserve">d </w:t>
      </w:r>
      <w:r w:rsidR="00663441">
        <w:rPr>
          <w:rFonts w:ascii="Arial" w:hAnsi="Arial" w:cs="Arial"/>
          <w:sz w:val="24"/>
          <w:szCs w:val="24"/>
          <w:lang w:val="en-US"/>
        </w:rPr>
        <w:t xml:space="preserve">had to </w:t>
      </w:r>
      <w:r w:rsidR="00E52DCF">
        <w:rPr>
          <w:rFonts w:ascii="Arial" w:hAnsi="Arial" w:cs="Arial"/>
          <w:sz w:val="24"/>
          <w:szCs w:val="24"/>
          <w:lang w:val="en-US"/>
        </w:rPr>
        <w:t xml:space="preserve">attend to it. It is also apparent </w:t>
      </w:r>
      <w:r w:rsidR="002C4CD3">
        <w:rPr>
          <w:rFonts w:ascii="Arial" w:hAnsi="Arial" w:cs="Arial"/>
          <w:sz w:val="24"/>
          <w:szCs w:val="24"/>
          <w:lang w:val="en-US"/>
        </w:rPr>
        <w:t>that</w:t>
      </w:r>
      <w:r w:rsidR="00E52DCF">
        <w:rPr>
          <w:rFonts w:ascii="Arial" w:hAnsi="Arial" w:cs="Arial"/>
          <w:sz w:val="24"/>
          <w:szCs w:val="24"/>
          <w:lang w:val="en-US"/>
        </w:rPr>
        <w:t xml:space="preserve"> the fact that the plaintiff was afforded 30 days to remedy the defects in the pleadings shows that the </w:t>
      </w:r>
      <w:r w:rsidR="00663441">
        <w:rPr>
          <w:rFonts w:ascii="Arial" w:hAnsi="Arial" w:cs="Arial"/>
          <w:sz w:val="24"/>
          <w:szCs w:val="24"/>
          <w:lang w:val="en-US"/>
        </w:rPr>
        <w:t>C</w:t>
      </w:r>
      <w:r w:rsidR="002C4CD3">
        <w:rPr>
          <w:rFonts w:ascii="Arial" w:hAnsi="Arial" w:cs="Arial"/>
          <w:sz w:val="24"/>
          <w:szCs w:val="24"/>
          <w:lang w:val="en-US"/>
        </w:rPr>
        <w:t>ourt</w:t>
      </w:r>
      <w:r w:rsidR="00E52DCF">
        <w:rPr>
          <w:rFonts w:ascii="Arial" w:hAnsi="Arial" w:cs="Arial"/>
          <w:sz w:val="24"/>
          <w:szCs w:val="24"/>
          <w:lang w:val="en-US"/>
        </w:rPr>
        <w:t xml:space="preserve"> hearing the </w:t>
      </w:r>
      <w:r w:rsidR="002C4CD3">
        <w:rPr>
          <w:rFonts w:ascii="Arial" w:hAnsi="Arial" w:cs="Arial"/>
          <w:sz w:val="24"/>
          <w:szCs w:val="24"/>
          <w:lang w:val="en-US"/>
        </w:rPr>
        <w:t>exception</w:t>
      </w:r>
      <w:r w:rsidR="00E52DCF">
        <w:rPr>
          <w:rFonts w:ascii="Arial" w:hAnsi="Arial" w:cs="Arial"/>
          <w:sz w:val="24"/>
          <w:szCs w:val="24"/>
          <w:lang w:val="en-US"/>
        </w:rPr>
        <w:t xml:space="preserve"> </w:t>
      </w:r>
      <w:r w:rsidR="002C4CD3">
        <w:rPr>
          <w:rFonts w:ascii="Arial" w:hAnsi="Arial" w:cs="Arial"/>
          <w:sz w:val="24"/>
          <w:szCs w:val="24"/>
          <w:lang w:val="en-US"/>
        </w:rPr>
        <w:t>must</w:t>
      </w:r>
      <w:r w:rsidR="00E52DCF">
        <w:rPr>
          <w:rFonts w:ascii="Arial" w:hAnsi="Arial" w:cs="Arial"/>
          <w:sz w:val="24"/>
          <w:szCs w:val="24"/>
          <w:lang w:val="en-US"/>
        </w:rPr>
        <w:t xml:space="preserve"> also have </w:t>
      </w:r>
      <w:r w:rsidR="002C4CD3">
        <w:rPr>
          <w:rFonts w:ascii="Arial" w:hAnsi="Arial" w:cs="Arial"/>
          <w:sz w:val="24"/>
          <w:szCs w:val="24"/>
          <w:lang w:val="en-US"/>
        </w:rPr>
        <w:t>considered</w:t>
      </w:r>
      <w:r w:rsidR="00E52DCF">
        <w:rPr>
          <w:rFonts w:ascii="Arial" w:hAnsi="Arial" w:cs="Arial"/>
          <w:sz w:val="24"/>
          <w:szCs w:val="24"/>
          <w:lang w:val="en-US"/>
        </w:rPr>
        <w:t xml:space="preserve"> </w:t>
      </w:r>
      <w:r w:rsidR="002C4CD3">
        <w:rPr>
          <w:rFonts w:ascii="Arial" w:hAnsi="Arial" w:cs="Arial"/>
          <w:sz w:val="24"/>
          <w:szCs w:val="24"/>
          <w:lang w:val="en-US"/>
        </w:rPr>
        <w:t>that</w:t>
      </w:r>
      <w:r w:rsidR="00E52DCF">
        <w:rPr>
          <w:rFonts w:ascii="Arial" w:hAnsi="Arial" w:cs="Arial"/>
          <w:sz w:val="24"/>
          <w:szCs w:val="24"/>
          <w:lang w:val="en-US"/>
        </w:rPr>
        <w:t xml:space="preserve"> </w:t>
      </w:r>
      <w:r w:rsidR="002C4CD3">
        <w:rPr>
          <w:rFonts w:ascii="Arial" w:hAnsi="Arial" w:cs="Arial"/>
          <w:sz w:val="24"/>
          <w:szCs w:val="24"/>
          <w:lang w:val="en-US"/>
        </w:rPr>
        <w:t xml:space="preserve">the </w:t>
      </w:r>
      <w:r w:rsidR="00E52DCF">
        <w:rPr>
          <w:rFonts w:ascii="Arial" w:hAnsi="Arial" w:cs="Arial"/>
          <w:sz w:val="24"/>
          <w:szCs w:val="24"/>
          <w:lang w:val="en-US"/>
        </w:rPr>
        <w:t>amendments would be numerous</w:t>
      </w:r>
      <w:r w:rsidR="003C0DAE">
        <w:rPr>
          <w:rFonts w:ascii="Arial" w:hAnsi="Arial" w:cs="Arial"/>
          <w:sz w:val="24"/>
          <w:szCs w:val="24"/>
          <w:lang w:val="en-US"/>
        </w:rPr>
        <w:t xml:space="preserve"> or substantial</w:t>
      </w:r>
      <w:r w:rsidR="00E52DCF">
        <w:rPr>
          <w:rFonts w:ascii="Arial" w:hAnsi="Arial" w:cs="Arial"/>
          <w:sz w:val="24"/>
          <w:szCs w:val="24"/>
          <w:lang w:val="en-US"/>
        </w:rPr>
        <w:t xml:space="preserve">. Thus, the further explanation that the </w:t>
      </w:r>
      <w:r w:rsidR="002C4CD3">
        <w:rPr>
          <w:rFonts w:ascii="Arial" w:hAnsi="Arial" w:cs="Arial"/>
          <w:sz w:val="24"/>
          <w:szCs w:val="24"/>
          <w:lang w:val="en-US"/>
        </w:rPr>
        <w:t>plaintiff</w:t>
      </w:r>
      <w:r w:rsidR="00E52DCF">
        <w:rPr>
          <w:rFonts w:ascii="Arial" w:hAnsi="Arial" w:cs="Arial"/>
          <w:sz w:val="24"/>
          <w:szCs w:val="24"/>
          <w:lang w:val="en-US"/>
        </w:rPr>
        <w:t xml:space="preserve"> needed to </w:t>
      </w:r>
      <w:r w:rsidR="002C4CD3">
        <w:rPr>
          <w:rFonts w:ascii="Arial" w:hAnsi="Arial" w:cs="Arial"/>
          <w:sz w:val="24"/>
          <w:szCs w:val="24"/>
          <w:lang w:val="en-US"/>
        </w:rPr>
        <w:t>consider</w:t>
      </w:r>
      <w:r w:rsidR="00E52DCF">
        <w:rPr>
          <w:rFonts w:ascii="Arial" w:hAnsi="Arial" w:cs="Arial"/>
          <w:sz w:val="24"/>
          <w:szCs w:val="24"/>
          <w:lang w:val="en-US"/>
        </w:rPr>
        <w:t xml:space="preserve"> its positon and </w:t>
      </w:r>
      <w:r w:rsidR="002C4CD3">
        <w:rPr>
          <w:rFonts w:ascii="Arial" w:hAnsi="Arial" w:cs="Arial"/>
          <w:sz w:val="24"/>
          <w:szCs w:val="24"/>
          <w:lang w:val="en-US"/>
        </w:rPr>
        <w:t>whether</w:t>
      </w:r>
      <w:r w:rsidR="00E52DCF">
        <w:rPr>
          <w:rFonts w:ascii="Arial" w:hAnsi="Arial" w:cs="Arial"/>
          <w:sz w:val="24"/>
          <w:szCs w:val="24"/>
          <w:lang w:val="en-US"/>
        </w:rPr>
        <w:t xml:space="preserve"> it would pursue the action in light of Goliath DJP’s findings, is </w:t>
      </w:r>
      <w:r w:rsidR="00663441">
        <w:rPr>
          <w:rFonts w:ascii="Arial" w:hAnsi="Arial" w:cs="Arial"/>
          <w:sz w:val="24"/>
          <w:szCs w:val="24"/>
          <w:lang w:val="en-US"/>
        </w:rPr>
        <w:t xml:space="preserve">in my view, </w:t>
      </w:r>
      <w:r w:rsidR="003C0DAE">
        <w:rPr>
          <w:rFonts w:ascii="Arial" w:hAnsi="Arial" w:cs="Arial"/>
          <w:sz w:val="24"/>
          <w:szCs w:val="24"/>
          <w:lang w:val="en-US"/>
        </w:rPr>
        <w:t>n</w:t>
      </w:r>
      <w:r w:rsidR="009E54A6">
        <w:rPr>
          <w:rFonts w:ascii="Arial" w:hAnsi="Arial" w:cs="Arial"/>
          <w:sz w:val="24"/>
          <w:szCs w:val="24"/>
          <w:lang w:val="en-US"/>
        </w:rPr>
        <w:t xml:space="preserve">either </w:t>
      </w:r>
      <w:r w:rsidR="003C0DAE">
        <w:rPr>
          <w:rFonts w:ascii="Arial" w:hAnsi="Arial" w:cs="Arial"/>
          <w:sz w:val="24"/>
          <w:szCs w:val="24"/>
          <w:lang w:val="en-US"/>
        </w:rPr>
        <w:t xml:space="preserve">far-fetched nor indicative of any </w:t>
      </w:r>
      <w:r w:rsidR="003C0DAE" w:rsidRPr="009E54A6">
        <w:rPr>
          <w:rFonts w:ascii="Arial" w:hAnsi="Arial" w:cs="Arial"/>
          <w:i/>
          <w:sz w:val="24"/>
          <w:szCs w:val="24"/>
          <w:lang w:val="en-US"/>
        </w:rPr>
        <w:t>mala fides</w:t>
      </w:r>
      <w:r w:rsidR="003C0DAE">
        <w:rPr>
          <w:rFonts w:ascii="Arial" w:hAnsi="Arial" w:cs="Arial"/>
          <w:sz w:val="24"/>
          <w:szCs w:val="24"/>
          <w:lang w:val="en-US"/>
        </w:rPr>
        <w:t xml:space="preserve"> on the plaintiff’s part.</w:t>
      </w:r>
    </w:p>
    <w:p w:rsidR="009E54A6" w:rsidRDefault="009E54A6" w:rsidP="00F36708">
      <w:pPr>
        <w:spacing w:line="480" w:lineRule="auto"/>
        <w:jc w:val="both"/>
        <w:rPr>
          <w:rFonts w:ascii="Arial" w:hAnsi="Arial" w:cs="Arial"/>
          <w:sz w:val="24"/>
          <w:szCs w:val="24"/>
          <w:lang w:val="en-US"/>
        </w:rPr>
      </w:pPr>
    </w:p>
    <w:p w:rsidR="00E52DCF" w:rsidRDefault="00CB7701" w:rsidP="00F36708">
      <w:pPr>
        <w:spacing w:line="480" w:lineRule="auto"/>
        <w:jc w:val="both"/>
        <w:rPr>
          <w:rFonts w:ascii="Arial" w:hAnsi="Arial" w:cs="Arial"/>
          <w:sz w:val="24"/>
          <w:szCs w:val="24"/>
          <w:lang w:val="en-US"/>
        </w:rPr>
      </w:pPr>
      <w:r>
        <w:rPr>
          <w:rFonts w:ascii="Arial" w:hAnsi="Arial" w:cs="Arial"/>
          <w:sz w:val="24"/>
          <w:szCs w:val="24"/>
          <w:lang w:val="en-US"/>
        </w:rPr>
        <w:t>[4</w:t>
      </w:r>
      <w:r w:rsidR="00DC5B90">
        <w:rPr>
          <w:rFonts w:ascii="Arial" w:hAnsi="Arial" w:cs="Arial"/>
          <w:sz w:val="24"/>
          <w:szCs w:val="24"/>
          <w:lang w:val="en-US"/>
        </w:rPr>
        <w:t>7</w:t>
      </w:r>
      <w:r>
        <w:rPr>
          <w:rFonts w:ascii="Arial" w:hAnsi="Arial" w:cs="Arial"/>
          <w:sz w:val="24"/>
          <w:szCs w:val="24"/>
          <w:lang w:val="en-US"/>
        </w:rPr>
        <w:t>]</w:t>
      </w:r>
      <w:r>
        <w:rPr>
          <w:rFonts w:ascii="Arial" w:hAnsi="Arial" w:cs="Arial"/>
          <w:sz w:val="24"/>
          <w:szCs w:val="24"/>
          <w:lang w:val="en-US"/>
        </w:rPr>
        <w:tab/>
      </w:r>
      <w:r w:rsidR="00E52DCF">
        <w:rPr>
          <w:rFonts w:ascii="Arial" w:hAnsi="Arial" w:cs="Arial"/>
          <w:sz w:val="24"/>
          <w:szCs w:val="24"/>
          <w:lang w:val="en-US"/>
        </w:rPr>
        <w:t xml:space="preserve">The </w:t>
      </w:r>
      <w:r w:rsidR="002C4CD3">
        <w:rPr>
          <w:rFonts w:ascii="Arial" w:hAnsi="Arial" w:cs="Arial"/>
          <w:sz w:val="24"/>
          <w:szCs w:val="24"/>
          <w:lang w:val="en-US"/>
        </w:rPr>
        <w:t>defendant</w:t>
      </w:r>
      <w:r w:rsidR="00E52DCF">
        <w:rPr>
          <w:rFonts w:ascii="Arial" w:hAnsi="Arial" w:cs="Arial"/>
          <w:sz w:val="24"/>
          <w:szCs w:val="24"/>
          <w:lang w:val="en-US"/>
        </w:rPr>
        <w:t xml:space="preserve"> has argued </w:t>
      </w:r>
      <w:r w:rsidR="002C4CD3">
        <w:rPr>
          <w:rFonts w:ascii="Arial" w:hAnsi="Arial" w:cs="Arial"/>
          <w:sz w:val="24"/>
          <w:szCs w:val="24"/>
          <w:lang w:val="en-US"/>
        </w:rPr>
        <w:t>that</w:t>
      </w:r>
      <w:r w:rsidR="00E52DCF">
        <w:rPr>
          <w:rFonts w:ascii="Arial" w:hAnsi="Arial" w:cs="Arial"/>
          <w:sz w:val="24"/>
          <w:szCs w:val="24"/>
          <w:lang w:val="en-US"/>
        </w:rPr>
        <w:t xml:space="preserve"> the plaintiff’s failure to identify which of its </w:t>
      </w:r>
      <w:r w:rsidR="002C4CD3">
        <w:rPr>
          <w:rFonts w:ascii="Arial" w:hAnsi="Arial" w:cs="Arial"/>
          <w:sz w:val="24"/>
          <w:szCs w:val="24"/>
          <w:lang w:val="en-US"/>
        </w:rPr>
        <w:t>officials</w:t>
      </w:r>
      <w:r w:rsidR="00E52DCF">
        <w:rPr>
          <w:rFonts w:ascii="Arial" w:hAnsi="Arial" w:cs="Arial"/>
          <w:sz w:val="24"/>
          <w:szCs w:val="24"/>
          <w:lang w:val="en-US"/>
        </w:rPr>
        <w:t xml:space="preserve"> were on </w:t>
      </w:r>
      <w:r w:rsidR="002C4CD3">
        <w:rPr>
          <w:rFonts w:ascii="Arial" w:hAnsi="Arial" w:cs="Arial"/>
          <w:sz w:val="24"/>
          <w:szCs w:val="24"/>
          <w:lang w:val="en-US"/>
        </w:rPr>
        <w:t>leave, when</w:t>
      </w:r>
      <w:r w:rsidR="00E52DCF">
        <w:rPr>
          <w:rFonts w:ascii="Arial" w:hAnsi="Arial" w:cs="Arial"/>
          <w:sz w:val="24"/>
          <w:szCs w:val="24"/>
          <w:lang w:val="en-US"/>
        </w:rPr>
        <w:t xml:space="preserve"> they were on leave and the absence of </w:t>
      </w:r>
      <w:r w:rsidR="002C4CD3">
        <w:rPr>
          <w:rFonts w:ascii="Arial" w:hAnsi="Arial" w:cs="Arial"/>
          <w:sz w:val="24"/>
          <w:szCs w:val="24"/>
          <w:lang w:val="en-US"/>
        </w:rPr>
        <w:t>confirmatory</w:t>
      </w:r>
      <w:r w:rsidR="00E52DCF">
        <w:rPr>
          <w:rFonts w:ascii="Arial" w:hAnsi="Arial" w:cs="Arial"/>
          <w:sz w:val="24"/>
          <w:szCs w:val="24"/>
          <w:lang w:val="en-US"/>
        </w:rPr>
        <w:t xml:space="preserve"> affidavits</w:t>
      </w:r>
      <w:r w:rsidR="009E54A6">
        <w:rPr>
          <w:rFonts w:ascii="Arial" w:hAnsi="Arial" w:cs="Arial"/>
          <w:sz w:val="24"/>
          <w:szCs w:val="24"/>
          <w:lang w:val="en-US"/>
        </w:rPr>
        <w:t xml:space="preserve"> of these officials</w:t>
      </w:r>
      <w:r w:rsidR="00E52DCF">
        <w:rPr>
          <w:rFonts w:ascii="Arial" w:hAnsi="Arial" w:cs="Arial"/>
          <w:sz w:val="24"/>
          <w:szCs w:val="24"/>
          <w:lang w:val="en-US"/>
        </w:rPr>
        <w:t xml:space="preserve">, </w:t>
      </w:r>
      <w:r w:rsidR="00663441">
        <w:rPr>
          <w:rFonts w:ascii="Arial" w:hAnsi="Arial" w:cs="Arial"/>
          <w:sz w:val="24"/>
          <w:szCs w:val="24"/>
          <w:lang w:val="en-US"/>
        </w:rPr>
        <w:t xml:space="preserve">is </w:t>
      </w:r>
      <w:r w:rsidR="002C4CD3">
        <w:rPr>
          <w:rFonts w:ascii="Arial" w:hAnsi="Arial" w:cs="Arial"/>
          <w:sz w:val="24"/>
          <w:szCs w:val="24"/>
          <w:lang w:val="en-US"/>
        </w:rPr>
        <w:t>f</w:t>
      </w:r>
      <w:r w:rsidR="00E52DCF">
        <w:rPr>
          <w:rFonts w:ascii="Arial" w:hAnsi="Arial" w:cs="Arial"/>
          <w:sz w:val="24"/>
          <w:szCs w:val="24"/>
          <w:lang w:val="en-US"/>
        </w:rPr>
        <w:t xml:space="preserve">atal. Certainly, Ms </w:t>
      </w:r>
      <w:r w:rsidR="00663441">
        <w:rPr>
          <w:rFonts w:ascii="Arial" w:hAnsi="Arial" w:cs="Arial"/>
          <w:sz w:val="24"/>
          <w:szCs w:val="24"/>
          <w:lang w:val="en-US"/>
        </w:rPr>
        <w:t>Markram’s</w:t>
      </w:r>
      <w:r w:rsidR="00E52DCF">
        <w:rPr>
          <w:rFonts w:ascii="Arial" w:hAnsi="Arial" w:cs="Arial"/>
          <w:sz w:val="24"/>
          <w:szCs w:val="24"/>
          <w:lang w:val="en-US"/>
        </w:rPr>
        <w:t xml:space="preserve"> affidavit takes </w:t>
      </w:r>
      <w:r w:rsidR="002C4CD3">
        <w:rPr>
          <w:rFonts w:ascii="Arial" w:hAnsi="Arial" w:cs="Arial"/>
          <w:sz w:val="24"/>
          <w:szCs w:val="24"/>
          <w:lang w:val="en-US"/>
        </w:rPr>
        <w:t>the</w:t>
      </w:r>
      <w:r w:rsidR="00E52DCF">
        <w:rPr>
          <w:rFonts w:ascii="Arial" w:hAnsi="Arial" w:cs="Arial"/>
          <w:sz w:val="24"/>
          <w:szCs w:val="24"/>
          <w:lang w:val="en-US"/>
        </w:rPr>
        <w:t xml:space="preserve"> ma</w:t>
      </w:r>
      <w:r w:rsidR="00663441">
        <w:rPr>
          <w:rFonts w:ascii="Arial" w:hAnsi="Arial" w:cs="Arial"/>
          <w:sz w:val="24"/>
          <w:szCs w:val="24"/>
          <w:lang w:val="en-US"/>
        </w:rPr>
        <w:t>t</w:t>
      </w:r>
      <w:r w:rsidR="00E52DCF">
        <w:rPr>
          <w:rFonts w:ascii="Arial" w:hAnsi="Arial" w:cs="Arial"/>
          <w:sz w:val="24"/>
          <w:szCs w:val="24"/>
          <w:lang w:val="en-US"/>
        </w:rPr>
        <w:t xml:space="preserve">ter no further and </w:t>
      </w:r>
      <w:r w:rsidR="009E54A6">
        <w:rPr>
          <w:rFonts w:ascii="Arial" w:hAnsi="Arial" w:cs="Arial"/>
          <w:sz w:val="24"/>
          <w:szCs w:val="24"/>
          <w:lang w:val="en-US"/>
        </w:rPr>
        <w:t xml:space="preserve">would fall in that category of confirmatory affidavits referred to in paragraph 31 of </w:t>
      </w:r>
      <w:r w:rsidR="009E54A6" w:rsidRPr="009E54A6">
        <w:rPr>
          <w:rFonts w:ascii="Arial" w:hAnsi="Arial" w:cs="Arial"/>
          <w:b/>
          <w:sz w:val="24"/>
          <w:szCs w:val="24"/>
          <w:u w:val="single"/>
          <w:lang w:val="en-US"/>
        </w:rPr>
        <w:t>Driftsand</w:t>
      </w:r>
      <w:r w:rsidR="009E54A6" w:rsidRPr="009E54A6">
        <w:rPr>
          <w:rStyle w:val="FootnoteReference"/>
          <w:rFonts w:ascii="Arial" w:hAnsi="Arial" w:cs="Arial"/>
          <w:b/>
          <w:sz w:val="24"/>
          <w:szCs w:val="24"/>
          <w:lang w:val="en-US"/>
        </w:rPr>
        <w:footnoteReference w:id="23"/>
      </w:r>
      <w:r w:rsidR="009E54A6" w:rsidRPr="009E54A6">
        <w:rPr>
          <w:rFonts w:ascii="Arial" w:hAnsi="Arial" w:cs="Arial"/>
          <w:i/>
          <w:sz w:val="24"/>
          <w:szCs w:val="24"/>
          <w:lang w:val="en-US"/>
        </w:rPr>
        <w:t xml:space="preserve"> (supra)</w:t>
      </w:r>
      <w:r w:rsidR="009E54A6" w:rsidRPr="009E54A6">
        <w:rPr>
          <w:rFonts w:ascii="Arial" w:hAnsi="Arial" w:cs="Arial"/>
          <w:sz w:val="24"/>
          <w:szCs w:val="24"/>
          <w:lang w:val="en-US"/>
        </w:rPr>
        <w:t xml:space="preserve"> </w:t>
      </w:r>
      <w:r w:rsidR="009E54A6">
        <w:rPr>
          <w:rFonts w:ascii="Arial" w:hAnsi="Arial" w:cs="Arial"/>
          <w:sz w:val="24"/>
          <w:szCs w:val="24"/>
          <w:lang w:val="en-US"/>
        </w:rPr>
        <w:t xml:space="preserve">whereby the statement in the affidavit amounts to hearsay and has little or no cogency. One may ask whether the affidavits of officials on leave would be crucial to the plaintiff’s case for condonation? In my view, the absence of these officials is but one of the grounds or bases upon which the plaintiff states that </w:t>
      </w:r>
      <w:r w:rsidR="003D0B7F">
        <w:rPr>
          <w:rFonts w:ascii="Arial" w:hAnsi="Arial" w:cs="Arial"/>
          <w:sz w:val="24"/>
          <w:szCs w:val="24"/>
          <w:lang w:val="en-US"/>
        </w:rPr>
        <w:t xml:space="preserve">it could not consult timeously and therefore there was a delay in attending to the amendment. Absent such confirmatory or explanatory affidavits from these officials, the other reasons for delay still remain, so in my view, the failure to attach the officials’ affidavits is not fatal tot eh application. </w:t>
      </w:r>
      <w:r w:rsidR="00E52DCF">
        <w:rPr>
          <w:rFonts w:ascii="Arial" w:hAnsi="Arial" w:cs="Arial"/>
          <w:sz w:val="24"/>
          <w:szCs w:val="24"/>
          <w:lang w:val="en-US"/>
        </w:rPr>
        <w:t>Furthermore</w:t>
      </w:r>
      <w:r w:rsidR="003D0B7F">
        <w:rPr>
          <w:rFonts w:ascii="Arial" w:hAnsi="Arial" w:cs="Arial"/>
          <w:sz w:val="24"/>
          <w:szCs w:val="24"/>
          <w:lang w:val="en-US"/>
        </w:rPr>
        <w:t>,</w:t>
      </w:r>
      <w:r w:rsidR="00E52DCF">
        <w:rPr>
          <w:rFonts w:ascii="Arial" w:hAnsi="Arial" w:cs="Arial"/>
          <w:sz w:val="24"/>
          <w:szCs w:val="24"/>
          <w:lang w:val="en-US"/>
        </w:rPr>
        <w:t xml:space="preserve"> the def</w:t>
      </w:r>
      <w:r w:rsidR="002C4CD3">
        <w:rPr>
          <w:rFonts w:ascii="Arial" w:hAnsi="Arial" w:cs="Arial"/>
          <w:sz w:val="24"/>
          <w:szCs w:val="24"/>
          <w:lang w:val="en-US"/>
        </w:rPr>
        <w:t>en</w:t>
      </w:r>
      <w:r w:rsidR="00E52DCF">
        <w:rPr>
          <w:rFonts w:ascii="Arial" w:hAnsi="Arial" w:cs="Arial"/>
          <w:sz w:val="24"/>
          <w:szCs w:val="24"/>
          <w:lang w:val="en-US"/>
        </w:rPr>
        <w:t xml:space="preserve">dant sought to </w:t>
      </w:r>
      <w:r w:rsidR="002C4CD3">
        <w:rPr>
          <w:rFonts w:ascii="Arial" w:hAnsi="Arial" w:cs="Arial"/>
          <w:sz w:val="24"/>
          <w:szCs w:val="24"/>
          <w:lang w:val="en-US"/>
        </w:rPr>
        <w:t>pass</w:t>
      </w:r>
      <w:r w:rsidR="00E52DCF">
        <w:rPr>
          <w:rFonts w:ascii="Arial" w:hAnsi="Arial" w:cs="Arial"/>
          <w:sz w:val="24"/>
          <w:szCs w:val="24"/>
          <w:lang w:val="en-US"/>
        </w:rPr>
        <w:t xml:space="preserve"> off the </w:t>
      </w:r>
      <w:r w:rsidR="00EF1AD1">
        <w:rPr>
          <w:rFonts w:ascii="Arial" w:hAnsi="Arial" w:cs="Arial"/>
          <w:sz w:val="24"/>
          <w:szCs w:val="24"/>
          <w:lang w:val="en-US"/>
        </w:rPr>
        <w:t>plaintiff’s</w:t>
      </w:r>
      <w:r w:rsidR="00E52DCF">
        <w:rPr>
          <w:rFonts w:ascii="Arial" w:hAnsi="Arial" w:cs="Arial"/>
          <w:sz w:val="24"/>
          <w:szCs w:val="24"/>
          <w:lang w:val="en-US"/>
        </w:rPr>
        <w:t xml:space="preserve"> additional </w:t>
      </w:r>
      <w:r w:rsidR="00EF1AD1">
        <w:rPr>
          <w:rFonts w:ascii="Arial" w:hAnsi="Arial" w:cs="Arial"/>
          <w:sz w:val="24"/>
          <w:szCs w:val="24"/>
          <w:lang w:val="en-US"/>
        </w:rPr>
        <w:t>explanation</w:t>
      </w:r>
      <w:r w:rsidR="00E52DCF">
        <w:rPr>
          <w:rFonts w:ascii="Arial" w:hAnsi="Arial" w:cs="Arial"/>
          <w:sz w:val="24"/>
          <w:szCs w:val="24"/>
          <w:lang w:val="en-US"/>
        </w:rPr>
        <w:t xml:space="preserve"> for the delay, </w:t>
      </w:r>
      <w:r w:rsidR="00EF1AD1">
        <w:rPr>
          <w:rFonts w:ascii="Arial" w:hAnsi="Arial" w:cs="Arial"/>
          <w:sz w:val="24"/>
          <w:szCs w:val="24"/>
          <w:lang w:val="en-US"/>
        </w:rPr>
        <w:t>being</w:t>
      </w:r>
      <w:r w:rsidR="00E52DCF">
        <w:rPr>
          <w:rFonts w:ascii="Arial" w:hAnsi="Arial" w:cs="Arial"/>
          <w:sz w:val="24"/>
          <w:szCs w:val="24"/>
          <w:lang w:val="en-US"/>
        </w:rPr>
        <w:t xml:space="preserve"> </w:t>
      </w:r>
      <w:r w:rsidR="002C4CD3">
        <w:rPr>
          <w:rFonts w:ascii="Arial" w:hAnsi="Arial" w:cs="Arial"/>
          <w:sz w:val="24"/>
          <w:szCs w:val="24"/>
          <w:lang w:val="en-US"/>
        </w:rPr>
        <w:t>the</w:t>
      </w:r>
      <w:r w:rsidR="00E52DCF">
        <w:rPr>
          <w:rFonts w:ascii="Arial" w:hAnsi="Arial" w:cs="Arial"/>
          <w:sz w:val="24"/>
          <w:szCs w:val="24"/>
          <w:lang w:val="en-US"/>
        </w:rPr>
        <w:t xml:space="preserve"> parties’ settlement negotiations after the Goliath judgment as being of no consequence, yet does not deny that there were settlement negotiations after the judgment. </w:t>
      </w:r>
      <w:r w:rsidR="003D0B7F">
        <w:rPr>
          <w:rFonts w:ascii="Arial" w:hAnsi="Arial" w:cs="Arial"/>
          <w:sz w:val="24"/>
          <w:szCs w:val="24"/>
          <w:lang w:val="en-US"/>
        </w:rPr>
        <w:t xml:space="preserve">I am of the view that this additional </w:t>
      </w:r>
      <w:r w:rsidR="00E52DCF">
        <w:rPr>
          <w:rFonts w:ascii="Arial" w:hAnsi="Arial" w:cs="Arial"/>
          <w:sz w:val="24"/>
          <w:szCs w:val="24"/>
          <w:lang w:val="en-US"/>
        </w:rPr>
        <w:t xml:space="preserve">factor weights in favour of an ultimate finding </w:t>
      </w:r>
      <w:r w:rsidR="002C4CD3">
        <w:rPr>
          <w:rFonts w:ascii="Arial" w:hAnsi="Arial" w:cs="Arial"/>
          <w:sz w:val="24"/>
          <w:szCs w:val="24"/>
          <w:lang w:val="en-US"/>
        </w:rPr>
        <w:t>that</w:t>
      </w:r>
      <w:r w:rsidR="00E52DCF">
        <w:rPr>
          <w:rFonts w:ascii="Arial" w:hAnsi="Arial" w:cs="Arial"/>
          <w:sz w:val="24"/>
          <w:szCs w:val="24"/>
          <w:lang w:val="en-US"/>
        </w:rPr>
        <w:t xml:space="preserve"> the plaintiff’s explanation </w:t>
      </w:r>
      <w:r w:rsidR="002C4CD3">
        <w:rPr>
          <w:rFonts w:ascii="Arial" w:hAnsi="Arial" w:cs="Arial"/>
          <w:sz w:val="24"/>
          <w:szCs w:val="24"/>
          <w:lang w:val="en-US"/>
        </w:rPr>
        <w:t>for</w:t>
      </w:r>
      <w:r w:rsidR="00E52DCF">
        <w:rPr>
          <w:rFonts w:ascii="Arial" w:hAnsi="Arial" w:cs="Arial"/>
          <w:sz w:val="24"/>
          <w:szCs w:val="24"/>
          <w:lang w:val="en-US"/>
        </w:rPr>
        <w:t xml:space="preserve"> delay, </w:t>
      </w:r>
      <w:r w:rsidR="00EF1AD1">
        <w:rPr>
          <w:rFonts w:ascii="Arial" w:hAnsi="Arial" w:cs="Arial"/>
          <w:sz w:val="24"/>
          <w:szCs w:val="24"/>
          <w:lang w:val="en-US"/>
        </w:rPr>
        <w:t>notwithstanding</w:t>
      </w:r>
      <w:r w:rsidR="00E52DCF">
        <w:rPr>
          <w:rFonts w:ascii="Arial" w:hAnsi="Arial" w:cs="Arial"/>
          <w:sz w:val="24"/>
          <w:szCs w:val="24"/>
          <w:lang w:val="en-US"/>
        </w:rPr>
        <w:t xml:space="preserve"> shortcomings</w:t>
      </w:r>
      <w:r w:rsidR="003D0B7F">
        <w:rPr>
          <w:rFonts w:ascii="Arial" w:hAnsi="Arial" w:cs="Arial"/>
          <w:sz w:val="24"/>
          <w:szCs w:val="24"/>
          <w:lang w:val="en-US"/>
        </w:rPr>
        <w:t xml:space="preserve"> pointed out in the opposing papers</w:t>
      </w:r>
      <w:r w:rsidR="00E52DCF">
        <w:rPr>
          <w:rFonts w:ascii="Arial" w:hAnsi="Arial" w:cs="Arial"/>
          <w:sz w:val="24"/>
          <w:szCs w:val="24"/>
          <w:lang w:val="en-US"/>
        </w:rPr>
        <w:t xml:space="preserve">, is sufficiently </w:t>
      </w:r>
      <w:r w:rsidR="00EF1AD1">
        <w:rPr>
          <w:rFonts w:ascii="Arial" w:hAnsi="Arial" w:cs="Arial"/>
          <w:sz w:val="24"/>
          <w:szCs w:val="24"/>
          <w:lang w:val="en-US"/>
        </w:rPr>
        <w:t>full</w:t>
      </w:r>
      <w:r w:rsidR="00E52DCF">
        <w:rPr>
          <w:rFonts w:ascii="Arial" w:hAnsi="Arial" w:cs="Arial"/>
          <w:sz w:val="24"/>
          <w:szCs w:val="24"/>
          <w:lang w:val="en-US"/>
        </w:rPr>
        <w:t xml:space="preserve"> and reasonable.</w:t>
      </w:r>
    </w:p>
    <w:p w:rsidR="00E52DCF" w:rsidRDefault="00E52DCF" w:rsidP="00F36708">
      <w:pPr>
        <w:spacing w:line="480" w:lineRule="auto"/>
        <w:jc w:val="both"/>
        <w:rPr>
          <w:rFonts w:ascii="Arial" w:hAnsi="Arial" w:cs="Arial"/>
          <w:sz w:val="24"/>
          <w:szCs w:val="24"/>
          <w:lang w:val="en-US"/>
        </w:rPr>
      </w:pPr>
    </w:p>
    <w:p w:rsidR="00E52DCF" w:rsidRDefault="00AC28B8" w:rsidP="00F36708">
      <w:pPr>
        <w:spacing w:line="480" w:lineRule="auto"/>
        <w:jc w:val="both"/>
        <w:rPr>
          <w:rFonts w:ascii="Arial" w:hAnsi="Arial" w:cs="Arial"/>
          <w:sz w:val="24"/>
          <w:szCs w:val="24"/>
          <w:lang w:val="en-US"/>
        </w:rPr>
      </w:pPr>
      <w:r>
        <w:rPr>
          <w:rFonts w:ascii="Arial" w:hAnsi="Arial" w:cs="Arial"/>
          <w:sz w:val="24"/>
          <w:szCs w:val="24"/>
          <w:lang w:val="en-US"/>
        </w:rPr>
        <w:t>[4</w:t>
      </w:r>
      <w:r w:rsidR="00DC5B90">
        <w:rPr>
          <w:rFonts w:ascii="Arial" w:hAnsi="Arial" w:cs="Arial"/>
          <w:sz w:val="24"/>
          <w:szCs w:val="24"/>
          <w:lang w:val="en-US"/>
        </w:rPr>
        <w:t>8</w:t>
      </w:r>
      <w:r w:rsidR="00CB7701">
        <w:rPr>
          <w:rFonts w:ascii="Arial" w:hAnsi="Arial" w:cs="Arial"/>
          <w:sz w:val="24"/>
          <w:szCs w:val="24"/>
          <w:lang w:val="en-US"/>
        </w:rPr>
        <w:t>]</w:t>
      </w:r>
      <w:r w:rsidR="00CB7701">
        <w:rPr>
          <w:rFonts w:ascii="Arial" w:hAnsi="Arial" w:cs="Arial"/>
          <w:sz w:val="24"/>
          <w:szCs w:val="24"/>
          <w:lang w:val="en-US"/>
        </w:rPr>
        <w:tab/>
      </w:r>
      <w:r w:rsidR="003D0B7F">
        <w:rPr>
          <w:rFonts w:ascii="Arial" w:hAnsi="Arial" w:cs="Arial"/>
          <w:sz w:val="24"/>
          <w:szCs w:val="24"/>
          <w:lang w:val="en-US"/>
        </w:rPr>
        <w:t xml:space="preserve">There is the question as to whether the </w:t>
      </w:r>
      <w:r w:rsidR="00663441">
        <w:rPr>
          <w:rFonts w:ascii="Arial" w:hAnsi="Arial" w:cs="Arial"/>
          <w:sz w:val="24"/>
          <w:szCs w:val="24"/>
          <w:lang w:val="en-US"/>
        </w:rPr>
        <w:t>plaintiff’s explanation is li</w:t>
      </w:r>
      <w:r w:rsidR="00EF1AD1">
        <w:rPr>
          <w:rFonts w:ascii="Arial" w:hAnsi="Arial" w:cs="Arial"/>
          <w:sz w:val="24"/>
          <w:szCs w:val="24"/>
          <w:lang w:val="en-US"/>
        </w:rPr>
        <w:t>ttered with contrived excuses</w:t>
      </w:r>
      <w:r w:rsidR="003D0B7F">
        <w:rPr>
          <w:rFonts w:ascii="Arial" w:hAnsi="Arial" w:cs="Arial"/>
          <w:sz w:val="24"/>
          <w:szCs w:val="24"/>
          <w:lang w:val="en-US"/>
        </w:rPr>
        <w:t>, as suggested by the defendant</w:t>
      </w:r>
      <w:r w:rsidR="00663441">
        <w:rPr>
          <w:rFonts w:ascii="Arial" w:hAnsi="Arial" w:cs="Arial"/>
          <w:sz w:val="24"/>
          <w:szCs w:val="24"/>
          <w:lang w:val="en-US"/>
        </w:rPr>
        <w:t xml:space="preserve">. </w:t>
      </w:r>
      <w:r w:rsidR="003D0B7F">
        <w:rPr>
          <w:rFonts w:ascii="Arial" w:hAnsi="Arial" w:cs="Arial"/>
          <w:sz w:val="24"/>
          <w:szCs w:val="24"/>
          <w:lang w:val="en-US"/>
        </w:rPr>
        <w:t xml:space="preserve">Firstly, the </w:t>
      </w:r>
      <w:r w:rsidR="00EF1AD1">
        <w:rPr>
          <w:rFonts w:ascii="Arial" w:hAnsi="Arial" w:cs="Arial"/>
          <w:sz w:val="24"/>
          <w:szCs w:val="24"/>
          <w:lang w:val="en-US"/>
        </w:rPr>
        <w:t xml:space="preserve">defendant is not entitled </w:t>
      </w:r>
      <w:r w:rsidR="002C4CD3">
        <w:rPr>
          <w:rFonts w:ascii="Arial" w:hAnsi="Arial" w:cs="Arial"/>
          <w:sz w:val="24"/>
          <w:szCs w:val="24"/>
          <w:lang w:val="en-US"/>
        </w:rPr>
        <w:t>to</w:t>
      </w:r>
      <w:r w:rsidR="00EF1AD1">
        <w:rPr>
          <w:rFonts w:ascii="Arial" w:hAnsi="Arial" w:cs="Arial"/>
          <w:sz w:val="24"/>
          <w:szCs w:val="24"/>
          <w:lang w:val="en-US"/>
        </w:rPr>
        <w:t xml:space="preserve"> know the content of </w:t>
      </w:r>
      <w:r w:rsidR="002C4CD3">
        <w:rPr>
          <w:rFonts w:ascii="Arial" w:hAnsi="Arial" w:cs="Arial"/>
          <w:sz w:val="24"/>
          <w:szCs w:val="24"/>
          <w:lang w:val="en-US"/>
        </w:rPr>
        <w:t>consultations</w:t>
      </w:r>
      <w:r w:rsidR="00EF1AD1">
        <w:rPr>
          <w:rFonts w:ascii="Arial" w:hAnsi="Arial" w:cs="Arial"/>
          <w:sz w:val="24"/>
          <w:szCs w:val="24"/>
          <w:lang w:val="en-US"/>
        </w:rPr>
        <w:t xml:space="preserve"> </w:t>
      </w:r>
      <w:r w:rsidR="003D0B7F">
        <w:rPr>
          <w:rFonts w:ascii="Arial" w:hAnsi="Arial" w:cs="Arial"/>
          <w:sz w:val="24"/>
          <w:szCs w:val="24"/>
          <w:lang w:val="en-US"/>
        </w:rPr>
        <w:t xml:space="preserve">between the plaintiff’s attorney </w:t>
      </w:r>
      <w:r w:rsidR="00EF1AD1">
        <w:rPr>
          <w:rFonts w:ascii="Arial" w:hAnsi="Arial" w:cs="Arial"/>
          <w:sz w:val="24"/>
          <w:szCs w:val="24"/>
          <w:lang w:val="en-US"/>
        </w:rPr>
        <w:t xml:space="preserve">with </w:t>
      </w:r>
      <w:r w:rsidR="002C4CD3">
        <w:rPr>
          <w:rFonts w:ascii="Arial" w:hAnsi="Arial" w:cs="Arial"/>
          <w:sz w:val="24"/>
          <w:szCs w:val="24"/>
          <w:lang w:val="en-US"/>
        </w:rPr>
        <w:t>City</w:t>
      </w:r>
      <w:r w:rsidR="00EF1AD1">
        <w:rPr>
          <w:rFonts w:ascii="Arial" w:hAnsi="Arial" w:cs="Arial"/>
          <w:sz w:val="24"/>
          <w:szCs w:val="24"/>
          <w:lang w:val="en-US"/>
        </w:rPr>
        <w:t xml:space="preserve"> officials </w:t>
      </w:r>
      <w:r w:rsidR="002C4CD3">
        <w:rPr>
          <w:rFonts w:ascii="Arial" w:hAnsi="Arial" w:cs="Arial"/>
          <w:sz w:val="24"/>
          <w:szCs w:val="24"/>
          <w:lang w:val="en-US"/>
        </w:rPr>
        <w:t>amount</w:t>
      </w:r>
      <w:r w:rsidR="003D0B7F">
        <w:rPr>
          <w:rFonts w:ascii="Arial" w:hAnsi="Arial" w:cs="Arial"/>
          <w:sz w:val="24"/>
          <w:szCs w:val="24"/>
          <w:lang w:val="en-US"/>
        </w:rPr>
        <w:t xml:space="preserve"> to in view of the attorney and client privilege, and aside from making sweeping statements about contrived excuses, such contention is not supported by contrary facts indicated in the answering affidavit. </w:t>
      </w:r>
      <w:r w:rsidR="002A6EFB">
        <w:rPr>
          <w:rFonts w:ascii="Arial" w:hAnsi="Arial" w:cs="Arial"/>
          <w:sz w:val="24"/>
          <w:szCs w:val="24"/>
          <w:lang w:val="en-US"/>
        </w:rPr>
        <w:t xml:space="preserve">In </w:t>
      </w:r>
      <w:r w:rsidR="00EF1AD1">
        <w:rPr>
          <w:rFonts w:ascii="Arial" w:hAnsi="Arial" w:cs="Arial"/>
          <w:sz w:val="24"/>
          <w:szCs w:val="24"/>
          <w:lang w:val="en-US"/>
        </w:rPr>
        <w:t xml:space="preserve">the context of the claims, the </w:t>
      </w:r>
      <w:r w:rsidR="002C4CD3">
        <w:rPr>
          <w:rFonts w:ascii="Arial" w:hAnsi="Arial" w:cs="Arial"/>
          <w:sz w:val="24"/>
          <w:szCs w:val="24"/>
          <w:lang w:val="en-US"/>
        </w:rPr>
        <w:t>pleadings</w:t>
      </w:r>
      <w:r w:rsidR="002A6EFB">
        <w:rPr>
          <w:rFonts w:ascii="Arial" w:hAnsi="Arial" w:cs="Arial"/>
          <w:sz w:val="24"/>
          <w:szCs w:val="24"/>
          <w:lang w:val="en-US"/>
        </w:rPr>
        <w:t xml:space="preserve"> and amendment thereto, </w:t>
      </w:r>
      <w:r w:rsidR="00EF1AD1">
        <w:rPr>
          <w:rFonts w:ascii="Arial" w:hAnsi="Arial" w:cs="Arial"/>
          <w:sz w:val="24"/>
          <w:szCs w:val="24"/>
          <w:lang w:val="en-US"/>
        </w:rPr>
        <w:t xml:space="preserve">and the </w:t>
      </w:r>
      <w:r w:rsidR="005A7DDB">
        <w:rPr>
          <w:rFonts w:ascii="Arial" w:hAnsi="Arial" w:cs="Arial"/>
          <w:sz w:val="24"/>
          <w:szCs w:val="24"/>
          <w:lang w:val="en-US"/>
        </w:rPr>
        <w:t>parties’</w:t>
      </w:r>
      <w:r w:rsidR="00EF1AD1">
        <w:rPr>
          <w:rFonts w:ascii="Arial" w:hAnsi="Arial" w:cs="Arial"/>
          <w:sz w:val="24"/>
          <w:szCs w:val="24"/>
          <w:lang w:val="en-US"/>
        </w:rPr>
        <w:t xml:space="preserve"> </w:t>
      </w:r>
      <w:r w:rsidR="002A6EFB">
        <w:rPr>
          <w:rFonts w:ascii="Arial" w:hAnsi="Arial" w:cs="Arial"/>
          <w:sz w:val="24"/>
          <w:szCs w:val="24"/>
          <w:lang w:val="en-US"/>
        </w:rPr>
        <w:t xml:space="preserve">contractual </w:t>
      </w:r>
      <w:r w:rsidR="00EF1AD1">
        <w:rPr>
          <w:rFonts w:ascii="Arial" w:hAnsi="Arial" w:cs="Arial"/>
          <w:sz w:val="24"/>
          <w:szCs w:val="24"/>
          <w:lang w:val="en-US"/>
        </w:rPr>
        <w:t>relationship, the</w:t>
      </w:r>
      <w:r w:rsidR="00663441">
        <w:rPr>
          <w:rFonts w:ascii="Arial" w:hAnsi="Arial" w:cs="Arial"/>
          <w:sz w:val="24"/>
          <w:szCs w:val="24"/>
          <w:lang w:val="en-US"/>
        </w:rPr>
        <w:t xml:space="preserve"> </w:t>
      </w:r>
      <w:r w:rsidR="002A6EFB">
        <w:rPr>
          <w:rFonts w:ascii="Arial" w:hAnsi="Arial" w:cs="Arial"/>
          <w:sz w:val="24"/>
          <w:szCs w:val="24"/>
          <w:lang w:val="en-US"/>
        </w:rPr>
        <w:t xml:space="preserve">submission </w:t>
      </w:r>
      <w:r w:rsidR="00663441">
        <w:rPr>
          <w:rFonts w:ascii="Arial" w:hAnsi="Arial" w:cs="Arial"/>
          <w:sz w:val="24"/>
          <w:szCs w:val="24"/>
          <w:lang w:val="en-US"/>
        </w:rPr>
        <w:t xml:space="preserve">that the </w:t>
      </w:r>
      <w:r w:rsidR="002A6EFB">
        <w:rPr>
          <w:rFonts w:ascii="Arial" w:hAnsi="Arial" w:cs="Arial"/>
          <w:sz w:val="24"/>
          <w:szCs w:val="24"/>
          <w:lang w:val="en-US"/>
        </w:rPr>
        <w:t xml:space="preserve">plaintiff’s </w:t>
      </w:r>
      <w:r w:rsidR="00663441">
        <w:rPr>
          <w:rFonts w:ascii="Arial" w:hAnsi="Arial" w:cs="Arial"/>
          <w:sz w:val="24"/>
          <w:szCs w:val="24"/>
          <w:lang w:val="en-US"/>
        </w:rPr>
        <w:t>explanation is contrived, does not hold</w:t>
      </w:r>
      <w:r w:rsidR="00EF1AD1">
        <w:rPr>
          <w:rFonts w:ascii="Arial" w:hAnsi="Arial" w:cs="Arial"/>
          <w:sz w:val="24"/>
          <w:szCs w:val="24"/>
          <w:lang w:val="en-US"/>
        </w:rPr>
        <w:t>.</w:t>
      </w:r>
    </w:p>
    <w:p w:rsidR="00EF1AD1" w:rsidRDefault="00EF1AD1" w:rsidP="00F36708">
      <w:pPr>
        <w:spacing w:line="480" w:lineRule="auto"/>
        <w:jc w:val="both"/>
        <w:rPr>
          <w:rFonts w:ascii="Arial" w:hAnsi="Arial" w:cs="Arial"/>
          <w:sz w:val="24"/>
          <w:szCs w:val="24"/>
          <w:lang w:val="en-US"/>
        </w:rPr>
      </w:pPr>
    </w:p>
    <w:p w:rsidR="00281B2A" w:rsidRDefault="00CB7701" w:rsidP="00F36708">
      <w:pPr>
        <w:spacing w:line="480" w:lineRule="auto"/>
        <w:jc w:val="both"/>
        <w:rPr>
          <w:rFonts w:ascii="Arial" w:hAnsi="Arial" w:cs="Arial"/>
          <w:sz w:val="24"/>
          <w:szCs w:val="24"/>
          <w:lang w:val="en-US"/>
        </w:rPr>
      </w:pPr>
      <w:r>
        <w:rPr>
          <w:rFonts w:ascii="Arial" w:hAnsi="Arial" w:cs="Arial"/>
          <w:sz w:val="24"/>
          <w:szCs w:val="24"/>
          <w:lang w:val="en-US"/>
        </w:rPr>
        <w:t>[4</w:t>
      </w:r>
      <w:r w:rsidR="00DC5B90">
        <w:rPr>
          <w:rFonts w:ascii="Arial" w:hAnsi="Arial" w:cs="Arial"/>
          <w:sz w:val="24"/>
          <w:szCs w:val="24"/>
          <w:lang w:val="en-US"/>
        </w:rPr>
        <w:t>9</w:t>
      </w:r>
      <w:r>
        <w:rPr>
          <w:rFonts w:ascii="Arial" w:hAnsi="Arial" w:cs="Arial"/>
          <w:sz w:val="24"/>
          <w:szCs w:val="24"/>
          <w:lang w:val="en-US"/>
        </w:rPr>
        <w:t>]</w:t>
      </w:r>
      <w:r>
        <w:rPr>
          <w:rFonts w:ascii="Arial" w:hAnsi="Arial" w:cs="Arial"/>
          <w:sz w:val="24"/>
          <w:szCs w:val="24"/>
          <w:lang w:val="en-US"/>
        </w:rPr>
        <w:tab/>
      </w:r>
      <w:r w:rsidR="00EF1AD1">
        <w:rPr>
          <w:rFonts w:ascii="Arial" w:hAnsi="Arial" w:cs="Arial"/>
          <w:sz w:val="24"/>
          <w:szCs w:val="24"/>
          <w:lang w:val="en-US"/>
        </w:rPr>
        <w:t>On the issue of prejudice to the defendant</w:t>
      </w:r>
      <w:r w:rsidR="002A6EFB">
        <w:rPr>
          <w:rFonts w:ascii="Arial" w:hAnsi="Arial" w:cs="Arial"/>
          <w:sz w:val="24"/>
          <w:szCs w:val="24"/>
          <w:lang w:val="en-US"/>
        </w:rPr>
        <w:t xml:space="preserve"> were I to grant condonation</w:t>
      </w:r>
      <w:r w:rsidR="00EF1AD1">
        <w:rPr>
          <w:rFonts w:ascii="Arial" w:hAnsi="Arial" w:cs="Arial"/>
          <w:sz w:val="24"/>
          <w:szCs w:val="24"/>
          <w:lang w:val="en-US"/>
        </w:rPr>
        <w:t xml:space="preserve">, I certainly </w:t>
      </w:r>
      <w:r w:rsidR="002C4CD3">
        <w:rPr>
          <w:rFonts w:ascii="Arial" w:hAnsi="Arial" w:cs="Arial"/>
          <w:sz w:val="24"/>
          <w:szCs w:val="24"/>
          <w:lang w:val="en-US"/>
        </w:rPr>
        <w:t>appreciate</w:t>
      </w:r>
      <w:r w:rsidR="00EF1AD1">
        <w:rPr>
          <w:rFonts w:ascii="Arial" w:hAnsi="Arial" w:cs="Arial"/>
          <w:sz w:val="24"/>
          <w:szCs w:val="24"/>
          <w:lang w:val="en-US"/>
        </w:rPr>
        <w:t xml:space="preserve"> that the latter </w:t>
      </w:r>
      <w:r w:rsidR="002A6EFB">
        <w:rPr>
          <w:rFonts w:ascii="Arial" w:hAnsi="Arial" w:cs="Arial"/>
          <w:sz w:val="24"/>
          <w:szCs w:val="24"/>
          <w:lang w:val="en-US"/>
        </w:rPr>
        <w:t xml:space="preserve">faces a </w:t>
      </w:r>
      <w:r w:rsidR="00EF1AD1">
        <w:rPr>
          <w:rFonts w:ascii="Arial" w:hAnsi="Arial" w:cs="Arial"/>
          <w:sz w:val="24"/>
          <w:szCs w:val="24"/>
          <w:lang w:val="en-US"/>
        </w:rPr>
        <w:t>massive claim</w:t>
      </w:r>
      <w:r w:rsidR="00663441">
        <w:rPr>
          <w:rFonts w:ascii="Arial" w:hAnsi="Arial" w:cs="Arial"/>
          <w:sz w:val="24"/>
          <w:szCs w:val="24"/>
          <w:lang w:val="en-US"/>
        </w:rPr>
        <w:t xml:space="preserve"> of R38</w:t>
      </w:r>
      <w:r w:rsidR="002A6EFB">
        <w:rPr>
          <w:rFonts w:ascii="Arial" w:hAnsi="Arial" w:cs="Arial"/>
          <w:sz w:val="24"/>
          <w:szCs w:val="24"/>
          <w:lang w:val="en-US"/>
        </w:rPr>
        <w:t xml:space="preserve"> </w:t>
      </w:r>
      <w:r w:rsidR="00663441">
        <w:rPr>
          <w:rFonts w:ascii="Arial" w:hAnsi="Arial" w:cs="Arial"/>
          <w:sz w:val="24"/>
          <w:szCs w:val="24"/>
          <w:lang w:val="en-US"/>
        </w:rPr>
        <w:t>million</w:t>
      </w:r>
      <w:r w:rsidR="00EF1AD1">
        <w:rPr>
          <w:rFonts w:ascii="Arial" w:hAnsi="Arial" w:cs="Arial"/>
          <w:sz w:val="24"/>
          <w:szCs w:val="24"/>
          <w:lang w:val="en-US"/>
        </w:rPr>
        <w:t xml:space="preserve"> </w:t>
      </w:r>
      <w:r w:rsidR="002C4CD3">
        <w:rPr>
          <w:rFonts w:ascii="Arial" w:hAnsi="Arial" w:cs="Arial"/>
          <w:sz w:val="24"/>
          <w:szCs w:val="24"/>
          <w:lang w:val="en-US"/>
        </w:rPr>
        <w:t>which</w:t>
      </w:r>
      <w:r w:rsidR="00EF1AD1">
        <w:rPr>
          <w:rFonts w:ascii="Arial" w:hAnsi="Arial" w:cs="Arial"/>
          <w:sz w:val="24"/>
          <w:szCs w:val="24"/>
          <w:lang w:val="en-US"/>
        </w:rPr>
        <w:t xml:space="preserve"> it </w:t>
      </w:r>
      <w:r w:rsidR="002C4CD3">
        <w:rPr>
          <w:rFonts w:ascii="Arial" w:hAnsi="Arial" w:cs="Arial"/>
          <w:sz w:val="24"/>
          <w:szCs w:val="24"/>
          <w:lang w:val="en-US"/>
        </w:rPr>
        <w:t>needs</w:t>
      </w:r>
      <w:r w:rsidR="00EF1AD1">
        <w:rPr>
          <w:rFonts w:ascii="Arial" w:hAnsi="Arial" w:cs="Arial"/>
          <w:sz w:val="24"/>
          <w:szCs w:val="24"/>
          <w:lang w:val="en-US"/>
        </w:rPr>
        <w:t xml:space="preserve"> to contend with since issue of the </w:t>
      </w:r>
      <w:r w:rsidR="00663441">
        <w:rPr>
          <w:rFonts w:ascii="Arial" w:hAnsi="Arial" w:cs="Arial"/>
          <w:sz w:val="24"/>
          <w:szCs w:val="24"/>
          <w:lang w:val="en-US"/>
        </w:rPr>
        <w:t>S</w:t>
      </w:r>
      <w:r w:rsidR="00EF1AD1">
        <w:rPr>
          <w:rFonts w:ascii="Arial" w:hAnsi="Arial" w:cs="Arial"/>
          <w:sz w:val="24"/>
          <w:szCs w:val="24"/>
          <w:lang w:val="en-US"/>
        </w:rPr>
        <w:t xml:space="preserve">ummons four years ago. However, where I disagree, is that the prejudice resulting </w:t>
      </w:r>
      <w:r w:rsidR="005A7DDB">
        <w:rPr>
          <w:rFonts w:ascii="Arial" w:hAnsi="Arial" w:cs="Arial"/>
          <w:sz w:val="24"/>
          <w:szCs w:val="24"/>
          <w:lang w:val="en-US"/>
        </w:rPr>
        <w:t>from</w:t>
      </w:r>
      <w:r w:rsidR="00EF1AD1">
        <w:rPr>
          <w:rFonts w:ascii="Arial" w:hAnsi="Arial" w:cs="Arial"/>
          <w:sz w:val="24"/>
          <w:szCs w:val="24"/>
          <w:lang w:val="en-US"/>
        </w:rPr>
        <w:t xml:space="preserve"> the non-compliance with the order, stretches over the </w:t>
      </w:r>
      <w:r w:rsidR="005A7DDB">
        <w:rPr>
          <w:rFonts w:ascii="Arial" w:hAnsi="Arial" w:cs="Arial"/>
          <w:sz w:val="24"/>
          <w:szCs w:val="24"/>
          <w:lang w:val="en-US"/>
        </w:rPr>
        <w:t>four-year</w:t>
      </w:r>
      <w:r w:rsidR="00EF1AD1">
        <w:rPr>
          <w:rFonts w:ascii="Arial" w:hAnsi="Arial" w:cs="Arial"/>
          <w:sz w:val="24"/>
          <w:szCs w:val="24"/>
          <w:lang w:val="en-US"/>
        </w:rPr>
        <w:t xml:space="preserve"> period. </w:t>
      </w:r>
      <w:r w:rsidR="002A6EFB">
        <w:rPr>
          <w:rFonts w:ascii="Arial" w:hAnsi="Arial" w:cs="Arial"/>
          <w:sz w:val="24"/>
          <w:szCs w:val="24"/>
          <w:lang w:val="en-US"/>
        </w:rPr>
        <w:t xml:space="preserve">Furthermore, the reliance on </w:t>
      </w:r>
      <w:r w:rsidR="002A6EFB" w:rsidRPr="002A6EFB">
        <w:rPr>
          <w:rFonts w:ascii="Arial" w:hAnsi="Arial" w:cs="Arial"/>
          <w:b/>
          <w:sz w:val="24"/>
          <w:szCs w:val="24"/>
          <w:u w:val="single"/>
          <w:lang w:val="en-US"/>
        </w:rPr>
        <w:t>Media 24 Ltd and Ot</w:t>
      </w:r>
      <w:r w:rsidR="002A6EFB">
        <w:rPr>
          <w:rFonts w:ascii="Arial" w:hAnsi="Arial" w:cs="Arial"/>
          <w:b/>
          <w:sz w:val="24"/>
          <w:szCs w:val="24"/>
          <w:u w:val="single"/>
          <w:lang w:val="en-US"/>
        </w:rPr>
        <w:t>hers</w:t>
      </w:r>
      <w:r w:rsidR="002A6EFB" w:rsidRPr="002A6EFB">
        <w:rPr>
          <w:rFonts w:ascii="Arial" w:hAnsi="Arial" w:cs="Arial"/>
          <w:b/>
          <w:sz w:val="24"/>
          <w:szCs w:val="24"/>
          <w:u w:val="single"/>
          <w:lang w:val="en-US"/>
        </w:rPr>
        <w:t xml:space="preserve"> v SA Taxi Securitisation (Pty) Ltd (Avusa Media Ltd and Others as Amici Curiae)</w:t>
      </w:r>
      <w:r w:rsidR="002A6EFB">
        <w:rPr>
          <w:rStyle w:val="FootnoteReference"/>
          <w:rFonts w:ascii="Arial" w:hAnsi="Arial" w:cs="Arial"/>
          <w:sz w:val="24"/>
          <w:szCs w:val="24"/>
          <w:lang w:val="en-US"/>
        </w:rPr>
        <w:footnoteReference w:id="24"/>
      </w:r>
      <w:r w:rsidR="002A6EFB" w:rsidRPr="002A6EFB">
        <w:rPr>
          <w:rFonts w:ascii="Arial" w:hAnsi="Arial" w:cs="Arial"/>
          <w:sz w:val="24"/>
          <w:szCs w:val="24"/>
          <w:lang w:val="en-US"/>
        </w:rPr>
        <w:t xml:space="preserve"> as support for the contention that the defendant is prejudiced by bad publicity as a result of the pending action, is misguided</w:t>
      </w:r>
      <w:r w:rsidR="00281B2A">
        <w:rPr>
          <w:rFonts w:ascii="Arial" w:hAnsi="Arial" w:cs="Arial"/>
          <w:sz w:val="24"/>
          <w:szCs w:val="24"/>
          <w:lang w:val="en-US"/>
        </w:rPr>
        <w:t xml:space="preserve">. </w:t>
      </w:r>
      <w:r w:rsidR="002A6EFB" w:rsidRPr="002A6EFB">
        <w:rPr>
          <w:rFonts w:ascii="Arial" w:hAnsi="Arial" w:cs="Arial"/>
          <w:b/>
          <w:sz w:val="24"/>
          <w:szCs w:val="24"/>
          <w:u w:val="single"/>
          <w:lang w:val="en-US"/>
        </w:rPr>
        <w:t>Media 24</w:t>
      </w:r>
      <w:r w:rsidR="002A6EFB" w:rsidRPr="002A6EFB">
        <w:rPr>
          <w:rFonts w:ascii="Arial" w:hAnsi="Arial" w:cs="Arial"/>
          <w:sz w:val="24"/>
          <w:szCs w:val="24"/>
          <w:lang w:val="en-US"/>
        </w:rPr>
        <w:t xml:space="preserve"> dealt with a </w:t>
      </w:r>
      <w:r w:rsidR="00281B2A">
        <w:rPr>
          <w:rFonts w:ascii="Arial" w:hAnsi="Arial" w:cs="Arial"/>
          <w:sz w:val="24"/>
          <w:szCs w:val="24"/>
          <w:lang w:val="en-US"/>
        </w:rPr>
        <w:t xml:space="preserve"> </w:t>
      </w:r>
      <w:r w:rsidR="002A6EFB" w:rsidRPr="002A6EFB">
        <w:rPr>
          <w:rFonts w:ascii="Arial" w:hAnsi="Arial" w:cs="Arial"/>
          <w:sz w:val="24"/>
          <w:szCs w:val="24"/>
          <w:lang w:val="en-US"/>
        </w:rPr>
        <w:t>defamat</w:t>
      </w:r>
      <w:r w:rsidR="00281B2A">
        <w:rPr>
          <w:rFonts w:ascii="Arial" w:hAnsi="Arial" w:cs="Arial"/>
          <w:sz w:val="24"/>
          <w:szCs w:val="24"/>
          <w:lang w:val="en-US"/>
        </w:rPr>
        <w:t xml:space="preserve">ion claim by a company arising from an article published in a newspaper circulated country wide. The action in this commercial matter relates to a damages claim arising out of an alleged breach of contract so the argument about bad publicity in my view, cannot hold. I must also point out that the suggestion that the defendant was out of pocket because of party and party costs awards granted in two previous applications is not sufficient reason for me to hold that there is continued prejudice to the defendant in this matter. </w:t>
      </w:r>
      <w:r w:rsidR="00EF3363">
        <w:rPr>
          <w:rFonts w:ascii="Arial" w:hAnsi="Arial" w:cs="Arial"/>
          <w:sz w:val="24"/>
          <w:szCs w:val="24"/>
          <w:lang w:val="en-US"/>
        </w:rPr>
        <w:t xml:space="preserve">Those applications were granted in the defendant’s favour and costs followed the result. Accordingly, </w:t>
      </w:r>
      <w:r w:rsidR="00281B2A">
        <w:rPr>
          <w:rFonts w:ascii="Arial" w:hAnsi="Arial" w:cs="Arial"/>
          <w:sz w:val="24"/>
          <w:szCs w:val="24"/>
          <w:lang w:val="en-US"/>
        </w:rPr>
        <w:t>I am inclined to agree with the plaintiff that the p</w:t>
      </w:r>
      <w:r w:rsidR="00EF1AD1">
        <w:rPr>
          <w:rFonts w:ascii="Arial" w:hAnsi="Arial" w:cs="Arial"/>
          <w:sz w:val="24"/>
          <w:szCs w:val="24"/>
          <w:lang w:val="en-US"/>
        </w:rPr>
        <w:t xml:space="preserve">rejudice </w:t>
      </w:r>
      <w:r w:rsidR="00DC5B90">
        <w:rPr>
          <w:rFonts w:ascii="Arial" w:hAnsi="Arial" w:cs="Arial"/>
          <w:sz w:val="24"/>
          <w:szCs w:val="24"/>
          <w:lang w:val="en-US"/>
        </w:rPr>
        <w:t xml:space="preserve">to the defendant </w:t>
      </w:r>
      <w:r w:rsidR="00EF1AD1">
        <w:rPr>
          <w:rFonts w:ascii="Arial" w:hAnsi="Arial" w:cs="Arial"/>
          <w:sz w:val="24"/>
          <w:szCs w:val="24"/>
          <w:lang w:val="en-US"/>
        </w:rPr>
        <w:t xml:space="preserve">is limited to the </w:t>
      </w:r>
      <w:r w:rsidR="00EF3363">
        <w:rPr>
          <w:rFonts w:ascii="Arial" w:hAnsi="Arial" w:cs="Arial"/>
          <w:sz w:val="24"/>
          <w:szCs w:val="24"/>
          <w:lang w:val="en-US"/>
        </w:rPr>
        <w:t xml:space="preserve">City’s </w:t>
      </w:r>
      <w:r w:rsidR="00EF1AD1">
        <w:rPr>
          <w:rFonts w:ascii="Arial" w:hAnsi="Arial" w:cs="Arial"/>
          <w:sz w:val="24"/>
          <w:szCs w:val="24"/>
          <w:lang w:val="en-US"/>
        </w:rPr>
        <w:t>no</w:t>
      </w:r>
      <w:r w:rsidR="002C4CD3">
        <w:rPr>
          <w:rFonts w:ascii="Arial" w:hAnsi="Arial" w:cs="Arial"/>
          <w:sz w:val="24"/>
          <w:szCs w:val="24"/>
          <w:lang w:val="en-US"/>
        </w:rPr>
        <w:t>n</w:t>
      </w:r>
      <w:r w:rsidR="00EF1AD1">
        <w:rPr>
          <w:rFonts w:ascii="Arial" w:hAnsi="Arial" w:cs="Arial"/>
          <w:sz w:val="24"/>
          <w:szCs w:val="24"/>
          <w:lang w:val="en-US"/>
        </w:rPr>
        <w:t>-compliance with the Goliath order and in this regard, the delay which the defendant was subjected to was a month</w:t>
      </w:r>
      <w:r w:rsidR="00281B2A">
        <w:rPr>
          <w:rFonts w:ascii="Arial" w:hAnsi="Arial" w:cs="Arial"/>
          <w:sz w:val="24"/>
          <w:szCs w:val="24"/>
          <w:lang w:val="en-US"/>
        </w:rPr>
        <w:t xml:space="preserve"> or 30 days</w:t>
      </w:r>
      <w:r w:rsidR="00EF1AD1">
        <w:rPr>
          <w:rFonts w:ascii="Arial" w:hAnsi="Arial" w:cs="Arial"/>
          <w:sz w:val="24"/>
          <w:szCs w:val="24"/>
          <w:lang w:val="en-US"/>
        </w:rPr>
        <w:t xml:space="preserve">, as the </w:t>
      </w:r>
      <w:r w:rsidR="00281B2A">
        <w:rPr>
          <w:rFonts w:ascii="Arial" w:hAnsi="Arial" w:cs="Arial"/>
          <w:sz w:val="24"/>
          <w:szCs w:val="24"/>
          <w:lang w:val="en-US"/>
        </w:rPr>
        <w:t>N</w:t>
      </w:r>
      <w:r w:rsidR="00EF1AD1">
        <w:rPr>
          <w:rFonts w:ascii="Arial" w:hAnsi="Arial" w:cs="Arial"/>
          <w:sz w:val="24"/>
          <w:szCs w:val="24"/>
          <w:lang w:val="en-US"/>
        </w:rPr>
        <w:t xml:space="preserve">otice of </w:t>
      </w:r>
      <w:r w:rsidR="00281B2A">
        <w:rPr>
          <w:rFonts w:ascii="Arial" w:hAnsi="Arial" w:cs="Arial"/>
          <w:sz w:val="24"/>
          <w:szCs w:val="24"/>
          <w:lang w:val="en-US"/>
        </w:rPr>
        <w:t>A</w:t>
      </w:r>
      <w:r w:rsidR="00EF1AD1">
        <w:rPr>
          <w:rFonts w:ascii="Arial" w:hAnsi="Arial" w:cs="Arial"/>
          <w:sz w:val="24"/>
          <w:szCs w:val="24"/>
          <w:lang w:val="en-US"/>
        </w:rPr>
        <w:t xml:space="preserve">mendment was </w:t>
      </w:r>
      <w:r w:rsidR="002C4CD3">
        <w:rPr>
          <w:rFonts w:ascii="Arial" w:hAnsi="Arial" w:cs="Arial"/>
          <w:sz w:val="24"/>
          <w:szCs w:val="24"/>
          <w:lang w:val="en-US"/>
        </w:rPr>
        <w:t>delivered</w:t>
      </w:r>
      <w:r w:rsidR="00EF1AD1">
        <w:rPr>
          <w:rFonts w:ascii="Arial" w:hAnsi="Arial" w:cs="Arial"/>
          <w:sz w:val="24"/>
          <w:szCs w:val="24"/>
          <w:lang w:val="en-US"/>
        </w:rPr>
        <w:t xml:space="preserve"> </w:t>
      </w:r>
      <w:r w:rsidR="00672DA2">
        <w:rPr>
          <w:rFonts w:ascii="Arial" w:hAnsi="Arial" w:cs="Arial"/>
          <w:sz w:val="24"/>
          <w:szCs w:val="24"/>
          <w:lang w:val="en-US"/>
        </w:rPr>
        <w:t>on</w:t>
      </w:r>
      <w:r w:rsidR="00EF1AD1">
        <w:rPr>
          <w:rFonts w:ascii="Arial" w:hAnsi="Arial" w:cs="Arial"/>
          <w:sz w:val="24"/>
          <w:szCs w:val="24"/>
          <w:lang w:val="en-US"/>
        </w:rPr>
        <w:t xml:space="preserve"> 22 Ju</w:t>
      </w:r>
      <w:r w:rsidR="00281B2A">
        <w:rPr>
          <w:rFonts w:ascii="Arial" w:hAnsi="Arial" w:cs="Arial"/>
          <w:sz w:val="24"/>
          <w:szCs w:val="24"/>
          <w:lang w:val="en-US"/>
        </w:rPr>
        <w:t>ly</w:t>
      </w:r>
      <w:r w:rsidR="00EF1AD1">
        <w:rPr>
          <w:rFonts w:ascii="Arial" w:hAnsi="Arial" w:cs="Arial"/>
          <w:sz w:val="24"/>
          <w:szCs w:val="24"/>
          <w:lang w:val="en-US"/>
        </w:rPr>
        <w:t xml:space="preserve"> 2022</w:t>
      </w:r>
      <w:r w:rsidR="00281B2A">
        <w:rPr>
          <w:rFonts w:ascii="Arial" w:hAnsi="Arial" w:cs="Arial"/>
          <w:sz w:val="24"/>
          <w:szCs w:val="24"/>
          <w:lang w:val="en-US"/>
        </w:rPr>
        <w:t xml:space="preserve">. The prejudice is thus limited to a time-related delay. </w:t>
      </w:r>
    </w:p>
    <w:p w:rsidR="00EF1AD1" w:rsidRDefault="00281B2A" w:rsidP="00F36708">
      <w:pPr>
        <w:spacing w:line="480" w:lineRule="auto"/>
        <w:jc w:val="both"/>
        <w:rPr>
          <w:rFonts w:ascii="Arial" w:hAnsi="Arial" w:cs="Arial"/>
          <w:sz w:val="24"/>
          <w:szCs w:val="24"/>
          <w:lang w:val="en-US"/>
        </w:rPr>
      </w:pPr>
      <w:r>
        <w:rPr>
          <w:rFonts w:ascii="Arial" w:hAnsi="Arial" w:cs="Arial"/>
          <w:sz w:val="24"/>
          <w:szCs w:val="24"/>
          <w:lang w:val="en-US"/>
        </w:rPr>
        <w:t xml:space="preserve"> </w:t>
      </w:r>
    </w:p>
    <w:p w:rsidR="00191F4F" w:rsidRDefault="00CB7701" w:rsidP="00F36708">
      <w:pPr>
        <w:spacing w:line="480" w:lineRule="auto"/>
        <w:jc w:val="both"/>
        <w:rPr>
          <w:rFonts w:ascii="Arial" w:hAnsi="Arial" w:cs="Arial"/>
          <w:sz w:val="24"/>
          <w:szCs w:val="24"/>
          <w:lang w:val="en-US"/>
        </w:rPr>
      </w:pPr>
      <w:r>
        <w:rPr>
          <w:rFonts w:ascii="Arial" w:hAnsi="Arial" w:cs="Arial"/>
          <w:sz w:val="24"/>
          <w:szCs w:val="24"/>
          <w:lang w:val="en-US"/>
        </w:rPr>
        <w:t>[</w:t>
      </w:r>
      <w:r w:rsidR="00DC5B90">
        <w:rPr>
          <w:rFonts w:ascii="Arial" w:hAnsi="Arial" w:cs="Arial"/>
          <w:sz w:val="24"/>
          <w:szCs w:val="24"/>
          <w:lang w:val="en-US"/>
        </w:rPr>
        <w:t>50</w:t>
      </w:r>
      <w:r>
        <w:rPr>
          <w:rFonts w:ascii="Arial" w:hAnsi="Arial" w:cs="Arial"/>
          <w:sz w:val="24"/>
          <w:szCs w:val="24"/>
          <w:lang w:val="en-US"/>
        </w:rPr>
        <w:t>]</w:t>
      </w:r>
      <w:r>
        <w:rPr>
          <w:rFonts w:ascii="Arial" w:hAnsi="Arial" w:cs="Arial"/>
          <w:sz w:val="24"/>
          <w:szCs w:val="24"/>
          <w:lang w:val="en-US"/>
        </w:rPr>
        <w:tab/>
      </w:r>
      <w:r w:rsidR="00672DA2">
        <w:rPr>
          <w:rFonts w:ascii="Arial" w:hAnsi="Arial" w:cs="Arial"/>
          <w:sz w:val="24"/>
          <w:szCs w:val="24"/>
          <w:lang w:val="en-US"/>
        </w:rPr>
        <w:t>Having considered the application and submissions, I find that t</w:t>
      </w:r>
      <w:r w:rsidR="00EF1AD1">
        <w:rPr>
          <w:rFonts w:ascii="Arial" w:hAnsi="Arial" w:cs="Arial"/>
          <w:sz w:val="24"/>
          <w:szCs w:val="24"/>
          <w:lang w:val="en-US"/>
        </w:rPr>
        <w:t xml:space="preserve">here is </w:t>
      </w:r>
      <w:r w:rsidR="002C4CD3">
        <w:rPr>
          <w:rFonts w:ascii="Arial" w:hAnsi="Arial" w:cs="Arial"/>
          <w:sz w:val="24"/>
          <w:szCs w:val="24"/>
          <w:lang w:val="en-US"/>
        </w:rPr>
        <w:t>simply</w:t>
      </w:r>
      <w:r w:rsidR="00EF1AD1">
        <w:rPr>
          <w:rFonts w:ascii="Arial" w:hAnsi="Arial" w:cs="Arial"/>
          <w:sz w:val="24"/>
          <w:szCs w:val="24"/>
          <w:lang w:val="en-US"/>
        </w:rPr>
        <w:t xml:space="preserve"> no merit in the argument </w:t>
      </w:r>
      <w:r w:rsidR="002C4CD3">
        <w:rPr>
          <w:rFonts w:ascii="Arial" w:hAnsi="Arial" w:cs="Arial"/>
          <w:sz w:val="24"/>
          <w:szCs w:val="24"/>
          <w:lang w:val="en-US"/>
        </w:rPr>
        <w:t>that</w:t>
      </w:r>
      <w:r w:rsidR="00EF1AD1">
        <w:rPr>
          <w:rFonts w:ascii="Arial" w:hAnsi="Arial" w:cs="Arial"/>
          <w:sz w:val="24"/>
          <w:szCs w:val="24"/>
          <w:lang w:val="en-US"/>
        </w:rPr>
        <w:t xml:space="preserve"> the City </w:t>
      </w:r>
      <w:r w:rsidR="002C4CD3">
        <w:rPr>
          <w:rFonts w:ascii="Arial" w:hAnsi="Arial" w:cs="Arial"/>
          <w:sz w:val="24"/>
          <w:szCs w:val="24"/>
          <w:lang w:val="en-US"/>
        </w:rPr>
        <w:t>has</w:t>
      </w:r>
      <w:r w:rsidR="00EF1AD1">
        <w:rPr>
          <w:rFonts w:ascii="Arial" w:hAnsi="Arial" w:cs="Arial"/>
          <w:sz w:val="24"/>
          <w:szCs w:val="24"/>
          <w:lang w:val="en-US"/>
        </w:rPr>
        <w:t xml:space="preserve"> acted in bad faith and </w:t>
      </w:r>
      <w:r w:rsidR="002C4CD3">
        <w:rPr>
          <w:rFonts w:ascii="Arial" w:hAnsi="Arial" w:cs="Arial"/>
          <w:sz w:val="24"/>
          <w:szCs w:val="24"/>
          <w:lang w:val="en-US"/>
        </w:rPr>
        <w:t>that</w:t>
      </w:r>
      <w:r w:rsidR="00EF1AD1">
        <w:rPr>
          <w:rFonts w:ascii="Arial" w:hAnsi="Arial" w:cs="Arial"/>
          <w:sz w:val="24"/>
          <w:szCs w:val="24"/>
          <w:lang w:val="en-US"/>
        </w:rPr>
        <w:t xml:space="preserve"> </w:t>
      </w:r>
      <w:r w:rsidR="00DC5B90">
        <w:rPr>
          <w:rFonts w:ascii="Arial" w:hAnsi="Arial" w:cs="Arial"/>
          <w:sz w:val="24"/>
          <w:szCs w:val="24"/>
          <w:lang w:val="en-US"/>
        </w:rPr>
        <w:t>its</w:t>
      </w:r>
      <w:r w:rsidR="00EF1AD1">
        <w:rPr>
          <w:rFonts w:ascii="Arial" w:hAnsi="Arial" w:cs="Arial"/>
          <w:sz w:val="24"/>
          <w:szCs w:val="24"/>
          <w:lang w:val="en-US"/>
        </w:rPr>
        <w:t xml:space="preserve"> </w:t>
      </w:r>
      <w:r w:rsidR="002C4CD3">
        <w:rPr>
          <w:rFonts w:ascii="Arial" w:hAnsi="Arial" w:cs="Arial"/>
          <w:sz w:val="24"/>
          <w:szCs w:val="24"/>
          <w:lang w:val="en-US"/>
        </w:rPr>
        <w:t>explanation</w:t>
      </w:r>
      <w:r w:rsidR="00EF1AD1">
        <w:rPr>
          <w:rFonts w:ascii="Arial" w:hAnsi="Arial" w:cs="Arial"/>
          <w:sz w:val="24"/>
          <w:szCs w:val="24"/>
          <w:lang w:val="en-US"/>
        </w:rPr>
        <w:t xml:space="preserve"> for delay is</w:t>
      </w:r>
      <w:r w:rsidR="00672DA2" w:rsidRPr="00191F4F">
        <w:rPr>
          <w:rFonts w:ascii="Arial" w:hAnsi="Arial" w:cs="Arial"/>
          <w:i/>
          <w:sz w:val="24"/>
          <w:szCs w:val="24"/>
          <w:lang w:val="en-US"/>
        </w:rPr>
        <w:t xml:space="preserve"> m</w:t>
      </w:r>
      <w:r w:rsidR="00191F4F" w:rsidRPr="00191F4F">
        <w:rPr>
          <w:rFonts w:ascii="Arial" w:hAnsi="Arial" w:cs="Arial"/>
          <w:i/>
          <w:sz w:val="24"/>
          <w:szCs w:val="24"/>
          <w:lang w:val="en-US"/>
        </w:rPr>
        <w:t>ala fide</w:t>
      </w:r>
      <w:r w:rsidR="00EF1AD1">
        <w:rPr>
          <w:rFonts w:ascii="Arial" w:hAnsi="Arial" w:cs="Arial"/>
          <w:sz w:val="24"/>
          <w:szCs w:val="24"/>
          <w:lang w:val="en-US"/>
        </w:rPr>
        <w:t xml:space="preserve">. </w:t>
      </w:r>
      <w:r w:rsidR="00DC5B90">
        <w:rPr>
          <w:rFonts w:ascii="Arial" w:hAnsi="Arial" w:cs="Arial"/>
          <w:sz w:val="24"/>
          <w:szCs w:val="24"/>
          <w:lang w:val="en-US"/>
        </w:rPr>
        <w:t>The explanation is</w:t>
      </w:r>
      <w:r w:rsidR="00EF1AD1">
        <w:rPr>
          <w:rFonts w:ascii="Arial" w:hAnsi="Arial" w:cs="Arial"/>
          <w:sz w:val="24"/>
          <w:szCs w:val="24"/>
          <w:lang w:val="en-US"/>
        </w:rPr>
        <w:t xml:space="preserve"> </w:t>
      </w:r>
      <w:r w:rsidR="00281B2A">
        <w:rPr>
          <w:rFonts w:ascii="Arial" w:hAnsi="Arial" w:cs="Arial"/>
          <w:sz w:val="24"/>
          <w:szCs w:val="24"/>
          <w:lang w:val="en-US"/>
        </w:rPr>
        <w:t xml:space="preserve">most </w:t>
      </w:r>
      <w:r w:rsidR="002C4CD3">
        <w:rPr>
          <w:rFonts w:ascii="Arial" w:hAnsi="Arial" w:cs="Arial"/>
          <w:sz w:val="24"/>
          <w:szCs w:val="24"/>
          <w:lang w:val="en-US"/>
        </w:rPr>
        <w:t>certainly</w:t>
      </w:r>
      <w:r w:rsidR="00EF1AD1">
        <w:rPr>
          <w:rFonts w:ascii="Arial" w:hAnsi="Arial" w:cs="Arial"/>
          <w:sz w:val="24"/>
          <w:szCs w:val="24"/>
          <w:lang w:val="en-US"/>
        </w:rPr>
        <w:t xml:space="preserve"> </w:t>
      </w:r>
      <w:r w:rsidR="002C4CD3">
        <w:rPr>
          <w:rFonts w:ascii="Arial" w:hAnsi="Arial" w:cs="Arial"/>
          <w:sz w:val="24"/>
          <w:szCs w:val="24"/>
          <w:lang w:val="en-US"/>
        </w:rPr>
        <w:t>n</w:t>
      </w:r>
      <w:r w:rsidR="00EF1AD1">
        <w:rPr>
          <w:rFonts w:ascii="Arial" w:hAnsi="Arial" w:cs="Arial"/>
          <w:sz w:val="24"/>
          <w:szCs w:val="24"/>
          <w:lang w:val="en-US"/>
        </w:rPr>
        <w:t xml:space="preserve">ot a model of </w:t>
      </w:r>
      <w:r w:rsidR="002C4CD3">
        <w:rPr>
          <w:rFonts w:ascii="Arial" w:hAnsi="Arial" w:cs="Arial"/>
          <w:sz w:val="24"/>
          <w:szCs w:val="24"/>
          <w:lang w:val="en-US"/>
        </w:rPr>
        <w:t>perfection</w:t>
      </w:r>
      <w:r w:rsidR="00EF1AD1">
        <w:rPr>
          <w:rFonts w:ascii="Arial" w:hAnsi="Arial" w:cs="Arial"/>
          <w:sz w:val="24"/>
          <w:szCs w:val="24"/>
          <w:lang w:val="en-US"/>
        </w:rPr>
        <w:t xml:space="preserve">, </w:t>
      </w:r>
      <w:r w:rsidR="00281B2A">
        <w:rPr>
          <w:rFonts w:ascii="Arial" w:hAnsi="Arial" w:cs="Arial"/>
          <w:sz w:val="24"/>
          <w:szCs w:val="24"/>
          <w:lang w:val="en-US"/>
        </w:rPr>
        <w:t xml:space="preserve">and it has its shortcomings as described above, </w:t>
      </w:r>
      <w:r w:rsidR="00EF1AD1">
        <w:rPr>
          <w:rFonts w:ascii="Arial" w:hAnsi="Arial" w:cs="Arial"/>
          <w:sz w:val="24"/>
          <w:szCs w:val="24"/>
          <w:lang w:val="en-US"/>
        </w:rPr>
        <w:t xml:space="preserve">but </w:t>
      </w:r>
      <w:r w:rsidR="00281B2A">
        <w:rPr>
          <w:rFonts w:ascii="Arial" w:hAnsi="Arial" w:cs="Arial"/>
          <w:sz w:val="24"/>
          <w:szCs w:val="24"/>
          <w:lang w:val="en-US"/>
        </w:rPr>
        <w:t xml:space="preserve">it </w:t>
      </w:r>
      <w:r w:rsidR="00EF1AD1">
        <w:rPr>
          <w:rFonts w:ascii="Arial" w:hAnsi="Arial" w:cs="Arial"/>
          <w:sz w:val="24"/>
          <w:szCs w:val="24"/>
          <w:lang w:val="en-US"/>
        </w:rPr>
        <w:t xml:space="preserve">is sufficiently full enough for </w:t>
      </w:r>
      <w:r w:rsidR="00281B2A">
        <w:rPr>
          <w:rFonts w:ascii="Arial" w:hAnsi="Arial" w:cs="Arial"/>
          <w:sz w:val="24"/>
          <w:szCs w:val="24"/>
          <w:lang w:val="en-US"/>
        </w:rPr>
        <w:t xml:space="preserve">me </w:t>
      </w:r>
      <w:r w:rsidR="00EF1AD1">
        <w:rPr>
          <w:rFonts w:ascii="Arial" w:hAnsi="Arial" w:cs="Arial"/>
          <w:sz w:val="24"/>
          <w:szCs w:val="24"/>
          <w:lang w:val="en-US"/>
        </w:rPr>
        <w:t xml:space="preserve">to assess </w:t>
      </w:r>
      <w:r w:rsidR="00672DA2">
        <w:rPr>
          <w:rFonts w:ascii="Arial" w:hAnsi="Arial" w:cs="Arial"/>
          <w:sz w:val="24"/>
          <w:szCs w:val="24"/>
          <w:lang w:val="en-US"/>
        </w:rPr>
        <w:t>the plaintiff’s</w:t>
      </w:r>
      <w:r w:rsidR="00EF1AD1">
        <w:rPr>
          <w:rFonts w:ascii="Arial" w:hAnsi="Arial" w:cs="Arial"/>
          <w:sz w:val="24"/>
          <w:szCs w:val="24"/>
          <w:lang w:val="en-US"/>
        </w:rPr>
        <w:t xml:space="preserve"> </w:t>
      </w:r>
      <w:r w:rsidR="002C4CD3">
        <w:rPr>
          <w:rFonts w:ascii="Arial" w:hAnsi="Arial" w:cs="Arial"/>
          <w:sz w:val="24"/>
          <w:szCs w:val="24"/>
          <w:lang w:val="en-US"/>
        </w:rPr>
        <w:t>motives</w:t>
      </w:r>
      <w:r w:rsidR="00EF1AD1">
        <w:rPr>
          <w:rFonts w:ascii="Arial" w:hAnsi="Arial" w:cs="Arial"/>
          <w:sz w:val="24"/>
          <w:szCs w:val="24"/>
          <w:lang w:val="en-US"/>
        </w:rPr>
        <w:t xml:space="preserve"> and conduct</w:t>
      </w:r>
      <w:r w:rsidR="00281B2A">
        <w:rPr>
          <w:rFonts w:ascii="Arial" w:hAnsi="Arial" w:cs="Arial"/>
          <w:sz w:val="24"/>
          <w:szCs w:val="24"/>
          <w:lang w:val="en-US"/>
        </w:rPr>
        <w:t>, which</w:t>
      </w:r>
      <w:r w:rsidR="00191F4F">
        <w:rPr>
          <w:rFonts w:ascii="Arial" w:hAnsi="Arial" w:cs="Arial"/>
          <w:sz w:val="24"/>
          <w:szCs w:val="24"/>
          <w:lang w:val="en-US"/>
        </w:rPr>
        <w:t xml:space="preserve"> I accept to be that it heeded the warnings of the Goliath order and after consultations and delays, attended to make numerous amendments to its pleadings. </w:t>
      </w:r>
    </w:p>
    <w:p w:rsidR="00191F4F" w:rsidRDefault="00191F4F" w:rsidP="00F36708">
      <w:pPr>
        <w:spacing w:line="480" w:lineRule="auto"/>
        <w:jc w:val="both"/>
        <w:rPr>
          <w:rFonts w:ascii="Arial" w:hAnsi="Arial" w:cs="Arial"/>
          <w:sz w:val="24"/>
          <w:szCs w:val="24"/>
          <w:lang w:val="en-US"/>
        </w:rPr>
      </w:pPr>
    </w:p>
    <w:p w:rsidR="00DC5B90" w:rsidRDefault="00191F4F" w:rsidP="00F36708">
      <w:pPr>
        <w:spacing w:line="480" w:lineRule="auto"/>
        <w:jc w:val="both"/>
        <w:rPr>
          <w:rFonts w:ascii="Arial" w:hAnsi="Arial" w:cs="Arial"/>
          <w:sz w:val="24"/>
          <w:szCs w:val="24"/>
          <w:lang w:val="en-US"/>
        </w:rPr>
      </w:pPr>
      <w:r>
        <w:rPr>
          <w:rFonts w:ascii="Arial" w:hAnsi="Arial" w:cs="Arial"/>
          <w:sz w:val="24"/>
          <w:szCs w:val="24"/>
          <w:lang w:val="en-US"/>
        </w:rPr>
        <w:t>[51]</w:t>
      </w:r>
      <w:r>
        <w:rPr>
          <w:rFonts w:ascii="Arial" w:hAnsi="Arial" w:cs="Arial"/>
          <w:sz w:val="24"/>
          <w:szCs w:val="24"/>
          <w:lang w:val="en-US"/>
        </w:rPr>
        <w:tab/>
      </w:r>
      <w:r w:rsidR="00EF1AD1">
        <w:rPr>
          <w:rFonts w:ascii="Arial" w:hAnsi="Arial" w:cs="Arial"/>
          <w:sz w:val="24"/>
          <w:szCs w:val="24"/>
          <w:lang w:val="en-US"/>
        </w:rPr>
        <w:t xml:space="preserve">The further important factor which the </w:t>
      </w:r>
      <w:r w:rsidR="002C4CD3">
        <w:rPr>
          <w:rFonts w:ascii="Arial" w:hAnsi="Arial" w:cs="Arial"/>
          <w:sz w:val="24"/>
          <w:szCs w:val="24"/>
          <w:lang w:val="en-US"/>
        </w:rPr>
        <w:t>defendant</w:t>
      </w:r>
      <w:r w:rsidR="00EF1AD1">
        <w:rPr>
          <w:rFonts w:ascii="Arial" w:hAnsi="Arial" w:cs="Arial"/>
          <w:sz w:val="24"/>
          <w:szCs w:val="24"/>
          <w:lang w:val="en-US"/>
        </w:rPr>
        <w:t xml:space="preserve"> should be </w:t>
      </w:r>
      <w:r w:rsidR="002C4CD3">
        <w:rPr>
          <w:rFonts w:ascii="Arial" w:hAnsi="Arial" w:cs="Arial"/>
          <w:sz w:val="24"/>
          <w:szCs w:val="24"/>
          <w:lang w:val="en-US"/>
        </w:rPr>
        <w:t>mindful</w:t>
      </w:r>
      <w:r w:rsidR="00EF1AD1">
        <w:rPr>
          <w:rFonts w:ascii="Arial" w:hAnsi="Arial" w:cs="Arial"/>
          <w:sz w:val="24"/>
          <w:szCs w:val="24"/>
          <w:lang w:val="en-US"/>
        </w:rPr>
        <w:t xml:space="preserve"> of is the interest of justice standard</w:t>
      </w:r>
      <w:r w:rsidR="00672DA2">
        <w:rPr>
          <w:rStyle w:val="FootnoteReference"/>
          <w:rFonts w:ascii="Arial" w:hAnsi="Arial" w:cs="Arial"/>
          <w:sz w:val="24"/>
          <w:szCs w:val="24"/>
          <w:lang w:val="en-US"/>
        </w:rPr>
        <w:footnoteReference w:id="25"/>
      </w:r>
      <w:r w:rsidR="00EF1AD1">
        <w:rPr>
          <w:rFonts w:ascii="Arial" w:hAnsi="Arial" w:cs="Arial"/>
          <w:sz w:val="24"/>
          <w:szCs w:val="24"/>
          <w:lang w:val="en-US"/>
        </w:rPr>
        <w:t>. Given the large claim</w:t>
      </w:r>
      <w:r>
        <w:rPr>
          <w:rFonts w:ascii="Arial" w:hAnsi="Arial" w:cs="Arial"/>
          <w:sz w:val="24"/>
          <w:szCs w:val="24"/>
          <w:lang w:val="en-US"/>
        </w:rPr>
        <w:t xml:space="preserve"> of R38 million</w:t>
      </w:r>
      <w:r w:rsidR="00EF1AD1">
        <w:rPr>
          <w:rFonts w:ascii="Arial" w:hAnsi="Arial" w:cs="Arial"/>
          <w:sz w:val="24"/>
          <w:szCs w:val="24"/>
          <w:lang w:val="en-US"/>
        </w:rPr>
        <w:t xml:space="preserve">, the efforts made in respect of substantial </w:t>
      </w:r>
      <w:r w:rsidR="002C4CD3">
        <w:rPr>
          <w:rFonts w:ascii="Arial" w:hAnsi="Arial" w:cs="Arial"/>
          <w:sz w:val="24"/>
          <w:szCs w:val="24"/>
          <w:lang w:val="en-US"/>
        </w:rPr>
        <w:t>amendments</w:t>
      </w:r>
      <w:r w:rsidR="00EF1AD1">
        <w:rPr>
          <w:rFonts w:ascii="Arial" w:hAnsi="Arial" w:cs="Arial"/>
          <w:sz w:val="24"/>
          <w:szCs w:val="24"/>
          <w:lang w:val="en-US"/>
        </w:rPr>
        <w:t xml:space="preserve"> to the pleadings, the defendant’s silence on the </w:t>
      </w:r>
      <w:r w:rsidR="002C4CD3">
        <w:rPr>
          <w:rFonts w:ascii="Arial" w:hAnsi="Arial" w:cs="Arial"/>
          <w:sz w:val="24"/>
          <w:szCs w:val="24"/>
          <w:lang w:val="en-US"/>
        </w:rPr>
        <w:t>amendments</w:t>
      </w:r>
      <w:r w:rsidR="00EF1AD1">
        <w:rPr>
          <w:rFonts w:ascii="Arial" w:hAnsi="Arial" w:cs="Arial"/>
          <w:sz w:val="24"/>
          <w:szCs w:val="24"/>
          <w:lang w:val="en-US"/>
        </w:rPr>
        <w:t xml:space="preserve"> and the fact </w:t>
      </w:r>
      <w:r w:rsidR="002C4CD3">
        <w:rPr>
          <w:rFonts w:ascii="Arial" w:hAnsi="Arial" w:cs="Arial"/>
          <w:sz w:val="24"/>
          <w:szCs w:val="24"/>
          <w:lang w:val="en-US"/>
        </w:rPr>
        <w:t>that</w:t>
      </w:r>
      <w:r w:rsidR="00EF1AD1">
        <w:rPr>
          <w:rFonts w:ascii="Arial" w:hAnsi="Arial" w:cs="Arial"/>
          <w:sz w:val="24"/>
          <w:szCs w:val="24"/>
          <w:lang w:val="en-US"/>
        </w:rPr>
        <w:t xml:space="preserve"> parties </w:t>
      </w:r>
      <w:r w:rsidR="002C4CD3">
        <w:rPr>
          <w:rFonts w:ascii="Arial" w:hAnsi="Arial" w:cs="Arial"/>
          <w:sz w:val="24"/>
          <w:szCs w:val="24"/>
          <w:lang w:val="en-US"/>
        </w:rPr>
        <w:t>should</w:t>
      </w:r>
      <w:r w:rsidR="00EF1AD1">
        <w:rPr>
          <w:rFonts w:ascii="Arial" w:hAnsi="Arial" w:cs="Arial"/>
          <w:sz w:val="24"/>
          <w:szCs w:val="24"/>
          <w:lang w:val="en-US"/>
        </w:rPr>
        <w:t xml:space="preserve"> </w:t>
      </w:r>
      <w:r w:rsidR="002C4CD3">
        <w:rPr>
          <w:rFonts w:ascii="Arial" w:hAnsi="Arial" w:cs="Arial"/>
          <w:sz w:val="24"/>
          <w:szCs w:val="24"/>
          <w:lang w:val="en-US"/>
        </w:rPr>
        <w:t>be</w:t>
      </w:r>
      <w:r w:rsidR="00EF1AD1">
        <w:rPr>
          <w:rFonts w:ascii="Arial" w:hAnsi="Arial" w:cs="Arial"/>
          <w:sz w:val="24"/>
          <w:szCs w:val="24"/>
          <w:lang w:val="en-US"/>
        </w:rPr>
        <w:t xml:space="preserve"> given an </w:t>
      </w:r>
      <w:r w:rsidR="002C4CD3">
        <w:rPr>
          <w:rFonts w:ascii="Arial" w:hAnsi="Arial" w:cs="Arial"/>
          <w:sz w:val="24"/>
          <w:szCs w:val="24"/>
          <w:lang w:val="en-US"/>
        </w:rPr>
        <w:t>opportunity</w:t>
      </w:r>
      <w:r w:rsidR="00EF1AD1">
        <w:rPr>
          <w:rFonts w:ascii="Arial" w:hAnsi="Arial" w:cs="Arial"/>
          <w:sz w:val="24"/>
          <w:szCs w:val="24"/>
          <w:lang w:val="en-US"/>
        </w:rPr>
        <w:t xml:space="preserve"> to have their disputes </w:t>
      </w:r>
      <w:r w:rsidR="002C4CD3">
        <w:rPr>
          <w:rFonts w:ascii="Arial" w:hAnsi="Arial" w:cs="Arial"/>
          <w:sz w:val="24"/>
          <w:szCs w:val="24"/>
          <w:lang w:val="en-US"/>
        </w:rPr>
        <w:t>aired</w:t>
      </w:r>
      <w:r w:rsidR="00EF1AD1">
        <w:rPr>
          <w:rFonts w:ascii="Arial" w:hAnsi="Arial" w:cs="Arial"/>
          <w:sz w:val="24"/>
          <w:szCs w:val="24"/>
          <w:lang w:val="en-US"/>
        </w:rPr>
        <w:t xml:space="preserve"> in </w:t>
      </w:r>
      <w:r w:rsidR="00672DA2">
        <w:rPr>
          <w:rFonts w:ascii="Arial" w:hAnsi="Arial" w:cs="Arial"/>
          <w:sz w:val="24"/>
          <w:szCs w:val="24"/>
          <w:lang w:val="en-US"/>
        </w:rPr>
        <w:t>C</w:t>
      </w:r>
      <w:r w:rsidR="00EF1AD1">
        <w:rPr>
          <w:rFonts w:ascii="Arial" w:hAnsi="Arial" w:cs="Arial"/>
          <w:sz w:val="24"/>
          <w:szCs w:val="24"/>
          <w:lang w:val="en-US"/>
        </w:rPr>
        <w:t xml:space="preserve">ourt, </w:t>
      </w:r>
      <w:r w:rsidR="00672DA2">
        <w:rPr>
          <w:rFonts w:ascii="Arial" w:hAnsi="Arial" w:cs="Arial"/>
          <w:sz w:val="24"/>
          <w:szCs w:val="24"/>
          <w:lang w:val="en-US"/>
        </w:rPr>
        <w:t>I am</w:t>
      </w:r>
      <w:r w:rsidR="00EF1AD1">
        <w:rPr>
          <w:rFonts w:ascii="Arial" w:hAnsi="Arial" w:cs="Arial"/>
          <w:sz w:val="24"/>
          <w:szCs w:val="24"/>
          <w:lang w:val="en-US"/>
        </w:rPr>
        <w:t xml:space="preserve"> accordingly satisfied that the interests of justice would </w:t>
      </w:r>
      <w:r w:rsidR="00672DA2">
        <w:rPr>
          <w:rFonts w:ascii="Arial" w:hAnsi="Arial" w:cs="Arial"/>
          <w:sz w:val="24"/>
          <w:szCs w:val="24"/>
          <w:lang w:val="en-US"/>
        </w:rPr>
        <w:t>be</w:t>
      </w:r>
      <w:r w:rsidR="00EF1AD1">
        <w:rPr>
          <w:rFonts w:ascii="Arial" w:hAnsi="Arial" w:cs="Arial"/>
          <w:sz w:val="24"/>
          <w:szCs w:val="24"/>
          <w:lang w:val="en-US"/>
        </w:rPr>
        <w:t xml:space="preserve"> served if condonation is granted for </w:t>
      </w:r>
      <w:r w:rsidR="00DC5B90">
        <w:rPr>
          <w:rFonts w:ascii="Arial" w:hAnsi="Arial" w:cs="Arial"/>
          <w:sz w:val="24"/>
          <w:szCs w:val="24"/>
          <w:lang w:val="en-US"/>
        </w:rPr>
        <w:t xml:space="preserve">non-compliance with </w:t>
      </w:r>
      <w:r>
        <w:rPr>
          <w:rFonts w:ascii="Arial" w:hAnsi="Arial" w:cs="Arial"/>
          <w:sz w:val="24"/>
          <w:szCs w:val="24"/>
          <w:lang w:val="en-US"/>
        </w:rPr>
        <w:t xml:space="preserve">paragraph 43.2 of </w:t>
      </w:r>
      <w:r w:rsidR="00DC5B90">
        <w:rPr>
          <w:rFonts w:ascii="Arial" w:hAnsi="Arial" w:cs="Arial"/>
          <w:sz w:val="24"/>
          <w:szCs w:val="24"/>
          <w:lang w:val="en-US"/>
        </w:rPr>
        <w:t>the order</w:t>
      </w:r>
      <w:r w:rsidR="00EF1AD1">
        <w:rPr>
          <w:rFonts w:ascii="Arial" w:hAnsi="Arial" w:cs="Arial"/>
          <w:sz w:val="24"/>
          <w:szCs w:val="24"/>
          <w:lang w:val="en-US"/>
        </w:rPr>
        <w:t xml:space="preserve">. </w:t>
      </w:r>
      <w:r>
        <w:rPr>
          <w:rFonts w:ascii="Arial" w:hAnsi="Arial" w:cs="Arial"/>
          <w:sz w:val="24"/>
          <w:szCs w:val="24"/>
          <w:lang w:val="en-US"/>
        </w:rPr>
        <w:t xml:space="preserve">I must also remark that I am not persuaded by the argument that the plaintiff should simply have withdrawn its claim and started afresh: it would seem that on the one hand, the defendant wants to urge the plaintiff to proceed with the matter yet also wishes that the action would be withdrawn, and this cannot be. Furthermore, there is no suggestion that the amended Particulars of Claim, albeit that they are late, are in any way excipiable.    </w:t>
      </w:r>
    </w:p>
    <w:p w:rsidR="00DC5B90" w:rsidRDefault="00DC5B90" w:rsidP="00F36708">
      <w:pPr>
        <w:spacing w:line="480" w:lineRule="auto"/>
        <w:jc w:val="both"/>
        <w:rPr>
          <w:rFonts w:ascii="Arial" w:hAnsi="Arial" w:cs="Arial"/>
          <w:sz w:val="24"/>
          <w:szCs w:val="24"/>
          <w:lang w:val="en-US"/>
        </w:rPr>
      </w:pPr>
    </w:p>
    <w:p w:rsidR="00EF1AD1" w:rsidRDefault="00DC5B90" w:rsidP="00F36708">
      <w:pPr>
        <w:spacing w:line="480" w:lineRule="auto"/>
        <w:jc w:val="both"/>
        <w:rPr>
          <w:rFonts w:ascii="Arial" w:hAnsi="Arial" w:cs="Arial"/>
          <w:sz w:val="24"/>
          <w:szCs w:val="24"/>
          <w:lang w:val="en-US"/>
        </w:rPr>
      </w:pPr>
      <w:r>
        <w:rPr>
          <w:rFonts w:ascii="Arial" w:hAnsi="Arial" w:cs="Arial"/>
          <w:sz w:val="24"/>
          <w:szCs w:val="24"/>
          <w:lang w:val="en-US"/>
        </w:rPr>
        <w:t>[5</w:t>
      </w:r>
      <w:r w:rsidR="00EF3363">
        <w:rPr>
          <w:rFonts w:ascii="Arial" w:hAnsi="Arial" w:cs="Arial"/>
          <w:sz w:val="24"/>
          <w:szCs w:val="24"/>
          <w:lang w:val="en-US"/>
        </w:rPr>
        <w:t>2</w:t>
      </w:r>
      <w:r>
        <w:rPr>
          <w:rFonts w:ascii="Arial" w:hAnsi="Arial" w:cs="Arial"/>
          <w:sz w:val="24"/>
          <w:szCs w:val="24"/>
          <w:lang w:val="en-US"/>
        </w:rPr>
        <w:t>]</w:t>
      </w:r>
      <w:r>
        <w:rPr>
          <w:rFonts w:ascii="Arial" w:hAnsi="Arial" w:cs="Arial"/>
          <w:sz w:val="24"/>
          <w:szCs w:val="24"/>
          <w:lang w:val="en-US"/>
        </w:rPr>
        <w:tab/>
      </w:r>
      <w:r w:rsidR="00EF1AD1">
        <w:rPr>
          <w:rFonts w:ascii="Arial" w:hAnsi="Arial" w:cs="Arial"/>
          <w:sz w:val="24"/>
          <w:szCs w:val="24"/>
          <w:lang w:val="en-US"/>
        </w:rPr>
        <w:t xml:space="preserve">The effect of granting the condonation would be that the striking out </w:t>
      </w:r>
      <w:r w:rsidR="00672DA2">
        <w:rPr>
          <w:rFonts w:ascii="Arial" w:hAnsi="Arial" w:cs="Arial"/>
          <w:sz w:val="24"/>
          <w:szCs w:val="24"/>
          <w:lang w:val="en-US"/>
        </w:rPr>
        <w:t>application</w:t>
      </w:r>
      <w:r w:rsidR="00EF1AD1">
        <w:rPr>
          <w:rFonts w:ascii="Arial" w:hAnsi="Arial" w:cs="Arial"/>
          <w:sz w:val="24"/>
          <w:szCs w:val="24"/>
          <w:lang w:val="en-US"/>
        </w:rPr>
        <w:t xml:space="preserve"> would be dismissed</w:t>
      </w:r>
      <w:r>
        <w:rPr>
          <w:rFonts w:ascii="Arial" w:hAnsi="Arial" w:cs="Arial"/>
          <w:sz w:val="24"/>
          <w:szCs w:val="24"/>
          <w:lang w:val="en-US"/>
        </w:rPr>
        <w:t>.</w:t>
      </w:r>
      <w:r w:rsidR="00EF1AD1">
        <w:rPr>
          <w:rFonts w:ascii="Arial" w:hAnsi="Arial" w:cs="Arial"/>
          <w:sz w:val="24"/>
          <w:szCs w:val="24"/>
          <w:lang w:val="en-US"/>
        </w:rPr>
        <w:t xml:space="preserve"> </w:t>
      </w:r>
      <w:r>
        <w:rPr>
          <w:rFonts w:ascii="Arial" w:hAnsi="Arial" w:cs="Arial"/>
          <w:sz w:val="24"/>
          <w:szCs w:val="24"/>
          <w:lang w:val="en-US"/>
        </w:rPr>
        <w:t>I</w:t>
      </w:r>
      <w:r w:rsidR="00EF1AD1">
        <w:rPr>
          <w:rFonts w:ascii="Arial" w:hAnsi="Arial" w:cs="Arial"/>
          <w:sz w:val="24"/>
          <w:szCs w:val="24"/>
          <w:lang w:val="en-US"/>
        </w:rPr>
        <w:t xml:space="preserve">n any event, having regard to </w:t>
      </w:r>
      <w:r w:rsidR="00EF1AD1">
        <w:rPr>
          <w:rFonts w:ascii="Arial" w:hAnsi="Arial" w:cs="Arial"/>
          <w:b/>
          <w:sz w:val="24"/>
          <w:szCs w:val="24"/>
          <w:lang w:val="en-US"/>
        </w:rPr>
        <w:t xml:space="preserve">Wanson </w:t>
      </w:r>
      <w:r w:rsidR="00191F4F" w:rsidRPr="00191F4F">
        <w:rPr>
          <w:rFonts w:ascii="Arial" w:hAnsi="Arial" w:cs="Arial"/>
          <w:i/>
          <w:sz w:val="24"/>
          <w:szCs w:val="24"/>
          <w:lang w:val="en-US"/>
        </w:rPr>
        <w:t>(supra)</w:t>
      </w:r>
      <w:r w:rsidR="00191F4F">
        <w:rPr>
          <w:rFonts w:ascii="Arial" w:hAnsi="Arial" w:cs="Arial"/>
          <w:b/>
          <w:sz w:val="24"/>
          <w:szCs w:val="24"/>
          <w:lang w:val="en-US"/>
        </w:rPr>
        <w:t xml:space="preserve">, </w:t>
      </w:r>
      <w:r w:rsidR="00573BCA">
        <w:rPr>
          <w:rFonts w:ascii="Arial" w:hAnsi="Arial" w:cs="Arial"/>
          <w:sz w:val="24"/>
          <w:szCs w:val="24"/>
          <w:lang w:val="en-US"/>
        </w:rPr>
        <w:t xml:space="preserve">this is not a matter where it can be said </w:t>
      </w:r>
      <w:r w:rsidR="00EF3363">
        <w:rPr>
          <w:rFonts w:ascii="Arial" w:hAnsi="Arial" w:cs="Arial"/>
          <w:sz w:val="24"/>
          <w:szCs w:val="24"/>
          <w:lang w:val="en-US"/>
        </w:rPr>
        <w:t xml:space="preserve">that </w:t>
      </w:r>
      <w:r w:rsidR="00573BCA">
        <w:rPr>
          <w:rFonts w:ascii="Arial" w:hAnsi="Arial" w:cs="Arial"/>
          <w:sz w:val="24"/>
          <w:szCs w:val="24"/>
          <w:lang w:val="en-US"/>
        </w:rPr>
        <w:t xml:space="preserve">the plaintiff recklessly </w:t>
      </w:r>
      <w:r w:rsidR="00B639A8">
        <w:rPr>
          <w:rFonts w:ascii="Arial" w:hAnsi="Arial" w:cs="Arial"/>
          <w:sz w:val="24"/>
          <w:szCs w:val="24"/>
          <w:lang w:val="en-US"/>
        </w:rPr>
        <w:t>embarked</w:t>
      </w:r>
      <w:r w:rsidR="00672DA2">
        <w:rPr>
          <w:rFonts w:ascii="Arial" w:hAnsi="Arial" w:cs="Arial"/>
          <w:sz w:val="24"/>
          <w:szCs w:val="24"/>
          <w:lang w:val="en-US"/>
        </w:rPr>
        <w:t xml:space="preserve"> </w:t>
      </w:r>
      <w:r w:rsidR="00B639A8">
        <w:rPr>
          <w:rFonts w:ascii="Arial" w:hAnsi="Arial" w:cs="Arial"/>
          <w:sz w:val="24"/>
          <w:szCs w:val="24"/>
          <w:lang w:val="en-US"/>
        </w:rPr>
        <w:t>on</w:t>
      </w:r>
      <w:r w:rsidR="00573BCA">
        <w:rPr>
          <w:rFonts w:ascii="Arial" w:hAnsi="Arial" w:cs="Arial"/>
          <w:sz w:val="24"/>
          <w:szCs w:val="24"/>
          <w:lang w:val="en-US"/>
        </w:rPr>
        <w:t xml:space="preserve"> its claim which it did not have a hope in proving or that its pleadings are inadequate.</w:t>
      </w:r>
      <w:r w:rsidR="00191F4F">
        <w:rPr>
          <w:rFonts w:ascii="Arial" w:hAnsi="Arial" w:cs="Arial"/>
          <w:sz w:val="24"/>
          <w:szCs w:val="24"/>
          <w:lang w:val="en-US"/>
        </w:rPr>
        <w:t xml:space="preserve"> </w:t>
      </w:r>
    </w:p>
    <w:p w:rsidR="00573BCA" w:rsidRDefault="00573BCA" w:rsidP="00F36708">
      <w:pPr>
        <w:spacing w:line="480" w:lineRule="auto"/>
        <w:jc w:val="both"/>
        <w:rPr>
          <w:rFonts w:ascii="Arial" w:hAnsi="Arial" w:cs="Arial"/>
          <w:sz w:val="24"/>
          <w:szCs w:val="24"/>
          <w:lang w:val="en-US"/>
        </w:rPr>
      </w:pPr>
    </w:p>
    <w:p w:rsidR="00672DA2" w:rsidRDefault="00672DA2" w:rsidP="00F36708">
      <w:pPr>
        <w:spacing w:line="480" w:lineRule="auto"/>
        <w:jc w:val="both"/>
        <w:rPr>
          <w:rFonts w:ascii="Arial" w:hAnsi="Arial" w:cs="Arial"/>
          <w:sz w:val="24"/>
          <w:szCs w:val="24"/>
          <w:lang w:val="en-US"/>
        </w:rPr>
      </w:pPr>
      <w:r>
        <w:rPr>
          <w:rFonts w:ascii="Arial" w:hAnsi="Arial" w:cs="Arial"/>
          <w:sz w:val="24"/>
          <w:szCs w:val="24"/>
          <w:lang w:val="en-US"/>
        </w:rPr>
        <w:t>[</w:t>
      </w:r>
      <w:r w:rsidR="00252D77">
        <w:rPr>
          <w:rFonts w:ascii="Arial" w:hAnsi="Arial" w:cs="Arial"/>
          <w:sz w:val="24"/>
          <w:szCs w:val="24"/>
          <w:lang w:val="en-US"/>
        </w:rPr>
        <w:t>5</w:t>
      </w:r>
      <w:r w:rsidR="00EF3363">
        <w:rPr>
          <w:rFonts w:ascii="Arial" w:hAnsi="Arial" w:cs="Arial"/>
          <w:sz w:val="24"/>
          <w:szCs w:val="24"/>
          <w:lang w:val="en-US"/>
        </w:rPr>
        <w:t>3</w:t>
      </w:r>
      <w:r>
        <w:rPr>
          <w:rFonts w:ascii="Arial" w:hAnsi="Arial" w:cs="Arial"/>
          <w:sz w:val="24"/>
          <w:szCs w:val="24"/>
          <w:lang w:val="en-US"/>
        </w:rPr>
        <w:t>]</w:t>
      </w:r>
      <w:r>
        <w:rPr>
          <w:rFonts w:ascii="Arial" w:hAnsi="Arial" w:cs="Arial"/>
          <w:sz w:val="24"/>
          <w:szCs w:val="24"/>
          <w:lang w:val="en-US"/>
        </w:rPr>
        <w:tab/>
      </w:r>
      <w:r w:rsidR="00252D77">
        <w:rPr>
          <w:rFonts w:ascii="Arial" w:hAnsi="Arial" w:cs="Arial"/>
          <w:sz w:val="24"/>
          <w:szCs w:val="24"/>
          <w:lang w:val="en-US"/>
        </w:rPr>
        <w:t>As to the argument regarding organs of State,</w:t>
      </w:r>
      <w:r>
        <w:rPr>
          <w:rFonts w:ascii="Arial" w:hAnsi="Arial" w:cs="Arial"/>
          <w:sz w:val="24"/>
          <w:szCs w:val="24"/>
          <w:lang w:val="en-US"/>
        </w:rPr>
        <w:t xml:space="preserve"> I agree that </w:t>
      </w:r>
      <w:r w:rsidR="00252D77">
        <w:rPr>
          <w:rFonts w:ascii="Arial" w:hAnsi="Arial" w:cs="Arial"/>
          <w:sz w:val="24"/>
          <w:szCs w:val="24"/>
          <w:lang w:val="en-US"/>
        </w:rPr>
        <w:t xml:space="preserve">they </w:t>
      </w:r>
      <w:r>
        <w:rPr>
          <w:rFonts w:ascii="Arial" w:hAnsi="Arial" w:cs="Arial"/>
          <w:sz w:val="24"/>
          <w:szCs w:val="24"/>
          <w:lang w:val="en-US"/>
        </w:rPr>
        <w:t>are held to a higher standard</w:t>
      </w:r>
      <w:r w:rsidR="00EF3363">
        <w:rPr>
          <w:rFonts w:ascii="Arial" w:hAnsi="Arial" w:cs="Arial"/>
          <w:sz w:val="24"/>
          <w:szCs w:val="24"/>
          <w:lang w:val="en-US"/>
        </w:rPr>
        <w:t xml:space="preserve">. However, the </w:t>
      </w:r>
      <w:r>
        <w:rPr>
          <w:rFonts w:ascii="Arial" w:hAnsi="Arial" w:cs="Arial"/>
          <w:sz w:val="24"/>
          <w:szCs w:val="24"/>
          <w:lang w:val="en-US"/>
        </w:rPr>
        <w:t xml:space="preserve">submissions by plaintiff that the authorities such as </w:t>
      </w:r>
      <w:r w:rsidRPr="00191F4F">
        <w:rPr>
          <w:rFonts w:ascii="Arial" w:hAnsi="Arial" w:cs="Arial"/>
          <w:b/>
          <w:sz w:val="24"/>
          <w:szCs w:val="24"/>
          <w:u w:val="single"/>
          <w:lang w:val="en-US"/>
        </w:rPr>
        <w:t xml:space="preserve">Kirkland </w:t>
      </w:r>
      <w:r>
        <w:rPr>
          <w:rFonts w:ascii="Arial" w:hAnsi="Arial" w:cs="Arial"/>
          <w:sz w:val="24"/>
          <w:szCs w:val="24"/>
          <w:lang w:val="en-US"/>
        </w:rPr>
        <w:t xml:space="preserve">and </w:t>
      </w:r>
      <w:r w:rsidRPr="00191F4F">
        <w:rPr>
          <w:rFonts w:ascii="Arial" w:hAnsi="Arial" w:cs="Arial"/>
          <w:b/>
          <w:sz w:val="24"/>
          <w:szCs w:val="24"/>
          <w:u w:val="single"/>
          <w:lang w:val="en-US"/>
        </w:rPr>
        <w:t>Pheko</w:t>
      </w:r>
      <w:r w:rsidR="00191F4F" w:rsidRPr="00191F4F">
        <w:rPr>
          <w:rFonts w:ascii="Arial" w:hAnsi="Arial" w:cs="Arial"/>
          <w:i/>
          <w:sz w:val="24"/>
          <w:szCs w:val="24"/>
          <w:lang w:val="en-US"/>
        </w:rPr>
        <w:t xml:space="preserve"> (supra)</w:t>
      </w:r>
      <w:r w:rsidR="00191F4F">
        <w:rPr>
          <w:rFonts w:ascii="Arial" w:hAnsi="Arial" w:cs="Arial"/>
          <w:i/>
          <w:sz w:val="24"/>
          <w:szCs w:val="24"/>
          <w:lang w:val="en-US"/>
        </w:rPr>
        <w:t>,</w:t>
      </w:r>
      <w:r w:rsidRPr="00672DA2">
        <w:rPr>
          <w:rFonts w:ascii="Arial" w:hAnsi="Arial" w:cs="Arial"/>
          <w:sz w:val="24"/>
          <w:szCs w:val="24"/>
          <w:lang w:val="en-US"/>
        </w:rPr>
        <w:t xml:space="preserve"> </w:t>
      </w:r>
      <w:r>
        <w:rPr>
          <w:rFonts w:ascii="Arial" w:hAnsi="Arial" w:cs="Arial"/>
          <w:sz w:val="24"/>
          <w:szCs w:val="24"/>
          <w:lang w:val="en-US"/>
        </w:rPr>
        <w:t xml:space="preserve">upon which the defendant relies, relate to PAJA </w:t>
      </w:r>
      <w:r w:rsidR="00252D77">
        <w:rPr>
          <w:rFonts w:ascii="Arial" w:hAnsi="Arial" w:cs="Arial"/>
          <w:sz w:val="24"/>
          <w:szCs w:val="24"/>
          <w:lang w:val="en-US"/>
        </w:rPr>
        <w:t>and</w:t>
      </w:r>
      <w:r>
        <w:rPr>
          <w:rFonts w:ascii="Arial" w:hAnsi="Arial" w:cs="Arial"/>
          <w:sz w:val="24"/>
          <w:szCs w:val="24"/>
          <w:lang w:val="en-US"/>
        </w:rPr>
        <w:t xml:space="preserve"> review applications, </w:t>
      </w:r>
      <w:r w:rsidR="00EF3363">
        <w:rPr>
          <w:rFonts w:ascii="Arial" w:hAnsi="Arial" w:cs="Arial"/>
          <w:sz w:val="24"/>
          <w:szCs w:val="24"/>
          <w:lang w:val="en-US"/>
        </w:rPr>
        <w:t xml:space="preserve">and </w:t>
      </w:r>
      <w:r w:rsidR="001A4A62">
        <w:rPr>
          <w:rFonts w:ascii="Arial" w:hAnsi="Arial" w:cs="Arial"/>
          <w:sz w:val="24"/>
          <w:szCs w:val="24"/>
          <w:lang w:val="en-US"/>
        </w:rPr>
        <w:t xml:space="preserve">that </w:t>
      </w:r>
      <w:r w:rsidR="00EF3363">
        <w:rPr>
          <w:rFonts w:ascii="Arial" w:hAnsi="Arial" w:cs="Arial"/>
          <w:sz w:val="24"/>
          <w:szCs w:val="24"/>
          <w:lang w:val="en-US"/>
        </w:rPr>
        <w:t>this matter relates to a commercial dispute</w:t>
      </w:r>
      <w:r w:rsidR="001A4A62">
        <w:rPr>
          <w:rFonts w:ascii="Arial" w:hAnsi="Arial" w:cs="Arial"/>
          <w:sz w:val="24"/>
          <w:szCs w:val="24"/>
          <w:lang w:val="en-US"/>
        </w:rPr>
        <w:t>,</w:t>
      </w:r>
      <w:r w:rsidR="00EF3363">
        <w:rPr>
          <w:rFonts w:ascii="Arial" w:hAnsi="Arial" w:cs="Arial"/>
          <w:sz w:val="24"/>
          <w:szCs w:val="24"/>
          <w:lang w:val="en-US"/>
        </w:rPr>
        <w:t xml:space="preserve"> </w:t>
      </w:r>
      <w:r>
        <w:rPr>
          <w:rFonts w:ascii="Arial" w:hAnsi="Arial" w:cs="Arial"/>
          <w:sz w:val="24"/>
          <w:szCs w:val="24"/>
          <w:lang w:val="en-US"/>
        </w:rPr>
        <w:t xml:space="preserve">are accepted. In my view, to simply refuse condonation because the </w:t>
      </w:r>
      <w:r w:rsidR="00EF3363">
        <w:rPr>
          <w:rFonts w:ascii="Arial" w:hAnsi="Arial" w:cs="Arial"/>
          <w:sz w:val="24"/>
          <w:szCs w:val="24"/>
          <w:lang w:val="en-US"/>
        </w:rPr>
        <w:t>City</w:t>
      </w:r>
      <w:r w:rsidR="001A4A62">
        <w:rPr>
          <w:rFonts w:ascii="Arial" w:hAnsi="Arial" w:cs="Arial"/>
          <w:sz w:val="24"/>
          <w:szCs w:val="24"/>
          <w:lang w:val="en-US"/>
        </w:rPr>
        <w:t xml:space="preserve"> failed to comply with the order, and does not present a </w:t>
      </w:r>
      <w:r w:rsidR="00252D77">
        <w:rPr>
          <w:rFonts w:ascii="Arial" w:hAnsi="Arial" w:cs="Arial"/>
          <w:sz w:val="24"/>
          <w:szCs w:val="24"/>
          <w:lang w:val="en-US"/>
        </w:rPr>
        <w:t xml:space="preserve">perfect </w:t>
      </w:r>
      <w:r w:rsidR="001A4A62">
        <w:rPr>
          <w:rFonts w:ascii="Arial" w:hAnsi="Arial" w:cs="Arial"/>
          <w:sz w:val="24"/>
          <w:szCs w:val="24"/>
          <w:lang w:val="en-US"/>
        </w:rPr>
        <w:t xml:space="preserve">explanation for its default, and thus to strike out the City’s claim, </w:t>
      </w:r>
      <w:r w:rsidR="00252D77">
        <w:rPr>
          <w:rFonts w:ascii="Arial" w:hAnsi="Arial" w:cs="Arial"/>
          <w:sz w:val="24"/>
          <w:szCs w:val="24"/>
          <w:lang w:val="en-US"/>
        </w:rPr>
        <w:t xml:space="preserve">would </w:t>
      </w:r>
      <w:r w:rsidR="001A4A62">
        <w:rPr>
          <w:rFonts w:ascii="Arial" w:hAnsi="Arial" w:cs="Arial"/>
          <w:sz w:val="24"/>
          <w:szCs w:val="24"/>
          <w:lang w:val="en-US"/>
        </w:rPr>
        <w:t xml:space="preserve">be to </w:t>
      </w:r>
      <w:r w:rsidR="00252D77">
        <w:rPr>
          <w:rFonts w:ascii="Arial" w:hAnsi="Arial" w:cs="Arial"/>
          <w:sz w:val="24"/>
          <w:szCs w:val="24"/>
          <w:lang w:val="en-US"/>
        </w:rPr>
        <w:t>elevate</w:t>
      </w:r>
      <w:r>
        <w:rPr>
          <w:rFonts w:ascii="Arial" w:hAnsi="Arial" w:cs="Arial"/>
          <w:sz w:val="24"/>
          <w:szCs w:val="24"/>
          <w:lang w:val="en-US"/>
        </w:rPr>
        <w:t xml:space="preserve"> the procedural</w:t>
      </w:r>
      <w:r w:rsidR="00EF3363">
        <w:rPr>
          <w:rFonts w:ascii="Arial" w:hAnsi="Arial" w:cs="Arial"/>
          <w:sz w:val="24"/>
          <w:szCs w:val="24"/>
          <w:lang w:val="en-US"/>
        </w:rPr>
        <w:t xml:space="preserve"> and time-related </w:t>
      </w:r>
      <w:r>
        <w:rPr>
          <w:rFonts w:ascii="Arial" w:hAnsi="Arial" w:cs="Arial"/>
          <w:sz w:val="24"/>
          <w:szCs w:val="24"/>
          <w:lang w:val="en-US"/>
        </w:rPr>
        <w:t xml:space="preserve">non-compliance </w:t>
      </w:r>
      <w:r w:rsidR="00EF3363">
        <w:rPr>
          <w:rFonts w:ascii="Arial" w:hAnsi="Arial" w:cs="Arial"/>
          <w:sz w:val="24"/>
          <w:szCs w:val="24"/>
          <w:lang w:val="en-US"/>
        </w:rPr>
        <w:t>with the order</w:t>
      </w:r>
      <w:r>
        <w:rPr>
          <w:rFonts w:ascii="Arial" w:hAnsi="Arial" w:cs="Arial"/>
          <w:sz w:val="24"/>
          <w:szCs w:val="24"/>
          <w:lang w:val="en-US"/>
        </w:rPr>
        <w:t>, above the interests of justice</w:t>
      </w:r>
      <w:r w:rsidR="00252D77">
        <w:rPr>
          <w:rFonts w:ascii="Arial" w:hAnsi="Arial" w:cs="Arial"/>
          <w:sz w:val="24"/>
          <w:szCs w:val="24"/>
          <w:lang w:val="en-US"/>
        </w:rPr>
        <w:t xml:space="preserve"> standard</w:t>
      </w:r>
      <w:r>
        <w:rPr>
          <w:rFonts w:ascii="Arial" w:hAnsi="Arial" w:cs="Arial"/>
          <w:sz w:val="24"/>
          <w:szCs w:val="24"/>
          <w:lang w:val="en-US"/>
        </w:rPr>
        <w:t xml:space="preserve">. In the circumstances and </w:t>
      </w:r>
      <w:r w:rsidR="00252D77">
        <w:rPr>
          <w:rFonts w:ascii="Arial" w:hAnsi="Arial" w:cs="Arial"/>
          <w:sz w:val="24"/>
          <w:szCs w:val="24"/>
          <w:lang w:val="en-US"/>
        </w:rPr>
        <w:t xml:space="preserve">as a result of </w:t>
      </w:r>
      <w:r w:rsidR="001A4A62">
        <w:rPr>
          <w:rFonts w:ascii="Arial" w:hAnsi="Arial" w:cs="Arial"/>
          <w:sz w:val="24"/>
          <w:szCs w:val="24"/>
          <w:lang w:val="en-US"/>
        </w:rPr>
        <w:t xml:space="preserve">all </w:t>
      </w:r>
      <w:r>
        <w:rPr>
          <w:rFonts w:ascii="Arial" w:hAnsi="Arial" w:cs="Arial"/>
          <w:sz w:val="24"/>
          <w:szCs w:val="24"/>
          <w:lang w:val="en-US"/>
        </w:rPr>
        <w:t>the above findings, I am inclined to exercise my discretion in favour of the plaintiff and grant condonation for its failure to comply with paragraph 43.2 of the Goliath order</w:t>
      </w:r>
      <w:r w:rsidR="00AC28B8">
        <w:rPr>
          <w:rFonts w:ascii="Arial" w:hAnsi="Arial" w:cs="Arial"/>
          <w:sz w:val="24"/>
          <w:szCs w:val="24"/>
          <w:lang w:val="en-US"/>
        </w:rPr>
        <w:t>.</w:t>
      </w:r>
    </w:p>
    <w:p w:rsidR="00AC28B8" w:rsidRPr="00672DA2" w:rsidRDefault="00AC28B8" w:rsidP="00F36708">
      <w:pPr>
        <w:spacing w:line="480" w:lineRule="auto"/>
        <w:jc w:val="both"/>
        <w:rPr>
          <w:rFonts w:ascii="Arial" w:hAnsi="Arial" w:cs="Arial"/>
          <w:sz w:val="24"/>
          <w:szCs w:val="24"/>
          <w:lang w:val="en-US"/>
        </w:rPr>
      </w:pPr>
    </w:p>
    <w:p w:rsidR="00573BCA" w:rsidRDefault="00CB7701" w:rsidP="00F36708">
      <w:pPr>
        <w:spacing w:line="480" w:lineRule="auto"/>
        <w:jc w:val="both"/>
        <w:rPr>
          <w:rFonts w:ascii="Arial" w:hAnsi="Arial" w:cs="Arial"/>
          <w:sz w:val="24"/>
          <w:szCs w:val="24"/>
          <w:lang w:val="en-US"/>
        </w:rPr>
      </w:pPr>
      <w:r>
        <w:rPr>
          <w:rFonts w:ascii="Arial" w:hAnsi="Arial" w:cs="Arial"/>
          <w:sz w:val="24"/>
          <w:szCs w:val="24"/>
          <w:lang w:val="en-US"/>
        </w:rPr>
        <w:t>[</w:t>
      </w:r>
      <w:r w:rsidR="00252D77">
        <w:rPr>
          <w:rFonts w:ascii="Arial" w:hAnsi="Arial" w:cs="Arial"/>
          <w:sz w:val="24"/>
          <w:szCs w:val="24"/>
          <w:lang w:val="en-US"/>
        </w:rPr>
        <w:t>5</w:t>
      </w:r>
      <w:r w:rsidR="00EF3363">
        <w:rPr>
          <w:rFonts w:ascii="Arial" w:hAnsi="Arial" w:cs="Arial"/>
          <w:sz w:val="24"/>
          <w:szCs w:val="24"/>
          <w:lang w:val="en-US"/>
        </w:rPr>
        <w:t>4</w:t>
      </w:r>
      <w:r>
        <w:rPr>
          <w:rFonts w:ascii="Arial" w:hAnsi="Arial" w:cs="Arial"/>
          <w:sz w:val="24"/>
          <w:szCs w:val="24"/>
          <w:lang w:val="en-US"/>
        </w:rPr>
        <w:t>]</w:t>
      </w:r>
      <w:r>
        <w:rPr>
          <w:rFonts w:ascii="Arial" w:hAnsi="Arial" w:cs="Arial"/>
          <w:sz w:val="24"/>
          <w:szCs w:val="24"/>
          <w:lang w:val="en-US"/>
        </w:rPr>
        <w:tab/>
      </w:r>
      <w:r w:rsidR="001A4A62">
        <w:rPr>
          <w:rFonts w:ascii="Arial" w:hAnsi="Arial" w:cs="Arial"/>
          <w:sz w:val="24"/>
          <w:szCs w:val="24"/>
          <w:lang w:val="en-US"/>
        </w:rPr>
        <w:t xml:space="preserve">In conclusion, this </w:t>
      </w:r>
      <w:r w:rsidR="00252D77">
        <w:rPr>
          <w:rFonts w:ascii="Arial" w:hAnsi="Arial" w:cs="Arial"/>
          <w:sz w:val="24"/>
          <w:szCs w:val="24"/>
          <w:lang w:val="en-US"/>
        </w:rPr>
        <w:t>is a matter where the defendant could not consent to condonation and was forced to enroll a striking out application</w:t>
      </w:r>
      <w:r w:rsidR="001A4A62">
        <w:rPr>
          <w:rFonts w:ascii="Arial" w:hAnsi="Arial" w:cs="Arial"/>
          <w:sz w:val="24"/>
          <w:szCs w:val="24"/>
          <w:lang w:val="en-US"/>
        </w:rPr>
        <w:t xml:space="preserve">. The </w:t>
      </w:r>
      <w:r w:rsidR="00252D77">
        <w:rPr>
          <w:rFonts w:ascii="Arial" w:hAnsi="Arial" w:cs="Arial"/>
          <w:sz w:val="24"/>
          <w:szCs w:val="24"/>
          <w:lang w:val="en-US"/>
        </w:rPr>
        <w:t>costs orders below reflect this conclusion</w:t>
      </w:r>
      <w:r w:rsidR="00EF3363">
        <w:rPr>
          <w:rFonts w:ascii="Arial" w:hAnsi="Arial" w:cs="Arial"/>
          <w:sz w:val="24"/>
          <w:szCs w:val="24"/>
          <w:lang w:val="en-US"/>
        </w:rPr>
        <w:t xml:space="preserve"> and the plaintiff’s request </w:t>
      </w:r>
      <w:r w:rsidR="001A4A62">
        <w:rPr>
          <w:rFonts w:ascii="Arial" w:hAnsi="Arial" w:cs="Arial"/>
          <w:sz w:val="24"/>
          <w:szCs w:val="24"/>
          <w:lang w:val="en-US"/>
        </w:rPr>
        <w:t xml:space="preserve">regarding costs </w:t>
      </w:r>
      <w:r w:rsidR="00EF3363">
        <w:rPr>
          <w:rFonts w:ascii="Arial" w:hAnsi="Arial" w:cs="Arial"/>
          <w:sz w:val="24"/>
          <w:szCs w:val="24"/>
          <w:lang w:val="en-US"/>
        </w:rPr>
        <w:t xml:space="preserve">during </w:t>
      </w:r>
      <w:r w:rsidR="001A4A62">
        <w:rPr>
          <w:rFonts w:ascii="Arial" w:hAnsi="Arial" w:cs="Arial"/>
          <w:sz w:val="24"/>
          <w:szCs w:val="24"/>
          <w:lang w:val="en-US"/>
        </w:rPr>
        <w:t xml:space="preserve">its </w:t>
      </w:r>
      <w:r w:rsidR="00EF3363">
        <w:rPr>
          <w:rFonts w:ascii="Arial" w:hAnsi="Arial" w:cs="Arial"/>
          <w:sz w:val="24"/>
          <w:szCs w:val="24"/>
          <w:lang w:val="en-US"/>
        </w:rPr>
        <w:t xml:space="preserve">argument. </w:t>
      </w:r>
      <w:r w:rsidR="00573BCA">
        <w:rPr>
          <w:rFonts w:ascii="Arial" w:hAnsi="Arial" w:cs="Arial"/>
          <w:sz w:val="24"/>
          <w:szCs w:val="24"/>
          <w:lang w:val="en-US"/>
        </w:rPr>
        <w:t xml:space="preserve">In view of the above findings, it is </w:t>
      </w:r>
      <w:r w:rsidR="00252D77">
        <w:rPr>
          <w:rFonts w:ascii="Arial" w:hAnsi="Arial" w:cs="Arial"/>
          <w:sz w:val="24"/>
          <w:szCs w:val="24"/>
          <w:lang w:val="en-US"/>
        </w:rPr>
        <w:t xml:space="preserve">hence </w:t>
      </w:r>
      <w:r w:rsidR="00573BCA">
        <w:rPr>
          <w:rFonts w:ascii="Arial" w:hAnsi="Arial" w:cs="Arial"/>
          <w:sz w:val="24"/>
          <w:szCs w:val="24"/>
          <w:lang w:val="en-US"/>
        </w:rPr>
        <w:t xml:space="preserve">not necessary to deal with the remaining issues </w:t>
      </w:r>
      <w:r w:rsidR="00EF3363">
        <w:rPr>
          <w:rFonts w:ascii="Arial" w:hAnsi="Arial" w:cs="Arial"/>
          <w:sz w:val="24"/>
          <w:szCs w:val="24"/>
          <w:lang w:val="en-US"/>
        </w:rPr>
        <w:t xml:space="preserve">raised in the matter. </w:t>
      </w:r>
      <w:r w:rsidR="00252D77">
        <w:rPr>
          <w:rFonts w:ascii="Arial" w:hAnsi="Arial" w:cs="Arial"/>
          <w:sz w:val="24"/>
          <w:szCs w:val="24"/>
          <w:lang w:val="en-US"/>
        </w:rPr>
        <w:t>In the result, I grant the following order</w:t>
      </w:r>
      <w:r w:rsidR="00573BCA">
        <w:rPr>
          <w:rFonts w:ascii="Arial" w:hAnsi="Arial" w:cs="Arial"/>
          <w:sz w:val="24"/>
          <w:szCs w:val="24"/>
          <w:lang w:val="en-US"/>
        </w:rPr>
        <w:t>:</w:t>
      </w:r>
    </w:p>
    <w:p w:rsidR="00EF3363" w:rsidRDefault="00EF3363" w:rsidP="00F36708">
      <w:pPr>
        <w:spacing w:line="480" w:lineRule="auto"/>
        <w:jc w:val="both"/>
        <w:rPr>
          <w:rFonts w:ascii="Arial" w:hAnsi="Arial" w:cs="Arial"/>
          <w:sz w:val="24"/>
          <w:szCs w:val="24"/>
          <w:lang w:val="en-US"/>
        </w:rPr>
      </w:pPr>
    </w:p>
    <w:p w:rsidR="001A4A62" w:rsidRDefault="00573BCA" w:rsidP="002F7BE6">
      <w:pPr>
        <w:pStyle w:val="ListParagraph"/>
        <w:numPr>
          <w:ilvl w:val="0"/>
          <w:numId w:val="1"/>
        </w:numPr>
        <w:spacing w:line="480" w:lineRule="auto"/>
        <w:jc w:val="both"/>
        <w:rPr>
          <w:rFonts w:ascii="Arial" w:hAnsi="Arial" w:cs="Arial"/>
          <w:sz w:val="24"/>
          <w:szCs w:val="24"/>
          <w:lang w:val="en-US"/>
        </w:rPr>
      </w:pPr>
      <w:r w:rsidRPr="001A4A62">
        <w:rPr>
          <w:rFonts w:ascii="Arial" w:hAnsi="Arial" w:cs="Arial"/>
          <w:sz w:val="24"/>
          <w:szCs w:val="24"/>
          <w:lang w:val="en-US"/>
        </w:rPr>
        <w:t xml:space="preserve">The </w:t>
      </w:r>
      <w:r w:rsidR="00252D77" w:rsidRPr="001A4A62">
        <w:rPr>
          <w:rFonts w:ascii="Arial" w:hAnsi="Arial" w:cs="Arial"/>
          <w:sz w:val="24"/>
          <w:szCs w:val="24"/>
          <w:lang w:val="en-US"/>
        </w:rPr>
        <w:t xml:space="preserve">counter-application (condonation) </w:t>
      </w:r>
      <w:r w:rsidRPr="001A4A62">
        <w:rPr>
          <w:rFonts w:ascii="Arial" w:hAnsi="Arial" w:cs="Arial"/>
          <w:sz w:val="24"/>
          <w:szCs w:val="24"/>
          <w:lang w:val="en-US"/>
        </w:rPr>
        <w:t>is granted</w:t>
      </w:r>
      <w:r w:rsidR="001A4A62" w:rsidRPr="001A4A62">
        <w:rPr>
          <w:rFonts w:ascii="Arial" w:hAnsi="Arial" w:cs="Arial"/>
          <w:sz w:val="24"/>
          <w:szCs w:val="24"/>
          <w:lang w:val="en-US"/>
        </w:rPr>
        <w:t xml:space="preserve">. </w:t>
      </w:r>
    </w:p>
    <w:p w:rsidR="00573BCA" w:rsidRPr="001A4A62" w:rsidRDefault="00573BCA" w:rsidP="002F7BE6">
      <w:pPr>
        <w:pStyle w:val="ListParagraph"/>
        <w:numPr>
          <w:ilvl w:val="0"/>
          <w:numId w:val="1"/>
        </w:numPr>
        <w:spacing w:line="480" w:lineRule="auto"/>
        <w:jc w:val="both"/>
        <w:rPr>
          <w:rFonts w:ascii="Arial" w:hAnsi="Arial" w:cs="Arial"/>
          <w:sz w:val="24"/>
          <w:szCs w:val="24"/>
          <w:lang w:val="en-US"/>
        </w:rPr>
      </w:pPr>
      <w:r w:rsidRPr="001A4A62">
        <w:rPr>
          <w:rFonts w:ascii="Arial" w:hAnsi="Arial" w:cs="Arial"/>
          <w:sz w:val="24"/>
          <w:szCs w:val="24"/>
          <w:lang w:val="en-US"/>
        </w:rPr>
        <w:t xml:space="preserve">The </w:t>
      </w:r>
      <w:r w:rsidR="00B639A8" w:rsidRPr="001A4A62">
        <w:rPr>
          <w:rFonts w:ascii="Arial" w:hAnsi="Arial" w:cs="Arial"/>
          <w:sz w:val="24"/>
          <w:szCs w:val="24"/>
          <w:lang w:val="en-US"/>
        </w:rPr>
        <w:t>striking</w:t>
      </w:r>
      <w:r w:rsidRPr="001A4A62">
        <w:rPr>
          <w:rFonts w:ascii="Arial" w:hAnsi="Arial" w:cs="Arial"/>
          <w:sz w:val="24"/>
          <w:szCs w:val="24"/>
          <w:lang w:val="en-US"/>
        </w:rPr>
        <w:t xml:space="preserve"> out application is dismissed</w:t>
      </w:r>
      <w:r w:rsidR="001A4A62">
        <w:rPr>
          <w:rFonts w:ascii="Arial" w:hAnsi="Arial" w:cs="Arial"/>
          <w:sz w:val="24"/>
          <w:szCs w:val="24"/>
          <w:lang w:val="en-US"/>
        </w:rPr>
        <w:t>.</w:t>
      </w:r>
    </w:p>
    <w:p w:rsidR="00573BCA" w:rsidRDefault="00573BCA" w:rsidP="00573BCA">
      <w:pPr>
        <w:pStyle w:val="ListParagraph"/>
        <w:numPr>
          <w:ilvl w:val="0"/>
          <w:numId w:val="1"/>
        </w:numPr>
        <w:spacing w:line="480" w:lineRule="auto"/>
        <w:jc w:val="both"/>
        <w:rPr>
          <w:rFonts w:ascii="Arial" w:hAnsi="Arial" w:cs="Arial"/>
          <w:sz w:val="24"/>
          <w:szCs w:val="24"/>
          <w:lang w:val="en-US"/>
        </w:rPr>
      </w:pPr>
      <w:r>
        <w:rPr>
          <w:rFonts w:ascii="Arial" w:hAnsi="Arial" w:cs="Arial"/>
          <w:sz w:val="24"/>
          <w:szCs w:val="24"/>
          <w:lang w:val="en-US"/>
        </w:rPr>
        <w:t xml:space="preserve">The defendant </w:t>
      </w:r>
      <w:r w:rsidR="00672DA2">
        <w:rPr>
          <w:rFonts w:ascii="Arial" w:hAnsi="Arial" w:cs="Arial"/>
          <w:sz w:val="24"/>
          <w:szCs w:val="24"/>
          <w:lang w:val="en-US"/>
        </w:rPr>
        <w:t>shall</w:t>
      </w:r>
      <w:r w:rsidR="00AC28B8">
        <w:rPr>
          <w:rFonts w:ascii="Arial" w:hAnsi="Arial" w:cs="Arial"/>
          <w:sz w:val="24"/>
          <w:szCs w:val="24"/>
          <w:lang w:val="en-US"/>
        </w:rPr>
        <w:t xml:space="preserve"> </w:t>
      </w:r>
      <w:r>
        <w:rPr>
          <w:rFonts w:ascii="Arial" w:hAnsi="Arial" w:cs="Arial"/>
          <w:sz w:val="24"/>
          <w:szCs w:val="24"/>
          <w:lang w:val="en-US"/>
        </w:rPr>
        <w:t xml:space="preserve">pay the </w:t>
      </w:r>
      <w:r w:rsidR="00B639A8">
        <w:rPr>
          <w:rFonts w:ascii="Arial" w:hAnsi="Arial" w:cs="Arial"/>
          <w:sz w:val="24"/>
          <w:szCs w:val="24"/>
          <w:lang w:val="en-US"/>
        </w:rPr>
        <w:t>plaintiff’s</w:t>
      </w:r>
      <w:r>
        <w:rPr>
          <w:rFonts w:ascii="Arial" w:hAnsi="Arial" w:cs="Arial"/>
          <w:sz w:val="24"/>
          <w:szCs w:val="24"/>
          <w:lang w:val="en-US"/>
        </w:rPr>
        <w:t xml:space="preserve"> costs arising from its opposition to the counter-application (condonation application)</w:t>
      </w:r>
      <w:r w:rsidR="001A4A62">
        <w:rPr>
          <w:rFonts w:ascii="Arial" w:hAnsi="Arial" w:cs="Arial"/>
          <w:sz w:val="24"/>
          <w:szCs w:val="24"/>
          <w:lang w:val="en-US"/>
        </w:rPr>
        <w:t>.</w:t>
      </w:r>
    </w:p>
    <w:p w:rsidR="00573BCA" w:rsidRPr="00573BCA" w:rsidRDefault="00573BCA" w:rsidP="00573BCA">
      <w:pPr>
        <w:pStyle w:val="ListParagraph"/>
        <w:numPr>
          <w:ilvl w:val="0"/>
          <w:numId w:val="1"/>
        </w:numPr>
        <w:spacing w:line="480" w:lineRule="auto"/>
        <w:jc w:val="both"/>
        <w:rPr>
          <w:rFonts w:ascii="Arial" w:hAnsi="Arial" w:cs="Arial"/>
          <w:sz w:val="24"/>
          <w:szCs w:val="24"/>
          <w:lang w:val="en-US"/>
        </w:rPr>
      </w:pPr>
      <w:r>
        <w:rPr>
          <w:rFonts w:ascii="Arial" w:hAnsi="Arial" w:cs="Arial"/>
          <w:sz w:val="24"/>
          <w:szCs w:val="24"/>
          <w:lang w:val="en-US"/>
        </w:rPr>
        <w:t xml:space="preserve">The plaintiff </w:t>
      </w:r>
      <w:r w:rsidR="00672DA2">
        <w:rPr>
          <w:rFonts w:ascii="Arial" w:hAnsi="Arial" w:cs="Arial"/>
          <w:sz w:val="24"/>
          <w:szCs w:val="24"/>
          <w:lang w:val="en-US"/>
        </w:rPr>
        <w:t xml:space="preserve">shall </w:t>
      </w:r>
      <w:r>
        <w:rPr>
          <w:rFonts w:ascii="Arial" w:hAnsi="Arial" w:cs="Arial"/>
          <w:sz w:val="24"/>
          <w:szCs w:val="24"/>
          <w:lang w:val="en-US"/>
        </w:rPr>
        <w:t>pay the defendant’s costs of the striking out application.</w:t>
      </w:r>
    </w:p>
    <w:p w:rsidR="00017E5E" w:rsidRPr="004C6D83" w:rsidRDefault="00017E5E" w:rsidP="00F36708">
      <w:pPr>
        <w:spacing w:line="480" w:lineRule="auto"/>
        <w:jc w:val="both"/>
        <w:rPr>
          <w:rFonts w:ascii="Arial" w:hAnsi="Arial" w:cs="Arial"/>
          <w:sz w:val="24"/>
          <w:szCs w:val="24"/>
          <w:lang w:val="en-US"/>
        </w:rPr>
      </w:pPr>
      <w:r>
        <w:rPr>
          <w:rFonts w:ascii="Arial" w:hAnsi="Arial" w:cs="Arial"/>
          <w:sz w:val="24"/>
          <w:szCs w:val="24"/>
          <w:lang w:val="en-US"/>
        </w:rPr>
        <w:tab/>
      </w:r>
    </w:p>
    <w:p w:rsidR="005B1AA3" w:rsidRDefault="005B1AA3" w:rsidP="00F36708">
      <w:pPr>
        <w:spacing w:line="480" w:lineRule="auto"/>
        <w:jc w:val="both"/>
        <w:rPr>
          <w:rFonts w:ascii="Arial" w:hAnsi="Arial" w:cs="Arial"/>
          <w:sz w:val="24"/>
          <w:szCs w:val="24"/>
          <w:lang w:val="en-US"/>
        </w:rPr>
      </w:pPr>
    </w:p>
    <w:p w:rsidR="005B1AA3" w:rsidRPr="00051FCB" w:rsidRDefault="005B1AA3" w:rsidP="00F36708">
      <w:pPr>
        <w:spacing w:line="480" w:lineRule="auto"/>
        <w:jc w:val="both"/>
        <w:rPr>
          <w:rFonts w:ascii="Arial" w:hAnsi="Arial" w:cs="Arial"/>
          <w:sz w:val="24"/>
          <w:szCs w:val="24"/>
          <w:lang w:val="en-US"/>
        </w:rPr>
      </w:pPr>
    </w:p>
    <w:sectPr w:rsidR="005B1AA3" w:rsidRPr="00051FC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363" w:rsidRDefault="00EF3363" w:rsidP="00F1130D">
      <w:pPr>
        <w:spacing w:after="0" w:line="240" w:lineRule="auto"/>
      </w:pPr>
      <w:r>
        <w:separator/>
      </w:r>
    </w:p>
  </w:endnote>
  <w:endnote w:type="continuationSeparator" w:id="0">
    <w:p w:rsidR="00EF3363" w:rsidRDefault="00EF3363" w:rsidP="00F11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560763"/>
      <w:docPartObj>
        <w:docPartGallery w:val="Page Numbers (Bottom of Page)"/>
        <w:docPartUnique/>
      </w:docPartObj>
    </w:sdtPr>
    <w:sdtEndPr>
      <w:rPr>
        <w:noProof/>
      </w:rPr>
    </w:sdtEndPr>
    <w:sdtContent>
      <w:p w:rsidR="00EF3363" w:rsidRDefault="00EF3363">
        <w:pPr>
          <w:pStyle w:val="Footer"/>
          <w:jc w:val="right"/>
        </w:pPr>
        <w:r>
          <w:fldChar w:fldCharType="begin"/>
        </w:r>
        <w:r>
          <w:instrText xml:space="preserve"> PAGE   \* MERGEFORMAT </w:instrText>
        </w:r>
        <w:r>
          <w:fldChar w:fldCharType="separate"/>
        </w:r>
        <w:r w:rsidR="004E2EB4">
          <w:rPr>
            <w:noProof/>
          </w:rPr>
          <w:t>2</w:t>
        </w:r>
        <w:r>
          <w:rPr>
            <w:noProof/>
          </w:rPr>
          <w:fldChar w:fldCharType="end"/>
        </w:r>
      </w:p>
    </w:sdtContent>
  </w:sdt>
  <w:p w:rsidR="00EF3363" w:rsidRDefault="00EF33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363" w:rsidRDefault="00EF3363" w:rsidP="00F1130D">
      <w:pPr>
        <w:spacing w:after="0" w:line="240" w:lineRule="auto"/>
      </w:pPr>
      <w:r>
        <w:separator/>
      </w:r>
    </w:p>
  </w:footnote>
  <w:footnote w:type="continuationSeparator" w:id="0">
    <w:p w:rsidR="00EF3363" w:rsidRDefault="00EF3363" w:rsidP="00F1130D">
      <w:pPr>
        <w:spacing w:after="0" w:line="240" w:lineRule="auto"/>
      </w:pPr>
      <w:r>
        <w:continuationSeparator/>
      </w:r>
    </w:p>
  </w:footnote>
  <w:footnote w:id="1">
    <w:p w:rsidR="00EF3363" w:rsidRPr="004A609A" w:rsidRDefault="00EF3363" w:rsidP="00F1130D">
      <w:pPr>
        <w:pStyle w:val="FootnoteText"/>
        <w:rPr>
          <w:lang w:val="en-GB"/>
        </w:rPr>
      </w:pPr>
      <w:r>
        <w:rPr>
          <w:rStyle w:val="FootnoteReference"/>
        </w:rPr>
        <w:footnoteRef/>
      </w:r>
      <w:r>
        <w:t xml:space="preserve"> </w:t>
      </w:r>
      <w:r>
        <w:rPr>
          <w:lang w:val="en-GB"/>
        </w:rPr>
        <w:t>Par 7, Record, p2</w:t>
      </w:r>
    </w:p>
  </w:footnote>
  <w:footnote w:id="2">
    <w:p w:rsidR="00EF3363" w:rsidRPr="00EC3D35" w:rsidRDefault="00EF3363" w:rsidP="00F1130D">
      <w:pPr>
        <w:pStyle w:val="FootnoteText"/>
        <w:rPr>
          <w:lang w:val="en-GB"/>
        </w:rPr>
      </w:pPr>
      <w:r>
        <w:rPr>
          <w:rStyle w:val="FootnoteReference"/>
        </w:rPr>
        <w:footnoteRef/>
      </w:r>
      <w:r>
        <w:t xml:space="preserve"> </w:t>
      </w:r>
      <w:r>
        <w:rPr>
          <w:lang w:val="en-GB"/>
        </w:rPr>
        <w:t>Annexure AA1</w:t>
      </w:r>
    </w:p>
  </w:footnote>
  <w:footnote w:id="3">
    <w:p w:rsidR="00EF3363" w:rsidRPr="00EC3D35" w:rsidRDefault="00EF3363" w:rsidP="00F1130D">
      <w:pPr>
        <w:pStyle w:val="FootnoteText"/>
        <w:rPr>
          <w:lang w:val="en-GB"/>
        </w:rPr>
      </w:pPr>
      <w:r>
        <w:rPr>
          <w:rStyle w:val="FootnoteReference"/>
        </w:rPr>
        <w:footnoteRef/>
      </w:r>
      <w:r>
        <w:t xml:space="preserve"> </w:t>
      </w:r>
      <w:r>
        <w:rPr>
          <w:lang w:val="en-GB"/>
        </w:rPr>
        <w:t>Annexure AA2</w:t>
      </w:r>
    </w:p>
  </w:footnote>
  <w:footnote w:id="4">
    <w:p w:rsidR="00EF3363" w:rsidRDefault="00EF3363">
      <w:pPr>
        <w:pStyle w:val="FootnoteText"/>
        <w:rPr>
          <w:rFonts w:ascii="Arial" w:hAnsi="Arial" w:cs="Arial"/>
          <w:sz w:val="18"/>
          <w:szCs w:val="18"/>
        </w:rPr>
      </w:pPr>
      <w:r>
        <w:rPr>
          <w:rStyle w:val="FootnoteReference"/>
        </w:rPr>
        <w:footnoteRef/>
      </w:r>
      <w:r>
        <w:t xml:space="preserve"> </w:t>
      </w:r>
      <w:r w:rsidRPr="00C640B4">
        <w:rPr>
          <w:rFonts w:ascii="Arial" w:hAnsi="Arial" w:cs="Arial"/>
          <w:sz w:val="18"/>
          <w:szCs w:val="18"/>
        </w:rPr>
        <w:t>1963(3</w:t>
      </w:r>
      <w:r>
        <w:rPr>
          <w:rFonts w:ascii="Arial" w:hAnsi="Arial" w:cs="Arial"/>
          <w:sz w:val="18"/>
          <w:szCs w:val="18"/>
        </w:rPr>
        <w:t>)</w:t>
      </w:r>
      <w:r w:rsidRPr="00C640B4">
        <w:rPr>
          <w:rFonts w:ascii="Arial" w:hAnsi="Arial" w:cs="Arial"/>
          <w:sz w:val="18"/>
          <w:szCs w:val="18"/>
        </w:rPr>
        <w:t xml:space="preserve"> SA 594 (N),</w:t>
      </w:r>
    </w:p>
    <w:p w:rsidR="00EF3363" w:rsidRDefault="00EF3363">
      <w:pPr>
        <w:pStyle w:val="FootnoteText"/>
      </w:pPr>
    </w:p>
  </w:footnote>
  <w:footnote w:id="5">
    <w:p w:rsidR="00EF3363" w:rsidRDefault="00EF3363">
      <w:pPr>
        <w:pStyle w:val="FootnoteText"/>
      </w:pPr>
      <w:r>
        <w:rPr>
          <w:rStyle w:val="FootnoteReference"/>
        </w:rPr>
        <w:footnoteRef/>
      </w:r>
      <w:r>
        <w:t xml:space="preserve"> 59 of 1959</w:t>
      </w:r>
    </w:p>
  </w:footnote>
  <w:footnote w:id="6">
    <w:p w:rsidR="00EF3363" w:rsidRDefault="00EF3363">
      <w:pPr>
        <w:pStyle w:val="FootnoteText"/>
      </w:pPr>
      <w:r>
        <w:rPr>
          <w:rStyle w:val="FootnoteReference"/>
        </w:rPr>
        <w:footnoteRef/>
      </w:r>
      <w:r>
        <w:t xml:space="preserve"> 1963(3) SA 594 (N) at 604</w:t>
      </w:r>
    </w:p>
  </w:footnote>
  <w:footnote w:id="7">
    <w:p w:rsidR="00EF3363" w:rsidRDefault="00EF3363">
      <w:pPr>
        <w:pStyle w:val="FootnoteText"/>
        <w:rPr>
          <w:rFonts w:ascii="Arial" w:hAnsi="Arial" w:cs="Arial"/>
          <w:sz w:val="18"/>
          <w:szCs w:val="18"/>
        </w:rPr>
      </w:pPr>
      <w:r>
        <w:rPr>
          <w:rStyle w:val="FootnoteReference"/>
        </w:rPr>
        <w:footnoteRef/>
      </w:r>
      <w:r>
        <w:t xml:space="preserve"> </w:t>
      </w:r>
      <w:r w:rsidRPr="00C640B4">
        <w:rPr>
          <w:rFonts w:ascii="Arial" w:hAnsi="Arial" w:cs="Arial"/>
          <w:sz w:val="18"/>
          <w:szCs w:val="18"/>
        </w:rPr>
        <w:t>1971(3) SA 455 (T)</w:t>
      </w:r>
    </w:p>
    <w:p w:rsidR="00EF3363" w:rsidRDefault="00EF3363">
      <w:pPr>
        <w:pStyle w:val="FootnoteText"/>
      </w:pPr>
    </w:p>
  </w:footnote>
  <w:footnote w:id="8">
    <w:p w:rsidR="00EF3363" w:rsidRDefault="00EF3363">
      <w:pPr>
        <w:pStyle w:val="FootnoteText"/>
      </w:pPr>
      <w:r>
        <w:rPr>
          <w:rStyle w:val="FootnoteReference"/>
        </w:rPr>
        <w:footnoteRef/>
      </w:r>
      <w:r>
        <w:t xml:space="preserve"> </w:t>
      </w:r>
      <w:r w:rsidRPr="005003DC">
        <w:rPr>
          <w:rFonts w:ascii="Arial" w:hAnsi="Arial" w:cs="Arial"/>
          <w:sz w:val="18"/>
          <w:szCs w:val="18"/>
        </w:rPr>
        <w:t>1987(2) SA 491 (C)</w:t>
      </w:r>
    </w:p>
  </w:footnote>
  <w:footnote w:id="9">
    <w:p w:rsidR="00EF3363" w:rsidRDefault="00EF3363">
      <w:pPr>
        <w:pStyle w:val="FootnoteText"/>
      </w:pPr>
      <w:r>
        <w:rPr>
          <w:rStyle w:val="FootnoteReference"/>
        </w:rPr>
        <w:footnoteRef/>
      </w:r>
      <w:r>
        <w:t xml:space="preserve"> See MEC for Health, Province of Eastern Cape NO and Another v Kirkland Investments (Pty) Ltd t/a Eye &amp; Laser Institute 2014(3) SA 219 (SCA)</w:t>
      </w:r>
    </w:p>
  </w:footnote>
  <w:footnote w:id="10">
    <w:p w:rsidR="00EF3363" w:rsidRDefault="00EF3363">
      <w:pPr>
        <w:pStyle w:val="FootnoteText"/>
      </w:pPr>
      <w:r>
        <w:rPr>
          <w:rStyle w:val="FootnoteReference"/>
        </w:rPr>
        <w:footnoteRef/>
      </w:r>
      <w:r>
        <w:t xml:space="preserve"> [2017]4 All SA 624 (SCA) paras 31 and 32</w:t>
      </w:r>
    </w:p>
  </w:footnote>
  <w:footnote w:id="11">
    <w:p w:rsidR="00EF3363" w:rsidRDefault="00EF3363">
      <w:pPr>
        <w:pStyle w:val="FootnoteText"/>
      </w:pPr>
      <w:r>
        <w:rPr>
          <w:rStyle w:val="FootnoteReference"/>
        </w:rPr>
        <w:footnoteRef/>
      </w:r>
      <w:r>
        <w:t xml:space="preserve"> </w:t>
      </w:r>
      <w:r w:rsidRPr="00CB7701">
        <w:rPr>
          <w:rFonts w:ascii="Arial" w:hAnsi="Arial" w:cs="Arial"/>
          <w:sz w:val="18"/>
          <w:szCs w:val="18"/>
        </w:rPr>
        <w:t>1976(1) SA 275 (T)</w:t>
      </w:r>
    </w:p>
  </w:footnote>
  <w:footnote w:id="12">
    <w:p w:rsidR="00EF3363" w:rsidRDefault="00EF3363">
      <w:pPr>
        <w:pStyle w:val="FootnoteText"/>
      </w:pPr>
      <w:r>
        <w:rPr>
          <w:rStyle w:val="FootnoteReference"/>
        </w:rPr>
        <w:footnoteRef/>
      </w:r>
      <w:r>
        <w:t xml:space="preserve"> 1983(4) SA 212 (O)</w:t>
      </w:r>
    </w:p>
  </w:footnote>
  <w:footnote w:id="13">
    <w:p w:rsidR="00EF3363" w:rsidRDefault="00EF3363">
      <w:pPr>
        <w:pStyle w:val="FootnoteText"/>
      </w:pPr>
      <w:r>
        <w:rPr>
          <w:rStyle w:val="FootnoteReference"/>
        </w:rPr>
        <w:footnoteRef/>
      </w:r>
      <w:r>
        <w:t xml:space="preserve"> Pheko and Others v Ekurhuleni City 2015(5) SA 600 (CC) para26-27</w:t>
      </w:r>
    </w:p>
  </w:footnote>
  <w:footnote w:id="14">
    <w:p w:rsidR="00EF3363" w:rsidRPr="00042016" w:rsidRDefault="00EF3363">
      <w:pPr>
        <w:pStyle w:val="FootnoteText"/>
        <w:rPr>
          <w:sz w:val="18"/>
          <w:szCs w:val="18"/>
        </w:rPr>
      </w:pPr>
      <w:r w:rsidRPr="00042016">
        <w:rPr>
          <w:rStyle w:val="FootnoteReference"/>
          <w:b/>
        </w:rPr>
        <w:footnoteRef/>
      </w:r>
      <w:r w:rsidRPr="00042016">
        <w:rPr>
          <w:b/>
        </w:rPr>
        <w:t xml:space="preserve"> </w:t>
      </w:r>
      <w:r w:rsidRPr="00042016">
        <w:rPr>
          <w:rFonts w:ascii="Arial" w:hAnsi="Arial" w:cs="Arial"/>
          <w:sz w:val="18"/>
          <w:szCs w:val="18"/>
        </w:rPr>
        <w:t>Buffalo City Metropolitan Municipality v Asla Construction (Pty) Ltd 2019(4) SA 331 (CC) paragraph 60; MEC for Health, Eastern Cape and Another v Kirland Investments (Pty) Ltd 2014(3) SA 481 (CC paragraph 82</w:t>
      </w:r>
    </w:p>
  </w:footnote>
  <w:footnote w:id="15">
    <w:p w:rsidR="00EF3363" w:rsidRPr="00076245" w:rsidRDefault="00EF3363">
      <w:pPr>
        <w:pStyle w:val="FootnoteText"/>
      </w:pPr>
      <w:r>
        <w:rPr>
          <w:rStyle w:val="FootnoteReference"/>
        </w:rPr>
        <w:footnoteRef/>
      </w:r>
      <w:r>
        <w:t xml:space="preserve"> Paribas</w:t>
      </w:r>
      <w:r w:rsidRPr="00076245">
        <w:rPr>
          <w:i/>
        </w:rPr>
        <w:t xml:space="preserve"> (supra)</w:t>
      </w:r>
      <w:r>
        <w:rPr>
          <w:i/>
        </w:rPr>
        <w:t xml:space="preserve"> </w:t>
      </w:r>
      <w:r>
        <w:t>at 499</w:t>
      </w:r>
    </w:p>
  </w:footnote>
  <w:footnote w:id="16">
    <w:p w:rsidR="00EF3363" w:rsidRDefault="00EF3363">
      <w:pPr>
        <w:pStyle w:val="FootnoteText"/>
      </w:pPr>
      <w:r>
        <w:rPr>
          <w:rStyle w:val="FootnoteReference"/>
        </w:rPr>
        <w:footnoteRef/>
      </w:r>
      <w:r>
        <w:t xml:space="preserve"> [2022] ZAFSJC 132</w:t>
      </w:r>
    </w:p>
  </w:footnote>
  <w:footnote w:id="17">
    <w:p w:rsidR="00EF3363" w:rsidRDefault="00EF3363">
      <w:pPr>
        <w:pStyle w:val="FootnoteText"/>
      </w:pPr>
      <w:r>
        <w:rPr>
          <w:rStyle w:val="FootnoteReference"/>
        </w:rPr>
        <w:footnoteRef/>
      </w:r>
      <w:r>
        <w:t xml:space="preserve"> At paragraph 15 of the judgment</w:t>
      </w:r>
    </w:p>
  </w:footnote>
  <w:footnote w:id="18">
    <w:p w:rsidR="00EF3363" w:rsidRDefault="00EF3363">
      <w:pPr>
        <w:pStyle w:val="FootnoteText"/>
      </w:pPr>
      <w:r>
        <w:rPr>
          <w:rStyle w:val="FootnoteReference"/>
        </w:rPr>
        <w:footnoteRef/>
      </w:r>
      <w:r>
        <w:t xml:space="preserve"> </w:t>
      </w:r>
      <w:r w:rsidRPr="005A7DDB">
        <w:rPr>
          <w:rFonts w:ascii="Arial" w:hAnsi="Arial" w:cs="Arial"/>
          <w:sz w:val="18"/>
          <w:szCs w:val="18"/>
        </w:rPr>
        <w:t>2004(1) SA 292(SCA)</w:t>
      </w:r>
    </w:p>
  </w:footnote>
  <w:footnote w:id="19">
    <w:p w:rsidR="00EF3363" w:rsidRDefault="00EF3363">
      <w:pPr>
        <w:pStyle w:val="FootnoteText"/>
      </w:pPr>
      <w:r>
        <w:rPr>
          <w:rStyle w:val="FootnoteReference"/>
        </w:rPr>
        <w:footnoteRef/>
      </w:r>
      <w:r>
        <w:t xml:space="preserve"> </w:t>
      </w:r>
      <w:r w:rsidRPr="00DE7EDA">
        <w:rPr>
          <w:rFonts w:ascii="Arial" w:hAnsi="Arial" w:cs="Arial"/>
          <w:sz w:val="18"/>
          <w:szCs w:val="18"/>
        </w:rPr>
        <w:t>Grootboom v National Prosecuting Authority and Another 2014(2) SA 68 (CC) paragraph 23; Von Abo v President of the Republic of South Africa 2009 (5) SA 345 (CC paragraph 20; see also Siber v Ozen Wholesalers (Pty) Ltd</w:t>
      </w:r>
      <w:r w:rsidRPr="005A7DDB">
        <w:rPr>
          <w:rFonts w:ascii="Arial" w:hAnsi="Arial" w:cs="Arial"/>
          <w:b/>
          <w:sz w:val="18"/>
          <w:szCs w:val="18"/>
        </w:rPr>
        <w:t xml:space="preserve"> </w:t>
      </w:r>
      <w:r w:rsidRPr="005A7DDB">
        <w:rPr>
          <w:rFonts w:ascii="Arial" w:hAnsi="Arial" w:cs="Arial"/>
          <w:sz w:val="18"/>
          <w:szCs w:val="18"/>
        </w:rPr>
        <w:t>1954 (2) SA 345 (A) 353</w:t>
      </w:r>
    </w:p>
  </w:footnote>
  <w:footnote w:id="20">
    <w:p w:rsidR="00EF3363" w:rsidRPr="005A7DDB" w:rsidRDefault="00EF3363">
      <w:pPr>
        <w:pStyle w:val="FootnoteText"/>
        <w:rPr>
          <w:sz w:val="18"/>
          <w:szCs w:val="18"/>
        </w:rPr>
      </w:pPr>
      <w:r w:rsidRPr="005A7DDB">
        <w:rPr>
          <w:rStyle w:val="FootnoteReference"/>
          <w:sz w:val="18"/>
          <w:szCs w:val="18"/>
        </w:rPr>
        <w:footnoteRef/>
      </w:r>
      <w:r w:rsidRPr="005A7DDB">
        <w:rPr>
          <w:sz w:val="18"/>
          <w:szCs w:val="18"/>
        </w:rPr>
        <w:t xml:space="preserve"> </w:t>
      </w:r>
      <w:r w:rsidRPr="00DE7EDA">
        <w:rPr>
          <w:rFonts w:ascii="Arial" w:hAnsi="Arial" w:cs="Arial"/>
          <w:sz w:val="18"/>
          <w:szCs w:val="18"/>
        </w:rPr>
        <w:t>Van Wyk v Unitas Hospital</w:t>
      </w:r>
      <w:r w:rsidRPr="005A7DDB">
        <w:rPr>
          <w:rFonts w:ascii="Arial" w:hAnsi="Arial" w:cs="Arial"/>
          <w:b/>
          <w:sz w:val="18"/>
          <w:szCs w:val="18"/>
        </w:rPr>
        <w:t xml:space="preserve"> </w:t>
      </w:r>
      <w:r w:rsidRPr="005A7DDB">
        <w:rPr>
          <w:rFonts w:ascii="Arial" w:hAnsi="Arial" w:cs="Arial"/>
          <w:sz w:val="18"/>
          <w:szCs w:val="18"/>
        </w:rPr>
        <w:t>2008(2) SA 472 (CC)</w:t>
      </w:r>
    </w:p>
  </w:footnote>
  <w:footnote w:id="21">
    <w:p w:rsidR="00EF3363" w:rsidRPr="005A7DDB" w:rsidRDefault="00EF3363">
      <w:pPr>
        <w:pStyle w:val="FootnoteText"/>
        <w:rPr>
          <w:sz w:val="18"/>
          <w:szCs w:val="18"/>
        </w:rPr>
      </w:pPr>
      <w:r w:rsidRPr="005A7DDB">
        <w:rPr>
          <w:rStyle w:val="FootnoteReference"/>
          <w:sz w:val="18"/>
          <w:szCs w:val="18"/>
        </w:rPr>
        <w:footnoteRef/>
      </w:r>
      <w:r w:rsidRPr="005A7DDB">
        <w:rPr>
          <w:sz w:val="18"/>
          <w:szCs w:val="18"/>
        </w:rPr>
        <w:t xml:space="preserve"> </w:t>
      </w:r>
      <w:r w:rsidRPr="00DE7EDA">
        <w:rPr>
          <w:rFonts w:ascii="Arial" w:hAnsi="Arial" w:cs="Arial"/>
          <w:sz w:val="18"/>
          <w:szCs w:val="18"/>
        </w:rPr>
        <w:t>Brummer v Gorfil Brothers Investments (Pty) Ltd and Others 2000(2) SA 837(CC); eThekwini Municipality v Ingonyama Trust</w:t>
      </w:r>
      <w:r w:rsidRPr="005A7DDB">
        <w:rPr>
          <w:rFonts w:ascii="Arial" w:hAnsi="Arial" w:cs="Arial"/>
          <w:b/>
          <w:sz w:val="18"/>
          <w:szCs w:val="18"/>
        </w:rPr>
        <w:t xml:space="preserve"> </w:t>
      </w:r>
      <w:r w:rsidRPr="005A7DDB">
        <w:rPr>
          <w:rFonts w:ascii="Arial" w:hAnsi="Arial" w:cs="Arial"/>
          <w:sz w:val="18"/>
          <w:szCs w:val="18"/>
        </w:rPr>
        <w:t>2014(3) SA 240 (CC)</w:t>
      </w:r>
    </w:p>
  </w:footnote>
  <w:footnote w:id="22">
    <w:p w:rsidR="00EF3363" w:rsidRDefault="00EF3363">
      <w:pPr>
        <w:pStyle w:val="FootnoteText"/>
      </w:pPr>
      <w:r>
        <w:rPr>
          <w:rStyle w:val="FootnoteReference"/>
        </w:rPr>
        <w:footnoteRef/>
      </w:r>
      <w:r>
        <w:t xml:space="preserve"> At paragraph 20 </w:t>
      </w:r>
    </w:p>
  </w:footnote>
  <w:footnote w:id="23">
    <w:p w:rsidR="00EF3363" w:rsidRDefault="00EF3363">
      <w:pPr>
        <w:pStyle w:val="FootnoteText"/>
      </w:pPr>
      <w:r>
        <w:rPr>
          <w:rStyle w:val="FootnoteReference"/>
        </w:rPr>
        <w:footnoteRef/>
      </w:r>
      <w:r>
        <w:t xml:space="preserve"> At paragraph 31</w:t>
      </w:r>
    </w:p>
  </w:footnote>
  <w:footnote w:id="24">
    <w:p w:rsidR="00EF3363" w:rsidRDefault="00EF3363">
      <w:pPr>
        <w:pStyle w:val="FootnoteText"/>
      </w:pPr>
      <w:r>
        <w:rPr>
          <w:rStyle w:val="FootnoteReference"/>
        </w:rPr>
        <w:footnoteRef/>
      </w:r>
      <w:r>
        <w:t xml:space="preserve"> 2011 (5) SA 329 (SCA) at paragraph 17</w:t>
      </w:r>
    </w:p>
  </w:footnote>
  <w:footnote w:id="25">
    <w:p w:rsidR="00EF3363" w:rsidRDefault="00EF3363">
      <w:pPr>
        <w:pStyle w:val="FootnoteText"/>
      </w:pPr>
      <w:r>
        <w:rPr>
          <w:rStyle w:val="FootnoteReference"/>
        </w:rPr>
        <w:footnoteRef/>
      </w:r>
      <w:r>
        <w:t xml:space="preserve"> See Brummer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F1243"/>
    <w:multiLevelType w:val="multilevel"/>
    <w:tmpl w:val="93105462"/>
    <w:lvl w:ilvl="0">
      <w:start w:val="4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1BF364AE"/>
    <w:multiLevelType w:val="hybridMultilevel"/>
    <w:tmpl w:val="42DAFD6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1F757E65"/>
    <w:multiLevelType w:val="hybridMultilevel"/>
    <w:tmpl w:val="76B43C6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571B7931"/>
    <w:multiLevelType w:val="hybridMultilevel"/>
    <w:tmpl w:val="D3DAE0E0"/>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1856739"/>
    <w:multiLevelType w:val="multilevel"/>
    <w:tmpl w:val="9E98C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7A0DBA"/>
    <w:multiLevelType w:val="multilevel"/>
    <w:tmpl w:val="A0EC1606"/>
    <w:lvl w:ilvl="0">
      <w:start w:val="32"/>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6D1762FD"/>
    <w:multiLevelType w:val="hybridMultilevel"/>
    <w:tmpl w:val="75CEE80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mailingLabels"/>
    <w:dataType w:val="textFile"/>
    <w:activeRecord w:val="-1"/>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890"/>
    <w:rsid w:val="00017E5E"/>
    <w:rsid w:val="00042016"/>
    <w:rsid w:val="00051FCB"/>
    <w:rsid w:val="000626FF"/>
    <w:rsid w:val="00074F4C"/>
    <w:rsid w:val="00076245"/>
    <w:rsid w:val="00177E4B"/>
    <w:rsid w:val="00191F4F"/>
    <w:rsid w:val="001A4A62"/>
    <w:rsid w:val="001B3544"/>
    <w:rsid w:val="001B6BF9"/>
    <w:rsid w:val="001C2B53"/>
    <w:rsid w:val="00252D77"/>
    <w:rsid w:val="00260A37"/>
    <w:rsid w:val="00266CC1"/>
    <w:rsid w:val="00281B2A"/>
    <w:rsid w:val="002A6EFB"/>
    <w:rsid w:val="002C4CD3"/>
    <w:rsid w:val="00362F97"/>
    <w:rsid w:val="003C0DAE"/>
    <w:rsid w:val="003D0B7F"/>
    <w:rsid w:val="003E3C26"/>
    <w:rsid w:val="00497422"/>
    <w:rsid w:val="004C6D83"/>
    <w:rsid w:val="004E2EB4"/>
    <w:rsid w:val="004F16E0"/>
    <w:rsid w:val="005003DC"/>
    <w:rsid w:val="0055150C"/>
    <w:rsid w:val="00573BCA"/>
    <w:rsid w:val="005A7DDB"/>
    <w:rsid w:val="005B1AA3"/>
    <w:rsid w:val="00614D56"/>
    <w:rsid w:val="00663441"/>
    <w:rsid w:val="00672DA2"/>
    <w:rsid w:val="0068407D"/>
    <w:rsid w:val="0069399A"/>
    <w:rsid w:val="00760924"/>
    <w:rsid w:val="00817A52"/>
    <w:rsid w:val="00840B26"/>
    <w:rsid w:val="008B07CB"/>
    <w:rsid w:val="008D4F0A"/>
    <w:rsid w:val="008E08CF"/>
    <w:rsid w:val="00917CA4"/>
    <w:rsid w:val="00924C1A"/>
    <w:rsid w:val="00971D29"/>
    <w:rsid w:val="009B04AD"/>
    <w:rsid w:val="009E54A6"/>
    <w:rsid w:val="009F0665"/>
    <w:rsid w:val="00A306C6"/>
    <w:rsid w:val="00AC28B8"/>
    <w:rsid w:val="00B37FDC"/>
    <w:rsid w:val="00B639A8"/>
    <w:rsid w:val="00BD4CEA"/>
    <w:rsid w:val="00C1197E"/>
    <w:rsid w:val="00C36DA3"/>
    <w:rsid w:val="00C640B4"/>
    <w:rsid w:val="00C670F3"/>
    <w:rsid w:val="00CB7701"/>
    <w:rsid w:val="00D408F3"/>
    <w:rsid w:val="00D714A6"/>
    <w:rsid w:val="00D87150"/>
    <w:rsid w:val="00DC5B90"/>
    <w:rsid w:val="00DD116B"/>
    <w:rsid w:val="00DE7EDA"/>
    <w:rsid w:val="00DF145E"/>
    <w:rsid w:val="00E01890"/>
    <w:rsid w:val="00E52DCF"/>
    <w:rsid w:val="00E700CB"/>
    <w:rsid w:val="00E97915"/>
    <w:rsid w:val="00EB6F32"/>
    <w:rsid w:val="00EC1894"/>
    <w:rsid w:val="00EF1AD1"/>
    <w:rsid w:val="00EF3363"/>
    <w:rsid w:val="00F1130D"/>
    <w:rsid w:val="00F20E68"/>
    <w:rsid w:val="00F36708"/>
    <w:rsid w:val="00F814D9"/>
    <w:rsid w:val="00FB1712"/>
    <w:rsid w:val="00FE05D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4314B48-1C0E-4B5F-BB93-8D9F2486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BCA"/>
    <w:pPr>
      <w:ind w:left="720"/>
      <w:contextualSpacing/>
    </w:pPr>
  </w:style>
  <w:style w:type="paragraph" w:styleId="FootnoteText">
    <w:name w:val="footnote text"/>
    <w:basedOn w:val="Normal"/>
    <w:link w:val="FootnoteTextChar"/>
    <w:uiPriority w:val="99"/>
    <w:semiHidden/>
    <w:unhideWhenUsed/>
    <w:rsid w:val="00F1130D"/>
    <w:pPr>
      <w:spacing w:after="0" w:line="240" w:lineRule="auto"/>
      <w:jc w:val="both"/>
    </w:pPr>
    <w:rPr>
      <w:sz w:val="20"/>
      <w:szCs w:val="20"/>
      <w:lang w:val="en-US"/>
    </w:rPr>
  </w:style>
  <w:style w:type="character" w:customStyle="1" w:styleId="FootnoteTextChar">
    <w:name w:val="Footnote Text Char"/>
    <w:basedOn w:val="DefaultParagraphFont"/>
    <w:link w:val="FootnoteText"/>
    <w:uiPriority w:val="99"/>
    <w:semiHidden/>
    <w:rsid w:val="00F1130D"/>
    <w:rPr>
      <w:sz w:val="20"/>
      <w:szCs w:val="20"/>
      <w:lang w:val="en-US"/>
    </w:rPr>
  </w:style>
  <w:style w:type="character" w:styleId="FootnoteReference">
    <w:name w:val="footnote reference"/>
    <w:basedOn w:val="DefaultParagraphFont"/>
    <w:uiPriority w:val="99"/>
    <w:semiHidden/>
    <w:unhideWhenUsed/>
    <w:rsid w:val="00F1130D"/>
    <w:rPr>
      <w:vertAlign w:val="superscript"/>
    </w:rPr>
  </w:style>
  <w:style w:type="paragraph" w:styleId="Header">
    <w:name w:val="header"/>
    <w:basedOn w:val="Normal"/>
    <w:link w:val="HeaderChar"/>
    <w:uiPriority w:val="99"/>
    <w:unhideWhenUsed/>
    <w:rsid w:val="00C64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0B4"/>
  </w:style>
  <w:style w:type="paragraph" w:styleId="NormalWeb">
    <w:name w:val="Normal (Web)"/>
    <w:basedOn w:val="Normal"/>
    <w:uiPriority w:val="99"/>
    <w:semiHidden/>
    <w:unhideWhenUsed/>
    <w:rsid w:val="00DD116B"/>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odyText3">
    <w:name w:val="Body Text 3"/>
    <w:basedOn w:val="Normal"/>
    <w:link w:val="BodyText3Char"/>
    <w:uiPriority w:val="99"/>
    <w:semiHidden/>
    <w:unhideWhenUsed/>
    <w:rsid w:val="005A7DDB"/>
    <w:pPr>
      <w:spacing w:after="120"/>
    </w:pPr>
    <w:rPr>
      <w:sz w:val="16"/>
      <w:szCs w:val="16"/>
    </w:rPr>
  </w:style>
  <w:style w:type="character" w:customStyle="1" w:styleId="BodyText3Char">
    <w:name w:val="Body Text 3 Char"/>
    <w:basedOn w:val="DefaultParagraphFont"/>
    <w:link w:val="BodyText3"/>
    <w:uiPriority w:val="99"/>
    <w:semiHidden/>
    <w:rsid w:val="005A7DDB"/>
    <w:rPr>
      <w:sz w:val="16"/>
      <w:szCs w:val="16"/>
    </w:rPr>
  </w:style>
  <w:style w:type="paragraph" w:styleId="Footer">
    <w:name w:val="footer"/>
    <w:basedOn w:val="Normal"/>
    <w:link w:val="FooterChar"/>
    <w:uiPriority w:val="99"/>
    <w:unhideWhenUsed/>
    <w:rsid w:val="00A30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6C6"/>
  </w:style>
  <w:style w:type="paragraph" w:styleId="BalloonText">
    <w:name w:val="Balloon Text"/>
    <w:basedOn w:val="Normal"/>
    <w:link w:val="BalloonTextChar"/>
    <w:uiPriority w:val="99"/>
    <w:semiHidden/>
    <w:unhideWhenUsed/>
    <w:rsid w:val="009F0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11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C8612-584B-4BCA-8B00-6629AEAE7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6238</Words>
  <Characters>35561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Lategan</dc:creator>
  <cp:keywords/>
  <dc:description/>
  <cp:lastModifiedBy>Mokone</cp:lastModifiedBy>
  <cp:revision>2</cp:revision>
  <cp:lastPrinted>2023-04-26T13:01:00Z</cp:lastPrinted>
  <dcterms:created xsi:type="dcterms:W3CDTF">2023-05-04T09:26:00Z</dcterms:created>
  <dcterms:modified xsi:type="dcterms:W3CDTF">2023-05-04T09:26:00Z</dcterms:modified>
</cp:coreProperties>
</file>