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6227058"/>
    <w:p w14:paraId="1FBAA90B" w14:textId="77777777" w:rsidR="00724560" w:rsidRDefault="00724560" w:rsidP="00724560">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2E23C7">
        <w:rPr>
          <w:color w:val="1F497D"/>
          <w:sz w:val="16"/>
          <w:szCs w:val="16"/>
          <w:lang w:eastAsia="en-ZA"/>
        </w:rPr>
        <w:fldChar w:fldCharType="begin"/>
      </w:r>
      <w:r w:rsidR="002E23C7">
        <w:rPr>
          <w:color w:val="1F497D"/>
          <w:sz w:val="16"/>
          <w:szCs w:val="16"/>
          <w:lang w:eastAsia="en-ZA"/>
        </w:rPr>
        <w:instrText xml:space="preserve"> INCLUDEPICTURE  "cid:image003.png@01D1124C.FE52AAA0" \* MERGEFORMATINET </w:instrText>
      </w:r>
      <w:r w:rsidR="002E23C7">
        <w:rPr>
          <w:color w:val="1F497D"/>
          <w:sz w:val="16"/>
          <w:szCs w:val="16"/>
          <w:lang w:eastAsia="en-ZA"/>
        </w:rPr>
        <w:fldChar w:fldCharType="separate"/>
      </w:r>
      <w:r w:rsidR="00750DAD">
        <w:rPr>
          <w:color w:val="1F497D"/>
          <w:sz w:val="16"/>
          <w:szCs w:val="16"/>
          <w:lang w:eastAsia="en-ZA"/>
        </w:rPr>
        <w:fldChar w:fldCharType="begin"/>
      </w:r>
      <w:r w:rsidR="00750DAD">
        <w:rPr>
          <w:color w:val="1F497D"/>
          <w:sz w:val="16"/>
          <w:szCs w:val="16"/>
          <w:lang w:eastAsia="en-ZA"/>
        </w:rPr>
        <w:instrText xml:space="preserve"> INCLUDEPICTURE  "cid:image003.png@01D1124C.FE52AAA0" \* MERGEFORMATINET </w:instrText>
      </w:r>
      <w:r w:rsidR="00750DAD">
        <w:rPr>
          <w:color w:val="1F497D"/>
          <w:sz w:val="16"/>
          <w:szCs w:val="16"/>
          <w:lang w:eastAsia="en-ZA"/>
        </w:rPr>
        <w:fldChar w:fldCharType="separate"/>
      </w:r>
      <w:r w:rsidR="004A0518">
        <w:rPr>
          <w:color w:val="1F497D"/>
          <w:sz w:val="16"/>
          <w:szCs w:val="16"/>
          <w:lang w:eastAsia="en-ZA"/>
        </w:rPr>
        <w:fldChar w:fldCharType="begin"/>
      </w:r>
      <w:r w:rsidR="004A0518">
        <w:rPr>
          <w:color w:val="1F497D"/>
          <w:sz w:val="16"/>
          <w:szCs w:val="16"/>
          <w:lang w:eastAsia="en-ZA"/>
        </w:rPr>
        <w:instrText xml:space="preserve"> </w:instrText>
      </w:r>
      <w:r w:rsidR="004A0518">
        <w:rPr>
          <w:color w:val="1F497D"/>
          <w:sz w:val="16"/>
          <w:szCs w:val="16"/>
          <w:lang w:eastAsia="en-ZA"/>
        </w:rPr>
        <w:instrText>INCLUDEPICTURE  "cid:image003.png@01D1124C.FE52AAA0" \* MERGEFORMATINET</w:instrText>
      </w:r>
      <w:r w:rsidR="004A0518">
        <w:rPr>
          <w:color w:val="1F497D"/>
          <w:sz w:val="16"/>
          <w:szCs w:val="16"/>
          <w:lang w:eastAsia="en-ZA"/>
        </w:rPr>
        <w:instrText xml:space="preserve"> </w:instrText>
      </w:r>
      <w:r w:rsidR="004A0518">
        <w:rPr>
          <w:color w:val="1F497D"/>
          <w:sz w:val="16"/>
          <w:szCs w:val="16"/>
          <w:lang w:eastAsia="en-ZA"/>
        </w:rPr>
        <w:fldChar w:fldCharType="separate"/>
      </w:r>
      <w:r w:rsidR="004A0518">
        <w:rPr>
          <w:color w:val="1F497D"/>
          <w:sz w:val="16"/>
          <w:szCs w:val="16"/>
          <w:lang w:eastAsia="en-ZA"/>
        </w:rPr>
        <w:pict w14:anchorId="1DD56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5pt;height:106.5pt">
            <v:imagedata r:id="rId8" r:href="rId9"/>
          </v:shape>
        </w:pict>
      </w:r>
      <w:r w:rsidR="004A0518">
        <w:rPr>
          <w:color w:val="1F497D"/>
          <w:sz w:val="16"/>
          <w:szCs w:val="16"/>
          <w:lang w:eastAsia="en-ZA"/>
        </w:rPr>
        <w:fldChar w:fldCharType="end"/>
      </w:r>
      <w:r w:rsidR="00750DAD">
        <w:rPr>
          <w:color w:val="1F497D"/>
          <w:sz w:val="16"/>
          <w:szCs w:val="16"/>
          <w:lang w:eastAsia="en-ZA"/>
        </w:rPr>
        <w:fldChar w:fldCharType="end"/>
      </w:r>
      <w:r w:rsidR="002E23C7">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14:paraId="56F3DEEA" w14:textId="77777777" w:rsidR="00724560" w:rsidRDefault="00724560" w:rsidP="00724560">
      <w:pPr>
        <w:spacing w:before="120"/>
        <w:jc w:val="center"/>
        <w:rPr>
          <w:rFonts w:ascii="Calibri" w:hAnsi="Calibri" w:cs="Calibri"/>
          <w:b/>
        </w:rPr>
      </w:pPr>
      <w:r w:rsidRPr="007A7197">
        <w:rPr>
          <w:rFonts w:ascii="Calibri" w:hAnsi="Calibri" w:cs="Calibri"/>
          <w:b/>
        </w:rPr>
        <w:t>OFFICE OF THE CHIEF JUSTICE</w:t>
      </w:r>
    </w:p>
    <w:p w14:paraId="64BBA1A1" w14:textId="77777777" w:rsidR="00724560" w:rsidRDefault="00724560" w:rsidP="00724560">
      <w:pPr>
        <w:jc w:val="center"/>
        <w:rPr>
          <w:rFonts w:cs="Arial"/>
          <w:b/>
          <w:lang w:val="en-GB"/>
        </w:rPr>
      </w:pPr>
      <w:r>
        <w:rPr>
          <w:rFonts w:cs="Arial"/>
          <w:b/>
          <w:lang w:val="en-GB"/>
        </w:rPr>
        <w:t>IN THE HIGH COURT OF SOUTH AFRICA</w:t>
      </w:r>
    </w:p>
    <w:p w14:paraId="0D34898A" w14:textId="77777777" w:rsidR="00724560" w:rsidRDefault="00724560" w:rsidP="00724560">
      <w:pPr>
        <w:jc w:val="center"/>
        <w:rPr>
          <w:rFonts w:cs="Arial"/>
          <w:b/>
          <w:lang w:val="en-GB"/>
        </w:rPr>
      </w:pPr>
      <w:r>
        <w:rPr>
          <w:rFonts w:cs="Arial"/>
          <w:b/>
          <w:lang w:val="en-GB"/>
        </w:rPr>
        <w:t>(WESTERN CAPE DIVISION, CAPE TOWN)</w:t>
      </w:r>
    </w:p>
    <w:p w14:paraId="6C6D8ADA" w14:textId="77777777" w:rsidR="00724560" w:rsidRDefault="00724560" w:rsidP="003A57E7">
      <w:pPr>
        <w:jc w:val="right"/>
        <w:rPr>
          <w:rFonts w:ascii="Times New Roman" w:eastAsia="Calibri" w:hAnsi="Times New Roman"/>
          <w:lang w:val="en-GB"/>
        </w:rPr>
      </w:pPr>
    </w:p>
    <w:p w14:paraId="2B1128D7" w14:textId="18603535" w:rsidR="00D54C60" w:rsidRDefault="00D54C60" w:rsidP="003A57E7">
      <w:pPr>
        <w:jc w:val="right"/>
        <w:rPr>
          <w:rFonts w:ascii="Times New Roman" w:eastAsia="Calibri" w:hAnsi="Times New Roman"/>
          <w:b/>
          <w:lang w:val="en-GB"/>
        </w:rPr>
      </w:pPr>
      <w:r w:rsidRPr="00724560">
        <w:rPr>
          <w:rFonts w:ascii="Times New Roman" w:eastAsia="Calibri" w:hAnsi="Times New Roman"/>
          <w:b/>
          <w:lang w:val="en-GB"/>
        </w:rPr>
        <w:t xml:space="preserve">CASE NO:  </w:t>
      </w:r>
      <w:r w:rsidR="00941565" w:rsidRPr="00724560">
        <w:rPr>
          <w:rFonts w:ascii="Times New Roman" w:eastAsia="Calibri" w:hAnsi="Times New Roman"/>
          <w:b/>
          <w:lang w:val="en-GB"/>
        </w:rPr>
        <w:t>16881/2022</w:t>
      </w:r>
    </w:p>
    <w:p w14:paraId="3DE5FE88" w14:textId="77777777" w:rsidR="00724560" w:rsidRPr="00724560" w:rsidRDefault="00724560" w:rsidP="003A57E7">
      <w:pPr>
        <w:jc w:val="right"/>
        <w:rPr>
          <w:rFonts w:ascii="Times New Roman" w:eastAsia="Calibri" w:hAnsi="Times New Roman"/>
          <w:b/>
          <w:lang w:val="en-GB"/>
        </w:rPr>
      </w:pPr>
    </w:p>
    <w:p w14:paraId="789C1E3B" w14:textId="77777777" w:rsidR="00AB141B" w:rsidRPr="00C52957" w:rsidRDefault="00D54C60" w:rsidP="00FA4A21">
      <w:pPr>
        <w:spacing w:before="120" w:after="240"/>
        <w:jc w:val="both"/>
        <w:rPr>
          <w:lang w:val="en-GB"/>
        </w:rPr>
      </w:pPr>
      <w:r w:rsidRPr="00C52957">
        <w:rPr>
          <w:rFonts w:ascii="Times New Roman" w:eastAsia="Calibri" w:hAnsi="Times New Roman"/>
          <w:lang w:val="en-GB"/>
        </w:rPr>
        <w:t>In the matter between:</w:t>
      </w:r>
    </w:p>
    <w:tbl>
      <w:tblPr>
        <w:tblW w:w="112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985"/>
        <w:gridCol w:w="536"/>
        <w:gridCol w:w="4774"/>
      </w:tblGrid>
      <w:tr w:rsidR="00AB141B" w:rsidRPr="00C52957" w14:paraId="471FCF11" w14:textId="77777777" w:rsidTr="00760C7B">
        <w:trPr>
          <w:trHeight w:val="405"/>
        </w:trPr>
        <w:tc>
          <w:tcPr>
            <w:tcW w:w="5985" w:type="dxa"/>
          </w:tcPr>
          <w:p w14:paraId="1840BA6B" w14:textId="29334A9B" w:rsidR="00AB141B" w:rsidRPr="00724560" w:rsidRDefault="00941565" w:rsidP="008F0AB8">
            <w:pPr>
              <w:autoSpaceDE w:val="0"/>
              <w:autoSpaceDN w:val="0"/>
              <w:adjustRightInd w:val="0"/>
              <w:rPr>
                <w:rFonts w:ascii="Times New Roman" w:hAnsi="Times New Roman"/>
                <w:b/>
                <w:lang w:val="en-GB"/>
              </w:rPr>
            </w:pPr>
            <w:r w:rsidRPr="00724560">
              <w:rPr>
                <w:rFonts w:ascii="Times New Roman" w:hAnsi="Times New Roman"/>
                <w:b/>
                <w:lang w:val="en-GB"/>
              </w:rPr>
              <w:t>ROTA INVESTMENTS CC</w:t>
            </w:r>
          </w:p>
        </w:tc>
        <w:tc>
          <w:tcPr>
            <w:tcW w:w="536" w:type="dxa"/>
          </w:tcPr>
          <w:p w14:paraId="063C4D74" w14:textId="03919781" w:rsidR="00AB141B" w:rsidRPr="00C52957" w:rsidRDefault="00AB141B" w:rsidP="008F0AB8">
            <w:pPr>
              <w:spacing w:before="80" w:after="80"/>
              <w:jc w:val="both"/>
              <w:rPr>
                <w:rFonts w:ascii="Times New Roman" w:hAnsi="Times New Roman"/>
                <w:lang w:val="en-GB"/>
              </w:rPr>
            </w:pPr>
          </w:p>
        </w:tc>
        <w:tc>
          <w:tcPr>
            <w:tcW w:w="4774" w:type="dxa"/>
          </w:tcPr>
          <w:p w14:paraId="5273FF8E" w14:textId="083DB0D4" w:rsidR="00AB141B" w:rsidRPr="00C52957" w:rsidRDefault="00724560" w:rsidP="008F0AB8">
            <w:pPr>
              <w:spacing w:before="80" w:after="80"/>
              <w:jc w:val="both"/>
              <w:rPr>
                <w:rFonts w:ascii="Times New Roman" w:hAnsi="Times New Roman"/>
                <w:lang w:val="en-GB"/>
              </w:rPr>
            </w:pPr>
            <w:r>
              <w:rPr>
                <w:rFonts w:ascii="Times New Roman" w:hAnsi="Times New Roman"/>
                <w:lang w:val="en-GB"/>
              </w:rPr>
              <w:t xml:space="preserve">               </w:t>
            </w:r>
            <w:r w:rsidR="00AB141B" w:rsidRPr="00C52957">
              <w:rPr>
                <w:rFonts w:ascii="Times New Roman" w:hAnsi="Times New Roman"/>
                <w:lang w:val="en-GB"/>
              </w:rPr>
              <w:t>Applicant</w:t>
            </w:r>
          </w:p>
        </w:tc>
      </w:tr>
      <w:tr w:rsidR="00AB141B" w:rsidRPr="00C52957" w14:paraId="22A2FD3C" w14:textId="77777777" w:rsidTr="00760C7B">
        <w:trPr>
          <w:trHeight w:val="210"/>
        </w:trPr>
        <w:tc>
          <w:tcPr>
            <w:tcW w:w="5985" w:type="dxa"/>
          </w:tcPr>
          <w:p w14:paraId="085C5FD6" w14:textId="77777777" w:rsidR="00724560" w:rsidRDefault="00724560" w:rsidP="008F0AB8">
            <w:pPr>
              <w:spacing w:before="80" w:after="80"/>
              <w:jc w:val="both"/>
              <w:rPr>
                <w:rFonts w:ascii="Times New Roman" w:hAnsi="Times New Roman"/>
                <w:lang w:val="en-GB"/>
              </w:rPr>
            </w:pPr>
          </w:p>
          <w:p w14:paraId="2A5788E8" w14:textId="17433531" w:rsidR="00AB141B" w:rsidRPr="00C52957" w:rsidRDefault="00AB141B" w:rsidP="008F0AB8">
            <w:pPr>
              <w:spacing w:before="80" w:after="80"/>
              <w:jc w:val="both"/>
              <w:rPr>
                <w:rFonts w:ascii="Times New Roman" w:hAnsi="Times New Roman"/>
                <w:lang w:val="en-GB"/>
              </w:rPr>
            </w:pPr>
            <w:r w:rsidRPr="00C52957">
              <w:rPr>
                <w:rFonts w:ascii="Times New Roman" w:hAnsi="Times New Roman"/>
                <w:lang w:val="en-GB"/>
              </w:rPr>
              <w:t>and</w:t>
            </w:r>
          </w:p>
        </w:tc>
        <w:tc>
          <w:tcPr>
            <w:tcW w:w="536" w:type="dxa"/>
          </w:tcPr>
          <w:p w14:paraId="7B2BFBED" w14:textId="77777777" w:rsidR="00AB141B" w:rsidRPr="00C52957" w:rsidRDefault="00AB141B" w:rsidP="008F0AB8">
            <w:pPr>
              <w:spacing w:before="80" w:after="80"/>
              <w:jc w:val="both"/>
              <w:rPr>
                <w:rFonts w:ascii="Times New Roman" w:hAnsi="Times New Roman"/>
                <w:lang w:val="en-GB"/>
              </w:rPr>
            </w:pPr>
          </w:p>
        </w:tc>
        <w:tc>
          <w:tcPr>
            <w:tcW w:w="4774" w:type="dxa"/>
          </w:tcPr>
          <w:p w14:paraId="616CB685" w14:textId="77777777" w:rsidR="00AB141B" w:rsidRPr="00C52957" w:rsidRDefault="00AB141B" w:rsidP="008F0AB8">
            <w:pPr>
              <w:spacing w:before="80" w:after="80"/>
              <w:jc w:val="both"/>
              <w:rPr>
                <w:rFonts w:ascii="Times New Roman" w:hAnsi="Times New Roman"/>
                <w:lang w:val="en-GB"/>
              </w:rPr>
            </w:pPr>
          </w:p>
        </w:tc>
      </w:tr>
      <w:tr w:rsidR="00AB141B" w:rsidRPr="00C52957" w14:paraId="046F6B02" w14:textId="77777777" w:rsidTr="00760C7B">
        <w:trPr>
          <w:trHeight w:val="210"/>
        </w:trPr>
        <w:tc>
          <w:tcPr>
            <w:tcW w:w="5985" w:type="dxa"/>
          </w:tcPr>
          <w:p w14:paraId="6A260FF9" w14:textId="77777777" w:rsidR="00724560" w:rsidRDefault="00724560" w:rsidP="008F0AB8">
            <w:pPr>
              <w:spacing w:before="80" w:after="80"/>
              <w:jc w:val="both"/>
              <w:rPr>
                <w:rFonts w:ascii="Times New Roman" w:eastAsia="Calibri" w:hAnsi="Times New Roman"/>
              </w:rPr>
            </w:pPr>
          </w:p>
          <w:p w14:paraId="61D9B65E" w14:textId="53FE9EFC" w:rsidR="00AB141B" w:rsidRPr="00724560" w:rsidRDefault="00941565" w:rsidP="008F0AB8">
            <w:pPr>
              <w:spacing w:before="80" w:after="80"/>
              <w:jc w:val="both"/>
              <w:rPr>
                <w:rFonts w:ascii="Times New Roman" w:hAnsi="Times New Roman"/>
                <w:b/>
                <w:lang w:val="en-GB"/>
              </w:rPr>
            </w:pPr>
            <w:r w:rsidRPr="00724560">
              <w:rPr>
                <w:rFonts w:ascii="Times New Roman" w:eastAsia="Calibri" w:hAnsi="Times New Roman"/>
                <w:b/>
              </w:rPr>
              <w:t>FULL SCORE TRADING 131 CC</w:t>
            </w:r>
          </w:p>
        </w:tc>
        <w:tc>
          <w:tcPr>
            <w:tcW w:w="536" w:type="dxa"/>
          </w:tcPr>
          <w:p w14:paraId="7836309A" w14:textId="5D891A8D" w:rsidR="00AB141B" w:rsidRPr="00C52957" w:rsidRDefault="00724560" w:rsidP="008F0AB8">
            <w:pPr>
              <w:spacing w:before="80" w:after="80"/>
              <w:jc w:val="both"/>
              <w:rPr>
                <w:rFonts w:ascii="Times New Roman" w:hAnsi="Times New Roman"/>
                <w:lang w:val="en-GB"/>
              </w:rPr>
            </w:pPr>
            <w:r>
              <w:rPr>
                <w:rFonts w:ascii="Times New Roman" w:hAnsi="Times New Roman"/>
                <w:lang w:val="en-GB"/>
              </w:rPr>
              <w:t xml:space="preserve">           </w:t>
            </w:r>
          </w:p>
        </w:tc>
        <w:tc>
          <w:tcPr>
            <w:tcW w:w="4774" w:type="dxa"/>
          </w:tcPr>
          <w:p w14:paraId="51F378D5" w14:textId="0503BD94" w:rsidR="00AB141B" w:rsidRPr="00C52957" w:rsidRDefault="00724560" w:rsidP="008F0AB8">
            <w:pPr>
              <w:spacing w:before="80" w:after="80"/>
              <w:jc w:val="both"/>
              <w:rPr>
                <w:rFonts w:ascii="Times New Roman" w:hAnsi="Times New Roman"/>
                <w:lang w:val="en-GB"/>
              </w:rPr>
            </w:pPr>
            <w:r>
              <w:rPr>
                <w:rFonts w:ascii="Times New Roman" w:hAnsi="Times New Roman"/>
                <w:lang w:val="en-GB"/>
              </w:rPr>
              <w:t xml:space="preserve">      </w:t>
            </w:r>
            <w:r w:rsidR="00EC3997">
              <w:rPr>
                <w:rFonts w:ascii="Times New Roman" w:hAnsi="Times New Roman"/>
                <w:lang w:val="en-GB"/>
              </w:rPr>
              <w:t>First respondent</w:t>
            </w:r>
          </w:p>
        </w:tc>
      </w:tr>
      <w:tr w:rsidR="00EC3997" w:rsidRPr="00C52957" w14:paraId="28ABE873" w14:textId="77777777" w:rsidTr="00760C7B">
        <w:trPr>
          <w:trHeight w:val="210"/>
        </w:trPr>
        <w:tc>
          <w:tcPr>
            <w:tcW w:w="5985" w:type="dxa"/>
          </w:tcPr>
          <w:p w14:paraId="1807DD18" w14:textId="6BD08F42" w:rsidR="00EC3997" w:rsidRPr="00724560" w:rsidRDefault="00197377" w:rsidP="008F0AB8">
            <w:pPr>
              <w:spacing w:before="80" w:after="80"/>
              <w:jc w:val="both"/>
              <w:rPr>
                <w:rFonts w:ascii="Times New Roman" w:eastAsia="Calibri" w:hAnsi="Times New Roman"/>
                <w:b/>
              </w:rPr>
            </w:pPr>
            <w:r w:rsidRPr="00724560">
              <w:rPr>
                <w:rFonts w:ascii="Times New Roman" w:eastAsia="Calibri" w:hAnsi="Times New Roman"/>
                <w:b/>
              </w:rPr>
              <w:t>TERRENCE CHARLES CLACKETT</w:t>
            </w:r>
          </w:p>
        </w:tc>
        <w:tc>
          <w:tcPr>
            <w:tcW w:w="536" w:type="dxa"/>
          </w:tcPr>
          <w:p w14:paraId="00B9A98B" w14:textId="77777777" w:rsidR="00EC3997" w:rsidRPr="00C52957" w:rsidRDefault="00EC3997" w:rsidP="008F0AB8">
            <w:pPr>
              <w:spacing w:before="80" w:after="80"/>
              <w:jc w:val="both"/>
              <w:rPr>
                <w:rFonts w:ascii="Times New Roman" w:hAnsi="Times New Roman"/>
                <w:lang w:val="en-GB"/>
              </w:rPr>
            </w:pPr>
          </w:p>
        </w:tc>
        <w:tc>
          <w:tcPr>
            <w:tcW w:w="4774" w:type="dxa"/>
          </w:tcPr>
          <w:p w14:paraId="6DA9DDB9" w14:textId="64F5B019" w:rsidR="00EC3997" w:rsidRDefault="00724560" w:rsidP="00724560">
            <w:pPr>
              <w:spacing w:before="80" w:after="80"/>
              <w:jc w:val="both"/>
              <w:rPr>
                <w:rFonts w:ascii="Times New Roman" w:hAnsi="Times New Roman"/>
                <w:lang w:val="en-GB"/>
              </w:rPr>
            </w:pPr>
            <w:r>
              <w:rPr>
                <w:rFonts w:ascii="Times New Roman" w:hAnsi="Times New Roman"/>
                <w:lang w:val="en-GB"/>
              </w:rPr>
              <w:t xml:space="preserve">  </w:t>
            </w:r>
            <w:r w:rsidR="00197377">
              <w:rPr>
                <w:rFonts w:ascii="Times New Roman" w:hAnsi="Times New Roman"/>
                <w:lang w:val="en-GB"/>
              </w:rPr>
              <w:t>Second respondent</w:t>
            </w:r>
          </w:p>
        </w:tc>
      </w:tr>
      <w:tr w:rsidR="00197377" w:rsidRPr="00C52957" w14:paraId="485BC960" w14:textId="77777777" w:rsidTr="00760C7B">
        <w:trPr>
          <w:trHeight w:val="210"/>
        </w:trPr>
        <w:tc>
          <w:tcPr>
            <w:tcW w:w="5985" w:type="dxa"/>
          </w:tcPr>
          <w:p w14:paraId="081C101C" w14:textId="6400AA69" w:rsidR="00197377" w:rsidRPr="00724560" w:rsidRDefault="00197377" w:rsidP="008F0AB8">
            <w:pPr>
              <w:spacing w:before="80" w:after="80"/>
              <w:jc w:val="both"/>
              <w:rPr>
                <w:rFonts w:ascii="Times New Roman" w:eastAsia="Calibri" w:hAnsi="Times New Roman"/>
                <w:b/>
              </w:rPr>
            </w:pPr>
            <w:r w:rsidRPr="00724560">
              <w:rPr>
                <w:rFonts w:ascii="Times New Roman" w:eastAsia="Calibri" w:hAnsi="Times New Roman"/>
                <w:b/>
              </w:rPr>
              <w:t>ANTHONY PATRICK STAFFEN</w:t>
            </w:r>
          </w:p>
        </w:tc>
        <w:tc>
          <w:tcPr>
            <w:tcW w:w="536" w:type="dxa"/>
          </w:tcPr>
          <w:p w14:paraId="37A2A9E2" w14:textId="77777777" w:rsidR="00197377" w:rsidRPr="00C52957" w:rsidRDefault="00197377" w:rsidP="008F0AB8">
            <w:pPr>
              <w:spacing w:before="80" w:after="80"/>
              <w:jc w:val="both"/>
              <w:rPr>
                <w:rFonts w:ascii="Times New Roman" w:hAnsi="Times New Roman"/>
                <w:lang w:val="en-GB"/>
              </w:rPr>
            </w:pPr>
          </w:p>
        </w:tc>
        <w:tc>
          <w:tcPr>
            <w:tcW w:w="4774" w:type="dxa"/>
          </w:tcPr>
          <w:p w14:paraId="765C2747" w14:textId="482E8DB4" w:rsidR="00197377" w:rsidRDefault="00724560" w:rsidP="008F0AB8">
            <w:pPr>
              <w:spacing w:before="80" w:after="80"/>
              <w:jc w:val="both"/>
              <w:rPr>
                <w:rFonts w:ascii="Times New Roman" w:hAnsi="Times New Roman"/>
                <w:lang w:val="en-GB"/>
              </w:rPr>
            </w:pPr>
            <w:r>
              <w:rPr>
                <w:rFonts w:ascii="Times New Roman" w:hAnsi="Times New Roman"/>
                <w:lang w:val="en-GB"/>
              </w:rPr>
              <w:t xml:space="preserve">     </w:t>
            </w:r>
            <w:r w:rsidR="00197377">
              <w:rPr>
                <w:rFonts w:ascii="Times New Roman" w:hAnsi="Times New Roman"/>
                <w:lang w:val="en-GB"/>
              </w:rPr>
              <w:t>Third respondent</w:t>
            </w:r>
          </w:p>
        </w:tc>
      </w:tr>
      <w:tr w:rsidR="00197377" w:rsidRPr="00C52957" w14:paraId="0A4BD946" w14:textId="77777777" w:rsidTr="00760C7B">
        <w:trPr>
          <w:trHeight w:val="210"/>
        </w:trPr>
        <w:tc>
          <w:tcPr>
            <w:tcW w:w="5985" w:type="dxa"/>
          </w:tcPr>
          <w:p w14:paraId="3C4705F9" w14:textId="0799F46E" w:rsidR="00197377" w:rsidRPr="00724560" w:rsidRDefault="00356F26" w:rsidP="008F0AB8">
            <w:pPr>
              <w:spacing w:before="80" w:after="80"/>
              <w:jc w:val="both"/>
              <w:rPr>
                <w:rFonts w:ascii="Times New Roman" w:eastAsia="Calibri" w:hAnsi="Times New Roman"/>
                <w:b/>
              </w:rPr>
            </w:pPr>
            <w:r w:rsidRPr="00724560">
              <w:rPr>
                <w:rFonts w:ascii="Times New Roman" w:eastAsia="Calibri" w:hAnsi="Times New Roman"/>
                <w:b/>
              </w:rPr>
              <w:t>ASHERSONS ATTORNEYS</w:t>
            </w:r>
          </w:p>
        </w:tc>
        <w:tc>
          <w:tcPr>
            <w:tcW w:w="536" w:type="dxa"/>
          </w:tcPr>
          <w:p w14:paraId="0BBD0258" w14:textId="77777777" w:rsidR="00197377" w:rsidRPr="00C52957" w:rsidRDefault="00197377" w:rsidP="008F0AB8">
            <w:pPr>
              <w:spacing w:before="80" w:after="80"/>
              <w:jc w:val="both"/>
              <w:rPr>
                <w:rFonts w:ascii="Times New Roman" w:hAnsi="Times New Roman"/>
                <w:lang w:val="en-GB"/>
              </w:rPr>
            </w:pPr>
          </w:p>
        </w:tc>
        <w:tc>
          <w:tcPr>
            <w:tcW w:w="4774" w:type="dxa"/>
          </w:tcPr>
          <w:p w14:paraId="6D0F981F" w14:textId="5CC0CD22" w:rsidR="00197377" w:rsidRDefault="00724560" w:rsidP="008F0AB8">
            <w:pPr>
              <w:spacing w:before="80" w:after="80"/>
              <w:jc w:val="both"/>
              <w:rPr>
                <w:rFonts w:ascii="Times New Roman" w:hAnsi="Times New Roman"/>
                <w:lang w:val="en-GB"/>
              </w:rPr>
            </w:pPr>
            <w:r>
              <w:rPr>
                <w:rFonts w:ascii="Times New Roman" w:hAnsi="Times New Roman"/>
                <w:lang w:val="en-GB"/>
              </w:rPr>
              <w:t xml:space="preserve">   </w:t>
            </w:r>
            <w:r w:rsidR="00356F26">
              <w:rPr>
                <w:rFonts w:ascii="Times New Roman" w:hAnsi="Times New Roman"/>
                <w:lang w:val="en-GB"/>
              </w:rPr>
              <w:t>Fourth respondent</w:t>
            </w:r>
          </w:p>
        </w:tc>
      </w:tr>
      <w:tr w:rsidR="00356F26" w:rsidRPr="00C52957" w14:paraId="7655D3A2" w14:textId="77777777" w:rsidTr="00760C7B">
        <w:trPr>
          <w:trHeight w:val="210"/>
        </w:trPr>
        <w:tc>
          <w:tcPr>
            <w:tcW w:w="5985" w:type="dxa"/>
          </w:tcPr>
          <w:p w14:paraId="17D26D2D" w14:textId="1A1A4F5E" w:rsidR="00356F26" w:rsidRPr="00724560" w:rsidRDefault="005F123E" w:rsidP="008F0AB8">
            <w:pPr>
              <w:spacing w:before="80" w:after="80"/>
              <w:jc w:val="both"/>
              <w:rPr>
                <w:rFonts w:ascii="Times New Roman" w:eastAsia="Calibri" w:hAnsi="Times New Roman"/>
                <w:b/>
              </w:rPr>
            </w:pPr>
            <w:r w:rsidRPr="00724560">
              <w:rPr>
                <w:rFonts w:ascii="Times New Roman" w:eastAsia="Calibri" w:hAnsi="Times New Roman"/>
                <w:b/>
              </w:rPr>
              <w:t>DE KLERK &amp; VAN GEND ATTORNEYS</w:t>
            </w:r>
          </w:p>
        </w:tc>
        <w:tc>
          <w:tcPr>
            <w:tcW w:w="536" w:type="dxa"/>
          </w:tcPr>
          <w:p w14:paraId="7EB31B4E" w14:textId="77777777" w:rsidR="00356F26" w:rsidRPr="00C52957" w:rsidRDefault="00356F26" w:rsidP="008F0AB8">
            <w:pPr>
              <w:spacing w:before="80" w:after="80"/>
              <w:jc w:val="both"/>
              <w:rPr>
                <w:rFonts w:ascii="Times New Roman" w:hAnsi="Times New Roman"/>
                <w:lang w:val="en-GB"/>
              </w:rPr>
            </w:pPr>
          </w:p>
        </w:tc>
        <w:tc>
          <w:tcPr>
            <w:tcW w:w="4774" w:type="dxa"/>
          </w:tcPr>
          <w:p w14:paraId="382B75E0" w14:textId="6BC8DAF0" w:rsidR="00356F26" w:rsidRDefault="00724560" w:rsidP="008F0AB8">
            <w:pPr>
              <w:spacing w:before="80" w:after="80"/>
              <w:jc w:val="both"/>
              <w:rPr>
                <w:rFonts w:ascii="Times New Roman" w:hAnsi="Times New Roman"/>
                <w:lang w:val="en-GB"/>
              </w:rPr>
            </w:pPr>
            <w:r>
              <w:rPr>
                <w:rFonts w:ascii="Times New Roman" w:hAnsi="Times New Roman"/>
                <w:lang w:val="en-GB"/>
              </w:rPr>
              <w:t xml:space="preserve">      </w:t>
            </w:r>
            <w:r w:rsidR="005F123E">
              <w:rPr>
                <w:rFonts w:ascii="Times New Roman" w:hAnsi="Times New Roman"/>
                <w:lang w:val="en-GB"/>
              </w:rPr>
              <w:t>Fifth respondent</w:t>
            </w:r>
          </w:p>
        </w:tc>
      </w:tr>
      <w:tr w:rsidR="005F123E" w:rsidRPr="00C52957" w14:paraId="44EEFC53" w14:textId="77777777" w:rsidTr="00760C7B">
        <w:trPr>
          <w:trHeight w:val="210"/>
        </w:trPr>
        <w:tc>
          <w:tcPr>
            <w:tcW w:w="5985" w:type="dxa"/>
          </w:tcPr>
          <w:p w14:paraId="1E292A11" w14:textId="4292203E" w:rsidR="005F123E" w:rsidRPr="00724560" w:rsidRDefault="005F123E" w:rsidP="008F0AB8">
            <w:pPr>
              <w:spacing w:before="80" w:after="80"/>
              <w:jc w:val="both"/>
              <w:rPr>
                <w:rFonts w:ascii="Times New Roman" w:eastAsia="Calibri" w:hAnsi="Times New Roman"/>
                <w:b/>
              </w:rPr>
            </w:pPr>
            <w:r w:rsidRPr="00724560">
              <w:rPr>
                <w:rFonts w:ascii="Times New Roman" w:eastAsia="Calibri" w:hAnsi="Times New Roman"/>
                <w:b/>
              </w:rPr>
              <w:t>REGISTRAR OF DEEDS, CAPE TOWN</w:t>
            </w:r>
          </w:p>
        </w:tc>
        <w:tc>
          <w:tcPr>
            <w:tcW w:w="536" w:type="dxa"/>
          </w:tcPr>
          <w:p w14:paraId="2C3FA252" w14:textId="77777777" w:rsidR="005F123E" w:rsidRPr="00C52957" w:rsidRDefault="005F123E" w:rsidP="008F0AB8">
            <w:pPr>
              <w:spacing w:before="80" w:after="80"/>
              <w:jc w:val="both"/>
              <w:rPr>
                <w:rFonts w:ascii="Times New Roman" w:hAnsi="Times New Roman"/>
                <w:lang w:val="en-GB"/>
              </w:rPr>
            </w:pPr>
          </w:p>
        </w:tc>
        <w:tc>
          <w:tcPr>
            <w:tcW w:w="4774" w:type="dxa"/>
          </w:tcPr>
          <w:p w14:paraId="2042FCF5" w14:textId="60694B01" w:rsidR="005F123E" w:rsidRDefault="00724560" w:rsidP="008F0AB8">
            <w:pPr>
              <w:spacing w:before="80" w:after="80"/>
              <w:jc w:val="both"/>
              <w:rPr>
                <w:rFonts w:ascii="Times New Roman" w:hAnsi="Times New Roman"/>
                <w:lang w:val="en-GB"/>
              </w:rPr>
            </w:pPr>
            <w:r>
              <w:rPr>
                <w:rFonts w:ascii="Times New Roman" w:hAnsi="Times New Roman"/>
                <w:lang w:val="en-GB"/>
              </w:rPr>
              <w:t xml:space="preserve">     </w:t>
            </w:r>
            <w:r w:rsidR="005F123E">
              <w:rPr>
                <w:rFonts w:ascii="Times New Roman" w:hAnsi="Times New Roman"/>
                <w:lang w:val="en-GB"/>
              </w:rPr>
              <w:t>Sixth respondent</w:t>
            </w:r>
          </w:p>
        </w:tc>
      </w:tr>
      <w:tr w:rsidR="003C652A" w:rsidRPr="00C52957" w14:paraId="2E10FC95" w14:textId="77777777" w:rsidTr="00760C7B">
        <w:trPr>
          <w:trHeight w:val="210"/>
        </w:trPr>
        <w:tc>
          <w:tcPr>
            <w:tcW w:w="5985" w:type="dxa"/>
          </w:tcPr>
          <w:p w14:paraId="1DEE1A24" w14:textId="77777777" w:rsidR="003C652A" w:rsidRPr="00C52957" w:rsidRDefault="003C652A" w:rsidP="001B1790">
            <w:pPr>
              <w:rPr>
                <w:rFonts w:ascii="Times New Roman" w:hAnsi="Times New Roman"/>
                <w:lang w:val="en-GB"/>
              </w:rPr>
            </w:pPr>
          </w:p>
        </w:tc>
        <w:tc>
          <w:tcPr>
            <w:tcW w:w="536" w:type="dxa"/>
          </w:tcPr>
          <w:p w14:paraId="526DA1B5" w14:textId="77777777" w:rsidR="003C652A" w:rsidRPr="00C52957" w:rsidRDefault="003C652A" w:rsidP="000D51C2">
            <w:pPr>
              <w:spacing w:before="80" w:after="80"/>
              <w:jc w:val="both"/>
              <w:rPr>
                <w:rFonts w:ascii="Times New Roman" w:hAnsi="Times New Roman"/>
                <w:lang w:val="en-GB"/>
              </w:rPr>
            </w:pPr>
          </w:p>
        </w:tc>
        <w:tc>
          <w:tcPr>
            <w:tcW w:w="4774" w:type="dxa"/>
          </w:tcPr>
          <w:p w14:paraId="52E1734C" w14:textId="77777777" w:rsidR="003C652A" w:rsidRPr="00C52957" w:rsidRDefault="003C652A" w:rsidP="000D51C2">
            <w:pPr>
              <w:spacing w:before="80" w:after="80"/>
              <w:jc w:val="both"/>
              <w:rPr>
                <w:rFonts w:ascii="Times New Roman" w:hAnsi="Times New Roman"/>
                <w:lang w:val="en-GB"/>
              </w:rPr>
            </w:pPr>
          </w:p>
        </w:tc>
      </w:tr>
      <w:bookmarkEnd w:id="0"/>
    </w:tbl>
    <w:p w14:paraId="5CB6AF07" w14:textId="77777777" w:rsidR="000D10E8" w:rsidRPr="00C52957" w:rsidRDefault="000D10E8" w:rsidP="001D2350">
      <w:pPr>
        <w:pBdr>
          <w:top w:val="single" w:sz="4" w:space="1" w:color="auto"/>
          <w:bottom w:val="single" w:sz="4" w:space="1" w:color="auto"/>
        </w:pBdr>
        <w:jc w:val="both"/>
        <w:rPr>
          <w:rFonts w:ascii="Times New Roman" w:hAnsi="Times New Roman"/>
          <w:lang w:val="en-GB"/>
        </w:rPr>
      </w:pPr>
    </w:p>
    <w:p w14:paraId="676583A5" w14:textId="753CA729" w:rsidR="000D10E8" w:rsidRPr="00724560" w:rsidRDefault="00941565" w:rsidP="001D2350">
      <w:pPr>
        <w:pStyle w:val="Heading2"/>
        <w:pBdr>
          <w:top w:val="single" w:sz="4" w:space="1" w:color="auto"/>
          <w:bottom w:val="single" w:sz="4" w:space="1" w:color="auto"/>
        </w:pBdr>
        <w:rPr>
          <w:rFonts w:ascii="Times New Roman" w:hAnsi="Times New Roman"/>
          <w:bCs w:val="0"/>
          <w:lang w:val="en-GB"/>
        </w:rPr>
      </w:pPr>
      <w:r w:rsidRPr="00724560">
        <w:rPr>
          <w:rFonts w:ascii="Times New Roman" w:hAnsi="Times New Roman"/>
          <w:bCs w:val="0"/>
          <w:lang w:val="en-GB"/>
        </w:rPr>
        <w:t>JUDGMENT</w:t>
      </w:r>
      <w:r w:rsidR="00724560">
        <w:rPr>
          <w:rFonts w:ascii="Times New Roman" w:hAnsi="Times New Roman"/>
          <w:bCs w:val="0"/>
          <w:lang w:val="en-GB"/>
        </w:rPr>
        <w:t xml:space="preserve"> DELIVERED ON THIS 26</w:t>
      </w:r>
      <w:r w:rsidR="00724560" w:rsidRPr="00724560">
        <w:rPr>
          <w:rFonts w:ascii="Times New Roman" w:hAnsi="Times New Roman"/>
          <w:bCs w:val="0"/>
          <w:vertAlign w:val="superscript"/>
          <w:lang w:val="en-GB"/>
        </w:rPr>
        <w:t>TH</w:t>
      </w:r>
      <w:r w:rsidR="00724560">
        <w:rPr>
          <w:rFonts w:ascii="Times New Roman" w:hAnsi="Times New Roman"/>
          <w:bCs w:val="0"/>
          <w:lang w:val="en-GB"/>
        </w:rPr>
        <w:t xml:space="preserve"> DAY OF APRIL 2023</w:t>
      </w:r>
    </w:p>
    <w:p w14:paraId="3C78448E" w14:textId="77777777" w:rsidR="000D10E8" w:rsidRPr="00724560" w:rsidRDefault="000D10E8" w:rsidP="001D2350">
      <w:pPr>
        <w:pBdr>
          <w:top w:val="single" w:sz="4" w:space="1" w:color="auto"/>
          <w:bottom w:val="single" w:sz="4" w:space="1" w:color="auto"/>
        </w:pBdr>
        <w:jc w:val="both"/>
        <w:rPr>
          <w:rFonts w:ascii="Times New Roman" w:hAnsi="Times New Roman"/>
          <w:b/>
          <w:lang w:val="en-GB"/>
        </w:rPr>
      </w:pPr>
    </w:p>
    <w:p w14:paraId="6CEADFD6" w14:textId="77777777" w:rsidR="0012300A" w:rsidRPr="00C52957" w:rsidRDefault="0012300A" w:rsidP="001D2350">
      <w:pPr>
        <w:jc w:val="both"/>
        <w:rPr>
          <w:rFonts w:ascii="Times New Roman" w:hAnsi="Times New Roman"/>
          <w:b/>
          <w:lang w:val="en-GB"/>
        </w:rPr>
      </w:pPr>
    </w:p>
    <w:p w14:paraId="1E39A4F3" w14:textId="60B16044" w:rsidR="00C16ECB" w:rsidRPr="0019142B" w:rsidRDefault="00F54C7F" w:rsidP="0019142B">
      <w:pPr>
        <w:keepNext/>
        <w:spacing w:before="240" w:after="240" w:line="480" w:lineRule="auto"/>
        <w:ind w:left="720"/>
        <w:jc w:val="both"/>
        <w:rPr>
          <w:rFonts w:ascii="Times New Roman" w:hAnsi="Times New Roman"/>
          <w:u w:val="single"/>
          <w:lang w:val="en-GB"/>
        </w:rPr>
      </w:pPr>
      <w:bookmarkStart w:id="1" w:name="_Ref307991491"/>
      <w:bookmarkStart w:id="2" w:name="_Ref446400796"/>
      <w:r w:rsidRPr="0019142B">
        <w:rPr>
          <w:rFonts w:ascii="Times New Roman" w:hAnsi="Times New Roman"/>
          <w:u w:val="single"/>
          <w:lang w:val="en-GB"/>
        </w:rPr>
        <w:t xml:space="preserve">Background to the </w:t>
      </w:r>
      <w:r w:rsidR="00C0031C">
        <w:rPr>
          <w:rFonts w:ascii="Times New Roman" w:hAnsi="Times New Roman"/>
          <w:u w:val="single"/>
          <w:lang w:val="en-GB"/>
        </w:rPr>
        <w:t>application</w:t>
      </w:r>
    </w:p>
    <w:p w14:paraId="1A95D480" w14:textId="3B57C199" w:rsidR="00000926" w:rsidRPr="00B227EE" w:rsidRDefault="006D5E15" w:rsidP="006D5E15">
      <w:pPr>
        <w:spacing w:before="240" w:after="240" w:line="480" w:lineRule="auto"/>
        <w:ind w:left="720" w:hanging="720"/>
        <w:jc w:val="both"/>
        <w:rPr>
          <w:rFonts w:ascii="Times New Roman" w:hAnsi="Times New Roman"/>
          <w:lang w:val="en-GB"/>
        </w:rPr>
      </w:pPr>
      <w:r w:rsidRPr="00B227EE">
        <w:rPr>
          <w:rFonts w:ascii="Times New Roman" w:hAnsi="Times New Roman"/>
          <w:lang w:val="en-GB"/>
        </w:rPr>
        <w:t>1</w:t>
      </w:r>
      <w:bookmarkStart w:id="3" w:name="_GoBack"/>
      <w:bookmarkEnd w:id="3"/>
      <w:r w:rsidRPr="00B227EE">
        <w:rPr>
          <w:rFonts w:ascii="Times New Roman" w:hAnsi="Times New Roman"/>
          <w:lang w:val="en-GB"/>
        </w:rPr>
        <w:t>.</w:t>
      </w:r>
      <w:r w:rsidRPr="00B227EE">
        <w:rPr>
          <w:rFonts w:ascii="Times New Roman" w:hAnsi="Times New Roman"/>
          <w:lang w:val="en-GB"/>
        </w:rPr>
        <w:tab/>
      </w:r>
      <w:r w:rsidR="00941565" w:rsidRPr="00B227EE">
        <w:rPr>
          <w:rFonts w:ascii="Times New Roman" w:hAnsi="Times New Roman"/>
          <w:lang w:val="en-GB"/>
        </w:rPr>
        <w:t>The applicant (“</w:t>
      </w:r>
      <w:r w:rsidR="00941565" w:rsidRPr="00B227EE">
        <w:rPr>
          <w:rFonts w:ascii="Times New Roman" w:hAnsi="Times New Roman"/>
          <w:b/>
          <w:bCs/>
          <w:lang w:val="en-GB"/>
        </w:rPr>
        <w:t>Rota</w:t>
      </w:r>
      <w:r w:rsidR="00941565" w:rsidRPr="00B227EE">
        <w:rPr>
          <w:rFonts w:ascii="Times New Roman" w:hAnsi="Times New Roman"/>
          <w:lang w:val="en-GB"/>
        </w:rPr>
        <w:t xml:space="preserve">”) </w:t>
      </w:r>
      <w:r w:rsidR="00724AFC" w:rsidRPr="00B227EE">
        <w:rPr>
          <w:rFonts w:ascii="Times New Roman" w:hAnsi="Times New Roman"/>
          <w:lang w:val="en-GB"/>
        </w:rPr>
        <w:t xml:space="preserve">conducts business as a credit provider. </w:t>
      </w:r>
      <w:r w:rsidR="009E1067" w:rsidRPr="00B227EE">
        <w:rPr>
          <w:rFonts w:ascii="Times New Roman" w:hAnsi="Times New Roman"/>
          <w:lang w:val="en-GB"/>
        </w:rPr>
        <w:t xml:space="preserve">It has one member, a Mr Botha. </w:t>
      </w:r>
      <w:r w:rsidR="00E65875" w:rsidRPr="00B227EE">
        <w:rPr>
          <w:rFonts w:ascii="Times New Roman" w:hAnsi="Times New Roman"/>
          <w:lang w:val="en-GB"/>
        </w:rPr>
        <w:t xml:space="preserve">In November 2021 </w:t>
      </w:r>
      <w:r w:rsidR="00CD7104" w:rsidRPr="00B227EE">
        <w:rPr>
          <w:rFonts w:ascii="Times New Roman" w:hAnsi="Times New Roman"/>
          <w:lang w:val="en-GB"/>
        </w:rPr>
        <w:t xml:space="preserve">a Mr Keating </w:t>
      </w:r>
      <w:r w:rsidR="00CE2CA3" w:rsidRPr="00B227EE">
        <w:rPr>
          <w:rFonts w:ascii="Times New Roman" w:hAnsi="Times New Roman"/>
          <w:lang w:val="en-GB"/>
        </w:rPr>
        <w:t>contacted</w:t>
      </w:r>
      <w:r w:rsidR="00CD7104" w:rsidRPr="00B227EE">
        <w:rPr>
          <w:rFonts w:ascii="Times New Roman" w:hAnsi="Times New Roman"/>
          <w:lang w:val="en-GB"/>
        </w:rPr>
        <w:t xml:space="preserve"> </w:t>
      </w:r>
      <w:r w:rsidR="002722F9" w:rsidRPr="00B227EE">
        <w:rPr>
          <w:rFonts w:ascii="Times New Roman" w:hAnsi="Times New Roman"/>
          <w:lang w:val="en-GB"/>
        </w:rPr>
        <w:t>Mr Botha</w:t>
      </w:r>
      <w:r w:rsidR="00CD7104" w:rsidRPr="00B227EE">
        <w:rPr>
          <w:rFonts w:ascii="Times New Roman" w:hAnsi="Times New Roman"/>
          <w:lang w:val="en-GB"/>
        </w:rPr>
        <w:t xml:space="preserve">. </w:t>
      </w:r>
      <w:r w:rsidR="00894527" w:rsidRPr="00B227EE">
        <w:rPr>
          <w:rFonts w:ascii="Times New Roman" w:hAnsi="Times New Roman"/>
          <w:lang w:val="en-GB"/>
        </w:rPr>
        <w:t xml:space="preserve">Mr </w:t>
      </w:r>
      <w:r w:rsidR="00CD7104" w:rsidRPr="00B227EE">
        <w:rPr>
          <w:rFonts w:ascii="Times New Roman" w:hAnsi="Times New Roman"/>
          <w:lang w:val="en-GB"/>
        </w:rPr>
        <w:t>Keating</w:t>
      </w:r>
      <w:r w:rsidR="00894527" w:rsidRPr="00B227EE">
        <w:rPr>
          <w:rFonts w:ascii="Times New Roman" w:hAnsi="Times New Roman"/>
          <w:lang w:val="en-GB"/>
        </w:rPr>
        <w:t xml:space="preserve"> said </w:t>
      </w:r>
      <w:r w:rsidR="00894527" w:rsidRPr="00B227EE">
        <w:rPr>
          <w:rFonts w:ascii="Times New Roman" w:hAnsi="Times New Roman"/>
          <w:lang w:val="en-GB"/>
        </w:rPr>
        <w:lastRenderedPageBreak/>
        <w:t xml:space="preserve">that he and the third respondent, </w:t>
      </w:r>
      <w:r w:rsidR="00102F2C" w:rsidRPr="00B227EE">
        <w:rPr>
          <w:rFonts w:ascii="Times New Roman" w:hAnsi="Times New Roman"/>
          <w:lang w:val="en-GB"/>
        </w:rPr>
        <w:t xml:space="preserve">a </w:t>
      </w:r>
      <w:r w:rsidR="00894527" w:rsidRPr="00B227EE">
        <w:rPr>
          <w:rFonts w:ascii="Times New Roman" w:hAnsi="Times New Roman"/>
          <w:lang w:val="en-GB"/>
        </w:rPr>
        <w:t xml:space="preserve">Mr Staffen, were directors of </w:t>
      </w:r>
      <w:r w:rsidR="001B4774" w:rsidRPr="00B227EE">
        <w:rPr>
          <w:rFonts w:ascii="Times New Roman" w:hAnsi="Times New Roman"/>
          <w:lang w:val="en-GB"/>
        </w:rPr>
        <w:t>Armour Group (Pty) Ltd (“</w:t>
      </w:r>
      <w:r w:rsidR="001B4774" w:rsidRPr="00B227EE">
        <w:rPr>
          <w:rFonts w:ascii="Times New Roman" w:hAnsi="Times New Roman"/>
          <w:b/>
          <w:bCs/>
          <w:lang w:val="en-GB"/>
        </w:rPr>
        <w:t>Armour</w:t>
      </w:r>
      <w:r w:rsidR="001B4774" w:rsidRPr="00B227EE">
        <w:rPr>
          <w:rFonts w:ascii="Times New Roman" w:hAnsi="Times New Roman"/>
          <w:lang w:val="en-GB"/>
        </w:rPr>
        <w:t>”)</w:t>
      </w:r>
      <w:r w:rsidR="00662AAD" w:rsidRPr="00B227EE">
        <w:rPr>
          <w:rFonts w:ascii="Times New Roman" w:hAnsi="Times New Roman"/>
          <w:lang w:val="en-GB"/>
        </w:rPr>
        <w:t xml:space="preserve">. Mr Keating also explained that he, Mr Staffen and the second respondent, </w:t>
      </w:r>
      <w:r w:rsidR="00F54C7F">
        <w:rPr>
          <w:rFonts w:ascii="Times New Roman" w:hAnsi="Times New Roman"/>
          <w:lang w:val="en-GB"/>
        </w:rPr>
        <w:t xml:space="preserve">a </w:t>
      </w:r>
      <w:r w:rsidR="00662AAD" w:rsidRPr="00B227EE">
        <w:rPr>
          <w:rFonts w:ascii="Times New Roman" w:hAnsi="Times New Roman"/>
          <w:lang w:val="en-GB"/>
        </w:rPr>
        <w:t xml:space="preserve">Mr </w:t>
      </w:r>
      <w:r w:rsidR="001A5DB8" w:rsidRPr="00B227EE">
        <w:rPr>
          <w:rFonts w:ascii="Times New Roman" w:hAnsi="Times New Roman"/>
          <w:lang w:val="en-GB"/>
        </w:rPr>
        <w:t>Clackett, were directors of AJH Cooling Cape (Pty) Ltd (“</w:t>
      </w:r>
      <w:r w:rsidR="001A5DB8" w:rsidRPr="00B227EE">
        <w:rPr>
          <w:rFonts w:ascii="Times New Roman" w:hAnsi="Times New Roman"/>
          <w:b/>
          <w:bCs/>
          <w:lang w:val="en-GB"/>
        </w:rPr>
        <w:t>AJH</w:t>
      </w:r>
      <w:r w:rsidR="001A5DB8" w:rsidRPr="00B227EE">
        <w:rPr>
          <w:rFonts w:ascii="Times New Roman" w:hAnsi="Times New Roman"/>
          <w:lang w:val="en-GB"/>
        </w:rPr>
        <w:t>”)</w:t>
      </w:r>
      <w:r w:rsidR="00C46675" w:rsidRPr="00B227EE">
        <w:rPr>
          <w:rFonts w:ascii="Times New Roman" w:hAnsi="Times New Roman"/>
          <w:lang w:val="en-GB"/>
        </w:rPr>
        <w:t xml:space="preserve">. </w:t>
      </w:r>
      <w:r w:rsidR="00A00266" w:rsidRPr="00B227EE">
        <w:rPr>
          <w:rFonts w:ascii="Times New Roman" w:hAnsi="Times New Roman"/>
          <w:lang w:val="en-GB"/>
        </w:rPr>
        <w:t>Armour imports air-conditioning and refrigeration equipment which it sells to a wholesalers; AJH is one such wholesaler.</w:t>
      </w:r>
      <w:r w:rsidR="00CD7104" w:rsidRPr="00B227EE">
        <w:rPr>
          <w:rFonts w:ascii="Times New Roman" w:hAnsi="Times New Roman"/>
          <w:lang w:val="en-GB"/>
        </w:rPr>
        <w:t xml:space="preserve"> </w:t>
      </w:r>
    </w:p>
    <w:p w14:paraId="0E12872D" w14:textId="237ADC07" w:rsidR="009B2BF9"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2.</w:t>
      </w:r>
      <w:r>
        <w:rPr>
          <w:rFonts w:ascii="Times New Roman" w:hAnsi="Times New Roman"/>
          <w:lang w:val="en-GB"/>
        </w:rPr>
        <w:tab/>
      </w:r>
      <w:r w:rsidR="00104AE3">
        <w:rPr>
          <w:rFonts w:ascii="Times New Roman" w:hAnsi="Times New Roman"/>
          <w:lang w:val="en-GB"/>
        </w:rPr>
        <w:t xml:space="preserve">Mr </w:t>
      </w:r>
      <w:r w:rsidR="009B2BF9">
        <w:rPr>
          <w:rFonts w:ascii="Times New Roman" w:hAnsi="Times New Roman"/>
          <w:lang w:val="en-GB"/>
        </w:rPr>
        <w:t xml:space="preserve">Keating </w:t>
      </w:r>
      <w:r w:rsidR="00050137">
        <w:rPr>
          <w:rFonts w:ascii="Times New Roman" w:hAnsi="Times New Roman"/>
          <w:lang w:val="en-GB"/>
        </w:rPr>
        <w:t xml:space="preserve">told Mr Botha that </w:t>
      </w:r>
      <w:r w:rsidR="00102F2C">
        <w:rPr>
          <w:rFonts w:ascii="Times New Roman" w:hAnsi="Times New Roman"/>
          <w:lang w:val="en-GB"/>
        </w:rPr>
        <w:t>Armour and AJH required bridging finance of R</w:t>
      </w:r>
      <w:r w:rsidR="00104AE3">
        <w:rPr>
          <w:rFonts w:ascii="Times New Roman" w:hAnsi="Times New Roman"/>
          <w:lang w:val="en-GB"/>
        </w:rPr>
        <w:t xml:space="preserve">2,7 million for three months. He showed Mr </w:t>
      </w:r>
      <w:r w:rsidR="0065643D">
        <w:rPr>
          <w:rFonts w:ascii="Times New Roman" w:hAnsi="Times New Roman"/>
          <w:lang w:val="en-GB"/>
        </w:rPr>
        <w:t xml:space="preserve">Botha </w:t>
      </w:r>
      <w:r w:rsidR="00BA34D2">
        <w:rPr>
          <w:rFonts w:ascii="Times New Roman" w:hAnsi="Times New Roman"/>
          <w:lang w:val="en-GB"/>
        </w:rPr>
        <w:t>purchase orders and related documentation</w:t>
      </w:r>
      <w:r w:rsidR="001E7565">
        <w:rPr>
          <w:rFonts w:ascii="Times New Roman" w:hAnsi="Times New Roman"/>
          <w:lang w:val="en-GB"/>
        </w:rPr>
        <w:t xml:space="preserve">. Mr Botha said that Rota would consider an application for finance if </w:t>
      </w:r>
      <w:r w:rsidR="00884E08">
        <w:rPr>
          <w:rFonts w:ascii="Times New Roman" w:hAnsi="Times New Roman"/>
          <w:lang w:val="en-GB"/>
        </w:rPr>
        <w:t>Rota</w:t>
      </w:r>
      <w:r w:rsidR="001E7565">
        <w:rPr>
          <w:rFonts w:ascii="Times New Roman" w:hAnsi="Times New Roman"/>
          <w:lang w:val="en-GB"/>
        </w:rPr>
        <w:t xml:space="preserve"> could register</w:t>
      </w:r>
      <w:r w:rsidR="007F2F92">
        <w:rPr>
          <w:rFonts w:ascii="Times New Roman" w:hAnsi="Times New Roman"/>
          <w:lang w:val="en-GB"/>
        </w:rPr>
        <w:t xml:space="preserve"> a bond over an unencumbered property as security.</w:t>
      </w:r>
    </w:p>
    <w:p w14:paraId="7D44230F" w14:textId="73306AB7" w:rsidR="00E72B20"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3.</w:t>
      </w:r>
      <w:r>
        <w:rPr>
          <w:rFonts w:ascii="Times New Roman" w:hAnsi="Times New Roman"/>
          <w:lang w:val="en-GB"/>
        </w:rPr>
        <w:tab/>
      </w:r>
      <w:r w:rsidR="007F2F92">
        <w:rPr>
          <w:rFonts w:ascii="Times New Roman" w:hAnsi="Times New Roman"/>
          <w:lang w:val="en-GB"/>
        </w:rPr>
        <w:t>That led Mr Keating to introduce Mr Botha to Mr Keating’s attorney</w:t>
      </w:r>
      <w:r w:rsidR="00F10967">
        <w:rPr>
          <w:rFonts w:ascii="Times New Roman" w:hAnsi="Times New Roman"/>
          <w:lang w:val="en-GB"/>
        </w:rPr>
        <w:t xml:space="preserve">, </w:t>
      </w:r>
      <w:r w:rsidR="002F740E">
        <w:rPr>
          <w:rFonts w:ascii="Times New Roman" w:hAnsi="Times New Roman"/>
          <w:lang w:val="en-GB"/>
        </w:rPr>
        <w:t xml:space="preserve">a </w:t>
      </w:r>
      <w:r w:rsidR="00F10967">
        <w:rPr>
          <w:rFonts w:ascii="Times New Roman" w:hAnsi="Times New Roman"/>
          <w:lang w:val="en-GB"/>
        </w:rPr>
        <w:t>Mr Youngman.</w:t>
      </w:r>
      <w:r w:rsidR="007F2F92">
        <w:rPr>
          <w:rFonts w:ascii="Times New Roman" w:hAnsi="Times New Roman"/>
          <w:lang w:val="en-GB"/>
        </w:rPr>
        <w:t xml:space="preserve"> </w:t>
      </w:r>
      <w:r w:rsidR="00FE6DBB">
        <w:rPr>
          <w:rFonts w:ascii="Times New Roman" w:hAnsi="Times New Roman"/>
          <w:lang w:val="en-GB"/>
        </w:rPr>
        <w:t xml:space="preserve">Mr Youngman told Mr Botha that he and Keating were members of Sibenti </w:t>
      </w:r>
      <w:r w:rsidR="00FE6DBB" w:rsidRPr="00912B5C">
        <w:rPr>
          <w:rFonts w:ascii="Times New Roman" w:hAnsi="Times New Roman"/>
          <w:lang w:val="en-GB"/>
        </w:rPr>
        <w:t>Business Enterprises CC (“</w:t>
      </w:r>
      <w:r w:rsidR="00FE6DBB" w:rsidRPr="00912B5C">
        <w:rPr>
          <w:rFonts w:ascii="Times New Roman" w:hAnsi="Times New Roman"/>
          <w:b/>
          <w:bCs/>
          <w:lang w:val="en-GB"/>
        </w:rPr>
        <w:t>Sibenti</w:t>
      </w:r>
      <w:r w:rsidR="00FE6DBB" w:rsidRPr="00912B5C">
        <w:rPr>
          <w:rFonts w:ascii="Times New Roman" w:hAnsi="Times New Roman"/>
          <w:lang w:val="en-GB"/>
        </w:rPr>
        <w:t>”)</w:t>
      </w:r>
      <w:r w:rsidR="005138F6">
        <w:rPr>
          <w:rFonts w:ascii="Times New Roman" w:hAnsi="Times New Roman"/>
          <w:lang w:val="en-GB"/>
        </w:rPr>
        <w:t xml:space="preserve">. </w:t>
      </w:r>
      <w:r w:rsidR="00E72B20">
        <w:rPr>
          <w:rFonts w:ascii="Times New Roman" w:hAnsi="Times New Roman"/>
          <w:lang w:val="en-GB"/>
        </w:rPr>
        <w:t xml:space="preserve">Sibenti, said Mr </w:t>
      </w:r>
      <w:r w:rsidR="00157E5D">
        <w:rPr>
          <w:rFonts w:ascii="Times New Roman" w:hAnsi="Times New Roman"/>
          <w:lang w:val="en-GB"/>
        </w:rPr>
        <w:t>Youngman</w:t>
      </w:r>
      <w:r w:rsidR="00E72B20">
        <w:rPr>
          <w:rFonts w:ascii="Times New Roman" w:hAnsi="Times New Roman"/>
          <w:lang w:val="en-GB"/>
        </w:rPr>
        <w:t>, owned an unencumbered property</w:t>
      </w:r>
      <w:r w:rsidR="00F701A7">
        <w:rPr>
          <w:rFonts w:ascii="Times New Roman" w:hAnsi="Times New Roman"/>
          <w:lang w:val="en-GB"/>
        </w:rPr>
        <w:t>, erf 1508 Albertville, Extension 1, Gauteng (“</w:t>
      </w:r>
      <w:r w:rsidR="00F701A7">
        <w:rPr>
          <w:rFonts w:ascii="Times New Roman" w:hAnsi="Times New Roman"/>
          <w:b/>
          <w:bCs/>
          <w:lang w:val="en-GB"/>
        </w:rPr>
        <w:t>the Albertville property</w:t>
      </w:r>
      <w:r w:rsidR="00F701A7">
        <w:rPr>
          <w:rFonts w:ascii="Times New Roman" w:hAnsi="Times New Roman"/>
          <w:lang w:val="en-GB"/>
        </w:rPr>
        <w:t>”).</w:t>
      </w:r>
    </w:p>
    <w:p w14:paraId="75B1BF9A" w14:textId="1BED21A5" w:rsidR="007F2F92"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4.</w:t>
      </w:r>
      <w:r>
        <w:rPr>
          <w:rFonts w:ascii="Times New Roman" w:hAnsi="Times New Roman"/>
          <w:lang w:val="en-GB"/>
        </w:rPr>
        <w:tab/>
      </w:r>
      <w:r w:rsidR="00F85C30">
        <w:rPr>
          <w:rFonts w:ascii="Times New Roman" w:hAnsi="Times New Roman"/>
          <w:lang w:val="en-GB"/>
        </w:rPr>
        <w:t xml:space="preserve">On </w:t>
      </w:r>
      <w:r w:rsidR="000C7641">
        <w:rPr>
          <w:rFonts w:ascii="Times New Roman" w:hAnsi="Times New Roman"/>
          <w:lang w:val="en-GB"/>
        </w:rPr>
        <w:t xml:space="preserve">25 October 2021 </w:t>
      </w:r>
      <w:r w:rsidR="005138F6">
        <w:rPr>
          <w:rFonts w:ascii="Times New Roman" w:hAnsi="Times New Roman"/>
          <w:lang w:val="en-GB"/>
        </w:rPr>
        <w:t xml:space="preserve">Mr Youngman provided </w:t>
      </w:r>
      <w:r w:rsidR="00A126BD">
        <w:rPr>
          <w:rFonts w:ascii="Times New Roman" w:hAnsi="Times New Roman"/>
          <w:lang w:val="en-GB"/>
        </w:rPr>
        <w:t xml:space="preserve">Mr Botha with </w:t>
      </w:r>
      <w:r w:rsidR="005138F6">
        <w:rPr>
          <w:rFonts w:ascii="Times New Roman" w:hAnsi="Times New Roman"/>
          <w:lang w:val="en-GB"/>
        </w:rPr>
        <w:t>a</w:t>
      </w:r>
      <w:r w:rsidR="008B5103">
        <w:rPr>
          <w:rFonts w:ascii="Times New Roman" w:hAnsi="Times New Roman"/>
          <w:lang w:val="en-GB"/>
        </w:rPr>
        <w:t xml:space="preserve"> document which appears to be a</w:t>
      </w:r>
      <w:r w:rsidR="005138F6">
        <w:rPr>
          <w:rFonts w:ascii="Times New Roman" w:hAnsi="Times New Roman"/>
          <w:lang w:val="en-GB"/>
        </w:rPr>
        <w:t xml:space="preserve"> CIPC </w:t>
      </w:r>
      <w:r w:rsidR="000C7641">
        <w:rPr>
          <w:rFonts w:ascii="Times New Roman" w:hAnsi="Times New Roman"/>
          <w:lang w:val="en-GB"/>
        </w:rPr>
        <w:t>Disclosure C</w:t>
      </w:r>
      <w:r w:rsidR="00A126BD">
        <w:rPr>
          <w:rFonts w:ascii="Times New Roman" w:hAnsi="Times New Roman"/>
          <w:lang w:val="en-GB"/>
        </w:rPr>
        <w:t>ertificate. The cer</w:t>
      </w:r>
      <w:r w:rsidR="006D75A5">
        <w:rPr>
          <w:rFonts w:ascii="Times New Roman" w:hAnsi="Times New Roman"/>
          <w:lang w:val="en-GB"/>
        </w:rPr>
        <w:t xml:space="preserve">tificate showed that </w:t>
      </w:r>
      <w:r w:rsidR="00251FC6">
        <w:rPr>
          <w:rFonts w:ascii="Times New Roman" w:hAnsi="Times New Roman"/>
          <w:lang w:val="en-GB"/>
        </w:rPr>
        <w:t xml:space="preserve">Sibenti had been in business since May 2001. Its registered address and postal address were in </w:t>
      </w:r>
      <w:r w:rsidR="00444C0D">
        <w:rPr>
          <w:rFonts w:ascii="Times New Roman" w:hAnsi="Times New Roman"/>
          <w:lang w:val="en-GB"/>
        </w:rPr>
        <w:t>Bethal and Witbank respectively</w:t>
      </w:r>
      <w:r w:rsidR="00E16240">
        <w:rPr>
          <w:rFonts w:ascii="Times New Roman" w:hAnsi="Times New Roman"/>
          <w:lang w:val="en-GB"/>
        </w:rPr>
        <w:t xml:space="preserve"> (though in 2006 Witbank was renamed E</w:t>
      </w:r>
      <w:r w:rsidR="00175E06">
        <w:rPr>
          <w:rFonts w:ascii="Times New Roman" w:hAnsi="Times New Roman"/>
          <w:lang w:val="en-GB"/>
        </w:rPr>
        <w:t>malahleni)</w:t>
      </w:r>
      <w:r w:rsidR="00444C0D">
        <w:rPr>
          <w:rFonts w:ascii="Times New Roman" w:hAnsi="Times New Roman"/>
          <w:lang w:val="en-GB"/>
        </w:rPr>
        <w:t>. Its auditor had resigned</w:t>
      </w:r>
      <w:r w:rsidR="00814122">
        <w:rPr>
          <w:rFonts w:ascii="Times New Roman" w:hAnsi="Times New Roman"/>
          <w:lang w:val="en-GB"/>
        </w:rPr>
        <w:t xml:space="preserve">. The fields showing the date of </w:t>
      </w:r>
      <w:r w:rsidR="00BC0C30">
        <w:rPr>
          <w:rFonts w:ascii="Times New Roman" w:hAnsi="Times New Roman"/>
          <w:lang w:val="en-GB"/>
        </w:rPr>
        <w:t>its auditor’s</w:t>
      </w:r>
      <w:r w:rsidR="00814122">
        <w:rPr>
          <w:rFonts w:ascii="Times New Roman" w:hAnsi="Times New Roman"/>
          <w:lang w:val="en-GB"/>
        </w:rPr>
        <w:t xml:space="preserve"> appointment, resignation and email address were empty</w:t>
      </w:r>
      <w:r w:rsidR="00444C0D">
        <w:rPr>
          <w:rFonts w:ascii="Times New Roman" w:hAnsi="Times New Roman"/>
          <w:lang w:val="en-GB"/>
        </w:rPr>
        <w:t xml:space="preserve">. Its </w:t>
      </w:r>
      <w:r w:rsidR="00270C02">
        <w:rPr>
          <w:rFonts w:ascii="Times New Roman" w:hAnsi="Times New Roman"/>
          <w:lang w:val="en-GB"/>
        </w:rPr>
        <w:t>members were Mr Keating</w:t>
      </w:r>
      <w:r w:rsidR="00C939ED">
        <w:rPr>
          <w:rFonts w:ascii="Times New Roman" w:hAnsi="Times New Roman"/>
          <w:lang w:val="en-GB"/>
        </w:rPr>
        <w:t xml:space="preserve"> (with an interest of 1%</w:t>
      </w:r>
      <w:r w:rsidR="008933E1">
        <w:rPr>
          <w:rFonts w:ascii="Times New Roman" w:hAnsi="Times New Roman"/>
          <w:lang w:val="en-GB"/>
        </w:rPr>
        <w:t>, appointed on 1 February 2021</w:t>
      </w:r>
      <w:r w:rsidR="00C71873">
        <w:rPr>
          <w:rFonts w:ascii="Times New Roman" w:hAnsi="Times New Roman"/>
          <w:lang w:val="en-GB"/>
        </w:rPr>
        <w:t>, and an address in West Beach, Cape Town</w:t>
      </w:r>
      <w:r w:rsidR="00C939ED">
        <w:rPr>
          <w:rFonts w:ascii="Times New Roman" w:hAnsi="Times New Roman"/>
          <w:lang w:val="en-GB"/>
        </w:rPr>
        <w:t>)</w:t>
      </w:r>
      <w:r w:rsidR="00270C02">
        <w:rPr>
          <w:rFonts w:ascii="Times New Roman" w:hAnsi="Times New Roman"/>
          <w:lang w:val="en-GB"/>
        </w:rPr>
        <w:t>, Mr Youngman</w:t>
      </w:r>
      <w:r w:rsidR="00C939ED">
        <w:rPr>
          <w:rFonts w:ascii="Times New Roman" w:hAnsi="Times New Roman"/>
          <w:lang w:val="en-GB"/>
        </w:rPr>
        <w:t xml:space="preserve"> (98%</w:t>
      </w:r>
      <w:r w:rsidR="008933E1">
        <w:rPr>
          <w:rFonts w:ascii="Times New Roman" w:hAnsi="Times New Roman"/>
          <w:lang w:val="en-GB"/>
        </w:rPr>
        <w:t>, 4 March 2020</w:t>
      </w:r>
      <w:r w:rsidR="00C71873">
        <w:rPr>
          <w:rFonts w:ascii="Times New Roman" w:hAnsi="Times New Roman"/>
          <w:lang w:val="en-GB"/>
        </w:rPr>
        <w:t xml:space="preserve">, Sunningdale Cape </w:t>
      </w:r>
      <w:r w:rsidR="00C71873">
        <w:rPr>
          <w:rFonts w:ascii="Times New Roman" w:hAnsi="Times New Roman"/>
          <w:lang w:val="en-GB"/>
        </w:rPr>
        <w:lastRenderedPageBreak/>
        <w:t>Town</w:t>
      </w:r>
      <w:r w:rsidR="00C939ED" w:rsidRPr="00C71873">
        <w:rPr>
          <w:rFonts w:ascii="Times New Roman" w:hAnsi="Times New Roman"/>
          <w:lang w:val="en-GB"/>
        </w:rPr>
        <w:t>)</w:t>
      </w:r>
      <w:r w:rsidR="00270C02" w:rsidRPr="00C71873">
        <w:rPr>
          <w:rFonts w:ascii="Times New Roman" w:hAnsi="Times New Roman"/>
          <w:lang w:val="en-GB"/>
        </w:rPr>
        <w:t xml:space="preserve"> and a Ms Claire Elizabeth Youngman</w:t>
      </w:r>
      <w:r w:rsidR="00C939ED" w:rsidRPr="00C71873">
        <w:rPr>
          <w:rFonts w:ascii="Times New Roman" w:hAnsi="Times New Roman"/>
          <w:lang w:val="en-GB"/>
        </w:rPr>
        <w:t xml:space="preserve"> (1</w:t>
      </w:r>
      <w:r w:rsidR="008F1805" w:rsidRPr="00C71873">
        <w:rPr>
          <w:rFonts w:ascii="Times New Roman" w:hAnsi="Times New Roman"/>
          <w:lang w:val="en-GB"/>
        </w:rPr>
        <w:t>%</w:t>
      </w:r>
      <w:r w:rsidR="008933E1" w:rsidRPr="00C71873">
        <w:rPr>
          <w:rFonts w:ascii="Times New Roman" w:hAnsi="Times New Roman"/>
          <w:lang w:val="en-GB"/>
        </w:rPr>
        <w:t xml:space="preserve">, </w:t>
      </w:r>
      <w:r w:rsidR="003527B2" w:rsidRPr="00C71873">
        <w:rPr>
          <w:rFonts w:ascii="Times New Roman" w:hAnsi="Times New Roman"/>
          <w:lang w:val="en-GB"/>
        </w:rPr>
        <w:t>1 October 2021</w:t>
      </w:r>
      <w:r w:rsidR="00C71873">
        <w:rPr>
          <w:rFonts w:ascii="Times New Roman" w:hAnsi="Times New Roman"/>
          <w:lang w:val="en-GB"/>
        </w:rPr>
        <w:t>, the same Sunningdale address as Mr Youngman</w:t>
      </w:r>
      <w:r w:rsidR="008F1805" w:rsidRPr="00C71873">
        <w:rPr>
          <w:rFonts w:ascii="Times New Roman" w:hAnsi="Times New Roman"/>
          <w:lang w:val="en-GB"/>
        </w:rPr>
        <w:t>)</w:t>
      </w:r>
      <w:r w:rsidR="00270C02" w:rsidRPr="00C71873">
        <w:rPr>
          <w:rFonts w:ascii="Times New Roman" w:hAnsi="Times New Roman"/>
          <w:lang w:val="en-GB"/>
        </w:rPr>
        <w:t>.</w:t>
      </w:r>
      <w:r w:rsidR="008F1805" w:rsidRPr="00C71873">
        <w:rPr>
          <w:rFonts w:ascii="Times New Roman" w:hAnsi="Times New Roman"/>
          <w:lang w:val="en-GB"/>
        </w:rPr>
        <w:t xml:space="preserve"> </w:t>
      </w:r>
      <w:r w:rsidR="0076799A">
        <w:rPr>
          <w:rFonts w:ascii="Times New Roman" w:hAnsi="Times New Roman"/>
          <w:lang w:val="en-GB"/>
        </w:rPr>
        <w:t xml:space="preserve">It did not show previous members. </w:t>
      </w:r>
    </w:p>
    <w:p w14:paraId="7C19B0CE" w14:textId="0C5109AE" w:rsidR="00DB1476"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5.</w:t>
      </w:r>
      <w:r>
        <w:rPr>
          <w:rFonts w:ascii="Times New Roman" w:hAnsi="Times New Roman"/>
          <w:lang w:val="en-GB"/>
        </w:rPr>
        <w:tab/>
      </w:r>
      <w:r w:rsidR="00E1557F">
        <w:rPr>
          <w:rFonts w:ascii="Times New Roman" w:hAnsi="Times New Roman"/>
          <w:lang w:val="en-GB"/>
        </w:rPr>
        <w:t xml:space="preserve">On 18 November 2021 </w:t>
      </w:r>
      <w:r w:rsidR="00435F25">
        <w:rPr>
          <w:rFonts w:ascii="Times New Roman" w:hAnsi="Times New Roman"/>
          <w:lang w:val="en-GB"/>
        </w:rPr>
        <w:t xml:space="preserve">Mr Botha instructed attorneys to conduct a </w:t>
      </w:r>
      <w:r w:rsidR="00C6625E">
        <w:rPr>
          <w:rFonts w:ascii="Times New Roman" w:hAnsi="Times New Roman"/>
          <w:lang w:val="en-GB"/>
        </w:rPr>
        <w:t xml:space="preserve">deeds office search of the Albertville property. </w:t>
      </w:r>
      <w:r w:rsidR="0094608F">
        <w:rPr>
          <w:rFonts w:ascii="Times New Roman" w:hAnsi="Times New Roman"/>
          <w:lang w:val="en-GB"/>
        </w:rPr>
        <w:t>The search showed that</w:t>
      </w:r>
      <w:r w:rsidR="00583BB3">
        <w:rPr>
          <w:rFonts w:ascii="Times New Roman" w:hAnsi="Times New Roman"/>
          <w:lang w:val="en-GB"/>
        </w:rPr>
        <w:t xml:space="preserve"> the Albertville property was last sold </w:t>
      </w:r>
      <w:r w:rsidR="0008370C">
        <w:rPr>
          <w:rFonts w:ascii="Times New Roman" w:hAnsi="Times New Roman"/>
          <w:lang w:val="en-GB"/>
        </w:rPr>
        <w:t>on 30 June 2008</w:t>
      </w:r>
      <w:r w:rsidR="001A12FF">
        <w:rPr>
          <w:rFonts w:ascii="Times New Roman" w:hAnsi="Times New Roman"/>
          <w:lang w:val="en-GB"/>
        </w:rPr>
        <w:t xml:space="preserve"> at a price of R 1,76 million</w:t>
      </w:r>
      <w:r w:rsidR="0008370C">
        <w:rPr>
          <w:rFonts w:ascii="Times New Roman" w:hAnsi="Times New Roman"/>
          <w:lang w:val="en-GB"/>
        </w:rPr>
        <w:t xml:space="preserve">, a registration date of </w:t>
      </w:r>
      <w:r w:rsidR="001A12FF">
        <w:rPr>
          <w:rFonts w:ascii="Times New Roman" w:hAnsi="Times New Roman"/>
          <w:lang w:val="en-GB"/>
        </w:rPr>
        <w:t>26 November 2010, and that</w:t>
      </w:r>
      <w:r w:rsidR="0094608F">
        <w:rPr>
          <w:rFonts w:ascii="Times New Roman" w:hAnsi="Times New Roman"/>
          <w:lang w:val="en-GB"/>
        </w:rPr>
        <w:t xml:space="preserve"> Sibenti was owner. </w:t>
      </w:r>
    </w:p>
    <w:p w14:paraId="2763F9AB" w14:textId="687FDD13" w:rsidR="00435F25"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6.</w:t>
      </w:r>
      <w:r>
        <w:rPr>
          <w:rFonts w:ascii="Times New Roman" w:hAnsi="Times New Roman"/>
          <w:lang w:val="en-GB"/>
        </w:rPr>
        <w:tab/>
      </w:r>
      <w:r w:rsidR="00016037">
        <w:rPr>
          <w:rFonts w:ascii="Times New Roman" w:hAnsi="Times New Roman"/>
          <w:lang w:val="en-GB"/>
        </w:rPr>
        <w:t xml:space="preserve">The search </w:t>
      </w:r>
      <w:r w:rsidR="00DB1476">
        <w:rPr>
          <w:rFonts w:ascii="Times New Roman" w:hAnsi="Times New Roman"/>
          <w:lang w:val="en-GB"/>
        </w:rPr>
        <w:t xml:space="preserve">also </w:t>
      </w:r>
      <w:r w:rsidR="00016037">
        <w:rPr>
          <w:rFonts w:ascii="Times New Roman" w:hAnsi="Times New Roman"/>
          <w:lang w:val="en-GB"/>
        </w:rPr>
        <w:t xml:space="preserve">showed endorsements </w:t>
      </w:r>
      <w:r w:rsidR="00410154">
        <w:rPr>
          <w:rFonts w:ascii="Times New Roman" w:hAnsi="Times New Roman"/>
          <w:lang w:val="en-GB"/>
        </w:rPr>
        <w:t xml:space="preserve">on account of </w:t>
      </w:r>
      <w:r w:rsidR="00DB48B5">
        <w:rPr>
          <w:rFonts w:ascii="Times New Roman" w:hAnsi="Times New Roman"/>
          <w:lang w:val="en-GB"/>
        </w:rPr>
        <w:t xml:space="preserve">four </w:t>
      </w:r>
      <w:r w:rsidR="000929BE" w:rsidRPr="00912B5C">
        <w:rPr>
          <w:rFonts w:ascii="Times New Roman" w:hAnsi="Times New Roman"/>
          <w:lang w:val="en-GB"/>
        </w:rPr>
        <w:t>bonds</w:t>
      </w:r>
      <w:r w:rsidR="00373839">
        <w:rPr>
          <w:rFonts w:ascii="Times New Roman" w:hAnsi="Times New Roman"/>
          <w:lang w:val="en-GB"/>
        </w:rPr>
        <w:t xml:space="preserve">. The endorsement entries are curious. </w:t>
      </w:r>
      <w:r w:rsidR="00FE743B">
        <w:rPr>
          <w:rFonts w:ascii="Times New Roman" w:hAnsi="Times New Roman"/>
          <w:lang w:val="en-GB"/>
        </w:rPr>
        <w:t xml:space="preserve">The first reflects next to the bond number, </w:t>
      </w:r>
      <w:r w:rsidR="00812F6F">
        <w:rPr>
          <w:rFonts w:ascii="Times New Roman" w:hAnsi="Times New Roman"/>
          <w:lang w:val="en-GB"/>
        </w:rPr>
        <w:t xml:space="preserve">under a column headed </w:t>
      </w:r>
      <w:r w:rsidR="00DE4EAB">
        <w:rPr>
          <w:rFonts w:ascii="Times New Roman" w:hAnsi="Times New Roman"/>
          <w:i/>
          <w:iCs/>
          <w:lang w:val="en-GB"/>
        </w:rPr>
        <w:t>“Institution”</w:t>
      </w:r>
      <w:r w:rsidR="00A62D0C">
        <w:rPr>
          <w:rFonts w:ascii="Times New Roman" w:hAnsi="Times New Roman"/>
          <w:lang w:val="en-GB"/>
        </w:rPr>
        <w:t>,</w:t>
      </w:r>
      <w:r w:rsidR="0040450F">
        <w:rPr>
          <w:rFonts w:ascii="Times New Roman" w:hAnsi="Times New Roman"/>
          <w:i/>
          <w:iCs/>
          <w:lang w:val="en-GB"/>
        </w:rPr>
        <w:t>“</w:t>
      </w:r>
      <w:r w:rsidR="00A70F93">
        <w:rPr>
          <w:rFonts w:ascii="Times New Roman" w:hAnsi="Times New Roman"/>
          <w:i/>
          <w:iCs/>
          <w:lang w:val="en-GB"/>
        </w:rPr>
        <w:t>FORMERLY PARK</w:t>
      </w:r>
      <w:r w:rsidR="0040450F">
        <w:rPr>
          <w:rFonts w:ascii="Times New Roman" w:hAnsi="Times New Roman"/>
          <w:i/>
          <w:iCs/>
          <w:lang w:val="en-GB"/>
        </w:rPr>
        <w:t>”</w:t>
      </w:r>
      <w:r w:rsidR="0040450F">
        <w:rPr>
          <w:rFonts w:ascii="Times New Roman" w:hAnsi="Times New Roman"/>
          <w:lang w:val="en-GB"/>
        </w:rPr>
        <w:t xml:space="preserve">, </w:t>
      </w:r>
      <w:r w:rsidR="00DE4EAB">
        <w:rPr>
          <w:rFonts w:ascii="Times New Roman" w:hAnsi="Times New Roman"/>
          <w:lang w:val="en-GB"/>
        </w:rPr>
        <w:t xml:space="preserve">the </w:t>
      </w:r>
      <w:r w:rsidR="0040450F">
        <w:rPr>
          <w:rFonts w:ascii="Times New Roman" w:hAnsi="Times New Roman"/>
          <w:lang w:val="en-GB"/>
        </w:rPr>
        <w:t>second</w:t>
      </w:r>
      <w:r w:rsidR="008C68DF">
        <w:rPr>
          <w:rFonts w:ascii="Times New Roman" w:hAnsi="Times New Roman"/>
          <w:lang w:val="en-GB"/>
        </w:rPr>
        <w:t xml:space="preserve"> under that column</w:t>
      </w:r>
      <w:r w:rsidR="0040450F">
        <w:rPr>
          <w:rFonts w:ascii="Times New Roman" w:hAnsi="Times New Roman"/>
          <w:lang w:val="en-GB"/>
        </w:rPr>
        <w:t xml:space="preserve"> </w:t>
      </w:r>
      <w:r w:rsidR="0040450F">
        <w:rPr>
          <w:rFonts w:ascii="Times New Roman" w:hAnsi="Times New Roman"/>
          <w:i/>
          <w:iCs/>
          <w:lang w:val="en-GB"/>
        </w:rPr>
        <w:t>“</w:t>
      </w:r>
      <w:r w:rsidR="00A70F93">
        <w:rPr>
          <w:rFonts w:ascii="Times New Roman" w:hAnsi="Times New Roman"/>
          <w:i/>
          <w:iCs/>
          <w:lang w:val="en-GB"/>
        </w:rPr>
        <w:t>FORMERLY PARK1508 [PARK] NOW 1508</w:t>
      </w:r>
      <w:r w:rsidR="00490C15">
        <w:rPr>
          <w:rFonts w:ascii="Times New Roman" w:hAnsi="Times New Roman"/>
          <w:i/>
          <w:iCs/>
          <w:lang w:val="en-GB"/>
        </w:rPr>
        <w:t>”</w:t>
      </w:r>
      <w:r w:rsidR="006D249B">
        <w:rPr>
          <w:rFonts w:ascii="Times New Roman" w:hAnsi="Times New Roman"/>
          <w:lang w:val="en-GB"/>
        </w:rPr>
        <w:t xml:space="preserve">. The registration date for the first and second is shown as 1 January 1900. The </w:t>
      </w:r>
      <w:r w:rsidR="00EC6FD5">
        <w:rPr>
          <w:rFonts w:ascii="Times New Roman" w:hAnsi="Times New Roman"/>
          <w:lang w:val="en-GB"/>
        </w:rPr>
        <w:t xml:space="preserve">third and fourth show Sibenti under the </w:t>
      </w:r>
      <w:r w:rsidR="00EC6FD5">
        <w:rPr>
          <w:rFonts w:ascii="Times New Roman" w:hAnsi="Times New Roman"/>
          <w:i/>
          <w:iCs/>
          <w:lang w:val="en-GB"/>
        </w:rPr>
        <w:t>“Institution”</w:t>
      </w:r>
      <w:r w:rsidR="00EC6FD5">
        <w:rPr>
          <w:rFonts w:ascii="Times New Roman" w:hAnsi="Times New Roman"/>
          <w:lang w:val="en-GB"/>
        </w:rPr>
        <w:t xml:space="preserve"> column</w:t>
      </w:r>
      <w:r w:rsidR="00C93411">
        <w:rPr>
          <w:rFonts w:ascii="Times New Roman" w:hAnsi="Times New Roman"/>
          <w:lang w:val="en-GB"/>
        </w:rPr>
        <w:t xml:space="preserve">. The </w:t>
      </w:r>
      <w:r w:rsidR="006D249B">
        <w:rPr>
          <w:rFonts w:ascii="Times New Roman" w:hAnsi="Times New Roman"/>
          <w:lang w:val="en-GB"/>
        </w:rPr>
        <w:t xml:space="preserve">third was </w:t>
      </w:r>
      <w:r w:rsidR="006776CB">
        <w:rPr>
          <w:rFonts w:ascii="Times New Roman" w:hAnsi="Times New Roman"/>
          <w:lang w:val="en-GB"/>
        </w:rPr>
        <w:t xml:space="preserve">registered on 3 September 2020 and </w:t>
      </w:r>
      <w:r w:rsidR="006D249B">
        <w:rPr>
          <w:rFonts w:ascii="Times New Roman" w:hAnsi="Times New Roman"/>
          <w:lang w:val="en-GB"/>
        </w:rPr>
        <w:t xml:space="preserve">the fourth on </w:t>
      </w:r>
      <w:r w:rsidR="006776CB">
        <w:rPr>
          <w:rFonts w:ascii="Times New Roman" w:hAnsi="Times New Roman"/>
          <w:lang w:val="en-GB"/>
        </w:rPr>
        <w:t>19 October 2020</w:t>
      </w:r>
      <w:r w:rsidR="000929BE" w:rsidRPr="00912B5C">
        <w:rPr>
          <w:rFonts w:ascii="Times New Roman" w:hAnsi="Times New Roman"/>
          <w:lang w:val="en-GB"/>
        </w:rPr>
        <w:t>.</w:t>
      </w:r>
      <w:r w:rsidR="00C3252F">
        <w:rPr>
          <w:rFonts w:ascii="Times New Roman" w:hAnsi="Times New Roman"/>
          <w:lang w:val="en-GB"/>
        </w:rPr>
        <w:t xml:space="preserve"> Mr Botha indeed alleges that the property </w:t>
      </w:r>
      <w:r w:rsidR="00D0480D">
        <w:rPr>
          <w:rFonts w:ascii="Times New Roman" w:hAnsi="Times New Roman"/>
          <w:lang w:val="en-GB"/>
        </w:rPr>
        <w:t>appeared to be encumbered.</w:t>
      </w:r>
    </w:p>
    <w:p w14:paraId="256ECB98" w14:textId="3DFACB81" w:rsidR="0019142B" w:rsidRPr="0019142B" w:rsidRDefault="0019142B" w:rsidP="00046A1C">
      <w:pPr>
        <w:keepNext/>
        <w:spacing w:before="240" w:after="240" w:line="480" w:lineRule="auto"/>
        <w:ind w:left="720"/>
        <w:jc w:val="both"/>
        <w:rPr>
          <w:rFonts w:ascii="Times New Roman" w:hAnsi="Times New Roman"/>
          <w:u w:val="single"/>
          <w:lang w:val="en-GB"/>
        </w:rPr>
      </w:pPr>
      <w:r w:rsidRPr="0019142B">
        <w:rPr>
          <w:rFonts w:ascii="Times New Roman" w:hAnsi="Times New Roman"/>
          <w:u w:val="single"/>
          <w:lang w:val="en-GB"/>
        </w:rPr>
        <w:t xml:space="preserve">The advance and </w:t>
      </w:r>
      <w:r w:rsidR="00046A1C">
        <w:rPr>
          <w:rFonts w:ascii="Times New Roman" w:hAnsi="Times New Roman"/>
          <w:u w:val="single"/>
          <w:lang w:val="en-GB"/>
        </w:rPr>
        <w:t xml:space="preserve">the </w:t>
      </w:r>
      <w:r w:rsidRPr="0019142B">
        <w:rPr>
          <w:rFonts w:ascii="Times New Roman" w:hAnsi="Times New Roman"/>
          <w:u w:val="single"/>
          <w:lang w:val="en-GB"/>
        </w:rPr>
        <w:t>contracts</w:t>
      </w:r>
    </w:p>
    <w:p w14:paraId="7BB4A497" w14:textId="39ED87CF" w:rsidR="00B52F6A"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7.</w:t>
      </w:r>
      <w:r>
        <w:rPr>
          <w:rFonts w:ascii="Times New Roman" w:hAnsi="Times New Roman"/>
          <w:lang w:val="en-GB"/>
        </w:rPr>
        <w:tab/>
      </w:r>
      <w:r w:rsidR="005B4755">
        <w:rPr>
          <w:rFonts w:ascii="Times New Roman" w:hAnsi="Times New Roman"/>
          <w:lang w:val="en-GB"/>
        </w:rPr>
        <w:t>Undeterred, o</w:t>
      </w:r>
      <w:r w:rsidR="000B1294" w:rsidRPr="00D0411A">
        <w:rPr>
          <w:rFonts w:ascii="Times New Roman" w:hAnsi="Times New Roman"/>
          <w:lang w:val="en-GB"/>
        </w:rPr>
        <w:t xml:space="preserve">ver </w:t>
      </w:r>
      <w:r w:rsidR="008F1FCC" w:rsidRPr="00D0411A">
        <w:rPr>
          <w:rFonts w:ascii="Times New Roman" w:hAnsi="Times New Roman"/>
          <w:lang w:val="en-GB"/>
        </w:rPr>
        <w:t xml:space="preserve">December 2021 </w:t>
      </w:r>
      <w:r w:rsidR="000B1294" w:rsidRPr="00D0411A">
        <w:rPr>
          <w:rFonts w:ascii="Times New Roman" w:hAnsi="Times New Roman"/>
          <w:lang w:val="en-GB"/>
        </w:rPr>
        <w:t xml:space="preserve">– February 2022 </w:t>
      </w:r>
      <w:r w:rsidR="00E05717" w:rsidRPr="00D0411A">
        <w:rPr>
          <w:rFonts w:ascii="Times New Roman" w:hAnsi="Times New Roman"/>
          <w:lang w:val="en-GB"/>
        </w:rPr>
        <w:t xml:space="preserve">Rota advanced a total of </w:t>
      </w:r>
      <w:r w:rsidR="00A215A6" w:rsidRPr="00D0411A">
        <w:rPr>
          <w:rFonts w:ascii="Times New Roman" w:hAnsi="Times New Roman"/>
          <w:lang w:val="en-GB"/>
        </w:rPr>
        <w:t xml:space="preserve">some </w:t>
      </w:r>
      <w:r w:rsidR="00B93BA9" w:rsidRPr="00D0411A">
        <w:rPr>
          <w:rFonts w:ascii="Times New Roman" w:hAnsi="Times New Roman"/>
          <w:lang w:val="en-GB"/>
        </w:rPr>
        <w:t>R</w:t>
      </w:r>
      <w:r w:rsidR="00A215A6" w:rsidRPr="00D0411A">
        <w:rPr>
          <w:rFonts w:ascii="Times New Roman" w:hAnsi="Times New Roman"/>
          <w:lang w:val="en-GB"/>
        </w:rPr>
        <w:t xml:space="preserve">2,7 million to </w:t>
      </w:r>
      <w:r w:rsidR="001B4774">
        <w:rPr>
          <w:rFonts w:ascii="Times New Roman" w:hAnsi="Times New Roman"/>
          <w:lang w:val="en-GB"/>
        </w:rPr>
        <w:t>Armour</w:t>
      </w:r>
      <w:r w:rsidR="000B1294" w:rsidRPr="00D0411A">
        <w:rPr>
          <w:rFonts w:ascii="Times New Roman" w:hAnsi="Times New Roman"/>
          <w:lang w:val="en-GB"/>
        </w:rPr>
        <w:t>. Rota did</w:t>
      </w:r>
      <w:r w:rsidR="00A5743F">
        <w:rPr>
          <w:rFonts w:ascii="Times New Roman" w:hAnsi="Times New Roman"/>
          <w:lang w:val="en-GB"/>
        </w:rPr>
        <w:t xml:space="preserve"> so</w:t>
      </w:r>
      <w:r w:rsidR="000B1294" w:rsidRPr="00D0411A">
        <w:rPr>
          <w:rFonts w:ascii="Times New Roman" w:hAnsi="Times New Roman"/>
          <w:lang w:val="en-GB"/>
        </w:rPr>
        <w:t xml:space="preserve"> in terms of </w:t>
      </w:r>
      <w:r w:rsidR="007A3EE5" w:rsidRPr="00D0411A">
        <w:rPr>
          <w:rFonts w:ascii="Times New Roman" w:hAnsi="Times New Roman"/>
          <w:lang w:val="en-GB"/>
        </w:rPr>
        <w:t>a</w:t>
      </w:r>
      <w:r w:rsidR="00C2171D" w:rsidRPr="00D0411A">
        <w:rPr>
          <w:rFonts w:ascii="Times New Roman" w:hAnsi="Times New Roman"/>
          <w:lang w:val="en-GB"/>
        </w:rPr>
        <w:t xml:space="preserve"> letter dated </w:t>
      </w:r>
      <w:r w:rsidR="00142BF9" w:rsidRPr="00D0411A">
        <w:rPr>
          <w:rFonts w:ascii="Times New Roman" w:hAnsi="Times New Roman"/>
          <w:lang w:val="en-GB"/>
        </w:rPr>
        <w:t>7</w:t>
      </w:r>
      <w:r w:rsidR="000D2BC5" w:rsidRPr="00D0411A">
        <w:rPr>
          <w:rFonts w:ascii="Times New Roman" w:hAnsi="Times New Roman"/>
          <w:lang w:val="en-GB"/>
        </w:rPr>
        <w:t> </w:t>
      </w:r>
      <w:r w:rsidR="00142BF9" w:rsidRPr="00D0411A">
        <w:rPr>
          <w:rFonts w:ascii="Times New Roman" w:hAnsi="Times New Roman"/>
          <w:lang w:val="en-GB"/>
        </w:rPr>
        <w:t>December 2021 and headed</w:t>
      </w:r>
      <w:r w:rsidR="007A3EE5" w:rsidRPr="00D0411A">
        <w:rPr>
          <w:rFonts w:ascii="Times New Roman" w:hAnsi="Times New Roman"/>
          <w:lang w:val="en-GB"/>
        </w:rPr>
        <w:t xml:space="preserve"> </w:t>
      </w:r>
      <w:r w:rsidR="00C2171D" w:rsidRPr="00D0411A">
        <w:rPr>
          <w:rFonts w:ascii="Times New Roman" w:hAnsi="Times New Roman"/>
          <w:i/>
          <w:iCs/>
          <w:lang w:val="en-GB"/>
        </w:rPr>
        <w:t>“Pre-Agreement on Advance of R806 000”</w:t>
      </w:r>
      <w:r w:rsidR="00142BF9" w:rsidRPr="00D0411A">
        <w:rPr>
          <w:rFonts w:ascii="Times New Roman" w:hAnsi="Times New Roman"/>
          <w:lang w:val="en-GB"/>
        </w:rPr>
        <w:t xml:space="preserve"> addressed to </w:t>
      </w:r>
      <w:r w:rsidR="001A5DB8">
        <w:rPr>
          <w:rFonts w:ascii="Times New Roman" w:hAnsi="Times New Roman"/>
          <w:lang w:val="en-GB"/>
        </w:rPr>
        <w:t>AJH</w:t>
      </w:r>
      <w:r w:rsidR="00D60625" w:rsidRPr="00D0411A">
        <w:rPr>
          <w:rFonts w:ascii="Times New Roman" w:hAnsi="Times New Roman"/>
          <w:lang w:val="en-GB"/>
        </w:rPr>
        <w:t xml:space="preserve">, and </w:t>
      </w:r>
      <w:r w:rsidR="00432C43" w:rsidRPr="00D0411A">
        <w:rPr>
          <w:rFonts w:ascii="Times New Roman" w:hAnsi="Times New Roman"/>
          <w:lang w:val="en-GB"/>
        </w:rPr>
        <w:t xml:space="preserve">in terms of </w:t>
      </w:r>
      <w:r w:rsidR="00781C70">
        <w:rPr>
          <w:rFonts w:ascii="Times New Roman" w:hAnsi="Times New Roman"/>
          <w:lang w:val="en-GB"/>
        </w:rPr>
        <w:t xml:space="preserve">two </w:t>
      </w:r>
      <w:r w:rsidR="005359C2">
        <w:rPr>
          <w:rFonts w:ascii="Times New Roman" w:hAnsi="Times New Roman"/>
          <w:lang w:val="en-GB"/>
        </w:rPr>
        <w:t xml:space="preserve">so-called </w:t>
      </w:r>
      <w:r w:rsidR="00432C43" w:rsidRPr="00D0411A">
        <w:rPr>
          <w:rFonts w:ascii="Times New Roman" w:hAnsi="Times New Roman"/>
          <w:lang w:val="en-GB"/>
        </w:rPr>
        <w:t>factoring agreement</w:t>
      </w:r>
      <w:r w:rsidR="00781C70">
        <w:rPr>
          <w:rFonts w:ascii="Times New Roman" w:hAnsi="Times New Roman"/>
          <w:lang w:val="en-GB"/>
        </w:rPr>
        <w:t>s</w:t>
      </w:r>
      <w:r w:rsidR="00432C43" w:rsidRPr="00D0411A">
        <w:rPr>
          <w:rFonts w:ascii="Times New Roman" w:hAnsi="Times New Roman"/>
          <w:lang w:val="en-GB"/>
        </w:rPr>
        <w:t xml:space="preserve"> between Rota and Armour dated </w:t>
      </w:r>
      <w:r w:rsidR="00504472" w:rsidRPr="00D0411A">
        <w:rPr>
          <w:rFonts w:ascii="Times New Roman" w:hAnsi="Times New Roman"/>
          <w:lang w:val="en-GB"/>
        </w:rPr>
        <w:t>8</w:t>
      </w:r>
      <w:r w:rsidR="00781C70">
        <w:rPr>
          <w:rFonts w:ascii="Times New Roman" w:hAnsi="Times New Roman"/>
          <w:lang w:val="en-GB"/>
        </w:rPr>
        <w:t> </w:t>
      </w:r>
      <w:r w:rsidR="00504472" w:rsidRPr="00D0411A">
        <w:rPr>
          <w:rFonts w:ascii="Times New Roman" w:hAnsi="Times New Roman"/>
          <w:lang w:val="en-GB"/>
        </w:rPr>
        <w:t>December 2021</w:t>
      </w:r>
      <w:r w:rsidR="00781C70">
        <w:rPr>
          <w:rFonts w:ascii="Times New Roman" w:hAnsi="Times New Roman"/>
          <w:lang w:val="en-GB"/>
        </w:rPr>
        <w:t xml:space="preserve"> and 4 February 2021</w:t>
      </w:r>
      <w:r w:rsidR="003D731F">
        <w:rPr>
          <w:rFonts w:ascii="Times New Roman" w:hAnsi="Times New Roman"/>
          <w:lang w:val="en-GB"/>
        </w:rPr>
        <w:t xml:space="preserve"> respectively</w:t>
      </w:r>
      <w:r w:rsidR="00504472" w:rsidRPr="00D0411A">
        <w:rPr>
          <w:rFonts w:ascii="Times New Roman" w:hAnsi="Times New Roman"/>
          <w:lang w:val="en-GB"/>
        </w:rPr>
        <w:t xml:space="preserve">. </w:t>
      </w:r>
    </w:p>
    <w:p w14:paraId="79FE7380" w14:textId="07B15A9A" w:rsidR="003B3F81" w:rsidRPr="00273CD8" w:rsidRDefault="006D5E15" w:rsidP="006D5E15">
      <w:pPr>
        <w:spacing w:before="240" w:after="240" w:line="480" w:lineRule="auto"/>
        <w:ind w:left="720" w:hanging="720"/>
        <w:jc w:val="both"/>
        <w:rPr>
          <w:rFonts w:ascii="Times New Roman" w:hAnsi="Times New Roman"/>
          <w:lang w:val="en-GB"/>
        </w:rPr>
      </w:pPr>
      <w:r w:rsidRPr="00273CD8">
        <w:rPr>
          <w:rFonts w:ascii="Times New Roman" w:hAnsi="Times New Roman"/>
          <w:lang w:val="en-GB"/>
        </w:rPr>
        <w:lastRenderedPageBreak/>
        <w:t>8.</w:t>
      </w:r>
      <w:r w:rsidRPr="00273CD8">
        <w:rPr>
          <w:rFonts w:ascii="Times New Roman" w:hAnsi="Times New Roman"/>
          <w:lang w:val="en-GB"/>
        </w:rPr>
        <w:tab/>
      </w:r>
      <w:r w:rsidR="00B52F6A">
        <w:rPr>
          <w:rFonts w:ascii="Times New Roman" w:hAnsi="Times New Roman"/>
          <w:lang w:val="en-GB"/>
        </w:rPr>
        <w:t>Mr Botha authorised a Mr Hardiman to sign t</w:t>
      </w:r>
      <w:r w:rsidR="00B52F6A" w:rsidRPr="00DF3A74">
        <w:rPr>
          <w:rFonts w:ascii="Times New Roman" w:hAnsi="Times New Roman"/>
          <w:lang w:val="en-GB"/>
        </w:rPr>
        <w:t>he first factoring agreement</w:t>
      </w:r>
      <w:r w:rsidR="00B52F6A">
        <w:rPr>
          <w:rFonts w:ascii="Times New Roman" w:hAnsi="Times New Roman"/>
          <w:lang w:val="en-GB"/>
        </w:rPr>
        <w:t xml:space="preserve"> for Rota; on 8 December 2021 Mr </w:t>
      </w:r>
      <w:r w:rsidR="00B52F6A" w:rsidRPr="00DF3A74">
        <w:rPr>
          <w:rFonts w:ascii="Times New Roman" w:hAnsi="Times New Roman"/>
          <w:lang w:val="en-GB"/>
        </w:rPr>
        <w:t xml:space="preserve">Hardiman </w:t>
      </w:r>
      <w:r w:rsidR="00B52F6A">
        <w:rPr>
          <w:rFonts w:ascii="Times New Roman" w:hAnsi="Times New Roman"/>
          <w:lang w:val="en-GB"/>
        </w:rPr>
        <w:t xml:space="preserve">did so. </w:t>
      </w:r>
      <w:r w:rsidR="00B52F6A" w:rsidRPr="00DF3A74">
        <w:rPr>
          <w:rFonts w:ascii="Times New Roman" w:hAnsi="Times New Roman"/>
          <w:lang w:val="en-GB"/>
        </w:rPr>
        <w:t xml:space="preserve">Mr Keating </w:t>
      </w:r>
      <w:r w:rsidR="00B52F6A">
        <w:rPr>
          <w:rFonts w:ascii="Times New Roman" w:hAnsi="Times New Roman"/>
          <w:lang w:val="en-GB"/>
        </w:rPr>
        <w:t xml:space="preserve">signed </w:t>
      </w:r>
      <w:r w:rsidR="00B52F6A" w:rsidRPr="00DF3A74">
        <w:rPr>
          <w:rFonts w:ascii="Times New Roman" w:hAnsi="Times New Roman"/>
          <w:lang w:val="en-GB"/>
        </w:rPr>
        <w:t xml:space="preserve">for </w:t>
      </w:r>
      <w:r w:rsidR="00B52F6A">
        <w:rPr>
          <w:rFonts w:ascii="Times New Roman" w:hAnsi="Times New Roman"/>
          <w:lang w:val="en-GB"/>
        </w:rPr>
        <w:t xml:space="preserve">Armour </w:t>
      </w:r>
      <w:r w:rsidR="00B52F6A" w:rsidRPr="00DF3A74">
        <w:rPr>
          <w:rFonts w:ascii="Times New Roman" w:hAnsi="Times New Roman"/>
          <w:lang w:val="en-GB"/>
        </w:rPr>
        <w:t xml:space="preserve">on </w:t>
      </w:r>
      <w:r w:rsidR="00B52F6A">
        <w:rPr>
          <w:rFonts w:ascii="Times New Roman" w:hAnsi="Times New Roman"/>
          <w:lang w:val="en-GB"/>
        </w:rPr>
        <w:t>the same day</w:t>
      </w:r>
      <w:r w:rsidR="00B52F6A" w:rsidRPr="00DF3A74">
        <w:rPr>
          <w:rFonts w:ascii="Times New Roman" w:hAnsi="Times New Roman"/>
          <w:lang w:val="en-GB"/>
        </w:rPr>
        <w:t xml:space="preserve">.  </w:t>
      </w:r>
      <w:r w:rsidR="00A50C43">
        <w:rPr>
          <w:rFonts w:ascii="Times New Roman" w:hAnsi="Times New Roman"/>
          <w:lang w:val="en-GB"/>
        </w:rPr>
        <w:t xml:space="preserve">Also on </w:t>
      </w:r>
      <w:r w:rsidR="00A50C43" w:rsidRPr="003B4C88">
        <w:rPr>
          <w:rFonts w:ascii="Times New Roman" w:hAnsi="Times New Roman"/>
          <w:lang w:val="en-GB"/>
        </w:rPr>
        <w:t>8 December 2021</w:t>
      </w:r>
      <w:r w:rsidR="00A50C43">
        <w:rPr>
          <w:rFonts w:ascii="Times New Roman" w:hAnsi="Times New Roman"/>
          <w:lang w:val="en-GB"/>
        </w:rPr>
        <w:t>,</w:t>
      </w:r>
      <w:r w:rsidR="00A50C43" w:rsidRPr="003B4C88">
        <w:rPr>
          <w:rFonts w:ascii="Times New Roman" w:hAnsi="Times New Roman"/>
          <w:lang w:val="en-GB"/>
        </w:rPr>
        <w:t xml:space="preserve"> Sibenti executed a suretyship </w:t>
      </w:r>
      <w:r w:rsidR="00A50C43">
        <w:rPr>
          <w:rFonts w:ascii="Times New Roman" w:hAnsi="Times New Roman"/>
          <w:lang w:val="en-GB"/>
        </w:rPr>
        <w:t>i</w:t>
      </w:r>
      <w:r w:rsidR="00A50C43" w:rsidRPr="003B4C88">
        <w:rPr>
          <w:rFonts w:ascii="Times New Roman" w:hAnsi="Times New Roman"/>
          <w:lang w:val="en-GB"/>
        </w:rPr>
        <w:t>n respect of the obligations of Armour</w:t>
      </w:r>
      <w:r w:rsidR="00A50C43">
        <w:rPr>
          <w:rFonts w:ascii="Times New Roman" w:hAnsi="Times New Roman"/>
          <w:lang w:val="en-GB"/>
        </w:rPr>
        <w:t xml:space="preserve"> to Rota</w:t>
      </w:r>
      <w:r w:rsidR="00A50C43" w:rsidRPr="003B4C88">
        <w:rPr>
          <w:rFonts w:ascii="Times New Roman" w:hAnsi="Times New Roman"/>
          <w:lang w:val="en-GB"/>
        </w:rPr>
        <w:t>.</w:t>
      </w:r>
      <w:r w:rsidR="00A50C43">
        <w:rPr>
          <w:rFonts w:ascii="Times New Roman" w:hAnsi="Times New Roman"/>
          <w:lang w:val="en-GB"/>
        </w:rPr>
        <w:t xml:space="preserve"> </w:t>
      </w:r>
      <w:r w:rsidR="00B52F6A" w:rsidRPr="00DF3A74">
        <w:rPr>
          <w:rFonts w:ascii="Times New Roman" w:hAnsi="Times New Roman"/>
          <w:lang w:val="en-GB"/>
        </w:rPr>
        <w:t>The second factoring agreement appears to be signed by Mr Botha for Rota and Mr Keating for A</w:t>
      </w:r>
      <w:r w:rsidR="00B52F6A">
        <w:rPr>
          <w:rFonts w:ascii="Times New Roman" w:hAnsi="Times New Roman"/>
          <w:lang w:val="en-GB"/>
        </w:rPr>
        <w:t>rmour on 9 February 2022.</w:t>
      </w:r>
    </w:p>
    <w:p w14:paraId="036A721E" w14:textId="6568FCA6" w:rsidR="00E319ED"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9.</w:t>
      </w:r>
      <w:r>
        <w:rPr>
          <w:rFonts w:ascii="Times New Roman" w:hAnsi="Times New Roman"/>
          <w:lang w:val="en-GB"/>
        </w:rPr>
        <w:tab/>
      </w:r>
      <w:r w:rsidR="0069122A" w:rsidRPr="00DF3A74">
        <w:rPr>
          <w:rFonts w:ascii="Times New Roman" w:hAnsi="Times New Roman"/>
          <w:lang w:val="en-GB"/>
        </w:rPr>
        <w:t xml:space="preserve">Rota and Armour are parties to the </w:t>
      </w:r>
      <w:r w:rsidR="002C144E">
        <w:rPr>
          <w:rFonts w:ascii="Times New Roman" w:hAnsi="Times New Roman"/>
          <w:lang w:val="en-GB"/>
        </w:rPr>
        <w:t xml:space="preserve">so-called </w:t>
      </w:r>
      <w:r w:rsidR="0069122A" w:rsidRPr="00DF3A74">
        <w:rPr>
          <w:rFonts w:ascii="Times New Roman" w:hAnsi="Times New Roman"/>
          <w:lang w:val="en-GB"/>
        </w:rPr>
        <w:t>factoring agreement</w:t>
      </w:r>
      <w:r w:rsidR="00781C70" w:rsidRPr="00DF3A74">
        <w:rPr>
          <w:rFonts w:ascii="Times New Roman" w:hAnsi="Times New Roman"/>
          <w:lang w:val="en-GB"/>
        </w:rPr>
        <w:t>s</w:t>
      </w:r>
      <w:r w:rsidR="0069122A" w:rsidRPr="00DF3A74">
        <w:rPr>
          <w:rFonts w:ascii="Times New Roman" w:hAnsi="Times New Roman"/>
          <w:lang w:val="en-GB"/>
        </w:rPr>
        <w:t xml:space="preserve">. </w:t>
      </w:r>
      <w:r w:rsidR="00504472" w:rsidRPr="00DF3A74">
        <w:rPr>
          <w:rFonts w:ascii="Times New Roman" w:hAnsi="Times New Roman"/>
          <w:lang w:val="en-GB"/>
        </w:rPr>
        <w:t xml:space="preserve">The </w:t>
      </w:r>
      <w:r w:rsidR="002C144E">
        <w:rPr>
          <w:rFonts w:ascii="Times New Roman" w:hAnsi="Times New Roman"/>
          <w:lang w:val="en-GB"/>
        </w:rPr>
        <w:t xml:space="preserve">so-called </w:t>
      </w:r>
      <w:r w:rsidR="00504472" w:rsidRPr="00DF3A74">
        <w:rPr>
          <w:rFonts w:ascii="Times New Roman" w:hAnsi="Times New Roman"/>
          <w:lang w:val="en-GB"/>
        </w:rPr>
        <w:t>factoring agreement</w:t>
      </w:r>
      <w:r w:rsidR="00781C70" w:rsidRPr="00DF3A74">
        <w:rPr>
          <w:rFonts w:ascii="Times New Roman" w:hAnsi="Times New Roman"/>
          <w:lang w:val="en-GB"/>
        </w:rPr>
        <w:t>s</w:t>
      </w:r>
      <w:r w:rsidR="00504472" w:rsidRPr="00DF3A74">
        <w:rPr>
          <w:rFonts w:ascii="Times New Roman" w:hAnsi="Times New Roman"/>
          <w:lang w:val="en-GB"/>
        </w:rPr>
        <w:t xml:space="preserve"> identif</w:t>
      </w:r>
      <w:r w:rsidR="00781C70" w:rsidRPr="00DF3A74">
        <w:rPr>
          <w:rFonts w:ascii="Times New Roman" w:hAnsi="Times New Roman"/>
          <w:lang w:val="en-GB"/>
        </w:rPr>
        <w:t>y</w:t>
      </w:r>
      <w:r w:rsidR="00504472" w:rsidRPr="00DF3A74">
        <w:rPr>
          <w:rFonts w:ascii="Times New Roman" w:hAnsi="Times New Roman"/>
          <w:lang w:val="en-GB"/>
        </w:rPr>
        <w:t xml:space="preserve"> Armour as borrow</w:t>
      </w:r>
      <w:r w:rsidR="00681CEF" w:rsidRPr="00DF3A74">
        <w:rPr>
          <w:rFonts w:ascii="Times New Roman" w:hAnsi="Times New Roman"/>
          <w:lang w:val="en-GB"/>
        </w:rPr>
        <w:t xml:space="preserve">er, </w:t>
      </w:r>
      <w:r w:rsidR="00946136">
        <w:rPr>
          <w:rFonts w:ascii="Times New Roman" w:hAnsi="Times New Roman"/>
          <w:lang w:val="en-GB"/>
        </w:rPr>
        <w:t xml:space="preserve">and </w:t>
      </w:r>
      <w:r w:rsidR="009D017E" w:rsidRPr="00DF3A74">
        <w:rPr>
          <w:rFonts w:ascii="Times New Roman" w:hAnsi="Times New Roman"/>
          <w:lang w:val="en-GB"/>
        </w:rPr>
        <w:t>AJH as</w:t>
      </w:r>
      <w:r w:rsidR="001A5012">
        <w:rPr>
          <w:rFonts w:ascii="Times New Roman" w:hAnsi="Times New Roman"/>
          <w:lang w:val="en-GB"/>
        </w:rPr>
        <w:t xml:space="preserve"> the</w:t>
      </w:r>
      <w:r w:rsidR="009D017E" w:rsidRPr="00DF3A74">
        <w:rPr>
          <w:rFonts w:ascii="Times New Roman" w:hAnsi="Times New Roman"/>
          <w:lang w:val="en-GB"/>
        </w:rPr>
        <w:t xml:space="preserve"> debtor</w:t>
      </w:r>
      <w:r w:rsidR="009D4FC2" w:rsidRPr="00DF3A74">
        <w:rPr>
          <w:rFonts w:ascii="Times New Roman" w:hAnsi="Times New Roman"/>
          <w:lang w:val="en-GB"/>
        </w:rPr>
        <w:t xml:space="preserve">. </w:t>
      </w:r>
      <w:r w:rsidR="001A5012">
        <w:rPr>
          <w:rFonts w:ascii="Times New Roman" w:hAnsi="Times New Roman"/>
          <w:lang w:val="en-GB"/>
        </w:rPr>
        <w:t xml:space="preserve">They provide for AJH to repay all outstanding amounts to </w:t>
      </w:r>
      <w:r w:rsidR="003909B8">
        <w:rPr>
          <w:rFonts w:ascii="Times New Roman" w:hAnsi="Times New Roman"/>
          <w:lang w:val="en-GB"/>
        </w:rPr>
        <w:t xml:space="preserve">Rota. </w:t>
      </w:r>
      <w:r w:rsidR="00781C70" w:rsidRPr="00DF3A74">
        <w:rPr>
          <w:rFonts w:ascii="Times New Roman" w:hAnsi="Times New Roman"/>
          <w:lang w:val="en-GB"/>
        </w:rPr>
        <w:t xml:space="preserve">They </w:t>
      </w:r>
      <w:r w:rsidR="003909B8">
        <w:rPr>
          <w:rFonts w:ascii="Times New Roman" w:hAnsi="Times New Roman"/>
          <w:lang w:val="en-GB"/>
        </w:rPr>
        <w:t xml:space="preserve">go on to </w:t>
      </w:r>
      <w:r w:rsidR="009D4FC2" w:rsidRPr="00DF3A74">
        <w:rPr>
          <w:rFonts w:ascii="Times New Roman" w:hAnsi="Times New Roman"/>
          <w:lang w:val="en-GB"/>
        </w:rPr>
        <w:t xml:space="preserve">stipulate that both </w:t>
      </w:r>
      <w:r w:rsidR="00781C70" w:rsidRPr="00DF3A74">
        <w:rPr>
          <w:rFonts w:ascii="Times New Roman" w:hAnsi="Times New Roman"/>
          <w:lang w:val="en-GB"/>
        </w:rPr>
        <w:t xml:space="preserve">Armour and AJH </w:t>
      </w:r>
      <w:r w:rsidR="009D4FC2" w:rsidRPr="00DF3A74">
        <w:rPr>
          <w:rFonts w:ascii="Times New Roman" w:hAnsi="Times New Roman"/>
          <w:lang w:val="en-GB"/>
        </w:rPr>
        <w:t>are jointly and severally liable to repay</w:t>
      </w:r>
      <w:r w:rsidR="009D017E" w:rsidRPr="00DF3A74">
        <w:rPr>
          <w:rFonts w:ascii="Times New Roman" w:hAnsi="Times New Roman"/>
          <w:lang w:val="en-GB"/>
        </w:rPr>
        <w:t>.</w:t>
      </w:r>
      <w:r w:rsidR="00B229FC" w:rsidRPr="00DF3A74">
        <w:rPr>
          <w:rFonts w:ascii="Times New Roman" w:hAnsi="Times New Roman"/>
          <w:lang w:val="en-GB"/>
        </w:rPr>
        <w:t xml:space="preserve"> They </w:t>
      </w:r>
      <w:r w:rsidR="001F7D96" w:rsidRPr="00DF3A74">
        <w:rPr>
          <w:rFonts w:ascii="Times New Roman" w:hAnsi="Times New Roman"/>
          <w:lang w:val="en-GB"/>
        </w:rPr>
        <w:t xml:space="preserve">set no </w:t>
      </w:r>
      <w:r w:rsidR="003C1B7B" w:rsidRPr="00DF3A74">
        <w:rPr>
          <w:rFonts w:ascii="Times New Roman" w:hAnsi="Times New Roman"/>
          <w:lang w:val="en-GB"/>
        </w:rPr>
        <w:t xml:space="preserve">limit to the amount that might be advanced in terms of </w:t>
      </w:r>
      <w:r w:rsidR="00B229FC" w:rsidRPr="00DF3A74">
        <w:rPr>
          <w:rFonts w:ascii="Times New Roman" w:hAnsi="Times New Roman"/>
          <w:lang w:val="en-GB"/>
        </w:rPr>
        <w:t>them</w:t>
      </w:r>
      <w:r w:rsidR="003C1B7B" w:rsidRPr="00DF3A74">
        <w:rPr>
          <w:rFonts w:ascii="Times New Roman" w:hAnsi="Times New Roman"/>
          <w:lang w:val="en-GB"/>
        </w:rPr>
        <w:t xml:space="preserve">, </w:t>
      </w:r>
      <w:r w:rsidR="00B26D7D">
        <w:rPr>
          <w:rFonts w:ascii="Times New Roman" w:hAnsi="Times New Roman"/>
          <w:lang w:val="en-GB"/>
        </w:rPr>
        <w:t xml:space="preserve">nor how </w:t>
      </w:r>
      <w:r w:rsidR="00565363">
        <w:rPr>
          <w:rFonts w:ascii="Times New Roman" w:hAnsi="Times New Roman"/>
          <w:lang w:val="en-GB"/>
        </w:rPr>
        <w:t xml:space="preserve">that </w:t>
      </w:r>
      <w:r w:rsidR="00B26D7D">
        <w:rPr>
          <w:rFonts w:ascii="Times New Roman" w:hAnsi="Times New Roman"/>
          <w:lang w:val="en-GB"/>
        </w:rPr>
        <w:t xml:space="preserve">might be determined, </w:t>
      </w:r>
      <w:r w:rsidR="003C1B7B" w:rsidRPr="00DF3A74">
        <w:rPr>
          <w:rFonts w:ascii="Times New Roman" w:hAnsi="Times New Roman"/>
          <w:lang w:val="en-GB"/>
        </w:rPr>
        <w:t xml:space="preserve">and no </w:t>
      </w:r>
      <w:r w:rsidR="001F7D96" w:rsidRPr="00DF3A74">
        <w:rPr>
          <w:rFonts w:ascii="Times New Roman" w:hAnsi="Times New Roman"/>
          <w:lang w:val="en-GB"/>
        </w:rPr>
        <w:t xml:space="preserve">time for repayment of amounts advanced. </w:t>
      </w:r>
      <w:r w:rsidR="00BF44A4">
        <w:rPr>
          <w:rFonts w:ascii="Times New Roman" w:hAnsi="Times New Roman"/>
          <w:lang w:val="en-GB"/>
        </w:rPr>
        <w:t>They st</w:t>
      </w:r>
      <w:r w:rsidR="005B48C5">
        <w:rPr>
          <w:rFonts w:ascii="Times New Roman" w:hAnsi="Times New Roman"/>
          <w:lang w:val="en-GB"/>
        </w:rPr>
        <w:t xml:space="preserve">ipulate </w:t>
      </w:r>
      <w:r w:rsidR="00BF44A4">
        <w:rPr>
          <w:rFonts w:ascii="Times New Roman" w:hAnsi="Times New Roman"/>
          <w:i/>
          <w:iCs/>
          <w:lang w:val="en-GB"/>
        </w:rPr>
        <w:t xml:space="preserve">“Once </w:t>
      </w:r>
      <w:r w:rsidR="00167D5E">
        <w:rPr>
          <w:rFonts w:ascii="Times New Roman" w:hAnsi="Times New Roman"/>
          <w:i/>
          <w:iCs/>
          <w:lang w:val="en-GB"/>
        </w:rPr>
        <w:t>[Rota is]</w:t>
      </w:r>
      <w:r w:rsidR="00B26D7D">
        <w:rPr>
          <w:rFonts w:ascii="Times New Roman" w:hAnsi="Times New Roman"/>
          <w:i/>
          <w:iCs/>
          <w:lang w:val="en-GB"/>
        </w:rPr>
        <w:t xml:space="preserve"> satisfied</w:t>
      </w:r>
      <w:r w:rsidR="00167D5E">
        <w:rPr>
          <w:rFonts w:ascii="Times New Roman" w:hAnsi="Times New Roman"/>
          <w:i/>
          <w:iCs/>
          <w:lang w:val="en-GB"/>
        </w:rPr>
        <w:t xml:space="preserve"> with the documentation provided</w:t>
      </w:r>
      <w:r w:rsidR="00171324">
        <w:rPr>
          <w:rFonts w:ascii="Times New Roman" w:hAnsi="Times New Roman"/>
          <w:i/>
          <w:iCs/>
          <w:lang w:val="en-GB"/>
        </w:rPr>
        <w:t>, the agreed amounts will be advanced to the Borrower within 1 – 2 business days”</w:t>
      </w:r>
      <w:r w:rsidR="00171324">
        <w:rPr>
          <w:rFonts w:ascii="Times New Roman" w:hAnsi="Times New Roman"/>
          <w:lang w:val="en-GB"/>
        </w:rPr>
        <w:t>.</w:t>
      </w:r>
    </w:p>
    <w:p w14:paraId="14330DD8" w14:textId="61BE87B4" w:rsidR="00DA4D32"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10.</w:t>
      </w:r>
      <w:r>
        <w:rPr>
          <w:rFonts w:ascii="Times New Roman" w:hAnsi="Times New Roman"/>
          <w:lang w:val="en-GB"/>
        </w:rPr>
        <w:tab/>
      </w:r>
      <w:r w:rsidR="00DA4D32">
        <w:rPr>
          <w:rFonts w:ascii="Times New Roman" w:hAnsi="Times New Roman"/>
          <w:lang w:val="en-GB"/>
        </w:rPr>
        <w:t>T</w:t>
      </w:r>
      <w:r w:rsidR="00CE18B8">
        <w:rPr>
          <w:rFonts w:ascii="Times New Roman" w:hAnsi="Times New Roman"/>
          <w:lang w:val="en-GB"/>
        </w:rPr>
        <w:t xml:space="preserve">hey </w:t>
      </w:r>
      <w:r w:rsidR="004A435C">
        <w:rPr>
          <w:rFonts w:ascii="Times New Roman" w:hAnsi="Times New Roman"/>
          <w:lang w:val="en-GB"/>
        </w:rPr>
        <w:t xml:space="preserve">provide </w:t>
      </w:r>
      <w:r w:rsidR="00CE18B8">
        <w:rPr>
          <w:rFonts w:ascii="Times New Roman" w:hAnsi="Times New Roman"/>
          <w:lang w:val="en-GB"/>
        </w:rPr>
        <w:t xml:space="preserve">that </w:t>
      </w:r>
      <w:r w:rsidR="003339FB">
        <w:rPr>
          <w:rFonts w:ascii="Times New Roman" w:hAnsi="Times New Roman"/>
          <w:i/>
          <w:iCs/>
          <w:lang w:val="en-GB"/>
        </w:rPr>
        <w:t xml:space="preserve">“[Armour] will be </w:t>
      </w:r>
      <w:r w:rsidR="00036FFF">
        <w:rPr>
          <w:rFonts w:ascii="Times New Roman" w:hAnsi="Times New Roman"/>
          <w:i/>
          <w:iCs/>
          <w:lang w:val="en-GB"/>
        </w:rPr>
        <w:t>responsible for following up payments as per the normal course of business and the lenders will only contact the debtors directly in the case of non-payment of agreed to terms</w:t>
      </w:r>
      <w:r w:rsidR="00977F7C">
        <w:rPr>
          <w:rFonts w:ascii="Times New Roman" w:hAnsi="Times New Roman"/>
          <w:i/>
          <w:iCs/>
          <w:lang w:val="en-GB"/>
        </w:rPr>
        <w:t>, or any other concerns around recovery of monies owed”.</w:t>
      </w:r>
      <w:r w:rsidR="00977F7C">
        <w:rPr>
          <w:rFonts w:ascii="Times New Roman" w:hAnsi="Times New Roman"/>
          <w:lang w:val="en-GB"/>
        </w:rPr>
        <w:t xml:space="preserve"> </w:t>
      </w:r>
      <w:r w:rsidR="00DA4D32">
        <w:rPr>
          <w:rFonts w:ascii="Times New Roman" w:hAnsi="Times New Roman"/>
          <w:lang w:val="en-GB"/>
        </w:rPr>
        <w:t xml:space="preserve">They do </w:t>
      </w:r>
      <w:r w:rsidR="00DA4D32" w:rsidRPr="00303EA6">
        <w:rPr>
          <w:rFonts w:ascii="Times New Roman" w:hAnsi="Times New Roman"/>
          <w:u w:val="single"/>
          <w:lang w:val="en-GB"/>
        </w:rPr>
        <w:t>not</w:t>
      </w:r>
      <w:r w:rsidR="00DA4D32">
        <w:rPr>
          <w:rFonts w:ascii="Times New Roman" w:hAnsi="Times New Roman"/>
          <w:lang w:val="en-GB"/>
        </w:rPr>
        <w:t xml:space="preserve"> provide for </w:t>
      </w:r>
      <w:r w:rsidR="0035210B">
        <w:rPr>
          <w:rFonts w:ascii="Times New Roman" w:hAnsi="Times New Roman"/>
          <w:lang w:val="en-GB"/>
        </w:rPr>
        <w:t xml:space="preserve">a </w:t>
      </w:r>
      <w:r w:rsidR="00DA4D32">
        <w:rPr>
          <w:rFonts w:ascii="Times New Roman" w:hAnsi="Times New Roman"/>
          <w:lang w:val="en-GB"/>
        </w:rPr>
        <w:t>ce</w:t>
      </w:r>
      <w:r w:rsidR="0035210B">
        <w:rPr>
          <w:rFonts w:ascii="Times New Roman" w:hAnsi="Times New Roman"/>
          <w:lang w:val="en-GB"/>
        </w:rPr>
        <w:t xml:space="preserve">ssion of </w:t>
      </w:r>
      <w:r w:rsidR="00DA4D32">
        <w:rPr>
          <w:rFonts w:ascii="Times New Roman" w:hAnsi="Times New Roman"/>
          <w:lang w:val="en-GB"/>
        </w:rPr>
        <w:t>debtors to Rota</w:t>
      </w:r>
      <w:r w:rsidR="00656559">
        <w:rPr>
          <w:rFonts w:ascii="Times New Roman" w:hAnsi="Times New Roman"/>
          <w:lang w:val="en-GB"/>
        </w:rPr>
        <w:t>. It is for this</w:t>
      </w:r>
      <w:r w:rsidR="00647A71">
        <w:rPr>
          <w:rFonts w:ascii="Times New Roman" w:hAnsi="Times New Roman"/>
          <w:lang w:val="en-GB"/>
        </w:rPr>
        <w:t xml:space="preserve"> reason that the so-called factoring agreement</w:t>
      </w:r>
      <w:r w:rsidR="00C1503D">
        <w:rPr>
          <w:rFonts w:ascii="Times New Roman" w:hAnsi="Times New Roman"/>
          <w:lang w:val="en-GB"/>
        </w:rPr>
        <w:t>s</w:t>
      </w:r>
      <w:r w:rsidR="00647A71">
        <w:rPr>
          <w:rFonts w:ascii="Times New Roman" w:hAnsi="Times New Roman"/>
          <w:lang w:val="en-GB"/>
        </w:rPr>
        <w:t xml:space="preserve"> a</w:t>
      </w:r>
      <w:r w:rsidR="00104E3D">
        <w:rPr>
          <w:rFonts w:ascii="Times New Roman" w:hAnsi="Times New Roman"/>
          <w:lang w:val="en-GB"/>
        </w:rPr>
        <w:t xml:space="preserve">ppear to be </w:t>
      </w:r>
      <w:r w:rsidR="00647A71">
        <w:rPr>
          <w:rFonts w:ascii="Times New Roman" w:hAnsi="Times New Roman"/>
          <w:lang w:val="en-GB"/>
        </w:rPr>
        <w:t xml:space="preserve">factoring agreements in name only. </w:t>
      </w:r>
      <w:r w:rsidR="006F3294">
        <w:rPr>
          <w:rFonts w:ascii="Times New Roman" w:hAnsi="Times New Roman"/>
          <w:lang w:val="en-GB"/>
        </w:rPr>
        <w:t xml:space="preserve">Rota indeed </w:t>
      </w:r>
      <w:r w:rsidR="004C2654">
        <w:rPr>
          <w:rFonts w:ascii="Times New Roman" w:hAnsi="Times New Roman"/>
          <w:lang w:val="en-GB"/>
        </w:rPr>
        <w:t xml:space="preserve">alleges that the </w:t>
      </w:r>
      <w:r w:rsidR="006F3294">
        <w:rPr>
          <w:rFonts w:ascii="Times New Roman" w:hAnsi="Times New Roman"/>
          <w:lang w:val="en-GB"/>
        </w:rPr>
        <w:t xml:space="preserve">amounts advanced </w:t>
      </w:r>
      <w:r w:rsidR="004C2654">
        <w:rPr>
          <w:rFonts w:ascii="Times New Roman" w:hAnsi="Times New Roman"/>
          <w:lang w:val="en-GB"/>
        </w:rPr>
        <w:t xml:space="preserve">are </w:t>
      </w:r>
      <w:r w:rsidR="006F3294">
        <w:rPr>
          <w:rFonts w:ascii="Times New Roman" w:hAnsi="Times New Roman"/>
          <w:lang w:val="en-GB"/>
        </w:rPr>
        <w:t xml:space="preserve">loans repayable by </w:t>
      </w:r>
      <w:r w:rsidR="004C2654">
        <w:rPr>
          <w:rFonts w:ascii="Times New Roman" w:hAnsi="Times New Roman"/>
          <w:lang w:val="en-GB"/>
        </w:rPr>
        <w:t>Armour.</w:t>
      </w:r>
    </w:p>
    <w:p w14:paraId="1D258189" w14:textId="3EBFDE43" w:rsidR="001656CE"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11.</w:t>
      </w:r>
      <w:r>
        <w:rPr>
          <w:rFonts w:ascii="Times New Roman" w:hAnsi="Times New Roman"/>
          <w:lang w:val="en-GB"/>
        </w:rPr>
        <w:tab/>
      </w:r>
      <w:r w:rsidR="00937297">
        <w:rPr>
          <w:rFonts w:ascii="Times New Roman" w:hAnsi="Times New Roman"/>
          <w:lang w:val="en-GB"/>
        </w:rPr>
        <w:t xml:space="preserve">Both </w:t>
      </w:r>
      <w:r w:rsidR="00104E3D">
        <w:rPr>
          <w:rFonts w:ascii="Times New Roman" w:hAnsi="Times New Roman"/>
          <w:lang w:val="en-GB"/>
        </w:rPr>
        <w:t xml:space="preserve">so-called </w:t>
      </w:r>
      <w:r w:rsidR="00937297">
        <w:rPr>
          <w:rFonts w:ascii="Times New Roman" w:hAnsi="Times New Roman"/>
          <w:lang w:val="en-GB"/>
        </w:rPr>
        <w:t xml:space="preserve">factoring agreements provide that </w:t>
      </w:r>
      <w:r w:rsidR="007D7379">
        <w:rPr>
          <w:rFonts w:ascii="Times New Roman" w:hAnsi="Times New Roman"/>
          <w:i/>
          <w:iCs/>
          <w:lang w:val="en-GB"/>
        </w:rPr>
        <w:t xml:space="preserve">“By this agreement and your signature, the borrower/ director/s </w:t>
      </w:r>
      <w:r w:rsidR="00A50E23">
        <w:rPr>
          <w:rFonts w:ascii="Times New Roman" w:hAnsi="Times New Roman"/>
          <w:i/>
          <w:iCs/>
          <w:lang w:val="en-GB"/>
        </w:rPr>
        <w:t xml:space="preserve">consent </w:t>
      </w:r>
      <w:r w:rsidR="00B72918">
        <w:rPr>
          <w:rFonts w:ascii="Times New Roman" w:hAnsi="Times New Roman"/>
          <w:i/>
          <w:iCs/>
          <w:lang w:val="en-GB"/>
        </w:rPr>
        <w:t xml:space="preserve">to personal surety in lieu of any </w:t>
      </w:r>
      <w:r w:rsidR="00B72918">
        <w:rPr>
          <w:rFonts w:ascii="Times New Roman" w:hAnsi="Times New Roman"/>
          <w:i/>
          <w:iCs/>
          <w:lang w:val="en-GB"/>
        </w:rPr>
        <w:lastRenderedPageBreak/>
        <w:t>amounts owed to [Rota] to ensure the return of the advance fees in the case of non-payment by [AJH]”</w:t>
      </w:r>
      <w:r w:rsidR="00AA7DEA">
        <w:rPr>
          <w:rFonts w:ascii="Times New Roman" w:hAnsi="Times New Roman"/>
          <w:lang w:val="en-GB"/>
        </w:rPr>
        <w:t xml:space="preserve">. </w:t>
      </w:r>
      <w:r w:rsidR="007D731D">
        <w:rPr>
          <w:rFonts w:ascii="Times New Roman" w:hAnsi="Times New Roman"/>
          <w:lang w:val="en-GB"/>
        </w:rPr>
        <w:t>B</w:t>
      </w:r>
      <w:r w:rsidR="001F03C3">
        <w:rPr>
          <w:rFonts w:ascii="Times New Roman" w:hAnsi="Times New Roman"/>
          <w:lang w:val="en-GB"/>
        </w:rPr>
        <w:t>oth agreements a</w:t>
      </w:r>
      <w:r w:rsidR="00725A84">
        <w:rPr>
          <w:rFonts w:ascii="Times New Roman" w:hAnsi="Times New Roman"/>
          <w:lang w:val="en-GB"/>
        </w:rPr>
        <w:t>ppear to be</w:t>
      </w:r>
      <w:r w:rsidR="001F03C3">
        <w:rPr>
          <w:rFonts w:ascii="Times New Roman" w:hAnsi="Times New Roman"/>
          <w:lang w:val="en-GB"/>
        </w:rPr>
        <w:t xml:space="preserve"> signed only once, and only by </w:t>
      </w:r>
      <w:r w:rsidR="00104AE3">
        <w:rPr>
          <w:rFonts w:ascii="Times New Roman" w:hAnsi="Times New Roman"/>
          <w:lang w:val="en-GB"/>
        </w:rPr>
        <w:t xml:space="preserve">Mr </w:t>
      </w:r>
      <w:r w:rsidR="001F03C3">
        <w:rPr>
          <w:rFonts w:ascii="Times New Roman" w:hAnsi="Times New Roman"/>
          <w:lang w:val="en-GB"/>
        </w:rPr>
        <w:t xml:space="preserve">Keating, above a </w:t>
      </w:r>
      <w:r w:rsidR="008325C0">
        <w:rPr>
          <w:rFonts w:ascii="Times New Roman" w:hAnsi="Times New Roman"/>
          <w:lang w:val="en-GB"/>
        </w:rPr>
        <w:t xml:space="preserve">dotted line under which is </w:t>
      </w:r>
      <w:r w:rsidR="00A240CE">
        <w:rPr>
          <w:rFonts w:ascii="Times New Roman" w:hAnsi="Times New Roman"/>
          <w:lang w:val="en-GB"/>
        </w:rPr>
        <w:t xml:space="preserve">printed </w:t>
      </w:r>
      <w:r w:rsidR="008325C0">
        <w:rPr>
          <w:rFonts w:ascii="Times New Roman" w:hAnsi="Times New Roman"/>
          <w:i/>
          <w:iCs/>
          <w:lang w:val="en-GB"/>
        </w:rPr>
        <w:t>“Armour Group Africa”</w:t>
      </w:r>
      <w:r w:rsidR="008325C0">
        <w:rPr>
          <w:rFonts w:ascii="Times New Roman" w:hAnsi="Times New Roman"/>
          <w:lang w:val="en-GB"/>
        </w:rPr>
        <w:t xml:space="preserve">. </w:t>
      </w:r>
    </w:p>
    <w:p w14:paraId="35F7CA37" w14:textId="0C83FE4F" w:rsidR="00772998"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12.</w:t>
      </w:r>
      <w:r>
        <w:rPr>
          <w:rFonts w:ascii="Times New Roman" w:hAnsi="Times New Roman"/>
          <w:lang w:val="en-GB"/>
        </w:rPr>
        <w:tab/>
      </w:r>
      <w:r w:rsidR="00772998">
        <w:rPr>
          <w:rFonts w:ascii="Times New Roman" w:hAnsi="Times New Roman"/>
          <w:lang w:val="en-GB"/>
        </w:rPr>
        <w:t xml:space="preserve">The first </w:t>
      </w:r>
      <w:r w:rsidR="002B6DEC">
        <w:rPr>
          <w:rFonts w:ascii="Times New Roman" w:hAnsi="Times New Roman"/>
          <w:lang w:val="en-GB"/>
        </w:rPr>
        <w:t xml:space="preserve">so-called </w:t>
      </w:r>
      <w:r w:rsidR="00772998">
        <w:rPr>
          <w:rFonts w:ascii="Times New Roman" w:hAnsi="Times New Roman"/>
          <w:lang w:val="en-GB"/>
        </w:rPr>
        <w:t xml:space="preserve">factoring agreement provides that </w:t>
      </w:r>
      <w:r w:rsidR="00C17BFD">
        <w:rPr>
          <w:rFonts w:ascii="Times New Roman" w:hAnsi="Times New Roman"/>
          <w:i/>
          <w:iCs/>
          <w:lang w:val="en-GB"/>
        </w:rPr>
        <w:t xml:space="preserve">“A bond free property will be utilized as </w:t>
      </w:r>
      <w:r w:rsidR="00C17BFD" w:rsidRPr="00F14613">
        <w:rPr>
          <w:rFonts w:ascii="Times New Roman" w:hAnsi="Times New Roman"/>
          <w:i/>
          <w:iCs/>
          <w:lang w:val="en-GB"/>
        </w:rPr>
        <w:t>additional</w:t>
      </w:r>
      <w:r w:rsidR="00C17BFD">
        <w:rPr>
          <w:rFonts w:ascii="Times New Roman" w:hAnsi="Times New Roman"/>
          <w:i/>
          <w:iCs/>
          <w:lang w:val="en-GB"/>
        </w:rPr>
        <w:t xml:space="preserve"> security for these transactions”</w:t>
      </w:r>
      <w:r w:rsidR="00C17BFD">
        <w:rPr>
          <w:rFonts w:ascii="Times New Roman" w:hAnsi="Times New Roman"/>
          <w:lang w:val="en-GB"/>
        </w:rPr>
        <w:t xml:space="preserve">, the second that </w:t>
      </w:r>
      <w:r w:rsidR="00C17BFD">
        <w:rPr>
          <w:rFonts w:ascii="Times New Roman" w:hAnsi="Times New Roman"/>
          <w:i/>
          <w:iCs/>
          <w:lang w:val="en-GB"/>
        </w:rPr>
        <w:t>“</w:t>
      </w:r>
      <w:r w:rsidR="00625642">
        <w:rPr>
          <w:rFonts w:ascii="Times New Roman" w:hAnsi="Times New Roman"/>
          <w:i/>
          <w:iCs/>
          <w:lang w:val="en-GB"/>
        </w:rPr>
        <w:t xml:space="preserve">A bond free property </w:t>
      </w:r>
      <w:r w:rsidR="00E817D4">
        <w:rPr>
          <w:rFonts w:ascii="Times New Roman" w:hAnsi="Times New Roman"/>
          <w:i/>
          <w:iCs/>
          <w:lang w:val="en-GB"/>
        </w:rPr>
        <w:t>[the Albertville Property]</w:t>
      </w:r>
      <w:r w:rsidR="00C94219">
        <w:rPr>
          <w:rFonts w:ascii="Times New Roman" w:hAnsi="Times New Roman"/>
          <w:i/>
          <w:iCs/>
          <w:lang w:val="en-GB"/>
        </w:rPr>
        <w:t xml:space="preserve"> will be utilized </w:t>
      </w:r>
      <w:r w:rsidR="007E61D5">
        <w:rPr>
          <w:rFonts w:ascii="Times New Roman" w:hAnsi="Times New Roman"/>
          <w:i/>
          <w:iCs/>
          <w:lang w:val="en-GB"/>
        </w:rPr>
        <w:t xml:space="preserve">as </w:t>
      </w:r>
      <w:r w:rsidR="007E61D5" w:rsidRPr="00F14613">
        <w:rPr>
          <w:rFonts w:ascii="Times New Roman" w:hAnsi="Times New Roman"/>
          <w:i/>
          <w:iCs/>
          <w:lang w:val="en-GB"/>
        </w:rPr>
        <w:t>additional</w:t>
      </w:r>
      <w:r w:rsidR="007E61D5">
        <w:rPr>
          <w:rFonts w:ascii="Times New Roman" w:hAnsi="Times New Roman"/>
          <w:i/>
          <w:iCs/>
          <w:lang w:val="en-GB"/>
        </w:rPr>
        <w:t xml:space="preserve"> security for these transactions” </w:t>
      </w:r>
      <w:r w:rsidR="007E61D5">
        <w:rPr>
          <w:rFonts w:ascii="Times New Roman" w:hAnsi="Times New Roman"/>
          <w:lang w:val="en-GB"/>
        </w:rPr>
        <w:t>(underlining added).</w:t>
      </w:r>
      <w:r w:rsidR="00C17BFD">
        <w:rPr>
          <w:rFonts w:ascii="Times New Roman" w:hAnsi="Times New Roman"/>
          <w:i/>
          <w:iCs/>
          <w:lang w:val="en-GB"/>
        </w:rPr>
        <w:t xml:space="preserve"> </w:t>
      </w:r>
    </w:p>
    <w:p w14:paraId="047833F8" w14:textId="5EC02623" w:rsidR="00504472"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13.</w:t>
      </w:r>
      <w:r>
        <w:rPr>
          <w:rFonts w:ascii="Times New Roman" w:hAnsi="Times New Roman"/>
          <w:lang w:val="en-GB"/>
        </w:rPr>
        <w:tab/>
      </w:r>
      <w:r w:rsidR="002B7500" w:rsidRPr="00A23BC0">
        <w:rPr>
          <w:rFonts w:ascii="Times New Roman" w:hAnsi="Times New Roman"/>
          <w:lang w:val="en-GB"/>
        </w:rPr>
        <w:t xml:space="preserve">Though dated 7 December 2021 by Rota, the letter and a </w:t>
      </w:r>
      <w:r w:rsidR="002B7500" w:rsidRPr="00A23BC0">
        <w:rPr>
          <w:rFonts w:ascii="Times New Roman" w:hAnsi="Times New Roman"/>
          <w:i/>
          <w:iCs/>
          <w:lang w:val="en-GB"/>
        </w:rPr>
        <w:t xml:space="preserve">“Quotation on Bridging finance advance of R806 000” </w:t>
      </w:r>
      <w:r w:rsidR="002B7500" w:rsidRPr="00A23BC0">
        <w:rPr>
          <w:rFonts w:ascii="Times New Roman" w:hAnsi="Times New Roman"/>
          <w:lang w:val="en-GB"/>
        </w:rPr>
        <w:t xml:space="preserve">which is annexure A to the letter </w:t>
      </w:r>
      <w:r w:rsidR="0041698B">
        <w:rPr>
          <w:rFonts w:ascii="Times New Roman" w:hAnsi="Times New Roman"/>
          <w:lang w:val="en-GB"/>
        </w:rPr>
        <w:t xml:space="preserve">appear to have been </w:t>
      </w:r>
      <w:r w:rsidR="00093B8B" w:rsidRPr="00A23BC0">
        <w:rPr>
          <w:rFonts w:ascii="Times New Roman" w:hAnsi="Times New Roman"/>
          <w:lang w:val="en-GB"/>
        </w:rPr>
        <w:t>counter-</w:t>
      </w:r>
      <w:r w:rsidR="002B7500" w:rsidRPr="00A23BC0">
        <w:rPr>
          <w:rFonts w:ascii="Times New Roman" w:hAnsi="Times New Roman"/>
          <w:lang w:val="en-GB"/>
        </w:rPr>
        <w:t xml:space="preserve">signed by Mr Keating </w:t>
      </w:r>
      <w:r w:rsidR="00093B8B" w:rsidRPr="00A23BC0">
        <w:rPr>
          <w:rFonts w:ascii="Times New Roman" w:hAnsi="Times New Roman"/>
          <w:lang w:val="en-GB"/>
        </w:rPr>
        <w:t xml:space="preserve">and Mr Staffen </w:t>
      </w:r>
      <w:r w:rsidR="002B7500" w:rsidRPr="00A23BC0">
        <w:rPr>
          <w:rFonts w:ascii="Times New Roman" w:hAnsi="Times New Roman"/>
          <w:lang w:val="en-GB"/>
        </w:rPr>
        <w:t xml:space="preserve">on 9 December 2021. The letter confirms that AJH has applied for an advance of R806 000 </w:t>
      </w:r>
      <w:r w:rsidR="002B7500" w:rsidRPr="00A23BC0">
        <w:rPr>
          <w:rFonts w:ascii="Times New Roman" w:hAnsi="Times New Roman"/>
          <w:i/>
          <w:iCs/>
          <w:lang w:val="en-GB"/>
        </w:rPr>
        <w:t>“against the agreed factoring agreement as per the Main-Agreement and Factoring Agreement”</w:t>
      </w:r>
      <w:r w:rsidR="002B7500" w:rsidRPr="00A23BC0">
        <w:rPr>
          <w:rFonts w:ascii="Times New Roman" w:hAnsi="Times New Roman"/>
          <w:lang w:val="en-GB"/>
        </w:rPr>
        <w:t xml:space="preserve">. The letter also sets out the terms of what it refers to as a </w:t>
      </w:r>
      <w:r w:rsidR="002D5984" w:rsidRPr="002D5984">
        <w:rPr>
          <w:rFonts w:ascii="Times New Roman" w:hAnsi="Times New Roman"/>
          <w:i/>
          <w:iCs/>
          <w:lang w:val="en-GB"/>
        </w:rPr>
        <w:t>“</w:t>
      </w:r>
      <w:r w:rsidR="002B7500" w:rsidRPr="002D5984">
        <w:rPr>
          <w:rFonts w:ascii="Times New Roman" w:hAnsi="Times New Roman"/>
          <w:i/>
          <w:iCs/>
          <w:lang w:val="en-GB"/>
        </w:rPr>
        <w:t>Pre-agreement</w:t>
      </w:r>
      <w:r w:rsidR="002D5984" w:rsidRPr="002D5984">
        <w:rPr>
          <w:rFonts w:ascii="Times New Roman" w:hAnsi="Times New Roman"/>
          <w:i/>
          <w:iCs/>
          <w:lang w:val="en-GB"/>
        </w:rPr>
        <w:t>”</w:t>
      </w:r>
      <w:r w:rsidR="002B7500" w:rsidRPr="00A23BC0">
        <w:rPr>
          <w:rFonts w:ascii="Times New Roman" w:hAnsi="Times New Roman"/>
          <w:lang w:val="en-GB"/>
        </w:rPr>
        <w:t xml:space="preserve">, and incorporates the quotation. Those terms are that Rota would advance the R806 000 for three months at a </w:t>
      </w:r>
      <w:r w:rsidR="003012C5" w:rsidRPr="004156D4">
        <w:rPr>
          <w:rFonts w:ascii="Times New Roman" w:hAnsi="Times New Roman"/>
          <w:i/>
          <w:iCs/>
          <w:lang w:val="en-GB"/>
        </w:rPr>
        <w:t>“</w:t>
      </w:r>
      <w:r w:rsidR="002B7500" w:rsidRPr="004156D4">
        <w:rPr>
          <w:rFonts w:ascii="Times New Roman" w:hAnsi="Times New Roman"/>
          <w:i/>
          <w:iCs/>
          <w:lang w:val="en-GB"/>
        </w:rPr>
        <w:t xml:space="preserve">fee </w:t>
      </w:r>
      <w:r w:rsidR="003012C5" w:rsidRPr="004156D4">
        <w:rPr>
          <w:rFonts w:ascii="Times New Roman" w:hAnsi="Times New Roman"/>
          <w:i/>
          <w:iCs/>
          <w:lang w:val="en-GB"/>
        </w:rPr>
        <w:t xml:space="preserve">for the 3 months </w:t>
      </w:r>
      <w:r w:rsidR="004156D4" w:rsidRPr="004156D4">
        <w:rPr>
          <w:rFonts w:ascii="Times New Roman" w:hAnsi="Times New Roman"/>
          <w:i/>
          <w:iCs/>
          <w:lang w:val="en-GB"/>
        </w:rPr>
        <w:t xml:space="preserve">period @ </w:t>
      </w:r>
      <w:r w:rsidR="002B7500" w:rsidRPr="004156D4">
        <w:rPr>
          <w:rFonts w:ascii="Times New Roman" w:hAnsi="Times New Roman"/>
          <w:i/>
          <w:iCs/>
          <w:lang w:val="en-GB"/>
        </w:rPr>
        <w:t>R1.33 per R1000</w:t>
      </w:r>
      <w:r w:rsidR="004156D4" w:rsidRPr="004156D4">
        <w:rPr>
          <w:rFonts w:ascii="Times New Roman" w:hAnsi="Times New Roman"/>
          <w:i/>
          <w:iCs/>
          <w:lang w:val="en-GB"/>
        </w:rPr>
        <w:t xml:space="preserve">/ day </w:t>
      </w:r>
      <w:r w:rsidR="00C21033">
        <w:rPr>
          <w:rFonts w:ascii="Times New Roman" w:hAnsi="Times New Roman"/>
          <w:i/>
          <w:iCs/>
          <w:lang w:val="en-GB"/>
        </w:rPr>
        <w:t>[Total:]</w:t>
      </w:r>
      <w:r w:rsidR="004156D4" w:rsidRPr="004156D4">
        <w:rPr>
          <w:rFonts w:ascii="Times New Roman" w:hAnsi="Times New Roman"/>
          <w:i/>
          <w:iCs/>
          <w:lang w:val="en-GB"/>
        </w:rPr>
        <w:t xml:space="preserve"> R102 392”</w:t>
      </w:r>
      <w:r w:rsidR="004156D4">
        <w:rPr>
          <w:rFonts w:ascii="Times New Roman" w:hAnsi="Times New Roman"/>
          <w:lang w:val="en-GB"/>
        </w:rPr>
        <w:t xml:space="preserve"> and </w:t>
      </w:r>
      <w:r w:rsidR="00EE0652">
        <w:rPr>
          <w:rFonts w:ascii="Times New Roman" w:hAnsi="Times New Roman"/>
          <w:lang w:val="en-GB"/>
        </w:rPr>
        <w:t>a document fee of R2 000.</w:t>
      </w:r>
      <w:r w:rsidR="004156D4">
        <w:rPr>
          <w:rFonts w:ascii="Times New Roman" w:hAnsi="Times New Roman"/>
          <w:lang w:val="en-GB"/>
        </w:rPr>
        <w:t xml:space="preserve"> </w:t>
      </w:r>
      <w:r w:rsidR="0089327B" w:rsidRPr="003A373D">
        <w:rPr>
          <w:rFonts w:ascii="Times New Roman" w:hAnsi="Times New Roman"/>
          <w:lang w:val="en-GB"/>
        </w:rPr>
        <w:t>O</w:t>
      </w:r>
      <w:r w:rsidR="00730DC3" w:rsidRPr="003A373D">
        <w:rPr>
          <w:rFonts w:ascii="Times New Roman" w:hAnsi="Times New Roman"/>
          <w:lang w:val="en-GB"/>
        </w:rPr>
        <w:t xml:space="preserve">n </w:t>
      </w:r>
      <w:r w:rsidR="00142263" w:rsidRPr="003A373D">
        <w:rPr>
          <w:rFonts w:ascii="Times New Roman" w:hAnsi="Times New Roman"/>
          <w:lang w:val="en-GB"/>
        </w:rPr>
        <w:t>the</w:t>
      </w:r>
      <w:r w:rsidR="00730DC3" w:rsidRPr="003A373D">
        <w:rPr>
          <w:rFonts w:ascii="Times New Roman" w:hAnsi="Times New Roman"/>
          <w:lang w:val="en-GB"/>
        </w:rPr>
        <w:t xml:space="preserve"> advance of R</w:t>
      </w:r>
      <w:r w:rsidR="00F7775C" w:rsidRPr="003A373D">
        <w:rPr>
          <w:rFonts w:ascii="Times New Roman" w:hAnsi="Times New Roman"/>
          <w:lang w:val="en-GB"/>
        </w:rPr>
        <w:t>806 000 that</w:t>
      </w:r>
      <w:r w:rsidR="005449F5" w:rsidRPr="003A373D">
        <w:rPr>
          <w:rFonts w:ascii="Times New Roman" w:hAnsi="Times New Roman"/>
          <w:lang w:val="en-GB"/>
        </w:rPr>
        <w:t xml:space="preserve"> w</w:t>
      </w:r>
      <w:r w:rsidR="000715B5" w:rsidRPr="003A373D">
        <w:rPr>
          <w:rFonts w:ascii="Times New Roman" w:hAnsi="Times New Roman"/>
          <w:lang w:val="en-GB"/>
        </w:rPr>
        <w:t xml:space="preserve">as at an annual rate of </w:t>
      </w:r>
      <w:r w:rsidR="003A373D" w:rsidRPr="003A373D">
        <w:rPr>
          <w:rFonts w:ascii="Times New Roman" w:hAnsi="Times New Roman"/>
          <w:lang w:val="en-GB"/>
        </w:rPr>
        <w:t xml:space="preserve">the order of </w:t>
      </w:r>
      <w:r w:rsidR="00BF575E" w:rsidRPr="003A373D">
        <w:rPr>
          <w:rFonts w:ascii="Times New Roman" w:hAnsi="Times New Roman"/>
          <w:lang w:val="en-GB"/>
        </w:rPr>
        <w:t>62%</w:t>
      </w:r>
      <w:r w:rsidR="002D5984" w:rsidRPr="003A373D">
        <w:rPr>
          <w:rFonts w:ascii="Times New Roman" w:hAnsi="Times New Roman"/>
          <w:lang w:val="en-GB"/>
        </w:rPr>
        <w:t>.</w:t>
      </w:r>
      <w:r w:rsidR="002D5984">
        <w:rPr>
          <w:rFonts w:ascii="Times New Roman" w:hAnsi="Times New Roman"/>
          <w:lang w:val="en-GB"/>
        </w:rPr>
        <w:t xml:space="preserve"> </w:t>
      </w:r>
      <w:r w:rsidR="002D5984" w:rsidRPr="0089327B">
        <w:rPr>
          <w:rFonts w:ascii="Times New Roman" w:hAnsi="Times New Roman"/>
          <w:lang w:val="en-GB"/>
        </w:rPr>
        <w:t xml:space="preserve">Though the letter refers to </w:t>
      </w:r>
      <w:r w:rsidR="00356D76" w:rsidRPr="0089327B">
        <w:rPr>
          <w:rFonts w:ascii="Times New Roman" w:hAnsi="Times New Roman"/>
          <w:lang w:val="en-GB"/>
        </w:rPr>
        <w:t xml:space="preserve">a </w:t>
      </w:r>
      <w:r w:rsidR="00356D76" w:rsidRPr="0089327B">
        <w:rPr>
          <w:rFonts w:ascii="Times New Roman" w:hAnsi="Times New Roman"/>
          <w:i/>
          <w:iCs/>
          <w:lang w:val="en-GB"/>
        </w:rPr>
        <w:t>“Main-Agreement”</w:t>
      </w:r>
      <w:r w:rsidR="00356D76" w:rsidRPr="0089327B">
        <w:rPr>
          <w:rFonts w:ascii="Times New Roman" w:hAnsi="Times New Roman"/>
          <w:lang w:val="en-GB"/>
        </w:rPr>
        <w:t>, Rota did not adduce one.</w:t>
      </w:r>
    </w:p>
    <w:p w14:paraId="20333880" w14:textId="719A00BC" w:rsidR="0019142B" w:rsidRPr="0019142B" w:rsidRDefault="0019142B" w:rsidP="0019142B">
      <w:pPr>
        <w:keepNext/>
        <w:spacing w:before="240" w:after="240" w:line="480" w:lineRule="auto"/>
        <w:ind w:left="720"/>
        <w:jc w:val="both"/>
        <w:rPr>
          <w:rFonts w:ascii="Times New Roman" w:hAnsi="Times New Roman"/>
          <w:u w:val="single"/>
          <w:lang w:val="en-GB"/>
        </w:rPr>
      </w:pPr>
      <w:r>
        <w:rPr>
          <w:rFonts w:ascii="Times New Roman" w:hAnsi="Times New Roman"/>
          <w:u w:val="single"/>
          <w:lang w:val="en-GB"/>
        </w:rPr>
        <w:t xml:space="preserve">Events </w:t>
      </w:r>
      <w:r w:rsidR="005305DB">
        <w:rPr>
          <w:rFonts w:ascii="Times New Roman" w:hAnsi="Times New Roman"/>
          <w:u w:val="single"/>
          <w:lang w:val="en-GB"/>
        </w:rPr>
        <w:t>leading to the application</w:t>
      </w:r>
    </w:p>
    <w:p w14:paraId="7E982846" w14:textId="4A0C8E69" w:rsidR="00F9543A" w:rsidRPr="0019142B" w:rsidRDefault="006D5E15" w:rsidP="006D5E15">
      <w:pPr>
        <w:spacing w:before="240" w:after="240" w:line="480" w:lineRule="auto"/>
        <w:ind w:left="720" w:hanging="720"/>
        <w:jc w:val="both"/>
        <w:rPr>
          <w:rFonts w:ascii="Times New Roman" w:hAnsi="Times New Roman"/>
          <w:lang w:val="en-GB"/>
        </w:rPr>
      </w:pPr>
      <w:r w:rsidRPr="0019142B">
        <w:rPr>
          <w:rFonts w:ascii="Times New Roman" w:hAnsi="Times New Roman"/>
          <w:lang w:val="en-GB"/>
        </w:rPr>
        <w:t>14.</w:t>
      </w:r>
      <w:r w:rsidRPr="0019142B">
        <w:rPr>
          <w:rFonts w:ascii="Times New Roman" w:hAnsi="Times New Roman"/>
          <w:lang w:val="en-GB"/>
        </w:rPr>
        <w:tab/>
      </w:r>
      <w:r w:rsidR="000A61CE" w:rsidRPr="0019142B">
        <w:rPr>
          <w:rFonts w:ascii="Times New Roman" w:hAnsi="Times New Roman"/>
          <w:lang w:val="en-GB"/>
        </w:rPr>
        <w:t xml:space="preserve">In January 2022 Rota registered a bond </w:t>
      </w:r>
      <w:r w:rsidR="00287BE6">
        <w:rPr>
          <w:rFonts w:ascii="Times New Roman" w:hAnsi="Times New Roman"/>
          <w:lang w:val="en-GB"/>
        </w:rPr>
        <w:t xml:space="preserve">over </w:t>
      </w:r>
      <w:r w:rsidR="005A449F" w:rsidRPr="0019142B">
        <w:rPr>
          <w:rFonts w:ascii="Times New Roman" w:hAnsi="Times New Roman"/>
          <w:lang w:val="en-GB"/>
        </w:rPr>
        <w:t xml:space="preserve">the </w:t>
      </w:r>
      <w:r w:rsidR="000A61CE" w:rsidRPr="0019142B">
        <w:rPr>
          <w:rFonts w:ascii="Times New Roman" w:hAnsi="Times New Roman"/>
          <w:lang w:val="en-GB"/>
        </w:rPr>
        <w:t>Albertville</w:t>
      </w:r>
      <w:r w:rsidR="005A449F" w:rsidRPr="0019142B">
        <w:rPr>
          <w:rFonts w:ascii="Times New Roman" w:hAnsi="Times New Roman"/>
          <w:lang w:val="en-GB"/>
        </w:rPr>
        <w:t xml:space="preserve"> property</w:t>
      </w:r>
      <w:r w:rsidR="000A61CE" w:rsidRPr="0019142B">
        <w:rPr>
          <w:rFonts w:ascii="Times New Roman" w:hAnsi="Times New Roman"/>
          <w:lang w:val="en-GB"/>
        </w:rPr>
        <w:t xml:space="preserve">. </w:t>
      </w:r>
      <w:r w:rsidR="00F9543A" w:rsidRPr="0019142B">
        <w:rPr>
          <w:rFonts w:ascii="Times New Roman" w:hAnsi="Times New Roman"/>
          <w:lang w:val="en-GB"/>
        </w:rPr>
        <w:t xml:space="preserve">In March 2022 </w:t>
      </w:r>
      <w:r w:rsidR="009F21C8" w:rsidRPr="0019142B">
        <w:rPr>
          <w:rFonts w:ascii="Times New Roman" w:hAnsi="Times New Roman"/>
          <w:lang w:val="en-GB"/>
        </w:rPr>
        <w:t xml:space="preserve">Armour </w:t>
      </w:r>
      <w:r w:rsidR="00472FA8" w:rsidRPr="0019142B">
        <w:rPr>
          <w:rFonts w:ascii="Times New Roman" w:hAnsi="Times New Roman"/>
          <w:lang w:val="en-GB"/>
        </w:rPr>
        <w:t>sought to repay Rota R</w:t>
      </w:r>
      <w:r w:rsidR="007E500E" w:rsidRPr="0019142B">
        <w:rPr>
          <w:rFonts w:ascii="Times New Roman" w:hAnsi="Times New Roman"/>
          <w:lang w:val="en-GB"/>
        </w:rPr>
        <w:t xml:space="preserve">1 090 000. </w:t>
      </w:r>
      <w:r w:rsidR="0065643D" w:rsidRPr="0019142B">
        <w:rPr>
          <w:rFonts w:ascii="Times New Roman" w:hAnsi="Times New Roman"/>
          <w:lang w:val="en-GB"/>
        </w:rPr>
        <w:t xml:space="preserve">Mr </w:t>
      </w:r>
      <w:r w:rsidR="007E500E" w:rsidRPr="0019142B">
        <w:rPr>
          <w:rFonts w:ascii="Times New Roman" w:hAnsi="Times New Roman"/>
          <w:lang w:val="en-GB"/>
        </w:rPr>
        <w:t xml:space="preserve">Keating arranged for Armour </w:t>
      </w:r>
      <w:r w:rsidR="007E500E" w:rsidRPr="0019142B">
        <w:rPr>
          <w:rFonts w:ascii="Times New Roman" w:hAnsi="Times New Roman"/>
          <w:lang w:val="en-GB"/>
        </w:rPr>
        <w:lastRenderedPageBreak/>
        <w:t xml:space="preserve">to repay into </w:t>
      </w:r>
      <w:r w:rsidR="007D7FB0" w:rsidRPr="0019142B">
        <w:rPr>
          <w:rFonts w:ascii="Times New Roman" w:hAnsi="Times New Roman"/>
          <w:lang w:val="en-GB"/>
        </w:rPr>
        <w:t xml:space="preserve">Mr </w:t>
      </w:r>
      <w:r w:rsidR="007E500E" w:rsidRPr="0019142B">
        <w:rPr>
          <w:rFonts w:ascii="Times New Roman" w:hAnsi="Times New Roman"/>
          <w:lang w:val="en-GB"/>
        </w:rPr>
        <w:t xml:space="preserve">Youngman’s trust account. </w:t>
      </w:r>
      <w:r w:rsidR="007D7FB0" w:rsidRPr="0019142B">
        <w:rPr>
          <w:rFonts w:ascii="Times New Roman" w:hAnsi="Times New Roman"/>
          <w:lang w:val="en-GB"/>
        </w:rPr>
        <w:t xml:space="preserve">Mr </w:t>
      </w:r>
      <w:r w:rsidR="007E500E" w:rsidRPr="0019142B">
        <w:rPr>
          <w:rFonts w:ascii="Times New Roman" w:hAnsi="Times New Roman"/>
          <w:lang w:val="en-GB"/>
        </w:rPr>
        <w:t xml:space="preserve">Youngman paid only </w:t>
      </w:r>
      <w:r w:rsidR="009F21C8" w:rsidRPr="0019142B">
        <w:rPr>
          <w:rFonts w:ascii="Times New Roman" w:hAnsi="Times New Roman"/>
          <w:lang w:val="en-GB"/>
        </w:rPr>
        <w:t>R197 355 to Rota</w:t>
      </w:r>
      <w:r w:rsidR="000C41E9" w:rsidRPr="0019142B">
        <w:rPr>
          <w:rFonts w:ascii="Times New Roman" w:hAnsi="Times New Roman"/>
          <w:lang w:val="en-GB"/>
        </w:rPr>
        <w:t xml:space="preserve">. At that stage </w:t>
      </w:r>
      <w:r w:rsidR="0004545D" w:rsidRPr="0019142B">
        <w:rPr>
          <w:rFonts w:ascii="Times New Roman" w:hAnsi="Times New Roman"/>
          <w:lang w:val="en-GB"/>
        </w:rPr>
        <w:t>total advances and interest</w:t>
      </w:r>
      <w:r w:rsidR="000C41E9" w:rsidRPr="0019142B">
        <w:rPr>
          <w:rFonts w:ascii="Times New Roman" w:hAnsi="Times New Roman"/>
          <w:lang w:val="en-GB"/>
        </w:rPr>
        <w:t xml:space="preserve"> were </w:t>
      </w:r>
      <w:r w:rsidR="0004545D" w:rsidRPr="0019142B">
        <w:rPr>
          <w:rFonts w:ascii="Times New Roman" w:hAnsi="Times New Roman"/>
          <w:lang w:val="en-GB"/>
        </w:rPr>
        <w:t xml:space="preserve">R2 706 000. </w:t>
      </w:r>
    </w:p>
    <w:p w14:paraId="2D9EA43E" w14:textId="060006AB" w:rsidR="00FC1F29"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15.</w:t>
      </w:r>
      <w:r>
        <w:rPr>
          <w:rFonts w:ascii="Times New Roman" w:hAnsi="Times New Roman"/>
          <w:lang w:val="en-GB"/>
        </w:rPr>
        <w:tab/>
      </w:r>
      <w:r w:rsidR="00071AEE">
        <w:rPr>
          <w:rFonts w:ascii="Times New Roman" w:hAnsi="Times New Roman"/>
          <w:lang w:val="en-GB"/>
        </w:rPr>
        <w:t xml:space="preserve">In April 2022 </w:t>
      </w:r>
      <w:r w:rsidR="009537A4">
        <w:rPr>
          <w:rFonts w:ascii="Times New Roman" w:hAnsi="Times New Roman"/>
          <w:lang w:val="en-GB"/>
        </w:rPr>
        <w:t>it transpired that the Albertville property had previously been own</w:t>
      </w:r>
      <w:r w:rsidR="0019142B">
        <w:rPr>
          <w:rFonts w:ascii="Times New Roman" w:hAnsi="Times New Roman"/>
          <w:lang w:val="en-GB"/>
        </w:rPr>
        <w:t>e</w:t>
      </w:r>
      <w:r w:rsidR="009537A4">
        <w:rPr>
          <w:rFonts w:ascii="Times New Roman" w:hAnsi="Times New Roman"/>
          <w:lang w:val="en-GB"/>
        </w:rPr>
        <w:t>d by the City of Johannesburg (“</w:t>
      </w:r>
      <w:r w:rsidR="009537A4">
        <w:rPr>
          <w:rFonts w:ascii="Times New Roman" w:hAnsi="Times New Roman"/>
          <w:b/>
          <w:bCs/>
          <w:lang w:val="en-GB"/>
        </w:rPr>
        <w:t>the City</w:t>
      </w:r>
      <w:r w:rsidR="009537A4">
        <w:rPr>
          <w:rFonts w:ascii="Times New Roman" w:hAnsi="Times New Roman"/>
          <w:lang w:val="en-GB"/>
        </w:rPr>
        <w:t>”)</w:t>
      </w:r>
      <w:r w:rsidR="002F503A">
        <w:rPr>
          <w:rFonts w:ascii="Times New Roman" w:hAnsi="Times New Roman"/>
          <w:lang w:val="en-GB"/>
        </w:rPr>
        <w:t xml:space="preserve">. </w:t>
      </w:r>
      <w:r w:rsidR="0019142B">
        <w:rPr>
          <w:rFonts w:ascii="Times New Roman" w:hAnsi="Times New Roman"/>
          <w:lang w:val="en-GB"/>
        </w:rPr>
        <w:t>T</w:t>
      </w:r>
      <w:r w:rsidR="00071AEE">
        <w:rPr>
          <w:rFonts w:ascii="Times New Roman" w:hAnsi="Times New Roman"/>
          <w:lang w:val="en-GB"/>
        </w:rPr>
        <w:t xml:space="preserve">he City told Rota that </w:t>
      </w:r>
      <w:r w:rsidR="005874E7">
        <w:rPr>
          <w:rFonts w:ascii="Times New Roman" w:hAnsi="Times New Roman"/>
          <w:lang w:val="en-GB"/>
        </w:rPr>
        <w:t xml:space="preserve">the City intended to </w:t>
      </w:r>
      <w:r w:rsidR="0019142B">
        <w:rPr>
          <w:rFonts w:ascii="Times New Roman" w:hAnsi="Times New Roman"/>
          <w:lang w:val="en-GB"/>
        </w:rPr>
        <w:t xml:space="preserve">apply for </w:t>
      </w:r>
      <w:r w:rsidR="00E05078">
        <w:rPr>
          <w:rFonts w:ascii="Times New Roman" w:hAnsi="Times New Roman"/>
          <w:lang w:val="en-GB"/>
        </w:rPr>
        <w:t xml:space="preserve">an order </w:t>
      </w:r>
      <w:r w:rsidR="005874E7">
        <w:rPr>
          <w:rFonts w:ascii="Times New Roman" w:hAnsi="Times New Roman"/>
          <w:lang w:val="en-GB"/>
        </w:rPr>
        <w:t>that the Albertville property</w:t>
      </w:r>
      <w:r w:rsidR="005002A8">
        <w:rPr>
          <w:rFonts w:ascii="Times New Roman" w:hAnsi="Times New Roman"/>
          <w:lang w:val="en-GB"/>
        </w:rPr>
        <w:t xml:space="preserve"> revert </w:t>
      </w:r>
      <w:r w:rsidR="00E05078">
        <w:rPr>
          <w:rFonts w:ascii="Times New Roman" w:hAnsi="Times New Roman"/>
          <w:lang w:val="en-GB"/>
        </w:rPr>
        <w:t>to the City. Mr Botha</w:t>
      </w:r>
      <w:r w:rsidR="005002A8">
        <w:rPr>
          <w:rFonts w:ascii="Times New Roman" w:hAnsi="Times New Roman"/>
          <w:lang w:val="en-GB"/>
        </w:rPr>
        <w:t xml:space="preserve"> alleges </w:t>
      </w:r>
      <w:r w:rsidR="00DD383F">
        <w:rPr>
          <w:rFonts w:ascii="Times New Roman" w:hAnsi="Times New Roman"/>
          <w:lang w:val="en-GB"/>
        </w:rPr>
        <w:t xml:space="preserve">that </w:t>
      </w:r>
      <w:r w:rsidR="005002A8">
        <w:rPr>
          <w:rFonts w:ascii="Times New Roman" w:hAnsi="Times New Roman"/>
          <w:lang w:val="en-GB"/>
        </w:rPr>
        <w:t>he</w:t>
      </w:r>
      <w:r w:rsidR="00E05078">
        <w:rPr>
          <w:rFonts w:ascii="Times New Roman" w:hAnsi="Times New Roman"/>
          <w:lang w:val="en-GB"/>
        </w:rPr>
        <w:t xml:space="preserve"> was shocked. </w:t>
      </w:r>
      <w:r w:rsidR="00337529">
        <w:rPr>
          <w:rFonts w:ascii="Times New Roman" w:hAnsi="Times New Roman"/>
          <w:lang w:val="en-GB"/>
        </w:rPr>
        <w:t xml:space="preserve">Mr Keating and Mr Youngman provided reassurances that the City had no claim to the property, but Mr Botha was not </w:t>
      </w:r>
      <w:r w:rsidR="00A75DE3">
        <w:rPr>
          <w:rFonts w:ascii="Times New Roman" w:hAnsi="Times New Roman"/>
          <w:lang w:val="en-GB"/>
        </w:rPr>
        <w:t xml:space="preserve">convinced of that. </w:t>
      </w:r>
    </w:p>
    <w:p w14:paraId="0A1428B6" w14:textId="0CBE9252" w:rsidR="00912B5C"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16.</w:t>
      </w:r>
      <w:r>
        <w:rPr>
          <w:rFonts w:ascii="Times New Roman" w:hAnsi="Times New Roman"/>
          <w:lang w:val="en-GB"/>
        </w:rPr>
        <w:tab/>
      </w:r>
      <w:r w:rsidR="00A75DE3">
        <w:rPr>
          <w:rFonts w:ascii="Times New Roman" w:hAnsi="Times New Roman"/>
          <w:lang w:val="en-GB"/>
        </w:rPr>
        <w:t xml:space="preserve">In August 2022 the City applied, in the South Gauteng </w:t>
      </w:r>
      <w:r w:rsidR="00432C16">
        <w:rPr>
          <w:rFonts w:ascii="Times New Roman" w:hAnsi="Times New Roman"/>
          <w:lang w:val="en-GB"/>
        </w:rPr>
        <w:t xml:space="preserve">division, for an order </w:t>
      </w:r>
      <w:r w:rsidR="00D0575B">
        <w:rPr>
          <w:rFonts w:ascii="Times New Roman" w:hAnsi="Times New Roman"/>
          <w:lang w:val="en-GB"/>
        </w:rPr>
        <w:t xml:space="preserve">that ownership of the Albertville property revert to it. </w:t>
      </w:r>
      <w:r w:rsidR="005E1B61">
        <w:rPr>
          <w:rFonts w:ascii="Times New Roman" w:hAnsi="Times New Roman"/>
          <w:lang w:val="en-GB"/>
        </w:rPr>
        <w:t>The City cited Rota, as bond holder</w:t>
      </w:r>
      <w:r w:rsidR="00FF7977">
        <w:rPr>
          <w:rFonts w:ascii="Times New Roman" w:hAnsi="Times New Roman"/>
          <w:lang w:val="en-GB"/>
        </w:rPr>
        <w:t xml:space="preserve">. Rota </w:t>
      </w:r>
      <w:r w:rsidR="005E1B61">
        <w:rPr>
          <w:rFonts w:ascii="Times New Roman" w:hAnsi="Times New Roman"/>
          <w:lang w:val="en-GB"/>
        </w:rPr>
        <w:t xml:space="preserve">has </w:t>
      </w:r>
      <w:r w:rsidR="00665479">
        <w:rPr>
          <w:rFonts w:ascii="Times New Roman" w:hAnsi="Times New Roman"/>
          <w:lang w:val="en-GB"/>
        </w:rPr>
        <w:t xml:space="preserve">opposed. </w:t>
      </w:r>
      <w:r w:rsidR="00D0575B">
        <w:rPr>
          <w:rFonts w:ascii="Times New Roman" w:hAnsi="Times New Roman"/>
          <w:lang w:val="en-GB"/>
        </w:rPr>
        <w:t xml:space="preserve">The case does not appear to have been concluded. Rota attached only the notice of motion to its founding affidavit. </w:t>
      </w:r>
      <w:r w:rsidR="00143F37">
        <w:rPr>
          <w:rFonts w:ascii="Times New Roman" w:hAnsi="Times New Roman"/>
          <w:lang w:val="en-GB"/>
        </w:rPr>
        <w:t>I can only infer that Rota has opposed because it believes there are grounds upon which the application can be opposed.</w:t>
      </w:r>
    </w:p>
    <w:p w14:paraId="0FC93F42" w14:textId="4C1CED0B" w:rsidR="00625FAB" w:rsidRPr="00FE2675" w:rsidRDefault="006D5E15" w:rsidP="006D5E15">
      <w:pPr>
        <w:spacing w:before="240" w:after="240" w:line="480" w:lineRule="auto"/>
        <w:ind w:left="720" w:hanging="720"/>
        <w:jc w:val="both"/>
        <w:rPr>
          <w:rFonts w:ascii="Times New Roman" w:hAnsi="Times New Roman"/>
          <w:lang w:val="en-GB"/>
        </w:rPr>
      </w:pPr>
      <w:r w:rsidRPr="00FE2675">
        <w:rPr>
          <w:rFonts w:ascii="Times New Roman" w:hAnsi="Times New Roman"/>
          <w:lang w:val="en-GB"/>
        </w:rPr>
        <w:t>17.</w:t>
      </w:r>
      <w:r w:rsidRPr="00FE2675">
        <w:rPr>
          <w:rFonts w:ascii="Times New Roman" w:hAnsi="Times New Roman"/>
          <w:lang w:val="en-GB"/>
        </w:rPr>
        <w:tab/>
      </w:r>
      <w:r w:rsidR="00B25156" w:rsidRPr="00FE2675">
        <w:rPr>
          <w:rFonts w:ascii="Times New Roman" w:hAnsi="Times New Roman"/>
          <w:lang w:val="en-GB"/>
        </w:rPr>
        <w:t xml:space="preserve">By June 2022 </w:t>
      </w:r>
      <w:r w:rsidR="00BA21D6" w:rsidRPr="0089327B">
        <w:rPr>
          <w:rFonts w:ascii="Times New Roman" w:hAnsi="Times New Roman"/>
          <w:lang w:val="en-GB"/>
        </w:rPr>
        <w:t>A</w:t>
      </w:r>
      <w:r w:rsidR="006F6546" w:rsidRPr="0089327B">
        <w:rPr>
          <w:rFonts w:ascii="Times New Roman" w:hAnsi="Times New Roman"/>
          <w:lang w:val="en-GB"/>
        </w:rPr>
        <w:t>JH</w:t>
      </w:r>
      <w:r w:rsidR="00BA21D6" w:rsidRPr="00FE2675">
        <w:rPr>
          <w:rFonts w:ascii="Times New Roman" w:hAnsi="Times New Roman"/>
          <w:lang w:val="en-GB"/>
        </w:rPr>
        <w:t xml:space="preserve"> had made no further payments. </w:t>
      </w:r>
      <w:r w:rsidR="0075495A" w:rsidRPr="00FE2675">
        <w:rPr>
          <w:rFonts w:ascii="Times New Roman" w:hAnsi="Times New Roman"/>
          <w:lang w:val="en-GB"/>
        </w:rPr>
        <w:t xml:space="preserve">On 9 June 2022 </w:t>
      </w:r>
      <w:r w:rsidR="00BA21D6" w:rsidRPr="00FE2675">
        <w:rPr>
          <w:rFonts w:ascii="Times New Roman" w:hAnsi="Times New Roman"/>
          <w:lang w:val="en-GB"/>
        </w:rPr>
        <w:t xml:space="preserve">Rota sent Armour a </w:t>
      </w:r>
      <w:r w:rsidR="002913B6" w:rsidRPr="00FE2675">
        <w:rPr>
          <w:rFonts w:ascii="Times New Roman" w:hAnsi="Times New Roman"/>
          <w:lang w:val="en-GB"/>
        </w:rPr>
        <w:t xml:space="preserve">demand in terms of section 345 of the </w:t>
      </w:r>
      <w:r w:rsidR="00B517B3" w:rsidRPr="00FE2675">
        <w:rPr>
          <w:rFonts w:ascii="Times New Roman" w:hAnsi="Times New Roman"/>
          <w:lang w:val="en-GB"/>
        </w:rPr>
        <w:t>old Companies Act</w:t>
      </w:r>
      <w:r w:rsidR="004F5B2B" w:rsidRPr="00FE2675">
        <w:rPr>
          <w:rFonts w:ascii="Times New Roman" w:hAnsi="Times New Roman"/>
          <w:lang w:val="en-GB"/>
        </w:rPr>
        <w:t>, for repayment of all amounts advanced</w:t>
      </w:r>
      <w:r w:rsidR="00B517B3" w:rsidRPr="00FE2675">
        <w:rPr>
          <w:rFonts w:ascii="Times New Roman" w:hAnsi="Times New Roman"/>
          <w:lang w:val="en-GB"/>
        </w:rPr>
        <w:t xml:space="preserve">. </w:t>
      </w:r>
      <w:r w:rsidR="0075495A" w:rsidRPr="00FE2675">
        <w:rPr>
          <w:rFonts w:ascii="Times New Roman" w:hAnsi="Times New Roman"/>
          <w:lang w:val="en-GB"/>
        </w:rPr>
        <w:t>On 8 July 2022 t</w:t>
      </w:r>
      <w:r w:rsidR="005A7AAF" w:rsidRPr="00FE2675">
        <w:rPr>
          <w:rFonts w:ascii="Times New Roman" w:hAnsi="Times New Roman"/>
          <w:lang w:val="en-GB"/>
        </w:rPr>
        <w:t>he 21-day period for repayment would have expired</w:t>
      </w:r>
      <w:r w:rsidR="0075495A" w:rsidRPr="00FE2675">
        <w:rPr>
          <w:rFonts w:ascii="Times New Roman" w:hAnsi="Times New Roman"/>
          <w:lang w:val="en-GB"/>
        </w:rPr>
        <w:t xml:space="preserve">. </w:t>
      </w:r>
      <w:r w:rsidR="00FE2675">
        <w:rPr>
          <w:rFonts w:ascii="Times New Roman" w:hAnsi="Times New Roman"/>
          <w:lang w:val="en-GB"/>
        </w:rPr>
        <w:t xml:space="preserve">Also in </w:t>
      </w:r>
      <w:r w:rsidR="00625FAB" w:rsidRPr="00FE2675">
        <w:rPr>
          <w:rFonts w:ascii="Times New Roman" w:hAnsi="Times New Roman"/>
          <w:lang w:val="en-GB"/>
        </w:rPr>
        <w:t>July 2022</w:t>
      </w:r>
      <w:r w:rsidR="00FE2675">
        <w:rPr>
          <w:rFonts w:ascii="Times New Roman" w:hAnsi="Times New Roman"/>
          <w:lang w:val="en-GB"/>
        </w:rPr>
        <w:t>,</w:t>
      </w:r>
      <w:r w:rsidR="00625FAB" w:rsidRPr="00FE2675">
        <w:rPr>
          <w:rFonts w:ascii="Times New Roman" w:hAnsi="Times New Roman"/>
          <w:lang w:val="en-GB"/>
        </w:rPr>
        <w:t xml:space="preserve"> Rota </w:t>
      </w:r>
      <w:r w:rsidR="008A557E" w:rsidRPr="00FE2675">
        <w:rPr>
          <w:rFonts w:ascii="Times New Roman" w:hAnsi="Times New Roman"/>
          <w:lang w:val="en-GB"/>
        </w:rPr>
        <w:t xml:space="preserve">made </w:t>
      </w:r>
      <w:r w:rsidR="00625FAB" w:rsidRPr="00FE2675">
        <w:rPr>
          <w:rFonts w:ascii="Times New Roman" w:hAnsi="Times New Roman"/>
          <w:lang w:val="en-GB"/>
        </w:rPr>
        <w:t>contact with M</w:t>
      </w:r>
      <w:r w:rsidR="0029065B" w:rsidRPr="00FE2675">
        <w:rPr>
          <w:rFonts w:ascii="Times New Roman" w:hAnsi="Times New Roman"/>
          <w:lang w:val="en-GB"/>
        </w:rPr>
        <w:t>essrs Keating, Clackett</w:t>
      </w:r>
      <w:r w:rsidR="00711EF4" w:rsidRPr="00FE2675">
        <w:rPr>
          <w:rFonts w:ascii="Times New Roman" w:hAnsi="Times New Roman"/>
          <w:lang w:val="en-GB"/>
        </w:rPr>
        <w:t xml:space="preserve"> and Staffen regarding repayment. </w:t>
      </w:r>
    </w:p>
    <w:p w14:paraId="6F3578A2" w14:textId="1744F94E" w:rsidR="00711EF4"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18.</w:t>
      </w:r>
      <w:r>
        <w:rPr>
          <w:rFonts w:ascii="Times New Roman" w:hAnsi="Times New Roman"/>
          <w:lang w:val="en-GB"/>
        </w:rPr>
        <w:tab/>
      </w:r>
      <w:r w:rsidR="00711EF4">
        <w:rPr>
          <w:rFonts w:ascii="Times New Roman" w:hAnsi="Times New Roman"/>
          <w:lang w:val="en-GB"/>
        </w:rPr>
        <w:t xml:space="preserve">In August </w:t>
      </w:r>
      <w:r w:rsidR="00E756A5">
        <w:rPr>
          <w:rFonts w:ascii="Times New Roman" w:hAnsi="Times New Roman"/>
          <w:lang w:val="en-GB"/>
        </w:rPr>
        <w:t xml:space="preserve">2022 Rota found out that </w:t>
      </w:r>
      <w:r w:rsidR="00B227EE">
        <w:rPr>
          <w:rFonts w:ascii="Times New Roman" w:hAnsi="Times New Roman"/>
          <w:lang w:val="en-GB"/>
        </w:rPr>
        <w:t>the first respondent, Full Score Trading 131 (Pty) Ltd (“</w:t>
      </w:r>
      <w:r w:rsidR="00B227EE">
        <w:rPr>
          <w:rFonts w:ascii="Times New Roman" w:hAnsi="Times New Roman"/>
          <w:b/>
          <w:bCs/>
          <w:lang w:val="en-GB"/>
        </w:rPr>
        <w:t>Full Score</w:t>
      </w:r>
      <w:r w:rsidR="00B227EE">
        <w:rPr>
          <w:rFonts w:ascii="Times New Roman" w:hAnsi="Times New Roman"/>
          <w:lang w:val="en-GB"/>
        </w:rPr>
        <w:t xml:space="preserve">”) </w:t>
      </w:r>
      <w:r w:rsidR="00D314CF">
        <w:rPr>
          <w:rFonts w:ascii="Times New Roman" w:hAnsi="Times New Roman"/>
          <w:lang w:val="en-GB"/>
        </w:rPr>
        <w:t>was going to sell a property owned by it in Stikland</w:t>
      </w:r>
      <w:r w:rsidR="0008139C">
        <w:rPr>
          <w:rFonts w:ascii="Times New Roman" w:hAnsi="Times New Roman"/>
          <w:lang w:val="en-GB"/>
        </w:rPr>
        <w:t>, Cape Town</w:t>
      </w:r>
      <w:r w:rsidR="00D314CF">
        <w:rPr>
          <w:rFonts w:ascii="Times New Roman" w:hAnsi="Times New Roman"/>
          <w:lang w:val="en-GB"/>
        </w:rPr>
        <w:t xml:space="preserve">. </w:t>
      </w:r>
      <w:r w:rsidR="0008139C">
        <w:rPr>
          <w:rFonts w:ascii="Times New Roman" w:hAnsi="Times New Roman"/>
          <w:lang w:val="en-GB"/>
        </w:rPr>
        <w:t>Full Score</w:t>
      </w:r>
      <w:r w:rsidR="00C23450">
        <w:rPr>
          <w:rFonts w:ascii="Times New Roman" w:hAnsi="Times New Roman"/>
          <w:lang w:val="en-GB"/>
        </w:rPr>
        <w:t xml:space="preserve">’s </w:t>
      </w:r>
      <w:r w:rsidR="009F1D09">
        <w:rPr>
          <w:rFonts w:ascii="Times New Roman" w:hAnsi="Times New Roman"/>
          <w:lang w:val="en-GB"/>
        </w:rPr>
        <w:t xml:space="preserve">directors </w:t>
      </w:r>
      <w:r w:rsidR="005808BD">
        <w:rPr>
          <w:rFonts w:ascii="Times New Roman" w:hAnsi="Times New Roman"/>
          <w:lang w:val="en-GB"/>
        </w:rPr>
        <w:t xml:space="preserve">are Messrs Staffen and Clackett. </w:t>
      </w:r>
      <w:r w:rsidR="00341946">
        <w:rPr>
          <w:rFonts w:ascii="Times New Roman" w:hAnsi="Times New Roman"/>
          <w:lang w:val="en-GB"/>
        </w:rPr>
        <w:t xml:space="preserve">Full Score </w:t>
      </w:r>
      <w:r w:rsidR="00A64021">
        <w:rPr>
          <w:rFonts w:ascii="Times New Roman" w:hAnsi="Times New Roman"/>
          <w:lang w:val="en-GB"/>
        </w:rPr>
        <w:t xml:space="preserve">used to be </w:t>
      </w:r>
      <w:r w:rsidR="00341946">
        <w:rPr>
          <w:rFonts w:ascii="Times New Roman" w:hAnsi="Times New Roman"/>
          <w:lang w:val="en-GB"/>
        </w:rPr>
        <w:t xml:space="preserve">a close corporation, with membership split 80% - </w:t>
      </w:r>
      <w:r w:rsidR="00A64021">
        <w:rPr>
          <w:rFonts w:ascii="Times New Roman" w:hAnsi="Times New Roman"/>
          <w:lang w:val="en-GB"/>
        </w:rPr>
        <w:t xml:space="preserve">20% between Messrs Staffen and </w:t>
      </w:r>
      <w:r w:rsidR="00A64021">
        <w:rPr>
          <w:rFonts w:ascii="Times New Roman" w:hAnsi="Times New Roman"/>
          <w:lang w:val="en-GB"/>
        </w:rPr>
        <w:lastRenderedPageBreak/>
        <w:t>Clackett respe</w:t>
      </w:r>
      <w:r w:rsidR="00F02549">
        <w:rPr>
          <w:rFonts w:ascii="Times New Roman" w:hAnsi="Times New Roman"/>
          <w:lang w:val="en-GB"/>
        </w:rPr>
        <w:t>c</w:t>
      </w:r>
      <w:r w:rsidR="00A64021">
        <w:rPr>
          <w:rFonts w:ascii="Times New Roman" w:hAnsi="Times New Roman"/>
          <w:lang w:val="en-GB"/>
        </w:rPr>
        <w:t>tively. On 5 October 2021</w:t>
      </w:r>
      <w:r w:rsidR="00C63E05">
        <w:rPr>
          <w:rFonts w:ascii="Times New Roman" w:hAnsi="Times New Roman"/>
          <w:lang w:val="en-GB"/>
        </w:rPr>
        <w:t xml:space="preserve"> Full Score became a company. All three of Messrs Staffen, Keating and Clackett became directors.</w:t>
      </w:r>
      <w:r w:rsidR="0020707F">
        <w:rPr>
          <w:rFonts w:ascii="Times New Roman" w:hAnsi="Times New Roman"/>
          <w:lang w:val="en-GB"/>
        </w:rPr>
        <w:t xml:space="preserve"> Mr Keating </w:t>
      </w:r>
      <w:r w:rsidR="009F1D09">
        <w:rPr>
          <w:rFonts w:ascii="Times New Roman" w:hAnsi="Times New Roman"/>
          <w:lang w:val="en-GB"/>
        </w:rPr>
        <w:t xml:space="preserve">resigned </w:t>
      </w:r>
      <w:r w:rsidR="0020707F">
        <w:rPr>
          <w:rFonts w:ascii="Times New Roman" w:hAnsi="Times New Roman"/>
          <w:lang w:val="en-GB"/>
        </w:rPr>
        <w:t xml:space="preserve">as director </w:t>
      </w:r>
      <w:r w:rsidR="009F1D09">
        <w:rPr>
          <w:rFonts w:ascii="Times New Roman" w:hAnsi="Times New Roman"/>
          <w:lang w:val="en-GB"/>
        </w:rPr>
        <w:t xml:space="preserve">on </w:t>
      </w:r>
      <w:r w:rsidR="00ED1EDC">
        <w:rPr>
          <w:rFonts w:ascii="Times New Roman" w:hAnsi="Times New Roman"/>
          <w:lang w:val="en-GB"/>
        </w:rPr>
        <w:t xml:space="preserve">1 September 2022. </w:t>
      </w:r>
      <w:r w:rsidR="00B5227B">
        <w:rPr>
          <w:rFonts w:ascii="Times New Roman" w:hAnsi="Times New Roman"/>
          <w:lang w:val="en-GB"/>
        </w:rPr>
        <w:t>U</w:t>
      </w:r>
      <w:r w:rsidR="004B7587">
        <w:rPr>
          <w:rFonts w:ascii="Times New Roman" w:hAnsi="Times New Roman"/>
          <w:lang w:val="en-GB"/>
        </w:rPr>
        <w:t xml:space="preserve">pon learning of the </w:t>
      </w:r>
      <w:r w:rsidR="00B257D4">
        <w:rPr>
          <w:rFonts w:ascii="Times New Roman" w:hAnsi="Times New Roman"/>
          <w:lang w:val="en-GB"/>
        </w:rPr>
        <w:t xml:space="preserve">Stikland property </w:t>
      </w:r>
      <w:r w:rsidR="004B7587">
        <w:rPr>
          <w:rFonts w:ascii="Times New Roman" w:hAnsi="Times New Roman"/>
          <w:lang w:val="en-GB"/>
        </w:rPr>
        <w:t>sale,</w:t>
      </w:r>
      <w:r w:rsidR="00025051">
        <w:rPr>
          <w:rFonts w:ascii="Times New Roman" w:hAnsi="Times New Roman"/>
          <w:lang w:val="en-GB"/>
        </w:rPr>
        <w:t xml:space="preserve"> </w:t>
      </w:r>
      <w:r w:rsidR="00BE5D40">
        <w:rPr>
          <w:rFonts w:ascii="Times New Roman" w:hAnsi="Times New Roman"/>
          <w:lang w:val="en-GB"/>
        </w:rPr>
        <w:t xml:space="preserve">Mr Botha </w:t>
      </w:r>
      <w:r w:rsidR="00D314CF">
        <w:rPr>
          <w:rFonts w:ascii="Times New Roman" w:hAnsi="Times New Roman"/>
          <w:lang w:val="en-GB"/>
        </w:rPr>
        <w:t xml:space="preserve">asked </w:t>
      </w:r>
      <w:r w:rsidR="004E39C4">
        <w:rPr>
          <w:rFonts w:ascii="Times New Roman" w:hAnsi="Times New Roman"/>
          <w:lang w:val="en-GB"/>
        </w:rPr>
        <w:t xml:space="preserve">Mr Staffen if </w:t>
      </w:r>
      <w:r w:rsidR="00AC2CAC">
        <w:rPr>
          <w:rFonts w:ascii="Times New Roman" w:hAnsi="Times New Roman"/>
          <w:lang w:val="en-GB"/>
        </w:rPr>
        <w:t>Full Score would be prepared to pay the nett proceeds of the sale to Rota to reduce the indebtedness of Armour.</w:t>
      </w:r>
      <w:r w:rsidR="00B36EBE">
        <w:rPr>
          <w:rFonts w:ascii="Times New Roman" w:hAnsi="Times New Roman"/>
          <w:lang w:val="en-GB"/>
        </w:rPr>
        <w:t xml:space="preserve"> Mr Staffen said not.</w:t>
      </w:r>
      <w:r w:rsidR="003A6A29">
        <w:rPr>
          <w:rFonts w:ascii="Times New Roman" w:hAnsi="Times New Roman"/>
          <w:lang w:val="en-GB"/>
        </w:rPr>
        <w:t xml:space="preserve"> </w:t>
      </w:r>
    </w:p>
    <w:p w14:paraId="076ACA24" w14:textId="4CACABBB" w:rsidR="004F1ACA"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19.</w:t>
      </w:r>
      <w:r>
        <w:rPr>
          <w:rFonts w:ascii="Times New Roman" w:hAnsi="Times New Roman"/>
          <w:lang w:val="en-GB"/>
        </w:rPr>
        <w:tab/>
      </w:r>
      <w:r w:rsidR="00F92908">
        <w:rPr>
          <w:rFonts w:ascii="Times New Roman" w:hAnsi="Times New Roman"/>
          <w:lang w:val="en-GB"/>
        </w:rPr>
        <w:t xml:space="preserve">In late </w:t>
      </w:r>
      <w:r w:rsidR="00061E32" w:rsidRPr="009D0B11">
        <w:rPr>
          <w:rFonts w:ascii="Times New Roman" w:hAnsi="Times New Roman"/>
          <w:lang w:val="en-GB"/>
        </w:rPr>
        <w:t>September 2022 Rota found out that</w:t>
      </w:r>
      <w:r w:rsidR="00A16341" w:rsidRPr="009D0B11">
        <w:rPr>
          <w:rFonts w:ascii="Times New Roman" w:hAnsi="Times New Roman"/>
          <w:lang w:val="en-GB"/>
        </w:rPr>
        <w:t>:</w:t>
      </w:r>
      <w:r w:rsidR="00757516" w:rsidRPr="009D0B11">
        <w:rPr>
          <w:rFonts w:ascii="Times New Roman" w:hAnsi="Times New Roman"/>
          <w:lang w:val="en-GB"/>
        </w:rPr>
        <w:t xml:space="preserve"> back</w:t>
      </w:r>
      <w:r w:rsidR="00061E32" w:rsidRPr="009D0B11">
        <w:rPr>
          <w:rFonts w:ascii="Times New Roman" w:hAnsi="Times New Roman"/>
          <w:lang w:val="en-GB"/>
        </w:rPr>
        <w:t xml:space="preserve"> </w:t>
      </w:r>
      <w:r w:rsidR="00DA7AC6" w:rsidRPr="009D0B11">
        <w:rPr>
          <w:rFonts w:ascii="Times New Roman" w:hAnsi="Times New Roman"/>
          <w:lang w:val="en-GB"/>
        </w:rPr>
        <w:t>in October 2021</w:t>
      </w:r>
      <w:r w:rsidR="00A16341" w:rsidRPr="009D0B11">
        <w:rPr>
          <w:rFonts w:ascii="Times New Roman" w:hAnsi="Times New Roman"/>
          <w:lang w:val="en-GB"/>
        </w:rPr>
        <w:t>,</w:t>
      </w:r>
      <w:r w:rsidR="00757516" w:rsidRPr="009D0B11">
        <w:rPr>
          <w:rFonts w:ascii="Times New Roman" w:hAnsi="Times New Roman"/>
          <w:lang w:val="en-GB"/>
        </w:rPr>
        <w:t xml:space="preserve"> (1)</w:t>
      </w:r>
      <w:r w:rsidR="00DA7AC6" w:rsidRPr="009D0B11">
        <w:rPr>
          <w:rFonts w:ascii="Times New Roman" w:hAnsi="Times New Roman"/>
          <w:lang w:val="en-GB"/>
        </w:rPr>
        <w:t xml:space="preserve"> a company called Imperial Cleaning and Forwarding (Pty) Ltd had obtained a </w:t>
      </w:r>
      <w:r w:rsidR="00AE110B">
        <w:rPr>
          <w:rFonts w:ascii="Times New Roman" w:hAnsi="Times New Roman"/>
          <w:lang w:val="en-GB"/>
        </w:rPr>
        <w:t xml:space="preserve">default </w:t>
      </w:r>
      <w:r w:rsidR="00DA7AC6" w:rsidRPr="009D0B11">
        <w:rPr>
          <w:rFonts w:ascii="Times New Roman" w:hAnsi="Times New Roman"/>
          <w:lang w:val="en-GB"/>
        </w:rPr>
        <w:t xml:space="preserve">judgment against </w:t>
      </w:r>
      <w:r w:rsidR="00757516" w:rsidRPr="009D0B11">
        <w:rPr>
          <w:rFonts w:ascii="Times New Roman" w:hAnsi="Times New Roman"/>
          <w:lang w:val="en-GB"/>
        </w:rPr>
        <w:t>AJH; (2</w:t>
      </w:r>
      <w:r w:rsidR="00431FAB" w:rsidRPr="009D0B11">
        <w:rPr>
          <w:rFonts w:ascii="Times New Roman" w:hAnsi="Times New Roman"/>
          <w:lang w:val="en-GB"/>
        </w:rPr>
        <w:t>) a company called Merchant Capital Advisory Services (Pty) Ltd had issued summons</w:t>
      </w:r>
      <w:r w:rsidR="001C5E6D" w:rsidRPr="009D0B11">
        <w:rPr>
          <w:rFonts w:ascii="Times New Roman" w:hAnsi="Times New Roman"/>
          <w:lang w:val="en-GB"/>
        </w:rPr>
        <w:t xml:space="preserve"> against </w:t>
      </w:r>
      <w:r w:rsidR="00D368D8" w:rsidRPr="009D0B11">
        <w:rPr>
          <w:rFonts w:ascii="Times New Roman" w:hAnsi="Times New Roman"/>
          <w:lang w:val="en-GB"/>
        </w:rPr>
        <w:t xml:space="preserve">Armour – </w:t>
      </w:r>
      <w:r w:rsidR="008A780B" w:rsidRPr="009D0B11">
        <w:rPr>
          <w:rFonts w:ascii="Times New Roman" w:hAnsi="Times New Roman"/>
          <w:lang w:val="en-GB"/>
        </w:rPr>
        <w:t xml:space="preserve">Rota initially thought </w:t>
      </w:r>
      <w:r w:rsidR="00D368D8" w:rsidRPr="009D0B11">
        <w:rPr>
          <w:rFonts w:ascii="Times New Roman" w:hAnsi="Times New Roman"/>
          <w:lang w:val="en-GB"/>
        </w:rPr>
        <w:t>for R3 million in the founding affidavit</w:t>
      </w:r>
      <w:r w:rsidR="00C546B2">
        <w:rPr>
          <w:rFonts w:ascii="Times New Roman" w:hAnsi="Times New Roman"/>
          <w:lang w:val="en-GB"/>
        </w:rPr>
        <w:t xml:space="preserve">. Corrected in answer, </w:t>
      </w:r>
      <w:r w:rsidR="008A780B" w:rsidRPr="009D0B11">
        <w:rPr>
          <w:rFonts w:ascii="Times New Roman" w:hAnsi="Times New Roman"/>
          <w:lang w:val="en-GB"/>
        </w:rPr>
        <w:t xml:space="preserve">in reply </w:t>
      </w:r>
      <w:r w:rsidR="00CD6A05">
        <w:rPr>
          <w:rFonts w:ascii="Times New Roman" w:hAnsi="Times New Roman"/>
          <w:lang w:val="en-GB"/>
        </w:rPr>
        <w:t xml:space="preserve">Rota </w:t>
      </w:r>
      <w:r w:rsidR="00C546B2">
        <w:rPr>
          <w:rFonts w:ascii="Times New Roman" w:hAnsi="Times New Roman"/>
          <w:lang w:val="en-GB"/>
        </w:rPr>
        <w:t xml:space="preserve">conceded </w:t>
      </w:r>
      <w:r w:rsidR="00754779" w:rsidRPr="009D0B11">
        <w:rPr>
          <w:rFonts w:ascii="Times New Roman" w:hAnsi="Times New Roman"/>
          <w:lang w:val="en-GB"/>
        </w:rPr>
        <w:t>the correct amount was</w:t>
      </w:r>
      <w:r w:rsidR="003D10A8" w:rsidRPr="009D0B11">
        <w:rPr>
          <w:rFonts w:ascii="Times New Roman" w:hAnsi="Times New Roman"/>
          <w:lang w:val="en-GB"/>
        </w:rPr>
        <w:t xml:space="preserve"> </w:t>
      </w:r>
      <w:r w:rsidR="008A780B" w:rsidRPr="009D0B11">
        <w:rPr>
          <w:rFonts w:ascii="Times New Roman" w:hAnsi="Times New Roman"/>
          <w:lang w:val="en-GB"/>
        </w:rPr>
        <w:t>R1,3 million</w:t>
      </w:r>
      <w:r w:rsidR="003D10A8" w:rsidRPr="009D0B11">
        <w:rPr>
          <w:rFonts w:ascii="Times New Roman" w:hAnsi="Times New Roman"/>
          <w:lang w:val="en-GB"/>
        </w:rPr>
        <w:t>. Rota</w:t>
      </w:r>
      <w:r w:rsidR="00F92908" w:rsidRPr="009D0B11">
        <w:rPr>
          <w:rFonts w:ascii="Times New Roman" w:hAnsi="Times New Roman"/>
          <w:lang w:val="en-GB"/>
        </w:rPr>
        <w:t xml:space="preserve"> – </w:t>
      </w:r>
      <w:r w:rsidR="003D10A8" w:rsidRPr="009D0B11">
        <w:rPr>
          <w:rFonts w:ascii="Times New Roman" w:hAnsi="Times New Roman"/>
          <w:lang w:val="en-GB"/>
        </w:rPr>
        <w:t xml:space="preserve">also </w:t>
      </w:r>
      <w:r w:rsidR="00F92908">
        <w:rPr>
          <w:rFonts w:ascii="Times New Roman" w:hAnsi="Times New Roman"/>
          <w:lang w:val="en-GB"/>
        </w:rPr>
        <w:t xml:space="preserve">in late </w:t>
      </w:r>
      <w:r w:rsidR="000E0C81" w:rsidRPr="009D0B11">
        <w:rPr>
          <w:rFonts w:ascii="Times New Roman" w:hAnsi="Times New Roman"/>
          <w:lang w:val="en-GB"/>
        </w:rPr>
        <w:t>September 2022</w:t>
      </w:r>
      <w:r w:rsidR="00F92908" w:rsidRPr="009D0B11">
        <w:rPr>
          <w:rFonts w:ascii="Times New Roman" w:hAnsi="Times New Roman"/>
          <w:lang w:val="en-GB"/>
        </w:rPr>
        <w:t xml:space="preserve"> – </w:t>
      </w:r>
      <w:r w:rsidR="003D10A8" w:rsidRPr="009D0B11">
        <w:rPr>
          <w:rFonts w:ascii="Times New Roman" w:hAnsi="Times New Roman"/>
          <w:lang w:val="en-GB"/>
        </w:rPr>
        <w:t>found out that</w:t>
      </w:r>
      <w:r w:rsidR="00C17964" w:rsidRPr="009D0B11">
        <w:rPr>
          <w:rFonts w:ascii="Times New Roman" w:hAnsi="Times New Roman"/>
          <w:lang w:val="en-GB"/>
        </w:rPr>
        <w:t xml:space="preserve"> (3)</w:t>
      </w:r>
      <w:r w:rsidR="003D10A8" w:rsidRPr="009D0B11">
        <w:rPr>
          <w:rFonts w:ascii="Times New Roman" w:hAnsi="Times New Roman"/>
          <w:lang w:val="en-GB"/>
        </w:rPr>
        <w:t xml:space="preserve"> during February 2022 </w:t>
      </w:r>
      <w:r w:rsidR="00DC6A9B" w:rsidRPr="009D0B11">
        <w:rPr>
          <w:rFonts w:ascii="Times New Roman" w:hAnsi="Times New Roman"/>
          <w:lang w:val="en-GB"/>
        </w:rPr>
        <w:t xml:space="preserve">AJH, Mr Keating and </w:t>
      </w:r>
      <w:r w:rsidR="002D0ACC" w:rsidRPr="009D0B11">
        <w:rPr>
          <w:rFonts w:ascii="Times New Roman" w:hAnsi="Times New Roman"/>
          <w:lang w:val="en-GB"/>
        </w:rPr>
        <w:t xml:space="preserve">Mr Staffen had agreed to pay R2,3 million </w:t>
      </w:r>
      <w:r w:rsidR="00AF07CC" w:rsidRPr="009D0B11">
        <w:rPr>
          <w:rFonts w:ascii="Times New Roman" w:hAnsi="Times New Roman"/>
          <w:lang w:val="en-GB"/>
        </w:rPr>
        <w:t xml:space="preserve">to </w:t>
      </w:r>
      <w:r w:rsidR="00F85DF7">
        <w:rPr>
          <w:rFonts w:ascii="Times New Roman" w:hAnsi="Times New Roman"/>
          <w:lang w:val="en-GB"/>
        </w:rPr>
        <w:t xml:space="preserve">a </w:t>
      </w:r>
      <w:r w:rsidR="00AF07CC" w:rsidRPr="009D0B11">
        <w:rPr>
          <w:rFonts w:ascii="Times New Roman" w:hAnsi="Times New Roman"/>
          <w:lang w:val="en-GB"/>
        </w:rPr>
        <w:t xml:space="preserve">Mr </w:t>
      </w:r>
      <w:r w:rsidR="00C17964" w:rsidRPr="009D0B11">
        <w:rPr>
          <w:rFonts w:ascii="Times New Roman" w:hAnsi="Times New Roman"/>
          <w:lang w:val="en-GB"/>
        </w:rPr>
        <w:t>Schultz, and (</w:t>
      </w:r>
      <w:r w:rsidR="00FA7D82" w:rsidRPr="009D0B11">
        <w:rPr>
          <w:rFonts w:ascii="Times New Roman" w:hAnsi="Times New Roman"/>
          <w:lang w:val="en-GB"/>
        </w:rPr>
        <w:t xml:space="preserve">4) in April 2022 a company called Colcab (Pty) Ltd had applied to wind up </w:t>
      </w:r>
      <w:r w:rsidR="00A16341" w:rsidRPr="009D0B11">
        <w:rPr>
          <w:rFonts w:ascii="Times New Roman" w:hAnsi="Times New Roman"/>
          <w:lang w:val="en-GB"/>
        </w:rPr>
        <w:t>AJH.</w:t>
      </w:r>
      <w:r w:rsidR="00FA7D82" w:rsidRPr="009D0B11">
        <w:rPr>
          <w:rFonts w:ascii="Times New Roman" w:hAnsi="Times New Roman"/>
          <w:lang w:val="en-GB"/>
        </w:rPr>
        <w:t xml:space="preserve"> </w:t>
      </w:r>
      <w:r w:rsidR="004F1ACA" w:rsidRPr="009D0B11">
        <w:rPr>
          <w:rFonts w:ascii="Times New Roman" w:hAnsi="Times New Roman"/>
          <w:lang w:val="en-GB"/>
        </w:rPr>
        <w:t xml:space="preserve">On 3 October 2022 Rota found out </w:t>
      </w:r>
      <w:r w:rsidR="009D0B11">
        <w:rPr>
          <w:rFonts w:ascii="Times New Roman" w:hAnsi="Times New Roman"/>
          <w:lang w:val="en-GB"/>
        </w:rPr>
        <w:t xml:space="preserve">(5) </w:t>
      </w:r>
      <w:r w:rsidR="004F1ACA" w:rsidRPr="009D0B11">
        <w:rPr>
          <w:rFonts w:ascii="Times New Roman" w:hAnsi="Times New Roman"/>
          <w:lang w:val="en-GB"/>
        </w:rPr>
        <w:t>that Full Score had sold a second property in Stikland.</w:t>
      </w:r>
    </w:p>
    <w:p w14:paraId="763FA202" w14:textId="24888944" w:rsidR="005305DB" w:rsidRPr="005305DB" w:rsidRDefault="005305DB" w:rsidP="005305DB">
      <w:pPr>
        <w:keepNext/>
        <w:spacing w:before="240" w:after="240" w:line="480" w:lineRule="auto"/>
        <w:ind w:left="720"/>
        <w:jc w:val="both"/>
        <w:rPr>
          <w:rFonts w:ascii="Times New Roman" w:hAnsi="Times New Roman"/>
          <w:u w:val="single"/>
          <w:lang w:val="en-GB"/>
        </w:rPr>
      </w:pPr>
      <w:r w:rsidRPr="005305DB">
        <w:rPr>
          <w:rFonts w:ascii="Times New Roman" w:hAnsi="Times New Roman"/>
          <w:i/>
          <w:iCs/>
          <w:u w:val="single"/>
          <w:lang w:val="en-GB"/>
        </w:rPr>
        <w:t>Ex parte</w:t>
      </w:r>
      <w:r>
        <w:rPr>
          <w:rFonts w:ascii="Times New Roman" w:hAnsi="Times New Roman"/>
          <w:u w:val="single"/>
          <w:lang w:val="en-GB"/>
        </w:rPr>
        <w:t xml:space="preserve"> </w:t>
      </w:r>
      <w:r w:rsidR="00F46B13">
        <w:rPr>
          <w:rFonts w:ascii="Times New Roman" w:hAnsi="Times New Roman"/>
          <w:u w:val="single"/>
          <w:lang w:val="en-GB"/>
        </w:rPr>
        <w:t>order</w:t>
      </w:r>
      <w:r>
        <w:rPr>
          <w:rFonts w:ascii="Times New Roman" w:hAnsi="Times New Roman"/>
          <w:u w:val="single"/>
          <w:lang w:val="en-GB"/>
        </w:rPr>
        <w:t xml:space="preserve"> </w:t>
      </w:r>
    </w:p>
    <w:p w14:paraId="72CCBE64" w14:textId="4D6F94CF" w:rsidR="002C1B3E"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20.</w:t>
      </w:r>
      <w:r>
        <w:rPr>
          <w:rFonts w:ascii="Times New Roman" w:hAnsi="Times New Roman"/>
          <w:lang w:val="en-GB"/>
        </w:rPr>
        <w:tab/>
      </w:r>
      <w:r w:rsidR="009A6523">
        <w:rPr>
          <w:rFonts w:ascii="Times New Roman" w:hAnsi="Times New Roman"/>
          <w:lang w:val="en-GB"/>
        </w:rPr>
        <w:t xml:space="preserve">On 6 October 2022 Rota applied urgently, </w:t>
      </w:r>
      <w:r w:rsidR="00C546B2">
        <w:rPr>
          <w:rFonts w:ascii="Times New Roman" w:hAnsi="Times New Roman"/>
          <w:lang w:val="en-GB"/>
        </w:rPr>
        <w:t xml:space="preserve">and </w:t>
      </w:r>
      <w:r w:rsidR="009A6523" w:rsidRPr="009A6523">
        <w:rPr>
          <w:rFonts w:ascii="Times New Roman" w:hAnsi="Times New Roman"/>
          <w:i/>
          <w:iCs/>
          <w:lang w:val="en-GB"/>
        </w:rPr>
        <w:t>ex parte</w:t>
      </w:r>
      <w:r w:rsidR="009A6523">
        <w:rPr>
          <w:rFonts w:ascii="Times New Roman" w:hAnsi="Times New Roman"/>
          <w:lang w:val="en-GB"/>
        </w:rPr>
        <w:t xml:space="preserve">, for </w:t>
      </w:r>
      <w:r w:rsidR="00DF1D37">
        <w:rPr>
          <w:rFonts w:ascii="Times New Roman" w:hAnsi="Times New Roman"/>
          <w:lang w:val="en-GB"/>
        </w:rPr>
        <w:t xml:space="preserve">the issue of a rule </w:t>
      </w:r>
      <w:r w:rsidR="00DF1D37">
        <w:rPr>
          <w:rFonts w:ascii="Times New Roman" w:hAnsi="Times New Roman"/>
          <w:i/>
          <w:iCs/>
          <w:lang w:val="en-GB"/>
        </w:rPr>
        <w:t>nisi</w:t>
      </w:r>
      <w:r w:rsidR="00600480">
        <w:rPr>
          <w:rFonts w:ascii="Times New Roman" w:hAnsi="Times New Roman"/>
          <w:lang w:val="en-GB"/>
        </w:rPr>
        <w:t xml:space="preserve">, with immediate </w:t>
      </w:r>
      <w:r w:rsidR="009E1B90">
        <w:rPr>
          <w:rFonts w:ascii="Times New Roman" w:hAnsi="Times New Roman"/>
          <w:lang w:val="en-GB"/>
        </w:rPr>
        <w:t xml:space="preserve">interim </w:t>
      </w:r>
      <w:r w:rsidR="00600480">
        <w:rPr>
          <w:rFonts w:ascii="Times New Roman" w:hAnsi="Times New Roman"/>
          <w:lang w:val="en-GB"/>
        </w:rPr>
        <w:t>effect,</w:t>
      </w:r>
      <w:r w:rsidR="00A20581">
        <w:rPr>
          <w:rFonts w:ascii="Times New Roman" w:hAnsi="Times New Roman"/>
          <w:lang w:val="en-GB"/>
        </w:rPr>
        <w:t xml:space="preserve"> </w:t>
      </w:r>
      <w:r w:rsidR="000757DE">
        <w:rPr>
          <w:rFonts w:ascii="Times New Roman" w:hAnsi="Times New Roman"/>
          <w:lang w:val="en-GB"/>
        </w:rPr>
        <w:t xml:space="preserve">(1) </w:t>
      </w:r>
      <w:r w:rsidR="00A20581">
        <w:rPr>
          <w:rFonts w:ascii="Times New Roman" w:hAnsi="Times New Roman"/>
          <w:lang w:val="en-GB"/>
        </w:rPr>
        <w:t>interdicting</w:t>
      </w:r>
      <w:r w:rsidR="00E756A5">
        <w:rPr>
          <w:rFonts w:ascii="Times New Roman" w:hAnsi="Times New Roman"/>
          <w:lang w:val="en-GB"/>
        </w:rPr>
        <w:t xml:space="preserve"> Full Score </w:t>
      </w:r>
      <w:r w:rsidR="000D1F88">
        <w:rPr>
          <w:rFonts w:ascii="Times New Roman" w:hAnsi="Times New Roman"/>
          <w:lang w:val="en-GB"/>
        </w:rPr>
        <w:t>from terminating its mandate to two firms of conveya</w:t>
      </w:r>
      <w:r w:rsidR="000757DE">
        <w:rPr>
          <w:rFonts w:ascii="Times New Roman" w:hAnsi="Times New Roman"/>
          <w:lang w:val="en-GB"/>
        </w:rPr>
        <w:t xml:space="preserve">ncers to register transfer of </w:t>
      </w:r>
      <w:r w:rsidR="00DF1D37">
        <w:rPr>
          <w:rFonts w:ascii="Times New Roman" w:hAnsi="Times New Roman"/>
          <w:lang w:val="en-GB"/>
        </w:rPr>
        <w:t xml:space="preserve">the </w:t>
      </w:r>
      <w:r w:rsidR="000757DE">
        <w:rPr>
          <w:rFonts w:ascii="Times New Roman" w:hAnsi="Times New Roman"/>
          <w:lang w:val="en-GB"/>
        </w:rPr>
        <w:t xml:space="preserve">two </w:t>
      </w:r>
      <w:r w:rsidR="007C2410">
        <w:rPr>
          <w:rFonts w:ascii="Times New Roman" w:hAnsi="Times New Roman"/>
          <w:lang w:val="en-GB"/>
        </w:rPr>
        <w:t xml:space="preserve">sold Stikland </w:t>
      </w:r>
      <w:r w:rsidR="000757DE">
        <w:rPr>
          <w:rFonts w:ascii="Times New Roman" w:hAnsi="Times New Roman"/>
          <w:lang w:val="en-GB"/>
        </w:rPr>
        <w:t xml:space="preserve">properties </w:t>
      </w:r>
      <w:r w:rsidR="00F1223D">
        <w:rPr>
          <w:rFonts w:ascii="Times New Roman" w:hAnsi="Times New Roman"/>
          <w:lang w:val="en-GB"/>
        </w:rPr>
        <w:t xml:space="preserve">from Full Score to purchasers </w:t>
      </w:r>
      <w:r w:rsidR="00194C59">
        <w:rPr>
          <w:rFonts w:ascii="Times New Roman" w:hAnsi="Times New Roman"/>
          <w:lang w:val="en-GB"/>
        </w:rPr>
        <w:t>not cited</w:t>
      </w:r>
      <w:r w:rsidR="003325B6">
        <w:rPr>
          <w:rFonts w:ascii="Times New Roman" w:hAnsi="Times New Roman"/>
          <w:lang w:val="en-GB"/>
        </w:rPr>
        <w:t xml:space="preserve">; (2) interdicting </w:t>
      </w:r>
      <w:r w:rsidR="001C62D7">
        <w:rPr>
          <w:rFonts w:ascii="Times New Roman" w:hAnsi="Times New Roman"/>
          <w:lang w:val="en-GB"/>
        </w:rPr>
        <w:t xml:space="preserve">the conveyancers from paying the proceeds of the sales to Full Score, pending determination of an action Rota would institute against </w:t>
      </w:r>
      <w:r w:rsidR="00F47853">
        <w:rPr>
          <w:rFonts w:ascii="Times New Roman" w:hAnsi="Times New Roman"/>
          <w:lang w:val="en-GB"/>
        </w:rPr>
        <w:t>Mr Clacke</w:t>
      </w:r>
      <w:r w:rsidR="00A600B5">
        <w:rPr>
          <w:rFonts w:ascii="Times New Roman" w:hAnsi="Times New Roman"/>
          <w:lang w:val="en-GB"/>
        </w:rPr>
        <w:t>t</w:t>
      </w:r>
      <w:r w:rsidR="00F47853">
        <w:rPr>
          <w:rFonts w:ascii="Times New Roman" w:hAnsi="Times New Roman"/>
          <w:lang w:val="en-GB"/>
        </w:rPr>
        <w:t xml:space="preserve">t and Mr Staffen </w:t>
      </w:r>
      <w:r w:rsidR="00BB7CCE">
        <w:rPr>
          <w:rFonts w:ascii="Times New Roman" w:hAnsi="Times New Roman"/>
          <w:i/>
          <w:iCs/>
          <w:lang w:val="en-GB"/>
        </w:rPr>
        <w:t xml:space="preserve">“for the payment of </w:t>
      </w:r>
      <w:r w:rsidR="00BB7CCE">
        <w:rPr>
          <w:rFonts w:ascii="Times New Roman" w:hAnsi="Times New Roman"/>
          <w:i/>
          <w:iCs/>
          <w:lang w:val="en-GB"/>
        </w:rPr>
        <w:lastRenderedPageBreak/>
        <w:t>R3 498 321,00 plus the agreed interest thereon arising from the Factoring Agreements which were concluded between [Rota] and [Armour] during December 2021 and February 2022</w:t>
      </w:r>
      <w:r w:rsidR="000259AA">
        <w:rPr>
          <w:rFonts w:ascii="Times New Roman" w:hAnsi="Times New Roman"/>
          <w:i/>
          <w:iCs/>
          <w:lang w:val="en-GB"/>
        </w:rPr>
        <w:t>”</w:t>
      </w:r>
      <w:r w:rsidR="00B2260E">
        <w:rPr>
          <w:rFonts w:ascii="Times New Roman" w:hAnsi="Times New Roman"/>
          <w:lang w:val="en-GB"/>
        </w:rPr>
        <w:t>; directing the conveya</w:t>
      </w:r>
      <w:r w:rsidR="007C2410">
        <w:rPr>
          <w:rFonts w:ascii="Times New Roman" w:hAnsi="Times New Roman"/>
          <w:lang w:val="en-GB"/>
        </w:rPr>
        <w:t>n</w:t>
      </w:r>
      <w:r w:rsidR="00B2260E">
        <w:rPr>
          <w:rFonts w:ascii="Times New Roman" w:hAnsi="Times New Roman"/>
          <w:lang w:val="en-GB"/>
        </w:rPr>
        <w:t xml:space="preserve">cers to hold </w:t>
      </w:r>
      <w:r w:rsidR="00B2260E">
        <w:rPr>
          <w:rFonts w:ascii="Times New Roman" w:hAnsi="Times New Roman"/>
          <w:i/>
          <w:iCs/>
          <w:lang w:val="en-GB"/>
        </w:rPr>
        <w:t>“the said balance of the purchase price in an interest bearing account pending the resolution of the said action”</w:t>
      </w:r>
      <w:r w:rsidR="00600480">
        <w:rPr>
          <w:rFonts w:ascii="Times New Roman" w:hAnsi="Times New Roman"/>
          <w:lang w:val="en-GB"/>
        </w:rPr>
        <w:t>.</w:t>
      </w:r>
      <w:r w:rsidR="00DF7EA3">
        <w:rPr>
          <w:rFonts w:ascii="Times New Roman" w:hAnsi="Times New Roman"/>
          <w:lang w:val="en-GB"/>
        </w:rPr>
        <w:t xml:space="preserve"> </w:t>
      </w:r>
    </w:p>
    <w:p w14:paraId="267C7915" w14:textId="748FD872" w:rsidR="00235DE5"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21.</w:t>
      </w:r>
      <w:r>
        <w:rPr>
          <w:rFonts w:ascii="Times New Roman" w:hAnsi="Times New Roman"/>
          <w:lang w:val="en-GB"/>
        </w:rPr>
        <w:tab/>
      </w:r>
      <w:r w:rsidR="001F14B4" w:rsidRPr="00055E33">
        <w:rPr>
          <w:rFonts w:ascii="Times New Roman" w:hAnsi="Times New Roman"/>
          <w:lang w:val="en-GB"/>
        </w:rPr>
        <w:t>On 7 October 2022 t</w:t>
      </w:r>
      <w:r w:rsidR="00DF7EA3" w:rsidRPr="00055E33">
        <w:rPr>
          <w:rFonts w:ascii="Times New Roman" w:hAnsi="Times New Roman"/>
          <w:lang w:val="en-GB"/>
        </w:rPr>
        <w:t>he order sought was granted</w:t>
      </w:r>
      <w:r w:rsidR="00821150">
        <w:rPr>
          <w:rFonts w:ascii="Times New Roman" w:hAnsi="Times New Roman"/>
          <w:lang w:val="en-GB"/>
        </w:rPr>
        <w:t xml:space="preserve">. The </w:t>
      </w:r>
      <w:r w:rsidR="009B6405">
        <w:rPr>
          <w:rFonts w:ascii="Times New Roman" w:hAnsi="Times New Roman"/>
          <w:lang w:val="en-GB"/>
        </w:rPr>
        <w:t xml:space="preserve">return day: </w:t>
      </w:r>
      <w:r w:rsidR="001F3626" w:rsidRPr="00055E33">
        <w:rPr>
          <w:rFonts w:ascii="Times New Roman" w:hAnsi="Times New Roman"/>
          <w:lang w:val="en-GB"/>
        </w:rPr>
        <w:t>28 October 2022</w:t>
      </w:r>
      <w:r w:rsidR="00110149" w:rsidRPr="00055E33">
        <w:rPr>
          <w:rFonts w:ascii="Times New Roman" w:hAnsi="Times New Roman"/>
          <w:lang w:val="en-GB"/>
        </w:rPr>
        <w:t xml:space="preserve">. The court insisted upon amendment of </w:t>
      </w:r>
      <w:r w:rsidR="001B55B6" w:rsidRPr="00055E33">
        <w:rPr>
          <w:rFonts w:ascii="Times New Roman" w:hAnsi="Times New Roman"/>
          <w:lang w:val="en-GB"/>
        </w:rPr>
        <w:t xml:space="preserve">the </w:t>
      </w:r>
      <w:r w:rsidR="00862DCE">
        <w:rPr>
          <w:rFonts w:ascii="Times New Roman" w:hAnsi="Times New Roman"/>
          <w:lang w:val="en-GB"/>
        </w:rPr>
        <w:t xml:space="preserve">draft </w:t>
      </w:r>
      <w:r w:rsidR="00110149" w:rsidRPr="00055E33">
        <w:rPr>
          <w:rFonts w:ascii="Times New Roman" w:hAnsi="Times New Roman"/>
          <w:lang w:val="en-GB"/>
        </w:rPr>
        <w:t xml:space="preserve">order expressly to </w:t>
      </w:r>
      <w:r w:rsidR="00CB10CD" w:rsidRPr="00055E33">
        <w:rPr>
          <w:rFonts w:ascii="Times New Roman" w:hAnsi="Times New Roman"/>
          <w:lang w:val="en-GB"/>
        </w:rPr>
        <w:t xml:space="preserve">permit </w:t>
      </w:r>
      <w:r w:rsidR="003B768E" w:rsidRPr="00055E33">
        <w:rPr>
          <w:rFonts w:ascii="Times New Roman" w:hAnsi="Times New Roman"/>
          <w:lang w:val="en-GB"/>
        </w:rPr>
        <w:t xml:space="preserve">the respondents to approach the court on notice of </w:t>
      </w:r>
      <w:r w:rsidR="001B55B6" w:rsidRPr="00055E33">
        <w:rPr>
          <w:rFonts w:ascii="Times New Roman" w:hAnsi="Times New Roman"/>
          <w:lang w:val="en-GB"/>
        </w:rPr>
        <w:t xml:space="preserve">just </w:t>
      </w:r>
      <w:r w:rsidR="003B768E" w:rsidRPr="00055E33">
        <w:rPr>
          <w:rFonts w:ascii="Times New Roman" w:hAnsi="Times New Roman"/>
          <w:lang w:val="en-GB"/>
        </w:rPr>
        <w:t xml:space="preserve">48 hours to reconsider. </w:t>
      </w:r>
    </w:p>
    <w:p w14:paraId="2E692FDC" w14:textId="6AD52C8F" w:rsidR="00235DE5" w:rsidRPr="0053009F" w:rsidRDefault="0053009F" w:rsidP="0053009F">
      <w:pPr>
        <w:keepNext/>
        <w:spacing w:before="240" w:after="240" w:line="480" w:lineRule="auto"/>
        <w:ind w:left="720"/>
        <w:jc w:val="both"/>
        <w:rPr>
          <w:rFonts w:ascii="Times New Roman" w:hAnsi="Times New Roman"/>
          <w:i/>
          <w:iCs/>
          <w:u w:val="single"/>
          <w:lang w:val="en-GB"/>
        </w:rPr>
      </w:pPr>
      <w:r>
        <w:rPr>
          <w:rFonts w:ascii="Times New Roman" w:hAnsi="Times New Roman"/>
          <w:u w:val="single"/>
          <w:lang w:val="en-GB"/>
        </w:rPr>
        <w:t xml:space="preserve">Lapse of the rule </w:t>
      </w:r>
      <w:r>
        <w:rPr>
          <w:rFonts w:ascii="Times New Roman" w:hAnsi="Times New Roman"/>
          <w:i/>
          <w:iCs/>
          <w:u w:val="single"/>
          <w:lang w:val="en-GB"/>
        </w:rPr>
        <w:t>nisi</w:t>
      </w:r>
    </w:p>
    <w:p w14:paraId="3F3E88AB" w14:textId="7D8864CC" w:rsidR="00FC7040"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22.</w:t>
      </w:r>
      <w:r>
        <w:rPr>
          <w:rFonts w:ascii="Times New Roman" w:hAnsi="Times New Roman"/>
          <w:lang w:val="en-GB"/>
        </w:rPr>
        <w:tab/>
      </w:r>
      <w:r w:rsidR="001F3626" w:rsidRPr="00055E33">
        <w:rPr>
          <w:rFonts w:ascii="Times New Roman" w:hAnsi="Times New Roman"/>
          <w:lang w:val="en-GB"/>
        </w:rPr>
        <w:t>The rule was extended</w:t>
      </w:r>
      <w:r w:rsidR="005E581A" w:rsidRPr="00055E33">
        <w:rPr>
          <w:rFonts w:ascii="Times New Roman" w:hAnsi="Times New Roman"/>
          <w:lang w:val="en-GB"/>
        </w:rPr>
        <w:t xml:space="preserve"> to 4 November 2022. The court declined to hear the matter for want of urgency on that day</w:t>
      </w:r>
      <w:r w:rsidR="00EC03A6" w:rsidRPr="00055E33">
        <w:rPr>
          <w:rFonts w:ascii="Times New Roman" w:hAnsi="Times New Roman"/>
          <w:lang w:val="en-GB"/>
        </w:rPr>
        <w:t>, and it was enrolled on the semi-urgent roll</w:t>
      </w:r>
      <w:r w:rsidR="00FD78B6">
        <w:rPr>
          <w:rFonts w:ascii="Times New Roman" w:hAnsi="Times New Roman"/>
          <w:lang w:val="en-GB"/>
        </w:rPr>
        <w:t xml:space="preserve">, </w:t>
      </w:r>
      <w:r w:rsidR="0003034B">
        <w:rPr>
          <w:rFonts w:ascii="Times New Roman" w:hAnsi="Times New Roman"/>
          <w:lang w:val="en-GB"/>
        </w:rPr>
        <w:t>on 17 April 2023</w:t>
      </w:r>
      <w:r w:rsidR="005E581A" w:rsidRPr="00055E33">
        <w:rPr>
          <w:rFonts w:ascii="Times New Roman" w:hAnsi="Times New Roman"/>
          <w:lang w:val="en-GB"/>
        </w:rPr>
        <w:t xml:space="preserve">. </w:t>
      </w:r>
      <w:r w:rsidR="009B6405">
        <w:rPr>
          <w:rFonts w:ascii="Times New Roman" w:hAnsi="Times New Roman"/>
          <w:lang w:val="en-GB"/>
        </w:rPr>
        <w:t>On 4 November 2022</w:t>
      </w:r>
      <w:r w:rsidR="005A48EB" w:rsidRPr="004F316E">
        <w:rPr>
          <w:rFonts w:ascii="Times New Roman" w:hAnsi="Times New Roman"/>
          <w:lang w:val="en-GB"/>
        </w:rPr>
        <w:t xml:space="preserve">, the rule was extended </w:t>
      </w:r>
      <w:r w:rsidR="009B6405">
        <w:rPr>
          <w:rFonts w:ascii="Times New Roman" w:hAnsi="Times New Roman"/>
          <w:lang w:val="en-GB"/>
        </w:rPr>
        <w:t>to 17 April 2023</w:t>
      </w:r>
      <w:r w:rsidR="005A48EB" w:rsidRPr="004F316E">
        <w:rPr>
          <w:rFonts w:ascii="Times New Roman" w:hAnsi="Times New Roman"/>
          <w:lang w:val="en-GB"/>
        </w:rPr>
        <w:t>.</w:t>
      </w:r>
      <w:r w:rsidR="005A48EB">
        <w:rPr>
          <w:rFonts w:ascii="Times New Roman" w:hAnsi="Times New Roman"/>
          <w:lang w:val="en-GB"/>
        </w:rPr>
        <w:t xml:space="preserve"> </w:t>
      </w:r>
      <w:r w:rsidR="005865C5">
        <w:rPr>
          <w:rFonts w:ascii="Times New Roman" w:hAnsi="Times New Roman"/>
          <w:lang w:val="en-GB"/>
        </w:rPr>
        <w:t xml:space="preserve">The registrar </w:t>
      </w:r>
      <w:r w:rsidR="000F2E46">
        <w:rPr>
          <w:rFonts w:ascii="Times New Roman" w:hAnsi="Times New Roman"/>
          <w:lang w:val="en-GB"/>
        </w:rPr>
        <w:t xml:space="preserve">however </w:t>
      </w:r>
      <w:r w:rsidR="0053009F">
        <w:rPr>
          <w:rFonts w:ascii="Times New Roman" w:hAnsi="Times New Roman"/>
          <w:lang w:val="en-GB"/>
        </w:rPr>
        <w:t xml:space="preserve">delivered a notice of </w:t>
      </w:r>
      <w:r w:rsidR="000F2E46">
        <w:rPr>
          <w:rFonts w:ascii="Times New Roman" w:hAnsi="Times New Roman"/>
          <w:lang w:val="en-GB"/>
        </w:rPr>
        <w:t>set</w:t>
      </w:r>
      <w:r w:rsidR="0053009F">
        <w:rPr>
          <w:rFonts w:ascii="Times New Roman" w:hAnsi="Times New Roman"/>
          <w:lang w:val="en-GB"/>
        </w:rPr>
        <w:t xml:space="preserve"> down </w:t>
      </w:r>
      <w:r w:rsidR="005865C5">
        <w:rPr>
          <w:rFonts w:ascii="Times New Roman" w:hAnsi="Times New Roman"/>
          <w:lang w:val="en-GB"/>
        </w:rPr>
        <w:t xml:space="preserve">not </w:t>
      </w:r>
      <w:r w:rsidR="00994E66">
        <w:rPr>
          <w:rFonts w:ascii="Times New Roman" w:hAnsi="Times New Roman"/>
          <w:lang w:val="en-GB"/>
        </w:rPr>
        <w:t xml:space="preserve">for 17 April 2023, but </w:t>
      </w:r>
      <w:r w:rsidR="000F2E46">
        <w:rPr>
          <w:rFonts w:ascii="Times New Roman" w:hAnsi="Times New Roman"/>
          <w:lang w:val="en-GB"/>
        </w:rPr>
        <w:t>for 20 April 2023</w:t>
      </w:r>
      <w:r w:rsidR="00994E66">
        <w:rPr>
          <w:rFonts w:ascii="Times New Roman" w:hAnsi="Times New Roman"/>
          <w:lang w:val="en-GB"/>
        </w:rPr>
        <w:t xml:space="preserve">. </w:t>
      </w:r>
      <w:r w:rsidR="00EC03A6" w:rsidRPr="00055E33">
        <w:rPr>
          <w:rFonts w:ascii="Times New Roman" w:hAnsi="Times New Roman"/>
          <w:lang w:val="en-GB"/>
        </w:rPr>
        <w:t xml:space="preserve">That is </w:t>
      </w:r>
      <w:r w:rsidR="00994E66">
        <w:rPr>
          <w:rFonts w:ascii="Times New Roman" w:hAnsi="Times New Roman"/>
          <w:lang w:val="en-GB"/>
        </w:rPr>
        <w:t xml:space="preserve">when and </w:t>
      </w:r>
      <w:r w:rsidR="00EC03A6" w:rsidRPr="00055E33">
        <w:rPr>
          <w:rFonts w:ascii="Times New Roman" w:hAnsi="Times New Roman"/>
          <w:lang w:val="en-GB"/>
        </w:rPr>
        <w:t xml:space="preserve">how </w:t>
      </w:r>
      <w:r w:rsidR="000C4B6C">
        <w:rPr>
          <w:rFonts w:ascii="Times New Roman" w:hAnsi="Times New Roman"/>
          <w:lang w:val="en-GB"/>
        </w:rPr>
        <w:t xml:space="preserve">the application </w:t>
      </w:r>
      <w:r w:rsidR="004874E3">
        <w:rPr>
          <w:rFonts w:ascii="Times New Roman" w:hAnsi="Times New Roman"/>
          <w:lang w:val="en-GB"/>
        </w:rPr>
        <w:t>has come</w:t>
      </w:r>
      <w:r w:rsidR="00994E66">
        <w:rPr>
          <w:rFonts w:ascii="Times New Roman" w:hAnsi="Times New Roman"/>
          <w:lang w:val="en-GB"/>
        </w:rPr>
        <w:t xml:space="preserve"> before me</w:t>
      </w:r>
      <w:r w:rsidR="00E3499C">
        <w:rPr>
          <w:rFonts w:ascii="Times New Roman" w:hAnsi="Times New Roman"/>
          <w:lang w:val="en-GB"/>
        </w:rPr>
        <w:t xml:space="preserve">. </w:t>
      </w:r>
    </w:p>
    <w:p w14:paraId="387DEA90" w14:textId="5AF4D47B" w:rsidR="00F25603" w:rsidRPr="007909AC" w:rsidRDefault="006D5E15" w:rsidP="006D5E15">
      <w:pPr>
        <w:spacing w:before="240" w:after="240" w:line="480" w:lineRule="auto"/>
        <w:ind w:left="720" w:hanging="720"/>
        <w:jc w:val="both"/>
        <w:rPr>
          <w:rFonts w:ascii="Times New Roman" w:hAnsi="Times New Roman"/>
          <w:lang w:val="en-GB"/>
        </w:rPr>
      </w:pPr>
      <w:r w:rsidRPr="007909AC">
        <w:rPr>
          <w:rFonts w:ascii="Times New Roman" w:hAnsi="Times New Roman"/>
          <w:lang w:val="en-GB"/>
        </w:rPr>
        <w:t>23.</w:t>
      </w:r>
      <w:r w:rsidRPr="007909AC">
        <w:rPr>
          <w:rFonts w:ascii="Times New Roman" w:hAnsi="Times New Roman"/>
          <w:lang w:val="en-GB"/>
        </w:rPr>
        <w:tab/>
      </w:r>
      <w:r w:rsidR="00FC7040" w:rsidRPr="007909AC">
        <w:rPr>
          <w:rFonts w:ascii="Times New Roman" w:hAnsi="Times New Roman"/>
          <w:lang w:val="en-GB"/>
        </w:rPr>
        <w:t xml:space="preserve">On </w:t>
      </w:r>
      <w:r w:rsidR="00E3499C" w:rsidRPr="007909AC">
        <w:rPr>
          <w:rFonts w:ascii="Times New Roman" w:hAnsi="Times New Roman"/>
          <w:lang w:val="en-GB"/>
        </w:rPr>
        <w:t>17 April 2023</w:t>
      </w:r>
      <w:r w:rsidR="00FC7040" w:rsidRPr="007909AC">
        <w:rPr>
          <w:rFonts w:ascii="Times New Roman" w:hAnsi="Times New Roman"/>
          <w:lang w:val="en-GB"/>
        </w:rPr>
        <w:t xml:space="preserve"> the rule </w:t>
      </w:r>
      <w:r w:rsidR="007909AC" w:rsidRPr="007909AC">
        <w:rPr>
          <w:rFonts w:ascii="Times New Roman" w:hAnsi="Times New Roman"/>
          <w:i/>
          <w:iCs/>
          <w:lang w:val="en-GB"/>
        </w:rPr>
        <w:t xml:space="preserve">nisi </w:t>
      </w:r>
      <w:r w:rsidR="00FC7040" w:rsidRPr="007909AC">
        <w:rPr>
          <w:rFonts w:ascii="Times New Roman" w:hAnsi="Times New Roman"/>
          <w:lang w:val="en-GB"/>
        </w:rPr>
        <w:t xml:space="preserve">was not extended. </w:t>
      </w:r>
      <w:r w:rsidR="007909AC" w:rsidRPr="007909AC">
        <w:rPr>
          <w:rFonts w:ascii="Times New Roman" w:hAnsi="Times New Roman"/>
          <w:lang w:val="en-GB"/>
        </w:rPr>
        <w:t xml:space="preserve">The rule </w:t>
      </w:r>
      <w:r w:rsidR="007909AC" w:rsidRPr="007909AC">
        <w:rPr>
          <w:rFonts w:ascii="Times New Roman" w:hAnsi="Times New Roman"/>
          <w:i/>
          <w:iCs/>
          <w:lang w:val="en-GB"/>
        </w:rPr>
        <w:t>nisi</w:t>
      </w:r>
      <w:r w:rsidR="007909AC" w:rsidRPr="007909AC">
        <w:rPr>
          <w:rFonts w:ascii="Times New Roman" w:hAnsi="Times New Roman"/>
          <w:lang w:val="en-GB"/>
        </w:rPr>
        <w:t xml:space="preserve"> therefore has lapsed. </w:t>
      </w:r>
      <w:r w:rsidR="00CC7F8C" w:rsidRPr="007909AC">
        <w:rPr>
          <w:rFonts w:ascii="Times New Roman" w:hAnsi="Times New Roman"/>
          <w:lang w:val="en-GB"/>
        </w:rPr>
        <w:t xml:space="preserve">Rule 27(4) </w:t>
      </w:r>
      <w:r w:rsidR="002F6573" w:rsidRPr="007909AC">
        <w:rPr>
          <w:rFonts w:ascii="Times New Roman" w:hAnsi="Times New Roman"/>
          <w:lang w:val="en-GB"/>
        </w:rPr>
        <w:t xml:space="preserve">permits a court to revive a rule </w:t>
      </w:r>
      <w:r w:rsidR="000B69CF" w:rsidRPr="007909AC">
        <w:rPr>
          <w:rFonts w:ascii="Times New Roman" w:hAnsi="Times New Roman"/>
          <w:i/>
          <w:iCs/>
          <w:lang w:val="en-GB"/>
        </w:rPr>
        <w:t>“discharged by default of appearance by the applicant”.</w:t>
      </w:r>
      <w:r w:rsidR="00364A7B" w:rsidRPr="007909AC">
        <w:rPr>
          <w:rFonts w:ascii="Times New Roman" w:hAnsi="Times New Roman"/>
          <w:i/>
          <w:iCs/>
          <w:lang w:val="en-GB"/>
        </w:rPr>
        <w:t xml:space="preserve"> </w:t>
      </w:r>
      <w:r w:rsidR="00144413" w:rsidRPr="007909AC">
        <w:rPr>
          <w:rFonts w:ascii="Times New Roman" w:hAnsi="Times New Roman"/>
          <w:i/>
          <w:iCs/>
          <w:lang w:val="en-GB"/>
        </w:rPr>
        <w:t>Ex parte S &amp; U TV Services (Pty) Ltd: In re S &amp; U TV Services (Pty) Ltd (In Provisional Liquidation)</w:t>
      </w:r>
      <w:r w:rsidR="009248CD" w:rsidRPr="007909AC">
        <w:rPr>
          <w:rFonts w:ascii="Times New Roman" w:hAnsi="Times New Roman"/>
          <w:lang w:val="en-GB"/>
        </w:rPr>
        <w:t xml:space="preserve"> held that </w:t>
      </w:r>
      <w:r w:rsidR="006414AB" w:rsidRPr="007909AC">
        <w:rPr>
          <w:rFonts w:ascii="Times New Roman" w:hAnsi="Times New Roman"/>
          <w:lang w:val="en-GB"/>
        </w:rPr>
        <w:t>r</w:t>
      </w:r>
      <w:r w:rsidR="00144413" w:rsidRPr="007909AC">
        <w:rPr>
          <w:rFonts w:ascii="Times New Roman" w:hAnsi="Times New Roman"/>
          <w:lang w:val="en-GB"/>
        </w:rPr>
        <w:t xml:space="preserve">ule 27(4) applies where an applicant </w:t>
      </w:r>
      <w:r w:rsidR="00911341" w:rsidRPr="007909AC">
        <w:rPr>
          <w:rFonts w:ascii="Times New Roman" w:hAnsi="Times New Roman"/>
          <w:lang w:val="en-GB"/>
        </w:rPr>
        <w:t>fails to appear and the</w:t>
      </w:r>
      <w:r w:rsidR="008F3A42" w:rsidRPr="007909AC">
        <w:rPr>
          <w:rFonts w:ascii="Times New Roman" w:hAnsi="Times New Roman"/>
          <w:lang w:val="en-GB"/>
        </w:rPr>
        <w:t xml:space="preserve">re </w:t>
      </w:r>
      <w:r w:rsidR="00911341" w:rsidRPr="007909AC">
        <w:rPr>
          <w:rFonts w:ascii="Times New Roman" w:hAnsi="Times New Roman"/>
          <w:lang w:val="en-GB"/>
        </w:rPr>
        <w:t xml:space="preserve">has been </w:t>
      </w:r>
      <w:r w:rsidR="00911341" w:rsidRPr="007909AC">
        <w:rPr>
          <w:rFonts w:ascii="Times New Roman" w:hAnsi="Times New Roman"/>
          <w:i/>
          <w:iCs/>
          <w:lang w:val="en-GB"/>
        </w:rPr>
        <w:t>“some oversight or misunderstanding</w:t>
      </w:r>
      <w:r w:rsidR="00543ABC" w:rsidRPr="007909AC">
        <w:rPr>
          <w:rFonts w:ascii="Times New Roman" w:hAnsi="Times New Roman"/>
          <w:i/>
          <w:iCs/>
          <w:lang w:val="en-GB"/>
        </w:rPr>
        <w:t xml:space="preserve">” </w:t>
      </w:r>
      <w:r w:rsidR="00E11BDF" w:rsidRPr="007909AC">
        <w:rPr>
          <w:rFonts w:ascii="Times New Roman" w:hAnsi="Times New Roman"/>
          <w:lang w:val="en-GB"/>
        </w:rPr>
        <w:t xml:space="preserve">of the nature of an </w:t>
      </w:r>
      <w:r w:rsidR="00E11BDF" w:rsidRPr="007909AC">
        <w:rPr>
          <w:rFonts w:ascii="Times New Roman" w:hAnsi="Times New Roman"/>
          <w:i/>
          <w:iCs/>
          <w:lang w:val="en-GB"/>
        </w:rPr>
        <w:t>“understandable and excusable error”</w:t>
      </w:r>
      <w:r w:rsidR="00DD6CFF" w:rsidRPr="007909AC">
        <w:rPr>
          <w:rFonts w:ascii="Times New Roman" w:hAnsi="Times New Roman"/>
          <w:lang w:val="en-GB"/>
        </w:rPr>
        <w:t xml:space="preserve">, and revival is </w:t>
      </w:r>
      <w:r w:rsidR="00DD6CFF" w:rsidRPr="007909AC">
        <w:rPr>
          <w:rFonts w:ascii="Times New Roman" w:hAnsi="Times New Roman"/>
          <w:i/>
          <w:iCs/>
          <w:lang w:val="en-GB"/>
        </w:rPr>
        <w:t>“</w:t>
      </w:r>
      <w:r w:rsidR="00E12E1D" w:rsidRPr="007909AC">
        <w:rPr>
          <w:rFonts w:ascii="Times New Roman" w:hAnsi="Times New Roman"/>
          <w:i/>
          <w:iCs/>
          <w:lang w:val="en-GB"/>
        </w:rPr>
        <w:t xml:space="preserve">almost immediately after the discharge of the rule, ie while matters are still essentially res </w:t>
      </w:r>
      <w:r w:rsidR="00E12E1D" w:rsidRPr="007909AC">
        <w:rPr>
          <w:rFonts w:ascii="Times New Roman" w:hAnsi="Times New Roman"/>
          <w:i/>
          <w:iCs/>
          <w:lang w:val="en-GB"/>
        </w:rPr>
        <w:lastRenderedPageBreak/>
        <w:t>integra.”</w:t>
      </w:r>
      <w:r w:rsidR="002F6D5C">
        <w:rPr>
          <w:rStyle w:val="FootnoteReference"/>
          <w:rFonts w:ascii="Times New Roman" w:hAnsi="Times New Roman"/>
          <w:lang w:val="en-GB"/>
        </w:rPr>
        <w:footnoteReference w:id="1"/>
      </w:r>
      <w:r w:rsidR="002F6D5C" w:rsidRPr="007909AC">
        <w:rPr>
          <w:rFonts w:ascii="Times New Roman" w:hAnsi="Times New Roman"/>
          <w:lang w:val="en-GB"/>
        </w:rPr>
        <w:t xml:space="preserve"> </w:t>
      </w:r>
      <w:r w:rsidR="00693EF3" w:rsidRPr="007909AC">
        <w:rPr>
          <w:rFonts w:ascii="Times New Roman" w:hAnsi="Times New Roman"/>
          <w:lang w:val="en-GB"/>
        </w:rPr>
        <w:t xml:space="preserve">Regardless of how long or short the lapse, the court should however be satisfied that </w:t>
      </w:r>
      <w:r w:rsidR="00255D76" w:rsidRPr="007909AC">
        <w:rPr>
          <w:rFonts w:ascii="Times New Roman" w:hAnsi="Times New Roman"/>
          <w:lang w:val="en-GB"/>
        </w:rPr>
        <w:t xml:space="preserve">matters </w:t>
      </w:r>
      <w:r w:rsidR="004A3C07" w:rsidRPr="007909AC">
        <w:rPr>
          <w:rFonts w:ascii="Times New Roman" w:hAnsi="Times New Roman"/>
          <w:i/>
          <w:iCs/>
          <w:lang w:val="en-GB"/>
        </w:rPr>
        <w:t xml:space="preserve">“are still </w:t>
      </w:r>
      <w:r w:rsidR="00327157" w:rsidRPr="007909AC">
        <w:rPr>
          <w:rFonts w:ascii="Times New Roman" w:hAnsi="Times New Roman"/>
          <w:i/>
          <w:iCs/>
          <w:lang w:val="en-GB"/>
        </w:rPr>
        <w:t>essentially res integra”</w:t>
      </w:r>
      <w:r w:rsidR="0044331E" w:rsidRPr="007909AC">
        <w:rPr>
          <w:rFonts w:ascii="Times New Roman" w:hAnsi="Times New Roman"/>
          <w:lang w:val="en-GB"/>
        </w:rPr>
        <w:t xml:space="preserve"> – that is, where the underlying facts </w:t>
      </w:r>
      <w:r w:rsidR="00FB329D" w:rsidRPr="007909AC">
        <w:rPr>
          <w:rFonts w:ascii="Times New Roman" w:hAnsi="Times New Roman"/>
          <w:lang w:val="en-GB"/>
        </w:rPr>
        <w:t xml:space="preserve">probably </w:t>
      </w:r>
      <w:r w:rsidR="0044331E" w:rsidRPr="007909AC">
        <w:rPr>
          <w:rFonts w:ascii="Times New Roman" w:hAnsi="Times New Roman"/>
          <w:lang w:val="en-GB"/>
        </w:rPr>
        <w:t xml:space="preserve">remain </w:t>
      </w:r>
      <w:r w:rsidR="00FB329D" w:rsidRPr="007909AC">
        <w:rPr>
          <w:rFonts w:ascii="Times New Roman" w:hAnsi="Times New Roman"/>
          <w:lang w:val="en-GB"/>
        </w:rPr>
        <w:t xml:space="preserve">untouched and </w:t>
      </w:r>
      <w:r w:rsidR="0044331E" w:rsidRPr="007909AC">
        <w:rPr>
          <w:rFonts w:ascii="Times New Roman" w:hAnsi="Times New Roman"/>
          <w:lang w:val="en-GB"/>
        </w:rPr>
        <w:t>as they were at the time of the lapse</w:t>
      </w:r>
      <w:r w:rsidR="00FB329D" w:rsidRPr="007909AC">
        <w:rPr>
          <w:rFonts w:ascii="Times New Roman" w:hAnsi="Times New Roman"/>
          <w:lang w:val="en-GB"/>
        </w:rPr>
        <w:t>.</w:t>
      </w:r>
      <w:r w:rsidR="00FB329D">
        <w:rPr>
          <w:rStyle w:val="FootnoteReference"/>
          <w:rFonts w:ascii="Times New Roman" w:hAnsi="Times New Roman"/>
          <w:lang w:val="en-GB"/>
        </w:rPr>
        <w:footnoteReference w:id="2"/>
      </w:r>
    </w:p>
    <w:p w14:paraId="60C21571" w14:textId="5C76F729" w:rsidR="001850B8" w:rsidRPr="001850B8" w:rsidRDefault="006D5E15" w:rsidP="006D5E15">
      <w:pPr>
        <w:spacing w:before="240" w:after="240" w:line="480" w:lineRule="auto"/>
        <w:ind w:left="720" w:hanging="720"/>
        <w:jc w:val="both"/>
        <w:rPr>
          <w:rFonts w:ascii="Times New Roman" w:hAnsi="Times New Roman"/>
          <w:lang w:val="en-GB"/>
        </w:rPr>
      </w:pPr>
      <w:r w:rsidRPr="001850B8">
        <w:rPr>
          <w:rFonts w:ascii="Times New Roman" w:hAnsi="Times New Roman"/>
          <w:lang w:val="en-GB"/>
        </w:rPr>
        <w:t>24.</w:t>
      </w:r>
      <w:r w:rsidRPr="001850B8">
        <w:rPr>
          <w:rFonts w:ascii="Times New Roman" w:hAnsi="Times New Roman"/>
          <w:lang w:val="en-GB"/>
        </w:rPr>
        <w:tab/>
      </w:r>
      <w:r w:rsidR="006060DA">
        <w:rPr>
          <w:rFonts w:ascii="Times New Roman" w:hAnsi="Times New Roman"/>
          <w:i/>
          <w:iCs/>
          <w:lang w:val="en-GB"/>
        </w:rPr>
        <w:t xml:space="preserve">Williams v Landmark Properties </w:t>
      </w:r>
      <w:r w:rsidR="006060DA">
        <w:rPr>
          <w:rFonts w:ascii="Times New Roman" w:hAnsi="Times New Roman"/>
          <w:lang w:val="en-GB"/>
        </w:rPr>
        <w:t xml:space="preserve">held that rule 27(4) </w:t>
      </w:r>
      <w:r w:rsidR="00364A7B" w:rsidRPr="008C231D">
        <w:rPr>
          <w:rFonts w:ascii="Times New Roman" w:hAnsi="Times New Roman"/>
          <w:lang w:val="en-GB"/>
        </w:rPr>
        <w:t xml:space="preserve">does not </w:t>
      </w:r>
      <w:r w:rsidR="004A76D7" w:rsidRPr="008C231D">
        <w:rPr>
          <w:rFonts w:ascii="Times New Roman" w:hAnsi="Times New Roman"/>
          <w:lang w:val="en-GB"/>
        </w:rPr>
        <w:t xml:space="preserve">apply where </w:t>
      </w:r>
      <w:r w:rsidR="00B87E66" w:rsidRPr="008C231D">
        <w:rPr>
          <w:rFonts w:ascii="Times New Roman" w:hAnsi="Times New Roman"/>
          <w:lang w:val="en-GB"/>
        </w:rPr>
        <w:t xml:space="preserve">a </w:t>
      </w:r>
      <w:r w:rsidR="004A76D7" w:rsidRPr="008C231D">
        <w:rPr>
          <w:rFonts w:ascii="Times New Roman" w:hAnsi="Times New Roman"/>
          <w:lang w:val="en-GB"/>
        </w:rPr>
        <w:t xml:space="preserve">rule </w:t>
      </w:r>
      <w:r w:rsidR="006060DA" w:rsidRPr="008F3A42">
        <w:rPr>
          <w:rFonts w:ascii="Times New Roman" w:hAnsi="Times New Roman"/>
          <w:i/>
          <w:iCs/>
          <w:lang w:val="en-GB"/>
        </w:rPr>
        <w:t>nis</w:t>
      </w:r>
      <w:r w:rsidR="008F3A42" w:rsidRPr="008F3A42">
        <w:rPr>
          <w:rFonts w:ascii="Times New Roman" w:hAnsi="Times New Roman"/>
          <w:i/>
          <w:iCs/>
          <w:lang w:val="en-GB"/>
        </w:rPr>
        <w:t>i</w:t>
      </w:r>
      <w:r w:rsidR="008F3A42">
        <w:rPr>
          <w:rFonts w:ascii="Times New Roman" w:hAnsi="Times New Roman"/>
          <w:lang w:val="en-GB"/>
        </w:rPr>
        <w:t xml:space="preserve"> </w:t>
      </w:r>
      <w:r w:rsidR="004A76D7" w:rsidRPr="008C231D">
        <w:rPr>
          <w:rFonts w:ascii="Times New Roman" w:hAnsi="Times New Roman"/>
          <w:lang w:val="en-GB"/>
        </w:rPr>
        <w:t>lapses by virtue of the</w:t>
      </w:r>
      <w:r w:rsidR="00CE03F7">
        <w:rPr>
          <w:rFonts w:ascii="Times New Roman" w:hAnsi="Times New Roman"/>
          <w:lang w:val="en-GB"/>
        </w:rPr>
        <w:t xml:space="preserve"> fulfilment of a</w:t>
      </w:r>
      <w:r w:rsidR="004A76D7" w:rsidRPr="008C231D">
        <w:rPr>
          <w:rFonts w:ascii="Times New Roman" w:hAnsi="Times New Roman"/>
          <w:lang w:val="en-GB"/>
        </w:rPr>
        <w:t xml:space="preserve"> resolutive condition</w:t>
      </w:r>
      <w:r w:rsidR="00022701">
        <w:rPr>
          <w:rFonts w:ascii="Times New Roman" w:hAnsi="Times New Roman"/>
          <w:lang w:val="en-GB"/>
        </w:rPr>
        <w:t xml:space="preserve"> to which the rule </w:t>
      </w:r>
      <w:r w:rsidR="00022701">
        <w:rPr>
          <w:rFonts w:ascii="Times New Roman" w:hAnsi="Times New Roman"/>
          <w:i/>
          <w:iCs/>
          <w:lang w:val="en-GB"/>
        </w:rPr>
        <w:t xml:space="preserve">nisi </w:t>
      </w:r>
      <w:r w:rsidR="00022701">
        <w:rPr>
          <w:rFonts w:ascii="Times New Roman" w:hAnsi="Times New Roman"/>
          <w:lang w:val="en-GB"/>
        </w:rPr>
        <w:t>is subject.</w:t>
      </w:r>
      <w:r w:rsidR="00022701">
        <w:rPr>
          <w:rStyle w:val="FootnoteReference"/>
          <w:rFonts w:ascii="Times New Roman" w:hAnsi="Times New Roman"/>
          <w:lang w:val="en-GB"/>
        </w:rPr>
        <w:footnoteReference w:id="3"/>
      </w:r>
      <w:r w:rsidR="00D83F79">
        <w:rPr>
          <w:rFonts w:ascii="Times New Roman" w:hAnsi="Times New Roman"/>
          <w:lang w:val="en-GB"/>
        </w:rPr>
        <w:t xml:space="preserve"> </w:t>
      </w:r>
      <w:r w:rsidR="00A45C78">
        <w:rPr>
          <w:rFonts w:ascii="Times New Roman" w:hAnsi="Times New Roman"/>
          <w:lang w:val="en-GB"/>
        </w:rPr>
        <w:t xml:space="preserve">The unfulfilled resolutive condition was a provision that </w:t>
      </w:r>
      <w:r w:rsidR="00773AC2">
        <w:rPr>
          <w:rFonts w:ascii="Times New Roman" w:hAnsi="Times New Roman"/>
          <w:lang w:val="en-GB"/>
        </w:rPr>
        <w:t>the applicant institute an action within 30 days.</w:t>
      </w:r>
      <w:r w:rsidR="00773AC2">
        <w:rPr>
          <w:rStyle w:val="FootnoteReference"/>
          <w:rFonts w:ascii="Times New Roman" w:hAnsi="Times New Roman"/>
          <w:lang w:val="en-GB"/>
        </w:rPr>
        <w:footnoteReference w:id="4"/>
      </w:r>
      <w:r w:rsidR="00773AC2">
        <w:rPr>
          <w:rFonts w:ascii="Times New Roman" w:hAnsi="Times New Roman"/>
          <w:lang w:val="en-GB"/>
        </w:rPr>
        <w:t xml:space="preserve"> </w:t>
      </w:r>
      <w:r w:rsidR="00701637">
        <w:rPr>
          <w:rFonts w:ascii="Times New Roman" w:hAnsi="Times New Roman"/>
          <w:lang w:val="en-GB"/>
        </w:rPr>
        <w:t>It was not a case of non-appearance</w:t>
      </w:r>
      <w:r w:rsidR="005F563C">
        <w:rPr>
          <w:rFonts w:ascii="Times New Roman" w:hAnsi="Times New Roman"/>
          <w:lang w:val="en-GB"/>
        </w:rPr>
        <w:t xml:space="preserve"> on the return day. </w:t>
      </w:r>
      <w:r w:rsidR="007A7906">
        <w:rPr>
          <w:rFonts w:ascii="Times New Roman" w:hAnsi="Times New Roman"/>
          <w:lang w:val="en-GB"/>
        </w:rPr>
        <w:t>T</w:t>
      </w:r>
      <w:r w:rsidR="00EF2554">
        <w:rPr>
          <w:rFonts w:ascii="Times New Roman" w:hAnsi="Times New Roman"/>
          <w:lang w:val="en-GB"/>
        </w:rPr>
        <w:t xml:space="preserve">he case is best construed as authority </w:t>
      </w:r>
      <w:r w:rsidR="007A7906">
        <w:rPr>
          <w:rFonts w:ascii="Times New Roman" w:hAnsi="Times New Roman"/>
          <w:lang w:val="en-GB"/>
        </w:rPr>
        <w:t xml:space="preserve">that </w:t>
      </w:r>
      <w:r w:rsidR="00D202F4">
        <w:rPr>
          <w:rFonts w:ascii="Times New Roman" w:hAnsi="Times New Roman"/>
          <w:lang w:val="en-GB"/>
        </w:rPr>
        <w:t xml:space="preserve">rule 27(4) does not apply where a rule </w:t>
      </w:r>
      <w:r w:rsidR="00D202F4">
        <w:rPr>
          <w:rFonts w:ascii="Times New Roman" w:hAnsi="Times New Roman"/>
          <w:i/>
          <w:iCs/>
          <w:lang w:val="en-GB"/>
        </w:rPr>
        <w:t xml:space="preserve">nisi </w:t>
      </w:r>
      <w:r w:rsidR="00D202F4">
        <w:rPr>
          <w:rFonts w:ascii="Times New Roman" w:hAnsi="Times New Roman"/>
          <w:lang w:val="en-GB"/>
        </w:rPr>
        <w:t xml:space="preserve">lapses by virtue of fulfilment of a resolutive condition other </w:t>
      </w:r>
      <w:r w:rsidR="009C5725">
        <w:rPr>
          <w:rFonts w:ascii="Times New Roman" w:hAnsi="Times New Roman"/>
          <w:lang w:val="en-GB"/>
        </w:rPr>
        <w:t xml:space="preserve">than </w:t>
      </w:r>
      <w:r w:rsidR="007A7906">
        <w:rPr>
          <w:rFonts w:ascii="Times New Roman" w:hAnsi="Times New Roman"/>
          <w:lang w:val="en-GB"/>
        </w:rPr>
        <w:t xml:space="preserve">non-appearance on </w:t>
      </w:r>
      <w:r w:rsidR="00D202F4">
        <w:rPr>
          <w:rFonts w:ascii="Times New Roman" w:hAnsi="Times New Roman"/>
          <w:lang w:val="en-GB"/>
        </w:rPr>
        <w:t xml:space="preserve">the </w:t>
      </w:r>
      <w:r w:rsidR="00161EE2">
        <w:rPr>
          <w:rFonts w:ascii="Times New Roman" w:hAnsi="Times New Roman"/>
          <w:lang w:val="en-GB"/>
        </w:rPr>
        <w:t xml:space="preserve">date set in the rule </w:t>
      </w:r>
      <w:r w:rsidR="00161EE2">
        <w:rPr>
          <w:rFonts w:ascii="Times New Roman" w:hAnsi="Times New Roman"/>
          <w:i/>
          <w:iCs/>
          <w:lang w:val="en-GB"/>
        </w:rPr>
        <w:t>nisi</w:t>
      </w:r>
      <w:r w:rsidR="00161EE2">
        <w:rPr>
          <w:rFonts w:ascii="Times New Roman" w:hAnsi="Times New Roman"/>
          <w:lang w:val="en-GB"/>
        </w:rPr>
        <w:t xml:space="preserve">. </w:t>
      </w:r>
    </w:p>
    <w:p w14:paraId="1C144FCC" w14:textId="13486C7F" w:rsidR="008C231D" w:rsidRPr="008C231D" w:rsidRDefault="006D5E15" w:rsidP="006D5E15">
      <w:pPr>
        <w:spacing w:before="240" w:after="240" w:line="480" w:lineRule="auto"/>
        <w:ind w:left="720" w:hanging="720"/>
        <w:jc w:val="both"/>
        <w:rPr>
          <w:rFonts w:ascii="Times New Roman" w:hAnsi="Times New Roman"/>
          <w:lang w:val="en-GB"/>
        </w:rPr>
      </w:pPr>
      <w:r w:rsidRPr="008C231D">
        <w:rPr>
          <w:rFonts w:ascii="Times New Roman" w:hAnsi="Times New Roman"/>
          <w:lang w:val="en-GB"/>
        </w:rPr>
        <w:t>25.</w:t>
      </w:r>
      <w:r w:rsidRPr="008C231D">
        <w:rPr>
          <w:rFonts w:ascii="Times New Roman" w:hAnsi="Times New Roman"/>
          <w:lang w:val="en-GB"/>
        </w:rPr>
        <w:tab/>
      </w:r>
      <w:r w:rsidR="00F200F3">
        <w:rPr>
          <w:rFonts w:ascii="Times New Roman" w:hAnsi="Times New Roman"/>
          <w:lang w:val="en-GB"/>
        </w:rPr>
        <w:t xml:space="preserve">In this case I am satisfied that the lapse was on account of </w:t>
      </w:r>
      <w:r w:rsidR="007C3CA8">
        <w:rPr>
          <w:rFonts w:ascii="Times New Roman" w:hAnsi="Times New Roman"/>
          <w:lang w:val="en-GB"/>
        </w:rPr>
        <w:t xml:space="preserve">an understandable error. No party </w:t>
      </w:r>
      <w:r w:rsidR="00F140DB">
        <w:rPr>
          <w:rFonts w:ascii="Times New Roman" w:hAnsi="Times New Roman"/>
          <w:lang w:val="en-GB"/>
        </w:rPr>
        <w:t xml:space="preserve">had realised </w:t>
      </w:r>
      <w:r w:rsidR="007C3CA8">
        <w:rPr>
          <w:rFonts w:ascii="Times New Roman" w:hAnsi="Times New Roman"/>
          <w:lang w:val="en-GB"/>
        </w:rPr>
        <w:t xml:space="preserve">the lapse until </w:t>
      </w:r>
      <w:r w:rsidR="00C50839">
        <w:rPr>
          <w:rFonts w:ascii="Times New Roman" w:hAnsi="Times New Roman"/>
          <w:lang w:val="en-GB"/>
        </w:rPr>
        <w:t>the hearing on 20 April 2023</w:t>
      </w:r>
      <w:r w:rsidR="007C3CA8">
        <w:rPr>
          <w:rFonts w:ascii="Times New Roman" w:hAnsi="Times New Roman"/>
          <w:lang w:val="en-GB"/>
        </w:rPr>
        <w:t xml:space="preserve">. Nothing has happened in consequence of the lapse. </w:t>
      </w:r>
      <w:r w:rsidR="007767B6">
        <w:rPr>
          <w:rFonts w:ascii="Times New Roman" w:hAnsi="Times New Roman"/>
          <w:lang w:val="en-GB"/>
        </w:rPr>
        <w:t>Things remain as they were</w:t>
      </w:r>
      <w:r w:rsidR="00224EE4">
        <w:rPr>
          <w:rFonts w:ascii="Times New Roman" w:hAnsi="Times New Roman"/>
          <w:lang w:val="en-GB"/>
        </w:rPr>
        <w:t xml:space="preserve"> before. </w:t>
      </w:r>
      <w:r w:rsidR="008071AB">
        <w:rPr>
          <w:rFonts w:ascii="Times New Roman" w:hAnsi="Times New Roman"/>
          <w:lang w:val="en-GB"/>
        </w:rPr>
        <w:t xml:space="preserve">The parties </w:t>
      </w:r>
      <w:r w:rsidR="009C1E80">
        <w:rPr>
          <w:rFonts w:ascii="Times New Roman" w:hAnsi="Times New Roman"/>
          <w:lang w:val="en-GB"/>
        </w:rPr>
        <w:t xml:space="preserve">all </w:t>
      </w:r>
      <w:r w:rsidR="008071AB">
        <w:rPr>
          <w:rFonts w:ascii="Times New Roman" w:hAnsi="Times New Roman"/>
          <w:lang w:val="en-GB"/>
        </w:rPr>
        <w:t xml:space="preserve">seek resolution of the case on its merits. </w:t>
      </w:r>
      <w:r w:rsidR="008C7DDB">
        <w:rPr>
          <w:rFonts w:ascii="Times New Roman" w:hAnsi="Times New Roman"/>
          <w:lang w:val="en-GB"/>
        </w:rPr>
        <w:t>B</w:t>
      </w:r>
      <w:r w:rsidR="007A7477">
        <w:rPr>
          <w:rFonts w:ascii="Times New Roman" w:hAnsi="Times New Roman"/>
          <w:lang w:val="en-GB"/>
        </w:rPr>
        <w:t>ut for my conclusion</w:t>
      </w:r>
      <w:r w:rsidR="008071AB">
        <w:rPr>
          <w:rFonts w:ascii="Times New Roman" w:hAnsi="Times New Roman"/>
          <w:lang w:val="en-GB"/>
        </w:rPr>
        <w:t xml:space="preserve"> on the merits, which makes revival </w:t>
      </w:r>
      <w:r w:rsidR="00EF26C7">
        <w:rPr>
          <w:rFonts w:ascii="Times New Roman" w:hAnsi="Times New Roman"/>
          <w:lang w:val="en-GB"/>
        </w:rPr>
        <w:t xml:space="preserve">unnecessary, </w:t>
      </w:r>
      <w:r w:rsidR="007A7477">
        <w:rPr>
          <w:rFonts w:ascii="Times New Roman" w:hAnsi="Times New Roman"/>
          <w:lang w:val="en-GB"/>
        </w:rPr>
        <w:t xml:space="preserve">I would have </w:t>
      </w:r>
      <w:r w:rsidR="00E36178">
        <w:rPr>
          <w:rFonts w:ascii="Times New Roman" w:hAnsi="Times New Roman"/>
          <w:lang w:val="en-GB"/>
        </w:rPr>
        <w:t xml:space="preserve">revived </w:t>
      </w:r>
      <w:r w:rsidR="00EF26C7">
        <w:rPr>
          <w:rFonts w:ascii="Times New Roman" w:hAnsi="Times New Roman"/>
          <w:lang w:val="en-GB"/>
        </w:rPr>
        <w:t>the lapsed rule</w:t>
      </w:r>
      <w:r w:rsidR="00E36178">
        <w:rPr>
          <w:rFonts w:ascii="Times New Roman" w:hAnsi="Times New Roman"/>
          <w:lang w:val="en-GB"/>
        </w:rPr>
        <w:t xml:space="preserve"> </w:t>
      </w:r>
      <w:r w:rsidR="00E36178">
        <w:rPr>
          <w:rFonts w:ascii="Times New Roman" w:hAnsi="Times New Roman"/>
          <w:i/>
          <w:iCs/>
          <w:lang w:val="en-GB"/>
        </w:rPr>
        <w:t>nisi</w:t>
      </w:r>
      <w:r w:rsidR="00EF26C7">
        <w:rPr>
          <w:rFonts w:ascii="Times New Roman" w:hAnsi="Times New Roman"/>
          <w:lang w:val="en-GB"/>
        </w:rPr>
        <w:t xml:space="preserve">. </w:t>
      </w:r>
      <w:r w:rsidR="00FE4906">
        <w:rPr>
          <w:rFonts w:ascii="Times New Roman" w:hAnsi="Times New Roman"/>
          <w:lang w:val="en-GB"/>
        </w:rPr>
        <w:t xml:space="preserve">In the light of my conclusion on the merits it is however unnecessary to do so. </w:t>
      </w:r>
    </w:p>
    <w:p w14:paraId="286D5092" w14:textId="7E16C9E3" w:rsidR="002C1B3E" w:rsidRPr="002C1B3E" w:rsidRDefault="002A618E" w:rsidP="00675A8B">
      <w:pPr>
        <w:keepNext/>
        <w:spacing w:before="240" w:after="240" w:line="480" w:lineRule="auto"/>
        <w:ind w:left="720"/>
        <w:jc w:val="both"/>
        <w:rPr>
          <w:rFonts w:ascii="Times New Roman" w:hAnsi="Times New Roman"/>
          <w:u w:val="single"/>
          <w:lang w:val="en-GB"/>
        </w:rPr>
      </w:pPr>
      <w:r>
        <w:rPr>
          <w:rFonts w:ascii="Times New Roman" w:hAnsi="Times New Roman"/>
          <w:u w:val="single"/>
          <w:lang w:val="en-GB"/>
        </w:rPr>
        <w:lastRenderedPageBreak/>
        <w:t>The parties’ cases</w:t>
      </w:r>
    </w:p>
    <w:p w14:paraId="430090A1" w14:textId="2E4474FA" w:rsidR="00C26505"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26.</w:t>
      </w:r>
      <w:r>
        <w:rPr>
          <w:rFonts w:ascii="Times New Roman" w:hAnsi="Times New Roman"/>
          <w:lang w:val="en-GB"/>
        </w:rPr>
        <w:tab/>
      </w:r>
      <w:r w:rsidR="00764DC6">
        <w:rPr>
          <w:rFonts w:ascii="Times New Roman" w:hAnsi="Times New Roman"/>
          <w:lang w:val="en-GB"/>
        </w:rPr>
        <w:t xml:space="preserve">What is the </w:t>
      </w:r>
      <w:r w:rsidR="002B7F92">
        <w:rPr>
          <w:rFonts w:ascii="Times New Roman" w:hAnsi="Times New Roman"/>
          <w:lang w:val="en-GB"/>
        </w:rPr>
        <w:t xml:space="preserve">claim of Rota against </w:t>
      </w:r>
      <w:r w:rsidR="003656B9">
        <w:rPr>
          <w:rFonts w:ascii="Times New Roman" w:hAnsi="Times New Roman"/>
          <w:lang w:val="en-GB"/>
        </w:rPr>
        <w:t xml:space="preserve">Full Score? </w:t>
      </w:r>
      <w:r w:rsidR="00224EE4">
        <w:rPr>
          <w:rFonts w:ascii="Times New Roman" w:hAnsi="Times New Roman"/>
          <w:lang w:val="en-GB"/>
        </w:rPr>
        <w:t xml:space="preserve">Rota </w:t>
      </w:r>
      <w:r w:rsidR="00CE5167">
        <w:rPr>
          <w:rFonts w:ascii="Times New Roman" w:hAnsi="Times New Roman"/>
          <w:lang w:val="en-GB"/>
        </w:rPr>
        <w:t>alleges</w:t>
      </w:r>
      <w:r w:rsidR="00224EE4">
        <w:rPr>
          <w:rFonts w:ascii="Times New Roman" w:hAnsi="Times New Roman"/>
          <w:lang w:val="en-GB"/>
        </w:rPr>
        <w:t xml:space="preserve">, and </w:t>
      </w:r>
      <w:r w:rsidR="00C50839">
        <w:rPr>
          <w:rFonts w:ascii="Times New Roman" w:hAnsi="Times New Roman"/>
          <w:lang w:val="en-GB"/>
        </w:rPr>
        <w:t xml:space="preserve">its counsel </w:t>
      </w:r>
      <w:r w:rsidR="00224EE4">
        <w:rPr>
          <w:rFonts w:ascii="Times New Roman" w:hAnsi="Times New Roman"/>
          <w:lang w:val="en-GB"/>
        </w:rPr>
        <w:t>underscored in argument,</w:t>
      </w:r>
      <w:r w:rsidR="006E3976">
        <w:rPr>
          <w:rFonts w:ascii="Times New Roman" w:hAnsi="Times New Roman"/>
          <w:lang w:val="en-GB"/>
        </w:rPr>
        <w:t xml:space="preserve"> the common directorship</w:t>
      </w:r>
      <w:r w:rsidR="00CE5167">
        <w:rPr>
          <w:rFonts w:ascii="Times New Roman" w:hAnsi="Times New Roman"/>
          <w:lang w:val="en-GB"/>
        </w:rPr>
        <w:t>s</w:t>
      </w:r>
      <w:r w:rsidR="0075445A">
        <w:rPr>
          <w:rFonts w:ascii="Times New Roman" w:hAnsi="Times New Roman"/>
          <w:lang w:val="en-GB"/>
        </w:rPr>
        <w:t xml:space="preserve"> as between Armour, AJH and Full Score</w:t>
      </w:r>
      <w:r w:rsidR="007E4B57">
        <w:rPr>
          <w:rFonts w:ascii="Times New Roman" w:hAnsi="Times New Roman"/>
          <w:lang w:val="en-GB"/>
        </w:rPr>
        <w:t xml:space="preserve">. </w:t>
      </w:r>
      <w:r w:rsidR="00350C3E">
        <w:rPr>
          <w:rFonts w:ascii="Times New Roman" w:hAnsi="Times New Roman"/>
          <w:lang w:val="en-GB"/>
        </w:rPr>
        <w:t xml:space="preserve">And, that </w:t>
      </w:r>
      <w:r w:rsidR="007E4B57">
        <w:rPr>
          <w:rFonts w:ascii="Times New Roman" w:hAnsi="Times New Roman"/>
          <w:lang w:val="en-GB"/>
        </w:rPr>
        <w:t xml:space="preserve">Full Score owns the (same) property that is the registered </w:t>
      </w:r>
      <w:r w:rsidR="001D7FA6">
        <w:rPr>
          <w:rFonts w:ascii="Times New Roman" w:hAnsi="Times New Roman"/>
          <w:lang w:val="en-GB"/>
        </w:rPr>
        <w:t xml:space="preserve">address of both Armour and Full Score, and another property that is the registered address of AJH. </w:t>
      </w:r>
    </w:p>
    <w:p w14:paraId="7A31DC3D" w14:textId="17E7AF80" w:rsidR="003E426E" w:rsidRPr="003E426E" w:rsidRDefault="006D5E15" w:rsidP="006D5E15">
      <w:pPr>
        <w:spacing w:before="240" w:after="240" w:line="480" w:lineRule="auto"/>
        <w:ind w:left="720" w:hanging="720"/>
        <w:jc w:val="both"/>
        <w:rPr>
          <w:rFonts w:ascii="Times New Roman" w:hAnsi="Times New Roman"/>
          <w:lang w:val="en-GB"/>
        </w:rPr>
      </w:pPr>
      <w:r w:rsidRPr="003E426E">
        <w:rPr>
          <w:rFonts w:ascii="Times New Roman" w:hAnsi="Times New Roman"/>
          <w:lang w:val="en-GB"/>
        </w:rPr>
        <w:t>27.</w:t>
      </w:r>
      <w:r w:rsidRPr="003E426E">
        <w:rPr>
          <w:rFonts w:ascii="Times New Roman" w:hAnsi="Times New Roman"/>
          <w:lang w:val="en-GB"/>
        </w:rPr>
        <w:tab/>
      </w:r>
      <w:r w:rsidR="00350C3E">
        <w:rPr>
          <w:rFonts w:ascii="Times New Roman" w:hAnsi="Times New Roman"/>
          <w:lang w:val="en-GB"/>
        </w:rPr>
        <w:t xml:space="preserve">The </w:t>
      </w:r>
      <w:r w:rsidR="00787774" w:rsidRPr="0068218A">
        <w:rPr>
          <w:rFonts w:ascii="Times New Roman" w:hAnsi="Times New Roman"/>
          <w:lang w:val="en-GB"/>
        </w:rPr>
        <w:t>founding affidavit</w:t>
      </w:r>
      <w:r w:rsidR="00675A8B">
        <w:rPr>
          <w:rFonts w:ascii="Times New Roman" w:hAnsi="Times New Roman"/>
          <w:lang w:val="en-GB"/>
        </w:rPr>
        <w:t xml:space="preserve"> </w:t>
      </w:r>
      <w:r w:rsidR="004B138F">
        <w:rPr>
          <w:rFonts w:ascii="Times New Roman" w:hAnsi="Times New Roman"/>
          <w:lang w:val="en-GB"/>
        </w:rPr>
        <w:t xml:space="preserve">alleges </w:t>
      </w:r>
      <w:r w:rsidR="00675A8B">
        <w:rPr>
          <w:rFonts w:ascii="Times New Roman" w:hAnsi="Times New Roman"/>
          <w:lang w:val="en-GB"/>
        </w:rPr>
        <w:t xml:space="preserve">that </w:t>
      </w:r>
      <w:r w:rsidR="00F95F43" w:rsidRPr="0068218A">
        <w:rPr>
          <w:rFonts w:ascii="Times New Roman" w:hAnsi="Times New Roman"/>
          <w:i/>
          <w:iCs/>
          <w:lang w:val="en-GB"/>
        </w:rPr>
        <w:t>“</w:t>
      </w:r>
      <w:r w:rsidR="00787774" w:rsidRPr="0068218A">
        <w:rPr>
          <w:rFonts w:ascii="Times New Roman" w:hAnsi="Times New Roman"/>
          <w:i/>
          <w:iCs/>
          <w:lang w:val="en-GB"/>
        </w:rPr>
        <w:t xml:space="preserve">a </w:t>
      </w:r>
      <w:r w:rsidR="00F95F43" w:rsidRPr="0068218A">
        <w:rPr>
          <w:rFonts w:ascii="Times New Roman" w:hAnsi="Times New Roman"/>
          <w:i/>
          <w:iCs/>
          <w:lang w:val="en-GB"/>
        </w:rPr>
        <w:t>director of a company may be declared diligent [sic] under the Companies Act, 71 of 2008 (as amended) in certain circumstances”</w:t>
      </w:r>
      <w:r w:rsidR="00F95F43" w:rsidRPr="0068218A">
        <w:rPr>
          <w:rFonts w:ascii="Times New Roman" w:hAnsi="Times New Roman"/>
          <w:lang w:val="en-GB"/>
        </w:rPr>
        <w:t xml:space="preserve">. </w:t>
      </w:r>
      <w:r w:rsidR="00522498" w:rsidRPr="0068218A">
        <w:rPr>
          <w:rFonts w:ascii="Times New Roman" w:hAnsi="Times New Roman"/>
          <w:i/>
          <w:iCs/>
          <w:lang w:val="en-GB"/>
        </w:rPr>
        <w:t>“</w:t>
      </w:r>
      <w:r w:rsidR="008408C6" w:rsidRPr="0068218A">
        <w:rPr>
          <w:rFonts w:ascii="Times New Roman" w:hAnsi="Times New Roman"/>
          <w:i/>
          <w:iCs/>
          <w:lang w:val="en-GB"/>
        </w:rPr>
        <w:t>Diligent</w:t>
      </w:r>
      <w:r w:rsidR="00522498" w:rsidRPr="0068218A">
        <w:rPr>
          <w:rFonts w:ascii="Times New Roman" w:hAnsi="Times New Roman"/>
          <w:i/>
          <w:iCs/>
          <w:lang w:val="en-GB"/>
        </w:rPr>
        <w:t>”</w:t>
      </w:r>
      <w:r w:rsidR="008408C6" w:rsidRPr="0068218A">
        <w:rPr>
          <w:rFonts w:ascii="Times New Roman" w:hAnsi="Times New Roman"/>
          <w:i/>
          <w:iCs/>
          <w:lang w:val="en-GB"/>
        </w:rPr>
        <w:t xml:space="preserve"> </w:t>
      </w:r>
      <w:r w:rsidR="008408C6" w:rsidRPr="0068218A">
        <w:rPr>
          <w:rFonts w:ascii="Times New Roman" w:hAnsi="Times New Roman"/>
          <w:lang w:val="en-GB"/>
        </w:rPr>
        <w:t xml:space="preserve">is obviously a </w:t>
      </w:r>
      <w:r w:rsidR="00522498" w:rsidRPr="0068218A">
        <w:rPr>
          <w:rFonts w:ascii="Times New Roman" w:hAnsi="Times New Roman"/>
          <w:lang w:val="en-GB"/>
        </w:rPr>
        <w:t>typographic mistake</w:t>
      </w:r>
      <w:r w:rsidR="00C26505" w:rsidRPr="0068218A">
        <w:rPr>
          <w:rFonts w:ascii="Times New Roman" w:hAnsi="Times New Roman"/>
          <w:lang w:val="en-GB"/>
        </w:rPr>
        <w:t xml:space="preserve"> for </w:t>
      </w:r>
      <w:r w:rsidR="00522498" w:rsidRPr="0068218A">
        <w:rPr>
          <w:rFonts w:ascii="Times New Roman" w:hAnsi="Times New Roman"/>
          <w:i/>
          <w:iCs/>
          <w:lang w:val="en-GB"/>
        </w:rPr>
        <w:t>“</w:t>
      </w:r>
      <w:r w:rsidR="008408C6" w:rsidRPr="0068218A">
        <w:rPr>
          <w:rFonts w:ascii="Times New Roman" w:hAnsi="Times New Roman"/>
          <w:i/>
          <w:iCs/>
          <w:lang w:val="en-GB"/>
        </w:rPr>
        <w:t>delinquent</w:t>
      </w:r>
      <w:r w:rsidR="00522498" w:rsidRPr="0068218A">
        <w:rPr>
          <w:rFonts w:ascii="Times New Roman" w:hAnsi="Times New Roman"/>
          <w:i/>
          <w:iCs/>
          <w:lang w:val="en-GB"/>
        </w:rPr>
        <w:t>”</w:t>
      </w:r>
      <w:r w:rsidR="008408C6" w:rsidRPr="0068218A">
        <w:rPr>
          <w:rFonts w:ascii="Times New Roman" w:hAnsi="Times New Roman"/>
          <w:lang w:val="en-GB"/>
        </w:rPr>
        <w:t>.</w:t>
      </w:r>
      <w:r w:rsidR="00522498" w:rsidRPr="0068218A">
        <w:rPr>
          <w:rFonts w:ascii="Times New Roman" w:hAnsi="Times New Roman"/>
          <w:lang w:val="en-GB"/>
        </w:rPr>
        <w:t xml:space="preserve"> </w:t>
      </w:r>
      <w:r w:rsidR="00C26505" w:rsidRPr="0068218A">
        <w:rPr>
          <w:rFonts w:ascii="Times New Roman" w:hAnsi="Times New Roman"/>
          <w:lang w:val="en-GB"/>
        </w:rPr>
        <w:t xml:space="preserve">Directors, Rota explains, can be held personally liable for </w:t>
      </w:r>
      <w:r w:rsidR="00CE5813" w:rsidRPr="0068218A">
        <w:rPr>
          <w:rFonts w:ascii="Times New Roman" w:hAnsi="Times New Roman"/>
          <w:lang w:val="en-GB"/>
        </w:rPr>
        <w:t>carrying on the business of a company recklessly, with gross negligence or to defraud.</w:t>
      </w:r>
      <w:r w:rsidR="0068218A" w:rsidRPr="0068218A">
        <w:rPr>
          <w:rFonts w:ascii="Times New Roman" w:hAnsi="Times New Roman"/>
          <w:lang w:val="en-GB"/>
        </w:rPr>
        <w:t xml:space="preserve"> The crux of Rota’s case: </w:t>
      </w:r>
      <w:r w:rsidR="0068218A">
        <w:rPr>
          <w:rFonts w:ascii="Times New Roman" w:hAnsi="Times New Roman"/>
          <w:i/>
          <w:iCs/>
          <w:lang w:val="en-GB"/>
        </w:rPr>
        <w:t>“In the light of the above and particularly the reluctance by [</w:t>
      </w:r>
      <w:r w:rsidR="00AC7FED">
        <w:rPr>
          <w:rFonts w:ascii="Times New Roman" w:hAnsi="Times New Roman"/>
          <w:i/>
          <w:iCs/>
          <w:lang w:val="en-GB"/>
        </w:rPr>
        <w:t xml:space="preserve">Mr </w:t>
      </w:r>
      <w:r w:rsidR="00B77606">
        <w:rPr>
          <w:rFonts w:ascii="Times New Roman" w:hAnsi="Times New Roman"/>
          <w:i/>
          <w:iCs/>
          <w:lang w:val="en-GB"/>
        </w:rPr>
        <w:t>Clackett] and [</w:t>
      </w:r>
      <w:r w:rsidR="00AC7FED">
        <w:rPr>
          <w:rFonts w:ascii="Times New Roman" w:hAnsi="Times New Roman"/>
          <w:i/>
          <w:iCs/>
          <w:lang w:val="en-GB"/>
        </w:rPr>
        <w:t xml:space="preserve">Mr </w:t>
      </w:r>
      <w:r w:rsidR="00B77606">
        <w:rPr>
          <w:rFonts w:ascii="Times New Roman" w:hAnsi="Times New Roman"/>
          <w:i/>
          <w:iCs/>
          <w:lang w:val="en-GB"/>
        </w:rPr>
        <w:t xml:space="preserve">Staffen] to take responsibility for the repayment of the bridging finance </w:t>
      </w:r>
      <w:r w:rsidR="00E8345F">
        <w:rPr>
          <w:rFonts w:ascii="Times New Roman" w:hAnsi="Times New Roman"/>
          <w:i/>
          <w:iCs/>
          <w:lang w:val="en-GB"/>
        </w:rPr>
        <w:t>loan and the interest which has accrued thereon … I wish to prevent them from receiving any proceeds from the sale of any property owned by [Full Score</w:t>
      </w:r>
      <w:r w:rsidR="001C66E0">
        <w:rPr>
          <w:rFonts w:ascii="Times New Roman" w:hAnsi="Times New Roman"/>
          <w:i/>
          <w:iCs/>
          <w:lang w:val="en-GB"/>
        </w:rPr>
        <w:t xml:space="preserve">] pending the resolution of an action which [Rota] intends instituting against </w:t>
      </w:r>
      <w:r w:rsidR="00147840">
        <w:rPr>
          <w:rFonts w:ascii="Times New Roman" w:hAnsi="Times New Roman"/>
          <w:i/>
          <w:iCs/>
          <w:lang w:val="en-GB"/>
        </w:rPr>
        <w:t>[Clackett] and [Staffen].”</w:t>
      </w:r>
      <w:r w:rsidR="00C01B7E">
        <w:rPr>
          <w:rFonts w:ascii="Times New Roman" w:hAnsi="Times New Roman"/>
          <w:i/>
          <w:iCs/>
          <w:lang w:val="en-GB"/>
        </w:rPr>
        <w:t xml:space="preserve"> </w:t>
      </w:r>
      <w:r w:rsidR="00455EB4">
        <w:rPr>
          <w:rFonts w:ascii="Times New Roman" w:hAnsi="Times New Roman"/>
          <w:lang w:val="en-GB"/>
        </w:rPr>
        <w:t xml:space="preserve">And, that as both Mr Clackett and Mr Staffen </w:t>
      </w:r>
      <w:r w:rsidR="00455EB4">
        <w:rPr>
          <w:rFonts w:ascii="Times New Roman" w:hAnsi="Times New Roman"/>
          <w:i/>
          <w:iCs/>
          <w:lang w:val="en-GB"/>
        </w:rPr>
        <w:t>“were, directly and indirectly, involved with [Armour] when the bridging finance loan was paid to it, [Rota] reasonably expected them to make whatever proceeds were available from the sale of this property to reduce the said loan amount.”</w:t>
      </w:r>
    </w:p>
    <w:p w14:paraId="648C7255" w14:textId="7E3A2699" w:rsidR="00240F0D"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28.</w:t>
      </w:r>
      <w:r>
        <w:rPr>
          <w:rFonts w:ascii="Times New Roman" w:hAnsi="Times New Roman"/>
          <w:lang w:val="en-GB"/>
        </w:rPr>
        <w:tab/>
      </w:r>
      <w:r w:rsidR="00240F0D" w:rsidRPr="0018733F">
        <w:rPr>
          <w:rFonts w:ascii="Times New Roman" w:hAnsi="Times New Roman"/>
          <w:lang w:val="en-GB"/>
        </w:rPr>
        <w:t>In answer,</w:t>
      </w:r>
      <w:r w:rsidR="00240F0D">
        <w:rPr>
          <w:rFonts w:ascii="Times New Roman" w:hAnsi="Times New Roman"/>
          <w:lang w:val="en-GB"/>
        </w:rPr>
        <w:t xml:space="preserve"> Full Score </w:t>
      </w:r>
      <w:r w:rsidR="00240F0D" w:rsidRPr="0018733F">
        <w:rPr>
          <w:rFonts w:ascii="Times New Roman" w:hAnsi="Times New Roman"/>
          <w:lang w:val="en-GB"/>
        </w:rPr>
        <w:t>alleges that Mr Keating was on an unauthorised fraudulent frolic</w:t>
      </w:r>
      <w:r w:rsidR="00664D8F">
        <w:rPr>
          <w:rFonts w:ascii="Times New Roman" w:hAnsi="Times New Roman"/>
          <w:lang w:val="en-GB"/>
        </w:rPr>
        <w:t xml:space="preserve">, </w:t>
      </w:r>
      <w:r w:rsidR="008257A2">
        <w:rPr>
          <w:rFonts w:ascii="Times New Roman" w:hAnsi="Times New Roman"/>
          <w:lang w:val="en-GB"/>
        </w:rPr>
        <w:t>aided or abetted by Mr Youngman</w:t>
      </w:r>
      <w:r w:rsidR="004F5D9C">
        <w:rPr>
          <w:rFonts w:ascii="Times New Roman" w:hAnsi="Times New Roman"/>
          <w:lang w:val="en-GB"/>
        </w:rPr>
        <w:t xml:space="preserve"> – which included the misappropriation of </w:t>
      </w:r>
      <w:r w:rsidR="004F5D9C">
        <w:rPr>
          <w:rFonts w:ascii="Times New Roman" w:hAnsi="Times New Roman"/>
          <w:lang w:val="en-GB"/>
        </w:rPr>
        <w:lastRenderedPageBreak/>
        <w:t>funds advanced by Rota to Armour</w:t>
      </w:r>
      <w:r w:rsidR="00240F0D" w:rsidRPr="0018733F">
        <w:rPr>
          <w:rFonts w:ascii="Times New Roman" w:hAnsi="Times New Roman"/>
          <w:lang w:val="en-GB"/>
        </w:rPr>
        <w:t xml:space="preserve">; Mr Staffen’s signature on the first factoring agreement was photo-shopped; </w:t>
      </w:r>
      <w:r w:rsidR="001D5AD5">
        <w:rPr>
          <w:rFonts w:ascii="Times New Roman" w:hAnsi="Times New Roman"/>
          <w:lang w:val="en-GB"/>
        </w:rPr>
        <w:t xml:space="preserve">after receipt of Rota’s demand, </w:t>
      </w:r>
      <w:r w:rsidR="00102B86">
        <w:rPr>
          <w:rFonts w:ascii="Times New Roman" w:hAnsi="Times New Roman"/>
          <w:lang w:val="en-GB"/>
        </w:rPr>
        <w:t xml:space="preserve">Armour investigated, and </w:t>
      </w:r>
      <w:r w:rsidR="005A408C">
        <w:rPr>
          <w:rFonts w:ascii="Times New Roman" w:hAnsi="Times New Roman"/>
          <w:lang w:val="en-GB"/>
        </w:rPr>
        <w:t xml:space="preserve">laid a </w:t>
      </w:r>
      <w:r w:rsidR="00102B86">
        <w:rPr>
          <w:rFonts w:ascii="Times New Roman" w:hAnsi="Times New Roman"/>
          <w:lang w:val="en-GB"/>
        </w:rPr>
        <w:t>charg</w:t>
      </w:r>
      <w:r w:rsidR="005A408C">
        <w:rPr>
          <w:rFonts w:ascii="Times New Roman" w:hAnsi="Times New Roman"/>
          <w:lang w:val="en-GB"/>
        </w:rPr>
        <w:t>e against</w:t>
      </w:r>
      <w:r w:rsidR="00102B86">
        <w:rPr>
          <w:rFonts w:ascii="Times New Roman" w:hAnsi="Times New Roman"/>
          <w:lang w:val="en-GB"/>
        </w:rPr>
        <w:t xml:space="preserve"> Mr Keating, who </w:t>
      </w:r>
      <w:r w:rsidR="00240F0D" w:rsidRPr="0018733F">
        <w:rPr>
          <w:rFonts w:ascii="Times New Roman" w:hAnsi="Times New Roman"/>
          <w:lang w:val="en-GB"/>
        </w:rPr>
        <w:t>has been arrested for fraud. The reply, confirmed by Mr Keating, adduces resolutions and documents to vouch allegations that Mr Staffen knew what Mr Keating was up to, acceded in it, and benefited from it.</w:t>
      </w:r>
      <w:r w:rsidR="00240F0D">
        <w:rPr>
          <w:rFonts w:ascii="Times New Roman" w:hAnsi="Times New Roman"/>
          <w:lang w:val="en-GB"/>
        </w:rPr>
        <w:t xml:space="preserve"> But</w:t>
      </w:r>
      <w:r w:rsidR="007150EA">
        <w:rPr>
          <w:rFonts w:ascii="Times New Roman" w:hAnsi="Times New Roman"/>
          <w:lang w:val="en-GB"/>
        </w:rPr>
        <w:t>,</w:t>
      </w:r>
      <w:r w:rsidR="00240F0D">
        <w:rPr>
          <w:rFonts w:ascii="Times New Roman" w:hAnsi="Times New Roman"/>
          <w:lang w:val="en-GB"/>
        </w:rPr>
        <w:t xml:space="preserve"> Rota cannot rely on untested allegations in reply.</w:t>
      </w:r>
    </w:p>
    <w:p w14:paraId="3243667E" w14:textId="27FF0A48" w:rsidR="00A51B72"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29.</w:t>
      </w:r>
      <w:r>
        <w:rPr>
          <w:rFonts w:ascii="Times New Roman" w:hAnsi="Times New Roman"/>
          <w:lang w:val="en-GB"/>
        </w:rPr>
        <w:tab/>
      </w:r>
      <w:r w:rsidR="00A51B72">
        <w:rPr>
          <w:rFonts w:ascii="Times New Roman" w:hAnsi="Times New Roman"/>
          <w:lang w:val="en-GB"/>
        </w:rPr>
        <w:t>Rota</w:t>
      </w:r>
      <w:r w:rsidR="00755C5B">
        <w:rPr>
          <w:rFonts w:ascii="Times New Roman" w:hAnsi="Times New Roman"/>
          <w:lang w:val="en-GB"/>
        </w:rPr>
        <w:t xml:space="preserve"> alleges it</w:t>
      </w:r>
      <w:r w:rsidR="00AA7375">
        <w:rPr>
          <w:rFonts w:ascii="Times New Roman" w:hAnsi="Times New Roman"/>
          <w:lang w:val="en-GB"/>
        </w:rPr>
        <w:t>s</w:t>
      </w:r>
      <w:r w:rsidR="00A51B72">
        <w:rPr>
          <w:rFonts w:ascii="Times New Roman" w:hAnsi="Times New Roman"/>
          <w:lang w:val="en-GB"/>
        </w:rPr>
        <w:t xml:space="preserve"> </w:t>
      </w:r>
      <w:r w:rsidR="00A51B72">
        <w:rPr>
          <w:rFonts w:ascii="Times New Roman" w:hAnsi="Times New Roman"/>
          <w:i/>
          <w:iCs/>
          <w:lang w:val="en-GB"/>
        </w:rPr>
        <w:t xml:space="preserve">prima facie </w:t>
      </w:r>
      <w:r w:rsidR="00A51B72">
        <w:rPr>
          <w:rFonts w:ascii="Times New Roman" w:hAnsi="Times New Roman"/>
          <w:lang w:val="en-GB"/>
        </w:rPr>
        <w:t>right</w:t>
      </w:r>
      <w:r w:rsidR="00346092">
        <w:rPr>
          <w:rFonts w:ascii="Times New Roman" w:hAnsi="Times New Roman"/>
          <w:lang w:val="en-GB"/>
        </w:rPr>
        <w:t xml:space="preserve"> lies in </w:t>
      </w:r>
      <w:r w:rsidR="00294F1A">
        <w:rPr>
          <w:rFonts w:ascii="Times New Roman" w:hAnsi="Times New Roman"/>
          <w:lang w:val="en-GB"/>
        </w:rPr>
        <w:t>that it was induced to loan and advance money</w:t>
      </w:r>
      <w:r w:rsidR="00D75683">
        <w:rPr>
          <w:rFonts w:ascii="Times New Roman" w:hAnsi="Times New Roman"/>
          <w:lang w:val="en-GB"/>
        </w:rPr>
        <w:t xml:space="preserve"> </w:t>
      </w:r>
      <w:r w:rsidR="00BE6A82">
        <w:rPr>
          <w:rFonts w:ascii="Times New Roman" w:hAnsi="Times New Roman"/>
          <w:lang w:val="en-GB"/>
        </w:rPr>
        <w:t>to Armour</w:t>
      </w:r>
      <w:r w:rsidR="00346092">
        <w:rPr>
          <w:rFonts w:ascii="Times New Roman" w:hAnsi="Times New Roman"/>
          <w:lang w:val="en-GB"/>
        </w:rPr>
        <w:t xml:space="preserve"> </w:t>
      </w:r>
      <w:r w:rsidR="00D75683">
        <w:rPr>
          <w:rFonts w:ascii="Times New Roman" w:hAnsi="Times New Roman"/>
          <w:i/>
          <w:iCs/>
          <w:lang w:val="en-GB"/>
        </w:rPr>
        <w:t xml:space="preserve">“based on the express undertaking by </w:t>
      </w:r>
      <w:r w:rsidR="00BE6A82">
        <w:rPr>
          <w:rFonts w:ascii="Times New Roman" w:hAnsi="Times New Roman"/>
          <w:i/>
          <w:iCs/>
          <w:lang w:val="en-GB"/>
        </w:rPr>
        <w:t>its directors, which included [Staffen], that [Armour]</w:t>
      </w:r>
      <w:r w:rsidR="00755C5B">
        <w:rPr>
          <w:rFonts w:ascii="Times New Roman" w:hAnsi="Times New Roman"/>
          <w:i/>
          <w:iCs/>
          <w:lang w:val="en-GB"/>
        </w:rPr>
        <w:t xml:space="preserve"> would repay the loan amount”</w:t>
      </w:r>
      <w:r w:rsidR="00755C5B">
        <w:rPr>
          <w:rFonts w:ascii="Times New Roman" w:hAnsi="Times New Roman"/>
          <w:lang w:val="en-GB"/>
        </w:rPr>
        <w:t>, and that</w:t>
      </w:r>
      <w:r w:rsidR="0014674C">
        <w:rPr>
          <w:rFonts w:ascii="Times New Roman" w:hAnsi="Times New Roman"/>
          <w:lang w:val="en-GB"/>
        </w:rPr>
        <w:t xml:space="preserve"> Mr</w:t>
      </w:r>
      <w:r w:rsidR="00755C5B">
        <w:rPr>
          <w:rFonts w:ascii="Times New Roman" w:hAnsi="Times New Roman"/>
          <w:lang w:val="en-GB"/>
        </w:rPr>
        <w:t xml:space="preserve"> Keating, </w:t>
      </w:r>
      <w:r w:rsidR="0014674C">
        <w:rPr>
          <w:rFonts w:ascii="Times New Roman" w:hAnsi="Times New Roman"/>
          <w:lang w:val="en-GB"/>
        </w:rPr>
        <w:t>Mr Clacket</w:t>
      </w:r>
      <w:r w:rsidR="001B1E4D">
        <w:rPr>
          <w:rFonts w:ascii="Times New Roman" w:hAnsi="Times New Roman"/>
          <w:lang w:val="en-GB"/>
        </w:rPr>
        <w:t>t</w:t>
      </w:r>
      <w:r w:rsidR="0014674C">
        <w:rPr>
          <w:rFonts w:ascii="Times New Roman" w:hAnsi="Times New Roman"/>
          <w:lang w:val="en-GB"/>
        </w:rPr>
        <w:t xml:space="preserve"> </w:t>
      </w:r>
      <w:r w:rsidR="00E45522">
        <w:rPr>
          <w:rFonts w:ascii="Times New Roman" w:hAnsi="Times New Roman"/>
          <w:lang w:val="en-GB"/>
        </w:rPr>
        <w:t xml:space="preserve">and Mr Staffen </w:t>
      </w:r>
      <w:r w:rsidR="00E45522">
        <w:rPr>
          <w:rFonts w:ascii="Times New Roman" w:hAnsi="Times New Roman"/>
          <w:i/>
          <w:iCs/>
          <w:lang w:val="en-GB"/>
        </w:rPr>
        <w:t>“knew or should have known that [Armour] and the other companies were in financial trouble</w:t>
      </w:r>
      <w:r w:rsidR="00E06063">
        <w:rPr>
          <w:rFonts w:ascii="Times New Roman" w:hAnsi="Times New Roman"/>
          <w:i/>
          <w:iCs/>
          <w:lang w:val="en-GB"/>
        </w:rPr>
        <w:t xml:space="preserve"> and that Armour would not be able to repay the loan to [Rota]”</w:t>
      </w:r>
      <w:r w:rsidR="00E06063">
        <w:rPr>
          <w:rFonts w:ascii="Times New Roman" w:hAnsi="Times New Roman"/>
          <w:lang w:val="en-GB"/>
        </w:rPr>
        <w:t>. The well ground</w:t>
      </w:r>
      <w:r w:rsidR="00B94253">
        <w:rPr>
          <w:rFonts w:ascii="Times New Roman" w:hAnsi="Times New Roman"/>
          <w:lang w:val="en-GB"/>
        </w:rPr>
        <w:t>ed</w:t>
      </w:r>
      <w:r w:rsidR="00E06063">
        <w:rPr>
          <w:rFonts w:ascii="Times New Roman" w:hAnsi="Times New Roman"/>
          <w:lang w:val="en-GB"/>
        </w:rPr>
        <w:t xml:space="preserve"> harm is allegedly that Rota</w:t>
      </w:r>
      <w:r w:rsidR="00762E8F">
        <w:rPr>
          <w:rFonts w:ascii="Times New Roman" w:hAnsi="Times New Roman"/>
          <w:lang w:val="en-GB"/>
        </w:rPr>
        <w:t xml:space="preserve">’s security </w:t>
      </w:r>
      <w:r w:rsidR="00762E8F">
        <w:rPr>
          <w:rFonts w:ascii="Times New Roman" w:hAnsi="Times New Roman"/>
          <w:i/>
          <w:iCs/>
          <w:lang w:val="en-GB"/>
        </w:rPr>
        <w:t>“will be brought into question”</w:t>
      </w:r>
      <w:r w:rsidR="00E06063">
        <w:rPr>
          <w:rFonts w:ascii="Times New Roman" w:hAnsi="Times New Roman"/>
          <w:lang w:val="en-GB"/>
        </w:rPr>
        <w:t>.</w:t>
      </w:r>
      <w:r w:rsidR="00762E8F">
        <w:rPr>
          <w:rFonts w:ascii="Times New Roman" w:hAnsi="Times New Roman"/>
          <w:lang w:val="en-GB"/>
        </w:rPr>
        <w:t xml:space="preserve"> </w:t>
      </w:r>
      <w:r w:rsidR="00E06063">
        <w:rPr>
          <w:rFonts w:ascii="Times New Roman" w:hAnsi="Times New Roman"/>
          <w:lang w:val="en-GB"/>
        </w:rPr>
        <w:t xml:space="preserve"> </w:t>
      </w:r>
    </w:p>
    <w:p w14:paraId="479ED792" w14:textId="192127C2" w:rsidR="001F55ED"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30.</w:t>
      </w:r>
      <w:r>
        <w:rPr>
          <w:rFonts w:ascii="Times New Roman" w:hAnsi="Times New Roman"/>
          <w:lang w:val="en-GB"/>
        </w:rPr>
        <w:tab/>
      </w:r>
      <w:r w:rsidR="00F3157F">
        <w:rPr>
          <w:rFonts w:ascii="Times New Roman" w:hAnsi="Times New Roman"/>
          <w:lang w:val="en-GB"/>
        </w:rPr>
        <w:t>Rota’s claim interim to which the</w:t>
      </w:r>
      <w:r w:rsidR="00B064AC">
        <w:rPr>
          <w:rFonts w:ascii="Times New Roman" w:hAnsi="Times New Roman"/>
          <w:lang w:val="en-GB"/>
        </w:rPr>
        <w:t xml:space="preserve"> order was obtained </w:t>
      </w:r>
      <w:r w:rsidR="00ED2865">
        <w:rPr>
          <w:rFonts w:ascii="Times New Roman" w:hAnsi="Times New Roman"/>
          <w:lang w:val="en-GB"/>
        </w:rPr>
        <w:t xml:space="preserve">was to </w:t>
      </w:r>
      <w:r w:rsidR="00B064AC">
        <w:rPr>
          <w:rFonts w:ascii="Times New Roman" w:hAnsi="Times New Roman"/>
          <w:lang w:val="en-GB"/>
        </w:rPr>
        <w:t xml:space="preserve">be </w:t>
      </w:r>
      <w:r w:rsidR="00A85B0F">
        <w:rPr>
          <w:rFonts w:ascii="Times New Roman" w:hAnsi="Times New Roman"/>
          <w:lang w:val="en-GB"/>
        </w:rPr>
        <w:t>against M</w:t>
      </w:r>
      <w:r w:rsidR="00D9356D">
        <w:rPr>
          <w:rFonts w:ascii="Times New Roman" w:hAnsi="Times New Roman"/>
          <w:lang w:val="en-GB"/>
        </w:rPr>
        <w:t>essrs</w:t>
      </w:r>
      <w:r w:rsidR="00A85B0F">
        <w:rPr>
          <w:rFonts w:ascii="Times New Roman" w:hAnsi="Times New Roman"/>
          <w:lang w:val="en-GB"/>
        </w:rPr>
        <w:t xml:space="preserve"> Clacket</w:t>
      </w:r>
      <w:r w:rsidR="001B1E4D">
        <w:rPr>
          <w:rFonts w:ascii="Times New Roman" w:hAnsi="Times New Roman"/>
          <w:lang w:val="en-GB"/>
        </w:rPr>
        <w:t>t</w:t>
      </w:r>
      <w:r w:rsidR="00A85B0F">
        <w:rPr>
          <w:rFonts w:ascii="Times New Roman" w:hAnsi="Times New Roman"/>
          <w:lang w:val="en-GB"/>
        </w:rPr>
        <w:t xml:space="preserve"> and Staffen </w:t>
      </w:r>
      <w:r w:rsidR="00A85B0F">
        <w:rPr>
          <w:rFonts w:ascii="Times New Roman" w:hAnsi="Times New Roman"/>
          <w:i/>
          <w:iCs/>
          <w:lang w:val="en-GB"/>
        </w:rPr>
        <w:t xml:space="preserve">“for the payment of R3 498 321,00 plus the agreed interest thereon arising from the Factoring Agreements which were concluded between [Rota] and [Armour] during December 2021 and February 2022”. </w:t>
      </w:r>
      <w:r w:rsidR="00F67269">
        <w:rPr>
          <w:rFonts w:ascii="Times New Roman" w:hAnsi="Times New Roman"/>
          <w:lang w:val="en-GB"/>
        </w:rPr>
        <w:t xml:space="preserve">Rota </w:t>
      </w:r>
      <w:r w:rsidR="00ED2865">
        <w:rPr>
          <w:rFonts w:ascii="Times New Roman" w:hAnsi="Times New Roman"/>
          <w:lang w:val="en-GB"/>
        </w:rPr>
        <w:t xml:space="preserve">did </w:t>
      </w:r>
      <w:r w:rsidR="00746C41">
        <w:rPr>
          <w:rFonts w:ascii="Times New Roman" w:hAnsi="Times New Roman"/>
          <w:lang w:val="en-GB"/>
        </w:rPr>
        <w:t xml:space="preserve">not </w:t>
      </w:r>
      <w:r w:rsidR="00F67269">
        <w:rPr>
          <w:rFonts w:ascii="Times New Roman" w:hAnsi="Times New Roman"/>
          <w:lang w:val="en-GB"/>
        </w:rPr>
        <w:t xml:space="preserve">adopt the salutary practice of attaching </w:t>
      </w:r>
      <w:r w:rsidR="001D0DB6">
        <w:rPr>
          <w:rFonts w:ascii="Times New Roman" w:hAnsi="Times New Roman"/>
          <w:lang w:val="en-GB"/>
        </w:rPr>
        <w:t xml:space="preserve">the </w:t>
      </w:r>
      <w:r w:rsidR="005E43F1">
        <w:rPr>
          <w:rFonts w:ascii="Times New Roman" w:hAnsi="Times New Roman"/>
          <w:lang w:val="en-GB"/>
        </w:rPr>
        <w:t xml:space="preserve">particulars of claim </w:t>
      </w:r>
      <w:r w:rsidR="001D0DB6">
        <w:rPr>
          <w:rFonts w:ascii="Times New Roman" w:hAnsi="Times New Roman"/>
          <w:lang w:val="en-GB"/>
        </w:rPr>
        <w:t xml:space="preserve">in its anticipated action </w:t>
      </w:r>
      <w:r w:rsidR="005E43F1">
        <w:rPr>
          <w:rFonts w:ascii="Times New Roman" w:hAnsi="Times New Roman"/>
          <w:lang w:val="en-GB"/>
        </w:rPr>
        <w:t xml:space="preserve">to the notice of motion. </w:t>
      </w:r>
      <w:r w:rsidR="00871998">
        <w:rPr>
          <w:rFonts w:ascii="Times New Roman" w:hAnsi="Times New Roman"/>
          <w:lang w:val="en-GB"/>
        </w:rPr>
        <w:t xml:space="preserve">Rota’s practice note however </w:t>
      </w:r>
      <w:r w:rsidR="00A71EB2">
        <w:rPr>
          <w:rFonts w:ascii="Times New Roman" w:hAnsi="Times New Roman"/>
          <w:lang w:val="en-GB"/>
        </w:rPr>
        <w:t>advised that it had instituted an action</w:t>
      </w:r>
      <w:r w:rsidR="008E2454">
        <w:rPr>
          <w:rFonts w:ascii="Times New Roman" w:hAnsi="Times New Roman"/>
          <w:lang w:val="en-GB"/>
        </w:rPr>
        <w:t xml:space="preserve">. </w:t>
      </w:r>
      <w:r w:rsidR="00BC1C51">
        <w:rPr>
          <w:rFonts w:ascii="Times New Roman" w:hAnsi="Times New Roman"/>
          <w:lang w:val="en-GB"/>
        </w:rPr>
        <w:t xml:space="preserve">The basis upon which it </w:t>
      </w:r>
      <w:r w:rsidR="00830082">
        <w:rPr>
          <w:rFonts w:ascii="Times New Roman" w:hAnsi="Times New Roman"/>
          <w:lang w:val="en-GB"/>
        </w:rPr>
        <w:t>advances the action is relevant to determination of the application for an interdict</w:t>
      </w:r>
      <w:r w:rsidR="00CE53C7">
        <w:rPr>
          <w:rFonts w:ascii="Times New Roman" w:hAnsi="Times New Roman"/>
          <w:lang w:val="en-GB"/>
        </w:rPr>
        <w:t xml:space="preserve">. </w:t>
      </w:r>
      <w:r w:rsidR="008E2454">
        <w:rPr>
          <w:rFonts w:ascii="Times New Roman" w:hAnsi="Times New Roman"/>
          <w:lang w:val="en-GB"/>
        </w:rPr>
        <w:t xml:space="preserve">Rota provided </w:t>
      </w:r>
      <w:r w:rsidR="00746C41">
        <w:rPr>
          <w:rFonts w:ascii="Times New Roman" w:hAnsi="Times New Roman"/>
          <w:lang w:val="en-GB"/>
        </w:rPr>
        <w:t xml:space="preserve">the pleadings to </w:t>
      </w:r>
      <w:r w:rsidR="00A63CB9">
        <w:rPr>
          <w:rFonts w:ascii="Times New Roman" w:hAnsi="Times New Roman"/>
          <w:lang w:val="en-GB"/>
        </w:rPr>
        <w:t>me</w:t>
      </w:r>
      <w:r w:rsidR="00A71EB2">
        <w:rPr>
          <w:rFonts w:ascii="Times New Roman" w:hAnsi="Times New Roman"/>
          <w:lang w:val="en-GB"/>
        </w:rPr>
        <w:t xml:space="preserve">. </w:t>
      </w:r>
    </w:p>
    <w:p w14:paraId="2C8D7FA1" w14:textId="29721876" w:rsidR="001D0DB6" w:rsidRPr="00690937" w:rsidRDefault="006D5E15" w:rsidP="006D5E15">
      <w:pPr>
        <w:spacing w:before="240" w:after="240" w:line="480" w:lineRule="auto"/>
        <w:ind w:left="720" w:hanging="720"/>
        <w:jc w:val="both"/>
        <w:rPr>
          <w:rFonts w:ascii="Times New Roman" w:hAnsi="Times New Roman"/>
          <w:lang w:val="en-GB"/>
        </w:rPr>
      </w:pPr>
      <w:r w:rsidRPr="00690937">
        <w:rPr>
          <w:rFonts w:ascii="Times New Roman" w:hAnsi="Times New Roman"/>
          <w:lang w:val="en-GB"/>
        </w:rPr>
        <w:lastRenderedPageBreak/>
        <w:t>31.</w:t>
      </w:r>
      <w:r w:rsidRPr="00690937">
        <w:rPr>
          <w:rFonts w:ascii="Times New Roman" w:hAnsi="Times New Roman"/>
          <w:lang w:val="en-GB"/>
        </w:rPr>
        <w:tab/>
      </w:r>
      <w:r w:rsidR="001F55ED" w:rsidRPr="00690937">
        <w:rPr>
          <w:rFonts w:ascii="Times New Roman" w:hAnsi="Times New Roman"/>
          <w:lang w:val="en-GB"/>
        </w:rPr>
        <w:t>The action is not only against Messrs</w:t>
      </w:r>
      <w:r w:rsidR="00D9356D" w:rsidRPr="00690937">
        <w:rPr>
          <w:rFonts w:ascii="Times New Roman" w:hAnsi="Times New Roman"/>
          <w:lang w:val="en-GB"/>
        </w:rPr>
        <w:t xml:space="preserve"> Clacket</w:t>
      </w:r>
      <w:r w:rsidR="001B1E4D" w:rsidRPr="00690937">
        <w:rPr>
          <w:rFonts w:ascii="Times New Roman" w:hAnsi="Times New Roman"/>
          <w:lang w:val="en-GB"/>
        </w:rPr>
        <w:t>t</w:t>
      </w:r>
      <w:r w:rsidR="00D9356D" w:rsidRPr="00690937">
        <w:rPr>
          <w:rFonts w:ascii="Times New Roman" w:hAnsi="Times New Roman"/>
          <w:lang w:val="en-GB"/>
        </w:rPr>
        <w:t xml:space="preserve"> and Staffen. </w:t>
      </w:r>
      <w:r w:rsidR="00DF176E" w:rsidRPr="00690937">
        <w:rPr>
          <w:rFonts w:ascii="Times New Roman" w:hAnsi="Times New Roman"/>
          <w:lang w:val="en-GB"/>
        </w:rPr>
        <w:t xml:space="preserve">It also cites Armour, AJH, Full Score </w:t>
      </w:r>
      <w:r w:rsidR="002B6A39" w:rsidRPr="00690937">
        <w:rPr>
          <w:rFonts w:ascii="Times New Roman" w:hAnsi="Times New Roman"/>
          <w:lang w:val="en-GB"/>
        </w:rPr>
        <w:t xml:space="preserve">and Mr Keating as defendants. </w:t>
      </w:r>
      <w:r w:rsidR="00690937" w:rsidRPr="00690937">
        <w:rPr>
          <w:rFonts w:ascii="Times New Roman" w:hAnsi="Times New Roman"/>
          <w:lang w:val="en-GB"/>
        </w:rPr>
        <w:t xml:space="preserve">The particulars plead </w:t>
      </w:r>
      <w:r w:rsidR="00223430" w:rsidRPr="00690937">
        <w:rPr>
          <w:rFonts w:ascii="Times New Roman" w:hAnsi="Times New Roman"/>
          <w:lang w:val="en-GB"/>
        </w:rPr>
        <w:t>t</w:t>
      </w:r>
      <w:r w:rsidR="00EB68EE" w:rsidRPr="00690937">
        <w:rPr>
          <w:rFonts w:ascii="Times New Roman" w:hAnsi="Times New Roman"/>
          <w:lang w:val="en-GB"/>
        </w:rPr>
        <w:t>he common directorships</w:t>
      </w:r>
      <w:r w:rsidR="00C51138" w:rsidRPr="00690937">
        <w:rPr>
          <w:rFonts w:ascii="Times New Roman" w:hAnsi="Times New Roman"/>
          <w:lang w:val="en-GB"/>
        </w:rPr>
        <w:t xml:space="preserve">, the </w:t>
      </w:r>
      <w:r w:rsidR="00F95D1A" w:rsidRPr="00690937">
        <w:rPr>
          <w:rFonts w:ascii="Times New Roman" w:hAnsi="Times New Roman"/>
          <w:lang w:val="en-GB"/>
        </w:rPr>
        <w:t>conclusion of</w:t>
      </w:r>
      <w:r w:rsidR="001A731D" w:rsidRPr="00690937">
        <w:rPr>
          <w:rFonts w:ascii="Times New Roman" w:hAnsi="Times New Roman"/>
          <w:lang w:val="en-GB"/>
        </w:rPr>
        <w:t xml:space="preserve"> the so-called</w:t>
      </w:r>
      <w:r w:rsidR="00F95D1A" w:rsidRPr="00690937">
        <w:rPr>
          <w:rFonts w:ascii="Times New Roman" w:hAnsi="Times New Roman"/>
          <w:lang w:val="en-GB"/>
        </w:rPr>
        <w:t xml:space="preserve"> </w:t>
      </w:r>
      <w:r w:rsidR="00C51138" w:rsidRPr="00690937">
        <w:rPr>
          <w:rFonts w:ascii="Times New Roman" w:hAnsi="Times New Roman"/>
          <w:lang w:val="en-GB"/>
        </w:rPr>
        <w:t>factoring agreements</w:t>
      </w:r>
      <w:r w:rsidR="00A26197" w:rsidRPr="00690937">
        <w:rPr>
          <w:rFonts w:ascii="Times New Roman" w:hAnsi="Times New Roman"/>
          <w:lang w:val="en-GB"/>
        </w:rPr>
        <w:t>, the loan of amounts totalling</w:t>
      </w:r>
      <w:r w:rsidR="005828CE" w:rsidRPr="00690937">
        <w:rPr>
          <w:rFonts w:ascii="Times New Roman" w:hAnsi="Times New Roman"/>
          <w:lang w:val="en-GB"/>
        </w:rPr>
        <w:t xml:space="preserve"> R</w:t>
      </w:r>
      <w:r w:rsidR="00EE325D" w:rsidRPr="00690937">
        <w:rPr>
          <w:rFonts w:ascii="Times New Roman" w:hAnsi="Times New Roman"/>
          <w:lang w:val="en-GB"/>
        </w:rPr>
        <w:t xml:space="preserve">2 706 000, </w:t>
      </w:r>
      <w:r w:rsidR="004877D2" w:rsidRPr="00690937">
        <w:rPr>
          <w:rFonts w:ascii="Times New Roman" w:hAnsi="Times New Roman"/>
          <w:lang w:val="en-GB"/>
        </w:rPr>
        <w:t xml:space="preserve">that </w:t>
      </w:r>
      <w:r w:rsidR="008877E5" w:rsidRPr="00690937">
        <w:rPr>
          <w:rFonts w:ascii="Times New Roman" w:hAnsi="Times New Roman"/>
          <w:lang w:val="en-GB"/>
        </w:rPr>
        <w:t xml:space="preserve">the businesses of Armour and </w:t>
      </w:r>
      <w:r w:rsidR="00A740AB" w:rsidRPr="00690937">
        <w:rPr>
          <w:rFonts w:ascii="Times New Roman" w:hAnsi="Times New Roman"/>
          <w:lang w:val="en-GB"/>
        </w:rPr>
        <w:t>AJH (but not Full Score) were conducted fraudulently, alternatively recklessly, alternatively gross</w:t>
      </w:r>
      <w:r w:rsidR="00143EC3">
        <w:rPr>
          <w:rFonts w:ascii="Times New Roman" w:hAnsi="Times New Roman"/>
          <w:lang w:val="en-GB"/>
        </w:rPr>
        <w:t>ly</w:t>
      </w:r>
      <w:r w:rsidR="00A740AB" w:rsidRPr="00690937">
        <w:rPr>
          <w:rFonts w:ascii="Times New Roman" w:hAnsi="Times New Roman"/>
          <w:lang w:val="en-GB"/>
        </w:rPr>
        <w:t xml:space="preserve"> negligently</w:t>
      </w:r>
      <w:r w:rsidR="00D91AC4" w:rsidRPr="00690937">
        <w:rPr>
          <w:rFonts w:ascii="Times New Roman" w:hAnsi="Times New Roman"/>
          <w:lang w:val="en-GB"/>
        </w:rPr>
        <w:t xml:space="preserve"> so as to defraud creditors</w:t>
      </w:r>
      <w:r w:rsidR="00A740AB" w:rsidRPr="00690937">
        <w:rPr>
          <w:rFonts w:ascii="Times New Roman" w:hAnsi="Times New Roman"/>
          <w:lang w:val="en-GB"/>
        </w:rPr>
        <w:t xml:space="preserve"> when the </w:t>
      </w:r>
      <w:r w:rsidR="001A731D" w:rsidRPr="00690937">
        <w:rPr>
          <w:rFonts w:ascii="Times New Roman" w:hAnsi="Times New Roman"/>
          <w:lang w:val="en-GB"/>
        </w:rPr>
        <w:t>so-called factoring agreements</w:t>
      </w:r>
      <w:r w:rsidR="00DA0C52">
        <w:rPr>
          <w:rFonts w:ascii="Times New Roman" w:hAnsi="Times New Roman"/>
          <w:lang w:val="en-GB"/>
        </w:rPr>
        <w:t xml:space="preserve"> were concluded</w:t>
      </w:r>
      <w:r w:rsidR="001A731D" w:rsidRPr="00690937">
        <w:rPr>
          <w:rFonts w:ascii="Times New Roman" w:hAnsi="Times New Roman"/>
          <w:lang w:val="en-GB"/>
        </w:rPr>
        <w:t xml:space="preserve">, in that </w:t>
      </w:r>
      <w:r w:rsidR="00DA0C52">
        <w:rPr>
          <w:rFonts w:ascii="Times New Roman" w:hAnsi="Times New Roman"/>
          <w:lang w:val="en-GB"/>
        </w:rPr>
        <w:t>Armour and AJH</w:t>
      </w:r>
      <w:r w:rsidR="00AB522C" w:rsidRPr="00690937">
        <w:rPr>
          <w:rFonts w:ascii="Times New Roman" w:hAnsi="Times New Roman"/>
          <w:lang w:val="en-GB"/>
        </w:rPr>
        <w:t xml:space="preserve"> (but not Full Score) were insolvent</w:t>
      </w:r>
      <w:r w:rsidR="0062195E" w:rsidRPr="00690937">
        <w:rPr>
          <w:rFonts w:ascii="Times New Roman" w:hAnsi="Times New Roman"/>
          <w:lang w:val="en-GB"/>
        </w:rPr>
        <w:t xml:space="preserve"> and incurred debts to Rota which could not be repaid</w:t>
      </w:r>
      <w:r w:rsidR="009C0ACE" w:rsidRPr="00690937">
        <w:rPr>
          <w:rFonts w:ascii="Times New Roman" w:hAnsi="Times New Roman"/>
          <w:lang w:val="en-GB"/>
        </w:rPr>
        <w:t xml:space="preserve">, that Messrs </w:t>
      </w:r>
      <w:r w:rsidR="005A0C90" w:rsidRPr="00690937">
        <w:rPr>
          <w:rFonts w:ascii="Times New Roman" w:hAnsi="Times New Roman"/>
          <w:lang w:val="en-GB"/>
        </w:rPr>
        <w:t xml:space="preserve">Staffen, Clackett and Keating dishonestly failed to disclose the true </w:t>
      </w:r>
      <w:r w:rsidR="003F6796" w:rsidRPr="00690937">
        <w:rPr>
          <w:rFonts w:ascii="Times New Roman" w:hAnsi="Times New Roman"/>
          <w:lang w:val="en-GB"/>
        </w:rPr>
        <w:t>position, that Armour repaid only R197 355 in March 2022</w:t>
      </w:r>
      <w:r w:rsidR="000C6FA9" w:rsidRPr="00690937">
        <w:rPr>
          <w:rFonts w:ascii="Times New Roman" w:hAnsi="Times New Roman"/>
          <w:lang w:val="en-GB"/>
        </w:rPr>
        <w:t>. The particulars</w:t>
      </w:r>
      <w:r w:rsidR="00690937" w:rsidRPr="00690937">
        <w:rPr>
          <w:rFonts w:ascii="Times New Roman" w:hAnsi="Times New Roman"/>
          <w:lang w:val="en-GB"/>
        </w:rPr>
        <w:t xml:space="preserve"> request orders</w:t>
      </w:r>
      <w:r w:rsidR="002C3152" w:rsidRPr="009D0B11">
        <w:rPr>
          <w:rFonts w:ascii="Times New Roman" w:hAnsi="Times New Roman"/>
          <w:lang w:val="en-GB"/>
        </w:rPr>
        <w:t xml:space="preserve"> – </w:t>
      </w:r>
      <w:r w:rsidR="000C6FA9" w:rsidRPr="00690937">
        <w:rPr>
          <w:rFonts w:ascii="Times New Roman" w:hAnsi="Times New Roman"/>
          <w:lang w:val="en-GB"/>
        </w:rPr>
        <w:t xml:space="preserve">against only Messrs Staffen, </w:t>
      </w:r>
      <w:r w:rsidR="005D1F7F" w:rsidRPr="00690937">
        <w:rPr>
          <w:rFonts w:ascii="Times New Roman" w:hAnsi="Times New Roman"/>
          <w:lang w:val="en-GB"/>
        </w:rPr>
        <w:t>Clackett and Keating</w:t>
      </w:r>
      <w:r w:rsidR="009670E8">
        <w:rPr>
          <w:rFonts w:ascii="Times New Roman" w:hAnsi="Times New Roman"/>
          <w:lang w:val="en-GB"/>
        </w:rPr>
        <w:t xml:space="preserve"> (and not Full Score)</w:t>
      </w:r>
      <w:r w:rsidR="00690937" w:rsidRPr="00690937">
        <w:rPr>
          <w:rFonts w:ascii="Times New Roman" w:hAnsi="Times New Roman"/>
          <w:lang w:val="en-GB"/>
        </w:rPr>
        <w:t>:</w:t>
      </w:r>
      <w:r w:rsidR="005D1F7F" w:rsidRPr="00690937">
        <w:rPr>
          <w:rFonts w:ascii="Times New Roman" w:hAnsi="Times New Roman"/>
          <w:lang w:val="en-GB"/>
        </w:rPr>
        <w:t xml:space="preserve"> that they be declared </w:t>
      </w:r>
      <w:r w:rsidR="00406E90" w:rsidRPr="00690937">
        <w:rPr>
          <w:rFonts w:ascii="Times New Roman" w:hAnsi="Times New Roman"/>
          <w:lang w:val="en-GB"/>
        </w:rPr>
        <w:t xml:space="preserve">jointly and severally </w:t>
      </w:r>
      <w:r w:rsidR="005D1F7F" w:rsidRPr="00690937">
        <w:rPr>
          <w:rFonts w:ascii="Times New Roman" w:hAnsi="Times New Roman"/>
          <w:lang w:val="en-GB"/>
        </w:rPr>
        <w:t xml:space="preserve">liable for </w:t>
      </w:r>
      <w:r w:rsidR="00CD7E33" w:rsidRPr="00690937">
        <w:rPr>
          <w:rFonts w:ascii="Times New Roman" w:hAnsi="Times New Roman"/>
          <w:lang w:val="en-GB"/>
        </w:rPr>
        <w:t xml:space="preserve">the debts of Armour to Rota, </w:t>
      </w:r>
      <w:r w:rsidR="00FF06A8" w:rsidRPr="00690937">
        <w:rPr>
          <w:rFonts w:ascii="Times New Roman" w:hAnsi="Times New Roman"/>
          <w:lang w:val="en-GB"/>
        </w:rPr>
        <w:t xml:space="preserve">and to pay R3 653 288 with interest </w:t>
      </w:r>
      <w:r w:rsidR="00FF06A8" w:rsidRPr="00690937">
        <w:rPr>
          <w:rFonts w:ascii="Times New Roman" w:hAnsi="Times New Roman"/>
          <w:i/>
          <w:iCs/>
          <w:lang w:val="en-GB"/>
        </w:rPr>
        <w:t>“as agreed in the</w:t>
      </w:r>
      <w:r w:rsidR="00406E90" w:rsidRPr="00690937">
        <w:rPr>
          <w:rFonts w:ascii="Times New Roman" w:hAnsi="Times New Roman"/>
          <w:i/>
          <w:iCs/>
          <w:lang w:val="en-GB"/>
        </w:rPr>
        <w:t xml:space="preserve"> … factoring agreements”</w:t>
      </w:r>
      <w:r w:rsidR="00406E90" w:rsidRPr="00690937">
        <w:rPr>
          <w:rFonts w:ascii="Times New Roman" w:hAnsi="Times New Roman"/>
          <w:lang w:val="en-GB"/>
        </w:rPr>
        <w:t>.</w:t>
      </w:r>
    </w:p>
    <w:p w14:paraId="7D5B605D" w14:textId="5314E1E1" w:rsidR="0048228C" w:rsidRPr="007A4FA2" w:rsidRDefault="007A4FA2" w:rsidP="007A4FA2">
      <w:pPr>
        <w:keepNext/>
        <w:spacing w:before="240" w:after="240" w:line="480" w:lineRule="auto"/>
        <w:ind w:left="720"/>
        <w:jc w:val="both"/>
        <w:rPr>
          <w:rFonts w:ascii="Times New Roman" w:hAnsi="Times New Roman"/>
          <w:u w:val="single"/>
          <w:lang w:val="en-GB"/>
        </w:rPr>
      </w:pPr>
      <w:r>
        <w:rPr>
          <w:rFonts w:ascii="Times New Roman" w:hAnsi="Times New Roman"/>
          <w:u w:val="single"/>
          <w:lang w:val="en-GB"/>
        </w:rPr>
        <w:t>Approach to the papers</w:t>
      </w:r>
    </w:p>
    <w:p w14:paraId="7FC81256" w14:textId="00006011" w:rsidR="00F3157F" w:rsidRPr="007A4FA2" w:rsidRDefault="006D5E15" w:rsidP="006D5E15">
      <w:pPr>
        <w:spacing w:before="240" w:after="240" w:line="480" w:lineRule="auto"/>
        <w:ind w:left="720" w:hanging="720"/>
        <w:jc w:val="both"/>
        <w:rPr>
          <w:rFonts w:ascii="Times New Roman" w:hAnsi="Times New Roman"/>
          <w:lang w:val="en-GB"/>
        </w:rPr>
      </w:pPr>
      <w:r w:rsidRPr="007A4FA2">
        <w:rPr>
          <w:rFonts w:ascii="Times New Roman" w:hAnsi="Times New Roman"/>
          <w:lang w:val="en-GB"/>
        </w:rPr>
        <w:t>32.</w:t>
      </w:r>
      <w:r w:rsidRPr="007A4FA2">
        <w:rPr>
          <w:rFonts w:ascii="Times New Roman" w:hAnsi="Times New Roman"/>
          <w:lang w:val="en-GB"/>
        </w:rPr>
        <w:tab/>
      </w:r>
      <w:r w:rsidR="00847D30">
        <w:rPr>
          <w:rFonts w:ascii="Times New Roman" w:hAnsi="Times New Roman"/>
          <w:lang w:val="en-GB"/>
        </w:rPr>
        <w:t xml:space="preserve">This application is </w:t>
      </w:r>
      <w:r w:rsidR="00DC3D5E">
        <w:rPr>
          <w:rFonts w:ascii="Times New Roman" w:hAnsi="Times New Roman"/>
          <w:lang w:val="en-GB"/>
        </w:rPr>
        <w:t>not</w:t>
      </w:r>
      <w:r w:rsidR="00371106">
        <w:rPr>
          <w:rFonts w:ascii="Times New Roman" w:hAnsi="Times New Roman"/>
          <w:lang w:val="en-GB"/>
        </w:rPr>
        <w:t xml:space="preserve"> </w:t>
      </w:r>
      <w:r w:rsidR="00847D30">
        <w:rPr>
          <w:rFonts w:ascii="Times New Roman" w:hAnsi="Times New Roman"/>
          <w:lang w:val="en-GB"/>
        </w:rPr>
        <w:t xml:space="preserve">to </w:t>
      </w:r>
      <w:r w:rsidR="00941138">
        <w:rPr>
          <w:rFonts w:ascii="Times New Roman" w:hAnsi="Times New Roman"/>
          <w:lang w:val="en-GB"/>
        </w:rPr>
        <w:t xml:space="preserve">preserve </w:t>
      </w:r>
      <w:r w:rsidR="00847D30">
        <w:rPr>
          <w:rFonts w:ascii="Times New Roman" w:hAnsi="Times New Roman"/>
          <w:lang w:val="en-GB"/>
        </w:rPr>
        <w:t xml:space="preserve">assets of </w:t>
      </w:r>
      <w:r w:rsidR="00D276CC">
        <w:rPr>
          <w:rFonts w:ascii="Times New Roman" w:hAnsi="Times New Roman"/>
          <w:lang w:val="en-GB"/>
        </w:rPr>
        <w:t>Messrs Staffen</w:t>
      </w:r>
      <w:r w:rsidR="00417EB8">
        <w:rPr>
          <w:rFonts w:ascii="Times New Roman" w:hAnsi="Times New Roman"/>
          <w:lang w:val="en-GB"/>
        </w:rPr>
        <w:t xml:space="preserve">, Clackett and Keating, the </w:t>
      </w:r>
      <w:r w:rsidR="005E3C1C">
        <w:rPr>
          <w:rFonts w:ascii="Times New Roman" w:hAnsi="Times New Roman"/>
          <w:lang w:val="en-GB"/>
        </w:rPr>
        <w:t>action-</w:t>
      </w:r>
      <w:r w:rsidR="00417EB8">
        <w:rPr>
          <w:rFonts w:ascii="Times New Roman" w:hAnsi="Times New Roman"/>
          <w:lang w:val="en-GB"/>
        </w:rPr>
        <w:t>defendants</w:t>
      </w:r>
      <w:r w:rsidR="003E282D">
        <w:rPr>
          <w:rFonts w:ascii="Times New Roman" w:hAnsi="Times New Roman"/>
          <w:lang w:val="en-GB"/>
        </w:rPr>
        <w:t>.</w:t>
      </w:r>
      <w:r w:rsidR="00C72239">
        <w:rPr>
          <w:rFonts w:ascii="Times New Roman" w:hAnsi="Times New Roman"/>
          <w:lang w:val="en-GB"/>
        </w:rPr>
        <w:t xml:space="preserve"> </w:t>
      </w:r>
      <w:r w:rsidR="00941138">
        <w:rPr>
          <w:rFonts w:ascii="Times New Roman" w:hAnsi="Times New Roman"/>
          <w:lang w:val="en-GB"/>
        </w:rPr>
        <w:t xml:space="preserve">Rota seeks to preserve </w:t>
      </w:r>
      <w:r w:rsidR="0092227B">
        <w:rPr>
          <w:rFonts w:ascii="Times New Roman" w:hAnsi="Times New Roman"/>
          <w:lang w:val="en-GB"/>
        </w:rPr>
        <w:t xml:space="preserve">a fund established by the sale </w:t>
      </w:r>
      <w:r w:rsidR="00A85B0F">
        <w:rPr>
          <w:rFonts w:ascii="Times New Roman" w:hAnsi="Times New Roman"/>
          <w:lang w:val="en-GB"/>
        </w:rPr>
        <w:t>o</w:t>
      </w:r>
      <w:r w:rsidR="009700C6">
        <w:rPr>
          <w:rFonts w:ascii="Times New Roman" w:hAnsi="Times New Roman"/>
          <w:lang w:val="en-GB"/>
        </w:rPr>
        <w:t xml:space="preserve">f </w:t>
      </w:r>
      <w:r w:rsidR="00BF3AFA">
        <w:rPr>
          <w:rFonts w:ascii="Times New Roman" w:hAnsi="Times New Roman"/>
          <w:lang w:val="en-GB"/>
        </w:rPr>
        <w:t>Full Score</w:t>
      </w:r>
      <w:r w:rsidR="0092227B">
        <w:rPr>
          <w:rFonts w:ascii="Times New Roman" w:hAnsi="Times New Roman"/>
          <w:lang w:val="en-GB"/>
        </w:rPr>
        <w:t>’s property</w:t>
      </w:r>
      <w:r w:rsidR="00B76E7C">
        <w:rPr>
          <w:rFonts w:ascii="Times New Roman" w:hAnsi="Times New Roman"/>
          <w:lang w:val="en-GB"/>
        </w:rPr>
        <w:t xml:space="preserve">. </w:t>
      </w:r>
      <w:r w:rsidR="00C459C3">
        <w:rPr>
          <w:rFonts w:ascii="Times New Roman" w:hAnsi="Times New Roman"/>
          <w:lang w:val="en-GB"/>
        </w:rPr>
        <w:t xml:space="preserve">While </w:t>
      </w:r>
      <w:r w:rsidR="00F94305">
        <w:rPr>
          <w:rFonts w:ascii="Times New Roman" w:hAnsi="Times New Roman"/>
          <w:lang w:val="en-GB"/>
        </w:rPr>
        <w:t>Full Score</w:t>
      </w:r>
      <w:r w:rsidR="00C459C3">
        <w:rPr>
          <w:rFonts w:ascii="Times New Roman" w:hAnsi="Times New Roman"/>
          <w:lang w:val="en-GB"/>
        </w:rPr>
        <w:t xml:space="preserve"> is cited </w:t>
      </w:r>
      <w:r w:rsidR="006E78F6">
        <w:rPr>
          <w:rFonts w:ascii="Times New Roman" w:hAnsi="Times New Roman"/>
          <w:lang w:val="en-GB"/>
        </w:rPr>
        <w:t xml:space="preserve">as a defendant </w:t>
      </w:r>
      <w:r w:rsidR="00C459C3">
        <w:rPr>
          <w:rFonts w:ascii="Times New Roman" w:hAnsi="Times New Roman"/>
          <w:lang w:val="en-GB"/>
        </w:rPr>
        <w:t>in the action, no allegations are made against it, and no relief is sought against it</w:t>
      </w:r>
      <w:r w:rsidR="004D6303">
        <w:rPr>
          <w:rFonts w:ascii="Times New Roman" w:hAnsi="Times New Roman"/>
          <w:lang w:val="en-GB"/>
        </w:rPr>
        <w:t xml:space="preserve">. </w:t>
      </w:r>
      <w:r w:rsidR="000A51DC">
        <w:rPr>
          <w:rFonts w:ascii="Times New Roman" w:hAnsi="Times New Roman"/>
          <w:lang w:val="en-GB"/>
        </w:rPr>
        <w:t xml:space="preserve">Rota’s rights (if any) to procced against Full Score’s assets will not be revisited in the anticipated action. </w:t>
      </w:r>
      <w:r w:rsidR="00BF3AFA">
        <w:rPr>
          <w:rFonts w:ascii="Times New Roman" w:hAnsi="Times New Roman"/>
          <w:lang w:val="en-GB"/>
        </w:rPr>
        <w:t>Therefore</w:t>
      </w:r>
      <w:r w:rsidR="00CA1E29">
        <w:rPr>
          <w:rFonts w:ascii="Times New Roman" w:hAnsi="Times New Roman"/>
          <w:lang w:val="en-GB"/>
        </w:rPr>
        <w:t>,</w:t>
      </w:r>
      <w:r w:rsidR="00BF3AFA">
        <w:rPr>
          <w:rFonts w:ascii="Times New Roman" w:hAnsi="Times New Roman"/>
          <w:lang w:val="en-GB"/>
        </w:rPr>
        <w:t xml:space="preserve"> th</w:t>
      </w:r>
      <w:r w:rsidR="008A7C0C">
        <w:rPr>
          <w:rFonts w:ascii="Times New Roman" w:hAnsi="Times New Roman"/>
          <w:lang w:val="en-GB"/>
        </w:rPr>
        <w:t xml:space="preserve">e </w:t>
      </w:r>
      <w:r w:rsidR="008573AB">
        <w:rPr>
          <w:rFonts w:ascii="Times New Roman" w:hAnsi="Times New Roman"/>
          <w:lang w:val="en-GB"/>
        </w:rPr>
        <w:t>rule I am request</w:t>
      </w:r>
      <w:r w:rsidR="009B4EDD">
        <w:rPr>
          <w:rFonts w:ascii="Times New Roman" w:hAnsi="Times New Roman"/>
          <w:lang w:val="en-GB"/>
        </w:rPr>
        <w:t>ed</w:t>
      </w:r>
      <w:r w:rsidR="008573AB">
        <w:rPr>
          <w:rFonts w:ascii="Times New Roman" w:hAnsi="Times New Roman"/>
          <w:lang w:val="en-GB"/>
        </w:rPr>
        <w:t xml:space="preserve"> to </w:t>
      </w:r>
      <w:r w:rsidR="002616F3">
        <w:rPr>
          <w:rFonts w:ascii="Times New Roman" w:hAnsi="Times New Roman"/>
          <w:lang w:val="en-GB"/>
        </w:rPr>
        <w:t xml:space="preserve">(revive and) </w:t>
      </w:r>
      <w:r w:rsidR="008573AB">
        <w:rPr>
          <w:rFonts w:ascii="Times New Roman" w:hAnsi="Times New Roman"/>
          <w:lang w:val="en-GB"/>
        </w:rPr>
        <w:t xml:space="preserve">confirm </w:t>
      </w:r>
      <w:r w:rsidR="009B4EDD">
        <w:rPr>
          <w:rFonts w:ascii="Times New Roman" w:hAnsi="Times New Roman"/>
          <w:lang w:val="en-GB"/>
        </w:rPr>
        <w:t xml:space="preserve">would grant </w:t>
      </w:r>
      <w:r w:rsidR="0063274B">
        <w:rPr>
          <w:rFonts w:ascii="Times New Roman" w:hAnsi="Times New Roman"/>
          <w:lang w:val="en-GB"/>
        </w:rPr>
        <w:t xml:space="preserve">final relief </w:t>
      </w:r>
      <w:r w:rsidR="008D0B97">
        <w:rPr>
          <w:rFonts w:ascii="Times New Roman" w:hAnsi="Times New Roman"/>
          <w:lang w:val="en-GB"/>
        </w:rPr>
        <w:t>of</w:t>
      </w:r>
      <w:r w:rsidR="0063274B">
        <w:rPr>
          <w:rFonts w:ascii="Times New Roman" w:hAnsi="Times New Roman"/>
          <w:lang w:val="en-GB"/>
        </w:rPr>
        <w:t xml:space="preserve"> a limited duration.</w:t>
      </w:r>
      <w:r w:rsidR="0063274B">
        <w:rPr>
          <w:rStyle w:val="FootnoteReference"/>
          <w:rFonts w:ascii="Times New Roman" w:hAnsi="Times New Roman"/>
          <w:lang w:val="en-GB"/>
        </w:rPr>
        <w:footnoteReference w:id="5"/>
      </w:r>
      <w:r w:rsidR="008D0B97">
        <w:rPr>
          <w:rFonts w:ascii="Times New Roman" w:hAnsi="Times New Roman"/>
          <w:lang w:val="en-GB"/>
        </w:rPr>
        <w:t xml:space="preserve"> </w:t>
      </w:r>
      <w:r w:rsidR="00AF12CB">
        <w:rPr>
          <w:rFonts w:ascii="Times New Roman" w:hAnsi="Times New Roman"/>
          <w:color w:val="000000"/>
          <w:lang w:val="en-GB"/>
        </w:rPr>
        <w:t xml:space="preserve">There are two consequences: firstly, </w:t>
      </w:r>
      <w:r w:rsidR="00AF12CB" w:rsidRPr="005D4DF9">
        <w:rPr>
          <w:rFonts w:ascii="Times New Roman" w:hAnsi="Times New Roman"/>
          <w:color w:val="000000"/>
        </w:rPr>
        <w:t xml:space="preserve">the rule in </w:t>
      </w:r>
      <w:r w:rsidR="00AF12CB" w:rsidRPr="005D4DF9">
        <w:rPr>
          <w:rFonts w:ascii="Times New Roman" w:hAnsi="Times New Roman"/>
          <w:i/>
          <w:iCs/>
          <w:color w:val="000000"/>
        </w:rPr>
        <w:lastRenderedPageBreak/>
        <w:t xml:space="preserve">Plascon-Evans </w:t>
      </w:r>
      <w:r w:rsidR="00AF12CB" w:rsidRPr="005D4DF9">
        <w:rPr>
          <w:rFonts w:ascii="Times New Roman" w:hAnsi="Times New Roman"/>
          <w:color w:val="000000"/>
        </w:rPr>
        <w:t>applies.</w:t>
      </w:r>
      <w:r w:rsidR="00EE2F48">
        <w:rPr>
          <w:rStyle w:val="FootnoteReference"/>
          <w:rFonts w:ascii="Times New Roman" w:hAnsi="Times New Roman"/>
          <w:color w:val="000000"/>
        </w:rPr>
        <w:footnoteReference w:id="6"/>
      </w:r>
      <w:r w:rsidR="00AF12CB" w:rsidRPr="005D4DF9">
        <w:rPr>
          <w:rFonts w:ascii="Times New Roman" w:hAnsi="Times New Roman"/>
          <w:color w:val="000000"/>
        </w:rPr>
        <w:t xml:space="preserve"> </w:t>
      </w:r>
      <w:r w:rsidR="00C63E88">
        <w:rPr>
          <w:rFonts w:ascii="Times New Roman" w:hAnsi="Times New Roman"/>
          <w:color w:val="000000"/>
        </w:rPr>
        <w:t xml:space="preserve">Any </w:t>
      </w:r>
      <w:r w:rsidR="00AF12CB">
        <w:rPr>
          <w:rFonts w:ascii="Times New Roman" w:hAnsi="Times New Roman"/>
          <w:color w:val="000000"/>
        </w:rPr>
        <w:t xml:space="preserve">material </w:t>
      </w:r>
      <w:r w:rsidR="00AF12CB" w:rsidRPr="005D4DF9">
        <w:rPr>
          <w:rFonts w:ascii="Times New Roman" w:hAnsi="Times New Roman"/>
          <w:color w:val="000000"/>
        </w:rPr>
        <w:t>disputes of fact</w:t>
      </w:r>
      <w:r w:rsidR="00C63E88">
        <w:rPr>
          <w:rFonts w:ascii="Times New Roman" w:hAnsi="Times New Roman"/>
          <w:color w:val="000000"/>
        </w:rPr>
        <w:t xml:space="preserve"> are resolved by</w:t>
      </w:r>
      <w:r w:rsidR="00AF12CB" w:rsidRPr="005D4DF9">
        <w:rPr>
          <w:rFonts w:ascii="Times New Roman" w:hAnsi="Times New Roman"/>
          <w:color w:val="000000"/>
        </w:rPr>
        <w:t xml:space="preserve"> the evidence</w:t>
      </w:r>
      <w:r w:rsidR="00AF12CB">
        <w:rPr>
          <w:rFonts w:ascii="Times New Roman" w:hAnsi="Times New Roman"/>
          <w:color w:val="000000"/>
        </w:rPr>
        <w:t xml:space="preserve"> of </w:t>
      </w:r>
      <w:r w:rsidR="00805F7F">
        <w:rPr>
          <w:rFonts w:ascii="Times New Roman" w:hAnsi="Times New Roman"/>
          <w:color w:val="000000"/>
        </w:rPr>
        <w:t>the respondents</w:t>
      </w:r>
      <w:r w:rsidR="00C63E88">
        <w:rPr>
          <w:rFonts w:ascii="Times New Roman" w:hAnsi="Times New Roman"/>
          <w:color w:val="000000"/>
        </w:rPr>
        <w:t>, unless it is implausible</w:t>
      </w:r>
      <w:r w:rsidR="00AF12CB">
        <w:rPr>
          <w:rFonts w:ascii="Times New Roman" w:hAnsi="Times New Roman"/>
          <w:color w:val="000000"/>
        </w:rPr>
        <w:t>.</w:t>
      </w:r>
      <w:r w:rsidR="00EE2F48" w:rsidRPr="00EE2F48">
        <w:rPr>
          <w:rFonts w:ascii="Times New Roman" w:hAnsi="Times New Roman"/>
          <w:color w:val="000000"/>
          <w:vertAlign w:val="superscript"/>
        </w:rPr>
        <w:t xml:space="preserve"> </w:t>
      </w:r>
      <w:r w:rsidR="00EE2F48" w:rsidRPr="005D4DF9">
        <w:rPr>
          <w:rFonts w:ascii="Times New Roman" w:hAnsi="Times New Roman"/>
          <w:color w:val="000000"/>
          <w:vertAlign w:val="superscript"/>
        </w:rPr>
        <w:footnoteReference w:id="7"/>
      </w:r>
      <w:r w:rsidR="00AF12CB">
        <w:rPr>
          <w:rFonts w:ascii="Times New Roman" w:hAnsi="Times New Roman"/>
          <w:color w:val="000000"/>
        </w:rPr>
        <w:t xml:space="preserve"> Secondly, </w:t>
      </w:r>
      <w:r w:rsidR="00805F7F">
        <w:rPr>
          <w:rFonts w:ascii="Times New Roman" w:hAnsi="Times New Roman"/>
          <w:color w:val="000000"/>
        </w:rPr>
        <w:t xml:space="preserve">Rota </w:t>
      </w:r>
      <w:r w:rsidR="00AF12CB">
        <w:rPr>
          <w:rFonts w:ascii="Times New Roman" w:hAnsi="Times New Roman"/>
          <w:color w:val="000000"/>
        </w:rPr>
        <w:t>must show (a) a clear right; (b) actual or reasonably apprehended injury; and (c) no alternative remedy</w:t>
      </w:r>
      <w:r w:rsidR="00230F13">
        <w:rPr>
          <w:rFonts w:ascii="Times New Roman" w:hAnsi="Times New Roman"/>
          <w:color w:val="000000"/>
        </w:rPr>
        <w:t xml:space="preserve"> – insofar as the ordinary interdictory requisites apply</w:t>
      </w:r>
      <w:r w:rsidR="00AF12CB">
        <w:rPr>
          <w:rFonts w:ascii="Times New Roman" w:hAnsi="Times New Roman"/>
          <w:color w:val="000000"/>
        </w:rPr>
        <w:t>.</w:t>
      </w:r>
      <w:r w:rsidR="00230F13">
        <w:rPr>
          <w:rStyle w:val="FootnoteReference"/>
          <w:rFonts w:ascii="Times New Roman" w:hAnsi="Times New Roman"/>
          <w:color w:val="000000"/>
        </w:rPr>
        <w:footnoteReference w:id="8"/>
      </w:r>
    </w:p>
    <w:p w14:paraId="5A726B78" w14:textId="75D6A389" w:rsidR="007A4FA2" w:rsidRPr="007A4FA2" w:rsidRDefault="007A4FA2" w:rsidP="007A4FA2">
      <w:pPr>
        <w:keepNext/>
        <w:spacing w:before="240" w:after="240" w:line="480" w:lineRule="auto"/>
        <w:ind w:left="720"/>
        <w:jc w:val="both"/>
        <w:rPr>
          <w:rFonts w:ascii="Times New Roman" w:hAnsi="Times New Roman"/>
          <w:u w:val="single"/>
          <w:lang w:val="en-GB"/>
        </w:rPr>
      </w:pPr>
      <w:r>
        <w:rPr>
          <w:rFonts w:ascii="Times New Roman" w:hAnsi="Times New Roman"/>
          <w:color w:val="000000"/>
          <w:u w:val="single"/>
        </w:rPr>
        <w:t>Anti-dissipation interdicts</w:t>
      </w:r>
    </w:p>
    <w:p w14:paraId="24AC21CD" w14:textId="70FEF4C0" w:rsidR="0090289C" w:rsidRPr="00ED0D29" w:rsidRDefault="006D5E15" w:rsidP="006D5E15">
      <w:pPr>
        <w:spacing w:before="240" w:after="240" w:line="480" w:lineRule="auto"/>
        <w:ind w:left="720" w:hanging="720"/>
        <w:jc w:val="both"/>
        <w:rPr>
          <w:rFonts w:ascii="Times New Roman" w:hAnsi="Times New Roman"/>
          <w:lang w:val="en-GB"/>
        </w:rPr>
      </w:pPr>
      <w:r w:rsidRPr="00ED0D29">
        <w:rPr>
          <w:rFonts w:ascii="Times New Roman" w:hAnsi="Times New Roman"/>
          <w:lang w:val="en-GB"/>
        </w:rPr>
        <w:t>33.</w:t>
      </w:r>
      <w:r w:rsidRPr="00ED0D29">
        <w:rPr>
          <w:rFonts w:ascii="Times New Roman" w:hAnsi="Times New Roman"/>
          <w:lang w:val="en-GB"/>
        </w:rPr>
        <w:tab/>
      </w:r>
      <w:r w:rsidR="0097001E" w:rsidRPr="00ED0D29">
        <w:rPr>
          <w:rFonts w:ascii="Times New Roman" w:hAnsi="Times New Roman"/>
          <w:lang w:val="en-GB"/>
        </w:rPr>
        <w:t xml:space="preserve">In English law, a plaintiff can apply for a Mareva injunction </w:t>
      </w:r>
      <w:r w:rsidR="002B0D66" w:rsidRPr="00ED0D29">
        <w:rPr>
          <w:rFonts w:ascii="Times New Roman" w:hAnsi="Times New Roman"/>
          <w:lang w:val="en-GB"/>
        </w:rPr>
        <w:t xml:space="preserve">against a prospective defendant </w:t>
      </w:r>
      <w:r w:rsidR="0097001E" w:rsidRPr="00ED0D29">
        <w:rPr>
          <w:rFonts w:ascii="Times New Roman" w:hAnsi="Times New Roman"/>
          <w:lang w:val="en-GB"/>
        </w:rPr>
        <w:t xml:space="preserve">to freeze </w:t>
      </w:r>
      <w:r w:rsidR="002B0D66" w:rsidRPr="00ED0D29">
        <w:rPr>
          <w:rFonts w:ascii="Times New Roman" w:hAnsi="Times New Roman"/>
          <w:lang w:val="en-GB"/>
        </w:rPr>
        <w:t xml:space="preserve">the prospective </w:t>
      </w:r>
      <w:r w:rsidR="0097001E" w:rsidRPr="00ED0D29">
        <w:rPr>
          <w:rFonts w:ascii="Times New Roman" w:hAnsi="Times New Roman"/>
          <w:lang w:val="en-GB"/>
        </w:rPr>
        <w:t>defendant’s assets</w:t>
      </w:r>
      <w:r w:rsidR="00B5482A">
        <w:rPr>
          <w:rFonts w:ascii="Times New Roman" w:hAnsi="Times New Roman"/>
          <w:lang w:val="en-GB"/>
        </w:rPr>
        <w:t>,</w:t>
      </w:r>
      <w:r w:rsidR="0097001E" w:rsidRPr="00ED0D29">
        <w:rPr>
          <w:rFonts w:ascii="Times New Roman" w:hAnsi="Times New Roman"/>
          <w:lang w:val="en-GB"/>
        </w:rPr>
        <w:t xml:space="preserve"> safeguard</w:t>
      </w:r>
      <w:r w:rsidR="00B5482A">
        <w:rPr>
          <w:rFonts w:ascii="Times New Roman" w:hAnsi="Times New Roman"/>
          <w:lang w:val="en-GB"/>
        </w:rPr>
        <w:t>ing</w:t>
      </w:r>
      <w:r w:rsidR="0097001E" w:rsidRPr="00ED0D29">
        <w:rPr>
          <w:rFonts w:ascii="Times New Roman" w:hAnsi="Times New Roman"/>
          <w:lang w:val="en-GB"/>
        </w:rPr>
        <w:t xml:space="preserve"> the</w:t>
      </w:r>
      <w:r w:rsidR="00E43AC9">
        <w:rPr>
          <w:rFonts w:ascii="Times New Roman" w:hAnsi="Times New Roman"/>
          <w:lang w:val="en-GB"/>
        </w:rPr>
        <w:t xml:space="preserve"> coming</w:t>
      </w:r>
      <w:r w:rsidR="0097001E" w:rsidRPr="00ED0D29">
        <w:rPr>
          <w:rFonts w:ascii="Times New Roman" w:hAnsi="Times New Roman"/>
          <w:lang w:val="en-GB"/>
        </w:rPr>
        <w:t xml:space="preserve"> claim.</w:t>
      </w:r>
      <w:r w:rsidR="009D7009">
        <w:rPr>
          <w:rStyle w:val="FootnoteReference"/>
          <w:rFonts w:ascii="Times New Roman" w:hAnsi="Times New Roman"/>
          <w:lang w:val="en-GB"/>
        </w:rPr>
        <w:footnoteReference w:id="9"/>
      </w:r>
      <w:r w:rsidR="0097001E" w:rsidRPr="00ED0D29">
        <w:rPr>
          <w:rFonts w:ascii="Times New Roman" w:hAnsi="Times New Roman"/>
          <w:lang w:val="en-GB"/>
        </w:rPr>
        <w:t xml:space="preserve"> South African law </w:t>
      </w:r>
      <w:r w:rsidR="00D34EFD" w:rsidRPr="00ED0D29">
        <w:rPr>
          <w:rFonts w:ascii="Times New Roman" w:hAnsi="Times New Roman"/>
          <w:lang w:val="en-GB"/>
        </w:rPr>
        <w:t>has</w:t>
      </w:r>
      <w:r w:rsidR="002B0D66" w:rsidRPr="00ED0D29">
        <w:rPr>
          <w:rFonts w:ascii="Times New Roman" w:hAnsi="Times New Roman"/>
          <w:lang w:val="en-GB"/>
        </w:rPr>
        <w:t xml:space="preserve"> long </w:t>
      </w:r>
      <w:r w:rsidR="008A1DF4" w:rsidRPr="00ED0D29">
        <w:rPr>
          <w:rFonts w:ascii="Times New Roman" w:hAnsi="Times New Roman"/>
          <w:lang w:val="en-GB"/>
        </w:rPr>
        <w:t xml:space="preserve">ago </w:t>
      </w:r>
      <w:r w:rsidR="00D34EFD" w:rsidRPr="00ED0D29">
        <w:rPr>
          <w:rFonts w:ascii="Times New Roman" w:hAnsi="Times New Roman"/>
          <w:lang w:val="en-GB"/>
        </w:rPr>
        <w:t xml:space="preserve">received </w:t>
      </w:r>
      <w:r w:rsidR="008A1DF4" w:rsidRPr="00ED0D29">
        <w:rPr>
          <w:rFonts w:ascii="Times New Roman" w:hAnsi="Times New Roman"/>
          <w:lang w:val="en-GB"/>
        </w:rPr>
        <w:t xml:space="preserve">and developed </w:t>
      </w:r>
      <w:r w:rsidR="00D34EFD" w:rsidRPr="00ED0D29">
        <w:rPr>
          <w:rFonts w:ascii="Times New Roman" w:hAnsi="Times New Roman"/>
          <w:lang w:val="en-GB"/>
        </w:rPr>
        <w:t>the procedure</w:t>
      </w:r>
      <w:r w:rsidR="008A1DF4" w:rsidRPr="00ED0D29">
        <w:rPr>
          <w:rFonts w:ascii="Times New Roman" w:hAnsi="Times New Roman"/>
          <w:lang w:val="en-GB"/>
        </w:rPr>
        <w:t>,</w:t>
      </w:r>
      <w:r w:rsidR="00D34EFD" w:rsidRPr="00ED0D29">
        <w:rPr>
          <w:rFonts w:ascii="Times New Roman" w:hAnsi="Times New Roman"/>
          <w:lang w:val="en-GB"/>
        </w:rPr>
        <w:t xml:space="preserve"> but </w:t>
      </w:r>
      <w:r w:rsidR="00610934" w:rsidRPr="00ED0D29">
        <w:rPr>
          <w:rFonts w:ascii="Times New Roman" w:hAnsi="Times New Roman"/>
          <w:lang w:val="en-GB"/>
        </w:rPr>
        <w:t xml:space="preserve">does </w:t>
      </w:r>
      <w:r w:rsidR="00CC7AA2" w:rsidRPr="00ED0D29">
        <w:rPr>
          <w:rFonts w:ascii="Times New Roman" w:hAnsi="Times New Roman"/>
          <w:lang w:val="en-GB"/>
        </w:rPr>
        <w:t xml:space="preserve">not </w:t>
      </w:r>
      <w:r w:rsidR="00610934" w:rsidRPr="00ED0D29">
        <w:rPr>
          <w:rFonts w:ascii="Times New Roman" w:hAnsi="Times New Roman"/>
          <w:lang w:val="en-GB"/>
        </w:rPr>
        <w:t xml:space="preserve">recognise </w:t>
      </w:r>
      <w:r w:rsidR="00CC7AA2" w:rsidRPr="00ED0D29">
        <w:rPr>
          <w:rFonts w:ascii="Times New Roman" w:hAnsi="Times New Roman"/>
          <w:lang w:val="en-GB"/>
        </w:rPr>
        <w:t>the claim</w:t>
      </w:r>
      <w:r w:rsidR="00EB708D" w:rsidRPr="00ED0D29">
        <w:rPr>
          <w:rFonts w:ascii="Times New Roman" w:hAnsi="Times New Roman"/>
          <w:lang w:val="en-GB"/>
        </w:rPr>
        <w:t xml:space="preserve"> and </w:t>
      </w:r>
      <w:r w:rsidR="002113EB">
        <w:rPr>
          <w:rFonts w:ascii="Times New Roman" w:hAnsi="Times New Roman"/>
          <w:lang w:val="en-GB"/>
        </w:rPr>
        <w:t xml:space="preserve">so </w:t>
      </w:r>
      <w:r w:rsidR="00EB708D" w:rsidRPr="00ED0D29">
        <w:rPr>
          <w:rFonts w:ascii="Times New Roman" w:hAnsi="Times New Roman"/>
          <w:lang w:val="en-GB"/>
        </w:rPr>
        <w:t>rejects the name</w:t>
      </w:r>
      <w:r w:rsidR="0090289C" w:rsidRPr="00ED0D29">
        <w:rPr>
          <w:rFonts w:ascii="Times New Roman" w:hAnsi="Times New Roman"/>
          <w:lang w:val="en-GB"/>
        </w:rPr>
        <w:t>.</w:t>
      </w:r>
      <w:r w:rsidR="000D502A">
        <w:rPr>
          <w:rStyle w:val="FootnoteReference"/>
          <w:rFonts w:ascii="Times New Roman" w:hAnsi="Times New Roman"/>
          <w:lang w:val="en-GB"/>
        </w:rPr>
        <w:footnoteReference w:id="10"/>
      </w:r>
      <w:r w:rsidR="00443D58" w:rsidRPr="00ED0D29">
        <w:rPr>
          <w:rFonts w:ascii="Times New Roman" w:hAnsi="Times New Roman"/>
          <w:lang w:val="en-GB"/>
        </w:rPr>
        <w:t xml:space="preserve"> </w:t>
      </w:r>
      <w:r w:rsidR="00144F79" w:rsidRPr="00ED0D29">
        <w:rPr>
          <w:rFonts w:ascii="Times New Roman" w:hAnsi="Times New Roman"/>
          <w:lang w:val="en-GB"/>
        </w:rPr>
        <w:t>A similar</w:t>
      </w:r>
      <w:r w:rsidR="00B31001">
        <w:rPr>
          <w:rFonts w:ascii="Times New Roman" w:hAnsi="Times New Roman"/>
          <w:lang w:val="en-GB"/>
        </w:rPr>
        <w:t xml:space="preserve"> species of interdict</w:t>
      </w:r>
      <w:r w:rsidR="00144F79" w:rsidRPr="00ED0D29">
        <w:rPr>
          <w:rFonts w:ascii="Times New Roman" w:hAnsi="Times New Roman"/>
          <w:lang w:val="en-GB"/>
        </w:rPr>
        <w:t xml:space="preserve">, but granted upon different requisites, </w:t>
      </w:r>
      <w:r w:rsidR="000A7E3E" w:rsidRPr="00ED0D29">
        <w:rPr>
          <w:rFonts w:ascii="Times New Roman" w:hAnsi="Times New Roman"/>
          <w:lang w:val="en-GB"/>
        </w:rPr>
        <w:t>has long been recognised</w:t>
      </w:r>
      <w:r w:rsidR="00183F81" w:rsidRPr="00ED0D29">
        <w:rPr>
          <w:rFonts w:ascii="Times New Roman" w:hAnsi="Times New Roman"/>
          <w:lang w:val="en-GB"/>
        </w:rPr>
        <w:t>.</w:t>
      </w:r>
      <w:r w:rsidR="00540E21">
        <w:rPr>
          <w:rStyle w:val="FootnoteReference"/>
          <w:rFonts w:ascii="Times New Roman" w:hAnsi="Times New Roman"/>
          <w:lang w:val="en-GB"/>
        </w:rPr>
        <w:footnoteReference w:id="11"/>
      </w:r>
      <w:r w:rsidR="00183F81" w:rsidRPr="00ED0D29">
        <w:rPr>
          <w:rFonts w:ascii="Times New Roman" w:hAnsi="Times New Roman"/>
          <w:lang w:val="en-GB"/>
        </w:rPr>
        <w:t xml:space="preserve"> </w:t>
      </w:r>
      <w:r w:rsidR="00A07737" w:rsidRPr="00ED0D29">
        <w:rPr>
          <w:rFonts w:ascii="Times New Roman" w:hAnsi="Times New Roman"/>
          <w:lang w:val="en-GB"/>
        </w:rPr>
        <w:t>T</w:t>
      </w:r>
      <w:r w:rsidR="00183F81" w:rsidRPr="00ED0D29">
        <w:rPr>
          <w:rFonts w:ascii="Times New Roman" w:hAnsi="Times New Roman"/>
          <w:lang w:val="en-GB"/>
        </w:rPr>
        <w:t xml:space="preserve">he </w:t>
      </w:r>
      <w:r w:rsidR="00A07737" w:rsidRPr="00ED0D29">
        <w:rPr>
          <w:rFonts w:ascii="Times New Roman" w:hAnsi="Times New Roman"/>
          <w:lang w:val="en-GB"/>
        </w:rPr>
        <w:t xml:space="preserve">seminal </w:t>
      </w:r>
      <w:r w:rsidR="00183F81" w:rsidRPr="00ED0D29">
        <w:rPr>
          <w:rFonts w:ascii="Times New Roman" w:hAnsi="Times New Roman"/>
          <w:lang w:val="en-GB"/>
        </w:rPr>
        <w:t xml:space="preserve">judgment </w:t>
      </w:r>
      <w:r w:rsidR="00EE5D35">
        <w:rPr>
          <w:rFonts w:ascii="Times New Roman" w:hAnsi="Times New Roman"/>
          <w:lang w:val="en-GB"/>
        </w:rPr>
        <w:t xml:space="preserve">is that of </w:t>
      </w:r>
      <w:r w:rsidR="00992E0B" w:rsidRPr="00ED0D29">
        <w:rPr>
          <w:rFonts w:ascii="Times New Roman" w:hAnsi="Times New Roman"/>
          <w:lang w:val="en-GB"/>
        </w:rPr>
        <w:t>EM Grosskopf</w:t>
      </w:r>
      <w:r w:rsidR="00A42952">
        <w:rPr>
          <w:rFonts w:ascii="Times New Roman" w:hAnsi="Times New Roman"/>
          <w:lang w:val="en-GB"/>
        </w:rPr>
        <w:t> </w:t>
      </w:r>
      <w:r w:rsidR="00992E0B" w:rsidRPr="00ED0D29">
        <w:rPr>
          <w:rFonts w:ascii="Times New Roman" w:hAnsi="Times New Roman"/>
          <w:lang w:val="en-GB"/>
        </w:rPr>
        <w:t>JA in the (then) AD</w:t>
      </w:r>
      <w:r w:rsidR="00A07737" w:rsidRPr="00ED0D29">
        <w:rPr>
          <w:rFonts w:ascii="Times New Roman" w:hAnsi="Times New Roman"/>
          <w:lang w:val="en-GB"/>
        </w:rPr>
        <w:t xml:space="preserve">, in </w:t>
      </w:r>
      <w:r w:rsidR="00A07737" w:rsidRPr="00ED0D29">
        <w:rPr>
          <w:rFonts w:ascii="Times New Roman" w:hAnsi="Times New Roman"/>
          <w:i/>
          <w:iCs/>
          <w:lang w:val="en-GB"/>
        </w:rPr>
        <w:t>Knox D’Arcy v Jamieson</w:t>
      </w:r>
      <w:r w:rsidR="001B2AD8">
        <w:rPr>
          <w:rFonts w:ascii="Times New Roman" w:hAnsi="Times New Roman"/>
          <w:lang w:val="en-GB"/>
        </w:rPr>
        <w:t xml:space="preserve">; it must be read together with the judgment of Stegmann J </w:t>
      </w:r>
      <w:r w:rsidR="001B2AD8">
        <w:rPr>
          <w:rFonts w:ascii="Times New Roman" w:hAnsi="Times New Roman"/>
          <w:i/>
          <w:iCs/>
          <w:lang w:val="en-GB"/>
        </w:rPr>
        <w:t>a quo</w:t>
      </w:r>
      <w:r w:rsidR="001B2AD8">
        <w:rPr>
          <w:rFonts w:ascii="Times New Roman" w:hAnsi="Times New Roman"/>
          <w:lang w:val="en-GB"/>
        </w:rPr>
        <w:t>.</w:t>
      </w:r>
      <w:r w:rsidR="00E029B8" w:rsidRPr="00ED0D29">
        <w:rPr>
          <w:rFonts w:ascii="Times New Roman" w:hAnsi="Times New Roman"/>
          <w:lang w:val="en-GB"/>
        </w:rPr>
        <w:t xml:space="preserve"> </w:t>
      </w:r>
      <w:r w:rsidR="00CE7525" w:rsidRPr="00ED0D29">
        <w:rPr>
          <w:rFonts w:ascii="Times New Roman" w:hAnsi="Times New Roman"/>
          <w:lang w:val="en-GB"/>
        </w:rPr>
        <w:t>EM Grosskopf</w:t>
      </w:r>
      <w:r w:rsidR="00A42952">
        <w:rPr>
          <w:rFonts w:ascii="Times New Roman" w:hAnsi="Times New Roman"/>
          <w:lang w:val="en-GB"/>
        </w:rPr>
        <w:t> </w:t>
      </w:r>
      <w:r w:rsidR="00CE7525" w:rsidRPr="00ED0D29">
        <w:rPr>
          <w:rFonts w:ascii="Times New Roman" w:hAnsi="Times New Roman"/>
          <w:lang w:val="en-GB"/>
        </w:rPr>
        <w:t xml:space="preserve">JA </w:t>
      </w:r>
      <w:r w:rsidR="001A4F9E" w:rsidRPr="00ED0D29">
        <w:rPr>
          <w:rFonts w:ascii="Times New Roman" w:hAnsi="Times New Roman"/>
          <w:lang w:val="en-GB"/>
        </w:rPr>
        <w:t xml:space="preserve">doubted </w:t>
      </w:r>
      <w:r w:rsidR="006663FE">
        <w:rPr>
          <w:rFonts w:ascii="Times New Roman" w:hAnsi="Times New Roman"/>
          <w:lang w:val="en-GB"/>
        </w:rPr>
        <w:t xml:space="preserve">the species </w:t>
      </w:r>
      <w:r w:rsidR="001A4F9E" w:rsidRPr="00ED0D29">
        <w:rPr>
          <w:rFonts w:ascii="Times New Roman" w:hAnsi="Times New Roman"/>
          <w:lang w:val="en-GB"/>
        </w:rPr>
        <w:t xml:space="preserve">should be called </w:t>
      </w:r>
      <w:r w:rsidR="00B973A5" w:rsidRPr="00ED0D29">
        <w:rPr>
          <w:rFonts w:ascii="Times New Roman" w:hAnsi="Times New Roman"/>
          <w:lang w:val="en-GB"/>
        </w:rPr>
        <w:t xml:space="preserve">an </w:t>
      </w:r>
      <w:r w:rsidR="009032FD" w:rsidRPr="00ED0D29">
        <w:rPr>
          <w:rFonts w:ascii="Times New Roman" w:hAnsi="Times New Roman"/>
          <w:lang w:val="en-GB"/>
        </w:rPr>
        <w:t xml:space="preserve">anti-dissipation interdict, </w:t>
      </w:r>
      <w:r w:rsidR="00CE7525" w:rsidRPr="00ED0D29">
        <w:rPr>
          <w:rFonts w:ascii="Times New Roman" w:hAnsi="Times New Roman"/>
          <w:lang w:val="en-GB"/>
        </w:rPr>
        <w:t>as was suggested by Stegmann</w:t>
      </w:r>
      <w:r w:rsidR="00A93F3A">
        <w:rPr>
          <w:rFonts w:ascii="Times New Roman" w:hAnsi="Times New Roman"/>
          <w:lang w:val="en-GB"/>
        </w:rPr>
        <w:t> </w:t>
      </w:r>
      <w:r w:rsidR="00CE7525" w:rsidRPr="00ED0D29">
        <w:rPr>
          <w:rFonts w:ascii="Times New Roman" w:hAnsi="Times New Roman"/>
          <w:lang w:val="en-GB"/>
        </w:rPr>
        <w:t>J</w:t>
      </w:r>
      <w:r w:rsidR="004F7209" w:rsidRPr="00ED0D29">
        <w:rPr>
          <w:rFonts w:ascii="Times New Roman" w:hAnsi="Times New Roman"/>
          <w:lang w:val="en-GB"/>
        </w:rPr>
        <w:t>.</w:t>
      </w:r>
      <w:r w:rsidR="004F7209">
        <w:rPr>
          <w:rStyle w:val="FootnoteReference"/>
          <w:rFonts w:ascii="Times New Roman" w:hAnsi="Times New Roman"/>
          <w:lang w:val="en-GB"/>
        </w:rPr>
        <w:footnoteReference w:id="12"/>
      </w:r>
      <w:r w:rsidR="00050BB0" w:rsidRPr="00ED0D29">
        <w:rPr>
          <w:rFonts w:ascii="Times New Roman" w:hAnsi="Times New Roman"/>
          <w:lang w:val="en-GB"/>
        </w:rPr>
        <w:t xml:space="preserve"> But, that i</w:t>
      </w:r>
      <w:r w:rsidR="00B5658A" w:rsidRPr="00ED0D29">
        <w:rPr>
          <w:rFonts w:ascii="Times New Roman" w:hAnsi="Times New Roman"/>
          <w:lang w:val="en-GB"/>
        </w:rPr>
        <w:t>s the name that has stuck.</w:t>
      </w:r>
      <w:r w:rsidR="009032FD" w:rsidRPr="00ED0D29">
        <w:rPr>
          <w:rFonts w:ascii="Times New Roman" w:hAnsi="Times New Roman"/>
          <w:lang w:val="en-GB"/>
        </w:rPr>
        <w:t xml:space="preserve"> </w:t>
      </w:r>
    </w:p>
    <w:p w14:paraId="213BA001" w14:textId="1ED51E7A" w:rsidR="0097001E"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34.</w:t>
      </w:r>
      <w:r>
        <w:rPr>
          <w:rFonts w:ascii="Times New Roman" w:hAnsi="Times New Roman"/>
          <w:lang w:val="en-GB"/>
        </w:rPr>
        <w:tab/>
      </w:r>
      <w:r w:rsidR="0063011C">
        <w:rPr>
          <w:rFonts w:ascii="Times New Roman" w:hAnsi="Times New Roman"/>
          <w:lang w:val="en-GB"/>
        </w:rPr>
        <w:t xml:space="preserve">There is </w:t>
      </w:r>
      <w:r w:rsidR="004944DF">
        <w:rPr>
          <w:rFonts w:ascii="Times New Roman" w:hAnsi="Times New Roman"/>
          <w:lang w:val="en-GB"/>
        </w:rPr>
        <w:t xml:space="preserve">seldom justification to </w:t>
      </w:r>
      <w:r w:rsidR="008D49DA">
        <w:rPr>
          <w:rFonts w:ascii="Times New Roman" w:hAnsi="Times New Roman"/>
          <w:lang w:val="en-GB"/>
        </w:rPr>
        <w:t>compel a respondent to keep money to pay disputed claims.</w:t>
      </w:r>
      <w:r w:rsidR="008D49DA">
        <w:rPr>
          <w:rStyle w:val="FootnoteReference"/>
          <w:rFonts w:ascii="Times New Roman" w:hAnsi="Times New Roman"/>
          <w:lang w:val="en-GB"/>
        </w:rPr>
        <w:footnoteReference w:id="13"/>
      </w:r>
      <w:r w:rsidR="008D49DA">
        <w:rPr>
          <w:rFonts w:ascii="Times New Roman" w:hAnsi="Times New Roman"/>
          <w:lang w:val="en-GB"/>
        </w:rPr>
        <w:t xml:space="preserve"> </w:t>
      </w:r>
      <w:r w:rsidR="00442247">
        <w:rPr>
          <w:rFonts w:ascii="Times New Roman" w:hAnsi="Times New Roman"/>
          <w:lang w:val="en-GB"/>
        </w:rPr>
        <w:t xml:space="preserve">For a court to order </w:t>
      </w:r>
      <w:r w:rsidR="00DA344F">
        <w:rPr>
          <w:rFonts w:ascii="Times New Roman" w:hAnsi="Times New Roman"/>
          <w:lang w:val="en-GB"/>
        </w:rPr>
        <w:t>that</w:t>
      </w:r>
      <w:r w:rsidR="00442247">
        <w:rPr>
          <w:rFonts w:ascii="Times New Roman" w:hAnsi="Times New Roman"/>
          <w:lang w:val="en-GB"/>
        </w:rPr>
        <w:t>, a</w:t>
      </w:r>
      <w:r w:rsidR="00B5658A">
        <w:rPr>
          <w:rFonts w:ascii="Times New Roman" w:hAnsi="Times New Roman"/>
          <w:lang w:val="en-GB"/>
        </w:rPr>
        <w:t xml:space="preserve">n applicant </w:t>
      </w:r>
      <w:r w:rsidR="00215C65">
        <w:rPr>
          <w:rFonts w:ascii="Times New Roman" w:hAnsi="Times New Roman"/>
          <w:lang w:val="en-GB"/>
        </w:rPr>
        <w:t xml:space="preserve">must allege and </w:t>
      </w:r>
      <w:r w:rsidR="0097001E" w:rsidRPr="000B2D36">
        <w:rPr>
          <w:rFonts w:ascii="Times New Roman" w:hAnsi="Times New Roman"/>
          <w:lang w:val="en-GB"/>
        </w:rPr>
        <w:t xml:space="preserve">prove that the </w:t>
      </w:r>
      <w:r w:rsidR="00B5658A">
        <w:rPr>
          <w:rFonts w:ascii="Times New Roman" w:hAnsi="Times New Roman"/>
          <w:lang w:val="en-GB"/>
        </w:rPr>
        <w:lastRenderedPageBreak/>
        <w:t xml:space="preserve">respondent </w:t>
      </w:r>
      <w:r w:rsidR="0097001E" w:rsidRPr="000B2D36">
        <w:rPr>
          <w:rFonts w:ascii="Times New Roman" w:hAnsi="Times New Roman"/>
          <w:lang w:val="en-GB"/>
        </w:rPr>
        <w:t>is dealing with its assets with the intention of defeating the claim.</w:t>
      </w:r>
      <w:r w:rsidR="0091339A">
        <w:rPr>
          <w:rStyle w:val="FootnoteReference"/>
          <w:rFonts w:ascii="Times New Roman" w:hAnsi="Times New Roman"/>
          <w:lang w:val="en-GB"/>
        </w:rPr>
        <w:footnoteReference w:id="14"/>
      </w:r>
      <w:r w:rsidR="0097001E" w:rsidRPr="000B2D36">
        <w:rPr>
          <w:rFonts w:ascii="Times New Roman" w:hAnsi="Times New Roman"/>
          <w:lang w:val="en-GB"/>
        </w:rPr>
        <w:t xml:space="preserve"> An exception is where the plaintiff has a vindicatory or quasi-vindicatory claim</w:t>
      </w:r>
      <w:r w:rsidR="00B76AAD">
        <w:rPr>
          <w:rFonts w:ascii="Times New Roman" w:hAnsi="Times New Roman"/>
          <w:lang w:val="en-GB"/>
        </w:rPr>
        <w:t xml:space="preserve"> – then</w:t>
      </w:r>
      <w:r w:rsidR="00D925A8">
        <w:rPr>
          <w:rFonts w:ascii="Times New Roman" w:hAnsi="Times New Roman"/>
          <w:lang w:val="en-GB"/>
        </w:rPr>
        <w:t>,</w:t>
      </w:r>
      <w:r w:rsidR="00B76AAD">
        <w:rPr>
          <w:rFonts w:ascii="Times New Roman" w:hAnsi="Times New Roman"/>
          <w:lang w:val="en-GB"/>
        </w:rPr>
        <w:t xml:space="preserve"> that intention need not be shown</w:t>
      </w:r>
      <w:r w:rsidR="007E1B3D">
        <w:rPr>
          <w:rFonts w:ascii="Times New Roman" w:hAnsi="Times New Roman"/>
          <w:lang w:val="en-GB"/>
        </w:rPr>
        <w:t>.</w:t>
      </w:r>
      <w:r w:rsidR="004D78F7">
        <w:rPr>
          <w:rStyle w:val="FootnoteReference"/>
          <w:rFonts w:ascii="Times New Roman" w:hAnsi="Times New Roman"/>
          <w:lang w:val="en-GB"/>
        </w:rPr>
        <w:footnoteReference w:id="15"/>
      </w:r>
      <w:r w:rsidR="0097001E" w:rsidRPr="000B2D36">
        <w:rPr>
          <w:rFonts w:ascii="Times New Roman" w:hAnsi="Times New Roman"/>
          <w:lang w:val="en-GB"/>
        </w:rPr>
        <w:t xml:space="preserve"> </w:t>
      </w:r>
      <w:r w:rsidR="00F55210">
        <w:rPr>
          <w:rFonts w:ascii="Times New Roman" w:hAnsi="Times New Roman"/>
          <w:lang w:val="en-GB"/>
        </w:rPr>
        <w:t xml:space="preserve">A quasi-vindicatory claim </w:t>
      </w:r>
      <w:r w:rsidR="00073237" w:rsidRPr="00073237">
        <w:rPr>
          <w:rFonts w:ascii="Times New Roman" w:hAnsi="Times New Roman"/>
          <w:i/>
          <w:iCs/>
          <w:lang w:val="en-GB"/>
        </w:rPr>
        <w:t>“</w:t>
      </w:r>
      <w:r w:rsidR="00F55210" w:rsidRPr="00073237">
        <w:rPr>
          <w:rFonts w:ascii="Times New Roman" w:hAnsi="Times New Roman"/>
          <w:i/>
          <w:iCs/>
          <w:lang w:val="en-GB"/>
        </w:rPr>
        <w:t xml:space="preserve">is one in which </w:t>
      </w:r>
      <w:r w:rsidR="0066550B" w:rsidRPr="00073237">
        <w:rPr>
          <w:rFonts w:ascii="Times New Roman" w:hAnsi="Times New Roman"/>
          <w:i/>
          <w:iCs/>
          <w:lang w:val="en-GB"/>
        </w:rPr>
        <w:t>an applicant claims delivery of specific property under some legal right of possession</w:t>
      </w:r>
      <w:r w:rsidR="00073237">
        <w:rPr>
          <w:rFonts w:ascii="Times New Roman" w:hAnsi="Times New Roman"/>
          <w:i/>
          <w:iCs/>
          <w:lang w:val="en-GB"/>
        </w:rPr>
        <w:t>”</w:t>
      </w:r>
      <w:r w:rsidR="00073237">
        <w:rPr>
          <w:rFonts w:ascii="Times New Roman" w:hAnsi="Times New Roman"/>
          <w:lang w:val="en-GB"/>
        </w:rPr>
        <w:t>.</w:t>
      </w:r>
      <w:r w:rsidR="00073237">
        <w:rPr>
          <w:rStyle w:val="FootnoteReference"/>
          <w:rFonts w:ascii="Times New Roman" w:hAnsi="Times New Roman"/>
          <w:lang w:val="en-GB"/>
        </w:rPr>
        <w:footnoteReference w:id="16"/>
      </w:r>
      <w:r w:rsidR="002241C0">
        <w:rPr>
          <w:rFonts w:ascii="Times New Roman" w:hAnsi="Times New Roman"/>
          <w:lang w:val="en-GB"/>
        </w:rPr>
        <w:t xml:space="preserve"> </w:t>
      </w:r>
      <w:r w:rsidR="00AD3B8D">
        <w:rPr>
          <w:rFonts w:ascii="Times New Roman" w:hAnsi="Times New Roman"/>
          <w:lang w:val="en-GB"/>
        </w:rPr>
        <w:t xml:space="preserve">An applicant </w:t>
      </w:r>
      <w:r w:rsidR="002241C0">
        <w:rPr>
          <w:rFonts w:ascii="Times New Roman" w:hAnsi="Times New Roman"/>
          <w:lang w:val="en-GB"/>
        </w:rPr>
        <w:t xml:space="preserve">may also </w:t>
      </w:r>
      <w:r w:rsidR="008D4ECB">
        <w:rPr>
          <w:rFonts w:ascii="Times New Roman" w:hAnsi="Times New Roman"/>
          <w:lang w:val="en-GB"/>
        </w:rPr>
        <w:t xml:space="preserve">interdict payment of money which is </w:t>
      </w:r>
      <w:r w:rsidR="00B15527">
        <w:rPr>
          <w:rFonts w:ascii="Times New Roman" w:hAnsi="Times New Roman"/>
          <w:i/>
          <w:iCs/>
          <w:lang w:val="en-GB"/>
        </w:rPr>
        <w:t xml:space="preserve">“identifiable with or earmarked </w:t>
      </w:r>
      <w:r w:rsidR="00BC137D">
        <w:rPr>
          <w:rFonts w:ascii="Times New Roman" w:hAnsi="Times New Roman"/>
          <w:i/>
          <w:iCs/>
          <w:lang w:val="en-GB"/>
        </w:rPr>
        <w:t>as a particular fund to which [the applicant] claims to be entitled”</w:t>
      </w:r>
      <w:r w:rsidR="00AD3B8D">
        <w:rPr>
          <w:rFonts w:ascii="Times New Roman" w:hAnsi="Times New Roman"/>
          <w:lang w:val="en-GB"/>
        </w:rPr>
        <w:t xml:space="preserve"> in pur</w:t>
      </w:r>
      <w:r w:rsidR="00A85EFD">
        <w:rPr>
          <w:rFonts w:ascii="Times New Roman" w:hAnsi="Times New Roman"/>
          <w:lang w:val="en-GB"/>
        </w:rPr>
        <w:t>suit of a vindicatory or quasi-vindicatory claim</w:t>
      </w:r>
      <w:r w:rsidR="00BC137D">
        <w:rPr>
          <w:rFonts w:ascii="Times New Roman" w:hAnsi="Times New Roman"/>
          <w:i/>
          <w:iCs/>
          <w:lang w:val="en-GB"/>
        </w:rPr>
        <w:t>.</w:t>
      </w:r>
      <w:r w:rsidR="006C3487" w:rsidRPr="002B32B1">
        <w:rPr>
          <w:rStyle w:val="FootnoteReference"/>
          <w:rFonts w:ascii="Times New Roman" w:hAnsi="Times New Roman"/>
          <w:lang w:val="en-GB"/>
        </w:rPr>
        <w:footnoteReference w:id="17"/>
      </w:r>
      <w:r w:rsidR="00E16DBF">
        <w:rPr>
          <w:rFonts w:ascii="Times New Roman" w:hAnsi="Times New Roman"/>
          <w:lang w:val="en-GB"/>
        </w:rPr>
        <w:t xml:space="preserve"> </w:t>
      </w:r>
    </w:p>
    <w:p w14:paraId="006EF64B" w14:textId="139A3AF9" w:rsidR="00CA4CC2"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35.</w:t>
      </w:r>
      <w:r>
        <w:rPr>
          <w:rFonts w:ascii="Times New Roman" w:hAnsi="Times New Roman"/>
          <w:lang w:val="en-GB"/>
        </w:rPr>
        <w:tab/>
      </w:r>
      <w:r w:rsidR="00713C58">
        <w:rPr>
          <w:rFonts w:ascii="Times New Roman" w:hAnsi="Times New Roman"/>
          <w:lang w:val="en-GB"/>
        </w:rPr>
        <w:t xml:space="preserve">As to the role of </w:t>
      </w:r>
      <w:r w:rsidR="006600C2">
        <w:rPr>
          <w:rFonts w:ascii="Times New Roman" w:hAnsi="Times New Roman"/>
          <w:lang w:val="en-GB"/>
        </w:rPr>
        <w:t xml:space="preserve">the </w:t>
      </w:r>
      <w:r w:rsidR="00713C58">
        <w:rPr>
          <w:rFonts w:ascii="Times New Roman" w:hAnsi="Times New Roman"/>
          <w:lang w:val="en-GB"/>
        </w:rPr>
        <w:t>ordinary interdictory requisites</w:t>
      </w:r>
      <w:r w:rsidR="00282A31">
        <w:rPr>
          <w:rFonts w:ascii="Times New Roman" w:hAnsi="Times New Roman"/>
          <w:lang w:val="en-GB"/>
        </w:rPr>
        <w:t xml:space="preserve">: in </w:t>
      </w:r>
      <w:r w:rsidR="00282A31">
        <w:rPr>
          <w:rFonts w:ascii="Times New Roman" w:hAnsi="Times New Roman"/>
          <w:i/>
          <w:iCs/>
          <w:lang w:val="en-GB"/>
        </w:rPr>
        <w:t>Knox D’Arcy</w:t>
      </w:r>
      <w:r w:rsidR="005E76A0">
        <w:rPr>
          <w:rFonts w:ascii="Times New Roman" w:hAnsi="Times New Roman"/>
          <w:lang w:val="en-GB"/>
        </w:rPr>
        <w:t xml:space="preserve"> EM Grosskopf JA remark</w:t>
      </w:r>
      <w:r w:rsidR="00282A31">
        <w:rPr>
          <w:rFonts w:ascii="Times New Roman" w:hAnsi="Times New Roman"/>
          <w:lang w:val="en-GB"/>
        </w:rPr>
        <w:t xml:space="preserve">ed that </w:t>
      </w:r>
      <w:r w:rsidR="00282A31" w:rsidRPr="00282A31">
        <w:rPr>
          <w:rFonts w:ascii="Times New Roman" w:hAnsi="Times New Roman"/>
          <w:i/>
          <w:iCs/>
          <w:lang w:val="en-GB"/>
        </w:rPr>
        <w:t>“The interdict with which we are dealing is sui generis. It is either available or it is not.”</w:t>
      </w:r>
      <w:r w:rsidR="00994EF5">
        <w:rPr>
          <w:rStyle w:val="FootnoteReference"/>
          <w:rFonts w:ascii="Times New Roman" w:hAnsi="Times New Roman"/>
          <w:lang w:val="en-GB"/>
        </w:rPr>
        <w:footnoteReference w:id="18"/>
      </w:r>
      <w:r w:rsidR="00282A31">
        <w:rPr>
          <w:rFonts w:ascii="Times New Roman" w:hAnsi="Times New Roman"/>
          <w:i/>
          <w:iCs/>
          <w:lang w:val="en-GB"/>
        </w:rPr>
        <w:t xml:space="preserve"> </w:t>
      </w:r>
      <w:r w:rsidR="00282A31">
        <w:rPr>
          <w:rFonts w:ascii="Times New Roman" w:hAnsi="Times New Roman"/>
          <w:lang w:val="en-GB"/>
        </w:rPr>
        <w:t>He</w:t>
      </w:r>
      <w:r w:rsidR="00E24F8D">
        <w:rPr>
          <w:rFonts w:ascii="Times New Roman" w:hAnsi="Times New Roman"/>
          <w:lang w:val="en-GB"/>
        </w:rPr>
        <w:t xml:space="preserve"> so remarked</w:t>
      </w:r>
      <w:r w:rsidR="00610EBF">
        <w:rPr>
          <w:rFonts w:ascii="Times New Roman" w:hAnsi="Times New Roman"/>
          <w:lang w:val="en-GB"/>
        </w:rPr>
        <w:t xml:space="preserve"> </w:t>
      </w:r>
      <w:r w:rsidR="004463A9">
        <w:rPr>
          <w:rFonts w:ascii="Times New Roman" w:hAnsi="Times New Roman"/>
          <w:lang w:val="en-GB"/>
        </w:rPr>
        <w:t xml:space="preserve">in evaluating </w:t>
      </w:r>
      <w:r w:rsidR="007B118A">
        <w:rPr>
          <w:rFonts w:ascii="Times New Roman" w:hAnsi="Times New Roman"/>
          <w:lang w:val="en-GB"/>
        </w:rPr>
        <w:t xml:space="preserve">the </w:t>
      </w:r>
      <w:r w:rsidR="00C24349">
        <w:rPr>
          <w:rFonts w:ascii="Times New Roman" w:hAnsi="Times New Roman"/>
          <w:lang w:val="en-GB"/>
        </w:rPr>
        <w:t xml:space="preserve">requisite of absence of an alternative remedy, and concluding that </w:t>
      </w:r>
      <w:r w:rsidR="00FD32F5">
        <w:rPr>
          <w:rFonts w:ascii="Times New Roman" w:hAnsi="Times New Roman"/>
          <w:lang w:val="en-GB"/>
        </w:rPr>
        <w:t>it was met</w:t>
      </w:r>
      <w:r w:rsidR="009549BF">
        <w:rPr>
          <w:rFonts w:ascii="Times New Roman" w:hAnsi="Times New Roman"/>
          <w:lang w:val="en-GB"/>
        </w:rPr>
        <w:t>.</w:t>
      </w:r>
      <w:r w:rsidR="00FD32F5">
        <w:rPr>
          <w:rStyle w:val="FootnoteReference"/>
          <w:rFonts w:ascii="Times New Roman" w:hAnsi="Times New Roman"/>
          <w:lang w:val="en-GB"/>
        </w:rPr>
        <w:footnoteReference w:id="19"/>
      </w:r>
      <w:r w:rsidR="009549BF">
        <w:rPr>
          <w:rFonts w:ascii="Times New Roman" w:hAnsi="Times New Roman"/>
          <w:lang w:val="en-GB"/>
        </w:rPr>
        <w:t xml:space="preserve"> </w:t>
      </w:r>
      <w:r w:rsidR="004B63E3">
        <w:rPr>
          <w:rFonts w:ascii="Times New Roman" w:hAnsi="Times New Roman"/>
          <w:lang w:val="en-GB"/>
        </w:rPr>
        <w:t>The necessity to show an intention to render a claim nugatory</w:t>
      </w:r>
      <w:r w:rsidR="00D11A77">
        <w:rPr>
          <w:rFonts w:ascii="Times New Roman" w:hAnsi="Times New Roman"/>
          <w:lang w:val="en-GB"/>
        </w:rPr>
        <w:t xml:space="preserve"> therefore</w:t>
      </w:r>
      <w:r w:rsidR="004B63E3">
        <w:rPr>
          <w:rFonts w:ascii="Times New Roman" w:hAnsi="Times New Roman"/>
          <w:lang w:val="en-GB"/>
        </w:rPr>
        <w:t xml:space="preserve"> </w:t>
      </w:r>
      <w:r w:rsidR="00054DB4">
        <w:rPr>
          <w:rFonts w:ascii="Times New Roman" w:hAnsi="Times New Roman"/>
          <w:lang w:val="en-GB"/>
        </w:rPr>
        <w:t xml:space="preserve">is </w:t>
      </w:r>
      <w:r w:rsidR="00F86A53">
        <w:rPr>
          <w:rFonts w:ascii="Times New Roman" w:hAnsi="Times New Roman"/>
          <w:lang w:val="en-GB"/>
        </w:rPr>
        <w:t xml:space="preserve">something of </w:t>
      </w:r>
      <w:r w:rsidR="00054DB4">
        <w:rPr>
          <w:rFonts w:ascii="Times New Roman" w:hAnsi="Times New Roman"/>
          <w:lang w:val="en-GB"/>
        </w:rPr>
        <w:t>a</w:t>
      </w:r>
      <w:r w:rsidR="008C0C6E">
        <w:rPr>
          <w:rFonts w:ascii="Times New Roman" w:hAnsi="Times New Roman"/>
          <w:lang w:val="en-GB"/>
        </w:rPr>
        <w:t xml:space="preserve"> special</w:t>
      </w:r>
      <w:r w:rsidR="00054DB4">
        <w:rPr>
          <w:rFonts w:ascii="Times New Roman" w:hAnsi="Times New Roman"/>
          <w:lang w:val="en-GB"/>
        </w:rPr>
        <w:t xml:space="preserve"> threshold requi</w:t>
      </w:r>
      <w:r w:rsidR="008C0C6E">
        <w:rPr>
          <w:rFonts w:ascii="Times New Roman" w:hAnsi="Times New Roman"/>
          <w:lang w:val="en-GB"/>
        </w:rPr>
        <w:t>site</w:t>
      </w:r>
      <w:r w:rsidR="009B13F5">
        <w:rPr>
          <w:rFonts w:ascii="Times New Roman" w:hAnsi="Times New Roman"/>
          <w:lang w:val="en-GB"/>
        </w:rPr>
        <w:t>. T</w:t>
      </w:r>
      <w:r w:rsidR="00054DB4">
        <w:rPr>
          <w:rFonts w:ascii="Times New Roman" w:hAnsi="Times New Roman"/>
          <w:lang w:val="en-GB"/>
        </w:rPr>
        <w:t>he other requi</w:t>
      </w:r>
      <w:r w:rsidR="00D11A77">
        <w:rPr>
          <w:rFonts w:ascii="Times New Roman" w:hAnsi="Times New Roman"/>
          <w:lang w:val="en-GB"/>
        </w:rPr>
        <w:t>sites to come into play if it is met.</w:t>
      </w:r>
      <w:r w:rsidR="00374E14">
        <w:rPr>
          <w:rFonts w:ascii="Times New Roman" w:hAnsi="Times New Roman"/>
          <w:lang w:val="en-GB"/>
        </w:rPr>
        <w:t xml:space="preserve"> Whether the </w:t>
      </w:r>
      <w:r w:rsidR="00933926">
        <w:rPr>
          <w:rFonts w:ascii="Times New Roman" w:hAnsi="Times New Roman"/>
          <w:lang w:val="en-GB"/>
        </w:rPr>
        <w:t xml:space="preserve">applicant’s claim of right will be revisited in the anticipated action </w:t>
      </w:r>
      <w:r w:rsidR="00B83394">
        <w:rPr>
          <w:rFonts w:ascii="Times New Roman" w:hAnsi="Times New Roman"/>
          <w:lang w:val="en-GB"/>
        </w:rPr>
        <w:t>would determine which ordinary interdictory requisites come into play and how.</w:t>
      </w:r>
      <w:r w:rsidR="00156980">
        <w:rPr>
          <w:rStyle w:val="FootnoteReference"/>
          <w:rFonts w:ascii="Times New Roman" w:hAnsi="Times New Roman"/>
          <w:lang w:val="en-GB"/>
        </w:rPr>
        <w:footnoteReference w:id="20"/>
      </w:r>
      <w:r w:rsidR="00B83394">
        <w:rPr>
          <w:rFonts w:ascii="Times New Roman" w:hAnsi="Times New Roman"/>
          <w:lang w:val="en-GB"/>
        </w:rPr>
        <w:t xml:space="preserve"> </w:t>
      </w:r>
      <w:r w:rsidR="00E96F0E">
        <w:rPr>
          <w:rFonts w:ascii="Times New Roman" w:hAnsi="Times New Roman"/>
          <w:lang w:val="en-GB"/>
        </w:rPr>
        <w:t xml:space="preserve"> </w:t>
      </w:r>
    </w:p>
    <w:p w14:paraId="6BE5B9F5" w14:textId="7B8760D1" w:rsidR="008678EA"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36.</w:t>
      </w:r>
      <w:r>
        <w:rPr>
          <w:rFonts w:ascii="Times New Roman" w:hAnsi="Times New Roman"/>
          <w:lang w:val="en-GB"/>
        </w:rPr>
        <w:tab/>
      </w:r>
      <w:r w:rsidR="00372FB2" w:rsidRPr="008678EA">
        <w:rPr>
          <w:rFonts w:ascii="Times New Roman" w:hAnsi="Times New Roman"/>
          <w:lang w:val="en-GB"/>
        </w:rPr>
        <w:t xml:space="preserve">Rota’s counsel </w:t>
      </w:r>
      <w:r w:rsidR="002308B7" w:rsidRPr="008678EA">
        <w:rPr>
          <w:rFonts w:ascii="Times New Roman" w:hAnsi="Times New Roman"/>
          <w:lang w:val="en-GB"/>
        </w:rPr>
        <w:t xml:space="preserve">referred to </w:t>
      </w:r>
      <w:r w:rsidR="002308B7" w:rsidRPr="008678EA">
        <w:rPr>
          <w:rFonts w:ascii="Times New Roman" w:hAnsi="Times New Roman"/>
          <w:i/>
          <w:iCs/>
          <w:lang w:val="en-GB"/>
        </w:rPr>
        <w:t>Nieuwoudt v Maswabi NO.</w:t>
      </w:r>
      <w:r w:rsidR="002308B7" w:rsidRPr="008678EA">
        <w:rPr>
          <w:rStyle w:val="FootnoteReference"/>
          <w:rFonts w:ascii="Times New Roman" w:hAnsi="Times New Roman"/>
          <w:lang w:val="en-GB"/>
        </w:rPr>
        <w:footnoteReference w:id="21"/>
      </w:r>
      <w:r w:rsidR="002308B7" w:rsidRPr="008678EA">
        <w:rPr>
          <w:rFonts w:ascii="Times New Roman" w:hAnsi="Times New Roman"/>
          <w:i/>
          <w:iCs/>
          <w:lang w:val="en-GB"/>
        </w:rPr>
        <w:t xml:space="preserve"> </w:t>
      </w:r>
      <w:r w:rsidR="009E039A">
        <w:rPr>
          <w:rFonts w:ascii="Times New Roman" w:hAnsi="Times New Roman"/>
          <w:lang w:val="en-GB"/>
        </w:rPr>
        <w:t>I</w:t>
      </w:r>
      <w:r w:rsidR="00BB1241" w:rsidRPr="008678EA">
        <w:rPr>
          <w:rFonts w:ascii="Times New Roman" w:hAnsi="Times New Roman"/>
          <w:lang w:val="en-GB"/>
        </w:rPr>
        <w:t xml:space="preserve">n that case a </w:t>
      </w:r>
      <w:r w:rsidR="003F3062" w:rsidRPr="008678EA">
        <w:rPr>
          <w:rFonts w:ascii="Times New Roman" w:hAnsi="Times New Roman"/>
          <w:lang w:val="en-GB"/>
        </w:rPr>
        <w:t>construction sub-contractor had not been paid by the main contractor</w:t>
      </w:r>
      <w:r w:rsidR="00DD1338" w:rsidRPr="008678EA">
        <w:rPr>
          <w:rFonts w:ascii="Times New Roman" w:hAnsi="Times New Roman"/>
          <w:lang w:val="en-GB"/>
        </w:rPr>
        <w:t>, a joint venture</w:t>
      </w:r>
      <w:r w:rsidR="00AD0177">
        <w:rPr>
          <w:rFonts w:ascii="Times New Roman" w:hAnsi="Times New Roman"/>
          <w:lang w:val="en-GB"/>
        </w:rPr>
        <w:t>. T</w:t>
      </w:r>
      <w:r w:rsidR="003F3062" w:rsidRPr="008678EA">
        <w:rPr>
          <w:rFonts w:ascii="Times New Roman" w:hAnsi="Times New Roman"/>
          <w:lang w:val="en-GB"/>
        </w:rPr>
        <w:t xml:space="preserve">he main </w:t>
      </w:r>
      <w:r w:rsidR="003F3062" w:rsidRPr="008678EA">
        <w:rPr>
          <w:rFonts w:ascii="Times New Roman" w:hAnsi="Times New Roman"/>
          <w:lang w:val="en-GB"/>
        </w:rPr>
        <w:lastRenderedPageBreak/>
        <w:t>contractor had historically received payment from the employer</w:t>
      </w:r>
      <w:r w:rsidR="00645505" w:rsidRPr="008678EA">
        <w:rPr>
          <w:rFonts w:ascii="Times New Roman" w:hAnsi="Times New Roman"/>
          <w:lang w:val="en-GB"/>
        </w:rPr>
        <w:t>, the Free State Government</w:t>
      </w:r>
      <w:r w:rsidR="001048EB" w:rsidRPr="008678EA">
        <w:rPr>
          <w:rFonts w:ascii="Times New Roman" w:hAnsi="Times New Roman"/>
          <w:lang w:val="en-GB"/>
        </w:rPr>
        <w:t xml:space="preserve">. The main contractor had </w:t>
      </w:r>
      <w:r w:rsidR="003F3062" w:rsidRPr="008678EA">
        <w:rPr>
          <w:rFonts w:ascii="Times New Roman" w:hAnsi="Times New Roman"/>
          <w:lang w:val="en-GB"/>
        </w:rPr>
        <w:t xml:space="preserve">failed to pay over </w:t>
      </w:r>
      <w:r w:rsidR="005D35B4" w:rsidRPr="008678EA">
        <w:rPr>
          <w:rFonts w:ascii="Times New Roman" w:hAnsi="Times New Roman"/>
          <w:lang w:val="en-GB"/>
        </w:rPr>
        <w:t xml:space="preserve">what was due to the sub-contractor, paying its employees and other </w:t>
      </w:r>
      <w:r w:rsidR="00C62CA1" w:rsidRPr="008678EA">
        <w:rPr>
          <w:rFonts w:ascii="Times New Roman" w:hAnsi="Times New Roman"/>
          <w:lang w:val="en-GB"/>
        </w:rPr>
        <w:t xml:space="preserve">subcontractors instead. The sub-contractor was granted an interdict to prohibit payment of </w:t>
      </w:r>
      <w:r w:rsidR="0085246F">
        <w:rPr>
          <w:rFonts w:ascii="Times New Roman" w:hAnsi="Times New Roman"/>
          <w:lang w:val="en-GB"/>
        </w:rPr>
        <w:t xml:space="preserve">1% of the contract value </w:t>
      </w:r>
      <w:r w:rsidR="00C62CA1" w:rsidRPr="008678EA">
        <w:rPr>
          <w:rFonts w:ascii="Times New Roman" w:hAnsi="Times New Roman"/>
          <w:lang w:val="en-GB"/>
        </w:rPr>
        <w:t xml:space="preserve">remaining </w:t>
      </w:r>
      <w:r w:rsidR="00C01F41" w:rsidRPr="008678EA">
        <w:rPr>
          <w:rFonts w:ascii="Times New Roman" w:hAnsi="Times New Roman"/>
          <w:lang w:val="en-GB"/>
        </w:rPr>
        <w:t xml:space="preserve">unpaid </w:t>
      </w:r>
      <w:r w:rsidR="00C62CA1" w:rsidRPr="008678EA">
        <w:rPr>
          <w:rFonts w:ascii="Times New Roman" w:hAnsi="Times New Roman"/>
          <w:lang w:val="en-GB"/>
        </w:rPr>
        <w:t xml:space="preserve">by the employer to the </w:t>
      </w:r>
      <w:r w:rsidR="00CA7BFC" w:rsidRPr="008678EA">
        <w:rPr>
          <w:rFonts w:ascii="Times New Roman" w:hAnsi="Times New Roman"/>
          <w:lang w:val="en-GB"/>
        </w:rPr>
        <w:t xml:space="preserve">main </w:t>
      </w:r>
      <w:r w:rsidR="00C62CA1" w:rsidRPr="008678EA">
        <w:rPr>
          <w:rFonts w:ascii="Times New Roman" w:hAnsi="Times New Roman"/>
          <w:lang w:val="en-GB"/>
        </w:rPr>
        <w:t xml:space="preserve">contractor, </w:t>
      </w:r>
      <w:r w:rsidR="00CF181A" w:rsidRPr="008678EA">
        <w:rPr>
          <w:rFonts w:ascii="Times New Roman" w:hAnsi="Times New Roman"/>
          <w:lang w:val="en-GB"/>
        </w:rPr>
        <w:t xml:space="preserve">pending determination of the sub-contractor’s claim against the </w:t>
      </w:r>
      <w:r w:rsidR="00E56218" w:rsidRPr="008678EA">
        <w:rPr>
          <w:rFonts w:ascii="Times New Roman" w:hAnsi="Times New Roman"/>
          <w:lang w:val="en-GB"/>
        </w:rPr>
        <w:t>contractor.</w:t>
      </w:r>
      <w:r w:rsidR="00960794" w:rsidRPr="008678EA">
        <w:rPr>
          <w:rStyle w:val="FootnoteReference"/>
          <w:rFonts w:ascii="Times New Roman" w:hAnsi="Times New Roman"/>
          <w:lang w:val="en-GB"/>
        </w:rPr>
        <w:footnoteReference w:id="22"/>
      </w:r>
    </w:p>
    <w:p w14:paraId="31B4F458" w14:textId="4D95811F" w:rsidR="009E039A"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37.</w:t>
      </w:r>
      <w:r>
        <w:rPr>
          <w:rFonts w:ascii="Times New Roman" w:hAnsi="Times New Roman"/>
          <w:lang w:val="en-GB"/>
        </w:rPr>
        <w:tab/>
      </w:r>
      <w:r w:rsidR="00896ECE" w:rsidRPr="008678EA">
        <w:rPr>
          <w:rFonts w:ascii="Times New Roman" w:hAnsi="Times New Roman"/>
          <w:lang w:val="en-GB"/>
        </w:rPr>
        <w:t xml:space="preserve">In </w:t>
      </w:r>
      <w:r w:rsidR="007D4F55" w:rsidRPr="008678EA">
        <w:rPr>
          <w:rFonts w:ascii="Times New Roman" w:hAnsi="Times New Roman"/>
          <w:i/>
          <w:iCs/>
          <w:lang w:val="en-GB"/>
        </w:rPr>
        <w:t xml:space="preserve">Nieuwoudt v Maswabi NO </w:t>
      </w:r>
      <w:r w:rsidR="007D4F55" w:rsidRPr="008678EA">
        <w:rPr>
          <w:rFonts w:ascii="Times New Roman" w:hAnsi="Times New Roman"/>
          <w:lang w:val="en-GB"/>
        </w:rPr>
        <w:t xml:space="preserve">the court </w:t>
      </w:r>
      <w:r w:rsidR="00B850D9" w:rsidRPr="008678EA">
        <w:rPr>
          <w:rFonts w:ascii="Times New Roman" w:hAnsi="Times New Roman"/>
          <w:lang w:val="en-GB"/>
        </w:rPr>
        <w:t xml:space="preserve">found that </w:t>
      </w:r>
      <w:r w:rsidR="00EC3CC3" w:rsidRPr="008678EA">
        <w:rPr>
          <w:rFonts w:ascii="Times New Roman" w:hAnsi="Times New Roman"/>
          <w:lang w:val="en-GB"/>
        </w:rPr>
        <w:t xml:space="preserve">the unpaid </w:t>
      </w:r>
      <w:r w:rsidR="00C01F41" w:rsidRPr="008678EA">
        <w:rPr>
          <w:rFonts w:ascii="Times New Roman" w:hAnsi="Times New Roman"/>
          <w:lang w:val="en-GB"/>
        </w:rPr>
        <w:t xml:space="preserve">balance </w:t>
      </w:r>
      <w:r w:rsidR="003167C9" w:rsidRPr="008678EA">
        <w:rPr>
          <w:rFonts w:ascii="Times New Roman" w:hAnsi="Times New Roman"/>
          <w:lang w:val="en-GB"/>
        </w:rPr>
        <w:t xml:space="preserve">constituted </w:t>
      </w:r>
      <w:r w:rsidR="00C01F41" w:rsidRPr="008678EA">
        <w:rPr>
          <w:rFonts w:ascii="Times New Roman" w:hAnsi="Times New Roman"/>
          <w:lang w:val="en-GB"/>
        </w:rPr>
        <w:t>a</w:t>
      </w:r>
      <w:r w:rsidR="003167C9" w:rsidRPr="008678EA">
        <w:rPr>
          <w:rFonts w:ascii="Times New Roman" w:hAnsi="Times New Roman"/>
          <w:lang w:val="en-GB"/>
        </w:rPr>
        <w:t xml:space="preserve"> progress payment, and therefore an</w:t>
      </w:r>
      <w:r w:rsidR="00C01F41" w:rsidRPr="008678EA">
        <w:rPr>
          <w:rFonts w:ascii="Times New Roman" w:hAnsi="Times New Roman"/>
          <w:lang w:val="en-GB"/>
        </w:rPr>
        <w:t xml:space="preserve"> identifiable fund</w:t>
      </w:r>
      <w:r w:rsidR="0071749D" w:rsidRPr="008678EA">
        <w:rPr>
          <w:rFonts w:ascii="Times New Roman" w:hAnsi="Times New Roman"/>
          <w:lang w:val="en-GB"/>
        </w:rPr>
        <w:t xml:space="preserve"> </w:t>
      </w:r>
      <w:r w:rsidR="00432086" w:rsidRPr="008678EA">
        <w:rPr>
          <w:rFonts w:ascii="Times New Roman" w:hAnsi="Times New Roman"/>
          <w:lang w:val="en-GB"/>
        </w:rPr>
        <w:t xml:space="preserve">to which </w:t>
      </w:r>
      <w:r w:rsidR="0071749D" w:rsidRPr="008678EA">
        <w:rPr>
          <w:rFonts w:ascii="Times New Roman" w:hAnsi="Times New Roman"/>
          <w:lang w:val="en-GB"/>
        </w:rPr>
        <w:t>the sub-contractor</w:t>
      </w:r>
      <w:r w:rsidR="00432086" w:rsidRPr="008678EA">
        <w:rPr>
          <w:rFonts w:ascii="Times New Roman" w:hAnsi="Times New Roman"/>
          <w:lang w:val="en-GB"/>
        </w:rPr>
        <w:t xml:space="preserve"> could </w:t>
      </w:r>
      <w:r w:rsidR="004971F9" w:rsidRPr="008678EA">
        <w:rPr>
          <w:rFonts w:ascii="Times New Roman" w:hAnsi="Times New Roman"/>
          <w:lang w:val="en-GB"/>
        </w:rPr>
        <w:t xml:space="preserve">lay </w:t>
      </w:r>
      <w:r w:rsidR="00432086" w:rsidRPr="008678EA">
        <w:rPr>
          <w:rFonts w:ascii="Times New Roman" w:hAnsi="Times New Roman"/>
          <w:lang w:val="en-GB"/>
        </w:rPr>
        <w:t>claim</w:t>
      </w:r>
      <w:r w:rsidR="008D2BA2" w:rsidRPr="008678EA">
        <w:rPr>
          <w:rFonts w:ascii="Times New Roman" w:hAnsi="Times New Roman"/>
          <w:lang w:val="en-GB"/>
        </w:rPr>
        <w:t>.</w:t>
      </w:r>
      <w:r w:rsidR="00D11815" w:rsidRPr="008678EA">
        <w:rPr>
          <w:rStyle w:val="FootnoteReference"/>
          <w:rFonts w:ascii="Times New Roman" w:hAnsi="Times New Roman"/>
          <w:lang w:val="en-GB"/>
        </w:rPr>
        <w:footnoteReference w:id="23"/>
      </w:r>
      <w:r w:rsidR="008D2BA2" w:rsidRPr="008678EA">
        <w:rPr>
          <w:rFonts w:ascii="Times New Roman" w:hAnsi="Times New Roman"/>
          <w:lang w:val="en-GB"/>
        </w:rPr>
        <w:t xml:space="preserve"> </w:t>
      </w:r>
      <w:r w:rsidR="00785626" w:rsidRPr="008678EA">
        <w:rPr>
          <w:rFonts w:ascii="Times New Roman" w:hAnsi="Times New Roman"/>
          <w:lang w:val="en-GB"/>
        </w:rPr>
        <w:t xml:space="preserve">The </w:t>
      </w:r>
      <w:r w:rsidR="00D11815" w:rsidRPr="008678EA">
        <w:rPr>
          <w:rFonts w:ascii="Times New Roman" w:hAnsi="Times New Roman"/>
          <w:lang w:val="en-GB"/>
        </w:rPr>
        <w:t>prospective claim was not vindicatory or quasi-vindicatory.</w:t>
      </w:r>
      <w:r w:rsidR="001B4996" w:rsidRPr="008678EA">
        <w:rPr>
          <w:rStyle w:val="FootnoteReference"/>
          <w:rFonts w:ascii="Times New Roman" w:hAnsi="Times New Roman"/>
          <w:lang w:val="en-GB"/>
        </w:rPr>
        <w:footnoteReference w:id="24"/>
      </w:r>
      <w:r w:rsidR="00D11815" w:rsidRPr="008678EA">
        <w:rPr>
          <w:rFonts w:ascii="Times New Roman" w:hAnsi="Times New Roman"/>
          <w:lang w:val="en-GB"/>
        </w:rPr>
        <w:t xml:space="preserve"> </w:t>
      </w:r>
      <w:r w:rsidR="008678EA" w:rsidRPr="008678EA">
        <w:rPr>
          <w:rFonts w:ascii="Times New Roman" w:hAnsi="Times New Roman"/>
          <w:lang w:val="en-GB"/>
        </w:rPr>
        <w:t xml:space="preserve">Although </w:t>
      </w:r>
      <w:r w:rsidR="00772794" w:rsidRPr="008678EA">
        <w:rPr>
          <w:rFonts w:ascii="Times New Roman" w:hAnsi="Times New Roman"/>
          <w:lang w:val="en-GB"/>
        </w:rPr>
        <w:t xml:space="preserve">it referred to </w:t>
      </w:r>
      <w:r w:rsidR="008D2BA2" w:rsidRPr="008678EA">
        <w:rPr>
          <w:rFonts w:ascii="Times New Roman" w:hAnsi="Times New Roman"/>
          <w:i/>
          <w:iCs/>
          <w:lang w:val="en-GB"/>
        </w:rPr>
        <w:t>Knox D’Arcy AD</w:t>
      </w:r>
      <w:r w:rsidR="008D2BA2" w:rsidRPr="008678EA">
        <w:rPr>
          <w:rFonts w:ascii="Times New Roman" w:hAnsi="Times New Roman"/>
          <w:lang w:val="en-GB"/>
        </w:rPr>
        <w:t xml:space="preserve">, the court did not </w:t>
      </w:r>
      <w:r w:rsidR="00F94CC0" w:rsidRPr="008678EA">
        <w:rPr>
          <w:rFonts w:ascii="Times New Roman" w:hAnsi="Times New Roman"/>
          <w:lang w:val="en-GB"/>
        </w:rPr>
        <w:t xml:space="preserve">single out and </w:t>
      </w:r>
      <w:r w:rsidR="00CA79E3" w:rsidRPr="008678EA">
        <w:rPr>
          <w:rFonts w:ascii="Times New Roman" w:hAnsi="Times New Roman"/>
          <w:lang w:val="en-GB"/>
        </w:rPr>
        <w:t>discuss whether the intention</w:t>
      </w:r>
      <w:r w:rsidR="00157878" w:rsidRPr="008678EA">
        <w:rPr>
          <w:rFonts w:ascii="Times New Roman" w:hAnsi="Times New Roman"/>
          <w:lang w:val="en-GB"/>
        </w:rPr>
        <w:t xml:space="preserve"> requirement was fulfilled.</w:t>
      </w:r>
      <w:r w:rsidR="00CA2A78" w:rsidRPr="008678EA">
        <w:rPr>
          <w:rFonts w:ascii="Times New Roman" w:hAnsi="Times New Roman"/>
          <w:lang w:val="en-GB"/>
        </w:rPr>
        <w:t xml:space="preserve"> </w:t>
      </w:r>
    </w:p>
    <w:p w14:paraId="1E71AC07" w14:textId="53A72078" w:rsidR="007D4F55" w:rsidRPr="008678EA" w:rsidRDefault="006D5E15" w:rsidP="006D5E15">
      <w:pPr>
        <w:spacing w:before="240" w:after="240" w:line="480" w:lineRule="auto"/>
        <w:ind w:left="720" w:hanging="720"/>
        <w:jc w:val="both"/>
        <w:rPr>
          <w:rFonts w:ascii="Times New Roman" w:hAnsi="Times New Roman"/>
          <w:lang w:val="en-GB"/>
        </w:rPr>
      </w:pPr>
      <w:r w:rsidRPr="008678EA">
        <w:rPr>
          <w:rFonts w:ascii="Times New Roman" w:hAnsi="Times New Roman"/>
          <w:lang w:val="en-GB"/>
        </w:rPr>
        <w:t>38.</w:t>
      </w:r>
      <w:r w:rsidRPr="008678EA">
        <w:rPr>
          <w:rFonts w:ascii="Times New Roman" w:hAnsi="Times New Roman"/>
          <w:lang w:val="en-GB"/>
        </w:rPr>
        <w:tab/>
      </w:r>
      <w:r w:rsidR="009E039A">
        <w:rPr>
          <w:rFonts w:ascii="Times New Roman" w:hAnsi="Times New Roman"/>
          <w:lang w:val="en-GB"/>
        </w:rPr>
        <w:t>I asked Rota’s counsel whether he had noted up</w:t>
      </w:r>
      <w:r w:rsidR="0060223A">
        <w:rPr>
          <w:rFonts w:ascii="Times New Roman" w:hAnsi="Times New Roman"/>
          <w:lang w:val="en-GB"/>
        </w:rPr>
        <w:t xml:space="preserve"> </w:t>
      </w:r>
      <w:r w:rsidR="0060223A" w:rsidRPr="008678EA">
        <w:rPr>
          <w:rFonts w:ascii="Times New Roman" w:hAnsi="Times New Roman"/>
          <w:i/>
          <w:iCs/>
          <w:lang w:val="en-GB"/>
        </w:rPr>
        <w:t>Nieuwoudt v Maswabi NO</w:t>
      </w:r>
      <w:r w:rsidR="0060223A">
        <w:rPr>
          <w:rFonts w:ascii="Times New Roman" w:hAnsi="Times New Roman"/>
          <w:i/>
          <w:iCs/>
          <w:lang w:val="en-GB"/>
        </w:rPr>
        <w:t xml:space="preserve"> </w:t>
      </w:r>
      <w:r w:rsidR="0060223A">
        <w:rPr>
          <w:rFonts w:ascii="Times New Roman" w:hAnsi="Times New Roman"/>
          <w:lang w:val="en-GB"/>
        </w:rPr>
        <w:t>or not. He said not.</w:t>
      </w:r>
      <w:r w:rsidR="00BB1F27">
        <w:rPr>
          <w:rFonts w:ascii="Times New Roman" w:hAnsi="Times New Roman"/>
          <w:lang w:val="en-GB"/>
        </w:rPr>
        <w:t xml:space="preserve"> It transpires that</w:t>
      </w:r>
      <w:r w:rsidR="009E039A">
        <w:rPr>
          <w:rFonts w:ascii="Times New Roman" w:hAnsi="Times New Roman"/>
          <w:lang w:val="en-GB"/>
        </w:rPr>
        <w:t xml:space="preserve"> </w:t>
      </w:r>
      <w:r w:rsidR="007D08B5">
        <w:rPr>
          <w:rFonts w:ascii="Times New Roman" w:hAnsi="Times New Roman"/>
          <w:i/>
          <w:iCs/>
          <w:lang w:val="en-GB"/>
        </w:rPr>
        <w:t xml:space="preserve">Fedsure Life Assurance Co Ltd v Worldwide African Investment Holdings (Pty) Ltd </w:t>
      </w:r>
      <w:r w:rsidR="000D456E">
        <w:rPr>
          <w:rFonts w:ascii="Times New Roman" w:hAnsi="Times New Roman"/>
          <w:lang w:val="en-GB"/>
        </w:rPr>
        <w:t xml:space="preserve">held that </w:t>
      </w:r>
      <w:r w:rsidR="000D456E">
        <w:rPr>
          <w:rFonts w:ascii="Times New Roman" w:hAnsi="Times New Roman"/>
          <w:i/>
          <w:iCs/>
          <w:lang w:val="en-GB"/>
        </w:rPr>
        <w:t xml:space="preserve">“The </w:t>
      </w:r>
      <w:r w:rsidR="00CA75D7">
        <w:rPr>
          <w:rFonts w:ascii="Times New Roman" w:hAnsi="Times New Roman"/>
          <w:i/>
          <w:iCs/>
          <w:lang w:val="en-GB"/>
        </w:rPr>
        <w:t>l</w:t>
      </w:r>
      <w:r w:rsidR="00CA75D7" w:rsidRPr="00CA75D7">
        <w:rPr>
          <w:rFonts w:ascii="Times New Roman" w:hAnsi="Times New Roman"/>
          <w:i/>
          <w:iCs/>
          <w:lang w:val="en-GB"/>
        </w:rPr>
        <w:t xml:space="preserve">earned Judge in Nieuwoudt v Maswabi NO </w:t>
      </w:r>
      <w:r w:rsidR="00CA75D7">
        <w:rPr>
          <w:rFonts w:ascii="Times New Roman" w:hAnsi="Times New Roman"/>
          <w:i/>
          <w:iCs/>
          <w:lang w:val="en-GB"/>
        </w:rPr>
        <w:t xml:space="preserve">… </w:t>
      </w:r>
      <w:r w:rsidR="00CA75D7" w:rsidRPr="00CA75D7">
        <w:rPr>
          <w:rFonts w:ascii="Times New Roman" w:hAnsi="Times New Roman"/>
          <w:i/>
          <w:iCs/>
          <w:lang w:val="en-GB"/>
        </w:rPr>
        <w:t>appears with respect to have overlooked the passage in Knox D'Arcy</w:t>
      </w:r>
      <w:r w:rsidR="00AF72F8">
        <w:rPr>
          <w:rFonts w:ascii="Times New Roman" w:hAnsi="Times New Roman"/>
          <w:i/>
          <w:iCs/>
          <w:lang w:val="en-GB"/>
        </w:rPr>
        <w:t xml:space="preserve"> [requiring intention to defeat a claim]</w:t>
      </w:r>
      <w:r w:rsidR="00CA75D7" w:rsidRPr="00CA75D7">
        <w:rPr>
          <w:rFonts w:ascii="Times New Roman" w:hAnsi="Times New Roman"/>
          <w:i/>
          <w:iCs/>
          <w:lang w:val="en-GB"/>
        </w:rPr>
        <w:t xml:space="preserve"> </w:t>
      </w:r>
      <w:r w:rsidR="00CA75D7">
        <w:rPr>
          <w:rFonts w:ascii="Times New Roman" w:hAnsi="Times New Roman"/>
          <w:i/>
          <w:iCs/>
          <w:lang w:val="en-GB"/>
        </w:rPr>
        <w:t xml:space="preserve">… </w:t>
      </w:r>
      <w:r w:rsidR="00CA75D7" w:rsidRPr="00CA75D7">
        <w:rPr>
          <w:rFonts w:ascii="Times New Roman" w:hAnsi="Times New Roman"/>
          <w:i/>
          <w:iCs/>
          <w:lang w:val="en-GB"/>
        </w:rPr>
        <w:t>and to have confused the remedy considered in that case with a vindicatory or quasi-vindicatory interdict.</w:t>
      </w:r>
      <w:r w:rsidR="00CA75D7">
        <w:rPr>
          <w:rFonts w:ascii="Times New Roman" w:hAnsi="Times New Roman"/>
          <w:i/>
          <w:iCs/>
          <w:lang w:val="en-GB"/>
        </w:rPr>
        <w:t>”</w:t>
      </w:r>
      <w:r w:rsidR="0060223A" w:rsidRPr="009E7655">
        <w:rPr>
          <w:rStyle w:val="FootnoteReference"/>
          <w:rFonts w:ascii="Times New Roman" w:hAnsi="Times New Roman"/>
          <w:lang w:val="en-GB"/>
        </w:rPr>
        <w:footnoteReference w:id="25"/>
      </w:r>
      <w:r w:rsidR="0060223A">
        <w:rPr>
          <w:rFonts w:ascii="Times New Roman" w:hAnsi="Times New Roman"/>
          <w:i/>
          <w:iCs/>
          <w:lang w:val="en-GB"/>
        </w:rPr>
        <w:t xml:space="preserve"> </w:t>
      </w:r>
      <w:r w:rsidR="0060223A">
        <w:rPr>
          <w:rFonts w:ascii="Times New Roman" w:hAnsi="Times New Roman"/>
          <w:lang w:val="en-GB"/>
        </w:rPr>
        <w:t>I agree.</w:t>
      </w:r>
    </w:p>
    <w:p w14:paraId="49DE5044" w14:textId="2439C51C" w:rsidR="00876656" w:rsidRPr="00876656" w:rsidRDefault="00880CC2" w:rsidP="00876656">
      <w:pPr>
        <w:keepNext/>
        <w:spacing w:before="240" w:after="240" w:line="480" w:lineRule="auto"/>
        <w:ind w:left="720"/>
        <w:jc w:val="both"/>
        <w:rPr>
          <w:rFonts w:ascii="Times New Roman" w:hAnsi="Times New Roman"/>
          <w:u w:val="single"/>
          <w:lang w:val="en-GB"/>
        </w:rPr>
      </w:pPr>
      <w:r>
        <w:rPr>
          <w:rFonts w:ascii="Times New Roman" w:hAnsi="Times New Roman"/>
          <w:u w:val="single"/>
          <w:lang w:val="en-GB"/>
        </w:rPr>
        <w:lastRenderedPageBreak/>
        <w:t xml:space="preserve">No </w:t>
      </w:r>
      <w:r w:rsidR="002B0375">
        <w:rPr>
          <w:rFonts w:ascii="Times New Roman" w:hAnsi="Times New Roman"/>
          <w:u w:val="single"/>
          <w:lang w:val="en-GB"/>
        </w:rPr>
        <w:t>interdict</w:t>
      </w:r>
    </w:p>
    <w:p w14:paraId="070AE25E" w14:textId="0789FC77" w:rsidR="00F259D8" w:rsidRPr="00596093" w:rsidRDefault="006D5E15" w:rsidP="006D5E15">
      <w:pPr>
        <w:spacing w:before="240" w:after="240" w:line="480" w:lineRule="auto"/>
        <w:ind w:left="720" w:hanging="720"/>
        <w:jc w:val="both"/>
        <w:rPr>
          <w:rFonts w:ascii="Times New Roman" w:hAnsi="Times New Roman"/>
          <w:lang w:val="en-GB"/>
        </w:rPr>
      </w:pPr>
      <w:r w:rsidRPr="00596093">
        <w:rPr>
          <w:rFonts w:ascii="Times New Roman" w:hAnsi="Times New Roman"/>
          <w:lang w:val="en-GB"/>
        </w:rPr>
        <w:t>39.</w:t>
      </w:r>
      <w:r w:rsidRPr="00596093">
        <w:rPr>
          <w:rFonts w:ascii="Times New Roman" w:hAnsi="Times New Roman"/>
          <w:lang w:val="en-GB"/>
        </w:rPr>
        <w:tab/>
      </w:r>
      <w:r w:rsidR="00A3505B">
        <w:rPr>
          <w:rFonts w:ascii="Times New Roman" w:hAnsi="Times New Roman"/>
          <w:lang w:val="en-GB"/>
        </w:rPr>
        <w:t xml:space="preserve">Judgment </w:t>
      </w:r>
      <w:r w:rsidR="00B60842">
        <w:rPr>
          <w:rFonts w:ascii="Times New Roman" w:hAnsi="Times New Roman"/>
          <w:lang w:val="en-GB"/>
        </w:rPr>
        <w:t xml:space="preserve">in favour of Rota in its action </w:t>
      </w:r>
      <w:r w:rsidR="00A3505B">
        <w:rPr>
          <w:rFonts w:ascii="Times New Roman" w:hAnsi="Times New Roman"/>
          <w:lang w:val="en-GB"/>
        </w:rPr>
        <w:t xml:space="preserve">will </w:t>
      </w:r>
      <w:r w:rsidR="00B60842">
        <w:rPr>
          <w:rFonts w:ascii="Times New Roman" w:hAnsi="Times New Roman"/>
          <w:lang w:val="en-GB"/>
        </w:rPr>
        <w:t xml:space="preserve">give Rota </w:t>
      </w:r>
      <w:r w:rsidR="00231A30">
        <w:rPr>
          <w:rFonts w:ascii="Times New Roman" w:hAnsi="Times New Roman"/>
          <w:lang w:val="en-GB"/>
        </w:rPr>
        <w:t xml:space="preserve">no right to Full Score’s </w:t>
      </w:r>
      <w:r w:rsidR="00703E6A">
        <w:rPr>
          <w:rFonts w:ascii="Times New Roman" w:hAnsi="Times New Roman"/>
          <w:lang w:val="en-GB"/>
        </w:rPr>
        <w:t>money</w:t>
      </w:r>
      <w:r w:rsidR="00A3505B">
        <w:rPr>
          <w:rFonts w:ascii="Times New Roman" w:hAnsi="Times New Roman"/>
          <w:lang w:val="en-GB"/>
        </w:rPr>
        <w:t xml:space="preserve">. </w:t>
      </w:r>
      <w:r w:rsidR="000C4989" w:rsidRPr="00DD54A8">
        <w:rPr>
          <w:rFonts w:ascii="Times New Roman" w:hAnsi="Times New Roman"/>
          <w:lang w:val="en-GB"/>
        </w:rPr>
        <w:t xml:space="preserve">Rota does not </w:t>
      </w:r>
      <w:r w:rsidR="00654F60" w:rsidRPr="00DD54A8">
        <w:rPr>
          <w:rFonts w:ascii="Times New Roman" w:hAnsi="Times New Roman"/>
          <w:lang w:val="en-GB"/>
        </w:rPr>
        <w:t xml:space="preserve">seek </w:t>
      </w:r>
      <w:r w:rsidR="00DD6E05">
        <w:rPr>
          <w:rFonts w:ascii="Times New Roman" w:hAnsi="Times New Roman"/>
          <w:lang w:val="en-GB"/>
        </w:rPr>
        <w:t xml:space="preserve">somehow </w:t>
      </w:r>
      <w:r w:rsidR="008623F3">
        <w:rPr>
          <w:rFonts w:ascii="Times New Roman" w:hAnsi="Times New Roman"/>
          <w:lang w:val="en-GB"/>
        </w:rPr>
        <w:t xml:space="preserve">to </w:t>
      </w:r>
      <w:r w:rsidR="00654F60" w:rsidRPr="00DD54A8">
        <w:rPr>
          <w:rFonts w:ascii="Times New Roman" w:hAnsi="Times New Roman"/>
          <w:lang w:val="en-GB"/>
        </w:rPr>
        <w:t xml:space="preserve">hold </w:t>
      </w:r>
      <w:r w:rsidR="00E0308A" w:rsidRPr="00DD54A8">
        <w:rPr>
          <w:rFonts w:ascii="Times New Roman" w:hAnsi="Times New Roman"/>
          <w:lang w:val="en-GB"/>
        </w:rPr>
        <w:t>Full</w:t>
      </w:r>
      <w:r w:rsidR="0018733F" w:rsidRPr="00DD54A8">
        <w:rPr>
          <w:rFonts w:ascii="Times New Roman" w:hAnsi="Times New Roman"/>
          <w:lang w:val="en-GB"/>
        </w:rPr>
        <w:t xml:space="preserve"> </w:t>
      </w:r>
      <w:r w:rsidR="005E0C7A" w:rsidRPr="00DD54A8">
        <w:rPr>
          <w:rFonts w:ascii="Times New Roman" w:hAnsi="Times New Roman"/>
          <w:lang w:val="en-GB"/>
        </w:rPr>
        <w:t xml:space="preserve">Score </w:t>
      </w:r>
      <w:r w:rsidR="0018733F" w:rsidRPr="00DD54A8">
        <w:rPr>
          <w:rFonts w:ascii="Times New Roman" w:hAnsi="Times New Roman"/>
          <w:lang w:val="en-GB"/>
        </w:rPr>
        <w:t xml:space="preserve">liable for the debts of </w:t>
      </w:r>
      <w:r w:rsidR="007371AB" w:rsidRPr="00DD54A8">
        <w:rPr>
          <w:rFonts w:ascii="Times New Roman" w:hAnsi="Times New Roman"/>
          <w:lang w:val="en-GB"/>
        </w:rPr>
        <w:t>Messrs Staffen</w:t>
      </w:r>
      <w:r w:rsidR="00654F60" w:rsidRPr="00DD54A8">
        <w:rPr>
          <w:rFonts w:ascii="Times New Roman" w:hAnsi="Times New Roman"/>
          <w:lang w:val="en-GB"/>
        </w:rPr>
        <w:t xml:space="preserve">, Clackett </w:t>
      </w:r>
      <w:r w:rsidR="008623F3">
        <w:rPr>
          <w:rFonts w:ascii="Times New Roman" w:hAnsi="Times New Roman"/>
          <w:lang w:val="en-GB"/>
        </w:rPr>
        <w:t xml:space="preserve">which </w:t>
      </w:r>
      <w:r w:rsidR="00DD6E05">
        <w:rPr>
          <w:rFonts w:ascii="Times New Roman" w:hAnsi="Times New Roman"/>
          <w:lang w:val="en-GB"/>
        </w:rPr>
        <w:t>it</w:t>
      </w:r>
      <w:r w:rsidR="0010619D">
        <w:rPr>
          <w:rFonts w:ascii="Times New Roman" w:hAnsi="Times New Roman"/>
          <w:lang w:val="en-GB"/>
        </w:rPr>
        <w:t xml:space="preserve">s action </w:t>
      </w:r>
      <w:r w:rsidR="00E16CA2">
        <w:rPr>
          <w:rFonts w:ascii="Times New Roman" w:hAnsi="Times New Roman"/>
          <w:lang w:val="en-GB"/>
        </w:rPr>
        <w:t xml:space="preserve">would </w:t>
      </w:r>
      <w:r w:rsidR="00DD6E05">
        <w:rPr>
          <w:rFonts w:ascii="Times New Roman" w:hAnsi="Times New Roman"/>
          <w:lang w:val="en-GB"/>
        </w:rPr>
        <w:t>establish</w:t>
      </w:r>
      <w:r w:rsidR="00DD54A8" w:rsidRPr="00DD54A8">
        <w:rPr>
          <w:rFonts w:ascii="Times New Roman" w:hAnsi="Times New Roman"/>
          <w:lang w:val="en-GB"/>
        </w:rPr>
        <w:t xml:space="preserve">. </w:t>
      </w:r>
      <w:r w:rsidR="00A450D4">
        <w:rPr>
          <w:rFonts w:ascii="Times New Roman" w:hAnsi="Times New Roman"/>
          <w:lang w:val="en-GB"/>
        </w:rPr>
        <w:t xml:space="preserve">There appears to be no basis to do so. </w:t>
      </w:r>
      <w:r w:rsidR="00C67F17" w:rsidRPr="00596093">
        <w:rPr>
          <w:rFonts w:ascii="Times New Roman" w:hAnsi="Times New Roman"/>
          <w:lang w:val="en-GB"/>
        </w:rPr>
        <w:t>Full Score has owned the Stikland properties since December 2002 and August 2010</w:t>
      </w:r>
      <w:r w:rsidR="00E16CA2" w:rsidRPr="00596093">
        <w:rPr>
          <w:rFonts w:ascii="Times New Roman" w:hAnsi="Times New Roman"/>
          <w:lang w:val="en-GB"/>
        </w:rPr>
        <w:t xml:space="preserve"> respectively</w:t>
      </w:r>
      <w:r w:rsidR="00C67F17" w:rsidRPr="00596093">
        <w:rPr>
          <w:rFonts w:ascii="Times New Roman" w:hAnsi="Times New Roman"/>
          <w:lang w:val="en-GB"/>
        </w:rPr>
        <w:t>. Full Score’s assets were not provided as security for Armour’s transactions, as they might have been were Full Score involved in the business of AJH and Armour.</w:t>
      </w:r>
      <w:r w:rsidR="0018733F" w:rsidRPr="00596093">
        <w:rPr>
          <w:rFonts w:ascii="Times New Roman" w:hAnsi="Times New Roman"/>
          <w:lang w:val="en-GB"/>
        </w:rPr>
        <w:t xml:space="preserve"> </w:t>
      </w:r>
      <w:r w:rsidR="00E414E2" w:rsidRPr="00596093">
        <w:rPr>
          <w:rFonts w:ascii="Times New Roman" w:hAnsi="Times New Roman"/>
          <w:lang w:val="en-GB"/>
        </w:rPr>
        <w:t xml:space="preserve">Full Score did not benefit from the advances made by Rota. </w:t>
      </w:r>
    </w:p>
    <w:p w14:paraId="5F29660C" w14:textId="5EF8BD7B" w:rsidR="005D16AA"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40.</w:t>
      </w:r>
      <w:r>
        <w:rPr>
          <w:rFonts w:ascii="Times New Roman" w:hAnsi="Times New Roman"/>
          <w:lang w:val="en-GB"/>
        </w:rPr>
        <w:tab/>
      </w:r>
      <w:r w:rsidR="00F259D8" w:rsidRPr="00695C3C">
        <w:rPr>
          <w:rFonts w:ascii="Times New Roman" w:hAnsi="Times New Roman"/>
          <w:lang w:val="en-GB"/>
        </w:rPr>
        <w:t>Rota</w:t>
      </w:r>
      <w:r w:rsidR="00C30393">
        <w:rPr>
          <w:rFonts w:ascii="Times New Roman" w:hAnsi="Times New Roman"/>
          <w:lang w:val="en-GB"/>
        </w:rPr>
        <w:t>’s</w:t>
      </w:r>
      <w:r w:rsidR="0004341F">
        <w:rPr>
          <w:rFonts w:ascii="Times New Roman" w:hAnsi="Times New Roman"/>
          <w:lang w:val="en-GB"/>
        </w:rPr>
        <w:t xml:space="preserve"> claim in the action </w:t>
      </w:r>
      <w:r w:rsidR="00FB0DE8" w:rsidRPr="00695C3C">
        <w:rPr>
          <w:rFonts w:ascii="Times New Roman" w:hAnsi="Times New Roman"/>
          <w:lang w:val="en-GB"/>
        </w:rPr>
        <w:t xml:space="preserve">is </w:t>
      </w:r>
      <w:r w:rsidR="00FB0DE8" w:rsidRPr="006E2CDB">
        <w:rPr>
          <w:rFonts w:ascii="Times New Roman" w:hAnsi="Times New Roman"/>
          <w:lang w:val="en-GB"/>
        </w:rPr>
        <w:t>not</w:t>
      </w:r>
      <w:r w:rsidR="00FB0DE8" w:rsidRPr="00695C3C">
        <w:rPr>
          <w:rFonts w:ascii="Times New Roman" w:hAnsi="Times New Roman"/>
          <w:lang w:val="en-GB"/>
        </w:rPr>
        <w:t xml:space="preserve"> </w:t>
      </w:r>
      <w:r w:rsidR="0018733F" w:rsidRPr="00695C3C">
        <w:rPr>
          <w:rFonts w:ascii="Times New Roman" w:hAnsi="Times New Roman"/>
          <w:lang w:val="en-GB"/>
        </w:rPr>
        <w:t>a vindicatory or quasi-vindicatory claim</w:t>
      </w:r>
      <w:r w:rsidR="002449C2">
        <w:rPr>
          <w:rFonts w:ascii="Times New Roman" w:hAnsi="Times New Roman"/>
          <w:lang w:val="en-GB"/>
        </w:rPr>
        <w:t xml:space="preserve">. </w:t>
      </w:r>
      <w:r w:rsidR="00E765FA">
        <w:rPr>
          <w:rFonts w:ascii="Times New Roman" w:hAnsi="Times New Roman"/>
          <w:lang w:val="en-GB"/>
        </w:rPr>
        <w:t xml:space="preserve">Rota’s counsel correctly so conceded. </w:t>
      </w:r>
      <w:r w:rsidR="0018733F" w:rsidRPr="00695C3C">
        <w:rPr>
          <w:rFonts w:ascii="Times New Roman" w:hAnsi="Times New Roman"/>
          <w:lang w:val="en-GB"/>
        </w:rPr>
        <w:t xml:space="preserve">Rota cannot obtain an anti-dissipation interdict without alleging </w:t>
      </w:r>
      <w:r w:rsidR="005D6581" w:rsidRPr="00695C3C">
        <w:rPr>
          <w:rFonts w:ascii="Times New Roman" w:hAnsi="Times New Roman"/>
          <w:lang w:val="en-GB"/>
        </w:rPr>
        <w:t xml:space="preserve">the requisite </w:t>
      </w:r>
      <w:r w:rsidR="0018733F" w:rsidRPr="00695C3C">
        <w:rPr>
          <w:rFonts w:ascii="Times New Roman" w:hAnsi="Times New Roman"/>
          <w:lang w:val="en-GB"/>
        </w:rPr>
        <w:t>intention</w:t>
      </w:r>
      <w:r w:rsidR="003322CC" w:rsidRPr="00695C3C">
        <w:rPr>
          <w:rFonts w:ascii="Times New Roman" w:hAnsi="Times New Roman"/>
          <w:lang w:val="en-GB"/>
        </w:rPr>
        <w:t>.</w:t>
      </w:r>
      <w:r w:rsidR="00E14BA1" w:rsidRPr="00695C3C">
        <w:rPr>
          <w:rFonts w:ascii="Times New Roman" w:hAnsi="Times New Roman"/>
          <w:lang w:val="en-GB"/>
        </w:rPr>
        <w:t xml:space="preserve"> Rota has not alleged that Full Score sold with the intention of defeating Rota’s claim against </w:t>
      </w:r>
      <w:r w:rsidR="006B0806" w:rsidRPr="00695C3C">
        <w:rPr>
          <w:rFonts w:ascii="Times New Roman" w:hAnsi="Times New Roman"/>
          <w:lang w:val="en-GB"/>
        </w:rPr>
        <w:t>Messrs Staffen</w:t>
      </w:r>
      <w:r w:rsidR="00EF5D7E">
        <w:rPr>
          <w:rFonts w:ascii="Times New Roman" w:hAnsi="Times New Roman"/>
          <w:lang w:val="en-GB"/>
        </w:rPr>
        <w:t xml:space="preserve">, </w:t>
      </w:r>
      <w:r w:rsidR="006B0806" w:rsidRPr="00695C3C">
        <w:rPr>
          <w:rFonts w:ascii="Times New Roman" w:hAnsi="Times New Roman"/>
          <w:lang w:val="en-GB"/>
        </w:rPr>
        <w:t>Clackett</w:t>
      </w:r>
      <w:r w:rsidR="00EF5D7E">
        <w:rPr>
          <w:rFonts w:ascii="Times New Roman" w:hAnsi="Times New Roman"/>
          <w:lang w:val="en-GB"/>
        </w:rPr>
        <w:t xml:space="preserve"> and </w:t>
      </w:r>
      <w:r w:rsidR="00837020">
        <w:rPr>
          <w:rFonts w:ascii="Times New Roman" w:hAnsi="Times New Roman"/>
          <w:lang w:val="en-GB"/>
        </w:rPr>
        <w:t>Keating</w:t>
      </w:r>
      <w:r w:rsidR="00E14BA1" w:rsidRPr="00695C3C">
        <w:rPr>
          <w:rFonts w:ascii="Times New Roman" w:hAnsi="Times New Roman"/>
          <w:lang w:val="en-GB"/>
        </w:rPr>
        <w:t>.</w:t>
      </w:r>
      <w:r w:rsidR="002A6106" w:rsidRPr="00695C3C">
        <w:rPr>
          <w:rFonts w:ascii="Times New Roman" w:hAnsi="Times New Roman"/>
          <w:lang w:val="en-GB"/>
        </w:rPr>
        <w:t xml:space="preserve"> Rota’s case is merely that Full Score refused to apply to the sale proceeds to </w:t>
      </w:r>
      <w:r w:rsidR="00B56D31" w:rsidRPr="00695C3C">
        <w:rPr>
          <w:rFonts w:ascii="Times New Roman" w:hAnsi="Times New Roman"/>
          <w:lang w:val="en-GB"/>
        </w:rPr>
        <w:t>reduce Armour’s indebtedness</w:t>
      </w:r>
      <w:r w:rsidR="001A7BE5" w:rsidRPr="00695C3C">
        <w:rPr>
          <w:rFonts w:ascii="Times New Roman" w:hAnsi="Times New Roman"/>
          <w:lang w:val="en-GB"/>
        </w:rPr>
        <w:t>, when</w:t>
      </w:r>
      <w:r w:rsidR="00F64D17" w:rsidRPr="00695C3C">
        <w:rPr>
          <w:rFonts w:ascii="Times New Roman" w:hAnsi="Times New Roman"/>
          <w:lang w:val="en-GB"/>
        </w:rPr>
        <w:t xml:space="preserve"> Rota</w:t>
      </w:r>
      <w:r w:rsidR="00EC5A51" w:rsidRPr="00695C3C">
        <w:rPr>
          <w:rFonts w:ascii="Times New Roman" w:hAnsi="Times New Roman"/>
          <w:lang w:val="en-GB"/>
        </w:rPr>
        <w:t xml:space="preserve"> had a </w:t>
      </w:r>
      <w:r w:rsidR="006B0806" w:rsidRPr="00695C3C">
        <w:rPr>
          <w:rFonts w:ascii="Times New Roman" w:hAnsi="Times New Roman"/>
          <w:i/>
          <w:iCs/>
          <w:lang w:val="en-GB"/>
        </w:rPr>
        <w:t>“</w:t>
      </w:r>
      <w:r w:rsidR="00EC5A51" w:rsidRPr="00695C3C">
        <w:rPr>
          <w:rFonts w:ascii="Times New Roman" w:hAnsi="Times New Roman"/>
          <w:i/>
          <w:iCs/>
          <w:lang w:val="en-GB"/>
        </w:rPr>
        <w:t xml:space="preserve">reasonable </w:t>
      </w:r>
      <w:r w:rsidR="00F64D17" w:rsidRPr="00695C3C">
        <w:rPr>
          <w:rFonts w:ascii="Times New Roman" w:hAnsi="Times New Roman"/>
          <w:i/>
          <w:iCs/>
          <w:lang w:val="en-GB"/>
        </w:rPr>
        <w:t>expectation</w:t>
      </w:r>
      <w:r w:rsidR="006B0806" w:rsidRPr="00695C3C">
        <w:rPr>
          <w:rFonts w:ascii="Times New Roman" w:hAnsi="Times New Roman"/>
          <w:i/>
          <w:iCs/>
          <w:lang w:val="en-GB"/>
        </w:rPr>
        <w:t>”</w:t>
      </w:r>
      <w:r w:rsidR="00F64D17" w:rsidRPr="00695C3C">
        <w:rPr>
          <w:rFonts w:ascii="Times New Roman" w:hAnsi="Times New Roman"/>
          <w:lang w:val="en-GB"/>
        </w:rPr>
        <w:t xml:space="preserve"> that Messrs Staffen and Clackett</w:t>
      </w:r>
      <w:r w:rsidR="00C164D8">
        <w:rPr>
          <w:rFonts w:ascii="Times New Roman" w:hAnsi="Times New Roman"/>
          <w:lang w:val="en-GB"/>
        </w:rPr>
        <w:t>, as its directors,</w:t>
      </w:r>
      <w:r w:rsidR="00F64D17" w:rsidRPr="00695C3C">
        <w:rPr>
          <w:rFonts w:ascii="Times New Roman" w:hAnsi="Times New Roman"/>
          <w:lang w:val="en-GB"/>
        </w:rPr>
        <w:t xml:space="preserve"> would</w:t>
      </w:r>
      <w:r w:rsidR="006B0806" w:rsidRPr="00695C3C">
        <w:rPr>
          <w:rFonts w:ascii="Times New Roman" w:hAnsi="Times New Roman"/>
          <w:lang w:val="en-GB"/>
        </w:rPr>
        <w:t xml:space="preserve"> </w:t>
      </w:r>
      <w:r w:rsidR="001F31B4" w:rsidRPr="00695C3C">
        <w:rPr>
          <w:rFonts w:ascii="Times New Roman" w:hAnsi="Times New Roman"/>
          <w:lang w:val="en-GB"/>
        </w:rPr>
        <w:t xml:space="preserve">enable it to </w:t>
      </w:r>
      <w:r w:rsidR="006B0806" w:rsidRPr="00695C3C">
        <w:rPr>
          <w:rFonts w:ascii="Times New Roman" w:hAnsi="Times New Roman"/>
          <w:lang w:val="en-GB"/>
        </w:rPr>
        <w:t>do so</w:t>
      </w:r>
      <w:r w:rsidR="003843D3" w:rsidRPr="00695C3C">
        <w:rPr>
          <w:rFonts w:ascii="Times New Roman" w:hAnsi="Times New Roman"/>
          <w:lang w:val="en-GB"/>
        </w:rPr>
        <w:t xml:space="preserve">. </w:t>
      </w:r>
      <w:r w:rsidR="00396D25" w:rsidRPr="00695C3C">
        <w:rPr>
          <w:rFonts w:ascii="Times New Roman" w:hAnsi="Times New Roman"/>
          <w:lang w:val="en-GB"/>
        </w:rPr>
        <w:t>A</w:t>
      </w:r>
      <w:r w:rsidR="00A4608A" w:rsidRPr="00695C3C">
        <w:rPr>
          <w:rFonts w:ascii="Times New Roman" w:hAnsi="Times New Roman"/>
          <w:lang w:val="en-GB"/>
        </w:rPr>
        <w:t xml:space="preserve"> reasonable expectation </w:t>
      </w:r>
      <w:r w:rsidR="002C4A24" w:rsidRPr="00695C3C">
        <w:rPr>
          <w:rFonts w:ascii="Times New Roman" w:hAnsi="Times New Roman"/>
          <w:lang w:val="en-GB"/>
        </w:rPr>
        <w:t xml:space="preserve">of payment </w:t>
      </w:r>
      <w:r w:rsidR="00A4608A" w:rsidRPr="00695C3C">
        <w:rPr>
          <w:rFonts w:ascii="Times New Roman" w:hAnsi="Times New Roman"/>
          <w:lang w:val="en-GB"/>
        </w:rPr>
        <w:t xml:space="preserve">does not </w:t>
      </w:r>
      <w:r w:rsidR="00EE5CA7">
        <w:rPr>
          <w:rFonts w:ascii="Times New Roman" w:hAnsi="Times New Roman"/>
          <w:lang w:val="en-GB"/>
        </w:rPr>
        <w:t xml:space="preserve">a correlative claim make. </w:t>
      </w:r>
      <w:r w:rsidR="00C1712C">
        <w:rPr>
          <w:rFonts w:ascii="Times New Roman" w:hAnsi="Times New Roman"/>
          <w:lang w:val="en-GB"/>
        </w:rPr>
        <w:t xml:space="preserve">There can be </w:t>
      </w:r>
      <w:r w:rsidR="009A23E7">
        <w:rPr>
          <w:rFonts w:ascii="Times New Roman" w:hAnsi="Times New Roman"/>
          <w:lang w:val="en-GB"/>
        </w:rPr>
        <w:t xml:space="preserve">no </w:t>
      </w:r>
      <w:r w:rsidR="00EE5CA7">
        <w:rPr>
          <w:rFonts w:ascii="Times New Roman" w:hAnsi="Times New Roman"/>
          <w:lang w:val="en-GB"/>
        </w:rPr>
        <w:t xml:space="preserve">intention to defeat a not-established claim. </w:t>
      </w:r>
      <w:r w:rsidR="006C08CA">
        <w:rPr>
          <w:rFonts w:ascii="Times New Roman" w:hAnsi="Times New Roman"/>
          <w:lang w:val="en-GB"/>
        </w:rPr>
        <w:t xml:space="preserve">Also, </w:t>
      </w:r>
      <w:r w:rsidR="00396D25" w:rsidRPr="00695C3C">
        <w:rPr>
          <w:rFonts w:ascii="Times New Roman" w:hAnsi="Times New Roman"/>
          <w:lang w:val="en-GB"/>
        </w:rPr>
        <w:t xml:space="preserve">the expectation was scarcely reasonable. </w:t>
      </w:r>
      <w:r w:rsidR="00747989" w:rsidRPr="00695C3C">
        <w:rPr>
          <w:rFonts w:ascii="Times New Roman" w:hAnsi="Times New Roman"/>
          <w:lang w:val="en-GB"/>
        </w:rPr>
        <w:t xml:space="preserve">Why </w:t>
      </w:r>
      <w:r w:rsidR="0021014F" w:rsidRPr="00695C3C">
        <w:rPr>
          <w:rFonts w:ascii="Times New Roman" w:hAnsi="Times New Roman"/>
          <w:lang w:val="en-GB"/>
        </w:rPr>
        <w:t xml:space="preserve">should </w:t>
      </w:r>
      <w:r w:rsidR="001F31B4" w:rsidRPr="00695C3C">
        <w:rPr>
          <w:rFonts w:ascii="Times New Roman" w:hAnsi="Times New Roman"/>
          <w:lang w:val="en-GB"/>
        </w:rPr>
        <w:t xml:space="preserve">Full Score </w:t>
      </w:r>
      <w:r w:rsidR="00A31783" w:rsidRPr="00695C3C">
        <w:rPr>
          <w:rFonts w:ascii="Times New Roman" w:hAnsi="Times New Roman"/>
          <w:lang w:val="en-GB"/>
        </w:rPr>
        <w:t xml:space="preserve">have </w:t>
      </w:r>
      <w:r w:rsidR="001F31B4" w:rsidRPr="00695C3C">
        <w:rPr>
          <w:rFonts w:ascii="Times New Roman" w:hAnsi="Times New Roman"/>
          <w:lang w:val="en-GB"/>
        </w:rPr>
        <w:t>discharge</w:t>
      </w:r>
      <w:r w:rsidR="00A31783" w:rsidRPr="00695C3C">
        <w:rPr>
          <w:rFonts w:ascii="Times New Roman" w:hAnsi="Times New Roman"/>
          <w:lang w:val="en-GB"/>
        </w:rPr>
        <w:t>d</w:t>
      </w:r>
      <w:r w:rsidR="001F31B4" w:rsidRPr="00695C3C">
        <w:rPr>
          <w:rFonts w:ascii="Times New Roman" w:hAnsi="Times New Roman"/>
          <w:lang w:val="en-GB"/>
        </w:rPr>
        <w:t xml:space="preserve"> </w:t>
      </w:r>
      <w:r w:rsidR="0042171A" w:rsidRPr="00695C3C">
        <w:rPr>
          <w:rFonts w:ascii="Times New Roman" w:hAnsi="Times New Roman"/>
          <w:lang w:val="en-GB"/>
        </w:rPr>
        <w:t xml:space="preserve">the </w:t>
      </w:r>
      <w:r w:rsidR="00494F6C" w:rsidRPr="00695C3C">
        <w:rPr>
          <w:rFonts w:ascii="Times New Roman" w:hAnsi="Times New Roman"/>
          <w:lang w:val="en-GB"/>
        </w:rPr>
        <w:t xml:space="preserve">obligation of </w:t>
      </w:r>
      <w:r w:rsidR="0021014F" w:rsidRPr="00695C3C">
        <w:rPr>
          <w:rFonts w:ascii="Times New Roman" w:hAnsi="Times New Roman"/>
          <w:lang w:val="en-GB"/>
        </w:rPr>
        <w:t>Armour?</w:t>
      </w:r>
      <w:r w:rsidR="00A4608A" w:rsidRPr="00695C3C">
        <w:rPr>
          <w:rFonts w:ascii="Times New Roman" w:hAnsi="Times New Roman"/>
          <w:lang w:val="en-GB"/>
        </w:rPr>
        <w:t xml:space="preserve"> </w:t>
      </w:r>
      <w:r w:rsidR="001F6245" w:rsidRPr="00695C3C">
        <w:rPr>
          <w:rFonts w:ascii="Times New Roman" w:hAnsi="Times New Roman"/>
          <w:lang w:val="en-GB"/>
        </w:rPr>
        <w:t xml:space="preserve">Full Score is not surety for Armour. </w:t>
      </w:r>
      <w:r w:rsidR="00A601B9">
        <w:rPr>
          <w:rFonts w:ascii="Times New Roman" w:hAnsi="Times New Roman"/>
          <w:lang w:val="en-GB"/>
        </w:rPr>
        <w:t xml:space="preserve">Its properties are not bonded to </w:t>
      </w:r>
      <w:r w:rsidR="005B7102">
        <w:rPr>
          <w:rFonts w:ascii="Times New Roman" w:hAnsi="Times New Roman"/>
          <w:lang w:val="en-GB"/>
        </w:rPr>
        <w:t>Rota</w:t>
      </w:r>
      <w:r w:rsidR="00A601B9">
        <w:rPr>
          <w:rFonts w:ascii="Times New Roman" w:hAnsi="Times New Roman"/>
          <w:lang w:val="en-GB"/>
        </w:rPr>
        <w:t xml:space="preserve">. </w:t>
      </w:r>
      <w:r w:rsidR="00790DF1">
        <w:rPr>
          <w:rFonts w:ascii="Times New Roman" w:hAnsi="Times New Roman"/>
          <w:lang w:val="en-GB"/>
        </w:rPr>
        <w:t xml:space="preserve">Mr Botha did not </w:t>
      </w:r>
      <w:r w:rsidR="00E069B2">
        <w:rPr>
          <w:rFonts w:ascii="Times New Roman" w:hAnsi="Times New Roman"/>
          <w:lang w:val="en-GB"/>
        </w:rPr>
        <w:t xml:space="preserve">have any contact with </w:t>
      </w:r>
      <w:r w:rsidR="00D32EC4">
        <w:rPr>
          <w:rFonts w:ascii="Times New Roman" w:hAnsi="Times New Roman"/>
          <w:lang w:val="en-GB"/>
        </w:rPr>
        <w:t xml:space="preserve">Mr Staffen until </w:t>
      </w:r>
      <w:r w:rsidR="006A0D73">
        <w:rPr>
          <w:rFonts w:ascii="Times New Roman" w:hAnsi="Times New Roman"/>
          <w:lang w:val="en-GB"/>
        </w:rPr>
        <w:t xml:space="preserve">July 2022; it is not clear whether he ever met Mr Clackett. </w:t>
      </w:r>
    </w:p>
    <w:p w14:paraId="2EDD432C" w14:textId="6A306DFF" w:rsidR="00CA66D4"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lastRenderedPageBreak/>
        <w:t>41.</w:t>
      </w:r>
      <w:r>
        <w:rPr>
          <w:rFonts w:ascii="Times New Roman" w:hAnsi="Times New Roman"/>
          <w:lang w:val="en-GB"/>
        </w:rPr>
        <w:tab/>
      </w:r>
      <w:r w:rsidR="00BF67BF" w:rsidRPr="007E5EAF">
        <w:rPr>
          <w:rFonts w:ascii="Times New Roman" w:hAnsi="Times New Roman"/>
          <w:lang w:val="en-GB"/>
        </w:rPr>
        <w:t>Further as to harm: a plaintiff cannot by the grant of an anti-dissipation order obtain security for its claim for which it did not contract.</w:t>
      </w:r>
      <w:r w:rsidR="00BF67BF">
        <w:rPr>
          <w:rStyle w:val="FootnoteReference"/>
          <w:rFonts w:ascii="Times New Roman" w:hAnsi="Times New Roman"/>
          <w:lang w:val="en-GB"/>
        </w:rPr>
        <w:footnoteReference w:id="26"/>
      </w:r>
      <w:r w:rsidR="00BF67BF" w:rsidRPr="007E5EAF">
        <w:rPr>
          <w:rFonts w:ascii="Times New Roman" w:hAnsi="Times New Roman"/>
          <w:lang w:val="en-GB"/>
        </w:rPr>
        <w:t xml:space="preserve"> Harm feared on account of imminent insolvency is therefore scarcely relevant. </w:t>
      </w:r>
      <w:r w:rsidR="00DA0E90" w:rsidRPr="007E5EAF">
        <w:rPr>
          <w:rFonts w:ascii="Times New Roman" w:hAnsi="Times New Roman"/>
          <w:lang w:val="en-GB"/>
        </w:rPr>
        <w:t>Rota’s fear that it</w:t>
      </w:r>
      <w:r w:rsidR="005B4C5E" w:rsidRPr="007E5EAF">
        <w:rPr>
          <w:rFonts w:ascii="Times New Roman" w:hAnsi="Times New Roman"/>
          <w:lang w:val="en-GB"/>
        </w:rPr>
        <w:t xml:space="preserve">s security </w:t>
      </w:r>
      <w:r w:rsidR="00F22E81" w:rsidRPr="007E5EAF">
        <w:rPr>
          <w:rFonts w:ascii="Times New Roman" w:hAnsi="Times New Roman"/>
          <w:lang w:val="en-GB"/>
        </w:rPr>
        <w:t xml:space="preserve">is questionable </w:t>
      </w:r>
      <w:r w:rsidR="006E65F2" w:rsidRPr="007E5EAF">
        <w:rPr>
          <w:rFonts w:ascii="Times New Roman" w:hAnsi="Times New Roman"/>
          <w:lang w:val="en-GB"/>
        </w:rPr>
        <w:t>would not be dispelled by the grant of the order.</w:t>
      </w:r>
      <w:r w:rsidR="003D775A" w:rsidRPr="007E5EAF">
        <w:rPr>
          <w:rFonts w:ascii="Times New Roman" w:hAnsi="Times New Roman"/>
          <w:lang w:val="en-GB"/>
        </w:rPr>
        <w:t xml:space="preserve"> </w:t>
      </w:r>
      <w:r w:rsidR="00E935D0" w:rsidRPr="007E5EAF">
        <w:rPr>
          <w:rFonts w:ascii="Times New Roman" w:hAnsi="Times New Roman"/>
          <w:lang w:val="en-GB"/>
        </w:rPr>
        <w:t xml:space="preserve">On </w:t>
      </w:r>
      <w:r w:rsidR="00BF31C8" w:rsidRPr="007E5EAF">
        <w:rPr>
          <w:rFonts w:ascii="Times New Roman" w:hAnsi="Times New Roman"/>
          <w:lang w:val="en-GB"/>
        </w:rPr>
        <w:t>alternative remedies</w:t>
      </w:r>
      <w:r w:rsidR="00E935D0" w:rsidRPr="007E5EAF">
        <w:rPr>
          <w:rFonts w:ascii="Times New Roman" w:hAnsi="Times New Roman"/>
          <w:lang w:val="en-GB"/>
        </w:rPr>
        <w:t xml:space="preserve">: Rota </w:t>
      </w:r>
      <w:r w:rsidR="00A1340F" w:rsidRPr="007E5EAF">
        <w:rPr>
          <w:rFonts w:ascii="Times New Roman" w:hAnsi="Times New Roman"/>
          <w:lang w:val="en-GB"/>
        </w:rPr>
        <w:t xml:space="preserve">has </w:t>
      </w:r>
      <w:r w:rsidR="00BF31C8" w:rsidRPr="007E5EAF">
        <w:rPr>
          <w:rFonts w:ascii="Times New Roman" w:hAnsi="Times New Roman"/>
          <w:lang w:val="en-GB"/>
        </w:rPr>
        <w:t>the bond over the Albertville property</w:t>
      </w:r>
      <w:r w:rsidR="0039748A" w:rsidRPr="007E5EAF">
        <w:rPr>
          <w:rFonts w:ascii="Times New Roman" w:hAnsi="Times New Roman"/>
          <w:lang w:val="en-GB"/>
        </w:rPr>
        <w:t xml:space="preserve">; Rota </w:t>
      </w:r>
      <w:r w:rsidR="00943930" w:rsidRPr="007E5EAF">
        <w:rPr>
          <w:rFonts w:ascii="Times New Roman" w:hAnsi="Times New Roman"/>
          <w:lang w:val="en-GB"/>
        </w:rPr>
        <w:t>is opposing the City’s application</w:t>
      </w:r>
      <w:r w:rsidR="00E935D0" w:rsidRPr="007E5EAF">
        <w:rPr>
          <w:rFonts w:ascii="Times New Roman" w:hAnsi="Times New Roman"/>
          <w:lang w:val="en-GB"/>
        </w:rPr>
        <w:t xml:space="preserve">; Rota has taken action </w:t>
      </w:r>
      <w:r w:rsidR="001308BC" w:rsidRPr="007E5EAF">
        <w:rPr>
          <w:rFonts w:ascii="Times New Roman" w:hAnsi="Times New Roman"/>
          <w:lang w:val="en-GB"/>
        </w:rPr>
        <w:t xml:space="preserve">against </w:t>
      </w:r>
      <w:r w:rsidR="00A1340F" w:rsidRPr="007E5EAF">
        <w:rPr>
          <w:rFonts w:ascii="Times New Roman" w:hAnsi="Times New Roman"/>
          <w:lang w:val="en-GB"/>
        </w:rPr>
        <w:t xml:space="preserve">Messrs Staffen, Clackett and Keating. </w:t>
      </w:r>
    </w:p>
    <w:p w14:paraId="21AE1E80" w14:textId="408AB91D" w:rsidR="00FC00C8" w:rsidRPr="00FC00C8" w:rsidRDefault="00FC00C8" w:rsidP="00FC00C8">
      <w:pPr>
        <w:keepNext/>
        <w:spacing w:before="240" w:after="240" w:line="480" w:lineRule="auto"/>
        <w:ind w:left="720"/>
        <w:jc w:val="both"/>
        <w:rPr>
          <w:rFonts w:ascii="Times New Roman" w:hAnsi="Times New Roman"/>
          <w:u w:val="single"/>
          <w:lang w:val="en-GB"/>
        </w:rPr>
      </w:pPr>
      <w:r>
        <w:rPr>
          <w:rFonts w:ascii="Times New Roman" w:hAnsi="Times New Roman"/>
          <w:u w:val="single"/>
          <w:lang w:val="en-GB"/>
        </w:rPr>
        <w:t xml:space="preserve">No oral evidence </w:t>
      </w:r>
    </w:p>
    <w:p w14:paraId="1FD75E85" w14:textId="48B53148" w:rsidR="00E037B7" w:rsidRPr="00A43F4C" w:rsidRDefault="006D5E15" w:rsidP="006D5E15">
      <w:pPr>
        <w:spacing w:before="240" w:after="240" w:line="480" w:lineRule="auto"/>
        <w:ind w:left="720" w:hanging="720"/>
        <w:jc w:val="both"/>
        <w:rPr>
          <w:rFonts w:ascii="Times New Roman" w:hAnsi="Times New Roman"/>
          <w:lang w:val="en-GB"/>
        </w:rPr>
      </w:pPr>
      <w:r w:rsidRPr="00A43F4C">
        <w:rPr>
          <w:rFonts w:ascii="Times New Roman" w:hAnsi="Times New Roman"/>
          <w:lang w:val="en-GB"/>
        </w:rPr>
        <w:t>42.</w:t>
      </w:r>
      <w:r w:rsidRPr="00A43F4C">
        <w:rPr>
          <w:rFonts w:ascii="Times New Roman" w:hAnsi="Times New Roman"/>
          <w:lang w:val="en-GB"/>
        </w:rPr>
        <w:tab/>
      </w:r>
      <w:r w:rsidR="00630EB6" w:rsidRPr="00A43F4C">
        <w:rPr>
          <w:rFonts w:ascii="Times New Roman" w:hAnsi="Times New Roman"/>
          <w:lang w:val="en-GB"/>
        </w:rPr>
        <w:t xml:space="preserve">Rota’s counsel </w:t>
      </w:r>
      <w:r w:rsidR="0056023A" w:rsidRPr="00A43F4C">
        <w:rPr>
          <w:rFonts w:ascii="Times New Roman" w:hAnsi="Times New Roman"/>
          <w:lang w:val="en-GB"/>
        </w:rPr>
        <w:t xml:space="preserve">pointed out </w:t>
      </w:r>
      <w:r w:rsidR="00C41CDD" w:rsidRPr="00A43F4C">
        <w:rPr>
          <w:rFonts w:ascii="Times New Roman" w:hAnsi="Times New Roman"/>
          <w:lang w:val="en-GB"/>
        </w:rPr>
        <w:t xml:space="preserve">that there </w:t>
      </w:r>
      <w:r w:rsidR="002B04BB">
        <w:rPr>
          <w:rFonts w:ascii="Times New Roman" w:hAnsi="Times New Roman"/>
          <w:lang w:val="en-GB"/>
        </w:rPr>
        <w:t>are</w:t>
      </w:r>
      <w:r w:rsidR="00C41CDD" w:rsidRPr="00A43F4C">
        <w:rPr>
          <w:rFonts w:ascii="Times New Roman" w:hAnsi="Times New Roman"/>
          <w:lang w:val="en-GB"/>
        </w:rPr>
        <w:t xml:space="preserve"> disputes on the papers </w:t>
      </w:r>
      <w:r w:rsidR="00535F09" w:rsidRPr="00A43F4C">
        <w:rPr>
          <w:rFonts w:ascii="Times New Roman" w:hAnsi="Times New Roman"/>
          <w:lang w:val="en-GB"/>
        </w:rPr>
        <w:t>about wh</w:t>
      </w:r>
      <w:r w:rsidR="00123442" w:rsidRPr="00A43F4C">
        <w:rPr>
          <w:rFonts w:ascii="Times New Roman" w:hAnsi="Times New Roman"/>
          <w:lang w:val="en-GB"/>
        </w:rPr>
        <w:t>ether Messrs Staffen and Clacket</w:t>
      </w:r>
      <w:r w:rsidR="00922875" w:rsidRPr="00A43F4C">
        <w:rPr>
          <w:rFonts w:ascii="Times New Roman" w:hAnsi="Times New Roman"/>
          <w:lang w:val="en-GB"/>
        </w:rPr>
        <w:t xml:space="preserve">t’s </w:t>
      </w:r>
      <w:r w:rsidR="005215BF" w:rsidRPr="00A43F4C">
        <w:rPr>
          <w:rFonts w:ascii="Times New Roman" w:hAnsi="Times New Roman"/>
          <w:lang w:val="en-GB"/>
        </w:rPr>
        <w:t xml:space="preserve">conduct was fraudulent </w:t>
      </w:r>
      <w:r w:rsidR="00922875" w:rsidRPr="00A43F4C">
        <w:rPr>
          <w:rFonts w:ascii="Times New Roman" w:hAnsi="Times New Roman"/>
          <w:lang w:val="en-GB"/>
        </w:rPr>
        <w:t>or not</w:t>
      </w:r>
      <w:r w:rsidR="0056023A" w:rsidRPr="00A43F4C">
        <w:rPr>
          <w:rFonts w:ascii="Times New Roman" w:hAnsi="Times New Roman"/>
          <w:lang w:val="en-GB"/>
        </w:rPr>
        <w:t xml:space="preserve">. On the strength of that, Rota’s counsel submitted that if I were not to find for Rota, I should refer the application </w:t>
      </w:r>
      <w:r w:rsidR="00E037B7" w:rsidRPr="00A43F4C">
        <w:rPr>
          <w:rFonts w:ascii="Times New Roman" w:hAnsi="Times New Roman"/>
          <w:lang w:val="en-GB"/>
        </w:rPr>
        <w:t>for oral evidence. It is correct that I cannot make findings about whether M</w:t>
      </w:r>
      <w:r w:rsidR="00DE4C50" w:rsidRPr="00A43F4C">
        <w:rPr>
          <w:rFonts w:ascii="Times New Roman" w:hAnsi="Times New Roman"/>
          <w:lang w:val="en-GB"/>
        </w:rPr>
        <w:t xml:space="preserve">essrs Staffen and Clackett’s </w:t>
      </w:r>
      <w:r w:rsidR="00812C96" w:rsidRPr="00A43F4C">
        <w:rPr>
          <w:rFonts w:ascii="Times New Roman" w:hAnsi="Times New Roman"/>
          <w:lang w:val="en-GB"/>
        </w:rPr>
        <w:t xml:space="preserve">conduct was fraudulent or not. I </w:t>
      </w:r>
      <w:r w:rsidR="00445B2D" w:rsidRPr="00A43F4C">
        <w:rPr>
          <w:rFonts w:ascii="Times New Roman" w:hAnsi="Times New Roman"/>
          <w:lang w:val="en-GB"/>
        </w:rPr>
        <w:t xml:space="preserve">need </w:t>
      </w:r>
      <w:r w:rsidR="00812C96" w:rsidRPr="00A43F4C">
        <w:rPr>
          <w:rFonts w:ascii="Times New Roman" w:hAnsi="Times New Roman"/>
          <w:lang w:val="en-GB"/>
        </w:rPr>
        <w:t xml:space="preserve">make no such findings to </w:t>
      </w:r>
      <w:r w:rsidR="00A43F4C">
        <w:rPr>
          <w:rFonts w:ascii="Times New Roman" w:hAnsi="Times New Roman"/>
          <w:lang w:val="en-GB"/>
        </w:rPr>
        <w:t xml:space="preserve">decide </w:t>
      </w:r>
      <w:r w:rsidR="008F2F3B" w:rsidRPr="00A43F4C">
        <w:rPr>
          <w:rFonts w:ascii="Times New Roman" w:hAnsi="Times New Roman"/>
          <w:lang w:val="en-GB"/>
        </w:rPr>
        <w:t xml:space="preserve">whether Rota can succeed. </w:t>
      </w:r>
      <w:r w:rsidR="00A43F4C" w:rsidRPr="00A43F4C">
        <w:rPr>
          <w:rFonts w:ascii="Times New Roman" w:hAnsi="Times New Roman"/>
          <w:lang w:val="en-GB"/>
        </w:rPr>
        <w:t>S</w:t>
      </w:r>
      <w:r w:rsidR="00294A0F" w:rsidRPr="00A43F4C">
        <w:rPr>
          <w:rFonts w:ascii="Times New Roman" w:hAnsi="Times New Roman"/>
          <w:lang w:val="en-GB"/>
        </w:rPr>
        <w:t xml:space="preserve">ave in exceptional cases an application to refer for oral evidence </w:t>
      </w:r>
      <w:r w:rsidR="004D2518" w:rsidRPr="00A43F4C">
        <w:rPr>
          <w:rFonts w:ascii="Times New Roman" w:hAnsi="Times New Roman"/>
          <w:lang w:val="en-GB"/>
        </w:rPr>
        <w:t>should be made prior to argument on the merits.</w:t>
      </w:r>
      <w:r w:rsidR="004D2518">
        <w:rPr>
          <w:rStyle w:val="FootnoteReference"/>
          <w:rFonts w:ascii="Times New Roman" w:hAnsi="Times New Roman"/>
          <w:lang w:val="en-GB"/>
        </w:rPr>
        <w:footnoteReference w:id="27"/>
      </w:r>
      <w:r w:rsidR="004D2518" w:rsidRPr="00A43F4C">
        <w:rPr>
          <w:rFonts w:ascii="Times New Roman" w:hAnsi="Times New Roman"/>
          <w:lang w:val="en-GB"/>
        </w:rPr>
        <w:t xml:space="preserve"> This was not an exceptional case. </w:t>
      </w:r>
    </w:p>
    <w:p w14:paraId="496F339A" w14:textId="3E409DD6" w:rsidR="00D3114C" w:rsidRPr="00D3114C" w:rsidRDefault="00D3114C" w:rsidP="00D3114C">
      <w:pPr>
        <w:keepNext/>
        <w:spacing w:before="240" w:after="240" w:line="480" w:lineRule="auto"/>
        <w:ind w:left="720"/>
        <w:jc w:val="both"/>
        <w:rPr>
          <w:rFonts w:ascii="Times New Roman" w:hAnsi="Times New Roman"/>
          <w:u w:val="single"/>
          <w:lang w:val="en-GB"/>
        </w:rPr>
      </w:pPr>
      <w:r>
        <w:rPr>
          <w:rFonts w:ascii="Times New Roman" w:hAnsi="Times New Roman"/>
          <w:u w:val="single"/>
          <w:lang w:val="en-GB"/>
        </w:rPr>
        <w:t>Costs</w:t>
      </w:r>
    </w:p>
    <w:p w14:paraId="04CF96FF" w14:textId="7D372C8E" w:rsidR="00515D3E"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43.</w:t>
      </w:r>
      <w:r>
        <w:rPr>
          <w:rFonts w:ascii="Times New Roman" w:hAnsi="Times New Roman"/>
          <w:lang w:val="en-GB"/>
        </w:rPr>
        <w:tab/>
      </w:r>
      <w:r w:rsidR="007E5EAF">
        <w:rPr>
          <w:rFonts w:ascii="Times New Roman" w:hAnsi="Times New Roman"/>
          <w:lang w:val="en-GB"/>
        </w:rPr>
        <w:t>T</w:t>
      </w:r>
      <w:r w:rsidR="00CF5EB3">
        <w:rPr>
          <w:rFonts w:ascii="Times New Roman" w:hAnsi="Times New Roman"/>
          <w:lang w:val="en-GB"/>
        </w:rPr>
        <w:t xml:space="preserve">he founding affidavit is full of sound and fury. Upon analysis it signifies </w:t>
      </w:r>
      <w:r w:rsidR="00653BF1">
        <w:rPr>
          <w:rFonts w:ascii="Times New Roman" w:hAnsi="Times New Roman"/>
          <w:lang w:val="en-GB"/>
        </w:rPr>
        <w:t xml:space="preserve">no claim to the sale proceeds. </w:t>
      </w:r>
      <w:r w:rsidR="006F5B0B">
        <w:rPr>
          <w:rFonts w:ascii="Times New Roman" w:hAnsi="Times New Roman"/>
          <w:lang w:val="en-GB"/>
        </w:rPr>
        <w:t xml:space="preserve">The clamour </w:t>
      </w:r>
      <w:r w:rsidR="00CF5567">
        <w:rPr>
          <w:rFonts w:ascii="Times New Roman" w:hAnsi="Times New Roman"/>
          <w:lang w:val="en-GB"/>
        </w:rPr>
        <w:t>conceal</w:t>
      </w:r>
      <w:r w:rsidR="009E6AA5">
        <w:rPr>
          <w:rFonts w:ascii="Times New Roman" w:hAnsi="Times New Roman"/>
          <w:lang w:val="en-GB"/>
        </w:rPr>
        <w:t>s</w:t>
      </w:r>
      <w:r w:rsidR="00CF5567">
        <w:rPr>
          <w:rFonts w:ascii="Times New Roman" w:hAnsi="Times New Roman"/>
          <w:lang w:val="en-GB"/>
        </w:rPr>
        <w:t xml:space="preserve"> </w:t>
      </w:r>
      <w:r w:rsidR="00CF164E">
        <w:rPr>
          <w:rFonts w:ascii="Times New Roman" w:hAnsi="Times New Roman"/>
          <w:lang w:val="en-GB"/>
        </w:rPr>
        <w:t>fundamental disconnect</w:t>
      </w:r>
      <w:r w:rsidR="009C3C0F">
        <w:rPr>
          <w:rFonts w:ascii="Times New Roman" w:hAnsi="Times New Roman"/>
          <w:lang w:val="en-GB"/>
        </w:rPr>
        <w:t>s</w:t>
      </w:r>
      <w:r w:rsidR="002600D9">
        <w:rPr>
          <w:rFonts w:ascii="Times New Roman" w:hAnsi="Times New Roman"/>
          <w:lang w:val="en-GB"/>
        </w:rPr>
        <w:t xml:space="preserve">. </w:t>
      </w:r>
      <w:r w:rsidR="007E5EAF">
        <w:rPr>
          <w:rFonts w:ascii="Times New Roman" w:hAnsi="Times New Roman"/>
          <w:lang w:val="en-GB"/>
        </w:rPr>
        <w:t xml:space="preserve">The </w:t>
      </w:r>
      <w:r w:rsidR="00B32840">
        <w:rPr>
          <w:rFonts w:ascii="Times New Roman" w:hAnsi="Times New Roman"/>
          <w:lang w:val="en-GB"/>
        </w:rPr>
        <w:t xml:space="preserve">proceeds </w:t>
      </w:r>
      <w:r w:rsidR="00B32840">
        <w:rPr>
          <w:rFonts w:ascii="Times New Roman" w:hAnsi="Times New Roman"/>
          <w:lang w:val="en-GB"/>
        </w:rPr>
        <w:lastRenderedPageBreak/>
        <w:t xml:space="preserve">of the Full Score property sales have </w:t>
      </w:r>
      <w:r w:rsidR="007E5EAF">
        <w:rPr>
          <w:rFonts w:ascii="Times New Roman" w:hAnsi="Times New Roman"/>
          <w:lang w:val="en-GB"/>
        </w:rPr>
        <w:t xml:space="preserve">nothing </w:t>
      </w:r>
      <w:r w:rsidR="00B32840">
        <w:rPr>
          <w:rFonts w:ascii="Times New Roman" w:hAnsi="Times New Roman"/>
          <w:lang w:val="en-GB"/>
        </w:rPr>
        <w:t xml:space="preserve">to do with the </w:t>
      </w:r>
      <w:r w:rsidR="00EE7795">
        <w:rPr>
          <w:rFonts w:ascii="Times New Roman" w:hAnsi="Times New Roman"/>
          <w:lang w:val="en-GB"/>
        </w:rPr>
        <w:t xml:space="preserve">claim </w:t>
      </w:r>
      <w:r w:rsidR="00387CB4">
        <w:rPr>
          <w:rFonts w:ascii="Times New Roman" w:hAnsi="Times New Roman"/>
          <w:lang w:val="en-GB"/>
        </w:rPr>
        <w:t xml:space="preserve">made against </w:t>
      </w:r>
      <w:r w:rsidR="005A682A">
        <w:rPr>
          <w:rFonts w:ascii="Times New Roman" w:hAnsi="Times New Roman"/>
          <w:lang w:val="en-GB"/>
        </w:rPr>
        <w:t>Messrs Staffen</w:t>
      </w:r>
      <w:r w:rsidR="00387CB4">
        <w:rPr>
          <w:rFonts w:ascii="Times New Roman" w:hAnsi="Times New Roman"/>
          <w:lang w:val="en-GB"/>
        </w:rPr>
        <w:t>,</w:t>
      </w:r>
      <w:r w:rsidR="005A682A">
        <w:rPr>
          <w:rFonts w:ascii="Times New Roman" w:hAnsi="Times New Roman"/>
          <w:lang w:val="en-GB"/>
        </w:rPr>
        <w:t xml:space="preserve"> Clackett</w:t>
      </w:r>
      <w:r w:rsidR="00387CB4">
        <w:rPr>
          <w:rFonts w:ascii="Times New Roman" w:hAnsi="Times New Roman"/>
          <w:lang w:val="en-GB"/>
        </w:rPr>
        <w:t xml:space="preserve"> and Keating as Armour directors</w:t>
      </w:r>
      <w:r w:rsidR="007E5EAF">
        <w:rPr>
          <w:rFonts w:ascii="Times New Roman" w:hAnsi="Times New Roman"/>
          <w:lang w:val="en-GB"/>
        </w:rPr>
        <w:t>.</w:t>
      </w:r>
      <w:r w:rsidR="005A682A">
        <w:rPr>
          <w:rFonts w:ascii="Times New Roman" w:hAnsi="Times New Roman"/>
          <w:lang w:val="en-GB"/>
        </w:rPr>
        <w:t xml:space="preserve"> </w:t>
      </w:r>
    </w:p>
    <w:p w14:paraId="7B831043" w14:textId="63062145" w:rsidR="000140DF"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44.</w:t>
      </w:r>
      <w:r>
        <w:rPr>
          <w:rFonts w:ascii="Times New Roman" w:hAnsi="Times New Roman"/>
          <w:lang w:val="en-GB"/>
        </w:rPr>
        <w:tab/>
      </w:r>
      <w:r w:rsidR="006E196D">
        <w:rPr>
          <w:rFonts w:ascii="Times New Roman" w:hAnsi="Times New Roman"/>
          <w:lang w:val="en-GB"/>
        </w:rPr>
        <w:t xml:space="preserve">I agree with the respondents’ submissions that </w:t>
      </w:r>
      <w:r w:rsidR="00646DCD">
        <w:rPr>
          <w:rFonts w:ascii="Times New Roman" w:hAnsi="Times New Roman"/>
          <w:lang w:val="en-GB"/>
        </w:rPr>
        <w:t xml:space="preserve">Rota should </w:t>
      </w:r>
      <w:r w:rsidR="00F34207">
        <w:rPr>
          <w:rFonts w:ascii="Times New Roman" w:hAnsi="Times New Roman"/>
          <w:lang w:val="en-GB"/>
        </w:rPr>
        <w:t xml:space="preserve">not </w:t>
      </w:r>
      <w:r w:rsidR="00646DCD">
        <w:rPr>
          <w:rFonts w:ascii="Times New Roman" w:hAnsi="Times New Roman"/>
          <w:lang w:val="en-GB"/>
        </w:rPr>
        <w:t xml:space="preserve">have proceeded </w:t>
      </w:r>
      <w:r w:rsidR="00646DCD">
        <w:rPr>
          <w:rFonts w:ascii="Times New Roman" w:hAnsi="Times New Roman"/>
          <w:i/>
          <w:iCs/>
          <w:lang w:val="en-GB"/>
        </w:rPr>
        <w:t>ex parte</w:t>
      </w:r>
      <w:r w:rsidR="00646DCD">
        <w:rPr>
          <w:rFonts w:ascii="Times New Roman" w:hAnsi="Times New Roman"/>
          <w:lang w:val="en-GB"/>
        </w:rPr>
        <w:t xml:space="preserve">. </w:t>
      </w:r>
      <w:r w:rsidR="00C063B3">
        <w:rPr>
          <w:rFonts w:ascii="Times New Roman" w:hAnsi="Times New Roman"/>
          <w:lang w:val="en-GB"/>
        </w:rPr>
        <w:t xml:space="preserve">Rota alleged it </w:t>
      </w:r>
      <w:r w:rsidR="00240770">
        <w:rPr>
          <w:rFonts w:ascii="Times New Roman" w:hAnsi="Times New Roman"/>
          <w:lang w:val="en-GB"/>
        </w:rPr>
        <w:t>brought</w:t>
      </w:r>
      <w:r w:rsidR="00F230FF">
        <w:rPr>
          <w:rFonts w:ascii="Times New Roman" w:hAnsi="Times New Roman"/>
          <w:lang w:val="en-GB"/>
        </w:rPr>
        <w:t xml:space="preserve"> the application</w:t>
      </w:r>
      <w:r w:rsidR="00240770">
        <w:rPr>
          <w:rFonts w:ascii="Times New Roman" w:hAnsi="Times New Roman"/>
          <w:lang w:val="en-GB"/>
        </w:rPr>
        <w:t xml:space="preserve"> </w:t>
      </w:r>
      <w:r w:rsidR="00240770" w:rsidRPr="00A57930">
        <w:rPr>
          <w:rFonts w:ascii="Times New Roman" w:hAnsi="Times New Roman"/>
          <w:i/>
          <w:iCs/>
          <w:lang w:val="en-GB"/>
        </w:rPr>
        <w:t>ex parte</w:t>
      </w:r>
      <w:r w:rsidR="00240770">
        <w:rPr>
          <w:rFonts w:ascii="Times New Roman" w:hAnsi="Times New Roman"/>
          <w:lang w:val="en-GB"/>
        </w:rPr>
        <w:t xml:space="preserve"> </w:t>
      </w:r>
      <w:r w:rsidR="00F230FF">
        <w:rPr>
          <w:rFonts w:ascii="Times New Roman" w:hAnsi="Times New Roman"/>
          <w:lang w:val="en-GB"/>
        </w:rPr>
        <w:t xml:space="preserve">because Rota </w:t>
      </w:r>
      <w:r w:rsidR="00240770">
        <w:rPr>
          <w:rFonts w:ascii="Times New Roman" w:hAnsi="Times New Roman"/>
          <w:lang w:val="en-GB"/>
        </w:rPr>
        <w:t>feared that if it gave notice to Full Score, Full Score would terminate the mandate of the conveyancers and proceed with transfer anyway.</w:t>
      </w:r>
      <w:r w:rsidR="000758AA">
        <w:rPr>
          <w:rFonts w:ascii="Times New Roman" w:hAnsi="Times New Roman"/>
          <w:lang w:val="en-GB"/>
        </w:rPr>
        <w:t xml:space="preserve"> </w:t>
      </w:r>
      <w:r w:rsidR="008A5B66">
        <w:rPr>
          <w:rFonts w:ascii="Times New Roman" w:hAnsi="Times New Roman"/>
          <w:lang w:val="en-GB"/>
        </w:rPr>
        <w:t>It seems improbable</w:t>
      </w:r>
      <w:r w:rsidR="005D55DF">
        <w:rPr>
          <w:rFonts w:ascii="Times New Roman" w:hAnsi="Times New Roman"/>
          <w:lang w:val="en-GB"/>
        </w:rPr>
        <w:t>, as Full Score alleges,</w:t>
      </w:r>
      <w:r w:rsidR="008A5B66">
        <w:rPr>
          <w:rFonts w:ascii="Times New Roman" w:hAnsi="Times New Roman"/>
          <w:lang w:val="en-GB"/>
        </w:rPr>
        <w:t xml:space="preserve"> that </w:t>
      </w:r>
      <w:r w:rsidR="000758AA">
        <w:rPr>
          <w:rFonts w:ascii="Times New Roman" w:hAnsi="Times New Roman"/>
          <w:lang w:val="en-GB"/>
        </w:rPr>
        <w:t>Full Score</w:t>
      </w:r>
      <w:r w:rsidR="008A5B66">
        <w:rPr>
          <w:rFonts w:ascii="Times New Roman" w:hAnsi="Times New Roman"/>
          <w:lang w:val="en-GB"/>
        </w:rPr>
        <w:t xml:space="preserve"> could </w:t>
      </w:r>
      <w:r w:rsidR="000758AA">
        <w:rPr>
          <w:rFonts w:ascii="Times New Roman" w:hAnsi="Times New Roman"/>
          <w:lang w:val="en-GB"/>
        </w:rPr>
        <w:t xml:space="preserve">terminate the mandate of </w:t>
      </w:r>
      <w:r w:rsidR="00AF7A45">
        <w:rPr>
          <w:rFonts w:ascii="Times New Roman" w:hAnsi="Times New Roman"/>
          <w:lang w:val="en-GB"/>
        </w:rPr>
        <w:t xml:space="preserve">two firms of </w:t>
      </w:r>
      <w:r w:rsidR="000758AA">
        <w:rPr>
          <w:rFonts w:ascii="Times New Roman" w:hAnsi="Times New Roman"/>
          <w:lang w:val="en-GB"/>
        </w:rPr>
        <w:t xml:space="preserve">conveyancers </w:t>
      </w:r>
      <w:r w:rsidR="008C1A8B">
        <w:rPr>
          <w:rFonts w:ascii="Times New Roman" w:hAnsi="Times New Roman"/>
          <w:lang w:val="en-GB"/>
        </w:rPr>
        <w:t xml:space="preserve">mid-stream in </w:t>
      </w:r>
      <w:r w:rsidR="000758AA">
        <w:rPr>
          <w:rFonts w:ascii="Times New Roman" w:hAnsi="Times New Roman"/>
          <w:lang w:val="en-GB"/>
        </w:rPr>
        <w:t xml:space="preserve">attending </w:t>
      </w:r>
      <w:r w:rsidR="00AF7A45">
        <w:rPr>
          <w:rFonts w:ascii="Times New Roman" w:hAnsi="Times New Roman"/>
          <w:lang w:val="en-GB"/>
        </w:rPr>
        <w:t xml:space="preserve">the </w:t>
      </w:r>
      <w:r w:rsidR="008A5B66">
        <w:rPr>
          <w:rFonts w:ascii="Times New Roman" w:hAnsi="Times New Roman"/>
          <w:lang w:val="en-GB"/>
        </w:rPr>
        <w:t xml:space="preserve">imminent </w:t>
      </w:r>
      <w:r w:rsidR="000758AA">
        <w:rPr>
          <w:rFonts w:ascii="Times New Roman" w:hAnsi="Times New Roman"/>
          <w:lang w:val="en-GB"/>
        </w:rPr>
        <w:t>transfer</w:t>
      </w:r>
      <w:r w:rsidR="00AF7A45">
        <w:rPr>
          <w:rFonts w:ascii="Times New Roman" w:hAnsi="Times New Roman"/>
          <w:lang w:val="en-GB"/>
        </w:rPr>
        <w:t>s</w:t>
      </w:r>
      <w:r w:rsidR="002C3152" w:rsidRPr="009D0B11">
        <w:rPr>
          <w:rFonts w:ascii="Times New Roman" w:hAnsi="Times New Roman"/>
          <w:lang w:val="en-GB"/>
        </w:rPr>
        <w:t xml:space="preserve"> – </w:t>
      </w:r>
      <w:r w:rsidR="008A5B66">
        <w:rPr>
          <w:rFonts w:ascii="Times New Roman" w:hAnsi="Times New Roman"/>
          <w:lang w:val="en-GB"/>
        </w:rPr>
        <w:t xml:space="preserve">and </w:t>
      </w:r>
      <w:r w:rsidR="00FC3856">
        <w:rPr>
          <w:rFonts w:ascii="Times New Roman" w:hAnsi="Times New Roman"/>
          <w:lang w:val="en-GB"/>
        </w:rPr>
        <w:t xml:space="preserve">then </w:t>
      </w:r>
      <w:r w:rsidR="008A5B66">
        <w:rPr>
          <w:rFonts w:ascii="Times New Roman" w:hAnsi="Times New Roman"/>
          <w:lang w:val="en-GB"/>
        </w:rPr>
        <w:t xml:space="preserve">appoint new conveyancers </w:t>
      </w:r>
      <w:r w:rsidR="001B56C7">
        <w:rPr>
          <w:rFonts w:ascii="Times New Roman" w:hAnsi="Times New Roman"/>
          <w:lang w:val="en-GB"/>
        </w:rPr>
        <w:t>seamlessly</w:t>
      </w:r>
      <w:r w:rsidR="00472451">
        <w:rPr>
          <w:rFonts w:ascii="Times New Roman" w:hAnsi="Times New Roman"/>
          <w:lang w:val="en-GB"/>
        </w:rPr>
        <w:t xml:space="preserve"> so as to proceed with the transfer anyway.</w:t>
      </w:r>
      <w:r w:rsidR="002D52DE">
        <w:rPr>
          <w:rFonts w:ascii="Times New Roman" w:hAnsi="Times New Roman"/>
          <w:lang w:val="en-GB"/>
        </w:rPr>
        <w:t xml:space="preserve"> </w:t>
      </w:r>
    </w:p>
    <w:p w14:paraId="3E9019E6" w14:textId="05D1F73A" w:rsidR="006E196D" w:rsidRDefault="006D5E15" w:rsidP="006D5E15">
      <w:pPr>
        <w:spacing w:before="240" w:after="240" w:line="480" w:lineRule="auto"/>
        <w:ind w:left="720" w:hanging="720"/>
        <w:jc w:val="both"/>
        <w:rPr>
          <w:rFonts w:ascii="Times New Roman" w:hAnsi="Times New Roman"/>
          <w:lang w:val="en-GB"/>
        </w:rPr>
      </w:pPr>
      <w:r>
        <w:rPr>
          <w:rFonts w:ascii="Times New Roman" w:hAnsi="Times New Roman"/>
          <w:lang w:val="en-GB"/>
        </w:rPr>
        <w:t>45.</w:t>
      </w:r>
      <w:r>
        <w:rPr>
          <w:rFonts w:ascii="Times New Roman" w:hAnsi="Times New Roman"/>
          <w:lang w:val="en-GB"/>
        </w:rPr>
        <w:tab/>
      </w:r>
      <w:r w:rsidR="007F370D">
        <w:rPr>
          <w:rFonts w:ascii="Times New Roman" w:hAnsi="Times New Roman"/>
          <w:lang w:val="en-GB"/>
        </w:rPr>
        <w:t xml:space="preserve">In proceeding </w:t>
      </w:r>
      <w:r w:rsidR="007F370D">
        <w:rPr>
          <w:rFonts w:ascii="Times New Roman" w:hAnsi="Times New Roman"/>
          <w:i/>
          <w:iCs/>
          <w:lang w:val="en-GB"/>
        </w:rPr>
        <w:t xml:space="preserve">ex parte </w:t>
      </w:r>
      <w:r w:rsidR="007F370D">
        <w:rPr>
          <w:rFonts w:ascii="Times New Roman" w:hAnsi="Times New Roman"/>
          <w:lang w:val="en-GB"/>
        </w:rPr>
        <w:t xml:space="preserve">and urgently </w:t>
      </w:r>
      <w:r w:rsidR="00373A4A">
        <w:rPr>
          <w:rFonts w:ascii="Times New Roman" w:hAnsi="Times New Roman"/>
          <w:lang w:val="en-GB"/>
        </w:rPr>
        <w:t>Rota placed its case before the urgent court without opposition, and obtained an order to which it was not entitled</w:t>
      </w:r>
      <w:r w:rsidR="00AA1A1F">
        <w:rPr>
          <w:rFonts w:ascii="Times New Roman" w:hAnsi="Times New Roman"/>
          <w:lang w:val="en-GB"/>
        </w:rPr>
        <w:t xml:space="preserve"> – </w:t>
      </w:r>
      <w:r w:rsidR="00373A4A">
        <w:rPr>
          <w:rFonts w:ascii="Times New Roman" w:hAnsi="Times New Roman"/>
          <w:lang w:val="en-GB"/>
        </w:rPr>
        <w:t xml:space="preserve">the </w:t>
      </w:r>
      <w:r w:rsidR="00A170DD">
        <w:rPr>
          <w:rFonts w:ascii="Times New Roman" w:hAnsi="Times New Roman"/>
          <w:lang w:val="en-GB"/>
        </w:rPr>
        <w:t xml:space="preserve">harm </w:t>
      </w:r>
      <w:r w:rsidR="00331522">
        <w:rPr>
          <w:rFonts w:ascii="Times New Roman" w:hAnsi="Times New Roman"/>
          <w:lang w:val="en-GB"/>
        </w:rPr>
        <w:t xml:space="preserve">of </w:t>
      </w:r>
      <w:r w:rsidR="00A170DD">
        <w:rPr>
          <w:rFonts w:ascii="Times New Roman" w:hAnsi="Times New Roman"/>
          <w:lang w:val="en-GB"/>
        </w:rPr>
        <w:t xml:space="preserve">which Full Score has suffered now for </w:t>
      </w:r>
      <w:r w:rsidR="00794E8C">
        <w:rPr>
          <w:rFonts w:ascii="Times New Roman" w:hAnsi="Times New Roman"/>
          <w:lang w:val="en-GB"/>
        </w:rPr>
        <w:t>almost six months.</w:t>
      </w:r>
      <w:r w:rsidR="00953124">
        <w:rPr>
          <w:rFonts w:ascii="Times New Roman" w:hAnsi="Times New Roman"/>
          <w:lang w:val="en-GB"/>
        </w:rPr>
        <w:t xml:space="preserve"> </w:t>
      </w:r>
      <w:r w:rsidR="000140DF">
        <w:rPr>
          <w:rFonts w:ascii="Times New Roman" w:hAnsi="Times New Roman"/>
          <w:lang w:val="en-GB"/>
        </w:rPr>
        <w:t xml:space="preserve">The order moreover was overbroad: it interdicted payment of the full proceeds from the sales, not only the proceeds to the extent of the </w:t>
      </w:r>
      <w:r w:rsidR="002169B3">
        <w:rPr>
          <w:rFonts w:ascii="Times New Roman" w:hAnsi="Times New Roman"/>
          <w:lang w:val="en-GB"/>
        </w:rPr>
        <w:t xml:space="preserve">anticipated claim. </w:t>
      </w:r>
      <w:r w:rsidR="001851F1">
        <w:rPr>
          <w:rFonts w:ascii="Times New Roman" w:hAnsi="Times New Roman"/>
          <w:lang w:val="en-GB"/>
        </w:rPr>
        <w:t>Th</w:t>
      </w:r>
      <w:r w:rsidR="00587E6E">
        <w:rPr>
          <w:rFonts w:ascii="Times New Roman" w:hAnsi="Times New Roman"/>
          <w:lang w:val="en-GB"/>
        </w:rPr>
        <w:t xml:space="preserve">e order caused </w:t>
      </w:r>
      <w:r w:rsidR="001851F1">
        <w:rPr>
          <w:rFonts w:ascii="Times New Roman" w:hAnsi="Times New Roman"/>
          <w:lang w:val="en-GB"/>
        </w:rPr>
        <w:t>severe prejudice to Full Score.</w:t>
      </w:r>
      <w:r w:rsidR="002F3D94">
        <w:rPr>
          <w:rStyle w:val="FootnoteReference"/>
          <w:rFonts w:ascii="Times New Roman" w:hAnsi="Times New Roman"/>
          <w:lang w:val="en-GB"/>
        </w:rPr>
        <w:footnoteReference w:id="28"/>
      </w:r>
      <w:r w:rsidR="001851F1">
        <w:rPr>
          <w:rFonts w:ascii="Times New Roman" w:hAnsi="Times New Roman"/>
          <w:lang w:val="en-GB"/>
        </w:rPr>
        <w:t xml:space="preserve"> </w:t>
      </w:r>
      <w:r w:rsidR="00F61AD4">
        <w:rPr>
          <w:rFonts w:ascii="Times New Roman" w:hAnsi="Times New Roman"/>
          <w:lang w:val="en-GB"/>
        </w:rPr>
        <w:t>A</w:t>
      </w:r>
      <w:r w:rsidR="00221D04">
        <w:rPr>
          <w:rFonts w:ascii="Times New Roman" w:hAnsi="Times New Roman"/>
          <w:lang w:val="en-GB"/>
        </w:rPr>
        <w:t xml:space="preserve">n </w:t>
      </w:r>
      <w:r w:rsidR="00FC3856">
        <w:rPr>
          <w:rFonts w:ascii="Times New Roman" w:hAnsi="Times New Roman"/>
          <w:lang w:val="en-GB"/>
        </w:rPr>
        <w:t xml:space="preserve">adverse costs award on the </w:t>
      </w:r>
      <w:r w:rsidR="00221D04">
        <w:rPr>
          <w:rFonts w:ascii="Times New Roman" w:hAnsi="Times New Roman"/>
          <w:lang w:val="en-GB"/>
        </w:rPr>
        <w:t xml:space="preserve">attorney and </w:t>
      </w:r>
      <w:r w:rsidR="00F61AD4">
        <w:rPr>
          <w:rFonts w:ascii="Times New Roman" w:hAnsi="Times New Roman"/>
          <w:lang w:val="en-GB"/>
        </w:rPr>
        <w:t xml:space="preserve">client </w:t>
      </w:r>
      <w:r w:rsidR="009B2FCD">
        <w:rPr>
          <w:rFonts w:ascii="Times New Roman" w:hAnsi="Times New Roman"/>
          <w:lang w:val="en-GB"/>
        </w:rPr>
        <w:t xml:space="preserve">scale </w:t>
      </w:r>
      <w:r w:rsidR="00F61AD4">
        <w:rPr>
          <w:rFonts w:ascii="Times New Roman" w:hAnsi="Times New Roman"/>
          <w:lang w:val="en-GB"/>
        </w:rPr>
        <w:t xml:space="preserve">is warranted. </w:t>
      </w:r>
    </w:p>
    <w:p w14:paraId="405D152A" w14:textId="5E5A2D5C" w:rsidR="00E751E2" w:rsidRPr="00190B0E" w:rsidRDefault="00190B0E" w:rsidP="00190B0E">
      <w:pPr>
        <w:keepNext/>
        <w:spacing w:before="240" w:after="240" w:line="480" w:lineRule="auto"/>
        <w:ind w:left="720"/>
        <w:jc w:val="both"/>
        <w:rPr>
          <w:rFonts w:ascii="Times New Roman" w:hAnsi="Times New Roman"/>
          <w:u w:val="single"/>
          <w:lang w:val="en-GB"/>
        </w:rPr>
      </w:pPr>
      <w:r>
        <w:rPr>
          <w:rFonts w:ascii="Times New Roman" w:hAnsi="Times New Roman"/>
          <w:u w:val="single"/>
          <w:lang w:val="en-GB"/>
        </w:rPr>
        <w:t>Order</w:t>
      </w:r>
    </w:p>
    <w:p w14:paraId="7DFE0608" w14:textId="13C4F404" w:rsidR="00597BF7" w:rsidRPr="00511992" w:rsidRDefault="006D5E15" w:rsidP="006D5E15">
      <w:pPr>
        <w:spacing w:before="240" w:after="240" w:line="480" w:lineRule="auto"/>
        <w:ind w:left="720" w:hanging="720"/>
        <w:jc w:val="both"/>
        <w:rPr>
          <w:rFonts w:ascii="Times New Roman" w:hAnsi="Times New Roman"/>
          <w:lang w:val="en-GB"/>
        </w:rPr>
      </w:pPr>
      <w:r w:rsidRPr="00511992">
        <w:rPr>
          <w:rFonts w:ascii="Times New Roman" w:hAnsi="Times New Roman"/>
          <w:lang w:val="en-GB"/>
        </w:rPr>
        <w:t>46.</w:t>
      </w:r>
      <w:r w:rsidRPr="00511992">
        <w:rPr>
          <w:rFonts w:ascii="Times New Roman" w:hAnsi="Times New Roman"/>
          <w:lang w:val="en-GB"/>
        </w:rPr>
        <w:tab/>
      </w:r>
      <w:r w:rsidR="00190B0E">
        <w:rPr>
          <w:rFonts w:ascii="Times New Roman" w:hAnsi="Times New Roman"/>
          <w:lang w:val="en-GB"/>
        </w:rPr>
        <w:t>The application is dismissed with costs on the scale as between attorney and client.</w:t>
      </w:r>
    </w:p>
    <w:bookmarkEnd w:id="1"/>
    <w:bookmarkEnd w:id="2"/>
    <w:p w14:paraId="6684911F" w14:textId="13B43BD0" w:rsidR="00DC2899" w:rsidRDefault="00DC2899" w:rsidP="003C1B23">
      <w:pPr>
        <w:keepNext/>
        <w:jc w:val="both"/>
        <w:rPr>
          <w:rFonts w:ascii="Times New Roman" w:hAnsi="Times New Roman"/>
          <w:lang w:val="en-GB"/>
        </w:rPr>
      </w:pPr>
    </w:p>
    <w:p w14:paraId="04675490" w14:textId="53CDD334" w:rsidR="00724560" w:rsidRDefault="00724560" w:rsidP="003C1B23">
      <w:pPr>
        <w:keepNext/>
        <w:jc w:val="both"/>
        <w:rPr>
          <w:rFonts w:ascii="Times New Roman" w:hAnsi="Times New Roman"/>
          <w:lang w:val="en-GB"/>
        </w:rPr>
      </w:pPr>
    </w:p>
    <w:p w14:paraId="1A2C5CD1" w14:textId="4E41E275" w:rsidR="00724560" w:rsidRDefault="00724560" w:rsidP="003C1B23">
      <w:pPr>
        <w:keepNext/>
        <w:jc w:val="both"/>
        <w:rPr>
          <w:rFonts w:ascii="Times New Roman" w:hAnsi="Times New Roman"/>
          <w:lang w:val="en-GB"/>
        </w:rPr>
      </w:pPr>
    </w:p>
    <w:p w14:paraId="50998FE6" w14:textId="0003B67A" w:rsidR="00724560" w:rsidRDefault="00724560" w:rsidP="003C1B23">
      <w:pPr>
        <w:keepNext/>
        <w:jc w:val="both"/>
        <w:rPr>
          <w:rFonts w:ascii="Times New Roman" w:hAnsi="Times New Roman"/>
          <w:lang w:val="en-GB"/>
        </w:rPr>
      </w:pPr>
    </w:p>
    <w:p w14:paraId="297C15AD" w14:textId="22F6AD7F" w:rsidR="00724560" w:rsidRDefault="00724560" w:rsidP="003C1B23">
      <w:pPr>
        <w:keepNext/>
        <w:jc w:val="both"/>
        <w:rPr>
          <w:rFonts w:ascii="Times New Roman" w:hAnsi="Times New Roman"/>
          <w:lang w:val="en-GB"/>
        </w:rPr>
      </w:pPr>
    </w:p>
    <w:p w14:paraId="6C6A9476" w14:textId="696AD7BA" w:rsidR="00724560" w:rsidRDefault="00724560" w:rsidP="003C1B23">
      <w:pPr>
        <w:keepNext/>
        <w:jc w:val="both"/>
        <w:rPr>
          <w:rFonts w:ascii="Times New Roman" w:hAnsi="Times New Roman"/>
          <w:lang w:val="en-GB"/>
        </w:rPr>
      </w:pPr>
    </w:p>
    <w:p w14:paraId="42E2EA70" w14:textId="77777777" w:rsidR="00412B3D" w:rsidRDefault="00412B3D" w:rsidP="003C1B23">
      <w:pPr>
        <w:keepNext/>
        <w:jc w:val="both"/>
        <w:rPr>
          <w:rFonts w:ascii="Times New Roman" w:hAnsi="Times New Roman"/>
          <w:lang w:val="en-GB"/>
        </w:rPr>
      </w:pPr>
    </w:p>
    <w:p w14:paraId="5E55FF92" w14:textId="2DD076CC" w:rsidR="00724560" w:rsidRDefault="00724560" w:rsidP="003C1B23">
      <w:pPr>
        <w:keepNext/>
        <w:jc w:val="both"/>
        <w:rPr>
          <w:rFonts w:ascii="Times New Roman" w:hAnsi="Times New Roman"/>
          <w:lang w:val="en-GB"/>
        </w:rPr>
      </w:pPr>
    </w:p>
    <w:p w14:paraId="316A2E60" w14:textId="32C976E7" w:rsidR="00724560" w:rsidRPr="00724560" w:rsidRDefault="00724560" w:rsidP="003C1B23">
      <w:pPr>
        <w:keepNext/>
        <w:jc w:val="both"/>
        <w:rPr>
          <w:rFonts w:ascii="Times New Roman" w:hAnsi="Times New Roman"/>
          <w:b/>
          <w:lang w:val="en-GB"/>
        </w:rPr>
      </w:pPr>
      <w:r w:rsidRPr="00724560">
        <w:rPr>
          <w:rFonts w:ascii="Times New Roman" w:hAnsi="Times New Roman"/>
          <w:b/>
          <w:lang w:val="en-GB"/>
        </w:rPr>
        <w:tab/>
        <w:t>____________________</w:t>
      </w:r>
    </w:p>
    <w:p w14:paraId="75E338C2" w14:textId="06D9ED77" w:rsidR="00724560" w:rsidRDefault="00724560" w:rsidP="003C1B23">
      <w:pPr>
        <w:keepNext/>
        <w:jc w:val="both"/>
        <w:rPr>
          <w:rFonts w:ascii="Times New Roman" w:hAnsi="Times New Roman"/>
          <w:b/>
          <w:lang w:val="en-GB"/>
        </w:rPr>
      </w:pPr>
      <w:r w:rsidRPr="00724560">
        <w:rPr>
          <w:rFonts w:ascii="Times New Roman" w:hAnsi="Times New Roman"/>
          <w:b/>
          <w:lang w:val="en-GB"/>
        </w:rPr>
        <w:tab/>
        <w:t>PATRICK, AJ</w:t>
      </w:r>
    </w:p>
    <w:p w14:paraId="7177A9F2" w14:textId="3DD45548" w:rsidR="002E23C7" w:rsidRDefault="002E23C7" w:rsidP="003C1B23">
      <w:pPr>
        <w:keepNext/>
        <w:jc w:val="both"/>
        <w:rPr>
          <w:rFonts w:ascii="Times New Roman" w:hAnsi="Times New Roman"/>
          <w:b/>
          <w:lang w:val="en-GB"/>
        </w:rPr>
      </w:pPr>
    </w:p>
    <w:p w14:paraId="15D873EA" w14:textId="41B8C269" w:rsidR="002E23C7" w:rsidRDefault="002E23C7" w:rsidP="003C1B23">
      <w:pPr>
        <w:keepNext/>
        <w:jc w:val="both"/>
        <w:rPr>
          <w:rFonts w:ascii="Times New Roman" w:hAnsi="Times New Roman"/>
          <w:b/>
          <w:lang w:val="en-GB"/>
        </w:rPr>
      </w:pPr>
    </w:p>
    <w:p w14:paraId="680711EE" w14:textId="7D9406C2" w:rsidR="002E23C7" w:rsidRDefault="002E23C7" w:rsidP="003C1B23">
      <w:pPr>
        <w:keepNext/>
        <w:jc w:val="both"/>
        <w:rPr>
          <w:rFonts w:ascii="Times New Roman" w:hAnsi="Times New Roman"/>
          <w:b/>
          <w:lang w:val="en-GB"/>
        </w:rPr>
      </w:pPr>
    </w:p>
    <w:p w14:paraId="5886CA00" w14:textId="77777777" w:rsidR="002E23C7" w:rsidRDefault="002E23C7" w:rsidP="002E23C7"/>
    <w:p w14:paraId="4463CE2C" w14:textId="77777777" w:rsidR="002E23C7" w:rsidRDefault="002E23C7" w:rsidP="002E23C7"/>
    <w:p w14:paraId="02F64C41" w14:textId="77777777" w:rsidR="002E23C7" w:rsidRDefault="002E23C7" w:rsidP="002E23C7"/>
    <w:p w14:paraId="1FA0DF6A" w14:textId="77777777" w:rsidR="002E23C7" w:rsidRDefault="002E23C7" w:rsidP="002E23C7"/>
    <w:p w14:paraId="5607C2D4" w14:textId="77777777" w:rsidR="002E23C7" w:rsidRDefault="002E23C7" w:rsidP="002E23C7"/>
    <w:p w14:paraId="231F72A9" w14:textId="77777777" w:rsidR="002E23C7" w:rsidRDefault="002E23C7" w:rsidP="002E23C7"/>
    <w:p w14:paraId="224B7DA0" w14:textId="77777777" w:rsidR="002E23C7" w:rsidRDefault="002E23C7" w:rsidP="002E23C7"/>
    <w:p w14:paraId="44B3963F" w14:textId="77777777" w:rsidR="002E23C7" w:rsidRDefault="002E23C7" w:rsidP="002E23C7"/>
    <w:p w14:paraId="16B5665A" w14:textId="77777777" w:rsidR="002E23C7" w:rsidRDefault="002E23C7" w:rsidP="002E23C7"/>
    <w:p w14:paraId="2348FABC" w14:textId="77777777" w:rsidR="002E23C7" w:rsidRDefault="002E23C7" w:rsidP="002E23C7"/>
    <w:p w14:paraId="39C25622" w14:textId="77777777" w:rsidR="002E23C7" w:rsidRDefault="002E23C7" w:rsidP="002E23C7"/>
    <w:p w14:paraId="0420AC7F" w14:textId="77777777" w:rsidR="002E23C7" w:rsidRDefault="002E23C7" w:rsidP="002E23C7"/>
    <w:p w14:paraId="2841A37C" w14:textId="77777777" w:rsidR="002E23C7" w:rsidRDefault="002E23C7" w:rsidP="002E23C7"/>
    <w:p w14:paraId="789914D8" w14:textId="77777777" w:rsidR="002E23C7" w:rsidRDefault="002E23C7" w:rsidP="002E23C7"/>
    <w:p w14:paraId="66BBBEAF" w14:textId="77777777" w:rsidR="002E23C7" w:rsidRDefault="002E23C7" w:rsidP="002E23C7"/>
    <w:p w14:paraId="5E3A2F03" w14:textId="77777777" w:rsidR="002E23C7" w:rsidRDefault="002E23C7" w:rsidP="002E23C7"/>
    <w:p w14:paraId="3A0BC08D" w14:textId="77777777" w:rsidR="002E23C7" w:rsidRDefault="002E23C7" w:rsidP="002E23C7"/>
    <w:p w14:paraId="770A2BC1" w14:textId="77777777" w:rsidR="002E23C7" w:rsidRDefault="002E23C7" w:rsidP="002E23C7"/>
    <w:p w14:paraId="752C7D74" w14:textId="77777777" w:rsidR="002E23C7" w:rsidRDefault="002E23C7" w:rsidP="002E23C7"/>
    <w:p w14:paraId="62E0E187" w14:textId="77777777" w:rsidR="002E23C7" w:rsidRDefault="002E23C7" w:rsidP="002E23C7"/>
    <w:p w14:paraId="3A0D8F7E" w14:textId="77777777" w:rsidR="002E23C7" w:rsidRDefault="002E23C7" w:rsidP="002E23C7"/>
    <w:p w14:paraId="42AF9FB8" w14:textId="77777777" w:rsidR="002E23C7" w:rsidRDefault="002E23C7" w:rsidP="002E23C7"/>
    <w:p w14:paraId="6D0C96B9" w14:textId="77777777" w:rsidR="002E23C7" w:rsidRDefault="002E23C7" w:rsidP="002E23C7"/>
    <w:p w14:paraId="7C2DF044" w14:textId="77777777" w:rsidR="002E23C7" w:rsidRDefault="002E23C7" w:rsidP="002E23C7"/>
    <w:p w14:paraId="0AB228D1" w14:textId="77777777" w:rsidR="002E23C7" w:rsidRDefault="002E23C7" w:rsidP="002E23C7"/>
    <w:p w14:paraId="6BB226A4" w14:textId="77777777" w:rsidR="002E23C7" w:rsidRDefault="002E23C7" w:rsidP="002E23C7"/>
    <w:p w14:paraId="34657AB9" w14:textId="77777777" w:rsidR="002E23C7" w:rsidRDefault="002E23C7" w:rsidP="002E23C7"/>
    <w:p w14:paraId="2F59630B" w14:textId="04DD2F1F" w:rsidR="002E23C7" w:rsidRDefault="002E23C7" w:rsidP="002E23C7">
      <w:r>
        <w:t>DATE OF HEARING:</w:t>
      </w:r>
      <w:r>
        <w:tab/>
      </w:r>
      <w:r>
        <w:tab/>
        <w:t>20 APRIL 2023</w:t>
      </w:r>
    </w:p>
    <w:p w14:paraId="133977BD" w14:textId="77777777" w:rsidR="002E23C7" w:rsidRDefault="002E23C7" w:rsidP="002E23C7"/>
    <w:p w14:paraId="1EB33FDD" w14:textId="77777777" w:rsidR="002E23C7" w:rsidRDefault="002E23C7" w:rsidP="002E23C7">
      <w:r>
        <w:t>DATE OF JUDGEMNT:</w:t>
      </w:r>
      <w:r>
        <w:tab/>
      </w:r>
      <w:r>
        <w:tab/>
        <w:t>26 APRIL 2023</w:t>
      </w:r>
    </w:p>
    <w:p w14:paraId="5DA5CF95" w14:textId="77777777" w:rsidR="002E23C7" w:rsidRDefault="002E23C7" w:rsidP="002E23C7"/>
    <w:p w14:paraId="3D198037" w14:textId="77777777" w:rsidR="002E23C7" w:rsidRDefault="002E23C7" w:rsidP="002E23C7"/>
    <w:p w14:paraId="165885D7" w14:textId="6E3CB6C0" w:rsidR="002E23C7" w:rsidRDefault="002E23C7" w:rsidP="002E23C7">
      <w:r>
        <w:t xml:space="preserve">COUNSEL FOR APPLICANT:  </w:t>
      </w:r>
      <w:r>
        <w:tab/>
        <w:t>ADV W</w:t>
      </w:r>
      <w:r w:rsidR="00750DAD">
        <w:t>J</w:t>
      </w:r>
      <w:r>
        <w:t xml:space="preserve"> VAN DER MERWE </w:t>
      </w:r>
    </w:p>
    <w:p w14:paraId="5D1343FF" w14:textId="77777777" w:rsidR="002E23C7" w:rsidRDefault="002E23C7" w:rsidP="002E23C7">
      <w:r>
        <w:lastRenderedPageBreak/>
        <w:tab/>
      </w:r>
      <w:r>
        <w:tab/>
      </w:r>
    </w:p>
    <w:p w14:paraId="472484FF" w14:textId="1A351881" w:rsidR="002E23C7" w:rsidRDefault="002E23C7" w:rsidP="002E23C7">
      <w:r>
        <w:t>INSTRUCTED BY:</w:t>
      </w:r>
      <w:r>
        <w:tab/>
      </w:r>
      <w:r>
        <w:tab/>
      </w:r>
      <w:r>
        <w:tab/>
        <w:t>JOHN SMIT</w:t>
      </w:r>
      <w:r w:rsidR="00750DAD">
        <w:t>H</w:t>
      </w:r>
      <w:r>
        <w:t xml:space="preserve"> ATTORNEYS</w:t>
      </w:r>
    </w:p>
    <w:p w14:paraId="5F0F1209" w14:textId="77777777" w:rsidR="002E23C7" w:rsidRDefault="002E23C7" w:rsidP="002E23C7">
      <w:r>
        <w:tab/>
      </w:r>
      <w:r>
        <w:tab/>
      </w:r>
      <w:r>
        <w:tab/>
      </w:r>
      <w:r>
        <w:tab/>
      </w:r>
      <w:r>
        <w:tab/>
      </w:r>
    </w:p>
    <w:p w14:paraId="6033D695" w14:textId="6109B5D4" w:rsidR="002E23C7" w:rsidRDefault="002E23C7" w:rsidP="002E23C7">
      <w:r>
        <w:tab/>
      </w:r>
      <w:r>
        <w:tab/>
      </w:r>
      <w:r>
        <w:tab/>
      </w:r>
      <w:r>
        <w:tab/>
      </w:r>
      <w:r>
        <w:tab/>
        <w:t>PER: JOHN SMITH</w:t>
      </w:r>
      <w:r>
        <w:tab/>
      </w:r>
    </w:p>
    <w:p w14:paraId="3FBC00E0" w14:textId="77777777" w:rsidR="002E23C7" w:rsidRDefault="002E23C7" w:rsidP="002E23C7"/>
    <w:p w14:paraId="2A7A56AF" w14:textId="77777777" w:rsidR="002E23C7" w:rsidRDefault="002E23C7" w:rsidP="002E23C7"/>
    <w:p w14:paraId="325C5217" w14:textId="5FF7E812" w:rsidR="002E23C7" w:rsidRDefault="002E23C7" w:rsidP="002E23C7">
      <w:r>
        <w:rPr>
          <w:sz w:val="22"/>
          <w:szCs w:val="22"/>
        </w:rPr>
        <w:t>COUNSEL FOR 1</w:t>
      </w:r>
      <w:r>
        <w:rPr>
          <w:sz w:val="22"/>
          <w:szCs w:val="22"/>
          <w:vertAlign w:val="superscript"/>
        </w:rPr>
        <w:t>ST</w:t>
      </w:r>
      <w:r>
        <w:rPr>
          <w:sz w:val="22"/>
          <w:szCs w:val="22"/>
        </w:rPr>
        <w:t xml:space="preserve"> – 3</w:t>
      </w:r>
      <w:r>
        <w:rPr>
          <w:sz w:val="22"/>
          <w:szCs w:val="22"/>
          <w:vertAlign w:val="superscript"/>
        </w:rPr>
        <w:t>RD</w:t>
      </w:r>
      <w:r>
        <w:rPr>
          <w:sz w:val="22"/>
          <w:szCs w:val="22"/>
        </w:rPr>
        <w:t xml:space="preserve"> RESPONDENTS</w:t>
      </w:r>
      <w:r>
        <w:t>:  ADV M VAN DE</w:t>
      </w:r>
      <w:r w:rsidR="00750DAD">
        <w:t>R</w:t>
      </w:r>
      <w:r>
        <w:t xml:space="preserve"> BERG</w:t>
      </w:r>
    </w:p>
    <w:p w14:paraId="1AC60005" w14:textId="77777777" w:rsidR="002E23C7" w:rsidRDefault="002E23C7" w:rsidP="002E23C7"/>
    <w:p w14:paraId="38FB741E" w14:textId="77777777" w:rsidR="002E23C7" w:rsidRDefault="002E23C7" w:rsidP="002E23C7">
      <w:r>
        <w:t>INSTRUCTED BY:</w:t>
      </w:r>
      <w:r>
        <w:tab/>
      </w:r>
      <w:r>
        <w:tab/>
      </w:r>
      <w:r>
        <w:tab/>
        <w:t>ASHERTONS ATTORNEYS</w:t>
      </w:r>
    </w:p>
    <w:p w14:paraId="21A2747F" w14:textId="77777777" w:rsidR="002E23C7" w:rsidRDefault="002E23C7" w:rsidP="002E23C7">
      <w:r>
        <w:tab/>
      </w:r>
      <w:r>
        <w:tab/>
      </w:r>
      <w:r>
        <w:tab/>
      </w:r>
      <w:r>
        <w:tab/>
      </w:r>
      <w:r>
        <w:tab/>
      </w:r>
    </w:p>
    <w:p w14:paraId="705BFE8E" w14:textId="77777777" w:rsidR="002E23C7" w:rsidRDefault="002E23C7" w:rsidP="002E23C7">
      <w:r>
        <w:tab/>
      </w:r>
      <w:r>
        <w:tab/>
      </w:r>
      <w:r>
        <w:tab/>
      </w:r>
      <w:r>
        <w:tab/>
      </w:r>
      <w:r>
        <w:tab/>
        <w:t>PER: ANDREW GOLDSCHMIDT</w:t>
      </w:r>
      <w:r>
        <w:tab/>
      </w:r>
      <w:r>
        <w:tab/>
      </w:r>
    </w:p>
    <w:p w14:paraId="1441864C" w14:textId="77777777" w:rsidR="002E23C7" w:rsidRDefault="002E23C7" w:rsidP="002E23C7"/>
    <w:p w14:paraId="30C9DD10" w14:textId="77777777" w:rsidR="002E23C7" w:rsidRDefault="002E23C7" w:rsidP="002E23C7"/>
    <w:p w14:paraId="32D42C13" w14:textId="29C5BED2" w:rsidR="002E23C7" w:rsidRDefault="002E23C7" w:rsidP="003C1B23">
      <w:pPr>
        <w:keepNext/>
        <w:jc w:val="both"/>
        <w:rPr>
          <w:rFonts w:ascii="Times New Roman" w:hAnsi="Times New Roman"/>
          <w:b/>
          <w:lang w:val="en-GB"/>
        </w:rPr>
      </w:pPr>
    </w:p>
    <w:p w14:paraId="22364EC4" w14:textId="5FE31C40" w:rsidR="002E23C7" w:rsidRDefault="002E23C7" w:rsidP="003C1B23">
      <w:pPr>
        <w:keepNext/>
        <w:jc w:val="both"/>
        <w:rPr>
          <w:rFonts w:ascii="Times New Roman" w:hAnsi="Times New Roman"/>
          <w:b/>
          <w:lang w:val="en-GB"/>
        </w:rPr>
      </w:pPr>
    </w:p>
    <w:p w14:paraId="26BFA02A" w14:textId="291FFE77" w:rsidR="002E23C7" w:rsidRDefault="002E23C7" w:rsidP="003C1B23">
      <w:pPr>
        <w:keepNext/>
        <w:jc w:val="both"/>
        <w:rPr>
          <w:rFonts w:ascii="Times New Roman" w:hAnsi="Times New Roman"/>
          <w:b/>
          <w:lang w:val="en-GB"/>
        </w:rPr>
      </w:pPr>
    </w:p>
    <w:p w14:paraId="4B71D5D3" w14:textId="1B7E12AF" w:rsidR="002E23C7" w:rsidRDefault="002E23C7" w:rsidP="003C1B23">
      <w:pPr>
        <w:keepNext/>
        <w:jc w:val="both"/>
        <w:rPr>
          <w:rFonts w:ascii="Times New Roman" w:hAnsi="Times New Roman"/>
          <w:b/>
          <w:lang w:val="en-GB"/>
        </w:rPr>
      </w:pPr>
    </w:p>
    <w:p w14:paraId="4E9F9698" w14:textId="0A6CBFA8" w:rsidR="002E23C7" w:rsidRDefault="002E23C7" w:rsidP="003C1B23">
      <w:pPr>
        <w:keepNext/>
        <w:jc w:val="both"/>
        <w:rPr>
          <w:rFonts w:ascii="Times New Roman" w:hAnsi="Times New Roman"/>
          <w:b/>
          <w:lang w:val="en-GB"/>
        </w:rPr>
      </w:pPr>
    </w:p>
    <w:p w14:paraId="0901398C" w14:textId="605C8492" w:rsidR="002E23C7" w:rsidRDefault="002E23C7" w:rsidP="003C1B23">
      <w:pPr>
        <w:keepNext/>
        <w:jc w:val="both"/>
        <w:rPr>
          <w:rFonts w:ascii="Times New Roman" w:hAnsi="Times New Roman"/>
          <w:b/>
          <w:lang w:val="en-GB"/>
        </w:rPr>
      </w:pPr>
    </w:p>
    <w:p w14:paraId="5856C668" w14:textId="196527EE" w:rsidR="002E23C7" w:rsidRDefault="002E23C7" w:rsidP="003C1B23">
      <w:pPr>
        <w:keepNext/>
        <w:jc w:val="both"/>
        <w:rPr>
          <w:rFonts w:ascii="Times New Roman" w:hAnsi="Times New Roman"/>
          <w:b/>
          <w:lang w:val="en-GB"/>
        </w:rPr>
      </w:pPr>
    </w:p>
    <w:p w14:paraId="58B99CB7" w14:textId="6E44FA7D" w:rsidR="002E23C7" w:rsidRDefault="002E23C7" w:rsidP="003C1B23">
      <w:pPr>
        <w:keepNext/>
        <w:jc w:val="both"/>
        <w:rPr>
          <w:rFonts w:ascii="Times New Roman" w:hAnsi="Times New Roman"/>
          <w:b/>
          <w:lang w:val="en-GB"/>
        </w:rPr>
      </w:pPr>
    </w:p>
    <w:p w14:paraId="674A9075" w14:textId="20E5212B" w:rsidR="002E23C7" w:rsidRDefault="002E23C7" w:rsidP="003C1B23">
      <w:pPr>
        <w:keepNext/>
        <w:jc w:val="both"/>
        <w:rPr>
          <w:rFonts w:ascii="Times New Roman" w:hAnsi="Times New Roman"/>
          <w:b/>
          <w:lang w:val="en-GB"/>
        </w:rPr>
      </w:pPr>
    </w:p>
    <w:p w14:paraId="1136355B" w14:textId="422DECFA" w:rsidR="002E23C7" w:rsidRDefault="002E23C7" w:rsidP="003C1B23">
      <w:pPr>
        <w:keepNext/>
        <w:jc w:val="both"/>
        <w:rPr>
          <w:rFonts w:ascii="Times New Roman" w:hAnsi="Times New Roman"/>
          <w:b/>
          <w:lang w:val="en-GB"/>
        </w:rPr>
      </w:pPr>
    </w:p>
    <w:p w14:paraId="76E8FE45" w14:textId="562D3BD4" w:rsidR="002E23C7" w:rsidRDefault="002E23C7" w:rsidP="003C1B23">
      <w:pPr>
        <w:keepNext/>
        <w:jc w:val="both"/>
        <w:rPr>
          <w:rFonts w:ascii="Times New Roman" w:hAnsi="Times New Roman"/>
          <w:b/>
          <w:lang w:val="en-GB"/>
        </w:rPr>
      </w:pPr>
    </w:p>
    <w:p w14:paraId="205D25D5" w14:textId="2F5C3EE3" w:rsidR="002E23C7" w:rsidRDefault="002E23C7" w:rsidP="003C1B23">
      <w:pPr>
        <w:keepNext/>
        <w:jc w:val="both"/>
        <w:rPr>
          <w:rFonts w:ascii="Times New Roman" w:hAnsi="Times New Roman"/>
          <w:b/>
          <w:lang w:val="en-GB"/>
        </w:rPr>
      </w:pPr>
    </w:p>
    <w:p w14:paraId="00E56402" w14:textId="45702AA5" w:rsidR="002E23C7" w:rsidRDefault="002E23C7" w:rsidP="003C1B23">
      <w:pPr>
        <w:keepNext/>
        <w:jc w:val="both"/>
        <w:rPr>
          <w:rFonts w:ascii="Times New Roman" w:hAnsi="Times New Roman"/>
          <w:b/>
          <w:lang w:val="en-GB"/>
        </w:rPr>
      </w:pPr>
    </w:p>
    <w:p w14:paraId="7B20C2AC" w14:textId="73206A38" w:rsidR="002E23C7" w:rsidRDefault="002E23C7" w:rsidP="003C1B23">
      <w:pPr>
        <w:keepNext/>
        <w:jc w:val="both"/>
        <w:rPr>
          <w:rFonts w:ascii="Times New Roman" w:hAnsi="Times New Roman"/>
          <w:b/>
          <w:lang w:val="en-GB"/>
        </w:rPr>
      </w:pPr>
    </w:p>
    <w:p w14:paraId="3D97D8C2" w14:textId="2C93F533" w:rsidR="002E23C7" w:rsidRDefault="002E23C7" w:rsidP="003C1B23">
      <w:pPr>
        <w:keepNext/>
        <w:jc w:val="both"/>
        <w:rPr>
          <w:rFonts w:ascii="Times New Roman" w:hAnsi="Times New Roman"/>
          <w:b/>
          <w:lang w:val="en-GB"/>
        </w:rPr>
      </w:pPr>
    </w:p>
    <w:p w14:paraId="4332727B" w14:textId="758D2F4E" w:rsidR="002E23C7" w:rsidRDefault="002E23C7" w:rsidP="003C1B23">
      <w:pPr>
        <w:keepNext/>
        <w:jc w:val="both"/>
        <w:rPr>
          <w:rFonts w:ascii="Times New Roman" w:hAnsi="Times New Roman"/>
          <w:b/>
          <w:lang w:val="en-GB"/>
        </w:rPr>
      </w:pPr>
    </w:p>
    <w:p w14:paraId="445CAC03" w14:textId="71D51A82" w:rsidR="002E23C7" w:rsidRDefault="002E23C7" w:rsidP="003C1B23">
      <w:pPr>
        <w:keepNext/>
        <w:jc w:val="both"/>
        <w:rPr>
          <w:rFonts w:ascii="Times New Roman" w:hAnsi="Times New Roman"/>
          <w:b/>
          <w:lang w:val="en-GB"/>
        </w:rPr>
      </w:pPr>
    </w:p>
    <w:p w14:paraId="1766D322" w14:textId="2890CFAE" w:rsidR="002E23C7" w:rsidRDefault="002E23C7" w:rsidP="003C1B23">
      <w:pPr>
        <w:keepNext/>
        <w:jc w:val="both"/>
        <w:rPr>
          <w:rFonts w:ascii="Times New Roman" w:hAnsi="Times New Roman"/>
          <w:b/>
          <w:lang w:val="en-GB"/>
        </w:rPr>
      </w:pPr>
    </w:p>
    <w:p w14:paraId="567C21C6" w14:textId="2CD80FC3" w:rsidR="002E23C7" w:rsidRDefault="002E23C7" w:rsidP="003C1B23">
      <w:pPr>
        <w:keepNext/>
        <w:jc w:val="both"/>
        <w:rPr>
          <w:rFonts w:ascii="Times New Roman" w:hAnsi="Times New Roman"/>
          <w:b/>
          <w:lang w:val="en-GB"/>
        </w:rPr>
      </w:pPr>
    </w:p>
    <w:p w14:paraId="77E166F5" w14:textId="0DD31745" w:rsidR="002E23C7" w:rsidRDefault="002E23C7" w:rsidP="003C1B23">
      <w:pPr>
        <w:keepNext/>
        <w:jc w:val="both"/>
        <w:rPr>
          <w:rFonts w:ascii="Times New Roman" w:hAnsi="Times New Roman"/>
          <w:b/>
          <w:lang w:val="en-GB"/>
        </w:rPr>
      </w:pPr>
    </w:p>
    <w:p w14:paraId="76306AA2" w14:textId="63F870BB" w:rsidR="002E23C7" w:rsidRDefault="002E23C7" w:rsidP="003C1B23">
      <w:pPr>
        <w:keepNext/>
        <w:jc w:val="both"/>
        <w:rPr>
          <w:rFonts w:ascii="Times New Roman" w:hAnsi="Times New Roman"/>
          <w:b/>
          <w:lang w:val="en-GB"/>
        </w:rPr>
      </w:pPr>
    </w:p>
    <w:p w14:paraId="4D099C0F" w14:textId="14E253F8" w:rsidR="002E23C7" w:rsidRDefault="002E23C7" w:rsidP="003C1B23">
      <w:pPr>
        <w:keepNext/>
        <w:jc w:val="both"/>
        <w:rPr>
          <w:rFonts w:ascii="Times New Roman" w:hAnsi="Times New Roman"/>
          <w:b/>
          <w:lang w:val="en-GB"/>
        </w:rPr>
      </w:pPr>
    </w:p>
    <w:p w14:paraId="49BC0BEA" w14:textId="18290501" w:rsidR="002E23C7" w:rsidRDefault="002E23C7" w:rsidP="003C1B23">
      <w:pPr>
        <w:keepNext/>
        <w:jc w:val="both"/>
        <w:rPr>
          <w:rFonts w:ascii="Times New Roman" w:hAnsi="Times New Roman"/>
          <w:b/>
          <w:lang w:val="en-GB"/>
        </w:rPr>
      </w:pPr>
    </w:p>
    <w:p w14:paraId="78B1A9A3" w14:textId="48A373F3" w:rsidR="002E23C7" w:rsidRDefault="002E23C7" w:rsidP="003C1B23">
      <w:pPr>
        <w:keepNext/>
        <w:jc w:val="both"/>
        <w:rPr>
          <w:rFonts w:ascii="Times New Roman" w:hAnsi="Times New Roman"/>
          <w:b/>
          <w:lang w:val="en-GB"/>
        </w:rPr>
      </w:pPr>
    </w:p>
    <w:p w14:paraId="41A41382" w14:textId="73858D4C" w:rsidR="002E23C7" w:rsidRDefault="002E23C7" w:rsidP="003C1B23">
      <w:pPr>
        <w:keepNext/>
        <w:jc w:val="both"/>
        <w:rPr>
          <w:rFonts w:ascii="Times New Roman" w:hAnsi="Times New Roman"/>
          <w:b/>
          <w:lang w:val="en-GB"/>
        </w:rPr>
      </w:pPr>
    </w:p>
    <w:p w14:paraId="658A8F79" w14:textId="3EBE3397" w:rsidR="002E23C7" w:rsidRDefault="002E23C7" w:rsidP="003C1B23">
      <w:pPr>
        <w:keepNext/>
        <w:jc w:val="both"/>
        <w:rPr>
          <w:rFonts w:ascii="Times New Roman" w:hAnsi="Times New Roman"/>
          <w:b/>
          <w:lang w:val="en-GB"/>
        </w:rPr>
      </w:pPr>
    </w:p>
    <w:p w14:paraId="21CDFFF9" w14:textId="26AB0FBB" w:rsidR="002E23C7" w:rsidRDefault="002E23C7" w:rsidP="003C1B23">
      <w:pPr>
        <w:keepNext/>
        <w:jc w:val="both"/>
        <w:rPr>
          <w:rFonts w:ascii="Times New Roman" w:hAnsi="Times New Roman"/>
          <w:b/>
          <w:lang w:val="en-GB"/>
        </w:rPr>
      </w:pPr>
    </w:p>
    <w:p w14:paraId="0B872F7C" w14:textId="6202BD5F" w:rsidR="002E23C7" w:rsidRDefault="002E23C7" w:rsidP="003C1B23">
      <w:pPr>
        <w:keepNext/>
        <w:jc w:val="both"/>
        <w:rPr>
          <w:rFonts w:ascii="Times New Roman" w:hAnsi="Times New Roman"/>
          <w:b/>
          <w:lang w:val="en-GB"/>
        </w:rPr>
      </w:pPr>
    </w:p>
    <w:p w14:paraId="1E27DBAD" w14:textId="77777777" w:rsidR="002E23C7" w:rsidRPr="00724560" w:rsidRDefault="002E23C7" w:rsidP="003C1B23">
      <w:pPr>
        <w:keepNext/>
        <w:jc w:val="both"/>
        <w:rPr>
          <w:rFonts w:ascii="Times New Roman" w:hAnsi="Times New Roman"/>
          <w:b/>
          <w:lang w:val="en-GB"/>
        </w:rPr>
      </w:pPr>
    </w:p>
    <w:sectPr w:rsidR="002E23C7" w:rsidRPr="00724560" w:rsidSect="002F7FC3">
      <w:headerReference w:type="even" r:id="rId10"/>
      <w:headerReference w:type="default" r:id="rId11"/>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3A73" w14:textId="77777777" w:rsidR="004A0518" w:rsidRDefault="004A0518">
      <w:r>
        <w:separator/>
      </w:r>
    </w:p>
  </w:endnote>
  <w:endnote w:type="continuationSeparator" w:id="0">
    <w:p w14:paraId="6386560A" w14:textId="77777777" w:rsidR="004A0518" w:rsidRDefault="004A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95EAC" w14:textId="77777777" w:rsidR="004A0518" w:rsidRDefault="004A0518">
      <w:r>
        <w:separator/>
      </w:r>
    </w:p>
  </w:footnote>
  <w:footnote w:type="continuationSeparator" w:id="0">
    <w:p w14:paraId="124D540A" w14:textId="77777777" w:rsidR="004A0518" w:rsidRDefault="004A0518">
      <w:r>
        <w:continuationSeparator/>
      </w:r>
    </w:p>
  </w:footnote>
  <w:footnote w:id="1">
    <w:p w14:paraId="6A05131B" w14:textId="2D88D5F8" w:rsidR="002F6D5C" w:rsidRPr="002F6D5C" w:rsidRDefault="002F6D5C">
      <w:pPr>
        <w:pStyle w:val="FootnoteText"/>
        <w:rPr>
          <w:lang w:val="en-US"/>
        </w:rPr>
      </w:pPr>
      <w:r>
        <w:rPr>
          <w:rStyle w:val="FootnoteReference"/>
        </w:rPr>
        <w:footnoteRef/>
      </w:r>
      <w:r>
        <w:t xml:space="preserve"> </w:t>
      </w:r>
      <w:r>
        <w:rPr>
          <w:lang w:val="en-US"/>
        </w:rPr>
        <w:t>1990 (4) SA 88 (W)</w:t>
      </w:r>
      <w:r w:rsidR="00022701">
        <w:rPr>
          <w:lang w:val="en-US"/>
        </w:rPr>
        <w:t xml:space="preserve"> at </w:t>
      </w:r>
      <w:r w:rsidR="00034EF0">
        <w:rPr>
          <w:lang w:val="en-US"/>
        </w:rPr>
        <w:t>90 D/E – E/F</w:t>
      </w:r>
      <w:r w:rsidR="00E12E1D">
        <w:rPr>
          <w:lang w:val="en-US"/>
        </w:rPr>
        <w:t xml:space="preserve"> and </w:t>
      </w:r>
      <w:r w:rsidR="00FC7BD2">
        <w:rPr>
          <w:lang w:val="en-US"/>
        </w:rPr>
        <w:t>91A/B.</w:t>
      </w:r>
    </w:p>
  </w:footnote>
  <w:footnote w:id="2">
    <w:p w14:paraId="47632DCE" w14:textId="3A466895" w:rsidR="00FB329D" w:rsidRPr="00FB329D" w:rsidRDefault="00FB329D">
      <w:pPr>
        <w:pStyle w:val="FootnoteText"/>
        <w:rPr>
          <w:lang w:val="en-US"/>
        </w:rPr>
      </w:pPr>
      <w:r>
        <w:rPr>
          <w:rStyle w:val="FootnoteReference"/>
        </w:rPr>
        <w:footnoteRef/>
      </w:r>
      <w:r>
        <w:t xml:space="preserve"> </w:t>
      </w:r>
      <w:r w:rsidR="00CF4B16">
        <w:rPr>
          <w:lang w:val="en-US"/>
        </w:rPr>
        <w:t>At 91</w:t>
      </w:r>
      <w:r w:rsidR="00CA34AA">
        <w:rPr>
          <w:lang w:val="en-US"/>
        </w:rPr>
        <w:t>B – D.</w:t>
      </w:r>
    </w:p>
  </w:footnote>
  <w:footnote w:id="3">
    <w:p w14:paraId="2C4CBCDC" w14:textId="64A3D51E" w:rsidR="00022701" w:rsidRPr="00022701" w:rsidRDefault="00022701">
      <w:pPr>
        <w:pStyle w:val="FootnoteText"/>
        <w:rPr>
          <w:lang w:val="en-US"/>
        </w:rPr>
      </w:pPr>
      <w:r>
        <w:rPr>
          <w:rStyle w:val="FootnoteReference"/>
        </w:rPr>
        <w:footnoteRef/>
      </w:r>
      <w:r>
        <w:t xml:space="preserve"> 1998 (2) SA 582 (W)</w:t>
      </w:r>
      <w:r w:rsidR="00235267">
        <w:t xml:space="preserve"> at 586G – H.</w:t>
      </w:r>
    </w:p>
  </w:footnote>
  <w:footnote w:id="4">
    <w:p w14:paraId="7193F8A7" w14:textId="7414B427" w:rsidR="00773AC2" w:rsidRPr="00272106" w:rsidRDefault="00773AC2">
      <w:pPr>
        <w:pStyle w:val="FootnoteText"/>
        <w:rPr>
          <w:lang w:val="en-US"/>
        </w:rPr>
      </w:pPr>
      <w:r>
        <w:rPr>
          <w:rStyle w:val="FootnoteReference"/>
        </w:rPr>
        <w:footnoteRef/>
      </w:r>
      <w:r>
        <w:t xml:space="preserve"> </w:t>
      </w:r>
      <w:r w:rsidR="00272106">
        <w:rPr>
          <w:i/>
          <w:iCs/>
        </w:rPr>
        <w:t xml:space="preserve">Supra </w:t>
      </w:r>
      <w:r w:rsidR="00272106">
        <w:t>at 5</w:t>
      </w:r>
      <w:r w:rsidR="009C5725">
        <w:t>84F.</w:t>
      </w:r>
    </w:p>
  </w:footnote>
  <w:footnote w:id="5">
    <w:p w14:paraId="0F5DFB29" w14:textId="52A1DD33" w:rsidR="0063274B" w:rsidRPr="0051339C" w:rsidRDefault="0063274B">
      <w:pPr>
        <w:pStyle w:val="FootnoteText"/>
        <w:rPr>
          <w:lang w:val="en-US"/>
        </w:rPr>
      </w:pPr>
      <w:r>
        <w:rPr>
          <w:rStyle w:val="FootnoteReference"/>
        </w:rPr>
        <w:footnoteRef/>
      </w:r>
      <w:r>
        <w:t xml:space="preserve"> </w:t>
      </w:r>
      <w:r w:rsidR="003F6191" w:rsidRPr="00876D7B">
        <w:rPr>
          <w:i/>
          <w:lang w:val="en-ZA"/>
        </w:rPr>
        <w:t>Cape Tex Eng. Works (Pty) Ltd v S.A.B. Lines Ltd</w:t>
      </w:r>
      <w:r w:rsidR="003F6191" w:rsidRPr="00876D7B">
        <w:rPr>
          <w:lang w:val="en-ZA"/>
        </w:rPr>
        <w:t xml:space="preserve"> 1968 (2) SA 528 (C) at 530</w:t>
      </w:r>
      <w:r w:rsidR="003F6191">
        <w:rPr>
          <w:lang w:val="en-ZA"/>
        </w:rPr>
        <w:t>,</w:t>
      </w:r>
      <w:r w:rsidR="003F6191" w:rsidRPr="00876D7B">
        <w:rPr>
          <w:lang w:val="en-ZA"/>
        </w:rPr>
        <w:t xml:space="preserve"> </w:t>
      </w:r>
      <w:r w:rsidR="009E7006">
        <w:rPr>
          <w:i/>
          <w:iCs/>
          <w:lang w:val="en-US"/>
        </w:rPr>
        <w:t xml:space="preserve">MV Snow Delta Serva Ship Ltd v Discount Tonnage Ltd </w:t>
      </w:r>
      <w:r w:rsidR="009E7006">
        <w:rPr>
          <w:lang w:val="en-US"/>
        </w:rPr>
        <w:t xml:space="preserve">2000 (4) SA 746 (SCA) paragraph 6 at </w:t>
      </w:r>
      <w:r w:rsidR="006E240E">
        <w:rPr>
          <w:lang w:val="en-US"/>
        </w:rPr>
        <w:t>751F – H/I</w:t>
      </w:r>
      <w:r w:rsidR="003F6191" w:rsidRPr="00876D7B">
        <w:rPr>
          <w:lang w:val="en-US"/>
        </w:rPr>
        <w:t>.</w:t>
      </w:r>
      <w:r w:rsidR="00AF6447">
        <w:rPr>
          <w:lang w:val="en-US"/>
        </w:rPr>
        <w:t xml:space="preserve"> In </w:t>
      </w:r>
      <w:r w:rsidR="00A45E68">
        <w:rPr>
          <w:i/>
          <w:iCs/>
          <w:lang w:val="en-US"/>
        </w:rPr>
        <w:t xml:space="preserve">Knox d’Arcy Ltd v Jamieson </w:t>
      </w:r>
      <w:r w:rsidR="00A45E68">
        <w:rPr>
          <w:lang w:val="en-US"/>
        </w:rPr>
        <w:t>1996 (4) SA 348 (A) (“</w:t>
      </w:r>
      <w:r w:rsidR="00A45E68" w:rsidRPr="00355406">
        <w:rPr>
          <w:b/>
          <w:bCs/>
          <w:i/>
          <w:iCs/>
          <w:lang w:val="en-US"/>
        </w:rPr>
        <w:t>Knox D’Arcy AD</w:t>
      </w:r>
      <w:r w:rsidR="00A45E68">
        <w:rPr>
          <w:i/>
          <w:iCs/>
          <w:lang w:val="en-US"/>
        </w:rPr>
        <w:t>”)</w:t>
      </w:r>
      <w:r w:rsidR="00B23F4E">
        <w:rPr>
          <w:i/>
          <w:iCs/>
          <w:lang w:val="en-US"/>
        </w:rPr>
        <w:t xml:space="preserve"> </w:t>
      </w:r>
      <w:r w:rsidR="00447FB2">
        <w:rPr>
          <w:lang w:val="en-US"/>
        </w:rPr>
        <w:t>at 357</w:t>
      </w:r>
      <w:r w:rsidR="001D01CE">
        <w:rPr>
          <w:lang w:val="en-US"/>
        </w:rPr>
        <w:t xml:space="preserve">C/D </w:t>
      </w:r>
      <w:r w:rsidR="00B23F4E">
        <w:rPr>
          <w:lang w:val="en-US"/>
        </w:rPr>
        <w:t>the AD regarded the order</w:t>
      </w:r>
      <w:r w:rsidR="009B59DE">
        <w:rPr>
          <w:lang w:val="en-US"/>
        </w:rPr>
        <w:t xml:space="preserve"> as </w:t>
      </w:r>
      <w:r w:rsidR="00F3498B">
        <w:rPr>
          <w:lang w:val="en-US"/>
        </w:rPr>
        <w:t xml:space="preserve">appealable because its cause of action was different </w:t>
      </w:r>
      <w:r w:rsidR="004437ED">
        <w:rPr>
          <w:lang w:val="en-US"/>
        </w:rPr>
        <w:t xml:space="preserve">to the anticipated </w:t>
      </w:r>
      <w:r w:rsidR="009B59DE">
        <w:rPr>
          <w:lang w:val="en-US"/>
        </w:rPr>
        <w:t xml:space="preserve">action </w:t>
      </w:r>
      <w:r w:rsidR="00447FB2">
        <w:rPr>
          <w:lang w:val="en-US"/>
        </w:rPr>
        <w:t>and the procedure might introduce new parties.</w:t>
      </w:r>
      <w:r w:rsidR="00F3498B">
        <w:rPr>
          <w:lang w:val="en-US"/>
        </w:rPr>
        <w:t xml:space="preserve"> </w:t>
      </w:r>
    </w:p>
  </w:footnote>
  <w:footnote w:id="6">
    <w:p w14:paraId="42657B28" w14:textId="204F3219" w:rsidR="00EE2F48" w:rsidRPr="00EE2F48" w:rsidRDefault="00EE2F48">
      <w:pPr>
        <w:pStyle w:val="FootnoteText"/>
        <w:rPr>
          <w:lang w:val="en-US"/>
        </w:rPr>
      </w:pPr>
      <w:r>
        <w:rPr>
          <w:rStyle w:val="FootnoteReference"/>
        </w:rPr>
        <w:footnoteRef/>
      </w:r>
      <w:r>
        <w:t xml:space="preserve"> </w:t>
      </w:r>
      <w:r w:rsidRPr="00834E7E">
        <w:rPr>
          <w:i/>
          <w:iCs/>
        </w:rPr>
        <w:t>Knox D’Arcy WLD</w:t>
      </w:r>
      <w:r>
        <w:rPr>
          <w:i/>
          <w:iCs/>
        </w:rPr>
        <w:t xml:space="preserve"> </w:t>
      </w:r>
      <w:r>
        <w:t>at 604E – G.</w:t>
      </w:r>
    </w:p>
  </w:footnote>
  <w:footnote w:id="7">
    <w:p w14:paraId="49D94835" w14:textId="54CB8F8F" w:rsidR="00EE2F48" w:rsidRPr="00834E7E" w:rsidRDefault="00EE2F48" w:rsidP="00EE2F48">
      <w:pPr>
        <w:pStyle w:val="FootnoteText"/>
        <w:rPr>
          <w:sz w:val="18"/>
          <w:szCs w:val="18"/>
          <w:lang w:val="en-US"/>
        </w:rPr>
      </w:pPr>
      <w:r w:rsidRPr="004B6919">
        <w:rPr>
          <w:rStyle w:val="FootnoteReference"/>
          <w:sz w:val="18"/>
          <w:szCs w:val="18"/>
        </w:rPr>
        <w:footnoteRef/>
      </w:r>
      <w:r w:rsidRPr="004B6919">
        <w:rPr>
          <w:sz w:val="18"/>
          <w:szCs w:val="18"/>
        </w:rPr>
        <w:t xml:space="preserve"> </w:t>
      </w:r>
      <w:r w:rsidRPr="00C53917">
        <w:rPr>
          <w:i/>
        </w:rPr>
        <w:t>Plascon-Evans Paints Ltd v Van Riebeeck Paints (Pty) Ltd</w:t>
      </w:r>
      <w:r>
        <w:t xml:space="preserve"> </w:t>
      </w:r>
      <w:r w:rsidRPr="00C53917">
        <w:t>1984 (3) SA 623 (A)</w:t>
      </w:r>
      <w:r>
        <w:t>,</w:t>
      </w:r>
      <w:r w:rsidRPr="00C53917">
        <w:t xml:space="preserve"> </w:t>
      </w:r>
      <w:r w:rsidRPr="00C53917">
        <w:rPr>
          <w:i/>
        </w:rPr>
        <w:t xml:space="preserve">Grancy Property Ltd v Manala </w:t>
      </w:r>
      <w:r w:rsidRPr="00C53917">
        <w:t>2015 (3) SA 313 (SCA) paragraphs 33 and 34 at 325E – 326A.</w:t>
      </w:r>
      <w:r>
        <w:t xml:space="preserve"> </w:t>
      </w:r>
    </w:p>
  </w:footnote>
  <w:footnote w:id="8">
    <w:p w14:paraId="418E987A" w14:textId="54F76B2D" w:rsidR="00230F13" w:rsidRPr="00CC2236" w:rsidRDefault="00230F13">
      <w:pPr>
        <w:pStyle w:val="FootnoteText"/>
        <w:rPr>
          <w:i/>
          <w:iCs/>
          <w:lang w:val="en-US"/>
        </w:rPr>
      </w:pPr>
      <w:r>
        <w:rPr>
          <w:rStyle w:val="FootnoteReference"/>
        </w:rPr>
        <w:footnoteRef/>
      </w:r>
      <w:r>
        <w:t xml:space="preserve"> </w:t>
      </w:r>
      <w:r>
        <w:rPr>
          <w:i/>
          <w:iCs/>
          <w:lang w:val="en-US"/>
        </w:rPr>
        <w:t xml:space="preserve">Knox D’Arcy AD </w:t>
      </w:r>
      <w:r>
        <w:rPr>
          <w:lang w:val="en-US"/>
        </w:rPr>
        <w:t>at 373</w:t>
      </w:r>
      <w:r w:rsidR="00CC2236">
        <w:rPr>
          <w:lang w:val="en-US"/>
        </w:rPr>
        <w:t>D</w:t>
      </w:r>
      <w:r w:rsidR="008D77FB">
        <w:rPr>
          <w:lang w:val="en-US"/>
        </w:rPr>
        <w:t>.</w:t>
      </w:r>
    </w:p>
  </w:footnote>
  <w:footnote w:id="9">
    <w:p w14:paraId="352F4CBE" w14:textId="358B6192" w:rsidR="00BA6DAC" w:rsidRPr="00BA6DAC" w:rsidRDefault="009D7009">
      <w:pPr>
        <w:pStyle w:val="FootnoteText"/>
        <w:rPr>
          <w:lang w:val="en-US"/>
        </w:rPr>
      </w:pPr>
      <w:r>
        <w:rPr>
          <w:rStyle w:val="FootnoteReference"/>
        </w:rPr>
        <w:footnoteRef/>
      </w:r>
      <w:r>
        <w:t xml:space="preserve"> </w:t>
      </w:r>
      <w:r w:rsidR="00BA6DAC">
        <w:rPr>
          <w:i/>
          <w:iCs/>
          <w:lang w:val="en-US"/>
        </w:rPr>
        <w:t xml:space="preserve">Knox D’Arcy Ltd v Jamieson </w:t>
      </w:r>
      <w:r w:rsidR="00BA6DAC">
        <w:rPr>
          <w:lang w:val="en-US"/>
        </w:rPr>
        <w:t xml:space="preserve">1994 (3) SA 700 (W), referring to </w:t>
      </w:r>
      <w:r w:rsidR="00F92ED9" w:rsidRPr="00F92ED9">
        <w:rPr>
          <w:i/>
          <w:iCs/>
          <w:lang w:val="en-US"/>
        </w:rPr>
        <w:t>Mareva Compania Naviera SA v International Bulk Carriers SA; The Mareva</w:t>
      </w:r>
      <w:r w:rsidR="00F92ED9" w:rsidRPr="00F92ED9">
        <w:rPr>
          <w:lang w:val="en-US"/>
        </w:rPr>
        <w:t xml:space="preserve"> [1980] 1</w:t>
      </w:r>
      <w:r w:rsidR="00212ADB">
        <w:rPr>
          <w:lang w:val="en-US"/>
        </w:rPr>
        <w:t> </w:t>
      </w:r>
      <w:r w:rsidR="00F92ED9" w:rsidRPr="00F92ED9">
        <w:rPr>
          <w:lang w:val="en-US"/>
        </w:rPr>
        <w:t>All</w:t>
      </w:r>
      <w:r w:rsidR="00212ADB">
        <w:rPr>
          <w:lang w:val="en-US"/>
        </w:rPr>
        <w:t> </w:t>
      </w:r>
      <w:r w:rsidR="00F92ED9" w:rsidRPr="00F92ED9">
        <w:rPr>
          <w:lang w:val="en-US"/>
        </w:rPr>
        <w:t>ER 213 (CA)</w:t>
      </w:r>
      <w:r w:rsidR="009C6452">
        <w:rPr>
          <w:lang w:val="en-US"/>
        </w:rPr>
        <w:t>.</w:t>
      </w:r>
    </w:p>
  </w:footnote>
  <w:footnote w:id="10">
    <w:p w14:paraId="3D752134" w14:textId="2169A789" w:rsidR="000D502A" w:rsidRPr="00EB708D" w:rsidRDefault="000D502A">
      <w:pPr>
        <w:pStyle w:val="FootnoteText"/>
        <w:rPr>
          <w:lang w:val="en-US"/>
        </w:rPr>
      </w:pPr>
      <w:r>
        <w:rPr>
          <w:rStyle w:val="FootnoteReference"/>
        </w:rPr>
        <w:footnoteRef/>
      </w:r>
      <w:r>
        <w:t xml:space="preserve"> </w:t>
      </w:r>
      <w:r w:rsidR="00EB708D">
        <w:rPr>
          <w:i/>
          <w:iCs/>
        </w:rPr>
        <w:t xml:space="preserve">Knox D’Arcy AD </w:t>
      </w:r>
      <w:r w:rsidR="00EB708D">
        <w:t>at 37</w:t>
      </w:r>
      <w:r w:rsidR="007D1134">
        <w:t>1I – 372A.</w:t>
      </w:r>
    </w:p>
  </w:footnote>
  <w:footnote w:id="11">
    <w:p w14:paraId="79FA3461" w14:textId="2E31922C" w:rsidR="00540E21" w:rsidRPr="0025740F" w:rsidRDefault="00540E21">
      <w:pPr>
        <w:pStyle w:val="FootnoteText"/>
        <w:rPr>
          <w:lang w:val="en-US"/>
        </w:rPr>
      </w:pPr>
      <w:r>
        <w:rPr>
          <w:rStyle w:val="FootnoteReference"/>
        </w:rPr>
        <w:footnoteRef/>
      </w:r>
      <w:r>
        <w:t xml:space="preserve"> </w:t>
      </w:r>
      <w:r w:rsidR="0025740F">
        <w:rPr>
          <w:i/>
          <w:iCs/>
          <w:lang w:val="en-US"/>
        </w:rPr>
        <w:t xml:space="preserve">Knox D’Arcy AD </w:t>
      </w:r>
      <w:r w:rsidR="0025740F">
        <w:rPr>
          <w:lang w:val="en-US"/>
        </w:rPr>
        <w:t>at 372C.</w:t>
      </w:r>
    </w:p>
  </w:footnote>
  <w:footnote w:id="12">
    <w:p w14:paraId="181D0F6D" w14:textId="0B3AF9D1" w:rsidR="004F7209" w:rsidRPr="007222DD" w:rsidRDefault="004F7209">
      <w:pPr>
        <w:pStyle w:val="FootnoteText"/>
        <w:rPr>
          <w:lang w:val="en-US"/>
        </w:rPr>
      </w:pPr>
      <w:r>
        <w:rPr>
          <w:rStyle w:val="FootnoteReference"/>
        </w:rPr>
        <w:footnoteRef/>
      </w:r>
      <w:r>
        <w:t xml:space="preserve"> </w:t>
      </w:r>
      <w:r w:rsidR="007222DD">
        <w:rPr>
          <w:i/>
          <w:iCs/>
          <w:lang w:val="en-US"/>
        </w:rPr>
        <w:t xml:space="preserve">Knox D’Arcy AD </w:t>
      </w:r>
      <w:r w:rsidR="007222DD">
        <w:rPr>
          <w:lang w:val="en-US"/>
        </w:rPr>
        <w:t>at 372</w:t>
      </w:r>
      <w:r w:rsidR="007779F6">
        <w:rPr>
          <w:lang w:val="en-US"/>
        </w:rPr>
        <w:t xml:space="preserve">B – C. </w:t>
      </w:r>
    </w:p>
  </w:footnote>
  <w:footnote w:id="13">
    <w:p w14:paraId="0BBCB107" w14:textId="035AD89D" w:rsidR="008D49DA" w:rsidRPr="008D49DA" w:rsidRDefault="008D49DA">
      <w:pPr>
        <w:pStyle w:val="FootnoteText"/>
        <w:rPr>
          <w:lang w:val="en-US"/>
        </w:rPr>
      </w:pPr>
      <w:r>
        <w:rPr>
          <w:rStyle w:val="FootnoteReference"/>
        </w:rPr>
        <w:footnoteRef/>
      </w:r>
      <w:r>
        <w:t xml:space="preserve"> </w:t>
      </w:r>
      <w:r>
        <w:rPr>
          <w:i/>
          <w:iCs/>
          <w:lang w:val="en-US"/>
        </w:rPr>
        <w:t xml:space="preserve">Knox D’Arcy AD </w:t>
      </w:r>
      <w:r>
        <w:rPr>
          <w:lang w:val="en-US"/>
        </w:rPr>
        <w:t>at 372</w:t>
      </w:r>
      <w:r w:rsidR="00442247">
        <w:rPr>
          <w:lang w:val="en-US"/>
        </w:rPr>
        <w:t xml:space="preserve">H – I. </w:t>
      </w:r>
    </w:p>
  </w:footnote>
  <w:footnote w:id="14">
    <w:p w14:paraId="60362608" w14:textId="2B5E15F2" w:rsidR="0091339A" w:rsidRPr="0091339A" w:rsidRDefault="0091339A">
      <w:pPr>
        <w:pStyle w:val="FootnoteText"/>
        <w:rPr>
          <w:lang w:val="en-US"/>
        </w:rPr>
      </w:pPr>
      <w:r>
        <w:rPr>
          <w:rStyle w:val="FootnoteReference"/>
        </w:rPr>
        <w:footnoteRef/>
      </w:r>
      <w:r>
        <w:t xml:space="preserve"> </w:t>
      </w:r>
      <w:r>
        <w:rPr>
          <w:i/>
          <w:iCs/>
          <w:lang w:val="en-US"/>
        </w:rPr>
        <w:t xml:space="preserve">Knox D’Arcy AD </w:t>
      </w:r>
      <w:r>
        <w:rPr>
          <w:lang w:val="en-US"/>
        </w:rPr>
        <w:t>at 372F – G.</w:t>
      </w:r>
    </w:p>
  </w:footnote>
  <w:footnote w:id="15">
    <w:p w14:paraId="4F0DB6C3" w14:textId="4356A5A0" w:rsidR="004D78F7" w:rsidRPr="004D78F7" w:rsidRDefault="004D78F7">
      <w:pPr>
        <w:pStyle w:val="FootnoteText"/>
        <w:rPr>
          <w:lang w:val="en-US"/>
        </w:rPr>
      </w:pPr>
      <w:r>
        <w:rPr>
          <w:rStyle w:val="FootnoteReference"/>
        </w:rPr>
        <w:footnoteRef/>
      </w:r>
      <w:r>
        <w:t xml:space="preserve"> </w:t>
      </w:r>
      <w:r w:rsidR="00D973A9">
        <w:rPr>
          <w:i/>
          <w:iCs/>
          <w:lang w:val="en-US"/>
        </w:rPr>
        <w:t xml:space="preserve">Knox D’Arcy AD </w:t>
      </w:r>
      <w:r w:rsidR="00D973A9">
        <w:rPr>
          <w:lang w:val="en-US"/>
        </w:rPr>
        <w:t xml:space="preserve">at </w:t>
      </w:r>
      <w:r w:rsidR="001773CB">
        <w:rPr>
          <w:lang w:val="en-US"/>
        </w:rPr>
        <w:t xml:space="preserve">371G – I, </w:t>
      </w:r>
      <w:r>
        <w:rPr>
          <w:i/>
          <w:iCs/>
          <w:lang w:val="en-US"/>
        </w:rPr>
        <w:t xml:space="preserve">Fey NO v Van der Westhuizen </w:t>
      </w:r>
      <w:r>
        <w:rPr>
          <w:lang w:val="en-US"/>
        </w:rPr>
        <w:t xml:space="preserve">2005 (2) SA 236 (C) at </w:t>
      </w:r>
      <w:r w:rsidR="007E0878">
        <w:rPr>
          <w:lang w:val="en-US"/>
        </w:rPr>
        <w:t>249</w:t>
      </w:r>
      <w:r w:rsidR="00D973A9">
        <w:rPr>
          <w:lang w:val="en-US"/>
        </w:rPr>
        <w:t>D – E</w:t>
      </w:r>
      <w:r w:rsidR="00EB571D">
        <w:rPr>
          <w:lang w:val="en-US"/>
        </w:rPr>
        <w:t xml:space="preserve">. Nor need the absence of an alternative remedy be shown: </w:t>
      </w:r>
      <w:r w:rsidR="001914EA">
        <w:rPr>
          <w:i/>
          <w:iCs/>
          <w:lang w:val="en-US"/>
        </w:rPr>
        <w:t xml:space="preserve">Fedsure Life Assurance Co Ltd v Worldwide African Investment Holdings (Pty) Ltd </w:t>
      </w:r>
      <w:r w:rsidR="001914EA">
        <w:rPr>
          <w:lang w:val="en-US"/>
        </w:rPr>
        <w:t xml:space="preserve">2003 (3) SA 268 (W) </w:t>
      </w:r>
      <w:r w:rsidR="00AB1B9A">
        <w:rPr>
          <w:lang w:val="en-US"/>
        </w:rPr>
        <w:t>paragraph 28 at 278</w:t>
      </w:r>
      <w:r w:rsidR="000E7E2F">
        <w:rPr>
          <w:lang w:val="en-US"/>
        </w:rPr>
        <w:t>D/E – F.</w:t>
      </w:r>
    </w:p>
  </w:footnote>
  <w:footnote w:id="16">
    <w:p w14:paraId="2409E82B" w14:textId="4F15ED1E" w:rsidR="00073237" w:rsidRPr="00222864" w:rsidRDefault="00073237">
      <w:pPr>
        <w:pStyle w:val="FootnoteText"/>
        <w:rPr>
          <w:lang w:val="en-US"/>
        </w:rPr>
      </w:pPr>
      <w:r>
        <w:rPr>
          <w:rStyle w:val="FootnoteReference"/>
        </w:rPr>
        <w:footnoteRef/>
      </w:r>
      <w:r>
        <w:t xml:space="preserve"> </w:t>
      </w:r>
      <w:r w:rsidR="00222864">
        <w:rPr>
          <w:i/>
          <w:iCs/>
          <w:lang w:val="en-US"/>
        </w:rPr>
        <w:t xml:space="preserve">Fey NO v Van der Westhuizen supra </w:t>
      </w:r>
      <w:r w:rsidR="00222864">
        <w:rPr>
          <w:lang w:val="en-US"/>
        </w:rPr>
        <w:t xml:space="preserve">at 249E – G, referring to </w:t>
      </w:r>
      <w:r w:rsidR="00207F04" w:rsidRPr="00207F04">
        <w:rPr>
          <w:lang w:val="en-US"/>
        </w:rPr>
        <w:t xml:space="preserve">J Cane </w:t>
      </w:r>
      <w:r w:rsidR="00207F04">
        <w:rPr>
          <w:lang w:val="en-US"/>
        </w:rPr>
        <w:t>“</w:t>
      </w:r>
      <w:r w:rsidR="00207F04" w:rsidRPr="00207F04">
        <w:rPr>
          <w:lang w:val="en-US"/>
        </w:rPr>
        <w:t>Prejudgment Mareva-type Interdicts in South African Law</w:t>
      </w:r>
      <w:r w:rsidR="00207F04">
        <w:rPr>
          <w:lang w:val="en-US"/>
        </w:rPr>
        <w:t xml:space="preserve">” </w:t>
      </w:r>
      <w:r w:rsidR="00207F04" w:rsidRPr="00290117">
        <w:rPr>
          <w:lang w:val="en-US"/>
        </w:rPr>
        <w:t>SALJ (1997) vol</w:t>
      </w:r>
      <w:r w:rsidR="00290117">
        <w:rPr>
          <w:lang w:val="en-US"/>
        </w:rPr>
        <w:t>ume</w:t>
      </w:r>
      <w:r w:rsidR="00207F04" w:rsidRPr="00290117">
        <w:rPr>
          <w:lang w:val="en-US"/>
        </w:rPr>
        <w:t xml:space="preserve"> 114</w:t>
      </w:r>
      <w:r w:rsidR="00207F04" w:rsidRPr="00207F04">
        <w:rPr>
          <w:lang w:val="en-US"/>
        </w:rPr>
        <w:t xml:space="preserve"> p</w:t>
      </w:r>
      <w:r w:rsidR="00290117">
        <w:rPr>
          <w:lang w:val="en-US"/>
        </w:rPr>
        <w:t>age</w:t>
      </w:r>
      <w:r w:rsidR="00207F04" w:rsidRPr="00207F04">
        <w:rPr>
          <w:lang w:val="en-US"/>
        </w:rPr>
        <w:t xml:space="preserve"> 77</w:t>
      </w:r>
      <w:r w:rsidR="00207F04">
        <w:rPr>
          <w:lang w:val="en-US"/>
        </w:rPr>
        <w:t>.</w:t>
      </w:r>
    </w:p>
  </w:footnote>
  <w:footnote w:id="17">
    <w:p w14:paraId="0008CB90" w14:textId="3D56605C" w:rsidR="006C3487" w:rsidRPr="005125B6" w:rsidRDefault="006C3487">
      <w:pPr>
        <w:pStyle w:val="FootnoteText"/>
        <w:rPr>
          <w:lang w:val="en-US"/>
        </w:rPr>
      </w:pPr>
      <w:r>
        <w:rPr>
          <w:rStyle w:val="FootnoteReference"/>
        </w:rPr>
        <w:footnoteRef/>
      </w:r>
      <w:r>
        <w:t xml:space="preserve"> </w:t>
      </w:r>
      <w:r>
        <w:rPr>
          <w:i/>
          <w:iCs/>
          <w:lang w:val="en-US"/>
        </w:rPr>
        <w:t xml:space="preserve">Fedsure Life Assurance </w:t>
      </w:r>
      <w:r w:rsidR="005125B6">
        <w:rPr>
          <w:i/>
          <w:iCs/>
          <w:lang w:val="en-US"/>
        </w:rPr>
        <w:t xml:space="preserve">Co Ltd v Worldwide African Investment Holdings (Pty) Ltd </w:t>
      </w:r>
      <w:r w:rsidR="001914EA">
        <w:rPr>
          <w:i/>
          <w:iCs/>
          <w:lang w:val="en-US"/>
        </w:rPr>
        <w:t>supra</w:t>
      </w:r>
      <w:r w:rsidR="00EC3728">
        <w:rPr>
          <w:lang w:val="en-US"/>
        </w:rPr>
        <w:t xml:space="preserve"> paragraph 30 at 278H/I.</w:t>
      </w:r>
    </w:p>
  </w:footnote>
  <w:footnote w:id="18">
    <w:p w14:paraId="537617A1" w14:textId="44E7C41C" w:rsidR="00994EF5" w:rsidRPr="00994EF5" w:rsidRDefault="00994EF5">
      <w:pPr>
        <w:pStyle w:val="FootnoteText"/>
        <w:rPr>
          <w:lang w:val="en-US"/>
        </w:rPr>
      </w:pPr>
      <w:r>
        <w:rPr>
          <w:rStyle w:val="FootnoteReference"/>
        </w:rPr>
        <w:footnoteRef/>
      </w:r>
      <w:r>
        <w:t xml:space="preserve"> </w:t>
      </w:r>
      <w:r>
        <w:rPr>
          <w:i/>
          <w:iCs/>
          <w:lang w:val="en-US"/>
        </w:rPr>
        <w:t xml:space="preserve">Knox D’Arcy AD </w:t>
      </w:r>
      <w:r>
        <w:rPr>
          <w:lang w:val="en-US"/>
        </w:rPr>
        <w:t>at 373D.</w:t>
      </w:r>
    </w:p>
  </w:footnote>
  <w:footnote w:id="19">
    <w:p w14:paraId="49EAFC97" w14:textId="57A8E94B" w:rsidR="00FD32F5" w:rsidRPr="00FD32F5" w:rsidRDefault="00FD32F5">
      <w:pPr>
        <w:pStyle w:val="FootnoteText"/>
        <w:rPr>
          <w:i/>
          <w:iCs/>
          <w:lang w:val="en-US"/>
        </w:rPr>
      </w:pPr>
      <w:r>
        <w:rPr>
          <w:rStyle w:val="FootnoteReference"/>
        </w:rPr>
        <w:footnoteRef/>
      </w:r>
      <w:r>
        <w:t xml:space="preserve"> </w:t>
      </w:r>
      <w:r>
        <w:rPr>
          <w:i/>
          <w:iCs/>
          <w:lang w:val="en-US"/>
        </w:rPr>
        <w:t xml:space="preserve">Knox D’Arcy AD </w:t>
      </w:r>
    </w:p>
  </w:footnote>
  <w:footnote w:id="20">
    <w:p w14:paraId="64478E5E" w14:textId="0C246715" w:rsidR="00156980" w:rsidRPr="00156980" w:rsidRDefault="00156980">
      <w:pPr>
        <w:pStyle w:val="FootnoteText"/>
        <w:rPr>
          <w:lang w:val="en-US"/>
        </w:rPr>
      </w:pPr>
      <w:r>
        <w:rPr>
          <w:rStyle w:val="FootnoteReference"/>
        </w:rPr>
        <w:footnoteRef/>
      </w:r>
      <w:r>
        <w:t xml:space="preserve"> </w:t>
      </w:r>
      <w:r>
        <w:rPr>
          <w:lang w:val="en-US"/>
        </w:rPr>
        <w:t xml:space="preserve">Footnote </w:t>
      </w:r>
      <w:r w:rsidRPr="00BE7CA1">
        <w:rPr>
          <w:lang w:val="en-US"/>
        </w:rPr>
        <w:t>7</w:t>
      </w:r>
      <w:r>
        <w:rPr>
          <w:lang w:val="en-US"/>
        </w:rPr>
        <w:t xml:space="preserve"> above.</w:t>
      </w:r>
    </w:p>
  </w:footnote>
  <w:footnote w:id="21">
    <w:p w14:paraId="587E318B" w14:textId="21F0177F" w:rsidR="002308B7" w:rsidRPr="002308B7" w:rsidRDefault="002308B7">
      <w:pPr>
        <w:pStyle w:val="FootnoteText"/>
        <w:rPr>
          <w:lang w:val="en-US"/>
        </w:rPr>
      </w:pPr>
      <w:r>
        <w:rPr>
          <w:rStyle w:val="FootnoteReference"/>
        </w:rPr>
        <w:footnoteRef/>
      </w:r>
      <w:r>
        <w:t xml:space="preserve"> </w:t>
      </w:r>
      <w:r>
        <w:rPr>
          <w:lang w:val="en-US"/>
        </w:rPr>
        <w:t>2002 (6) SA 96 (O).</w:t>
      </w:r>
    </w:p>
  </w:footnote>
  <w:footnote w:id="22">
    <w:p w14:paraId="44B2E577" w14:textId="306300AD" w:rsidR="00960794" w:rsidRPr="00516828" w:rsidRDefault="00960794">
      <w:pPr>
        <w:pStyle w:val="FootnoteText"/>
        <w:rPr>
          <w:lang w:val="en-US"/>
        </w:rPr>
      </w:pPr>
      <w:r>
        <w:rPr>
          <w:rStyle w:val="FootnoteReference"/>
        </w:rPr>
        <w:footnoteRef/>
      </w:r>
      <w:r>
        <w:t xml:space="preserve"> </w:t>
      </w:r>
      <w:r w:rsidR="00516828">
        <w:rPr>
          <w:i/>
          <w:iCs/>
          <w:lang w:val="en-US"/>
        </w:rPr>
        <w:t xml:space="preserve">Nieuwoudt v Maswabi NO supra </w:t>
      </w:r>
      <w:r w:rsidR="00516828">
        <w:rPr>
          <w:lang w:val="en-US"/>
        </w:rPr>
        <w:t xml:space="preserve">paragraphs 3 and 4 at 99C/D </w:t>
      </w:r>
      <w:r w:rsidR="00906277">
        <w:rPr>
          <w:lang w:val="en-US"/>
        </w:rPr>
        <w:t>–</w:t>
      </w:r>
      <w:r w:rsidR="00516828">
        <w:rPr>
          <w:lang w:val="en-US"/>
        </w:rPr>
        <w:t xml:space="preserve"> </w:t>
      </w:r>
      <w:r w:rsidR="00906277">
        <w:rPr>
          <w:lang w:val="en-US"/>
        </w:rPr>
        <w:t>100E.</w:t>
      </w:r>
    </w:p>
  </w:footnote>
  <w:footnote w:id="23">
    <w:p w14:paraId="77D30286" w14:textId="13324815" w:rsidR="00D11815" w:rsidRPr="003920E2" w:rsidRDefault="00D11815">
      <w:pPr>
        <w:pStyle w:val="FootnoteText"/>
        <w:rPr>
          <w:lang w:val="en-US"/>
        </w:rPr>
      </w:pPr>
      <w:r>
        <w:rPr>
          <w:rStyle w:val="FootnoteReference"/>
        </w:rPr>
        <w:footnoteRef/>
      </w:r>
      <w:r>
        <w:t xml:space="preserve"> </w:t>
      </w:r>
      <w:r w:rsidR="003920E2">
        <w:rPr>
          <w:i/>
          <w:iCs/>
          <w:lang w:val="en-US"/>
        </w:rPr>
        <w:t xml:space="preserve">Nieuwoudt v Maswabi NO supra </w:t>
      </w:r>
      <w:r w:rsidR="003920E2">
        <w:rPr>
          <w:lang w:val="en-US"/>
        </w:rPr>
        <w:t xml:space="preserve">paragraph </w:t>
      </w:r>
      <w:r w:rsidR="00982C43">
        <w:rPr>
          <w:lang w:val="en-US"/>
        </w:rPr>
        <w:t xml:space="preserve">7 at </w:t>
      </w:r>
      <w:r w:rsidR="006961E1">
        <w:rPr>
          <w:lang w:val="en-US"/>
        </w:rPr>
        <w:t xml:space="preserve">103A/B </w:t>
      </w:r>
      <w:r w:rsidR="004A3AC4">
        <w:rPr>
          <w:lang w:val="en-US"/>
        </w:rPr>
        <w:t>–</w:t>
      </w:r>
      <w:r w:rsidR="006961E1">
        <w:rPr>
          <w:lang w:val="en-US"/>
        </w:rPr>
        <w:t xml:space="preserve"> </w:t>
      </w:r>
      <w:r w:rsidR="004A3AC4">
        <w:rPr>
          <w:lang w:val="en-US"/>
        </w:rPr>
        <w:t>C.</w:t>
      </w:r>
    </w:p>
  </w:footnote>
  <w:footnote w:id="24">
    <w:p w14:paraId="68873155" w14:textId="6336F6EC" w:rsidR="001B4996" w:rsidRPr="000C014E" w:rsidRDefault="001B4996">
      <w:pPr>
        <w:pStyle w:val="FootnoteText"/>
        <w:rPr>
          <w:lang w:val="en-US"/>
        </w:rPr>
      </w:pPr>
      <w:r>
        <w:rPr>
          <w:rStyle w:val="FootnoteReference"/>
        </w:rPr>
        <w:footnoteRef/>
      </w:r>
      <w:r>
        <w:t xml:space="preserve"> </w:t>
      </w:r>
      <w:r w:rsidR="000C014E">
        <w:rPr>
          <w:i/>
          <w:iCs/>
          <w:lang w:val="en-US"/>
        </w:rPr>
        <w:t xml:space="preserve">Nieuwoudt v Maswabi NO supra </w:t>
      </w:r>
      <w:r w:rsidR="000C014E">
        <w:rPr>
          <w:lang w:val="en-US"/>
        </w:rPr>
        <w:t xml:space="preserve">paragraph 7 at 102E. </w:t>
      </w:r>
    </w:p>
  </w:footnote>
  <w:footnote w:id="25">
    <w:p w14:paraId="05B29942" w14:textId="2DEDBCA7" w:rsidR="0060223A" w:rsidRPr="0060223A" w:rsidRDefault="0060223A">
      <w:pPr>
        <w:pStyle w:val="FootnoteText"/>
        <w:rPr>
          <w:lang w:val="en-US"/>
        </w:rPr>
      </w:pPr>
      <w:r>
        <w:rPr>
          <w:rStyle w:val="FootnoteReference"/>
        </w:rPr>
        <w:footnoteRef/>
      </w:r>
      <w:r>
        <w:t xml:space="preserve"> </w:t>
      </w:r>
      <w:r w:rsidR="005A4670">
        <w:rPr>
          <w:i/>
          <w:iCs/>
        </w:rPr>
        <w:t xml:space="preserve">Supra </w:t>
      </w:r>
      <w:r w:rsidR="00F73FE6">
        <w:rPr>
          <w:lang w:val="en-US"/>
        </w:rPr>
        <w:t xml:space="preserve">paragraph 45 </w:t>
      </w:r>
      <w:r w:rsidR="007D63FC">
        <w:rPr>
          <w:lang w:val="en-US"/>
        </w:rPr>
        <w:t>D – D/E.</w:t>
      </w:r>
    </w:p>
  </w:footnote>
  <w:footnote w:id="26">
    <w:p w14:paraId="2A9DA8F7" w14:textId="77777777" w:rsidR="00BF67BF" w:rsidRPr="00A86AC6" w:rsidRDefault="00BF67BF" w:rsidP="00BF67BF">
      <w:pPr>
        <w:pStyle w:val="FootnoteText"/>
        <w:rPr>
          <w:i/>
          <w:iCs/>
          <w:lang w:val="en-US"/>
        </w:rPr>
      </w:pPr>
      <w:r>
        <w:rPr>
          <w:rStyle w:val="FootnoteReference"/>
        </w:rPr>
        <w:footnoteRef/>
      </w:r>
      <w:r>
        <w:t xml:space="preserve">  </w:t>
      </w:r>
      <w:r>
        <w:rPr>
          <w:i/>
          <w:iCs/>
          <w:lang w:val="en-US"/>
        </w:rPr>
        <w:t xml:space="preserve">Knox D’Arcy Ltd AD </w:t>
      </w:r>
      <w:r>
        <w:rPr>
          <w:lang w:val="en-US"/>
        </w:rPr>
        <w:t xml:space="preserve">at 372B: </w:t>
      </w:r>
      <w:r>
        <w:rPr>
          <w:i/>
          <w:iCs/>
          <w:lang w:val="en-US"/>
        </w:rPr>
        <w:t>“</w:t>
      </w:r>
      <w:r w:rsidRPr="00A86AC6">
        <w:rPr>
          <w:i/>
          <w:iCs/>
          <w:lang w:val="en-US"/>
        </w:rPr>
        <w:t>The interdict prevents the respondent from dealing freely with his assets but grants the applicant no preferential rights over those assets</w:t>
      </w:r>
      <w:r>
        <w:rPr>
          <w:i/>
          <w:iCs/>
          <w:lang w:val="en-US"/>
        </w:rPr>
        <w:t>.”</w:t>
      </w:r>
    </w:p>
  </w:footnote>
  <w:footnote w:id="27">
    <w:p w14:paraId="5990ED89" w14:textId="665C5155" w:rsidR="004D2518" w:rsidRPr="00C4060B" w:rsidRDefault="004D2518">
      <w:pPr>
        <w:pStyle w:val="FootnoteText"/>
        <w:rPr>
          <w:lang w:val="en-US"/>
        </w:rPr>
      </w:pPr>
      <w:r>
        <w:rPr>
          <w:rStyle w:val="FootnoteReference"/>
        </w:rPr>
        <w:footnoteRef/>
      </w:r>
      <w:r>
        <w:t xml:space="preserve"> </w:t>
      </w:r>
      <w:r>
        <w:rPr>
          <w:i/>
          <w:iCs/>
          <w:lang w:val="en-US"/>
        </w:rPr>
        <w:t xml:space="preserve">De Reszke v Maras </w:t>
      </w:r>
      <w:r w:rsidR="00C4060B">
        <w:rPr>
          <w:lang w:val="en-US"/>
        </w:rPr>
        <w:t>2006 (1) SA 401 (C) paragraph</w:t>
      </w:r>
      <w:r w:rsidR="008B0C06">
        <w:rPr>
          <w:lang w:val="en-US"/>
        </w:rPr>
        <w:t xml:space="preserve">s 33 </w:t>
      </w:r>
      <w:r w:rsidR="009F74FD">
        <w:rPr>
          <w:lang w:val="en-US"/>
        </w:rPr>
        <w:t>at 413F/G – H.</w:t>
      </w:r>
    </w:p>
  </w:footnote>
  <w:footnote w:id="28">
    <w:p w14:paraId="0EEDE7B5" w14:textId="7D8BAA28" w:rsidR="002F3D94" w:rsidRPr="002F3D94" w:rsidRDefault="002F3D94">
      <w:pPr>
        <w:pStyle w:val="FootnoteText"/>
        <w:rPr>
          <w:lang w:val="en-US"/>
        </w:rPr>
      </w:pPr>
      <w:r>
        <w:rPr>
          <w:rStyle w:val="FootnoteReference"/>
        </w:rPr>
        <w:footnoteRef/>
      </w:r>
      <w:r>
        <w:t xml:space="preserve"> </w:t>
      </w:r>
      <w:r>
        <w:rPr>
          <w:i/>
          <w:iCs/>
          <w:lang w:val="en-US"/>
        </w:rPr>
        <w:t xml:space="preserve">Knox D’Arcy AD </w:t>
      </w:r>
      <w:r>
        <w:rPr>
          <w:lang w:val="en-US"/>
        </w:rPr>
        <w:t xml:space="preserve">at 379F </w:t>
      </w:r>
      <w:r w:rsidR="00ED3893">
        <w:rPr>
          <w:lang w:val="en-US"/>
        </w:rPr>
        <w:t xml:space="preserve">- </w:t>
      </w:r>
      <w:r>
        <w:rPr>
          <w:lang w:val="en-US"/>
        </w:rPr>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8888" w14:textId="77777777" w:rsidR="009919E6" w:rsidRDefault="00991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8738" w14:textId="77777777" w:rsidR="009919E6" w:rsidRDefault="009919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1893C" w14:textId="560355E9" w:rsidR="009919E6" w:rsidRPr="00A76A19" w:rsidRDefault="009919E6">
    <w:pPr>
      <w:pStyle w:val="Header"/>
      <w:framePr w:wrap="around" w:vAnchor="text" w:hAnchor="margin" w:xAlign="right" w:y="1"/>
      <w:rPr>
        <w:rStyle w:val="PageNumber"/>
        <w:rFonts w:ascii="Times New Roman" w:hAnsi="Times New Roman"/>
        <w:sz w:val="20"/>
        <w:szCs w:val="20"/>
      </w:rPr>
    </w:pPr>
    <w:r w:rsidRPr="00A76A19">
      <w:rPr>
        <w:rStyle w:val="PageNumber"/>
        <w:rFonts w:ascii="Times New Roman" w:hAnsi="Times New Roman"/>
        <w:sz w:val="20"/>
        <w:szCs w:val="20"/>
      </w:rPr>
      <w:fldChar w:fldCharType="begin"/>
    </w:r>
    <w:r w:rsidRPr="00A76A19">
      <w:rPr>
        <w:rStyle w:val="PageNumber"/>
        <w:rFonts w:ascii="Times New Roman" w:hAnsi="Times New Roman"/>
        <w:sz w:val="20"/>
        <w:szCs w:val="20"/>
      </w:rPr>
      <w:instrText xml:space="preserve">PAGE  </w:instrText>
    </w:r>
    <w:r w:rsidRPr="00A76A19">
      <w:rPr>
        <w:rStyle w:val="PageNumber"/>
        <w:rFonts w:ascii="Times New Roman" w:hAnsi="Times New Roman"/>
        <w:sz w:val="20"/>
        <w:szCs w:val="20"/>
      </w:rPr>
      <w:fldChar w:fldCharType="separate"/>
    </w:r>
    <w:r w:rsidR="006D5E15">
      <w:rPr>
        <w:rStyle w:val="PageNumber"/>
        <w:rFonts w:ascii="Times New Roman" w:hAnsi="Times New Roman"/>
        <w:noProof/>
        <w:sz w:val="20"/>
        <w:szCs w:val="20"/>
      </w:rPr>
      <w:t>2</w:t>
    </w:r>
    <w:r w:rsidRPr="00A76A19">
      <w:rPr>
        <w:rStyle w:val="PageNumber"/>
        <w:rFonts w:ascii="Times New Roman" w:hAnsi="Times New Roman"/>
        <w:sz w:val="20"/>
        <w:szCs w:val="20"/>
      </w:rPr>
      <w:fldChar w:fldCharType="end"/>
    </w:r>
  </w:p>
  <w:p w14:paraId="286A77FF" w14:textId="77777777" w:rsidR="009919E6" w:rsidRPr="00A76A19" w:rsidRDefault="009919E6">
    <w:pPr>
      <w:pStyle w:val="Header"/>
      <w:ind w:right="360"/>
      <w:jc w:val="right"/>
      <w:rPr>
        <w:rFonts w:ascii="Times New Roman" w:hAnsi="Times New Roman"/>
        <w:sz w:val="20"/>
        <w:szCs w:val="20"/>
      </w:rPr>
    </w:pPr>
    <w:r w:rsidRPr="00A76A19">
      <w:rPr>
        <w:rFonts w:ascii="Times New Roman" w:hAnsi="Times New Roman"/>
        <w:sz w:val="20"/>
        <w:szCs w:val="20"/>
      </w:rPr>
      <w:t xml:space="preserve">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9A8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432D8"/>
    <w:multiLevelType w:val="hybridMultilevel"/>
    <w:tmpl w:val="E9E6BAE4"/>
    <w:lvl w:ilvl="0" w:tplc="D436A8B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01595D71"/>
    <w:multiLevelType w:val="singleLevel"/>
    <w:tmpl w:val="0809000F"/>
    <w:lvl w:ilvl="0">
      <w:start w:val="1"/>
      <w:numFmt w:val="decimal"/>
      <w:lvlText w:val="%1."/>
      <w:lvlJc w:val="left"/>
      <w:pPr>
        <w:tabs>
          <w:tab w:val="num" w:pos="360"/>
        </w:tabs>
        <w:ind w:left="360" w:hanging="360"/>
      </w:pPr>
    </w:lvl>
  </w:abstractNum>
  <w:abstractNum w:abstractNumId="3">
    <w:nsid w:val="027C0536"/>
    <w:multiLevelType w:val="hybridMultilevel"/>
    <w:tmpl w:val="B004F74E"/>
    <w:lvl w:ilvl="0" w:tplc="5AF24C26">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046412DC"/>
    <w:multiLevelType w:val="hybridMultilevel"/>
    <w:tmpl w:val="8D428C3E"/>
    <w:lvl w:ilvl="0" w:tplc="61F2FE40">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0557072D"/>
    <w:multiLevelType w:val="hybridMultilevel"/>
    <w:tmpl w:val="FD8A48FE"/>
    <w:lvl w:ilvl="0" w:tplc="36BC3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635F60"/>
    <w:multiLevelType w:val="hybridMultilevel"/>
    <w:tmpl w:val="1B062818"/>
    <w:lvl w:ilvl="0" w:tplc="71065E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6D6663"/>
    <w:multiLevelType w:val="hybridMultilevel"/>
    <w:tmpl w:val="406CC1E6"/>
    <w:lvl w:ilvl="0" w:tplc="F42CBF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63426A1"/>
    <w:multiLevelType w:val="hybridMultilevel"/>
    <w:tmpl w:val="389AB3C8"/>
    <w:lvl w:ilvl="0" w:tplc="F1107D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D138B8"/>
    <w:multiLevelType w:val="hybridMultilevel"/>
    <w:tmpl w:val="B8B47066"/>
    <w:lvl w:ilvl="0" w:tplc="2EC6D146">
      <w:start w:val="9"/>
      <w:numFmt w:val="lowerLetter"/>
      <w:lvlText w:val="(%1)"/>
      <w:lvlJc w:val="left"/>
      <w:pPr>
        <w:tabs>
          <w:tab w:val="num" w:pos="2520"/>
        </w:tabs>
        <w:ind w:left="2520" w:hanging="360"/>
      </w:pPr>
      <w:rPr>
        <w:rFonts w:hint="default"/>
      </w:rPr>
    </w:lvl>
    <w:lvl w:ilvl="1" w:tplc="7FB0E03E">
      <w:start w:val="2"/>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0B0A3DC4"/>
    <w:multiLevelType w:val="hybridMultilevel"/>
    <w:tmpl w:val="BE0EAD44"/>
    <w:lvl w:ilvl="0" w:tplc="D666C764">
      <w:start w:val="1"/>
      <w:numFmt w:val="upperLetter"/>
      <w:lvlText w:val="%1."/>
      <w:lvlJc w:val="left"/>
      <w:pPr>
        <w:ind w:left="1800" w:hanging="360"/>
      </w:pPr>
      <w:rPr>
        <w:rFonts w:hint="default"/>
        <w:b/>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0B612A88"/>
    <w:multiLevelType w:val="hybridMultilevel"/>
    <w:tmpl w:val="C7243F28"/>
    <w:lvl w:ilvl="0" w:tplc="90DE3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D109B"/>
    <w:multiLevelType w:val="hybridMultilevel"/>
    <w:tmpl w:val="E33C2212"/>
    <w:lvl w:ilvl="0" w:tplc="73621AB8">
      <w:start w:val="1"/>
      <w:numFmt w:val="decimal"/>
      <w:lvlText w:val="%1."/>
      <w:lvlJc w:val="left"/>
      <w:pPr>
        <w:ind w:left="1440" w:hanging="360"/>
      </w:pPr>
      <w:rPr>
        <w:b w:val="0"/>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137F357B"/>
    <w:multiLevelType w:val="singleLevel"/>
    <w:tmpl w:val="DC94C750"/>
    <w:lvl w:ilvl="0">
      <w:start w:val="1"/>
      <w:numFmt w:val="lowerLetter"/>
      <w:lvlText w:val="(%1)"/>
      <w:lvlJc w:val="left"/>
      <w:pPr>
        <w:tabs>
          <w:tab w:val="num" w:pos="1440"/>
        </w:tabs>
        <w:ind w:left="1440" w:hanging="720"/>
      </w:pPr>
      <w:rPr>
        <w:rFonts w:hint="default"/>
      </w:rPr>
    </w:lvl>
  </w:abstractNum>
  <w:abstractNum w:abstractNumId="14">
    <w:nsid w:val="17CA5BD3"/>
    <w:multiLevelType w:val="hybridMultilevel"/>
    <w:tmpl w:val="D54419A4"/>
    <w:lvl w:ilvl="0" w:tplc="2A4AB444">
      <w:start w:val="1"/>
      <w:numFmt w:val="decimal"/>
      <w:lvlText w:val="%1."/>
      <w:lvlJc w:val="left"/>
      <w:pPr>
        <w:ind w:left="72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94A38"/>
    <w:multiLevelType w:val="hybridMultilevel"/>
    <w:tmpl w:val="1E32E16C"/>
    <w:lvl w:ilvl="0" w:tplc="6966D4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C9F49B1"/>
    <w:multiLevelType w:val="hybridMultilevel"/>
    <w:tmpl w:val="C0923222"/>
    <w:lvl w:ilvl="0" w:tplc="E1145F20">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1F303738"/>
    <w:multiLevelType w:val="hybridMultilevel"/>
    <w:tmpl w:val="07F825B4"/>
    <w:lvl w:ilvl="0" w:tplc="C2C472CA">
      <w:start w:val="1"/>
      <w:numFmt w:val="upperLetter"/>
      <w:lvlText w:val="%1."/>
      <w:lvlJc w:val="left"/>
      <w:pPr>
        <w:ind w:left="1800" w:hanging="360"/>
      </w:pPr>
      <w:rPr>
        <w:rFonts w:hint="default"/>
        <w:b/>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255560EA"/>
    <w:multiLevelType w:val="multilevel"/>
    <w:tmpl w:val="791A3FAE"/>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304"/>
        </w:tabs>
        <w:ind w:left="2304" w:hanging="864"/>
      </w:pPr>
      <w:rPr>
        <w:rFonts w:ascii="Arial" w:hAnsi="Arial" w:hint="default"/>
        <w:b w:val="0"/>
        <w:i w:val="0"/>
        <w:sz w:val="22"/>
        <w:u w:val="none"/>
      </w:rPr>
    </w:lvl>
    <w:lvl w:ilvl="3">
      <w:start w:val="1"/>
      <w:numFmt w:val="decimal"/>
      <w:lvlText w:val="%1.%2.%3.%4"/>
      <w:lvlJc w:val="left"/>
      <w:pPr>
        <w:tabs>
          <w:tab w:val="num" w:pos="3168"/>
        </w:tabs>
        <w:ind w:left="3168" w:hanging="1008"/>
      </w:pPr>
      <w:rPr>
        <w:rFonts w:ascii="Arial" w:hAnsi="Arial" w:hint="default"/>
        <w:b w:val="0"/>
        <w:i w:val="0"/>
        <w:sz w:val="22"/>
      </w:rPr>
    </w:lvl>
    <w:lvl w:ilvl="4">
      <w:start w:val="1"/>
      <w:numFmt w:val="decimal"/>
      <w:lvlText w:val="%1.%2.%3.%4.%5"/>
      <w:lvlJc w:val="left"/>
      <w:pPr>
        <w:tabs>
          <w:tab w:val="num" w:pos="4320"/>
        </w:tabs>
        <w:ind w:left="4320" w:hanging="1152"/>
      </w:pPr>
      <w:rPr>
        <w:rFonts w:ascii="Arial" w:hAnsi="Arial" w:hint="default"/>
        <w:b w:val="0"/>
        <w:i w:val="0"/>
        <w:sz w:val="22"/>
      </w:rPr>
    </w:lvl>
    <w:lvl w:ilvl="5">
      <w:start w:val="1"/>
      <w:numFmt w:val="decimal"/>
      <w:lvlText w:val="%1.%2.%3.%4.%5.%6"/>
      <w:lvlJc w:val="left"/>
      <w:pPr>
        <w:tabs>
          <w:tab w:val="num" w:pos="5761"/>
        </w:tabs>
        <w:ind w:left="5528" w:hanging="1207"/>
      </w:pPr>
      <w:rPr>
        <w:rFonts w:ascii="Century Gothic" w:hAnsi="Tahoma" w:hint="default"/>
        <w:b w:val="0"/>
        <w:i w:val="0"/>
        <w:sz w:val="22"/>
      </w:rPr>
    </w:lvl>
    <w:lvl w:ilvl="6">
      <w:numFmt w:val="none"/>
      <w:lvlText w:val=""/>
      <w:lvlJc w:val="left"/>
      <w:pPr>
        <w:tabs>
          <w:tab w:val="num" w:pos="0"/>
        </w:tabs>
        <w:ind w:left="0" w:firstLine="0"/>
      </w:pPr>
    </w:lvl>
    <w:lvl w:ilvl="7">
      <w:numFmt w:val="none"/>
      <w:lvlText w:val=""/>
      <w:lvlJc w:val="left"/>
      <w:pPr>
        <w:tabs>
          <w:tab w:val="num" w:pos="360"/>
        </w:tabs>
        <w:ind w:left="0" w:firstLine="0"/>
      </w:pPr>
      <w:rPr>
        <w:rFonts w:ascii="Tahoma" w:hAnsi="Tahoma" w:hint="default"/>
        <w:sz w:val="24"/>
      </w:rPr>
    </w:lvl>
    <w:lvl w:ilvl="8">
      <w:numFmt w:val="none"/>
      <w:lvlText w:val=""/>
      <w:lvlJc w:val="left"/>
      <w:pPr>
        <w:tabs>
          <w:tab w:val="num" w:pos="360"/>
        </w:tabs>
        <w:ind w:left="0" w:firstLine="0"/>
      </w:pPr>
    </w:lvl>
  </w:abstractNum>
  <w:abstractNum w:abstractNumId="19">
    <w:nsid w:val="29B65A5C"/>
    <w:multiLevelType w:val="multilevel"/>
    <w:tmpl w:val="9D80D0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C94567E"/>
    <w:multiLevelType w:val="multilevel"/>
    <w:tmpl w:val="D58E3A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42D5BAD"/>
    <w:multiLevelType w:val="hybridMultilevel"/>
    <w:tmpl w:val="9E161D0A"/>
    <w:lvl w:ilvl="0" w:tplc="873A23AA">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7117CA"/>
    <w:multiLevelType w:val="hybridMultilevel"/>
    <w:tmpl w:val="ED94035A"/>
    <w:lvl w:ilvl="0" w:tplc="7668E842">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002FD8"/>
    <w:multiLevelType w:val="hybridMultilevel"/>
    <w:tmpl w:val="F67CA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A6E52"/>
    <w:multiLevelType w:val="hybridMultilevel"/>
    <w:tmpl w:val="8C02B716"/>
    <w:lvl w:ilvl="0" w:tplc="D3B20E9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4E95A4C"/>
    <w:multiLevelType w:val="hybridMultilevel"/>
    <w:tmpl w:val="3138B608"/>
    <w:lvl w:ilvl="0" w:tplc="D31C7F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C3A1931"/>
    <w:multiLevelType w:val="singleLevel"/>
    <w:tmpl w:val="5A2A887A"/>
    <w:lvl w:ilvl="0">
      <w:start w:val="1"/>
      <w:numFmt w:val="lowerRoman"/>
      <w:lvlText w:val="(%1)"/>
      <w:lvlJc w:val="left"/>
      <w:pPr>
        <w:tabs>
          <w:tab w:val="num" w:pos="2160"/>
        </w:tabs>
        <w:ind w:left="2160" w:hanging="720"/>
      </w:pPr>
      <w:rPr>
        <w:rFonts w:hint="default"/>
      </w:rPr>
    </w:lvl>
  </w:abstractNum>
  <w:abstractNum w:abstractNumId="27">
    <w:nsid w:val="4C7572CD"/>
    <w:multiLevelType w:val="multilevel"/>
    <w:tmpl w:val="F292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D446F64"/>
    <w:multiLevelType w:val="hybridMultilevel"/>
    <w:tmpl w:val="4CBA0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F51137"/>
    <w:multiLevelType w:val="hybridMultilevel"/>
    <w:tmpl w:val="5DDA08C6"/>
    <w:lvl w:ilvl="0" w:tplc="0B0AF548">
      <w:start w:val="1"/>
      <w:numFmt w:val="upperLetter"/>
      <w:lvlText w:val="%1."/>
      <w:lvlJc w:val="left"/>
      <w:pPr>
        <w:ind w:left="2160" w:hanging="360"/>
      </w:pPr>
      <w:rPr>
        <w:rFonts w:hint="default"/>
        <w:b/>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nsid w:val="53594CD3"/>
    <w:multiLevelType w:val="hybridMultilevel"/>
    <w:tmpl w:val="0F267DB2"/>
    <w:lvl w:ilvl="0" w:tplc="CE52B1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4A74D7"/>
    <w:multiLevelType w:val="hybridMultilevel"/>
    <w:tmpl w:val="E2EE4D8E"/>
    <w:lvl w:ilvl="0" w:tplc="CDEC650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5FEB7CA6"/>
    <w:multiLevelType w:val="hybridMultilevel"/>
    <w:tmpl w:val="EE04C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2B03EC"/>
    <w:multiLevelType w:val="hybridMultilevel"/>
    <w:tmpl w:val="72FCB604"/>
    <w:lvl w:ilvl="0" w:tplc="11F2B5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2D43317"/>
    <w:multiLevelType w:val="hybridMultilevel"/>
    <w:tmpl w:val="68B2EA76"/>
    <w:lvl w:ilvl="0" w:tplc="4C7EE060">
      <w:start w:val="9"/>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nsid w:val="64A97004"/>
    <w:multiLevelType w:val="multilevel"/>
    <w:tmpl w:val="4790C1F6"/>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4290"/>
        </w:tabs>
        <w:ind w:left="429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90"/>
        </w:tabs>
        <w:ind w:left="5790" w:hanging="180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36">
    <w:nsid w:val="68B12208"/>
    <w:multiLevelType w:val="hybridMultilevel"/>
    <w:tmpl w:val="66E84FB4"/>
    <w:lvl w:ilvl="0" w:tplc="64708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nsid w:val="6E7D717B"/>
    <w:multiLevelType w:val="hybridMultilevel"/>
    <w:tmpl w:val="3138B608"/>
    <w:lvl w:ilvl="0" w:tplc="D31C7F10">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nsid w:val="6F543795"/>
    <w:multiLevelType w:val="hybridMultilevel"/>
    <w:tmpl w:val="442EE988"/>
    <w:lvl w:ilvl="0" w:tplc="0D3294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12329BA"/>
    <w:multiLevelType w:val="hybridMultilevel"/>
    <w:tmpl w:val="B004F74E"/>
    <w:lvl w:ilvl="0" w:tplc="5AF24C26">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0">
    <w:nsid w:val="71313BA8"/>
    <w:multiLevelType w:val="hybridMultilevel"/>
    <w:tmpl w:val="4086C5E2"/>
    <w:lvl w:ilvl="0" w:tplc="51467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53546"/>
    <w:multiLevelType w:val="hybridMultilevel"/>
    <w:tmpl w:val="74D0CB7E"/>
    <w:lvl w:ilvl="0" w:tplc="5D9EEEF2">
      <w:start w:val="2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6B41C74"/>
    <w:multiLevelType w:val="multilevel"/>
    <w:tmpl w:val="B2ECAB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74E3D11"/>
    <w:multiLevelType w:val="hybridMultilevel"/>
    <w:tmpl w:val="4E02F198"/>
    <w:lvl w:ilvl="0" w:tplc="75C8FB5A">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790049BA"/>
    <w:multiLevelType w:val="hybridMultilevel"/>
    <w:tmpl w:val="3138B608"/>
    <w:lvl w:ilvl="0" w:tplc="D31C7F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nsid w:val="7A3E7F4A"/>
    <w:multiLevelType w:val="hybridMultilevel"/>
    <w:tmpl w:val="9DBE2FAE"/>
    <w:lvl w:ilvl="0" w:tplc="AE98B33E">
      <w:start w:val="1"/>
      <w:numFmt w:val="decimal"/>
      <w:lvlText w:val="%1."/>
      <w:lvlJc w:val="left"/>
      <w:pPr>
        <w:tabs>
          <w:tab w:val="num" w:pos="1080"/>
        </w:tabs>
        <w:ind w:left="1080" w:hanging="720"/>
      </w:pPr>
      <w:rPr>
        <w:rFonts w:hint="default"/>
      </w:rPr>
    </w:lvl>
    <w:lvl w:ilvl="1" w:tplc="DBC0FFB0" w:tentative="1">
      <w:start w:val="1"/>
      <w:numFmt w:val="lowerLetter"/>
      <w:lvlText w:val="%2."/>
      <w:lvlJc w:val="left"/>
      <w:pPr>
        <w:tabs>
          <w:tab w:val="num" w:pos="1440"/>
        </w:tabs>
        <w:ind w:left="1440" w:hanging="360"/>
      </w:pPr>
    </w:lvl>
    <w:lvl w:ilvl="2" w:tplc="9FFC0C3A" w:tentative="1">
      <w:start w:val="1"/>
      <w:numFmt w:val="lowerRoman"/>
      <w:lvlText w:val="%3."/>
      <w:lvlJc w:val="right"/>
      <w:pPr>
        <w:tabs>
          <w:tab w:val="num" w:pos="2160"/>
        </w:tabs>
        <w:ind w:left="2160" w:hanging="180"/>
      </w:pPr>
    </w:lvl>
    <w:lvl w:ilvl="3" w:tplc="86E216B2" w:tentative="1">
      <w:start w:val="1"/>
      <w:numFmt w:val="decimal"/>
      <w:lvlText w:val="%4."/>
      <w:lvlJc w:val="left"/>
      <w:pPr>
        <w:tabs>
          <w:tab w:val="num" w:pos="2880"/>
        </w:tabs>
        <w:ind w:left="2880" w:hanging="360"/>
      </w:pPr>
    </w:lvl>
    <w:lvl w:ilvl="4" w:tplc="EB2C9F56" w:tentative="1">
      <w:start w:val="1"/>
      <w:numFmt w:val="lowerLetter"/>
      <w:lvlText w:val="%5."/>
      <w:lvlJc w:val="left"/>
      <w:pPr>
        <w:tabs>
          <w:tab w:val="num" w:pos="3600"/>
        </w:tabs>
        <w:ind w:left="3600" w:hanging="360"/>
      </w:pPr>
    </w:lvl>
    <w:lvl w:ilvl="5" w:tplc="472006B0" w:tentative="1">
      <w:start w:val="1"/>
      <w:numFmt w:val="lowerRoman"/>
      <w:lvlText w:val="%6."/>
      <w:lvlJc w:val="right"/>
      <w:pPr>
        <w:tabs>
          <w:tab w:val="num" w:pos="4320"/>
        </w:tabs>
        <w:ind w:left="4320" w:hanging="180"/>
      </w:pPr>
    </w:lvl>
    <w:lvl w:ilvl="6" w:tplc="E31AFC64" w:tentative="1">
      <w:start w:val="1"/>
      <w:numFmt w:val="decimal"/>
      <w:lvlText w:val="%7."/>
      <w:lvlJc w:val="left"/>
      <w:pPr>
        <w:tabs>
          <w:tab w:val="num" w:pos="5040"/>
        </w:tabs>
        <w:ind w:left="5040" w:hanging="360"/>
      </w:pPr>
    </w:lvl>
    <w:lvl w:ilvl="7" w:tplc="2BB407A8" w:tentative="1">
      <w:start w:val="1"/>
      <w:numFmt w:val="lowerLetter"/>
      <w:lvlText w:val="%8."/>
      <w:lvlJc w:val="left"/>
      <w:pPr>
        <w:tabs>
          <w:tab w:val="num" w:pos="5760"/>
        </w:tabs>
        <w:ind w:left="5760" w:hanging="360"/>
      </w:pPr>
    </w:lvl>
    <w:lvl w:ilvl="8" w:tplc="0780374A" w:tentative="1">
      <w:start w:val="1"/>
      <w:numFmt w:val="lowerRoman"/>
      <w:lvlText w:val="%9."/>
      <w:lvlJc w:val="right"/>
      <w:pPr>
        <w:tabs>
          <w:tab w:val="num" w:pos="6480"/>
        </w:tabs>
        <w:ind w:left="6480" w:hanging="180"/>
      </w:pPr>
    </w:lvl>
  </w:abstractNum>
  <w:abstractNum w:abstractNumId="46">
    <w:nsid w:val="7B860C41"/>
    <w:multiLevelType w:val="hybridMultilevel"/>
    <w:tmpl w:val="5C6C2416"/>
    <w:lvl w:ilvl="0" w:tplc="DDCA152A">
      <w:start w:val="1"/>
      <w:numFmt w:val="upperLetter"/>
      <w:lvlText w:val="%1."/>
      <w:lvlJc w:val="left"/>
      <w:pPr>
        <w:ind w:left="1800" w:hanging="360"/>
      </w:pPr>
      <w:rPr>
        <w:rFonts w:hint="default"/>
        <w:b/>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nsid w:val="7CA51B5D"/>
    <w:multiLevelType w:val="hybridMultilevel"/>
    <w:tmpl w:val="3138B608"/>
    <w:lvl w:ilvl="0" w:tplc="D31C7F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8">
    <w:nsid w:val="7CD67A51"/>
    <w:multiLevelType w:val="hybridMultilevel"/>
    <w:tmpl w:val="D06E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8"/>
  </w:num>
  <w:num w:numId="3">
    <w:abstractNumId w:val="35"/>
  </w:num>
  <w:num w:numId="4">
    <w:abstractNumId w:val="19"/>
  </w:num>
  <w:num w:numId="5">
    <w:abstractNumId w:val="2"/>
  </w:num>
  <w:num w:numId="6">
    <w:abstractNumId w:val="13"/>
  </w:num>
  <w:num w:numId="7">
    <w:abstractNumId w:val="42"/>
  </w:num>
  <w:num w:numId="8">
    <w:abstractNumId w:val="26"/>
  </w:num>
  <w:num w:numId="9">
    <w:abstractNumId w:val="9"/>
  </w:num>
  <w:num w:numId="10">
    <w:abstractNumId w:val="24"/>
  </w:num>
  <w:num w:numId="11">
    <w:abstractNumId w:val="23"/>
  </w:num>
  <w:num w:numId="12">
    <w:abstractNumId w:val="15"/>
  </w:num>
  <w:num w:numId="13">
    <w:abstractNumId w:val="40"/>
  </w:num>
  <w:num w:numId="14">
    <w:abstractNumId w:val="28"/>
  </w:num>
  <w:num w:numId="15">
    <w:abstractNumId w:val="8"/>
  </w:num>
  <w:num w:numId="16">
    <w:abstractNumId w:val="33"/>
  </w:num>
  <w:num w:numId="17">
    <w:abstractNumId w:val="34"/>
  </w:num>
  <w:num w:numId="18">
    <w:abstractNumId w:val="16"/>
  </w:num>
  <w:num w:numId="19">
    <w:abstractNumId w:val="31"/>
  </w:num>
  <w:num w:numId="20">
    <w:abstractNumId w:val="43"/>
  </w:num>
  <w:num w:numId="21">
    <w:abstractNumId w:val="17"/>
  </w:num>
  <w:num w:numId="22">
    <w:abstractNumId w:val="46"/>
  </w:num>
  <w:num w:numId="23">
    <w:abstractNumId w:val="29"/>
  </w:num>
  <w:num w:numId="24">
    <w:abstractNumId w:val="10"/>
  </w:num>
  <w:num w:numId="25">
    <w:abstractNumId w:val="38"/>
  </w:num>
  <w:num w:numId="26">
    <w:abstractNumId w:val="7"/>
  </w:num>
  <w:num w:numId="27">
    <w:abstractNumId w:val="14"/>
  </w:num>
  <w:num w:numId="28">
    <w:abstractNumId w:val="30"/>
  </w:num>
  <w:num w:numId="29">
    <w:abstractNumId w:val="48"/>
  </w:num>
  <w:num w:numId="30">
    <w:abstractNumId w:val="11"/>
  </w:num>
  <w:num w:numId="31">
    <w:abstractNumId w:val="6"/>
  </w:num>
  <w:num w:numId="32">
    <w:abstractNumId w:val="20"/>
  </w:num>
  <w:num w:numId="33">
    <w:abstractNumId w:val="27"/>
  </w:num>
  <w:num w:numId="34">
    <w:abstractNumId w:val="22"/>
  </w:num>
  <w:num w:numId="35">
    <w:abstractNumId w:val="21"/>
  </w:num>
  <w:num w:numId="36">
    <w:abstractNumId w:val="0"/>
  </w:num>
  <w:num w:numId="37">
    <w:abstractNumId w:val="5"/>
  </w:num>
  <w:num w:numId="38">
    <w:abstractNumId w:val="1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7"/>
  </w:num>
  <w:num w:numId="42">
    <w:abstractNumId w:val="44"/>
  </w:num>
  <w:num w:numId="43">
    <w:abstractNumId w:val="25"/>
  </w:num>
  <w:num w:numId="44">
    <w:abstractNumId w:val="47"/>
  </w:num>
  <w:num w:numId="45">
    <w:abstractNumId w:val="39"/>
  </w:num>
  <w:num w:numId="46">
    <w:abstractNumId w:val="4"/>
  </w:num>
  <w:num w:numId="47">
    <w:abstractNumId w:val="36"/>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1923B5-8837-4777-A8D7-96B143054D8A}"/>
    <w:docVar w:name="dgnword-eventsink" w:val="1831791187648"/>
  </w:docVars>
  <w:rsids>
    <w:rsidRoot w:val="00013F38"/>
    <w:rsid w:val="00000926"/>
    <w:rsid w:val="00001449"/>
    <w:rsid w:val="0000171B"/>
    <w:rsid w:val="00002768"/>
    <w:rsid w:val="00002D37"/>
    <w:rsid w:val="000032A4"/>
    <w:rsid w:val="00003DB7"/>
    <w:rsid w:val="000047CE"/>
    <w:rsid w:val="00004BCB"/>
    <w:rsid w:val="000053A2"/>
    <w:rsid w:val="000065F0"/>
    <w:rsid w:val="00006660"/>
    <w:rsid w:val="00006746"/>
    <w:rsid w:val="00006DED"/>
    <w:rsid w:val="0000785A"/>
    <w:rsid w:val="00011146"/>
    <w:rsid w:val="00012EE0"/>
    <w:rsid w:val="00013F38"/>
    <w:rsid w:val="000140DF"/>
    <w:rsid w:val="00014159"/>
    <w:rsid w:val="00014D75"/>
    <w:rsid w:val="00015156"/>
    <w:rsid w:val="00015532"/>
    <w:rsid w:val="00015911"/>
    <w:rsid w:val="000159B1"/>
    <w:rsid w:val="00015AC9"/>
    <w:rsid w:val="00016037"/>
    <w:rsid w:val="00016672"/>
    <w:rsid w:val="000166A7"/>
    <w:rsid w:val="00016EF9"/>
    <w:rsid w:val="0002169F"/>
    <w:rsid w:val="00021C44"/>
    <w:rsid w:val="00022701"/>
    <w:rsid w:val="00022F0B"/>
    <w:rsid w:val="00023D87"/>
    <w:rsid w:val="000249F8"/>
    <w:rsid w:val="00025051"/>
    <w:rsid w:val="000259AA"/>
    <w:rsid w:val="00025DFB"/>
    <w:rsid w:val="00026109"/>
    <w:rsid w:val="00026DE3"/>
    <w:rsid w:val="0002759B"/>
    <w:rsid w:val="00027E7C"/>
    <w:rsid w:val="0003034B"/>
    <w:rsid w:val="0003060B"/>
    <w:rsid w:val="00031C12"/>
    <w:rsid w:val="00031C9B"/>
    <w:rsid w:val="00031D4D"/>
    <w:rsid w:val="00031FDE"/>
    <w:rsid w:val="00032D2E"/>
    <w:rsid w:val="0003322E"/>
    <w:rsid w:val="00033B1E"/>
    <w:rsid w:val="000343FE"/>
    <w:rsid w:val="00034EF0"/>
    <w:rsid w:val="00036FFF"/>
    <w:rsid w:val="00040020"/>
    <w:rsid w:val="0004088A"/>
    <w:rsid w:val="0004190D"/>
    <w:rsid w:val="00041AD2"/>
    <w:rsid w:val="00042E4D"/>
    <w:rsid w:val="0004341F"/>
    <w:rsid w:val="000439E6"/>
    <w:rsid w:val="00044187"/>
    <w:rsid w:val="000442D5"/>
    <w:rsid w:val="000448C8"/>
    <w:rsid w:val="0004545D"/>
    <w:rsid w:val="000456D6"/>
    <w:rsid w:val="00046675"/>
    <w:rsid w:val="00046A1C"/>
    <w:rsid w:val="00047E1B"/>
    <w:rsid w:val="00050137"/>
    <w:rsid w:val="000501D8"/>
    <w:rsid w:val="00050BB0"/>
    <w:rsid w:val="000517DC"/>
    <w:rsid w:val="00052162"/>
    <w:rsid w:val="000532D7"/>
    <w:rsid w:val="00053359"/>
    <w:rsid w:val="00053B86"/>
    <w:rsid w:val="00053FF8"/>
    <w:rsid w:val="0005414C"/>
    <w:rsid w:val="00054A40"/>
    <w:rsid w:val="00054A75"/>
    <w:rsid w:val="00054B54"/>
    <w:rsid w:val="00054CD5"/>
    <w:rsid w:val="00054DB4"/>
    <w:rsid w:val="00055148"/>
    <w:rsid w:val="00055653"/>
    <w:rsid w:val="00055D8A"/>
    <w:rsid w:val="00055E33"/>
    <w:rsid w:val="000570AD"/>
    <w:rsid w:val="00057CA1"/>
    <w:rsid w:val="00060F1C"/>
    <w:rsid w:val="00061B68"/>
    <w:rsid w:val="00061BBA"/>
    <w:rsid w:val="00061E32"/>
    <w:rsid w:val="000628F6"/>
    <w:rsid w:val="00062F58"/>
    <w:rsid w:val="00063B35"/>
    <w:rsid w:val="00064041"/>
    <w:rsid w:val="000645FF"/>
    <w:rsid w:val="0006468F"/>
    <w:rsid w:val="00065A48"/>
    <w:rsid w:val="00065D9E"/>
    <w:rsid w:val="000670EE"/>
    <w:rsid w:val="0006714E"/>
    <w:rsid w:val="00070094"/>
    <w:rsid w:val="00070A0D"/>
    <w:rsid w:val="00070F04"/>
    <w:rsid w:val="00071111"/>
    <w:rsid w:val="000715B5"/>
    <w:rsid w:val="00071AEE"/>
    <w:rsid w:val="00071E30"/>
    <w:rsid w:val="00073237"/>
    <w:rsid w:val="000739A5"/>
    <w:rsid w:val="00073D51"/>
    <w:rsid w:val="00073ED4"/>
    <w:rsid w:val="00073ED9"/>
    <w:rsid w:val="000741CC"/>
    <w:rsid w:val="00074B20"/>
    <w:rsid w:val="000757DE"/>
    <w:rsid w:val="000758AA"/>
    <w:rsid w:val="000761EA"/>
    <w:rsid w:val="000763BC"/>
    <w:rsid w:val="000766D4"/>
    <w:rsid w:val="00076B61"/>
    <w:rsid w:val="0008139C"/>
    <w:rsid w:val="0008370C"/>
    <w:rsid w:val="000838C1"/>
    <w:rsid w:val="00085DEC"/>
    <w:rsid w:val="00085F65"/>
    <w:rsid w:val="0008642D"/>
    <w:rsid w:val="00092177"/>
    <w:rsid w:val="00092225"/>
    <w:rsid w:val="00092510"/>
    <w:rsid w:val="000929BE"/>
    <w:rsid w:val="00092E54"/>
    <w:rsid w:val="00093B8B"/>
    <w:rsid w:val="000940D1"/>
    <w:rsid w:val="00094250"/>
    <w:rsid w:val="00094345"/>
    <w:rsid w:val="00094564"/>
    <w:rsid w:val="00095181"/>
    <w:rsid w:val="0009559B"/>
    <w:rsid w:val="000971B8"/>
    <w:rsid w:val="00097CA6"/>
    <w:rsid w:val="00097FB3"/>
    <w:rsid w:val="000A0929"/>
    <w:rsid w:val="000A10CA"/>
    <w:rsid w:val="000A3AD0"/>
    <w:rsid w:val="000A51DC"/>
    <w:rsid w:val="000A55F4"/>
    <w:rsid w:val="000A5A52"/>
    <w:rsid w:val="000A61CE"/>
    <w:rsid w:val="000A7150"/>
    <w:rsid w:val="000A7E3E"/>
    <w:rsid w:val="000B049E"/>
    <w:rsid w:val="000B0C6E"/>
    <w:rsid w:val="000B1294"/>
    <w:rsid w:val="000B27D9"/>
    <w:rsid w:val="000B2D36"/>
    <w:rsid w:val="000B2E1A"/>
    <w:rsid w:val="000B2E38"/>
    <w:rsid w:val="000B33EF"/>
    <w:rsid w:val="000B5DF7"/>
    <w:rsid w:val="000B69CF"/>
    <w:rsid w:val="000B7812"/>
    <w:rsid w:val="000B7A54"/>
    <w:rsid w:val="000C014E"/>
    <w:rsid w:val="000C04DB"/>
    <w:rsid w:val="000C0F34"/>
    <w:rsid w:val="000C122D"/>
    <w:rsid w:val="000C23F1"/>
    <w:rsid w:val="000C2687"/>
    <w:rsid w:val="000C2B41"/>
    <w:rsid w:val="000C3109"/>
    <w:rsid w:val="000C41E9"/>
    <w:rsid w:val="000C4989"/>
    <w:rsid w:val="000C4B6C"/>
    <w:rsid w:val="000C5542"/>
    <w:rsid w:val="000C5FC5"/>
    <w:rsid w:val="000C69B8"/>
    <w:rsid w:val="000C6E6D"/>
    <w:rsid w:val="000C6FA9"/>
    <w:rsid w:val="000C75E6"/>
    <w:rsid w:val="000C7641"/>
    <w:rsid w:val="000C7C29"/>
    <w:rsid w:val="000D0639"/>
    <w:rsid w:val="000D0AAE"/>
    <w:rsid w:val="000D10E8"/>
    <w:rsid w:val="000D1449"/>
    <w:rsid w:val="000D1F88"/>
    <w:rsid w:val="000D2BC5"/>
    <w:rsid w:val="000D3E43"/>
    <w:rsid w:val="000D456E"/>
    <w:rsid w:val="000D4699"/>
    <w:rsid w:val="000D502A"/>
    <w:rsid w:val="000D51C2"/>
    <w:rsid w:val="000D5D8A"/>
    <w:rsid w:val="000D617A"/>
    <w:rsid w:val="000D6408"/>
    <w:rsid w:val="000D7E32"/>
    <w:rsid w:val="000E071E"/>
    <w:rsid w:val="000E0C81"/>
    <w:rsid w:val="000E1E43"/>
    <w:rsid w:val="000E1E50"/>
    <w:rsid w:val="000E1FDC"/>
    <w:rsid w:val="000E2175"/>
    <w:rsid w:val="000E2D3B"/>
    <w:rsid w:val="000E404E"/>
    <w:rsid w:val="000E4CB5"/>
    <w:rsid w:val="000E5795"/>
    <w:rsid w:val="000E79C0"/>
    <w:rsid w:val="000E7DD5"/>
    <w:rsid w:val="000E7E2F"/>
    <w:rsid w:val="000F137F"/>
    <w:rsid w:val="000F2E46"/>
    <w:rsid w:val="000F4995"/>
    <w:rsid w:val="000F4A08"/>
    <w:rsid w:val="000F62C3"/>
    <w:rsid w:val="000F65AB"/>
    <w:rsid w:val="000F78FF"/>
    <w:rsid w:val="00100DD4"/>
    <w:rsid w:val="00102B86"/>
    <w:rsid w:val="00102F2C"/>
    <w:rsid w:val="001048EB"/>
    <w:rsid w:val="00104AE3"/>
    <w:rsid w:val="00104E3D"/>
    <w:rsid w:val="00105622"/>
    <w:rsid w:val="0010619D"/>
    <w:rsid w:val="0010795D"/>
    <w:rsid w:val="00107BF1"/>
    <w:rsid w:val="00110149"/>
    <w:rsid w:val="00111116"/>
    <w:rsid w:val="001128F0"/>
    <w:rsid w:val="0011332D"/>
    <w:rsid w:val="0011350E"/>
    <w:rsid w:val="0011421C"/>
    <w:rsid w:val="001153D2"/>
    <w:rsid w:val="0011784D"/>
    <w:rsid w:val="00117AB2"/>
    <w:rsid w:val="001202F3"/>
    <w:rsid w:val="00120432"/>
    <w:rsid w:val="00120802"/>
    <w:rsid w:val="0012085E"/>
    <w:rsid w:val="0012116C"/>
    <w:rsid w:val="00121E51"/>
    <w:rsid w:val="001221BD"/>
    <w:rsid w:val="00122B51"/>
    <w:rsid w:val="0012300A"/>
    <w:rsid w:val="00123442"/>
    <w:rsid w:val="00123B61"/>
    <w:rsid w:val="00124A8D"/>
    <w:rsid w:val="00124E42"/>
    <w:rsid w:val="00125A42"/>
    <w:rsid w:val="00126EF7"/>
    <w:rsid w:val="00127206"/>
    <w:rsid w:val="00130471"/>
    <w:rsid w:val="001308BC"/>
    <w:rsid w:val="00133CFC"/>
    <w:rsid w:val="0013499F"/>
    <w:rsid w:val="00134AB8"/>
    <w:rsid w:val="0013573A"/>
    <w:rsid w:val="00136393"/>
    <w:rsid w:val="00136918"/>
    <w:rsid w:val="00136A7A"/>
    <w:rsid w:val="00136CF3"/>
    <w:rsid w:val="001375CF"/>
    <w:rsid w:val="00137C70"/>
    <w:rsid w:val="00140066"/>
    <w:rsid w:val="00142263"/>
    <w:rsid w:val="001425C5"/>
    <w:rsid w:val="00142BF9"/>
    <w:rsid w:val="00142E80"/>
    <w:rsid w:val="0014327B"/>
    <w:rsid w:val="00143C16"/>
    <w:rsid w:val="00143EC3"/>
    <w:rsid w:val="00143F37"/>
    <w:rsid w:val="001440FA"/>
    <w:rsid w:val="001441EE"/>
    <w:rsid w:val="00144250"/>
    <w:rsid w:val="00144413"/>
    <w:rsid w:val="00144750"/>
    <w:rsid w:val="00144F79"/>
    <w:rsid w:val="00145094"/>
    <w:rsid w:val="0014674C"/>
    <w:rsid w:val="00146BB4"/>
    <w:rsid w:val="00147840"/>
    <w:rsid w:val="00150B04"/>
    <w:rsid w:val="00152786"/>
    <w:rsid w:val="0015284A"/>
    <w:rsid w:val="001533B2"/>
    <w:rsid w:val="00154949"/>
    <w:rsid w:val="00154F0A"/>
    <w:rsid w:val="0015557E"/>
    <w:rsid w:val="00156980"/>
    <w:rsid w:val="00157878"/>
    <w:rsid w:val="00157E5D"/>
    <w:rsid w:val="00160B04"/>
    <w:rsid w:val="00161A0F"/>
    <w:rsid w:val="00161EE2"/>
    <w:rsid w:val="00163A56"/>
    <w:rsid w:val="00164F28"/>
    <w:rsid w:val="001656CE"/>
    <w:rsid w:val="00165A8A"/>
    <w:rsid w:val="00166701"/>
    <w:rsid w:val="00167D5E"/>
    <w:rsid w:val="00170611"/>
    <w:rsid w:val="00171324"/>
    <w:rsid w:val="00171D14"/>
    <w:rsid w:val="00172257"/>
    <w:rsid w:val="0017252E"/>
    <w:rsid w:val="00172F13"/>
    <w:rsid w:val="00175E06"/>
    <w:rsid w:val="00176DBF"/>
    <w:rsid w:val="001773CB"/>
    <w:rsid w:val="00177884"/>
    <w:rsid w:val="00177A32"/>
    <w:rsid w:val="00180DE8"/>
    <w:rsid w:val="0018292B"/>
    <w:rsid w:val="001831E4"/>
    <w:rsid w:val="0018320C"/>
    <w:rsid w:val="00183F81"/>
    <w:rsid w:val="00183FF2"/>
    <w:rsid w:val="0018462F"/>
    <w:rsid w:val="00184B48"/>
    <w:rsid w:val="001850B8"/>
    <w:rsid w:val="001851F1"/>
    <w:rsid w:val="001854D8"/>
    <w:rsid w:val="00187031"/>
    <w:rsid w:val="0018733F"/>
    <w:rsid w:val="00187B9F"/>
    <w:rsid w:val="00187F89"/>
    <w:rsid w:val="00190B0E"/>
    <w:rsid w:val="00191123"/>
    <w:rsid w:val="001911D0"/>
    <w:rsid w:val="00191426"/>
    <w:rsid w:val="0019142B"/>
    <w:rsid w:val="001914EA"/>
    <w:rsid w:val="001921A0"/>
    <w:rsid w:val="001926D2"/>
    <w:rsid w:val="00194C59"/>
    <w:rsid w:val="00194CD4"/>
    <w:rsid w:val="00194D82"/>
    <w:rsid w:val="00197377"/>
    <w:rsid w:val="001A0216"/>
    <w:rsid w:val="001A0F57"/>
    <w:rsid w:val="001A12FF"/>
    <w:rsid w:val="001A1A4B"/>
    <w:rsid w:val="001A206E"/>
    <w:rsid w:val="001A2D7C"/>
    <w:rsid w:val="001A3634"/>
    <w:rsid w:val="001A3BF8"/>
    <w:rsid w:val="001A3C8C"/>
    <w:rsid w:val="001A3F39"/>
    <w:rsid w:val="001A4F9E"/>
    <w:rsid w:val="001A5012"/>
    <w:rsid w:val="001A5473"/>
    <w:rsid w:val="001A5DB8"/>
    <w:rsid w:val="001A60A0"/>
    <w:rsid w:val="001A6CB3"/>
    <w:rsid w:val="001A731D"/>
    <w:rsid w:val="001A7BE5"/>
    <w:rsid w:val="001B0D30"/>
    <w:rsid w:val="001B1790"/>
    <w:rsid w:val="001B1E4D"/>
    <w:rsid w:val="001B2AD8"/>
    <w:rsid w:val="001B2F2F"/>
    <w:rsid w:val="001B30CD"/>
    <w:rsid w:val="001B3BEE"/>
    <w:rsid w:val="001B42ED"/>
    <w:rsid w:val="001B4774"/>
    <w:rsid w:val="001B47E5"/>
    <w:rsid w:val="001B4996"/>
    <w:rsid w:val="001B55B6"/>
    <w:rsid w:val="001B56C7"/>
    <w:rsid w:val="001C02D6"/>
    <w:rsid w:val="001C03A5"/>
    <w:rsid w:val="001C0994"/>
    <w:rsid w:val="001C10DC"/>
    <w:rsid w:val="001C1189"/>
    <w:rsid w:val="001C3515"/>
    <w:rsid w:val="001C3753"/>
    <w:rsid w:val="001C5E6D"/>
    <w:rsid w:val="001C62D7"/>
    <w:rsid w:val="001C66E0"/>
    <w:rsid w:val="001C7A6A"/>
    <w:rsid w:val="001D01CE"/>
    <w:rsid w:val="001D09BF"/>
    <w:rsid w:val="001D0DB6"/>
    <w:rsid w:val="001D1EAF"/>
    <w:rsid w:val="001D2350"/>
    <w:rsid w:val="001D2DB5"/>
    <w:rsid w:val="001D34E0"/>
    <w:rsid w:val="001D3924"/>
    <w:rsid w:val="001D3C9E"/>
    <w:rsid w:val="001D53DC"/>
    <w:rsid w:val="001D5AD5"/>
    <w:rsid w:val="001D6ACA"/>
    <w:rsid w:val="001D7FA6"/>
    <w:rsid w:val="001E0281"/>
    <w:rsid w:val="001E0A58"/>
    <w:rsid w:val="001E0BDE"/>
    <w:rsid w:val="001E2223"/>
    <w:rsid w:val="001E22F3"/>
    <w:rsid w:val="001E2C7E"/>
    <w:rsid w:val="001E3326"/>
    <w:rsid w:val="001E3B1D"/>
    <w:rsid w:val="001E3E04"/>
    <w:rsid w:val="001E7565"/>
    <w:rsid w:val="001E7CBB"/>
    <w:rsid w:val="001F0182"/>
    <w:rsid w:val="001F03C3"/>
    <w:rsid w:val="001F1118"/>
    <w:rsid w:val="001F14B4"/>
    <w:rsid w:val="001F202A"/>
    <w:rsid w:val="001F2C53"/>
    <w:rsid w:val="001F31B4"/>
    <w:rsid w:val="001F3626"/>
    <w:rsid w:val="001F3E8A"/>
    <w:rsid w:val="001F55ED"/>
    <w:rsid w:val="001F5D5C"/>
    <w:rsid w:val="001F6245"/>
    <w:rsid w:val="001F6F61"/>
    <w:rsid w:val="001F7D96"/>
    <w:rsid w:val="002010D9"/>
    <w:rsid w:val="00201B7F"/>
    <w:rsid w:val="002029EA"/>
    <w:rsid w:val="00203FE6"/>
    <w:rsid w:val="00204B58"/>
    <w:rsid w:val="002050F6"/>
    <w:rsid w:val="002051B7"/>
    <w:rsid w:val="00205B36"/>
    <w:rsid w:val="00205EA9"/>
    <w:rsid w:val="00206440"/>
    <w:rsid w:val="0020707F"/>
    <w:rsid w:val="002076BB"/>
    <w:rsid w:val="002079A6"/>
    <w:rsid w:val="00207F04"/>
    <w:rsid w:val="0021014F"/>
    <w:rsid w:val="002113EB"/>
    <w:rsid w:val="00212442"/>
    <w:rsid w:val="002125EE"/>
    <w:rsid w:val="00212ADB"/>
    <w:rsid w:val="00212B2F"/>
    <w:rsid w:val="00212E41"/>
    <w:rsid w:val="00212F72"/>
    <w:rsid w:val="00213325"/>
    <w:rsid w:val="002134AB"/>
    <w:rsid w:val="002146DF"/>
    <w:rsid w:val="00214AD7"/>
    <w:rsid w:val="00215C65"/>
    <w:rsid w:val="002169B3"/>
    <w:rsid w:val="00216CB3"/>
    <w:rsid w:val="002200FB"/>
    <w:rsid w:val="00220343"/>
    <w:rsid w:val="0022073E"/>
    <w:rsid w:val="00220810"/>
    <w:rsid w:val="002208ED"/>
    <w:rsid w:val="00220FB8"/>
    <w:rsid w:val="00220FF4"/>
    <w:rsid w:val="00221BDF"/>
    <w:rsid w:val="00221D04"/>
    <w:rsid w:val="00222098"/>
    <w:rsid w:val="00222826"/>
    <w:rsid w:val="00222864"/>
    <w:rsid w:val="00222D78"/>
    <w:rsid w:val="00223430"/>
    <w:rsid w:val="002236ED"/>
    <w:rsid w:val="00223AC3"/>
    <w:rsid w:val="002241C0"/>
    <w:rsid w:val="00224D5D"/>
    <w:rsid w:val="00224EE4"/>
    <w:rsid w:val="00226B8D"/>
    <w:rsid w:val="00226DCD"/>
    <w:rsid w:val="00227066"/>
    <w:rsid w:val="0023043A"/>
    <w:rsid w:val="002308B7"/>
    <w:rsid w:val="00230F13"/>
    <w:rsid w:val="00231A30"/>
    <w:rsid w:val="00232B08"/>
    <w:rsid w:val="00233695"/>
    <w:rsid w:val="00233983"/>
    <w:rsid w:val="00233F39"/>
    <w:rsid w:val="00234037"/>
    <w:rsid w:val="002346F6"/>
    <w:rsid w:val="00234807"/>
    <w:rsid w:val="00235267"/>
    <w:rsid w:val="00235DE5"/>
    <w:rsid w:val="00236D3E"/>
    <w:rsid w:val="00236D87"/>
    <w:rsid w:val="00237F95"/>
    <w:rsid w:val="00240770"/>
    <w:rsid w:val="00240B3B"/>
    <w:rsid w:val="00240F0D"/>
    <w:rsid w:val="00242684"/>
    <w:rsid w:val="00242974"/>
    <w:rsid w:val="00243251"/>
    <w:rsid w:val="00244403"/>
    <w:rsid w:val="002449C2"/>
    <w:rsid w:val="00244A5A"/>
    <w:rsid w:val="00244F95"/>
    <w:rsid w:val="002457B3"/>
    <w:rsid w:val="0024610D"/>
    <w:rsid w:val="002474F5"/>
    <w:rsid w:val="00247FEB"/>
    <w:rsid w:val="00250D4C"/>
    <w:rsid w:val="00251A36"/>
    <w:rsid w:val="00251F29"/>
    <w:rsid w:val="00251FC6"/>
    <w:rsid w:val="00252126"/>
    <w:rsid w:val="00252A77"/>
    <w:rsid w:val="00252B20"/>
    <w:rsid w:val="0025476B"/>
    <w:rsid w:val="00254933"/>
    <w:rsid w:val="0025563E"/>
    <w:rsid w:val="00255D76"/>
    <w:rsid w:val="00256DB4"/>
    <w:rsid w:val="00256E24"/>
    <w:rsid w:val="0025740F"/>
    <w:rsid w:val="002600D9"/>
    <w:rsid w:val="002616F3"/>
    <w:rsid w:val="00261D98"/>
    <w:rsid w:val="002623A1"/>
    <w:rsid w:val="00262B3A"/>
    <w:rsid w:val="00262C6D"/>
    <w:rsid w:val="002651FD"/>
    <w:rsid w:val="0026592E"/>
    <w:rsid w:val="00265F58"/>
    <w:rsid w:val="00267098"/>
    <w:rsid w:val="002676AB"/>
    <w:rsid w:val="00267789"/>
    <w:rsid w:val="00270C02"/>
    <w:rsid w:val="00270FA1"/>
    <w:rsid w:val="002713F5"/>
    <w:rsid w:val="00272106"/>
    <w:rsid w:val="002722F9"/>
    <w:rsid w:val="002724D3"/>
    <w:rsid w:val="0027294F"/>
    <w:rsid w:val="0027295D"/>
    <w:rsid w:val="00272988"/>
    <w:rsid w:val="00272A82"/>
    <w:rsid w:val="00273CD8"/>
    <w:rsid w:val="00273F3E"/>
    <w:rsid w:val="0027423A"/>
    <w:rsid w:val="002749D6"/>
    <w:rsid w:val="00274E0E"/>
    <w:rsid w:val="00275B9D"/>
    <w:rsid w:val="002760C6"/>
    <w:rsid w:val="002768B4"/>
    <w:rsid w:val="00277973"/>
    <w:rsid w:val="0028094A"/>
    <w:rsid w:val="00282A31"/>
    <w:rsid w:val="00283C65"/>
    <w:rsid w:val="0028621B"/>
    <w:rsid w:val="00286407"/>
    <w:rsid w:val="00287BE6"/>
    <w:rsid w:val="00290117"/>
    <w:rsid w:val="002904D7"/>
    <w:rsid w:val="0029065B"/>
    <w:rsid w:val="0029079B"/>
    <w:rsid w:val="002913B6"/>
    <w:rsid w:val="0029162F"/>
    <w:rsid w:val="00292300"/>
    <w:rsid w:val="002926A8"/>
    <w:rsid w:val="00293658"/>
    <w:rsid w:val="00294167"/>
    <w:rsid w:val="00294597"/>
    <w:rsid w:val="00294A0F"/>
    <w:rsid w:val="00294F1A"/>
    <w:rsid w:val="00295658"/>
    <w:rsid w:val="00295E11"/>
    <w:rsid w:val="00296A3E"/>
    <w:rsid w:val="00296BF8"/>
    <w:rsid w:val="00296E53"/>
    <w:rsid w:val="00296F2D"/>
    <w:rsid w:val="002A090F"/>
    <w:rsid w:val="002A189A"/>
    <w:rsid w:val="002A29E3"/>
    <w:rsid w:val="002A2D8B"/>
    <w:rsid w:val="002A357E"/>
    <w:rsid w:val="002A6106"/>
    <w:rsid w:val="002A618E"/>
    <w:rsid w:val="002A7A8F"/>
    <w:rsid w:val="002A7B85"/>
    <w:rsid w:val="002B0375"/>
    <w:rsid w:val="002B04BB"/>
    <w:rsid w:val="002B0D66"/>
    <w:rsid w:val="002B1A22"/>
    <w:rsid w:val="002B1D17"/>
    <w:rsid w:val="002B2039"/>
    <w:rsid w:val="002B2243"/>
    <w:rsid w:val="002B2E7F"/>
    <w:rsid w:val="002B32B1"/>
    <w:rsid w:val="002B3E51"/>
    <w:rsid w:val="002B43EB"/>
    <w:rsid w:val="002B49E3"/>
    <w:rsid w:val="002B510C"/>
    <w:rsid w:val="002B5A0E"/>
    <w:rsid w:val="002B5B03"/>
    <w:rsid w:val="002B6A39"/>
    <w:rsid w:val="002B6DEC"/>
    <w:rsid w:val="002B7500"/>
    <w:rsid w:val="002B7F92"/>
    <w:rsid w:val="002C0363"/>
    <w:rsid w:val="002C0AE8"/>
    <w:rsid w:val="002C144E"/>
    <w:rsid w:val="002C1B3E"/>
    <w:rsid w:val="002C2034"/>
    <w:rsid w:val="002C3041"/>
    <w:rsid w:val="002C3152"/>
    <w:rsid w:val="002C38D8"/>
    <w:rsid w:val="002C3B36"/>
    <w:rsid w:val="002C4A24"/>
    <w:rsid w:val="002C791E"/>
    <w:rsid w:val="002C7B3A"/>
    <w:rsid w:val="002D02F3"/>
    <w:rsid w:val="002D074C"/>
    <w:rsid w:val="002D0ACC"/>
    <w:rsid w:val="002D21A7"/>
    <w:rsid w:val="002D2BB5"/>
    <w:rsid w:val="002D38FF"/>
    <w:rsid w:val="002D426A"/>
    <w:rsid w:val="002D52DE"/>
    <w:rsid w:val="002D5817"/>
    <w:rsid w:val="002D5984"/>
    <w:rsid w:val="002D5F99"/>
    <w:rsid w:val="002D7D57"/>
    <w:rsid w:val="002E16D3"/>
    <w:rsid w:val="002E23C7"/>
    <w:rsid w:val="002E377C"/>
    <w:rsid w:val="002E3A78"/>
    <w:rsid w:val="002E52C6"/>
    <w:rsid w:val="002E5FEA"/>
    <w:rsid w:val="002E6350"/>
    <w:rsid w:val="002E6546"/>
    <w:rsid w:val="002E65DC"/>
    <w:rsid w:val="002E6976"/>
    <w:rsid w:val="002E7578"/>
    <w:rsid w:val="002E7929"/>
    <w:rsid w:val="002E7C25"/>
    <w:rsid w:val="002F0CAC"/>
    <w:rsid w:val="002F1B8A"/>
    <w:rsid w:val="002F1EC0"/>
    <w:rsid w:val="002F2CEB"/>
    <w:rsid w:val="002F2DB7"/>
    <w:rsid w:val="002F3196"/>
    <w:rsid w:val="002F33DF"/>
    <w:rsid w:val="002F3D19"/>
    <w:rsid w:val="002F3D94"/>
    <w:rsid w:val="002F503A"/>
    <w:rsid w:val="002F589B"/>
    <w:rsid w:val="002F60C1"/>
    <w:rsid w:val="002F638A"/>
    <w:rsid w:val="002F6573"/>
    <w:rsid w:val="002F6C99"/>
    <w:rsid w:val="002F6D5C"/>
    <w:rsid w:val="002F740E"/>
    <w:rsid w:val="002F74D9"/>
    <w:rsid w:val="002F7FC3"/>
    <w:rsid w:val="00300A18"/>
    <w:rsid w:val="003012C5"/>
    <w:rsid w:val="0030390C"/>
    <w:rsid w:val="00303EA6"/>
    <w:rsid w:val="00304C1F"/>
    <w:rsid w:val="00305FE1"/>
    <w:rsid w:val="003075ED"/>
    <w:rsid w:val="00307A78"/>
    <w:rsid w:val="00310A64"/>
    <w:rsid w:val="00312C35"/>
    <w:rsid w:val="00313357"/>
    <w:rsid w:val="003138DE"/>
    <w:rsid w:val="003143DF"/>
    <w:rsid w:val="00314E53"/>
    <w:rsid w:val="00315470"/>
    <w:rsid w:val="00315EDF"/>
    <w:rsid w:val="003166D5"/>
    <w:rsid w:val="003167C9"/>
    <w:rsid w:val="0031699B"/>
    <w:rsid w:val="0031757E"/>
    <w:rsid w:val="00317AF7"/>
    <w:rsid w:val="00320C3B"/>
    <w:rsid w:val="00321B4A"/>
    <w:rsid w:val="0032387F"/>
    <w:rsid w:val="003251FF"/>
    <w:rsid w:val="00327157"/>
    <w:rsid w:val="00327177"/>
    <w:rsid w:val="0032765C"/>
    <w:rsid w:val="00330483"/>
    <w:rsid w:val="00331522"/>
    <w:rsid w:val="00331F86"/>
    <w:rsid w:val="003322CC"/>
    <w:rsid w:val="003325B6"/>
    <w:rsid w:val="00333526"/>
    <w:rsid w:val="00333998"/>
    <w:rsid w:val="003339C2"/>
    <w:rsid w:val="003339FB"/>
    <w:rsid w:val="00334DE4"/>
    <w:rsid w:val="0033540C"/>
    <w:rsid w:val="00335FB2"/>
    <w:rsid w:val="003362F6"/>
    <w:rsid w:val="00336917"/>
    <w:rsid w:val="003373EF"/>
    <w:rsid w:val="00337529"/>
    <w:rsid w:val="00337B51"/>
    <w:rsid w:val="003405B3"/>
    <w:rsid w:val="0034116B"/>
    <w:rsid w:val="00341946"/>
    <w:rsid w:val="00341F73"/>
    <w:rsid w:val="003423B3"/>
    <w:rsid w:val="003430BD"/>
    <w:rsid w:val="0034462D"/>
    <w:rsid w:val="00345C34"/>
    <w:rsid w:val="00345E2A"/>
    <w:rsid w:val="00345E4C"/>
    <w:rsid w:val="00345EE9"/>
    <w:rsid w:val="00346092"/>
    <w:rsid w:val="0034653C"/>
    <w:rsid w:val="0035007D"/>
    <w:rsid w:val="00350337"/>
    <w:rsid w:val="00350C3E"/>
    <w:rsid w:val="0035162D"/>
    <w:rsid w:val="00351EC1"/>
    <w:rsid w:val="0035210B"/>
    <w:rsid w:val="003527B2"/>
    <w:rsid w:val="00353255"/>
    <w:rsid w:val="0035374D"/>
    <w:rsid w:val="003545BC"/>
    <w:rsid w:val="00354D84"/>
    <w:rsid w:val="003553BF"/>
    <w:rsid w:val="00355406"/>
    <w:rsid w:val="00356D76"/>
    <w:rsid w:val="00356F26"/>
    <w:rsid w:val="00360B0A"/>
    <w:rsid w:val="0036121E"/>
    <w:rsid w:val="00361C36"/>
    <w:rsid w:val="0036218C"/>
    <w:rsid w:val="003626B1"/>
    <w:rsid w:val="00362795"/>
    <w:rsid w:val="003637C3"/>
    <w:rsid w:val="003649D9"/>
    <w:rsid w:val="00364A7B"/>
    <w:rsid w:val="00364B9F"/>
    <w:rsid w:val="003656B9"/>
    <w:rsid w:val="00366C96"/>
    <w:rsid w:val="00367760"/>
    <w:rsid w:val="0037099B"/>
    <w:rsid w:val="00371106"/>
    <w:rsid w:val="00371875"/>
    <w:rsid w:val="00372241"/>
    <w:rsid w:val="00372C51"/>
    <w:rsid w:val="00372FB2"/>
    <w:rsid w:val="00373839"/>
    <w:rsid w:val="00373A4A"/>
    <w:rsid w:val="00373BEE"/>
    <w:rsid w:val="00374270"/>
    <w:rsid w:val="00374E14"/>
    <w:rsid w:val="00374FCE"/>
    <w:rsid w:val="00375BD6"/>
    <w:rsid w:val="00375C87"/>
    <w:rsid w:val="00376256"/>
    <w:rsid w:val="0037658B"/>
    <w:rsid w:val="003809DD"/>
    <w:rsid w:val="0038107E"/>
    <w:rsid w:val="00381CFB"/>
    <w:rsid w:val="00383CC1"/>
    <w:rsid w:val="00383DA6"/>
    <w:rsid w:val="003843D3"/>
    <w:rsid w:val="00385282"/>
    <w:rsid w:val="00385E2A"/>
    <w:rsid w:val="00386E9F"/>
    <w:rsid w:val="00387B9B"/>
    <w:rsid w:val="00387BE9"/>
    <w:rsid w:val="00387CB4"/>
    <w:rsid w:val="003909B8"/>
    <w:rsid w:val="0039194A"/>
    <w:rsid w:val="00391C7A"/>
    <w:rsid w:val="003920E2"/>
    <w:rsid w:val="00394B6A"/>
    <w:rsid w:val="003952C0"/>
    <w:rsid w:val="003954AD"/>
    <w:rsid w:val="00395547"/>
    <w:rsid w:val="00395638"/>
    <w:rsid w:val="003956F5"/>
    <w:rsid w:val="00396D25"/>
    <w:rsid w:val="003970A0"/>
    <w:rsid w:val="0039748A"/>
    <w:rsid w:val="00397EA0"/>
    <w:rsid w:val="003A1728"/>
    <w:rsid w:val="003A1965"/>
    <w:rsid w:val="003A2C6C"/>
    <w:rsid w:val="003A373D"/>
    <w:rsid w:val="003A3B1F"/>
    <w:rsid w:val="003A3C4D"/>
    <w:rsid w:val="003A44BE"/>
    <w:rsid w:val="003A4E40"/>
    <w:rsid w:val="003A4F90"/>
    <w:rsid w:val="003A57E7"/>
    <w:rsid w:val="003A5CAB"/>
    <w:rsid w:val="003A6A29"/>
    <w:rsid w:val="003A7508"/>
    <w:rsid w:val="003B0F46"/>
    <w:rsid w:val="003B1B61"/>
    <w:rsid w:val="003B3F10"/>
    <w:rsid w:val="003B3F81"/>
    <w:rsid w:val="003B4269"/>
    <w:rsid w:val="003B46C4"/>
    <w:rsid w:val="003B4C88"/>
    <w:rsid w:val="003B50CC"/>
    <w:rsid w:val="003B5AB2"/>
    <w:rsid w:val="003B687E"/>
    <w:rsid w:val="003B6C53"/>
    <w:rsid w:val="003B6F2E"/>
    <w:rsid w:val="003B6F69"/>
    <w:rsid w:val="003B768E"/>
    <w:rsid w:val="003B76E0"/>
    <w:rsid w:val="003B7C3D"/>
    <w:rsid w:val="003C132D"/>
    <w:rsid w:val="003C1370"/>
    <w:rsid w:val="003C167A"/>
    <w:rsid w:val="003C1B23"/>
    <w:rsid w:val="003C1B7B"/>
    <w:rsid w:val="003C1C27"/>
    <w:rsid w:val="003C3EC2"/>
    <w:rsid w:val="003C3F08"/>
    <w:rsid w:val="003C4507"/>
    <w:rsid w:val="003C490C"/>
    <w:rsid w:val="003C5744"/>
    <w:rsid w:val="003C5E42"/>
    <w:rsid w:val="003C652A"/>
    <w:rsid w:val="003C6753"/>
    <w:rsid w:val="003C6A90"/>
    <w:rsid w:val="003C6E09"/>
    <w:rsid w:val="003D0A32"/>
    <w:rsid w:val="003D10A8"/>
    <w:rsid w:val="003D18F0"/>
    <w:rsid w:val="003D24AA"/>
    <w:rsid w:val="003D4B91"/>
    <w:rsid w:val="003D6B91"/>
    <w:rsid w:val="003D731F"/>
    <w:rsid w:val="003D775A"/>
    <w:rsid w:val="003E0EB7"/>
    <w:rsid w:val="003E154D"/>
    <w:rsid w:val="003E1790"/>
    <w:rsid w:val="003E17C8"/>
    <w:rsid w:val="003E1EF6"/>
    <w:rsid w:val="003E282D"/>
    <w:rsid w:val="003E2983"/>
    <w:rsid w:val="003E2C7B"/>
    <w:rsid w:val="003E426E"/>
    <w:rsid w:val="003E4B50"/>
    <w:rsid w:val="003E4E52"/>
    <w:rsid w:val="003E4FCE"/>
    <w:rsid w:val="003F1D11"/>
    <w:rsid w:val="003F25BC"/>
    <w:rsid w:val="003F26B6"/>
    <w:rsid w:val="003F2D4A"/>
    <w:rsid w:val="003F3062"/>
    <w:rsid w:val="003F32E0"/>
    <w:rsid w:val="003F39A7"/>
    <w:rsid w:val="003F45BA"/>
    <w:rsid w:val="003F54FF"/>
    <w:rsid w:val="003F6191"/>
    <w:rsid w:val="003F62A3"/>
    <w:rsid w:val="003F6796"/>
    <w:rsid w:val="003F6EC1"/>
    <w:rsid w:val="00401D2C"/>
    <w:rsid w:val="00402DAB"/>
    <w:rsid w:val="00403A35"/>
    <w:rsid w:val="00403DF4"/>
    <w:rsid w:val="004040A3"/>
    <w:rsid w:val="004041B2"/>
    <w:rsid w:val="0040450F"/>
    <w:rsid w:val="00405C0A"/>
    <w:rsid w:val="004062DC"/>
    <w:rsid w:val="004064E9"/>
    <w:rsid w:val="00406A2F"/>
    <w:rsid w:val="00406DE0"/>
    <w:rsid w:val="00406E90"/>
    <w:rsid w:val="0040715F"/>
    <w:rsid w:val="004071BC"/>
    <w:rsid w:val="00407285"/>
    <w:rsid w:val="00407EC4"/>
    <w:rsid w:val="00410154"/>
    <w:rsid w:val="0041080C"/>
    <w:rsid w:val="00410886"/>
    <w:rsid w:val="00410AA0"/>
    <w:rsid w:val="00410DC7"/>
    <w:rsid w:val="00412B3D"/>
    <w:rsid w:val="00412DAC"/>
    <w:rsid w:val="004141EF"/>
    <w:rsid w:val="004145D1"/>
    <w:rsid w:val="004156D4"/>
    <w:rsid w:val="004168CF"/>
    <w:rsid w:val="0041698B"/>
    <w:rsid w:val="00417EB8"/>
    <w:rsid w:val="00420179"/>
    <w:rsid w:val="0042171A"/>
    <w:rsid w:val="00421C8A"/>
    <w:rsid w:val="00422F1F"/>
    <w:rsid w:val="004239CC"/>
    <w:rsid w:val="00423CD3"/>
    <w:rsid w:val="00427121"/>
    <w:rsid w:val="004300DB"/>
    <w:rsid w:val="004308C3"/>
    <w:rsid w:val="00431628"/>
    <w:rsid w:val="00431FAB"/>
    <w:rsid w:val="00432086"/>
    <w:rsid w:val="00432C16"/>
    <w:rsid w:val="00432C43"/>
    <w:rsid w:val="004337D2"/>
    <w:rsid w:val="00433ACA"/>
    <w:rsid w:val="00434E11"/>
    <w:rsid w:val="00435F25"/>
    <w:rsid w:val="004364BE"/>
    <w:rsid w:val="00437428"/>
    <w:rsid w:val="004379BF"/>
    <w:rsid w:val="00437D09"/>
    <w:rsid w:val="00440753"/>
    <w:rsid w:val="00441A1C"/>
    <w:rsid w:val="00442247"/>
    <w:rsid w:val="0044331E"/>
    <w:rsid w:val="004437ED"/>
    <w:rsid w:val="0044381A"/>
    <w:rsid w:val="00443D58"/>
    <w:rsid w:val="00444002"/>
    <w:rsid w:val="00444877"/>
    <w:rsid w:val="00444C0D"/>
    <w:rsid w:val="00445804"/>
    <w:rsid w:val="00445B2D"/>
    <w:rsid w:val="004463A9"/>
    <w:rsid w:val="00446664"/>
    <w:rsid w:val="00447711"/>
    <w:rsid w:val="00447866"/>
    <w:rsid w:val="00447FB2"/>
    <w:rsid w:val="00450B18"/>
    <w:rsid w:val="00453083"/>
    <w:rsid w:val="004531DE"/>
    <w:rsid w:val="00455CE8"/>
    <w:rsid w:val="00455E2B"/>
    <w:rsid w:val="00455EB4"/>
    <w:rsid w:val="00455EE9"/>
    <w:rsid w:val="00456FE9"/>
    <w:rsid w:val="00457585"/>
    <w:rsid w:val="004602DA"/>
    <w:rsid w:val="00461BD4"/>
    <w:rsid w:val="00462101"/>
    <w:rsid w:val="0046224C"/>
    <w:rsid w:val="0046338B"/>
    <w:rsid w:val="00463B3A"/>
    <w:rsid w:val="0046418E"/>
    <w:rsid w:val="0046487F"/>
    <w:rsid w:val="004648EE"/>
    <w:rsid w:val="00464D88"/>
    <w:rsid w:val="00466CB4"/>
    <w:rsid w:val="0046732A"/>
    <w:rsid w:val="004708BE"/>
    <w:rsid w:val="004719A2"/>
    <w:rsid w:val="00471FBC"/>
    <w:rsid w:val="00472451"/>
    <w:rsid w:val="00472688"/>
    <w:rsid w:val="00472952"/>
    <w:rsid w:val="00472B13"/>
    <w:rsid w:val="00472FA8"/>
    <w:rsid w:val="0047365A"/>
    <w:rsid w:val="0047506B"/>
    <w:rsid w:val="004753DA"/>
    <w:rsid w:val="00475457"/>
    <w:rsid w:val="00475901"/>
    <w:rsid w:val="00477A9E"/>
    <w:rsid w:val="00480EEB"/>
    <w:rsid w:val="004814EB"/>
    <w:rsid w:val="00481A80"/>
    <w:rsid w:val="00481D84"/>
    <w:rsid w:val="0048228C"/>
    <w:rsid w:val="00485FF1"/>
    <w:rsid w:val="00486617"/>
    <w:rsid w:val="00486884"/>
    <w:rsid w:val="004874E3"/>
    <w:rsid w:val="004877D2"/>
    <w:rsid w:val="00490131"/>
    <w:rsid w:val="0049044C"/>
    <w:rsid w:val="00490A31"/>
    <w:rsid w:val="00490C15"/>
    <w:rsid w:val="00492D68"/>
    <w:rsid w:val="00493B6C"/>
    <w:rsid w:val="00494080"/>
    <w:rsid w:val="004944DF"/>
    <w:rsid w:val="0049499F"/>
    <w:rsid w:val="00494F6C"/>
    <w:rsid w:val="004956C3"/>
    <w:rsid w:val="0049589E"/>
    <w:rsid w:val="00495B47"/>
    <w:rsid w:val="00496E33"/>
    <w:rsid w:val="004971F9"/>
    <w:rsid w:val="004A0518"/>
    <w:rsid w:val="004A1721"/>
    <w:rsid w:val="004A35BD"/>
    <w:rsid w:val="004A3AC4"/>
    <w:rsid w:val="004A3ACA"/>
    <w:rsid w:val="004A3C07"/>
    <w:rsid w:val="004A435C"/>
    <w:rsid w:val="004A58D6"/>
    <w:rsid w:val="004A6301"/>
    <w:rsid w:val="004A6D97"/>
    <w:rsid w:val="004A7222"/>
    <w:rsid w:val="004A76D7"/>
    <w:rsid w:val="004A7C11"/>
    <w:rsid w:val="004B138F"/>
    <w:rsid w:val="004B1E28"/>
    <w:rsid w:val="004B2EA2"/>
    <w:rsid w:val="004B2F6C"/>
    <w:rsid w:val="004B325C"/>
    <w:rsid w:val="004B37AB"/>
    <w:rsid w:val="004B4DA8"/>
    <w:rsid w:val="004B4EEE"/>
    <w:rsid w:val="004B4FE5"/>
    <w:rsid w:val="004B595D"/>
    <w:rsid w:val="004B5B4A"/>
    <w:rsid w:val="004B63E3"/>
    <w:rsid w:val="004B7587"/>
    <w:rsid w:val="004B76A7"/>
    <w:rsid w:val="004B7C61"/>
    <w:rsid w:val="004C0C47"/>
    <w:rsid w:val="004C0C58"/>
    <w:rsid w:val="004C1104"/>
    <w:rsid w:val="004C2496"/>
    <w:rsid w:val="004C2654"/>
    <w:rsid w:val="004C2A85"/>
    <w:rsid w:val="004C6017"/>
    <w:rsid w:val="004C670B"/>
    <w:rsid w:val="004C6AE2"/>
    <w:rsid w:val="004C70F5"/>
    <w:rsid w:val="004C7CD5"/>
    <w:rsid w:val="004D1CBD"/>
    <w:rsid w:val="004D1D6E"/>
    <w:rsid w:val="004D2518"/>
    <w:rsid w:val="004D3265"/>
    <w:rsid w:val="004D37C6"/>
    <w:rsid w:val="004D3D03"/>
    <w:rsid w:val="004D439C"/>
    <w:rsid w:val="004D44F7"/>
    <w:rsid w:val="004D4576"/>
    <w:rsid w:val="004D6303"/>
    <w:rsid w:val="004D78F7"/>
    <w:rsid w:val="004D7997"/>
    <w:rsid w:val="004E06A4"/>
    <w:rsid w:val="004E0A2D"/>
    <w:rsid w:val="004E302C"/>
    <w:rsid w:val="004E36C3"/>
    <w:rsid w:val="004E390C"/>
    <w:rsid w:val="004E39C4"/>
    <w:rsid w:val="004E461A"/>
    <w:rsid w:val="004E4C99"/>
    <w:rsid w:val="004E5346"/>
    <w:rsid w:val="004E6426"/>
    <w:rsid w:val="004F1ACA"/>
    <w:rsid w:val="004F316E"/>
    <w:rsid w:val="004F3CF0"/>
    <w:rsid w:val="004F3D9D"/>
    <w:rsid w:val="004F40B1"/>
    <w:rsid w:val="004F4154"/>
    <w:rsid w:val="004F489F"/>
    <w:rsid w:val="004F4B30"/>
    <w:rsid w:val="004F5B2B"/>
    <w:rsid w:val="004F5D9C"/>
    <w:rsid w:val="004F6799"/>
    <w:rsid w:val="004F7209"/>
    <w:rsid w:val="005002A8"/>
    <w:rsid w:val="00500F4B"/>
    <w:rsid w:val="00501EE6"/>
    <w:rsid w:val="005023E1"/>
    <w:rsid w:val="00502D00"/>
    <w:rsid w:val="00502F55"/>
    <w:rsid w:val="00502F82"/>
    <w:rsid w:val="005032E3"/>
    <w:rsid w:val="00504472"/>
    <w:rsid w:val="00504BD9"/>
    <w:rsid w:val="005054D2"/>
    <w:rsid w:val="005060F8"/>
    <w:rsid w:val="00506DF3"/>
    <w:rsid w:val="00507A1E"/>
    <w:rsid w:val="005100FA"/>
    <w:rsid w:val="005106EB"/>
    <w:rsid w:val="005118A0"/>
    <w:rsid w:val="0051195F"/>
    <w:rsid w:val="00511992"/>
    <w:rsid w:val="005124DA"/>
    <w:rsid w:val="005125B6"/>
    <w:rsid w:val="00512CBB"/>
    <w:rsid w:val="00512F35"/>
    <w:rsid w:val="005131C6"/>
    <w:rsid w:val="0051339C"/>
    <w:rsid w:val="0051369B"/>
    <w:rsid w:val="005138F6"/>
    <w:rsid w:val="00514E9D"/>
    <w:rsid w:val="00515C21"/>
    <w:rsid w:val="00515D3E"/>
    <w:rsid w:val="005165E6"/>
    <w:rsid w:val="00516828"/>
    <w:rsid w:val="00516A1B"/>
    <w:rsid w:val="00520B2F"/>
    <w:rsid w:val="005215BF"/>
    <w:rsid w:val="0052177E"/>
    <w:rsid w:val="00521C6F"/>
    <w:rsid w:val="00522498"/>
    <w:rsid w:val="005230BE"/>
    <w:rsid w:val="005235FC"/>
    <w:rsid w:val="00523D61"/>
    <w:rsid w:val="005251F2"/>
    <w:rsid w:val="00525A85"/>
    <w:rsid w:val="00525C0C"/>
    <w:rsid w:val="0053009F"/>
    <w:rsid w:val="005305DB"/>
    <w:rsid w:val="00530745"/>
    <w:rsid w:val="0053189B"/>
    <w:rsid w:val="005324F9"/>
    <w:rsid w:val="00532851"/>
    <w:rsid w:val="0053450B"/>
    <w:rsid w:val="00534598"/>
    <w:rsid w:val="00534D08"/>
    <w:rsid w:val="00535940"/>
    <w:rsid w:val="005359C2"/>
    <w:rsid w:val="00535F09"/>
    <w:rsid w:val="0053728E"/>
    <w:rsid w:val="0053738F"/>
    <w:rsid w:val="00540E21"/>
    <w:rsid w:val="00541435"/>
    <w:rsid w:val="005417C0"/>
    <w:rsid w:val="00542358"/>
    <w:rsid w:val="0054281C"/>
    <w:rsid w:val="00542B8B"/>
    <w:rsid w:val="00542FE2"/>
    <w:rsid w:val="00543ABC"/>
    <w:rsid w:val="00544032"/>
    <w:rsid w:val="005443F5"/>
    <w:rsid w:val="00544454"/>
    <w:rsid w:val="005449F5"/>
    <w:rsid w:val="00544B15"/>
    <w:rsid w:val="00544F9A"/>
    <w:rsid w:val="00545B69"/>
    <w:rsid w:val="00546C36"/>
    <w:rsid w:val="005474A8"/>
    <w:rsid w:val="00550034"/>
    <w:rsid w:val="005516DB"/>
    <w:rsid w:val="00551F0F"/>
    <w:rsid w:val="005532CC"/>
    <w:rsid w:val="00554168"/>
    <w:rsid w:val="00555D75"/>
    <w:rsid w:val="00555FD8"/>
    <w:rsid w:val="005576B0"/>
    <w:rsid w:val="0056019D"/>
    <w:rsid w:val="0056023A"/>
    <w:rsid w:val="00561168"/>
    <w:rsid w:val="00561D1E"/>
    <w:rsid w:val="005626D5"/>
    <w:rsid w:val="00562B1E"/>
    <w:rsid w:val="00563210"/>
    <w:rsid w:val="00563AE7"/>
    <w:rsid w:val="00563AF2"/>
    <w:rsid w:val="005649D0"/>
    <w:rsid w:val="00565363"/>
    <w:rsid w:val="0056653B"/>
    <w:rsid w:val="00567F4B"/>
    <w:rsid w:val="005726DB"/>
    <w:rsid w:val="00574501"/>
    <w:rsid w:val="0057672C"/>
    <w:rsid w:val="005806E7"/>
    <w:rsid w:val="005808BD"/>
    <w:rsid w:val="00581B9D"/>
    <w:rsid w:val="00582299"/>
    <w:rsid w:val="005828CE"/>
    <w:rsid w:val="00582BC7"/>
    <w:rsid w:val="00583BB3"/>
    <w:rsid w:val="00584EEB"/>
    <w:rsid w:val="00585EA4"/>
    <w:rsid w:val="00586133"/>
    <w:rsid w:val="005865C5"/>
    <w:rsid w:val="005874E7"/>
    <w:rsid w:val="005878C3"/>
    <w:rsid w:val="00587E6E"/>
    <w:rsid w:val="005916DD"/>
    <w:rsid w:val="005918A9"/>
    <w:rsid w:val="00591945"/>
    <w:rsid w:val="00591A96"/>
    <w:rsid w:val="00591D6D"/>
    <w:rsid w:val="00592035"/>
    <w:rsid w:val="00592F2B"/>
    <w:rsid w:val="0059304C"/>
    <w:rsid w:val="00593D35"/>
    <w:rsid w:val="00593F60"/>
    <w:rsid w:val="00596093"/>
    <w:rsid w:val="00596A31"/>
    <w:rsid w:val="0059726B"/>
    <w:rsid w:val="00597BF7"/>
    <w:rsid w:val="00597CC5"/>
    <w:rsid w:val="00597E7C"/>
    <w:rsid w:val="005A0C90"/>
    <w:rsid w:val="005A2E96"/>
    <w:rsid w:val="005A333D"/>
    <w:rsid w:val="005A408C"/>
    <w:rsid w:val="005A42C3"/>
    <w:rsid w:val="005A449F"/>
    <w:rsid w:val="005A4670"/>
    <w:rsid w:val="005A48EB"/>
    <w:rsid w:val="005A523D"/>
    <w:rsid w:val="005A5AC7"/>
    <w:rsid w:val="005A682A"/>
    <w:rsid w:val="005A7719"/>
    <w:rsid w:val="005A7AAF"/>
    <w:rsid w:val="005B063E"/>
    <w:rsid w:val="005B1391"/>
    <w:rsid w:val="005B1ABF"/>
    <w:rsid w:val="005B2099"/>
    <w:rsid w:val="005B2984"/>
    <w:rsid w:val="005B31EB"/>
    <w:rsid w:val="005B3296"/>
    <w:rsid w:val="005B4755"/>
    <w:rsid w:val="005B48C5"/>
    <w:rsid w:val="005B4C5E"/>
    <w:rsid w:val="005B4C70"/>
    <w:rsid w:val="005B550D"/>
    <w:rsid w:val="005B62FE"/>
    <w:rsid w:val="005B6DFC"/>
    <w:rsid w:val="005B7102"/>
    <w:rsid w:val="005B7C67"/>
    <w:rsid w:val="005C10EA"/>
    <w:rsid w:val="005C1503"/>
    <w:rsid w:val="005C1D11"/>
    <w:rsid w:val="005C1F40"/>
    <w:rsid w:val="005C23E2"/>
    <w:rsid w:val="005C276A"/>
    <w:rsid w:val="005C28A1"/>
    <w:rsid w:val="005C2DAC"/>
    <w:rsid w:val="005C3551"/>
    <w:rsid w:val="005C3754"/>
    <w:rsid w:val="005C3865"/>
    <w:rsid w:val="005C53F9"/>
    <w:rsid w:val="005C741A"/>
    <w:rsid w:val="005D1403"/>
    <w:rsid w:val="005D16AA"/>
    <w:rsid w:val="005D1F7F"/>
    <w:rsid w:val="005D2193"/>
    <w:rsid w:val="005D23B2"/>
    <w:rsid w:val="005D30E0"/>
    <w:rsid w:val="005D35B4"/>
    <w:rsid w:val="005D39E3"/>
    <w:rsid w:val="005D3FF3"/>
    <w:rsid w:val="005D55DF"/>
    <w:rsid w:val="005D6581"/>
    <w:rsid w:val="005D6722"/>
    <w:rsid w:val="005D7189"/>
    <w:rsid w:val="005D787F"/>
    <w:rsid w:val="005E0A04"/>
    <w:rsid w:val="005E0C7A"/>
    <w:rsid w:val="005E1B61"/>
    <w:rsid w:val="005E3144"/>
    <w:rsid w:val="005E3C1C"/>
    <w:rsid w:val="005E43F1"/>
    <w:rsid w:val="005E581A"/>
    <w:rsid w:val="005E5C2B"/>
    <w:rsid w:val="005E6B7B"/>
    <w:rsid w:val="005E6C12"/>
    <w:rsid w:val="005E6C2D"/>
    <w:rsid w:val="005E76A0"/>
    <w:rsid w:val="005E76CB"/>
    <w:rsid w:val="005F123E"/>
    <w:rsid w:val="005F177D"/>
    <w:rsid w:val="005F1B0A"/>
    <w:rsid w:val="005F1D1C"/>
    <w:rsid w:val="005F2D3A"/>
    <w:rsid w:val="005F325D"/>
    <w:rsid w:val="005F4578"/>
    <w:rsid w:val="005F54E1"/>
    <w:rsid w:val="005F563C"/>
    <w:rsid w:val="005F5AEC"/>
    <w:rsid w:val="005F5D2F"/>
    <w:rsid w:val="005F61FC"/>
    <w:rsid w:val="005F742D"/>
    <w:rsid w:val="005F7509"/>
    <w:rsid w:val="005F7573"/>
    <w:rsid w:val="005F771A"/>
    <w:rsid w:val="005F7DC8"/>
    <w:rsid w:val="00600480"/>
    <w:rsid w:val="00601E00"/>
    <w:rsid w:val="0060223A"/>
    <w:rsid w:val="006026F1"/>
    <w:rsid w:val="006028F8"/>
    <w:rsid w:val="00603B07"/>
    <w:rsid w:val="006044B0"/>
    <w:rsid w:val="006060DA"/>
    <w:rsid w:val="00606F6C"/>
    <w:rsid w:val="00607220"/>
    <w:rsid w:val="0060728B"/>
    <w:rsid w:val="0060739D"/>
    <w:rsid w:val="00607EBB"/>
    <w:rsid w:val="00610679"/>
    <w:rsid w:val="00610934"/>
    <w:rsid w:val="00610B44"/>
    <w:rsid w:val="00610BFE"/>
    <w:rsid w:val="00610EBF"/>
    <w:rsid w:val="00610F72"/>
    <w:rsid w:val="00610FCA"/>
    <w:rsid w:val="00612A64"/>
    <w:rsid w:val="0061365E"/>
    <w:rsid w:val="00614D72"/>
    <w:rsid w:val="00614EC1"/>
    <w:rsid w:val="00617CA1"/>
    <w:rsid w:val="0062106E"/>
    <w:rsid w:val="006217F4"/>
    <w:rsid w:val="0062195E"/>
    <w:rsid w:val="00621C86"/>
    <w:rsid w:val="00621DE2"/>
    <w:rsid w:val="006220A2"/>
    <w:rsid w:val="00624C9F"/>
    <w:rsid w:val="00625642"/>
    <w:rsid w:val="006257BC"/>
    <w:rsid w:val="00625CB7"/>
    <w:rsid w:val="00625FAB"/>
    <w:rsid w:val="00626B13"/>
    <w:rsid w:val="00627358"/>
    <w:rsid w:val="0063011C"/>
    <w:rsid w:val="006307A0"/>
    <w:rsid w:val="0063081F"/>
    <w:rsid w:val="00630EB6"/>
    <w:rsid w:val="00632470"/>
    <w:rsid w:val="0063274B"/>
    <w:rsid w:val="0063293B"/>
    <w:rsid w:val="00632DD8"/>
    <w:rsid w:val="00633A7D"/>
    <w:rsid w:val="00633C6F"/>
    <w:rsid w:val="00633EC2"/>
    <w:rsid w:val="00633FF2"/>
    <w:rsid w:val="00636525"/>
    <w:rsid w:val="006408EC"/>
    <w:rsid w:val="00640AA3"/>
    <w:rsid w:val="00640EC7"/>
    <w:rsid w:val="00640F12"/>
    <w:rsid w:val="00640F45"/>
    <w:rsid w:val="006412D7"/>
    <w:rsid w:val="006414AB"/>
    <w:rsid w:val="006414D2"/>
    <w:rsid w:val="006417EE"/>
    <w:rsid w:val="006419CB"/>
    <w:rsid w:val="00643356"/>
    <w:rsid w:val="00645505"/>
    <w:rsid w:val="00645678"/>
    <w:rsid w:val="00646CE9"/>
    <w:rsid w:val="00646DCD"/>
    <w:rsid w:val="0064704D"/>
    <w:rsid w:val="006478EF"/>
    <w:rsid w:val="00647A71"/>
    <w:rsid w:val="00647C79"/>
    <w:rsid w:val="00647E3C"/>
    <w:rsid w:val="00650ECB"/>
    <w:rsid w:val="0065169D"/>
    <w:rsid w:val="006517DD"/>
    <w:rsid w:val="00652010"/>
    <w:rsid w:val="006525D1"/>
    <w:rsid w:val="0065346F"/>
    <w:rsid w:val="00653BF1"/>
    <w:rsid w:val="0065474B"/>
    <w:rsid w:val="00654F60"/>
    <w:rsid w:val="0065643D"/>
    <w:rsid w:val="00656559"/>
    <w:rsid w:val="00657A40"/>
    <w:rsid w:val="006600BA"/>
    <w:rsid w:val="006600C2"/>
    <w:rsid w:val="00660F67"/>
    <w:rsid w:val="006615C0"/>
    <w:rsid w:val="006620F2"/>
    <w:rsid w:val="0066213C"/>
    <w:rsid w:val="00662255"/>
    <w:rsid w:val="00662AAD"/>
    <w:rsid w:val="0066409E"/>
    <w:rsid w:val="006641A1"/>
    <w:rsid w:val="006644A3"/>
    <w:rsid w:val="00664C95"/>
    <w:rsid w:val="00664CA7"/>
    <w:rsid w:val="00664D8F"/>
    <w:rsid w:val="00665246"/>
    <w:rsid w:val="00665479"/>
    <w:rsid w:val="0066550B"/>
    <w:rsid w:val="00665DD2"/>
    <w:rsid w:val="00665F1D"/>
    <w:rsid w:val="006663FE"/>
    <w:rsid w:val="0066642D"/>
    <w:rsid w:val="00667CF2"/>
    <w:rsid w:val="00670840"/>
    <w:rsid w:val="00670E39"/>
    <w:rsid w:val="0067123A"/>
    <w:rsid w:val="006726D5"/>
    <w:rsid w:val="00673119"/>
    <w:rsid w:val="00673BE2"/>
    <w:rsid w:val="00673F3D"/>
    <w:rsid w:val="0067528F"/>
    <w:rsid w:val="006759F0"/>
    <w:rsid w:val="00675A8B"/>
    <w:rsid w:val="006776CB"/>
    <w:rsid w:val="0068017D"/>
    <w:rsid w:val="00680937"/>
    <w:rsid w:val="0068135E"/>
    <w:rsid w:val="006818E9"/>
    <w:rsid w:val="00681CEF"/>
    <w:rsid w:val="0068218A"/>
    <w:rsid w:val="00683BD5"/>
    <w:rsid w:val="006844A4"/>
    <w:rsid w:val="00685410"/>
    <w:rsid w:val="006860E0"/>
    <w:rsid w:val="00686296"/>
    <w:rsid w:val="00687BDB"/>
    <w:rsid w:val="00687C40"/>
    <w:rsid w:val="00687E2E"/>
    <w:rsid w:val="00687FF7"/>
    <w:rsid w:val="00690880"/>
    <w:rsid w:val="00690937"/>
    <w:rsid w:val="0069122A"/>
    <w:rsid w:val="0069145E"/>
    <w:rsid w:val="0069277E"/>
    <w:rsid w:val="00692958"/>
    <w:rsid w:val="00692974"/>
    <w:rsid w:val="00693412"/>
    <w:rsid w:val="00693A5D"/>
    <w:rsid w:val="00693EF3"/>
    <w:rsid w:val="00695C3C"/>
    <w:rsid w:val="006961E1"/>
    <w:rsid w:val="00696A98"/>
    <w:rsid w:val="00696E2C"/>
    <w:rsid w:val="006A0D73"/>
    <w:rsid w:val="006A1B49"/>
    <w:rsid w:val="006A1C60"/>
    <w:rsid w:val="006A4CDE"/>
    <w:rsid w:val="006A52F9"/>
    <w:rsid w:val="006A5669"/>
    <w:rsid w:val="006A626A"/>
    <w:rsid w:val="006A68C9"/>
    <w:rsid w:val="006A7445"/>
    <w:rsid w:val="006A759A"/>
    <w:rsid w:val="006A7A5A"/>
    <w:rsid w:val="006B03CC"/>
    <w:rsid w:val="006B0470"/>
    <w:rsid w:val="006B0806"/>
    <w:rsid w:val="006B0A44"/>
    <w:rsid w:val="006B1640"/>
    <w:rsid w:val="006B301C"/>
    <w:rsid w:val="006B3C01"/>
    <w:rsid w:val="006B624F"/>
    <w:rsid w:val="006B63D5"/>
    <w:rsid w:val="006B69B3"/>
    <w:rsid w:val="006B78D7"/>
    <w:rsid w:val="006B78EE"/>
    <w:rsid w:val="006B7D00"/>
    <w:rsid w:val="006C08CA"/>
    <w:rsid w:val="006C0CA8"/>
    <w:rsid w:val="006C0E2C"/>
    <w:rsid w:val="006C1C48"/>
    <w:rsid w:val="006C21CF"/>
    <w:rsid w:val="006C286B"/>
    <w:rsid w:val="006C2A25"/>
    <w:rsid w:val="006C2C32"/>
    <w:rsid w:val="006C3487"/>
    <w:rsid w:val="006C364D"/>
    <w:rsid w:val="006C45A6"/>
    <w:rsid w:val="006C7FA3"/>
    <w:rsid w:val="006D0978"/>
    <w:rsid w:val="006D20DD"/>
    <w:rsid w:val="006D249B"/>
    <w:rsid w:val="006D2D9B"/>
    <w:rsid w:val="006D3078"/>
    <w:rsid w:val="006D36BF"/>
    <w:rsid w:val="006D3872"/>
    <w:rsid w:val="006D3DC4"/>
    <w:rsid w:val="006D3F13"/>
    <w:rsid w:val="006D43F1"/>
    <w:rsid w:val="006D563E"/>
    <w:rsid w:val="006D5E15"/>
    <w:rsid w:val="006D62B2"/>
    <w:rsid w:val="006D6450"/>
    <w:rsid w:val="006D6519"/>
    <w:rsid w:val="006D6ED7"/>
    <w:rsid w:val="006D75A5"/>
    <w:rsid w:val="006D75B9"/>
    <w:rsid w:val="006E0ED8"/>
    <w:rsid w:val="006E196D"/>
    <w:rsid w:val="006E1BC7"/>
    <w:rsid w:val="006E1CAC"/>
    <w:rsid w:val="006E240E"/>
    <w:rsid w:val="006E2CDB"/>
    <w:rsid w:val="006E3976"/>
    <w:rsid w:val="006E3EC9"/>
    <w:rsid w:val="006E4B0C"/>
    <w:rsid w:val="006E4C6C"/>
    <w:rsid w:val="006E631D"/>
    <w:rsid w:val="006E65F2"/>
    <w:rsid w:val="006E6948"/>
    <w:rsid w:val="006E7099"/>
    <w:rsid w:val="006E78F6"/>
    <w:rsid w:val="006F0895"/>
    <w:rsid w:val="006F0950"/>
    <w:rsid w:val="006F0D28"/>
    <w:rsid w:val="006F0D9E"/>
    <w:rsid w:val="006F3294"/>
    <w:rsid w:val="006F4BC2"/>
    <w:rsid w:val="006F5B0B"/>
    <w:rsid w:val="006F646A"/>
    <w:rsid w:val="006F6546"/>
    <w:rsid w:val="006F7932"/>
    <w:rsid w:val="00700F24"/>
    <w:rsid w:val="00701637"/>
    <w:rsid w:val="007019E0"/>
    <w:rsid w:val="0070212B"/>
    <w:rsid w:val="00702ACD"/>
    <w:rsid w:val="00702CAE"/>
    <w:rsid w:val="00703E6A"/>
    <w:rsid w:val="00703F77"/>
    <w:rsid w:val="007051DC"/>
    <w:rsid w:val="007053DE"/>
    <w:rsid w:val="00705408"/>
    <w:rsid w:val="0070668A"/>
    <w:rsid w:val="00711BC5"/>
    <w:rsid w:val="00711EF4"/>
    <w:rsid w:val="00713AA0"/>
    <w:rsid w:val="00713C58"/>
    <w:rsid w:val="00713D8E"/>
    <w:rsid w:val="00714515"/>
    <w:rsid w:val="007148D1"/>
    <w:rsid w:val="007150EA"/>
    <w:rsid w:val="00715BCC"/>
    <w:rsid w:val="0071749D"/>
    <w:rsid w:val="0071768C"/>
    <w:rsid w:val="00721EF6"/>
    <w:rsid w:val="007221C0"/>
    <w:rsid w:val="007222DD"/>
    <w:rsid w:val="00723811"/>
    <w:rsid w:val="00723CA5"/>
    <w:rsid w:val="00724560"/>
    <w:rsid w:val="00724AFC"/>
    <w:rsid w:val="0072567A"/>
    <w:rsid w:val="00725A84"/>
    <w:rsid w:val="00726231"/>
    <w:rsid w:val="007279DF"/>
    <w:rsid w:val="00730154"/>
    <w:rsid w:val="00730DC3"/>
    <w:rsid w:val="00731872"/>
    <w:rsid w:val="00731942"/>
    <w:rsid w:val="00731CB1"/>
    <w:rsid w:val="00732011"/>
    <w:rsid w:val="00735069"/>
    <w:rsid w:val="007353B5"/>
    <w:rsid w:val="00736913"/>
    <w:rsid w:val="007371AB"/>
    <w:rsid w:val="0073767E"/>
    <w:rsid w:val="00737F7F"/>
    <w:rsid w:val="007404CB"/>
    <w:rsid w:val="00740EA9"/>
    <w:rsid w:val="0074111C"/>
    <w:rsid w:val="007413F3"/>
    <w:rsid w:val="00741887"/>
    <w:rsid w:val="0074197C"/>
    <w:rsid w:val="00742065"/>
    <w:rsid w:val="007426B5"/>
    <w:rsid w:val="007427F5"/>
    <w:rsid w:val="00742955"/>
    <w:rsid w:val="007429A9"/>
    <w:rsid w:val="00745010"/>
    <w:rsid w:val="00745352"/>
    <w:rsid w:val="0074558B"/>
    <w:rsid w:val="00745D2B"/>
    <w:rsid w:val="00746C41"/>
    <w:rsid w:val="00746EEC"/>
    <w:rsid w:val="00747342"/>
    <w:rsid w:val="00747989"/>
    <w:rsid w:val="00747C32"/>
    <w:rsid w:val="007505BC"/>
    <w:rsid w:val="00750A8F"/>
    <w:rsid w:val="00750DAD"/>
    <w:rsid w:val="00753233"/>
    <w:rsid w:val="007536D8"/>
    <w:rsid w:val="00753C39"/>
    <w:rsid w:val="0075445A"/>
    <w:rsid w:val="00754779"/>
    <w:rsid w:val="0075495A"/>
    <w:rsid w:val="00755C5B"/>
    <w:rsid w:val="00757381"/>
    <w:rsid w:val="00757516"/>
    <w:rsid w:val="00757E02"/>
    <w:rsid w:val="00760C7B"/>
    <w:rsid w:val="00761264"/>
    <w:rsid w:val="00762E8F"/>
    <w:rsid w:val="00763003"/>
    <w:rsid w:val="007632E7"/>
    <w:rsid w:val="00763863"/>
    <w:rsid w:val="00763A2C"/>
    <w:rsid w:val="007649A6"/>
    <w:rsid w:val="00764C3F"/>
    <w:rsid w:val="00764CFB"/>
    <w:rsid w:val="00764DC6"/>
    <w:rsid w:val="00765A9D"/>
    <w:rsid w:val="0076799A"/>
    <w:rsid w:val="0077167F"/>
    <w:rsid w:val="00772794"/>
    <w:rsid w:val="00772998"/>
    <w:rsid w:val="00773360"/>
    <w:rsid w:val="00773AC2"/>
    <w:rsid w:val="00774B2F"/>
    <w:rsid w:val="007767B6"/>
    <w:rsid w:val="00776C29"/>
    <w:rsid w:val="00777448"/>
    <w:rsid w:val="007779F6"/>
    <w:rsid w:val="0078070D"/>
    <w:rsid w:val="00781C70"/>
    <w:rsid w:val="007823F5"/>
    <w:rsid w:val="00783312"/>
    <w:rsid w:val="00785626"/>
    <w:rsid w:val="00785C77"/>
    <w:rsid w:val="007864BD"/>
    <w:rsid w:val="00787774"/>
    <w:rsid w:val="007909AC"/>
    <w:rsid w:val="00790DF1"/>
    <w:rsid w:val="00791021"/>
    <w:rsid w:val="0079110C"/>
    <w:rsid w:val="00791462"/>
    <w:rsid w:val="00791625"/>
    <w:rsid w:val="00792A93"/>
    <w:rsid w:val="00794080"/>
    <w:rsid w:val="0079455E"/>
    <w:rsid w:val="00794E8C"/>
    <w:rsid w:val="00796432"/>
    <w:rsid w:val="007964EA"/>
    <w:rsid w:val="00796841"/>
    <w:rsid w:val="00797886"/>
    <w:rsid w:val="00797F8A"/>
    <w:rsid w:val="007A07AE"/>
    <w:rsid w:val="007A1B1A"/>
    <w:rsid w:val="007A2B27"/>
    <w:rsid w:val="007A3CA8"/>
    <w:rsid w:val="007A3EDC"/>
    <w:rsid w:val="007A3EE5"/>
    <w:rsid w:val="007A42A4"/>
    <w:rsid w:val="007A4FA2"/>
    <w:rsid w:val="007A56D6"/>
    <w:rsid w:val="007A5FE2"/>
    <w:rsid w:val="007A7447"/>
    <w:rsid w:val="007A7477"/>
    <w:rsid w:val="007A7906"/>
    <w:rsid w:val="007B118A"/>
    <w:rsid w:val="007B13C8"/>
    <w:rsid w:val="007B1685"/>
    <w:rsid w:val="007B1733"/>
    <w:rsid w:val="007B341B"/>
    <w:rsid w:val="007B3674"/>
    <w:rsid w:val="007B3E54"/>
    <w:rsid w:val="007B47E2"/>
    <w:rsid w:val="007B49CB"/>
    <w:rsid w:val="007B50AD"/>
    <w:rsid w:val="007B7741"/>
    <w:rsid w:val="007C091D"/>
    <w:rsid w:val="007C2410"/>
    <w:rsid w:val="007C25BD"/>
    <w:rsid w:val="007C3CA8"/>
    <w:rsid w:val="007C4356"/>
    <w:rsid w:val="007C5491"/>
    <w:rsid w:val="007D08B5"/>
    <w:rsid w:val="007D1134"/>
    <w:rsid w:val="007D2B02"/>
    <w:rsid w:val="007D46BD"/>
    <w:rsid w:val="007D4F55"/>
    <w:rsid w:val="007D50DB"/>
    <w:rsid w:val="007D5962"/>
    <w:rsid w:val="007D5AE6"/>
    <w:rsid w:val="007D63FC"/>
    <w:rsid w:val="007D7128"/>
    <w:rsid w:val="007D731D"/>
    <w:rsid w:val="007D7379"/>
    <w:rsid w:val="007D7DA8"/>
    <w:rsid w:val="007D7FB0"/>
    <w:rsid w:val="007E0878"/>
    <w:rsid w:val="007E1648"/>
    <w:rsid w:val="007E1B3D"/>
    <w:rsid w:val="007E2BDC"/>
    <w:rsid w:val="007E356E"/>
    <w:rsid w:val="007E4595"/>
    <w:rsid w:val="007E4B57"/>
    <w:rsid w:val="007E500E"/>
    <w:rsid w:val="007E5D52"/>
    <w:rsid w:val="007E5EAF"/>
    <w:rsid w:val="007E61D5"/>
    <w:rsid w:val="007F03F8"/>
    <w:rsid w:val="007F09D0"/>
    <w:rsid w:val="007F0D21"/>
    <w:rsid w:val="007F235D"/>
    <w:rsid w:val="007F28C4"/>
    <w:rsid w:val="007F2F92"/>
    <w:rsid w:val="007F335D"/>
    <w:rsid w:val="007F370D"/>
    <w:rsid w:val="007F37DA"/>
    <w:rsid w:val="007F6BC9"/>
    <w:rsid w:val="007F780D"/>
    <w:rsid w:val="0080141C"/>
    <w:rsid w:val="0080176A"/>
    <w:rsid w:val="0080530C"/>
    <w:rsid w:val="008053FA"/>
    <w:rsid w:val="0080542F"/>
    <w:rsid w:val="00805F7F"/>
    <w:rsid w:val="008062EA"/>
    <w:rsid w:val="008071AB"/>
    <w:rsid w:val="00807AF8"/>
    <w:rsid w:val="00812214"/>
    <w:rsid w:val="0081252F"/>
    <w:rsid w:val="00812C96"/>
    <w:rsid w:val="00812F6F"/>
    <w:rsid w:val="00813B6E"/>
    <w:rsid w:val="00814122"/>
    <w:rsid w:val="00814325"/>
    <w:rsid w:val="0081469A"/>
    <w:rsid w:val="008148D1"/>
    <w:rsid w:val="00815C79"/>
    <w:rsid w:val="00815E78"/>
    <w:rsid w:val="00816B3B"/>
    <w:rsid w:val="00817B53"/>
    <w:rsid w:val="00821150"/>
    <w:rsid w:val="008218EA"/>
    <w:rsid w:val="00821BCA"/>
    <w:rsid w:val="00821EE5"/>
    <w:rsid w:val="008247E9"/>
    <w:rsid w:val="008257A2"/>
    <w:rsid w:val="008265CF"/>
    <w:rsid w:val="008269EE"/>
    <w:rsid w:val="00826DB8"/>
    <w:rsid w:val="00827ED1"/>
    <w:rsid w:val="00830082"/>
    <w:rsid w:val="00831889"/>
    <w:rsid w:val="00831908"/>
    <w:rsid w:val="00831BE9"/>
    <w:rsid w:val="00832498"/>
    <w:rsid w:val="008325C0"/>
    <w:rsid w:val="00832AAA"/>
    <w:rsid w:val="00832B84"/>
    <w:rsid w:val="00833498"/>
    <w:rsid w:val="008335B2"/>
    <w:rsid w:val="00834BDA"/>
    <w:rsid w:val="00834E7E"/>
    <w:rsid w:val="00835906"/>
    <w:rsid w:val="00836883"/>
    <w:rsid w:val="00837020"/>
    <w:rsid w:val="008408C6"/>
    <w:rsid w:val="00840AAB"/>
    <w:rsid w:val="008416C9"/>
    <w:rsid w:val="0084296C"/>
    <w:rsid w:val="00842C9C"/>
    <w:rsid w:val="00844023"/>
    <w:rsid w:val="008440A5"/>
    <w:rsid w:val="00844926"/>
    <w:rsid w:val="00844E32"/>
    <w:rsid w:val="008466C4"/>
    <w:rsid w:val="00846964"/>
    <w:rsid w:val="008469D1"/>
    <w:rsid w:val="00846C7A"/>
    <w:rsid w:val="008471BC"/>
    <w:rsid w:val="008479C8"/>
    <w:rsid w:val="00847D30"/>
    <w:rsid w:val="00847D83"/>
    <w:rsid w:val="00850816"/>
    <w:rsid w:val="0085148E"/>
    <w:rsid w:val="00852137"/>
    <w:rsid w:val="0085246F"/>
    <w:rsid w:val="00852931"/>
    <w:rsid w:val="00852FA3"/>
    <w:rsid w:val="008530F7"/>
    <w:rsid w:val="00853DCA"/>
    <w:rsid w:val="00854828"/>
    <w:rsid w:val="008573AB"/>
    <w:rsid w:val="00860888"/>
    <w:rsid w:val="00860B10"/>
    <w:rsid w:val="00861CEE"/>
    <w:rsid w:val="008623CB"/>
    <w:rsid w:val="008623F3"/>
    <w:rsid w:val="008629D5"/>
    <w:rsid w:val="00862DCE"/>
    <w:rsid w:val="00866135"/>
    <w:rsid w:val="00866861"/>
    <w:rsid w:val="008678EA"/>
    <w:rsid w:val="00867C18"/>
    <w:rsid w:val="00871998"/>
    <w:rsid w:val="00871D68"/>
    <w:rsid w:val="00872E25"/>
    <w:rsid w:val="00873A57"/>
    <w:rsid w:val="00873ECE"/>
    <w:rsid w:val="00875070"/>
    <w:rsid w:val="00875E82"/>
    <w:rsid w:val="00876656"/>
    <w:rsid w:val="0087677A"/>
    <w:rsid w:val="00880CC2"/>
    <w:rsid w:val="00882915"/>
    <w:rsid w:val="00882E76"/>
    <w:rsid w:val="00883D4D"/>
    <w:rsid w:val="008841B1"/>
    <w:rsid w:val="00884BD0"/>
    <w:rsid w:val="00884E08"/>
    <w:rsid w:val="008854AE"/>
    <w:rsid w:val="008857FC"/>
    <w:rsid w:val="00886F97"/>
    <w:rsid w:val="0088705A"/>
    <w:rsid w:val="008877E5"/>
    <w:rsid w:val="00890562"/>
    <w:rsid w:val="00891262"/>
    <w:rsid w:val="008924AF"/>
    <w:rsid w:val="00892E2F"/>
    <w:rsid w:val="0089327B"/>
    <w:rsid w:val="0089339E"/>
    <w:rsid w:val="008933E1"/>
    <w:rsid w:val="00893C08"/>
    <w:rsid w:val="00894527"/>
    <w:rsid w:val="008948CC"/>
    <w:rsid w:val="0089514B"/>
    <w:rsid w:val="008954B8"/>
    <w:rsid w:val="0089620A"/>
    <w:rsid w:val="00896A59"/>
    <w:rsid w:val="00896ECE"/>
    <w:rsid w:val="008A074C"/>
    <w:rsid w:val="008A1DF4"/>
    <w:rsid w:val="008A3A53"/>
    <w:rsid w:val="008A3F84"/>
    <w:rsid w:val="008A4461"/>
    <w:rsid w:val="008A4763"/>
    <w:rsid w:val="008A49D2"/>
    <w:rsid w:val="008A528E"/>
    <w:rsid w:val="008A557E"/>
    <w:rsid w:val="008A5A9F"/>
    <w:rsid w:val="008A5B66"/>
    <w:rsid w:val="008A5BE5"/>
    <w:rsid w:val="008A60D6"/>
    <w:rsid w:val="008A610F"/>
    <w:rsid w:val="008A66D6"/>
    <w:rsid w:val="008A7724"/>
    <w:rsid w:val="008A780B"/>
    <w:rsid w:val="008A7C0C"/>
    <w:rsid w:val="008B099A"/>
    <w:rsid w:val="008B0C06"/>
    <w:rsid w:val="008B1A9D"/>
    <w:rsid w:val="008B2759"/>
    <w:rsid w:val="008B2780"/>
    <w:rsid w:val="008B2A03"/>
    <w:rsid w:val="008B3776"/>
    <w:rsid w:val="008B3A55"/>
    <w:rsid w:val="008B448C"/>
    <w:rsid w:val="008B4BF4"/>
    <w:rsid w:val="008B5103"/>
    <w:rsid w:val="008B614F"/>
    <w:rsid w:val="008B7EB7"/>
    <w:rsid w:val="008C0B80"/>
    <w:rsid w:val="008C0C46"/>
    <w:rsid w:val="008C0C6E"/>
    <w:rsid w:val="008C1A8B"/>
    <w:rsid w:val="008C1E5A"/>
    <w:rsid w:val="008C2256"/>
    <w:rsid w:val="008C2301"/>
    <w:rsid w:val="008C231D"/>
    <w:rsid w:val="008C338F"/>
    <w:rsid w:val="008C415D"/>
    <w:rsid w:val="008C4825"/>
    <w:rsid w:val="008C68DF"/>
    <w:rsid w:val="008C7030"/>
    <w:rsid w:val="008C7DDB"/>
    <w:rsid w:val="008D0408"/>
    <w:rsid w:val="008D0B97"/>
    <w:rsid w:val="008D2A5A"/>
    <w:rsid w:val="008D2BA2"/>
    <w:rsid w:val="008D2F87"/>
    <w:rsid w:val="008D3185"/>
    <w:rsid w:val="008D382C"/>
    <w:rsid w:val="008D49DA"/>
    <w:rsid w:val="008D4ECB"/>
    <w:rsid w:val="008D4FA3"/>
    <w:rsid w:val="008D5CC1"/>
    <w:rsid w:val="008D77FB"/>
    <w:rsid w:val="008D798A"/>
    <w:rsid w:val="008E1341"/>
    <w:rsid w:val="008E1601"/>
    <w:rsid w:val="008E1BC8"/>
    <w:rsid w:val="008E2121"/>
    <w:rsid w:val="008E2454"/>
    <w:rsid w:val="008E2AB3"/>
    <w:rsid w:val="008E3D59"/>
    <w:rsid w:val="008E4770"/>
    <w:rsid w:val="008E4BA1"/>
    <w:rsid w:val="008E4FEA"/>
    <w:rsid w:val="008E614A"/>
    <w:rsid w:val="008E621C"/>
    <w:rsid w:val="008E6D80"/>
    <w:rsid w:val="008E708C"/>
    <w:rsid w:val="008F1805"/>
    <w:rsid w:val="008F1FCC"/>
    <w:rsid w:val="008F282D"/>
    <w:rsid w:val="008F2D6C"/>
    <w:rsid w:val="008F2F3B"/>
    <w:rsid w:val="008F3A42"/>
    <w:rsid w:val="008F4415"/>
    <w:rsid w:val="008F520F"/>
    <w:rsid w:val="008F60D1"/>
    <w:rsid w:val="008F63D4"/>
    <w:rsid w:val="008F66FA"/>
    <w:rsid w:val="008F6798"/>
    <w:rsid w:val="008F7FD6"/>
    <w:rsid w:val="009007D9"/>
    <w:rsid w:val="00900ECF"/>
    <w:rsid w:val="009011C1"/>
    <w:rsid w:val="009023C3"/>
    <w:rsid w:val="009023CD"/>
    <w:rsid w:val="0090289C"/>
    <w:rsid w:val="009032FD"/>
    <w:rsid w:val="00904903"/>
    <w:rsid w:val="00904CAF"/>
    <w:rsid w:val="00905569"/>
    <w:rsid w:val="00906277"/>
    <w:rsid w:val="009071FD"/>
    <w:rsid w:val="009105F6"/>
    <w:rsid w:val="00911341"/>
    <w:rsid w:val="00911B37"/>
    <w:rsid w:val="00912B5C"/>
    <w:rsid w:val="0091339A"/>
    <w:rsid w:val="00913D1A"/>
    <w:rsid w:val="00916417"/>
    <w:rsid w:val="009168A4"/>
    <w:rsid w:val="00920055"/>
    <w:rsid w:val="00920F45"/>
    <w:rsid w:val="00921A38"/>
    <w:rsid w:val="00921AEB"/>
    <w:rsid w:val="0092227B"/>
    <w:rsid w:val="00922463"/>
    <w:rsid w:val="00922875"/>
    <w:rsid w:val="00922BED"/>
    <w:rsid w:val="00922FAE"/>
    <w:rsid w:val="00924230"/>
    <w:rsid w:val="009248CD"/>
    <w:rsid w:val="0092683A"/>
    <w:rsid w:val="0092701A"/>
    <w:rsid w:val="009275EF"/>
    <w:rsid w:val="00927873"/>
    <w:rsid w:val="00930DB2"/>
    <w:rsid w:val="0093154C"/>
    <w:rsid w:val="00932B7C"/>
    <w:rsid w:val="00932C95"/>
    <w:rsid w:val="00933560"/>
    <w:rsid w:val="00933926"/>
    <w:rsid w:val="00934805"/>
    <w:rsid w:val="00935932"/>
    <w:rsid w:val="00935BA1"/>
    <w:rsid w:val="00937297"/>
    <w:rsid w:val="00941138"/>
    <w:rsid w:val="0094147C"/>
    <w:rsid w:val="00941565"/>
    <w:rsid w:val="009432E5"/>
    <w:rsid w:val="0094345F"/>
    <w:rsid w:val="00943930"/>
    <w:rsid w:val="00943DDB"/>
    <w:rsid w:val="00944329"/>
    <w:rsid w:val="00944A37"/>
    <w:rsid w:val="00945B30"/>
    <w:rsid w:val="00945C96"/>
    <w:rsid w:val="0094608F"/>
    <w:rsid w:val="00946136"/>
    <w:rsid w:val="0094678F"/>
    <w:rsid w:val="009502E7"/>
    <w:rsid w:val="009506BA"/>
    <w:rsid w:val="009506C3"/>
    <w:rsid w:val="0095122E"/>
    <w:rsid w:val="00951DDC"/>
    <w:rsid w:val="0095224D"/>
    <w:rsid w:val="00952BCD"/>
    <w:rsid w:val="00953124"/>
    <w:rsid w:val="0095351F"/>
    <w:rsid w:val="009537A4"/>
    <w:rsid w:val="00953936"/>
    <w:rsid w:val="00953CA3"/>
    <w:rsid w:val="009549BF"/>
    <w:rsid w:val="00954B76"/>
    <w:rsid w:val="00955E75"/>
    <w:rsid w:val="00955FE7"/>
    <w:rsid w:val="00957455"/>
    <w:rsid w:val="00960794"/>
    <w:rsid w:val="009608D1"/>
    <w:rsid w:val="009627A1"/>
    <w:rsid w:val="00962ECC"/>
    <w:rsid w:val="00963861"/>
    <w:rsid w:val="00964680"/>
    <w:rsid w:val="0096577D"/>
    <w:rsid w:val="00965C72"/>
    <w:rsid w:val="009663D7"/>
    <w:rsid w:val="00966A4E"/>
    <w:rsid w:val="0096707C"/>
    <w:rsid w:val="009670E8"/>
    <w:rsid w:val="0097001E"/>
    <w:rsid w:val="009700C6"/>
    <w:rsid w:val="009701CD"/>
    <w:rsid w:val="009716C6"/>
    <w:rsid w:val="00972B25"/>
    <w:rsid w:val="00972D11"/>
    <w:rsid w:val="00972F0B"/>
    <w:rsid w:val="00973424"/>
    <w:rsid w:val="009743CF"/>
    <w:rsid w:val="009743D4"/>
    <w:rsid w:val="0097534D"/>
    <w:rsid w:val="009758CB"/>
    <w:rsid w:val="00975D7A"/>
    <w:rsid w:val="00976A19"/>
    <w:rsid w:val="00976BAB"/>
    <w:rsid w:val="00976D59"/>
    <w:rsid w:val="00977415"/>
    <w:rsid w:val="009774BD"/>
    <w:rsid w:val="00977F7C"/>
    <w:rsid w:val="0098005A"/>
    <w:rsid w:val="00980137"/>
    <w:rsid w:val="009805C6"/>
    <w:rsid w:val="00982C43"/>
    <w:rsid w:val="0098305A"/>
    <w:rsid w:val="009851CF"/>
    <w:rsid w:val="009854E1"/>
    <w:rsid w:val="009858A5"/>
    <w:rsid w:val="00985D6A"/>
    <w:rsid w:val="0098665A"/>
    <w:rsid w:val="00986AB2"/>
    <w:rsid w:val="009919E6"/>
    <w:rsid w:val="009923C4"/>
    <w:rsid w:val="00992E0B"/>
    <w:rsid w:val="009941B1"/>
    <w:rsid w:val="00994C0C"/>
    <w:rsid w:val="00994E66"/>
    <w:rsid w:val="00994EF5"/>
    <w:rsid w:val="009957B6"/>
    <w:rsid w:val="00996109"/>
    <w:rsid w:val="009968C2"/>
    <w:rsid w:val="00997CA8"/>
    <w:rsid w:val="009A009B"/>
    <w:rsid w:val="009A0BE9"/>
    <w:rsid w:val="009A10B6"/>
    <w:rsid w:val="009A15CA"/>
    <w:rsid w:val="009A1818"/>
    <w:rsid w:val="009A23E7"/>
    <w:rsid w:val="009A3214"/>
    <w:rsid w:val="009A3D98"/>
    <w:rsid w:val="009A4C27"/>
    <w:rsid w:val="009A58BB"/>
    <w:rsid w:val="009A6523"/>
    <w:rsid w:val="009A74F5"/>
    <w:rsid w:val="009A7A5C"/>
    <w:rsid w:val="009B06DB"/>
    <w:rsid w:val="009B0709"/>
    <w:rsid w:val="009B0A43"/>
    <w:rsid w:val="009B13F5"/>
    <w:rsid w:val="009B1A63"/>
    <w:rsid w:val="009B2795"/>
    <w:rsid w:val="009B28F0"/>
    <w:rsid w:val="009B2BF9"/>
    <w:rsid w:val="009B2E94"/>
    <w:rsid w:val="009B2FCD"/>
    <w:rsid w:val="009B34DA"/>
    <w:rsid w:val="009B39CE"/>
    <w:rsid w:val="009B3AA8"/>
    <w:rsid w:val="009B4EDD"/>
    <w:rsid w:val="009B529C"/>
    <w:rsid w:val="009B550A"/>
    <w:rsid w:val="009B5739"/>
    <w:rsid w:val="009B58F8"/>
    <w:rsid w:val="009B59DE"/>
    <w:rsid w:val="009B6405"/>
    <w:rsid w:val="009C07ED"/>
    <w:rsid w:val="009C0ACE"/>
    <w:rsid w:val="009C1DFF"/>
    <w:rsid w:val="009C1E80"/>
    <w:rsid w:val="009C3C0F"/>
    <w:rsid w:val="009C3E06"/>
    <w:rsid w:val="009C5725"/>
    <w:rsid w:val="009C5D79"/>
    <w:rsid w:val="009C6162"/>
    <w:rsid w:val="009C6452"/>
    <w:rsid w:val="009C67C7"/>
    <w:rsid w:val="009C6A50"/>
    <w:rsid w:val="009D017E"/>
    <w:rsid w:val="009D0B11"/>
    <w:rsid w:val="009D18A7"/>
    <w:rsid w:val="009D26DC"/>
    <w:rsid w:val="009D4FC2"/>
    <w:rsid w:val="009D7009"/>
    <w:rsid w:val="009E039A"/>
    <w:rsid w:val="009E0F84"/>
    <w:rsid w:val="009E1067"/>
    <w:rsid w:val="009E16A7"/>
    <w:rsid w:val="009E1B90"/>
    <w:rsid w:val="009E2999"/>
    <w:rsid w:val="009E3974"/>
    <w:rsid w:val="009E3BCD"/>
    <w:rsid w:val="009E3D2F"/>
    <w:rsid w:val="009E3D67"/>
    <w:rsid w:val="009E431F"/>
    <w:rsid w:val="009E4BF6"/>
    <w:rsid w:val="009E59E8"/>
    <w:rsid w:val="009E639C"/>
    <w:rsid w:val="009E6AA5"/>
    <w:rsid w:val="009E6CB8"/>
    <w:rsid w:val="009E7006"/>
    <w:rsid w:val="009E7655"/>
    <w:rsid w:val="009E7B7C"/>
    <w:rsid w:val="009E7F34"/>
    <w:rsid w:val="009F14F8"/>
    <w:rsid w:val="009F1D09"/>
    <w:rsid w:val="009F21C8"/>
    <w:rsid w:val="009F2906"/>
    <w:rsid w:val="009F2EC1"/>
    <w:rsid w:val="009F4D47"/>
    <w:rsid w:val="009F4E73"/>
    <w:rsid w:val="009F5036"/>
    <w:rsid w:val="009F5280"/>
    <w:rsid w:val="009F597E"/>
    <w:rsid w:val="009F74FD"/>
    <w:rsid w:val="009F786F"/>
    <w:rsid w:val="00A00266"/>
    <w:rsid w:val="00A00BA6"/>
    <w:rsid w:val="00A02389"/>
    <w:rsid w:val="00A0249F"/>
    <w:rsid w:val="00A048B0"/>
    <w:rsid w:val="00A05C1E"/>
    <w:rsid w:val="00A05E0D"/>
    <w:rsid w:val="00A05FF3"/>
    <w:rsid w:val="00A068B2"/>
    <w:rsid w:val="00A068FD"/>
    <w:rsid w:val="00A06DDF"/>
    <w:rsid w:val="00A07737"/>
    <w:rsid w:val="00A07B7F"/>
    <w:rsid w:val="00A1177F"/>
    <w:rsid w:val="00A1256B"/>
    <w:rsid w:val="00A126BD"/>
    <w:rsid w:val="00A12FAD"/>
    <w:rsid w:val="00A1328B"/>
    <w:rsid w:val="00A1340F"/>
    <w:rsid w:val="00A1342E"/>
    <w:rsid w:val="00A15AF5"/>
    <w:rsid w:val="00A15CB0"/>
    <w:rsid w:val="00A16341"/>
    <w:rsid w:val="00A16895"/>
    <w:rsid w:val="00A16AED"/>
    <w:rsid w:val="00A170DD"/>
    <w:rsid w:val="00A171BE"/>
    <w:rsid w:val="00A171F4"/>
    <w:rsid w:val="00A17625"/>
    <w:rsid w:val="00A20420"/>
    <w:rsid w:val="00A20581"/>
    <w:rsid w:val="00A20879"/>
    <w:rsid w:val="00A2132A"/>
    <w:rsid w:val="00A215A6"/>
    <w:rsid w:val="00A2173C"/>
    <w:rsid w:val="00A21932"/>
    <w:rsid w:val="00A22782"/>
    <w:rsid w:val="00A227D4"/>
    <w:rsid w:val="00A2285A"/>
    <w:rsid w:val="00A23630"/>
    <w:rsid w:val="00A23961"/>
    <w:rsid w:val="00A23BC0"/>
    <w:rsid w:val="00A240CE"/>
    <w:rsid w:val="00A2458D"/>
    <w:rsid w:val="00A2535A"/>
    <w:rsid w:val="00A254D2"/>
    <w:rsid w:val="00A26197"/>
    <w:rsid w:val="00A268D1"/>
    <w:rsid w:val="00A26E1F"/>
    <w:rsid w:val="00A312BC"/>
    <w:rsid w:val="00A31783"/>
    <w:rsid w:val="00A31BAB"/>
    <w:rsid w:val="00A31F6A"/>
    <w:rsid w:val="00A34A3A"/>
    <w:rsid w:val="00A3505B"/>
    <w:rsid w:val="00A361EA"/>
    <w:rsid w:val="00A364A2"/>
    <w:rsid w:val="00A36510"/>
    <w:rsid w:val="00A3677F"/>
    <w:rsid w:val="00A4042D"/>
    <w:rsid w:val="00A40754"/>
    <w:rsid w:val="00A41FDD"/>
    <w:rsid w:val="00A42231"/>
    <w:rsid w:val="00A42733"/>
    <w:rsid w:val="00A42952"/>
    <w:rsid w:val="00A43733"/>
    <w:rsid w:val="00A43958"/>
    <w:rsid w:val="00A43F4C"/>
    <w:rsid w:val="00A440BE"/>
    <w:rsid w:val="00A450D4"/>
    <w:rsid w:val="00A45592"/>
    <w:rsid w:val="00A45C78"/>
    <w:rsid w:val="00A45E68"/>
    <w:rsid w:val="00A4608A"/>
    <w:rsid w:val="00A463CB"/>
    <w:rsid w:val="00A47204"/>
    <w:rsid w:val="00A47864"/>
    <w:rsid w:val="00A47CD7"/>
    <w:rsid w:val="00A50C43"/>
    <w:rsid w:val="00A50E23"/>
    <w:rsid w:val="00A5151E"/>
    <w:rsid w:val="00A51B72"/>
    <w:rsid w:val="00A521A7"/>
    <w:rsid w:val="00A524C5"/>
    <w:rsid w:val="00A52675"/>
    <w:rsid w:val="00A53996"/>
    <w:rsid w:val="00A53CB9"/>
    <w:rsid w:val="00A54F73"/>
    <w:rsid w:val="00A55617"/>
    <w:rsid w:val="00A55753"/>
    <w:rsid w:val="00A5577A"/>
    <w:rsid w:val="00A566AE"/>
    <w:rsid w:val="00A56FF9"/>
    <w:rsid w:val="00A5743F"/>
    <w:rsid w:val="00A5755B"/>
    <w:rsid w:val="00A57566"/>
    <w:rsid w:val="00A57930"/>
    <w:rsid w:val="00A57C01"/>
    <w:rsid w:val="00A600B5"/>
    <w:rsid w:val="00A601B9"/>
    <w:rsid w:val="00A6030E"/>
    <w:rsid w:val="00A60A01"/>
    <w:rsid w:val="00A619B8"/>
    <w:rsid w:val="00A61C89"/>
    <w:rsid w:val="00A61D4A"/>
    <w:rsid w:val="00A61DC6"/>
    <w:rsid w:val="00A61E64"/>
    <w:rsid w:val="00A62D0C"/>
    <w:rsid w:val="00A63CB9"/>
    <w:rsid w:val="00A64021"/>
    <w:rsid w:val="00A646AE"/>
    <w:rsid w:val="00A652CD"/>
    <w:rsid w:val="00A660E5"/>
    <w:rsid w:val="00A672C3"/>
    <w:rsid w:val="00A67670"/>
    <w:rsid w:val="00A70135"/>
    <w:rsid w:val="00A70F93"/>
    <w:rsid w:val="00A71AB8"/>
    <w:rsid w:val="00A71EB2"/>
    <w:rsid w:val="00A71F2F"/>
    <w:rsid w:val="00A72203"/>
    <w:rsid w:val="00A724E0"/>
    <w:rsid w:val="00A726BB"/>
    <w:rsid w:val="00A72A03"/>
    <w:rsid w:val="00A72E16"/>
    <w:rsid w:val="00A73591"/>
    <w:rsid w:val="00A737EC"/>
    <w:rsid w:val="00A740AB"/>
    <w:rsid w:val="00A74FEE"/>
    <w:rsid w:val="00A75DE3"/>
    <w:rsid w:val="00A76A19"/>
    <w:rsid w:val="00A771EB"/>
    <w:rsid w:val="00A776EE"/>
    <w:rsid w:val="00A80D55"/>
    <w:rsid w:val="00A818ED"/>
    <w:rsid w:val="00A81C48"/>
    <w:rsid w:val="00A830C4"/>
    <w:rsid w:val="00A8337E"/>
    <w:rsid w:val="00A836E6"/>
    <w:rsid w:val="00A83F41"/>
    <w:rsid w:val="00A8518A"/>
    <w:rsid w:val="00A85B0F"/>
    <w:rsid w:val="00A85EFD"/>
    <w:rsid w:val="00A8629A"/>
    <w:rsid w:val="00A86AC6"/>
    <w:rsid w:val="00A86E6F"/>
    <w:rsid w:val="00A8740C"/>
    <w:rsid w:val="00A87E7E"/>
    <w:rsid w:val="00A91199"/>
    <w:rsid w:val="00A912B2"/>
    <w:rsid w:val="00A92BD9"/>
    <w:rsid w:val="00A9380D"/>
    <w:rsid w:val="00A9385E"/>
    <w:rsid w:val="00A93F3A"/>
    <w:rsid w:val="00A95E53"/>
    <w:rsid w:val="00A962B5"/>
    <w:rsid w:val="00A977BE"/>
    <w:rsid w:val="00A97815"/>
    <w:rsid w:val="00AA055B"/>
    <w:rsid w:val="00AA06A5"/>
    <w:rsid w:val="00AA1268"/>
    <w:rsid w:val="00AA1A1F"/>
    <w:rsid w:val="00AA2123"/>
    <w:rsid w:val="00AA266C"/>
    <w:rsid w:val="00AA304B"/>
    <w:rsid w:val="00AA44F4"/>
    <w:rsid w:val="00AA459F"/>
    <w:rsid w:val="00AA4FEE"/>
    <w:rsid w:val="00AA51A1"/>
    <w:rsid w:val="00AA5A2E"/>
    <w:rsid w:val="00AA6052"/>
    <w:rsid w:val="00AA7375"/>
    <w:rsid w:val="00AA7DEA"/>
    <w:rsid w:val="00AB141B"/>
    <w:rsid w:val="00AB1B9A"/>
    <w:rsid w:val="00AB2916"/>
    <w:rsid w:val="00AB2C9D"/>
    <w:rsid w:val="00AB33B1"/>
    <w:rsid w:val="00AB3526"/>
    <w:rsid w:val="00AB386B"/>
    <w:rsid w:val="00AB3BC5"/>
    <w:rsid w:val="00AB522C"/>
    <w:rsid w:val="00AB5476"/>
    <w:rsid w:val="00AB5D03"/>
    <w:rsid w:val="00AB698E"/>
    <w:rsid w:val="00AB744D"/>
    <w:rsid w:val="00AB7D2E"/>
    <w:rsid w:val="00AC0986"/>
    <w:rsid w:val="00AC1D9D"/>
    <w:rsid w:val="00AC1FBA"/>
    <w:rsid w:val="00AC2CAC"/>
    <w:rsid w:val="00AC3464"/>
    <w:rsid w:val="00AC56BF"/>
    <w:rsid w:val="00AC5F67"/>
    <w:rsid w:val="00AC6E98"/>
    <w:rsid w:val="00AC791F"/>
    <w:rsid w:val="00AC7FED"/>
    <w:rsid w:val="00AD0177"/>
    <w:rsid w:val="00AD0304"/>
    <w:rsid w:val="00AD079B"/>
    <w:rsid w:val="00AD08A1"/>
    <w:rsid w:val="00AD25B2"/>
    <w:rsid w:val="00AD3B8D"/>
    <w:rsid w:val="00AD4021"/>
    <w:rsid w:val="00AD45E3"/>
    <w:rsid w:val="00AD48E2"/>
    <w:rsid w:val="00AD5EAD"/>
    <w:rsid w:val="00AD6AAF"/>
    <w:rsid w:val="00AD7945"/>
    <w:rsid w:val="00AE0239"/>
    <w:rsid w:val="00AE05E2"/>
    <w:rsid w:val="00AE110B"/>
    <w:rsid w:val="00AE15A1"/>
    <w:rsid w:val="00AE1853"/>
    <w:rsid w:val="00AE1C6C"/>
    <w:rsid w:val="00AE3A58"/>
    <w:rsid w:val="00AE3FD1"/>
    <w:rsid w:val="00AE4AD7"/>
    <w:rsid w:val="00AE63A8"/>
    <w:rsid w:val="00AE65E1"/>
    <w:rsid w:val="00AE7CBF"/>
    <w:rsid w:val="00AF07CC"/>
    <w:rsid w:val="00AF0BAA"/>
    <w:rsid w:val="00AF0D0C"/>
    <w:rsid w:val="00AF12CB"/>
    <w:rsid w:val="00AF16BC"/>
    <w:rsid w:val="00AF197A"/>
    <w:rsid w:val="00AF201A"/>
    <w:rsid w:val="00AF2096"/>
    <w:rsid w:val="00AF3833"/>
    <w:rsid w:val="00AF3F05"/>
    <w:rsid w:val="00AF6447"/>
    <w:rsid w:val="00AF72F8"/>
    <w:rsid w:val="00AF7A45"/>
    <w:rsid w:val="00AF7DC3"/>
    <w:rsid w:val="00B00FF0"/>
    <w:rsid w:val="00B012C5"/>
    <w:rsid w:val="00B034EF"/>
    <w:rsid w:val="00B03A42"/>
    <w:rsid w:val="00B04B25"/>
    <w:rsid w:val="00B05E37"/>
    <w:rsid w:val="00B064AC"/>
    <w:rsid w:val="00B11691"/>
    <w:rsid w:val="00B11E5A"/>
    <w:rsid w:val="00B12F02"/>
    <w:rsid w:val="00B135B2"/>
    <w:rsid w:val="00B13832"/>
    <w:rsid w:val="00B15527"/>
    <w:rsid w:val="00B17E05"/>
    <w:rsid w:val="00B206FD"/>
    <w:rsid w:val="00B2151F"/>
    <w:rsid w:val="00B21802"/>
    <w:rsid w:val="00B2260E"/>
    <w:rsid w:val="00B227EE"/>
    <w:rsid w:val="00B229FC"/>
    <w:rsid w:val="00B22F1C"/>
    <w:rsid w:val="00B2319F"/>
    <w:rsid w:val="00B23371"/>
    <w:rsid w:val="00B23F4E"/>
    <w:rsid w:val="00B24255"/>
    <w:rsid w:val="00B25156"/>
    <w:rsid w:val="00B257D4"/>
    <w:rsid w:val="00B25D67"/>
    <w:rsid w:val="00B25FE2"/>
    <w:rsid w:val="00B2666A"/>
    <w:rsid w:val="00B268DF"/>
    <w:rsid w:val="00B26C65"/>
    <w:rsid w:val="00B26D7D"/>
    <w:rsid w:val="00B30208"/>
    <w:rsid w:val="00B3026D"/>
    <w:rsid w:val="00B31001"/>
    <w:rsid w:val="00B31097"/>
    <w:rsid w:val="00B31362"/>
    <w:rsid w:val="00B32840"/>
    <w:rsid w:val="00B32E85"/>
    <w:rsid w:val="00B32EF4"/>
    <w:rsid w:val="00B3574B"/>
    <w:rsid w:val="00B36EBE"/>
    <w:rsid w:val="00B3709D"/>
    <w:rsid w:val="00B37653"/>
    <w:rsid w:val="00B405E1"/>
    <w:rsid w:val="00B414CD"/>
    <w:rsid w:val="00B41ABE"/>
    <w:rsid w:val="00B428A9"/>
    <w:rsid w:val="00B43202"/>
    <w:rsid w:val="00B44383"/>
    <w:rsid w:val="00B45C2D"/>
    <w:rsid w:val="00B45D13"/>
    <w:rsid w:val="00B461D9"/>
    <w:rsid w:val="00B464D8"/>
    <w:rsid w:val="00B51337"/>
    <w:rsid w:val="00B517B3"/>
    <w:rsid w:val="00B5227B"/>
    <w:rsid w:val="00B52F6A"/>
    <w:rsid w:val="00B5482A"/>
    <w:rsid w:val="00B55BFB"/>
    <w:rsid w:val="00B55F15"/>
    <w:rsid w:val="00B5658A"/>
    <w:rsid w:val="00B56D31"/>
    <w:rsid w:val="00B576DE"/>
    <w:rsid w:val="00B57E13"/>
    <w:rsid w:val="00B60842"/>
    <w:rsid w:val="00B6192E"/>
    <w:rsid w:val="00B61E41"/>
    <w:rsid w:val="00B620F6"/>
    <w:rsid w:val="00B626AC"/>
    <w:rsid w:val="00B63C27"/>
    <w:rsid w:val="00B63E38"/>
    <w:rsid w:val="00B647D3"/>
    <w:rsid w:val="00B64C12"/>
    <w:rsid w:val="00B65D33"/>
    <w:rsid w:val="00B70588"/>
    <w:rsid w:val="00B70B4F"/>
    <w:rsid w:val="00B70CAD"/>
    <w:rsid w:val="00B71441"/>
    <w:rsid w:val="00B71875"/>
    <w:rsid w:val="00B72918"/>
    <w:rsid w:val="00B73471"/>
    <w:rsid w:val="00B734F2"/>
    <w:rsid w:val="00B73ABA"/>
    <w:rsid w:val="00B75489"/>
    <w:rsid w:val="00B75E83"/>
    <w:rsid w:val="00B76741"/>
    <w:rsid w:val="00B76A19"/>
    <w:rsid w:val="00B76A25"/>
    <w:rsid w:val="00B76AAD"/>
    <w:rsid w:val="00B76E7C"/>
    <w:rsid w:val="00B77606"/>
    <w:rsid w:val="00B80220"/>
    <w:rsid w:val="00B8185B"/>
    <w:rsid w:val="00B83394"/>
    <w:rsid w:val="00B836A6"/>
    <w:rsid w:val="00B839F6"/>
    <w:rsid w:val="00B84C8E"/>
    <w:rsid w:val="00B850D9"/>
    <w:rsid w:val="00B85A07"/>
    <w:rsid w:val="00B85CE2"/>
    <w:rsid w:val="00B86319"/>
    <w:rsid w:val="00B87E66"/>
    <w:rsid w:val="00B905AF"/>
    <w:rsid w:val="00B910F7"/>
    <w:rsid w:val="00B91794"/>
    <w:rsid w:val="00B92D37"/>
    <w:rsid w:val="00B936EF"/>
    <w:rsid w:val="00B93BA9"/>
    <w:rsid w:val="00B93C0E"/>
    <w:rsid w:val="00B94253"/>
    <w:rsid w:val="00B94431"/>
    <w:rsid w:val="00B94DC8"/>
    <w:rsid w:val="00B973A5"/>
    <w:rsid w:val="00BA0736"/>
    <w:rsid w:val="00BA0B18"/>
    <w:rsid w:val="00BA1129"/>
    <w:rsid w:val="00BA147A"/>
    <w:rsid w:val="00BA21D6"/>
    <w:rsid w:val="00BA29DC"/>
    <w:rsid w:val="00BA34D2"/>
    <w:rsid w:val="00BA4883"/>
    <w:rsid w:val="00BA48B7"/>
    <w:rsid w:val="00BA6B7C"/>
    <w:rsid w:val="00BA6C64"/>
    <w:rsid w:val="00BA6DAC"/>
    <w:rsid w:val="00BB05FF"/>
    <w:rsid w:val="00BB06EA"/>
    <w:rsid w:val="00BB1241"/>
    <w:rsid w:val="00BB1F27"/>
    <w:rsid w:val="00BB3844"/>
    <w:rsid w:val="00BB3D49"/>
    <w:rsid w:val="00BB4831"/>
    <w:rsid w:val="00BB58C0"/>
    <w:rsid w:val="00BB5D72"/>
    <w:rsid w:val="00BB6D5B"/>
    <w:rsid w:val="00BB7529"/>
    <w:rsid w:val="00BB7CCE"/>
    <w:rsid w:val="00BC00CF"/>
    <w:rsid w:val="00BC094C"/>
    <w:rsid w:val="00BC0C30"/>
    <w:rsid w:val="00BC1145"/>
    <w:rsid w:val="00BC12D4"/>
    <w:rsid w:val="00BC137D"/>
    <w:rsid w:val="00BC1C51"/>
    <w:rsid w:val="00BC1F36"/>
    <w:rsid w:val="00BC2BAE"/>
    <w:rsid w:val="00BC3A99"/>
    <w:rsid w:val="00BC548D"/>
    <w:rsid w:val="00BC5BD0"/>
    <w:rsid w:val="00BC5FB5"/>
    <w:rsid w:val="00BC6AC2"/>
    <w:rsid w:val="00BC7790"/>
    <w:rsid w:val="00BD1649"/>
    <w:rsid w:val="00BD2CB8"/>
    <w:rsid w:val="00BD3D99"/>
    <w:rsid w:val="00BD4852"/>
    <w:rsid w:val="00BD4C2C"/>
    <w:rsid w:val="00BD624B"/>
    <w:rsid w:val="00BD6EA2"/>
    <w:rsid w:val="00BE0E55"/>
    <w:rsid w:val="00BE266B"/>
    <w:rsid w:val="00BE4A64"/>
    <w:rsid w:val="00BE5D40"/>
    <w:rsid w:val="00BE6170"/>
    <w:rsid w:val="00BE6A82"/>
    <w:rsid w:val="00BE7BF3"/>
    <w:rsid w:val="00BE7CA1"/>
    <w:rsid w:val="00BF0610"/>
    <w:rsid w:val="00BF125B"/>
    <w:rsid w:val="00BF1CAF"/>
    <w:rsid w:val="00BF289C"/>
    <w:rsid w:val="00BF31C8"/>
    <w:rsid w:val="00BF379A"/>
    <w:rsid w:val="00BF3AFA"/>
    <w:rsid w:val="00BF43C0"/>
    <w:rsid w:val="00BF44A4"/>
    <w:rsid w:val="00BF4CA6"/>
    <w:rsid w:val="00BF575E"/>
    <w:rsid w:val="00BF67BF"/>
    <w:rsid w:val="00BF6A2A"/>
    <w:rsid w:val="00BF6B3E"/>
    <w:rsid w:val="00BF6EBD"/>
    <w:rsid w:val="00BF70D2"/>
    <w:rsid w:val="00BF7668"/>
    <w:rsid w:val="00C0031C"/>
    <w:rsid w:val="00C0138A"/>
    <w:rsid w:val="00C01B12"/>
    <w:rsid w:val="00C01B7E"/>
    <w:rsid w:val="00C01F41"/>
    <w:rsid w:val="00C03C51"/>
    <w:rsid w:val="00C03F97"/>
    <w:rsid w:val="00C04154"/>
    <w:rsid w:val="00C053FA"/>
    <w:rsid w:val="00C063B3"/>
    <w:rsid w:val="00C06701"/>
    <w:rsid w:val="00C07CB6"/>
    <w:rsid w:val="00C113E0"/>
    <w:rsid w:val="00C116EB"/>
    <w:rsid w:val="00C11EDF"/>
    <w:rsid w:val="00C12768"/>
    <w:rsid w:val="00C14F29"/>
    <w:rsid w:val="00C1503D"/>
    <w:rsid w:val="00C164D8"/>
    <w:rsid w:val="00C16ECB"/>
    <w:rsid w:val="00C1712C"/>
    <w:rsid w:val="00C17569"/>
    <w:rsid w:val="00C17964"/>
    <w:rsid w:val="00C17BFD"/>
    <w:rsid w:val="00C20136"/>
    <w:rsid w:val="00C202A4"/>
    <w:rsid w:val="00C202C7"/>
    <w:rsid w:val="00C20667"/>
    <w:rsid w:val="00C20C97"/>
    <w:rsid w:val="00C21033"/>
    <w:rsid w:val="00C2171D"/>
    <w:rsid w:val="00C21760"/>
    <w:rsid w:val="00C21A57"/>
    <w:rsid w:val="00C222B6"/>
    <w:rsid w:val="00C22A94"/>
    <w:rsid w:val="00C2330F"/>
    <w:rsid w:val="00C23450"/>
    <w:rsid w:val="00C24349"/>
    <w:rsid w:val="00C24565"/>
    <w:rsid w:val="00C24818"/>
    <w:rsid w:val="00C25234"/>
    <w:rsid w:val="00C26505"/>
    <w:rsid w:val="00C266AD"/>
    <w:rsid w:val="00C30393"/>
    <w:rsid w:val="00C30A6D"/>
    <w:rsid w:val="00C3252F"/>
    <w:rsid w:val="00C33C23"/>
    <w:rsid w:val="00C33FE0"/>
    <w:rsid w:val="00C403AB"/>
    <w:rsid w:val="00C4051E"/>
    <w:rsid w:val="00C4060B"/>
    <w:rsid w:val="00C41CDD"/>
    <w:rsid w:val="00C43034"/>
    <w:rsid w:val="00C4391F"/>
    <w:rsid w:val="00C43977"/>
    <w:rsid w:val="00C439E8"/>
    <w:rsid w:val="00C455EA"/>
    <w:rsid w:val="00C459C3"/>
    <w:rsid w:val="00C46675"/>
    <w:rsid w:val="00C47BE1"/>
    <w:rsid w:val="00C47E2D"/>
    <w:rsid w:val="00C50839"/>
    <w:rsid w:val="00C50D74"/>
    <w:rsid w:val="00C51032"/>
    <w:rsid w:val="00C51138"/>
    <w:rsid w:val="00C5113C"/>
    <w:rsid w:val="00C5169A"/>
    <w:rsid w:val="00C52539"/>
    <w:rsid w:val="00C52957"/>
    <w:rsid w:val="00C53838"/>
    <w:rsid w:val="00C544DC"/>
    <w:rsid w:val="00C546B2"/>
    <w:rsid w:val="00C559EC"/>
    <w:rsid w:val="00C56E70"/>
    <w:rsid w:val="00C57B57"/>
    <w:rsid w:val="00C60E56"/>
    <w:rsid w:val="00C612B5"/>
    <w:rsid w:val="00C61EE9"/>
    <w:rsid w:val="00C623FE"/>
    <w:rsid w:val="00C62B3A"/>
    <w:rsid w:val="00C62CA1"/>
    <w:rsid w:val="00C63648"/>
    <w:rsid w:val="00C63E05"/>
    <w:rsid w:val="00C63E88"/>
    <w:rsid w:val="00C6473D"/>
    <w:rsid w:val="00C64BA6"/>
    <w:rsid w:val="00C65644"/>
    <w:rsid w:val="00C6625E"/>
    <w:rsid w:val="00C66641"/>
    <w:rsid w:val="00C66A39"/>
    <w:rsid w:val="00C66F88"/>
    <w:rsid w:val="00C6742A"/>
    <w:rsid w:val="00C677FF"/>
    <w:rsid w:val="00C67F17"/>
    <w:rsid w:val="00C70B49"/>
    <w:rsid w:val="00C71123"/>
    <w:rsid w:val="00C71873"/>
    <w:rsid w:val="00C71D3B"/>
    <w:rsid w:val="00C71FD4"/>
    <w:rsid w:val="00C72239"/>
    <w:rsid w:val="00C72480"/>
    <w:rsid w:val="00C74588"/>
    <w:rsid w:val="00C746B0"/>
    <w:rsid w:val="00C7511C"/>
    <w:rsid w:val="00C7580D"/>
    <w:rsid w:val="00C75C16"/>
    <w:rsid w:val="00C75CC9"/>
    <w:rsid w:val="00C75E06"/>
    <w:rsid w:val="00C80096"/>
    <w:rsid w:val="00C823B9"/>
    <w:rsid w:val="00C8342F"/>
    <w:rsid w:val="00C84497"/>
    <w:rsid w:val="00C8496F"/>
    <w:rsid w:val="00C84B08"/>
    <w:rsid w:val="00C8664E"/>
    <w:rsid w:val="00C86853"/>
    <w:rsid w:val="00C87BD1"/>
    <w:rsid w:val="00C90DCC"/>
    <w:rsid w:val="00C91018"/>
    <w:rsid w:val="00C91778"/>
    <w:rsid w:val="00C93411"/>
    <w:rsid w:val="00C939ED"/>
    <w:rsid w:val="00C94186"/>
    <w:rsid w:val="00C94219"/>
    <w:rsid w:val="00C97685"/>
    <w:rsid w:val="00CA0946"/>
    <w:rsid w:val="00CA0ED8"/>
    <w:rsid w:val="00CA1DFF"/>
    <w:rsid w:val="00CA1E29"/>
    <w:rsid w:val="00CA2A78"/>
    <w:rsid w:val="00CA33DE"/>
    <w:rsid w:val="00CA34AA"/>
    <w:rsid w:val="00CA3FBD"/>
    <w:rsid w:val="00CA40BA"/>
    <w:rsid w:val="00CA42A2"/>
    <w:rsid w:val="00CA4CC2"/>
    <w:rsid w:val="00CA4F48"/>
    <w:rsid w:val="00CA5018"/>
    <w:rsid w:val="00CA522A"/>
    <w:rsid w:val="00CA5E90"/>
    <w:rsid w:val="00CA66D4"/>
    <w:rsid w:val="00CA75D7"/>
    <w:rsid w:val="00CA79E3"/>
    <w:rsid w:val="00CA7BFC"/>
    <w:rsid w:val="00CB02BA"/>
    <w:rsid w:val="00CB103E"/>
    <w:rsid w:val="00CB10CD"/>
    <w:rsid w:val="00CB25E5"/>
    <w:rsid w:val="00CB2629"/>
    <w:rsid w:val="00CB4A44"/>
    <w:rsid w:val="00CB573D"/>
    <w:rsid w:val="00CB6F1F"/>
    <w:rsid w:val="00CB73C7"/>
    <w:rsid w:val="00CC123A"/>
    <w:rsid w:val="00CC1261"/>
    <w:rsid w:val="00CC1D3B"/>
    <w:rsid w:val="00CC1E66"/>
    <w:rsid w:val="00CC2236"/>
    <w:rsid w:val="00CC3787"/>
    <w:rsid w:val="00CC4782"/>
    <w:rsid w:val="00CC4937"/>
    <w:rsid w:val="00CC533F"/>
    <w:rsid w:val="00CC5988"/>
    <w:rsid w:val="00CC699B"/>
    <w:rsid w:val="00CC6ABF"/>
    <w:rsid w:val="00CC7259"/>
    <w:rsid w:val="00CC7AA2"/>
    <w:rsid w:val="00CC7BB9"/>
    <w:rsid w:val="00CC7F8C"/>
    <w:rsid w:val="00CD049B"/>
    <w:rsid w:val="00CD071D"/>
    <w:rsid w:val="00CD0837"/>
    <w:rsid w:val="00CD23E3"/>
    <w:rsid w:val="00CD2790"/>
    <w:rsid w:val="00CD296D"/>
    <w:rsid w:val="00CD41B3"/>
    <w:rsid w:val="00CD41B7"/>
    <w:rsid w:val="00CD45E0"/>
    <w:rsid w:val="00CD47D1"/>
    <w:rsid w:val="00CD4BF1"/>
    <w:rsid w:val="00CD4DE3"/>
    <w:rsid w:val="00CD57D2"/>
    <w:rsid w:val="00CD6A05"/>
    <w:rsid w:val="00CD7104"/>
    <w:rsid w:val="00CD797E"/>
    <w:rsid w:val="00CD7E33"/>
    <w:rsid w:val="00CE03F7"/>
    <w:rsid w:val="00CE0588"/>
    <w:rsid w:val="00CE18B8"/>
    <w:rsid w:val="00CE271F"/>
    <w:rsid w:val="00CE2CA3"/>
    <w:rsid w:val="00CE5167"/>
    <w:rsid w:val="00CE53C7"/>
    <w:rsid w:val="00CE53CC"/>
    <w:rsid w:val="00CE5813"/>
    <w:rsid w:val="00CE5DE1"/>
    <w:rsid w:val="00CE5F44"/>
    <w:rsid w:val="00CE62C7"/>
    <w:rsid w:val="00CE6881"/>
    <w:rsid w:val="00CE7169"/>
    <w:rsid w:val="00CE7525"/>
    <w:rsid w:val="00CE794A"/>
    <w:rsid w:val="00CF0223"/>
    <w:rsid w:val="00CF1534"/>
    <w:rsid w:val="00CF164E"/>
    <w:rsid w:val="00CF181A"/>
    <w:rsid w:val="00CF282A"/>
    <w:rsid w:val="00CF2CE7"/>
    <w:rsid w:val="00CF32A2"/>
    <w:rsid w:val="00CF39BE"/>
    <w:rsid w:val="00CF3B62"/>
    <w:rsid w:val="00CF4B16"/>
    <w:rsid w:val="00CF5567"/>
    <w:rsid w:val="00CF5EB3"/>
    <w:rsid w:val="00CF7E70"/>
    <w:rsid w:val="00D0000E"/>
    <w:rsid w:val="00D00877"/>
    <w:rsid w:val="00D03F79"/>
    <w:rsid w:val="00D0411A"/>
    <w:rsid w:val="00D0480D"/>
    <w:rsid w:val="00D054DF"/>
    <w:rsid w:val="00D05574"/>
    <w:rsid w:val="00D0575B"/>
    <w:rsid w:val="00D057A5"/>
    <w:rsid w:val="00D07698"/>
    <w:rsid w:val="00D078E2"/>
    <w:rsid w:val="00D07AFD"/>
    <w:rsid w:val="00D07BC3"/>
    <w:rsid w:val="00D10FC1"/>
    <w:rsid w:val="00D11815"/>
    <w:rsid w:val="00D11A77"/>
    <w:rsid w:val="00D125BC"/>
    <w:rsid w:val="00D126C8"/>
    <w:rsid w:val="00D12A7C"/>
    <w:rsid w:val="00D12E1B"/>
    <w:rsid w:val="00D13316"/>
    <w:rsid w:val="00D13E1F"/>
    <w:rsid w:val="00D1472F"/>
    <w:rsid w:val="00D1698B"/>
    <w:rsid w:val="00D174E8"/>
    <w:rsid w:val="00D17633"/>
    <w:rsid w:val="00D17FCD"/>
    <w:rsid w:val="00D202F4"/>
    <w:rsid w:val="00D20B64"/>
    <w:rsid w:val="00D20DED"/>
    <w:rsid w:val="00D212DC"/>
    <w:rsid w:val="00D22214"/>
    <w:rsid w:val="00D22E98"/>
    <w:rsid w:val="00D22FED"/>
    <w:rsid w:val="00D23326"/>
    <w:rsid w:val="00D2582E"/>
    <w:rsid w:val="00D26CD3"/>
    <w:rsid w:val="00D276CC"/>
    <w:rsid w:val="00D27949"/>
    <w:rsid w:val="00D3114C"/>
    <w:rsid w:val="00D314CF"/>
    <w:rsid w:val="00D31CB8"/>
    <w:rsid w:val="00D32014"/>
    <w:rsid w:val="00D32EC4"/>
    <w:rsid w:val="00D33FB2"/>
    <w:rsid w:val="00D34EFD"/>
    <w:rsid w:val="00D3609E"/>
    <w:rsid w:val="00D368D8"/>
    <w:rsid w:val="00D40346"/>
    <w:rsid w:val="00D4149C"/>
    <w:rsid w:val="00D44976"/>
    <w:rsid w:val="00D4585B"/>
    <w:rsid w:val="00D47145"/>
    <w:rsid w:val="00D50F0F"/>
    <w:rsid w:val="00D51185"/>
    <w:rsid w:val="00D5182E"/>
    <w:rsid w:val="00D51C2D"/>
    <w:rsid w:val="00D54AC8"/>
    <w:rsid w:val="00D54C60"/>
    <w:rsid w:val="00D54E22"/>
    <w:rsid w:val="00D55915"/>
    <w:rsid w:val="00D57020"/>
    <w:rsid w:val="00D576C8"/>
    <w:rsid w:val="00D60625"/>
    <w:rsid w:val="00D624F1"/>
    <w:rsid w:val="00D62751"/>
    <w:rsid w:val="00D6370C"/>
    <w:rsid w:val="00D662E7"/>
    <w:rsid w:val="00D66FB7"/>
    <w:rsid w:val="00D718D8"/>
    <w:rsid w:val="00D72BDE"/>
    <w:rsid w:val="00D72DE5"/>
    <w:rsid w:val="00D7332A"/>
    <w:rsid w:val="00D73DB7"/>
    <w:rsid w:val="00D73DFD"/>
    <w:rsid w:val="00D74294"/>
    <w:rsid w:val="00D74AC7"/>
    <w:rsid w:val="00D75683"/>
    <w:rsid w:val="00D756D4"/>
    <w:rsid w:val="00D80102"/>
    <w:rsid w:val="00D81C12"/>
    <w:rsid w:val="00D823CF"/>
    <w:rsid w:val="00D82493"/>
    <w:rsid w:val="00D82E6D"/>
    <w:rsid w:val="00D83F79"/>
    <w:rsid w:val="00D84D40"/>
    <w:rsid w:val="00D84F8D"/>
    <w:rsid w:val="00D86391"/>
    <w:rsid w:val="00D86449"/>
    <w:rsid w:val="00D87E09"/>
    <w:rsid w:val="00D90342"/>
    <w:rsid w:val="00D90F91"/>
    <w:rsid w:val="00D91046"/>
    <w:rsid w:val="00D91152"/>
    <w:rsid w:val="00D911C9"/>
    <w:rsid w:val="00D91710"/>
    <w:rsid w:val="00D91AC4"/>
    <w:rsid w:val="00D925A8"/>
    <w:rsid w:val="00D92FF3"/>
    <w:rsid w:val="00D9356D"/>
    <w:rsid w:val="00D939DF"/>
    <w:rsid w:val="00D94736"/>
    <w:rsid w:val="00D94F40"/>
    <w:rsid w:val="00D9570F"/>
    <w:rsid w:val="00D96F2F"/>
    <w:rsid w:val="00D973A9"/>
    <w:rsid w:val="00D97ACE"/>
    <w:rsid w:val="00DA0366"/>
    <w:rsid w:val="00DA0C52"/>
    <w:rsid w:val="00DA0E90"/>
    <w:rsid w:val="00DA344F"/>
    <w:rsid w:val="00DA4D32"/>
    <w:rsid w:val="00DA5392"/>
    <w:rsid w:val="00DA574D"/>
    <w:rsid w:val="00DA6CBF"/>
    <w:rsid w:val="00DA7AC6"/>
    <w:rsid w:val="00DB0752"/>
    <w:rsid w:val="00DB1476"/>
    <w:rsid w:val="00DB14D1"/>
    <w:rsid w:val="00DB1BDF"/>
    <w:rsid w:val="00DB3D4E"/>
    <w:rsid w:val="00DB4819"/>
    <w:rsid w:val="00DB48B5"/>
    <w:rsid w:val="00DB4EE4"/>
    <w:rsid w:val="00DB5E16"/>
    <w:rsid w:val="00DB66A3"/>
    <w:rsid w:val="00DB7332"/>
    <w:rsid w:val="00DB73A7"/>
    <w:rsid w:val="00DB784A"/>
    <w:rsid w:val="00DC0598"/>
    <w:rsid w:val="00DC13CB"/>
    <w:rsid w:val="00DC17C8"/>
    <w:rsid w:val="00DC1C54"/>
    <w:rsid w:val="00DC2659"/>
    <w:rsid w:val="00DC2899"/>
    <w:rsid w:val="00DC3D5E"/>
    <w:rsid w:val="00DC6714"/>
    <w:rsid w:val="00DC6A9B"/>
    <w:rsid w:val="00DD003A"/>
    <w:rsid w:val="00DD067E"/>
    <w:rsid w:val="00DD0AE6"/>
    <w:rsid w:val="00DD130B"/>
    <w:rsid w:val="00DD1338"/>
    <w:rsid w:val="00DD1A9D"/>
    <w:rsid w:val="00DD1C35"/>
    <w:rsid w:val="00DD1CC5"/>
    <w:rsid w:val="00DD2403"/>
    <w:rsid w:val="00DD3418"/>
    <w:rsid w:val="00DD383F"/>
    <w:rsid w:val="00DD3C8E"/>
    <w:rsid w:val="00DD54A8"/>
    <w:rsid w:val="00DD6CFF"/>
    <w:rsid w:val="00DD6E05"/>
    <w:rsid w:val="00DD6EB9"/>
    <w:rsid w:val="00DE0798"/>
    <w:rsid w:val="00DE1077"/>
    <w:rsid w:val="00DE12F6"/>
    <w:rsid w:val="00DE3700"/>
    <w:rsid w:val="00DE3C33"/>
    <w:rsid w:val="00DE4B6B"/>
    <w:rsid w:val="00DE4C50"/>
    <w:rsid w:val="00DE4EAB"/>
    <w:rsid w:val="00DE5363"/>
    <w:rsid w:val="00DE5E56"/>
    <w:rsid w:val="00DE7C66"/>
    <w:rsid w:val="00DF0514"/>
    <w:rsid w:val="00DF0845"/>
    <w:rsid w:val="00DF093C"/>
    <w:rsid w:val="00DF0E49"/>
    <w:rsid w:val="00DF15BF"/>
    <w:rsid w:val="00DF176E"/>
    <w:rsid w:val="00DF1D37"/>
    <w:rsid w:val="00DF1F2A"/>
    <w:rsid w:val="00DF3A74"/>
    <w:rsid w:val="00DF499B"/>
    <w:rsid w:val="00DF5287"/>
    <w:rsid w:val="00DF7EA3"/>
    <w:rsid w:val="00E017F6"/>
    <w:rsid w:val="00E029B8"/>
    <w:rsid w:val="00E02B2A"/>
    <w:rsid w:val="00E0308A"/>
    <w:rsid w:val="00E037B7"/>
    <w:rsid w:val="00E0449E"/>
    <w:rsid w:val="00E04716"/>
    <w:rsid w:val="00E04AF8"/>
    <w:rsid w:val="00E05078"/>
    <w:rsid w:val="00E05717"/>
    <w:rsid w:val="00E06063"/>
    <w:rsid w:val="00E069B2"/>
    <w:rsid w:val="00E06F24"/>
    <w:rsid w:val="00E07287"/>
    <w:rsid w:val="00E0731E"/>
    <w:rsid w:val="00E07DE9"/>
    <w:rsid w:val="00E11BDF"/>
    <w:rsid w:val="00E121C8"/>
    <w:rsid w:val="00E12E1D"/>
    <w:rsid w:val="00E14BA1"/>
    <w:rsid w:val="00E1557F"/>
    <w:rsid w:val="00E15F77"/>
    <w:rsid w:val="00E16240"/>
    <w:rsid w:val="00E16915"/>
    <w:rsid w:val="00E16CA2"/>
    <w:rsid w:val="00E16DBF"/>
    <w:rsid w:val="00E17153"/>
    <w:rsid w:val="00E20FBA"/>
    <w:rsid w:val="00E21127"/>
    <w:rsid w:val="00E213D5"/>
    <w:rsid w:val="00E21468"/>
    <w:rsid w:val="00E21C7D"/>
    <w:rsid w:val="00E22DD7"/>
    <w:rsid w:val="00E235F8"/>
    <w:rsid w:val="00E236C5"/>
    <w:rsid w:val="00E24CA7"/>
    <w:rsid w:val="00E24F8D"/>
    <w:rsid w:val="00E25105"/>
    <w:rsid w:val="00E25418"/>
    <w:rsid w:val="00E2542F"/>
    <w:rsid w:val="00E26AE2"/>
    <w:rsid w:val="00E27582"/>
    <w:rsid w:val="00E277AA"/>
    <w:rsid w:val="00E27B8A"/>
    <w:rsid w:val="00E3062C"/>
    <w:rsid w:val="00E316E8"/>
    <w:rsid w:val="00E319ED"/>
    <w:rsid w:val="00E31B4E"/>
    <w:rsid w:val="00E3499C"/>
    <w:rsid w:val="00E36178"/>
    <w:rsid w:val="00E362AD"/>
    <w:rsid w:val="00E36ED7"/>
    <w:rsid w:val="00E370BA"/>
    <w:rsid w:val="00E37C24"/>
    <w:rsid w:val="00E4007A"/>
    <w:rsid w:val="00E4026B"/>
    <w:rsid w:val="00E4058A"/>
    <w:rsid w:val="00E4089A"/>
    <w:rsid w:val="00E40C0A"/>
    <w:rsid w:val="00E40EF1"/>
    <w:rsid w:val="00E414E2"/>
    <w:rsid w:val="00E416B4"/>
    <w:rsid w:val="00E42236"/>
    <w:rsid w:val="00E432C3"/>
    <w:rsid w:val="00E43A1E"/>
    <w:rsid w:val="00E43AC9"/>
    <w:rsid w:val="00E449F6"/>
    <w:rsid w:val="00E44FA4"/>
    <w:rsid w:val="00E450C2"/>
    <w:rsid w:val="00E45522"/>
    <w:rsid w:val="00E45610"/>
    <w:rsid w:val="00E45D3A"/>
    <w:rsid w:val="00E478C4"/>
    <w:rsid w:val="00E47AA6"/>
    <w:rsid w:val="00E47B2F"/>
    <w:rsid w:val="00E47B81"/>
    <w:rsid w:val="00E51016"/>
    <w:rsid w:val="00E51170"/>
    <w:rsid w:val="00E51753"/>
    <w:rsid w:val="00E5179E"/>
    <w:rsid w:val="00E521AD"/>
    <w:rsid w:val="00E53340"/>
    <w:rsid w:val="00E5359E"/>
    <w:rsid w:val="00E54D84"/>
    <w:rsid w:val="00E54DF3"/>
    <w:rsid w:val="00E5575A"/>
    <w:rsid w:val="00E5584E"/>
    <w:rsid w:val="00E56218"/>
    <w:rsid w:val="00E5634E"/>
    <w:rsid w:val="00E5644B"/>
    <w:rsid w:val="00E56462"/>
    <w:rsid w:val="00E570C0"/>
    <w:rsid w:val="00E570CB"/>
    <w:rsid w:val="00E57882"/>
    <w:rsid w:val="00E629EC"/>
    <w:rsid w:val="00E6426D"/>
    <w:rsid w:val="00E64444"/>
    <w:rsid w:val="00E64499"/>
    <w:rsid w:val="00E65875"/>
    <w:rsid w:val="00E668E4"/>
    <w:rsid w:val="00E66AF5"/>
    <w:rsid w:val="00E66ED0"/>
    <w:rsid w:val="00E706D3"/>
    <w:rsid w:val="00E722FB"/>
    <w:rsid w:val="00E72B20"/>
    <w:rsid w:val="00E73E15"/>
    <w:rsid w:val="00E74C44"/>
    <w:rsid w:val="00E751E2"/>
    <w:rsid w:val="00E756A5"/>
    <w:rsid w:val="00E757B0"/>
    <w:rsid w:val="00E765FA"/>
    <w:rsid w:val="00E76631"/>
    <w:rsid w:val="00E76908"/>
    <w:rsid w:val="00E76BC2"/>
    <w:rsid w:val="00E77338"/>
    <w:rsid w:val="00E775F8"/>
    <w:rsid w:val="00E815A7"/>
    <w:rsid w:val="00E817D4"/>
    <w:rsid w:val="00E81AFC"/>
    <w:rsid w:val="00E81EDF"/>
    <w:rsid w:val="00E827D9"/>
    <w:rsid w:val="00E82CCE"/>
    <w:rsid w:val="00E82EC1"/>
    <w:rsid w:val="00E83104"/>
    <w:rsid w:val="00E8345F"/>
    <w:rsid w:val="00E834C8"/>
    <w:rsid w:val="00E83A94"/>
    <w:rsid w:val="00E83AD7"/>
    <w:rsid w:val="00E83EE8"/>
    <w:rsid w:val="00E8570D"/>
    <w:rsid w:val="00E86F12"/>
    <w:rsid w:val="00E8753E"/>
    <w:rsid w:val="00E87F84"/>
    <w:rsid w:val="00E90153"/>
    <w:rsid w:val="00E92A69"/>
    <w:rsid w:val="00E935D0"/>
    <w:rsid w:val="00E93F57"/>
    <w:rsid w:val="00E940C4"/>
    <w:rsid w:val="00E94AE8"/>
    <w:rsid w:val="00E9594A"/>
    <w:rsid w:val="00E95C53"/>
    <w:rsid w:val="00E96542"/>
    <w:rsid w:val="00E96AB7"/>
    <w:rsid w:val="00E96F0E"/>
    <w:rsid w:val="00E97353"/>
    <w:rsid w:val="00EA01BD"/>
    <w:rsid w:val="00EA1E95"/>
    <w:rsid w:val="00EA2178"/>
    <w:rsid w:val="00EA4CFD"/>
    <w:rsid w:val="00EA5BCD"/>
    <w:rsid w:val="00EA684F"/>
    <w:rsid w:val="00EA7276"/>
    <w:rsid w:val="00EB0760"/>
    <w:rsid w:val="00EB12CB"/>
    <w:rsid w:val="00EB168C"/>
    <w:rsid w:val="00EB1891"/>
    <w:rsid w:val="00EB2875"/>
    <w:rsid w:val="00EB2B4D"/>
    <w:rsid w:val="00EB38FA"/>
    <w:rsid w:val="00EB41B5"/>
    <w:rsid w:val="00EB571D"/>
    <w:rsid w:val="00EB64FD"/>
    <w:rsid w:val="00EB6859"/>
    <w:rsid w:val="00EB68EE"/>
    <w:rsid w:val="00EB6C88"/>
    <w:rsid w:val="00EB6DA3"/>
    <w:rsid w:val="00EB708D"/>
    <w:rsid w:val="00EB7B4D"/>
    <w:rsid w:val="00EC0094"/>
    <w:rsid w:val="00EC03A6"/>
    <w:rsid w:val="00EC096E"/>
    <w:rsid w:val="00EC0D5C"/>
    <w:rsid w:val="00EC177F"/>
    <w:rsid w:val="00EC1CEC"/>
    <w:rsid w:val="00EC283A"/>
    <w:rsid w:val="00EC3728"/>
    <w:rsid w:val="00EC3997"/>
    <w:rsid w:val="00EC3CC3"/>
    <w:rsid w:val="00EC40F3"/>
    <w:rsid w:val="00EC5A51"/>
    <w:rsid w:val="00EC5C1E"/>
    <w:rsid w:val="00EC5D72"/>
    <w:rsid w:val="00EC613C"/>
    <w:rsid w:val="00EC62D2"/>
    <w:rsid w:val="00EC6355"/>
    <w:rsid w:val="00EC67CB"/>
    <w:rsid w:val="00EC6AFE"/>
    <w:rsid w:val="00EC6D60"/>
    <w:rsid w:val="00EC6DC5"/>
    <w:rsid w:val="00EC6FD5"/>
    <w:rsid w:val="00ED01EB"/>
    <w:rsid w:val="00ED0D29"/>
    <w:rsid w:val="00ED1EDC"/>
    <w:rsid w:val="00ED23F7"/>
    <w:rsid w:val="00ED282D"/>
    <w:rsid w:val="00ED2865"/>
    <w:rsid w:val="00ED3021"/>
    <w:rsid w:val="00ED306B"/>
    <w:rsid w:val="00ED31A9"/>
    <w:rsid w:val="00ED3893"/>
    <w:rsid w:val="00ED4A44"/>
    <w:rsid w:val="00ED5268"/>
    <w:rsid w:val="00ED5C6F"/>
    <w:rsid w:val="00ED5D1C"/>
    <w:rsid w:val="00ED5DDD"/>
    <w:rsid w:val="00ED6BCC"/>
    <w:rsid w:val="00ED6F2D"/>
    <w:rsid w:val="00ED7D61"/>
    <w:rsid w:val="00EE05D9"/>
    <w:rsid w:val="00EE0652"/>
    <w:rsid w:val="00EE06A2"/>
    <w:rsid w:val="00EE2A5F"/>
    <w:rsid w:val="00EE2CE0"/>
    <w:rsid w:val="00EE2DF8"/>
    <w:rsid w:val="00EE2F48"/>
    <w:rsid w:val="00EE3211"/>
    <w:rsid w:val="00EE325D"/>
    <w:rsid w:val="00EE4E20"/>
    <w:rsid w:val="00EE5CA7"/>
    <w:rsid w:val="00EE5D35"/>
    <w:rsid w:val="00EE6840"/>
    <w:rsid w:val="00EE6BB1"/>
    <w:rsid w:val="00EE7795"/>
    <w:rsid w:val="00EE7AF1"/>
    <w:rsid w:val="00EF1B48"/>
    <w:rsid w:val="00EF2554"/>
    <w:rsid w:val="00EF26C7"/>
    <w:rsid w:val="00EF30CB"/>
    <w:rsid w:val="00EF35ED"/>
    <w:rsid w:val="00EF4E13"/>
    <w:rsid w:val="00EF5208"/>
    <w:rsid w:val="00EF5D77"/>
    <w:rsid w:val="00EF5D7E"/>
    <w:rsid w:val="00EF63CE"/>
    <w:rsid w:val="00EF6713"/>
    <w:rsid w:val="00EF73BB"/>
    <w:rsid w:val="00EF77E1"/>
    <w:rsid w:val="00EF7DCB"/>
    <w:rsid w:val="00EF7F9E"/>
    <w:rsid w:val="00F0029A"/>
    <w:rsid w:val="00F02549"/>
    <w:rsid w:val="00F02617"/>
    <w:rsid w:val="00F05BAA"/>
    <w:rsid w:val="00F05E37"/>
    <w:rsid w:val="00F06F1E"/>
    <w:rsid w:val="00F10967"/>
    <w:rsid w:val="00F10B91"/>
    <w:rsid w:val="00F11602"/>
    <w:rsid w:val="00F117AF"/>
    <w:rsid w:val="00F1223D"/>
    <w:rsid w:val="00F13A51"/>
    <w:rsid w:val="00F13F36"/>
    <w:rsid w:val="00F140DB"/>
    <w:rsid w:val="00F1450D"/>
    <w:rsid w:val="00F14613"/>
    <w:rsid w:val="00F14636"/>
    <w:rsid w:val="00F149DC"/>
    <w:rsid w:val="00F15DAC"/>
    <w:rsid w:val="00F200F3"/>
    <w:rsid w:val="00F205B0"/>
    <w:rsid w:val="00F22E81"/>
    <w:rsid w:val="00F22EB0"/>
    <w:rsid w:val="00F230FF"/>
    <w:rsid w:val="00F234CC"/>
    <w:rsid w:val="00F24309"/>
    <w:rsid w:val="00F24F15"/>
    <w:rsid w:val="00F251D2"/>
    <w:rsid w:val="00F2541E"/>
    <w:rsid w:val="00F25603"/>
    <w:rsid w:val="00F258FC"/>
    <w:rsid w:val="00F259D8"/>
    <w:rsid w:val="00F25B68"/>
    <w:rsid w:val="00F263F5"/>
    <w:rsid w:val="00F27A6C"/>
    <w:rsid w:val="00F27FB0"/>
    <w:rsid w:val="00F306FB"/>
    <w:rsid w:val="00F30950"/>
    <w:rsid w:val="00F30B9D"/>
    <w:rsid w:val="00F30E7E"/>
    <w:rsid w:val="00F3157F"/>
    <w:rsid w:val="00F32764"/>
    <w:rsid w:val="00F332B9"/>
    <w:rsid w:val="00F337F0"/>
    <w:rsid w:val="00F34207"/>
    <w:rsid w:val="00F345F6"/>
    <w:rsid w:val="00F3498B"/>
    <w:rsid w:val="00F35CC3"/>
    <w:rsid w:val="00F3636F"/>
    <w:rsid w:val="00F375B9"/>
    <w:rsid w:val="00F37EF3"/>
    <w:rsid w:val="00F4088D"/>
    <w:rsid w:val="00F4100B"/>
    <w:rsid w:val="00F43B97"/>
    <w:rsid w:val="00F43C88"/>
    <w:rsid w:val="00F43EB3"/>
    <w:rsid w:val="00F442C7"/>
    <w:rsid w:val="00F4578C"/>
    <w:rsid w:val="00F45995"/>
    <w:rsid w:val="00F464C3"/>
    <w:rsid w:val="00F46B13"/>
    <w:rsid w:val="00F47342"/>
    <w:rsid w:val="00F47853"/>
    <w:rsid w:val="00F50BD0"/>
    <w:rsid w:val="00F519C2"/>
    <w:rsid w:val="00F53730"/>
    <w:rsid w:val="00F54C7F"/>
    <w:rsid w:val="00F54EAE"/>
    <w:rsid w:val="00F55210"/>
    <w:rsid w:val="00F555B3"/>
    <w:rsid w:val="00F57170"/>
    <w:rsid w:val="00F5788B"/>
    <w:rsid w:val="00F6020D"/>
    <w:rsid w:val="00F60688"/>
    <w:rsid w:val="00F6184C"/>
    <w:rsid w:val="00F61AD4"/>
    <w:rsid w:val="00F6267E"/>
    <w:rsid w:val="00F62DD9"/>
    <w:rsid w:val="00F63300"/>
    <w:rsid w:val="00F64894"/>
    <w:rsid w:val="00F64D17"/>
    <w:rsid w:val="00F65B85"/>
    <w:rsid w:val="00F67269"/>
    <w:rsid w:val="00F6738D"/>
    <w:rsid w:val="00F67F0A"/>
    <w:rsid w:val="00F701A7"/>
    <w:rsid w:val="00F708AC"/>
    <w:rsid w:val="00F70A85"/>
    <w:rsid w:val="00F70EAF"/>
    <w:rsid w:val="00F71058"/>
    <w:rsid w:val="00F710DA"/>
    <w:rsid w:val="00F711FA"/>
    <w:rsid w:val="00F716A5"/>
    <w:rsid w:val="00F71B2A"/>
    <w:rsid w:val="00F73DAA"/>
    <w:rsid w:val="00F73FE6"/>
    <w:rsid w:val="00F74327"/>
    <w:rsid w:val="00F7589B"/>
    <w:rsid w:val="00F75A87"/>
    <w:rsid w:val="00F77481"/>
    <w:rsid w:val="00F77651"/>
    <w:rsid w:val="00F7775C"/>
    <w:rsid w:val="00F80A13"/>
    <w:rsid w:val="00F81A16"/>
    <w:rsid w:val="00F81F11"/>
    <w:rsid w:val="00F828ED"/>
    <w:rsid w:val="00F82B7E"/>
    <w:rsid w:val="00F82C7A"/>
    <w:rsid w:val="00F832E2"/>
    <w:rsid w:val="00F835BA"/>
    <w:rsid w:val="00F85609"/>
    <w:rsid w:val="00F85C30"/>
    <w:rsid w:val="00F85DB0"/>
    <w:rsid w:val="00F85DF7"/>
    <w:rsid w:val="00F86A53"/>
    <w:rsid w:val="00F86D30"/>
    <w:rsid w:val="00F87A7A"/>
    <w:rsid w:val="00F90BBD"/>
    <w:rsid w:val="00F90E9F"/>
    <w:rsid w:val="00F90FB4"/>
    <w:rsid w:val="00F9164C"/>
    <w:rsid w:val="00F91EA7"/>
    <w:rsid w:val="00F92908"/>
    <w:rsid w:val="00F92ED9"/>
    <w:rsid w:val="00F9343C"/>
    <w:rsid w:val="00F93DE6"/>
    <w:rsid w:val="00F93E8C"/>
    <w:rsid w:val="00F94305"/>
    <w:rsid w:val="00F949AA"/>
    <w:rsid w:val="00F94CC0"/>
    <w:rsid w:val="00F9530C"/>
    <w:rsid w:val="00F953B2"/>
    <w:rsid w:val="00F9543A"/>
    <w:rsid w:val="00F95D1A"/>
    <w:rsid w:val="00F95F43"/>
    <w:rsid w:val="00F96F71"/>
    <w:rsid w:val="00F9781E"/>
    <w:rsid w:val="00F97C24"/>
    <w:rsid w:val="00FA1C03"/>
    <w:rsid w:val="00FA344A"/>
    <w:rsid w:val="00FA38CF"/>
    <w:rsid w:val="00FA3EFF"/>
    <w:rsid w:val="00FA4A21"/>
    <w:rsid w:val="00FA6508"/>
    <w:rsid w:val="00FA7C74"/>
    <w:rsid w:val="00FA7D82"/>
    <w:rsid w:val="00FB0DE8"/>
    <w:rsid w:val="00FB2440"/>
    <w:rsid w:val="00FB24D8"/>
    <w:rsid w:val="00FB265B"/>
    <w:rsid w:val="00FB329D"/>
    <w:rsid w:val="00FB3B7F"/>
    <w:rsid w:val="00FB4753"/>
    <w:rsid w:val="00FB6740"/>
    <w:rsid w:val="00FB6A80"/>
    <w:rsid w:val="00FB7A09"/>
    <w:rsid w:val="00FB7EA2"/>
    <w:rsid w:val="00FC00C8"/>
    <w:rsid w:val="00FC0121"/>
    <w:rsid w:val="00FC120F"/>
    <w:rsid w:val="00FC1F29"/>
    <w:rsid w:val="00FC1F76"/>
    <w:rsid w:val="00FC2982"/>
    <w:rsid w:val="00FC29FE"/>
    <w:rsid w:val="00FC3048"/>
    <w:rsid w:val="00FC3856"/>
    <w:rsid w:val="00FC3F33"/>
    <w:rsid w:val="00FC45FC"/>
    <w:rsid w:val="00FC5C15"/>
    <w:rsid w:val="00FC5E5E"/>
    <w:rsid w:val="00FC6087"/>
    <w:rsid w:val="00FC627D"/>
    <w:rsid w:val="00FC7040"/>
    <w:rsid w:val="00FC74EB"/>
    <w:rsid w:val="00FC7BD2"/>
    <w:rsid w:val="00FD12D3"/>
    <w:rsid w:val="00FD1524"/>
    <w:rsid w:val="00FD2357"/>
    <w:rsid w:val="00FD32F5"/>
    <w:rsid w:val="00FD3611"/>
    <w:rsid w:val="00FD3B91"/>
    <w:rsid w:val="00FD6183"/>
    <w:rsid w:val="00FD78B6"/>
    <w:rsid w:val="00FE2675"/>
    <w:rsid w:val="00FE3294"/>
    <w:rsid w:val="00FE3D3B"/>
    <w:rsid w:val="00FE4318"/>
    <w:rsid w:val="00FE4906"/>
    <w:rsid w:val="00FE4A7F"/>
    <w:rsid w:val="00FE57CC"/>
    <w:rsid w:val="00FE6905"/>
    <w:rsid w:val="00FE6DBB"/>
    <w:rsid w:val="00FE6F38"/>
    <w:rsid w:val="00FE7416"/>
    <w:rsid w:val="00FE743B"/>
    <w:rsid w:val="00FE764C"/>
    <w:rsid w:val="00FE7F7D"/>
    <w:rsid w:val="00FF0548"/>
    <w:rsid w:val="00FF06A8"/>
    <w:rsid w:val="00FF1444"/>
    <w:rsid w:val="00FF179E"/>
    <w:rsid w:val="00FF381A"/>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7B106"/>
  <w15:chartTrackingRefBased/>
  <w15:docId w15:val="{37AAC7A5-C405-49FF-8526-1E8523C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ZA"/>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rsid w:val="004A58D6"/>
    <w:pPr>
      <w:keepNext/>
      <w:tabs>
        <w:tab w:val="left" w:pos="720"/>
      </w:tabs>
      <w:spacing w:before="360" w:after="240" w:line="480" w:lineRule="auto"/>
      <w:ind w:left="737"/>
      <w:jc w:val="both"/>
      <w:outlineLvl w:val="2"/>
    </w:pPr>
    <w:rPr>
      <w:rFonts w:ascii="Times New Roman" w:hAnsi="Times New Roman"/>
      <w:bCs/>
      <w:u w:val="single"/>
    </w:rPr>
  </w:style>
  <w:style w:type="paragraph" w:styleId="Heading4">
    <w:name w:val="heading 4"/>
    <w:basedOn w:val="Normal"/>
    <w:next w:val="Normal"/>
    <w:qFormat/>
    <w:pPr>
      <w:keepNext/>
      <w:tabs>
        <w:tab w:val="left" w:pos="720"/>
      </w:tabs>
      <w:spacing w:before="360" w:after="360" w:line="480" w:lineRule="auto"/>
      <w:ind w:left="720"/>
      <w:jc w:val="both"/>
      <w:outlineLvl w:val="3"/>
    </w:pPr>
    <w:rPr>
      <w:b/>
    </w:rPr>
  </w:style>
  <w:style w:type="paragraph" w:styleId="Heading5">
    <w:name w:val="heading 5"/>
    <w:basedOn w:val="Normal"/>
    <w:next w:val="Normal"/>
    <w:qFormat/>
    <w:rsid w:val="00013F38"/>
    <w:pPr>
      <w:tabs>
        <w:tab w:val="num" w:pos="1008"/>
      </w:tabs>
      <w:spacing w:before="240" w:after="60"/>
      <w:ind w:left="1008" w:hanging="1008"/>
      <w:outlineLvl w:val="4"/>
    </w:pPr>
    <w:rPr>
      <w:sz w:val="22"/>
    </w:rPr>
  </w:style>
  <w:style w:type="paragraph" w:styleId="Heading6">
    <w:name w:val="heading 6"/>
    <w:basedOn w:val="Normal"/>
    <w:next w:val="Normal"/>
    <w:qFormat/>
    <w:rsid w:val="00013F38"/>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013F38"/>
    <w:pPr>
      <w:tabs>
        <w:tab w:val="num" w:pos="1296"/>
      </w:tabs>
      <w:spacing w:before="240" w:after="60"/>
      <w:ind w:left="1296" w:hanging="1296"/>
      <w:outlineLvl w:val="6"/>
    </w:pPr>
    <w:rPr>
      <w:sz w:val="20"/>
    </w:rPr>
  </w:style>
  <w:style w:type="paragraph" w:styleId="Heading8">
    <w:name w:val="heading 8"/>
    <w:basedOn w:val="Normal"/>
    <w:next w:val="Normal"/>
    <w:qFormat/>
    <w:rsid w:val="00013F38"/>
    <w:pPr>
      <w:tabs>
        <w:tab w:val="num" w:pos="1440"/>
      </w:tabs>
      <w:spacing w:before="240" w:after="60"/>
      <w:ind w:left="1440" w:hanging="1440"/>
      <w:outlineLvl w:val="7"/>
    </w:pPr>
    <w:rPr>
      <w:i/>
      <w:sz w:val="20"/>
    </w:rPr>
  </w:style>
  <w:style w:type="paragraph" w:styleId="Heading9">
    <w:name w:val="heading 9"/>
    <w:basedOn w:val="Normal"/>
    <w:next w:val="Normal"/>
    <w:qFormat/>
    <w:rsid w:val="00013F38"/>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720" w:hanging="720"/>
      <w:jc w:val="both"/>
    </w:pPr>
    <w:rPr>
      <w:rFonts w:ascii="Times New Roman" w:hAnsi="Times New Roman"/>
      <w:szCs w:val="20"/>
      <w:lang w:val="en-US"/>
    </w:rPr>
  </w:style>
  <w:style w:type="paragraph" w:styleId="BodyText">
    <w:name w:val="Body Text"/>
    <w:basedOn w:val="Normal"/>
    <w:pPr>
      <w:spacing w:line="480" w:lineRule="auto"/>
      <w:jc w:val="both"/>
    </w:pPr>
    <w:rPr>
      <w:rFonts w:ascii="Times New Roman" w:hAnsi="Times New Roman"/>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67"/>
        <w:tab w:val="right" w:pos="9072"/>
      </w:tabs>
      <w:spacing w:line="360" w:lineRule="auto"/>
      <w:ind w:left="567" w:hanging="567"/>
      <w:jc w:val="both"/>
    </w:pPr>
    <w:rPr>
      <w:rFonts w:ascii="Times New Roman" w:hAnsi="Times New Roman"/>
      <w:sz w:val="26"/>
      <w:lang w:val="en-US"/>
    </w:rPr>
  </w:style>
  <w:style w:type="paragraph" w:styleId="BodyTextIndent2">
    <w:name w:val="Body Text Indent 2"/>
    <w:basedOn w:val="Normal"/>
    <w:pPr>
      <w:tabs>
        <w:tab w:val="left" w:pos="720"/>
      </w:tabs>
      <w:spacing w:before="360" w:after="360" w:line="480" w:lineRule="auto"/>
      <w:ind w:left="720"/>
      <w:jc w:val="both"/>
    </w:pPr>
  </w:style>
  <w:style w:type="paragraph" w:styleId="BodyText2">
    <w:name w:val="Body Text 2"/>
    <w:basedOn w:val="Normal"/>
    <w:pPr>
      <w:spacing w:before="240" w:after="240" w:line="480" w:lineRule="auto"/>
      <w:jc w:val="both"/>
    </w:pPr>
    <w:rPr>
      <w:b/>
    </w:rPr>
  </w:style>
  <w:style w:type="paragraph" w:styleId="BalloonText">
    <w:name w:val="Balloon Text"/>
    <w:basedOn w:val="Normal"/>
    <w:semiHidden/>
    <w:rsid w:val="00757E02"/>
    <w:rPr>
      <w:rFonts w:ascii="Tahoma" w:hAnsi="Tahoma" w:cs="Tahoma"/>
      <w:sz w:val="16"/>
      <w:szCs w:val="16"/>
    </w:rPr>
  </w:style>
  <w:style w:type="character" w:styleId="Hyperlink">
    <w:name w:val="Hyperlink"/>
    <w:rsid w:val="003C1C27"/>
    <w:rPr>
      <w:color w:val="0000FF"/>
      <w:u w:val="single"/>
    </w:rPr>
  </w:style>
  <w:style w:type="character" w:styleId="CommentReference">
    <w:name w:val="annotation reference"/>
    <w:rsid w:val="003F39A7"/>
    <w:rPr>
      <w:sz w:val="16"/>
      <w:szCs w:val="16"/>
    </w:rPr>
  </w:style>
  <w:style w:type="paragraph" w:styleId="CommentText">
    <w:name w:val="annotation text"/>
    <w:basedOn w:val="Normal"/>
    <w:link w:val="CommentTextChar"/>
    <w:rsid w:val="003F39A7"/>
    <w:rPr>
      <w:sz w:val="20"/>
      <w:szCs w:val="20"/>
    </w:rPr>
  </w:style>
  <w:style w:type="character" w:customStyle="1" w:styleId="CommentTextChar">
    <w:name w:val="Comment Text Char"/>
    <w:link w:val="CommentText"/>
    <w:rsid w:val="003F39A7"/>
    <w:rPr>
      <w:rFonts w:ascii="Arial" w:hAnsi="Arial"/>
      <w:lang w:eastAsia="en-US"/>
    </w:rPr>
  </w:style>
  <w:style w:type="paragraph" w:styleId="CommentSubject">
    <w:name w:val="annotation subject"/>
    <w:basedOn w:val="CommentText"/>
    <w:next w:val="CommentText"/>
    <w:link w:val="CommentSubjectChar"/>
    <w:rsid w:val="003F39A7"/>
    <w:rPr>
      <w:b/>
      <w:bCs/>
    </w:rPr>
  </w:style>
  <w:style w:type="character" w:customStyle="1" w:styleId="CommentSubjectChar">
    <w:name w:val="Comment Subject Char"/>
    <w:link w:val="CommentSubject"/>
    <w:rsid w:val="003F39A7"/>
    <w:rPr>
      <w:rFonts w:ascii="Arial" w:hAnsi="Arial"/>
      <w:b/>
      <w:bCs/>
      <w:lang w:eastAsia="en-US"/>
    </w:rPr>
  </w:style>
  <w:style w:type="character" w:customStyle="1" w:styleId="UnresolvedMention">
    <w:name w:val="Unresolved Mention"/>
    <w:uiPriority w:val="99"/>
    <w:semiHidden/>
    <w:unhideWhenUsed/>
    <w:rsid w:val="005C3754"/>
    <w:rPr>
      <w:color w:val="605E5C"/>
      <w:shd w:val="clear" w:color="auto" w:fill="E1DFDD"/>
    </w:rPr>
  </w:style>
  <w:style w:type="paragraph" w:styleId="FootnoteText">
    <w:name w:val="footnote text"/>
    <w:aliases w:val="HCR: - Footnote text"/>
    <w:basedOn w:val="Normal"/>
    <w:link w:val="FootnoteTextChar"/>
    <w:qFormat/>
    <w:rsid w:val="00A830C4"/>
    <w:rPr>
      <w:rFonts w:ascii="Times New Roman" w:hAnsi="Times New Roman"/>
      <w:sz w:val="20"/>
      <w:szCs w:val="20"/>
      <w:lang w:val="en-GB" w:eastAsia="x-none"/>
    </w:rPr>
  </w:style>
  <w:style w:type="character" w:customStyle="1" w:styleId="FootnoteTextChar">
    <w:name w:val="Footnote Text Char"/>
    <w:aliases w:val="HCR: - Footnote text Char"/>
    <w:link w:val="FootnoteText"/>
    <w:rsid w:val="00A830C4"/>
    <w:rPr>
      <w:lang w:val="en-GB" w:eastAsia="x-none"/>
    </w:rPr>
  </w:style>
  <w:style w:type="character" w:styleId="FootnoteReference">
    <w:name w:val="footnote reference"/>
    <w:uiPriority w:val="99"/>
    <w:rsid w:val="00A830C4"/>
    <w:rPr>
      <w:vertAlign w:val="superscript"/>
    </w:rPr>
  </w:style>
  <w:style w:type="paragraph" w:styleId="EndnoteText">
    <w:name w:val="endnote text"/>
    <w:basedOn w:val="Normal"/>
    <w:link w:val="EndnoteTextChar"/>
    <w:rsid w:val="00944A37"/>
  </w:style>
  <w:style w:type="character" w:customStyle="1" w:styleId="EndnoteTextChar">
    <w:name w:val="Endnote Text Char"/>
    <w:link w:val="EndnoteText"/>
    <w:rsid w:val="00944A37"/>
    <w:rPr>
      <w:rFonts w:ascii="Arial" w:hAnsi="Arial"/>
      <w:sz w:val="24"/>
      <w:szCs w:val="24"/>
    </w:rPr>
  </w:style>
  <w:style w:type="character" w:styleId="EndnoteReference">
    <w:name w:val="endnote reference"/>
    <w:rsid w:val="00944A37"/>
    <w:rPr>
      <w:vertAlign w:val="superscript"/>
    </w:rPr>
  </w:style>
  <w:style w:type="paragraph" w:customStyle="1" w:styleId="ColorfulList-Accent11">
    <w:name w:val="Colorful List - Accent 11"/>
    <w:basedOn w:val="Normal"/>
    <w:uiPriority w:val="34"/>
    <w:qFormat/>
    <w:rsid w:val="002D074C"/>
    <w:pPr>
      <w:ind w:left="720"/>
    </w:pPr>
  </w:style>
  <w:style w:type="table" w:styleId="TableGrid">
    <w:name w:val="Table Grid"/>
    <w:basedOn w:val="TableNormal"/>
    <w:rsid w:val="008A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01E"/>
    <w:pPr>
      <w:ind w:left="720"/>
      <w:contextualSpacing/>
    </w:pPr>
  </w:style>
  <w:style w:type="character" w:customStyle="1" w:styleId="bolditalic">
    <w:name w:val="bolditalic"/>
    <w:basedOn w:val="DefaultParagraphFont"/>
    <w:rsid w:val="0018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4571">
      <w:bodyDiv w:val="1"/>
      <w:marLeft w:val="0"/>
      <w:marRight w:val="0"/>
      <w:marTop w:val="0"/>
      <w:marBottom w:val="0"/>
      <w:divBdr>
        <w:top w:val="none" w:sz="0" w:space="0" w:color="auto"/>
        <w:left w:val="none" w:sz="0" w:space="0" w:color="auto"/>
        <w:bottom w:val="none" w:sz="0" w:space="0" w:color="auto"/>
        <w:right w:val="none" w:sz="0" w:space="0" w:color="auto"/>
      </w:divBdr>
    </w:div>
    <w:div w:id="413865256">
      <w:bodyDiv w:val="1"/>
      <w:marLeft w:val="0"/>
      <w:marRight w:val="0"/>
      <w:marTop w:val="0"/>
      <w:marBottom w:val="0"/>
      <w:divBdr>
        <w:top w:val="none" w:sz="0" w:space="0" w:color="auto"/>
        <w:left w:val="none" w:sz="0" w:space="0" w:color="auto"/>
        <w:bottom w:val="none" w:sz="0" w:space="0" w:color="auto"/>
        <w:right w:val="none" w:sz="0" w:space="0" w:color="auto"/>
      </w:divBdr>
    </w:div>
    <w:div w:id="901863945">
      <w:bodyDiv w:val="1"/>
      <w:marLeft w:val="0"/>
      <w:marRight w:val="0"/>
      <w:marTop w:val="0"/>
      <w:marBottom w:val="0"/>
      <w:divBdr>
        <w:top w:val="none" w:sz="0" w:space="0" w:color="auto"/>
        <w:left w:val="none" w:sz="0" w:space="0" w:color="auto"/>
        <w:bottom w:val="none" w:sz="0" w:space="0" w:color="auto"/>
        <w:right w:val="none" w:sz="0" w:space="0" w:color="auto"/>
      </w:divBdr>
    </w:div>
    <w:div w:id="945499145">
      <w:bodyDiv w:val="1"/>
      <w:marLeft w:val="0"/>
      <w:marRight w:val="0"/>
      <w:marTop w:val="0"/>
      <w:marBottom w:val="0"/>
      <w:divBdr>
        <w:top w:val="none" w:sz="0" w:space="0" w:color="auto"/>
        <w:left w:val="none" w:sz="0" w:space="0" w:color="auto"/>
        <w:bottom w:val="none" w:sz="0" w:space="0" w:color="auto"/>
        <w:right w:val="none" w:sz="0" w:space="0" w:color="auto"/>
      </w:divBdr>
    </w:div>
    <w:div w:id="1075856876">
      <w:bodyDiv w:val="1"/>
      <w:marLeft w:val="0"/>
      <w:marRight w:val="0"/>
      <w:marTop w:val="0"/>
      <w:marBottom w:val="0"/>
      <w:divBdr>
        <w:top w:val="none" w:sz="0" w:space="0" w:color="auto"/>
        <w:left w:val="none" w:sz="0" w:space="0" w:color="auto"/>
        <w:bottom w:val="none" w:sz="0" w:space="0" w:color="auto"/>
        <w:right w:val="none" w:sz="0" w:space="0" w:color="auto"/>
      </w:divBdr>
    </w:div>
    <w:div w:id="1245994858">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57196231">
      <w:bodyDiv w:val="1"/>
      <w:marLeft w:val="0"/>
      <w:marRight w:val="0"/>
      <w:marTop w:val="0"/>
      <w:marBottom w:val="0"/>
      <w:divBdr>
        <w:top w:val="none" w:sz="0" w:space="0" w:color="auto"/>
        <w:left w:val="none" w:sz="0" w:space="0" w:color="auto"/>
        <w:bottom w:val="none" w:sz="0" w:space="0" w:color="auto"/>
        <w:right w:val="none" w:sz="0" w:space="0" w:color="auto"/>
      </w:divBdr>
    </w:div>
    <w:div w:id="1603799702">
      <w:bodyDiv w:val="1"/>
      <w:marLeft w:val="0"/>
      <w:marRight w:val="0"/>
      <w:marTop w:val="0"/>
      <w:marBottom w:val="0"/>
      <w:divBdr>
        <w:top w:val="none" w:sz="0" w:space="0" w:color="auto"/>
        <w:left w:val="none" w:sz="0" w:space="0" w:color="auto"/>
        <w:bottom w:val="none" w:sz="0" w:space="0" w:color="auto"/>
        <w:right w:val="none" w:sz="0" w:space="0" w:color="auto"/>
      </w:divBdr>
    </w:div>
    <w:div w:id="19649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18012-5035-445A-9E27-E232491B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User</dc:creator>
  <cp:keywords/>
  <cp:lastModifiedBy>Mokone</cp:lastModifiedBy>
  <cp:revision>3</cp:revision>
  <cp:lastPrinted>2022-08-15T06:36:00Z</cp:lastPrinted>
  <dcterms:created xsi:type="dcterms:W3CDTF">2023-05-26T11:00:00Z</dcterms:created>
  <dcterms:modified xsi:type="dcterms:W3CDTF">2023-05-26T11:00:00Z</dcterms:modified>
</cp:coreProperties>
</file>