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85C" w:rsidRDefault="00FE00C8" w:rsidP="00FE00C8">
      <w:pPr>
        <w:spacing w:line="360" w:lineRule="auto"/>
        <w:ind w:left="545"/>
        <w:jc w:val="center"/>
        <w:rPr>
          <w:b/>
          <w:sz w:val="26"/>
          <w:szCs w:val="26"/>
        </w:rPr>
      </w:pPr>
      <w:bookmarkStart w:id="0" w:name="_GoBack"/>
      <w:bookmarkEnd w:id="0"/>
      <w:r>
        <w:rPr>
          <w:noProof/>
          <w:lang w:val="en-US" w:eastAsia="en-US"/>
        </w:rPr>
        <w:drawing>
          <wp:inline distT="0" distB="0" distL="0" distR="0" wp14:anchorId="6D270494" wp14:editId="0CE78280">
            <wp:extent cx="1094105" cy="1094105"/>
            <wp:effectExtent l="0" t="0" r="0" b="0"/>
            <wp:docPr id="635524925" name="Picture 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635524925" name="Picture 1"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94105" cy="1094105"/>
                    </a:xfrm>
                    <a:prstGeom prst="rect">
                      <a:avLst/>
                    </a:prstGeom>
                  </pic:spPr>
                </pic:pic>
              </a:graphicData>
            </a:graphic>
          </wp:inline>
        </w:drawing>
      </w:r>
      <w:r w:rsidRPr="00FE00C8">
        <w:rPr>
          <w:b/>
          <w:sz w:val="26"/>
          <w:szCs w:val="26"/>
        </w:rPr>
        <w:t xml:space="preserve"> </w:t>
      </w:r>
    </w:p>
    <w:p w:rsidR="00FE00C8" w:rsidRPr="00B25EBE" w:rsidRDefault="00FE00C8" w:rsidP="00FE00C8">
      <w:pPr>
        <w:spacing w:line="360" w:lineRule="auto"/>
        <w:ind w:left="545"/>
        <w:jc w:val="center"/>
        <w:rPr>
          <w:b/>
          <w:sz w:val="26"/>
          <w:szCs w:val="26"/>
        </w:rPr>
      </w:pPr>
      <w:r w:rsidRPr="00B25EBE">
        <w:rPr>
          <w:b/>
          <w:sz w:val="26"/>
          <w:szCs w:val="26"/>
        </w:rPr>
        <w:t>IN THE HIGH COURT OF SOUTH AFRICA</w:t>
      </w:r>
    </w:p>
    <w:p w:rsidR="00FE00C8" w:rsidRPr="00B25EBE" w:rsidRDefault="00FE00C8" w:rsidP="00FE00C8">
      <w:pPr>
        <w:tabs>
          <w:tab w:val="left" w:pos="2694"/>
        </w:tabs>
        <w:spacing w:line="360" w:lineRule="auto"/>
        <w:ind w:firstLine="545"/>
        <w:jc w:val="center"/>
        <w:rPr>
          <w:b/>
          <w:sz w:val="26"/>
          <w:szCs w:val="26"/>
        </w:rPr>
      </w:pPr>
      <w:r w:rsidRPr="00B25EBE">
        <w:rPr>
          <w:b/>
          <w:sz w:val="26"/>
          <w:szCs w:val="26"/>
        </w:rPr>
        <w:t>(WESTERN CAPE DIVISION, CAPE TOWN)</w:t>
      </w:r>
    </w:p>
    <w:p w:rsidR="00FE00C8" w:rsidRPr="00B25EBE" w:rsidRDefault="00FE00C8" w:rsidP="00FE00C8">
      <w:pPr>
        <w:tabs>
          <w:tab w:val="left" w:pos="2694"/>
        </w:tabs>
        <w:spacing w:line="360" w:lineRule="auto"/>
        <w:ind w:firstLine="545"/>
        <w:jc w:val="center"/>
        <w:rPr>
          <w:b/>
          <w:sz w:val="26"/>
          <w:szCs w:val="26"/>
        </w:rPr>
      </w:pPr>
    </w:p>
    <w:p w:rsidR="00FE00C8" w:rsidRPr="00B25EBE" w:rsidRDefault="00FE00C8" w:rsidP="00FE00C8">
      <w:pPr>
        <w:tabs>
          <w:tab w:val="left" w:pos="2694"/>
        </w:tabs>
        <w:ind w:firstLine="545"/>
        <w:jc w:val="right"/>
        <w:rPr>
          <w:b/>
          <w:sz w:val="26"/>
          <w:szCs w:val="26"/>
        </w:rPr>
      </w:pPr>
      <w:r w:rsidRPr="00B25EBE">
        <w:rPr>
          <w:b/>
          <w:sz w:val="26"/>
          <w:szCs w:val="26"/>
        </w:rPr>
        <w:t xml:space="preserve">Case No: </w:t>
      </w:r>
      <w:r w:rsidR="007E68E2">
        <w:rPr>
          <w:b/>
          <w:sz w:val="26"/>
          <w:szCs w:val="26"/>
        </w:rPr>
        <w:t>5057</w:t>
      </w:r>
      <w:r>
        <w:rPr>
          <w:b/>
          <w:sz w:val="26"/>
          <w:szCs w:val="26"/>
        </w:rPr>
        <w:t>/2022</w:t>
      </w:r>
    </w:p>
    <w:p w:rsidR="00FE00C8" w:rsidRPr="00B25EBE" w:rsidRDefault="00FE00C8" w:rsidP="00FE00C8">
      <w:pPr>
        <w:spacing w:line="360" w:lineRule="auto"/>
        <w:rPr>
          <w:sz w:val="26"/>
          <w:szCs w:val="26"/>
        </w:rPr>
      </w:pPr>
      <w:r w:rsidRPr="00B25EBE">
        <w:rPr>
          <w:sz w:val="26"/>
          <w:szCs w:val="26"/>
        </w:rPr>
        <w:t>In the matter between:</w:t>
      </w:r>
    </w:p>
    <w:p w:rsidR="00FE00C8" w:rsidRPr="00B25EBE" w:rsidRDefault="00FE00C8" w:rsidP="00090B49">
      <w:pPr>
        <w:spacing w:line="276" w:lineRule="auto"/>
        <w:rPr>
          <w:b/>
          <w:sz w:val="26"/>
          <w:szCs w:val="26"/>
        </w:rPr>
      </w:pPr>
    </w:p>
    <w:p w:rsidR="00FE00C8" w:rsidRPr="007E68E2" w:rsidRDefault="007E68E2" w:rsidP="00FE00C8">
      <w:pPr>
        <w:spacing w:line="276" w:lineRule="auto"/>
        <w:rPr>
          <w:sz w:val="26"/>
          <w:szCs w:val="26"/>
        </w:rPr>
      </w:pPr>
      <w:r w:rsidRPr="007E68E2">
        <w:rPr>
          <w:b/>
          <w:sz w:val="26"/>
          <w:szCs w:val="26"/>
        </w:rPr>
        <w:t>THE FRANSCHHOEK CLAIMANTS TRUST</w:t>
      </w:r>
      <w:r w:rsidR="00FE00C8" w:rsidRPr="007E68E2">
        <w:rPr>
          <w:b/>
          <w:sz w:val="26"/>
          <w:szCs w:val="26"/>
        </w:rPr>
        <w:tab/>
      </w:r>
      <w:r w:rsidR="00FE00C8" w:rsidRPr="007E68E2">
        <w:rPr>
          <w:b/>
          <w:sz w:val="26"/>
          <w:szCs w:val="26"/>
        </w:rPr>
        <w:tab/>
      </w:r>
      <w:r w:rsidR="00FE00C8" w:rsidRPr="007E68E2">
        <w:rPr>
          <w:sz w:val="26"/>
          <w:szCs w:val="26"/>
        </w:rPr>
        <w:tab/>
        <w:t xml:space="preserve">               Applicant</w:t>
      </w:r>
    </w:p>
    <w:p w:rsidR="00FE00C8" w:rsidRPr="007E68E2" w:rsidRDefault="00FE00C8" w:rsidP="00090B49">
      <w:pPr>
        <w:spacing w:line="276" w:lineRule="auto"/>
        <w:rPr>
          <w:sz w:val="26"/>
          <w:szCs w:val="26"/>
        </w:rPr>
      </w:pPr>
    </w:p>
    <w:p w:rsidR="00FE00C8" w:rsidRPr="00B25EBE" w:rsidRDefault="00FE00C8" w:rsidP="00090B49">
      <w:pPr>
        <w:spacing w:line="276" w:lineRule="auto"/>
        <w:rPr>
          <w:sz w:val="26"/>
          <w:szCs w:val="26"/>
        </w:rPr>
      </w:pPr>
      <w:r w:rsidRPr="00B25EBE">
        <w:rPr>
          <w:sz w:val="26"/>
          <w:szCs w:val="26"/>
        </w:rPr>
        <w:t>and</w:t>
      </w:r>
    </w:p>
    <w:p w:rsidR="00FE00C8" w:rsidRDefault="00FE00C8" w:rsidP="00090B49">
      <w:pPr>
        <w:spacing w:line="276" w:lineRule="auto"/>
        <w:rPr>
          <w:sz w:val="26"/>
          <w:szCs w:val="26"/>
        </w:rPr>
      </w:pPr>
    </w:p>
    <w:p w:rsidR="007E68E2" w:rsidRPr="007E68E2" w:rsidRDefault="007E68E2" w:rsidP="007E68E2">
      <w:pPr>
        <w:spacing w:line="276" w:lineRule="auto"/>
        <w:rPr>
          <w:b/>
          <w:sz w:val="26"/>
          <w:szCs w:val="26"/>
        </w:rPr>
      </w:pPr>
      <w:r w:rsidRPr="007E68E2">
        <w:rPr>
          <w:b/>
          <w:sz w:val="26"/>
          <w:szCs w:val="26"/>
        </w:rPr>
        <w:t xml:space="preserve">EXECUTIVE MAYOR STELLENBOSCH </w:t>
      </w:r>
    </w:p>
    <w:p w:rsidR="007E68E2" w:rsidRPr="007E68E2" w:rsidRDefault="007E68E2" w:rsidP="007E68E2">
      <w:pPr>
        <w:spacing w:line="276" w:lineRule="auto"/>
        <w:rPr>
          <w:sz w:val="26"/>
          <w:szCs w:val="26"/>
        </w:rPr>
      </w:pPr>
      <w:r w:rsidRPr="007E68E2">
        <w:rPr>
          <w:b/>
          <w:sz w:val="26"/>
          <w:szCs w:val="26"/>
        </w:rPr>
        <w:t>LOCAL MUNICIPALITY</w:t>
      </w:r>
      <w:r w:rsidRPr="007E68E2">
        <w:rPr>
          <w:b/>
          <w:sz w:val="26"/>
          <w:szCs w:val="26"/>
        </w:rPr>
        <w:tab/>
      </w:r>
      <w:r w:rsidRPr="007E68E2">
        <w:rPr>
          <w:b/>
          <w:sz w:val="26"/>
          <w:szCs w:val="26"/>
        </w:rPr>
        <w:tab/>
      </w:r>
      <w:r w:rsidRPr="007E68E2">
        <w:rPr>
          <w:b/>
          <w:sz w:val="26"/>
          <w:szCs w:val="26"/>
        </w:rPr>
        <w:tab/>
      </w:r>
      <w:r w:rsidRPr="007E68E2">
        <w:rPr>
          <w:b/>
          <w:sz w:val="26"/>
          <w:szCs w:val="26"/>
        </w:rPr>
        <w:tab/>
      </w:r>
      <w:r w:rsidRPr="007E68E2">
        <w:rPr>
          <w:b/>
          <w:sz w:val="26"/>
          <w:szCs w:val="26"/>
        </w:rPr>
        <w:tab/>
      </w:r>
      <w:r w:rsidRPr="007E68E2">
        <w:rPr>
          <w:b/>
          <w:sz w:val="26"/>
          <w:szCs w:val="26"/>
        </w:rPr>
        <w:tab/>
      </w:r>
      <w:r>
        <w:rPr>
          <w:b/>
          <w:sz w:val="26"/>
          <w:szCs w:val="26"/>
        </w:rPr>
        <w:t xml:space="preserve">  </w:t>
      </w:r>
      <w:r w:rsidRPr="007E68E2">
        <w:rPr>
          <w:b/>
          <w:sz w:val="26"/>
          <w:szCs w:val="26"/>
        </w:rPr>
        <w:t xml:space="preserve">    </w:t>
      </w:r>
      <w:r w:rsidRPr="007E68E2">
        <w:rPr>
          <w:sz w:val="26"/>
          <w:szCs w:val="26"/>
        </w:rPr>
        <w:t>First Respondent</w:t>
      </w:r>
    </w:p>
    <w:p w:rsidR="007E68E2" w:rsidRPr="007E68E2" w:rsidRDefault="007E68E2" w:rsidP="007E68E2">
      <w:pPr>
        <w:spacing w:line="276" w:lineRule="auto"/>
        <w:rPr>
          <w:sz w:val="26"/>
          <w:szCs w:val="26"/>
        </w:rPr>
      </w:pPr>
    </w:p>
    <w:p w:rsidR="007E68E2" w:rsidRDefault="007E68E2" w:rsidP="007E68E2">
      <w:pPr>
        <w:spacing w:line="276" w:lineRule="auto"/>
        <w:rPr>
          <w:sz w:val="26"/>
          <w:szCs w:val="26"/>
        </w:rPr>
      </w:pPr>
      <w:r w:rsidRPr="007E68E2">
        <w:rPr>
          <w:b/>
          <w:sz w:val="26"/>
          <w:szCs w:val="26"/>
        </w:rPr>
        <w:t>STELLENBOSCH MUNICIPAL PLANNING TRIBUNAL</w:t>
      </w:r>
      <w:r w:rsidRPr="007E68E2">
        <w:rPr>
          <w:b/>
          <w:sz w:val="26"/>
          <w:szCs w:val="26"/>
        </w:rPr>
        <w:tab/>
      </w:r>
      <w:r>
        <w:rPr>
          <w:b/>
          <w:sz w:val="26"/>
          <w:szCs w:val="26"/>
        </w:rPr>
        <w:t xml:space="preserve"> </w:t>
      </w:r>
      <w:r w:rsidRPr="007E68E2">
        <w:rPr>
          <w:sz w:val="26"/>
          <w:szCs w:val="26"/>
        </w:rPr>
        <w:t>Second Respondent</w:t>
      </w:r>
    </w:p>
    <w:p w:rsidR="007E68E2" w:rsidRPr="007E68E2" w:rsidRDefault="007E68E2" w:rsidP="007E68E2">
      <w:pPr>
        <w:spacing w:line="276" w:lineRule="auto"/>
        <w:rPr>
          <w:sz w:val="26"/>
          <w:szCs w:val="26"/>
        </w:rPr>
      </w:pPr>
    </w:p>
    <w:p w:rsidR="007E68E2" w:rsidRPr="007E68E2" w:rsidRDefault="007E68E2" w:rsidP="007E68E2">
      <w:pPr>
        <w:spacing w:line="276" w:lineRule="auto"/>
        <w:rPr>
          <w:sz w:val="26"/>
          <w:szCs w:val="26"/>
        </w:rPr>
      </w:pPr>
      <w:r w:rsidRPr="007E68E2">
        <w:rPr>
          <w:b/>
          <w:sz w:val="26"/>
          <w:szCs w:val="26"/>
        </w:rPr>
        <w:t>THE STELLENBOSCH MUNICIPALITY</w:t>
      </w:r>
      <w:r w:rsidRPr="007E68E2">
        <w:rPr>
          <w:b/>
          <w:sz w:val="26"/>
          <w:szCs w:val="26"/>
        </w:rPr>
        <w:tab/>
      </w:r>
      <w:r w:rsidRPr="007E68E2">
        <w:rPr>
          <w:b/>
          <w:sz w:val="26"/>
          <w:szCs w:val="26"/>
        </w:rPr>
        <w:tab/>
      </w:r>
      <w:r w:rsidRPr="007E68E2">
        <w:rPr>
          <w:b/>
          <w:sz w:val="26"/>
          <w:szCs w:val="26"/>
        </w:rPr>
        <w:tab/>
      </w:r>
      <w:r w:rsidRPr="007E68E2">
        <w:rPr>
          <w:b/>
          <w:sz w:val="26"/>
          <w:szCs w:val="26"/>
        </w:rPr>
        <w:tab/>
      </w:r>
      <w:r>
        <w:rPr>
          <w:b/>
          <w:sz w:val="26"/>
          <w:szCs w:val="26"/>
        </w:rPr>
        <w:t xml:space="preserve">    </w:t>
      </w:r>
      <w:r w:rsidRPr="007E68E2">
        <w:rPr>
          <w:sz w:val="26"/>
          <w:szCs w:val="26"/>
        </w:rPr>
        <w:t>Third Respondent</w:t>
      </w:r>
    </w:p>
    <w:p w:rsidR="007E68E2" w:rsidRDefault="007E68E2" w:rsidP="00090B49">
      <w:pPr>
        <w:rPr>
          <w:sz w:val="26"/>
          <w:szCs w:val="26"/>
        </w:rPr>
      </w:pPr>
    </w:p>
    <w:p w:rsidR="00E456F7" w:rsidRDefault="00E456F7" w:rsidP="00FE00C8">
      <w:pPr>
        <w:rPr>
          <w:sz w:val="26"/>
          <w:szCs w:val="26"/>
        </w:rPr>
      </w:pPr>
      <w:r>
        <w:rPr>
          <w:sz w:val="26"/>
          <w:szCs w:val="26"/>
        </w:rPr>
        <w:t>________________________________________________________________________</w:t>
      </w:r>
    </w:p>
    <w:p w:rsidR="00E456F7" w:rsidRPr="00B25EBE" w:rsidRDefault="00E456F7" w:rsidP="00090B49">
      <w:pPr>
        <w:rPr>
          <w:sz w:val="26"/>
          <w:szCs w:val="26"/>
        </w:rPr>
      </w:pPr>
    </w:p>
    <w:p w:rsidR="00FE00C8" w:rsidRPr="00B25EBE" w:rsidRDefault="00FE00C8" w:rsidP="0071385C">
      <w:pPr>
        <w:spacing w:line="276" w:lineRule="auto"/>
        <w:jc w:val="center"/>
        <w:rPr>
          <w:b/>
          <w:sz w:val="26"/>
          <w:szCs w:val="26"/>
        </w:rPr>
      </w:pPr>
      <w:r w:rsidRPr="00B25EBE">
        <w:rPr>
          <w:b/>
          <w:sz w:val="26"/>
          <w:szCs w:val="26"/>
        </w:rPr>
        <w:t xml:space="preserve">JUDGMENT DELIVERED ELECTRONICALLY ON </w:t>
      </w:r>
      <w:r w:rsidR="00837AD4">
        <w:rPr>
          <w:b/>
          <w:sz w:val="26"/>
          <w:szCs w:val="26"/>
        </w:rPr>
        <w:t>12</w:t>
      </w:r>
      <w:r>
        <w:rPr>
          <w:b/>
          <w:sz w:val="26"/>
          <w:szCs w:val="26"/>
        </w:rPr>
        <w:t xml:space="preserve"> APRIL</w:t>
      </w:r>
      <w:r w:rsidRPr="00B25EBE">
        <w:rPr>
          <w:b/>
          <w:sz w:val="26"/>
          <w:szCs w:val="26"/>
        </w:rPr>
        <w:t xml:space="preserve"> 202</w:t>
      </w:r>
      <w:r>
        <w:rPr>
          <w:b/>
          <w:sz w:val="26"/>
          <w:szCs w:val="26"/>
        </w:rPr>
        <w:t>3</w:t>
      </w:r>
    </w:p>
    <w:p w:rsidR="00FE00C8" w:rsidRPr="00B25EBE" w:rsidRDefault="00E456F7" w:rsidP="00FE00C8">
      <w:pPr>
        <w:spacing w:line="360" w:lineRule="auto"/>
        <w:rPr>
          <w:sz w:val="26"/>
          <w:szCs w:val="26"/>
        </w:rPr>
      </w:pPr>
      <w:r>
        <w:rPr>
          <w:noProof/>
          <w:sz w:val="26"/>
          <w:szCs w:val="26"/>
          <w:lang w:val="en-US" w:eastAsia="en-US"/>
        </w:rPr>
        <w:t>________________________________________________________________________</w:t>
      </w:r>
    </w:p>
    <w:p w:rsidR="00FD63B0" w:rsidRPr="00BF7366" w:rsidRDefault="00FE00C8" w:rsidP="00FE00C8">
      <w:pPr>
        <w:spacing w:line="480" w:lineRule="auto"/>
        <w:rPr>
          <w:b/>
          <w:sz w:val="26"/>
          <w:szCs w:val="26"/>
        </w:rPr>
      </w:pPr>
      <w:r w:rsidRPr="00BF7366">
        <w:rPr>
          <w:b/>
          <w:sz w:val="26"/>
          <w:szCs w:val="26"/>
        </w:rPr>
        <w:t xml:space="preserve">MANGCU-LOCKWOOD, J </w:t>
      </w:r>
    </w:p>
    <w:p w:rsidR="00B77977" w:rsidRPr="00FD63B0" w:rsidRDefault="00B77977" w:rsidP="00B77977">
      <w:pPr>
        <w:pStyle w:val="ListParagraph"/>
        <w:numPr>
          <w:ilvl w:val="0"/>
          <w:numId w:val="5"/>
        </w:numPr>
        <w:spacing w:line="360" w:lineRule="auto"/>
        <w:rPr>
          <w:b/>
          <w:sz w:val="26"/>
          <w:szCs w:val="26"/>
          <w:u w:val="single"/>
        </w:rPr>
      </w:pPr>
      <w:r w:rsidRPr="00FD63B0">
        <w:rPr>
          <w:b/>
          <w:sz w:val="26"/>
          <w:szCs w:val="26"/>
          <w:u w:val="single"/>
        </w:rPr>
        <w:t>INTRODUCTION</w:t>
      </w:r>
    </w:p>
    <w:p w:rsidR="00B77977" w:rsidRPr="00372359" w:rsidRDefault="00B77977" w:rsidP="0099069A">
      <w:pPr>
        <w:pStyle w:val="ListParagraph"/>
        <w:numPr>
          <w:ilvl w:val="0"/>
          <w:numId w:val="1"/>
        </w:numPr>
        <w:spacing w:line="360" w:lineRule="auto"/>
        <w:ind w:left="0" w:firstLine="142"/>
        <w:jc w:val="both"/>
        <w:rPr>
          <w:b/>
          <w:sz w:val="26"/>
          <w:szCs w:val="26"/>
          <w:u w:val="single"/>
        </w:rPr>
      </w:pPr>
      <w:r>
        <w:rPr>
          <w:sz w:val="26"/>
          <w:szCs w:val="26"/>
        </w:rPr>
        <w:t>This is an opposed application</w:t>
      </w:r>
      <w:r w:rsidR="004D222A">
        <w:rPr>
          <w:sz w:val="26"/>
          <w:szCs w:val="26"/>
        </w:rPr>
        <w:t xml:space="preserve"> for review</w:t>
      </w:r>
      <w:r>
        <w:rPr>
          <w:sz w:val="26"/>
          <w:szCs w:val="26"/>
        </w:rPr>
        <w:t xml:space="preserve"> in terms of sections 6 and 8 of the Promotion </w:t>
      </w:r>
      <w:r w:rsidR="00FD79EC">
        <w:rPr>
          <w:sz w:val="26"/>
          <w:szCs w:val="26"/>
        </w:rPr>
        <w:t xml:space="preserve">of Administrative Justice Act </w:t>
      </w:r>
      <w:r>
        <w:rPr>
          <w:sz w:val="26"/>
          <w:szCs w:val="26"/>
        </w:rPr>
        <w:t>3 of 2000 (</w:t>
      </w:r>
      <w:r w:rsidRPr="004D222A">
        <w:rPr>
          <w:i/>
          <w:iCs/>
          <w:sz w:val="26"/>
          <w:szCs w:val="26"/>
        </w:rPr>
        <w:t>“PAJA”</w:t>
      </w:r>
      <w:r>
        <w:rPr>
          <w:sz w:val="26"/>
          <w:szCs w:val="26"/>
        </w:rPr>
        <w:t>)</w:t>
      </w:r>
      <w:r w:rsidR="00FD79EC">
        <w:rPr>
          <w:sz w:val="26"/>
          <w:szCs w:val="26"/>
        </w:rPr>
        <w:t xml:space="preserve">.  </w:t>
      </w:r>
      <w:r w:rsidR="00FB7467">
        <w:rPr>
          <w:sz w:val="26"/>
          <w:szCs w:val="26"/>
        </w:rPr>
        <w:t>The applicant seek</w:t>
      </w:r>
      <w:r w:rsidR="001C2574">
        <w:rPr>
          <w:sz w:val="26"/>
          <w:szCs w:val="26"/>
        </w:rPr>
        <w:t xml:space="preserve">s the review and setting aside of a decision taken by the first respondent, in her capacity as the </w:t>
      </w:r>
      <w:r w:rsidR="00784367">
        <w:rPr>
          <w:sz w:val="26"/>
          <w:szCs w:val="26"/>
        </w:rPr>
        <w:t>a</w:t>
      </w:r>
      <w:r w:rsidR="00CD1CEA">
        <w:rPr>
          <w:sz w:val="26"/>
          <w:szCs w:val="26"/>
        </w:rPr>
        <w:t xml:space="preserve">ppeal </w:t>
      </w:r>
      <w:r w:rsidR="00784367">
        <w:rPr>
          <w:sz w:val="26"/>
          <w:szCs w:val="26"/>
        </w:rPr>
        <w:t>a</w:t>
      </w:r>
      <w:r w:rsidR="00CD1CEA">
        <w:rPr>
          <w:sz w:val="26"/>
          <w:szCs w:val="26"/>
        </w:rPr>
        <w:t>uthority</w:t>
      </w:r>
      <w:r w:rsidR="001C2574">
        <w:rPr>
          <w:sz w:val="26"/>
          <w:szCs w:val="26"/>
        </w:rPr>
        <w:t>, in which she revoked an approval granted by the second respondent</w:t>
      </w:r>
      <w:r w:rsidR="004D222A">
        <w:rPr>
          <w:sz w:val="26"/>
          <w:szCs w:val="26"/>
        </w:rPr>
        <w:t xml:space="preserve"> (</w:t>
      </w:r>
      <w:r w:rsidR="004D222A" w:rsidRPr="004D222A">
        <w:rPr>
          <w:i/>
          <w:iCs/>
          <w:sz w:val="26"/>
          <w:szCs w:val="26"/>
        </w:rPr>
        <w:t xml:space="preserve">“the </w:t>
      </w:r>
      <w:r w:rsidR="004D222A">
        <w:rPr>
          <w:i/>
          <w:iCs/>
          <w:sz w:val="26"/>
          <w:szCs w:val="26"/>
        </w:rPr>
        <w:lastRenderedPageBreak/>
        <w:t xml:space="preserve">Municipal </w:t>
      </w:r>
      <w:r w:rsidR="004D222A" w:rsidRPr="004D222A">
        <w:rPr>
          <w:i/>
          <w:iCs/>
          <w:sz w:val="26"/>
          <w:szCs w:val="26"/>
        </w:rPr>
        <w:t>Tribunal”</w:t>
      </w:r>
      <w:r w:rsidR="004D222A">
        <w:rPr>
          <w:sz w:val="26"/>
          <w:szCs w:val="26"/>
        </w:rPr>
        <w:t>)</w:t>
      </w:r>
      <w:r w:rsidR="001C2574">
        <w:rPr>
          <w:sz w:val="26"/>
          <w:szCs w:val="26"/>
        </w:rPr>
        <w:t xml:space="preserve"> </w:t>
      </w:r>
      <w:r w:rsidR="005B7B4D">
        <w:rPr>
          <w:sz w:val="26"/>
          <w:szCs w:val="26"/>
        </w:rPr>
        <w:t>to the applicant in respect of e</w:t>
      </w:r>
      <w:r w:rsidR="001C2574">
        <w:rPr>
          <w:sz w:val="26"/>
          <w:szCs w:val="26"/>
        </w:rPr>
        <w:t>rf 1692, Franschhoek, Western Cape (</w:t>
      </w:r>
      <w:r w:rsidR="001C2574" w:rsidRPr="001C2574">
        <w:rPr>
          <w:i/>
          <w:sz w:val="26"/>
          <w:szCs w:val="26"/>
        </w:rPr>
        <w:t>“the property”</w:t>
      </w:r>
      <w:r w:rsidR="001C2574" w:rsidRPr="00215DC8">
        <w:rPr>
          <w:sz w:val="26"/>
          <w:szCs w:val="26"/>
        </w:rPr>
        <w:t>)</w:t>
      </w:r>
      <w:r w:rsidR="00500BBD">
        <w:rPr>
          <w:sz w:val="26"/>
          <w:szCs w:val="26"/>
        </w:rPr>
        <w:t>.</w:t>
      </w:r>
    </w:p>
    <w:p w:rsidR="00372359" w:rsidRPr="00372359" w:rsidRDefault="00372359" w:rsidP="00372359">
      <w:pPr>
        <w:pStyle w:val="ListParagraph"/>
        <w:spacing w:line="360" w:lineRule="auto"/>
        <w:ind w:left="142"/>
        <w:jc w:val="both"/>
        <w:rPr>
          <w:b/>
          <w:sz w:val="26"/>
          <w:szCs w:val="26"/>
          <w:u w:val="single"/>
        </w:rPr>
      </w:pPr>
    </w:p>
    <w:p w:rsidR="00372359" w:rsidRPr="00CD240F" w:rsidRDefault="00372359" w:rsidP="00372359">
      <w:pPr>
        <w:pStyle w:val="ListParagraph"/>
        <w:numPr>
          <w:ilvl w:val="0"/>
          <w:numId w:val="1"/>
        </w:numPr>
        <w:spacing w:line="360" w:lineRule="auto"/>
        <w:ind w:left="0" w:firstLine="142"/>
        <w:jc w:val="both"/>
        <w:rPr>
          <w:sz w:val="26"/>
          <w:szCs w:val="26"/>
        </w:rPr>
      </w:pPr>
      <w:r w:rsidRPr="00372359">
        <w:rPr>
          <w:sz w:val="26"/>
          <w:szCs w:val="26"/>
          <w:lang w:val="en-US"/>
        </w:rPr>
        <w:t>The applicant is a trust which was established to hold in trust communal land</w:t>
      </w:r>
      <w:r>
        <w:rPr>
          <w:sz w:val="26"/>
          <w:szCs w:val="26"/>
          <w:lang w:val="en-US"/>
        </w:rPr>
        <w:t xml:space="preserve"> - the property - </w:t>
      </w:r>
      <w:r w:rsidRPr="00372359">
        <w:rPr>
          <w:sz w:val="26"/>
          <w:szCs w:val="26"/>
          <w:lang w:val="en-US"/>
        </w:rPr>
        <w:t>on behalf of its members</w:t>
      </w:r>
      <w:r>
        <w:rPr>
          <w:sz w:val="26"/>
          <w:szCs w:val="26"/>
          <w:lang w:val="en-US"/>
        </w:rPr>
        <w:t xml:space="preserve">. </w:t>
      </w:r>
      <w:r w:rsidRPr="00CD240F">
        <w:rPr>
          <w:bCs/>
          <w:sz w:val="26"/>
          <w:szCs w:val="26"/>
          <w:lang w:val="en-US"/>
        </w:rPr>
        <w:t xml:space="preserve">The property was acquired pursuant to a land claim. The beneficiaries of the applicant are made up of groups representing 40 claims, with a total of 254 individual beneficiaries belonging to any one of the claimant groups. </w:t>
      </w:r>
    </w:p>
    <w:p w:rsidR="004D222A" w:rsidRDefault="004D222A" w:rsidP="00372359">
      <w:pPr>
        <w:spacing w:line="360" w:lineRule="auto"/>
        <w:jc w:val="both"/>
        <w:rPr>
          <w:b/>
          <w:sz w:val="26"/>
          <w:szCs w:val="26"/>
          <w:u w:val="single"/>
        </w:rPr>
      </w:pPr>
    </w:p>
    <w:p w:rsidR="00372359" w:rsidRPr="00372359" w:rsidRDefault="00372359" w:rsidP="00372359">
      <w:pPr>
        <w:pStyle w:val="ListParagraph"/>
        <w:numPr>
          <w:ilvl w:val="0"/>
          <w:numId w:val="5"/>
        </w:numPr>
        <w:spacing w:line="360" w:lineRule="auto"/>
        <w:rPr>
          <w:b/>
          <w:bCs/>
          <w:sz w:val="26"/>
          <w:szCs w:val="26"/>
          <w:u w:val="single"/>
        </w:rPr>
      </w:pPr>
      <w:r w:rsidRPr="00FD63B0">
        <w:rPr>
          <w:b/>
          <w:bCs/>
          <w:sz w:val="26"/>
          <w:szCs w:val="26"/>
          <w:u w:val="single"/>
        </w:rPr>
        <w:t>THE FACTS</w:t>
      </w:r>
    </w:p>
    <w:p w:rsidR="00382D1D" w:rsidRPr="000421FC" w:rsidRDefault="0099069A" w:rsidP="0099069A">
      <w:pPr>
        <w:pStyle w:val="ListParagraph"/>
        <w:numPr>
          <w:ilvl w:val="0"/>
          <w:numId w:val="1"/>
        </w:numPr>
        <w:spacing w:line="360" w:lineRule="auto"/>
        <w:ind w:left="0" w:firstLine="142"/>
        <w:jc w:val="both"/>
        <w:rPr>
          <w:b/>
          <w:sz w:val="26"/>
          <w:szCs w:val="26"/>
          <w:u w:val="single"/>
        </w:rPr>
      </w:pPr>
      <w:r>
        <w:rPr>
          <w:sz w:val="26"/>
          <w:szCs w:val="26"/>
        </w:rPr>
        <w:t>The decision</w:t>
      </w:r>
      <w:r w:rsidR="00372359">
        <w:rPr>
          <w:sz w:val="26"/>
          <w:szCs w:val="26"/>
        </w:rPr>
        <w:t xml:space="preserve"> that is the subject of the review</w:t>
      </w:r>
      <w:r>
        <w:rPr>
          <w:sz w:val="26"/>
          <w:szCs w:val="26"/>
        </w:rPr>
        <w:t xml:space="preserve"> concerns an application</w:t>
      </w:r>
      <w:r w:rsidR="004D222A">
        <w:rPr>
          <w:sz w:val="26"/>
          <w:szCs w:val="26"/>
        </w:rPr>
        <w:t xml:space="preserve"> made </w:t>
      </w:r>
      <w:r>
        <w:rPr>
          <w:sz w:val="26"/>
          <w:szCs w:val="26"/>
        </w:rPr>
        <w:t xml:space="preserve">on behalf of the applicant, in terms </w:t>
      </w:r>
      <w:r w:rsidR="00876FC8">
        <w:rPr>
          <w:sz w:val="26"/>
          <w:szCs w:val="26"/>
        </w:rPr>
        <w:t>section 60 of the Stelle</w:t>
      </w:r>
      <w:r w:rsidR="005A7E3F">
        <w:rPr>
          <w:sz w:val="26"/>
          <w:szCs w:val="26"/>
        </w:rPr>
        <w:t>n</w:t>
      </w:r>
      <w:r w:rsidR="00876FC8">
        <w:rPr>
          <w:sz w:val="26"/>
          <w:szCs w:val="26"/>
        </w:rPr>
        <w:t>bosch Municipal</w:t>
      </w:r>
      <w:r w:rsidR="00382D1D">
        <w:rPr>
          <w:sz w:val="26"/>
          <w:szCs w:val="26"/>
        </w:rPr>
        <w:t>ity</w:t>
      </w:r>
      <w:r w:rsidR="00876FC8">
        <w:rPr>
          <w:sz w:val="26"/>
          <w:szCs w:val="26"/>
        </w:rPr>
        <w:t xml:space="preserve"> Land Use Planning By-Law</w:t>
      </w:r>
      <w:r w:rsidR="00B14FEF">
        <w:rPr>
          <w:sz w:val="26"/>
          <w:szCs w:val="26"/>
        </w:rPr>
        <w:t xml:space="preserve"> </w:t>
      </w:r>
      <w:r w:rsidR="00382D1D">
        <w:rPr>
          <w:sz w:val="26"/>
          <w:szCs w:val="26"/>
        </w:rPr>
        <w:t>(</w:t>
      </w:r>
      <w:r w:rsidR="00B14FEF">
        <w:rPr>
          <w:sz w:val="26"/>
          <w:szCs w:val="26"/>
        </w:rPr>
        <w:t xml:space="preserve">promulgated in terms of </w:t>
      </w:r>
      <w:r w:rsidR="00382D1D">
        <w:rPr>
          <w:sz w:val="26"/>
          <w:szCs w:val="26"/>
        </w:rPr>
        <w:t xml:space="preserve">Provincial </w:t>
      </w:r>
      <w:r w:rsidR="00B14FEF">
        <w:rPr>
          <w:sz w:val="26"/>
          <w:szCs w:val="26"/>
        </w:rPr>
        <w:t>Notice 354/2015</w:t>
      </w:r>
      <w:r w:rsidR="00382D1D">
        <w:rPr>
          <w:sz w:val="26"/>
          <w:szCs w:val="26"/>
        </w:rPr>
        <w:t>)</w:t>
      </w:r>
      <w:r w:rsidR="00B14FEF">
        <w:rPr>
          <w:sz w:val="26"/>
          <w:szCs w:val="26"/>
        </w:rPr>
        <w:t xml:space="preserve"> (</w:t>
      </w:r>
      <w:r w:rsidR="00B14FEF" w:rsidRPr="004D222A">
        <w:rPr>
          <w:i/>
          <w:iCs/>
          <w:sz w:val="26"/>
          <w:szCs w:val="26"/>
        </w:rPr>
        <w:t>“the By-Law”</w:t>
      </w:r>
      <w:r w:rsidR="00B14FEF">
        <w:rPr>
          <w:sz w:val="26"/>
          <w:szCs w:val="26"/>
        </w:rPr>
        <w:t>), in terms of which the applicant applied for the removal of a restrictive title deed condition, rezoning, subdivision and departure</w:t>
      </w:r>
      <w:r w:rsidR="00382D1D">
        <w:rPr>
          <w:sz w:val="26"/>
          <w:szCs w:val="26"/>
        </w:rPr>
        <w:t>s</w:t>
      </w:r>
      <w:r w:rsidR="00B14FEF">
        <w:rPr>
          <w:sz w:val="26"/>
          <w:szCs w:val="26"/>
        </w:rPr>
        <w:t xml:space="preserve"> in terms of section 15(2) of the By-Law.</w:t>
      </w:r>
      <w:r w:rsidR="00754FC4">
        <w:rPr>
          <w:sz w:val="26"/>
          <w:szCs w:val="26"/>
        </w:rPr>
        <w:t xml:space="preserve">  </w:t>
      </w:r>
    </w:p>
    <w:p w:rsidR="00372359" w:rsidRPr="00372359" w:rsidRDefault="00372359" w:rsidP="00372359">
      <w:pPr>
        <w:spacing w:line="360" w:lineRule="auto"/>
        <w:jc w:val="both"/>
        <w:rPr>
          <w:bCs/>
          <w:sz w:val="26"/>
          <w:szCs w:val="26"/>
        </w:rPr>
      </w:pPr>
    </w:p>
    <w:p w:rsidR="00382D1D" w:rsidRPr="000E67B7" w:rsidRDefault="00382D1D" w:rsidP="0099069A">
      <w:pPr>
        <w:pStyle w:val="ListParagraph"/>
        <w:numPr>
          <w:ilvl w:val="0"/>
          <w:numId w:val="1"/>
        </w:numPr>
        <w:spacing w:line="360" w:lineRule="auto"/>
        <w:ind w:left="0" w:firstLine="142"/>
        <w:jc w:val="both"/>
        <w:rPr>
          <w:bCs/>
          <w:sz w:val="26"/>
          <w:szCs w:val="26"/>
        </w:rPr>
      </w:pPr>
      <w:r w:rsidRPr="000E67B7">
        <w:rPr>
          <w:bCs/>
          <w:sz w:val="26"/>
          <w:szCs w:val="26"/>
          <w:lang w:val="en-US"/>
        </w:rPr>
        <w:t>The land use application was in fact submitted</w:t>
      </w:r>
      <w:r w:rsidRPr="000E67B7">
        <w:rPr>
          <w:sz w:val="26"/>
          <w:szCs w:val="26"/>
        </w:rPr>
        <w:t xml:space="preserve"> to the </w:t>
      </w:r>
      <w:r w:rsidR="002A5A43" w:rsidRPr="000E67B7">
        <w:rPr>
          <w:sz w:val="26"/>
          <w:szCs w:val="26"/>
        </w:rPr>
        <w:t>M</w:t>
      </w:r>
      <w:r w:rsidRPr="000E67B7">
        <w:rPr>
          <w:sz w:val="26"/>
          <w:szCs w:val="26"/>
        </w:rPr>
        <w:t>unicipality by Headland Planners</w:t>
      </w:r>
      <w:r w:rsidR="000E67B7" w:rsidRPr="000E67B7">
        <w:rPr>
          <w:sz w:val="26"/>
          <w:szCs w:val="26"/>
        </w:rPr>
        <w:t xml:space="preserve"> (Pty) Ltd, who in turn had been </w:t>
      </w:r>
      <w:r w:rsidRPr="000E67B7">
        <w:rPr>
          <w:sz w:val="26"/>
          <w:szCs w:val="26"/>
        </w:rPr>
        <w:t>appointed by Surrey Holmes</w:t>
      </w:r>
      <w:r w:rsidR="000E67B7" w:rsidRPr="000E67B7">
        <w:rPr>
          <w:sz w:val="26"/>
          <w:szCs w:val="26"/>
        </w:rPr>
        <w:t xml:space="preserve"> (Pty) Ltd, a development company appointed by the applicant to </w:t>
      </w:r>
      <w:r w:rsidRPr="000E67B7">
        <w:rPr>
          <w:sz w:val="26"/>
          <w:szCs w:val="26"/>
        </w:rPr>
        <w:t>develop the property</w:t>
      </w:r>
      <w:r w:rsidR="000E67B7" w:rsidRPr="000E67B7">
        <w:rPr>
          <w:sz w:val="26"/>
          <w:szCs w:val="26"/>
        </w:rPr>
        <w:t xml:space="preserve">. </w:t>
      </w:r>
      <w:r w:rsidR="005E0C59">
        <w:rPr>
          <w:sz w:val="26"/>
          <w:szCs w:val="26"/>
        </w:rPr>
        <w:t>Th</w:t>
      </w:r>
      <w:r w:rsidR="00EB5367">
        <w:rPr>
          <w:sz w:val="26"/>
          <w:szCs w:val="26"/>
        </w:rPr>
        <w:t>e appointment of Surrey Holmes</w:t>
      </w:r>
      <w:r w:rsidR="00CD240F">
        <w:rPr>
          <w:sz w:val="26"/>
          <w:szCs w:val="26"/>
        </w:rPr>
        <w:t xml:space="preserve"> by the applicant</w:t>
      </w:r>
      <w:r w:rsidR="00EB5367">
        <w:rPr>
          <w:sz w:val="26"/>
          <w:szCs w:val="26"/>
        </w:rPr>
        <w:t xml:space="preserve"> </w:t>
      </w:r>
      <w:r w:rsidR="00EB5367" w:rsidRPr="00EB5367">
        <w:rPr>
          <w:sz w:val="26"/>
          <w:szCs w:val="26"/>
          <w:lang w:val="en-US"/>
        </w:rPr>
        <w:t xml:space="preserve">was </w:t>
      </w:r>
      <w:r w:rsidR="00EB5367">
        <w:rPr>
          <w:sz w:val="26"/>
          <w:szCs w:val="26"/>
          <w:lang w:val="en-US"/>
        </w:rPr>
        <w:t>e</w:t>
      </w:r>
      <w:r w:rsidR="00EB5367" w:rsidRPr="00EB5367">
        <w:rPr>
          <w:sz w:val="26"/>
          <w:szCs w:val="26"/>
          <w:lang w:val="en-US"/>
        </w:rPr>
        <w:t xml:space="preserve">ffected by means of a consent document signed by </w:t>
      </w:r>
      <w:r w:rsidR="00EB5367">
        <w:rPr>
          <w:sz w:val="26"/>
          <w:szCs w:val="26"/>
          <w:lang w:val="en-US"/>
        </w:rPr>
        <w:t>eight</w:t>
      </w:r>
      <w:r w:rsidR="00EB5367" w:rsidRPr="00EB5367">
        <w:rPr>
          <w:sz w:val="26"/>
          <w:szCs w:val="26"/>
          <w:lang w:val="en-US"/>
        </w:rPr>
        <w:t xml:space="preserve"> of the applicant</w:t>
      </w:r>
      <w:r w:rsidR="00EB5367">
        <w:rPr>
          <w:sz w:val="26"/>
          <w:szCs w:val="26"/>
          <w:lang w:val="en-US"/>
        </w:rPr>
        <w:t xml:space="preserve">’s </w:t>
      </w:r>
      <w:r w:rsidR="00EB5367" w:rsidRPr="00EB5367">
        <w:rPr>
          <w:sz w:val="26"/>
          <w:szCs w:val="26"/>
          <w:lang w:val="en-US"/>
        </w:rPr>
        <w:t>trustees</w:t>
      </w:r>
      <w:r w:rsidR="00EB5367">
        <w:rPr>
          <w:sz w:val="26"/>
          <w:szCs w:val="26"/>
          <w:lang w:val="en-US"/>
        </w:rPr>
        <w:t>,</w:t>
      </w:r>
      <w:r w:rsidR="00EB5367" w:rsidRPr="00EB5367">
        <w:rPr>
          <w:sz w:val="26"/>
          <w:szCs w:val="26"/>
          <w:lang w:val="en-US"/>
        </w:rPr>
        <w:t xml:space="preserve"> </w:t>
      </w:r>
      <w:r w:rsidR="00EB5367">
        <w:rPr>
          <w:sz w:val="26"/>
          <w:szCs w:val="26"/>
          <w:lang w:val="en-US"/>
        </w:rPr>
        <w:t xml:space="preserve">which </w:t>
      </w:r>
      <w:r w:rsidR="00EB5367" w:rsidRPr="00EB5367">
        <w:rPr>
          <w:sz w:val="26"/>
          <w:szCs w:val="26"/>
          <w:lang w:val="en-US"/>
        </w:rPr>
        <w:t>authoriz</w:t>
      </w:r>
      <w:r w:rsidR="00EB5367">
        <w:rPr>
          <w:sz w:val="26"/>
          <w:szCs w:val="26"/>
          <w:lang w:val="en-US"/>
        </w:rPr>
        <w:t xml:space="preserve">ed Surrey </w:t>
      </w:r>
      <w:r w:rsidR="00EB5367" w:rsidRPr="00EB5367">
        <w:rPr>
          <w:sz w:val="26"/>
          <w:szCs w:val="26"/>
          <w:lang w:val="en-US"/>
        </w:rPr>
        <w:t>Holmes to undertake a proposed construction of the property</w:t>
      </w:r>
      <w:r w:rsidR="00EB5367">
        <w:rPr>
          <w:sz w:val="26"/>
          <w:szCs w:val="26"/>
          <w:lang w:val="en-US"/>
        </w:rPr>
        <w:t xml:space="preserve"> (</w:t>
      </w:r>
      <w:r w:rsidR="00EB5367" w:rsidRPr="00EB5367">
        <w:rPr>
          <w:i/>
          <w:iCs/>
          <w:sz w:val="26"/>
          <w:szCs w:val="26"/>
          <w:lang w:val="en-US"/>
        </w:rPr>
        <w:t>“the consent document”</w:t>
      </w:r>
      <w:r w:rsidR="00EB5367">
        <w:rPr>
          <w:sz w:val="26"/>
          <w:szCs w:val="26"/>
          <w:lang w:val="en-US"/>
        </w:rPr>
        <w:t>). H</w:t>
      </w:r>
      <w:r w:rsidR="00EB5367" w:rsidRPr="005E0C59">
        <w:rPr>
          <w:sz w:val="26"/>
          <w:szCs w:val="26"/>
          <w:lang w:val="en-US"/>
        </w:rPr>
        <w:t>e</w:t>
      </w:r>
      <w:r w:rsidR="00EB5367">
        <w:rPr>
          <w:sz w:val="26"/>
          <w:szCs w:val="26"/>
          <w:lang w:val="en-US"/>
        </w:rPr>
        <w:t>a</w:t>
      </w:r>
      <w:r w:rsidR="00EB5367" w:rsidRPr="005E0C59">
        <w:rPr>
          <w:sz w:val="26"/>
          <w:szCs w:val="26"/>
          <w:lang w:val="en-US"/>
        </w:rPr>
        <w:t xml:space="preserve">dland </w:t>
      </w:r>
      <w:r w:rsidR="00EB5367">
        <w:rPr>
          <w:sz w:val="26"/>
          <w:szCs w:val="26"/>
          <w:lang w:val="en-US"/>
        </w:rPr>
        <w:t>P</w:t>
      </w:r>
      <w:r w:rsidR="00EB5367" w:rsidRPr="005E0C59">
        <w:rPr>
          <w:sz w:val="26"/>
          <w:szCs w:val="26"/>
          <w:lang w:val="en-US"/>
        </w:rPr>
        <w:t xml:space="preserve">lanners </w:t>
      </w:r>
      <w:r w:rsidR="00EB5367">
        <w:rPr>
          <w:sz w:val="26"/>
          <w:szCs w:val="26"/>
        </w:rPr>
        <w:t xml:space="preserve">was </w:t>
      </w:r>
      <w:r w:rsidR="005E0C59" w:rsidRPr="005E0C59">
        <w:rPr>
          <w:sz w:val="26"/>
          <w:szCs w:val="26"/>
          <w:lang w:val="en-US"/>
        </w:rPr>
        <w:t>appoint</w:t>
      </w:r>
      <w:r w:rsidR="00EB5367">
        <w:rPr>
          <w:sz w:val="26"/>
          <w:szCs w:val="26"/>
          <w:lang w:val="en-US"/>
        </w:rPr>
        <w:t>ed in terms</w:t>
      </w:r>
      <w:r w:rsidR="005E0C59" w:rsidRPr="005E0C59">
        <w:rPr>
          <w:sz w:val="26"/>
          <w:szCs w:val="26"/>
          <w:lang w:val="en-US"/>
        </w:rPr>
        <w:t xml:space="preserve"> of a</w:t>
      </w:r>
      <w:r w:rsidR="00CD240F">
        <w:rPr>
          <w:sz w:val="26"/>
          <w:szCs w:val="26"/>
          <w:lang w:val="en-US"/>
        </w:rPr>
        <w:t xml:space="preserve"> special power of attorney,</w:t>
      </w:r>
      <w:r w:rsidR="005E0C59" w:rsidRPr="005E0C59">
        <w:rPr>
          <w:sz w:val="26"/>
          <w:szCs w:val="26"/>
          <w:lang w:val="en-US"/>
        </w:rPr>
        <w:t xml:space="preserve"> </w:t>
      </w:r>
      <w:r w:rsidR="00CD240F">
        <w:rPr>
          <w:sz w:val="26"/>
          <w:szCs w:val="26"/>
          <w:lang w:val="en-US"/>
        </w:rPr>
        <w:t xml:space="preserve">supported by </w:t>
      </w:r>
      <w:r w:rsidR="005E0C59" w:rsidRPr="005E0C59">
        <w:rPr>
          <w:sz w:val="26"/>
          <w:szCs w:val="26"/>
          <w:lang w:val="en-US"/>
        </w:rPr>
        <w:t>resolution</w:t>
      </w:r>
      <w:r w:rsidR="00CD240F">
        <w:rPr>
          <w:sz w:val="26"/>
          <w:szCs w:val="26"/>
          <w:lang w:val="en-US"/>
        </w:rPr>
        <w:t>,</w:t>
      </w:r>
      <w:r w:rsidR="005E0C59" w:rsidRPr="005E0C59">
        <w:rPr>
          <w:sz w:val="26"/>
          <w:szCs w:val="26"/>
          <w:lang w:val="en-US"/>
        </w:rPr>
        <w:t xml:space="preserve"> </w:t>
      </w:r>
      <w:r w:rsidR="00EB5367">
        <w:rPr>
          <w:sz w:val="26"/>
          <w:szCs w:val="26"/>
          <w:lang w:val="en-US"/>
        </w:rPr>
        <w:t xml:space="preserve">of </w:t>
      </w:r>
      <w:r w:rsidR="00EB5367" w:rsidRPr="000E67B7">
        <w:rPr>
          <w:sz w:val="26"/>
          <w:szCs w:val="26"/>
        </w:rPr>
        <w:t>Surrey Holmes</w:t>
      </w:r>
      <w:r w:rsidR="00EB5367">
        <w:rPr>
          <w:sz w:val="26"/>
          <w:szCs w:val="26"/>
        </w:rPr>
        <w:t xml:space="preserve"> </w:t>
      </w:r>
      <w:r w:rsidR="00EB5367">
        <w:rPr>
          <w:sz w:val="26"/>
          <w:szCs w:val="26"/>
          <w:lang w:val="en-US"/>
        </w:rPr>
        <w:t>authoriz</w:t>
      </w:r>
      <w:r w:rsidR="00CD240F">
        <w:rPr>
          <w:sz w:val="26"/>
          <w:szCs w:val="26"/>
          <w:lang w:val="en-US"/>
        </w:rPr>
        <w:t>ing Headland Planners</w:t>
      </w:r>
      <w:r w:rsidR="005E0C59" w:rsidRPr="005E0C59">
        <w:rPr>
          <w:sz w:val="26"/>
          <w:szCs w:val="26"/>
          <w:lang w:val="en-US"/>
        </w:rPr>
        <w:t xml:space="preserve"> to submit the application</w:t>
      </w:r>
      <w:r w:rsidR="00EB5367">
        <w:rPr>
          <w:sz w:val="26"/>
          <w:szCs w:val="26"/>
          <w:lang w:val="en-US"/>
        </w:rPr>
        <w:t xml:space="preserve"> on behalf of the applicant</w:t>
      </w:r>
      <w:r w:rsidR="005E0C59">
        <w:rPr>
          <w:sz w:val="26"/>
          <w:szCs w:val="26"/>
          <w:lang w:val="en-US"/>
        </w:rPr>
        <w:t xml:space="preserve">. </w:t>
      </w:r>
    </w:p>
    <w:p w:rsidR="00382D1D" w:rsidRPr="000E67B7" w:rsidRDefault="00382D1D" w:rsidP="000E67B7">
      <w:pPr>
        <w:rPr>
          <w:sz w:val="26"/>
          <w:szCs w:val="26"/>
        </w:rPr>
      </w:pPr>
    </w:p>
    <w:p w:rsidR="00500BBD" w:rsidRPr="00537224" w:rsidRDefault="00754FC4" w:rsidP="0099069A">
      <w:pPr>
        <w:pStyle w:val="ListParagraph"/>
        <w:numPr>
          <w:ilvl w:val="0"/>
          <w:numId w:val="1"/>
        </w:numPr>
        <w:spacing w:line="360" w:lineRule="auto"/>
        <w:ind w:left="0" w:firstLine="142"/>
        <w:jc w:val="both"/>
        <w:rPr>
          <w:b/>
          <w:sz w:val="26"/>
          <w:szCs w:val="26"/>
          <w:u w:val="single"/>
        </w:rPr>
      </w:pPr>
      <w:r>
        <w:rPr>
          <w:sz w:val="26"/>
          <w:szCs w:val="26"/>
        </w:rPr>
        <w:t xml:space="preserve">The </w:t>
      </w:r>
      <w:r w:rsidR="00EB5367">
        <w:rPr>
          <w:sz w:val="26"/>
          <w:szCs w:val="26"/>
        </w:rPr>
        <w:t>land use</w:t>
      </w:r>
      <w:r>
        <w:rPr>
          <w:sz w:val="26"/>
          <w:szCs w:val="26"/>
        </w:rPr>
        <w:t xml:space="preserve"> application was approved by the </w:t>
      </w:r>
      <w:r w:rsidR="00EB5367">
        <w:rPr>
          <w:sz w:val="26"/>
          <w:szCs w:val="26"/>
        </w:rPr>
        <w:t>Municipal Tribunal</w:t>
      </w:r>
      <w:r>
        <w:rPr>
          <w:sz w:val="26"/>
          <w:szCs w:val="26"/>
        </w:rPr>
        <w:t xml:space="preserve"> on 18 August 2020</w:t>
      </w:r>
      <w:r w:rsidR="00274A72">
        <w:rPr>
          <w:sz w:val="26"/>
          <w:szCs w:val="26"/>
        </w:rPr>
        <w:t xml:space="preserve">.  The approval letter gave notification of a right to appeal the decision to the </w:t>
      </w:r>
      <w:r w:rsidR="00CD1CEA">
        <w:rPr>
          <w:sz w:val="26"/>
          <w:szCs w:val="26"/>
        </w:rPr>
        <w:t>Appeal Authority</w:t>
      </w:r>
      <w:r w:rsidR="00274A72">
        <w:rPr>
          <w:sz w:val="26"/>
          <w:szCs w:val="26"/>
        </w:rPr>
        <w:t xml:space="preserve"> in terms of section 79(2)</w:t>
      </w:r>
      <w:r w:rsidR="00537224">
        <w:rPr>
          <w:sz w:val="26"/>
          <w:szCs w:val="26"/>
        </w:rPr>
        <w:t xml:space="preserve"> of the By-Law.</w:t>
      </w:r>
    </w:p>
    <w:p w:rsidR="00537224" w:rsidRPr="00537224" w:rsidRDefault="00537224" w:rsidP="00537224">
      <w:pPr>
        <w:pStyle w:val="ListParagraph"/>
        <w:spacing w:line="360" w:lineRule="auto"/>
        <w:ind w:left="142"/>
        <w:jc w:val="both"/>
        <w:rPr>
          <w:b/>
          <w:sz w:val="26"/>
          <w:szCs w:val="26"/>
          <w:u w:val="single"/>
        </w:rPr>
      </w:pPr>
    </w:p>
    <w:p w:rsidR="00537224" w:rsidRPr="00E05386" w:rsidRDefault="003C353C" w:rsidP="00E05386">
      <w:pPr>
        <w:pStyle w:val="ListParagraph"/>
        <w:numPr>
          <w:ilvl w:val="0"/>
          <w:numId w:val="1"/>
        </w:numPr>
        <w:spacing w:line="360" w:lineRule="auto"/>
        <w:ind w:left="0" w:firstLine="142"/>
        <w:jc w:val="both"/>
        <w:rPr>
          <w:sz w:val="26"/>
          <w:szCs w:val="26"/>
        </w:rPr>
      </w:pPr>
      <w:r w:rsidRPr="003C353C">
        <w:rPr>
          <w:sz w:val="26"/>
          <w:szCs w:val="26"/>
        </w:rPr>
        <w:lastRenderedPageBreak/>
        <w:t xml:space="preserve">Two groups </w:t>
      </w:r>
      <w:r w:rsidR="00DB2776">
        <w:rPr>
          <w:sz w:val="26"/>
          <w:szCs w:val="26"/>
        </w:rPr>
        <w:t>lodge</w:t>
      </w:r>
      <w:r w:rsidR="00382D1D">
        <w:rPr>
          <w:sz w:val="26"/>
          <w:szCs w:val="26"/>
        </w:rPr>
        <w:t>d</w:t>
      </w:r>
      <w:r w:rsidR="00DB2776">
        <w:rPr>
          <w:sz w:val="26"/>
          <w:szCs w:val="26"/>
        </w:rPr>
        <w:t xml:space="preserve"> appeals in terms of section 79(2), namely the Franschhoek Gegriefde Grond</w:t>
      </w:r>
      <w:r w:rsidR="00EB5367">
        <w:rPr>
          <w:sz w:val="26"/>
          <w:szCs w:val="26"/>
        </w:rPr>
        <w:t>e</w:t>
      </w:r>
      <w:r w:rsidR="00DB2776">
        <w:rPr>
          <w:sz w:val="26"/>
          <w:szCs w:val="26"/>
        </w:rPr>
        <w:t>iers Groep</w:t>
      </w:r>
      <w:r w:rsidR="001C3C7F">
        <w:rPr>
          <w:sz w:val="26"/>
          <w:szCs w:val="26"/>
        </w:rPr>
        <w:t xml:space="preserve"> </w:t>
      </w:r>
      <w:r w:rsidR="00EB5367">
        <w:rPr>
          <w:sz w:val="26"/>
          <w:szCs w:val="26"/>
        </w:rPr>
        <w:t>(</w:t>
      </w:r>
      <w:r w:rsidR="00EB5367" w:rsidRPr="00EB5367">
        <w:rPr>
          <w:i/>
          <w:iCs/>
          <w:sz w:val="26"/>
          <w:szCs w:val="26"/>
        </w:rPr>
        <w:t>“</w:t>
      </w:r>
      <w:r w:rsidR="00FD63B0">
        <w:rPr>
          <w:i/>
          <w:iCs/>
          <w:sz w:val="26"/>
          <w:szCs w:val="26"/>
        </w:rPr>
        <w:t xml:space="preserve">the </w:t>
      </w:r>
      <w:r w:rsidR="00EB5367" w:rsidRPr="00EB5367">
        <w:rPr>
          <w:i/>
          <w:iCs/>
          <w:sz w:val="26"/>
          <w:szCs w:val="26"/>
        </w:rPr>
        <w:t>FGGG”</w:t>
      </w:r>
      <w:r w:rsidR="00EB5367">
        <w:rPr>
          <w:sz w:val="26"/>
          <w:szCs w:val="26"/>
        </w:rPr>
        <w:t xml:space="preserve">) </w:t>
      </w:r>
      <w:r w:rsidR="001C3C7F">
        <w:rPr>
          <w:sz w:val="26"/>
          <w:szCs w:val="26"/>
        </w:rPr>
        <w:t xml:space="preserve">and </w:t>
      </w:r>
      <w:r w:rsidR="00FD63B0">
        <w:rPr>
          <w:sz w:val="26"/>
          <w:szCs w:val="26"/>
        </w:rPr>
        <w:t xml:space="preserve">a group referred to collectively as </w:t>
      </w:r>
      <w:r w:rsidR="00964620">
        <w:rPr>
          <w:sz w:val="26"/>
          <w:szCs w:val="26"/>
        </w:rPr>
        <w:t>W</w:t>
      </w:r>
      <w:r w:rsidR="001C3C7F">
        <w:rPr>
          <w:sz w:val="26"/>
          <w:szCs w:val="26"/>
        </w:rPr>
        <w:t xml:space="preserve">ard </w:t>
      </w:r>
      <w:r w:rsidR="00FD63B0">
        <w:rPr>
          <w:sz w:val="26"/>
          <w:szCs w:val="26"/>
        </w:rPr>
        <w:t>1 and Ward 2 Committees</w:t>
      </w:r>
      <w:r w:rsidR="00372359">
        <w:rPr>
          <w:sz w:val="26"/>
          <w:szCs w:val="26"/>
        </w:rPr>
        <w:t xml:space="preserve"> (</w:t>
      </w:r>
      <w:r w:rsidR="00372359" w:rsidRPr="00372359">
        <w:rPr>
          <w:i/>
          <w:iCs/>
          <w:sz w:val="26"/>
          <w:szCs w:val="26"/>
        </w:rPr>
        <w:t>“Ward</w:t>
      </w:r>
      <w:r w:rsidR="00372359">
        <w:rPr>
          <w:i/>
          <w:iCs/>
          <w:sz w:val="26"/>
          <w:szCs w:val="26"/>
        </w:rPr>
        <w:t xml:space="preserve"> 1 and 2</w:t>
      </w:r>
      <w:r w:rsidR="00372359" w:rsidRPr="00372359">
        <w:rPr>
          <w:i/>
          <w:iCs/>
          <w:sz w:val="26"/>
          <w:szCs w:val="26"/>
        </w:rPr>
        <w:t>”</w:t>
      </w:r>
      <w:r w:rsidR="00372359">
        <w:rPr>
          <w:sz w:val="26"/>
          <w:szCs w:val="26"/>
        </w:rPr>
        <w:t>)</w:t>
      </w:r>
      <w:r w:rsidR="001C3C7F">
        <w:rPr>
          <w:sz w:val="26"/>
          <w:szCs w:val="26"/>
        </w:rPr>
        <w:t xml:space="preserve">.  </w:t>
      </w:r>
      <w:r w:rsidR="00B45A6A" w:rsidRPr="00E05386">
        <w:rPr>
          <w:sz w:val="26"/>
          <w:szCs w:val="26"/>
        </w:rPr>
        <w:t xml:space="preserve">A report assessing the </w:t>
      </w:r>
      <w:r w:rsidR="005138B5" w:rsidRPr="00E05386">
        <w:rPr>
          <w:sz w:val="26"/>
          <w:szCs w:val="26"/>
        </w:rPr>
        <w:t>a</w:t>
      </w:r>
      <w:r w:rsidR="00B45A6A" w:rsidRPr="00E05386">
        <w:rPr>
          <w:sz w:val="26"/>
          <w:szCs w:val="26"/>
        </w:rPr>
        <w:t xml:space="preserve">ppeals was submitted </w:t>
      </w:r>
      <w:r w:rsidR="00FD63B0" w:rsidRPr="00E05386">
        <w:rPr>
          <w:sz w:val="26"/>
          <w:szCs w:val="26"/>
        </w:rPr>
        <w:t>by an authorised employee</w:t>
      </w:r>
      <w:r w:rsidR="00372359" w:rsidRPr="00E05386">
        <w:rPr>
          <w:sz w:val="26"/>
          <w:szCs w:val="26"/>
        </w:rPr>
        <w:t xml:space="preserve"> of the Municipality</w:t>
      </w:r>
      <w:r w:rsidR="00FD63B0" w:rsidRPr="00E05386">
        <w:rPr>
          <w:sz w:val="26"/>
          <w:szCs w:val="26"/>
        </w:rPr>
        <w:t xml:space="preserve"> to </w:t>
      </w:r>
      <w:r w:rsidR="00B45A6A" w:rsidRPr="00E05386">
        <w:rPr>
          <w:sz w:val="26"/>
          <w:szCs w:val="26"/>
        </w:rPr>
        <w:t xml:space="preserve">the first respondent in terms of section 80(12) of the By-Law, and found that the </w:t>
      </w:r>
      <w:r w:rsidR="00FD63B0" w:rsidRPr="00E05386">
        <w:rPr>
          <w:sz w:val="26"/>
          <w:szCs w:val="26"/>
        </w:rPr>
        <w:t>a</w:t>
      </w:r>
      <w:r w:rsidR="00B45A6A" w:rsidRPr="00E05386">
        <w:rPr>
          <w:sz w:val="26"/>
          <w:szCs w:val="26"/>
        </w:rPr>
        <w:t>ppeal</w:t>
      </w:r>
      <w:r w:rsidR="00FD63B0" w:rsidRPr="00E05386">
        <w:rPr>
          <w:sz w:val="26"/>
          <w:szCs w:val="26"/>
        </w:rPr>
        <w:t>s</w:t>
      </w:r>
      <w:r w:rsidR="00B45A6A" w:rsidRPr="00E05386">
        <w:rPr>
          <w:sz w:val="26"/>
          <w:szCs w:val="26"/>
        </w:rPr>
        <w:t xml:space="preserve"> did not have merit.</w:t>
      </w:r>
    </w:p>
    <w:p w:rsidR="00B45A6A" w:rsidRPr="00B45A6A" w:rsidRDefault="00B45A6A" w:rsidP="00B45A6A">
      <w:pPr>
        <w:pStyle w:val="ListParagraph"/>
        <w:rPr>
          <w:sz w:val="26"/>
          <w:szCs w:val="26"/>
        </w:rPr>
      </w:pPr>
    </w:p>
    <w:p w:rsidR="00B45A6A" w:rsidRDefault="00372359" w:rsidP="0099069A">
      <w:pPr>
        <w:pStyle w:val="ListParagraph"/>
        <w:numPr>
          <w:ilvl w:val="0"/>
          <w:numId w:val="1"/>
        </w:numPr>
        <w:spacing w:line="360" w:lineRule="auto"/>
        <w:ind w:left="0" w:firstLine="142"/>
        <w:jc w:val="both"/>
        <w:rPr>
          <w:sz w:val="26"/>
          <w:szCs w:val="26"/>
        </w:rPr>
      </w:pPr>
      <w:r>
        <w:rPr>
          <w:sz w:val="26"/>
          <w:szCs w:val="26"/>
        </w:rPr>
        <w:t>In order to consider the application, t</w:t>
      </w:r>
      <w:r w:rsidR="00B45A6A">
        <w:rPr>
          <w:sz w:val="26"/>
          <w:szCs w:val="26"/>
        </w:rPr>
        <w:t xml:space="preserve">he first respondent </w:t>
      </w:r>
      <w:r w:rsidR="005138B5">
        <w:rPr>
          <w:sz w:val="26"/>
          <w:szCs w:val="26"/>
        </w:rPr>
        <w:t>decided to hold an oral hearing</w:t>
      </w:r>
      <w:r w:rsidR="00FD63B0">
        <w:rPr>
          <w:sz w:val="26"/>
          <w:szCs w:val="26"/>
        </w:rPr>
        <w:t xml:space="preserve"> in terms of</w:t>
      </w:r>
      <w:r w:rsidR="00BE12C1">
        <w:rPr>
          <w:sz w:val="26"/>
          <w:szCs w:val="26"/>
        </w:rPr>
        <w:t xml:space="preserve"> section 81</w:t>
      </w:r>
      <w:r w:rsidR="000763FA">
        <w:rPr>
          <w:sz w:val="26"/>
          <w:szCs w:val="26"/>
        </w:rPr>
        <w:t xml:space="preserve"> of the By-Law</w:t>
      </w:r>
      <w:r w:rsidR="005138B5">
        <w:rPr>
          <w:sz w:val="26"/>
          <w:szCs w:val="26"/>
        </w:rPr>
        <w:t>, where all the parties</w:t>
      </w:r>
      <w:r w:rsidR="00BE12C1">
        <w:rPr>
          <w:sz w:val="26"/>
          <w:szCs w:val="26"/>
        </w:rPr>
        <w:t xml:space="preserve"> involved</w:t>
      </w:r>
      <w:r w:rsidR="005138B5">
        <w:rPr>
          <w:sz w:val="26"/>
          <w:szCs w:val="26"/>
        </w:rPr>
        <w:t xml:space="preserve"> were </w:t>
      </w:r>
      <w:r w:rsidR="00172F97">
        <w:rPr>
          <w:sz w:val="26"/>
          <w:szCs w:val="26"/>
        </w:rPr>
        <w:t>afforded</w:t>
      </w:r>
      <w:r w:rsidR="005138B5">
        <w:rPr>
          <w:sz w:val="26"/>
          <w:szCs w:val="26"/>
        </w:rPr>
        <w:t xml:space="preserve"> opportunity to present their cases</w:t>
      </w:r>
      <w:r w:rsidR="000763FA">
        <w:rPr>
          <w:sz w:val="26"/>
          <w:szCs w:val="26"/>
        </w:rPr>
        <w:t xml:space="preserve"> by way of written and oral submissions</w:t>
      </w:r>
      <w:r w:rsidR="005138B5">
        <w:rPr>
          <w:sz w:val="26"/>
          <w:szCs w:val="26"/>
        </w:rPr>
        <w:t>.  The oral hearing took place on 26 August 2021.  The first respondent upheld the appeal</w:t>
      </w:r>
      <w:r w:rsidR="000763FA">
        <w:rPr>
          <w:sz w:val="26"/>
          <w:szCs w:val="26"/>
        </w:rPr>
        <w:t>s</w:t>
      </w:r>
      <w:r w:rsidR="005138B5">
        <w:rPr>
          <w:sz w:val="26"/>
          <w:szCs w:val="26"/>
        </w:rPr>
        <w:t xml:space="preserve">, thereby </w:t>
      </w:r>
      <w:r w:rsidR="00CE60E8">
        <w:rPr>
          <w:sz w:val="26"/>
          <w:szCs w:val="26"/>
        </w:rPr>
        <w:t xml:space="preserve">revoking the decision of the </w:t>
      </w:r>
      <w:r w:rsidR="00FD63B0">
        <w:rPr>
          <w:sz w:val="26"/>
          <w:szCs w:val="26"/>
        </w:rPr>
        <w:t>Municipal Tribunal</w:t>
      </w:r>
      <w:r w:rsidR="00CE60E8">
        <w:rPr>
          <w:sz w:val="26"/>
          <w:szCs w:val="26"/>
        </w:rPr>
        <w:t>.</w:t>
      </w:r>
    </w:p>
    <w:p w:rsidR="00CE60E8" w:rsidRDefault="00CE60E8" w:rsidP="000763FA">
      <w:pPr>
        <w:rPr>
          <w:sz w:val="26"/>
          <w:szCs w:val="26"/>
        </w:rPr>
      </w:pPr>
    </w:p>
    <w:p w:rsidR="000421FC" w:rsidRPr="00784367" w:rsidRDefault="000763FA" w:rsidP="00372359">
      <w:pPr>
        <w:pStyle w:val="ListParagraph"/>
        <w:numPr>
          <w:ilvl w:val="0"/>
          <w:numId w:val="5"/>
        </w:numPr>
        <w:spacing w:line="360" w:lineRule="auto"/>
        <w:rPr>
          <w:b/>
          <w:bCs/>
          <w:sz w:val="26"/>
          <w:szCs w:val="26"/>
          <w:u w:val="single"/>
        </w:rPr>
      </w:pPr>
      <w:r w:rsidRPr="000763FA">
        <w:rPr>
          <w:b/>
          <w:bCs/>
          <w:sz w:val="26"/>
          <w:szCs w:val="26"/>
          <w:u w:val="single"/>
        </w:rPr>
        <w:t>THE APPEAL</w:t>
      </w:r>
    </w:p>
    <w:p w:rsidR="000763FA" w:rsidRPr="001C6F66" w:rsidRDefault="000763FA" w:rsidP="0099069A">
      <w:pPr>
        <w:pStyle w:val="ListParagraph"/>
        <w:numPr>
          <w:ilvl w:val="0"/>
          <w:numId w:val="1"/>
        </w:numPr>
        <w:spacing w:line="360" w:lineRule="auto"/>
        <w:ind w:left="0" w:firstLine="142"/>
        <w:jc w:val="both"/>
        <w:rPr>
          <w:sz w:val="26"/>
          <w:szCs w:val="26"/>
        </w:rPr>
      </w:pPr>
      <w:r>
        <w:rPr>
          <w:sz w:val="26"/>
          <w:szCs w:val="26"/>
        </w:rPr>
        <w:t>T</w:t>
      </w:r>
      <w:r w:rsidR="00CE60E8">
        <w:rPr>
          <w:sz w:val="26"/>
          <w:szCs w:val="26"/>
        </w:rPr>
        <w:t>he</w:t>
      </w:r>
      <w:r w:rsidRPr="000763FA">
        <w:rPr>
          <w:sz w:val="26"/>
          <w:szCs w:val="26"/>
          <w:lang w:val="en-US"/>
        </w:rPr>
        <w:t xml:space="preserve"> </w:t>
      </w:r>
      <w:r w:rsidR="000421FC">
        <w:rPr>
          <w:sz w:val="26"/>
          <w:szCs w:val="26"/>
          <w:lang w:val="en-US"/>
        </w:rPr>
        <w:t xml:space="preserve">basis for the </w:t>
      </w:r>
      <w:r>
        <w:rPr>
          <w:sz w:val="26"/>
          <w:szCs w:val="26"/>
          <w:lang w:val="en-US"/>
        </w:rPr>
        <w:t>appeal of</w:t>
      </w:r>
      <w:r>
        <w:rPr>
          <w:sz w:val="26"/>
          <w:szCs w:val="26"/>
        </w:rPr>
        <w:t xml:space="preserve"> the FGGG </w:t>
      </w:r>
      <w:r w:rsidR="000421FC">
        <w:rPr>
          <w:sz w:val="26"/>
          <w:szCs w:val="26"/>
        </w:rPr>
        <w:t>was</w:t>
      </w:r>
      <w:r>
        <w:rPr>
          <w:sz w:val="26"/>
          <w:szCs w:val="26"/>
        </w:rPr>
        <w:t xml:space="preserve"> that </w:t>
      </w:r>
      <w:r w:rsidRPr="000763FA">
        <w:rPr>
          <w:sz w:val="26"/>
          <w:szCs w:val="26"/>
          <w:lang w:val="en-US"/>
        </w:rPr>
        <w:t>the land use</w:t>
      </w:r>
      <w:r>
        <w:rPr>
          <w:sz w:val="26"/>
          <w:szCs w:val="26"/>
          <w:lang w:val="en-US"/>
        </w:rPr>
        <w:t xml:space="preserve"> </w:t>
      </w:r>
      <w:r w:rsidRPr="000763FA">
        <w:rPr>
          <w:sz w:val="26"/>
          <w:szCs w:val="26"/>
          <w:lang w:val="en-US"/>
        </w:rPr>
        <w:t xml:space="preserve">application did not contain proof of </w:t>
      </w:r>
      <w:r>
        <w:rPr>
          <w:sz w:val="26"/>
          <w:szCs w:val="26"/>
          <w:lang w:val="en-US"/>
        </w:rPr>
        <w:t>a</w:t>
      </w:r>
      <w:r w:rsidR="000421FC">
        <w:rPr>
          <w:sz w:val="26"/>
          <w:szCs w:val="26"/>
          <w:lang w:val="en-US"/>
        </w:rPr>
        <w:t>ny</w:t>
      </w:r>
      <w:r w:rsidRPr="000763FA">
        <w:rPr>
          <w:sz w:val="26"/>
          <w:szCs w:val="26"/>
          <w:lang w:val="en-US"/>
        </w:rPr>
        <w:t xml:space="preserve"> mandate </w:t>
      </w:r>
      <w:r w:rsidR="000421FC">
        <w:rPr>
          <w:sz w:val="26"/>
          <w:szCs w:val="26"/>
          <w:lang w:val="en-US"/>
        </w:rPr>
        <w:t xml:space="preserve">given </w:t>
      </w:r>
      <w:r w:rsidRPr="000763FA">
        <w:rPr>
          <w:sz w:val="26"/>
          <w:szCs w:val="26"/>
          <w:lang w:val="en-US"/>
        </w:rPr>
        <w:t xml:space="preserve">by the </w:t>
      </w:r>
      <w:r w:rsidRPr="001C6F66">
        <w:rPr>
          <w:sz w:val="26"/>
          <w:szCs w:val="26"/>
          <w:lang w:val="en-US"/>
        </w:rPr>
        <w:t>claimants</w:t>
      </w:r>
      <w:r w:rsidR="000421FC">
        <w:rPr>
          <w:sz w:val="26"/>
          <w:szCs w:val="26"/>
          <w:lang w:val="en-US"/>
        </w:rPr>
        <w:t xml:space="preserve"> of the applicant</w:t>
      </w:r>
      <w:r w:rsidRPr="000763FA">
        <w:rPr>
          <w:sz w:val="26"/>
          <w:szCs w:val="26"/>
          <w:lang w:val="en-US"/>
        </w:rPr>
        <w:t xml:space="preserve"> to the applicant</w:t>
      </w:r>
      <w:r>
        <w:rPr>
          <w:sz w:val="26"/>
          <w:szCs w:val="26"/>
          <w:lang w:val="en-US"/>
        </w:rPr>
        <w:t>’</w:t>
      </w:r>
      <w:r w:rsidRPr="000763FA">
        <w:rPr>
          <w:sz w:val="26"/>
          <w:szCs w:val="26"/>
          <w:lang w:val="en-US"/>
        </w:rPr>
        <w:t xml:space="preserve">s trustees to enter into an agreement with </w:t>
      </w:r>
      <w:r>
        <w:rPr>
          <w:sz w:val="26"/>
          <w:szCs w:val="26"/>
          <w:lang w:val="en-US"/>
        </w:rPr>
        <w:t>Su</w:t>
      </w:r>
      <w:r w:rsidRPr="000763FA">
        <w:rPr>
          <w:sz w:val="26"/>
          <w:szCs w:val="26"/>
          <w:lang w:val="en-US"/>
        </w:rPr>
        <w:t>rr</w:t>
      </w:r>
      <w:r>
        <w:rPr>
          <w:sz w:val="26"/>
          <w:szCs w:val="26"/>
          <w:lang w:val="en-US"/>
        </w:rPr>
        <w:t>e</w:t>
      </w:r>
      <w:r w:rsidRPr="000763FA">
        <w:rPr>
          <w:sz w:val="26"/>
          <w:szCs w:val="26"/>
          <w:lang w:val="en-US"/>
        </w:rPr>
        <w:t>y Holmes</w:t>
      </w:r>
      <w:r>
        <w:rPr>
          <w:sz w:val="26"/>
          <w:szCs w:val="26"/>
          <w:lang w:val="en-US"/>
        </w:rPr>
        <w:t>;</w:t>
      </w:r>
      <w:r w:rsidRPr="000763FA">
        <w:rPr>
          <w:sz w:val="26"/>
          <w:szCs w:val="26"/>
          <w:lang w:val="en-US"/>
        </w:rPr>
        <w:t xml:space="preserve"> and also did not contain proof of approved minutes of an </w:t>
      </w:r>
      <w:r w:rsidR="000421FC">
        <w:rPr>
          <w:sz w:val="26"/>
          <w:szCs w:val="26"/>
          <w:lang w:val="en-US"/>
        </w:rPr>
        <w:t>A</w:t>
      </w:r>
      <w:r w:rsidRPr="000763FA">
        <w:rPr>
          <w:sz w:val="26"/>
          <w:szCs w:val="26"/>
          <w:lang w:val="en-US"/>
        </w:rPr>
        <w:t xml:space="preserve">nnual </w:t>
      </w:r>
      <w:r w:rsidR="000421FC">
        <w:rPr>
          <w:sz w:val="26"/>
          <w:szCs w:val="26"/>
          <w:lang w:val="en-US"/>
        </w:rPr>
        <w:t>G</w:t>
      </w:r>
      <w:r w:rsidRPr="000763FA">
        <w:rPr>
          <w:sz w:val="26"/>
          <w:szCs w:val="26"/>
          <w:lang w:val="en-US"/>
        </w:rPr>
        <w:t xml:space="preserve">eneral </w:t>
      </w:r>
      <w:r w:rsidR="000421FC">
        <w:rPr>
          <w:sz w:val="26"/>
          <w:szCs w:val="26"/>
          <w:lang w:val="en-US"/>
        </w:rPr>
        <w:t>M</w:t>
      </w:r>
      <w:r w:rsidRPr="000763FA">
        <w:rPr>
          <w:sz w:val="26"/>
          <w:szCs w:val="26"/>
          <w:lang w:val="en-US"/>
        </w:rPr>
        <w:t>eeting</w:t>
      </w:r>
      <w:r w:rsidR="00A03FBE">
        <w:rPr>
          <w:sz w:val="26"/>
          <w:szCs w:val="26"/>
          <w:lang w:val="en-US"/>
        </w:rPr>
        <w:t xml:space="preserve"> (</w:t>
      </w:r>
      <w:r w:rsidR="00A03FBE" w:rsidRPr="00A03FBE">
        <w:rPr>
          <w:i/>
          <w:iCs/>
          <w:sz w:val="26"/>
          <w:szCs w:val="26"/>
          <w:lang w:val="en-US"/>
        </w:rPr>
        <w:t>“AGM”</w:t>
      </w:r>
      <w:r w:rsidR="00A03FBE">
        <w:rPr>
          <w:sz w:val="26"/>
          <w:szCs w:val="26"/>
          <w:lang w:val="en-US"/>
        </w:rPr>
        <w:t>)</w:t>
      </w:r>
      <w:r w:rsidRPr="000763FA">
        <w:rPr>
          <w:sz w:val="26"/>
          <w:szCs w:val="26"/>
          <w:lang w:val="en-US"/>
        </w:rPr>
        <w:t xml:space="preserve"> which was held </w:t>
      </w:r>
      <w:r w:rsidR="001C6F66">
        <w:rPr>
          <w:sz w:val="26"/>
          <w:szCs w:val="26"/>
          <w:lang w:val="en-US"/>
        </w:rPr>
        <w:t xml:space="preserve">by the applicant </w:t>
      </w:r>
      <w:r w:rsidRPr="000763FA">
        <w:rPr>
          <w:sz w:val="26"/>
          <w:szCs w:val="26"/>
          <w:lang w:val="en-US"/>
        </w:rPr>
        <w:t>on 19 August 2017</w:t>
      </w:r>
      <w:r>
        <w:rPr>
          <w:sz w:val="26"/>
          <w:szCs w:val="26"/>
          <w:lang w:val="en-US"/>
        </w:rPr>
        <w:t xml:space="preserve">. </w:t>
      </w:r>
    </w:p>
    <w:p w:rsidR="001C6F66" w:rsidRPr="000421FC" w:rsidRDefault="001C6F66" w:rsidP="001C6F66">
      <w:pPr>
        <w:pStyle w:val="ListParagraph"/>
        <w:spacing w:line="360" w:lineRule="auto"/>
        <w:ind w:left="142"/>
        <w:jc w:val="both"/>
        <w:rPr>
          <w:sz w:val="26"/>
          <w:szCs w:val="26"/>
        </w:rPr>
      </w:pPr>
    </w:p>
    <w:p w:rsidR="000421FC" w:rsidRPr="000763FA" w:rsidRDefault="000421FC" w:rsidP="0099069A">
      <w:pPr>
        <w:pStyle w:val="ListParagraph"/>
        <w:numPr>
          <w:ilvl w:val="0"/>
          <w:numId w:val="1"/>
        </w:numPr>
        <w:spacing w:line="360" w:lineRule="auto"/>
        <w:ind w:left="0" w:firstLine="142"/>
        <w:jc w:val="both"/>
        <w:rPr>
          <w:sz w:val="26"/>
          <w:szCs w:val="26"/>
        </w:rPr>
      </w:pPr>
      <w:r w:rsidRPr="000421FC">
        <w:rPr>
          <w:sz w:val="26"/>
          <w:szCs w:val="26"/>
          <w:lang w:val="en-US"/>
        </w:rPr>
        <w:t xml:space="preserve">The </w:t>
      </w:r>
      <w:r w:rsidR="001C6F66">
        <w:rPr>
          <w:sz w:val="26"/>
          <w:szCs w:val="26"/>
          <w:lang w:val="en-US"/>
        </w:rPr>
        <w:t xml:space="preserve">basis for the </w:t>
      </w:r>
      <w:r w:rsidRPr="000421FC">
        <w:rPr>
          <w:sz w:val="26"/>
          <w:szCs w:val="26"/>
          <w:lang w:val="en-US"/>
        </w:rPr>
        <w:t xml:space="preserve">appeal of </w:t>
      </w:r>
      <w:r w:rsidR="00372359">
        <w:rPr>
          <w:sz w:val="26"/>
          <w:szCs w:val="26"/>
          <w:lang w:val="en-US"/>
        </w:rPr>
        <w:t xml:space="preserve">Ward 1 and 2 </w:t>
      </w:r>
      <w:r w:rsidR="001C6F66">
        <w:rPr>
          <w:sz w:val="26"/>
          <w:szCs w:val="26"/>
          <w:lang w:val="en-US"/>
        </w:rPr>
        <w:t>was</w:t>
      </w:r>
      <w:r w:rsidRPr="000421FC">
        <w:rPr>
          <w:sz w:val="26"/>
          <w:szCs w:val="26"/>
          <w:lang w:val="en-US"/>
        </w:rPr>
        <w:t xml:space="preserve"> that </w:t>
      </w:r>
      <w:r w:rsidR="001C6F66">
        <w:rPr>
          <w:sz w:val="26"/>
          <w:szCs w:val="26"/>
          <w:lang w:val="en-US"/>
        </w:rPr>
        <w:t>t</w:t>
      </w:r>
      <w:r w:rsidRPr="000421FC">
        <w:rPr>
          <w:sz w:val="26"/>
          <w:szCs w:val="26"/>
          <w:lang w:val="en-US"/>
        </w:rPr>
        <w:t>here was no consultation with the claimants</w:t>
      </w:r>
      <w:r w:rsidR="001C6F66">
        <w:rPr>
          <w:sz w:val="26"/>
          <w:szCs w:val="26"/>
          <w:lang w:val="en-US"/>
        </w:rPr>
        <w:t>,</w:t>
      </w:r>
      <w:r w:rsidRPr="000421FC">
        <w:rPr>
          <w:sz w:val="26"/>
          <w:szCs w:val="26"/>
          <w:lang w:val="en-US"/>
        </w:rPr>
        <w:t xml:space="preserve"> and that the trustees failed to follow proper procedure in authorizing </w:t>
      </w:r>
      <w:r w:rsidR="001C6F66">
        <w:rPr>
          <w:sz w:val="26"/>
          <w:szCs w:val="26"/>
          <w:lang w:val="en-US"/>
        </w:rPr>
        <w:t>S</w:t>
      </w:r>
      <w:r w:rsidRPr="000421FC">
        <w:rPr>
          <w:sz w:val="26"/>
          <w:szCs w:val="26"/>
          <w:lang w:val="en-US"/>
        </w:rPr>
        <w:t>urr</w:t>
      </w:r>
      <w:r w:rsidR="001C6F66">
        <w:rPr>
          <w:sz w:val="26"/>
          <w:szCs w:val="26"/>
          <w:lang w:val="en-US"/>
        </w:rPr>
        <w:t>e</w:t>
      </w:r>
      <w:r w:rsidRPr="000421FC">
        <w:rPr>
          <w:sz w:val="26"/>
          <w:szCs w:val="26"/>
          <w:lang w:val="en-US"/>
        </w:rPr>
        <w:t>y Holmes to develop the property</w:t>
      </w:r>
      <w:r>
        <w:rPr>
          <w:sz w:val="26"/>
          <w:szCs w:val="26"/>
          <w:lang w:val="en-US"/>
        </w:rPr>
        <w:t>.</w:t>
      </w:r>
      <w:r w:rsidRPr="000421FC">
        <w:rPr>
          <w:sz w:val="26"/>
          <w:szCs w:val="26"/>
          <w:lang w:val="en-US"/>
        </w:rPr>
        <w:t xml:space="preserve"> Furthermore, </w:t>
      </w:r>
      <w:r w:rsidR="00172F97">
        <w:rPr>
          <w:sz w:val="26"/>
          <w:szCs w:val="26"/>
          <w:lang w:val="en-US"/>
        </w:rPr>
        <w:t xml:space="preserve">it was </w:t>
      </w:r>
      <w:r w:rsidRPr="000421FC">
        <w:rPr>
          <w:sz w:val="26"/>
          <w:szCs w:val="26"/>
          <w:lang w:val="en-US"/>
        </w:rPr>
        <w:t xml:space="preserve">stated that </w:t>
      </w:r>
      <w:r w:rsidR="00A03FBE">
        <w:rPr>
          <w:sz w:val="26"/>
          <w:szCs w:val="26"/>
          <w:lang w:val="en-US"/>
        </w:rPr>
        <w:t xml:space="preserve">at the AGM of 19 August 2017 </w:t>
      </w:r>
      <w:r w:rsidRPr="000421FC">
        <w:rPr>
          <w:sz w:val="26"/>
          <w:szCs w:val="26"/>
          <w:lang w:val="en-US"/>
        </w:rPr>
        <w:t>the claimants did not support the recommendation by the trustees to develop the property in terms of a proposal presented</w:t>
      </w:r>
      <w:r>
        <w:rPr>
          <w:sz w:val="26"/>
          <w:szCs w:val="26"/>
          <w:lang w:val="en-US"/>
        </w:rPr>
        <w:t xml:space="preserve"> </w:t>
      </w:r>
      <w:r w:rsidRPr="000421FC">
        <w:rPr>
          <w:sz w:val="26"/>
          <w:szCs w:val="26"/>
          <w:lang w:val="en-US"/>
        </w:rPr>
        <w:t xml:space="preserve">by </w:t>
      </w:r>
      <w:r w:rsidR="00A03FBE">
        <w:rPr>
          <w:sz w:val="26"/>
          <w:szCs w:val="26"/>
          <w:lang w:val="en-US"/>
        </w:rPr>
        <w:t>Surrey</w:t>
      </w:r>
      <w:r w:rsidRPr="000421FC">
        <w:rPr>
          <w:sz w:val="26"/>
          <w:szCs w:val="26"/>
          <w:lang w:val="en-US"/>
        </w:rPr>
        <w:t xml:space="preserve"> Holmes</w:t>
      </w:r>
      <w:r>
        <w:rPr>
          <w:sz w:val="26"/>
          <w:szCs w:val="26"/>
          <w:lang w:val="en-US"/>
        </w:rPr>
        <w:t>.</w:t>
      </w:r>
    </w:p>
    <w:p w:rsidR="00AC37AA" w:rsidRPr="00D60118" w:rsidRDefault="00AC37AA" w:rsidP="00D60118">
      <w:pPr>
        <w:spacing w:line="360" w:lineRule="auto"/>
        <w:rPr>
          <w:sz w:val="26"/>
          <w:szCs w:val="26"/>
        </w:rPr>
      </w:pPr>
    </w:p>
    <w:p w:rsidR="000B2DC8" w:rsidRPr="009F7B7C" w:rsidRDefault="00A03FBE" w:rsidP="009F7B7C">
      <w:pPr>
        <w:pStyle w:val="ListParagraph"/>
        <w:numPr>
          <w:ilvl w:val="0"/>
          <w:numId w:val="1"/>
        </w:numPr>
        <w:spacing w:line="360" w:lineRule="auto"/>
        <w:ind w:left="0" w:firstLine="142"/>
        <w:jc w:val="both"/>
        <w:rPr>
          <w:sz w:val="26"/>
          <w:szCs w:val="26"/>
        </w:rPr>
      </w:pPr>
      <w:r>
        <w:rPr>
          <w:sz w:val="26"/>
          <w:szCs w:val="26"/>
        </w:rPr>
        <w:t>In reaching her decision, t</w:t>
      </w:r>
      <w:r w:rsidR="00AC37AA">
        <w:rPr>
          <w:sz w:val="26"/>
          <w:szCs w:val="26"/>
        </w:rPr>
        <w:t xml:space="preserve">he </w:t>
      </w:r>
      <w:r>
        <w:rPr>
          <w:sz w:val="26"/>
          <w:szCs w:val="26"/>
        </w:rPr>
        <w:t>first respondent</w:t>
      </w:r>
      <w:r w:rsidR="00AC37AA">
        <w:rPr>
          <w:sz w:val="26"/>
          <w:szCs w:val="26"/>
        </w:rPr>
        <w:t xml:space="preserve"> re</w:t>
      </w:r>
      <w:r w:rsidR="00841FB9">
        <w:rPr>
          <w:sz w:val="26"/>
          <w:szCs w:val="26"/>
        </w:rPr>
        <w:t>lied on</w:t>
      </w:r>
      <w:r w:rsidR="00AC37AA">
        <w:rPr>
          <w:sz w:val="26"/>
          <w:szCs w:val="26"/>
        </w:rPr>
        <w:t xml:space="preserve"> sections 38(c), 38(b), 65(1)(a) and section 38(d) </w:t>
      </w:r>
      <w:r>
        <w:rPr>
          <w:sz w:val="26"/>
          <w:szCs w:val="26"/>
        </w:rPr>
        <w:t xml:space="preserve">of the By-Law. </w:t>
      </w:r>
      <w:r w:rsidR="00841FB9" w:rsidRPr="009F7B7C">
        <w:rPr>
          <w:sz w:val="26"/>
          <w:szCs w:val="26"/>
        </w:rPr>
        <w:t>She</w:t>
      </w:r>
      <w:r w:rsidR="00637380" w:rsidRPr="009F7B7C">
        <w:rPr>
          <w:sz w:val="26"/>
          <w:szCs w:val="26"/>
        </w:rPr>
        <w:t xml:space="preserve"> found that section 38(d) was complied with in that proof of ownership of the property was submitted. As regards </w:t>
      </w:r>
      <w:r w:rsidR="000636A9">
        <w:rPr>
          <w:sz w:val="26"/>
          <w:szCs w:val="26"/>
        </w:rPr>
        <w:t xml:space="preserve">the rest of her decision, </w:t>
      </w:r>
      <w:r w:rsidR="00637380" w:rsidRPr="009F7B7C">
        <w:rPr>
          <w:sz w:val="26"/>
          <w:szCs w:val="26"/>
        </w:rPr>
        <w:t xml:space="preserve">she </w:t>
      </w:r>
      <w:r w:rsidR="000636A9">
        <w:rPr>
          <w:sz w:val="26"/>
          <w:szCs w:val="26"/>
        </w:rPr>
        <w:t>stated as follows at</w:t>
      </w:r>
      <w:r w:rsidR="00637380" w:rsidRPr="009F7B7C">
        <w:rPr>
          <w:sz w:val="26"/>
          <w:szCs w:val="26"/>
        </w:rPr>
        <w:t xml:space="preserve"> paragraph 1.2(f) </w:t>
      </w:r>
      <w:r w:rsidR="000636A9">
        <w:rPr>
          <w:sz w:val="26"/>
          <w:szCs w:val="26"/>
        </w:rPr>
        <w:t xml:space="preserve">to (i) </w:t>
      </w:r>
      <w:r w:rsidR="00637380" w:rsidRPr="009F7B7C">
        <w:rPr>
          <w:sz w:val="26"/>
          <w:szCs w:val="26"/>
        </w:rPr>
        <w:t xml:space="preserve">of the decision: </w:t>
      </w:r>
    </w:p>
    <w:p w:rsidR="00E01D01" w:rsidRDefault="00E01D01" w:rsidP="00416768">
      <w:pPr>
        <w:pStyle w:val="ListParagraph"/>
        <w:spacing w:line="360" w:lineRule="auto"/>
        <w:rPr>
          <w:sz w:val="26"/>
          <w:szCs w:val="26"/>
        </w:rPr>
      </w:pPr>
    </w:p>
    <w:p w:rsidR="00E01D01" w:rsidRPr="00172F97" w:rsidRDefault="00E01D01" w:rsidP="00E01D01">
      <w:pPr>
        <w:pStyle w:val="ListParagraph"/>
        <w:tabs>
          <w:tab w:val="left" w:pos="1701"/>
        </w:tabs>
        <w:spacing w:line="276" w:lineRule="auto"/>
        <w:ind w:left="1341" w:hanging="621"/>
        <w:jc w:val="both"/>
        <w:rPr>
          <w:i/>
          <w:sz w:val="22"/>
          <w:szCs w:val="22"/>
        </w:rPr>
      </w:pPr>
      <w:r w:rsidRPr="00172F97">
        <w:rPr>
          <w:i/>
          <w:sz w:val="22"/>
          <w:szCs w:val="22"/>
        </w:rPr>
        <w:t>“f.</w:t>
      </w:r>
      <w:r w:rsidRPr="00172F97">
        <w:rPr>
          <w:i/>
          <w:sz w:val="22"/>
          <w:szCs w:val="22"/>
        </w:rPr>
        <w:tab/>
      </w:r>
      <w:r w:rsidR="000636A9" w:rsidRPr="00172F97">
        <w:rPr>
          <w:i/>
          <w:sz w:val="22"/>
          <w:szCs w:val="22"/>
        </w:rPr>
        <w:t xml:space="preserve"> C</w:t>
      </w:r>
      <w:r w:rsidRPr="00172F97">
        <w:rPr>
          <w:i/>
          <w:sz w:val="22"/>
          <w:szCs w:val="22"/>
        </w:rPr>
        <w:t xml:space="preserve">onsent was submitted as a power of attorney.  The highlight of this is “signatures” of some landowners/beneficiaries in control of land or authorised representatives.  Some signatures appear on the consent document and a date of 23/08/2017 in the middle of the signatures.  Nowhere is a reference to these names as being Trustees and no proof as envisaged in section 38(c) was submitted.  There is also no reference to where this document was signed.  </w:t>
      </w:r>
    </w:p>
    <w:p w:rsidR="00E01D01" w:rsidRPr="00172F97" w:rsidRDefault="00E01D01" w:rsidP="00E01D01">
      <w:pPr>
        <w:pStyle w:val="ListParagraph"/>
        <w:tabs>
          <w:tab w:val="left" w:pos="1701"/>
        </w:tabs>
        <w:spacing w:line="276" w:lineRule="auto"/>
        <w:ind w:left="1341" w:hanging="621"/>
        <w:jc w:val="both"/>
        <w:rPr>
          <w:i/>
          <w:sz w:val="22"/>
          <w:szCs w:val="22"/>
        </w:rPr>
      </w:pPr>
    </w:p>
    <w:p w:rsidR="00E01D01" w:rsidRPr="00172F97" w:rsidRDefault="00E01D01" w:rsidP="00E01D01">
      <w:pPr>
        <w:pStyle w:val="ListParagraph"/>
        <w:tabs>
          <w:tab w:val="left" w:pos="1701"/>
        </w:tabs>
        <w:spacing w:line="276" w:lineRule="auto"/>
        <w:ind w:left="1341" w:hanging="621"/>
        <w:jc w:val="both"/>
        <w:rPr>
          <w:i/>
          <w:sz w:val="22"/>
          <w:szCs w:val="22"/>
        </w:rPr>
      </w:pPr>
      <w:r w:rsidRPr="00172F97">
        <w:rPr>
          <w:i/>
          <w:sz w:val="22"/>
          <w:szCs w:val="22"/>
        </w:rPr>
        <w:t>g.</w:t>
      </w:r>
      <w:r w:rsidRPr="00172F97">
        <w:rPr>
          <w:i/>
          <w:sz w:val="22"/>
          <w:szCs w:val="22"/>
        </w:rPr>
        <w:tab/>
        <w:t xml:space="preserve">The document </w:t>
      </w:r>
      <w:r w:rsidR="000636A9" w:rsidRPr="00172F97">
        <w:rPr>
          <w:i/>
          <w:sz w:val="22"/>
          <w:szCs w:val="22"/>
        </w:rPr>
        <w:t xml:space="preserve">LETTERS OF AUTHORITY </w:t>
      </w:r>
      <w:r w:rsidRPr="00172F97">
        <w:rPr>
          <w:i/>
          <w:sz w:val="22"/>
          <w:szCs w:val="22"/>
        </w:rPr>
        <w:t>dated 27 July 2016 also does not assist as it was issued some</w:t>
      </w:r>
      <w:r w:rsidR="000636A9" w:rsidRPr="00172F97">
        <w:rPr>
          <w:i/>
          <w:sz w:val="22"/>
          <w:szCs w:val="22"/>
        </w:rPr>
        <w:t xml:space="preserve"> </w:t>
      </w:r>
      <w:r w:rsidRPr="00172F97">
        <w:rPr>
          <w:i/>
          <w:sz w:val="22"/>
          <w:szCs w:val="22"/>
        </w:rPr>
        <w:t>time before the application was submitted.  This is particularly unacceptable as the subject property is the result of a land claim and belongs to a group of beneficiaries as spelt out in the Deed of Trust.</w:t>
      </w:r>
    </w:p>
    <w:p w:rsidR="00E01D01" w:rsidRPr="00172F97" w:rsidRDefault="00E01D01" w:rsidP="00E01D01">
      <w:pPr>
        <w:pStyle w:val="ListParagraph"/>
        <w:tabs>
          <w:tab w:val="left" w:pos="1701"/>
        </w:tabs>
        <w:spacing w:line="276" w:lineRule="auto"/>
        <w:ind w:left="1341" w:hanging="621"/>
        <w:jc w:val="both"/>
        <w:rPr>
          <w:i/>
          <w:sz w:val="22"/>
          <w:szCs w:val="22"/>
        </w:rPr>
      </w:pPr>
    </w:p>
    <w:p w:rsidR="00E01D01" w:rsidRPr="00172F97" w:rsidRDefault="00E01D01" w:rsidP="00E01D01">
      <w:pPr>
        <w:pStyle w:val="ListParagraph"/>
        <w:tabs>
          <w:tab w:val="left" w:pos="1701"/>
        </w:tabs>
        <w:spacing w:line="276" w:lineRule="auto"/>
        <w:ind w:left="1341" w:hanging="621"/>
        <w:jc w:val="both"/>
        <w:rPr>
          <w:i/>
          <w:sz w:val="22"/>
          <w:szCs w:val="22"/>
        </w:rPr>
      </w:pPr>
      <w:r w:rsidRPr="00172F97">
        <w:rPr>
          <w:i/>
          <w:sz w:val="22"/>
          <w:szCs w:val="22"/>
        </w:rPr>
        <w:t>h.</w:t>
      </w:r>
      <w:r w:rsidRPr="00172F97">
        <w:rPr>
          <w:i/>
          <w:sz w:val="22"/>
          <w:szCs w:val="22"/>
        </w:rPr>
        <w:tab/>
        <w:t xml:space="preserve">It was argued that the Trustees </w:t>
      </w:r>
      <w:r w:rsidR="000636A9" w:rsidRPr="00172F97">
        <w:rPr>
          <w:i/>
          <w:sz w:val="22"/>
          <w:szCs w:val="22"/>
        </w:rPr>
        <w:t>[</w:t>
      </w:r>
      <w:r w:rsidRPr="00172F97">
        <w:rPr>
          <w:i/>
          <w:sz w:val="22"/>
          <w:szCs w:val="22"/>
        </w:rPr>
        <w:t>ha</w:t>
      </w:r>
      <w:r w:rsidR="000636A9" w:rsidRPr="00172F97">
        <w:rPr>
          <w:i/>
          <w:sz w:val="22"/>
          <w:szCs w:val="22"/>
        </w:rPr>
        <w:t>ve]</w:t>
      </w:r>
      <w:r w:rsidRPr="00172F97">
        <w:rPr>
          <w:i/>
          <w:sz w:val="22"/>
          <w:szCs w:val="22"/>
        </w:rPr>
        <w:t xml:space="preserve"> an open discretion to act on behalf of the Trust.  However, a close look at, and interpretation of sections 4, 13 and 32 of the Trust Deed may not grant that authority to the Trustees.  </w:t>
      </w:r>
    </w:p>
    <w:p w:rsidR="00E01D01" w:rsidRPr="00172F97" w:rsidRDefault="00E01D01" w:rsidP="00E01D01">
      <w:pPr>
        <w:pStyle w:val="ListParagraph"/>
        <w:tabs>
          <w:tab w:val="left" w:pos="1701"/>
        </w:tabs>
        <w:spacing w:line="276" w:lineRule="auto"/>
        <w:ind w:left="1341" w:hanging="621"/>
        <w:jc w:val="both"/>
        <w:rPr>
          <w:i/>
          <w:sz w:val="22"/>
          <w:szCs w:val="22"/>
        </w:rPr>
      </w:pPr>
    </w:p>
    <w:p w:rsidR="00E01D01" w:rsidRPr="00172F97" w:rsidRDefault="00E01D01" w:rsidP="00172F97">
      <w:pPr>
        <w:pStyle w:val="ListParagraph"/>
        <w:numPr>
          <w:ilvl w:val="0"/>
          <w:numId w:val="3"/>
        </w:numPr>
        <w:tabs>
          <w:tab w:val="left" w:pos="1701"/>
        </w:tabs>
        <w:spacing w:line="276" w:lineRule="auto"/>
        <w:ind w:left="1276" w:hanging="556"/>
        <w:jc w:val="both"/>
        <w:rPr>
          <w:i/>
          <w:sz w:val="22"/>
          <w:szCs w:val="22"/>
        </w:rPr>
      </w:pPr>
      <w:r w:rsidRPr="00172F97">
        <w:rPr>
          <w:i/>
          <w:sz w:val="22"/>
          <w:szCs w:val="22"/>
        </w:rPr>
        <w:t>Having regard for all the above, cognisance should be taken that the Appeal Authority has a mandate and scope of authority to only act in terms of the provisions of the By-Law which is very prescriptive and mandatory in the information and documentation required in an application.  These were not fulfilled as prescribed by section 79, 65 and 38 of the [By-Law].”</w:t>
      </w:r>
    </w:p>
    <w:p w:rsidR="00E01D01" w:rsidRDefault="00E01D01" w:rsidP="00E01D01">
      <w:pPr>
        <w:pStyle w:val="ListParagraph"/>
        <w:tabs>
          <w:tab w:val="left" w:pos="1701"/>
        </w:tabs>
        <w:spacing w:line="276" w:lineRule="auto"/>
        <w:ind w:left="1440"/>
        <w:jc w:val="both"/>
        <w:rPr>
          <w:sz w:val="26"/>
          <w:szCs w:val="26"/>
        </w:rPr>
      </w:pPr>
    </w:p>
    <w:p w:rsidR="00E47F0F" w:rsidRPr="00B77E9E" w:rsidRDefault="000636A9" w:rsidP="000636A9">
      <w:pPr>
        <w:pStyle w:val="ListParagraph"/>
        <w:numPr>
          <w:ilvl w:val="0"/>
          <w:numId w:val="1"/>
        </w:numPr>
        <w:spacing w:line="360" w:lineRule="auto"/>
        <w:ind w:left="0" w:firstLine="142"/>
        <w:jc w:val="both"/>
        <w:rPr>
          <w:sz w:val="26"/>
          <w:szCs w:val="26"/>
        </w:rPr>
      </w:pPr>
      <w:r w:rsidRPr="000636A9">
        <w:rPr>
          <w:sz w:val="26"/>
          <w:szCs w:val="26"/>
          <w:lang w:val="en-US"/>
        </w:rPr>
        <w:t>As I</w:t>
      </w:r>
      <w:r>
        <w:rPr>
          <w:sz w:val="26"/>
          <w:szCs w:val="26"/>
          <w:lang w:val="en-US"/>
        </w:rPr>
        <w:t xml:space="preserve"> ha</w:t>
      </w:r>
      <w:r w:rsidRPr="000636A9">
        <w:rPr>
          <w:sz w:val="26"/>
          <w:szCs w:val="26"/>
          <w:lang w:val="en-US"/>
        </w:rPr>
        <w:t>ve already indicated</w:t>
      </w:r>
      <w:r w:rsidR="00B77E9E">
        <w:rPr>
          <w:sz w:val="26"/>
          <w:szCs w:val="26"/>
          <w:lang w:val="en-US"/>
        </w:rPr>
        <w:t>,</w:t>
      </w:r>
      <w:r w:rsidRPr="000636A9">
        <w:rPr>
          <w:sz w:val="26"/>
          <w:szCs w:val="26"/>
          <w:lang w:val="en-US"/>
        </w:rPr>
        <w:t xml:space="preserve"> the review</w:t>
      </w:r>
      <w:r w:rsidR="00B77E9E">
        <w:rPr>
          <w:sz w:val="26"/>
          <w:szCs w:val="26"/>
          <w:lang w:val="en-US"/>
        </w:rPr>
        <w:t xml:space="preserve"> application</w:t>
      </w:r>
      <w:r w:rsidRPr="000636A9">
        <w:rPr>
          <w:sz w:val="26"/>
          <w:szCs w:val="26"/>
          <w:lang w:val="en-US"/>
        </w:rPr>
        <w:t xml:space="preserve"> </w:t>
      </w:r>
      <w:r>
        <w:rPr>
          <w:sz w:val="26"/>
          <w:szCs w:val="26"/>
          <w:lang w:val="en-US"/>
        </w:rPr>
        <w:t>is</w:t>
      </w:r>
      <w:r w:rsidRPr="000636A9">
        <w:rPr>
          <w:sz w:val="26"/>
          <w:szCs w:val="26"/>
          <w:lang w:val="en-US"/>
        </w:rPr>
        <w:t xml:space="preserve"> brought in terms of the provisions of the</w:t>
      </w:r>
      <w:r>
        <w:rPr>
          <w:sz w:val="26"/>
          <w:szCs w:val="26"/>
          <w:lang w:val="en-US"/>
        </w:rPr>
        <w:t xml:space="preserve"> PAJA. </w:t>
      </w:r>
      <w:r w:rsidR="00B77E9E">
        <w:rPr>
          <w:sz w:val="26"/>
          <w:szCs w:val="26"/>
          <w:lang w:val="en-US"/>
        </w:rPr>
        <w:t>T</w:t>
      </w:r>
      <w:r w:rsidRPr="000636A9">
        <w:rPr>
          <w:sz w:val="26"/>
          <w:szCs w:val="26"/>
          <w:lang w:val="en-US"/>
        </w:rPr>
        <w:t>he applicant</w:t>
      </w:r>
      <w:r w:rsidR="00B77E9E">
        <w:rPr>
          <w:sz w:val="26"/>
          <w:szCs w:val="26"/>
          <w:lang w:val="en-US"/>
        </w:rPr>
        <w:t xml:space="preserve">’s case may be summarized </w:t>
      </w:r>
      <w:r w:rsidRPr="000636A9">
        <w:rPr>
          <w:sz w:val="26"/>
          <w:szCs w:val="26"/>
          <w:lang w:val="en-US"/>
        </w:rPr>
        <w:t>as follows</w:t>
      </w:r>
      <w:r>
        <w:rPr>
          <w:sz w:val="26"/>
          <w:szCs w:val="26"/>
          <w:lang w:val="en-US"/>
        </w:rPr>
        <w:t>:</w:t>
      </w:r>
    </w:p>
    <w:p w:rsidR="00B77E9E" w:rsidRPr="000636A9" w:rsidRDefault="00B77E9E" w:rsidP="00B77E9E">
      <w:pPr>
        <w:pStyle w:val="ListParagraph"/>
        <w:spacing w:line="360" w:lineRule="auto"/>
        <w:ind w:left="142"/>
        <w:jc w:val="both"/>
        <w:rPr>
          <w:sz w:val="26"/>
          <w:szCs w:val="26"/>
        </w:rPr>
      </w:pPr>
    </w:p>
    <w:p w:rsidR="000636A9" w:rsidRPr="00B77E9E" w:rsidRDefault="00B77E9E" w:rsidP="000636A9">
      <w:pPr>
        <w:pStyle w:val="ListParagraph"/>
        <w:numPr>
          <w:ilvl w:val="1"/>
          <w:numId w:val="1"/>
        </w:numPr>
        <w:spacing w:line="360" w:lineRule="auto"/>
        <w:jc w:val="both"/>
        <w:rPr>
          <w:sz w:val="26"/>
          <w:szCs w:val="26"/>
        </w:rPr>
      </w:pPr>
      <w:r>
        <w:rPr>
          <w:sz w:val="26"/>
          <w:szCs w:val="26"/>
          <w:lang w:val="en-US"/>
        </w:rPr>
        <w:t>T</w:t>
      </w:r>
      <w:r w:rsidR="000636A9" w:rsidRPr="000636A9">
        <w:rPr>
          <w:sz w:val="26"/>
          <w:szCs w:val="26"/>
          <w:lang w:val="en-US"/>
        </w:rPr>
        <w:t>he first respondent</w:t>
      </w:r>
      <w:r>
        <w:rPr>
          <w:sz w:val="26"/>
          <w:szCs w:val="26"/>
          <w:lang w:val="en-US"/>
        </w:rPr>
        <w:t>’</w:t>
      </w:r>
      <w:r w:rsidR="000636A9" w:rsidRPr="000636A9">
        <w:rPr>
          <w:sz w:val="26"/>
          <w:szCs w:val="26"/>
          <w:lang w:val="en-US"/>
        </w:rPr>
        <w:t>s decision</w:t>
      </w:r>
      <w:r w:rsidR="00172F97">
        <w:rPr>
          <w:sz w:val="26"/>
          <w:szCs w:val="26"/>
          <w:lang w:val="en-US"/>
        </w:rPr>
        <w:t xml:space="preserve"> </w:t>
      </w:r>
      <w:r w:rsidR="000636A9" w:rsidRPr="000636A9">
        <w:rPr>
          <w:sz w:val="26"/>
          <w:szCs w:val="26"/>
          <w:lang w:val="en-US"/>
        </w:rPr>
        <w:t xml:space="preserve">was not authorized by the empowering provision, namely section 81 of the </w:t>
      </w:r>
      <w:r>
        <w:rPr>
          <w:sz w:val="26"/>
          <w:szCs w:val="26"/>
          <w:lang w:val="en-US"/>
        </w:rPr>
        <w:t>B</w:t>
      </w:r>
      <w:r w:rsidR="000636A9" w:rsidRPr="000636A9">
        <w:rPr>
          <w:sz w:val="26"/>
          <w:szCs w:val="26"/>
          <w:lang w:val="en-US"/>
        </w:rPr>
        <w:t>y</w:t>
      </w:r>
      <w:r>
        <w:rPr>
          <w:sz w:val="26"/>
          <w:szCs w:val="26"/>
          <w:lang w:val="en-US"/>
        </w:rPr>
        <w:t>-L</w:t>
      </w:r>
      <w:r w:rsidR="000636A9" w:rsidRPr="000636A9">
        <w:rPr>
          <w:sz w:val="26"/>
          <w:szCs w:val="26"/>
          <w:lang w:val="en-US"/>
        </w:rPr>
        <w:t>aw</w:t>
      </w:r>
      <w:r>
        <w:rPr>
          <w:sz w:val="26"/>
          <w:szCs w:val="26"/>
          <w:lang w:val="en-US"/>
        </w:rPr>
        <w:t>,</w:t>
      </w:r>
      <w:r w:rsidR="000636A9" w:rsidRPr="000636A9">
        <w:rPr>
          <w:sz w:val="26"/>
          <w:szCs w:val="26"/>
          <w:lang w:val="en-US"/>
        </w:rPr>
        <w:t xml:space="preserve"> in that she was not authorized to delve into issues of the mandate of the trustees</w:t>
      </w:r>
      <w:r w:rsidR="000636A9">
        <w:rPr>
          <w:sz w:val="26"/>
          <w:szCs w:val="26"/>
          <w:lang w:val="en-US"/>
        </w:rPr>
        <w:t>.</w:t>
      </w:r>
      <w:r w:rsidRPr="00B77E9E">
        <w:rPr>
          <w:sz w:val="26"/>
          <w:szCs w:val="26"/>
          <w:lang w:val="en-US"/>
        </w:rPr>
        <w:t xml:space="preserve"> She was </w:t>
      </w:r>
      <w:r>
        <w:rPr>
          <w:sz w:val="26"/>
          <w:szCs w:val="26"/>
          <w:lang w:val="en-US"/>
        </w:rPr>
        <w:t xml:space="preserve">merely </w:t>
      </w:r>
      <w:r w:rsidRPr="00B77E9E">
        <w:rPr>
          <w:sz w:val="26"/>
          <w:szCs w:val="26"/>
          <w:lang w:val="en-US"/>
        </w:rPr>
        <w:t>required to verif</w:t>
      </w:r>
      <w:r>
        <w:rPr>
          <w:sz w:val="26"/>
          <w:szCs w:val="26"/>
          <w:lang w:val="en-US"/>
        </w:rPr>
        <w:t xml:space="preserve">y </w:t>
      </w:r>
      <w:r w:rsidRPr="00B77E9E">
        <w:rPr>
          <w:sz w:val="26"/>
          <w:szCs w:val="26"/>
          <w:lang w:val="en-US"/>
        </w:rPr>
        <w:t>that the procedure in terms of section 38 had been complied with</w:t>
      </w:r>
      <w:r>
        <w:rPr>
          <w:sz w:val="26"/>
          <w:szCs w:val="26"/>
          <w:lang w:val="en-US"/>
        </w:rPr>
        <w:t xml:space="preserve">. </w:t>
      </w:r>
    </w:p>
    <w:p w:rsidR="00B77E9E" w:rsidRPr="00B77E9E" w:rsidRDefault="00B77E9E" w:rsidP="00B77E9E">
      <w:pPr>
        <w:pStyle w:val="ListParagraph"/>
        <w:spacing w:line="360" w:lineRule="auto"/>
        <w:ind w:left="1440"/>
        <w:jc w:val="both"/>
        <w:rPr>
          <w:sz w:val="26"/>
          <w:szCs w:val="26"/>
        </w:rPr>
      </w:pPr>
    </w:p>
    <w:p w:rsidR="00422144" w:rsidRPr="00B77E9E" w:rsidRDefault="00B77E9E" w:rsidP="00422144">
      <w:pPr>
        <w:pStyle w:val="ListParagraph"/>
        <w:numPr>
          <w:ilvl w:val="1"/>
          <w:numId w:val="1"/>
        </w:numPr>
        <w:spacing w:line="360" w:lineRule="auto"/>
        <w:jc w:val="both"/>
        <w:rPr>
          <w:sz w:val="26"/>
          <w:szCs w:val="26"/>
        </w:rPr>
      </w:pPr>
      <w:r w:rsidRPr="00B77E9E">
        <w:rPr>
          <w:sz w:val="26"/>
          <w:szCs w:val="26"/>
          <w:lang w:val="en-US"/>
        </w:rPr>
        <w:t>The first respondent’s decision was not rationally connected to the purpose of the empowering provision because there was no basis for determining internal administrative issues of the applicant</w:t>
      </w:r>
      <w:r>
        <w:rPr>
          <w:sz w:val="26"/>
          <w:szCs w:val="26"/>
          <w:lang w:val="en-US"/>
        </w:rPr>
        <w:t>.</w:t>
      </w:r>
    </w:p>
    <w:p w:rsidR="00B77E9E" w:rsidRPr="00B77E9E" w:rsidRDefault="00B77E9E" w:rsidP="00B77E9E">
      <w:pPr>
        <w:spacing w:line="360" w:lineRule="auto"/>
        <w:jc w:val="both"/>
        <w:rPr>
          <w:sz w:val="26"/>
          <w:szCs w:val="26"/>
        </w:rPr>
      </w:pPr>
    </w:p>
    <w:p w:rsidR="00B77E9E" w:rsidRPr="00B77E9E" w:rsidRDefault="00B77E9E" w:rsidP="00422144">
      <w:pPr>
        <w:pStyle w:val="ListParagraph"/>
        <w:numPr>
          <w:ilvl w:val="1"/>
          <w:numId w:val="1"/>
        </w:numPr>
        <w:spacing w:line="360" w:lineRule="auto"/>
        <w:jc w:val="both"/>
        <w:rPr>
          <w:sz w:val="26"/>
          <w:szCs w:val="26"/>
        </w:rPr>
      </w:pPr>
      <w:r w:rsidRPr="00B77E9E">
        <w:rPr>
          <w:sz w:val="26"/>
          <w:szCs w:val="26"/>
          <w:lang w:val="en-US"/>
        </w:rPr>
        <w:lastRenderedPageBreak/>
        <w:t>The first respondent</w:t>
      </w:r>
      <w:r>
        <w:rPr>
          <w:sz w:val="26"/>
          <w:szCs w:val="26"/>
          <w:lang w:val="en-US"/>
        </w:rPr>
        <w:t>’s</w:t>
      </w:r>
      <w:r w:rsidRPr="00B77E9E">
        <w:rPr>
          <w:sz w:val="26"/>
          <w:szCs w:val="26"/>
          <w:lang w:val="en-US"/>
        </w:rPr>
        <w:t xml:space="preserve"> decision was materially influenced by an error of law because she was not empowered to engage in a general review of the decision of the </w:t>
      </w:r>
      <w:r>
        <w:rPr>
          <w:sz w:val="26"/>
          <w:szCs w:val="26"/>
          <w:lang w:val="en-US"/>
        </w:rPr>
        <w:t>M</w:t>
      </w:r>
      <w:r w:rsidRPr="00B77E9E">
        <w:rPr>
          <w:sz w:val="26"/>
          <w:szCs w:val="26"/>
          <w:lang w:val="en-US"/>
        </w:rPr>
        <w:t xml:space="preserve">unicipal </w:t>
      </w:r>
      <w:r>
        <w:rPr>
          <w:sz w:val="26"/>
          <w:szCs w:val="26"/>
          <w:lang w:val="en-US"/>
        </w:rPr>
        <w:t>T</w:t>
      </w:r>
      <w:r w:rsidRPr="00B77E9E">
        <w:rPr>
          <w:sz w:val="26"/>
          <w:szCs w:val="26"/>
          <w:lang w:val="en-US"/>
        </w:rPr>
        <w:t>ribunal</w:t>
      </w:r>
      <w:r>
        <w:rPr>
          <w:sz w:val="26"/>
          <w:szCs w:val="26"/>
          <w:lang w:val="en-US"/>
        </w:rPr>
        <w:t>.</w:t>
      </w:r>
    </w:p>
    <w:p w:rsidR="00B77E9E" w:rsidRPr="00B77E9E" w:rsidRDefault="00B77E9E" w:rsidP="00B77E9E">
      <w:pPr>
        <w:spacing w:line="360" w:lineRule="auto"/>
        <w:jc w:val="both"/>
        <w:rPr>
          <w:sz w:val="26"/>
          <w:szCs w:val="26"/>
        </w:rPr>
      </w:pPr>
    </w:p>
    <w:p w:rsidR="00B77E9E" w:rsidRPr="00B77E9E" w:rsidRDefault="00B77E9E" w:rsidP="00422144">
      <w:pPr>
        <w:pStyle w:val="ListParagraph"/>
        <w:numPr>
          <w:ilvl w:val="1"/>
          <w:numId w:val="1"/>
        </w:numPr>
        <w:spacing w:line="360" w:lineRule="auto"/>
        <w:jc w:val="both"/>
        <w:rPr>
          <w:sz w:val="26"/>
          <w:szCs w:val="26"/>
        </w:rPr>
      </w:pPr>
      <w:r w:rsidRPr="00B77E9E">
        <w:rPr>
          <w:sz w:val="26"/>
          <w:szCs w:val="26"/>
          <w:lang w:val="en-US"/>
        </w:rPr>
        <w:t>The</w:t>
      </w:r>
      <w:r>
        <w:rPr>
          <w:sz w:val="26"/>
          <w:szCs w:val="26"/>
          <w:lang w:val="en-US"/>
        </w:rPr>
        <w:t xml:space="preserve"> </w:t>
      </w:r>
      <w:r w:rsidRPr="00B77E9E">
        <w:rPr>
          <w:sz w:val="26"/>
          <w:szCs w:val="26"/>
          <w:lang w:val="en-US"/>
        </w:rPr>
        <w:t>first respondent</w:t>
      </w:r>
      <w:r>
        <w:rPr>
          <w:sz w:val="26"/>
          <w:szCs w:val="26"/>
          <w:lang w:val="en-US"/>
        </w:rPr>
        <w:t>’</w:t>
      </w:r>
      <w:r w:rsidRPr="00B77E9E">
        <w:rPr>
          <w:sz w:val="26"/>
          <w:szCs w:val="26"/>
          <w:lang w:val="en-US"/>
        </w:rPr>
        <w:t>s decision was taken because of irrelevant considerations</w:t>
      </w:r>
      <w:r>
        <w:rPr>
          <w:sz w:val="26"/>
          <w:szCs w:val="26"/>
          <w:lang w:val="en-US"/>
        </w:rPr>
        <w:t>, or</w:t>
      </w:r>
      <w:r w:rsidRPr="00B77E9E">
        <w:rPr>
          <w:sz w:val="26"/>
          <w:szCs w:val="26"/>
          <w:lang w:val="en-US"/>
        </w:rPr>
        <w:t xml:space="preserve"> relevant considerations were not considered</w:t>
      </w:r>
      <w:r>
        <w:rPr>
          <w:sz w:val="26"/>
          <w:szCs w:val="26"/>
          <w:lang w:val="en-US"/>
        </w:rPr>
        <w:t>.</w:t>
      </w:r>
    </w:p>
    <w:p w:rsidR="00B77E9E" w:rsidRPr="00B77E9E" w:rsidRDefault="00B77E9E" w:rsidP="00B77E9E">
      <w:pPr>
        <w:spacing w:line="360" w:lineRule="auto"/>
        <w:jc w:val="both"/>
        <w:rPr>
          <w:sz w:val="26"/>
          <w:szCs w:val="26"/>
        </w:rPr>
      </w:pPr>
      <w:r w:rsidRPr="00B77E9E">
        <w:rPr>
          <w:sz w:val="26"/>
          <w:szCs w:val="26"/>
          <w:lang w:val="en-US"/>
        </w:rPr>
        <w:t xml:space="preserve"> </w:t>
      </w:r>
    </w:p>
    <w:p w:rsidR="00B77E9E" w:rsidRPr="00B77E9E" w:rsidRDefault="00B77E9E" w:rsidP="00422144">
      <w:pPr>
        <w:pStyle w:val="ListParagraph"/>
        <w:numPr>
          <w:ilvl w:val="1"/>
          <w:numId w:val="1"/>
        </w:numPr>
        <w:spacing w:line="360" w:lineRule="auto"/>
        <w:jc w:val="both"/>
        <w:rPr>
          <w:sz w:val="26"/>
          <w:szCs w:val="26"/>
        </w:rPr>
      </w:pPr>
      <w:r w:rsidRPr="00B77E9E">
        <w:rPr>
          <w:sz w:val="26"/>
          <w:szCs w:val="26"/>
          <w:lang w:val="en-US"/>
        </w:rPr>
        <w:t>The first respondent</w:t>
      </w:r>
      <w:r>
        <w:rPr>
          <w:sz w:val="26"/>
          <w:szCs w:val="26"/>
          <w:lang w:val="en-US"/>
        </w:rPr>
        <w:t>’</w:t>
      </w:r>
      <w:r w:rsidRPr="00B77E9E">
        <w:rPr>
          <w:sz w:val="26"/>
          <w:szCs w:val="26"/>
          <w:lang w:val="en-US"/>
        </w:rPr>
        <w:t>s decision was not rationally connected to the information before her</w:t>
      </w:r>
      <w:r>
        <w:rPr>
          <w:sz w:val="26"/>
          <w:szCs w:val="26"/>
          <w:lang w:val="en-US"/>
        </w:rPr>
        <w:t>.</w:t>
      </w:r>
    </w:p>
    <w:p w:rsidR="00B77E9E" w:rsidRPr="00B77E9E" w:rsidRDefault="00B77E9E" w:rsidP="00B77E9E">
      <w:pPr>
        <w:pStyle w:val="ListParagraph"/>
        <w:spacing w:line="360" w:lineRule="auto"/>
        <w:ind w:left="1440"/>
        <w:jc w:val="both"/>
        <w:rPr>
          <w:sz w:val="26"/>
          <w:szCs w:val="26"/>
        </w:rPr>
      </w:pPr>
    </w:p>
    <w:p w:rsidR="00422144" w:rsidRDefault="00422144" w:rsidP="00815A30">
      <w:pPr>
        <w:pStyle w:val="ListParagraph"/>
        <w:numPr>
          <w:ilvl w:val="0"/>
          <w:numId w:val="5"/>
        </w:numPr>
        <w:spacing w:line="360" w:lineRule="auto"/>
        <w:rPr>
          <w:b/>
          <w:sz w:val="26"/>
          <w:szCs w:val="26"/>
          <w:u w:val="single"/>
        </w:rPr>
      </w:pPr>
      <w:r>
        <w:rPr>
          <w:b/>
          <w:sz w:val="26"/>
          <w:szCs w:val="26"/>
          <w:u w:val="single"/>
        </w:rPr>
        <w:t xml:space="preserve">THE LAW </w:t>
      </w:r>
    </w:p>
    <w:p w:rsidR="00784367" w:rsidRPr="00784367" w:rsidRDefault="00C35675" w:rsidP="00784367">
      <w:pPr>
        <w:pStyle w:val="ListParagraph"/>
        <w:numPr>
          <w:ilvl w:val="0"/>
          <w:numId w:val="1"/>
        </w:numPr>
        <w:spacing w:line="360" w:lineRule="auto"/>
        <w:ind w:left="0" w:firstLine="142"/>
        <w:jc w:val="both"/>
        <w:rPr>
          <w:sz w:val="26"/>
          <w:szCs w:val="26"/>
        </w:rPr>
      </w:pPr>
      <w:r>
        <w:rPr>
          <w:sz w:val="26"/>
          <w:szCs w:val="26"/>
        </w:rPr>
        <w:t xml:space="preserve">The impugned decision constitutes administrative action as contemplated in the PAJA. </w:t>
      </w:r>
      <w:r w:rsidR="00A25A98" w:rsidRPr="002D0970">
        <w:rPr>
          <w:sz w:val="26"/>
          <w:szCs w:val="26"/>
        </w:rPr>
        <w:t xml:space="preserve"> </w:t>
      </w:r>
      <w:r w:rsidR="00784367" w:rsidRPr="00784367">
        <w:rPr>
          <w:sz w:val="26"/>
          <w:szCs w:val="26"/>
        </w:rPr>
        <w:t xml:space="preserve">In making the decision, the first respondent was exercising a public function in terms of legislation, namely the By-Law.  Moreover, the decision had an adverse effect on the applicant’s rights which had the direct external legal effect of preventing it from developing the property.  </w:t>
      </w:r>
    </w:p>
    <w:p w:rsidR="00784367" w:rsidRDefault="00784367" w:rsidP="00784367">
      <w:pPr>
        <w:pStyle w:val="ListParagraph"/>
        <w:spacing w:line="360" w:lineRule="auto"/>
        <w:ind w:left="142"/>
        <w:jc w:val="both"/>
        <w:rPr>
          <w:sz w:val="26"/>
          <w:szCs w:val="26"/>
        </w:rPr>
      </w:pPr>
    </w:p>
    <w:p w:rsidR="00A25A98" w:rsidRPr="00A25A98" w:rsidRDefault="00A25A98" w:rsidP="00A25A98">
      <w:pPr>
        <w:pStyle w:val="ListParagraph"/>
        <w:numPr>
          <w:ilvl w:val="0"/>
          <w:numId w:val="1"/>
        </w:numPr>
        <w:spacing w:line="360" w:lineRule="auto"/>
        <w:ind w:left="0" w:firstLine="142"/>
        <w:jc w:val="both"/>
        <w:rPr>
          <w:sz w:val="26"/>
          <w:szCs w:val="26"/>
        </w:rPr>
      </w:pPr>
      <w:r w:rsidRPr="00A25A98">
        <w:rPr>
          <w:sz w:val="26"/>
          <w:szCs w:val="26"/>
        </w:rPr>
        <w:t xml:space="preserve">Section 217 of the Constitution of the Republic of South Africa 108 of 1996 provides that </w:t>
      </w:r>
      <w:r w:rsidRPr="00A26BDE">
        <w:rPr>
          <w:i/>
          <w:iCs/>
          <w:sz w:val="26"/>
          <w:szCs w:val="26"/>
        </w:rPr>
        <w:t xml:space="preserve">“when an organ of state in the </w:t>
      </w:r>
      <w:r w:rsidR="00A26BDE" w:rsidRPr="00A26BDE">
        <w:rPr>
          <w:i/>
          <w:iCs/>
          <w:sz w:val="26"/>
          <w:szCs w:val="26"/>
        </w:rPr>
        <w:t>n</w:t>
      </w:r>
      <w:r w:rsidRPr="00A26BDE">
        <w:rPr>
          <w:i/>
          <w:iCs/>
          <w:sz w:val="26"/>
          <w:szCs w:val="26"/>
        </w:rPr>
        <w:t xml:space="preserve">ational, </w:t>
      </w:r>
      <w:r w:rsidR="00A26BDE" w:rsidRPr="00A26BDE">
        <w:rPr>
          <w:i/>
          <w:iCs/>
          <w:sz w:val="26"/>
          <w:szCs w:val="26"/>
        </w:rPr>
        <w:t>p</w:t>
      </w:r>
      <w:r w:rsidRPr="00A26BDE">
        <w:rPr>
          <w:i/>
          <w:iCs/>
          <w:sz w:val="26"/>
          <w:szCs w:val="26"/>
        </w:rPr>
        <w:t xml:space="preserve">rovincial or </w:t>
      </w:r>
      <w:r w:rsidR="00A26BDE" w:rsidRPr="00A26BDE">
        <w:rPr>
          <w:i/>
          <w:iCs/>
          <w:sz w:val="26"/>
          <w:szCs w:val="26"/>
        </w:rPr>
        <w:t>l</w:t>
      </w:r>
      <w:r w:rsidRPr="00A26BDE">
        <w:rPr>
          <w:i/>
          <w:iCs/>
          <w:sz w:val="26"/>
          <w:szCs w:val="26"/>
        </w:rPr>
        <w:t xml:space="preserve">ocal sphere of </w:t>
      </w:r>
      <w:r w:rsidR="00A26BDE" w:rsidRPr="00A26BDE">
        <w:rPr>
          <w:i/>
          <w:iCs/>
          <w:sz w:val="26"/>
          <w:szCs w:val="26"/>
        </w:rPr>
        <w:t>g</w:t>
      </w:r>
      <w:r w:rsidRPr="00A26BDE">
        <w:rPr>
          <w:i/>
          <w:iCs/>
          <w:sz w:val="26"/>
          <w:szCs w:val="26"/>
        </w:rPr>
        <w:t xml:space="preserve">overnment, or any other institution identified in </w:t>
      </w:r>
      <w:r w:rsidR="00A26BDE" w:rsidRPr="00A26BDE">
        <w:rPr>
          <w:i/>
          <w:iCs/>
          <w:sz w:val="26"/>
          <w:szCs w:val="26"/>
        </w:rPr>
        <w:t>n</w:t>
      </w:r>
      <w:r w:rsidRPr="00A26BDE">
        <w:rPr>
          <w:i/>
          <w:iCs/>
          <w:sz w:val="26"/>
          <w:szCs w:val="26"/>
        </w:rPr>
        <w:t xml:space="preserve">ational </w:t>
      </w:r>
      <w:r w:rsidR="00A26BDE" w:rsidRPr="00A26BDE">
        <w:rPr>
          <w:i/>
          <w:iCs/>
          <w:sz w:val="26"/>
          <w:szCs w:val="26"/>
        </w:rPr>
        <w:t>l</w:t>
      </w:r>
      <w:r w:rsidRPr="00A26BDE">
        <w:rPr>
          <w:i/>
          <w:iCs/>
          <w:sz w:val="26"/>
          <w:szCs w:val="26"/>
        </w:rPr>
        <w:t>egislation, contracts for goods or services, it must do so in accordance with a system which is fair, equitable, transparent, competitive and cost-effective”</w:t>
      </w:r>
      <w:r w:rsidRPr="00A25A98">
        <w:rPr>
          <w:sz w:val="26"/>
          <w:szCs w:val="26"/>
        </w:rPr>
        <w:t>.</w:t>
      </w:r>
    </w:p>
    <w:p w:rsidR="00A25A98" w:rsidRPr="00172F97" w:rsidRDefault="00A25A98" w:rsidP="00172F97">
      <w:pPr>
        <w:spacing w:line="360" w:lineRule="auto"/>
        <w:jc w:val="both"/>
        <w:rPr>
          <w:sz w:val="26"/>
          <w:szCs w:val="26"/>
        </w:rPr>
      </w:pPr>
    </w:p>
    <w:p w:rsidR="00A25A98" w:rsidRDefault="00A25A98" w:rsidP="00A25A98">
      <w:pPr>
        <w:pStyle w:val="ListParagraph"/>
        <w:numPr>
          <w:ilvl w:val="0"/>
          <w:numId w:val="1"/>
        </w:numPr>
        <w:spacing w:line="360" w:lineRule="auto"/>
        <w:ind w:left="0" w:firstLine="142"/>
        <w:jc w:val="both"/>
        <w:rPr>
          <w:sz w:val="26"/>
          <w:szCs w:val="26"/>
        </w:rPr>
      </w:pPr>
      <w:r w:rsidRPr="00A25A98">
        <w:rPr>
          <w:sz w:val="26"/>
          <w:szCs w:val="26"/>
        </w:rPr>
        <w:t>Fairness in a procurement process is a value in it itself.</w:t>
      </w:r>
      <w:r w:rsidRPr="00A25A98">
        <w:rPr>
          <w:rStyle w:val="FootnoteReference"/>
          <w:sz w:val="26"/>
          <w:szCs w:val="26"/>
        </w:rPr>
        <w:footnoteReference w:id="1"/>
      </w:r>
      <w:r w:rsidRPr="00A25A98">
        <w:rPr>
          <w:sz w:val="26"/>
          <w:szCs w:val="26"/>
        </w:rPr>
        <w:t xml:space="preserve">  Section 6 of PAJA provides for judicial review of administrative action which is describe</w:t>
      </w:r>
      <w:r w:rsidR="00A26BDE">
        <w:rPr>
          <w:sz w:val="26"/>
          <w:szCs w:val="26"/>
        </w:rPr>
        <w:t>d</w:t>
      </w:r>
      <w:r w:rsidRPr="00A25A98">
        <w:rPr>
          <w:sz w:val="26"/>
          <w:szCs w:val="26"/>
        </w:rPr>
        <w:t xml:space="preserve"> in subsection (2) thereof. </w:t>
      </w:r>
    </w:p>
    <w:p w:rsidR="00784367" w:rsidRDefault="00784367" w:rsidP="00784367">
      <w:pPr>
        <w:pStyle w:val="ListParagraph"/>
        <w:spacing w:line="360" w:lineRule="auto"/>
        <w:ind w:left="142"/>
        <w:jc w:val="both"/>
        <w:rPr>
          <w:sz w:val="26"/>
          <w:szCs w:val="26"/>
        </w:rPr>
      </w:pPr>
    </w:p>
    <w:p w:rsidR="00A25A98" w:rsidRPr="00784367" w:rsidRDefault="00784367" w:rsidP="00784367">
      <w:pPr>
        <w:pStyle w:val="ListParagraph"/>
        <w:numPr>
          <w:ilvl w:val="0"/>
          <w:numId w:val="1"/>
        </w:numPr>
        <w:spacing w:line="360" w:lineRule="auto"/>
        <w:ind w:left="0" w:firstLine="142"/>
        <w:jc w:val="both"/>
        <w:rPr>
          <w:sz w:val="26"/>
          <w:szCs w:val="26"/>
        </w:rPr>
      </w:pPr>
      <w:r w:rsidRPr="00784367">
        <w:rPr>
          <w:sz w:val="26"/>
          <w:szCs w:val="26"/>
        </w:rPr>
        <w:lastRenderedPageBreak/>
        <w:t xml:space="preserve">It remains to be emphasised that </w:t>
      </w:r>
      <w:r w:rsidRPr="00784367">
        <w:rPr>
          <w:color w:val="242121"/>
          <w:sz w:val="26"/>
          <w:szCs w:val="26"/>
          <w:shd w:val="clear" w:color="auto" w:fill="FFFFFF"/>
        </w:rPr>
        <w:t>in applications for judicial review the court is not concerned with the merits of the impugned decision, but only with its legality. As a result, even if a decision might be set aside on review, that does not mean that a different result will follow when the matter concerned is reconsidered by the relevant functionary upon remittal.</w:t>
      </w:r>
      <w:r>
        <w:rPr>
          <w:rStyle w:val="FootnoteReference"/>
          <w:color w:val="242121"/>
          <w:sz w:val="26"/>
          <w:szCs w:val="26"/>
          <w:shd w:val="clear" w:color="auto" w:fill="FFFFFF"/>
        </w:rPr>
        <w:footnoteReference w:id="2"/>
      </w:r>
    </w:p>
    <w:p w:rsidR="00422144" w:rsidRDefault="00422144" w:rsidP="00422144">
      <w:pPr>
        <w:pStyle w:val="ListParagraph"/>
        <w:rPr>
          <w:sz w:val="26"/>
          <w:szCs w:val="26"/>
        </w:rPr>
      </w:pPr>
    </w:p>
    <w:p w:rsidR="00D224D5" w:rsidRPr="00172F97" w:rsidRDefault="00422144" w:rsidP="00172F97">
      <w:pPr>
        <w:pStyle w:val="ListParagraph"/>
        <w:numPr>
          <w:ilvl w:val="0"/>
          <w:numId w:val="5"/>
        </w:numPr>
        <w:spacing w:line="360" w:lineRule="auto"/>
        <w:rPr>
          <w:b/>
          <w:sz w:val="26"/>
          <w:szCs w:val="26"/>
          <w:u w:val="single"/>
        </w:rPr>
      </w:pPr>
      <w:r>
        <w:rPr>
          <w:b/>
          <w:sz w:val="26"/>
          <w:szCs w:val="26"/>
          <w:u w:val="single"/>
        </w:rPr>
        <w:t>DISCUSSION</w:t>
      </w:r>
    </w:p>
    <w:p w:rsidR="004A4F1B" w:rsidRDefault="004A4F1B" w:rsidP="004A4F1B">
      <w:pPr>
        <w:pStyle w:val="ListParagraph"/>
        <w:numPr>
          <w:ilvl w:val="0"/>
          <w:numId w:val="1"/>
        </w:numPr>
        <w:spacing w:line="360" w:lineRule="auto"/>
        <w:ind w:left="0" w:firstLine="142"/>
        <w:jc w:val="both"/>
        <w:rPr>
          <w:sz w:val="26"/>
          <w:szCs w:val="26"/>
        </w:rPr>
      </w:pPr>
      <w:r>
        <w:rPr>
          <w:sz w:val="26"/>
          <w:szCs w:val="26"/>
        </w:rPr>
        <w:t xml:space="preserve">It is convenient to begin with the over-arching approach of the applicant in this application, </w:t>
      </w:r>
      <w:r w:rsidR="00803FCA">
        <w:rPr>
          <w:sz w:val="26"/>
          <w:szCs w:val="26"/>
        </w:rPr>
        <w:t>concerni</w:t>
      </w:r>
      <w:r>
        <w:rPr>
          <w:sz w:val="26"/>
          <w:szCs w:val="26"/>
        </w:rPr>
        <w:t>ng the powers of the first respondent when considering an appeal of the kind that is at issue in these proceedings. It is argued that her powers are limited to either confirming, varying o</w:t>
      </w:r>
      <w:r w:rsidR="00803FCA">
        <w:rPr>
          <w:sz w:val="26"/>
          <w:szCs w:val="26"/>
        </w:rPr>
        <w:t>r</w:t>
      </w:r>
      <w:r>
        <w:rPr>
          <w:sz w:val="26"/>
          <w:szCs w:val="26"/>
        </w:rPr>
        <w:t xml:space="preserve"> revoking the decisions of the Municipal Tribunal and/or authorised employee. The effect is that the first respondent, it is argued, was precluded from enquiring into the validity of </w:t>
      </w:r>
      <w:r w:rsidR="00172F97">
        <w:rPr>
          <w:sz w:val="26"/>
          <w:szCs w:val="26"/>
        </w:rPr>
        <w:t xml:space="preserve">the </w:t>
      </w:r>
      <w:r>
        <w:rPr>
          <w:sz w:val="26"/>
          <w:szCs w:val="26"/>
        </w:rPr>
        <w:t>consent document and</w:t>
      </w:r>
      <w:r w:rsidR="00E83314">
        <w:rPr>
          <w:sz w:val="26"/>
          <w:szCs w:val="26"/>
        </w:rPr>
        <w:t xml:space="preserve"> the</w:t>
      </w:r>
      <w:r>
        <w:rPr>
          <w:sz w:val="26"/>
          <w:szCs w:val="26"/>
        </w:rPr>
        <w:t xml:space="preserve"> </w:t>
      </w:r>
      <w:r w:rsidR="00E83314">
        <w:rPr>
          <w:sz w:val="26"/>
          <w:szCs w:val="26"/>
        </w:rPr>
        <w:t>issues of mandate raised by the complainants in the appeal</w:t>
      </w:r>
      <w:r>
        <w:rPr>
          <w:sz w:val="26"/>
          <w:szCs w:val="26"/>
        </w:rPr>
        <w:t>.</w:t>
      </w:r>
    </w:p>
    <w:p w:rsidR="004A4F1B" w:rsidRDefault="004A4F1B" w:rsidP="004A4F1B">
      <w:pPr>
        <w:pStyle w:val="ListParagraph"/>
        <w:spacing w:line="360" w:lineRule="auto"/>
        <w:ind w:left="142"/>
        <w:jc w:val="both"/>
        <w:rPr>
          <w:sz w:val="26"/>
          <w:szCs w:val="26"/>
        </w:rPr>
      </w:pPr>
    </w:p>
    <w:p w:rsidR="00E83314" w:rsidRPr="000B7851" w:rsidRDefault="004A4F1B" w:rsidP="00E83314">
      <w:pPr>
        <w:pStyle w:val="ListParagraph"/>
        <w:numPr>
          <w:ilvl w:val="0"/>
          <w:numId w:val="1"/>
        </w:numPr>
        <w:spacing w:line="360" w:lineRule="auto"/>
        <w:ind w:left="0" w:firstLine="142"/>
        <w:jc w:val="both"/>
        <w:rPr>
          <w:color w:val="000000" w:themeColor="text1"/>
          <w:sz w:val="26"/>
          <w:szCs w:val="26"/>
        </w:rPr>
      </w:pPr>
      <w:r w:rsidRPr="000B7851">
        <w:rPr>
          <w:color w:val="000000" w:themeColor="text1"/>
          <w:sz w:val="26"/>
          <w:szCs w:val="26"/>
        </w:rPr>
        <w:t>I do not agree with the applicant</w:t>
      </w:r>
      <w:r w:rsidR="00E83314" w:rsidRPr="000B7851">
        <w:rPr>
          <w:color w:val="000000" w:themeColor="text1"/>
          <w:sz w:val="26"/>
          <w:szCs w:val="26"/>
        </w:rPr>
        <w:t>.</w:t>
      </w:r>
      <w:r w:rsidRPr="000B7851">
        <w:rPr>
          <w:color w:val="000000" w:themeColor="text1"/>
          <w:sz w:val="26"/>
          <w:szCs w:val="26"/>
        </w:rPr>
        <w:t xml:space="preserve"> It is clear from the provisions of the By-Law that </w:t>
      </w:r>
      <w:r w:rsidR="00E83314" w:rsidRPr="000B7851">
        <w:rPr>
          <w:color w:val="000000" w:themeColor="text1"/>
          <w:sz w:val="26"/>
          <w:szCs w:val="26"/>
        </w:rPr>
        <w:t>t</w:t>
      </w:r>
      <w:r w:rsidRPr="000B7851">
        <w:rPr>
          <w:color w:val="000000" w:themeColor="text1"/>
          <w:sz w:val="26"/>
          <w:szCs w:val="26"/>
        </w:rPr>
        <w:t>he powers</w:t>
      </w:r>
      <w:r w:rsidR="00E83314" w:rsidRPr="000B7851">
        <w:rPr>
          <w:color w:val="000000" w:themeColor="text1"/>
          <w:sz w:val="26"/>
          <w:szCs w:val="26"/>
        </w:rPr>
        <w:t xml:space="preserve"> granted to an appeal authority</w:t>
      </w:r>
      <w:r w:rsidRPr="000B7851">
        <w:rPr>
          <w:color w:val="000000" w:themeColor="text1"/>
          <w:sz w:val="26"/>
          <w:szCs w:val="26"/>
        </w:rPr>
        <w:t xml:space="preserve"> are wide</w:t>
      </w:r>
      <w:r w:rsidR="00E83314" w:rsidRPr="000B7851">
        <w:rPr>
          <w:color w:val="000000" w:themeColor="text1"/>
          <w:sz w:val="26"/>
          <w:szCs w:val="26"/>
        </w:rPr>
        <w:t>,</w:t>
      </w:r>
      <w:r w:rsidRPr="000B7851">
        <w:rPr>
          <w:color w:val="000000" w:themeColor="text1"/>
          <w:sz w:val="26"/>
          <w:szCs w:val="26"/>
        </w:rPr>
        <w:t xml:space="preserve"> in the sense contemplated </w:t>
      </w:r>
      <w:r w:rsidR="00E83314" w:rsidRPr="000B7851">
        <w:rPr>
          <w:color w:val="000000" w:themeColor="text1"/>
          <w:sz w:val="26"/>
          <w:szCs w:val="26"/>
        </w:rPr>
        <w:t>in</w:t>
      </w:r>
      <w:r w:rsidRPr="000B7851">
        <w:rPr>
          <w:color w:val="000000" w:themeColor="text1"/>
          <w:sz w:val="26"/>
          <w:szCs w:val="26"/>
        </w:rPr>
        <w:t xml:space="preserve"> </w:t>
      </w:r>
      <w:r w:rsidRPr="000B7851">
        <w:rPr>
          <w:bCs/>
          <w:i/>
          <w:iCs/>
          <w:color w:val="000000" w:themeColor="text1"/>
          <w:sz w:val="26"/>
          <w:szCs w:val="26"/>
        </w:rPr>
        <w:t>Tikly</w:t>
      </w:r>
      <w:r w:rsidR="00E83314" w:rsidRPr="000B7851">
        <w:rPr>
          <w:bCs/>
          <w:i/>
          <w:iCs/>
          <w:color w:val="000000" w:themeColor="text1"/>
          <w:sz w:val="26"/>
          <w:szCs w:val="26"/>
        </w:rPr>
        <w:t xml:space="preserve"> </w:t>
      </w:r>
      <w:r w:rsidR="00E83314" w:rsidRPr="000B7851">
        <w:rPr>
          <w:i/>
          <w:iCs/>
          <w:color w:val="000000" w:themeColor="text1"/>
          <w:sz w:val="26"/>
          <w:szCs w:val="26"/>
          <w:shd w:val="clear" w:color="auto" w:fill="FFFFFF"/>
          <w:lang w:val="en-US"/>
        </w:rPr>
        <w:t>&amp; Others v Johannes NO &amp; Others </w:t>
      </w:r>
      <w:r w:rsidR="00E83314" w:rsidRPr="000B7851">
        <w:rPr>
          <w:rStyle w:val="FootnoteReference"/>
          <w:bCs/>
          <w:color w:val="000000" w:themeColor="text1"/>
          <w:sz w:val="26"/>
          <w:szCs w:val="26"/>
        </w:rPr>
        <w:footnoteReference w:id="3"/>
      </w:r>
      <w:r w:rsidR="00E83314" w:rsidRPr="000B7851">
        <w:rPr>
          <w:bCs/>
          <w:color w:val="000000" w:themeColor="text1"/>
          <w:sz w:val="26"/>
          <w:szCs w:val="26"/>
        </w:rPr>
        <w:t xml:space="preserve">, permitting a </w:t>
      </w:r>
      <w:r w:rsidR="00E83314" w:rsidRPr="000B7851">
        <w:rPr>
          <w:color w:val="000000" w:themeColor="text1"/>
          <w:sz w:val="26"/>
          <w:szCs w:val="26"/>
          <w:shd w:val="clear" w:color="auto" w:fill="FFFFFF"/>
        </w:rPr>
        <w:t>complete re-hearing of, and fresh determination on the merits of the matter with or without additional evidence or information.</w:t>
      </w:r>
    </w:p>
    <w:p w:rsidR="00E83314" w:rsidRPr="00E83314" w:rsidRDefault="00E83314" w:rsidP="00E83314">
      <w:pPr>
        <w:pStyle w:val="ListParagraph"/>
        <w:rPr>
          <w:b/>
          <w:sz w:val="26"/>
          <w:szCs w:val="26"/>
        </w:rPr>
      </w:pPr>
    </w:p>
    <w:p w:rsidR="000B7851" w:rsidRDefault="00E83314" w:rsidP="004A4F1B">
      <w:pPr>
        <w:pStyle w:val="ListParagraph"/>
        <w:numPr>
          <w:ilvl w:val="0"/>
          <w:numId w:val="1"/>
        </w:numPr>
        <w:spacing w:line="360" w:lineRule="auto"/>
        <w:ind w:left="0" w:firstLine="142"/>
        <w:jc w:val="both"/>
        <w:rPr>
          <w:sz w:val="26"/>
          <w:szCs w:val="26"/>
        </w:rPr>
      </w:pPr>
      <w:r>
        <w:rPr>
          <w:b/>
          <w:sz w:val="26"/>
          <w:szCs w:val="26"/>
        </w:rPr>
        <w:t xml:space="preserve"> </w:t>
      </w:r>
      <w:r>
        <w:rPr>
          <w:sz w:val="26"/>
          <w:szCs w:val="26"/>
        </w:rPr>
        <w:t>F</w:t>
      </w:r>
      <w:r w:rsidR="004A4F1B">
        <w:rPr>
          <w:sz w:val="26"/>
          <w:szCs w:val="26"/>
        </w:rPr>
        <w:t xml:space="preserve">or a start, </w:t>
      </w:r>
      <w:r w:rsidR="000B7851">
        <w:rPr>
          <w:sz w:val="26"/>
          <w:szCs w:val="26"/>
        </w:rPr>
        <w:t>section 79(5)(a) requires an</w:t>
      </w:r>
      <w:r w:rsidR="004A4F1B">
        <w:rPr>
          <w:sz w:val="26"/>
          <w:szCs w:val="26"/>
        </w:rPr>
        <w:t xml:space="preserve"> </w:t>
      </w:r>
      <w:r w:rsidR="000B7851">
        <w:rPr>
          <w:sz w:val="26"/>
          <w:szCs w:val="26"/>
        </w:rPr>
        <w:t>a</w:t>
      </w:r>
      <w:r w:rsidR="004A4F1B">
        <w:rPr>
          <w:sz w:val="26"/>
          <w:szCs w:val="26"/>
        </w:rPr>
        <w:t xml:space="preserve">ppeal </w:t>
      </w:r>
      <w:r w:rsidR="000B7851">
        <w:rPr>
          <w:sz w:val="26"/>
          <w:szCs w:val="26"/>
        </w:rPr>
        <w:t>a</w:t>
      </w:r>
      <w:r w:rsidR="004A4F1B">
        <w:rPr>
          <w:sz w:val="26"/>
          <w:szCs w:val="26"/>
        </w:rPr>
        <w:t>uthority to have regard to the provisions of section 65(1)</w:t>
      </w:r>
      <w:r w:rsidR="000B7851">
        <w:rPr>
          <w:sz w:val="26"/>
          <w:szCs w:val="26"/>
        </w:rPr>
        <w:t>.</w:t>
      </w:r>
      <w:r w:rsidR="004A4F1B">
        <w:rPr>
          <w:sz w:val="26"/>
          <w:szCs w:val="26"/>
        </w:rPr>
        <w:t xml:space="preserve"> Section 65(1) contains the criteria that a Municipa</w:t>
      </w:r>
      <w:r w:rsidR="000B7851">
        <w:rPr>
          <w:sz w:val="26"/>
          <w:szCs w:val="26"/>
        </w:rPr>
        <w:t xml:space="preserve">l Tribunal </w:t>
      </w:r>
      <w:r w:rsidR="004A4F1B">
        <w:rPr>
          <w:sz w:val="26"/>
          <w:szCs w:val="26"/>
        </w:rPr>
        <w:t xml:space="preserve">must have regard to when considering an application of the nature concerned in this matter.  In other words, the </w:t>
      </w:r>
      <w:r w:rsidR="000B7851">
        <w:rPr>
          <w:sz w:val="26"/>
          <w:szCs w:val="26"/>
        </w:rPr>
        <w:t>a</w:t>
      </w:r>
      <w:r w:rsidR="004A4F1B">
        <w:rPr>
          <w:sz w:val="26"/>
          <w:szCs w:val="26"/>
        </w:rPr>
        <w:t xml:space="preserve">ppeal </w:t>
      </w:r>
      <w:r w:rsidR="000B7851">
        <w:rPr>
          <w:sz w:val="26"/>
          <w:szCs w:val="26"/>
        </w:rPr>
        <w:t>a</w:t>
      </w:r>
      <w:r w:rsidR="004A4F1B">
        <w:rPr>
          <w:sz w:val="26"/>
          <w:szCs w:val="26"/>
        </w:rPr>
        <w:t xml:space="preserve">uthority is again required to have regard to the requirements that the second respondent was required to have regard to in its decision of the application.  </w:t>
      </w:r>
    </w:p>
    <w:p w:rsidR="000B7851" w:rsidRPr="000B7851" w:rsidRDefault="000B7851" w:rsidP="000B7851">
      <w:pPr>
        <w:pStyle w:val="ListParagraph"/>
        <w:rPr>
          <w:sz w:val="26"/>
          <w:szCs w:val="26"/>
        </w:rPr>
      </w:pPr>
    </w:p>
    <w:p w:rsidR="004A4F1B" w:rsidRDefault="004A4F1B" w:rsidP="004A4F1B">
      <w:pPr>
        <w:pStyle w:val="ListParagraph"/>
        <w:numPr>
          <w:ilvl w:val="0"/>
          <w:numId w:val="1"/>
        </w:numPr>
        <w:spacing w:line="360" w:lineRule="auto"/>
        <w:ind w:left="0" w:firstLine="142"/>
        <w:jc w:val="both"/>
        <w:rPr>
          <w:sz w:val="26"/>
          <w:szCs w:val="26"/>
        </w:rPr>
      </w:pPr>
      <w:r>
        <w:rPr>
          <w:sz w:val="26"/>
          <w:szCs w:val="26"/>
        </w:rPr>
        <w:t xml:space="preserve">Then, in terms of section 80(2)(g) an appeal must set out </w:t>
      </w:r>
      <w:r w:rsidRPr="000B7851">
        <w:rPr>
          <w:i/>
          <w:iCs/>
          <w:sz w:val="26"/>
          <w:szCs w:val="26"/>
        </w:rPr>
        <w:t>“</w:t>
      </w:r>
      <w:r w:rsidRPr="000B7851">
        <w:rPr>
          <w:i/>
          <w:iCs/>
          <w:sz w:val="26"/>
          <w:szCs w:val="26"/>
          <w:u w:val="single"/>
        </w:rPr>
        <w:t>any issue</w:t>
      </w:r>
      <w:r w:rsidRPr="000B7851">
        <w:rPr>
          <w:i/>
          <w:iCs/>
          <w:sz w:val="26"/>
          <w:szCs w:val="26"/>
        </w:rPr>
        <w:t xml:space="preserve"> that the appellant wishes the </w:t>
      </w:r>
      <w:r w:rsidR="000B7851">
        <w:rPr>
          <w:i/>
          <w:iCs/>
          <w:sz w:val="26"/>
          <w:szCs w:val="26"/>
        </w:rPr>
        <w:t>A</w:t>
      </w:r>
      <w:r w:rsidRPr="000B7851">
        <w:rPr>
          <w:i/>
          <w:iCs/>
          <w:sz w:val="26"/>
          <w:szCs w:val="26"/>
        </w:rPr>
        <w:t xml:space="preserve">ppeal </w:t>
      </w:r>
      <w:r w:rsidR="000B7851">
        <w:rPr>
          <w:i/>
          <w:iCs/>
          <w:sz w:val="26"/>
          <w:szCs w:val="26"/>
        </w:rPr>
        <w:t>A</w:t>
      </w:r>
      <w:r w:rsidRPr="000B7851">
        <w:rPr>
          <w:i/>
          <w:iCs/>
          <w:sz w:val="26"/>
          <w:szCs w:val="26"/>
        </w:rPr>
        <w:t>uthority to consider in making its decision”</w:t>
      </w:r>
      <w:r>
        <w:rPr>
          <w:sz w:val="26"/>
          <w:szCs w:val="26"/>
        </w:rPr>
        <w:t xml:space="preserve">.  This is </w:t>
      </w:r>
      <w:r w:rsidR="000B7851">
        <w:rPr>
          <w:sz w:val="26"/>
          <w:szCs w:val="26"/>
        </w:rPr>
        <w:t>i</w:t>
      </w:r>
      <w:r>
        <w:rPr>
          <w:sz w:val="26"/>
          <w:szCs w:val="26"/>
        </w:rPr>
        <w:t>n addition to sub-paragraph</w:t>
      </w:r>
      <w:r w:rsidR="000B7851">
        <w:rPr>
          <w:sz w:val="26"/>
          <w:szCs w:val="26"/>
        </w:rPr>
        <w:t>s</w:t>
      </w:r>
      <w:r>
        <w:rPr>
          <w:sz w:val="26"/>
          <w:szCs w:val="26"/>
        </w:rPr>
        <w:t xml:space="preserve"> (c) and (d) in terms of which an appellant is required to set out which parts of the decision or approval they seek to appeal against.  In other words, an appellant may raise any new issue that was not before the </w:t>
      </w:r>
      <w:r w:rsidR="000B7851">
        <w:rPr>
          <w:sz w:val="26"/>
          <w:szCs w:val="26"/>
        </w:rPr>
        <w:t>Municipal Tribunal</w:t>
      </w:r>
      <w:r>
        <w:rPr>
          <w:sz w:val="26"/>
          <w:szCs w:val="26"/>
        </w:rPr>
        <w:t xml:space="preserve">.  In passing, I observe that in the appeal proceedings before the </w:t>
      </w:r>
      <w:r w:rsidR="000B7851">
        <w:rPr>
          <w:sz w:val="26"/>
          <w:szCs w:val="26"/>
        </w:rPr>
        <w:t>a</w:t>
      </w:r>
      <w:r>
        <w:rPr>
          <w:sz w:val="26"/>
          <w:szCs w:val="26"/>
        </w:rPr>
        <w:t xml:space="preserve">ppeal </w:t>
      </w:r>
      <w:r w:rsidR="000B7851">
        <w:rPr>
          <w:sz w:val="26"/>
          <w:szCs w:val="26"/>
        </w:rPr>
        <w:t>a</w:t>
      </w:r>
      <w:r>
        <w:rPr>
          <w:sz w:val="26"/>
          <w:szCs w:val="26"/>
        </w:rPr>
        <w:t xml:space="preserve">uthority, the </w:t>
      </w:r>
      <w:r w:rsidR="000B7851">
        <w:rPr>
          <w:sz w:val="26"/>
          <w:szCs w:val="26"/>
        </w:rPr>
        <w:t>applicant</w:t>
      </w:r>
      <w:r>
        <w:rPr>
          <w:sz w:val="26"/>
          <w:szCs w:val="26"/>
        </w:rPr>
        <w:t xml:space="preserve"> mounted an argument that </w:t>
      </w:r>
      <w:r w:rsidR="00803FCA">
        <w:rPr>
          <w:sz w:val="26"/>
          <w:szCs w:val="26"/>
        </w:rPr>
        <w:t>t</w:t>
      </w:r>
      <w:r>
        <w:rPr>
          <w:sz w:val="26"/>
          <w:szCs w:val="26"/>
        </w:rPr>
        <w:t>he</w:t>
      </w:r>
      <w:r w:rsidR="00803FCA">
        <w:rPr>
          <w:sz w:val="26"/>
          <w:szCs w:val="26"/>
        </w:rPr>
        <w:t xml:space="preserve"> appeal authority</w:t>
      </w:r>
      <w:r>
        <w:rPr>
          <w:sz w:val="26"/>
          <w:szCs w:val="26"/>
        </w:rPr>
        <w:t xml:space="preserve"> was limited </w:t>
      </w:r>
      <w:r w:rsidR="00803FCA">
        <w:rPr>
          <w:sz w:val="26"/>
          <w:szCs w:val="26"/>
        </w:rPr>
        <w:t xml:space="preserve">to only </w:t>
      </w:r>
      <w:r>
        <w:rPr>
          <w:sz w:val="26"/>
          <w:szCs w:val="26"/>
        </w:rPr>
        <w:t>consider grounds of appeal which are described in section 80(2)(a)(i) and (ii)</w:t>
      </w:r>
      <w:r w:rsidR="000B7851">
        <w:rPr>
          <w:sz w:val="26"/>
          <w:szCs w:val="26"/>
        </w:rPr>
        <w:t>.  T</w:t>
      </w:r>
      <w:r>
        <w:rPr>
          <w:sz w:val="26"/>
          <w:szCs w:val="26"/>
        </w:rPr>
        <w:t xml:space="preserve">his is clearly contrary to the express wording of the provisions, which states that a ground of appeal </w:t>
      </w:r>
      <w:r w:rsidRPr="000B7851">
        <w:rPr>
          <w:i/>
          <w:iCs/>
          <w:sz w:val="26"/>
          <w:szCs w:val="26"/>
        </w:rPr>
        <w:t>“may include”</w:t>
      </w:r>
      <w:r>
        <w:rPr>
          <w:sz w:val="26"/>
          <w:szCs w:val="26"/>
        </w:rPr>
        <w:t xml:space="preserve"> those grounds.  An appeal is </w:t>
      </w:r>
      <w:r w:rsidR="00803FCA">
        <w:rPr>
          <w:sz w:val="26"/>
          <w:szCs w:val="26"/>
        </w:rPr>
        <w:t xml:space="preserve">therefore </w:t>
      </w:r>
      <w:r>
        <w:rPr>
          <w:sz w:val="26"/>
          <w:szCs w:val="26"/>
        </w:rPr>
        <w:t>not limited to the grounds stated in section 80(2)(a)(i) and (ii).</w:t>
      </w:r>
    </w:p>
    <w:p w:rsidR="004A4F1B" w:rsidRDefault="004A4F1B" w:rsidP="004A4F1B">
      <w:pPr>
        <w:pStyle w:val="ListParagraph"/>
        <w:spacing w:line="360" w:lineRule="auto"/>
        <w:ind w:left="142"/>
        <w:jc w:val="both"/>
        <w:rPr>
          <w:sz w:val="26"/>
          <w:szCs w:val="26"/>
        </w:rPr>
      </w:pPr>
    </w:p>
    <w:p w:rsidR="000B7851" w:rsidRDefault="004A4F1B" w:rsidP="004A4F1B">
      <w:pPr>
        <w:pStyle w:val="ListParagraph"/>
        <w:numPr>
          <w:ilvl w:val="0"/>
          <w:numId w:val="1"/>
        </w:numPr>
        <w:spacing w:line="360" w:lineRule="auto"/>
        <w:ind w:left="0" w:firstLine="142"/>
        <w:jc w:val="both"/>
        <w:rPr>
          <w:sz w:val="26"/>
          <w:szCs w:val="26"/>
        </w:rPr>
      </w:pPr>
      <w:r>
        <w:rPr>
          <w:sz w:val="26"/>
          <w:szCs w:val="26"/>
        </w:rPr>
        <w:t xml:space="preserve">Another indication of the wide powers of the </w:t>
      </w:r>
      <w:r w:rsidR="000B7851">
        <w:rPr>
          <w:sz w:val="26"/>
          <w:szCs w:val="26"/>
        </w:rPr>
        <w:t>a</w:t>
      </w:r>
      <w:r>
        <w:rPr>
          <w:sz w:val="26"/>
          <w:szCs w:val="26"/>
        </w:rPr>
        <w:t xml:space="preserve">ppeal </w:t>
      </w:r>
      <w:r w:rsidR="000B7851">
        <w:rPr>
          <w:sz w:val="26"/>
          <w:szCs w:val="26"/>
        </w:rPr>
        <w:t>a</w:t>
      </w:r>
      <w:r>
        <w:rPr>
          <w:sz w:val="26"/>
          <w:szCs w:val="26"/>
        </w:rPr>
        <w:t xml:space="preserve">uthority </w:t>
      </w:r>
      <w:r w:rsidR="00803FCA">
        <w:rPr>
          <w:sz w:val="26"/>
          <w:szCs w:val="26"/>
        </w:rPr>
        <w:t>is</w:t>
      </w:r>
      <w:r>
        <w:rPr>
          <w:sz w:val="26"/>
          <w:szCs w:val="26"/>
        </w:rPr>
        <w:t xml:space="preserve"> </w:t>
      </w:r>
      <w:r w:rsidR="000B7851">
        <w:rPr>
          <w:sz w:val="26"/>
          <w:szCs w:val="26"/>
        </w:rPr>
        <w:t xml:space="preserve">contained </w:t>
      </w:r>
      <w:r>
        <w:rPr>
          <w:sz w:val="26"/>
          <w:szCs w:val="26"/>
        </w:rPr>
        <w:t xml:space="preserve">in section 81 of the By-Law in terms of which she may consider </w:t>
      </w:r>
      <w:r w:rsidR="00803FCA">
        <w:rPr>
          <w:sz w:val="26"/>
          <w:szCs w:val="26"/>
        </w:rPr>
        <w:t>an</w:t>
      </w:r>
      <w:r>
        <w:rPr>
          <w:sz w:val="26"/>
          <w:szCs w:val="26"/>
        </w:rPr>
        <w:t xml:space="preserve"> appeal by means of the consideration of written documents or an oral hearing.  In terms of section 81(3) an oral hearing may be held </w:t>
      </w:r>
      <w:r w:rsidR="000B7851">
        <w:rPr>
          <w:sz w:val="26"/>
          <w:szCs w:val="26"/>
        </w:rPr>
        <w:t>“</w:t>
      </w:r>
      <w:r w:rsidRPr="000B7851">
        <w:rPr>
          <w:i/>
          <w:iCs/>
          <w:sz w:val="26"/>
          <w:szCs w:val="26"/>
        </w:rPr>
        <w:t xml:space="preserve">if it appears to the </w:t>
      </w:r>
      <w:r w:rsidR="000B7851" w:rsidRPr="000B7851">
        <w:rPr>
          <w:i/>
          <w:iCs/>
          <w:sz w:val="26"/>
          <w:szCs w:val="26"/>
        </w:rPr>
        <w:t>a</w:t>
      </w:r>
      <w:r w:rsidRPr="000B7851">
        <w:rPr>
          <w:i/>
          <w:iCs/>
          <w:sz w:val="26"/>
          <w:szCs w:val="26"/>
        </w:rPr>
        <w:t xml:space="preserve">ppeal </w:t>
      </w:r>
      <w:r w:rsidR="000B7851" w:rsidRPr="000B7851">
        <w:rPr>
          <w:i/>
          <w:iCs/>
          <w:sz w:val="26"/>
          <w:szCs w:val="26"/>
        </w:rPr>
        <w:t>a</w:t>
      </w:r>
      <w:r w:rsidRPr="000B7851">
        <w:rPr>
          <w:i/>
          <w:iCs/>
          <w:sz w:val="26"/>
          <w:szCs w:val="26"/>
        </w:rPr>
        <w:t>uthority that the issues for determination of the appeal cannot be adequately determined in the absence of the parties by considering the documents or other material lodge</w:t>
      </w:r>
      <w:r w:rsidR="000B7851" w:rsidRPr="000B7851">
        <w:rPr>
          <w:i/>
          <w:iCs/>
          <w:sz w:val="26"/>
          <w:szCs w:val="26"/>
        </w:rPr>
        <w:t>d</w:t>
      </w:r>
      <w:r w:rsidRPr="000B7851">
        <w:rPr>
          <w:i/>
          <w:iCs/>
          <w:sz w:val="26"/>
          <w:szCs w:val="26"/>
        </w:rPr>
        <w:t xml:space="preserve"> with or provided to it</w:t>
      </w:r>
      <w:r w:rsidR="000B7851" w:rsidRPr="000B7851">
        <w:rPr>
          <w:i/>
          <w:iCs/>
          <w:sz w:val="26"/>
          <w:szCs w:val="26"/>
        </w:rPr>
        <w:t>”</w:t>
      </w:r>
      <w:r>
        <w:rPr>
          <w:sz w:val="26"/>
          <w:szCs w:val="26"/>
        </w:rPr>
        <w:t xml:space="preserve">.  The implication here is that there might be </w:t>
      </w:r>
      <w:r w:rsidR="000B7851">
        <w:rPr>
          <w:sz w:val="26"/>
          <w:szCs w:val="26"/>
        </w:rPr>
        <w:t>matter</w:t>
      </w:r>
      <w:r>
        <w:rPr>
          <w:sz w:val="26"/>
          <w:szCs w:val="26"/>
        </w:rPr>
        <w:t xml:space="preserve"> which is which not clear from the written documents or material lodge</w:t>
      </w:r>
      <w:r w:rsidR="000B7851">
        <w:rPr>
          <w:sz w:val="26"/>
          <w:szCs w:val="26"/>
        </w:rPr>
        <w:t>d</w:t>
      </w:r>
      <w:r>
        <w:rPr>
          <w:sz w:val="26"/>
          <w:szCs w:val="26"/>
        </w:rPr>
        <w:t xml:space="preserve"> with or provided to the </w:t>
      </w:r>
      <w:r w:rsidR="000B7851">
        <w:rPr>
          <w:sz w:val="26"/>
          <w:szCs w:val="26"/>
        </w:rPr>
        <w:t>a</w:t>
      </w:r>
      <w:r>
        <w:rPr>
          <w:sz w:val="26"/>
          <w:szCs w:val="26"/>
        </w:rPr>
        <w:t xml:space="preserve">ppeal </w:t>
      </w:r>
      <w:r w:rsidR="000B7851">
        <w:rPr>
          <w:sz w:val="26"/>
          <w:szCs w:val="26"/>
        </w:rPr>
        <w:t>a</w:t>
      </w:r>
      <w:r>
        <w:rPr>
          <w:sz w:val="26"/>
          <w:szCs w:val="26"/>
        </w:rPr>
        <w:t>uthority, and in respect of which she might need additional oral representations</w:t>
      </w:r>
      <w:r w:rsidR="000B7851">
        <w:rPr>
          <w:sz w:val="26"/>
          <w:szCs w:val="26"/>
        </w:rPr>
        <w:t>, which were not before the Municipal Tribunal</w:t>
      </w:r>
      <w:r>
        <w:rPr>
          <w:sz w:val="26"/>
          <w:szCs w:val="26"/>
        </w:rPr>
        <w:t xml:space="preserve">.  </w:t>
      </w:r>
    </w:p>
    <w:p w:rsidR="000B7851" w:rsidRPr="000B7851" w:rsidRDefault="000B7851" w:rsidP="000B7851">
      <w:pPr>
        <w:pStyle w:val="ListParagraph"/>
        <w:rPr>
          <w:sz w:val="26"/>
          <w:szCs w:val="26"/>
        </w:rPr>
      </w:pPr>
    </w:p>
    <w:p w:rsidR="00BD4951" w:rsidRDefault="004A4F1B" w:rsidP="004A4F1B">
      <w:pPr>
        <w:pStyle w:val="ListParagraph"/>
        <w:numPr>
          <w:ilvl w:val="0"/>
          <w:numId w:val="1"/>
        </w:numPr>
        <w:spacing w:line="360" w:lineRule="auto"/>
        <w:ind w:left="0" w:firstLine="142"/>
        <w:jc w:val="both"/>
        <w:rPr>
          <w:sz w:val="26"/>
          <w:szCs w:val="26"/>
        </w:rPr>
      </w:pPr>
      <w:r>
        <w:rPr>
          <w:sz w:val="26"/>
          <w:szCs w:val="26"/>
        </w:rPr>
        <w:t xml:space="preserve">Furthermore, in terms of section 81(6) the </w:t>
      </w:r>
      <w:r w:rsidR="000B7851">
        <w:rPr>
          <w:sz w:val="26"/>
          <w:szCs w:val="26"/>
        </w:rPr>
        <w:t>a</w:t>
      </w:r>
      <w:r>
        <w:rPr>
          <w:sz w:val="26"/>
          <w:szCs w:val="26"/>
        </w:rPr>
        <w:t xml:space="preserve">ppeal </w:t>
      </w:r>
      <w:r w:rsidR="000B7851">
        <w:rPr>
          <w:sz w:val="26"/>
          <w:szCs w:val="26"/>
        </w:rPr>
        <w:t>a</w:t>
      </w:r>
      <w:r>
        <w:rPr>
          <w:sz w:val="26"/>
          <w:szCs w:val="26"/>
        </w:rPr>
        <w:t xml:space="preserve">uthority must ensure that every party to a proceeding </w:t>
      </w:r>
      <w:r w:rsidR="000B7851">
        <w:rPr>
          <w:sz w:val="26"/>
          <w:szCs w:val="26"/>
        </w:rPr>
        <w:t xml:space="preserve">before her </w:t>
      </w:r>
      <w:r>
        <w:rPr>
          <w:sz w:val="26"/>
          <w:szCs w:val="26"/>
        </w:rPr>
        <w:t xml:space="preserve">is given an opportunity to present his or her case, whether in writing or orally and, </w:t>
      </w:r>
      <w:r w:rsidRPr="00BD4951">
        <w:rPr>
          <w:i/>
          <w:iCs/>
          <w:sz w:val="26"/>
          <w:szCs w:val="26"/>
        </w:rPr>
        <w:t>“in particular</w:t>
      </w:r>
      <w:r w:rsidR="00BD4951" w:rsidRPr="00BD4951">
        <w:rPr>
          <w:i/>
          <w:iCs/>
          <w:sz w:val="26"/>
          <w:szCs w:val="26"/>
        </w:rPr>
        <w:t>,</w:t>
      </w:r>
      <w:r w:rsidRPr="00BD4951">
        <w:rPr>
          <w:i/>
          <w:iCs/>
          <w:sz w:val="26"/>
          <w:szCs w:val="26"/>
        </w:rPr>
        <w:t xml:space="preserve"> to inspect any documents to which the Appeal Authority proposes to have regard in reaching a decision in the proceeding and to make submissions to relation to those documents”</w:t>
      </w:r>
      <w:r>
        <w:rPr>
          <w:sz w:val="26"/>
          <w:szCs w:val="26"/>
        </w:rPr>
        <w:t xml:space="preserve">.  This anticipates that there may be documents in respect of which a party might not have already made submissions by the time the matter is before the </w:t>
      </w:r>
      <w:r w:rsidR="00BD4951">
        <w:rPr>
          <w:sz w:val="26"/>
          <w:szCs w:val="26"/>
        </w:rPr>
        <w:t>a</w:t>
      </w:r>
      <w:r>
        <w:rPr>
          <w:sz w:val="26"/>
          <w:szCs w:val="26"/>
        </w:rPr>
        <w:t xml:space="preserve">ppeal </w:t>
      </w:r>
      <w:r w:rsidR="00BD4951">
        <w:rPr>
          <w:sz w:val="26"/>
          <w:szCs w:val="26"/>
        </w:rPr>
        <w:t>a</w:t>
      </w:r>
      <w:r>
        <w:rPr>
          <w:sz w:val="26"/>
          <w:szCs w:val="26"/>
        </w:rPr>
        <w:t xml:space="preserve">uthority.  </w:t>
      </w:r>
    </w:p>
    <w:p w:rsidR="00BD4951" w:rsidRPr="00BD4951" w:rsidRDefault="00BD4951" w:rsidP="00BD4951">
      <w:pPr>
        <w:pStyle w:val="ListParagraph"/>
        <w:rPr>
          <w:sz w:val="26"/>
          <w:szCs w:val="26"/>
        </w:rPr>
      </w:pPr>
    </w:p>
    <w:p w:rsidR="006B5BFA" w:rsidRPr="004A4556" w:rsidRDefault="00BD4951" w:rsidP="004A4556">
      <w:pPr>
        <w:pStyle w:val="ListParagraph"/>
        <w:numPr>
          <w:ilvl w:val="0"/>
          <w:numId w:val="1"/>
        </w:numPr>
        <w:spacing w:line="360" w:lineRule="auto"/>
        <w:ind w:left="0" w:firstLine="142"/>
        <w:jc w:val="both"/>
        <w:rPr>
          <w:sz w:val="26"/>
          <w:szCs w:val="26"/>
        </w:rPr>
      </w:pPr>
      <w:r>
        <w:rPr>
          <w:sz w:val="26"/>
          <w:szCs w:val="26"/>
        </w:rPr>
        <w:t xml:space="preserve">All of this indicates that the powers of the appeal authority are wide enough to </w:t>
      </w:r>
      <w:r w:rsidR="004A4556">
        <w:rPr>
          <w:sz w:val="26"/>
          <w:szCs w:val="26"/>
        </w:rPr>
        <w:t xml:space="preserve">include </w:t>
      </w:r>
      <w:r>
        <w:rPr>
          <w:sz w:val="26"/>
          <w:szCs w:val="26"/>
        </w:rPr>
        <w:t>enquir</w:t>
      </w:r>
      <w:r w:rsidR="004A4556">
        <w:rPr>
          <w:sz w:val="26"/>
          <w:szCs w:val="26"/>
        </w:rPr>
        <w:t>y</w:t>
      </w:r>
      <w:r>
        <w:rPr>
          <w:sz w:val="26"/>
          <w:szCs w:val="26"/>
        </w:rPr>
        <w:t xml:space="preserve"> into </w:t>
      </w:r>
      <w:r w:rsidR="00C80A11">
        <w:rPr>
          <w:sz w:val="26"/>
          <w:szCs w:val="26"/>
        </w:rPr>
        <w:t xml:space="preserve">issues </w:t>
      </w:r>
      <w:r w:rsidR="00803FCA">
        <w:rPr>
          <w:sz w:val="26"/>
          <w:szCs w:val="26"/>
        </w:rPr>
        <w:t>not previously raised before the Municipal Tribunal, or issues not apparent from documents submitted to the appeal authority. T</w:t>
      </w:r>
      <w:r w:rsidRPr="00BD4951">
        <w:rPr>
          <w:sz w:val="26"/>
          <w:szCs w:val="26"/>
          <w:lang w:val="en-US"/>
        </w:rPr>
        <w:t>he facts of this case illustrate th</w:t>
      </w:r>
      <w:r w:rsidR="00172F97">
        <w:rPr>
          <w:sz w:val="26"/>
          <w:szCs w:val="26"/>
          <w:lang w:val="en-US"/>
        </w:rPr>
        <w:t>is</w:t>
      </w:r>
      <w:r w:rsidRPr="00BD4951">
        <w:rPr>
          <w:sz w:val="26"/>
          <w:szCs w:val="26"/>
          <w:lang w:val="en-US"/>
        </w:rPr>
        <w:t xml:space="preserve"> point</w:t>
      </w:r>
      <w:r w:rsidR="006B5BFA">
        <w:rPr>
          <w:sz w:val="26"/>
          <w:szCs w:val="26"/>
          <w:lang w:val="en-US"/>
        </w:rPr>
        <w:t>,</w:t>
      </w:r>
      <w:r w:rsidRPr="00BD4951">
        <w:rPr>
          <w:sz w:val="26"/>
          <w:szCs w:val="26"/>
          <w:lang w:val="en-US"/>
        </w:rPr>
        <w:t xml:space="preserve"> because the </w:t>
      </w:r>
      <w:r w:rsidR="00C80A11">
        <w:rPr>
          <w:sz w:val="26"/>
          <w:szCs w:val="26"/>
          <w:lang w:val="en-US"/>
        </w:rPr>
        <w:t xml:space="preserve">nature of the </w:t>
      </w:r>
      <w:r w:rsidRPr="00BD4951">
        <w:rPr>
          <w:sz w:val="26"/>
          <w:szCs w:val="26"/>
          <w:lang w:val="en-US"/>
        </w:rPr>
        <w:t xml:space="preserve">issues raised by the complainants in the appeal </w:t>
      </w:r>
      <w:r w:rsidR="00C80A11">
        <w:rPr>
          <w:sz w:val="26"/>
          <w:szCs w:val="26"/>
          <w:lang w:val="en-US"/>
        </w:rPr>
        <w:t>r</w:t>
      </w:r>
      <w:r w:rsidRPr="00BD4951">
        <w:rPr>
          <w:sz w:val="26"/>
          <w:szCs w:val="26"/>
          <w:lang w:val="en-US"/>
        </w:rPr>
        <w:t xml:space="preserve">equired further elaboration and documents </w:t>
      </w:r>
      <w:r w:rsidR="00C80A11">
        <w:rPr>
          <w:sz w:val="26"/>
          <w:szCs w:val="26"/>
          <w:lang w:val="en-US"/>
        </w:rPr>
        <w:t>w</w:t>
      </w:r>
      <w:r w:rsidRPr="00BD4951">
        <w:rPr>
          <w:sz w:val="26"/>
          <w:szCs w:val="26"/>
          <w:lang w:val="en-US"/>
        </w:rPr>
        <w:t xml:space="preserve">hich were not placed before the </w:t>
      </w:r>
      <w:r w:rsidR="00C80A11">
        <w:rPr>
          <w:sz w:val="26"/>
          <w:szCs w:val="26"/>
          <w:lang w:val="en-US"/>
        </w:rPr>
        <w:t>M</w:t>
      </w:r>
      <w:r w:rsidRPr="00BD4951">
        <w:rPr>
          <w:sz w:val="26"/>
          <w:szCs w:val="26"/>
          <w:lang w:val="en-US"/>
        </w:rPr>
        <w:t xml:space="preserve">unicipal </w:t>
      </w:r>
      <w:r w:rsidR="00C80A11">
        <w:rPr>
          <w:sz w:val="26"/>
          <w:szCs w:val="26"/>
          <w:lang w:val="en-US"/>
        </w:rPr>
        <w:t>T</w:t>
      </w:r>
      <w:r w:rsidRPr="00BD4951">
        <w:rPr>
          <w:sz w:val="26"/>
          <w:szCs w:val="26"/>
          <w:lang w:val="en-US"/>
        </w:rPr>
        <w:t>ribunal</w:t>
      </w:r>
      <w:r>
        <w:rPr>
          <w:sz w:val="26"/>
          <w:szCs w:val="26"/>
          <w:lang w:val="en-US"/>
        </w:rPr>
        <w:t xml:space="preserve">. </w:t>
      </w:r>
      <w:r w:rsidR="004A4556">
        <w:rPr>
          <w:sz w:val="26"/>
          <w:szCs w:val="26"/>
          <w:lang w:val="en-US"/>
        </w:rPr>
        <w:t xml:space="preserve">There </w:t>
      </w:r>
      <w:r w:rsidR="00803FCA">
        <w:rPr>
          <w:sz w:val="26"/>
          <w:szCs w:val="26"/>
          <w:lang w:val="en-US"/>
        </w:rPr>
        <w:t>is no</w:t>
      </w:r>
      <w:r w:rsidR="004A4556">
        <w:rPr>
          <w:sz w:val="26"/>
          <w:szCs w:val="26"/>
          <w:lang w:val="en-US"/>
        </w:rPr>
        <w:t xml:space="preserve"> basis </w:t>
      </w:r>
      <w:r w:rsidR="00803FCA">
        <w:rPr>
          <w:sz w:val="26"/>
          <w:szCs w:val="26"/>
          <w:lang w:val="en-US"/>
        </w:rPr>
        <w:t>apparent from</w:t>
      </w:r>
      <w:r w:rsidR="004A4556">
        <w:rPr>
          <w:sz w:val="26"/>
          <w:szCs w:val="26"/>
          <w:lang w:val="en-US"/>
        </w:rPr>
        <w:t xml:space="preserve"> the By-Law for the appeal authority refusing to engage with those issues on the basis that they were not before the Municipal Tribunal.</w:t>
      </w:r>
    </w:p>
    <w:p w:rsidR="00C80A11" w:rsidRPr="006B5BFA" w:rsidRDefault="00C80A11" w:rsidP="006B5BFA">
      <w:pPr>
        <w:rPr>
          <w:sz w:val="26"/>
          <w:szCs w:val="26"/>
        </w:rPr>
      </w:pPr>
    </w:p>
    <w:p w:rsidR="00F16988" w:rsidRDefault="00803FCA" w:rsidP="006B5BFA">
      <w:pPr>
        <w:pStyle w:val="ListParagraph"/>
        <w:numPr>
          <w:ilvl w:val="0"/>
          <w:numId w:val="1"/>
        </w:numPr>
        <w:spacing w:line="360" w:lineRule="auto"/>
        <w:ind w:left="0" w:firstLine="142"/>
        <w:jc w:val="both"/>
        <w:rPr>
          <w:sz w:val="26"/>
          <w:szCs w:val="26"/>
        </w:rPr>
      </w:pPr>
      <w:r>
        <w:rPr>
          <w:sz w:val="26"/>
          <w:szCs w:val="26"/>
        </w:rPr>
        <w:t xml:space="preserve">Besides, most of the issues raised by the </w:t>
      </w:r>
      <w:r w:rsidR="006B5BFA" w:rsidRPr="006B5BFA">
        <w:rPr>
          <w:sz w:val="26"/>
          <w:szCs w:val="26"/>
        </w:rPr>
        <w:t>complain</w:t>
      </w:r>
      <w:r>
        <w:rPr>
          <w:sz w:val="26"/>
          <w:szCs w:val="26"/>
        </w:rPr>
        <w:t>ants in the appeals are intertwined with the requirements in section</w:t>
      </w:r>
      <w:r w:rsidR="004942FC">
        <w:rPr>
          <w:sz w:val="26"/>
          <w:szCs w:val="26"/>
        </w:rPr>
        <w:t>s</w:t>
      </w:r>
      <w:r>
        <w:rPr>
          <w:sz w:val="26"/>
          <w:szCs w:val="26"/>
        </w:rPr>
        <w:t xml:space="preserve"> 38(1)(b) and (c)</w:t>
      </w:r>
      <w:r w:rsidR="004942FC">
        <w:rPr>
          <w:sz w:val="26"/>
          <w:szCs w:val="26"/>
        </w:rPr>
        <w:t xml:space="preserve"> and 65(1)</w:t>
      </w:r>
      <w:r w:rsidR="00172F97">
        <w:rPr>
          <w:sz w:val="26"/>
          <w:szCs w:val="26"/>
        </w:rPr>
        <w:t>, which the appeal authority must have regard to</w:t>
      </w:r>
      <w:r>
        <w:rPr>
          <w:sz w:val="26"/>
          <w:szCs w:val="26"/>
        </w:rPr>
        <w:t xml:space="preserve">. Those issues </w:t>
      </w:r>
      <w:r w:rsidR="00F16988">
        <w:rPr>
          <w:sz w:val="26"/>
          <w:szCs w:val="26"/>
        </w:rPr>
        <w:t xml:space="preserve">included allegations that </w:t>
      </w:r>
      <w:r w:rsidR="006B5BFA" w:rsidRPr="006B5BFA">
        <w:rPr>
          <w:sz w:val="26"/>
          <w:szCs w:val="26"/>
        </w:rPr>
        <w:t xml:space="preserve">the </w:t>
      </w:r>
      <w:r w:rsidR="00F16988">
        <w:rPr>
          <w:sz w:val="26"/>
          <w:szCs w:val="26"/>
        </w:rPr>
        <w:t>applicant</w:t>
      </w:r>
      <w:r w:rsidR="006B5BFA" w:rsidRPr="006B5BFA">
        <w:rPr>
          <w:sz w:val="26"/>
          <w:szCs w:val="26"/>
        </w:rPr>
        <w:t xml:space="preserve"> </w:t>
      </w:r>
      <w:r w:rsidR="00F16988">
        <w:rPr>
          <w:sz w:val="26"/>
          <w:szCs w:val="26"/>
        </w:rPr>
        <w:t>failed to</w:t>
      </w:r>
      <w:r w:rsidR="006B5BFA" w:rsidRPr="006B5BFA">
        <w:rPr>
          <w:sz w:val="26"/>
          <w:szCs w:val="26"/>
        </w:rPr>
        <w:t xml:space="preserve"> consult with its beneficiaries in respect of the proposed development</w:t>
      </w:r>
      <w:r w:rsidR="00F16988">
        <w:rPr>
          <w:sz w:val="26"/>
          <w:szCs w:val="26"/>
        </w:rPr>
        <w:t xml:space="preserve"> of the property</w:t>
      </w:r>
      <w:r w:rsidR="006B5BFA" w:rsidRPr="006B5BFA">
        <w:rPr>
          <w:sz w:val="26"/>
          <w:szCs w:val="26"/>
        </w:rPr>
        <w:t xml:space="preserve">; </w:t>
      </w:r>
      <w:r w:rsidR="00F16988">
        <w:rPr>
          <w:sz w:val="26"/>
          <w:szCs w:val="26"/>
        </w:rPr>
        <w:t xml:space="preserve">that </w:t>
      </w:r>
      <w:r w:rsidR="00F16988" w:rsidRPr="006B5BFA">
        <w:rPr>
          <w:sz w:val="26"/>
          <w:szCs w:val="26"/>
        </w:rPr>
        <w:t xml:space="preserve">the </w:t>
      </w:r>
      <w:r w:rsidR="00F16988">
        <w:rPr>
          <w:sz w:val="26"/>
          <w:szCs w:val="26"/>
        </w:rPr>
        <w:t>applicant</w:t>
      </w:r>
      <w:r w:rsidR="00F16988" w:rsidRPr="006B5BFA">
        <w:rPr>
          <w:sz w:val="26"/>
          <w:szCs w:val="26"/>
        </w:rPr>
        <w:t>’s beneficiaries did not approve the agreement with Surrey</w:t>
      </w:r>
      <w:r w:rsidR="00F16988" w:rsidRPr="00F16988">
        <w:rPr>
          <w:sz w:val="26"/>
          <w:szCs w:val="26"/>
        </w:rPr>
        <w:t xml:space="preserve"> </w:t>
      </w:r>
      <w:r w:rsidR="00F16988" w:rsidRPr="006B5BFA">
        <w:rPr>
          <w:sz w:val="26"/>
          <w:szCs w:val="26"/>
        </w:rPr>
        <w:t>Holmes</w:t>
      </w:r>
      <w:r w:rsidR="00F16988">
        <w:rPr>
          <w:sz w:val="26"/>
          <w:szCs w:val="26"/>
        </w:rPr>
        <w:t xml:space="preserve"> for the land use application</w:t>
      </w:r>
      <w:r w:rsidR="00F16988" w:rsidRPr="006B5BFA">
        <w:rPr>
          <w:sz w:val="26"/>
          <w:szCs w:val="26"/>
        </w:rPr>
        <w:t xml:space="preserve">; </w:t>
      </w:r>
      <w:r w:rsidR="00F16988" w:rsidRPr="00F16988">
        <w:rPr>
          <w:sz w:val="26"/>
          <w:szCs w:val="26"/>
        </w:rPr>
        <w:t xml:space="preserve">that </w:t>
      </w:r>
      <w:r w:rsidR="006B5BFA" w:rsidRPr="00F16988">
        <w:rPr>
          <w:sz w:val="26"/>
          <w:szCs w:val="26"/>
        </w:rPr>
        <w:t>the</w:t>
      </w:r>
      <w:r w:rsidR="00F16988" w:rsidRPr="00F16988">
        <w:rPr>
          <w:sz w:val="26"/>
          <w:szCs w:val="26"/>
        </w:rPr>
        <w:t xml:space="preserve"> applicant</w:t>
      </w:r>
      <w:r w:rsidR="006B5BFA" w:rsidRPr="00F16988">
        <w:rPr>
          <w:sz w:val="26"/>
          <w:szCs w:val="26"/>
        </w:rPr>
        <w:t xml:space="preserve"> </w:t>
      </w:r>
      <w:r w:rsidR="00F16988" w:rsidRPr="00F16988">
        <w:rPr>
          <w:sz w:val="26"/>
          <w:szCs w:val="26"/>
        </w:rPr>
        <w:t>failed to consult</w:t>
      </w:r>
      <w:r w:rsidR="006B5BFA" w:rsidRPr="00F16988">
        <w:rPr>
          <w:sz w:val="26"/>
          <w:szCs w:val="26"/>
        </w:rPr>
        <w:t xml:space="preserve"> </w:t>
      </w:r>
      <w:r w:rsidR="00F16988" w:rsidRPr="00F16988">
        <w:rPr>
          <w:sz w:val="26"/>
          <w:szCs w:val="26"/>
        </w:rPr>
        <w:t>some</w:t>
      </w:r>
      <w:r w:rsidR="006B5BFA" w:rsidRPr="00F16988">
        <w:rPr>
          <w:sz w:val="26"/>
          <w:szCs w:val="26"/>
        </w:rPr>
        <w:t xml:space="preserve"> newly elected </w:t>
      </w:r>
      <w:r w:rsidR="00F16988" w:rsidRPr="00F16988">
        <w:rPr>
          <w:sz w:val="26"/>
          <w:szCs w:val="26"/>
        </w:rPr>
        <w:t>t</w:t>
      </w:r>
      <w:r w:rsidR="006B5BFA" w:rsidRPr="00F16988">
        <w:rPr>
          <w:sz w:val="26"/>
          <w:szCs w:val="26"/>
        </w:rPr>
        <w:t>rustees</w:t>
      </w:r>
      <w:r w:rsidR="006B5BFA" w:rsidRPr="006B5BFA">
        <w:rPr>
          <w:sz w:val="26"/>
          <w:szCs w:val="26"/>
        </w:rPr>
        <w:t>; and there w</w:t>
      </w:r>
      <w:r w:rsidR="00F16988">
        <w:rPr>
          <w:sz w:val="26"/>
          <w:szCs w:val="26"/>
        </w:rPr>
        <w:t xml:space="preserve">ere no </w:t>
      </w:r>
      <w:r w:rsidR="006B5BFA" w:rsidRPr="006B5BFA">
        <w:rPr>
          <w:sz w:val="26"/>
          <w:szCs w:val="26"/>
        </w:rPr>
        <w:t xml:space="preserve">minutes </w:t>
      </w:r>
      <w:r w:rsidR="00F16988">
        <w:rPr>
          <w:sz w:val="26"/>
          <w:szCs w:val="26"/>
        </w:rPr>
        <w:t xml:space="preserve">attached </w:t>
      </w:r>
      <w:r w:rsidR="006B5BFA" w:rsidRPr="006B5BFA">
        <w:rPr>
          <w:sz w:val="26"/>
          <w:szCs w:val="26"/>
        </w:rPr>
        <w:t xml:space="preserve">in respect of the AGM of 19 August 2017.  </w:t>
      </w:r>
      <w:r w:rsidR="00F16988">
        <w:rPr>
          <w:sz w:val="26"/>
          <w:szCs w:val="26"/>
        </w:rPr>
        <w:t xml:space="preserve">Even if the first of these may be excluded as not being strictly relevant to the land use application, the rest are directly relevant to the question of proof </w:t>
      </w:r>
      <w:r w:rsidR="004942FC">
        <w:rPr>
          <w:sz w:val="26"/>
          <w:szCs w:val="26"/>
        </w:rPr>
        <w:t xml:space="preserve">of </w:t>
      </w:r>
      <w:r w:rsidR="00F16988">
        <w:rPr>
          <w:sz w:val="26"/>
          <w:szCs w:val="26"/>
        </w:rPr>
        <w:t xml:space="preserve">authorisation which is required in terms of section 38(1)(b) and (c), as discussed later. </w:t>
      </w:r>
    </w:p>
    <w:p w:rsidR="00F16988" w:rsidRPr="00F16988" w:rsidRDefault="00F16988" w:rsidP="00F16988">
      <w:pPr>
        <w:pStyle w:val="ListParagraph"/>
        <w:rPr>
          <w:sz w:val="26"/>
          <w:szCs w:val="26"/>
        </w:rPr>
      </w:pPr>
    </w:p>
    <w:p w:rsidR="006B5BFA" w:rsidRDefault="006B5BFA" w:rsidP="006B5BFA">
      <w:pPr>
        <w:pStyle w:val="ListParagraph"/>
        <w:numPr>
          <w:ilvl w:val="0"/>
          <w:numId w:val="1"/>
        </w:numPr>
        <w:spacing w:line="360" w:lineRule="auto"/>
        <w:ind w:left="0" w:firstLine="142"/>
        <w:jc w:val="both"/>
        <w:rPr>
          <w:sz w:val="26"/>
          <w:szCs w:val="26"/>
        </w:rPr>
      </w:pPr>
      <w:r w:rsidRPr="006B5BFA">
        <w:rPr>
          <w:sz w:val="26"/>
          <w:szCs w:val="26"/>
        </w:rPr>
        <w:t>Then, in the</w:t>
      </w:r>
      <w:r w:rsidR="00F16988">
        <w:rPr>
          <w:sz w:val="26"/>
          <w:szCs w:val="26"/>
        </w:rPr>
        <w:t>ir</w:t>
      </w:r>
      <w:r w:rsidRPr="006B5BFA">
        <w:rPr>
          <w:sz w:val="26"/>
          <w:szCs w:val="26"/>
        </w:rPr>
        <w:t xml:space="preserve"> written submissions, the </w:t>
      </w:r>
      <w:r w:rsidR="00F16988">
        <w:rPr>
          <w:sz w:val="26"/>
          <w:szCs w:val="26"/>
        </w:rPr>
        <w:t xml:space="preserve">complainants in the appeal </w:t>
      </w:r>
      <w:r w:rsidRPr="006B5BFA">
        <w:rPr>
          <w:sz w:val="26"/>
          <w:szCs w:val="26"/>
        </w:rPr>
        <w:t>include</w:t>
      </w:r>
      <w:r w:rsidR="00F16988">
        <w:rPr>
          <w:sz w:val="26"/>
          <w:szCs w:val="26"/>
        </w:rPr>
        <w:t>d the</w:t>
      </w:r>
      <w:r w:rsidRPr="006B5BFA">
        <w:rPr>
          <w:sz w:val="26"/>
          <w:szCs w:val="26"/>
        </w:rPr>
        <w:t xml:space="preserve"> following complaints: the decision of the </w:t>
      </w:r>
      <w:r w:rsidR="00F16988">
        <w:rPr>
          <w:sz w:val="26"/>
          <w:szCs w:val="26"/>
        </w:rPr>
        <w:t>t</w:t>
      </w:r>
      <w:r w:rsidRPr="006B5BFA">
        <w:rPr>
          <w:sz w:val="26"/>
          <w:szCs w:val="26"/>
        </w:rPr>
        <w:t xml:space="preserve">rustees is </w:t>
      </w:r>
      <w:r w:rsidRPr="006B5BFA">
        <w:rPr>
          <w:i/>
          <w:sz w:val="26"/>
          <w:szCs w:val="26"/>
        </w:rPr>
        <w:t xml:space="preserve">ultra vires </w:t>
      </w:r>
      <w:r w:rsidRPr="006B5BFA">
        <w:rPr>
          <w:sz w:val="26"/>
          <w:szCs w:val="26"/>
        </w:rPr>
        <w:t xml:space="preserve">the Trust Deed; </w:t>
      </w:r>
      <w:r w:rsidR="00DD4624">
        <w:rPr>
          <w:sz w:val="26"/>
          <w:szCs w:val="26"/>
        </w:rPr>
        <w:t xml:space="preserve">that Headland Planners </w:t>
      </w:r>
      <w:r w:rsidRPr="006B5BFA">
        <w:rPr>
          <w:sz w:val="26"/>
          <w:szCs w:val="26"/>
        </w:rPr>
        <w:t xml:space="preserve">did not have </w:t>
      </w:r>
      <w:r w:rsidRPr="006B5BFA">
        <w:rPr>
          <w:i/>
          <w:sz w:val="26"/>
          <w:szCs w:val="26"/>
        </w:rPr>
        <w:t xml:space="preserve">locus standi </w:t>
      </w:r>
      <w:r w:rsidRPr="006B5BFA">
        <w:rPr>
          <w:sz w:val="26"/>
          <w:szCs w:val="26"/>
        </w:rPr>
        <w:t>to lodge the application on behalf of the Surrey Holmes and</w:t>
      </w:r>
      <w:r w:rsidR="004942FC">
        <w:rPr>
          <w:sz w:val="26"/>
          <w:szCs w:val="26"/>
        </w:rPr>
        <w:t>/</w:t>
      </w:r>
      <w:r w:rsidRPr="006B5BFA">
        <w:rPr>
          <w:sz w:val="26"/>
          <w:szCs w:val="26"/>
        </w:rPr>
        <w:t xml:space="preserve">or the </w:t>
      </w:r>
      <w:r w:rsidR="004942FC">
        <w:rPr>
          <w:sz w:val="26"/>
          <w:szCs w:val="26"/>
        </w:rPr>
        <w:t>applicant</w:t>
      </w:r>
      <w:r w:rsidRPr="006B5BFA">
        <w:rPr>
          <w:sz w:val="26"/>
          <w:szCs w:val="26"/>
        </w:rPr>
        <w:t xml:space="preserve">; the </w:t>
      </w:r>
      <w:r w:rsidR="00DD4624">
        <w:rPr>
          <w:sz w:val="26"/>
          <w:szCs w:val="26"/>
        </w:rPr>
        <w:t>t</w:t>
      </w:r>
      <w:r w:rsidRPr="006B5BFA">
        <w:rPr>
          <w:sz w:val="26"/>
          <w:szCs w:val="26"/>
        </w:rPr>
        <w:t>rustees acted in bad faith and lodge</w:t>
      </w:r>
      <w:r w:rsidR="00DD4624">
        <w:rPr>
          <w:sz w:val="26"/>
          <w:szCs w:val="26"/>
        </w:rPr>
        <w:t>d</w:t>
      </w:r>
      <w:r w:rsidRPr="006B5BFA">
        <w:rPr>
          <w:sz w:val="26"/>
          <w:szCs w:val="26"/>
        </w:rPr>
        <w:t xml:space="preserve"> an application without legal mandate from the </w:t>
      </w:r>
      <w:r w:rsidR="00DD4624">
        <w:rPr>
          <w:sz w:val="26"/>
          <w:szCs w:val="26"/>
        </w:rPr>
        <w:t>applicant</w:t>
      </w:r>
      <w:r w:rsidRPr="006B5BFA">
        <w:rPr>
          <w:sz w:val="26"/>
          <w:szCs w:val="26"/>
        </w:rPr>
        <w:t>’s members.</w:t>
      </w:r>
      <w:r w:rsidR="00DD4624">
        <w:rPr>
          <w:sz w:val="26"/>
          <w:szCs w:val="26"/>
        </w:rPr>
        <w:t xml:space="preserve"> The alleged lack of mandate and the </w:t>
      </w:r>
      <w:r w:rsidR="004942FC">
        <w:rPr>
          <w:sz w:val="26"/>
          <w:szCs w:val="26"/>
        </w:rPr>
        <w:t>issue</w:t>
      </w:r>
      <w:r w:rsidR="00DD4624">
        <w:rPr>
          <w:sz w:val="26"/>
          <w:szCs w:val="26"/>
        </w:rPr>
        <w:t xml:space="preserve"> raised in respect of the Trust Deed are also relevant to the issue of compliance with section 38(1)(b) and (c).</w:t>
      </w:r>
    </w:p>
    <w:p w:rsidR="008F3F3C" w:rsidRPr="008F3F3C" w:rsidRDefault="008F3F3C" w:rsidP="008F3F3C">
      <w:pPr>
        <w:pStyle w:val="ListParagraph"/>
        <w:rPr>
          <w:sz w:val="26"/>
          <w:szCs w:val="26"/>
        </w:rPr>
      </w:pPr>
    </w:p>
    <w:p w:rsidR="008F3F3C" w:rsidRPr="008F3F3C" w:rsidRDefault="008F3F3C" w:rsidP="008F3F3C">
      <w:pPr>
        <w:pStyle w:val="ListParagraph"/>
        <w:numPr>
          <w:ilvl w:val="0"/>
          <w:numId w:val="1"/>
        </w:numPr>
        <w:spacing w:line="360" w:lineRule="auto"/>
        <w:ind w:left="0" w:firstLine="142"/>
        <w:jc w:val="both"/>
        <w:rPr>
          <w:sz w:val="26"/>
          <w:szCs w:val="26"/>
        </w:rPr>
      </w:pPr>
      <w:r>
        <w:rPr>
          <w:sz w:val="26"/>
          <w:szCs w:val="26"/>
        </w:rPr>
        <w:t xml:space="preserve">In terms of section 38(1)(b), if an applicant is an agent the power of attorney required must “authorise” the applicant to make the application on behalf of the owner.  It </w:t>
      </w:r>
      <w:r>
        <w:rPr>
          <w:sz w:val="26"/>
          <w:szCs w:val="26"/>
        </w:rPr>
        <w:lastRenderedPageBreak/>
        <w:t xml:space="preserve">would make no sense to have this requirement if it was not to ensure that the agent is authorised to act on behalf of the landowner.  </w:t>
      </w:r>
      <w:r w:rsidR="004942FC">
        <w:rPr>
          <w:sz w:val="26"/>
          <w:szCs w:val="26"/>
        </w:rPr>
        <w:t xml:space="preserve">If there was no proper mandate given to the trustees in terms of the Trust Deed to appoint Surrey Holmes and, </w:t>
      </w:r>
      <w:r w:rsidR="004942FC" w:rsidRPr="004942FC">
        <w:rPr>
          <w:sz w:val="26"/>
          <w:szCs w:val="26"/>
          <w:lang w:val="en-US"/>
        </w:rPr>
        <w:t xml:space="preserve">by extension </w:t>
      </w:r>
      <w:r w:rsidR="004942FC">
        <w:rPr>
          <w:sz w:val="26"/>
          <w:szCs w:val="26"/>
          <w:lang w:val="en-US"/>
        </w:rPr>
        <w:t>H</w:t>
      </w:r>
      <w:r w:rsidR="004942FC" w:rsidRPr="004942FC">
        <w:rPr>
          <w:sz w:val="26"/>
          <w:szCs w:val="26"/>
          <w:lang w:val="en-US"/>
        </w:rPr>
        <w:t>e</w:t>
      </w:r>
      <w:r w:rsidR="004942FC">
        <w:rPr>
          <w:sz w:val="26"/>
          <w:szCs w:val="26"/>
          <w:lang w:val="en-US"/>
        </w:rPr>
        <w:t>a</w:t>
      </w:r>
      <w:r w:rsidR="004942FC" w:rsidRPr="004942FC">
        <w:rPr>
          <w:sz w:val="26"/>
          <w:szCs w:val="26"/>
          <w:lang w:val="en-US"/>
        </w:rPr>
        <w:t xml:space="preserve">dland </w:t>
      </w:r>
      <w:r w:rsidR="004942FC">
        <w:rPr>
          <w:sz w:val="26"/>
          <w:szCs w:val="26"/>
          <w:lang w:val="en-US"/>
        </w:rPr>
        <w:t>P</w:t>
      </w:r>
      <w:r w:rsidR="004942FC" w:rsidRPr="004942FC">
        <w:rPr>
          <w:sz w:val="26"/>
          <w:szCs w:val="26"/>
          <w:lang w:val="en-US"/>
        </w:rPr>
        <w:t>lanners</w:t>
      </w:r>
      <w:r w:rsidR="004942FC">
        <w:rPr>
          <w:sz w:val="26"/>
          <w:szCs w:val="26"/>
          <w:lang w:val="en-US"/>
        </w:rPr>
        <w:t>,</w:t>
      </w:r>
      <w:r w:rsidR="004942FC" w:rsidRPr="004942FC">
        <w:rPr>
          <w:sz w:val="26"/>
          <w:szCs w:val="26"/>
          <w:lang w:val="en-US"/>
        </w:rPr>
        <w:t xml:space="preserve"> then the issue of authorization is called into question</w:t>
      </w:r>
      <w:r w:rsidR="004942FC">
        <w:rPr>
          <w:sz w:val="26"/>
          <w:szCs w:val="26"/>
          <w:lang w:val="en-US"/>
        </w:rPr>
        <w:t>.</w:t>
      </w:r>
      <w:r w:rsidR="004942FC">
        <w:rPr>
          <w:sz w:val="26"/>
          <w:szCs w:val="26"/>
        </w:rPr>
        <w:t xml:space="preserve"> </w:t>
      </w:r>
      <w:r>
        <w:rPr>
          <w:sz w:val="26"/>
          <w:szCs w:val="26"/>
        </w:rPr>
        <w:t>Similarly, subsection (c) requires proof that the person is authorised to act on behalf of the applicant.  This is the very issue raised by the appellants in their appeals. I</w:t>
      </w:r>
      <w:r w:rsidR="004942FC">
        <w:rPr>
          <w:sz w:val="26"/>
          <w:szCs w:val="26"/>
        </w:rPr>
        <w:t>n this context, i</w:t>
      </w:r>
      <w:r>
        <w:rPr>
          <w:sz w:val="26"/>
          <w:szCs w:val="26"/>
        </w:rPr>
        <w:t>t does not assist to claim that the appeal authority is precluded from looking into the inward workings of the applicant.  The aim of the provision is to ensure that the applicant has duly authorised the agent.  That issue will not always be resolved by looking at a piece of paper</w:t>
      </w:r>
      <w:r w:rsidR="00E0570A">
        <w:rPr>
          <w:sz w:val="26"/>
          <w:szCs w:val="26"/>
        </w:rPr>
        <w:t xml:space="preserve">, especially when the circumstances </w:t>
      </w:r>
      <w:r w:rsidR="00E0570A" w:rsidRPr="00E0570A">
        <w:rPr>
          <w:sz w:val="26"/>
          <w:szCs w:val="26"/>
          <w:lang w:val="en-US"/>
        </w:rPr>
        <w:t xml:space="preserve"> of that document</w:t>
      </w:r>
      <w:r w:rsidR="00E0570A">
        <w:rPr>
          <w:sz w:val="26"/>
          <w:szCs w:val="26"/>
          <w:lang w:val="en-US"/>
        </w:rPr>
        <w:t xml:space="preserve"> are called into question</w:t>
      </w:r>
      <w:r>
        <w:rPr>
          <w:sz w:val="26"/>
          <w:szCs w:val="26"/>
        </w:rPr>
        <w:t xml:space="preserve">.  </w:t>
      </w:r>
    </w:p>
    <w:p w:rsidR="004A4F1B" w:rsidRPr="004A4F1B" w:rsidRDefault="004A4F1B" w:rsidP="004A4F1B">
      <w:pPr>
        <w:spacing w:line="360" w:lineRule="auto"/>
        <w:jc w:val="both"/>
        <w:rPr>
          <w:sz w:val="26"/>
          <w:szCs w:val="26"/>
        </w:rPr>
      </w:pPr>
    </w:p>
    <w:p w:rsidR="008D2D82" w:rsidRPr="008D2D82" w:rsidRDefault="0030010E" w:rsidP="008D2D82">
      <w:pPr>
        <w:pStyle w:val="ListParagraph"/>
        <w:numPr>
          <w:ilvl w:val="0"/>
          <w:numId w:val="1"/>
        </w:numPr>
        <w:spacing w:line="360" w:lineRule="auto"/>
        <w:ind w:left="0" w:firstLine="142"/>
        <w:jc w:val="both"/>
        <w:rPr>
          <w:sz w:val="26"/>
          <w:szCs w:val="26"/>
        </w:rPr>
      </w:pPr>
      <w:r>
        <w:rPr>
          <w:sz w:val="26"/>
          <w:szCs w:val="26"/>
        </w:rPr>
        <w:t xml:space="preserve">I now turn to the appeal authority’s decision. </w:t>
      </w:r>
      <w:r w:rsidR="008D2D82" w:rsidRPr="008D2D82">
        <w:rPr>
          <w:sz w:val="26"/>
          <w:szCs w:val="26"/>
        </w:rPr>
        <w:t>In terms of section 38(1)(b), if the applicant is an agent</w:t>
      </w:r>
      <w:r w:rsidR="00E0570A">
        <w:rPr>
          <w:sz w:val="26"/>
          <w:szCs w:val="26"/>
        </w:rPr>
        <w:t>,</w:t>
      </w:r>
      <w:r w:rsidR="008D2D82" w:rsidRPr="008D2D82">
        <w:rPr>
          <w:sz w:val="26"/>
          <w:szCs w:val="26"/>
        </w:rPr>
        <w:t xml:space="preserve"> as Headland Planners were, a power of attorney was required, authorising it to make the application on behalf of the Trust. Then, in terms of section 38</w:t>
      </w:r>
      <w:r w:rsidR="00E0570A">
        <w:rPr>
          <w:sz w:val="26"/>
          <w:szCs w:val="26"/>
        </w:rPr>
        <w:t>(1)</w:t>
      </w:r>
      <w:r w:rsidR="008D2D82" w:rsidRPr="008D2D82">
        <w:rPr>
          <w:sz w:val="26"/>
          <w:szCs w:val="26"/>
        </w:rPr>
        <w:t xml:space="preserve">(c), </w:t>
      </w:r>
      <w:r w:rsidR="008D2D82">
        <w:rPr>
          <w:sz w:val="26"/>
          <w:szCs w:val="26"/>
        </w:rPr>
        <w:t>because</w:t>
      </w:r>
      <w:r w:rsidR="008D2D82" w:rsidRPr="008D2D82">
        <w:rPr>
          <w:sz w:val="26"/>
          <w:szCs w:val="26"/>
        </w:rPr>
        <w:t xml:space="preserve"> the owner of the land</w:t>
      </w:r>
      <w:r w:rsidR="008D2D82">
        <w:rPr>
          <w:sz w:val="26"/>
          <w:szCs w:val="26"/>
        </w:rPr>
        <w:t xml:space="preserve"> in this case</w:t>
      </w:r>
      <w:r w:rsidR="008D2D82" w:rsidRPr="008D2D82">
        <w:rPr>
          <w:sz w:val="26"/>
          <w:szCs w:val="26"/>
        </w:rPr>
        <w:t xml:space="preserve"> is a trust, proof was required that Headlands Planners was authorised to act on behalf of the applicant</w:t>
      </w:r>
      <w:r w:rsidR="00E0570A">
        <w:rPr>
          <w:sz w:val="26"/>
          <w:szCs w:val="26"/>
        </w:rPr>
        <w:t xml:space="preserve"> when it submitted the land use application</w:t>
      </w:r>
      <w:r w:rsidR="008D2D82" w:rsidRPr="008D2D82">
        <w:rPr>
          <w:sz w:val="26"/>
          <w:szCs w:val="26"/>
        </w:rPr>
        <w:t>.</w:t>
      </w:r>
    </w:p>
    <w:p w:rsidR="008D2D82" w:rsidRDefault="008D2D82" w:rsidP="008D2D82">
      <w:pPr>
        <w:pStyle w:val="ListParagraph"/>
        <w:spacing w:line="360" w:lineRule="auto"/>
        <w:ind w:left="142"/>
        <w:jc w:val="both"/>
        <w:rPr>
          <w:sz w:val="26"/>
          <w:szCs w:val="26"/>
        </w:rPr>
      </w:pPr>
    </w:p>
    <w:p w:rsidR="0064586C" w:rsidRPr="00E0570A" w:rsidRDefault="008D2D82" w:rsidP="00E0570A">
      <w:pPr>
        <w:pStyle w:val="ListParagraph"/>
        <w:numPr>
          <w:ilvl w:val="0"/>
          <w:numId w:val="1"/>
        </w:numPr>
        <w:spacing w:line="360" w:lineRule="auto"/>
        <w:ind w:left="0" w:firstLine="142"/>
        <w:jc w:val="both"/>
        <w:rPr>
          <w:sz w:val="26"/>
          <w:szCs w:val="26"/>
        </w:rPr>
      </w:pPr>
      <w:r>
        <w:rPr>
          <w:sz w:val="26"/>
          <w:szCs w:val="26"/>
        </w:rPr>
        <w:t>It is common cause that, as proof of the appointment of Surrey Holmes by the applicant, the consent document was attached to the land use application to the Municipality, as was the special power of attorney in terms of which Headland Planners was appointed</w:t>
      </w:r>
      <w:r w:rsidRPr="008F7754">
        <w:rPr>
          <w:sz w:val="26"/>
          <w:szCs w:val="26"/>
        </w:rPr>
        <w:t xml:space="preserve"> </w:t>
      </w:r>
      <w:r>
        <w:rPr>
          <w:sz w:val="26"/>
          <w:szCs w:val="26"/>
        </w:rPr>
        <w:t xml:space="preserve">by Surrey Holmes.  </w:t>
      </w:r>
      <w:r w:rsidRPr="00E0570A">
        <w:rPr>
          <w:sz w:val="26"/>
          <w:szCs w:val="26"/>
        </w:rPr>
        <w:t>The consent document was dated 23 August 2017, and contained some eight signatures</w:t>
      </w:r>
      <w:r w:rsidR="0064586C" w:rsidRPr="00E0570A">
        <w:rPr>
          <w:sz w:val="26"/>
          <w:szCs w:val="26"/>
        </w:rPr>
        <w:t xml:space="preserve"> plus</w:t>
      </w:r>
      <w:r w:rsidRPr="00E0570A">
        <w:rPr>
          <w:sz w:val="26"/>
          <w:szCs w:val="26"/>
        </w:rPr>
        <w:t xml:space="preserve"> names</w:t>
      </w:r>
      <w:r w:rsidR="0064586C" w:rsidRPr="00E0570A">
        <w:rPr>
          <w:sz w:val="26"/>
          <w:szCs w:val="26"/>
        </w:rPr>
        <w:t>,</w:t>
      </w:r>
      <w:r w:rsidRPr="00E0570A">
        <w:rPr>
          <w:sz w:val="26"/>
          <w:szCs w:val="26"/>
        </w:rPr>
        <w:t xml:space="preserve"> which were described in the document as </w:t>
      </w:r>
      <w:r w:rsidR="0064586C" w:rsidRPr="00E0570A">
        <w:rPr>
          <w:sz w:val="26"/>
          <w:szCs w:val="26"/>
        </w:rPr>
        <w:t xml:space="preserve"> the </w:t>
      </w:r>
      <w:r w:rsidR="0064586C" w:rsidRPr="00E0570A">
        <w:rPr>
          <w:i/>
          <w:iCs/>
          <w:sz w:val="26"/>
          <w:szCs w:val="26"/>
          <w:lang w:val="en-US"/>
        </w:rPr>
        <w:t>“</w:t>
      </w:r>
      <w:r w:rsidRPr="00E0570A">
        <w:rPr>
          <w:i/>
          <w:iCs/>
          <w:sz w:val="26"/>
          <w:szCs w:val="26"/>
        </w:rPr>
        <w:t>name of authorised person if the landowner is a legal entity”</w:t>
      </w:r>
      <w:r w:rsidRPr="00E0570A">
        <w:rPr>
          <w:sz w:val="26"/>
          <w:szCs w:val="26"/>
        </w:rPr>
        <w:t xml:space="preserve">.  </w:t>
      </w:r>
      <w:r w:rsidR="0064586C" w:rsidRPr="00E0570A">
        <w:rPr>
          <w:sz w:val="26"/>
          <w:szCs w:val="26"/>
        </w:rPr>
        <w:t xml:space="preserve">It is recorded in the consent document that these signatories gave </w:t>
      </w:r>
      <w:r w:rsidRPr="00E0570A">
        <w:rPr>
          <w:sz w:val="26"/>
          <w:szCs w:val="26"/>
        </w:rPr>
        <w:t xml:space="preserve">consent </w:t>
      </w:r>
      <w:r w:rsidR="0064586C" w:rsidRPr="00E0570A">
        <w:rPr>
          <w:sz w:val="26"/>
          <w:szCs w:val="26"/>
        </w:rPr>
        <w:t>for</w:t>
      </w:r>
      <w:r w:rsidRPr="00E0570A">
        <w:rPr>
          <w:sz w:val="26"/>
          <w:szCs w:val="26"/>
        </w:rPr>
        <w:t xml:space="preserve"> Surrey Holmes to undertake the proposed construction of a residential development on the property.  </w:t>
      </w:r>
    </w:p>
    <w:p w:rsidR="0064586C" w:rsidRPr="0064586C" w:rsidRDefault="0064586C" w:rsidP="0064586C">
      <w:pPr>
        <w:pStyle w:val="ListParagraph"/>
        <w:rPr>
          <w:sz w:val="26"/>
          <w:szCs w:val="26"/>
        </w:rPr>
      </w:pPr>
    </w:p>
    <w:p w:rsidR="00BA0527" w:rsidRDefault="00B53C3F" w:rsidP="008D2D82">
      <w:pPr>
        <w:pStyle w:val="ListParagraph"/>
        <w:numPr>
          <w:ilvl w:val="0"/>
          <w:numId w:val="1"/>
        </w:numPr>
        <w:spacing w:line="360" w:lineRule="auto"/>
        <w:ind w:left="0" w:firstLine="142"/>
        <w:jc w:val="both"/>
        <w:rPr>
          <w:sz w:val="26"/>
          <w:szCs w:val="26"/>
        </w:rPr>
      </w:pPr>
      <w:r>
        <w:rPr>
          <w:sz w:val="26"/>
          <w:szCs w:val="26"/>
        </w:rPr>
        <w:t>As recorded in her decision, t</w:t>
      </w:r>
      <w:r w:rsidR="008D2D82">
        <w:rPr>
          <w:sz w:val="26"/>
          <w:szCs w:val="26"/>
        </w:rPr>
        <w:t xml:space="preserve">he first respondent took issue with the consent document, stating that </w:t>
      </w:r>
      <w:r>
        <w:rPr>
          <w:sz w:val="26"/>
          <w:szCs w:val="26"/>
        </w:rPr>
        <w:t>it</w:t>
      </w:r>
      <w:r w:rsidR="008D2D82">
        <w:rPr>
          <w:sz w:val="26"/>
          <w:szCs w:val="26"/>
        </w:rPr>
        <w:t xml:space="preserve"> failed to indicate that the signatories were </w:t>
      </w:r>
      <w:r>
        <w:rPr>
          <w:sz w:val="26"/>
          <w:szCs w:val="26"/>
        </w:rPr>
        <w:t>t</w:t>
      </w:r>
      <w:r w:rsidR="008D2D82">
        <w:rPr>
          <w:sz w:val="26"/>
          <w:szCs w:val="26"/>
        </w:rPr>
        <w:t>rustees</w:t>
      </w:r>
      <w:r>
        <w:rPr>
          <w:sz w:val="26"/>
          <w:szCs w:val="26"/>
        </w:rPr>
        <w:t xml:space="preserve"> of the applicant</w:t>
      </w:r>
      <w:r w:rsidR="008D2D82">
        <w:rPr>
          <w:sz w:val="26"/>
          <w:szCs w:val="26"/>
        </w:rPr>
        <w:t xml:space="preserve">, </w:t>
      </w:r>
      <w:r w:rsidR="008D2D82">
        <w:rPr>
          <w:sz w:val="26"/>
          <w:szCs w:val="26"/>
        </w:rPr>
        <w:lastRenderedPageBreak/>
        <w:t xml:space="preserve">or where it was signed. </w:t>
      </w:r>
      <w:r>
        <w:rPr>
          <w:sz w:val="26"/>
          <w:szCs w:val="26"/>
        </w:rPr>
        <w:t xml:space="preserve"> Sh</w:t>
      </w:r>
      <w:r w:rsidR="008D2D82">
        <w:rPr>
          <w:sz w:val="26"/>
          <w:szCs w:val="26"/>
        </w:rPr>
        <w:t xml:space="preserve">e </w:t>
      </w:r>
      <w:r>
        <w:rPr>
          <w:sz w:val="26"/>
          <w:szCs w:val="26"/>
        </w:rPr>
        <w:t xml:space="preserve">concluded that </w:t>
      </w:r>
      <w:r w:rsidR="008D2D82">
        <w:rPr>
          <w:sz w:val="26"/>
          <w:szCs w:val="26"/>
        </w:rPr>
        <w:t>that there was no proof as envisaged in section 38(1)(c)</w:t>
      </w:r>
      <w:r>
        <w:rPr>
          <w:sz w:val="26"/>
          <w:szCs w:val="26"/>
        </w:rPr>
        <w:t xml:space="preserve">. I take this to mean that, in her view, the consent document did not constitute proof </w:t>
      </w:r>
      <w:r w:rsidR="008D2D82">
        <w:rPr>
          <w:sz w:val="26"/>
          <w:szCs w:val="26"/>
        </w:rPr>
        <w:t xml:space="preserve">that </w:t>
      </w:r>
      <w:r w:rsidR="009B79B4">
        <w:rPr>
          <w:sz w:val="26"/>
          <w:szCs w:val="26"/>
        </w:rPr>
        <w:t xml:space="preserve">Headland Planners </w:t>
      </w:r>
      <w:r w:rsidR="008D2D82">
        <w:rPr>
          <w:sz w:val="26"/>
          <w:szCs w:val="26"/>
        </w:rPr>
        <w:t xml:space="preserve">was authorised to act on behalf of the </w:t>
      </w:r>
      <w:r w:rsidR="009B79B4">
        <w:rPr>
          <w:sz w:val="26"/>
          <w:szCs w:val="26"/>
        </w:rPr>
        <w:t>applicant</w:t>
      </w:r>
      <w:r w:rsidR="008D2D82">
        <w:rPr>
          <w:sz w:val="26"/>
          <w:szCs w:val="26"/>
        </w:rPr>
        <w:t>.</w:t>
      </w:r>
    </w:p>
    <w:p w:rsidR="00BA0527" w:rsidRPr="00BA0527" w:rsidRDefault="00BA0527" w:rsidP="00BA0527">
      <w:pPr>
        <w:pStyle w:val="ListParagraph"/>
        <w:rPr>
          <w:sz w:val="26"/>
          <w:szCs w:val="26"/>
        </w:rPr>
      </w:pPr>
    </w:p>
    <w:p w:rsidR="00BA0527" w:rsidRPr="00BA0527" w:rsidRDefault="00BA0527" w:rsidP="00BA0527">
      <w:pPr>
        <w:pStyle w:val="ListParagraph"/>
        <w:numPr>
          <w:ilvl w:val="0"/>
          <w:numId w:val="1"/>
        </w:numPr>
        <w:spacing w:line="360" w:lineRule="auto"/>
        <w:ind w:left="0" w:firstLine="142"/>
        <w:jc w:val="both"/>
        <w:rPr>
          <w:sz w:val="26"/>
          <w:szCs w:val="26"/>
        </w:rPr>
      </w:pPr>
      <w:r>
        <w:rPr>
          <w:sz w:val="26"/>
          <w:szCs w:val="26"/>
        </w:rPr>
        <w:t>It is correct that the consent document makes no mention that its signatories were trustees at the time of signature or at any other time.  However, it must be borne in mind that the By-Law does not prescribe what form the authorisation required in terms of section 38(1)(c) should take. There is no requirement that the consent document in this case should specify that the signatories are trustees. T</w:t>
      </w:r>
      <w:r w:rsidRPr="007750CE">
        <w:rPr>
          <w:sz w:val="26"/>
          <w:szCs w:val="26"/>
        </w:rPr>
        <w:t xml:space="preserve">here is similarly no prescribed requirement </w:t>
      </w:r>
      <w:r>
        <w:rPr>
          <w:sz w:val="26"/>
          <w:szCs w:val="26"/>
        </w:rPr>
        <w:t xml:space="preserve">that </w:t>
      </w:r>
      <w:r w:rsidRPr="007750CE">
        <w:rPr>
          <w:sz w:val="26"/>
          <w:szCs w:val="26"/>
        </w:rPr>
        <w:t xml:space="preserve">the consent document </w:t>
      </w:r>
      <w:r>
        <w:rPr>
          <w:sz w:val="26"/>
          <w:szCs w:val="26"/>
        </w:rPr>
        <w:t xml:space="preserve">should indicate </w:t>
      </w:r>
      <w:r w:rsidRPr="007750CE">
        <w:rPr>
          <w:sz w:val="26"/>
          <w:szCs w:val="26"/>
        </w:rPr>
        <w:t>where it was signed,</w:t>
      </w:r>
      <w:r>
        <w:rPr>
          <w:sz w:val="26"/>
          <w:szCs w:val="26"/>
        </w:rPr>
        <w:t xml:space="preserve"> contrary to her decision</w:t>
      </w:r>
      <w:r w:rsidRPr="007750CE">
        <w:rPr>
          <w:sz w:val="26"/>
          <w:szCs w:val="26"/>
        </w:rPr>
        <w:t xml:space="preserve">. </w:t>
      </w:r>
      <w:r>
        <w:rPr>
          <w:sz w:val="26"/>
          <w:szCs w:val="26"/>
        </w:rPr>
        <w:t xml:space="preserve"> </w:t>
      </w:r>
      <w:r w:rsidRPr="00BA0527">
        <w:rPr>
          <w:sz w:val="26"/>
          <w:szCs w:val="26"/>
        </w:rPr>
        <w:t xml:space="preserve">In fact, the consent document is not specifically called for in terms of the By-Law. What is required is proof of authorisation. This may take a combination of documents in some instances. That being so, I would have expected the appeal authority to request further information in that regard if she was not satisfied with the consent document. </w:t>
      </w:r>
      <w:r w:rsidR="00784F75">
        <w:rPr>
          <w:sz w:val="26"/>
          <w:szCs w:val="26"/>
        </w:rPr>
        <w:t xml:space="preserve">Thus, to the extent that the first respondent held that the consent document did not indicate whether or not the signatories were trustees and </w:t>
      </w:r>
      <w:r w:rsidR="004E7E82">
        <w:rPr>
          <w:sz w:val="26"/>
          <w:szCs w:val="26"/>
        </w:rPr>
        <w:t>where it was signed</w:t>
      </w:r>
      <w:r w:rsidR="00784F75">
        <w:rPr>
          <w:sz w:val="26"/>
          <w:szCs w:val="26"/>
        </w:rPr>
        <w:t xml:space="preserve">, she took into account irrelevant considerations. </w:t>
      </w:r>
    </w:p>
    <w:p w:rsidR="00A8699A" w:rsidRPr="009B79B4" w:rsidRDefault="00A8699A" w:rsidP="009B79B4">
      <w:pPr>
        <w:rPr>
          <w:sz w:val="26"/>
          <w:szCs w:val="26"/>
        </w:rPr>
      </w:pPr>
    </w:p>
    <w:p w:rsidR="00B30DF2" w:rsidRPr="00BA0527" w:rsidRDefault="00BA0527" w:rsidP="00BA0527">
      <w:pPr>
        <w:pStyle w:val="ListParagraph"/>
        <w:numPr>
          <w:ilvl w:val="0"/>
          <w:numId w:val="1"/>
        </w:numPr>
        <w:spacing w:line="360" w:lineRule="auto"/>
        <w:ind w:left="0" w:firstLine="142"/>
        <w:jc w:val="both"/>
        <w:rPr>
          <w:sz w:val="26"/>
          <w:szCs w:val="26"/>
        </w:rPr>
      </w:pPr>
      <w:r>
        <w:rPr>
          <w:sz w:val="26"/>
          <w:szCs w:val="26"/>
        </w:rPr>
        <w:t>In construing the consent document, one option available to the first respondent which is what she followed, was to</w:t>
      </w:r>
      <w:r w:rsidRPr="0005372A">
        <w:rPr>
          <w:sz w:val="26"/>
          <w:szCs w:val="26"/>
          <w:lang w:val="en-US"/>
        </w:rPr>
        <w:t xml:space="preserve"> have had regard to the </w:t>
      </w:r>
      <w:r>
        <w:rPr>
          <w:sz w:val="26"/>
          <w:szCs w:val="26"/>
          <w:lang w:val="en-US"/>
        </w:rPr>
        <w:t>names contained in the L</w:t>
      </w:r>
      <w:r w:rsidRPr="0005372A">
        <w:rPr>
          <w:sz w:val="26"/>
          <w:szCs w:val="26"/>
          <w:lang w:val="en-US"/>
        </w:rPr>
        <w:t xml:space="preserve">etters of </w:t>
      </w:r>
      <w:r>
        <w:rPr>
          <w:sz w:val="26"/>
          <w:szCs w:val="26"/>
          <w:lang w:val="en-US"/>
        </w:rPr>
        <w:t>A</w:t>
      </w:r>
      <w:r w:rsidRPr="0005372A">
        <w:rPr>
          <w:sz w:val="26"/>
          <w:szCs w:val="26"/>
          <w:lang w:val="en-US"/>
        </w:rPr>
        <w:t>uthority</w:t>
      </w:r>
      <w:r>
        <w:rPr>
          <w:sz w:val="26"/>
          <w:szCs w:val="26"/>
          <w:lang w:val="en-US"/>
        </w:rPr>
        <w:t xml:space="preserve">. </w:t>
      </w:r>
      <w:r>
        <w:rPr>
          <w:sz w:val="26"/>
          <w:szCs w:val="26"/>
        </w:rPr>
        <w:t>T</w:t>
      </w:r>
      <w:r w:rsidRPr="00BA0527">
        <w:rPr>
          <w:sz w:val="26"/>
          <w:szCs w:val="26"/>
        </w:rPr>
        <w:t xml:space="preserve">he Letters of Authority were issued on 27 July 2016 by the Office of the Master of the High Court in terms of section 6(1) of the Trust Property Control Act 57 of 1988, in respect of the applicant.  </w:t>
      </w:r>
      <w:r>
        <w:rPr>
          <w:sz w:val="26"/>
          <w:szCs w:val="26"/>
          <w:lang w:val="en-US"/>
        </w:rPr>
        <w:t xml:space="preserve">It is </w:t>
      </w:r>
      <w:r w:rsidR="005276A5">
        <w:rPr>
          <w:sz w:val="26"/>
          <w:szCs w:val="26"/>
          <w:lang w:val="en-US"/>
        </w:rPr>
        <w:t>apparent from the two documents, and is c</w:t>
      </w:r>
      <w:r>
        <w:rPr>
          <w:sz w:val="26"/>
          <w:szCs w:val="26"/>
          <w:lang w:val="en-US"/>
        </w:rPr>
        <w:t xml:space="preserve">ommon cause that </w:t>
      </w:r>
      <w:r>
        <w:rPr>
          <w:sz w:val="26"/>
          <w:szCs w:val="26"/>
        </w:rPr>
        <w:t xml:space="preserve">the eight names contained in the consent document are the same names as those contained in the Letters of Authority. </w:t>
      </w:r>
    </w:p>
    <w:p w:rsidR="00B30DF2" w:rsidRPr="00B30DF2" w:rsidRDefault="00B30DF2" w:rsidP="00B30DF2">
      <w:pPr>
        <w:pStyle w:val="ListParagraph"/>
        <w:rPr>
          <w:sz w:val="26"/>
          <w:szCs w:val="26"/>
        </w:rPr>
      </w:pPr>
    </w:p>
    <w:p w:rsidR="00B30DF2" w:rsidRDefault="00B30DF2" w:rsidP="00B30DF2">
      <w:pPr>
        <w:pStyle w:val="ListParagraph"/>
        <w:numPr>
          <w:ilvl w:val="0"/>
          <w:numId w:val="1"/>
        </w:numPr>
        <w:spacing w:line="360" w:lineRule="auto"/>
        <w:ind w:left="0" w:firstLine="142"/>
        <w:jc w:val="both"/>
        <w:rPr>
          <w:sz w:val="26"/>
          <w:szCs w:val="26"/>
        </w:rPr>
      </w:pPr>
      <w:r>
        <w:rPr>
          <w:sz w:val="26"/>
          <w:szCs w:val="26"/>
        </w:rPr>
        <w:t>T</w:t>
      </w:r>
      <w:r w:rsidR="001F5BE8">
        <w:rPr>
          <w:sz w:val="26"/>
          <w:szCs w:val="26"/>
        </w:rPr>
        <w:t>he first respondent</w:t>
      </w:r>
      <w:r>
        <w:rPr>
          <w:sz w:val="26"/>
          <w:szCs w:val="26"/>
        </w:rPr>
        <w:t xml:space="preserve"> complained that </w:t>
      </w:r>
      <w:r w:rsidR="001F5BE8">
        <w:rPr>
          <w:sz w:val="26"/>
          <w:szCs w:val="26"/>
        </w:rPr>
        <w:t xml:space="preserve">the </w:t>
      </w:r>
      <w:r>
        <w:rPr>
          <w:sz w:val="26"/>
          <w:szCs w:val="26"/>
        </w:rPr>
        <w:t>L</w:t>
      </w:r>
      <w:r w:rsidR="001F5BE8">
        <w:rPr>
          <w:sz w:val="26"/>
          <w:szCs w:val="26"/>
        </w:rPr>
        <w:t xml:space="preserve">etters of </w:t>
      </w:r>
      <w:r>
        <w:rPr>
          <w:sz w:val="26"/>
          <w:szCs w:val="26"/>
        </w:rPr>
        <w:t>A</w:t>
      </w:r>
      <w:r w:rsidR="001F5BE8">
        <w:rPr>
          <w:sz w:val="26"/>
          <w:szCs w:val="26"/>
        </w:rPr>
        <w:t xml:space="preserve">uthority do not assist because </w:t>
      </w:r>
      <w:r>
        <w:rPr>
          <w:sz w:val="26"/>
          <w:szCs w:val="26"/>
        </w:rPr>
        <w:t>they were</w:t>
      </w:r>
      <w:r w:rsidR="001F5BE8">
        <w:rPr>
          <w:sz w:val="26"/>
          <w:szCs w:val="26"/>
        </w:rPr>
        <w:t xml:space="preserve"> issued some</w:t>
      </w:r>
      <w:r>
        <w:rPr>
          <w:sz w:val="26"/>
          <w:szCs w:val="26"/>
        </w:rPr>
        <w:t xml:space="preserve"> </w:t>
      </w:r>
      <w:r w:rsidR="001F5BE8">
        <w:rPr>
          <w:sz w:val="26"/>
          <w:szCs w:val="26"/>
        </w:rPr>
        <w:t>time before the</w:t>
      </w:r>
      <w:r>
        <w:rPr>
          <w:sz w:val="26"/>
          <w:szCs w:val="26"/>
        </w:rPr>
        <w:t xml:space="preserve"> land use</w:t>
      </w:r>
      <w:r w:rsidR="001F5BE8">
        <w:rPr>
          <w:sz w:val="26"/>
          <w:szCs w:val="26"/>
        </w:rPr>
        <w:t xml:space="preserve"> application was submitted</w:t>
      </w:r>
      <w:r>
        <w:rPr>
          <w:sz w:val="26"/>
          <w:szCs w:val="26"/>
        </w:rPr>
        <w:t xml:space="preserve">. </w:t>
      </w:r>
      <w:r w:rsidR="001F5BE8">
        <w:rPr>
          <w:sz w:val="26"/>
          <w:szCs w:val="26"/>
        </w:rPr>
        <w:t xml:space="preserve">It is not clear from this </w:t>
      </w:r>
      <w:r>
        <w:rPr>
          <w:sz w:val="26"/>
          <w:szCs w:val="26"/>
        </w:rPr>
        <w:t xml:space="preserve">observation </w:t>
      </w:r>
      <w:r w:rsidR="00555F9E">
        <w:rPr>
          <w:sz w:val="26"/>
          <w:szCs w:val="26"/>
        </w:rPr>
        <w:t xml:space="preserve">whether she meant that the </w:t>
      </w:r>
      <w:r>
        <w:rPr>
          <w:sz w:val="26"/>
          <w:szCs w:val="26"/>
        </w:rPr>
        <w:t>L</w:t>
      </w:r>
      <w:r w:rsidR="00555F9E">
        <w:rPr>
          <w:sz w:val="26"/>
          <w:szCs w:val="26"/>
        </w:rPr>
        <w:t xml:space="preserve">etters of </w:t>
      </w:r>
      <w:r>
        <w:rPr>
          <w:sz w:val="26"/>
          <w:szCs w:val="26"/>
        </w:rPr>
        <w:t>A</w:t>
      </w:r>
      <w:r w:rsidR="00555F9E">
        <w:rPr>
          <w:sz w:val="26"/>
          <w:szCs w:val="26"/>
        </w:rPr>
        <w:t>uthority had expired</w:t>
      </w:r>
      <w:r>
        <w:rPr>
          <w:sz w:val="26"/>
          <w:szCs w:val="26"/>
        </w:rPr>
        <w:t xml:space="preserve">, or had no legal force </w:t>
      </w:r>
      <w:r w:rsidR="00555F9E">
        <w:rPr>
          <w:sz w:val="26"/>
          <w:szCs w:val="26"/>
        </w:rPr>
        <w:t xml:space="preserve">by virtue of the fact that they were issued on 27 July 2016.  If this was the </w:t>
      </w:r>
      <w:r w:rsidR="00555F9E">
        <w:rPr>
          <w:sz w:val="26"/>
          <w:szCs w:val="26"/>
        </w:rPr>
        <w:lastRenderedPageBreak/>
        <w:t>intention, it is clearly flawe</w:t>
      </w:r>
      <w:r>
        <w:rPr>
          <w:sz w:val="26"/>
          <w:szCs w:val="26"/>
        </w:rPr>
        <w:t>d.</w:t>
      </w:r>
      <w:r w:rsidRPr="00B30DF2">
        <w:rPr>
          <w:sz w:val="26"/>
          <w:szCs w:val="26"/>
        </w:rPr>
        <w:t xml:space="preserve"> </w:t>
      </w:r>
      <w:r>
        <w:rPr>
          <w:sz w:val="26"/>
          <w:szCs w:val="26"/>
        </w:rPr>
        <w:t xml:space="preserve">The </w:t>
      </w:r>
      <w:r>
        <w:rPr>
          <w:sz w:val="26"/>
          <w:szCs w:val="26"/>
          <w:lang w:val="en-US"/>
        </w:rPr>
        <w:t>L</w:t>
      </w:r>
      <w:r w:rsidRPr="00B30DF2">
        <w:rPr>
          <w:sz w:val="26"/>
          <w:szCs w:val="26"/>
          <w:lang w:val="en-US"/>
        </w:rPr>
        <w:t xml:space="preserve">etters of </w:t>
      </w:r>
      <w:r>
        <w:rPr>
          <w:sz w:val="26"/>
          <w:szCs w:val="26"/>
          <w:lang w:val="en-US"/>
        </w:rPr>
        <w:t>A</w:t>
      </w:r>
      <w:r w:rsidRPr="00B30DF2">
        <w:rPr>
          <w:sz w:val="26"/>
          <w:szCs w:val="26"/>
          <w:lang w:val="en-US"/>
        </w:rPr>
        <w:t xml:space="preserve">uthority constitute authorization issued by the </w:t>
      </w:r>
      <w:r>
        <w:rPr>
          <w:sz w:val="26"/>
          <w:szCs w:val="26"/>
          <w:lang w:val="en-US"/>
        </w:rPr>
        <w:t>M</w:t>
      </w:r>
      <w:r w:rsidRPr="00B30DF2">
        <w:rPr>
          <w:sz w:val="26"/>
          <w:szCs w:val="26"/>
          <w:lang w:val="en-US"/>
        </w:rPr>
        <w:t>aster</w:t>
      </w:r>
      <w:r>
        <w:rPr>
          <w:sz w:val="26"/>
          <w:szCs w:val="26"/>
        </w:rPr>
        <w:t xml:space="preserve"> in terms of section 6 of the </w:t>
      </w:r>
      <w:r>
        <w:rPr>
          <w:sz w:val="26"/>
          <w:szCs w:val="26"/>
          <w:lang w:val="en-US"/>
        </w:rPr>
        <w:t>T</w:t>
      </w:r>
      <w:r w:rsidRPr="00B30DF2">
        <w:rPr>
          <w:sz w:val="26"/>
          <w:szCs w:val="26"/>
          <w:lang w:val="en-US"/>
        </w:rPr>
        <w:t xml:space="preserve">rust </w:t>
      </w:r>
      <w:r>
        <w:rPr>
          <w:sz w:val="26"/>
          <w:szCs w:val="26"/>
          <w:lang w:val="en-US"/>
        </w:rPr>
        <w:t>P</w:t>
      </w:r>
      <w:r w:rsidRPr="00B30DF2">
        <w:rPr>
          <w:sz w:val="26"/>
          <w:szCs w:val="26"/>
          <w:lang w:val="en-US"/>
        </w:rPr>
        <w:t>roperty Control Act</w:t>
      </w:r>
      <w:r>
        <w:rPr>
          <w:sz w:val="26"/>
          <w:szCs w:val="26"/>
          <w:lang w:val="en-US"/>
        </w:rPr>
        <w:t>,</w:t>
      </w:r>
      <w:r w:rsidRPr="00B30DF2">
        <w:rPr>
          <w:sz w:val="26"/>
          <w:szCs w:val="26"/>
          <w:lang w:val="en-US"/>
        </w:rPr>
        <w:t xml:space="preserve"> upon appointment as </w:t>
      </w:r>
      <w:r>
        <w:rPr>
          <w:sz w:val="26"/>
          <w:szCs w:val="26"/>
          <w:lang w:val="en-US"/>
        </w:rPr>
        <w:t xml:space="preserve">a </w:t>
      </w:r>
      <w:r w:rsidRPr="00B30DF2">
        <w:rPr>
          <w:sz w:val="26"/>
          <w:szCs w:val="26"/>
          <w:lang w:val="en-US"/>
        </w:rPr>
        <w:t>trustee</w:t>
      </w:r>
      <w:r>
        <w:rPr>
          <w:sz w:val="26"/>
          <w:szCs w:val="26"/>
          <w:lang w:val="en-US"/>
        </w:rPr>
        <w:t>.</w:t>
      </w:r>
      <w:r>
        <w:rPr>
          <w:sz w:val="26"/>
          <w:szCs w:val="26"/>
        </w:rPr>
        <w:t xml:space="preserve"> </w:t>
      </w:r>
      <w:r w:rsidR="00BA0527">
        <w:rPr>
          <w:sz w:val="26"/>
          <w:szCs w:val="26"/>
        </w:rPr>
        <w:t xml:space="preserve">In terms of the Letters of Authority those names were authorised to act as trustees of the applicant. </w:t>
      </w:r>
      <w:r w:rsidR="005276A5">
        <w:rPr>
          <w:sz w:val="26"/>
          <w:szCs w:val="26"/>
        </w:rPr>
        <w:t xml:space="preserve">There was no indication that the Letters were withdrawn or lacked legal force. </w:t>
      </w:r>
      <w:r w:rsidR="004E7E82" w:rsidRPr="005276A5">
        <w:rPr>
          <w:sz w:val="26"/>
          <w:szCs w:val="26"/>
        </w:rPr>
        <w:t>T</w:t>
      </w:r>
      <w:r w:rsidR="005276A5">
        <w:rPr>
          <w:sz w:val="26"/>
          <w:szCs w:val="26"/>
        </w:rPr>
        <w:t>hus,</w:t>
      </w:r>
      <w:r w:rsidR="004E7E82" w:rsidRPr="005276A5">
        <w:rPr>
          <w:sz w:val="26"/>
          <w:szCs w:val="26"/>
        </w:rPr>
        <w:t xml:space="preserve"> the extent that the first respondent found that the Letters of Authority were not proper authorisation for the trustees to act on behalf of the applicant, she failed to take into account relevant considerations, and</w:t>
      </w:r>
      <w:r w:rsidR="005276A5">
        <w:rPr>
          <w:sz w:val="26"/>
          <w:szCs w:val="26"/>
        </w:rPr>
        <w:t xml:space="preserve"> that decision</w:t>
      </w:r>
      <w:r w:rsidR="004E7E82" w:rsidRPr="005276A5">
        <w:rPr>
          <w:sz w:val="26"/>
          <w:szCs w:val="26"/>
        </w:rPr>
        <w:t xml:space="preserve"> was materially influenced by an error.</w:t>
      </w:r>
      <w:r w:rsidR="004E7E82">
        <w:rPr>
          <w:sz w:val="26"/>
          <w:szCs w:val="26"/>
        </w:rPr>
        <w:t xml:space="preserve">  </w:t>
      </w:r>
    </w:p>
    <w:p w:rsidR="007750CE" w:rsidRPr="00923984" w:rsidRDefault="007750CE" w:rsidP="00923984">
      <w:pPr>
        <w:rPr>
          <w:sz w:val="26"/>
          <w:szCs w:val="26"/>
        </w:rPr>
      </w:pPr>
    </w:p>
    <w:p w:rsidR="000B1FDA" w:rsidRPr="00CA66A2" w:rsidRDefault="004E7E82" w:rsidP="00CA66A2">
      <w:pPr>
        <w:pStyle w:val="ListParagraph"/>
        <w:numPr>
          <w:ilvl w:val="0"/>
          <w:numId w:val="1"/>
        </w:numPr>
        <w:spacing w:line="360" w:lineRule="auto"/>
        <w:ind w:left="-142" w:firstLine="284"/>
        <w:jc w:val="both"/>
        <w:rPr>
          <w:sz w:val="26"/>
          <w:szCs w:val="26"/>
        </w:rPr>
      </w:pPr>
      <w:r>
        <w:rPr>
          <w:sz w:val="26"/>
          <w:szCs w:val="26"/>
        </w:rPr>
        <w:t xml:space="preserve">There was no evidence, or even allegation, before the first respondent that the Letters of Authority had been withdrawn by the Master. </w:t>
      </w:r>
      <w:r w:rsidR="004A4F1B" w:rsidRPr="00BA0527">
        <w:rPr>
          <w:sz w:val="26"/>
          <w:szCs w:val="26"/>
        </w:rPr>
        <w:t xml:space="preserve">Instead, </w:t>
      </w:r>
      <w:r w:rsidR="004A4556" w:rsidRPr="00BA0527">
        <w:rPr>
          <w:sz w:val="26"/>
          <w:szCs w:val="26"/>
        </w:rPr>
        <w:t xml:space="preserve">there was an allegation </w:t>
      </w:r>
      <w:r w:rsidR="0030010E" w:rsidRPr="00BA0527">
        <w:rPr>
          <w:sz w:val="26"/>
          <w:szCs w:val="26"/>
        </w:rPr>
        <w:t>that</w:t>
      </w:r>
      <w:r w:rsidR="004A4556" w:rsidRPr="00BA0527">
        <w:rPr>
          <w:sz w:val="26"/>
          <w:szCs w:val="26"/>
        </w:rPr>
        <w:t xml:space="preserve"> three </w:t>
      </w:r>
      <w:r w:rsidR="0005372A" w:rsidRPr="00BA0527">
        <w:rPr>
          <w:sz w:val="26"/>
          <w:szCs w:val="26"/>
        </w:rPr>
        <w:t xml:space="preserve">of the </w:t>
      </w:r>
      <w:r w:rsidR="004A4556" w:rsidRPr="00BA0527">
        <w:rPr>
          <w:sz w:val="26"/>
          <w:szCs w:val="26"/>
        </w:rPr>
        <w:t xml:space="preserve">trustees </w:t>
      </w:r>
      <w:r w:rsidR="0030010E" w:rsidRPr="00BA0527">
        <w:rPr>
          <w:sz w:val="26"/>
          <w:szCs w:val="26"/>
        </w:rPr>
        <w:t xml:space="preserve">had been substituted </w:t>
      </w:r>
      <w:r w:rsidR="004A4556" w:rsidRPr="00BA0527">
        <w:rPr>
          <w:sz w:val="26"/>
          <w:szCs w:val="26"/>
        </w:rPr>
        <w:t>by new ones</w:t>
      </w:r>
      <w:r w:rsidR="0030010E" w:rsidRPr="00BA0527">
        <w:rPr>
          <w:sz w:val="26"/>
          <w:szCs w:val="26"/>
        </w:rPr>
        <w:t>.</w:t>
      </w:r>
      <w:r w:rsidR="000B1FDA" w:rsidRPr="000B1FDA">
        <w:rPr>
          <w:sz w:val="26"/>
          <w:szCs w:val="26"/>
        </w:rPr>
        <w:t xml:space="preserve"> </w:t>
      </w:r>
      <w:r w:rsidR="00640981">
        <w:rPr>
          <w:sz w:val="26"/>
          <w:szCs w:val="26"/>
        </w:rPr>
        <w:t xml:space="preserve">The complainants in the appeal alleged that </w:t>
      </w:r>
      <w:r w:rsidR="000B1FDA">
        <w:rPr>
          <w:sz w:val="26"/>
          <w:szCs w:val="26"/>
        </w:rPr>
        <w:t>at an AGM of the applicant held on 19 August 2017, the term of three trustees</w:t>
      </w:r>
      <w:r w:rsidR="00A96E03">
        <w:rPr>
          <w:sz w:val="26"/>
          <w:szCs w:val="26"/>
        </w:rPr>
        <w:t xml:space="preserve"> </w:t>
      </w:r>
      <w:r w:rsidR="000B1FDA">
        <w:rPr>
          <w:sz w:val="26"/>
          <w:szCs w:val="26"/>
        </w:rPr>
        <w:t>came to an end</w:t>
      </w:r>
      <w:r w:rsidR="00A96E03">
        <w:rPr>
          <w:sz w:val="26"/>
          <w:szCs w:val="26"/>
        </w:rPr>
        <w:t>, and that t</w:t>
      </w:r>
      <w:r w:rsidR="000B1FDA">
        <w:rPr>
          <w:sz w:val="26"/>
          <w:szCs w:val="26"/>
        </w:rPr>
        <w:t xml:space="preserve">hey were replaced by </w:t>
      </w:r>
      <w:r w:rsidR="00A96E03">
        <w:rPr>
          <w:sz w:val="26"/>
          <w:szCs w:val="26"/>
        </w:rPr>
        <w:t>new names</w:t>
      </w:r>
      <w:r w:rsidR="000B1FDA">
        <w:rPr>
          <w:sz w:val="26"/>
          <w:szCs w:val="26"/>
        </w:rPr>
        <w:t xml:space="preserve">. </w:t>
      </w:r>
      <w:r w:rsidR="00640981">
        <w:rPr>
          <w:sz w:val="26"/>
          <w:szCs w:val="26"/>
        </w:rPr>
        <w:t>This allegation was supported by means of affidavits submitted by some of the complainants who stated that they had attended the AGM.</w:t>
      </w:r>
      <w:r w:rsidR="000B1FDA">
        <w:rPr>
          <w:sz w:val="26"/>
          <w:szCs w:val="26"/>
        </w:rPr>
        <w:t xml:space="preserve"> </w:t>
      </w:r>
      <w:r w:rsidR="00CA66A2">
        <w:rPr>
          <w:sz w:val="26"/>
          <w:szCs w:val="26"/>
        </w:rPr>
        <w:t xml:space="preserve">The significance of this allegation lies in the fact that </w:t>
      </w:r>
      <w:r w:rsidR="000B1FDA" w:rsidRPr="00CA66A2">
        <w:rPr>
          <w:sz w:val="26"/>
          <w:szCs w:val="26"/>
        </w:rPr>
        <w:t xml:space="preserve">the land use application did not contain names or signatures of the newly appointed trustees, but contained signatures of the outgoing trustees. Further, the consent document was signed on 23 August 2017, some four days after the AGM; and the special power of attorney signed by Surrey Holmes for the appointment of Headland Planners is dated 9 July 2018.  Both of these documents post-dated the substitution of the outgoing trustees.  </w:t>
      </w:r>
    </w:p>
    <w:p w:rsidR="004E6B5A" w:rsidRPr="004E6B5A" w:rsidRDefault="004E6B5A" w:rsidP="004E6B5A">
      <w:pPr>
        <w:pStyle w:val="ListParagraph"/>
        <w:rPr>
          <w:sz w:val="26"/>
          <w:szCs w:val="26"/>
        </w:rPr>
      </w:pPr>
    </w:p>
    <w:p w:rsidR="0078687B" w:rsidRPr="000865E9" w:rsidRDefault="0078687B" w:rsidP="0078687B">
      <w:pPr>
        <w:pStyle w:val="ListParagraph"/>
        <w:numPr>
          <w:ilvl w:val="0"/>
          <w:numId w:val="1"/>
        </w:numPr>
        <w:spacing w:line="360" w:lineRule="auto"/>
        <w:ind w:left="0" w:firstLine="142"/>
        <w:jc w:val="both"/>
        <w:rPr>
          <w:i/>
          <w:sz w:val="26"/>
          <w:szCs w:val="26"/>
        </w:rPr>
      </w:pPr>
      <w:r>
        <w:rPr>
          <w:sz w:val="26"/>
          <w:szCs w:val="26"/>
        </w:rPr>
        <w:t>I</w:t>
      </w:r>
      <w:r w:rsidR="004E6B5A" w:rsidRPr="00027790">
        <w:rPr>
          <w:sz w:val="26"/>
          <w:szCs w:val="26"/>
        </w:rPr>
        <w:t xml:space="preserve">n these proceedings </w:t>
      </w:r>
      <w:r>
        <w:rPr>
          <w:sz w:val="26"/>
          <w:szCs w:val="26"/>
        </w:rPr>
        <w:t xml:space="preserve">the applicant </w:t>
      </w:r>
      <w:r w:rsidR="00640981" w:rsidRPr="00027790">
        <w:rPr>
          <w:sz w:val="26"/>
          <w:szCs w:val="26"/>
        </w:rPr>
        <w:t>allege</w:t>
      </w:r>
      <w:r>
        <w:rPr>
          <w:sz w:val="26"/>
          <w:szCs w:val="26"/>
        </w:rPr>
        <w:t>s that the</w:t>
      </w:r>
      <w:r w:rsidR="00640981" w:rsidRPr="00027790">
        <w:rPr>
          <w:sz w:val="26"/>
          <w:szCs w:val="26"/>
        </w:rPr>
        <w:t xml:space="preserve"> removal and replacement of three trustees</w:t>
      </w:r>
      <w:r w:rsidR="00CA66A2" w:rsidRPr="00027790">
        <w:rPr>
          <w:sz w:val="26"/>
          <w:szCs w:val="26"/>
        </w:rPr>
        <w:t xml:space="preserve"> was never formalised</w:t>
      </w:r>
      <w:r>
        <w:rPr>
          <w:sz w:val="26"/>
          <w:szCs w:val="26"/>
        </w:rPr>
        <w:t xml:space="preserve"> because</w:t>
      </w:r>
      <w:r w:rsidR="00CA66A2" w:rsidRPr="00027790">
        <w:rPr>
          <w:sz w:val="26"/>
          <w:szCs w:val="26"/>
        </w:rPr>
        <w:t xml:space="preserve"> </w:t>
      </w:r>
      <w:r w:rsidR="004E6B5A" w:rsidRPr="00027790">
        <w:rPr>
          <w:sz w:val="26"/>
          <w:szCs w:val="26"/>
        </w:rPr>
        <w:t xml:space="preserve">the three new trustees failed </w:t>
      </w:r>
      <w:r w:rsidR="00CA66A2" w:rsidRPr="00027790">
        <w:rPr>
          <w:sz w:val="26"/>
          <w:szCs w:val="26"/>
        </w:rPr>
        <w:t xml:space="preserve">or refused </w:t>
      </w:r>
      <w:r w:rsidR="004E6B5A" w:rsidRPr="00027790">
        <w:rPr>
          <w:sz w:val="26"/>
          <w:szCs w:val="26"/>
        </w:rPr>
        <w:t xml:space="preserve">to sign the necessary documents in order to be formally appointed by the Master of the High Court. </w:t>
      </w:r>
      <w:r w:rsidR="00CA66A2" w:rsidRPr="00027790">
        <w:rPr>
          <w:sz w:val="26"/>
          <w:szCs w:val="26"/>
        </w:rPr>
        <w:t>The applicant also complains that it was not afforded an opportunity to deal with this aspect before the first respondent, and has dealt with it in a replying affidavit in these proceedings.</w:t>
      </w:r>
      <w:r>
        <w:rPr>
          <w:sz w:val="26"/>
          <w:szCs w:val="26"/>
        </w:rPr>
        <w:t xml:space="preserve"> On the other hand, the written submissions submitted on behalf of the claimants in the appeal alleged that the new </w:t>
      </w:r>
      <w:r w:rsidR="00784F75">
        <w:rPr>
          <w:sz w:val="26"/>
          <w:szCs w:val="26"/>
        </w:rPr>
        <w:t>t</w:t>
      </w:r>
      <w:r>
        <w:rPr>
          <w:sz w:val="26"/>
          <w:szCs w:val="26"/>
        </w:rPr>
        <w:t xml:space="preserve">rustees </w:t>
      </w:r>
      <w:r w:rsidR="00784F75">
        <w:rPr>
          <w:sz w:val="26"/>
          <w:szCs w:val="26"/>
        </w:rPr>
        <w:t xml:space="preserve">did indeed </w:t>
      </w:r>
      <w:r>
        <w:rPr>
          <w:sz w:val="26"/>
          <w:szCs w:val="26"/>
        </w:rPr>
        <w:t>submit the</w:t>
      </w:r>
      <w:r w:rsidR="00784F75">
        <w:rPr>
          <w:sz w:val="26"/>
          <w:szCs w:val="26"/>
        </w:rPr>
        <w:t>se</w:t>
      </w:r>
      <w:r>
        <w:rPr>
          <w:sz w:val="26"/>
          <w:szCs w:val="26"/>
        </w:rPr>
        <w:t xml:space="preserve"> documents</w:t>
      </w:r>
      <w:r w:rsidR="00784F75">
        <w:rPr>
          <w:sz w:val="26"/>
          <w:szCs w:val="26"/>
        </w:rPr>
        <w:t xml:space="preserve"> in question for forwarding to the Master, and point to</w:t>
      </w:r>
      <w:r w:rsidR="00784F75" w:rsidRPr="00784F75">
        <w:rPr>
          <w:sz w:val="26"/>
          <w:szCs w:val="26"/>
        </w:rPr>
        <w:t xml:space="preserve"> </w:t>
      </w:r>
      <w:r w:rsidR="00784F75">
        <w:rPr>
          <w:sz w:val="26"/>
          <w:szCs w:val="26"/>
        </w:rPr>
        <w:t xml:space="preserve">an agenda item of a meeting held on 5 October 2017 </w:t>
      </w:r>
      <w:r w:rsidR="00784F75">
        <w:rPr>
          <w:sz w:val="26"/>
          <w:szCs w:val="26"/>
        </w:rPr>
        <w:lastRenderedPageBreak/>
        <w:t>in support of this allegation</w:t>
      </w:r>
      <w:r>
        <w:rPr>
          <w:sz w:val="26"/>
          <w:szCs w:val="26"/>
        </w:rPr>
        <w:t xml:space="preserve">. </w:t>
      </w:r>
      <w:r w:rsidR="00784F75">
        <w:rPr>
          <w:sz w:val="26"/>
          <w:szCs w:val="26"/>
        </w:rPr>
        <w:t>As I have said, this issue arises in these proceedings in the replying affidavit and is otherwise not dealt with by the respondents. This is a</w:t>
      </w:r>
      <w:r w:rsidR="009C4402">
        <w:rPr>
          <w:sz w:val="26"/>
          <w:szCs w:val="26"/>
        </w:rPr>
        <w:t xml:space="preserve"> factual</w:t>
      </w:r>
      <w:r w:rsidR="00784F75">
        <w:rPr>
          <w:sz w:val="26"/>
          <w:szCs w:val="26"/>
        </w:rPr>
        <w:t xml:space="preserve"> aspect </w:t>
      </w:r>
      <w:r w:rsidR="009C4402">
        <w:rPr>
          <w:sz w:val="26"/>
          <w:szCs w:val="26"/>
        </w:rPr>
        <w:t xml:space="preserve">which remains unclear, and which, in any event, </w:t>
      </w:r>
      <w:r w:rsidR="00784F75">
        <w:rPr>
          <w:sz w:val="26"/>
          <w:szCs w:val="26"/>
        </w:rPr>
        <w:t xml:space="preserve">I do not consider appropriate to resolve on the papers, on application of the </w:t>
      </w:r>
      <w:r w:rsidR="00784F75" w:rsidRPr="00784F75">
        <w:rPr>
          <w:i/>
          <w:iCs/>
          <w:sz w:val="26"/>
          <w:szCs w:val="26"/>
        </w:rPr>
        <w:t>Plascon-Evans</w:t>
      </w:r>
      <w:r w:rsidR="00784F75">
        <w:rPr>
          <w:sz w:val="26"/>
          <w:szCs w:val="26"/>
        </w:rPr>
        <w:t xml:space="preserve"> principle. </w:t>
      </w:r>
    </w:p>
    <w:p w:rsidR="001A4376" w:rsidRPr="00784F75" w:rsidRDefault="001A4376" w:rsidP="00784F75">
      <w:pPr>
        <w:rPr>
          <w:sz w:val="26"/>
          <w:szCs w:val="26"/>
        </w:rPr>
      </w:pPr>
    </w:p>
    <w:p w:rsidR="004E6B5A" w:rsidRPr="001A4376" w:rsidRDefault="001A4376" w:rsidP="001A4376">
      <w:pPr>
        <w:pStyle w:val="ListParagraph"/>
        <w:numPr>
          <w:ilvl w:val="0"/>
          <w:numId w:val="1"/>
        </w:numPr>
        <w:spacing w:line="360" w:lineRule="auto"/>
        <w:ind w:left="0" w:firstLine="142"/>
        <w:jc w:val="both"/>
        <w:rPr>
          <w:sz w:val="26"/>
          <w:szCs w:val="26"/>
        </w:rPr>
      </w:pPr>
      <w:r>
        <w:rPr>
          <w:sz w:val="26"/>
          <w:szCs w:val="26"/>
        </w:rPr>
        <w:t xml:space="preserve">For now, it suffices to </w:t>
      </w:r>
      <w:r w:rsidR="00784F75">
        <w:rPr>
          <w:sz w:val="26"/>
          <w:szCs w:val="26"/>
        </w:rPr>
        <w:t>set out</w:t>
      </w:r>
      <w:r w:rsidR="001E6929">
        <w:rPr>
          <w:sz w:val="26"/>
          <w:szCs w:val="26"/>
        </w:rPr>
        <w:t xml:space="preserve"> the legal implications </w:t>
      </w:r>
      <w:r>
        <w:rPr>
          <w:sz w:val="26"/>
          <w:szCs w:val="26"/>
        </w:rPr>
        <w:t xml:space="preserve">regarding the status of the trustees. </w:t>
      </w:r>
      <w:r w:rsidR="004E6B5A" w:rsidRPr="001A4376">
        <w:rPr>
          <w:sz w:val="26"/>
          <w:szCs w:val="26"/>
        </w:rPr>
        <w:t xml:space="preserve">In </w:t>
      </w:r>
      <w:r w:rsidR="004E6B5A" w:rsidRPr="001A4376">
        <w:rPr>
          <w:i/>
          <w:sz w:val="26"/>
          <w:szCs w:val="26"/>
        </w:rPr>
        <w:t>Meijer NO and another v First Rand Bank Ltd</w:t>
      </w:r>
      <w:r w:rsidR="004E6B5A">
        <w:rPr>
          <w:rStyle w:val="FootnoteReference"/>
          <w:i/>
          <w:sz w:val="26"/>
          <w:szCs w:val="26"/>
        </w:rPr>
        <w:footnoteReference w:id="4"/>
      </w:r>
      <w:r w:rsidR="004E6B5A" w:rsidRPr="001A4376">
        <w:rPr>
          <w:sz w:val="26"/>
          <w:szCs w:val="26"/>
        </w:rPr>
        <w:t xml:space="preserve"> </w:t>
      </w:r>
      <w:r w:rsidR="001E6929">
        <w:rPr>
          <w:sz w:val="26"/>
          <w:szCs w:val="26"/>
        </w:rPr>
        <w:t>it was</w:t>
      </w:r>
      <w:r w:rsidR="00BE59FE">
        <w:rPr>
          <w:sz w:val="26"/>
          <w:szCs w:val="26"/>
        </w:rPr>
        <w:t xml:space="preserve"> </w:t>
      </w:r>
      <w:r w:rsidR="004E6B5A" w:rsidRPr="001A4376">
        <w:rPr>
          <w:sz w:val="26"/>
          <w:szCs w:val="26"/>
        </w:rPr>
        <w:t xml:space="preserve">held that in order for </w:t>
      </w:r>
      <w:r w:rsidR="00CA2581">
        <w:rPr>
          <w:sz w:val="26"/>
          <w:szCs w:val="26"/>
        </w:rPr>
        <w:t xml:space="preserve">the </w:t>
      </w:r>
      <w:r w:rsidR="004E6B5A" w:rsidRPr="001A4376">
        <w:rPr>
          <w:sz w:val="26"/>
          <w:szCs w:val="26"/>
        </w:rPr>
        <w:t xml:space="preserve">resignation of a </w:t>
      </w:r>
      <w:r>
        <w:rPr>
          <w:sz w:val="26"/>
          <w:szCs w:val="26"/>
        </w:rPr>
        <w:t>t</w:t>
      </w:r>
      <w:r w:rsidR="004E6B5A" w:rsidRPr="001A4376">
        <w:rPr>
          <w:sz w:val="26"/>
          <w:szCs w:val="26"/>
        </w:rPr>
        <w:t xml:space="preserve">rustee to be effective in terms of the Trust Property Control Act the </w:t>
      </w:r>
      <w:r>
        <w:rPr>
          <w:sz w:val="26"/>
          <w:szCs w:val="26"/>
        </w:rPr>
        <w:t>t</w:t>
      </w:r>
      <w:r w:rsidR="004E6B5A" w:rsidRPr="001A4376">
        <w:rPr>
          <w:sz w:val="26"/>
          <w:szCs w:val="26"/>
        </w:rPr>
        <w:t>rustee must show that written notice was sen</w:t>
      </w:r>
      <w:r>
        <w:rPr>
          <w:sz w:val="26"/>
          <w:szCs w:val="26"/>
        </w:rPr>
        <w:t>t</w:t>
      </w:r>
      <w:r w:rsidR="004E6B5A" w:rsidRPr="001A4376">
        <w:rPr>
          <w:sz w:val="26"/>
          <w:szCs w:val="26"/>
        </w:rPr>
        <w:t xml:space="preserve"> to the Master and the a</w:t>
      </w:r>
      <w:r>
        <w:rPr>
          <w:sz w:val="26"/>
          <w:szCs w:val="26"/>
        </w:rPr>
        <w:t xml:space="preserve">ffected </w:t>
      </w:r>
      <w:r w:rsidR="004E6B5A" w:rsidRPr="001A4376">
        <w:rPr>
          <w:sz w:val="26"/>
          <w:szCs w:val="26"/>
        </w:rPr>
        <w:t>beneficiaries</w:t>
      </w:r>
      <w:r w:rsidR="001E6929">
        <w:rPr>
          <w:sz w:val="26"/>
          <w:szCs w:val="26"/>
        </w:rPr>
        <w:t>,</w:t>
      </w:r>
      <w:r w:rsidR="004E6B5A" w:rsidRPr="001A4376">
        <w:rPr>
          <w:sz w:val="26"/>
          <w:szCs w:val="26"/>
        </w:rPr>
        <w:t xml:space="preserve"> and that the Master acknowledge</w:t>
      </w:r>
      <w:r w:rsidR="001E6929">
        <w:rPr>
          <w:sz w:val="26"/>
          <w:szCs w:val="26"/>
        </w:rPr>
        <w:t>d</w:t>
      </w:r>
      <w:r w:rsidR="004E6B5A" w:rsidRPr="001A4376">
        <w:rPr>
          <w:sz w:val="26"/>
          <w:szCs w:val="26"/>
        </w:rPr>
        <w:t xml:space="preserve"> receipt of such notice.</w:t>
      </w:r>
      <w:r w:rsidR="004E6B5A">
        <w:rPr>
          <w:rStyle w:val="FootnoteReference"/>
          <w:sz w:val="26"/>
          <w:szCs w:val="26"/>
        </w:rPr>
        <w:footnoteReference w:id="5"/>
      </w:r>
      <w:r w:rsidR="004E6B5A" w:rsidRPr="001A4376">
        <w:rPr>
          <w:sz w:val="26"/>
          <w:szCs w:val="26"/>
        </w:rPr>
        <w:t xml:space="preserve">  </w:t>
      </w:r>
      <w:r w:rsidR="001E6929">
        <w:rPr>
          <w:sz w:val="26"/>
          <w:szCs w:val="26"/>
        </w:rPr>
        <w:t xml:space="preserve">Otherwise, </w:t>
      </w:r>
      <w:r w:rsidR="004E6B5A" w:rsidRPr="001A4376">
        <w:rPr>
          <w:sz w:val="26"/>
          <w:szCs w:val="26"/>
        </w:rPr>
        <w:t xml:space="preserve">a Trust Deed instrument </w:t>
      </w:r>
      <w:r w:rsidR="001E6929">
        <w:rPr>
          <w:sz w:val="26"/>
          <w:szCs w:val="26"/>
        </w:rPr>
        <w:t>may</w:t>
      </w:r>
      <w:r w:rsidR="004E6B5A" w:rsidRPr="001A4376">
        <w:rPr>
          <w:sz w:val="26"/>
          <w:szCs w:val="26"/>
        </w:rPr>
        <w:t xml:space="preserve"> provide for resignation of a </w:t>
      </w:r>
      <w:r w:rsidR="001E6929">
        <w:rPr>
          <w:sz w:val="26"/>
          <w:szCs w:val="26"/>
        </w:rPr>
        <w:t>t</w:t>
      </w:r>
      <w:r w:rsidR="004E6B5A" w:rsidRPr="001A4376">
        <w:rPr>
          <w:sz w:val="26"/>
          <w:szCs w:val="26"/>
        </w:rPr>
        <w:t xml:space="preserve">rustee in a certain manner, in which case compliance with that provision </w:t>
      </w:r>
      <w:r w:rsidR="001E6929">
        <w:rPr>
          <w:sz w:val="26"/>
          <w:szCs w:val="26"/>
        </w:rPr>
        <w:t>will suffice, especially in instances where the Master has not acknowledged receipt of the notification which has been shown to have been sent to the Master’s office</w:t>
      </w:r>
      <w:r w:rsidR="004E6B5A" w:rsidRPr="001A4376">
        <w:rPr>
          <w:sz w:val="26"/>
          <w:szCs w:val="26"/>
        </w:rPr>
        <w:t xml:space="preserve">.  In particular, it is possible for a Trust Deed to contain a clause that a </w:t>
      </w:r>
      <w:r w:rsidR="001E6929">
        <w:rPr>
          <w:sz w:val="26"/>
          <w:szCs w:val="26"/>
        </w:rPr>
        <w:t>t</w:t>
      </w:r>
      <w:r w:rsidR="004E6B5A" w:rsidRPr="001A4376">
        <w:rPr>
          <w:sz w:val="26"/>
          <w:szCs w:val="26"/>
        </w:rPr>
        <w:t>rustee’s resignation will be effective from the date upon which the Master receives notice of such resignation.</w:t>
      </w:r>
      <w:r w:rsidR="004E6B5A">
        <w:rPr>
          <w:rStyle w:val="FootnoteReference"/>
          <w:sz w:val="26"/>
          <w:szCs w:val="26"/>
        </w:rPr>
        <w:footnoteReference w:id="6"/>
      </w:r>
      <w:r w:rsidR="004E6B5A" w:rsidRPr="001A4376">
        <w:rPr>
          <w:sz w:val="26"/>
          <w:szCs w:val="26"/>
        </w:rPr>
        <w:t xml:space="preserve"> </w:t>
      </w:r>
      <w:r w:rsidR="001E6929">
        <w:rPr>
          <w:sz w:val="26"/>
          <w:szCs w:val="26"/>
        </w:rPr>
        <w:t>In the present case</w:t>
      </w:r>
      <w:r w:rsidR="00CA2581">
        <w:rPr>
          <w:sz w:val="26"/>
          <w:szCs w:val="26"/>
        </w:rPr>
        <w:t>,</w:t>
      </w:r>
      <w:r w:rsidR="001E6929">
        <w:rPr>
          <w:sz w:val="26"/>
          <w:szCs w:val="26"/>
        </w:rPr>
        <w:t xml:space="preserve"> the Trust Deed makes no such provision.</w:t>
      </w:r>
      <w:r w:rsidR="004E6B5A" w:rsidRPr="001A4376">
        <w:rPr>
          <w:sz w:val="26"/>
          <w:szCs w:val="26"/>
        </w:rPr>
        <w:t xml:space="preserve"> </w:t>
      </w:r>
      <w:r w:rsidR="001E6929">
        <w:rPr>
          <w:sz w:val="26"/>
          <w:szCs w:val="26"/>
        </w:rPr>
        <w:t>It does not provide for the transitional period after the resignation of a trustee, but before the Master has confirmed receipt of notice of such resignation.</w:t>
      </w:r>
    </w:p>
    <w:p w:rsidR="004E6B5A" w:rsidRDefault="004E6B5A" w:rsidP="004E6B5A">
      <w:pPr>
        <w:pStyle w:val="ListParagraph"/>
        <w:spacing w:line="360" w:lineRule="auto"/>
        <w:ind w:left="142"/>
        <w:jc w:val="both"/>
        <w:rPr>
          <w:sz w:val="26"/>
          <w:szCs w:val="26"/>
        </w:rPr>
      </w:pPr>
    </w:p>
    <w:p w:rsidR="00CC01D1" w:rsidRPr="00CC01D1" w:rsidRDefault="004E6B5A" w:rsidP="0078687B">
      <w:pPr>
        <w:pStyle w:val="ListParagraph"/>
        <w:numPr>
          <w:ilvl w:val="0"/>
          <w:numId w:val="1"/>
        </w:numPr>
        <w:spacing w:line="360" w:lineRule="auto"/>
        <w:ind w:left="-142" w:firstLine="284"/>
        <w:jc w:val="both"/>
        <w:rPr>
          <w:i/>
          <w:sz w:val="26"/>
          <w:szCs w:val="26"/>
        </w:rPr>
      </w:pPr>
      <w:r w:rsidRPr="00784C88">
        <w:rPr>
          <w:sz w:val="26"/>
          <w:szCs w:val="26"/>
        </w:rPr>
        <w:t xml:space="preserve">The </w:t>
      </w:r>
      <w:r w:rsidR="001E6929" w:rsidRPr="00784C88">
        <w:rPr>
          <w:sz w:val="26"/>
          <w:szCs w:val="26"/>
        </w:rPr>
        <w:t>implica</w:t>
      </w:r>
      <w:r w:rsidRPr="00784C88">
        <w:rPr>
          <w:sz w:val="26"/>
          <w:szCs w:val="26"/>
        </w:rPr>
        <w:t xml:space="preserve">tion of </w:t>
      </w:r>
      <w:r w:rsidRPr="00784C88">
        <w:rPr>
          <w:i/>
          <w:sz w:val="26"/>
          <w:szCs w:val="26"/>
        </w:rPr>
        <w:t xml:space="preserve">Meijer </w:t>
      </w:r>
      <w:r w:rsidR="001E6929" w:rsidRPr="00784C88">
        <w:rPr>
          <w:sz w:val="26"/>
          <w:szCs w:val="26"/>
        </w:rPr>
        <w:t>to the present case is</w:t>
      </w:r>
      <w:r w:rsidRPr="00784C88">
        <w:rPr>
          <w:sz w:val="26"/>
          <w:szCs w:val="26"/>
        </w:rPr>
        <w:t xml:space="preserve"> that </w:t>
      </w:r>
      <w:r w:rsidR="001E6929" w:rsidRPr="00784C88">
        <w:rPr>
          <w:sz w:val="26"/>
          <w:szCs w:val="26"/>
        </w:rPr>
        <w:t>the default position provided for in terms of section 21 of the Trust Property Control Act applies. T</w:t>
      </w:r>
      <w:r w:rsidRPr="00784C88">
        <w:rPr>
          <w:sz w:val="26"/>
          <w:szCs w:val="26"/>
        </w:rPr>
        <w:t xml:space="preserve">he </w:t>
      </w:r>
      <w:r w:rsidR="001E6929" w:rsidRPr="00784C88">
        <w:rPr>
          <w:sz w:val="26"/>
          <w:szCs w:val="26"/>
        </w:rPr>
        <w:t>t</w:t>
      </w:r>
      <w:r w:rsidRPr="00784C88">
        <w:rPr>
          <w:sz w:val="26"/>
          <w:szCs w:val="26"/>
        </w:rPr>
        <w:t xml:space="preserve">rustees whose names </w:t>
      </w:r>
      <w:r w:rsidR="001E6929" w:rsidRPr="00784C88">
        <w:rPr>
          <w:sz w:val="26"/>
          <w:szCs w:val="26"/>
        </w:rPr>
        <w:t>a</w:t>
      </w:r>
      <w:r w:rsidRPr="00784C88">
        <w:rPr>
          <w:sz w:val="26"/>
          <w:szCs w:val="26"/>
        </w:rPr>
        <w:t xml:space="preserve">re reflected in the </w:t>
      </w:r>
      <w:r w:rsidR="001E6929" w:rsidRPr="00784C88">
        <w:rPr>
          <w:sz w:val="26"/>
          <w:szCs w:val="26"/>
        </w:rPr>
        <w:t>L</w:t>
      </w:r>
      <w:r w:rsidRPr="00784C88">
        <w:rPr>
          <w:sz w:val="26"/>
          <w:szCs w:val="26"/>
        </w:rPr>
        <w:t xml:space="preserve">etters of </w:t>
      </w:r>
      <w:r w:rsidR="001E6929" w:rsidRPr="00784C88">
        <w:rPr>
          <w:sz w:val="26"/>
          <w:szCs w:val="26"/>
        </w:rPr>
        <w:t>A</w:t>
      </w:r>
      <w:r w:rsidRPr="00784C88">
        <w:rPr>
          <w:sz w:val="26"/>
          <w:szCs w:val="26"/>
        </w:rPr>
        <w:t xml:space="preserve">uthority were authorised to sign the consent document for the appointment of Surrey Holmes. </w:t>
      </w:r>
      <w:r w:rsidR="001E6929" w:rsidRPr="00784C88">
        <w:rPr>
          <w:sz w:val="26"/>
          <w:szCs w:val="26"/>
        </w:rPr>
        <w:t>They</w:t>
      </w:r>
      <w:r w:rsidRPr="00784C88">
        <w:rPr>
          <w:sz w:val="26"/>
          <w:szCs w:val="26"/>
        </w:rPr>
        <w:t xml:space="preserve"> were not precluded from signing the consent document on 23 August 2017.  The corollary is that it is questionable whether the three </w:t>
      </w:r>
      <w:r w:rsidR="00784C88" w:rsidRPr="00784C88">
        <w:rPr>
          <w:sz w:val="26"/>
          <w:szCs w:val="26"/>
        </w:rPr>
        <w:t>‘</w:t>
      </w:r>
      <w:r w:rsidRPr="00784C88">
        <w:rPr>
          <w:sz w:val="26"/>
          <w:szCs w:val="26"/>
        </w:rPr>
        <w:t>new</w:t>
      </w:r>
      <w:r w:rsidR="00784C88" w:rsidRPr="00784C88">
        <w:rPr>
          <w:sz w:val="26"/>
          <w:szCs w:val="26"/>
        </w:rPr>
        <w:t>’</w:t>
      </w:r>
      <w:r w:rsidRPr="00784C88">
        <w:rPr>
          <w:sz w:val="26"/>
          <w:szCs w:val="26"/>
        </w:rPr>
        <w:t xml:space="preserve"> </w:t>
      </w:r>
      <w:r w:rsidR="00784C88" w:rsidRPr="00784C88">
        <w:rPr>
          <w:sz w:val="26"/>
          <w:szCs w:val="26"/>
        </w:rPr>
        <w:t>t</w:t>
      </w:r>
      <w:r w:rsidRPr="00784C88">
        <w:rPr>
          <w:sz w:val="26"/>
          <w:szCs w:val="26"/>
        </w:rPr>
        <w:t xml:space="preserve">rustees were entitled to sign the documents </w:t>
      </w:r>
      <w:r w:rsidR="00784C88" w:rsidRPr="00784C88">
        <w:rPr>
          <w:sz w:val="26"/>
          <w:szCs w:val="26"/>
        </w:rPr>
        <w:t>before</w:t>
      </w:r>
      <w:r w:rsidRPr="00784C88">
        <w:rPr>
          <w:sz w:val="26"/>
          <w:szCs w:val="26"/>
        </w:rPr>
        <w:t xml:space="preserve"> </w:t>
      </w:r>
      <w:r w:rsidR="00784C88" w:rsidRPr="00784C88">
        <w:rPr>
          <w:sz w:val="26"/>
          <w:szCs w:val="26"/>
        </w:rPr>
        <w:t>receiving L</w:t>
      </w:r>
      <w:r w:rsidRPr="00784C88">
        <w:rPr>
          <w:sz w:val="26"/>
          <w:szCs w:val="26"/>
        </w:rPr>
        <w:t xml:space="preserve">etters of </w:t>
      </w:r>
      <w:r w:rsidR="00784C88" w:rsidRPr="00784C88">
        <w:rPr>
          <w:sz w:val="26"/>
          <w:szCs w:val="26"/>
        </w:rPr>
        <w:t>A</w:t>
      </w:r>
      <w:r w:rsidRPr="00784C88">
        <w:rPr>
          <w:sz w:val="26"/>
          <w:szCs w:val="26"/>
        </w:rPr>
        <w:t xml:space="preserve">uthority from </w:t>
      </w:r>
      <w:r w:rsidRPr="00784C88">
        <w:rPr>
          <w:sz w:val="26"/>
          <w:szCs w:val="26"/>
        </w:rPr>
        <w:lastRenderedPageBreak/>
        <w:t xml:space="preserve">the Master.  </w:t>
      </w:r>
      <w:r w:rsidR="00784C88" w:rsidRPr="00784C88">
        <w:rPr>
          <w:sz w:val="26"/>
          <w:szCs w:val="26"/>
        </w:rPr>
        <w:t xml:space="preserve">As it turns out from the new evidence in the replying affidavit, they </w:t>
      </w:r>
      <w:r w:rsidR="00CA2581">
        <w:rPr>
          <w:sz w:val="26"/>
          <w:szCs w:val="26"/>
        </w:rPr>
        <w:t xml:space="preserve">may not have </w:t>
      </w:r>
      <w:r w:rsidR="00784C88" w:rsidRPr="00784C88">
        <w:rPr>
          <w:sz w:val="26"/>
          <w:szCs w:val="26"/>
        </w:rPr>
        <w:t xml:space="preserve">had authority to sign the documents as trustees. </w:t>
      </w:r>
    </w:p>
    <w:p w:rsidR="00CC01D1" w:rsidRPr="00CC01D1" w:rsidRDefault="00CC01D1" w:rsidP="00CC01D1">
      <w:pPr>
        <w:pStyle w:val="ListParagraph"/>
        <w:rPr>
          <w:sz w:val="26"/>
          <w:szCs w:val="26"/>
        </w:rPr>
      </w:pPr>
    </w:p>
    <w:p w:rsidR="000B1FDA" w:rsidRPr="00CA2581" w:rsidRDefault="00CA2581" w:rsidP="0078687B">
      <w:pPr>
        <w:pStyle w:val="ListParagraph"/>
        <w:numPr>
          <w:ilvl w:val="0"/>
          <w:numId w:val="1"/>
        </w:numPr>
        <w:spacing w:line="360" w:lineRule="auto"/>
        <w:ind w:left="-142" w:firstLine="284"/>
        <w:jc w:val="both"/>
        <w:rPr>
          <w:i/>
          <w:sz w:val="26"/>
          <w:szCs w:val="26"/>
        </w:rPr>
      </w:pPr>
      <w:r w:rsidRPr="00CC01D1">
        <w:rPr>
          <w:sz w:val="26"/>
          <w:szCs w:val="26"/>
        </w:rPr>
        <w:t xml:space="preserve">To </w:t>
      </w:r>
      <w:r w:rsidR="00EE169E" w:rsidRPr="00CC01D1">
        <w:rPr>
          <w:sz w:val="26"/>
          <w:szCs w:val="26"/>
        </w:rPr>
        <w:t xml:space="preserve">conclude this aspect, to </w:t>
      </w:r>
      <w:r w:rsidRPr="00CC01D1">
        <w:rPr>
          <w:sz w:val="26"/>
          <w:szCs w:val="26"/>
        </w:rPr>
        <w:t>the extent that</w:t>
      </w:r>
      <w:r>
        <w:rPr>
          <w:sz w:val="26"/>
          <w:szCs w:val="26"/>
        </w:rPr>
        <w:t xml:space="preserve"> </w:t>
      </w:r>
      <w:r w:rsidR="00EE169E">
        <w:rPr>
          <w:sz w:val="26"/>
          <w:szCs w:val="26"/>
        </w:rPr>
        <w:t xml:space="preserve">the first respondent failed to have regard to the Letters of Authority when construing the consent document, she </w:t>
      </w:r>
      <w:r w:rsidR="00EE169E" w:rsidRPr="00EE169E">
        <w:rPr>
          <w:sz w:val="26"/>
          <w:szCs w:val="26"/>
        </w:rPr>
        <w:t>failed to take into account relevant considerations. Moreover, her decision in that regard was not rationally connected to the information that was before her, namely the Letters of Authority. Furthermore, her decision to reject the Letters of Authority was materially influenced by an error of law.</w:t>
      </w:r>
    </w:p>
    <w:p w:rsidR="00CA2581" w:rsidRPr="00CA2581" w:rsidRDefault="00CA2581" w:rsidP="00CA2581">
      <w:pPr>
        <w:spacing w:line="360" w:lineRule="auto"/>
        <w:jc w:val="both"/>
        <w:rPr>
          <w:iCs/>
          <w:sz w:val="26"/>
          <w:szCs w:val="26"/>
        </w:rPr>
      </w:pPr>
    </w:p>
    <w:p w:rsidR="00C3406B" w:rsidRPr="0078687B" w:rsidRDefault="0078687B" w:rsidP="0078687B">
      <w:pPr>
        <w:pStyle w:val="ListParagraph"/>
        <w:numPr>
          <w:ilvl w:val="0"/>
          <w:numId w:val="1"/>
        </w:numPr>
        <w:spacing w:line="360" w:lineRule="auto"/>
        <w:ind w:left="0" w:firstLine="142"/>
        <w:jc w:val="both"/>
        <w:rPr>
          <w:i/>
          <w:sz w:val="26"/>
          <w:szCs w:val="26"/>
        </w:rPr>
      </w:pPr>
      <w:r w:rsidRPr="0078687B">
        <w:rPr>
          <w:sz w:val="26"/>
          <w:szCs w:val="26"/>
        </w:rPr>
        <w:t>I now turn to the first respondent’s</w:t>
      </w:r>
      <w:r w:rsidR="0030010E" w:rsidRPr="0078687B">
        <w:rPr>
          <w:sz w:val="26"/>
          <w:szCs w:val="26"/>
        </w:rPr>
        <w:t xml:space="preserve"> </w:t>
      </w:r>
      <w:r w:rsidR="00866737" w:rsidRPr="0078687B">
        <w:rPr>
          <w:sz w:val="26"/>
          <w:szCs w:val="26"/>
        </w:rPr>
        <w:t xml:space="preserve">decision </w:t>
      </w:r>
      <w:r w:rsidR="004565C2" w:rsidRPr="0078687B">
        <w:rPr>
          <w:sz w:val="26"/>
          <w:szCs w:val="26"/>
        </w:rPr>
        <w:t>based on the provisions of</w:t>
      </w:r>
      <w:r w:rsidR="00866737" w:rsidRPr="0078687B">
        <w:rPr>
          <w:sz w:val="26"/>
          <w:szCs w:val="26"/>
        </w:rPr>
        <w:t xml:space="preserve"> the Trust Deed. </w:t>
      </w:r>
      <w:r w:rsidR="00620763" w:rsidRPr="0078687B">
        <w:rPr>
          <w:sz w:val="26"/>
          <w:szCs w:val="26"/>
        </w:rPr>
        <w:t xml:space="preserve"> She concluded that clauses 4, 13 and 32 of the Trust Deed </w:t>
      </w:r>
      <w:r w:rsidRPr="0078687B">
        <w:rPr>
          <w:sz w:val="26"/>
          <w:szCs w:val="26"/>
        </w:rPr>
        <w:t>do</w:t>
      </w:r>
      <w:r w:rsidR="00620763" w:rsidRPr="0078687B">
        <w:rPr>
          <w:sz w:val="26"/>
          <w:szCs w:val="26"/>
        </w:rPr>
        <w:t xml:space="preserve"> not grant an open discretion </w:t>
      </w:r>
      <w:r w:rsidR="00620763" w:rsidRPr="0078687B">
        <w:rPr>
          <w:iCs/>
          <w:sz w:val="26"/>
          <w:szCs w:val="26"/>
        </w:rPr>
        <w:t xml:space="preserve">to the </w:t>
      </w:r>
      <w:r w:rsidR="00C3406B" w:rsidRPr="0078687B">
        <w:rPr>
          <w:iCs/>
          <w:sz w:val="26"/>
          <w:szCs w:val="26"/>
        </w:rPr>
        <w:t>t</w:t>
      </w:r>
      <w:r w:rsidR="00620763" w:rsidRPr="0078687B">
        <w:rPr>
          <w:iCs/>
          <w:sz w:val="26"/>
          <w:szCs w:val="26"/>
        </w:rPr>
        <w:t xml:space="preserve">rustees </w:t>
      </w:r>
      <w:r w:rsidR="00620763" w:rsidRPr="0078687B">
        <w:rPr>
          <w:sz w:val="26"/>
          <w:szCs w:val="26"/>
        </w:rPr>
        <w:t xml:space="preserve">to act on behalf of the </w:t>
      </w:r>
      <w:r w:rsidR="00C3406B" w:rsidRPr="0078687B">
        <w:rPr>
          <w:sz w:val="26"/>
          <w:szCs w:val="26"/>
        </w:rPr>
        <w:t>applicant</w:t>
      </w:r>
      <w:r w:rsidR="00620763" w:rsidRPr="0078687B">
        <w:rPr>
          <w:sz w:val="26"/>
          <w:szCs w:val="26"/>
        </w:rPr>
        <w:t>.</w:t>
      </w:r>
      <w:r w:rsidR="00620763" w:rsidRPr="0078687B">
        <w:rPr>
          <w:i/>
          <w:sz w:val="26"/>
          <w:szCs w:val="26"/>
        </w:rPr>
        <w:t xml:space="preserve"> </w:t>
      </w:r>
      <w:r w:rsidRPr="0078687B">
        <w:rPr>
          <w:sz w:val="26"/>
          <w:szCs w:val="26"/>
        </w:rPr>
        <w:t xml:space="preserve">The context for this observation appears from the complaint that claimants in the appeal did not support the recommendation by the trustees to approve the development proposal by Surrey Holmes and that, as a result: the trustees acted </w:t>
      </w:r>
      <w:r w:rsidRPr="0078687B">
        <w:rPr>
          <w:i/>
          <w:sz w:val="26"/>
          <w:szCs w:val="26"/>
        </w:rPr>
        <w:t xml:space="preserve">ultra vires </w:t>
      </w:r>
      <w:r w:rsidR="00CC01D1">
        <w:rPr>
          <w:sz w:val="26"/>
          <w:szCs w:val="26"/>
        </w:rPr>
        <w:t xml:space="preserve">the </w:t>
      </w:r>
      <w:r w:rsidRPr="0078687B">
        <w:rPr>
          <w:sz w:val="26"/>
          <w:szCs w:val="26"/>
        </w:rPr>
        <w:t xml:space="preserve">terms of the Trust Deed and did not have a legal mandate to appoint Surrey Holmes; Headland Planners did not have </w:t>
      </w:r>
      <w:r w:rsidRPr="0078687B">
        <w:rPr>
          <w:i/>
          <w:sz w:val="26"/>
          <w:szCs w:val="26"/>
        </w:rPr>
        <w:t xml:space="preserve">locus standi </w:t>
      </w:r>
      <w:r w:rsidRPr="0078687B">
        <w:rPr>
          <w:sz w:val="26"/>
          <w:szCs w:val="26"/>
        </w:rPr>
        <w:t xml:space="preserve">to lodge the application on behalf of Surrey Holmes and/or the applicant. </w:t>
      </w:r>
    </w:p>
    <w:p w:rsidR="00C3406B" w:rsidRPr="00C3406B" w:rsidRDefault="00C3406B" w:rsidP="00C3406B">
      <w:pPr>
        <w:pStyle w:val="ListParagraph"/>
        <w:rPr>
          <w:sz w:val="26"/>
          <w:szCs w:val="26"/>
        </w:rPr>
      </w:pPr>
    </w:p>
    <w:p w:rsidR="004667B5" w:rsidRPr="00C3406B" w:rsidRDefault="004667B5" w:rsidP="00C3406B">
      <w:pPr>
        <w:pStyle w:val="ListParagraph"/>
        <w:numPr>
          <w:ilvl w:val="0"/>
          <w:numId w:val="1"/>
        </w:numPr>
        <w:spacing w:line="360" w:lineRule="auto"/>
        <w:ind w:left="0" w:firstLine="142"/>
        <w:jc w:val="both"/>
        <w:rPr>
          <w:sz w:val="26"/>
          <w:szCs w:val="26"/>
        </w:rPr>
      </w:pPr>
      <w:r w:rsidRPr="00C3406B">
        <w:rPr>
          <w:sz w:val="26"/>
          <w:szCs w:val="26"/>
        </w:rPr>
        <w:t>Clause 4 of the Trust Deed sets out the main</w:t>
      </w:r>
      <w:r w:rsidR="007C3138" w:rsidRPr="00C3406B">
        <w:rPr>
          <w:sz w:val="26"/>
          <w:szCs w:val="26"/>
        </w:rPr>
        <w:t xml:space="preserve"> objectives of the Trust as follows:</w:t>
      </w:r>
    </w:p>
    <w:p w:rsidR="00865D74" w:rsidRPr="00865D74" w:rsidRDefault="00865D74" w:rsidP="00865D74">
      <w:pPr>
        <w:pStyle w:val="ListParagraph"/>
        <w:rPr>
          <w:sz w:val="26"/>
          <w:szCs w:val="26"/>
        </w:rPr>
      </w:pPr>
    </w:p>
    <w:p w:rsidR="007C3138" w:rsidRDefault="007C3138" w:rsidP="00C3406B">
      <w:pPr>
        <w:pStyle w:val="ListParagraph"/>
        <w:ind w:left="1440"/>
        <w:jc w:val="both"/>
        <w:rPr>
          <w:sz w:val="22"/>
          <w:szCs w:val="22"/>
        </w:rPr>
      </w:pPr>
      <w:r w:rsidRPr="00C3406B">
        <w:rPr>
          <w:sz w:val="22"/>
          <w:szCs w:val="22"/>
        </w:rPr>
        <w:t>“The Trust was created for the following purposes:</w:t>
      </w:r>
    </w:p>
    <w:p w:rsidR="00C3406B" w:rsidRPr="00C3406B" w:rsidRDefault="00C3406B" w:rsidP="00C3406B">
      <w:pPr>
        <w:pStyle w:val="ListParagraph"/>
        <w:ind w:left="1440"/>
        <w:jc w:val="both"/>
        <w:rPr>
          <w:sz w:val="22"/>
          <w:szCs w:val="22"/>
        </w:rPr>
      </w:pPr>
    </w:p>
    <w:p w:rsidR="00C3406B" w:rsidRDefault="007C3138" w:rsidP="00C3406B">
      <w:pPr>
        <w:pStyle w:val="ListParagraph"/>
        <w:ind w:left="1440"/>
        <w:jc w:val="both"/>
        <w:rPr>
          <w:sz w:val="22"/>
          <w:szCs w:val="22"/>
        </w:rPr>
      </w:pPr>
      <w:r w:rsidRPr="00C3406B">
        <w:rPr>
          <w:sz w:val="22"/>
          <w:szCs w:val="22"/>
        </w:rPr>
        <w:t>4.1</w:t>
      </w:r>
      <w:r w:rsidRPr="00C3406B">
        <w:rPr>
          <w:sz w:val="22"/>
          <w:szCs w:val="22"/>
        </w:rPr>
        <w:tab/>
        <w:t>To hold the designated land in common of the benefit of the members.</w:t>
      </w:r>
    </w:p>
    <w:p w:rsidR="00C3406B" w:rsidRPr="00C3406B" w:rsidRDefault="00C3406B" w:rsidP="00C3406B">
      <w:pPr>
        <w:pStyle w:val="ListParagraph"/>
        <w:ind w:left="1440"/>
        <w:jc w:val="both"/>
        <w:rPr>
          <w:sz w:val="22"/>
          <w:szCs w:val="22"/>
        </w:rPr>
      </w:pPr>
    </w:p>
    <w:p w:rsidR="007C3138" w:rsidRDefault="007C3138" w:rsidP="00C3406B">
      <w:pPr>
        <w:pStyle w:val="ListParagraph"/>
        <w:ind w:left="2160" w:hanging="720"/>
        <w:jc w:val="both"/>
        <w:rPr>
          <w:sz w:val="22"/>
          <w:szCs w:val="22"/>
        </w:rPr>
      </w:pPr>
      <w:r w:rsidRPr="00C3406B">
        <w:rPr>
          <w:sz w:val="22"/>
          <w:szCs w:val="22"/>
        </w:rPr>
        <w:t>4.2</w:t>
      </w:r>
      <w:r w:rsidRPr="00C3406B">
        <w:rPr>
          <w:sz w:val="22"/>
          <w:szCs w:val="22"/>
        </w:rPr>
        <w:tab/>
        <w:t>The acquisition, development, improvement and administration of any rights, properties and interests</w:t>
      </w:r>
      <w:r w:rsidR="00960853" w:rsidRPr="00C3406B">
        <w:rPr>
          <w:sz w:val="22"/>
          <w:szCs w:val="22"/>
        </w:rPr>
        <w:t xml:space="preserve"> of the </w:t>
      </w:r>
      <w:r w:rsidR="00C3406B">
        <w:rPr>
          <w:sz w:val="22"/>
          <w:szCs w:val="22"/>
        </w:rPr>
        <w:t>t</w:t>
      </w:r>
      <w:r w:rsidR="00960853" w:rsidRPr="00C3406B">
        <w:rPr>
          <w:sz w:val="22"/>
          <w:szCs w:val="22"/>
        </w:rPr>
        <w:t>rust for the benefit of the members.</w:t>
      </w:r>
    </w:p>
    <w:p w:rsidR="00C3406B" w:rsidRPr="00C3406B" w:rsidRDefault="00C3406B" w:rsidP="00C3406B">
      <w:pPr>
        <w:pStyle w:val="ListParagraph"/>
        <w:ind w:left="2160" w:hanging="720"/>
        <w:jc w:val="both"/>
        <w:rPr>
          <w:sz w:val="22"/>
          <w:szCs w:val="22"/>
        </w:rPr>
      </w:pPr>
    </w:p>
    <w:p w:rsidR="00960853" w:rsidRPr="00C3406B" w:rsidRDefault="00960853" w:rsidP="00C3406B">
      <w:pPr>
        <w:pStyle w:val="ListParagraph"/>
        <w:ind w:left="2160" w:hanging="720"/>
        <w:jc w:val="both"/>
        <w:rPr>
          <w:sz w:val="22"/>
          <w:szCs w:val="22"/>
        </w:rPr>
      </w:pPr>
      <w:r w:rsidRPr="00C3406B">
        <w:rPr>
          <w:sz w:val="22"/>
          <w:szCs w:val="22"/>
        </w:rPr>
        <w:t>4.3</w:t>
      </w:r>
      <w:r w:rsidRPr="00C3406B">
        <w:rPr>
          <w:sz w:val="22"/>
          <w:szCs w:val="22"/>
        </w:rPr>
        <w:tab/>
        <w:t>The car</w:t>
      </w:r>
      <w:r w:rsidR="00C3406B">
        <w:rPr>
          <w:sz w:val="22"/>
          <w:szCs w:val="22"/>
        </w:rPr>
        <w:t>ry</w:t>
      </w:r>
      <w:r w:rsidRPr="00C3406B">
        <w:rPr>
          <w:sz w:val="22"/>
          <w:szCs w:val="22"/>
        </w:rPr>
        <w:t>ing out of further activities to address the needs of the members”.</w:t>
      </w:r>
    </w:p>
    <w:p w:rsidR="00960853" w:rsidRPr="007C3138" w:rsidRDefault="00960853" w:rsidP="00416768">
      <w:pPr>
        <w:pStyle w:val="ListParagraph"/>
        <w:spacing w:line="360" w:lineRule="auto"/>
        <w:ind w:left="1440" w:hanging="720"/>
        <w:rPr>
          <w:sz w:val="26"/>
          <w:szCs w:val="26"/>
        </w:rPr>
      </w:pPr>
    </w:p>
    <w:p w:rsidR="007C3138" w:rsidRDefault="006775F8" w:rsidP="00E01D01">
      <w:pPr>
        <w:pStyle w:val="ListParagraph"/>
        <w:numPr>
          <w:ilvl w:val="0"/>
          <w:numId w:val="1"/>
        </w:numPr>
        <w:spacing w:line="360" w:lineRule="auto"/>
        <w:ind w:left="0" w:firstLine="142"/>
        <w:jc w:val="both"/>
        <w:rPr>
          <w:sz w:val="26"/>
          <w:szCs w:val="26"/>
        </w:rPr>
      </w:pPr>
      <w:r>
        <w:rPr>
          <w:sz w:val="26"/>
          <w:szCs w:val="26"/>
        </w:rPr>
        <w:t xml:space="preserve">Clause 13 sets out the powers of the </w:t>
      </w:r>
      <w:r w:rsidR="00C3406B">
        <w:rPr>
          <w:sz w:val="26"/>
          <w:szCs w:val="26"/>
        </w:rPr>
        <w:t>t</w:t>
      </w:r>
      <w:r>
        <w:rPr>
          <w:sz w:val="26"/>
          <w:szCs w:val="26"/>
        </w:rPr>
        <w:t>rustees as follows:</w:t>
      </w:r>
    </w:p>
    <w:p w:rsidR="00C3406B" w:rsidRDefault="00C3406B" w:rsidP="00C3406B">
      <w:pPr>
        <w:pStyle w:val="ListParagraph"/>
        <w:spacing w:line="360" w:lineRule="auto"/>
        <w:ind w:left="142"/>
        <w:jc w:val="both"/>
        <w:rPr>
          <w:sz w:val="26"/>
          <w:szCs w:val="26"/>
        </w:rPr>
      </w:pPr>
    </w:p>
    <w:p w:rsidR="006775F8" w:rsidRDefault="006775F8" w:rsidP="00655840">
      <w:pPr>
        <w:pStyle w:val="ListParagraph"/>
        <w:ind w:left="2410" w:hanging="990"/>
        <w:jc w:val="both"/>
        <w:rPr>
          <w:sz w:val="22"/>
          <w:szCs w:val="22"/>
        </w:rPr>
      </w:pPr>
      <w:r w:rsidRPr="00655840">
        <w:rPr>
          <w:sz w:val="22"/>
          <w:szCs w:val="22"/>
        </w:rPr>
        <w:t>“13.1</w:t>
      </w:r>
      <w:r w:rsidRPr="00655840">
        <w:rPr>
          <w:sz w:val="22"/>
          <w:szCs w:val="22"/>
        </w:rPr>
        <w:tab/>
        <w:t>In furtherance of the main objective of the Trust and subject to the provisions of the Trust Deed, the Trustees shall have the following</w:t>
      </w:r>
      <w:r w:rsidR="00FB6296" w:rsidRPr="00655840">
        <w:rPr>
          <w:sz w:val="22"/>
          <w:szCs w:val="22"/>
        </w:rPr>
        <w:t xml:space="preserve"> powers:</w:t>
      </w:r>
    </w:p>
    <w:p w:rsidR="0078687B" w:rsidRPr="00655840" w:rsidRDefault="0078687B" w:rsidP="00655840">
      <w:pPr>
        <w:pStyle w:val="ListParagraph"/>
        <w:ind w:left="2410" w:hanging="990"/>
        <w:jc w:val="both"/>
        <w:rPr>
          <w:sz w:val="22"/>
          <w:szCs w:val="22"/>
        </w:rPr>
      </w:pPr>
    </w:p>
    <w:p w:rsidR="00FB6296" w:rsidRPr="00655840" w:rsidRDefault="00FB6296" w:rsidP="0078687B">
      <w:pPr>
        <w:pStyle w:val="ListParagraph"/>
        <w:ind w:left="3590" w:hanging="1180"/>
        <w:jc w:val="both"/>
        <w:rPr>
          <w:sz w:val="22"/>
          <w:szCs w:val="22"/>
        </w:rPr>
      </w:pPr>
      <w:r w:rsidRPr="00655840">
        <w:rPr>
          <w:sz w:val="22"/>
          <w:szCs w:val="22"/>
        </w:rPr>
        <w:t>13.1.1</w:t>
      </w:r>
      <w:r w:rsidRPr="00655840">
        <w:rPr>
          <w:sz w:val="22"/>
          <w:szCs w:val="22"/>
        </w:rPr>
        <w:tab/>
      </w:r>
      <w:r w:rsidR="00C3406B" w:rsidRPr="00655840">
        <w:rPr>
          <w:sz w:val="22"/>
          <w:szCs w:val="22"/>
        </w:rPr>
        <w:t>a</w:t>
      </w:r>
      <w:r w:rsidRPr="00655840">
        <w:rPr>
          <w:sz w:val="22"/>
          <w:szCs w:val="22"/>
        </w:rPr>
        <w:t xml:space="preserve"> complete and unfettered discretion in the manner in which they use the total Trust Fund from time to time for the benefit of the members.</w:t>
      </w:r>
    </w:p>
    <w:p w:rsidR="00C3406B" w:rsidRPr="00655840" w:rsidRDefault="00C3406B" w:rsidP="00655840">
      <w:pPr>
        <w:pStyle w:val="ListParagraph"/>
        <w:ind w:left="2410" w:hanging="970"/>
        <w:jc w:val="both"/>
        <w:rPr>
          <w:sz w:val="22"/>
          <w:szCs w:val="22"/>
        </w:rPr>
      </w:pPr>
    </w:p>
    <w:p w:rsidR="00FB6296" w:rsidRPr="00655840" w:rsidRDefault="00FB6296" w:rsidP="0078687B">
      <w:pPr>
        <w:pStyle w:val="ListParagraph"/>
        <w:ind w:left="3590" w:hanging="1180"/>
        <w:jc w:val="both"/>
        <w:rPr>
          <w:sz w:val="22"/>
          <w:szCs w:val="22"/>
        </w:rPr>
      </w:pPr>
      <w:r w:rsidRPr="00655840">
        <w:rPr>
          <w:sz w:val="22"/>
          <w:szCs w:val="22"/>
        </w:rPr>
        <w:t>13.1.2</w:t>
      </w:r>
      <w:r w:rsidRPr="00655840">
        <w:rPr>
          <w:sz w:val="22"/>
          <w:szCs w:val="22"/>
        </w:rPr>
        <w:tab/>
      </w:r>
      <w:r w:rsidR="00C3406B" w:rsidRPr="00655840">
        <w:rPr>
          <w:sz w:val="22"/>
          <w:szCs w:val="22"/>
        </w:rPr>
        <w:t>a</w:t>
      </w:r>
      <w:r w:rsidRPr="00655840">
        <w:rPr>
          <w:sz w:val="22"/>
          <w:szCs w:val="22"/>
        </w:rPr>
        <w:t>ll powers required by the Trustees shall include but not be limited to General Administrative and in Investment Powers attached as Appendix</w:t>
      </w:r>
      <w:r w:rsidR="00DB7AB0" w:rsidRPr="00655840">
        <w:rPr>
          <w:sz w:val="22"/>
          <w:szCs w:val="22"/>
        </w:rPr>
        <w:t xml:space="preserve"> “A”.</w:t>
      </w:r>
    </w:p>
    <w:p w:rsidR="00DB7AB0" w:rsidRPr="00655840" w:rsidRDefault="00DB7AB0" w:rsidP="00655840">
      <w:pPr>
        <w:pStyle w:val="ListParagraph"/>
        <w:ind w:left="2160" w:hanging="720"/>
        <w:jc w:val="both"/>
        <w:rPr>
          <w:sz w:val="22"/>
          <w:szCs w:val="22"/>
        </w:rPr>
      </w:pPr>
    </w:p>
    <w:p w:rsidR="00DB7AB0" w:rsidRDefault="00DB7AB0" w:rsidP="00655840">
      <w:pPr>
        <w:pStyle w:val="ListParagraph"/>
        <w:ind w:left="2160" w:hanging="720"/>
        <w:jc w:val="both"/>
        <w:rPr>
          <w:sz w:val="22"/>
          <w:szCs w:val="22"/>
        </w:rPr>
      </w:pPr>
      <w:r w:rsidRPr="00655840">
        <w:rPr>
          <w:sz w:val="22"/>
          <w:szCs w:val="22"/>
        </w:rPr>
        <w:t>13.2</w:t>
      </w:r>
      <w:r w:rsidRPr="00655840">
        <w:rPr>
          <w:sz w:val="22"/>
          <w:szCs w:val="22"/>
        </w:rPr>
        <w:tab/>
        <w:t>Notwithstanding any contrary provisions appearing in this Trust Deed, the powers of the Trustees:</w:t>
      </w:r>
    </w:p>
    <w:p w:rsidR="00655840" w:rsidRPr="00655840" w:rsidRDefault="00655840" w:rsidP="00655840">
      <w:pPr>
        <w:pStyle w:val="ListParagraph"/>
        <w:ind w:left="2160" w:hanging="720"/>
        <w:jc w:val="both"/>
        <w:rPr>
          <w:sz w:val="22"/>
          <w:szCs w:val="22"/>
        </w:rPr>
      </w:pPr>
    </w:p>
    <w:p w:rsidR="00DB7AB0" w:rsidRDefault="00DB7AB0" w:rsidP="00655840">
      <w:pPr>
        <w:pStyle w:val="ListParagraph"/>
        <w:ind w:left="2410" w:hanging="250"/>
        <w:jc w:val="both"/>
        <w:rPr>
          <w:sz w:val="22"/>
          <w:szCs w:val="22"/>
        </w:rPr>
      </w:pPr>
      <w:r w:rsidRPr="00655840">
        <w:rPr>
          <w:sz w:val="22"/>
          <w:szCs w:val="22"/>
        </w:rPr>
        <w:t>13.2.1</w:t>
      </w:r>
      <w:r w:rsidRPr="00655840">
        <w:rPr>
          <w:sz w:val="22"/>
          <w:szCs w:val="22"/>
        </w:rPr>
        <w:tab/>
      </w:r>
      <w:r w:rsidR="00655840" w:rsidRPr="00655840">
        <w:rPr>
          <w:sz w:val="22"/>
          <w:szCs w:val="22"/>
        </w:rPr>
        <w:t>m</w:t>
      </w:r>
      <w:r w:rsidR="00A64C2D" w:rsidRPr="00655840">
        <w:rPr>
          <w:sz w:val="22"/>
          <w:szCs w:val="22"/>
        </w:rPr>
        <w:t>ay be limited in a manner as set out in clause 13.3; and</w:t>
      </w:r>
    </w:p>
    <w:p w:rsidR="00655840" w:rsidRPr="00655840" w:rsidRDefault="00655840" w:rsidP="00655840">
      <w:pPr>
        <w:pStyle w:val="ListParagraph"/>
        <w:ind w:left="2410" w:hanging="250"/>
        <w:jc w:val="both"/>
        <w:rPr>
          <w:sz w:val="22"/>
          <w:szCs w:val="22"/>
        </w:rPr>
      </w:pPr>
    </w:p>
    <w:p w:rsidR="00AF4CEB" w:rsidRPr="00655840" w:rsidRDefault="00A64C2D" w:rsidP="00655840">
      <w:pPr>
        <w:pStyle w:val="ListParagraph"/>
        <w:ind w:left="2410" w:hanging="250"/>
        <w:jc w:val="both"/>
        <w:rPr>
          <w:sz w:val="22"/>
          <w:szCs w:val="22"/>
        </w:rPr>
      </w:pPr>
      <w:r w:rsidRPr="00655840">
        <w:rPr>
          <w:sz w:val="22"/>
          <w:szCs w:val="22"/>
        </w:rPr>
        <w:t>13.2.2</w:t>
      </w:r>
      <w:r w:rsidRPr="00655840">
        <w:rPr>
          <w:sz w:val="22"/>
          <w:szCs w:val="22"/>
        </w:rPr>
        <w:tab/>
        <w:t>be limited in a manner as set out in clause 13.4</w:t>
      </w:r>
      <w:r w:rsidR="00AF4CEB" w:rsidRPr="00655840">
        <w:rPr>
          <w:sz w:val="22"/>
          <w:szCs w:val="22"/>
        </w:rPr>
        <w:t>.</w:t>
      </w:r>
    </w:p>
    <w:p w:rsidR="00AF4CEB" w:rsidRPr="00655840" w:rsidRDefault="00AF4CEB" w:rsidP="00655840">
      <w:pPr>
        <w:pStyle w:val="ListParagraph"/>
        <w:ind w:left="2410" w:hanging="970"/>
        <w:jc w:val="both"/>
        <w:rPr>
          <w:sz w:val="22"/>
          <w:szCs w:val="22"/>
        </w:rPr>
      </w:pPr>
    </w:p>
    <w:p w:rsidR="00AF4CEB" w:rsidRPr="00655840" w:rsidRDefault="00AF4CEB" w:rsidP="00655840">
      <w:pPr>
        <w:pStyle w:val="ListParagraph"/>
        <w:ind w:left="2158" w:hanging="740"/>
        <w:jc w:val="both"/>
        <w:rPr>
          <w:sz w:val="22"/>
          <w:szCs w:val="22"/>
        </w:rPr>
      </w:pPr>
      <w:r w:rsidRPr="00655840">
        <w:rPr>
          <w:sz w:val="22"/>
          <w:szCs w:val="22"/>
        </w:rPr>
        <w:t>13.3</w:t>
      </w:r>
      <w:r w:rsidRPr="00655840">
        <w:rPr>
          <w:sz w:val="22"/>
          <w:szCs w:val="22"/>
        </w:rPr>
        <w:tab/>
        <w:t>Powers of the Trustees may be limited at any time by means of resolutions passed by the members at a General Meeting</w:t>
      </w:r>
      <w:r w:rsidR="0093246D" w:rsidRPr="00655840">
        <w:rPr>
          <w:sz w:val="22"/>
          <w:szCs w:val="22"/>
        </w:rPr>
        <w:t xml:space="preserve"> duly called and constituted in the manner set out in clause 20.</w:t>
      </w:r>
    </w:p>
    <w:p w:rsidR="00865D74" w:rsidRPr="00655840" w:rsidRDefault="00865D74" w:rsidP="00655840">
      <w:pPr>
        <w:pStyle w:val="ListParagraph"/>
        <w:ind w:left="1418" w:hanging="698"/>
        <w:jc w:val="both"/>
        <w:rPr>
          <w:sz w:val="22"/>
          <w:szCs w:val="22"/>
        </w:rPr>
      </w:pPr>
    </w:p>
    <w:p w:rsidR="00655840" w:rsidRPr="00655840" w:rsidRDefault="0093246D" w:rsidP="00655840">
      <w:pPr>
        <w:pStyle w:val="ListParagraph"/>
        <w:ind w:left="2158" w:hanging="740"/>
        <w:jc w:val="both"/>
        <w:rPr>
          <w:sz w:val="22"/>
          <w:szCs w:val="22"/>
        </w:rPr>
      </w:pPr>
      <w:r w:rsidRPr="00655840">
        <w:rPr>
          <w:sz w:val="22"/>
          <w:szCs w:val="22"/>
        </w:rPr>
        <w:t>13.4</w:t>
      </w:r>
      <w:r w:rsidRPr="00655840">
        <w:rPr>
          <w:sz w:val="22"/>
          <w:szCs w:val="22"/>
        </w:rPr>
        <w:tab/>
      </w:r>
      <w:r w:rsidR="00CC5187" w:rsidRPr="00655840">
        <w:rPr>
          <w:sz w:val="22"/>
          <w:szCs w:val="22"/>
        </w:rPr>
        <w:t>The powers of the Trustees will be limited in terms of clause 32 in so far as matters deemed to be Special Business</w:t>
      </w:r>
      <w:r w:rsidR="00865D34" w:rsidRPr="00655840">
        <w:rPr>
          <w:sz w:val="22"/>
          <w:szCs w:val="22"/>
        </w:rPr>
        <w:t xml:space="preserve"> which can only be </w:t>
      </w:r>
      <w:r w:rsidR="00655840" w:rsidRPr="00655840">
        <w:rPr>
          <w:sz w:val="22"/>
          <w:szCs w:val="22"/>
        </w:rPr>
        <w:t>e</w:t>
      </w:r>
      <w:r w:rsidR="00865D34" w:rsidRPr="00655840">
        <w:rPr>
          <w:sz w:val="22"/>
          <w:szCs w:val="22"/>
        </w:rPr>
        <w:t xml:space="preserve">nacted in terms of resolutions by Members </w:t>
      </w:r>
      <w:r w:rsidR="00F86B95" w:rsidRPr="00655840">
        <w:rPr>
          <w:sz w:val="22"/>
          <w:szCs w:val="22"/>
        </w:rPr>
        <w:t>at a duly called Special Meeting</w:t>
      </w:r>
      <w:r w:rsidR="004013EB" w:rsidRPr="00655840">
        <w:rPr>
          <w:sz w:val="22"/>
          <w:szCs w:val="22"/>
        </w:rPr>
        <w:t>.</w:t>
      </w:r>
      <w:r w:rsidR="00655840" w:rsidRPr="00655840">
        <w:rPr>
          <w:sz w:val="22"/>
          <w:szCs w:val="22"/>
        </w:rPr>
        <w:t>”</w:t>
      </w:r>
      <w:r w:rsidR="004013EB" w:rsidRPr="00655840">
        <w:rPr>
          <w:sz w:val="22"/>
          <w:szCs w:val="22"/>
        </w:rPr>
        <w:t xml:space="preserve"> </w:t>
      </w:r>
    </w:p>
    <w:p w:rsidR="00655840" w:rsidRDefault="00655840" w:rsidP="00655840">
      <w:pPr>
        <w:spacing w:line="360" w:lineRule="auto"/>
        <w:jc w:val="both"/>
        <w:rPr>
          <w:sz w:val="26"/>
          <w:szCs w:val="26"/>
        </w:rPr>
      </w:pPr>
    </w:p>
    <w:p w:rsidR="00865D74" w:rsidRDefault="004013EB" w:rsidP="00655840">
      <w:pPr>
        <w:pStyle w:val="ListParagraph"/>
        <w:numPr>
          <w:ilvl w:val="0"/>
          <w:numId w:val="1"/>
        </w:numPr>
        <w:spacing w:line="360" w:lineRule="auto"/>
        <w:ind w:left="0" w:firstLine="142"/>
        <w:jc w:val="both"/>
        <w:rPr>
          <w:sz w:val="26"/>
          <w:szCs w:val="26"/>
        </w:rPr>
      </w:pPr>
      <w:r w:rsidRPr="00655840">
        <w:rPr>
          <w:sz w:val="26"/>
          <w:szCs w:val="26"/>
        </w:rPr>
        <w:t xml:space="preserve">Clause 32 provides for </w:t>
      </w:r>
      <w:r w:rsidR="00655840">
        <w:rPr>
          <w:sz w:val="26"/>
          <w:szCs w:val="26"/>
        </w:rPr>
        <w:t>‘S</w:t>
      </w:r>
      <w:r w:rsidRPr="00655840">
        <w:rPr>
          <w:sz w:val="26"/>
          <w:szCs w:val="26"/>
        </w:rPr>
        <w:t xml:space="preserve">pecial </w:t>
      </w:r>
      <w:r w:rsidR="00655840">
        <w:rPr>
          <w:sz w:val="26"/>
          <w:szCs w:val="26"/>
        </w:rPr>
        <w:t>B</w:t>
      </w:r>
      <w:r w:rsidRPr="00655840">
        <w:rPr>
          <w:sz w:val="26"/>
          <w:szCs w:val="26"/>
        </w:rPr>
        <w:t>usiness</w:t>
      </w:r>
      <w:r w:rsidR="00655840">
        <w:rPr>
          <w:sz w:val="26"/>
          <w:szCs w:val="26"/>
        </w:rPr>
        <w:t>’</w:t>
      </w:r>
      <w:r w:rsidRPr="00655840">
        <w:rPr>
          <w:sz w:val="26"/>
          <w:szCs w:val="26"/>
        </w:rPr>
        <w:t xml:space="preserve"> as follows:</w:t>
      </w:r>
    </w:p>
    <w:p w:rsidR="00655840" w:rsidRPr="00655840" w:rsidRDefault="00655840" w:rsidP="00655840">
      <w:pPr>
        <w:pStyle w:val="ListParagraph"/>
        <w:spacing w:line="360" w:lineRule="auto"/>
        <w:ind w:left="142"/>
        <w:jc w:val="both"/>
        <w:rPr>
          <w:sz w:val="26"/>
          <w:szCs w:val="26"/>
        </w:rPr>
      </w:pPr>
    </w:p>
    <w:p w:rsidR="004013EB" w:rsidRPr="00655840" w:rsidRDefault="004013EB" w:rsidP="00655840">
      <w:pPr>
        <w:pStyle w:val="ListParagraph"/>
        <w:ind w:left="2116" w:hanging="698"/>
        <w:jc w:val="both"/>
        <w:rPr>
          <w:sz w:val="22"/>
          <w:szCs w:val="22"/>
        </w:rPr>
      </w:pPr>
      <w:r w:rsidRPr="00655840">
        <w:rPr>
          <w:sz w:val="22"/>
          <w:szCs w:val="22"/>
        </w:rPr>
        <w:t>“32.1</w:t>
      </w:r>
      <w:r w:rsidRPr="00655840">
        <w:rPr>
          <w:sz w:val="22"/>
          <w:szCs w:val="22"/>
        </w:rPr>
        <w:tab/>
        <w:t>Notwithstanding any contrary provision in this Trust Deed, no decision of the Board regarding a matter that represents a Special Business will be valid unless it is approved at a Special General Meeting, duly convened in a manner as aforesaid, and the notice convening this meeting must set forth the nature of this Special Business to be considered.</w:t>
      </w:r>
    </w:p>
    <w:p w:rsidR="004013EB" w:rsidRDefault="004013EB" w:rsidP="004013EB">
      <w:pPr>
        <w:pStyle w:val="ListParagraph"/>
        <w:spacing w:line="360" w:lineRule="auto"/>
        <w:ind w:left="2116" w:hanging="698"/>
        <w:jc w:val="both"/>
        <w:rPr>
          <w:sz w:val="26"/>
          <w:szCs w:val="26"/>
        </w:rPr>
      </w:pPr>
    </w:p>
    <w:p w:rsidR="004013EB" w:rsidRPr="00655840" w:rsidRDefault="004013EB" w:rsidP="00655840">
      <w:pPr>
        <w:pStyle w:val="ListParagraph"/>
        <w:ind w:left="2116" w:hanging="698"/>
        <w:jc w:val="both"/>
        <w:rPr>
          <w:sz w:val="22"/>
          <w:szCs w:val="22"/>
        </w:rPr>
      </w:pPr>
      <w:r w:rsidRPr="00655840">
        <w:rPr>
          <w:sz w:val="22"/>
          <w:szCs w:val="22"/>
        </w:rPr>
        <w:t>32.2</w:t>
      </w:r>
      <w:r w:rsidR="006F31EB" w:rsidRPr="00655840">
        <w:rPr>
          <w:sz w:val="22"/>
          <w:szCs w:val="22"/>
        </w:rPr>
        <w:tab/>
        <w:t>Any matter involving the following matters will be deemed to be a Special Business:</w:t>
      </w:r>
    </w:p>
    <w:p w:rsidR="00655840" w:rsidRPr="00655840" w:rsidRDefault="00655840" w:rsidP="00655840">
      <w:pPr>
        <w:pStyle w:val="ListParagraph"/>
        <w:ind w:left="2116" w:hanging="698"/>
        <w:jc w:val="both"/>
        <w:rPr>
          <w:sz w:val="22"/>
          <w:szCs w:val="22"/>
        </w:rPr>
      </w:pPr>
    </w:p>
    <w:p w:rsidR="006F31EB" w:rsidRPr="00655840" w:rsidRDefault="006F31EB" w:rsidP="00655840">
      <w:pPr>
        <w:pStyle w:val="ListParagraph"/>
        <w:ind w:left="2835" w:hanging="719"/>
        <w:jc w:val="both"/>
        <w:rPr>
          <w:sz w:val="22"/>
          <w:szCs w:val="22"/>
        </w:rPr>
      </w:pPr>
      <w:r w:rsidRPr="00655840">
        <w:rPr>
          <w:sz w:val="22"/>
          <w:szCs w:val="22"/>
        </w:rPr>
        <w:t>32.2.1</w:t>
      </w:r>
      <w:r w:rsidRPr="00655840">
        <w:rPr>
          <w:sz w:val="22"/>
          <w:szCs w:val="22"/>
        </w:rPr>
        <w:tab/>
      </w:r>
      <w:r w:rsidR="00655840" w:rsidRPr="00655840">
        <w:rPr>
          <w:sz w:val="22"/>
          <w:szCs w:val="22"/>
        </w:rPr>
        <w:tab/>
      </w:r>
      <w:r w:rsidRPr="00655840">
        <w:rPr>
          <w:sz w:val="22"/>
          <w:szCs w:val="22"/>
        </w:rPr>
        <w:t>The sale, transfer or pledging by way of mortgage of any immovable property</w:t>
      </w:r>
      <w:r w:rsidR="00655840" w:rsidRPr="00655840">
        <w:rPr>
          <w:sz w:val="22"/>
          <w:szCs w:val="22"/>
        </w:rPr>
        <w:t>.</w:t>
      </w:r>
    </w:p>
    <w:p w:rsidR="00655840" w:rsidRPr="00655840" w:rsidRDefault="00655840" w:rsidP="00655840">
      <w:pPr>
        <w:pStyle w:val="ListParagraph"/>
        <w:ind w:left="2835" w:hanging="719"/>
        <w:jc w:val="both"/>
        <w:rPr>
          <w:sz w:val="22"/>
          <w:szCs w:val="22"/>
        </w:rPr>
      </w:pPr>
    </w:p>
    <w:p w:rsidR="006F31EB" w:rsidRPr="00655840" w:rsidRDefault="006F31EB" w:rsidP="00655840">
      <w:pPr>
        <w:pStyle w:val="ListParagraph"/>
        <w:ind w:left="2835" w:hanging="719"/>
        <w:jc w:val="both"/>
        <w:rPr>
          <w:sz w:val="22"/>
          <w:szCs w:val="22"/>
        </w:rPr>
      </w:pPr>
      <w:r w:rsidRPr="00655840">
        <w:rPr>
          <w:sz w:val="22"/>
          <w:szCs w:val="22"/>
        </w:rPr>
        <w:t>32.2.2</w:t>
      </w:r>
      <w:r w:rsidRPr="00655840">
        <w:rPr>
          <w:sz w:val="22"/>
          <w:szCs w:val="22"/>
        </w:rPr>
        <w:tab/>
        <w:t>Any changes to the terms of the Trust Deed, including the proposed change of the name of the Trust</w:t>
      </w:r>
      <w:r w:rsidR="00655840" w:rsidRPr="00655840">
        <w:rPr>
          <w:sz w:val="22"/>
          <w:szCs w:val="22"/>
        </w:rPr>
        <w:t>.</w:t>
      </w:r>
    </w:p>
    <w:p w:rsidR="00655840" w:rsidRPr="00655840" w:rsidRDefault="00655840" w:rsidP="00655840">
      <w:pPr>
        <w:pStyle w:val="ListParagraph"/>
        <w:ind w:left="2835" w:hanging="719"/>
        <w:jc w:val="both"/>
        <w:rPr>
          <w:sz w:val="22"/>
          <w:szCs w:val="22"/>
        </w:rPr>
      </w:pPr>
    </w:p>
    <w:p w:rsidR="006F31EB" w:rsidRPr="00655840" w:rsidRDefault="006F31EB" w:rsidP="00655840">
      <w:pPr>
        <w:pStyle w:val="ListParagraph"/>
        <w:ind w:left="2835" w:hanging="719"/>
        <w:jc w:val="both"/>
        <w:rPr>
          <w:sz w:val="22"/>
          <w:szCs w:val="22"/>
        </w:rPr>
      </w:pPr>
      <w:r w:rsidRPr="00655840">
        <w:rPr>
          <w:sz w:val="22"/>
          <w:szCs w:val="22"/>
        </w:rPr>
        <w:t>32.2.3</w:t>
      </w:r>
      <w:r w:rsidRPr="00655840">
        <w:rPr>
          <w:sz w:val="22"/>
          <w:szCs w:val="22"/>
        </w:rPr>
        <w:tab/>
        <w:t>Any decision to dissolve the Trust ….”</w:t>
      </w:r>
    </w:p>
    <w:p w:rsidR="008932EB" w:rsidRPr="008932EB" w:rsidRDefault="008932EB" w:rsidP="008932EB">
      <w:pPr>
        <w:rPr>
          <w:iCs/>
          <w:sz w:val="26"/>
          <w:szCs w:val="26"/>
        </w:rPr>
      </w:pPr>
    </w:p>
    <w:p w:rsidR="000865E9" w:rsidRPr="00D40AF3" w:rsidRDefault="00D40AF3" w:rsidP="00E01D01">
      <w:pPr>
        <w:pStyle w:val="ListParagraph"/>
        <w:numPr>
          <w:ilvl w:val="0"/>
          <w:numId w:val="1"/>
        </w:numPr>
        <w:spacing w:line="360" w:lineRule="auto"/>
        <w:ind w:left="0" w:firstLine="142"/>
        <w:jc w:val="both"/>
        <w:rPr>
          <w:i/>
          <w:sz w:val="26"/>
          <w:szCs w:val="26"/>
        </w:rPr>
      </w:pPr>
      <w:r>
        <w:rPr>
          <w:sz w:val="26"/>
          <w:szCs w:val="26"/>
        </w:rPr>
        <w:t>It is clear from clause 4.2 of the Trust Deed that the objectives of holding the designated land in common for the benefit of the members, and the development an</w:t>
      </w:r>
      <w:r w:rsidR="00950CF9">
        <w:rPr>
          <w:sz w:val="26"/>
          <w:szCs w:val="26"/>
        </w:rPr>
        <w:t>d</w:t>
      </w:r>
      <w:r>
        <w:rPr>
          <w:sz w:val="26"/>
          <w:szCs w:val="26"/>
        </w:rPr>
        <w:t xml:space="preserve"> improvement of the property for the benefit of the members, form some of the main </w:t>
      </w:r>
      <w:r>
        <w:rPr>
          <w:sz w:val="26"/>
          <w:szCs w:val="26"/>
        </w:rPr>
        <w:lastRenderedPageBreak/>
        <w:t xml:space="preserve">objectives of the Trust.  Then, in terms of clause 13 </w:t>
      </w:r>
      <w:r w:rsidR="00950CF9">
        <w:rPr>
          <w:sz w:val="26"/>
          <w:szCs w:val="26"/>
        </w:rPr>
        <w:t>t</w:t>
      </w:r>
      <w:r>
        <w:rPr>
          <w:sz w:val="26"/>
          <w:szCs w:val="26"/>
        </w:rPr>
        <w:t xml:space="preserve">rustees have all powers required by them which </w:t>
      </w:r>
      <w:r w:rsidR="00950CF9">
        <w:rPr>
          <w:sz w:val="26"/>
          <w:szCs w:val="26"/>
        </w:rPr>
        <w:t>include, i</w:t>
      </w:r>
      <w:r>
        <w:rPr>
          <w:sz w:val="26"/>
          <w:szCs w:val="26"/>
        </w:rPr>
        <w:t>n terms of clause 6 of Appendix A</w:t>
      </w:r>
      <w:r w:rsidR="00950CF9">
        <w:rPr>
          <w:sz w:val="26"/>
          <w:szCs w:val="26"/>
        </w:rPr>
        <w:t xml:space="preserve">, </w:t>
      </w:r>
      <w:r w:rsidRPr="00950CF9">
        <w:rPr>
          <w:i/>
          <w:iCs/>
          <w:sz w:val="26"/>
          <w:szCs w:val="26"/>
        </w:rPr>
        <w:t>“maintaining, managing, developing, renting, selling or dealing with”</w:t>
      </w:r>
      <w:r>
        <w:rPr>
          <w:sz w:val="26"/>
          <w:szCs w:val="26"/>
        </w:rPr>
        <w:t xml:space="preserve"> immovable property in any way.</w:t>
      </w:r>
      <w:r w:rsidR="00AC21D6">
        <w:rPr>
          <w:sz w:val="26"/>
          <w:szCs w:val="26"/>
        </w:rPr>
        <w:t xml:space="preserve">  </w:t>
      </w:r>
    </w:p>
    <w:p w:rsidR="00D40AF3" w:rsidRPr="006C6C21" w:rsidRDefault="00D40AF3" w:rsidP="00D40AF3">
      <w:pPr>
        <w:pStyle w:val="ListParagraph"/>
        <w:rPr>
          <w:iCs/>
          <w:sz w:val="26"/>
          <w:szCs w:val="26"/>
        </w:rPr>
      </w:pPr>
    </w:p>
    <w:p w:rsidR="0088638C" w:rsidRPr="0088638C" w:rsidRDefault="00950CF9" w:rsidP="002D0970">
      <w:pPr>
        <w:pStyle w:val="ListParagraph"/>
        <w:numPr>
          <w:ilvl w:val="0"/>
          <w:numId w:val="1"/>
        </w:numPr>
        <w:spacing w:line="360" w:lineRule="auto"/>
        <w:ind w:left="0" w:firstLine="142"/>
        <w:jc w:val="both"/>
        <w:rPr>
          <w:i/>
          <w:sz w:val="26"/>
          <w:szCs w:val="26"/>
        </w:rPr>
      </w:pPr>
      <w:r>
        <w:rPr>
          <w:sz w:val="26"/>
          <w:szCs w:val="26"/>
        </w:rPr>
        <w:t>Although it is not clear from the decision of the first respondent, it appears that she was persuaded by the claimants’ argument that a Special General Meeting should have been held regarding whether the application for land use should be made.</w:t>
      </w:r>
      <w:r w:rsidR="0088638C">
        <w:rPr>
          <w:sz w:val="26"/>
          <w:szCs w:val="26"/>
        </w:rPr>
        <w:t xml:space="preserve"> That is the implication of her decision that the trustees did not have an </w:t>
      </w:r>
      <w:r w:rsidR="0088638C" w:rsidRPr="0088638C">
        <w:rPr>
          <w:i/>
          <w:iCs/>
          <w:sz w:val="26"/>
          <w:szCs w:val="26"/>
        </w:rPr>
        <w:t>“open discretion to act on behalf of the [applicant]”</w:t>
      </w:r>
      <w:r w:rsidR="0088638C">
        <w:rPr>
          <w:sz w:val="26"/>
          <w:szCs w:val="26"/>
        </w:rPr>
        <w:t xml:space="preserve">. </w:t>
      </w:r>
      <w:r>
        <w:rPr>
          <w:sz w:val="26"/>
          <w:szCs w:val="26"/>
        </w:rPr>
        <w:t xml:space="preserve"> </w:t>
      </w:r>
    </w:p>
    <w:p w:rsidR="0088638C" w:rsidRPr="0088638C" w:rsidRDefault="0088638C" w:rsidP="0088638C">
      <w:pPr>
        <w:pStyle w:val="ListParagraph"/>
        <w:rPr>
          <w:sz w:val="26"/>
          <w:szCs w:val="26"/>
        </w:rPr>
      </w:pPr>
    </w:p>
    <w:p w:rsidR="002D0970" w:rsidRPr="002D0970" w:rsidRDefault="00AC21D6" w:rsidP="002D0970">
      <w:pPr>
        <w:pStyle w:val="ListParagraph"/>
        <w:numPr>
          <w:ilvl w:val="0"/>
          <w:numId w:val="1"/>
        </w:numPr>
        <w:spacing w:line="360" w:lineRule="auto"/>
        <w:ind w:left="0" w:firstLine="142"/>
        <w:jc w:val="both"/>
        <w:rPr>
          <w:i/>
          <w:sz w:val="26"/>
          <w:szCs w:val="26"/>
        </w:rPr>
      </w:pPr>
      <w:r>
        <w:rPr>
          <w:sz w:val="26"/>
          <w:szCs w:val="26"/>
        </w:rPr>
        <w:t xml:space="preserve">Clause 32 </w:t>
      </w:r>
      <w:r w:rsidR="0088638C">
        <w:rPr>
          <w:sz w:val="26"/>
          <w:szCs w:val="26"/>
        </w:rPr>
        <w:t xml:space="preserve">of the Trust Deed </w:t>
      </w:r>
      <w:r>
        <w:rPr>
          <w:sz w:val="26"/>
          <w:szCs w:val="26"/>
        </w:rPr>
        <w:t xml:space="preserve">deals with Special Business, and the calling </w:t>
      </w:r>
      <w:r w:rsidR="00DB4ADC">
        <w:rPr>
          <w:sz w:val="26"/>
          <w:szCs w:val="26"/>
        </w:rPr>
        <w:t xml:space="preserve">of Special General Meetings.  In terms of clause 32.2 any matter involving </w:t>
      </w:r>
      <w:r w:rsidR="00DB4ADC" w:rsidRPr="002D0970">
        <w:rPr>
          <w:i/>
          <w:iCs/>
          <w:sz w:val="26"/>
          <w:szCs w:val="26"/>
        </w:rPr>
        <w:t>“the sale, transfer or pledging by way of mortgage of any immovable property”</w:t>
      </w:r>
      <w:r w:rsidR="00DB4ADC">
        <w:rPr>
          <w:sz w:val="26"/>
          <w:szCs w:val="26"/>
        </w:rPr>
        <w:t xml:space="preserve"> will be deemed to be Special Business. </w:t>
      </w:r>
      <w:r w:rsidR="00DB4ADC" w:rsidRPr="002D0970">
        <w:rPr>
          <w:sz w:val="26"/>
          <w:szCs w:val="26"/>
        </w:rPr>
        <w:t xml:space="preserve">There is no indication anywhere in the record that the application lodged with the Municipality involved sale, transfer or pledging by way of a mortgage of the </w:t>
      </w:r>
      <w:r w:rsidR="002D0970" w:rsidRPr="002D0970">
        <w:rPr>
          <w:sz w:val="26"/>
          <w:szCs w:val="26"/>
        </w:rPr>
        <w:t>applicant</w:t>
      </w:r>
      <w:r w:rsidR="00DB4ADC" w:rsidRPr="002D0970">
        <w:rPr>
          <w:sz w:val="26"/>
          <w:szCs w:val="26"/>
        </w:rPr>
        <w:t xml:space="preserve">’s property.  </w:t>
      </w:r>
    </w:p>
    <w:p w:rsidR="002D0970" w:rsidRPr="002D0970" w:rsidRDefault="002D0970" w:rsidP="002D0970">
      <w:pPr>
        <w:pStyle w:val="ListParagraph"/>
        <w:rPr>
          <w:sz w:val="26"/>
          <w:szCs w:val="26"/>
        </w:rPr>
      </w:pPr>
    </w:p>
    <w:p w:rsidR="002D0970" w:rsidRDefault="002D0970" w:rsidP="0088638C">
      <w:pPr>
        <w:pStyle w:val="ListParagraph"/>
        <w:numPr>
          <w:ilvl w:val="0"/>
          <w:numId w:val="1"/>
        </w:numPr>
        <w:spacing w:line="360" w:lineRule="auto"/>
        <w:ind w:left="0" w:firstLine="142"/>
        <w:jc w:val="both"/>
        <w:rPr>
          <w:sz w:val="26"/>
          <w:szCs w:val="26"/>
        </w:rPr>
      </w:pPr>
      <w:r w:rsidRPr="002D0970">
        <w:rPr>
          <w:sz w:val="26"/>
          <w:szCs w:val="26"/>
        </w:rPr>
        <w:t>F</w:t>
      </w:r>
      <w:r w:rsidR="00DB4ADC" w:rsidRPr="002D0970">
        <w:rPr>
          <w:sz w:val="26"/>
          <w:szCs w:val="26"/>
        </w:rPr>
        <w:t>irst</w:t>
      </w:r>
      <w:r w:rsidRPr="002D0970">
        <w:rPr>
          <w:sz w:val="26"/>
          <w:szCs w:val="26"/>
        </w:rPr>
        <w:t>ly,</w:t>
      </w:r>
      <w:r w:rsidR="00DB4ADC" w:rsidRPr="002D0970">
        <w:rPr>
          <w:sz w:val="26"/>
          <w:szCs w:val="26"/>
        </w:rPr>
        <w:t xml:space="preserve"> the consent document in which the activity to be undertaken by Surrey Holmes was described</w:t>
      </w:r>
      <w:r w:rsidR="0088638C">
        <w:rPr>
          <w:sz w:val="26"/>
          <w:szCs w:val="26"/>
        </w:rPr>
        <w:t xml:space="preserve"> referred to it as</w:t>
      </w:r>
      <w:r w:rsidR="00DB4ADC" w:rsidRPr="002D0970">
        <w:rPr>
          <w:sz w:val="26"/>
          <w:szCs w:val="26"/>
        </w:rPr>
        <w:t xml:space="preserve"> </w:t>
      </w:r>
      <w:r w:rsidR="00DB4ADC" w:rsidRPr="002D0970">
        <w:rPr>
          <w:i/>
          <w:iCs/>
          <w:sz w:val="26"/>
          <w:szCs w:val="26"/>
        </w:rPr>
        <w:t>“proposed construction of a residential</w:t>
      </w:r>
      <w:r w:rsidR="005B7B4D" w:rsidRPr="002D0970">
        <w:rPr>
          <w:i/>
          <w:iCs/>
          <w:sz w:val="26"/>
          <w:szCs w:val="26"/>
        </w:rPr>
        <w:t xml:space="preserve"> development on erf 1692, Franschhoek”</w:t>
      </w:r>
      <w:r w:rsidR="00637CE0" w:rsidRPr="002D0970">
        <w:rPr>
          <w:sz w:val="26"/>
          <w:szCs w:val="26"/>
        </w:rPr>
        <w:t>.</w:t>
      </w:r>
      <w:r w:rsidR="005D504B" w:rsidRPr="002D0970">
        <w:rPr>
          <w:sz w:val="26"/>
          <w:szCs w:val="26"/>
        </w:rPr>
        <w:t xml:space="preserve">  Secondly, the document headed “special power of attorney” in terms of which Headland Planners was authorised to submit </w:t>
      </w:r>
      <w:r w:rsidR="0088638C">
        <w:rPr>
          <w:sz w:val="26"/>
          <w:szCs w:val="26"/>
        </w:rPr>
        <w:t>the</w:t>
      </w:r>
      <w:r w:rsidR="005D504B" w:rsidRPr="002D0970">
        <w:rPr>
          <w:sz w:val="26"/>
          <w:szCs w:val="26"/>
        </w:rPr>
        <w:t xml:space="preserve"> land use application, described the applications to be submitted as a </w:t>
      </w:r>
      <w:r w:rsidRPr="002D0970">
        <w:rPr>
          <w:i/>
          <w:iCs/>
          <w:sz w:val="26"/>
          <w:szCs w:val="26"/>
        </w:rPr>
        <w:t>“</w:t>
      </w:r>
      <w:r w:rsidR="005D504B" w:rsidRPr="002D0970">
        <w:rPr>
          <w:i/>
          <w:iCs/>
          <w:sz w:val="26"/>
          <w:szCs w:val="26"/>
        </w:rPr>
        <w:t>rezoning application, a sub-division application, and removal of restrictions application</w:t>
      </w:r>
      <w:r w:rsidRPr="002D0970">
        <w:rPr>
          <w:sz w:val="26"/>
          <w:szCs w:val="26"/>
        </w:rPr>
        <w:t>”</w:t>
      </w:r>
      <w:r w:rsidR="005D504B" w:rsidRPr="002D0970">
        <w:rPr>
          <w:sz w:val="26"/>
          <w:szCs w:val="26"/>
        </w:rPr>
        <w:t xml:space="preserve">.  </w:t>
      </w:r>
      <w:r w:rsidR="0088638C">
        <w:rPr>
          <w:sz w:val="26"/>
          <w:szCs w:val="26"/>
        </w:rPr>
        <w:t xml:space="preserve">The same language appears in the </w:t>
      </w:r>
      <w:r w:rsidR="005D504B" w:rsidRPr="0088638C">
        <w:rPr>
          <w:sz w:val="26"/>
          <w:szCs w:val="26"/>
        </w:rPr>
        <w:t>Municipality’s approval granted in terms of section 60 of the By-Law</w:t>
      </w:r>
      <w:r w:rsidR="0088638C">
        <w:rPr>
          <w:sz w:val="26"/>
          <w:szCs w:val="26"/>
        </w:rPr>
        <w:t xml:space="preserve">. </w:t>
      </w:r>
      <w:r w:rsidR="005D504B" w:rsidRPr="0088638C">
        <w:rPr>
          <w:sz w:val="26"/>
          <w:szCs w:val="26"/>
        </w:rPr>
        <w:t xml:space="preserve"> </w:t>
      </w:r>
      <w:r w:rsidRPr="0088638C">
        <w:rPr>
          <w:sz w:val="26"/>
          <w:szCs w:val="26"/>
        </w:rPr>
        <w:t>Section 15 of t</w:t>
      </w:r>
      <w:r w:rsidR="005D504B" w:rsidRPr="0088638C">
        <w:rPr>
          <w:sz w:val="26"/>
          <w:szCs w:val="26"/>
        </w:rPr>
        <w:t>he By-Law refers to all these applications</w:t>
      </w:r>
      <w:r w:rsidRPr="0088638C">
        <w:rPr>
          <w:sz w:val="26"/>
          <w:szCs w:val="26"/>
        </w:rPr>
        <w:t xml:space="preserve"> </w:t>
      </w:r>
      <w:r w:rsidR="0088638C">
        <w:rPr>
          <w:sz w:val="26"/>
          <w:szCs w:val="26"/>
        </w:rPr>
        <w:t>-</w:t>
      </w:r>
      <w:r w:rsidRPr="0088638C">
        <w:rPr>
          <w:sz w:val="26"/>
          <w:szCs w:val="26"/>
        </w:rPr>
        <w:t xml:space="preserve"> which are provided</w:t>
      </w:r>
      <w:r w:rsidR="005D504B" w:rsidRPr="0088638C">
        <w:rPr>
          <w:sz w:val="26"/>
          <w:szCs w:val="26"/>
        </w:rPr>
        <w:t xml:space="preserve"> </w:t>
      </w:r>
      <w:r w:rsidRPr="0088638C">
        <w:rPr>
          <w:sz w:val="26"/>
          <w:szCs w:val="26"/>
        </w:rPr>
        <w:t xml:space="preserve">for in sections 17, 18, 20 and 33 - </w:t>
      </w:r>
      <w:r w:rsidR="005D504B" w:rsidRPr="0088638C">
        <w:rPr>
          <w:sz w:val="26"/>
          <w:szCs w:val="26"/>
        </w:rPr>
        <w:t xml:space="preserve">as </w:t>
      </w:r>
      <w:r w:rsidR="005D504B" w:rsidRPr="0088638C">
        <w:rPr>
          <w:i/>
          <w:iCs/>
          <w:sz w:val="26"/>
          <w:szCs w:val="26"/>
        </w:rPr>
        <w:t>“</w:t>
      </w:r>
      <w:r w:rsidR="0028205F" w:rsidRPr="0088638C">
        <w:rPr>
          <w:i/>
          <w:iCs/>
          <w:sz w:val="26"/>
          <w:szCs w:val="26"/>
        </w:rPr>
        <w:t>land development”</w:t>
      </w:r>
      <w:r w:rsidRPr="0088638C">
        <w:rPr>
          <w:sz w:val="26"/>
          <w:szCs w:val="26"/>
        </w:rPr>
        <w:t xml:space="preserve">, which </w:t>
      </w:r>
      <w:r w:rsidR="0028205F" w:rsidRPr="0088638C">
        <w:rPr>
          <w:sz w:val="26"/>
          <w:szCs w:val="26"/>
        </w:rPr>
        <w:t xml:space="preserve">no person may commence without the approval of the Municipality in terms of section 2.  </w:t>
      </w:r>
    </w:p>
    <w:p w:rsidR="00230896" w:rsidRPr="00230896" w:rsidRDefault="00230896" w:rsidP="00230896">
      <w:pPr>
        <w:pStyle w:val="ListParagraph"/>
        <w:rPr>
          <w:sz w:val="26"/>
          <w:szCs w:val="26"/>
        </w:rPr>
      </w:pPr>
    </w:p>
    <w:p w:rsidR="002D0970" w:rsidRDefault="00327104" w:rsidP="002D0970">
      <w:pPr>
        <w:pStyle w:val="ListParagraph"/>
        <w:numPr>
          <w:ilvl w:val="0"/>
          <w:numId w:val="1"/>
        </w:numPr>
        <w:spacing w:line="360" w:lineRule="auto"/>
        <w:ind w:left="0" w:firstLine="142"/>
        <w:jc w:val="both"/>
        <w:rPr>
          <w:sz w:val="26"/>
          <w:szCs w:val="26"/>
        </w:rPr>
      </w:pPr>
      <w:r w:rsidRPr="002D0970">
        <w:rPr>
          <w:sz w:val="26"/>
          <w:szCs w:val="26"/>
        </w:rPr>
        <w:t xml:space="preserve">All indications are therefore that the </w:t>
      </w:r>
      <w:r w:rsidR="002D0970">
        <w:rPr>
          <w:sz w:val="26"/>
          <w:szCs w:val="26"/>
        </w:rPr>
        <w:t xml:space="preserve">land use </w:t>
      </w:r>
      <w:r w:rsidRPr="002D0970">
        <w:rPr>
          <w:sz w:val="26"/>
          <w:szCs w:val="26"/>
        </w:rPr>
        <w:t>application</w:t>
      </w:r>
      <w:r w:rsidR="002D0970">
        <w:rPr>
          <w:sz w:val="26"/>
          <w:szCs w:val="26"/>
        </w:rPr>
        <w:t>s</w:t>
      </w:r>
      <w:r w:rsidRPr="002D0970">
        <w:rPr>
          <w:sz w:val="26"/>
          <w:szCs w:val="26"/>
        </w:rPr>
        <w:t xml:space="preserve"> in question in this matter concerned the development of land</w:t>
      </w:r>
      <w:r w:rsidR="00BA3D29" w:rsidRPr="002D0970">
        <w:rPr>
          <w:sz w:val="26"/>
          <w:szCs w:val="26"/>
        </w:rPr>
        <w:t>.  As such, such a decision did</w:t>
      </w:r>
      <w:r w:rsidRPr="002D0970">
        <w:rPr>
          <w:sz w:val="26"/>
          <w:szCs w:val="26"/>
        </w:rPr>
        <w:t xml:space="preserve"> not require</w:t>
      </w:r>
      <w:r w:rsidR="00BA3D29" w:rsidRPr="002D0970">
        <w:rPr>
          <w:sz w:val="26"/>
          <w:szCs w:val="26"/>
        </w:rPr>
        <w:t xml:space="preserve"> a Special </w:t>
      </w:r>
      <w:r w:rsidR="00BA3D29" w:rsidRPr="002D0970">
        <w:rPr>
          <w:sz w:val="26"/>
          <w:szCs w:val="26"/>
        </w:rPr>
        <w:lastRenderedPageBreak/>
        <w:t xml:space="preserve">General Meeting of the </w:t>
      </w:r>
      <w:r w:rsidR="002D0970">
        <w:rPr>
          <w:sz w:val="26"/>
          <w:szCs w:val="26"/>
        </w:rPr>
        <w:t>applicant</w:t>
      </w:r>
      <w:r w:rsidR="00BA3D29" w:rsidRPr="002D0970">
        <w:rPr>
          <w:sz w:val="26"/>
          <w:szCs w:val="26"/>
        </w:rPr>
        <w:t xml:space="preserve"> in terms of clause 32</w:t>
      </w:r>
      <w:r w:rsidR="002D0970">
        <w:rPr>
          <w:sz w:val="26"/>
          <w:szCs w:val="26"/>
        </w:rPr>
        <w:t xml:space="preserve"> of the Trust Deed</w:t>
      </w:r>
      <w:r w:rsidR="00E82173" w:rsidRPr="002D0970">
        <w:rPr>
          <w:sz w:val="26"/>
          <w:szCs w:val="26"/>
        </w:rPr>
        <w:t xml:space="preserve">.  Furthermore, the </w:t>
      </w:r>
      <w:r w:rsidR="002D0970">
        <w:rPr>
          <w:sz w:val="26"/>
          <w:szCs w:val="26"/>
        </w:rPr>
        <w:t>t</w:t>
      </w:r>
      <w:r w:rsidR="00E82173" w:rsidRPr="002D0970">
        <w:rPr>
          <w:sz w:val="26"/>
          <w:szCs w:val="26"/>
        </w:rPr>
        <w:t>rustees were entitled to deal with the matter as provided for in Appendix A, read with clause 13 of the Trust Deed.</w:t>
      </w:r>
      <w:r w:rsidR="008C201B" w:rsidRPr="002D0970">
        <w:rPr>
          <w:sz w:val="26"/>
          <w:szCs w:val="26"/>
        </w:rPr>
        <w:t xml:space="preserve">  In this regard therefore, the decision of the first respondent at paragraph 1.2.h of her decision took into account irrelevant considerations </w:t>
      </w:r>
      <w:r w:rsidR="00BD74F3">
        <w:rPr>
          <w:sz w:val="26"/>
          <w:szCs w:val="26"/>
        </w:rPr>
        <w:t>in</w:t>
      </w:r>
      <w:r w:rsidR="008C201B" w:rsidRPr="002D0970">
        <w:rPr>
          <w:sz w:val="26"/>
          <w:szCs w:val="26"/>
        </w:rPr>
        <w:t xml:space="preserve">sofar as she </w:t>
      </w:r>
      <w:r w:rsidR="0088638C">
        <w:rPr>
          <w:sz w:val="26"/>
          <w:szCs w:val="26"/>
        </w:rPr>
        <w:t>concluded</w:t>
      </w:r>
      <w:r w:rsidR="008C201B" w:rsidRPr="002D0970">
        <w:rPr>
          <w:sz w:val="26"/>
          <w:szCs w:val="26"/>
        </w:rPr>
        <w:t xml:space="preserve"> that clause 32 of the Trust Deed was applicable in the circumstances of this matter.</w:t>
      </w:r>
    </w:p>
    <w:p w:rsidR="00237CD2" w:rsidRPr="00237CD2" w:rsidRDefault="00237CD2" w:rsidP="00237CD2">
      <w:pPr>
        <w:pStyle w:val="ListParagraph"/>
        <w:rPr>
          <w:sz w:val="26"/>
          <w:szCs w:val="26"/>
        </w:rPr>
      </w:pPr>
    </w:p>
    <w:p w:rsidR="00237CD2" w:rsidRDefault="00237CD2" w:rsidP="00237CD2">
      <w:pPr>
        <w:pStyle w:val="ListParagraph"/>
        <w:numPr>
          <w:ilvl w:val="0"/>
          <w:numId w:val="1"/>
        </w:numPr>
        <w:spacing w:line="360" w:lineRule="auto"/>
        <w:ind w:left="0" w:firstLine="142"/>
        <w:jc w:val="both"/>
        <w:rPr>
          <w:sz w:val="26"/>
          <w:szCs w:val="26"/>
        </w:rPr>
      </w:pPr>
      <w:r>
        <w:rPr>
          <w:sz w:val="26"/>
          <w:szCs w:val="26"/>
        </w:rPr>
        <w:t>Lastly, there is also the issue of first respondent’s belief that the claimants in the appeal comprised 90% of the beneficiaries of the applicant, an issue which is disputed by the applicant.  This is an allegation relied upon by the first respondent in these proceedings, although it does not appear in her decision.  The issue was, however raised by the aggrieved claimants in the appeal before her, where it was stated as a fact.  However, the names attached in support of that averment at the appeals stage were 33 individuals out of a total of approximately 254 individual beneficiaries per group amongst some 40 claimant groups.  To the extent that the decision of the first respondent relied on the allegation that the aggrieved claimants comprised the majority numbering of 90% of the beneficiaries, this indicates a failure to take into account relevant considerations as well as taking into account irrelevant considerations.</w:t>
      </w:r>
    </w:p>
    <w:p w:rsidR="002D0970" w:rsidRPr="0088638C" w:rsidRDefault="002D0970" w:rsidP="0088638C">
      <w:pPr>
        <w:rPr>
          <w:sz w:val="26"/>
          <w:szCs w:val="26"/>
        </w:rPr>
      </w:pPr>
    </w:p>
    <w:p w:rsidR="000865E9" w:rsidRDefault="006D4EF7" w:rsidP="00E01D01">
      <w:pPr>
        <w:pStyle w:val="ListParagraph"/>
        <w:numPr>
          <w:ilvl w:val="0"/>
          <w:numId w:val="1"/>
        </w:numPr>
        <w:spacing w:line="360" w:lineRule="auto"/>
        <w:ind w:left="0" w:firstLine="142"/>
        <w:jc w:val="both"/>
        <w:rPr>
          <w:sz w:val="26"/>
          <w:szCs w:val="26"/>
        </w:rPr>
      </w:pPr>
      <w:r>
        <w:rPr>
          <w:sz w:val="26"/>
          <w:szCs w:val="26"/>
        </w:rPr>
        <w:t xml:space="preserve">For all the above </w:t>
      </w:r>
      <w:r w:rsidR="00BD74F3">
        <w:rPr>
          <w:sz w:val="26"/>
          <w:szCs w:val="26"/>
        </w:rPr>
        <w:t>reas</w:t>
      </w:r>
      <w:r>
        <w:rPr>
          <w:sz w:val="26"/>
          <w:szCs w:val="26"/>
        </w:rPr>
        <w:t xml:space="preserve">ons, the decision of the first respondent </w:t>
      </w:r>
      <w:r w:rsidR="00BD74F3">
        <w:rPr>
          <w:sz w:val="26"/>
          <w:szCs w:val="26"/>
        </w:rPr>
        <w:t xml:space="preserve">is reviewable and should </w:t>
      </w:r>
      <w:r>
        <w:rPr>
          <w:sz w:val="26"/>
          <w:szCs w:val="26"/>
        </w:rPr>
        <w:t>be set asid</w:t>
      </w:r>
      <w:r w:rsidR="00FF4E2C">
        <w:rPr>
          <w:sz w:val="26"/>
          <w:szCs w:val="26"/>
        </w:rPr>
        <w:t>e.  The question is what relief</w:t>
      </w:r>
      <w:r>
        <w:rPr>
          <w:sz w:val="26"/>
          <w:szCs w:val="26"/>
        </w:rPr>
        <w:t xml:space="preserve"> should be granted.  I am of the view that it is appropriate that the matter be remitted back to the </w:t>
      </w:r>
      <w:r w:rsidR="00F87FB1">
        <w:rPr>
          <w:sz w:val="26"/>
          <w:szCs w:val="26"/>
        </w:rPr>
        <w:t>a</w:t>
      </w:r>
      <w:r>
        <w:rPr>
          <w:sz w:val="26"/>
          <w:szCs w:val="26"/>
        </w:rPr>
        <w:t xml:space="preserve">ppeal </w:t>
      </w:r>
      <w:r w:rsidR="00F87FB1">
        <w:rPr>
          <w:sz w:val="26"/>
          <w:szCs w:val="26"/>
        </w:rPr>
        <w:t>a</w:t>
      </w:r>
      <w:r>
        <w:rPr>
          <w:sz w:val="26"/>
          <w:szCs w:val="26"/>
        </w:rPr>
        <w:t xml:space="preserve">uthority.  </w:t>
      </w:r>
      <w:r w:rsidR="00F87FB1">
        <w:rPr>
          <w:sz w:val="26"/>
          <w:szCs w:val="26"/>
        </w:rPr>
        <w:t>I have already indicated that t</w:t>
      </w:r>
      <w:r>
        <w:rPr>
          <w:sz w:val="26"/>
          <w:szCs w:val="26"/>
        </w:rPr>
        <w:t xml:space="preserve">he applicant complains that there are documents </w:t>
      </w:r>
      <w:r w:rsidR="00F87FB1">
        <w:rPr>
          <w:sz w:val="26"/>
          <w:szCs w:val="26"/>
        </w:rPr>
        <w:t>which</w:t>
      </w:r>
      <w:r>
        <w:rPr>
          <w:sz w:val="26"/>
          <w:szCs w:val="26"/>
        </w:rPr>
        <w:t xml:space="preserve"> the </w:t>
      </w:r>
      <w:r w:rsidR="00F87FB1">
        <w:rPr>
          <w:sz w:val="26"/>
          <w:szCs w:val="26"/>
        </w:rPr>
        <w:t>first respondent</w:t>
      </w:r>
      <w:r>
        <w:rPr>
          <w:sz w:val="26"/>
          <w:szCs w:val="26"/>
        </w:rPr>
        <w:t xml:space="preserve"> </w:t>
      </w:r>
      <w:r w:rsidR="00F87FB1">
        <w:rPr>
          <w:sz w:val="26"/>
          <w:szCs w:val="26"/>
        </w:rPr>
        <w:t xml:space="preserve">ought to have </w:t>
      </w:r>
      <w:r>
        <w:rPr>
          <w:sz w:val="26"/>
          <w:szCs w:val="26"/>
        </w:rPr>
        <w:t>requested from it and</w:t>
      </w:r>
      <w:r w:rsidR="00F87FB1">
        <w:rPr>
          <w:sz w:val="26"/>
          <w:szCs w:val="26"/>
        </w:rPr>
        <w:t>/</w:t>
      </w:r>
      <w:r>
        <w:rPr>
          <w:sz w:val="26"/>
          <w:szCs w:val="26"/>
        </w:rPr>
        <w:t xml:space="preserve">or given it sufficient time to make representations thereto.  </w:t>
      </w:r>
      <w:r w:rsidR="00F87FB1">
        <w:rPr>
          <w:sz w:val="26"/>
          <w:szCs w:val="26"/>
        </w:rPr>
        <w:t xml:space="preserve">This is with regard to the issue of the substitution and transition of old trustees. It still </w:t>
      </w:r>
      <w:r>
        <w:rPr>
          <w:sz w:val="26"/>
          <w:szCs w:val="26"/>
        </w:rPr>
        <w:t>remains unclear from the paper</w:t>
      </w:r>
      <w:r w:rsidR="00F87FB1">
        <w:rPr>
          <w:sz w:val="26"/>
          <w:szCs w:val="26"/>
        </w:rPr>
        <w:t>s</w:t>
      </w:r>
      <w:r>
        <w:rPr>
          <w:sz w:val="26"/>
          <w:szCs w:val="26"/>
        </w:rPr>
        <w:t xml:space="preserve"> whether the documents of the </w:t>
      </w:r>
      <w:r w:rsidR="00F87FB1">
        <w:rPr>
          <w:sz w:val="26"/>
          <w:szCs w:val="26"/>
        </w:rPr>
        <w:t>‘</w:t>
      </w:r>
      <w:r>
        <w:rPr>
          <w:sz w:val="26"/>
          <w:szCs w:val="26"/>
        </w:rPr>
        <w:t>new</w:t>
      </w:r>
      <w:r w:rsidR="00F87FB1">
        <w:rPr>
          <w:sz w:val="26"/>
          <w:szCs w:val="26"/>
        </w:rPr>
        <w:t>’</w:t>
      </w:r>
      <w:r>
        <w:rPr>
          <w:sz w:val="26"/>
          <w:szCs w:val="26"/>
        </w:rPr>
        <w:t xml:space="preserve"> </w:t>
      </w:r>
      <w:r w:rsidR="00F87FB1">
        <w:rPr>
          <w:sz w:val="26"/>
          <w:szCs w:val="26"/>
        </w:rPr>
        <w:t>t</w:t>
      </w:r>
      <w:r>
        <w:rPr>
          <w:sz w:val="26"/>
          <w:szCs w:val="26"/>
        </w:rPr>
        <w:t>rustees had indeed been submitted and sen</w:t>
      </w:r>
      <w:r w:rsidR="00F87FB1">
        <w:rPr>
          <w:sz w:val="26"/>
          <w:szCs w:val="26"/>
        </w:rPr>
        <w:t>t</w:t>
      </w:r>
      <w:r>
        <w:rPr>
          <w:sz w:val="26"/>
          <w:szCs w:val="26"/>
        </w:rPr>
        <w:t xml:space="preserve"> to the Master </w:t>
      </w:r>
      <w:r w:rsidR="00F87FB1">
        <w:rPr>
          <w:sz w:val="26"/>
          <w:szCs w:val="26"/>
        </w:rPr>
        <w:t xml:space="preserve">in </w:t>
      </w:r>
      <w:r>
        <w:rPr>
          <w:sz w:val="26"/>
          <w:szCs w:val="26"/>
        </w:rPr>
        <w:t xml:space="preserve">notification of the change of </w:t>
      </w:r>
      <w:r w:rsidR="00F87FB1">
        <w:rPr>
          <w:sz w:val="26"/>
          <w:szCs w:val="26"/>
        </w:rPr>
        <w:t>t</w:t>
      </w:r>
      <w:r>
        <w:rPr>
          <w:sz w:val="26"/>
          <w:szCs w:val="26"/>
        </w:rPr>
        <w:t>rustees</w:t>
      </w:r>
      <w:r w:rsidR="00A30262">
        <w:rPr>
          <w:sz w:val="26"/>
          <w:szCs w:val="26"/>
        </w:rPr>
        <w:t xml:space="preserve"> as at the time of the decision to appoint Surrey Holmes.</w:t>
      </w:r>
      <w:r w:rsidR="0088638C">
        <w:rPr>
          <w:sz w:val="26"/>
          <w:szCs w:val="26"/>
        </w:rPr>
        <w:t xml:space="preserve"> It has also come to light in these proceedings that the ‘old’ trustees have now been reinstated, although it is not clear what </w:t>
      </w:r>
      <w:r w:rsidR="0088638C">
        <w:rPr>
          <w:sz w:val="26"/>
          <w:szCs w:val="26"/>
        </w:rPr>
        <w:lastRenderedPageBreak/>
        <w:t xml:space="preserve">the sequence of events was. </w:t>
      </w:r>
      <w:r w:rsidR="00F87FB1">
        <w:rPr>
          <w:sz w:val="26"/>
          <w:szCs w:val="26"/>
        </w:rPr>
        <w:t xml:space="preserve">These are issues which are not appropriate for resolution on the papers, and in respect of which  </w:t>
      </w:r>
      <w:r w:rsidR="00D04756">
        <w:rPr>
          <w:sz w:val="26"/>
          <w:szCs w:val="26"/>
        </w:rPr>
        <w:t>there should be</w:t>
      </w:r>
      <w:r w:rsidR="00A30262">
        <w:rPr>
          <w:sz w:val="26"/>
          <w:szCs w:val="26"/>
        </w:rPr>
        <w:t xml:space="preserve"> further investigation.  </w:t>
      </w:r>
    </w:p>
    <w:p w:rsidR="00237CD2" w:rsidRDefault="00237CD2" w:rsidP="00237CD2">
      <w:pPr>
        <w:pStyle w:val="ListParagraph"/>
        <w:spacing w:line="360" w:lineRule="auto"/>
        <w:ind w:left="142"/>
        <w:jc w:val="both"/>
        <w:rPr>
          <w:sz w:val="26"/>
          <w:szCs w:val="26"/>
        </w:rPr>
      </w:pPr>
    </w:p>
    <w:p w:rsidR="00A30262" w:rsidRDefault="00237CD2" w:rsidP="00237CD2">
      <w:pPr>
        <w:pStyle w:val="ListParagraph"/>
        <w:numPr>
          <w:ilvl w:val="0"/>
          <w:numId w:val="1"/>
        </w:numPr>
        <w:spacing w:line="360" w:lineRule="auto"/>
        <w:ind w:left="0" w:firstLine="142"/>
        <w:jc w:val="both"/>
        <w:rPr>
          <w:sz w:val="26"/>
          <w:szCs w:val="26"/>
        </w:rPr>
      </w:pPr>
      <w:r w:rsidRPr="00237CD2">
        <w:rPr>
          <w:sz w:val="26"/>
          <w:szCs w:val="26"/>
        </w:rPr>
        <w:t>I also note that the minutes of the AGM of 19 August 2017, which formed</w:t>
      </w:r>
      <w:r>
        <w:rPr>
          <w:sz w:val="26"/>
          <w:szCs w:val="26"/>
        </w:rPr>
        <w:t xml:space="preserve"> an important</w:t>
      </w:r>
      <w:r w:rsidRPr="00237CD2">
        <w:rPr>
          <w:sz w:val="26"/>
          <w:szCs w:val="26"/>
        </w:rPr>
        <w:t xml:space="preserve"> part of the complaints in the appeal, are attached to the replying affidavit in these proceedings. It remains unclear from the documents before me whether, and to what extent </w:t>
      </w:r>
      <w:r>
        <w:rPr>
          <w:sz w:val="26"/>
          <w:szCs w:val="26"/>
        </w:rPr>
        <w:t>they</w:t>
      </w:r>
      <w:r w:rsidRPr="00237CD2">
        <w:rPr>
          <w:sz w:val="26"/>
          <w:szCs w:val="26"/>
        </w:rPr>
        <w:t xml:space="preserve"> were sufficiently dealt with before the first respondent.  </w:t>
      </w:r>
    </w:p>
    <w:p w:rsidR="00237CD2" w:rsidRPr="00237CD2" w:rsidRDefault="00237CD2" w:rsidP="00237CD2">
      <w:pPr>
        <w:spacing w:line="360" w:lineRule="auto"/>
        <w:jc w:val="both"/>
        <w:rPr>
          <w:sz w:val="26"/>
          <w:szCs w:val="26"/>
        </w:rPr>
      </w:pPr>
    </w:p>
    <w:p w:rsidR="000865E9" w:rsidRDefault="00A30262" w:rsidP="00E01D01">
      <w:pPr>
        <w:pStyle w:val="ListParagraph"/>
        <w:numPr>
          <w:ilvl w:val="0"/>
          <w:numId w:val="1"/>
        </w:numPr>
        <w:spacing w:line="360" w:lineRule="auto"/>
        <w:ind w:left="0" w:firstLine="142"/>
        <w:jc w:val="both"/>
        <w:rPr>
          <w:sz w:val="26"/>
          <w:szCs w:val="26"/>
        </w:rPr>
      </w:pPr>
      <w:r>
        <w:rPr>
          <w:sz w:val="26"/>
          <w:szCs w:val="26"/>
        </w:rPr>
        <w:t>At the same time</w:t>
      </w:r>
      <w:r w:rsidR="00FF4E2C">
        <w:rPr>
          <w:sz w:val="26"/>
          <w:szCs w:val="26"/>
        </w:rPr>
        <w:t xml:space="preserve">, the first respondent has displayed strong views in her opposition of this application.  In some ways this is understandable given the applicant’s stance that she was not entitled to consider the matters that she did – that she did not have powers of a wide appeal.  I have already found that she was correct and that she did have such powers.  However, when considering the relief </w:t>
      </w:r>
      <w:r w:rsidR="0044155B">
        <w:rPr>
          <w:sz w:val="26"/>
          <w:szCs w:val="26"/>
        </w:rPr>
        <w:t xml:space="preserve">to be granted, </w:t>
      </w:r>
      <w:r w:rsidR="0088638C">
        <w:rPr>
          <w:sz w:val="26"/>
          <w:szCs w:val="26"/>
        </w:rPr>
        <w:t xml:space="preserve">it is </w:t>
      </w:r>
      <w:r w:rsidR="0044155B">
        <w:rPr>
          <w:sz w:val="26"/>
          <w:szCs w:val="26"/>
        </w:rPr>
        <w:t xml:space="preserve">appropriate </w:t>
      </w:r>
      <w:r w:rsidR="00AB62C2">
        <w:rPr>
          <w:sz w:val="26"/>
          <w:szCs w:val="26"/>
        </w:rPr>
        <w:t xml:space="preserve">for </w:t>
      </w:r>
      <w:r w:rsidR="0088638C">
        <w:rPr>
          <w:sz w:val="26"/>
          <w:szCs w:val="26"/>
        </w:rPr>
        <w:t>another appeal authority</w:t>
      </w:r>
      <w:r w:rsidR="00AB62C2">
        <w:rPr>
          <w:sz w:val="26"/>
          <w:szCs w:val="26"/>
        </w:rPr>
        <w:t xml:space="preserve"> to p</w:t>
      </w:r>
      <w:r w:rsidR="0044155B">
        <w:rPr>
          <w:sz w:val="26"/>
          <w:szCs w:val="26"/>
        </w:rPr>
        <w:t xml:space="preserve">reside over the </w:t>
      </w:r>
      <w:r w:rsidR="00AB62C2">
        <w:rPr>
          <w:sz w:val="26"/>
          <w:szCs w:val="26"/>
        </w:rPr>
        <w:t xml:space="preserve">re-consideration of the </w:t>
      </w:r>
      <w:r w:rsidR="0044155B">
        <w:rPr>
          <w:sz w:val="26"/>
          <w:szCs w:val="26"/>
        </w:rPr>
        <w:t xml:space="preserve">appeal in the matter.  In terms of the By-Law the </w:t>
      </w:r>
      <w:r w:rsidR="0088638C">
        <w:rPr>
          <w:sz w:val="26"/>
          <w:szCs w:val="26"/>
        </w:rPr>
        <w:t>a</w:t>
      </w:r>
      <w:r w:rsidR="0044155B">
        <w:rPr>
          <w:sz w:val="26"/>
          <w:szCs w:val="26"/>
        </w:rPr>
        <w:t xml:space="preserve">ppeal </w:t>
      </w:r>
      <w:r w:rsidR="0088638C">
        <w:rPr>
          <w:sz w:val="26"/>
          <w:szCs w:val="26"/>
        </w:rPr>
        <w:t>a</w:t>
      </w:r>
      <w:r w:rsidR="0044155B">
        <w:rPr>
          <w:sz w:val="26"/>
          <w:szCs w:val="26"/>
        </w:rPr>
        <w:t>uthority may consist of the Executive Committee or a Committee of Councillors.  There is no reason why such a committee cannot be established for th</w:t>
      </w:r>
      <w:r w:rsidR="00AB62C2">
        <w:rPr>
          <w:sz w:val="26"/>
          <w:szCs w:val="26"/>
        </w:rPr>
        <w:t>e</w:t>
      </w:r>
      <w:r w:rsidR="0044155B">
        <w:rPr>
          <w:sz w:val="26"/>
          <w:szCs w:val="26"/>
        </w:rPr>
        <w:t xml:space="preserve"> specific purpose </w:t>
      </w:r>
      <w:r w:rsidR="00D67B20">
        <w:rPr>
          <w:sz w:val="26"/>
          <w:szCs w:val="26"/>
        </w:rPr>
        <w:t>of considering the appeal in this</w:t>
      </w:r>
      <w:r w:rsidR="0044155B">
        <w:rPr>
          <w:sz w:val="26"/>
          <w:szCs w:val="26"/>
        </w:rPr>
        <w:t xml:space="preserve"> matter</w:t>
      </w:r>
      <w:r w:rsidR="00D67B20">
        <w:rPr>
          <w:sz w:val="26"/>
          <w:szCs w:val="26"/>
        </w:rPr>
        <w:t xml:space="preserve"> and be seized with the rights and powers set out in the sections 79, 80 and 81 of the By-Law.  </w:t>
      </w:r>
    </w:p>
    <w:p w:rsidR="006E404A" w:rsidRPr="0088638C" w:rsidRDefault="006E404A" w:rsidP="0088638C">
      <w:pPr>
        <w:rPr>
          <w:sz w:val="26"/>
          <w:szCs w:val="26"/>
        </w:rPr>
      </w:pPr>
    </w:p>
    <w:p w:rsidR="00237CD2" w:rsidRDefault="00AB3B59" w:rsidP="00E01D01">
      <w:pPr>
        <w:pStyle w:val="ListParagraph"/>
        <w:numPr>
          <w:ilvl w:val="0"/>
          <w:numId w:val="1"/>
        </w:numPr>
        <w:spacing w:line="360" w:lineRule="auto"/>
        <w:ind w:left="0" w:firstLine="142"/>
        <w:jc w:val="both"/>
        <w:rPr>
          <w:sz w:val="26"/>
          <w:szCs w:val="26"/>
        </w:rPr>
      </w:pPr>
      <w:r>
        <w:rPr>
          <w:sz w:val="26"/>
          <w:szCs w:val="26"/>
        </w:rPr>
        <w:t xml:space="preserve">In the circumstances, </w:t>
      </w:r>
      <w:r w:rsidR="00237CD2">
        <w:rPr>
          <w:sz w:val="26"/>
          <w:szCs w:val="26"/>
        </w:rPr>
        <w:t>the</w:t>
      </w:r>
      <w:r>
        <w:rPr>
          <w:sz w:val="26"/>
          <w:szCs w:val="26"/>
        </w:rPr>
        <w:t xml:space="preserve"> </w:t>
      </w:r>
      <w:r w:rsidR="00237CD2">
        <w:rPr>
          <w:sz w:val="26"/>
          <w:szCs w:val="26"/>
        </w:rPr>
        <w:t>following relief is granted:</w:t>
      </w:r>
    </w:p>
    <w:p w:rsidR="00237CD2" w:rsidRDefault="00237CD2" w:rsidP="00090B49">
      <w:pPr>
        <w:pStyle w:val="ListParagraph"/>
        <w:spacing w:line="276" w:lineRule="auto"/>
        <w:ind w:left="142"/>
        <w:jc w:val="both"/>
        <w:rPr>
          <w:sz w:val="26"/>
          <w:szCs w:val="26"/>
        </w:rPr>
      </w:pPr>
    </w:p>
    <w:p w:rsidR="008D36E9" w:rsidRDefault="00237CD2" w:rsidP="00237CD2">
      <w:pPr>
        <w:pStyle w:val="ListParagraph"/>
        <w:numPr>
          <w:ilvl w:val="1"/>
          <w:numId w:val="1"/>
        </w:numPr>
        <w:spacing w:line="360" w:lineRule="auto"/>
        <w:jc w:val="both"/>
        <w:rPr>
          <w:sz w:val="26"/>
          <w:szCs w:val="26"/>
        </w:rPr>
      </w:pPr>
      <w:r>
        <w:rPr>
          <w:sz w:val="26"/>
          <w:szCs w:val="26"/>
        </w:rPr>
        <w:t xml:space="preserve">The </w:t>
      </w:r>
      <w:r w:rsidR="00AB3B59">
        <w:rPr>
          <w:sz w:val="26"/>
          <w:szCs w:val="26"/>
        </w:rPr>
        <w:t xml:space="preserve">decision of the first respondent </w:t>
      </w:r>
      <w:r w:rsidR="00F32325">
        <w:rPr>
          <w:sz w:val="26"/>
          <w:szCs w:val="26"/>
        </w:rPr>
        <w:t xml:space="preserve">is reviewed and set </w:t>
      </w:r>
      <w:r>
        <w:rPr>
          <w:sz w:val="26"/>
          <w:szCs w:val="26"/>
        </w:rPr>
        <w:t>a</w:t>
      </w:r>
      <w:r w:rsidR="00F32325">
        <w:rPr>
          <w:sz w:val="26"/>
          <w:szCs w:val="26"/>
        </w:rPr>
        <w:t xml:space="preserve">side. </w:t>
      </w:r>
    </w:p>
    <w:p w:rsidR="00870A1B" w:rsidRDefault="00870A1B" w:rsidP="00090B49">
      <w:pPr>
        <w:pStyle w:val="ListParagraph"/>
        <w:spacing w:line="276" w:lineRule="auto"/>
        <w:ind w:left="1440"/>
        <w:jc w:val="both"/>
        <w:rPr>
          <w:sz w:val="26"/>
          <w:szCs w:val="26"/>
        </w:rPr>
      </w:pPr>
    </w:p>
    <w:p w:rsidR="00870A1B" w:rsidRDefault="00F32325" w:rsidP="00237CD2">
      <w:pPr>
        <w:pStyle w:val="ListParagraph"/>
        <w:numPr>
          <w:ilvl w:val="1"/>
          <w:numId w:val="1"/>
        </w:numPr>
        <w:spacing w:line="360" w:lineRule="auto"/>
        <w:jc w:val="both"/>
        <w:rPr>
          <w:sz w:val="26"/>
          <w:szCs w:val="26"/>
        </w:rPr>
      </w:pPr>
      <w:r w:rsidRPr="00237CD2">
        <w:rPr>
          <w:sz w:val="26"/>
          <w:szCs w:val="26"/>
        </w:rPr>
        <w:t xml:space="preserve">The </w:t>
      </w:r>
      <w:r w:rsidR="00237CD2">
        <w:rPr>
          <w:sz w:val="26"/>
          <w:szCs w:val="26"/>
        </w:rPr>
        <w:t xml:space="preserve">appeals </w:t>
      </w:r>
      <w:r w:rsidR="00870A1B">
        <w:rPr>
          <w:sz w:val="26"/>
          <w:szCs w:val="26"/>
        </w:rPr>
        <w:t xml:space="preserve">lodged by </w:t>
      </w:r>
      <w:r w:rsidR="00237CD2">
        <w:rPr>
          <w:sz w:val="26"/>
          <w:szCs w:val="26"/>
        </w:rPr>
        <w:t xml:space="preserve">the </w:t>
      </w:r>
      <w:r w:rsidR="00870A1B">
        <w:rPr>
          <w:sz w:val="26"/>
          <w:szCs w:val="26"/>
        </w:rPr>
        <w:t xml:space="preserve">Franschhoek Gegriefde Grondeiers Groep and Wards 1 and 2 Committees </w:t>
      </w:r>
      <w:r w:rsidR="00237CD2">
        <w:rPr>
          <w:sz w:val="26"/>
          <w:szCs w:val="26"/>
        </w:rPr>
        <w:t>are</w:t>
      </w:r>
      <w:r w:rsidRPr="00237CD2">
        <w:rPr>
          <w:sz w:val="26"/>
          <w:szCs w:val="26"/>
        </w:rPr>
        <w:t xml:space="preserve"> remitted to the third respondent for </w:t>
      </w:r>
      <w:r w:rsidR="0088638C">
        <w:rPr>
          <w:sz w:val="26"/>
          <w:szCs w:val="26"/>
        </w:rPr>
        <w:t xml:space="preserve">reconsideration before </w:t>
      </w:r>
      <w:r w:rsidRPr="00237CD2">
        <w:rPr>
          <w:sz w:val="26"/>
          <w:szCs w:val="26"/>
        </w:rPr>
        <w:t xml:space="preserve">an </w:t>
      </w:r>
      <w:r w:rsidR="0088638C">
        <w:rPr>
          <w:sz w:val="26"/>
          <w:szCs w:val="26"/>
        </w:rPr>
        <w:t>a</w:t>
      </w:r>
      <w:r w:rsidRPr="00237CD2">
        <w:rPr>
          <w:sz w:val="26"/>
          <w:szCs w:val="26"/>
        </w:rPr>
        <w:t xml:space="preserve">ppeal </w:t>
      </w:r>
      <w:r w:rsidR="0088638C">
        <w:rPr>
          <w:sz w:val="26"/>
          <w:szCs w:val="26"/>
        </w:rPr>
        <w:t>a</w:t>
      </w:r>
      <w:r w:rsidRPr="00237CD2">
        <w:rPr>
          <w:sz w:val="26"/>
          <w:szCs w:val="26"/>
        </w:rPr>
        <w:t>uthority other than the first respondent</w:t>
      </w:r>
      <w:r w:rsidR="0088638C">
        <w:rPr>
          <w:sz w:val="26"/>
          <w:szCs w:val="26"/>
        </w:rPr>
        <w:t>.</w:t>
      </w:r>
    </w:p>
    <w:p w:rsidR="00237CD2" w:rsidRDefault="00905327" w:rsidP="00090B49">
      <w:pPr>
        <w:spacing w:line="276" w:lineRule="auto"/>
        <w:jc w:val="both"/>
        <w:rPr>
          <w:sz w:val="26"/>
          <w:szCs w:val="26"/>
        </w:rPr>
      </w:pPr>
      <w:r w:rsidRPr="00870A1B">
        <w:rPr>
          <w:sz w:val="26"/>
          <w:szCs w:val="26"/>
        </w:rPr>
        <w:t xml:space="preserve"> </w:t>
      </w:r>
    </w:p>
    <w:p w:rsidR="00090B49" w:rsidRDefault="00090B49" w:rsidP="00090B49">
      <w:pPr>
        <w:spacing w:line="276" w:lineRule="auto"/>
        <w:jc w:val="both"/>
        <w:rPr>
          <w:sz w:val="26"/>
          <w:szCs w:val="26"/>
        </w:rPr>
      </w:pPr>
    </w:p>
    <w:p w:rsidR="00090B49" w:rsidRDefault="00090B49" w:rsidP="00090B49">
      <w:pPr>
        <w:spacing w:line="276" w:lineRule="auto"/>
        <w:jc w:val="both"/>
        <w:rPr>
          <w:sz w:val="26"/>
          <w:szCs w:val="26"/>
        </w:rPr>
      </w:pPr>
    </w:p>
    <w:p w:rsidR="00090B49" w:rsidRDefault="00090B49" w:rsidP="00090B49">
      <w:pPr>
        <w:spacing w:line="276" w:lineRule="auto"/>
        <w:jc w:val="both"/>
        <w:rPr>
          <w:sz w:val="26"/>
          <w:szCs w:val="26"/>
        </w:rPr>
      </w:pPr>
    </w:p>
    <w:p w:rsidR="00090B49" w:rsidRPr="00870A1B" w:rsidRDefault="00090B49" w:rsidP="00090B49">
      <w:pPr>
        <w:spacing w:line="276" w:lineRule="auto"/>
        <w:jc w:val="both"/>
        <w:rPr>
          <w:sz w:val="26"/>
          <w:szCs w:val="26"/>
        </w:rPr>
      </w:pPr>
    </w:p>
    <w:p w:rsidR="00F32325" w:rsidRDefault="00905327" w:rsidP="00237CD2">
      <w:pPr>
        <w:pStyle w:val="ListParagraph"/>
        <w:numPr>
          <w:ilvl w:val="1"/>
          <w:numId w:val="1"/>
        </w:numPr>
        <w:spacing w:line="360" w:lineRule="auto"/>
        <w:jc w:val="both"/>
        <w:rPr>
          <w:sz w:val="26"/>
          <w:szCs w:val="26"/>
        </w:rPr>
      </w:pPr>
      <w:r w:rsidRPr="00237CD2">
        <w:rPr>
          <w:sz w:val="26"/>
          <w:szCs w:val="26"/>
        </w:rPr>
        <w:t>The respondent</w:t>
      </w:r>
      <w:r w:rsidR="00837AD4">
        <w:rPr>
          <w:sz w:val="26"/>
          <w:szCs w:val="26"/>
        </w:rPr>
        <w:t>s</w:t>
      </w:r>
      <w:r w:rsidRPr="00237CD2">
        <w:rPr>
          <w:sz w:val="26"/>
          <w:szCs w:val="26"/>
        </w:rPr>
        <w:t xml:space="preserve"> </w:t>
      </w:r>
      <w:r w:rsidR="00837AD4">
        <w:rPr>
          <w:sz w:val="26"/>
          <w:szCs w:val="26"/>
        </w:rPr>
        <w:t>are</w:t>
      </w:r>
      <w:r w:rsidRPr="00237CD2">
        <w:rPr>
          <w:sz w:val="26"/>
          <w:szCs w:val="26"/>
        </w:rPr>
        <w:t xml:space="preserve"> to pay the costs of this application.</w:t>
      </w:r>
    </w:p>
    <w:p w:rsidR="00090B49" w:rsidRDefault="00090B49" w:rsidP="00090B49">
      <w:pPr>
        <w:pStyle w:val="ListParagraph"/>
        <w:spacing w:line="360" w:lineRule="auto"/>
        <w:ind w:left="1440"/>
        <w:jc w:val="both"/>
        <w:rPr>
          <w:sz w:val="26"/>
          <w:szCs w:val="26"/>
        </w:rPr>
      </w:pPr>
    </w:p>
    <w:p w:rsidR="00090B49" w:rsidRDefault="00090B49" w:rsidP="00090B49">
      <w:pPr>
        <w:pStyle w:val="ListParagraph"/>
        <w:spacing w:line="360" w:lineRule="auto"/>
        <w:ind w:left="1440"/>
        <w:jc w:val="both"/>
        <w:rPr>
          <w:sz w:val="26"/>
          <w:szCs w:val="26"/>
        </w:rPr>
      </w:pPr>
    </w:p>
    <w:p w:rsidR="00090B49" w:rsidRDefault="00090B49" w:rsidP="00090B49">
      <w:pPr>
        <w:pStyle w:val="ListParagraph"/>
        <w:spacing w:line="360" w:lineRule="auto"/>
        <w:ind w:left="1440"/>
        <w:jc w:val="both"/>
        <w:rPr>
          <w:sz w:val="26"/>
          <w:szCs w:val="26"/>
        </w:rPr>
      </w:pPr>
    </w:p>
    <w:p w:rsidR="00090B49" w:rsidRPr="00237CD2" w:rsidRDefault="00090B49" w:rsidP="00090B49">
      <w:pPr>
        <w:pStyle w:val="ListParagraph"/>
        <w:spacing w:line="360" w:lineRule="auto"/>
        <w:ind w:left="1440"/>
        <w:jc w:val="both"/>
        <w:rPr>
          <w:sz w:val="26"/>
          <w:szCs w:val="26"/>
        </w:rPr>
      </w:pPr>
    </w:p>
    <w:p w:rsidR="00025BE0" w:rsidRDefault="00025BE0" w:rsidP="00025BE0">
      <w:pPr>
        <w:pStyle w:val="western"/>
        <w:shd w:val="clear" w:color="auto" w:fill="FFFFFF"/>
        <w:spacing w:before="0" w:beforeAutospacing="0" w:after="0" w:afterAutospacing="0" w:line="360" w:lineRule="auto"/>
        <w:ind w:right="26"/>
        <w:jc w:val="right"/>
        <w:rPr>
          <w:sz w:val="26"/>
          <w:szCs w:val="26"/>
          <w:u w:val="single"/>
        </w:rPr>
      </w:pPr>
      <w:r>
        <w:rPr>
          <w:sz w:val="26"/>
          <w:szCs w:val="26"/>
          <w:u w:val="single"/>
        </w:rPr>
        <w:t>_________________________</w:t>
      </w:r>
    </w:p>
    <w:p w:rsidR="00025BE0" w:rsidRDefault="00025BE0" w:rsidP="00025BE0">
      <w:pPr>
        <w:spacing w:line="360" w:lineRule="auto"/>
        <w:jc w:val="right"/>
        <w:rPr>
          <w:b/>
          <w:sz w:val="26"/>
          <w:szCs w:val="26"/>
        </w:rPr>
      </w:pPr>
      <w:r>
        <w:rPr>
          <w:b/>
          <w:sz w:val="26"/>
          <w:szCs w:val="26"/>
        </w:rPr>
        <w:t>N. MANGCU-LOCKWOOD</w:t>
      </w:r>
    </w:p>
    <w:p w:rsidR="00025BE0" w:rsidRDefault="00025BE0" w:rsidP="00025BE0">
      <w:pPr>
        <w:spacing w:line="360" w:lineRule="auto"/>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Judge of the High Court</w:t>
      </w:r>
    </w:p>
    <w:p w:rsidR="00A25A98" w:rsidRPr="00A25A98" w:rsidRDefault="00A25A98" w:rsidP="00A25A98">
      <w:pPr>
        <w:pStyle w:val="ListParagraph"/>
        <w:rPr>
          <w:sz w:val="26"/>
          <w:szCs w:val="26"/>
        </w:rPr>
      </w:pPr>
    </w:p>
    <w:p w:rsidR="00A25A98" w:rsidRPr="002D0970" w:rsidRDefault="00A25A98" w:rsidP="00A25A98">
      <w:pPr>
        <w:pStyle w:val="ListParagraph"/>
        <w:spacing w:line="360" w:lineRule="auto"/>
        <w:ind w:left="142"/>
        <w:jc w:val="both"/>
        <w:rPr>
          <w:sz w:val="26"/>
          <w:szCs w:val="26"/>
        </w:rPr>
      </w:pPr>
    </w:p>
    <w:p w:rsidR="002D0970" w:rsidRPr="00166BC9" w:rsidRDefault="002D0970" w:rsidP="002D0970">
      <w:pPr>
        <w:pStyle w:val="ListParagraph"/>
        <w:rPr>
          <w:sz w:val="26"/>
          <w:szCs w:val="26"/>
        </w:rPr>
      </w:pPr>
    </w:p>
    <w:p w:rsidR="000B2DC8" w:rsidRPr="000B2DC8" w:rsidRDefault="000B2DC8" w:rsidP="000B2DC8">
      <w:pPr>
        <w:pStyle w:val="ListParagraph"/>
        <w:rPr>
          <w:sz w:val="26"/>
          <w:szCs w:val="26"/>
        </w:rPr>
      </w:pPr>
    </w:p>
    <w:sectPr w:rsidR="000B2DC8" w:rsidRPr="000B2DC8" w:rsidSect="0041676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106" w:rsidRDefault="00C64106" w:rsidP="008866D4">
      <w:r>
        <w:separator/>
      </w:r>
    </w:p>
  </w:endnote>
  <w:endnote w:type="continuationSeparator" w:id="0">
    <w:p w:rsidR="00C64106" w:rsidRDefault="00C64106" w:rsidP="0088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106" w:rsidRDefault="00C64106" w:rsidP="008866D4">
      <w:r>
        <w:separator/>
      </w:r>
    </w:p>
  </w:footnote>
  <w:footnote w:type="continuationSeparator" w:id="0">
    <w:p w:rsidR="00C64106" w:rsidRDefault="00C64106" w:rsidP="008866D4">
      <w:r>
        <w:continuationSeparator/>
      </w:r>
    </w:p>
  </w:footnote>
  <w:footnote w:id="1">
    <w:p w:rsidR="00A25A98" w:rsidRPr="00BD74F3" w:rsidRDefault="00A25A98" w:rsidP="00A25A98">
      <w:pPr>
        <w:pStyle w:val="FootnoteText"/>
        <w:rPr>
          <w:color w:val="000000" w:themeColor="text1"/>
          <w:lang w:val="en-GB"/>
        </w:rPr>
      </w:pPr>
      <w:r w:rsidRPr="00BD74F3">
        <w:rPr>
          <w:rStyle w:val="FootnoteReference"/>
          <w:color w:val="000000" w:themeColor="text1"/>
        </w:rPr>
        <w:footnoteRef/>
      </w:r>
      <w:r w:rsidRPr="00BD74F3">
        <w:rPr>
          <w:color w:val="000000" w:themeColor="text1"/>
        </w:rPr>
        <w:t xml:space="preserve"> </w:t>
      </w:r>
      <w:r w:rsidRPr="00BD74F3">
        <w:rPr>
          <w:color w:val="000000" w:themeColor="text1"/>
          <w:lang w:val="en-GB"/>
        </w:rPr>
        <w:t xml:space="preserve"> </w:t>
      </w:r>
      <w:r w:rsidRPr="00BD74F3">
        <w:rPr>
          <w:i/>
          <w:iCs/>
          <w:color w:val="000000" w:themeColor="text1"/>
          <w:lang w:val="en-GB"/>
        </w:rPr>
        <w:t>Tera Mobile Radio (Pty) Ltd v MEC, Department of Public Works</w:t>
      </w:r>
      <w:r w:rsidRPr="00BD74F3">
        <w:rPr>
          <w:color w:val="000000" w:themeColor="text1"/>
          <w:lang w:val="en-GB"/>
        </w:rPr>
        <w:t xml:space="preserve"> 2008 (1) SA 438 (SCA) at para 9.</w:t>
      </w:r>
    </w:p>
  </w:footnote>
  <w:footnote w:id="2">
    <w:p w:rsidR="00784367" w:rsidRPr="00784367" w:rsidRDefault="00784367" w:rsidP="00784367">
      <w:pPr>
        <w:pStyle w:val="Heading2"/>
        <w:shd w:val="clear" w:color="auto" w:fill="FFFFFF"/>
        <w:spacing w:before="240" w:beforeAutospacing="0" w:after="180" w:afterAutospacing="0"/>
        <w:rPr>
          <w:b w:val="0"/>
          <w:bCs w:val="0"/>
          <w:color w:val="000000" w:themeColor="text1"/>
          <w:sz w:val="20"/>
          <w:szCs w:val="20"/>
        </w:rPr>
      </w:pPr>
      <w:r w:rsidRPr="00784367">
        <w:rPr>
          <w:rStyle w:val="FootnoteReference"/>
          <w:b w:val="0"/>
          <w:bCs w:val="0"/>
          <w:color w:val="000000" w:themeColor="text1"/>
          <w:sz w:val="20"/>
          <w:szCs w:val="20"/>
        </w:rPr>
        <w:footnoteRef/>
      </w:r>
      <w:r w:rsidRPr="00784367">
        <w:rPr>
          <w:b w:val="0"/>
          <w:bCs w:val="0"/>
          <w:color w:val="000000" w:themeColor="text1"/>
          <w:sz w:val="20"/>
          <w:szCs w:val="20"/>
        </w:rPr>
        <w:t xml:space="preserve"> </w:t>
      </w:r>
      <w:r w:rsidRPr="00784367">
        <w:rPr>
          <w:b w:val="0"/>
          <w:bCs w:val="0"/>
          <w:i/>
          <w:iCs/>
          <w:color w:val="000000" w:themeColor="text1"/>
          <w:sz w:val="20"/>
          <w:szCs w:val="20"/>
        </w:rPr>
        <w:t>Choisy-Le-Roi Owners (Pty) Ltd v The Municipality of Stellenbosch and Another</w:t>
      </w:r>
      <w:r w:rsidRPr="00784367">
        <w:rPr>
          <w:b w:val="0"/>
          <w:bCs w:val="0"/>
          <w:color w:val="000000" w:themeColor="text1"/>
          <w:sz w:val="20"/>
          <w:szCs w:val="20"/>
        </w:rPr>
        <w:t xml:space="preserve"> (10240/2020) [2022] ZAWCHC 71; 2022 (5) SA 461 (WCC) at para [9].</w:t>
      </w:r>
    </w:p>
  </w:footnote>
  <w:footnote w:id="3">
    <w:p w:rsidR="00E83314" w:rsidRPr="00E83314" w:rsidRDefault="00E83314">
      <w:pPr>
        <w:pStyle w:val="FootnoteText"/>
        <w:rPr>
          <w:lang w:val="en-US"/>
        </w:rPr>
      </w:pPr>
      <w:r w:rsidRPr="00E83314">
        <w:rPr>
          <w:rStyle w:val="FootnoteReference"/>
          <w:color w:val="000000" w:themeColor="text1"/>
        </w:rPr>
        <w:footnoteRef/>
      </w:r>
      <w:r w:rsidRPr="00E83314">
        <w:rPr>
          <w:color w:val="000000" w:themeColor="text1"/>
        </w:rPr>
        <w:t xml:space="preserve"> </w:t>
      </w:r>
      <w:r w:rsidRPr="00E83314">
        <w:rPr>
          <w:i/>
          <w:iCs/>
          <w:color w:val="000000" w:themeColor="text1"/>
          <w:shd w:val="clear" w:color="auto" w:fill="FFFFFF"/>
          <w:lang w:val="en-US"/>
        </w:rPr>
        <w:t>Tikly &amp; Others v Johannes NO &amp; Others </w:t>
      </w:r>
      <w:r w:rsidRPr="00E83314">
        <w:rPr>
          <w:color w:val="000000" w:themeColor="text1"/>
          <w:shd w:val="clear" w:color="auto" w:fill="FFFFFF"/>
          <w:lang w:val="en-US"/>
        </w:rPr>
        <w:t xml:space="preserve">1963 (2) SA 588 (T) </w:t>
      </w:r>
      <w:r w:rsidRPr="00E83314">
        <w:rPr>
          <w:color w:val="000000" w:themeColor="text1"/>
          <w:shd w:val="clear" w:color="auto" w:fill="FFFFFF"/>
        </w:rPr>
        <w:t>at 590F–591A.</w:t>
      </w:r>
    </w:p>
  </w:footnote>
  <w:footnote w:id="4">
    <w:p w:rsidR="004E6B5A" w:rsidRPr="008866D4" w:rsidRDefault="004E6B5A" w:rsidP="004E6B5A">
      <w:pPr>
        <w:pStyle w:val="FootnoteText"/>
        <w:rPr>
          <w:lang w:val="en-GB"/>
        </w:rPr>
      </w:pPr>
      <w:r>
        <w:rPr>
          <w:rStyle w:val="FootnoteReference"/>
        </w:rPr>
        <w:footnoteRef/>
      </w:r>
      <w:r>
        <w:t xml:space="preserve">  </w:t>
      </w:r>
      <w:r w:rsidRPr="008866D4">
        <w:rPr>
          <w:i/>
        </w:rPr>
        <w:t xml:space="preserve">Meijer NO and another v First Rand Bank Ltd </w:t>
      </w:r>
      <w:r w:rsidRPr="008866D4">
        <w:t>[2015] JOL 30560 (WCC)</w:t>
      </w:r>
    </w:p>
  </w:footnote>
  <w:footnote w:id="5">
    <w:p w:rsidR="004E6B5A" w:rsidRPr="00A0243B" w:rsidRDefault="004E6B5A" w:rsidP="004E6B5A">
      <w:pPr>
        <w:pStyle w:val="FootnoteText"/>
        <w:rPr>
          <w:lang w:val="en-GB"/>
        </w:rPr>
      </w:pPr>
      <w:r>
        <w:rPr>
          <w:rStyle w:val="FootnoteReference"/>
        </w:rPr>
        <w:footnoteRef/>
      </w:r>
      <w:r>
        <w:t xml:space="preserve"> </w:t>
      </w:r>
      <w:r>
        <w:rPr>
          <w:lang w:val="en-GB"/>
        </w:rPr>
        <w:t xml:space="preserve"> At para [11]</w:t>
      </w:r>
    </w:p>
  </w:footnote>
  <w:footnote w:id="6">
    <w:p w:rsidR="004E6B5A" w:rsidRPr="00D47F61" w:rsidRDefault="004E6B5A" w:rsidP="004E6B5A">
      <w:pPr>
        <w:pStyle w:val="FootnoteText"/>
        <w:rPr>
          <w:lang w:val="en-GB"/>
        </w:rPr>
      </w:pPr>
      <w:r>
        <w:rPr>
          <w:rStyle w:val="FootnoteReference"/>
        </w:rPr>
        <w:footnoteRef/>
      </w:r>
      <w:r>
        <w:t xml:space="preserve"> </w:t>
      </w:r>
      <w:r>
        <w:rPr>
          <w:lang w:val="en-GB"/>
        </w:rPr>
        <w:t xml:space="preserve"> See </w:t>
      </w:r>
      <w:r w:rsidRPr="00D47F61">
        <w:rPr>
          <w:i/>
          <w:lang w:val="en-GB"/>
        </w:rPr>
        <w:t>Meijer NO and another v First Rand Bank Ltd</w:t>
      </w:r>
      <w:r>
        <w:rPr>
          <w:lang w:val="en-GB"/>
        </w:rPr>
        <w:t xml:space="preserve"> at para [8].  See also </w:t>
      </w:r>
      <w:r w:rsidRPr="00D47F61">
        <w:rPr>
          <w:i/>
          <w:lang w:val="en-GB"/>
        </w:rPr>
        <w:t xml:space="preserve">Olivier Strydom and </w:t>
      </w:r>
      <w:r>
        <w:rPr>
          <w:i/>
          <w:lang w:val="en-GB"/>
        </w:rPr>
        <w:t>V</w:t>
      </w:r>
      <w:r w:rsidRPr="00D47F61">
        <w:rPr>
          <w:i/>
          <w:lang w:val="en-GB"/>
        </w:rPr>
        <w:t xml:space="preserve">an </w:t>
      </w:r>
      <w:r>
        <w:rPr>
          <w:i/>
          <w:lang w:val="en-GB"/>
        </w:rPr>
        <w:t>d</w:t>
      </w:r>
      <w:r w:rsidRPr="00D47F61">
        <w:rPr>
          <w:i/>
          <w:lang w:val="en-GB"/>
        </w:rPr>
        <w:t>en Berg</w:t>
      </w:r>
      <w:r>
        <w:rPr>
          <w:lang w:val="en-GB"/>
        </w:rPr>
        <w:t xml:space="preserve"> </w:t>
      </w:r>
      <w:r w:rsidRPr="00D47F61">
        <w:rPr>
          <w:i/>
          <w:lang w:val="en-GB"/>
        </w:rPr>
        <w:t>Trust Law and Practice</w:t>
      </w:r>
      <w:r>
        <w:rPr>
          <w:lang w:val="en-GB"/>
        </w:rPr>
        <w:t xml:space="preserve"> 3-18.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587462"/>
      <w:docPartObj>
        <w:docPartGallery w:val="Page Numbers (Top of Page)"/>
        <w:docPartUnique/>
      </w:docPartObj>
    </w:sdtPr>
    <w:sdtEndPr>
      <w:rPr>
        <w:noProof/>
      </w:rPr>
    </w:sdtEndPr>
    <w:sdtContent>
      <w:p w:rsidR="00416768" w:rsidRDefault="00416768">
        <w:pPr>
          <w:pStyle w:val="Header"/>
          <w:jc w:val="right"/>
        </w:pPr>
        <w:r>
          <w:fldChar w:fldCharType="begin"/>
        </w:r>
        <w:r>
          <w:instrText xml:space="preserve"> PAGE   \* MERGEFORMAT </w:instrText>
        </w:r>
        <w:r>
          <w:fldChar w:fldCharType="separate"/>
        </w:r>
        <w:r w:rsidR="00EF7BEF">
          <w:rPr>
            <w:noProof/>
          </w:rPr>
          <w:t>2</w:t>
        </w:r>
        <w:r>
          <w:rPr>
            <w:noProof/>
          </w:rPr>
          <w:fldChar w:fldCharType="end"/>
        </w:r>
      </w:p>
    </w:sdtContent>
  </w:sdt>
  <w:p w:rsidR="00416768" w:rsidRDefault="00416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B7287"/>
    <w:multiLevelType w:val="hybridMultilevel"/>
    <w:tmpl w:val="D4F0716C"/>
    <w:lvl w:ilvl="0" w:tplc="7240894C">
      <w:start w:val="1"/>
      <w:numFmt w:val="decimal"/>
      <w:lvlText w:val="[%1]"/>
      <w:lvlJc w:val="center"/>
      <w:pPr>
        <w:ind w:left="2160" w:hanging="360"/>
      </w:pPr>
      <w:rPr>
        <w:rFonts w:ascii="Times New Roman" w:hAnsi="Times New Roman" w:cs="Times New Roman"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B4611BA"/>
    <w:multiLevelType w:val="hybridMultilevel"/>
    <w:tmpl w:val="1BECA712"/>
    <w:lvl w:ilvl="0" w:tplc="FFFFFFFF">
      <w:start w:val="1"/>
      <w:numFmt w:val="decimal"/>
      <w:lvlText w:val="[%1]"/>
      <w:lvlJc w:val="center"/>
      <w:pPr>
        <w:ind w:left="720" w:hanging="360"/>
      </w:pPr>
      <w:rPr>
        <w:rFonts w:ascii="Times New Roman" w:hAnsi="Times New Roman" w:cs="Times New Roman"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11D62B8"/>
    <w:multiLevelType w:val="hybridMultilevel"/>
    <w:tmpl w:val="1BECA712"/>
    <w:lvl w:ilvl="0" w:tplc="D93085D2">
      <w:start w:val="1"/>
      <w:numFmt w:val="decimal"/>
      <w:lvlText w:val="[%1]"/>
      <w:lvlJc w:val="center"/>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E30339"/>
    <w:multiLevelType w:val="hybridMultilevel"/>
    <w:tmpl w:val="1BECA712"/>
    <w:lvl w:ilvl="0" w:tplc="FFFFFFFF">
      <w:start w:val="1"/>
      <w:numFmt w:val="decimal"/>
      <w:lvlText w:val="[%1]"/>
      <w:lvlJc w:val="center"/>
      <w:pPr>
        <w:ind w:left="720" w:hanging="360"/>
      </w:pPr>
      <w:rPr>
        <w:rFonts w:ascii="Times New Roman" w:hAnsi="Times New Roman" w:cs="Times New Roman"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62B178DA"/>
    <w:multiLevelType w:val="hybridMultilevel"/>
    <w:tmpl w:val="C1C2C770"/>
    <w:lvl w:ilvl="0" w:tplc="FAD6A5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270F04"/>
    <w:multiLevelType w:val="hybridMultilevel"/>
    <w:tmpl w:val="9AC897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AF00CAD"/>
    <w:multiLevelType w:val="hybridMultilevel"/>
    <w:tmpl w:val="E2EC099C"/>
    <w:lvl w:ilvl="0" w:tplc="014883CC">
      <w:start w:val="6"/>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C8"/>
    <w:rsid w:val="00005F76"/>
    <w:rsid w:val="000077AD"/>
    <w:rsid w:val="00025BE0"/>
    <w:rsid w:val="00027790"/>
    <w:rsid w:val="00031AFF"/>
    <w:rsid w:val="000421FC"/>
    <w:rsid w:val="0005372A"/>
    <w:rsid w:val="000552F6"/>
    <w:rsid w:val="000636A9"/>
    <w:rsid w:val="000763FA"/>
    <w:rsid w:val="000865E9"/>
    <w:rsid w:val="00090B49"/>
    <w:rsid w:val="000A2DCB"/>
    <w:rsid w:val="000B1FDA"/>
    <w:rsid w:val="000B2DC8"/>
    <w:rsid w:val="000B7851"/>
    <w:rsid w:val="000D2018"/>
    <w:rsid w:val="000E67B7"/>
    <w:rsid w:val="00101702"/>
    <w:rsid w:val="00131DA0"/>
    <w:rsid w:val="00147A46"/>
    <w:rsid w:val="0016680C"/>
    <w:rsid w:val="00166BC9"/>
    <w:rsid w:val="00172F97"/>
    <w:rsid w:val="00192442"/>
    <w:rsid w:val="001A4376"/>
    <w:rsid w:val="001C1126"/>
    <w:rsid w:val="001C2574"/>
    <w:rsid w:val="001C3C7F"/>
    <w:rsid w:val="001C6F66"/>
    <w:rsid w:val="001E6929"/>
    <w:rsid w:val="001F1CC6"/>
    <w:rsid w:val="001F5BE8"/>
    <w:rsid w:val="00206811"/>
    <w:rsid w:val="00215DC8"/>
    <w:rsid w:val="00230896"/>
    <w:rsid w:val="00237CD2"/>
    <w:rsid w:val="00240A9E"/>
    <w:rsid w:val="00254F64"/>
    <w:rsid w:val="00274A72"/>
    <w:rsid w:val="0028205F"/>
    <w:rsid w:val="002847CC"/>
    <w:rsid w:val="0028547F"/>
    <w:rsid w:val="002A2DF2"/>
    <w:rsid w:val="002A5A43"/>
    <w:rsid w:val="002C059B"/>
    <w:rsid w:val="002C5163"/>
    <w:rsid w:val="002D0970"/>
    <w:rsid w:val="002D4E82"/>
    <w:rsid w:val="0030010E"/>
    <w:rsid w:val="00305ED8"/>
    <w:rsid w:val="003118A0"/>
    <w:rsid w:val="00325BDE"/>
    <w:rsid w:val="00327104"/>
    <w:rsid w:val="00341890"/>
    <w:rsid w:val="00360DDD"/>
    <w:rsid w:val="003633EA"/>
    <w:rsid w:val="00367884"/>
    <w:rsid w:val="00372359"/>
    <w:rsid w:val="003726AB"/>
    <w:rsid w:val="00382D1D"/>
    <w:rsid w:val="00387D64"/>
    <w:rsid w:val="003C353C"/>
    <w:rsid w:val="003D48F6"/>
    <w:rsid w:val="003F364E"/>
    <w:rsid w:val="004013EB"/>
    <w:rsid w:val="004127ED"/>
    <w:rsid w:val="00416204"/>
    <w:rsid w:val="00416768"/>
    <w:rsid w:val="00422144"/>
    <w:rsid w:val="00427F85"/>
    <w:rsid w:val="0044155B"/>
    <w:rsid w:val="004565C2"/>
    <w:rsid w:val="004667B5"/>
    <w:rsid w:val="004942FC"/>
    <w:rsid w:val="004A4556"/>
    <w:rsid w:val="004A4F1B"/>
    <w:rsid w:val="004B3739"/>
    <w:rsid w:val="004D210A"/>
    <w:rsid w:val="004D222A"/>
    <w:rsid w:val="004E10C1"/>
    <w:rsid w:val="004E6B5A"/>
    <w:rsid w:val="004E7BC8"/>
    <w:rsid w:val="004E7E82"/>
    <w:rsid w:val="004F38F8"/>
    <w:rsid w:val="00500BBD"/>
    <w:rsid w:val="00506D89"/>
    <w:rsid w:val="005138B5"/>
    <w:rsid w:val="00516CCB"/>
    <w:rsid w:val="00522686"/>
    <w:rsid w:val="005276A5"/>
    <w:rsid w:val="00537224"/>
    <w:rsid w:val="00555F9E"/>
    <w:rsid w:val="00570CD9"/>
    <w:rsid w:val="005A1CAE"/>
    <w:rsid w:val="005A1F46"/>
    <w:rsid w:val="005A7E3F"/>
    <w:rsid w:val="005B7B4D"/>
    <w:rsid w:val="005D504B"/>
    <w:rsid w:val="005E0C59"/>
    <w:rsid w:val="005F01E5"/>
    <w:rsid w:val="00610853"/>
    <w:rsid w:val="00620763"/>
    <w:rsid w:val="00622DAB"/>
    <w:rsid w:val="00627103"/>
    <w:rsid w:val="00637380"/>
    <w:rsid w:val="00637CE0"/>
    <w:rsid w:val="00640981"/>
    <w:rsid w:val="0064586C"/>
    <w:rsid w:val="00655840"/>
    <w:rsid w:val="00660865"/>
    <w:rsid w:val="006775F8"/>
    <w:rsid w:val="00697485"/>
    <w:rsid w:val="006B354C"/>
    <w:rsid w:val="006B4C68"/>
    <w:rsid w:val="006B5BFA"/>
    <w:rsid w:val="006C6C21"/>
    <w:rsid w:val="006C75DB"/>
    <w:rsid w:val="006D0400"/>
    <w:rsid w:val="006D4EF7"/>
    <w:rsid w:val="006E404A"/>
    <w:rsid w:val="006F31EB"/>
    <w:rsid w:val="006F66FC"/>
    <w:rsid w:val="0071385C"/>
    <w:rsid w:val="00742395"/>
    <w:rsid w:val="00745FCF"/>
    <w:rsid w:val="00754FC4"/>
    <w:rsid w:val="007650F3"/>
    <w:rsid w:val="00770895"/>
    <w:rsid w:val="007750CE"/>
    <w:rsid w:val="00784367"/>
    <w:rsid w:val="00784C88"/>
    <w:rsid w:val="00784F75"/>
    <w:rsid w:val="0078687B"/>
    <w:rsid w:val="007A22A3"/>
    <w:rsid w:val="007B07DF"/>
    <w:rsid w:val="007B0FF9"/>
    <w:rsid w:val="007B57AC"/>
    <w:rsid w:val="007C3138"/>
    <w:rsid w:val="007E68E2"/>
    <w:rsid w:val="007F7486"/>
    <w:rsid w:val="00801F41"/>
    <w:rsid w:val="00803FCA"/>
    <w:rsid w:val="00815A30"/>
    <w:rsid w:val="008350D4"/>
    <w:rsid w:val="00837AD4"/>
    <w:rsid w:val="00841FB9"/>
    <w:rsid w:val="008513C8"/>
    <w:rsid w:val="00864C47"/>
    <w:rsid w:val="00865D34"/>
    <w:rsid w:val="00865D74"/>
    <w:rsid w:val="00866737"/>
    <w:rsid w:val="00870A1B"/>
    <w:rsid w:val="00874915"/>
    <w:rsid w:val="00876FC8"/>
    <w:rsid w:val="00880660"/>
    <w:rsid w:val="00880C15"/>
    <w:rsid w:val="00880E50"/>
    <w:rsid w:val="0088638C"/>
    <w:rsid w:val="008866D4"/>
    <w:rsid w:val="008932EB"/>
    <w:rsid w:val="00895A1B"/>
    <w:rsid w:val="008B2265"/>
    <w:rsid w:val="008B2BB2"/>
    <w:rsid w:val="008C201B"/>
    <w:rsid w:val="008D133E"/>
    <w:rsid w:val="008D2D82"/>
    <w:rsid w:val="008D36E9"/>
    <w:rsid w:val="008F3F3C"/>
    <w:rsid w:val="008F7754"/>
    <w:rsid w:val="00905327"/>
    <w:rsid w:val="00923984"/>
    <w:rsid w:val="00930811"/>
    <w:rsid w:val="00932075"/>
    <w:rsid w:val="0093246D"/>
    <w:rsid w:val="00944BB5"/>
    <w:rsid w:val="0094619E"/>
    <w:rsid w:val="00950CF9"/>
    <w:rsid w:val="0095772D"/>
    <w:rsid w:val="00960853"/>
    <w:rsid w:val="00964620"/>
    <w:rsid w:val="00966A13"/>
    <w:rsid w:val="0099069A"/>
    <w:rsid w:val="009A578B"/>
    <w:rsid w:val="009B514A"/>
    <w:rsid w:val="009B79B4"/>
    <w:rsid w:val="009C4402"/>
    <w:rsid w:val="009E31A4"/>
    <w:rsid w:val="009F3196"/>
    <w:rsid w:val="009F467C"/>
    <w:rsid w:val="009F7B7C"/>
    <w:rsid w:val="00A0243B"/>
    <w:rsid w:val="00A03FBE"/>
    <w:rsid w:val="00A25A98"/>
    <w:rsid w:val="00A26BDE"/>
    <w:rsid w:val="00A30262"/>
    <w:rsid w:val="00A4031F"/>
    <w:rsid w:val="00A60605"/>
    <w:rsid w:val="00A64C2D"/>
    <w:rsid w:val="00A83D25"/>
    <w:rsid w:val="00A8699A"/>
    <w:rsid w:val="00A91766"/>
    <w:rsid w:val="00A92994"/>
    <w:rsid w:val="00A96E03"/>
    <w:rsid w:val="00AB2F1C"/>
    <w:rsid w:val="00AB3B59"/>
    <w:rsid w:val="00AB62C2"/>
    <w:rsid w:val="00AB73A1"/>
    <w:rsid w:val="00AC0F7F"/>
    <w:rsid w:val="00AC21D6"/>
    <w:rsid w:val="00AC37AA"/>
    <w:rsid w:val="00AC4747"/>
    <w:rsid w:val="00AD69C8"/>
    <w:rsid w:val="00AE00BF"/>
    <w:rsid w:val="00AF4CEB"/>
    <w:rsid w:val="00B01A2D"/>
    <w:rsid w:val="00B14FEF"/>
    <w:rsid w:val="00B15A2A"/>
    <w:rsid w:val="00B30DF2"/>
    <w:rsid w:val="00B346AA"/>
    <w:rsid w:val="00B37AFD"/>
    <w:rsid w:val="00B45A6A"/>
    <w:rsid w:val="00B53C3F"/>
    <w:rsid w:val="00B5780E"/>
    <w:rsid w:val="00B74816"/>
    <w:rsid w:val="00B77977"/>
    <w:rsid w:val="00B77E9E"/>
    <w:rsid w:val="00B83862"/>
    <w:rsid w:val="00BA0527"/>
    <w:rsid w:val="00BA3D29"/>
    <w:rsid w:val="00BB0DFC"/>
    <w:rsid w:val="00BB7510"/>
    <w:rsid w:val="00BD4951"/>
    <w:rsid w:val="00BD74F3"/>
    <w:rsid w:val="00BE12C1"/>
    <w:rsid w:val="00BE59FE"/>
    <w:rsid w:val="00BF2B9C"/>
    <w:rsid w:val="00C3406B"/>
    <w:rsid w:val="00C35675"/>
    <w:rsid w:val="00C51BED"/>
    <w:rsid w:val="00C57655"/>
    <w:rsid w:val="00C64106"/>
    <w:rsid w:val="00C64F21"/>
    <w:rsid w:val="00C7057F"/>
    <w:rsid w:val="00C745B5"/>
    <w:rsid w:val="00C80A11"/>
    <w:rsid w:val="00C9194D"/>
    <w:rsid w:val="00CA2581"/>
    <w:rsid w:val="00CA66A2"/>
    <w:rsid w:val="00CC01D1"/>
    <w:rsid w:val="00CC3CC0"/>
    <w:rsid w:val="00CC5187"/>
    <w:rsid w:val="00CD1CEA"/>
    <w:rsid w:val="00CD240F"/>
    <w:rsid w:val="00CD63F0"/>
    <w:rsid w:val="00CE60E8"/>
    <w:rsid w:val="00D04756"/>
    <w:rsid w:val="00D204AE"/>
    <w:rsid w:val="00D224D5"/>
    <w:rsid w:val="00D40AF3"/>
    <w:rsid w:val="00D41BA1"/>
    <w:rsid w:val="00D47F61"/>
    <w:rsid w:val="00D60118"/>
    <w:rsid w:val="00D67B20"/>
    <w:rsid w:val="00D77647"/>
    <w:rsid w:val="00DA47AF"/>
    <w:rsid w:val="00DA5266"/>
    <w:rsid w:val="00DB2776"/>
    <w:rsid w:val="00DB4ADC"/>
    <w:rsid w:val="00DB7AB0"/>
    <w:rsid w:val="00DC0FC2"/>
    <w:rsid w:val="00DC7727"/>
    <w:rsid w:val="00DD4624"/>
    <w:rsid w:val="00DE2B11"/>
    <w:rsid w:val="00E01D01"/>
    <w:rsid w:val="00E05386"/>
    <w:rsid w:val="00E0570A"/>
    <w:rsid w:val="00E2208A"/>
    <w:rsid w:val="00E456F7"/>
    <w:rsid w:val="00E468D9"/>
    <w:rsid w:val="00E47F0F"/>
    <w:rsid w:val="00E53E3A"/>
    <w:rsid w:val="00E6381E"/>
    <w:rsid w:val="00E82173"/>
    <w:rsid w:val="00E83314"/>
    <w:rsid w:val="00EA0003"/>
    <w:rsid w:val="00EA20A9"/>
    <w:rsid w:val="00EA4827"/>
    <w:rsid w:val="00EA5388"/>
    <w:rsid w:val="00EB5367"/>
    <w:rsid w:val="00EC4EE5"/>
    <w:rsid w:val="00EE169E"/>
    <w:rsid w:val="00EF15C9"/>
    <w:rsid w:val="00EF7BEF"/>
    <w:rsid w:val="00F029A7"/>
    <w:rsid w:val="00F16988"/>
    <w:rsid w:val="00F32325"/>
    <w:rsid w:val="00F43A18"/>
    <w:rsid w:val="00F6503C"/>
    <w:rsid w:val="00F86B95"/>
    <w:rsid w:val="00F87FB1"/>
    <w:rsid w:val="00F91313"/>
    <w:rsid w:val="00F94641"/>
    <w:rsid w:val="00FA2BAD"/>
    <w:rsid w:val="00FA6A20"/>
    <w:rsid w:val="00FB6296"/>
    <w:rsid w:val="00FB7467"/>
    <w:rsid w:val="00FD4F93"/>
    <w:rsid w:val="00FD63B0"/>
    <w:rsid w:val="00FD79EC"/>
    <w:rsid w:val="00FE00C8"/>
    <w:rsid w:val="00FF4E2C"/>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F2341-99DA-41FD-B1F3-137727C6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0C8"/>
    <w:pPr>
      <w:spacing w:line="240" w:lineRule="auto"/>
    </w:pPr>
    <w:rPr>
      <w:rFonts w:ascii="Times New Roman" w:eastAsia="Times New Roman" w:hAnsi="Times New Roman" w:cs="Times New Roman"/>
      <w:sz w:val="24"/>
      <w:szCs w:val="24"/>
      <w:lang w:val="en-ZA" w:eastAsia="en-GB"/>
    </w:rPr>
  </w:style>
  <w:style w:type="paragraph" w:styleId="Heading2">
    <w:name w:val="heading 2"/>
    <w:basedOn w:val="Normal"/>
    <w:link w:val="Heading2Char"/>
    <w:uiPriority w:val="9"/>
    <w:qFormat/>
    <w:rsid w:val="0078436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97485"/>
    <w:pPr>
      <w:spacing w:after="200"/>
    </w:pPr>
    <w:rPr>
      <w:i/>
      <w:iCs/>
      <w:color w:val="44546A" w:themeColor="text2"/>
      <w:sz w:val="18"/>
      <w:szCs w:val="18"/>
    </w:rPr>
  </w:style>
  <w:style w:type="paragraph" w:styleId="ListParagraph">
    <w:name w:val="List Paragraph"/>
    <w:basedOn w:val="Normal"/>
    <w:uiPriority w:val="34"/>
    <w:qFormat/>
    <w:rsid w:val="00B77977"/>
    <w:pPr>
      <w:ind w:left="720"/>
      <w:contextualSpacing/>
    </w:pPr>
  </w:style>
  <w:style w:type="paragraph" w:styleId="FootnoteText">
    <w:name w:val="footnote text"/>
    <w:basedOn w:val="Normal"/>
    <w:link w:val="FootnoteTextChar"/>
    <w:uiPriority w:val="99"/>
    <w:semiHidden/>
    <w:unhideWhenUsed/>
    <w:rsid w:val="008866D4"/>
    <w:rPr>
      <w:sz w:val="20"/>
      <w:szCs w:val="20"/>
    </w:rPr>
  </w:style>
  <w:style w:type="character" w:customStyle="1" w:styleId="FootnoteTextChar">
    <w:name w:val="Footnote Text Char"/>
    <w:basedOn w:val="DefaultParagraphFont"/>
    <w:link w:val="FootnoteText"/>
    <w:uiPriority w:val="99"/>
    <w:semiHidden/>
    <w:rsid w:val="008866D4"/>
    <w:rPr>
      <w:rFonts w:ascii="Times New Roman" w:eastAsia="Times New Roman" w:hAnsi="Times New Roman" w:cs="Times New Roman"/>
      <w:sz w:val="20"/>
      <w:szCs w:val="20"/>
      <w:lang w:val="en-ZA" w:eastAsia="en-GB"/>
    </w:rPr>
  </w:style>
  <w:style w:type="character" w:styleId="FootnoteReference">
    <w:name w:val="footnote reference"/>
    <w:basedOn w:val="DefaultParagraphFont"/>
    <w:uiPriority w:val="99"/>
    <w:semiHidden/>
    <w:unhideWhenUsed/>
    <w:rsid w:val="008866D4"/>
    <w:rPr>
      <w:vertAlign w:val="superscript"/>
    </w:rPr>
  </w:style>
  <w:style w:type="character" w:styleId="CommentReference">
    <w:name w:val="annotation reference"/>
    <w:basedOn w:val="DefaultParagraphFont"/>
    <w:uiPriority w:val="99"/>
    <w:semiHidden/>
    <w:unhideWhenUsed/>
    <w:rsid w:val="00AC4747"/>
    <w:rPr>
      <w:sz w:val="16"/>
      <w:szCs w:val="16"/>
    </w:rPr>
  </w:style>
  <w:style w:type="paragraph" w:styleId="CommentText">
    <w:name w:val="annotation text"/>
    <w:basedOn w:val="Normal"/>
    <w:link w:val="CommentTextChar"/>
    <w:uiPriority w:val="99"/>
    <w:semiHidden/>
    <w:unhideWhenUsed/>
    <w:rsid w:val="00AC4747"/>
    <w:rPr>
      <w:sz w:val="20"/>
      <w:szCs w:val="20"/>
    </w:rPr>
  </w:style>
  <w:style w:type="character" w:customStyle="1" w:styleId="CommentTextChar">
    <w:name w:val="Comment Text Char"/>
    <w:basedOn w:val="DefaultParagraphFont"/>
    <w:link w:val="CommentText"/>
    <w:uiPriority w:val="99"/>
    <w:semiHidden/>
    <w:rsid w:val="00AC4747"/>
    <w:rPr>
      <w:rFonts w:ascii="Times New Roman" w:eastAsia="Times New Roman" w:hAnsi="Times New Roman" w:cs="Times New Roman"/>
      <w:sz w:val="20"/>
      <w:szCs w:val="20"/>
      <w:lang w:val="en-ZA" w:eastAsia="en-GB"/>
    </w:rPr>
  </w:style>
  <w:style w:type="paragraph" w:styleId="CommentSubject">
    <w:name w:val="annotation subject"/>
    <w:basedOn w:val="CommentText"/>
    <w:next w:val="CommentText"/>
    <w:link w:val="CommentSubjectChar"/>
    <w:uiPriority w:val="99"/>
    <w:semiHidden/>
    <w:unhideWhenUsed/>
    <w:rsid w:val="00AC4747"/>
    <w:rPr>
      <w:b/>
      <w:bCs/>
    </w:rPr>
  </w:style>
  <w:style w:type="character" w:customStyle="1" w:styleId="CommentSubjectChar">
    <w:name w:val="Comment Subject Char"/>
    <w:basedOn w:val="CommentTextChar"/>
    <w:link w:val="CommentSubject"/>
    <w:uiPriority w:val="99"/>
    <w:semiHidden/>
    <w:rsid w:val="00AC4747"/>
    <w:rPr>
      <w:rFonts w:ascii="Times New Roman" w:eastAsia="Times New Roman" w:hAnsi="Times New Roman" w:cs="Times New Roman"/>
      <w:b/>
      <w:bCs/>
      <w:sz w:val="20"/>
      <w:szCs w:val="20"/>
      <w:lang w:val="en-ZA" w:eastAsia="en-GB"/>
    </w:rPr>
  </w:style>
  <w:style w:type="paragraph" w:styleId="BalloonText">
    <w:name w:val="Balloon Text"/>
    <w:basedOn w:val="Normal"/>
    <w:link w:val="BalloonTextChar"/>
    <w:uiPriority w:val="99"/>
    <w:semiHidden/>
    <w:unhideWhenUsed/>
    <w:rsid w:val="00AC4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747"/>
    <w:rPr>
      <w:rFonts w:ascii="Segoe UI" w:eastAsia="Times New Roman" w:hAnsi="Segoe UI" w:cs="Segoe UI"/>
      <w:sz w:val="18"/>
      <w:szCs w:val="18"/>
      <w:lang w:val="en-ZA" w:eastAsia="en-GB"/>
    </w:rPr>
  </w:style>
  <w:style w:type="paragraph" w:customStyle="1" w:styleId="western">
    <w:name w:val="western"/>
    <w:basedOn w:val="Normal"/>
    <w:rsid w:val="00025BE0"/>
    <w:pPr>
      <w:spacing w:before="100" w:beforeAutospacing="1" w:after="100" w:afterAutospacing="1"/>
    </w:pPr>
  </w:style>
  <w:style w:type="paragraph" w:styleId="Header">
    <w:name w:val="header"/>
    <w:basedOn w:val="Normal"/>
    <w:link w:val="HeaderChar"/>
    <w:uiPriority w:val="99"/>
    <w:unhideWhenUsed/>
    <w:rsid w:val="00416768"/>
    <w:pPr>
      <w:tabs>
        <w:tab w:val="center" w:pos="4680"/>
        <w:tab w:val="right" w:pos="9360"/>
      </w:tabs>
    </w:pPr>
  </w:style>
  <w:style w:type="character" w:customStyle="1" w:styleId="HeaderChar">
    <w:name w:val="Header Char"/>
    <w:basedOn w:val="DefaultParagraphFont"/>
    <w:link w:val="Header"/>
    <w:uiPriority w:val="99"/>
    <w:rsid w:val="00416768"/>
    <w:rPr>
      <w:rFonts w:ascii="Times New Roman" w:eastAsia="Times New Roman" w:hAnsi="Times New Roman" w:cs="Times New Roman"/>
      <w:sz w:val="24"/>
      <w:szCs w:val="24"/>
      <w:lang w:val="en-ZA" w:eastAsia="en-GB"/>
    </w:rPr>
  </w:style>
  <w:style w:type="paragraph" w:styleId="Footer">
    <w:name w:val="footer"/>
    <w:basedOn w:val="Normal"/>
    <w:link w:val="FooterChar"/>
    <w:uiPriority w:val="99"/>
    <w:unhideWhenUsed/>
    <w:rsid w:val="00416768"/>
    <w:pPr>
      <w:tabs>
        <w:tab w:val="center" w:pos="4680"/>
        <w:tab w:val="right" w:pos="9360"/>
      </w:tabs>
    </w:pPr>
  </w:style>
  <w:style w:type="character" w:customStyle="1" w:styleId="FooterChar">
    <w:name w:val="Footer Char"/>
    <w:basedOn w:val="DefaultParagraphFont"/>
    <w:link w:val="Footer"/>
    <w:uiPriority w:val="99"/>
    <w:rsid w:val="00416768"/>
    <w:rPr>
      <w:rFonts w:ascii="Times New Roman" w:eastAsia="Times New Roman" w:hAnsi="Times New Roman" w:cs="Times New Roman"/>
      <w:sz w:val="24"/>
      <w:szCs w:val="24"/>
      <w:lang w:val="en-ZA" w:eastAsia="en-GB"/>
    </w:rPr>
  </w:style>
  <w:style w:type="paragraph" w:styleId="Revision">
    <w:name w:val="Revision"/>
    <w:hidden/>
    <w:uiPriority w:val="99"/>
    <w:semiHidden/>
    <w:rsid w:val="00A25A98"/>
    <w:pPr>
      <w:spacing w:line="240" w:lineRule="auto"/>
    </w:pPr>
    <w:rPr>
      <w:rFonts w:ascii="Times New Roman" w:eastAsia="Times New Roman" w:hAnsi="Times New Roman" w:cs="Times New Roman"/>
      <w:sz w:val="24"/>
      <w:szCs w:val="24"/>
      <w:lang w:val="en-ZA" w:eastAsia="en-GB"/>
    </w:rPr>
  </w:style>
  <w:style w:type="character" w:customStyle="1" w:styleId="Heading2Char">
    <w:name w:val="Heading 2 Char"/>
    <w:basedOn w:val="DefaultParagraphFont"/>
    <w:link w:val="Heading2"/>
    <w:uiPriority w:val="9"/>
    <w:rsid w:val="00784367"/>
    <w:rPr>
      <w:rFonts w:ascii="Times New Roman" w:eastAsia="Times New Roman" w:hAnsi="Times New Roman" w:cs="Times New Roman"/>
      <w:b/>
      <w:bCs/>
      <w:sz w:val="36"/>
      <w:szCs w:val="36"/>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64A4329-1ED1-4A5E-87AD-90D321A1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4956</Words>
  <Characters>28254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Chantal-Anne Andrews</dc:creator>
  <cp:keywords/>
  <dc:description/>
  <cp:lastModifiedBy>Mokone</cp:lastModifiedBy>
  <cp:revision>2</cp:revision>
  <cp:lastPrinted>2023-04-12T08:47:00Z</cp:lastPrinted>
  <dcterms:created xsi:type="dcterms:W3CDTF">2023-05-15T08:50:00Z</dcterms:created>
  <dcterms:modified xsi:type="dcterms:W3CDTF">2023-05-15T08:50:00Z</dcterms:modified>
</cp:coreProperties>
</file>