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F443" w14:textId="77777777" w:rsidR="00F30F9B" w:rsidRDefault="00F30F9B" w:rsidP="006319C0">
      <w:pPr>
        <w:widowControl w:val="0"/>
        <w:spacing w:after="0"/>
        <w:jc w:val="center"/>
        <w:rPr>
          <w:b/>
          <w:lang w:val="en-GB"/>
        </w:rPr>
      </w:pPr>
      <w:r>
        <w:rPr>
          <w:b/>
          <w:noProof/>
          <w:lang w:val="en-US"/>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(Western Cape Division, Cape Town)</w:t>
      </w:r>
    </w:p>
    <w:p w14:paraId="4BC0FAAD" w14:textId="77777777" w:rsidR="00F30F9B" w:rsidRPr="00E807A7" w:rsidRDefault="00F30F9B" w:rsidP="00E807A7">
      <w:pPr>
        <w:pStyle w:val="Header"/>
        <w:widowControl w:val="0"/>
        <w:spacing w:line="360" w:lineRule="auto"/>
        <w:jc w:val="center"/>
        <w:rPr>
          <w:rFonts w:ascii="Arial" w:hAnsi="Arial" w:cs="Arial"/>
          <w:sz w:val="24"/>
          <w:szCs w:val="24"/>
          <w:lang w:val="en-GB"/>
        </w:rPr>
      </w:pPr>
    </w:p>
    <w:p w14:paraId="68A3CFCF" w14:textId="77777777" w:rsidR="004F3CB3" w:rsidRPr="00E807A7" w:rsidRDefault="004F3CB3" w:rsidP="00E807A7">
      <w:pPr>
        <w:widowControl w:val="0"/>
        <w:spacing w:after="0" w:line="360" w:lineRule="auto"/>
        <w:ind w:left="851" w:right="283" w:hanging="851"/>
        <w:jc w:val="right"/>
        <w:rPr>
          <w:rFonts w:ascii="Arial" w:eastAsia="Calibri" w:hAnsi="Arial" w:cs="Arial"/>
          <w:sz w:val="24"/>
          <w:szCs w:val="24"/>
          <w:lang w:val="en-GB"/>
        </w:rPr>
      </w:pPr>
    </w:p>
    <w:p w14:paraId="7D9E4A0F" w14:textId="1761B17D" w:rsidR="00E251F0" w:rsidRPr="00083C7B" w:rsidRDefault="00FF5DC6" w:rsidP="00083C7B">
      <w:pPr>
        <w:widowControl w:val="0"/>
        <w:spacing w:after="0" w:line="360" w:lineRule="auto"/>
        <w:ind w:left="851" w:right="283" w:hanging="851"/>
        <w:jc w:val="right"/>
        <w:rPr>
          <w:rFonts w:ascii="Arial" w:eastAsia="Calibri" w:hAnsi="Arial" w:cs="Arial"/>
          <w:sz w:val="24"/>
          <w:szCs w:val="24"/>
          <w:lang w:val="en-GB"/>
        </w:rPr>
      </w:pPr>
      <w:r w:rsidRPr="00083C7B">
        <w:rPr>
          <w:rFonts w:ascii="Arial" w:eastAsia="Calibri" w:hAnsi="Arial" w:cs="Arial"/>
          <w:sz w:val="24"/>
          <w:szCs w:val="24"/>
          <w:lang w:val="en-GB"/>
        </w:rPr>
        <w:t>Bail appeal case number</w:t>
      </w:r>
      <w:r w:rsidR="00E251F0" w:rsidRPr="00083C7B">
        <w:rPr>
          <w:rFonts w:ascii="Arial" w:eastAsia="Calibri" w:hAnsi="Arial" w:cs="Arial"/>
          <w:sz w:val="24"/>
          <w:szCs w:val="24"/>
          <w:lang w:val="en-GB"/>
        </w:rPr>
        <w:t xml:space="preserve">: </w:t>
      </w:r>
      <w:r w:rsidR="00A25029" w:rsidRPr="00083C7B">
        <w:rPr>
          <w:rFonts w:ascii="Arial" w:eastAsia="Calibri" w:hAnsi="Arial" w:cs="Arial"/>
          <w:sz w:val="24"/>
          <w:szCs w:val="24"/>
          <w:lang w:val="en-GB"/>
        </w:rPr>
        <w:t>CC72</w:t>
      </w:r>
      <w:r w:rsidR="00E251F0" w:rsidRPr="00083C7B">
        <w:rPr>
          <w:rFonts w:ascii="Arial" w:eastAsia="Calibri" w:hAnsi="Arial" w:cs="Arial"/>
          <w:sz w:val="24"/>
          <w:szCs w:val="24"/>
          <w:lang w:val="en-GB"/>
        </w:rPr>
        <w:t>/201</w:t>
      </w:r>
      <w:r w:rsidR="00A25029" w:rsidRPr="00083C7B">
        <w:rPr>
          <w:rFonts w:ascii="Arial" w:eastAsia="Calibri" w:hAnsi="Arial" w:cs="Arial"/>
          <w:sz w:val="24"/>
          <w:szCs w:val="24"/>
          <w:lang w:val="en-GB"/>
        </w:rPr>
        <w:t>9</w:t>
      </w:r>
    </w:p>
    <w:p w14:paraId="3337F2A8" w14:textId="01342F23" w:rsidR="00E251F0" w:rsidRPr="00083C7B" w:rsidRDefault="00A25029" w:rsidP="00083C7B">
      <w:pPr>
        <w:widowControl w:val="0"/>
        <w:spacing w:after="0" w:line="360" w:lineRule="auto"/>
        <w:ind w:left="851" w:right="283" w:hanging="851"/>
        <w:jc w:val="right"/>
        <w:rPr>
          <w:rFonts w:ascii="Arial" w:eastAsia="Calibri" w:hAnsi="Arial" w:cs="Arial"/>
          <w:sz w:val="24"/>
          <w:szCs w:val="24"/>
          <w:lang w:val="en-GB"/>
        </w:rPr>
      </w:pPr>
      <w:r w:rsidRPr="00083C7B">
        <w:rPr>
          <w:rFonts w:ascii="Arial" w:eastAsia="Calibri" w:hAnsi="Arial" w:cs="Arial"/>
          <w:sz w:val="24"/>
          <w:szCs w:val="24"/>
          <w:lang w:val="en-GB"/>
        </w:rPr>
        <w:t>District</w:t>
      </w:r>
      <w:r w:rsidR="00E251F0" w:rsidRPr="00083C7B">
        <w:rPr>
          <w:rFonts w:ascii="Arial" w:eastAsia="Calibri" w:hAnsi="Arial" w:cs="Arial"/>
          <w:sz w:val="24"/>
          <w:szCs w:val="24"/>
          <w:lang w:val="en-GB"/>
        </w:rPr>
        <w:t xml:space="preserve"> Court case number:</w:t>
      </w:r>
      <w:r w:rsidR="00FF5DC6" w:rsidRPr="00083C7B">
        <w:rPr>
          <w:rFonts w:ascii="Arial" w:eastAsia="Calibri" w:hAnsi="Arial" w:cs="Arial"/>
          <w:sz w:val="24"/>
          <w:szCs w:val="24"/>
          <w:lang w:val="en-GB"/>
        </w:rPr>
        <w:t xml:space="preserve"> </w:t>
      </w:r>
      <w:r w:rsidRPr="00083C7B">
        <w:rPr>
          <w:rFonts w:ascii="Arial" w:eastAsia="Calibri" w:hAnsi="Arial" w:cs="Arial"/>
          <w:sz w:val="24"/>
          <w:szCs w:val="24"/>
          <w:lang w:val="en-GB"/>
        </w:rPr>
        <w:t>16/849</w:t>
      </w:r>
      <w:r w:rsidR="00E251F0" w:rsidRPr="00083C7B">
        <w:rPr>
          <w:rFonts w:ascii="Arial" w:eastAsia="Calibri" w:hAnsi="Arial" w:cs="Arial"/>
          <w:sz w:val="24"/>
          <w:szCs w:val="24"/>
          <w:lang w:val="en-GB"/>
        </w:rPr>
        <w:t>/20</w:t>
      </w:r>
      <w:r w:rsidRPr="00083C7B">
        <w:rPr>
          <w:rFonts w:ascii="Arial" w:eastAsia="Calibri" w:hAnsi="Arial" w:cs="Arial"/>
          <w:sz w:val="24"/>
          <w:szCs w:val="24"/>
          <w:lang w:val="en-GB"/>
        </w:rPr>
        <w:t>18</w:t>
      </w:r>
    </w:p>
    <w:p w14:paraId="5528A1A3" w14:textId="77777777" w:rsidR="00E251F0" w:rsidRPr="00083C7B" w:rsidRDefault="00E251F0" w:rsidP="00083C7B">
      <w:pPr>
        <w:widowControl w:val="0"/>
        <w:spacing w:after="0" w:line="360" w:lineRule="auto"/>
        <w:ind w:left="851" w:right="283" w:hanging="851"/>
        <w:rPr>
          <w:rFonts w:ascii="Arial" w:eastAsia="Calibri" w:hAnsi="Arial" w:cs="Arial"/>
          <w:sz w:val="24"/>
          <w:szCs w:val="24"/>
          <w:lang w:val="en-GB"/>
        </w:rPr>
      </w:pPr>
    </w:p>
    <w:p w14:paraId="3C8C2267" w14:textId="192F77B3" w:rsidR="00E251F0" w:rsidRPr="00083C7B" w:rsidRDefault="00E251F0" w:rsidP="00083C7B">
      <w:pPr>
        <w:widowControl w:val="0"/>
        <w:spacing w:after="0" w:line="360" w:lineRule="auto"/>
        <w:ind w:left="851" w:right="283" w:hanging="851"/>
        <w:rPr>
          <w:rFonts w:ascii="Arial" w:eastAsia="Calibri" w:hAnsi="Arial" w:cs="Arial"/>
          <w:sz w:val="24"/>
          <w:szCs w:val="24"/>
          <w:lang w:val="en-GB"/>
        </w:rPr>
      </w:pPr>
      <w:r w:rsidRPr="00083C7B">
        <w:rPr>
          <w:rFonts w:ascii="Arial" w:eastAsia="Calibri" w:hAnsi="Arial" w:cs="Arial"/>
          <w:sz w:val="24"/>
          <w:szCs w:val="24"/>
          <w:lang w:val="en-GB"/>
        </w:rPr>
        <w:t xml:space="preserve">In the </w:t>
      </w:r>
      <w:r w:rsidR="00F304ED" w:rsidRPr="00083C7B">
        <w:rPr>
          <w:rFonts w:ascii="Arial" w:eastAsia="Calibri" w:hAnsi="Arial" w:cs="Arial"/>
          <w:sz w:val="24"/>
          <w:szCs w:val="24"/>
          <w:lang w:val="en-GB"/>
        </w:rPr>
        <w:t>matter</w:t>
      </w:r>
      <w:r w:rsidRPr="00083C7B">
        <w:rPr>
          <w:rFonts w:ascii="Arial" w:eastAsia="Calibri" w:hAnsi="Arial" w:cs="Arial"/>
          <w:sz w:val="24"/>
          <w:szCs w:val="24"/>
          <w:lang w:val="en-GB"/>
        </w:rPr>
        <w:t xml:space="preserve"> between:</w:t>
      </w:r>
    </w:p>
    <w:p w14:paraId="6710941F" w14:textId="16CB7B45" w:rsidR="00E251F0" w:rsidRPr="00083C7B" w:rsidRDefault="00A25029" w:rsidP="00083C7B">
      <w:pPr>
        <w:widowControl w:val="0"/>
        <w:tabs>
          <w:tab w:val="right" w:pos="9000"/>
        </w:tabs>
        <w:spacing w:after="0" w:line="360" w:lineRule="auto"/>
        <w:ind w:left="851" w:right="283" w:hanging="851"/>
        <w:rPr>
          <w:rFonts w:ascii="Arial" w:eastAsia="Calibri" w:hAnsi="Arial" w:cs="Arial"/>
          <w:b/>
          <w:sz w:val="24"/>
          <w:szCs w:val="24"/>
          <w:lang w:val="en-GB"/>
        </w:rPr>
      </w:pPr>
      <w:r w:rsidRPr="00083C7B">
        <w:rPr>
          <w:rFonts w:ascii="Arial" w:eastAsia="Calibri" w:hAnsi="Arial" w:cs="Arial"/>
          <w:b/>
          <w:sz w:val="24"/>
          <w:szCs w:val="24"/>
          <w:lang w:val="en-GB"/>
        </w:rPr>
        <w:t>THEMBAKAZI FISONTI</w:t>
      </w:r>
      <w:r w:rsidR="00E251F0" w:rsidRPr="00083C7B">
        <w:rPr>
          <w:rFonts w:ascii="Arial" w:eastAsia="Calibri" w:hAnsi="Arial" w:cs="Arial"/>
          <w:b/>
          <w:sz w:val="24"/>
          <w:szCs w:val="24"/>
          <w:lang w:val="en-GB"/>
        </w:rPr>
        <w:tab/>
      </w:r>
      <w:r w:rsidR="00E251F0" w:rsidRPr="00083C7B">
        <w:rPr>
          <w:rFonts w:ascii="Arial" w:eastAsia="Calibri" w:hAnsi="Arial" w:cs="Arial"/>
          <w:sz w:val="24"/>
          <w:szCs w:val="24"/>
          <w:lang w:val="en-GB"/>
        </w:rPr>
        <w:t>Appellant</w:t>
      </w:r>
    </w:p>
    <w:p w14:paraId="020F46C7" w14:textId="77777777" w:rsidR="00E251F0" w:rsidRPr="00083C7B" w:rsidRDefault="00E251F0" w:rsidP="00083C7B">
      <w:pPr>
        <w:widowControl w:val="0"/>
        <w:tabs>
          <w:tab w:val="right" w:pos="9000"/>
        </w:tabs>
        <w:spacing w:after="0" w:line="360" w:lineRule="auto"/>
        <w:ind w:left="851" w:right="283" w:hanging="851"/>
        <w:rPr>
          <w:rFonts w:ascii="Arial" w:eastAsia="Calibri" w:hAnsi="Arial" w:cs="Arial"/>
          <w:sz w:val="24"/>
          <w:szCs w:val="24"/>
          <w:lang w:val="en-GB"/>
        </w:rPr>
      </w:pPr>
    </w:p>
    <w:p w14:paraId="1F1AE7C8" w14:textId="77777777" w:rsidR="00E251F0" w:rsidRPr="00083C7B" w:rsidRDefault="00E251F0" w:rsidP="00083C7B">
      <w:pPr>
        <w:widowControl w:val="0"/>
        <w:tabs>
          <w:tab w:val="right" w:pos="9000"/>
        </w:tabs>
        <w:spacing w:after="0" w:line="360" w:lineRule="auto"/>
        <w:ind w:left="851" w:right="283" w:hanging="851"/>
        <w:rPr>
          <w:rFonts w:ascii="Arial" w:eastAsia="Calibri" w:hAnsi="Arial" w:cs="Arial"/>
          <w:sz w:val="24"/>
          <w:szCs w:val="24"/>
          <w:lang w:val="en-GB"/>
        </w:rPr>
      </w:pPr>
      <w:r w:rsidRPr="00083C7B">
        <w:rPr>
          <w:rFonts w:ascii="Arial" w:eastAsia="Calibri" w:hAnsi="Arial" w:cs="Arial"/>
          <w:sz w:val="24"/>
          <w:szCs w:val="24"/>
          <w:lang w:val="en-GB"/>
        </w:rPr>
        <w:t>and</w:t>
      </w:r>
    </w:p>
    <w:p w14:paraId="663AB2EE" w14:textId="77777777" w:rsidR="00E251F0" w:rsidRPr="00083C7B" w:rsidRDefault="00E251F0" w:rsidP="00083C7B">
      <w:pPr>
        <w:widowControl w:val="0"/>
        <w:tabs>
          <w:tab w:val="right" w:pos="9000"/>
        </w:tabs>
        <w:spacing w:after="0" w:line="360" w:lineRule="auto"/>
        <w:ind w:left="851" w:right="283" w:hanging="851"/>
        <w:rPr>
          <w:rFonts w:ascii="Arial" w:eastAsia="Calibri" w:hAnsi="Arial" w:cs="Arial"/>
          <w:b/>
          <w:sz w:val="24"/>
          <w:szCs w:val="24"/>
          <w:lang w:val="en-GB"/>
        </w:rPr>
      </w:pPr>
      <w:bookmarkStart w:id="0" w:name="_Hlk499712325"/>
    </w:p>
    <w:p w14:paraId="74EF4C0B" w14:textId="582F761B" w:rsidR="00E251F0" w:rsidRPr="00083C7B" w:rsidRDefault="00E251F0" w:rsidP="00083C7B">
      <w:pPr>
        <w:widowControl w:val="0"/>
        <w:pBdr>
          <w:bottom w:val="single" w:sz="12" w:space="1" w:color="auto"/>
        </w:pBdr>
        <w:tabs>
          <w:tab w:val="right" w:pos="9000"/>
        </w:tabs>
        <w:spacing w:after="0" w:line="360" w:lineRule="auto"/>
        <w:ind w:left="851" w:right="283" w:hanging="851"/>
        <w:rPr>
          <w:rFonts w:ascii="Arial" w:eastAsia="Calibri" w:hAnsi="Arial" w:cs="Arial"/>
          <w:b/>
          <w:sz w:val="24"/>
          <w:szCs w:val="24"/>
          <w:lang w:val="en-GB"/>
        </w:rPr>
      </w:pPr>
      <w:r w:rsidRPr="00083C7B">
        <w:rPr>
          <w:rFonts w:ascii="Arial" w:eastAsia="Calibri" w:hAnsi="Arial" w:cs="Arial"/>
          <w:b/>
          <w:sz w:val="24"/>
          <w:szCs w:val="24"/>
          <w:lang w:val="en-GB"/>
        </w:rPr>
        <w:t>THE STATE</w:t>
      </w:r>
      <w:r w:rsidRPr="00083C7B">
        <w:rPr>
          <w:rFonts w:ascii="Arial" w:eastAsia="Calibri" w:hAnsi="Arial" w:cs="Arial"/>
          <w:b/>
          <w:sz w:val="24"/>
          <w:szCs w:val="24"/>
          <w:lang w:val="en-GB"/>
        </w:rPr>
        <w:tab/>
      </w:r>
      <w:r w:rsidRPr="00083C7B">
        <w:rPr>
          <w:rFonts w:ascii="Arial" w:eastAsia="Calibri" w:hAnsi="Arial" w:cs="Arial"/>
          <w:sz w:val="24"/>
          <w:szCs w:val="24"/>
          <w:lang w:val="en-GB"/>
        </w:rPr>
        <w:t>Respondent</w:t>
      </w:r>
    </w:p>
    <w:bookmarkEnd w:id="0"/>
    <w:p w14:paraId="04D4C372" w14:textId="77777777" w:rsidR="00154E4A" w:rsidRPr="00083C7B" w:rsidRDefault="00154E4A" w:rsidP="00083C7B">
      <w:pPr>
        <w:widowControl w:val="0"/>
        <w:spacing w:after="0" w:line="360" w:lineRule="auto"/>
        <w:ind w:left="851" w:right="283" w:hanging="851"/>
        <w:rPr>
          <w:rFonts w:ascii="Arial" w:eastAsia="Calibri" w:hAnsi="Arial" w:cs="Arial"/>
          <w:sz w:val="24"/>
          <w:szCs w:val="24"/>
          <w:lang w:val="en-GB"/>
        </w:rPr>
      </w:pPr>
    </w:p>
    <w:p w14:paraId="41A66AFC" w14:textId="1A3A0330" w:rsidR="00154E4A" w:rsidRPr="00083C7B" w:rsidRDefault="00E251F0" w:rsidP="00083C7B">
      <w:pPr>
        <w:widowControl w:val="0"/>
        <w:spacing w:after="0" w:line="360" w:lineRule="auto"/>
        <w:ind w:left="851" w:right="283" w:hanging="851"/>
        <w:jc w:val="center"/>
        <w:rPr>
          <w:rFonts w:ascii="Arial" w:eastAsia="Times New Roman" w:hAnsi="Arial" w:cs="Arial"/>
          <w:b/>
          <w:sz w:val="24"/>
          <w:szCs w:val="24"/>
          <w:lang w:val="en-GB"/>
        </w:rPr>
      </w:pPr>
      <w:r w:rsidRPr="00083C7B">
        <w:rPr>
          <w:rFonts w:ascii="Arial" w:eastAsia="Times New Roman" w:hAnsi="Arial" w:cs="Arial"/>
          <w:b/>
          <w:sz w:val="24"/>
          <w:szCs w:val="24"/>
          <w:lang w:val="en-GB"/>
        </w:rPr>
        <w:t>JUDGMEN</w:t>
      </w:r>
      <w:r w:rsidR="00B65C7C" w:rsidRPr="00083C7B">
        <w:rPr>
          <w:rFonts w:ascii="Arial" w:eastAsia="Times New Roman" w:hAnsi="Arial" w:cs="Arial"/>
          <w:b/>
          <w:sz w:val="24"/>
          <w:szCs w:val="24"/>
          <w:lang w:val="en-GB"/>
        </w:rPr>
        <w:t>T</w:t>
      </w:r>
      <w:r w:rsidR="00A25029" w:rsidRPr="00083C7B">
        <w:rPr>
          <w:rFonts w:ascii="Arial" w:eastAsia="Times New Roman" w:hAnsi="Arial" w:cs="Arial"/>
          <w:b/>
          <w:sz w:val="24"/>
          <w:szCs w:val="24"/>
          <w:lang w:val="en-GB"/>
        </w:rPr>
        <w:t xml:space="preserve"> DELIVERED ON 15 MAY 2023</w:t>
      </w:r>
    </w:p>
    <w:p w14:paraId="659D7C8D" w14:textId="0DD578E9" w:rsidR="00E251F0" w:rsidRPr="00083C7B" w:rsidRDefault="00E251F0" w:rsidP="00083C7B">
      <w:pPr>
        <w:widowControl w:val="0"/>
        <w:spacing w:after="0" w:line="360" w:lineRule="auto"/>
        <w:ind w:left="851" w:right="283" w:hanging="851"/>
        <w:rPr>
          <w:rFonts w:ascii="Arial" w:eastAsia="Calibri" w:hAnsi="Arial" w:cs="Arial"/>
          <w:b/>
          <w:bCs/>
          <w:sz w:val="24"/>
          <w:szCs w:val="24"/>
          <w:lang w:val="en-GB"/>
        </w:rPr>
      </w:pPr>
      <w:r w:rsidRPr="00083C7B">
        <w:rPr>
          <w:rFonts w:ascii="Arial" w:eastAsia="Calibri" w:hAnsi="Arial" w:cs="Arial"/>
          <w:b/>
          <w:bCs/>
          <w:sz w:val="24"/>
          <w:szCs w:val="24"/>
          <w:lang w:val="en-GB"/>
        </w:rPr>
        <w:t>_________________________________________________________________</w:t>
      </w:r>
    </w:p>
    <w:p w14:paraId="23F17B23" w14:textId="77777777" w:rsidR="00F304ED" w:rsidRPr="00083C7B" w:rsidRDefault="00F304ED" w:rsidP="00083C7B">
      <w:pPr>
        <w:widowControl w:val="0"/>
        <w:spacing w:after="0" w:line="360" w:lineRule="auto"/>
        <w:jc w:val="both"/>
        <w:rPr>
          <w:rFonts w:ascii="Arial" w:hAnsi="Arial" w:cs="Arial"/>
          <w:sz w:val="24"/>
          <w:szCs w:val="24"/>
          <w:lang w:val="en-US"/>
        </w:rPr>
      </w:pPr>
    </w:p>
    <w:p w14:paraId="5EC81C7E" w14:textId="3E98FFBC" w:rsidR="005A5A94" w:rsidRPr="00083C7B" w:rsidRDefault="00F304ED" w:rsidP="00083C7B">
      <w:pPr>
        <w:widowControl w:val="0"/>
        <w:spacing w:after="0" w:line="360" w:lineRule="auto"/>
        <w:jc w:val="both"/>
        <w:rPr>
          <w:rFonts w:ascii="Arial" w:hAnsi="Arial" w:cs="Arial"/>
          <w:b/>
          <w:sz w:val="24"/>
          <w:szCs w:val="24"/>
          <w:u w:val="single"/>
          <w:lang w:val="en-US"/>
        </w:rPr>
      </w:pPr>
      <w:r w:rsidRPr="00083C7B">
        <w:rPr>
          <w:rFonts w:ascii="Arial" w:hAnsi="Arial" w:cs="Arial"/>
          <w:b/>
          <w:sz w:val="24"/>
          <w:szCs w:val="24"/>
          <w:u w:val="single"/>
          <w:lang w:val="en-US"/>
        </w:rPr>
        <w:t>VAN ZYL AJ</w:t>
      </w:r>
      <w:r w:rsidR="00A25029" w:rsidRPr="00083C7B">
        <w:rPr>
          <w:rFonts w:ascii="Arial" w:hAnsi="Arial" w:cs="Arial"/>
          <w:b/>
          <w:sz w:val="24"/>
          <w:szCs w:val="24"/>
          <w:u w:val="single"/>
          <w:lang w:val="en-US"/>
        </w:rPr>
        <w:t>:</w:t>
      </w:r>
    </w:p>
    <w:p w14:paraId="62494B50" w14:textId="77777777" w:rsidR="00F304ED" w:rsidRPr="00083C7B" w:rsidRDefault="00F304ED" w:rsidP="00083C7B">
      <w:pPr>
        <w:widowControl w:val="0"/>
        <w:spacing w:after="0" w:line="360" w:lineRule="auto"/>
        <w:jc w:val="both"/>
        <w:rPr>
          <w:rFonts w:ascii="Arial" w:hAnsi="Arial" w:cs="Arial"/>
          <w:b/>
          <w:bCs/>
          <w:sz w:val="24"/>
          <w:szCs w:val="24"/>
          <w:u w:val="single"/>
          <w:lang w:val="en-US"/>
        </w:rPr>
      </w:pPr>
    </w:p>
    <w:p w14:paraId="5E74B329" w14:textId="020DB0EE" w:rsidR="00460F28" w:rsidRPr="00083C7B" w:rsidRDefault="005A5A94" w:rsidP="00083C7B">
      <w:pPr>
        <w:widowControl w:val="0"/>
        <w:spacing w:after="0" w:line="360" w:lineRule="auto"/>
        <w:jc w:val="both"/>
        <w:rPr>
          <w:rFonts w:ascii="Arial" w:hAnsi="Arial" w:cs="Arial"/>
          <w:b/>
          <w:bCs/>
          <w:sz w:val="24"/>
          <w:szCs w:val="24"/>
          <w:u w:val="single"/>
          <w:lang w:val="en-US"/>
        </w:rPr>
      </w:pPr>
      <w:r w:rsidRPr="00083C7B">
        <w:rPr>
          <w:rFonts w:ascii="Arial" w:hAnsi="Arial" w:cs="Arial"/>
          <w:b/>
          <w:bCs/>
          <w:sz w:val="24"/>
          <w:szCs w:val="24"/>
          <w:u w:val="single"/>
          <w:lang w:val="en-US"/>
        </w:rPr>
        <w:t>Introduction</w:t>
      </w:r>
    </w:p>
    <w:p w14:paraId="2453AEE6" w14:textId="2592B414" w:rsidR="00460F28" w:rsidRPr="00083C7B" w:rsidRDefault="00460F28" w:rsidP="00083C7B">
      <w:pPr>
        <w:widowControl w:val="0"/>
        <w:spacing w:after="0" w:line="360" w:lineRule="auto"/>
        <w:jc w:val="both"/>
        <w:rPr>
          <w:rFonts w:ascii="Arial" w:hAnsi="Arial" w:cs="Arial"/>
          <w:sz w:val="24"/>
          <w:szCs w:val="24"/>
          <w:lang w:val="en-US"/>
        </w:rPr>
      </w:pPr>
    </w:p>
    <w:p w14:paraId="35A30894" w14:textId="504E34AF" w:rsidR="008541B3" w:rsidRPr="00083C7B" w:rsidRDefault="00F30F9B" w:rsidP="00083C7B">
      <w:pPr>
        <w:pStyle w:val="ListParagraph"/>
        <w:widowControl w:val="0"/>
        <w:numPr>
          <w:ilvl w:val="0"/>
          <w:numId w:val="4"/>
        </w:numPr>
        <w:spacing w:after="0" w:line="360" w:lineRule="auto"/>
        <w:ind w:hanging="720"/>
        <w:jc w:val="both"/>
        <w:rPr>
          <w:rFonts w:ascii="Arial" w:hAnsi="Arial" w:cs="Arial"/>
          <w:sz w:val="24"/>
          <w:szCs w:val="24"/>
        </w:rPr>
      </w:pPr>
      <w:r w:rsidRPr="00083C7B">
        <w:rPr>
          <w:rFonts w:ascii="Arial" w:hAnsi="Arial" w:cs="Arial"/>
          <w:sz w:val="24"/>
          <w:szCs w:val="24"/>
        </w:rPr>
        <w:t xml:space="preserve">This matter came to this </w:t>
      </w:r>
      <w:r w:rsidR="00FF5DC6" w:rsidRPr="00083C7B">
        <w:rPr>
          <w:rFonts w:ascii="Arial" w:hAnsi="Arial" w:cs="Arial"/>
          <w:sz w:val="24"/>
          <w:szCs w:val="24"/>
        </w:rPr>
        <w:t>C</w:t>
      </w:r>
      <w:r w:rsidRPr="00083C7B">
        <w:rPr>
          <w:rFonts w:ascii="Arial" w:hAnsi="Arial" w:cs="Arial"/>
          <w:sz w:val="24"/>
          <w:szCs w:val="24"/>
        </w:rPr>
        <w:t xml:space="preserve">ourt by way of an appeal against </w:t>
      </w:r>
      <w:r w:rsidR="00FF5DC6" w:rsidRPr="00083C7B">
        <w:rPr>
          <w:rFonts w:ascii="Arial" w:hAnsi="Arial" w:cs="Arial"/>
          <w:sz w:val="24"/>
          <w:szCs w:val="24"/>
        </w:rPr>
        <w:t xml:space="preserve">the refusal of bail </w:t>
      </w:r>
      <w:bookmarkStart w:id="1" w:name="_GoBack"/>
      <w:bookmarkEnd w:id="1"/>
      <w:r w:rsidR="00FF5DC6" w:rsidRPr="00083C7B">
        <w:rPr>
          <w:rFonts w:ascii="Arial" w:hAnsi="Arial" w:cs="Arial"/>
          <w:sz w:val="24"/>
          <w:szCs w:val="24"/>
        </w:rPr>
        <w:t xml:space="preserve">to the appellant by the </w:t>
      </w:r>
      <w:r w:rsidR="00A25029" w:rsidRPr="00083C7B">
        <w:rPr>
          <w:rFonts w:ascii="Arial" w:hAnsi="Arial" w:cs="Arial"/>
          <w:sz w:val="24"/>
          <w:szCs w:val="24"/>
        </w:rPr>
        <w:t>Cape Town District</w:t>
      </w:r>
      <w:r w:rsidR="00FF5DC6" w:rsidRPr="00083C7B">
        <w:rPr>
          <w:rFonts w:ascii="Arial" w:hAnsi="Arial" w:cs="Arial"/>
          <w:sz w:val="24"/>
          <w:szCs w:val="24"/>
        </w:rPr>
        <w:t xml:space="preserve"> Court on </w:t>
      </w:r>
      <w:r w:rsidR="00A25029" w:rsidRPr="00083C7B">
        <w:rPr>
          <w:rFonts w:ascii="Arial" w:hAnsi="Arial" w:cs="Arial"/>
          <w:sz w:val="24"/>
          <w:szCs w:val="24"/>
        </w:rPr>
        <w:t>24</w:t>
      </w:r>
      <w:r w:rsidR="00FF5DC6" w:rsidRPr="00083C7B">
        <w:rPr>
          <w:rFonts w:ascii="Arial" w:hAnsi="Arial" w:cs="Arial"/>
          <w:sz w:val="24"/>
          <w:szCs w:val="24"/>
        </w:rPr>
        <w:t xml:space="preserve"> </w:t>
      </w:r>
      <w:r w:rsidR="00A25029" w:rsidRPr="00083C7B">
        <w:rPr>
          <w:rFonts w:ascii="Arial" w:hAnsi="Arial" w:cs="Arial"/>
          <w:sz w:val="24"/>
          <w:szCs w:val="24"/>
        </w:rPr>
        <w:t>June</w:t>
      </w:r>
      <w:r w:rsidR="00FF5DC6" w:rsidRPr="00083C7B">
        <w:rPr>
          <w:rFonts w:ascii="Arial" w:hAnsi="Arial" w:cs="Arial"/>
          <w:sz w:val="24"/>
          <w:szCs w:val="24"/>
        </w:rPr>
        <w:t xml:space="preserve"> 201</w:t>
      </w:r>
      <w:r w:rsidR="00A25029" w:rsidRPr="00083C7B">
        <w:rPr>
          <w:rFonts w:ascii="Arial" w:hAnsi="Arial" w:cs="Arial"/>
          <w:sz w:val="24"/>
          <w:szCs w:val="24"/>
        </w:rPr>
        <w:t>9</w:t>
      </w:r>
      <w:r w:rsidR="00FF5DC6" w:rsidRPr="00083C7B">
        <w:rPr>
          <w:rFonts w:ascii="Arial" w:hAnsi="Arial" w:cs="Arial"/>
          <w:sz w:val="24"/>
          <w:szCs w:val="24"/>
        </w:rPr>
        <w:t>.</w:t>
      </w:r>
      <w:r w:rsidRPr="00083C7B">
        <w:rPr>
          <w:rFonts w:ascii="Arial" w:hAnsi="Arial" w:cs="Arial"/>
          <w:sz w:val="24"/>
          <w:szCs w:val="24"/>
        </w:rPr>
        <w:t xml:space="preserve"> The appellant</w:t>
      </w:r>
      <w:r w:rsidR="00DA24DD" w:rsidRPr="00083C7B">
        <w:rPr>
          <w:rFonts w:ascii="Arial" w:hAnsi="Arial" w:cs="Arial"/>
          <w:sz w:val="24"/>
          <w:szCs w:val="24"/>
        </w:rPr>
        <w:t>, together with t</w:t>
      </w:r>
      <w:r w:rsidR="00E442D4" w:rsidRPr="00083C7B">
        <w:rPr>
          <w:rFonts w:ascii="Arial" w:hAnsi="Arial" w:cs="Arial"/>
          <w:sz w:val="24"/>
          <w:szCs w:val="24"/>
        </w:rPr>
        <w:t>hree</w:t>
      </w:r>
      <w:r w:rsidR="00DA24DD" w:rsidRPr="00083C7B">
        <w:rPr>
          <w:rFonts w:ascii="Arial" w:hAnsi="Arial" w:cs="Arial"/>
          <w:sz w:val="24"/>
          <w:szCs w:val="24"/>
        </w:rPr>
        <w:t xml:space="preserve"> co-accused,</w:t>
      </w:r>
      <w:r w:rsidRPr="00083C7B">
        <w:rPr>
          <w:rFonts w:ascii="Arial" w:hAnsi="Arial" w:cs="Arial"/>
          <w:sz w:val="24"/>
          <w:szCs w:val="24"/>
        </w:rPr>
        <w:t xml:space="preserve"> </w:t>
      </w:r>
      <w:r w:rsidR="00FF5DC6" w:rsidRPr="00083C7B">
        <w:rPr>
          <w:rFonts w:ascii="Arial" w:hAnsi="Arial" w:cs="Arial"/>
          <w:sz w:val="24"/>
          <w:szCs w:val="24"/>
        </w:rPr>
        <w:t>i</w:t>
      </w:r>
      <w:r w:rsidRPr="00083C7B">
        <w:rPr>
          <w:rFonts w:ascii="Arial" w:hAnsi="Arial" w:cs="Arial"/>
          <w:sz w:val="24"/>
          <w:szCs w:val="24"/>
        </w:rPr>
        <w:t>s charged</w:t>
      </w:r>
      <w:r w:rsidR="00F304ED" w:rsidRPr="00083C7B">
        <w:rPr>
          <w:rFonts w:ascii="Arial" w:hAnsi="Arial" w:cs="Arial"/>
          <w:sz w:val="24"/>
          <w:szCs w:val="24"/>
        </w:rPr>
        <w:t xml:space="preserve"> </w:t>
      </w:r>
      <w:r w:rsidR="00552F44" w:rsidRPr="00083C7B">
        <w:rPr>
          <w:rFonts w:ascii="Arial" w:hAnsi="Arial" w:cs="Arial"/>
          <w:sz w:val="24"/>
          <w:szCs w:val="24"/>
        </w:rPr>
        <w:t xml:space="preserve">with </w:t>
      </w:r>
      <w:r w:rsidR="00A25029" w:rsidRPr="00083C7B">
        <w:rPr>
          <w:rFonts w:ascii="Arial" w:hAnsi="Arial" w:cs="Arial"/>
          <w:sz w:val="24"/>
          <w:szCs w:val="24"/>
        </w:rPr>
        <w:t>one count of murder, and one count of attempted robbery with aggravating circumstances as defined in section 1 of the Criminal Procedure Act 51 of 1977 (“the CPA”)</w:t>
      </w:r>
      <w:r w:rsidR="00552F44" w:rsidRPr="00083C7B">
        <w:rPr>
          <w:rFonts w:ascii="Arial" w:hAnsi="Arial" w:cs="Arial"/>
          <w:sz w:val="24"/>
          <w:szCs w:val="24"/>
        </w:rPr>
        <w:t>.</w:t>
      </w:r>
    </w:p>
    <w:p w14:paraId="341AFD8E" w14:textId="77777777" w:rsidR="00A25029" w:rsidRPr="00083C7B" w:rsidRDefault="00A25029" w:rsidP="00083C7B">
      <w:pPr>
        <w:pStyle w:val="ListParagraph"/>
        <w:widowControl w:val="0"/>
        <w:spacing w:after="0" w:line="360" w:lineRule="auto"/>
        <w:jc w:val="both"/>
        <w:rPr>
          <w:rFonts w:ascii="Arial" w:hAnsi="Arial" w:cs="Arial"/>
          <w:sz w:val="24"/>
          <w:szCs w:val="24"/>
        </w:rPr>
      </w:pPr>
    </w:p>
    <w:p w14:paraId="4488F522" w14:textId="5BBADAB4" w:rsidR="00A25029" w:rsidRPr="00083C7B" w:rsidRDefault="00A25029" w:rsidP="00083C7B">
      <w:pPr>
        <w:pStyle w:val="ListParagraph"/>
        <w:widowControl w:val="0"/>
        <w:numPr>
          <w:ilvl w:val="0"/>
          <w:numId w:val="4"/>
        </w:numPr>
        <w:spacing w:after="0" w:line="360" w:lineRule="auto"/>
        <w:ind w:hanging="720"/>
        <w:jc w:val="both"/>
        <w:rPr>
          <w:rFonts w:ascii="Arial" w:hAnsi="Arial" w:cs="Arial"/>
          <w:sz w:val="24"/>
          <w:szCs w:val="24"/>
        </w:rPr>
      </w:pPr>
      <w:r w:rsidRPr="00083C7B">
        <w:rPr>
          <w:rFonts w:ascii="Arial" w:hAnsi="Arial" w:cs="Arial"/>
          <w:sz w:val="24"/>
          <w:szCs w:val="24"/>
        </w:rPr>
        <w:t xml:space="preserve">The trial was previously on the roll for hearing on 28 February 2022, 9 May 2022, and 17 October 2022.  It is currently set down </w:t>
      </w:r>
      <w:r w:rsidR="00DA24DD" w:rsidRPr="00083C7B">
        <w:rPr>
          <w:rFonts w:ascii="Arial" w:hAnsi="Arial" w:cs="Arial"/>
          <w:sz w:val="24"/>
          <w:szCs w:val="24"/>
        </w:rPr>
        <w:t xml:space="preserve">for </w:t>
      </w:r>
      <w:r w:rsidRPr="00083C7B">
        <w:rPr>
          <w:rFonts w:ascii="Arial" w:hAnsi="Arial" w:cs="Arial"/>
          <w:sz w:val="24"/>
          <w:szCs w:val="24"/>
        </w:rPr>
        <w:t xml:space="preserve">– and will hopefully </w:t>
      </w:r>
      <w:r w:rsidRPr="00083C7B">
        <w:rPr>
          <w:rFonts w:ascii="Arial" w:hAnsi="Arial" w:cs="Arial"/>
          <w:sz w:val="24"/>
          <w:szCs w:val="24"/>
        </w:rPr>
        <w:lastRenderedPageBreak/>
        <w:t xml:space="preserve">finally proceed </w:t>
      </w:r>
      <w:r w:rsidR="00DA24DD" w:rsidRPr="00083C7B">
        <w:rPr>
          <w:rFonts w:ascii="Arial" w:hAnsi="Arial" w:cs="Arial"/>
          <w:sz w:val="24"/>
          <w:szCs w:val="24"/>
        </w:rPr>
        <w:t>on –</w:t>
      </w:r>
      <w:r w:rsidRPr="00083C7B">
        <w:rPr>
          <w:rFonts w:ascii="Arial" w:hAnsi="Arial" w:cs="Arial"/>
          <w:sz w:val="24"/>
          <w:szCs w:val="24"/>
        </w:rPr>
        <w:t xml:space="preserve"> </w:t>
      </w:r>
      <w:r w:rsidR="00DA24DD" w:rsidRPr="00083C7B">
        <w:rPr>
          <w:rFonts w:ascii="Arial" w:hAnsi="Arial" w:cs="Arial"/>
          <w:sz w:val="24"/>
          <w:szCs w:val="24"/>
        </w:rPr>
        <w:t>31 July 2023.</w:t>
      </w:r>
    </w:p>
    <w:p w14:paraId="5214F59C" w14:textId="77777777" w:rsidR="008541B3" w:rsidRPr="00083C7B" w:rsidRDefault="008541B3" w:rsidP="00083C7B">
      <w:pPr>
        <w:pStyle w:val="ListParagraph"/>
        <w:widowControl w:val="0"/>
        <w:spacing w:after="0" w:line="360" w:lineRule="auto"/>
        <w:jc w:val="both"/>
        <w:rPr>
          <w:rFonts w:ascii="Arial" w:hAnsi="Arial" w:cs="Arial"/>
          <w:sz w:val="24"/>
          <w:szCs w:val="24"/>
          <w:lang w:val="en-US"/>
        </w:rPr>
      </w:pPr>
    </w:p>
    <w:p w14:paraId="0C8A45E4" w14:textId="67FBDF07" w:rsidR="001C09BC" w:rsidRPr="00083C7B" w:rsidRDefault="00552F44"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 xml:space="preserve">The State opposes the </w:t>
      </w:r>
      <w:r w:rsidR="004228B0" w:rsidRPr="00083C7B">
        <w:rPr>
          <w:rFonts w:ascii="Arial" w:hAnsi="Arial" w:cs="Arial"/>
          <w:sz w:val="24"/>
          <w:szCs w:val="24"/>
          <w:lang w:val="en-US"/>
        </w:rPr>
        <w:t xml:space="preserve">appeal </w:t>
      </w:r>
      <w:r w:rsidRPr="00083C7B">
        <w:rPr>
          <w:rFonts w:ascii="Arial" w:hAnsi="Arial" w:cs="Arial"/>
          <w:sz w:val="24"/>
          <w:szCs w:val="24"/>
          <w:lang w:val="en-US"/>
        </w:rPr>
        <w:t>upon considerations that will be dealt with in the course of the discussion below.</w:t>
      </w:r>
    </w:p>
    <w:p w14:paraId="1E408BA8" w14:textId="5A5F2CB7" w:rsidR="00DE0F2B" w:rsidRPr="00083C7B" w:rsidRDefault="00DE0F2B" w:rsidP="00083C7B">
      <w:pPr>
        <w:widowControl w:val="0"/>
        <w:spacing w:after="0" w:line="360" w:lineRule="auto"/>
        <w:jc w:val="both"/>
        <w:rPr>
          <w:rFonts w:ascii="Arial" w:hAnsi="Arial" w:cs="Arial"/>
          <w:sz w:val="24"/>
          <w:szCs w:val="24"/>
          <w:lang w:val="en-US"/>
        </w:rPr>
      </w:pPr>
    </w:p>
    <w:p w14:paraId="104355BB" w14:textId="2AC2BB81" w:rsidR="00DE0F2B" w:rsidRPr="00083C7B" w:rsidRDefault="00552F44" w:rsidP="00083C7B">
      <w:pPr>
        <w:widowControl w:val="0"/>
        <w:spacing w:after="0" w:line="360" w:lineRule="auto"/>
        <w:jc w:val="both"/>
        <w:rPr>
          <w:rFonts w:ascii="Arial" w:hAnsi="Arial" w:cs="Arial"/>
          <w:b/>
          <w:bCs/>
          <w:sz w:val="24"/>
          <w:szCs w:val="24"/>
          <w:u w:val="single"/>
          <w:lang w:val="en-US"/>
        </w:rPr>
      </w:pPr>
      <w:r w:rsidRPr="00083C7B">
        <w:rPr>
          <w:rFonts w:ascii="Arial" w:hAnsi="Arial" w:cs="Arial"/>
          <w:b/>
          <w:bCs/>
          <w:sz w:val="24"/>
          <w:szCs w:val="24"/>
          <w:u w:val="single"/>
          <w:lang w:val="en-US"/>
        </w:rPr>
        <w:t xml:space="preserve">When may </w:t>
      </w:r>
      <w:r w:rsidR="00934DF9" w:rsidRPr="00083C7B">
        <w:rPr>
          <w:rFonts w:ascii="Arial" w:hAnsi="Arial" w:cs="Arial"/>
          <w:b/>
          <w:bCs/>
          <w:sz w:val="24"/>
          <w:szCs w:val="24"/>
          <w:u w:val="single"/>
          <w:lang w:val="en-US"/>
        </w:rPr>
        <w:t>the magistrate’s decision be overturned</w:t>
      </w:r>
      <w:r w:rsidR="001F63A3" w:rsidRPr="00083C7B">
        <w:rPr>
          <w:rFonts w:ascii="Arial" w:hAnsi="Arial" w:cs="Arial"/>
          <w:b/>
          <w:bCs/>
          <w:sz w:val="24"/>
          <w:szCs w:val="24"/>
          <w:u w:val="single"/>
          <w:lang w:val="en-US"/>
        </w:rPr>
        <w:t>?</w:t>
      </w:r>
    </w:p>
    <w:p w14:paraId="69054AF0" w14:textId="77777777" w:rsidR="00DE0F2B" w:rsidRPr="00083C7B" w:rsidRDefault="00DE0F2B" w:rsidP="00083C7B">
      <w:pPr>
        <w:widowControl w:val="0"/>
        <w:spacing w:after="0" w:line="360" w:lineRule="auto"/>
        <w:jc w:val="both"/>
        <w:rPr>
          <w:rFonts w:ascii="Arial" w:hAnsi="Arial" w:cs="Arial"/>
          <w:sz w:val="24"/>
          <w:szCs w:val="24"/>
          <w:lang w:val="en-US"/>
        </w:rPr>
      </w:pPr>
    </w:p>
    <w:p w14:paraId="6A9AF514" w14:textId="27C2EC86" w:rsidR="003F7054" w:rsidRPr="00083C7B" w:rsidRDefault="00934DF9"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In terms of section 6</w:t>
      </w:r>
      <w:r w:rsidR="003F7054" w:rsidRPr="00083C7B">
        <w:rPr>
          <w:rFonts w:ascii="Arial" w:hAnsi="Arial" w:cs="Arial"/>
          <w:sz w:val="24"/>
          <w:szCs w:val="24"/>
          <w:lang w:val="en-US"/>
        </w:rPr>
        <w:t>5</w:t>
      </w:r>
      <w:r w:rsidRPr="00083C7B">
        <w:rPr>
          <w:rFonts w:ascii="Arial" w:hAnsi="Arial" w:cs="Arial"/>
          <w:sz w:val="24"/>
          <w:szCs w:val="24"/>
          <w:lang w:val="en-US"/>
        </w:rPr>
        <w:t>(2)</w:t>
      </w:r>
      <w:r w:rsidR="003F7054" w:rsidRPr="00083C7B">
        <w:rPr>
          <w:rFonts w:ascii="Arial" w:hAnsi="Arial" w:cs="Arial"/>
          <w:sz w:val="24"/>
          <w:szCs w:val="24"/>
          <w:lang w:val="en-US"/>
        </w:rPr>
        <w:t xml:space="preserve"> of the CPA, read with section 63(3), the Court is bound by the record, and there is no scope for placing additional facts before the Court for the purposes of the hearing on appeal (</w:t>
      </w:r>
      <w:r w:rsidR="003F7054" w:rsidRPr="00083C7B">
        <w:rPr>
          <w:rFonts w:ascii="Arial" w:hAnsi="Arial" w:cs="Arial"/>
          <w:i/>
          <w:iCs/>
          <w:sz w:val="24"/>
          <w:szCs w:val="24"/>
          <w:lang w:val="en-US"/>
        </w:rPr>
        <w:t>S v Ho</w:t>
      </w:r>
      <w:r w:rsidR="003F7054" w:rsidRPr="00083C7B">
        <w:rPr>
          <w:rFonts w:ascii="Arial" w:hAnsi="Arial" w:cs="Arial"/>
          <w:sz w:val="24"/>
          <w:szCs w:val="24"/>
          <w:lang w:val="en-US"/>
        </w:rPr>
        <w:t xml:space="preserve"> 1979 (3) SA 734 (W) at 737G).</w:t>
      </w:r>
    </w:p>
    <w:p w14:paraId="55B8DDB3" w14:textId="77777777" w:rsidR="003F7054" w:rsidRPr="00083C7B" w:rsidRDefault="003F7054" w:rsidP="00083C7B">
      <w:pPr>
        <w:pStyle w:val="ListParagraph"/>
        <w:widowControl w:val="0"/>
        <w:spacing w:after="0" w:line="360" w:lineRule="auto"/>
        <w:jc w:val="both"/>
        <w:rPr>
          <w:rFonts w:ascii="Arial" w:hAnsi="Arial" w:cs="Arial"/>
          <w:sz w:val="24"/>
          <w:szCs w:val="24"/>
          <w:lang w:val="en-US"/>
        </w:rPr>
      </w:pPr>
    </w:p>
    <w:p w14:paraId="4800CAB7" w14:textId="77777777" w:rsidR="00E50485" w:rsidRPr="00083C7B" w:rsidRDefault="003F7054"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Section 65(4) of the CPA provides that the “</w:t>
      </w:r>
      <w:r w:rsidRPr="00083C7B">
        <w:rPr>
          <w:rFonts w:ascii="Arial" w:hAnsi="Arial" w:cs="Arial"/>
          <w:i/>
          <w:iCs/>
          <w:sz w:val="24"/>
          <w:szCs w:val="24"/>
          <w:lang w:val="en-US"/>
        </w:rPr>
        <w:t>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Pr="00083C7B">
        <w:rPr>
          <w:rFonts w:ascii="Arial" w:hAnsi="Arial" w:cs="Arial"/>
          <w:sz w:val="24"/>
          <w:szCs w:val="24"/>
          <w:lang w:val="en-US"/>
        </w:rPr>
        <w:t>.”</w:t>
      </w:r>
    </w:p>
    <w:p w14:paraId="616DB5BB" w14:textId="77777777" w:rsidR="00E50485" w:rsidRPr="00083C7B" w:rsidRDefault="00E50485" w:rsidP="00083C7B">
      <w:pPr>
        <w:pStyle w:val="ListParagraph"/>
        <w:widowControl w:val="0"/>
        <w:spacing w:after="0" w:line="360" w:lineRule="auto"/>
        <w:jc w:val="both"/>
        <w:rPr>
          <w:rFonts w:ascii="Arial" w:hAnsi="Arial" w:cs="Arial"/>
          <w:sz w:val="24"/>
          <w:szCs w:val="24"/>
          <w:lang w:val="en-US"/>
        </w:rPr>
      </w:pPr>
    </w:p>
    <w:p w14:paraId="6B494919" w14:textId="2A073C57" w:rsidR="00725514" w:rsidRPr="00083C7B" w:rsidRDefault="00E50485"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A court may interfere on appeal when</w:t>
      </w:r>
      <w:r w:rsidR="001F63A3" w:rsidRPr="00083C7B">
        <w:rPr>
          <w:rFonts w:ascii="Arial" w:hAnsi="Arial" w:cs="Arial"/>
          <w:sz w:val="24"/>
          <w:szCs w:val="24"/>
          <w:lang w:val="en-US"/>
        </w:rPr>
        <w:t xml:space="preserve"> the </w:t>
      </w:r>
      <w:r w:rsidR="003F7054" w:rsidRPr="00083C7B">
        <w:rPr>
          <w:rFonts w:ascii="Arial" w:hAnsi="Arial" w:cs="Arial"/>
          <w:sz w:val="24"/>
          <w:szCs w:val="24"/>
          <w:lang w:val="en-US"/>
        </w:rPr>
        <w:t xml:space="preserve">lower </w:t>
      </w:r>
      <w:r w:rsidR="001F63A3" w:rsidRPr="00083C7B">
        <w:rPr>
          <w:rFonts w:ascii="Arial" w:hAnsi="Arial" w:cs="Arial"/>
          <w:sz w:val="24"/>
          <w:szCs w:val="24"/>
          <w:lang w:val="en-US"/>
        </w:rPr>
        <w:t xml:space="preserve">court </w:t>
      </w:r>
      <w:r w:rsidR="003F7054" w:rsidRPr="00083C7B">
        <w:rPr>
          <w:rFonts w:ascii="Arial" w:hAnsi="Arial" w:cs="Arial"/>
          <w:sz w:val="24"/>
          <w:szCs w:val="24"/>
          <w:lang w:val="en-US"/>
        </w:rPr>
        <w:t>m</w:t>
      </w:r>
      <w:r w:rsidR="001F63A3" w:rsidRPr="00083C7B">
        <w:rPr>
          <w:rFonts w:ascii="Arial" w:hAnsi="Arial" w:cs="Arial"/>
          <w:sz w:val="24"/>
          <w:szCs w:val="24"/>
          <w:lang w:val="en-US"/>
        </w:rPr>
        <w:t xml:space="preserve">isdirected itself </w:t>
      </w:r>
      <w:r w:rsidR="003F7054" w:rsidRPr="00083C7B">
        <w:rPr>
          <w:rFonts w:ascii="Arial" w:hAnsi="Arial" w:cs="Arial"/>
          <w:sz w:val="24"/>
          <w:szCs w:val="24"/>
          <w:lang w:val="en-US"/>
        </w:rPr>
        <w:t xml:space="preserve">materially </w:t>
      </w:r>
      <w:r w:rsidRPr="00083C7B">
        <w:rPr>
          <w:rFonts w:ascii="Arial" w:hAnsi="Arial" w:cs="Arial"/>
          <w:sz w:val="24"/>
          <w:szCs w:val="24"/>
          <w:lang w:val="en-US"/>
        </w:rPr>
        <w:t>in respect of the relevant legal principles or the facts of the case (</w:t>
      </w:r>
      <w:r w:rsidRPr="00083C7B">
        <w:rPr>
          <w:rFonts w:ascii="Arial" w:hAnsi="Arial" w:cs="Arial"/>
          <w:i/>
          <w:iCs/>
          <w:sz w:val="24"/>
          <w:szCs w:val="24"/>
          <w:lang w:val="en-US"/>
        </w:rPr>
        <w:t>S v Essop</w:t>
      </w:r>
      <w:r w:rsidRPr="00083C7B">
        <w:rPr>
          <w:rFonts w:ascii="Arial" w:hAnsi="Arial" w:cs="Arial"/>
          <w:sz w:val="24"/>
          <w:szCs w:val="24"/>
          <w:lang w:val="en-US"/>
        </w:rPr>
        <w:t xml:space="preserve"> 2018 (1) SACR 99 (GP) at paras [34]-[35]), or where the lower court over</w:t>
      </w:r>
      <w:r w:rsidR="00DA24DD" w:rsidRPr="00083C7B">
        <w:rPr>
          <w:rFonts w:ascii="Arial" w:hAnsi="Arial" w:cs="Arial"/>
          <w:sz w:val="24"/>
          <w:szCs w:val="24"/>
          <w:lang w:val="en-US"/>
        </w:rPr>
        <w:t>-</w:t>
      </w:r>
      <w:r w:rsidRPr="00083C7B">
        <w:rPr>
          <w:rFonts w:ascii="Arial" w:hAnsi="Arial" w:cs="Arial"/>
          <w:sz w:val="24"/>
          <w:szCs w:val="24"/>
          <w:lang w:val="en-US"/>
        </w:rPr>
        <w:t>looked important aspects in coming to its decision to refuse bail (</w:t>
      </w:r>
      <w:r w:rsidRPr="00083C7B">
        <w:rPr>
          <w:rFonts w:ascii="Arial" w:hAnsi="Arial" w:cs="Arial"/>
          <w:i/>
          <w:iCs/>
          <w:sz w:val="24"/>
          <w:szCs w:val="24"/>
        </w:rPr>
        <w:t>Ramasia v S</w:t>
      </w:r>
      <w:r w:rsidRPr="00083C7B">
        <w:rPr>
          <w:rFonts w:ascii="Arial" w:hAnsi="Arial" w:cs="Arial"/>
          <w:sz w:val="24"/>
          <w:szCs w:val="24"/>
        </w:rPr>
        <w:t xml:space="preserve"> (A24/2012) [2012] ZAFSHC 88 (3 May 2012)</w:t>
      </w:r>
      <w:r w:rsidR="00E4510F" w:rsidRPr="00083C7B">
        <w:rPr>
          <w:rFonts w:ascii="Arial" w:hAnsi="Arial" w:cs="Arial"/>
          <w:sz w:val="24"/>
          <w:szCs w:val="24"/>
        </w:rPr>
        <w:t xml:space="preserve">).  The power of the court on appeal are thus similar to those in an appeal against conviction and sentence </w:t>
      </w:r>
      <w:r w:rsidR="00E4510F" w:rsidRPr="00083C7B">
        <w:rPr>
          <w:rFonts w:ascii="Arial" w:hAnsi="Arial" w:cs="Arial"/>
          <w:sz w:val="24"/>
          <w:szCs w:val="24"/>
          <w:lang w:val="en-US"/>
        </w:rPr>
        <w:t>(</w:t>
      </w:r>
      <w:r w:rsidR="00E4510F" w:rsidRPr="00083C7B">
        <w:rPr>
          <w:rFonts w:ascii="Arial" w:hAnsi="Arial" w:cs="Arial"/>
          <w:i/>
          <w:iCs/>
          <w:sz w:val="24"/>
          <w:szCs w:val="24"/>
          <w:lang w:val="en-US"/>
        </w:rPr>
        <w:t>S v Ho</w:t>
      </w:r>
      <w:r w:rsidR="00E4510F" w:rsidRPr="00083C7B">
        <w:rPr>
          <w:rFonts w:ascii="Arial" w:hAnsi="Arial" w:cs="Arial"/>
          <w:sz w:val="24"/>
          <w:szCs w:val="24"/>
          <w:lang w:val="en-US"/>
        </w:rPr>
        <w:t xml:space="preserve"> 1979 (3) SA 734 (W) at 737H)</w:t>
      </w:r>
      <w:r w:rsidR="00E4510F" w:rsidRPr="00083C7B">
        <w:rPr>
          <w:rFonts w:ascii="Arial" w:hAnsi="Arial" w:cs="Arial"/>
          <w:sz w:val="24"/>
          <w:szCs w:val="24"/>
        </w:rPr>
        <w:t>.</w:t>
      </w:r>
    </w:p>
    <w:p w14:paraId="75862363" w14:textId="77777777" w:rsidR="00725514" w:rsidRPr="00083C7B" w:rsidRDefault="00725514" w:rsidP="00083C7B">
      <w:pPr>
        <w:pStyle w:val="ListParagraph"/>
        <w:spacing w:after="0" w:line="360" w:lineRule="auto"/>
        <w:rPr>
          <w:rFonts w:ascii="Arial" w:hAnsi="Arial" w:cs="Arial"/>
          <w:sz w:val="24"/>
          <w:szCs w:val="24"/>
        </w:rPr>
      </w:pPr>
    </w:p>
    <w:p w14:paraId="7DF1FF09" w14:textId="73A8C04E" w:rsidR="00E50485" w:rsidRPr="00083C7B" w:rsidRDefault="00E4510F"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rPr>
        <w:t xml:space="preserve">Nevertheless, in </w:t>
      </w:r>
      <w:r w:rsidRPr="00083C7B">
        <w:rPr>
          <w:rFonts w:ascii="Arial" w:hAnsi="Arial" w:cs="Arial"/>
          <w:i/>
          <w:iCs/>
          <w:sz w:val="24"/>
          <w:szCs w:val="24"/>
        </w:rPr>
        <w:t>S v Porthern and others</w:t>
      </w:r>
      <w:r w:rsidRPr="00083C7B">
        <w:rPr>
          <w:rFonts w:ascii="Arial" w:hAnsi="Arial" w:cs="Arial"/>
          <w:sz w:val="24"/>
          <w:szCs w:val="24"/>
        </w:rPr>
        <w:t xml:space="preserve"> 2004 (2) SA SACR 242 (C) the Court observed at para [17] that it remains necessary “</w:t>
      </w:r>
      <w:r w:rsidRPr="00083C7B">
        <w:rPr>
          <w:rFonts w:ascii="Arial" w:hAnsi="Arial" w:cs="Arial"/>
          <w:i/>
          <w:iCs/>
          <w:sz w:val="24"/>
          <w:szCs w:val="24"/>
        </w:rPr>
        <w:t xml:space="preserve">to be mindful that a bail appeal, including one affected by the provisions of section 60(11)(a), goes to the question of deprivation of personal liberty.  In my view, that consideration is a further factor confirming that section 65(4) of the CPA should </w:t>
      </w:r>
      <w:r w:rsidR="00E444DB">
        <w:rPr>
          <w:rFonts w:ascii="Arial" w:hAnsi="Arial" w:cs="Arial"/>
          <w:i/>
          <w:iCs/>
          <w:sz w:val="24"/>
          <w:szCs w:val="24"/>
        </w:rPr>
        <w:t>b</w:t>
      </w:r>
      <w:r w:rsidRPr="00083C7B">
        <w:rPr>
          <w:rFonts w:ascii="Arial" w:hAnsi="Arial" w:cs="Arial"/>
          <w:i/>
          <w:iCs/>
          <w:sz w:val="24"/>
          <w:szCs w:val="24"/>
        </w:rPr>
        <w:t>e construed in a manner which does not unduly restrict the ambit of an appeal court’s competence to decide that the lower court’s discretion to refuse bail was ’wrong’”</w:t>
      </w:r>
      <w:r w:rsidRPr="00083C7B">
        <w:rPr>
          <w:rFonts w:ascii="Arial" w:hAnsi="Arial" w:cs="Arial"/>
          <w:sz w:val="24"/>
          <w:szCs w:val="24"/>
        </w:rPr>
        <w:t>.</w:t>
      </w:r>
    </w:p>
    <w:p w14:paraId="66AD211A" w14:textId="77777777" w:rsidR="00154E4A" w:rsidRPr="00083C7B" w:rsidRDefault="00154E4A" w:rsidP="00083C7B">
      <w:pPr>
        <w:pStyle w:val="ListParagraph"/>
        <w:widowControl w:val="0"/>
        <w:spacing w:after="0" w:line="360" w:lineRule="auto"/>
        <w:jc w:val="both"/>
        <w:rPr>
          <w:rFonts w:ascii="Arial" w:hAnsi="Arial" w:cs="Arial"/>
          <w:sz w:val="24"/>
          <w:szCs w:val="24"/>
          <w:lang w:val="en-US"/>
        </w:rPr>
      </w:pPr>
    </w:p>
    <w:p w14:paraId="45425EED" w14:textId="4A16E76A" w:rsidR="00DE0F2B" w:rsidRPr="00083C7B" w:rsidRDefault="00154E4A"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The mere fact that the reasons for refusing bail are brief, is not in itself a sufficient ground for the court of appeal to infer that insufficient consideration was given to the considerations set out in section 60 of the CPA (</w:t>
      </w:r>
      <w:r w:rsidRPr="00083C7B">
        <w:rPr>
          <w:rFonts w:ascii="Arial" w:hAnsi="Arial" w:cs="Arial"/>
          <w:i/>
          <w:iCs/>
          <w:sz w:val="24"/>
          <w:szCs w:val="24"/>
          <w:lang w:val="en-US"/>
        </w:rPr>
        <w:t>S v Ali</w:t>
      </w:r>
      <w:r w:rsidRPr="00083C7B">
        <w:rPr>
          <w:rFonts w:ascii="Arial" w:hAnsi="Arial" w:cs="Arial"/>
          <w:sz w:val="24"/>
          <w:szCs w:val="24"/>
          <w:lang w:val="en-US"/>
        </w:rPr>
        <w:t xml:space="preserve"> 2011 (1) SACR 34 (ECP) at para [15]).</w:t>
      </w:r>
    </w:p>
    <w:p w14:paraId="2EC44D44" w14:textId="77777777" w:rsidR="00552EAC" w:rsidRPr="00083C7B" w:rsidRDefault="00552EAC" w:rsidP="00083C7B">
      <w:pPr>
        <w:pStyle w:val="ListParagraph"/>
        <w:widowControl w:val="0"/>
        <w:spacing w:after="0" w:line="360" w:lineRule="auto"/>
        <w:ind w:left="360"/>
        <w:jc w:val="both"/>
        <w:rPr>
          <w:rFonts w:ascii="Arial" w:hAnsi="Arial" w:cs="Arial"/>
          <w:sz w:val="24"/>
          <w:szCs w:val="24"/>
          <w:lang w:val="en-US"/>
        </w:rPr>
      </w:pPr>
    </w:p>
    <w:p w14:paraId="75372E6B" w14:textId="3A2EA8FD" w:rsidR="00552F44" w:rsidRPr="00083C7B" w:rsidRDefault="00552F44"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In the present matter, the appellant effectively contends that the lower court misdirected itself by overemphasizing the seriousness of the charge at the expense of the appellant, thereby disregarding h</w:t>
      </w:r>
      <w:r w:rsidR="00DA24DD" w:rsidRPr="00083C7B">
        <w:rPr>
          <w:rFonts w:ascii="Arial" w:hAnsi="Arial" w:cs="Arial"/>
          <w:sz w:val="24"/>
          <w:szCs w:val="24"/>
          <w:lang w:val="en-US"/>
        </w:rPr>
        <w:t>er</w:t>
      </w:r>
      <w:r w:rsidRPr="00083C7B">
        <w:rPr>
          <w:rFonts w:ascii="Arial" w:hAnsi="Arial" w:cs="Arial"/>
          <w:sz w:val="24"/>
          <w:szCs w:val="24"/>
          <w:lang w:val="en-US"/>
        </w:rPr>
        <w:t xml:space="preserve"> personal circumstances and the failing to consider the factors in section 60(4) as being exceptional in the context of the case.</w:t>
      </w:r>
      <w:r w:rsidR="0060174D" w:rsidRPr="00083C7B">
        <w:rPr>
          <w:rFonts w:ascii="Arial" w:hAnsi="Arial" w:cs="Arial"/>
          <w:sz w:val="24"/>
          <w:szCs w:val="24"/>
          <w:lang w:val="en-US"/>
        </w:rPr>
        <w:t xml:space="preserve">  The appellant gave oral evidence at her bail application, and was cross-examined.</w:t>
      </w:r>
    </w:p>
    <w:p w14:paraId="60FCC5F7" w14:textId="77777777" w:rsidR="00552F44" w:rsidRPr="00083C7B" w:rsidRDefault="00552F44" w:rsidP="00083C7B">
      <w:pPr>
        <w:pStyle w:val="ListParagraph"/>
        <w:widowControl w:val="0"/>
        <w:spacing w:after="0" w:line="360" w:lineRule="auto"/>
        <w:jc w:val="both"/>
        <w:rPr>
          <w:rFonts w:ascii="Arial" w:hAnsi="Arial" w:cs="Arial"/>
          <w:sz w:val="24"/>
          <w:szCs w:val="24"/>
          <w:lang w:val="en-US"/>
        </w:rPr>
      </w:pPr>
    </w:p>
    <w:p w14:paraId="1439F31C" w14:textId="38C6DA66" w:rsidR="001F63A3" w:rsidRPr="00083C7B" w:rsidRDefault="00552F44"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It is against this background that I consider the facts at my disposal, and the argument present</w:t>
      </w:r>
      <w:r w:rsidR="00803263" w:rsidRPr="00083C7B">
        <w:rPr>
          <w:rFonts w:ascii="Arial" w:hAnsi="Arial" w:cs="Arial"/>
          <w:sz w:val="24"/>
          <w:szCs w:val="24"/>
          <w:lang w:val="en-US"/>
        </w:rPr>
        <w:t>ed</w:t>
      </w:r>
      <w:r w:rsidRPr="00083C7B">
        <w:rPr>
          <w:rFonts w:ascii="Arial" w:hAnsi="Arial" w:cs="Arial"/>
          <w:sz w:val="24"/>
          <w:szCs w:val="24"/>
          <w:lang w:val="en-US"/>
        </w:rPr>
        <w:t xml:space="preserve"> by the parties.</w:t>
      </w:r>
    </w:p>
    <w:p w14:paraId="3E276110" w14:textId="2F23E9C9" w:rsidR="00552EAC" w:rsidRPr="00083C7B" w:rsidRDefault="00552EAC" w:rsidP="00083C7B">
      <w:pPr>
        <w:widowControl w:val="0"/>
        <w:spacing w:after="0" w:line="360" w:lineRule="auto"/>
        <w:jc w:val="both"/>
        <w:rPr>
          <w:rFonts w:ascii="Arial" w:hAnsi="Arial" w:cs="Arial"/>
          <w:sz w:val="24"/>
          <w:szCs w:val="24"/>
          <w:lang w:val="en-US"/>
        </w:rPr>
      </w:pPr>
    </w:p>
    <w:p w14:paraId="0FCC8F07" w14:textId="2C84E943" w:rsidR="00552F44" w:rsidRPr="00083C7B" w:rsidRDefault="00552F44" w:rsidP="00083C7B">
      <w:pPr>
        <w:widowControl w:val="0"/>
        <w:spacing w:after="0" w:line="360" w:lineRule="auto"/>
        <w:jc w:val="both"/>
        <w:rPr>
          <w:rFonts w:ascii="Arial" w:hAnsi="Arial" w:cs="Arial"/>
          <w:b/>
          <w:bCs/>
          <w:sz w:val="24"/>
          <w:szCs w:val="24"/>
          <w:u w:val="single"/>
          <w:lang w:val="en-US"/>
        </w:rPr>
      </w:pPr>
      <w:r w:rsidRPr="00083C7B">
        <w:rPr>
          <w:rFonts w:ascii="Arial" w:hAnsi="Arial" w:cs="Arial"/>
          <w:b/>
          <w:bCs/>
          <w:sz w:val="24"/>
          <w:szCs w:val="24"/>
          <w:u w:val="single"/>
          <w:lang w:val="en-US"/>
        </w:rPr>
        <w:t>Has the appellant shown the existence of exceptional circumstances warranting the grant of bail?</w:t>
      </w:r>
    </w:p>
    <w:p w14:paraId="16B60442" w14:textId="77777777" w:rsidR="00552F44" w:rsidRPr="00083C7B" w:rsidRDefault="00552F44" w:rsidP="00083C7B">
      <w:pPr>
        <w:widowControl w:val="0"/>
        <w:spacing w:after="0" w:line="360" w:lineRule="auto"/>
        <w:jc w:val="both"/>
        <w:rPr>
          <w:rFonts w:ascii="Arial" w:hAnsi="Arial" w:cs="Arial"/>
          <w:sz w:val="24"/>
          <w:szCs w:val="24"/>
          <w:lang w:val="en-US"/>
        </w:rPr>
      </w:pPr>
    </w:p>
    <w:p w14:paraId="27751157" w14:textId="7F321881" w:rsidR="00803263" w:rsidRPr="00083C7B" w:rsidRDefault="00803263"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 xml:space="preserve">The starting point in bail applications generally is section 60(1)(a), which provides that </w:t>
      </w:r>
      <w:r w:rsidR="00B50DFA" w:rsidRPr="00083C7B">
        <w:rPr>
          <w:rFonts w:ascii="Arial" w:hAnsi="Arial" w:cs="Arial"/>
          <w:sz w:val="24"/>
          <w:szCs w:val="24"/>
          <w:lang w:val="en-US"/>
        </w:rPr>
        <w:t>“</w:t>
      </w:r>
      <w:r w:rsidRPr="00083C7B">
        <w:rPr>
          <w:rFonts w:ascii="Arial" w:hAnsi="Arial" w:cs="Arial"/>
          <w:i/>
          <w:iCs/>
          <w:sz w:val="24"/>
          <w:szCs w:val="24"/>
          <w:lang w:val="en-US"/>
        </w:rPr>
        <w:t>an</w:t>
      </w:r>
      <w:r w:rsidRPr="00083C7B">
        <w:rPr>
          <w:rFonts w:ascii="Arial" w:eastAsia="Times New Roman" w:hAnsi="Arial" w:cs="Arial"/>
          <w:i/>
          <w:iCs/>
          <w:sz w:val="24"/>
          <w:szCs w:val="24"/>
          <w:lang w:eastAsia="en-ZA"/>
        </w:rPr>
        <w:t xml:space="preserve"> accused who is in custody in respect of an offence shall … be entitled to be released on bail at any stage preceding his or her conviction in respect of such offence, if the court is satisfied that the interests of justice so permit.</w:t>
      </w:r>
      <w:r w:rsidR="00B50DFA" w:rsidRPr="00083C7B">
        <w:rPr>
          <w:rFonts w:ascii="Arial" w:eastAsia="Times New Roman" w:hAnsi="Arial" w:cs="Arial"/>
          <w:sz w:val="24"/>
          <w:szCs w:val="24"/>
          <w:lang w:eastAsia="en-ZA"/>
        </w:rPr>
        <w:t>”</w:t>
      </w:r>
    </w:p>
    <w:p w14:paraId="0735BD47" w14:textId="77777777" w:rsidR="00803263" w:rsidRPr="00083C7B" w:rsidRDefault="00803263" w:rsidP="00083C7B">
      <w:pPr>
        <w:pStyle w:val="ListParagraph"/>
        <w:widowControl w:val="0"/>
        <w:spacing w:after="0" w:line="360" w:lineRule="auto"/>
        <w:jc w:val="both"/>
        <w:rPr>
          <w:rFonts w:ascii="Arial" w:hAnsi="Arial" w:cs="Arial"/>
          <w:sz w:val="24"/>
          <w:szCs w:val="24"/>
          <w:lang w:val="en-US"/>
        </w:rPr>
      </w:pPr>
    </w:p>
    <w:p w14:paraId="59BA2434" w14:textId="00817B74" w:rsidR="004556AD" w:rsidRPr="00083C7B" w:rsidRDefault="004556AD"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Section 60(4) enjoins the Court</w:t>
      </w:r>
      <w:r w:rsidR="00B50DFA" w:rsidRPr="00083C7B">
        <w:rPr>
          <w:rFonts w:ascii="Arial" w:hAnsi="Arial" w:cs="Arial"/>
          <w:sz w:val="24"/>
          <w:szCs w:val="24"/>
          <w:lang w:val="en-US"/>
        </w:rPr>
        <w:t>, in determining a bail application,</w:t>
      </w:r>
      <w:r w:rsidRPr="00083C7B">
        <w:rPr>
          <w:rFonts w:ascii="Arial" w:hAnsi="Arial" w:cs="Arial"/>
          <w:sz w:val="24"/>
          <w:szCs w:val="24"/>
          <w:lang w:val="en-US"/>
        </w:rPr>
        <w:t xml:space="preserve"> to have regard to the following factors in deciding whether to grant bail:</w:t>
      </w:r>
    </w:p>
    <w:p w14:paraId="3EBED649" w14:textId="135210C8" w:rsidR="004556AD" w:rsidRPr="00083C7B" w:rsidRDefault="004556AD" w:rsidP="00083C7B">
      <w:pPr>
        <w:pStyle w:val="ListParagraph"/>
        <w:widowControl w:val="0"/>
        <w:spacing w:after="0" w:line="360" w:lineRule="auto"/>
        <w:jc w:val="both"/>
        <w:rPr>
          <w:rFonts w:ascii="Arial" w:hAnsi="Arial" w:cs="Arial"/>
          <w:sz w:val="24"/>
          <w:szCs w:val="24"/>
          <w:lang w:val="en-US"/>
        </w:rPr>
      </w:pPr>
    </w:p>
    <w:p w14:paraId="49D0C27F" w14:textId="0672710F" w:rsidR="00A7667D" w:rsidRPr="00083C7B" w:rsidRDefault="00AC22AD" w:rsidP="00083C7B">
      <w:pPr>
        <w:widowControl w:val="0"/>
        <w:shd w:val="clear" w:color="auto" w:fill="FFFFFF"/>
        <w:spacing w:after="0" w:line="360" w:lineRule="auto"/>
        <w:ind w:left="720"/>
        <w:contextualSpacing/>
        <w:jc w:val="both"/>
        <w:rPr>
          <w:rFonts w:ascii="Arial" w:eastAsia="Times New Roman" w:hAnsi="Arial" w:cs="Arial"/>
          <w:i/>
          <w:iCs/>
          <w:sz w:val="24"/>
          <w:szCs w:val="24"/>
          <w:lang w:eastAsia="en-ZA"/>
        </w:rPr>
      </w:pPr>
      <w:r w:rsidRPr="00083C7B">
        <w:rPr>
          <w:rFonts w:ascii="Arial" w:eastAsia="Times New Roman" w:hAnsi="Arial" w:cs="Arial"/>
          <w:sz w:val="24"/>
          <w:szCs w:val="24"/>
          <w:lang w:eastAsia="en-ZA"/>
        </w:rPr>
        <w:t>“</w:t>
      </w:r>
      <w:r w:rsidR="00A7667D" w:rsidRPr="00083C7B">
        <w:rPr>
          <w:rFonts w:ascii="Arial" w:eastAsia="Times New Roman" w:hAnsi="Arial" w:cs="Arial"/>
          <w:i/>
          <w:iCs/>
          <w:sz w:val="24"/>
          <w:szCs w:val="24"/>
          <w:lang w:eastAsia="en-ZA"/>
        </w:rPr>
        <w:t>The interests of justice do not permit the release from detention of an accused where one or more of the following grounds are established:</w:t>
      </w:r>
    </w:p>
    <w:p w14:paraId="68C2700E" w14:textId="3D6379F4" w:rsidR="00A7667D" w:rsidRPr="00083C7B" w:rsidRDefault="00A7667D" w:rsidP="00083C7B">
      <w:pPr>
        <w:pStyle w:val="ListParagraph"/>
        <w:widowControl w:val="0"/>
        <w:numPr>
          <w:ilvl w:val="0"/>
          <w:numId w:val="6"/>
        </w:numPr>
        <w:shd w:val="clear" w:color="auto" w:fill="FFFFFF"/>
        <w:spacing w:after="0" w:line="360" w:lineRule="auto"/>
        <w:jc w:val="both"/>
        <w:rPr>
          <w:rFonts w:ascii="Arial" w:eastAsia="Times New Roman" w:hAnsi="Arial" w:cs="Arial"/>
          <w:i/>
          <w:iCs/>
          <w:sz w:val="24"/>
          <w:szCs w:val="24"/>
          <w:lang w:eastAsia="en-ZA"/>
        </w:rPr>
      </w:pPr>
      <w:r w:rsidRPr="00083C7B">
        <w:rPr>
          <w:rFonts w:ascii="Arial" w:eastAsia="Times New Roman" w:hAnsi="Arial" w:cs="Arial"/>
          <w:i/>
          <w:iCs/>
          <w:sz w:val="24"/>
          <w:szCs w:val="24"/>
          <w:lang w:eastAsia="en-ZA"/>
        </w:rPr>
        <w:t> Where there is the likelihood that the accused, if he or she were released on bail, will endanger the safety of the public or any particular person or will commit a Schedule 1 offence; or</w:t>
      </w:r>
    </w:p>
    <w:p w14:paraId="079330DD" w14:textId="197FC3B4" w:rsidR="00A7667D" w:rsidRPr="00083C7B" w:rsidRDefault="00A7667D" w:rsidP="00083C7B">
      <w:pPr>
        <w:pStyle w:val="ListParagraph"/>
        <w:widowControl w:val="0"/>
        <w:numPr>
          <w:ilvl w:val="0"/>
          <w:numId w:val="6"/>
        </w:numPr>
        <w:shd w:val="clear" w:color="auto" w:fill="FFFFFF"/>
        <w:spacing w:after="0" w:line="360" w:lineRule="auto"/>
        <w:jc w:val="both"/>
        <w:rPr>
          <w:rFonts w:ascii="Arial" w:eastAsia="Times New Roman" w:hAnsi="Arial" w:cs="Arial"/>
          <w:i/>
          <w:iCs/>
          <w:sz w:val="24"/>
          <w:szCs w:val="24"/>
          <w:lang w:eastAsia="en-ZA"/>
        </w:rPr>
      </w:pPr>
      <w:r w:rsidRPr="00083C7B">
        <w:rPr>
          <w:rFonts w:ascii="Arial" w:eastAsia="Times New Roman" w:hAnsi="Arial" w:cs="Arial"/>
          <w:i/>
          <w:iCs/>
          <w:sz w:val="24"/>
          <w:szCs w:val="24"/>
          <w:lang w:eastAsia="en-ZA"/>
        </w:rPr>
        <w:t xml:space="preserve"> where there is the likelihood that the accused, if he or she were released </w:t>
      </w:r>
      <w:r w:rsidRPr="00083C7B">
        <w:rPr>
          <w:rFonts w:ascii="Arial" w:eastAsia="Times New Roman" w:hAnsi="Arial" w:cs="Arial"/>
          <w:i/>
          <w:iCs/>
          <w:sz w:val="24"/>
          <w:szCs w:val="24"/>
          <w:lang w:eastAsia="en-ZA"/>
        </w:rPr>
        <w:lastRenderedPageBreak/>
        <w:t>on bail, will attempt to evade his or her trial; or</w:t>
      </w:r>
    </w:p>
    <w:p w14:paraId="34C64DD3" w14:textId="650F32AE" w:rsidR="00A7667D" w:rsidRPr="00083C7B" w:rsidRDefault="00A7667D" w:rsidP="00083C7B">
      <w:pPr>
        <w:pStyle w:val="ListParagraph"/>
        <w:widowControl w:val="0"/>
        <w:numPr>
          <w:ilvl w:val="0"/>
          <w:numId w:val="6"/>
        </w:numPr>
        <w:shd w:val="clear" w:color="auto" w:fill="FFFFFF"/>
        <w:spacing w:after="0" w:line="360" w:lineRule="auto"/>
        <w:jc w:val="both"/>
        <w:rPr>
          <w:rFonts w:ascii="Arial" w:eastAsia="Times New Roman" w:hAnsi="Arial" w:cs="Arial"/>
          <w:i/>
          <w:iCs/>
          <w:sz w:val="24"/>
          <w:szCs w:val="24"/>
          <w:lang w:eastAsia="en-ZA"/>
        </w:rPr>
      </w:pPr>
      <w:r w:rsidRPr="00083C7B">
        <w:rPr>
          <w:rFonts w:ascii="Arial" w:eastAsia="Times New Roman" w:hAnsi="Arial" w:cs="Arial"/>
          <w:i/>
          <w:iCs/>
          <w:sz w:val="24"/>
          <w:szCs w:val="24"/>
          <w:lang w:eastAsia="en-ZA"/>
        </w:rPr>
        <w:t> where there is the likelihood that the accused, if he or she were released on bail, will attempt to influence or intimidate witnesses or to conceal or destroy evidence; or</w:t>
      </w:r>
    </w:p>
    <w:p w14:paraId="36A472B1" w14:textId="716B399C" w:rsidR="00A7667D" w:rsidRPr="00083C7B" w:rsidRDefault="00A7667D" w:rsidP="00083C7B">
      <w:pPr>
        <w:pStyle w:val="ListParagraph"/>
        <w:widowControl w:val="0"/>
        <w:numPr>
          <w:ilvl w:val="0"/>
          <w:numId w:val="6"/>
        </w:numPr>
        <w:shd w:val="clear" w:color="auto" w:fill="FFFFFF"/>
        <w:spacing w:after="0" w:line="360" w:lineRule="auto"/>
        <w:jc w:val="both"/>
        <w:rPr>
          <w:rFonts w:ascii="Arial" w:eastAsia="Times New Roman" w:hAnsi="Arial" w:cs="Arial"/>
          <w:i/>
          <w:iCs/>
          <w:sz w:val="24"/>
          <w:szCs w:val="24"/>
          <w:lang w:eastAsia="en-ZA"/>
        </w:rPr>
      </w:pPr>
      <w:r w:rsidRPr="00083C7B">
        <w:rPr>
          <w:rFonts w:ascii="Arial" w:eastAsia="Times New Roman" w:hAnsi="Arial" w:cs="Arial"/>
          <w:i/>
          <w:iCs/>
          <w:sz w:val="24"/>
          <w:szCs w:val="24"/>
          <w:lang w:eastAsia="en-ZA"/>
        </w:rPr>
        <w:t> where there is the likelihood that the accused, if he or she were released on bail, will undermine or jeopardise the objectives or the proper functioning of the criminal justice system, including the bail system; or</w:t>
      </w:r>
    </w:p>
    <w:p w14:paraId="5DD0BE60" w14:textId="5DB10F82" w:rsidR="00A7667D" w:rsidRPr="00083C7B" w:rsidRDefault="00A7667D" w:rsidP="00083C7B">
      <w:pPr>
        <w:pStyle w:val="ListParagraph"/>
        <w:widowControl w:val="0"/>
        <w:numPr>
          <w:ilvl w:val="0"/>
          <w:numId w:val="6"/>
        </w:numPr>
        <w:shd w:val="clear" w:color="auto" w:fill="FFFFFF"/>
        <w:spacing w:after="0" w:line="360" w:lineRule="auto"/>
        <w:jc w:val="both"/>
        <w:rPr>
          <w:rFonts w:ascii="Arial" w:eastAsia="Times New Roman" w:hAnsi="Arial" w:cs="Arial"/>
          <w:sz w:val="24"/>
          <w:szCs w:val="24"/>
          <w:lang w:eastAsia="en-ZA"/>
        </w:rPr>
      </w:pPr>
      <w:r w:rsidRPr="00083C7B">
        <w:rPr>
          <w:rFonts w:ascii="Arial" w:eastAsia="Times New Roman" w:hAnsi="Arial" w:cs="Arial"/>
          <w:i/>
          <w:iCs/>
          <w:sz w:val="24"/>
          <w:szCs w:val="24"/>
          <w:lang w:eastAsia="en-ZA"/>
        </w:rPr>
        <w:t> where in exceptional circumstances there is the likelihood that the release of the accused will disturb the public order or undermine the public peace or security</w:t>
      </w:r>
      <w:r w:rsidRPr="00083C7B">
        <w:rPr>
          <w:rFonts w:ascii="Arial" w:eastAsia="Times New Roman" w:hAnsi="Arial" w:cs="Arial"/>
          <w:sz w:val="24"/>
          <w:szCs w:val="24"/>
          <w:lang w:eastAsia="en-ZA"/>
        </w:rPr>
        <w:t>.</w:t>
      </w:r>
      <w:r w:rsidR="00AC22AD" w:rsidRPr="00083C7B">
        <w:rPr>
          <w:rFonts w:ascii="Arial" w:eastAsia="Times New Roman" w:hAnsi="Arial" w:cs="Arial"/>
          <w:sz w:val="24"/>
          <w:szCs w:val="24"/>
          <w:lang w:eastAsia="en-ZA"/>
        </w:rPr>
        <w:t>”</w:t>
      </w:r>
    </w:p>
    <w:p w14:paraId="4E5A95C2" w14:textId="043009CC" w:rsidR="00A7667D" w:rsidRPr="00083C7B" w:rsidRDefault="00A7667D" w:rsidP="00083C7B">
      <w:pPr>
        <w:pStyle w:val="ListParagraph"/>
        <w:widowControl w:val="0"/>
        <w:spacing w:after="0" w:line="360" w:lineRule="auto"/>
        <w:jc w:val="both"/>
        <w:rPr>
          <w:rFonts w:ascii="Arial" w:hAnsi="Arial" w:cs="Arial"/>
          <w:sz w:val="24"/>
          <w:szCs w:val="24"/>
          <w:lang w:val="en-US"/>
        </w:rPr>
      </w:pPr>
    </w:p>
    <w:p w14:paraId="46A1B0EB" w14:textId="5D3F8850" w:rsidR="00552EAC" w:rsidRPr="00083C7B" w:rsidRDefault="00B50DFA"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S</w:t>
      </w:r>
      <w:r w:rsidR="00552F44" w:rsidRPr="00083C7B">
        <w:rPr>
          <w:rFonts w:ascii="Arial" w:hAnsi="Arial" w:cs="Arial"/>
          <w:sz w:val="24"/>
          <w:szCs w:val="24"/>
          <w:lang w:val="en-US"/>
        </w:rPr>
        <w:t xml:space="preserve">ection 60(11) </w:t>
      </w:r>
      <w:r w:rsidR="004228B0" w:rsidRPr="00083C7B">
        <w:rPr>
          <w:rFonts w:ascii="Arial" w:hAnsi="Arial" w:cs="Arial"/>
          <w:sz w:val="24"/>
          <w:szCs w:val="24"/>
          <w:lang w:val="en-US"/>
        </w:rPr>
        <w:t>of the CPA</w:t>
      </w:r>
      <w:r w:rsidRPr="00083C7B">
        <w:rPr>
          <w:rFonts w:ascii="Arial" w:hAnsi="Arial" w:cs="Arial"/>
          <w:sz w:val="24"/>
          <w:szCs w:val="24"/>
          <w:lang w:val="en-US"/>
        </w:rPr>
        <w:t xml:space="preserve"> constitutes an exception to the gen</w:t>
      </w:r>
      <w:r w:rsidR="00A7667D" w:rsidRPr="00083C7B">
        <w:rPr>
          <w:rFonts w:ascii="Arial" w:hAnsi="Arial" w:cs="Arial"/>
          <w:sz w:val="24"/>
          <w:szCs w:val="24"/>
          <w:lang w:val="en-US"/>
        </w:rPr>
        <w:t>e</w:t>
      </w:r>
      <w:r w:rsidRPr="00083C7B">
        <w:rPr>
          <w:rFonts w:ascii="Arial" w:hAnsi="Arial" w:cs="Arial"/>
          <w:sz w:val="24"/>
          <w:szCs w:val="24"/>
          <w:lang w:val="en-US"/>
        </w:rPr>
        <w:t xml:space="preserve">ral entitlement </w:t>
      </w:r>
      <w:r w:rsidR="00A7667D" w:rsidRPr="00083C7B">
        <w:rPr>
          <w:rFonts w:ascii="Arial" w:hAnsi="Arial" w:cs="Arial"/>
          <w:sz w:val="24"/>
          <w:szCs w:val="24"/>
          <w:lang w:val="en-US"/>
        </w:rPr>
        <w:t>to</w:t>
      </w:r>
      <w:r w:rsidRPr="00083C7B">
        <w:rPr>
          <w:rFonts w:ascii="Arial" w:hAnsi="Arial" w:cs="Arial"/>
          <w:sz w:val="24"/>
          <w:szCs w:val="24"/>
          <w:lang w:val="en-US"/>
        </w:rPr>
        <w:t xml:space="preserve"> be released on bail as set out in section 60(1)</w:t>
      </w:r>
      <w:r w:rsidR="00A7667D" w:rsidRPr="00083C7B">
        <w:rPr>
          <w:rFonts w:ascii="Arial" w:hAnsi="Arial" w:cs="Arial"/>
          <w:sz w:val="24"/>
          <w:szCs w:val="24"/>
          <w:lang w:val="en-US"/>
        </w:rPr>
        <w:t>, read with section 60(4):</w:t>
      </w:r>
      <w:r w:rsidR="004228B0" w:rsidRPr="00083C7B">
        <w:rPr>
          <w:rFonts w:ascii="Arial" w:hAnsi="Arial" w:cs="Arial"/>
          <w:sz w:val="24"/>
          <w:szCs w:val="24"/>
          <w:lang w:val="en-US"/>
        </w:rPr>
        <w:t xml:space="preserve"> </w:t>
      </w:r>
    </w:p>
    <w:p w14:paraId="73BFB3D7" w14:textId="695D4C9C" w:rsidR="00743725" w:rsidRPr="00083C7B" w:rsidRDefault="00743725" w:rsidP="00083C7B">
      <w:pPr>
        <w:pStyle w:val="ListParagraph"/>
        <w:widowControl w:val="0"/>
        <w:spacing w:after="0" w:line="360" w:lineRule="auto"/>
        <w:jc w:val="both"/>
        <w:rPr>
          <w:rFonts w:ascii="Arial" w:hAnsi="Arial" w:cs="Arial"/>
          <w:sz w:val="24"/>
          <w:szCs w:val="24"/>
          <w:lang w:val="en-US"/>
        </w:rPr>
      </w:pPr>
    </w:p>
    <w:p w14:paraId="567B5958" w14:textId="18151118" w:rsidR="00AC22AD" w:rsidRPr="00083C7B" w:rsidRDefault="00AC22AD" w:rsidP="00083C7B">
      <w:pPr>
        <w:widowControl w:val="0"/>
        <w:shd w:val="clear" w:color="auto" w:fill="FFFFFF"/>
        <w:spacing w:after="0" w:line="360" w:lineRule="auto"/>
        <w:ind w:left="720"/>
        <w:jc w:val="both"/>
        <w:rPr>
          <w:rFonts w:ascii="Arial" w:eastAsia="Times New Roman" w:hAnsi="Arial" w:cs="Arial"/>
          <w:i/>
          <w:iCs/>
          <w:sz w:val="24"/>
          <w:szCs w:val="24"/>
          <w:lang w:eastAsia="en-ZA"/>
        </w:rPr>
      </w:pPr>
      <w:r w:rsidRPr="00083C7B">
        <w:rPr>
          <w:rFonts w:ascii="Arial" w:eastAsia="Times New Roman" w:hAnsi="Arial" w:cs="Arial"/>
          <w:sz w:val="24"/>
          <w:szCs w:val="24"/>
          <w:lang w:eastAsia="en-ZA"/>
        </w:rPr>
        <w:t>“</w:t>
      </w:r>
      <w:r w:rsidRPr="00083C7B">
        <w:rPr>
          <w:rFonts w:ascii="Arial" w:eastAsia="Times New Roman" w:hAnsi="Arial" w:cs="Arial"/>
          <w:i/>
          <w:iCs/>
          <w:sz w:val="24"/>
          <w:szCs w:val="24"/>
          <w:lang w:eastAsia="en-ZA"/>
        </w:rPr>
        <w:t>Notwithstanding any provision of this Act, where an accused is charged with an offence referred to-</w:t>
      </w:r>
    </w:p>
    <w:p w14:paraId="551F7BCE" w14:textId="5804749F" w:rsidR="00AC22AD" w:rsidRPr="00083C7B" w:rsidRDefault="00AC22AD" w:rsidP="00083C7B">
      <w:pPr>
        <w:widowControl w:val="0"/>
        <w:shd w:val="clear" w:color="auto" w:fill="FFFFFF"/>
        <w:spacing w:after="0" w:line="360" w:lineRule="auto"/>
        <w:ind w:left="1440" w:hanging="720"/>
        <w:jc w:val="both"/>
        <w:rPr>
          <w:rFonts w:ascii="Arial" w:eastAsia="Times New Roman" w:hAnsi="Arial" w:cs="Arial"/>
          <w:i/>
          <w:iCs/>
          <w:sz w:val="24"/>
          <w:szCs w:val="24"/>
          <w:lang w:eastAsia="en-ZA"/>
        </w:rPr>
      </w:pPr>
      <w:r w:rsidRPr="00083C7B">
        <w:rPr>
          <w:rFonts w:ascii="Arial" w:eastAsia="Times New Roman" w:hAnsi="Arial" w:cs="Arial"/>
          <w:i/>
          <w:iCs/>
          <w:sz w:val="24"/>
          <w:szCs w:val="24"/>
          <w:lang w:eastAsia="en-ZA"/>
        </w:rPr>
        <w:t>(a)</w:t>
      </w:r>
      <w:r w:rsidRPr="00083C7B">
        <w:rPr>
          <w:rFonts w:ascii="Arial" w:eastAsia="Times New Roman" w:hAnsi="Arial" w:cs="Arial"/>
          <w:i/>
          <w:iCs/>
          <w:sz w:val="24"/>
          <w:szCs w:val="24"/>
          <w:lang w:eastAsia="en-ZA"/>
        </w:rPr>
        <w:tab/>
        <w:t>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interests of justice permit his or her release;</w:t>
      </w:r>
    </w:p>
    <w:p w14:paraId="33DD6AD3" w14:textId="2CD2F9E9" w:rsidR="00AC22AD" w:rsidRPr="00083C7B" w:rsidRDefault="00AC22AD" w:rsidP="00083C7B">
      <w:pPr>
        <w:widowControl w:val="0"/>
        <w:shd w:val="clear" w:color="auto" w:fill="FFFFFF"/>
        <w:spacing w:after="0" w:line="360" w:lineRule="auto"/>
        <w:ind w:left="1440" w:hanging="720"/>
        <w:jc w:val="both"/>
        <w:rPr>
          <w:rFonts w:ascii="Arial" w:eastAsia="Times New Roman" w:hAnsi="Arial" w:cs="Arial"/>
          <w:sz w:val="24"/>
          <w:szCs w:val="24"/>
          <w:lang w:eastAsia="en-ZA"/>
        </w:rPr>
      </w:pPr>
      <w:r w:rsidRPr="00083C7B">
        <w:rPr>
          <w:rFonts w:ascii="Arial" w:eastAsia="Times New Roman" w:hAnsi="Arial" w:cs="Arial"/>
          <w:i/>
          <w:iCs/>
          <w:sz w:val="24"/>
          <w:szCs w:val="24"/>
          <w:lang w:eastAsia="en-ZA"/>
        </w:rPr>
        <w:t>(b)</w:t>
      </w:r>
      <w:r w:rsidRPr="00083C7B">
        <w:rPr>
          <w:rFonts w:ascii="Arial" w:eastAsia="Times New Roman" w:hAnsi="Arial" w:cs="Arial"/>
          <w:i/>
          <w:iCs/>
          <w:sz w:val="24"/>
          <w:szCs w:val="24"/>
          <w:lang w:eastAsia="en-ZA"/>
        </w:rPr>
        <w:tab/>
        <w:t>in Schedule 5, but not in Schedule 6, 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r w:rsidRPr="00083C7B">
        <w:rPr>
          <w:rFonts w:ascii="Arial" w:eastAsia="Times New Roman" w:hAnsi="Arial" w:cs="Arial"/>
          <w:sz w:val="24"/>
          <w:szCs w:val="24"/>
          <w:lang w:eastAsia="en-ZA"/>
        </w:rPr>
        <w:t>.”</w:t>
      </w:r>
    </w:p>
    <w:p w14:paraId="3B50FDEC" w14:textId="2D2A2D3D" w:rsidR="00A7667D" w:rsidRPr="00083C7B" w:rsidRDefault="00A7667D" w:rsidP="00083C7B">
      <w:pPr>
        <w:pStyle w:val="ListParagraph"/>
        <w:widowControl w:val="0"/>
        <w:spacing w:after="0" w:line="360" w:lineRule="auto"/>
        <w:jc w:val="both"/>
        <w:rPr>
          <w:rFonts w:ascii="Arial" w:hAnsi="Arial" w:cs="Arial"/>
          <w:sz w:val="24"/>
          <w:szCs w:val="24"/>
          <w:lang w:val="en-US"/>
        </w:rPr>
      </w:pPr>
    </w:p>
    <w:p w14:paraId="20C751CA" w14:textId="34DDFF51" w:rsidR="005E7572" w:rsidRPr="00083C7B" w:rsidRDefault="00193BF7"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The offences with which the appellant is charged are</w:t>
      </w:r>
      <w:r w:rsidR="00AC22AD" w:rsidRPr="00083C7B">
        <w:rPr>
          <w:rFonts w:ascii="Arial" w:hAnsi="Arial" w:cs="Arial"/>
          <w:sz w:val="24"/>
          <w:szCs w:val="24"/>
          <w:lang w:val="en-US"/>
        </w:rPr>
        <w:t xml:space="preserve"> Schedule 6 off</w:t>
      </w:r>
      <w:r w:rsidRPr="00083C7B">
        <w:rPr>
          <w:rFonts w:ascii="Arial" w:hAnsi="Arial" w:cs="Arial"/>
          <w:sz w:val="24"/>
          <w:szCs w:val="24"/>
          <w:lang w:val="en-US"/>
        </w:rPr>
        <w:t>ences</w:t>
      </w:r>
      <w:r w:rsidR="00AC22AD" w:rsidRPr="00083C7B">
        <w:rPr>
          <w:rFonts w:ascii="Arial" w:hAnsi="Arial" w:cs="Arial"/>
          <w:sz w:val="24"/>
          <w:szCs w:val="24"/>
          <w:lang w:val="en-US"/>
        </w:rPr>
        <w:t>.  In the premises, the appellant must show, by adducing evidence, that exceptional circumstances exist which, in the interests of justice, permits h</w:t>
      </w:r>
      <w:r w:rsidR="00DA24DD" w:rsidRPr="00083C7B">
        <w:rPr>
          <w:rFonts w:ascii="Arial" w:hAnsi="Arial" w:cs="Arial"/>
          <w:sz w:val="24"/>
          <w:szCs w:val="24"/>
          <w:lang w:val="en-US"/>
        </w:rPr>
        <w:t>er</w:t>
      </w:r>
      <w:r w:rsidR="00AC22AD" w:rsidRPr="00083C7B">
        <w:rPr>
          <w:rFonts w:ascii="Arial" w:hAnsi="Arial" w:cs="Arial"/>
          <w:sz w:val="24"/>
          <w:szCs w:val="24"/>
          <w:lang w:val="en-US"/>
        </w:rPr>
        <w:t xml:space="preserve"> release on bail.  </w:t>
      </w:r>
      <w:r w:rsidR="005E7572" w:rsidRPr="00083C7B">
        <w:rPr>
          <w:rFonts w:ascii="Arial" w:hAnsi="Arial" w:cs="Arial"/>
          <w:sz w:val="24"/>
          <w:szCs w:val="24"/>
          <w:lang w:val="en-US"/>
        </w:rPr>
        <w:t xml:space="preserve">In </w:t>
      </w:r>
      <w:r w:rsidR="005E7572" w:rsidRPr="00083C7B">
        <w:rPr>
          <w:rFonts w:ascii="Arial" w:hAnsi="Arial" w:cs="Arial"/>
          <w:i/>
          <w:iCs/>
          <w:sz w:val="24"/>
          <w:szCs w:val="24"/>
          <w:lang w:val="en-US"/>
        </w:rPr>
        <w:t>S v Petersen</w:t>
      </w:r>
      <w:r w:rsidR="005E7572" w:rsidRPr="00083C7B">
        <w:rPr>
          <w:rFonts w:ascii="Arial" w:hAnsi="Arial" w:cs="Arial"/>
          <w:sz w:val="24"/>
          <w:szCs w:val="24"/>
          <w:lang w:val="en-US"/>
        </w:rPr>
        <w:t xml:space="preserve"> 2008 (2) SACR 355 (C) at para [</w:t>
      </w:r>
      <w:r w:rsidR="00A16C7B" w:rsidRPr="00083C7B">
        <w:rPr>
          <w:rFonts w:ascii="Arial" w:hAnsi="Arial" w:cs="Arial"/>
          <w:sz w:val="24"/>
          <w:szCs w:val="24"/>
          <w:lang w:val="en-US"/>
        </w:rPr>
        <w:t>54</w:t>
      </w:r>
      <w:r w:rsidR="005E7572" w:rsidRPr="00083C7B">
        <w:rPr>
          <w:rFonts w:ascii="Arial" w:hAnsi="Arial" w:cs="Arial"/>
          <w:sz w:val="24"/>
          <w:szCs w:val="24"/>
          <w:lang w:val="en-US"/>
        </w:rPr>
        <w:t>] it was stated that</w:t>
      </w:r>
      <w:r w:rsidR="00A16C7B" w:rsidRPr="00083C7B">
        <w:rPr>
          <w:rFonts w:ascii="Arial" w:hAnsi="Arial" w:cs="Arial"/>
          <w:sz w:val="24"/>
          <w:szCs w:val="24"/>
          <w:lang w:val="en-US"/>
        </w:rPr>
        <w:t xml:space="preserve"> “</w:t>
      </w:r>
      <w:r w:rsidR="00A16C7B" w:rsidRPr="00083C7B">
        <w:rPr>
          <w:rFonts w:ascii="Arial" w:hAnsi="Arial" w:cs="Arial"/>
          <w:i/>
          <w:iCs/>
          <w:sz w:val="24"/>
          <w:szCs w:val="24"/>
          <w:lang w:val="en-US"/>
        </w:rPr>
        <w:t xml:space="preserve">…it is clear that the onus is on the accused to adduce evidence, and hence to prove, the existence of exceptional circumstances of such a nature as to permit his or </w:t>
      </w:r>
      <w:r w:rsidR="00A16C7B" w:rsidRPr="00083C7B">
        <w:rPr>
          <w:rFonts w:ascii="Arial" w:hAnsi="Arial" w:cs="Arial"/>
          <w:i/>
          <w:iCs/>
          <w:sz w:val="24"/>
          <w:szCs w:val="24"/>
          <w:lang w:val="en-US"/>
        </w:rPr>
        <w:lastRenderedPageBreak/>
        <w:t>her release on bail.  The court must also be satisfied that the release of the accused is in the interests of justice</w:t>
      </w:r>
      <w:r w:rsidR="00A16C7B" w:rsidRPr="00083C7B">
        <w:rPr>
          <w:rFonts w:ascii="Arial" w:hAnsi="Arial" w:cs="Arial"/>
          <w:sz w:val="24"/>
          <w:szCs w:val="24"/>
          <w:lang w:val="en-US"/>
        </w:rPr>
        <w:t>”.</w:t>
      </w:r>
    </w:p>
    <w:p w14:paraId="1DE2DEF3" w14:textId="77777777" w:rsidR="00A16C7B" w:rsidRPr="00083C7B" w:rsidRDefault="00A16C7B" w:rsidP="00083C7B">
      <w:pPr>
        <w:pStyle w:val="ListParagraph"/>
        <w:widowControl w:val="0"/>
        <w:spacing w:after="0" w:line="360" w:lineRule="auto"/>
        <w:jc w:val="both"/>
        <w:rPr>
          <w:rFonts w:ascii="Arial" w:hAnsi="Arial" w:cs="Arial"/>
          <w:sz w:val="24"/>
          <w:szCs w:val="24"/>
          <w:lang w:val="en-US"/>
        </w:rPr>
      </w:pPr>
    </w:p>
    <w:p w14:paraId="1AFDB0B2" w14:textId="5CA76BE4" w:rsidR="00A16C7B" w:rsidRPr="00083C7B" w:rsidRDefault="00A16C7B"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In paragraphs [55] and [56] of the same case the concept of “exceptional circumstances” was explained as follows:</w:t>
      </w:r>
    </w:p>
    <w:p w14:paraId="0BE6EEDF" w14:textId="356699CF" w:rsidR="00A16C7B" w:rsidRPr="00083C7B" w:rsidRDefault="00A16C7B" w:rsidP="00083C7B">
      <w:pPr>
        <w:pStyle w:val="ListParagraph"/>
        <w:widowControl w:val="0"/>
        <w:spacing w:after="0" w:line="360" w:lineRule="auto"/>
        <w:jc w:val="both"/>
        <w:rPr>
          <w:rFonts w:ascii="Arial" w:hAnsi="Arial" w:cs="Arial"/>
          <w:sz w:val="24"/>
          <w:szCs w:val="24"/>
          <w:lang w:val="en-US"/>
        </w:rPr>
      </w:pPr>
    </w:p>
    <w:p w14:paraId="3C2767E7" w14:textId="6DE0AE1E" w:rsidR="00A16C7B" w:rsidRPr="00083C7B" w:rsidRDefault="00A16C7B" w:rsidP="00083C7B">
      <w:pPr>
        <w:pStyle w:val="ListParagraph"/>
        <w:widowControl w:val="0"/>
        <w:spacing w:after="0" w:line="360" w:lineRule="auto"/>
        <w:jc w:val="both"/>
        <w:rPr>
          <w:rFonts w:ascii="Arial" w:hAnsi="Arial" w:cs="Arial"/>
          <w:i/>
          <w:iCs/>
          <w:sz w:val="24"/>
          <w:szCs w:val="24"/>
          <w:lang w:val="en-US"/>
        </w:rPr>
      </w:pPr>
      <w:r w:rsidRPr="00083C7B">
        <w:rPr>
          <w:rFonts w:ascii="Arial" w:hAnsi="Arial" w:cs="Arial"/>
          <w:sz w:val="24"/>
          <w:szCs w:val="24"/>
          <w:lang w:val="en-US"/>
        </w:rPr>
        <w:t>“</w:t>
      </w:r>
      <w:r w:rsidR="00CB3BBC" w:rsidRPr="00083C7B">
        <w:rPr>
          <w:rFonts w:ascii="Arial" w:hAnsi="Arial" w:cs="Arial"/>
          <w:i/>
          <w:iCs/>
          <w:sz w:val="24"/>
          <w:szCs w:val="24"/>
          <w:lang w:val="en-US"/>
        </w:rPr>
        <w:t>Generally speaking ‘exceptional’ is indicative of something unusual, extraordinary, remarkable, peculiar or simply different.  There are, of course, different degrees of exceptionality, unusualness, extraordinariness, remarkableness, peculiarity or difference.  This depends on their context and on the particular circumstances of the case under consideration.</w:t>
      </w:r>
    </w:p>
    <w:p w14:paraId="5F84B613" w14:textId="4E9F54A5" w:rsidR="00CB3BBC" w:rsidRPr="00083C7B" w:rsidRDefault="00CB3BBC" w:rsidP="00083C7B">
      <w:pPr>
        <w:pStyle w:val="ListParagraph"/>
        <w:widowControl w:val="0"/>
        <w:spacing w:after="0" w:line="360" w:lineRule="auto"/>
        <w:jc w:val="both"/>
        <w:rPr>
          <w:rFonts w:ascii="Arial" w:hAnsi="Arial" w:cs="Arial"/>
          <w:sz w:val="24"/>
          <w:szCs w:val="24"/>
          <w:lang w:val="en-US"/>
        </w:rPr>
      </w:pPr>
      <w:r w:rsidRPr="00083C7B">
        <w:rPr>
          <w:rFonts w:ascii="Arial" w:hAnsi="Arial" w:cs="Arial"/>
          <w:i/>
          <w:iCs/>
          <w:sz w:val="24"/>
          <w:szCs w:val="24"/>
          <w:lang w:val="en-US"/>
        </w:rPr>
        <w:t>In the context of section 60(11)(a) the exceptionality of the circumstances must be such as to persuade a court that t would be in the interests of justice to order the release of the accused person. … In essence the court will be exercising a value judgment in accordance with all the relevant facts and circumstances, and with reference to all the applicable legal criteria.</w:t>
      </w:r>
      <w:r w:rsidRPr="00083C7B">
        <w:rPr>
          <w:rFonts w:ascii="Arial" w:hAnsi="Arial" w:cs="Arial"/>
          <w:sz w:val="24"/>
          <w:szCs w:val="24"/>
          <w:lang w:val="en-US"/>
        </w:rPr>
        <w:t>”</w:t>
      </w:r>
    </w:p>
    <w:p w14:paraId="2E610870" w14:textId="77777777" w:rsidR="00A16C7B" w:rsidRPr="00083C7B" w:rsidRDefault="00A16C7B" w:rsidP="00083C7B">
      <w:pPr>
        <w:pStyle w:val="ListParagraph"/>
        <w:widowControl w:val="0"/>
        <w:spacing w:after="0" w:line="360" w:lineRule="auto"/>
        <w:jc w:val="both"/>
        <w:rPr>
          <w:rFonts w:ascii="Arial" w:hAnsi="Arial" w:cs="Arial"/>
          <w:sz w:val="24"/>
          <w:szCs w:val="24"/>
          <w:lang w:val="en-US"/>
        </w:rPr>
      </w:pPr>
    </w:p>
    <w:p w14:paraId="2E4695F9" w14:textId="0CF69F2F" w:rsidR="00DA24DD" w:rsidRPr="00083C7B" w:rsidRDefault="006319C0"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I agree with the appellant’s counsel that a charge in respect of a Schedule 6 office is not an absolute bar to the granting of bail, and that bail is not punitive in character</w:t>
      </w:r>
      <w:r w:rsidR="00DA24DD" w:rsidRPr="00083C7B">
        <w:rPr>
          <w:rFonts w:ascii="Arial" w:hAnsi="Arial" w:cs="Arial"/>
          <w:sz w:val="24"/>
          <w:szCs w:val="24"/>
          <w:lang w:val="en-US"/>
        </w:rPr>
        <w:t xml:space="preserve"> (with reference to </w:t>
      </w:r>
      <w:r w:rsidR="00DA24DD" w:rsidRPr="00083C7B">
        <w:rPr>
          <w:rFonts w:ascii="Arial" w:hAnsi="Arial" w:cs="Arial"/>
          <w:i/>
          <w:iCs/>
          <w:sz w:val="24"/>
          <w:szCs w:val="24"/>
          <w:lang w:val="en-US"/>
        </w:rPr>
        <w:t>S v Acheson</w:t>
      </w:r>
      <w:r w:rsidR="00DA24DD" w:rsidRPr="00083C7B">
        <w:rPr>
          <w:rFonts w:ascii="Arial" w:hAnsi="Arial" w:cs="Arial"/>
          <w:sz w:val="24"/>
          <w:szCs w:val="24"/>
          <w:lang w:val="en-US"/>
        </w:rPr>
        <w:t xml:space="preserve"> 1991 (2) SA </w:t>
      </w:r>
      <w:r w:rsidR="0060174D" w:rsidRPr="00083C7B">
        <w:rPr>
          <w:rFonts w:ascii="Arial" w:hAnsi="Arial" w:cs="Arial"/>
          <w:sz w:val="24"/>
          <w:szCs w:val="24"/>
          <w:lang w:val="en-US"/>
        </w:rPr>
        <w:t xml:space="preserve">805 </w:t>
      </w:r>
      <w:r w:rsidR="00FA5375" w:rsidRPr="00083C7B">
        <w:rPr>
          <w:rFonts w:ascii="Arial" w:hAnsi="Arial" w:cs="Arial"/>
          <w:sz w:val="24"/>
          <w:szCs w:val="24"/>
          <w:lang w:val="en-US"/>
        </w:rPr>
        <w:t xml:space="preserve">(Nm) </w:t>
      </w:r>
      <w:r w:rsidR="0060174D" w:rsidRPr="00083C7B">
        <w:rPr>
          <w:rFonts w:ascii="Arial" w:hAnsi="Arial" w:cs="Arial"/>
          <w:sz w:val="24"/>
          <w:szCs w:val="24"/>
          <w:lang w:val="en-US"/>
        </w:rPr>
        <w:t xml:space="preserve">at </w:t>
      </w:r>
      <w:r w:rsidR="00FA5375" w:rsidRPr="00083C7B">
        <w:rPr>
          <w:rFonts w:ascii="Arial" w:hAnsi="Arial" w:cs="Arial"/>
          <w:sz w:val="24"/>
          <w:szCs w:val="24"/>
          <w:lang w:val="en-US"/>
        </w:rPr>
        <w:t>822A-B</w:t>
      </w:r>
      <w:r w:rsidR="0060174D" w:rsidRPr="00083C7B">
        <w:rPr>
          <w:rFonts w:ascii="Arial" w:hAnsi="Arial" w:cs="Arial"/>
          <w:sz w:val="24"/>
          <w:szCs w:val="24"/>
          <w:lang w:val="en-US"/>
        </w:rPr>
        <w:t>; and section 35(1)(f) of the Constitution)</w:t>
      </w:r>
      <w:r w:rsidRPr="00083C7B">
        <w:rPr>
          <w:rFonts w:ascii="Arial" w:hAnsi="Arial" w:cs="Arial"/>
          <w:sz w:val="24"/>
          <w:szCs w:val="24"/>
          <w:lang w:val="en-US"/>
        </w:rPr>
        <w:t xml:space="preserve">.  That much is clear from a proper interpretation of the relevant provisions of the CPA.  </w:t>
      </w:r>
    </w:p>
    <w:p w14:paraId="0B277237" w14:textId="77777777" w:rsidR="00DA24DD" w:rsidRPr="00083C7B" w:rsidRDefault="00DA24DD" w:rsidP="00083C7B">
      <w:pPr>
        <w:pStyle w:val="ListParagraph"/>
        <w:widowControl w:val="0"/>
        <w:spacing w:after="0" w:line="360" w:lineRule="auto"/>
        <w:jc w:val="both"/>
        <w:rPr>
          <w:rFonts w:ascii="Arial" w:hAnsi="Arial" w:cs="Arial"/>
          <w:sz w:val="24"/>
          <w:szCs w:val="24"/>
          <w:lang w:val="en-US"/>
        </w:rPr>
      </w:pPr>
    </w:p>
    <w:p w14:paraId="53228139" w14:textId="77777777" w:rsidR="00DE2448" w:rsidRPr="00083C7B" w:rsidRDefault="00193BF7"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sz w:val="24"/>
          <w:szCs w:val="24"/>
          <w:lang w:val="en-US"/>
        </w:rPr>
        <w:t>Against this context, did the appellant demonstrate exceptional circumstances as contemplated in section 60(11) of the CPA?</w:t>
      </w:r>
      <w:r w:rsidR="00FA5375" w:rsidRPr="00083C7B">
        <w:rPr>
          <w:rFonts w:ascii="Arial" w:hAnsi="Arial" w:cs="Arial"/>
          <w:sz w:val="24"/>
          <w:szCs w:val="24"/>
          <w:lang w:val="en-US"/>
        </w:rPr>
        <w:t xml:space="preserve">  Was the magistrate wrong in refusing bail?</w:t>
      </w:r>
    </w:p>
    <w:p w14:paraId="1C4A3296" w14:textId="77777777" w:rsidR="00DE2448" w:rsidRPr="00083C7B" w:rsidRDefault="00DE2448" w:rsidP="00083C7B">
      <w:pPr>
        <w:widowControl w:val="0"/>
        <w:spacing w:after="0" w:line="360" w:lineRule="auto"/>
        <w:jc w:val="both"/>
        <w:rPr>
          <w:rFonts w:ascii="Arial" w:hAnsi="Arial" w:cs="Arial"/>
          <w:sz w:val="24"/>
          <w:szCs w:val="24"/>
          <w:lang w:val="en-US"/>
        </w:rPr>
      </w:pPr>
    </w:p>
    <w:p w14:paraId="187B218A" w14:textId="54042196" w:rsidR="00D31B5A" w:rsidRPr="00083C7B" w:rsidRDefault="00D31B5A" w:rsidP="00083C7B">
      <w:pPr>
        <w:widowControl w:val="0"/>
        <w:spacing w:after="0" w:line="360" w:lineRule="auto"/>
        <w:jc w:val="both"/>
        <w:rPr>
          <w:rFonts w:ascii="Arial" w:hAnsi="Arial" w:cs="Arial"/>
          <w:b/>
          <w:bCs/>
          <w:sz w:val="24"/>
          <w:szCs w:val="24"/>
          <w:u w:val="single"/>
          <w:lang w:val="en-US"/>
        </w:rPr>
      </w:pPr>
      <w:r w:rsidRPr="00083C7B">
        <w:rPr>
          <w:rFonts w:ascii="Arial" w:hAnsi="Arial" w:cs="Arial"/>
          <w:b/>
          <w:bCs/>
          <w:sz w:val="24"/>
          <w:szCs w:val="24"/>
          <w:u w:val="single"/>
          <w:lang w:val="en-US"/>
        </w:rPr>
        <w:t>Consideration of the relevant facts</w:t>
      </w:r>
    </w:p>
    <w:p w14:paraId="2CD65443" w14:textId="77777777" w:rsidR="00D31B5A" w:rsidRPr="00083C7B" w:rsidRDefault="00D31B5A" w:rsidP="00083C7B">
      <w:pPr>
        <w:widowControl w:val="0"/>
        <w:spacing w:after="0" w:line="360" w:lineRule="auto"/>
        <w:jc w:val="both"/>
        <w:rPr>
          <w:rFonts w:ascii="Arial" w:hAnsi="Arial" w:cs="Arial"/>
          <w:sz w:val="24"/>
          <w:szCs w:val="24"/>
          <w:lang w:val="en-US"/>
        </w:rPr>
      </w:pPr>
    </w:p>
    <w:p w14:paraId="4A9080D0" w14:textId="46A65756" w:rsidR="00C4722D" w:rsidRPr="00083C7B" w:rsidRDefault="00DE2448"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 xml:space="preserve">A summary of the facts as set out in the State’s heads of argument is as follows. Mr Peter O'Rourke who was living with his wife and other </w:t>
      </w:r>
      <w:r w:rsidR="00C4722D" w:rsidRPr="00083C7B">
        <w:rPr>
          <w:rFonts w:ascii="Arial" w:hAnsi="Arial" w:cs="Arial"/>
          <w:color w:val="000000"/>
          <w:sz w:val="24"/>
          <w:szCs w:val="24"/>
        </w:rPr>
        <w:t xml:space="preserve">family </w:t>
      </w:r>
      <w:r w:rsidRPr="00083C7B">
        <w:rPr>
          <w:rFonts w:ascii="Arial" w:hAnsi="Arial" w:cs="Arial"/>
          <w:color w:val="000000"/>
          <w:sz w:val="24"/>
          <w:szCs w:val="24"/>
        </w:rPr>
        <w:t>members at 3 Percival Road, Cambridge Estate, Milnerton</w:t>
      </w:r>
      <w:r w:rsidR="00C4722D" w:rsidRPr="00083C7B">
        <w:rPr>
          <w:rFonts w:ascii="Arial" w:hAnsi="Arial" w:cs="Arial"/>
          <w:color w:val="000000"/>
          <w:sz w:val="24"/>
          <w:szCs w:val="24"/>
        </w:rPr>
        <w:t>.  He</w:t>
      </w:r>
      <w:r w:rsidRPr="00083C7B">
        <w:rPr>
          <w:rFonts w:ascii="Arial" w:hAnsi="Arial" w:cs="Arial"/>
          <w:color w:val="000000"/>
          <w:sz w:val="24"/>
          <w:szCs w:val="24"/>
        </w:rPr>
        <w:t xml:space="preserve"> was 7</w:t>
      </w:r>
      <w:r w:rsidR="003D37C6" w:rsidRPr="00083C7B">
        <w:rPr>
          <w:rFonts w:ascii="Arial" w:hAnsi="Arial" w:cs="Arial"/>
          <w:color w:val="000000"/>
          <w:sz w:val="24"/>
          <w:szCs w:val="24"/>
        </w:rPr>
        <w:t>8</w:t>
      </w:r>
      <w:r w:rsidRPr="00083C7B">
        <w:rPr>
          <w:rFonts w:ascii="Arial" w:hAnsi="Arial" w:cs="Arial"/>
          <w:color w:val="000000"/>
          <w:sz w:val="24"/>
          <w:szCs w:val="24"/>
        </w:rPr>
        <w:t xml:space="preserve"> years old when he was murdered.</w:t>
      </w:r>
    </w:p>
    <w:p w14:paraId="3B59C2C6" w14:textId="77777777" w:rsidR="00C4722D" w:rsidRPr="00083C7B" w:rsidRDefault="00C4722D" w:rsidP="00083C7B">
      <w:pPr>
        <w:pStyle w:val="ListParagraph"/>
        <w:widowControl w:val="0"/>
        <w:spacing w:after="0" w:line="360" w:lineRule="auto"/>
        <w:jc w:val="both"/>
        <w:rPr>
          <w:rFonts w:ascii="Arial" w:hAnsi="Arial" w:cs="Arial"/>
          <w:sz w:val="24"/>
          <w:szCs w:val="24"/>
          <w:lang w:val="en-US"/>
        </w:rPr>
      </w:pPr>
    </w:p>
    <w:p w14:paraId="287691CD" w14:textId="77777777" w:rsidR="00C4722D" w:rsidRPr="00083C7B" w:rsidRDefault="00DE2448"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lastRenderedPageBreak/>
        <w:t xml:space="preserve">He liked to potter around the garage, and he would park his vehicle outside when he did so. The </w:t>
      </w:r>
      <w:r w:rsidR="00C4722D" w:rsidRPr="00083C7B">
        <w:rPr>
          <w:rFonts w:ascii="Arial" w:hAnsi="Arial" w:cs="Arial"/>
          <w:color w:val="000000"/>
          <w:sz w:val="24"/>
          <w:szCs w:val="24"/>
        </w:rPr>
        <w:t xml:space="preserve">State alleges that the </w:t>
      </w:r>
      <w:r w:rsidRPr="00083C7B">
        <w:rPr>
          <w:rFonts w:ascii="Arial" w:hAnsi="Arial" w:cs="Arial"/>
          <w:color w:val="000000"/>
          <w:sz w:val="24"/>
          <w:szCs w:val="24"/>
        </w:rPr>
        <w:t xml:space="preserve">accused </w:t>
      </w:r>
      <w:r w:rsidR="00C4722D" w:rsidRPr="00083C7B">
        <w:rPr>
          <w:rFonts w:ascii="Arial" w:hAnsi="Arial" w:cs="Arial"/>
          <w:color w:val="000000"/>
          <w:sz w:val="24"/>
          <w:szCs w:val="24"/>
        </w:rPr>
        <w:t xml:space="preserve">(including the appellant) </w:t>
      </w:r>
      <w:r w:rsidRPr="00083C7B">
        <w:rPr>
          <w:rFonts w:ascii="Arial" w:hAnsi="Arial" w:cs="Arial"/>
          <w:color w:val="000000"/>
          <w:sz w:val="24"/>
          <w:szCs w:val="24"/>
        </w:rPr>
        <w:t>planned to rob the deceased of his motor vehicle</w:t>
      </w:r>
      <w:r w:rsidR="00C4722D" w:rsidRPr="00083C7B">
        <w:rPr>
          <w:rFonts w:ascii="Arial" w:hAnsi="Arial" w:cs="Arial"/>
          <w:color w:val="000000"/>
          <w:sz w:val="24"/>
          <w:szCs w:val="24"/>
        </w:rPr>
        <w:t>,</w:t>
      </w:r>
      <w:r w:rsidRPr="00083C7B">
        <w:rPr>
          <w:rFonts w:ascii="Arial" w:hAnsi="Arial" w:cs="Arial"/>
          <w:color w:val="000000"/>
          <w:sz w:val="24"/>
          <w:szCs w:val="24"/>
        </w:rPr>
        <w:t xml:space="preserve"> and </w:t>
      </w:r>
      <w:r w:rsidR="00C4722D" w:rsidRPr="00083C7B">
        <w:rPr>
          <w:rFonts w:ascii="Arial" w:hAnsi="Arial" w:cs="Arial"/>
          <w:color w:val="000000"/>
          <w:sz w:val="24"/>
          <w:szCs w:val="24"/>
        </w:rPr>
        <w:t xml:space="preserve">that they </w:t>
      </w:r>
      <w:r w:rsidRPr="00083C7B">
        <w:rPr>
          <w:rFonts w:ascii="Arial" w:hAnsi="Arial" w:cs="Arial"/>
          <w:color w:val="000000"/>
          <w:sz w:val="24"/>
          <w:szCs w:val="24"/>
        </w:rPr>
        <w:t xml:space="preserve">had some idea of his </w:t>
      </w:r>
      <w:r w:rsidR="00C4722D" w:rsidRPr="00083C7B">
        <w:rPr>
          <w:rFonts w:ascii="Arial" w:hAnsi="Arial" w:cs="Arial"/>
          <w:color w:val="000000"/>
          <w:sz w:val="24"/>
          <w:szCs w:val="24"/>
        </w:rPr>
        <w:t xml:space="preserve">daily </w:t>
      </w:r>
      <w:r w:rsidRPr="00083C7B">
        <w:rPr>
          <w:rFonts w:ascii="Arial" w:hAnsi="Arial" w:cs="Arial"/>
          <w:color w:val="000000"/>
          <w:sz w:val="24"/>
          <w:szCs w:val="24"/>
        </w:rPr>
        <w:t>habits. On 15 December 2018 they took a taxi from Gugulet</w:t>
      </w:r>
      <w:r w:rsidR="00C4722D" w:rsidRPr="00083C7B">
        <w:rPr>
          <w:rFonts w:ascii="Arial" w:hAnsi="Arial" w:cs="Arial"/>
          <w:color w:val="000000"/>
          <w:sz w:val="24"/>
          <w:szCs w:val="24"/>
        </w:rPr>
        <w:t>h</w:t>
      </w:r>
      <w:r w:rsidRPr="00083C7B">
        <w:rPr>
          <w:rFonts w:ascii="Arial" w:hAnsi="Arial" w:cs="Arial"/>
          <w:color w:val="000000"/>
          <w:sz w:val="24"/>
          <w:szCs w:val="24"/>
        </w:rPr>
        <w:t>u to Century City and walked to the deceased's</w:t>
      </w:r>
      <w:r w:rsidR="00C4722D" w:rsidRPr="00083C7B">
        <w:rPr>
          <w:rFonts w:ascii="Arial" w:hAnsi="Arial" w:cs="Arial"/>
          <w:color w:val="000000"/>
          <w:sz w:val="24"/>
          <w:szCs w:val="24"/>
        </w:rPr>
        <w:t xml:space="preserve"> </w:t>
      </w:r>
      <w:r w:rsidRPr="00083C7B">
        <w:rPr>
          <w:rFonts w:ascii="Arial" w:hAnsi="Arial" w:cs="Arial"/>
          <w:color w:val="000000"/>
          <w:sz w:val="24"/>
          <w:szCs w:val="24"/>
        </w:rPr>
        <w:t>house. The accused confronted the deceased in his garage and set about</w:t>
      </w:r>
      <w:r w:rsidR="00C4722D" w:rsidRPr="00083C7B">
        <w:rPr>
          <w:rFonts w:ascii="Arial" w:hAnsi="Arial" w:cs="Arial"/>
          <w:color w:val="000000"/>
          <w:sz w:val="24"/>
          <w:szCs w:val="24"/>
        </w:rPr>
        <w:t xml:space="preserve"> </w:t>
      </w:r>
      <w:r w:rsidRPr="00083C7B">
        <w:rPr>
          <w:rFonts w:ascii="Arial" w:hAnsi="Arial" w:cs="Arial"/>
          <w:color w:val="000000"/>
          <w:sz w:val="24"/>
          <w:szCs w:val="24"/>
        </w:rPr>
        <w:t>assaulting him</w:t>
      </w:r>
      <w:r w:rsidR="00C4722D" w:rsidRPr="00083C7B">
        <w:rPr>
          <w:rFonts w:ascii="Arial" w:hAnsi="Arial" w:cs="Arial"/>
          <w:color w:val="000000"/>
          <w:sz w:val="24"/>
          <w:szCs w:val="24"/>
        </w:rPr>
        <w:t>,</w:t>
      </w:r>
      <w:r w:rsidRPr="00083C7B">
        <w:rPr>
          <w:rFonts w:ascii="Arial" w:hAnsi="Arial" w:cs="Arial"/>
          <w:color w:val="000000"/>
          <w:sz w:val="24"/>
          <w:szCs w:val="24"/>
        </w:rPr>
        <w:t xml:space="preserve"> causing multiple injuries. The deceased's wife became aware of the</w:t>
      </w:r>
      <w:r w:rsidR="00C4722D" w:rsidRPr="00083C7B">
        <w:rPr>
          <w:rFonts w:ascii="Arial" w:hAnsi="Arial" w:cs="Arial"/>
          <w:color w:val="000000"/>
          <w:sz w:val="24"/>
          <w:szCs w:val="24"/>
        </w:rPr>
        <w:t xml:space="preserve"> </w:t>
      </w:r>
      <w:r w:rsidRPr="00083C7B">
        <w:rPr>
          <w:rFonts w:ascii="Arial" w:hAnsi="Arial" w:cs="Arial"/>
          <w:color w:val="000000"/>
          <w:sz w:val="24"/>
          <w:szCs w:val="24"/>
        </w:rPr>
        <w:t xml:space="preserve">commotion </w:t>
      </w:r>
      <w:r w:rsidR="00C4722D" w:rsidRPr="00083C7B">
        <w:rPr>
          <w:rFonts w:ascii="Arial" w:hAnsi="Arial" w:cs="Arial"/>
          <w:color w:val="000000"/>
          <w:sz w:val="24"/>
          <w:szCs w:val="24"/>
        </w:rPr>
        <w:t xml:space="preserve">in the garage </w:t>
      </w:r>
      <w:r w:rsidRPr="00083C7B">
        <w:rPr>
          <w:rFonts w:ascii="Arial" w:hAnsi="Arial" w:cs="Arial"/>
          <w:color w:val="000000"/>
          <w:sz w:val="24"/>
          <w:szCs w:val="24"/>
        </w:rPr>
        <w:t>and alerted their security company who</w:t>
      </w:r>
      <w:r w:rsidR="00C4722D" w:rsidRPr="00083C7B">
        <w:rPr>
          <w:rFonts w:ascii="Arial" w:hAnsi="Arial" w:cs="Arial"/>
          <w:color w:val="000000"/>
          <w:sz w:val="24"/>
          <w:szCs w:val="24"/>
        </w:rPr>
        <w:t>, in turn,</w:t>
      </w:r>
      <w:r w:rsidRPr="00083C7B">
        <w:rPr>
          <w:rFonts w:ascii="Arial" w:hAnsi="Arial" w:cs="Arial"/>
          <w:color w:val="000000"/>
          <w:sz w:val="24"/>
          <w:szCs w:val="24"/>
        </w:rPr>
        <w:t xml:space="preserve"> alerted the police.</w:t>
      </w:r>
    </w:p>
    <w:p w14:paraId="6E05BA02" w14:textId="77777777" w:rsidR="00C4722D" w:rsidRPr="00083C7B" w:rsidRDefault="00C4722D" w:rsidP="00083C7B">
      <w:pPr>
        <w:pStyle w:val="ListParagraph"/>
        <w:widowControl w:val="0"/>
        <w:spacing w:after="0" w:line="360" w:lineRule="auto"/>
        <w:jc w:val="both"/>
        <w:rPr>
          <w:rFonts w:ascii="Arial" w:hAnsi="Arial" w:cs="Arial"/>
          <w:sz w:val="24"/>
          <w:szCs w:val="24"/>
          <w:lang w:val="en-US"/>
        </w:rPr>
      </w:pPr>
    </w:p>
    <w:p w14:paraId="0CCF5098" w14:textId="7DB17C2C" w:rsidR="00C4722D" w:rsidRPr="00083C7B" w:rsidRDefault="00DE2448"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Members</w:t>
      </w:r>
      <w:r w:rsidR="00C4722D" w:rsidRPr="00083C7B">
        <w:rPr>
          <w:rFonts w:ascii="Arial" w:hAnsi="Arial" w:cs="Arial"/>
          <w:color w:val="000000"/>
          <w:sz w:val="24"/>
          <w:szCs w:val="24"/>
        </w:rPr>
        <w:t xml:space="preserve"> </w:t>
      </w:r>
      <w:r w:rsidRPr="00083C7B">
        <w:rPr>
          <w:rFonts w:ascii="Arial" w:hAnsi="Arial" w:cs="Arial"/>
          <w:color w:val="000000"/>
          <w:sz w:val="24"/>
          <w:szCs w:val="24"/>
        </w:rPr>
        <w:t>of the South African Police Service arrived on the scene and were able to arres</w:t>
      </w:r>
      <w:r w:rsidR="00C4722D" w:rsidRPr="00083C7B">
        <w:rPr>
          <w:rFonts w:ascii="Arial" w:hAnsi="Arial" w:cs="Arial"/>
          <w:color w:val="000000"/>
          <w:sz w:val="24"/>
          <w:szCs w:val="24"/>
        </w:rPr>
        <w:t xml:space="preserve">t </w:t>
      </w:r>
      <w:r w:rsidRPr="00083C7B">
        <w:rPr>
          <w:rFonts w:ascii="Arial" w:hAnsi="Arial" w:cs="Arial"/>
          <w:color w:val="000000"/>
          <w:sz w:val="24"/>
          <w:szCs w:val="24"/>
        </w:rPr>
        <w:t xml:space="preserve">all </w:t>
      </w:r>
      <w:r w:rsidR="00C4722D" w:rsidRPr="00083C7B">
        <w:rPr>
          <w:rFonts w:ascii="Arial" w:hAnsi="Arial" w:cs="Arial"/>
          <w:color w:val="000000"/>
          <w:sz w:val="24"/>
          <w:szCs w:val="24"/>
        </w:rPr>
        <w:t>o</w:t>
      </w:r>
      <w:r w:rsidRPr="00083C7B">
        <w:rPr>
          <w:rFonts w:ascii="Arial" w:hAnsi="Arial" w:cs="Arial"/>
          <w:color w:val="000000"/>
          <w:sz w:val="24"/>
          <w:szCs w:val="24"/>
        </w:rPr>
        <w:t xml:space="preserve">f the accused while </w:t>
      </w:r>
      <w:r w:rsidR="00C4722D" w:rsidRPr="00083C7B">
        <w:rPr>
          <w:rFonts w:ascii="Arial" w:hAnsi="Arial" w:cs="Arial"/>
          <w:color w:val="000000"/>
          <w:sz w:val="24"/>
          <w:szCs w:val="24"/>
        </w:rPr>
        <w:t xml:space="preserve">they were still in the process of </w:t>
      </w:r>
      <w:r w:rsidRPr="00083C7B">
        <w:rPr>
          <w:rFonts w:ascii="Arial" w:hAnsi="Arial" w:cs="Arial"/>
          <w:color w:val="000000"/>
          <w:sz w:val="24"/>
          <w:szCs w:val="24"/>
        </w:rPr>
        <w:t xml:space="preserve">committing their crimes. </w:t>
      </w:r>
      <w:r w:rsidR="003D37C6" w:rsidRPr="00083C7B">
        <w:rPr>
          <w:rFonts w:ascii="Arial" w:hAnsi="Arial" w:cs="Arial"/>
          <w:color w:val="000000"/>
          <w:sz w:val="24"/>
          <w:szCs w:val="24"/>
        </w:rPr>
        <w:t>The appellant was found the feet of the deceased who was lying on the floor</w:t>
      </w:r>
      <w:r w:rsidR="00F81B83" w:rsidRPr="00083C7B">
        <w:rPr>
          <w:rFonts w:ascii="Arial" w:hAnsi="Arial" w:cs="Arial"/>
          <w:color w:val="000000"/>
          <w:sz w:val="24"/>
          <w:szCs w:val="24"/>
        </w:rPr>
        <w:t xml:space="preserve"> of the garage</w:t>
      </w:r>
      <w:r w:rsidR="003D37C6" w:rsidRPr="00083C7B">
        <w:rPr>
          <w:rFonts w:ascii="Arial" w:hAnsi="Arial" w:cs="Arial"/>
          <w:color w:val="000000"/>
          <w:sz w:val="24"/>
          <w:szCs w:val="24"/>
        </w:rPr>
        <w:t xml:space="preserve">; one of her co-accused was at his head.  </w:t>
      </w:r>
      <w:r w:rsidRPr="00083C7B">
        <w:rPr>
          <w:rFonts w:ascii="Arial" w:hAnsi="Arial" w:cs="Arial"/>
          <w:color w:val="000000"/>
          <w:sz w:val="24"/>
          <w:szCs w:val="24"/>
        </w:rPr>
        <w:t>The</w:t>
      </w:r>
      <w:r w:rsidR="00C4722D" w:rsidRPr="00083C7B">
        <w:rPr>
          <w:rFonts w:ascii="Arial" w:hAnsi="Arial" w:cs="Arial"/>
          <w:color w:val="000000"/>
          <w:sz w:val="24"/>
          <w:szCs w:val="24"/>
        </w:rPr>
        <w:t xml:space="preserve"> police</w:t>
      </w:r>
      <w:r w:rsidRPr="00083C7B">
        <w:rPr>
          <w:rFonts w:ascii="Arial" w:hAnsi="Arial" w:cs="Arial"/>
          <w:color w:val="000000"/>
          <w:sz w:val="24"/>
          <w:szCs w:val="24"/>
        </w:rPr>
        <w:t xml:space="preserve"> were unfortunately too</w:t>
      </w:r>
      <w:r w:rsidR="00C4722D" w:rsidRPr="00083C7B">
        <w:rPr>
          <w:rFonts w:ascii="Arial" w:hAnsi="Arial" w:cs="Arial"/>
          <w:color w:val="000000"/>
          <w:sz w:val="24"/>
          <w:szCs w:val="24"/>
        </w:rPr>
        <w:t xml:space="preserve"> </w:t>
      </w:r>
      <w:r w:rsidRPr="00083C7B">
        <w:rPr>
          <w:rFonts w:ascii="Arial" w:hAnsi="Arial" w:cs="Arial"/>
          <w:color w:val="000000"/>
          <w:sz w:val="24"/>
          <w:szCs w:val="24"/>
        </w:rPr>
        <w:t>late to save the deceased</w:t>
      </w:r>
      <w:r w:rsidR="00C4722D" w:rsidRPr="00083C7B">
        <w:rPr>
          <w:rFonts w:ascii="Arial" w:hAnsi="Arial" w:cs="Arial"/>
          <w:color w:val="000000"/>
          <w:sz w:val="24"/>
          <w:szCs w:val="24"/>
        </w:rPr>
        <w:t>,</w:t>
      </w:r>
      <w:r w:rsidRPr="00083C7B">
        <w:rPr>
          <w:rFonts w:ascii="Arial" w:hAnsi="Arial" w:cs="Arial"/>
          <w:color w:val="000000"/>
          <w:sz w:val="24"/>
          <w:szCs w:val="24"/>
        </w:rPr>
        <w:t xml:space="preserve"> who had died as a result of the assaults on him. The</w:t>
      </w:r>
      <w:r w:rsidR="00C4722D" w:rsidRPr="00083C7B">
        <w:rPr>
          <w:rFonts w:ascii="Arial" w:hAnsi="Arial" w:cs="Arial"/>
          <w:color w:val="000000"/>
          <w:sz w:val="24"/>
          <w:szCs w:val="24"/>
        </w:rPr>
        <w:t xml:space="preserve"> </w:t>
      </w:r>
      <w:r w:rsidRPr="00083C7B">
        <w:rPr>
          <w:rFonts w:ascii="Arial" w:hAnsi="Arial" w:cs="Arial"/>
          <w:i/>
          <w:iCs/>
          <w:color w:val="000000"/>
          <w:sz w:val="24"/>
          <w:szCs w:val="24"/>
        </w:rPr>
        <w:t>post mortem</w:t>
      </w:r>
      <w:r w:rsidRPr="00083C7B">
        <w:rPr>
          <w:rFonts w:ascii="Arial" w:hAnsi="Arial" w:cs="Arial"/>
          <w:color w:val="000000"/>
          <w:sz w:val="24"/>
          <w:szCs w:val="24"/>
        </w:rPr>
        <w:t xml:space="preserve"> examination revealed that the deceased died because of blunt force</w:t>
      </w:r>
      <w:r w:rsidR="00C4722D" w:rsidRPr="00083C7B">
        <w:rPr>
          <w:rFonts w:ascii="Arial" w:hAnsi="Arial" w:cs="Arial"/>
          <w:color w:val="000000"/>
          <w:sz w:val="24"/>
          <w:szCs w:val="24"/>
        </w:rPr>
        <w:t xml:space="preserve"> </w:t>
      </w:r>
      <w:r w:rsidRPr="00083C7B">
        <w:rPr>
          <w:rFonts w:ascii="Arial" w:hAnsi="Arial" w:cs="Arial"/>
          <w:color w:val="000000"/>
          <w:sz w:val="24"/>
          <w:szCs w:val="24"/>
        </w:rPr>
        <w:t>injuries to the head and chest.</w:t>
      </w:r>
    </w:p>
    <w:p w14:paraId="0A77E3C2" w14:textId="77777777" w:rsidR="00C4722D" w:rsidRPr="00083C7B" w:rsidRDefault="00C4722D" w:rsidP="00083C7B">
      <w:pPr>
        <w:pStyle w:val="ListParagraph"/>
        <w:widowControl w:val="0"/>
        <w:spacing w:after="0" w:line="360" w:lineRule="auto"/>
        <w:jc w:val="both"/>
        <w:rPr>
          <w:rFonts w:ascii="Arial" w:hAnsi="Arial" w:cs="Arial"/>
          <w:sz w:val="24"/>
          <w:szCs w:val="24"/>
          <w:lang w:val="en-US"/>
        </w:rPr>
      </w:pPr>
    </w:p>
    <w:p w14:paraId="6B3DE9FC" w14:textId="746E6FB4" w:rsidR="003D37C6" w:rsidRPr="00083C7B" w:rsidRDefault="003D37C6"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 xml:space="preserve">This was a carefully planned and premediated robbery. </w:t>
      </w:r>
      <w:r w:rsidR="00DE2448" w:rsidRPr="00083C7B">
        <w:rPr>
          <w:rFonts w:ascii="Arial" w:hAnsi="Arial" w:cs="Arial"/>
          <w:color w:val="000000"/>
          <w:sz w:val="24"/>
          <w:szCs w:val="24"/>
        </w:rPr>
        <w:t xml:space="preserve">A toy gun looking like a real firearm was found on the scene. The </w:t>
      </w:r>
      <w:r w:rsidRPr="00083C7B">
        <w:rPr>
          <w:rFonts w:ascii="Arial" w:hAnsi="Arial" w:cs="Arial"/>
          <w:color w:val="000000"/>
          <w:sz w:val="24"/>
          <w:szCs w:val="24"/>
        </w:rPr>
        <w:t xml:space="preserve">elderly </w:t>
      </w:r>
      <w:r w:rsidR="00DE2448" w:rsidRPr="00083C7B">
        <w:rPr>
          <w:rFonts w:ascii="Arial" w:hAnsi="Arial" w:cs="Arial"/>
          <w:color w:val="000000"/>
          <w:sz w:val="24"/>
          <w:szCs w:val="24"/>
        </w:rPr>
        <w:t>deceased was</w:t>
      </w:r>
      <w:r w:rsidRPr="00083C7B">
        <w:rPr>
          <w:rFonts w:ascii="Arial" w:hAnsi="Arial" w:cs="Arial"/>
          <w:color w:val="000000"/>
          <w:sz w:val="24"/>
          <w:szCs w:val="24"/>
        </w:rPr>
        <w:t xml:space="preserve"> </w:t>
      </w:r>
      <w:r w:rsidR="00DE2448" w:rsidRPr="00083C7B">
        <w:rPr>
          <w:rFonts w:ascii="Arial" w:hAnsi="Arial" w:cs="Arial"/>
          <w:color w:val="000000"/>
          <w:sz w:val="24"/>
          <w:szCs w:val="24"/>
        </w:rPr>
        <w:t xml:space="preserve">tied </w:t>
      </w:r>
      <w:r w:rsidRPr="00083C7B">
        <w:rPr>
          <w:rFonts w:ascii="Arial" w:hAnsi="Arial" w:cs="Arial"/>
          <w:color w:val="000000"/>
          <w:sz w:val="24"/>
          <w:szCs w:val="24"/>
        </w:rPr>
        <w:t xml:space="preserve">up </w:t>
      </w:r>
      <w:r w:rsidR="00DE2448" w:rsidRPr="00083C7B">
        <w:rPr>
          <w:rFonts w:ascii="Arial" w:hAnsi="Arial" w:cs="Arial"/>
          <w:color w:val="000000"/>
          <w:sz w:val="24"/>
          <w:szCs w:val="24"/>
        </w:rPr>
        <w:t>and badly</w:t>
      </w:r>
      <w:r w:rsidRPr="00083C7B">
        <w:rPr>
          <w:rFonts w:ascii="Arial" w:hAnsi="Arial" w:cs="Arial"/>
          <w:color w:val="000000"/>
          <w:sz w:val="24"/>
          <w:szCs w:val="24"/>
        </w:rPr>
        <w:t xml:space="preserve"> </w:t>
      </w:r>
      <w:r w:rsidR="00DE2448" w:rsidRPr="00083C7B">
        <w:rPr>
          <w:rFonts w:ascii="Arial" w:hAnsi="Arial" w:cs="Arial"/>
          <w:color w:val="000000"/>
          <w:sz w:val="24"/>
          <w:szCs w:val="24"/>
        </w:rPr>
        <w:t xml:space="preserve">assaulted. </w:t>
      </w:r>
      <w:r w:rsidR="00E70C83" w:rsidRPr="00083C7B">
        <w:rPr>
          <w:rFonts w:ascii="Arial" w:hAnsi="Arial" w:cs="Arial"/>
          <w:color w:val="000000"/>
          <w:sz w:val="24"/>
          <w:szCs w:val="24"/>
        </w:rPr>
        <w:t xml:space="preserve">He had Scotch tape over his mouth.  </w:t>
      </w:r>
      <w:r w:rsidR="00DE2448" w:rsidRPr="00083C7B">
        <w:rPr>
          <w:rFonts w:ascii="Arial" w:hAnsi="Arial" w:cs="Arial"/>
          <w:color w:val="000000"/>
          <w:sz w:val="24"/>
          <w:szCs w:val="24"/>
        </w:rPr>
        <w:t>One of the accused were wearing a police reflector jacket</w:t>
      </w:r>
      <w:r w:rsidR="00C5076C" w:rsidRPr="00083C7B">
        <w:rPr>
          <w:rFonts w:ascii="Arial" w:hAnsi="Arial" w:cs="Arial"/>
          <w:color w:val="000000"/>
          <w:sz w:val="24"/>
          <w:szCs w:val="24"/>
        </w:rPr>
        <w:t>, and all of the accused had gloves on</w:t>
      </w:r>
      <w:r w:rsidR="00DE2448" w:rsidRPr="00083C7B">
        <w:rPr>
          <w:rFonts w:ascii="Arial" w:hAnsi="Arial" w:cs="Arial"/>
          <w:color w:val="000000"/>
          <w:sz w:val="24"/>
          <w:szCs w:val="24"/>
        </w:rPr>
        <w:t>. The accused</w:t>
      </w:r>
      <w:r w:rsidRPr="00083C7B">
        <w:rPr>
          <w:rFonts w:ascii="Arial" w:hAnsi="Arial" w:cs="Arial"/>
          <w:color w:val="000000"/>
          <w:sz w:val="24"/>
          <w:szCs w:val="24"/>
        </w:rPr>
        <w:t xml:space="preserve"> </w:t>
      </w:r>
      <w:r w:rsidR="00DE2448" w:rsidRPr="00083C7B">
        <w:rPr>
          <w:rFonts w:ascii="Arial" w:hAnsi="Arial" w:cs="Arial"/>
          <w:color w:val="000000"/>
          <w:sz w:val="24"/>
          <w:szCs w:val="24"/>
        </w:rPr>
        <w:t>were all staying in Gugulet</w:t>
      </w:r>
      <w:r w:rsidRPr="00083C7B">
        <w:rPr>
          <w:rFonts w:ascii="Arial" w:hAnsi="Arial" w:cs="Arial"/>
          <w:color w:val="000000"/>
          <w:sz w:val="24"/>
          <w:szCs w:val="24"/>
        </w:rPr>
        <w:t>h</w:t>
      </w:r>
      <w:r w:rsidR="00DE2448" w:rsidRPr="00083C7B">
        <w:rPr>
          <w:rFonts w:ascii="Arial" w:hAnsi="Arial" w:cs="Arial"/>
          <w:color w:val="000000"/>
          <w:sz w:val="24"/>
          <w:szCs w:val="24"/>
        </w:rPr>
        <w:t xml:space="preserve">u and had no business </w:t>
      </w:r>
      <w:r w:rsidRPr="00083C7B">
        <w:rPr>
          <w:rFonts w:ascii="Arial" w:hAnsi="Arial" w:cs="Arial"/>
          <w:color w:val="000000"/>
          <w:sz w:val="24"/>
          <w:szCs w:val="24"/>
        </w:rPr>
        <w:t xml:space="preserve">to attend to </w:t>
      </w:r>
      <w:r w:rsidR="00DE2448" w:rsidRPr="00083C7B">
        <w:rPr>
          <w:rFonts w:ascii="Arial" w:hAnsi="Arial" w:cs="Arial"/>
          <w:color w:val="000000"/>
          <w:sz w:val="24"/>
          <w:szCs w:val="24"/>
        </w:rPr>
        <w:t>in the area where the deceased</w:t>
      </w:r>
      <w:r w:rsidRPr="00083C7B">
        <w:rPr>
          <w:rFonts w:ascii="Arial" w:hAnsi="Arial" w:cs="Arial"/>
          <w:color w:val="000000"/>
          <w:sz w:val="24"/>
          <w:szCs w:val="24"/>
        </w:rPr>
        <w:t xml:space="preserve"> </w:t>
      </w:r>
      <w:r w:rsidR="00DE2448" w:rsidRPr="00083C7B">
        <w:rPr>
          <w:rFonts w:ascii="Arial" w:hAnsi="Arial" w:cs="Arial"/>
          <w:color w:val="000000"/>
          <w:sz w:val="24"/>
          <w:szCs w:val="24"/>
        </w:rPr>
        <w:t xml:space="preserve">was killed. </w:t>
      </w:r>
    </w:p>
    <w:p w14:paraId="41E32577" w14:textId="77777777" w:rsidR="003D37C6" w:rsidRPr="00083C7B" w:rsidRDefault="003D37C6" w:rsidP="00083C7B">
      <w:pPr>
        <w:pStyle w:val="ListParagraph"/>
        <w:widowControl w:val="0"/>
        <w:spacing w:after="0" w:line="360" w:lineRule="auto"/>
        <w:jc w:val="both"/>
        <w:rPr>
          <w:rFonts w:ascii="Arial" w:hAnsi="Arial" w:cs="Arial"/>
          <w:sz w:val="24"/>
          <w:szCs w:val="24"/>
          <w:lang w:val="en-US"/>
        </w:rPr>
      </w:pPr>
    </w:p>
    <w:p w14:paraId="69EDD23D" w14:textId="778699E8" w:rsidR="00F81B83" w:rsidRPr="00083C7B" w:rsidRDefault="00F81B83"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As mentioned, t</w:t>
      </w:r>
      <w:r w:rsidR="00DE2448" w:rsidRPr="00083C7B">
        <w:rPr>
          <w:rFonts w:ascii="Arial" w:hAnsi="Arial" w:cs="Arial"/>
          <w:color w:val="000000"/>
          <w:sz w:val="24"/>
          <w:szCs w:val="24"/>
        </w:rPr>
        <w:t>he appellant was arrested inside the garage where the deceased was lying, tied</w:t>
      </w:r>
      <w:r w:rsidRPr="00083C7B">
        <w:rPr>
          <w:rFonts w:ascii="Arial" w:hAnsi="Arial" w:cs="Arial"/>
          <w:color w:val="000000"/>
          <w:sz w:val="24"/>
          <w:szCs w:val="24"/>
        </w:rPr>
        <w:t xml:space="preserve"> </w:t>
      </w:r>
      <w:r w:rsidR="00C5076C" w:rsidRPr="00083C7B">
        <w:rPr>
          <w:rFonts w:ascii="Arial" w:hAnsi="Arial" w:cs="Arial"/>
          <w:color w:val="000000"/>
          <w:sz w:val="24"/>
          <w:szCs w:val="24"/>
        </w:rPr>
        <w:t xml:space="preserve">with cables, </w:t>
      </w:r>
      <w:r w:rsidRPr="00083C7B">
        <w:rPr>
          <w:rFonts w:ascii="Arial" w:hAnsi="Arial" w:cs="Arial"/>
          <w:color w:val="000000"/>
          <w:sz w:val="24"/>
          <w:szCs w:val="24"/>
        </w:rPr>
        <w:t>and beaten.</w:t>
      </w:r>
      <w:r w:rsidR="00DE2448" w:rsidRPr="00083C7B">
        <w:rPr>
          <w:rFonts w:ascii="Arial" w:hAnsi="Arial" w:cs="Arial"/>
          <w:color w:val="000000"/>
          <w:sz w:val="24"/>
          <w:szCs w:val="24"/>
        </w:rPr>
        <w:t xml:space="preserve"> </w:t>
      </w:r>
      <w:r w:rsidRPr="00083C7B">
        <w:rPr>
          <w:rFonts w:ascii="Arial" w:hAnsi="Arial" w:cs="Arial"/>
          <w:color w:val="000000"/>
          <w:sz w:val="24"/>
          <w:szCs w:val="24"/>
        </w:rPr>
        <w:t xml:space="preserve"> </w:t>
      </w:r>
      <w:r w:rsidR="00C5076C" w:rsidRPr="00083C7B">
        <w:rPr>
          <w:rFonts w:ascii="Arial" w:hAnsi="Arial" w:cs="Arial"/>
          <w:color w:val="000000"/>
          <w:sz w:val="24"/>
          <w:szCs w:val="24"/>
        </w:rPr>
        <w:t>T</w:t>
      </w:r>
      <w:r w:rsidR="00DE2448" w:rsidRPr="00083C7B">
        <w:rPr>
          <w:rFonts w:ascii="Arial" w:hAnsi="Arial" w:cs="Arial"/>
          <w:color w:val="000000"/>
          <w:sz w:val="24"/>
          <w:szCs w:val="24"/>
        </w:rPr>
        <w:t xml:space="preserve">he </w:t>
      </w:r>
      <w:r w:rsidR="00C5076C" w:rsidRPr="00083C7B">
        <w:rPr>
          <w:rFonts w:ascii="Arial" w:hAnsi="Arial" w:cs="Arial"/>
          <w:color w:val="000000"/>
          <w:sz w:val="24"/>
          <w:szCs w:val="24"/>
        </w:rPr>
        <w:t xml:space="preserve">appellant </w:t>
      </w:r>
      <w:r w:rsidR="00DE2448" w:rsidRPr="00083C7B">
        <w:rPr>
          <w:rFonts w:ascii="Arial" w:hAnsi="Arial" w:cs="Arial"/>
          <w:color w:val="000000"/>
          <w:sz w:val="24"/>
          <w:szCs w:val="24"/>
        </w:rPr>
        <w:t>was busy with his feet</w:t>
      </w:r>
      <w:r w:rsidR="00C5076C" w:rsidRPr="00083C7B">
        <w:rPr>
          <w:rFonts w:ascii="Arial" w:hAnsi="Arial" w:cs="Arial"/>
          <w:color w:val="000000"/>
          <w:sz w:val="24"/>
          <w:szCs w:val="24"/>
        </w:rPr>
        <w:t>, apparently tying them together</w:t>
      </w:r>
      <w:r w:rsidR="00DE2448" w:rsidRPr="00083C7B">
        <w:rPr>
          <w:rFonts w:ascii="Arial" w:hAnsi="Arial" w:cs="Arial"/>
          <w:color w:val="000000"/>
          <w:sz w:val="24"/>
          <w:szCs w:val="24"/>
        </w:rPr>
        <w:t xml:space="preserve">. One of </w:t>
      </w:r>
      <w:r w:rsidRPr="00083C7B">
        <w:rPr>
          <w:rFonts w:ascii="Arial" w:hAnsi="Arial" w:cs="Arial"/>
          <w:color w:val="000000"/>
          <w:sz w:val="24"/>
          <w:szCs w:val="24"/>
        </w:rPr>
        <w:t>her co-</w:t>
      </w:r>
      <w:r w:rsidR="00DE2448" w:rsidRPr="00083C7B">
        <w:rPr>
          <w:rFonts w:ascii="Arial" w:hAnsi="Arial" w:cs="Arial"/>
          <w:color w:val="000000"/>
          <w:sz w:val="24"/>
          <w:szCs w:val="24"/>
        </w:rPr>
        <w:t>accused kept a loo</w:t>
      </w:r>
      <w:r w:rsidRPr="00083C7B">
        <w:rPr>
          <w:rFonts w:ascii="Arial" w:hAnsi="Arial" w:cs="Arial"/>
          <w:color w:val="000000"/>
          <w:sz w:val="24"/>
          <w:szCs w:val="24"/>
        </w:rPr>
        <w:t>k</w:t>
      </w:r>
      <w:r w:rsidR="00DE2448" w:rsidRPr="00083C7B">
        <w:rPr>
          <w:rFonts w:ascii="Arial" w:hAnsi="Arial" w:cs="Arial"/>
          <w:color w:val="000000"/>
          <w:sz w:val="24"/>
          <w:szCs w:val="24"/>
        </w:rPr>
        <w:t xml:space="preserve">out to see if anybody </w:t>
      </w:r>
      <w:r w:rsidRPr="00083C7B">
        <w:rPr>
          <w:rFonts w:ascii="Arial" w:hAnsi="Arial" w:cs="Arial"/>
          <w:color w:val="000000"/>
          <w:sz w:val="24"/>
          <w:szCs w:val="24"/>
        </w:rPr>
        <w:t>wa</w:t>
      </w:r>
      <w:r w:rsidR="00DE2448" w:rsidRPr="00083C7B">
        <w:rPr>
          <w:rFonts w:ascii="Arial" w:hAnsi="Arial" w:cs="Arial"/>
          <w:color w:val="000000"/>
          <w:sz w:val="24"/>
          <w:szCs w:val="24"/>
        </w:rPr>
        <w:t xml:space="preserve">s coming. The </w:t>
      </w:r>
      <w:r w:rsidRPr="00083C7B">
        <w:rPr>
          <w:rFonts w:ascii="Arial" w:hAnsi="Arial" w:cs="Arial"/>
          <w:color w:val="000000"/>
          <w:sz w:val="24"/>
          <w:szCs w:val="24"/>
        </w:rPr>
        <w:t>third</w:t>
      </w:r>
      <w:r w:rsidR="00DE2448" w:rsidRPr="00083C7B">
        <w:rPr>
          <w:rFonts w:ascii="Arial" w:hAnsi="Arial" w:cs="Arial"/>
          <w:color w:val="000000"/>
          <w:sz w:val="24"/>
          <w:szCs w:val="24"/>
        </w:rPr>
        <w:t xml:space="preserve"> accused was inside the deceased's</w:t>
      </w:r>
      <w:r w:rsidRPr="00083C7B">
        <w:rPr>
          <w:rFonts w:ascii="Arial" w:hAnsi="Arial" w:cs="Arial"/>
          <w:color w:val="000000"/>
          <w:sz w:val="24"/>
          <w:szCs w:val="24"/>
        </w:rPr>
        <w:t xml:space="preserve"> </w:t>
      </w:r>
      <w:r w:rsidR="00DE2448" w:rsidRPr="00083C7B">
        <w:rPr>
          <w:rFonts w:ascii="Arial" w:hAnsi="Arial" w:cs="Arial"/>
          <w:color w:val="000000"/>
          <w:sz w:val="24"/>
          <w:szCs w:val="24"/>
        </w:rPr>
        <w:t>vehicle</w:t>
      </w:r>
      <w:r w:rsidR="00C5076C" w:rsidRPr="00083C7B">
        <w:rPr>
          <w:rFonts w:ascii="Arial" w:hAnsi="Arial" w:cs="Arial"/>
          <w:color w:val="000000"/>
          <w:sz w:val="24"/>
          <w:szCs w:val="24"/>
        </w:rPr>
        <w:t>.  His clothes ere bloodstained</w:t>
      </w:r>
      <w:r w:rsidR="00DE2448" w:rsidRPr="00083C7B">
        <w:rPr>
          <w:rFonts w:ascii="Arial" w:hAnsi="Arial" w:cs="Arial"/>
          <w:color w:val="000000"/>
          <w:sz w:val="24"/>
          <w:szCs w:val="24"/>
        </w:rPr>
        <w:t>. The fourth accused was busy with the upper body of the deceased. The</w:t>
      </w:r>
      <w:r w:rsidRPr="00083C7B">
        <w:rPr>
          <w:rFonts w:ascii="Arial" w:hAnsi="Arial" w:cs="Arial"/>
          <w:color w:val="000000"/>
          <w:sz w:val="24"/>
          <w:szCs w:val="24"/>
        </w:rPr>
        <w:t xml:space="preserve"> </w:t>
      </w:r>
      <w:r w:rsidR="00DE2448" w:rsidRPr="00083C7B">
        <w:rPr>
          <w:rFonts w:ascii="Arial" w:hAnsi="Arial" w:cs="Arial"/>
          <w:color w:val="000000"/>
          <w:sz w:val="24"/>
          <w:szCs w:val="24"/>
        </w:rPr>
        <w:t xml:space="preserve">deceased died </w:t>
      </w:r>
      <w:r w:rsidRPr="00083C7B">
        <w:rPr>
          <w:rFonts w:ascii="Arial" w:hAnsi="Arial" w:cs="Arial"/>
          <w:color w:val="000000"/>
          <w:sz w:val="24"/>
          <w:szCs w:val="24"/>
        </w:rPr>
        <w:t>on the scene</w:t>
      </w:r>
      <w:r w:rsidR="00DE2448" w:rsidRPr="00083C7B">
        <w:rPr>
          <w:rFonts w:ascii="Arial" w:hAnsi="Arial" w:cs="Arial"/>
          <w:color w:val="000000"/>
          <w:sz w:val="24"/>
          <w:szCs w:val="24"/>
        </w:rPr>
        <w:t>.</w:t>
      </w:r>
    </w:p>
    <w:p w14:paraId="248A6DC7" w14:textId="77777777" w:rsidR="00F81B83" w:rsidRPr="00083C7B" w:rsidRDefault="00F81B83" w:rsidP="00083C7B">
      <w:pPr>
        <w:pStyle w:val="ListParagraph"/>
        <w:widowControl w:val="0"/>
        <w:spacing w:after="0" w:line="360" w:lineRule="auto"/>
        <w:jc w:val="both"/>
        <w:rPr>
          <w:rFonts w:ascii="Arial" w:hAnsi="Arial" w:cs="Arial"/>
          <w:sz w:val="24"/>
          <w:szCs w:val="24"/>
          <w:lang w:val="en-US"/>
        </w:rPr>
      </w:pPr>
    </w:p>
    <w:p w14:paraId="0806A0AE" w14:textId="3BE60FF4" w:rsidR="004868FA" w:rsidRPr="00083C7B" w:rsidRDefault="00DE2448"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 xml:space="preserve">Bail was opposed </w:t>
      </w:r>
      <w:r w:rsidR="00F81B83" w:rsidRPr="00083C7B">
        <w:rPr>
          <w:rFonts w:ascii="Arial" w:hAnsi="Arial" w:cs="Arial"/>
          <w:color w:val="000000"/>
          <w:sz w:val="24"/>
          <w:szCs w:val="24"/>
        </w:rPr>
        <w:t>for the following reasons</w:t>
      </w:r>
      <w:r w:rsidR="00FB27C9" w:rsidRPr="00083C7B">
        <w:rPr>
          <w:rFonts w:ascii="Arial" w:hAnsi="Arial" w:cs="Arial"/>
          <w:color w:val="000000"/>
          <w:sz w:val="24"/>
          <w:szCs w:val="24"/>
        </w:rPr>
        <w:t>:</w:t>
      </w:r>
    </w:p>
    <w:p w14:paraId="3847B859" w14:textId="77777777" w:rsidR="00B53302" w:rsidRPr="00083C7B" w:rsidRDefault="00B53302" w:rsidP="00083C7B">
      <w:pPr>
        <w:pStyle w:val="ListParagraph"/>
        <w:widowControl w:val="0"/>
        <w:spacing w:after="0" w:line="360" w:lineRule="auto"/>
        <w:ind w:left="1440"/>
        <w:jc w:val="both"/>
        <w:rPr>
          <w:rFonts w:ascii="Arial" w:hAnsi="Arial" w:cs="Arial"/>
          <w:sz w:val="24"/>
          <w:szCs w:val="24"/>
          <w:lang w:val="en-US"/>
        </w:rPr>
      </w:pPr>
    </w:p>
    <w:p w14:paraId="01389C72" w14:textId="77777777" w:rsidR="00D31B5A" w:rsidRPr="00083C7B" w:rsidRDefault="00DE2448" w:rsidP="00083C7B">
      <w:pPr>
        <w:pStyle w:val="ListParagraph"/>
        <w:widowControl w:val="0"/>
        <w:numPr>
          <w:ilvl w:val="1"/>
          <w:numId w:val="4"/>
        </w:numPr>
        <w:spacing w:after="0" w:line="360" w:lineRule="auto"/>
        <w:jc w:val="both"/>
        <w:rPr>
          <w:rFonts w:ascii="Arial" w:hAnsi="Arial" w:cs="Arial"/>
          <w:sz w:val="24"/>
          <w:szCs w:val="24"/>
          <w:lang w:val="en-US"/>
        </w:rPr>
      </w:pPr>
      <w:r w:rsidRPr="00083C7B">
        <w:rPr>
          <w:rFonts w:ascii="Arial" w:hAnsi="Arial" w:cs="Arial"/>
          <w:color w:val="000000"/>
          <w:sz w:val="24"/>
          <w:szCs w:val="24"/>
        </w:rPr>
        <w:t>The seriousness of the offence</w:t>
      </w:r>
      <w:r w:rsidR="00B53302" w:rsidRPr="00083C7B">
        <w:rPr>
          <w:rFonts w:ascii="Arial" w:hAnsi="Arial" w:cs="Arial"/>
          <w:color w:val="000000"/>
          <w:sz w:val="24"/>
          <w:szCs w:val="24"/>
        </w:rPr>
        <w:t xml:space="preserve">s, which carry heavy penalties. Murder </w:t>
      </w:r>
      <w:r w:rsidR="00B53302" w:rsidRPr="00083C7B">
        <w:rPr>
          <w:rFonts w:ascii="Arial" w:hAnsi="Arial" w:cs="Arial"/>
          <w:color w:val="000000"/>
          <w:sz w:val="24"/>
          <w:szCs w:val="24"/>
        </w:rPr>
        <w:lastRenderedPageBreak/>
        <w:t>and attempted robbery with aggravating circumstances are all too prevalent offences within the jurisdiction of this Court in general.  In the circumstances in which these crimes have been committed, a minimum sentence of life imprisonment would apply if the State proved common purpose. Even if the Court does not impose the prescribed minimum sentences, the appellant is still facing long-term imprisonment.</w:t>
      </w:r>
    </w:p>
    <w:p w14:paraId="06E46E45" w14:textId="77777777" w:rsidR="00D31B5A" w:rsidRPr="00083C7B" w:rsidRDefault="00D31B5A" w:rsidP="00083C7B">
      <w:pPr>
        <w:pStyle w:val="ListParagraph"/>
        <w:widowControl w:val="0"/>
        <w:spacing w:after="0" w:line="360" w:lineRule="auto"/>
        <w:ind w:left="1440"/>
        <w:jc w:val="both"/>
        <w:rPr>
          <w:rFonts w:ascii="Arial" w:hAnsi="Arial" w:cs="Arial"/>
          <w:sz w:val="24"/>
          <w:szCs w:val="24"/>
          <w:lang w:val="en-US"/>
        </w:rPr>
      </w:pPr>
    </w:p>
    <w:p w14:paraId="5962355E" w14:textId="2A61D51B" w:rsidR="00D31B5A" w:rsidRPr="00083C7B" w:rsidRDefault="00DE2448" w:rsidP="00083C7B">
      <w:pPr>
        <w:pStyle w:val="ListParagraph"/>
        <w:widowControl w:val="0"/>
        <w:numPr>
          <w:ilvl w:val="1"/>
          <w:numId w:val="4"/>
        </w:numPr>
        <w:spacing w:after="0" w:line="360" w:lineRule="auto"/>
        <w:jc w:val="both"/>
        <w:rPr>
          <w:rFonts w:ascii="Arial" w:hAnsi="Arial" w:cs="Arial"/>
          <w:sz w:val="24"/>
          <w:szCs w:val="24"/>
          <w:lang w:val="en-US"/>
        </w:rPr>
      </w:pPr>
      <w:r w:rsidRPr="00083C7B">
        <w:rPr>
          <w:rFonts w:ascii="Arial" w:hAnsi="Arial" w:cs="Arial"/>
          <w:color w:val="000000"/>
          <w:sz w:val="24"/>
          <w:szCs w:val="24"/>
        </w:rPr>
        <w:t xml:space="preserve">The </w:t>
      </w:r>
      <w:r w:rsidR="00D31B5A" w:rsidRPr="00083C7B">
        <w:rPr>
          <w:rFonts w:ascii="Arial" w:hAnsi="Arial" w:cs="Arial"/>
          <w:color w:val="000000"/>
          <w:sz w:val="24"/>
          <w:szCs w:val="24"/>
        </w:rPr>
        <w:t xml:space="preserve">brutal </w:t>
      </w:r>
      <w:r w:rsidRPr="00083C7B">
        <w:rPr>
          <w:rFonts w:ascii="Arial" w:hAnsi="Arial" w:cs="Arial"/>
          <w:color w:val="000000"/>
          <w:sz w:val="24"/>
          <w:szCs w:val="24"/>
        </w:rPr>
        <w:t xml:space="preserve">manner in which </w:t>
      </w:r>
      <w:r w:rsidR="00B53302" w:rsidRPr="00083C7B">
        <w:rPr>
          <w:rFonts w:ascii="Arial" w:hAnsi="Arial" w:cs="Arial"/>
          <w:color w:val="000000"/>
          <w:sz w:val="24"/>
          <w:szCs w:val="24"/>
        </w:rPr>
        <w:t>the crimes were</w:t>
      </w:r>
      <w:r w:rsidRPr="00083C7B">
        <w:rPr>
          <w:rFonts w:ascii="Arial" w:hAnsi="Arial" w:cs="Arial"/>
          <w:color w:val="000000"/>
          <w:sz w:val="24"/>
          <w:szCs w:val="24"/>
        </w:rPr>
        <w:t xml:space="preserve"> co</w:t>
      </w:r>
      <w:r w:rsidR="00FB27C9" w:rsidRPr="00083C7B">
        <w:rPr>
          <w:rFonts w:ascii="Arial" w:hAnsi="Arial" w:cs="Arial"/>
          <w:color w:val="000000"/>
          <w:sz w:val="24"/>
          <w:szCs w:val="24"/>
        </w:rPr>
        <w:t>mmit</w:t>
      </w:r>
      <w:r w:rsidR="00B53302" w:rsidRPr="00083C7B">
        <w:rPr>
          <w:rFonts w:ascii="Arial" w:hAnsi="Arial" w:cs="Arial"/>
          <w:color w:val="000000"/>
          <w:sz w:val="24"/>
          <w:szCs w:val="24"/>
        </w:rPr>
        <w:t>t</w:t>
      </w:r>
      <w:r w:rsidRPr="00083C7B">
        <w:rPr>
          <w:rFonts w:ascii="Arial" w:hAnsi="Arial" w:cs="Arial"/>
          <w:color w:val="000000"/>
          <w:sz w:val="24"/>
          <w:szCs w:val="24"/>
        </w:rPr>
        <w:t>ed.</w:t>
      </w:r>
      <w:r w:rsidR="00D31B5A" w:rsidRPr="00083C7B">
        <w:rPr>
          <w:rFonts w:ascii="Arial" w:hAnsi="Arial" w:cs="Arial"/>
          <w:color w:val="000000"/>
          <w:sz w:val="24"/>
          <w:szCs w:val="24"/>
        </w:rPr>
        <w:t xml:space="preserve">  They were carefully planned and pre-meditated and w</w:t>
      </w:r>
      <w:r w:rsidR="00E444DB">
        <w:rPr>
          <w:rFonts w:ascii="Arial" w:hAnsi="Arial" w:cs="Arial"/>
          <w:color w:val="000000"/>
          <w:sz w:val="24"/>
          <w:szCs w:val="24"/>
        </w:rPr>
        <w:t>ere</w:t>
      </w:r>
      <w:r w:rsidR="00D31B5A" w:rsidRPr="00083C7B">
        <w:rPr>
          <w:rFonts w:ascii="Arial" w:hAnsi="Arial" w:cs="Arial"/>
          <w:color w:val="000000"/>
          <w:sz w:val="24"/>
          <w:szCs w:val="24"/>
        </w:rPr>
        <w:t xml:space="preserve"> committed by a group of four persons acting on the execution of furtherance of a common purpose.</w:t>
      </w:r>
      <w:r w:rsidR="00C5076C" w:rsidRPr="00083C7B">
        <w:rPr>
          <w:rFonts w:ascii="Arial" w:hAnsi="Arial" w:cs="Arial"/>
          <w:color w:val="000000"/>
          <w:sz w:val="24"/>
          <w:szCs w:val="24"/>
        </w:rPr>
        <w:t xml:space="preserve"> </w:t>
      </w:r>
    </w:p>
    <w:p w14:paraId="20B9F7BF" w14:textId="77777777" w:rsidR="00B53302" w:rsidRPr="00083C7B" w:rsidRDefault="00B53302" w:rsidP="00083C7B">
      <w:pPr>
        <w:pStyle w:val="ListParagraph"/>
        <w:widowControl w:val="0"/>
        <w:spacing w:after="0" w:line="360" w:lineRule="auto"/>
        <w:ind w:left="1440"/>
        <w:jc w:val="both"/>
        <w:rPr>
          <w:rFonts w:ascii="Arial" w:hAnsi="Arial" w:cs="Arial"/>
          <w:sz w:val="24"/>
          <w:szCs w:val="24"/>
          <w:lang w:val="en-US"/>
        </w:rPr>
      </w:pPr>
    </w:p>
    <w:p w14:paraId="199FB15B" w14:textId="78E7E300" w:rsidR="004868FA" w:rsidRPr="00083C7B" w:rsidRDefault="00DE2448" w:rsidP="00083C7B">
      <w:pPr>
        <w:pStyle w:val="ListParagraph"/>
        <w:widowControl w:val="0"/>
        <w:numPr>
          <w:ilvl w:val="1"/>
          <w:numId w:val="4"/>
        </w:numPr>
        <w:spacing w:after="0" w:line="360" w:lineRule="auto"/>
        <w:jc w:val="both"/>
        <w:rPr>
          <w:rFonts w:ascii="Arial" w:hAnsi="Arial" w:cs="Arial"/>
          <w:sz w:val="24"/>
          <w:szCs w:val="24"/>
          <w:lang w:val="en-US"/>
        </w:rPr>
      </w:pPr>
      <w:r w:rsidRPr="00083C7B">
        <w:rPr>
          <w:rFonts w:ascii="Arial" w:hAnsi="Arial" w:cs="Arial"/>
          <w:color w:val="000000"/>
          <w:sz w:val="24"/>
          <w:szCs w:val="24"/>
        </w:rPr>
        <w:t>The a</w:t>
      </w:r>
      <w:r w:rsidR="00FB27C9" w:rsidRPr="00083C7B">
        <w:rPr>
          <w:rFonts w:ascii="Arial" w:hAnsi="Arial" w:cs="Arial"/>
          <w:color w:val="000000"/>
          <w:sz w:val="24"/>
          <w:szCs w:val="24"/>
        </w:rPr>
        <w:t>ppellant</w:t>
      </w:r>
      <w:r w:rsidRPr="00083C7B">
        <w:rPr>
          <w:rFonts w:ascii="Arial" w:hAnsi="Arial" w:cs="Arial"/>
          <w:color w:val="000000"/>
          <w:sz w:val="24"/>
          <w:szCs w:val="24"/>
        </w:rPr>
        <w:t xml:space="preserve"> knows where the victims stay. </w:t>
      </w:r>
      <w:r w:rsidR="00B53302" w:rsidRPr="00083C7B">
        <w:rPr>
          <w:rFonts w:ascii="Arial" w:hAnsi="Arial" w:cs="Arial"/>
          <w:color w:val="000000"/>
          <w:sz w:val="24"/>
          <w:szCs w:val="24"/>
        </w:rPr>
        <w:t xml:space="preserve"> There is thus a likelihood that she will endanger the safety of the State’s witnesses.  </w:t>
      </w:r>
      <w:r w:rsidRPr="00083C7B">
        <w:rPr>
          <w:rFonts w:ascii="Arial" w:hAnsi="Arial" w:cs="Arial"/>
          <w:color w:val="000000"/>
          <w:sz w:val="24"/>
          <w:szCs w:val="24"/>
        </w:rPr>
        <w:t>The deceased's wife still</w:t>
      </w:r>
      <w:r w:rsidR="004868FA" w:rsidRPr="00083C7B">
        <w:rPr>
          <w:rFonts w:ascii="Arial" w:hAnsi="Arial" w:cs="Arial"/>
          <w:color w:val="000000"/>
          <w:sz w:val="24"/>
          <w:szCs w:val="24"/>
        </w:rPr>
        <w:t xml:space="preserve"> </w:t>
      </w:r>
      <w:r w:rsidRPr="00083C7B">
        <w:rPr>
          <w:rFonts w:ascii="Arial" w:hAnsi="Arial" w:cs="Arial"/>
          <w:color w:val="000000"/>
          <w:sz w:val="24"/>
          <w:szCs w:val="24"/>
        </w:rPr>
        <w:t>lives in the same house where her husband was murdered.</w:t>
      </w:r>
    </w:p>
    <w:p w14:paraId="1099478C" w14:textId="77777777" w:rsidR="00B53302" w:rsidRPr="00083C7B" w:rsidRDefault="00B53302" w:rsidP="00083C7B">
      <w:pPr>
        <w:pStyle w:val="ListParagraph"/>
        <w:widowControl w:val="0"/>
        <w:spacing w:after="0" w:line="360" w:lineRule="auto"/>
        <w:ind w:left="1440"/>
        <w:jc w:val="both"/>
        <w:rPr>
          <w:rFonts w:ascii="Arial" w:hAnsi="Arial" w:cs="Arial"/>
          <w:sz w:val="24"/>
          <w:szCs w:val="24"/>
          <w:lang w:val="en-US"/>
        </w:rPr>
      </w:pPr>
    </w:p>
    <w:p w14:paraId="7F7B58FC" w14:textId="3AAACBF3" w:rsidR="004868FA" w:rsidRPr="00083C7B" w:rsidRDefault="00DE2448" w:rsidP="00083C7B">
      <w:pPr>
        <w:pStyle w:val="ListParagraph"/>
        <w:widowControl w:val="0"/>
        <w:numPr>
          <w:ilvl w:val="1"/>
          <w:numId w:val="4"/>
        </w:numPr>
        <w:spacing w:after="0" w:line="360" w:lineRule="auto"/>
        <w:jc w:val="both"/>
        <w:rPr>
          <w:rFonts w:ascii="Arial" w:hAnsi="Arial" w:cs="Arial"/>
          <w:sz w:val="24"/>
          <w:szCs w:val="24"/>
          <w:lang w:val="en-US"/>
        </w:rPr>
      </w:pPr>
      <w:r w:rsidRPr="00083C7B">
        <w:rPr>
          <w:rFonts w:ascii="Arial" w:hAnsi="Arial" w:cs="Arial"/>
          <w:color w:val="000000"/>
          <w:sz w:val="24"/>
          <w:szCs w:val="24"/>
        </w:rPr>
        <w:t xml:space="preserve"> The </w:t>
      </w:r>
      <w:r w:rsidR="00CF02DB" w:rsidRPr="00083C7B">
        <w:rPr>
          <w:rFonts w:ascii="Arial" w:hAnsi="Arial" w:cs="Arial"/>
          <w:color w:val="000000"/>
          <w:sz w:val="24"/>
          <w:szCs w:val="24"/>
        </w:rPr>
        <w:t>S</w:t>
      </w:r>
      <w:r w:rsidRPr="00083C7B">
        <w:rPr>
          <w:rFonts w:ascii="Arial" w:hAnsi="Arial" w:cs="Arial"/>
          <w:color w:val="000000"/>
          <w:sz w:val="24"/>
          <w:szCs w:val="24"/>
        </w:rPr>
        <w:t xml:space="preserve">tate has strong case against </w:t>
      </w:r>
      <w:r w:rsidR="00FB27C9" w:rsidRPr="00083C7B">
        <w:rPr>
          <w:rFonts w:ascii="Arial" w:hAnsi="Arial" w:cs="Arial"/>
          <w:color w:val="000000"/>
          <w:sz w:val="24"/>
          <w:szCs w:val="24"/>
        </w:rPr>
        <w:t xml:space="preserve">the appellant.  </w:t>
      </w:r>
      <w:r w:rsidR="00CF02DB" w:rsidRPr="00083C7B">
        <w:rPr>
          <w:rFonts w:ascii="Arial" w:hAnsi="Arial" w:cs="Arial"/>
          <w:color w:val="000000"/>
          <w:sz w:val="24"/>
          <w:szCs w:val="24"/>
        </w:rPr>
        <w:t>She was</w:t>
      </w:r>
      <w:r w:rsidRPr="00083C7B">
        <w:rPr>
          <w:rFonts w:ascii="Arial" w:hAnsi="Arial" w:cs="Arial"/>
          <w:color w:val="000000"/>
          <w:sz w:val="24"/>
          <w:szCs w:val="24"/>
        </w:rPr>
        <w:t xml:space="preserve"> caught in the act in the garage.</w:t>
      </w:r>
    </w:p>
    <w:p w14:paraId="241C9C2C" w14:textId="7E215BF2" w:rsidR="004868FA" w:rsidRPr="00083C7B" w:rsidRDefault="004868FA" w:rsidP="00083C7B">
      <w:pPr>
        <w:pStyle w:val="ListParagraph"/>
        <w:widowControl w:val="0"/>
        <w:spacing w:after="0" w:line="360" w:lineRule="auto"/>
        <w:jc w:val="both"/>
        <w:rPr>
          <w:rFonts w:ascii="Arial" w:hAnsi="Arial" w:cs="Arial"/>
          <w:sz w:val="24"/>
          <w:szCs w:val="24"/>
          <w:lang w:val="en-US"/>
        </w:rPr>
      </w:pPr>
    </w:p>
    <w:p w14:paraId="33408F58" w14:textId="7D1C322C" w:rsidR="004868FA" w:rsidRPr="00083C7B" w:rsidRDefault="00B53302"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The appellant was 30 years old at the time of the commission of the offence</w:t>
      </w:r>
      <w:r w:rsidR="00CF02DB" w:rsidRPr="00083C7B">
        <w:rPr>
          <w:rFonts w:ascii="Arial" w:hAnsi="Arial" w:cs="Arial"/>
          <w:color w:val="000000"/>
          <w:sz w:val="24"/>
          <w:szCs w:val="24"/>
        </w:rPr>
        <w:t>s</w:t>
      </w:r>
      <w:r w:rsidRPr="00083C7B">
        <w:rPr>
          <w:rFonts w:ascii="Arial" w:hAnsi="Arial" w:cs="Arial"/>
          <w:color w:val="000000"/>
          <w:sz w:val="24"/>
          <w:szCs w:val="24"/>
        </w:rPr>
        <w:t>. Two of the other accused were 17 years old at the time, whilst the fourth accused was 25 years old.  The State argues that the appellant</w:t>
      </w:r>
      <w:r w:rsidR="007E6814" w:rsidRPr="00083C7B">
        <w:rPr>
          <w:rFonts w:ascii="Arial" w:hAnsi="Arial" w:cs="Arial"/>
          <w:color w:val="000000"/>
          <w:sz w:val="24"/>
          <w:szCs w:val="24"/>
        </w:rPr>
        <w:t xml:space="preserve"> was probably the instigator as she was the oldest of the</w:t>
      </w:r>
      <w:r w:rsidR="004868FA" w:rsidRPr="00083C7B">
        <w:rPr>
          <w:rFonts w:ascii="Arial" w:hAnsi="Arial" w:cs="Arial"/>
          <w:color w:val="000000"/>
          <w:sz w:val="24"/>
          <w:szCs w:val="24"/>
        </w:rPr>
        <w:t xml:space="preserve"> </w:t>
      </w:r>
      <w:r w:rsidR="007E6814" w:rsidRPr="00083C7B">
        <w:rPr>
          <w:rFonts w:ascii="Arial" w:hAnsi="Arial" w:cs="Arial"/>
          <w:color w:val="000000"/>
          <w:sz w:val="24"/>
          <w:szCs w:val="24"/>
        </w:rPr>
        <w:t>four accused. She was staying in Samora Machel in an informal settlement.</w:t>
      </w:r>
    </w:p>
    <w:p w14:paraId="6A233865" w14:textId="77777777" w:rsidR="004868FA" w:rsidRPr="00083C7B" w:rsidRDefault="004868FA" w:rsidP="00083C7B">
      <w:pPr>
        <w:pStyle w:val="ListParagraph"/>
        <w:widowControl w:val="0"/>
        <w:spacing w:after="0" w:line="360" w:lineRule="auto"/>
        <w:jc w:val="both"/>
        <w:rPr>
          <w:rFonts w:ascii="Arial" w:hAnsi="Arial" w:cs="Arial"/>
          <w:sz w:val="24"/>
          <w:szCs w:val="24"/>
          <w:lang w:val="en-US"/>
        </w:rPr>
      </w:pPr>
    </w:p>
    <w:p w14:paraId="70A87CB7" w14:textId="234824E2" w:rsidR="00D31B5A" w:rsidRPr="00083C7B" w:rsidRDefault="00D31B5A"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 xml:space="preserve">Prior to her arrest the </w:t>
      </w:r>
      <w:r w:rsidR="00CF02DB" w:rsidRPr="00083C7B">
        <w:rPr>
          <w:rFonts w:ascii="Arial" w:hAnsi="Arial" w:cs="Arial"/>
          <w:color w:val="000000"/>
          <w:sz w:val="24"/>
          <w:szCs w:val="24"/>
        </w:rPr>
        <w:t xml:space="preserve">appellant </w:t>
      </w:r>
      <w:r w:rsidR="00C5076C" w:rsidRPr="00083C7B">
        <w:rPr>
          <w:rFonts w:ascii="Arial" w:hAnsi="Arial" w:cs="Arial"/>
          <w:color w:val="000000"/>
          <w:sz w:val="24"/>
          <w:szCs w:val="24"/>
        </w:rPr>
        <w:t xml:space="preserve">had no permanent job.  She </w:t>
      </w:r>
      <w:r w:rsidR="007E6814" w:rsidRPr="00083C7B">
        <w:rPr>
          <w:rFonts w:ascii="Arial" w:hAnsi="Arial" w:cs="Arial"/>
          <w:color w:val="000000"/>
          <w:sz w:val="24"/>
          <w:szCs w:val="24"/>
        </w:rPr>
        <w:t>was doing odd jobs selling cutlery</w:t>
      </w:r>
      <w:r w:rsidR="00CF02DB" w:rsidRPr="00083C7B">
        <w:rPr>
          <w:rFonts w:ascii="Arial" w:hAnsi="Arial" w:cs="Arial"/>
          <w:color w:val="000000"/>
          <w:sz w:val="24"/>
          <w:szCs w:val="24"/>
        </w:rPr>
        <w:t>, having passed grade 11 at school</w:t>
      </w:r>
      <w:r w:rsidR="007E6814" w:rsidRPr="00083C7B">
        <w:rPr>
          <w:rFonts w:ascii="Arial" w:hAnsi="Arial" w:cs="Arial"/>
          <w:color w:val="000000"/>
          <w:sz w:val="24"/>
          <w:szCs w:val="24"/>
        </w:rPr>
        <w:t>. She earned about R1</w:t>
      </w:r>
      <w:r w:rsidR="00CF02DB" w:rsidRPr="00083C7B">
        <w:rPr>
          <w:rFonts w:ascii="Arial" w:hAnsi="Arial" w:cs="Arial"/>
          <w:color w:val="000000"/>
          <w:sz w:val="24"/>
          <w:szCs w:val="24"/>
        </w:rPr>
        <w:t xml:space="preserve"> </w:t>
      </w:r>
      <w:r w:rsidR="007E6814" w:rsidRPr="00083C7B">
        <w:rPr>
          <w:rFonts w:ascii="Arial" w:hAnsi="Arial" w:cs="Arial"/>
          <w:color w:val="000000"/>
          <w:sz w:val="24"/>
          <w:szCs w:val="24"/>
        </w:rPr>
        <w:t>000</w:t>
      </w:r>
      <w:r w:rsidR="00CF02DB" w:rsidRPr="00083C7B">
        <w:rPr>
          <w:rFonts w:ascii="Arial" w:hAnsi="Arial" w:cs="Arial"/>
          <w:color w:val="000000"/>
          <w:sz w:val="24"/>
          <w:szCs w:val="24"/>
        </w:rPr>
        <w:t>,00</w:t>
      </w:r>
      <w:r w:rsidR="007E6814" w:rsidRPr="00083C7B">
        <w:rPr>
          <w:rFonts w:ascii="Arial" w:hAnsi="Arial" w:cs="Arial"/>
          <w:color w:val="000000"/>
          <w:sz w:val="24"/>
          <w:szCs w:val="24"/>
        </w:rPr>
        <w:t xml:space="preserve"> per month. </w:t>
      </w:r>
      <w:r w:rsidR="00CF02DB" w:rsidRPr="00083C7B">
        <w:rPr>
          <w:rFonts w:ascii="Arial" w:hAnsi="Arial" w:cs="Arial"/>
          <w:color w:val="000000"/>
          <w:sz w:val="24"/>
          <w:szCs w:val="24"/>
        </w:rPr>
        <w:t xml:space="preserve"> </w:t>
      </w:r>
      <w:r w:rsidRPr="00083C7B">
        <w:rPr>
          <w:rFonts w:ascii="Arial" w:hAnsi="Arial" w:cs="Arial"/>
          <w:color w:val="000000"/>
          <w:sz w:val="24"/>
          <w:szCs w:val="24"/>
        </w:rPr>
        <w:t>The appellant wanted bail because she wanted to “go on” with her life. She also wanted to attend school. She testified that her father would assist her to go back to school.</w:t>
      </w:r>
      <w:r w:rsidR="00C5076C" w:rsidRPr="00083C7B">
        <w:rPr>
          <w:rFonts w:ascii="Arial" w:hAnsi="Arial" w:cs="Arial"/>
          <w:color w:val="000000"/>
          <w:sz w:val="24"/>
          <w:szCs w:val="24"/>
        </w:rPr>
        <w:t xml:space="preserve">  She is single and has no children.</w:t>
      </w:r>
    </w:p>
    <w:p w14:paraId="55A238A9" w14:textId="77777777" w:rsidR="00D31B5A" w:rsidRPr="00083C7B" w:rsidRDefault="00D31B5A" w:rsidP="00083C7B">
      <w:pPr>
        <w:pStyle w:val="ListParagraph"/>
        <w:widowControl w:val="0"/>
        <w:spacing w:after="0" w:line="360" w:lineRule="auto"/>
        <w:jc w:val="both"/>
        <w:rPr>
          <w:rFonts w:ascii="Arial" w:hAnsi="Arial" w:cs="Arial"/>
          <w:sz w:val="24"/>
          <w:szCs w:val="24"/>
          <w:lang w:val="en-US"/>
        </w:rPr>
      </w:pPr>
    </w:p>
    <w:p w14:paraId="71D3FA87" w14:textId="77777777" w:rsidR="00D31B5A" w:rsidRPr="00083C7B" w:rsidRDefault="00D31B5A"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The appellant has no previous convictions, pending cases or outstanding warrants.</w:t>
      </w:r>
    </w:p>
    <w:p w14:paraId="4762673F" w14:textId="77777777" w:rsidR="00D31B5A" w:rsidRPr="00083C7B" w:rsidRDefault="00D31B5A" w:rsidP="00083C7B">
      <w:pPr>
        <w:pStyle w:val="ListParagraph"/>
        <w:widowControl w:val="0"/>
        <w:spacing w:after="0" w:line="360" w:lineRule="auto"/>
        <w:jc w:val="both"/>
        <w:rPr>
          <w:rFonts w:ascii="Arial" w:hAnsi="Arial" w:cs="Arial"/>
          <w:sz w:val="24"/>
          <w:szCs w:val="24"/>
          <w:lang w:val="en-US"/>
        </w:rPr>
      </w:pPr>
    </w:p>
    <w:p w14:paraId="01EAFCC3" w14:textId="5CC23B02" w:rsidR="00D31B5A" w:rsidRPr="00083C7B" w:rsidRDefault="00D31B5A"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The appellant told the District Court that she was arrested on 15 December 2018 when she was arrested on her way to a party in Joe Slovo.  This was obviously a lie since she was arrested by the police inside the garage where the deceased had been murdered, as indicated earlier.  It was put to the appellant that the four accused were together and they planned to go and rob the deceased</w:t>
      </w:r>
      <w:r w:rsidR="00E70C83" w:rsidRPr="00083C7B">
        <w:rPr>
          <w:rFonts w:ascii="Arial" w:hAnsi="Arial" w:cs="Arial"/>
          <w:color w:val="000000"/>
          <w:sz w:val="24"/>
          <w:szCs w:val="24"/>
        </w:rPr>
        <w:t>, with appellant as the leader.</w:t>
      </w:r>
      <w:r w:rsidRPr="00083C7B">
        <w:rPr>
          <w:rFonts w:ascii="Arial" w:hAnsi="Arial" w:cs="Arial"/>
          <w:color w:val="000000"/>
          <w:sz w:val="24"/>
          <w:szCs w:val="24"/>
        </w:rPr>
        <w:t xml:space="preserve"> The appellant was also seen by a witness about an hour before the murder occurred sitting on the corner of Pringle and Percival Road, Milnerton, near the deceased’s home</w:t>
      </w:r>
      <w:r w:rsidR="00C5076C" w:rsidRPr="00083C7B">
        <w:rPr>
          <w:rFonts w:ascii="Arial" w:hAnsi="Arial" w:cs="Arial"/>
          <w:color w:val="000000"/>
          <w:sz w:val="24"/>
          <w:szCs w:val="24"/>
        </w:rPr>
        <w:t>, apparently watching the house</w:t>
      </w:r>
      <w:r w:rsidRPr="00083C7B">
        <w:rPr>
          <w:rFonts w:ascii="Arial" w:hAnsi="Arial" w:cs="Arial"/>
          <w:color w:val="000000"/>
          <w:sz w:val="24"/>
          <w:szCs w:val="24"/>
        </w:rPr>
        <w:t xml:space="preserve">. </w:t>
      </w:r>
      <w:r w:rsidR="00E70C83" w:rsidRPr="00083C7B">
        <w:rPr>
          <w:rFonts w:ascii="Arial" w:hAnsi="Arial" w:cs="Arial"/>
          <w:color w:val="000000"/>
          <w:sz w:val="24"/>
          <w:szCs w:val="24"/>
        </w:rPr>
        <w:t xml:space="preserve">Despite this, the appellant had told the investigating officer that she had never been to the house.  </w:t>
      </w:r>
      <w:r w:rsidRPr="00083C7B">
        <w:rPr>
          <w:rFonts w:ascii="Arial" w:hAnsi="Arial" w:cs="Arial"/>
          <w:color w:val="000000"/>
          <w:sz w:val="24"/>
          <w:szCs w:val="24"/>
        </w:rPr>
        <w:t>The appellant had no comment on any of these statements.</w:t>
      </w:r>
    </w:p>
    <w:p w14:paraId="33F30C95" w14:textId="77777777" w:rsidR="00D31B5A" w:rsidRPr="00083C7B" w:rsidRDefault="00D31B5A" w:rsidP="00083C7B">
      <w:pPr>
        <w:pStyle w:val="ListParagraph"/>
        <w:widowControl w:val="0"/>
        <w:spacing w:after="0" w:line="360" w:lineRule="auto"/>
        <w:jc w:val="both"/>
        <w:rPr>
          <w:rFonts w:ascii="Arial" w:hAnsi="Arial" w:cs="Arial"/>
          <w:sz w:val="24"/>
          <w:szCs w:val="24"/>
          <w:lang w:val="en-US"/>
        </w:rPr>
      </w:pPr>
    </w:p>
    <w:p w14:paraId="71FCBB6B" w14:textId="7DDAEB6C" w:rsidR="00605D67" w:rsidRPr="00083C7B" w:rsidRDefault="00CF02DB" w:rsidP="00083C7B">
      <w:pPr>
        <w:pStyle w:val="ListParagraph"/>
        <w:widowControl w:val="0"/>
        <w:numPr>
          <w:ilvl w:val="0"/>
          <w:numId w:val="4"/>
        </w:numPr>
        <w:spacing w:after="0" w:line="360" w:lineRule="auto"/>
        <w:ind w:hanging="720"/>
        <w:jc w:val="both"/>
        <w:rPr>
          <w:rFonts w:ascii="Arial" w:hAnsi="Arial" w:cs="Arial"/>
          <w:sz w:val="24"/>
          <w:szCs w:val="24"/>
          <w:lang w:val="en-US"/>
        </w:rPr>
      </w:pPr>
      <w:r w:rsidRPr="00083C7B">
        <w:rPr>
          <w:rFonts w:ascii="Arial" w:hAnsi="Arial" w:cs="Arial"/>
          <w:color w:val="000000"/>
          <w:sz w:val="24"/>
          <w:szCs w:val="24"/>
        </w:rPr>
        <w:t xml:space="preserve">At the time of the bail application </w:t>
      </w:r>
      <w:r w:rsidR="00D31B5A" w:rsidRPr="00083C7B">
        <w:rPr>
          <w:rFonts w:ascii="Arial" w:hAnsi="Arial" w:cs="Arial"/>
          <w:color w:val="000000"/>
          <w:sz w:val="24"/>
          <w:szCs w:val="24"/>
        </w:rPr>
        <w:t>the appellant</w:t>
      </w:r>
      <w:r w:rsidRPr="00083C7B">
        <w:rPr>
          <w:rFonts w:ascii="Arial" w:hAnsi="Arial" w:cs="Arial"/>
          <w:color w:val="000000"/>
          <w:sz w:val="24"/>
          <w:szCs w:val="24"/>
        </w:rPr>
        <w:t xml:space="preserve"> could not give any fixed address or any address of any family member where she could go and stay.  </w:t>
      </w:r>
      <w:r w:rsidR="00083C7B">
        <w:rPr>
          <w:rFonts w:ascii="Arial" w:hAnsi="Arial" w:cs="Arial"/>
          <w:color w:val="000000"/>
          <w:sz w:val="24"/>
          <w:szCs w:val="24"/>
        </w:rPr>
        <w:t xml:space="preserve">It was clear from the evidence that she mover around regularly. </w:t>
      </w:r>
      <w:r w:rsidRPr="00083C7B">
        <w:rPr>
          <w:rFonts w:ascii="Arial" w:hAnsi="Arial" w:cs="Arial"/>
          <w:color w:val="000000"/>
          <w:sz w:val="24"/>
          <w:szCs w:val="24"/>
        </w:rPr>
        <w:t xml:space="preserve">At the hearing of the appeal, the appellant’s counsel informed the Court that the appellant has, in the meantime, reconciled with her father, who is willing to support her should she be granted bail.  She </w:t>
      </w:r>
      <w:r w:rsidR="000B0F77" w:rsidRPr="00083C7B">
        <w:rPr>
          <w:rFonts w:ascii="Arial" w:hAnsi="Arial" w:cs="Arial"/>
          <w:color w:val="000000"/>
          <w:sz w:val="24"/>
          <w:szCs w:val="24"/>
        </w:rPr>
        <w:t>intends to</w:t>
      </w:r>
      <w:r w:rsidRPr="00083C7B">
        <w:rPr>
          <w:rFonts w:ascii="Arial" w:hAnsi="Arial" w:cs="Arial"/>
          <w:color w:val="000000"/>
          <w:sz w:val="24"/>
          <w:szCs w:val="24"/>
        </w:rPr>
        <w:t xml:space="preserve"> reside </w:t>
      </w:r>
      <w:r w:rsidR="00E807A7" w:rsidRPr="00083C7B">
        <w:rPr>
          <w:rFonts w:ascii="Arial" w:hAnsi="Arial" w:cs="Arial"/>
          <w:color w:val="000000"/>
          <w:sz w:val="24"/>
          <w:szCs w:val="24"/>
        </w:rPr>
        <w:t>with a relative at an address</w:t>
      </w:r>
      <w:r w:rsidR="000B0F77" w:rsidRPr="00083C7B">
        <w:rPr>
          <w:rFonts w:ascii="Arial" w:hAnsi="Arial" w:cs="Arial"/>
          <w:color w:val="000000"/>
          <w:sz w:val="24"/>
          <w:szCs w:val="24"/>
        </w:rPr>
        <w:t xml:space="preserve">, which, she says, will be </w:t>
      </w:r>
      <w:r w:rsidR="00E807A7" w:rsidRPr="00083C7B">
        <w:rPr>
          <w:rFonts w:ascii="Arial" w:hAnsi="Arial" w:cs="Arial"/>
          <w:color w:val="000000"/>
          <w:sz w:val="24"/>
          <w:szCs w:val="24"/>
        </w:rPr>
        <w:t>her</w:t>
      </w:r>
      <w:r w:rsidR="000B0F77" w:rsidRPr="00083C7B">
        <w:rPr>
          <w:rFonts w:ascii="Arial" w:hAnsi="Arial" w:cs="Arial"/>
          <w:color w:val="000000"/>
          <w:sz w:val="24"/>
          <w:szCs w:val="24"/>
        </w:rPr>
        <w:t xml:space="preserve"> fixed abode</w:t>
      </w:r>
      <w:r w:rsidRPr="00083C7B">
        <w:rPr>
          <w:rFonts w:ascii="Arial" w:hAnsi="Arial" w:cs="Arial"/>
          <w:color w:val="000000"/>
          <w:sz w:val="24"/>
          <w:szCs w:val="24"/>
        </w:rPr>
        <w:t>.  This was the only new information given in relation to the appellant’s personal circumstances.</w:t>
      </w:r>
    </w:p>
    <w:p w14:paraId="5BA6E2B8" w14:textId="77777777" w:rsidR="00605D67" w:rsidRPr="00083C7B" w:rsidRDefault="00605D67" w:rsidP="00083C7B">
      <w:pPr>
        <w:pStyle w:val="ListParagraph"/>
        <w:widowControl w:val="0"/>
        <w:spacing w:after="0" w:line="360" w:lineRule="auto"/>
        <w:jc w:val="both"/>
        <w:rPr>
          <w:rFonts w:ascii="Arial" w:hAnsi="Arial" w:cs="Arial"/>
          <w:sz w:val="24"/>
          <w:szCs w:val="24"/>
          <w:lang w:val="en-US"/>
        </w:rPr>
      </w:pPr>
    </w:p>
    <w:p w14:paraId="3AF42090" w14:textId="77777777" w:rsidR="00605D67" w:rsidRPr="00083C7B" w:rsidRDefault="00605D67" w:rsidP="00083C7B">
      <w:pPr>
        <w:pStyle w:val="ListParagraph"/>
        <w:widowControl w:val="0"/>
        <w:numPr>
          <w:ilvl w:val="0"/>
          <w:numId w:val="4"/>
        </w:numPr>
        <w:spacing w:after="0" w:line="360" w:lineRule="auto"/>
        <w:ind w:hanging="720"/>
        <w:jc w:val="both"/>
        <w:rPr>
          <w:rFonts w:ascii="Arial" w:hAnsi="Arial" w:cs="Arial"/>
          <w:color w:val="000000"/>
          <w:sz w:val="24"/>
          <w:szCs w:val="24"/>
        </w:rPr>
      </w:pPr>
      <w:r w:rsidRPr="00083C7B">
        <w:rPr>
          <w:rFonts w:ascii="Arial" w:hAnsi="Arial" w:cs="Arial"/>
          <w:color w:val="000000"/>
          <w:sz w:val="24"/>
          <w:szCs w:val="24"/>
        </w:rPr>
        <w:t xml:space="preserve">It is so that bail is not about the guilt or innocence of the appellant.  One must, however, not lose sight of the fact that she does have a formal onus upon her.  </w:t>
      </w:r>
      <w:r w:rsidR="007E6814" w:rsidRPr="00083C7B">
        <w:rPr>
          <w:rFonts w:ascii="Arial" w:hAnsi="Arial" w:cs="Arial"/>
          <w:color w:val="000000"/>
          <w:sz w:val="24"/>
          <w:szCs w:val="24"/>
        </w:rPr>
        <w:t>She has to adduce evidence which satisfies the Court that the interes</w:t>
      </w:r>
      <w:r w:rsidRPr="00083C7B">
        <w:rPr>
          <w:rFonts w:ascii="Arial" w:hAnsi="Arial" w:cs="Arial"/>
          <w:color w:val="000000"/>
          <w:sz w:val="24"/>
          <w:szCs w:val="24"/>
        </w:rPr>
        <w:t xml:space="preserve">ts </w:t>
      </w:r>
      <w:r w:rsidR="007E6814" w:rsidRPr="00083C7B">
        <w:rPr>
          <w:rFonts w:ascii="Arial" w:hAnsi="Arial" w:cs="Arial"/>
          <w:color w:val="000000"/>
          <w:sz w:val="24"/>
          <w:szCs w:val="24"/>
        </w:rPr>
        <w:t>of justice permit her release.</w:t>
      </w:r>
    </w:p>
    <w:p w14:paraId="7707ED6A" w14:textId="77777777" w:rsidR="00605D67" w:rsidRPr="00083C7B" w:rsidRDefault="00605D67" w:rsidP="00083C7B">
      <w:pPr>
        <w:pStyle w:val="ListParagraph"/>
        <w:widowControl w:val="0"/>
        <w:spacing w:after="0" w:line="360" w:lineRule="auto"/>
        <w:jc w:val="both"/>
        <w:rPr>
          <w:rFonts w:ascii="Arial" w:hAnsi="Arial" w:cs="Arial"/>
          <w:color w:val="000000"/>
          <w:sz w:val="24"/>
          <w:szCs w:val="24"/>
        </w:rPr>
      </w:pPr>
    </w:p>
    <w:p w14:paraId="4881FB73" w14:textId="0CA6EA0A" w:rsidR="00E807A7" w:rsidRPr="00083C7B" w:rsidRDefault="00E50485" w:rsidP="00083C7B">
      <w:pPr>
        <w:pStyle w:val="ListParagraph"/>
        <w:widowControl w:val="0"/>
        <w:numPr>
          <w:ilvl w:val="0"/>
          <w:numId w:val="4"/>
        </w:numPr>
        <w:spacing w:after="0" w:line="360" w:lineRule="auto"/>
        <w:ind w:hanging="720"/>
        <w:jc w:val="both"/>
        <w:rPr>
          <w:rFonts w:ascii="Arial" w:hAnsi="Arial" w:cs="Arial"/>
          <w:color w:val="000000"/>
          <w:sz w:val="24"/>
          <w:szCs w:val="24"/>
        </w:rPr>
      </w:pPr>
      <w:r w:rsidRPr="00083C7B">
        <w:rPr>
          <w:rFonts w:ascii="Arial" w:hAnsi="Arial" w:cs="Arial"/>
          <w:sz w:val="24"/>
          <w:szCs w:val="24"/>
          <w:lang w:val="en-US"/>
        </w:rPr>
        <w:t>O</w:t>
      </w:r>
      <w:r w:rsidR="004F3BAA" w:rsidRPr="00083C7B">
        <w:rPr>
          <w:rFonts w:ascii="Arial" w:hAnsi="Arial" w:cs="Arial"/>
          <w:sz w:val="24"/>
          <w:szCs w:val="24"/>
          <w:lang w:val="en-US"/>
        </w:rPr>
        <w:t xml:space="preserve">n a consideration of the matter as a whole, </w:t>
      </w:r>
      <w:r w:rsidRPr="00083C7B">
        <w:rPr>
          <w:rFonts w:ascii="Arial" w:hAnsi="Arial" w:cs="Arial"/>
          <w:sz w:val="24"/>
          <w:szCs w:val="24"/>
          <w:lang w:val="en-US"/>
        </w:rPr>
        <w:t>I am not satisfied that the magistrate’s court misdirected itself materially on the legal principles involved, or on the facts.</w:t>
      </w:r>
      <w:r w:rsidR="004228B0" w:rsidRPr="00083C7B">
        <w:rPr>
          <w:rFonts w:ascii="Arial" w:hAnsi="Arial" w:cs="Arial"/>
          <w:sz w:val="24"/>
          <w:szCs w:val="24"/>
          <w:lang w:val="en-US"/>
        </w:rPr>
        <w:t xml:space="preserve">  The evidence on record, viewed as a whole, shows that the appellant failed</w:t>
      </w:r>
      <w:r w:rsidR="00725514" w:rsidRPr="00083C7B">
        <w:rPr>
          <w:rFonts w:ascii="Arial" w:hAnsi="Arial" w:cs="Arial"/>
          <w:sz w:val="24"/>
          <w:szCs w:val="24"/>
          <w:lang w:val="en-US"/>
        </w:rPr>
        <w:t>, at the bail hearing,</w:t>
      </w:r>
      <w:r w:rsidR="004228B0" w:rsidRPr="00083C7B">
        <w:rPr>
          <w:rFonts w:ascii="Arial" w:hAnsi="Arial" w:cs="Arial"/>
          <w:sz w:val="24"/>
          <w:szCs w:val="24"/>
          <w:lang w:val="en-US"/>
        </w:rPr>
        <w:t xml:space="preserve"> to discharge the onus </w:t>
      </w:r>
      <w:r w:rsidR="00725514" w:rsidRPr="00083C7B">
        <w:rPr>
          <w:rFonts w:ascii="Arial" w:hAnsi="Arial" w:cs="Arial"/>
          <w:sz w:val="24"/>
          <w:szCs w:val="24"/>
          <w:lang w:val="en-US"/>
        </w:rPr>
        <w:t xml:space="preserve">of proving </w:t>
      </w:r>
      <w:r w:rsidR="004228B0" w:rsidRPr="00083C7B">
        <w:rPr>
          <w:rFonts w:ascii="Arial" w:hAnsi="Arial" w:cs="Arial"/>
          <w:sz w:val="24"/>
          <w:szCs w:val="24"/>
          <w:lang w:val="en-US"/>
        </w:rPr>
        <w:t>that exceptional circumstances exist that justify h</w:t>
      </w:r>
      <w:r w:rsidR="007E6814" w:rsidRPr="00083C7B">
        <w:rPr>
          <w:rFonts w:ascii="Arial" w:hAnsi="Arial" w:cs="Arial"/>
          <w:sz w:val="24"/>
          <w:szCs w:val="24"/>
          <w:lang w:val="en-US"/>
        </w:rPr>
        <w:t>er</w:t>
      </w:r>
      <w:r w:rsidR="004228B0" w:rsidRPr="00083C7B">
        <w:rPr>
          <w:rFonts w:ascii="Arial" w:hAnsi="Arial" w:cs="Arial"/>
          <w:sz w:val="24"/>
          <w:szCs w:val="24"/>
          <w:lang w:val="en-US"/>
        </w:rPr>
        <w:t xml:space="preserve"> release </w:t>
      </w:r>
      <w:r w:rsidR="00725514" w:rsidRPr="00083C7B">
        <w:rPr>
          <w:rFonts w:ascii="Arial" w:hAnsi="Arial" w:cs="Arial"/>
          <w:sz w:val="24"/>
          <w:szCs w:val="24"/>
          <w:lang w:val="en-US"/>
        </w:rPr>
        <w:t>i</w:t>
      </w:r>
      <w:r w:rsidR="004228B0" w:rsidRPr="00083C7B">
        <w:rPr>
          <w:rFonts w:ascii="Arial" w:hAnsi="Arial" w:cs="Arial"/>
          <w:sz w:val="24"/>
          <w:szCs w:val="24"/>
          <w:lang w:val="en-US"/>
        </w:rPr>
        <w:t>n bail in the interests of justice.</w:t>
      </w:r>
      <w:r w:rsidR="002A4693" w:rsidRPr="00083C7B">
        <w:rPr>
          <w:rFonts w:ascii="Arial" w:hAnsi="Arial" w:cs="Arial"/>
          <w:sz w:val="24"/>
          <w:szCs w:val="24"/>
          <w:lang w:val="en-US"/>
        </w:rPr>
        <w:t xml:space="preserve">  </w:t>
      </w:r>
      <w:r w:rsidR="00083C7B">
        <w:rPr>
          <w:rFonts w:ascii="Arial" w:hAnsi="Arial" w:cs="Arial"/>
          <w:sz w:val="24"/>
          <w:szCs w:val="24"/>
          <w:lang w:val="en-US"/>
        </w:rPr>
        <w:t xml:space="preserve">The State has a strong case against her.  </w:t>
      </w:r>
      <w:r w:rsidR="00CF02DB" w:rsidRPr="00083C7B">
        <w:rPr>
          <w:rFonts w:ascii="Arial" w:hAnsi="Arial" w:cs="Arial"/>
          <w:sz w:val="24"/>
          <w:szCs w:val="24"/>
          <w:lang w:val="en-US"/>
        </w:rPr>
        <w:t xml:space="preserve">The personal circumstances advanced by the appellant do not constitute exceptional circumstances as </w:t>
      </w:r>
      <w:r w:rsidR="00CF02DB" w:rsidRPr="00083C7B">
        <w:rPr>
          <w:rFonts w:ascii="Arial" w:hAnsi="Arial" w:cs="Arial"/>
          <w:sz w:val="24"/>
          <w:szCs w:val="24"/>
          <w:lang w:val="en-US"/>
        </w:rPr>
        <w:lastRenderedPageBreak/>
        <w:t xml:space="preserve">contemplated by section 60(11).  In </w:t>
      </w:r>
      <w:r w:rsidR="00CF02DB" w:rsidRPr="00083C7B">
        <w:rPr>
          <w:rFonts w:ascii="Arial" w:hAnsi="Arial" w:cs="Arial"/>
          <w:i/>
          <w:iCs/>
          <w:sz w:val="24"/>
          <w:szCs w:val="24"/>
          <w:lang w:val="en-US"/>
        </w:rPr>
        <w:t>S v Botha</w:t>
      </w:r>
      <w:r w:rsidR="00CF02DB" w:rsidRPr="00083C7B">
        <w:rPr>
          <w:rFonts w:ascii="Arial" w:hAnsi="Arial" w:cs="Arial"/>
          <w:sz w:val="24"/>
          <w:szCs w:val="24"/>
          <w:lang w:val="en-US"/>
        </w:rPr>
        <w:t xml:space="preserve"> [2002] 2 All SA 577 (A) the accused advanced similar circumstances, which the then Appellate Division (at para [17]) did not regard as exceptional in the face of a </w:t>
      </w:r>
      <w:r w:rsidR="00CF02DB" w:rsidRPr="00083C7B">
        <w:rPr>
          <w:rFonts w:ascii="Arial" w:hAnsi="Arial" w:cs="Arial"/>
          <w:i/>
          <w:iCs/>
          <w:sz w:val="24"/>
          <w:szCs w:val="24"/>
          <w:lang w:val="en-US"/>
        </w:rPr>
        <w:t>prima facie</w:t>
      </w:r>
      <w:r w:rsidR="00CF02DB" w:rsidRPr="00083C7B">
        <w:rPr>
          <w:rFonts w:ascii="Arial" w:hAnsi="Arial" w:cs="Arial"/>
          <w:sz w:val="24"/>
          <w:szCs w:val="24"/>
          <w:lang w:val="en-US"/>
        </w:rPr>
        <w:t xml:space="preserve"> case.</w:t>
      </w:r>
    </w:p>
    <w:p w14:paraId="13F22591" w14:textId="77777777" w:rsidR="00E807A7" w:rsidRPr="00083C7B" w:rsidRDefault="00E807A7" w:rsidP="00083C7B">
      <w:pPr>
        <w:pStyle w:val="ListParagraph"/>
        <w:widowControl w:val="0"/>
        <w:spacing w:after="0" w:line="360" w:lineRule="auto"/>
        <w:jc w:val="both"/>
        <w:rPr>
          <w:rFonts w:ascii="Arial" w:hAnsi="Arial" w:cs="Arial"/>
          <w:color w:val="000000"/>
          <w:sz w:val="24"/>
          <w:szCs w:val="24"/>
        </w:rPr>
      </w:pPr>
    </w:p>
    <w:p w14:paraId="7EF0A696" w14:textId="22F380DF" w:rsidR="00E807A7" w:rsidRPr="00083C7B" w:rsidRDefault="00605D67" w:rsidP="00083C7B">
      <w:pPr>
        <w:pStyle w:val="ListParagraph"/>
        <w:widowControl w:val="0"/>
        <w:numPr>
          <w:ilvl w:val="0"/>
          <w:numId w:val="4"/>
        </w:numPr>
        <w:spacing w:after="0" w:line="360" w:lineRule="auto"/>
        <w:ind w:hanging="720"/>
        <w:jc w:val="both"/>
        <w:rPr>
          <w:rFonts w:ascii="Arial" w:hAnsi="Arial" w:cs="Arial"/>
          <w:color w:val="000000"/>
          <w:sz w:val="24"/>
          <w:szCs w:val="24"/>
        </w:rPr>
      </w:pPr>
      <w:r w:rsidRPr="00083C7B">
        <w:rPr>
          <w:rFonts w:ascii="Arial" w:hAnsi="Arial" w:cs="Arial"/>
          <w:sz w:val="24"/>
          <w:szCs w:val="24"/>
          <w:lang w:val="en-US"/>
        </w:rPr>
        <w:t>The appellant has referred to the conditions in prison as an addi</w:t>
      </w:r>
      <w:r w:rsidR="008A05E1" w:rsidRPr="00083C7B">
        <w:rPr>
          <w:rFonts w:ascii="Arial" w:hAnsi="Arial" w:cs="Arial"/>
          <w:sz w:val="24"/>
          <w:szCs w:val="24"/>
          <w:lang w:val="en-US"/>
        </w:rPr>
        <w:t>tional argument on appeal</w:t>
      </w:r>
      <w:r w:rsidRPr="00083C7B">
        <w:rPr>
          <w:rFonts w:ascii="Arial" w:hAnsi="Arial" w:cs="Arial"/>
          <w:sz w:val="24"/>
          <w:szCs w:val="24"/>
          <w:lang w:val="en-US"/>
        </w:rPr>
        <w:t xml:space="preserve">.  </w:t>
      </w:r>
      <w:r w:rsidR="008A05E1" w:rsidRPr="00083C7B">
        <w:rPr>
          <w:rFonts w:ascii="Arial" w:hAnsi="Arial" w:cs="Arial"/>
          <w:sz w:val="24"/>
          <w:szCs w:val="24"/>
          <w:lang w:val="en-US"/>
        </w:rPr>
        <w:t>The conditions are undoubtedly no</w:t>
      </w:r>
      <w:r w:rsidR="00E807A7" w:rsidRPr="00083C7B">
        <w:rPr>
          <w:rFonts w:ascii="Arial" w:hAnsi="Arial" w:cs="Arial"/>
          <w:sz w:val="24"/>
          <w:szCs w:val="24"/>
          <w:lang w:val="en-US"/>
        </w:rPr>
        <w:t>t</w:t>
      </w:r>
      <w:r w:rsidR="008A05E1" w:rsidRPr="00083C7B">
        <w:rPr>
          <w:rFonts w:ascii="Arial" w:hAnsi="Arial" w:cs="Arial"/>
          <w:sz w:val="24"/>
          <w:szCs w:val="24"/>
          <w:lang w:val="en-US"/>
        </w:rPr>
        <w:t xml:space="preserve"> ideal, but </w:t>
      </w:r>
      <w:r w:rsidR="00E807A7" w:rsidRPr="00083C7B">
        <w:rPr>
          <w:rFonts w:ascii="Arial" w:hAnsi="Arial" w:cs="Arial"/>
          <w:sz w:val="24"/>
          <w:szCs w:val="24"/>
          <w:lang w:val="en-US"/>
        </w:rPr>
        <w:t xml:space="preserve">they do not constitute “exceptional circumstances” for the purposes of section 60(11) of the CPA.  </w:t>
      </w:r>
      <w:r w:rsidR="00E807A7" w:rsidRPr="00083C7B">
        <w:rPr>
          <w:rFonts w:ascii="Arial" w:hAnsi="Arial" w:cs="Arial"/>
          <w:sz w:val="24"/>
          <w:szCs w:val="24"/>
        </w:rPr>
        <w:t xml:space="preserve">In </w:t>
      </w:r>
      <w:r w:rsidR="00E807A7" w:rsidRPr="00083C7B">
        <w:rPr>
          <w:rFonts w:ascii="Arial" w:hAnsi="Arial" w:cs="Arial"/>
          <w:bCs/>
          <w:i/>
          <w:iCs/>
          <w:sz w:val="24"/>
          <w:szCs w:val="24"/>
        </w:rPr>
        <w:t xml:space="preserve">Solomons v S </w:t>
      </w:r>
      <w:r w:rsidR="00E807A7" w:rsidRPr="00083C7B">
        <w:rPr>
          <w:rFonts w:ascii="Arial" w:hAnsi="Arial" w:cs="Arial"/>
          <w:bCs/>
          <w:sz w:val="24"/>
          <w:szCs w:val="24"/>
        </w:rPr>
        <w:t>[2019] 2 All SA 833 (WCC) at para [30]</w:t>
      </w:r>
      <w:r w:rsidR="00E807A7" w:rsidRPr="00083C7B">
        <w:rPr>
          <w:rFonts w:ascii="Arial" w:hAnsi="Arial" w:cs="Arial"/>
          <w:sz w:val="24"/>
          <w:szCs w:val="24"/>
        </w:rPr>
        <w:t xml:space="preserve"> this Court held that: </w:t>
      </w:r>
      <w:r w:rsidR="00E807A7" w:rsidRPr="00083C7B">
        <w:rPr>
          <w:rFonts w:ascii="Arial" w:hAnsi="Arial" w:cs="Arial"/>
          <w:i/>
          <w:sz w:val="24"/>
          <w:szCs w:val="24"/>
        </w:rPr>
        <w:t xml:space="preserve">“I do not believe much can be made of the conditions of detention in a case such as the present one. Whilst unsatisfactory, I believe that the State is correct in its argument that the conditions of detention is really a separate issue which needs addressed through the Office of the Inspecting Judge or some other process. Such conditions cannot in my view constitute exceptional circumstances justifying the release of the Applicant.”  </w:t>
      </w:r>
      <w:r w:rsidR="00E807A7" w:rsidRPr="00083C7B">
        <w:rPr>
          <w:rFonts w:ascii="Arial" w:hAnsi="Arial" w:cs="Arial"/>
          <w:iCs/>
          <w:sz w:val="24"/>
          <w:szCs w:val="24"/>
        </w:rPr>
        <w:t>(</w:t>
      </w:r>
      <w:r w:rsidR="00E807A7" w:rsidRPr="00083C7B">
        <w:rPr>
          <w:rFonts w:ascii="Arial" w:hAnsi="Arial" w:cs="Arial"/>
          <w:bCs/>
          <w:iCs/>
          <w:sz w:val="24"/>
          <w:szCs w:val="24"/>
        </w:rPr>
        <w:t xml:space="preserve">See also </w:t>
      </w:r>
      <w:r w:rsidR="00E807A7" w:rsidRPr="00083C7B">
        <w:rPr>
          <w:rFonts w:ascii="Arial" w:hAnsi="Arial" w:cs="Arial"/>
          <w:bCs/>
          <w:i/>
          <w:sz w:val="24"/>
          <w:szCs w:val="24"/>
        </w:rPr>
        <w:t>Lin and another v S</w:t>
      </w:r>
      <w:r w:rsidR="00E807A7" w:rsidRPr="00083C7B">
        <w:rPr>
          <w:rFonts w:ascii="Arial" w:hAnsi="Arial" w:cs="Arial"/>
          <w:bCs/>
          <w:iCs/>
          <w:sz w:val="24"/>
          <w:szCs w:val="24"/>
        </w:rPr>
        <w:t xml:space="preserve"> 2021 (2) SACR 505 (WCC) at para [73]:</w:t>
      </w:r>
      <w:r w:rsidR="00E807A7" w:rsidRPr="00083C7B">
        <w:rPr>
          <w:rFonts w:ascii="Arial" w:hAnsi="Arial" w:cs="Arial"/>
          <w:bCs/>
          <w:sz w:val="24"/>
          <w:szCs w:val="24"/>
        </w:rPr>
        <w:t xml:space="preserve"> “…</w:t>
      </w:r>
      <w:r w:rsidR="00E807A7" w:rsidRPr="00083C7B">
        <w:rPr>
          <w:rFonts w:ascii="Arial" w:hAnsi="Arial" w:cs="Arial"/>
          <w:i/>
          <w:sz w:val="24"/>
          <w:szCs w:val="24"/>
        </w:rPr>
        <w:t xml:space="preserve">bail </w:t>
      </w:r>
      <w:r w:rsidR="00E807A7" w:rsidRPr="00083C7B">
        <w:rPr>
          <w:rFonts w:ascii="Arial" w:hAnsi="Arial" w:cs="Arial"/>
          <w:i/>
          <w:spacing w:val="-3"/>
          <w:sz w:val="24"/>
          <w:szCs w:val="24"/>
        </w:rPr>
        <w:t xml:space="preserve">in </w:t>
      </w:r>
      <w:r w:rsidR="00E807A7" w:rsidRPr="00083C7B">
        <w:rPr>
          <w:rFonts w:ascii="Arial" w:hAnsi="Arial" w:cs="Arial"/>
          <w:i/>
          <w:sz w:val="24"/>
          <w:szCs w:val="24"/>
        </w:rPr>
        <w:t xml:space="preserve">general </w:t>
      </w:r>
      <w:r w:rsidR="00E807A7" w:rsidRPr="00083C7B">
        <w:rPr>
          <w:rFonts w:ascii="Arial" w:hAnsi="Arial" w:cs="Arial"/>
          <w:i/>
          <w:spacing w:val="-3"/>
          <w:sz w:val="24"/>
          <w:szCs w:val="24"/>
        </w:rPr>
        <w:t xml:space="preserve">is </w:t>
      </w:r>
      <w:r w:rsidR="00E807A7" w:rsidRPr="00083C7B">
        <w:rPr>
          <w:rFonts w:ascii="Arial" w:hAnsi="Arial" w:cs="Arial"/>
          <w:i/>
          <w:sz w:val="24"/>
          <w:szCs w:val="24"/>
        </w:rPr>
        <w:t xml:space="preserve">not a remedy to the failures of prison authorities to detain inmates </w:t>
      </w:r>
      <w:r w:rsidR="00E807A7" w:rsidRPr="00083C7B">
        <w:rPr>
          <w:rFonts w:ascii="Arial" w:hAnsi="Arial" w:cs="Arial"/>
          <w:i/>
          <w:spacing w:val="-3"/>
          <w:sz w:val="24"/>
          <w:szCs w:val="24"/>
        </w:rPr>
        <w:t xml:space="preserve">in </w:t>
      </w:r>
      <w:r w:rsidR="00E807A7" w:rsidRPr="00083C7B">
        <w:rPr>
          <w:rFonts w:ascii="Arial" w:hAnsi="Arial" w:cs="Arial"/>
          <w:i/>
          <w:sz w:val="24"/>
          <w:szCs w:val="24"/>
        </w:rPr>
        <w:t>conditions consistent with human</w:t>
      </w:r>
      <w:r w:rsidR="00E807A7" w:rsidRPr="00083C7B">
        <w:rPr>
          <w:rFonts w:ascii="Arial" w:hAnsi="Arial" w:cs="Arial"/>
          <w:i/>
          <w:spacing w:val="-11"/>
          <w:sz w:val="24"/>
          <w:szCs w:val="24"/>
        </w:rPr>
        <w:t xml:space="preserve"> </w:t>
      </w:r>
      <w:r w:rsidR="00E807A7" w:rsidRPr="00083C7B">
        <w:rPr>
          <w:rFonts w:ascii="Arial" w:hAnsi="Arial" w:cs="Arial"/>
          <w:i/>
          <w:sz w:val="24"/>
          <w:szCs w:val="24"/>
        </w:rPr>
        <w:t>dignity.”</w:t>
      </w:r>
      <w:r w:rsidR="00E807A7" w:rsidRPr="00083C7B">
        <w:rPr>
          <w:rFonts w:ascii="Arial" w:hAnsi="Arial" w:cs="Arial"/>
          <w:iCs/>
          <w:sz w:val="24"/>
          <w:szCs w:val="24"/>
        </w:rPr>
        <w:t>)</w:t>
      </w:r>
    </w:p>
    <w:p w14:paraId="5B8505AB" w14:textId="77777777" w:rsidR="008A05E1" w:rsidRPr="00083C7B" w:rsidRDefault="008A05E1" w:rsidP="00083C7B">
      <w:pPr>
        <w:pStyle w:val="ListParagraph"/>
        <w:widowControl w:val="0"/>
        <w:spacing w:after="0" w:line="360" w:lineRule="auto"/>
        <w:jc w:val="both"/>
        <w:rPr>
          <w:rFonts w:ascii="Arial" w:hAnsi="Arial" w:cs="Arial"/>
          <w:color w:val="000000"/>
          <w:sz w:val="24"/>
          <w:szCs w:val="24"/>
        </w:rPr>
      </w:pPr>
    </w:p>
    <w:p w14:paraId="36C966F0" w14:textId="7DDE9159" w:rsidR="00E807A7" w:rsidRPr="00083C7B" w:rsidRDefault="0069723B" w:rsidP="00083C7B">
      <w:pPr>
        <w:pStyle w:val="ListParagraph"/>
        <w:widowControl w:val="0"/>
        <w:numPr>
          <w:ilvl w:val="0"/>
          <w:numId w:val="4"/>
        </w:numPr>
        <w:spacing w:after="0" w:line="360" w:lineRule="auto"/>
        <w:ind w:hanging="720"/>
        <w:jc w:val="both"/>
        <w:rPr>
          <w:rFonts w:ascii="Arial" w:hAnsi="Arial" w:cs="Arial"/>
          <w:color w:val="000000"/>
          <w:sz w:val="24"/>
          <w:szCs w:val="24"/>
        </w:rPr>
      </w:pPr>
      <w:r w:rsidRPr="00083C7B">
        <w:rPr>
          <w:rFonts w:ascii="Arial" w:hAnsi="Arial" w:cs="Arial"/>
          <w:sz w:val="24"/>
          <w:szCs w:val="24"/>
          <w:lang w:val="en-US"/>
        </w:rPr>
        <w:t xml:space="preserve">A final consideration (although not an overarching one) is the view that the community takes of offences such as those with which the appellant is charged.  Violent crimes committed within private homes are rife.  Public confidence in the justice system might be undermined should </w:t>
      </w:r>
      <w:r w:rsidR="00E807A7" w:rsidRPr="00083C7B">
        <w:rPr>
          <w:rFonts w:ascii="Arial" w:hAnsi="Arial" w:cs="Arial"/>
          <w:sz w:val="24"/>
          <w:szCs w:val="24"/>
          <w:lang w:val="en-US"/>
        </w:rPr>
        <w:t>t</w:t>
      </w:r>
      <w:r w:rsidRPr="00083C7B">
        <w:rPr>
          <w:rFonts w:ascii="Arial" w:hAnsi="Arial" w:cs="Arial"/>
          <w:sz w:val="24"/>
          <w:szCs w:val="24"/>
          <w:lang w:val="en-US"/>
        </w:rPr>
        <w:t xml:space="preserve">he </w:t>
      </w:r>
      <w:r w:rsidR="00E807A7" w:rsidRPr="00083C7B">
        <w:rPr>
          <w:rFonts w:ascii="Arial" w:hAnsi="Arial" w:cs="Arial"/>
          <w:sz w:val="24"/>
          <w:szCs w:val="24"/>
          <w:lang w:val="en-US"/>
        </w:rPr>
        <w:t xml:space="preserve">appellant </w:t>
      </w:r>
      <w:r w:rsidRPr="00083C7B">
        <w:rPr>
          <w:rFonts w:ascii="Arial" w:hAnsi="Arial" w:cs="Arial"/>
          <w:sz w:val="24"/>
          <w:szCs w:val="24"/>
          <w:lang w:val="en-US"/>
        </w:rPr>
        <w:t>be released on bail.</w:t>
      </w:r>
      <w:r w:rsidR="00C5076C" w:rsidRPr="00083C7B">
        <w:rPr>
          <w:rFonts w:ascii="Arial" w:hAnsi="Arial" w:cs="Arial"/>
          <w:sz w:val="24"/>
          <w:szCs w:val="24"/>
          <w:lang w:val="en-US"/>
        </w:rPr>
        <w:t xml:space="preserve">  There was evidence at the bail hearing that a few residents in the neighbourhood had subsequently put their houses up for sale, as they no longer feel safe there.</w:t>
      </w:r>
    </w:p>
    <w:p w14:paraId="0A97D1B3" w14:textId="77777777" w:rsidR="00E807A7" w:rsidRPr="00083C7B" w:rsidRDefault="00E807A7" w:rsidP="00083C7B">
      <w:pPr>
        <w:pStyle w:val="ListParagraph"/>
        <w:widowControl w:val="0"/>
        <w:spacing w:after="0" w:line="360" w:lineRule="auto"/>
        <w:jc w:val="both"/>
        <w:rPr>
          <w:rFonts w:ascii="Arial" w:hAnsi="Arial" w:cs="Arial"/>
          <w:color w:val="000000"/>
          <w:sz w:val="24"/>
          <w:szCs w:val="24"/>
        </w:rPr>
      </w:pPr>
    </w:p>
    <w:p w14:paraId="2C6FA712" w14:textId="77777777" w:rsidR="00E807A7" w:rsidRPr="00083C7B" w:rsidRDefault="00CB476A" w:rsidP="00083C7B">
      <w:pPr>
        <w:widowControl w:val="0"/>
        <w:spacing w:after="0" w:line="360" w:lineRule="auto"/>
        <w:jc w:val="both"/>
        <w:rPr>
          <w:rFonts w:ascii="Arial" w:hAnsi="Arial" w:cs="Arial"/>
          <w:color w:val="000000"/>
          <w:sz w:val="24"/>
          <w:szCs w:val="24"/>
        </w:rPr>
      </w:pPr>
      <w:r w:rsidRPr="00083C7B">
        <w:rPr>
          <w:rFonts w:ascii="Arial" w:hAnsi="Arial" w:cs="Arial"/>
          <w:b/>
          <w:bCs/>
          <w:sz w:val="24"/>
          <w:szCs w:val="24"/>
          <w:u w:val="single"/>
          <w:lang w:val="en-US"/>
        </w:rPr>
        <w:t>Order</w:t>
      </w:r>
    </w:p>
    <w:p w14:paraId="274AEF43" w14:textId="77777777" w:rsidR="00E807A7" w:rsidRPr="00083C7B" w:rsidRDefault="00E807A7" w:rsidP="00083C7B">
      <w:pPr>
        <w:pStyle w:val="ListParagraph"/>
        <w:widowControl w:val="0"/>
        <w:spacing w:after="0" w:line="360" w:lineRule="auto"/>
        <w:jc w:val="both"/>
        <w:rPr>
          <w:rFonts w:ascii="Arial" w:hAnsi="Arial" w:cs="Arial"/>
          <w:color w:val="000000"/>
          <w:sz w:val="24"/>
          <w:szCs w:val="24"/>
        </w:rPr>
      </w:pPr>
    </w:p>
    <w:p w14:paraId="7773ECC5" w14:textId="526928B1" w:rsidR="00E50485" w:rsidRPr="00083C7B" w:rsidRDefault="000629E4" w:rsidP="00083C7B">
      <w:pPr>
        <w:pStyle w:val="ListParagraph"/>
        <w:widowControl w:val="0"/>
        <w:numPr>
          <w:ilvl w:val="0"/>
          <w:numId w:val="4"/>
        </w:numPr>
        <w:spacing w:after="0" w:line="360" w:lineRule="auto"/>
        <w:ind w:hanging="720"/>
        <w:jc w:val="both"/>
        <w:rPr>
          <w:rFonts w:ascii="Arial" w:hAnsi="Arial" w:cs="Arial"/>
          <w:color w:val="000000"/>
          <w:sz w:val="24"/>
          <w:szCs w:val="24"/>
        </w:rPr>
      </w:pPr>
      <w:r w:rsidRPr="00083C7B">
        <w:rPr>
          <w:rFonts w:ascii="Arial" w:hAnsi="Arial" w:cs="Arial"/>
          <w:sz w:val="24"/>
          <w:szCs w:val="24"/>
          <w:lang w:val="en-US"/>
        </w:rPr>
        <w:t xml:space="preserve">In the circumstances, </w:t>
      </w:r>
      <w:r w:rsidR="00E50485" w:rsidRPr="00083C7B">
        <w:rPr>
          <w:rFonts w:ascii="Arial" w:hAnsi="Arial" w:cs="Arial"/>
          <w:sz w:val="24"/>
          <w:szCs w:val="24"/>
          <w:lang w:val="en-US"/>
        </w:rPr>
        <w:t>it is ordered as follows:</w:t>
      </w:r>
    </w:p>
    <w:p w14:paraId="13602006" w14:textId="77777777" w:rsidR="007E6814" w:rsidRPr="00083C7B" w:rsidRDefault="007E6814" w:rsidP="00083C7B">
      <w:pPr>
        <w:pStyle w:val="ListParagraph"/>
        <w:widowControl w:val="0"/>
        <w:spacing w:after="0" w:line="360" w:lineRule="auto"/>
        <w:jc w:val="both"/>
        <w:rPr>
          <w:rFonts w:ascii="Arial" w:hAnsi="Arial" w:cs="Arial"/>
          <w:b/>
          <w:bCs/>
          <w:sz w:val="24"/>
          <w:szCs w:val="24"/>
          <w:u w:val="single"/>
          <w:lang w:val="en-US"/>
        </w:rPr>
      </w:pPr>
    </w:p>
    <w:p w14:paraId="65DEAC38" w14:textId="2D90497E" w:rsidR="004F3CB3" w:rsidRPr="00083C7B" w:rsidRDefault="00E50485" w:rsidP="00083C7B">
      <w:pPr>
        <w:pStyle w:val="ListParagraph"/>
        <w:widowControl w:val="0"/>
        <w:spacing w:after="0" w:line="360" w:lineRule="auto"/>
        <w:jc w:val="both"/>
        <w:rPr>
          <w:rFonts w:ascii="Arial" w:hAnsi="Arial" w:cs="Arial"/>
          <w:sz w:val="24"/>
          <w:szCs w:val="24"/>
          <w:u w:val="single"/>
          <w:lang w:val="en-US"/>
        </w:rPr>
      </w:pPr>
      <w:r w:rsidRPr="00083C7B">
        <w:rPr>
          <w:rFonts w:ascii="Arial" w:hAnsi="Arial" w:cs="Arial"/>
          <w:b/>
          <w:bCs/>
          <w:sz w:val="24"/>
          <w:szCs w:val="24"/>
          <w:u w:val="single"/>
          <w:lang w:val="en-US"/>
        </w:rPr>
        <w:t>T</w:t>
      </w:r>
      <w:r w:rsidR="00E806D0" w:rsidRPr="00083C7B">
        <w:rPr>
          <w:rFonts w:ascii="Arial" w:hAnsi="Arial" w:cs="Arial"/>
          <w:b/>
          <w:bCs/>
          <w:sz w:val="24"/>
          <w:szCs w:val="24"/>
          <w:u w:val="single"/>
          <w:lang w:val="en-US"/>
        </w:rPr>
        <w:t xml:space="preserve">he appeal is </w:t>
      </w:r>
      <w:r w:rsidRPr="00083C7B">
        <w:rPr>
          <w:rFonts w:ascii="Arial" w:hAnsi="Arial" w:cs="Arial"/>
          <w:b/>
          <w:bCs/>
          <w:sz w:val="24"/>
          <w:szCs w:val="24"/>
          <w:u w:val="single"/>
          <w:lang w:val="en-US"/>
        </w:rPr>
        <w:t>dismissed</w:t>
      </w:r>
      <w:r w:rsidRPr="00083C7B">
        <w:rPr>
          <w:rFonts w:ascii="Arial" w:hAnsi="Arial" w:cs="Arial"/>
          <w:sz w:val="24"/>
          <w:szCs w:val="24"/>
          <w:u w:val="single"/>
          <w:lang w:val="en-US"/>
        </w:rPr>
        <w:t>.</w:t>
      </w:r>
    </w:p>
    <w:p w14:paraId="4CA8118B" w14:textId="77777777" w:rsidR="004F3CB3" w:rsidRPr="00083C7B" w:rsidRDefault="004F3CB3" w:rsidP="00083C7B">
      <w:pPr>
        <w:widowControl w:val="0"/>
        <w:spacing w:after="0" w:line="360" w:lineRule="auto"/>
        <w:jc w:val="right"/>
        <w:rPr>
          <w:rFonts w:ascii="Arial" w:hAnsi="Arial" w:cs="Arial"/>
          <w:sz w:val="24"/>
          <w:szCs w:val="24"/>
          <w:lang w:val="en-US"/>
        </w:rPr>
      </w:pPr>
    </w:p>
    <w:p w14:paraId="6CA10472" w14:textId="5667C433" w:rsidR="00E07CF6" w:rsidRPr="00083C7B" w:rsidRDefault="00E07CF6" w:rsidP="00083C7B">
      <w:pPr>
        <w:widowControl w:val="0"/>
        <w:spacing w:after="0" w:line="360" w:lineRule="auto"/>
        <w:jc w:val="right"/>
        <w:rPr>
          <w:rFonts w:ascii="Arial" w:hAnsi="Arial" w:cs="Arial"/>
          <w:sz w:val="24"/>
          <w:szCs w:val="24"/>
          <w:lang w:val="en-US"/>
        </w:rPr>
      </w:pPr>
      <w:r w:rsidRPr="00083C7B">
        <w:rPr>
          <w:rFonts w:ascii="Arial" w:hAnsi="Arial" w:cs="Arial"/>
          <w:sz w:val="24"/>
          <w:szCs w:val="24"/>
          <w:lang w:val="en-US"/>
        </w:rPr>
        <w:t>______________</w:t>
      </w:r>
    </w:p>
    <w:p w14:paraId="35F1DD6C" w14:textId="60C345DF" w:rsidR="00460F28" w:rsidRPr="00083C7B" w:rsidRDefault="00E50485" w:rsidP="00083C7B">
      <w:pPr>
        <w:widowControl w:val="0"/>
        <w:spacing w:after="0" w:line="360" w:lineRule="auto"/>
        <w:jc w:val="right"/>
        <w:rPr>
          <w:rFonts w:ascii="Arial" w:hAnsi="Arial" w:cs="Arial"/>
          <w:b/>
          <w:bCs/>
          <w:sz w:val="24"/>
          <w:szCs w:val="24"/>
          <w:lang w:val="en-US"/>
        </w:rPr>
      </w:pPr>
      <w:r w:rsidRPr="00083C7B">
        <w:rPr>
          <w:rFonts w:ascii="Arial" w:hAnsi="Arial" w:cs="Arial"/>
          <w:b/>
          <w:bCs/>
          <w:sz w:val="24"/>
          <w:szCs w:val="24"/>
          <w:lang w:val="en-US"/>
        </w:rPr>
        <w:t xml:space="preserve">P. S. </w:t>
      </w:r>
      <w:r w:rsidR="00F46149" w:rsidRPr="00083C7B">
        <w:rPr>
          <w:rFonts w:ascii="Arial" w:hAnsi="Arial" w:cs="Arial"/>
          <w:b/>
          <w:bCs/>
          <w:sz w:val="24"/>
          <w:szCs w:val="24"/>
          <w:lang w:val="en-US"/>
        </w:rPr>
        <w:t>VAN ZYL AJ</w:t>
      </w:r>
    </w:p>
    <w:p w14:paraId="42C36ACD" w14:textId="77777777" w:rsidR="00F051E6" w:rsidRPr="00083C7B" w:rsidRDefault="00F051E6" w:rsidP="00083C7B">
      <w:pPr>
        <w:widowControl w:val="0"/>
        <w:spacing w:after="0" w:line="360" w:lineRule="auto"/>
        <w:rPr>
          <w:rFonts w:ascii="Arial" w:hAnsi="Arial" w:cs="Arial"/>
          <w:b/>
          <w:bCs/>
          <w:sz w:val="24"/>
          <w:szCs w:val="24"/>
          <w:lang w:val="en-US"/>
        </w:rPr>
      </w:pPr>
    </w:p>
    <w:p w14:paraId="579CB49A" w14:textId="435A44FD" w:rsidR="00FA5375" w:rsidRPr="00083C7B" w:rsidRDefault="00FA5375" w:rsidP="00083C7B">
      <w:pPr>
        <w:widowControl w:val="0"/>
        <w:spacing w:after="0" w:line="360" w:lineRule="auto"/>
        <w:rPr>
          <w:rFonts w:ascii="Arial" w:hAnsi="Arial" w:cs="Arial"/>
          <w:b/>
          <w:bCs/>
          <w:sz w:val="24"/>
          <w:szCs w:val="24"/>
          <w:u w:val="single"/>
          <w:lang w:val="en-US"/>
        </w:rPr>
      </w:pPr>
      <w:r w:rsidRPr="00083C7B">
        <w:rPr>
          <w:rFonts w:ascii="Arial" w:hAnsi="Arial" w:cs="Arial"/>
          <w:b/>
          <w:bCs/>
          <w:sz w:val="24"/>
          <w:szCs w:val="24"/>
          <w:u w:val="single"/>
          <w:lang w:val="en-US"/>
        </w:rPr>
        <w:t>Appearances</w:t>
      </w:r>
    </w:p>
    <w:p w14:paraId="142D118F" w14:textId="77777777" w:rsidR="00FA5375" w:rsidRPr="00083C7B" w:rsidRDefault="00FA5375" w:rsidP="00083C7B">
      <w:pPr>
        <w:widowControl w:val="0"/>
        <w:spacing w:after="0" w:line="360" w:lineRule="auto"/>
        <w:rPr>
          <w:rFonts w:ascii="Arial" w:hAnsi="Arial" w:cs="Arial"/>
          <w:b/>
          <w:bCs/>
          <w:sz w:val="24"/>
          <w:szCs w:val="24"/>
          <w:lang w:val="en-US"/>
        </w:rPr>
      </w:pPr>
    </w:p>
    <w:p w14:paraId="188BF4FC" w14:textId="5FBA9683" w:rsidR="00F051E6" w:rsidRPr="00083C7B" w:rsidRDefault="00FA5375" w:rsidP="00083C7B">
      <w:pPr>
        <w:widowControl w:val="0"/>
        <w:spacing w:after="0" w:line="360" w:lineRule="auto"/>
        <w:rPr>
          <w:rFonts w:ascii="Arial" w:hAnsi="Arial" w:cs="Arial"/>
          <w:sz w:val="24"/>
          <w:szCs w:val="24"/>
          <w:lang w:val="en-US"/>
        </w:rPr>
      </w:pPr>
      <w:r w:rsidRPr="00083C7B">
        <w:rPr>
          <w:rFonts w:ascii="Arial" w:hAnsi="Arial" w:cs="Arial"/>
          <w:b/>
          <w:bCs/>
          <w:sz w:val="24"/>
          <w:szCs w:val="24"/>
          <w:lang w:val="en-US"/>
        </w:rPr>
        <w:t>N. Kunju</w:t>
      </w:r>
      <w:r w:rsidR="00F051E6" w:rsidRPr="00083C7B">
        <w:rPr>
          <w:rFonts w:ascii="Arial" w:hAnsi="Arial" w:cs="Arial"/>
          <w:sz w:val="24"/>
          <w:szCs w:val="24"/>
          <w:lang w:val="en-US"/>
        </w:rPr>
        <w:t xml:space="preserve"> for the appellant (</w:t>
      </w:r>
      <w:r w:rsidRPr="00083C7B">
        <w:rPr>
          <w:rFonts w:ascii="Arial" w:hAnsi="Arial" w:cs="Arial"/>
          <w:sz w:val="24"/>
          <w:szCs w:val="24"/>
          <w:lang w:val="en-US"/>
        </w:rPr>
        <w:t>Legal Aid South Africa</w:t>
      </w:r>
      <w:r w:rsidR="00F051E6" w:rsidRPr="00083C7B">
        <w:rPr>
          <w:rFonts w:ascii="Arial" w:hAnsi="Arial" w:cs="Arial"/>
          <w:sz w:val="24"/>
          <w:szCs w:val="24"/>
          <w:lang w:val="en-US"/>
        </w:rPr>
        <w:t>)</w:t>
      </w:r>
    </w:p>
    <w:p w14:paraId="4C2E98AF" w14:textId="00EEAEF5" w:rsidR="00F051E6" w:rsidRPr="00083C7B" w:rsidRDefault="00FA5375" w:rsidP="00083C7B">
      <w:pPr>
        <w:widowControl w:val="0"/>
        <w:spacing w:after="0" w:line="360" w:lineRule="auto"/>
        <w:rPr>
          <w:rFonts w:ascii="Arial" w:hAnsi="Arial" w:cs="Arial"/>
          <w:sz w:val="24"/>
          <w:szCs w:val="24"/>
          <w:lang w:val="en-US"/>
        </w:rPr>
      </w:pPr>
      <w:r w:rsidRPr="00083C7B">
        <w:rPr>
          <w:rFonts w:ascii="Arial" w:hAnsi="Arial" w:cs="Arial"/>
          <w:b/>
          <w:bCs/>
          <w:sz w:val="24"/>
          <w:szCs w:val="24"/>
          <w:lang w:val="en-US"/>
        </w:rPr>
        <w:t>M. Engelbrecht</w:t>
      </w:r>
      <w:r w:rsidR="00F051E6" w:rsidRPr="00083C7B">
        <w:rPr>
          <w:rFonts w:ascii="Arial" w:hAnsi="Arial" w:cs="Arial"/>
          <w:sz w:val="24"/>
          <w:szCs w:val="24"/>
          <w:lang w:val="en-US"/>
        </w:rPr>
        <w:t xml:space="preserve"> for the respondent (Director of Public Prosecutions, Western Cape)</w:t>
      </w:r>
    </w:p>
    <w:sectPr w:rsidR="00F051E6" w:rsidRPr="00083C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985B" w14:textId="77777777" w:rsidR="005F5D6C" w:rsidRDefault="005F5D6C" w:rsidP="00A248BA">
      <w:pPr>
        <w:spacing w:after="0" w:line="240" w:lineRule="auto"/>
      </w:pPr>
      <w:r>
        <w:separator/>
      </w:r>
    </w:p>
  </w:endnote>
  <w:endnote w:type="continuationSeparator" w:id="0">
    <w:p w14:paraId="4243EA45" w14:textId="77777777" w:rsidR="005F5D6C" w:rsidRDefault="005F5D6C"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E525" w14:textId="77777777" w:rsidR="005F5D6C" w:rsidRDefault="005F5D6C" w:rsidP="00A248BA">
      <w:pPr>
        <w:spacing w:after="0" w:line="240" w:lineRule="auto"/>
      </w:pPr>
      <w:r>
        <w:separator/>
      </w:r>
    </w:p>
  </w:footnote>
  <w:footnote w:type="continuationSeparator" w:id="0">
    <w:p w14:paraId="2559A5BA" w14:textId="77777777" w:rsidR="005F5D6C" w:rsidRDefault="005F5D6C" w:rsidP="00A2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5589"/>
      <w:docPartObj>
        <w:docPartGallery w:val="Page Numbers (Top of Page)"/>
        <w:docPartUnique/>
      </w:docPartObj>
    </w:sdtPr>
    <w:sdtEndPr>
      <w:rPr>
        <w:rFonts w:ascii="Arial" w:hAnsi="Arial" w:cs="Arial"/>
        <w:noProof/>
      </w:rPr>
    </w:sdtEndPr>
    <w:sdtContent>
      <w:p w14:paraId="70DDCF21" w14:textId="6A2C69CE"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00324D95">
          <w:rPr>
            <w:rFonts w:ascii="Arial" w:hAnsi="Arial" w:cs="Arial"/>
            <w:noProof/>
          </w:rPr>
          <w:t>2</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441C40"/>
    <w:multiLevelType w:val="multilevel"/>
    <w:tmpl w:val="D24E79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938FE"/>
    <w:multiLevelType w:val="hybridMultilevel"/>
    <w:tmpl w:val="324846A2"/>
    <w:lvl w:ilvl="0" w:tplc="DD84C2F8">
      <w:start w:val="1"/>
      <w:numFmt w:val="lowerLetter"/>
      <w:lvlText w:val="(%1)"/>
      <w:lvlJc w:val="left"/>
      <w:pPr>
        <w:ind w:left="1078" w:hanging="360"/>
      </w:pPr>
      <w:rPr>
        <w:rFonts w:hint="default"/>
        <w:i/>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5">
    <w:nsid w:val="385557CA"/>
    <w:multiLevelType w:val="hybridMultilevel"/>
    <w:tmpl w:val="C574AB8C"/>
    <w:lvl w:ilvl="0" w:tplc="A078BF14">
      <w:start w:val="1"/>
      <w:numFmt w:val="decimal"/>
      <w:lvlText w:val="%1."/>
      <w:lvlJc w:val="left"/>
      <w:pPr>
        <w:ind w:left="1447" w:hanging="1134"/>
        <w:jc w:val="right"/>
      </w:pPr>
      <w:rPr>
        <w:rFonts w:ascii="Arial" w:eastAsia="Arial" w:hAnsi="Arial" w:cs="Arial" w:hint="default"/>
        <w:i w:val="0"/>
        <w:iCs/>
        <w:spacing w:val="-8"/>
        <w:w w:val="99"/>
        <w:sz w:val="24"/>
        <w:szCs w:val="24"/>
      </w:rPr>
    </w:lvl>
    <w:lvl w:ilvl="1" w:tplc="FE383C9C">
      <w:start w:val="1"/>
      <w:numFmt w:val="lowerLetter"/>
      <w:lvlText w:val="(%2)"/>
      <w:lvlJc w:val="left"/>
      <w:pPr>
        <w:ind w:left="1611" w:hanging="364"/>
        <w:jc w:val="left"/>
      </w:pPr>
      <w:rPr>
        <w:rFonts w:ascii="Arial" w:eastAsia="Arial" w:hAnsi="Arial" w:cs="Arial" w:hint="default"/>
        <w:i/>
        <w:spacing w:val="0"/>
        <w:w w:val="99"/>
        <w:sz w:val="24"/>
        <w:szCs w:val="24"/>
      </w:rPr>
    </w:lvl>
    <w:lvl w:ilvl="2" w:tplc="AF8E5924">
      <w:numFmt w:val="bullet"/>
      <w:lvlText w:val="•"/>
      <w:lvlJc w:val="left"/>
      <w:pPr>
        <w:ind w:left="1620" w:hanging="364"/>
      </w:pPr>
      <w:rPr>
        <w:rFonts w:hint="default"/>
      </w:rPr>
    </w:lvl>
    <w:lvl w:ilvl="3" w:tplc="0EF29CAE">
      <w:numFmt w:val="bullet"/>
      <w:lvlText w:val="•"/>
      <w:lvlJc w:val="left"/>
      <w:pPr>
        <w:ind w:left="1860" w:hanging="364"/>
      </w:pPr>
      <w:rPr>
        <w:rFonts w:hint="default"/>
      </w:rPr>
    </w:lvl>
    <w:lvl w:ilvl="4" w:tplc="70B2D5CC">
      <w:numFmt w:val="bullet"/>
      <w:lvlText w:val="•"/>
      <w:lvlJc w:val="left"/>
      <w:pPr>
        <w:ind w:left="3034" w:hanging="364"/>
      </w:pPr>
      <w:rPr>
        <w:rFonts w:hint="default"/>
      </w:rPr>
    </w:lvl>
    <w:lvl w:ilvl="5" w:tplc="9948C930">
      <w:numFmt w:val="bullet"/>
      <w:lvlText w:val="•"/>
      <w:lvlJc w:val="left"/>
      <w:pPr>
        <w:ind w:left="4208" w:hanging="364"/>
      </w:pPr>
      <w:rPr>
        <w:rFonts w:hint="default"/>
      </w:rPr>
    </w:lvl>
    <w:lvl w:ilvl="6" w:tplc="A94E8930">
      <w:numFmt w:val="bullet"/>
      <w:lvlText w:val="•"/>
      <w:lvlJc w:val="left"/>
      <w:pPr>
        <w:ind w:left="5382" w:hanging="364"/>
      </w:pPr>
      <w:rPr>
        <w:rFonts w:hint="default"/>
      </w:rPr>
    </w:lvl>
    <w:lvl w:ilvl="7" w:tplc="90D0054C">
      <w:numFmt w:val="bullet"/>
      <w:lvlText w:val="•"/>
      <w:lvlJc w:val="left"/>
      <w:pPr>
        <w:ind w:left="6557" w:hanging="364"/>
      </w:pPr>
      <w:rPr>
        <w:rFonts w:hint="default"/>
      </w:rPr>
    </w:lvl>
    <w:lvl w:ilvl="8" w:tplc="7A8E2DC8">
      <w:numFmt w:val="bullet"/>
      <w:lvlText w:val="•"/>
      <w:lvlJc w:val="left"/>
      <w:pPr>
        <w:ind w:left="7731" w:hanging="364"/>
      </w:pPr>
      <w:rPr>
        <w:rFonts w:hint="default"/>
      </w:rPr>
    </w:lvl>
  </w:abstractNum>
  <w:abstractNum w:abstractNumId="6">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7C0811BC"/>
    <w:multiLevelType w:val="hybridMultilevel"/>
    <w:tmpl w:val="0A222C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629E4"/>
    <w:rsid w:val="0007337A"/>
    <w:rsid w:val="00075C9C"/>
    <w:rsid w:val="00083C7B"/>
    <w:rsid w:val="000B0F77"/>
    <w:rsid w:val="00112244"/>
    <w:rsid w:val="001529BC"/>
    <w:rsid w:val="00154E4A"/>
    <w:rsid w:val="00193BF7"/>
    <w:rsid w:val="00197081"/>
    <w:rsid w:val="001C09BC"/>
    <w:rsid w:val="001E7C43"/>
    <w:rsid w:val="001F63A3"/>
    <w:rsid w:val="00257C63"/>
    <w:rsid w:val="00287AE9"/>
    <w:rsid w:val="002A321A"/>
    <w:rsid w:val="002A4693"/>
    <w:rsid w:val="00324D95"/>
    <w:rsid w:val="003458D6"/>
    <w:rsid w:val="003844BF"/>
    <w:rsid w:val="003D37C6"/>
    <w:rsid w:val="003F7054"/>
    <w:rsid w:val="00416F51"/>
    <w:rsid w:val="00421010"/>
    <w:rsid w:val="004228B0"/>
    <w:rsid w:val="004278F8"/>
    <w:rsid w:val="004300B7"/>
    <w:rsid w:val="00434291"/>
    <w:rsid w:val="004556AD"/>
    <w:rsid w:val="00460F28"/>
    <w:rsid w:val="004733F5"/>
    <w:rsid w:val="004868FA"/>
    <w:rsid w:val="004C6B30"/>
    <w:rsid w:val="004F3BAA"/>
    <w:rsid w:val="004F3CB3"/>
    <w:rsid w:val="00530020"/>
    <w:rsid w:val="00552EAC"/>
    <w:rsid w:val="00552F44"/>
    <w:rsid w:val="00593A98"/>
    <w:rsid w:val="005A42D4"/>
    <w:rsid w:val="005A5A94"/>
    <w:rsid w:val="005B7DDA"/>
    <w:rsid w:val="005C2ED2"/>
    <w:rsid w:val="005E7572"/>
    <w:rsid w:val="005F5D6C"/>
    <w:rsid w:val="0060174D"/>
    <w:rsid w:val="00605D67"/>
    <w:rsid w:val="006319C0"/>
    <w:rsid w:val="00653802"/>
    <w:rsid w:val="00684DA6"/>
    <w:rsid w:val="0069723B"/>
    <w:rsid w:val="006A2521"/>
    <w:rsid w:val="006F22E3"/>
    <w:rsid w:val="00722800"/>
    <w:rsid w:val="00725514"/>
    <w:rsid w:val="007376F7"/>
    <w:rsid w:val="00743725"/>
    <w:rsid w:val="0076444A"/>
    <w:rsid w:val="007E6814"/>
    <w:rsid w:val="007F1E4D"/>
    <w:rsid w:val="00803263"/>
    <w:rsid w:val="0080437C"/>
    <w:rsid w:val="008541B3"/>
    <w:rsid w:val="008A05E1"/>
    <w:rsid w:val="008E59A1"/>
    <w:rsid w:val="00934DF9"/>
    <w:rsid w:val="009450B4"/>
    <w:rsid w:val="0096550F"/>
    <w:rsid w:val="00977EE0"/>
    <w:rsid w:val="00995816"/>
    <w:rsid w:val="009A75D1"/>
    <w:rsid w:val="009D5720"/>
    <w:rsid w:val="00A009DF"/>
    <w:rsid w:val="00A07D7A"/>
    <w:rsid w:val="00A16C7B"/>
    <w:rsid w:val="00A248BA"/>
    <w:rsid w:val="00A25029"/>
    <w:rsid w:val="00A4790E"/>
    <w:rsid w:val="00A64A9C"/>
    <w:rsid w:val="00A7667D"/>
    <w:rsid w:val="00AC22AD"/>
    <w:rsid w:val="00B07EF6"/>
    <w:rsid w:val="00B23846"/>
    <w:rsid w:val="00B33418"/>
    <w:rsid w:val="00B50DFA"/>
    <w:rsid w:val="00B53302"/>
    <w:rsid w:val="00B65C7C"/>
    <w:rsid w:val="00B904D8"/>
    <w:rsid w:val="00BC55F0"/>
    <w:rsid w:val="00BE0B61"/>
    <w:rsid w:val="00BE1A2C"/>
    <w:rsid w:val="00C12EB9"/>
    <w:rsid w:val="00C4722D"/>
    <w:rsid w:val="00C5076C"/>
    <w:rsid w:val="00C75511"/>
    <w:rsid w:val="00C85F27"/>
    <w:rsid w:val="00CB3BBC"/>
    <w:rsid w:val="00CB476A"/>
    <w:rsid w:val="00CF02DB"/>
    <w:rsid w:val="00D31B5A"/>
    <w:rsid w:val="00D53C5B"/>
    <w:rsid w:val="00D63CAF"/>
    <w:rsid w:val="00DA24DD"/>
    <w:rsid w:val="00DC574C"/>
    <w:rsid w:val="00DE0F2B"/>
    <w:rsid w:val="00DE2448"/>
    <w:rsid w:val="00E00964"/>
    <w:rsid w:val="00E07CF6"/>
    <w:rsid w:val="00E138C5"/>
    <w:rsid w:val="00E21634"/>
    <w:rsid w:val="00E2177E"/>
    <w:rsid w:val="00E251F0"/>
    <w:rsid w:val="00E3472F"/>
    <w:rsid w:val="00E37419"/>
    <w:rsid w:val="00E442D4"/>
    <w:rsid w:val="00E444DB"/>
    <w:rsid w:val="00E4510F"/>
    <w:rsid w:val="00E50485"/>
    <w:rsid w:val="00E53A8F"/>
    <w:rsid w:val="00E70C83"/>
    <w:rsid w:val="00E806D0"/>
    <w:rsid w:val="00E807A7"/>
    <w:rsid w:val="00EB7E16"/>
    <w:rsid w:val="00EC4FEB"/>
    <w:rsid w:val="00F051E6"/>
    <w:rsid w:val="00F1445C"/>
    <w:rsid w:val="00F154B0"/>
    <w:rsid w:val="00F16888"/>
    <w:rsid w:val="00F304ED"/>
    <w:rsid w:val="00F30F9B"/>
    <w:rsid w:val="00F46149"/>
    <w:rsid w:val="00F81B83"/>
    <w:rsid w:val="00F93F1D"/>
    <w:rsid w:val="00FA5375"/>
    <w:rsid w:val="00FB27C9"/>
    <w:rsid w:val="00FD2B9D"/>
    <w:rsid w:val="00FD45B7"/>
    <w:rsid w:val="00FF5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04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character" w:customStyle="1" w:styleId="Heading2Char">
    <w:name w:val="Heading 2 Char"/>
    <w:basedOn w:val="DefaultParagraphFont"/>
    <w:link w:val="Heading2"/>
    <w:uiPriority w:val="9"/>
    <w:rsid w:val="00E504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2244"/>
    <w:rPr>
      <w:color w:val="0000FF"/>
      <w:u w:val="single"/>
    </w:rPr>
  </w:style>
  <w:style w:type="paragraph" w:customStyle="1" w:styleId="western">
    <w:name w:val="western"/>
    <w:basedOn w:val="Normal"/>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E807A7"/>
    <w:pPr>
      <w:widowControl w:val="0"/>
      <w:autoSpaceDE w:val="0"/>
      <w:autoSpaceDN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E807A7"/>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E80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343">
      <w:bodyDiv w:val="1"/>
      <w:marLeft w:val="0"/>
      <w:marRight w:val="0"/>
      <w:marTop w:val="0"/>
      <w:marBottom w:val="0"/>
      <w:divBdr>
        <w:top w:val="none" w:sz="0" w:space="0" w:color="auto"/>
        <w:left w:val="none" w:sz="0" w:space="0" w:color="auto"/>
        <w:bottom w:val="none" w:sz="0" w:space="0" w:color="auto"/>
        <w:right w:val="none" w:sz="0" w:space="0" w:color="auto"/>
      </w:divBdr>
    </w:div>
    <w:div w:id="687415717">
      <w:bodyDiv w:val="1"/>
      <w:marLeft w:val="0"/>
      <w:marRight w:val="0"/>
      <w:marTop w:val="0"/>
      <w:marBottom w:val="0"/>
      <w:divBdr>
        <w:top w:val="none" w:sz="0" w:space="0" w:color="auto"/>
        <w:left w:val="none" w:sz="0" w:space="0" w:color="auto"/>
        <w:bottom w:val="none" w:sz="0" w:space="0" w:color="auto"/>
        <w:right w:val="none" w:sz="0" w:space="0" w:color="auto"/>
      </w:divBdr>
    </w:div>
    <w:div w:id="69658340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11">
          <w:marLeft w:val="0"/>
          <w:marRight w:val="0"/>
          <w:marTop w:val="120"/>
          <w:marBottom w:val="0"/>
          <w:divBdr>
            <w:top w:val="none" w:sz="0" w:space="0" w:color="auto"/>
            <w:left w:val="none" w:sz="0" w:space="0" w:color="auto"/>
            <w:bottom w:val="none" w:sz="0" w:space="0" w:color="auto"/>
            <w:right w:val="none" w:sz="0" w:space="0" w:color="auto"/>
          </w:divBdr>
        </w:div>
      </w:divsChild>
    </w:div>
    <w:div w:id="712536960">
      <w:bodyDiv w:val="1"/>
      <w:marLeft w:val="0"/>
      <w:marRight w:val="0"/>
      <w:marTop w:val="0"/>
      <w:marBottom w:val="0"/>
      <w:divBdr>
        <w:top w:val="none" w:sz="0" w:space="0" w:color="auto"/>
        <w:left w:val="none" w:sz="0" w:space="0" w:color="auto"/>
        <w:bottom w:val="none" w:sz="0" w:space="0" w:color="auto"/>
        <w:right w:val="none" w:sz="0" w:space="0" w:color="auto"/>
      </w:divBdr>
    </w:div>
    <w:div w:id="857239563">
      <w:bodyDiv w:val="1"/>
      <w:marLeft w:val="0"/>
      <w:marRight w:val="0"/>
      <w:marTop w:val="0"/>
      <w:marBottom w:val="0"/>
      <w:divBdr>
        <w:top w:val="none" w:sz="0" w:space="0" w:color="auto"/>
        <w:left w:val="none" w:sz="0" w:space="0" w:color="auto"/>
        <w:bottom w:val="none" w:sz="0" w:space="0" w:color="auto"/>
        <w:right w:val="none" w:sz="0" w:space="0" w:color="auto"/>
      </w:divBdr>
      <w:divsChild>
        <w:div w:id="1841045815">
          <w:marLeft w:val="0"/>
          <w:marRight w:val="0"/>
          <w:marTop w:val="120"/>
          <w:marBottom w:val="0"/>
          <w:divBdr>
            <w:top w:val="none" w:sz="0" w:space="0" w:color="auto"/>
            <w:left w:val="none" w:sz="0" w:space="0" w:color="auto"/>
            <w:bottom w:val="none" w:sz="0" w:space="0" w:color="auto"/>
            <w:right w:val="none" w:sz="0" w:space="0" w:color="auto"/>
          </w:divBdr>
        </w:div>
        <w:div w:id="1152647817">
          <w:marLeft w:val="1134"/>
          <w:marRight w:val="0"/>
          <w:marTop w:val="60"/>
          <w:marBottom w:val="0"/>
          <w:divBdr>
            <w:top w:val="none" w:sz="0" w:space="0" w:color="auto"/>
            <w:left w:val="none" w:sz="0" w:space="0" w:color="auto"/>
            <w:bottom w:val="none" w:sz="0" w:space="0" w:color="auto"/>
            <w:right w:val="none" w:sz="0" w:space="0" w:color="auto"/>
          </w:divBdr>
        </w:div>
        <w:div w:id="1566456787">
          <w:marLeft w:val="1134"/>
          <w:marRight w:val="0"/>
          <w:marTop w:val="60"/>
          <w:marBottom w:val="0"/>
          <w:divBdr>
            <w:top w:val="none" w:sz="0" w:space="0" w:color="auto"/>
            <w:left w:val="none" w:sz="0" w:space="0" w:color="auto"/>
            <w:bottom w:val="none" w:sz="0" w:space="0" w:color="auto"/>
            <w:right w:val="none" w:sz="0" w:space="0" w:color="auto"/>
          </w:divBdr>
        </w:div>
      </w:divsChild>
    </w:div>
    <w:div w:id="861554483">
      <w:bodyDiv w:val="1"/>
      <w:marLeft w:val="0"/>
      <w:marRight w:val="0"/>
      <w:marTop w:val="0"/>
      <w:marBottom w:val="0"/>
      <w:divBdr>
        <w:top w:val="none" w:sz="0" w:space="0" w:color="auto"/>
        <w:left w:val="none" w:sz="0" w:space="0" w:color="auto"/>
        <w:bottom w:val="none" w:sz="0" w:space="0" w:color="auto"/>
        <w:right w:val="none" w:sz="0" w:space="0" w:color="auto"/>
      </w:divBdr>
      <w:divsChild>
        <w:div w:id="335764199">
          <w:marLeft w:val="0"/>
          <w:marRight w:val="0"/>
          <w:marTop w:val="120"/>
          <w:marBottom w:val="0"/>
          <w:divBdr>
            <w:top w:val="none" w:sz="0" w:space="0" w:color="auto"/>
            <w:left w:val="none" w:sz="0" w:space="0" w:color="auto"/>
            <w:bottom w:val="none" w:sz="0" w:space="0" w:color="auto"/>
            <w:right w:val="none" w:sz="0" w:space="0" w:color="auto"/>
          </w:divBdr>
        </w:div>
        <w:div w:id="2107269020">
          <w:marLeft w:val="1134"/>
          <w:marRight w:val="0"/>
          <w:marTop w:val="60"/>
          <w:marBottom w:val="0"/>
          <w:divBdr>
            <w:top w:val="none" w:sz="0" w:space="0" w:color="auto"/>
            <w:left w:val="none" w:sz="0" w:space="0" w:color="auto"/>
            <w:bottom w:val="none" w:sz="0" w:space="0" w:color="auto"/>
            <w:right w:val="none" w:sz="0" w:space="0" w:color="auto"/>
          </w:divBdr>
        </w:div>
        <w:div w:id="312099936">
          <w:marLeft w:val="567"/>
          <w:marRight w:val="567"/>
          <w:marTop w:val="20"/>
          <w:marBottom w:val="20"/>
          <w:divBdr>
            <w:top w:val="none" w:sz="0" w:space="0" w:color="auto"/>
            <w:left w:val="none" w:sz="0" w:space="0" w:color="auto"/>
            <w:bottom w:val="none" w:sz="0" w:space="0" w:color="auto"/>
            <w:right w:val="none" w:sz="0" w:space="0" w:color="auto"/>
          </w:divBdr>
        </w:div>
        <w:div w:id="1005398406">
          <w:marLeft w:val="1134"/>
          <w:marRight w:val="0"/>
          <w:marTop w:val="60"/>
          <w:marBottom w:val="0"/>
          <w:divBdr>
            <w:top w:val="none" w:sz="0" w:space="0" w:color="auto"/>
            <w:left w:val="none" w:sz="0" w:space="0" w:color="auto"/>
            <w:bottom w:val="none" w:sz="0" w:space="0" w:color="auto"/>
            <w:right w:val="none" w:sz="0" w:space="0" w:color="auto"/>
          </w:divBdr>
        </w:div>
        <w:div w:id="2066173166">
          <w:marLeft w:val="1134"/>
          <w:marRight w:val="0"/>
          <w:marTop w:val="60"/>
          <w:marBottom w:val="0"/>
          <w:divBdr>
            <w:top w:val="none" w:sz="0" w:space="0" w:color="auto"/>
            <w:left w:val="none" w:sz="0" w:space="0" w:color="auto"/>
            <w:bottom w:val="none" w:sz="0" w:space="0" w:color="auto"/>
            <w:right w:val="none" w:sz="0" w:space="0" w:color="auto"/>
          </w:divBdr>
        </w:div>
        <w:div w:id="1480608701">
          <w:marLeft w:val="1134"/>
          <w:marRight w:val="0"/>
          <w:marTop w:val="60"/>
          <w:marBottom w:val="0"/>
          <w:divBdr>
            <w:top w:val="none" w:sz="0" w:space="0" w:color="auto"/>
            <w:left w:val="none" w:sz="0" w:space="0" w:color="auto"/>
            <w:bottom w:val="none" w:sz="0" w:space="0" w:color="auto"/>
            <w:right w:val="none" w:sz="0" w:space="0" w:color="auto"/>
          </w:divBdr>
        </w:div>
        <w:div w:id="1035425045">
          <w:marLeft w:val="1134"/>
          <w:marRight w:val="0"/>
          <w:marTop w:val="60"/>
          <w:marBottom w:val="0"/>
          <w:divBdr>
            <w:top w:val="none" w:sz="0" w:space="0" w:color="auto"/>
            <w:left w:val="none" w:sz="0" w:space="0" w:color="auto"/>
            <w:bottom w:val="none" w:sz="0" w:space="0" w:color="auto"/>
            <w:right w:val="none" w:sz="0" w:space="0" w:color="auto"/>
          </w:divBdr>
        </w:div>
      </w:divsChild>
    </w:div>
    <w:div w:id="1177882904">
      <w:bodyDiv w:val="1"/>
      <w:marLeft w:val="0"/>
      <w:marRight w:val="0"/>
      <w:marTop w:val="0"/>
      <w:marBottom w:val="0"/>
      <w:divBdr>
        <w:top w:val="none" w:sz="0" w:space="0" w:color="auto"/>
        <w:left w:val="none" w:sz="0" w:space="0" w:color="auto"/>
        <w:bottom w:val="none" w:sz="0" w:space="0" w:color="auto"/>
        <w:right w:val="none" w:sz="0" w:space="0" w:color="auto"/>
      </w:divBdr>
    </w:div>
    <w:div w:id="1326317583">
      <w:bodyDiv w:val="1"/>
      <w:marLeft w:val="0"/>
      <w:marRight w:val="0"/>
      <w:marTop w:val="0"/>
      <w:marBottom w:val="0"/>
      <w:divBdr>
        <w:top w:val="none" w:sz="0" w:space="0" w:color="auto"/>
        <w:left w:val="none" w:sz="0" w:space="0" w:color="auto"/>
        <w:bottom w:val="none" w:sz="0" w:space="0" w:color="auto"/>
        <w:right w:val="none" w:sz="0" w:space="0" w:color="auto"/>
      </w:divBdr>
    </w:div>
    <w:div w:id="1395661796">
      <w:bodyDiv w:val="1"/>
      <w:marLeft w:val="0"/>
      <w:marRight w:val="0"/>
      <w:marTop w:val="0"/>
      <w:marBottom w:val="0"/>
      <w:divBdr>
        <w:top w:val="none" w:sz="0" w:space="0" w:color="auto"/>
        <w:left w:val="none" w:sz="0" w:space="0" w:color="auto"/>
        <w:bottom w:val="none" w:sz="0" w:space="0" w:color="auto"/>
        <w:right w:val="none" w:sz="0" w:space="0" w:color="auto"/>
      </w:divBdr>
    </w:div>
    <w:div w:id="1418095099">
      <w:bodyDiv w:val="1"/>
      <w:marLeft w:val="0"/>
      <w:marRight w:val="0"/>
      <w:marTop w:val="0"/>
      <w:marBottom w:val="0"/>
      <w:divBdr>
        <w:top w:val="none" w:sz="0" w:space="0" w:color="auto"/>
        <w:left w:val="none" w:sz="0" w:space="0" w:color="auto"/>
        <w:bottom w:val="none" w:sz="0" w:space="0" w:color="auto"/>
        <w:right w:val="none" w:sz="0" w:space="0" w:color="auto"/>
      </w:divBdr>
    </w:div>
    <w:div w:id="17115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Mokone</cp:lastModifiedBy>
  <cp:revision>2</cp:revision>
  <dcterms:created xsi:type="dcterms:W3CDTF">2023-05-16T10:46:00Z</dcterms:created>
  <dcterms:modified xsi:type="dcterms:W3CDTF">2023-05-16T10:46:00Z</dcterms:modified>
</cp:coreProperties>
</file>