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366C8" w14:textId="20527382" w:rsidR="00F62C8B" w:rsidRDefault="00F63BC8" w:rsidP="00CE016B">
      <w:pPr>
        <w:jc w:val="center"/>
        <w:rPr>
          <w:sz w:val="22"/>
          <w:lang w:val="en-GB"/>
        </w:rPr>
      </w:pPr>
      <w:bookmarkStart w:id="0" w:name="_GoBack"/>
      <w:bookmarkEnd w:id="0"/>
      <w:r>
        <w:rPr>
          <w:rFonts w:ascii="Arial" w:hAnsi="Arial" w:cs="Arial"/>
          <w:b/>
          <w:noProof/>
          <w:sz w:val="24"/>
          <w:szCs w:val="24"/>
          <w:lang w:val="en-US" w:eastAsia="en-US"/>
        </w:rPr>
        <w:drawing>
          <wp:inline distT="0" distB="0" distL="0" distR="0" wp14:anchorId="71C19988" wp14:editId="2B2BE514">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14:paraId="5279DAFE" w14:textId="77777777" w:rsidR="00F63BC8" w:rsidRDefault="00F63BC8" w:rsidP="00F63BC8">
      <w:pPr>
        <w:jc w:val="center"/>
        <w:rPr>
          <w:rFonts w:ascii="Arial" w:hAnsi="Arial" w:cs="Arial"/>
          <w:b/>
          <w:bCs/>
          <w:sz w:val="24"/>
          <w:szCs w:val="24"/>
          <w:lang w:val="en-GB"/>
        </w:rPr>
      </w:pPr>
    </w:p>
    <w:p w14:paraId="58E9E181" w14:textId="2FD9D2D4" w:rsidR="00F63BC8" w:rsidRDefault="00F63BC8" w:rsidP="00F63BC8">
      <w:pPr>
        <w:jc w:val="center"/>
        <w:rPr>
          <w:rFonts w:ascii="Arial" w:hAnsi="Arial" w:cs="Arial"/>
          <w:sz w:val="24"/>
          <w:szCs w:val="24"/>
          <w:lang w:val="en-GB"/>
        </w:rPr>
      </w:pPr>
      <w:r>
        <w:rPr>
          <w:rFonts w:ascii="Arial" w:hAnsi="Arial" w:cs="Arial"/>
          <w:b/>
          <w:bCs/>
          <w:sz w:val="24"/>
          <w:szCs w:val="24"/>
          <w:lang w:val="en-GB"/>
        </w:rPr>
        <w:t>IN THE HIGH COURT OF SOUTH AFRICA</w:t>
      </w:r>
    </w:p>
    <w:p w14:paraId="1F7CF525" w14:textId="77777777" w:rsidR="00F63BC8" w:rsidRDefault="00F63BC8" w:rsidP="00F63BC8">
      <w:pPr>
        <w:jc w:val="center"/>
        <w:rPr>
          <w:rFonts w:ascii="Arial" w:hAnsi="Arial" w:cs="Arial"/>
          <w:b/>
          <w:bCs/>
          <w:sz w:val="24"/>
          <w:szCs w:val="24"/>
          <w:lang w:val="en-GB"/>
        </w:rPr>
      </w:pPr>
      <w:r>
        <w:rPr>
          <w:rFonts w:ascii="Arial" w:hAnsi="Arial" w:cs="Arial"/>
          <w:b/>
          <w:bCs/>
          <w:sz w:val="24"/>
          <w:szCs w:val="24"/>
          <w:lang w:val="en-GB"/>
        </w:rPr>
        <w:t>(WESTERN CAPE DIVISION, CAPE TOWN)</w:t>
      </w:r>
    </w:p>
    <w:p w14:paraId="11658D9D" w14:textId="49E1BC24" w:rsidR="00FB6BAB" w:rsidRPr="00CF5CE6" w:rsidRDefault="00F62C8B" w:rsidP="00CF5CE6">
      <w:pPr>
        <w:pStyle w:val="Header"/>
        <w:jc w:val="center"/>
        <w:rPr>
          <w:rFonts w:ascii="Arial" w:hAnsi="Arial" w:cs="Arial"/>
          <w:lang w:val="en-GB"/>
        </w:rPr>
      </w:pPr>
      <w:r w:rsidRPr="009231E2">
        <w:rPr>
          <w:rFonts w:ascii="Arial" w:hAnsi="Arial" w:cs="Arial"/>
          <w:lang w:val="en-GB"/>
        </w:rPr>
        <w:t xml:space="preserve">  </w:t>
      </w:r>
      <w:r w:rsidR="00C20AC2">
        <w:rPr>
          <w:rFonts w:ascii="Arial" w:hAnsi="Arial" w:cs="Arial"/>
          <w:b/>
          <w:sz w:val="24"/>
          <w:szCs w:val="24"/>
        </w:rPr>
        <w:t xml:space="preserve">                                                                                                    </w:t>
      </w:r>
      <w:r w:rsidR="00C20AC2" w:rsidRPr="00C20AC2">
        <w:rPr>
          <w:rFonts w:ascii="Arial" w:hAnsi="Arial" w:cs="Arial"/>
          <w:b/>
          <w:sz w:val="24"/>
          <w:szCs w:val="24"/>
        </w:rPr>
        <w:t xml:space="preserve">                                                                                      </w:t>
      </w:r>
      <w:r w:rsidR="00CF5CE6">
        <w:rPr>
          <w:rFonts w:ascii="Arial" w:hAnsi="Arial" w:cs="Arial"/>
          <w:b/>
          <w:sz w:val="24"/>
          <w:szCs w:val="24"/>
        </w:rPr>
        <w:t xml:space="preserve">            </w:t>
      </w:r>
      <w:r w:rsidR="00FB6BAB">
        <w:rPr>
          <w:rFonts w:ascii="Arial" w:hAnsi="Arial" w:cs="Arial"/>
          <w:b/>
          <w:sz w:val="24"/>
          <w:szCs w:val="24"/>
        </w:rPr>
        <w:t xml:space="preserve"> </w:t>
      </w:r>
    </w:p>
    <w:p w14:paraId="426F57F1" w14:textId="17C0B1E0"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 xml:space="preserve">                                                                                                </w:t>
      </w:r>
      <w:r w:rsidRPr="000B60E3">
        <w:rPr>
          <w:rFonts w:ascii="Arial" w:hAnsi="Arial" w:cs="Arial"/>
          <w:b/>
          <w:sz w:val="24"/>
          <w:szCs w:val="24"/>
        </w:rPr>
        <w:t xml:space="preserve">Case No: </w:t>
      </w:r>
      <w:r w:rsidR="00565A88">
        <w:rPr>
          <w:rFonts w:ascii="Arial" w:hAnsi="Arial" w:cs="Arial"/>
          <w:b/>
          <w:sz w:val="24"/>
          <w:szCs w:val="24"/>
        </w:rPr>
        <w:t>18501/2022</w:t>
      </w:r>
    </w:p>
    <w:p w14:paraId="448D9683"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sz w:val="24"/>
          <w:szCs w:val="24"/>
        </w:rPr>
        <w:t>In</w:t>
      </w:r>
      <w:r w:rsidRPr="000B60E3">
        <w:rPr>
          <w:rFonts w:ascii="Arial" w:hAnsi="Arial" w:cs="Arial"/>
          <w:b/>
          <w:sz w:val="24"/>
          <w:szCs w:val="24"/>
        </w:rPr>
        <w:t xml:space="preserve"> the matter between:</w:t>
      </w:r>
      <w:r w:rsidRPr="000B60E3">
        <w:rPr>
          <w:rFonts w:ascii="Arial" w:hAnsi="Arial" w:cs="Arial"/>
          <w:b/>
          <w:sz w:val="24"/>
          <w:szCs w:val="24"/>
        </w:rPr>
        <w:tab/>
      </w:r>
    </w:p>
    <w:p w14:paraId="06D407E5"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p>
    <w:p w14:paraId="0F3F89AD" w14:textId="39621FBB"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DAVID NEIL MCMURRAY</w:t>
      </w:r>
      <w:r w:rsidRPr="000B60E3">
        <w:rPr>
          <w:rFonts w:ascii="Arial" w:hAnsi="Arial" w:cs="Arial"/>
          <w:b/>
          <w:sz w:val="24"/>
          <w:szCs w:val="24"/>
        </w:rPr>
        <w:tab/>
      </w:r>
      <w:r w:rsidRPr="000B60E3">
        <w:rPr>
          <w:rFonts w:ascii="Arial" w:hAnsi="Arial" w:cs="Arial"/>
          <w:b/>
          <w:sz w:val="24"/>
          <w:szCs w:val="24"/>
        </w:rPr>
        <w:tab/>
      </w:r>
      <w:r w:rsidRPr="000B60E3">
        <w:rPr>
          <w:rFonts w:ascii="Arial" w:hAnsi="Arial" w:cs="Arial"/>
          <w:b/>
          <w:sz w:val="24"/>
          <w:szCs w:val="24"/>
        </w:rPr>
        <w:tab/>
      </w:r>
      <w:r w:rsidRPr="000B60E3">
        <w:rPr>
          <w:rFonts w:ascii="Arial" w:hAnsi="Arial" w:cs="Arial"/>
          <w:b/>
          <w:sz w:val="24"/>
          <w:szCs w:val="24"/>
        </w:rPr>
        <w:tab/>
        <w:t xml:space="preserve">     </w:t>
      </w:r>
      <w:r>
        <w:rPr>
          <w:rFonts w:ascii="Arial" w:hAnsi="Arial" w:cs="Arial"/>
          <w:b/>
          <w:sz w:val="24"/>
          <w:szCs w:val="24"/>
        </w:rPr>
        <w:t xml:space="preserve">  </w:t>
      </w:r>
      <w:r w:rsidRPr="000B60E3">
        <w:rPr>
          <w:rFonts w:ascii="Arial" w:hAnsi="Arial" w:cs="Arial"/>
          <w:b/>
          <w:sz w:val="24"/>
          <w:szCs w:val="24"/>
        </w:rPr>
        <w:t xml:space="preserve">First Applicant </w:t>
      </w:r>
    </w:p>
    <w:p w14:paraId="13916F24"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STEPHEN EDWARD DAVISON                                                             Second Applicant</w:t>
      </w:r>
    </w:p>
    <w:p w14:paraId="4D6181E2"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DAVID NEIL MCMURRAY N.O.                                                               Third Applicant</w:t>
      </w:r>
    </w:p>
    <w:p w14:paraId="30C091B8"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STEPHEN EDWARD DAVISON N.O.                                                      Fourth Applicant</w:t>
      </w:r>
    </w:p>
    <w:p w14:paraId="66A318C8"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 xml:space="preserve">                                                               </w:t>
      </w:r>
    </w:p>
    <w:p w14:paraId="3F1DF397"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vs</w:t>
      </w:r>
    </w:p>
    <w:p w14:paraId="7B16B195"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p>
    <w:p w14:paraId="30A79724"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HEAT PUMP INTERNATIONAL (PTY) LTD</w:t>
      </w:r>
      <w:r w:rsidRPr="000B60E3">
        <w:rPr>
          <w:rFonts w:ascii="Arial" w:hAnsi="Arial" w:cs="Arial"/>
          <w:b/>
          <w:sz w:val="24"/>
          <w:szCs w:val="24"/>
        </w:rPr>
        <w:tab/>
        <w:t xml:space="preserve">                                First Respondent</w:t>
      </w:r>
    </w:p>
    <w:p w14:paraId="285E1D37"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GERDA MARYKE VAN TONDER N.O.                                                 Second Respondent</w:t>
      </w:r>
    </w:p>
    <w:p w14:paraId="3D93985A"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JOHANNES ABRAHAM COETSEE                                                        Third Respondent</w:t>
      </w:r>
    </w:p>
    <w:p w14:paraId="62489893" w14:textId="75425FA4"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MASTER OF THE HIGH COURT (</w:t>
      </w:r>
      <w:r w:rsidR="00E22B55" w:rsidRPr="000B60E3">
        <w:rPr>
          <w:rFonts w:ascii="Arial" w:hAnsi="Arial" w:cs="Arial"/>
          <w:b/>
          <w:sz w:val="24"/>
          <w:szCs w:val="24"/>
        </w:rPr>
        <w:t xml:space="preserve">WC)  </w:t>
      </w:r>
      <w:r w:rsidRPr="000B60E3">
        <w:rPr>
          <w:rFonts w:ascii="Arial" w:hAnsi="Arial" w:cs="Arial"/>
          <w:b/>
          <w:sz w:val="24"/>
          <w:szCs w:val="24"/>
        </w:rPr>
        <w:t xml:space="preserve">                                            Fifth Respondent</w:t>
      </w:r>
    </w:p>
    <w:p w14:paraId="16121E1D" w14:textId="77777777" w:rsidR="000B60E3" w:rsidRPr="000B60E3"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JOHANNES ABRAHAM BENJAMIN                                                     Sixth Respondent</w:t>
      </w:r>
    </w:p>
    <w:p w14:paraId="14E4A53C" w14:textId="556E40FB" w:rsidR="00E62045" w:rsidRPr="00E62045" w:rsidRDefault="000B60E3" w:rsidP="000B60E3">
      <w:pPr>
        <w:pBdr>
          <w:bottom w:val="single" w:sz="12" w:space="1" w:color="auto"/>
        </w:pBdr>
        <w:tabs>
          <w:tab w:val="left" w:pos="5177"/>
        </w:tabs>
        <w:spacing w:line="276" w:lineRule="auto"/>
        <w:jc w:val="both"/>
        <w:rPr>
          <w:rFonts w:ascii="Arial" w:hAnsi="Arial" w:cs="Arial"/>
          <w:b/>
          <w:sz w:val="24"/>
          <w:szCs w:val="24"/>
        </w:rPr>
      </w:pPr>
      <w:r w:rsidRPr="000B60E3">
        <w:rPr>
          <w:rFonts w:ascii="Arial" w:hAnsi="Arial" w:cs="Arial"/>
          <w:b/>
          <w:sz w:val="24"/>
          <w:szCs w:val="24"/>
        </w:rPr>
        <w:t xml:space="preserve">MAGISTRATE SEWPERSAD                                                             Seventh Respondent </w:t>
      </w:r>
    </w:p>
    <w:p w14:paraId="79FE4D96" w14:textId="77777777" w:rsidR="002214F4" w:rsidRPr="00AB0F71" w:rsidRDefault="002214F4" w:rsidP="00F07292">
      <w:pPr>
        <w:pBdr>
          <w:bottom w:val="single" w:sz="12" w:space="1" w:color="auto"/>
        </w:pBdr>
        <w:spacing w:line="276" w:lineRule="auto"/>
        <w:jc w:val="both"/>
        <w:rPr>
          <w:rFonts w:ascii="Arial" w:hAnsi="Arial" w:cs="Arial"/>
          <w:b/>
          <w:sz w:val="24"/>
          <w:szCs w:val="24"/>
        </w:rPr>
      </w:pPr>
    </w:p>
    <w:p w14:paraId="600D8921" w14:textId="77777777" w:rsidR="0058231C" w:rsidRDefault="0058231C" w:rsidP="0010529D">
      <w:pPr>
        <w:jc w:val="both"/>
        <w:rPr>
          <w:rFonts w:ascii="Arial" w:hAnsi="Arial" w:cs="Arial"/>
          <w:sz w:val="18"/>
          <w:szCs w:val="18"/>
        </w:rPr>
      </w:pPr>
    </w:p>
    <w:p w14:paraId="025295ED" w14:textId="77777777" w:rsidR="006650F3" w:rsidRDefault="006650F3" w:rsidP="0010529D">
      <w:pPr>
        <w:jc w:val="both"/>
        <w:rPr>
          <w:rFonts w:ascii="Arial" w:hAnsi="Arial" w:cs="Arial"/>
          <w:sz w:val="18"/>
          <w:szCs w:val="18"/>
        </w:rPr>
      </w:pPr>
    </w:p>
    <w:p w14:paraId="354E5DE5" w14:textId="1BE79D9C" w:rsidR="0058231C" w:rsidRDefault="002214F4" w:rsidP="0010529D">
      <w:pPr>
        <w:jc w:val="center"/>
        <w:rPr>
          <w:rFonts w:ascii="Arial" w:hAnsi="Arial" w:cs="Arial"/>
          <w:b/>
          <w:sz w:val="24"/>
          <w:szCs w:val="24"/>
        </w:rPr>
      </w:pPr>
      <w:r>
        <w:rPr>
          <w:rFonts w:ascii="Arial" w:hAnsi="Arial" w:cs="Arial"/>
          <w:b/>
          <w:sz w:val="24"/>
          <w:szCs w:val="24"/>
        </w:rPr>
        <w:t xml:space="preserve"> </w:t>
      </w:r>
      <w:r w:rsidR="002E3062">
        <w:rPr>
          <w:rFonts w:ascii="Arial" w:hAnsi="Arial" w:cs="Arial"/>
          <w:b/>
          <w:sz w:val="24"/>
          <w:szCs w:val="24"/>
        </w:rPr>
        <w:t xml:space="preserve"> </w:t>
      </w:r>
      <w:r w:rsidR="000B60E3">
        <w:rPr>
          <w:rFonts w:ascii="Arial" w:hAnsi="Arial" w:cs="Arial"/>
          <w:b/>
          <w:sz w:val="24"/>
          <w:szCs w:val="24"/>
        </w:rPr>
        <w:t xml:space="preserve"> </w:t>
      </w:r>
      <w:r w:rsidR="001B301F">
        <w:rPr>
          <w:rFonts w:ascii="Arial" w:hAnsi="Arial" w:cs="Arial"/>
          <w:b/>
          <w:sz w:val="24"/>
          <w:szCs w:val="24"/>
        </w:rPr>
        <w:t>JUDGMENT</w:t>
      </w:r>
      <w:r w:rsidR="003C66BC">
        <w:rPr>
          <w:rFonts w:ascii="Arial" w:hAnsi="Arial" w:cs="Arial"/>
          <w:b/>
          <w:sz w:val="24"/>
          <w:szCs w:val="24"/>
        </w:rPr>
        <w:t xml:space="preserve"> DELIVERED ON </w:t>
      </w:r>
      <w:r w:rsidR="0035414A">
        <w:rPr>
          <w:rFonts w:ascii="Arial" w:hAnsi="Arial" w:cs="Arial"/>
          <w:b/>
          <w:sz w:val="24"/>
          <w:szCs w:val="24"/>
        </w:rPr>
        <w:t>26</w:t>
      </w:r>
      <w:r w:rsidR="00CF50ED">
        <w:rPr>
          <w:rFonts w:ascii="Arial" w:hAnsi="Arial" w:cs="Arial"/>
          <w:b/>
          <w:sz w:val="24"/>
          <w:szCs w:val="24"/>
        </w:rPr>
        <w:t xml:space="preserve"> MAY</w:t>
      </w:r>
      <w:r w:rsidR="005750D0">
        <w:rPr>
          <w:rFonts w:ascii="Arial" w:hAnsi="Arial" w:cs="Arial"/>
          <w:b/>
          <w:sz w:val="24"/>
          <w:szCs w:val="24"/>
        </w:rPr>
        <w:t xml:space="preserve"> 2023</w:t>
      </w:r>
      <w:r w:rsidR="009F04D8">
        <w:rPr>
          <w:rFonts w:ascii="Arial" w:hAnsi="Arial" w:cs="Arial"/>
          <w:b/>
          <w:sz w:val="24"/>
          <w:szCs w:val="24"/>
        </w:rPr>
        <w:t xml:space="preserve"> </w:t>
      </w:r>
    </w:p>
    <w:p w14:paraId="1A74E7E6" w14:textId="77777777" w:rsidR="0058231C" w:rsidRDefault="0058231C" w:rsidP="0010529D">
      <w:pPr>
        <w:pBdr>
          <w:bottom w:val="single" w:sz="12" w:space="1" w:color="auto"/>
        </w:pBdr>
        <w:jc w:val="both"/>
        <w:rPr>
          <w:rFonts w:ascii="Arial" w:hAnsi="Arial" w:cs="Arial"/>
          <w:sz w:val="18"/>
          <w:szCs w:val="18"/>
        </w:rPr>
      </w:pPr>
    </w:p>
    <w:p w14:paraId="11F11489" w14:textId="77777777" w:rsidR="00133B9F" w:rsidRDefault="00133B9F" w:rsidP="00C15EE4">
      <w:pPr>
        <w:spacing w:line="360" w:lineRule="auto"/>
        <w:jc w:val="both"/>
        <w:rPr>
          <w:rFonts w:ascii="Arial" w:hAnsi="Arial" w:cs="Arial"/>
          <w:b/>
          <w:sz w:val="24"/>
          <w:szCs w:val="24"/>
        </w:rPr>
      </w:pPr>
    </w:p>
    <w:p w14:paraId="63DA7B57" w14:textId="4344112A" w:rsidR="00850C17" w:rsidRDefault="00F30AC9" w:rsidP="0082554B">
      <w:pPr>
        <w:spacing w:line="480" w:lineRule="auto"/>
        <w:jc w:val="both"/>
        <w:rPr>
          <w:rFonts w:ascii="Arial" w:hAnsi="Arial" w:cs="Arial"/>
          <w:b/>
          <w:sz w:val="24"/>
          <w:szCs w:val="24"/>
        </w:rPr>
      </w:pPr>
      <w:r w:rsidRPr="003200C6">
        <w:rPr>
          <w:rFonts w:ascii="Arial" w:hAnsi="Arial" w:cs="Arial"/>
          <w:b/>
          <w:noProof/>
          <w:sz w:val="24"/>
          <w:szCs w:val="24"/>
        </w:rPr>
        <w:t>MANTAME</w:t>
      </w:r>
      <w:r>
        <w:rPr>
          <w:rFonts w:ascii="Arial" w:hAnsi="Arial" w:cs="Arial"/>
          <w:b/>
          <w:sz w:val="24"/>
          <w:szCs w:val="24"/>
        </w:rPr>
        <w:t xml:space="preserve"> J</w:t>
      </w:r>
    </w:p>
    <w:p w14:paraId="2553602F" w14:textId="50784593" w:rsidR="000B60E3" w:rsidRDefault="000B60E3" w:rsidP="0082554B">
      <w:pPr>
        <w:spacing w:line="480" w:lineRule="auto"/>
        <w:jc w:val="both"/>
        <w:rPr>
          <w:rFonts w:ascii="Arial" w:hAnsi="Arial" w:cs="Arial"/>
          <w:b/>
          <w:sz w:val="24"/>
          <w:szCs w:val="24"/>
        </w:rPr>
      </w:pPr>
    </w:p>
    <w:p w14:paraId="3111FFA8" w14:textId="6333AD0A" w:rsidR="000B60E3" w:rsidRPr="000B60E3" w:rsidRDefault="000B60E3" w:rsidP="0082554B">
      <w:pPr>
        <w:spacing w:line="480" w:lineRule="auto"/>
        <w:jc w:val="both"/>
        <w:rPr>
          <w:rFonts w:ascii="Arial" w:hAnsi="Arial" w:cs="Arial"/>
          <w:i/>
          <w:sz w:val="24"/>
          <w:szCs w:val="24"/>
        </w:rPr>
      </w:pPr>
      <w:r>
        <w:rPr>
          <w:rFonts w:ascii="Arial" w:hAnsi="Arial" w:cs="Arial"/>
          <w:i/>
          <w:sz w:val="24"/>
          <w:szCs w:val="24"/>
        </w:rPr>
        <w:t>Introduction</w:t>
      </w:r>
    </w:p>
    <w:p w14:paraId="0E0E4328" w14:textId="6EDE548A" w:rsidR="00936EE1" w:rsidRDefault="00936EE1" w:rsidP="0082554B">
      <w:pPr>
        <w:spacing w:line="480" w:lineRule="auto"/>
        <w:jc w:val="both"/>
        <w:rPr>
          <w:rFonts w:ascii="Arial" w:hAnsi="Arial" w:cs="Arial"/>
          <w:i/>
          <w:sz w:val="24"/>
          <w:szCs w:val="24"/>
        </w:rPr>
      </w:pPr>
    </w:p>
    <w:p w14:paraId="44C94AA6" w14:textId="7F647693" w:rsidR="00F66650" w:rsidRDefault="00936EE1" w:rsidP="007C4935">
      <w:pPr>
        <w:spacing w:line="480" w:lineRule="auto"/>
        <w:jc w:val="both"/>
        <w:rPr>
          <w:rFonts w:ascii="Arial" w:hAnsi="Arial" w:cs="Arial"/>
          <w:sz w:val="22"/>
          <w:szCs w:val="22"/>
        </w:rPr>
      </w:pPr>
      <w:r>
        <w:rPr>
          <w:rFonts w:ascii="Arial" w:hAnsi="Arial" w:cs="Arial"/>
          <w:sz w:val="24"/>
          <w:szCs w:val="24"/>
        </w:rPr>
        <w:t>[1]</w:t>
      </w:r>
      <w:r w:rsidR="005C789A">
        <w:rPr>
          <w:rFonts w:ascii="Arial" w:hAnsi="Arial" w:cs="Arial"/>
          <w:sz w:val="24"/>
          <w:szCs w:val="24"/>
        </w:rPr>
        <w:tab/>
      </w:r>
      <w:r w:rsidR="000B60E3">
        <w:rPr>
          <w:rFonts w:ascii="Arial" w:hAnsi="Arial" w:cs="Arial"/>
          <w:sz w:val="24"/>
          <w:szCs w:val="24"/>
        </w:rPr>
        <w:t>The applicants (“</w:t>
      </w:r>
      <w:r w:rsidR="000B60E3">
        <w:rPr>
          <w:rFonts w:ascii="Arial" w:hAnsi="Arial" w:cs="Arial"/>
          <w:i/>
          <w:sz w:val="24"/>
          <w:szCs w:val="24"/>
        </w:rPr>
        <w:t xml:space="preserve">the </w:t>
      </w:r>
      <w:r w:rsidR="00A04D46">
        <w:rPr>
          <w:rFonts w:ascii="Arial" w:hAnsi="Arial" w:cs="Arial"/>
          <w:i/>
          <w:sz w:val="24"/>
          <w:szCs w:val="24"/>
        </w:rPr>
        <w:t>T</w:t>
      </w:r>
      <w:r w:rsidR="000B60E3">
        <w:rPr>
          <w:rFonts w:ascii="Arial" w:hAnsi="Arial" w:cs="Arial"/>
          <w:i/>
          <w:sz w:val="24"/>
          <w:szCs w:val="24"/>
        </w:rPr>
        <w:t>rust</w:t>
      </w:r>
      <w:r w:rsidR="000B60E3">
        <w:rPr>
          <w:rFonts w:ascii="Arial" w:hAnsi="Arial" w:cs="Arial"/>
          <w:sz w:val="24"/>
          <w:szCs w:val="24"/>
        </w:rPr>
        <w:t xml:space="preserve">”) made </w:t>
      </w:r>
      <w:r w:rsidR="00483E1F">
        <w:rPr>
          <w:rFonts w:ascii="Arial" w:hAnsi="Arial" w:cs="Arial"/>
          <w:sz w:val="24"/>
          <w:szCs w:val="24"/>
        </w:rPr>
        <w:t>an application to this Court seeking</w:t>
      </w:r>
      <w:r w:rsidR="000B60E3">
        <w:rPr>
          <w:rFonts w:ascii="Arial" w:hAnsi="Arial" w:cs="Arial"/>
          <w:sz w:val="24"/>
          <w:szCs w:val="24"/>
        </w:rPr>
        <w:t xml:space="preserve"> a declaratory order that the settlement agreement concluded between the third applicant, the fourth applicant, the first respondent and the fourth respondent, which was made an order of the Regional Court for the Regional Division of the Western Cape, Cape Town</w:t>
      </w:r>
      <w:r w:rsidR="00A04D46">
        <w:rPr>
          <w:rFonts w:ascii="Arial" w:hAnsi="Arial" w:cs="Arial"/>
          <w:sz w:val="24"/>
          <w:szCs w:val="24"/>
        </w:rPr>
        <w:t xml:space="preserve"> </w:t>
      </w:r>
      <w:r w:rsidR="00A04D46" w:rsidRPr="00A04D46">
        <w:rPr>
          <w:rFonts w:ascii="Arial" w:hAnsi="Arial" w:cs="Arial"/>
          <w:i/>
          <w:sz w:val="24"/>
          <w:szCs w:val="24"/>
        </w:rPr>
        <w:lastRenderedPageBreak/>
        <w:t>(“the Regional Court”)</w:t>
      </w:r>
      <w:r w:rsidR="00A04D46">
        <w:rPr>
          <w:rFonts w:ascii="Arial" w:hAnsi="Arial" w:cs="Arial"/>
          <w:sz w:val="24"/>
          <w:szCs w:val="24"/>
        </w:rPr>
        <w:t xml:space="preserve"> under Case No. RCC:CT </w:t>
      </w:r>
      <w:r w:rsidR="000B60E3">
        <w:rPr>
          <w:rFonts w:ascii="Arial" w:hAnsi="Arial" w:cs="Arial"/>
          <w:sz w:val="24"/>
          <w:szCs w:val="24"/>
        </w:rPr>
        <w:t>35/2022 on 1 March 2022 is valid and binding; that consequent to this order</w:t>
      </w:r>
      <w:r w:rsidR="00A04D46">
        <w:rPr>
          <w:rFonts w:ascii="Arial" w:hAnsi="Arial" w:cs="Arial"/>
          <w:sz w:val="24"/>
          <w:szCs w:val="24"/>
        </w:rPr>
        <w:t xml:space="preserve"> being granted;</w:t>
      </w:r>
      <w:r w:rsidR="000B60E3">
        <w:rPr>
          <w:rFonts w:ascii="Arial" w:hAnsi="Arial" w:cs="Arial"/>
          <w:sz w:val="24"/>
          <w:szCs w:val="24"/>
        </w:rPr>
        <w:t xml:space="preserve"> the existing dispute between the third applicant, the fourth applicant, the</w:t>
      </w:r>
      <w:r w:rsidR="00E22B55">
        <w:rPr>
          <w:rFonts w:ascii="Arial" w:hAnsi="Arial" w:cs="Arial"/>
          <w:sz w:val="24"/>
          <w:szCs w:val="24"/>
        </w:rPr>
        <w:t xml:space="preserve"> </w:t>
      </w:r>
      <w:r w:rsidR="000B60E3">
        <w:rPr>
          <w:rFonts w:ascii="Arial" w:hAnsi="Arial" w:cs="Arial"/>
          <w:sz w:val="24"/>
          <w:szCs w:val="24"/>
        </w:rPr>
        <w:t xml:space="preserve"> first respondent and the sixth respondent regarding the third and </w:t>
      </w:r>
      <w:r w:rsidR="00A04D46">
        <w:rPr>
          <w:rFonts w:ascii="Arial" w:hAnsi="Arial" w:cs="Arial"/>
          <w:sz w:val="24"/>
          <w:szCs w:val="24"/>
        </w:rPr>
        <w:t xml:space="preserve">the </w:t>
      </w:r>
      <w:r w:rsidR="000B60E3">
        <w:rPr>
          <w:rFonts w:ascii="Arial" w:hAnsi="Arial" w:cs="Arial"/>
          <w:sz w:val="24"/>
          <w:szCs w:val="24"/>
        </w:rPr>
        <w:t>fourth applicants’ entitlement to immediate payment of the sale proceeds received from the sale</w:t>
      </w:r>
      <w:r w:rsidR="00483E1F">
        <w:rPr>
          <w:rFonts w:ascii="Arial" w:hAnsi="Arial" w:cs="Arial"/>
          <w:sz w:val="24"/>
          <w:szCs w:val="24"/>
        </w:rPr>
        <w:t xml:space="preserve"> on auction</w:t>
      </w:r>
      <w:r w:rsidR="000B60E3">
        <w:rPr>
          <w:rFonts w:ascii="Arial" w:hAnsi="Arial" w:cs="Arial"/>
          <w:sz w:val="24"/>
          <w:szCs w:val="24"/>
        </w:rPr>
        <w:t xml:space="preserve"> of certain movable property of the fourth respondent and which is currently being held in trust by the applicants’ attorneys of </w:t>
      </w:r>
      <w:r w:rsidR="00A04D46">
        <w:rPr>
          <w:rFonts w:ascii="Arial" w:hAnsi="Arial" w:cs="Arial"/>
          <w:sz w:val="24"/>
          <w:szCs w:val="24"/>
        </w:rPr>
        <w:t>record, is resolved,</w:t>
      </w:r>
      <w:r w:rsidR="000B60E3">
        <w:rPr>
          <w:rFonts w:ascii="Arial" w:hAnsi="Arial" w:cs="Arial"/>
          <w:sz w:val="24"/>
          <w:szCs w:val="24"/>
        </w:rPr>
        <w:t xml:space="preserve"> the applicants’ legal representatives are directed to make payment thereof to the third and </w:t>
      </w:r>
      <w:r w:rsidR="00A04D46">
        <w:rPr>
          <w:rFonts w:ascii="Arial" w:hAnsi="Arial" w:cs="Arial"/>
          <w:sz w:val="24"/>
          <w:szCs w:val="24"/>
        </w:rPr>
        <w:t xml:space="preserve">the </w:t>
      </w:r>
      <w:r w:rsidR="000B60E3">
        <w:rPr>
          <w:rFonts w:ascii="Arial" w:hAnsi="Arial" w:cs="Arial"/>
          <w:sz w:val="24"/>
          <w:szCs w:val="24"/>
        </w:rPr>
        <w:t>fourth applicants’ nominated account within forty eight (</w:t>
      </w:r>
      <w:r w:rsidR="00A04D46">
        <w:rPr>
          <w:rFonts w:ascii="Arial" w:hAnsi="Arial" w:cs="Arial"/>
          <w:sz w:val="24"/>
          <w:szCs w:val="24"/>
        </w:rPr>
        <w:t>48) hours of the granting of the order</w:t>
      </w:r>
      <w:r w:rsidR="000B60E3">
        <w:rPr>
          <w:rFonts w:ascii="Arial" w:hAnsi="Arial" w:cs="Arial"/>
          <w:sz w:val="24"/>
          <w:szCs w:val="24"/>
        </w:rPr>
        <w:t xml:space="preserve">; </w:t>
      </w:r>
      <w:r w:rsidR="00A04D46">
        <w:rPr>
          <w:rFonts w:ascii="Arial" w:hAnsi="Arial" w:cs="Arial"/>
          <w:sz w:val="24"/>
          <w:szCs w:val="24"/>
        </w:rPr>
        <w:t xml:space="preserve"> and last</w:t>
      </w:r>
      <w:r w:rsidR="002E1A7D">
        <w:rPr>
          <w:rFonts w:ascii="Arial" w:hAnsi="Arial" w:cs="Arial"/>
          <w:sz w:val="24"/>
          <w:szCs w:val="24"/>
        </w:rPr>
        <w:t>,</w:t>
      </w:r>
      <w:r w:rsidR="00A04D46">
        <w:rPr>
          <w:rFonts w:ascii="Arial" w:hAnsi="Arial" w:cs="Arial"/>
          <w:sz w:val="24"/>
          <w:szCs w:val="24"/>
        </w:rPr>
        <w:t xml:space="preserve"> </w:t>
      </w:r>
      <w:r w:rsidR="000B60E3">
        <w:rPr>
          <w:rFonts w:ascii="Arial" w:hAnsi="Arial" w:cs="Arial"/>
          <w:sz w:val="24"/>
          <w:szCs w:val="24"/>
        </w:rPr>
        <w:t>setting aside the “Witnes</w:t>
      </w:r>
      <w:r w:rsidR="00C81BAA">
        <w:rPr>
          <w:rFonts w:ascii="Arial" w:hAnsi="Arial" w:cs="Arial"/>
          <w:sz w:val="24"/>
          <w:szCs w:val="24"/>
        </w:rPr>
        <w:t>s Summonses” issued at the instance of the sixth respondent requiring the attendance and examination of the first applicant, the second applicant and the applicants’ attorney of record at the c</w:t>
      </w:r>
      <w:r w:rsidR="002E1A7D">
        <w:rPr>
          <w:rFonts w:ascii="Arial" w:hAnsi="Arial" w:cs="Arial"/>
          <w:sz w:val="24"/>
          <w:szCs w:val="24"/>
        </w:rPr>
        <w:t>ommission of enquiry</w:t>
      </w:r>
      <w:r w:rsidR="00C81BAA">
        <w:rPr>
          <w:rFonts w:ascii="Arial" w:hAnsi="Arial" w:cs="Arial"/>
          <w:sz w:val="24"/>
          <w:szCs w:val="24"/>
        </w:rPr>
        <w:t xml:space="preserve"> convened by the fifth respondent in terms of sections 417 and 418 of the Companies Act No 61 of 1973 (as amended</w:t>
      </w:r>
      <w:r w:rsidR="00D24E21">
        <w:rPr>
          <w:rFonts w:ascii="Arial" w:hAnsi="Arial" w:cs="Arial"/>
          <w:sz w:val="24"/>
          <w:szCs w:val="24"/>
        </w:rPr>
        <w:t>)</w:t>
      </w:r>
      <w:r w:rsidR="00A04D46">
        <w:rPr>
          <w:rFonts w:ascii="Arial" w:hAnsi="Arial" w:cs="Arial"/>
          <w:sz w:val="24"/>
          <w:szCs w:val="24"/>
        </w:rPr>
        <w:t xml:space="preserve"> </w:t>
      </w:r>
      <w:r w:rsidR="00A04D46">
        <w:rPr>
          <w:rFonts w:ascii="Arial" w:hAnsi="Arial" w:cs="Arial"/>
          <w:i/>
          <w:sz w:val="24"/>
          <w:szCs w:val="24"/>
        </w:rPr>
        <w:t>(“the</w:t>
      </w:r>
      <w:r w:rsidR="00250212">
        <w:rPr>
          <w:rFonts w:ascii="Arial" w:hAnsi="Arial" w:cs="Arial"/>
          <w:i/>
          <w:sz w:val="24"/>
          <w:szCs w:val="24"/>
        </w:rPr>
        <w:t xml:space="preserve"> 1973</w:t>
      </w:r>
      <w:r w:rsidR="00A04D46">
        <w:rPr>
          <w:rFonts w:ascii="Arial" w:hAnsi="Arial" w:cs="Arial"/>
          <w:i/>
          <w:sz w:val="24"/>
          <w:szCs w:val="24"/>
        </w:rPr>
        <w:t xml:space="preserve"> Act”)</w:t>
      </w:r>
      <w:r w:rsidR="004C5B6B">
        <w:rPr>
          <w:rFonts w:ascii="Arial" w:hAnsi="Arial" w:cs="Arial"/>
          <w:sz w:val="24"/>
          <w:szCs w:val="24"/>
        </w:rPr>
        <w:t xml:space="preserve"> read with item 9 of schedule 5 to the Companies Act 71 of 2008</w:t>
      </w:r>
      <w:r w:rsidR="00A04D46">
        <w:rPr>
          <w:rFonts w:ascii="Arial" w:hAnsi="Arial" w:cs="Arial"/>
          <w:sz w:val="24"/>
          <w:szCs w:val="24"/>
        </w:rPr>
        <w:t xml:space="preserve"> </w:t>
      </w:r>
      <w:r w:rsidR="00A04D46">
        <w:rPr>
          <w:rFonts w:ascii="Arial" w:hAnsi="Arial" w:cs="Arial"/>
          <w:i/>
          <w:sz w:val="24"/>
          <w:szCs w:val="24"/>
        </w:rPr>
        <w:t>(“the 2008 Act</w:t>
      </w:r>
      <w:r w:rsidR="00250212">
        <w:rPr>
          <w:rFonts w:ascii="Arial" w:hAnsi="Arial" w:cs="Arial"/>
          <w:i/>
          <w:sz w:val="24"/>
          <w:szCs w:val="24"/>
        </w:rPr>
        <w:t>”)</w:t>
      </w:r>
      <w:r w:rsidR="004C5B6B">
        <w:rPr>
          <w:rFonts w:ascii="Arial" w:hAnsi="Arial" w:cs="Arial"/>
          <w:sz w:val="24"/>
          <w:szCs w:val="24"/>
        </w:rPr>
        <w:t>.</w:t>
      </w:r>
      <w:r w:rsidR="007C4935">
        <w:rPr>
          <w:rFonts w:ascii="Arial" w:hAnsi="Arial" w:cs="Arial"/>
          <w:sz w:val="24"/>
          <w:szCs w:val="24"/>
        </w:rPr>
        <w:t xml:space="preserve"> </w:t>
      </w:r>
    </w:p>
    <w:p w14:paraId="3C827D8C" w14:textId="77777777" w:rsidR="00E62045" w:rsidRPr="00A2325C" w:rsidRDefault="00E62045" w:rsidP="00F66650">
      <w:pPr>
        <w:spacing w:line="480" w:lineRule="auto"/>
        <w:ind w:left="1440" w:hanging="720"/>
        <w:jc w:val="both"/>
        <w:rPr>
          <w:rFonts w:ascii="Arial" w:hAnsi="Arial" w:cs="Arial"/>
          <w:sz w:val="22"/>
          <w:szCs w:val="22"/>
        </w:rPr>
      </w:pPr>
    </w:p>
    <w:p w14:paraId="46CE883D" w14:textId="36B269D7" w:rsidR="005C789A" w:rsidRDefault="00E21B0C" w:rsidP="004C5B6B">
      <w:pPr>
        <w:spacing w:line="480" w:lineRule="auto"/>
        <w:jc w:val="both"/>
        <w:rPr>
          <w:rFonts w:ascii="Arial" w:hAnsi="Arial" w:cs="Arial"/>
          <w:sz w:val="24"/>
          <w:szCs w:val="24"/>
        </w:rPr>
      </w:pPr>
      <w:r>
        <w:rPr>
          <w:rFonts w:ascii="Arial" w:hAnsi="Arial" w:cs="Arial"/>
          <w:sz w:val="24"/>
          <w:szCs w:val="24"/>
        </w:rPr>
        <w:t>[2]</w:t>
      </w:r>
      <w:r w:rsidR="005C789A">
        <w:rPr>
          <w:rFonts w:ascii="Arial" w:hAnsi="Arial" w:cs="Arial"/>
          <w:sz w:val="24"/>
          <w:szCs w:val="24"/>
        </w:rPr>
        <w:tab/>
      </w:r>
      <w:r w:rsidR="004C5B6B">
        <w:rPr>
          <w:rFonts w:ascii="Arial" w:hAnsi="Arial" w:cs="Arial"/>
          <w:sz w:val="24"/>
          <w:szCs w:val="24"/>
        </w:rPr>
        <w:t>This applica</w:t>
      </w:r>
      <w:r w:rsidR="00250212">
        <w:rPr>
          <w:rFonts w:ascii="Arial" w:hAnsi="Arial" w:cs="Arial"/>
          <w:sz w:val="24"/>
          <w:szCs w:val="24"/>
        </w:rPr>
        <w:t xml:space="preserve">tion was opposed by the first, </w:t>
      </w:r>
      <w:r w:rsidR="00CF50ED">
        <w:rPr>
          <w:rFonts w:ascii="Arial" w:hAnsi="Arial" w:cs="Arial"/>
          <w:sz w:val="24"/>
          <w:szCs w:val="24"/>
        </w:rPr>
        <w:t xml:space="preserve">the </w:t>
      </w:r>
      <w:r w:rsidR="00250212">
        <w:rPr>
          <w:rFonts w:ascii="Arial" w:hAnsi="Arial" w:cs="Arial"/>
          <w:sz w:val="24"/>
          <w:szCs w:val="24"/>
        </w:rPr>
        <w:t xml:space="preserve">second and </w:t>
      </w:r>
      <w:r w:rsidR="00CF50ED">
        <w:rPr>
          <w:rFonts w:ascii="Arial" w:hAnsi="Arial" w:cs="Arial"/>
          <w:sz w:val="24"/>
          <w:szCs w:val="24"/>
        </w:rPr>
        <w:t xml:space="preserve">the </w:t>
      </w:r>
      <w:r w:rsidR="004C5B6B">
        <w:rPr>
          <w:rFonts w:ascii="Arial" w:hAnsi="Arial" w:cs="Arial"/>
          <w:sz w:val="24"/>
          <w:szCs w:val="24"/>
        </w:rPr>
        <w:t xml:space="preserve">third respondents </w:t>
      </w:r>
      <w:r w:rsidR="00250212">
        <w:rPr>
          <w:rFonts w:ascii="Arial" w:hAnsi="Arial" w:cs="Arial"/>
          <w:i/>
          <w:sz w:val="24"/>
          <w:szCs w:val="24"/>
        </w:rPr>
        <w:t>(“the respondents and/or</w:t>
      </w:r>
      <w:r w:rsidR="00A7495D">
        <w:rPr>
          <w:rFonts w:ascii="Arial" w:hAnsi="Arial" w:cs="Arial"/>
          <w:i/>
          <w:sz w:val="24"/>
          <w:szCs w:val="24"/>
        </w:rPr>
        <w:t xml:space="preserve"> the</w:t>
      </w:r>
      <w:r w:rsidR="00250212">
        <w:rPr>
          <w:rFonts w:ascii="Arial" w:hAnsi="Arial" w:cs="Arial"/>
          <w:i/>
          <w:sz w:val="24"/>
          <w:szCs w:val="24"/>
        </w:rPr>
        <w:t xml:space="preserve"> liquidators”) </w:t>
      </w:r>
      <w:r w:rsidR="004C5B6B">
        <w:rPr>
          <w:rFonts w:ascii="Arial" w:hAnsi="Arial" w:cs="Arial"/>
          <w:sz w:val="24"/>
          <w:szCs w:val="24"/>
        </w:rPr>
        <w:t xml:space="preserve">on the basis that the prayers sought by the </w:t>
      </w:r>
      <w:r w:rsidR="00CF50ED">
        <w:rPr>
          <w:rFonts w:ascii="Arial" w:hAnsi="Arial" w:cs="Arial"/>
          <w:sz w:val="24"/>
          <w:szCs w:val="24"/>
        </w:rPr>
        <w:t>applicants’</w:t>
      </w:r>
      <w:r w:rsidR="004C5B6B">
        <w:rPr>
          <w:rFonts w:ascii="Arial" w:hAnsi="Arial" w:cs="Arial"/>
          <w:sz w:val="24"/>
          <w:szCs w:val="24"/>
        </w:rPr>
        <w:t xml:space="preserve"> </w:t>
      </w:r>
      <w:r w:rsidR="00CF50ED">
        <w:rPr>
          <w:rFonts w:ascii="Arial" w:hAnsi="Arial" w:cs="Arial"/>
          <w:sz w:val="24"/>
          <w:szCs w:val="24"/>
        </w:rPr>
        <w:t xml:space="preserve">amount </w:t>
      </w:r>
      <w:r w:rsidR="00250212">
        <w:rPr>
          <w:rFonts w:ascii="Arial" w:hAnsi="Arial" w:cs="Arial"/>
          <w:sz w:val="24"/>
          <w:szCs w:val="24"/>
        </w:rPr>
        <w:t>to an effort on</w:t>
      </w:r>
      <w:r w:rsidR="004C5B6B">
        <w:rPr>
          <w:rFonts w:ascii="Arial" w:hAnsi="Arial" w:cs="Arial"/>
          <w:sz w:val="24"/>
          <w:szCs w:val="24"/>
        </w:rPr>
        <w:t xml:space="preserve"> the part of the Trust to appropriate the proceeds from the sale on auction of the first respondent’s assets.  The fourth to </w:t>
      </w:r>
      <w:r w:rsidR="00A7495D">
        <w:rPr>
          <w:rFonts w:ascii="Arial" w:hAnsi="Arial" w:cs="Arial"/>
          <w:sz w:val="24"/>
          <w:szCs w:val="24"/>
        </w:rPr>
        <w:t xml:space="preserve">the </w:t>
      </w:r>
      <w:r w:rsidR="004C5B6B">
        <w:rPr>
          <w:rFonts w:ascii="Arial" w:hAnsi="Arial" w:cs="Arial"/>
          <w:sz w:val="24"/>
          <w:szCs w:val="24"/>
        </w:rPr>
        <w:t>seventh respondents did not oppose this application.</w:t>
      </w:r>
    </w:p>
    <w:p w14:paraId="2F32E589" w14:textId="7A8388C6" w:rsidR="004C5B6B" w:rsidRDefault="004C5B6B" w:rsidP="004C5B6B">
      <w:pPr>
        <w:spacing w:line="480" w:lineRule="auto"/>
        <w:jc w:val="both"/>
        <w:rPr>
          <w:rFonts w:ascii="Arial" w:hAnsi="Arial" w:cs="Arial"/>
          <w:sz w:val="24"/>
          <w:szCs w:val="24"/>
        </w:rPr>
      </w:pPr>
    </w:p>
    <w:p w14:paraId="23230D8A" w14:textId="69C424DA" w:rsidR="004C5B6B" w:rsidRPr="004C5B6B" w:rsidRDefault="004C5B6B" w:rsidP="004C5B6B">
      <w:pPr>
        <w:spacing w:line="480" w:lineRule="auto"/>
        <w:jc w:val="both"/>
        <w:rPr>
          <w:rFonts w:ascii="Arial" w:hAnsi="Arial" w:cs="Arial"/>
          <w:i/>
          <w:sz w:val="24"/>
          <w:szCs w:val="24"/>
        </w:rPr>
      </w:pPr>
      <w:r>
        <w:rPr>
          <w:rFonts w:ascii="Arial" w:hAnsi="Arial" w:cs="Arial"/>
          <w:i/>
          <w:sz w:val="24"/>
          <w:szCs w:val="24"/>
        </w:rPr>
        <w:t>Facts</w:t>
      </w:r>
    </w:p>
    <w:p w14:paraId="29C6FB5C" w14:textId="77777777" w:rsidR="002214F4" w:rsidRDefault="002214F4" w:rsidP="00936EE1">
      <w:pPr>
        <w:spacing w:line="480" w:lineRule="auto"/>
        <w:jc w:val="both"/>
        <w:rPr>
          <w:rFonts w:ascii="Arial" w:hAnsi="Arial" w:cs="Arial"/>
          <w:sz w:val="24"/>
          <w:szCs w:val="24"/>
        </w:rPr>
      </w:pPr>
    </w:p>
    <w:p w14:paraId="15CE637C" w14:textId="53A0B282" w:rsidR="000D7787" w:rsidRDefault="00E62045" w:rsidP="000D7787">
      <w:pPr>
        <w:spacing w:line="480" w:lineRule="auto"/>
        <w:jc w:val="both"/>
        <w:rPr>
          <w:rFonts w:ascii="Arial" w:hAnsi="Arial" w:cs="Arial"/>
          <w:sz w:val="24"/>
          <w:szCs w:val="24"/>
        </w:rPr>
      </w:pPr>
      <w:r>
        <w:rPr>
          <w:rFonts w:ascii="Arial" w:hAnsi="Arial" w:cs="Arial"/>
          <w:sz w:val="24"/>
          <w:szCs w:val="24"/>
        </w:rPr>
        <w:t>[3</w:t>
      </w:r>
      <w:r w:rsidR="00936EE1">
        <w:rPr>
          <w:rFonts w:ascii="Arial" w:hAnsi="Arial" w:cs="Arial"/>
          <w:sz w:val="24"/>
          <w:szCs w:val="24"/>
        </w:rPr>
        <w:t>]</w:t>
      </w:r>
      <w:r w:rsidR="00D01B2A">
        <w:rPr>
          <w:rFonts w:ascii="Arial" w:hAnsi="Arial" w:cs="Arial"/>
          <w:sz w:val="24"/>
          <w:szCs w:val="24"/>
        </w:rPr>
        <w:tab/>
        <w:t>On 11 March 2021, the Trust and the first respondent who was represented by its sole director</w:t>
      </w:r>
      <w:r w:rsidR="00A7495D">
        <w:rPr>
          <w:rFonts w:ascii="Arial" w:hAnsi="Arial" w:cs="Arial"/>
          <w:sz w:val="24"/>
          <w:szCs w:val="24"/>
        </w:rPr>
        <w:t xml:space="preserve"> at the time</w:t>
      </w:r>
      <w:r w:rsidR="00D01B2A">
        <w:rPr>
          <w:rFonts w:ascii="Arial" w:hAnsi="Arial" w:cs="Arial"/>
          <w:sz w:val="24"/>
          <w:szCs w:val="24"/>
        </w:rPr>
        <w:t>, the fourth respondent</w:t>
      </w:r>
      <w:r w:rsidR="00250212">
        <w:rPr>
          <w:rFonts w:ascii="Arial" w:hAnsi="Arial" w:cs="Arial"/>
          <w:sz w:val="24"/>
          <w:szCs w:val="24"/>
        </w:rPr>
        <w:t xml:space="preserve"> </w:t>
      </w:r>
      <w:r w:rsidR="00250212">
        <w:rPr>
          <w:rFonts w:ascii="Arial" w:hAnsi="Arial" w:cs="Arial"/>
          <w:i/>
          <w:sz w:val="24"/>
          <w:szCs w:val="24"/>
        </w:rPr>
        <w:t>(“Mr Coetsee”)</w:t>
      </w:r>
      <w:r w:rsidR="00D01B2A">
        <w:rPr>
          <w:rFonts w:ascii="Arial" w:hAnsi="Arial" w:cs="Arial"/>
          <w:sz w:val="24"/>
          <w:szCs w:val="24"/>
        </w:rPr>
        <w:t xml:space="preserve"> concluded a written lease </w:t>
      </w:r>
      <w:r w:rsidR="00D01B2A">
        <w:rPr>
          <w:rFonts w:ascii="Arial" w:hAnsi="Arial" w:cs="Arial"/>
          <w:sz w:val="24"/>
          <w:szCs w:val="24"/>
        </w:rPr>
        <w:lastRenderedPageBreak/>
        <w:t xml:space="preserve">agreement in terms of which </w:t>
      </w:r>
      <w:r w:rsidR="00250212">
        <w:rPr>
          <w:rFonts w:ascii="Arial" w:hAnsi="Arial" w:cs="Arial"/>
          <w:sz w:val="24"/>
          <w:szCs w:val="24"/>
        </w:rPr>
        <w:t>the Trust let erf 154622</w:t>
      </w:r>
      <w:r w:rsidR="00483E1F">
        <w:rPr>
          <w:rFonts w:ascii="Arial" w:hAnsi="Arial" w:cs="Arial"/>
          <w:sz w:val="24"/>
          <w:szCs w:val="24"/>
        </w:rPr>
        <w:t>,</w:t>
      </w:r>
      <w:r w:rsidR="00250212">
        <w:rPr>
          <w:rFonts w:ascii="Arial" w:hAnsi="Arial" w:cs="Arial"/>
          <w:sz w:val="24"/>
          <w:szCs w:val="24"/>
        </w:rPr>
        <w:t xml:space="preserve"> Cape Town</w:t>
      </w:r>
      <w:r w:rsidR="00D01B2A">
        <w:rPr>
          <w:rFonts w:ascii="Arial" w:hAnsi="Arial" w:cs="Arial"/>
          <w:sz w:val="24"/>
          <w:szCs w:val="24"/>
        </w:rPr>
        <w:t xml:space="preserve"> situated at No. 46 Manhattan Street, Airport Industria Cape Town</w:t>
      </w:r>
      <w:r w:rsidR="00250212">
        <w:rPr>
          <w:rFonts w:ascii="Arial" w:hAnsi="Arial" w:cs="Arial"/>
          <w:sz w:val="24"/>
          <w:szCs w:val="24"/>
        </w:rPr>
        <w:t xml:space="preserve">, </w:t>
      </w:r>
      <w:r w:rsidR="00250212">
        <w:rPr>
          <w:rFonts w:ascii="Arial" w:hAnsi="Arial" w:cs="Arial"/>
          <w:i/>
          <w:sz w:val="24"/>
          <w:szCs w:val="24"/>
        </w:rPr>
        <w:t>(“the premises”)</w:t>
      </w:r>
      <w:r w:rsidR="00D01B2A">
        <w:rPr>
          <w:rFonts w:ascii="Arial" w:hAnsi="Arial" w:cs="Arial"/>
          <w:sz w:val="24"/>
          <w:szCs w:val="24"/>
        </w:rPr>
        <w:t xml:space="preserve"> to the first respondent for twelve (12) months.  The first respondent utilized the premises as its principal place of business.  According to the information contained in the first respondent’s letterhead, it is a company of engineers and manufacturing agents, </w:t>
      </w:r>
      <w:r w:rsidR="00636EA7">
        <w:rPr>
          <w:rFonts w:ascii="Arial" w:hAnsi="Arial" w:cs="Arial"/>
          <w:sz w:val="24"/>
          <w:szCs w:val="24"/>
        </w:rPr>
        <w:t>machinery and equipment for air conditioning, electrical engineering, automation, energy conservation and industrial processing.</w:t>
      </w:r>
      <w:r w:rsidR="00636EA7">
        <w:rPr>
          <w:rStyle w:val="FootnoteReference"/>
          <w:rFonts w:ascii="Arial" w:hAnsi="Arial" w:cs="Arial"/>
          <w:sz w:val="24"/>
          <w:szCs w:val="24"/>
        </w:rPr>
        <w:footnoteReference w:id="1"/>
      </w:r>
      <w:r w:rsidR="00636EA7">
        <w:rPr>
          <w:rFonts w:ascii="Arial" w:hAnsi="Arial" w:cs="Arial"/>
          <w:sz w:val="24"/>
          <w:szCs w:val="24"/>
        </w:rPr>
        <w:t xml:space="preserve">  </w:t>
      </w:r>
      <w:r w:rsidR="005C789A">
        <w:rPr>
          <w:rFonts w:ascii="Arial" w:hAnsi="Arial" w:cs="Arial"/>
          <w:sz w:val="24"/>
          <w:szCs w:val="24"/>
        </w:rPr>
        <w:tab/>
      </w:r>
    </w:p>
    <w:p w14:paraId="33781632" w14:textId="77777777" w:rsidR="005B1362" w:rsidRDefault="005B1362" w:rsidP="00312DC5">
      <w:pPr>
        <w:spacing w:line="480" w:lineRule="auto"/>
        <w:jc w:val="both"/>
        <w:rPr>
          <w:rFonts w:ascii="Arial" w:hAnsi="Arial" w:cs="Arial"/>
          <w:sz w:val="24"/>
          <w:szCs w:val="24"/>
        </w:rPr>
      </w:pPr>
    </w:p>
    <w:p w14:paraId="00132F5B" w14:textId="64F51780" w:rsidR="00312DC5" w:rsidRPr="00E30BD5" w:rsidRDefault="00E62045" w:rsidP="00312DC5">
      <w:pPr>
        <w:spacing w:line="480" w:lineRule="auto"/>
        <w:jc w:val="both"/>
        <w:rPr>
          <w:rFonts w:ascii="Arial" w:hAnsi="Arial" w:cs="Arial"/>
          <w:sz w:val="24"/>
          <w:szCs w:val="24"/>
        </w:rPr>
      </w:pPr>
      <w:r>
        <w:rPr>
          <w:rFonts w:ascii="Arial" w:hAnsi="Arial" w:cs="Arial"/>
          <w:sz w:val="24"/>
          <w:szCs w:val="24"/>
        </w:rPr>
        <w:t>[4</w:t>
      </w:r>
      <w:r w:rsidR="00936EE1">
        <w:rPr>
          <w:rFonts w:ascii="Arial" w:hAnsi="Arial" w:cs="Arial"/>
          <w:sz w:val="24"/>
          <w:szCs w:val="24"/>
        </w:rPr>
        <w:t>]</w:t>
      </w:r>
      <w:r w:rsidR="00636EA7">
        <w:rPr>
          <w:rFonts w:ascii="Arial" w:hAnsi="Arial" w:cs="Arial"/>
          <w:sz w:val="24"/>
          <w:szCs w:val="24"/>
        </w:rPr>
        <w:tab/>
        <w:t xml:space="preserve">The fourth respondent stood surety for the first respondent’s obligations in the lease.  </w:t>
      </w:r>
      <w:r w:rsidR="00250212">
        <w:rPr>
          <w:rFonts w:ascii="Arial" w:hAnsi="Arial" w:cs="Arial"/>
          <w:sz w:val="24"/>
          <w:szCs w:val="24"/>
        </w:rPr>
        <w:t xml:space="preserve">As </w:t>
      </w:r>
      <w:r w:rsidR="00483E1F">
        <w:rPr>
          <w:rFonts w:ascii="Arial" w:hAnsi="Arial" w:cs="Arial"/>
          <w:sz w:val="24"/>
          <w:szCs w:val="24"/>
        </w:rPr>
        <w:t>t</w:t>
      </w:r>
      <w:r w:rsidR="00250212">
        <w:rPr>
          <w:rFonts w:ascii="Arial" w:hAnsi="Arial" w:cs="Arial"/>
          <w:sz w:val="24"/>
          <w:szCs w:val="24"/>
        </w:rPr>
        <w:t>ime progressed, i</w:t>
      </w:r>
      <w:r w:rsidR="00636EA7">
        <w:rPr>
          <w:rFonts w:ascii="Arial" w:hAnsi="Arial" w:cs="Arial"/>
          <w:sz w:val="24"/>
          <w:szCs w:val="24"/>
        </w:rPr>
        <w:t>t then transpired that the first respondent failed to meet its obligations as they fell due.  Thi</w:t>
      </w:r>
      <w:r w:rsidR="00A7495D">
        <w:rPr>
          <w:rFonts w:ascii="Arial" w:hAnsi="Arial" w:cs="Arial"/>
          <w:sz w:val="24"/>
          <w:szCs w:val="24"/>
        </w:rPr>
        <w:t>s was not only in respect of its</w:t>
      </w:r>
      <w:r w:rsidR="00636EA7">
        <w:rPr>
          <w:rFonts w:ascii="Arial" w:hAnsi="Arial" w:cs="Arial"/>
          <w:sz w:val="24"/>
          <w:szCs w:val="24"/>
        </w:rPr>
        <w:t xml:space="preserve"> lease obligations</w:t>
      </w:r>
      <w:r w:rsidR="00A7495D">
        <w:rPr>
          <w:rFonts w:ascii="Arial" w:hAnsi="Arial" w:cs="Arial"/>
          <w:sz w:val="24"/>
          <w:szCs w:val="24"/>
        </w:rPr>
        <w:t xml:space="preserve"> with the Trust</w:t>
      </w:r>
      <w:r w:rsidR="00250212">
        <w:rPr>
          <w:rFonts w:ascii="Arial" w:hAnsi="Arial" w:cs="Arial"/>
          <w:sz w:val="24"/>
          <w:szCs w:val="24"/>
        </w:rPr>
        <w:t>,</w:t>
      </w:r>
      <w:r w:rsidR="00636EA7">
        <w:rPr>
          <w:rFonts w:ascii="Arial" w:hAnsi="Arial" w:cs="Arial"/>
          <w:sz w:val="24"/>
          <w:szCs w:val="24"/>
        </w:rPr>
        <w:t xml:space="preserve"> but with some other entities.  As a result</w:t>
      </w:r>
      <w:r w:rsidR="00250212">
        <w:rPr>
          <w:rFonts w:ascii="Arial" w:hAnsi="Arial" w:cs="Arial"/>
          <w:sz w:val="24"/>
          <w:szCs w:val="24"/>
        </w:rPr>
        <w:t xml:space="preserve"> thereof</w:t>
      </w:r>
      <w:r w:rsidR="00F941E9">
        <w:rPr>
          <w:rFonts w:ascii="Arial" w:hAnsi="Arial" w:cs="Arial"/>
          <w:sz w:val="24"/>
          <w:szCs w:val="24"/>
        </w:rPr>
        <w:t>, on 4 June 2021 EMB-PAPST</w:t>
      </w:r>
      <w:r w:rsidR="00636EA7">
        <w:rPr>
          <w:rFonts w:ascii="Arial" w:hAnsi="Arial" w:cs="Arial"/>
          <w:sz w:val="24"/>
          <w:szCs w:val="24"/>
        </w:rPr>
        <w:t xml:space="preserve"> South Africa (Pty) Ltd instituted an</w:t>
      </w:r>
      <w:r w:rsidR="00F941E9">
        <w:rPr>
          <w:rFonts w:ascii="Arial" w:hAnsi="Arial" w:cs="Arial"/>
          <w:sz w:val="24"/>
          <w:szCs w:val="24"/>
        </w:rPr>
        <w:t xml:space="preserve"> application for the winding up </w:t>
      </w:r>
      <w:r w:rsidR="00636EA7">
        <w:rPr>
          <w:rFonts w:ascii="Arial" w:hAnsi="Arial" w:cs="Arial"/>
          <w:sz w:val="24"/>
          <w:szCs w:val="24"/>
        </w:rPr>
        <w:t>of the first respondent under Case No: 950</w:t>
      </w:r>
      <w:r w:rsidR="00F941E9">
        <w:rPr>
          <w:rFonts w:ascii="Arial" w:hAnsi="Arial" w:cs="Arial"/>
          <w:sz w:val="24"/>
          <w:szCs w:val="24"/>
        </w:rPr>
        <w:t>7</w:t>
      </w:r>
      <w:r w:rsidR="00636EA7">
        <w:rPr>
          <w:rFonts w:ascii="Arial" w:hAnsi="Arial" w:cs="Arial"/>
          <w:sz w:val="24"/>
          <w:szCs w:val="24"/>
        </w:rPr>
        <w:t>/2021.  A provisional order was granted by this Court on 3 August 2021 and a final order was granted on 15 September 2021 respectively.</w:t>
      </w:r>
    </w:p>
    <w:p w14:paraId="64E8BDFC" w14:textId="6DB879E0" w:rsidR="00F66650" w:rsidRPr="00E61F16" w:rsidRDefault="00F66650" w:rsidP="00F66650">
      <w:pPr>
        <w:spacing w:line="480" w:lineRule="auto"/>
        <w:jc w:val="both"/>
        <w:rPr>
          <w:rFonts w:ascii="Arial" w:hAnsi="Arial" w:cs="Arial"/>
          <w:sz w:val="22"/>
          <w:szCs w:val="22"/>
        </w:rPr>
      </w:pPr>
    </w:p>
    <w:p w14:paraId="7D071052" w14:textId="3E384F64" w:rsidR="003E669D" w:rsidRPr="00977228" w:rsidRDefault="003E669D"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5</w:t>
      </w:r>
      <w:r>
        <w:rPr>
          <w:rFonts w:ascii="Arial" w:hAnsi="Arial" w:cs="Arial"/>
          <w:sz w:val="24"/>
          <w:szCs w:val="24"/>
        </w:rPr>
        <w:t>]</w:t>
      </w:r>
      <w:r w:rsidR="00E30BD5">
        <w:rPr>
          <w:rFonts w:ascii="Arial" w:hAnsi="Arial" w:cs="Arial"/>
          <w:sz w:val="24"/>
          <w:szCs w:val="24"/>
        </w:rPr>
        <w:tab/>
        <w:t xml:space="preserve">Pursuant to the winding up of the first respondent, the second and the third respondents were provisionally appointed </w:t>
      </w:r>
      <w:r w:rsidR="00F941E9">
        <w:rPr>
          <w:rFonts w:ascii="Arial" w:hAnsi="Arial" w:cs="Arial"/>
          <w:sz w:val="24"/>
          <w:szCs w:val="24"/>
        </w:rPr>
        <w:t xml:space="preserve">by the Master of this Court </w:t>
      </w:r>
      <w:r w:rsidR="00E30BD5">
        <w:rPr>
          <w:rFonts w:ascii="Arial" w:hAnsi="Arial" w:cs="Arial"/>
          <w:sz w:val="24"/>
          <w:szCs w:val="24"/>
        </w:rPr>
        <w:t>on 25 August 2021 and finally appointed as joint liquidators on 6 January 2022 respectively.</w:t>
      </w:r>
      <w:r w:rsidR="00645495">
        <w:rPr>
          <w:rFonts w:ascii="Arial" w:hAnsi="Arial" w:cs="Arial"/>
          <w:sz w:val="24"/>
          <w:szCs w:val="24"/>
        </w:rPr>
        <w:tab/>
      </w:r>
    </w:p>
    <w:p w14:paraId="412B199A" w14:textId="77777777" w:rsidR="00FB6BAB" w:rsidRDefault="00FB6BAB" w:rsidP="0097424C">
      <w:pPr>
        <w:spacing w:line="480" w:lineRule="auto"/>
        <w:jc w:val="both"/>
        <w:rPr>
          <w:rFonts w:ascii="Arial" w:hAnsi="Arial" w:cs="Arial"/>
          <w:sz w:val="24"/>
          <w:szCs w:val="24"/>
        </w:rPr>
      </w:pPr>
    </w:p>
    <w:p w14:paraId="601E30DF" w14:textId="5703B2BD" w:rsidR="004C5B6B" w:rsidRDefault="009326EA" w:rsidP="004C5B6B">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6</w:t>
      </w:r>
      <w:r>
        <w:rPr>
          <w:rFonts w:ascii="Arial" w:hAnsi="Arial" w:cs="Arial"/>
          <w:sz w:val="24"/>
          <w:szCs w:val="24"/>
        </w:rPr>
        <w:t>]</w:t>
      </w:r>
      <w:r w:rsidR="00E30BD5">
        <w:rPr>
          <w:rFonts w:ascii="Arial" w:hAnsi="Arial" w:cs="Arial"/>
          <w:sz w:val="24"/>
          <w:szCs w:val="24"/>
        </w:rPr>
        <w:tab/>
        <w:t xml:space="preserve">On 17 January 2022, the Trust proceeded to issue summons against the first and </w:t>
      </w:r>
      <w:r w:rsidR="00F941E9">
        <w:rPr>
          <w:rFonts w:ascii="Arial" w:hAnsi="Arial" w:cs="Arial"/>
          <w:sz w:val="24"/>
          <w:szCs w:val="24"/>
        </w:rPr>
        <w:t xml:space="preserve">the </w:t>
      </w:r>
      <w:r w:rsidR="00E30BD5">
        <w:rPr>
          <w:rFonts w:ascii="Arial" w:hAnsi="Arial" w:cs="Arial"/>
          <w:sz w:val="24"/>
          <w:szCs w:val="24"/>
        </w:rPr>
        <w:t>fourth respondents in which an automatic rent interd</w:t>
      </w:r>
      <w:r w:rsidR="00F941E9">
        <w:rPr>
          <w:rFonts w:ascii="Arial" w:hAnsi="Arial" w:cs="Arial"/>
          <w:sz w:val="24"/>
          <w:szCs w:val="24"/>
        </w:rPr>
        <w:t xml:space="preserve">ict was included out of the </w:t>
      </w:r>
      <w:r w:rsidR="00E30BD5">
        <w:rPr>
          <w:rFonts w:ascii="Arial" w:hAnsi="Arial" w:cs="Arial"/>
          <w:sz w:val="24"/>
          <w:szCs w:val="24"/>
        </w:rPr>
        <w:t>Region</w:t>
      </w:r>
      <w:r w:rsidR="00F941E9">
        <w:rPr>
          <w:rFonts w:ascii="Arial" w:hAnsi="Arial" w:cs="Arial"/>
          <w:sz w:val="24"/>
          <w:szCs w:val="24"/>
        </w:rPr>
        <w:t>al Court under Case No. RCC: CT</w:t>
      </w:r>
      <w:r w:rsidR="00E30BD5">
        <w:rPr>
          <w:rFonts w:ascii="Arial" w:hAnsi="Arial" w:cs="Arial"/>
          <w:sz w:val="24"/>
          <w:szCs w:val="24"/>
        </w:rPr>
        <w:t xml:space="preserve"> 35/2022.  At that time the Trust </w:t>
      </w:r>
      <w:r w:rsidR="00F941E9">
        <w:rPr>
          <w:rFonts w:ascii="Arial" w:hAnsi="Arial" w:cs="Arial"/>
          <w:sz w:val="24"/>
          <w:szCs w:val="24"/>
        </w:rPr>
        <w:t xml:space="preserve">alleges that it </w:t>
      </w:r>
      <w:r w:rsidR="00E30BD5">
        <w:rPr>
          <w:rFonts w:ascii="Arial" w:hAnsi="Arial" w:cs="Arial"/>
          <w:sz w:val="24"/>
          <w:szCs w:val="24"/>
        </w:rPr>
        <w:t xml:space="preserve">was unaware that the first respondent was granted a final winding-up order on 15 </w:t>
      </w:r>
      <w:r w:rsidR="00F941E9">
        <w:rPr>
          <w:rFonts w:ascii="Arial" w:hAnsi="Arial" w:cs="Arial"/>
          <w:sz w:val="24"/>
          <w:szCs w:val="24"/>
        </w:rPr>
        <w:lastRenderedPageBreak/>
        <w:t>September 2021.  In these proceedings, t</w:t>
      </w:r>
      <w:r w:rsidR="00E30BD5">
        <w:rPr>
          <w:rFonts w:ascii="Arial" w:hAnsi="Arial" w:cs="Arial"/>
          <w:sz w:val="24"/>
          <w:szCs w:val="24"/>
        </w:rPr>
        <w:t xml:space="preserve">he fourth respondent purported to be an authorised representative of the first respondent.  </w:t>
      </w:r>
      <w:r w:rsidR="00A7495D">
        <w:rPr>
          <w:rFonts w:ascii="Arial" w:hAnsi="Arial" w:cs="Arial"/>
          <w:sz w:val="24"/>
          <w:szCs w:val="24"/>
        </w:rPr>
        <w:t xml:space="preserve">In his interactions with the Trust, </w:t>
      </w:r>
      <w:r w:rsidR="00483E1F">
        <w:rPr>
          <w:rFonts w:ascii="Arial" w:hAnsi="Arial" w:cs="Arial"/>
          <w:sz w:val="24"/>
          <w:szCs w:val="24"/>
        </w:rPr>
        <w:t xml:space="preserve">and in his attempt to settle these proceedings, </w:t>
      </w:r>
      <w:r w:rsidR="00A7495D">
        <w:rPr>
          <w:rFonts w:ascii="Arial" w:hAnsi="Arial" w:cs="Arial"/>
          <w:sz w:val="24"/>
          <w:szCs w:val="24"/>
        </w:rPr>
        <w:t>h</w:t>
      </w:r>
      <w:r w:rsidR="00E30BD5">
        <w:rPr>
          <w:rFonts w:ascii="Arial" w:hAnsi="Arial" w:cs="Arial"/>
          <w:sz w:val="24"/>
          <w:szCs w:val="24"/>
        </w:rPr>
        <w:t>e did not dis</w:t>
      </w:r>
      <w:r w:rsidR="00F941E9">
        <w:rPr>
          <w:rFonts w:ascii="Arial" w:hAnsi="Arial" w:cs="Arial"/>
          <w:sz w:val="24"/>
          <w:szCs w:val="24"/>
        </w:rPr>
        <w:t>close the winding-up of the first respondent</w:t>
      </w:r>
      <w:r w:rsidR="00E30BD5">
        <w:rPr>
          <w:rFonts w:ascii="Arial" w:hAnsi="Arial" w:cs="Arial"/>
          <w:sz w:val="24"/>
          <w:szCs w:val="24"/>
        </w:rPr>
        <w:t>.</w:t>
      </w:r>
    </w:p>
    <w:p w14:paraId="26AA339F" w14:textId="1283AA05" w:rsidR="002636B4" w:rsidRPr="00726809" w:rsidRDefault="00645495" w:rsidP="004C5B6B">
      <w:pPr>
        <w:spacing w:line="480" w:lineRule="auto"/>
        <w:jc w:val="both"/>
        <w:rPr>
          <w:rFonts w:ascii="Arial" w:hAnsi="Arial" w:cs="Arial"/>
          <w:sz w:val="24"/>
          <w:szCs w:val="24"/>
        </w:rPr>
      </w:pPr>
      <w:r>
        <w:rPr>
          <w:rFonts w:ascii="Arial" w:hAnsi="Arial" w:cs="Arial"/>
          <w:sz w:val="24"/>
          <w:szCs w:val="24"/>
        </w:rPr>
        <w:tab/>
      </w:r>
    </w:p>
    <w:p w14:paraId="3D866CFB" w14:textId="43863105" w:rsidR="00913C90" w:rsidRDefault="009326EA" w:rsidP="006A7D85">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7</w:t>
      </w:r>
      <w:r>
        <w:rPr>
          <w:rFonts w:ascii="Arial" w:hAnsi="Arial" w:cs="Arial"/>
          <w:sz w:val="24"/>
          <w:szCs w:val="24"/>
        </w:rPr>
        <w:t>]</w:t>
      </w:r>
      <w:r w:rsidR="00F941E9">
        <w:rPr>
          <w:rFonts w:ascii="Arial" w:hAnsi="Arial" w:cs="Arial"/>
          <w:sz w:val="24"/>
          <w:szCs w:val="24"/>
        </w:rPr>
        <w:tab/>
        <w:t>The fou</w:t>
      </w:r>
      <w:r w:rsidR="00E30BD5">
        <w:rPr>
          <w:rFonts w:ascii="Arial" w:hAnsi="Arial" w:cs="Arial"/>
          <w:sz w:val="24"/>
          <w:szCs w:val="24"/>
        </w:rPr>
        <w:t>rt</w:t>
      </w:r>
      <w:r w:rsidR="00F941E9">
        <w:rPr>
          <w:rFonts w:ascii="Arial" w:hAnsi="Arial" w:cs="Arial"/>
          <w:sz w:val="24"/>
          <w:szCs w:val="24"/>
        </w:rPr>
        <w:t>h</w:t>
      </w:r>
      <w:r w:rsidR="00E30BD5">
        <w:rPr>
          <w:rFonts w:ascii="Arial" w:hAnsi="Arial" w:cs="Arial"/>
          <w:sz w:val="24"/>
          <w:szCs w:val="24"/>
        </w:rPr>
        <w:t xml:space="preserve"> respondent, notwithstanding con</w:t>
      </w:r>
      <w:r w:rsidR="00F941E9">
        <w:rPr>
          <w:rFonts w:ascii="Arial" w:hAnsi="Arial" w:cs="Arial"/>
          <w:sz w:val="24"/>
          <w:szCs w:val="24"/>
        </w:rPr>
        <w:t>clu</w:t>
      </w:r>
      <w:r w:rsidR="00E30BD5">
        <w:rPr>
          <w:rFonts w:ascii="Arial" w:hAnsi="Arial" w:cs="Arial"/>
          <w:sz w:val="24"/>
          <w:szCs w:val="24"/>
        </w:rPr>
        <w:t>ded a se</w:t>
      </w:r>
      <w:r w:rsidR="00F941E9">
        <w:rPr>
          <w:rFonts w:ascii="Arial" w:hAnsi="Arial" w:cs="Arial"/>
          <w:sz w:val="24"/>
          <w:szCs w:val="24"/>
        </w:rPr>
        <w:t>ttlement agreement between the T</w:t>
      </w:r>
      <w:r w:rsidR="00E30BD5">
        <w:rPr>
          <w:rFonts w:ascii="Arial" w:hAnsi="Arial" w:cs="Arial"/>
          <w:sz w:val="24"/>
          <w:szCs w:val="24"/>
        </w:rPr>
        <w:t>rust, himself and the first respondent.  This settlement agreement was made an order of court on 1 March 2022.  The relevant terms of the agreement were</w:t>
      </w:r>
      <w:r w:rsidR="00913C90">
        <w:rPr>
          <w:rFonts w:ascii="Arial" w:hAnsi="Arial" w:cs="Arial"/>
          <w:sz w:val="24"/>
          <w:szCs w:val="24"/>
        </w:rPr>
        <w:t>:</w:t>
      </w:r>
      <w:r w:rsidR="00E30BD5">
        <w:rPr>
          <w:rFonts w:ascii="Arial" w:hAnsi="Arial" w:cs="Arial"/>
          <w:sz w:val="24"/>
          <w:szCs w:val="24"/>
        </w:rPr>
        <w:t xml:space="preserve"> </w:t>
      </w:r>
    </w:p>
    <w:p w14:paraId="18BA74A3" w14:textId="4DBF7429" w:rsidR="00913C90" w:rsidRDefault="00E30BD5" w:rsidP="00913C90">
      <w:pPr>
        <w:spacing w:line="480" w:lineRule="auto"/>
        <w:ind w:left="720"/>
        <w:jc w:val="both"/>
        <w:rPr>
          <w:rFonts w:ascii="Arial" w:hAnsi="Arial" w:cs="Arial"/>
          <w:i/>
          <w:sz w:val="24"/>
          <w:szCs w:val="24"/>
        </w:rPr>
      </w:pPr>
      <w:r>
        <w:rPr>
          <w:rFonts w:ascii="Arial" w:hAnsi="Arial" w:cs="Arial"/>
          <w:sz w:val="24"/>
          <w:szCs w:val="24"/>
        </w:rPr>
        <w:t>“</w:t>
      </w:r>
      <w:r>
        <w:rPr>
          <w:rFonts w:ascii="Arial" w:hAnsi="Arial" w:cs="Arial"/>
          <w:i/>
          <w:sz w:val="24"/>
          <w:szCs w:val="24"/>
        </w:rPr>
        <w:t>1… that the First and / or Second Defendants pay, the one pay</w:t>
      </w:r>
      <w:r w:rsidR="00601ABA">
        <w:rPr>
          <w:rFonts w:ascii="Arial" w:hAnsi="Arial" w:cs="Arial"/>
          <w:i/>
          <w:sz w:val="24"/>
          <w:szCs w:val="24"/>
        </w:rPr>
        <w:t>ing the other being absolved, to the Plaintiffs, the amount of R535 137.08 (hereinafter referr</w:t>
      </w:r>
      <w:r w:rsidR="00913C90">
        <w:rPr>
          <w:rFonts w:ascii="Arial" w:hAnsi="Arial" w:cs="Arial"/>
          <w:i/>
          <w:sz w:val="24"/>
          <w:szCs w:val="24"/>
        </w:rPr>
        <w:t>ed to as the “Settlement Amou</w:t>
      </w:r>
      <w:r w:rsidR="00601ABA">
        <w:rPr>
          <w:rFonts w:ascii="Arial" w:hAnsi="Arial" w:cs="Arial"/>
          <w:i/>
          <w:sz w:val="24"/>
          <w:szCs w:val="24"/>
        </w:rPr>
        <w:t>nt</w:t>
      </w:r>
      <w:r w:rsidR="00913C90">
        <w:rPr>
          <w:rFonts w:ascii="Arial" w:hAnsi="Arial" w:cs="Arial"/>
          <w:i/>
          <w:sz w:val="24"/>
          <w:szCs w:val="24"/>
        </w:rPr>
        <w:t>”) …</w:t>
      </w:r>
      <w:r w:rsidR="00601ABA">
        <w:rPr>
          <w:rFonts w:ascii="Arial" w:hAnsi="Arial" w:cs="Arial"/>
          <w:i/>
          <w:sz w:val="24"/>
          <w:szCs w:val="24"/>
        </w:rPr>
        <w:t xml:space="preserve">  </w:t>
      </w:r>
    </w:p>
    <w:p w14:paraId="0D567511" w14:textId="77777777" w:rsidR="00913C90" w:rsidRDefault="00601ABA" w:rsidP="00913C90">
      <w:pPr>
        <w:spacing w:line="480" w:lineRule="auto"/>
        <w:ind w:left="720"/>
        <w:jc w:val="both"/>
        <w:rPr>
          <w:rFonts w:ascii="Arial" w:hAnsi="Arial" w:cs="Arial"/>
          <w:i/>
          <w:sz w:val="24"/>
          <w:szCs w:val="24"/>
        </w:rPr>
      </w:pPr>
      <w:r>
        <w:rPr>
          <w:rFonts w:ascii="Arial" w:hAnsi="Arial" w:cs="Arial"/>
          <w:i/>
          <w:sz w:val="24"/>
          <w:szCs w:val="24"/>
        </w:rPr>
        <w:t xml:space="preserve">2. The Settlement Agreement shall be payable as follows: </w:t>
      </w:r>
    </w:p>
    <w:p w14:paraId="6EC96CF6" w14:textId="24164700" w:rsidR="009326EA" w:rsidRDefault="00601ABA" w:rsidP="00913C90">
      <w:pPr>
        <w:spacing w:line="480" w:lineRule="auto"/>
        <w:ind w:left="1440"/>
        <w:jc w:val="both"/>
        <w:rPr>
          <w:rFonts w:ascii="Arial" w:hAnsi="Arial" w:cs="Arial"/>
          <w:sz w:val="24"/>
          <w:szCs w:val="24"/>
        </w:rPr>
      </w:pPr>
      <w:r>
        <w:rPr>
          <w:rFonts w:ascii="Arial" w:hAnsi="Arial" w:cs="Arial"/>
          <w:i/>
          <w:sz w:val="24"/>
          <w:szCs w:val="24"/>
        </w:rPr>
        <w:t>2.1 The First and / or Second Defendants shall appoint Michael James (</w:t>
      </w:r>
      <w:r w:rsidR="00913C90">
        <w:rPr>
          <w:rFonts w:ascii="Arial" w:hAnsi="Arial" w:cs="Arial"/>
          <w:i/>
          <w:sz w:val="24"/>
          <w:szCs w:val="24"/>
        </w:rPr>
        <w:t>“</w:t>
      </w:r>
      <w:r>
        <w:rPr>
          <w:rFonts w:ascii="Arial" w:hAnsi="Arial" w:cs="Arial"/>
          <w:i/>
          <w:sz w:val="24"/>
          <w:szCs w:val="24"/>
        </w:rPr>
        <w:t>the “Auction House”)</w:t>
      </w:r>
      <w:r w:rsidR="00913C90">
        <w:rPr>
          <w:rFonts w:ascii="Arial" w:hAnsi="Arial" w:cs="Arial"/>
          <w:i/>
          <w:sz w:val="24"/>
          <w:szCs w:val="24"/>
        </w:rPr>
        <w:t>,</w:t>
      </w:r>
      <w:r>
        <w:rPr>
          <w:rFonts w:ascii="Arial" w:hAnsi="Arial" w:cs="Arial"/>
          <w:i/>
          <w:sz w:val="24"/>
          <w:szCs w:val="24"/>
        </w:rPr>
        <w:t xml:space="preserve"> to attend to the auction of movable currently on the premises</w:t>
      </w:r>
      <w:r w:rsidR="00913C90">
        <w:rPr>
          <w:rFonts w:ascii="Arial" w:hAnsi="Arial" w:cs="Arial"/>
          <w:i/>
          <w:sz w:val="24"/>
          <w:szCs w:val="24"/>
        </w:rPr>
        <w:t>,</w:t>
      </w:r>
      <w:r>
        <w:rPr>
          <w:rFonts w:ascii="Arial" w:hAnsi="Arial" w:cs="Arial"/>
          <w:i/>
          <w:sz w:val="24"/>
          <w:szCs w:val="24"/>
        </w:rPr>
        <w:t xml:space="preserve"> which auction shall take place on the first available date between</w:t>
      </w:r>
      <w:r w:rsidR="00913C90">
        <w:rPr>
          <w:rFonts w:ascii="Arial" w:hAnsi="Arial" w:cs="Arial"/>
          <w:i/>
          <w:sz w:val="24"/>
          <w:szCs w:val="24"/>
        </w:rPr>
        <w:t xml:space="preserve"> </w:t>
      </w:r>
      <w:r w:rsidR="0035414A">
        <w:rPr>
          <w:rFonts w:ascii="Arial" w:hAnsi="Arial" w:cs="Arial"/>
          <w:i/>
          <w:sz w:val="24"/>
          <w:szCs w:val="24"/>
        </w:rPr>
        <w:t>27</w:t>
      </w:r>
      <w:r w:rsidR="0035414A" w:rsidRPr="00913C90">
        <w:rPr>
          <w:rFonts w:ascii="Arial" w:hAnsi="Arial" w:cs="Arial"/>
          <w:i/>
          <w:sz w:val="24"/>
          <w:szCs w:val="24"/>
          <w:vertAlign w:val="superscript"/>
        </w:rPr>
        <w:t>th</w:t>
      </w:r>
      <w:r w:rsidR="0035414A">
        <w:rPr>
          <w:rFonts w:ascii="Arial" w:hAnsi="Arial" w:cs="Arial"/>
          <w:i/>
          <w:sz w:val="24"/>
          <w:szCs w:val="24"/>
        </w:rPr>
        <w:t xml:space="preserve"> of</w:t>
      </w:r>
      <w:r>
        <w:rPr>
          <w:rFonts w:ascii="Arial" w:hAnsi="Arial" w:cs="Arial"/>
          <w:i/>
          <w:sz w:val="24"/>
          <w:szCs w:val="24"/>
        </w:rPr>
        <w:t xml:space="preserve"> February 2022 to the 10</w:t>
      </w:r>
      <w:r w:rsidRPr="00601ABA">
        <w:rPr>
          <w:rFonts w:ascii="Arial" w:hAnsi="Arial" w:cs="Arial"/>
          <w:i/>
          <w:sz w:val="24"/>
          <w:szCs w:val="24"/>
          <w:vertAlign w:val="superscript"/>
        </w:rPr>
        <w:t>th</w:t>
      </w:r>
      <w:r>
        <w:rPr>
          <w:rFonts w:ascii="Arial" w:hAnsi="Arial" w:cs="Arial"/>
          <w:i/>
          <w:sz w:val="24"/>
          <w:szCs w:val="24"/>
        </w:rPr>
        <w:t xml:space="preserve"> March 2022.</w:t>
      </w:r>
      <w:r>
        <w:rPr>
          <w:rStyle w:val="FootnoteReference"/>
          <w:rFonts w:ascii="Arial" w:hAnsi="Arial" w:cs="Arial"/>
          <w:i/>
          <w:sz w:val="24"/>
          <w:szCs w:val="24"/>
        </w:rPr>
        <w:footnoteReference w:id="2"/>
      </w:r>
      <w:r w:rsidR="00913C90">
        <w:rPr>
          <w:rFonts w:ascii="Arial" w:hAnsi="Arial" w:cs="Arial"/>
          <w:i/>
          <w:sz w:val="24"/>
          <w:szCs w:val="24"/>
        </w:rPr>
        <w:t>”</w:t>
      </w:r>
      <w:r>
        <w:rPr>
          <w:rFonts w:ascii="Arial" w:hAnsi="Arial" w:cs="Arial"/>
          <w:i/>
          <w:sz w:val="24"/>
          <w:szCs w:val="24"/>
        </w:rPr>
        <w:t xml:space="preserve"> </w:t>
      </w:r>
      <w:r w:rsidR="002636B4">
        <w:rPr>
          <w:rFonts w:ascii="Arial" w:hAnsi="Arial" w:cs="Arial"/>
          <w:sz w:val="24"/>
          <w:szCs w:val="24"/>
        </w:rPr>
        <w:tab/>
      </w:r>
    </w:p>
    <w:p w14:paraId="16E4210A" w14:textId="77777777" w:rsidR="00CE68DC" w:rsidRPr="00254D40" w:rsidRDefault="00CE68DC" w:rsidP="009326EA">
      <w:pPr>
        <w:spacing w:line="480" w:lineRule="auto"/>
        <w:ind w:left="720"/>
        <w:jc w:val="both"/>
        <w:rPr>
          <w:rFonts w:ascii="Arial" w:hAnsi="Arial" w:cs="Arial"/>
          <w:i/>
          <w:sz w:val="24"/>
          <w:szCs w:val="24"/>
        </w:rPr>
      </w:pPr>
    </w:p>
    <w:p w14:paraId="1AF29D17" w14:textId="1EF8256C" w:rsidR="00593DC2" w:rsidRDefault="009326EA" w:rsidP="004C5B6B">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8</w:t>
      </w:r>
      <w:r>
        <w:rPr>
          <w:rFonts w:ascii="Arial" w:hAnsi="Arial" w:cs="Arial"/>
          <w:sz w:val="24"/>
          <w:szCs w:val="24"/>
        </w:rPr>
        <w:t>]</w:t>
      </w:r>
      <w:r w:rsidR="00601ABA">
        <w:rPr>
          <w:rFonts w:ascii="Arial" w:hAnsi="Arial" w:cs="Arial"/>
          <w:sz w:val="24"/>
          <w:szCs w:val="24"/>
        </w:rPr>
        <w:tab/>
      </w:r>
      <w:r w:rsidR="009C3CC4">
        <w:rPr>
          <w:rFonts w:ascii="Arial" w:hAnsi="Arial" w:cs="Arial"/>
          <w:sz w:val="24"/>
          <w:szCs w:val="24"/>
        </w:rPr>
        <w:t>On 22 February 2022, and i</w:t>
      </w:r>
      <w:r w:rsidR="00601ABA">
        <w:rPr>
          <w:rFonts w:ascii="Arial" w:hAnsi="Arial" w:cs="Arial"/>
          <w:sz w:val="24"/>
          <w:szCs w:val="24"/>
        </w:rPr>
        <w:t>n compliance with this settlement agreement, the fourth respondent dispatched a correspondence to Michael James A</w:t>
      </w:r>
      <w:r w:rsidR="009C3CC4">
        <w:rPr>
          <w:rFonts w:ascii="Arial" w:hAnsi="Arial" w:cs="Arial"/>
          <w:sz w:val="24"/>
          <w:szCs w:val="24"/>
        </w:rPr>
        <w:t>uction House</w:t>
      </w:r>
      <w:r w:rsidR="00601ABA">
        <w:rPr>
          <w:rFonts w:ascii="Arial" w:hAnsi="Arial" w:cs="Arial"/>
          <w:sz w:val="24"/>
          <w:szCs w:val="24"/>
        </w:rPr>
        <w:t xml:space="preserve"> stating</w:t>
      </w:r>
      <w:r w:rsidR="00913C90">
        <w:rPr>
          <w:rFonts w:ascii="Arial" w:hAnsi="Arial" w:cs="Arial"/>
          <w:sz w:val="24"/>
          <w:szCs w:val="24"/>
        </w:rPr>
        <w:t xml:space="preserve"> that</w:t>
      </w:r>
      <w:r w:rsidR="00601ABA">
        <w:rPr>
          <w:rFonts w:ascii="Arial" w:hAnsi="Arial" w:cs="Arial"/>
          <w:sz w:val="24"/>
          <w:szCs w:val="24"/>
        </w:rPr>
        <w:t xml:space="preserve"> the first respondent has authorised him to sell selected movable items on auction that is planned for 8 March 2022 on site at 46 Manhattan Road, Airport Industria.</w:t>
      </w:r>
      <w:r w:rsidR="00601ABA">
        <w:rPr>
          <w:rStyle w:val="FootnoteReference"/>
          <w:rFonts w:ascii="Arial" w:hAnsi="Arial" w:cs="Arial"/>
          <w:sz w:val="24"/>
          <w:szCs w:val="24"/>
        </w:rPr>
        <w:footnoteReference w:id="3"/>
      </w:r>
      <w:r w:rsidR="009C3CC4">
        <w:rPr>
          <w:rFonts w:ascii="Arial" w:hAnsi="Arial" w:cs="Arial"/>
          <w:sz w:val="24"/>
          <w:szCs w:val="24"/>
        </w:rPr>
        <w:t xml:space="preserve">  </w:t>
      </w:r>
      <w:r w:rsidR="00483E1F">
        <w:rPr>
          <w:rFonts w:ascii="Arial" w:hAnsi="Arial" w:cs="Arial"/>
          <w:sz w:val="24"/>
          <w:szCs w:val="24"/>
        </w:rPr>
        <w:t>In counter-action to these allegations, t</w:t>
      </w:r>
      <w:r w:rsidR="009C3CC4">
        <w:rPr>
          <w:rFonts w:ascii="Arial" w:hAnsi="Arial" w:cs="Arial"/>
          <w:sz w:val="24"/>
          <w:szCs w:val="24"/>
        </w:rPr>
        <w:t xml:space="preserve">he Trust </w:t>
      </w:r>
      <w:r w:rsidR="00601ABA">
        <w:rPr>
          <w:rFonts w:ascii="Arial" w:hAnsi="Arial" w:cs="Arial"/>
          <w:sz w:val="24"/>
          <w:szCs w:val="24"/>
        </w:rPr>
        <w:t xml:space="preserve">stated that the fourth respondent has consistently maintained </w:t>
      </w:r>
      <w:r w:rsidR="00913C90">
        <w:rPr>
          <w:rFonts w:ascii="Arial" w:hAnsi="Arial" w:cs="Arial"/>
          <w:sz w:val="24"/>
          <w:szCs w:val="24"/>
        </w:rPr>
        <w:t xml:space="preserve">that </w:t>
      </w:r>
      <w:r w:rsidR="00601ABA">
        <w:rPr>
          <w:rFonts w:ascii="Arial" w:hAnsi="Arial" w:cs="Arial"/>
          <w:sz w:val="24"/>
          <w:szCs w:val="24"/>
        </w:rPr>
        <w:t>he was the rightful owner of the items</w:t>
      </w:r>
      <w:r w:rsidR="00913C90">
        <w:rPr>
          <w:rFonts w:ascii="Arial" w:hAnsi="Arial" w:cs="Arial"/>
          <w:sz w:val="24"/>
          <w:szCs w:val="24"/>
        </w:rPr>
        <w:t xml:space="preserve"> to be sold on </w:t>
      </w:r>
      <w:r w:rsidR="00593DC2">
        <w:rPr>
          <w:rFonts w:ascii="Arial" w:hAnsi="Arial" w:cs="Arial"/>
          <w:sz w:val="24"/>
          <w:szCs w:val="24"/>
        </w:rPr>
        <w:t xml:space="preserve">auction.  The first to third respondents disputed </w:t>
      </w:r>
      <w:r w:rsidR="009C3CC4">
        <w:rPr>
          <w:rFonts w:ascii="Arial" w:hAnsi="Arial" w:cs="Arial"/>
          <w:sz w:val="24"/>
          <w:szCs w:val="24"/>
        </w:rPr>
        <w:t>this allegation</w:t>
      </w:r>
      <w:r w:rsidR="00593DC2">
        <w:rPr>
          <w:rFonts w:ascii="Arial" w:hAnsi="Arial" w:cs="Arial"/>
          <w:sz w:val="24"/>
          <w:szCs w:val="24"/>
        </w:rPr>
        <w:t xml:space="preserve"> and stated that</w:t>
      </w:r>
      <w:r w:rsidR="009C3CC4">
        <w:rPr>
          <w:rFonts w:ascii="Arial" w:hAnsi="Arial" w:cs="Arial"/>
          <w:sz w:val="24"/>
          <w:szCs w:val="24"/>
        </w:rPr>
        <w:t xml:space="preserve"> the assets had been </w:t>
      </w:r>
      <w:r w:rsidR="009C3CC4">
        <w:rPr>
          <w:rFonts w:ascii="Arial" w:hAnsi="Arial" w:cs="Arial"/>
          <w:sz w:val="24"/>
          <w:szCs w:val="24"/>
        </w:rPr>
        <w:lastRenderedPageBreak/>
        <w:t xml:space="preserve">attached </w:t>
      </w:r>
      <w:r w:rsidR="00CF50ED">
        <w:rPr>
          <w:rFonts w:ascii="Arial" w:hAnsi="Arial" w:cs="Arial"/>
          <w:sz w:val="24"/>
          <w:szCs w:val="24"/>
        </w:rPr>
        <w:t xml:space="preserve">on </w:t>
      </w:r>
      <w:r w:rsidR="00593DC2">
        <w:rPr>
          <w:rFonts w:ascii="Arial" w:hAnsi="Arial" w:cs="Arial"/>
          <w:sz w:val="24"/>
          <w:szCs w:val="24"/>
        </w:rPr>
        <w:t xml:space="preserve">the premises which had been leased to and </w:t>
      </w:r>
      <w:r w:rsidR="00CF50ED">
        <w:rPr>
          <w:rFonts w:ascii="Arial" w:hAnsi="Arial" w:cs="Arial"/>
          <w:sz w:val="24"/>
          <w:szCs w:val="24"/>
        </w:rPr>
        <w:t xml:space="preserve">were </w:t>
      </w:r>
      <w:r w:rsidR="00593DC2">
        <w:rPr>
          <w:rFonts w:ascii="Arial" w:hAnsi="Arial" w:cs="Arial"/>
          <w:sz w:val="24"/>
          <w:szCs w:val="24"/>
        </w:rPr>
        <w:t>in the possession of the first respondent.  This fact was brought to the attention of the Trust’s attorneys shortly before the auction commenced</w:t>
      </w:r>
      <w:r w:rsidR="00AF7EE3">
        <w:rPr>
          <w:rFonts w:ascii="Arial" w:hAnsi="Arial" w:cs="Arial"/>
          <w:sz w:val="24"/>
          <w:szCs w:val="24"/>
        </w:rPr>
        <w:t xml:space="preserve"> on 8 March 2022</w:t>
      </w:r>
      <w:r w:rsidR="00593DC2">
        <w:rPr>
          <w:rFonts w:ascii="Arial" w:hAnsi="Arial" w:cs="Arial"/>
          <w:sz w:val="24"/>
          <w:szCs w:val="24"/>
        </w:rPr>
        <w:t>.</w:t>
      </w:r>
      <w:r w:rsidR="00AF7EE3">
        <w:rPr>
          <w:rFonts w:ascii="Arial" w:hAnsi="Arial" w:cs="Arial"/>
          <w:sz w:val="24"/>
          <w:szCs w:val="24"/>
        </w:rPr>
        <w:t xml:space="preserve"> </w:t>
      </w:r>
      <w:r w:rsidR="00593DC2">
        <w:rPr>
          <w:rFonts w:ascii="Arial" w:hAnsi="Arial" w:cs="Arial"/>
          <w:sz w:val="24"/>
          <w:szCs w:val="24"/>
        </w:rPr>
        <w:t xml:space="preserve">  In addition, the first to third respondents’ attorneys advised the Trust attorneys that the first respondent was placed in liquidation and demanded that the auction be cancelled as the assets identified for auction belonged to the first respondent.  </w:t>
      </w:r>
      <w:r w:rsidR="00593AAB">
        <w:rPr>
          <w:rFonts w:ascii="Arial" w:hAnsi="Arial" w:cs="Arial"/>
          <w:sz w:val="24"/>
          <w:szCs w:val="24"/>
        </w:rPr>
        <w:t>Initially, t</w:t>
      </w:r>
      <w:r w:rsidR="00593DC2">
        <w:rPr>
          <w:rFonts w:ascii="Arial" w:hAnsi="Arial" w:cs="Arial"/>
          <w:sz w:val="24"/>
          <w:szCs w:val="24"/>
        </w:rPr>
        <w:t>he first to third respondent</w:t>
      </w:r>
      <w:r w:rsidR="00CF50ED">
        <w:rPr>
          <w:rFonts w:ascii="Arial" w:hAnsi="Arial" w:cs="Arial"/>
          <w:sz w:val="24"/>
          <w:szCs w:val="24"/>
        </w:rPr>
        <w:t>s</w:t>
      </w:r>
      <w:r w:rsidR="00593DC2">
        <w:rPr>
          <w:rFonts w:ascii="Arial" w:hAnsi="Arial" w:cs="Arial"/>
          <w:sz w:val="24"/>
          <w:szCs w:val="24"/>
        </w:rPr>
        <w:t xml:space="preserve"> did not agree to that sale taking place.  The attorneys, after their conversation agreed pragmati</w:t>
      </w:r>
      <w:r w:rsidR="00CF50ED">
        <w:rPr>
          <w:rFonts w:ascii="Arial" w:hAnsi="Arial" w:cs="Arial"/>
          <w:sz w:val="24"/>
          <w:szCs w:val="24"/>
        </w:rPr>
        <w:t>cally that the auction proceeds</w:t>
      </w:r>
      <w:r w:rsidR="00593DC2">
        <w:rPr>
          <w:rFonts w:ascii="Arial" w:hAnsi="Arial" w:cs="Arial"/>
          <w:sz w:val="24"/>
          <w:szCs w:val="24"/>
        </w:rPr>
        <w:t xml:space="preserve"> be retained in the applicant’s attorney’s trust account, pending the resolution of dispute on which party is entitled thereto.  The sale proceeds are currently held in the applicant’s attorney’s trust account.</w:t>
      </w:r>
    </w:p>
    <w:p w14:paraId="142B9922" w14:textId="77777777" w:rsidR="00593DC2" w:rsidRDefault="00593DC2" w:rsidP="004C5B6B">
      <w:pPr>
        <w:spacing w:line="480" w:lineRule="auto"/>
        <w:jc w:val="both"/>
        <w:rPr>
          <w:rFonts w:ascii="Arial" w:hAnsi="Arial" w:cs="Arial"/>
          <w:sz w:val="24"/>
          <w:szCs w:val="24"/>
        </w:rPr>
      </w:pPr>
    </w:p>
    <w:p w14:paraId="3602B332" w14:textId="6DAEE6EF" w:rsidR="00237221" w:rsidRDefault="00593DC2" w:rsidP="004C5B6B">
      <w:pPr>
        <w:spacing w:line="480" w:lineRule="auto"/>
        <w:jc w:val="both"/>
        <w:rPr>
          <w:rFonts w:ascii="Arial" w:hAnsi="Arial" w:cs="Arial"/>
          <w:i/>
          <w:sz w:val="24"/>
          <w:szCs w:val="24"/>
        </w:rPr>
      </w:pPr>
      <w:r>
        <w:rPr>
          <w:rFonts w:ascii="Arial" w:hAnsi="Arial" w:cs="Arial"/>
          <w:i/>
          <w:sz w:val="24"/>
          <w:szCs w:val="24"/>
        </w:rPr>
        <w:t>Issues</w:t>
      </w:r>
      <w:r w:rsidR="002636B4">
        <w:rPr>
          <w:rFonts w:ascii="Arial" w:hAnsi="Arial" w:cs="Arial"/>
          <w:sz w:val="24"/>
          <w:szCs w:val="24"/>
        </w:rPr>
        <w:tab/>
      </w:r>
    </w:p>
    <w:p w14:paraId="16186FE5" w14:textId="77777777" w:rsidR="00237221" w:rsidRDefault="00237221" w:rsidP="00237221">
      <w:pPr>
        <w:spacing w:line="480" w:lineRule="auto"/>
        <w:ind w:left="720"/>
        <w:jc w:val="both"/>
        <w:rPr>
          <w:rFonts w:ascii="Arial" w:hAnsi="Arial" w:cs="Arial"/>
          <w:i/>
          <w:sz w:val="24"/>
          <w:szCs w:val="24"/>
        </w:rPr>
      </w:pPr>
    </w:p>
    <w:p w14:paraId="7F362DE8" w14:textId="37B8B902" w:rsidR="00593DC2" w:rsidRDefault="009326EA"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9</w:t>
      </w:r>
      <w:r w:rsidR="005A4B2A">
        <w:rPr>
          <w:rFonts w:ascii="Arial" w:hAnsi="Arial" w:cs="Arial"/>
          <w:sz w:val="24"/>
          <w:szCs w:val="24"/>
        </w:rPr>
        <w:t>]</w:t>
      </w:r>
      <w:r w:rsidR="00593DC2">
        <w:rPr>
          <w:rFonts w:ascii="Arial" w:hAnsi="Arial" w:cs="Arial"/>
          <w:sz w:val="24"/>
          <w:szCs w:val="24"/>
        </w:rPr>
        <w:tab/>
        <w:t>This Court is called upon to determine whether the Trust is entitled to the relief sought give</w:t>
      </w:r>
      <w:r w:rsidR="00AF7EE3">
        <w:rPr>
          <w:rFonts w:ascii="Arial" w:hAnsi="Arial" w:cs="Arial"/>
          <w:sz w:val="24"/>
          <w:szCs w:val="24"/>
        </w:rPr>
        <w:t>n</w:t>
      </w:r>
      <w:r w:rsidR="00593DC2">
        <w:rPr>
          <w:rFonts w:ascii="Arial" w:hAnsi="Arial" w:cs="Arial"/>
          <w:sz w:val="24"/>
          <w:szCs w:val="24"/>
        </w:rPr>
        <w:t xml:space="preserve"> the first to third respondents’ defences</w:t>
      </w:r>
      <w:r w:rsidR="00AF7EE3">
        <w:rPr>
          <w:rFonts w:ascii="Arial" w:hAnsi="Arial" w:cs="Arial"/>
          <w:sz w:val="24"/>
          <w:szCs w:val="24"/>
        </w:rPr>
        <w:t xml:space="preserve"> in this regard</w:t>
      </w:r>
      <w:r w:rsidR="00593DC2">
        <w:rPr>
          <w:rFonts w:ascii="Arial" w:hAnsi="Arial" w:cs="Arial"/>
          <w:sz w:val="24"/>
          <w:szCs w:val="24"/>
        </w:rPr>
        <w:t>.</w:t>
      </w:r>
      <w:r w:rsidR="00593DC2">
        <w:rPr>
          <w:rFonts w:ascii="Arial" w:hAnsi="Arial" w:cs="Arial"/>
          <w:sz w:val="24"/>
          <w:szCs w:val="24"/>
        </w:rPr>
        <w:tab/>
      </w:r>
    </w:p>
    <w:p w14:paraId="1D26B5DC" w14:textId="77777777" w:rsidR="00593DC2" w:rsidRDefault="00593DC2" w:rsidP="0097424C">
      <w:pPr>
        <w:spacing w:line="480" w:lineRule="auto"/>
        <w:jc w:val="both"/>
        <w:rPr>
          <w:rFonts w:ascii="Arial" w:hAnsi="Arial" w:cs="Arial"/>
          <w:sz w:val="24"/>
          <w:szCs w:val="24"/>
        </w:rPr>
      </w:pPr>
    </w:p>
    <w:p w14:paraId="41302596" w14:textId="1E1C8BF7" w:rsidR="00A84604" w:rsidRDefault="00593DC2" w:rsidP="0097424C">
      <w:pPr>
        <w:spacing w:line="480" w:lineRule="auto"/>
        <w:jc w:val="both"/>
        <w:rPr>
          <w:rFonts w:ascii="Arial" w:hAnsi="Arial" w:cs="Arial"/>
          <w:sz w:val="24"/>
          <w:szCs w:val="24"/>
        </w:rPr>
      </w:pPr>
      <w:r>
        <w:rPr>
          <w:rFonts w:ascii="Arial" w:hAnsi="Arial" w:cs="Arial"/>
          <w:i/>
          <w:sz w:val="24"/>
          <w:szCs w:val="24"/>
        </w:rPr>
        <w:t>Submissions</w:t>
      </w:r>
      <w:r w:rsidR="001D081F">
        <w:rPr>
          <w:rFonts w:ascii="Arial" w:hAnsi="Arial" w:cs="Arial"/>
          <w:sz w:val="24"/>
          <w:szCs w:val="24"/>
        </w:rPr>
        <w:tab/>
      </w:r>
    </w:p>
    <w:p w14:paraId="5F66C551" w14:textId="77777777" w:rsidR="00A84604" w:rsidRDefault="00A84604" w:rsidP="0097424C">
      <w:pPr>
        <w:spacing w:line="480" w:lineRule="auto"/>
        <w:jc w:val="both"/>
        <w:rPr>
          <w:rFonts w:ascii="Arial" w:hAnsi="Arial" w:cs="Arial"/>
          <w:sz w:val="24"/>
          <w:szCs w:val="24"/>
        </w:rPr>
      </w:pPr>
    </w:p>
    <w:p w14:paraId="245BBEA7" w14:textId="2D638449" w:rsidR="00F76D83" w:rsidRDefault="00A84604" w:rsidP="0097424C">
      <w:pPr>
        <w:spacing w:line="480" w:lineRule="auto"/>
        <w:jc w:val="both"/>
        <w:rPr>
          <w:rFonts w:ascii="Arial" w:hAnsi="Arial" w:cs="Arial"/>
          <w:sz w:val="24"/>
          <w:szCs w:val="24"/>
        </w:rPr>
      </w:pPr>
      <w:r>
        <w:rPr>
          <w:rFonts w:ascii="Arial" w:hAnsi="Arial" w:cs="Arial"/>
          <w:sz w:val="24"/>
          <w:szCs w:val="24"/>
        </w:rPr>
        <w:t>[10]</w:t>
      </w:r>
      <w:r w:rsidR="0060180D">
        <w:rPr>
          <w:rFonts w:ascii="Arial" w:hAnsi="Arial" w:cs="Arial"/>
          <w:sz w:val="24"/>
          <w:szCs w:val="24"/>
        </w:rPr>
        <w:tab/>
        <w:t>The Trust submitted that this Court should gran</w:t>
      </w:r>
      <w:r w:rsidR="00AF7EE3">
        <w:rPr>
          <w:rFonts w:ascii="Arial" w:hAnsi="Arial" w:cs="Arial"/>
          <w:sz w:val="24"/>
          <w:szCs w:val="24"/>
        </w:rPr>
        <w:t>t a declaratory order that the s</w:t>
      </w:r>
      <w:r w:rsidR="0060180D">
        <w:rPr>
          <w:rFonts w:ascii="Arial" w:hAnsi="Arial" w:cs="Arial"/>
          <w:sz w:val="24"/>
          <w:szCs w:val="24"/>
        </w:rPr>
        <w:t xml:space="preserve">ettlement </w:t>
      </w:r>
      <w:r w:rsidR="00AF7EE3">
        <w:rPr>
          <w:rFonts w:ascii="Arial" w:hAnsi="Arial" w:cs="Arial"/>
          <w:sz w:val="24"/>
          <w:szCs w:val="24"/>
        </w:rPr>
        <w:t>a</w:t>
      </w:r>
      <w:r w:rsidR="0060180D">
        <w:rPr>
          <w:rFonts w:ascii="Arial" w:hAnsi="Arial" w:cs="Arial"/>
          <w:sz w:val="24"/>
          <w:szCs w:val="24"/>
        </w:rPr>
        <w:t>greement entered into between the Trust</w:t>
      </w:r>
      <w:r w:rsidR="00AF7EE3">
        <w:rPr>
          <w:rFonts w:ascii="Arial" w:hAnsi="Arial" w:cs="Arial"/>
          <w:sz w:val="24"/>
          <w:szCs w:val="24"/>
        </w:rPr>
        <w:t>,</w:t>
      </w:r>
      <w:r w:rsidR="0060180D">
        <w:rPr>
          <w:rFonts w:ascii="Arial" w:hAnsi="Arial" w:cs="Arial"/>
          <w:sz w:val="24"/>
          <w:szCs w:val="24"/>
        </w:rPr>
        <w:t xml:space="preserve"> the first and </w:t>
      </w:r>
      <w:r w:rsidR="00AF7EE3">
        <w:rPr>
          <w:rFonts w:ascii="Arial" w:hAnsi="Arial" w:cs="Arial"/>
          <w:sz w:val="24"/>
          <w:szCs w:val="24"/>
        </w:rPr>
        <w:t xml:space="preserve">the </w:t>
      </w:r>
      <w:r w:rsidR="0060180D">
        <w:rPr>
          <w:rFonts w:ascii="Arial" w:hAnsi="Arial" w:cs="Arial"/>
          <w:sz w:val="24"/>
          <w:szCs w:val="24"/>
        </w:rPr>
        <w:t xml:space="preserve">fourth respondent is valid and binding as against the fourth respondent.  Counsel for the Trust conceded during </w:t>
      </w:r>
      <w:r w:rsidR="00CF50ED">
        <w:rPr>
          <w:rFonts w:ascii="Arial" w:hAnsi="Arial" w:cs="Arial"/>
          <w:sz w:val="24"/>
          <w:szCs w:val="24"/>
        </w:rPr>
        <w:t xml:space="preserve">the </w:t>
      </w:r>
      <w:r w:rsidR="0060180D">
        <w:rPr>
          <w:rFonts w:ascii="Arial" w:hAnsi="Arial" w:cs="Arial"/>
          <w:sz w:val="24"/>
          <w:szCs w:val="24"/>
        </w:rPr>
        <w:t>hearing that no relief is sought on</w:t>
      </w:r>
      <w:r w:rsidR="00AF7EE3">
        <w:rPr>
          <w:rFonts w:ascii="Arial" w:hAnsi="Arial" w:cs="Arial"/>
          <w:sz w:val="24"/>
          <w:szCs w:val="24"/>
        </w:rPr>
        <w:t xml:space="preserve"> behalf of the first respondent and that s</w:t>
      </w:r>
      <w:r w:rsidR="00EB1FFC">
        <w:rPr>
          <w:rFonts w:ascii="Arial" w:hAnsi="Arial" w:cs="Arial"/>
          <w:sz w:val="24"/>
          <w:szCs w:val="24"/>
        </w:rPr>
        <w:t>hould this Court grant the</w:t>
      </w:r>
      <w:r w:rsidR="0060180D">
        <w:rPr>
          <w:rFonts w:ascii="Arial" w:hAnsi="Arial" w:cs="Arial"/>
          <w:sz w:val="24"/>
          <w:szCs w:val="24"/>
        </w:rPr>
        <w:t xml:space="preserve"> </w:t>
      </w:r>
      <w:r w:rsidR="00EB1FFC">
        <w:rPr>
          <w:rFonts w:ascii="Arial" w:hAnsi="Arial" w:cs="Arial"/>
          <w:sz w:val="24"/>
          <w:szCs w:val="24"/>
        </w:rPr>
        <w:t xml:space="preserve">first </w:t>
      </w:r>
      <w:r w:rsidR="0060180D">
        <w:rPr>
          <w:rFonts w:ascii="Arial" w:hAnsi="Arial" w:cs="Arial"/>
          <w:sz w:val="24"/>
          <w:szCs w:val="24"/>
        </w:rPr>
        <w:t>relief, the Trust sought an order declaring that the existing “dispute”</w:t>
      </w:r>
      <w:r w:rsidR="00A97874">
        <w:rPr>
          <w:rFonts w:ascii="Arial" w:hAnsi="Arial" w:cs="Arial"/>
          <w:sz w:val="24"/>
          <w:szCs w:val="24"/>
        </w:rPr>
        <w:t xml:space="preserve"> between the Trust and the second and the third respondents and/or the liquidators’ alleged entitlement to the</w:t>
      </w:r>
      <w:r w:rsidR="00AF7EE3">
        <w:rPr>
          <w:rFonts w:ascii="Arial" w:hAnsi="Arial" w:cs="Arial"/>
          <w:sz w:val="24"/>
          <w:szCs w:val="24"/>
        </w:rPr>
        <w:t xml:space="preserve"> immediate payment of the proce</w:t>
      </w:r>
      <w:r w:rsidR="00A97874">
        <w:rPr>
          <w:rFonts w:ascii="Arial" w:hAnsi="Arial" w:cs="Arial"/>
          <w:sz w:val="24"/>
          <w:szCs w:val="24"/>
        </w:rPr>
        <w:t xml:space="preserve">eds received from </w:t>
      </w:r>
      <w:r w:rsidR="00A97874">
        <w:rPr>
          <w:rFonts w:ascii="Arial" w:hAnsi="Arial" w:cs="Arial"/>
          <w:sz w:val="24"/>
          <w:szCs w:val="24"/>
        </w:rPr>
        <w:lastRenderedPageBreak/>
        <w:t xml:space="preserve">the sale of certain movable property of the fourth respondent which is currently held in trust by the Trust’s attorneys of record is resolved, and the Trust’s legal representatives be directed to make payment of the auction proceeds to the Trust’s nominated bank account within forty-eight hours of the granting of this order.  The third relief </w:t>
      </w:r>
      <w:r w:rsidR="00DE3FD6">
        <w:rPr>
          <w:rFonts w:ascii="Arial" w:hAnsi="Arial" w:cs="Arial"/>
          <w:sz w:val="24"/>
          <w:szCs w:val="24"/>
        </w:rPr>
        <w:t>regarding the “</w:t>
      </w:r>
      <w:r w:rsidR="00EB1FFC">
        <w:rPr>
          <w:rFonts w:ascii="Arial" w:hAnsi="Arial" w:cs="Arial"/>
          <w:sz w:val="24"/>
          <w:szCs w:val="24"/>
        </w:rPr>
        <w:t>W</w:t>
      </w:r>
      <w:r w:rsidR="00DE3FD6">
        <w:rPr>
          <w:rFonts w:ascii="Arial" w:hAnsi="Arial" w:cs="Arial"/>
          <w:sz w:val="24"/>
          <w:szCs w:val="24"/>
        </w:rPr>
        <w:t xml:space="preserve">itness </w:t>
      </w:r>
      <w:r w:rsidR="00EB1FFC">
        <w:rPr>
          <w:rFonts w:ascii="Arial" w:hAnsi="Arial" w:cs="Arial"/>
          <w:sz w:val="24"/>
          <w:szCs w:val="24"/>
        </w:rPr>
        <w:t>S</w:t>
      </w:r>
      <w:r w:rsidR="00DE3FD6">
        <w:rPr>
          <w:rFonts w:ascii="Arial" w:hAnsi="Arial" w:cs="Arial"/>
          <w:sz w:val="24"/>
          <w:szCs w:val="24"/>
        </w:rPr>
        <w:t xml:space="preserve">ummons” </w:t>
      </w:r>
      <w:r w:rsidR="00A97874">
        <w:rPr>
          <w:rFonts w:ascii="Arial" w:hAnsi="Arial" w:cs="Arial"/>
          <w:sz w:val="24"/>
          <w:szCs w:val="24"/>
        </w:rPr>
        <w:t xml:space="preserve">was not pursued at the hearing of this matter. </w:t>
      </w:r>
      <w:r>
        <w:rPr>
          <w:rFonts w:ascii="Arial" w:hAnsi="Arial" w:cs="Arial"/>
          <w:sz w:val="24"/>
          <w:szCs w:val="24"/>
        </w:rPr>
        <w:tab/>
      </w:r>
      <w:r w:rsidR="006D4BE3">
        <w:rPr>
          <w:rFonts w:ascii="Arial" w:hAnsi="Arial" w:cs="Arial"/>
          <w:sz w:val="24"/>
          <w:szCs w:val="24"/>
        </w:rPr>
        <w:t xml:space="preserve"> </w:t>
      </w:r>
    </w:p>
    <w:p w14:paraId="0ACA8C81" w14:textId="77777777" w:rsidR="00CF5CE6" w:rsidRDefault="00CF5CE6" w:rsidP="0097424C">
      <w:pPr>
        <w:spacing w:line="480" w:lineRule="auto"/>
        <w:jc w:val="both"/>
        <w:rPr>
          <w:rFonts w:ascii="Arial" w:hAnsi="Arial" w:cs="Arial"/>
          <w:sz w:val="24"/>
          <w:szCs w:val="24"/>
        </w:rPr>
      </w:pPr>
    </w:p>
    <w:p w14:paraId="6415097F" w14:textId="438E3B31" w:rsidR="003B41D2" w:rsidRDefault="006A7D85" w:rsidP="00D26909">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1</w:t>
      </w:r>
      <w:r w:rsidR="00B936CA">
        <w:rPr>
          <w:rFonts w:ascii="Arial" w:hAnsi="Arial" w:cs="Arial"/>
          <w:sz w:val="24"/>
          <w:szCs w:val="24"/>
        </w:rPr>
        <w:t>1</w:t>
      </w:r>
      <w:r>
        <w:rPr>
          <w:rFonts w:ascii="Arial" w:hAnsi="Arial" w:cs="Arial"/>
          <w:sz w:val="24"/>
          <w:szCs w:val="24"/>
        </w:rPr>
        <w:t>]</w:t>
      </w:r>
      <w:r w:rsidR="00A97874">
        <w:rPr>
          <w:rFonts w:ascii="Arial" w:hAnsi="Arial" w:cs="Arial"/>
          <w:sz w:val="24"/>
          <w:szCs w:val="24"/>
        </w:rPr>
        <w:tab/>
        <w:t>The first to third respondent submitted that the relief sought by the Trust is incompetent and a nullity since the first respondent was already in liquidatio</w:t>
      </w:r>
      <w:r w:rsidR="00DE3FD6">
        <w:rPr>
          <w:rFonts w:ascii="Arial" w:hAnsi="Arial" w:cs="Arial"/>
          <w:sz w:val="24"/>
          <w:szCs w:val="24"/>
        </w:rPr>
        <w:t xml:space="preserve">n when the Regional Court </w:t>
      </w:r>
      <w:r w:rsidR="00A97874">
        <w:rPr>
          <w:rFonts w:ascii="Arial" w:hAnsi="Arial" w:cs="Arial"/>
          <w:sz w:val="24"/>
          <w:szCs w:val="24"/>
        </w:rPr>
        <w:t xml:space="preserve">made the </w:t>
      </w:r>
      <w:r w:rsidR="00DE3FD6">
        <w:rPr>
          <w:rFonts w:ascii="Arial" w:hAnsi="Arial" w:cs="Arial"/>
          <w:sz w:val="24"/>
          <w:szCs w:val="24"/>
        </w:rPr>
        <w:t>s</w:t>
      </w:r>
      <w:r w:rsidR="00A97874">
        <w:rPr>
          <w:rFonts w:ascii="Arial" w:hAnsi="Arial" w:cs="Arial"/>
          <w:sz w:val="24"/>
          <w:szCs w:val="24"/>
        </w:rPr>
        <w:t xml:space="preserve">ettlement </w:t>
      </w:r>
      <w:r w:rsidR="00DE3FD6">
        <w:rPr>
          <w:rFonts w:ascii="Arial" w:hAnsi="Arial" w:cs="Arial"/>
          <w:sz w:val="24"/>
          <w:szCs w:val="24"/>
        </w:rPr>
        <w:t>a</w:t>
      </w:r>
      <w:r w:rsidR="00A97874">
        <w:rPr>
          <w:rFonts w:ascii="Arial" w:hAnsi="Arial" w:cs="Arial"/>
          <w:sz w:val="24"/>
          <w:szCs w:val="24"/>
        </w:rPr>
        <w:t>gr</w:t>
      </w:r>
      <w:r w:rsidR="00DE3FD6">
        <w:rPr>
          <w:rFonts w:ascii="Arial" w:hAnsi="Arial" w:cs="Arial"/>
          <w:sz w:val="24"/>
          <w:szCs w:val="24"/>
        </w:rPr>
        <w:t>eement an order of Court.  The settlement a</w:t>
      </w:r>
      <w:r w:rsidR="00A97874">
        <w:rPr>
          <w:rFonts w:ascii="Arial" w:hAnsi="Arial" w:cs="Arial"/>
          <w:sz w:val="24"/>
          <w:szCs w:val="24"/>
        </w:rPr>
        <w:t>greement</w:t>
      </w:r>
      <w:r w:rsidR="009A5506">
        <w:rPr>
          <w:rFonts w:ascii="Arial" w:hAnsi="Arial" w:cs="Arial"/>
          <w:sz w:val="24"/>
          <w:szCs w:val="24"/>
        </w:rPr>
        <w:t xml:space="preserve"> viewed</w:t>
      </w:r>
      <w:r w:rsidR="00DE3FD6">
        <w:rPr>
          <w:rFonts w:ascii="Arial" w:hAnsi="Arial" w:cs="Arial"/>
          <w:sz w:val="24"/>
          <w:szCs w:val="24"/>
        </w:rPr>
        <w:t xml:space="preserve"> holistically</w:t>
      </w:r>
      <w:r w:rsidR="009A5506">
        <w:rPr>
          <w:rFonts w:ascii="Arial" w:hAnsi="Arial" w:cs="Arial"/>
          <w:sz w:val="24"/>
          <w:szCs w:val="24"/>
        </w:rPr>
        <w:t xml:space="preserve">, it is an overall settlement between the </w:t>
      </w:r>
      <w:r w:rsidR="001C6D67">
        <w:rPr>
          <w:rFonts w:ascii="Arial" w:hAnsi="Arial" w:cs="Arial"/>
          <w:sz w:val="24"/>
          <w:szCs w:val="24"/>
        </w:rPr>
        <w:t xml:space="preserve">Trust as </w:t>
      </w:r>
      <w:r w:rsidR="00593AAB">
        <w:rPr>
          <w:rFonts w:ascii="Arial" w:hAnsi="Arial" w:cs="Arial"/>
          <w:sz w:val="24"/>
          <w:szCs w:val="24"/>
        </w:rPr>
        <w:t>landlord and the first respondent</w:t>
      </w:r>
      <w:r w:rsidR="001C6D67">
        <w:rPr>
          <w:rFonts w:ascii="Arial" w:hAnsi="Arial" w:cs="Arial"/>
          <w:sz w:val="24"/>
          <w:szCs w:val="24"/>
        </w:rPr>
        <w:t xml:space="preserve"> as a tenant and the fourth respondent as surety for the first </w:t>
      </w:r>
      <w:r w:rsidR="00CF50ED">
        <w:rPr>
          <w:rFonts w:ascii="Arial" w:hAnsi="Arial" w:cs="Arial"/>
          <w:sz w:val="24"/>
          <w:szCs w:val="24"/>
        </w:rPr>
        <w:t>respondents’</w:t>
      </w:r>
      <w:r w:rsidR="001C6D67">
        <w:rPr>
          <w:rFonts w:ascii="Arial" w:hAnsi="Arial" w:cs="Arial"/>
          <w:sz w:val="24"/>
          <w:szCs w:val="24"/>
        </w:rPr>
        <w:t xml:space="preserve"> obligations under the lease.</w:t>
      </w:r>
      <w:r w:rsidR="001D081F">
        <w:rPr>
          <w:rFonts w:ascii="Arial" w:hAnsi="Arial" w:cs="Arial"/>
          <w:sz w:val="24"/>
          <w:szCs w:val="24"/>
        </w:rPr>
        <w:tab/>
      </w:r>
    </w:p>
    <w:p w14:paraId="18D9BFB1" w14:textId="3A0629E4" w:rsidR="000D7787" w:rsidRDefault="000D7787" w:rsidP="00D26909">
      <w:pPr>
        <w:spacing w:line="480" w:lineRule="auto"/>
        <w:jc w:val="both"/>
        <w:rPr>
          <w:rFonts w:ascii="Arial" w:hAnsi="Arial" w:cs="Arial"/>
          <w:sz w:val="24"/>
          <w:szCs w:val="24"/>
        </w:rPr>
      </w:pPr>
    </w:p>
    <w:p w14:paraId="1981F163" w14:textId="24D2678F" w:rsidR="000D7787" w:rsidRDefault="00B936CA" w:rsidP="00D26909">
      <w:pPr>
        <w:spacing w:line="480" w:lineRule="auto"/>
        <w:jc w:val="both"/>
        <w:rPr>
          <w:rFonts w:ascii="Arial" w:hAnsi="Arial" w:cs="Arial"/>
          <w:sz w:val="24"/>
          <w:szCs w:val="24"/>
        </w:rPr>
      </w:pPr>
      <w:r>
        <w:rPr>
          <w:rFonts w:ascii="Arial" w:hAnsi="Arial" w:cs="Arial"/>
          <w:sz w:val="24"/>
          <w:szCs w:val="24"/>
        </w:rPr>
        <w:t>[12</w:t>
      </w:r>
      <w:r w:rsidR="000D7787">
        <w:rPr>
          <w:rFonts w:ascii="Arial" w:hAnsi="Arial" w:cs="Arial"/>
          <w:sz w:val="24"/>
          <w:szCs w:val="24"/>
        </w:rPr>
        <w:t>]</w:t>
      </w:r>
      <w:r w:rsidR="001C6D67">
        <w:rPr>
          <w:rFonts w:ascii="Arial" w:hAnsi="Arial" w:cs="Arial"/>
          <w:sz w:val="24"/>
          <w:szCs w:val="24"/>
        </w:rPr>
        <w:tab/>
        <w:t xml:space="preserve">Further, it was the first to third </w:t>
      </w:r>
      <w:r w:rsidR="00DE3FD6">
        <w:rPr>
          <w:rFonts w:ascii="Arial" w:hAnsi="Arial" w:cs="Arial"/>
          <w:sz w:val="24"/>
          <w:szCs w:val="24"/>
        </w:rPr>
        <w:t>respondents’ assertion that the asset</w:t>
      </w:r>
      <w:r w:rsidR="00C54ABF">
        <w:rPr>
          <w:rFonts w:ascii="Arial" w:hAnsi="Arial" w:cs="Arial"/>
          <w:sz w:val="24"/>
          <w:szCs w:val="24"/>
        </w:rPr>
        <w:t>s that were attached in terms of the automatic rent</w:t>
      </w:r>
      <w:r w:rsidR="002141D2">
        <w:rPr>
          <w:rFonts w:ascii="Arial" w:hAnsi="Arial" w:cs="Arial"/>
          <w:sz w:val="24"/>
          <w:szCs w:val="24"/>
        </w:rPr>
        <w:t xml:space="preserve"> interdict belonged to the first respondent.  It is unassailable that the Trust could have placed the fourth respondent’s assets under attachment in perfection of their hypothec to secure the first respondent’s rental obligations.  In support of this contention, this Court was referred to </w:t>
      </w:r>
      <w:r w:rsidR="00DE3FD6">
        <w:rPr>
          <w:rFonts w:ascii="Arial" w:hAnsi="Arial" w:cs="Arial"/>
          <w:i/>
          <w:sz w:val="24"/>
          <w:szCs w:val="24"/>
        </w:rPr>
        <w:t>Kerr’s, The Law of S</w:t>
      </w:r>
      <w:r w:rsidR="002141D2" w:rsidRPr="002141D2">
        <w:rPr>
          <w:rFonts w:ascii="Arial" w:hAnsi="Arial" w:cs="Arial"/>
          <w:i/>
          <w:sz w:val="24"/>
          <w:szCs w:val="24"/>
        </w:rPr>
        <w:t>ale and Lease</w:t>
      </w:r>
      <w:r w:rsidR="002141D2">
        <w:rPr>
          <w:rFonts w:ascii="Arial" w:hAnsi="Arial" w:cs="Arial"/>
          <w:sz w:val="24"/>
          <w:szCs w:val="24"/>
        </w:rPr>
        <w:t>,</w:t>
      </w:r>
      <w:r w:rsidR="002141D2">
        <w:rPr>
          <w:rStyle w:val="FootnoteReference"/>
          <w:rFonts w:ascii="Arial" w:hAnsi="Arial" w:cs="Arial"/>
          <w:sz w:val="24"/>
          <w:szCs w:val="24"/>
        </w:rPr>
        <w:footnoteReference w:id="4"/>
      </w:r>
      <w:r w:rsidR="002141D2">
        <w:rPr>
          <w:rFonts w:ascii="Arial" w:hAnsi="Arial" w:cs="Arial"/>
          <w:sz w:val="24"/>
          <w:szCs w:val="24"/>
        </w:rPr>
        <w:t xml:space="preserve"> where it was confirmed that the property that is subject to the landlord’s hypothec is “</w:t>
      </w:r>
      <w:r w:rsidR="00DE3FD6">
        <w:rPr>
          <w:rFonts w:ascii="Arial" w:hAnsi="Arial" w:cs="Arial"/>
          <w:i/>
          <w:sz w:val="24"/>
          <w:szCs w:val="24"/>
        </w:rPr>
        <w:t>all</w:t>
      </w:r>
      <w:r w:rsidR="002141D2">
        <w:rPr>
          <w:rFonts w:ascii="Arial" w:hAnsi="Arial" w:cs="Arial"/>
          <w:i/>
          <w:sz w:val="24"/>
          <w:szCs w:val="24"/>
        </w:rPr>
        <w:t xml:space="preserve"> movable property belonging to the lessee which is brought onto the premises …</w:t>
      </w:r>
      <w:r w:rsidR="002141D2">
        <w:rPr>
          <w:rFonts w:ascii="Arial" w:hAnsi="Arial" w:cs="Arial"/>
          <w:sz w:val="24"/>
          <w:szCs w:val="24"/>
        </w:rPr>
        <w:t>”</w:t>
      </w:r>
      <w:r w:rsidR="001D081F" w:rsidRPr="002141D2">
        <w:rPr>
          <w:rFonts w:ascii="Arial" w:hAnsi="Arial" w:cs="Arial"/>
          <w:sz w:val="24"/>
          <w:szCs w:val="24"/>
        </w:rPr>
        <w:tab/>
      </w:r>
      <w:r w:rsidR="002141D2">
        <w:rPr>
          <w:rFonts w:ascii="Arial" w:hAnsi="Arial" w:cs="Arial"/>
          <w:sz w:val="24"/>
          <w:szCs w:val="24"/>
        </w:rPr>
        <w:t xml:space="preserve">and that property belonging to another will only be subject to the hypothec if it is brought onto the premises with the knowledge and consent of the owner thereof with the intention that it remains there indefinitely for the use of the tenant and the owner fails to give notice to his ownership to the landlord despite being in </w:t>
      </w:r>
      <w:r w:rsidR="00DE3FD6">
        <w:rPr>
          <w:rFonts w:ascii="Arial" w:hAnsi="Arial" w:cs="Arial"/>
          <w:sz w:val="24"/>
          <w:szCs w:val="24"/>
        </w:rPr>
        <w:t xml:space="preserve">a </w:t>
      </w:r>
      <w:r w:rsidR="002141D2">
        <w:rPr>
          <w:rFonts w:ascii="Arial" w:hAnsi="Arial" w:cs="Arial"/>
          <w:sz w:val="24"/>
          <w:szCs w:val="24"/>
        </w:rPr>
        <w:t xml:space="preserve">position to do so </w:t>
      </w:r>
      <w:r w:rsidR="002141D2">
        <w:rPr>
          <w:rFonts w:ascii="Arial" w:hAnsi="Arial" w:cs="Arial"/>
          <w:sz w:val="24"/>
          <w:szCs w:val="24"/>
        </w:rPr>
        <w:lastRenderedPageBreak/>
        <w:t xml:space="preserve">and </w:t>
      </w:r>
      <w:r w:rsidR="002141D2">
        <w:rPr>
          <w:rFonts w:ascii="Arial" w:hAnsi="Arial" w:cs="Arial"/>
          <w:sz w:val="24"/>
          <w:szCs w:val="24"/>
          <w:u w:val="single"/>
        </w:rPr>
        <w:t>the landlord is unaware that the goods do not belong to the tenant</w:t>
      </w:r>
      <w:r w:rsidR="002141D2">
        <w:rPr>
          <w:rFonts w:ascii="Arial" w:hAnsi="Arial" w:cs="Arial"/>
          <w:sz w:val="24"/>
          <w:szCs w:val="24"/>
        </w:rPr>
        <w:t>. (“</w:t>
      </w:r>
      <w:r w:rsidR="002141D2" w:rsidRPr="002141D2">
        <w:rPr>
          <w:rFonts w:ascii="Arial" w:hAnsi="Arial" w:cs="Arial"/>
          <w:i/>
          <w:sz w:val="24"/>
          <w:szCs w:val="24"/>
        </w:rPr>
        <w:t>emphasis added</w:t>
      </w:r>
      <w:r w:rsidR="002141D2">
        <w:rPr>
          <w:rFonts w:ascii="Arial" w:hAnsi="Arial" w:cs="Arial"/>
          <w:sz w:val="24"/>
          <w:szCs w:val="24"/>
        </w:rPr>
        <w:t>”)</w:t>
      </w:r>
    </w:p>
    <w:p w14:paraId="5A8C3C86" w14:textId="77777777" w:rsidR="00DF3688" w:rsidRDefault="00DF3688" w:rsidP="00DF3688">
      <w:pPr>
        <w:spacing w:line="480" w:lineRule="auto"/>
        <w:jc w:val="both"/>
        <w:rPr>
          <w:rFonts w:ascii="Arial" w:hAnsi="Arial" w:cs="Arial"/>
          <w:sz w:val="24"/>
          <w:szCs w:val="24"/>
        </w:rPr>
      </w:pPr>
    </w:p>
    <w:p w14:paraId="50FAC78E" w14:textId="7AE0C2F8" w:rsidR="00DF3688" w:rsidRDefault="00DF3688" w:rsidP="00DF3688">
      <w:pPr>
        <w:spacing w:line="480" w:lineRule="auto"/>
        <w:jc w:val="both"/>
        <w:rPr>
          <w:rFonts w:ascii="Arial" w:hAnsi="Arial" w:cs="Arial"/>
          <w:sz w:val="24"/>
          <w:szCs w:val="24"/>
        </w:rPr>
      </w:pPr>
      <w:r>
        <w:rPr>
          <w:rFonts w:ascii="Arial" w:hAnsi="Arial" w:cs="Arial"/>
          <w:sz w:val="24"/>
          <w:szCs w:val="24"/>
        </w:rPr>
        <w:t>[1</w:t>
      </w:r>
      <w:r w:rsidR="003C66BC">
        <w:rPr>
          <w:rFonts w:ascii="Arial" w:hAnsi="Arial" w:cs="Arial"/>
          <w:sz w:val="24"/>
          <w:szCs w:val="24"/>
        </w:rPr>
        <w:t>3</w:t>
      </w:r>
      <w:r>
        <w:rPr>
          <w:rFonts w:ascii="Arial" w:hAnsi="Arial" w:cs="Arial"/>
          <w:sz w:val="24"/>
          <w:szCs w:val="24"/>
        </w:rPr>
        <w:t>]</w:t>
      </w:r>
      <w:r>
        <w:rPr>
          <w:rFonts w:ascii="Arial" w:hAnsi="Arial" w:cs="Arial"/>
          <w:sz w:val="24"/>
          <w:szCs w:val="24"/>
        </w:rPr>
        <w:tab/>
        <w:t xml:space="preserve">The first to third respondents referred this Court to </w:t>
      </w:r>
      <w:r w:rsidRPr="00564A82">
        <w:rPr>
          <w:rFonts w:ascii="Arial" w:hAnsi="Arial" w:cs="Arial"/>
          <w:i/>
          <w:sz w:val="24"/>
          <w:szCs w:val="24"/>
        </w:rPr>
        <w:t>Pride Milling Company (Pty) Ltd v Bekker NO and Another</w:t>
      </w:r>
      <w:r>
        <w:rPr>
          <w:rFonts w:ascii="Arial" w:hAnsi="Arial" w:cs="Arial"/>
          <w:i/>
          <w:sz w:val="24"/>
          <w:szCs w:val="24"/>
        </w:rPr>
        <w:t>,</w:t>
      </w:r>
      <w:r>
        <w:rPr>
          <w:rStyle w:val="FootnoteReference"/>
          <w:rFonts w:ascii="Arial" w:hAnsi="Arial" w:cs="Arial"/>
          <w:i/>
          <w:sz w:val="24"/>
          <w:szCs w:val="24"/>
        </w:rPr>
        <w:footnoteReference w:id="5"/>
      </w:r>
      <w:r>
        <w:rPr>
          <w:rFonts w:ascii="Arial" w:hAnsi="Arial" w:cs="Arial"/>
          <w:sz w:val="24"/>
          <w:szCs w:val="24"/>
        </w:rPr>
        <w:t xml:space="preserve"> where</w:t>
      </w:r>
      <w:r w:rsidR="00B90B6B">
        <w:rPr>
          <w:rFonts w:ascii="Arial" w:hAnsi="Arial" w:cs="Arial"/>
          <w:sz w:val="24"/>
          <w:szCs w:val="24"/>
        </w:rPr>
        <w:t xml:space="preserve"> Irfan who was placed under final liquidation on 14 September 2017 made four payments to </w:t>
      </w:r>
      <w:r w:rsidR="002769F0">
        <w:rPr>
          <w:rFonts w:ascii="Arial" w:hAnsi="Arial" w:cs="Arial"/>
          <w:sz w:val="24"/>
          <w:szCs w:val="24"/>
        </w:rPr>
        <w:t>Pride Milling on 8 August 2017 in the total amount of R295 000.00.  The liquidators asserted that these payments were liable to be set aside as they were made</w:t>
      </w:r>
      <w:r w:rsidR="00D02CC1">
        <w:rPr>
          <w:rFonts w:ascii="Arial" w:hAnsi="Arial" w:cs="Arial"/>
          <w:sz w:val="24"/>
          <w:szCs w:val="24"/>
        </w:rPr>
        <w:t xml:space="preserve"> after the effective date of the winding up application.  The liquidators instituted proceedings seeking the repayment of R295 000.00 by Pride Milling. The SCA</w:t>
      </w:r>
      <w:r>
        <w:rPr>
          <w:rFonts w:ascii="Arial" w:hAnsi="Arial" w:cs="Arial"/>
          <w:sz w:val="24"/>
          <w:szCs w:val="24"/>
        </w:rPr>
        <w:t xml:space="preserve"> held that section 341(2) of the Companies Act 61 of 1973 stated that every disposition by a company of its property after commencement of winding up is </w:t>
      </w:r>
      <w:r w:rsidRPr="00564A82">
        <w:rPr>
          <w:rFonts w:ascii="Arial" w:hAnsi="Arial" w:cs="Arial"/>
          <w:i/>
          <w:sz w:val="24"/>
          <w:szCs w:val="24"/>
        </w:rPr>
        <w:t>void ab</w:t>
      </w:r>
      <w:r>
        <w:rPr>
          <w:rFonts w:ascii="Arial" w:hAnsi="Arial" w:cs="Arial"/>
          <w:i/>
          <w:sz w:val="24"/>
          <w:szCs w:val="24"/>
        </w:rPr>
        <w:t xml:space="preserve"> </w:t>
      </w:r>
      <w:r w:rsidRPr="00564A82">
        <w:rPr>
          <w:rFonts w:ascii="Arial" w:hAnsi="Arial" w:cs="Arial"/>
          <w:i/>
          <w:sz w:val="24"/>
          <w:szCs w:val="24"/>
        </w:rPr>
        <w:t>initio</w:t>
      </w:r>
      <w:r>
        <w:rPr>
          <w:rFonts w:ascii="Arial" w:hAnsi="Arial" w:cs="Arial"/>
          <w:sz w:val="24"/>
          <w:szCs w:val="24"/>
        </w:rPr>
        <w:t>.  Further, it was held that … “</w:t>
      </w:r>
      <w:r>
        <w:rPr>
          <w:rFonts w:ascii="Arial" w:hAnsi="Arial" w:cs="Arial"/>
          <w:i/>
          <w:sz w:val="24"/>
          <w:szCs w:val="24"/>
        </w:rPr>
        <w:t>the effect of s</w:t>
      </w:r>
      <w:r w:rsidRPr="00564A82">
        <w:rPr>
          <w:rFonts w:ascii="Arial" w:hAnsi="Arial" w:cs="Arial"/>
          <w:i/>
          <w:sz w:val="24"/>
          <w:szCs w:val="24"/>
        </w:rPr>
        <w:t>341(2), a party approaching and seeking that the court order otherwise would logically need to establish its entitlement to the relief sought.  Thus, in that sense such a party bears the onus to persuade the court with clear evidence as to why a court should depart from the statutory ordained default position and ‘otherwise order</w:t>
      </w:r>
      <w:r>
        <w:rPr>
          <w:rFonts w:ascii="Arial" w:hAnsi="Arial" w:cs="Arial"/>
          <w:sz w:val="24"/>
          <w:szCs w:val="24"/>
        </w:rPr>
        <w:t>’.”</w:t>
      </w:r>
      <w:r>
        <w:rPr>
          <w:rStyle w:val="FootnoteReference"/>
          <w:rFonts w:ascii="Arial" w:hAnsi="Arial" w:cs="Arial"/>
          <w:sz w:val="24"/>
          <w:szCs w:val="24"/>
        </w:rPr>
        <w:footnoteReference w:id="6"/>
      </w:r>
      <w:r>
        <w:rPr>
          <w:rFonts w:ascii="Arial" w:hAnsi="Arial" w:cs="Arial"/>
          <w:sz w:val="24"/>
          <w:szCs w:val="24"/>
        </w:rPr>
        <w:t xml:space="preserve">  Clearly, the Trust was mistaken in their contention that the first to third respondents, have not formally challenged the fourth respondent’s alleged ownership of the assets.  If the Trust claimed that they are entitled to the immediate payment of the proceeds of the auction.  It was incumbent upon them to prove that the fourth respondent who stood surety for the first respondent was the lawful owner of the movable property that was auctioned.</w:t>
      </w:r>
    </w:p>
    <w:p w14:paraId="36DBB171" w14:textId="77777777" w:rsidR="00DF3688" w:rsidRPr="002141D2" w:rsidRDefault="00DF3688" w:rsidP="00D26909">
      <w:pPr>
        <w:spacing w:line="480" w:lineRule="auto"/>
        <w:jc w:val="both"/>
        <w:rPr>
          <w:rFonts w:ascii="Arial" w:hAnsi="Arial" w:cs="Arial"/>
          <w:sz w:val="24"/>
          <w:szCs w:val="24"/>
        </w:rPr>
      </w:pPr>
    </w:p>
    <w:p w14:paraId="301071DE" w14:textId="5B9B1BA3" w:rsidR="000D7787" w:rsidRDefault="000D7787" w:rsidP="00D26909">
      <w:pPr>
        <w:spacing w:line="480" w:lineRule="auto"/>
        <w:jc w:val="both"/>
        <w:rPr>
          <w:rFonts w:ascii="Arial" w:hAnsi="Arial" w:cs="Arial"/>
          <w:sz w:val="24"/>
          <w:szCs w:val="24"/>
        </w:rPr>
      </w:pPr>
    </w:p>
    <w:p w14:paraId="16E51758" w14:textId="5F1CA401" w:rsidR="00A76795" w:rsidRDefault="003C66BC" w:rsidP="00D26909">
      <w:pPr>
        <w:spacing w:line="480" w:lineRule="auto"/>
        <w:jc w:val="both"/>
        <w:rPr>
          <w:rFonts w:ascii="Arial" w:hAnsi="Arial" w:cs="Arial"/>
          <w:sz w:val="24"/>
          <w:szCs w:val="24"/>
        </w:rPr>
      </w:pPr>
      <w:r>
        <w:rPr>
          <w:rFonts w:ascii="Arial" w:hAnsi="Arial" w:cs="Arial"/>
          <w:sz w:val="24"/>
          <w:szCs w:val="24"/>
        </w:rPr>
        <w:lastRenderedPageBreak/>
        <w:t>[14</w:t>
      </w:r>
      <w:r w:rsidR="000D7787">
        <w:rPr>
          <w:rFonts w:ascii="Arial" w:hAnsi="Arial" w:cs="Arial"/>
          <w:sz w:val="24"/>
          <w:szCs w:val="24"/>
        </w:rPr>
        <w:t>]</w:t>
      </w:r>
      <w:r w:rsidR="002141D2">
        <w:rPr>
          <w:rFonts w:ascii="Arial" w:hAnsi="Arial" w:cs="Arial"/>
          <w:sz w:val="24"/>
          <w:szCs w:val="24"/>
        </w:rPr>
        <w:tab/>
      </w:r>
      <w:r w:rsidR="00A76795">
        <w:rPr>
          <w:rFonts w:ascii="Arial" w:hAnsi="Arial" w:cs="Arial"/>
          <w:sz w:val="24"/>
          <w:szCs w:val="24"/>
        </w:rPr>
        <w:t>T</w:t>
      </w:r>
      <w:r w:rsidR="00593AAB">
        <w:rPr>
          <w:rFonts w:ascii="Arial" w:hAnsi="Arial" w:cs="Arial"/>
          <w:sz w:val="24"/>
          <w:szCs w:val="24"/>
        </w:rPr>
        <w:t>he Trust</w:t>
      </w:r>
      <w:r w:rsidR="002141D2">
        <w:rPr>
          <w:rFonts w:ascii="Arial" w:hAnsi="Arial" w:cs="Arial"/>
          <w:sz w:val="24"/>
          <w:szCs w:val="24"/>
        </w:rPr>
        <w:t xml:space="preserve"> conten</w:t>
      </w:r>
      <w:r w:rsidR="00593AAB">
        <w:rPr>
          <w:rFonts w:ascii="Arial" w:hAnsi="Arial" w:cs="Arial"/>
          <w:sz w:val="24"/>
          <w:szCs w:val="24"/>
        </w:rPr>
        <w:t>ded</w:t>
      </w:r>
      <w:r w:rsidR="002141D2">
        <w:rPr>
          <w:rFonts w:ascii="Arial" w:hAnsi="Arial" w:cs="Arial"/>
          <w:sz w:val="24"/>
          <w:szCs w:val="24"/>
        </w:rPr>
        <w:t xml:space="preserve"> that the movable goods that were</w:t>
      </w:r>
      <w:r w:rsidR="004158AB">
        <w:rPr>
          <w:rFonts w:ascii="Arial" w:hAnsi="Arial" w:cs="Arial"/>
          <w:sz w:val="24"/>
          <w:szCs w:val="24"/>
        </w:rPr>
        <w:t xml:space="preserve"> sold on auction were</w:t>
      </w:r>
      <w:r w:rsidR="002141D2">
        <w:rPr>
          <w:rFonts w:ascii="Arial" w:hAnsi="Arial" w:cs="Arial"/>
          <w:sz w:val="24"/>
          <w:szCs w:val="24"/>
        </w:rPr>
        <w:t xml:space="preserve"> subject to its tacit hypothec and liable to attachment</w:t>
      </w:r>
      <w:r w:rsidR="004158AB">
        <w:rPr>
          <w:rFonts w:ascii="Arial" w:hAnsi="Arial" w:cs="Arial"/>
          <w:sz w:val="24"/>
          <w:szCs w:val="24"/>
        </w:rPr>
        <w:t>,</w:t>
      </w:r>
      <w:r w:rsidR="002141D2">
        <w:rPr>
          <w:rFonts w:ascii="Arial" w:hAnsi="Arial" w:cs="Arial"/>
          <w:sz w:val="24"/>
          <w:szCs w:val="24"/>
        </w:rPr>
        <w:t xml:space="preserve"> belonged</w:t>
      </w:r>
      <w:r w:rsidR="00A76795">
        <w:rPr>
          <w:rFonts w:ascii="Arial" w:hAnsi="Arial" w:cs="Arial"/>
          <w:sz w:val="24"/>
          <w:szCs w:val="24"/>
        </w:rPr>
        <w:t xml:space="preserve"> to the four</w:t>
      </w:r>
      <w:r w:rsidR="008050B1">
        <w:rPr>
          <w:rFonts w:ascii="Arial" w:hAnsi="Arial" w:cs="Arial"/>
          <w:sz w:val="24"/>
          <w:szCs w:val="24"/>
        </w:rPr>
        <w:t>th respondent.  In support of this allegation, this Court was referred to</w:t>
      </w:r>
      <w:r w:rsidR="004158AB">
        <w:rPr>
          <w:rFonts w:ascii="Arial" w:hAnsi="Arial" w:cs="Arial"/>
          <w:sz w:val="24"/>
          <w:szCs w:val="24"/>
        </w:rPr>
        <w:t xml:space="preserve"> a</w:t>
      </w:r>
      <w:r w:rsidR="00A76795">
        <w:rPr>
          <w:rFonts w:ascii="Arial" w:hAnsi="Arial" w:cs="Arial"/>
          <w:sz w:val="24"/>
          <w:szCs w:val="24"/>
        </w:rPr>
        <w:t xml:space="preserve">n </w:t>
      </w:r>
      <w:r w:rsidR="008050B1">
        <w:rPr>
          <w:rFonts w:ascii="Arial" w:hAnsi="Arial" w:cs="Arial"/>
          <w:sz w:val="24"/>
          <w:szCs w:val="24"/>
        </w:rPr>
        <w:t>Appellate Division’s decision of</w:t>
      </w:r>
      <w:r w:rsidR="00A76795">
        <w:rPr>
          <w:rFonts w:ascii="Arial" w:hAnsi="Arial" w:cs="Arial"/>
          <w:sz w:val="24"/>
          <w:szCs w:val="24"/>
        </w:rPr>
        <w:t xml:space="preserve"> </w:t>
      </w:r>
      <w:r w:rsidR="00A76795" w:rsidRPr="00A76795">
        <w:rPr>
          <w:rFonts w:ascii="Arial" w:hAnsi="Arial" w:cs="Arial"/>
          <w:i/>
          <w:sz w:val="24"/>
          <w:szCs w:val="24"/>
        </w:rPr>
        <w:t>Bloemfontein Municipality v Jackson’s Ltd</w:t>
      </w:r>
      <w:r w:rsidR="00A76795">
        <w:rPr>
          <w:rFonts w:ascii="Arial" w:hAnsi="Arial" w:cs="Arial"/>
          <w:sz w:val="24"/>
          <w:szCs w:val="24"/>
        </w:rPr>
        <w:t>.</w:t>
      </w:r>
      <w:r w:rsidR="00A76795">
        <w:rPr>
          <w:rStyle w:val="FootnoteReference"/>
          <w:rFonts w:ascii="Arial" w:hAnsi="Arial" w:cs="Arial"/>
          <w:sz w:val="24"/>
          <w:szCs w:val="24"/>
        </w:rPr>
        <w:footnoteReference w:id="7"/>
      </w:r>
    </w:p>
    <w:p w14:paraId="301C9E56" w14:textId="77777777" w:rsidR="00AD15ED" w:rsidRDefault="00AD15ED" w:rsidP="00AD15ED">
      <w:pPr>
        <w:spacing w:line="480" w:lineRule="auto"/>
        <w:jc w:val="both"/>
        <w:rPr>
          <w:rFonts w:ascii="Arial" w:hAnsi="Arial" w:cs="Arial"/>
          <w:sz w:val="24"/>
          <w:szCs w:val="24"/>
        </w:rPr>
      </w:pPr>
    </w:p>
    <w:p w14:paraId="54F30782" w14:textId="3365BFE6" w:rsidR="00AD15ED" w:rsidRDefault="00AD15ED" w:rsidP="00AD15ED">
      <w:pPr>
        <w:spacing w:line="480" w:lineRule="auto"/>
        <w:jc w:val="both"/>
        <w:rPr>
          <w:rFonts w:ascii="Arial" w:hAnsi="Arial" w:cs="Arial"/>
          <w:sz w:val="24"/>
          <w:szCs w:val="24"/>
        </w:rPr>
      </w:pPr>
      <w:r>
        <w:rPr>
          <w:rFonts w:ascii="Arial" w:hAnsi="Arial" w:cs="Arial"/>
          <w:sz w:val="24"/>
          <w:szCs w:val="24"/>
        </w:rPr>
        <w:t>[</w:t>
      </w:r>
      <w:r w:rsidR="003C66BC">
        <w:rPr>
          <w:rFonts w:ascii="Arial" w:hAnsi="Arial" w:cs="Arial"/>
          <w:sz w:val="24"/>
          <w:szCs w:val="24"/>
        </w:rPr>
        <w:t>15</w:t>
      </w:r>
      <w:r>
        <w:rPr>
          <w:rFonts w:ascii="Arial" w:hAnsi="Arial" w:cs="Arial"/>
          <w:sz w:val="24"/>
          <w:szCs w:val="24"/>
        </w:rPr>
        <w:t>]</w:t>
      </w:r>
      <w:r>
        <w:rPr>
          <w:rFonts w:ascii="Arial" w:hAnsi="Arial" w:cs="Arial"/>
          <w:sz w:val="24"/>
          <w:szCs w:val="24"/>
        </w:rPr>
        <w:tab/>
        <w:t xml:space="preserve">The Trust argued that it is incorrect to suggest that upon the commencement of the </w:t>
      </w:r>
      <w:r>
        <w:rPr>
          <w:rFonts w:ascii="Arial" w:hAnsi="Arial" w:cs="Arial"/>
          <w:i/>
          <w:sz w:val="24"/>
          <w:szCs w:val="24"/>
        </w:rPr>
        <w:t>concursus creditorium</w:t>
      </w:r>
      <w:r>
        <w:rPr>
          <w:rFonts w:ascii="Arial" w:hAnsi="Arial" w:cs="Arial"/>
          <w:sz w:val="24"/>
          <w:szCs w:val="24"/>
        </w:rPr>
        <w:t>, the landlord’s hypothec cannot be perfected.  In their understanding, the general rule under common law is that the hypothec is created at the moment when rent become overdue, and that nothing additional (such as attachment) is necessary as long as the movable remain on the leased premises.</w:t>
      </w:r>
      <w:r>
        <w:rPr>
          <w:rStyle w:val="FootnoteReference"/>
          <w:rFonts w:ascii="Arial" w:hAnsi="Arial" w:cs="Arial"/>
          <w:sz w:val="24"/>
          <w:szCs w:val="24"/>
        </w:rPr>
        <w:footnoteReference w:id="8"/>
      </w:r>
    </w:p>
    <w:p w14:paraId="0A73DDE5" w14:textId="77777777" w:rsidR="00AD15ED" w:rsidRDefault="00AD15ED" w:rsidP="00AD15ED">
      <w:pPr>
        <w:spacing w:line="480" w:lineRule="auto"/>
        <w:jc w:val="both"/>
        <w:rPr>
          <w:rFonts w:ascii="Arial" w:hAnsi="Arial" w:cs="Arial"/>
          <w:sz w:val="24"/>
          <w:szCs w:val="24"/>
        </w:rPr>
      </w:pPr>
    </w:p>
    <w:p w14:paraId="1A14619A" w14:textId="0CDE71EF" w:rsidR="00AD15ED" w:rsidRDefault="003C66BC" w:rsidP="00AD15ED">
      <w:pPr>
        <w:spacing w:line="480" w:lineRule="auto"/>
        <w:jc w:val="both"/>
        <w:rPr>
          <w:rFonts w:ascii="Arial" w:hAnsi="Arial" w:cs="Arial"/>
          <w:sz w:val="24"/>
          <w:szCs w:val="24"/>
        </w:rPr>
      </w:pPr>
      <w:r>
        <w:rPr>
          <w:rFonts w:ascii="Arial" w:hAnsi="Arial" w:cs="Arial"/>
          <w:sz w:val="24"/>
          <w:szCs w:val="24"/>
        </w:rPr>
        <w:t>[16</w:t>
      </w:r>
      <w:r w:rsidR="00AD15ED">
        <w:rPr>
          <w:rFonts w:ascii="Arial" w:hAnsi="Arial" w:cs="Arial"/>
          <w:sz w:val="24"/>
          <w:szCs w:val="24"/>
        </w:rPr>
        <w:t>]</w:t>
      </w:r>
      <w:r w:rsidR="00AD15ED">
        <w:rPr>
          <w:rFonts w:ascii="Arial" w:hAnsi="Arial" w:cs="Arial"/>
          <w:sz w:val="24"/>
          <w:szCs w:val="24"/>
        </w:rPr>
        <w:tab/>
        <w:t>However, it is necessary that once the movable have been identified, they have to be perfected.  Without perfection they can be removed from the property, and the hypothec will no longer cover such movables.  For the movables to be secured, the landlord can either attach them and / or issue and serve a summons that contains an automatic rent interdict.  As argued, the hypothec comes into existence when the rent falls in arrears, and not only once the hypothec is perfected.  Perfection does not create the hypothec, but simply renders it effective against third parties</w:t>
      </w:r>
      <w:r w:rsidR="008050B1">
        <w:rPr>
          <w:rFonts w:ascii="Arial" w:hAnsi="Arial" w:cs="Arial"/>
          <w:sz w:val="24"/>
          <w:szCs w:val="24"/>
        </w:rPr>
        <w:t>, so said the Trust</w:t>
      </w:r>
      <w:r w:rsidR="00AD15ED">
        <w:rPr>
          <w:rFonts w:ascii="Arial" w:hAnsi="Arial" w:cs="Arial"/>
          <w:sz w:val="24"/>
          <w:szCs w:val="24"/>
        </w:rPr>
        <w:t>.</w:t>
      </w:r>
    </w:p>
    <w:p w14:paraId="1AF10865" w14:textId="77777777" w:rsidR="00AD15ED" w:rsidRDefault="00AD15ED" w:rsidP="00AD15ED">
      <w:pPr>
        <w:spacing w:line="480" w:lineRule="auto"/>
        <w:jc w:val="both"/>
        <w:rPr>
          <w:rFonts w:ascii="Arial" w:hAnsi="Arial" w:cs="Arial"/>
          <w:sz w:val="24"/>
          <w:szCs w:val="24"/>
        </w:rPr>
      </w:pPr>
    </w:p>
    <w:p w14:paraId="2BDBCE0E" w14:textId="5F7D1516" w:rsidR="00AD15ED" w:rsidRDefault="003C66BC" w:rsidP="00AD15ED">
      <w:pPr>
        <w:spacing w:line="480" w:lineRule="auto"/>
        <w:jc w:val="both"/>
        <w:rPr>
          <w:rFonts w:ascii="Arial" w:hAnsi="Arial" w:cs="Arial"/>
          <w:sz w:val="24"/>
          <w:szCs w:val="24"/>
        </w:rPr>
      </w:pPr>
      <w:r>
        <w:rPr>
          <w:rFonts w:ascii="Arial" w:hAnsi="Arial" w:cs="Arial"/>
          <w:sz w:val="24"/>
          <w:szCs w:val="24"/>
        </w:rPr>
        <w:t>[17</w:t>
      </w:r>
      <w:r w:rsidR="00593AAB">
        <w:rPr>
          <w:rFonts w:ascii="Arial" w:hAnsi="Arial" w:cs="Arial"/>
          <w:sz w:val="24"/>
          <w:szCs w:val="24"/>
        </w:rPr>
        <w:t>]</w:t>
      </w:r>
      <w:r w:rsidR="00593AAB">
        <w:rPr>
          <w:rFonts w:ascii="Arial" w:hAnsi="Arial" w:cs="Arial"/>
          <w:sz w:val="24"/>
          <w:szCs w:val="24"/>
        </w:rPr>
        <w:tab/>
        <w:t>Further r</w:t>
      </w:r>
      <w:r w:rsidR="00AD15ED">
        <w:rPr>
          <w:rFonts w:ascii="Arial" w:hAnsi="Arial" w:cs="Arial"/>
          <w:sz w:val="24"/>
          <w:szCs w:val="24"/>
        </w:rPr>
        <w:t xml:space="preserve">eference was made to </w:t>
      </w:r>
      <w:r w:rsidR="00AD15ED">
        <w:rPr>
          <w:rFonts w:ascii="Arial" w:hAnsi="Arial" w:cs="Arial"/>
          <w:i/>
          <w:sz w:val="24"/>
          <w:szCs w:val="24"/>
        </w:rPr>
        <w:t>Holderness NO v Maxwell,</w:t>
      </w:r>
      <w:r w:rsidR="00AD15ED">
        <w:rPr>
          <w:rStyle w:val="FootnoteReference"/>
          <w:rFonts w:ascii="Arial" w:hAnsi="Arial" w:cs="Arial"/>
          <w:i/>
          <w:sz w:val="24"/>
          <w:szCs w:val="24"/>
        </w:rPr>
        <w:footnoteReference w:id="9"/>
      </w:r>
      <w:r w:rsidR="00AD15ED">
        <w:rPr>
          <w:rFonts w:ascii="Arial" w:hAnsi="Arial" w:cs="Arial"/>
          <w:sz w:val="24"/>
          <w:szCs w:val="24"/>
        </w:rPr>
        <w:t xml:space="preserve"> where ownership </w:t>
      </w:r>
      <w:r w:rsidR="0035414A">
        <w:rPr>
          <w:rFonts w:ascii="Arial" w:hAnsi="Arial" w:cs="Arial"/>
          <w:sz w:val="24"/>
          <w:szCs w:val="24"/>
        </w:rPr>
        <w:t>of a</w:t>
      </w:r>
      <w:r w:rsidR="00C971F3">
        <w:rPr>
          <w:rFonts w:ascii="Arial" w:hAnsi="Arial" w:cs="Arial"/>
          <w:sz w:val="24"/>
          <w:szCs w:val="24"/>
        </w:rPr>
        <w:t xml:space="preserve"> </w:t>
      </w:r>
      <w:r w:rsidR="00AD15ED">
        <w:rPr>
          <w:rFonts w:ascii="Arial" w:hAnsi="Arial" w:cs="Arial"/>
          <w:sz w:val="24"/>
          <w:szCs w:val="24"/>
        </w:rPr>
        <w:t xml:space="preserve">certain herd of cattle was disputed.  It was not clear whether they belonged to the insolvent estate or to </w:t>
      </w:r>
      <w:r w:rsidR="008050B1">
        <w:rPr>
          <w:rFonts w:ascii="Arial" w:hAnsi="Arial" w:cs="Arial"/>
          <w:sz w:val="24"/>
          <w:szCs w:val="24"/>
        </w:rPr>
        <w:t>the Trust, but both parties agre</w:t>
      </w:r>
      <w:r w:rsidR="00AD15ED">
        <w:rPr>
          <w:rFonts w:ascii="Arial" w:hAnsi="Arial" w:cs="Arial"/>
          <w:sz w:val="24"/>
          <w:szCs w:val="24"/>
        </w:rPr>
        <w:t xml:space="preserve">ed to the sale of the herd.  The </w:t>
      </w:r>
      <w:r w:rsidR="00AD15ED">
        <w:rPr>
          <w:rFonts w:ascii="Arial" w:hAnsi="Arial" w:cs="Arial"/>
          <w:sz w:val="24"/>
          <w:szCs w:val="24"/>
        </w:rPr>
        <w:lastRenderedPageBreak/>
        <w:t xml:space="preserve">landlord sought an order directing the attachment of the herd and other movable property to secure some claims against the insolvent estate on the basis that he had a landlord’s tacit hypothec over the said goods. </w:t>
      </w:r>
    </w:p>
    <w:p w14:paraId="75DA349A" w14:textId="77777777" w:rsidR="00AD15ED" w:rsidRDefault="00AD15ED" w:rsidP="00D26909">
      <w:pPr>
        <w:spacing w:line="480" w:lineRule="auto"/>
        <w:jc w:val="both"/>
        <w:rPr>
          <w:rFonts w:ascii="Arial" w:hAnsi="Arial" w:cs="Arial"/>
          <w:sz w:val="24"/>
          <w:szCs w:val="24"/>
        </w:rPr>
      </w:pPr>
    </w:p>
    <w:p w14:paraId="68803537" w14:textId="2B64A81C" w:rsidR="000D7787" w:rsidRDefault="004158AB" w:rsidP="00D26909">
      <w:pPr>
        <w:spacing w:line="480" w:lineRule="auto"/>
        <w:jc w:val="both"/>
        <w:rPr>
          <w:rFonts w:ascii="Arial" w:hAnsi="Arial" w:cs="Arial"/>
          <w:sz w:val="24"/>
          <w:szCs w:val="24"/>
        </w:rPr>
      </w:pPr>
      <w:r>
        <w:rPr>
          <w:rFonts w:ascii="Arial" w:hAnsi="Arial" w:cs="Arial"/>
          <w:i/>
          <w:sz w:val="24"/>
          <w:szCs w:val="24"/>
        </w:rPr>
        <w:t>Discussion</w:t>
      </w:r>
      <w:r w:rsidR="00FE094C">
        <w:rPr>
          <w:rFonts w:ascii="Arial" w:hAnsi="Arial" w:cs="Arial"/>
          <w:sz w:val="24"/>
          <w:szCs w:val="24"/>
        </w:rPr>
        <w:tab/>
      </w:r>
    </w:p>
    <w:p w14:paraId="196AC9C4" w14:textId="6F83F419" w:rsidR="000D7787" w:rsidRDefault="000D7787" w:rsidP="00D26909">
      <w:pPr>
        <w:spacing w:line="480" w:lineRule="auto"/>
        <w:jc w:val="both"/>
        <w:rPr>
          <w:rFonts w:ascii="Arial" w:hAnsi="Arial" w:cs="Arial"/>
          <w:sz w:val="24"/>
          <w:szCs w:val="24"/>
        </w:rPr>
      </w:pPr>
    </w:p>
    <w:p w14:paraId="34384B4F" w14:textId="63F6361B" w:rsidR="000D7787" w:rsidRPr="00B936CA" w:rsidRDefault="001E7F96" w:rsidP="00D26909">
      <w:pPr>
        <w:spacing w:line="480" w:lineRule="auto"/>
        <w:jc w:val="both"/>
        <w:rPr>
          <w:rFonts w:ascii="Arial" w:hAnsi="Arial" w:cs="Arial"/>
          <w:sz w:val="24"/>
          <w:szCs w:val="24"/>
        </w:rPr>
      </w:pPr>
      <w:r>
        <w:rPr>
          <w:rFonts w:ascii="Arial" w:hAnsi="Arial" w:cs="Arial"/>
          <w:sz w:val="24"/>
          <w:szCs w:val="24"/>
        </w:rPr>
        <w:t>[18</w:t>
      </w:r>
      <w:r w:rsidR="000D7787">
        <w:rPr>
          <w:rFonts w:ascii="Arial" w:hAnsi="Arial" w:cs="Arial"/>
          <w:sz w:val="24"/>
          <w:szCs w:val="24"/>
        </w:rPr>
        <w:t>]</w:t>
      </w:r>
      <w:r w:rsidR="00A76795">
        <w:rPr>
          <w:rFonts w:ascii="Arial" w:hAnsi="Arial" w:cs="Arial"/>
          <w:sz w:val="24"/>
          <w:szCs w:val="24"/>
        </w:rPr>
        <w:tab/>
        <w:t>At the hearing of this application, the Trust acknowledged that the first respon</w:t>
      </w:r>
      <w:r w:rsidR="004158AB">
        <w:rPr>
          <w:rFonts w:ascii="Arial" w:hAnsi="Arial" w:cs="Arial"/>
          <w:sz w:val="24"/>
          <w:szCs w:val="24"/>
        </w:rPr>
        <w:t>dent could not be bound by the s</w:t>
      </w:r>
      <w:r w:rsidR="00A76795">
        <w:rPr>
          <w:rFonts w:ascii="Arial" w:hAnsi="Arial" w:cs="Arial"/>
          <w:sz w:val="24"/>
          <w:szCs w:val="24"/>
        </w:rPr>
        <w:t xml:space="preserve">ettlement </w:t>
      </w:r>
      <w:r w:rsidR="004158AB">
        <w:rPr>
          <w:rFonts w:ascii="Arial" w:hAnsi="Arial" w:cs="Arial"/>
          <w:sz w:val="24"/>
          <w:szCs w:val="24"/>
        </w:rPr>
        <w:t xml:space="preserve">agreement </w:t>
      </w:r>
      <w:r w:rsidR="00A76795">
        <w:rPr>
          <w:rFonts w:ascii="Arial" w:hAnsi="Arial" w:cs="Arial"/>
          <w:sz w:val="24"/>
          <w:szCs w:val="24"/>
        </w:rPr>
        <w:t>that was entered into between the Trust and the fourth respondent</w:t>
      </w:r>
      <w:r w:rsidR="004158AB">
        <w:rPr>
          <w:rFonts w:ascii="Arial" w:hAnsi="Arial" w:cs="Arial"/>
          <w:sz w:val="24"/>
          <w:szCs w:val="24"/>
        </w:rPr>
        <w:t>.  The Trust</w:t>
      </w:r>
      <w:r w:rsidR="00A76795">
        <w:rPr>
          <w:rFonts w:ascii="Arial" w:hAnsi="Arial" w:cs="Arial"/>
          <w:sz w:val="24"/>
          <w:szCs w:val="24"/>
        </w:rPr>
        <w:t xml:space="preserve"> sought</w:t>
      </w:r>
      <w:r w:rsidR="004158AB">
        <w:rPr>
          <w:rFonts w:ascii="Arial" w:hAnsi="Arial" w:cs="Arial"/>
          <w:sz w:val="24"/>
          <w:szCs w:val="24"/>
        </w:rPr>
        <w:t xml:space="preserve"> relief only</w:t>
      </w:r>
      <w:r w:rsidR="00A76795">
        <w:rPr>
          <w:rFonts w:ascii="Arial" w:hAnsi="Arial" w:cs="Arial"/>
          <w:sz w:val="24"/>
          <w:szCs w:val="24"/>
        </w:rPr>
        <w:t xml:space="preserve"> against the fourth respondent.</w:t>
      </w:r>
      <w:r w:rsidR="004158AB">
        <w:rPr>
          <w:rFonts w:ascii="Arial" w:hAnsi="Arial" w:cs="Arial"/>
          <w:sz w:val="24"/>
          <w:szCs w:val="24"/>
        </w:rPr>
        <w:t xml:space="preserve">  Perhaps, this was a further accept</w:t>
      </w:r>
      <w:r w:rsidR="00DF3688">
        <w:rPr>
          <w:rFonts w:ascii="Arial" w:hAnsi="Arial" w:cs="Arial"/>
          <w:sz w:val="24"/>
          <w:szCs w:val="24"/>
        </w:rPr>
        <w:t>ance that the first respondent wa</w:t>
      </w:r>
      <w:r w:rsidR="004158AB">
        <w:rPr>
          <w:rFonts w:ascii="Arial" w:hAnsi="Arial" w:cs="Arial"/>
          <w:sz w:val="24"/>
          <w:szCs w:val="24"/>
        </w:rPr>
        <w:t xml:space="preserve">s under liquidation.  </w:t>
      </w:r>
      <w:r w:rsidR="00A76795">
        <w:rPr>
          <w:rFonts w:ascii="Arial" w:hAnsi="Arial" w:cs="Arial"/>
          <w:sz w:val="24"/>
          <w:szCs w:val="24"/>
        </w:rPr>
        <w:t xml:space="preserve">The fourth respondent </w:t>
      </w:r>
      <w:r w:rsidR="004158AB">
        <w:rPr>
          <w:rFonts w:ascii="Arial" w:hAnsi="Arial" w:cs="Arial"/>
          <w:sz w:val="24"/>
          <w:szCs w:val="24"/>
        </w:rPr>
        <w:t>as he s</w:t>
      </w:r>
      <w:r w:rsidR="00A76795">
        <w:rPr>
          <w:rFonts w:ascii="Arial" w:hAnsi="Arial" w:cs="Arial"/>
          <w:sz w:val="24"/>
          <w:szCs w:val="24"/>
        </w:rPr>
        <w:t xml:space="preserve">tood surety </w:t>
      </w:r>
      <w:r w:rsidR="00C971F3">
        <w:rPr>
          <w:rFonts w:ascii="Arial" w:hAnsi="Arial" w:cs="Arial"/>
          <w:sz w:val="24"/>
          <w:szCs w:val="24"/>
        </w:rPr>
        <w:t>for</w:t>
      </w:r>
      <w:r w:rsidR="00A76795">
        <w:rPr>
          <w:rFonts w:ascii="Arial" w:hAnsi="Arial" w:cs="Arial"/>
          <w:sz w:val="24"/>
          <w:szCs w:val="24"/>
        </w:rPr>
        <w:t xml:space="preserve"> th</w:t>
      </w:r>
      <w:r w:rsidR="00BC5BB9">
        <w:rPr>
          <w:rFonts w:ascii="Arial" w:hAnsi="Arial" w:cs="Arial"/>
          <w:sz w:val="24"/>
          <w:szCs w:val="24"/>
        </w:rPr>
        <w:t>e first respondent,</w:t>
      </w:r>
      <w:r w:rsidR="00A76795">
        <w:rPr>
          <w:rFonts w:ascii="Arial" w:hAnsi="Arial" w:cs="Arial"/>
          <w:sz w:val="24"/>
          <w:szCs w:val="24"/>
        </w:rPr>
        <w:t xml:space="preserve"> he </w:t>
      </w:r>
      <w:r w:rsidR="00BC5BB9">
        <w:rPr>
          <w:rFonts w:ascii="Arial" w:hAnsi="Arial" w:cs="Arial"/>
          <w:sz w:val="24"/>
          <w:szCs w:val="24"/>
        </w:rPr>
        <w:t>was</w:t>
      </w:r>
      <w:r w:rsidR="00A76795">
        <w:rPr>
          <w:rFonts w:ascii="Arial" w:hAnsi="Arial" w:cs="Arial"/>
          <w:sz w:val="24"/>
          <w:szCs w:val="24"/>
        </w:rPr>
        <w:t xml:space="preserve"> liable for the</w:t>
      </w:r>
      <w:r w:rsidR="00BC5BB9">
        <w:rPr>
          <w:rFonts w:ascii="Arial" w:hAnsi="Arial" w:cs="Arial"/>
          <w:sz w:val="24"/>
          <w:szCs w:val="24"/>
        </w:rPr>
        <w:t xml:space="preserve"> rental</w:t>
      </w:r>
      <w:r w:rsidR="00A76795">
        <w:rPr>
          <w:rFonts w:ascii="Arial" w:hAnsi="Arial" w:cs="Arial"/>
          <w:sz w:val="24"/>
          <w:szCs w:val="24"/>
        </w:rPr>
        <w:t xml:space="preserve"> amount owed.  This Court has no qualms with the liability of the fourth respondent as surety in this regard.  However, it is important to</w:t>
      </w:r>
      <w:r w:rsidR="00BC5BB9">
        <w:rPr>
          <w:rFonts w:ascii="Arial" w:hAnsi="Arial" w:cs="Arial"/>
          <w:sz w:val="24"/>
          <w:szCs w:val="24"/>
        </w:rPr>
        <w:t xml:space="preserve"> analyse and / or</w:t>
      </w:r>
      <w:r w:rsidR="00A76795">
        <w:rPr>
          <w:rFonts w:ascii="Arial" w:hAnsi="Arial" w:cs="Arial"/>
          <w:sz w:val="24"/>
          <w:szCs w:val="24"/>
        </w:rPr>
        <w:t xml:space="preserve"> inter</w:t>
      </w:r>
      <w:r w:rsidR="00BC5BB9">
        <w:rPr>
          <w:rFonts w:ascii="Arial" w:hAnsi="Arial" w:cs="Arial"/>
          <w:sz w:val="24"/>
          <w:szCs w:val="24"/>
        </w:rPr>
        <w:t>pret the meaning of the settlement a</w:t>
      </w:r>
      <w:r w:rsidR="00A76795">
        <w:rPr>
          <w:rFonts w:ascii="Arial" w:hAnsi="Arial" w:cs="Arial"/>
          <w:sz w:val="24"/>
          <w:szCs w:val="24"/>
        </w:rPr>
        <w:t xml:space="preserve">greement, before a declaration is issued by this Court.  </w:t>
      </w:r>
    </w:p>
    <w:p w14:paraId="4D704B86" w14:textId="07D393BA" w:rsidR="000D7787" w:rsidRDefault="000D7787" w:rsidP="00D26909">
      <w:pPr>
        <w:spacing w:line="480" w:lineRule="auto"/>
        <w:jc w:val="both"/>
        <w:rPr>
          <w:rFonts w:ascii="Arial" w:hAnsi="Arial" w:cs="Arial"/>
          <w:sz w:val="24"/>
          <w:szCs w:val="24"/>
        </w:rPr>
      </w:pPr>
    </w:p>
    <w:p w14:paraId="6ADF65CF" w14:textId="281FA80F" w:rsidR="00A76795" w:rsidRDefault="002276E2" w:rsidP="00D26909">
      <w:pPr>
        <w:spacing w:line="480" w:lineRule="auto"/>
        <w:jc w:val="both"/>
        <w:rPr>
          <w:rFonts w:ascii="Arial" w:hAnsi="Arial" w:cs="Arial"/>
          <w:sz w:val="24"/>
          <w:szCs w:val="24"/>
        </w:rPr>
      </w:pPr>
      <w:r>
        <w:rPr>
          <w:rFonts w:ascii="Arial" w:hAnsi="Arial" w:cs="Arial"/>
          <w:sz w:val="24"/>
          <w:szCs w:val="24"/>
        </w:rPr>
        <w:t>[1</w:t>
      </w:r>
      <w:r w:rsidR="001E7F96">
        <w:rPr>
          <w:rFonts w:ascii="Arial" w:hAnsi="Arial" w:cs="Arial"/>
          <w:sz w:val="24"/>
          <w:szCs w:val="24"/>
        </w:rPr>
        <w:t>9</w:t>
      </w:r>
      <w:r w:rsidR="000D7787">
        <w:rPr>
          <w:rFonts w:ascii="Arial" w:hAnsi="Arial" w:cs="Arial"/>
          <w:sz w:val="24"/>
          <w:szCs w:val="24"/>
        </w:rPr>
        <w:t>]</w:t>
      </w:r>
      <w:r w:rsidR="00BC5BB9">
        <w:rPr>
          <w:rFonts w:ascii="Arial" w:hAnsi="Arial" w:cs="Arial"/>
          <w:sz w:val="24"/>
          <w:szCs w:val="24"/>
        </w:rPr>
        <w:tab/>
        <w:t>The relevant portions of the s</w:t>
      </w:r>
      <w:r w:rsidR="00A76795">
        <w:rPr>
          <w:rFonts w:ascii="Arial" w:hAnsi="Arial" w:cs="Arial"/>
          <w:sz w:val="24"/>
          <w:szCs w:val="24"/>
        </w:rPr>
        <w:t xml:space="preserve">ettlement </w:t>
      </w:r>
      <w:r w:rsidR="00BC5BB9">
        <w:rPr>
          <w:rFonts w:ascii="Arial" w:hAnsi="Arial" w:cs="Arial"/>
          <w:sz w:val="24"/>
          <w:szCs w:val="24"/>
        </w:rPr>
        <w:t>a</w:t>
      </w:r>
      <w:r w:rsidR="00A76795">
        <w:rPr>
          <w:rFonts w:ascii="Arial" w:hAnsi="Arial" w:cs="Arial"/>
          <w:sz w:val="24"/>
          <w:szCs w:val="24"/>
        </w:rPr>
        <w:t xml:space="preserve">greement </w:t>
      </w:r>
      <w:r w:rsidR="00BC5BB9">
        <w:rPr>
          <w:rFonts w:ascii="Arial" w:hAnsi="Arial" w:cs="Arial"/>
          <w:sz w:val="24"/>
          <w:szCs w:val="24"/>
        </w:rPr>
        <w:t>read</w:t>
      </w:r>
      <w:r w:rsidR="00A76795">
        <w:rPr>
          <w:rFonts w:ascii="Arial" w:hAnsi="Arial" w:cs="Arial"/>
          <w:sz w:val="24"/>
          <w:szCs w:val="24"/>
        </w:rPr>
        <w:t xml:space="preserve"> as follows:</w:t>
      </w:r>
    </w:p>
    <w:p w14:paraId="0B05843A" w14:textId="77777777" w:rsidR="00A76795" w:rsidRDefault="00A76795" w:rsidP="00D26909">
      <w:pPr>
        <w:spacing w:line="480" w:lineRule="auto"/>
        <w:jc w:val="both"/>
        <w:rPr>
          <w:rFonts w:ascii="Arial" w:hAnsi="Arial" w:cs="Arial"/>
          <w:sz w:val="24"/>
          <w:szCs w:val="24"/>
        </w:rPr>
      </w:pPr>
    </w:p>
    <w:p w14:paraId="7FE41865" w14:textId="420573F5" w:rsidR="00A76795" w:rsidRDefault="00A76795" w:rsidP="00D26909">
      <w:pPr>
        <w:spacing w:line="480" w:lineRule="auto"/>
        <w:jc w:val="both"/>
        <w:rPr>
          <w:rFonts w:ascii="Arial" w:hAnsi="Arial" w:cs="Arial"/>
          <w:i/>
          <w:sz w:val="24"/>
          <w:szCs w:val="24"/>
        </w:rPr>
      </w:pPr>
      <w:r>
        <w:rPr>
          <w:rFonts w:ascii="Arial" w:hAnsi="Arial" w:cs="Arial"/>
          <w:sz w:val="24"/>
          <w:szCs w:val="24"/>
        </w:rPr>
        <w:tab/>
        <w:t>“</w:t>
      </w:r>
      <w:r>
        <w:rPr>
          <w:rFonts w:ascii="Arial" w:hAnsi="Arial" w:cs="Arial"/>
          <w:i/>
          <w:sz w:val="24"/>
          <w:szCs w:val="24"/>
        </w:rPr>
        <w:t>NOW THEREFORE THE PARTIES AGREE AS FOLLOWS:</w:t>
      </w:r>
    </w:p>
    <w:p w14:paraId="663E4FF9" w14:textId="44CAB4DD" w:rsidR="00A76795" w:rsidRPr="00A76795" w:rsidRDefault="00A76795" w:rsidP="00A76795">
      <w:pPr>
        <w:pStyle w:val="ListParagraph"/>
        <w:numPr>
          <w:ilvl w:val="0"/>
          <w:numId w:val="43"/>
        </w:numPr>
        <w:spacing w:line="480" w:lineRule="auto"/>
        <w:jc w:val="both"/>
        <w:rPr>
          <w:rFonts w:ascii="Arial" w:hAnsi="Arial" w:cs="Arial"/>
          <w:i/>
          <w:sz w:val="24"/>
          <w:szCs w:val="24"/>
        </w:rPr>
      </w:pPr>
      <w:r w:rsidRPr="00A76795">
        <w:rPr>
          <w:rFonts w:ascii="Arial" w:hAnsi="Arial" w:cs="Arial"/>
          <w:i/>
          <w:sz w:val="24"/>
          <w:szCs w:val="24"/>
        </w:rPr>
        <w:t>The parties have agreed to settle the matter institu</w:t>
      </w:r>
      <w:r w:rsidR="00BC5BB9">
        <w:rPr>
          <w:rFonts w:ascii="Arial" w:hAnsi="Arial" w:cs="Arial"/>
          <w:i/>
          <w:sz w:val="24"/>
          <w:szCs w:val="24"/>
        </w:rPr>
        <w:t xml:space="preserve">ted under case number RCC: </w:t>
      </w:r>
      <w:r w:rsidR="0035414A">
        <w:rPr>
          <w:rFonts w:ascii="Arial" w:hAnsi="Arial" w:cs="Arial"/>
          <w:i/>
          <w:sz w:val="24"/>
          <w:szCs w:val="24"/>
        </w:rPr>
        <w:t xml:space="preserve">CT </w:t>
      </w:r>
      <w:r w:rsidR="0035414A" w:rsidRPr="00A76795">
        <w:rPr>
          <w:rFonts w:ascii="Arial" w:hAnsi="Arial" w:cs="Arial"/>
          <w:i/>
          <w:sz w:val="24"/>
          <w:szCs w:val="24"/>
        </w:rPr>
        <w:t>35</w:t>
      </w:r>
      <w:r w:rsidRPr="00A76795">
        <w:rPr>
          <w:rFonts w:ascii="Arial" w:hAnsi="Arial" w:cs="Arial"/>
          <w:i/>
          <w:sz w:val="24"/>
          <w:szCs w:val="24"/>
        </w:rPr>
        <w:t>/2022 in the abovenamed honourable Court, on the basis that the First and / or Second Defendants pay, the one paying the other being absolved, to the Plaintiffs, the amount of R535 137.08 (hereafter referred to as the “Settlement Amount”).</w:t>
      </w:r>
    </w:p>
    <w:p w14:paraId="28A4BFB1" w14:textId="5DBCF8CF" w:rsidR="00A76795" w:rsidRDefault="00A76795" w:rsidP="00A76795">
      <w:pPr>
        <w:pStyle w:val="ListParagraph"/>
        <w:numPr>
          <w:ilvl w:val="0"/>
          <w:numId w:val="43"/>
        </w:numPr>
        <w:spacing w:line="480" w:lineRule="auto"/>
        <w:jc w:val="both"/>
        <w:rPr>
          <w:rFonts w:ascii="Arial" w:hAnsi="Arial" w:cs="Arial"/>
          <w:i/>
          <w:sz w:val="24"/>
          <w:szCs w:val="24"/>
        </w:rPr>
      </w:pPr>
      <w:r>
        <w:rPr>
          <w:rFonts w:ascii="Arial" w:hAnsi="Arial" w:cs="Arial"/>
          <w:i/>
          <w:sz w:val="24"/>
          <w:szCs w:val="24"/>
        </w:rPr>
        <w:t>The Settlement Amount shall be payable as follows</w:t>
      </w:r>
      <w:r w:rsidR="00BC5BB9">
        <w:rPr>
          <w:rFonts w:ascii="Arial" w:hAnsi="Arial" w:cs="Arial"/>
          <w:i/>
          <w:sz w:val="24"/>
          <w:szCs w:val="24"/>
        </w:rPr>
        <w:t>:</w:t>
      </w:r>
    </w:p>
    <w:p w14:paraId="15F1E80C" w14:textId="05A11FB8" w:rsidR="00A76795" w:rsidRDefault="00A76795" w:rsidP="00A76795">
      <w:pPr>
        <w:pStyle w:val="ListParagraph"/>
        <w:numPr>
          <w:ilvl w:val="1"/>
          <w:numId w:val="43"/>
        </w:numPr>
        <w:spacing w:line="480" w:lineRule="auto"/>
        <w:jc w:val="both"/>
        <w:rPr>
          <w:rFonts w:ascii="Arial" w:hAnsi="Arial" w:cs="Arial"/>
          <w:i/>
          <w:sz w:val="24"/>
          <w:szCs w:val="24"/>
        </w:rPr>
      </w:pPr>
      <w:r>
        <w:rPr>
          <w:rFonts w:ascii="Arial" w:hAnsi="Arial" w:cs="Arial"/>
          <w:i/>
          <w:sz w:val="24"/>
          <w:szCs w:val="24"/>
        </w:rPr>
        <w:lastRenderedPageBreak/>
        <w:t>The First and / or Second Defendants shall appoint Michael James (the “Auction House”) to attend to the auction of movable currently on the premises, which auction shall take place on the first available date between the 27</w:t>
      </w:r>
      <w:r w:rsidRPr="00A76795">
        <w:rPr>
          <w:rFonts w:ascii="Arial" w:hAnsi="Arial" w:cs="Arial"/>
          <w:i/>
          <w:sz w:val="24"/>
          <w:szCs w:val="24"/>
          <w:vertAlign w:val="superscript"/>
        </w:rPr>
        <w:t>th</w:t>
      </w:r>
      <w:r>
        <w:rPr>
          <w:rFonts w:ascii="Arial" w:hAnsi="Arial" w:cs="Arial"/>
          <w:i/>
          <w:sz w:val="24"/>
          <w:szCs w:val="24"/>
        </w:rPr>
        <w:t xml:space="preserve"> of February 2022 to the 10</w:t>
      </w:r>
      <w:r w:rsidRPr="00A76795">
        <w:rPr>
          <w:rFonts w:ascii="Arial" w:hAnsi="Arial" w:cs="Arial"/>
          <w:i/>
          <w:sz w:val="24"/>
          <w:szCs w:val="24"/>
          <w:vertAlign w:val="superscript"/>
        </w:rPr>
        <w:t>th</w:t>
      </w:r>
      <w:r>
        <w:rPr>
          <w:rFonts w:ascii="Arial" w:hAnsi="Arial" w:cs="Arial"/>
          <w:i/>
          <w:sz w:val="24"/>
          <w:szCs w:val="24"/>
        </w:rPr>
        <w:t xml:space="preserve"> of March 2022.</w:t>
      </w:r>
    </w:p>
    <w:p w14:paraId="263772C4" w14:textId="160AD03D" w:rsidR="00A76795" w:rsidRDefault="00A76795" w:rsidP="00A76795">
      <w:pPr>
        <w:pStyle w:val="ListParagraph"/>
        <w:numPr>
          <w:ilvl w:val="1"/>
          <w:numId w:val="43"/>
        </w:numPr>
        <w:spacing w:line="480" w:lineRule="auto"/>
        <w:jc w:val="both"/>
        <w:rPr>
          <w:rFonts w:ascii="Arial" w:hAnsi="Arial" w:cs="Arial"/>
          <w:i/>
          <w:sz w:val="24"/>
          <w:szCs w:val="24"/>
        </w:rPr>
      </w:pPr>
      <w:r>
        <w:rPr>
          <w:rFonts w:ascii="Arial" w:hAnsi="Arial" w:cs="Arial"/>
          <w:i/>
          <w:sz w:val="24"/>
          <w:szCs w:val="24"/>
        </w:rPr>
        <w:t>The</w:t>
      </w:r>
      <w:r w:rsidR="00BC5BB9">
        <w:rPr>
          <w:rFonts w:ascii="Arial" w:hAnsi="Arial" w:cs="Arial"/>
          <w:i/>
          <w:sz w:val="24"/>
          <w:szCs w:val="24"/>
        </w:rPr>
        <w:t xml:space="preserve"> proceeds of the auction, to a</w:t>
      </w:r>
      <w:r>
        <w:rPr>
          <w:rFonts w:ascii="Arial" w:hAnsi="Arial" w:cs="Arial"/>
          <w:i/>
          <w:sz w:val="24"/>
          <w:szCs w:val="24"/>
        </w:rPr>
        <w:t xml:space="preserve"> value of the Settlement Amount, shall be paid by directly (sic) from the Auction House</w:t>
      </w:r>
      <w:r w:rsidR="00BC5BB9">
        <w:rPr>
          <w:rFonts w:ascii="Arial" w:hAnsi="Arial" w:cs="Arial"/>
          <w:i/>
          <w:sz w:val="24"/>
          <w:szCs w:val="24"/>
        </w:rPr>
        <w:t xml:space="preserve"> into the trust account of the P</w:t>
      </w:r>
      <w:r>
        <w:rPr>
          <w:rFonts w:ascii="Arial" w:hAnsi="Arial" w:cs="Arial"/>
          <w:i/>
          <w:sz w:val="24"/>
          <w:szCs w:val="24"/>
        </w:rPr>
        <w:t>laintiff’s Attorneys, Spencer Pitman Incorporated …</w:t>
      </w:r>
    </w:p>
    <w:p w14:paraId="2F0C0A4A" w14:textId="7507D1C2" w:rsidR="00A76795" w:rsidRDefault="00A76795" w:rsidP="00A76795">
      <w:pPr>
        <w:pStyle w:val="ListParagraph"/>
        <w:numPr>
          <w:ilvl w:val="1"/>
          <w:numId w:val="43"/>
        </w:numPr>
        <w:spacing w:line="480" w:lineRule="auto"/>
        <w:jc w:val="both"/>
        <w:rPr>
          <w:rFonts w:ascii="Arial" w:hAnsi="Arial" w:cs="Arial"/>
          <w:i/>
          <w:sz w:val="24"/>
          <w:szCs w:val="24"/>
        </w:rPr>
      </w:pPr>
      <w:r>
        <w:rPr>
          <w:rFonts w:ascii="Arial" w:hAnsi="Arial" w:cs="Arial"/>
          <w:i/>
          <w:sz w:val="24"/>
          <w:szCs w:val="24"/>
        </w:rPr>
        <w:t>The First and / or Second Defendants shall be liable for the costs of the auction.”</w:t>
      </w:r>
      <w:r w:rsidR="00CC7B7B">
        <w:rPr>
          <w:rStyle w:val="FootnoteReference"/>
          <w:rFonts w:ascii="Arial" w:hAnsi="Arial" w:cs="Arial"/>
          <w:i/>
          <w:sz w:val="24"/>
          <w:szCs w:val="24"/>
        </w:rPr>
        <w:footnoteReference w:id="10"/>
      </w:r>
    </w:p>
    <w:p w14:paraId="4806F1E4" w14:textId="4DF9558C" w:rsidR="00CC7B7B" w:rsidRPr="00CC7B7B" w:rsidRDefault="001E7F96" w:rsidP="00CC7B7B">
      <w:pPr>
        <w:spacing w:line="480" w:lineRule="auto"/>
        <w:jc w:val="both"/>
        <w:rPr>
          <w:rFonts w:ascii="Arial" w:hAnsi="Arial" w:cs="Arial"/>
          <w:sz w:val="24"/>
          <w:szCs w:val="24"/>
        </w:rPr>
      </w:pPr>
      <w:r>
        <w:rPr>
          <w:rFonts w:ascii="Arial" w:hAnsi="Arial" w:cs="Arial"/>
          <w:sz w:val="24"/>
          <w:szCs w:val="24"/>
        </w:rPr>
        <w:t>[20</w:t>
      </w:r>
      <w:r w:rsidR="00BC5BB9">
        <w:rPr>
          <w:rFonts w:ascii="Arial" w:hAnsi="Arial" w:cs="Arial"/>
          <w:sz w:val="24"/>
          <w:szCs w:val="24"/>
        </w:rPr>
        <w:t>]</w:t>
      </w:r>
      <w:r w:rsidR="00BC5BB9">
        <w:rPr>
          <w:rFonts w:ascii="Arial" w:hAnsi="Arial" w:cs="Arial"/>
          <w:sz w:val="24"/>
          <w:szCs w:val="24"/>
        </w:rPr>
        <w:tab/>
        <w:t xml:space="preserve">Simply interpreted, </w:t>
      </w:r>
      <w:r w:rsidR="00DF3688">
        <w:rPr>
          <w:rFonts w:ascii="Arial" w:hAnsi="Arial" w:cs="Arial"/>
          <w:sz w:val="24"/>
          <w:szCs w:val="24"/>
        </w:rPr>
        <w:t>“</w:t>
      </w:r>
      <w:r w:rsidR="00BC5BB9">
        <w:rPr>
          <w:rFonts w:ascii="Arial" w:hAnsi="Arial" w:cs="Arial"/>
          <w:sz w:val="24"/>
          <w:szCs w:val="24"/>
        </w:rPr>
        <w:t>the plaintiff</w:t>
      </w:r>
      <w:r w:rsidR="00DF3688">
        <w:rPr>
          <w:rFonts w:ascii="Arial" w:hAnsi="Arial" w:cs="Arial"/>
          <w:sz w:val="24"/>
          <w:szCs w:val="24"/>
        </w:rPr>
        <w:t>”</w:t>
      </w:r>
      <w:r w:rsidR="00BC5BB9">
        <w:rPr>
          <w:rFonts w:ascii="Arial" w:hAnsi="Arial" w:cs="Arial"/>
          <w:sz w:val="24"/>
          <w:szCs w:val="24"/>
        </w:rPr>
        <w:t xml:space="preserve"> herein refers to </w:t>
      </w:r>
      <w:r w:rsidR="00DF3688">
        <w:rPr>
          <w:rFonts w:ascii="Arial" w:hAnsi="Arial" w:cs="Arial"/>
          <w:sz w:val="24"/>
          <w:szCs w:val="24"/>
        </w:rPr>
        <w:t>“</w:t>
      </w:r>
      <w:r w:rsidR="00BC5BB9">
        <w:rPr>
          <w:rFonts w:ascii="Arial" w:hAnsi="Arial" w:cs="Arial"/>
          <w:sz w:val="24"/>
          <w:szCs w:val="24"/>
        </w:rPr>
        <w:t>the Trust</w:t>
      </w:r>
      <w:r w:rsidR="00DF3688">
        <w:rPr>
          <w:rFonts w:ascii="Arial" w:hAnsi="Arial" w:cs="Arial"/>
          <w:sz w:val="24"/>
          <w:szCs w:val="24"/>
        </w:rPr>
        <w:t>”</w:t>
      </w:r>
      <w:r w:rsidR="00CC7B7B">
        <w:rPr>
          <w:rFonts w:ascii="Arial" w:hAnsi="Arial" w:cs="Arial"/>
          <w:sz w:val="24"/>
          <w:szCs w:val="24"/>
        </w:rPr>
        <w:t xml:space="preserve"> and </w:t>
      </w:r>
      <w:r w:rsidR="00DF3688">
        <w:rPr>
          <w:rFonts w:ascii="Arial" w:hAnsi="Arial" w:cs="Arial"/>
          <w:sz w:val="24"/>
          <w:szCs w:val="24"/>
        </w:rPr>
        <w:t>“</w:t>
      </w:r>
      <w:r w:rsidR="00CC7B7B">
        <w:rPr>
          <w:rFonts w:ascii="Arial" w:hAnsi="Arial" w:cs="Arial"/>
          <w:sz w:val="24"/>
          <w:szCs w:val="24"/>
        </w:rPr>
        <w:t>the first</w:t>
      </w:r>
      <w:r w:rsidR="00DF3688">
        <w:rPr>
          <w:rFonts w:ascii="Arial" w:hAnsi="Arial" w:cs="Arial"/>
          <w:sz w:val="24"/>
          <w:szCs w:val="24"/>
        </w:rPr>
        <w:t>”</w:t>
      </w:r>
      <w:r w:rsidR="00CC7B7B">
        <w:rPr>
          <w:rFonts w:ascii="Arial" w:hAnsi="Arial" w:cs="Arial"/>
          <w:sz w:val="24"/>
          <w:szCs w:val="24"/>
        </w:rPr>
        <w:t xml:space="preserve"> and </w:t>
      </w:r>
      <w:r w:rsidR="00DF3688">
        <w:rPr>
          <w:rFonts w:ascii="Arial" w:hAnsi="Arial" w:cs="Arial"/>
          <w:sz w:val="24"/>
          <w:szCs w:val="24"/>
        </w:rPr>
        <w:t>“</w:t>
      </w:r>
      <w:r w:rsidR="00CC7B7B">
        <w:rPr>
          <w:rFonts w:ascii="Arial" w:hAnsi="Arial" w:cs="Arial"/>
          <w:sz w:val="24"/>
          <w:szCs w:val="24"/>
        </w:rPr>
        <w:t>the second defendants</w:t>
      </w:r>
      <w:r w:rsidR="00DF3688">
        <w:rPr>
          <w:rFonts w:ascii="Arial" w:hAnsi="Arial" w:cs="Arial"/>
          <w:sz w:val="24"/>
          <w:szCs w:val="24"/>
        </w:rPr>
        <w:t>”</w:t>
      </w:r>
      <w:r w:rsidR="00CC7B7B">
        <w:rPr>
          <w:rFonts w:ascii="Arial" w:hAnsi="Arial" w:cs="Arial"/>
          <w:sz w:val="24"/>
          <w:szCs w:val="24"/>
        </w:rPr>
        <w:t xml:space="preserve"> refers to </w:t>
      </w:r>
      <w:r w:rsidR="00DF3688">
        <w:rPr>
          <w:rFonts w:ascii="Arial" w:hAnsi="Arial" w:cs="Arial"/>
          <w:sz w:val="24"/>
          <w:szCs w:val="24"/>
        </w:rPr>
        <w:t>“</w:t>
      </w:r>
      <w:r w:rsidR="00CC7B7B">
        <w:rPr>
          <w:rFonts w:ascii="Arial" w:hAnsi="Arial" w:cs="Arial"/>
          <w:sz w:val="24"/>
          <w:szCs w:val="24"/>
        </w:rPr>
        <w:t>the first</w:t>
      </w:r>
      <w:r w:rsidR="00DF3688">
        <w:rPr>
          <w:rFonts w:ascii="Arial" w:hAnsi="Arial" w:cs="Arial"/>
          <w:sz w:val="24"/>
          <w:szCs w:val="24"/>
        </w:rPr>
        <w:t>”</w:t>
      </w:r>
      <w:r w:rsidR="00CC7B7B">
        <w:rPr>
          <w:rFonts w:ascii="Arial" w:hAnsi="Arial" w:cs="Arial"/>
          <w:sz w:val="24"/>
          <w:szCs w:val="24"/>
        </w:rPr>
        <w:t xml:space="preserve"> and the </w:t>
      </w:r>
      <w:r w:rsidR="00DF3688">
        <w:rPr>
          <w:rFonts w:ascii="Arial" w:hAnsi="Arial" w:cs="Arial"/>
          <w:sz w:val="24"/>
          <w:szCs w:val="24"/>
        </w:rPr>
        <w:t>“</w:t>
      </w:r>
      <w:r w:rsidR="00CC7B7B">
        <w:rPr>
          <w:rFonts w:ascii="Arial" w:hAnsi="Arial" w:cs="Arial"/>
          <w:sz w:val="24"/>
          <w:szCs w:val="24"/>
        </w:rPr>
        <w:t>fourth r</w:t>
      </w:r>
      <w:r w:rsidR="001B27CD">
        <w:rPr>
          <w:rFonts w:ascii="Arial" w:hAnsi="Arial" w:cs="Arial"/>
          <w:sz w:val="24"/>
          <w:szCs w:val="24"/>
        </w:rPr>
        <w:t>espondents</w:t>
      </w:r>
      <w:r w:rsidR="00DF3688">
        <w:rPr>
          <w:rFonts w:ascii="Arial" w:hAnsi="Arial" w:cs="Arial"/>
          <w:sz w:val="24"/>
          <w:szCs w:val="24"/>
        </w:rPr>
        <w:t>”</w:t>
      </w:r>
      <w:r w:rsidR="001B27CD">
        <w:rPr>
          <w:rFonts w:ascii="Arial" w:hAnsi="Arial" w:cs="Arial"/>
          <w:sz w:val="24"/>
          <w:szCs w:val="24"/>
        </w:rPr>
        <w:t xml:space="preserve"> respectively.  </w:t>
      </w:r>
      <w:r w:rsidR="00DF3688">
        <w:rPr>
          <w:rFonts w:ascii="Arial" w:hAnsi="Arial" w:cs="Arial"/>
          <w:sz w:val="24"/>
          <w:szCs w:val="24"/>
        </w:rPr>
        <w:t>At the heart of t</w:t>
      </w:r>
      <w:r w:rsidR="001B27CD">
        <w:rPr>
          <w:rFonts w:ascii="Arial" w:hAnsi="Arial" w:cs="Arial"/>
          <w:sz w:val="24"/>
          <w:szCs w:val="24"/>
        </w:rPr>
        <w:t>his</w:t>
      </w:r>
      <w:r w:rsidR="00DF3688">
        <w:rPr>
          <w:rFonts w:ascii="Arial" w:hAnsi="Arial" w:cs="Arial"/>
          <w:sz w:val="24"/>
          <w:szCs w:val="24"/>
        </w:rPr>
        <w:t xml:space="preserve"> application is the</w:t>
      </w:r>
      <w:r w:rsidR="001B27CD">
        <w:rPr>
          <w:rFonts w:ascii="Arial" w:hAnsi="Arial" w:cs="Arial"/>
          <w:sz w:val="24"/>
          <w:szCs w:val="24"/>
        </w:rPr>
        <w:t xml:space="preserve"> s</w:t>
      </w:r>
      <w:r w:rsidR="00CC7B7B">
        <w:rPr>
          <w:rFonts w:ascii="Arial" w:hAnsi="Arial" w:cs="Arial"/>
          <w:sz w:val="24"/>
          <w:szCs w:val="24"/>
        </w:rPr>
        <w:t xml:space="preserve">ettlement </w:t>
      </w:r>
      <w:r w:rsidR="001B27CD">
        <w:rPr>
          <w:rFonts w:ascii="Arial" w:hAnsi="Arial" w:cs="Arial"/>
          <w:sz w:val="24"/>
          <w:szCs w:val="24"/>
        </w:rPr>
        <w:t>a</w:t>
      </w:r>
      <w:r w:rsidR="00CC7B7B">
        <w:rPr>
          <w:rFonts w:ascii="Arial" w:hAnsi="Arial" w:cs="Arial"/>
          <w:sz w:val="24"/>
          <w:szCs w:val="24"/>
        </w:rPr>
        <w:t xml:space="preserve">greement </w:t>
      </w:r>
      <w:r w:rsidR="00DF3688">
        <w:rPr>
          <w:rFonts w:ascii="Arial" w:hAnsi="Arial" w:cs="Arial"/>
          <w:sz w:val="24"/>
          <w:szCs w:val="24"/>
        </w:rPr>
        <w:t xml:space="preserve">that </w:t>
      </w:r>
      <w:r w:rsidR="00CC7B7B">
        <w:rPr>
          <w:rFonts w:ascii="Arial" w:hAnsi="Arial" w:cs="Arial"/>
          <w:sz w:val="24"/>
          <w:szCs w:val="24"/>
        </w:rPr>
        <w:t>was made an order of</w:t>
      </w:r>
      <w:r w:rsidR="001B27CD">
        <w:rPr>
          <w:rFonts w:ascii="Arial" w:hAnsi="Arial" w:cs="Arial"/>
          <w:sz w:val="24"/>
          <w:szCs w:val="24"/>
        </w:rPr>
        <w:t xml:space="preserve"> Court on 1 March 2022.  What could be gleaned herein is that </w:t>
      </w:r>
      <w:r w:rsidR="00CC7B7B">
        <w:rPr>
          <w:rFonts w:ascii="Arial" w:hAnsi="Arial" w:cs="Arial"/>
          <w:sz w:val="24"/>
          <w:szCs w:val="24"/>
        </w:rPr>
        <w:t>the</w:t>
      </w:r>
      <w:r w:rsidR="001B27CD">
        <w:rPr>
          <w:rFonts w:ascii="Arial" w:hAnsi="Arial" w:cs="Arial"/>
          <w:sz w:val="24"/>
          <w:szCs w:val="24"/>
        </w:rPr>
        <w:t xml:space="preserve"> fourth respondent signed this s</w:t>
      </w:r>
      <w:r w:rsidR="00CC7B7B">
        <w:rPr>
          <w:rFonts w:ascii="Arial" w:hAnsi="Arial" w:cs="Arial"/>
          <w:sz w:val="24"/>
          <w:szCs w:val="24"/>
        </w:rPr>
        <w:t xml:space="preserve">ettlement </w:t>
      </w:r>
      <w:r w:rsidR="001B27CD">
        <w:rPr>
          <w:rFonts w:ascii="Arial" w:hAnsi="Arial" w:cs="Arial"/>
          <w:sz w:val="24"/>
          <w:szCs w:val="24"/>
        </w:rPr>
        <w:t xml:space="preserve">agreement </w:t>
      </w:r>
      <w:r w:rsidR="00CC7B7B">
        <w:rPr>
          <w:rFonts w:ascii="Arial" w:hAnsi="Arial" w:cs="Arial"/>
          <w:sz w:val="24"/>
          <w:szCs w:val="24"/>
        </w:rPr>
        <w:t>on 22 February 2022 only on his behalf.  The portion that was meant to be signed by</w:t>
      </w:r>
      <w:r w:rsidR="001B27CD">
        <w:rPr>
          <w:rFonts w:ascii="Arial" w:hAnsi="Arial" w:cs="Arial"/>
          <w:sz w:val="24"/>
          <w:szCs w:val="24"/>
        </w:rPr>
        <w:t xml:space="preserve"> or on behalf of</w:t>
      </w:r>
      <w:r w:rsidR="00CC7B7B">
        <w:rPr>
          <w:rFonts w:ascii="Arial" w:hAnsi="Arial" w:cs="Arial"/>
          <w:sz w:val="24"/>
          <w:szCs w:val="24"/>
        </w:rPr>
        <w:t xml:space="preserve"> </w:t>
      </w:r>
      <w:r w:rsidR="001B27CD">
        <w:rPr>
          <w:rFonts w:ascii="Arial" w:hAnsi="Arial" w:cs="Arial"/>
          <w:sz w:val="24"/>
          <w:szCs w:val="24"/>
        </w:rPr>
        <w:t xml:space="preserve">the first </w:t>
      </w:r>
      <w:r w:rsidR="00CC7B7B" w:rsidRPr="00CC7B7B">
        <w:rPr>
          <w:rFonts w:ascii="Arial" w:hAnsi="Arial" w:cs="Arial"/>
          <w:sz w:val="24"/>
          <w:szCs w:val="24"/>
        </w:rPr>
        <w:t>respondent</w:t>
      </w:r>
      <w:r w:rsidR="001B27CD">
        <w:rPr>
          <w:rFonts w:ascii="Arial" w:hAnsi="Arial" w:cs="Arial"/>
          <w:sz w:val="24"/>
          <w:szCs w:val="24"/>
        </w:rPr>
        <w:t xml:space="preserve"> was left blank</w:t>
      </w:r>
      <w:r w:rsidR="00CC7B7B">
        <w:rPr>
          <w:rFonts w:ascii="Arial" w:hAnsi="Arial" w:cs="Arial"/>
          <w:sz w:val="24"/>
          <w:szCs w:val="24"/>
        </w:rPr>
        <w:t>.</w:t>
      </w:r>
      <w:r w:rsidR="001B27CD">
        <w:rPr>
          <w:rFonts w:ascii="Arial" w:hAnsi="Arial" w:cs="Arial"/>
          <w:sz w:val="24"/>
          <w:szCs w:val="24"/>
        </w:rPr>
        <w:t xml:space="preserve">  It makes more sense that no relief is sought against the first respondent</w:t>
      </w:r>
      <w:r w:rsidR="00BB7A7A">
        <w:rPr>
          <w:rFonts w:ascii="Arial" w:hAnsi="Arial" w:cs="Arial"/>
          <w:sz w:val="24"/>
          <w:szCs w:val="24"/>
        </w:rPr>
        <w:t xml:space="preserve"> in this regard</w:t>
      </w:r>
      <w:r w:rsidR="001B27CD">
        <w:rPr>
          <w:rFonts w:ascii="Arial" w:hAnsi="Arial" w:cs="Arial"/>
          <w:sz w:val="24"/>
          <w:szCs w:val="24"/>
        </w:rPr>
        <w:t>.  The fourth respondent’s only signature meant that he signed the settlement agreement in his capacity as a surety.</w:t>
      </w:r>
    </w:p>
    <w:p w14:paraId="72039D76" w14:textId="15F95165" w:rsidR="000D7787" w:rsidRDefault="00A76795" w:rsidP="00D26909">
      <w:pPr>
        <w:spacing w:line="480" w:lineRule="auto"/>
        <w:jc w:val="both"/>
        <w:rPr>
          <w:rFonts w:ascii="Arial" w:hAnsi="Arial" w:cs="Arial"/>
          <w:sz w:val="24"/>
          <w:szCs w:val="24"/>
        </w:rPr>
      </w:pPr>
      <w:r>
        <w:rPr>
          <w:rFonts w:ascii="Arial" w:hAnsi="Arial" w:cs="Arial"/>
          <w:sz w:val="24"/>
          <w:szCs w:val="24"/>
        </w:rPr>
        <w:tab/>
      </w:r>
    </w:p>
    <w:p w14:paraId="42D20250" w14:textId="5BF30376" w:rsidR="00CC7B7B" w:rsidRDefault="002276E2" w:rsidP="00D26909">
      <w:pPr>
        <w:spacing w:line="480" w:lineRule="auto"/>
        <w:jc w:val="both"/>
        <w:rPr>
          <w:rFonts w:ascii="Arial" w:hAnsi="Arial" w:cs="Arial"/>
          <w:sz w:val="24"/>
          <w:szCs w:val="24"/>
        </w:rPr>
      </w:pPr>
      <w:r>
        <w:rPr>
          <w:rFonts w:ascii="Arial" w:hAnsi="Arial" w:cs="Arial"/>
          <w:sz w:val="24"/>
          <w:szCs w:val="24"/>
        </w:rPr>
        <w:t>[</w:t>
      </w:r>
      <w:r w:rsidR="001E7F96">
        <w:rPr>
          <w:rFonts w:ascii="Arial" w:hAnsi="Arial" w:cs="Arial"/>
          <w:sz w:val="24"/>
          <w:szCs w:val="24"/>
        </w:rPr>
        <w:t>2</w:t>
      </w:r>
      <w:r>
        <w:rPr>
          <w:rFonts w:ascii="Arial" w:hAnsi="Arial" w:cs="Arial"/>
          <w:sz w:val="24"/>
          <w:szCs w:val="24"/>
        </w:rPr>
        <w:t>1</w:t>
      </w:r>
      <w:r w:rsidR="000D7787">
        <w:rPr>
          <w:rFonts w:ascii="Arial" w:hAnsi="Arial" w:cs="Arial"/>
          <w:sz w:val="24"/>
          <w:szCs w:val="24"/>
        </w:rPr>
        <w:t>]</w:t>
      </w:r>
      <w:r w:rsidR="00CC7B7B">
        <w:rPr>
          <w:rFonts w:ascii="Arial" w:hAnsi="Arial" w:cs="Arial"/>
          <w:sz w:val="24"/>
          <w:szCs w:val="24"/>
        </w:rPr>
        <w:tab/>
        <w:t xml:space="preserve">On 22 February 2022, </w:t>
      </w:r>
      <w:r w:rsidR="008D1833">
        <w:rPr>
          <w:rFonts w:ascii="Arial" w:hAnsi="Arial" w:cs="Arial"/>
          <w:sz w:val="24"/>
          <w:szCs w:val="24"/>
        </w:rPr>
        <w:t>and on the same day</w:t>
      </w:r>
      <w:r w:rsidR="00BB7A7A">
        <w:rPr>
          <w:rFonts w:ascii="Arial" w:hAnsi="Arial" w:cs="Arial"/>
          <w:sz w:val="24"/>
          <w:szCs w:val="24"/>
        </w:rPr>
        <w:t xml:space="preserve"> he signed</w:t>
      </w:r>
      <w:r w:rsidR="008D1833">
        <w:rPr>
          <w:rFonts w:ascii="Arial" w:hAnsi="Arial" w:cs="Arial"/>
          <w:sz w:val="24"/>
          <w:szCs w:val="24"/>
        </w:rPr>
        <w:t xml:space="preserve"> the</w:t>
      </w:r>
      <w:r w:rsidR="00CC7B7B">
        <w:rPr>
          <w:rFonts w:ascii="Arial" w:hAnsi="Arial" w:cs="Arial"/>
          <w:sz w:val="24"/>
          <w:szCs w:val="24"/>
        </w:rPr>
        <w:t xml:space="preserve"> </w:t>
      </w:r>
      <w:r w:rsidR="008D1833">
        <w:rPr>
          <w:rFonts w:ascii="Arial" w:hAnsi="Arial" w:cs="Arial"/>
          <w:sz w:val="24"/>
          <w:szCs w:val="24"/>
        </w:rPr>
        <w:t>s</w:t>
      </w:r>
      <w:r w:rsidR="00CC7B7B">
        <w:rPr>
          <w:rFonts w:ascii="Arial" w:hAnsi="Arial" w:cs="Arial"/>
          <w:sz w:val="24"/>
          <w:szCs w:val="24"/>
        </w:rPr>
        <w:t xml:space="preserve">ettlement </w:t>
      </w:r>
      <w:r w:rsidR="008D1833">
        <w:rPr>
          <w:rFonts w:ascii="Arial" w:hAnsi="Arial" w:cs="Arial"/>
          <w:sz w:val="24"/>
          <w:szCs w:val="24"/>
        </w:rPr>
        <w:t>a</w:t>
      </w:r>
      <w:r w:rsidR="00BB7A7A">
        <w:rPr>
          <w:rFonts w:ascii="Arial" w:hAnsi="Arial" w:cs="Arial"/>
          <w:sz w:val="24"/>
          <w:szCs w:val="24"/>
        </w:rPr>
        <w:t>greement,</w:t>
      </w:r>
      <w:r w:rsidR="00CC7B7B">
        <w:rPr>
          <w:rFonts w:ascii="Arial" w:hAnsi="Arial" w:cs="Arial"/>
          <w:sz w:val="24"/>
          <w:szCs w:val="24"/>
        </w:rPr>
        <w:t xml:space="preserve"> Mr J A Coetsee who is the fourth respondent in these proceedings, forwarded a correspondence to the Auction House on the first respondent’s letterheads which read as follows:</w:t>
      </w:r>
    </w:p>
    <w:p w14:paraId="7A603602" w14:textId="77777777" w:rsidR="00CC7B7B" w:rsidRDefault="00CC7B7B" w:rsidP="00D26909">
      <w:pPr>
        <w:spacing w:line="480" w:lineRule="auto"/>
        <w:jc w:val="both"/>
        <w:rPr>
          <w:rFonts w:ascii="Arial" w:hAnsi="Arial" w:cs="Arial"/>
          <w:sz w:val="24"/>
          <w:szCs w:val="24"/>
        </w:rPr>
      </w:pPr>
    </w:p>
    <w:p w14:paraId="747CB10D" w14:textId="77777777" w:rsidR="00CC7B7B" w:rsidRDefault="00CC7B7B" w:rsidP="00D26909">
      <w:pPr>
        <w:spacing w:line="480" w:lineRule="auto"/>
        <w:jc w:val="both"/>
        <w:rPr>
          <w:rFonts w:ascii="Arial" w:hAnsi="Arial" w:cs="Arial"/>
          <w:i/>
          <w:sz w:val="24"/>
          <w:szCs w:val="24"/>
        </w:rPr>
      </w:pPr>
      <w:r>
        <w:rPr>
          <w:rFonts w:ascii="Arial" w:hAnsi="Arial" w:cs="Arial"/>
          <w:sz w:val="24"/>
          <w:szCs w:val="24"/>
        </w:rPr>
        <w:lastRenderedPageBreak/>
        <w:t>“</w:t>
      </w:r>
      <w:r>
        <w:rPr>
          <w:rFonts w:ascii="Arial" w:hAnsi="Arial" w:cs="Arial"/>
          <w:i/>
          <w:sz w:val="24"/>
          <w:szCs w:val="24"/>
        </w:rPr>
        <w:t>To whom it may Concern:</w:t>
      </w:r>
    </w:p>
    <w:p w14:paraId="23681B65" w14:textId="77777777" w:rsidR="004C055E" w:rsidRDefault="004C055E" w:rsidP="00D26909">
      <w:pPr>
        <w:spacing w:line="480" w:lineRule="auto"/>
        <w:jc w:val="both"/>
        <w:rPr>
          <w:rFonts w:ascii="Arial" w:hAnsi="Arial" w:cs="Arial"/>
          <w:i/>
          <w:sz w:val="24"/>
          <w:szCs w:val="24"/>
          <w:u w:val="single"/>
        </w:rPr>
      </w:pPr>
      <w:r>
        <w:rPr>
          <w:rFonts w:ascii="Arial" w:hAnsi="Arial" w:cs="Arial"/>
          <w:i/>
          <w:sz w:val="24"/>
          <w:szCs w:val="24"/>
          <w:u w:val="single"/>
        </w:rPr>
        <w:t>RE: MOVABLES AUCTION WITH MICHAEL JAMES ORGANISATION</w:t>
      </w:r>
    </w:p>
    <w:p w14:paraId="3C6A65E1" w14:textId="77777777" w:rsidR="004C055E" w:rsidRDefault="004C055E" w:rsidP="00D26909">
      <w:pPr>
        <w:spacing w:line="480" w:lineRule="auto"/>
        <w:jc w:val="both"/>
        <w:rPr>
          <w:rFonts w:ascii="Arial" w:hAnsi="Arial" w:cs="Arial"/>
          <w:i/>
          <w:sz w:val="24"/>
          <w:szCs w:val="24"/>
        </w:rPr>
      </w:pPr>
      <w:r>
        <w:rPr>
          <w:rFonts w:ascii="Arial" w:hAnsi="Arial" w:cs="Arial"/>
          <w:i/>
          <w:sz w:val="24"/>
          <w:szCs w:val="24"/>
        </w:rPr>
        <w:t>Dear Sir/Madam</w:t>
      </w:r>
    </w:p>
    <w:p w14:paraId="18FC3707" w14:textId="6ED40F10" w:rsidR="004C055E" w:rsidRDefault="004C055E" w:rsidP="00D26909">
      <w:pPr>
        <w:spacing w:line="480" w:lineRule="auto"/>
        <w:jc w:val="both"/>
        <w:rPr>
          <w:rFonts w:ascii="Arial" w:hAnsi="Arial" w:cs="Arial"/>
          <w:i/>
          <w:sz w:val="24"/>
          <w:szCs w:val="24"/>
        </w:rPr>
      </w:pPr>
      <w:r>
        <w:rPr>
          <w:rFonts w:ascii="Arial" w:hAnsi="Arial" w:cs="Arial"/>
          <w:i/>
          <w:sz w:val="24"/>
          <w:szCs w:val="24"/>
        </w:rPr>
        <w:t xml:space="preserve">Heat Pump International hereby authorises JA Coetsee, ID </w:t>
      </w:r>
      <w:r w:rsidR="008D1833">
        <w:rPr>
          <w:rFonts w:ascii="Arial" w:hAnsi="Arial" w:cs="Arial"/>
          <w:i/>
          <w:sz w:val="24"/>
          <w:szCs w:val="24"/>
        </w:rPr>
        <w:t>No: …</w:t>
      </w:r>
      <w:r>
        <w:rPr>
          <w:rFonts w:ascii="Arial" w:hAnsi="Arial" w:cs="Arial"/>
          <w:i/>
          <w:sz w:val="24"/>
          <w:szCs w:val="24"/>
        </w:rPr>
        <w:t>, to sell selected movable items on auction to be facilitated by Michael James Organisation.</w:t>
      </w:r>
    </w:p>
    <w:p w14:paraId="40CFB1BD" w14:textId="77777777" w:rsidR="004C055E" w:rsidRDefault="004C055E" w:rsidP="00D26909">
      <w:pPr>
        <w:spacing w:line="480" w:lineRule="auto"/>
        <w:jc w:val="both"/>
        <w:rPr>
          <w:rFonts w:ascii="Arial" w:hAnsi="Arial" w:cs="Arial"/>
          <w:i/>
          <w:sz w:val="24"/>
          <w:szCs w:val="24"/>
        </w:rPr>
      </w:pPr>
      <w:r>
        <w:rPr>
          <w:rFonts w:ascii="Arial" w:hAnsi="Arial" w:cs="Arial"/>
          <w:i/>
          <w:sz w:val="24"/>
          <w:szCs w:val="24"/>
        </w:rPr>
        <w:t>Said auction is planned for the 8</w:t>
      </w:r>
      <w:r w:rsidRPr="004C055E">
        <w:rPr>
          <w:rFonts w:ascii="Arial" w:hAnsi="Arial" w:cs="Arial"/>
          <w:i/>
          <w:sz w:val="24"/>
          <w:szCs w:val="24"/>
          <w:vertAlign w:val="superscript"/>
        </w:rPr>
        <w:t>th</w:t>
      </w:r>
      <w:r>
        <w:rPr>
          <w:rFonts w:ascii="Arial" w:hAnsi="Arial" w:cs="Arial"/>
          <w:i/>
          <w:sz w:val="24"/>
          <w:szCs w:val="24"/>
        </w:rPr>
        <w:t xml:space="preserve"> of March 2022.</w:t>
      </w:r>
    </w:p>
    <w:p w14:paraId="366E559E" w14:textId="77777777" w:rsidR="004C055E" w:rsidRDefault="004C055E" w:rsidP="00D26909">
      <w:pPr>
        <w:spacing w:line="480" w:lineRule="auto"/>
        <w:jc w:val="both"/>
        <w:rPr>
          <w:rFonts w:ascii="Arial" w:hAnsi="Arial" w:cs="Arial"/>
          <w:i/>
          <w:sz w:val="24"/>
          <w:szCs w:val="24"/>
        </w:rPr>
      </w:pPr>
      <w:r>
        <w:rPr>
          <w:rFonts w:ascii="Arial" w:hAnsi="Arial" w:cs="Arial"/>
          <w:i/>
          <w:sz w:val="24"/>
          <w:szCs w:val="24"/>
        </w:rPr>
        <w:t>Auction will be onsite at 46 Manhattan rd, Airport Industries (sic).</w:t>
      </w:r>
    </w:p>
    <w:p w14:paraId="289CF332" w14:textId="77777777" w:rsidR="004C055E" w:rsidRDefault="004C055E" w:rsidP="00D26909">
      <w:pPr>
        <w:spacing w:line="480" w:lineRule="auto"/>
        <w:jc w:val="both"/>
        <w:rPr>
          <w:rFonts w:ascii="Arial" w:hAnsi="Arial" w:cs="Arial"/>
          <w:i/>
          <w:sz w:val="24"/>
          <w:szCs w:val="24"/>
        </w:rPr>
      </w:pPr>
      <w:r>
        <w:rPr>
          <w:rFonts w:ascii="Arial" w:hAnsi="Arial" w:cs="Arial"/>
          <w:i/>
          <w:sz w:val="24"/>
          <w:szCs w:val="24"/>
        </w:rPr>
        <w:t>Best Regards</w:t>
      </w:r>
    </w:p>
    <w:p w14:paraId="1040F2B5" w14:textId="77777777" w:rsidR="004C055E" w:rsidRDefault="004C055E" w:rsidP="00D26909">
      <w:pPr>
        <w:spacing w:line="480" w:lineRule="auto"/>
        <w:jc w:val="both"/>
        <w:rPr>
          <w:rFonts w:ascii="Arial" w:hAnsi="Arial" w:cs="Arial"/>
          <w:sz w:val="24"/>
          <w:szCs w:val="24"/>
        </w:rPr>
      </w:pPr>
      <w:r>
        <w:rPr>
          <w:rFonts w:ascii="Arial" w:hAnsi="Arial" w:cs="Arial"/>
          <w:i/>
          <w:sz w:val="24"/>
          <w:szCs w:val="24"/>
        </w:rPr>
        <w:t>JA Coetsee</w:t>
      </w:r>
      <w:r>
        <w:rPr>
          <w:rFonts w:ascii="Arial" w:hAnsi="Arial" w:cs="Arial"/>
          <w:sz w:val="24"/>
          <w:szCs w:val="24"/>
        </w:rPr>
        <w:t>”</w:t>
      </w:r>
    </w:p>
    <w:p w14:paraId="30042F8D" w14:textId="77777777" w:rsidR="004C055E" w:rsidRDefault="004C055E" w:rsidP="00D26909">
      <w:pPr>
        <w:spacing w:line="480" w:lineRule="auto"/>
        <w:jc w:val="both"/>
        <w:rPr>
          <w:rFonts w:ascii="Arial" w:hAnsi="Arial" w:cs="Arial"/>
          <w:sz w:val="24"/>
          <w:szCs w:val="24"/>
        </w:rPr>
      </w:pPr>
    </w:p>
    <w:p w14:paraId="0233692A" w14:textId="29077D0F" w:rsidR="00AD0B54" w:rsidRPr="00FE094C" w:rsidRDefault="001E7F96" w:rsidP="00D26909">
      <w:pPr>
        <w:spacing w:line="480" w:lineRule="auto"/>
        <w:jc w:val="both"/>
        <w:rPr>
          <w:rFonts w:ascii="Arial" w:hAnsi="Arial" w:cs="Arial"/>
          <w:sz w:val="24"/>
          <w:szCs w:val="24"/>
        </w:rPr>
      </w:pPr>
      <w:r>
        <w:rPr>
          <w:rFonts w:ascii="Arial" w:hAnsi="Arial" w:cs="Arial"/>
          <w:sz w:val="24"/>
          <w:szCs w:val="24"/>
        </w:rPr>
        <w:t>[22</w:t>
      </w:r>
      <w:r w:rsidR="008D1833">
        <w:rPr>
          <w:rFonts w:ascii="Arial" w:hAnsi="Arial" w:cs="Arial"/>
          <w:sz w:val="24"/>
          <w:szCs w:val="24"/>
        </w:rPr>
        <w:t>]</w:t>
      </w:r>
      <w:r w:rsidR="008D1833">
        <w:rPr>
          <w:rFonts w:ascii="Arial" w:hAnsi="Arial" w:cs="Arial"/>
          <w:sz w:val="24"/>
          <w:szCs w:val="24"/>
        </w:rPr>
        <w:tab/>
      </w:r>
      <w:r w:rsidR="004C055E">
        <w:rPr>
          <w:rFonts w:ascii="Arial" w:hAnsi="Arial" w:cs="Arial"/>
          <w:sz w:val="24"/>
          <w:szCs w:val="24"/>
        </w:rPr>
        <w:t>This correspondence in effect</w:t>
      </w:r>
      <w:r w:rsidR="008D1833">
        <w:rPr>
          <w:rFonts w:ascii="Arial" w:hAnsi="Arial" w:cs="Arial"/>
          <w:sz w:val="24"/>
          <w:szCs w:val="24"/>
        </w:rPr>
        <w:t xml:space="preserve"> stated that the first respondent</w:t>
      </w:r>
      <w:r w:rsidR="004C055E">
        <w:rPr>
          <w:rFonts w:ascii="Arial" w:hAnsi="Arial" w:cs="Arial"/>
          <w:sz w:val="24"/>
          <w:szCs w:val="24"/>
        </w:rPr>
        <w:t xml:space="preserve"> </w:t>
      </w:r>
      <w:r w:rsidR="008D1833">
        <w:rPr>
          <w:rFonts w:ascii="Arial" w:hAnsi="Arial" w:cs="Arial"/>
          <w:sz w:val="24"/>
          <w:szCs w:val="24"/>
        </w:rPr>
        <w:t xml:space="preserve">has authorised the fourth respondent to </w:t>
      </w:r>
      <w:r w:rsidR="004C055E">
        <w:rPr>
          <w:rFonts w:ascii="Arial" w:hAnsi="Arial" w:cs="Arial"/>
          <w:sz w:val="24"/>
          <w:szCs w:val="24"/>
        </w:rPr>
        <w:t>g</w:t>
      </w:r>
      <w:r w:rsidR="008D1833">
        <w:rPr>
          <w:rFonts w:ascii="Arial" w:hAnsi="Arial" w:cs="Arial"/>
          <w:sz w:val="24"/>
          <w:szCs w:val="24"/>
        </w:rPr>
        <w:t>i</w:t>
      </w:r>
      <w:r w:rsidR="004C055E">
        <w:rPr>
          <w:rFonts w:ascii="Arial" w:hAnsi="Arial" w:cs="Arial"/>
          <w:sz w:val="24"/>
          <w:szCs w:val="24"/>
        </w:rPr>
        <w:t>ve instructions to the Auction House to facilitate the sale of the identified assets</w:t>
      </w:r>
      <w:r w:rsidR="008D1833">
        <w:rPr>
          <w:rFonts w:ascii="Arial" w:hAnsi="Arial" w:cs="Arial"/>
          <w:sz w:val="24"/>
          <w:szCs w:val="24"/>
        </w:rPr>
        <w:t xml:space="preserve"> at its business premises</w:t>
      </w:r>
      <w:r w:rsidR="004C055E">
        <w:rPr>
          <w:rFonts w:ascii="Arial" w:hAnsi="Arial" w:cs="Arial"/>
          <w:sz w:val="24"/>
          <w:szCs w:val="24"/>
        </w:rPr>
        <w:t>.</w:t>
      </w:r>
      <w:r w:rsidR="008D1833">
        <w:rPr>
          <w:rFonts w:ascii="Arial" w:hAnsi="Arial" w:cs="Arial"/>
          <w:sz w:val="24"/>
          <w:szCs w:val="24"/>
        </w:rPr>
        <w:t xml:space="preserve">  </w:t>
      </w:r>
      <w:r w:rsidR="004C055E">
        <w:rPr>
          <w:rFonts w:ascii="Arial" w:hAnsi="Arial" w:cs="Arial"/>
          <w:sz w:val="24"/>
          <w:szCs w:val="24"/>
        </w:rPr>
        <w:t>The fourth respondent caused this correspondence to be dispatched to the Auction House after the Sheriff: Goodwood, F Van Greunen issued a “</w:t>
      </w:r>
      <w:r w:rsidR="004C055E">
        <w:rPr>
          <w:rFonts w:ascii="Arial" w:hAnsi="Arial" w:cs="Arial"/>
          <w:i/>
          <w:sz w:val="24"/>
          <w:szCs w:val="24"/>
        </w:rPr>
        <w:t>Notice of Attachment in Execution</w:t>
      </w:r>
      <w:r w:rsidR="008D1833">
        <w:rPr>
          <w:rFonts w:ascii="Arial" w:hAnsi="Arial" w:cs="Arial"/>
          <w:sz w:val="24"/>
          <w:szCs w:val="24"/>
        </w:rPr>
        <w:t xml:space="preserve">” dated 19 January </w:t>
      </w:r>
      <w:r w:rsidR="004C055E">
        <w:rPr>
          <w:rFonts w:ascii="Arial" w:hAnsi="Arial" w:cs="Arial"/>
          <w:sz w:val="24"/>
          <w:szCs w:val="24"/>
        </w:rPr>
        <w:t xml:space="preserve">2022 under Case No: </w:t>
      </w:r>
      <w:r w:rsidR="009525F9">
        <w:rPr>
          <w:rFonts w:ascii="Arial" w:hAnsi="Arial" w:cs="Arial"/>
          <w:sz w:val="24"/>
          <w:szCs w:val="24"/>
        </w:rPr>
        <w:t>RCC:</w:t>
      </w:r>
      <w:r w:rsidR="004C055E">
        <w:rPr>
          <w:rFonts w:ascii="Arial" w:hAnsi="Arial" w:cs="Arial"/>
          <w:sz w:val="24"/>
          <w:szCs w:val="24"/>
        </w:rPr>
        <w:t xml:space="preserve"> CT</w:t>
      </w:r>
      <w:r w:rsidR="008D1833">
        <w:rPr>
          <w:rFonts w:ascii="Arial" w:hAnsi="Arial" w:cs="Arial"/>
          <w:sz w:val="24"/>
          <w:szCs w:val="24"/>
        </w:rPr>
        <w:t xml:space="preserve"> </w:t>
      </w:r>
      <w:r w:rsidR="004C055E">
        <w:rPr>
          <w:rFonts w:ascii="Arial" w:hAnsi="Arial" w:cs="Arial"/>
          <w:sz w:val="24"/>
          <w:szCs w:val="24"/>
        </w:rPr>
        <w:t xml:space="preserve">35/2022, Between </w:t>
      </w:r>
      <w:r w:rsidR="004C055E" w:rsidRPr="00BB7A7A">
        <w:rPr>
          <w:rFonts w:ascii="Arial" w:hAnsi="Arial" w:cs="Arial"/>
          <w:i/>
          <w:sz w:val="24"/>
          <w:szCs w:val="24"/>
        </w:rPr>
        <w:t>David N McMurray, Stephen E Davison NO</w:t>
      </w:r>
      <w:r w:rsidR="004C055E">
        <w:rPr>
          <w:rFonts w:ascii="Arial" w:hAnsi="Arial" w:cs="Arial"/>
          <w:sz w:val="24"/>
          <w:szCs w:val="24"/>
        </w:rPr>
        <w:t xml:space="preserve"> </w:t>
      </w:r>
      <w:r w:rsidR="004C055E" w:rsidRPr="00BB7A7A">
        <w:rPr>
          <w:rFonts w:ascii="Arial" w:hAnsi="Arial" w:cs="Arial"/>
          <w:i/>
          <w:sz w:val="24"/>
          <w:szCs w:val="24"/>
        </w:rPr>
        <w:t>(Plaintiffs), And Heat Pump International (Pty) Ltd (De</w:t>
      </w:r>
      <w:r w:rsidR="004C055E" w:rsidRPr="009525F9">
        <w:rPr>
          <w:rFonts w:ascii="Arial" w:hAnsi="Arial" w:cs="Arial"/>
          <w:i/>
          <w:sz w:val="24"/>
          <w:szCs w:val="24"/>
        </w:rPr>
        <w:t>fendant)</w:t>
      </w:r>
      <w:r w:rsidR="001240DD">
        <w:rPr>
          <w:rFonts w:ascii="Arial" w:hAnsi="Arial" w:cs="Arial"/>
          <w:i/>
          <w:sz w:val="24"/>
          <w:szCs w:val="24"/>
        </w:rPr>
        <w:t>:</w:t>
      </w:r>
      <w:r w:rsidR="004C055E">
        <w:rPr>
          <w:rFonts w:ascii="Arial" w:hAnsi="Arial" w:cs="Arial"/>
          <w:sz w:val="24"/>
          <w:szCs w:val="24"/>
        </w:rPr>
        <w:t xml:space="preserve">  To </w:t>
      </w:r>
      <w:r w:rsidR="004C055E" w:rsidRPr="00BB7A7A">
        <w:rPr>
          <w:rFonts w:ascii="Arial" w:hAnsi="Arial" w:cs="Arial"/>
          <w:i/>
          <w:sz w:val="24"/>
          <w:szCs w:val="24"/>
        </w:rPr>
        <w:t xml:space="preserve">Heat Pump International (Pty) Ltd </w:t>
      </w:r>
      <w:r w:rsidR="004C055E" w:rsidRPr="009525F9">
        <w:rPr>
          <w:rFonts w:ascii="Arial" w:hAnsi="Arial" w:cs="Arial"/>
          <w:i/>
          <w:sz w:val="24"/>
          <w:szCs w:val="24"/>
        </w:rPr>
        <w:t>(Judgment Debtor)</w:t>
      </w:r>
      <w:r w:rsidR="001240DD">
        <w:rPr>
          <w:rFonts w:ascii="Arial" w:hAnsi="Arial" w:cs="Arial"/>
          <w:sz w:val="24"/>
          <w:szCs w:val="24"/>
        </w:rPr>
        <w:t xml:space="preserve"> pursuant to the issue and service of summons </w:t>
      </w:r>
      <w:r w:rsidR="00912C42">
        <w:rPr>
          <w:rFonts w:ascii="Arial" w:hAnsi="Arial" w:cs="Arial"/>
          <w:sz w:val="24"/>
          <w:szCs w:val="24"/>
        </w:rPr>
        <w:t>in which</w:t>
      </w:r>
      <w:r w:rsidR="001240DD">
        <w:rPr>
          <w:rFonts w:ascii="Arial" w:hAnsi="Arial" w:cs="Arial"/>
          <w:sz w:val="24"/>
          <w:szCs w:val="24"/>
        </w:rPr>
        <w:t xml:space="preserve"> an automatic rent interdict</w:t>
      </w:r>
      <w:r w:rsidR="00912C42">
        <w:rPr>
          <w:rFonts w:ascii="Arial" w:hAnsi="Arial" w:cs="Arial"/>
          <w:sz w:val="24"/>
          <w:szCs w:val="24"/>
        </w:rPr>
        <w:t xml:space="preserve"> was included</w:t>
      </w:r>
      <w:r w:rsidR="004C055E" w:rsidRPr="009525F9">
        <w:rPr>
          <w:rFonts w:ascii="Arial" w:hAnsi="Arial" w:cs="Arial"/>
          <w:i/>
          <w:sz w:val="24"/>
          <w:szCs w:val="24"/>
        </w:rPr>
        <w:t>.</w:t>
      </w:r>
      <w:r w:rsidR="004C055E">
        <w:rPr>
          <w:rFonts w:ascii="Arial" w:hAnsi="Arial" w:cs="Arial"/>
          <w:sz w:val="24"/>
          <w:szCs w:val="24"/>
        </w:rPr>
        <w:t xml:space="preserve">  The movable assets </w:t>
      </w:r>
      <w:r w:rsidR="007F2F93">
        <w:rPr>
          <w:rFonts w:ascii="Arial" w:hAnsi="Arial" w:cs="Arial"/>
          <w:sz w:val="24"/>
          <w:szCs w:val="24"/>
        </w:rPr>
        <w:t>that were under judicial attachment were itemised in an inventory which was made</w:t>
      </w:r>
      <w:r w:rsidR="00793044">
        <w:rPr>
          <w:rFonts w:ascii="Arial" w:hAnsi="Arial" w:cs="Arial"/>
          <w:sz w:val="24"/>
          <w:szCs w:val="24"/>
        </w:rPr>
        <w:t xml:space="preserve"> at </w:t>
      </w:r>
      <w:r w:rsidR="00912C42">
        <w:rPr>
          <w:rFonts w:ascii="Arial" w:hAnsi="Arial" w:cs="Arial"/>
          <w:sz w:val="24"/>
          <w:szCs w:val="24"/>
        </w:rPr>
        <w:t xml:space="preserve">the first respondent’s business premises at </w:t>
      </w:r>
      <w:r w:rsidR="00793044">
        <w:rPr>
          <w:rFonts w:ascii="Arial" w:hAnsi="Arial" w:cs="Arial"/>
          <w:sz w:val="24"/>
          <w:szCs w:val="24"/>
        </w:rPr>
        <w:t>Airport Industria.</w:t>
      </w:r>
      <w:r w:rsidR="00793044">
        <w:rPr>
          <w:rStyle w:val="FootnoteReference"/>
          <w:rFonts w:ascii="Arial" w:hAnsi="Arial" w:cs="Arial"/>
          <w:sz w:val="24"/>
          <w:szCs w:val="24"/>
        </w:rPr>
        <w:footnoteReference w:id="11"/>
      </w:r>
      <w:r w:rsidR="007F2F93">
        <w:rPr>
          <w:rFonts w:ascii="Arial" w:hAnsi="Arial" w:cs="Arial"/>
          <w:sz w:val="24"/>
          <w:szCs w:val="24"/>
        </w:rPr>
        <w:t xml:space="preserve"> </w:t>
      </w:r>
      <w:r w:rsidR="00AD0B54">
        <w:rPr>
          <w:rFonts w:ascii="Arial" w:hAnsi="Arial" w:cs="Arial"/>
          <w:sz w:val="24"/>
          <w:szCs w:val="24"/>
        </w:rPr>
        <w:tab/>
      </w:r>
      <w:r w:rsidR="009525F9">
        <w:rPr>
          <w:rFonts w:ascii="Arial" w:hAnsi="Arial" w:cs="Arial"/>
          <w:sz w:val="24"/>
          <w:szCs w:val="24"/>
        </w:rPr>
        <w:t xml:space="preserve">There is no mention of the fourth respondent as the defendant, judgment debtor and / or as surety in </w:t>
      </w:r>
      <w:r w:rsidR="0035414A">
        <w:rPr>
          <w:rFonts w:ascii="Arial" w:hAnsi="Arial" w:cs="Arial"/>
          <w:sz w:val="24"/>
          <w:szCs w:val="24"/>
        </w:rPr>
        <w:t>the “</w:t>
      </w:r>
      <w:r w:rsidR="009525F9">
        <w:rPr>
          <w:rFonts w:ascii="Arial" w:hAnsi="Arial" w:cs="Arial"/>
          <w:i/>
          <w:sz w:val="24"/>
          <w:szCs w:val="24"/>
        </w:rPr>
        <w:t>Notice of Attachment in Execution</w:t>
      </w:r>
      <w:r w:rsidR="009525F9">
        <w:rPr>
          <w:rFonts w:ascii="Arial" w:hAnsi="Arial" w:cs="Arial"/>
          <w:sz w:val="24"/>
          <w:szCs w:val="24"/>
        </w:rPr>
        <w:t>”. The allegations that the attached movable assets belonged to the fou</w:t>
      </w:r>
      <w:r w:rsidR="0071287D">
        <w:rPr>
          <w:rFonts w:ascii="Arial" w:hAnsi="Arial" w:cs="Arial"/>
          <w:sz w:val="24"/>
          <w:szCs w:val="24"/>
        </w:rPr>
        <w:t>rth respondent are unsupported and deceptive</w:t>
      </w:r>
      <w:r w:rsidR="00BB7A7A">
        <w:rPr>
          <w:rFonts w:ascii="Arial" w:hAnsi="Arial" w:cs="Arial"/>
          <w:sz w:val="24"/>
          <w:szCs w:val="24"/>
        </w:rPr>
        <w:t xml:space="preserve"> to say the least</w:t>
      </w:r>
      <w:r w:rsidR="0071287D">
        <w:rPr>
          <w:rFonts w:ascii="Arial" w:hAnsi="Arial" w:cs="Arial"/>
          <w:sz w:val="24"/>
          <w:szCs w:val="24"/>
        </w:rPr>
        <w:t>.</w:t>
      </w:r>
    </w:p>
    <w:p w14:paraId="1B20AA57" w14:textId="171500EC" w:rsidR="00815EC9" w:rsidRDefault="001E7F96" w:rsidP="004C5B6B">
      <w:pPr>
        <w:spacing w:line="480" w:lineRule="auto"/>
        <w:jc w:val="both"/>
        <w:rPr>
          <w:rFonts w:ascii="Arial" w:hAnsi="Arial" w:cs="Arial"/>
          <w:sz w:val="24"/>
          <w:szCs w:val="24"/>
        </w:rPr>
      </w:pPr>
      <w:r>
        <w:rPr>
          <w:rFonts w:ascii="Arial" w:hAnsi="Arial" w:cs="Arial"/>
          <w:sz w:val="24"/>
          <w:szCs w:val="24"/>
        </w:rPr>
        <w:lastRenderedPageBreak/>
        <w:t>[23</w:t>
      </w:r>
      <w:r w:rsidR="000D7787">
        <w:rPr>
          <w:rFonts w:ascii="Arial" w:hAnsi="Arial" w:cs="Arial"/>
          <w:sz w:val="24"/>
          <w:szCs w:val="24"/>
        </w:rPr>
        <w:t>]</w:t>
      </w:r>
      <w:r w:rsidR="00793044">
        <w:rPr>
          <w:rFonts w:ascii="Arial" w:hAnsi="Arial" w:cs="Arial"/>
          <w:sz w:val="24"/>
          <w:szCs w:val="24"/>
        </w:rPr>
        <w:tab/>
        <w:t>In a letter dated 13 April 2022 from the Trust attorneys</w:t>
      </w:r>
      <w:r w:rsidR="00CD77D5">
        <w:rPr>
          <w:rFonts w:ascii="Arial" w:hAnsi="Arial" w:cs="Arial"/>
          <w:sz w:val="24"/>
          <w:szCs w:val="24"/>
        </w:rPr>
        <w:t xml:space="preserve"> </w:t>
      </w:r>
      <w:r w:rsidR="00815EC9">
        <w:rPr>
          <w:rFonts w:ascii="Arial" w:hAnsi="Arial" w:cs="Arial"/>
          <w:sz w:val="24"/>
          <w:szCs w:val="24"/>
        </w:rPr>
        <w:t xml:space="preserve">to first </w:t>
      </w:r>
      <w:r w:rsidR="00C971F3">
        <w:rPr>
          <w:rFonts w:ascii="Arial" w:hAnsi="Arial" w:cs="Arial"/>
          <w:sz w:val="24"/>
          <w:szCs w:val="24"/>
        </w:rPr>
        <w:t>and</w:t>
      </w:r>
      <w:r w:rsidR="00815EC9">
        <w:rPr>
          <w:rFonts w:ascii="Arial" w:hAnsi="Arial" w:cs="Arial"/>
          <w:sz w:val="24"/>
          <w:szCs w:val="24"/>
        </w:rPr>
        <w:t xml:space="preserve"> third respondents’ attorney, the following could be deduced:</w:t>
      </w:r>
    </w:p>
    <w:p w14:paraId="1BFAACAE" w14:textId="37572127" w:rsidR="007B1853" w:rsidRDefault="007B1853" w:rsidP="004C5B6B">
      <w:pPr>
        <w:spacing w:line="480" w:lineRule="auto"/>
        <w:jc w:val="both"/>
        <w:rPr>
          <w:rFonts w:ascii="Arial" w:hAnsi="Arial" w:cs="Arial"/>
          <w:sz w:val="24"/>
          <w:szCs w:val="24"/>
        </w:rPr>
      </w:pPr>
    </w:p>
    <w:p w14:paraId="28DA645B" w14:textId="77777777" w:rsidR="007B1853" w:rsidRDefault="007B1853" w:rsidP="007B1853">
      <w:pPr>
        <w:spacing w:line="480" w:lineRule="auto"/>
        <w:rPr>
          <w:rFonts w:ascii="Arial" w:hAnsi="Arial" w:cs="Arial"/>
          <w:i/>
          <w:sz w:val="24"/>
          <w:szCs w:val="24"/>
        </w:rPr>
      </w:pPr>
      <w:r>
        <w:rPr>
          <w:rFonts w:ascii="Arial" w:hAnsi="Arial" w:cs="Arial"/>
          <w:sz w:val="24"/>
          <w:szCs w:val="24"/>
        </w:rPr>
        <w:tab/>
      </w:r>
      <w:r w:rsidRPr="005D5709">
        <w:rPr>
          <w:rFonts w:ascii="Arial" w:hAnsi="Arial" w:cs="Arial"/>
          <w:sz w:val="24"/>
          <w:szCs w:val="24"/>
        </w:rPr>
        <w:t>“</w:t>
      </w:r>
      <w:r w:rsidRPr="005D5709">
        <w:rPr>
          <w:rFonts w:ascii="Arial" w:hAnsi="Arial" w:cs="Arial"/>
          <w:i/>
          <w:sz w:val="24"/>
          <w:szCs w:val="24"/>
        </w:rPr>
        <w:t>We are instructed to record as follows:</w:t>
      </w:r>
    </w:p>
    <w:p w14:paraId="5D48B253" w14:textId="101F6EC3" w:rsidR="007B1853" w:rsidRDefault="007B1853" w:rsidP="007B1853">
      <w:pPr>
        <w:pStyle w:val="ListParagraph"/>
        <w:numPr>
          <w:ilvl w:val="0"/>
          <w:numId w:val="46"/>
        </w:numPr>
        <w:spacing w:line="480" w:lineRule="auto"/>
        <w:rPr>
          <w:rFonts w:ascii="Arial" w:hAnsi="Arial" w:cs="Arial"/>
          <w:i/>
          <w:sz w:val="24"/>
          <w:szCs w:val="24"/>
        </w:rPr>
      </w:pPr>
      <w:r>
        <w:rPr>
          <w:rFonts w:ascii="Arial" w:hAnsi="Arial" w:cs="Arial"/>
          <w:i/>
          <w:sz w:val="24"/>
          <w:szCs w:val="24"/>
        </w:rPr>
        <w:t>Our client has a claim again</w:t>
      </w:r>
      <w:r w:rsidR="00FA3EE5">
        <w:rPr>
          <w:rFonts w:ascii="Arial" w:hAnsi="Arial" w:cs="Arial"/>
          <w:i/>
          <w:sz w:val="24"/>
          <w:szCs w:val="24"/>
        </w:rPr>
        <w:t>st</w:t>
      </w:r>
      <w:r>
        <w:rPr>
          <w:rFonts w:ascii="Arial" w:hAnsi="Arial" w:cs="Arial"/>
          <w:i/>
          <w:sz w:val="24"/>
          <w:szCs w:val="24"/>
        </w:rPr>
        <w:t xml:space="preserve"> Heat Pump International (Pty) Ltd in regards to arrear rental pursuant to the agreement of lease signed on 25 March 2021.</w:t>
      </w:r>
    </w:p>
    <w:p w14:paraId="48EE0DFE" w14:textId="015AD32F" w:rsidR="007B1853" w:rsidRDefault="007B1853" w:rsidP="007B1853">
      <w:pPr>
        <w:pStyle w:val="ListParagraph"/>
        <w:numPr>
          <w:ilvl w:val="0"/>
          <w:numId w:val="46"/>
        </w:numPr>
        <w:spacing w:line="480" w:lineRule="auto"/>
        <w:rPr>
          <w:rFonts w:ascii="Arial" w:hAnsi="Arial" w:cs="Arial"/>
          <w:i/>
          <w:sz w:val="24"/>
          <w:szCs w:val="24"/>
        </w:rPr>
      </w:pPr>
      <w:r>
        <w:rPr>
          <w:rFonts w:ascii="Arial" w:hAnsi="Arial" w:cs="Arial"/>
          <w:i/>
          <w:sz w:val="24"/>
          <w:szCs w:val="24"/>
        </w:rPr>
        <w:t xml:space="preserve">Our client’s landlord’s hypothec in the amount of R535 137.08, as proved in the court order dated 1 March 2022 is preferential and was perfected by attachment of </w:t>
      </w:r>
      <w:r w:rsidR="00614E3C">
        <w:rPr>
          <w:rFonts w:ascii="Arial" w:hAnsi="Arial" w:cs="Arial"/>
          <w:i/>
          <w:sz w:val="24"/>
          <w:szCs w:val="24"/>
        </w:rPr>
        <w:t>movables</w:t>
      </w:r>
      <w:r>
        <w:rPr>
          <w:rFonts w:ascii="Arial" w:hAnsi="Arial" w:cs="Arial"/>
          <w:i/>
          <w:sz w:val="24"/>
          <w:szCs w:val="24"/>
        </w:rPr>
        <w:t xml:space="preserve"> on the leased premises on 19 January 2022.</w:t>
      </w:r>
    </w:p>
    <w:p w14:paraId="6F9B9C11" w14:textId="47AD33BD" w:rsidR="007B1853" w:rsidRPr="005D5709" w:rsidRDefault="007B1853" w:rsidP="007B1853">
      <w:pPr>
        <w:pStyle w:val="ListParagraph"/>
        <w:numPr>
          <w:ilvl w:val="0"/>
          <w:numId w:val="46"/>
        </w:numPr>
        <w:spacing w:line="480" w:lineRule="auto"/>
        <w:rPr>
          <w:rFonts w:ascii="Arial" w:hAnsi="Arial" w:cs="Arial"/>
          <w:i/>
          <w:sz w:val="24"/>
          <w:szCs w:val="24"/>
        </w:rPr>
      </w:pPr>
      <w:r>
        <w:rPr>
          <w:rFonts w:ascii="Arial" w:hAnsi="Arial" w:cs="Arial"/>
          <w:i/>
          <w:sz w:val="24"/>
          <w:szCs w:val="24"/>
        </w:rPr>
        <w:t>Our client is therefore a preferent creditor of Heat Pump International (Pty) Ltd.</w:t>
      </w:r>
      <w:r>
        <w:rPr>
          <w:rFonts w:ascii="Arial" w:hAnsi="Arial" w:cs="Arial"/>
          <w:sz w:val="24"/>
          <w:szCs w:val="24"/>
        </w:rPr>
        <w:t>”</w:t>
      </w:r>
      <w:r>
        <w:rPr>
          <w:rStyle w:val="FootnoteReference"/>
          <w:rFonts w:ascii="Arial" w:hAnsi="Arial" w:cs="Arial"/>
          <w:sz w:val="24"/>
          <w:szCs w:val="24"/>
        </w:rPr>
        <w:footnoteReference w:id="12"/>
      </w:r>
    </w:p>
    <w:p w14:paraId="594FBC46" w14:textId="77777777" w:rsidR="00614E3C" w:rsidRDefault="00614E3C" w:rsidP="00D26909">
      <w:pPr>
        <w:spacing w:line="480" w:lineRule="auto"/>
        <w:jc w:val="both"/>
        <w:rPr>
          <w:rFonts w:ascii="Arial" w:hAnsi="Arial" w:cs="Arial"/>
          <w:sz w:val="24"/>
          <w:szCs w:val="24"/>
        </w:rPr>
      </w:pPr>
    </w:p>
    <w:p w14:paraId="629C510D" w14:textId="07ED5865" w:rsidR="004C5B6B" w:rsidRDefault="001E7F96" w:rsidP="00D26909">
      <w:pPr>
        <w:spacing w:line="480" w:lineRule="auto"/>
        <w:jc w:val="both"/>
        <w:rPr>
          <w:rFonts w:ascii="Arial" w:hAnsi="Arial" w:cs="Arial"/>
          <w:sz w:val="24"/>
          <w:szCs w:val="24"/>
        </w:rPr>
      </w:pPr>
      <w:r>
        <w:rPr>
          <w:rFonts w:ascii="Arial" w:hAnsi="Arial" w:cs="Arial"/>
          <w:sz w:val="24"/>
          <w:szCs w:val="24"/>
        </w:rPr>
        <w:t>[24</w:t>
      </w:r>
      <w:r w:rsidR="004C5B6B">
        <w:rPr>
          <w:rFonts w:ascii="Arial" w:hAnsi="Arial" w:cs="Arial"/>
          <w:sz w:val="24"/>
          <w:szCs w:val="24"/>
        </w:rPr>
        <w:t>]</w:t>
      </w:r>
      <w:r w:rsidR="00BB7A7A">
        <w:rPr>
          <w:rFonts w:ascii="Arial" w:hAnsi="Arial" w:cs="Arial"/>
          <w:sz w:val="24"/>
          <w:szCs w:val="24"/>
        </w:rPr>
        <w:tab/>
        <w:t>In this correspondence, t</w:t>
      </w:r>
      <w:r w:rsidR="001D3F8B">
        <w:rPr>
          <w:rFonts w:ascii="Arial" w:hAnsi="Arial" w:cs="Arial"/>
          <w:sz w:val="24"/>
          <w:szCs w:val="24"/>
        </w:rPr>
        <w:t xml:space="preserve">he Trust </w:t>
      </w:r>
      <w:r w:rsidR="0071287D">
        <w:rPr>
          <w:rFonts w:ascii="Arial" w:hAnsi="Arial" w:cs="Arial"/>
          <w:sz w:val="24"/>
          <w:szCs w:val="24"/>
        </w:rPr>
        <w:t xml:space="preserve">was unwavering that its claim was against the first respondent and the attached goods was for the perfection of the landlord’s hypothec.  The Trust </w:t>
      </w:r>
      <w:r w:rsidR="001D3F8B">
        <w:rPr>
          <w:rFonts w:ascii="Arial" w:hAnsi="Arial" w:cs="Arial"/>
          <w:sz w:val="24"/>
          <w:szCs w:val="24"/>
        </w:rPr>
        <w:t>argued that this Court should not concern</w:t>
      </w:r>
      <w:r w:rsidR="00614E3C">
        <w:rPr>
          <w:rFonts w:ascii="Arial" w:hAnsi="Arial" w:cs="Arial"/>
          <w:sz w:val="24"/>
          <w:szCs w:val="24"/>
        </w:rPr>
        <w:t xml:space="preserve"> itself about the ownership of the movable assets that were sold on auction as this is not the point for determination in these proceedings.  The Trust’s submission in this regard is </w:t>
      </w:r>
      <w:r w:rsidR="00FA3EE5">
        <w:rPr>
          <w:rFonts w:ascii="Arial" w:hAnsi="Arial" w:cs="Arial"/>
          <w:sz w:val="24"/>
          <w:szCs w:val="24"/>
        </w:rPr>
        <w:t>indecorous</w:t>
      </w:r>
      <w:r w:rsidR="00614E3C">
        <w:rPr>
          <w:rFonts w:ascii="Arial" w:hAnsi="Arial" w:cs="Arial"/>
          <w:sz w:val="24"/>
          <w:szCs w:val="24"/>
        </w:rPr>
        <w:t xml:space="preserve"> and/or </w:t>
      </w:r>
      <w:r w:rsidR="00FA3EE5">
        <w:rPr>
          <w:rFonts w:ascii="Arial" w:hAnsi="Arial" w:cs="Arial"/>
          <w:sz w:val="24"/>
          <w:szCs w:val="24"/>
        </w:rPr>
        <w:t>inapt</w:t>
      </w:r>
      <w:r w:rsidR="00614E3C">
        <w:rPr>
          <w:rFonts w:ascii="Arial" w:hAnsi="Arial" w:cs="Arial"/>
          <w:sz w:val="24"/>
          <w:szCs w:val="24"/>
        </w:rPr>
        <w:t xml:space="preserve"> </w:t>
      </w:r>
      <w:r w:rsidR="00BB7A7A">
        <w:rPr>
          <w:rFonts w:ascii="Arial" w:hAnsi="Arial" w:cs="Arial"/>
          <w:sz w:val="24"/>
          <w:szCs w:val="24"/>
        </w:rPr>
        <w:t xml:space="preserve">with the greatest of respect, </w:t>
      </w:r>
      <w:r w:rsidR="00614E3C">
        <w:rPr>
          <w:rFonts w:ascii="Arial" w:hAnsi="Arial" w:cs="Arial"/>
          <w:sz w:val="24"/>
          <w:szCs w:val="24"/>
        </w:rPr>
        <w:t>as t</w:t>
      </w:r>
      <w:r w:rsidR="00FA3EE5">
        <w:rPr>
          <w:rFonts w:ascii="Arial" w:hAnsi="Arial" w:cs="Arial"/>
          <w:sz w:val="24"/>
          <w:szCs w:val="24"/>
        </w:rPr>
        <w:t>his Court cannot interpret the s</w:t>
      </w:r>
      <w:r w:rsidR="00614E3C">
        <w:rPr>
          <w:rFonts w:ascii="Arial" w:hAnsi="Arial" w:cs="Arial"/>
          <w:sz w:val="24"/>
          <w:szCs w:val="24"/>
        </w:rPr>
        <w:t xml:space="preserve">ettlement </w:t>
      </w:r>
      <w:r w:rsidR="00FA3EE5">
        <w:rPr>
          <w:rFonts w:ascii="Arial" w:hAnsi="Arial" w:cs="Arial"/>
          <w:sz w:val="24"/>
          <w:szCs w:val="24"/>
        </w:rPr>
        <w:t xml:space="preserve">agreement in </w:t>
      </w:r>
      <w:r w:rsidR="00BB7A7A">
        <w:rPr>
          <w:rFonts w:ascii="Arial" w:hAnsi="Arial" w:cs="Arial"/>
          <w:sz w:val="24"/>
          <w:szCs w:val="24"/>
        </w:rPr>
        <w:t xml:space="preserve">isolation or </w:t>
      </w:r>
      <w:r w:rsidR="00FA3EE5">
        <w:rPr>
          <w:rFonts w:ascii="Arial" w:hAnsi="Arial" w:cs="Arial"/>
          <w:sz w:val="24"/>
          <w:szCs w:val="24"/>
        </w:rPr>
        <w:t>exclusion of the ownership of the movable assets which appears to be a sweltering issue.</w:t>
      </w:r>
      <w:r w:rsidR="00BB7A7A">
        <w:rPr>
          <w:rFonts w:ascii="Arial" w:hAnsi="Arial" w:cs="Arial"/>
          <w:sz w:val="24"/>
          <w:szCs w:val="24"/>
        </w:rPr>
        <w:t xml:space="preserve">  The proceeds that are currently disputed were derived from these movable assets.</w:t>
      </w:r>
      <w:r w:rsidR="00FA3EE5">
        <w:rPr>
          <w:rFonts w:ascii="Arial" w:hAnsi="Arial" w:cs="Arial"/>
          <w:sz w:val="24"/>
          <w:szCs w:val="24"/>
        </w:rPr>
        <w:t xml:space="preserve"> </w:t>
      </w:r>
      <w:r w:rsidR="008835F4">
        <w:rPr>
          <w:rFonts w:ascii="Arial" w:hAnsi="Arial" w:cs="Arial"/>
          <w:sz w:val="24"/>
          <w:szCs w:val="24"/>
        </w:rPr>
        <w:t>The evidence on record points out to the fact that the</w:t>
      </w:r>
      <w:r w:rsidR="00526B0F">
        <w:rPr>
          <w:rFonts w:ascii="Arial" w:hAnsi="Arial" w:cs="Arial"/>
          <w:sz w:val="24"/>
          <w:szCs w:val="24"/>
        </w:rPr>
        <w:t xml:space="preserve"> attached</w:t>
      </w:r>
      <w:r w:rsidR="008835F4">
        <w:rPr>
          <w:rFonts w:ascii="Arial" w:hAnsi="Arial" w:cs="Arial"/>
          <w:sz w:val="24"/>
          <w:szCs w:val="24"/>
        </w:rPr>
        <w:t xml:space="preserve"> movable assets</w:t>
      </w:r>
      <w:r w:rsidR="00526B0F">
        <w:rPr>
          <w:rFonts w:ascii="Arial" w:hAnsi="Arial" w:cs="Arial"/>
          <w:sz w:val="24"/>
          <w:szCs w:val="24"/>
        </w:rPr>
        <w:t xml:space="preserve"> on 19 January 2022</w:t>
      </w:r>
      <w:r w:rsidR="008835F4">
        <w:rPr>
          <w:rFonts w:ascii="Arial" w:hAnsi="Arial" w:cs="Arial"/>
          <w:sz w:val="24"/>
          <w:szCs w:val="24"/>
        </w:rPr>
        <w:t xml:space="preserve"> belonged to the first respondent, and </w:t>
      </w:r>
      <w:r w:rsidR="00526B0F">
        <w:rPr>
          <w:rFonts w:ascii="Arial" w:hAnsi="Arial" w:cs="Arial"/>
          <w:sz w:val="24"/>
          <w:szCs w:val="24"/>
        </w:rPr>
        <w:t>s</w:t>
      </w:r>
      <w:r w:rsidR="008835F4">
        <w:rPr>
          <w:rFonts w:ascii="Arial" w:hAnsi="Arial" w:cs="Arial"/>
          <w:sz w:val="24"/>
          <w:szCs w:val="24"/>
        </w:rPr>
        <w:t xml:space="preserve">o its proceeds.  </w:t>
      </w:r>
      <w:r w:rsidR="00526B0F">
        <w:rPr>
          <w:rFonts w:ascii="Arial" w:hAnsi="Arial" w:cs="Arial"/>
          <w:sz w:val="24"/>
          <w:szCs w:val="24"/>
        </w:rPr>
        <w:t xml:space="preserve">The fact that the fourth respondent appended his signature in a settlement agreement, committing assets that had nothing to do with him, obviously his actions in that regard </w:t>
      </w:r>
      <w:r w:rsidR="00526B0F">
        <w:rPr>
          <w:rFonts w:ascii="Arial" w:hAnsi="Arial" w:cs="Arial"/>
          <w:sz w:val="24"/>
          <w:szCs w:val="24"/>
        </w:rPr>
        <w:lastRenderedPageBreak/>
        <w:t xml:space="preserve">have no legal effect.  </w:t>
      </w:r>
      <w:r w:rsidR="00BB7A7A">
        <w:rPr>
          <w:rFonts w:ascii="Arial" w:hAnsi="Arial" w:cs="Arial"/>
          <w:sz w:val="24"/>
          <w:szCs w:val="24"/>
        </w:rPr>
        <w:t>Plainly</w:t>
      </w:r>
      <w:r w:rsidR="008835F4">
        <w:rPr>
          <w:rFonts w:ascii="Arial" w:hAnsi="Arial" w:cs="Arial"/>
          <w:sz w:val="24"/>
          <w:szCs w:val="24"/>
        </w:rPr>
        <w:t>, the fourth respondent did not have authority to bind the first respondent in that agreement</w:t>
      </w:r>
      <w:r w:rsidR="00840937">
        <w:rPr>
          <w:rFonts w:ascii="Arial" w:hAnsi="Arial" w:cs="Arial"/>
          <w:sz w:val="24"/>
          <w:szCs w:val="24"/>
        </w:rPr>
        <w:t>.</w:t>
      </w:r>
      <w:r w:rsidR="00F32871">
        <w:rPr>
          <w:rFonts w:ascii="Arial" w:hAnsi="Arial" w:cs="Arial"/>
          <w:sz w:val="24"/>
          <w:szCs w:val="24"/>
        </w:rPr>
        <w:t xml:space="preserve">  He perfectly knew that the first respondent was wound up at that time. </w:t>
      </w:r>
      <w:r w:rsidR="00FA3EE5">
        <w:rPr>
          <w:rFonts w:ascii="Arial" w:hAnsi="Arial" w:cs="Arial"/>
          <w:sz w:val="24"/>
          <w:szCs w:val="24"/>
        </w:rPr>
        <w:t xml:space="preserve"> </w:t>
      </w:r>
      <w:r w:rsidR="008835F4">
        <w:rPr>
          <w:rFonts w:ascii="Arial" w:hAnsi="Arial" w:cs="Arial"/>
          <w:sz w:val="24"/>
          <w:szCs w:val="24"/>
        </w:rPr>
        <w:t>If by</w:t>
      </w:r>
      <w:r w:rsidR="00840937">
        <w:rPr>
          <w:rFonts w:ascii="Arial" w:hAnsi="Arial" w:cs="Arial"/>
          <w:sz w:val="24"/>
          <w:szCs w:val="24"/>
        </w:rPr>
        <w:t xml:space="preserve"> any chance, by</w:t>
      </w:r>
      <w:r w:rsidR="008835F4">
        <w:rPr>
          <w:rFonts w:ascii="Arial" w:hAnsi="Arial" w:cs="Arial"/>
          <w:sz w:val="24"/>
          <w:szCs w:val="24"/>
        </w:rPr>
        <w:t xml:space="preserve"> signing the settlement agreement, he meant to bind and commit his personal property, that is not supported </w:t>
      </w:r>
      <w:r w:rsidR="001240DD">
        <w:rPr>
          <w:rFonts w:ascii="Arial" w:hAnsi="Arial" w:cs="Arial"/>
          <w:sz w:val="24"/>
          <w:szCs w:val="24"/>
        </w:rPr>
        <w:t>by</w:t>
      </w:r>
      <w:r w:rsidR="00840937">
        <w:rPr>
          <w:rFonts w:ascii="Arial" w:hAnsi="Arial" w:cs="Arial"/>
          <w:sz w:val="24"/>
          <w:szCs w:val="24"/>
        </w:rPr>
        <w:t xml:space="preserve"> the terms of the agreement and or evidence for that matter</w:t>
      </w:r>
      <w:r w:rsidR="001240DD">
        <w:rPr>
          <w:rFonts w:ascii="Arial" w:hAnsi="Arial" w:cs="Arial"/>
          <w:sz w:val="24"/>
          <w:szCs w:val="24"/>
        </w:rPr>
        <w:t>.</w:t>
      </w:r>
    </w:p>
    <w:p w14:paraId="6B82F144" w14:textId="77777777" w:rsidR="004C5B6B" w:rsidRDefault="004C5B6B" w:rsidP="00D26909">
      <w:pPr>
        <w:spacing w:line="480" w:lineRule="auto"/>
        <w:jc w:val="both"/>
        <w:rPr>
          <w:rFonts w:ascii="Arial" w:hAnsi="Arial" w:cs="Arial"/>
          <w:sz w:val="24"/>
          <w:szCs w:val="24"/>
        </w:rPr>
      </w:pPr>
    </w:p>
    <w:p w14:paraId="6FB96100" w14:textId="4278EED5" w:rsidR="007E6BFC" w:rsidRDefault="002276E2" w:rsidP="004C5B6B">
      <w:pPr>
        <w:spacing w:line="480" w:lineRule="auto"/>
        <w:jc w:val="both"/>
        <w:rPr>
          <w:rFonts w:ascii="Arial" w:hAnsi="Arial" w:cs="Arial"/>
          <w:sz w:val="24"/>
          <w:szCs w:val="24"/>
        </w:rPr>
      </w:pPr>
      <w:r>
        <w:rPr>
          <w:rFonts w:ascii="Arial" w:hAnsi="Arial" w:cs="Arial"/>
          <w:sz w:val="24"/>
          <w:szCs w:val="24"/>
        </w:rPr>
        <w:t>[2</w:t>
      </w:r>
      <w:r w:rsidR="001E7F96">
        <w:rPr>
          <w:rFonts w:ascii="Arial" w:hAnsi="Arial" w:cs="Arial"/>
          <w:sz w:val="24"/>
          <w:szCs w:val="24"/>
        </w:rPr>
        <w:t>5</w:t>
      </w:r>
      <w:r w:rsidR="000D7787">
        <w:rPr>
          <w:rFonts w:ascii="Arial" w:hAnsi="Arial" w:cs="Arial"/>
          <w:sz w:val="24"/>
          <w:szCs w:val="24"/>
        </w:rPr>
        <w:t>]</w:t>
      </w:r>
      <w:r w:rsidR="00614E3C">
        <w:rPr>
          <w:rFonts w:ascii="Arial" w:hAnsi="Arial" w:cs="Arial"/>
          <w:sz w:val="24"/>
          <w:szCs w:val="24"/>
        </w:rPr>
        <w:tab/>
        <w:t xml:space="preserve">In </w:t>
      </w:r>
      <w:r w:rsidR="00614E3C">
        <w:rPr>
          <w:rFonts w:ascii="Arial" w:hAnsi="Arial" w:cs="Arial"/>
          <w:i/>
          <w:sz w:val="24"/>
          <w:szCs w:val="24"/>
        </w:rPr>
        <w:t>Natal Joint Municipal Pension Fund v E</w:t>
      </w:r>
      <w:r w:rsidR="0026424A">
        <w:rPr>
          <w:rFonts w:ascii="Arial" w:hAnsi="Arial" w:cs="Arial"/>
          <w:i/>
          <w:sz w:val="24"/>
          <w:szCs w:val="24"/>
        </w:rPr>
        <w:t>n</w:t>
      </w:r>
      <w:r w:rsidR="00614E3C">
        <w:rPr>
          <w:rFonts w:ascii="Arial" w:hAnsi="Arial" w:cs="Arial"/>
          <w:i/>
          <w:sz w:val="24"/>
          <w:szCs w:val="24"/>
        </w:rPr>
        <w:t>dumeni Municipality,</w:t>
      </w:r>
      <w:r w:rsidR="00614E3C">
        <w:rPr>
          <w:rStyle w:val="FootnoteReference"/>
          <w:rFonts w:ascii="Arial" w:hAnsi="Arial" w:cs="Arial"/>
          <w:i/>
          <w:sz w:val="24"/>
          <w:szCs w:val="24"/>
        </w:rPr>
        <w:footnoteReference w:id="13"/>
      </w:r>
      <w:r w:rsidR="007E6BFC">
        <w:rPr>
          <w:rFonts w:ascii="Arial" w:hAnsi="Arial" w:cs="Arial"/>
          <w:i/>
          <w:sz w:val="24"/>
          <w:szCs w:val="24"/>
        </w:rPr>
        <w:t xml:space="preserve"> </w:t>
      </w:r>
      <w:r w:rsidR="007E6BFC">
        <w:rPr>
          <w:rFonts w:ascii="Arial" w:hAnsi="Arial" w:cs="Arial"/>
          <w:sz w:val="24"/>
          <w:szCs w:val="24"/>
        </w:rPr>
        <w:t>Wallis JA stated:</w:t>
      </w:r>
    </w:p>
    <w:p w14:paraId="2EE02844" w14:textId="77777777" w:rsidR="007E6BFC" w:rsidRDefault="007E6BFC" w:rsidP="004C5B6B">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E7C5F20" w14:textId="77777777" w:rsidR="007E6BFC" w:rsidRDefault="007E6BFC" w:rsidP="004C5B6B">
      <w:pPr>
        <w:spacing w:line="480" w:lineRule="auto"/>
        <w:jc w:val="both"/>
        <w:rPr>
          <w:rFonts w:ascii="Arial" w:hAnsi="Arial" w:cs="Arial"/>
          <w:i/>
          <w:sz w:val="24"/>
          <w:szCs w:val="24"/>
        </w:rPr>
      </w:pPr>
      <w:r>
        <w:rPr>
          <w:rFonts w:ascii="Arial" w:hAnsi="Arial" w:cs="Arial"/>
          <w:sz w:val="24"/>
          <w:szCs w:val="24"/>
        </w:rPr>
        <w:tab/>
        <w:t>“</w:t>
      </w:r>
      <w:r>
        <w:rPr>
          <w:rFonts w:ascii="Arial" w:hAnsi="Arial" w:cs="Arial"/>
          <w:i/>
          <w:sz w:val="24"/>
          <w:szCs w:val="24"/>
        </w:rPr>
        <w:t>[T]he present state of the law can be expressed as follows:</w:t>
      </w:r>
    </w:p>
    <w:p w14:paraId="57C77DB8" w14:textId="5785081C" w:rsidR="00F40092" w:rsidRDefault="007E6BFC" w:rsidP="007E6BFC">
      <w:pPr>
        <w:spacing w:line="480" w:lineRule="auto"/>
        <w:ind w:left="720"/>
        <w:jc w:val="both"/>
        <w:rPr>
          <w:rFonts w:ascii="Arial" w:hAnsi="Arial" w:cs="Arial"/>
          <w:sz w:val="24"/>
          <w:szCs w:val="24"/>
        </w:rPr>
      </w:pPr>
      <w:r>
        <w:rPr>
          <w:rFonts w:ascii="Arial" w:hAnsi="Arial" w:cs="Arial"/>
          <w:i/>
          <w:sz w:val="24"/>
          <w:szCs w:val="24"/>
        </w:rPr>
        <w:t>Interpretation is the process of attributing meaning to the words used in a document, be it</w:t>
      </w:r>
      <w:r w:rsidR="005E4233">
        <w:rPr>
          <w:rFonts w:ascii="Arial" w:hAnsi="Arial" w:cs="Arial"/>
          <w:i/>
          <w:sz w:val="24"/>
          <w:szCs w:val="24"/>
        </w:rPr>
        <w:t xml:space="preserve"> legislation, some other statutory instrument or contract, having regard to the context provided by reading the particular provision or provisions in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  The process is objective not subjective.  A sensible meaning is to be preferred to one</w:t>
      </w:r>
      <w:r w:rsidR="00C33FC5">
        <w:rPr>
          <w:rFonts w:ascii="Arial" w:hAnsi="Arial" w:cs="Arial"/>
          <w:i/>
          <w:sz w:val="24"/>
          <w:szCs w:val="24"/>
        </w:rPr>
        <w:t xml:space="preserve"> that leads to insensible or unbusinesslike results or undermines the apparent purpose of the document …  The “inevitable point of departure is the language of the provision itself,” read in context and having regard to the purpose of the provision and the background to the preparation and production of the document.</w:t>
      </w:r>
      <w:r w:rsidR="00C33FC5">
        <w:rPr>
          <w:rFonts w:ascii="Arial" w:hAnsi="Arial" w:cs="Arial"/>
          <w:sz w:val="24"/>
          <w:szCs w:val="24"/>
        </w:rPr>
        <w:t>” (Citations omitted)</w:t>
      </w:r>
      <w:r>
        <w:rPr>
          <w:rFonts w:ascii="Arial" w:hAnsi="Arial" w:cs="Arial"/>
          <w:i/>
          <w:sz w:val="24"/>
          <w:szCs w:val="24"/>
        </w:rPr>
        <w:t xml:space="preserve"> </w:t>
      </w:r>
      <w:r w:rsidR="00F40092">
        <w:rPr>
          <w:rFonts w:ascii="Arial" w:hAnsi="Arial" w:cs="Arial"/>
          <w:sz w:val="24"/>
          <w:szCs w:val="24"/>
        </w:rPr>
        <w:tab/>
      </w:r>
    </w:p>
    <w:p w14:paraId="5EF63080" w14:textId="6CC9E423" w:rsidR="00BA0C5D" w:rsidRDefault="00BA0C5D" w:rsidP="007E6BFC">
      <w:pPr>
        <w:spacing w:line="480" w:lineRule="auto"/>
        <w:ind w:left="720"/>
        <w:jc w:val="both"/>
        <w:rPr>
          <w:rFonts w:ascii="Arial" w:hAnsi="Arial" w:cs="Arial"/>
          <w:i/>
          <w:sz w:val="24"/>
          <w:szCs w:val="24"/>
        </w:rPr>
      </w:pPr>
    </w:p>
    <w:p w14:paraId="7DC71AE0" w14:textId="1D71A3F0" w:rsidR="00AF4227" w:rsidRDefault="00F32871" w:rsidP="00D26909">
      <w:pPr>
        <w:spacing w:line="480" w:lineRule="auto"/>
        <w:jc w:val="both"/>
        <w:rPr>
          <w:rFonts w:ascii="Arial" w:hAnsi="Arial" w:cs="Arial"/>
          <w:sz w:val="24"/>
          <w:szCs w:val="24"/>
        </w:rPr>
      </w:pPr>
      <w:r>
        <w:rPr>
          <w:rFonts w:ascii="Arial" w:hAnsi="Arial" w:cs="Arial"/>
          <w:sz w:val="24"/>
          <w:szCs w:val="24"/>
        </w:rPr>
        <w:lastRenderedPageBreak/>
        <w:t xml:space="preserve"> </w:t>
      </w:r>
      <w:r w:rsidR="002276E2">
        <w:rPr>
          <w:rFonts w:ascii="Arial" w:hAnsi="Arial" w:cs="Arial"/>
          <w:sz w:val="24"/>
          <w:szCs w:val="24"/>
        </w:rPr>
        <w:t>[2</w:t>
      </w:r>
      <w:r w:rsidR="003C66BC">
        <w:rPr>
          <w:rFonts w:ascii="Arial" w:hAnsi="Arial" w:cs="Arial"/>
          <w:sz w:val="24"/>
          <w:szCs w:val="24"/>
        </w:rPr>
        <w:t>6</w:t>
      </w:r>
      <w:r w:rsidR="000D7787">
        <w:rPr>
          <w:rFonts w:ascii="Arial" w:hAnsi="Arial" w:cs="Arial"/>
          <w:sz w:val="24"/>
          <w:szCs w:val="24"/>
        </w:rPr>
        <w:t>]</w:t>
      </w:r>
      <w:r w:rsidR="00C33FC5">
        <w:rPr>
          <w:rFonts w:ascii="Arial" w:hAnsi="Arial" w:cs="Arial"/>
          <w:sz w:val="24"/>
          <w:szCs w:val="24"/>
        </w:rPr>
        <w:tab/>
      </w:r>
      <w:r w:rsidR="001240DD">
        <w:rPr>
          <w:rFonts w:ascii="Arial" w:hAnsi="Arial" w:cs="Arial"/>
          <w:sz w:val="24"/>
          <w:szCs w:val="24"/>
        </w:rPr>
        <w:t xml:space="preserve">Put simply, </w:t>
      </w:r>
      <w:r w:rsidR="00912C42">
        <w:rPr>
          <w:rFonts w:ascii="Arial" w:hAnsi="Arial" w:cs="Arial"/>
          <w:sz w:val="24"/>
          <w:szCs w:val="24"/>
        </w:rPr>
        <w:t>t</w:t>
      </w:r>
      <w:r w:rsidR="00C33FC5">
        <w:rPr>
          <w:rFonts w:ascii="Arial" w:hAnsi="Arial" w:cs="Arial"/>
          <w:sz w:val="24"/>
          <w:szCs w:val="24"/>
        </w:rPr>
        <w:t>he c</w:t>
      </w:r>
      <w:r w:rsidR="001240DD">
        <w:rPr>
          <w:rFonts w:ascii="Arial" w:hAnsi="Arial" w:cs="Arial"/>
          <w:sz w:val="24"/>
          <w:szCs w:val="24"/>
        </w:rPr>
        <w:t>ircumstances attended upon the settlement a</w:t>
      </w:r>
      <w:r w:rsidR="00C33FC5">
        <w:rPr>
          <w:rFonts w:ascii="Arial" w:hAnsi="Arial" w:cs="Arial"/>
          <w:sz w:val="24"/>
          <w:szCs w:val="24"/>
        </w:rPr>
        <w:t>g</w:t>
      </w:r>
      <w:r>
        <w:rPr>
          <w:rFonts w:ascii="Arial" w:hAnsi="Arial" w:cs="Arial"/>
          <w:sz w:val="24"/>
          <w:szCs w:val="24"/>
        </w:rPr>
        <w:t>reement coming into existence are</w:t>
      </w:r>
      <w:r w:rsidR="00C33FC5">
        <w:rPr>
          <w:rFonts w:ascii="Arial" w:hAnsi="Arial" w:cs="Arial"/>
          <w:sz w:val="24"/>
          <w:szCs w:val="24"/>
        </w:rPr>
        <w:t xml:space="preserve"> the summons issued by the Trust on 17 January 2022 against the first and the fourth respondents which included an automatic rent interdict </w:t>
      </w:r>
      <w:r w:rsidR="00912C42">
        <w:rPr>
          <w:rFonts w:ascii="Arial" w:hAnsi="Arial" w:cs="Arial"/>
          <w:sz w:val="24"/>
          <w:szCs w:val="24"/>
        </w:rPr>
        <w:t>out of the Regional Court</w:t>
      </w:r>
      <w:r w:rsidR="00C33FC5">
        <w:rPr>
          <w:rFonts w:ascii="Arial" w:hAnsi="Arial" w:cs="Arial"/>
          <w:sz w:val="24"/>
          <w:szCs w:val="24"/>
        </w:rPr>
        <w:t xml:space="preserve">.  On 19 January 2022, the first respondent’s movable items as evidenced in the Notice of Attachment in Execution were placed under judicial attachment.  On 22 February 2022, the fourth respondent caused a correspondence to be dispatched to the Auction House stating that he was authorised by the first respondent to </w:t>
      </w:r>
      <w:r w:rsidR="00C971F3">
        <w:rPr>
          <w:rFonts w:ascii="Arial" w:hAnsi="Arial" w:cs="Arial"/>
          <w:sz w:val="24"/>
          <w:szCs w:val="24"/>
        </w:rPr>
        <w:t xml:space="preserve">sell the </w:t>
      </w:r>
      <w:r w:rsidR="00C33FC5">
        <w:rPr>
          <w:rFonts w:ascii="Arial" w:hAnsi="Arial" w:cs="Arial"/>
          <w:sz w:val="24"/>
          <w:szCs w:val="24"/>
        </w:rPr>
        <w:t>selected items on auction.  On the same day (22 February 2022), the</w:t>
      </w:r>
      <w:r w:rsidR="00BA0C5D">
        <w:rPr>
          <w:rFonts w:ascii="Arial" w:hAnsi="Arial" w:cs="Arial"/>
          <w:sz w:val="24"/>
          <w:szCs w:val="24"/>
        </w:rPr>
        <w:t xml:space="preserve"> fourth respondent concluded a settlement a</w:t>
      </w:r>
      <w:r w:rsidR="00C33FC5">
        <w:rPr>
          <w:rFonts w:ascii="Arial" w:hAnsi="Arial" w:cs="Arial"/>
          <w:sz w:val="24"/>
          <w:szCs w:val="24"/>
        </w:rPr>
        <w:t>greement on his behalf, the terms of which Michael James was to be appointed to attend to the</w:t>
      </w:r>
      <w:r w:rsidR="00912C42">
        <w:rPr>
          <w:rFonts w:ascii="Arial" w:hAnsi="Arial" w:cs="Arial"/>
          <w:sz w:val="24"/>
          <w:szCs w:val="24"/>
        </w:rPr>
        <w:t xml:space="preserve"> sale on</w:t>
      </w:r>
      <w:r w:rsidR="00C33FC5">
        <w:rPr>
          <w:rFonts w:ascii="Arial" w:hAnsi="Arial" w:cs="Arial"/>
          <w:sz w:val="24"/>
          <w:szCs w:val="24"/>
        </w:rPr>
        <w:t xml:space="preserve"> auction of movable assets currently in the premises.</w:t>
      </w:r>
      <w:r w:rsidR="00912C42">
        <w:rPr>
          <w:rFonts w:ascii="Arial" w:hAnsi="Arial" w:cs="Arial"/>
          <w:sz w:val="24"/>
          <w:szCs w:val="24"/>
        </w:rPr>
        <w:t xml:space="preserve">  The fourth respondent</w:t>
      </w:r>
      <w:r w:rsidR="00C971F3">
        <w:rPr>
          <w:rFonts w:ascii="Arial" w:hAnsi="Arial" w:cs="Arial"/>
          <w:sz w:val="24"/>
          <w:szCs w:val="24"/>
        </w:rPr>
        <w:t>,</w:t>
      </w:r>
      <w:r w:rsidR="007160ED">
        <w:rPr>
          <w:rFonts w:ascii="Arial" w:hAnsi="Arial" w:cs="Arial"/>
          <w:sz w:val="24"/>
          <w:szCs w:val="24"/>
        </w:rPr>
        <w:t xml:space="preserve"> on that same significant day, </w:t>
      </w:r>
      <w:r w:rsidR="00912C42">
        <w:rPr>
          <w:rFonts w:ascii="Arial" w:hAnsi="Arial" w:cs="Arial"/>
          <w:sz w:val="24"/>
          <w:szCs w:val="24"/>
        </w:rPr>
        <w:t>knew that those assets d</w:t>
      </w:r>
      <w:r w:rsidR="007160ED">
        <w:rPr>
          <w:rFonts w:ascii="Arial" w:hAnsi="Arial" w:cs="Arial"/>
          <w:sz w:val="24"/>
          <w:szCs w:val="24"/>
        </w:rPr>
        <w:t>id</w:t>
      </w:r>
      <w:r w:rsidR="00912C42">
        <w:rPr>
          <w:rFonts w:ascii="Arial" w:hAnsi="Arial" w:cs="Arial"/>
          <w:sz w:val="24"/>
          <w:szCs w:val="24"/>
        </w:rPr>
        <w:t xml:space="preserve"> not belong to him.</w:t>
      </w:r>
      <w:r w:rsidR="00AF4227">
        <w:rPr>
          <w:rFonts w:ascii="Arial" w:hAnsi="Arial" w:cs="Arial"/>
          <w:sz w:val="24"/>
          <w:szCs w:val="24"/>
        </w:rPr>
        <w:tab/>
      </w:r>
    </w:p>
    <w:p w14:paraId="36390A43" w14:textId="6B61D23A" w:rsidR="000D7787" w:rsidRDefault="000D7787" w:rsidP="00D26909">
      <w:pPr>
        <w:spacing w:line="480" w:lineRule="auto"/>
        <w:jc w:val="both"/>
        <w:rPr>
          <w:rFonts w:ascii="Arial" w:hAnsi="Arial" w:cs="Arial"/>
          <w:sz w:val="24"/>
          <w:szCs w:val="24"/>
        </w:rPr>
      </w:pPr>
    </w:p>
    <w:p w14:paraId="205FB855" w14:textId="569C0C22" w:rsidR="00E07CE1" w:rsidRDefault="002276E2" w:rsidP="00D26909">
      <w:pPr>
        <w:spacing w:line="480" w:lineRule="auto"/>
        <w:jc w:val="both"/>
        <w:rPr>
          <w:rFonts w:ascii="Arial" w:hAnsi="Arial" w:cs="Arial"/>
          <w:sz w:val="24"/>
          <w:szCs w:val="24"/>
        </w:rPr>
      </w:pPr>
      <w:r>
        <w:rPr>
          <w:rFonts w:ascii="Arial" w:hAnsi="Arial" w:cs="Arial"/>
          <w:sz w:val="24"/>
          <w:szCs w:val="24"/>
        </w:rPr>
        <w:t>[2</w:t>
      </w:r>
      <w:r w:rsidR="003C66BC">
        <w:rPr>
          <w:rFonts w:ascii="Arial" w:hAnsi="Arial" w:cs="Arial"/>
          <w:sz w:val="24"/>
          <w:szCs w:val="24"/>
        </w:rPr>
        <w:t>7</w:t>
      </w:r>
      <w:r w:rsidR="000D7787">
        <w:rPr>
          <w:rFonts w:ascii="Arial" w:hAnsi="Arial" w:cs="Arial"/>
          <w:sz w:val="24"/>
          <w:szCs w:val="24"/>
        </w:rPr>
        <w:t>]</w:t>
      </w:r>
      <w:r w:rsidR="00F32871">
        <w:rPr>
          <w:rFonts w:ascii="Arial" w:hAnsi="Arial" w:cs="Arial"/>
          <w:sz w:val="24"/>
          <w:szCs w:val="24"/>
        </w:rPr>
        <w:tab/>
        <w:t>The Trust</w:t>
      </w:r>
      <w:r w:rsidR="00C33FC5">
        <w:rPr>
          <w:rFonts w:ascii="Arial" w:hAnsi="Arial" w:cs="Arial"/>
          <w:sz w:val="24"/>
          <w:szCs w:val="24"/>
        </w:rPr>
        <w:t xml:space="preserve"> contended that the </w:t>
      </w:r>
      <w:r w:rsidR="00C33FC5" w:rsidRPr="00F32871">
        <w:rPr>
          <w:rFonts w:ascii="Arial" w:hAnsi="Arial" w:cs="Arial"/>
          <w:b/>
          <w:sz w:val="24"/>
          <w:szCs w:val="24"/>
        </w:rPr>
        <w:t>term</w:t>
      </w:r>
      <w:r w:rsidR="00912C42" w:rsidRPr="00F32871">
        <w:rPr>
          <w:rFonts w:ascii="Arial" w:hAnsi="Arial" w:cs="Arial"/>
          <w:b/>
          <w:sz w:val="24"/>
          <w:szCs w:val="24"/>
        </w:rPr>
        <w:t>s</w:t>
      </w:r>
      <w:r w:rsidR="00912C42">
        <w:rPr>
          <w:rFonts w:ascii="Arial" w:hAnsi="Arial" w:cs="Arial"/>
          <w:sz w:val="24"/>
          <w:szCs w:val="24"/>
        </w:rPr>
        <w:t xml:space="preserve"> of the s</w:t>
      </w:r>
      <w:r w:rsidR="00C33FC5">
        <w:rPr>
          <w:rFonts w:ascii="Arial" w:hAnsi="Arial" w:cs="Arial"/>
          <w:sz w:val="24"/>
          <w:szCs w:val="24"/>
        </w:rPr>
        <w:t xml:space="preserve">ettlement </w:t>
      </w:r>
      <w:r w:rsidR="00912C42">
        <w:rPr>
          <w:rFonts w:ascii="Arial" w:hAnsi="Arial" w:cs="Arial"/>
          <w:sz w:val="24"/>
          <w:szCs w:val="24"/>
        </w:rPr>
        <w:t>a</w:t>
      </w:r>
      <w:r w:rsidR="00C33FC5">
        <w:rPr>
          <w:rFonts w:ascii="Arial" w:hAnsi="Arial" w:cs="Arial"/>
          <w:sz w:val="24"/>
          <w:szCs w:val="24"/>
        </w:rPr>
        <w:t>greement are binding in as far as the fourth respondent is concerned.  The fourth respondent stood surety for the first respondent when the lease agreement was concluded</w:t>
      </w:r>
      <w:r w:rsidR="00F32871">
        <w:rPr>
          <w:rFonts w:ascii="Arial" w:hAnsi="Arial" w:cs="Arial"/>
          <w:sz w:val="24"/>
          <w:szCs w:val="24"/>
        </w:rPr>
        <w:t>, and</w:t>
      </w:r>
      <w:r w:rsidR="00C33FC5">
        <w:rPr>
          <w:rFonts w:ascii="Arial" w:hAnsi="Arial" w:cs="Arial"/>
          <w:sz w:val="24"/>
          <w:szCs w:val="24"/>
        </w:rPr>
        <w:t xml:space="preserve"> it is not binding on the first respondent.  </w:t>
      </w:r>
      <w:r w:rsidR="00F32871">
        <w:rPr>
          <w:rFonts w:ascii="Arial" w:hAnsi="Arial" w:cs="Arial"/>
          <w:sz w:val="24"/>
          <w:szCs w:val="24"/>
        </w:rPr>
        <w:t xml:space="preserve">The Court is </w:t>
      </w:r>
      <w:r w:rsidR="004C6F15">
        <w:rPr>
          <w:rFonts w:ascii="Arial" w:hAnsi="Arial" w:cs="Arial"/>
          <w:sz w:val="24"/>
          <w:szCs w:val="24"/>
        </w:rPr>
        <w:t>constrained</w:t>
      </w:r>
      <w:r w:rsidR="00F32871">
        <w:rPr>
          <w:rFonts w:ascii="Arial" w:hAnsi="Arial" w:cs="Arial"/>
          <w:sz w:val="24"/>
          <w:szCs w:val="24"/>
        </w:rPr>
        <w:t xml:space="preserve"> to carelessly agree to these submissions</w:t>
      </w:r>
      <w:r w:rsidR="004C6F15">
        <w:rPr>
          <w:rFonts w:ascii="Arial" w:hAnsi="Arial" w:cs="Arial"/>
          <w:sz w:val="24"/>
          <w:szCs w:val="24"/>
        </w:rPr>
        <w:t xml:space="preserve"> without some level of discernment</w:t>
      </w:r>
      <w:r w:rsidR="00F32871">
        <w:rPr>
          <w:rFonts w:ascii="Arial" w:hAnsi="Arial" w:cs="Arial"/>
          <w:sz w:val="24"/>
          <w:szCs w:val="24"/>
        </w:rPr>
        <w:t xml:space="preserve">. It appears that the interpretation process as alluded to in </w:t>
      </w:r>
      <w:r w:rsidR="00F32871" w:rsidRPr="00F32871">
        <w:rPr>
          <w:rFonts w:ascii="Arial" w:hAnsi="Arial" w:cs="Arial"/>
          <w:i/>
          <w:sz w:val="24"/>
          <w:szCs w:val="24"/>
        </w:rPr>
        <w:t xml:space="preserve">Endumeni </w:t>
      </w:r>
      <w:r w:rsidR="00F32871">
        <w:rPr>
          <w:rFonts w:ascii="Arial" w:hAnsi="Arial" w:cs="Arial"/>
          <w:i/>
          <w:sz w:val="24"/>
          <w:szCs w:val="24"/>
        </w:rPr>
        <w:t>(</w:t>
      </w:r>
      <w:r w:rsidR="00F32871" w:rsidRPr="00F32871">
        <w:rPr>
          <w:rFonts w:ascii="Arial" w:hAnsi="Arial" w:cs="Arial"/>
          <w:i/>
          <w:sz w:val="24"/>
          <w:szCs w:val="24"/>
        </w:rPr>
        <w:t>supra</w:t>
      </w:r>
      <w:r w:rsidR="00F32871">
        <w:rPr>
          <w:rFonts w:ascii="Arial" w:hAnsi="Arial" w:cs="Arial"/>
          <w:sz w:val="24"/>
          <w:szCs w:val="24"/>
        </w:rPr>
        <w:t>) is key. As stated in this judgment</w:t>
      </w:r>
      <w:r w:rsidR="00E07CE1">
        <w:rPr>
          <w:rFonts w:ascii="Arial" w:hAnsi="Arial" w:cs="Arial"/>
          <w:sz w:val="24"/>
          <w:szCs w:val="24"/>
        </w:rPr>
        <w:t xml:space="preserve">, </w:t>
      </w:r>
      <w:r w:rsidR="00E07CE1">
        <w:rPr>
          <w:rFonts w:ascii="Arial" w:hAnsi="Arial" w:cs="Arial"/>
          <w:i/>
          <w:sz w:val="24"/>
          <w:szCs w:val="24"/>
        </w:rPr>
        <w:t xml:space="preserve">“The “inevitable point of </w:t>
      </w:r>
      <w:r w:rsidR="003C66BC">
        <w:rPr>
          <w:rFonts w:ascii="Arial" w:hAnsi="Arial" w:cs="Arial"/>
          <w:i/>
          <w:sz w:val="24"/>
          <w:szCs w:val="24"/>
        </w:rPr>
        <w:t>departure</w:t>
      </w:r>
      <w:r w:rsidR="00E07CE1">
        <w:rPr>
          <w:rFonts w:ascii="Arial" w:hAnsi="Arial" w:cs="Arial"/>
          <w:i/>
          <w:sz w:val="24"/>
          <w:szCs w:val="24"/>
        </w:rPr>
        <w:t xml:space="preserve"> is the language of the provision itself” (</w:t>
      </w:r>
      <w:r w:rsidR="00E07CE1" w:rsidRPr="00E07CE1">
        <w:rPr>
          <w:rFonts w:ascii="Arial" w:hAnsi="Arial" w:cs="Arial"/>
          <w:b/>
          <w:i/>
          <w:sz w:val="24"/>
          <w:szCs w:val="24"/>
        </w:rPr>
        <w:t xml:space="preserve">terms </w:t>
      </w:r>
      <w:r w:rsidR="00E07CE1">
        <w:rPr>
          <w:rFonts w:ascii="Arial" w:hAnsi="Arial" w:cs="Arial"/>
          <w:i/>
          <w:sz w:val="24"/>
          <w:szCs w:val="24"/>
        </w:rPr>
        <w:t xml:space="preserve">of the settlement agreement in this instance), read in context and having regard to the purpose of the provision and the background of the preparation to the document”.  </w:t>
      </w:r>
      <w:r w:rsidR="00E07CE1">
        <w:rPr>
          <w:rFonts w:ascii="Arial" w:hAnsi="Arial" w:cs="Arial"/>
          <w:sz w:val="24"/>
          <w:szCs w:val="24"/>
        </w:rPr>
        <w:t xml:space="preserve">The undisputed fact is that when the settlement agreement was entered into, the Trust was unaware that the first respondent was wound up.  In all earnest, it was to settle the dispute between the tenant and the landlord, hence the purpose </w:t>
      </w:r>
      <w:r w:rsidR="00185A94">
        <w:rPr>
          <w:rFonts w:ascii="Arial" w:hAnsi="Arial" w:cs="Arial"/>
          <w:sz w:val="24"/>
          <w:szCs w:val="24"/>
        </w:rPr>
        <w:t xml:space="preserve">and the </w:t>
      </w:r>
      <w:r w:rsidR="00185A94" w:rsidRPr="00185A94">
        <w:rPr>
          <w:rFonts w:ascii="Arial" w:hAnsi="Arial" w:cs="Arial"/>
          <w:b/>
          <w:sz w:val="24"/>
          <w:szCs w:val="24"/>
        </w:rPr>
        <w:t xml:space="preserve">terms </w:t>
      </w:r>
      <w:r w:rsidR="00E07CE1">
        <w:rPr>
          <w:rFonts w:ascii="Arial" w:hAnsi="Arial" w:cs="Arial"/>
          <w:sz w:val="24"/>
          <w:szCs w:val="24"/>
        </w:rPr>
        <w:t>of the settlement agreement</w:t>
      </w:r>
      <w:r w:rsidR="00F32871">
        <w:rPr>
          <w:rFonts w:ascii="Arial" w:hAnsi="Arial" w:cs="Arial"/>
          <w:sz w:val="24"/>
          <w:szCs w:val="24"/>
        </w:rPr>
        <w:t xml:space="preserve"> </w:t>
      </w:r>
      <w:r w:rsidR="00E07CE1">
        <w:rPr>
          <w:rFonts w:ascii="Arial" w:hAnsi="Arial" w:cs="Arial"/>
          <w:sz w:val="24"/>
          <w:szCs w:val="24"/>
        </w:rPr>
        <w:t xml:space="preserve">and the </w:t>
      </w:r>
      <w:r w:rsidR="00E07CE1">
        <w:rPr>
          <w:rFonts w:ascii="Arial" w:hAnsi="Arial" w:cs="Arial"/>
          <w:sz w:val="24"/>
          <w:szCs w:val="24"/>
        </w:rPr>
        <w:lastRenderedPageBreak/>
        <w:t xml:space="preserve">background of the preparation of this document can only be attributed to the first respondent </w:t>
      </w:r>
      <w:r w:rsidR="00185A94">
        <w:rPr>
          <w:rFonts w:ascii="Arial" w:hAnsi="Arial" w:cs="Arial"/>
          <w:sz w:val="24"/>
          <w:szCs w:val="24"/>
        </w:rPr>
        <w:t xml:space="preserve">and the Trust </w:t>
      </w:r>
      <w:r w:rsidR="00E07CE1">
        <w:rPr>
          <w:rFonts w:ascii="Arial" w:hAnsi="Arial" w:cs="Arial"/>
          <w:sz w:val="24"/>
          <w:szCs w:val="24"/>
        </w:rPr>
        <w:t>and no one else.</w:t>
      </w:r>
    </w:p>
    <w:p w14:paraId="28BE1309" w14:textId="77777777" w:rsidR="00185A94" w:rsidRDefault="00185A94" w:rsidP="00D26909">
      <w:pPr>
        <w:spacing w:line="480" w:lineRule="auto"/>
        <w:jc w:val="both"/>
        <w:rPr>
          <w:rFonts w:ascii="Arial" w:hAnsi="Arial" w:cs="Arial"/>
          <w:sz w:val="24"/>
          <w:szCs w:val="24"/>
        </w:rPr>
      </w:pPr>
    </w:p>
    <w:p w14:paraId="21EA6974" w14:textId="101EB96E" w:rsidR="000D7787" w:rsidRDefault="003C66BC" w:rsidP="00D26909">
      <w:pPr>
        <w:spacing w:line="480" w:lineRule="auto"/>
        <w:jc w:val="both"/>
        <w:rPr>
          <w:rFonts w:ascii="Arial" w:hAnsi="Arial" w:cs="Arial"/>
          <w:sz w:val="24"/>
          <w:szCs w:val="24"/>
        </w:rPr>
      </w:pPr>
      <w:r>
        <w:rPr>
          <w:rFonts w:ascii="Arial" w:hAnsi="Arial" w:cs="Arial"/>
          <w:sz w:val="24"/>
          <w:szCs w:val="24"/>
        </w:rPr>
        <w:t>[28</w:t>
      </w:r>
      <w:r w:rsidR="00185A94">
        <w:rPr>
          <w:rFonts w:ascii="Arial" w:hAnsi="Arial" w:cs="Arial"/>
          <w:sz w:val="24"/>
          <w:szCs w:val="24"/>
        </w:rPr>
        <w:t>]</w:t>
      </w:r>
      <w:r w:rsidR="00185A94">
        <w:rPr>
          <w:rFonts w:ascii="Arial" w:hAnsi="Arial" w:cs="Arial"/>
          <w:sz w:val="24"/>
          <w:szCs w:val="24"/>
        </w:rPr>
        <w:tab/>
      </w:r>
      <w:r w:rsidR="00912C42">
        <w:rPr>
          <w:rFonts w:ascii="Arial" w:hAnsi="Arial" w:cs="Arial"/>
          <w:sz w:val="24"/>
          <w:szCs w:val="24"/>
        </w:rPr>
        <w:t xml:space="preserve">I turn to agree with the respondents that the settlement agreement is a nullity as </w:t>
      </w:r>
      <w:r w:rsidR="00185A94">
        <w:rPr>
          <w:rFonts w:ascii="Arial" w:hAnsi="Arial" w:cs="Arial"/>
          <w:sz w:val="24"/>
          <w:szCs w:val="24"/>
        </w:rPr>
        <w:t>t</w:t>
      </w:r>
      <w:r w:rsidR="00F955DB">
        <w:rPr>
          <w:rFonts w:ascii="Arial" w:hAnsi="Arial" w:cs="Arial"/>
          <w:sz w:val="24"/>
          <w:szCs w:val="24"/>
        </w:rPr>
        <w:t>he</w:t>
      </w:r>
      <w:r w:rsidR="00912C42">
        <w:rPr>
          <w:rFonts w:ascii="Arial" w:hAnsi="Arial" w:cs="Arial"/>
          <w:sz w:val="24"/>
          <w:szCs w:val="24"/>
        </w:rPr>
        <w:t xml:space="preserve"> </w:t>
      </w:r>
      <w:r w:rsidR="00185A94">
        <w:rPr>
          <w:rFonts w:ascii="Arial" w:hAnsi="Arial" w:cs="Arial"/>
          <w:sz w:val="24"/>
          <w:szCs w:val="24"/>
        </w:rPr>
        <w:t xml:space="preserve">fourth respondent </w:t>
      </w:r>
      <w:r w:rsidR="00912C42">
        <w:rPr>
          <w:rFonts w:ascii="Arial" w:hAnsi="Arial" w:cs="Arial"/>
          <w:sz w:val="24"/>
          <w:szCs w:val="24"/>
        </w:rPr>
        <w:t>did not have assets at the premises nor</w:t>
      </w:r>
      <w:r w:rsidR="004C6F15">
        <w:rPr>
          <w:rFonts w:ascii="Arial" w:hAnsi="Arial" w:cs="Arial"/>
          <w:sz w:val="24"/>
          <w:szCs w:val="24"/>
        </w:rPr>
        <w:t xml:space="preserve"> </w:t>
      </w:r>
      <w:r w:rsidR="00C971F3">
        <w:rPr>
          <w:rFonts w:ascii="Arial" w:hAnsi="Arial" w:cs="Arial"/>
          <w:sz w:val="24"/>
          <w:szCs w:val="24"/>
        </w:rPr>
        <w:t>was</w:t>
      </w:r>
      <w:r w:rsidR="00F955DB">
        <w:rPr>
          <w:rFonts w:ascii="Arial" w:hAnsi="Arial" w:cs="Arial"/>
          <w:sz w:val="24"/>
          <w:szCs w:val="24"/>
        </w:rPr>
        <w:t xml:space="preserve"> authorised to enter into an agreement to sell movable assets belonging to the first respondent.</w:t>
      </w:r>
    </w:p>
    <w:p w14:paraId="1DD18FD6" w14:textId="77777777" w:rsidR="00F955DB" w:rsidRDefault="00F955DB" w:rsidP="00EE4F1C">
      <w:pPr>
        <w:spacing w:line="480" w:lineRule="auto"/>
        <w:jc w:val="both"/>
        <w:rPr>
          <w:rFonts w:ascii="Arial" w:hAnsi="Arial" w:cs="Arial"/>
          <w:sz w:val="24"/>
          <w:szCs w:val="24"/>
        </w:rPr>
      </w:pPr>
    </w:p>
    <w:p w14:paraId="789EEFEA" w14:textId="6B8E939D" w:rsidR="00F955DB" w:rsidRDefault="001E7F96" w:rsidP="00EE4F1C">
      <w:pPr>
        <w:spacing w:line="480" w:lineRule="auto"/>
        <w:jc w:val="both"/>
        <w:rPr>
          <w:rFonts w:ascii="Arial" w:hAnsi="Arial" w:cs="Arial"/>
          <w:sz w:val="24"/>
          <w:szCs w:val="24"/>
        </w:rPr>
      </w:pPr>
      <w:r>
        <w:rPr>
          <w:rFonts w:ascii="Arial" w:hAnsi="Arial" w:cs="Arial"/>
          <w:sz w:val="24"/>
          <w:szCs w:val="24"/>
        </w:rPr>
        <w:t>[29</w:t>
      </w:r>
      <w:r w:rsidR="00F955DB">
        <w:rPr>
          <w:rFonts w:ascii="Arial" w:hAnsi="Arial" w:cs="Arial"/>
          <w:sz w:val="24"/>
          <w:szCs w:val="24"/>
        </w:rPr>
        <w:t>]</w:t>
      </w:r>
      <w:r w:rsidR="00F955DB">
        <w:rPr>
          <w:rFonts w:ascii="Arial" w:hAnsi="Arial" w:cs="Arial"/>
          <w:sz w:val="24"/>
          <w:szCs w:val="24"/>
        </w:rPr>
        <w:tab/>
      </w:r>
      <w:r w:rsidR="00C877BD">
        <w:rPr>
          <w:rFonts w:ascii="Arial" w:hAnsi="Arial" w:cs="Arial"/>
          <w:sz w:val="24"/>
          <w:szCs w:val="24"/>
        </w:rPr>
        <w:t>I repeat, s</w:t>
      </w:r>
      <w:r w:rsidR="00F955DB">
        <w:rPr>
          <w:rFonts w:ascii="Arial" w:hAnsi="Arial" w:cs="Arial"/>
          <w:sz w:val="24"/>
          <w:szCs w:val="24"/>
        </w:rPr>
        <w:t>ince the Trust alleged that at the time, it did not know or was unaware that the first respondent was liquidated, it then</w:t>
      </w:r>
      <w:r w:rsidR="00BA0C5D">
        <w:rPr>
          <w:rFonts w:ascii="Arial" w:hAnsi="Arial" w:cs="Arial"/>
          <w:sz w:val="24"/>
          <w:szCs w:val="24"/>
        </w:rPr>
        <w:t xml:space="preserve"> follows that they concluded a settlement a</w:t>
      </w:r>
      <w:r w:rsidR="00F955DB">
        <w:rPr>
          <w:rFonts w:ascii="Arial" w:hAnsi="Arial" w:cs="Arial"/>
          <w:sz w:val="24"/>
          <w:szCs w:val="24"/>
        </w:rPr>
        <w:t xml:space="preserve">greement with the fourth respondent in the erroneous belief that </w:t>
      </w:r>
      <w:r w:rsidR="00C877BD">
        <w:rPr>
          <w:rFonts w:ascii="Arial" w:hAnsi="Arial" w:cs="Arial"/>
          <w:sz w:val="24"/>
          <w:szCs w:val="24"/>
        </w:rPr>
        <w:t xml:space="preserve">he was authorised to conclude a settlement agreement on behalf of himself and </w:t>
      </w:r>
      <w:r w:rsidR="00F955DB">
        <w:rPr>
          <w:rFonts w:ascii="Arial" w:hAnsi="Arial" w:cs="Arial"/>
          <w:sz w:val="24"/>
          <w:szCs w:val="24"/>
        </w:rPr>
        <w:t xml:space="preserve">the first respondent </w:t>
      </w:r>
      <w:r w:rsidR="00C877BD">
        <w:rPr>
          <w:rFonts w:ascii="Arial" w:hAnsi="Arial" w:cs="Arial"/>
          <w:sz w:val="24"/>
          <w:szCs w:val="24"/>
        </w:rPr>
        <w:t xml:space="preserve">who </w:t>
      </w:r>
      <w:r w:rsidR="00F955DB">
        <w:rPr>
          <w:rFonts w:ascii="Arial" w:hAnsi="Arial" w:cs="Arial"/>
          <w:sz w:val="24"/>
          <w:szCs w:val="24"/>
        </w:rPr>
        <w:t>was a principal debtor and owner of the assets under judicial attachment</w:t>
      </w:r>
      <w:r w:rsidR="006C1457">
        <w:rPr>
          <w:rFonts w:ascii="Arial" w:hAnsi="Arial" w:cs="Arial"/>
          <w:sz w:val="24"/>
          <w:szCs w:val="24"/>
        </w:rPr>
        <w:t>, hence the Trus</w:t>
      </w:r>
      <w:r w:rsidR="004C6F15">
        <w:rPr>
          <w:rFonts w:ascii="Arial" w:hAnsi="Arial" w:cs="Arial"/>
          <w:sz w:val="24"/>
          <w:szCs w:val="24"/>
        </w:rPr>
        <w:t>t claimed that</w:t>
      </w:r>
      <w:r w:rsidR="006C1457">
        <w:rPr>
          <w:rFonts w:ascii="Arial" w:hAnsi="Arial" w:cs="Arial"/>
          <w:sz w:val="24"/>
          <w:szCs w:val="24"/>
        </w:rPr>
        <w:t xml:space="preserve"> it</w:t>
      </w:r>
      <w:r w:rsidR="00F955DB">
        <w:rPr>
          <w:rFonts w:ascii="Arial" w:hAnsi="Arial" w:cs="Arial"/>
          <w:sz w:val="24"/>
          <w:szCs w:val="24"/>
        </w:rPr>
        <w:t xml:space="preserve"> is a </w:t>
      </w:r>
      <w:r w:rsidR="00C971F3">
        <w:rPr>
          <w:rFonts w:ascii="Arial" w:hAnsi="Arial" w:cs="Arial"/>
          <w:sz w:val="24"/>
          <w:szCs w:val="24"/>
        </w:rPr>
        <w:t xml:space="preserve">preferent </w:t>
      </w:r>
      <w:r w:rsidR="00F955DB">
        <w:rPr>
          <w:rFonts w:ascii="Arial" w:hAnsi="Arial" w:cs="Arial"/>
          <w:sz w:val="24"/>
          <w:szCs w:val="24"/>
        </w:rPr>
        <w:t xml:space="preserve">creditor of the first respondent.  </w:t>
      </w:r>
      <w:r w:rsidR="00C877BD">
        <w:rPr>
          <w:rFonts w:ascii="Arial" w:hAnsi="Arial" w:cs="Arial"/>
          <w:sz w:val="24"/>
          <w:szCs w:val="24"/>
        </w:rPr>
        <w:t>Nowhere in these proceedings did t</w:t>
      </w:r>
      <w:r w:rsidR="00F955DB">
        <w:rPr>
          <w:rFonts w:ascii="Arial" w:hAnsi="Arial" w:cs="Arial"/>
          <w:sz w:val="24"/>
          <w:szCs w:val="24"/>
        </w:rPr>
        <w:t>he fourth respondent maintain that he, personally was the rightful owner of the</w:t>
      </w:r>
      <w:r w:rsidR="00C877BD">
        <w:rPr>
          <w:rFonts w:ascii="Arial" w:hAnsi="Arial" w:cs="Arial"/>
          <w:sz w:val="24"/>
          <w:szCs w:val="24"/>
        </w:rPr>
        <w:t xml:space="preserve"> attached</w:t>
      </w:r>
      <w:r w:rsidR="00F955DB">
        <w:rPr>
          <w:rFonts w:ascii="Arial" w:hAnsi="Arial" w:cs="Arial"/>
          <w:sz w:val="24"/>
          <w:szCs w:val="24"/>
        </w:rPr>
        <w:t xml:space="preserve"> movab</w:t>
      </w:r>
      <w:r w:rsidR="00C877BD">
        <w:rPr>
          <w:rFonts w:ascii="Arial" w:hAnsi="Arial" w:cs="Arial"/>
          <w:sz w:val="24"/>
          <w:szCs w:val="24"/>
        </w:rPr>
        <w:t xml:space="preserve">le assets, it is merely the say-so of the Trust that this Court </w:t>
      </w:r>
      <w:r w:rsidR="006C1457">
        <w:rPr>
          <w:rFonts w:ascii="Arial" w:hAnsi="Arial" w:cs="Arial"/>
          <w:sz w:val="24"/>
          <w:szCs w:val="24"/>
        </w:rPr>
        <w:t>wa</w:t>
      </w:r>
      <w:r w:rsidR="00C877BD">
        <w:rPr>
          <w:rFonts w:ascii="Arial" w:hAnsi="Arial" w:cs="Arial"/>
          <w:sz w:val="24"/>
          <w:szCs w:val="24"/>
        </w:rPr>
        <w:t xml:space="preserve">s asked to </w:t>
      </w:r>
      <w:r w:rsidR="006C1457">
        <w:rPr>
          <w:rFonts w:ascii="Arial" w:hAnsi="Arial" w:cs="Arial"/>
          <w:sz w:val="24"/>
          <w:szCs w:val="24"/>
        </w:rPr>
        <w:t xml:space="preserve">accept.  </w:t>
      </w:r>
    </w:p>
    <w:p w14:paraId="25369CF1" w14:textId="77777777" w:rsidR="00F955DB" w:rsidRDefault="00F955DB" w:rsidP="00EE4F1C">
      <w:pPr>
        <w:spacing w:line="480" w:lineRule="auto"/>
        <w:jc w:val="both"/>
        <w:rPr>
          <w:rFonts w:ascii="Arial" w:hAnsi="Arial" w:cs="Arial"/>
          <w:sz w:val="24"/>
          <w:szCs w:val="24"/>
        </w:rPr>
      </w:pPr>
    </w:p>
    <w:p w14:paraId="0746C14D" w14:textId="1E1853B2" w:rsidR="00A71BF9" w:rsidRDefault="001E7F96" w:rsidP="00EE4F1C">
      <w:pPr>
        <w:spacing w:line="480" w:lineRule="auto"/>
        <w:jc w:val="both"/>
        <w:rPr>
          <w:rFonts w:ascii="Arial" w:hAnsi="Arial" w:cs="Arial"/>
          <w:sz w:val="24"/>
          <w:szCs w:val="24"/>
        </w:rPr>
      </w:pPr>
      <w:r>
        <w:rPr>
          <w:rFonts w:ascii="Arial" w:hAnsi="Arial" w:cs="Arial"/>
          <w:sz w:val="24"/>
          <w:szCs w:val="24"/>
        </w:rPr>
        <w:t>[30</w:t>
      </w:r>
      <w:r w:rsidR="00BA0C5D">
        <w:rPr>
          <w:rFonts w:ascii="Arial" w:hAnsi="Arial" w:cs="Arial"/>
          <w:sz w:val="24"/>
          <w:szCs w:val="24"/>
        </w:rPr>
        <w:t>]</w:t>
      </w:r>
      <w:r w:rsidR="00BA0C5D">
        <w:rPr>
          <w:rFonts w:ascii="Arial" w:hAnsi="Arial" w:cs="Arial"/>
          <w:sz w:val="24"/>
          <w:szCs w:val="24"/>
        </w:rPr>
        <w:tab/>
      </w:r>
      <w:r w:rsidR="006C1457">
        <w:rPr>
          <w:rFonts w:ascii="Arial" w:hAnsi="Arial" w:cs="Arial"/>
          <w:sz w:val="24"/>
          <w:szCs w:val="24"/>
        </w:rPr>
        <w:t>If regard is had to these set of circumstances, i</w:t>
      </w:r>
      <w:r w:rsidR="00BA0C5D">
        <w:rPr>
          <w:rFonts w:ascii="Arial" w:hAnsi="Arial" w:cs="Arial"/>
          <w:sz w:val="24"/>
          <w:szCs w:val="24"/>
        </w:rPr>
        <w:t>t</w:t>
      </w:r>
      <w:r w:rsidR="00F955DB">
        <w:rPr>
          <w:rFonts w:ascii="Arial" w:hAnsi="Arial" w:cs="Arial"/>
          <w:sz w:val="24"/>
          <w:szCs w:val="24"/>
        </w:rPr>
        <w:t xml:space="preserve"> is incomprehensible </w:t>
      </w:r>
      <w:r w:rsidR="006C1457">
        <w:rPr>
          <w:rFonts w:ascii="Arial" w:hAnsi="Arial" w:cs="Arial"/>
          <w:sz w:val="24"/>
          <w:szCs w:val="24"/>
        </w:rPr>
        <w:t xml:space="preserve">to say the </w:t>
      </w:r>
      <w:r w:rsidR="004C6F15">
        <w:rPr>
          <w:rFonts w:ascii="Arial" w:hAnsi="Arial" w:cs="Arial"/>
          <w:sz w:val="24"/>
          <w:szCs w:val="24"/>
        </w:rPr>
        <w:t>least, how</w:t>
      </w:r>
      <w:r w:rsidR="00F955DB">
        <w:rPr>
          <w:rFonts w:ascii="Arial" w:hAnsi="Arial" w:cs="Arial"/>
          <w:sz w:val="24"/>
          <w:szCs w:val="24"/>
        </w:rPr>
        <w:t xml:space="preserve"> this Court</w:t>
      </w:r>
      <w:r w:rsidR="00A47241">
        <w:rPr>
          <w:rFonts w:ascii="Arial" w:hAnsi="Arial" w:cs="Arial"/>
          <w:sz w:val="24"/>
          <w:szCs w:val="24"/>
        </w:rPr>
        <w:t xml:space="preserve"> is expected to </w:t>
      </w:r>
      <w:r w:rsidR="006C1457">
        <w:rPr>
          <w:rFonts w:ascii="Arial" w:hAnsi="Arial" w:cs="Arial"/>
          <w:sz w:val="24"/>
          <w:szCs w:val="24"/>
        </w:rPr>
        <w:t>find that the s</w:t>
      </w:r>
      <w:r w:rsidR="00F955DB">
        <w:rPr>
          <w:rFonts w:ascii="Arial" w:hAnsi="Arial" w:cs="Arial"/>
          <w:sz w:val="24"/>
          <w:szCs w:val="24"/>
        </w:rPr>
        <w:t xml:space="preserve">ettlement </w:t>
      </w:r>
      <w:r w:rsidR="006C1457">
        <w:rPr>
          <w:rFonts w:ascii="Arial" w:hAnsi="Arial" w:cs="Arial"/>
          <w:sz w:val="24"/>
          <w:szCs w:val="24"/>
        </w:rPr>
        <w:t>a</w:t>
      </w:r>
      <w:r w:rsidR="00F955DB">
        <w:rPr>
          <w:rFonts w:ascii="Arial" w:hAnsi="Arial" w:cs="Arial"/>
          <w:sz w:val="24"/>
          <w:szCs w:val="24"/>
        </w:rPr>
        <w:t>greement</w:t>
      </w:r>
      <w:r w:rsidR="006C1457">
        <w:rPr>
          <w:rFonts w:ascii="Arial" w:hAnsi="Arial" w:cs="Arial"/>
          <w:sz w:val="24"/>
          <w:szCs w:val="24"/>
        </w:rPr>
        <w:t xml:space="preserve"> </w:t>
      </w:r>
      <w:r w:rsidR="00A47241">
        <w:rPr>
          <w:rFonts w:ascii="Arial" w:hAnsi="Arial" w:cs="Arial"/>
          <w:sz w:val="24"/>
          <w:szCs w:val="24"/>
        </w:rPr>
        <w:t>concluded by th</w:t>
      </w:r>
      <w:r w:rsidR="00F955DB">
        <w:rPr>
          <w:rFonts w:ascii="Arial" w:hAnsi="Arial" w:cs="Arial"/>
          <w:sz w:val="24"/>
          <w:szCs w:val="24"/>
        </w:rPr>
        <w:t>e fourth respon</w:t>
      </w:r>
      <w:r w:rsidR="006C1457">
        <w:rPr>
          <w:rFonts w:ascii="Arial" w:hAnsi="Arial" w:cs="Arial"/>
          <w:sz w:val="24"/>
          <w:szCs w:val="24"/>
        </w:rPr>
        <w:t>dent</w:t>
      </w:r>
      <w:r w:rsidR="00A47241">
        <w:rPr>
          <w:rFonts w:ascii="Arial" w:hAnsi="Arial" w:cs="Arial"/>
          <w:sz w:val="24"/>
          <w:szCs w:val="24"/>
        </w:rPr>
        <w:t xml:space="preserve"> is binding on him</w:t>
      </w:r>
      <w:r w:rsidR="00BA0C5D">
        <w:rPr>
          <w:rFonts w:ascii="Arial" w:hAnsi="Arial" w:cs="Arial"/>
          <w:sz w:val="24"/>
          <w:szCs w:val="24"/>
        </w:rPr>
        <w:t xml:space="preserve">.  </w:t>
      </w:r>
      <w:r w:rsidR="00D825A9">
        <w:rPr>
          <w:rFonts w:ascii="Arial" w:hAnsi="Arial" w:cs="Arial"/>
          <w:sz w:val="24"/>
          <w:szCs w:val="24"/>
        </w:rPr>
        <w:t xml:space="preserve">On </w:t>
      </w:r>
      <w:r w:rsidR="00C971F3">
        <w:rPr>
          <w:rFonts w:ascii="Arial" w:hAnsi="Arial" w:cs="Arial"/>
          <w:sz w:val="24"/>
          <w:szCs w:val="24"/>
        </w:rPr>
        <w:t xml:space="preserve">a </w:t>
      </w:r>
      <w:r w:rsidR="00D825A9">
        <w:rPr>
          <w:rFonts w:ascii="Arial" w:hAnsi="Arial" w:cs="Arial"/>
          <w:sz w:val="24"/>
          <w:szCs w:val="24"/>
        </w:rPr>
        <w:t>proper inter</w:t>
      </w:r>
      <w:r w:rsidR="00BA0C5D">
        <w:rPr>
          <w:rFonts w:ascii="Arial" w:hAnsi="Arial" w:cs="Arial"/>
          <w:sz w:val="24"/>
          <w:szCs w:val="24"/>
        </w:rPr>
        <w:t>pretation of the settlement a</w:t>
      </w:r>
      <w:r w:rsidR="00A71BF9">
        <w:rPr>
          <w:rFonts w:ascii="Arial" w:hAnsi="Arial" w:cs="Arial"/>
          <w:sz w:val="24"/>
          <w:szCs w:val="24"/>
        </w:rPr>
        <w:t>greement, it is formulated around the</w:t>
      </w:r>
      <w:r w:rsidR="00A47241">
        <w:rPr>
          <w:rFonts w:ascii="Arial" w:hAnsi="Arial" w:cs="Arial"/>
          <w:sz w:val="24"/>
          <w:szCs w:val="24"/>
        </w:rPr>
        <w:t xml:space="preserve"> sale on</w:t>
      </w:r>
      <w:r w:rsidR="00A71BF9">
        <w:rPr>
          <w:rFonts w:ascii="Arial" w:hAnsi="Arial" w:cs="Arial"/>
          <w:sz w:val="24"/>
          <w:szCs w:val="24"/>
        </w:rPr>
        <w:t xml:space="preserve"> auction of the first respondent’s movable property, which is the first respondent’s items of equipment, tools of trade and stock in trade that was attached and kept at its principal place of business (the leased premises).</w:t>
      </w:r>
    </w:p>
    <w:p w14:paraId="1A57F37B" w14:textId="52FDC476" w:rsidR="00A71BF9" w:rsidRDefault="00BC75B5" w:rsidP="00EE4F1C">
      <w:pPr>
        <w:spacing w:line="480" w:lineRule="auto"/>
        <w:jc w:val="both"/>
        <w:rPr>
          <w:rFonts w:ascii="Arial" w:hAnsi="Arial" w:cs="Arial"/>
          <w:sz w:val="24"/>
          <w:szCs w:val="24"/>
        </w:rPr>
      </w:pPr>
      <w:r>
        <w:rPr>
          <w:rFonts w:ascii="Arial" w:hAnsi="Arial" w:cs="Arial"/>
          <w:sz w:val="24"/>
          <w:szCs w:val="24"/>
        </w:rPr>
        <w:t>The fourth respondent somehow</w:t>
      </w:r>
      <w:r w:rsidR="00A71BF9">
        <w:rPr>
          <w:rFonts w:ascii="Arial" w:hAnsi="Arial" w:cs="Arial"/>
          <w:sz w:val="24"/>
          <w:szCs w:val="24"/>
        </w:rPr>
        <w:t xml:space="preserve"> hoodwinked the Trust by settling the legal proceedings and promis</w:t>
      </w:r>
      <w:r w:rsidR="00A47241">
        <w:rPr>
          <w:rFonts w:ascii="Arial" w:hAnsi="Arial" w:cs="Arial"/>
          <w:sz w:val="24"/>
          <w:szCs w:val="24"/>
        </w:rPr>
        <w:t>ed</w:t>
      </w:r>
      <w:r w:rsidR="00A71BF9">
        <w:rPr>
          <w:rFonts w:ascii="Arial" w:hAnsi="Arial" w:cs="Arial"/>
          <w:sz w:val="24"/>
          <w:szCs w:val="24"/>
        </w:rPr>
        <w:t xml:space="preserve"> to sell the assets which do not belong to hi</w:t>
      </w:r>
      <w:r>
        <w:rPr>
          <w:rFonts w:ascii="Arial" w:hAnsi="Arial" w:cs="Arial"/>
          <w:sz w:val="24"/>
          <w:szCs w:val="24"/>
        </w:rPr>
        <w:t>m in order</w:t>
      </w:r>
      <w:r w:rsidR="00A71BF9">
        <w:rPr>
          <w:rFonts w:ascii="Arial" w:hAnsi="Arial" w:cs="Arial"/>
          <w:sz w:val="24"/>
          <w:szCs w:val="24"/>
        </w:rPr>
        <w:t xml:space="preserve"> to resolve the dispute. </w:t>
      </w:r>
    </w:p>
    <w:p w14:paraId="68D82F4D" w14:textId="6745DC92" w:rsidR="0035246D" w:rsidRDefault="003C66BC" w:rsidP="00EE4F1C">
      <w:pPr>
        <w:spacing w:line="480" w:lineRule="auto"/>
        <w:jc w:val="both"/>
        <w:rPr>
          <w:rFonts w:ascii="Arial" w:hAnsi="Arial" w:cs="Arial"/>
          <w:i/>
          <w:sz w:val="24"/>
          <w:szCs w:val="24"/>
        </w:rPr>
      </w:pPr>
      <w:r>
        <w:rPr>
          <w:rFonts w:ascii="Arial" w:hAnsi="Arial" w:cs="Arial"/>
          <w:sz w:val="24"/>
          <w:szCs w:val="24"/>
        </w:rPr>
        <w:lastRenderedPageBreak/>
        <w:t>[31</w:t>
      </w:r>
      <w:r w:rsidR="00A71BF9">
        <w:rPr>
          <w:rFonts w:ascii="Arial" w:hAnsi="Arial" w:cs="Arial"/>
          <w:sz w:val="24"/>
          <w:szCs w:val="24"/>
        </w:rPr>
        <w:t>]</w:t>
      </w:r>
      <w:r w:rsidR="00A71BF9">
        <w:rPr>
          <w:rFonts w:ascii="Arial" w:hAnsi="Arial" w:cs="Arial"/>
          <w:sz w:val="24"/>
          <w:szCs w:val="24"/>
        </w:rPr>
        <w:tab/>
        <w:t xml:space="preserve">Snyman J in </w:t>
      </w:r>
      <w:r w:rsidR="00A71BF9">
        <w:rPr>
          <w:rFonts w:ascii="Arial" w:hAnsi="Arial" w:cs="Arial"/>
          <w:i/>
          <w:sz w:val="24"/>
          <w:szCs w:val="24"/>
        </w:rPr>
        <w:t>Lief NO vs Western Credit (Africa) (Pty) Ltd</w:t>
      </w:r>
      <w:r w:rsidR="00A71BF9">
        <w:rPr>
          <w:rStyle w:val="FootnoteReference"/>
          <w:rFonts w:ascii="Arial" w:hAnsi="Arial" w:cs="Arial"/>
          <w:i/>
          <w:sz w:val="24"/>
          <w:szCs w:val="24"/>
        </w:rPr>
        <w:footnoteReference w:id="14"/>
      </w:r>
      <w:r w:rsidR="00A71BF9">
        <w:rPr>
          <w:rFonts w:ascii="Arial" w:hAnsi="Arial" w:cs="Arial"/>
          <w:sz w:val="24"/>
          <w:szCs w:val="24"/>
        </w:rPr>
        <w:t xml:space="preserve"> bemoaned a possible attempt by a dishonest company, director, or creditors or others to snatch some unfair advantage during the period between the presentation of a petition for a winding-up order and the granting of that order by a C</w:t>
      </w:r>
      <w:r w:rsidR="00BC75B5">
        <w:rPr>
          <w:rFonts w:ascii="Arial" w:hAnsi="Arial" w:cs="Arial"/>
          <w:sz w:val="24"/>
          <w:szCs w:val="24"/>
        </w:rPr>
        <w:t>o</w:t>
      </w:r>
      <w:r w:rsidR="00A71BF9">
        <w:rPr>
          <w:rFonts w:ascii="Arial" w:hAnsi="Arial" w:cs="Arial"/>
          <w:sz w:val="24"/>
          <w:szCs w:val="24"/>
        </w:rPr>
        <w:t xml:space="preserve">urt by, for example, dissipating the assets of the company … or preferring one creditor above another to the prejudice of the </w:t>
      </w:r>
      <w:r w:rsidR="0026424A">
        <w:rPr>
          <w:rFonts w:ascii="Arial" w:hAnsi="Arial" w:cs="Arial"/>
          <w:i/>
          <w:sz w:val="24"/>
          <w:szCs w:val="24"/>
        </w:rPr>
        <w:t>concu</w:t>
      </w:r>
      <w:r w:rsidR="00A71BF9" w:rsidRPr="00A71BF9">
        <w:rPr>
          <w:rFonts w:ascii="Arial" w:hAnsi="Arial" w:cs="Arial"/>
          <w:i/>
          <w:sz w:val="24"/>
          <w:szCs w:val="24"/>
        </w:rPr>
        <w:t>rsus cr</w:t>
      </w:r>
      <w:r w:rsidR="00A71BF9">
        <w:rPr>
          <w:rFonts w:ascii="Arial" w:hAnsi="Arial" w:cs="Arial"/>
          <w:i/>
          <w:sz w:val="24"/>
          <w:szCs w:val="24"/>
        </w:rPr>
        <w:t>editorium.</w:t>
      </w:r>
    </w:p>
    <w:p w14:paraId="00B5EAF8" w14:textId="636C69EB" w:rsidR="00A71BF9" w:rsidRDefault="00A71BF9" w:rsidP="00EE4F1C">
      <w:pPr>
        <w:spacing w:line="480" w:lineRule="auto"/>
        <w:jc w:val="both"/>
        <w:rPr>
          <w:rFonts w:ascii="Arial" w:hAnsi="Arial" w:cs="Arial"/>
          <w:i/>
          <w:sz w:val="24"/>
          <w:szCs w:val="24"/>
        </w:rPr>
      </w:pPr>
    </w:p>
    <w:p w14:paraId="51284DE3" w14:textId="3AEE2277" w:rsidR="00A71BF9" w:rsidRDefault="003C66BC" w:rsidP="00EE4F1C">
      <w:pPr>
        <w:spacing w:line="480" w:lineRule="auto"/>
        <w:jc w:val="both"/>
        <w:rPr>
          <w:rFonts w:ascii="Arial" w:hAnsi="Arial" w:cs="Arial"/>
          <w:sz w:val="24"/>
          <w:szCs w:val="24"/>
        </w:rPr>
      </w:pPr>
      <w:r>
        <w:rPr>
          <w:rFonts w:ascii="Arial" w:hAnsi="Arial" w:cs="Arial"/>
          <w:sz w:val="24"/>
          <w:szCs w:val="24"/>
        </w:rPr>
        <w:t>[32</w:t>
      </w:r>
      <w:r w:rsidR="00A71BF9">
        <w:rPr>
          <w:rFonts w:ascii="Arial" w:hAnsi="Arial" w:cs="Arial"/>
          <w:sz w:val="24"/>
          <w:szCs w:val="24"/>
        </w:rPr>
        <w:t>]</w:t>
      </w:r>
      <w:r w:rsidR="00A71BF9">
        <w:rPr>
          <w:rFonts w:ascii="Arial" w:hAnsi="Arial" w:cs="Arial"/>
          <w:sz w:val="24"/>
          <w:szCs w:val="24"/>
        </w:rPr>
        <w:tab/>
        <w:t xml:space="preserve">In this matter, </w:t>
      </w:r>
      <w:r w:rsidR="00A47241">
        <w:rPr>
          <w:rFonts w:ascii="Arial" w:hAnsi="Arial" w:cs="Arial"/>
          <w:sz w:val="24"/>
          <w:szCs w:val="24"/>
        </w:rPr>
        <w:t>the undisputed fact</w:t>
      </w:r>
      <w:r w:rsidR="00BC75B5">
        <w:rPr>
          <w:rFonts w:ascii="Arial" w:hAnsi="Arial" w:cs="Arial"/>
          <w:sz w:val="24"/>
          <w:szCs w:val="24"/>
        </w:rPr>
        <w:t>s are ove</w:t>
      </w:r>
      <w:r w:rsidR="00A47241">
        <w:rPr>
          <w:rFonts w:ascii="Arial" w:hAnsi="Arial" w:cs="Arial"/>
          <w:sz w:val="24"/>
          <w:szCs w:val="24"/>
        </w:rPr>
        <w:t>rwhelmingly against the Trust</w:t>
      </w:r>
      <w:r w:rsidR="00BC75B5">
        <w:rPr>
          <w:rFonts w:ascii="Arial" w:hAnsi="Arial" w:cs="Arial"/>
          <w:sz w:val="24"/>
          <w:szCs w:val="24"/>
        </w:rPr>
        <w:t xml:space="preserve"> since</w:t>
      </w:r>
      <w:r w:rsidR="00A71BF9">
        <w:rPr>
          <w:rFonts w:ascii="Arial" w:hAnsi="Arial" w:cs="Arial"/>
          <w:sz w:val="24"/>
          <w:szCs w:val="24"/>
        </w:rPr>
        <w:t xml:space="preserve"> a final winding up order was already granted when the director (the fourth respondent)</w:t>
      </w:r>
      <w:r w:rsidR="00A47241">
        <w:rPr>
          <w:rFonts w:ascii="Arial" w:hAnsi="Arial" w:cs="Arial"/>
          <w:sz w:val="24"/>
          <w:szCs w:val="24"/>
        </w:rPr>
        <w:t xml:space="preserve"> and his companies</w:t>
      </w:r>
      <w:r w:rsidR="00A71BF9">
        <w:rPr>
          <w:rFonts w:ascii="Arial" w:hAnsi="Arial" w:cs="Arial"/>
          <w:sz w:val="24"/>
          <w:szCs w:val="24"/>
        </w:rPr>
        <w:t>, knowing well that he was indebted to a number of creditors elected to dishone</w:t>
      </w:r>
      <w:r w:rsidR="00A47241">
        <w:rPr>
          <w:rFonts w:ascii="Arial" w:hAnsi="Arial" w:cs="Arial"/>
          <w:sz w:val="24"/>
          <w:szCs w:val="24"/>
        </w:rPr>
        <w:t>stly dissipate the assets of a</w:t>
      </w:r>
      <w:r w:rsidR="00A71BF9">
        <w:rPr>
          <w:rFonts w:ascii="Arial" w:hAnsi="Arial" w:cs="Arial"/>
          <w:sz w:val="24"/>
          <w:szCs w:val="24"/>
        </w:rPr>
        <w:t xml:space="preserve"> liquidated company for the benefit of one creditor and thereby prejudiced a body of creditors.  The first to third respondents correctly asserted that Section 341(2) of the Companies Act 61 of 1973 provides that:</w:t>
      </w:r>
    </w:p>
    <w:p w14:paraId="71593FD3" w14:textId="55E2AA09" w:rsidR="00A71BF9" w:rsidRDefault="00A71BF9" w:rsidP="00A71BF9">
      <w:pPr>
        <w:spacing w:line="480" w:lineRule="auto"/>
        <w:ind w:left="720"/>
        <w:jc w:val="both"/>
        <w:rPr>
          <w:rFonts w:ascii="Arial" w:hAnsi="Arial" w:cs="Arial"/>
          <w:sz w:val="24"/>
          <w:szCs w:val="24"/>
        </w:rPr>
      </w:pPr>
      <w:r>
        <w:rPr>
          <w:rFonts w:ascii="Arial" w:hAnsi="Arial" w:cs="Arial"/>
          <w:i/>
          <w:sz w:val="24"/>
          <w:szCs w:val="24"/>
        </w:rPr>
        <w:t>‘[e[very disposition of its property (including rights of action) by any company being wound up and unable to pay its debts made after the commencement of the winding up, shall be void unless the court otherwise orders.</w:t>
      </w:r>
      <w:r>
        <w:rPr>
          <w:rFonts w:ascii="Arial" w:hAnsi="Arial" w:cs="Arial"/>
          <w:sz w:val="24"/>
          <w:szCs w:val="24"/>
        </w:rPr>
        <w:t>’</w:t>
      </w:r>
    </w:p>
    <w:p w14:paraId="73A1EE36" w14:textId="1C8050C4" w:rsidR="0040673D" w:rsidRDefault="0040673D" w:rsidP="0040673D">
      <w:pPr>
        <w:spacing w:line="480" w:lineRule="auto"/>
        <w:jc w:val="both"/>
        <w:rPr>
          <w:rFonts w:ascii="Arial" w:hAnsi="Arial" w:cs="Arial"/>
          <w:i/>
          <w:sz w:val="24"/>
          <w:szCs w:val="24"/>
        </w:rPr>
      </w:pPr>
    </w:p>
    <w:p w14:paraId="01A73963" w14:textId="0B0C7903" w:rsidR="0040673D" w:rsidRDefault="00BC75B5" w:rsidP="0040673D">
      <w:pPr>
        <w:spacing w:line="480" w:lineRule="auto"/>
        <w:jc w:val="both"/>
        <w:rPr>
          <w:rFonts w:ascii="Arial" w:hAnsi="Arial" w:cs="Arial"/>
          <w:sz w:val="24"/>
          <w:szCs w:val="24"/>
        </w:rPr>
      </w:pPr>
      <w:r>
        <w:rPr>
          <w:rFonts w:ascii="Arial" w:hAnsi="Arial" w:cs="Arial"/>
          <w:sz w:val="24"/>
          <w:szCs w:val="24"/>
        </w:rPr>
        <w:t>[</w:t>
      </w:r>
      <w:r w:rsidR="003C66BC">
        <w:rPr>
          <w:rFonts w:ascii="Arial" w:hAnsi="Arial" w:cs="Arial"/>
          <w:sz w:val="24"/>
          <w:szCs w:val="24"/>
        </w:rPr>
        <w:t>33</w:t>
      </w:r>
      <w:r>
        <w:rPr>
          <w:rFonts w:ascii="Arial" w:hAnsi="Arial" w:cs="Arial"/>
          <w:sz w:val="24"/>
          <w:szCs w:val="24"/>
        </w:rPr>
        <w:t>]</w:t>
      </w:r>
      <w:r>
        <w:rPr>
          <w:rFonts w:ascii="Arial" w:hAnsi="Arial" w:cs="Arial"/>
          <w:sz w:val="24"/>
          <w:szCs w:val="24"/>
        </w:rPr>
        <w:tab/>
      </w:r>
      <w:r w:rsidR="00A47241">
        <w:rPr>
          <w:rFonts w:ascii="Arial" w:hAnsi="Arial" w:cs="Arial"/>
          <w:sz w:val="24"/>
          <w:szCs w:val="24"/>
        </w:rPr>
        <w:t>The</w:t>
      </w:r>
      <w:r w:rsidR="0038070E">
        <w:rPr>
          <w:rFonts w:ascii="Arial" w:hAnsi="Arial" w:cs="Arial"/>
          <w:sz w:val="24"/>
          <w:szCs w:val="24"/>
        </w:rPr>
        <w:t xml:space="preserve"> respondents</w:t>
      </w:r>
      <w:r w:rsidR="00A47241">
        <w:rPr>
          <w:rFonts w:ascii="Arial" w:hAnsi="Arial" w:cs="Arial"/>
          <w:sz w:val="24"/>
          <w:szCs w:val="24"/>
        </w:rPr>
        <w:t xml:space="preserve"> indicated</w:t>
      </w:r>
      <w:r w:rsidR="0040673D">
        <w:rPr>
          <w:rFonts w:ascii="Arial" w:hAnsi="Arial" w:cs="Arial"/>
          <w:sz w:val="24"/>
          <w:szCs w:val="24"/>
        </w:rPr>
        <w:t xml:space="preserve"> that to the extent that the </w:t>
      </w:r>
      <w:r>
        <w:rPr>
          <w:rFonts w:ascii="Arial" w:hAnsi="Arial" w:cs="Arial"/>
          <w:sz w:val="24"/>
          <w:szCs w:val="24"/>
        </w:rPr>
        <w:t>s</w:t>
      </w:r>
      <w:r w:rsidR="0040673D">
        <w:rPr>
          <w:rFonts w:ascii="Arial" w:hAnsi="Arial" w:cs="Arial"/>
          <w:sz w:val="24"/>
          <w:szCs w:val="24"/>
        </w:rPr>
        <w:t xml:space="preserve">ettlement </w:t>
      </w:r>
      <w:r>
        <w:rPr>
          <w:rFonts w:ascii="Arial" w:hAnsi="Arial" w:cs="Arial"/>
          <w:sz w:val="24"/>
          <w:szCs w:val="24"/>
        </w:rPr>
        <w:t>a</w:t>
      </w:r>
      <w:r w:rsidR="0038070E">
        <w:rPr>
          <w:rFonts w:ascii="Arial" w:hAnsi="Arial" w:cs="Arial"/>
          <w:sz w:val="24"/>
          <w:szCs w:val="24"/>
        </w:rPr>
        <w:t xml:space="preserve">greement </w:t>
      </w:r>
      <w:r w:rsidR="0040673D">
        <w:rPr>
          <w:rFonts w:ascii="Arial" w:hAnsi="Arial" w:cs="Arial"/>
          <w:sz w:val="24"/>
          <w:szCs w:val="24"/>
        </w:rPr>
        <w:t>was made an order of Court</w:t>
      </w:r>
      <w:r w:rsidR="0038070E">
        <w:rPr>
          <w:rFonts w:ascii="Arial" w:hAnsi="Arial" w:cs="Arial"/>
          <w:sz w:val="24"/>
          <w:szCs w:val="24"/>
        </w:rPr>
        <w:t>,</w:t>
      </w:r>
      <w:r>
        <w:rPr>
          <w:rFonts w:ascii="Arial" w:hAnsi="Arial" w:cs="Arial"/>
          <w:sz w:val="24"/>
          <w:szCs w:val="24"/>
        </w:rPr>
        <w:t xml:space="preserve"> and</w:t>
      </w:r>
      <w:r w:rsidR="0040673D">
        <w:rPr>
          <w:rFonts w:ascii="Arial" w:hAnsi="Arial" w:cs="Arial"/>
          <w:sz w:val="24"/>
          <w:szCs w:val="24"/>
        </w:rPr>
        <w:t xml:space="preserve"> that this Court is</w:t>
      </w:r>
      <w:r w:rsidR="0038070E">
        <w:rPr>
          <w:rFonts w:ascii="Arial" w:hAnsi="Arial" w:cs="Arial"/>
          <w:sz w:val="24"/>
          <w:szCs w:val="24"/>
        </w:rPr>
        <w:t xml:space="preserve"> now called upon</w:t>
      </w:r>
      <w:r w:rsidR="0040673D">
        <w:rPr>
          <w:rFonts w:ascii="Arial" w:hAnsi="Arial" w:cs="Arial"/>
          <w:sz w:val="24"/>
          <w:szCs w:val="24"/>
        </w:rPr>
        <w:t xml:space="preserve"> to validate a disposi</w:t>
      </w:r>
      <w:r w:rsidR="004E1E1F">
        <w:rPr>
          <w:rFonts w:ascii="Arial" w:hAnsi="Arial" w:cs="Arial"/>
          <w:sz w:val="24"/>
          <w:szCs w:val="24"/>
        </w:rPr>
        <w:t>tion after the winding up order,</w:t>
      </w:r>
      <w:r w:rsidR="0040673D">
        <w:rPr>
          <w:rFonts w:ascii="Arial" w:hAnsi="Arial" w:cs="Arial"/>
          <w:sz w:val="24"/>
          <w:szCs w:val="24"/>
        </w:rPr>
        <w:t xml:space="preserve"> </w:t>
      </w:r>
      <w:r>
        <w:rPr>
          <w:rFonts w:ascii="Arial" w:hAnsi="Arial" w:cs="Arial"/>
          <w:sz w:val="24"/>
          <w:szCs w:val="24"/>
        </w:rPr>
        <w:t xml:space="preserve">clearly </w:t>
      </w:r>
      <w:r w:rsidR="0038070E">
        <w:rPr>
          <w:rFonts w:ascii="Arial" w:hAnsi="Arial" w:cs="Arial"/>
          <w:sz w:val="24"/>
          <w:szCs w:val="24"/>
        </w:rPr>
        <w:t>this Court</w:t>
      </w:r>
      <w:r w:rsidR="0040673D">
        <w:rPr>
          <w:rFonts w:ascii="Arial" w:hAnsi="Arial" w:cs="Arial"/>
          <w:sz w:val="24"/>
          <w:szCs w:val="24"/>
        </w:rPr>
        <w:t xml:space="preserve"> has no discretion to do so.</w:t>
      </w:r>
    </w:p>
    <w:p w14:paraId="4238F290" w14:textId="33A0C218" w:rsidR="0040673D" w:rsidRDefault="0040673D" w:rsidP="0040673D">
      <w:pPr>
        <w:spacing w:line="480" w:lineRule="auto"/>
        <w:jc w:val="both"/>
        <w:rPr>
          <w:rFonts w:ascii="Arial" w:hAnsi="Arial" w:cs="Arial"/>
          <w:sz w:val="24"/>
          <w:szCs w:val="24"/>
        </w:rPr>
      </w:pPr>
    </w:p>
    <w:p w14:paraId="3942E6F0" w14:textId="14870370" w:rsidR="0040673D" w:rsidRDefault="003C66BC" w:rsidP="0040673D">
      <w:pPr>
        <w:spacing w:line="480" w:lineRule="auto"/>
        <w:jc w:val="both"/>
        <w:rPr>
          <w:rFonts w:ascii="Arial" w:hAnsi="Arial" w:cs="Arial"/>
          <w:sz w:val="24"/>
          <w:szCs w:val="24"/>
        </w:rPr>
      </w:pPr>
      <w:r>
        <w:rPr>
          <w:rFonts w:ascii="Arial" w:hAnsi="Arial" w:cs="Arial"/>
          <w:sz w:val="24"/>
          <w:szCs w:val="24"/>
        </w:rPr>
        <w:t>[34</w:t>
      </w:r>
      <w:r w:rsidR="0040673D">
        <w:rPr>
          <w:rFonts w:ascii="Arial" w:hAnsi="Arial" w:cs="Arial"/>
          <w:sz w:val="24"/>
          <w:szCs w:val="24"/>
        </w:rPr>
        <w:t>]</w:t>
      </w:r>
      <w:r w:rsidR="0040673D">
        <w:rPr>
          <w:rFonts w:ascii="Arial" w:hAnsi="Arial" w:cs="Arial"/>
          <w:sz w:val="24"/>
          <w:szCs w:val="24"/>
        </w:rPr>
        <w:tab/>
        <w:t xml:space="preserve">In </w:t>
      </w:r>
      <w:r w:rsidR="0040673D">
        <w:rPr>
          <w:rFonts w:ascii="Arial" w:hAnsi="Arial" w:cs="Arial"/>
          <w:i/>
          <w:sz w:val="24"/>
          <w:szCs w:val="24"/>
        </w:rPr>
        <w:t xml:space="preserve">Engen Petroleum Ltd v Goudis Carriers (Pty) Ltd </w:t>
      </w:r>
      <w:r w:rsidR="0040673D">
        <w:rPr>
          <w:rFonts w:ascii="Arial" w:hAnsi="Arial" w:cs="Arial"/>
          <w:sz w:val="24"/>
          <w:szCs w:val="24"/>
        </w:rPr>
        <w:t>(in liquidation)</w:t>
      </w:r>
      <w:r w:rsidR="0040673D">
        <w:rPr>
          <w:rStyle w:val="FootnoteReference"/>
          <w:rFonts w:ascii="Arial" w:hAnsi="Arial" w:cs="Arial"/>
          <w:sz w:val="24"/>
          <w:szCs w:val="24"/>
        </w:rPr>
        <w:footnoteReference w:id="15"/>
      </w:r>
      <w:r w:rsidR="0040673D">
        <w:rPr>
          <w:rFonts w:ascii="Arial" w:hAnsi="Arial" w:cs="Arial"/>
          <w:sz w:val="24"/>
          <w:szCs w:val="24"/>
        </w:rPr>
        <w:t xml:space="preserve"> the Court was </w:t>
      </w:r>
      <w:r w:rsidR="00BC75B5">
        <w:rPr>
          <w:rFonts w:ascii="Arial" w:hAnsi="Arial" w:cs="Arial"/>
          <w:sz w:val="24"/>
          <w:szCs w:val="24"/>
        </w:rPr>
        <w:t>requested</w:t>
      </w:r>
      <w:r w:rsidR="0040673D">
        <w:rPr>
          <w:rFonts w:ascii="Arial" w:hAnsi="Arial" w:cs="Arial"/>
          <w:sz w:val="24"/>
          <w:szCs w:val="24"/>
        </w:rPr>
        <w:t xml:space="preserve"> to interpret the provisions of s341(2) of the Companies Act 61 of 1973.  The applicant, Engen Petroleum Ltd (“</w:t>
      </w:r>
      <w:r w:rsidR="0040673D">
        <w:rPr>
          <w:rFonts w:ascii="Arial" w:hAnsi="Arial" w:cs="Arial"/>
          <w:i/>
          <w:sz w:val="24"/>
          <w:szCs w:val="24"/>
        </w:rPr>
        <w:t>Engen</w:t>
      </w:r>
      <w:r w:rsidR="0040673D">
        <w:rPr>
          <w:rFonts w:ascii="Arial" w:hAnsi="Arial" w:cs="Arial"/>
          <w:sz w:val="24"/>
          <w:szCs w:val="24"/>
        </w:rPr>
        <w:t xml:space="preserve">”) supplied fuel to the respondent, Goudis since </w:t>
      </w:r>
      <w:r w:rsidR="0040673D">
        <w:rPr>
          <w:rFonts w:ascii="Arial" w:hAnsi="Arial" w:cs="Arial"/>
          <w:sz w:val="24"/>
          <w:szCs w:val="24"/>
        </w:rPr>
        <w:lastRenderedPageBreak/>
        <w:t xml:space="preserve">October 2002.  Goudis had a credit account with Engen.  On 14 September 2012, a creditor of Goudis filed a winding up application.  Engen was ignorant of this occurrence.  On 23 October 2012 a final winding up order was granted, establishing </w:t>
      </w:r>
      <w:r w:rsidR="0040673D">
        <w:rPr>
          <w:rFonts w:ascii="Arial" w:hAnsi="Arial" w:cs="Arial"/>
          <w:i/>
          <w:sz w:val="24"/>
          <w:szCs w:val="24"/>
        </w:rPr>
        <w:t>concursus creditorium</w:t>
      </w:r>
      <w:r w:rsidR="0040673D">
        <w:rPr>
          <w:rFonts w:ascii="Arial" w:hAnsi="Arial" w:cs="Arial"/>
          <w:sz w:val="24"/>
          <w:szCs w:val="24"/>
        </w:rPr>
        <w:t xml:space="preserve"> on 14 September 2012.  Again, Engen continued to ignore this occurrence and supplied fuel to Goudis up until 30 November 2012.  During this period, Goudis had made several payments to Engen.  Enge</w:t>
      </w:r>
      <w:r w:rsidR="00BC75B5">
        <w:rPr>
          <w:rFonts w:ascii="Arial" w:hAnsi="Arial" w:cs="Arial"/>
          <w:sz w:val="24"/>
          <w:szCs w:val="24"/>
        </w:rPr>
        <w:t>n</w:t>
      </w:r>
      <w:r w:rsidR="0040673D">
        <w:rPr>
          <w:rFonts w:ascii="Arial" w:hAnsi="Arial" w:cs="Arial"/>
          <w:sz w:val="24"/>
          <w:szCs w:val="24"/>
        </w:rPr>
        <w:t xml:space="preserve"> learnt of the order on 10 December 2012 and was furnished with proof of the appointment of liquidators on 12 December 2012.</w:t>
      </w:r>
    </w:p>
    <w:p w14:paraId="6F6B02DF" w14:textId="5A40A94F" w:rsidR="0040673D" w:rsidRDefault="0040673D" w:rsidP="0040673D">
      <w:pPr>
        <w:spacing w:line="480" w:lineRule="auto"/>
        <w:jc w:val="both"/>
        <w:rPr>
          <w:rFonts w:ascii="Arial" w:hAnsi="Arial" w:cs="Arial"/>
          <w:sz w:val="24"/>
          <w:szCs w:val="24"/>
        </w:rPr>
      </w:pPr>
    </w:p>
    <w:p w14:paraId="578B68BE" w14:textId="17851731" w:rsidR="006D571D" w:rsidRDefault="003C66BC" w:rsidP="0040673D">
      <w:pPr>
        <w:spacing w:line="480" w:lineRule="auto"/>
        <w:jc w:val="both"/>
        <w:rPr>
          <w:rFonts w:ascii="Arial" w:hAnsi="Arial" w:cs="Arial"/>
          <w:sz w:val="24"/>
          <w:szCs w:val="24"/>
        </w:rPr>
      </w:pPr>
      <w:r>
        <w:rPr>
          <w:rFonts w:ascii="Arial" w:hAnsi="Arial" w:cs="Arial"/>
          <w:sz w:val="24"/>
          <w:szCs w:val="24"/>
        </w:rPr>
        <w:t>[35</w:t>
      </w:r>
      <w:r w:rsidR="0040673D">
        <w:rPr>
          <w:rFonts w:ascii="Arial" w:hAnsi="Arial" w:cs="Arial"/>
          <w:sz w:val="24"/>
          <w:szCs w:val="24"/>
        </w:rPr>
        <w:t>]</w:t>
      </w:r>
      <w:r w:rsidR="0040673D">
        <w:rPr>
          <w:rFonts w:ascii="Arial" w:hAnsi="Arial" w:cs="Arial"/>
          <w:sz w:val="24"/>
          <w:szCs w:val="24"/>
        </w:rPr>
        <w:tab/>
        <w:t>The question for determination by the Court was whether a disposition made by the company Goudis, after the date on which the final winding up order was made was subject to Section 341(2) of the Companies Act.  Sutherland J held that the effec</w:t>
      </w:r>
      <w:r w:rsidR="006017D5">
        <w:rPr>
          <w:rFonts w:ascii="Arial" w:hAnsi="Arial" w:cs="Arial"/>
          <w:sz w:val="24"/>
          <w:szCs w:val="24"/>
        </w:rPr>
        <w:t>t of Section 348 of the Act is</w:t>
      </w:r>
      <w:r w:rsidR="0040673D">
        <w:rPr>
          <w:rFonts w:ascii="Arial" w:hAnsi="Arial" w:cs="Arial"/>
          <w:sz w:val="24"/>
          <w:szCs w:val="24"/>
        </w:rPr>
        <w:t xml:space="preserve"> retrospectiv</w:t>
      </w:r>
      <w:r w:rsidR="006017D5">
        <w:rPr>
          <w:rFonts w:ascii="Arial" w:hAnsi="Arial" w:cs="Arial"/>
          <w:sz w:val="24"/>
          <w:szCs w:val="24"/>
        </w:rPr>
        <w:t>ely an</w:t>
      </w:r>
      <w:r w:rsidR="0040673D">
        <w:rPr>
          <w:rFonts w:ascii="Arial" w:hAnsi="Arial" w:cs="Arial"/>
          <w:sz w:val="24"/>
          <w:szCs w:val="24"/>
        </w:rPr>
        <w:t xml:space="preserve"> effective date for establishing a </w:t>
      </w:r>
      <w:r w:rsidR="0040673D">
        <w:rPr>
          <w:rFonts w:ascii="Arial" w:hAnsi="Arial" w:cs="Arial"/>
          <w:i/>
          <w:sz w:val="24"/>
          <w:szCs w:val="24"/>
        </w:rPr>
        <w:t xml:space="preserve">concursus creditorium.  </w:t>
      </w:r>
      <w:r w:rsidR="0040673D">
        <w:rPr>
          <w:rFonts w:ascii="Arial" w:hAnsi="Arial" w:cs="Arial"/>
          <w:sz w:val="24"/>
          <w:szCs w:val="24"/>
        </w:rPr>
        <w:t>The effect is to convert what were valid and binding dispositions into void disposition</w:t>
      </w:r>
      <w:r w:rsidR="00C971F3">
        <w:rPr>
          <w:rFonts w:ascii="Arial" w:hAnsi="Arial" w:cs="Arial"/>
          <w:sz w:val="24"/>
          <w:szCs w:val="24"/>
        </w:rPr>
        <w:t>s</w:t>
      </w:r>
      <w:r w:rsidR="0040673D">
        <w:rPr>
          <w:rFonts w:ascii="Arial" w:hAnsi="Arial" w:cs="Arial"/>
          <w:sz w:val="24"/>
          <w:szCs w:val="24"/>
        </w:rPr>
        <w:t xml:space="preserve">.  It was held that the Court is not empowered to convert an unlawful, invalid and unauthorised transaction into a valid one.  The disposition had to enjoy the attributes of validity at the moment it occurred.  In essence, after the final winding up order a company cannot effect valid transactions precisely because of </w:t>
      </w:r>
      <w:r w:rsidR="0040673D">
        <w:rPr>
          <w:rFonts w:ascii="Arial" w:hAnsi="Arial" w:cs="Arial"/>
          <w:i/>
          <w:sz w:val="24"/>
          <w:szCs w:val="24"/>
        </w:rPr>
        <w:t>concursus creditorium</w:t>
      </w:r>
      <w:r w:rsidR="0040673D">
        <w:rPr>
          <w:rFonts w:ascii="Arial" w:hAnsi="Arial" w:cs="Arial"/>
          <w:sz w:val="24"/>
          <w:szCs w:val="24"/>
        </w:rPr>
        <w:t>; from which moment, the control of the company is removed from its office bearers.  The Court held further that Section 341(2)</w:t>
      </w:r>
      <w:r w:rsidR="006D571D">
        <w:rPr>
          <w:rFonts w:ascii="Arial" w:hAnsi="Arial" w:cs="Arial"/>
          <w:sz w:val="24"/>
          <w:szCs w:val="24"/>
        </w:rPr>
        <w:t xml:space="preserve"> confers a power on a court to intervene in respect of dispositions, which a company may lawfully make during the period between the date on which the application for a winding up has been presented and the date on which the final winding-up order is granted.  The Court then ordered Engen to repay the payments received from Goudis after 23 October 2013.</w:t>
      </w:r>
    </w:p>
    <w:p w14:paraId="3E187DF7" w14:textId="77777777" w:rsidR="006D571D" w:rsidRDefault="006D571D" w:rsidP="0040673D">
      <w:pPr>
        <w:spacing w:line="480" w:lineRule="auto"/>
        <w:jc w:val="both"/>
        <w:rPr>
          <w:rFonts w:ascii="Arial" w:hAnsi="Arial" w:cs="Arial"/>
          <w:sz w:val="24"/>
          <w:szCs w:val="24"/>
        </w:rPr>
      </w:pPr>
    </w:p>
    <w:p w14:paraId="6BF747E6" w14:textId="2C92588A" w:rsidR="00564A82" w:rsidRDefault="003C66BC" w:rsidP="0040673D">
      <w:pPr>
        <w:spacing w:line="480" w:lineRule="auto"/>
        <w:jc w:val="both"/>
        <w:rPr>
          <w:rFonts w:ascii="Arial" w:hAnsi="Arial" w:cs="Arial"/>
          <w:sz w:val="24"/>
          <w:szCs w:val="24"/>
        </w:rPr>
      </w:pPr>
      <w:r>
        <w:rPr>
          <w:rFonts w:ascii="Arial" w:hAnsi="Arial" w:cs="Arial"/>
          <w:sz w:val="24"/>
          <w:szCs w:val="24"/>
        </w:rPr>
        <w:lastRenderedPageBreak/>
        <w:t>[36</w:t>
      </w:r>
      <w:r w:rsidR="006D571D">
        <w:rPr>
          <w:rFonts w:ascii="Arial" w:hAnsi="Arial" w:cs="Arial"/>
          <w:sz w:val="24"/>
          <w:szCs w:val="24"/>
        </w:rPr>
        <w:t>]</w:t>
      </w:r>
      <w:r w:rsidR="006D571D">
        <w:rPr>
          <w:rFonts w:ascii="Arial" w:hAnsi="Arial" w:cs="Arial"/>
          <w:sz w:val="24"/>
          <w:szCs w:val="24"/>
        </w:rPr>
        <w:tab/>
        <w:t>The Trust appears to have disregarded the fact that</w:t>
      </w:r>
      <w:r w:rsidR="00564A82">
        <w:rPr>
          <w:rFonts w:ascii="Arial" w:hAnsi="Arial" w:cs="Arial"/>
          <w:sz w:val="24"/>
          <w:szCs w:val="24"/>
        </w:rPr>
        <w:t xml:space="preserve"> it bears </w:t>
      </w:r>
      <w:r w:rsidR="0038070E">
        <w:rPr>
          <w:rFonts w:ascii="Arial" w:hAnsi="Arial" w:cs="Arial"/>
          <w:sz w:val="24"/>
          <w:szCs w:val="24"/>
        </w:rPr>
        <w:t xml:space="preserve">the </w:t>
      </w:r>
      <w:r w:rsidR="00564A82">
        <w:rPr>
          <w:rFonts w:ascii="Arial" w:hAnsi="Arial" w:cs="Arial"/>
          <w:sz w:val="24"/>
          <w:szCs w:val="24"/>
        </w:rPr>
        <w:t xml:space="preserve">onus to prove the ownership of the movable property as it insisted that the fourth respondent has consistently maintained that the assets belonged to him.  </w:t>
      </w:r>
      <w:r w:rsidR="0038070E">
        <w:rPr>
          <w:rFonts w:ascii="Arial" w:hAnsi="Arial" w:cs="Arial"/>
          <w:sz w:val="24"/>
          <w:szCs w:val="24"/>
        </w:rPr>
        <w:t>Unfortunately</w:t>
      </w:r>
      <w:r w:rsidR="006017D5">
        <w:rPr>
          <w:rFonts w:ascii="Arial" w:hAnsi="Arial" w:cs="Arial"/>
          <w:sz w:val="24"/>
          <w:szCs w:val="24"/>
        </w:rPr>
        <w:t xml:space="preserve">, </w:t>
      </w:r>
      <w:r w:rsidR="0038070E">
        <w:rPr>
          <w:rFonts w:ascii="Arial" w:hAnsi="Arial" w:cs="Arial"/>
          <w:sz w:val="24"/>
          <w:szCs w:val="24"/>
        </w:rPr>
        <w:t xml:space="preserve">it missed the point when it shifted the onus </w:t>
      </w:r>
      <w:r w:rsidR="006017D5">
        <w:rPr>
          <w:rFonts w:ascii="Arial" w:hAnsi="Arial" w:cs="Arial"/>
          <w:sz w:val="24"/>
          <w:szCs w:val="24"/>
        </w:rPr>
        <w:t>t</w:t>
      </w:r>
      <w:r w:rsidR="0038070E">
        <w:rPr>
          <w:rFonts w:ascii="Arial" w:hAnsi="Arial" w:cs="Arial"/>
          <w:sz w:val="24"/>
          <w:szCs w:val="24"/>
        </w:rPr>
        <w:t>o</w:t>
      </w:r>
      <w:r w:rsidR="00564A82">
        <w:rPr>
          <w:rFonts w:ascii="Arial" w:hAnsi="Arial" w:cs="Arial"/>
          <w:sz w:val="24"/>
          <w:szCs w:val="24"/>
        </w:rPr>
        <w:t xml:space="preserve"> the first to third respondents </w:t>
      </w:r>
      <w:r w:rsidR="0038070E">
        <w:rPr>
          <w:rFonts w:ascii="Arial" w:hAnsi="Arial" w:cs="Arial"/>
          <w:sz w:val="24"/>
          <w:szCs w:val="24"/>
        </w:rPr>
        <w:t xml:space="preserve">that they </w:t>
      </w:r>
      <w:r w:rsidR="00564A82">
        <w:rPr>
          <w:rFonts w:ascii="Arial" w:hAnsi="Arial" w:cs="Arial"/>
          <w:sz w:val="24"/>
          <w:szCs w:val="24"/>
        </w:rPr>
        <w:t>have not ‘formally’ challenged the fourth respondent’s alleged ownership of the assets.</w:t>
      </w:r>
    </w:p>
    <w:p w14:paraId="055B6E4B" w14:textId="77777777" w:rsidR="004E1E1F" w:rsidRDefault="004E1E1F" w:rsidP="0040673D">
      <w:pPr>
        <w:spacing w:line="480" w:lineRule="auto"/>
        <w:jc w:val="both"/>
        <w:rPr>
          <w:rFonts w:ascii="Arial" w:hAnsi="Arial" w:cs="Arial"/>
          <w:sz w:val="24"/>
          <w:szCs w:val="24"/>
        </w:rPr>
      </w:pPr>
    </w:p>
    <w:p w14:paraId="1AF72830" w14:textId="35CE66B3" w:rsidR="00564A82" w:rsidRDefault="003C66BC" w:rsidP="0040673D">
      <w:pPr>
        <w:spacing w:line="480" w:lineRule="auto"/>
        <w:jc w:val="both"/>
        <w:rPr>
          <w:rFonts w:ascii="Arial" w:hAnsi="Arial" w:cs="Arial"/>
          <w:sz w:val="24"/>
          <w:szCs w:val="24"/>
        </w:rPr>
      </w:pPr>
      <w:r>
        <w:rPr>
          <w:rFonts w:ascii="Arial" w:hAnsi="Arial" w:cs="Arial"/>
          <w:sz w:val="24"/>
          <w:szCs w:val="24"/>
        </w:rPr>
        <w:t>[37</w:t>
      </w:r>
      <w:r w:rsidR="00564A82">
        <w:rPr>
          <w:rFonts w:ascii="Arial" w:hAnsi="Arial" w:cs="Arial"/>
          <w:sz w:val="24"/>
          <w:szCs w:val="24"/>
        </w:rPr>
        <w:t>]</w:t>
      </w:r>
      <w:r w:rsidR="00564A82">
        <w:rPr>
          <w:rFonts w:ascii="Arial" w:hAnsi="Arial" w:cs="Arial"/>
          <w:sz w:val="24"/>
          <w:szCs w:val="24"/>
        </w:rPr>
        <w:tab/>
        <w:t xml:space="preserve">The Trust’s claim that it was exercising the landlord’s hypothec gives credence to the first to third </w:t>
      </w:r>
      <w:r w:rsidR="006017D5">
        <w:rPr>
          <w:rFonts w:ascii="Arial" w:hAnsi="Arial" w:cs="Arial"/>
          <w:sz w:val="24"/>
          <w:szCs w:val="24"/>
        </w:rPr>
        <w:t>respondents’ argument that the s</w:t>
      </w:r>
      <w:r w:rsidR="00564A82">
        <w:rPr>
          <w:rFonts w:ascii="Arial" w:hAnsi="Arial" w:cs="Arial"/>
          <w:sz w:val="24"/>
          <w:szCs w:val="24"/>
        </w:rPr>
        <w:t xml:space="preserve">ettlement </w:t>
      </w:r>
      <w:r w:rsidR="006017D5">
        <w:rPr>
          <w:rFonts w:ascii="Arial" w:hAnsi="Arial" w:cs="Arial"/>
          <w:sz w:val="24"/>
          <w:szCs w:val="24"/>
        </w:rPr>
        <w:t>a</w:t>
      </w:r>
      <w:r w:rsidR="00564A82">
        <w:rPr>
          <w:rFonts w:ascii="Arial" w:hAnsi="Arial" w:cs="Arial"/>
          <w:sz w:val="24"/>
          <w:szCs w:val="24"/>
        </w:rPr>
        <w:t>greement read properly given its true meaning was predic</w:t>
      </w:r>
      <w:r w:rsidR="006017D5">
        <w:rPr>
          <w:rFonts w:ascii="Arial" w:hAnsi="Arial" w:cs="Arial"/>
          <w:sz w:val="24"/>
          <w:szCs w:val="24"/>
        </w:rPr>
        <w:t>a</w:t>
      </w:r>
      <w:r w:rsidR="00564A82">
        <w:rPr>
          <w:rFonts w:ascii="Arial" w:hAnsi="Arial" w:cs="Arial"/>
          <w:sz w:val="24"/>
          <w:szCs w:val="24"/>
        </w:rPr>
        <w:t>ted on the premise that the Trust wa</w:t>
      </w:r>
      <w:r w:rsidR="008406CD">
        <w:rPr>
          <w:rFonts w:ascii="Arial" w:hAnsi="Arial" w:cs="Arial"/>
          <w:sz w:val="24"/>
          <w:szCs w:val="24"/>
        </w:rPr>
        <w:t xml:space="preserve">s the </w:t>
      </w:r>
      <w:r w:rsidR="00BC1FF8">
        <w:rPr>
          <w:rFonts w:ascii="Arial" w:hAnsi="Arial" w:cs="Arial"/>
          <w:sz w:val="24"/>
          <w:szCs w:val="24"/>
        </w:rPr>
        <w:t>l</w:t>
      </w:r>
      <w:r w:rsidR="00564A82">
        <w:rPr>
          <w:rFonts w:ascii="Arial" w:hAnsi="Arial" w:cs="Arial"/>
          <w:sz w:val="24"/>
          <w:szCs w:val="24"/>
        </w:rPr>
        <w:t>and</w:t>
      </w:r>
      <w:r w:rsidR="00BC1FF8">
        <w:rPr>
          <w:rFonts w:ascii="Arial" w:hAnsi="Arial" w:cs="Arial"/>
          <w:sz w:val="24"/>
          <w:szCs w:val="24"/>
        </w:rPr>
        <w:t>lord and the first respondent</w:t>
      </w:r>
      <w:r w:rsidR="00564A82">
        <w:rPr>
          <w:rFonts w:ascii="Arial" w:hAnsi="Arial" w:cs="Arial"/>
          <w:sz w:val="24"/>
          <w:szCs w:val="24"/>
        </w:rPr>
        <w:t xml:space="preserve"> a tenant. </w:t>
      </w:r>
      <w:r w:rsidR="008406CD">
        <w:rPr>
          <w:rFonts w:ascii="Arial" w:hAnsi="Arial" w:cs="Arial"/>
          <w:sz w:val="24"/>
          <w:szCs w:val="24"/>
        </w:rPr>
        <w:t>The Trust could not have placed the fourth respondent’s assets under attachment in perfection of their hypothec to secure the first respondent’s rental obligations.</w:t>
      </w:r>
      <w:r w:rsidR="00564A82">
        <w:rPr>
          <w:rFonts w:ascii="Arial" w:hAnsi="Arial" w:cs="Arial"/>
          <w:sz w:val="24"/>
          <w:szCs w:val="24"/>
        </w:rPr>
        <w:t xml:space="preserve"> </w:t>
      </w:r>
      <w:r w:rsidR="008406CD">
        <w:rPr>
          <w:rFonts w:ascii="Arial" w:hAnsi="Arial" w:cs="Arial"/>
          <w:sz w:val="24"/>
          <w:szCs w:val="24"/>
        </w:rPr>
        <w:t xml:space="preserve">It that point, I repeat it had no inkling that the first respondent was wound up, so it should proceed against the surety. </w:t>
      </w:r>
      <w:r w:rsidR="00AA2C0B">
        <w:rPr>
          <w:rFonts w:ascii="Arial" w:hAnsi="Arial" w:cs="Arial"/>
          <w:sz w:val="24"/>
          <w:szCs w:val="24"/>
        </w:rPr>
        <w:t xml:space="preserve">It then follows that there was no need to first proceed against the surety without satisfying themselves that there were no realisable assets belonging to the first respondent to clear out the arrear rentals. </w:t>
      </w:r>
      <w:r w:rsidR="008406CD">
        <w:rPr>
          <w:rFonts w:ascii="Arial" w:hAnsi="Arial" w:cs="Arial"/>
          <w:sz w:val="24"/>
          <w:szCs w:val="24"/>
        </w:rPr>
        <w:t xml:space="preserve"> </w:t>
      </w:r>
      <w:r w:rsidR="00BC1FF8">
        <w:rPr>
          <w:rFonts w:ascii="Arial" w:hAnsi="Arial" w:cs="Arial"/>
          <w:sz w:val="24"/>
          <w:szCs w:val="24"/>
        </w:rPr>
        <w:t>A r</w:t>
      </w:r>
      <w:r w:rsidR="00564A82">
        <w:rPr>
          <w:rFonts w:ascii="Arial" w:hAnsi="Arial" w:cs="Arial"/>
          <w:sz w:val="24"/>
          <w:szCs w:val="24"/>
        </w:rPr>
        <w:t>eference to the movable assets belong</w:t>
      </w:r>
      <w:r w:rsidR="00BC1FF8">
        <w:rPr>
          <w:rFonts w:ascii="Arial" w:hAnsi="Arial" w:cs="Arial"/>
          <w:sz w:val="24"/>
          <w:szCs w:val="24"/>
        </w:rPr>
        <w:t>ing</w:t>
      </w:r>
      <w:r w:rsidR="00564A82">
        <w:rPr>
          <w:rFonts w:ascii="Arial" w:hAnsi="Arial" w:cs="Arial"/>
          <w:sz w:val="24"/>
          <w:szCs w:val="24"/>
        </w:rPr>
        <w:t xml:space="preserve"> to the fourth respondent was an afterthought as it was patently clear that the said </w:t>
      </w:r>
      <w:r w:rsidR="00BC1FF8">
        <w:rPr>
          <w:rFonts w:ascii="Arial" w:hAnsi="Arial" w:cs="Arial"/>
          <w:sz w:val="24"/>
          <w:szCs w:val="24"/>
        </w:rPr>
        <w:t>settlement agreement was</w:t>
      </w:r>
      <w:r w:rsidR="00564A82">
        <w:rPr>
          <w:rFonts w:ascii="Arial" w:hAnsi="Arial" w:cs="Arial"/>
          <w:sz w:val="24"/>
          <w:szCs w:val="24"/>
        </w:rPr>
        <w:t xml:space="preserve"> unenforceable on the first respondent.</w:t>
      </w:r>
    </w:p>
    <w:p w14:paraId="35294B87" w14:textId="77777777" w:rsidR="00CB414F" w:rsidRDefault="00CB414F" w:rsidP="00CB414F">
      <w:pPr>
        <w:spacing w:before="240" w:line="480" w:lineRule="auto"/>
        <w:jc w:val="both"/>
        <w:rPr>
          <w:rFonts w:ascii="Arial" w:hAnsi="Arial" w:cs="Arial"/>
          <w:sz w:val="24"/>
          <w:szCs w:val="24"/>
        </w:rPr>
      </w:pPr>
    </w:p>
    <w:p w14:paraId="64CC94A8" w14:textId="60B6C194" w:rsidR="00CB414F" w:rsidRDefault="003C66BC" w:rsidP="00CB414F">
      <w:pPr>
        <w:spacing w:before="240" w:line="480" w:lineRule="auto"/>
        <w:jc w:val="both"/>
        <w:rPr>
          <w:rFonts w:ascii="Arial" w:hAnsi="Arial" w:cs="Arial"/>
          <w:sz w:val="24"/>
          <w:szCs w:val="24"/>
        </w:rPr>
      </w:pPr>
      <w:r>
        <w:rPr>
          <w:rFonts w:ascii="Arial" w:hAnsi="Arial" w:cs="Arial"/>
          <w:sz w:val="24"/>
          <w:szCs w:val="24"/>
        </w:rPr>
        <w:t>[38</w:t>
      </w:r>
      <w:r w:rsidR="00CB414F">
        <w:rPr>
          <w:rFonts w:ascii="Arial" w:hAnsi="Arial" w:cs="Arial"/>
          <w:sz w:val="24"/>
          <w:szCs w:val="24"/>
        </w:rPr>
        <w:t>]</w:t>
      </w:r>
      <w:r w:rsidR="00CB414F">
        <w:rPr>
          <w:rFonts w:ascii="Arial" w:hAnsi="Arial" w:cs="Arial"/>
          <w:sz w:val="24"/>
          <w:szCs w:val="24"/>
        </w:rPr>
        <w:tab/>
        <w:t xml:space="preserve">The Trust in claiming its entitlement to the first respondent’s movable property relied on </w:t>
      </w:r>
      <w:r w:rsidR="00CB414F">
        <w:rPr>
          <w:rFonts w:ascii="Arial" w:hAnsi="Arial" w:cs="Arial"/>
          <w:i/>
          <w:sz w:val="24"/>
          <w:szCs w:val="24"/>
        </w:rPr>
        <w:t xml:space="preserve">Bloemfontein Municipality (supra).  </w:t>
      </w:r>
      <w:r w:rsidR="00CB414F" w:rsidRPr="00BB14A4">
        <w:rPr>
          <w:rFonts w:ascii="Arial" w:hAnsi="Arial" w:cs="Arial"/>
          <w:sz w:val="24"/>
          <w:szCs w:val="24"/>
        </w:rPr>
        <w:t>In this case, the goods belonging to a third person were bro</w:t>
      </w:r>
      <w:r w:rsidR="00CB414F">
        <w:rPr>
          <w:rFonts w:ascii="Arial" w:hAnsi="Arial" w:cs="Arial"/>
          <w:sz w:val="24"/>
          <w:szCs w:val="24"/>
        </w:rPr>
        <w:t xml:space="preserve">ught on to the leased premises with the knowledge and consent, express or implied, of the owner of goods, and with the intention that they should remain there indefinitely for the use of the tenant, and the owner, being in a position to give notice of his ownership to the landlord, failed to do so, and the landlord was unaware that the </w:t>
      </w:r>
      <w:r w:rsidR="00CB414F">
        <w:rPr>
          <w:rFonts w:ascii="Arial" w:hAnsi="Arial" w:cs="Arial"/>
          <w:sz w:val="24"/>
          <w:szCs w:val="24"/>
        </w:rPr>
        <w:lastRenderedPageBreak/>
        <w:t xml:space="preserve">goods did not belong to the tenant, the owner would thereby be taken to have consented to the goods being subject to the landlord’s tacit hypothec and liable to attachment.  In these proceedings, a surety committed assets of a liquidated company to be sold on auction after he fraudulently misrepresented that he was authorised by the same company to sell the assets.  In my view, this authority is completely inappropriate. </w:t>
      </w:r>
    </w:p>
    <w:p w14:paraId="5E2D3ADB" w14:textId="77777777" w:rsidR="004E1E1F" w:rsidRDefault="004E1E1F" w:rsidP="00CB414F">
      <w:pPr>
        <w:spacing w:before="240" w:line="480" w:lineRule="auto"/>
        <w:jc w:val="both"/>
        <w:rPr>
          <w:rFonts w:ascii="Arial" w:hAnsi="Arial" w:cs="Arial"/>
          <w:sz w:val="24"/>
          <w:szCs w:val="24"/>
        </w:rPr>
      </w:pPr>
    </w:p>
    <w:p w14:paraId="44C43ECC" w14:textId="01D922B9" w:rsidR="00CB414F" w:rsidRDefault="00BC1FF8" w:rsidP="00CB414F">
      <w:pPr>
        <w:spacing w:before="240" w:line="480" w:lineRule="auto"/>
        <w:jc w:val="both"/>
        <w:rPr>
          <w:rFonts w:ascii="Arial" w:hAnsi="Arial" w:cs="Arial"/>
          <w:sz w:val="24"/>
          <w:szCs w:val="24"/>
        </w:rPr>
      </w:pPr>
      <w:r>
        <w:rPr>
          <w:rFonts w:ascii="Arial" w:hAnsi="Arial" w:cs="Arial"/>
          <w:sz w:val="24"/>
          <w:szCs w:val="24"/>
        </w:rPr>
        <w:t>[</w:t>
      </w:r>
      <w:r w:rsidR="001E7F96">
        <w:rPr>
          <w:rFonts w:ascii="Arial" w:hAnsi="Arial" w:cs="Arial"/>
          <w:sz w:val="24"/>
          <w:szCs w:val="24"/>
        </w:rPr>
        <w:t>39</w:t>
      </w:r>
      <w:r>
        <w:rPr>
          <w:rFonts w:ascii="Arial" w:hAnsi="Arial" w:cs="Arial"/>
          <w:sz w:val="24"/>
          <w:szCs w:val="24"/>
        </w:rPr>
        <w:t>]</w:t>
      </w:r>
      <w:r w:rsidR="001E7F96">
        <w:rPr>
          <w:rFonts w:ascii="Arial" w:hAnsi="Arial" w:cs="Arial"/>
          <w:sz w:val="24"/>
          <w:szCs w:val="24"/>
        </w:rPr>
        <w:tab/>
      </w:r>
      <w:r w:rsidR="0085122F">
        <w:rPr>
          <w:rFonts w:ascii="Arial" w:hAnsi="Arial" w:cs="Arial"/>
          <w:sz w:val="24"/>
          <w:szCs w:val="24"/>
        </w:rPr>
        <w:t xml:space="preserve">The facts in this matter </w:t>
      </w:r>
      <w:r w:rsidR="008406CD">
        <w:rPr>
          <w:rFonts w:ascii="Arial" w:hAnsi="Arial" w:cs="Arial"/>
          <w:sz w:val="24"/>
          <w:szCs w:val="24"/>
        </w:rPr>
        <w:t xml:space="preserve">are clearly </w:t>
      </w:r>
      <w:r w:rsidR="0085122F">
        <w:rPr>
          <w:rFonts w:ascii="Arial" w:hAnsi="Arial" w:cs="Arial"/>
          <w:sz w:val="24"/>
          <w:szCs w:val="24"/>
        </w:rPr>
        <w:t>di</w:t>
      </w:r>
      <w:r>
        <w:rPr>
          <w:rFonts w:ascii="Arial" w:hAnsi="Arial" w:cs="Arial"/>
          <w:sz w:val="24"/>
          <w:szCs w:val="24"/>
        </w:rPr>
        <w:t>stinguishable</w:t>
      </w:r>
      <w:r w:rsidR="008406CD">
        <w:rPr>
          <w:rFonts w:ascii="Arial" w:hAnsi="Arial" w:cs="Arial"/>
          <w:sz w:val="24"/>
          <w:szCs w:val="24"/>
        </w:rPr>
        <w:t xml:space="preserve">.  </w:t>
      </w:r>
      <w:r w:rsidR="0085122F">
        <w:rPr>
          <w:rFonts w:ascii="Arial" w:hAnsi="Arial" w:cs="Arial"/>
          <w:sz w:val="24"/>
          <w:szCs w:val="24"/>
        </w:rPr>
        <w:t xml:space="preserve"> the Trust </w:t>
      </w:r>
      <w:r>
        <w:rPr>
          <w:rFonts w:ascii="Arial" w:hAnsi="Arial" w:cs="Arial"/>
          <w:sz w:val="24"/>
          <w:szCs w:val="24"/>
        </w:rPr>
        <w:t>self-evidently</w:t>
      </w:r>
      <w:r w:rsidR="0085122F">
        <w:rPr>
          <w:rFonts w:ascii="Arial" w:hAnsi="Arial" w:cs="Arial"/>
          <w:sz w:val="24"/>
          <w:szCs w:val="24"/>
        </w:rPr>
        <w:t xml:space="preserve"> suggest</w:t>
      </w:r>
      <w:r w:rsidR="00C971F3">
        <w:rPr>
          <w:rFonts w:ascii="Arial" w:hAnsi="Arial" w:cs="Arial"/>
          <w:sz w:val="24"/>
          <w:szCs w:val="24"/>
        </w:rPr>
        <w:t>s</w:t>
      </w:r>
      <w:r w:rsidR="0085122F">
        <w:rPr>
          <w:rFonts w:ascii="Arial" w:hAnsi="Arial" w:cs="Arial"/>
          <w:sz w:val="24"/>
          <w:szCs w:val="24"/>
        </w:rPr>
        <w:t xml:space="preserve"> that the high court winding up order should bow out and make way for the magistrate’s order, </w:t>
      </w:r>
      <w:r w:rsidR="0085122F">
        <w:rPr>
          <w:rFonts w:ascii="Arial" w:hAnsi="Arial" w:cs="Arial"/>
          <w:i/>
          <w:sz w:val="24"/>
          <w:szCs w:val="24"/>
        </w:rPr>
        <w:t>albeit</w:t>
      </w:r>
      <w:r w:rsidR="0085122F">
        <w:rPr>
          <w:rFonts w:ascii="Arial" w:hAnsi="Arial" w:cs="Arial"/>
          <w:sz w:val="24"/>
          <w:szCs w:val="24"/>
        </w:rPr>
        <w:t xml:space="preserve"> that will conveniently perfect the Trust’s hypothec on m</w:t>
      </w:r>
      <w:r>
        <w:rPr>
          <w:rFonts w:ascii="Arial" w:hAnsi="Arial" w:cs="Arial"/>
          <w:sz w:val="24"/>
          <w:szCs w:val="24"/>
        </w:rPr>
        <w:t>ovable assets that belong to a</w:t>
      </w:r>
      <w:r w:rsidR="0085122F">
        <w:rPr>
          <w:rFonts w:ascii="Arial" w:hAnsi="Arial" w:cs="Arial"/>
          <w:sz w:val="24"/>
          <w:szCs w:val="24"/>
        </w:rPr>
        <w:t xml:space="preserve"> liquidated company.  The Trust conveniently did not address the fact that at the</w:t>
      </w:r>
      <w:r w:rsidR="008406CD">
        <w:rPr>
          <w:rFonts w:ascii="Arial" w:hAnsi="Arial" w:cs="Arial"/>
          <w:sz w:val="24"/>
          <w:szCs w:val="24"/>
        </w:rPr>
        <w:t xml:space="preserve"> time the summons was served on</w:t>
      </w:r>
      <w:r w:rsidR="0085122F">
        <w:rPr>
          <w:rFonts w:ascii="Arial" w:hAnsi="Arial" w:cs="Arial"/>
          <w:sz w:val="24"/>
          <w:szCs w:val="24"/>
        </w:rPr>
        <w:t xml:space="preserve"> the first respondent</w:t>
      </w:r>
      <w:r w:rsidR="00122377">
        <w:rPr>
          <w:rFonts w:ascii="Arial" w:hAnsi="Arial" w:cs="Arial"/>
          <w:sz w:val="24"/>
          <w:szCs w:val="24"/>
        </w:rPr>
        <w:t xml:space="preserve">, it did not have authority to sue or be sued as it was under the management of the liquidators.  It follows, therefore that the fourth respondent did not </w:t>
      </w:r>
      <w:r w:rsidR="00AD15ED">
        <w:rPr>
          <w:rFonts w:ascii="Arial" w:hAnsi="Arial" w:cs="Arial"/>
          <w:sz w:val="24"/>
          <w:szCs w:val="24"/>
        </w:rPr>
        <w:t>have authority to enter into a s</w:t>
      </w:r>
      <w:r w:rsidR="00122377">
        <w:rPr>
          <w:rFonts w:ascii="Arial" w:hAnsi="Arial" w:cs="Arial"/>
          <w:sz w:val="24"/>
          <w:szCs w:val="24"/>
        </w:rPr>
        <w:t xml:space="preserve">ettlement </w:t>
      </w:r>
      <w:r w:rsidR="00AD15ED">
        <w:rPr>
          <w:rFonts w:ascii="Arial" w:hAnsi="Arial" w:cs="Arial"/>
          <w:sz w:val="24"/>
          <w:szCs w:val="24"/>
        </w:rPr>
        <w:t>a</w:t>
      </w:r>
      <w:r w:rsidR="00122377">
        <w:rPr>
          <w:rFonts w:ascii="Arial" w:hAnsi="Arial" w:cs="Arial"/>
          <w:sz w:val="24"/>
          <w:szCs w:val="24"/>
        </w:rPr>
        <w:t xml:space="preserve">greement binding movable assets which did not belong to him. </w:t>
      </w:r>
    </w:p>
    <w:p w14:paraId="44694108" w14:textId="60AF6BB7" w:rsidR="00122377" w:rsidRDefault="00AA2C0B" w:rsidP="00CB414F">
      <w:pPr>
        <w:spacing w:before="240" w:line="480" w:lineRule="auto"/>
        <w:jc w:val="both"/>
        <w:rPr>
          <w:rFonts w:ascii="Arial" w:hAnsi="Arial" w:cs="Arial"/>
          <w:sz w:val="24"/>
          <w:szCs w:val="24"/>
        </w:rPr>
      </w:pPr>
      <w:r>
        <w:rPr>
          <w:rFonts w:ascii="Arial" w:hAnsi="Arial" w:cs="Arial"/>
          <w:sz w:val="24"/>
          <w:szCs w:val="24"/>
        </w:rPr>
        <w:tab/>
      </w:r>
    </w:p>
    <w:p w14:paraId="631B8621" w14:textId="53D49D94" w:rsidR="00122377" w:rsidRDefault="00122377" w:rsidP="00AA2C0B">
      <w:pPr>
        <w:spacing w:line="480" w:lineRule="auto"/>
        <w:jc w:val="both"/>
        <w:rPr>
          <w:rFonts w:ascii="Arial" w:hAnsi="Arial" w:cs="Arial"/>
          <w:sz w:val="24"/>
          <w:szCs w:val="24"/>
        </w:rPr>
      </w:pPr>
      <w:r>
        <w:rPr>
          <w:rFonts w:ascii="Arial" w:hAnsi="Arial" w:cs="Arial"/>
          <w:sz w:val="24"/>
          <w:szCs w:val="24"/>
        </w:rPr>
        <w:t>[</w:t>
      </w:r>
      <w:r w:rsidR="003C66BC">
        <w:rPr>
          <w:rFonts w:ascii="Arial" w:hAnsi="Arial" w:cs="Arial"/>
          <w:sz w:val="24"/>
          <w:szCs w:val="24"/>
        </w:rPr>
        <w:t>40</w:t>
      </w:r>
      <w:r>
        <w:rPr>
          <w:rFonts w:ascii="Arial" w:hAnsi="Arial" w:cs="Arial"/>
          <w:sz w:val="24"/>
          <w:szCs w:val="24"/>
        </w:rPr>
        <w:t>]</w:t>
      </w:r>
      <w:r>
        <w:rPr>
          <w:rFonts w:ascii="Arial" w:hAnsi="Arial" w:cs="Arial"/>
          <w:sz w:val="24"/>
          <w:szCs w:val="24"/>
        </w:rPr>
        <w:tab/>
        <w:t>After it has been clear</w:t>
      </w:r>
      <w:r w:rsidR="00AA2C0B">
        <w:rPr>
          <w:rFonts w:ascii="Arial" w:hAnsi="Arial" w:cs="Arial"/>
          <w:sz w:val="24"/>
          <w:szCs w:val="24"/>
        </w:rPr>
        <w:t>ly</w:t>
      </w:r>
      <w:r>
        <w:rPr>
          <w:rFonts w:ascii="Arial" w:hAnsi="Arial" w:cs="Arial"/>
          <w:sz w:val="24"/>
          <w:szCs w:val="24"/>
        </w:rPr>
        <w:t xml:space="preserve"> ascertained that the tenant is under liquidation, in my view, the landlord’s hypothec</w:t>
      </w:r>
      <w:r w:rsidR="00AA2C0B">
        <w:rPr>
          <w:rFonts w:ascii="Arial" w:hAnsi="Arial" w:cs="Arial"/>
          <w:sz w:val="24"/>
          <w:szCs w:val="24"/>
        </w:rPr>
        <w:t xml:space="preserve"> claim</w:t>
      </w:r>
      <w:r>
        <w:rPr>
          <w:rFonts w:ascii="Arial" w:hAnsi="Arial" w:cs="Arial"/>
          <w:sz w:val="24"/>
          <w:szCs w:val="24"/>
        </w:rPr>
        <w:t xml:space="preserve"> </w:t>
      </w:r>
      <w:r w:rsidR="00AA2C0B">
        <w:rPr>
          <w:rFonts w:ascii="Arial" w:hAnsi="Arial" w:cs="Arial"/>
          <w:sz w:val="24"/>
          <w:szCs w:val="24"/>
        </w:rPr>
        <w:t>is not applicable and or in existence</w:t>
      </w:r>
      <w:r>
        <w:rPr>
          <w:rFonts w:ascii="Arial" w:hAnsi="Arial" w:cs="Arial"/>
          <w:sz w:val="24"/>
          <w:szCs w:val="24"/>
        </w:rPr>
        <w:t xml:space="preserve"> as the first respondent lacks judicial authority as an entity to be sued.  Whatever claim that the Trust might have had (arrear rental) should have been lodged with the second and third respondents.  If this Court would allow parties to claim landlord’s hypothec after </w:t>
      </w:r>
      <w:r w:rsidR="0026424A">
        <w:rPr>
          <w:rFonts w:ascii="Arial" w:hAnsi="Arial" w:cs="Arial"/>
          <w:i/>
          <w:sz w:val="24"/>
          <w:szCs w:val="24"/>
        </w:rPr>
        <w:t>concursus creditor</w:t>
      </w:r>
      <w:r w:rsidR="003C66BC">
        <w:rPr>
          <w:rFonts w:ascii="Arial" w:hAnsi="Arial" w:cs="Arial"/>
          <w:i/>
          <w:sz w:val="24"/>
          <w:szCs w:val="24"/>
        </w:rPr>
        <w:t>i</w:t>
      </w:r>
      <w:r w:rsidR="0026424A">
        <w:rPr>
          <w:rFonts w:ascii="Arial" w:hAnsi="Arial" w:cs="Arial"/>
          <w:i/>
          <w:sz w:val="24"/>
          <w:szCs w:val="24"/>
        </w:rPr>
        <w:t>u</w:t>
      </w:r>
      <w:r>
        <w:rPr>
          <w:rFonts w:ascii="Arial" w:hAnsi="Arial" w:cs="Arial"/>
          <w:i/>
          <w:sz w:val="24"/>
          <w:szCs w:val="24"/>
        </w:rPr>
        <w:t>m</w:t>
      </w:r>
      <w:r>
        <w:rPr>
          <w:rFonts w:ascii="Arial" w:hAnsi="Arial" w:cs="Arial"/>
          <w:sz w:val="24"/>
          <w:szCs w:val="24"/>
        </w:rPr>
        <w:t xml:space="preserve"> has been finalised, tha</w:t>
      </w:r>
      <w:r w:rsidR="00DE18DB">
        <w:rPr>
          <w:rFonts w:ascii="Arial" w:hAnsi="Arial" w:cs="Arial"/>
          <w:sz w:val="24"/>
          <w:szCs w:val="24"/>
        </w:rPr>
        <w:t>t would amount to the process of li</w:t>
      </w:r>
      <w:r w:rsidR="00AA2C0B">
        <w:rPr>
          <w:rFonts w:ascii="Arial" w:hAnsi="Arial" w:cs="Arial"/>
          <w:sz w:val="24"/>
          <w:szCs w:val="24"/>
        </w:rPr>
        <w:t>quidation</w:t>
      </w:r>
      <w:r w:rsidR="00DE18DB">
        <w:rPr>
          <w:rFonts w:ascii="Arial" w:hAnsi="Arial" w:cs="Arial"/>
          <w:sz w:val="24"/>
          <w:szCs w:val="24"/>
        </w:rPr>
        <w:t xml:space="preserve"> being undermined</w:t>
      </w:r>
      <w:r>
        <w:rPr>
          <w:rFonts w:ascii="Arial" w:hAnsi="Arial" w:cs="Arial"/>
          <w:sz w:val="24"/>
          <w:szCs w:val="24"/>
        </w:rPr>
        <w:t xml:space="preserve"> and disregard</w:t>
      </w:r>
      <w:r w:rsidR="00DE18DB">
        <w:rPr>
          <w:rFonts w:ascii="Arial" w:hAnsi="Arial" w:cs="Arial"/>
          <w:sz w:val="24"/>
          <w:szCs w:val="24"/>
        </w:rPr>
        <w:t>ed</w:t>
      </w:r>
      <w:r>
        <w:rPr>
          <w:rFonts w:ascii="Arial" w:hAnsi="Arial" w:cs="Arial"/>
          <w:sz w:val="24"/>
          <w:szCs w:val="24"/>
        </w:rPr>
        <w:t>.  The landlord’s claim would receive unfair preference over the</w:t>
      </w:r>
      <w:r w:rsidR="00DE18DB">
        <w:rPr>
          <w:rFonts w:ascii="Arial" w:hAnsi="Arial" w:cs="Arial"/>
          <w:sz w:val="24"/>
          <w:szCs w:val="24"/>
        </w:rPr>
        <w:t xml:space="preserve"> entire</w:t>
      </w:r>
      <w:r>
        <w:rPr>
          <w:rFonts w:ascii="Arial" w:hAnsi="Arial" w:cs="Arial"/>
          <w:sz w:val="24"/>
          <w:szCs w:val="24"/>
        </w:rPr>
        <w:t xml:space="preserve"> body </w:t>
      </w:r>
      <w:r w:rsidR="00DE18DB">
        <w:rPr>
          <w:rFonts w:ascii="Arial" w:hAnsi="Arial" w:cs="Arial"/>
          <w:sz w:val="24"/>
          <w:szCs w:val="24"/>
        </w:rPr>
        <w:t xml:space="preserve">of the creditors.  </w:t>
      </w:r>
      <w:r w:rsidR="00AA2C0B">
        <w:rPr>
          <w:rFonts w:ascii="Arial" w:hAnsi="Arial" w:cs="Arial"/>
          <w:sz w:val="24"/>
          <w:szCs w:val="24"/>
        </w:rPr>
        <w:t xml:space="preserve">In essence, after the final winding up order a company cannot effect valid transactions precisely because of </w:t>
      </w:r>
      <w:r w:rsidR="00AA2C0B">
        <w:rPr>
          <w:rFonts w:ascii="Arial" w:hAnsi="Arial" w:cs="Arial"/>
          <w:i/>
          <w:sz w:val="24"/>
          <w:szCs w:val="24"/>
        </w:rPr>
        <w:t>concursus creditorium</w:t>
      </w:r>
      <w:r w:rsidR="00AA2C0B">
        <w:rPr>
          <w:rFonts w:ascii="Arial" w:hAnsi="Arial" w:cs="Arial"/>
          <w:sz w:val="24"/>
          <w:szCs w:val="24"/>
        </w:rPr>
        <w:t>;</w:t>
      </w:r>
    </w:p>
    <w:p w14:paraId="42A65028" w14:textId="21B00195" w:rsidR="00122377" w:rsidRDefault="003C66BC" w:rsidP="00122377">
      <w:pPr>
        <w:spacing w:before="240" w:line="480" w:lineRule="auto"/>
        <w:jc w:val="both"/>
        <w:rPr>
          <w:rFonts w:ascii="Arial" w:hAnsi="Arial" w:cs="Arial"/>
          <w:sz w:val="24"/>
          <w:szCs w:val="24"/>
        </w:rPr>
      </w:pPr>
      <w:r>
        <w:rPr>
          <w:rFonts w:ascii="Arial" w:hAnsi="Arial" w:cs="Arial"/>
          <w:sz w:val="24"/>
          <w:szCs w:val="24"/>
        </w:rPr>
        <w:lastRenderedPageBreak/>
        <w:t>[41</w:t>
      </w:r>
      <w:r w:rsidR="00122377">
        <w:rPr>
          <w:rFonts w:ascii="Arial" w:hAnsi="Arial" w:cs="Arial"/>
          <w:sz w:val="24"/>
          <w:szCs w:val="24"/>
        </w:rPr>
        <w:t>]</w:t>
      </w:r>
      <w:r w:rsidR="00122377">
        <w:rPr>
          <w:rFonts w:ascii="Arial" w:hAnsi="Arial" w:cs="Arial"/>
          <w:sz w:val="24"/>
          <w:szCs w:val="24"/>
        </w:rPr>
        <w:tab/>
      </w:r>
      <w:r w:rsidR="00DE18DB">
        <w:rPr>
          <w:rFonts w:ascii="Arial" w:hAnsi="Arial" w:cs="Arial"/>
          <w:sz w:val="24"/>
          <w:szCs w:val="24"/>
        </w:rPr>
        <w:t>As an aside, t</w:t>
      </w:r>
      <w:r w:rsidR="00122377">
        <w:rPr>
          <w:rFonts w:ascii="Arial" w:hAnsi="Arial" w:cs="Arial"/>
          <w:sz w:val="24"/>
          <w:szCs w:val="24"/>
        </w:rPr>
        <w:t>he Trust seem t</w:t>
      </w:r>
      <w:r w:rsidR="00DE18DB">
        <w:rPr>
          <w:rFonts w:ascii="Arial" w:hAnsi="Arial" w:cs="Arial"/>
          <w:sz w:val="24"/>
          <w:szCs w:val="24"/>
        </w:rPr>
        <w:t>o suggest that the settlement ag</w:t>
      </w:r>
      <w:r w:rsidR="00122377">
        <w:rPr>
          <w:rFonts w:ascii="Arial" w:hAnsi="Arial" w:cs="Arial"/>
          <w:sz w:val="24"/>
          <w:szCs w:val="24"/>
        </w:rPr>
        <w:t>reement was subsequently made an order of Court and therefore it should be complied with</w:t>
      </w:r>
      <w:r w:rsidR="00DE18DB">
        <w:rPr>
          <w:rFonts w:ascii="Arial" w:hAnsi="Arial" w:cs="Arial"/>
          <w:sz w:val="24"/>
          <w:szCs w:val="24"/>
        </w:rPr>
        <w:t xml:space="preserve"> regardless of its worth</w:t>
      </w:r>
      <w:r w:rsidR="00AA2C0B">
        <w:rPr>
          <w:rFonts w:ascii="Arial" w:hAnsi="Arial" w:cs="Arial"/>
          <w:sz w:val="24"/>
          <w:szCs w:val="24"/>
        </w:rPr>
        <w:t>.  Several authoritie</w:t>
      </w:r>
      <w:r w:rsidR="00122377">
        <w:rPr>
          <w:rFonts w:ascii="Arial" w:hAnsi="Arial" w:cs="Arial"/>
          <w:sz w:val="24"/>
          <w:szCs w:val="24"/>
        </w:rPr>
        <w:t xml:space="preserve">s were referred to in support of this proposition.  In my understanding, those authorities do not suggest that a meaningless </w:t>
      </w:r>
      <w:r w:rsidR="00DE18DB">
        <w:rPr>
          <w:rFonts w:ascii="Arial" w:hAnsi="Arial" w:cs="Arial"/>
          <w:sz w:val="24"/>
          <w:szCs w:val="24"/>
        </w:rPr>
        <w:t>or thunderbolt</w:t>
      </w:r>
      <w:r w:rsidR="00122377">
        <w:rPr>
          <w:rFonts w:ascii="Arial" w:hAnsi="Arial" w:cs="Arial"/>
          <w:sz w:val="24"/>
          <w:szCs w:val="24"/>
        </w:rPr>
        <w:t xml:space="preserve"> order (</w:t>
      </w:r>
      <w:r w:rsidR="00122377">
        <w:rPr>
          <w:rFonts w:ascii="Arial" w:hAnsi="Arial" w:cs="Arial"/>
          <w:i/>
          <w:sz w:val="24"/>
          <w:szCs w:val="24"/>
        </w:rPr>
        <w:t>brutum fulmen order</w:t>
      </w:r>
      <w:r w:rsidR="00122377">
        <w:rPr>
          <w:rFonts w:ascii="Arial" w:hAnsi="Arial" w:cs="Arial"/>
          <w:sz w:val="24"/>
          <w:szCs w:val="24"/>
        </w:rPr>
        <w:t xml:space="preserve">) should be complied with.  It boggles one’s mind as to how the terms of </w:t>
      </w:r>
      <w:r w:rsidR="00DE18DB">
        <w:rPr>
          <w:rFonts w:ascii="Arial" w:hAnsi="Arial" w:cs="Arial"/>
          <w:sz w:val="24"/>
          <w:szCs w:val="24"/>
        </w:rPr>
        <w:t>a settlement a</w:t>
      </w:r>
      <w:r w:rsidR="00122377">
        <w:rPr>
          <w:rFonts w:ascii="Arial" w:hAnsi="Arial" w:cs="Arial"/>
          <w:sz w:val="24"/>
          <w:szCs w:val="24"/>
        </w:rPr>
        <w:t xml:space="preserve">greement which is a nullity can be complied with.  I </w:t>
      </w:r>
      <w:r w:rsidR="00CB414F">
        <w:rPr>
          <w:rFonts w:ascii="Arial" w:hAnsi="Arial" w:cs="Arial"/>
          <w:sz w:val="24"/>
          <w:szCs w:val="24"/>
        </w:rPr>
        <w:t xml:space="preserve">strongly </w:t>
      </w:r>
      <w:r w:rsidR="00122377">
        <w:rPr>
          <w:rFonts w:ascii="Arial" w:hAnsi="Arial" w:cs="Arial"/>
          <w:sz w:val="24"/>
          <w:szCs w:val="24"/>
        </w:rPr>
        <w:t>disagree</w:t>
      </w:r>
      <w:r w:rsidR="00DE18DB">
        <w:rPr>
          <w:rFonts w:ascii="Arial" w:hAnsi="Arial" w:cs="Arial"/>
          <w:sz w:val="24"/>
          <w:szCs w:val="24"/>
        </w:rPr>
        <w:t xml:space="preserve"> with these sentiments</w:t>
      </w:r>
      <w:r w:rsidR="00122377">
        <w:rPr>
          <w:rFonts w:ascii="Arial" w:hAnsi="Arial" w:cs="Arial"/>
          <w:sz w:val="24"/>
          <w:szCs w:val="24"/>
        </w:rPr>
        <w:t>.</w:t>
      </w:r>
      <w:r w:rsidR="00CB414F">
        <w:rPr>
          <w:rFonts w:ascii="Arial" w:hAnsi="Arial" w:cs="Arial"/>
          <w:sz w:val="24"/>
          <w:szCs w:val="24"/>
        </w:rPr>
        <w:t xml:space="preserve">  Since the attached movable assets that were sold on auction belonged to the first respondent, it follows then that the proceeds of the sale on auction accordingly should be paid over to the liquidators. </w:t>
      </w:r>
    </w:p>
    <w:p w14:paraId="7A7BEC10" w14:textId="77777777" w:rsidR="003C66BC" w:rsidRDefault="00CB414F" w:rsidP="00122377">
      <w:pPr>
        <w:spacing w:before="240" w:line="480" w:lineRule="auto"/>
        <w:jc w:val="both"/>
        <w:rPr>
          <w:rFonts w:ascii="Arial" w:hAnsi="Arial" w:cs="Arial"/>
          <w:sz w:val="24"/>
          <w:szCs w:val="24"/>
        </w:rPr>
      </w:pPr>
      <w:r>
        <w:rPr>
          <w:rFonts w:ascii="Arial" w:hAnsi="Arial" w:cs="Arial"/>
          <w:sz w:val="24"/>
          <w:szCs w:val="24"/>
        </w:rPr>
        <w:t xml:space="preserve"> </w:t>
      </w:r>
    </w:p>
    <w:p w14:paraId="7E4E8373" w14:textId="7451A034" w:rsidR="00122377" w:rsidRDefault="00122377" w:rsidP="00122377">
      <w:pPr>
        <w:spacing w:before="240" w:line="480" w:lineRule="auto"/>
        <w:jc w:val="both"/>
        <w:rPr>
          <w:rFonts w:ascii="Arial" w:hAnsi="Arial" w:cs="Arial"/>
          <w:sz w:val="24"/>
          <w:szCs w:val="24"/>
        </w:rPr>
      </w:pPr>
      <w:r>
        <w:rPr>
          <w:rFonts w:ascii="Arial" w:hAnsi="Arial" w:cs="Arial"/>
          <w:sz w:val="24"/>
          <w:szCs w:val="24"/>
        </w:rPr>
        <w:t>[4</w:t>
      </w:r>
      <w:r w:rsidR="003C66BC">
        <w:rPr>
          <w:rFonts w:ascii="Arial" w:hAnsi="Arial" w:cs="Arial"/>
          <w:sz w:val="24"/>
          <w:szCs w:val="24"/>
        </w:rPr>
        <w:t>2</w:t>
      </w:r>
      <w:r>
        <w:rPr>
          <w:rFonts w:ascii="Arial" w:hAnsi="Arial" w:cs="Arial"/>
          <w:sz w:val="24"/>
          <w:szCs w:val="24"/>
        </w:rPr>
        <w:t>]</w:t>
      </w:r>
      <w:r>
        <w:rPr>
          <w:rFonts w:ascii="Arial" w:hAnsi="Arial" w:cs="Arial"/>
          <w:sz w:val="24"/>
          <w:szCs w:val="24"/>
        </w:rPr>
        <w:tab/>
        <w:t>At the hearing of these proceedings, the first to third respondents’ Counsel argued that, if this Court finds that the ownership of the movable property does not belong to the fourth respondent, then there is no need for this Court to proceed to determ</w:t>
      </w:r>
      <w:r w:rsidR="003C66BC">
        <w:rPr>
          <w:rFonts w:ascii="Arial" w:hAnsi="Arial" w:cs="Arial"/>
          <w:sz w:val="24"/>
          <w:szCs w:val="24"/>
        </w:rPr>
        <w:t>ine the issue relating to the ‘W</w:t>
      </w:r>
      <w:r>
        <w:rPr>
          <w:rFonts w:ascii="Arial" w:hAnsi="Arial" w:cs="Arial"/>
          <w:sz w:val="24"/>
          <w:szCs w:val="24"/>
        </w:rPr>
        <w:t xml:space="preserve">itness </w:t>
      </w:r>
      <w:r w:rsidR="003C66BC">
        <w:rPr>
          <w:rFonts w:ascii="Arial" w:hAnsi="Arial" w:cs="Arial"/>
          <w:sz w:val="24"/>
          <w:szCs w:val="24"/>
        </w:rPr>
        <w:t>S</w:t>
      </w:r>
      <w:r>
        <w:rPr>
          <w:rFonts w:ascii="Arial" w:hAnsi="Arial" w:cs="Arial"/>
          <w:sz w:val="24"/>
          <w:szCs w:val="24"/>
        </w:rPr>
        <w:t>ummons.’  The Trust did not challenge this propos</w:t>
      </w:r>
      <w:r w:rsidR="009E4BE9">
        <w:rPr>
          <w:rFonts w:ascii="Arial" w:hAnsi="Arial" w:cs="Arial"/>
          <w:sz w:val="24"/>
          <w:szCs w:val="24"/>
        </w:rPr>
        <w:t>ition.  As a result thereof, no order would be made in this prayer.</w:t>
      </w:r>
    </w:p>
    <w:p w14:paraId="43E2A8E3" w14:textId="77777777" w:rsidR="001E7F96" w:rsidRDefault="001E7F96" w:rsidP="00122377">
      <w:pPr>
        <w:spacing w:before="240" w:line="480" w:lineRule="auto"/>
        <w:jc w:val="both"/>
        <w:rPr>
          <w:rFonts w:ascii="Arial" w:hAnsi="Arial" w:cs="Arial"/>
          <w:sz w:val="24"/>
          <w:szCs w:val="24"/>
        </w:rPr>
      </w:pPr>
    </w:p>
    <w:p w14:paraId="778F3A3E" w14:textId="020203CD" w:rsidR="00BB14A4" w:rsidRDefault="00122377" w:rsidP="00122377">
      <w:pPr>
        <w:spacing w:before="240" w:line="480" w:lineRule="auto"/>
        <w:jc w:val="both"/>
        <w:rPr>
          <w:rFonts w:ascii="Arial" w:hAnsi="Arial" w:cs="Arial"/>
          <w:sz w:val="24"/>
          <w:szCs w:val="24"/>
        </w:rPr>
      </w:pPr>
      <w:r>
        <w:rPr>
          <w:rFonts w:ascii="Arial" w:hAnsi="Arial" w:cs="Arial"/>
          <w:sz w:val="24"/>
          <w:szCs w:val="24"/>
        </w:rPr>
        <w:t>[4</w:t>
      </w:r>
      <w:r w:rsidR="003C66BC">
        <w:rPr>
          <w:rFonts w:ascii="Arial" w:hAnsi="Arial" w:cs="Arial"/>
          <w:sz w:val="24"/>
          <w:szCs w:val="24"/>
        </w:rPr>
        <w:t>3</w:t>
      </w:r>
      <w:r>
        <w:rPr>
          <w:rFonts w:ascii="Arial" w:hAnsi="Arial" w:cs="Arial"/>
          <w:sz w:val="24"/>
          <w:szCs w:val="24"/>
        </w:rPr>
        <w:t>]</w:t>
      </w:r>
      <w:r>
        <w:rPr>
          <w:rFonts w:ascii="Arial" w:hAnsi="Arial" w:cs="Arial"/>
          <w:sz w:val="24"/>
          <w:szCs w:val="24"/>
        </w:rPr>
        <w:tab/>
        <w:t xml:space="preserve">In conclusion, </w:t>
      </w:r>
      <w:r w:rsidR="009E4BE9">
        <w:rPr>
          <w:rFonts w:ascii="Arial" w:hAnsi="Arial" w:cs="Arial"/>
          <w:sz w:val="24"/>
          <w:szCs w:val="24"/>
        </w:rPr>
        <w:t xml:space="preserve">it is this Courts considered view that </w:t>
      </w:r>
      <w:r>
        <w:rPr>
          <w:rFonts w:ascii="Arial" w:hAnsi="Arial" w:cs="Arial"/>
          <w:sz w:val="24"/>
          <w:szCs w:val="24"/>
        </w:rPr>
        <w:t xml:space="preserve">the terms of the </w:t>
      </w:r>
      <w:r w:rsidR="009E4BE9">
        <w:rPr>
          <w:rFonts w:ascii="Arial" w:hAnsi="Arial" w:cs="Arial"/>
          <w:sz w:val="24"/>
          <w:szCs w:val="24"/>
        </w:rPr>
        <w:t>settlement a</w:t>
      </w:r>
      <w:r>
        <w:rPr>
          <w:rFonts w:ascii="Arial" w:hAnsi="Arial" w:cs="Arial"/>
          <w:sz w:val="24"/>
          <w:szCs w:val="24"/>
        </w:rPr>
        <w:t>greement as inte</w:t>
      </w:r>
      <w:r w:rsidR="009E4BE9">
        <w:rPr>
          <w:rFonts w:ascii="Arial" w:hAnsi="Arial" w:cs="Arial"/>
          <w:sz w:val="24"/>
          <w:szCs w:val="24"/>
        </w:rPr>
        <w:t>rpreted are not supported by</w:t>
      </w:r>
      <w:r>
        <w:rPr>
          <w:rFonts w:ascii="Arial" w:hAnsi="Arial" w:cs="Arial"/>
          <w:sz w:val="24"/>
          <w:szCs w:val="24"/>
        </w:rPr>
        <w:t xml:space="preserve"> facts</w:t>
      </w:r>
      <w:r w:rsidR="009E4BE9">
        <w:rPr>
          <w:rFonts w:ascii="Arial" w:hAnsi="Arial" w:cs="Arial"/>
          <w:sz w:val="24"/>
          <w:szCs w:val="24"/>
        </w:rPr>
        <w:t>.</w:t>
      </w:r>
      <w:r>
        <w:rPr>
          <w:rFonts w:ascii="Arial" w:hAnsi="Arial" w:cs="Arial"/>
          <w:sz w:val="24"/>
          <w:szCs w:val="24"/>
        </w:rPr>
        <w:t xml:space="preserve"> </w:t>
      </w:r>
      <w:r w:rsidR="009E4BE9">
        <w:rPr>
          <w:rFonts w:ascii="Arial" w:hAnsi="Arial" w:cs="Arial"/>
          <w:sz w:val="24"/>
          <w:szCs w:val="24"/>
        </w:rPr>
        <w:t xml:space="preserve"> Consequently, this </w:t>
      </w:r>
      <w:r w:rsidR="001E7F96">
        <w:rPr>
          <w:rFonts w:ascii="Arial" w:hAnsi="Arial" w:cs="Arial"/>
          <w:sz w:val="24"/>
          <w:szCs w:val="24"/>
        </w:rPr>
        <w:t>Court cannot</w:t>
      </w:r>
      <w:r>
        <w:rPr>
          <w:rFonts w:ascii="Arial" w:hAnsi="Arial" w:cs="Arial"/>
          <w:sz w:val="24"/>
          <w:szCs w:val="24"/>
        </w:rPr>
        <w:t xml:space="preserve"> hold that it is valid and binding as against the fourth respondent.  The fourth respondent did not have authority</w:t>
      </w:r>
      <w:r w:rsidR="009E4BE9">
        <w:rPr>
          <w:rFonts w:ascii="Arial" w:hAnsi="Arial" w:cs="Arial"/>
          <w:sz w:val="24"/>
          <w:szCs w:val="24"/>
        </w:rPr>
        <w:t xml:space="preserve"> from the first respondent</w:t>
      </w:r>
      <w:r>
        <w:rPr>
          <w:rFonts w:ascii="Arial" w:hAnsi="Arial" w:cs="Arial"/>
          <w:sz w:val="24"/>
          <w:szCs w:val="24"/>
        </w:rPr>
        <w:t xml:space="preserve"> to instruct Michael James to facilitate the auction of the first respondent’s assets.  I</w:t>
      </w:r>
      <w:r w:rsidR="00BB14A4">
        <w:rPr>
          <w:rFonts w:ascii="Arial" w:hAnsi="Arial" w:cs="Arial"/>
          <w:sz w:val="24"/>
          <w:szCs w:val="24"/>
        </w:rPr>
        <w:t>t then follows that the proceeds received from the</w:t>
      </w:r>
      <w:r w:rsidR="009E4BE9">
        <w:rPr>
          <w:rFonts w:ascii="Arial" w:hAnsi="Arial" w:cs="Arial"/>
          <w:sz w:val="24"/>
          <w:szCs w:val="24"/>
        </w:rPr>
        <w:t xml:space="preserve"> sale on</w:t>
      </w:r>
      <w:r w:rsidR="00BB14A4">
        <w:rPr>
          <w:rFonts w:ascii="Arial" w:hAnsi="Arial" w:cs="Arial"/>
          <w:sz w:val="24"/>
          <w:szCs w:val="24"/>
        </w:rPr>
        <w:t xml:space="preserve"> auction, currently held in trust by the Trust’s attorneys of record should be paid over to the first to third respondents’ attorneys within forty-eight (48) hours of the granting of this order.</w:t>
      </w:r>
    </w:p>
    <w:p w14:paraId="1385326F" w14:textId="4FD80BEC" w:rsidR="00BB14A4" w:rsidRDefault="00BB14A4" w:rsidP="00122377">
      <w:pPr>
        <w:spacing w:before="240" w:line="480" w:lineRule="auto"/>
        <w:jc w:val="both"/>
        <w:rPr>
          <w:rFonts w:ascii="Arial" w:hAnsi="Arial" w:cs="Arial"/>
          <w:sz w:val="24"/>
          <w:szCs w:val="24"/>
        </w:rPr>
      </w:pPr>
      <w:r>
        <w:rPr>
          <w:rFonts w:ascii="Arial" w:hAnsi="Arial" w:cs="Arial"/>
          <w:sz w:val="24"/>
          <w:szCs w:val="24"/>
        </w:rPr>
        <w:lastRenderedPageBreak/>
        <w:t>[4</w:t>
      </w:r>
      <w:r w:rsidR="003C66BC">
        <w:rPr>
          <w:rFonts w:ascii="Arial" w:hAnsi="Arial" w:cs="Arial"/>
          <w:sz w:val="24"/>
          <w:szCs w:val="24"/>
        </w:rPr>
        <w:t>4</w:t>
      </w:r>
      <w:r>
        <w:rPr>
          <w:rFonts w:ascii="Arial" w:hAnsi="Arial" w:cs="Arial"/>
          <w:sz w:val="24"/>
          <w:szCs w:val="24"/>
        </w:rPr>
        <w:t>]</w:t>
      </w:r>
      <w:r>
        <w:rPr>
          <w:rFonts w:ascii="Arial" w:hAnsi="Arial" w:cs="Arial"/>
          <w:sz w:val="24"/>
          <w:szCs w:val="24"/>
        </w:rPr>
        <w:tab/>
        <w:t>In the result, I grant the following order:</w:t>
      </w:r>
    </w:p>
    <w:p w14:paraId="6DE49289" w14:textId="7C80B8BE" w:rsidR="00BB14A4" w:rsidRDefault="00BB14A4" w:rsidP="00122377">
      <w:pPr>
        <w:spacing w:before="240" w:line="480" w:lineRule="auto"/>
        <w:jc w:val="both"/>
        <w:rPr>
          <w:rFonts w:ascii="Arial" w:hAnsi="Arial" w:cs="Arial"/>
          <w:sz w:val="24"/>
          <w:szCs w:val="24"/>
        </w:rPr>
      </w:pPr>
      <w:r>
        <w:rPr>
          <w:rFonts w:ascii="Arial" w:hAnsi="Arial" w:cs="Arial"/>
          <w:sz w:val="24"/>
          <w:szCs w:val="24"/>
        </w:rPr>
        <w:tab/>
        <w:t>4</w:t>
      </w:r>
      <w:r w:rsidR="003C66BC">
        <w:rPr>
          <w:rFonts w:ascii="Arial" w:hAnsi="Arial" w:cs="Arial"/>
          <w:sz w:val="24"/>
          <w:szCs w:val="24"/>
        </w:rPr>
        <w:t>4</w:t>
      </w:r>
      <w:r>
        <w:rPr>
          <w:rFonts w:ascii="Arial" w:hAnsi="Arial" w:cs="Arial"/>
          <w:sz w:val="24"/>
          <w:szCs w:val="24"/>
        </w:rPr>
        <w:t>.1</w:t>
      </w:r>
      <w:r>
        <w:rPr>
          <w:rFonts w:ascii="Arial" w:hAnsi="Arial" w:cs="Arial"/>
          <w:sz w:val="24"/>
          <w:szCs w:val="24"/>
        </w:rPr>
        <w:tab/>
        <w:t>The Trust’s application is dismissed.</w:t>
      </w:r>
    </w:p>
    <w:p w14:paraId="4F0A765C" w14:textId="223B3F4E" w:rsidR="00BB14A4" w:rsidRDefault="003C66BC" w:rsidP="00BB14A4">
      <w:pPr>
        <w:spacing w:before="240" w:line="480" w:lineRule="auto"/>
        <w:ind w:left="1440" w:hanging="720"/>
        <w:jc w:val="both"/>
        <w:rPr>
          <w:rFonts w:ascii="Arial" w:hAnsi="Arial" w:cs="Arial"/>
          <w:sz w:val="24"/>
          <w:szCs w:val="24"/>
        </w:rPr>
      </w:pPr>
      <w:r>
        <w:rPr>
          <w:rFonts w:ascii="Arial" w:hAnsi="Arial" w:cs="Arial"/>
          <w:sz w:val="24"/>
          <w:szCs w:val="24"/>
        </w:rPr>
        <w:t>44</w:t>
      </w:r>
      <w:r w:rsidR="00BB14A4">
        <w:rPr>
          <w:rFonts w:ascii="Arial" w:hAnsi="Arial" w:cs="Arial"/>
          <w:sz w:val="24"/>
          <w:szCs w:val="24"/>
        </w:rPr>
        <w:t>.2</w:t>
      </w:r>
      <w:r w:rsidR="00BB14A4">
        <w:rPr>
          <w:rFonts w:ascii="Arial" w:hAnsi="Arial" w:cs="Arial"/>
          <w:sz w:val="24"/>
          <w:szCs w:val="24"/>
        </w:rPr>
        <w:tab/>
        <w:t>The Trust is ordered to pay the proceeds received from the auction (together with interest) currently held in trust by the Trust’s attorneys of record over to the first to third respondents’ of record within forty-eight (48) hours of the granting of this order.</w:t>
      </w:r>
    </w:p>
    <w:p w14:paraId="7AB273E6" w14:textId="14039715" w:rsidR="00BB14A4" w:rsidRPr="00122377" w:rsidRDefault="003C66BC" w:rsidP="00BB14A4">
      <w:pPr>
        <w:spacing w:before="240" w:line="480" w:lineRule="auto"/>
        <w:ind w:left="1440" w:hanging="720"/>
        <w:jc w:val="both"/>
        <w:rPr>
          <w:rFonts w:ascii="Arial" w:hAnsi="Arial" w:cs="Arial"/>
          <w:sz w:val="24"/>
          <w:szCs w:val="24"/>
        </w:rPr>
      </w:pPr>
      <w:r>
        <w:rPr>
          <w:rFonts w:ascii="Arial" w:hAnsi="Arial" w:cs="Arial"/>
          <w:sz w:val="24"/>
          <w:szCs w:val="24"/>
        </w:rPr>
        <w:t>44</w:t>
      </w:r>
      <w:r w:rsidR="00BB14A4">
        <w:rPr>
          <w:rFonts w:ascii="Arial" w:hAnsi="Arial" w:cs="Arial"/>
          <w:sz w:val="24"/>
          <w:szCs w:val="24"/>
        </w:rPr>
        <w:t>.3</w:t>
      </w:r>
      <w:r w:rsidR="00BB14A4">
        <w:rPr>
          <w:rFonts w:ascii="Arial" w:hAnsi="Arial" w:cs="Arial"/>
          <w:sz w:val="24"/>
          <w:szCs w:val="24"/>
        </w:rPr>
        <w:tab/>
        <w:t>The Trust is ordered to pay costs of this application.</w:t>
      </w:r>
    </w:p>
    <w:p w14:paraId="23BF0C03" w14:textId="1D7248B6" w:rsidR="0035246D" w:rsidRDefault="0035246D" w:rsidP="0082554B">
      <w:pPr>
        <w:spacing w:before="240" w:line="480" w:lineRule="auto"/>
        <w:jc w:val="both"/>
        <w:rPr>
          <w:rFonts w:ascii="Arial" w:hAnsi="Arial" w:cs="Arial"/>
          <w:i/>
          <w:sz w:val="24"/>
          <w:szCs w:val="24"/>
          <w:u w:val="single"/>
        </w:rPr>
      </w:pPr>
    </w:p>
    <w:p w14:paraId="445C2DE2" w14:textId="65EA29B5" w:rsidR="00BB14A4" w:rsidRDefault="00BB14A4" w:rsidP="0082554B">
      <w:pPr>
        <w:spacing w:before="240" w:line="480" w:lineRule="auto"/>
        <w:jc w:val="both"/>
        <w:rPr>
          <w:rFonts w:ascii="Arial" w:hAnsi="Arial" w:cs="Arial"/>
          <w:i/>
          <w:sz w:val="24"/>
          <w:szCs w:val="24"/>
          <w:u w:val="single"/>
        </w:rPr>
      </w:pPr>
    </w:p>
    <w:p w14:paraId="634EE3E9" w14:textId="4B724D6A" w:rsidR="0035414A" w:rsidRDefault="0035414A" w:rsidP="0082554B">
      <w:pPr>
        <w:spacing w:before="240" w:line="480" w:lineRule="auto"/>
        <w:jc w:val="both"/>
        <w:rPr>
          <w:rFonts w:ascii="Arial" w:hAnsi="Arial" w:cs="Arial"/>
          <w:i/>
          <w:sz w:val="24"/>
          <w:szCs w:val="24"/>
          <w:u w:val="single"/>
        </w:rPr>
      </w:pPr>
    </w:p>
    <w:p w14:paraId="7B10BDA9" w14:textId="77777777" w:rsidR="0035414A" w:rsidRDefault="0035414A" w:rsidP="0082554B">
      <w:pPr>
        <w:spacing w:before="240" w:line="480" w:lineRule="auto"/>
        <w:jc w:val="both"/>
        <w:rPr>
          <w:rFonts w:ascii="Arial" w:hAnsi="Arial" w:cs="Arial"/>
          <w:i/>
          <w:sz w:val="24"/>
          <w:szCs w:val="24"/>
          <w:u w:val="single"/>
        </w:rPr>
      </w:pPr>
    </w:p>
    <w:p w14:paraId="363C2FA5" w14:textId="77777777" w:rsidR="00BB14A4" w:rsidRPr="00F56944" w:rsidRDefault="00BB14A4" w:rsidP="0082554B">
      <w:pPr>
        <w:spacing w:before="240" w:line="480" w:lineRule="auto"/>
        <w:jc w:val="both"/>
        <w:rPr>
          <w:rFonts w:ascii="Arial" w:hAnsi="Arial" w:cs="Arial"/>
          <w:i/>
          <w:sz w:val="24"/>
          <w:szCs w:val="24"/>
          <w:u w:val="single"/>
        </w:rPr>
      </w:pPr>
    </w:p>
    <w:p w14:paraId="03238B79" w14:textId="77777777" w:rsidR="00FA04E2" w:rsidRPr="009E6CC7" w:rsidRDefault="00AD57D0" w:rsidP="009E6CC7">
      <w:pPr>
        <w:spacing w:before="240" w:line="480" w:lineRule="auto"/>
        <w:ind w:left="4320" w:firstLine="720"/>
        <w:jc w:val="both"/>
        <w:rPr>
          <w:rFonts w:ascii="Arial" w:hAnsi="Arial" w:cs="Arial"/>
          <w:sz w:val="24"/>
          <w:szCs w:val="24"/>
        </w:rPr>
      </w:pPr>
      <w:r w:rsidRPr="00AD57D0">
        <w:rPr>
          <w:rFonts w:ascii="Arial" w:hAnsi="Arial" w:cs="Arial"/>
          <w:b/>
          <w:sz w:val="24"/>
          <w:szCs w:val="24"/>
        </w:rPr>
        <w:t>___________________</w:t>
      </w:r>
      <w:r w:rsidR="00C370A4">
        <w:rPr>
          <w:rFonts w:ascii="Arial" w:hAnsi="Arial" w:cs="Arial"/>
          <w:b/>
          <w:sz w:val="24"/>
          <w:szCs w:val="24"/>
        </w:rPr>
        <w:t>______</w:t>
      </w:r>
      <w:r w:rsidR="00F158A8">
        <w:rPr>
          <w:rFonts w:ascii="Arial" w:hAnsi="Arial" w:cs="Arial"/>
          <w:b/>
          <w:sz w:val="24"/>
          <w:szCs w:val="24"/>
        </w:rPr>
        <w:t>_</w:t>
      </w:r>
      <w:r w:rsidRPr="00AD57D0">
        <w:rPr>
          <w:rFonts w:ascii="Arial" w:hAnsi="Arial" w:cs="Arial"/>
          <w:b/>
          <w:sz w:val="24"/>
          <w:szCs w:val="24"/>
        </w:rPr>
        <w:t xml:space="preserve">                                           </w:t>
      </w:r>
    </w:p>
    <w:p w14:paraId="05AA5868" w14:textId="77777777" w:rsidR="00094DCA" w:rsidRDefault="005211FC" w:rsidP="009231E2">
      <w:pPr>
        <w:tabs>
          <w:tab w:val="left" w:pos="1080"/>
          <w:tab w:val="left" w:pos="6521"/>
        </w:tabs>
        <w:spacing w:line="360" w:lineRule="auto"/>
        <w:jc w:val="center"/>
        <w:rPr>
          <w:rFonts w:ascii="Arial" w:hAnsi="Arial" w:cs="Arial"/>
          <w:b/>
          <w:sz w:val="24"/>
          <w:szCs w:val="24"/>
        </w:rPr>
      </w:pPr>
      <w:r>
        <w:rPr>
          <w:rFonts w:ascii="Arial" w:hAnsi="Arial" w:cs="Arial"/>
          <w:b/>
          <w:sz w:val="24"/>
          <w:szCs w:val="24"/>
        </w:rPr>
        <w:tab/>
        <w:t xml:space="preserve">     </w:t>
      </w:r>
      <w:r w:rsidR="00094DCA">
        <w:rPr>
          <w:rFonts w:ascii="Arial" w:hAnsi="Arial" w:cs="Arial"/>
          <w:b/>
          <w:sz w:val="24"/>
          <w:szCs w:val="24"/>
        </w:rPr>
        <w:t xml:space="preserve">              </w:t>
      </w:r>
      <w:r w:rsidR="00094DCA" w:rsidRPr="00027763">
        <w:rPr>
          <w:rFonts w:ascii="Arial" w:hAnsi="Arial" w:cs="Arial"/>
          <w:b/>
          <w:noProof/>
          <w:sz w:val="24"/>
          <w:szCs w:val="24"/>
        </w:rPr>
        <w:t>MANTAME</w:t>
      </w:r>
      <w:r w:rsidR="00094DCA">
        <w:rPr>
          <w:rFonts w:ascii="Arial" w:hAnsi="Arial" w:cs="Arial"/>
          <w:b/>
          <w:sz w:val="24"/>
          <w:szCs w:val="24"/>
        </w:rPr>
        <w:t xml:space="preserve"> J</w:t>
      </w:r>
    </w:p>
    <w:p w14:paraId="730E5124" w14:textId="4E7A2398" w:rsidR="00C370A4" w:rsidRPr="000C336A" w:rsidRDefault="00094DCA" w:rsidP="00AC14D9">
      <w:pPr>
        <w:tabs>
          <w:tab w:val="left" w:pos="1080"/>
          <w:tab w:val="left" w:pos="6521"/>
        </w:tabs>
        <w:spacing w:line="360" w:lineRule="auto"/>
        <w:jc w:val="center"/>
        <w:rPr>
          <w:rFonts w:ascii="Arial" w:hAnsi="Arial" w:cs="Arial"/>
          <w:b/>
          <w:sz w:val="24"/>
          <w:szCs w:val="24"/>
        </w:rPr>
      </w:pPr>
      <w:r>
        <w:rPr>
          <w:rFonts w:ascii="Arial" w:hAnsi="Arial" w:cs="Arial"/>
          <w:b/>
          <w:sz w:val="24"/>
          <w:szCs w:val="24"/>
        </w:rPr>
        <w:t xml:space="preserve">                                                                 </w:t>
      </w:r>
      <w:r w:rsidR="00F158A8">
        <w:rPr>
          <w:rFonts w:ascii="Arial" w:hAnsi="Arial" w:cs="Arial"/>
          <w:b/>
          <w:sz w:val="24"/>
          <w:szCs w:val="24"/>
        </w:rPr>
        <w:t xml:space="preserve"> </w:t>
      </w:r>
      <w:r w:rsidR="009F36D5">
        <w:rPr>
          <w:rFonts w:ascii="Arial" w:hAnsi="Arial" w:cs="Arial"/>
          <w:b/>
          <w:sz w:val="24"/>
          <w:szCs w:val="24"/>
        </w:rPr>
        <w:t xml:space="preserve"> </w:t>
      </w:r>
      <w:r>
        <w:rPr>
          <w:rFonts w:ascii="Arial" w:hAnsi="Arial" w:cs="Arial"/>
          <w:b/>
          <w:sz w:val="24"/>
          <w:szCs w:val="24"/>
        </w:rPr>
        <w:t>WESTERN CAPE HIGH COURT</w:t>
      </w:r>
      <w:r w:rsidR="00C370A4">
        <w:rPr>
          <w:rFonts w:ascii="Arial" w:hAnsi="Arial" w:cs="Arial"/>
          <w:b/>
          <w:sz w:val="24"/>
          <w:szCs w:val="24"/>
        </w:rPr>
        <w:t xml:space="preserve">    </w:t>
      </w:r>
    </w:p>
    <w:sectPr w:rsidR="00C370A4" w:rsidRPr="000C336A" w:rsidSect="003759F4">
      <w:headerReference w:type="default" r:id="rId9"/>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FBE86" w14:textId="77777777" w:rsidR="005A544B" w:rsidRDefault="005A544B" w:rsidP="004E7CBD">
      <w:r>
        <w:separator/>
      </w:r>
    </w:p>
  </w:endnote>
  <w:endnote w:type="continuationSeparator" w:id="0">
    <w:p w14:paraId="2AC91F89" w14:textId="77777777" w:rsidR="005A544B" w:rsidRDefault="005A544B" w:rsidP="004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DF14E" w14:textId="77777777" w:rsidR="005A544B" w:rsidRDefault="005A544B" w:rsidP="004E7CBD">
      <w:r>
        <w:separator/>
      </w:r>
    </w:p>
  </w:footnote>
  <w:footnote w:type="continuationSeparator" w:id="0">
    <w:p w14:paraId="02CACDE3" w14:textId="77777777" w:rsidR="005A544B" w:rsidRDefault="005A544B" w:rsidP="004E7CBD">
      <w:r>
        <w:continuationSeparator/>
      </w:r>
    </w:p>
  </w:footnote>
  <w:footnote w:id="1">
    <w:p w14:paraId="2A7B6141" w14:textId="19B5A196" w:rsidR="00AA2C0B" w:rsidRPr="00636EA7" w:rsidRDefault="00AA2C0B">
      <w:pPr>
        <w:pStyle w:val="FootnoteText"/>
        <w:rPr>
          <w:lang w:val="en-ZA"/>
        </w:rPr>
      </w:pPr>
      <w:r>
        <w:rPr>
          <w:rStyle w:val="FootnoteReference"/>
        </w:rPr>
        <w:footnoteRef/>
      </w:r>
      <w:r>
        <w:t xml:space="preserve"> </w:t>
      </w:r>
      <w:r>
        <w:rPr>
          <w:lang w:val="en-ZA"/>
        </w:rPr>
        <w:t>Record page 306</w:t>
      </w:r>
    </w:p>
  </w:footnote>
  <w:footnote w:id="2">
    <w:p w14:paraId="3A6F1040" w14:textId="7584146B" w:rsidR="00AA2C0B" w:rsidRPr="00601ABA" w:rsidRDefault="00AA2C0B">
      <w:pPr>
        <w:pStyle w:val="FootnoteText"/>
        <w:rPr>
          <w:lang w:val="en-ZA"/>
        </w:rPr>
      </w:pPr>
      <w:r>
        <w:rPr>
          <w:rStyle w:val="FootnoteReference"/>
        </w:rPr>
        <w:footnoteRef/>
      </w:r>
      <w:r>
        <w:t xml:space="preserve"> </w:t>
      </w:r>
      <w:r>
        <w:rPr>
          <w:lang w:val="en-ZA"/>
        </w:rPr>
        <w:t>Record page 179</w:t>
      </w:r>
    </w:p>
  </w:footnote>
  <w:footnote w:id="3">
    <w:p w14:paraId="0F0A583F" w14:textId="29D81AAC" w:rsidR="00AA2C0B" w:rsidRPr="00601ABA" w:rsidRDefault="00AA2C0B">
      <w:pPr>
        <w:pStyle w:val="FootnoteText"/>
        <w:rPr>
          <w:lang w:val="en-ZA"/>
        </w:rPr>
      </w:pPr>
      <w:r>
        <w:rPr>
          <w:rStyle w:val="FootnoteReference"/>
        </w:rPr>
        <w:footnoteRef/>
      </w:r>
      <w:r>
        <w:t xml:space="preserve"> </w:t>
      </w:r>
      <w:r>
        <w:rPr>
          <w:lang w:val="en-ZA"/>
        </w:rPr>
        <w:t>Record page 306</w:t>
      </w:r>
    </w:p>
  </w:footnote>
  <w:footnote w:id="4">
    <w:p w14:paraId="284C6B49" w14:textId="498DE7AE" w:rsidR="00AA2C0B" w:rsidRPr="002141D2" w:rsidRDefault="00AA2C0B">
      <w:pPr>
        <w:pStyle w:val="FootnoteText"/>
        <w:rPr>
          <w:lang w:val="en-ZA"/>
        </w:rPr>
      </w:pPr>
      <w:r>
        <w:rPr>
          <w:rStyle w:val="FootnoteReference"/>
        </w:rPr>
        <w:footnoteRef/>
      </w:r>
      <w:r>
        <w:t xml:space="preserve"> </w:t>
      </w:r>
      <w:r>
        <w:rPr>
          <w:lang w:val="en-ZA"/>
        </w:rPr>
        <w:t>3</w:t>
      </w:r>
      <w:r w:rsidRPr="002141D2">
        <w:rPr>
          <w:vertAlign w:val="superscript"/>
          <w:lang w:val="en-ZA"/>
        </w:rPr>
        <w:t>rd</w:t>
      </w:r>
      <w:r>
        <w:rPr>
          <w:lang w:val="en-ZA"/>
        </w:rPr>
        <w:t xml:space="preserve"> Edition, page 392 - 394</w:t>
      </w:r>
    </w:p>
  </w:footnote>
  <w:footnote w:id="5">
    <w:p w14:paraId="3FC67B7C" w14:textId="77777777" w:rsidR="00AA2C0B" w:rsidRPr="00564A82" w:rsidRDefault="00AA2C0B" w:rsidP="00DF3688">
      <w:pPr>
        <w:pStyle w:val="FootnoteText"/>
        <w:rPr>
          <w:lang w:val="en-ZA"/>
        </w:rPr>
      </w:pPr>
      <w:r>
        <w:rPr>
          <w:rStyle w:val="FootnoteReference"/>
        </w:rPr>
        <w:footnoteRef/>
      </w:r>
      <w:r>
        <w:t xml:space="preserve"> </w:t>
      </w:r>
      <w:r>
        <w:rPr>
          <w:lang w:val="en-ZA"/>
        </w:rPr>
        <w:t>2022(2) SA 410 SCA</w:t>
      </w:r>
    </w:p>
  </w:footnote>
  <w:footnote w:id="6">
    <w:p w14:paraId="3C7C2947" w14:textId="77777777" w:rsidR="00AA2C0B" w:rsidRPr="00564A82" w:rsidRDefault="00AA2C0B" w:rsidP="00DF3688">
      <w:pPr>
        <w:pStyle w:val="FootnoteText"/>
        <w:rPr>
          <w:lang w:val="en-ZA"/>
        </w:rPr>
      </w:pPr>
      <w:r>
        <w:rPr>
          <w:rStyle w:val="FootnoteReference"/>
        </w:rPr>
        <w:footnoteRef/>
      </w:r>
      <w:r>
        <w:t xml:space="preserve"> </w:t>
      </w:r>
      <w:r>
        <w:rPr>
          <w:lang w:val="en-ZA"/>
        </w:rPr>
        <w:t>Ibid at para [36]</w:t>
      </w:r>
    </w:p>
  </w:footnote>
  <w:footnote w:id="7">
    <w:p w14:paraId="4CC2FD40" w14:textId="27001526" w:rsidR="00AA2C0B" w:rsidRPr="00A76795" w:rsidRDefault="00AA2C0B">
      <w:pPr>
        <w:pStyle w:val="FootnoteText"/>
        <w:rPr>
          <w:lang w:val="en-ZA"/>
        </w:rPr>
      </w:pPr>
      <w:r>
        <w:rPr>
          <w:rStyle w:val="FootnoteReference"/>
        </w:rPr>
        <w:footnoteRef/>
      </w:r>
      <w:r>
        <w:t xml:space="preserve"> </w:t>
      </w:r>
      <w:r>
        <w:rPr>
          <w:lang w:val="en-ZA"/>
        </w:rPr>
        <w:t>1929 AD 266</w:t>
      </w:r>
    </w:p>
  </w:footnote>
  <w:footnote w:id="8">
    <w:p w14:paraId="2A7CADE1" w14:textId="77777777" w:rsidR="00AA2C0B" w:rsidRPr="00C14D55" w:rsidRDefault="00AA2C0B" w:rsidP="00AD15ED">
      <w:pPr>
        <w:pStyle w:val="FootnoteText"/>
        <w:rPr>
          <w:lang w:val="en-ZA"/>
        </w:rPr>
      </w:pPr>
      <w:r>
        <w:rPr>
          <w:rStyle w:val="FootnoteReference"/>
        </w:rPr>
        <w:footnoteRef/>
      </w:r>
      <w:r>
        <w:t xml:space="preserve"> </w:t>
      </w:r>
      <w:r>
        <w:rPr>
          <w:lang w:val="en-ZA"/>
        </w:rPr>
        <w:t>In re Stilwell Scheuble and Van den Burg v Durham (1831) 1 Menz 537; Dommisse v Theart (1885-1886) 4 SC 92:94; Alexander v Burger 1905 TS 80:82; Webster v Ellison 1911 AD 73; Oliver and Havenga v Moyes 1916 DPD 40:44; Reddy v Johnson (1923) 44 NPD 190:194; Columbia Furnishing Co v Goldblatt 1929 AD 27 Kleinsakeontwikkelingskorporasie Bpk v Santambank Bpk 1988 (3) SA 266 (C) 270</w:t>
      </w:r>
    </w:p>
  </w:footnote>
  <w:footnote w:id="9">
    <w:p w14:paraId="0C274C76" w14:textId="77777777" w:rsidR="00AA2C0B" w:rsidRPr="0085122F" w:rsidRDefault="00AA2C0B" w:rsidP="00AD15ED">
      <w:pPr>
        <w:pStyle w:val="FootnoteText"/>
        <w:rPr>
          <w:lang w:val="en-ZA"/>
        </w:rPr>
      </w:pPr>
      <w:r>
        <w:rPr>
          <w:rStyle w:val="FootnoteReference"/>
        </w:rPr>
        <w:footnoteRef/>
      </w:r>
      <w:r>
        <w:t xml:space="preserve"> </w:t>
      </w:r>
      <w:r>
        <w:rPr>
          <w:lang w:val="en-ZA"/>
        </w:rPr>
        <w:t>(6518/11) [2012} ZAKZPHC 49 (31 July 2012)</w:t>
      </w:r>
    </w:p>
  </w:footnote>
  <w:footnote w:id="10">
    <w:p w14:paraId="7EE3BEB2" w14:textId="2A65C5D7" w:rsidR="00AA2C0B" w:rsidRPr="00CC7B7B" w:rsidRDefault="00AA2C0B">
      <w:pPr>
        <w:pStyle w:val="FootnoteText"/>
        <w:rPr>
          <w:lang w:val="en-ZA"/>
        </w:rPr>
      </w:pPr>
      <w:r>
        <w:rPr>
          <w:rStyle w:val="FootnoteReference"/>
        </w:rPr>
        <w:footnoteRef/>
      </w:r>
      <w:r>
        <w:t xml:space="preserve"> </w:t>
      </w:r>
      <w:r>
        <w:rPr>
          <w:lang w:val="en-ZA"/>
        </w:rPr>
        <w:t>Record page 179</w:t>
      </w:r>
    </w:p>
  </w:footnote>
  <w:footnote w:id="11">
    <w:p w14:paraId="090CE332" w14:textId="659EEA5A" w:rsidR="00AA2C0B" w:rsidRPr="00793044" w:rsidRDefault="00AA2C0B">
      <w:pPr>
        <w:pStyle w:val="FootnoteText"/>
        <w:rPr>
          <w:lang w:val="en-ZA"/>
        </w:rPr>
      </w:pPr>
      <w:r>
        <w:rPr>
          <w:rStyle w:val="FootnoteReference"/>
        </w:rPr>
        <w:footnoteRef/>
      </w:r>
      <w:r>
        <w:t xml:space="preserve"> </w:t>
      </w:r>
      <w:r>
        <w:rPr>
          <w:lang w:val="en-ZA"/>
        </w:rPr>
        <w:t>Record page 175 - 176</w:t>
      </w:r>
    </w:p>
  </w:footnote>
  <w:footnote w:id="12">
    <w:p w14:paraId="5AA6AC4E" w14:textId="1083384C" w:rsidR="00AA2C0B" w:rsidRPr="007B1853" w:rsidRDefault="00AA2C0B">
      <w:pPr>
        <w:pStyle w:val="FootnoteText"/>
        <w:rPr>
          <w:lang w:val="en-ZA"/>
        </w:rPr>
      </w:pPr>
      <w:r>
        <w:rPr>
          <w:rStyle w:val="FootnoteReference"/>
        </w:rPr>
        <w:footnoteRef/>
      </w:r>
      <w:r>
        <w:t xml:space="preserve"> Record page 192</w:t>
      </w:r>
    </w:p>
  </w:footnote>
  <w:footnote w:id="13">
    <w:p w14:paraId="5FC2E003" w14:textId="1F68B93B" w:rsidR="00AA2C0B" w:rsidRPr="00614E3C" w:rsidRDefault="00AA2C0B">
      <w:pPr>
        <w:pStyle w:val="FootnoteText"/>
        <w:rPr>
          <w:lang w:val="en-ZA"/>
        </w:rPr>
      </w:pPr>
      <w:r>
        <w:rPr>
          <w:rStyle w:val="FootnoteReference"/>
        </w:rPr>
        <w:footnoteRef/>
      </w:r>
      <w:r>
        <w:t xml:space="preserve"> [2012] ZASCA 13; 2012(4) SA 593 at para 18</w:t>
      </w:r>
    </w:p>
  </w:footnote>
  <w:footnote w:id="14">
    <w:p w14:paraId="5BF58F70" w14:textId="3287C10A" w:rsidR="00AA2C0B" w:rsidRPr="00A71BF9" w:rsidRDefault="00AA2C0B">
      <w:pPr>
        <w:pStyle w:val="FootnoteText"/>
        <w:rPr>
          <w:lang w:val="en-ZA"/>
        </w:rPr>
      </w:pPr>
      <w:r>
        <w:rPr>
          <w:rStyle w:val="FootnoteReference"/>
        </w:rPr>
        <w:footnoteRef/>
      </w:r>
      <w:r>
        <w:t xml:space="preserve"> </w:t>
      </w:r>
      <w:r>
        <w:rPr>
          <w:lang w:val="en-ZA"/>
        </w:rPr>
        <w:t>1966(3) SA 344 (W)</w:t>
      </w:r>
    </w:p>
  </w:footnote>
  <w:footnote w:id="15">
    <w:p w14:paraId="5C67B1B9" w14:textId="364430F8" w:rsidR="00AA2C0B" w:rsidRPr="0040673D" w:rsidRDefault="00AA2C0B">
      <w:pPr>
        <w:pStyle w:val="FootnoteText"/>
        <w:rPr>
          <w:lang w:val="en-ZA"/>
        </w:rPr>
      </w:pPr>
      <w:r>
        <w:rPr>
          <w:rStyle w:val="FootnoteReference"/>
        </w:rPr>
        <w:footnoteRef/>
      </w:r>
      <w:r>
        <w:t xml:space="preserve"> </w:t>
      </w:r>
      <w:r>
        <w:rPr>
          <w:lang w:val="en-ZA"/>
        </w:rPr>
        <w:t>[2015] l All SA 324 (GJ)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4DA7" w14:textId="6C0FA28C" w:rsidR="00AA2C0B" w:rsidRPr="003D168B" w:rsidRDefault="00AA2C0B">
    <w:pPr>
      <w:pStyle w:val="Header"/>
      <w:jc w:val="right"/>
      <w:rPr>
        <w:rFonts w:ascii="Arial" w:hAnsi="Arial" w:cs="Arial"/>
      </w:rPr>
    </w:pPr>
    <w:r w:rsidRPr="003D168B">
      <w:rPr>
        <w:rFonts w:ascii="Arial" w:hAnsi="Arial" w:cs="Arial"/>
      </w:rPr>
      <w:fldChar w:fldCharType="begin"/>
    </w:r>
    <w:r w:rsidRPr="003D168B">
      <w:rPr>
        <w:rFonts w:ascii="Arial" w:hAnsi="Arial" w:cs="Arial"/>
      </w:rPr>
      <w:instrText xml:space="preserve"> PAGE   \* MERGEFORMAT </w:instrText>
    </w:r>
    <w:r w:rsidRPr="003D168B">
      <w:rPr>
        <w:rFonts w:ascii="Arial" w:hAnsi="Arial" w:cs="Arial"/>
      </w:rPr>
      <w:fldChar w:fldCharType="separate"/>
    </w:r>
    <w:r w:rsidR="00BD72C8">
      <w:rPr>
        <w:rFonts w:ascii="Arial" w:hAnsi="Arial" w:cs="Arial"/>
        <w:noProof/>
      </w:rPr>
      <w:t>2</w:t>
    </w:r>
    <w:r w:rsidRPr="003D168B">
      <w:rPr>
        <w:rFonts w:ascii="Arial" w:hAnsi="Arial" w:cs="Arial"/>
        <w:noProof/>
      </w:rPr>
      <w:fldChar w:fldCharType="end"/>
    </w:r>
  </w:p>
  <w:p w14:paraId="27BAFC47" w14:textId="77777777" w:rsidR="00AA2C0B" w:rsidRDefault="00AA2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5152"/>
    <w:multiLevelType w:val="hybridMultilevel"/>
    <w:tmpl w:val="9962BCA2"/>
    <w:lvl w:ilvl="0" w:tplc="8DFA3B26">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75B79"/>
    <w:multiLevelType w:val="hybridMultilevel"/>
    <w:tmpl w:val="15EEA3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223616"/>
    <w:multiLevelType w:val="hybridMultilevel"/>
    <w:tmpl w:val="0CA8FE34"/>
    <w:lvl w:ilvl="0" w:tplc="742657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7917861"/>
    <w:multiLevelType w:val="hybridMultilevel"/>
    <w:tmpl w:val="189C601E"/>
    <w:lvl w:ilvl="0" w:tplc="962E0C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1982667"/>
    <w:multiLevelType w:val="hybridMultilevel"/>
    <w:tmpl w:val="E99C9F88"/>
    <w:lvl w:ilvl="0" w:tplc="6DA83F9E">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035B83"/>
    <w:multiLevelType w:val="multilevel"/>
    <w:tmpl w:val="A718EA2C"/>
    <w:lvl w:ilvl="0">
      <w:start w:val="57"/>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85D5BB6"/>
    <w:multiLevelType w:val="hybridMultilevel"/>
    <w:tmpl w:val="24C01EA2"/>
    <w:lvl w:ilvl="0" w:tplc="DF323C50">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EC4B31"/>
    <w:multiLevelType w:val="hybridMultilevel"/>
    <w:tmpl w:val="D10650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7B1DC1"/>
    <w:multiLevelType w:val="hybridMultilevel"/>
    <w:tmpl w:val="46B29A5C"/>
    <w:lvl w:ilvl="0" w:tplc="1C09000F">
      <w:start w:val="1"/>
      <w:numFmt w:val="decimal"/>
      <w:lvlText w:val="%1."/>
      <w:lvlJc w:val="left"/>
      <w:pPr>
        <w:ind w:left="1717" w:hanging="360"/>
      </w:pPr>
    </w:lvl>
    <w:lvl w:ilvl="1" w:tplc="1C090019" w:tentative="1">
      <w:start w:val="1"/>
      <w:numFmt w:val="lowerLetter"/>
      <w:lvlText w:val="%2."/>
      <w:lvlJc w:val="left"/>
      <w:pPr>
        <w:ind w:left="2437" w:hanging="360"/>
      </w:pPr>
    </w:lvl>
    <w:lvl w:ilvl="2" w:tplc="1C09001B" w:tentative="1">
      <w:start w:val="1"/>
      <w:numFmt w:val="lowerRoman"/>
      <w:lvlText w:val="%3."/>
      <w:lvlJc w:val="right"/>
      <w:pPr>
        <w:ind w:left="3157" w:hanging="180"/>
      </w:pPr>
    </w:lvl>
    <w:lvl w:ilvl="3" w:tplc="1C09000F" w:tentative="1">
      <w:start w:val="1"/>
      <w:numFmt w:val="decimal"/>
      <w:lvlText w:val="%4."/>
      <w:lvlJc w:val="left"/>
      <w:pPr>
        <w:ind w:left="3877" w:hanging="360"/>
      </w:pPr>
    </w:lvl>
    <w:lvl w:ilvl="4" w:tplc="1C090019" w:tentative="1">
      <w:start w:val="1"/>
      <w:numFmt w:val="lowerLetter"/>
      <w:lvlText w:val="%5."/>
      <w:lvlJc w:val="left"/>
      <w:pPr>
        <w:ind w:left="4597" w:hanging="360"/>
      </w:pPr>
    </w:lvl>
    <w:lvl w:ilvl="5" w:tplc="1C09001B" w:tentative="1">
      <w:start w:val="1"/>
      <w:numFmt w:val="lowerRoman"/>
      <w:lvlText w:val="%6."/>
      <w:lvlJc w:val="right"/>
      <w:pPr>
        <w:ind w:left="5317" w:hanging="180"/>
      </w:pPr>
    </w:lvl>
    <w:lvl w:ilvl="6" w:tplc="1C09000F" w:tentative="1">
      <w:start w:val="1"/>
      <w:numFmt w:val="decimal"/>
      <w:lvlText w:val="%7."/>
      <w:lvlJc w:val="left"/>
      <w:pPr>
        <w:ind w:left="6037" w:hanging="360"/>
      </w:pPr>
    </w:lvl>
    <w:lvl w:ilvl="7" w:tplc="1C090019" w:tentative="1">
      <w:start w:val="1"/>
      <w:numFmt w:val="lowerLetter"/>
      <w:lvlText w:val="%8."/>
      <w:lvlJc w:val="left"/>
      <w:pPr>
        <w:ind w:left="6757" w:hanging="360"/>
      </w:pPr>
    </w:lvl>
    <w:lvl w:ilvl="8" w:tplc="1C09001B" w:tentative="1">
      <w:start w:val="1"/>
      <w:numFmt w:val="lowerRoman"/>
      <w:lvlText w:val="%9."/>
      <w:lvlJc w:val="right"/>
      <w:pPr>
        <w:ind w:left="7477" w:hanging="180"/>
      </w:pPr>
    </w:lvl>
  </w:abstractNum>
  <w:abstractNum w:abstractNumId="9">
    <w:nsid w:val="2733141F"/>
    <w:multiLevelType w:val="multilevel"/>
    <w:tmpl w:val="6F56A748"/>
    <w:lvl w:ilvl="0">
      <w:start w:val="56"/>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8F9011A"/>
    <w:multiLevelType w:val="hybridMultilevel"/>
    <w:tmpl w:val="D0D05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5B3012"/>
    <w:multiLevelType w:val="hybridMultilevel"/>
    <w:tmpl w:val="C2FCBE80"/>
    <w:lvl w:ilvl="0" w:tplc="A218EA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897103"/>
    <w:multiLevelType w:val="hybridMultilevel"/>
    <w:tmpl w:val="7A98BB80"/>
    <w:lvl w:ilvl="0" w:tplc="DFE616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4915ADA"/>
    <w:multiLevelType w:val="hybridMultilevel"/>
    <w:tmpl w:val="4DF6582E"/>
    <w:lvl w:ilvl="0" w:tplc="EFB8F9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B0A2464"/>
    <w:multiLevelType w:val="hybridMultilevel"/>
    <w:tmpl w:val="4E86D704"/>
    <w:lvl w:ilvl="0" w:tplc="6D98D8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3D552951"/>
    <w:multiLevelType w:val="hybridMultilevel"/>
    <w:tmpl w:val="58A65D64"/>
    <w:lvl w:ilvl="0" w:tplc="3C3C5D4A">
      <w:start w:val="1"/>
      <w:numFmt w:val="decimal"/>
      <w:lvlText w:val="%1."/>
      <w:lvlJc w:val="left"/>
      <w:pPr>
        <w:ind w:left="502"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AE33AC"/>
    <w:multiLevelType w:val="hybridMultilevel"/>
    <w:tmpl w:val="E0B2A674"/>
    <w:lvl w:ilvl="0" w:tplc="8F52A1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407456F5"/>
    <w:multiLevelType w:val="hybridMultilevel"/>
    <w:tmpl w:val="3438A3FE"/>
    <w:lvl w:ilvl="0" w:tplc="D3469C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0B51A10"/>
    <w:multiLevelType w:val="hybridMultilevel"/>
    <w:tmpl w:val="49B06984"/>
    <w:lvl w:ilvl="0" w:tplc="CC0A118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410763C2"/>
    <w:multiLevelType w:val="hybridMultilevel"/>
    <w:tmpl w:val="16DE9342"/>
    <w:lvl w:ilvl="0" w:tplc="7452CE18">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4F0F49"/>
    <w:multiLevelType w:val="hybridMultilevel"/>
    <w:tmpl w:val="45CE7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3BB05CA"/>
    <w:multiLevelType w:val="hybridMultilevel"/>
    <w:tmpl w:val="A658FCF4"/>
    <w:lvl w:ilvl="0" w:tplc="022831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555F5BA6"/>
    <w:multiLevelType w:val="hybridMultilevel"/>
    <w:tmpl w:val="D514F854"/>
    <w:lvl w:ilvl="0" w:tplc="DFE616C2">
      <w:start w:val="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5B251C1"/>
    <w:multiLevelType w:val="hybridMultilevel"/>
    <w:tmpl w:val="24FE69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175D06"/>
    <w:multiLevelType w:val="multilevel"/>
    <w:tmpl w:val="14BAAB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90E268C"/>
    <w:multiLevelType w:val="hybridMultilevel"/>
    <w:tmpl w:val="B774827A"/>
    <w:lvl w:ilvl="0" w:tplc="D7DA70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AF94728"/>
    <w:multiLevelType w:val="hybridMultilevel"/>
    <w:tmpl w:val="EFDECEC4"/>
    <w:lvl w:ilvl="0" w:tplc="EFC85CFE">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D7B018F"/>
    <w:multiLevelType w:val="hybridMultilevel"/>
    <w:tmpl w:val="C73827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D2066E"/>
    <w:multiLevelType w:val="hybridMultilevel"/>
    <w:tmpl w:val="EB20C648"/>
    <w:lvl w:ilvl="0" w:tplc="3DB84E5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nsid w:val="601E1B9D"/>
    <w:multiLevelType w:val="hybridMultilevel"/>
    <w:tmpl w:val="B7BC4F76"/>
    <w:lvl w:ilvl="0" w:tplc="B76064A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502CB8"/>
    <w:multiLevelType w:val="hybridMultilevel"/>
    <w:tmpl w:val="AEB85EB4"/>
    <w:lvl w:ilvl="0" w:tplc="578037C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61D914B2"/>
    <w:multiLevelType w:val="hybridMultilevel"/>
    <w:tmpl w:val="398059A8"/>
    <w:lvl w:ilvl="0" w:tplc="E1D2CB06">
      <w:start w:val="1"/>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6FE7BA8"/>
    <w:multiLevelType w:val="hybridMultilevel"/>
    <w:tmpl w:val="910C06E0"/>
    <w:lvl w:ilvl="0" w:tplc="54D4B5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9B584D"/>
    <w:multiLevelType w:val="hybridMultilevel"/>
    <w:tmpl w:val="3B5CC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CE6716"/>
    <w:multiLevelType w:val="multilevel"/>
    <w:tmpl w:val="3BFA571E"/>
    <w:lvl w:ilvl="0">
      <w:start w:val="1"/>
      <w:numFmt w:val="decimal"/>
      <w:pStyle w:val="Sectionnumbering"/>
      <w:isLgl/>
      <w:lvlText w:val="[%1]"/>
      <w:lvlJc w:val="left"/>
      <w:pPr>
        <w:tabs>
          <w:tab w:val="num" w:pos="0"/>
        </w:tabs>
        <w:ind w:left="567" w:hanging="567"/>
      </w:pPr>
      <w:rPr>
        <w:rFonts w:hint="default"/>
      </w:rPr>
    </w:lvl>
    <w:lvl w:ilvl="1">
      <w:start w:val="1"/>
      <w:numFmt w:val="lowerLetter"/>
      <w:lvlText w:val="(%2)"/>
      <w:lvlJc w:val="left"/>
      <w:pPr>
        <w:tabs>
          <w:tab w:val="num" w:pos="0"/>
        </w:tabs>
        <w:ind w:left="992" w:hanging="425"/>
      </w:pPr>
      <w:rPr>
        <w:rFonts w:hint="default"/>
        <w:b w:val="0"/>
        <w:i w:val="0"/>
      </w:rPr>
    </w:lvl>
    <w:lvl w:ilvl="2">
      <w:start w:val="1"/>
      <w:numFmt w:val="lowerRoman"/>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35">
    <w:nsid w:val="699E0D2B"/>
    <w:multiLevelType w:val="hybridMultilevel"/>
    <w:tmpl w:val="9B64BE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A744099"/>
    <w:multiLevelType w:val="multilevel"/>
    <w:tmpl w:val="040CB6EA"/>
    <w:lvl w:ilvl="0">
      <w:start w:val="6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E533809"/>
    <w:multiLevelType w:val="hybridMultilevel"/>
    <w:tmpl w:val="C896D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5F6777"/>
    <w:multiLevelType w:val="multilevel"/>
    <w:tmpl w:val="2294E634"/>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9">
    <w:nsid w:val="71EF3C25"/>
    <w:multiLevelType w:val="hybridMultilevel"/>
    <w:tmpl w:val="146E4702"/>
    <w:lvl w:ilvl="0" w:tplc="DFE616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654368"/>
    <w:multiLevelType w:val="hybridMultilevel"/>
    <w:tmpl w:val="C090D53C"/>
    <w:lvl w:ilvl="0" w:tplc="5AF6F4E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1">
    <w:nsid w:val="76795B0B"/>
    <w:multiLevelType w:val="hybridMultilevel"/>
    <w:tmpl w:val="C492CEAE"/>
    <w:lvl w:ilvl="0" w:tplc="9F6CA3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92D1863"/>
    <w:multiLevelType w:val="hybridMultilevel"/>
    <w:tmpl w:val="C406D08C"/>
    <w:lvl w:ilvl="0" w:tplc="B3544B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F10866"/>
    <w:multiLevelType w:val="hybridMultilevel"/>
    <w:tmpl w:val="F5461BFA"/>
    <w:lvl w:ilvl="0" w:tplc="4802CC1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D724B95"/>
    <w:multiLevelType w:val="hybridMultilevel"/>
    <w:tmpl w:val="197E4C52"/>
    <w:lvl w:ilvl="0" w:tplc="2A4E4E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nsid w:val="7E820865"/>
    <w:multiLevelType w:val="hybridMultilevel"/>
    <w:tmpl w:val="93BADE7E"/>
    <w:lvl w:ilvl="0" w:tplc="8F423B9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4"/>
  </w:num>
  <w:num w:numId="2">
    <w:abstractNumId w:val="33"/>
  </w:num>
  <w:num w:numId="3">
    <w:abstractNumId w:val="10"/>
  </w:num>
  <w:num w:numId="4">
    <w:abstractNumId w:val="0"/>
  </w:num>
  <w:num w:numId="5">
    <w:abstractNumId w:val="7"/>
  </w:num>
  <w:num w:numId="6">
    <w:abstractNumId w:val="1"/>
  </w:num>
  <w:num w:numId="7">
    <w:abstractNumId w:val="35"/>
  </w:num>
  <w:num w:numId="8">
    <w:abstractNumId w:val="27"/>
  </w:num>
  <w:num w:numId="9">
    <w:abstractNumId w:val="15"/>
  </w:num>
  <w:num w:numId="10">
    <w:abstractNumId w:val="8"/>
  </w:num>
  <w:num w:numId="11">
    <w:abstractNumId w:val="37"/>
  </w:num>
  <w:num w:numId="12">
    <w:abstractNumId w:val="23"/>
  </w:num>
  <w:num w:numId="13">
    <w:abstractNumId w:val="20"/>
  </w:num>
  <w:num w:numId="14">
    <w:abstractNumId w:val="12"/>
  </w:num>
  <w:num w:numId="15">
    <w:abstractNumId w:val="39"/>
  </w:num>
  <w:num w:numId="16">
    <w:abstractNumId w:val="9"/>
  </w:num>
  <w:num w:numId="17">
    <w:abstractNumId w:val="22"/>
  </w:num>
  <w:num w:numId="18">
    <w:abstractNumId w:val="5"/>
  </w:num>
  <w:num w:numId="19">
    <w:abstractNumId w:val="19"/>
  </w:num>
  <w:num w:numId="20">
    <w:abstractNumId w:val="6"/>
  </w:num>
  <w:num w:numId="21">
    <w:abstractNumId w:val="36"/>
  </w:num>
  <w:num w:numId="22">
    <w:abstractNumId w:val="13"/>
  </w:num>
  <w:num w:numId="23">
    <w:abstractNumId w:val="40"/>
  </w:num>
  <w:num w:numId="24">
    <w:abstractNumId w:val="17"/>
  </w:num>
  <w:num w:numId="25">
    <w:abstractNumId w:val="45"/>
  </w:num>
  <w:num w:numId="26">
    <w:abstractNumId w:val="43"/>
  </w:num>
  <w:num w:numId="27">
    <w:abstractNumId w:val="25"/>
  </w:num>
  <w:num w:numId="28">
    <w:abstractNumId w:val="11"/>
  </w:num>
  <w:num w:numId="29">
    <w:abstractNumId w:val="41"/>
  </w:num>
  <w:num w:numId="30">
    <w:abstractNumId w:val="30"/>
  </w:num>
  <w:num w:numId="31">
    <w:abstractNumId w:val="2"/>
  </w:num>
  <w:num w:numId="32">
    <w:abstractNumId w:val="32"/>
  </w:num>
  <w:num w:numId="33">
    <w:abstractNumId w:val="18"/>
  </w:num>
  <w:num w:numId="34">
    <w:abstractNumId w:val="29"/>
  </w:num>
  <w:num w:numId="35">
    <w:abstractNumId w:val="21"/>
  </w:num>
  <w:num w:numId="36">
    <w:abstractNumId w:val="28"/>
  </w:num>
  <w:num w:numId="37">
    <w:abstractNumId w:val="24"/>
  </w:num>
  <w:num w:numId="38">
    <w:abstractNumId w:val="4"/>
  </w:num>
  <w:num w:numId="39">
    <w:abstractNumId w:val="44"/>
  </w:num>
  <w:num w:numId="40">
    <w:abstractNumId w:val="16"/>
  </w:num>
  <w:num w:numId="41">
    <w:abstractNumId w:val="14"/>
  </w:num>
  <w:num w:numId="42">
    <w:abstractNumId w:val="31"/>
  </w:num>
  <w:num w:numId="43">
    <w:abstractNumId w:val="38"/>
  </w:num>
  <w:num w:numId="44">
    <w:abstractNumId w:val="26"/>
  </w:num>
  <w:num w:numId="45">
    <w:abstractNumId w:val="4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DA2NjU2MLewMDRS0lEKTi0uzszPAykwqgUADHmh3ywAAAA="/>
  </w:docVars>
  <w:rsids>
    <w:rsidRoot w:val="00290525"/>
    <w:rsid w:val="0000002B"/>
    <w:rsid w:val="00000163"/>
    <w:rsid w:val="00000AD5"/>
    <w:rsid w:val="00001029"/>
    <w:rsid w:val="00001358"/>
    <w:rsid w:val="00001895"/>
    <w:rsid w:val="0000278E"/>
    <w:rsid w:val="00002C18"/>
    <w:rsid w:val="00002F62"/>
    <w:rsid w:val="0000353F"/>
    <w:rsid w:val="000047EC"/>
    <w:rsid w:val="000054A9"/>
    <w:rsid w:val="00007014"/>
    <w:rsid w:val="000079F4"/>
    <w:rsid w:val="0001023D"/>
    <w:rsid w:val="000105D5"/>
    <w:rsid w:val="000111D3"/>
    <w:rsid w:val="000118AC"/>
    <w:rsid w:val="00012365"/>
    <w:rsid w:val="000129B3"/>
    <w:rsid w:val="00013527"/>
    <w:rsid w:val="00013BB7"/>
    <w:rsid w:val="00014070"/>
    <w:rsid w:val="00014D84"/>
    <w:rsid w:val="00014E83"/>
    <w:rsid w:val="000163E9"/>
    <w:rsid w:val="000165C4"/>
    <w:rsid w:val="00017077"/>
    <w:rsid w:val="00017164"/>
    <w:rsid w:val="000172A1"/>
    <w:rsid w:val="0002081A"/>
    <w:rsid w:val="0002266C"/>
    <w:rsid w:val="00022B07"/>
    <w:rsid w:val="000237DF"/>
    <w:rsid w:val="00024CD9"/>
    <w:rsid w:val="00024D77"/>
    <w:rsid w:val="00025100"/>
    <w:rsid w:val="00025867"/>
    <w:rsid w:val="00027763"/>
    <w:rsid w:val="00030470"/>
    <w:rsid w:val="00030858"/>
    <w:rsid w:val="00030FCE"/>
    <w:rsid w:val="000313E2"/>
    <w:rsid w:val="00031C2D"/>
    <w:rsid w:val="00031F14"/>
    <w:rsid w:val="000331C1"/>
    <w:rsid w:val="00033BBA"/>
    <w:rsid w:val="000345E4"/>
    <w:rsid w:val="0003462E"/>
    <w:rsid w:val="00034E32"/>
    <w:rsid w:val="000351B9"/>
    <w:rsid w:val="0003661F"/>
    <w:rsid w:val="000379A7"/>
    <w:rsid w:val="00037AB7"/>
    <w:rsid w:val="000409C0"/>
    <w:rsid w:val="00042ECB"/>
    <w:rsid w:val="00043704"/>
    <w:rsid w:val="000444AE"/>
    <w:rsid w:val="00044764"/>
    <w:rsid w:val="00045382"/>
    <w:rsid w:val="0004575B"/>
    <w:rsid w:val="0004605B"/>
    <w:rsid w:val="00046D00"/>
    <w:rsid w:val="00047685"/>
    <w:rsid w:val="0004792B"/>
    <w:rsid w:val="000516A8"/>
    <w:rsid w:val="000518A9"/>
    <w:rsid w:val="0005190C"/>
    <w:rsid w:val="00051980"/>
    <w:rsid w:val="0005201F"/>
    <w:rsid w:val="00052890"/>
    <w:rsid w:val="00052F5C"/>
    <w:rsid w:val="00053780"/>
    <w:rsid w:val="00054467"/>
    <w:rsid w:val="00054888"/>
    <w:rsid w:val="00054E76"/>
    <w:rsid w:val="000568DE"/>
    <w:rsid w:val="00061871"/>
    <w:rsid w:val="00062036"/>
    <w:rsid w:val="00062900"/>
    <w:rsid w:val="000642CA"/>
    <w:rsid w:val="00064365"/>
    <w:rsid w:val="000649E4"/>
    <w:rsid w:val="00065214"/>
    <w:rsid w:val="000654A0"/>
    <w:rsid w:val="00065A54"/>
    <w:rsid w:val="0006639A"/>
    <w:rsid w:val="00066475"/>
    <w:rsid w:val="00067C6F"/>
    <w:rsid w:val="00067F48"/>
    <w:rsid w:val="00070B07"/>
    <w:rsid w:val="0007166C"/>
    <w:rsid w:val="00071691"/>
    <w:rsid w:val="00071BC4"/>
    <w:rsid w:val="00071C27"/>
    <w:rsid w:val="00071FF7"/>
    <w:rsid w:val="0007244E"/>
    <w:rsid w:val="00072635"/>
    <w:rsid w:val="000738E8"/>
    <w:rsid w:val="00074CE2"/>
    <w:rsid w:val="00074E05"/>
    <w:rsid w:val="00075518"/>
    <w:rsid w:val="0007681E"/>
    <w:rsid w:val="00077316"/>
    <w:rsid w:val="00077991"/>
    <w:rsid w:val="00077CB4"/>
    <w:rsid w:val="00077DAD"/>
    <w:rsid w:val="00081115"/>
    <w:rsid w:val="00081193"/>
    <w:rsid w:val="00081AF5"/>
    <w:rsid w:val="000820EE"/>
    <w:rsid w:val="0008318C"/>
    <w:rsid w:val="000832A1"/>
    <w:rsid w:val="00083474"/>
    <w:rsid w:val="000853CF"/>
    <w:rsid w:val="00086203"/>
    <w:rsid w:val="000871AD"/>
    <w:rsid w:val="000879AF"/>
    <w:rsid w:val="00087F37"/>
    <w:rsid w:val="0009034C"/>
    <w:rsid w:val="0009108C"/>
    <w:rsid w:val="0009148D"/>
    <w:rsid w:val="00091F04"/>
    <w:rsid w:val="0009368B"/>
    <w:rsid w:val="000938E4"/>
    <w:rsid w:val="00093BC0"/>
    <w:rsid w:val="00094DCA"/>
    <w:rsid w:val="00094E85"/>
    <w:rsid w:val="000959DF"/>
    <w:rsid w:val="000962A7"/>
    <w:rsid w:val="000A195B"/>
    <w:rsid w:val="000A30F6"/>
    <w:rsid w:val="000A54E8"/>
    <w:rsid w:val="000A59CC"/>
    <w:rsid w:val="000A59E6"/>
    <w:rsid w:val="000A5A64"/>
    <w:rsid w:val="000A690E"/>
    <w:rsid w:val="000A6F17"/>
    <w:rsid w:val="000B14B2"/>
    <w:rsid w:val="000B16B3"/>
    <w:rsid w:val="000B1977"/>
    <w:rsid w:val="000B1BCE"/>
    <w:rsid w:val="000B2A5F"/>
    <w:rsid w:val="000B4074"/>
    <w:rsid w:val="000B4CAE"/>
    <w:rsid w:val="000B60E3"/>
    <w:rsid w:val="000B6ABA"/>
    <w:rsid w:val="000C10AD"/>
    <w:rsid w:val="000C2483"/>
    <w:rsid w:val="000C2E97"/>
    <w:rsid w:val="000C4066"/>
    <w:rsid w:val="000C5467"/>
    <w:rsid w:val="000C56ED"/>
    <w:rsid w:val="000C5A16"/>
    <w:rsid w:val="000C5B6F"/>
    <w:rsid w:val="000C5C1B"/>
    <w:rsid w:val="000C66BD"/>
    <w:rsid w:val="000C6702"/>
    <w:rsid w:val="000C6B56"/>
    <w:rsid w:val="000D1610"/>
    <w:rsid w:val="000D1ECC"/>
    <w:rsid w:val="000D20F8"/>
    <w:rsid w:val="000D496F"/>
    <w:rsid w:val="000D4C9B"/>
    <w:rsid w:val="000D4FAD"/>
    <w:rsid w:val="000D76A7"/>
    <w:rsid w:val="000D7787"/>
    <w:rsid w:val="000E1941"/>
    <w:rsid w:val="000E1A61"/>
    <w:rsid w:val="000E1EA3"/>
    <w:rsid w:val="000E2743"/>
    <w:rsid w:val="000E2F2B"/>
    <w:rsid w:val="000E33AD"/>
    <w:rsid w:val="000E37E6"/>
    <w:rsid w:val="000E37EF"/>
    <w:rsid w:val="000E4139"/>
    <w:rsid w:val="000E42A3"/>
    <w:rsid w:val="000E45F5"/>
    <w:rsid w:val="000E46DA"/>
    <w:rsid w:val="000E7879"/>
    <w:rsid w:val="000E7B39"/>
    <w:rsid w:val="000F0711"/>
    <w:rsid w:val="000F135D"/>
    <w:rsid w:val="000F2169"/>
    <w:rsid w:val="000F2B0C"/>
    <w:rsid w:val="000F3A7D"/>
    <w:rsid w:val="000F4760"/>
    <w:rsid w:val="000F523F"/>
    <w:rsid w:val="000F54F0"/>
    <w:rsid w:val="000F554B"/>
    <w:rsid w:val="000F55C3"/>
    <w:rsid w:val="000F5912"/>
    <w:rsid w:val="000F6138"/>
    <w:rsid w:val="000F617A"/>
    <w:rsid w:val="000F636A"/>
    <w:rsid w:val="00100B2C"/>
    <w:rsid w:val="00103B52"/>
    <w:rsid w:val="00104371"/>
    <w:rsid w:val="001045C2"/>
    <w:rsid w:val="00104B3B"/>
    <w:rsid w:val="00105138"/>
    <w:rsid w:val="0010529D"/>
    <w:rsid w:val="0010536D"/>
    <w:rsid w:val="00105677"/>
    <w:rsid w:val="00105CED"/>
    <w:rsid w:val="00110318"/>
    <w:rsid w:val="0011050D"/>
    <w:rsid w:val="00110ACA"/>
    <w:rsid w:val="00111DD3"/>
    <w:rsid w:val="00111FC3"/>
    <w:rsid w:val="001122C1"/>
    <w:rsid w:val="001129FC"/>
    <w:rsid w:val="00113B6F"/>
    <w:rsid w:val="00113F98"/>
    <w:rsid w:val="0011482F"/>
    <w:rsid w:val="00114D5D"/>
    <w:rsid w:val="001156C1"/>
    <w:rsid w:val="00116411"/>
    <w:rsid w:val="00116FFC"/>
    <w:rsid w:val="00117DF7"/>
    <w:rsid w:val="00117F7B"/>
    <w:rsid w:val="001203E5"/>
    <w:rsid w:val="00120986"/>
    <w:rsid w:val="00120B90"/>
    <w:rsid w:val="00121B0F"/>
    <w:rsid w:val="00121B43"/>
    <w:rsid w:val="00122377"/>
    <w:rsid w:val="00123BD4"/>
    <w:rsid w:val="001240DD"/>
    <w:rsid w:val="001241AB"/>
    <w:rsid w:val="00130635"/>
    <w:rsid w:val="0013071F"/>
    <w:rsid w:val="00131175"/>
    <w:rsid w:val="001314BB"/>
    <w:rsid w:val="00132B2A"/>
    <w:rsid w:val="00132BDC"/>
    <w:rsid w:val="00132D24"/>
    <w:rsid w:val="0013347D"/>
    <w:rsid w:val="0013376B"/>
    <w:rsid w:val="00133A18"/>
    <w:rsid w:val="00133A7B"/>
    <w:rsid w:val="00133B9F"/>
    <w:rsid w:val="00135486"/>
    <w:rsid w:val="00135F62"/>
    <w:rsid w:val="00136123"/>
    <w:rsid w:val="00140666"/>
    <w:rsid w:val="00140D2B"/>
    <w:rsid w:val="00142570"/>
    <w:rsid w:val="00142F78"/>
    <w:rsid w:val="00143448"/>
    <w:rsid w:val="00144131"/>
    <w:rsid w:val="00144C4E"/>
    <w:rsid w:val="00144D55"/>
    <w:rsid w:val="00145159"/>
    <w:rsid w:val="001455EE"/>
    <w:rsid w:val="00146158"/>
    <w:rsid w:val="001462AC"/>
    <w:rsid w:val="00146C99"/>
    <w:rsid w:val="001471F6"/>
    <w:rsid w:val="001473F6"/>
    <w:rsid w:val="001479D4"/>
    <w:rsid w:val="00147DD4"/>
    <w:rsid w:val="00151991"/>
    <w:rsid w:val="00151C78"/>
    <w:rsid w:val="00151E8F"/>
    <w:rsid w:val="00152160"/>
    <w:rsid w:val="0015280E"/>
    <w:rsid w:val="00152B2D"/>
    <w:rsid w:val="00153B4A"/>
    <w:rsid w:val="00156796"/>
    <w:rsid w:val="0015679E"/>
    <w:rsid w:val="00157823"/>
    <w:rsid w:val="00157836"/>
    <w:rsid w:val="0016013F"/>
    <w:rsid w:val="0016083B"/>
    <w:rsid w:val="0016085F"/>
    <w:rsid w:val="00161A28"/>
    <w:rsid w:val="0016263E"/>
    <w:rsid w:val="00162B40"/>
    <w:rsid w:val="001632D1"/>
    <w:rsid w:val="00163921"/>
    <w:rsid w:val="00167998"/>
    <w:rsid w:val="00167C8A"/>
    <w:rsid w:val="0017048B"/>
    <w:rsid w:val="00170F70"/>
    <w:rsid w:val="0017209B"/>
    <w:rsid w:val="001724C2"/>
    <w:rsid w:val="001732D2"/>
    <w:rsid w:val="00173550"/>
    <w:rsid w:val="00173E81"/>
    <w:rsid w:val="001741BA"/>
    <w:rsid w:val="00176EBD"/>
    <w:rsid w:val="00176ED7"/>
    <w:rsid w:val="00176F4D"/>
    <w:rsid w:val="00177AD1"/>
    <w:rsid w:val="001804A6"/>
    <w:rsid w:val="0018074A"/>
    <w:rsid w:val="001810F8"/>
    <w:rsid w:val="001811DF"/>
    <w:rsid w:val="00181825"/>
    <w:rsid w:val="00183026"/>
    <w:rsid w:val="00184277"/>
    <w:rsid w:val="00184493"/>
    <w:rsid w:val="00185151"/>
    <w:rsid w:val="00185A94"/>
    <w:rsid w:val="00186D63"/>
    <w:rsid w:val="00187BB1"/>
    <w:rsid w:val="00187EC1"/>
    <w:rsid w:val="00190101"/>
    <w:rsid w:val="00192569"/>
    <w:rsid w:val="00192CBC"/>
    <w:rsid w:val="00194054"/>
    <w:rsid w:val="00194200"/>
    <w:rsid w:val="0019432F"/>
    <w:rsid w:val="001946BF"/>
    <w:rsid w:val="00194DD0"/>
    <w:rsid w:val="00194F03"/>
    <w:rsid w:val="0019544B"/>
    <w:rsid w:val="00195554"/>
    <w:rsid w:val="001958CA"/>
    <w:rsid w:val="00195EA4"/>
    <w:rsid w:val="001A0227"/>
    <w:rsid w:val="001A0E55"/>
    <w:rsid w:val="001A0F11"/>
    <w:rsid w:val="001A1517"/>
    <w:rsid w:val="001A2382"/>
    <w:rsid w:val="001A2434"/>
    <w:rsid w:val="001A269E"/>
    <w:rsid w:val="001A3118"/>
    <w:rsid w:val="001A3595"/>
    <w:rsid w:val="001A3B6B"/>
    <w:rsid w:val="001A3BE2"/>
    <w:rsid w:val="001A3D39"/>
    <w:rsid w:val="001A4195"/>
    <w:rsid w:val="001A648E"/>
    <w:rsid w:val="001A76E4"/>
    <w:rsid w:val="001B0152"/>
    <w:rsid w:val="001B054D"/>
    <w:rsid w:val="001B27CD"/>
    <w:rsid w:val="001B301F"/>
    <w:rsid w:val="001B32BB"/>
    <w:rsid w:val="001B3834"/>
    <w:rsid w:val="001B4EE3"/>
    <w:rsid w:val="001B5229"/>
    <w:rsid w:val="001B5704"/>
    <w:rsid w:val="001B5DBE"/>
    <w:rsid w:val="001B5FF1"/>
    <w:rsid w:val="001B6169"/>
    <w:rsid w:val="001C3035"/>
    <w:rsid w:val="001C36C4"/>
    <w:rsid w:val="001C3758"/>
    <w:rsid w:val="001C39D0"/>
    <w:rsid w:val="001C61D5"/>
    <w:rsid w:val="001C6A7D"/>
    <w:rsid w:val="001C6CD9"/>
    <w:rsid w:val="001C6D67"/>
    <w:rsid w:val="001C728F"/>
    <w:rsid w:val="001C77C1"/>
    <w:rsid w:val="001D0085"/>
    <w:rsid w:val="001D00B0"/>
    <w:rsid w:val="001D081F"/>
    <w:rsid w:val="001D1663"/>
    <w:rsid w:val="001D21E6"/>
    <w:rsid w:val="001D2E76"/>
    <w:rsid w:val="001D3F8B"/>
    <w:rsid w:val="001D55B1"/>
    <w:rsid w:val="001D5D33"/>
    <w:rsid w:val="001D68B9"/>
    <w:rsid w:val="001D6CA7"/>
    <w:rsid w:val="001E28EA"/>
    <w:rsid w:val="001E2FB1"/>
    <w:rsid w:val="001E361E"/>
    <w:rsid w:val="001E4552"/>
    <w:rsid w:val="001E4EAE"/>
    <w:rsid w:val="001E4F77"/>
    <w:rsid w:val="001E52A2"/>
    <w:rsid w:val="001E60C6"/>
    <w:rsid w:val="001E61E1"/>
    <w:rsid w:val="001E6F4C"/>
    <w:rsid w:val="001E7290"/>
    <w:rsid w:val="001E73F6"/>
    <w:rsid w:val="001E7799"/>
    <w:rsid w:val="001E7F96"/>
    <w:rsid w:val="001F00B1"/>
    <w:rsid w:val="001F0436"/>
    <w:rsid w:val="001F106A"/>
    <w:rsid w:val="001F11FD"/>
    <w:rsid w:val="001F1367"/>
    <w:rsid w:val="001F1A16"/>
    <w:rsid w:val="001F24A2"/>
    <w:rsid w:val="001F2941"/>
    <w:rsid w:val="001F2EBD"/>
    <w:rsid w:val="001F333A"/>
    <w:rsid w:val="001F3D5E"/>
    <w:rsid w:val="001F4D6D"/>
    <w:rsid w:val="001F60E0"/>
    <w:rsid w:val="001F69DD"/>
    <w:rsid w:val="001F7874"/>
    <w:rsid w:val="001F7D21"/>
    <w:rsid w:val="001F7F83"/>
    <w:rsid w:val="00202ACF"/>
    <w:rsid w:val="002040C2"/>
    <w:rsid w:val="0020431C"/>
    <w:rsid w:val="00206B42"/>
    <w:rsid w:val="00207935"/>
    <w:rsid w:val="0021019F"/>
    <w:rsid w:val="00211048"/>
    <w:rsid w:val="002115C9"/>
    <w:rsid w:val="00211EF3"/>
    <w:rsid w:val="00212A0A"/>
    <w:rsid w:val="00213765"/>
    <w:rsid w:val="00213D25"/>
    <w:rsid w:val="002141D2"/>
    <w:rsid w:val="0021424B"/>
    <w:rsid w:val="0021438B"/>
    <w:rsid w:val="00214980"/>
    <w:rsid w:val="00214FCC"/>
    <w:rsid w:val="002158F0"/>
    <w:rsid w:val="00217374"/>
    <w:rsid w:val="002174D3"/>
    <w:rsid w:val="0022056A"/>
    <w:rsid w:val="00220DE8"/>
    <w:rsid w:val="002214F4"/>
    <w:rsid w:val="002232EF"/>
    <w:rsid w:val="002260DD"/>
    <w:rsid w:val="0022613F"/>
    <w:rsid w:val="0022637A"/>
    <w:rsid w:val="00226516"/>
    <w:rsid w:val="00226DF0"/>
    <w:rsid w:val="00227020"/>
    <w:rsid w:val="002276E2"/>
    <w:rsid w:val="00227B24"/>
    <w:rsid w:val="002306D2"/>
    <w:rsid w:val="002316B3"/>
    <w:rsid w:val="00231A62"/>
    <w:rsid w:val="00232927"/>
    <w:rsid w:val="0023309B"/>
    <w:rsid w:val="00234F92"/>
    <w:rsid w:val="0023503B"/>
    <w:rsid w:val="002363E5"/>
    <w:rsid w:val="00236696"/>
    <w:rsid w:val="00237221"/>
    <w:rsid w:val="00237837"/>
    <w:rsid w:val="00237D66"/>
    <w:rsid w:val="00240545"/>
    <w:rsid w:val="002410D7"/>
    <w:rsid w:val="00242A98"/>
    <w:rsid w:val="00243135"/>
    <w:rsid w:val="00243469"/>
    <w:rsid w:val="002437A8"/>
    <w:rsid w:val="00247C59"/>
    <w:rsid w:val="0025002D"/>
    <w:rsid w:val="00250212"/>
    <w:rsid w:val="0025236E"/>
    <w:rsid w:val="00254BB7"/>
    <w:rsid w:val="00254D40"/>
    <w:rsid w:val="00257007"/>
    <w:rsid w:val="00257027"/>
    <w:rsid w:val="00257985"/>
    <w:rsid w:val="00257E37"/>
    <w:rsid w:val="002610B4"/>
    <w:rsid w:val="00262A13"/>
    <w:rsid w:val="002636B4"/>
    <w:rsid w:val="002636F8"/>
    <w:rsid w:val="0026424A"/>
    <w:rsid w:val="0026489F"/>
    <w:rsid w:val="00264D06"/>
    <w:rsid w:val="00265E5A"/>
    <w:rsid w:val="002709CB"/>
    <w:rsid w:val="002712F9"/>
    <w:rsid w:val="00272436"/>
    <w:rsid w:val="00272A54"/>
    <w:rsid w:val="00273A52"/>
    <w:rsid w:val="00273B31"/>
    <w:rsid w:val="00276534"/>
    <w:rsid w:val="002769F0"/>
    <w:rsid w:val="00276C85"/>
    <w:rsid w:val="00276E31"/>
    <w:rsid w:val="00277D97"/>
    <w:rsid w:val="00280155"/>
    <w:rsid w:val="00280E6F"/>
    <w:rsid w:val="00281AFA"/>
    <w:rsid w:val="00282B24"/>
    <w:rsid w:val="00282BA9"/>
    <w:rsid w:val="00283964"/>
    <w:rsid w:val="00284725"/>
    <w:rsid w:val="002854BD"/>
    <w:rsid w:val="00285A85"/>
    <w:rsid w:val="002863E6"/>
    <w:rsid w:val="0028682C"/>
    <w:rsid w:val="00286BF4"/>
    <w:rsid w:val="00287661"/>
    <w:rsid w:val="00290122"/>
    <w:rsid w:val="00290478"/>
    <w:rsid w:val="00290525"/>
    <w:rsid w:val="002905C5"/>
    <w:rsid w:val="00292429"/>
    <w:rsid w:val="002926E7"/>
    <w:rsid w:val="00292B2B"/>
    <w:rsid w:val="00294CED"/>
    <w:rsid w:val="00294FD1"/>
    <w:rsid w:val="00295460"/>
    <w:rsid w:val="002977BC"/>
    <w:rsid w:val="002A0090"/>
    <w:rsid w:val="002A1F37"/>
    <w:rsid w:val="002A2450"/>
    <w:rsid w:val="002A2A1E"/>
    <w:rsid w:val="002A4F0E"/>
    <w:rsid w:val="002A5D3A"/>
    <w:rsid w:val="002A5E4A"/>
    <w:rsid w:val="002A60F9"/>
    <w:rsid w:val="002A78EB"/>
    <w:rsid w:val="002A7ECB"/>
    <w:rsid w:val="002B002E"/>
    <w:rsid w:val="002B0BF4"/>
    <w:rsid w:val="002B1A17"/>
    <w:rsid w:val="002B2165"/>
    <w:rsid w:val="002B32BE"/>
    <w:rsid w:val="002B4745"/>
    <w:rsid w:val="002B4B03"/>
    <w:rsid w:val="002B5957"/>
    <w:rsid w:val="002B6FCA"/>
    <w:rsid w:val="002B7B65"/>
    <w:rsid w:val="002C07C7"/>
    <w:rsid w:val="002C07E2"/>
    <w:rsid w:val="002C0C9A"/>
    <w:rsid w:val="002C1449"/>
    <w:rsid w:val="002C2FE6"/>
    <w:rsid w:val="002C3BD4"/>
    <w:rsid w:val="002C3CFD"/>
    <w:rsid w:val="002C56FC"/>
    <w:rsid w:val="002C67C5"/>
    <w:rsid w:val="002C6A23"/>
    <w:rsid w:val="002C72EE"/>
    <w:rsid w:val="002C7BA7"/>
    <w:rsid w:val="002D1088"/>
    <w:rsid w:val="002D14C2"/>
    <w:rsid w:val="002D21ED"/>
    <w:rsid w:val="002D273D"/>
    <w:rsid w:val="002D356B"/>
    <w:rsid w:val="002D44C2"/>
    <w:rsid w:val="002D64DF"/>
    <w:rsid w:val="002D652B"/>
    <w:rsid w:val="002D6758"/>
    <w:rsid w:val="002D75AC"/>
    <w:rsid w:val="002D7AD9"/>
    <w:rsid w:val="002E04C6"/>
    <w:rsid w:val="002E0716"/>
    <w:rsid w:val="002E0AD7"/>
    <w:rsid w:val="002E124E"/>
    <w:rsid w:val="002E14B1"/>
    <w:rsid w:val="002E172F"/>
    <w:rsid w:val="002E1A7D"/>
    <w:rsid w:val="002E28CF"/>
    <w:rsid w:val="002E3062"/>
    <w:rsid w:val="002E3B3D"/>
    <w:rsid w:val="002E4259"/>
    <w:rsid w:val="002E48BC"/>
    <w:rsid w:val="002E4F8A"/>
    <w:rsid w:val="002E5146"/>
    <w:rsid w:val="002E5B2D"/>
    <w:rsid w:val="002E62FD"/>
    <w:rsid w:val="002F0010"/>
    <w:rsid w:val="002F1F64"/>
    <w:rsid w:val="002F4B11"/>
    <w:rsid w:val="002F6A4F"/>
    <w:rsid w:val="002F6E7D"/>
    <w:rsid w:val="002F79A2"/>
    <w:rsid w:val="002F7CBA"/>
    <w:rsid w:val="00300405"/>
    <w:rsid w:val="003004C7"/>
    <w:rsid w:val="003009BA"/>
    <w:rsid w:val="00300F7A"/>
    <w:rsid w:val="003014D1"/>
    <w:rsid w:val="003029A9"/>
    <w:rsid w:val="00302DE8"/>
    <w:rsid w:val="00303A9B"/>
    <w:rsid w:val="00303E3C"/>
    <w:rsid w:val="00305C22"/>
    <w:rsid w:val="00305D9A"/>
    <w:rsid w:val="0030634D"/>
    <w:rsid w:val="003067A6"/>
    <w:rsid w:val="00306CE4"/>
    <w:rsid w:val="00306CF4"/>
    <w:rsid w:val="0030730D"/>
    <w:rsid w:val="00307C2B"/>
    <w:rsid w:val="003119AF"/>
    <w:rsid w:val="00311B59"/>
    <w:rsid w:val="00312DC5"/>
    <w:rsid w:val="00313BC7"/>
    <w:rsid w:val="00313F95"/>
    <w:rsid w:val="00314363"/>
    <w:rsid w:val="00314526"/>
    <w:rsid w:val="00314528"/>
    <w:rsid w:val="00314E5B"/>
    <w:rsid w:val="00314EF8"/>
    <w:rsid w:val="00315CF0"/>
    <w:rsid w:val="0031622B"/>
    <w:rsid w:val="00316448"/>
    <w:rsid w:val="003176D6"/>
    <w:rsid w:val="003200C6"/>
    <w:rsid w:val="00321F05"/>
    <w:rsid w:val="00323B1E"/>
    <w:rsid w:val="003272B0"/>
    <w:rsid w:val="00327596"/>
    <w:rsid w:val="00331DF6"/>
    <w:rsid w:val="00331EA6"/>
    <w:rsid w:val="003326CB"/>
    <w:rsid w:val="00332CAA"/>
    <w:rsid w:val="00333148"/>
    <w:rsid w:val="00333CDA"/>
    <w:rsid w:val="00333E5F"/>
    <w:rsid w:val="00335983"/>
    <w:rsid w:val="00335C16"/>
    <w:rsid w:val="00336533"/>
    <w:rsid w:val="00340DD3"/>
    <w:rsid w:val="003410C2"/>
    <w:rsid w:val="00341CEE"/>
    <w:rsid w:val="00341D10"/>
    <w:rsid w:val="00342C04"/>
    <w:rsid w:val="00342C47"/>
    <w:rsid w:val="003440BA"/>
    <w:rsid w:val="0034448D"/>
    <w:rsid w:val="00345551"/>
    <w:rsid w:val="00346770"/>
    <w:rsid w:val="0035015F"/>
    <w:rsid w:val="00350357"/>
    <w:rsid w:val="0035090B"/>
    <w:rsid w:val="00350A66"/>
    <w:rsid w:val="003518FF"/>
    <w:rsid w:val="0035215D"/>
    <w:rsid w:val="0035246D"/>
    <w:rsid w:val="00353858"/>
    <w:rsid w:val="00353A12"/>
    <w:rsid w:val="003540F9"/>
    <w:rsid w:val="0035414A"/>
    <w:rsid w:val="0035438E"/>
    <w:rsid w:val="00354720"/>
    <w:rsid w:val="003550D8"/>
    <w:rsid w:val="00356DF4"/>
    <w:rsid w:val="00357ECB"/>
    <w:rsid w:val="00360C3E"/>
    <w:rsid w:val="00360E57"/>
    <w:rsid w:val="00361163"/>
    <w:rsid w:val="003616CB"/>
    <w:rsid w:val="003618F9"/>
    <w:rsid w:val="00361EBF"/>
    <w:rsid w:val="0036242B"/>
    <w:rsid w:val="003627B8"/>
    <w:rsid w:val="00364664"/>
    <w:rsid w:val="00364EF8"/>
    <w:rsid w:val="00367AE9"/>
    <w:rsid w:val="00371609"/>
    <w:rsid w:val="003718C7"/>
    <w:rsid w:val="0037241A"/>
    <w:rsid w:val="00372851"/>
    <w:rsid w:val="0037292A"/>
    <w:rsid w:val="00373E04"/>
    <w:rsid w:val="003759F4"/>
    <w:rsid w:val="00375EB9"/>
    <w:rsid w:val="00376F47"/>
    <w:rsid w:val="0037760F"/>
    <w:rsid w:val="0038017B"/>
    <w:rsid w:val="003805A2"/>
    <w:rsid w:val="0038070E"/>
    <w:rsid w:val="00380FBB"/>
    <w:rsid w:val="003810CE"/>
    <w:rsid w:val="00382564"/>
    <w:rsid w:val="00382713"/>
    <w:rsid w:val="00382BF4"/>
    <w:rsid w:val="00383683"/>
    <w:rsid w:val="003836A8"/>
    <w:rsid w:val="00384A30"/>
    <w:rsid w:val="00385981"/>
    <w:rsid w:val="0038622D"/>
    <w:rsid w:val="003865B5"/>
    <w:rsid w:val="00386C6B"/>
    <w:rsid w:val="00386E71"/>
    <w:rsid w:val="003878C8"/>
    <w:rsid w:val="003900B4"/>
    <w:rsid w:val="00390E4C"/>
    <w:rsid w:val="00390F11"/>
    <w:rsid w:val="00391357"/>
    <w:rsid w:val="00391518"/>
    <w:rsid w:val="003915EF"/>
    <w:rsid w:val="0039388E"/>
    <w:rsid w:val="00394074"/>
    <w:rsid w:val="00394EFF"/>
    <w:rsid w:val="00395324"/>
    <w:rsid w:val="003957F4"/>
    <w:rsid w:val="00396EFC"/>
    <w:rsid w:val="003A12B7"/>
    <w:rsid w:val="003A1864"/>
    <w:rsid w:val="003A2794"/>
    <w:rsid w:val="003A328D"/>
    <w:rsid w:val="003A3968"/>
    <w:rsid w:val="003A450B"/>
    <w:rsid w:val="003A5DD0"/>
    <w:rsid w:val="003A7486"/>
    <w:rsid w:val="003A7A05"/>
    <w:rsid w:val="003B1B67"/>
    <w:rsid w:val="003B20B6"/>
    <w:rsid w:val="003B2232"/>
    <w:rsid w:val="003B2DCE"/>
    <w:rsid w:val="003B34BD"/>
    <w:rsid w:val="003B3BBD"/>
    <w:rsid w:val="003B41D2"/>
    <w:rsid w:val="003B49FA"/>
    <w:rsid w:val="003B4E6F"/>
    <w:rsid w:val="003B52C0"/>
    <w:rsid w:val="003B5778"/>
    <w:rsid w:val="003B6421"/>
    <w:rsid w:val="003B6FBB"/>
    <w:rsid w:val="003B734B"/>
    <w:rsid w:val="003C2DD3"/>
    <w:rsid w:val="003C434F"/>
    <w:rsid w:val="003C61DA"/>
    <w:rsid w:val="003C66BC"/>
    <w:rsid w:val="003C6B96"/>
    <w:rsid w:val="003C7415"/>
    <w:rsid w:val="003C7BB7"/>
    <w:rsid w:val="003D0727"/>
    <w:rsid w:val="003D12F9"/>
    <w:rsid w:val="003D168B"/>
    <w:rsid w:val="003D1F12"/>
    <w:rsid w:val="003D2063"/>
    <w:rsid w:val="003D301D"/>
    <w:rsid w:val="003D4B5E"/>
    <w:rsid w:val="003D77C5"/>
    <w:rsid w:val="003E2D3F"/>
    <w:rsid w:val="003E439D"/>
    <w:rsid w:val="003E4573"/>
    <w:rsid w:val="003E5167"/>
    <w:rsid w:val="003E5C62"/>
    <w:rsid w:val="003E63EC"/>
    <w:rsid w:val="003E669D"/>
    <w:rsid w:val="003E710E"/>
    <w:rsid w:val="003E7B36"/>
    <w:rsid w:val="003F087B"/>
    <w:rsid w:val="003F138D"/>
    <w:rsid w:val="003F187D"/>
    <w:rsid w:val="003F2793"/>
    <w:rsid w:val="003F4445"/>
    <w:rsid w:val="003F4831"/>
    <w:rsid w:val="003F4D42"/>
    <w:rsid w:val="003F5377"/>
    <w:rsid w:val="003F5387"/>
    <w:rsid w:val="003F6B1F"/>
    <w:rsid w:val="003F74E9"/>
    <w:rsid w:val="003F77AF"/>
    <w:rsid w:val="00400762"/>
    <w:rsid w:val="00400861"/>
    <w:rsid w:val="00400DA2"/>
    <w:rsid w:val="004018E9"/>
    <w:rsid w:val="0040271C"/>
    <w:rsid w:val="00402E40"/>
    <w:rsid w:val="0040312C"/>
    <w:rsid w:val="00403898"/>
    <w:rsid w:val="00404816"/>
    <w:rsid w:val="00404E1F"/>
    <w:rsid w:val="00404ECA"/>
    <w:rsid w:val="0040556A"/>
    <w:rsid w:val="00405AF1"/>
    <w:rsid w:val="00405B8D"/>
    <w:rsid w:val="00405C79"/>
    <w:rsid w:val="0040673D"/>
    <w:rsid w:val="0040722A"/>
    <w:rsid w:val="00407C51"/>
    <w:rsid w:val="00411B30"/>
    <w:rsid w:val="00411CD4"/>
    <w:rsid w:val="00414083"/>
    <w:rsid w:val="004157AE"/>
    <w:rsid w:val="004158AB"/>
    <w:rsid w:val="00417311"/>
    <w:rsid w:val="00417462"/>
    <w:rsid w:val="004174AC"/>
    <w:rsid w:val="00420B5B"/>
    <w:rsid w:val="00422836"/>
    <w:rsid w:val="00424EE1"/>
    <w:rsid w:val="0042507C"/>
    <w:rsid w:val="00425C12"/>
    <w:rsid w:val="0042610D"/>
    <w:rsid w:val="004272F9"/>
    <w:rsid w:val="0043073F"/>
    <w:rsid w:val="00430B51"/>
    <w:rsid w:val="00430F79"/>
    <w:rsid w:val="00431219"/>
    <w:rsid w:val="00431EF0"/>
    <w:rsid w:val="00434AF6"/>
    <w:rsid w:val="004355DE"/>
    <w:rsid w:val="0043562C"/>
    <w:rsid w:val="00436549"/>
    <w:rsid w:val="00436E22"/>
    <w:rsid w:val="00440A9D"/>
    <w:rsid w:val="0044131A"/>
    <w:rsid w:val="00441595"/>
    <w:rsid w:val="00441B4E"/>
    <w:rsid w:val="004421FE"/>
    <w:rsid w:val="00443DDB"/>
    <w:rsid w:val="00444A48"/>
    <w:rsid w:val="00446CD6"/>
    <w:rsid w:val="00447DFD"/>
    <w:rsid w:val="00450F32"/>
    <w:rsid w:val="0045157F"/>
    <w:rsid w:val="00454586"/>
    <w:rsid w:val="00455034"/>
    <w:rsid w:val="00455157"/>
    <w:rsid w:val="004556DA"/>
    <w:rsid w:val="00455A29"/>
    <w:rsid w:val="00457E7E"/>
    <w:rsid w:val="00461EE5"/>
    <w:rsid w:val="0046313E"/>
    <w:rsid w:val="00463D84"/>
    <w:rsid w:val="00464423"/>
    <w:rsid w:val="00464627"/>
    <w:rsid w:val="0046491B"/>
    <w:rsid w:val="00464EE2"/>
    <w:rsid w:val="00464F45"/>
    <w:rsid w:val="004667D2"/>
    <w:rsid w:val="00467C5F"/>
    <w:rsid w:val="00470806"/>
    <w:rsid w:val="00470863"/>
    <w:rsid w:val="004714CA"/>
    <w:rsid w:val="00471834"/>
    <w:rsid w:val="00471EAA"/>
    <w:rsid w:val="004724E0"/>
    <w:rsid w:val="004726A9"/>
    <w:rsid w:val="00472F5A"/>
    <w:rsid w:val="00473F18"/>
    <w:rsid w:val="00473F65"/>
    <w:rsid w:val="00474CFD"/>
    <w:rsid w:val="00476D5E"/>
    <w:rsid w:val="004806AE"/>
    <w:rsid w:val="00480758"/>
    <w:rsid w:val="00480EED"/>
    <w:rsid w:val="00482DCA"/>
    <w:rsid w:val="00483D62"/>
    <w:rsid w:val="00483E1F"/>
    <w:rsid w:val="00484603"/>
    <w:rsid w:val="00485A39"/>
    <w:rsid w:val="004873A4"/>
    <w:rsid w:val="004901B8"/>
    <w:rsid w:val="004907C4"/>
    <w:rsid w:val="00491996"/>
    <w:rsid w:val="00492238"/>
    <w:rsid w:val="004923A9"/>
    <w:rsid w:val="0049262F"/>
    <w:rsid w:val="00492B5C"/>
    <w:rsid w:val="00494911"/>
    <w:rsid w:val="00495947"/>
    <w:rsid w:val="004965CA"/>
    <w:rsid w:val="00496E40"/>
    <w:rsid w:val="004A12C4"/>
    <w:rsid w:val="004A1A76"/>
    <w:rsid w:val="004A1AEC"/>
    <w:rsid w:val="004A32F4"/>
    <w:rsid w:val="004A362C"/>
    <w:rsid w:val="004A4A2E"/>
    <w:rsid w:val="004A5B4B"/>
    <w:rsid w:val="004A5BFD"/>
    <w:rsid w:val="004B0209"/>
    <w:rsid w:val="004B07EC"/>
    <w:rsid w:val="004B1057"/>
    <w:rsid w:val="004B20E0"/>
    <w:rsid w:val="004B271D"/>
    <w:rsid w:val="004B2734"/>
    <w:rsid w:val="004B287B"/>
    <w:rsid w:val="004B2D83"/>
    <w:rsid w:val="004B33C3"/>
    <w:rsid w:val="004B35E8"/>
    <w:rsid w:val="004B37FF"/>
    <w:rsid w:val="004B4C87"/>
    <w:rsid w:val="004B51D6"/>
    <w:rsid w:val="004B602C"/>
    <w:rsid w:val="004B6D1C"/>
    <w:rsid w:val="004B72EF"/>
    <w:rsid w:val="004C055E"/>
    <w:rsid w:val="004C103C"/>
    <w:rsid w:val="004C1145"/>
    <w:rsid w:val="004C23EE"/>
    <w:rsid w:val="004C3727"/>
    <w:rsid w:val="004C477B"/>
    <w:rsid w:val="004C4A68"/>
    <w:rsid w:val="004C59B4"/>
    <w:rsid w:val="004C5B6B"/>
    <w:rsid w:val="004C640A"/>
    <w:rsid w:val="004C6E3C"/>
    <w:rsid w:val="004C6F15"/>
    <w:rsid w:val="004D0250"/>
    <w:rsid w:val="004D0633"/>
    <w:rsid w:val="004D0CD5"/>
    <w:rsid w:val="004D18E2"/>
    <w:rsid w:val="004D1D93"/>
    <w:rsid w:val="004D2192"/>
    <w:rsid w:val="004D2A2D"/>
    <w:rsid w:val="004D374E"/>
    <w:rsid w:val="004D39B0"/>
    <w:rsid w:val="004D416D"/>
    <w:rsid w:val="004D4DEA"/>
    <w:rsid w:val="004D5986"/>
    <w:rsid w:val="004D5B01"/>
    <w:rsid w:val="004D655C"/>
    <w:rsid w:val="004D6D88"/>
    <w:rsid w:val="004D73F4"/>
    <w:rsid w:val="004D75D0"/>
    <w:rsid w:val="004D791F"/>
    <w:rsid w:val="004E188D"/>
    <w:rsid w:val="004E1E1F"/>
    <w:rsid w:val="004E2EC9"/>
    <w:rsid w:val="004E31D5"/>
    <w:rsid w:val="004E4695"/>
    <w:rsid w:val="004E4952"/>
    <w:rsid w:val="004E4AFC"/>
    <w:rsid w:val="004E59D5"/>
    <w:rsid w:val="004E63B0"/>
    <w:rsid w:val="004E7CBD"/>
    <w:rsid w:val="004E7DFF"/>
    <w:rsid w:val="004F025B"/>
    <w:rsid w:val="004F1313"/>
    <w:rsid w:val="004F19AD"/>
    <w:rsid w:val="004F25AE"/>
    <w:rsid w:val="004F268E"/>
    <w:rsid w:val="004F2C48"/>
    <w:rsid w:val="004F3B62"/>
    <w:rsid w:val="004F4319"/>
    <w:rsid w:val="004F50DD"/>
    <w:rsid w:val="004F5C46"/>
    <w:rsid w:val="004F784C"/>
    <w:rsid w:val="004F7BCA"/>
    <w:rsid w:val="00500864"/>
    <w:rsid w:val="005016F0"/>
    <w:rsid w:val="005029D3"/>
    <w:rsid w:val="005029DA"/>
    <w:rsid w:val="0050332F"/>
    <w:rsid w:val="00503ACF"/>
    <w:rsid w:val="00505311"/>
    <w:rsid w:val="005077E1"/>
    <w:rsid w:val="00507C63"/>
    <w:rsid w:val="00510EC6"/>
    <w:rsid w:val="00511579"/>
    <w:rsid w:val="00512AB4"/>
    <w:rsid w:val="00513027"/>
    <w:rsid w:val="005150B5"/>
    <w:rsid w:val="00515111"/>
    <w:rsid w:val="00515BF3"/>
    <w:rsid w:val="0052064A"/>
    <w:rsid w:val="00520A19"/>
    <w:rsid w:val="005211FC"/>
    <w:rsid w:val="005213F9"/>
    <w:rsid w:val="00521B1D"/>
    <w:rsid w:val="00522A39"/>
    <w:rsid w:val="0052337C"/>
    <w:rsid w:val="005236E2"/>
    <w:rsid w:val="00524347"/>
    <w:rsid w:val="00526B0F"/>
    <w:rsid w:val="00530054"/>
    <w:rsid w:val="00532635"/>
    <w:rsid w:val="00532E60"/>
    <w:rsid w:val="00533D01"/>
    <w:rsid w:val="00534464"/>
    <w:rsid w:val="0053468B"/>
    <w:rsid w:val="0053528D"/>
    <w:rsid w:val="00535452"/>
    <w:rsid w:val="0053551E"/>
    <w:rsid w:val="00535D48"/>
    <w:rsid w:val="00535EAD"/>
    <w:rsid w:val="0053775B"/>
    <w:rsid w:val="00540D2C"/>
    <w:rsid w:val="005414D3"/>
    <w:rsid w:val="00542210"/>
    <w:rsid w:val="005440AE"/>
    <w:rsid w:val="00544F2D"/>
    <w:rsid w:val="00545082"/>
    <w:rsid w:val="00545475"/>
    <w:rsid w:val="005457EC"/>
    <w:rsid w:val="005470C7"/>
    <w:rsid w:val="0055085B"/>
    <w:rsid w:val="00550FCB"/>
    <w:rsid w:val="00552604"/>
    <w:rsid w:val="00552D09"/>
    <w:rsid w:val="005553DA"/>
    <w:rsid w:val="0055560C"/>
    <w:rsid w:val="00556DC6"/>
    <w:rsid w:val="00560495"/>
    <w:rsid w:val="0056064C"/>
    <w:rsid w:val="00563765"/>
    <w:rsid w:val="00564A82"/>
    <w:rsid w:val="005654B3"/>
    <w:rsid w:val="005659D2"/>
    <w:rsid w:val="00565A88"/>
    <w:rsid w:val="00565AF8"/>
    <w:rsid w:val="00566B45"/>
    <w:rsid w:val="00567077"/>
    <w:rsid w:val="005673B5"/>
    <w:rsid w:val="00570BE5"/>
    <w:rsid w:val="005716A6"/>
    <w:rsid w:val="00571A71"/>
    <w:rsid w:val="00572482"/>
    <w:rsid w:val="0057261E"/>
    <w:rsid w:val="00572A55"/>
    <w:rsid w:val="005731E2"/>
    <w:rsid w:val="005734B0"/>
    <w:rsid w:val="00573F65"/>
    <w:rsid w:val="00574295"/>
    <w:rsid w:val="005750D0"/>
    <w:rsid w:val="00575457"/>
    <w:rsid w:val="0057620D"/>
    <w:rsid w:val="005766B9"/>
    <w:rsid w:val="00577953"/>
    <w:rsid w:val="00581C84"/>
    <w:rsid w:val="005822F6"/>
    <w:rsid w:val="0058231C"/>
    <w:rsid w:val="0058254E"/>
    <w:rsid w:val="00582B0F"/>
    <w:rsid w:val="0058373A"/>
    <w:rsid w:val="00583C07"/>
    <w:rsid w:val="00583CC1"/>
    <w:rsid w:val="0058419B"/>
    <w:rsid w:val="0058549E"/>
    <w:rsid w:val="00585983"/>
    <w:rsid w:val="005859BD"/>
    <w:rsid w:val="0059027D"/>
    <w:rsid w:val="00590A13"/>
    <w:rsid w:val="00591DD8"/>
    <w:rsid w:val="00592A31"/>
    <w:rsid w:val="00593AAB"/>
    <w:rsid w:val="00593DC2"/>
    <w:rsid w:val="00595459"/>
    <w:rsid w:val="00597281"/>
    <w:rsid w:val="005A0258"/>
    <w:rsid w:val="005A031B"/>
    <w:rsid w:val="005A13A6"/>
    <w:rsid w:val="005A1C3B"/>
    <w:rsid w:val="005A1E0F"/>
    <w:rsid w:val="005A308E"/>
    <w:rsid w:val="005A31E2"/>
    <w:rsid w:val="005A32B5"/>
    <w:rsid w:val="005A3D03"/>
    <w:rsid w:val="005A4B2A"/>
    <w:rsid w:val="005A544B"/>
    <w:rsid w:val="005A57C5"/>
    <w:rsid w:val="005A5CFA"/>
    <w:rsid w:val="005A62A5"/>
    <w:rsid w:val="005A77B4"/>
    <w:rsid w:val="005B1040"/>
    <w:rsid w:val="005B132E"/>
    <w:rsid w:val="005B1359"/>
    <w:rsid w:val="005B1362"/>
    <w:rsid w:val="005B1902"/>
    <w:rsid w:val="005B277E"/>
    <w:rsid w:val="005B31DA"/>
    <w:rsid w:val="005B4A60"/>
    <w:rsid w:val="005B55C8"/>
    <w:rsid w:val="005B629C"/>
    <w:rsid w:val="005B6EBC"/>
    <w:rsid w:val="005C0699"/>
    <w:rsid w:val="005C23C6"/>
    <w:rsid w:val="005C45A2"/>
    <w:rsid w:val="005C4E49"/>
    <w:rsid w:val="005C56F1"/>
    <w:rsid w:val="005C5C6C"/>
    <w:rsid w:val="005C5D10"/>
    <w:rsid w:val="005C5D23"/>
    <w:rsid w:val="005C71B3"/>
    <w:rsid w:val="005C733C"/>
    <w:rsid w:val="005C789A"/>
    <w:rsid w:val="005C78E7"/>
    <w:rsid w:val="005D0D1D"/>
    <w:rsid w:val="005D199F"/>
    <w:rsid w:val="005D1F6A"/>
    <w:rsid w:val="005D2215"/>
    <w:rsid w:val="005D2CB3"/>
    <w:rsid w:val="005D2EB4"/>
    <w:rsid w:val="005D3439"/>
    <w:rsid w:val="005D4190"/>
    <w:rsid w:val="005D4F0E"/>
    <w:rsid w:val="005D666A"/>
    <w:rsid w:val="005D6B11"/>
    <w:rsid w:val="005D728C"/>
    <w:rsid w:val="005D77A6"/>
    <w:rsid w:val="005E0C8B"/>
    <w:rsid w:val="005E223F"/>
    <w:rsid w:val="005E4233"/>
    <w:rsid w:val="005E4F28"/>
    <w:rsid w:val="005E5394"/>
    <w:rsid w:val="005E63B2"/>
    <w:rsid w:val="005E64D0"/>
    <w:rsid w:val="005E6D8B"/>
    <w:rsid w:val="005F0BAD"/>
    <w:rsid w:val="005F1467"/>
    <w:rsid w:val="005F16A6"/>
    <w:rsid w:val="005F1F8D"/>
    <w:rsid w:val="005F23EB"/>
    <w:rsid w:val="005F2F17"/>
    <w:rsid w:val="005F326B"/>
    <w:rsid w:val="005F366D"/>
    <w:rsid w:val="005F3E60"/>
    <w:rsid w:val="005F613C"/>
    <w:rsid w:val="005F681D"/>
    <w:rsid w:val="005F6CAE"/>
    <w:rsid w:val="006006D7"/>
    <w:rsid w:val="00600C8F"/>
    <w:rsid w:val="00601358"/>
    <w:rsid w:val="00601588"/>
    <w:rsid w:val="006017D5"/>
    <w:rsid w:val="0060180D"/>
    <w:rsid w:val="00601ABA"/>
    <w:rsid w:val="00602591"/>
    <w:rsid w:val="006028D6"/>
    <w:rsid w:val="00603106"/>
    <w:rsid w:val="00603A8A"/>
    <w:rsid w:val="00604C98"/>
    <w:rsid w:val="00605CFB"/>
    <w:rsid w:val="00605FB6"/>
    <w:rsid w:val="00606418"/>
    <w:rsid w:val="006103DA"/>
    <w:rsid w:val="00610559"/>
    <w:rsid w:val="006106A5"/>
    <w:rsid w:val="00611812"/>
    <w:rsid w:val="00612318"/>
    <w:rsid w:val="00612D5D"/>
    <w:rsid w:val="00613014"/>
    <w:rsid w:val="006130F6"/>
    <w:rsid w:val="00613140"/>
    <w:rsid w:val="00613400"/>
    <w:rsid w:val="00613441"/>
    <w:rsid w:val="00613708"/>
    <w:rsid w:val="0061454A"/>
    <w:rsid w:val="006149EB"/>
    <w:rsid w:val="00614E3C"/>
    <w:rsid w:val="006156BE"/>
    <w:rsid w:val="006158E1"/>
    <w:rsid w:val="0061628B"/>
    <w:rsid w:val="0061664F"/>
    <w:rsid w:val="006179BC"/>
    <w:rsid w:val="00620807"/>
    <w:rsid w:val="00621643"/>
    <w:rsid w:val="00622FEA"/>
    <w:rsid w:val="006230C8"/>
    <w:rsid w:val="006245CF"/>
    <w:rsid w:val="006245D1"/>
    <w:rsid w:val="0062473A"/>
    <w:rsid w:val="006248BF"/>
    <w:rsid w:val="00632B93"/>
    <w:rsid w:val="006331ED"/>
    <w:rsid w:val="0063352C"/>
    <w:rsid w:val="0063468D"/>
    <w:rsid w:val="0063479E"/>
    <w:rsid w:val="00634F84"/>
    <w:rsid w:val="00636D69"/>
    <w:rsid w:val="00636EA7"/>
    <w:rsid w:val="006377CC"/>
    <w:rsid w:val="00637DDC"/>
    <w:rsid w:val="0064000F"/>
    <w:rsid w:val="00640620"/>
    <w:rsid w:val="00640B69"/>
    <w:rsid w:val="0064274A"/>
    <w:rsid w:val="00643E4E"/>
    <w:rsid w:val="00643FBA"/>
    <w:rsid w:val="00645495"/>
    <w:rsid w:val="00646264"/>
    <w:rsid w:val="00646F62"/>
    <w:rsid w:val="00647A4C"/>
    <w:rsid w:val="00647CB0"/>
    <w:rsid w:val="006503DD"/>
    <w:rsid w:val="00650C71"/>
    <w:rsid w:val="00651D7B"/>
    <w:rsid w:val="00652B25"/>
    <w:rsid w:val="00653056"/>
    <w:rsid w:val="0065336F"/>
    <w:rsid w:val="0065406D"/>
    <w:rsid w:val="00655377"/>
    <w:rsid w:val="00655783"/>
    <w:rsid w:val="0066170A"/>
    <w:rsid w:val="00661712"/>
    <w:rsid w:val="00661E7F"/>
    <w:rsid w:val="00662019"/>
    <w:rsid w:val="006639C6"/>
    <w:rsid w:val="00663B2F"/>
    <w:rsid w:val="00663B37"/>
    <w:rsid w:val="00664253"/>
    <w:rsid w:val="0066427B"/>
    <w:rsid w:val="00664990"/>
    <w:rsid w:val="00664F2E"/>
    <w:rsid w:val="006650F3"/>
    <w:rsid w:val="00665312"/>
    <w:rsid w:val="00666442"/>
    <w:rsid w:val="00666B27"/>
    <w:rsid w:val="0067071B"/>
    <w:rsid w:val="0067153B"/>
    <w:rsid w:val="006717F1"/>
    <w:rsid w:val="00671C00"/>
    <w:rsid w:val="00671FE5"/>
    <w:rsid w:val="006720A1"/>
    <w:rsid w:val="00672FE3"/>
    <w:rsid w:val="00673BAB"/>
    <w:rsid w:val="00673EFE"/>
    <w:rsid w:val="0067403E"/>
    <w:rsid w:val="00674A33"/>
    <w:rsid w:val="00674BAD"/>
    <w:rsid w:val="00675E8F"/>
    <w:rsid w:val="006762B7"/>
    <w:rsid w:val="00677AC3"/>
    <w:rsid w:val="0068103E"/>
    <w:rsid w:val="006810DD"/>
    <w:rsid w:val="0068224D"/>
    <w:rsid w:val="00682833"/>
    <w:rsid w:val="00682ED1"/>
    <w:rsid w:val="00683BD3"/>
    <w:rsid w:val="00684057"/>
    <w:rsid w:val="00684A40"/>
    <w:rsid w:val="00690424"/>
    <w:rsid w:val="00691C03"/>
    <w:rsid w:val="0069277B"/>
    <w:rsid w:val="006935A2"/>
    <w:rsid w:val="00693FB0"/>
    <w:rsid w:val="0069450E"/>
    <w:rsid w:val="00694932"/>
    <w:rsid w:val="00694C5C"/>
    <w:rsid w:val="00694EEE"/>
    <w:rsid w:val="00694EF2"/>
    <w:rsid w:val="00695605"/>
    <w:rsid w:val="006962EB"/>
    <w:rsid w:val="00696A40"/>
    <w:rsid w:val="00696B58"/>
    <w:rsid w:val="006A08AE"/>
    <w:rsid w:val="006A0C01"/>
    <w:rsid w:val="006A0F33"/>
    <w:rsid w:val="006A3047"/>
    <w:rsid w:val="006A3A0B"/>
    <w:rsid w:val="006A3BC4"/>
    <w:rsid w:val="006A4539"/>
    <w:rsid w:val="006A46CD"/>
    <w:rsid w:val="006A5A9D"/>
    <w:rsid w:val="006A709D"/>
    <w:rsid w:val="006A73A5"/>
    <w:rsid w:val="006A7AFD"/>
    <w:rsid w:val="006A7D2A"/>
    <w:rsid w:val="006A7D85"/>
    <w:rsid w:val="006A7E88"/>
    <w:rsid w:val="006B19C0"/>
    <w:rsid w:val="006B1D41"/>
    <w:rsid w:val="006B21BF"/>
    <w:rsid w:val="006B3093"/>
    <w:rsid w:val="006B4328"/>
    <w:rsid w:val="006B532D"/>
    <w:rsid w:val="006B6560"/>
    <w:rsid w:val="006B7B07"/>
    <w:rsid w:val="006B7DA1"/>
    <w:rsid w:val="006C05A7"/>
    <w:rsid w:val="006C1457"/>
    <w:rsid w:val="006C1D72"/>
    <w:rsid w:val="006C2A5A"/>
    <w:rsid w:val="006C2CF2"/>
    <w:rsid w:val="006C49AE"/>
    <w:rsid w:val="006C4DD9"/>
    <w:rsid w:val="006C5526"/>
    <w:rsid w:val="006C5D18"/>
    <w:rsid w:val="006C612F"/>
    <w:rsid w:val="006C6E59"/>
    <w:rsid w:val="006C7435"/>
    <w:rsid w:val="006C7CD7"/>
    <w:rsid w:val="006D0338"/>
    <w:rsid w:val="006D1E48"/>
    <w:rsid w:val="006D27FC"/>
    <w:rsid w:val="006D35CD"/>
    <w:rsid w:val="006D3720"/>
    <w:rsid w:val="006D44FE"/>
    <w:rsid w:val="006D4BE3"/>
    <w:rsid w:val="006D501F"/>
    <w:rsid w:val="006D52C8"/>
    <w:rsid w:val="006D571D"/>
    <w:rsid w:val="006D57F1"/>
    <w:rsid w:val="006D5D1A"/>
    <w:rsid w:val="006D6185"/>
    <w:rsid w:val="006D62B6"/>
    <w:rsid w:val="006D6BD9"/>
    <w:rsid w:val="006D6DC4"/>
    <w:rsid w:val="006D787D"/>
    <w:rsid w:val="006E044E"/>
    <w:rsid w:val="006E33EA"/>
    <w:rsid w:val="006E3B98"/>
    <w:rsid w:val="006E3BAF"/>
    <w:rsid w:val="006E475B"/>
    <w:rsid w:val="006E4B75"/>
    <w:rsid w:val="006E50CD"/>
    <w:rsid w:val="006E583C"/>
    <w:rsid w:val="006F1217"/>
    <w:rsid w:val="006F1535"/>
    <w:rsid w:val="006F1E91"/>
    <w:rsid w:val="006F2B5D"/>
    <w:rsid w:val="006F3FE1"/>
    <w:rsid w:val="006F4D0F"/>
    <w:rsid w:val="006F4D62"/>
    <w:rsid w:val="006F4DF7"/>
    <w:rsid w:val="006F4E96"/>
    <w:rsid w:val="006F60D9"/>
    <w:rsid w:val="006F6579"/>
    <w:rsid w:val="006F6D1A"/>
    <w:rsid w:val="006F6FED"/>
    <w:rsid w:val="006F78AC"/>
    <w:rsid w:val="007012A7"/>
    <w:rsid w:val="007013D8"/>
    <w:rsid w:val="007019BD"/>
    <w:rsid w:val="0070260F"/>
    <w:rsid w:val="007026B6"/>
    <w:rsid w:val="007026DF"/>
    <w:rsid w:val="00702883"/>
    <w:rsid w:val="00704A92"/>
    <w:rsid w:val="007061F2"/>
    <w:rsid w:val="00707412"/>
    <w:rsid w:val="0071059E"/>
    <w:rsid w:val="00710B32"/>
    <w:rsid w:val="00711CCC"/>
    <w:rsid w:val="007120EC"/>
    <w:rsid w:val="007120F7"/>
    <w:rsid w:val="0071287D"/>
    <w:rsid w:val="00712D7C"/>
    <w:rsid w:val="0071361D"/>
    <w:rsid w:val="00714467"/>
    <w:rsid w:val="00715025"/>
    <w:rsid w:val="007160ED"/>
    <w:rsid w:val="00717EF4"/>
    <w:rsid w:val="007201B0"/>
    <w:rsid w:val="00720CEB"/>
    <w:rsid w:val="0072171F"/>
    <w:rsid w:val="007233B6"/>
    <w:rsid w:val="00723B44"/>
    <w:rsid w:val="007243F5"/>
    <w:rsid w:val="00725DB3"/>
    <w:rsid w:val="00726387"/>
    <w:rsid w:val="00726809"/>
    <w:rsid w:val="007275F0"/>
    <w:rsid w:val="007276A5"/>
    <w:rsid w:val="00727966"/>
    <w:rsid w:val="00730CAA"/>
    <w:rsid w:val="007326C9"/>
    <w:rsid w:val="00732B6A"/>
    <w:rsid w:val="0073357D"/>
    <w:rsid w:val="007352C9"/>
    <w:rsid w:val="00737C5A"/>
    <w:rsid w:val="007401B8"/>
    <w:rsid w:val="0074099E"/>
    <w:rsid w:val="00740ED4"/>
    <w:rsid w:val="00741CB3"/>
    <w:rsid w:val="00741EE0"/>
    <w:rsid w:val="00742506"/>
    <w:rsid w:val="00742EB3"/>
    <w:rsid w:val="00744C65"/>
    <w:rsid w:val="007452D3"/>
    <w:rsid w:val="00745641"/>
    <w:rsid w:val="00745A1D"/>
    <w:rsid w:val="007463FB"/>
    <w:rsid w:val="00750013"/>
    <w:rsid w:val="007509DC"/>
    <w:rsid w:val="00750A4D"/>
    <w:rsid w:val="00750F08"/>
    <w:rsid w:val="007526B0"/>
    <w:rsid w:val="00753313"/>
    <w:rsid w:val="0075358C"/>
    <w:rsid w:val="007543E3"/>
    <w:rsid w:val="00755923"/>
    <w:rsid w:val="00755FD8"/>
    <w:rsid w:val="007560BF"/>
    <w:rsid w:val="00756344"/>
    <w:rsid w:val="00757AAD"/>
    <w:rsid w:val="007617CF"/>
    <w:rsid w:val="00761CBE"/>
    <w:rsid w:val="00762833"/>
    <w:rsid w:val="00764B87"/>
    <w:rsid w:val="00765701"/>
    <w:rsid w:val="00765BFA"/>
    <w:rsid w:val="007669AE"/>
    <w:rsid w:val="00766CFD"/>
    <w:rsid w:val="00767770"/>
    <w:rsid w:val="00770409"/>
    <w:rsid w:val="007707AF"/>
    <w:rsid w:val="00770EB5"/>
    <w:rsid w:val="0077214E"/>
    <w:rsid w:val="00772187"/>
    <w:rsid w:val="00777A20"/>
    <w:rsid w:val="007803CC"/>
    <w:rsid w:val="00780EBC"/>
    <w:rsid w:val="00781705"/>
    <w:rsid w:val="00782852"/>
    <w:rsid w:val="007832F4"/>
    <w:rsid w:val="0078499C"/>
    <w:rsid w:val="007856E0"/>
    <w:rsid w:val="00786242"/>
    <w:rsid w:val="00786BC3"/>
    <w:rsid w:val="00786E43"/>
    <w:rsid w:val="007879E8"/>
    <w:rsid w:val="00787B5F"/>
    <w:rsid w:val="00787F88"/>
    <w:rsid w:val="007901F3"/>
    <w:rsid w:val="00790607"/>
    <w:rsid w:val="00790954"/>
    <w:rsid w:val="00790C5B"/>
    <w:rsid w:val="007911FF"/>
    <w:rsid w:val="0079204B"/>
    <w:rsid w:val="00792223"/>
    <w:rsid w:val="00792C7A"/>
    <w:rsid w:val="00793044"/>
    <w:rsid w:val="007936EA"/>
    <w:rsid w:val="00793E63"/>
    <w:rsid w:val="0079429B"/>
    <w:rsid w:val="007958A2"/>
    <w:rsid w:val="007976FA"/>
    <w:rsid w:val="007979AC"/>
    <w:rsid w:val="007A35B6"/>
    <w:rsid w:val="007A4145"/>
    <w:rsid w:val="007A4350"/>
    <w:rsid w:val="007A4FD1"/>
    <w:rsid w:val="007A589A"/>
    <w:rsid w:val="007A5EA0"/>
    <w:rsid w:val="007A5FA0"/>
    <w:rsid w:val="007A6134"/>
    <w:rsid w:val="007A640D"/>
    <w:rsid w:val="007A690B"/>
    <w:rsid w:val="007A6D5B"/>
    <w:rsid w:val="007A7C84"/>
    <w:rsid w:val="007B03B1"/>
    <w:rsid w:val="007B1853"/>
    <w:rsid w:val="007B20A1"/>
    <w:rsid w:val="007B2D14"/>
    <w:rsid w:val="007B37A2"/>
    <w:rsid w:val="007B4BCF"/>
    <w:rsid w:val="007B561C"/>
    <w:rsid w:val="007B71E9"/>
    <w:rsid w:val="007C06DE"/>
    <w:rsid w:val="007C128B"/>
    <w:rsid w:val="007C1611"/>
    <w:rsid w:val="007C1CEB"/>
    <w:rsid w:val="007C2007"/>
    <w:rsid w:val="007C357D"/>
    <w:rsid w:val="007C3E1A"/>
    <w:rsid w:val="007C41C5"/>
    <w:rsid w:val="007C4935"/>
    <w:rsid w:val="007C50D8"/>
    <w:rsid w:val="007C53C6"/>
    <w:rsid w:val="007C57F0"/>
    <w:rsid w:val="007C5EAA"/>
    <w:rsid w:val="007C6025"/>
    <w:rsid w:val="007D1E0F"/>
    <w:rsid w:val="007D20BA"/>
    <w:rsid w:val="007D296F"/>
    <w:rsid w:val="007D2DE6"/>
    <w:rsid w:val="007D37E0"/>
    <w:rsid w:val="007D3D92"/>
    <w:rsid w:val="007D40F4"/>
    <w:rsid w:val="007D43D1"/>
    <w:rsid w:val="007D6BF4"/>
    <w:rsid w:val="007D6CDB"/>
    <w:rsid w:val="007D6F60"/>
    <w:rsid w:val="007D7B03"/>
    <w:rsid w:val="007E0A4C"/>
    <w:rsid w:val="007E3703"/>
    <w:rsid w:val="007E469A"/>
    <w:rsid w:val="007E5266"/>
    <w:rsid w:val="007E5C3D"/>
    <w:rsid w:val="007E5D76"/>
    <w:rsid w:val="007E6404"/>
    <w:rsid w:val="007E6934"/>
    <w:rsid w:val="007E6BFC"/>
    <w:rsid w:val="007E70D5"/>
    <w:rsid w:val="007F014D"/>
    <w:rsid w:val="007F18CA"/>
    <w:rsid w:val="007F24A1"/>
    <w:rsid w:val="007F2525"/>
    <w:rsid w:val="007F2F93"/>
    <w:rsid w:val="007F3BC6"/>
    <w:rsid w:val="007F3DFD"/>
    <w:rsid w:val="007F403B"/>
    <w:rsid w:val="007F46D3"/>
    <w:rsid w:val="007F4BC5"/>
    <w:rsid w:val="007F4FAA"/>
    <w:rsid w:val="007F5A14"/>
    <w:rsid w:val="007F6096"/>
    <w:rsid w:val="00801BB1"/>
    <w:rsid w:val="00802CD2"/>
    <w:rsid w:val="00803573"/>
    <w:rsid w:val="0080365F"/>
    <w:rsid w:val="00803ACB"/>
    <w:rsid w:val="0080404B"/>
    <w:rsid w:val="008049F0"/>
    <w:rsid w:val="008050B1"/>
    <w:rsid w:val="00806686"/>
    <w:rsid w:val="00806AC6"/>
    <w:rsid w:val="00811A37"/>
    <w:rsid w:val="008140F6"/>
    <w:rsid w:val="00814AE9"/>
    <w:rsid w:val="0081548F"/>
    <w:rsid w:val="00815661"/>
    <w:rsid w:val="00815C61"/>
    <w:rsid w:val="00815EC9"/>
    <w:rsid w:val="0081616F"/>
    <w:rsid w:val="0081670B"/>
    <w:rsid w:val="00817584"/>
    <w:rsid w:val="00817BFD"/>
    <w:rsid w:val="0082003B"/>
    <w:rsid w:val="008207BA"/>
    <w:rsid w:val="00820D7F"/>
    <w:rsid w:val="008218F8"/>
    <w:rsid w:val="0082264C"/>
    <w:rsid w:val="00823607"/>
    <w:rsid w:val="00823769"/>
    <w:rsid w:val="00824B9A"/>
    <w:rsid w:val="0082554B"/>
    <w:rsid w:val="00825C0A"/>
    <w:rsid w:val="00825F0B"/>
    <w:rsid w:val="008266AA"/>
    <w:rsid w:val="0082705E"/>
    <w:rsid w:val="00830166"/>
    <w:rsid w:val="008314AE"/>
    <w:rsid w:val="00833040"/>
    <w:rsid w:val="00833178"/>
    <w:rsid w:val="008332CD"/>
    <w:rsid w:val="00833769"/>
    <w:rsid w:val="008406CD"/>
    <w:rsid w:val="00840937"/>
    <w:rsid w:val="00840B0C"/>
    <w:rsid w:val="0084151E"/>
    <w:rsid w:val="00841733"/>
    <w:rsid w:val="00841E48"/>
    <w:rsid w:val="00842DF8"/>
    <w:rsid w:val="00843C9D"/>
    <w:rsid w:val="008454AC"/>
    <w:rsid w:val="00847F91"/>
    <w:rsid w:val="00850639"/>
    <w:rsid w:val="008509DD"/>
    <w:rsid w:val="00850C17"/>
    <w:rsid w:val="0085122F"/>
    <w:rsid w:val="00851FD8"/>
    <w:rsid w:val="00853C70"/>
    <w:rsid w:val="0085414F"/>
    <w:rsid w:val="00854180"/>
    <w:rsid w:val="0085483F"/>
    <w:rsid w:val="008549C8"/>
    <w:rsid w:val="008567F5"/>
    <w:rsid w:val="00857B9C"/>
    <w:rsid w:val="008600D2"/>
    <w:rsid w:val="008608EA"/>
    <w:rsid w:val="00860AE2"/>
    <w:rsid w:val="00860D61"/>
    <w:rsid w:val="00860FA5"/>
    <w:rsid w:val="00861EF7"/>
    <w:rsid w:val="008622AD"/>
    <w:rsid w:val="00862D5B"/>
    <w:rsid w:val="008636F2"/>
    <w:rsid w:val="008640B4"/>
    <w:rsid w:val="00864752"/>
    <w:rsid w:val="00864EB2"/>
    <w:rsid w:val="008650C4"/>
    <w:rsid w:val="008658B3"/>
    <w:rsid w:val="008664F2"/>
    <w:rsid w:val="00866B0C"/>
    <w:rsid w:val="008678DA"/>
    <w:rsid w:val="0087076B"/>
    <w:rsid w:val="00871A40"/>
    <w:rsid w:val="00873153"/>
    <w:rsid w:val="0087461F"/>
    <w:rsid w:val="00874CDE"/>
    <w:rsid w:val="0087593B"/>
    <w:rsid w:val="00876BFC"/>
    <w:rsid w:val="00877497"/>
    <w:rsid w:val="00877563"/>
    <w:rsid w:val="00880133"/>
    <w:rsid w:val="008801C2"/>
    <w:rsid w:val="00881F29"/>
    <w:rsid w:val="008835F4"/>
    <w:rsid w:val="00883CF8"/>
    <w:rsid w:val="008847E2"/>
    <w:rsid w:val="0088485F"/>
    <w:rsid w:val="0088503B"/>
    <w:rsid w:val="008877C5"/>
    <w:rsid w:val="008878AB"/>
    <w:rsid w:val="00892496"/>
    <w:rsid w:val="00892716"/>
    <w:rsid w:val="00892729"/>
    <w:rsid w:val="0089292B"/>
    <w:rsid w:val="00893148"/>
    <w:rsid w:val="0089415F"/>
    <w:rsid w:val="00894F30"/>
    <w:rsid w:val="008955A7"/>
    <w:rsid w:val="008955E9"/>
    <w:rsid w:val="00895BED"/>
    <w:rsid w:val="00896493"/>
    <w:rsid w:val="00897E4C"/>
    <w:rsid w:val="008A0DE3"/>
    <w:rsid w:val="008A12CB"/>
    <w:rsid w:val="008A3587"/>
    <w:rsid w:val="008A3901"/>
    <w:rsid w:val="008A3EB5"/>
    <w:rsid w:val="008A5832"/>
    <w:rsid w:val="008A63EA"/>
    <w:rsid w:val="008B0198"/>
    <w:rsid w:val="008B0B9A"/>
    <w:rsid w:val="008B0CDE"/>
    <w:rsid w:val="008B2032"/>
    <w:rsid w:val="008B21C3"/>
    <w:rsid w:val="008B2BA8"/>
    <w:rsid w:val="008B2F7F"/>
    <w:rsid w:val="008B352A"/>
    <w:rsid w:val="008B539B"/>
    <w:rsid w:val="008B5A4B"/>
    <w:rsid w:val="008B64CE"/>
    <w:rsid w:val="008B666C"/>
    <w:rsid w:val="008B7DDD"/>
    <w:rsid w:val="008C0163"/>
    <w:rsid w:val="008C1AEA"/>
    <w:rsid w:val="008C241E"/>
    <w:rsid w:val="008C3D5F"/>
    <w:rsid w:val="008C5BFD"/>
    <w:rsid w:val="008C6D27"/>
    <w:rsid w:val="008C79A7"/>
    <w:rsid w:val="008D175B"/>
    <w:rsid w:val="008D1833"/>
    <w:rsid w:val="008D65B9"/>
    <w:rsid w:val="008D6890"/>
    <w:rsid w:val="008D7A1C"/>
    <w:rsid w:val="008D7B7D"/>
    <w:rsid w:val="008E05CF"/>
    <w:rsid w:val="008E12D7"/>
    <w:rsid w:val="008E2C87"/>
    <w:rsid w:val="008E2D55"/>
    <w:rsid w:val="008E3F9C"/>
    <w:rsid w:val="008E436B"/>
    <w:rsid w:val="008E43B9"/>
    <w:rsid w:val="008E45C7"/>
    <w:rsid w:val="008E4EB9"/>
    <w:rsid w:val="008E58ED"/>
    <w:rsid w:val="008E5F94"/>
    <w:rsid w:val="008E7918"/>
    <w:rsid w:val="008F037C"/>
    <w:rsid w:val="008F046D"/>
    <w:rsid w:val="008F09A7"/>
    <w:rsid w:val="008F0BA2"/>
    <w:rsid w:val="008F27B6"/>
    <w:rsid w:val="008F5936"/>
    <w:rsid w:val="008F5C9D"/>
    <w:rsid w:val="008F6C23"/>
    <w:rsid w:val="008F6E18"/>
    <w:rsid w:val="008F752A"/>
    <w:rsid w:val="008F7C18"/>
    <w:rsid w:val="008F7D02"/>
    <w:rsid w:val="0090242A"/>
    <w:rsid w:val="00902F19"/>
    <w:rsid w:val="00903303"/>
    <w:rsid w:val="009035E9"/>
    <w:rsid w:val="00903802"/>
    <w:rsid w:val="00903B81"/>
    <w:rsid w:val="00904EA6"/>
    <w:rsid w:val="00904EE5"/>
    <w:rsid w:val="00905E0E"/>
    <w:rsid w:val="00910E10"/>
    <w:rsid w:val="0091111A"/>
    <w:rsid w:val="00912AE2"/>
    <w:rsid w:val="00912C42"/>
    <w:rsid w:val="00912D9C"/>
    <w:rsid w:val="009136ED"/>
    <w:rsid w:val="00913C90"/>
    <w:rsid w:val="0091409C"/>
    <w:rsid w:val="00914CF9"/>
    <w:rsid w:val="00915996"/>
    <w:rsid w:val="0091649E"/>
    <w:rsid w:val="009167B3"/>
    <w:rsid w:val="00917850"/>
    <w:rsid w:val="00921A4A"/>
    <w:rsid w:val="00921BA4"/>
    <w:rsid w:val="00922C69"/>
    <w:rsid w:val="009231E2"/>
    <w:rsid w:val="009246F6"/>
    <w:rsid w:val="00924748"/>
    <w:rsid w:val="009270CF"/>
    <w:rsid w:val="00927DAB"/>
    <w:rsid w:val="009302E5"/>
    <w:rsid w:val="00930CB4"/>
    <w:rsid w:val="009326EA"/>
    <w:rsid w:val="00932837"/>
    <w:rsid w:val="009330A2"/>
    <w:rsid w:val="00934347"/>
    <w:rsid w:val="00935519"/>
    <w:rsid w:val="0093580E"/>
    <w:rsid w:val="00936A53"/>
    <w:rsid w:val="00936EE1"/>
    <w:rsid w:val="0093734D"/>
    <w:rsid w:val="009415A9"/>
    <w:rsid w:val="00943EE7"/>
    <w:rsid w:val="00944A5C"/>
    <w:rsid w:val="00945F0F"/>
    <w:rsid w:val="009460ED"/>
    <w:rsid w:val="0094746D"/>
    <w:rsid w:val="0095000F"/>
    <w:rsid w:val="009501EB"/>
    <w:rsid w:val="0095106D"/>
    <w:rsid w:val="009515DE"/>
    <w:rsid w:val="00951A26"/>
    <w:rsid w:val="009525F9"/>
    <w:rsid w:val="00954EF7"/>
    <w:rsid w:val="009551CB"/>
    <w:rsid w:val="009559CD"/>
    <w:rsid w:val="00956611"/>
    <w:rsid w:val="00956AA2"/>
    <w:rsid w:val="00957958"/>
    <w:rsid w:val="00962251"/>
    <w:rsid w:val="00962C26"/>
    <w:rsid w:val="00963B7F"/>
    <w:rsid w:val="0096420E"/>
    <w:rsid w:val="00964E0A"/>
    <w:rsid w:val="009653A2"/>
    <w:rsid w:val="00965A0A"/>
    <w:rsid w:val="00965B39"/>
    <w:rsid w:val="00965D66"/>
    <w:rsid w:val="00966743"/>
    <w:rsid w:val="00966BC2"/>
    <w:rsid w:val="0097005F"/>
    <w:rsid w:val="00970F3B"/>
    <w:rsid w:val="00971463"/>
    <w:rsid w:val="00971816"/>
    <w:rsid w:val="0097424C"/>
    <w:rsid w:val="009768A9"/>
    <w:rsid w:val="00977228"/>
    <w:rsid w:val="00977A7E"/>
    <w:rsid w:val="00977F6B"/>
    <w:rsid w:val="00980A0C"/>
    <w:rsid w:val="00980EF5"/>
    <w:rsid w:val="00981886"/>
    <w:rsid w:val="009821E0"/>
    <w:rsid w:val="009828D1"/>
    <w:rsid w:val="00982AEC"/>
    <w:rsid w:val="00983470"/>
    <w:rsid w:val="00983922"/>
    <w:rsid w:val="00984525"/>
    <w:rsid w:val="00984A5B"/>
    <w:rsid w:val="00984E8C"/>
    <w:rsid w:val="00984EB8"/>
    <w:rsid w:val="00985CD5"/>
    <w:rsid w:val="00986EFC"/>
    <w:rsid w:val="00987297"/>
    <w:rsid w:val="0098753C"/>
    <w:rsid w:val="00987CC6"/>
    <w:rsid w:val="00990B00"/>
    <w:rsid w:val="00990C2F"/>
    <w:rsid w:val="009924AC"/>
    <w:rsid w:val="0099421B"/>
    <w:rsid w:val="00994456"/>
    <w:rsid w:val="009967A2"/>
    <w:rsid w:val="00996C81"/>
    <w:rsid w:val="009974A5"/>
    <w:rsid w:val="009A002C"/>
    <w:rsid w:val="009A0571"/>
    <w:rsid w:val="009A0B54"/>
    <w:rsid w:val="009A13D2"/>
    <w:rsid w:val="009A198E"/>
    <w:rsid w:val="009A2D65"/>
    <w:rsid w:val="009A3032"/>
    <w:rsid w:val="009A5506"/>
    <w:rsid w:val="009A5B8D"/>
    <w:rsid w:val="009A6244"/>
    <w:rsid w:val="009A696E"/>
    <w:rsid w:val="009A6B24"/>
    <w:rsid w:val="009A6EBA"/>
    <w:rsid w:val="009A7602"/>
    <w:rsid w:val="009B0A50"/>
    <w:rsid w:val="009B12DE"/>
    <w:rsid w:val="009B2CD6"/>
    <w:rsid w:val="009B3126"/>
    <w:rsid w:val="009B41A7"/>
    <w:rsid w:val="009B44B5"/>
    <w:rsid w:val="009B4786"/>
    <w:rsid w:val="009B4C48"/>
    <w:rsid w:val="009B65DB"/>
    <w:rsid w:val="009C04A5"/>
    <w:rsid w:val="009C061C"/>
    <w:rsid w:val="009C36FE"/>
    <w:rsid w:val="009C3CC4"/>
    <w:rsid w:val="009C5019"/>
    <w:rsid w:val="009C5A5E"/>
    <w:rsid w:val="009C64F1"/>
    <w:rsid w:val="009C723B"/>
    <w:rsid w:val="009D0FC5"/>
    <w:rsid w:val="009D10A9"/>
    <w:rsid w:val="009D16AC"/>
    <w:rsid w:val="009D17DE"/>
    <w:rsid w:val="009D1F68"/>
    <w:rsid w:val="009D22E3"/>
    <w:rsid w:val="009D26B1"/>
    <w:rsid w:val="009D2825"/>
    <w:rsid w:val="009D46EA"/>
    <w:rsid w:val="009D485C"/>
    <w:rsid w:val="009D4C6E"/>
    <w:rsid w:val="009D5476"/>
    <w:rsid w:val="009D5D3B"/>
    <w:rsid w:val="009D5E14"/>
    <w:rsid w:val="009D629E"/>
    <w:rsid w:val="009D69D8"/>
    <w:rsid w:val="009D6DFC"/>
    <w:rsid w:val="009D75B4"/>
    <w:rsid w:val="009D77E1"/>
    <w:rsid w:val="009D7C74"/>
    <w:rsid w:val="009D7D08"/>
    <w:rsid w:val="009E03B6"/>
    <w:rsid w:val="009E094B"/>
    <w:rsid w:val="009E11EA"/>
    <w:rsid w:val="009E276D"/>
    <w:rsid w:val="009E3764"/>
    <w:rsid w:val="009E4BE9"/>
    <w:rsid w:val="009E501B"/>
    <w:rsid w:val="009E5966"/>
    <w:rsid w:val="009E6CC7"/>
    <w:rsid w:val="009E7CCF"/>
    <w:rsid w:val="009F04D8"/>
    <w:rsid w:val="009F060E"/>
    <w:rsid w:val="009F0908"/>
    <w:rsid w:val="009F22E4"/>
    <w:rsid w:val="009F2E03"/>
    <w:rsid w:val="009F3380"/>
    <w:rsid w:val="009F36D5"/>
    <w:rsid w:val="009F3BF7"/>
    <w:rsid w:val="009F4056"/>
    <w:rsid w:val="009F511B"/>
    <w:rsid w:val="009F65E2"/>
    <w:rsid w:val="009F7AE4"/>
    <w:rsid w:val="00A0011D"/>
    <w:rsid w:val="00A00634"/>
    <w:rsid w:val="00A04060"/>
    <w:rsid w:val="00A04D46"/>
    <w:rsid w:val="00A04F59"/>
    <w:rsid w:val="00A06864"/>
    <w:rsid w:val="00A11913"/>
    <w:rsid w:val="00A12732"/>
    <w:rsid w:val="00A129BA"/>
    <w:rsid w:val="00A137DE"/>
    <w:rsid w:val="00A1422F"/>
    <w:rsid w:val="00A153AF"/>
    <w:rsid w:val="00A15B4E"/>
    <w:rsid w:val="00A15E0D"/>
    <w:rsid w:val="00A16164"/>
    <w:rsid w:val="00A166BE"/>
    <w:rsid w:val="00A16A4A"/>
    <w:rsid w:val="00A16D20"/>
    <w:rsid w:val="00A17A35"/>
    <w:rsid w:val="00A17C82"/>
    <w:rsid w:val="00A200CD"/>
    <w:rsid w:val="00A2115F"/>
    <w:rsid w:val="00A220C6"/>
    <w:rsid w:val="00A22632"/>
    <w:rsid w:val="00A22A4B"/>
    <w:rsid w:val="00A22C16"/>
    <w:rsid w:val="00A22CBA"/>
    <w:rsid w:val="00A2325C"/>
    <w:rsid w:val="00A23355"/>
    <w:rsid w:val="00A23A62"/>
    <w:rsid w:val="00A23D72"/>
    <w:rsid w:val="00A24E48"/>
    <w:rsid w:val="00A24F78"/>
    <w:rsid w:val="00A25B4B"/>
    <w:rsid w:val="00A267C2"/>
    <w:rsid w:val="00A267E0"/>
    <w:rsid w:val="00A26C58"/>
    <w:rsid w:val="00A27CFD"/>
    <w:rsid w:val="00A31D08"/>
    <w:rsid w:val="00A322F9"/>
    <w:rsid w:val="00A322FD"/>
    <w:rsid w:val="00A32EC4"/>
    <w:rsid w:val="00A3308F"/>
    <w:rsid w:val="00A33175"/>
    <w:rsid w:val="00A33229"/>
    <w:rsid w:val="00A34981"/>
    <w:rsid w:val="00A34B1A"/>
    <w:rsid w:val="00A3543B"/>
    <w:rsid w:val="00A35BB9"/>
    <w:rsid w:val="00A35EFA"/>
    <w:rsid w:val="00A365AD"/>
    <w:rsid w:val="00A375A9"/>
    <w:rsid w:val="00A377BC"/>
    <w:rsid w:val="00A4001A"/>
    <w:rsid w:val="00A400D3"/>
    <w:rsid w:val="00A444FC"/>
    <w:rsid w:val="00A44919"/>
    <w:rsid w:val="00A44D31"/>
    <w:rsid w:val="00A450BA"/>
    <w:rsid w:val="00A45E12"/>
    <w:rsid w:val="00A47241"/>
    <w:rsid w:val="00A503B6"/>
    <w:rsid w:val="00A511E6"/>
    <w:rsid w:val="00A51397"/>
    <w:rsid w:val="00A52048"/>
    <w:rsid w:val="00A53399"/>
    <w:rsid w:val="00A546EA"/>
    <w:rsid w:val="00A547E7"/>
    <w:rsid w:val="00A555B3"/>
    <w:rsid w:val="00A564C2"/>
    <w:rsid w:val="00A56E72"/>
    <w:rsid w:val="00A577EC"/>
    <w:rsid w:val="00A60371"/>
    <w:rsid w:val="00A61409"/>
    <w:rsid w:val="00A617B8"/>
    <w:rsid w:val="00A62065"/>
    <w:rsid w:val="00A62DE8"/>
    <w:rsid w:val="00A67516"/>
    <w:rsid w:val="00A710DB"/>
    <w:rsid w:val="00A7167B"/>
    <w:rsid w:val="00A7179F"/>
    <w:rsid w:val="00A71877"/>
    <w:rsid w:val="00A71BF9"/>
    <w:rsid w:val="00A72B09"/>
    <w:rsid w:val="00A7480A"/>
    <w:rsid w:val="00A7495D"/>
    <w:rsid w:val="00A74D62"/>
    <w:rsid w:val="00A758DC"/>
    <w:rsid w:val="00A76795"/>
    <w:rsid w:val="00A807DB"/>
    <w:rsid w:val="00A80857"/>
    <w:rsid w:val="00A82215"/>
    <w:rsid w:val="00A82CCC"/>
    <w:rsid w:val="00A83D25"/>
    <w:rsid w:val="00A83D7D"/>
    <w:rsid w:val="00A8419F"/>
    <w:rsid w:val="00A845A5"/>
    <w:rsid w:val="00A84604"/>
    <w:rsid w:val="00A85FD2"/>
    <w:rsid w:val="00A8663F"/>
    <w:rsid w:val="00A872AB"/>
    <w:rsid w:val="00A906E0"/>
    <w:rsid w:val="00A91516"/>
    <w:rsid w:val="00A91B55"/>
    <w:rsid w:val="00A934C2"/>
    <w:rsid w:val="00A93682"/>
    <w:rsid w:val="00A94342"/>
    <w:rsid w:val="00A94464"/>
    <w:rsid w:val="00A95015"/>
    <w:rsid w:val="00A950E3"/>
    <w:rsid w:val="00A95ED1"/>
    <w:rsid w:val="00A96252"/>
    <w:rsid w:val="00A965BD"/>
    <w:rsid w:val="00A97370"/>
    <w:rsid w:val="00A97874"/>
    <w:rsid w:val="00AA097D"/>
    <w:rsid w:val="00AA0D37"/>
    <w:rsid w:val="00AA2C0B"/>
    <w:rsid w:val="00AA3C7F"/>
    <w:rsid w:val="00AA4350"/>
    <w:rsid w:val="00AA4428"/>
    <w:rsid w:val="00AA444A"/>
    <w:rsid w:val="00AA4BBC"/>
    <w:rsid w:val="00AA55FF"/>
    <w:rsid w:val="00AA58A9"/>
    <w:rsid w:val="00AA67A8"/>
    <w:rsid w:val="00AA71F6"/>
    <w:rsid w:val="00AA7672"/>
    <w:rsid w:val="00AB06AC"/>
    <w:rsid w:val="00AB0AE0"/>
    <w:rsid w:val="00AB0F71"/>
    <w:rsid w:val="00AB3D8A"/>
    <w:rsid w:val="00AB4252"/>
    <w:rsid w:val="00AB5539"/>
    <w:rsid w:val="00AB5F15"/>
    <w:rsid w:val="00AB67E8"/>
    <w:rsid w:val="00AB7DEA"/>
    <w:rsid w:val="00AC0585"/>
    <w:rsid w:val="00AC0697"/>
    <w:rsid w:val="00AC1452"/>
    <w:rsid w:val="00AC14D9"/>
    <w:rsid w:val="00AC1631"/>
    <w:rsid w:val="00AC2FD6"/>
    <w:rsid w:val="00AC3488"/>
    <w:rsid w:val="00AC36AB"/>
    <w:rsid w:val="00AC3742"/>
    <w:rsid w:val="00AC38DF"/>
    <w:rsid w:val="00AC4543"/>
    <w:rsid w:val="00AC4B1B"/>
    <w:rsid w:val="00AC4BB3"/>
    <w:rsid w:val="00AC51EB"/>
    <w:rsid w:val="00AC5AB9"/>
    <w:rsid w:val="00AC5DC0"/>
    <w:rsid w:val="00AC6860"/>
    <w:rsid w:val="00AD016F"/>
    <w:rsid w:val="00AD0B54"/>
    <w:rsid w:val="00AD0B8D"/>
    <w:rsid w:val="00AD15ED"/>
    <w:rsid w:val="00AD32E8"/>
    <w:rsid w:val="00AD3642"/>
    <w:rsid w:val="00AD3781"/>
    <w:rsid w:val="00AD37FB"/>
    <w:rsid w:val="00AD4587"/>
    <w:rsid w:val="00AD4857"/>
    <w:rsid w:val="00AD4FA2"/>
    <w:rsid w:val="00AD57D0"/>
    <w:rsid w:val="00AD5821"/>
    <w:rsid w:val="00AD5903"/>
    <w:rsid w:val="00AD5DFD"/>
    <w:rsid w:val="00AD76F1"/>
    <w:rsid w:val="00AD7F2A"/>
    <w:rsid w:val="00AE0291"/>
    <w:rsid w:val="00AE0F54"/>
    <w:rsid w:val="00AE16D9"/>
    <w:rsid w:val="00AE344E"/>
    <w:rsid w:val="00AE3919"/>
    <w:rsid w:val="00AE39E1"/>
    <w:rsid w:val="00AE45BC"/>
    <w:rsid w:val="00AE54D0"/>
    <w:rsid w:val="00AE571E"/>
    <w:rsid w:val="00AE70DA"/>
    <w:rsid w:val="00AE7944"/>
    <w:rsid w:val="00AF0333"/>
    <w:rsid w:val="00AF31DE"/>
    <w:rsid w:val="00AF3792"/>
    <w:rsid w:val="00AF4227"/>
    <w:rsid w:val="00AF48BB"/>
    <w:rsid w:val="00AF5E44"/>
    <w:rsid w:val="00AF79EE"/>
    <w:rsid w:val="00AF7CB2"/>
    <w:rsid w:val="00AF7EE3"/>
    <w:rsid w:val="00B0186C"/>
    <w:rsid w:val="00B01A5E"/>
    <w:rsid w:val="00B03CCF"/>
    <w:rsid w:val="00B03FE6"/>
    <w:rsid w:val="00B05269"/>
    <w:rsid w:val="00B06492"/>
    <w:rsid w:val="00B1094C"/>
    <w:rsid w:val="00B10C8B"/>
    <w:rsid w:val="00B10DA8"/>
    <w:rsid w:val="00B10E13"/>
    <w:rsid w:val="00B1314D"/>
    <w:rsid w:val="00B14FBC"/>
    <w:rsid w:val="00B15A80"/>
    <w:rsid w:val="00B17DA6"/>
    <w:rsid w:val="00B17E61"/>
    <w:rsid w:val="00B23FCE"/>
    <w:rsid w:val="00B240CB"/>
    <w:rsid w:val="00B2425D"/>
    <w:rsid w:val="00B251DD"/>
    <w:rsid w:val="00B26614"/>
    <w:rsid w:val="00B30ADC"/>
    <w:rsid w:val="00B311B9"/>
    <w:rsid w:val="00B31603"/>
    <w:rsid w:val="00B3183F"/>
    <w:rsid w:val="00B3205A"/>
    <w:rsid w:val="00B329D8"/>
    <w:rsid w:val="00B32FC9"/>
    <w:rsid w:val="00B33531"/>
    <w:rsid w:val="00B33E2C"/>
    <w:rsid w:val="00B34FBF"/>
    <w:rsid w:val="00B3569A"/>
    <w:rsid w:val="00B359DD"/>
    <w:rsid w:val="00B37114"/>
    <w:rsid w:val="00B37157"/>
    <w:rsid w:val="00B3732F"/>
    <w:rsid w:val="00B4026E"/>
    <w:rsid w:val="00B413C8"/>
    <w:rsid w:val="00B41C81"/>
    <w:rsid w:val="00B41F5A"/>
    <w:rsid w:val="00B42E32"/>
    <w:rsid w:val="00B42E7B"/>
    <w:rsid w:val="00B434B9"/>
    <w:rsid w:val="00B434FD"/>
    <w:rsid w:val="00B4392C"/>
    <w:rsid w:val="00B43953"/>
    <w:rsid w:val="00B442D3"/>
    <w:rsid w:val="00B44A4E"/>
    <w:rsid w:val="00B45BD8"/>
    <w:rsid w:val="00B46523"/>
    <w:rsid w:val="00B479F8"/>
    <w:rsid w:val="00B548F6"/>
    <w:rsid w:val="00B54EE0"/>
    <w:rsid w:val="00B54FA6"/>
    <w:rsid w:val="00B55068"/>
    <w:rsid w:val="00B5609A"/>
    <w:rsid w:val="00B561CA"/>
    <w:rsid w:val="00B56629"/>
    <w:rsid w:val="00B603E5"/>
    <w:rsid w:val="00B60B7F"/>
    <w:rsid w:val="00B61664"/>
    <w:rsid w:val="00B61FA4"/>
    <w:rsid w:val="00B62801"/>
    <w:rsid w:val="00B63365"/>
    <w:rsid w:val="00B634D4"/>
    <w:rsid w:val="00B63505"/>
    <w:rsid w:val="00B65223"/>
    <w:rsid w:val="00B655CD"/>
    <w:rsid w:val="00B656F1"/>
    <w:rsid w:val="00B6572B"/>
    <w:rsid w:val="00B65B5C"/>
    <w:rsid w:val="00B6725A"/>
    <w:rsid w:val="00B67A70"/>
    <w:rsid w:val="00B70632"/>
    <w:rsid w:val="00B70C22"/>
    <w:rsid w:val="00B7156D"/>
    <w:rsid w:val="00B71BCD"/>
    <w:rsid w:val="00B71C5E"/>
    <w:rsid w:val="00B71F96"/>
    <w:rsid w:val="00B73212"/>
    <w:rsid w:val="00B733CA"/>
    <w:rsid w:val="00B7351C"/>
    <w:rsid w:val="00B744B3"/>
    <w:rsid w:val="00B74AE9"/>
    <w:rsid w:val="00B74B0B"/>
    <w:rsid w:val="00B75E33"/>
    <w:rsid w:val="00B776FD"/>
    <w:rsid w:val="00B77AA7"/>
    <w:rsid w:val="00B77C8E"/>
    <w:rsid w:val="00B80F40"/>
    <w:rsid w:val="00B81B3A"/>
    <w:rsid w:val="00B82401"/>
    <w:rsid w:val="00B827C4"/>
    <w:rsid w:val="00B83800"/>
    <w:rsid w:val="00B851AC"/>
    <w:rsid w:val="00B85580"/>
    <w:rsid w:val="00B85E2C"/>
    <w:rsid w:val="00B86603"/>
    <w:rsid w:val="00B87D88"/>
    <w:rsid w:val="00B90B6B"/>
    <w:rsid w:val="00B91827"/>
    <w:rsid w:val="00B930D0"/>
    <w:rsid w:val="00B936CA"/>
    <w:rsid w:val="00B94997"/>
    <w:rsid w:val="00B952F1"/>
    <w:rsid w:val="00B96DE8"/>
    <w:rsid w:val="00B97140"/>
    <w:rsid w:val="00BA0712"/>
    <w:rsid w:val="00BA0C5D"/>
    <w:rsid w:val="00BA1494"/>
    <w:rsid w:val="00BA21DC"/>
    <w:rsid w:val="00BA3001"/>
    <w:rsid w:val="00BA3B83"/>
    <w:rsid w:val="00BA4C80"/>
    <w:rsid w:val="00BA516D"/>
    <w:rsid w:val="00BA517A"/>
    <w:rsid w:val="00BA61E6"/>
    <w:rsid w:val="00BA7087"/>
    <w:rsid w:val="00BA77FB"/>
    <w:rsid w:val="00BB030F"/>
    <w:rsid w:val="00BB03BF"/>
    <w:rsid w:val="00BB098B"/>
    <w:rsid w:val="00BB14A4"/>
    <w:rsid w:val="00BB1CA9"/>
    <w:rsid w:val="00BB30AE"/>
    <w:rsid w:val="00BB548E"/>
    <w:rsid w:val="00BB556B"/>
    <w:rsid w:val="00BB6E59"/>
    <w:rsid w:val="00BB7836"/>
    <w:rsid w:val="00BB7A7A"/>
    <w:rsid w:val="00BB7B9B"/>
    <w:rsid w:val="00BC1FF8"/>
    <w:rsid w:val="00BC225C"/>
    <w:rsid w:val="00BC4EDC"/>
    <w:rsid w:val="00BC5065"/>
    <w:rsid w:val="00BC5A07"/>
    <w:rsid w:val="00BC5BB9"/>
    <w:rsid w:val="00BC75B5"/>
    <w:rsid w:val="00BD0820"/>
    <w:rsid w:val="00BD0A1D"/>
    <w:rsid w:val="00BD0F09"/>
    <w:rsid w:val="00BD1F40"/>
    <w:rsid w:val="00BD2555"/>
    <w:rsid w:val="00BD26B9"/>
    <w:rsid w:val="00BD3787"/>
    <w:rsid w:val="00BD3D4D"/>
    <w:rsid w:val="00BD6150"/>
    <w:rsid w:val="00BD67A1"/>
    <w:rsid w:val="00BD72C8"/>
    <w:rsid w:val="00BD7ED8"/>
    <w:rsid w:val="00BE0A4F"/>
    <w:rsid w:val="00BE2179"/>
    <w:rsid w:val="00BE23DE"/>
    <w:rsid w:val="00BE24FB"/>
    <w:rsid w:val="00BE2872"/>
    <w:rsid w:val="00BE2B5E"/>
    <w:rsid w:val="00BE307F"/>
    <w:rsid w:val="00BE3823"/>
    <w:rsid w:val="00BE3929"/>
    <w:rsid w:val="00BE3C7D"/>
    <w:rsid w:val="00BE501F"/>
    <w:rsid w:val="00BE6F55"/>
    <w:rsid w:val="00BE7E2C"/>
    <w:rsid w:val="00BF0F63"/>
    <w:rsid w:val="00BF101E"/>
    <w:rsid w:val="00BF10EE"/>
    <w:rsid w:val="00BF124A"/>
    <w:rsid w:val="00BF12F4"/>
    <w:rsid w:val="00BF17F4"/>
    <w:rsid w:val="00BF18AB"/>
    <w:rsid w:val="00BF2F78"/>
    <w:rsid w:val="00BF3B3B"/>
    <w:rsid w:val="00BF3C12"/>
    <w:rsid w:val="00BF4BC3"/>
    <w:rsid w:val="00BF65CA"/>
    <w:rsid w:val="00BF67A6"/>
    <w:rsid w:val="00BF728D"/>
    <w:rsid w:val="00C014D0"/>
    <w:rsid w:val="00C01E1A"/>
    <w:rsid w:val="00C03708"/>
    <w:rsid w:val="00C04631"/>
    <w:rsid w:val="00C047E4"/>
    <w:rsid w:val="00C04B61"/>
    <w:rsid w:val="00C05A9E"/>
    <w:rsid w:val="00C05F05"/>
    <w:rsid w:val="00C05F3F"/>
    <w:rsid w:val="00C06332"/>
    <w:rsid w:val="00C07244"/>
    <w:rsid w:val="00C11CEB"/>
    <w:rsid w:val="00C11E04"/>
    <w:rsid w:val="00C1240B"/>
    <w:rsid w:val="00C13CE6"/>
    <w:rsid w:val="00C13FB7"/>
    <w:rsid w:val="00C14D55"/>
    <w:rsid w:val="00C15E64"/>
    <w:rsid w:val="00C15EE4"/>
    <w:rsid w:val="00C16376"/>
    <w:rsid w:val="00C16B79"/>
    <w:rsid w:val="00C16EBA"/>
    <w:rsid w:val="00C17FCE"/>
    <w:rsid w:val="00C20AC2"/>
    <w:rsid w:val="00C212F8"/>
    <w:rsid w:val="00C21A91"/>
    <w:rsid w:val="00C2231B"/>
    <w:rsid w:val="00C22680"/>
    <w:rsid w:val="00C2293E"/>
    <w:rsid w:val="00C23126"/>
    <w:rsid w:val="00C23E87"/>
    <w:rsid w:val="00C241EF"/>
    <w:rsid w:val="00C2629E"/>
    <w:rsid w:val="00C27D7A"/>
    <w:rsid w:val="00C31062"/>
    <w:rsid w:val="00C31A47"/>
    <w:rsid w:val="00C32626"/>
    <w:rsid w:val="00C32935"/>
    <w:rsid w:val="00C33E54"/>
    <w:rsid w:val="00C33FC5"/>
    <w:rsid w:val="00C34635"/>
    <w:rsid w:val="00C370A4"/>
    <w:rsid w:val="00C37605"/>
    <w:rsid w:val="00C37F71"/>
    <w:rsid w:val="00C40D5F"/>
    <w:rsid w:val="00C40F88"/>
    <w:rsid w:val="00C41A7A"/>
    <w:rsid w:val="00C4289A"/>
    <w:rsid w:val="00C4374C"/>
    <w:rsid w:val="00C4433D"/>
    <w:rsid w:val="00C45071"/>
    <w:rsid w:val="00C45850"/>
    <w:rsid w:val="00C45A90"/>
    <w:rsid w:val="00C4747B"/>
    <w:rsid w:val="00C47596"/>
    <w:rsid w:val="00C4776E"/>
    <w:rsid w:val="00C5184A"/>
    <w:rsid w:val="00C5298B"/>
    <w:rsid w:val="00C5389B"/>
    <w:rsid w:val="00C539CD"/>
    <w:rsid w:val="00C53F9E"/>
    <w:rsid w:val="00C54ABF"/>
    <w:rsid w:val="00C54FD9"/>
    <w:rsid w:val="00C5559E"/>
    <w:rsid w:val="00C56153"/>
    <w:rsid w:val="00C60B9B"/>
    <w:rsid w:val="00C62909"/>
    <w:rsid w:val="00C62CA3"/>
    <w:rsid w:val="00C64221"/>
    <w:rsid w:val="00C6521E"/>
    <w:rsid w:val="00C65DA1"/>
    <w:rsid w:val="00C70871"/>
    <w:rsid w:val="00C70A47"/>
    <w:rsid w:val="00C71FF9"/>
    <w:rsid w:val="00C72338"/>
    <w:rsid w:val="00C72D25"/>
    <w:rsid w:val="00C7386E"/>
    <w:rsid w:val="00C73D41"/>
    <w:rsid w:val="00C74321"/>
    <w:rsid w:val="00C7437A"/>
    <w:rsid w:val="00C749E3"/>
    <w:rsid w:val="00C771D9"/>
    <w:rsid w:val="00C7761E"/>
    <w:rsid w:val="00C77EAF"/>
    <w:rsid w:val="00C805AB"/>
    <w:rsid w:val="00C81BAA"/>
    <w:rsid w:val="00C82811"/>
    <w:rsid w:val="00C83478"/>
    <w:rsid w:val="00C83F33"/>
    <w:rsid w:val="00C8451D"/>
    <w:rsid w:val="00C84E2B"/>
    <w:rsid w:val="00C85091"/>
    <w:rsid w:val="00C861FD"/>
    <w:rsid w:val="00C87633"/>
    <w:rsid w:val="00C877BD"/>
    <w:rsid w:val="00C90032"/>
    <w:rsid w:val="00C90DBD"/>
    <w:rsid w:val="00C9269B"/>
    <w:rsid w:val="00C92867"/>
    <w:rsid w:val="00C92D7D"/>
    <w:rsid w:val="00C92D87"/>
    <w:rsid w:val="00C93549"/>
    <w:rsid w:val="00C948D8"/>
    <w:rsid w:val="00C96506"/>
    <w:rsid w:val="00C969DF"/>
    <w:rsid w:val="00C971F3"/>
    <w:rsid w:val="00C97882"/>
    <w:rsid w:val="00C9797D"/>
    <w:rsid w:val="00CA0A0F"/>
    <w:rsid w:val="00CA17E6"/>
    <w:rsid w:val="00CA1AD2"/>
    <w:rsid w:val="00CA2461"/>
    <w:rsid w:val="00CA47FA"/>
    <w:rsid w:val="00CA4CD5"/>
    <w:rsid w:val="00CA5F8C"/>
    <w:rsid w:val="00CA682E"/>
    <w:rsid w:val="00CA73CB"/>
    <w:rsid w:val="00CB087E"/>
    <w:rsid w:val="00CB0A43"/>
    <w:rsid w:val="00CB1E66"/>
    <w:rsid w:val="00CB27D1"/>
    <w:rsid w:val="00CB414F"/>
    <w:rsid w:val="00CB44F4"/>
    <w:rsid w:val="00CB4C0D"/>
    <w:rsid w:val="00CB4CC8"/>
    <w:rsid w:val="00CB5BC9"/>
    <w:rsid w:val="00CB6A9D"/>
    <w:rsid w:val="00CB7542"/>
    <w:rsid w:val="00CC06E3"/>
    <w:rsid w:val="00CC0E20"/>
    <w:rsid w:val="00CC109B"/>
    <w:rsid w:val="00CC17F3"/>
    <w:rsid w:val="00CC222C"/>
    <w:rsid w:val="00CC2608"/>
    <w:rsid w:val="00CC2A67"/>
    <w:rsid w:val="00CC37A2"/>
    <w:rsid w:val="00CC6192"/>
    <w:rsid w:val="00CC7B7B"/>
    <w:rsid w:val="00CD1018"/>
    <w:rsid w:val="00CD12BB"/>
    <w:rsid w:val="00CD3D99"/>
    <w:rsid w:val="00CD42AD"/>
    <w:rsid w:val="00CD45D2"/>
    <w:rsid w:val="00CD4931"/>
    <w:rsid w:val="00CD4B0E"/>
    <w:rsid w:val="00CD5162"/>
    <w:rsid w:val="00CD66FE"/>
    <w:rsid w:val="00CD67F9"/>
    <w:rsid w:val="00CD6E6E"/>
    <w:rsid w:val="00CD72F1"/>
    <w:rsid w:val="00CD77D5"/>
    <w:rsid w:val="00CD7B1C"/>
    <w:rsid w:val="00CE016B"/>
    <w:rsid w:val="00CE01C8"/>
    <w:rsid w:val="00CE04C2"/>
    <w:rsid w:val="00CE16A9"/>
    <w:rsid w:val="00CE1F0C"/>
    <w:rsid w:val="00CE3BD4"/>
    <w:rsid w:val="00CE49AA"/>
    <w:rsid w:val="00CE4D64"/>
    <w:rsid w:val="00CE5643"/>
    <w:rsid w:val="00CE6792"/>
    <w:rsid w:val="00CE68DC"/>
    <w:rsid w:val="00CE7073"/>
    <w:rsid w:val="00CE74E9"/>
    <w:rsid w:val="00CF1315"/>
    <w:rsid w:val="00CF25F3"/>
    <w:rsid w:val="00CF3BAE"/>
    <w:rsid w:val="00CF4E16"/>
    <w:rsid w:val="00CF501B"/>
    <w:rsid w:val="00CF50ED"/>
    <w:rsid w:val="00CF5B08"/>
    <w:rsid w:val="00CF5CE6"/>
    <w:rsid w:val="00CF5F6F"/>
    <w:rsid w:val="00CF7917"/>
    <w:rsid w:val="00D00870"/>
    <w:rsid w:val="00D013AB"/>
    <w:rsid w:val="00D01823"/>
    <w:rsid w:val="00D01B2A"/>
    <w:rsid w:val="00D01B7A"/>
    <w:rsid w:val="00D01E56"/>
    <w:rsid w:val="00D02CC0"/>
    <w:rsid w:val="00D02CC1"/>
    <w:rsid w:val="00D02DA3"/>
    <w:rsid w:val="00D0336F"/>
    <w:rsid w:val="00D03B97"/>
    <w:rsid w:val="00D03CD2"/>
    <w:rsid w:val="00D04D5D"/>
    <w:rsid w:val="00D075C5"/>
    <w:rsid w:val="00D10E3C"/>
    <w:rsid w:val="00D12194"/>
    <w:rsid w:val="00D12C3C"/>
    <w:rsid w:val="00D1300D"/>
    <w:rsid w:val="00D16392"/>
    <w:rsid w:val="00D17114"/>
    <w:rsid w:val="00D201DF"/>
    <w:rsid w:val="00D20C5A"/>
    <w:rsid w:val="00D20C8D"/>
    <w:rsid w:val="00D21A20"/>
    <w:rsid w:val="00D21B45"/>
    <w:rsid w:val="00D23351"/>
    <w:rsid w:val="00D23F76"/>
    <w:rsid w:val="00D246F1"/>
    <w:rsid w:val="00D24E21"/>
    <w:rsid w:val="00D25065"/>
    <w:rsid w:val="00D250CB"/>
    <w:rsid w:val="00D25E3A"/>
    <w:rsid w:val="00D26277"/>
    <w:rsid w:val="00D26909"/>
    <w:rsid w:val="00D26A1E"/>
    <w:rsid w:val="00D26B6D"/>
    <w:rsid w:val="00D27CC8"/>
    <w:rsid w:val="00D302B0"/>
    <w:rsid w:val="00D313C1"/>
    <w:rsid w:val="00D31CF2"/>
    <w:rsid w:val="00D31FC0"/>
    <w:rsid w:val="00D32AF1"/>
    <w:rsid w:val="00D32B32"/>
    <w:rsid w:val="00D32D43"/>
    <w:rsid w:val="00D330FA"/>
    <w:rsid w:val="00D33A85"/>
    <w:rsid w:val="00D33C01"/>
    <w:rsid w:val="00D34293"/>
    <w:rsid w:val="00D35CEE"/>
    <w:rsid w:val="00D36511"/>
    <w:rsid w:val="00D36C25"/>
    <w:rsid w:val="00D402AA"/>
    <w:rsid w:val="00D40572"/>
    <w:rsid w:val="00D40BBE"/>
    <w:rsid w:val="00D42971"/>
    <w:rsid w:val="00D43B45"/>
    <w:rsid w:val="00D451B0"/>
    <w:rsid w:val="00D459EB"/>
    <w:rsid w:val="00D45C45"/>
    <w:rsid w:val="00D465FC"/>
    <w:rsid w:val="00D50014"/>
    <w:rsid w:val="00D5115E"/>
    <w:rsid w:val="00D511D0"/>
    <w:rsid w:val="00D51DE1"/>
    <w:rsid w:val="00D522F6"/>
    <w:rsid w:val="00D52712"/>
    <w:rsid w:val="00D52ADB"/>
    <w:rsid w:val="00D53B85"/>
    <w:rsid w:val="00D54EA9"/>
    <w:rsid w:val="00D574E4"/>
    <w:rsid w:val="00D577F3"/>
    <w:rsid w:val="00D624DA"/>
    <w:rsid w:val="00D65244"/>
    <w:rsid w:val="00D654A5"/>
    <w:rsid w:val="00D658E5"/>
    <w:rsid w:val="00D65B64"/>
    <w:rsid w:val="00D65E8A"/>
    <w:rsid w:val="00D66CCC"/>
    <w:rsid w:val="00D67F03"/>
    <w:rsid w:val="00D700F0"/>
    <w:rsid w:val="00D70BEC"/>
    <w:rsid w:val="00D718C1"/>
    <w:rsid w:val="00D73347"/>
    <w:rsid w:val="00D73966"/>
    <w:rsid w:val="00D763C3"/>
    <w:rsid w:val="00D76535"/>
    <w:rsid w:val="00D7661E"/>
    <w:rsid w:val="00D7695E"/>
    <w:rsid w:val="00D817E4"/>
    <w:rsid w:val="00D825A9"/>
    <w:rsid w:val="00D85307"/>
    <w:rsid w:val="00D85702"/>
    <w:rsid w:val="00D85C40"/>
    <w:rsid w:val="00D87694"/>
    <w:rsid w:val="00D91CB7"/>
    <w:rsid w:val="00D92CC9"/>
    <w:rsid w:val="00D93B6F"/>
    <w:rsid w:val="00D940F7"/>
    <w:rsid w:val="00D95615"/>
    <w:rsid w:val="00D960C8"/>
    <w:rsid w:val="00D96214"/>
    <w:rsid w:val="00D964E2"/>
    <w:rsid w:val="00D96E38"/>
    <w:rsid w:val="00D97146"/>
    <w:rsid w:val="00D972F8"/>
    <w:rsid w:val="00DA1834"/>
    <w:rsid w:val="00DA26AB"/>
    <w:rsid w:val="00DA2BA7"/>
    <w:rsid w:val="00DA312B"/>
    <w:rsid w:val="00DA3340"/>
    <w:rsid w:val="00DA3C18"/>
    <w:rsid w:val="00DA54BB"/>
    <w:rsid w:val="00DA597C"/>
    <w:rsid w:val="00DA6C0F"/>
    <w:rsid w:val="00DB0F3D"/>
    <w:rsid w:val="00DB1718"/>
    <w:rsid w:val="00DB220D"/>
    <w:rsid w:val="00DB31C5"/>
    <w:rsid w:val="00DB39A1"/>
    <w:rsid w:val="00DB4E39"/>
    <w:rsid w:val="00DB681A"/>
    <w:rsid w:val="00DB6A87"/>
    <w:rsid w:val="00DB7151"/>
    <w:rsid w:val="00DB76EA"/>
    <w:rsid w:val="00DB7B38"/>
    <w:rsid w:val="00DC001F"/>
    <w:rsid w:val="00DC1B2C"/>
    <w:rsid w:val="00DC1BC1"/>
    <w:rsid w:val="00DC1C30"/>
    <w:rsid w:val="00DC301B"/>
    <w:rsid w:val="00DC3DD0"/>
    <w:rsid w:val="00DC418E"/>
    <w:rsid w:val="00DC4870"/>
    <w:rsid w:val="00DC618E"/>
    <w:rsid w:val="00DC7963"/>
    <w:rsid w:val="00DD0176"/>
    <w:rsid w:val="00DD05F9"/>
    <w:rsid w:val="00DD0AA0"/>
    <w:rsid w:val="00DD1F8E"/>
    <w:rsid w:val="00DD21EA"/>
    <w:rsid w:val="00DD2278"/>
    <w:rsid w:val="00DD3A19"/>
    <w:rsid w:val="00DD4073"/>
    <w:rsid w:val="00DD4E63"/>
    <w:rsid w:val="00DD6FCF"/>
    <w:rsid w:val="00DD6FFB"/>
    <w:rsid w:val="00DD7675"/>
    <w:rsid w:val="00DD78FA"/>
    <w:rsid w:val="00DE0C09"/>
    <w:rsid w:val="00DE18DB"/>
    <w:rsid w:val="00DE1DD9"/>
    <w:rsid w:val="00DE2824"/>
    <w:rsid w:val="00DE3E00"/>
    <w:rsid w:val="00DE3FD6"/>
    <w:rsid w:val="00DE42B0"/>
    <w:rsid w:val="00DE643D"/>
    <w:rsid w:val="00DE669B"/>
    <w:rsid w:val="00DE6D3A"/>
    <w:rsid w:val="00DE7577"/>
    <w:rsid w:val="00DE78AE"/>
    <w:rsid w:val="00DE7E88"/>
    <w:rsid w:val="00DF0ECA"/>
    <w:rsid w:val="00DF289D"/>
    <w:rsid w:val="00DF33AB"/>
    <w:rsid w:val="00DF3688"/>
    <w:rsid w:val="00DF39EA"/>
    <w:rsid w:val="00DF49A3"/>
    <w:rsid w:val="00DF6C17"/>
    <w:rsid w:val="00DF6EB3"/>
    <w:rsid w:val="00DF7139"/>
    <w:rsid w:val="00DF7F48"/>
    <w:rsid w:val="00E008D6"/>
    <w:rsid w:val="00E01A29"/>
    <w:rsid w:val="00E01D6D"/>
    <w:rsid w:val="00E0257D"/>
    <w:rsid w:val="00E065FA"/>
    <w:rsid w:val="00E06782"/>
    <w:rsid w:val="00E0697A"/>
    <w:rsid w:val="00E07C3C"/>
    <w:rsid w:val="00E07CE1"/>
    <w:rsid w:val="00E109CF"/>
    <w:rsid w:val="00E11AF7"/>
    <w:rsid w:val="00E14405"/>
    <w:rsid w:val="00E152A9"/>
    <w:rsid w:val="00E15627"/>
    <w:rsid w:val="00E1573A"/>
    <w:rsid w:val="00E15CD2"/>
    <w:rsid w:val="00E15E15"/>
    <w:rsid w:val="00E16550"/>
    <w:rsid w:val="00E16E26"/>
    <w:rsid w:val="00E16E76"/>
    <w:rsid w:val="00E17DDB"/>
    <w:rsid w:val="00E2035D"/>
    <w:rsid w:val="00E2040F"/>
    <w:rsid w:val="00E2042D"/>
    <w:rsid w:val="00E207C2"/>
    <w:rsid w:val="00E21B0C"/>
    <w:rsid w:val="00E22492"/>
    <w:rsid w:val="00E22B55"/>
    <w:rsid w:val="00E22CEA"/>
    <w:rsid w:val="00E22D6F"/>
    <w:rsid w:val="00E23480"/>
    <w:rsid w:val="00E23CA3"/>
    <w:rsid w:val="00E23EA5"/>
    <w:rsid w:val="00E241B9"/>
    <w:rsid w:val="00E244C1"/>
    <w:rsid w:val="00E24E9D"/>
    <w:rsid w:val="00E255DF"/>
    <w:rsid w:val="00E265FE"/>
    <w:rsid w:val="00E27827"/>
    <w:rsid w:val="00E27ED8"/>
    <w:rsid w:val="00E30BD5"/>
    <w:rsid w:val="00E30F13"/>
    <w:rsid w:val="00E310CB"/>
    <w:rsid w:val="00E3131F"/>
    <w:rsid w:val="00E31D28"/>
    <w:rsid w:val="00E32352"/>
    <w:rsid w:val="00E32700"/>
    <w:rsid w:val="00E32885"/>
    <w:rsid w:val="00E33A6E"/>
    <w:rsid w:val="00E34527"/>
    <w:rsid w:val="00E34D71"/>
    <w:rsid w:val="00E36D51"/>
    <w:rsid w:val="00E37095"/>
    <w:rsid w:val="00E37219"/>
    <w:rsid w:val="00E375A1"/>
    <w:rsid w:val="00E37E70"/>
    <w:rsid w:val="00E400EF"/>
    <w:rsid w:val="00E4043F"/>
    <w:rsid w:val="00E40619"/>
    <w:rsid w:val="00E41BD7"/>
    <w:rsid w:val="00E42361"/>
    <w:rsid w:val="00E4265A"/>
    <w:rsid w:val="00E43B41"/>
    <w:rsid w:val="00E455B5"/>
    <w:rsid w:val="00E465CF"/>
    <w:rsid w:val="00E47722"/>
    <w:rsid w:val="00E47A09"/>
    <w:rsid w:val="00E51123"/>
    <w:rsid w:val="00E52F85"/>
    <w:rsid w:val="00E53DC4"/>
    <w:rsid w:val="00E53FC4"/>
    <w:rsid w:val="00E55828"/>
    <w:rsid w:val="00E55997"/>
    <w:rsid w:val="00E56165"/>
    <w:rsid w:val="00E57020"/>
    <w:rsid w:val="00E57FD2"/>
    <w:rsid w:val="00E602A5"/>
    <w:rsid w:val="00E606F4"/>
    <w:rsid w:val="00E60FAE"/>
    <w:rsid w:val="00E61825"/>
    <w:rsid w:val="00E61F16"/>
    <w:rsid w:val="00E62045"/>
    <w:rsid w:val="00E621BF"/>
    <w:rsid w:val="00E62804"/>
    <w:rsid w:val="00E63551"/>
    <w:rsid w:val="00E641FF"/>
    <w:rsid w:val="00E64853"/>
    <w:rsid w:val="00E64D44"/>
    <w:rsid w:val="00E65157"/>
    <w:rsid w:val="00E651DB"/>
    <w:rsid w:val="00E65C8F"/>
    <w:rsid w:val="00E65FAD"/>
    <w:rsid w:val="00E6635C"/>
    <w:rsid w:val="00E67383"/>
    <w:rsid w:val="00E675FC"/>
    <w:rsid w:val="00E67AD0"/>
    <w:rsid w:val="00E7031F"/>
    <w:rsid w:val="00E709E9"/>
    <w:rsid w:val="00E70B0C"/>
    <w:rsid w:val="00E71301"/>
    <w:rsid w:val="00E7389A"/>
    <w:rsid w:val="00E73E2D"/>
    <w:rsid w:val="00E7545A"/>
    <w:rsid w:val="00E76281"/>
    <w:rsid w:val="00E76996"/>
    <w:rsid w:val="00E770AA"/>
    <w:rsid w:val="00E77CCC"/>
    <w:rsid w:val="00E77EA9"/>
    <w:rsid w:val="00E8300D"/>
    <w:rsid w:val="00E8388D"/>
    <w:rsid w:val="00E83A8D"/>
    <w:rsid w:val="00E84D16"/>
    <w:rsid w:val="00E85231"/>
    <w:rsid w:val="00E85600"/>
    <w:rsid w:val="00E86012"/>
    <w:rsid w:val="00E86048"/>
    <w:rsid w:val="00E86B91"/>
    <w:rsid w:val="00E86F37"/>
    <w:rsid w:val="00E8728A"/>
    <w:rsid w:val="00E87AF8"/>
    <w:rsid w:val="00E90804"/>
    <w:rsid w:val="00E909FB"/>
    <w:rsid w:val="00E92D86"/>
    <w:rsid w:val="00E931F3"/>
    <w:rsid w:val="00E93F8A"/>
    <w:rsid w:val="00E945AD"/>
    <w:rsid w:val="00E95BC5"/>
    <w:rsid w:val="00E97292"/>
    <w:rsid w:val="00E97595"/>
    <w:rsid w:val="00EA027C"/>
    <w:rsid w:val="00EA06B9"/>
    <w:rsid w:val="00EA0992"/>
    <w:rsid w:val="00EA0B9A"/>
    <w:rsid w:val="00EA102D"/>
    <w:rsid w:val="00EA16D9"/>
    <w:rsid w:val="00EA1921"/>
    <w:rsid w:val="00EA209C"/>
    <w:rsid w:val="00EA2DCC"/>
    <w:rsid w:val="00EA3804"/>
    <w:rsid w:val="00EA3B9D"/>
    <w:rsid w:val="00EA6182"/>
    <w:rsid w:val="00EA692E"/>
    <w:rsid w:val="00EA7464"/>
    <w:rsid w:val="00EB02DF"/>
    <w:rsid w:val="00EB0B49"/>
    <w:rsid w:val="00EB0F71"/>
    <w:rsid w:val="00EB155C"/>
    <w:rsid w:val="00EB1DD3"/>
    <w:rsid w:val="00EB1FFC"/>
    <w:rsid w:val="00EB2F91"/>
    <w:rsid w:val="00EB3424"/>
    <w:rsid w:val="00EB398F"/>
    <w:rsid w:val="00EB3B3E"/>
    <w:rsid w:val="00EB4CCC"/>
    <w:rsid w:val="00EB65A7"/>
    <w:rsid w:val="00EB733A"/>
    <w:rsid w:val="00EB7BBC"/>
    <w:rsid w:val="00EC0132"/>
    <w:rsid w:val="00EC106F"/>
    <w:rsid w:val="00EC1E2A"/>
    <w:rsid w:val="00EC3129"/>
    <w:rsid w:val="00EC3705"/>
    <w:rsid w:val="00EC393A"/>
    <w:rsid w:val="00EC4B82"/>
    <w:rsid w:val="00EC4E4E"/>
    <w:rsid w:val="00EC62EF"/>
    <w:rsid w:val="00EC64CA"/>
    <w:rsid w:val="00EC7BA6"/>
    <w:rsid w:val="00ED1B96"/>
    <w:rsid w:val="00ED1E41"/>
    <w:rsid w:val="00ED2B95"/>
    <w:rsid w:val="00ED3533"/>
    <w:rsid w:val="00ED3F03"/>
    <w:rsid w:val="00ED55D2"/>
    <w:rsid w:val="00ED6BB9"/>
    <w:rsid w:val="00ED7B9A"/>
    <w:rsid w:val="00EE02CD"/>
    <w:rsid w:val="00EE19D4"/>
    <w:rsid w:val="00EE310C"/>
    <w:rsid w:val="00EE4122"/>
    <w:rsid w:val="00EE47A5"/>
    <w:rsid w:val="00EE4F1C"/>
    <w:rsid w:val="00EE66FD"/>
    <w:rsid w:val="00EE670B"/>
    <w:rsid w:val="00EE7B4F"/>
    <w:rsid w:val="00EE7C37"/>
    <w:rsid w:val="00EE7D31"/>
    <w:rsid w:val="00EE7D34"/>
    <w:rsid w:val="00EF0017"/>
    <w:rsid w:val="00EF17E2"/>
    <w:rsid w:val="00EF1C70"/>
    <w:rsid w:val="00EF4067"/>
    <w:rsid w:val="00EF5476"/>
    <w:rsid w:val="00EF5ED2"/>
    <w:rsid w:val="00EF5FA5"/>
    <w:rsid w:val="00EF6799"/>
    <w:rsid w:val="00EF769A"/>
    <w:rsid w:val="00F00D44"/>
    <w:rsid w:val="00F01315"/>
    <w:rsid w:val="00F02394"/>
    <w:rsid w:val="00F024EC"/>
    <w:rsid w:val="00F02BD1"/>
    <w:rsid w:val="00F035A5"/>
    <w:rsid w:val="00F035F4"/>
    <w:rsid w:val="00F04544"/>
    <w:rsid w:val="00F05375"/>
    <w:rsid w:val="00F05CBF"/>
    <w:rsid w:val="00F07292"/>
    <w:rsid w:val="00F111A4"/>
    <w:rsid w:val="00F11ED6"/>
    <w:rsid w:val="00F12BEA"/>
    <w:rsid w:val="00F12D81"/>
    <w:rsid w:val="00F15231"/>
    <w:rsid w:val="00F1562E"/>
    <w:rsid w:val="00F158A8"/>
    <w:rsid w:val="00F17C33"/>
    <w:rsid w:val="00F17CA5"/>
    <w:rsid w:val="00F2002B"/>
    <w:rsid w:val="00F20B80"/>
    <w:rsid w:val="00F20CEE"/>
    <w:rsid w:val="00F21173"/>
    <w:rsid w:val="00F24A8E"/>
    <w:rsid w:val="00F25D21"/>
    <w:rsid w:val="00F266F2"/>
    <w:rsid w:val="00F26BE1"/>
    <w:rsid w:val="00F26C0C"/>
    <w:rsid w:val="00F27B83"/>
    <w:rsid w:val="00F30195"/>
    <w:rsid w:val="00F30456"/>
    <w:rsid w:val="00F30AC9"/>
    <w:rsid w:val="00F31166"/>
    <w:rsid w:val="00F31358"/>
    <w:rsid w:val="00F31839"/>
    <w:rsid w:val="00F32871"/>
    <w:rsid w:val="00F33ECE"/>
    <w:rsid w:val="00F34003"/>
    <w:rsid w:val="00F3431C"/>
    <w:rsid w:val="00F34CBC"/>
    <w:rsid w:val="00F367C4"/>
    <w:rsid w:val="00F36AAA"/>
    <w:rsid w:val="00F36C4A"/>
    <w:rsid w:val="00F374DF"/>
    <w:rsid w:val="00F37B01"/>
    <w:rsid w:val="00F37FA4"/>
    <w:rsid w:val="00F40092"/>
    <w:rsid w:val="00F4056C"/>
    <w:rsid w:val="00F40694"/>
    <w:rsid w:val="00F41740"/>
    <w:rsid w:val="00F42798"/>
    <w:rsid w:val="00F448E9"/>
    <w:rsid w:val="00F450CC"/>
    <w:rsid w:val="00F451FD"/>
    <w:rsid w:val="00F4629E"/>
    <w:rsid w:val="00F467CA"/>
    <w:rsid w:val="00F46EFC"/>
    <w:rsid w:val="00F50470"/>
    <w:rsid w:val="00F51B2F"/>
    <w:rsid w:val="00F52266"/>
    <w:rsid w:val="00F52C02"/>
    <w:rsid w:val="00F531B5"/>
    <w:rsid w:val="00F536D0"/>
    <w:rsid w:val="00F5371D"/>
    <w:rsid w:val="00F54220"/>
    <w:rsid w:val="00F549AA"/>
    <w:rsid w:val="00F54C13"/>
    <w:rsid w:val="00F54D4B"/>
    <w:rsid w:val="00F55890"/>
    <w:rsid w:val="00F55DC3"/>
    <w:rsid w:val="00F55FFC"/>
    <w:rsid w:val="00F56656"/>
    <w:rsid w:val="00F56944"/>
    <w:rsid w:val="00F56B18"/>
    <w:rsid w:val="00F5766E"/>
    <w:rsid w:val="00F579B0"/>
    <w:rsid w:val="00F57CD8"/>
    <w:rsid w:val="00F600AF"/>
    <w:rsid w:val="00F6091B"/>
    <w:rsid w:val="00F616B9"/>
    <w:rsid w:val="00F61D35"/>
    <w:rsid w:val="00F62C8B"/>
    <w:rsid w:val="00F63BC8"/>
    <w:rsid w:val="00F63F23"/>
    <w:rsid w:val="00F64047"/>
    <w:rsid w:val="00F64CF2"/>
    <w:rsid w:val="00F65241"/>
    <w:rsid w:val="00F653A1"/>
    <w:rsid w:val="00F66650"/>
    <w:rsid w:val="00F66A03"/>
    <w:rsid w:val="00F66A0C"/>
    <w:rsid w:val="00F67004"/>
    <w:rsid w:val="00F67FAC"/>
    <w:rsid w:val="00F705EE"/>
    <w:rsid w:val="00F70B64"/>
    <w:rsid w:val="00F70E5C"/>
    <w:rsid w:val="00F71828"/>
    <w:rsid w:val="00F719C0"/>
    <w:rsid w:val="00F73CB9"/>
    <w:rsid w:val="00F73E64"/>
    <w:rsid w:val="00F741BF"/>
    <w:rsid w:val="00F74C33"/>
    <w:rsid w:val="00F759EB"/>
    <w:rsid w:val="00F75C42"/>
    <w:rsid w:val="00F76297"/>
    <w:rsid w:val="00F76543"/>
    <w:rsid w:val="00F76D83"/>
    <w:rsid w:val="00F76DF7"/>
    <w:rsid w:val="00F77569"/>
    <w:rsid w:val="00F82E17"/>
    <w:rsid w:val="00F835E9"/>
    <w:rsid w:val="00F83753"/>
    <w:rsid w:val="00F8403E"/>
    <w:rsid w:val="00F856BF"/>
    <w:rsid w:val="00F85DBC"/>
    <w:rsid w:val="00F867BE"/>
    <w:rsid w:val="00F87D56"/>
    <w:rsid w:val="00F9066F"/>
    <w:rsid w:val="00F9132D"/>
    <w:rsid w:val="00F91BC9"/>
    <w:rsid w:val="00F941E9"/>
    <w:rsid w:val="00F94BCF"/>
    <w:rsid w:val="00F955DB"/>
    <w:rsid w:val="00F961BF"/>
    <w:rsid w:val="00F968C9"/>
    <w:rsid w:val="00F9799A"/>
    <w:rsid w:val="00F97CBC"/>
    <w:rsid w:val="00F97F8E"/>
    <w:rsid w:val="00FA04E2"/>
    <w:rsid w:val="00FA0E20"/>
    <w:rsid w:val="00FA1288"/>
    <w:rsid w:val="00FA3B4F"/>
    <w:rsid w:val="00FA3E89"/>
    <w:rsid w:val="00FA3EE5"/>
    <w:rsid w:val="00FA4082"/>
    <w:rsid w:val="00FA4392"/>
    <w:rsid w:val="00FA4AA8"/>
    <w:rsid w:val="00FA5114"/>
    <w:rsid w:val="00FA59ED"/>
    <w:rsid w:val="00FA6825"/>
    <w:rsid w:val="00FA7088"/>
    <w:rsid w:val="00FB04E6"/>
    <w:rsid w:val="00FB0D05"/>
    <w:rsid w:val="00FB1D2F"/>
    <w:rsid w:val="00FB302A"/>
    <w:rsid w:val="00FB3FAE"/>
    <w:rsid w:val="00FB4187"/>
    <w:rsid w:val="00FB505A"/>
    <w:rsid w:val="00FB5DA9"/>
    <w:rsid w:val="00FB615B"/>
    <w:rsid w:val="00FB62DF"/>
    <w:rsid w:val="00FB6356"/>
    <w:rsid w:val="00FB6BAB"/>
    <w:rsid w:val="00FB7F61"/>
    <w:rsid w:val="00FC3053"/>
    <w:rsid w:val="00FC43E0"/>
    <w:rsid w:val="00FC4468"/>
    <w:rsid w:val="00FC4555"/>
    <w:rsid w:val="00FC4B1F"/>
    <w:rsid w:val="00FC4D40"/>
    <w:rsid w:val="00FC565C"/>
    <w:rsid w:val="00FC5FFF"/>
    <w:rsid w:val="00FC6251"/>
    <w:rsid w:val="00FC6782"/>
    <w:rsid w:val="00FC75C5"/>
    <w:rsid w:val="00FC7CAE"/>
    <w:rsid w:val="00FD01E7"/>
    <w:rsid w:val="00FD0C82"/>
    <w:rsid w:val="00FD0F3B"/>
    <w:rsid w:val="00FD1066"/>
    <w:rsid w:val="00FD191D"/>
    <w:rsid w:val="00FD20D0"/>
    <w:rsid w:val="00FD2943"/>
    <w:rsid w:val="00FD2ADA"/>
    <w:rsid w:val="00FD2B06"/>
    <w:rsid w:val="00FD2BF2"/>
    <w:rsid w:val="00FD660A"/>
    <w:rsid w:val="00FE094C"/>
    <w:rsid w:val="00FE0BCF"/>
    <w:rsid w:val="00FE1DDF"/>
    <w:rsid w:val="00FE306B"/>
    <w:rsid w:val="00FE3A7A"/>
    <w:rsid w:val="00FE4069"/>
    <w:rsid w:val="00FE41BD"/>
    <w:rsid w:val="00FE4511"/>
    <w:rsid w:val="00FE55DE"/>
    <w:rsid w:val="00FE6A38"/>
    <w:rsid w:val="00FE6E43"/>
    <w:rsid w:val="00FE7B32"/>
    <w:rsid w:val="00FF09A0"/>
    <w:rsid w:val="00FF243E"/>
    <w:rsid w:val="00FF2901"/>
    <w:rsid w:val="00FF2BA1"/>
    <w:rsid w:val="00FF3449"/>
    <w:rsid w:val="00FF4B1C"/>
    <w:rsid w:val="00FF4D9D"/>
    <w:rsid w:val="00FF6F4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3418"/>
  <w15:docId w15:val="{15F03E0B-C1A9-475A-B496-918A0C79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0B"/>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7CBD"/>
  </w:style>
  <w:style w:type="paragraph" w:styleId="Footer">
    <w:name w:val="footer"/>
    <w:basedOn w:val="Normal"/>
    <w:link w:val="Foot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E7CBD"/>
  </w:style>
  <w:style w:type="paragraph" w:customStyle="1" w:styleId="Sectionnumbering">
    <w:name w:val="Section numbering"/>
    <w:basedOn w:val="Normal"/>
    <w:uiPriority w:val="99"/>
    <w:qFormat/>
    <w:rsid w:val="00C2231B"/>
    <w:pPr>
      <w:numPr>
        <w:numId w:val="1"/>
      </w:numPr>
      <w:spacing w:before="180" w:after="180" w:line="360" w:lineRule="auto"/>
      <w:jc w:val="both"/>
    </w:pPr>
    <w:rPr>
      <w:rFonts w:ascii="Arial" w:eastAsia="Calibri" w:hAnsi="Arial"/>
      <w:sz w:val="24"/>
      <w:szCs w:val="22"/>
      <w:lang w:eastAsia="en-US"/>
    </w:rPr>
  </w:style>
  <w:style w:type="paragraph" w:styleId="ListParagraph">
    <w:name w:val="List Paragraph"/>
    <w:basedOn w:val="Normal"/>
    <w:uiPriority w:val="34"/>
    <w:qFormat/>
    <w:rsid w:val="000E274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400EF"/>
    <w:rPr>
      <w:rFonts w:ascii="Tahoma" w:hAnsi="Tahoma"/>
      <w:sz w:val="16"/>
      <w:szCs w:val="16"/>
      <w:lang w:val="en-AU"/>
    </w:rPr>
  </w:style>
  <w:style w:type="character" w:customStyle="1" w:styleId="BalloonTextChar">
    <w:name w:val="Balloon Text Char"/>
    <w:link w:val="BalloonText"/>
    <w:uiPriority w:val="99"/>
    <w:semiHidden/>
    <w:rsid w:val="00E400EF"/>
    <w:rPr>
      <w:rFonts w:ascii="Tahoma" w:eastAsia="Times New Roman" w:hAnsi="Tahoma" w:cs="Tahoma"/>
      <w:sz w:val="16"/>
      <w:szCs w:val="16"/>
      <w:lang w:val="en-AU" w:eastAsia="zh-CN"/>
    </w:rPr>
  </w:style>
  <w:style w:type="character" w:styleId="CommentReference">
    <w:name w:val="annotation reference"/>
    <w:uiPriority w:val="99"/>
    <w:semiHidden/>
    <w:unhideWhenUsed/>
    <w:rsid w:val="007A6134"/>
    <w:rPr>
      <w:sz w:val="16"/>
      <w:szCs w:val="16"/>
    </w:rPr>
  </w:style>
  <w:style w:type="paragraph" w:styleId="CommentText">
    <w:name w:val="annotation text"/>
    <w:basedOn w:val="Normal"/>
    <w:link w:val="CommentTextChar"/>
    <w:uiPriority w:val="99"/>
    <w:semiHidden/>
    <w:unhideWhenUsed/>
    <w:rsid w:val="007A6134"/>
  </w:style>
  <w:style w:type="character" w:customStyle="1" w:styleId="CommentTextChar">
    <w:name w:val="Comment Text Char"/>
    <w:link w:val="CommentText"/>
    <w:uiPriority w:val="99"/>
    <w:semiHidden/>
    <w:rsid w:val="007A6134"/>
    <w:rPr>
      <w:rFonts w:ascii="Times New Roman" w:eastAsia="Times New Roman" w:hAnsi="Times New Roman"/>
      <w:lang w:val="en-ZA" w:eastAsia="zh-CN"/>
    </w:rPr>
  </w:style>
  <w:style w:type="paragraph" w:styleId="CommentSubject">
    <w:name w:val="annotation subject"/>
    <w:basedOn w:val="CommentText"/>
    <w:next w:val="CommentText"/>
    <w:link w:val="CommentSubjectChar"/>
    <w:uiPriority w:val="99"/>
    <w:semiHidden/>
    <w:unhideWhenUsed/>
    <w:rsid w:val="007A6134"/>
    <w:rPr>
      <w:b/>
      <w:bCs/>
    </w:rPr>
  </w:style>
  <w:style w:type="character" w:customStyle="1" w:styleId="CommentSubjectChar">
    <w:name w:val="Comment Subject Char"/>
    <w:link w:val="CommentSubject"/>
    <w:uiPriority w:val="99"/>
    <w:semiHidden/>
    <w:rsid w:val="007A6134"/>
    <w:rPr>
      <w:rFonts w:ascii="Times New Roman" w:eastAsia="Times New Roman" w:hAnsi="Times New Roman"/>
      <w:b/>
      <w:bCs/>
      <w:lang w:val="en-ZA" w:eastAsia="zh-CN"/>
    </w:rPr>
  </w:style>
  <w:style w:type="paragraph" w:styleId="FootnoteText">
    <w:name w:val="footnote text"/>
    <w:basedOn w:val="Normal"/>
    <w:link w:val="FootnoteTextChar"/>
    <w:uiPriority w:val="99"/>
    <w:semiHidden/>
    <w:rsid w:val="003D168B"/>
    <w:rPr>
      <w:lang w:val="en-GB"/>
    </w:rPr>
  </w:style>
  <w:style w:type="character" w:customStyle="1" w:styleId="FootnoteTextChar">
    <w:name w:val="Footnote Text Char"/>
    <w:link w:val="FootnoteText"/>
    <w:uiPriority w:val="99"/>
    <w:semiHidden/>
    <w:rsid w:val="003D168B"/>
    <w:rPr>
      <w:rFonts w:ascii="Times New Roman" w:eastAsia="Times New Roman" w:hAnsi="Times New Roman"/>
      <w:lang w:val="en-GB"/>
    </w:rPr>
  </w:style>
  <w:style w:type="character" w:styleId="FootnoteReference">
    <w:name w:val="footnote reference"/>
    <w:uiPriority w:val="99"/>
    <w:semiHidden/>
    <w:rsid w:val="003D168B"/>
    <w:rPr>
      <w:vertAlign w:val="superscript"/>
    </w:rPr>
  </w:style>
  <w:style w:type="character" w:styleId="Hyperlink">
    <w:name w:val="Hyperlink"/>
    <w:uiPriority w:val="99"/>
    <w:unhideWhenUsed/>
    <w:rsid w:val="0067071B"/>
    <w:rPr>
      <w:color w:val="0563C1"/>
      <w:u w:val="single"/>
    </w:rPr>
  </w:style>
  <w:style w:type="paragraph" w:styleId="Revision">
    <w:name w:val="Revision"/>
    <w:hidden/>
    <w:uiPriority w:val="99"/>
    <w:semiHidden/>
    <w:rsid w:val="009231E2"/>
    <w:rPr>
      <w:rFonts w:ascii="Times New Roman" w:eastAsia="Times New Roman" w:hAnsi="Times New Roman"/>
      <w:lang w:eastAsia="zh-CN"/>
    </w:rPr>
  </w:style>
  <w:style w:type="paragraph" w:styleId="EndnoteText">
    <w:name w:val="endnote text"/>
    <w:basedOn w:val="Normal"/>
    <w:link w:val="EndnoteTextChar"/>
    <w:uiPriority w:val="99"/>
    <w:semiHidden/>
    <w:unhideWhenUsed/>
    <w:rsid w:val="00781705"/>
  </w:style>
  <w:style w:type="character" w:customStyle="1" w:styleId="EndnoteTextChar">
    <w:name w:val="Endnote Text Char"/>
    <w:basedOn w:val="DefaultParagraphFont"/>
    <w:link w:val="EndnoteText"/>
    <w:uiPriority w:val="99"/>
    <w:semiHidden/>
    <w:rsid w:val="00781705"/>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781705"/>
    <w:rPr>
      <w:vertAlign w:val="superscript"/>
    </w:rPr>
  </w:style>
  <w:style w:type="character" w:styleId="PlaceholderText">
    <w:name w:val="Placeholder Text"/>
    <w:basedOn w:val="DefaultParagraphFont"/>
    <w:uiPriority w:val="99"/>
    <w:semiHidden/>
    <w:rsid w:val="00CA5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7417">
      <w:bodyDiv w:val="1"/>
      <w:marLeft w:val="0"/>
      <w:marRight w:val="0"/>
      <w:marTop w:val="0"/>
      <w:marBottom w:val="0"/>
      <w:divBdr>
        <w:top w:val="none" w:sz="0" w:space="0" w:color="auto"/>
        <w:left w:val="none" w:sz="0" w:space="0" w:color="auto"/>
        <w:bottom w:val="none" w:sz="0" w:space="0" w:color="auto"/>
        <w:right w:val="none" w:sz="0" w:space="0" w:color="auto"/>
      </w:divBdr>
    </w:div>
    <w:div w:id="151146197">
      <w:bodyDiv w:val="1"/>
      <w:marLeft w:val="360"/>
      <w:marRight w:val="360"/>
      <w:marTop w:val="0"/>
      <w:marBottom w:val="0"/>
      <w:divBdr>
        <w:top w:val="none" w:sz="0" w:space="0" w:color="auto"/>
        <w:left w:val="none" w:sz="0" w:space="0" w:color="auto"/>
        <w:bottom w:val="none" w:sz="0" w:space="0" w:color="auto"/>
        <w:right w:val="none" w:sz="0" w:space="0" w:color="auto"/>
      </w:divBdr>
      <w:divsChild>
        <w:div w:id="333610817">
          <w:marLeft w:val="0"/>
          <w:marRight w:val="0"/>
          <w:marTop w:val="0"/>
          <w:marBottom w:val="0"/>
          <w:divBdr>
            <w:top w:val="none" w:sz="0" w:space="0" w:color="auto"/>
            <w:left w:val="none" w:sz="0" w:space="0" w:color="auto"/>
            <w:bottom w:val="none" w:sz="0" w:space="0" w:color="auto"/>
            <w:right w:val="none" w:sz="0" w:space="0" w:color="auto"/>
          </w:divBdr>
        </w:div>
        <w:div w:id="776217022">
          <w:marLeft w:val="0"/>
          <w:marRight w:val="0"/>
          <w:marTop w:val="0"/>
          <w:marBottom w:val="0"/>
          <w:divBdr>
            <w:top w:val="none" w:sz="0" w:space="0" w:color="auto"/>
            <w:left w:val="none" w:sz="0" w:space="0" w:color="auto"/>
            <w:bottom w:val="none" w:sz="0" w:space="0" w:color="auto"/>
            <w:right w:val="none" w:sz="0" w:space="0" w:color="auto"/>
          </w:divBdr>
        </w:div>
      </w:divsChild>
    </w:div>
    <w:div w:id="167717034">
      <w:bodyDiv w:val="1"/>
      <w:marLeft w:val="0"/>
      <w:marRight w:val="0"/>
      <w:marTop w:val="0"/>
      <w:marBottom w:val="0"/>
      <w:divBdr>
        <w:top w:val="none" w:sz="0" w:space="0" w:color="auto"/>
        <w:left w:val="none" w:sz="0" w:space="0" w:color="auto"/>
        <w:bottom w:val="none" w:sz="0" w:space="0" w:color="auto"/>
        <w:right w:val="none" w:sz="0" w:space="0" w:color="auto"/>
      </w:divBdr>
    </w:div>
    <w:div w:id="276525445">
      <w:bodyDiv w:val="1"/>
      <w:marLeft w:val="0"/>
      <w:marRight w:val="0"/>
      <w:marTop w:val="0"/>
      <w:marBottom w:val="0"/>
      <w:divBdr>
        <w:top w:val="none" w:sz="0" w:space="0" w:color="auto"/>
        <w:left w:val="none" w:sz="0" w:space="0" w:color="auto"/>
        <w:bottom w:val="none" w:sz="0" w:space="0" w:color="auto"/>
        <w:right w:val="none" w:sz="0" w:space="0" w:color="auto"/>
      </w:divBdr>
    </w:div>
    <w:div w:id="303047366">
      <w:bodyDiv w:val="1"/>
      <w:marLeft w:val="0"/>
      <w:marRight w:val="0"/>
      <w:marTop w:val="0"/>
      <w:marBottom w:val="0"/>
      <w:divBdr>
        <w:top w:val="none" w:sz="0" w:space="0" w:color="auto"/>
        <w:left w:val="none" w:sz="0" w:space="0" w:color="auto"/>
        <w:bottom w:val="none" w:sz="0" w:space="0" w:color="auto"/>
        <w:right w:val="none" w:sz="0" w:space="0" w:color="auto"/>
      </w:divBdr>
    </w:div>
    <w:div w:id="312099404">
      <w:bodyDiv w:val="1"/>
      <w:marLeft w:val="0"/>
      <w:marRight w:val="0"/>
      <w:marTop w:val="0"/>
      <w:marBottom w:val="0"/>
      <w:divBdr>
        <w:top w:val="none" w:sz="0" w:space="0" w:color="auto"/>
        <w:left w:val="none" w:sz="0" w:space="0" w:color="auto"/>
        <w:bottom w:val="none" w:sz="0" w:space="0" w:color="auto"/>
        <w:right w:val="none" w:sz="0" w:space="0" w:color="auto"/>
      </w:divBdr>
    </w:div>
    <w:div w:id="334920218">
      <w:bodyDiv w:val="1"/>
      <w:marLeft w:val="0"/>
      <w:marRight w:val="0"/>
      <w:marTop w:val="0"/>
      <w:marBottom w:val="0"/>
      <w:divBdr>
        <w:top w:val="none" w:sz="0" w:space="0" w:color="auto"/>
        <w:left w:val="none" w:sz="0" w:space="0" w:color="auto"/>
        <w:bottom w:val="none" w:sz="0" w:space="0" w:color="auto"/>
        <w:right w:val="none" w:sz="0" w:space="0" w:color="auto"/>
      </w:divBdr>
    </w:div>
    <w:div w:id="341081376">
      <w:bodyDiv w:val="1"/>
      <w:marLeft w:val="0"/>
      <w:marRight w:val="0"/>
      <w:marTop w:val="0"/>
      <w:marBottom w:val="0"/>
      <w:divBdr>
        <w:top w:val="none" w:sz="0" w:space="0" w:color="auto"/>
        <w:left w:val="none" w:sz="0" w:space="0" w:color="auto"/>
        <w:bottom w:val="none" w:sz="0" w:space="0" w:color="auto"/>
        <w:right w:val="none" w:sz="0" w:space="0" w:color="auto"/>
      </w:divBdr>
    </w:div>
    <w:div w:id="373048023">
      <w:bodyDiv w:val="1"/>
      <w:marLeft w:val="0"/>
      <w:marRight w:val="0"/>
      <w:marTop w:val="0"/>
      <w:marBottom w:val="0"/>
      <w:divBdr>
        <w:top w:val="none" w:sz="0" w:space="0" w:color="auto"/>
        <w:left w:val="none" w:sz="0" w:space="0" w:color="auto"/>
        <w:bottom w:val="none" w:sz="0" w:space="0" w:color="auto"/>
        <w:right w:val="none" w:sz="0" w:space="0" w:color="auto"/>
      </w:divBdr>
    </w:div>
    <w:div w:id="394008032">
      <w:bodyDiv w:val="1"/>
      <w:marLeft w:val="0"/>
      <w:marRight w:val="0"/>
      <w:marTop w:val="0"/>
      <w:marBottom w:val="0"/>
      <w:divBdr>
        <w:top w:val="none" w:sz="0" w:space="0" w:color="auto"/>
        <w:left w:val="none" w:sz="0" w:space="0" w:color="auto"/>
        <w:bottom w:val="none" w:sz="0" w:space="0" w:color="auto"/>
        <w:right w:val="none" w:sz="0" w:space="0" w:color="auto"/>
      </w:divBdr>
    </w:div>
    <w:div w:id="398019475">
      <w:bodyDiv w:val="1"/>
      <w:marLeft w:val="0"/>
      <w:marRight w:val="0"/>
      <w:marTop w:val="0"/>
      <w:marBottom w:val="0"/>
      <w:divBdr>
        <w:top w:val="none" w:sz="0" w:space="0" w:color="auto"/>
        <w:left w:val="none" w:sz="0" w:space="0" w:color="auto"/>
        <w:bottom w:val="none" w:sz="0" w:space="0" w:color="auto"/>
        <w:right w:val="none" w:sz="0" w:space="0" w:color="auto"/>
      </w:divBdr>
    </w:div>
    <w:div w:id="452986032">
      <w:bodyDiv w:val="1"/>
      <w:marLeft w:val="0"/>
      <w:marRight w:val="0"/>
      <w:marTop w:val="0"/>
      <w:marBottom w:val="0"/>
      <w:divBdr>
        <w:top w:val="none" w:sz="0" w:space="0" w:color="auto"/>
        <w:left w:val="none" w:sz="0" w:space="0" w:color="auto"/>
        <w:bottom w:val="none" w:sz="0" w:space="0" w:color="auto"/>
        <w:right w:val="none" w:sz="0" w:space="0" w:color="auto"/>
      </w:divBdr>
    </w:div>
    <w:div w:id="478958315">
      <w:bodyDiv w:val="1"/>
      <w:marLeft w:val="0"/>
      <w:marRight w:val="0"/>
      <w:marTop w:val="0"/>
      <w:marBottom w:val="0"/>
      <w:divBdr>
        <w:top w:val="none" w:sz="0" w:space="0" w:color="auto"/>
        <w:left w:val="none" w:sz="0" w:space="0" w:color="auto"/>
        <w:bottom w:val="none" w:sz="0" w:space="0" w:color="auto"/>
        <w:right w:val="none" w:sz="0" w:space="0" w:color="auto"/>
      </w:divBdr>
    </w:div>
    <w:div w:id="485779587">
      <w:bodyDiv w:val="1"/>
      <w:marLeft w:val="0"/>
      <w:marRight w:val="0"/>
      <w:marTop w:val="0"/>
      <w:marBottom w:val="0"/>
      <w:divBdr>
        <w:top w:val="none" w:sz="0" w:space="0" w:color="auto"/>
        <w:left w:val="none" w:sz="0" w:space="0" w:color="auto"/>
        <w:bottom w:val="none" w:sz="0" w:space="0" w:color="auto"/>
        <w:right w:val="none" w:sz="0" w:space="0" w:color="auto"/>
      </w:divBdr>
    </w:div>
    <w:div w:id="551692181">
      <w:bodyDiv w:val="1"/>
      <w:marLeft w:val="0"/>
      <w:marRight w:val="0"/>
      <w:marTop w:val="0"/>
      <w:marBottom w:val="0"/>
      <w:divBdr>
        <w:top w:val="none" w:sz="0" w:space="0" w:color="auto"/>
        <w:left w:val="none" w:sz="0" w:space="0" w:color="auto"/>
        <w:bottom w:val="none" w:sz="0" w:space="0" w:color="auto"/>
        <w:right w:val="none" w:sz="0" w:space="0" w:color="auto"/>
      </w:divBdr>
    </w:div>
    <w:div w:id="613562461">
      <w:bodyDiv w:val="1"/>
      <w:marLeft w:val="0"/>
      <w:marRight w:val="0"/>
      <w:marTop w:val="0"/>
      <w:marBottom w:val="0"/>
      <w:divBdr>
        <w:top w:val="none" w:sz="0" w:space="0" w:color="auto"/>
        <w:left w:val="none" w:sz="0" w:space="0" w:color="auto"/>
        <w:bottom w:val="none" w:sz="0" w:space="0" w:color="auto"/>
        <w:right w:val="none" w:sz="0" w:space="0" w:color="auto"/>
      </w:divBdr>
    </w:div>
    <w:div w:id="716323867">
      <w:bodyDiv w:val="1"/>
      <w:marLeft w:val="0"/>
      <w:marRight w:val="0"/>
      <w:marTop w:val="0"/>
      <w:marBottom w:val="0"/>
      <w:divBdr>
        <w:top w:val="none" w:sz="0" w:space="0" w:color="auto"/>
        <w:left w:val="none" w:sz="0" w:space="0" w:color="auto"/>
        <w:bottom w:val="none" w:sz="0" w:space="0" w:color="auto"/>
        <w:right w:val="none" w:sz="0" w:space="0" w:color="auto"/>
      </w:divBdr>
    </w:div>
    <w:div w:id="750783855">
      <w:bodyDiv w:val="1"/>
      <w:marLeft w:val="0"/>
      <w:marRight w:val="0"/>
      <w:marTop w:val="0"/>
      <w:marBottom w:val="0"/>
      <w:divBdr>
        <w:top w:val="none" w:sz="0" w:space="0" w:color="auto"/>
        <w:left w:val="none" w:sz="0" w:space="0" w:color="auto"/>
        <w:bottom w:val="none" w:sz="0" w:space="0" w:color="auto"/>
        <w:right w:val="none" w:sz="0" w:space="0" w:color="auto"/>
      </w:divBdr>
    </w:div>
    <w:div w:id="786238760">
      <w:bodyDiv w:val="1"/>
      <w:marLeft w:val="0"/>
      <w:marRight w:val="0"/>
      <w:marTop w:val="0"/>
      <w:marBottom w:val="0"/>
      <w:divBdr>
        <w:top w:val="none" w:sz="0" w:space="0" w:color="auto"/>
        <w:left w:val="none" w:sz="0" w:space="0" w:color="auto"/>
        <w:bottom w:val="none" w:sz="0" w:space="0" w:color="auto"/>
        <w:right w:val="none" w:sz="0" w:space="0" w:color="auto"/>
      </w:divBdr>
    </w:div>
    <w:div w:id="807162773">
      <w:bodyDiv w:val="1"/>
      <w:marLeft w:val="0"/>
      <w:marRight w:val="0"/>
      <w:marTop w:val="0"/>
      <w:marBottom w:val="0"/>
      <w:divBdr>
        <w:top w:val="none" w:sz="0" w:space="0" w:color="auto"/>
        <w:left w:val="none" w:sz="0" w:space="0" w:color="auto"/>
        <w:bottom w:val="none" w:sz="0" w:space="0" w:color="auto"/>
        <w:right w:val="none" w:sz="0" w:space="0" w:color="auto"/>
      </w:divBdr>
    </w:div>
    <w:div w:id="837231182">
      <w:bodyDiv w:val="1"/>
      <w:marLeft w:val="0"/>
      <w:marRight w:val="0"/>
      <w:marTop w:val="0"/>
      <w:marBottom w:val="0"/>
      <w:divBdr>
        <w:top w:val="none" w:sz="0" w:space="0" w:color="auto"/>
        <w:left w:val="none" w:sz="0" w:space="0" w:color="auto"/>
        <w:bottom w:val="none" w:sz="0" w:space="0" w:color="auto"/>
        <w:right w:val="none" w:sz="0" w:space="0" w:color="auto"/>
      </w:divBdr>
    </w:div>
    <w:div w:id="885793557">
      <w:bodyDiv w:val="1"/>
      <w:marLeft w:val="0"/>
      <w:marRight w:val="0"/>
      <w:marTop w:val="0"/>
      <w:marBottom w:val="0"/>
      <w:divBdr>
        <w:top w:val="none" w:sz="0" w:space="0" w:color="auto"/>
        <w:left w:val="none" w:sz="0" w:space="0" w:color="auto"/>
        <w:bottom w:val="none" w:sz="0" w:space="0" w:color="auto"/>
        <w:right w:val="none" w:sz="0" w:space="0" w:color="auto"/>
      </w:divBdr>
    </w:div>
    <w:div w:id="913667378">
      <w:bodyDiv w:val="1"/>
      <w:marLeft w:val="0"/>
      <w:marRight w:val="0"/>
      <w:marTop w:val="0"/>
      <w:marBottom w:val="0"/>
      <w:divBdr>
        <w:top w:val="none" w:sz="0" w:space="0" w:color="auto"/>
        <w:left w:val="none" w:sz="0" w:space="0" w:color="auto"/>
        <w:bottom w:val="none" w:sz="0" w:space="0" w:color="auto"/>
        <w:right w:val="none" w:sz="0" w:space="0" w:color="auto"/>
      </w:divBdr>
    </w:div>
    <w:div w:id="999239087">
      <w:bodyDiv w:val="1"/>
      <w:marLeft w:val="0"/>
      <w:marRight w:val="0"/>
      <w:marTop w:val="0"/>
      <w:marBottom w:val="0"/>
      <w:divBdr>
        <w:top w:val="none" w:sz="0" w:space="0" w:color="auto"/>
        <w:left w:val="none" w:sz="0" w:space="0" w:color="auto"/>
        <w:bottom w:val="none" w:sz="0" w:space="0" w:color="auto"/>
        <w:right w:val="none" w:sz="0" w:space="0" w:color="auto"/>
      </w:divBdr>
    </w:div>
    <w:div w:id="1001200426">
      <w:bodyDiv w:val="1"/>
      <w:marLeft w:val="0"/>
      <w:marRight w:val="0"/>
      <w:marTop w:val="0"/>
      <w:marBottom w:val="0"/>
      <w:divBdr>
        <w:top w:val="none" w:sz="0" w:space="0" w:color="auto"/>
        <w:left w:val="none" w:sz="0" w:space="0" w:color="auto"/>
        <w:bottom w:val="none" w:sz="0" w:space="0" w:color="auto"/>
        <w:right w:val="none" w:sz="0" w:space="0" w:color="auto"/>
      </w:divBdr>
    </w:div>
    <w:div w:id="1009866539">
      <w:bodyDiv w:val="1"/>
      <w:marLeft w:val="0"/>
      <w:marRight w:val="0"/>
      <w:marTop w:val="0"/>
      <w:marBottom w:val="0"/>
      <w:divBdr>
        <w:top w:val="none" w:sz="0" w:space="0" w:color="auto"/>
        <w:left w:val="none" w:sz="0" w:space="0" w:color="auto"/>
        <w:bottom w:val="none" w:sz="0" w:space="0" w:color="auto"/>
        <w:right w:val="none" w:sz="0" w:space="0" w:color="auto"/>
      </w:divBdr>
    </w:div>
    <w:div w:id="1011029496">
      <w:bodyDiv w:val="1"/>
      <w:marLeft w:val="360"/>
      <w:marRight w:val="360"/>
      <w:marTop w:val="0"/>
      <w:marBottom w:val="0"/>
      <w:divBdr>
        <w:top w:val="none" w:sz="0" w:space="0" w:color="auto"/>
        <w:left w:val="none" w:sz="0" w:space="0" w:color="auto"/>
        <w:bottom w:val="none" w:sz="0" w:space="0" w:color="auto"/>
        <w:right w:val="none" w:sz="0" w:space="0" w:color="auto"/>
      </w:divBdr>
      <w:divsChild>
        <w:div w:id="404960648">
          <w:marLeft w:val="0"/>
          <w:marRight w:val="0"/>
          <w:marTop w:val="0"/>
          <w:marBottom w:val="0"/>
          <w:divBdr>
            <w:top w:val="none" w:sz="0" w:space="0" w:color="auto"/>
            <w:left w:val="none" w:sz="0" w:space="0" w:color="auto"/>
            <w:bottom w:val="none" w:sz="0" w:space="0" w:color="auto"/>
            <w:right w:val="none" w:sz="0" w:space="0" w:color="auto"/>
          </w:divBdr>
        </w:div>
        <w:div w:id="1334869235">
          <w:marLeft w:val="0"/>
          <w:marRight w:val="0"/>
          <w:marTop w:val="0"/>
          <w:marBottom w:val="0"/>
          <w:divBdr>
            <w:top w:val="none" w:sz="0" w:space="0" w:color="auto"/>
            <w:left w:val="none" w:sz="0" w:space="0" w:color="auto"/>
            <w:bottom w:val="none" w:sz="0" w:space="0" w:color="auto"/>
            <w:right w:val="none" w:sz="0" w:space="0" w:color="auto"/>
          </w:divBdr>
        </w:div>
      </w:divsChild>
    </w:div>
    <w:div w:id="1026905311">
      <w:bodyDiv w:val="1"/>
      <w:marLeft w:val="0"/>
      <w:marRight w:val="0"/>
      <w:marTop w:val="0"/>
      <w:marBottom w:val="0"/>
      <w:divBdr>
        <w:top w:val="none" w:sz="0" w:space="0" w:color="auto"/>
        <w:left w:val="none" w:sz="0" w:space="0" w:color="auto"/>
        <w:bottom w:val="none" w:sz="0" w:space="0" w:color="auto"/>
        <w:right w:val="none" w:sz="0" w:space="0" w:color="auto"/>
      </w:divBdr>
    </w:div>
    <w:div w:id="1060715221">
      <w:bodyDiv w:val="1"/>
      <w:marLeft w:val="0"/>
      <w:marRight w:val="0"/>
      <w:marTop w:val="0"/>
      <w:marBottom w:val="0"/>
      <w:divBdr>
        <w:top w:val="none" w:sz="0" w:space="0" w:color="auto"/>
        <w:left w:val="none" w:sz="0" w:space="0" w:color="auto"/>
        <w:bottom w:val="none" w:sz="0" w:space="0" w:color="auto"/>
        <w:right w:val="none" w:sz="0" w:space="0" w:color="auto"/>
      </w:divBdr>
    </w:div>
    <w:div w:id="1071611282">
      <w:bodyDiv w:val="1"/>
      <w:marLeft w:val="0"/>
      <w:marRight w:val="0"/>
      <w:marTop w:val="0"/>
      <w:marBottom w:val="0"/>
      <w:divBdr>
        <w:top w:val="none" w:sz="0" w:space="0" w:color="auto"/>
        <w:left w:val="none" w:sz="0" w:space="0" w:color="auto"/>
        <w:bottom w:val="none" w:sz="0" w:space="0" w:color="auto"/>
        <w:right w:val="none" w:sz="0" w:space="0" w:color="auto"/>
      </w:divBdr>
    </w:div>
    <w:div w:id="1218131330">
      <w:bodyDiv w:val="1"/>
      <w:marLeft w:val="0"/>
      <w:marRight w:val="0"/>
      <w:marTop w:val="0"/>
      <w:marBottom w:val="0"/>
      <w:divBdr>
        <w:top w:val="none" w:sz="0" w:space="0" w:color="auto"/>
        <w:left w:val="none" w:sz="0" w:space="0" w:color="auto"/>
        <w:bottom w:val="none" w:sz="0" w:space="0" w:color="auto"/>
        <w:right w:val="none" w:sz="0" w:space="0" w:color="auto"/>
      </w:divBdr>
    </w:div>
    <w:div w:id="1230966700">
      <w:bodyDiv w:val="1"/>
      <w:marLeft w:val="0"/>
      <w:marRight w:val="0"/>
      <w:marTop w:val="0"/>
      <w:marBottom w:val="0"/>
      <w:divBdr>
        <w:top w:val="none" w:sz="0" w:space="0" w:color="auto"/>
        <w:left w:val="none" w:sz="0" w:space="0" w:color="auto"/>
        <w:bottom w:val="none" w:sz="0" w:space="0" w:color="auto"/>
        <w:right w:val="none" w:sz="0" w:space="0" w:color="auto"/>
      </w:divBdr>
    </w:div>
    <w:div w:id="1238057300">
      <w:bodyDiv w:val="1"/>
      <w:marLeft w:val="0"/>
      <w:marRight w:val="0"/>
      <w:marTop w:val="0"/>
      <w:marBottom w:val="0"/>
      <w:divBdr>
        <w:top w:val="none" w:sz="0" w:space="0" w:color="auto"/>
        <w:left w:val="none" w:sz="0" w:space="0" w:color="auto"/>
        <w:bottom w:val="none" w:sz="0" w:space="0" w:color="auto"/>
        <w:right w:val="none" w:sz="0" w:space="0" w:color="auto"/>
      </w:divBdr>
    </w:div>
    <w:div w:id="1250388136">
      <w:bodyDiv w:val="1"/>
      <w:marLeft w:val="0"/>
      <w:marRight w:val="0"/>
      <w:marTop w:val="0"/>
      <w:marBottom w:val="0"/>
      <w:divBdr>
        <w:top w:val="none" w:sz="0" w:space="0" w:color="auto"/>
        <w:left w:val="none" w:sz="0" w:space="0" w:color="auto"/>
        <w:bottom w:val="none" w:sz="0" w:space="0" w:color="auto"/>
        <w:right w:val="none" w:sz="0" w:space="0" w:color="auto"/>
      </w:divBdr>
    </w:div>
    <w:div w:id="1306350094">
      <w:bodyDiv w:val="1"/>
      <w:marLeft w:val="0"/>
      <w:marRight w:val="0"/>
      <w:marTop w:val="0"/>
      <w:marBottom w:val="0"/>
      <w:divBdr>
        <w:top w:val="none" w:sz="0" w:space="0" w:color="auto"/>
        <w:left w:val="none" w:sz="0" w:space="0" w:color="auto"/>
        <w:bottom w:val="none" w:sz="0" w:space="0" w:color="auto"/>
        <w:right w:val="none" w:sz="0" w:space="0" w:color="auto"/>
      </w:divBdr>
    </w:div>
    <w:div w:id="1324165733">
      <w:bodyDiv w:val="1"/>
      <w:marLeft w:val="0"/>
      <w:marRight w:val="0"/>
      <w:marTop w:val="0"/>
      <w:marBottom w:val="0"/>
      <w:divBdr>
        <w:top w:val="none" w:sz="0" w:space="0" w:color="auto"/>
        <w:left w:val="none" w:sz="0" w:space="0" w:color="auto"/>
        <w:bottom w:val="none" w:sz="0" w:space="0" w:color="auto"/>
        <w:right w:val="none" w:sz="0" w:space="0" w:color="auto"/>
      </w:divBdr>
    </w:div>
    <w:div w:id="1362894816">
      <w:bodyDiv w:val="1"/>
      <w:marLeft w:val="0"/>
      <w:marRight w:val="0"/>
      <w:marTop w:val="0"/>
      <w:marBottom w:val="0"/>
      <w:divBdr>
        <w:top w:val="none" w:sz="0" w:space="0" w:color="auto"/>
        <w:left w:val="none" w:sz="0" w:space="0" w:color="auto"/>
        <w:bottom w:val="none" w:sz="0" w:space="0" w:color="auto"/>
        <w:right w:val="none" w:sz="0" w:space="0" w:color="auto"/>
      </w:divBdr>
    </w:div>
    <w:div w:id="1413818637">
      <w:bodyDiv w:val="1"/>
      <w:marLeft w:val="0"/>
      <w:marRight w:val="0"/>
      <w:marTop w:val="0"/>
      <w:marBottom w:val="0"/>
      <w:divBdr>
        <w:top w:val="none" w:sz="0" w:space="0" w:color="auto"/>
        <w:left w:val="none" w:sz="0" w:space="0" w:color="auto"/>
        <w:bottom w:val="none" w:sz="0" w:space="0" w:color="auto"/>
        <w:right w:val="none" w:sz="0" w:space="0" w:color="auto"/>
      </w:divBdr>
    </w:div>
    <w:div w:id="1433890145">
      <w:bodyDiv w:val="1"/>
      <w:marLeft w:val="0"/>
      <w:marRight w:val="0"/>
      <w:marTop w:val="0"/>
      <w:marBottom w:val="0"/>
      <w:divBdr>
        <w:top w:val="none" w:sz="0" w:space="0" w:color="auto"/>
        <w:left w:val="none" w:sz="0" w:space="0" w:color="auto"/>
        <w:bottom w:val="none" w:sz="0" w:space="0" w:color="auto"/>
        <w:right w:val="none" w:sz="0" w:space="0" w:color="auto"/>
      </w:divBdr>
    </w:div>
    <w:div w:id="1628510795">
      <w:bodyDiv w:val="1"/>
      <w:marLeft w:val="0"/>
      <w:marRight w:val="0"/>
      <w:marTop w:val="0"/>
      <w:marBottom w:val="0"/>
      <w:divBdr>
        <w:top w:val="none" w:sz="0" w:space="0" w:color="auto"/>
        <w:left w:val="none" w:sz="0" w:space="0" w:color="auto"/>
        <w:bottom w:val="none" w:sz="0" w:space="0" w:color="auto"/>
        <w:right w:val="none" w:sz="0" w:space="0" w:color="auto"/>
      </w:divBdr>
    </w:div>
    <w:div w:id="1643194771">
      <w:bodyDiv w:val="1"/>
      <w:marLeft w:val="360"/>
      <w:marRight w:val="360"/>
      <w:marTop w:val="0"/>
      <w:marBottom w:val="0"/>
      <w:divBdr>
        <w:top w:val="none" w:sz="0" w:space="0" w:color="auto"/>
        <w:left w:val="none" w:sz="0" w:space="0" w:color="auto"/>
        <w:bottom w:val="none" w:sz="0" w:space="0" w:color="auto"/>
        <w:right w:val="none" w:sz="0" w:space="0" w:color="auto"/>
      </w:divBdr>
      <w:divsChild>
        <w:div w:id="667444407">
          <w:marLeft w:val="0"/>
          <w:marRight w:val="0"/>
          <w:marTop w:val="0"/>
          <w:marBottom w:val="0"/>
          <w:divBdr>
            <w:top w:val="none" w:sz="0" w:space="0" w:color="auto"/>
            <w:left w:val="none" w:sz="0" w:space="0" w:color="auto"/>
            <w:bottom w:val="none" w:sz="0" w:space="0" w:color="auto"/>
            <w:right w:val="none" w:sz="0" w:space="0" w:color="auto"/>
          </w:divBdr>
        </w:div>
        <w:div w:id="1447240519">
          <w:marLeft w:val="0"/>
          <w:marRight w:val="0"/>
          <w:marTop w:val="0"/>
          <w:marBottom w:val="0"/>
          <w:divBdr>
            <w:top w:val="none" w:sz="0" w:space="0" w:color="auto"/>
            <w:left w:val="none" w:sz="0" w:space="0" w:color="auto"/>
            <w:bottom w:val="none" w:sz="0" w:space="0" w:color="auto"/>
            <w:right w:val="none" w:sz="0" w:space="0" w:color="auto"/>
          </w:divBdr>
        </w:div>
      </w:divsChild>
    </w:div>
    <w:div w:id="1646158830">
      <w:bodyDiv w:val="1"/>
      <w:marLeft w:val="0"/>
      <w:marRight w:val="0"/>
      <w:marTop w:val="0"/>
      <w:marBottom w:val="0"/>
      <w:divBdr>
        <w:top w:val="none" w:sz="0" w:space="0" w:color="auto"/>
        <w:left w:val="none" w:sz="0" w:space="0" w:color="auto"/>
        <w:bottom w:val="none" w:sz="0" w:space="0" w:color="auto"/>
        <w:right w:val="none" w:sz="0" w:space="0" w:color="auto"/>
      </w:divBdr>
    </w:div>
    <w:div w:id="1727876779">
      <w:bodyDiv w:val="1"/>
      <w:marLeft w:val="360"/>
      <w:marRight w:val="360"/>
      <w:marTop w:val="0"/>
      <w:marBottom w:val="0"/>
      <w:divBdr>
        <w:top w:val="none" w:sz="0" w:space="0" w:color="auto"/>
        <w:left w:val="none" w:sz="0" w:space="0" w:color="auto"/>
        <w:bottom w:val="none" w:sz="0" w:space="0" w:color="auto"/>
        <w:right w:val="none" w:sz="0" w:space="0" w:color="auto"/>
      </w:divBdr>
      <w:divsChild>
        <w:div w:id="342519124">
          <w:marLeft w:val="0"/>
          <w:marRight w:val="0"/>
          <w:marTop w:val="0"/>
          <w:marBottom w:val="0"/>
          <w:divBdr>
            <w:top w:val="none" w:sz="0" w:space="0" w:color="auto"/>
            <w:left w:val="none" w:sz="0" w:space="0" w:color="auto"/>
            <w:bottom w:val="none" w:sz="0" w:space="0" w:color="auto"/>
            <w:right w:val="none" w:sz="0" w:space="0" w:color="auto"/>
          </w:divBdr>
        </w:div>
        <w:div w:id="784495848">
          <w:marLeft w:val="0"/>
          <w:marRight w:val="0"/>
          <w:marTop w:val="0"/>
          <w:marBottom w:val="0"/>
          <w:divBdr>
            <w:top w:val="none" w:sz="0" w:space="0" w:color="auto"/>
            <w:left w:val="none" w:sz="0" w:space="0" w:color="auto"/>
            <w:bottom w:val="none" w:sz="0" w:space="0" w:color="auto"/>
            <w:right w:val="none" w:sz="0" w:space="0" w:color="auto"/>
          </w:divBdr>
        </w:div>
      </w:divsChild>
    </w:div>
    <w:div w:id="1830827880">
      <w:bodyDiv w:val="1"/>
      <w:marLeft w:val="0"/>
      <w:marRight w:val="0"/>
      <w:marTop w:val="0"/>
      <w:marBottom w:val="0"/>
      <w:divBdr>
        <w:top w:val="none" w:sz="0" w:space="0" w:color="auto"/>
        <w:left w:val="none" w:sz="0" w:space="0" w:color="auto"/>
        <w:bottom w:val="none" w:sz="0" w:space="0" w:color="auto"/>
        <w:right w:val="none" w:sz="0" w:space="0" w:color="auto"/>
      </w:divBdr>
    </w:div>
    <w:div w:id="1841383508">
      <w:bodyDiv w:val="1"/>
      <w:marLeft w:val="0"/>
      <w:marRight w:val="0"/>
      <w:marTop w:val="0"/>
      <w:marBottom w:val="0"/>
      <w:divBdr>
        <w:top w:val="none" w:sz="0" w:space="0" w:color="auto"/>
        <w:left w:val="none" w:sz="0" w:space="0" w:color="auto"/>
        <w:bottom w:val="none" w:sz="0" w:space="0" w:color="auto"/>
        <w:right w:val="none" w:sz="0" w:space="0" w:color="auto"/>
      </w:divBdr>
    </w:div>
    <w:div w:id="1872457148">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91783573">
      <w:bodyDiv w:val="1"/>
      <w:marLeft w:val="0"/>
      <w:marRight w:val="0"/>
      <w:marTop w:val="0"/>
      <w:marBottom w:val="0"/>
      <w:divBdr>
        <w:top w:val="none" w:sz="0" w:space="0" w:color="auto"/>
        <w:left w:val="none" w:sz="0" w:space="0" w:color="auto"/>
        <w:bottom w:val="none" w:sz="0" w:space="0" w:color="auto"/>
        <w:right w:val="none" w:sz="0" w:space="0" w:color="auto"/>
      </w:divBdr>
    </w:div>
    <w:div w:id="2010213427">
      <w:bodyDiv w:val="1"/>
      <w:marLeft w:val="0"/>
      <w:marRight w:val="0"/>
      <w:marTop w:val="0"/>
      <w:marBottom w:val="0"/>
      <w:divBdr>
        <w:top w:val="none" w:sz="0" w:space="0" w:color="auto"/>
        <w:left w:val="none" w:sz="0" w:space="0" w:color="auto"/>
        <w:bottom w:val="none" w:sz="0" w:space="0" w:color="auto"/>
        <w:right w:val="none" w:sz="0" w:space="0" w:color="auto"/>
      </w:divBdr>
    </w:div>
    <w:div w:id="2048602820">
      <w:bodyDiv w:val="1"/>
      <w:marLeft w:val="0"/>
      <w:marRight w:val="0"/>
      <w:marTop w:val="0"/>
      <w:marBottom w:val="0"/>
      <w:divBdr>
        <w:top w:val="none" w:sz="0" w:space="0" w:color="auto"/>
        <w:left w:val="none" w:sz="0" w:space="0" w:color="auto"/>
        <w:bottom w:val="none" w:sz="0" w:space="0" w:color="auto"/>
        <w:right w:val="none" w:sz="0" w:space="0" w:color="auto"/>
      </w:divBdr>
    </w:div>
    <w:div w:id="2117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2BB3-6F90-4D8F-9BF9-9174365E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5232</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Blanchard Jacqueline</dc:creator>
  <cp:lastModifiedBy>Mokone</cp:lastModifiedBy>
  <cp:revision>2</cp:revision>
  <cp:lastPrinted>2023-05-26T09:32:00Z</cp:lastPrinted>
  <dcterms:created xsi:type="dcterms:W3CDTF">2023-05-29T10:58:00Z</dcterms:created>
  <dcterms:modified xsi:type="dcterms:W3CDTF">2023-05-29T10:58:00Z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e0376e9ba3f62b3e1daf21fe8cf241d20932c541da71b2916d80f74de24800ec</vt:lpwstr>
  </property>
</Properties>
</file>