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14" w:rsidRPr="00857C0F" w:rsidRDefault="005013A1" w:rsidP="00D90114">
      <w:pPr>
        <w:jc w:val="center"/>
        <w:rPr>
          <w:b/>
          <w:bCs/>
          <w:noProof/>
        </w:rPr>
      </w:pPr>
      <w:r>
        <w:rPr>
          <w:noProof/>
          <w:lang w:val="en-US"/>
        </w:rPr>
        <w:drawing>
          <wp:anchor distT="0" distB="0" distL="114300" distR="114300" simplePos="0" relativeHeight="251659264" behindDoc="1" locked="0" layoutInCell="1" allowOverlap="1" wp14:anchorId="63AF4CE2" wp14:editId="5725573D">
            <wp:simplePos x="0" y="0"/>
            <wp:positionH relativeFrom="column">
              <wp:posOffset>2188845</wp:posOffset>
            </wp:positionH>
            <wp:positionV relativeFrom="paragraph">
              <wp:posOffset>-2540</wp:posOffset>
            </wp:positionV>
            <wp:extent cx="1247775" cy="1247775"/>
            <wp:effectExtent l="0" t="0" r="9525" b="9525"/>
            <wp:wrapNone/>
            <wp:docPr id="2" name="Picture 2"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3A1" w:rsidRDefault="005013A1" w:rsidP="00D90114">
      <w:pPr>
        <w:jc w:val="center"/>
        <w:rPr>
          <w:b/>
          <w:bCs/>
        </w:rPr>
      </w:pPr>
    </w:p>
    <w:p w:rsidR="005013A1" w:rsidRDefault="005013A1" w:rsidP="00D90114">
      <w:pPr>
        <w:jc w:val="center"/>
        <w:rPr>
          <w:b/>
          <w:bCs/>
        </w:rPr>
      </w:pPr>
    </w:p>
    <w:p w:rsidR="005013A1" w:rsidRDefault="005013A1" w:rsidP="00D90114">
      <w:pPr>
        <w:jc w:val="center"/>
        <w:rPr>
          <w:b/>
          <w:bCs/>
        </w:rPr>
      </w:pPr>
    </w:p>
    <w:p w:rsidR="00D90114" w:rsidRPr="00857C0F" w:rsidRDefault="005013A1" w:rsidP="005013A1">
      <w:pPr>
        <w:rPr>
          <w:b/>
          <w:bCs/>
        </w:rPr>
      </w:pPr>
      <w:r>
        <w:rPr>
          <w:b/>
          <w:bCs/>
        </w:rPr>
        <w:t xml:space="preserve">                                               </w:t>
      </w:r>
      <w:r w:rsidR="00D90114" w:rsidRPr="00857C0F">
        <w:rPr>
          <w:b/>
          <w:bCs/>
        </w:rPr>
        <w:t>Republic of South Africa</w:t>
      </w:r>
    </w:p>
    <w:p w:rsidR="00D90114" w:rsidRDefault="00D90114" w:rsidP="006B3F86">
      <w:pPr>
        <w:jc w:val="center"/>
        <w:rPr>
          <w:lang w:val="en-GB"/>
        </w:rPr>
      </w:pPr>
      <w:r w:rsidRPr="00857C0F">
        <w:rPr>
          <w:b/>
          <w:bCs/>
          <w:lang w:val="en-GB"/>
        </w:rPr>
        <w:t xml:space="preserve">IN THE </w:t>
      </w:r>
      <w:r w:rsidR="00085BCB">
        <w:rPr>
          <w:b/>
          <w:bCs/>
          <w:lang w:val="en-GB"/>
        </w:rPr>
        <w:t>TAX COURT</w:t>
      </w:r>
      <w:r w:rsidRPr="00857C0F">
        <w:rPr>
          <w:b/>
          <w:bCs/>
          <w:lang w:val="en-GB"/>
        </w:rPr>
        <w:t xml:space="preserve"> OF SOUTH AFRICA</w:t>
      </w:r>
    </w:p>
    <w:p w:rsidR="006B3F86" w:rsidRDefault="006B3F86" w:rsidP="006B3F86">
      <w:pPr>
        <w:jc w:val="center"/>
        <w:rPr>
          <w:b/>
          <w:lang w:val="en-GB"/>
        </w:rPr>
      </w:pPr>
      <w:r>
        <w:rPr>
          <w:b/>
          <w:lang w:val="en-GB"/>
        </w:rPr>
        <w:t>(</w:t>
      </w:r>
      <w:r w:rsidR="00085BCB">
        <w:rPr>
          <w:b/>
          <w:lang w:val="en-GB"/>
        </w:rPr>
        <w:t xml:space="preserve">HELD AT </w:t>
      </w:r>
      <w:r w:rsidR="00FD58EF">
        <w:rPr>
          <w:b/>
          <w:lang w:val="en-GB"/>
        </w:rPr>
        <w:t xml:space="preserve">THE WESTERN CAPE DIVISION: </w:t>
      </w:r>
      <w:r>
        <w:rPr>
          <w:b/>
          <w:lang w:val="en-GB"/>
        </w:rPr>
        <w:t xml:space="preserve">CAPE TOWN) </w:t>
      </w:r>
    </w:p>
    <w:p w:rsidR="00335F82" w:rsidRPr="006B3F86" w:rsidRDefault="00335F82" w:rsidP="006B3F86">
      <w:pPr>
        <w:jc w:val="center"/>
        <w:rPr>
          <w:b/>
          <w:lang w:val="en-GB"/>
        </w:rPr>
      </w:pPr>
    </w:p>
    <w:p w:rsidR="00543387" w:rsidRPr="00E475C8" w:rsidRDefault="00543387" w:rsidP="00543387">
      <w:pPr>
        <w:ind w:right="-46"/>
        <w:jc w:val="right"/>
        <w:rPr>
          <w:rFonts w:eastAsia="Times New Roman"/>
          <w:b/>
          <w:bCs/>
          <w:kern w:val="28"/>
          <w:lang w:eastAsia="en-ZA"/>
        </w:rPr>
      </w:pPr>
      <w:r w:rsidRPr="00E475C8">
        <w:rPr>
          <w:rFonts w:eastAsia="Times New Roman"/>
          <w:b/>
          <w:bCs/>
          <w:kern w:val="28"/>
          <w:lang w:eastAsia="en-ZA"/>
        </w:rPr>
        <w:t xml:space="preserve">Case No: </w:t>
      </w:r>
      <w:r w:rsidR="00F102AE">
        <w:rPr>
          <w:rFonts w:eastAsia="Times New Roman"/>
          <w:b/>
          <w:bCs/>
          <w:kern w:val="28"/>
          <w:lang w:eastAsia="en-ZA"/>
        </w:rPr>
        <w:t>IT</w:t>
      </w:r>
      <w:r w:rsidR="005A0C1F">
        <w:rPr>
          <w:rFonts w:eastAsia="Times New Roman"/>
          <w:b/>
          <w:bCs/>
          <w:kern w:val="28"/>
          <w:lang w:eastAsia="en-ZA"/>
        </w:rPr>
        <w:t xml:space="preserve"> </w:t>
      </w:r>
      <w:r w:rsidR="00994526">
        <w:rPr>
          <w:rFonts w:eastAsia="Times New Roman"/>
          <w:b/>
          <w:bCs/>
          <w:kern w:val="28"/>
          <w:lang w:eastAsia="en-ZA"/>
        </w:rPr>
        <w:t>24502</w:t>
      </w:r>
    </w:p>
    <w:p w:rsidR="00335F82" w:rsidRDefault="00335F82" w:rsidP="00543387">
      <w:pPr>
        <w:widowControl w:val="0"/>
        <w:overflowPunct w:val="0"/>
        <w:adjustRightInd w:val="0"/>
        <w:spacing w:line="360" w:lineRule="auto"/>
        <w:ind w:right="-46"/>
        <w:rPr>
          <w:rFonts w:eastAsia="Times New Roman"/>
          <w:b/>
          <w:lang w:val="en-US"/>
        </w:rPr>
      </w:pPr>
    </w:p>
    <w:p w:rsidR="00994526" w:rsidRDefault="00994526" w:rsidP="00994526">
      <w:pPr>
        <w:tabs>
          <w:tab w:val="right" w:pos="10421"/>
        </w:tabs>
        <w:spacing w:line="360" w:lineRule="auto"/>
        <w:jc w:val="both"/>
      </w:pPr>
      <w:r>
        <w:rPr>
          <w:b/>
        </w:rPr>
        <w:t>U TAXPAYER</w:t>
      </w:r>
      <w:r w:rsidRPr="003B461A">
        <w:rPr>
          <w:b/>
        </w:rPr>
        <w:tab/>
        <w:t xml:space="preserve">      </w:t>
      </w:r>
      <w:r>
        <w:rPr>
          <w:b/>
        </w:rPr>
        <w:t xml:space="preserve">            </w:t>
      </w:r>
      <w:r>
        <w:t xml:space="preserve">Applicant    </w:t>
      </w:r>
    </w:p>
    <w:p w:rsidR="00543387" w:rsidRPr="00E475C8" w:rsidRDefault="00543387" w:rsidP="00543387">
      <w:pPr>
        <w:widowControl w:val="0"/>
        <w:overflowPunct w:val="0"/>
        <w:adjustRightInd w:val="0"/>
        <w:spacing w:line="360" w:lineRule="auto"/>
        <w:ind w:right="-46"/>
        <w:rPr>
          <w:rFonts w:eastAsia="Times New Roman"/>
          <w:b/>
          <w:bCs/>
          <w:kern w:val="28"/>
          <w:lang w:eastAsia="en-ZA"/>
        </w:rPr>
      </w:pPr>
      <w:r w:rsidRPr="00E475C8">
        <w:rPr>
          <w:rFonts w:eastAsia="Times New Roman"/>
          <w:b/>
          <w:lang w:val="en-US"/>
        </w:rPr>
        <w:t xml:space="preserve">          </w:t>
      </w:r>
      <w:r w:rsidRPr="00E475C8">
        <w:rPr>
          <w:rFonts w:ascii="Tahoma" w:eastAsia="Times New Roman" w:hAnsi="Tahoma" w:cs="Tahoma"/>
          <w:lang w:val="en-US"/>
        </w:rPr>
        <w:t xml:space="preserve">                                                                      </w:t>
      </w:r>
    </w:p>
    <w:p w:rsidR="00543387" w:rsidRPr="00E475C8" w:rsidRDefault="00543387" w:rsidP="00543387">
      <w:pPr>
        <w:widowControl w:val="0"/>
        <w:overflowPunct w:val="0"/>
        <w:adjustRightInd w:val="0"/>
        <w:spacing w:line="360" w:lineRule="auto"/>
        <w:ind w:right="-46"/>
        <w:rPr>
          <w:rFonts w:eastAsia="Times New Roman"/>
          <w:bCs/>
          <w:kern w:val="28"/>
          <w:lang w:eastAsia="en-ZA"/>
        </w:rPr>
      </w:pPr>
      <w:r w:rsidRPr="00E475C8">
        <w:rPr>
          <w:rFonts w:eastAsia="Times New Roman"/>
          <w:bCs/>
          <w:kern w:val="28"/>
          <w:lang w:eastAsia="en-ZA"/>
        </w:rPr>
        <w:t>and</w:t>
      </w:r>
    </w:p>
    <w:p w:rsidR="00543387" w:rsidRPr="00E475C8" w:rsidRDefault="00543387" w:rsidP="00543387">
      <w:pPr>
        <w:widowControl w:val="0"/>
        <w:overflowPunct w:val="0"/>
        <w:adjustRightInd w:val="0"/>
        <w:spacing w:line="360" w:lineRule="auto"/>
        <w:ind w:right="-46"/>
        <w:rPr>
          <w:rFonts w:eastAsia="Times New Roman"/>
          <w:b/>
          <w:bCs/>
          <w:kern w:val="28"/>
          <w:lang w:eastAsia="en-ZA"/>
        </w:rPr>
      </w:pPr>
    </w:p>
    <w:p w:rsidR="00994526" w:rsidRDefault="00994526" w:rsidP="00994526">
      <w:pPr>
        <w:widowControl w:val="0"/>
        <w:overflowPunct w:val="0"/>
        <w:adjustRightInd w:val="0"/>
        <w:ind w:right="-46"/>
        <w:rPr>
          <w:rFonts w:eastAsia="Times New Roman"/>
          <w:b/>
          <w:bCs/>
          <w:kern w:val="28"/>
          <w:lang w:eastAsia="en-ZA"/>
        </w:rPr>
      </w:pPr>
      <w:r>
        <w:rPr>
          <w:rFonts w:eastAsia="Times New Roman"/>
          <w:b/>
          <w:bCs/>
          <w:kern w:val="28"/>
          <w:lang w:eastAsia="en-ZA"/>
        </w:rPr>
        <w:t xml:space="preserve">THE COMMISSIONER FOR THE SOUTH AFRICAN </w:t>
      </w:r>
    </w:p>
    <w:p w:rsidR="00543387" w:rsidRPr="00E475C8" w:rsidRDefault="00994526" w:rsidP="00994526">
      <w:pPr>
        <w:widowControl w:val="0"/>
        <w:overflowPunct w:val="0"/>
        <w:adjustRightInd w:val="0"/>
        <w:spacing w:line="360" w:lineRule="auto"/>
        <w:ind w:right="-46"/>
        <w:rPr>
          <w:rFonts w:eastAsia="Times New Roman"/>
          <w:b/>
          <w:bCs/>
          <w:kern w:val="28"/>
          <w:lang w:eastAsia="en-ZA"/>
        </w:rPr>
      </w:pPr>
      <w:r>
        <w:rPr>
          <w:rFonts w:eastAsia="Times New Roman"/>
          <w:b/>
          <w:bCs/>
          <w:kern w:val="28"/>
          <w:lang w:eastAsia="en-ZA"/>
        </w:rPr>
        <w:t>REVENUE SERVICE</w:t>
      </w:r>
      <w:r>
        <w:rPr>
          <w:rFonts w:eastAsia="Times New Roman"/>
          <w:b/>
          <w:lang w:val="en-US"/>
        </w:rPr>
        <w:tab/>
      </w:r>
      <w:r>
        <w:rPr>
          <w:rFonts w:eastAsia="Times New Roman"/>
          <w:b/>
          <w:lang w:val="en-US"/>
        </w:rPr>
        <w:tab/>
        <w:t xml:space="preserve">                                                                 </w:t>
      </w:r>
      <w:r w:rsidR="00543387" w:rsidRPr="00E475C8">
        <w:rPr>
          <w:rFonts w:eastAsia="Times New Roman"/>
          <w:bCs/>
          <w:kern w:val="28"/>
          <w:lang w:eastAsia="en-ZA"/>
        </w:rPr>
        <w:t>Respondent</w:t>
      </w:r>
    </w:p>
    <w:p w:rsidR="00F6494C" w:rsidRPr="00147DBF" w:rsidRDefault="00543387" w:rsidP="00147DBF">
      <w:pPr>
        <w:rPr>
          <w:rFonts w:eastAsia="Times New Roman"/>
          <w:b/>
          <w:bCs/>
          <w:kern w:val="28"/>
          <w:lang w:eastAsia="en-ZA"/>
        </w:rPr>
      </w:pPr>
      <w:r w:rsidRPr="00E475C8">
        <w:rPr>
          <w:rFonts w:eastAsia="Times New Roman"/>
          <w:b/>
        </w:rPr>
        <w:t xml:space="preserve">                                                         </w:t>
      </w:r>
      <w:r w:rsidR="00F6494C" w:rsidRPr="00F6494C">
        <w:t xml:space="preserve">    </w:t>
      </w:r>
      <w:r w:rsidR="00F6494C">
        <w:t xml:space="preserve">                </w:t>
      </w:r>
    </w:p>
    <w:p w:rsidR="00D90114" w:rsidRDefault="00CF7C69" w:rsidP="00FD1D4F">
      <w:pPr>
        <w:ind w:right="-46"/>
      </w:pPr>
      <w:r w:rsidRPr="008A05F0">
        <w:rPr>
          <w:u w:val="single"/>
        </w:rPr>
        <w:t>Court</w:t>
      </w:r>
      <w:r w:rsidR="00D90114">
        <w:t>:</w:t>
      </w:r>
      <w:r w:rsidR="00292AB9">
        <w:t xml:space="preserve"> </w:t>
      </w:r>
      <w:r w:rsidR="000307A7">
        <w:t>Justice</w:t>
      </w:r>
      <w:r w:rsidR="00292AB9">
        <w:t xml:space="preserve"> J I Cloete</w:t>
      </w:r>
    </w:p>
    <w:p w:rsidR="00F6494C" w:rsidRPr="00F6494C" w:rsidRDefault="00F6494C" w:rsidP="00FD1D4F">
      <w:pPr>
        <w:ind w:right="-46"/>
      </w:pPr>
      <w:r>
        <w:rPr>
          <w:u w:val="single"/>
        </w:rPr>
        <w:t>Heard</w:t>
      </w:r>
      <w:r>
        <w:t>:</w:t>
      </w:r>
      <w:r w:rsidR="00602460">
        <w:t xml:space="preserve"> </w:t>
      </w:r>
      <w:r w:rsidR="004A4664">
        <w:t>11 May 2023</w:t>
      </w:r>
    </w:p>
    <w:p w:rsidR="00D90114" w:rsidRPr="00857C0F" w:rsidRDefault="00CF7C69" w:rsidP="00FD1D4F">
      <w:pPr>
        <w:ind w:right="-46"/>
      </w:pPr>
      <w:r w:rsidRPr="008A05F0">
        <w:rPr>
          <w:u w:val="single"/>
        </w:rPr>
        <w:t>Delivered</w:t>
      </w:r>
      <w:r w:rsidR="00D724F0">
        <w:rPr>
          <w:u w:val="single"/>
        </w:rPr>
        <w:t xml:space="preserve"> electronically</w:t>
      </w:r>
      <w:r w:rsidR="00D90114">
        <w:t>:</w:t>
      </w:r>
      <w:r w:rsidR="00292AB9">
        <w:t xml:space="preserve"> </w:t>
      </w:r>
      <w:r w:rsidR="00114F26">
        <w:t>2 June 2023</w:t>
      </w:r>
    </w:p>
    <w:p w:rsidR="007F48DB" w:rsidRPr="00DE421A" w:rsidRDefault="007F48DB" w:rsidP="007F48DB">
      <w:pPr>
        <w:pBdr>
          <w:bottom w:val="single" w:sz="4" w:space="1" w:color="auto"/>
        </w:pBdr>
        <w:tabs>
          <w:tab w:val="right" w:pos="8505"/>
        </w:tabs>
        <w:spacing w:line="240" w:lineRule="auto"/>
        <w:jc w:val="both"/>
      </w:pPr>
    </w:p>
    <w:p w:rsidR="007F48DB" w:rsidRDefault="007F48DB" w:rsidP="00DD1061">
      <w:pPr>
        <w:pStyle w:val="Heading2"/>
        <w:tabs>
          <w:tab w:val="left" w:pos="3686"/>
        </w:tabs>
        <w:spacing w:line="360" w:lineRule="auto"/>
        <w:rPr>
          <w:rFonts w:cs="Arial"/>
          <w:szCs w:val="24"/>
        </w:rPr>
      </w:pPr>
    </w:p>
    <w:p w:rsidR="007F48DB" w:rsidRPr="00DE421A" w:rsidRDefault="00DD1061" w:rsidP="007F48DB">
      <w:pPr>
        <w:pStyle w:val="Heading2"/>
        <w:tabs>
          <w:tab w:val="left" w:pos="3686"/>
        </w:tabs>
        <w:spacing w:line="360" w:lineRule="auto"/>
        <w:rPr>
          <w:rFonts w:cs="Arial"/>
          <w:szCs w:val="24"/>
        </w:rPr>
      </w:pPr>
      <w:r>
        <w:rPr>
          <w:rFonts w:cs="Arial"/>
          <w:szCs w:val="24"/>
        </w:rPr>
        <w:t xml:space="preserve">JUDGMENT </w:t>
      </w:r>
    </w:p>
    <w:p w:rsidR="007F48DB" w:rsidRPr="00DE421A" w:rsidRDefault="007F48DB" w:rsidP="00DD1061">
      <w:pPr>
        <w:pBdr>
          <w:bottom w:val="single" w:sz="4" w:space="1" w:color="auto"/>
        </w:pBdr>
        <w:tabs>
          <w:tab w:val="right" w:pos="8505"/>
        </w:tabs>
        <w:spacing w:line="240" w:lineRule="auto"/>
        <w:jc w:val="both"/>
      </w:pPr>
    </w:p>
    <w:p w:rsidR="008D3505" w:rsidRDefault="008D3505" w:rsidP="008D3505">
      <w:pPr>
        <w:spacing w:line="240" w:lineRule="auto"/>
        <w:jc w:val="both"/>
        <w:rPr>
          <w:b/>
          <w:bCs/>
          <w:caps/>
          <w:u w:val="single"/>
        </w:rPr>
      </w:pPr>
    </w:p>
    <w:p w:rsidR="00496CAE" w:rsidRDefault="00D90114" w:rsidP="00A115DB">
      <w:pPr>
        <w:spacing w:line="360" w:lineRule="auto"/>
        <w:jc w:val="both"/>
        <w:rPr>
          <w:b/>
          <w:bCs/>
          <w:caps/>
          <w:u w:val="single"/>
        </w:rPr>
      </w:pPr>
      <w:r w:rsidRPr="00D90114">
        <w:rPr>
          <w:b/>
          <w:bCs/>
          <w:caps/>
          <w:u w:val="single"/>
        </w:rPr>
        <w:t xml:space="preserve">CLOETE J:  </w:t>
      </w:r>
    </w:p>
    <w:p w:rsidR="008D3505" w:rsidRDefault="008D3505" w:rsidP="00751507">
      <w:pPr>
        <w:spacing w:line="240" w:lineRule="auto"/>
        <w:jc w:val="both"/>
        <w:rPr>
          <w:b/>
          <w:u w:val="single"/>
        </w:rPr>
      </w:pPr>
    </w:p>
    <w:p w:rsidR="008E754B" w:rsidRPr="004A4664" w:rsidRDefault="00B53A5A" w:rsidP="00B53A5A">
      <w:pPr>
        <w:ind w:left="720" w:hanging="720"/>
        <w:jc w:val="both"/>
        <w:rPr>
          <w:i/>
        </w:rPr>
      </w:pPr>
      <w:r w:rsidRPr="004A4664">
        <w:t>[1]</w:t>
      </w:r>
      <w:r w:rsidRPr="004A4664">
        <w:tab/>
      </w:r>
      <w:r w:rsidR="00CF0FE4">
        <w:t xml:space="preserve">This </w:t>
      </w:r>
      <w:r w:rsidR="00477E62">
        <w:t xml:space="preserve">is an opposed </w:t>
      </w:r>
      <w:r w:rsidR="004A4664">
        <w:t>interlocutory application in terms of rule 51(2) of the tax court rules</w:t>
      </w:r>
      <w:r w:rsidR="004A4664">
        <w:rPr>
          <w:rStyle w:val="FootnoteReference"/>
        </w:rPr>
        <w:footnoteReference w:id="1"/>
      </w:r>
      <w:r w:rsidR="004A4664">
        <w:t xml:space="preserve"> for </w:t>
      </w:r>
      <w:r w:rsidR="004A4664">
        <w:rPr>
          <w:i/>
        </w:rPr>
        <w:t>‘a legality review in limine as part of’</w:t>
      </w:r>
      <w:r w:rsidR="004A4664">
        <w:t xml:space="preserve"> the appellant’s pending tax appeal. </w:t>
      </w:r>
      <w:r w:rsidR="004A4664">
        <w:lastRenderedPageBreak/>
        <w:t xml:space="preserve">In this judgment </w:t>
      </w:r>
      <w:r w:rsidR="00E74366">
        <w:t xml:space="preserve">unless otherwise indicated </w:t>
      </w:r>
      <w:r w:rsidR="004A4664">
        <w:t xml:space="preserve">reference to a “rule” is to a tax court rule. </w:t>
      </w:r>
    </w:p>
    <w:p w:rsidR="004A4664" w:rsidRPr="004A4664" w:rsidRDefault="004A4664" w:rsidP="004A4664">
      <w:pPr>
        <w:ind w:left="720"/>
        <w:jc w:val="both"/>
      </w:pPr>
    </w:p>
    <w:p w:rsidR="004A4664" w:rsidRPr="004A4664" w:rsidRDefault="00B53A5A" w:rsidP="00B53A5A">
      <w:pPr>
        <w:ind w:left="720" w:hanging="720"/>
        <w:jc w:val="both"/>
        <w:rPr>
          <w:i/>
        </w:rPr>
      </w:pPr>
      <w:r w:rsidRPr="004A4664">
        <w:t>[2</w:t>
      </w:r>
      <w:bookmarkStart w:id="0" w:name="_GoBack"/>
      <w:bookmarkEnd w:id="0"/>
      <w:r w:rsidRPr="004A4664">
        <w:t>]</w:t>
      </w:r>
      <w:r w:rsidRPr="004A4664">
        <w:tab/>
      </w:r>
      <w:r w:rsidR="004A4664">
        <w:t xml:space="preserve">The </w:t>
      </w:r>
      <w:r w:rsidR="004A4664">
        <w:rPr>
          <w:i/>
        </w:rPr>
        <w:t>‘principal purpose’</w:t>
      </w:r>
      <w:r w:rsidR="004A4664">
        <w:t xml:space="preserve"> of the application is to seek the separate, advance determination of three </w:t>
      </w:r>
      <w:r w:rsidR="00584263">
        <w:t>“</w:t>
      </w:r>
      <w:r w:rsidR="004A4664">
        <w:t>legal issues</w:t>
      </w:r>
      <w:r w:rsidR="001A63FB">
        <w:t>”</w:t>
      </w:r>
      <w:r w:rsidR="00BF27BF">
        <w:t xml:space="preserve">. If the court grants the principal relief, </w:t>
      </w:r>
      <w:r w:rsidR="004A4664">
        <w:t xml:space="preserve">the </w:t>
      </w:r>
      <w:r w:rsidR="004A4664">
        <w:rPr>
          <w:i/>
        </w:rPr>
        <w:t>‘secondary purpose’</w:t>
      </w:r>
      <w:r w:rsidR="004A4664">
        <w:t xml:space="preserve"> is </w:t>
      </w:r>
      <w:r w:rsidR="00BF27BF">
        <w:t xml:space="preserve">twofold and </w:t>
      </w:r>
      <w:r w:rsidR="007F4F7C">
        <w:rPr>
          <w:i/>
        </w:rPr>
        <w:t>‘</w:t>
      </w:r>
      <w:r w:rsidR="00BF27BF" w:rsidRPr="007F4F7C">
        <w:rPr>
          <w:i/>
        </w:rPr>
        <w:t>to the extent</w:t>
      </w:r>
      <w:r w:rsidR="00BF27BF">
        <w:t xml:space="preserve"> </w:t>
      </w:r>
      <w:r w:rsidR="00BF27BF">
        <w:rPr>
          <w:i/>
        </w:rPr>
        <w:t>necessary’</w:t>
      </w:r>
      <w:r w:rsidR="00BF27BF">
        <w:t>: (a) </w:t>
      </w:r>
      <w:r w:rsidR="004A4664">
        <w:t>for leave to amend the applicant’s rule 32 statement “consequentially”</w:t>
      </w:r>
      <w:r w:rsidR="00BF27BF">
        <w:t xml:space="preserve">; and (b) permitting the applicant to raise a </w:t>
      </w:r>
      <w:r w:rsidR="00BF27BF">
        <w:rPr>
          <w:i/>
        </w:rPr>
        <w:t xml:space="preserve">‘collateral, defensive or </w:t>
      </w:r>
      <w:r w:rsidR="00BF27BF" w:rsidRPr="00BF27BF">
        <w:rPr>
          <w:i/>
        </w:rPr>
        <w:t>reactive’</w:t>
      </w:r>
      <w:r w:rsidR="00BF27BF">
        <w:t xml:space="preserve"> challenge to the lawfulness of the additional assessments referred to below. A</w:t>
      </w:r>
      <w:r w:rsidR="004A4664" w:rsidRPr="00BF27BF">
        <w:t>ccording</w:t>
      </w:r>
      <w:r w:rsidR="004A4664">
        <w:t xml:space="preserve"> to the applicant the three legal issues are potentially dispositive of the pending appeal, and if any one of them is determined in his favour there will be no need for the appeal to proceed for the hearing of evidence. </w:t>
      </w:r>
    </w:p>
    <w:p w:rsidR="004A4664" w:rsidRDefault="004A4664" w:rsidP="004A4664">
      <w:pPr>
        <w:pStyle w:val="ListParagraph"/>
        <w:rPr>
          <w:i/>
        </w:rPr>
      </w:pPr>
    </w:p>
    <w:p w:rsidR="004A4664" w:rsidRPr="004A4664" w:rsidRDefault="00B53A5A" w:rsidP="00B53A5A">
      <w:pPr>
        <w:ind w:left="720" w:hanging="720"/>
        <w:jc w:val="both"/>
        <w:rPr>
          <w:i/>
        </w:rPr>
      </w:pPr>
      <w:r w:rsidRPr="004A4664">
        <w:t>[3]</w:t>
      </w:r>
      <w:r w:rsidRPr="004A4664">
        <w:tab/>
      </w:r>
      <w:r w:rsidR="004A4664">
        <w:t>The dispute between the parties has its origin in a tax-driven scheme to create a pool of reserves giving rise to STC</w:t>
      </w:r>
      <w:r w:rsidR="004A4664">
        <w:rPr>
          <w:rStyle w:val="FootnoteReference"/>
        </w:rPr>
        <w:footnoteReference w:id="2"/>
      </w:r>
      <w:r w:rsidR="004A4664">
        <w:t xml:space="preserve"> “credits” that could offset the anticipated STC liabilities arising on future dividend declarations by third party South African companies that </w:t>
      </w:r>
      <w:r w:rsidR="00BF27BF">
        <w:t>ac</w:t>
      </w:r>
      <w:r w:rsidR="004A4664">
        <w:t>quired them. According to the respondent (“SARS”) this occurred in order to convert taxable income of those South African companies into tax-exempt dividend income.</w:t>
      </w:r>
    </w:p>
    <w:p w:rsidR="004A4664" w:rsidRDefault="004A4664" w:rsidP="004A4664">
      <w:pPr>
        <w:pStyle w:val="ListParagraph"/>
        <w:rPr>
          <w:i/>
        </w:rPr>
      </w:pPr>
    </w:p>
    <w:p w:rsidR="004A4664" w:rsidRPr="00BD1BA5" w:rsidRDefault="00B53A5A" w:rsidP="00B53A5A">
      <w:pPr>
        <w:ind w:left="720" w:hanging="720"/>
        <w:jc w:val="both"/>
        <w:rPr>
          <w:i/>
        </w:rPr>
      </w:pPr>
      <w:r w:rsidRPr="00BD1BA5">
        <w:t>[4]</w:t>
      </w:r>
      <w:r w:rsidRPr="00BD1BA5">
        <w:tab/>
      </w:r>
      <w:r w:rsidR="004A4664">
        <w:t xml:space="preserve">In the appeal SARS contends that the applicant and another individual, P, were the promotors of the scheme </w:t>
      </w:r>
      <w:r w:rsidR="00BD1BA5">
        <w:t xml:space="preserve">through amongst others two South African </w:t>
      </w:r>
      <w:r w:rsidR="002D1B9A">
        <w:t xml:space="preserve">private </w:t>
      </w:r>
      <w:r w:rsidR="00BD1BA5">
        <w:t xml:space="preserve">companies, </w:t>
      </w:r>
      <w:r w:rsidR="002D1B9A">
        <w:t>T</w:t>
      </w:r>
      <w:r w:rsidR="00BD1BA5">
        <w:t xml:space="preserve"> and – in the case of P – J. SARS asserts that the applicant and P </w:t>
      </w:r>
      <w:r w:rsidR="00BD1BA5">
        <w:lastRenderedPageBreak/>
        <w:t xml:space="preserve">directly and indirectly earned substantial fees for their efforts. In the case of the applicant this amounted to just over R44 million (P has since fallen out of the picture after arriving at a settlement with </w:t>
      </w:r>
      <w:r w:rsidR="00BF27BF">
        <w:t>SARS)</w:t>
      </w:r>
      <w:r w:rsidR="00BD1BA5">
        <w:t>.</w:t>
      </w:r>
    </w:p>
    <w:p w:rsidR="00BD1BA5" w:rsidRDefault="00BD1BA5" w:rsidP="00BD1BA5">
      <w:pPr>
        <w:pStyle w:val="ListParagraph"/>
        <w:rPr>
          <w:i/>
        </w:rPr>
      </w:pPr>
    </w:p>
    <w:p w:rsidR="00BD1BA5" w:rsidRPr="0040280A" w:rsidRDefault="00B53A5A" w:rsidP="00B53A5A">
      <w:pPr>
        <w:ind w:left="720" w:hanging="720"/>
        <w:jc w:val="both"/>
        <w:rPr>
          <w:i/>
        </w:rPr>
      </w:pPr>
      <w:r w:rsidRPr="0040280A">
        <w:t>[5]</w:t>
      </w:r>
      <w:r w:rsidRPr="0040280A">
        <w:tab/>
      </w:r>
      <w:r w:rsidR="00BD1BA5">
        <w:t xml:space="preserve">However, SARS maintains, these “fees” were not paid to the applicant (and P) as taxable income – as they should have been – but as repayments of loan claims received in the form of tax-free dividends flowing to the applicant and a certain trust </w:t>
      </w:r>
      <w:r w:rsidR="002D1B9A">
        <w:t xml:space="preserve">which was not only the shareholder of J but </w:t>
      </w:r>
      <w:r w:rsidR="00BD1BA5">
        <w:t xml:space="preserve">to which P was connected. It is in respect of these “fees” that SARS assessed the applicant and P for tax, relying on the powers of the Commissioner under the general anti-avoidance rules (“GAAR”) contained in Part </w:t>
      </w:r>
      <w:r w:rsidR="00BF27BF">
        <w:t>II</w:t>
      </w:r>
      <w:r w:rsidR="00BD1BA5">
        <w:t>A of the ITA.</w:t>
      </w:r>
      <w:r w:rsidR="0040280A">
        <w:rPr>
          <w:rStyle w:val="FootnoteReference"/>
        </w:rPr>
        <w:footnoteReference w:id="3"/>
      </w:r>
      <w:r w:rsidR="00BD1BA5">
        <w:t xml:space="preserve"> </w:t>
      </w:r>
    </w:p>
    <w:p w:rsidR="0040280A" w:rsidRDefault="0040280A" w:rsidP="0040280A">
      <w:pPr>
        <w:pStyle w:val="ListParagraph"/>
        <w:rPr>
          <w:i/>
        </w:rPr>
      </w:pPr>
    </w:p>
    <w:p w:rsidR="0040280A" w:rsidRPr="0040280A" w:rsidRDefault="00B53A5A" w:rsidP="00B53A5A">
      <w:pPr>
        <w:ind w:left="720" w:hanging="720"/>
        <w:jc w:val="both"/>
        <w:rPr>
          <w:i/>
        </w:rPr>
      </w:pPr>
      <w:r w:rsidRPr="0040280A">
        <w:t>[6]</w:t>
      </w:r>
      <w:r w:rsidRPr="0040280A">
        <w:tab/>
      </w:r>
      <w:r w:rsidR="0040280A">
        <w:t xml:space="preserve">In the SARS rule 31 statement the following allegations are made which are directly relevant to determination of </w:t>
      </w:r>
      <w:r w:rsidR="00BF27BF">
        <w:t>this</w:t>
      </w:r>
      <w:r w:rsidR="0040280A">
        <w:t xml:space="preserve"> interlocutory application</w:t>
      </w:r>
      <w:r w:rsidR="00520282">
        <w:t>:</w:t>
      </w:r>
    </w:p>
    <w:p w:rsidR="0040280A" w:rsidRDefault="0040280A" w:rsidP="0040280A">
      <w:pPr>
        <w:pStyle w:val="ListParagraph"/>
        <w:rPr>
          <w:i/>
        </w:rPr>
      </w:pPr>
    </w:p>
    <w:p w:rsidR="0040280A" w:rsidRDefault="0040280A" w:rsidP="0040280A">
      <w:pPr>
        <w:spacing w:line="360" w:lineRule="auto"/>
        <w:ind w:left="1440"/>
        <w:jc w:val="both"/>
        <w:rPr>
          <w:i/>
          <w:sz w:val="22"/>
          <w:szCs w:val="22"/>
          <w:u w:val="single"/>
        </w:rPr>
      </w:pPr>
      <w:r>
        <w:rPr>
          <w:i/>
        </w:rPr>
        <w:t>‘</w:t>
      </w:r>
      <w:r w:rsidRPr="0040280A">
        <w:rPr>
          <w:i/>
          <w:sz w:val="22"/>
          <w:szCs w:val="22"/>
          <w:u w:val="single"/>
        </w:rPr>
        <w:t>Creation of an STC credit pool</w:t>
      </w:r>
    </w:p>
    <w:p w:rsidR="0040280A" w:rsidRDefault="0040280A" w:rsidP="0040280A">
      <w:pPr>
        <w:spacing w:line="360" w:lineRule="auto"/>
        <w:ind w:left="2160" w:hanging="720"/>
        <w:jc w:val="both"/>
        <w:rPr>
          <w:i/>
          <w:sz w:val="22"/>
          <w:szCs w:val="22"/>
        </w:rPr>
      </w:pPr>
      <w:r w:rsidRPr="0040280A">
        <w:rPr>
          <w:i/>
          <w:sz w:val="22"/>
          <w:szCs w:val="22"/>
        </w:rPr>
        <w:t>10.</w:t>
      </w:r>
      <w:r w:rsidRPr="0040280A">
        <w:rPr>
          <w:i/>
          <w:sz w:val="22"/>
          <w:szCs w:val="22"/>
        </w:rPr>
        <w:tab/>
        <w:t xml:space="preserve">What is set out </w:t>
      </w:r>
      <w:r>
        <w:rPr>
          <w:i/>
          <w:sz w:val="22"/>
          <w:szCs w:val="22"/>
        </w:rPr>
        <w:t xml:space="preserve">below is a summary of the purchase and sale transactions which, to the best of the Commissioner’s knowledge, were undertaken by </w:t>
      </w:r>
      <w:r w:rsidR="00A5094F">
        <w:rPr>
          <w:i/>
          <w:sz w:val="22"/>
          <w:szCs w:val="22"/>
        </w:rPr>
        <w:t>T</w:t>
      </w:r>
      <w:r>
        <w:rPr>
          <w:i/>
          <w:sz w:val="22"/>
          <w:szCs w:val="22"/>
        </w:rPr>
        <w:t xml:space="preserve"> from time to time for the purpose of creating a </w:t>
      </w:r>
      <w:r w:rsidR="007E0FA8">
        <w:rPr>
          <w:i/>
          <w:sz w:val="22"/>
          <w:szCs w:val="22"/>
        </w:rPr>
        <w:t xml:space="preserve">stock of secondary tax on companies (“STC”) credits. </w:t>
      </w:r>
      <w:r w:rsidR="00A5094F">
        <w:rPr>
          <w:i/>
          <w:sz w:val="22"/>
          <w:szCs w:val="22"/>
        </w:rPr>
        <w:t xml:space="preserve">T </w:t>
      </w:r>
      <w:r w:rsidR="007E0FA8">
        <w:rPr>
          <w:i/>
          <w:sz w:val="22"/>
          <w:szCs w:val="22"/>
        </w:rPr>
        <w:t>formed an integral part of the arrangements designed by the appellant to carry out the impermissible tax avoidance schemes that resulted in the assessments appealed against.</w:t>
      </w:r>
    </w:p>
    <w:p w:rsidR="007E0FA8" w:rsidRDefault="007E0FA8" w:rsidP="0040280A">
      <w:pPr>
        <w:spacing w:line="360" w:lineRule="auto"/>
        <w:ind w:left="2160" w:hanging="720"/>
        <w:jc w:val="both"/>
        <w:rPr>
          <w:i/>
          <w:sz w:val="22"/>
          <w:szCs w:val="22"/>
        </w:rPr>
      </w:pPr>
    </w:p>
    <w:p w:rsidR="007E0FA8" w:rsidRDefault="007E0FA8" w:rsidP="0040280A">
      <w:pPr>
        <w:spacing w:line="360" w:lineRule="auto"/>
        <w:ind w:left="2160" w:hanging="720"/>
        <w:jc w:val="both"/>
        <w:rPr>
          <w:i/>
          <w:sz w:val="22"/>
          <w:szCs w:val="22"/>
        </w:rPr>
      </w:pPr>
      <w:r>
        <w:rPr>
          <w:i/>
          <w:sz w:val="22"/>
          <w:szCs w:val="22"/>
        </w:rPr>
        <w:t>11.</w:t>
      </w:r>
      <w:r>
        <w:rPr>
          <w:i/>
          <w:sz w:val="22"/>
          <w:szCs w:val="22"/>
        </w:rPr>
        <w:tab/>
        <w:t xml:space="preserve">T’s purchase and sale transactions involved two separate </w:t>
      </w:r>
      <w:r>
        <w:rPr>
          <w:sz w:val="22"/>
          <w:szCs w:val="22"/>
        </w:rPr>
        <w:t>[offshore]</w:t>
      </w:r>
      <w:r>
        <w:rPr>
          <w:i/>
          <w:sz w:val="22"/>
          <w:szCs w:val="22"/>
        </w:rPr>
        <w:t xml:space="preserve"> companies, namely E and R, about which more is said below.</w:t>
      </w:r>
    </w:p>
    <w:p w:rsidR="007E0FA8" w:rsidRDefault="007E0FA8" w:rsidP="0040280A">
      <w:pPr>
        <w:spacing w:line="360" w:lineRule="auto"/>
        <w:ind w:left="2160" w:hanging="720"/>
        <w:jc w:val="both"/>
        <w:rPr>
          <w:i/>
          <w:sz w:val="22"/>
          <w:szCs w:val="22"/>
        </w:rPr>
      </w:pPr>
    </w:p>
    <w:p w:rsidR="007E0FA8" w:rsidRDefault="007E0FA8" w:rsidP="0040280A">
      <w:pPr>
        <w:spacing w:line="360" w:lineRule="auto"/>
        <w:ind w:left="2160" w:hanging="720"/>
        <w:jc w:val="both"/>
        <w:rPr>
          <w:i/>
          <w:sz w:val="22"/>
          <w:szCs w:val="22"/>
        </w:rPr>
      </w:pPr>
      <w:r>
        <w:rPr>
          <w:i/>
          <w:sz w:val="22"/>
          <w:szCs w:val="22"/>
          <w:u w:val="single"/>
        </w:rPr>
        <w:lastRenderedPageBreak/>
        <w:t>The E transactions</w:t>
      </w:r>
    </w:p>
    <w:p w:rsidR="00051C12" w:rsidRDefault="00051C12" w:rsidP="0040280A">
      <w:pPr>
        <w:spacing w:line="360" w:lineRule="auto"/>
        <w:ind w:left="2160" w:hanging="720"/>
        <w:jc w:val="both"/>
        <w:rPr>
          <w:i/>
          <w:sz w:val="22"/>
          <w:szCs w:val="22"/>
        </w:rPr>
      </w:pPr>
      <w:r>
        <w:rPr>
          <w:i/>
          <w:sz w:val="22"/>
          <w:szCs w:val="22"/>
        </w:rPr>
        <w:t>…</w:t>
      </w:r>
    </w:p>
    <w:p w:rsidR="00051C12" w:rsidRDefault="00051C12" w:rsidP="0040280A">
      <w:pPr>
        <w:spacing w:line="360" w:lineRule="auto"/>
        <w:ind w:left="2160" w:hanging="720"/>
        <w:jc w:val="both"/>
        <w:rPr>
          <w:i/>
          <w:sz w:val="22"/>
          <w:szCs w:val="22"/>
        </w:rPr>
      </w:pPr>
      <w:r>
        <w:rPr>
          <w:i/>
          <w:sz w:val="22"/>
          <w:szCs w:val="22"/>
          <w:u w:val="single"/>
        </w:rPr>
        <w:t>The R</w:t>
      </w:r>
      <w:r w:rsidR="00C770CF">
        <w:rPr>
          <w:i/>
          <w:sz w:val="22"/>
          <w:szCs w:val="22"/>
          <w:u w:val="single"/>
        </w:rPr>
        <w:t xml:space="preserve"> transactions</w:t>
      </w:r>
    </w:p>
    <w:p w:rsidR="00C770CF" w:rsidRDefault="00C770CF" w:rsidP="0040280A">
      <w:pPr>
        <w:spacing w:line="360" w:lineRule="auto"/>
        <w:ind w:left="2160" w:hanging="720"/>
        <w:jc w:val="both"/>
        <w:rPr>
          <w:i/>
          <w:sz w:val="22"/>
          <w:szCs w:val="22"/>
        </w:rPr>
      </w:pPr>
      <w:r>
        <w:rPr>
          <w:i/>
          <w:sz w:val="22"/>
          <w:szCs w:val="22"/>
        </w:rPr>
        <w:t>…</w:t>
      </w:r>
    </w:p>
    <w:p w:rsidR="00C770CF" w:rsidRPr="00C770CF" w:rsidRDefault="00C770CF" w:rsidP="0040280A">
      <w:pPr>
        <w:spacing w:line="360" w:lineRule="auto"/>
        <w:ind w:left="2160" w:hanging="720"/>
        <w:jc w:val="both"/>
        <w:rPr>
          <w:i/>
          <w:sz w:val="22"/>
          <w:szCs w:val="22"/>
          <w:u w:val="single"/>
        </w:rPr>
      </w:pPr>
      <w:r w:rsidRPr="00C770CF">
        <w:rPr>
          <w:i/>
          <w:sz w:val="22"/>
          <w:szCs w:val="22"/>
          <w:u w:val="single"/>
        </w:rPr>
        <w:t>The effect and use of the STC credit pool</w:t>
      </w:r>
    </w:p>
    <w:p w:rsidR="0040280A" w:rsidRPr="00C770CF" w:rsidRDefault="00C770CF" w:rsidP="00C770CF">
      <w:pPr>
        <w:pStyle w:val="ListParagraph"/>
        <w:spacing w:line="360" w:lineRule="auto"/>
        <w:rPr>
          <w:i/>
          <w:sz w:val="22"/>
          <w:szCs w:val="22"/>
        </w:rPr>
      </w:pPr>
      <w:r>
        <w:rPr>
          <w:i/>
        </w:rPr>
        <w:tab/>
        <w:t>…</w:t>
      </w:r>
    </w:p>
    <w:p w:rsidR="00C770CF" w:rsidRDefault="00C770CF" w:rsidP="00C770CF">
      <w:pPr>
        <w:pStyle w:val="ListParagraph"/>
        <w:spacing w:line="360" w:lineRule="auto"/>
        <w:rPr>
          <w:i/>
          <w:sz w:val="22"/>
          <w:szCs w:val="22"/>
          <w:u w:val="single"/>
        </w:rPr>
      </w:pPr>
      <w:r w:rsidRPr="00C770CF">
        <w:rPr>
          <w:i/>
          <w:sz w:val="22"/>
          <w:szCs w:val="22"/>
        </w:rPr>
        <w:tab/>
      </w:r>
      <w:r w:rsidRPr="00C770CF">
        <w:rPr>
          <w:i/>
          <w:sz w:val="22"/>
          <w:szCs w:val="22"/>
          <w:u w:val="single"/>
        </w:rPr>
        <w:t>The fee portion and rights of U</w:t>
      </w:r>
    </w:p>
    <w:p w:rsidR="00C770CF" w:rsidRDefault="00C770CF" w:rsidP="00C770CF">
      <w:pPr>
        <w:pStyle w:val="ListParagraph"/>
        <w:spacing w:line="360" w:lineRule="auto"/>
        <w:rPr>
          <w:i/>
          <w:sz w:val="22"/>
          <w:szCs w:val="22"/>
        </w:rPr>
      </w:pPr>
      <w:r>
        <w:rPr>
          <w:i/>
          <w:sz w:val="22"/>
          <w:szCs w:val="22"/>
        </w:rPr>
        <w:tab/>
        <w:t>…</w:t>
      </w:r>
    </w:p>
    <w:p w:rsidR="00C770CF" w:rsidRDefault="00C770CF" w:rsidP="00C770CF">
      <w:pPr>
        <w:pStyle w:val="ListParagraph"/>
        <w:spacing w:line="360" w:lineRule="auto"/>
        <w:ind w:left="2160" w:hanging="720"/>
        <w:jc w:val="both"/>
        <w:rPr>
          <w:i/>
          <w:sz w:val="22"/>
          <w:szCs w:val="22"/>
        </w:rPr>
      </w:pPr>
      <w:r>
        <w:rPr>
          <w:i/>
          <w:sz w:val="22"/>
          <w:szCs w:val="22"/>
        </w:rPr>
        <w:t>53.</w:t>
      </w:r>
      <w:r>
        <w:rPr>
          <w:i/>
          <w:sz w:val="22"/>
          <w:szCs w:val="22"/>
        </w:rPr>
        <w:tab/>
        <w:t xml:space="preserve">As stated previously, the Commissioner contends that all of the transactions, their constituent parts and the cash flows described above constitute an impermissible avoidance arrangement for the purposes of Part </w:t>
      </w:r>
      <w:r w:rsidR="00BF27BF">
        <w:rPr>
          <w:i/>
          <w:sz w:val="22"/>
          <w:szCs w:val="22"/>
        </w:rPr>
        <w:t>II</w:t>
      </w:r>
      <w:r>
        <w:rPr>
          <w:i/>
          <w:sz w:val="22"/>
          <w:szCs w:val="22"/>
        </w:rPr>
        <w:t>A</w:t>
      </w:r>
      <w:r w:rsidR="003F29F4">
        <w:rPr>
          <w:i/>
          <w:sz w:val="22"/>
          <w:szCs w:val="22"/>
        </w:rPr>
        <w:t xml:space="preserve"> of the IT Act.</w:t>
      </w:r>
    </w:p>
    <w:p w:rsidR="003F29F4" w:rsidRDefault="003F29F4" w:rsidP="00C770CF">
      <w:pPr>
        <w:pStyle w:val="ListParagraph"/>
        <w:spacing w:line="360" w:lineRule="auto"/>
        <w:ind w:left="2160" w:hanging="720"/>
        <w:jc w:val="both"/>
        <w:rPr>
          <w:i/>
          <w:sz w:val="22"/>
          <w:szCs w:val="22"/>
        </w:rPr>
      </w:pPr>
    </w:p>
    <w:p w:rsidR="003F29F4" w:rsidRDefault="003F29F4" w:rsidP="00C770CF">
      <w:pPr>
        <w:pStyle w:val="ListParagraph"/>
        <w:spacing w:line="360" w:lineRule="auto"/>
        <w:ind w:left="2160" w:hanging="720"/>
        <w:jc w:val="both"/>
        <w:rPr>
          <w:i/>
          <w:sz w:val="22"/>
          <w:szCs w:val="22"/>
        </w:rPr>
      </w:pPr>
      <w:r>
        <w:rPr>
          <w:i/>
          <w:sz w:val="22"/>
          <w:szCs w:val="22"/>
        </w:rPr>
        <w:t>54.</w:t>
      </w:r>
      <w:r>
        <w:rPr>
          <w:i/>
          <w:sz w:val="22"/>
          <w:szCs w:val="22"/>
        </w:rPr>
        <w:tab/>
        <w:t>The “arrangement” or “arrangements” consist/s of the following:</w:t>
      </w:r>
    </w:p>
    <w:p w:rsidR="0092088E" w:rsidRDefault="0092088E" w:rsidP="00C770CF">
      <w:pPr>
        <w:pStyle w:val="ListParagraph"/>
        <w:spacing w:line="360" w:lineRule="auto"/>
        <w:ind w:left="2160" w:hanging="720"/>
        <w:jc w:val="both"/>
        <w:rPr>
          <w:i/>
          <w:sz w:val="22"/>
          <w:szCs w:val="22"/>
        </w:rPr>
      </w:pPr>
    </w:p>
    <w:p w:rsidR="003F29F4" w:rsidRDefault="003F29F4" w:rsidP="003F29F4">
      <w:pPr>
        <w:pStyle w:val="ListParagraph"/>
        <w:spacing w:line="360" w:lineRule="auto"/>
        <w:ind w:left="2880" w:hanging="720"/>
        <w:jc w:val="both"/>
        <w:rPr>
          <w:i/>
          <w:sz w:val="22"/>
          <w:szCs w:val="22"/>
        </w:rPr>
      </w:pPr>
      <w:r>
        <w:rPr>
          <w:i/>
          <w:sz w:val="22"/>
          <w:szCs w:val="22"/>
        </w:rPr>
        <w:t>54.1</w:t>
      </w:r>
      <w:r>
        <w:rPr>
          <w:i/>
          <w:sz w:val="22"/>
          <w:szCs w:val="22"/>
        </w:rPr>
        <w:tab/>
        <w:t xml:space="preserve">The transactions between T, its subsidiaries and the </w:t>
      </w:r>
      <w:r>
        <w:rPr>
          <w:sz w:val="22"/>
          <w:szCs w:val="22"/>
        </w:rPr>
        <w:t xml:space="preserve">[offshore] </w:t>
      </w:r>
      <w:r>
        <w:rPr>
          <w:i/>
          <w:sz w:val="22"/>
          <w:szCs w:val="22"/>
        </w:rPr>
        <w:t xml:space="preserve">companies, </w:t>
      </w:r>
      <w:r w:rsidR="0092088E">
        <w:rPr>
          <w:i/>
          <w:sz w:val="22"/>
          <w:szCs w:val="22"/>
        </w:rPr>
        <w:t xml:space="preserve">giving rise to certain </w:t>
      </w:r>
      <w:r w:rsidR="00A5094F">
        <w:rPr>
          <w:i/>
          <w:sz w:val="22"/>
          <w:szCs w:val="22"/>
        </w:rPr>
        <w:t xml:space="preserve">T </w:t>
      </w:r>
      <w:r w:rsidR="0092088E">
        <w:rPr>
          <w:i/>
          <w:sz w:val="22"/>
          <w:szCs w:val="22"/>
        </w:rPr>
        <w:t xml:space="preserve">subsidiaries holding promissory notes issued by T; </w:t>
      </w:r>
    </w:p>
    <w:p w:rsidR="0092088E" w:rsidRDefault="0092088E" w:rsidP="003F29F4">
      <w:pPr>
        <w:pStyle w:val="ListParagraph"/>
        <w:spacing w:line="360" w:lineRule="auto"/>
        <w:ind w:left="2880" w:hanging="720"/>
        <w:jc w:val="both"/>
        <w:rPr>
          <w:i/>
          <w:sz w:val="22"/>
          <w:szCs w:val="22"/>
        </w:rPr>
      </w:pPr>
    </w:p>
    <w:p w:rsidR="0092088E" w:rsidRDefault="0092088E" w:rsidP="003F29F4">
      <w:pPr>
        <w:pStyle w:val="ListParagraph"/>
        <w:spacing w:line="360" w:lineRule="auto"/>
        <w:ind w:left="2880" w:hanging="720"/>
        <w:jc w:val="both"/>
        <w:rPr>
          <w:i/>
          <w:sz w:val="22"/>
          <w:szCs w:val="22"/>
        </w:rPr>
      </w:pPr>
      <w:r>
        <w:rPr>
          <w:i/>
          <w:sz w:val="22"/>
          <w:szCs w:val="22"/>
        </w:rPr>
        <w:t>54.2</w:t>
      </w:r>
      <w:r>
        <w:rPr>
          <w:i/>
          <w:sz w:val="22"/>
          <w:szCs w:val="22"/>
        </w:rPr>
        <w:tab/>
        <w:t xml:space="preserve">The declaration of certain </w:t>
      </w:r>
      <w:r w:rsidR="00A5094F">
        <w:rPr>
          <w:i/>
          <w:sz w:val="22"/>
          <w:szCs w:val="22"/>
        </w:rPr>
        <w:t xml:space="preserve">T </w:t>
      </w:r>
      <w:r>
        <w:rPr>
          <w:i/>
          <w:sz w:val="22"/>
          <w:szCs w:val="22"/>
        </w:rPr>
        <w:t>promissory notes to U (described in detail in paragraphs 37 to 42 above);</w:t>
      </w:r>
    </w:p>
    <w:p w:rsidR="0092088E" w:rsidRDefault="0092088E" w:rsidP="003F29F4">
      <w:pPr>
        <w:pStyle w:val="ListParagraph"/>
        <w:spacing w:line="360" w:lineRule="auto"/>
        <w:ind w:left="2880" w:hanging="720"/>
        <w:jc w:val="both"/>
        <w:rPr>
          <w:i/>
          <w:sz w:val="22"/>
          <w:szCs w:val="22"/>
        </w:rPr>
      </w:pPr>
    </w:p>
    <w:p w:rsidR="0092088E" w:rsidRDefault="0092088E" w:rsidP="003F29F4">
      <w:pPr>
        <w:pStyle w:val="ListParagraph"/>
        <w:spacing w:line="360" w:lineRule="auto"/>
        <w:ind w:left="2880" w:hanging="720"/>
        <w:jc w:val="both"/>
        <w:rPr>
          <w:i/>
          <w:sz w:val="22"/>
          <w:szCs w:val="22"/>
        </w:rPr>
      </w:pPr>
      <w:r>
        <w:rPr>
          <w:i/>
          <w:sz w:val="22"/>
          <w:szCs w:val="22"/>
        </w:rPr>
        <w:t>54.3</w:t>
      </w:r>
      <w:r>
        <w:rPr>
          <w:i/>
          <w:sz w:val="22"/>
          <w:szCs w:val="22"/>
        </w:rPr>
        <w:tab/>
        <w:t xml:space="preserve">The “settlement” of the promissory notes held by U via </w:t>
      </w:r>
      <w:r w:rsidR="00A5094F">
        <w:rPr>
          <w:i/>
          <w:sz w:val="22"/>
          <w:szCs w:val="22"/>
        </w:rPr>
        <w:t xml:space="preserve">T </w:t>
      </w:r>
      <w:r>
        <w:rPr>
          <w:i/>
          <w:sz w:val="22"/>
          <w:szCs w:val="22"/>
        </w:rPr>
        <w:t xml:space="preserve">becoming obliged to pay those parties the net income from specific transactions involving specific </w:t>
      </w:r>
      <w:r w:rsidR="00A5094F">
        <w:rPr>
          <w:i/>
          <w:sz w:val="22"/>
          <w:szCs w:val="22"/>
        </w:rPr>
        <w:t xml:space="preserve">T </w:t>
      </w:r>
      <w:r>
        <w:rPr>
          <w:i/>
          <w:sz w:val="22"/>
          <w:szCs w:val="22"/>
        </w:rPr>
        <w:t>subsidiaries (described in paragraphs 37 to 42 above); and</w:t>
      </w:r>
    </w:p>
    <w:p w:rsidR="0092088E" w:rsidRDefault="0092088E" w:rsidP="003F29F4">
      <w:pPr>
        <w:pStyle w:val="ListParagraph"/>
        <w:spacing w:line="360" w:lineRule="auto"/>
        <w:ind w:left="2880" w:hanging="720"/>
        <w:jc w:val="both"/>
        <w:rPr>
          <w:i/>
          <w:sz w:val="22"/>
          <w:szCs w:val="22"/>
        </w:rPr>
      </w:pPr>
    </w:p>
    <w:p w:rsidR="0092088E" w:rsidRDefault="0092088E" w:rsidP="003F29F4">
      <w:pPr>
        <w:pStyle w:val="ListParagraph"/>
        <w:spacing w:line="360" w:lineRule="auto"/>
        <w:ind w:left="2880" w:hanging="720"/>
        <w:jc w:val="both"/>
        <w:rPr>
          <w:i/>
          <w:sz w:val="22"/>
          <w:szCs w:val="22"/>
        </w:rPr>
      </w:pPr>
      <w:r>
        <w:rPr>
          <w:i/>
          <w:sz w:val="22"/>
          <w:szCs w:val="22"/>
        </w:rPr>
        <w:t>54.4</w:t>
      </w:r>
      <w:r>
        <w:rPr>
          <w:i/>
          <w:sz w:val="22"/>
          <w:szCs w:val="22"/>
        </w:rPr>
        <w:tab/>
        <w:t xml:space="preserve">In each case following a sale by T, the payment by </w:t>
      </w:r>
      <w:r w:rsidR="00A5094F">
        <w:rPr>
          <w:i/>
          <w:sz w:val="22"/>
          <w:szCs w:val="22"/>
        </w:rPr>
        <w:t xml:space="preserve">T </w:t>
      </w:r>
      <w:r>
        <w:rPr>
          <w:i/>
          <w:sz w:val="22"/>
          <w:szCs w:val="22"/>
        </w:rPr>
        <w:t>of amounts to U for services rendered.</w:t>
      </w:r>
    </w:p>
    <w:p w:rsidR="0092088E" w:rsidRDefault="0092088E" w:rsidP="0092088E">
      <w:pPr>
        <w:spacing w:line="360" w:lineRule="auto"/>
        <w:jc w:val="both"/>
        <w:rPr>
          <w:i/>
          <w:sz w:val="22"/>
          <w:szCs w:val="22"/>
        </w:rPr>
      </w:pPr>
    </w:p>
    <w:p w:rsidR="0092088E" w:rsidRDefault="0092088E" w:rsidP="0092088E">
      <w:pPr>
        <w:spacing w:line="360" w:lineRule="auto"/>
        <w:ind w:left="2160" w:hanging="720"/>
        <w:jc w:val="both"/>
        <w:rPr>
          <w:i/>
          <w:sz w:val="22"/>
          <w:szCs w:val="22"/>
        </w:rPr>
      </w:pPr>
      <w:r>
        <w:rPr>
          <w:i/>
          <w:sz w:val="22"/>
          <w:szCs w:val="22"/>
        </w:rPr>
        <w:t>55.</w:t>
      </w:r>
      <w:r>
        <w:rPr>
          <w:i/>
          <w:sz w:val="22"/>
          <w:szCs w:val="22"/>
        </w:rPr>
        <w:tab/>
      </w:r>
      <w:r w:rsidRPr="002D1B9A">
        <w:rPr>
          <w:i/>
          <w:sz w:val="22"/>
          <w:szCs w:val="22"/>
          <w:u w:val="single"/>
        </w:rPr>
        <w:t>Each arrangement involving the steps listed above is a separate arrangement for the purposes of the GAAR, consisting of a set of preconceived transactions which, separately and together, constitute a “scheme”… and the definition of “arrangement” in section 80L</w:t>
      </w:r>
      <w:r>
        <w:rPr>
          <w:i/>
          <w:sz w:val="22"/>
          <w:szCs w:val="22"/>
        </w:rPr>
        <w:t>.</w:t>
      </w:r>
    </w:p>
    <w:p w:rsidR="0092088E" w:rsidRDefault="0092088E" w:rsidP="0092088E">
      <w:pPr>
        <w:spacing w:line="360" w:lineRule="auto"/>
        <w:ind w:left="2160" w:hanging="720"/>
        <w:jc w:val="both"/>
        <w:rPr>
          <w:i/>
          <w:sz w:val="22"/>
          <w:szCs w:val="22"/>
        </w:rPr>
      </w:pPr>
    </w:p>
    <w:p w:rsidR="0092088E" w:rsidRDefault="0092088E" w:rsidP="0092088E">
      <w:pPr>
        <w:spacing w:line="360" w:lineRule="auto"/>
        <w:ind w:left="2160" w:hanging="720"/>
        <w:jc w:val="both"/>
        <w:rPr>
          <w:i/>
          <w:sz w:val="22"/>
          <w:szCs w:val="22"/>
        </w:rPr>
      </w:pPr>
      <w:r>
        <w:rPr>
          <w:i/>
          <w:sz w:val="22"/>
          <w:szCs w:val="22"/>
        </w:rPr>
        <w:lastRenderedPageBreak/>
        <w:t>56.</w:t>
      </w:r>
      <w:r>
        <w:rPr>
          <w:i/>
          <w:sz w:val="22"/>
          <w:szCs w:val="22"/>
        </w:rPr>
        <w:tab/>
        <w:t>Each arrangement was entered into to obtain a tax benefit, is in any event presumed in terms of section 80G to have been entered into to obtain a tax benefit, and factually resulted in a “tax benefit” for U in that (by virtue of the way that the arrangements were structured, including the tax/accounting treatment adopted by T</w:t>
      </w:r>
      <w:r w:rsidR="00520282">
        <w:rPr>
          <w:i/>
          <w:sz w:val="22"/>
          <w:szCs w:val="22"/>
        </w:rPr>
        <w:t>)</w:t>
      </w:r>
      <w:r>
        <w:rPr>
          <w:i/>
          <w:sz w:val="22"/>
          <w:szCs w:val="22"/>
        </w:rPr>
        <w:t xml:space="preserve"> the fee amounts paid by the counterparties flowed in part to U without South African income tax or STC being levied at any stage.</w:t>
      </w:r>
    </w:p>
    <w:p w:rsidR="0092088E" w:rsidRDefault="0092088E" w:rsidP="0092088E">
      <w:pPr>
        <w:spacing w:line="360" w:lineRule="auto"/>
        <w:ind w:left="2160" w:hanging="720"/>
        <w:jc w:val="both"/>
        <w:rPr>
          <w:i/>
          <w:sz w:val="22"/>
          <w:szCs w:val="22"/>
        </w:rPr>
      </w:pPr>
    </w:p>
    <w:p w:rsidR="0092088E" w:rsidRDefault="0092088E" w:rsidP="0092088E">
      <w:pPr>
        <w:spacing w:line="360" w:lineRule="auto"/>
        <w:ind w:left="2160" w:hanging="720"/>
        <w:jc w:val="both"/>
        <w:rPr>
          <w:sz w:val="22"/>
          <w:szCs w:val="22"/>
        </w:rPr>
      </w:pPr>
      <w:r>
        <w:rPr>
          <w:i/>
          <w:sz w:val="22"/>
          <w:szCs w:val="22"/>
        </w:rPr>
        <w:t>57.</w:t>
      </w:r>
      <w:r>
        <w:rPr>
          <w:i/>
          <w:sz w:val="22"/>
          <w:szCs w:val="22"/>
        </w:rPr>
        <w:tab/>
        <w:t xml:space="preserve">Had the </w:t>
      </w:r>
      <w:r w:rsidR="00A5094F">
        <w:rPr>
          <w:i/>
          <w:sz w:val="22"/>
          <w:szCs w:val="22"/>
        </w:rPr>
        <w:t xml:space="preserve">T </w:t>
      </w:r>
      <w:r>
        <w:rPr>
          <w:i/>
          <w:sz w:val="22"/>
          <w:szCs w:val="22"/>
        </w:rPr>
        <w:t>structure not been employed, the fee amounts would have been taxable in the hands of the recipients, including U…’</w:t>
      </w:r>
    </w:p>
    <w:p w:rsidR="002D1B9A" w:rsidRDefault="002D1B9A" w:rsidP="002D1B9A">
      <w:pPr>
        <w:spacing w:line="240" w:lineRule="auto"/>
        <w:ind w:left="2160" w:hanging="720"/>
        <w:jc w:val="both"/>
        <w:rPr>
          <w:sz w:val="22"/>
          <w:szCs w:val="22"/>
        </w:rPr>
      </w:pPr>
    </w:p>
    <w:p w:rsidR="002D1B9A" w:rsidRPr="002D1B9A" w:rsidRDefault="002D1B9A" w:rsidP="002D1B9A">
      <w:pPr>
        <w:spacing w:line="240" w:lineRule="auto"/>
        <w:ind w:left="2160" w:hanging="720"/>
        <w:jc w:val="both"/>
        <w:rPr>
          <w:sz w:val="22"/>
          <w:szCs w:val="22"/>
        </w:rPr>
      </w:pPr>
      <w:r>
        <w:rPr>
          <w:sz w:val="22"/>
          <w:szCs w:val="22"/>
        </w:rPr>
        <w:t>[emphasis supplied]</w:t>
      </w:r>
    </w:p>
    <w:p w:rsidR="00C770CF" w:rsidRDefault="00C770CF" w:rsidP="00C770CF">
      <w:pPr>
        <w:pStyle w:val="ListParagraph"/>
        <w:spacing w:line="360" w:lineRule="auto"/>
        <w:rPr>
          <w:i/>
          <w:sz w:val="22"/>
          <w:szCs w:val="22"/>
          <w:u w:val="single"/>
        </w:rPr>
      </w:pPr>
    </w:p>
    <w:p w:rsidR="00DB7819" w:rsidRDefault="00DB7819" w:rsidP="00C770CF">
      <w:pPr>
        <w:pStyle w:val="ListParagraph"/>
        <w:spacing w:line="360" w:lineRule="auto"/>
        <w:rPr>
          <w:i/>
          <w:sz w:val="22"/>
          <w:szCs w:val="22"/>
          <w:u w:val="single"/>
        </w:rPr>
      </w:pPr>
    </w:p>
    <w:p w:rsidR="0040280A" w:rsidRPr="000F1EA9" w:rsidRDefault="00B53A5A" w:rsidP="00B53A5A">
      <w:pPr>
        <w:ind w:left="720" w:hanging="720"/>
        <w:jc w:val="both"/>
        <w:rPr>
          <w:i/>
        </w:rPr>
      </w:pPr>
      <w:r w:rsidRPr="000F1EA9">
        <w:t>[7]</w:t>
      </w:r>
      <w:r w:rsidRPr="000F1EA9">
        <w:tab/>
      </w:r>
      <w:r w:rsidR="00DB7819">
        <w:t xml:space="preserve">On 8 May 2020 the applicant </w:t>
      </w:r>
      <w:r w:rsidR="000F1EA9">
        <w:t xml:space="preserve">launched an application for the striking-out of certain portions of the rule 31 statement. The underlying basis was the inclusion in </w:t>
      </w:r>
      <w:r w:rsidR="002D1B9A">
        <w:t xml:space="preserve">paragraph 55 of </w:t>
      </w:r>
      <w:r w:rsidR="000F1EA9">
        <w:t xml:space="preserve">that statement of the words </w:t>
      </w:r>
      <w:r w:rsidR="000F1EA9">
        <w:rPr>
          <w:i/>
        </w:rPr>
        <w:t>‘separately and’</w:t>
      </w:r>
      <w:r w:rsidR="000F1EA9">
        <w:t xml:space="preserve"> </w:t>
      </w:r>
      <w:r w:rsidR="002D1B9A">
        <w:t xml:space="preserve">before </w:t>
      </w:r>
      <w:r w:rsidR="00520282">
        <w:rPr>
          <w:i/>
        </w:rPr>
        <w:t xml:space="preserve">‘together’ </w:t>
      </w:r>
      <w:r w:rsidR="000F1EA9">
        <w:t>which had not appeared</w:t>
      </w:r>
      <w:r w:rsidR="002D1B9A">
        <w:t xml:space="preserve"> </w:t>
      </w:r>
      <w:r w:rsidR="00520282">
        <w:t>i</w:t>
      </w:r>
      <w:r w:rsidR="000F1EA9">
        <w:t>n the preceding s 80J notice and finalisation of audit letter. According to the applicant this was an impermissible attempt by SARS to broaden</w:t>
      </w:r>
      <w:r w:rsidR="00520282">
        <w:t xml:space="preserve"> (or novate)</w:t>
      </w:r>
      <w:r w:rsidR="000F1EA9">
        <w:t xml:space="preserve"> its case.</w:t>
      </w:r>
    </w:p>
    <w:p w:rsidR="000F1EA9" w:rsidRPr="000F1EA9" w:rsidRDefault="000F1EA9" w:rsidP="000F1EA9">
      <w:pPr>
        <w:ind w:left="720"/>
        <w:jc w:val="both"/>
        <w:rPr>
          <w:i/>
        </w:rPr>
      </w:pPr>
    </w:p>
    <w:p w:rsidR="000F1EA9" w:rsidRPr="000F1EA9" w:rsidRDefault="00B53A5A" w:rsidP="00B53A5A">
      <w:pPr>
        <w:ind w:left="720" w:hanging="720"/>
        <w:jc w:val="both"/>
        <w:rPr>
          <w:i/>
        </w:rPr>
      </w:pPr>
      <w:r w:rsidRPr="000F1EA9">
        <w:t>[8]</w:t>
      </w:r>
      <w:r w:rsidRPr="000F1EA9">
        <w:tab/>
      </w:r>
      <w:r w:rsidR="000F1EA9">
        <w:t xml:space="preserve">The striking-out application was dismissed in the </w:t>
      </w:r>
      <w:r w:rsidR="002D1B9A">
        <w:t>t</w:t>
      </w:r>
      <w:r w:rsidR="000F1EA9">
        <w:t xml:space="preserve">ax </w:t>
      </w:r>
      <w:r w:rsidR="002D1B9A">
        <w:t>c</w:t>
      </w:r>
      <w:r w:rsidR="000F1EA9">
        <w:t xml:space="preserve">ourt by Ndita J who found </w:t>
      </w:r>
      <w:r w:rsidR="000F1EA9" w:rsidRPr="002D1B9A">
        <w:t>inter alia</w:t>
      </w:r>
      <w:r w:rsidR="000F1EA9">
        <w:t xml:space="preserve"> that the words </w:t>
      </w:r>
      <w:r w:rsidR="000F1EA9">
        <w:rPr>
          <w:i/>
        </w:rPr>
        <w:t>‘separately and together’</w:t>
      </w:r>
      <w:r w:rsidR="000F1EA9">
        <w:t xml:space="preserve"> is only relevant to what the Commissioner considers to be a </w:t>
      </w:r>
      <w:r w:rsidR="002D1B9A">
        <w:rPr>
          <w:i/>
        </w:rPr>
        <w:t>‘scheme’</w:t>
      </w:r>
      <w:r w:rsidR="000F1EA9">
        <w:t xml:space="preserve"> for purposes of GAAR. She pertinently found:</w:t>
      </w:r>
    </w:p>
    <w:p w:rsidR="000F1EA9" w:rsidRDefault="000F1EA9" w:rsidP="000F1EA9">
      <w:pPr>
        <w:pStyle w:val="ListParagraph"/>
        <w:rPr>
          <w:i/>
        </w:rPr>
      </w:pPr>
    </w:p>
    <w:p w:rsidR="000F1EA9" w:rsidRPr="00DE73E2" w:rsidRDefault="00B133B4" w:rsidP="000F1EA9">
      <w:pPr>
        <w:spacing w:line="360" w:lineRule="auto"/>
        <w:ind w:left="1440"/>
        <w:jc w:val="both"/>
        <w:rPr>
          <w:i/>
          <w:sz w:val="22"/>
          <w:szCs w:val="22"/>
        </w:rPr>
      </w:pPr>
      <w:r>
        <w:rPr>
          <w:i/>
          <w:sz w:val="22"/>
          <w:szCs w:val="22"/>
        </w:rPr>
        <w:t>‘</w:t>
      </w:r>
      <w:r w:rsidR="002D1B9A">
        <w:rPr>
          <w:i/>
          <w:sz w:val="22"/>
          <w:szCs w:val="22"/>
        </w:rPr>
        <w:t>[76]</w:t>
      </w:r>
      <w:r w:rsidR="002D1B9A">
        <w:rPr>
          <w:i/>
          <w:sz w:val="22"/>
          <w:szCs w:val="22"/>
        </w:rPr>
        <w:tab/>
        <w:t>…</w:t>
      </w:r>
      <w:r>
        <w:rPr>
          <w:i/>
          <w:sz w:val="22"/>
          <w:szCs w:val="22"/>
        </w:rPr>
        <w:t xml:space="preserve">I understand this to be so because in terms of the rule 31 statement, a “scheme” is constituted by each arrangement separately or by viewing any of the arrangements together, whereas in terms of the section 80J notice and the finalisation of audit letter a “scheme” is constituted by viewing each of the arrangements together. </w:t>
      </w:r>
      <w:r w:rsidR="00CA3EE5">
        <w:rPr>
          <w:i/>
          <w:sz w:val="22"/>
          <w:szCs w:val="22"/>
        </w:rPr>
        <w:t xml:space="preserve">It follows that </w:t>
      </w:r>
      <w:r w:rsidR="00DE73E2">
        <w:rPr>
          <w:i/>
          <w:sz w:val="22"/>
          <w:szCs w:val="22"/>
        </w:rPr>
        <w:t xml:space="preserve">the introduction of the words “separately </w:t>
      </w:r>
      <w:r w:rsidR="00DE73E2">
        <w:rPr>
          <w:i/>
          <w:sz w:val="22"/>
          <w:szCs w:val="22"/>
        </w:rPr>
        <w:lastRenderedPageBreak/>
        <w:t xml:space="preserve">and” in the Rule 31 statement does not alter the basis upon which </w:t>
      </w:r>
      <w:r w:rsidR="00DE73E2">
        <w:rPr>
          <w:sz w:val="22"/>
          <w:szCs w:val="22"/>
        </w:rPr>
        <w:t>[the applicant]</w:t>
      </w:r>
      <w:r w:rsidR="00DE73E2">
        <w:rPr>
          <w:i/>
          <w:sz w:val="22"/>
          <w:szCs w:val="22"/>
        </w:rPr>
        <w:t xml:space="preserve"> was assessed. Neither do they constitute the novation of the whole of the factual or legal basis of the disputed assessment.’</w:t>
      </w:r>
    </w:p>
    <w:p w:rsidR="000F1EA9" w:rsidRDefault="000F1EA9" w:rsidP="000F1EA9">
      <w:pPr>
        <w:pStyle w:val="ListParagraph"/>
        <w:rPr>
          <w:i/>
        </w:rPr>
      </w:pPr>
    </w:p>
    <w:p w:rsidR="000F1EA9" w:rsidRPr="00A3262B" w:rsidRDefault="00B53A5A" w:rsidP="00B53A5A">
      <w:pPr>
        <w:ind w:left="720" w:hanging="720"/>
        <w:jc w:val="both"/>
        <w:rPr>
          <w:i/>
        </w:rPr>
      </w:pPr>
      <w:r w:rsidRPr="00A3262B">
        <w:t>[9]</w:t>
      </w:r>
      <w:r w:rsidRPr="00A3262B">
        <w:tab/>
      </w:r>
      <w:r w:rsidR="00A3262B">
        <w:t xml:space="preserve">In the present application the applicant essentially advances the same argument which failed before Ndita J in support of two of his three “legal issues”, albeit in a different guise. These are what he has characterised the </w:t>
      </w:r>
      <w:r w:rsidR="00A3262B">
        <w:rPr>
          <w:i/>
        </w:rPr>
        <w:t>‘impossibility’</w:t>
      </w:r>
      <w:r w:rsidR="00A3262B">
        <w:t xml:space="preserve"> and </w:t>
      </w:r>
      <w:r w:rsidR="00A3262B">
        <w:rPr>
          <w:i/>
        </w:rPr>
        <w:t>‘legality’</w:t>
      </w:r>
      <w:r w:rsidR="00A3262B">
        <w:t xml:space="preserve"> issues. In truth they are also </w:t>
      </w:r>
      <w:r w:rsidR="002D1B9A">
        <w:t>actually</w:t>
      </w:r>
      <w:r w:rsidR="00A3262B">
        <w:t xml:space="preserve"> one issue.</w:t>
      </w:r>
    </w:p>
    <w:p w:rsidR="00A3262B" w:rsidRPr="00A3262B" w:rsidRDefault="00A3262B" w:rsidP="00A3262B">
      <w:pPr>
        <w:ind w:left="720"/>
        <w:jc w:val="both"/>
        <w:rPr>
          <w:i/>
        </w:rPr>
      </w:pPr>
    </w:p>
    <w:p w:rsidR="00A3262B" w:rsidRPr="00A3262B" w:rsidRDefault="00B53A5A" w:rsidP="00B53A5A">
      <w:pPr>
        <w:ind w:left="720" w:hanging="720"/>
        <w:jc w:val="both"/>
        <w:rPr>
          <w:i/>
        </w:rPr>
      </w:pPr>
      <w:r w:rsidRPr="00A3262B">
        <w:t>[10]</w:t>
      </w:r>
      <w:r w:rsidRPr="00A3262B">
        <w:tab/>
      </w:r>
      <w:r w:rsidR="00A3262B">
        <w:t xml:space="preserve">The applicant contends that </w:t>
      </w:r>
      <w:r w:rsidR="00114F26">
        <w:t xml:space="preserve">the relevant </w:t>
      </w:r>
      <w:r w:rsidR="001A63FB">
        <w:t>sub</w:t>
      </w:r>
      <w:r w:rsidR="00114F26">
        <w:t xml:space="preserve">paragraphs of the rule 31 statement are only capable of two possible interpretations, namely either </w:t>
      </w:r>
      <w:r w:rsidR="00A3262B">
        <w:rPr>
          <w:u w:val="single"/>
        </w:rPr>
        <w:t>each</w:t>
      </w:r>
      <w:r w:rsidR="00A3262B">
        <w:t xml:space="preserve"> of the “steps” contained in subparagraphs 54.1 to 54.4</w:t>
      </w:r>
      <w:r w:rsidR="001A63FB">
        <w:t>,</w:t>
      </w:r>
      <w:r w:rsidR="00A3262B">
        <w:t xml:space="preserve"> </w:t>
      </w:r>
      <w:r w:rsidR="00114F26">
        <w:t xml:space="preserve">or </w:t>
      </w:r>
      <w:r w:rsidR="00A3262B">
        <w:t xml:space="preserve"> </w:t>
      </w:r>
      <w:r w:rsidR="00A3262B">
        <w:rPr>
          <w:u w:val="single"/>
        </w:rPr>
        <w:t>each combination</w:t>
      </w:r>
      <w:r w:rsidR="00A3262B">
        <w:t xml:space="preserve"> of those steps, is an arrangement which resulted in a tax benefit to him</w:t>
      </w:r>
      <w:r w:rsidR="001A63FB">
        <w:t>. He maintains that,</w:t>
      </w:r>
      <w:r w:rsidR="00A3262B">
        <w:t xml:space="preserve"> for a host of legal and </w:t>
      </w:r>
      <w:r w:rsidR="00A3262B">
        <w:rPr>
          <w:i/>
        </w:rPr>
        <w:t>‘factual’</w:t>
      </w:r>
      <w:r w:rsidR="00A3262B">
        <w:t xml:space="preserve"> reasons</w:t>
      </w:r>
      <w:r w:rsidR="001A63FB">
        <w:t>, these two interpretations</w:t>
      </w:r>
      <w:r w:rsidR="00A3262B">
        <w:t xml:space="preserve"> </w:t>
      </w:r>
      <w:r w:rsidR="00114F26">
        <w:t>are</w:t>
      </w:r>
      <w:r w:rsidR="00A3262B">
        <w:t xml:space="preserve"> not </w:t>
      </w:r>
      <w:r w:rsidR="00114F26">
        <w:t xml:space="preserve">sustainable. </w:t>
      </w:r>
      <w:r w:rsidR="001A63FB">
        <w:t>(</w:t>
      </w:r>
      <w:r w:rsidR="00114F26">
        <w:t xml:space="preserve">His </w:t>
      </w:r>
      <w:r w:rsidR="001A63FB">
        <w:t>assertions</w:t>
      </w:r>
      <w:r w:rsidR="00114F26">
        <w:t xml:space="preserve"> and submissions </w:t>
      </w:r>
      <w:r w:rsidR="001A63FB">
        <w:t>about</w:t>
      </w:r>
      <w:r w:rsidR="00114F26">
        <w:t xml:space="preserve"> a </w:t>
      </w:r>
      <w:r w:rsidR="00114F26">
        <w:rPr>
          <w:i/>
        </w:rPr>
        <w:t>‘tax benefit’</w:t>
      </w:r>
      <w:r w:rsidR="00114F26">
        <w:t xml:space="preserve"> to him were not pursued in argument</w:t>
      </w:r>
      <w:r w:rsidR="001A63FB">
        <w:t>)</w:t>
      </w:r>
      <w:r w:rsidR="00114F26">
        <w:t>.</w:t>
      </w:r>
    </w:p>
    <w:p w:rsidR="00A3262B" w:rsidRDefault="00A3262B" w:rsidP="00A3262B">
      <w:pPr>
        <w:pStyle w:val="ListParagraph"/>
      </w:pPr>
    </w:p>
    <w:p w:rsidR="00A3262B" w:rsidRPr="00A3262B" w:rsidRDefault="00B53A5A" w:rsidP="00B53A5A">
      <w:pPr>
        <w:ind w:left="720" w:hanging="720"/>
        <w:jc w:val="both"/>
        <w:rPr>
          <w:i/>
        </w:rPr>
      </w:pPr>
      <w:r w:rsidRPr="00A3262B">
        <w:t>[11]</w:t>
      </w:r>
      <w:r w:rsidRPr="00A3262B">
        <w:tab/>
      </w:r>
      <w:r w:rsidR="00A3262B">
        <w:t>In advancing</w:t>
      </w:r>
      <w:r w:rsidR="00114F26">
        <w:t xml:space="preserve"> the above</w:t>
      </w:r>
      <w:r w:rsidR="00A3262B">
        <w:t xml:space="preserve">, the applicant </w:t>
      </w:r>
      <w:r w:rsidR="00114F26">
        <w:t>places great reliance</w:t>
      </w:r>
      <w:r w:rsidR="00A3262B">
        <w:t xml:space="preserve"> on the contents of an affidavit deposed to by Dr Matthew Marcus in opposition to the previous striking-out application. Dr Marcus is a senior specialist in the SARS audit department and he is responsible for the applicant’s audit. In that affidavit he provided an explanation for why he disagreed that the paragraphs complained of impermissibly broaden</w:t>
      </w:r>
      <w:r w:rsidR="00114F26">
        <w:t>ed</w:t>
      </w:r>
      <w:r w:rsidR="00A3262B">
        <w:t xml:space="preserve"> </w:t>
      </w:r>
      <w:r w:rsidR="00520282">
        <w:t>(or novate</w:t>
      </w:r>
      <w:r w:rsidR="00114F26">
        <w:t>d</w:t>
      </w:r>
      <w:r w:rsidR="00520282">
        <w:t xml:space="preserve">) </w:t>
      </w:r>
      <w:r w:rsidR="00A3262B">
        <w:t>SARS’ grounds of assessment.</w:t>
      </w:r>
    </w:p>
    <w:p w:rsidR="00A3262B" w:rsidRDefault="00A3262B" w:rsidP="00A3262B">
      <w:pPr>
        <w:pStyle w:val="ListParagraph"/>
      </w:pPr>
    </w:p>
    <w:p w:rsidR="00A3262B" w:rsidRPr="00BE7821" w:rsidRDefault="00B53A5A" w:rsidP="00B53A5A">
      <w:pPr>
        <w:ind w:left="720" w:hanging="720"/>
        <w:jc w:val="both"/>
        <w:rPr>
          <w:i/>
        </w:rPr>
      </w:pPr>
      <w:r w:rsidRPr="00BE7821">
        <w:lastRenderedPageBreak/>
        <w:t>[12]</w:t>
      </w:r>
      <w:r w:rsidRPr="00BE7821">
        <w:tab/>
      </w:r>
      <w:r w:rsidR="00A3262B">
        <w:t>Leaving aside the fact that SARS disputes the applicant’s interpretation of Dr Marcus’ evidence</w:t>
      </w:r>
      <w:r w:rsidR="002D1B9A">
        <w:t>, such evidence</w:t>
      </w:r>
      <w:r w:rsidR="00A3262B">
        <w:t xml:space="preserve"> is inadmissible. </w:t>
      </w:r>
      <w:r w:rsidR="002D1B9A">
        <w:t>Interpretation is a matter of law, not fact.</w:t>
      </w:r>
      <w:r w:rsidR="00E577B2">
        <w:rPr>
          <w:rStyle w:val="FootnoteReference"/>
        </w:rPr>
        <w:footnoteReference w:id="4"/>
      </w:r>
      <w:r w:rsidR="00BE7821">
        <w:t xml:space="preserve"> In addition, as found by Ndita J:</w:t>
      </w:r>
    </w:p>
    <w:p w:rsidR="00BE7821" w:rsidRDefault="00BE7821" w:rsidP="00BE7821">
      <w:pPr>
        <w:pStyle w:val="ListParagraph"/>
        <w:rPr>
          <w:i/>
        </w:rPr>
      </w:pPr>
    </w:p>
    <w:p w:rsidR="00BE7821" w:rsidRDefault="00BE7821" w:rsidP="00B640B7">
      <w:pPr>
        <w:pStyle w:val="ListParagraph"/>
        <w:spacing w:line="360" w:lineRule="auto"/>
        <w:ind w:left="1440"/>
        <w:jc w:val="both"/>
        <w:rPr>
          <w:i/>
          <w:sz w:val="22"/>
          <w:szCs w:val="22"/>
        </w:rPr>
      </w:pPr>
      <w:r>
        <w:rPr>
          <w:i/>
          <w:sz w:val="22"/>
          <w:szCs w:val="22"/>
        </w:rPr>
        <w:t>‘[75]</w:t>
      </w:r>
      <w:r>
        <w:rPr>
          <w:i/>
          <w:sz w:val="22"/>
          <w:szCs w:val="22"/>
        </w:rPr>
        <w:tab/>
        <w:t xml:space="preserve">Whereas, one understands the need to explain the notices on the part of Mr Marcus, it must be stated from the outset that it is not only undesirable, but impermissible for Mr Marcus to attempt to proffer an explanation of what his intention was when he issued any of the notices. His explanation of his intention is </w:t>
      </w:r>
      <w:r w:rsidR="00B640B7">
        <w:rPr>
          <w:i/>
          <w:sz w:val="22"/>
          <w:szCs w:val="22"/>
        </w:rPr>
        <w:t>ex post facto. In National Lotteries Board v South African Education Project</w:t>
      </w:r>
      <w:r w:rsidR="00B640B7">
        <w:rPr>
          <w:rStyle w:val="FootnoteReference"/>
          <w:i/>
          <w:sz w:val="22"/>
          <w:szCs w:val="22"/>
        </w:rPr>
        <w:footnoteReference w:id="5"/>
      </w:r>
      <w:r w:rsidR="00B640B7">
        <w:rPr>
          <w:i/>
          <w:sz w:val="22"/>
          <w:szCs w:val="22"/>
        </w:rPr>
        <w:t xml:space="preserve"> the court held that further reasons are ex post facto justifications, not the true reasons for the decision, and accepting them would be unfair to an applicant for judicial review. The court further endorsed the following approach of the English Appeal Court in R v Westminister City Council, ex parte Ermakov</w:t>
      </w:r>
      <w:r w:rsidR="00B640B7">
        <w:rPr>
          <w:rStyle w:val="FootnoteReference"/>
          <w:i/>
          <w:sz w:val="22"/>
          <w:szCs w:val="22"/>
        </w:rPr>
        <w:footnoteReference w:id="6"/>
      </w:r>
      <w:r w:rsidR="00B640B7">
        <w:rPr>
          <w:i/>
          <w:sz w:val="22"/>
          <w:szCs w:val="22"/>
        </w:rPr>
        <w:t>…</w:t>
      </w:r>
    </w:p>
    <w:p w:rsidR="000F1F24" w:rsidRDefault="000F1F24" w:rsidP="000F1F24">
      <w:pPr>
        <w:pStyle w:val="ListParagraph"/>
        <w:spacing w:line="240" w:lineRule="auto"/>
        <w:ind w:left="1440"/>
        <w:jc w:val="both"/>
        <w:rPr>
          <w:i/>
          <w:sz w:val="22"/>
          <w:szCs w:val="22"/>
        </w:rPr>
      </w:pPr>
    </w:p>
    <w:p w:rsidR="00B640B7" w:rsidRPr="00BE7821" w:rsidRDefault="00B640B7" w:rsidP="00B640B7">
      <w:pPr>
        <w:pStyle w:val="ListParagraph"/>
        <w:spacing w:line="360" w:lineRule="auto"/>
        <w:ind w:left="1440"/>
        <w:jc w:val="both"/>
        <w:rPr>
          <w:i/>
          <w:sz w:val="22"/>
          <w:szCs w:val="22"/>
        </w:rPr>
      </w:pPr>
      <w:r>
        <w:rPr>
          <w:i/>
          <w:sz w:val="22"/>
          <w:szCs w:val="22"/>
        </w:rPr>
        <w:t>Although the aforegoing was said in the context of a judicial review application, it is, by parity of reasoning equally applicable in casu…’</w:t>
      </w:r>
    </w:p>
    <w:p w:rsidR="00BE7821" w:rsidRDefault="00BE7821" w:rsidP="00BE7821">
      <w:pPr>
        <w:pStyle w:val="ListParagraph"/>
        <w:rPr>
          <w:i/>
        </w:rPr>
      </w:pPr>
    </w:p>
    <w:p w:rsidR="00BE7821" w:rsidRPr="00DA729F" w:rsidRDefault="00B53A5A" w:rsidP="00B53A5A">
      <w:pPr>
        <w:ind w:left="720" w:hanging="720"/>
        <w:jc w:val="both"/>
        <w:rPr>
          <w:i/>
        </w:rPr>
      </w:pPr>
      <w:r w:rsidRPr="00DA729F">
        <w:t>[13]</w:t>
      </w:r>
      <w:r w:rsidRPr="00DA729F">
        <w:tab/>
      </w:r>
      <w:r w:rsidR="009F2500">
        <w:t xml:space="preserve">In any event the applicant’s </w:t>
      </w:r>
      <w:r w:rsidR="00114F26">
        <w:t xml:space="preserve">argument that the relevant </w:t>
      </w:r>
      <w:r w:rsidR="00C35BEB">
        <w:t>sub</w:t>
      </w:r>
      <w:r w:rsidR="00114F26">
        <w:t xml:space="preserve">paragraphs are only capable of the above two interpretations is </w:t>
      </w:r>
      <w:r w:rsidR="009F2500">
        <w:t xml:space="preserve">fundamentally flawed. </w:t>
      </w:r>
      <w:r w:rsidR="00114F26">
        <w:t>This is because p</w:t>
      </w:r>
      <w:r w:rsidR="00DA729F">
        <w:t xml:space="preserve">aragraph 54 cannot be read in isolation. Although it identifies the </w:t>
      </w:r>
      <w:r w:rsidR="00DA729F">
        <w:rPr>
          <w:i/>
        </w:rPr>
        <w:t>‘arrangement’</w:t>
      </w:r>
      <w:r w:rsidR="00DA729F">
        <w:t xml:space="preserve"> or </w:t>
      </w:r>
      <w:r w:rsidR="00DA729F">
        <w:rPr>
          <w:i/>
        </w:rPr>
        <w:t>‘arrangements’</w:t>
      </w:r>
      <w:r w:rsidR="00DA729F">
        <w:t xml:space="preserve"> as consisting of what follows in subparagraphs 54.1 to 54.4, paragraph 55 expressly commences with the words </w:t>
      </w:r>
      <w:r w:rsidR="00DA729F">
        <w:rPr>
          <w:i/>
        </w:rPr>
        <w:t>‘</w:t>
      </w:r>
      <w:r w:rsidR="00DA729F">
        <w:t>[e]</w:t>
      </w:r>
      <w:r w:rsidR="00DA729F">
        <w:rPr>
          <w:i/>
        </w:rPr>
        <w:t>ach arrangement involving the steps listed above is a separate arrangement for the purposes of the GAAR’.</w:t>
      </w:r>
      <w:r w:rsidR="00DA729F">
        <w:t xml:space="preserve"> </w:t>
      </w:r>
      <w:r w:rsidR="00114F26">
        <w:t>The applicant’s approach also overlook</w:t>
      </w:r>
      <w:r w:rsidR="00C35BEB">
        <w:t>s</w:t>
      </w:r>
      <w:r w:rsidR="00114F26">
        <w:t xml:space="preserve"> the other pleaded paragraphs and it is trite that the pleading in question must be read, for purposes of interpretation, as a whole. </w:t>
      </w:r>
    </w:p>
    <w:p w:rsidR="00DA729F" w:rsidRPr="00DA729F" w:rsidRDefault="00B53A5A" w:rsidP="00B53A5A">
      <w:pPr>
        <w:ind w:left="720" w:hanging="720"/>
        <w:jc w:val="both"/>
        <w:rPr>
          <w:i/>
        </w:rPr>
      </w:pPr>
      <w:r w:rsidRPr="00DA729F">
        <w:lastRenderedPageBreak/>
        <w:t>[14]</w:t>
      </w:r>
      <w:r w:rsidRPr="00DA729F">
        <w:tab/>
      </w:r>
      <w:r w:rsidR="00DA729F">
        <w:t xml:space="preserve">The third “legal issue” which the applicant seeks to have determined in advance is what he has characterised the </w:t>
      </w:r>
      <w:r w:rsidR="00DA729F">
        <w:rPr>
          <w:i/>
        </w:rPr>
        <w:t>‘compensating adjustments issue’</w:t>
      </w:r>
      <w:r w:rsidR="00DA729F">
        <w:t>. This is formulated by the applicant as follows:</w:t>
      </w:r>
    </w:p>
    <w:p w:rsidR="00DA729F" w:rsidRDefault="00DA729F" w:rsidP="00DA729F">
      <w:pPr>
        <w:ind w:left="720"/>
        <w:jc w:val="both"/>
        <w:rPr>
          <w:i/>
        </w:rPr>
      </w:pPr>
    </w:p>
    <w:p w:rsidR="00DA729F" w:rsidRPr="00DA729F" w:rsidRDefault="00C538D8" w:rsidP="00C538D8">
      <w:pPr>
        <w:spacing w:line="360" w:lineRule="auto"/>
        <w:ind w:left="2160" w:hanging="720"/>
        <w:jc w:val="both"/>
        <w:rPr>
          <w:i/>
          <w:sz w:val="22"/>
          <w:szCs w:val="22"/>
        </w:rPr>
      </w:pPr>
      <w:r>
        <w:rPr>
          <w:i/>
          <w:sz w:val="22"/>
          <w:szCs w:val="22"/>
        </w:rPr>
        <w:t>‘10.1.7</w:t>
      </w:r>
      <w:r>
        <w:rPr>
          <w:i/>
          <w:sz w:val="22"/>
          <w:szCs w:val="22"/>
        </w:rPr>
        <w:tab/>
        <w:t>This is a purely legal issue as there are no disputes of fact. The Commissioner , by his own admission, did not make what I contend are mandatory compensating adjustments. He has explained why (see 10.2.6 below), and I submit that the court must make a decision based on that explanation. In fact, the Commissioner cannot be allowed to offer ex post facto evidence of his reasoning. He has made a decision and must stand or fall by it. Any attempt by the Commissioner to argue that a dispute of fact exists here should, I submit, therefore be rejected.’</w:t>
      </w:r>
    </w:p>
    <w:p w:rsidR="00DA729F" w:rsidRPr="00DA729F" w:rsidRDefault="00DA729F" w:rsidP="00DA729F">
      <w:pPr>
        <w:ind w:left="720"/>
        <w:jc w:val="both"/>
        <w:rPr>
          <w:i/>
        </w:rPr>
      </w:pPr>
    </w:p>
    <w:p w:rsidR="00DA729F" w:rsidRPr="00C538D8" w:rsidRDefault="00B53A5A" w:rsidP="00B53A5A">
      <w:pPr>
        <w:ind w:left="720" w:hanging="720"/>
        <w:jc w:val="both"/>
        <w:rPr>
          <w:i/>
        </w:rPr>
      </w:pPr>
      <w:r w:rsidRPr="00C538D8">
        <w:t>[15]</w:t>
      </w:r>
      <w:r w:rsidRPr="00C538D8">
        <w:tab/>
      </w:r>
      <w:r w:rsidR="00C538D8">
        <w:t>This is answered by SARS as follows:</w:t>
      </w:r>
    </w:p>
    <w:p w:rsidR="00C538D8" w:rsidRDefault="00C538D8" w:rsidP="00C538D8">
      <w:pPr>
        <w:jc w:val="both"/>
        <w:rPr>
          <w:i/>
        </w:rPr>
      </w:pPr>
    </w:p>
    <w:p w:rsidR="007A165F" w:rsidRDefault="007A165F" w:rsidP="007A165F">
      <w:pPr>
        <w:spacing w:line="360" w:lineRule="auto"/>
        <w:ind w:left="2160" w:hanging="720"/>
        <w:jc w:val="both"/>
        <w:rPr>
          <w:i/>
          <w:sz w:val="22"/>
          <w:szCs w:val="22"/>
        </w:rPr>
      </w:pPr>
      <w:r>
        <w:rPr>
          <w:i/>
          <w:sz w:val="22"/>
          <w:szCs w:val="22"/>
        </w:rPr>
        <w:t>‘118.2</w:t>
      </w:r>
      <w:r>
        <w:rPr>
          <w:i/>
          <w:sz w:val="22"/>
          <w:szCs w:val="22"/>
        </w:rPr>
        <w:tab/>
        <w:t>I am advised that the jurisdictional prerequisite for the Commissioner to make compensating adjustments arises in the event that the Commissioner is satisfied that the compensating adjustments are “necessary and appropriate”. If the Commissioner is not so satisfied, he is not required to make compensating adjustments. Thus the section 80B(2) requirement that the Commissioner make compensating adjustments is in the first instance dependent on the Commissioner’s satisfaction that such compensating adjustments are indeed necessary and appropriate.</w:t>
      </w:r>
    </w:p>
    <w:p w:rsidR="007A165F" w:rsidRDefault="007A165F" w:rsidP="007A165F">
      <w:pPr>
        <w:spacing w:line="360" w:lineRule="auto"/>
        <w:ind w:left="2160" w:hanging="720"/>
        <w:jc w:val="both"/>
        <w:rPr>
          <w:i/>
          <w:sz w:val="22"/>
          <w:szCs w:val="22"/>
        </w:rPr>
      </w:pPr>
    </w:p>
    <w:p w:rsidR="007A165F" w:rsidRDefault="007A165F" w:rsidP="007A165F">
      <w:pPr>
        <w:spacing w:line="360" w:lineRule="auto"/>
        <w:ind w:left="2160" w:hanging="720"/>
        <w:jc w:val="both"/>
        <w:rPr>
          <w:i/>
          <w:sz w:val="22"/>
          <w:szCs w:val="22"/>
        </w:rPr>
      </w:pPr>
      <w:r>
        <w:rPr>
          <w:i/>
          <w:sz w:val="22"/>
          <w:szCs w:val="22"/>
        </w:rPr>
        <w:t>118.3</w:t>
      </w:r>
      <w:r>
        <w:rPr>
          <w:i/>
          <w:sz w:val="22"/>
          <w:szCs w:val="22"/>
        </w:rPr>
        <w:tab/>
        <w:t xml:space="preserve">The applicant’s contention that the failure by the Commissioner to make compensating adjustments renders the assessments issued invalid and unlawful is denied: </w:t>
      </w:r>
    </w:p>
    <w:p w:rsidR="007A165F" w:rsidRDefault="007A165F" w:rsidP="007A165F">
      <w:pPr>
        <w:spacing w:line="360" w:lineRule="auto"/>
        <w:ind w:left="2160" w:hanging="720"/>
        <w:jc w:val="both"/>
        <w:rPr>
          <w:i/>
          <w:sz w:val="22"/>
          <w:szCs w:val="22"/>
        </w:rPr>
      </w:pPr>
    </w:p>
    <w:p w:rsidR="007A165F" w:rsidRDefault="007A165F" w:rsidP="00C23591">
      <w:pPr>
        <w:tabs>
          <w:tab w:val="left" w:pos="3119"/>
        </w:tabs>
        <w:spacing w:line="360" w:lineRule="auto"/>
        <w:ind w:left="3119" w:hanging="959"/>
        <w:jc w:val="both"/>
        <w:rPr>
          <w:i/>
          <w:sz w:val="22"/>
          <w:szCs w:val="22"/>
        </w:rPr>
      </w:pPr>
      <w:r>
        <w:rPr>
          <w:i/>
          <w:sz w:val="22"/>
          <w:szCs w:val="22"/>
        </w:rPr>
        <w:t>118.3.1</w:t>
      </w:r>
      <w:r w:rsidR="00C23591">
        <w:rPr>
          <w:i/>
          <w:sz w:val="22"/>
          <w:szCs w:val="22"/>
        </w:rPr>
        <w:tab/>
        <w:t>First, the issue of compensating adjustments is relevant to taxpayers</w:t>
      </w:r>
      <w:r>
        <w:rPr>
          <w:i/>
          <w:sz w:val="22"/>
          <w:szCs w:val="22"/>
        </w:rPr>
        <w:t xml:space="preserve"> </w:t>
      </w:r>
      <w:r w:rsidR="00C23591">
        <w:rPr>
          <w:i/>
          <w:sz w:val="22"/>
          <w:szCs w:val="22"/>
        </w:rPr>
        <w:t>other than the assessed taxpayer i.e. the applicant.</w:t>
      </w:r>
      <w:r w:rsidR="00063539">
        <w:rPr>
          <w:i/>
          <w:sz w:val="22"/>
          <w:szCs w:val="22"/>
        </w:rPr>
        <w:t xml:space="preserve"> </w:t>
      </w:r>
      <w:r w:rsidR="00063539">
        <w:rPr>
          <w:i/>
          <w:sz w:val="22"/>
          <w:szCs w:val="22"/>
        </w:rPr>
        <w:lastRenderedPageBreak/>
        <w:t>The tax affairs of other taxpayers (T) have no bearing on the assessments issued against the applicant.</w:t>
      </w:r>
    </w:p>
    <w:p w:rsidR="00063539" w:rsidRDefault="00063539" w:rsidP="00C23591">
      <w:pPr>
        <w:tabs>
          <w:tab w:val="left" w:pos="3119"/>
        </w:tabs>
        <w:spacing w:line="360" w:lineRule="auto"/>
        <w:ind w:left="3119" w:hanging="959"/>
        <w:jc w:val="both"/>
        <w:rPr>
          <w:i/>
          <w:sz w:val="22"/>
          <w:szCs w:val="22"/>
        </w:rPr>
      </w:pPr>
    </w:p>
    <w:p w:rsidR="00063539" w:rsidRDefault="00063539" w:rsidP="00C23591">
      <w:pPr>
        <w:tabs>
          <w:tab w:val="left" w:pos="3119"/>
        </w:tabs>
        <w:spacing w:line="360" w:lineRule="auto"/>
        <w:ind w:left="3119" w:hanging="959"/>
        <w:jc w:val="both"/>
        <w:rPr>
          <w:i/>
          <w:sz w:val="22"/>
          <w:szCs w:val="22"/>
        </w:rPr>
      </w:pPr>
      <w:r>
        <w:rPr>
          <w:i/>
          <w:sz w:val="22"/>
          <w:szCs w:val="22"/>
        </w:rPr>
        <w:t>118.3.2</w:t>
      </w:r>
      <w:r>
        <w:rPr>
          <w:i/>
          <w:sz w:val="22"/>
          <w:szCs w:val="22"/>
        </w:rPr>
        <w:tab/>
        <w:t>Second, the Commissioner was satisfied that compensating adjustments are not “necessary and appropriate”…</w:t>
      </w:r>
    </w:p>
    <w:p w:rsidR="00063539" w:rsidRDefault="00063539" w:rsidP="00C23591">
      <w:pPr>
        <w:tabs>
          <w:tab w:val="left" w:pos="3119"/>
        </w:tabs>
        <w:spacing w:line="360" w:lineRule="auto"/>
        <w:ind w:left="3119" w:hanging="959"/>
        <w:jc w:val="both"/>
        <w:rPr>
          <w:i/>
          <w:sz w:val="22"/>
          <w:szCs w:val="22"/>
        </w:rPr>
      </w:pPr>
    </w:p>
    <w:p w:rsidR="00063539" w:rsidRPr="00C538D8" w:rsidRDefault="00063539" w:rsidP="00063539">
      <w:pPr>
        <w:tabs>
          <w:tab w:val="left" w:pos="1418"/>
          <w:tab w:val="left" w:pos="2268"/>
          <w:tab w:val="left" w:pos="3119"/>
        </w:tabs>
        <w:spacing w:line="360" w:lineRule="auto"/>
        <w:ind w:left="2268" w:hanging="2268"/>
        <w:jc w:val="both"/>
        <w:rPr>
          <w:i/>
          <w:sz w:val="22"/>
          <w:szCs w:val="22"/>
        </w:rPr>
      </w:pPr>
      <w:r>
        <w:rPr>
          <w:i/>
          <w:sz w:val="22"/>
          <w:szCs w:val="22"/>
        </w:rPr>
        <w:tab/>
        <w:t>118.4</w:t>
      </w:r>
      <w:r>
        <w:rPr>
          <w:i/>
          <w:sz w:val="22"/>
          <w:szCs w:val="22"/>
        </w:rPr>
        <w:tab/>
        <w:t xml:space="preserve">Any contention that the Commissioner failed to exercise his discretion to make </w:t>
      </w:r>
      <w:r w:rsidR="00C71E7B">
        <w:rPr>
          <w:i/>
          <w:sz w:val="22"/>
          <w:szCs w:val="22"/>
        </w:rPr>
        <w:t>compensating adjustments correctly could have formed the subject matter of a complaint by the affected party, in respect of which the applicant does not have locus standi. It is for the party that claims it is entitled to compensating adjustments (such as T), to take such steps to claim them as may be necessary.’</w:t>
      </w:r>
    </w:p>
    <w:p w:rsidR="00C538D8" w:rsidRPr="00C538D8" w:rsidRDefault="00C538D8" w:rsidP="00C538D8">
      <w:pPr>
        <w:jc w:val="both"/>
        <w:rPr>
          <w:i/>
        </w:rPr>
      </w:pPr>
    </w:p>
    <w:p w:rsidR="00C538D8" w:rsidRPr="00C71E7B" w:rsidRDefault="00B53A5A" w:rsidP="00B53A5A">
      <w:pPr>
        <w:ind w:left="720" w:hanging="720"/>
        <w:jc w:val="both"/>
        <w:rPr>
          <w:i/>
        </w:rPr>
      </w:pPr>
      <w:r w:rsidRPr="00C71E7B">
        <w:t>[16]</w:t>
      </w:r>
      <w:r w:rsidRPr="00C71E7B">
        <w:tab/>
      </w:r>
      <w:r w:rsidR="00C71E7B">
        <w:t>Section 80B(2) of the ITA provides in relevant part that:</w:t>
      </w:r>
    </w:p>
    <w:p w:rsidR="00C71E7B" w:rsidRDefault="00C71E7B" w:rsidP="00C71E7B">
      <w:pPr>
        <w:jc w:val="both"/>
        <w:rPr>
          <w:i/>
        </w:rPr>
      </w:pPr>
    </w:p>
    <w:p w:rsidR="00C71E7B" w:rsidRDefault="00D769C0" w:rsidP="00C71E7B">
      <w:pPr>
        <w:spacing w:line="360" w:lineRule="auto"/>
        <w:ind w:left="1440"/>
        <w:jc w:val="both"/>
        <w:rPr>
          <w:sz w:val="22"/>
          <w:szCs w:val="22"/>
        </w:rPr>
      </w:pPr>
      <w:r>
        <w:rPr>
          <w:i/>
          <w:sz w:val="22"/>
          <w:szCs w:val="22"/>
        </w:rPr>
        <w:t xml:space="preserve">‘…the Commissioner must make compensating adjustments that </w:t>
      </w:r>
      <w:r w:rsidRPr="00C35BEB">
        <w:rPr>
          <w:i/>
          <w:sz w:val="22"/>
          <w:szCs w:val="22"/>
          <w:u w:val="single"/>
        </w:rPr>
        <w:t>he or she is satisfied</w:t>
      </w:r>
      <w:r w:rsidRPr="00C35BEB">
        <w:rPr>
          <w:i/>
          <w:sz w:val="22"/>
          <w:szCs w:val="22"/>
        </w:rPr>
        <w:t xml:space="preserve"> are necessary and appropriate to ensure the consistent treatment of all parties to the impermissible avoidance arrangement.’</w:t>
      </w:r>
    </w:p>
    <w:p w:rsidR="00C35BEB" w:rsidRDefault="00C35BEB" w:rsidP="00C35BEB">
      <w:pPr>
        <w:spacing w:line="240" w:lineRule="auto"/>
        <w:ind w:left="1440"/>
        <w:jc w:val="both"/>
        <w:rPr>
          <w:sz w:val="22"/>
          <w:szCs w:val="22"/>
        </w:rPr>
      </w:pPr>
    </w:p>
    <w:p w:rsidR="00C35BEB" w:rsidRPr="00C35BEB" w:rsidRDefault="00C35BEB" w:rsidP="00C71E7B">
      <w:pPr>
        <w:spacing w:line="360" w:lineRule="auto"/>
        <w:ind w:left="1440"/>
        <w:jc w:val="both"/>
        <w:rPr>
          <w:sz w:val="22"/>
          <w:szCs w:val="22"/>
        </w:rPr>
      </w:pPr>
      <w:r>
        <w:rPr>
          <w:sz w:val="22"/>
          <w:szCs w:val="22"/>
        </w:rPr>
        <w:t>[emphasis supplied]</w:t>
      </w:r>
    </w:p>
    <w:p w:rsidR="00C71E7B" w:rsidRPr="00C71E7B" w:rsidRDefault="00C71E7B" w:rsidP="00C71E7B">
      <w:pPr>
        <w:jc w:val="both"/>
        <w:rPr>
          <w:i/>
        </w:rPr>
      </w:pPr>
    </w:p>
    <w:p w:rsidR="000D258B" w:rsidRPr="00C35BEB" w:rsidRDefault="00B53A5A" w:rsidP="00B53A5A">
      <w:pPr>
        <w:ind w:left="720" w:hanging="720"/>
        <w:jc w:val="both"/>
        <w:rPr>
          <w:i/>
        </w:rPr>
      </w:pPr>
      <w:r w:rsidRPr="00C35BEB">
        <w:t>[17]</w:t>
      </w:r>
      <w:r w:rsidRPr="00C35BEB">
        <w:tab/>
      </w:r>
      <w:r w:rsidR="00D769C0">
        <w:t>The Commissioner’s stance on this score is undoubtedly correct. The requirement that the Commissioner make compensating adjustments is in the first instance dependent on his satisfaction that such compensating adjustments are indeed necessary and appropriate. Clearly, his decision not to make adjustments must be rationally connected to the power given to him in s 80B(2)</w:t>
      </w:r>
      <w:r w:rsidR="00C35BEB">
        <w:t xml:space="preserve">, but the applicant has no </w:t>
      </w:r>
      <w:r w:rsidR="00C35BEB">
        <w:rPr>
          <w:i/>
        </w:rPr>
        <w:t>locus standi</w:t>
      </w:r>
      <w:r w:rsidR="00C35BEB">
        <w:t xml:space="preserve"> to challenge this. </w:t>
      </w:r>
    </w:p>
    <w:p w:rsidR="00C35BEB" w:rsidRPr="00C35BEB" w:rsidRDefault="00C35BEB" w:rsidP="00C35BEB">
      <w:pPr>
        <w:ind w:left="720"/>
        <w:jc w:val="both"/>
        <w:rPr>
          <w:i/>
        </w:rPr>
      </w:pPr>
    </w:p>
    <w:p w:rsidR="000D258B" w:rsidRPr="00D60EF2" w:rsidRDefault="00B53A5A" w:rsidP="00B53A5A">
      <w:pPr>
        <w:ind w:left="720" w:hanging="720"/>
        <w:jc w:val="both"/>
        <w:rPr>
          <w:i/>
        </w:rPr>
      </w:pPr>
      <w:r w:rsidRPr="00D60EF2">
        <w:t>[18]</w:t>
      </w:r>
      <w:r w:rsidRPr="00D60EF2">
        <w:tab/>
      </w:r>
      <w:r w:rsidR="000D258B">
        <w:t xml:space="preserve">The applicant’s contention that the Commissioner is obliged to make compensating adjustments and by not doing so, he renders the </w:t>
      </w:r>
      <w:r w:rsidR="000D258B">
        <w:rPr>
          <w:u w:val="single"/>
        </w:rPr>
        <w:t>applicant’s</w:t>
      </w:r>
      <w:r w:rsidR="000D258B">
        <w:t xml:space="preserve"> </w:t>
      </w:r>
      <w:r w:rsidR="000D258B">
        <w:lastRenderedPageBreak/>
        <w:t xml:space="preserve">assessment invalid and unlawful is devoid of merit. First, the Commissioner is not </w:t>
      </w:r>
      <w:r w:rsidR="00704812">
        <w:t xml:space="preserve">“obliged” to make compensating adjustments as is clear from the wording of the subsection itself. Second, the issue of compensating adjustments is relevant to taxpayers other than the assessed taxpayer, i.e. the applicant. Put differently, the tax affairs of other taxpayers (T) had no bearing on the assessments issued against the applicant. It is for T, should it claim that it is entitled to compensating adjustments, to take such steps to claim them as may be necessary (which, as I understand it, has not occurred). </w:t>
      </w:r>
    </w:p>
    <w:p w:rsidR="00D60EF2" w:rsidRDefault="00D60EF2" w:rsidP="00D60EF2">
      <w:pPr>
        <w:pStyle w:val="ListParagraph"/>
        <w:rPr>
          <w:i/>
        </w:rPr>
      </w:pPr>
    </w:p>
    <w:p w:rsidR="00D60EF2" w:rsidRPr="007E12BD" w:rsidRDefault="00B53A5A" w:rsidP="00B53A5A">
      <w:pPr>
        <w:ind w:left="720" w:hanging="720"/>
        <w:jc w:val="both"/>
        <w:rPr>
          <w:i/>
        </w:rPr>
      </w:pPr>
      <w:r w:rsidRPr="007E12BD">
        <w:t>[19]</w:t>
      </w:r>
      <w:r w:rsidRPr="007E12BD">
        <w:tab/>
      </w:r>
      <w:r w:rsidR="00D60EF2">
        <w:t>The primary purpose of the relief sought by the applicant is thus without foundation.</w:t>
      </w:r>
      <w:r w:rsidR="007E12BD">
        <w:t xml:space="preserve"> No purpose would be served by granting him leave to amend his rule 32 statement to support his flawed interpretation of SARS’ pleading and the same applies to his quest for a collateral challenge (leaving aside the considerable merit in SARS’ argument that the applicant put the cart before the horse).</w:t>
      </w:r>
    </w:p>
    <w:p w:rsidR="007E12BD" w:rsidRDefault="007E12BD" w:rsidP="007E12BD">
      <w:pPr>
        <w:pStyle w:val="ListParagraph"/>
        <w:rPr>
          <w:i/>
        </w:rPr>
      </w:pPr>
    </w:p>
    <w:p w:rsidR="007E12BD" w:rsidRPr="007E12BD" w:rsidRDefault="00B53A5A" w:rsidP="00B53A5A">
      <w:pPr>
        <w:ind w:left="720" w:hanging="720"/>
        <w:jc w:val="both"/>
        <w:rPr>
          <w:i/>
        </w:rPr>
      </w:pPr>
      <w:r w:rsidRPr="007E12BD">
        <w:t>[20]</w:t>
      </w:r>
      <w:r w:rsidRPr="007E12BD">
        <w:tab/>
      </w:r>
      <w:r w:rsidR="007E12BD">
        <w:t>That leaves the issue of costs as provided for in s 130(3)(b) of the TAA. This is where the litigation history between the parties to date becomes relevant. The pleadings proper commenced with the Commissioner’s rule 31 statement on 31 January 2018. The applicant’s rule 32 statement was delivered on 29 May 2018, followed by SARS’ rule 33 statement on 27 June 2018.</w:t>
      </w:r>
    </w:p>
    <w:p w:rsidR="007E12BD" w:rsidRDefault="007E12BD" w:rsidP="007E12BD">
      <w:pPr>
        <w:pStyle w:val="ListParagraph"/>
        <w:rPr>
          <w:i/>
        </w:rPr>
      </w:pPr>
    </w:p>
    <w:p w:rsidR="00C35BEB" w:rsidRPr="00C35BEB" w:rsidRDefault="00B53A5A" w:rsidP="00B53A5A">
      <w:pPr>
        <w:ind w:left="720" w:hanging="720"/>
        <w:jc w:val="both"/>
        <w:rPr>
          <w:i/>
        </w:rPr>
      </w:pPr>
      <w:r w:rsidRPr="00C35BEB">
        <w:t>[21]</w:t>
      </w:r>
      <w:r w:rsidRPr="00C35BEB">
        <w:tab/>
      </w:r>
      <w:r w:rsidR="007E12BD">
        <w:t xml:space="preserve">Some two years later, on 9 April 2020, the applicant substantially amended his rule 32 statement. Thereafter on 8 May 2020 he launched the striking-out application referred to above. Ndita J delivered her judgment on 12 November </w:t>
      </w:r>
      <w:r w:rsidR="007E12BD">
        <w:lastRenderedPageBreak/>
        <w:t>2020. The applicant appealed the dismissal of the striking-out application to the High Court. The appeal was heard on 28 January 2022 and judgment was delivered on 10 March 2022. The High Court dismissed the appeal with costs on the basis that Ndita J’s order was not appealable. Undeterred, the current application was brought by the applicant some 27 months after the judgment of Ndita J and 11 months after the dismissal of the appeal by the High Court</w:t>
      </w:r>
      <w:r w:rsidR="00D60035">
        <w:t xml:space="preserve">. </w:t>
      </w:r>
    </w:p>
    <w:p w:rsidR="00C35BEB" w:rsidRDefault="00C35BEB" w:rsidP="00C35BEB">
      <w:pPr>
        <w:pStyle w:val="ListParagraph"/>
      </w:pPr>
    </w:p>
    <w:p w:rsidR="007E12BD" w:rsidRPr="00826558" w:rsidRDefault="00B53A5A" w:rsidP="00B53A5A">
      <w:pPr>
        <w:ind w:left="720" w:hanging="720"/>
        <w:jc w:val="both"/>
        <w:rPr>
          <w:i/>
        </w:rPr>
      </w:pPr>
      <w:r w:rsidRPr="00826558">
        <w:t>[22]</w:t>
      </w:r>
      <w:r w:rsidRPr="00826558">
        <w:tab/>
      </w:r>
      <w:r w:rsidR="00D60035">
        <w:t xml:space="preserve">The significance of the delay lies in the fact that the foundational basis of the present application is the striking-out application and, in large measure, the affidavit deposed to by Dr Marcus in those proceedings. </w:t>
      </w:r>
      <w:r w:rsidR="00C35BEB">
        <w:t>Moreover d</w:t>
      </w:r>
      <w:r w:rsidR="00D60035">
        <w:t>uring November 2022 the appeal itself was allocated to me for hearing from 2 to 12</w:t>
      </w:r>
      <w:r w:rsidR="00C35BEB">
        <w:t> </w:t>
      </w:r>
      <w:r w:rsidR="00D60035">
        <w:t xml:space="preserve">May 2023. The applicant only launched this application on 20 March 2023, a mere six weeks prior to the scheduled commencement of the </w:t>
      </w:r>
      <w:r w:rsidR="00C35BEB">
        <w:t>appeal</w:t>
      </w:r>
      <w:r w:rsidR="00D60035">
        <w:t xml:space="preserve">, with the consequence that it could not proceed. The applicant appears to place passing reliance on having had sight of the decision in </w:t>
      </w:r>
      <w:r w:rsidR="00D60035">
        <w:rPr>
          <w:i/>
        </w:rPr>
        <w:t>Forge Packaging</w:t>
      </w:r>
      <w:r w:rsidR="00826558">
        <w:t>.</w:t>
      </w:r>
      <w:r w:rsidR="00D60035">
        <w:rPr>
          <w:rStyle w:val="FootnoteReference"/>
        </w:rPr>
        <w:footnoteReference w:id="7"/>
      </w:r>
      <w:r w:rsidR="00826558">
        <w:t xml:space="preserve"> However that decision was handed down on 13 June 2022; and, as far as can be gleaned from his papers, the only reliance which the applicant places thereon is with reference to his so-called collateral challenge. </w:t>
      </w:r>
    </w:p>
    <w:p w:rsidR="00826558" w:rsidRPr="00826558" w:rsidRDefault="00826558" w:rsidP="00826558">
      <w:pPr>
        <w:ind w:left="720"/>
        <w:jc w:val="both"/>
        <w:rPr>
          <w:i/>
        </w:rPr>
      </w:pPr>
    </w:p>
    <w:p w:rsidR="00826558" w:rsidRPr="00826558" w:rsidRDefault="00B53A5A" w:rsidP="00B53A5A">
      <w:pPr>
        <w:ind w:left="720" w:hanging="720"/>
        <w:jc w:val="both"/>
        <w:rPr>
          <w:i/>
        </w:rPr>
      </w:pPr>
      <w:r w:rsidRPr="00826558">
        <w:t>[23]</w:t>
      </w:r>
      <w:r w:rsidRPr="00826558">
        <w:tab/>
      </w:r>
      <w:r w:rsidR="00826558">
        <w:t xml:space="preserve">The applicant’s founding papers (including his direct reference to the striking-out application) ran to 609 pages. Although I accept that he is now representing himself, he is hardly a lay person. Given the delay; the length of his papers; the inordinate amount of time which this court had to expend trawling through those </w:t>
      </w:r>
      <w:r w:rsidR="00826558">
        <w:lastRenderedPageBreak/>
        <w:t xml:space="preserve">papers; the inevitable and unnecessary cost to SARS in having to deal therewith; and what is a baseless application, </w:t>
      </w:r>
      <w:r w:rsidR="00C35BEB">
        <w:t>I conclude</w:t>
      </w:r>
      <w:r w:rsidR="00826558">
        <w:t xml:space="preserve"> that this is one of those instances where the applicant must bear the costs. In this regard, it is noted that he was not ordered to pay costs in the striking-out application.</w:t>
      </w:r>
    </w:p>
    <w:p w:rsidR="00826558" w:rsidRDefault="00826558" w:rsidP="00826558">
      <w:pPr>
        <w:pStyle w:val="ListParagraph"/>
        <w:rPr>
          <w:i/>
        </w:rPr>
      </w:pPr>
    </w:p>
    <w:p w:rsidR="00826558" w:rsidRPr="00826558" w:rsidRDefault="00B53A5A" w:rsidP="00B53A5A">
      <w:pPr>
        <w:ind w:left="720" w:hanging="720"/>
        <w:jc w:val="both"/>
        <w:rPr>
          <w:i/>
        </w:rPr>
      </w:pPr>
      <w:r w:rsidRPr="00826558">
        <w:t>[24]</w:t>
      </w:r>
      <w:r w:rsidRPr="00826558">
        <w:tab/>
      </w:r>
      <w:r w:rsidR="00826558">
        <w:rPr>
          <w:b/>
        </w:rPr>
        <w:t>The following order is made:</w:t>
      </w:r>
    </w:p>
    <w:p w:rsidR="00826558" w:rsidRDefault="00826558" w:rsidP="00826558">
      <w:pPr>
        <w:pStyle w:val="ListParagraph"/>
        <w:rPr>
          <w:i/>
        </w:rPr>
      </w:pPr>
    </w:p>
    <w:p w:rsidR="00826558" w:rsidRDefault="00826558" w:rsidP="00826558">
      <w:pPr>
        <w:ind w:left="720"/>
        <w:jc w:val="both"/>
        <w:rPr>
          <w:b/>
          <w:i/>
        </w:rPr>
      </w:pPr>
      <w:r>
        <w:rPr>
          <w:b/>
          <w:i/>
        </w:rPr>
        <w:t>‘The application is dismissed with costs on the scale as between party and party, including the costs of two counsel where so employed.’</w:t>
      </w:r>
    </w:p>
    <w:p w:rsidR="00826558" w:rsidRDefault="00826558" w:rsidP="00826558">
      <w:pPr>
        <w:ind w:left="720"/>
        <w:jc w:val="both"/>
        <w:rPr>
          <w:b/>
          <w:i/>
        </w:rPr>
      </w:pPr>
    </w:p>
    <w:p w:rsidR="00826558" w:rsidRDefault="00826558" w:rsidP="00826558">
      <w:pPr>
        <w:ind w:left="720"/>
        <w:jc w:val="both"/>
        <w:rPr>
          <w:b/>
        </w:rPr>
      </w:pPr>
    </w:p>
    <w:p w:rsidR="00E55010" w:rsidRDefault="00E55010" w:rsidP="00826558">
      <w:pPr>
        <w:ind w:left="720"/>
        <w:jc w:val="both"/>
        <w:rPr>
          <w:b/>
        </w:rPr>
      </w:pPr>
      <w:r>
        <w:rPr>
          <w:b/>
        </w:rPr>
        <w:tab/>
      </w:r>
      <w:r>
        <w:rPr>
          <w:b/>
        </w:rPr>
        <w:tab/>
      </w:r>
      <w:r>
        <w:rPr>
          <w:b/>
        </w:rPr>
        <w:tab/>
      </w:r>
      <w:r>
        <w:rPr>
          <w:b/>
        </w:rPr>
        <w:tab/>
      </w:r>
      <w:r>
        <w:rPr>
          <w:b/>
        </w:rPr>
        <w:tab/>
      </w:r>
      <w:r>
        <w:rPr>
          <w:b/>
        </w:rPr>
        <w:tab/>
        <w:t>____________________</w:t>
      </w:r>
    </w:p>
    <w:p w:rsidR="00E55010" w:rsidRPr="00826558" w:rsidRDefault="00E55010" w:rsidP="00826558">
      <w:pPr>
        <w:ind w:left="720"/>
        <w:jc w:val="both"/>
        <w:rPr>
          <w:b/>
        </w:rPr>
      </w:pPr>
      <w:r>
        <w:rPr>
          <w:b/>
        </w:rPr>
        <w:tab/>
      </w:r>
      <w:r>
        <w:rPr>
          <w:b/>
        </w:rPr>
        <w:tab/>
      </w:r>
      <w:r>
        <w:rPr>
          <w:b/>
        </w:rPr>
        <w:tab/>
      </w:r>
      <w:r>
        <w:rPr>
          <w:b/>
        </w:rPr>
        <w:tab/>
      </w:r>
      <w:r>
        <w:rPr>
          <w:b/>
        </w:rPr>
        <w:tab/>
      </w:r>
      <w:r>
        <w:rPr>
          <w:b/>
        </w:rPr>
        <w:tab/>
      </w:r>
      <w:r w:rsidR="00187FB8">
        <w:rPr>
          <w:b/>
        </w:rPr>
        <w:t>J I CLOETE</w:t>
      </w:r>
    </w:p>
    <w:sectPr w:rsidR="00E55010" w:rsidRPr="00826558" w:rsidSect="00335F82">
      <w:headerReference w:type="default" r:id="rId12"/>
      <w:pgSz w:w="11906" w:h="16838"/>
      <w:pgMar w:top="568" w:right="1416"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9D1" w:rsidRDefault="000859D1" w:rsidP="00593172">
      <w:pPr>
        <w:spacing w:line="240" w:lineRule="auto"/>
      </w:pPr>
      <w:r>
        <w:separator/>
      </w:r>
    </w:p>
  </w:endnote>
  <w:endnote w:type="continuationSeparator" w:id="0">
    <w:p w:rsidR="000859D1" w:rsidRDefault="000859D1" w:rsidP="00593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9D1" w:rsidRDefault="000859D1" w:rsidP="00593172">
      <w:pPr>
        <w:spacing w:line="240" w:lineRule="auto"/>
      </w:pPr>
      <w:r>
        <w:separator/>
      </w:r>
    </w:p>
  </w:footnote>
  <w:footnote w:type="continuationSeparator" w:id="0">
    <w:p w:rsidR="000859D1" w:rsidRDefault="000859D1" w:rsidP="00593172">
      <w:pPr>
        <w:spacing w:line="240" w:lineRule="auto"/>
      </w:pPr>
      <w:r>
        <w:continuationSeparator/>
      </w:r>
    </w:p>
  </w:footnote>
  <w:footnote w:id="1">
    <w:p w:rsidR="004A4664" w:rsidRDefault="004A4664" w:rsidP="004A4664">
      <w:pPr>
        <w:pStyle w:val="FootnoteText"/>
        <w:tabs>
          <w:tab w:val="left" w:pos="284"/>
        </w:tabs>
      </w:pPr>
      <w:r>
        <w:rPr>
          <w:rStyle w:val="FootnoteReference"/>
        </w:rPr>
        <w:footnoteRef/>
      </w:r>
      <w:r>
        <w:t xml:space="preserve"> </w:t>
      </w:r>
      <w:r>
        <w:tab/>
        <w:t>Promulgated under s 103 of the Tax Administration Act 28 of 2011 (“TAA”).</w:t>
      </w:r>
    </w:p>
  </w:footnote>
  <w:footnote w:id="2">
    <w:p w:rsidR="004A4664" w:rsidRDefault="004A4664" w:rsidP="004A4664">
      <w:pPr>
        <w:pStyle w:val="FootnoteText"/>
        <w:tabs>
          <w:tab w:val="left" w:pos="284"/>
        </w:tabs>
      </w:pPr>
      <w:r>
        <w:rPr>
          <w:rStyle w:val="FootnoteReference"/>
        </w:rPr>
        <w:footnoteRef/>
      </w:r>
      <w:r>
        <w:t xml:space="preserve"> </w:t>
      </w:r>
      <w:r>
        <w:tab/>
        <w:t>Secondary tax on companies.</w:t>
      </w:r>
    </w:p>
  </w:footnote>
  <w:footnote w:id="3">
    <w:p w:rsidR="0040280A" w:rsidRDefault="0040280A" w:rsidP="0040280A">
      <w:pPr>
        <w:pStyle w:val="FootnoteText"/>
        <w:tabs>
          <w:tab w:val="left" w:pos="284"/>
        </w:tabs>
      </w:pPr>
      <w:r>
        <w:rPr>
          <w:rStyle w:val="FootnoteReference"/>
        </w:rPr>
        <w:footnoteRef/>
      </w:r>
      <w:r>
        <w:t xml:space="preserve"> </w:t>
      </w:r>
      <w:r>
        <w:tab/>
        <w:t>Income Tax Act 58 of 1962.</w:t>
      </w:r>
    </w:p>
  </w:footnote>
  <w:footnote w:id="4">
    <w:p w:rsidR="00E577B2" w:rsidRPr="00942741" w:rsidRDefault="00E577B2" w:rsidP="00E577B2">
      <w:pPr>
        <w:pStyle w:val="FootnoteText"/>
        <w:tabs>
          <w:tab w:val="left" w:pos="284"/>
        </w:tabs>
        <w:ind w:left="284" w:hanging="284"/>
        <w:jc w:val="both"/>
      </w:pPr>
      <w:r>
        <w:rPr>
          <w:rStyle w:val="FootnoteReference"/>
        </w:rPr>
        <w:footnoteRef/>
      </w:r>
      <w:r>
        <w:t xml:space="preserve"> </w:t>
      </w:r>
      <w:r w:rsidR="00942741">
        <w:tab/>
      </w:r>
      <w:r w:rsidR="00942741">
        <w:rPr>
          <w:i/>
        </w:rPr>
        <w:t xml:space="preserve">KPMG Chartered Accountants (Pty) Ltd v Securefin Ltd and Another </w:t>
      </w:r>
      <w:r w:rsidR="00942741">
        <w:t>2009 (4) SA 339 (SCA) at para [39].</w:t>
      </w:r>
    </w:p>
  </w:footnote>
  <w:footnote w:id="5">
    <w:p w:rsidR="00B640B7" w:rsidRDefault="00B640B7" w:rsidP="00B640B7">
      <w:pPr>
        <w:pStyle w:val="FootnoteText"/>
        <w:tabs>
          <w:tab w:val="left" w:pos="284"/>
        </w:tabs>
      </w:pPr>
      <w:r>
        <w:rPr>
          <w:rStyle w:val="FootnoteReference"/>
        </w:rPr>
        <w:footnoteRef/>
      </w:r>
      <w:r>
        <w:t xml:space="preserve"> </w:t>
      </w:r>
      <w:r>
        <w:tab/>
        <w:t>2012 (4) SA 504 (SCA) at para [27].</w:t>
      </w:r>
    </w:p>
  </w:footnote>
  <w:footnote w:id="6">
    <w:p w:rsidR="00B640B7" w:rsidRDefault="00B640B7" w:rsidP="00B640B7">
      <w:pPr>
        <w:pStyle w:val="FootnoteText"/>
        <w:tabs>
          <w:tab w:val="left" w:pos="284"/>
        </w:tabs>
      </w:pPr>
      <w:r>
        <w:rPr>
          <w:rStyle w:val="FootnoteReference"/>
        </w:rPr>
        <w:footnoteRef/>
      </w:r>
      <w:r>
        <w:t xml:space="preserve"> </w:t>
      </w:r>
      <w:r>
        <w:tab/>
        <w:t>[1995] 2 All ER 302 (CA) at 315h-316d.</w:t>
      </w:r>
    </w:p>
  </w:footnote>
  <w:footnote w:id="7">
    <w:p w:rsidR="00D60035" w:rsidRPr="00D60035" w:rsidRDefault="00D60035" w:rsidP="005E42CD">
      <w:pPr>
        <w:pStyle w:val="FootnoteText"/>
        <w:tabs>
          <w:tab w:val="left" w:pos="284"/>
        </w:tabs>
        <w:ind w:left="284" w:hanging="284"/>
        <w:jc w:val="both"/>
      </w:pPr>
      <w:r>
        <w:rPr>
          <w:rStyle w:val="FootnoteReference"/>
        </w:rPr>
        <w:footnoteRef/>
      </w:r>
      <w:r>
        <w:t xml:space="preserve"> </w:t>
      </w:r>
      <w:r>
        <w:tab/>
      </w:r>
      <w:r>
        <w:rPr>
          <w:i/>
        </w:rPr>
        <w:t xml:space="preserve">Forge Packaging (Pty) Ltd v The Commissioner for the South African Revenue Service </w:t>
      </w:r>
      <w:r>
        <w:t>(21634</w:t>
      </w:r>
      <w:r w:rsidR="005E42CD">
        <w:t xml:space="preserve">/2021) [2022] ZAWCHC 119 (13 June 2022).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579759"/>
      <w:docPartObj>
        <w:docPartGallery w:val="Page Numbers (Top of Page)"/>
        <w:docPartUnique/>
      </w:docPartObj>
    </w:sdtPr>
    <w:sdtEndPr>
      <w:rPr>
        <w:noProof/>
      </w:rPr>
    </w:sdtEndPr>
    <w:sdtContent>
      <w:p w:rsidR="00E979D5" w:rsidRDefault="00E979D5">
        <w:pPr>
          <w:pStyle w:val="Header"/>
          <w:jc w:val="center"/>
          <w:rPr>
            <w:noProof/>
          </w:rPr>
        </w:pPr>
        <w:r w:rsidRPr="00480C6E">
          <w:fldChar w:fldCharType="begin"/>
        </w:r>
        <w:r w:rsidRPr="00480C6E">
          <w:instrText xml:space="preserve"> PAGE   \* MERGEFORMAT </w:instrText>
        </w:r>
        <w:r w:rsidRPr="00480C6E">
          <w:fldChar w:fldCharType="separate"/>
        </w:r>
        <w:r w:rsidR="00B53A5A">
          <w:rPr>
            <w:noProof/>
          </w:rPr>
          <w:t>2</w:t>
        </w:r>
        <w:r w:rsidRPr="00480C6E">
          <w:rPr>
            <w:noProof/>
          </w:rPr>
          <w:fldChar w:fldCharType="end"/>
        </w:r>
      </w:p>
      <w:p w:rsidR="00F57D1F" w:rsidRPr="00480C6E" w:rsidRDefault="00F57D1F">
        <w:pPr>
          <w:pStyle w:val="Header"/>
          <w:jc w:val="center"/>
          <w:rPr>
            <w:noProof/>
          </w:rPr>
        </w:pPr>
      </w:p>
      <w:p w:rsidR="00E979D5" w:rsidRDefault="000859D1">
        <w:pPr>
          <w:pStyle w:val="Header"/>
          <w:jc w:val="center"/>
        </w:pPr>
      </w:p>
    </w:sdtContent>
  </w:sdt>
  <w:p w:rsidR="00E979D5" w:rsidRDefault="00E97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A63"/>
    <w:multiLevelType w:val="hybridMultilevel"/>
    <w:tmpl w:val="F3C0AE6C"/>
    <w:lvl w:ilvl="0" w:tplc="BA7EFB6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2187D5F"/>
    <w:multiLevelType w:val="hybridMultilevel"/>
    <w:tmpl w:val="A29CA4EE"/>
    <w:lvl w:ilvl="0" w:tplc="D69A83E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98A1CD9"/>
    <w:multiLevelType w:val="hybridMultilevel"/>
    <w:tmpl w:val="C52488AC"/>
    <w:lvl w:ilvl="0" w:tplc="40F09748">
      <w:start w:val="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CB5B48"/>
    <w:multiLevelType w:val="hybridMultilevel"/>
    <w:tmpl w:val="3EFE0DA2"/>
    <w:lvl w:ilvl="0" w:tplc="1548EC8C">
      <w:start w:val="1"/>
      <w:numFmt w:val="decimal"/>
      <w:lvlText w:val="(%1)"/>
      <w:lvlJc w:val="left"/>
      <w:pPr>
        <w:ind w:left="2208" w:hanging="360"/>
      </w:pPr>
      <w:rPr>
        <w:rFonts w:hint="default"/>
      </w:rPr>
    </w:lvl>
    <w:lvl w:ilvl="1" w:tplc="1C090019" w:tentative="1">
      <w:start w:val="1"/>
      <w:numFmt w:val="lowerLetter"/>
      <w:lvlText w:val="%2."/>
      <w:lvlJc w:val="left"/>
      <w:pPr>
        <w:ind w:left="2928" w:hanging="360"/>
      </w:pPr>
    </w:lvl>
    <w:lvl w:ilvl="2" w:tplc="1C09001B" w:tentative="1">
      <w:start w:val="1"/>
      <w:numFmt w:val="lowerRoman"/>
      <w:lvlText w:val="%3."/>
      <w:lvlJc w:val="right"/>
      <w:pPr>
        <w:ind w:left="3648" w:hanging="180"/>
      </w:pPr>
    </w:lvl>
    <w:lvl w:ilvl="3" w:tplc="1C09000F" w:tentative="1">
      <w:start w:val="1"/>
      <w:numFmt w:val="decimal"/>
      <w:lvlText w:val="%4."/>
      <w:lvlJc w:val="left"/>
      <w:pPr>
        <w:ind w:left="4368" w:hanging="360"/>
      </w:pPr>
    </w:lvl>
    <w:lvl w:ilvl="4" w:tplc="1C090019" w:tentative="1">
      <w:start w:val="1"/>
      <w:numFmt w:val="lowerLetter"/>
      <w:lvlText w:val="%5."/>
      <w:lvlJc w:val="left"/>
      <w:pPr>
        <w:ind w:left="5088" w:hanging="360"/>
      </w:pPr>
    </w:lvl>
    <w:lvl w:ilvl="5" w:tplc="1C09001B" w:tentative="1">
      <w:start w:val="1"/>
      <w:numFmt w:val="lowerRoman"/>
      <w:lvlText w:val="%6."/>
      <w:lvlJc w:val="right"/>
      <w:pPr>
        <w:ind w:left="5808" w:hanging="180"/>
      </w:pPr>
    </w:lvl>
    <w:lvl w:ilvl="6" w:tplc="1C09000F" w:tentative="1">
      <w:start w:val="1"/>
      <w:numFmt w:val="decimal"/>
      <w:lvlText w:val="%7."/>
      <w:lvlJc w:val="left"/>
      <w:pPr>
        <w:ind w:left="6528" w:hanging="360"/>
      </w:pPr>
    </w:lvl>
    <w:lvl w:ilvl="7" w:tplc="1C090019" w:tentative="1">
      <w:start w:val="1"/>
      <w:numFmt w:val="lowerLetter"/>
      <w:lvlText w:val="%8."/>
      <w:lvlJc w:val="left"/>
      <w:pPr>
        <w:ind w:left="7248" w:hanging="360"/>
      </w:pPr>
    </w:lvl>
    <w:lvl w:ilvl="8" w:tplc="1C09001B" w:tentative="1">
      <w:start w:val="1"/>
      <w:numFmt w:val="lowerRoman"/>
      <w:lvlText w:val="%9."/>
      <w:lvlJc w:val="right"/>
      <w:pPr>
        <w:ind w:left="7968" w:hanging="180"/>
      </w:pPr>
    </w:lvl>
  </w:abstractNum>
  <w:abstractNum w:abstractNumId="4">
    <w:nsid w:val="1B59573E"/>
    <w:multiLevelType w:val="hybridMultilevel"/>
    <w:tmpl w:val="3C469254"/>
    <w:lvl w:ilvl="0" w:tplc="804427E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1CBF746C"/>
    <w:multiLevelType w:val="hybridMultilevel"/>
    <w:tmpl w:val="7D2A3EDC"/>
    <w:lvl w:ilvl="0" w:tplc="34249AC2">
      <w:start w:val="4"/>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1FC9207B"/>
    <w:multiLevelType w:val="hybridMultilevel"/>
    <w:tmpl w:val="451E0C5E"/>
    <w:lvl w:ilvl="0" w:tplc="A1DAC118">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259A4E0D"/>
    <w:multiLevelType w:val="hybridMultilevel"/>
    <w:tmpl w:val="0532BCC8"/>
    <w:lvl w:ilvl="0" w:tplc="93D627CC">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8">
    <w:nsid w:val="2B383F41"/>
    <w:multiLevelType w:val="hybridMultilevel"/>
    <w:tmpl w:val="DE68D252"/>
    <w:lvl w:ilvl="0" w:tplc="1F94EB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203630A"/>
    <w:multiLevelType w:val="hybridMultilevel"/>
    <w:tmpl w:val="383EF6B8"/>
    <w:lvl w:ilvl="0" w:tplc="0D887886">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0">
    <w:nsid w:val="328E312B"/>
    <w:multiLevelType w:val="hybridMultilevel"/>
    <w:tmpl w:val="AE66EACA"/>
    <w:lvl w:ilvl="0" w:tplc="5D10C3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7F60876"/>
    <w:multiLevelType w:val="hybridMultilevel"/>
    <w:tmpl w:val="EFA4E5B2"/>
    <w:lvl w:ilvl="0" w:tplc="B406C6E6">
      <w:start w:val="6"/>
      <w:numFmt w:val="decimal"/>
      <w:lvlText w:val="(%1)"/>
      <w:lvlJc w:val="left"/>
      <w:pPr>
        <w:ind w:left="2522" w:hanging="360"/>
      </w:pPr>
      <w:rPr>
        <w:rFonts w:hint="default"/>
      </w:rPr>
    </w:lvl>
    <w:lvl w:ilvl="1" w:tplc="1C090019" w:tentative="1">
      <w:start w:val="1"/>
      <w:numFmt w:val="lowerLetter"/>
      <w:lvlText w:val="%2."/>
      <w:lvlJc w:val="left"/>
      <w:pPr>
        <w:ind w:left="3242" w:hanging="360"/>
      </w:pPr>
    </w:lvl>
    <w:lvl w:ilvl="2" w:tplc="1C09001B" w:tentative="1">
      <w:start w:val="1"/>
      <w:numFmt w:val="lowerRoman"/>
      <w:lvlText w:val="%3."/>
      <w:lvlJc w:val="right"/>
      <w:pPr>
        <w:ind w:left="3962" w:hanging="180"/>
      </w:pPr>
    </w:lvl>
    <w:lvl w:ilvl="3" w:tplc="1C09000F" w:tentative="1">
      <w:start w:val="1"/>
      <w:numFmt w:val="decimal"/>
      <w:lvlText w:val="%4."/>
      <w:lvlJc w:val="left"/>
      <w:pPr>
        <w:ind w:left="4682" w:hanging="360"/>
      </w:pPr>
    </w:lvl>
    <w:lvl w:ilvl="4" w:tplc="1C090019" w:tentative="1">
      <w:start w:val="1"/>
      <w:numFmt w:val="lowerLetter"/>
      <w:lvlText w:val="%5."/>
      <w:lvlJc w:val="left"/>
      <w:pPr>
        <w:ind w:left="5402" w:hanging="360"/>
      </w:pPr>
    </w:lvl>
    <w:lvl w:ilvl="5" w:tplc="1C09001B" w:tentative="1">
      <w:start w:val="1"/>
      <w:numFmt w:val="lowerRoman"/>
      <w:lvlText w:val="%6."/>
      <w:lvlJc w:val="right"/>
      <w:pPr>
        <w:ind w:left="6122" w:hanging="180"/>
      </w:pPr>
    </w:lvl>
    <w:lvl w:ilvl="6" w:tplc="1C09000F" w:tentative="1">
      <w:start w:val="1"/>
      <w:numFmt w:val="decimal"/>
      <w:lvlText w:val="%7."/>
      <w:lvlJc w:val="left"/>
      <w:pPr>
        <w:ind w:left="6842" w:hanging="360"/>
      </w:pPr>
    </w:lvl>
    <w:lvl w:ilvl="7" w:tplc="1C090019" w:tentative="1">
      <w:start w:val="1"/>
      <w:numFmt w:val="lowerLetter"/>
      <w:lvlText w:val="%8."/>
      <w:lvlJc w:val="left"/>
      <w:pPr>
        <w:ind w:left="7562" w:hanging="360"/>
      </w:pPr>
    </w:lvl>
    <w:lvl w:ilvl="8" w:tplc="1C09001B" w:tentative="1">
      <w:start w:val="1"/>
      <w:numFmt w:val="lowerRoman"/>
      <w:lvlText w:val="%9."/>
      <w:lvlJc w:val="right"/>
      <w:pPr>
        <w:ind w:left="8282" w:hanging="180"/>
      </w:pPr>
    </w:lvl>
  </w:abstractNum>
  <w:abstractNum w:abstractNumId="12">
    <w:nsid w:val="386651ED"/>
    <w:multiLevelType w:val="hybridMultilevel"/>
    <w:tmpl w:val="DD708CF4"/>
    <w:lvl w:ilvl="0" w:tplc="488A4C6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38B941A3"/>
    <w:multiLevelType w:val="hybridMultilevel"/>
    <w:tmpl w:val="9DAEA83A"/>
    <w:lvl w:ilvl="0" w:tplc="ACE4319E">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5C0FB2"/>
    <w:multiLevelType w:val="hybridMultilevel"/>
    <w:tmpl w:val="1486E15A"/>
    <w:lvl w:ilvl="0" w:tplc="6DE698B0">
      <w:start w:val="1"/>
      <w:numFmt w:val="decimal"/>
      <w:lvlText w:val="(%1)"/>
      <w:lvlJc w:val="left"/>
      <w:pPr>
        <w:ind w:left="2522" w:hanging="360"/>
      </w:pPr>
      <w:rPr>
        <w:rFonts w:hint="default"/>
      </w:rPr>
    </w:lvl>
    <w:lvl w:ilvl="1" w:tplc="1C090019" w:tentative="1">
      <w:start w:val="1"/>
      <w:numFmt w:val="lowerLetter"/>
      <w:lvlText w:val="%2."/>
      <w:lvlJc w:val="left"/>
      <w:pPr>
        <w:ind w:left="3242" w:hanging="360"/>
      </w:pPr>
    </w:lvl>
    <w:lvl w:ilvl="2" w:tplc="1C09001B" w:tentative="1">
      <w:start w:val="1"/>
      <w:numFmt w:val="lowerRoman"/>
      <w:lvlText w:val="%3."/>
      <w:lvlJc w:val="right"/>
      <w:pPr>
        <w:ind w:left="3962" w:hanging="180"/>
      </w:pPr>
    </w:lvl>
    <w:lvl w:ilvl="3" w:tplc="1C09000F" w:tentative="1">
      <w:start w:val="1"/>
      <w:numFmt w:val="decimal"/>
      <w:lvlText w:val="%4."/>
      <w:lvlJc w:val="left"/>
      <w:pPr>
        <w:ind w:left="4682" w:hanging="360"/>
      </w:pPr>
    </w:lvl>
    <w:lvl w:ilvl="4" w:tplc="1C090019" w:tentative="1">
      <w:start w:val="1"/>
      <w:numFmt w:val="lowerLetter"/>
      <w:lvlText w:val="%5."/>
      <w:lvlJc w:val="left"/>
      <w:pPr>
        <w:ind w:left="5402" w:hanging="360"/>
      </w:pPr>
    </w:lvl>
    <w:lvl w:ilvl="5" w:tplc="1C09001B" w:tentative="1">
      <w:start w:val="1"/>
      <w:numFmt w:val="lowerRoman"/>
      <w:lvlText w:val="%6."/>
      <w:lvlJc w:val="right"/>
      <w:pPr>
        <w:ind w:left="6122" w:hanging="180"/>
      </w:pPr>
    </w:lvl>
    <w:lvl w:ilvl="6" w:tplc="1C09000F" w:tentative="1">
      <w:start w:val="1"/>
      <w:numFmt w:val="decimal"/>
      <w:lvlText w:val="%7."/>
      <w:lvlJc w:val="left"/>
      <w:pPr>
        <w:ind w:left="6842" w:hanging="360"/>
      </w:pPr>
    </w:lvl>
    <w:lvl w:ilvl="7" w:tplc="1C090019" w:tentative="1">
      <w:start w:val="1"/>
      <w:numFmt w:val="lowerLetter"/>
      <w:lvlText w:val="%8."/>
      <w:lvlJc w:val="left"/>
      <w:pPr>
        <w:ind w:left="7562" w:hanging="360"/>
      </w:pPr>
    </w:lvl>
    <w:lvl w:ilvl="8" w:tplc="1C09001B" w:tentative="1">
      <w:start w:val="1"/>
      <w:numFmt w:val="lowerRoman"/>
      <w:lvlText w:val="%9."/>
      <w:lvlJc w:val="right"/>
      <w:pPr>
        <w:ind w:left="8282" w:hanging="180"/>
      </w:pPr>
    </w:lvl>
  </w:abstractNum>
  <w:abstractNum w:abstractNumId="15">
    <w:nsid w:val="3A90724C"/>
    <w:multiLevelType w:val="hybridMultilevel"/>
    <w:tmpl w:val="3C5026A6"/>
    <w:lvl w:ilvl="0" w:tplc="9AC61A02">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nsid w:val="3B9E51C2"/>
    <w:multiLevelType w:val="hybridMultilevel"/>
    <w:tmpl w:val="3ABCACA4"/>
    <w:lvl w:ilvl="0" w:tplc="DA4E93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482799A"/>
    <w:multiLevelType w:val="hybridMultilevel"/>
    <w:tmpl w:val="CD54BD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CF11E6"/>
    <w:multiLevelType w:val="hybridMultilevel"/>
    <w:tmpl w:val="DA9C4580"/>
    <w:lvl w:ilvl="0" w:tplc="0CD22542">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9">
    <w:nsid w:val="557E0F57"/>
    <w:multiLevelType w:val="hybridMultilevel"/>
    <w:tmpl w:val="EF427A0E"/>
    <w:lvl w:ilvl="0" w:tplc="0AF6FB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F342B36"/>
    <w:multiLevelType w:val="hybridMultilevel"/>
    <w:tmpl w:val="62248AF8"/>
    <w:lvl w:ilvl="0" w:tplc="A3187C0C">
      <w:start w:val="6"/>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nsid w:val="6083460F"/>
    <w:multiLevelType w:val="hybridMultilevel"/>
    <w:tmpl w:val="1832AD68"/>
    <w:lvl w:ilvl="0" w:tplc="F16C3BF2">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2">
    <w:nsid w:val="611412CF"/>
    <w:multiLevelType w:val="hybridMultilevel"/>
    <w:tmpl w:val="F45CFB96"/>
    <w:lvl w:ilvl="0" w:tplc="1286ECBE">
      <w:start w:val="1"/>
      <w:numFmt w:val="decimal"/>
      <w:lvlText w:val="(%1)"/>
      <w:lvlJc w:val="left"/>
      <w:pPr>
        <w:ind w:left="2522" w:hanging="360"/>
      </w:pPr>
      <w:rPr>
        <w:rFonts w:hint="default"/>
      </w:rPr>
    </w:lvl>
    <w:lvl w:ilvl="1" w:tplc="1C090019" w:tentative="1">
      <w:start w:val="1"/>
      <w:numFmt w:val="lowerLetter"/>
      <w:lvlText w:val="%2."/>
      <w:lvlJc w:val="left"/>
      <w:pPr>
        <w:ind w:left="3242" w:hanging="360"/>
      </w:pPr>
    </w:lvl>
    <w:lvl w:ilvl="2" w:tplc="1C09001B" w:tentative="1">
      <w:start w:val="1"/>
      <w:numFmt w:val="lowerRoman"/>
      <w:lvlText w:val="%3."/>
      <w:lvlJc w:val="right"/>
      <w:pPr>
        <w:ind w:left="3962" w:hanging="180"/>
      </w:pPr>
    </w:lvl>
    <w:lvl w:ilvl="3" w:tplc="1C09000F" w:tentative="1">
      <w:start w:val="1"/>
      <w:numFmt w:val="decimal"/>
      <w:lvlText w:val="%4."/>
      <w:lvlJc w:val="left"/>
      <w:pPr>
        <w:ind w:left="4682" w:hanging="360"/>
      </w:pPr>
    </w:lvl>
    <w:lvl w:ilvl="4" w:tplc="1C090019" w:tentative="1">
      <w:start w:val="1"/>
      <w:numFmt w:val="lowerLetter"/>
      <w:lvlText w:val="%5."/>
      <w:lvlJc w:val="left"/>
      <w:pPr>
        <w:ind w:left="5402" w:hanging="360"/>
      </w:pPr>
    </w:lvl>
    <w:lvl w:ilvl="5" w:tplc="1C09001B" w:tentative="1">
      <w:start w:val="1"/>
      <w:numFmt w:val="lowerRoman"/>
      <w:lvlText w:val="%6."/>
      <w:lvlJc w:val="right"/>
      <w:pPr>
        <w:ind w:left="6122" w:hanging="180"/>
      </w:pPr>
    </w:lvl>
    <w:lvl w:ilvl="6" w:tplc="1C09000F" w:tentative="1">
      <w:start w:val="1"/>
      <w:numFmt w:val="decimal"/>
      <w:lvlText w:val="%7."/>
      <w:lvlJc w:val="left"/>
      <w:pPr>
        <w:ind w:left="6842" w:hanging="360"/>
      </w:pPr>
    </w:lvl>
    <w:lvl w:ilvl="7" w:tplc="1C090019" w:tentative="1">
      <w:start w:val="1"/>
      <w:numFmt w:val="lowerLetter"/>
      <w:lvlText w:val="%8."/>
      <w:lvlJc w:val="left"/>
      <w:pPr>
        <w:ind w:left="7562" w:hanging="360"/>
      </w:pPr>
    </w:lvl>
    <w:lvl w:ilvl="8" w:tplc="1C09001B" w:tentative="1">
      <w:start w:val="1"/>
      <w:numFmt w:val="lowerRoman"/>
      <w:lvlText w:val="%9."/>
      <w:lvlJc w:val="right"/>
      <w:pPr>
        <w:ind w:left="8282" w:hanging="180"/>
      </w:pPr>
    </w:lvl>
  </w:abstractNum>
  <w:abstractNum w:abstractNumId="23">
    <w:nsid w:val="66AC1A49"/>
    <w:multiLevelType w:val="hybridMultilevel"/>
    <w:tmpl w:val="19AE8B0A"/>
    <w:lvl w:ilvl="0" w:tplc="73A859F8">
      <w:start w:val="1"/>
      <w:numFmt w:val="lowerLetter"/>
      <w:lvlText w:val="(%1)"/>
      <w:lvlJc w:val="left"/>
      <w:pPr>
        <w:ind w:left="1778" w:hanging="360"/>
      </w:pPr>
      <w:rPr>
        <w:rFonts w:hint="default"/>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4">
    <w:nsid w:val="68DF74DE"/>
    <w:multiLevelType w:val="hybridMultilevel"/>
    <w:tmpl w:val="C2D26302"/>
    <w:lvl w:ilvl="0" w:tplc="B3A09BE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A394D9A"/>
    <w:multiLevelType w:val="hybridMultilevel"/>
    <w:tmpl w:val="EF205BDA"/>
    <w:lvl w:ilvl="0" w:tplc="AC82995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70233AD0"/>
    <w:multiLevelType w:val="hybridMultilevel"/>
    <w:tmpl w:val="DE088F14"/>
    <w:lvl w:ilvl="0" w:tplc="CDA83D4C">
      <w:start w:val="1"/>
      <w:numFmt w:val="decimal"/>
      <w:lvlText w:val="(%1)"/>
      <w:lvlJc w:val="left"/>
      <w:pPr>
        <w:ind w:left="2520" w:hanging="360"/>
      </w:pPr>
      <w:rPr>
        <w:rFonts w:hint="default"/>
        <w:b w:val="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nsid w:val="758D677C"/>
    <w:multiLevelType w:val="hybridMultilevel"/>
    <w:tmpl w:val="B428DF86"/>
    <w:lvl w:ilvl="0" w:tplc="14D47048">
      <w:start w:val="8"/>
      <w:numFmt w:val="decimal"/>
      <w:lvlText w:val="[%1]"/>
      <w:lvlJc w:val="left"/>
      <w:pPr>
        <w:ind w:left="2522" w:hanging="360"/>
      </w:pPr>
      <w:rPr>
        <w:rFonts w:ascii="Arial" w:hAnsi="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77470A8"/>
    <w:multiLevelType w:val="hybridMultilevel"/>
    <w:tmpl w:val="8DC8BDD6"/>
    <w:lvl w:ilvl="0" w:tplc="3E743922">
      <w:start w:val="1"/>
      <w:numFmt w:val="decimal"/>
      <w:lvlText w:val="[%1]"/>
      <w:lvlJc w:val="left"/>
      <w:pPr>
        <w:ind w:left="720" w:hanging="360"/>
      </w:pPr>
      <w:rPr>
        <w:rFonts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98368D1"/>
    <w:multiLevelType w:val="hybridMultilevel"/>
    <w:tmpl w:val="93ACC8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73270B"/>
    <w:multiLevelType w:val="hybridMultilevel"/>
    <w:tmpl w:val="66622932"/>
    <w:lvl w:ilvl="0" w:tplc="ACE4319E">
      <w:start w:val="1"/>
      <w:numFmt w:val="decimal"/>
      <w:lvlText w:val="[%1]"/>
      <w:lvlJc w:val="left"/>
      <w:pPr>
        <w:ind w:left="2522" w:hanging="360"/>
      </w:pPr>
      <w:rPr>
        <w:rFonts w:ascii="Arial" w:hAnsi="Arial" w:hint="default"/>
        <w:b w:val="0"/>
        <w:i w:val="0"/>
        <w:sz w:val="24"/>
        <w:szCs w:val="24"/>
      </w:rPr>
    </w:lvl>
    <w:lvl w:ilvl="1" w:tplc="1C090019" w:tentative="1">
      <w:start w:val="1"/>
      <w:numFmt w:val="lowerLetter"/>
      <w:lvlText w:val="%2."/>
      <w:lvlJc w:val="left"/>
      <w:pPr>
        <w:ind w:left="3242" w:hanging="360"/>
      </w:pPr>
    </w:lvl>
    <w:lvl w:ilvl="2" w:tplc="1C09001B" w:tentative="1">
      <w:start w:val="1"/>
      <w:numFmt w:val="lowerRoman"/>
      <w:lvlText w:val="%3."/>
      <w:lvlJc w:val="right"/>
      <w:pPr>
        <w:ind w:left="3962" w:hanging="180"/>
      </w:pPr>
    </w:lvl>
    <w:lvl w:ilvl="3" w:tplc="1C09000F" w:tentative="1">
      <w:start w:val="1"/>
      <w:numFmt w:val="decimal"/>
      <w:lvlText w:val="%4."/>
      <w:lvlJc w:val="left"/>
      <w:pPr>
        <w:ind w:left="4682" w:hanging="360"/>
      </w:pPr>
    </w:lvl>
    <w:lvl w:ilvl="4" w:tplc="1C090019" w:tentative="1">
      <w:start w:val="1"/>
      <w:numFmt w:val="lowerLetter"/>
      <w:lvlText w:val="%5."/>
      <w:lvlJc w:val="left"/>
      <w:pPr>
        <w:ind w:left="5402" w:hanging="360"/>
      </w:pPr>
    </w:lvl>
    <w:lvl w:ilvl="5" w:tplc="1C09001B" w:tentative="1">
      <w:start w:val="1"/>
      <w:numFmt w:val="lowerRoman"/>
      <w:lvlText w:val="%6."/>
      <w:lvlJc w:val="right"/>
      <w:pPr>
        <w:ind w:left="6122" w:hanging="180"/>
      </w:pPr>
    </w:lvl>
    <w:lvl w:ilvl="6" w:tplc="1C09000F" w:tentative="1">
      <w:start w:val="1"/>
      <w:numFmt w:val="decimal"/>
      <w:lvlText w:val="%7."/>
      <w:lvlJc w:val="left"/>
      <w:pPr>
        <w:ind w:left="6842" w:hanging="360"/>
      </w:pPr>
    </w:lvl>
    <w:lvl w:ilvl="7" w:tplc="1C090019" w:tentative="1">
      <w:start w:val="1"/>
      <w:numFmt w:val="lowerLetter"/>
      <w:lvlText w:val="%8."/>
      <w:lvlJc w:val="left"/>
      <w:pPr>
        <w:ind w:left="7562" w:hanging="360"/>
      </w:pPr>
    </w:lvl>
    <w:lvl w:ilvl="8" w:tplc="1C09001B" w:tentative="1">
      <w:start w:val="1"/>
      <w:numFmt w:val="lowerRoman"/>
      <w:lvlText w:val="%9."/>
      <w:lvlJc w:val="right"/>
      <w:pPr>
        <w:ind w:left="8282" w:hanging="180"/>
      </w:pPr>
    </w:lvl>
  </w:abstractNum>
  <w:num w:numId="1">
    <w:abstractNumId w:val="29"/>
  </w:num>
  <w:num w:numId="2">
    <w:abstractNumId w:val="2"/>
  </w:num>
  <w:num w:numId="3">
    <w:abstractNumId w:val="12"/>
  </w:num>
  <w:num w:numId="4">
    <w:abstractNumId w:val="4"/>
  </w:num>
  <w:num w:numId="5">
    <w:abstractNumId w:val="28"/>
  </w:num>
  <w:num w:numId="6">
    <w:abstractNumId w:val="19"/>
  </w:num>
  <w:num w:numId="7">
    <w:abstractNumId w:val="3"/>
  </w:num>
  <w:num w:numId="8">
    <w:abstractNumId w:val="6"/>
  </w:num>
  <w:num w:numId="9">
    <w:abstractNumId w:val="7"/>
  </w:num>
  <w:num w:numId="10">
    <w:abstractNumId w:val="9"/>
  </w:num>
  <w:num w:numId="11">
    <w:abstractNumId w:val="8"/>
  </w:num>
  <w:num w:numId="12">
    <w:abstractNumId w:val="25"/>
  </w:num>
  <w:num w:numId="13">
    <w:abstractNumId w:val="24"/>
  </w:num>
  <w:num w:numId="14">
    <w:abstractNumId w:val="17"/>
  </w:num>
  <w:num w:numId="15">
    <w:abstractNumId w:val="0"/>
  </w:num>
  <w:num w:numId="16">
    <w:abstractNumId w:val="5"/>
  </w:num>
  <w:num w:numId="17">
    <w:abstractNumId w:val="20"/>
  </w:num>
  <w:num w:numId="18">
    <w:abstractNumId w:val="1"/>
  </w:num>
  <w:num w:numId="19">
    <w:abstractNumId w:val="16"/>
  </w:num>
  <w:num w:numId="20">
    <w:abstractNumId w:val="26"/>
  </w:num>
  <w:num w:numId="21">
    <w:abstractNumId w:val="15"/>
  </w:num>
  <w:num w:numId="22">
    <w:abstractNumId w:val="22"/>
  </w:num>
  <w:num w:numId="23">
    <w:abstractNumId w:val="23"/>
  </w:num>
  <w:num w:numId="24">
    <w:abstractNumId w:val="30"/>
  </w:num>
  <w:num w:numId="25">
    <w:abstractNumId w:val="14"/>
  </w:num>
  <w:num w:numId="26">
    <w:abstractNumId w:val="18"/>
  </w:num>
  <w:num w:numId="27">
    <w:abstractNumId w:val="21"/>
  </w:num>
  <w:num w:numId="28">
    <w:abstractNumId w:val="13"/>
  </w:num>
  <w:num w:numId="29">
    <w:abstractNumId w:val="10"/>
  </w:num>
  <w:num w:numId="30">
    <w:abstractNumId w:val="2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131078" w:nlCheck="1" w:checkStyle="1"/>
  <w:defaultTabStop w:val="720"/>
  <w:clickAndTypeStyle w:val="Footnote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3E"/>
    <w:rsid w:val="000040E4"/>
    <w:rsid w:val="00004BB6"/>
    <w:rsid w:val="00004EF8"/>
    <w:rsid w:val="00015E74"/>
    <w:rsid w:val="0001721E"/>
    <w:rsid w:val="000201A1"/>
    <w:rsid w:val="00020ADF"/>
    <w:rsid w:val="00021C80"/>
    <w:rsid w:val="000259B6"/>
    <w:rsid w:val="00025B5B"/>
    <w:rsid w:val="000307A7"/>
    <w:rsid w:val="00030A86"/>
    <w:rsid w:val="00051C12"/>
    <w:rsid w:val="000527C8"/>
    <w:rsid w:val="00052CBB"/>
    <w:rsid w:val="00054CC8"/>
    <w:rsid w:val="00055A72"/>
    <w:rsid w:val="00056BCC"/>
    <w:rsid w:val="00061544"/>
    <w:rsid w:val="00062FDD"/>
    <w:rsid w:val="00063539"/>
    <w:rsid w:val="0006389D"/>
    <w:rsid w:val="0006553F"/>
    <w:rsid w:val="000655E0"/>
    <w:rsid w:val="00066B10"/>
    <w:rsid w:val="00066B58"/>
    <w:rsid w:val="00070E09"/>
    <w:rsid w:val="00072B0C"/>
    <w:rsid w:val="00073839"/>
    <w:rsid w:val="0008034C"/>
    <w:rsid w:val="000807DB"/>
    <w:rsid w:val="000821D3"/>
    <w:rsid w:val="0008418C"/>
    <w:rsid w:val="000859D1"/>
    <w:rsid w:val="00085BCB"/>
    <w:rsid w:val="00090F62"/>
    <w:rsid w:val="00097C8A"/>
    <w:rsid w:val="000A6BDE"/>
    <w:rsid w:val="000B2643"/>
    <w:rsid w:val="000B2EE4"/>
    <w:rsid w:val="000B695B"/>
    <w:rsid w:val="000C3D19"/>
    <w:rsid w:val="000C48E0"/>
    <w:rsid w:val="000C6947"/>
    <w:rsid w:val="000C69B3"/>
    <w:rsid w:val="000C6B25"/>
    <w:rsid w:val="000C7388"/>
    <w:rsid w:val="000D258B"/>
    <w:rsid w:val="000D295F"/>
    <w:rsid w:val="000D3C38"/>
    <w:rsid w:val="000D406A"/>
    <w:rsid w:val="000D6E41"/>
    <w:rsid w:val="000D78F6"/>
    <w:rsid w:val="000E3F41"/>
    <w:rsid w:val="000E48F0"/>
    <w:rsid w:val="000E7D67"/>
    <w:rsid w:val="000F1397"/>
    <w:rsid w:val="000F1EA9"/>
    <w:rsid w:val="000F1F24"/>
    <w:rsid w:val="000F3439"/>
    <w:rsid w:val="000F6171"/>
    <w:rsid w:val="0010020F"/>
    <w:rsid w:val="001061D6"/>
    <w:rsid w:val="00106E1D"/>
    <w:rsid w:val="00112AB6"/>
    <w:rsid w:val="0011320A"/>
    <w:rsid w:val="001148F2"/>
    <w:rsid w:val="00114F26"/>
    <w:rsid w:val="00116221"/>
    <w:rsid w:val="00121EC9"/>
    <w:rsid w:val="00123D56"/>
    <w:rsid w:val="00124BD4"/>
    <w:rsid w:val="00125707"/>
    <w:rsid w:val="001308EA"/>
    <w:rsid w:val="00134203"/>
    <w:rsid w:val="00141968"/>
    <w:rsid w:val="001430EE"/>
    <w:rsid w:val="00147527"/>
    <w:rsid w:val="00147DBF"/>
    <w:rsid w:val="00150A03"/>
    <w:rsid w:val="001514BA"/>
    <w:rsid w:val="001524DD"/>
    <w:rsid w:val="0015335C"/>
    <w:rsid w:val="00155573"/>
    <w:rsid w:val="001605F4"/>
    <w:rsid w:val="00160BAC"/>
    <w:rsid w:val="00163EE8"/>
    <w:rsid w:val="001669AA"/>
    <w:rsid w:val="00172679"/>
    <w:rsid w:val="001755C7"/>
    <w:rsid w:val="00175DEB"/>
    <w:rsid w:val="00175E49"/>
    <w:rsid w:val="001833C5"/>
    <w:rsid w:val="001855B5"/>
    <w:rsid w:val="00187FB8"/>
    <w:rsid w:val="001A63FB"/>
    <w:rsid w:val="001A6DA3"/>
    <w:rsid w:val="001B01EF"/>
    <w:rsid w:val="001C4911"/>
    <w:rsid w:val="001C5FA4"/>
    <w:rsid w:val="001C71FB"/>
    <w:rsid w:val="001C764B"/>
    <w:rsid w:val="001D0064"/>
    <w:rsid w:val="001D2A5F"/>
    <w:rsid w:val="001D2D3E"/>
    <w:rsid w:val="001D32ED"/>
    <w:rsid w:val="001D504A"/>
    <w:rsid w:val="001D749B"/>
    <w:rsid w:val="001E162B"/>
    <w:rsid w:val="001E3A2A"/>
    <w:rsid w:val="001E4D4C"/>
    <w:rsid w:val="001E5606"/>
    <w:rsid w:val="001E67B1"/>
    <w:rsid w:val="001F3782"/>
    <w:rsid w:val="001F3EE0"/>
    <w:rsid w:val="00200D2B"/>
    <w:rsid w:val="00200EF7"/>
    <w:rsid w:val="0020553D"/>
    <w:rsid w:val="00207141"/>
    <w:rsid w:val="002140EF"/>
    <w:rsid w:val="0021491E"/>
    <w:rsid w:val="00217708"/>
    <w:rsid w:val="00220EA4"/>
    <w:rsid w:val="00220F0E"/>
    <w:rsid w:val="00224385"/>
    <w:rsid w:val="00226D34"/>
    <w:rsid w:val="00233145"/>
    <w:rsid w:val="002345E3"/>
    <w:rsid w:val="002439E1"/>
    <w:rsid w:val="002448F9"/>
    <w:rsid w:val="00246B1D"/>
    <w:rsid w:val="002537DE"/>
    <w:rsid w:val="002567A8"/>
    <w:rsid w:val="002600A8"/>
    <w:rsid w:val="0026448B"/>
    <w:rsid w:val="00265A16"/>
    <w:rsid w:val="00272F45"/>
    <w:rsid w:val="00275B28"/>
    <w:rsid w:val="0027679B"/>
    <w:rsid w:val="002852FA"/>
    <w:rsid w:val="00292634"/>
    <w:rsid w:val="00292AB9"/>
    <w:rsid w:val="002948A7"/>
    <w:rsid w:val="00294D24"/>
    <w:rsid w:val="00294D55"/>
    <w:rsid w:val="002960E4"/>
    <w:rsid w:val="002A2790"/>
    <w:rsid w:val="002A2DDC"/>
    <w:rsid w:val="002A57CE"/>
    <w:rsid w:val="002A7141"/>
    <w:rsid w:val="002B06FB"/>
    <w:rsid w:val="002B2BCB"/>
    <w:rsid w:val="002B4E02"/>
    <w:rsid w:val="002B5286"/>
    <w:rsid w:val="002B59B2"/>
    <w:rsid w:val="002B5D4E"/>
    <w:rsid w:val="002B75B8"/>
    <w:rsid w:val="002C03A6"/>
    <w:rsid w:val="002C07E3"/>
    <w:rsid w:val="002C126C"/>
    <w:rsid w:val="002C22F1"/>
    <w:rsid w:val="002D0334"/>
    <w:rsid w:val="002D0CEA"/>
    <w:rsid w:val="002D0D21"/>
    <w:rsid w:val="002D1B9A"/>
    <w:rsid w:val="002D3437"/>
    <w:rsid w:val="002D58A6"/>
    <w:rsid w:val="002D5A2E"/>
    <w:rsid w:val="002E24EA"/>
    <w:rsid w:val="002E4560"/>
    <w:rsid w:val="002E4DF5"/>
    <w:rsid w:val="002F0415"/>
    <w:rsid w:val="002F0AA1"/>
    <w:rsid w:val="002F197C"/>
    <w:rsid w:val="002F5E9A"/>
    <w:rsid w:val="00300A01"/>
    <w:rsid w:val="00302CCB"/>
    <w:rsid w:val="003031B0"/>
    <w:rsid w:val="00306902"/>
    <w:rsid w:val="0030700E"/>
    <w:rsid w:val="00313D96"/>
    <w:rsid w:val="00335F82"/>
    <w:rsid w:val="00337855"/>
    <w:rsid w:val="00337E77"/>
    <w:rsid w:val="0034409D"/>
    <w:rsid w:val="00353A8D"/>
    <w:rsid w:val="00353B5A"/>
    <w:rsid w:val="00355E6F"/>
    <w:rsid w:val="00360425"/>
    <w:rsid w:val="00370D8C"/>
    <w:rsid w:val="00371704"/>
    <w:rsid w:val="003755E8"/>
    <w:rsid w:val="00377B9A"/>
    <w:rsid w:val="00380AD6"/>
    <w:rsid w:val="00381399"/>
    <w:rsid w:val="00381BBF"/>
    <w:rsid w:val="00383A54"/>
    <w:rsid w:val="0038558E"/>
    <w:rsid w:val="00387C31"/>
    <w:rsid w:val="003902AD"/>
    <w:rsid w:val="0039336F"/>
    <w:rsid w:val="0039756B"/>
    <w:rsid w:val="003A0971"/>
    <w:rsid w:val="003A0B26"/>
    <w:rsid w:val="003A7943"/>
    <w:rsid w:val="003B208F"/>
    <w:rsid w:val="003B20F7"/>
    <w:rsid w:val="003B52FD"/>
    <w:rsid w:val="003B57B4"/>
    <w:rsid w:val="003B5DBF"/>
    <w:rsid w:val="003C4710"/>
    <w:rsid w:val="003C474B"/>
    <w:rsid w:val="003C65BF"/>
    <w:rsid w:val="003D41C5"/>
    <w:rsid w:val="003D5528"/>
    <w:rsid w:val="003E102F"/>
    <w:rsid w:val="003E1CEC"/>
    <w:rsid w:val="003E3D24"/>
    <w:rsid w:val="003E61B7"/>
    <w:rsid w:val="003F080E"/>
    <w:rsid w:val="003F27CA"/>
    <w:rsid w:val="003F29F4"/>
    <w:rsid w:val="003F46CC"/>
    <w:rsid w:val="003F4EB9"/>
    <w:rsid w:val="003F7BFD"/>
    <w:rsid w:val="0040280A"/>
    <w:rsid w:val="0040650D"/>
    <w:rsid w:val="0041213E"/>
    <w:rsid w:val="00413C27"/>
    <w:rsid w:val="0042203C"/>
    <w:rsid w:val="00423553"/>
    <w:rsid w:val="00424F1C"/>
    <w:rsid w:val="00432CFE"/>
    <w:rsid w:val="0043602E"/>
    <w:rsid w:val="00437DD0"/>
    <w:rsid w:val="00442B38"/>
    <w:rsid w:val="00444E90"/>
    <w:rsid w:val="00451F58"/>
    <w:rsid w:val="004525CF"/>
    <w:rsid w:val="0045667F"/>
    <w:rsid w:val="0046786A"/>
    <w:rsid w:val="00473162"/>
    <w:rsid w:val="004755A7"/>
    <w:rsid w:val="00477E62"/>
    <w:rsid w:val="00480C6E"/>
    <w:rsid w:val="004820B0"/>
    <w:rsid w:val="0048336D"/>
    <w:rsid w:val="004844E3"/>
    <w:rsid w:val="00484B88"/>
    <w:rsid w:val="004854CD"/>
    <w:rsid w:val="0048684F"/>
    <w:rsid w:val="00486CAE"/>
    <w:rsid w:val="004871F1"/>
    <w:rsid w:val="004936B7"/>
    <w:rsid w:val="00496CAE"/>
    <w:rsid w:val="004A16A6"/>
    <w:rsid w:val="004A26C8"/>
    <w:rsid w:val="004A4039"/>
    <w:rsid w:val="004A4664"/>
    <w:rsid w:val="004A67F3"/>
    <w:rsid w:val="004A79F2"/>
    <w:rsid w:val="004B14DE"/>
    <w:rsid w:val="004B4814"/>
    <w:rsid w:val="004B794B"/>
    <w:rsid w:val="004B7E49"/>
    <w:rsid w:val="004C0D9E"/>
    <w:rsid w:val="004C0E75"/>
    <w:rsid w:val="004C66E0"/>
    <w:rsid w:val="004D01AA"/>
    <w:rsid w:val="004D0AE8"/>
    <w:rsid w:val="004D5C41"/>
    <w:rsid w:val="004D6FF8"/>
    <w:rsid w:val="004E13CD"/>
    <w:rsid w:val="004E6841"/>
    <w:rsid w:val="004E73D2"/>
    <w:rsid w:val="004E7B8E"/>
    <w:rsid w:val="004F19FE"/>
    <w:rsid w:val="004F1D1B"/>
    <w:rsid w:val="004F32C5"/>
    <w:rsid w:val="004F44AC"/>
    <w:rsid w:val="00500988"/>
    <w:rsid w:val="005013A1"/>
    <w:rsid w:val="005015F4"/>
    <w:rsid w:val="005039EE"/>
    <w:rsid w:val="0051036C"/>
    <w:rsid w:val="005104E9"/>
    <w:rsid w:val="00515B4B"/>
    <w:rsid w:val="00516635"/>
    <w:rsid w:val="005167F6"/>
    <w:rsid w:val="005169B9"/>
    <w:rsid w:val="00520282"/>
    <w:rsid w:val="005212FC"/>
    <w:rsid w:val="0052294D"/>
    <w:rsid w:val="00523864"/>
    <w:rsid w:val="00523DE6"/>
    <w:rsid w:val="00523F12"/>
    <w:rsid w:val="0053087C"/>
    <w:rsid w:val="00530CED"/>
    <w:rsid w:val="00534230"/>
    <w:rsid w:val="00536743"/>
    <w:rsid w:val="00542A91"/>
    <w:rsid w:val="00543132"/>
    <w:rsid w:val="00543387"/>
    <w:rsid w:val="005442EF"/>
    <w:rsid w:val="0054459C"/>
    <w:rsid w:val="005518E4"/>
    <w:rsid w:val="00553E52"/>
    <w:rsid w:val="00554AA6"/>
    <w:rsid w:val="00555E55"/>
    <w:rsid w:val="005568D5"/>
    <w:rsid w:val="005600DE"/>
    <w:rsid w:val="0056149F"/>
    <w:rsid w:val="005622B6"/>
    <w:rsid w:val="00575698"/>
    <w:rsid w:val="00577456"/>
    <w:rsid w:val="00580B9B"/>
    <w:rsid w:val="005810DC"/>
    <w:rsid w:val="005841DA"/>
    <w:rsid w:val="00584263"/>
    <w:rsid w:val="00584638"/>
    <w:rsid w:val="00591AFE"/>
    <w:rsid w:val="00593172"/>
    <w:rsid w:val="00593AB4"/>
    <w:rsid w:val="00595014"/>
    <w:rsid w:val="0059764D"/>
    <w:rsid w:val="005A0C1F"/>
    <w:rsid w:val="005A1715"/>
    <w:rsid w:val="005A2C50"/>
    <w:rsid w:val="005A39C1"/>
    <w:rsid w:val="005A5A92"/>
    <w:rsid w:val="005B0CDA"/>
    <w:rsid w:val="005B2D8A"/>
    <w:rsid w:val="005C2908"/>
    <w:rsid w:val="005C4500"/>
    <w:rsid w:val="005D0ABA"/>
    <w:rsid w:val="005D1DC3"/>
    <w:rsid w:val="005D4552"/>
    <w:rsid w:val="005D47C0"/>
    <w:rsid w:val="005D5C59"/>
    <w:rsid w:val="005E1311"/>
    <w:rsid w:val="005E197A"/>
    <w:rsid w:val="005E34ED"/>
    <w:rsid w:val="005E3812"/>
    <w:rsid w:val="005E42CD"/>
    <w:rsid w:val="005E6C3E"/>
    <w:rsid w:val="005F0885"/>
    <w:rsid w:val="005F18A8"/>
    <w:rsid w:val="005F3D16"/>
    <w:rsid w:val="005F424C"/>
    <w:rsid w:val="005F7BD6"/>
    <w:rsid w:val="006004EA"/>
    <w:rsid w:val="006009A6"/>
    <w:rsid w:val="00601E71"/>
    <w:rsid w:val="00602460"/>
    <w:rsid w:val="006058FF"/>
    <w:rsid w:val="00607673"/>
    <w:rsid w:val="00610AAF"/>
    <w:rsid w:val="006163F1"/>
    <w:rsid w:val="00616D83"/>
    <w:rsid w:val="00621067"/>
    <w:rsid w:val="00621527"/>
    <w:rsid w:val="00622136"/>
    <w:rsid w:val="00622291"/>
    <w:rsid w:val="0062343A"/>
    <w:rsid w:val="0062659B"/>
    <w:rsid w:val="006268F1"/>
    <w:rsid w:val="006327A8"/>
    <w:rsid w:val="00636F94"/>
    <w:rsid w:val="006400A4"/>
    <w:rsid w:val="006406D0"/>
    <w:rsid w:val="006409ED"/>
    <w:rsid w:val="00642226"/>
    <w:rsid w:val="00644AC3"/>
    <w:rsid w:val="00645A06"/>
    <w:rsid w:val="006466C8"/>
    <w:rsid w:val="00650F06"/>
    <w:rsid w:val="0065688A"/>
    <w:rsid w:val="00656C51"/>
    <w:rsid w:val="0066147F"/>
    <w:rsid w:val="006651AC"/>
    <w:rsid w:val="00665234"/>
    <w:rsid w:val="00667129"/>
    <w:rsid w:val="006727EA"/>
    <w:rsid w:val="00672F70"/>
    <w:rsid w:val="006756B5"/>
    <w:rsid w:val="00676052"/>
    <w:rsid w:val="006826A1"/>
    <w:rsid w:val="00683BD5"/>
    <w:rsid w:val="00686A3B"/>
    <w:rsid w:val="006A110D"/>
    <w:rsid w:val="006A1181"/>
    <w:rsid w:val="006A3DD9"/>
    <w:rsid w:val="006A5C75"/>
    <w:rsid w:val="006A660F"/>
    <w:rsid w:val="006B20C8"/>
    <w:rsid w:val="006B2B58"/>
    <w:rsid w:val="006B33FF"/>
    <w:rsid w:val="006B3F86"/>
    <w:rsid w:val="006B5442"/>
    <w:rsid w:val="006C0928"/>
    <w:rsid w:val="006C4F6C"/>
    <w:rsid w:val="006C536D"/>
    <w:rsid w:val="006D0AAD"/>
    <w:rsid w:val="006D22F7"/>
    <w:rsid w:val="006D27E6"/>
    <w:rsid w:val="006D3DD4"/>
    <w:rsid w:val="006D55C4"/>
    <w:rsid w:val="006D671C"/>
    <w:rsid w:val="006E485E"/>
    <w:rsid w:val="006E4E65"/>
    <w:rsid w:val="006E6E18"/>
    <w:rsid w:val="006F09D6"/>
    <w:rsid w:val="006F0C8E"/>
    <w:rsid w:val="006F4CC1"/>
    <w:rsid w:val="00701B67"/>
    <w:rsid w:val="00702B67"/>
    <w:rsid w:val="00704812"/>
    <w:rsid w:val="00705A14"/>
    <w:rsid w:val="00705EBE"/>
    <w:rsid w:val="00710099"/>
    <w:rsid w:val="00711E68"/>
    <w:rsid w:val="00713DD8"/>
    <w:rsid w:val="00714DA8"/>
    <w:rsid w:val="00715D26"/>
    <w:rsid w:val="00717B81"/>
    <w:rsid w:val="007244E0"/>
    <w:rsid w:val="007253DD"/>
    <w:rsid w:val="00731D18"/>
    <w:rsid w:val="00735C31"/>
    <w:rsid w:val="00737C38"/>
    <w:rsid w:val="00737D49"/>
    <w:rsid w:val="00740BD8"/>
    <w:rsid w:val="00740D07"/>
    <w:rsid w:val="007434A7"/>
    <w:rsid w:val="00744BCE"/>
    <w:rsid w:val="007459C1"/>
    <w:rsid w:val="00745B34"/>
    <w:rsid w:val="007469C0"/>
    <w:rsid w:val="00751507"/>
    <w:rsid w:val="0075469A"/>
    <w:rsid w:val="00754DCC"/>
    <w:rsid w:val="0075564D"/>
    <w:rsid w:val="007622F0"/>
    <w:rsid w:val="00762A06"/>
    <w:rsid w:val="0077129F"/>
    <w:rsid w:val="00771AAC"/>
    <w:rsid w:val="00772E69"/>
    <w:rsid w:val="00773B2B"/>
    <w:rsid w:val="007771AB"/>
    <w:rsid w:val="00780A15"/>
    <w:rsid w:val="0078261F"/>
    <w:rsid w:val="00783124"/>
    <w:rsid w:val="00784920"/>
    <w:rsid w:val="00786399"/>
    <w:rsid w:val="00793041"/>
    <w:rsid w:val="00795855"/>
    <w:rsid w:val="00797EE4"/>
    <w:rsid w:val="007A021E"/>
    <w:rsid w:val="007A165F"/>
    <w:rsid w:val="007A18D0"/>
    <w:rsid w:val="007A4DE6"/>
    <w:rsid w:val="007A6F83"/>
    <w:rsid w:val="007B420D"/>
    <w:rsid w:val="007C11D0"/>
    <w:rsid w:val="007C1445"/>
    <w:rsid w:val="007C5718"/>
    <w:rsid w:val="007C5CD7"/>
    <w:rsid w:val="007C6EA1"/>
    <w:rsid w:val="007C72AB"/>
    <w:rsid w:val="007D0645"/>
    <w:rsid w:val="007D24DA"/>
    <w:rsid w:val="007D35CE"/>
    <w:rsid w:val="007D6A54"/>
    <w:rsid w:val="007E0D3C"/>
    <w:rsid w:val="007E0FA8"/>
    <w:rsid w:val="007E12BD"/>
    <w:rsid w:val="007E1E43"/>
    <w:rsid w:val="007E3B39"/>
    <w:rsid w:val="007F48DB"/>
    <w:rsid w:val="007F4F7C"/>
    <w:rsid w:val="007F7E98"/>
    <w:rsid w:val="008047C3"/>
    <w:rsid w:val="00815C8A"/>
    <w:rsid w:val="00816849"/>
    <w:rsid w:val="0081765E"/>
    <w:rsid w:val="00820328"/>
    <w:rsid w:val="00821C5A"/>
    <w:rsid w:val="00821EF7"/>
    <w:rsid w:val="00822CAB"/>
    <w:rsid w:val="008236EF"/>
    <w:rsid w:val="0082547F"/>
    <w:rsid w:val="00826330"/>
    <w:rsid w:val="00826558"/>
    <w:rsid w:val="0083034B"/>
    <w:rsid w:val="00831237"/>
    <w:rsid w:val="008341FD"/>
    <w:rsid w:val="00841E4C"/>
    <w:rsid w:val="00842A47"/>
    <w:rsid w:val="00847204"/>
    <w:rsid w:val="00847D67"/>
    <w:rsid w:val="00850E7A"/>
    <w:rsid w:val="008515E6"/>
    <w:rsid w:val="00853335"/>
    <w:rsid w:val="00854C29"/>
    <w:rsid w:val="00863D34"/>
    <w:rsid w:val="00863E66"/>
    <w:rsid w:val="00863FAC"/>
    <w:rsid w:val="00864242"/>
    <w:rsid w:val="00867C5B"/>
    <w:rsid w:val="00871DC3"/>
    <w:rsid w:val="00872563"/>
    <w:rsid w:val="0087318E"/>
    <w:rsid w:val="00880AB3"/>
    <w:rsid w:val="008829A1"/>
    <w:rsid w:val="00895FB1"/>
    <w:rsid w:val="00896719"/>
    <w:rsid w:val="008A05F0"/>
    <w:rsid w:val="008A4E3E"/>
    <w:rsid w:val="008B05C1"/>
    <w:rsid w:val="008B3ABB"/>
    <w:rsid w:val="008B3D07"/>
    <w:rsid w:val="008B74E2"/>
    <w:rsid w:val="008C08FF"/>
    <w:rsid w:val="008C13C3"/>
    <w:rsid w:val="008C2CEE"/>
    <w:rsid w:val="008C4DD9"/>
    <w:rsid w:val="008C623B"/>
    <w:rsid w:val="008D04E3"/>
    <w:rsid w:val="008D3372"/>
    <w:rsid w:val="008D3505"/>
    <w:rsid w:val="008D4C4D"/>
    <w:rsid w:val="008E1760"/>
    <w:rsid w:val="008E1FED"/>
    <w:rsid w:val="008E4684"/>
    <w:rsid w:val="008E754B"/>
    <w:rsid w:val="008E758E"/>
    <w:rsid w:val="008E7730"/>
    <w:rsid w:val="008F0454"/>
    <w:rsid w:val="008F0ADA"/>
    <w:rsid w:val="008F4748"/>
    <w:rsid w:val="008F5A72"/>
    <w:rsid w:val="008F6154"/>
    <w:rsid w:val="008F7FD3"/>
    <w:rsid w:val="0090095F"/>
    <w:rsid w:val="00905BB1"/>
    <w:rsid w:val="009060A7"/>
    <w:rsid w:val="00906A80"/>
    <w:rsid w:val="0090779B"/>
    <w:rsid w:val="00912CA7"/>
    <w:rsid w:val="00913107"/>
    <w:rsid w:val="009135D2"/>
    <w:rsid w:val="00917014"/>
    <w:rsid w:val="0092088E"/>
    <w:rsid w:val="00923206"/>
    <w:rsid w:val="00923D50"/>
    <w:rsid w:val="00930767"/>
    <w:rsid w:val="00935E46"/>
    <w:rsid w:val="00940DB0"/>
    <w:rsid w:val="00942741"/>
    <w:rsid w:val="00942A01"/>
    <w:rsid w:val="009435C2"/>
    <w:rsid w:val="0094502C"/>
    <w:rsid w:val="0094519A"/>
    <w:rsid w:val="00950C15"/>
    <w:rsid w:val="0095335F"/>
    <w:rsid w:val="00956D28"/>
    <w:rsid w:val="00960B4F"/>
    <w:rsid w:val="00961F96"/>
    <w:rsid w:val="0096400C"/>
    <w:rsid w:val="0096588B"/>
    <w:rsid w:val="00967CE5"/>
    <w:rsid w:val="00973DBE"/>
    <w:rsid w:val="00980F74"/>
    <w:rsid w:val="00991D38"/>
    <w:rsid w:val="00994526"/>
    <w:rsid w:val="00995857"/>
    <w:rsid w:val="00997777"/>
    <w:rsid w:val="009A00C6"/>
    <w:rsid w:val="009A6CC9"/>
    <w:rsid w:val="009A785A"/>
    <w:rsid w:val="009B05CE"/>
    <w:rsid w:val="009B4D62"/>
    <w:rsid w:val="009B5E03"/>
    <w:rsid w:val="009B79D6"/>
    <w:rsid w:val="009D2E21"/>
    <w:rsid w:val="009E1873"/>
    <w:rsid w:val="009E440A"/>
    <w:rsid w:val="009F1FEC"/>
    <w:rsid w:val="009F2500"/>
    <w:rsid w:val="009F399F"/>
    <w:rsid w:val="009F6F35"/>
    <w:rsid w:val="00A00595"/>
    <w:rsid w:val="00A02D58"/>
    <w:rsid w:val="00A0482D"/>
    <w:rsid w:val="00A1068A"/>
    <w:rsid w:val="00A10944"/>
    <w:rsid w:val="00A115DB"/>
    <w:rsid w:val="00A22F14"/>
    <w:rsid w:val="00A25F97"/>
    <w:rsid w:val="00A2742F"/>
    <w:rsid w:val="00A27727"/>
    <w:rsid w:val="00A27AB2"/>
    <w:rsid w:val="00A3262B"/>
    <w:rsid w:val="00A3535C"/>
    <w:rsid w:val="00A41874"/>
    <w:rsid w:val="00A4292A"/>
    <w:rsid w:val="00A443A2"/>
    <w:rsid w:val="00A452B6"/>
    <w:rsid w:val="00A465BF"/>
    <w:rsid w:val="00A466B4"/>
    <w:rsid w:val="00A5094F"/>
    <w:rsid w:val="00A5464D"/>
    <w:rsid w:val="00A5486E"/>
    <w:rsid w:val="00A54EF2"/>
    <w:rsid w:val="00A55F9B"/>
    <w:rsid w:val="00A624A5"/>
    <w:rsid w:val="00A627C0"/>
    <w:rsid w:val="00A660D5"/>
    <w:rsid w:val="00A72C3A"/>
    <w:rsid w:val="00A74141"/>
    <w:rsid w:val="00A764BD"/>
    <w:rsid w:val="00A83171"/>
    <w:rsid w:val="00A83C81"/>
    <w:rsid w:val="00A869DC"/>
    <w:rsid w:val="00A9060D"/>
    <w:rsid w:val="00A934D8"/>
    <w:rsid w:val="00A968DE"/>
    <w:rsid w:val="00A974E1"/>
    <w:rsid w:val="00AA0DC2"/>
    <w:rsid w:val="00AA15A4"/>
    <w:rsid w:val="00AA2EC6"/>
    <w:rsid w:val="00AA3D3A"/>
    <w:rsid w:val="00AA6CE2"/>
    <w:rsid w:val="00AA7021"/>
    <w:rsid w:val="00AB16E7"/>
    <w:rsid w:val="00AB2E9F"/>
    <w:rsid w:val="00AB3F53"/>
    <w:rsid w:val="00AC6865"/>
    <w:rsid w:val="00AC6891"/>
    <w:rsid w:val="00AE037E"/>
    <w:rsid w:val="00AE0447"/>
    <w:rsid w:val="00AE0A45"/>
    <w:rsid w:val="00AE246B"/>
    <w:rsid w:val="00AE2ABF"/>
    <w:rsid w:val="00AF0FFB"/>
    <w:rsid w:val="00AF4883"/>
    <w:rsid w:val="00AF6B75"/>
    <w:rsid w:val="00B0032F"/>
    <w:rsid w:val="00B01BD3"/>
    <w:rsid w:val="00B06BA1"/>
    <w:rsid w:val="00B07780"/>
    <w:rsid w:val="00B1033F"/>
    <w:rsid w:val="00B1119A"/>
    <w:rsid w:val="00B133B4"/>
    <w:rsid w:val="00B20610"/>
    <w:rsid w:val="00B2499E"/>
    <w:rsid w:val="00B25BB6"/>
    <w:rsid w:val="00B417A0"/>
    <w:rsid w:val="00B453BD"/>
    <w:rsid w:val="00B4711F"/>
    <w:rsid w:val="00B52425"/>
    <w:rsid w:val="00B52E00"/>
    <w:rsid w:val="00B53710"/>
    <w:rsid w:val="00B53A5A"/>
    <w:rsid w:val="00B55EDD"/>
    <w:rsid w:val="00B602AE"/>
    <w:rsid w:val="00B60B86"/>
    <w:rsid w:val="00B640B7"/>
    <w:rsid w:val="00B648B6"/>
    <w:rsid w:val="00B64BAD"/>
    <w:rsid w:val="00B74E79"/>
    <w:rsid w:val="00B768D7"/>
    <w:rsid w:val="00B8144E"/>
    <w:rsid w:val="00B9358D"/>
    <w:rsid w:val="00B9494B"/>
    <w:rsid w:val="00B9512A"/>
    <w:rsid w:val="00B954DC"/>
    <w:rsid w:val="00B962C3"/>
    <w:rsid w:val="00B9655E"/>
    <w:rsid w:val="00B965A9"/>
    <w:rsid w:val="00B96C22"/>
    <w:rsid w:val="00B97212"/>
    <w:rsid w:val="00BA0A60"/>
    <w:rsid w:val="00BA0D66"/>
    <w:rsid w:val="00BA20C1"/>
    <w:rsid w:val="00BA2426"/>
    <w:rsid w:val="00BA4D83"/>
    <w:rsid w:val="00BB0180"/>
    <w:rsid w:val="00BB18D2"/>
    <w:rsid w:val="00BB4D88"/>
    <w:rsid w:val="00BB528F"/>
    <w:rsid w:val="00BC2967"/>
    <w:rsid w:val="00BC4F03"/>
    <w:rsid w:val="00BC5B50"/>
    <w:rsid w:val="00BC656C"/>
    <w:rsid w:val="00BD1BA5"/>
    <w:rsid w:val="00BD1D85"/>
    <w:rsid w:val="00BD37C7"/>
    <w:rsid w:val="00BD4DDC"/>
    <w:rsid w:val="00BE445A"/>
    <w:rsid w:val="00BE7821"/>
    <w:rsid w:val="00BF27BF"/>
    <w:rsid w:val="00BF4AD9"/>
    <w:rsid w:val="00BF64E2"/>
    <w:rsid w:val="00C004CF"/>
    <w:rsid w:val="00C006F5"/>
    <w:rsid w:val="00C01C2D"/>
    <w:rsid w:val="00C01C70"/>
    <w:rsid w:val="00C058F5"/>
    <w:rsid w:val="00C124CC"/>
    <w:rsid w:val="00C15C97"/>
    <w:rsid w:val="00C2038F"/>
    <w:rsid w:val="00C23591"/>
    <w:rsid w:val="00C245F0"/>
    <w:rsid w:val="00C246DD"/>
    <w:rsid w:val="00C26C9B"/>
    <w:rsid w:val="00C31319"/>
    <w:rsid w:val="00C35813"/>
    <w:rsid w:val="00C35BEB"/>
    <w:rsid w:val="00C36DEE"/>
    <w:rsid w:val="00C50A07"/>
    <w:rsid w:val="00C5240F"/>
    <w:rsid w:val="00C53360"/>
    <w:rsid w:val="00C538D8"/>
    <w:rsid w:val="00C54952"/>
    <w:rsid w:val="00C55544"/>
    <w:rsid w:val="00C5570C"/>
    <w:rsid w:val="00C56D8C"/>
    <w:rsid w:val="00C619D8"/>
    <w:rsid w:val="00C65249"/>
    <w:rsid w:val="00C70EAB"/>
    <w:rsid w:val="00C71C49"/>
    <w:rsid w:val="00C71E1B"/>
    <w:rsid w:val="00C71E7B"/>
    <w:rsid w:val="00C770CF"/>
    <w:rsid w:val="00C80022"/>
    <w:rsid w:val="00C806D9"/>
    <w:rsid w:val="00C820A8"/>
    <w:rsid w:val="00C86210"/>
    <w:rsid w:val="00C86547"/>
    <w:rsid w:val="00C8666D"/>
    <w:rsid w:val="00CA26EF"/>
    <w:rsid w:val="00CA3C15"/>
    <w:rsid w:val="00CA3EE5"/>
    <w:rsid w:val="00CA5084"/>
    <w:rsid w:val="00CA5FE1"/>
    <w:rsid w:val="00CB244F"/>
    <w:rsid w:val="00CB3DAE"/>
    <w:rsid w:val="00CB4065"/>
    <w:rsid w:val="00CB5AFA"/>
    <w:rsid w:val="00CB72A6"/>
    <w:rsid w:val="00CC7627"/>
    <w:rsid w:val="00CD34E1"/>
    <w:rsid w:val="00CD5DE6"/>
    <w:rsid w:val="00CE3B4D"/>
    <w:rsid w:val="00CE404F"/>
    <w:rsid w:val="00CE7A48"/>
    <w:rsid w:val="00CF0067"/>
    <w:rsid w:val="00CF0FE4"/>
    <w:rsid w:val="00CF4257"/>
    <w:rsid w:val="00CF7C69"/>
    <w:rsid w:val="00D05AC5"/>
    <w:rsid w:val="00D05DA5"/>
    <w:rsid w:val="00D061FB"/>
    <w:rsid w:val="00D113B0"/>
    <w:rsid w:val="00D146C6"/>
    <w:rsid w:val="00D170A3"/>
    <w:rsid w:val="00D20838"/>
    <w:rsid w:val="00D21453"/>
    <w:rsid w:val="00D23032"/>
    <w:rsid w:val="00D250F3"/>
    <w:rsid w:val="00D25A64"/>
    <w:rsid w:val="00D32EBF"/>
    <w:rsid w:val="00D402E6"/>
    <w:rsid w:val="00D43460"/>
    <w:rsid w:val="00D43A39"/>
    <w:rsid w:val="00D47277"/>
    <w:rsid w:val="00D54331"/>
    <w:rsid w:val="00D575FA"/>
    <w:rsid w:val="00D57A23"/>
    <w:rsid w:val="00D57E08"/>
    <w:rsid w:val="00D60035"/>
    <w:rsid w:val="00D60D9D"/>
    <w:rsid w:val="00D60EF2"/>
    <w:rsid w:val="00D64318"/>
    <w:rsid w:val="00D70C53"/>
    <w:rsid w:val="00D724F0"/>
    <w:rsid w:val="00D74D00"/>
    <w:rsid w:val="00D74EFC"/>
    <w:rsid w:val="00D750EB"/>
    <w:rsid w:val="00D769C0"/>
    <w:rsid w:val="00D864CB"/>
    <w:rsid w:val="00D86A87"/>
    <w:rsid w:val="00D90114"/>
    <w:rsid w:val="00D91C7B"/>
    <w:rsid w:val="00DA343A"/>
    <w:rsid w:val="00DA3548"/>
    <w:rsid w:val="00DA4471"/>
    <w:rsid w:val="00DA4CC6"/>
    <w:rsid w:val="00DA6890"/>
    <w:rsid w:val="00DA7036"/>
    <w:rsid w:val="00DA729F"/>
    <w:rsid w:val="00DB2DC0"/>
    <w:rsid w:val="00DB37D1"/>
    <w:rsid w:val="00DB7819"/>
    <w:rsid w:val="00DC2C21"/>
    <w:rsid w:val="00DC334E"/>
    <w:rsid w:val="00DC4B1F"/>
    <w:rsid w:val="00DC583C"/>
    <w:rsid w:val="00DC6A4C"/>
    <w:rsid w:val="00DD1061"/>
    <w:rsid w:val="00DD5AAC"/>
    <w:rsid w:val="00DE1EE3"/>
    <w:rsid w:val="00DE4AC1"/>
    <w:rsid w:val="00DE73E2"/>
    <w:rsid w:val="00DF6E7B"/>
    <w:rsid w:val="00DF6F1F"/>
    <w:rsid w:val="00E0390E"/>
    <w:rsid w:val="00E047D2"/>
    <w:rsid w:val="00E1255E"/>
    <w:rsid w:val="00E16610"/>
    <w:rsid w:val="00E16826"/>
    <w:rsid w:val="00E214AA"/>
    <w:rsid w:val="00E21AB0"/>
    <w:rsid w:val="00E243DF"/>
    <w:rsid w:val="00E25A50"/>
    <w:rsid w:val="00E25E35"/>
    <w:rsid w:val="00E33386"/>
    <w:rsid w:val="00E352C6"/>
    <w:rsid w:val="00E36E1F"/>
    <w:rsid w:val="00E3759D"/>
    <w:rsid w:val="00E377B5"/>
    <w:rsid w:val="00E41FDF"/>
    <w:rsid w:val="00E4302F"/>
    <w:rsid w:val="00E450E6"/>
    <w:rsid w:val="00E5141B"/>
    <w:rsid w:val="00E55010"/>
    <w:rsid w:val="00E577B2"/>
    <w:rsid w:val="00E61AFD"/>
    <w:rsid w:val="00E64181"/>
    <w:rsid w:val="00E6496D"/>
    <w:rsid w:val="00E65E35"/>
    <w:rsid w:val="00E73299"/>
    <w:rsid w:val="00E74366"/>
    <w:rsid w:val="00E74C31"/>
    <w:rsid w:val="00E75D1E"/>
    <w:rsid w:val="00E77CF8"/>
    <w:rsid w:val="00E81421"/>
    <w:rsid w:val="00E839B4"/>
    <w:rsid w:val="00E92112"/>
    <w:rsid w:val="00E92901"/>
    <w:rsid w:val="00E979D5"/>
    <w:rsid w:val="00EA4B6A"/>
    <w:rsid w:val="00EA557A"/>
    <w:rsid w:val="00EA5B5D"/>
    <w:rsid w:val="00EA72B2"/>
    <w:rsid w:val="00EA77B9"/>
    <w:rsid w:val="00EB3551"/>
    <w:rsid w:val="00EB6551"/>
    <w:rsid w:val="00EB6F72"/>
    <w:rsid w:val="00EC088E"/>
    <w:rsid w:val="00EC09EC"/>
    <w:rsid w:val="00EC0D00"/>
    <w:rsid w:val="00EC17C5"/>
    <w:rsid w:val="00EC424D"/>
    <w:rsid w:val="00EC4E5D"/>
    <w:rsid w:val="00EC57A4"/>
    <w:rsid w:val="00EC57B9"/>
    <w:rsid w:val="00ED1134"/>
    <w:rsid w:val="00ED1B2C"/>
    <w:rsid w:val="00ED399A"/>
    <w:rsid w:val="00ED78CE"/>
    <w:rsid w:val="00ED7B7B"/>
    <w:rsid w:val="00EE123D"/>
    <w:rsid w:val="00EE1A35"/>
    <w:rsid w:val="00EE216C"/>
    <w:rsid w:val="00EE235F"/>
    <w:rsid w:val="00EE2708"/>
    <w:rsid w:val="00EF11A4"/>
    <w:rsid w:val="00EF1938"/>
    <w:rsid w:val="00EF3F71"/>
    <w:rsid w:val="00EF4EC5"/>
    <w:rsid w:val="00EF5CF8"/>
    <w:rsid w:val="00F05B2E"/>
    <w:rsid w:val="00F074C9"/>
    <w:rsid w:val="00F102AE"/>
    <w:rsid w:val="00F126A7"/>
    <w:rsid w:val="00F14A64"/>
    <w:rsid w:val="00F17241"/>
    <w:rsid w:val="00F17803"/>
    <w:rsid w:val="00F23BF4"/>
    <w:rsid w:val="00F23EDE"/>
    <w:rsid w:val="00F24BBD"/>
    <w:rsid w:val="00F3094A"/>
    <w:rsid w:val="00F47EF3"/>
    <w:rsid w:val="00F50643"/>
    <w:rsid w:val="00F521FF"/>
    <w:rsid w:val="00F52636"/>
    <w:rsid w:val="00F5416A"/>
    <w:rsid w:val="00F54ACA"/>
    <w:rsid w:val="00F55ABF"/>
    <w:rsid w:val="00F55DB0"/>
    <w:rsid w:val="00F55FCA"/>
    <w:rsid w:val="00F563F7"/>
    <w:rsid w:val="00F57D1F"/>
    <w:rsid w:val="00F612BF"/>
    <w:rsid w:val="00F6494C"/>
    <w:rsid w:val="00F661AA"/>
    <w:rsid w:val="00F67AF7"/>
    <w:rsid w:val="00F72B4D"/>
    <w:rsid w:val="00F7600C"/>
    <w:rsid w:val="00F7729F"/>
    <w:rsid w:val="00F84238"/>
    <w:rsid w:val="00F859A8"/>
    <w:rsid w:val="00F95CB8"/>
    <w:rsid w:val="00FA2C0D"/>
    <w:rsid w:val="00FA3D53"/>
    <w:rsid w:val="00FA662B"/>
    <w:rsid w:val="00FA6977"/>
    <w:rsid w:val="00FB01F8"/>
    <w:rsid w:val="00FB0582"/>
    <w:rsid w:val="00FB521F"/>
    <w:rsid w:val="00FC1566"/>
    <w:rsid w:val="00FC2844"/>
    <w:rsid w:val="00FC4E74"/>
    <w:rsid w:val="00FC627A"/>
    <w:rsid w:val="00FD0AB6"/>
    <w:rsid w:val="00FD1B0D"/>
    <w:rsid w:val="00FD1D4F"/>
    <w:rsid w:val="00FD4838"/>
    <w:rsid w:val="00FD58EF"/>
    <w:rsid w:val="00FD667F"/>
    <w:rsid w:val="00FD7A5A"/>
    <w:rsid w:val="00FE0B62"/>
    <w:rsid w:val="00FE33F5"/>
    <w:rsid w:val="00FE40F1"/>
    <w:rsid w:val="00FE578A"/>
    <w:rsid w:val="00FE5AA2"/>
    <w:rsid w:val="00FF02E3"/>
    <w:rsid w:val="00FF07BF"/>
    <w:rsid w:val="00FF1D44"/>
    <w:rsid w:val="00FF2ACA"/>
    <w:rsid w:val="00FF52C8"/>
    <w:rsid w:val="00FF5A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275D9-8883-48D0-82BE-205242CA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A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F48DB"/>
    <w:pPr>
      <w:keepNext/>
      <w:tabs>
        <w:tab w:val="right" w:pos="8505"/>
      </w:tabs>
      <w:jc w:val="center"/>
      <w:outlineLvl w:val="1"/>
    </w:pPr>
    <w:rPr>
      <w:rFonts w:eastAsia="Times New Roman" w:cs="Times New Roman"/>
      <w:b/>
      <w:szCs w:val="20"/>
      <w:lang w:val="en-US"/>
    </w:rPr>
  </w:style>
  <w:style w:type="paragraph" w:styleId="Heading3">
    <w:name w:val="heading 3"/>
    <w:basedOn w:val="Normal"/>
    <w:next w:val="Normal"/>
    <w:link w:val="Heading3Char"/>
    <w:uiPriority w:val="9"/>
    <w:unhideWhenUsed/>
    <w:qFormat/>
    <w:rsid w:val="00FF5A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5A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5AD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41"/>
    <w:pPr>
      <w:ind w:left="720"/>
      <w:contextualSpacing/>
    </w:pPr>
  </w:style>
  <w:style w:type="paragraph" w:styleId="Header">
    <w:name w:val="header"/>
    <w:basedOn w:val="Normal"/>
    <w:link w:val="HeaderChar"/>
    <w:uiPriority w:val="99"/>
    <w:unhideWhenUsed/>
    <w:rsid w:val="00593172"/>
    <w:pPr>
      <w:tabs>
        <w:tab w:val="center" w:pos="4513"/>
        <w:tab w:val="right" w:pos="9026"/>
      </w:tabs>
      <w:spacing w:line="240" w:lineRule="auto"/>
    </w:pPr>
  </w:style>
  <w:style w:type="character" w:customStyle="1" w:styleId="HeaderChar">
    <w:name w:val="Header Char"/>
    <w:basedOn w:val="DefaultParagraphFont"/>
    <w:link w:val="Header"/>
    <w:uiPriority w:val="99"/>
    <w:rsid w:val="00593172"/>
  </w:style>
  <w:style w:type="paragraph" w:styleId="Footer">
    <w:name w:val="footer"/>
    <w:basedOn w:val="Normal"/>
    <w:link w:val="FooterChar"/>
    <w:uiPriority w:val="99"/>
    <w:unhideWhenUsed/>
    <w:rsid w:val="00593172"/>
    <w:pPr>
      <w:tabs>
        <w:tab w:val="center" w:pos="4513"/>
        <w:tab w:val="right" w:pos="9026"/>
      </w:tabs>
      <w:spacing w:line="240" w:lineRule="auto"/>
    </w:pPr>
  </w:style>
  <w:style w:type="character" w:customStyle="1" w:styleId="FooterChar">
    <w:name w:val="Footer Char"/>
    <w:basedOn w:val="DefaultParagraphFont"/>
    <w:link w:val="Footer"/>
    <w:uiPriority w:val="99"/>
    <w:rsid w:val="00593172"/>
  </w:style>
  <w:style w:type="character" w:styleId="Hyperlink">
    <w:name w:val="Hyperlink"/>
    <w:basedOn w:val="DefaultParagraphFont"/>
    <w:uiPriority w:val="99"/>
    <w:unhideWhenUsed/>
    <w:rsid w:val="003D41C5"/>
    <w:rPr>
      <w:color w:val="0000FF" w:themeColor="hyperlink"/>
      <w:u w:val="single"/>
    </w:rPr>
  </w:style>
  <w:style w:type="paragraph" w:styleId="BalloonText">
    <w:name w:val="Balloon Text"/>
    <w:basedOn w:val="Normal"/>
    <w:link w:val="BalloonTextChar"/>
    <w:uiPriority w:val="99"/>
    <w:semiHidden/>
    <w:unhideWhenUsed/>
    <w:rsid w:val="00DD5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AC"/>
    <w:rPr>
      <w:rFonts w:ascii="Tahoma" w:hAnsi="Tahoma" w:cs="Tahoma"/>
      <w:sz w:val="16"/>
      <w:szCs w:val="16"/>
    </w:rPr>
  </w:style>
  <w:style w:type="character" w:customStyle="1" w:styleId="Heading2Char">
    <w:name w:val="Heading 2 Char"/>
    <w:basedOn w:val="DefaultParagraphFont"/>
    <w:link w:val="Heading2"/>
    <w:rsid w:val="007F48DB"/>
    <w:rPr>
      <w:rFonts w:ascii="Arial" w:eastAsia="Times New Roman" w:hAnsi="Arial" w:cs="Times New Roman"/>
      <w:b/>
      <w:sz w:val="24"/>
      <w:szCs w:val="20"/>
      <w:lang w:val="en-US"/>
    </w:rPr>
  </w:style>
  <w:style w:type="paragraph" w:styleId="FootnoteText">
    <w:name w:val="footnote text"/>
    <w:basedOn w:val="Normal"/>
    <w:link w:val="FootnoteTextChar"/>
    <w:uiPriority w:val="99"/>
    <w:semiHidden/>
    <w:unhideWhenUsed/>
    <w:rsid w:val="00543387"/>
    <w:pPr>
      <w:spacing w:line="240" w:lineRule="auto"/>
    </w:pPr>
    <w:rPr>
      <w:sz w:val="20"/>
      <w:szCs w:val="20"/>
    </w:rPr>
  </w:style>
  <w:style w:type="character" w:customStyle="1" w:styleId="FootnoteTextChar">
    <w:name w:val="Footnote Text Char"/>
    <w:basedOn w:val="DefaultParagraphFont"/>
    <w:link w:val="FootnoteText"/>
    <w:uiPriority w:val="99"/>
    <w:semiHidden/>
    <w:rsid w:val="00543387"/>
    <w:rPr>
      <w:sz w:val="20"/>
      <w:szCs w:val="20"/>
    </w:rPr>
  </w:style>
  <w:style w:type="character" w:styleId="FootnoteReference">
    <w:name w:val="footnote reference"/>
    <w:basedOn w:val="DefaultParagraphFont"/>
    <w:uiPriority w:val="99"/>
    <w:semiHidden/>
    <w:unhideWhenUsed/>
    <w:rsid w:val="00543387"/>
    <w:rPr>
      <w:vertAlign w:val="superscript"/>
    </w:rPr>
  </w:style>
  <w:style w:type="paragraph" w:styleId="NoSpacing">
    <w:name w:val="No Spacing"/>
    <w:uiPriority w:val="1"/>
    <w:qFormat/>
    <w:rsid w:val="00FF5ADB"/>
    <w:pPr>
      <w:spacing w:line="240" w:lineRule="auto"/>
    </w:pPr>
  </w:style>
  <w:style w:type="character" w:customStyle="1" w:styleId="Heading1Char">
    <w:name w:val="Heading 1 Char"/>
    <w:basedOn w:val="DefaultParagraphFont"/>
    <w:link w:val="Heading1"/>
    <w:uiPriority w:val="9"/>
    <w:rsid w:val="00FF5AD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F5A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5A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5AD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12061.663682A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3" ma:contentTypeDescription="Create a new document." ma:contentTypeScope="" ma:versionID="267dd1e86803dd40d2acb79b6ca9211e">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fd3168a5a83ceb3515187aa114f78402"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Props1.xml><?xml version="1.0" encoding="utf-8"?>
<ds:datastoreItem xmlns:ds="http://schemas.openxmlformats.org/officeDocument/2006/customXml" ds:itemID="{A29712FA-1DBA-4A2E-AF0F-F0AE17702491}">
  <ds:schemaRefs>
    <ds:schemaRef ds:uri="http://schemas.microsoft.com/sharepoint/v3/contenttype/forms"/>
  </ds:schemaRefs>
</ds:datastoreItem>
</file>

<file path=customXml/itemProps2.xml><?xml version="1.0" encoding="utf-8"?>
<ds:datastoreItem xmlns:ds="http://schemas.openxmlformats.org/officeDocument/2006/customXml" ds:itemID="{F8AE69FD-307E-45A7-8F8B-AA1174135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23043-61B7-4CBE-98B9-6CAFCC51B694}">
  <ds:schemaRefs>
    <ds:schemaRef ds:uri="http://schemas.microsoft.com/office/2006/metadata/properties"/>
    <ds:schemaRef ds:uri="http://schemas.microsoft.com/office/infopath/2007/PartnerControls"/>
    <ds:schemaRef ds:uri="2e5d8bf4-e976-4310-89b5-20300ef8baa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Gillian</dc:creator>
  <cp:lastModifiedBy>Mokone</cp:lastModifiedBy>
  <cp:revision>3</cp:revision>
  <cp:lastPrinted>2023-06-02T09:14:00Z</cp:lastPrinted>
  <dcterms:created xsi:type="dcterms:W3CDTF">2023-06-02T10:31:00Z</dcterms:created>
  <dcterms:modified xsi:type="dcterms:W3CDTF">2023-06-02T10:35:00Z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