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42D1" w14:textId="77777777"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7972CA26" w14:textId="77777777" w:rsidR="00604A6E" w:rsidRDefault="00604A6E" w:rsidP="00122893">
      <w:pPr>
        <w:widowControl w:val="0"/>
        <w:tabs>
          <w:tab w:val="right" w:pos="8647"/>
        </w:tabs>
        <w:contextualSpacing/>
        <w:jc w:val="center"/>
        <w:rPr>
          <w:rFonts w:ascii="Arial" w:hAnsi="Arial" w:cs="Arial"/>
          <w:b/>
          <w:color w:val="000000" w:themeColor="text1"/>
          <w:lang w:val="en-GB"/>
        </w:rPr>
      </w:pPr>
    </w:p>
    <w:p w14:paraId="5866C030" w14:textId="4E3C46BE"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 xml:space="preserve">IN THE </w:t>
      </w:r>
      <w:r w:rsidR="000E155F">
        <w:rPr>
          <w:rFonts w:ascii="Arial" w:hAnsi="Arial" w:cs="Arial"/>
          <w:b/>
          <w:color w:val="000000" w:themeColor="text1"/>
          <w:lang w:val="en-GB"/>
        </w:rPr>
        <w:t>HIGH</w:t>
      </w:r>
      <w:r w:rsidRPr="00825DA7">
        <w:rPr>
          <w:rFonts w:ascii="Arial" w:hAnsi="Arial" w:cs="Arial"/>
          <w:b/>
          <w:color w:val="000000" w:themeColor="text1"/>
          <w:lang w:val="en-GB"/>
        </w:rPr>
        <w:t xml:space="preserve"> COURT OF SOUTH AFRICA</w:t>
      </w:r>
    </w:p>
    <w:p w14:paraId="78E7D4CA" w14:textId="2468A51F" w:rsidR="009A7B21" w:rsidRPr="00825DA7" w:rsidRDefault="000E155F" w:rsidP="00122893">
      <w:pPr>
        <w:widowControl w:val="0"/>
        <w:tabs>
          <w:tab w:val="right" w:pos="8647"/>
        </w:tabs>
        <w:contextualSpacing/>
        <w:jc w:val="center"/>
        <w:rPr>
          <w:rFonts w:ascii="Arial" w:hAnsi="Arial" w:cs="Arial"/>
          <w:b/>
          <w:color w:val="000000" w:themeColor="text1"/>
          <w:lang w:val="en-GB"/>
        </w:rPr>
      </w:pPr>
      <w:r>
        <w:rPr>
          <w:rFonts w:ascii="Arial" w:hAnsi="Arial" w:cs="Arial"/>
          <w:b/>
          <w:color w:val="000000" w:themeColor="text1"/>
          <w:lang w:val="en-GB"/>
        </w:rPr>
        <w:t xml:space="preserve">WESTERN CAPE DIVISION, </w:t>
      </w:r>
      <w:r w:rsidR="009A7B21" w:rsidRPr="00825DA7">
        <w:rPr>
          <w:rFonts w:ascii="Arial" w:hAnsi="Arial" w:cs="Arial"/>
          <w:b/>
          <w:color w:val="000000" w:themeColor="text1"/>
          <w:lang w:val="en-GB"/>
        </w:rPr>
        <w:t>CAPE TOWN</w:t>
      </w:r>
    </w:p>
    <w:p w14:paraId="30111EAD" w14:textId="5D935068" w:rsidR="00D81F8C" w:rsidRPr="00604A6E" w:rsidRDefault="00D81F8C" w:rsidP="000E155F">
      <w:pPr>
        <w:widowControl w:val="0"/>
        <w:tabs>
          <w:tab w:val="right" w:pos="8364"/>
        </w:tabs>
        <w:spacing w:line="360" w:lineRule="auto"/>
        <w:jc w:val="right"/>
        <w:rPr>
          <w:rFonts w:ascii="Arial" w:hAnsi="Arial" w:cs="Arial"/>
          <w:spacing w:val="-3"/>
        </w:rPr>
      </w:pPr>
      <w:r w:rsidRPr="003913F1">
        <w:rPr>
          <w:rFonts w:ascii="Arial" w:hAnsi="Arial" w:cs="Arial"/>
          <w:spacing w:val="-3"/>
        </w:rPr>
        <w:tab/>
      </w:r>
    </w:p>
    <w:p w14:paraId="767BF444" w14:textId="69BDE6EF" w:rsidR="00604A6E" w:rsidRPr="00604A6E" w:rsidRDefault="00604A6E" w:rsidP="00604A6E">
      <w:pPr>
        <w:pStyle w:val="BodyText"/>
        <w:spacing w:line="360" w:lineRule="auto"/>
        <w:jc w:val="center"/>
        <w:rPr>
          <w:rFonts w:cs="Arial"/>
          <w:bCs/>
          <w:sz w:val="24"/>
          <w:szCs w:val="24"/>
        </w:rPr>
      </w:pPr>
      <w:r>
        <w:rPr>
          <w:rFonts w:cs="Arial"/>
          <w:bCs/>
          <w:sz w:val="24"/>
          <w:szCs w:val="24"/>
        </w:rPr>
        <w:tab/>
      </w:r>
      <w:r w:rsidRPr="00604A6E">
        <w:rPr>
          <w:rFonts w:cs="Arial"/>
          <w:bCs/>
          <w:sz w:val="24"/>
          <w:szCs w:val="24"/>
        </w:rPr>
        <w:t>Case number: 3518/2023</w:t>
      </w:r>
    </w:p>
    <w:p w14:paraId="0C56C373" w14:textId="77777777" w:rsidR="00604A6E" w:rsidRPr="00604A6E" w:rsidRDefault="00604A6E" w:rsidP="00604A6E">
      <w:pPr>
        <w:pStyle w:val="BodyText"/>
        <w:spacing w:line="360" w:lineRule="auto"/>
        <w:rPr>
          <w:rFonts w:cs="Arial"/>
          <w:b/>
          <w:sz w:val="24"/>
          <w:szCs w:val="24"/>
        </w:rPr>
      </w:pPr>
    </w:p>
    <w:p w14:paraId="7794D83C" w14:textId="77777777" w:rsidR="00604A6E" w:rsidRPr="00604A6E" w:rsidRDefault="00604A6E" w:rsidP="00604A6E">
      <w:pPr>
        <w:pStyle w:val="BodyText"/>
        <w:spacing w:line="360" w:lineRule="auto"/>
        <w:rPr>
          <w:rFonts w:cs="Arial"/>
          <w:bCs/>
          <w:sz w:val="24"/>
          <w:szCs w:val="24"/>
        </w:rPr>
      </w:pPr>
      <w:r w:rsidRPr="00604A6E">
        <w:rPr>
          <w:rFonts w:cs="Arial"/>
          <w:bCs/>
          <w:sz w:val="24"/>
          <w:szCs w:val="24"/>
        </w:rPr>
        <w:t>In the matter between:</w:t>
      </w:r>
    </w:p>
    <w:p w14:paraId="24385E40" w14:textId="77777777" w:rsidR="00604A6E" w:rsidRPr="00604A6E" w:rsidRDefault="00604A6E" w:rsidP="00604A6E">
      <w:pPr>
        <w:spacing w:line="360" w:lineRule="auto"/>
        <w:rPr>
          <w:rFonts w:ascii="Arial" w:hAnsi="Arial" w:cs="Arial"/>
          <w:b/>
        </w:rPr>
      </w:pPr>
      <w:r w:rsidRPr="00604A6E">
        <w:rPr>
          <w:rFonts w:ascii="Arial" w:hAnsi="Arial" w:cs="Arial"/>
          <w:b/>
        </w:rPr>
        <w:t>K2021765242 (SOUTH AFRICA) (PTY) LTD</w:t>
      </w:r>
      <w:r w:rsidRPr="00604A6E">
        <w:rPr>
          <w:rFonts w:ascii="Arial" w:hAnsi="Arial" w:cs="Arial"/>
          <w:b/>
        </w:rPr>
        <w:tab/>
      </w:r>
      <w:r w:rsidRPr="00604A6E">
        <w:rPr>
          <w:rFonts w:ascii="Arial" w:hAnsi="Arial" w:cs="Arial"/>
          <w:b/>
        </w:rPr>
        <w:tab/>
      </w:r>
      <w:r w:rsidRPr="00604A6E">
        <w:rPr>
          <w:rFonts w:ascii="Arial" w:hAnsi="Arial" w:cs="Arial"/>
          <w:bCs/>
        </w:rPr>
        <w:tab/>
      </w:r>
      <w:r w:rsidRPr="00604A6E">
        <w:rPr>
          <w:rFonts w:ascii="Arial" w:hAnsi="Arial" w:cs="Arial"/>
          <w:bCs/>
        </w:rPr>
        <w:tab/>
      </w:r>
      <w:r w:rsidRPr="00604A6E">
        <w:rPr>
          <w:rFonts w:ascii="Arial" w:hAnsi="Arial" w:cs="Arial"/>
          <w:bCs/>
        </w:rPr>
        <w:tab/>
        <w:t xml:space="preserve">   Applicant</w:t>
      </w:r>
    </w:p>
    <w:p w14:paraId="218478D2" w14:textId="77777777" w:rsidR="00604A6E" w:rsidRPr="00604A6E" w:rsidRDefault="00604A6E" w:rsidP="00604A6E">
      <w:pPr>
        <w:pStyle w:val="BodyText"/>
        <w:spacing w:line="360" w:lineRule="auto"/>
        <w:rPr>
          <w:rFonts w:cs="Arial"/>
          <w:b/>
          <w:sz w:val="24"/>
          <w:szCs w:val="24"/>
        </w:rPr>
      </w:pPr>
    </w:p>
    <w:p w14:paraId="721BD346" w14:textId="77777777" w:rsidR="00604A6E" w:rsidRPr="00604A6E" w:rsidRDefault="00604A6E" w:rsidP="00604A6E">
      <w:pPr>
        <w:pStyle w:val="BodyText"/>
        <w:spacing w:line="360" w:lineRule="auto"/>
        <w:rPr>
          <w:rFonts w:cs="Arial"/>
          <w:bCs/>
          <w:sz w:val="24"/>
          <w:szCs w:val="24"/>
        </w:rPr>
      </w:pPr>
      <w:r w:rsidRPr="00604A6E">
        <w:rPr>
          <w:rFonts w:cs="Arial"/>
          <w:bCs/>
          <w:sz w:val="24"/>
          <w:szCs w:val="24"/>
        </w:rPr>
        <w:t>and</w:t>
      </w:r>
    </w:p>
    <w:p w14:paraId="30850D1B" w14:textId="77777777" w:rsidR="00604A6E" w:rsidRPr="00604A6E" w:rsidRDefault="00604A6E" w:rsidP="00604A6E">
      <w:pPr>
        <w:pStyle w:val="BodyText"/>
        <w:spacing w:line="360" w:lineRule="auto"/>
        <w:rPr>
          <w:rFonts w:cs="Arial"/>
          <w:b/>
          <w:sz w:val="24"/>
          <w:szCs w:val="24"/>
        </w:rPr>
      </w:pPr>
    </w:p>
    <w:p w14:paraId="7B549534" w14:textId="77777777" w:rsidR="00604A6E" w:rsidRPr="00604A6E" w:rsidRDefault="00604A6E" w:rsidP="00604A6E">
      <w:pPr>
        <w:spacing w:line="360" w:lineRule="auto"/>
        <w:ind w:right="550"/>
        <w:rPr>
          <w:rFonts w:ascii="Arial" w:hAnsi="Arial" w:cs="Arial"/>
          <w:b/>
        </w:rPr>
      </w:pPr>
      <w:r w:rsidRPr="00604A6E">
        <w:rPr>
          <w:rFonts w:ascii="Arial" w:hAnsi="Arial" w:cs="Arial"/>
          <w:b/>
        </w:rPr>
        <w:t>THIBAULT INVESTMENTS (PTY) LTD</w:t>
      </w:r>
      <w:r w:rsidRPr="00604A6E">
        <w:rPr>
          <w:rFonts w:ascii="Arial" w:hAnsi="Arial" w:cs="Arial"/>
          <w:b/>
        </w:rPr>
        <w:tab/>
      </w:r>
      <w:r w:rsidRPr="00604A6E">
        <w:rPr>
          <w:rFonts w:ascii="Arial" w:hAnsi="Arial" w:cs="Arial"/>
          <w:b/>
        </w:rPr>
        <w:tab/>
      </w:r>
      <w:r w:rsidRPr="00604A6E">
        <w:rPr>
          <w:rFonts w:ascii="Arial" w:hAnsi="Arial" w:cs="Arial"/>
          <w:b/>
        </w:rPr>
        <w:tab/>
      </w:r>
      <w:r w:rsidRPr="00604A6E">
        <w:rPr>
          <w:rFonts w:ascii="Arial" w:hAnsi="Arial" w:cs="Arial"/>
          <w:b/>
        </w:rPr>
        <w:tab/>
      </w:r>
      <w:r w:rsidRPr="00604A6E">
        <w:rPr>
          <w:rFonts w:ascii="Arial" w:hAnsi="Arial" w:cs="Arial"/>
          <w:b/>
        </w:rPr>
        <w:tab/>
        <w:t xml:space="preserve">   </w:t>
      </w:r>
      <w:r w:rsidRPr="00604A6E">
        <w:rPr>
          <w:rFonts w:ascii="Arial" w:hAnsi="Arial" w:cs="Arial"/>
          <w:bCs/>
        </w:rPr>
        <w:t>First respondent</w:t>
      </w:r>
    </w:p>
    <w:p w14:paraId="76ECE845" w14:textId="77777777" w:rsidR="00604A6E" w:rsidRPr="00604A6E" w:rsidRDefault="00604A6E" w:rsidP="00604A6E">
      <w:pPr>
        <w:spacing w:line="360" w:lineRule="auto"/>
        <w:ind w:right="550"/>
        <w:rPr>
          <w:rFonts w:ascii="Arial" w:hAnsi="Arial" w:cs="Arial"/>
          <w:b/>
        </w:rPr>
      </w:pPr>
      <w:r w:rsidRPr="00604A6E">
        <w:rPr>
          <w:rFonts w:ascii="Arial" w:hAnsi="Arial" w:cs="Arial"/>
          <w:b/>
        </w:rPr>
        <w:t>ABRAHAMS AND GROSS</w:t>
      </w:r>
      <w:r w:rsidRPr="00604A6E">
        <w:rPr>
          <w:rFonts w:ascii="Arial" w:hAnsi="Arial" w:cs="Arial"/>
          <w:b/>
        </w:rPr>
        <w:tab/>
      </w:r>
      <w:r w:rsidRPr="00604A6E">
        <w:rPr>
          <w:rFonts w:ascii="Arial" w:hAnsi="Arial" w:cs="Arial"/>
          <w:b/>
        </w:rPr>
        <w:tab/>
      </w:r>
      <w:r w:rsidRPr="00604A6E">
        <w:rPr>
          <w:rFonts w:ascii="Arial" w:hAnsi="Arial" w:cs="Arial"/>
          <w:b/>
        </w:rPr>
        <w:tab/>
      </w:r>
      <w:r w:rsidRPr="00604A6E">
        <w:rPr>
          <w:rFonts w:ascii="Arial" w:hAnsi="Arial" w:cs="Arial"/>
          <w:b/>
        </w:rPr>
        <w:tab/>
      </w:r>
      <w:r w:rsidRPr="00604A6E">
        <w:rPr>
          <w:rFonts w:ascii="Arial" w:hAnsi="Arial" w:cs="Arial"/>
          <w:b/>
        </w:rPr>
        <w:tab/>
        <w:t xml:space="preserve">         </w:t>
      </w:r>
      <w:r w:rsidRPr="00604A6E">
        <w:rPr>
          <w:rFonts w:ascii="Arial" w:hAnsi="Arial" w:cs="Arial"/>
          <w:bCs/>
        </w:rPr>
        <w:t>Second respondent</w:t>
      </w:r>
    </w:p>
    <w:p w14:paraId="79978CFC" w14:textId="77777777" w:rsidR="00604A6E" w:rsidRPr="00604A6E" w:rsidRDefault="00604A6E" w:rsidP="00604A6E">
      <w:pPr>
        <w:spacing w:line="360" w:lineRule="auto"/>
        <w:rPr>
          <w:rFonts w:ascii="Arial" w:hAnsi="Arial" w:cs="Arial"/>
          <w:b/>
        </w:rPr>
      </w:pPr>
      <w:r w:rsidRPr="00604A6E">
        <w:rPr>
          <w:rFonts w:ascii="Arial" w:hAnsi="Arial" w:cs="Arial"/>
          <w:b/>
        </w:rPr>
        <w:t>ATLANTIC</w:t>
      </w:r>
      <w:r w:rsidRPr="00604A6E">
        <w:rPr>
          <w:rFonts w:ascii="Arial" w:hAnsi="Arial" w:cs="Arial"/>
          <w:b/>
          <w:spacing w:val="-34"/>
        </w:rPr>
        <w:t xml:space="preserve"> </w:t>
      </w:r>
      <w:r w:rsidRPr="00604A6E">
        <w:rPr>
          <w:rFonts w:ascii="Arial" w:hAnsi="Arial" w:cs="Arial"/>
          <w:b/>
        </w:rPr>
        <w:t>SEABOARD</w:t>
      </w:r>
      <w:r w:rsidRPr="00604A6E">
        <w:rPr>
          <w:rFonts w:ascii="Arial" w:hAnsi="Arial" w:cs="Arial"/>
          <w:b/>
          <w:spacing w:val="-33"/>
        </w:rPr>
        <w:t xml:space="preserve"> </w:t>
      </w:r>
      <w:r w:rsidRPr="00604A6E">
        <w:rPr>
          <w:rFonts w:ascii="Arial" w:hAnsi="Arial" w:cs="Arial"/>
          <w:b/>
        </w:rPr>
        <w:t>PROPERTIES</w:t>
      </w:r>
      <w:r w:rsidRPr="00604A6E">
        <w:rPr>
          <w:rFonts w:ascii="Arial" w:hAnsi="Arial" w:cs="Arial"/>
          <w:b/>
          <w:spacing w:val="-28"/>
        </w:rPr>
        <w:t xml:space="preserve"> </w:t>
      </w:r>
      <w:r w:rsidRPr="00604A6E">
        <w:rPr>
          <w:rFonts w:ascii="Arial" w:hAnsi="Arial" w:cs="Arial"/>
          <w:b/>
        </w:rPr>
        <w:t>(PTY)</w:t>
      </w:r>
      <w:r w:rsidRPr="00604A6E">
        <w:rPr>
          <w:rFonts w:ascii="Arial" w:hAnsi="Arial" w:cs="Arial"/>
          <w:b/>
          <w:spacing w:val="-39"/>
        </w:rPr>
        <w:t xml:space="preserve"> </w:t>
      </w:r>
      <w:r w:rsidRPr="00604A6E">
        <w:rPr>
          <w:rFonts w:ascii="Arial" w:hAnsi="Arial" w:cs="Arial"/>
          <w:b/>
        </w:rPr>
        <w:t>LTD</w:t>
      </w:r>
      <w:r w:rsidRPr="00604A6E">
        <w:rPr>
          <w:rFonts w:ascii="Arial" w:hAnsi="Arial" w:cs="Arial"/>
          <w:b/>
        </w:rPr>
        <w:tab/>
      </w:r>
      <w:r w:rsidRPr="00604A6E">
        <w:rPr>
          <w:rFonts w:ascii="Arial" w:hAnsi="Arial" w:cs="Arial"/>
          <w:b/>
        </w:rPr>
        <w:tab/>
      </w:r>
      <w:r w:rsidRPr="00604A6E">
        <w:rPr>
          <w:rFonts w:ascii="Arial" w:hAnsi="Arial" w:cs="Arial"/>
          <w:b/>
        </w:rPr>
        <w:tab/>
        <w:t xml:space="preserve">  </w:t>
      </w:r>
      <w:r w:rsidRPr="00604A6E">
        <w:rPr>
          <w:rFonts w:ascii="Arial" w:hAnsi="Arial" w:cs="Arial"/>
          <w:bCs/>
        </w:rPr>
        <w:t>Third respondent</w:t>
      </w:r>
    </w:p>
    <w:p w14:paraId="46088B5E" w14:textId="2954C156" w:rsidR="00604A6E" w:rsidRPr="00604A6E" w:rsidRDefault="00604A6E" w:rsidP="00604A6E">
      <w:pPr>
        <w:pStyle w:val="BodyText"/>
        <w:tabs>
          <w:tab w:val="clear" w:pos="8222"/>
        </w:tabs>
        <w:spacing w:line="360" w:lineRule="auto"/>
        <w:rPr>
          <w:rFonts w:cs="Arial"/>
          <w:b/>
          <w:sz w:val="24"/>
          <w:szCs w:val="24"/>
        </w:rPr>
      </w:pPr>
      <w:r w:rsidRPr="00604A6E">
        <w:rPr>
          <w:rFonts w:cs="Arial"/>
          <w:b/>
          <w:sz w:val="24"/>
          <w:szCs w:val="24"/>
        </w:rPr>
        <w:t>REGISTRAR OF DEEDS, CAPE TOWN</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04A6E">
        <w:rPr>
          <w:rFonts w:cs="Arial"/>
          <w:bCs/>
          <w:sz w:val="24"/>
          <w:szCs w:val="24"/>
        </w:rPr>
        <w:t>Fourth respondent</w:t>
      </w:r>
    </w:p>
    <w:p w14:paraId="50D77DAC" w14:textId="77777777" w:rsidR="00604A6E" w:rsidRPr="00604A6E" w:rsidRDefault="00604A6E" w:rsidP="00604A6E">
      <w:pPr>
        <w:pBdr>
          <w:bottom w:val="single" w:sz="6" w:space="0" w:color="auto"/>
        </w:pBdr>
        <w:spacing w:line="360" w:lineRule="auto"/>
        <w:contextualSpacing/>
        <w:rPr>
          <w:rFonts w:ascii="Arial" w:hAnsi="Arial" w:cs="Arial"/>
        </w:rPr>
      </w:pPr>
    </w:p>
    <w:p w14:paraId="75FD183B" w14:textId="77777777" w:rsidR="00604A6E" w:rsidRPr="00604A6E" w:rsidRDefault="00604A6E" w:rsidP="00604A6E">
      <w:pPr>
        <w:pBdr>
          <w:bottom w:val="single" w:sz="6" w:space="1" w:color="auto"/>
        </w:pBdr>
        <w:tabs>
          <w:tab w:val="right" w:pos="8931"/>
        </w:tabs>
        <w:spacing w:line="360" w:lineRule="auto"/>
        <w:contextualSpacing/>
        <w:jc w:val="center"/>
        <w:rPr>
          <w:rFonts w:ascii="Arial" w:hAnsi="Arial" w:cs="Arial"/>
          <w:b/>
        </w:rPr>
      </w:pPr>
    </w:p>
    <w:p w14:paraId="09978D18" w14:textId="77777777" w:rsidR="00604A6E" w:rsidRPr="00604A6E" w:rsidRDefault="00604A6E" w:rsidP="00604A6E">
      <w:pPr>
        <w:pBdr>
          <w:bottom w:val="single" w:sz="6" w:space="1" w:color="auto"/>
        </w:pBdr>
        <w:tabs>
          <w:tab w:val="right" w:pos="8931"/>
        </w:tabs>
        <w:spacing w:line="360" w:lineRule="auto"/>
        <w:contextualSpacing/>
        <w:jc w:val="center"/>
        <w:rPr>
          <w:rFonts w:ascii="Arial" w:hAnsi="Arial" w:cs="Arial"/>
          <w:b/>
        </w:rPr>
      </w:pPr>
      <w:r w:rsidRPr="00604A6E">
        <w:rPr>
          <w:rFonts w:ascii="Arial" w:hAnsi="Arial" w:cs="Arial"/>
          <w:b/>
        </w:rPr>
        <w:t>JUDGMENT ON APPLICATION FOR LEAVE TO APPEAL</w:t>
      </w:r>
    </w:p>
    <w:p w14:paraId="160C765D" w14:textId="77777777" w:rsidR="00604A6E" w:rsidRPr="00604A6E" w:rsidRDefault="00604A6E" w:rsidP="00604A6E">
      <w:pPr>
        <w:pBdr>
          <w:bottom w:val="single" w:sz="6" w:space="1" w:color="auto"/>
        </w:pBdr>
        <w:tabs>
          <w:tab w:val="right" w:pos="8931"/>
        </w:tabs>
        <w:spacing w:line="360" w:lineRule="auto"/>
        <w:contextualSpacing/>
        <w:jc w:val="center"/>
        <w:rPr>
          <w:rFonts w:ascii="Arial" w:hAnsi="Arial" w:cs="Arial"/>
          <w:b/>
        </w:rPr>
      </w:pPr>
      <w:r w:rsidRPr="00604A6E">
        <w:rPr>
          <w:rFonts w:ascii="Arial" w:hAnsi="Arial" w:cs="Arial"/>
          <w:b/>
        </w:rPr>
        <w:t>DELIVERED ON 6 JUNE 2023</w:t>
      </w:r>
    </w:p>
    <w:p w14:paraId="77257A70" w14:textId="77777777" w:rsidR="00604A6E" w:rsidRPr="00604A6E" w:rsidRDefault="00604A6E" w:rsidP="00604A6E">
      <w:pPr>
        <w:pBdr>
          <w:bottom w:val="single" w:sz="6" w:space="1" w:color="auto"/>
        </w:pBdr>
        <w:tabs>
          <w:tab w:val="right" w:pos="8931"/>
        </w:tabs>
        <w:spacing w:line="360" w:lineRule="auto"/>
        <w:contextualSpacing/>
        <w:jc w:val="center"/>
        <w:rPr>
          <w:rFonts w:ascii="Arial" w:hAnsi="Arial" w:cs="Arial"/>
        </w:rPr>
      </w:pPr>
    </w:p>
    <w:p w14:paraId="73D724C7" w14:textId="77777777" w:rsidR="00604A6E" w:rsidRPr="00604A6E" w:rsidRDefault="00604A6E" w:rsidP="00604A6E">
      <w:pPr>
        <w:spacing w:line="360" w:lineRule="auto"/>
        <w:contextualSpacing/>
        <w:jc w:val="both"/>
        <w:rPr>
          <w:rFonts w:ascii="Arial" w:hAnsi="Arial" w:cs="Arial"/>
        </w:rPr>
      </w:pPr>
    </w:p>
    <w:p w14:paraId="1FAADD82" w14:textId="77777777" w:rsidR="00604A6E" w:rsidRPr="00604A6E" w:rsidRDefault="00604A6E" w:rsidP="00604A6E">
      <w:pPr>
        <w:pStyle w:val="BodyText"/>
        <w:spacing w:line="360" w:lineRule="auto"/>
        <w:rPr>
          <w:rFonts w:cs="Arial"/>
          <w:b/>
          <w:sz w:val="24"/>
          <w:szCs w:val="24"/>
          <w:u w:val="single"/>
        </w:rPr>
      </w:pPr>
      <w:r w:rsidRPr="00604A6E">
        <w:rPr>
          <w:rFonts w:cs="Arial"/>
          <w:b/>
          <w:sz w:val="24"/>
          <w:szCs w:val="24"/>
          <w:u w:val="single"/>
        </w:rPr>
        <w:t>VAN ZYL AJ:</w:t>
      </w:r>
    </w:p>
    <w:p w14:paraId="79007766" w14:textId="77777777" w:rsidR="00604A6E" w:rsidRPr="00604A6E" w:rsidRDefault="00604A6E" w:rsidP="00604A6E">
      <w:pPr>
        <w:pStyle w:val="BodyText"/>
        <w:spacing w:line="360" w:lineRule="auto"/>
        <w:rPr>
          <w:rFonts w:cs="Arial"/>
          <w:b/>
          <w:sz w:val="24"/>
          <w:szCs w:val="24"/>
        </w:rPr>
      </w:pPr>
    </w:p>
    <w:p w14:paraId="21F18695" w14:textId="77777777" w:rsidR="00604A6E" w:rsidRPr="00604A6E" w:rsidRDefault="00604A6E" w:rsidP="00604A6E">
      <w:pPr>
        <w:pStyle w:val="BodyText"/>
        <w:spacing w:line="360" w:lineRule="auto"/>
        <w:rPr>
          <w:rFonts w:cs="Arial"/>
          <w:b/>
          <w:sz w:val="24"/>
          <w:szCs w:val="24"/>
          <w:u w:val="single"/>
        </w:rPr>
      </w:pPr>
      <w:r w:rsidRPr="00604A6E">
        <w:rPr>
          <w:rFonts w:cs="Arial"/>
          <w:b/>
          <w:sz w:val="24"/>
          <w:szCs w:val="24"/>
          <w:u w:val="single"/>
        </w:rPr>
        <w:t>The issues</w:t>
      </w:r>
    </w:p>
    <w:p w14:paraId="49C4C5CA" w14:textId="77777777" w:rsidR="00604A6E" w:rsidRPr="00604A6E" w:rsidRDefault="00604A6E" w:rsidP="00604A6E">
      <w:pPr>
        <w:pStyle w:val="BodyText"/>
        <w:spacing w:line="360" w:lineRule="auto"/>
        <w:rPr>
          <w:rFonts w:cs="Arial"/>
          <w:b/>
          <w:sz w:val="24"/>
          <w:szCs w:val="24"/>
        </w:rPr>
      </w:pPr>
    </w:p>
    <w:p w14:paraId="1CE4B10C" w14:textId="0AC5972B"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1.</w:t>
      </w:r>
      <w:r w:rsidRPr="00604A6E">
        <w:rPr>
          <w:rFonts w:ascii="Arial" w:hAnsi="Arial" w:cs="Arial"/>
          <w:bCs/>
          <w:spacing w:val="-1"/>
          <w:w w:val="104"/>
        </w:rPr>
        <w:tab/>
      </w:r>
      <w:r w:rsidR="00604A6E" w:rsidRPr="00BD5D21">
        <w:rPr>
          <w:rFonts w:ascii="Arial" w:hAnsi="Arial" w:cs="Arial"/>
          <w:bCs/>
        </w:rPr>
        <w:t>I delivered the main judgment in this matter on 25 April 2023.  For the reasons set out in that judgment, I dismissed the applicant’s application, with costs.</w:t>
      </w:r>
    </w:p>
    <w:p w14:paraId="0C68EAF6" w14:textId="77777777" w:rsidR="00604A6E" w:rsidRPr="00604A6E" w:rsidRDefault="00604A6E" w:rsidP="00604A6E">
      <w:pPr>
        <w:pStyle w:val="ListParagraph"/>
        <w:tabs>
          <w:tab w:val="left" w:pos="648"/>
        </w:tabs>
        <w:spacing w:line="360" w:lineRule="auto"/>
        <w:ind w:left="649" w:right="30"/>
        <w:rPr>
          <w:rFonts w:ascii="Arial" w:hAnsi="Arial" w:cs="Arial"/>
          <w:bCs/>
        </w:rPr>
      </w:pPr>
    </w:p>
    <w:p w14:paraId="300A8B6D" w14:textId="4990176E"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2.</w:t>
      </w:r>
      <w:r w:rsidRPr="00604A6E">
        <w:rPr>
          <w:rFonts w:ascii="Arial" w:hAnsi="Arial" w:cs="Arial"/>
          <w:bCs/>
          <w:spacing w:val="-1"/>
          <w:w w:val="104"/>
        </w:rPr>
        <w:tab/>
      </w:r>
      <w:r w:rsidR="00604A6E" w:rsidRPr="00BD5D21">
        <w:rPr>
          <w:rFonts w:ascii="Arial" w:hAnsi="Arial" w:cs="Arial"/>
          <w:bCs/>
        </w:rPr>
        <w:t xml:space="preserve">In the course of the subsequent application for leave to appeal, the same issues were raised (as grounds of appeal) as had been submitted in support of the grant of the </w:t>
      </w:r>
      <w:r w:rsidR="00604A6E" w:rsidRPr="00BD5D21">
        <w:rPr>
          <w:rFonts w:ascii="Arial" w:hAnsi="Arial" w:cs="Arial"/>
          <w:bCs/>
        </w:rPr>
        <w:lastRenderedPageBreak/>
        <w:t>main application.  I do not intend to discuss these aspects in any detail.  The reasons set out in the main judgment suffice. I make brief remarks:</w:t>
      </w:r>
    </w:p>
    <w:p w14:paraId="1F93A6F2"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7E785D4A" w14:textId="662E98BC"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2.1.</w:t>
      </w:r>
      <w:r w:rsidRPr="00604A6E">
        <w:rPr>
          <w:rFonts w:ascii="Arial" w:hAnsi="Arial" w:cs="Arial"/>
          <w:bCs/>
          <w:spacing w:val="-5"/>
          <w:w w:val="104"/>
        </w:rPr>
        <w:tab/>
      </w:r>
      <w:r w:rsidR="00604A6E" w:rsidRPr="00BD5D21">
        <w:rPr>
          <w:rFonts w:ascii="Arial" w:hAnsi="Arial" w:cs="Arial"/>
          <w:bCs/>
          <w:u w:val="single"/>
        </w:rPr>
        <w:t>As to whether the first respondent in fact opposed the application</w:t>
      </w:r>
      <w:r w:rsidR="00604A6E" w:rsidRPr="00BD5D21">
        <w:rPr>
          <w:rFonts w:ascii="Arial" w:hAnsi="Arial" w:cs="Arial"/>
          <w:bCs/>
        </w:rPr>
        <w:t xml:space="preserve">:  The first respondent delivered a notice of intention to oppose.  It was the only respondent to do so.  It appointed attorneys for that purpose and relied on Mr Hayes to depose to the answering affidavit.  That is the end of the matter.  It is – contrary to the applicant’s argument – a typical </w:t>
      </w:r>
      <w:r w:rsidR="00604A6E" w:rsidRPr="00BD5D21">
        <w:rPr>
          <w:rFonts w:ascii="Arial" w:hAnsi="Arial" w:cs="Arial"/>
          <w:bCs/>
          <w:i/>
          <w:iCs/>
        </w:rPr>
        <w:t>Ganes v Telecom Namibia Ltd</w:t>
      </w:r>
      <w:r w:rsidR="00604A6E" w:rsidRPr="00604A6E">
        <w:rPr>
          <w:rStyle w:val="FootnoteReference"/>
          <w:rFonts w:ascii="Arial" w:hAnsi="Arial" w:cs="Arial"/>
          <w:bCs/>
          <w:i/>
          <w:iCs/>
        </w:rPr>
        <w:footnoteReference w:id="1"/>
      </w:r>
      <w:r w:rsidR="00604A6E" w:rsidRPr="00BD5D21">
        <w:rPr>
          <w:rFonts w:ascii="Arial" w:hAnsi="Arial" w:cs="Arial"/>
          <w:bCs/>
        </w:rPr>
        <w:t xml:space="preserve"> situation:  “…</w:t>
      </w:r>
      <w:r w:rsidR="00604A6E" w:rsidRPr="00BD5D21">
        <w:rPr>
          <w:rFonts w:ascii="Arial" w:hAnsi="Arial" w:cs="Arial"/>
          <w:i/>
          <w:iCs/>
          <w:color w:val="242121"/>
          <w:shd w:val="clear" w:color="auto" w:fill="FFFFFF"/>
        </w:rPr>
        <w:t>In my view it is irrelevant whether Hanke had been authorised to depose to the founding affidavit. The deponent to an affidavit in motion proceedings need not be authorised by the party concerned to depose to the affidavit. It is the institution of the proceedings and the prosecution thereof which must be authorised…</w:t>
      </w:r>
      <w:r w:rsidR="00604A6E" w:rsidRPr="00BD5D21">
        <w:rPr>
          <w:rFonts w:ascii="Arial" w:hAnsi="Arial" w:cs="Arial"/>
          <w:color w:val="242121"/>
          <w:shd w:val="clear" w:color="auto" w:fill="FFFFFF"/>
        </w:rPr>
        <w:t xml:space="preserve">.” </w:t>
      </w:r>
    </w:p>
    <w:p w14:paraId="6A9FD5BE"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10D7CF97" w14:textId="7662BB7B"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2.2.</w:t>
      </w:r>
      <w:r w:rsidRPr="00604A6E">
        <w:rPr>
          <w:rFonts w:ascii="Arial" w:hAnsi="Arial" w:cs="Arial"/>
          <w:bCs/>
          <w:spacing w:val="-5"/>
          <w:w w:val="104"/>
        </w:rPr>
        <w:tab/>
      </w:r>
      <w:r w:rsidR="00604A6E" w:rsidRPr="00BD5D21">
        <w:rPr>
          <w:rFonts w:ascii="Arial" w:hAnsi="Arial" w:cs="Arial"/>
          <w:bCs/>
        </w:rPr>
        <w:t>Mr Hayes, the deponent to the answering affidavit, states expressly that he deposes to the affidavit in opposition to the application.  Since only the first respondent opposed the application, the Hayes affidavit could only have been delivered in support of such opposition, that is, on the first respondent’s behalf.</w:t>
      </w:r>
    </w:p>
    <w:p w14:paraId="4243871B"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33A2F9F1" w14:textId="4875E419"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2.3.</w:t>
      </w:r>
      <w:r w:rsidRPr="00604A6E">
        <w:rPr>
          <w:rFonts w:ascii="Arial" w:hAnsi="Arial" w:cs="Arial"/>
          <w:bCs/>
          <w:spacing w:val="-5"/>
          <w:w w:val="104"/>
        </w:rPr>
        <w:tab/>
      </w:r>
      <w:r w:rsidR="00604A6E" w:rsidRPr="00BD5D21">
        <w:rPr>
          <w:rFonts w:ascii="Arial" w:hAnsi="Arial" w:cs="Arial"/>
          <w:bCs/>
        </w:rPr>
        <w:t>In any event, Mr Grant Elliot, who deposed to a confirmatory affidavit in relation to the main answering affidavit, is in fact the representative of and chief operating officer for the first respondent.  This appears from the sale agreements attached to the founding affidavit as well as to the answering affidavit.  He signed the sale agreement on the first respondent’s behalf.</w:t>
      </w:r>
    </w:p>
    <w:p w14:paraId="0E5B51F2"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606357A6" w14:textId="3AEC48DD"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2.4.</w:t>
      </w:r>
      <w:r w:rsidRPr="00604A6E">
        <w:rPr>
          <w:rFonts w:ascii="Arial" w:hAnsi="Arial" w:cs="Arial"/>
          <w:bCs/>
          <w:spacing w:val="-5"/>
          <w:w w:val="104"/>
        </w:rPr>
        <w:tab/>
      </w:r>
      <w:r w:rsidR="00604A6E" w:rsidRPr="00BD5D21">
        <w:rPr>
          <w:rFonts w:ascii="Arial" w:hAnsi="Arial" w:cs="Arial"/>
          <w:bCs/>
          <w:u w:val="single"/>
        </w:rPr>
        <w:t>As to whether the first respondent (as opposed to the second respondent) regarded the 6 February 2023 email as a repudiation</w:t>
      </w:r>
      <w:r w:rsidR="00604A6E" w:rsidRPr="00BD5D21">
        <w:rPr>
          <w:rFonts w:ascii="Arial" w:hAnsi="Arial" w:cs="Arial"/>
          <w:bCs/>
        </w:rPr>
        <w:t>:  Mr Karrim addressed Mr Elliot when he sent that email (and the subsequent ones).  He sent it to, amongst others, the conveyancers (represented by Mr Hayes), to the first respondent (represented by Mr Elliot), and the estate agents (represented by Mr Harris).  Mr Elliot – and thus the first respondent - was aware of what was transpiring.</w:t>
      </w:r>
    </w:p>
    <w:p w14:paraId="5E2677FC"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04D5E1FB" w14:textId="7391D580"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2.5.</w:t>
      </w:r>
      <w:r w:rsidRPr="00604A6E">
        <w:rPr>
          <w:rFonts w:ascii="Arial" w:hAnsi="Arial" w:cs="Arial"/>
          <w:bCs/>
          <w:spacing w:val="-5"/>
          <w:w w:val="104"/>
        </w:rPr>
        <w:tab/>
      </w:r>
      <w:r w:rsidR="00604A6E" w:rsidRPr="00BD5D21">
        <w:rPr>
          <w:rFonts w:ascii="Arial" w:hAnsi="Arial" w:cs="Arial"/>
          <w:bCs/>
        </w:rPr>
        <w:t>From the sale agreement it is clear that the firm of attorneys undertaking the conveyancing is also the first respondent’s attorney.  When Mr Hayes therefore refers to “</w:t>
      </w:r>
      <w:r w:rsidR="00604A6E" w:rsidRPr="00BD5D21">
        <w:rPr>
          <w:rFonts w:ascii="Arial" w:hAnsi="Arial" w:cs="Arial"/>
          <w:bCs/>
          <w:i/>
          <w:iCs/>
        </w:rPr>
        <w:t>our client</w:t>
      </w:r>
      <w:r w:rsidR="00604A6E" w:rsidRPr="00BD5D21">
        <w:rPr>
          <w:rFonts w:ascii="Arial" w:hAnsi="Arial" w:cs="Arial"/>
          <w:bCs/>
        </w:rPr>
        <w:t>” and states that “</w:t>
      </w:r>
      <w:r w:rsidR="00604A6E" w:rsidRPr="00BD5D21">
        <w:rPr>
          <w:rFonts w:ascii="Arial" w:hAnsi="Arial" w:cs="Arial"/>
          <w:bCs/>
          <w:i/>
          <w:iCs/>
        </w:rPr>
        <w:t>our instructions are</w:t>
      </w:r>
      <w:r w:rsidR="00604A6E" w:rsidRPr="00BD5D21">
        <w:rPr>
          <w:rFonts w:ascii="Arial" w:hAnsi="Arial" w:cs="Arial"/>
          <w:bCs/>
        </w:rPr>
        <w:t>” to accept the repudiation, it is logical to accept that his instructions came from the first respondent.  As he states in his affidavit:  “…</w:t>
      </w:r>
      <w:r w:rsidR="00604A6E" w:rsidRPr="00BD5D21">
        <w:rPr>
          <w:rFonts w:ascii="Arial" w:hAnsi="Arial" w:cs="Arial"/>
          <w:bCs/>
          <w:i/>
          <w:iCs/>
        </w:rPr>
        <w:t>I replied informing [Mr Karrim] that Thibault Investments accepted the company’s repudiation.  I also confirmed my instructions that our client will hold the company liable for all wasted costs…</w:t>
      </w:r>
      <w:r w:rsidR="00604A6E" w:rsidRPr="00BD5D21">
        <w:rPr>
          <w:rFonts w:ascii="Arial" w:hAnsi="Arial" w:cs="Arial"/>
          <w:bCs/>
        </w:rPr>
        <w:t>”</w:t>
      </w:r>
    </w:p>
    <w:p w14:paraId="1C4B0F16"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068E7B9D" w14:textId="1D4F7F29"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2.6.</w:t>
      </w:r>
      <w:r w:rsidRPr="00604A6E">
        <w:rPr>
          <w:rFonts w:ascii="Arial" w:hAnsi="Arial" w:cs="Arial"/>
          <w:bCs/>
          <w:spacing w:val="-5"/>
          <w:w w:val="104"/>
        </w:rPr>
        <w:tab/>
      </w:r>
      <w:r w:rsidR="00604A6E" w:rsidRPr="00BD5D21">
        <w:rPr>
          <w:rFonts w:ascii="Arial" w:hAnsi="Arial" w:cs="Arial"/>
          <w:bCs/>
          <w:u w:val="single"/>
        </w:rPr>
        <w:t>As to Mr Karrim’s authority</w:t>
      </w:r>
      <w:r w:rsidR="00604A6E" w:rsidRPr="00BD5D21">
        <w:rPr>
          <w:rFonts w:ascii="Arial" w:hAnsi="Arial" w:cs="Arial"/>
          <w:bCs/>
        </w:rPr>
        <w:t>:  The resolutions are framed in wide terms.  Mr Karrim was authorised to “</w:t>
      </w:r>
      <w:r w:rsidR="00604A6E" w:rsidRPr="00BD5D21">
        <w:rPr>
          <w:rFonts w:ascii="Arial" w:hAnsi="Arial" w:cs="Arial"/>
          <w:bCs/>
          <w:i/>
          <w:iCs/>
        </w:rPr>
        <w:t>act on behalf of and to make decisions on behalf of the company”</w:t>
      </w:r>
      <w:r w:rsidR="00604A6E" w:rsidRPr="00BD5D21">
        <w:rPr>
          <w:rFonts w:ascii="Arial" w:hAnsi="Arial" w:cs="Arial"/>
          <w:bCs/>
        </w:rPr>
        <w:t>.  This would entail any decision in relation to the transactions, and if a decision so taken amounts to a repudiation, then the company has (through its duly authorised representative) repudiated.</w:t>
      </w:r>
    </w:p>
    <w:p w14:paraId="2328E77D"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73457BC0" w14:textId="29A295BF"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2.7.</w:t>
      </w:r>
      <w:r w:rsidRPr="00604A6E">
        <w:rPr>
          <w:rFonts w:ascii="Arial" w:hAnsi="Arial" w:cs="Arial"/>
          <w:bCs/>
          <w:spacing w:val="-5"/>
          <w:w w:val="104"/>
        </w:rPr>
        <w:tab/>
      </w:r>
      <w:r w:rsidR="00604A6E" w:rsidRPr="00BD5D21">
        <w:rPr>
          <w:rFonts w:ascii="Arial" w:hAnsi="Arial" w:cs="Arial"/>
          <w:bCs/>
        </w:rPr>
        <w:t>Mr Karrim’s co-director was, moreover, copied in on the impugned email and the subsequent ones, and therefore knew what the state of affairs was.  He did not raise any protest in relation to the communications at the time.</w:t>
      </w:r>
    </w:p>
    <w:p w14:paraId="4BA970AE"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3E54ADD6" w14:textId="1A044F71"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2.8.</w:t>
      </w:r>
      <w:r w:rsidRPr="00604A6E">
        <w:rPr>
          <w:rFonts w:ascii="Arial" w:hAnsi="Arial" w:cs="Arial"/>
          <w:bCs/>
          <w:spacing w:val="-5"/>
          <w:w w:val="104"/>
        </w:rPr>
        <w:tab/>
      </w:r>
      <w:r w:rsidR="00604A6E" w:rsidRPr="00BD5D21">
        <w:rPr>
          <w:rFonts w:ascii="Arial" w:hAnsi="Arial" w:cs="Arial"/>
          <w:bCs/>
          <w:u w:val="single"/>
        </w:rPr>
        <w:t>As to the conveyancers’ duties</w:t>
      </w:r>
      <w:r w:rsidR="00604A6E" w:rsidRPr="00BD5D21">
        <w:rPr>
          <w:rFonts w:ascii="Arial" w:hAnsi="Arial" w:cs="Arial"/>
          <w:bCs/>
        </w:rPr>
        <w:t>:  The applicant argues that context is everything. Mr Karrim’s email was simply an expression of his frustration with the delays in the transfer process; thus, the conveyancers should have pacified him, and advised him as to the consequences of his actions.</w:t>
      </w:r>
    </w:p>
    <w:p w14:paraId="519DB06D" w14:textId="77777777" w:rsidR="00604A6E" w:rsidRPr="00604A6E" w:rsidRDefault="00604A6E" w:rsidP="00604A6E">
      <w:pPr>
        <w:pStyle w:val="ListParagraph"/>
        <w:tabs>
          <w:tab w:val="left" w:pos="648"/>
        </w:tabs>
        <w:spacing w:line="360" w:lineRule="auto"/>
        <w:ind w:left="1469" w:right="30"/>
        <w:jc w:val="right"/>
        <w:rPr>
          <w:rFonts w:ascii="Arial" w:hAnsi="Arial" w:cs="Arial"/>
          <w:bCs/>
        </w:rPr>
      </w:pPr>
    </w:p>
    <w:p w14:paraId="29861C97" w14:textId="7FECD93C"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2.9.</w:t>
      </w:r>
      <w:r w:rsidRPr="00604A6E">
        <w:rPr>
          <w:rFonts w:ascii="Arial" w:hAnsi="Arial" w:cs="Arial"/>
          <w:bCs/>
          <w:spacing w:val="-5"/>
          <w:w w:val="104"/>
        </w:rPr>
        <w:tab/>
      </w:r>
      <w:r w:rsidR="00604A6E" w:rsidRPr="00BD5D21">
        <w:rPr>
          <w:rFonts w:ascii="Arial" w:hAnsi="Arial" w:cs="Arial"/>
          <w:bCs/>
        </w:rPr>
        <w:t>The problem for the applicant is that context does not exist only in relation to one party to a transaction.  The first respondent’s situation forms part of the context, and the 6 February 2023 email should be regarded objectively within the context as a whole.  Conveyancers, despite having certain legal duties towards both parties, are not contractual babysitters.  If one party’s conduct (whether done in frustration or not) amounts to a repudiation, then it is up to the other contract party to elect whether to accept or reject such repudiation.  The conveyancer has a duty to convey the message.  It is not a conveyancer’s duty to cajole a party out of the consequences of its actions.</w:t>
      </w:r>
    </w:p>
    <w:p w14:paraId="1903A247" w14:textId="77777777" w:rsidR="00604A6E" w:rsidRPr="00604A6E" w:rsidRDefault="00604A6E" w:rsidP="00604A6E">
      <w:pPr>
        <w:pStyle w:val="ListParagraph"/>
        <w:tabs>
          <w:tab w:val="left" w:pos="648"/>
        </w:tabs>
        <w:spacing w:line="360" w:lineRule="auto"/>
        <w:ind w:left="1469" w:right="30"/>
        <w:jc w:val="right"/>
        <w:rPr>
          <w:rFonts w:ascii="Arial" w:hAnsi="Arial" w:cs="Arial"/>
          <w:bCs/>
        </w:rPr>
      </w:pPr>
    </w:p>
    <w:p w14:paraId="3B7533F7" w14:textId="3315C5E6"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2.10.</w:t>
      </w:r>
      <w:r w:rsidRPr="00604A6E">
        <w:rPr>
          <w:rFonts w:ascii="Arial" w:hAnsi="Arial" w:cs="Arial"/>
          <w:bCs/>
          <w:spacing w:val="-5"/>
          <w:w w:val="104"/>
        </w:rPr>
        <w:tab/>
      </w:r>
      <w:r w:rsidR="00604A6E" w:rsidRPr="00BD5D21">
        <w:rPr>
          <w:rFonts w:ascii="Arial" w:hAnsi="Arial" w:cs="Arial"/>
          <w:bCs/>
        </w:rPr>
        <w:t xml:space="preserve">If the applicant is of the view that the second respondent acted in breach of any legal duty owed to the applicant, then it has to take such action against the second respondent as it deems fit.  The matter of </w:t>
      </w:r>
      <w:r w:rsidR="00604A6E" w:rsidRPr="00BD5D21">
        <w:rPr>
          <w:rFonts w:ascii="Arial" w:hAnsi="Arial" w:cs="Arial"/>
          <w:bCs/>
          <w:i/>
          <w:iCs/>
        </w:rPr>
        <w:t>Bruwer and another v Pocock &amp; Bailey Ingelyf and another</w:t>
      </w:r>
      <w:r w:rsidR="00604A6E" w:rsidRPr="00BD5D21">
        <w:rPr>
          <w:rFonts w:ascii="Arial" w:hAnsi="Arial" w:cs="Arial"/>
          <w:bCs/>
        </w:rPr>
        <w:t>,</w:t>
      </w:r>
      <w:r w:rsidR="00604A6E" w:rsidRPr="00604A6E">
        <w:rPr>
          <w:rStyle w:val="FootnoteReference"/>
          <w:rFonts w:ascii="Arial" w:hAnsi="Arial" w:cs="Arial"/>
          <w:bCs/>
        </w:rPr>
        <w:footnoteReference w:id="2"/>
      </w:r>
      <w:r w:rsidR="00604A6E" w:rsidRPr="00BD5D21">
        <w:rPr>
          <w:rFonts w:ascii="Arial" w:hAnsi="Arial" w:cs="Arial"/>
          <w:bCs/>
        </w:rPr>
        <w:t xml:space="preserve"> upon which the applicant relies, involves a claim for damages against a conveyancer based upon the breach of a legal duty.  The facts are, however, totally different from those in the present case.</w:t>
      </w:r>
    </w:p>
    <w:p w14:paraId="1A577116" w14:textId="77777777" w:rsidR="00604A6E" w:rsidRPr="00604A6E" w:rsidRDefault="00604A6E" w:rsidP="00604A6E">
      <w:pPr>
        <w:pStyle w:val="ListParagraph"/>
        <w:tabs>
          <w:tab w:val="left" w:pos="648"/>
        </w:tabs>
        <w:spacing w:line="360" w:lineRule="auto"/>
        <w:ind w:left="1469" w:right="30"/>
        <w:rPr>
          <w:rFonts w:ascii="Arial" w:hAnsi="Arial" w:cs="Arial"/>
          <w:bCs/>
        </w:rPr>
      </w:pPr>
    </w:p>
    <w:p w14:paraId="279A111E" w14:textId="147863F3" w:rsidR="00604A6E" w:rsidRPr="00BD5D21" w:rsidRDefault="00BD5D21" w:rsidP="00BD5D21">
      <w:pPr>
        <w:widowControl w:val="0"/>
        <w:tabs>
          <w:tab w:val="left" w:pos="648"/>
        </w:tabs>
        <w:autoSpaceDE w:val="0"/>
        <w:autoSpaceDN w:val="0"/>
        <w:spacing w:line="360" w:lineRule="auto"/>
        <w:ind w:left="1469" w:right="30" w:hanging="800"/>
        <w:jc w:val="both"/>
        <w:rPr>
          <w:rFonts w:ascii="Arial" w:hAnsi="Arial" w:cs="Arial"/>
          <w:bCs/>
        </w:rPr>
      </w:pPr>
      <w:r w:rsidRPr="00604A6E">
        <w:rPr>
          <w:rFonts w:ascii="Arial" w:hAnsi="Arial" w:cs="Arial"/>
          <w:bCs/>
          <w:spacing w:val="-5"/>
          <w:w w:val="104"/>
        </w:rPr>
        <w:t>2.11.</w:t>
      </w:r>
      <w:r w:rsidRPr="00604A6E">
        <w:rPr>
          <w:rFonts w:ascii="Arial" w:hAnsi="Arial" w:cs="Arial"/>
          <w:bCs/>
          <w:spacing w:val="-5"/>
          <w:w w:val="104"/>
        </w:rPr>
        <w:tab/>
      </w:r>
      <w:r w:rsidR="00604A6E" w:rsidRPr="00BD5D21">
        <w:rPr>
          <w:rFonts w:ascii="Arial" w:hAnsi="Arial" w:cs="Arial"/>
          <w:bCs/>
          <w:u w:val="single"/>
        </w:rPr>
        <w:t>As to whether the first respondent should have given the applicant notice to remedy its breach in terms of the breach clause included in the sale agreement</w:t>
      </w:r>
      <w:r w:rsidR="00604A6E" w:rsidRPr="00BD5D21">
        <w:rPr>
          <w:rFonts w:ascii="Arial" w:hAnsi="Arial" w:cs="Arial"/>
          <w:bCs/>
        </w:rPr>
        <w:t xml:space="preserve">:  Judicial precedent, including authority from the Supreme Court of Appeal (see, for example, </w:t>
      </w:r>
      <w:r w:rsidR="00604A6E" w:rsidRPr="00BD5D21">
        <w:rPr>
          <w:rFonts w:ascii="Arial" w:hAnsi="Arial" w:cs="Arial"/>
          <w:bCs/>
          <w:i/>
          <w:iCs/>
        </w:rPr>
        <w:t>Metalmil (Pty) Ltd v AECI Explosives and Chemicals Ltd</w:t>
      </w:r>
      <w:r w:rsidR="00604A6E" w:rsidRPr="00BD5D21">
        <w:rPr>
          <w:rFonts w:ascii="Arial" w:hAnsi="Arial" w:cs="Arial"/>
          <w:bCs/>
        </w:rPr>
        <w:t>),</w:t>
      </w:r>
      <w:r w:rsidR="00604A6E" w:rsidRPr="00604A6E">
        <w:rPr>
          <w:rStyle w:val="FootnoteReference"/>
          <w:rFonts w:ascii="Arial" w:hAnsi="Arial" w:cs="Arial"/>
          <w:bCs/>
        </w:rPr>
        <w:footnoteReference w:id="3"/>
      </w:r>
      <w:r w:rsidR="00604A6E" w:rsidRPr="00BD5D21">
        <w:rPr>
          <w:rFonts w:ascii="Arial" w:hAnsi="Arial" w:cs="Arial"/>
          <w:bCs/>
        </w:rPr>
        <w:t xml:space="preserve"> says otherwise.  The applicant has not suggested that the case law relied upon was incorrectly decided.</w:t>
      </w:r>
    </w:p>
    <w:p w14:paraId="5C8F613F" w14:textId="77777777" w:rsidR="00604A6E" w:rsidRPr="00604A6E" w:rsidRDefault="00604A6E" w:rsidP="00604A6E">
      <w:pPr>
        <w:pStyle w:val="ListParagraph"/>
        <w:tabs>
          <w:tab w:val="left" w:pos="648"/>
        </w:tabs>
        <w:spacing w:line="360" w:lineRule="auto"/>
        <w:ind w:left="649" w:right="30"/>
        <w:rPr>
          <w:rFonts w:ascii="Arial" w:hAnsi="Arial" w:cs="Arial"/>
          <w:bCs/>
        </w:rPr>
      </w:pPr>
    </w:p>
    <w:p w14:paraId="03929451" w14:textId="4495692E"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3.</w:t>
      </w:r>
      <w:r w:rsidRPr="00604A6E">
        <w:rPr>
          <w:rFonts w:ascii="Arial" w:hAnsi="Arial" w:cs="Arial"/>
          <w:bCs/>
          <w:spacing w:val="-1"/>
          <w:w w:val="104"/>
        </w:rPr>
        <w:tab/>
      </w:r>
      <w:r w:rsidR="00604A6E" w:rsidRPr="00BD5D21">
        <w:rPr>
          <w:rFonts w:ascii="Arial" w:hAnsi="Arial" w:cs="Arial"/>
          <w:bCs/>
        </w:rPr>
        <w:t>A new issue was raised for the first time during argument of the application for leave to appeal.  This was that, because the guarantees issued by Investec were irrevocable, Mr Karrim could in fact not have repudiated the sale agreement.  Repudiation was impossible.  Also, since the deposit, transfer fees and other transfer costs had been paid, the applicant had performed fully and thus no repudiation could take place.</w:t>
      </w:r>
    </w:p>
    <w:p w14:paraId="2950A684" w14:textId="77777777" w:rsidR="00604A6E" w:rsidRPr="00604A6E" w:rsidRDefault="00604A6E" w:rsidP="00604A6E">
      <w:pPr>
        <w:pStyle w:val="ListParagraph"/>
        <w:tabs>
          <w:tab w:val="left" w:pos="648"/>
        </w:tabs>
        <w:spacing w:line="360" w:lineRule="auto"/>
        <w:ind w:left="649" w:right="30"/>
        <w:jc w:val="right"/>
        <w:rPr>
          <w:rFonts w:ascii="Arial" w:hAnsi="Arial" w:cs="Arial"/>
          <w:bCs/>
        </w:rPr>
      </w:pPr>
    </w:p>
    <w:p w14:paraId="1610ED8C" w14:textId="519B28E2"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4.</w:t>
      </w:r>
      <w:r w:rsidRPr="00604A6E">
        <w:rPr>
          <w:rFonts w:ascii="Arial" w:hAnsi="Arial" w:cs="Arial"/>
          <w:bCs/>
          <w:spacing w:val="-1"/>
          <w:w w:val="104"/>
        </w:rPr>
        <w:tab/>
      </w:r>
      <w:r w:rsidR="00604A6E" w:rsidRPr="00BD5D21">
        <w:rPr>
          <w:rFonts w:ascii="Arial" w:hAnsi="Arial" w:cs="Arial"/>
          <w:bCs/>
        </w:rPr>
        <w:t>A reading of the 6 February 2023 email, however, makes it clear that Mr Karrim does not only refer to his threatened attempt at cancelling the guarantees.  He demands return of “</w:t>
      </w:r>
      <w:r w:rsidR="00604A6E" w:rsidRPr="00BD5D21">
        <w:rPr>
          <w:rFonts w:ascii="Arial" w:hAnsi="Arial" w:cs="Arial"/>
          <w:bCs/>
          <w:i/>
          <w:iCs/>
        </w:rPr>
        <w:t>all fees, Deposits and transfer costs paid</w:t>
      </w:r>
      <w:r w:rsidR="00604A6E" w:rsidRPr="00BD5D21">
        <w:rPr>
          <w:rFonts w:ascii="Arial" w:hAnsi="Arial" w:cs="Arial"/>
          <w:bCs/>
        </w:rPr>
        <w:t xml:space="preserve">”.  He also demands the repayment of fees paid to Anuva Investments (Pty) Ltd (represented by Mr Erasmus, addressed directly in the email), who was the party involved in the structuring of the transaction.  </w:t>
      </w:r>
    </w:p>
    <w:p w14:paraId="2275D44D" w14:textId="77777777" w:rsidR="00604A6E" w:rsidRPr="00604A6E" w:rsidRDefault="00604A6E" w:rsidP="00604A6E">
      <w:pPr>
        <w:pStyle w:val="ListParagraph"/>
        <w:tabs>
          <w:tab w:val="left" w:pos="648"/>
        </w:tabs>
        <w:spacing w:line="360" w:lineRule="auto"/>
        <w:ind w:left="649" w:right="30"/>
        <w:jc w:val="right"/>
        <w:rPr>
          <w:rFonts w:ascii="Arial" w:hAnsi="Arial" w:cs="Arial"/>
          <w:bCs/>
        </w:rPr>
      </w:pPr>
    </w:p>
    <w:p w14:paraId="1D5E498B" w14:textId="4C9FBC5D"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5.</w:t>
      </w:r>
      <w:r w:rsidRPr="00604A6E">
        <w:rPr>
          <w:rFonts w:ascii="Arial" w:hAnsi="Arial" w:cs="Arial"/>
          <w:bCs/>
          <w:spacing w:val="-1"/>
          <w:w w:val="104"/>
        </w:rPr>
        <w:tab/>
      </w:r>
      <w:r w:rsidR="00604A6E" w:rsidRPr="00BD5D21">
        <w:rPr>
          <w:rFonts w:ascii="Arial" w:hAnsi="Arial" w:cs="Arial"/>
          <w:bCs/>
        </w:rPr>
        <w:t xml:space="preserve">Objectively viewed, this is an indication of the applicant’s intention not to proceed with the transaction, in other words, and at that stage of the transaction, not to accept transfer when it is offered to it.  Accepting transfer when it is offered is part of performance (see, for example, </w:t>
      </w:r>
      <w:r w:rsidR="00604A6E" w:rsidRPr="00BD5D21">
        <w:rPr>
          <w:rFonts w:ascii="Arial" w:hAnsi="Arial" w:cs="Arial"/>
          <w:i/>
          <w:iCs/>
        </w:rPr>
        <w:t xml:space="preserve">Legator McKenna INC and another v Shea and </w:t>
      </w:r>
      <w:r w:rsidR="00604A6E" w:rsidRPr="00BD5D21">
        <w:rPr>
          <w:rFonts w:ascii="Arial" w:hAnsi="Arial" w:cs="Arial"/>
          <w:i/>
          <w:iCs/>
        </w:rPr>
        <w:lastRenderedPageBreak/>
        <w:t>others</w:t>
      </w:r>
      <w:r w:rsidR="00604A6E" w:rsidRPr="00BD5D21">
        <w:rPr>
          <w:rFonts w:ascii="Arial" w:hAnsi="Arial" w:cs="Arial"/>
        </w:rPr>
        <w:t>,</w:t>
      </w:r>
      <w:r w:rsidR="00604A6E" w:rsidRPr="00604A6E">
        <w:rPr>
          <w:rStyle w:val="FootnoteReference"/>
          <w:rFonts w:ascii="Arial" w:hAnsi="Arial" w:cs="Arial"/>
        </w:rPr>
        <w:footnoteReference w:id="4"/>
      </w:r>
      <w:r w:rsidR="00604A6E" w:rsidRPr="00BD5D21">
        <w:rPr>
          <w:rFonts w:ascii="Arial" w:hAnsi="Arial" w:cs="Arial"/>
        </w:rPr>
        <w:t xml:space="preserve"> and see Van der Merwe </w:t>
      </w:r>
      <w:r w:rsidR="00604A6E" w:rsidRPr="00BD5D21">
        <w:rPr>
          <w:rFonts w:ascii="Arial" w:hAnsi="Arial" w:cs="Arial"/>
          <w:i/>
          <w:iCs/>
        </w:rPr>
        <w:t>et al Contract: General Principles</w:t>
      </w:r>
      <w:r w:rsidR="00604A6E" w:rsidRPr="00BD5D21">
        <w:rPr>
          <w:rFonts w:ascii="Arial" w:hAnsi="Arial" w:cs="Arial"/>
        </w:rPr>
        <w:t>:</w:t>
      </w:r>
      <w:r w:rsidR="00604A6E" w:rsidRPr="00604A6E">
        <w:rPr>
          <w:rStyle w:val="FootnoteReference"/>
          <w:rFonts w:ascii="Arial" w:hAnsi="Arial" w:cs="Arial"/>
        </w:rPr>
        <w:footnoteReference w:id="5"/>
      </w:r>
      <w:r w:rsidR="00604A6E" w:rsidRPr="00BD5D21">
        <w:rPr>
          <w:rFonts w:ascii="Arial" w:hAnsi="Arial" w:cs="Arial"/>
        </w:rPr>
        <w:t xml:space="preserve"> “</w:t>
      </w:r>
      <w:r w:rsidR="00604A6E" w:rsidRPr="00BD5D21">
        <w:rPr>
          <w:rFonts w:ascii="Arial" w:hAnsi="Arial" w:cs="Arial"/>
          <w:i/>
          <w:iCs/>
        </w:rPr>
        <w:t>If a debtor has already performed he may nevertheless commit anticipatory breach in respect of a duty, which he may have in his capacity as creditor, to co-operate towards receiving counter-performance from his co-contractant.”</w:t>
      </w:r>
      <w:r w:rsidR="00604A6E" w:rsidRPr="00BD5D21">
        <w:rPr>
          <w:rFonts w:ascii="Arial" w:hAnsi="Arial" w:cs="Arial"/>
        </w:rPr>
        <w:t>).</w:t>
      </w:r>
    </w:p>
    <w:p w14:paraId="45381C7B" w14:textId="77777777" w:rsidR="00604A6E" w:rsidRPr="00604A6E" w:rsidRDefault="00604A6E" w:rsidP="00604A6E">
      <w:pPr>
        <w:pStyle w:val="ListParagraph"/>
        <w:tabs>
          <w:tab w:val="left" w:pos="648"/>
        </w:tabs>
        <w:spacing w:line="360" w:lineRule="auto"/>
        <w:ind w:left="649" w:right="30"/>
        <w:jc w:val="right"/>
        <w:rPr>
          <w:rFonts w:ascii="Arial" w:hAnsi="Arial" w:cs="Arial"/>
          <w:bCs/>
        </w:rPr>
      </w:pPr>
    </w:p>
    <w:p w14:paraId="14A9835D" w14:textId="0AF4A43B"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6.</w:t>
      </w:r>
      <w:r w:rsidRPr="00604A6E">
        <w:rPr>
          <w:rFonts w:ascii="Arial" w:hAnsi="Arial" w:cs="Arial"/>
          <w:bCs/>
          <w:spacing w:val="-1"/>
          <w:w w:val="104"/>
        </w:rPr>
        <w:tab/>
      </w:r>
      <w:r w:rsidR="00604A6E" w:rsidRPr="00BD5D21">
        <w:rPr>
          <w:rFonts w:ascii="Arial" w:hAnsi="Arial" w:cs="Arial"/>
          <w:bCs/>
        </w:rPr>
        <w:t>If one demands, prior to transfer, the refund of everything paid in terms of the sale agreement, and threatens to cancel guarantees, then it is logical objectively to infer that transfer will not be accepted when it is offered.  The fact that the guarantees are irrevocable does not make any difference.  It is the objective perception created by the email, reasonably viewed, that renders Mr Karrim’s conduct a repudiation of the sale agreement.</w:t>
      </w:r>
    </w:p>
    <w:p w14:paraId="462130BF" w14:textId="77777777" w:rsidR="00604A6E" w:rsidRPr="00604A6E" w:rsidRDefault="00604A6E" w:rsidP="00604A6E">
      <w:pPr>
        <w:tabs>
          <w:tab w:val="left" w:pos="648"/>
        </w:tabs>
        <w:spacing w:line="360" w:lineRule="auto"/>
        <w:ind w:left="115" w:right="30"/>
        <w:rPr>
          <w:rFonts w:ascii="Arial" w:hAnsi="Arial" w:cs="Arial"/>
          <w:bCs/>
        </w:rPr>
      </w:pPr>
    </w:p>
    <w:p w14:paraId="0257DE71" w14:textId="77777777" w:rsidR="00604A6E" w:rsidRPr="00604A6E" w:rsidRDefault="00604A6E" w:rsidP="00604A6E">
      <w:pPr>
        <w:tabs>
          <w:tab w:val="left" w:pos="648"/>
        </w:tabs>
        <w:spacing w:line="360" w:lineRule="auto"/>
        <w:ind w:left="115" w:right="30"/>
        <w:rPr>
          <w:rFonts w:ascii="Arial" w:hAnsi="Arial" w:cs="Arial"/>
          <w:b/>
          <w:u w:val="single"/>
        </w:rPr>
      </w:pPr>
      <w:r w:rsidRPr="00604A6E">
        <w:rPr>
          <w:rFonts w:ascii="Arial" w:hAnsi="Arial" w:cs="Arial"/>
          <w:b/>
          <w:u w:val="single"/>
        </w:rPr>
        <w:t>Conclusion</w:t>
      </w:r>
    </w:p>
    <w:p w14:paraId="7FFD3A5D" w14:textId="77777777" w:rsidR="00604A6E" w:rsidRPr="00604A6E" w:rsidRDefault="00604A6E" w:rsidP="00604A6E">
      <w:pPr>
        <w:tabs>
          <w:tab w:val="left" w:pos="648"/>
        </w:tabs>
        <w:spacing w:line="360" w:lineRule="auto"/>
        <w:ind w:left="115" w:right="30"/>
        <w:rPr>
          <w:rFonts w:ascii="Arial" w:hAnsi="Arial" w:cs="Arial"/>
          <w:bCs/>
        </w:rPr>
      </w:pPr>
    </w:p>
    <w:p w14:paraId="30B4ED29" w14:textId="5D92A75F" w:rsidR="00604A6E" w:rsidRPr="00BD5D21" w:rsidRDefault="00BD5D21" w:rsidP="00BD5D21">
      <w:pPr>
        <w:widowControl w:val="0"/>
        <w:tabs>
          <w:tab w:val="left" w:pos="648"/>
        </w:tabs>
        <w:autoSpaceDE w:val="0"/>
        <w:autoSpaceDN w:val="0"/>
        <w:spacing w:line="360" w:lineRule="auto"/>
        <w:ind w:left="649" w:right="30" w:hanging="534"/>
        <w:jc w:val="both"/>
        <w:rPr>
          <w:rFonts w:ascii="Arial" w:hAnsi="Arial" w:cs="Arial"/>
          <w:bCs/>
        </w:rPr>
      </w:pPr>
      <w:r w:rsidRPr="00604A6E">
        <w:rPr>
          <w:rFonts w:ascii="Arial" w:hAnsi="Arial" w:cs="Arial"/>
          <w:bCs/>
          <w:spacing w:val="-1"/>
          <w:w w:val="104"/>
        </w:rPr>
        <w:t>7</w:t>
      </w:r>
      <w:bookmarkStart w:id="0" w:name="_GoBack"/>
      <w:bookmarkEnd w:id="0"/>
      <w:r w:rsidRPr="00604A6E">
        <w:rPr>
          <w:rFonts w:ascii="Arial" w:hAnsi="Arial" w:cs="Arial"/>
          <w:bCs/>
          <w:spacing w:val="-1"/>
          <w:w w:val="104"/>
        </w:rPr>
        <w:t>.</w:t>
      </w:r>
      <w:r w:rsidRPr="00604A6E">
        <w:rPr>
          <w:rFonts w:ascii="Arial" w:hAnsi="Arial" w:cs="Arial"/>
          <w:bCs/>
          <w:spacing w:val="-1"/>
          <w:w w:val="104"/>
        </w:rPr>
        <w:tab/>
      </w:r>
      <w:r w:rsidR="00604A6E" w:rsidRPr="00BD5D21">
        <w:rPr>
          <w:rFonts w:ascii="Arial" w:hAnsi="Arial" w:cs="Arial"/>
          <w:bCs/>
        </w:rPr>
        <w:t xml:space="preserve">In these circumstances, I am not of the view that, on any of the issues raised in the application for leave to appeal, there is a reasonable prospect that another court would come to a different conclusion (section 17(1)(a)(i) of the Superior Courts Act 10 of 2013 (“the Act”)), or that there are other compelling reasons as contemplated in section 17(1)(a)(ii) of the Act why leave to appeal should be granted.  The issues between the parties as </w:t>
      </w:r>
      <w:r w:rsidR="005E27D1" w:rsidRPr="00BD5D21">
        <w:rPr>
          <w:rFonts w:ascii="Arial" w:hAnsi="Arial" w:cs="Arial"/>
          <w:bCs/>
        </w:rPr>
        <w:t xml:space="preserve">they </w:t>
      </w:r>
      <w:r w:rsidR="00604A6E" w:rsidRPr="00BD5D21">
        <w:rPr>
          <w:rFonts w:ascii="Arial" w:hAnsi="Arial" w:cs="Arial"/>
          <w:bCs/>
        </w:rPr>
        <w:t>appear from the relief sought in the notice of motion have been determined by this Court, and for that reason section 17(1)(c) of the Act is not applicable.</w:t>
      </w:r>
    </w:p>
    <w:p w14:paraId="27FB138A" w14:textId="77777777" w:rsidR="00604A6E" w:rsidRPr="00604A6E" w:rsidRDefault="00604A6E" w:rsidP="00604A6E">
      <w:pPr>
        <w:spacing w:line="360" w:lineRule="auto"/>
        <w:ind w:right="30"/>
        <w:jc w:val="both"/>
        <w:rPr>
          <w:rFonts w:ascii="Arial" w:hAnsi="Arial" w:cs="Arial"/>
          <w:b/>
          <w:bCs/>
          <w:w w:val="105"/>
          <w:u w:val="single"/>
        </w:rPr>
      </w:pPr>
    </w:p>
    <w:p w14:paraId="66296035" w14:textId="77777777" w:rsidR="00604A6E" w:rsidRPr="00604A6E" w:rsidRDefault="00604A6E" w:rsidP="00604A6E">
      <w:pPr>
        <w:spacing w:line="360" w:lineRule="auto"/>
        <w:ind w:right="30"/>
        <w:jc w:val="both"/>
        <w:rPr>
          <w:rFonts w:ascii="Arial" w:hAnsi="Arial" w:cs="Arial"/>
        </w:rPr>
      </w:pPr>
      <w:r w:rsidRPr="00604A6E">
        <w:rPr>
          <w:rFonts w:ascii="Arial" w:hAnsi="Arial" w:cs="Arial"/>
          <w:b/>
          <w:bCs/>
          <w:w w:val="105"/>
          <w:u w:val="single"/>
        </w:rPr>
        <w:t>Order</w:t>
      </w:r>
    </w:p>
    <w:p w14:paraId="5C5CD19B" w14:textId="77777777" w:rsidR="00604A6E" w:rsidRPr="00604A6E" w:rsidRDefault="00604A6E" w:rsidP="00604A6E">
      <w:pPr>
        <w:pStyle w:val="ListParagraph"/>
        <w:spacing w:line="360" w:lineRule="auto"/>
        <w:ind w:left="647" w:right="30"/>
        <w:rPr>
          <w:rFonts w:ascii="Arial" w:hAnsi="Arial" w:cs="Arial"/>
        </w:rPr>
      </w:pPr>
    </w:p>
    <w:p w14:paraId="6FE206EA" w14:textId="6932851E" w:rsidR="00604A6E" w:rsidRPr="00BD5D21" w:rsidRDefault="00BD5D21" w:rsidP="00BD5D21">
      <w:pPr>
        <w:widowControl w:val="0"/>
        <w:autoSpaceDE w:val="0"/>
        <w:autoSpaceDN w:val="0"/>
        <w:spacing w:line="360" w:lineRule="auto"/>
        <w:ind w:left="647" w:right="30" w:hanging="529"/>
        <w:jc w:val="both"/>
        <w:rPr>
          <w:rFonts w:ascii="Arial" w:hAnsi="Arial" w:cs="Arial"/>
        </w:rPr>
      </w:pPr>
      <w:r w:rsidRPr="00604A6E">
        <w:rPr>
          <w:rFonts w:ascii="Arial" w:hAnsi="Arial" w:cs="Arial"/>
          <w:bCs/>
          <w:spacing w:val="-1"/>
          <w:w w:val="104"/>
        </w:rPr>
        <w:t>8.</w:t>
      </w:r>
      <w:r w:rsidRPr="00604A6E">
        <w:rPr>
          <w:rFonts w:ascii="Arial" w:hAnsi="Arial" w:cs="Arial"/>
          <w:bCs/>
          <w:spacing w:val="-1"/>
          <w:w w:val="104"/>
        </w:rPr>
        <w:tab/>
      </w:r>
      <w:r w:rsidR="00604A6E" w:rsidRPr="00BD5D21">
        <w:rPr>
          <w:rFonts w:ascii="Arial" w:hAnsi="Arial" w:cs="Arial"/>
        </w:rPr>
        <w:t xml:space="preserve">In the premises, </w:t>
      </w:r>
      <w:r w:rsidR="00604A6E" w:rsidRPr="00BD5D21">
        <w:rPr>
          <w:rFonts w:ascii="Arial" w:hAnsi="Arial" w:cs="Arial"/>
          <w:b/>
          <w:bCs/>
          <w:u w:val="single"/>
        </w:rPr>
        <w:t>the application for leave to appeal is dismissed, with costs</w:t>
      </w:r>
      <w:r w:rsidR="00604A6E" w:rsidRPr="00BD5D21">
        <w:rPr>
          <w:rFonts w:ascii="Arial" w:hAnsi="Arial" w:cs="Arial"/>
        </w:rPr>
        <w:t>.</w:t>
      </w:r>
    </w:p>
    <w:p w14:paraId="1BD29802" w14:textId="536A4DDF" w:rsidR="00D81F8C" w:rsidRPr="00604A6E" w:rsidRDefault="00274B51" w:rsidP="00604A6E">
      <w:pPr>
        <w:widowControl w:val="0"/>
        <w:tabs>
          <w:tab w:val="right" w:pos="8364"/>
        </w:tabs>
        <w:spacing w:line="360" w:lineRule="auto"/>
        <w:contextualSpacing/>
        <w:jc w:val="both"/>
        <w:rPr>
          <w:rFonts w:ascii="Arial" w:hAnsi="Arial" w:cs="Arial"/>
        </w:rPr>
      </w:pPr>
      <w:r w:rsidRPr="00604A6E">
        <w:rPr>
          <w:rFonts w:ascii="Arial" w:hAnsi="Arial" w:cs="Arial"/>
          <w:spacing w:val="-3"/>
        </w:rPr>
        <w:tab/>
      </w:r>
    </w:p>
    <w:p w14:paraId="1B21E93E" w14:textId="07CE9BC9" w:rsidR="00D81F8C" w:rsidRPr="00604A6E" w:rsidRDefault="00B81142" w:rsidP="00F748AD">
      <w:pPr>
        <w:pStyle w:val="ListParagraph"/>
        <w:widowControl w:val="0"/>
        <w:spacing w:line="360" w:lineRule="auto"/>
        <w:ind w:left="5040"/>
        <w:jc w:val="both"/>
        <w:rPr>
          <w:rFonts w:ascii="Arial" w:hAnsi="Arial" w:cs="Arial"/>
        </w:rPr>
      </w:pPr>
      <w:r w:rsidRPr="00604A6E">
        <w:rPr>
          <w:rFonts w:ascii="Arial" w:hAnsi="Arial" w:cs="Arial"/>
          <w:noProof/>
        </w:rPr>
        <w:drawing>
          <wp:inline distT="0" distB="0" distL="0" distR="0" wp14:anchorId="2D6B86C5" wp14:editId="3E2897FE">
            <wp:extent cx="229047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381018" cy="633699"/>
                    </a:xfrm>
                    <a:prstGeom prst="rect">
                      <a:avLst/>
                    </a:prstGeom>
                  </pic:spPr>
                </pic:pic>
              </a:graphicData>
            </a:graphic>
          </wp:inline>
        </w:drawing>
      </w:r>
    </w:p>
    <w:p w14:paraId="7EFDA325" w14:textId="77777777" w:rsidR="00D81F8C" w:rsidRPr="00604A6E" w:rsidRDefault="00D81F8C" w:rsidP="00F748AD">
      <w:pPr>
        <w:pStyle w:val="ListParagraph"/>
        <w:widowControl w:val="0"/>
        <w:spacing w:line="360" w:lineRule="auto"/>
        <w:ind w:left="4320" w:firstLine="720"/>
        <w:jc w:val="both"/>
        <w:rPr>
          <w:rFonts w:ascii="Arial" w:hAnsi="Arial" w:cs="Arial"/>
          <w:b/>
          <w:bCs/>
        </w:rPr>
      </w:pPr>
      <w:r w:rsidRPr="00604A6E">
        <w:rPr>
          <w:rFonts w:ascii="Arial" w:hAnsi="Arial" w:cs="Arial"/>
          <w:b/>
          <w:bCs/>
        </w:rPr>
        <w:t>P. S. VAN ZYL</w:t>
      </w:r>
    </w:p>
    <w:p w14:paraId="6368C869" w14:textId="77777777" w:rsidR="00D81F8C" w:rsidRPr="00604A6E" w:rsidRDefault="00D81F8C" w:rsidP="00F748AD">
      <w:pPr>
        <w:pStyle w:val="ListParagraph"/>
        <w:widowControl w:val="0"/>
        <w:spacing w:line="360" w:lineRule="auto"/>
        <w:ind w:left="4320" w:firstLine="720"/>
        <w:jc w:val="both"/>
        <w:rPr>
          <w:rFonts w:ascii="Arial" w:hAnsi="Arial" w:cs="Arial"/>
          <w:b/>
          <w:bCs/>
        </w:rPr>
      </w:pPr>
      <w:r w:rsidRPr="00604A6E">
        <w:rPr>
          <w:rFonts w:ascii="Arial" w:hAnsi="Arial" w:cs="Arial"/>
          <w:b/>
          <w:bCs/>
        </w:rPr>
        <w:t>Acting judge of the High Court</w:t>
      </w:r>
    </w:p>
    <w:p w14:paraId="75B3F14D" w14:textId="77777777" w:rsidR="00604A6E" w:rsidRPr="00604A6E" w:rsidRDefault="00604A6E" w:rsidP="00604A6E">
      <w:pPr>
        <w:pStyle w:val="ListParagraph"/>
        <w:spacing w:line="360" w:lineRule="auto"/>
        <w:rPr>
          <w:rFonts w:ascii="Arial" w:hAnsi="Arial" w:cs="Arial"/>
        </w:rPr>
      </w:pPr>
    </w:p>
    <w:p w14:paraId="133D0618" w14:textId="77777777" w:rsidR="00604A6E" w:rsidRPr="00604A6E" w:rsidRDefault="00604A6E" w:rsidP="00604A6E">
      <w:pPr>
        <w:pStyle w:val="ListParagraph"/>
        <w:spacing w:line="360" w:lineRule="auto"/>
        <w:rPr>
          <w:rFonts w:ascii="Arial" w:hAnsi="Arial" w:cs="Arial"/>
        </w:rPr>
      </w:pPr>
      <w:r w:rsidRPr="00604A6E">
        <w:rPr>
          <w:rFonts w:ascii="Arial" w:hAnsi="Arial" w:cs="Arial"/>
          <w:b/>
          <w:bCs/>
          <w:u w:val="single"/>
        </w:rPr>
        <w:t>Appearances</w:t>
      </w:r>
      <w:r w:rsidRPr="00604A6E">
        <w:rPr>
          <w:rFonts w:ascii="Arial" w:hAnsi="Arial" w:cs="Arial"/>
        </w:rPr>
        <w:t>:</w:t>
      </w:r>
    </w:p>
    <w:p w14:paraId="271F8895" w14:textId="77777777" w:rsidR="00604A6E" w:rsidRPr="00604A6E" w:rsidRDefault="00604A6E" w:rsidP="00604A6E">
      <w:pPr>
        <w:pStyle w:val="ListParagraph"/>
        <w:spacing w:line="360" w:lineRule="auto"/>
        <w:rPr>
          <w:rFonts w:ascii="Arial" w:hAnsi="Arial" w:cs="Arial"/>
        </w:rPr>
      </w:pPr>
    </w:p>
    <w:p w14:paraId="7FC78900" w14:textId="77777777" w:rsidR="00604A6E" w:rsidRPr="00604A6E" w:rsidRDefault="00604A6E" w:rsidP="00604A6E">
      <w:pPr>
        <w:pStyle w:val="ListParagraph"/>
        <w:spacing w:line="360" w:lineRule="auto"/>
        <w:ind w:left="4320" w:hanging="3600"/>
        <w:rPr>
          <w:rFonts w:ascii="Arial" w:hAnsi="Arial" w:cs="Arial"/>
        </w:rPr>
      </w:pPr>
      <w:r w:rsidRPr="00604A6E">
        <w:rPr>
          <w:rFonts w:ascii="Arial" w:hAnsi="Arial" w:cs="Arial"/>
          <w:b/>
          <w:bCs/>
          <w:u w:val="single"/>
        </w:rPr>
        <w:t>For the applicant</w:t>
      </w:r>
      <w:r w:rsidRPr="00604A6E">
        <w:rPr>
          <w:rFonts w:ascii="Arial" w:hAnsi="Arial" w:cs="Arial"/>
          <w:b/>
          <w:bCs/>
        </w:rPr>
        <w:t>:</w:t>
      </w:r>
      <w:r w:rsidRPr="00604A6E">
        <w:rPr>
          <w:rFonts w:ascii="Arial" w:hAnsi="Arial" w:cs="Arial"/>
        </w:rPr>
        <w:tab/>
        <w:t>M. Nowitz and C. S. Barclay-Beuthin, instructed by Dirk Kotze Inc.</w:t>
      </w:r>
    </w:p>
    <w:p w14:paraId="24DFD324" w14:textId="77777777" w:rsidR="00604A6E" w:rsidRPr="00604A6E" w:rsidRDefault="00604A6E" w:rsidP="00604A6E">
      <w:pPr>
        <w:pStyle w:val="ListParagraph"/>
        <w:spacing w:line="360" w:lineRule="auto"/>
        <w:ind w:left="4320" w:hanging="3600"/>
        <w:rPr>
          <w:rFonts w:ascii="Arial" w:hAnsi="Arial" w:cs="Arial"/>
          <w:u w:val="single"/>
        </w:rPr>
      </w:pPr>
    </w:p>
    <w:p w14:paraId="39B3D595" w14:textId="77777777" w:rsidR="00604A6E" w:rsidRPr="00604A6E" w:rsidRDefault="00604A6E" w:rsidP="00604A6E">
      <w:pPr>
        <w:pStyle w:val="ListParagraph"/>
        <w:spacing w:line="360" w:lineRule="auto"/>
        <w:ind w:left="4320" w:hanging="3600"/>
        <w:rPr>
          <w:rFonts w:ascii="Arial" w:hAnsi="Arial" w:cs="Arial"/>
        </w:rPr>
      </w:pPr>
      <w:r w:rsidRPr="00604A6E">
        <w:rPr>
          <w:rFonts w:ascii="Arial" w:hAnsi="Arial" w:cs="Arial"/>
          <w:b/>
          <w:bCs/>
          <w:u w:val="single"/>
        </w:rPr>
        <w:t>For the first respondent</w:t>
      </w:r>
      <w:r w:rsidRPr="00604A6E">
        <w:rPr>
          <w:rFonts w:ascii="Arial" w:hAnsi="Arial" w:cs="Arial"/>
        </w:rPr>
        <w:t>:</w:t>
      </w:r>
      <w:r w:rsidRPr="00604A6E">
        <w:rPr>
          <w:rFonts w:ascii="Arial" w:hAnsi="Arial" w:cs="Arial"/>
        </w:rPr>
        <w:tab/>
        <w:t>P-S Bothma, instructed by Abrahams &amp; Gross Inc.</w:t>
      </w:r>
    </w:p>
    <w:p w14:paraId="45DD5BA8" w14:textId="77777777" w:rsidR="00D81F8C" w:rsidRPr="00604A6E" w:rsidRDefault="00D81F8C" w:rsidP="00F748AD">
      <w:pPr>
        <w:pStyle w:val="ListParagraph"/>
        <w:widowControl w:val="0"/>
        <w:spacing w:line="360" w:lineRule="auto"/>
        <w:jc w:val="both"/>
        <w:rPr>
          <w:rFonts w:ascii="Arial" w:hAnsi="Arial" w:cs="Arial"/>
        </w:rPr>
      </w:pPr>
    </w:p>
    <w:sectPr w:rsidR="00D81F8C" w:rsidRPr="00604A6E" w:rsidSect="003D60B8">
      <w:headerReference w:type="default" r:id="rId11"/>
      <w:head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1462" w14:textId="77777777" w:rsidR="0012125D" w:rsidRDefault="0012125D" w:rsidP="003015FA">
      <w:r>
        <w:separator/>
      </w:r>
    </w:p>
  </w:endnote>
  <w:endnote w:type="continuationSeparator" w:id="0">
    <w:p w14:paraId="16C36339" w14:textId="77777777" w:rsidR="0012125D" w:rsidRDefault="0012125D"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F08ED" w14:textId="77777777" w:rsidR="0012125D" w:rsidRDefault="0012125D" w:rsidP="003015FA">
      <w:r>
        <w:separator/>
      </w:r>
    </w:p>
  </w:footnote>
  <w:footnote w:type="continuationSeparator" w:id="0">
    <w:p w14:paraId="687AB165" w14:textId="77777777" w:rsidR="0012125D" w:rsidRDefault="0012125D" w:rsidP="003015FA">
      <w:r>
        <w:continuationSeparator/>
      </w:r>
    </w:p>
  </w:footnote>
  <w:footnote w:id="1">
    <w:p w14:paraId="4D303685" w14:textId="77777777" w:rsidR="00604A6E" w:rsidRPr="00604A6E" w:rsidRDefault="00604A6E" w:rsidP="00604A6E">
      <w:pPr>
        <w:pStyle w:val="FootnoteText"/>
        <w:jc w:val="both"/>
        <w:rPr>
          <w:rFonts w:ascii="Arial" w:hAnsi="Arial" w:cs="Arial"/>
          <w:sz w:val="22"/>
          <w:szCs w:val="22"/>
        </w:rPr>
      </w:pPr>
      <w:r w:rsidRPr="00604A6E">
        <w:rPr>
          <w:rStyle w:val="FootnoteReference"/>
          <w:rFonts w:ascii="Arial" w:hAnsi="Arial" w:cs="Arial"/>
          <w:sz w:val="22"/>
          <w:szCs w:val="22"/>
        </w:rPr>
        <w:footnoteRef/>
      </w:r>
      <w:r w:rsidRPr="00604A6E">
        <w:rPr>
          <w:rFonts w:ascii="Arial" w:hAnsi="Arial" w:cs="Arial"/>
          <w:sz w:val="22"/>
          <w:szCs w:val="22"/>
        </w:rPr>
        <w:t xml:space="preserve"> </w:t>
      </w:r>
      <w:r w:rsidRPr="00604A6E">
        <w:rPr>
          <w:rFonts w:ascii="Arial" w:hAnsi="Arial" w:cs="Arial"/>
          <w:sz w:val="22"/>
          <w:szCs w:val="22"/>
        </w:rPr>
        <w:tab/>
      </w:r>
      <w:r w:rsidRPr="00604A6E">
        <w:rPr>
          <w:rFonts w:ascii="Arial" w:hAnsi="Arial" w:cs="Arial"/>
          <w:bCs/>
          <w:sz w:val="22"/>
          <w:szCs w:val="22"/>
        </w:rPr>
        <w:t>[2004] 2 All SA 609 (SCA) at para [19].</w:t>
      </w:r>
    </w:p>
  </w:footnote>
  <w:footnote w:id="2">
    <w:p w14:paraId="4DA85B5E" w14:textId="77777777" w:rsidR="00604A6E" w:rsidRPr="00604A6E" w:rsidRDefault="00604A6E" w:rsidP="00604A6E">
      <w:pPr>
        <w:pStyle w:val="FootnoteText"/>
        <w:jc w:val="both"/>
        <w:rPr>
          <w:rFonts w:ascii="Arial" w:hAnsi="Arial" w:cs="Arial"/>
          <w:sz w:val="22"/>
          <w:szCs w:val="22"/>
        </w:rPr>
      </w:pPr>
      <w:r w:rsidRPr="00604A6E">
        <w:rPr>
          <w:rStyle w:val="FootnoteReference"/>
          <w:rFonts w:ascii="Arial" w:hAnsi="Arial" w:cs="Arial"/>
          <w:sz w:val="22"/>
          <w:szCs w:val="22"/>
        </w:rPr>
        <w:footnoteRef/>
      </w:r>
      <w:r w:rsidRPr="00604A6E">
        <w:rPr>
          <w:rFonts w:ascii="Arial" w:hAnsi="Arial" w:cs="Arial"/>
          <w:sz w:val="22"/>
          <w:szCs w:val="22"/>
        </w:rPr>
        <w:t xml:space="preserve"> </w:t>
      </w:r>
      <w:r w:rsidRPr="00604A6E">
        <w:rPr>
          <w:rFonts w:ascii="Arial" w:hAnsi="Arial" w:cs="Arial"/>
          <w:sz w:val="22"/>
          <w:szCs w:val="22"/>
        </w:rPr>
        <w:tab/>
      </w:r>
      <w:r w:rsidRPr="00604A6E">
        <w:rPr>
          <w:rFonts w:ascii="Arial" w:hAnsi="Arial" w:cs="Arial"/>
          <w:bCs/>
          <w:sz w:val="22"/>
          <w:szCs w:val="22"/>
        </w:rPr>
        <w:t>[2009] ZAWCHC 167 (23 September 2009).</w:t>
      </w:r>
    </w:p>
  </w:footnote>
  <w:footnote w:id="3">
    <w:p w14:paraId="4EC5F0D3" w14:textId="77777777" w:rsidR="00604A6E" w:rsidRPr="00604A6E" w:rsidRDefault="00604A6E" w:rsidP="00604A6E">
      <w:pPr>
        <w:pStyle w:val="FootnoteText"/>
        <w:jc w:val="both"/>
        <w:rPr>
          <w:rFonts w:ascii="Arial" w:hAnsi="Arial" w:cs="Arial"/>
          <w:sz w:val="22"/>
          <w:szCs w:val="22"/>
        </w:rPr>
      </w:pPr>
      <w:r w:rsidRPr="00604A6E">
        <w:rPr>
          <w:rStyle w:val="FootnoteReference"/>
          <w:rFonts w:ascii="Arial" w:hAnsi="Arial" w:cs="Arial"/>
          <w:sz w:val="22"/>
          <w:szCs w:val="22"/>
        </w:rPr>
        <w:footnoteRef/>
      </w:r>
      <w:r w:rsidRPr="00604A6E">
        <w:rPr>
          <w:rFonts w:ascii="Arial" w:hAnsi="Arial" w:cs="Arial"/>
          <w:sz w:val="22"/>
          <w:szCs w:val="22"/>
        </w:rPr>
        <w:t xml:space="preserve"> </w:t>
      </w:r>
      <w:r w:rsidRPr="00604A6E">
        <w:rPr>
          <w:rFonts w:ascii="Arial" w:hAnsi="Arial" w:cs="Arial"/>
          <w:sz w:val="22"/>
          <w:szCs w:val="22"/>
        </w:rPr>
        <w:tab/>
      </w:r>
      <w:r w:rsidRPr="00604A6E">
        <w:rPr>
          <w:rFonts w:ascii="Arial" w:hAnsi="Arial" w:cs="Arial"/>
          <w:bCs/>
          <w:sz w:val="22"/>
          <w:szCs w:val="22"/>
        </w:rPr>
        <w:t>1994 (3) SA 673 (A) at 683H-I.</w:t>
      </w:r>
    </w:p>
  </w:footnote>
  <w:footnote w:id="4">
    <w:p w14:paraId="1AB4BA07" w14:textId="77777777" w:rsidR="00604A6E" w:rsidRPr="00604A6E" w:rsidRDefault="00604A6E" w:rsidP="00604A6E">
      <w:pPr>
        <w:pStyle w:val="FootnoteText"/>
        <w:jc w:val="both"/>
        <w:rPr>
          <w:rFonts w:ascii="Arial" w:hAnsi="Arial" w:cs="Arial"/>
          <w:sz w:val="22"/>
          <w:szCs w:val="22"/>
        </w:rPr>
      </w:pPr>
      <w:r w:rsidRPr="00604A6E">
        <w:rPr>
          <w:rStyle w:val="FootnoteReference"/>
          <w:rFonts w:ascii="Arial" w:hAnsi="Arial" w:cs="Arial"/>
          <w:sz w:val="22"/>
          <w:szCs w:val="22"/>
        </w:rPr>
        <w:footnoteRef/>
      </w:r>
      <w:r w:rsidRPr="00604A6E">
        <w:rPr>
          <w:rFonts w:ascii="Arial" w:hAnsi="Arial" w:cs="Arial"/>
          <w:sz w:val="22"/>
          <w:szCs w:val="22"/>
        </w:rPr>
        <w:t xml:space="preserve"> </w:t>
      </w:r>
      <w:r w:rsidRPr="00604A6E">
        <w:rPr>
          <w:rFonts w:ascii="Arial" w:hAnsi="Arial" w:cs="Arial"/>
          <w:sz w:val="22"/>
          <w:szCs w:val="22"/>
        </w:rPr>
        <w:tab/>
        <w:t>2010 (1) SA 35 (SCA) at para [22].</w:t>
      </w:r>
    </w:p>
  </w:footnote>
  <w:footnote w:id="5">
    <w:p w14:paraId="22515D2F" w14:textId="77777777" w:rsidR="00604A6E" w:rsidRDefault="00604A6E" w:rsidP="00604A6E">
      <w:pPr>
        <w:pStyle w:val="FootnoteText"/>
        <w:jc w:val="both"/>
      </w:pPr>
      <w:r w:rsidRPr="00604A6E">
        <w:rPr>
          <w:rStyle w:val="FootnoteReference"/>
          <w:rFonts w:ascii="Arial" w:hAnsi="Arial" w:cs="Arial"/>
          <w:sz w:val="22"/>
          <w:szCs w:val="22"/>
        </w:rPr>
        <w:footnoteRef/>
      </w:r>
      <w:r w:rsidRPr="00604A6E">
        <w:rPr>
          <w:rFonts w:ascii="Arial" w:hAnsi="Arial" w:cs="Arial"/>
          <w:sz w:val="22"/>
          <w:szCs w:val="22"/>
        </w:rPr>
        <w:t xml:space="preserve"> </w:t>
      </w:r>
      <w:r w:rsidRPr="00604A6E">
        <w:rPr>
          <w:rFonts w:ascii="Arial" w:hAnsi="Arial" w:cs="Arial"/>
          <w:sz w:val="22"/>
          <w:szCs w:val="22"/>
        </w:rPr>
        <w:tab/>
        <w:t>4ed, Juta, 2012 at p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20885445"/>
      <w:docPartObj>
        <w:docPartGallery w:val="Page Numbers (Top of Page)"/>
        <w:docPartUnique/>
      </w:docPartObj>
    </w:sdtPr>
    <w:sdtEndPr>
      <w:rPr>
        <w:rFonts w:ascii="Arial" w:hAnsi="Arial"/>
        <w:noProof/>
      </w:rPr>
    </w:sdtEndPr>
    <w:sdtContent>
      <w:p w14:paraId="5CA81E98" w14:textId="2412C938"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BD5D21">
          <w:rPr>
            <w:rFonts w:ascii="Arial" w:hAnsi="Arial"/>
            <w:noProof/>
            <w:sz w:val="22"/>
            <w:szCs w:val="22"/>
          </w:rPr>
          <w:t>5</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7EC6FE82"/>
    <w:lvl w:ilvl="0" w:tplc="704231AA">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FC369D5"/>
    <w:multiLevelType w:val="multilevel"/>
    <w:tmpl w:val="B32AFD56"/>
    <w:lvl w:ilvl="0">
      <w:start w:val="1"/>
      <w:numFmt w:val="decimal"/>
      <w:pStyle w:val="Style1"/>
      <w:lvlText w:val="%1."/>
      <w:lvlJc w:val="left"/>
      <w:pPr>
        <w:tabs>
          <w:tab w:val="num" w:pos="567"/>
        </w:tabs>
        <w:ind w:left="567" w:hanging="567"/>
      </w:pPr>
      <w:rPr>
        <w:rFonts w:hint="default"/>
        <w:b w:val="0"/>
      </w:rPr>
    </w:lvl>
    <w:lvl w:ilvl="1">
      <w:start w:val="1"/>
      <w:numFmt w:val="decimal"/>
      <w:pStyle w:val="Style2"/>
      <w:lvlText w:val="%1.%2."/>
      <w:lvlJc w:val="left"/>
      <w:pPr>
        <w:tabs>
          <w:tab w:val="num" w:pos="1134"/>
        </w:tabs>
        <w:ind w:left="1134" w:hanging="567"/>
      </w:pPr>
      <w:rPr>
        <w:rFonts w:hint="default"/>
      </w:rPr>
    </w:lvl>
    <w:lvl w:ilvl="2">
      <w:start w:val="1"/>
      <w:numFmt w:val="decimal"/>
      <w:pStyle w:val="Style3"/>
      <w:lvlText w:val="%1.%2.%3."/>
      <w:lvlJc w:val="left"/>
      <w:pPr>
        <w:tabs>
          <w:tab w:val="num" w:pos="1854"/>
        </w:tabs>
        <w:ind w:left="170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0776041"/>
    <w:multiLevelType w:val="multilevel"/>
    <w:tmpl w:val="9B7C6F9E"/>
    <w:styleLink w:val="CurrentList1"/>
    <w:lvl w:ilvl="0">
      <w:start w:val="1"/>
      <w:numFmt w:val="decimal"/>
      <w:lvlText w:val="%1."/>
      <w:lvlJc w:val="left"/>
      <w:pPr>
        <w:tabs>
          <w:tab w:val="num" w:pos="720"/>
        </w:tabs>
        <w:ind w:left="720" w:hanging="720"/>
      </w:pPr>
      <w:rPr>
        <w:b w:val="0"/>
        <w:bCs w:val="0"/>
        <w:i w:val="0"/>
        <w:iCs w:val="0"/>
      </w:rPr>
    </w:lvl>
    <w:lvl w:ilvl="1">
      <w:start w:val="1"/>
      <w:numFmt w:val="decimal"/>
      <w:isLgl/>
      <w:lvlText w:val="%1.%2"/>
      <w:lvlJc w:val="left"/>
      <w:pPr>
        <w:tabs>
          <w:tab w:val="num" w:pos="1713"/>
        </w:tabs>
        <w:ind w:left="1713" w:hanging="720"/>
      </w:pPr>
      <w:rPr>
        <w:b w:val="0"/>
        <w:bCs w:val="0"/>
        <w:i w:val="0"/>
        <w:iCs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037C"/>
    <w:rsid w:val="0000243F"/>
    <w:rsid w:val="0000255E"/>
    <w:rsid w:val="000027E3"/>
    <w:rsid w:val="00002CC8"/>
    <w:rsid w:val="0000771D"/>
    <w:rsid w:val="00007A60"/>
    <w:rsid w:val="000118D9"/>
    <w:rsid w:val="00013482"/>
    <w:rsid w:val="00013CF6"/>
    <w:rsid w:val="00014FE3"/>
    <w:rsid w:val="00016B4A"/>
    <w:rsid w:val="0002280B"/>
    <w:rsid w:val="00023B13"/>
    <w:rsid w:val="00025B1B"/>
    <w:rsid w:val="00025BAC"/>
    <w:rsid w:val="00032231"/>
    <w:rsid w:val="00033574"/>
    <w:rsid w:val="000342F7"/>
    <w:rsid w:val="00053084"/>
    <w:rsid w:val="0005500D"/>
    <w:rsid w:val="0005737E"/>
    <w:rsid w:val="00057998"/>
    <w:rsid w:val="00062EDC"/>
    <w:rsid w:val="000701E8"/>
    <w:rsid w:val="000712B1"/>
    <w:rsid w:val="000722D0"/>
    <w:rsid w:val="00073EE7"/>
    <w:rsid w:val="00076445"/>
    <w:rsid w:val="00077C8B"/>
    <w:rsid w:val="000809E8"/>
    <w:rsid w:val="00087B14"/>
    <w:rsid w:val="00090569"/>
    <w:rsid w:val="000925F7"/>
    <w:rsid w:val="00093E6C"/>
    <w:rsid w:val="00096240"/>
    <w:rsid w:val="00097508"/>
    <w:rsid w:val="000A0521"/>
    <w:rsid w:val="000A2A69"/>
    <w:rsid w:val="000A35D2"/>
    <w:rsid w:val="000A4666"/>
    <w:rsid w:val="000A569D"/>
    <w:rsid w:val="000A7779"/>
    <w:rsid w:val="000B1C75"/>
    <w:rsid w:val="000B3FFD"/>
    <w:rsid w:val="000B4591"/>
    <w:rsid w:val="000B5928"/>
    <w:rsid w:val="000B6F38"/>
    <w:rsid w:val="000B709B"/>
    <w:rsid w:val="000C041C"/>
    <w:rsid w:val="000C3D91"/>
    <w:rsid w:val="000C4947"/>
    <w:rsid w:val="000C50A9"/>
    <w:rsid w:val="000C510B"/>
    <w:rsid w:val="000C560E"/>
    <w:rsid w:val="000C5D18"/>
    <w:rsid w:val="000D1898"/>
    <w:rsid w:val="000D1E6F"/>
    <w:rsid w:val="000D2629"/>
    <w:rsid w:val="000D2E41"/>
    <w:rsid w:val="000D2FEE"/>
    <w:rsid w:val="000D3265"/>
    <w:rsid w:val="000D7F4E"/>
    <w:rsid w:val="000E155F"/>
    <w:rsid w:val="000E3F70"/>
    <w:rsid w:val="000E7623"/>
    <w:rsid w:val="000E76EC"/>
    <w:rsid w:val="000E7841"/>
    <w:rsid w:val="000F037C"/>
    <w:rsid w:val="000F07EF"/>
    <w:rsid w:val="000F0AB4"/>
    <w:rsid w:val="000F6729"/>
    <w:rsid w:val="000F7B0E"/>
    <w:rsid w:val="000F7B7F"/>
    <w:rsid w:val="00101CC6"/>
    <w:rsid w:val="00104E82"/>
    <w:rsid w:val="00105321"/>
    <w:rsid w:val="00110516"/>
    <w:rsid w:val="00115080"/>
    <w:rsid w:val="0011563A"/>
    <w:rsid w:val="00115C70"/>
    <w:rsid w:val="00116587"/>
    <w:rsid w:val="001173AF"/>
    <w:rsid w:val="0012125D"/>
    <w:rsid w:val="0012218B"/>
    <w:rsid w:val="00122893"/>
    <w:rsid w:val="0012532A"/>
    <w:rsid w:val="001255C3"/>
    <w:rsid w:val="0012754F"/>
    <w:rsid w:val="00130897"/>
    <w:rsid w:val="00133A46"/>
    <w:rsid w:val="00134240"/>
    <w:rsid w:val="001345D7"/>
    <w:rsid w:val="0013718D"/>
    <w:rsid w:val="001376C5"/>
    <w:rsid w:val="0014136F"/>
    <w:rsid w:val="00142DE5"/>
    <w:rsid w:val="00143008"/>
    <w:rsid w:val="0014548B"/>
    <w:rsid w:val="001459D5"/>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306"/>
    <w:rsid w:val="00185B77"/>
    <w:rsid w:val="001866CC"/>
    <w:rsid w:val="001874F4"/>
    <w:rsid w:val="00193223"/>
    <w:rsid w:val="00194688"/>
    <w:rsid w:val="00196818"/>
    <w:rsid w:val="001A0344"/>
    <w:rsid w:val="001A14A8"/>
    <w:rsid w:val="001A1A42"/>
    <w:rsid w:val="001A1B55"/>
    <w:rsid w:val="001A30B2"/>
    <w:rsid w:val="001A403C"/>
    <w:rsid w:val="001A4790"/>
    <w:rsid w:val="001A54A8"/>
    <w:rsid w:val="001A77C7"/>
    <w:rsid w:val="001B0ED8"/>
    <w:rsid w:val="001B17B9"/>
    <w:rsid w:val="001B2FD0"/>
    <w:rsid w:val="001B5B71"/>
    <w:rsid w:val="001B63C0"/>
    <w:rsid w:val="001B76CA"/>
    <w:rsid w:val="001B7E49"/>
    <w:rsid w:val="001C0F82"/>
    <w:rsid w:val="001C2401"/>
    <w:rsid w:val="001C24B0"/>
    <w:rsid w:val="001C2A8B"/>
    <w:rsid w:val="001C3C7F"/>
    <w:rsid w:val="001C3D52"/>
    <w:rsid w:val="001C760B"/>
    <w:rsid w:val="001C79DF"/>
    <w:rsid w:val="001D04AC"/>
    <w:rsid w:val="001D2560"/>
    <w:rsid w:val="001D3069"/>
    <w:rsid w:val="001D5A28"/>
    <w:rsid w:val="001D5C74"/>
    <w:rsid w:val="001D6815"/>
    <w:rsid w:val="001E2653"/>
    <w:rsid w:val="001E3AD9"/>
    <w:rsid w:val="001E72AD"/>
    <w:rsid w:val="001E77FB"/>
    <w:rsid w:val="001F1AE1"/>
    <w:rsid w:val="001F3547"/>
    <w:rsid w:val="001F399F"/>
    <w:rsid w:val="001F5837"/>
    <w:rsid w:val="001F67B0"/>
    <w:rsid w:val="00201697"/>
    <w:rsid w:val="0021166E"/>
    <w:rsid w:val="00211F02"/>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3A45"/>
    <w:rsid w:val="00263BB3"/>
    <w:rsid w:val="00265341"/>
    <w:rsid w:val="0026656D"/>
    <w:rsid w:val="00270515"/>
    <w:rsid w:val="00272B80"/>
    <w:rsid w:val="002740A1"/>
    <w:rsid w:val="00274961"/>
    <w:rsid w:val="002749F1"/>
    <w:rsid w:val="00274B51"/>
    <w:rsid w:val="00274BA6"/>
    <w:rsid w:val="00277ED0"/>
    <w:rsid w:val="00284141"/>
    <w:rsid w:val="00285BEC"/>
    <w:rsid w:val="00286F63"/>
    <w:rsid w:val="00293AB0"/>
    <w:rsid w:val="0029440D"/>
    <w:rsid w:val="002A0AA0"/>
    <w:rsid w:val="002A2CF7"/>
    <w:rsid w:val="002A3D77"/>
    <w:rsid w:val="002A4081"/>
    <w:rsid w:val="002A52F5"/>
    <w:rsid w:val="002A6987"/>
    <w:rsid w:val="002B460E"/>
    <w:rsid w:val="002B6231"/>
    <w:rsid w:val="002C1254"/>
    <w:rsid w:val="002C1BA9"/>
    <w:rsid w:val="002C2685"/>
    <w:rsid w:val="002C2B5A"/>
    <w:rsid w:val="002C3424"/>
    <w:rsid w:val="002C5111"/>
    <w:rsid w:val="002C7E7A"/>
    <w:rsid w:val="002D4994"/>
    <w:rsid w:val="002E53C8"/>
    <w:rsid w:val="002E660C"/>
    <w:rsid w:val="002E76E8"/>
    <w:rsid w:val="002F14FE"/>
    <w:rsid w:val="002F483C"/>
    <w:rsid w:val="002F6BAC"/>
    <w:rsid w:val="003015FA"/>
    <w:rsid w:val="0030171D"/>
    <w:rsid w:val="00304AEB"/>
    <w:rsid w:val="00304FDE"/>
    <w:rsid w:val="00307ED4"/>
    <w:rsid w:val="003105B8"/>
    <w:rsid w:val="00316BEC"/>
    <w:rsid w:val="0032260A"/>
    <w:rsid w:val="0032562D"/>
    <w:rsid w:val="003261FD"/>
    <w:rsid w:val="00326622"/>
    <w:rsid w:val="00327D08"/>
    <w:rsid w:val="00330716"/>
    <w:rsid w:val="00332CBC"/>
    <w:rsid w:val="00334F17"/>
    <w:rsid w:val="00347522"/>
    <w:rsid w:val="00347803"/>
    <w:rsid w:val="00347C4D"/>
    <w:rsid w:val="00350775"/>
    <w:rsid w:val="003528A7"/>
    <w:rsid w:val="00352A95"/>
    <w:rsid w:val="00353991"/>
    <w:rsid w:val="00354CA4"/>
    <w:rsid w:val="003616CA"/>
    <w:rsid w:val="00361AE9"/>
    <w:rsid w:val="00361D84"/>
    <w:rsid w:val="003631C6"/>
    <w:rsid w:val="00363ADD"/>
    <w:rsid w:val="00377A3A"/>
    <w:rsid w:val="003822DB"/>
    <w:rsid w:val="00383D1C"/>
    <w:rsid w:val="00386DDB"/>
    <w:rsid w:val="00392147"/>
    <w:rsid w:val="0039543B"/>
    <w:rsid w:val="003957C8"/>
    <w:rsid w:val="00395D38"/>
    <w:rsid w:val="003A0D66"/>
    <w:rsid w:val="003A3B7F"/>
    <w:rsid w:val="003A4FAD"/>
    <w:rsid w:val="003A7D1E"/>
    <w:rsid w:val="003B143B"/>
    <w:rsid w:val="003B272F"/>
    <w:rsid w:val="003B3303"/>
    <w:rsid w:val="003B5A26"/>
    <w:rsid w:val="003B7318"/>
    <w:rsid w:val="003C41A6"/>
    <w:rsid w:val="003C4FA6"/>
    <w:rsid w:val="003C567D"/>
    <w:rsid w:val="003C7B0E"/>
    <w:rsid w:val="003D0F2C"/>
    <w:rsid w:val="003D1BAE"/>
    <w:rsid w:val="003D2252"/>
    <w:rsid w:val="003D2A50"/>
    <w:rsid w:val="003D60B8"/>
    <w:rsid w:val="003D6855"/>
    <w:rsid w:val="003E19CC"/>
    <w:rsid w:val="003E2DF4"/>
    <w:rsid w:val="003E5191"/>
    <w:rsid w:val="003E581B"/>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2588D"/>
    <w:rsid w:val="004259E5"/>
    <w:rsid w:val="00427BD2"/>
    <w:rsid w:val="00434410"/>
    <w:rsid w:val="00435B50"/>
    <w:rsid w:val="0043616C"/>
    <w:rsid w:val="0043752E"/>
    <w:rsid w:val="00440693"/>
    <w:rsid w:val="00441665"/>
    <w:rsid w:val="00442903"/>
    <w:rsid w:val="00445F4C"/>
    <w:rsid w:val="00446EE4"/>
    <w:rsid w:val="00450335"/>
    <w:rsid w:val="004520D3"/>
    <w:rsid w:val="004532C5"/>
    <w:rsid w:val="004569B9"/>
    <w:rsid w:val="0045770E"/>
    <w:rsid w:val="00463179"/>
    <w:rsid w:val="00463977"/>
    <w:rsid w:val="00471012"/>
    <w:rsid w:val="0047121E"/>
    <w:rsid w:val="00471CAC"/>
    <w:rsid w:val="00471D3B"/>
    <w:rsid w:val="00474FE2"/>
    <w:rsid w:val="00476604"/>
    <w:rsid w:val="00482DA3"/>
    <w:rsid w:val="00484D7B"/>
    <w:rsid w:val="00485884"/>
    <w:rsid w:val="00485985"/>
    <w:rsid w:val="00485BC4"/>
    <w:rsid w:val="004863D8"/>
    <w:rsid w:val="004871AE"/>
    <w:rsid w:val="00487F51"/>
    <w:rsid w:val="00487F73"/>
    <w:rsid w:val="00493A44"/>
    <w:rsid w:val="004950AA"/>
    <w:rsid w:val="0049517E"/>
    <w:rsid w:val="00497D11"/>
    <w:rsid w:val="004A0882"/>
    <w:rsid w:val="004A10E6"/>
    <w:rsid w:val="004A305E"/>
    <w:rsid w:val="004A747F"/>
    <w:rsid w:val="004B1EC3"/>
    <w:rsid w:val="004B20FE"/>
    <w:rsid w:val="004B23D8"/>
    <w:rsid w:val="004B26C2"/>
    <w:rsid w:val="004B2785"/>
    <w:rsid w:val="004B491A"/>
    <w:rsid w:val="004B5174"/>
    <w:rsid w:val="004B6022"/>
    <w:rsid w:val="004C00D6"/>
    <w:rsid w:val="004C1033"/>
    <w:rsid w:val="004C16D9"/>
    <w:rsid w:val="004C27F4"/>
    <w:rsid w:val="004C4BB6"/>
    <w:rsid w:val="004C7042"/>
    <w:rsid w:val="004D3740"/>
    <w:rsid w:val="004D3767"/>
    <w:rsid w:val="004D5208"/>
    <w:rsid w:val="004D5414"/>
    <w:rsid w:val="004D617B"/>
    <w:rsid w:val="004D7A8C"/>
    <w:rsid w:val="004E0997"/>
    <w:rsid w:val="004E14B3"/>
    <w:rsid w:val="004E5436"/>
    <w:rsid w:val="004E697F"/>
    <w:rsid w:val="004E7A19"/>
    <w:rsid w:val="004F12F9"/>
    <w:rsid w:val="004F1E83"/>
    <w:rsid w:val="004F7357"/>
    <w:rsid w:val="0050427E"/>
    <w:rsid w:val="00507FF7"/>
    <w:rsid w:val="00514334"/>
    <w:rsid w:val="00515438"/>
    <w:rsid w:val="00515638"/>
    <w:rsid w:val="00523261"/>
    <w:rsid w:val="00525C0D"/>
    <w:rsid w:val="00526632"/>
    <w:rsid w:val="0053163D"/>
    <w:rsid w:val="00536306"/>
    <w:rsid w:val="00536FE1"/>
    <w:rsid w:val="00537B5E"/>
    <w:rsid w:val="00537BA4"/>
    <w:rsid w:val="00537C1C"/>
    <w:rsid w:val="00541FBF"/>
    <w:rsid w:val="00550D0D"/>
    <w:rsid w:val="005569F6"/>
    <w:rsid w:val="00557ECE"/>
    <w:rsid w:val="0056086B"/>
    <w:rsid w:val="0056113A"/>
    <w:rsid w:val="0056126D"/>
    <w:rsid w:val="005642FE"/>
    <w:rsid w:val="00566103"/>
    <w:rsid w:val="0056766D"/>
    <w:rsid w:val="00570AB9"/>
    <w:rsid w:val="00575267"/>
    <w:rsid w:val="0058020E"/>
    <w:rsid w:val="005824CA"/>
    <w:rsid w:val="00583605"/>
    <w:rsid w:val="00585B1E"/>
    <w:rsid w:val="005907BC"/>
    <w:rsid w:val="00592450"/>
    <w:rsid w:val="00592793"/>
    <w:rsid w:val="005A2632"/>
    <w:rsid w:val="005A2C4B"/>
    <w:rsid w:val="005A3A65"/>
    <w:rsid w:val="005A4579"/>
    <w:rsid w:val="005A5DA8"/>
    <w:rsid w:val="005A715D"/>
    <w:rsid w:val="005A7CC2"/>
    <w:rsid w:val="005B0107"/>
    <w:rsid w:val="005B1640"/>
    <w:rsid w:val="005B1724"/>
    <w:rsid w:val="005B294C"/>
    <w:rsid w:val="005B66AE"/>
    <w:rsid w:val="005B67DA"/>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18E"/>
    <w:rsid w:val="005E06A5"/>
    <w:rsid w:val="005E23A4"/>
    <w:rsid w:val="005E27D1"/>
    <w:rsid w:val="005E2932"/>
    <w:rsid w:val="005E387C"/>
    <w:rsid w:val="005E4BD5"/>
    <w:rsid w:val="005E6BEF"/>
    <w:rsid w:val="005F043C"/>
    <w:rsid w:val="005F1744"/>
    <w:rsid w:val="005F2F12"/>
    <w:rsid w:val="005F3871"/>
    <w:rsid w:val="005F3972"/>
    <w:rsid w:val="005F7101"/>
    <w:rsid w:val="005F72FB"/>
    <w:rsid w:val="006032BA"/>
    <w:rsid w:val="00603FD0"/>
    <w:rsid w:val="00604A6E"/>
    <w:rsid w:val="00606485"/>
    <w:rsid w:val="00612470"/>
    <w:rsid w:val="00615487"/>
    <w:rsid w:val="0062259E"/>
    <w:rsid w:val="00622DBF"/>
    <w:rsid w:val="00622E4E"/>
    <w:rsid w:val="006232D7"/>
    <w:rsid w:val="00624A81"/>
    <w:rsid w:val="006253C3"/>
    <w:rsid w:val="00625B58"/>
    <w:rsid w:val="00626D6B"/>
    <w:rsid w:val="00630801"/>
    <w:rsid w:val="00632F4C"/>
    <w:rsid w:val="006358E9"/>
    <w:rsid w:val="006402AF"/>
    <w:rsid w:val="006424B8"/>
    <w:rsid w:val="00645130"/>
    <w:rsid w:val="00646813"/>
    <w:rsid w:val="006478AA"/>
    <w:rsid w:val="00650944"/>
    <w:rsid w:val="00651864"/>
    <w:rsid w:val="00652192"/>
    <w:rsid w:val="006532B6"/>
    <w:rsid w:val="00654763"/>
    <w:rsid w:val="00654F21"/>
    <w:rsid w:val="00654FBF"/>
    <w:rsid w:val="0065605B"/>
    <w:rsid w:val="0065795C"/>
    <w:rsid w:val="00660572"/>
    <w:rsid w:val="00663087"/>
    <w:rsid w:val="0066608B"/>
    <w:rsid w:val="00666BD2"/>
    <w:rsid w:val="00670365"/>
    <w:rsid w:val="006777B7"/>
    <w:rsid w:val="0068227B"/>
    <w:rsid w:val="006901EF"/>
    <w:rsid w:val="0069152B"/>
    <w:rsid w:val="006922A0"/>
    <w:rsid w:val="0069378A"/>
    <w:rsid w:val="00697E28"/>
    <w:rsid w:val="00697E8A"/>
    <w:rsid w:val="006A08A8"/>
    <w:rsid w:val="006A242C"/>
    <w:rsid w:val="006A4027"/>
    <w:rsid w:val="006A6702"/>
    <w:rsid w:val="006A6AB5"/>
    <w:rsid w:val="006A7675"/>
    <w:rsid w:val="006A786F"/>
    <w:rsid w:val="006B3345"/>
    <w:rsid w:val="006B568F"/>
    <w:rsid w:val="006B570C"/>
    <w:rsid w:val="006B6A2F"/>
    <w:rsid w:val="006B765F"/>
    <w:rsid w:val="006C16B2"/>
    <w:rsid w:val="006C5238"/>
    <w:rsid w:val="006C64DF"/>
    <w:rsid w:val="006D4DD0"/>
    <w:rsid w:val="006D60B6"/>
    <w:rsid w:val="006D6934"/>
    <w:rsid w:val="006E21B5"/>
    <w:rsid w:val="006E4323"/>
    <w:rsid w:val="006E49F8"/>
    <w:rsid w:val="006E4DBF"/>
    <w:rsid w:val="006E65DF"/>
    <w:rsid w:val="006E7AA3"/>
    <w:rsid w:val="006F2D6C"/>
    <w:rsid w:val="006F3E25"/>
    <w:rsid w:val="007001FA"/>
    <w:rsid w:val="007024F5"/>
    <w:rsid w:val="00704075"/>
    <w:rsid w:val="00706580"/>
    <w:rsid w:val="00706C84"/>
    <w:rsid w:val="00707C90"/>
    <w:rsid w:val="00710575"/>
    <w:rsid w:val="0071160E"/>
    <w:rsid w:val="00711CA3"/>
    <w:rsid w:val="00713531"/>
    <w:rsid w:val="00713A28"/>
    <w:rsid w:val="00714429"/>
    <w:rsid w:val="00717677"/>
    <w:rsid w:val="00723B55"/>
    <w:rsid w:val="00727117"/>
    <w:rsid w:val="00727332"/>
    <w:rsid w:val="00727E26"/>
    <w:rsid w:val="00727FCB"/>
    <w:rsid w:val="007306FC"/>
    <w:rsid w:val="0073231B"/>
    <w:rsid w:val="00736F1A"/>
    <w:rsid w:val="007401E6"/>
    <w:rsid w:val="00740D91"/>
    <w:rsid w:val="007440AC"/>
    <w:rsid w:val="00744811"/>
    <w:rsid w:val="00754C8C"/>
    <w:rsid w:val="00754FF4"/>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2B"/>
    <w:rsid w:val="00785EC2"/>
    <w:rsid w:val="007877ED"/>
    <w:rsid w:val="007902AA"/>
    <w:rsid w:val="0079250F"/>
    <w:rsid w:val="00797791"/>
    <w:rsid w:val="007A1B68"/>
    <w:rsid w:val="007A28CF"/>
    <w:rsid w:val="007A2FAB"/>
    <w:rsid w:val="007A58A5"/>
    <w:rsid w:val="007A71E5"/>
    <w:rsid w:val="007B017B"/>
    <w:rsid w:val="007B3058"/>
    <w:rsid w:val="007B40C1"/>
    <w:rsid w:val="007B7D21"/>
    <w:rsid w:val="007C0C7C"/>
    <w:rsid w:val="007C39C2"/>
    <w:rsid w:val="007C4685"/>
    <w:rsid w:val="007D44EA"/>
    <w:rsid w:val="007D70D8"/>
    <w:rsid w:val="007E379F"/>
    <w:rsid w:val="007E47AF"/>
    <w:rsid w:val="007E5C49"/>
    <w:rsid w:val="007E5CEA"/>
    <w:rsid w:val="007E72B6"/>
    <w:rsid w:val="007F03AD"/>
    <w:rsid w:val="007F0B05"/>
    <w:rsid w:val="007F11A6"/>
    <w:rsid w:val="007F2D6E"/>
    <w:rsid w:val="007F30F8"/>
    <w:rsid w:val="007F5388"/>
    <w:rsid w:val="007F7ACC"/>
    <w:rsid w:val="00800391"/>
    <w:rsid w:val="0080086A"/>
    <w:rsid w:val="0080231A"/>
    <w:rsid w:val="00802BC6"/>
    <w:rsid w:val="00803CBE"/>
    <w:rsid w:val="00803EC2"/>
    <w:rsid w:val="00803F63"/>
    <w:rsid w:val="008118DB"/>
    <w:rsid w:val="00812927"/>
    <w:rsid w:val="00812F19"/>
    <w:rsid w:val="008134E9"/>
    <w:rsid w:val="00817185"/>
    <w:rsid w:val="00825DA7"/>
    <w:rsid w:val="00825DF2"/>
    <w:rsid w:val="008262F9"/>
    <w:rsid w:val="008318CE"/>
    <w:rsid w:val="00831EFB"/>
    <w:rsid w:val="0083649B"/>
    <w:rsid w:val="008375CB"/>
    <w:rsid w:val="00837C7A"/>
    <w:rsid w:val="00843C4B"/>
    <w:rsid w:val="008440A4"/>
    <w:rsid w:val="00845066"/>
    <w:rsid w:val="00850BE9"/>
    <w:rsid w:val="0085359C"/>
    <w:rsid w:val="00853C5E"/>
    <w:rsid w:val="008625B2"/>
    <w:rsid w:val="008654CD"/>
    <w:rsid w:val="00866128"/>
    <w:rsid w:val="00866EF9"/>
    <w:rsid w:val="008670B6"/>
    <w:rsid w:val="00870183"/>
    <w:rsid w:val="00870C1A"/>
    <w:rsid w:val="008719B8"/>
    <w:rsid w:val="00872F8F"/>
    <w:rsid w:val="00875045"/>
    <w:rsid w:val="00876C93"/>
    <w:rsid w:val="00877594"/>
    <w:rsid w:val="0088080D"/>
    <w:rsid w:val="00881D6A"/>
    <w:rsid w:val="0088338E"/>
    <w:rsid w:val="008841A2"/>
    <w:rsid w:val="00885556"/>
    <w:rsid w:val="00886CC6"/>
    <w:rsid w:val="008876C5"/>
    <w:rsid w:val="008A34F4"/>
    <w:rsid w:val="008A4C2A"/>
    <w:rsid w:val="008A61E0"/>
    <w:rsid w:val="008A61E8"/>
    <w:rsid w:val="008B01CD"/>
    <w:rsid w:val="008B65DA"/>
    <w:rsid w:val="008B6E11"/>
    <w:rsid w:val="008C3FDD"/>
    <w:rsid w:val="008C47FB"/>
    <w:rsid w:val="008D06D7"/>
    <w:rsid w:val="008D0F3B"/>
    <w:rsid w:val="008D133B"/>
    <w:rsid w:val="008D2D9D"/>
    <w:rsid w:val="008D716A"/>
    <w:rsid w:val="008D7F27"/>
    <w:rsid w:val="008E2478"/>
    <w:rsid w:val="008E3062"/>
    <w:rsid w:val="008E4B9B"/>
    <w:rsid w:val="008E59DB"/>
    <w:rsid w:val="008E70B0"/>
    <w:rsid w:val="008E7C76"/>
    <w:rsid w:val="008E7E3E"/>
    <w:rsid w:val="008F040F"/>
    <w:rsid w:val="008F4A87"/>
    <w:rsid w:val="008F65FF"/>
    <w:rsid w:val="008F78B0"/>
    <w:rsid w:val="00902849"/>
    <w:rsid w:val="00902B5C"/>
    <w:rsid w:val="0090489F"/>
    <w:rsid w:val="00905970"/>
    <w:rsid w:val="0090630A"/>
    <w:rsid w:val="009068BC"/>
    <w:rsid w:val="009074DA"/>
    <w:rsid w:val="0091028E"/>
    <w:rsid w:val="009111C3"/>
    <w:rsid w:val="00912040"/>
    <w:rsid w:val="009133C3"/>
    <w:rsid w:val="009146BA"/>
    <w:rsid w:val="0091622F"/>
    <w:rsid w:val="0091711C"/>
    <w:rsid w:val="009179CC"/>
    <w:rsid w:val="009205CF"/>
    <w:rsid w:val="0092122E"/>
    <w:rsid w:val="00927FBE"/>
    <w:rsid w:val="00931392"/>
    <w:rsid w:val="009347FE"/>
    <w:rsid w:val="009404BA"/>
    <w:rsid w:val="00941181"/>
    <w:rsid w:val="00941BD6"/>
    <w:rsid w:val="00944599"/>
    <w:rsid w:val="00947335"/>
    <w:rsid w:val="0095002A"/>
    <w:rsid w:val="009510A0"/>
    <w:rsid w:val="00953AA6"/>
    <w:rsid w:val="009564FF"/>
    <w:rsid w:val="00957DDF"/>
    <w:rsid w:val="00962FE4"/>
    <w:rsid w:val="0096727C"/>
    <w:rsid w:val="00971A35"/>
    <w:rsid w:val="0097261D"/>
    <w:rsid w:val="00976090"/>
    <w:rsid w:val="009772F9"/>
    <w:rsid w:val="00977859"/>
    <w:rsid w:val="00981253"/>
    <w:rsid w:val="00981C10"/>
    <w:rsid w:val="00982BE1"/>
    <w:rsid w:val="00983E9D"/>
    <w:rsid w:val="009864B5"/>
    <w:rsid w:val="0098724C"/>
    <w:rsid w:val="00990442"/>
    <w:rsid w:val="00997851"/>
    <w:rsid w:val="009A0937"/>
    <w:rsid w:val="009A0B82"/>
    <w:rsid w:val="009A2465"/>
    <w:rsid w:val="009A2642"/>
    <w:rsid w:val="009A3C3A"/>
    <w:rsid w:val="009A50AD"/>
    <w:rsid w:val="009A66D2"/>
    <w:rsid w:val="009A7B21"/>
    <w:rsid w:val="009A7D21"/>
    <w:rsid w:val="009B0097"/>
    <w:rsid w:val="009B149D"/>
    <w:rsid w:val="009B274C"/>
    <w:rsid w:val="009B3A17"/>
    <w:rsid w:val="009B4E52"/>
    <w:rsid w:val="009B5F39"/>
    <w:rsid w:val="009B650C"/>
    <w:rsid w:val="009B7517"/>
    <w:rsid w:val="009C0309"/>
    <w:rsid w:val="009C0D3B"/>
    <w:rsid w:val="009C0D80"/>
    <w:rsid w:val="009C0D81"/>
    <w:rsid w:val="009D000E"/>
    <w:rsid w:val="009D1AFB"/>
    <w:rsid w:val="009D54DA"/>
    <w:rsid w:val="009D690B"/>
    <w:rsid w:val="009E0D60"/>
    <w:rsid w:val="009E4492"/>
    <w:rsid w:val="009E709C"/>
    <w:rsid w:val="009F34AA"/>
    <w:rsid w:val="009F4134"/>
    <w:rsid w:val="009F52D7"/>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6D3F"/>
    <w:rsid w:val="00A2788D"/>
    <w:rsid w:val="00A30796"/>
    <w:rsid w:val="00A30AFF"/>
    <w:rsid w:val="00A3190B"/>
    <w:rsid w:val="00A31FAF"/>
    <w:rsid w:val="00A367B8"/>
    <w:rsid w:val="00A379FF"/>
    <w:rsid w:val="00A37C7F"/>
    <w:rsid w:val="00A402FA"/>
    <w:rsid w:val="00A41A26"/>
    <w:rsid w:val="00A44AD5"/>
    <w:rsid w:val="00A46C3E"/>
    <w:rsid w:val="00A471B4"/>
    <w:rsid w:val="00A52160"/>
    <w:rsid w:val="00A523F8"/>
    <w:rsid w:val="00A538A3"/>
    <w:rsid w:val="00A539A5"/>
    <w:rsid w:val="00A54A27"/>
    <w:rsid w:val="00A60E55"/>
    <w:rsid w:val="00A61E7A"/>
    <w:rsid w:val="00A62A2D"/>
    <w:rsid w:val="00A635C3"/>
    <w:rsid w:val="00A65617"/>
    <w:rsid w:val="00A662CE"/>
    <w:rsid w:val="00A67548"/>
    <w:rsid w:val="00A71465"/>
    <w:rsid w:val="00A71D46"/>
    <w:rsid w:val="00A73198"/>
    <w:rsid w:val="00A746A9"/>
    <w:rsid w:val="00A758CA"/>
    <w:rsid w:val="00A76C25"/>
    <w:rsid w:val="00A77323"/>
    <w:rsid w:val="00A777C9"/>
    <w:rsid w:val="00A80E98"/>
    <w:rsid w:val="00A815A7"/>
    <w:rsid w:val="00A815BD"/>
    <w:rsid w:val="00A81A60"/>
    <w:rsid w:val="00A8365B"/>
    <w:rsid w:val="00A84FC4"/>
    <w:rsid w:val="00A85603"/>
    <w:rsid w:val="00A85948"/>
    <w:rsid w:val="00A905C4"/>
    <w:rsid w:val="00A909E3"/>
    <w:rsid w:val="00A91D62"/>
    <w:rsid w:val="00A920C6"/>
    <w:rsid w:val="00A92195"/>
    <w:rsid w:val="00A94236"/>
    <w:rsid w:val="00A957DD"/>
    <w:rsid w:val="00A95DB8"/>
    <w:rsid w:val="00A95DF4"/>
    <w:rsid w:val="00A96B37"/>
    <w:rsid w:val="00A96FA0"/>
    <w:rsid w:val="00A970B7"/>
    <w:rsid w:val="00A9781E"/>
    <w:rsid w:val="00AA240A"/>
    <w:rsid w:val="00AA401C"/>
    <w:rsid w:val="00AB199B"/>
    <w:rsid w:val="00AB5BEE"/>
    <w:rsid w:val="00AB64F5"/>
    <w:rsid w:val="00AB6ADC"/>
    <w:rsid w:val="00AC02E8"/>
    <w:rsid w:val="00AC3046"/>
    <w:rsid w:val="00AC531E"/>
    <w:rsid w:val="00AC563B"/>
    <w:rsid w:val="00AC668A"/>
    <w:rsid w:val="00AC6848"/>
    <w:rsid w:val="00AC7A5D"/>
    <w:rsid w:val="00AD1437"/>
    <w:rsid w:val="00AD2DB3"/>
    <w:rsid w:val="00AD53F6"/>
    <w:rsid w:val="00AD70E3"/>
    <w:rsid w:val="00AE2FF3"/>
    <w:rsid w:val="00AE3CE4"/>
    <w:rsid w:val="00AE68EF"/>
    <w:rsid w:val="00AE6B19"/>
    <w:rsid w:val="00AF0495"/>
    <w:rsid w:val="00AF1570"/>
    <w:rsid w:val="00AF17CE"/>
    <w:rsid w:val="00AF4DF0"/>
    <w:rsid w:val="00AF678E"/>
    <w:rsid w:val="00B0114A"/>
    <w:rsid w:val="00B01E09"/>
    <w:rsid w:val="00B01EFF"/>
    <w:rsid w:val="00B05448"/>
    <w:rsid w:val="00B05A6E"/>
    <w:rsid w:val="00B11C95"/>
    <w:rsid w:val="00B11CDD"/>
    <w:rsid w:val="00B13577"/>
    <w:rsid w:val="00B20006"/>
    <w:rsid w:val="00B260CF"/>
    <w:rsid w:val="00B2775E"/>
    <w:rsid w:val="00B349A8"/>
    <w:rsid w:val="00B36482"/>
    <w:rsid w:val="00B3649A"/>
    <w:rsid w:val="00B36C1F"/>
    <w:rsid w:val="00B37EA7"/>
    <w:rsid w:val="00B4060E"/>
    <w:rsid w:val="00B40C0E"/>
    <w:rsid w:val="00B41F1E"/>
    <w:rsid w:val="00B43D4E"/>
    <w:rsid w:val="00B45C9A"/>
    <w:rsid w:val="00B468DC"/>
    <w:rsid w:val="00B46B26"/>
    <w:rsid w:val="00B47F27"/>
    <w:rsid w:val="00B514D7"/>
    <w:rsid w:val="00B53D31"/>
    <w:rsid w:val="00B555BE"/>
    <w:rsid w:val="00B5746F"/>
    <w:rsid w:val="00B6042B"/>
    <w:rsid w:val="00B625B1"/>
    <w:rsid w:val="00B66D33"/>
    <w:rsid w:val="00B70EBD"/>
    <w:rsid w:val="00B75425"/>
    <w:rsid w:val="00B76887"/>
    <w:rsid w:val="00B81142"/>
    <w:rsid w:val="00B81DB5"/>
    <w:rsid w:val="00B8518F"/>
    <w:rsid w:val="00B914F5"/>
    <w:rsid w:val="00B9193B"/>
    <w:rsid w:val="00B92CE8"/>
    <w:rsid w:val="00B93149"/>
    <w:rsid w:val="00B97642"/>
    <w:rsid w:val="00BA16D7"/>
    <w:rsid w:val="00BA216E"/>
    <w:rsid w:val="00BA5D51"/>
    <w:rsid w:val="00BA7C89"/>
    <w:rsid w:val="00BB00D7"/>
    <w:rsid w:val="00BB1D4A"/>
    <w:rsid w:val="00BB31C4"/>
    <w:rsid w:val="00BB32ED"/>
    <w:rsid w:val="00BB767A"/>
    <w:rsid w:val="00BC1A75"/>
    <w:rsid w:val="00BC1CA5"/>
    <w:rsid w:val="00BC1F01"/>
    <w:rsid w:val="00BC261C"/>
    <w:rsid w:val="00BC3A03"/>
    <w:rsid w:val="00BC78E4"/>
    <w:rsid w:val="00BD08CE"/>
    <w:rsid w:val="00BD2411"/>
    <w:rsid w:val="00BD5D21"/>
    <w:rsid w:val="00BE112D"/>
    <w:rsid w:val="00BE17F4"/>
    <w:rsid w:val="00BE291E"/>
    <w:rsid w:val="00BE3AA6"/>
    <w:rsid w:val="00BE4A36"/>
    <w:rsid w:val="00BF55DA"/>
    <w:rsid w:val="00BF6499"/>
    <w:rsid w:val="00C0192B"/>
    <w:rsid w:val="00C02C72"/>
    <w:rsid w:val="00C056EE"/>
    <w:rsid w:val="00C0637E"/>
    <w:rsid w:val="00C161EC"/>
    <w:rsid w:val="00C21572"/>
    <w:rsid w:val="00C21D06"/>
    <w:rsid w:val="00C23642"/>
    <w:rsid w:val="00C25263"/>
    <w:rsid w:val="00C26F9E"/>
    <w:rsid w:val="00C31687"/>
    <w:rsid w:val="00C362D6"/>
    <w:rsid w:val="00C36348"/>
    <w:rsid w:val="00C370F8"/>
    <w:rsid w:val="00C44419"/>
    <w:rsid w:val="00C44510"/>
    <w:rsid w:val="00C44D0C"/>
    <w:rsid w:val="00C45092"/>
    <w:rsid w:val="00C4595C"/>
    <w:rsid w:val="00C45FB0"/>
    <w:rsid w:val="00C45FE1"/>
    <w:rsid w:val="00C46866"/>
    <w:rsid w:val="00C468A6"/>
    <w:rsid w:val="00C47E14"/>
    <w:rsid w:val="00C50955"/>
    <w:rsid w:val="00C54C2A"/>
    <w:rsid w:val="00C60088"/>
    <w:rsid w:val="00C6114C"/>
    <w:rsid w:val="00C67133"/>
    <w:rsid w:val="00C719E0"/>
    <w:rsid w:val="00C71DA6"/>
    <w:rsid w:val="00C73326"/>
    <w:rsid w:val="00C81E4D"/>
    <w:rsid w:val="00C82888"/>
    <w:rsid w:val="00C85DC7"/>
    <w:rsid w:val="00C91F3F"/>
    <w:rsid w:val="00C96DC6"/>
    <w:rsid w:val="00CA2A4A"/>
    <w:rsid w:val="00CA430A"/>
    <w:rsid w:val="00CB15CA"/>
    <w:rsid w:val="00CB1BD9"/>
    <w:rsid w:val="00CB24FB"/>
    <w:rsid w:val="00CB4E38"/>
    <w:rsid w:val="00CC095B"/>
    <w:rsid w:val="00CC1AE3"/>
    <w:rsid w:val="00CC2EEE"/>
    <w:rsid w:val="00CC3761"/>
    <w:rsid w:val="00CC438F"/>
    <w:rsid w:val="00CC60DD"/>
    <w:rsid w:val="00CD1E7E"/>
    <w:rsid w:val="00CD2672"/>
    <w:rsid w:val="00CD282C"/>
    <w:rsid w:val="00CD3925"/>
    <w:rsid w:val="00CD5102"/>
    <w:rsid w:val="00CD6DFF"/>
    <w:rsid w:val="00CD70E5"/>
    <w:rsid w:val="00CD76E3"/>
    <w:rsid w:val="00CE066E"/>
    <w:rsid w:val="00CE37CF"/>
    <w:rsid w:val="00CE3D75"/>
    <w:rsid w:val="00CF2E10"/>
    <w:rsid w:val="00CF4593"/>
    <w:rsid w:val="00CF4F8E"/>
    <w:rsid w:val="00CF4FAD"/>
    <w:rsid w:val="00CF7472"/>
    <w:rsid w:val="00D013E4"/>
    <w:rsid w:val="00D013F1"/>
    <w:rsid w:val="00D03C4A"/>
    <w:rsid w:val="00D052C4"/>
    <w:rsid w:val="00D06DB3"/>
    <w:rsid w:val="00D14AA8"/>
    <w:rsid w:val="00D16EC7"/>
    <w:rsid w:val="00D16EDA"/>
    <w:rsid w:val="00D1704D"/>
    <w:rsid w:val="00D212B2"/>
    <w:rsid w:val="00D21F95"/>
    <w:rsid w:val="00D23910"/>
    <w:rsid w:val="00D23C47"/>
    <w:rsid w:val="00D24476"/>
    <w:rsid w:val="00D24789"/>
    <w:rsid w:val="00D25691"/>
    <w:rsid w:val="00D26528"/>
    <w:rsid w:val="00D32556"/>
    <w:rsid w:val="00D33D18"/>
    <w:rsid w:val="00D35341"/>
    <w:rsid w:val="00D35916"/>
    <w:rsid w:val="00D404BB"/>
    <w:rsid w:val="00D45205"/>
    <w:rsid w:val="00D45AE5"/>
    <w:rsid w:val="00D53E70"/>
    <w:rsid w:val="00D54597"/>
    <w:rsid w:val="00D54AD4"/>
    <w:rsid w:val="00D55F4C"/>
    <w:rsid w:val="00D57E3F"/>
    <w:rsid w:val="00D6071C"/>
    <w:rsid w:val="00D6174A"/>
    <w:rsid w:val="00D6226A"/>
    <w:rsid w:val="00D62C13"/>
    <w:rsid w:val="00D63BED"/>
    <w:rsid w:val="00D65E3F"/>
    <w:rsid w:val="00D67A4E"/>
    <w:rsid w:val="00D72039"/>
    <w:rsid w:val="00D73788"/>
    <w:rsid w:val="00D7518A"/>
    <w:rsid w:val="00D76111"/>
    <w:rsid w:val="00D77040"/>
    <w:rsid w:val="00D81792"/>
    <w:rsid w:val="00D81F8C"/>
    <w:rsid w:val="00D83465"/>
    <w:rsid w:val="00D8399F"/>
    <w:rsid w:val="00D86EDD"/>
    <w:rsid w:val="00D874C2"/>
    <w:rsid w:val="00D919EB"/>
    <w:rsid w:val="00D9370A"/>
    <w:rsid w:val="00D95D30"/>
    <w:rsid w:val="00D9769A"/>
    <w:rsid w:val="00DA179D"/>
    <w:rsid w:val="00DA368C"/>
    <w:rsid w:val="00DB1A1D"/>
    <w:rsid w:val="00DC0FC6"/>
    <w:rsid w:val="00DC195E"/>
    <w:rsid w:val="00DC1C3F"/>
    <w:rsid w:val="00DC3C9C"/>
    <w:rsid w:val="00DC5B95"/>
    <w:rsid w:val="00DC7794"/>
    <w:rsid w:val="00DD17BF"/>
    <w:rsid w:val="00DD24BC"/>
    <w:rsid w:val="00DD2F3B"/>
    <w:rsid w:val="00DE1E28"/>
    <w:rsid w:val="00DE4A19"/>
    <w:rsid w:val="00DF2173"/>
    <w:rsid w:val="00DF2EFD"/>
    <w:rsid w:val="00DF32C1"/>
    <w:rsid w:val="00DF50EA"/>
    <w:rsid w:val="00DF54A1"/>
    <w:rsid w:val="00E003FD"/>
    <w:rsid w:val="00E02AA6"/>
    <w:rsid w:val="00E055EB"/>
    <w:rsid w:val="00E067D3"/>
    <w:rsid w:val="00E06DE2"/>
    <w:rsid w:val="00E11653"/>
    <w:rsid w:val="00E16AA6"/>
    <w:rsid w:val="00E20A8C"/>
    <w:rsid w:val="00E21D3D"/>
    <w:rsid w:val="00E2214E"/>
    <w:rsid w:val="00E2253F"/>
    <w:rsid w:val="00E23718"/>
    <w:rsid w:val="00E2451D"/>
    <w:rsid w:val="00E247AF"/>
    <w:rsid w:val="00E2584A"/>
    <w:rsid w:val="00E30778"/>
    <w:rsid w:val="00E3128E"/>
    <w:rsid w:val="00E32BCB"/>
    <w:rsid w:val="00E33570"/>
    <w:rsid w:val="00E34F2B"/>
    <w:rsid w:val="00E36ACE"/>
    <w:rsid w:val="00E378FA"/>
    <w:rsid w:val="00E41813"/>
    <w:rsid w:val="00E42072"/>
    <w:rsid w:val="00E446E9"/>
    <w:rsid w:val="00E452AD"/>
    <w:rsid w:val="00E45D34"/>
    <w:rsid w:val="00E479A9"/>
    <w:rsid w:val="00E47EF5"/>
    <w:rsid w:val="00E50861"/>
    <w:rsid w:val="00E5257E"/>
    <w:rsid w:val="00E55CA1"/>
    <w:rsid w:val="00E60FD0"/>
    <w:rsid w:val="00E639C1"/>
    <w:rsid w:val="00E6482B"/>
    <w:rsid w:val="00E65783"/>
    <w:rsid w:val="00E66703"/>
    <w:rsid w:val="00E671BB"/>
    <w:rsid w:val="00E73789"/>
    <w:rsid w:val="00E77B37"/>
    <w:rsid w:val="00E82BC7"/>
    <w:rsid w:val="00E84924"/>
    <w:rsid w:val="00E84CC3"/>
    <w:rsid w:val="00E86154"/>
    <w:rsid w:val="00E956BD"/>
    <w:rsid w:val="00EA4671"/>
    <w:rsid w:val="00EA71DD"/>
    <w:rsid w:val="00EB139E"/>
    <w:rsid w:val="00EB5B36"/>
    <w:rsid w:val="00ED5002"/>
    <w:rsid w:val="00ED53B3"/>
    <w:rsid w:val="00ED6C5D"/>
    <w:rsid w:val="00EE06F3"/>
    <w:rsid w:val="00EE1C0B"/>
    <w:rsid w:val="00EE3495"/>
    <w:rsid w:val="00EE43EB"/>
    <w:rsid w:val="00EE48DB"/>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4D32"/>
    <w:rsid w:val="00F151AF"/>
    <w:rsid w:val="00F1588C"/>
    <w:rsid w:val="00F1735C"/>
    <w:rsid w:val="00F25354"/>
    <w:rsid w:val="00F25DDC"/>
    <w:rsid w:val="00F40548"/>
    <w:rsid w:val="00F40A70"/>
    <w:rsid w:val="00F42414"/>
    <w:rsid w:val="00F43408"/>
    <w:rsid w:val="00F43903"/>
    <w:rsid w:val="00F51EDB"/>
    <w:rsid w:val="00F52FCB"/>
    <w:rsid w:val="00F53741"/>
    <w:rsid w:val="00F54376"/>
    <w:rsid w:val="00F544DE"/>
    <w:rsid w:val="00F5591A"/>
    <w:rsid w:val="00F55E8F"/>
    <w:rsid w:val="00F55EEF"/>
    <w:rsid w:val="00F568E8"/>
    <w:rsid w:val="00F576A6"/>
    <w:rsid w:val="00F66305"/>
    <w:rsid w:val="00F67A61"/>
    <w:rsid w:val="00F67CAE"/>
    <w:rsid w:val="00F67DE6"/>
    <w:rsid w:val="00F748AD"/>
    <w:rsid w:val="00F767FC"/>
    <w:rsid w:val="00F8142C"/>
    <w:rsid w:val="00F83C51"/>
    <w:rsid w:val="00F8454E"/>
    <w:rsid w:val="00F858A5"/>
    <w:rsid w:val="00F86712"/>
    <w:rsid w:val="00F871A9"/>
    <w:rsid w:val="00F87E02"/>
    <w:rsid w:val="00F9218E"/>
    <w:rsid w:val="00F933A0"/>
    <w:rsid w:val="00F9343C"/>
    <w:rsid w:val="00F94558"/>
    <w:rsid w:val="00F94ED8"/>
    <w:rsid w:val="00F954B1"/>
    <w:rsid w:val="00F96734"/>
    <w:rsid w:val="00F970AC"/>
    <w:rsid w:val="00FA3E03"/>
    <w:rsid w:val="00FA4FF1"/>
    <w:rsid w:val="00FA73E8"/>
    <w:rsid w:val="00FA744E"/>
    <w:rsid w:val="00FB328A"/>
    <w:rsid w:val="00FB4C4E"/>
    <w:rsid w:val="00FB6DF8"/>
    <w:rsid w:val="00FB780B"/>
    <w:rsid w:val="00FB79F5"/>
    <w:rsid w:val="00FC5365"/>
    <w:rsid w:val="00FC7FE5"/>
    <w:rsid w:val="00FD0187"/>
    <w:rsid w:val="00FD1C76"/>
    <w:rsid w:val="00FD71FE"/>
    <w:rsid w:val="00FD7F23"/>
    <w:rsid w:val="00FE0234"/>
    <w:rsid w:val="00FE1885"/>
    <w:rsid w:val="00FE2D82"/>
    <w:rsid w:val="00FE70D9"/>
    <w:rsid w:val="00FE7A7D"/>
    <w:rsid w:val="00FE7D91"/>
    <w:rsid w:val="00FF0191"/>
    <w:rsid w:val="00FF1F31"/>
    <w:rsid w:val="00FF3365"/>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iPriority w:val="9"/>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iPriority w:val="9"/>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iPriority w:val="9"/>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iPriority w:val="9"/>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6">
    <w:name w:val="heading 6"/>
    <w:basedOn w:val="Normal"/>
    <w:link w:val="Heading6Char"/>
    <w:uiPriority w:val="9"/>
    <w:unhideWhenUsed/>
    <w:qFormat/>
    <w:rsid w:val="00274B51"/>
    <w:pPr>
      <w:widowControl w:val="0"/>
      <w:autoSpaceDE w:val="0"/>
      <w:autoSpaceDN w:val="0"/>
      <w:spacing w:before="70"/>
      <w:ind w:left="134"/>
      <w:outlineLvl w:val="5"/>
    </w:pPr>
    <w:rPr>
      <w:b/>
      <w:bCs/>
      <w:sz w:val="25"/>
      <w:szCs w:val="25"/>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uiPriority w:val="9"/>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uiPriority w:val="9"/>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uiPriority w:val="9"/>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34"/>
    <w:qFormat/>
    <w:rsid w:val="0022450E"/>
    <w:pPr>
      <w:ind w:left="720"/>
      <w:contextualSpacing/>
    </w:pPr>
  </w:style>
  <w:style w:type="paragraph" w:styleId="BalloonText">
    <w:name w:val="Balloon Text"/>
    <w:basedOn w:val="Normal"/>
    <w:link w:val="BalloonTextChar"/>
    <w:uiPriority w:val="99"/>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rsid w:val="00272B80"/>
    <w:rPr>
      <w:rFonts w:ascii="Segoe UI" w:eastAsia="Times New Roman" w:hAnsi="Segoe UI" w:cs="Segoe UI"/>
      <w:sz w:val="18"/>
      <w:szCs w:val="18"/>
      <w:lang w:val="en-US"/>
    </w:rPr>
  </w:style>
  <w:style w:type="paragraph" w:styleId="Header">
    <w:name w:val="header"/>
    <w:basedOn w:val="Normal"/>
    <w:link w:val="HeaderChar"/>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uiPriority w:val="1"/>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aliases w:val="Footnote Text Char1,Footnote Text Char Char,Footnote Text Char1 Char,Footnote Text Char Char Char,Footnote Text Char Char1,Char Char Char,Char Char,Footnote Text Char1 Char1 Char1 Char Char,Footnote Text Cha,Char, Char Char Char, Char Char"/>
    <w:basedOn w:val="Normal"/>
    <w:link w:val="FootnoteTextChar"/>
    <w:uiPriority w:val="99"/>
    <w:unhideWhenUsed/>
    <w:qFormat/>
    <w:rsid w:val="002C5111"/>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 Char Char,Char Char Char1,Footnote Text Char1 Char1 Char1 Char Char Char"/>
    <w:basedOn w:val="DefaultParagraphFont"/>
    <w:link w:val="FootnoteText"/>
    <w:uiPriority w:val="99"/>
    <w:rsid w:val="002C5111"/>
    <w:rPr>
      <w:rFonts w:ascii="Times New Roman" w:eastAsia="Times New Roman" w:hAnsi="Times New Roman" w:cs="Times New Roman"/>
      <w:sz w:val="20"/>
      <w:szCs w:val="20"/>
      <w:lang w:val="en-US"/>
    </w:rPr>
  </w:style>
  <w:style w:type="character" w:styleId="FootnoteReference">
    <w:name w:val="footnote reference"/>
    <w:aliases w:val="Footnote Reference + Superscript,Ref,de nota al pie,註腳內容,Appel note de bas de page,Footnotes refss,(NECG) Footnote Reference,fr,Heading 6 Char1,do not use4 Char1,Footnote symbol,Style 12,Footnote,4_G"/>
    <w:basedOn w:val="DefaultParagraphFont"/>
    <w:uiPriority w:val="99"/>
    <w:unhideWhenUsed/>
    <w:qFormat/>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uiPriority w:val="9"/>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uiPriority w:val="99"/>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uiPriority w:val="99"/>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uiPriority w:val="99"/>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uiPriority w:val="99"/>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nhideWhenUsed/>
    <w:rsid w:val="00304FDE"/>
    <w:rPr>
      <w:rFonts w:ascii="Courier New" w:hAnsi="Courier New"/>
      <w:sz w:val="20"/>
      <w:szCs w:val="20"/>
      <w:lang w:val="af-ZA"/>
    </w:rPr>
  </w:style>
  <w:style w:type="character" w:customStyle="1" w:styleId="PlainTextChar">
    <w:name w:val="Plain Text Char"/>
    <w:basedOn w:val="DefaultParagraphFont"/>
    <w:link w:val="PlainText"/>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34"/>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 w:type="paragraph" w:styleId="Revision">
    <w:name w:val="Revision"/>
    <w:hidden/>
    <w:uiPriority w:val="99"/>
    <w:semiHidden/>
    <w:rsid w:val="008D7F27"/>
    <w:pPr>
      <w:spacing w:after="0" w:line="240" w:lineRule="auto"/>
    </w:pPr>
    <w:rPr>
      <w:rFonts w:ascii="Times New Roman" w:eastAsia="Times New Roman" w:hAnsi="Times New Roman" w:cs="Times New Roman"/>
      <w:sz w:val="24"/>
      <w:szCs w:val="24"/>
      <w:lang w:val="en-US"/>
    </w:rPr>
  </w:style>
  <w:style w:type="paragraph" w:customStyle="1" w:styleId="JUDGMENTNUMBERED">
    <w:name w:val="JUDGMENT NUMBERED"/>
    <w:basedOn w:val="Normal"/>
    <w:next w:val="Normal"/>
    <w:link w:val="JUDGMENTNUMBEREDChar"/>
    <w:qFormat/>
    <w:rsid w:val="00626D6B"/>
    <w:pPr>
      <w:numPr>
        <w:numId w:val="1"/>
      </w:numPr>
      <w:tabs>
        <w:tab w:val="left" w:pos="680"/>
      </w:tabs>
      <w:spacing w:line="480" w:lineRule="auto"/>
      <w:jc w:val="both"/>
    </w:pPr>
    <w:rPr>
      <w:sz w:val="26"/>
      <w:szCs w:val="22"/>
      <w:lang w:val="x-none"/>
    </w:rPr>
  </w:style>
  <w:style w:type="character" w:customStyle="1" w:styleId="JUDGMENTNUMBEREDChar">
    <w:name w:val="JUDGMENT NUMBERED Char"/>
    <w:link w:val="JUDGMENTNUMBERED"/>
    <w:locked/>
    <w:rsid w:val="00626D6B"/>
    <w:rPr>
      <w:rFonts w:ascii="Times New Roman" w:eastAsia="Times New Roman" w:hAnsi="Times New Roman" w:cs="Times New Roman"/>
      <w:sz w:val="26"/>
      <w:lang w:val="x-none"/>
    </w:rPr>
  </w:style>
  <w:style w:type="numbering" w:customStyle="1" w:styleId="CurrentList1">
    <w:name w:val="Current List1"/>
    <w:uiPriority w:val="99"/>
    <w:rsid w:val="00866128"/>
    <w:pPr>
      <w:numPr>
        <w:numId w:val="2"/>
      </w:numPr>
    </w:pPr>
  </w:style>
  <w:style w:type="paragraph" w:customStyle="1" w:styleId="TableParagraph">
    <w:name w:val="Table Paragraph"/>
    <w:basedOn w:val="Normal"/>
    <w:uiPriority w:val="1"/>
    <w:qFormat/>
    <w:rsid w:val="00194688"/>
    <w:pPr>
      <w:widowControl w:val="0"/>
      <w:autoSpaceDE w:val="0"/>
      <w:autoSpaceDN w:val="0"/>
    </w:pPr>
    <w:rPr>
      <w:rFonts w:ascii="Arial" w:eastAsia="Arial" w:hAnsi="Arial" w:cs="Arial"/>
      <w:sz w:val="22"/>
      <w:szCs w:val="22"/>
    </w:rPr>
  </w:style>
  <w:style w:type="character" w:customStyle="1" w:styleId="footnoteanchor">
    <w:name w:val="footnoteanchor"/>
    <w:basedOn w:val="DefaultParagraphFont"/>
    <w:rsid w:val="00BC78E4"/>
  </w:style>
  <w:style w:type="character" w:customStyle="1" w:styleId="Heading6Char">
    <w:name w:val="Heading 6 Char"/>
    <w:basedOn w:val="DefaultParagraphFont"/>
    <w:link w:val="Heading6"/>
    <w:uiPriority w:val="9"/>
    <w:rsid w:val="00274B51"/>
    <w:rPr>
      <w:rFonts w:ascii="Times New Roman" w:eastAsia="Times New Roman" w:hAnsi="Times New Roman" w:cs="Times New Roman"/>
      <w:b/>
      <w:bCs/>
      <w:sz w:val="25"/>
      <w:szCs w:val="25"/>
      <w:lang w:val="en-US"/>
    </w:rPr>
  </w:style>
  <w:style w:type="paragraph" w:customStyle="1" w:styleId="Style1">
    <w:name w:val="Style1"/>
    <w:basedOn w:val="Normal"/>
    <w:rsid w:val="00274B51"/>
    <w:pPr>
      <w:numPr>
        <w:numId w:val="3"/>
      </w:numPr>
      <w:spacing w:before="360" w:after="240" w:line="480" w:lineRule="auto"/>
    </w:pPr>
    <w:rPr>
      <w:rFonts w:ascii="Arial" w:hAnsi="Arial" w:cs="Arial"/>
      <w:lang w:eastAsia="en-ZA"/>
    </w:rPr>
  </w:style>
  <w:style w:type="paragraph" w:customStyle="1" w:styleId="Style2">
    <w:name w:val="Style2"/>
    <w:basedOn w:val="Normal"/>
    <w:rsid w:val="00274B51"/>
    <w:pPr>
      <w:numPr>
        <w:ilvl w:val="1"/>
        <w:numId w:val="3"/>
      </w:numPr>
      <w:spacing w:before="360" w:after="240" w:line="480" w:lineRule="auto"/>
    </w:pPr>
    <w:rPr>
      <w:rFonts w:ascii="Arial" w:hAnsi="Arial" w:cs="Arial"/>
      <w:lang w:eastAsia="en-ZA"/>
    </w:rPr>
  </w:style>
  <w:style w:type="paragraph" w:customStyle="1" w:styleId="Style3">
    <w:name w:val="Style3"/>
    <w:basedOn w:val="Normal"/>
    <w:autoRedefine/>
    <w:rsid w:val="00274B51"/>
    <w:pPr>
      <w:numPr>
        <w:ilvl w:val="2"/>
        <w:numId w:val="3"/>
      </w:numPr>
      <w:spacing w:before="360" w:after="240" w:line="480" w:lineRule="auto"/>
      <w:jc w:val="both"/>
    </w:pPr>
    <w:rPr>
      <w:rFonts w:ascii="Arial" w:hAnsi="Arial" w:cs="Arial"/>
      <w:lang w:eastAsia="en-ZA"/>
    </w:rPr>
  </w:style>
  <w:style w:type="paragraph" w:customStyle="1" w:styleId="GW11">
    <w:name w:val="GW1.1"/>
    <w:basedOn w:val="Normal"/>
    <w:rsid w:val="00274B51"/>
    <w:pPr>
      <w:tabs>
        <w:tab w:val="left" w:pos="288"/>
        <w:tab w:val="left" w:pos="864"/>
        <w:tab w:val="left" w:pos="1584"/>
        <w:tab w:val="left" w:pos="5904"/>
      </w:tabs>
      <w:snapToGrid w:val="0"/>
      <w:ind w:left="288" w:right="713"/>
      <w:jc w:val="both"/>
    </w:pPr>
    <w:rPr>
      <w:rFonts w:ascii="Courier" w:hAnsi="Courier" w:cs="Arial"/>
      <w:szCs w:val="20"/>
      <w:lang w:val="en-ZA" w:eastAsia="en-ZA"/>
    </w:rPr>
  </w:style>
  <w:style w:type="paragraph" w:styleId="BodyTextIndent3">
    <w:name w:val="Body Text Indent 3"/>
    <w:basedOn w:val="Normal"/>
    <w:link w:val="BodyTextIndent3Char"/>
    <w:uiPriority w:val="99"/>
    <w:semiHidden/>
    <w:unhideWhenUsed/>
    <w:rsid w:val="00274B51"/>
    <w:pPr>
      <w:spacing w:after="120"/>
      <w:ind w:left="283"/>
    </w:pPr>
    <w:rPr>
      <w:rFonts w:ascii="Arial" w:hAnsi="Arial" w:cs="Arial"/>
      <w:sz w:val="16"/>
      <w:szCs w:val="16"/>
      <w:lang w:val="en-ZA" w:eastAsia="en-ZA"/>
    </w:rPr>
  </w:style>
  <w:style w:type="character" w:customStyle="1" w:styleId="BodyTextIndent3Char">
    <w:name w:val="Body Text Indent 3 Char"/>
    <w:basedOn w:val="DefaultParagraphFont"/>
    <w:link w:val="BodyTextIndent3"/>
    <w:uiPriority w:val="99"/>
    <w:semiHidden/>
    <w:rsid w:val="00274B51"/>
    <w:rPr>
      <w:rFonts w:ascii="Arial" w:eastAsia="Times New Roman" w:hAnsi="Arial" w:cs="Arial"/>
      <w:sz w:val="16"/>
      <w:szCs w:val="16"/>
      <w:lang w:eastAsia="en-ZA"/>
    </w:rPr>
  </w:style>
  <w:style w:type="paragraph" w:customStyle="1" w:styleId="pra">
    <w:name w:val="pr(a)"/>
    <w:basedOn w:val="Normal"/>
    <w:rsid w:val="00274B51"/>
    <w:pPr>
      <w:tabs>
        <w:tab w:val="left" w:pos="624"/>
      </w:tabs>
      <w:spacing w:before="60" w:line="220" w:lineRule="exact"/>
      <w:ind w:firstLine="198"/>
      <w:jc w:val="both"/>
    </w:pPr>
    <w:rPr>
      <w:rFonts w:ascii="Bembo" w:hAnsi="Bembo" w:cs="Arial"/>
      <w:sz w:val="21"/>
      <w:szCs w:val="20"/>
      <w:lang w:val="en-ZA" w:eastAsia="en-ZA"/>
    </w:rPr>
  </w:style>
  <w:style w:type="paragraph" w:customStyle="1" w:styleId="lrcasename">
    <w:name w:val="lrcasename"/>
    <w:basedOn w:val="Normal"/>
    <w:rsid w:val="00274B51"/>
    <w:pPr>
      <w:spacing w:before="100" w:beforeAutospacing="1" w:after="100" w:afterAutospacing="1"/>
    </w:pPr>
    <w:rPr>
      <w:rFonts w:ascii="Arial" w:hAnsi="Arial" w:cs="Arial"/>
      <w:lang w:val="en-ZA" w:eastAsia="en-ZA"/>
    </w:rPr>
  </w:style>
  <w:style w:type="paragraph" w:customStyle="1" w:styleId="lrheadbolditalic">
    <w:name w:val="lrheadbolditalic"/>
    <w:basedOn w:val="Normal"/>
    <w:rsid w:val="00274B51"/>
    <w:pPr>
      <w:spacing w:before="100" w:beforeAutospacing="1" w:after="100" w:afterAutospacing="1"/>
    </w:pPr>
    <w:rPr>
      <w:rFonts w:ascii="Arial" w:hAnsi="Arial" w:cs="Arial"/>
      <w:lang w:val="en-ZA" w:eastAsia="en-ZA"/>
    </w:rPr>
  </w:style>
  <w:style w:type="paragraph" w:customStyle="1" w:styleId="western">
    <w:name w:val="western"/>
    <w:basedOn w:val="Normal"/>
    <w:rsid w:val="00274B51"/>
    <w:pPr>
      <w:spacing w:before="100" w:beforeAutospacing="1" w:after="100" w:afterAutospacing="1"/>
    </w:pPr>
    <w:rPr>
      <w:rFonts w:ascii="Arial" w:hAnsi="Arial" w:cs="Arial"/>
      <w:lang w:val="en-ZA" w:eastAsia="en-ZA"/>
    </w:rPr>
  </w:style>
  <w:style w:type="paragraph" w:customStyle="1" w:styleId="lrparaindt2hang">
    <w:name w:val="lrparaindt2hang"/>
    <w:basedOn w:val="Normal"/>
    <w:rsid w:val="00274B51"/>
    <w:pPr>
      <w:spacing w:before="100" w:beforeAutospacing="1" w:after="100" w:afterAutospacing="1"/>
    </w:pPr>
    <w:rPr>
      <w:lang w:val="en-ZA" w:eastAsia="en-ZA"/>
    </w:rPr>
  </w:style>
  <w:style w:type="paragraph" w:customStyle="1" w:styleId="msonormal0">
    <w:name w:val="msonormal"/>
    <w:basedOn w:val="Normal"/>
    <w:rsid w:val="00274B51"/>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25220133">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50666182">
      <w:bodyDiv w:val="1"/>
      <w:marLeft w:val="0"/>
      <w:marRight w:val="0"/>
      <w:marTop w:val="0"/>
      <w:marBottom w:val="0"/>
      <w:divBdr>
        <w:top w:val="none" w:sz="0" w:space="0" w:color="auto"/>
        <w:left w:val="none" w:sz="0" w:space="0" w:color="auto"/>
        <w:bottom w:val="none" w:sz="0" w:space="0" w:color="auto"/>
        <w:right w:val="none" w:sz="0" w:space="0" w:color="auto"/>
      </w:divBdr>
      <w:divsChild>
        <w:div w:id="723021733">
          <w:marLeft w:val="0"/>
          <w:marRight w:val="0"/>
          <w:marTop w:val="240"/>
          <w:marBottom w:val="0"/>
          <w:divBdr>
            <w:top w:val="none" w:sz="0" w:space="0" w:color="auto"/>
            <w:left w:val="none" w:sz="0" w:space="0" w:color="auto"/>
            <w:bottom w:val="none" w:sz="0" w:space="0" w:color="auto"/>
            <w:right w:val="none" w:sz="0" w:space="0" w:color="auto"/>
          </w:divBdr>
        </w:div>
        <w:div w:id="695421396">
          <w:marLeft w:val="0"/>
          <w:marRight w:val="0"/>
          <w:marTop w:val="120"/>
          <w:marBottom w:val="0"/>
          <w:divBdr>
            <w:top w:val="none" w:sz="0" w:space="0" w:color="auto"/>
            <w:left w:val="none" w:sz="0" w:space="0" w:color="auto"/>
            <w:bottom w:val="none" w:sz="0" w:space="0" w:color="auto"/>
            <w:right w:val="none" w:sz="0" w:space="0" w:color="auto"/>
          </w:divBdr>
        </w:div>
        <w:div w:id="1494179069">
          <w:marLeft w:val="1134"/>
          <w:marRight w:val="0"/>
          <w:marTop w:val="60"/>
          <w:marBottom w:val="0"/>
          <w:divBdr>
            <w:top w:val="none" w:sz="0" w:space="0" w:color="auto"/>
            <w:left w:val="none" w:sz="0" w:space="0" w:color="auto"/>
            <w:bottom w:val="none" w:sz="0" w:space="0" w:color="auto"/>
            <w:right w:val="none" w:sz="0" w:space="0" w:color="auto"/>
          </w:divBdr>
        </w:div>
        <w:div w:id="1831363881">
          <w:marLeft w:val="1134"/>
          <w:marRight w:val="0"/>
          <w:marTop w:val="60"/>
          <w:marBottom w:val="0"/>
          <w:divBdr>
            <w:top w:val="none" w:sz="0" w:space="0" w:color="auto"/>
            <w:left w:val="none" w:sz="0" w:space="0" w:color="auto"/>
            <w:bottom w:val="none" w:sz="0" w:space="0" w:color="auto"/>
            <w:right w:val="none" w:sz="0" w:space="0" w:color="auto"/>
          </w:divBdr>
        </w:div>
        <w:div w:id="1786578718">
          <w:marLeft w:val="0"/>
          <w:marRight w:val="0"/>
          <w:marTop w:val="120"/>
          <w:marBottom w:val="0"/>
          <w:divBdr>
            <w:top w:val="none" w:sz="0" w:space="0" w:color="auto"/>
            <w:left w:val="none" w:sz="0" w:space="0" w:color="auto"/>
            <w:bottom w:val="none" w:sz="0" w:space="0" w:color="auto"/>
            <w:right w:val="none" w:sz="0" w:space="0" w:color="auto"/>
          </w:divBdr>
        </w:div>
        <w:div w:id="352192752">
          <w:marLeft w:val="1134"/>
          <w:marRight w:val="0"/>
          <w:marTop w:val="60"/>
          <w:marBottom w:val="0"/>
          <w:divBdr>
            <w:top w:val="none" w:sz="0" w:space="0" w:color="auto"/>
            <w:left w:val="none" w:sz="0" w:space="0" w:color="auto"/>
            <w:bottom w:val="none" w:sz="0" w:space="0" w:color="auto"/>
            <w:right w:val="none" w:sz="0" w:space="0" w:color="auto"/>
          </w:divBdr>
        </w:div>
        <w:div w:id="1987279396">
          <w:marLeft w:val="1134"/>
          <w:marRight w:val="0"/>
          <w:marTop w:val="60"/>
          <w:marBottom w:val="0"/>
          <w:divBdr>
            <w:top w:val="none" w:sz="0" w:space="0" w:color="auto"/>
            <w:left w:val="none" w:sz="0" w:space="0" w:color="auto"/>
            <w:bottom w:val="none" w:sz="0" w:space="0" w:color="auto"/>
            <w:right w:val="none" w:sz="0" w:space="0" w:color="auto"/>
          </w:divBdr>
        </w:div>
        <w:div w:id="1512914396">
          <w:marLeft w:val="1134"/>
          <w:marRight w:val="0"/>
          <w:marTop w:val="60"/>
          <w:marBottom w:val="0"/>
          <w:divBdr>
            <w:top w:val="none" w:sz="0" w:space="0" w:color="auto"/>
            <w:left w:val="none" w:sz="0" w:space="0" w:color="auto"/>
            <w:bottom w:val="none" w:sz="0" w:space="0" w:color="auto"/>
            <w:right w:val="none" w:sz="0" w:space="0" w:color="auto"/>
          </w:divBdr>
        </w:div>
        <w:div w:id="872618736">
          <w:marLeft w:val="1871"/>
          <w:marRight w:val="0"/>
          <w:marTop w:val="60"/>
          <w:marBottom w:val="0"/>
          <w:divBdr>
            <w:top w:val="none" w:sz="0" w:space="0" w:color="auto"/>
            <w:left w:val="none" w:sz="0" w:space="0" w:color="auto"/>
            <w:bottom w:val="none" w:sz="0" w:space="0" w:color="auto"/>
            <w:right w:val="none" w:sz="0" w:space="0" w:color="auto"/>
          </w:divBdr>
        </w:div>
        <w:div w:id="1884441854">
          <w:marLeft w:val="1871"/>
          <w:marRight w:val="0"/>
          <w:marTop w:val="60"/>
          <w:marBottom w:val="0"/>
          <w:divBdr>
            <w:top w:val="none" w:sz="0" w:space="0" w:color="auto"/>
            <w:left w:val="none" w:sz="0" w:space="0" w:color="auto"/>
            <w:bottom w:val="none" w:sz="0" w:space="0" w:color="auto"/>
            <w:right w:val="none" w:sz="0" w:space="0" w:color="auto"/>
          </w:divBdr>
        </w:div>
        <w:div w:id="1075394334">
          <w:marLeft w:val="1871"/>
          <w:marRight w:val="0"/>
          <w:marTop w:val="60"/>
          <w:marBottom w:val="0"/>
          <w:divBdr>
            <w:top w:val="none" w:sz="0" w:space="0" w:color="auto"/>
            <w:left w:val="none" w:sz="0" w:space="0" w:color="auto"/>
            <w:bottom w:val="none" w:sz="0" w:space="0" w:color="auto"/>
            <w:right w:val="none" w:sz="0" w:space="0" w:color="auto"/>
          </w:divBdr>
        </w:div>
        <w:div w:id="287206980">
          <w:marLeft w:val="1134"/>
          <w:marRight w:val="0"/>
          <w:marTop w:val="60"/>
          <w:marBottom w:val="0"/>
          <w:divBdr>
            <w:top w:val="none" w:sz="0" w:space="0" w:color="auto"/>
            <w:left w:val="none" w:sz="0" w:space="0" w:color="auto"/>
            <w:bottom w:val="none" w:sz="0" w:space="0" w:color="auto"/>
            <w:right w:val="none" w:sz="0" w:space="0" w:color="auto"/>
          </w:divBdr>
        </w:div>
        <w:div w:id="1293244857">
          <w:marLeft w:val="1134"/>
          <w:marRight w:val="0"/>
          <w:marTop w:val="60"/>
          <w:marBottom w:val="0"/>
          <w:divBdr>
            <w:top w:val="none" w:sz="0" w:space="0" w:color="auto"/>
            <w:left w:val="none" w:sz="0" w:space="0" w:color="auto"/>
            <w:bottom w:val="none" w:sz="0" w:space="0" w:color="auto"/>
            <w:right w:val="none" w:sz="0" w:space="0" w:color="auto"/>
          </w:divBdr>
        </w:div>
        <w:div w:id="553858824">
          <w:marLeft w:val="0"/>
          <w:marRight w:val="0"/>
          <w:marTop w:val="120"/>
          <w:marBottom w:val="0"/>
          <w:divBdr>
            <w:top w:val="none" w:sz="0" w:space="0" w:color="auto"/>
            <w:left w:val="none" w:sz="0" w:space="0" w:color="auto"/>
            <w:bottom w:val="none" w:sz="0" w:space="0" w:color="auto"/>
            <w:right w:val="none" w:sz="0" w:space="0" w:color="auto"/>
          </w:divBdr>
        </w:div>
        <w:div w:id="1442335814">
          <w:marLeft w:val="0"/>
          <w:marRight w:val="0"/>
          <w:marTop w:val="120"/>
          <w:marBottom w:val="0"/>
          <w:divBdr>
            <w:top w:val="none" w:sz="0" w:space="0" w:color="auto"/>
            <w:left w:val="none" w:sz="0" w:space="0" w:color="auto"/>
            <w:bottom w:val="none" w:sz="0" w:space="0" w:color="auto"/>
            <w:right w:val="none" w:sz="0" w:space="0" w:color="auto"/>
          </w:divBdr>
        </w:div>
        <w:div w:id="1190608952">
          <w:marLeft w:val="0"/>
          <w:marRight w:val="0"/>
          <w:marTop w:val="120"/>
          <w:marBottom w:val="0"/>
          <w:divBdr>
            <w:top w:val="none" w:sz="0" w:space="0" w:color="auto"/>
            <w:left w:val="none" w:sz="0" w:space="0" w:color="auto"/>
            <w:bottom w:val="none" w:sz="0" w:space="0" w:color="auto"/>
            <w:right w:val="none" w:sz="0" w:space="0" w:color="auto"/>
          </w:divBdr>
        </w:div>
      </w:divsChild>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51847596">
      <w:bodyDiv w:val="1"/>
      <w:marLeft w:val="0"/>
      <w:marRight w:val="0"/>
      <w:marTop w:val="0"/>
      <w:marBottom w:val="0"/>
      <w:divBdr>
        <w:top w:val="none" w:sz="0" w:space="0" w:color="auto"/>
        <w:left w:val="none" w:sz="0" w:space="0" w:color="auto"/>
        <w:bottom w:val="none" w:sz="0" w:space="0" w:color="auto"/>
        <w:right w:val="none" w:sz="0" w:space="0" w:color="auto"/>
      </w:divBdr>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609116903">
      <w:bodyDiv w:val="1"/>
      <w:marLeft w:val="0"/>
      <w:marRight w:val="0"/>
      <w:marTop w:val="0"/>
      <w:marBottom w:val="0"/>
      <w:divBdr>
        <w:top w:val="none" w:sz="0" w:space="0" w:color="auto"/>
        <w:left w:val="none" w:sz="0" w:space="0" w:color="auto"/>
        <w:bottom w:val="none" w:sz="0" w:space="0" w:color="auto"/>
        <w:right w:val="none" w:sz="0" w:space="0" w:color="auto"/>
      </w:divBdr>
      <w:divsChild>
        <w:div w:id="706756431">
          <w:marLeft w:val="0"/>
          <w:marRight w:val="0"/>
          <w:marTop w:val="120"/>
          <w:marBottom w:val="0"/>
          <w:divBdr>
            <w:top w:val="none" w:sz="0" w:space="0" w:color="auto"/>
            <w:left w:val="none" w:sz="0" w:space="0" w:color="auto"/>
            <w:bottom w:val="none" w:sz="0" w:space="0" w:color="auto"/>
            <w:right w:val="none" w:sz="0" w:space="0" w:color="auto"/>
          </w:divBdr>
        </w:div>
      </w:divsChild>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2144540142">
      <w:bodyDiv w:val="1"/>
      <w:marLeft w:val="0"/>
      <w:marRight w:val="0"/>
      <w:marTop w:val="0"/>
      <w:marBottom w:val="0"/>
      <w:divBdr>
        <w:top w:val="none" w:sz="0" w:space="0" w:color="auto"/>
        <w:left w:val="none" w:sz="0" w:space="0" w:color="auto"/>
        <w:bottom w:val="none" w:sz="0" w:space="0" w:color="auto"/>
        <w:right w:val="none" w:sz="0" w:space="0" w:color="auto"/>
      </w:divBdr>
      <w:divsChild>
        <w:div w:id="1160341883">
          <w:marLeft w:val="0"/>
          <w:marRight w:val="0"/>
          <w:marTop w:val="240"/>
          <w:marBottom w:val="0"/>
          <w:divBdr>
            <w:top w:val="none" w:sz="0" w:space="0" w:color="auto"/>
            <w:left w:val="none" w:sz="0" w:space="0" w:color="auto"/>
            <w:bottom w:val="none" w:sz="0" w:space="0" w:color="auto"/>
            <w:right w:val="none" w:sz="0" w:space="0" w:color="auto"/>
          </w:divBdr>
        </w:div>
        <w:div w:id="1006831306">
          <w:marLeft w:val="0"/>
          <w:marRight w:val="0"/>
          <w:marTop w:val="120"/>
          <w:marBottom w:val="0"/>
          <w:divBdr>
            <w:top w:val="none" w:sz="0" w:space="0" w:color="auto"/>
            <w:left w:val="none" w:sz="0" w:space="0" w:color="auto"/>
            <w:bottom w:val="none" w:sz="0" w:space="0" w:color="auto"/>
            <w:right w:val="none" w:sz="0" w:space="0" w:color="auto"/>
          </w:divBdr>
        </w:div>
        <w:div w:id="1872187903">
          <w:marLeft w:val="1134"/>
          <w:marRight w:val="0"/>
          <w:marTop w:val="60"/>
          <w:marBottom w:val="0"/>
          <w:divBdr>
            <w:top w:val="none" w:sz="0" w:space="0" w:color="auto"/>
            <w:left w:val="none" w:sz="0" w:space="0" w:color="auto"/>
            <w:bottom w:val="none" w:sz="0" w:space="0" w:color="auto"/>
            <w:right w:val="none" w:sz="0" w:space="0" w:color="auto"/>
          </w:divBdr>
        </w:div>
        <w:div w:id="1086076029">
          <w:marLeft w:val="1134"/>
          <w:marRight w:val="0"/>
          <w:marTop w:val="60"/>
          <w:marBottom w:val="0"/>
          <w:divBdr>
            <w:top w:val="none" w:sz="0" w:space="0" w:color="auto"/>
            <w:left w:val="none" w:sz="0" w:space="0" w:color="auto"/>
            <w:bottom w:val="none" w:sz="0" w:space="0" w:color="auto"/>
            <w:right w:val="none" w:sz="0" w:space="0" w:color="auto"/>
          </w:divBdr>
        </w:div>
        <w:div w:id="762262035">
          <w:marLeft w:val="0"/>
          <w:marRight w:val="0"/>
          <w:marTop w:val="120"/>
          <w:marBottom w:val="0"/>
          <w:divBdr>
            <w:top w:val="none" w:sz="0" w:space="0" w:color="auto"/>
            <w:left w:val="none" w:sz="0" w:space="0" w:color="auto"/>
            <w:bottom w:val="none" w:sz="0" w:space="0" w:color="auto"/>
            <w:right w:val="none" w:sz="0" w:space="0" w:color="auto"/>
          </w:divBdr>
        </w:div>
        <w:div w:id="380907625">
          <w:marLeft w:val="1134"/>
          <w:marRight w:val="0"/>
          <w:marTop w:val="60"/>
          <w:marBottom w:val="0"/>
          <w:divBdr>
            <w:top w:val="none" w:sz="0" w:space="0" w:color="auto"/>
            <w:left w:val="none" w:sz="0" w:space="0" w:color="auto"/>
            <w:bottom w:val="none" w:sz="0" w:space="0" w:color="auto"/>
            <w:right w:val="none" w:sz="0" w:space="0" w:color="auto"/>
          </w:divBdr>
        </w:div>
        <w:div w:id="1009020574">
          <w:marLeft w:val="1134"/>
          <w:marRight w:val="0"/>
          <w:marTop w:val="60"/>
          <w:marBottom w:val="0"/>
          <w:divBdr>
            <w:top w:val="none" w:sz="0" w:space="0" w:color="auto"/>
            <w:left w:val="none" w:sz="0" w:space="0" w:color="auto"/>
            <w:bottom w:val="none" w:sz="0" w:space="0" w:color="auto"/>
            <w:right w:val="none" w:sz="0" w:space="0" w:color="auto"/>
          </w:divBdr>
        </w:div>
        <w:div w:id="1290866439">
          <w:marLeft w:val="1871"/>
          <w:marRight w:val="0"/>
          <w:marTop w:val="60"/>
          <w:marBottom w:val="0"/>
          <w:divBdr>
            <w:top w:val="none" w:sz="0" w:space="0" w:color="auto"/>
            <w:left w:val="none" w:sz="0" w:space="0" w:color="auto"/>
            <w:bottom w:val="none" w:sz="0" w:space="0" w:color="auto"/>
            <w:right w:val="none" w:sz="0" w:space="0" w:color="auto"/>
          </w:divBdr>
        </w:div>
        <w:div w:id="473107294">
          <w:marLeft w:val="1871"/>
          <w:marRight w:val="0"/>
          <w:marTop w:val="60"/>
          <w:marBottom w:val="0"/>
          <w:divBdr>
            <w:top w:val="none" w:sz="0" w:space="0" w:color="auto"/>
            <w:left w:val="none" w:sz="0" w:space="0" w:color="auto"/>
            <w:bottom w:val="none" w:sz="0" w:space="0" w:color="auto"/>
            <w:right w:val="none" w:sz="0" w:space="0" w:color="auto"/>
          </w:divBdr>
        </w:div>
        <w:div w:id="437716832">
          <w:marLeft w:val="187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C2C3-D5B5-489F-A954-0DABB563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Mokone</cp:lastModifiedBy>
  <cp:revision>3</cp:revision>
  <cp:lastPrinted>2023-06-06T13:42:00Z</cp:lastPrinted>
  <dcterms:created xsi:type="dcterms:W3CDTF">2023-06-09T10:07:00Z</dcterms:created>
  <dcterms:modified xsi:type="dcterms:W3CDTF">2023-06-09T10:09:00Z</dcterms:modified>
</cp:coreProperties>
</file>