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1B" w:rsidRPr="00382D1B" w:rsidRDefault="00382D1B" w:rsidP="0054412A">
      <w:pPr>
        <w:spacing w:line="480" w:lineRule="auto"/>
        <w:jc w:val="both"/>
        <w:rPr>
          <w:rFonts w:eastAsia="Arial Unicode MS"/>
          <w:b/>
          <w:spacing w:val="20"/>
        </w:rPr>
      </w:pPr>
      <w:bookmarkStart w:id="0" w:name="_GoBack"/>
      <w:bookmarkEnd w:id="0"/>
      <w:r w:rsidRPr="00382D1B">
        <w:rPr>
          <w:noProof/>
          <w:lang w:val="en-US"/>
        </w:rPr>
        <w:drawing>
          <wp:anchor distT="0" distB="0" distL="114300" distR="114300" simplePos="0" relativeHeight="251659264" behindDoc="0" locked="0" layoutInCell="1" allowOverlap="1" wp14:anchorId="042B6399" wp14:editId="0F9890B8">
            <wp:simplePos x="0" y="0"/>
            <wp:positionH relativeFrom="column">
              <wp:posOffset>2084070</wp:posOffset>
            </wp:positionH>
            <wp:positionV relativeFrom="paragraph">
              <wp:posOffset>-25400</wp:posOffset>
            </wp:positionV>
            <wp:extent cx="1218565" cy="1276350"/>
            <wp:effectExtent l="0" t="0" r="635" b="0"/>
            <wp:wrapSquare wrapText="bothSides"/>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856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D1B" w:rsidRPr="00382D1B" w:rsidRDefault="00382D1B" w:rsidP="0054412A">
      <w:pPr>
        <w:spacing w:line="480" w:lineRule="auto"/>
        <w:jc w:val="both"/>
        <w:rPr>
          <w:rFonts w:eastAsia="Arial Unicode MS"/>
          <w:b/>
          <w:spacing w:val="20"/>
        </w:rPr>
      </w:pPr>
    </w:p>
    <w:p w:rsidR="00382D1B" w:rsidRPr="00382D1B" w:rsidRDefault="00382D1B" w:rsidP="0054412A">
      <w:pPr>
        <w:spacing w:line="480" w:lineRule="auto"/>
        <w:jc w:val="both"/>
        <w:rPr>
          <w:rFonts w:eastAsia="Arial Unicode MS"/>
          <w:b/>
          <w:spacing w:val="20"/>
        </w:rPr>
      </w:pPr>
    </w:p>
    <w:p w:rsidR="00382D1B" w:rsidRPr="00382D1B" w:rsidRDefault="00382D1B" w:rsidP="0054412A">
      <w:pPr>
        <w:spacing w:line="480" w:lineRule="auto"/>
        <w:jc w:val="both"/>
        <w:rPr>
          <w:rFonts w:eastAsia="Arial Unicode MS"/>
          <w:b/>
          <w:spacing w:val="20"/>
        </w:rPr>
      </w:pPr>
    </w:p>
    <w:p w:rsidR="00382D1B" w:rsidRPr="00382D1B" w:rsidRDefault="00382D1B" w:rsidP="009916D2">
      <w:pPr>
        <w:spacing w:line="480" w:lineRule="auto"/>
        <w:jc w:val="center"/>
        <w:rPr>
          <w:rFonts w:eastAsia="Arial Unicode MS"/>
          <w:b/>
          <w:spacing w:val="20"/>
          <w:sz w:val="24"/>
        </w:rPr>
      </w:pPr>
      <w:r w:rsidRPr="00382D1B">
        <w:rPr>
          <w:rFonts w:eastAsia="Arial Unicode MS"/>
          <w:b/>
          <w:spacing w:val="20"/>
          <w:sz w:val="24"/>
        </w:rPr>
        <w:t>IN THE HIGH COURT OF SOUTH AFRICA</w:t>
      </w:r>
    </w:p>
    <w:p w:rsidR="00382D1B" w:rsidRDefault="00382D1B" w:rsidP="009916D2">
      <w:pPr>
        <w:spacing w:line="480" w:lineRule="auto"/>
        <w:jc w:val="center"/>
        <w:rPr>
          <w:rFonts w:eastAsia="Arial Unicode MS"/>
          <w:b/>
          <w:spacing w:val="20"/>
          <w:sz w:val="24"/>
        </w:rPr>
      </w:pPr>
      <w:r w:rsidRPr="00382D1B">
        <w:rPr>
          <w:rFonts w:eastAsia="Arial Unicode MS"/>
          <w:b/>
          <w:spacing w:val="20"/>
          <w:sz w:val="24"/>
        </w:rPr>
        <w:t>(WESTERN CAPE DIVISION, CAPE TOWN)</w:t>
      </w:r>
    </w:p>
    <w:p w:rsidR="009916D2" w:rsidRPr="00382D1B" w:rsidRDefault="009916D2" w:rsidP="009916D2">
      <w:pPr>
        <w:tabs>
          <w:tab w:val="right" w:pos="9355"/>
        </w:tabs>
        <w:spacing w:line="480" w:lineRule="auto"/>
        <w:jc w:val="center"/>
        <w:rPr>
          <w:rFonts w:eastAsia="Arial Unicode MS"/>
          <w:sz w:val="24"/>
        </w:rPr>
      </w:pPr>
      <w:r w:rsidRPr="00382D1B">
        <w:rPr>
          <w:rFonts w:eastAsia="Arial Unicode MS"/>
          <w:sz w:val="24"/>
        </w:rPr>
        <w:t>Before the Hon. Ms Justice Meer</w:t>
      </w:r>
    </w:p>
    <w:p w:rsidR="009916D2" w:rsidRPr="00382D1B" w:rsidRDefault="009916D2" w:rsidP="009916D2">
      <w:pPr>
        <w:tabs>
          <w:tab w:val="right" w:pos="9072"/>
        </w:tabs>
        <w:spacing w:line="480" w:lineRule="auto"/>
        <w:jc w:val="center"/>
        <w:rPr>
          <w:rFonts w:eastAsia="Arial Unicode MS"/>
          <w:sz w:val="24"/>
        </w:rPr>
      </w:pPr>
      <w:r w:rsidRPr="00382D1B">
        <w:rPr>
          <w:rFonts w:eastAsia="Arial Unicode MS"/>
          <w:sz w:val="24"/>
        </w:rPr>
        <w:t xml:space="preserve">Hearing: </w:t>
      </w:r>
      <w:r w:rsidR="00DA097A">
        <w:rPr>
          <w:rFonts w:eastAsia="Arial Unicode MS"/>
          <w:sz w:val="24"/>
        </w:rPr>
        <w:t>1 June</w:t>
      </w:r>
      <w:r w:rsidR="00C50571">
        <w:rPr>
          <w:rFonts w:eastAsia="Arial Unicode MS"/>
          <w:sz w:val="24"/>
        </w:rPr>
        <w:t xml:space="preserve"> 2023</w:t>
      </w:r>
    </w:p>
    <w:p w:rsidR="009916D2" w:rsidRPr="00382D1B" w:rsidRDefault="009916D2" w:rsidP="009916D2">
      <w:pPr>
        <w:tabs>
          <w:tab w:val="right" w:pos="9072"/>
        </w:tabs>
        <w:spacing w:line="480" w:lineRule="auto"/>
        <w:jc w:val="center"/>
        <w:rPr>
          <w:rFonts w:eastAsia="Arial Unicode MS"/>
          <w:sz w:val="24"/>
        </w:rPr>
      </w:pPr>
      <w:r w:rsidRPr="00382D1B">
        <w:rPr>
          <w:rFonts w:eastAsia="Arial Unicode MS"/>
          <w:sz w:val="24"/>
        </w:rPr>
        <w:t>Delivered:</w:t>
      </w:r>
      <w:r w:rsidR="00DA097A">
        <w:rPr>
          <w:rFonts w:eastAsia="Arial Unicode MS"/>
          <w:sz w:val="24"/>
        </w:rPr>
        <w:t xml:space="preserve"> 8 June 2023</w:t>
      </w:r>
    </w:p>
    <w:p w:rsidR="00382D1B" w:rsidRDefault="00382D1B" w:rsidP="009916D2">
      <w:pPr>
        <w:tabs>
          <w:tab w:val="right" w:pos="9072"/>
        </w:tabs>
        <w:spacing w:line="480" w:lineRule="auto"/>
        <w:jc w:val="both"/>
        <w:rPr>
          <w:rFonts w:eastAsia="Arial Unicode MS"/>
          <w:sz w:val="24"/>
        </w:rPr>
      </w:pPr>
      <w:r w:rsidRPr="00382D1B">
        <w:rPr>
          <w:rFonts w:eastAsia="Arial Unicode MS"/>
          <w:b/>
          <w:sz w:val="24"/>
        </w:rPr>
        <w:tab/>
      </w:r>
      <w:r w:rsidRPr="00382D1B">
        <w:rPr>
          <w:rFonts w:eastAsia="Arial Unicode MS"/>
          <w:sz w:val="24"/>
        </w:rPr>
        <w:t xml:space="preserve">Case No: </w:t>
      </w:r>
      <w:r w:rsidR="009916D2">
        <w:rPr>
          <w:rFonts w:eastAsia="Arial Unicode MS"/>
          <w:sz w:val="24"/>
        </w:rPr>
        <w:t>6482/2022</w:t>
      </w:r>
    </w:p>
    <w:p w:rsidR="009916D2" w:rsidRDefault="009916D2" w:rsidP="009916D2">
      <w:pPr>
        <w:spacing w:line="480" w:lineRule="auto"/>
        <w:rPr>
          <w:sz w:val="24"/>
          <w:lang w:val="en-US"/>
        </w:rPr>
      </w:pPr>
      <w:r>
        <w:rPr>
          <w:sz w:val="24"/>
          <w:lang w:val="en-US"/>
        </w:rPr>
        <w:t>In the matter between:</w:t>
      </w:r>
    </w:p>
    <w:p w:rsidR="009916D2" w:rsidRDefault="009916D2" w:rsidP="009916D2">
      <w:pPr>
        <w:spacing w:line="480" w:lineRule="auto"/>
        <w:rPr>
          <w:sz w:val="24"/>
          <w:lang w:val="en-US"/>
        </w:rPr>
      </w:pPr>
      <w:r>
        <w:rPr>
          <w:b/>
          <w:sz w:val="24"/>
          <w:lang w:val="en-US"/>
        </w:rPr>
        <w:t>PAYAPP (PTY) LTD</w:t>
      </w:r>
      <w:r>
        <w:rPr>
          <w:b/>
          <w:sz w:val="24"/>
          <w:lang w:val="en-US"/>
        </w:rPr>
        <w:tab/>
      </w:r>
      <w:r>
        <w:rPr>
          <w:b/>
          <w:sz w:val="24"/>
          <w:lang w:val="en-US"/>
        </w:rPr>
        <w:tab/>
      </w:r>
      <w:r>
        <w:rPr>
          <w:b/>
          <w:sz w:val="24"/>
          <w:lang w:val="en-US"/>
        </w:rPr>
        <w:tab/>
      </w:r>
      <w:r>
        <w:rPr>
          <w:b/>
          <w:sz w:val="24"/>
          <w:lang w:val="en-US"/>
        </w:rPr>
        <w:tab/>
      </w:r>
      <w:r>
        <w:rPr>
          <w:b/>
          <w:sz w:val="24"/>
          <w:lang w:val="en-US"/>
        </w:rPr>
        <w:tab/>
      </w:r>
      <w:r>
        <w:rPr>
          <w:sz w:val="24"/>
          <w:lang w:val="en-US"/>
        </w:rPr>
        <w:t>First Applicant</w:t>
      </w:r>
    </w:p>
    <w:p w:rsidR="009916D2" w:rsidRDefault="009916D2" w:rsidP="009916D2">
      <w:pPr>
        <w:spacing w:line="480" w:lineRule="auto"/>
        <w:rPr>
          <w:sz w:val="24"/>
          <w:lang w:val="en-US"/>
        </w:rPr>
      </w:pPr>
      <w:r>
        <w:rPr>
          <w:b/>
          <w:sz w:val="24"/>
          <w:lang w:val="en-US"/>
        </w:rPr>
        <w:t>BRIAN FRANCIS DALTON</w:t>
      </w:r>
      <w:r>
        <w:rPr>
          <w:b/>
          <w:sz w:val="24"/>
          <w:lang w:val="en-US"/>
        </w:rPr>
        <w:tab/>
      </w:r>
      <w:r>
        <w:rPr>
          <w:b/>
          <w:sz w:val="24"/>
          <w:lang w:val="en-US"/>
        </w:rPr>
        <w:tab/>
      </w:r>
      <w:r>
        <w:rPr>
          <w:b/>
          <w:sz w:val="24"/>
          <w:lang w:val="en-US"/>
        </w:rPr>
        <w:tab/>
      </w:r>
      <w:r>
        <w:rPr>
          <w:b/>
          <w:sz w:val="24"/>
          <w:lang w:val="en-US"/>
        </w:rPr>
        <w:tab/>
      </w:r>
      <w:r>
        <w:rPr>
          <w:sz w:val="24"/>
          <w:lang w:val="en-US"/>
        </w:rPr>
        <w:t>Second Applicant</w:t>
      </w:r>
    </w:p>
    <w:p w:rsidR="009916D2" w:rsidRDefault="009916D2" w:rsidP="009916D2">
      <w:pPr>
        <w:spacing w:line="480" w:lineRule="auto"/>
        <w:rPr>
          <w:sz w:val="24"/>
          <w:lang w:val="en-US"/>
        </w:rPr>
      </w:pPr>
      <w:r>
        <w:rPr>
          <w:sz w:val="24"/>
          <w:lang w:val="en-US"/>
        </w:rPr>
        <w:t>And</w:t>
      </w:r>
      <w:r>
        <w:rPr>
          <w:sz w:val="24"/>
          <w:lang w:val="en-US"/>
        </w:rPr>
        <w:tab/>
      </w:r>
    </w:p>
    <w:p w:rsidR="009916D2" w:rsidRDefault="009916D2" w:rsidP="009916D2">
      <w:pPr>
        <w:spacing w:line="480" w:lineRule="auto"/>
        <w:rPr>
          <w:sz w:val="24"/>
          <w:lang w:val="en-US"/>
        </w:rPr>
      </w:pPr>
      <w:r>
        <w:rPr>
          <w:b/>
          <w:sz w:val="24"/>
          <w:lang w:val="en-US"/>
        </w:rPr>
        <w:t>POLANOCOL (PTY) LTD</w:t>
      </w:r>
      <w:r>
        <w:rPr>
          <w:b/>
          <w:sz w:val="24"/>
          <w:lang w:val="en-US"/>
        </w:rPr>
        <w:tab/>
      </w:r>
      <w:r>
        <w:rPr>
          <w:b/>
          <w:sz w:val="24"/>
          <w:lang w:val="en-US"/>
        </w:rPr>
        <w:tab/>
      </w:r>
      <w:r>
        <w:rPr>
          <w:b/>
          <w:sz w:val="24"/>
          <w:lang w:val="en-US"/>
        </w:rPr>
        <w:tab/>
      </w:r>
      <w:r>
        <w:rPr>
          <w:b/>
          <w:sz w:val="24"/>
          <w:lang w:val="en-US"/>
        </w:rPr>
        <w:tab/>
      </w:r>
      <w:r>
        <w:rPr>
          <w:b/>
          <w:sz w:val="24"/>
          <w:lang w:val="en-US"/>
        </w:rPr>
        <w:tab/>
      </w:r>
      <w:r>
        <w:rPr>
          <w:sz w:val="24"/>
          <w:lang w:val="en-US"/>
        </w:rPr>
        <w:t>First Respondent</w:t>
      </w:r>
    </w:p>
    <w:p w:rsidR="009916D2" w:rsidRDefault="009916D2" w:rsidP="009916D2">
      <w:pPr>
        <w:spacing w:line="480" w:lineRule="auto"/>
        <w:rPr>
          <w:sz w:val="24"/>
          <w:lang w:val="en-US"/>
        </w:rPr>
      </w:pPr>
      <w:r>
        <w:rPr>
          <w:b/>
          <w:sz w:val="24"/>
          <w:lang w:val="en-US"/>
        </w:rPr>
        <w:t>RODNEY KENNETH BARTMAN</w:t>
      </w:r>
      <w:r>
        <w:rPr>
          <w:b/>
          <w:sz w:val="24"/>
          <w:lang w:val="en-US"/>
        </w:rPr>
        <w:tab/>
      </w:r>
      <w:r>
        <w:rPr>
          <w:b/>
          <w:sz w:val="24"/>
          <w:lang w:val="en-US"/>
        </w:rPr>
        <w:tab/>
      </w:r>
      <w:r>
        <w:rPr>
          <w:b/>
          <w:sz w:val="24"/>
          <w:lang w:val="en-US"/>
        </w:rPr>
        <w:tab/>
      </w:r>
      <w:r>
        <w:rPr>
          <w:b/>
          <w:sz w:val="24"/>
          <w:lang w:val="en-US"/>
        </w:rPr>
        <w:tab/>
      </w:r>
      <w:r>
        <w:rPr>
          <w:sz w:val="24"/>
          <w:lang w:val="en-US"/>
        </w:rPr>
        <w:t>Second Respondent</w:t>
      </w:r>
    </w:p>
    <w:p w:rsidR="009916D2" w:rsidRDefault="009916D2" w:rsidP="009916D2">
      <w:pPr>
        <w:spacing w:line="480" w:lineRule="auto"/>
        <w:rPr>
          <w:sz w:val="24"/>
          <w:lang w:val="en-US"/>
        </w:rPr>
      </w:pPr>
      <w:r>
        <w:rPr>
          <w:b/>
          <w:sz w:val="24"/>
          <w:lang w:val="en-US"/>
        </w:rPr>
        <w:t>CARLO JOHANN VILJOEN</w:t>
      </w:r>
      <w:r>
        <w:rPr>
          <w:b/>
          <w:sz w:val="24"/>
          <w:lang w:val="en-US"/>
        </w:rPr>
        <w:tab/>
      </w:r>
      <w:r>
        <w:rPr>
          <w:b/>
          <w:sz w:val="24"/>
          <w:lang w:val="en-US"/>
        </w:rPr>
        <w:tab/>
      </w:r>
      <w:r>
        <w:rPr>
          <w:b/>
          <w:sz w:val="24"/>
          <w:lang w:val="en-US"/>
        </w:rPr>
        <w:tab/>
      </w:r>
      <w:r>
        <w:rPr>
          <w:b/>
          <w:sz w:val="24"/>
          <w:lang w:val="en-US"/>
        </w:rPr>
        <w:tab/>
      </w:r>
      <w:r>
        <w:rPr>
          <w:sz w:val="24"/>
          <w:lang w:val="en-US"/>
        </w:rPr>
        <w:t>Third Respondent</w:t>
      </w:r>
    </w:p>
    <w:p w:rsidR="00A67E60" w:rsidRDefault="00A67E60" w:rsidP="009916D2">
      <w:pPr>
        <w:spacing w:line="480" w:lineRule="auto"/>
        <w:rPr>
          <w:sz w:val="24"/>
          <w:lang w:val="en-US"/>
        </w:rPr>
      </w:pPr>
      <w:r>
        <w:rPr>
          <w:sz w:val="24"/>
          <w:lang w:val="en-US"/>
        </w:rPr>
        <w:t>and</w:t>
      </w:r>
    </w:p>
    <w:p w:rsidR="00A67E60" w:rsidRPr="00A67E60" w:rsidRDefault="00A67E60" w:rsidP="00A67E60">
      <w:pPr>
        <w:spacing w:line="480" w:lineRule="auto"/>
        <w:jc w:val="both"/>
        <w:rPr>
          <w:rFonts w:eastAsiaTheme="minorHAnsi"/>
          <w:sz w:val="24"/>
          <w:lang w:val="en-US"/>
        </w:rPr>
      </w:pPr>
      <w:r w:rsidRPr="00A67E60">
        <w:rPr>
          <w:rFonts w:eastAsiaTheme="minorHAnsi"/>
          <w:b/>
          <w:sz w:val="24"/>
          <w:lang w:val="en-US"/>
        </w:rPr>
        <w:t>TREVOR HULETT</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w:t>
      </w:r>
      <w:r w:rsidRPr="00A67E60">
        <w:rPr>
          <w:rFonts w:eastAsiaTheme="minorHAnsi"/>
          <w:sz w:val="24"/>
          <w:vertAlign w:val="superscript"/>
          <w:lang w:val="en-US"/>
        </w:rPr>
        <w:t>st</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ALAN MOORE</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2</w:t>
      </w:r>
      <w:r w:rsidRPr="00A67E60">
        <w:rPr>
          <w:rFonts w:eastAsiaTheme="minorHAnsi"/>
          <w:sz w:val="24"/>
          <w:vertAlign w:val="superscript"/>
          <w:lang w:val="en-US"/>
        </w:rPr>
        <w:t>nd</w:t>
      </w:r>
      <w:r w:rsidRPr="00A67E60">
        <w:rPr>
          <w:rFonts w:eastAsiaTheme="minorHAnsi"/>
          <w:sz w:val="24"/>
          <w:lang w:val="en-US"/>
        </w:rPr>
        <w:t xml:space="preserve"> Intervening Party</w:t>
      </w:r>
      <w:r w:rsidRPr="00A67E60">
        <w:rPr>
          <w:rFonts w:eastAsiaTheme="minorHAnsi"/>
          <w:b/>
          <w:sz w:val="24"/>
          <w:lang w:val="en-US"/>
        </w:rPr>
        <w:tab/>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t>KAREN MOORE</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3</w:t>
      </w:r>
      <w:r w:rsidRPr="00A67E60">
        <w:rPr>
          <w:rFonts w:eastAsiaTheme="minorHAnsi"/>
          <w:sz w:val="24"/>
          <w:vertAlign w:val="superscript"/>
          <w:lang w:val="en-US"/>
        </w:rPr>
        <w:t>rd</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t>ANTON NORTJE</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4</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t>HERDRIKUS JACOBUS VAN DIJK</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5</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lastRenderedPageBreak/>
        <w:t>CORNELIA JOHANNA ELIZABETH VAN DIJK</w:t>
      </w:r>
      <w:r w:rsidRPr="00A67E60">
        <w:rPr>
          <w:rFonts w:eastAsiaTheme="minorHAnsi"/>
          <w:b/>
          <w:sz w:val="24"/>
          <w:lang w:val="en-US"/>
        </w:rPr>
        <w:tab/>
      </w:r>
      <w:r w:rsidRPr="00A67E60">
        <w:rPr>
          <w:rFonts w:eastAsiaTheme="minorHAnsi"/>
          <w:sz w:val="24"/>
          <w:lang w:val="en-US"/>
        </w:rPr>
        <w:t>6</w:t>
      </w:r>
      <w:r w:rsidRPr="00A67E60">
        <w:rPr>
          <w:rFonts w:eastAsiaTheme="minorHAnsi"/>
          <w:sz w:val="24"/>
          <w:vertAlign w:val="superscript"/>
          <w:lang w:val="en-US"/>
        </w:rPr>
        <w:t xml:space="preserve">th </w:t>
      </w:r>
      <w:r w:rsidRPr="00A67E60">
        <w:rPr>
          <w:rFonts w:eastAsiaTheme="minorHAnsi"/>
          <w:sz w:val="24"/>
          <w:lang w:val="en-US"/>
        </w:rPr>
        <w:t>Intervening Party</w:t>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t>HERMAN WAAGMEESTER</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7</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sz w:val="24"/>
          <w:lang w:val="en-US"/>
        </w:rPr>
      </w:pPr>
      <w:r w:rsidRPr="00A67E60">
        <w:rPr>
          <w:rFonts w:eastAsiaTheme="minorHAnsi"/>
          <w:b/>
          <w:sz w:val="24"/>
          <w:lang w:val="en-US"/>
        </w:rPr>
        <w:t>ROBERT MACFARLANE</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8</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JOHANNES PETRUS VAN DER WALT</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9</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WILLEM JACOBUS FILMALTER</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10</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LYNDA BOSHOFF</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11</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FRIK DU PLESSIS</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12</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DOUWE BIJKER</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13</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RONEL KOK</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14</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PIETER VAN DEN BERG</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15</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NICOLETTE VAN DEN BERG</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16</w:t>
      </w:r>
      <w:r w:rsidRPr="00A67E60">
        <w:rPr>
          <w:rFonts w:eastAsiaTheme="minorHAnsi"/>
          <w:sz w:val="24"/>
          <w:vertAlign w:val="superscript"/>
          <w:lang w:val="en-US"/>
        </w:rPr>
        <w:t>th</w:t>
      </w:r>
      <w:r w:rsidRPr="00A67E60">
        <w:rPr>
          <w:rFonts w:eastAsiaTheme="minorHAnsi"/>
          <w:sz w:val="24"/>
          <w:lang w:val="en-US"/>
        </w:rPr>
        <w:t xml:space="preserve"> Intervening Party</w:t>
      </w:r>
    </w:p>
    <w:p w:rsidR="00A67E60" w:rsidRPr="00A67E60" w:rsidRDefault="00A67E60" w:rsidP="00A67E60">
      <w:pPr>
        <w:spacing w:after="160" w:line="480" w:lineRule="auto"/>
        <w:jc w:val="both"/>
        <w:rPr>
          <w:rFonts w:eastAsiaTheme="minorHAnsi"/>
          <w:b/>
          <w:sz w:val="24"/>
          <w:lang w:val="en-US"/>
        </w:rPr>
      </w:pPr>
      <w:r w:rsidRPr="00A67E60">
        <w:rPr>
          <w:rFonts w:eastAsiaTheme="minorHAnsi"/>
          <w:b/>
          <w:sz w:val="24"/>
          <w:lang w:val="en-US"/>
        </w:rPr>
        <w:t>THOMAS HAWKINS</w:t>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b/>
          <w:sz w:val="24"/>
          <w:lang w:val="en-US"/>
        </w:rPr>
        <w:tab/>
      </w:r>
      <w:r w:rsidRPr="00A67E60">
        <w:rPr>
          <w:rFonts w:eastAsiaTheme="minorHAnsi"/>
          <w:sz w:val="24"/>
          <w:lang w:val="en-US"/>
        </w:rPr>
        <w:t>17</w:t>
      </w:r>
      <w:r w:rsidRPr="00A67E60">
        <w:rPr>
          <w:rFonts w:eastAsiaTheme="minorHAnsi"/>
          <w:sz w:val="24"/>
          <w:vertAlign w:val="superscript"/>
          <w:lang w:val="en-US"/>
        </w:rPr>
        <w:t>th</w:t>
      </w:r>
      <w:r w:rsidRPr="00A67E60">
        <w:rPr>
          <w:rFonts w:eastAsiaTheme="minorHAnsi"/>
          <w:sz w:val="24"/>
          <w:lang w:val="en-US"/>
        </w:rPr>
        <w:t xml:space="preserve"> Intervening Party</w:t>
      </w:r>
    </w:p>
    <w:p w:rsidR="00382D1B" w:rsidRPr="00382D1B" w:rsidRDefault="00382D1B" w:rsidP="0054412A">
      <w:pPr>
        <w:spacing w:line="480" w:lineRule="auto"/>
        <w:jc w:val="both"/>
        <w:outlineLvl w:val="0"/>
        <w:rPr>
          <w:rFonts w:eastAsia="Arial Unicode MS"/>
          <w:b/>
          <w:sz w:val="24"/>
        </w:rPr>
      </w:pPr>
      <w:r w:rsidRPr="00382D1B">
        <w:rPr>
          <w:rFonts w:eastAsia="Arial Unicode MS"/>
          <w:b/>
          <w:sz w:val="24"/>
        </w:rPr>
        <w:t>_____________________________________________________</w:t>
      </w:r>
      <w:r>
        <w:rPr>
          <w:rFonts w:eastAsia="Arial Unicode MS"/>
          <w:b/>
          <w:sz w:val="24"/>
        </w:rPr>
        <w:t>_____________</w:t>
      </w:r>
    </w:p>
    <w:p w:rsidR="00382D1B" w:rsidRPr="00382D1B" w:rsidRDefault="00382D1B" w:rsidP="009916D2">
      <w:pPr>
        <w:spacing w:before="240" w:line="480" w:lineRule="auto"/>
        <w:jc w:val="center"/>
        <w:outlineLvl w:val="0"/>
        <w:rPr>
          <w:rFonts w:eastAsia="Arial Unicode MS"/>
          <w:b/>
          <w:sz w:val="24"/>
        </w:rPr>
      </w:pPr>
      <w:r w:rsidRPr="00382D1B">
        <w:rPr>
          <w:rFonts w:eastAsia="Arial Unicode MS"/>
          <w:b/>
          <w:sz w:val="24"/>
        </w:rPr>
        <w:t>JUDGMENT</w:t>
      </w:r>
      <w:r w:rsidR="00A67E60">
        <w:rPr>
          <w:rFonts w:eastAsia="Arial Unicode MS"/>
          <w:b/>
          <w:sz w:val="24"/>
        </w:rPr>
        <w:t xml:space="preserve"> DELIVERED THIS</w:t>
      </w:r>
      <w:r w:rsidR="00DA097A">
        <w:rPr>
          <w:rFonts w:eastAsia="Arial Unicode MS"/>
          <w:b/>
          <w:sz w:val="24"/>
        </w:rPr>
        <w:t xml:space="preserve"> 8</w:t>
      </w:r>
      <w:r w:rsidR="00A67E60">
        <w:rPr>
          <w:rFonts w:eastAsia="Arial Unicode MS"/>
          <w:b/>
          <w:sz w:val="24"/>
        </w:rPr>
        <w:t xml:space="preserve"> DAY OF </w:t>
      </w:r>
      <w:r w:rsidR="00DA097A">
        <w:rPr>
          <w:rFonts w:eastAsia="Arial Unicode MS"/>
          <w:b/>
          <w:sz w:val="24"/>
        </w:rPr>
        <w:t xml:space="preserve">JUNE </w:t>
      </w:r>
      <w:r w:rsidR="00A67E60">
        <w:rPr>
          <w:rFonts w:eastAsia="Arial Unicode MS"/>
          <w:b/>
          <w:sz w:val="24"/>
        </w:rPr>
        <w:t>2023</w:t>
      </w:r>
    </w:p>
    <w:p w:rsidR="00382D1B" w:rsidRPr="00382D1B" w:rsidRDefault="00382D1B" w:rsidP="0054412A">
      <w:pPr>
        <w:spacing w:line="480" w:lineRule="auto"/>
        <w:jc w:val="both"/>
        <w:outlineLvl w:val="0"/>
        <w:rPr>
          <w:rFonts w:eastAsia="Arial Unicode MS"/>
          <w:b/>
          <w:sz w:val="24"/>
        </w:rPr>
      </w:pPr>
      <w:r w:rsidRPr="00382D1B">
        <w:rPr>
          <w:rFonts w:eastAsia="Arial Unicode MS"/>
          <w:b/>
          <w:sz w:val="24"/>
        </w:rPr>
        <w:t>__________________________________________________</w:t>
      </w:r>
      <w:r>
        <w:rPr>
          <w:rFonts w:eastAsia="Arial Unicode MS"/>
          <w:b/>
          <w:sz w:val="24"/>
        </w:rPr>
        <w:t>_________________</w:t>
      </w:r>
    </w:p>
    <w:p w:rsidR="00382D1B" w:rsidRPr="00382D1B" w:rsidRDefault="00382D1B" w:rsidP="0054412A">
      <w:pPr>
        <w:spacing w:before="240" w:line="480" w:lineRule="auto"/>
        <w:jc w:val="both"/>
        <w:rPr>
          <w:rFonts w:eastAsia="Arial Unicode MS"/>
          <w:b/>
          <w:sz w:val="24"/>
        </w:rPr>
      </w:pPr>
      <w:r w:rsidRPr="00382D1B">
        <w:rPr>
          <w:rFonts w:eastAsia="Arial Unicode MS"/>
          <w:b/>
          <w:sz w:val="24"/>
        </w:rPr>
        <w:t>MEER J</w:t>
      </w:r>
    </w:p>
    <w:p w:rsidR="00CF7A78" w:rsidRPr="009A5DC2" w:rsidRDefault="005B6DB7" w:rsidP="00DA097A">
      <w:pPr>
        <w:spacing w:line="360" w:lineRule="auto"/>
        <w:ind w:left="720" w:hanging="720"/>
        <w:jc w:val="both"/>
        <w:rPr>
          <w:sz w:val="24"/>
        </w:rPr>
      </w:pPr>
      <w:r>
        <w:rPr>
          <w:sz w:val="24"/>
        </w:rPr>
        <w:t>[1]</w:t>
      </w:r>
      <w:r>
        <w:rPr>
          <w:sz w:val="24"/>
        </w:rPr>
        <w:tab/>
      </w:r>
      <w:r w:rsidRPr="009A5DC2">
        <w:rPr>
          <w:sz w:val="24"/>
        </w:rPr>
        <w:t>The A</w:t>
      </w:r>
      <w:r w:rsidR="00382D1B" w:rsidRPr="009A5DC2">
        <w:rPr>
          <w:sz w:val="24"/>
        </w:rPr>
        <w:t xml:space="preserve">pplicants seek a final order </w:t>
      </w:r>
      <w:r w:rsidR="009916D2" w:rsidRPr="009A5DC2">
        <w:rPr>
          <w:sz w:val="24"/>
        </w:rPr>
        <w:t>for</w:t>
      </w:r>
      <w:r w:rsidRPr="009A5DC2">
        <w:rPr>
          <w:sz w:val="24"/>
        </w:rPr>
        <w:t xml:space="preserve"> the liquidation of the First R</w:t>
      </w:r>
      <w:r w:rsidR="00382D1B" w:rsidRPr="009A5DC2">
        <w:rPr>
          <w:sz w:val="24"/>
        </w:rPr>
        <w:t>espondent, a provisional order having been gra</w:t>
      </w:r>
      <w:r w:rsidR="001E33D1" w:rsidRPr="009A5DC2">
        <w:rPr>
          <w:sz w:val="24"/>
        </w:rPr>
        <w:t>nted on 23 September 2021. The</w:t>
      </w:r>
      <w:r w:rsidR="00382D1B" w:rsidRPr="009A5DC2">
        <w:rPr>
          <w:sz w:val="24"/>
        </w:rPr>
        <w:t xml:space="preserve"> </w:t>
      </w:r>
      <w:r w:rsidRPr="009A5DC2">
        <w:rPr>
          <w:sz w:val="24"/>
        </w:rPr>
        <w:t>A</w:t>
      </w:r>
      <w:r w:rsidR="009916D2" w:rsidRPr="009A5DC2">
        <w:rPr>
          <w:sz w:val="24"/>
        </w:rPr>
        <w:t>pplicant</w:t>
      </w:r>
      <w:r w:rsidR="001E33D1" w:rsidRPr="009A5DC2">
        <w:rPr>
          <w:sz w:val="24"/>
        </w:rPr>
        <w:t>s bring</w:t>
      </w:r>
      <w:r w:rsidR="00382D1B" w:rsidRPr="009A5DC2">
        <w:rPr>
          <w:sz w:val="24"/>
        </w:rPr>
        <w:t xml:space="preserve"> the </w:t>
      </w:r>
      <w:r w:rsidR="009916D2" w:rsidRPr="009A5DC2">
        <w:rPr>
          <w:sz w:val="24"/>
        </w:rPr>
        <w:t>application</w:t>
      </w:r>
      <w:r w:rsidR="00ED636A" w:rsidRPr="009A5DC2">
        <w:rPr>
          <w:sz w:val="24"/>
        </w:rPr>
        <w:t xml:space="preserve"> as</w:t>
      </w:r>
      <w:r w:rsidRPr="009A5DC2">
        <w:rPr>
          <w:sz w:val="24"/>
        </w:rPr>
        <w:t xml:space="preserve"> creditor</w:t>
      </w:r>
      <w:r w:rsidR="001E33D1" w:rsidRPr="009A5DC2">
        <w:rPr>
          <w:sz w:val="24"/>
        </w:rPr>
        <w:t>s</w:t>
      </w:r>
      <w:r w:rsidRPr="009A5DC2">
        <w:rPr>
          <w:sz w:val="24"/>
        </w:rPr>
        <w:t xml:space="preserve"> of the First R</w:t>
      </w:r>
      <w:r w:rsidR="00382D1B" w:rsidRPr="009A5DC2">
        <w:rPr>
          <w:sz w:val="24"/>
        </w:rPr>
        <w:t xml:space="preserve">espondent </w:t>
      </w:r>
      <w:r w:rsidR="00AA0FEB" w:rsidRPr="009A5DC2">
        <w:rPr>
          <w:sz w:val="24"/>
        </w:rPr>
        <w:t xml:space="preserve">(“Polanocol”) </w:t>
      </w:r>
      <w:r w:rsidR="00382D1B" w:rsidRPr="009A5DC2">
        <w:rPr>
          <w:sz w:val="24"/>
        </w:rPr>
        <w:t xml:space="preserve">as contemplated </w:t>
      </w:r>
      <w:r w:rsidR="00AA0FEB" w:rsidRPr="009A5DC2">
        <w:rPr>
          <w:sz w:val="24"/>
        </w:rPr>
        <w:t>in</w:t>
      </w:r>
      <w:r w:rsidR="00382D1B" w:rsidRPr="009A5DC2">
        <w:rPr>
          <w:sz w:val="24"/>
        </w:rPr>
        <w:t xml:space="preserve"> </w:t>
      </w:r>
      <w:r w:rsidR="00AA0FEB" w:rsidRPr="009A5DC2">
        <w:rPr>
          <w:sz w:val="24"/>
        </w:rPr>
        <w:t>S</w:t>
      </w:r>
      <w:r w:rsidR="00382D1B" w:rsidRPr="009A5DC2">
        <w:rPr>
          <w:sz w:val="24"/>
        </w:rPr>
        <w:t>ection 346(1)(b) of the Companies Act 6</w:t>
      </w:r>
      <w:r w:rsidR="00932F70" w:rsidRPr="009A5DC2">
        <w:rPr>
          <w:sz w:val="24"/>
        </w:rPr>
        <w:t>1 of 1973</w:t>
      </w:r>
      <w:r w:rsidR="00CC48E2">
        <w:rPr>
          <w:sz w:val="24"/>
        </w:rPr>
        <w:t xml:space="preserve">. </w:t>
      </w:r>
      <w:r w:rsidR="00ED636A" w:rsidRPr="009A5DC2">
        <w:rPr>
          <w:sz w:val="24"/>
        </w:rPr>
        <w:t>In addition</w:t>
      </w:r>
      <w:r w:rsidR="00227FF7" w:rsidRPr="009A5DC2">
        <w:rPr>
          <w:sz w:val="24"/>
        </w:rPr>
        <w:t>,</w:t>
      </w:r>
      <w:r w:rsidR="00ED636A" w:rsidRPr="009A5DC2">
        <w:rPr>
          <w:sz w:val="24"/>
        </w:rPr>
        <w:t xml:space="preserve"> the Second Applicant (“Dalton”) brings the application as a member and shareholder of Polan</w:t>
      </w:r>
      <w:r w:rsidR="00F025CA" w:rsidRPr="009A5DC2">
        <w:rPr>
          <w:sz w:val="24"/>
        </w:rPr>
        <w:t>o</w:t>
      </w:r>
      <w:r w:rsidR="00ED636A" w:rsidRPr="009A5DC2">
        <w:rPr>
          <w:sz w:val="24"/>
        </w:rPr>
        <w:t xml:space="preserve">col </w:t>
      </w:r>
      <w:r w:rsidR="00AA0FEB" w:rsidRPr="009A5DC2">
        <w:rPr>
          <w:sz w:val="24"/>
        </w:rPr>
        <w:t>under</w:t>
      </w:r>
      <w:r w:rsidR="00ED636A" w:rsidRPr="009A5DC2">
        <w:rPr>
          <w:sz w:val="24"/>
        </w:rPr>
        <w:t xml:space="preserve"> </w:t>
      </w:r>
      <w:r w:rsidR="00AA0FEB" w:rsidRPr="009A5DC2">
        <w:rPr>
          <w:sz w:val="24"/>
        </w:rPr>
        <w:t>S</w:t>
      </w:r>
      <w:r w:rsidR="00ED636A" w:rsidRPr="009A5DC2">
        <w:rPr>
          <w:sz w:val="24"/>
        </w:rPr>
        <w:t xml:space="preserve">ection 346(1)(c) </w:t>
      </w:r>
      <w:r w:rsidR="00024354" w:rsidRPr="009A5DC2">
        <w:rPr>
          <w:sz w:val="24"/>
        </w:rPr>
        <w:t>thereof</w:t>
      </w:r>
      <w:r w:rsidR="00ED636A" w:rsidRPr="009A5DC2">
        <w:rPr>
          <w:sz w:val="24"/>
        </w:rPr>
        <w:t>.</w:t>
      </w:r>
      <w:r w:rsidR="001E33D1" w:rsidRPr="009A5DC2">
        <w:rPr>
          <w:sz w:val="24"/>
        </w:rPr>
        <w:t xml:space="preserve"> The claim of the First </w:t>
      </w:r>
      <w:r w:rsidR="001E33D1" w:rsidRPr="009A5DC2">
        <w:rPr>
          <w:sz w:val="24"/>
        </w:rPr>
        <w:lastRenderedPageBreak/>
        <w:t>A</w:t>
      </w:r>
      <w:r w:rsidR="00ED636A" w:rsidRPr="009A5DC2">
        <w:rPr>
          <w:sz w:val="24"/>
        </w:rPr>
        <w:t>pplicant (“Payapp”)</w:t>
      </w:r>
      <w:r w:rsidR="00382D1B" w:rsidRPr="009A5DC2">
        <w:rPr>
          <w:sz w:val="24"/>
        </w:rPr>
        <w:t xml:space="preserve"> is for payment of the sum of</w:t>
      </w:r>
      <w:r w:rsidR="00AA0FEB" w:rsidRPr="009A5DC2">
        <w:rPr>
          <w:sz w:val="24"/>
        </w:rPr>
        <w:t xml:space="preserve"> R2 547 708.56 plus interest </w:t>
      </w:r>
      <w:r w:rsidR="001E33D1" w:rsidRPr="009A5DC2">
        <w:rPr>
          <w:sz w:val="24"/>
        </w:rPr>
        <w:t>alleged to be</w:t>
      </w:r>
      <w:r w:rsidR="00382D1B" w:rsidRPr="009A5DC2">
        <w:rPr>
          <w:sz w:val="24"/>
        </w:rPr>
        <w:t xml:space="preserve"> the balance due pursuant</w:t>
      </w:r>
      <w:r w:rsidR="00ED636A" w:rsidRPr="009A5DC2">
        <w:rPr>
          <w:sz w:val="24"/>
        </w:rPr>
        <w:t xml:space="preserve"> to Payapp’s cancellation of a</w:t>
      </w:r>
      <w:r w:rsidR="00382D1B" w:rsidRPr="009A5DC2">
        <w:rPr>
          <w:sz w:val="24"/>
        </w:rPr>
        <w:t xml:space="preserve"> loan agreement</w:t>
      </w:r>
      <w:r w:rsidR="00ED636A" w:rsidRPr="009A5DC2">
        <w:rPr>
          <w:sz w:val="24"/>
        </w:rPr>
        <w:t>. The claim of the Second A</w:t>
      </w:r>
      <w:r w:rsidR="00382D1B" w:rsidRPr="009A5DC2">
        <w:rPr>
          <w:sz w:val="24"/>
        </w:rPr>
        <w:t xml:space="preserve">pplicant (“Dalton”) </w:t>
      </w:r>
      <w:r w:rsidR="00ED636A" w:rsidRPr="009A5DC2">
        <w:rPr>
          <w:sz w:val="24"/>
        </w:rPr>
        <w:t xml:space="preserve">is </w:t>
      </w:r>
      <w:r w:rsidR="00382D1B" w:rsidRPr="009A5DC2">
        <w:rPr>
          <w:sz w:val="24"/>
        </w:rPr>
        <w:t>for payment of the amount of R2</w:t>
      </w:r>
      <w:r w:rsidR="00ED636A" w:rsidRPr="009A5DC2">
        <w:rPr>
          <w:sz w:val="24"/>
        </w:rPr>
        <w:t> </w:t>
      </w:r>
      <w:r w:rsidR="00382D1B" w:rsidRPr="009A5DC2">
        <w:rPr>
          <w:sz w:val="24"/>
        </w:rPr>
        <w:t>600</w:t>
      </w:r>
      <w:r w:rsidR="00ED636A" w:rsidRPr="009A5DC2">
        <w:rPr>
          <w:sz w:val="24"/>
        </w:rPr>
        <w:t xml:space="preserve"> </w:t>
      </w:r>
      <w:r w:rsidR="000D5B7D" w:rsidRPr="009A5DC2">
        <w:rPr>
          <w:sz w:val="24"/>
        </w:rPr>
        <w:t>000.00 plus</w:t>
      </w:r>
      <w:r w:rsidR="00382D1B" w:rsidRPr="009A5DC2">
        <w:rPr>
          <w:sz w:val="24"/>
        </w:rPr>
        <w:t xml:space="preserve"> interest</w:t>
      </w:r>
      <w:r w:rsidR="00ED636A" w:rsidRPr="009A5DC2">
        <w:rPr>
          <w:sz w:val="24"/>
        </w:rPr>
        <w:t xml:space="preserve">, also alleged to be </w:t>
      </w:r>
      <w:r w:rsidR="00382D1B" w:rsidRPr="009A5DC2">
        <w:rPr>
          <w:sz w:val="24"/>
        </w:rPr>
        <w:t>the balance due in terms of a loan agreement</w:t>
      </w:r>
      <w:r w:rsidR="00ED636A" w:rsidRPr="009A5DC2">
        <w:rPr>
          <w:sz w:val="24"/>
        </w:rPr>
        <w:t xml:space="preserve">. </w:t>
      </w:r>
      <w:r w:rsidR="00AE3877" w:rsidRPr="009A5DC2">
        <w:rPr>
          <w:sz w:val="24"/>
        </w:rPr>
        <w:t xml:space="preserve"> </w:t>
      </w:r>
    </w:p>
    <w:p w:rsidR="00382D1B" w:rsidRPr="009A5DC2" w:rsidRDefault="00382D1B" w:rsidP="00DA097A">
      <w:pPr>
        <w:spacing w:line="360" w:lineRule="auto"/>
        <w:ind w:left="720" w:hanging="720"/>
        <w:jc w:val="both"/>
        <w:rPr>
          <w:sz w:val="24"/>
        </w:rPr>
      </w:pPr>
    </w:p>
    <w:p w:rsidR="00382D1B" w:rsidRPr="009A5DC2" w:rsidRDefault="00ED636A" w:rsidP="00DA097A">
      <w:pPr>
        <w:tabs>
          <w:tab w:val="left" w:pos="1418"/>
          <w:tab w:val="left" w:pos="1560"/>
        </w:tabs>
        <w:spacing w:line="360" w:lineRule="auto"/>
        <w:ind w:left="720" w:hanging="720"/>
        <w:jc w:val="both"/>
        <w:rPr>
          <w:sz w:val="24"/>
        </w:rPr>
      </w:pPr>
      <w:r w:rsidRPr="009A5DC2">
        <w:rPr>
          <w:sz w:val="24"/>
        </w:rPr>
        <w:t>[2]</w:t>
      </w:r>
      <w:r w:rsidRPr="009A5DC2">
        <w:rPr>
          <w:sz w:val="24"/>
        </w:rPr>
        <w:tab/>
      </w:r>
      <w:r w:rsidR="00CB7B20" w:rsidRPr="009A5DC2">
        <w:rPr>
          <w:sz w:val="24"/>
        </w:rPr>
        <w:t xml:space="preserve"> </w:t>
      </w:r>
      <w:r w:rsidRPr="009A5DC2">
        <w:rPr>
          <w:sz w:val="24"/>
        </w:rPr>
        <w:t>The A</w:t>
      </w:r>
      <w:r w:rsidR="00382D1B" w:rsidRPr="009A5DC2">
        <w:rPr>
          <w:sz w:val="24"/>
        </w:rPr>
        <w:t xml:space="preserve">pplicants contend that Polanocol is unable to pay its debts as envisaged by section 344(f) read with section 345(1)(c) </w:t>
      </w:r>
      <w:r w:rsidR="00024354" w:rsidRPr="009A5DC2">
        <w:rPr>
          <w:sz w:val="24"/>
        </w:rPr>
        <w:t>of the 1973</w:t>
      </w:r>
      <w:r w:rsidR="00F931A3" w:rsidRPr="009A5DC2">
        <w:rPr>
          <w:sz w:val="24"/>
        </w:rPr>
        <w:t xml:space="preserve"> </w:t>
      </w:r>
      <w:r w:rsidR="00024354" w:rsidRPr="009A5DC2">
        <w:rPr>
          <w:sz w:val="24"/>
        </w:rPr>
        <w:t xml:space="preserve">Companies </w:t>
      </w:r>
      <w:r w:rsidR="00382D1B" w:rsidRPr="009A5DC2">
        <w:rPr>
          <w:sz w:val="24"/>
        </w:rPr>
        <w:t xml:space="preserve">Act and that it would be just and equitable for Polanocol to be wound up as contemplated by sections 344(h) </w:t>
      </w:r>
      <w:r w:rsidR="00024354" w:rsidRPr="009A5DC2">
        <w:rPr>
          <w:sz w:val="24"/>
        </w:rPr>
        <w:t>ther</w:t>
      </w:r>
      <w:r w:rsidR="00B75E0C">
        <w:rPr>
          <w:sz w:val="24"/>
        </w:rPr>
        <w:t>e</w:t>
      </w:r>
      <w:r w:rsidR="00024354" w:rsidRPr="009A5DC2">
        <w:rPr>
          <w:sz w:val="24"/>
        </w:rPr>
        <w:t xml:space="preserve">of </w:t>
      </w:r>
      <w:r w:rsidR="00382D1B" w:rsidRPr="009A5DC2">
        <w:rPr>
          <w:sz w:val="24"/>
        </w:rPr>
        <w:t xml:space="preserve"> and section 163(2)(b) of the</w:t>
      </w:r>
      <w:r w:rsidR="00024354" w:rsidRPr="009A5DC2">
        <w:rPr>
          <w:sz w:val="24"/>
        </w:rPr>
        <w:t xml:space="preserve"> </w:t>
      </w:r>
      <w:r w:rsidR="00382D1B" w:rsidRPr="009A5DC2">
        <w:rPr>
          <w:sz w:val="24"/>
        </w:rPr>
        <w:t xml:space="preserve"> </w:t>
      </w:r>
      <w:r w:rsidR="00024354" w:rsidRPr="009A5DC2">
        <w:rPr>
          <w:sz w:val="24"/>
        </w:rPr>
        <w:t>Companies Act 71 of 2008.</w:t>
      </w:r>
      <w:r w:rsidR="00CB7B20" w:rsidRPr="009A5DC2">
        <w:rPr>
          <w:sz w:val="24"/>
        </w:rPr>
        <w:t xml:space="preserve"> </w:t>
      </w:r>
    </w:p>
    <w:p w:rsidR="00382D1B" w:rsidRPr="009A5DC2" w:rsidRDefault="00382D1B" w:rsidP="00DA097A">
      <w:pPr>
        <w:spacing w:line="360" w:lineRule="auto"/>
        <w:ind w:left="720" w:hanging="720"/>
        <w:jc w:val="both"/>
        <w:rPr>
          <w:sz w:val="24"/>
        </w:rPr>
      </w:pPr>
    </w:p>
    <w:p w:rsidR="00382D1B" w:rsidRPr="009A5DC2" w:rsidRDefault="00ED636A" w:rsidP="00DA097A">
      <w:pPr>
        <w:spacing w:line="360" w:lineRule="auto"/>
        <w:ind w:left="720" w:hanging="720"/>
        <w:jc w:val="both"/>
        <w:rPr>
          <w:sz w:val="24"/>
        </w:rPr>
      </w:pPr>
      <w:r w:rsidRPr="009A5DC2">
        <w:rPr>
          <w:sz w:val="24"/>
        </w:rPr>
        <w:t>[3]</w:t>
      </w:r>
      <w:r w:rsidRPr="009A5DC2">
        <w:rPr>
          <w:sz w:val="24"/>
        </w:rPr>
        <w:tab/>
        <w:t>Polanocol</w:t>
      </w:r>
      <w:r w:rsidR="00097B73" w:rsidRPr="009A5DC2">
        <w:rPr>
          <w:sz w:val="24"/>
        </w:rPr>
        <w:t xml:space="preserve">, the </w:t>
      </w:r>
      <w:r w:rsidRPr="009A5DC2">
        <w:rPr>
          <w:sz w:val="24"/>
        </w:rPr>
        <w:t>Second R</w:t>
      </w:r>
      <w:r w:rsidR="00382D1B" w:rsidRPr="009A5DC2">
        <w:rPr>
          <w:sz w:val="24"/>
        </w:rPr>
        <w:t>espondent (“Bartman”)</w:t>
      </w:r>
      <w:r w:rsidR="00A41150" w:rsidRPr="009A5DC2">
        <w:rPr>
          <w:sz w:val="24"/>
        </w:rPr>
        <w:t xml:space="preserve"> </w:t>
      </w:r>
      <w:r w:rsidR="00097B73" w:rsidRPr="009A5DC2">
        <w:rPr>
          <w:sz w:val="24"/>
        </w:rPr>
        <w:t xml:space="preserve">and the </w:t>
      </w:r>
      <w:r w:rsidR="00F931A3" w:rsidRPr="009A5DC2">
        <w:rPr>
          <w:sz w:val="24"/>
        </w:rPr>
        <w:t xml:space="preserve">Intervening Parties </w:t>
      </w:r>
      <w:r w:rsidR="00A41150" w:rsidRPr="009A5DC2">
        <w:rPr>
          <w:sz w:val="24"/>
        </w:rPr>
        <w:t>oppose</w:t>
      </w:r>
      <w:r w:rsidR="00754444" w:rsidRPr="009A5DC2">
        <w:rPr>
          <w:sz w:val="24"/>
        </w:rPr>
        <w:t xml:space="preserve"> t</w:t>
      </w:r>
      <w:r w:rsidR="00A41150" w:rsidRPr="009A5DC2">
        <w:rPr>
          <w:sz w:val="24"/>
        </w:rPr>
        <w:t xml:space="preserve">he final order </w:t>
      </w:r>
      <w:r w:rsidR="00754444" w:rsidRPr="009A5DC2">
        <w:rPr>
          <w:sz w:val="24"/>
        </w:rPr>
        <w:t xml:space="preserve">on the following </w:t>
      </w:r>
      <w:r w:rsidR="009916D2" w:rsidRPr="009A5DC2">
        <w:rPr>
          <w:sz w:val="24"/>
        </w:rPr>
        <w:t>grounds</w:t>
      </w:r>
      <w:r w:rsidR="00754444" w:rsidRPr="009A5DC2">
        <w:rPr>
          <w:sz w:val="24"/>
        </w:rPr>
        <w:t>:</w:t>
      </w:r>
    </w:p>
    <w:p w:rsidR="00754444" w:rsidRPr="009A5DC2" w:rsidRDefault="00754444" w:rsidP="00DA097A">
      <w:pPr>
        <w:spacing w:line="360" w:lineRule="auto"/>
        <w:jc w:val="both"/>
        <w:rPr>
          <w:sz w:val="24"/>
        </w:rPr>
      </w:pPr>
      <w:r w:rsidRPr="009A5DC2">
        <w:rPr>
          <w:sz w:val="24"/>
        </w:rPr>
        <w:tab/>
        <w:t>2.1</w:t>
      </w:r>
      <w:r w:rsidRPr="009A5DC2">
        <w:rPr>
          <w:sz w:val="24"/>
        </w:rPr>
        <w:tab/>
        <w:t>The</w:t>
      </w:r>
      <w:r w:rsidR="00A41150" w:rsidRPr="009A5DC2">
        <w:rPr>
          <w:sz w:val="24"/>
        </w:rPr>
        <w:t>y deny the A</w:t>
      </w:r>
      <w:r w:rsidRPr="009A5DC2">
        <w:rPr>
          <w:sz w:val="24"/>
        </w:rPr>
        <w:t>pplicants’ claims against Polanocol;</w:t>
      </w:r>
    </w:p>
    <w:p w:rsidR="00754444" w:rsidRPr="009A5DC2" w:rsidRDefault="00B75E0C" w:rsidP="00DA097A">
      <w:pPr>
        <w:spacing w:line="360" w:lineRule="auto"/>
        <w:ind w:left="1560" w:hanging="851"/>
        <w:jc w:val="both"/>
        <w:rPr>
          <w:sz w:val="24"/>
        </w:rPr>
      </w:pPr>
      <w:r>
        <w:rPr>
          <w:sz w:val="24"/>
        </w:rPr>
        <w:t xml:space="preserve">2.2       </w:t>
      </w:r>
      <w:r w:rsidR="00754444" w:rsidRPr="009A5DC2">
        <w:rPr>
          <w:sz w:val="24"/>
        </w:rPr>
        <w:t xml:space="preserve">The deeming provisions in section 345(1)(a) of the </w:t>
      </w:r>
      <w:r w:rsidR="005859EA" w:rsidRPr="009A5DC2">
        <w:rPr>
          <w:sz w:val="24"/>
        </w:rPr>
        <w:t xml:space="preserve">1973 Companies </w:t>
      </w:r>
      <w:r w:rsidR="00754444" w:rsidRPr="009A5DC2">
        <w:rPr>
          <w:sz w:val="24"/>
        </w:rPr>
        <w:t>Act</w:t>
      </w:r>
      <w:r>
        <w:rPr>
          <w:sz w:val="24"/>
        </w:rPr>
        <w:t xml:space="preserve"> </w:t>
      </w:r>
      <w:r w:rsidRPr="009A5DC2">
        <w:rPr>
          <w:sz w:val="24"/>
        </w:rPr>
        <w:t>(</w:t>
      </w:r>
      <w:r w:rsidR="00754444" w:rsidRPr="009A5DC2">
        <w:rPr>
          <w:sz w:val="24"/>
        </w:rPr>
        <w:t xml:space="preserve">inability to </w:t>
      </w:r>
      <w:r w:rsidR="00AE3877" w:rsidRPr="009A5DC2">
        <w:rPr>
          <w:sz w:val="24"/>
        </w:rPr>
        <w:t>pay one’s debt) are</w:t>
      </w:r>
      <w:r w:rsidR="00754444" w:rsidRPr="009A5DC2">
        <w:rPr>
          <w:sz w:val="24"/>
        </w:rPr>
        <w:t xml:space="preserve"> not activated; and</w:t>
      </w:r>
    </w:p>
    <w:p w:rsidR="00754444" w:rsidRPr="009A5DC2" w:rsidRDefault="00754444" w:rsidP="00DA097A">
      <w:pPr>
        <w:spacing w:line="360" w:lineRule="auto"/>
        <w:jc w:val="both"/>
        <w:rPr>
          <w:sz w:val="24"/>
        </w:rPr>
      </w:pPr>
      <w:r w:rsidRPr="009A5DC2">
        <w:rPr>
          <w:sz w:val="24"/>
        </w:rPr>
        <w:tab/>
        <w:t>2.3</w:t>
      </w:r>
      <w:r w:rsidRPr="009A5DC2">
        <w:rPr>
          <w:sz w:val="24"/>
        </w:rPr>
        <w:tab/>
      </w:r>
      <w:r w:rsidR="00A41150" w:rsidRPr="009A5DC2">
        <w:rPr>
          <w:sz w:val="24"/>
        </w:rPr>
        <w:t>It w</w:t>
      </w:r>
      <w:r w:rsidRPr="009A5DC2">
        <w:rPr>
          <w:sz w:val="24"/>
        </w:rPr>
        <w:t>ould not be just and equitable for Polanocol to be wound up.</w:t>
      </w:r>
    </w:p>
    <w:p w:rsidR="00381B26" w:rsidRPr="009A5DC2" w:rsidRDefault="00C40C95" w:rsidP="00DA097A">
      <w:pPr>
        <w:spacing w:line="360" w:lineRule="auto"/>
        <w:ind w:left="720" w:hanging="720"/>
        <w:jc w:val="both"/>
        <w:rPr>
          <w:sz w:val="24"/>
        </w:rPr>
      </w:pPr>
      <w:r w:rsidRPr="009A5DC2">
        <w:rPr>
          <w:sz w:val="24"/>
        </w:rPr>
        <w:t xml:space="preserve">           </w:t>
      </w:r>
      <w:r w:rsidR="00381B26" w:rsidRPr="009A5DC2">
        <w:rPr>
          <w:sz w:val="24"/>
        </w:rPr>
        <w:t xml:space="preserve">The Third Respondent has not participated in these proceedings. Any </w:t>
      </w:r>
      <w:r w:rsidR="00A67E60" w:rsidRPr="009A5DC2">
        <w:rPr>
          <w:sz w:val="24"/>
        </w:rPr>
        <w:t>reference</w:t>
      </w:r>
      <w:r w:rsidR="00381B26" w:rsidRPr="009A5DC2">
        <w:rPr>
          <w:sz w:val="24"/>
        </w:rPr>
        <w:t xml:space="preserve"> to the Respondents in this judgment will thus be to the First and Second Respondents.</w:t>
      </w:r>
    </w:p>
    <w:p w:rsidR="00A67E60" w:rsidRPr="009A5DC2" w:rsidRDefault="00A67E60" w:rsidP="00DA097A">
      <w:pPr>
        <w:spacing w:line="360" w:lineRule="auto"/>
        <w:jc w:val="both"/>
        <w:rPr>
          <w:sz w:val="24"/>
        </w:rPr>
      </w:pPr>
    </w:p>
    <w:p w:rsidR="003F2799" w:rsidRPr="009A5DC2" w:rsidRDefault="00E65D5A" w:rsidP="00DA097A">
      <w:pPr>
        <w:tabs>
          <w:tab w:val="left" w:pos="567"/>
        </w:tabs>
        <w:spacing w:line="360" w:lineRule="auto"/>
        <w:ind w:left="709" w:hanging="709"/>
        <w:jc w:val="both"/>
        <w:rPr>
          <w:sz w:val="24"/>
        </w:rPr>
      </w:pPr>
      <w:r w:rsidRPr="009A5DC2">
        <w:rPr>
          <w:sz w:val="24"/>
        </w:rPr>
        <w:t xml:space="preserve">[4] </w:t>
      </w:r>
      <w:r w:rsidR="00C40C95" w:rsidRPr="009A5DC2">
        <w:rPr>
          <w:sz w:val="24"/>
        </w:rPr>
        <w:t xml:space="preserve">   </w:t>
      </w:r>
      <w:r w:rsidR="00794315" w:rsidRPr="009A5DC2">
        <w:rPr>
          <w:sz w:val="24"/>
        </w:rPr>
        <w:t xml:space="preserve"> </w:t>
      </w:r>
      <w:r w:rsidR="00F26F2A">
        <w:rPr>
          <w:sz w:val="24"/>
        </w:rPr>
        <w:t xml:space="preserve"> </w:t>
      </w:r>
      <w:r w:rsidR="003F2799" w:rsidRPr="009A5DC2">
        <w:rPr>
          <w:sz w:val="24"/>
        </w:rPr>
        <w:t xml:space="preserve">After the provisional winding up order was granted the Intervening </w:t>
      </w:r>
      <w:r w:rsidR="009F2C8A" w:rsidRPr="009A5DC2">
        <w:rPr>
          <w:sz w:val="24"/>
        </w:rPr>
        <w:t>P</w:t>
      </w:r>
      <w:r w:rsidR="003F2799" w:rsidRPr="009A5DC2">
        <w:rPr>
          <w:sz w:val="24"/>
        </w:rPr>
        <w:t xml:space="preserve">arties </w:t>
      </w:r>
      <w:r w:rsidR="005859EA" w:rsidRPr="009A5DC2">
        <w:rPr>
          <w:sz w:val="24"/>
        </w:rPr>
        <w:t xml:space="preserve">applied successfully to intervene and filed an </w:t>
      </w:r>
      <w:r w:rsidR="003F2799" w:rsidRPr="009A5DC2">
        <w:rPr>
          <w:sz w:val="24"/>
        </w:rPr>
        <w:t>answering affidavit</w:t>
      </w:r>
      <w:r w:rsidR="005859EA" w:rsidRPr="009A5DC2">
        <w:rPr>
          <w:sz w:val="24"/>
        </w:rPr>
        <w:t xml:space="preserve"> to the Applicants’ founding affidavit</w:t>
      </w:r>
      <w:r w:rsidR="003F2799" w:rsidRPr="009A5DC2">
        <w:rPr>
          <w:sz w:val="24"/>
        </w:rPr>
        <w:t xml:space="preserve">. In Applicants’ replying affidavit thereto Dalton raised for the first time a further ground for the just and equitable winding up of Polanocol. This was to the effect that the entire business model of Polanocol contravenes the Share Block Control Act </w:t>
      </w:r>
      <w:r w:rsidR="009F2C8A" w:rsidRPr="009A5DC2">
        <w:rPr>
          <w:sz w:val="24"/>
        </w:rPr>
        <w:t xml:space="preserve">59 of </w:t>
      </w:r>
      <w:r w:rsidR="003F2799" w:rsidRPr="009A5DC2">
        <w:rPr>
          <w:sz w:val="24"/>
        </w:rPr>
        <w:t>1980</w:t>
      </w:r>
      <w:r w:rsidR="006B6BE5">
        <w:rPr>
          <w:sz w:val="24"/>
        </w:rPr>
        <w:t xml:space="preserve"> (“Share Block Act”)</w:t>
      </w:r>
      <w:r w:rsidR="003F2799" w:rsidRPr="009A5DC2">
        <w:rPr>
          <w:sz w:val="24"/>
        </w:rPr>
        <w:t xml:space="preserve"> read with the definition of Agricultural Land in the Sub</w:t>
      </w:r>
      <w:r w:rsidR="009F2C8A" w:rsidRPr="009A5DC2">
        <w:rPr>
          <w:sz w:val="24"/>
        </w:rPr>
        <w:t>-</w:t>
      </w:r>
      <w:r w:rsidR="003F2799" w:rsidRPr="009A5DC2">
        <w:rPr>
          <w:sz w:val="24"/>
        </w:rPr>
        <w:t xml:space="preserve">division of Agricultural Land Act </w:t>
      </w:r>
      <w:r w:rsidR="009F2C8A" w:rsidRPr="009A5DC2">
        <w:rPr>
          <w:sz w:val="24"/>
        </w:rPr>
        <w:t xml:space="preserve">70 of </w:t>
      </w:r>
      <w:r w:rsidR="003F2799" w:rsidRPr="009A5DC2">
        <w:rPr>
          <w:sz w:val="24"/>
        </w:rPr>
        <w:t>1970</w:t>
      </w:r>
      <w:r w:rsidR="006B6BE5">
        <w:rPr>
          <w:sz w:val="24"/>
        </w:rPr>
        <w:t xml:space="preserve"> (“SAL Act”)</w:t>
      </w:r>
      <w:r w:rsidR="003F2799" w:rsidRPr="009A5DC2">
        <w:rPr>
          <w:sz w:val="24"/>
        </w:rPr>
        <w:t xml:space="preserve"> and that its continued functioning will be in contravention of the law. The Intervening Parties applied to strike out these further grounds</w:t>
      </w:r>
      <w:r w:rsidRPr="009A5DC2">
        <w:rPr>
          <w:sz w:val="24"/>
        </w:rPr>
        <w:t>.</w:t>
      </w:r>
      <w:r w:rsidR="003F2799" w:rsidRPr="009A5DC2">
        <w:rPr>
          <w:sz w:val="24"/>
        </w:rPr>
        <w:t xml:space="preserve"> </w:t>
      </w:r>
      <w:r w:rsidRPr="009A5DC2">
        <w:rPr>
          <w:sz w:val="24"/>
        </w:rPr>
        <w:t>That application is conveniently dealt with in context after the background facts</w:t>
      </w:r>
      <w:r w:rsidR="00C7644E">
        <w:rPr>
          <w:sz w:val="24"/>
        </w:rPr>
        <w:t xml:space="preserve"> are set out below.</w:t>
      </w:r>
    </w:p>
    <w:p w:rsidR="00754444" w:rsidRPr="009A5DC2" w:rsidRDefault="00754444" w:rsidP="00DA097A">
      <w:pPr>
        <w:spacing w:line="360" w:lineRule="auto"/>
        <w:jc w:val="both"/>
        <w:rPr>
          <w:sz w:val="24"/>
        </w:rPr>
      </w:pPr>
    </w:p>
    <w:p w:rsidR="00754444" w:rsidRPr="009A5DC2" w:rsidRDefault="00754444" w:rsidP="00DA097A">
      <w:pPr>
        <w:spacing w:line="360" w:lineRule="auto"/>
        <w:jc w:val="both"/>
        <w:rPr>
          <w:sz w:val="24"/>
          <w:u w:val="single"/>
        </w:rPr>
      </w:pPr>
      <w:r w:rsidRPr="009A5DC2">
        <w:rPr>
          <w:sz w:val="24"/>
          <w:u w:val="single"/>
        </w:rPr>
        <w:lastRenderedPageBreak/>
        <w:t>Background facts</w:t>
      </w:r>
    </w:p>
    <w:p w:rsidR="00CB7B20" w:rsidRPr="009A5DC2" w:rsidRDefault="00754444" w:rsidP="00DA097A">
      <w:pPr>
        <w:spacing w:line="360" w:lineRule="auto"/>
        <w:ind w:left="720" w:hanging="720"/>
        <w:jc w:val="both"/>
        <w:rPr>
          <w:sz w:val="24"/>
        </w:rPr>
      </w:pPr>
      <w:r w:rsidRPr="009A5DC2">
        <w:rPr>
          <w:sz w:val="24"/>
        </w:rPr>
        <w:t>[</w:t>
      </w:r>
      <w:r w:rsidR="00A67E60" w:rsidRPr="009A5DC2">
        <w:rPr>
          <w:sz w:val="24"/>
        </w:rPr>
        <w:t>5</w:t>
      </w:r>
      <w:r w:rsidRPr="009A5DC2">
        <w:rPr>
          <w:sz w:val="24"/>
        </w:rPr>
        <w:t>]</w:t>
      </w:r>
      <w:r w:rsidRPr="009A5DC2">
        <w:rPr>
          <w:sz w:val="24"/>
        </w:rPr>
        <w:tab/>
      </w:r>
      <w:r w:rsidR="00A41150" w:rsidRPr="009A5DC2">
        <w:rPr>
          <w:sz w:val="24"/>
        </w:rPr>
        <w:t>The A</w:t>
      </w:r>
      <w:r w:rsidRPr="009A5DC2">
        <w:rPr>
          <w:sz w:val="24"/>
        </w:rPr>
        <w:t>pplicants’ claims have their genesis in a project embarked upon</w:t>
      </w:r>
      <w:r w:rsidR="00975F06">
        <w:rPr>
          <w:sz w:val="24"/>
        </w:rPr>
        <w:t xml:space="preserve"> in 2017</w:t>
      </w:r>
      <w:r w:rsidRPr="009A5DC2">
        <w:rPr>
          <w:sz w:val="24"/>
        </w:rPr>
        <w:t xml:space="preserve"> by Dalton</w:t>
      </w:r>
      <w:r w:rsidR="00E258FC" w:rsidRPr="009A5DC2">
        <w:rPr>
          <w:sz w:val="24"/>
        </w:rPr>
        <w:t>, the sole director and shareholder of Payapp</w:t>
      </w:r>
      <w:r w:rsidR="00770DFE" w:rsidRPr="009A5DC2">
        <w:rPr>
          <w:sz w:val="24"/>
        </w:rPr>
        <w:t>,</w:t>
      </w:r>
      <w:r w:rsidRPr="009A5DC2">
        <w:rPr>
          <w:sz w:val="24"/>
        </w:rPr>
        <w:t xml:space="preserve"> and Bartman</w:t>
      </w:r>
      <w:r w:rsidR="00975F06">
        <w:rPr>
          <w:sz w:val="24"/>
        </w:rPr>
        <w:t>,</w:t>
      </w:r>
      <w:r w:rsidRPr="009A5DC2">
        <w:rPr>
          <w:sz w:val="24"/>
        </w:rPr>
        <w:t xml:space="preserve"> to establish a self-sustainin</w:t>
      </w:r>
      <w:r w:rsidR="00A41150" w:rsidRPr="009A5DC2">
        <w:rPr>
          <w:sz w:val="24"/>
        </w:rPr>
        <w:t>g residential community.</w:t>
      </w:r>
      <w:r w:rsidR="00E258FC" w:rsidRPr="009A5DC2">
        <w:rPr>
          <w:sz w:val="24"/>
        </w:rPr>
        <w:t xml:space="preserve"> </w:t>
      </w:r>
      <w:r w:rsidR="00A41150" w:rsidRPr="009A5DC2">
        <w:rPr>
          <w:sz w:val="24"/>
        </w:rPr>
        <w:t xml:space="preserve"> For this</w:t>
      </w:r>
      <w:r w:rsidRPr="009A5DC2">
        <w:rPr>
          <w:sz w:val="24"/>
        </w:rPr>
        <w:t xml:space="preserve"> purpose</w:t>
      </w:r>
      <w:r w:rsidR="00975F06">
        <w:rPr>
          <w:sz w:val="24"/>
        </w:rPr>
        <w:t>,</w:t>
      </w:r>
      <w:r w:rsidRPr="009A5DC2">
        <w:rPr>
          <w:sz w:val="24"/>
        </w:rPr>
        <w:t xml:space="preserve"> they purchased Polanocol as a shelf company</w:t>
      </w:r>
      <w:r w:rsidR="00E258FC" w:rsidRPr="009A5DC2">
        <w:rPr>
          <w:sz w:val="24"/>
        </w:rPr>
        <w:t>.</w:t>
      </w:r>
      <w:r w:rsidR="00AC059F" w:rsidRPr="009A5DC2">
        <w:rPr>
          <w:sz w:val="24"/>
        </w:rPr>
        <w:t xml:space="preserve"> Bartman and Dalton were appointed as directors of Polanocol and were equal shareholders. </w:t>
      </w:r>
      <w:r w:rsidR="00770DFE" w:rsidRPr="009A5DC2">
        <w:rPr>
          <w:sz w:val="24"/>
        </w:rPr>
        <w:t xml:space="preserve">Polanocol </w:t>
      </w:r>
      <w:r w:rsidRPr="009A5DC2">
        <w:rPr>
          <w:sz w:val="24"/>
        </w:rPr>
        <w:t>purchased a 1172ha farm</w:t>
      </w:r>
      <w:r w:rsidR="00770DFE" w:rsidRPr="009A5DC2">
        <w:rPr>
          <w:sz w:val="24"/>
        </w:rPr>
        <w:t xml:space="preserve"> named </w:t>
      </w:r>
      <w:r w:rsidR="00097B73" w:rsidRPr="009A5DC2">
        <w:rPr>
          <w:sz w:val="24"/>
        </w:rPr>
        <w:t xml:space="preserve"> Dalbarton</w:t>
      </w:r>
      <w:r w:rsidRPr="009A5DC2">
        <w:rPr>
          <w:sz w:val="24"/>
        </w:rPr>
        <w:t xml:space="preserve"> on the </w:t>
      </w:r>
      <w:r w:rsidR="00097B73" w:rsidRPr="009A5DC2">
        <w:rPr>
          <w:sz w:val="24"/>
        </w:rPr>
        <w:t xml:space="preserve"> Cape </w:t>
      </w:r>
      <w:r w:rsidRPr="009A5DC2">
        <w:rPr>
          <w:sz w:val="24"/>
        </w:rPr>
        <w:t>West Coast</w:t>
      </w:r>
      <w:r w:rsidR="00A41150" w:rsidRPr="009A5DC2">
        <w:rPr>
          <w:sz w:val="24"/>
        </w:rPr>
        <w:t xml:space="preserve">  </w:t>
      </w:r>
      <w:r w:rsidRPr="009A5DC2">
        <w:rPr>
          <w:sz w:val="24"/>
        </w:rPr>
        <w:t>for a purc</w:t>
      </w:r>
      <w:r w:rsidR="00A41150" w:rsidRPr="009A5DC2">
        <w:rPr>
          <w:sz w:val="24"/>
        </w:rPr>
        <w:t>hase price of R10 million</w:t>
      </w:r>
      <w:r w:rsidR="00770DFE" w:rsidRPr="009A5DC2">
        <w:rPr>
          <w:sz w:val="24"/>
        </w:rPr>
        <w:t>,</w:t>
      </w:r>
      <w:r w:rsidR="00097B73" w:rsidRPr="009A5DC2">
        <w:rPr>
          <w:sz w:val="24"/>
        </w:rPr>
        <w:t xml:space="preserve"> for the purpose of selling portions thereof to persons who would form part of their envisaged </w:t>
      </w:r>
      <w:r w:rsidR="00A67E60" w:rsidRPr="009A5DC2">
        <w:rPr>
          <w:sz w:val="24"/>
        </w:rPr>
        <w:t>self-sustaining</w:t>
      </w:r>
      <w:r w:rsidR="00097B73" w:rsidRPr="009A5DC2">
        <w:rPr>
          <w:sz w:val="24"/>
        </w:rPr>
        <w:t xml:space="preserve"> residential community.</w:t>
      </w:r>
      <w:r w:rsidR="00E258FC" w:rsidRPr="009A5DC2">
        <w:rPr>
          <w:sz w:val="24"/>
        </w:rPr>
        <w:t xml:space="preserve"> </w:t>
      </w:r>
      <w:r w:rsidR="00097B73" w:rsidRPr="009A5DC2">
        <w:rPr>
          <w:sz w:val="24"/>
        </w:rPr>
        <w:t xml:space="preserve"> </w:t>
      </w:r>
      <w:r w:rsidR="00E13AAE" w:rsidRPr="009A5DC2">
        <w:rPr>
          <w:sz w:val="24"/>
        </w:rPr>
        <w:t xml:space="preserve">According to the Applicants, </w:t>
      </w:r>
      <w:r w:rsidR="006E10D4" w:rsidRPr="009A5DC2">
        <w:rPr>
          <w:sz w:val="24"/>
        </w:rPr>
        <w:t>R3,300</w:t>
      </w:r>
      <w:r w:rsidR="006E10D4">
        <w:rPr>
          <w:sz w:val="24"/>
        </w:rPr>
        <w:t xml:space="preserve"> 000</w:t>
      </w:r>
      <w:r w:rsidR="006E10D4" w:rsidRPr="009A5DC2">
        <w:rPr>
          <w:sz w:val="24"/>
        </w:rPr>
        <w:t>.00 (three million three hundred thousand)</w:t>
      </w:r>
      <w:r w:rsidR="006E10D4">
        <w:rPr>
          <w:sz w:val="24"/>
        </w:rPr>
        <w:t xml:space="preserve"> </w:t>
      </w:r>
      <w:r w:rsidR="00C7644E" w:rsidRPr="009A5DC2">
        <w:rPr>
          <w:sz w:val="24"/>
        </w:rPr>
        <w:t xml:space="preserve"> </w:t>
      </w:r>
      <w:r w:rsidR="00E13AAE" w:rsidRPr="009A5DC2">
        <w:rPr>
          <w:sz w:val="24"/>
        </w:rPr>
        <w:t xml:space="preserve">of the purchase price was paid by Payapp on behalf of Polanocol, as a loan to the latter. This is refuted by the Respondents and Intervening </w:t>
      </w:r>
      <w:r w:rsidR="00CB7B20" w:rsidRPr="009A5DC2">
        <w:rPr>
          <w:sz w:val="24"/>
        </w:rPr>
        <w:t>Parties.</w:t>
      </w:r>
    </w:p>
    <w:p w:rsidR="00A67E60" w:rsidRPr="009A5DC2" w:rsidRDefault="00A67E60" w:rsidP="00DA097A">
      <w:pPr>
        <w:spacing w:line="360" w:lineRule="auto"/>
        <w:ind w:left="720" w:hanging="720"/>
        <w:jc w:val="both"/>
        <w:rPr>
          <w:sz w:val="24"/>
        </w:rPr>
      </w:pPr>
    </w:p>
    <w:p w:rsidR="00097B73" w:rsidRPr="009A5DC2" w:rsidRDefault="00E65D5A" w:rsidP="00DA097A">
      <w:pPr>
        <w:spacing w:line="360" w:lineRule="auto"/>
        <w:ind w:left="720" w:hanging="720"/>
        <w:jc w:val="both"/>
        <w:rPr>
          <w:color w:val="000000" w:themeColor="text1"/>
          <w:sz w:val="24"/>
        </w:rPr>
      </w:pPr>
      <w:r w:rsidRPr="009A5DC2">
        <w:rPr>
          <w:sz w:val="24"/>
        </w:rPr>
        <w:t xml:space="preserve">[6] </w:t>
      </w:r>
      <w:r w:rsidR="00172989" w:rsidRPr="009A5DC2">
        <w:rPr>
          <w:sz w:val="24"/>
        </w:rPr>
        <w:t xml:space="preserve">     </w:t>
      </w:r>
      <w:r w:rsidR="00097B73" w:rsidRPr="009A5DC2">
        <w:rPr>
          <w:sz w:val="24"/>
        </w:rPr>
        <w:t>The</w:t>
      </w:r>
      <w:r w:rsidR="00770DFE" w:rsidRPr="009A5DC2">
        <w:rPr>
          <w:sz w:val="24"/>
        </w:rPr>
        <w:t xml:space="preserve"> Intervening Parties</w:t>
      </w:r>
      <w:r w:rsidR="00097B73" w:rsidRPr="009A5DC2">
        <w:rPr>
          <w:sz w:val="24"/>
        </w:rPr>
        <w:t xml:space="preserve"> are investors who purchased portions of the farm and who reside thereon</w:t>
      </w:r>
      <w:r w:rsidR="008B124C" w:rsidRPr="009A5DC2">
        <w:rPr>
          <w:sz w:val="24"/>
        </w:rPr>
        <w:t xml:space="preserve">. They have also entered into contracts for the purchase of </w:t>
      </w:r>
      <w:r w:rsidR="00794315" w:rsidRPr="009A5DC2">
        <w:rPr>
          <w:sz w:val="24"/>
        </w:rPr>
        <w:t xml:space="preserve">shares in </w:t>
      </w:r>
      <w:r w:rsidR="00770DFE" w:rsidRPr="009A5DC2">
        <w:rPr>
          <w:sz w:val="24"/>
        </w:rPr>
        <w:t>Polanocol</w:t>
      </w:r>
      <w:r w:rsidR="008B124C" w:rsidRPr="009A5DC2">
        <w:rPr>
          <w:sz w:val="24"/>
        </w:rPr>
        <w:t>.</w:t>
      </w:r>
      <w:r w:rsidR="00097B73" w:rsidRPr="009A5DC2">
        <w:rPr>
          <w:sz w:val="24"/>
        </w:rPr>
        <w:t xml:space="preserve"> </w:t>
      </w:r>
      <w:r w:rsidR="00E13AAE" w:rsidRPr="009A5DC2">
        <w:rPr>
          <w:color w:val="000000" w:themeColor="text1"/>
          <w:sz w:val="24"/>
        </w:rPr>
        <w:t xml:space="preserve">Their </w:t>
      </w:r>
      <w:r w:rsidR="00A67E60" w:rsidRPr="009A5DC2">
        <w:rPr>
          <w:color w:val="000000" w:themeColor="text1"/>
          <w:sz w:val="24"/>
        </w:rPr>
        <w:t>shares in</w:t>
      </w:r>
      <w:r w:rsidR="00E13AAE" w:rsidRPr="009A5DC2">
        <w:rPr>
          <w:color w:val="000000" w:themeColor="text1"/>
          <w:sz w:val="24"/>
        </w:rPr>
        <w:t xml:space="preserve"> Polanocol enabled them to occupy designated stands on the farm Dalbarton at one share </w:t>
      </w:r>
      <w:r w:rsidR="00A67E60" w:rsidRPr="009A5DC2">
        <w:rPr>
          <w:color w:val="000000" w:themeColor="text1"/>
          <w:sz w:val="24"/>
        </w:rPr>
        <w:t>per 1000</w:t>
      </w:r>
      <w:r w:rsidR="00E13AAE" w:rsidRPr="009A5DC2">
        <w:rPr>
          <w:color w:val="000000" w:themeColor="text1"/>
          <w:sz w:val="24"/>
        </w:rPr>
        <w:t>m².</w:t>
      </w:r>
    </w:p>
    <w:p w:rsidR="00C261EE" w:rsidRPr="009A5DC2" w:rsidRDefault="00C261EE" w:rsidP="00DA097A">
      <w:pPr>
        <w:spacing w:line="360" w:lineRule="auto"/>
        <w:jc w:val="both"/>
        <w:rPr>
          <w:color w:val="000000" w:themeColor="text1"/>
          <w:sz w:val="24"/>
        </w:rPr>
      </w:pPr>
    </w:p>
    <w:p w:rsidR="00E65D5A" w:rsidRPr="009A5DC2" w:rsidRDefault="00C261EE" w:rsidP="00DA097A">
      <w:pPr>
        <w:spacing w:line="360" w:lineRule="auto"/>
        <w:ind w:left="720" w:hanging="720"/>
        <w:jc w:val="both"/>
        <w:rPr>
          <w:color w:val="000000" w:themeColor="text1"/>
          <w:sz w:val="24"/>
        </w:rPr>
      </w:pPr>
      <w:r w:rsidRPr="009A5DC2">
        <w:rPr>
          <w:color w:val="000000" w:themeColor="text1"/>
          <w:sz w:val="24"/>
        </w:rPr>
        <w:t>[</w:t>
      </w:r>
      <w:r w:rsidR="00E65D5A" w:rsidRPr="009A5DC2">
        <w:rPr>
          <w:color w:val="000000" w:themeColor="text1"/>
          <w:sz w:val="24"/>
        </w:rPr>
        <w:t>7]</w:t>
      </w:r>
      <w:r w:rsidRPr="009A5DC2">
        <w:rPr>
          <w:color w:val="000000" w:themeColor="text1"/>
          <w:sz w:val="24"/>
        </w:rPr>
        <w:tab/>
      </w:r>
      <w:r w:rsidR="00CB7B20" w:rsidRPr="009A5DC2">
        <w:rPr>
          <w:color w:val="000000" w:themeColor="text1"/>
          <w:sz w:val="24"/>
        </w:rPr>
        <w:t xml:space="preserve">Once investors </w:t>
      </w:r>
      <w:r w:rsidR="00A67E60" w:rsidRPr="009A5DC2">
        <w:rPr>
          <w:color w:val="000000" w:themeColor="text1"/>
          <w:sz w:val="24"/>
        </w:rPr>
        <w:t>had paid</w:t>
      </w:r>
      <w:r w:rsidRPr="009A5DC2">
        <w:rPr>
          <w:color w:val="000000" w:themeColor="text1"/>
          <w:sz w:val="24"/>
        </w:rPr>
        <w:t xml:space="preserve"> their purchase price</w:t>
      </w:r>
      <w:r w:rsidR="00E13AAE" w:rsidRPr="009A5DC2">
        <w:rPr>
          <w:color w:val="000000" w:themeColor="text1"/>
          <w:sz w:val="24"/>
        </w:rPr>
        <w:t>s</w:t>
      </w:r>
      <w:r w:rsidRPr="009A5DC2">
        <w:rPr>
          <w:color w:val="000000" w:themeColor="text1"/>
          <w:sz w:val="24"/>
        </w:rPr>
        <w:t xml:space="preserve"> in full they were presented </w:t>
      </w:r>
      <w:r w:rsidR="00A67E60" w:rsidRPr="009A5DC2">
        <w:rPr>
          <w:color w:val="000000" w:themeColor="text1"/>
          <w:sz w:val="24"/>
        </w:rPr>
        <w:t>with shareholder</w:t>
      </w:r>
      <w:r w:rsidR="007C05EE">
        <w:rPr>
          <w:color w:val="000000" w:themeColor="text1"/>
          <w:sz w:val="24"/>
        </w:rPr>
        <w:t>’</w:t>
      </w:r>
      <w:r w:rsidR="00A67E60" w:rsidRPr="009A5DC2">
        <w:rPr>
          <w:color w:val="000000" w:themeColor="text1"/>
          <w:sz w:val="24"/>
        </w:rPr>
        <w:t>s</w:t>
      </w:r>
      <w:r w:rsidRPr="009A5DC2">
        <w:rPr>
          <w:color w:val="000000" w:themeColor="text1"/>
          <w:sz w:val="24"/>
        </w:rPr>
        <w:t xml:space="preserve"> agreement</w:t>
      </w:r>
      <w:r w:rsidR="00E13AAE" w:rsidRPr="009A5DC2">
        <w:rPr>
          <w:color w:val="000000" w:themeColor="text1"/>
          <w:sz w:val="24"/>
        </w:rPr>
        <w:t>s which e</w:t>
      </w:r>
      <w:r w:rsidRPr="009A5DC2">
        <w:rPr>
          <w:color w:val="000000" w:themeColor="text1"/>
          <w:sz w:val="24"/>
        </w:rPr>
        <w:t xml:space="preserve">ach shareholder as well as a representative of Polanocol signed. </w:t>
      </w:r>
      <w:r w:rsidR="00E13AAE" w:rsidRPr="009A5DC2">
        <w:rPr>
          <w:color w:val="000000" w:themeColor="text1"/>
          <w:sz w:val="24"/>
        </w:rPr>
        <w:t>Bartman’s answering affidavit states</w:t>
      </w:r>
      <w:r w:rsidR="00E65D5A" w:rsidRPr="009A5DC2">
        <w:rPr>
          <w:color w:val="000000" w:themeColor="text1"/>
          <w:sz w:val="24"/>
        </w:rPr>
        <w:t>:</w:t>
      </w:r>
    </w:p>
    <w:p w:rsidR="00C261EE" w:rsidRPr="00DA097A" w:rsidRDefault="00C40C95" w:rsidP="00DA097A">
      <w:pPr>
        <w:spacing w:line="360" w:lineRule="auto"/>
        <w:ind w:left="1440" w:hanging="720"/>
        <w:jc w:val="both"/>
        <w:rPr>
          <w:i/>
          <w:color w:val="000000" w:themeColor="text1"/>
          <w:sz w:val="22"/>
        </w:rPr>
      </w:pPr>
      <w:r w:rsidRPr="00DA097A">
        <w:rPr>
          <w:i/>
          <w:color w:val="000000" w:themeColor="text1"/>
          <w:sz w:val="22"/>
        </w:rPr>
        <w:t xml:space="preserve">          </w:t>
      </w:r>
      <w:r w:rsidR="00C261EE" w:rsidRPr="00DA097A">
        <w:rPr>
          <w:i/>
          <w:color w:val="000000" w:themeColor="text1"/>
          <w:sz w:val="22"/>
        </w:rPr>
        <w:t xml:space="preserve">“There appeared to be some 70 investors who had paid in full for their shares in Polanocol. </w:t>
      </w:r>
      <w:r w:rsidR="00E13AAE" w:rsidRPr="00DA097A">
        <w:rPr>
          <w:i/>
          <w:color w:val="000000" w:themeColor="text1"/>
          <w:sz w:val="22"/>
        </w:rPr>
        <w:t>T</w:t>
      </w:r>
      <w:r w:rsidR="00C261EE" w:rsidRPr="00DA097A">
        <w:rPr>
          <w:i/>
          <w:color w:val="000000" w:themeColor="text1"/>
          <w:sz w:val="22"/>
        </w:rPr>
        <w:t>hese investors have contributed (some have used their entire lifesavings) to the purchase price of the farm, the installation of services and the day-to-day running costs of the D</w:t>
      </w:r>
      <w:r w:rsidR="00E13AAE" w:rsidRPr="00DA097A">
        <w:rPr>
          <w:i/>
          <w:color w:val="000000" w:themeColor="text1"/>
          <w:sz w:val="22"/>
        </w:rPr>
        <w:t>albarton</w:t>
      </w:r>
      <w:r w:rsidR="00C261EE" w:rsidRPr="00DA097A">
        <w:rPr>
          <w:i/>
          <w:color w:val="000000" w:themeColor="text1"/>
          <w:sz w:val="22"/>
        </w:rPr>
        <w:t xml:space="preserve"> Community. Many of them already reside on the farm and take part in subsistence farming activities to maintain themselves. To the best of my knowledge they all wish to continue with the D</w:t>
      </w:r>
      <w:r w:rsidR="00E13AAE" w:rsidRPr="00DA097A">
        <w:rPr>
          <w:i/>
          <w:color w:val="000000" w:themeColor="text1"/>
          <w:sz w:val="22"/>
        </w:rPr>
        <w:t>albarton</w:t>
      </w:r>
      <w:r w:rsidR="00C261EE" w:rsidRPr="00DA097A">
        <w:rPr>
          <w:i/>
          <w:color w:val="000000" w:themeColor="text1"/>
          <w:sz w:val="22"/>
        </w:rPr>
        <w:t xml:space="preserve"> concept, to become shareholders in Polanocol, and to reside on the farm.”</w:t>
      </w:r>
    </w:p>
    <w:p w:rsidR="00754444" w:rsidRPr="00C421EF" w:rsidRDefault="00754444" w:rsidP="00C421EF">
      <w:pPr>
        <w:pStyle w:val="NoSpacing"/>
      </w:pPr>
    </w:p>
    <w:p w:rsidR="00754444" w:rsidRPr="009A5DC2" w:rsidRDefault="00754444" w:rsidP="00DA097A">
      <w:pPr>
        <w:spacing w:line="360" w:lineRule="auto"/>
        <w:ind w:left="720" w:hanging="720"/>
        <w:jc w:val="both"/>
        <w:rPr>
          <w:sz w:val="24"/>
        </w:rPr>
      </w:pPr>
      <w:r w:rsidRPr="009A5DC2">
        <w:rPr>
          <w:sz w:val="24"/>
        </w:rPr>
        <w:t>[</w:t>
      </w:r>
      <w:r w:rsidR="00876FF8" w:rsidRPr="009A5DC2">
        <w:rPr>
          <w:sz w:val="24"/>
        </w:rPr>
        <w:t>8</w:t>
      </w:r>
      <w:r w:rsidRPr="009A5DC2">
        <w:rPr>
          <w:sz w:val="24"/>
        </w:rPr>
        <w:t>]</w:t>
      </w:r>
      <w:r w:rsidRPr="009A5DC2">
        <w:rPr>
          <w:sz w:val="24"/>
        </w:rPr>
        <w:tab/>
        <w:t xml:space="preserve">It is </w:t>
      </w:r>
      <w:r w:rsidR="0054412A" w:rsidRPr="009A5DC2">
        <w:rPr>
          <w:sz w:val="24"/>
        </w:rPr>
        <w:t>common cause</w:t>
      </w:r>
      <w:r w:rsidRPr="009A5DC2">
        <w:rPr>
          <w:sz w:val="24"/>
        </w:rPr>
        <w:t xml:space="preserve"> that by 2021, the working relationship and mutual </w:t>
      </w:r>
      <w:r w:rsidR="009916D2" w:rsidRPr="009A5DC2">
        <w:rPr>
          <w:sz w:val="24"/>
        </w:rPr>
        <w:t>trust between</w:t>
      </w:r>
      <w:r w:rsidRPr="009A5DC2">
        <w:rPr>
          <w:sz w:val="24"/>
        </w:rPr>
        <w:t xml:space="preserve"> Dalton and Bartman had deteriorated to such an extent that Dalton resigned from his position as director of Polanocol. Dalton however continues to reside on the farm. </w:t>
      </w:r>
      <w:r w:rsidR="00EC45A3" w:rsidRPr="009A5DC2">
        <w:rPr>
          <w:sz w:val="24"/>
        </w:rPr>
        <w:t xml:space="preserve">The Applicants’ characterisation of their relationship as </w:t>
      </w:r>
      <w:r w:rsidR="00EC45A3" w:rsidRPr="009A5DC2">
        <w:rPr>
          <w:sz w:val="24"/>
        </w:rPr>
        <w:lastRenderedPageBreak/>
        <w:t xml:space="preserve">one of litigation and confrontation appears to be apposite. This, as </w:t>
      </w:r>
      <w:r w:rsidR="00576A9C">
        <w:rPr>
          <w:sz w:val="24"/>
        </w:rPr>
        <w:t xml:space="preserve">the </w:t>
      </w:r>
      <w:r w:rsidR="00C7644E">
        <w:rPr>
          <w:sz w:val="24"/>
        </w:rPr>
        <w:t>A</w:t>
      </w:r>
      <w:r w:rsidR="00EC45A3" w:rsidRPr="009A5DC2">
        <w:rPr>
          <w:sz w:val="24"/>
        </w:rPr>
        <w:t>pplicant</w:t>
      </w:r>
      <w:r w:rsidR="00576A9C">
        <w:rPr>
          <w:sz w:val="24"/>
        </w:rPr>
        <w:t>s</w:t>
      </w:r>
      <w:r w:rsidR="00EC45A3" w:rsidRPr="009A5DC2">
        <w:rPr>
          <w:sz w:val="24"/>
        </w:rPr>
        <w:t xml:space="preserve"> contend is evidenced by the interim protection </w:t>
      </w:r>
      <w:r w:rsidR="00A67E60" w:rsidRPr="009A5DC2">
        <w:rPr>
          <w:sz w:val="24"/>
        </w:rPr>
        <w:t>orders they</w:t>
      </w:r>
      <w:r w:rsidR="00EC45A3" w:rsidRPr="009A5DC2">
        <w:rPr>
          <w:sz w:val="24"/>
        </w:rPr>
        <w:t xml:space="preserve"> issued against each other and the spoliation order and interim interdict Dalton obtained against </w:t>
      </w:r>
      <w:r w:rsidR="00EC45A3" w:rsidRPr="009A5DC2">
        <w:rPr>
          <w:i/>
          <w:sz w:val="24"/>
        </w:rPr>
        <w:t xml:space="preserve">inter alia, </w:t>
      </w:r>
      <w:r w:rsidR="00EC45A3" w:rsidRPr="009A5DC2">
        <w:rPr>
          <w:sz w:val="24"/>
        </w:rPr>
        <w:t>Bartman in this court under case no: 6482/2022, which interdict was subsequently made final.</w:t>
      </w:r>
    </w:p>
    <w:p w:rsidR="00A67E60" w:rsidRPr="009A5DC2" w:rsidRDefault="00A67E60" w:rsidP="00DA097A">
      <w:pPr>
        <w:spacing w:line="360" w:lineRule="auto"/>
        <w:jc w:val="both"/>
        <w:rPr>
          <w:sz w:val="24"/>
        </w:rPr>
      </w:pPr>
    </w:p>
    <w:p w:rsidR="00EC45A3" w:rsidRPr="009A5DC2" w:rsidRDefault="00EC45A3" w:rsidP="00DA097A">
      <w:pPr>
        <w:spacing w:line="360" w:lineRule="auto"/>
        <w:ind w:left="720" w:hanging="720"/>
        <w:jc w:val="both"/>
        <w:rPr>
          <w:sz w:val="24"/>
        </w:rPr>
      </w:pPr>
      <w:r w:rsidRPr="009A5DC2">
        <w:rPr>
          <w:sz w:val="24"/>
        </w:rPr>
        <w:t>[</w:t>
      </w:r>
      <w:r w:rsidR="00C53224" w:rsidRPr="009A5DC2">
        <w:rPr>
          <w:sz w:val="24"/>
        </w:rPr>
        <w:t>9</w:t>
      </w:r>
      <w:r w:rsidRPr="009A5DC2">
        <w:rPr>
          <w:sz w:val="24"/>
        </w:rPr>
        <w:t xml:space="preserve">] </w:t>
      </w:r>
      <w:r w:rsidR="00C40C95" w:rsidRPr="009A5DC2">
        <w:rPr>
          <w:sz w:val="24"/>
        </w:rPr>
        <w:t xml:space="preserve">    </w:t>
      </w:r>
      <w:r w:rsidR="00C7644E">
        <w:rPr>
          <w:sz w:val="24"/>
        </w:rPr>
        <w:t>According to the</w:t>
      </w:r>
      <w:r w:rsidRPr="009A5DC2">
        <w:rPr>
          <w:sz w:val="24"/>
        </w:rPr>
        <w:t xml:space="preserve"> </w:t>
      </w:r>
      <w:r w:rsidR="00C7644E">
        <w:rPr>
          <w:sz w:val="24"/>
        </w:rPr>
        <w:t xml:space="preserve">Intervening Parties the </w:t>
      </w:r>
      <w:r w:rsidRPr="009A5DC2">
        <w:rPr>
          <w:sz w:val="24"/>
        </w:rPr>
        <w:t>breakdown in the relationship</w:t>
      </w:r>
      <w:r w:rsidR="00C7644E">
        <w:rPr>
          <w:sz w:val="24"/>
        </w:rPr>
        <w:t xml:space="preserve"> between Dalton and Bartman</w:t>
      </w:r>
      <w:r w:rsidRPr="009A5DC2">
        <w:rPr>
          <w:sz w:val="24"/>
        </w:rPr>
        <w:t xml:space="preserve"> has however not deterred the Intervening Parties from continuing with</w:t>
      </w:r>
      <w:r w:rsidR="00876FF8" w:rsidRPr="009A5DC2">
        <w:rPr>
          <w:sz w:val="24"/>
        </w:rPr>
        <w:t xml:space="preserve"> the</w:t>
      </w:r>
      <w:r w:rsidRPr="009A5DC2">
        <w:rPr>
          <w:sz w:val="24"/>
        </w:rPr>
        <w:t xml:space="preserve"> Polanocol</w:t>
      </w:r>
      <w:r w:rsidR="00876FF8" w:rsidRPr="009A5DC2">
        <w:rPr>
          <w:sz w:val="24"/>
        </w:rPr>
        <w:t xml:space="preserve"> </w:t>
      </w:r>
      <w:r w:rsidR="00A67E60" w:rsidRPr="009A5DC2">
        <w:rPr>
          <w:sz w:val="24"/>
        </w:rPr>
        <w:t>project and</w:t>
      </w:r>
      <w:r w:rsidR="00876FF8" w:rsidRPr="009A5DC2">
        <w:rPr>
          <w:sz w:val="24"/>
        </w:rPr>
        <w:t xml:space="preserve"> continuing to reside in the self -sustaining community that has been established on the farm. Their view is that it was never the intention to conduct Polanocol as a partnership between Bartman and Dalton. It was at all material times intended that further shares would be issued to investors and they would </w:t>
      </w:r>
      <w:r w:rsidR="00A67E60" w:rsidRPr="009A5DC2">
        <w:rPr>
          <w:sz w:val="24"/>
        </w:rPr>
        <w:t>have input</w:t>
      </w:r>
      <w:r w:rsidR="00876FF8" w:rsidRPr="009A5DC2">
        <w:rPr>
          <w:sz w:val="24"/>
        </w:rPr>
        <w:t xml:space="preserve"> in future decisions pertaining to Polanocol.  Unlike Bartman and Dalton,</w:t>
      </w:r>
      <w:r w:rsidR="00C307E6">
        <w:rPr>
          <w:sz w:val="24"/>
        </w:rPr>
        <w:t xml:space="preserve"> </w:t>
      </w:r>
      <w:r w:rsidR="00876FF8" w:rsidRPr="009A5DC2">
        <w:rPr>
          <w:sz w:val="24"/>
        </w:rPr>
        <w:t>the community on the farm is not so divided that it cannot function</w:t>
      </w:r>
      <w:r w:rsidR="00F14DD8" w:rsidRPr="009A5DC2">
        <w:rPr>
          <w:sz w:val="24"/>
        </w:rPr>
        <w:t>, they say.</w:t>
      </w:r>
    </w:p>
    <w:p w:rsidR="00754444" w:rsidRPr="009A5DC2" w:rsidRDefault="00754444" w:rsidP="00DA097A">
      <w:pPr>
        <w:spacing w:line="360" w:lineRule="auto"/>
        <w:jc w:val="both"/>
        <w:rPr>
          <w:sz w:val="24"/>
        </w:rPr>
      </w:pPr>
    </w:p>
    <w:p w:rsidR="008F311D" w:rsidRPr="009A5DC2" w:rsidRDefault="008F311D" w:rsidP="00DA097A">
      <w:pPr>
        <w:spacing w:line="360" w:lineRule="auto"/>
        <w:jc w:val="both"/>
        <w:rPr>
          <w:sz w:val="24"/>
          <w:u w:val="single"/>
        </w:rPr>
      </w:pPr>
      <w:r w:rsidRPr="009A5DC2">
        <w:rPr>
          <w:sz w:val="24"/>
          <w:u w:val="single"/>
        </w:rPr>
        <w:t>Application to strike out in terms of Rule 6(15):</w:t>
      </w:r>
    </w:p>
    <w:p w:rsidR="008F311D" w:rsidRPr="009A5DC2" w:rsidRDefault="008F311D" w:rsidP="00DA097A">
      <w:pPr>
        <w:spacing w:line="360" w:lineRule="auto"/>
        <w:ind w:left="720" w:hanging="720"/>
        <w:jc w:val="both"/>
        <w:rPr>
          <w:sz w:val="24"/>
        </w:rPr>
      </w:pPr>
      <w:r w:rsidRPr="009A5DC2">
        <w:rPr>
          <w:sz w:val="24"/>
        </w:rPr>
        <w:t>[</w:t>
      </w:r>
      <w:r w:rsidR="00C53224" w:rsidRPr="009A5DC2">
        <w:rPr>
          <w:sz w:val="24"/>
        </w:rPr>
        <w:t>10</w:t>
      </w:r>
      <w:r w:rsidRPr="009A5DC2">
        <w:rPr>
          <w:sz w:val="24"/>
        </w:rPr>
        <w:t>]</w:t>
      </w:r>
      <w:r w:rsidRPr="009A5DC2">
        <w:rPr>
          <w:sz w:val="24"/>
        </w:rPr>
        <w:tab/>
        <w:t xml:space="preserve">The intervening parties seek the striking out of the following portion of the Applicant’s replying affidavit to the </w:t>
      </w:r>
      <w:r w:rsidR="00A31E89">
        <w:rPr>
          <w:sz w:val="24"/>
        </w:rPr>
        <w:t>I</w:t>
      </w:r>
      <w:r w:rsidRPr="009A5DC2">
        <w:rPr>
          <w:sz w:val="24"/>
        </w:rPr>
        <w:t xml:space="preserve">ntervening </w:t>
      </w:r>
      <w:r w:rsidR="00A31E89">
        <w:rPr>
          <w:sz w:val="24"/>
        </w:rPr>
        <w:t>P</w:t>
      </w:r>
      <w:r w:rsidRPr="009A5DC2">
        <w:rPr>
          <w:sz w:val="24"/>
        </w:rPr>
        <w:t>art</w:t>
      </w:r>
      <w:r w:rsidR="00A31E89">
        <w:rPr>
          <w:sz w:val="24"/>
        </w:rPr>
        <w:t>ie</w:t>
      </w:r>
      <w:r w:rsidRPr="009A5DC2">
        <w:rPr>
          <w:sz w:val="24"/>
        </w:rPr>
        <w:t>’s</w:t>
      </w:r>
      <w:r w:rsidR="00A31E89">
        <w:rPr>
          <w:sz w:val="24"/>
        </w:rPr>
        <w:t>’</w:t>
      </w:r>
      <w:r w:rsidRPr="009A5DC2">
        <w:rPr>
          <w:sz w:val="24"/>
        </w:rPr>
        <w:t xml:space="preserve"> opposing affidavit of Brian Francis Dalton dated 15 May 2023, on the basis that the paragraphs and documents contained therein constitute a new case that is sought to be made out in reply, and allegations that ought to have been made in the founding affidavit</w:t>
      </w:r>
      <w:r w:rsidR="00A31E89">
        <w:rPr>
          <w:sz w:val="24"/>
        </w:rPr>
        <w:t>.</w:t>
      </w:r>
      <w:r w:rsidRPr="009A5DC2">
        <w:rPr>
          <w:sz w:val="24"/>
        </w:rPr>
        <w:t xml:space="preserve"> </w:t>
      </w:r>
      <w:r w:rsidR="00A31E89">
        <w:rPr>
          <w:sz w:val="24"/>
        </w:rPr>
        <w:t xml:space="preserve">They aver that </w:t>
      </w:r>
      <w:r w:rsidRPr="009A5DC2">
        <w:rPr>
          <w:sz w:val="24"/>
        </w:rPr>
        <w:t xml:space="preserve">the </w:t>
      </w:r>
      <w:r w:rsidR="00A31E89">
        <w:rPr>
          <w:sz w:val="24"/>
        </w:rPr>
        <w:t>I</w:t>
      </w:r>
      <w:r w:rsidRPr="009A5DC2">
        <w:rPr>
          <w:sz w:val="24"/>
        </w:rPr>
        <w:t xml:space="preserve">ntervening </w:t>
      </w:r>
      <w:r w:rsidR="00A31E89">
        <w:rPr>
          <w:sz w:val="24"/>
        </w:rPr>
        <w:t>P</w:t>
      </w:r>
      <w:r w:rsidRPr="009A5DC2">
        <w:rPr>
          <w:sz w:val="24"/>
        </w:rPr>
        <w:t>arties are prejudiced by their inclusion:</w:t>
      </w:r>
      <w:r w:rsidR="003D2620">
        <w:rPr>
          <w:sz w:val="24"/>
        </w:rPr>
        <w:t xml:space="preserve"> </w:t>
      </w:r>
      <w:r w:rsidRPr="009A5DC2">
        <w:rPr>
          <w:sz w:val="24"/>
        </w:rPr>
        <w:t xml:space="preserve">Paragraphs 9-26 thereof </w:t>
      </w:r>
      <w:r w:rsidR="00D672CF" w:rsidRPr="009A5DC2">
        <w:rPr>
          <w:sz w:val="24"/>
        </w:rPr>
        <w:t>and</w:t>
      </w:r>
      <w:r w:rsidRPr="009A5DC2">
        <w:rPr>
          <w:sz w:val="24"/>
        </w:rPr>
        <w:t xml:space="preserve"> </w:t>
      </w:r>
      <w:r w:rsidR="00D672CF" w:rsidRPr="009A5DC2">
        <w:rPr>
          <w:sz w:val="24"/>
        </w:rPr>
        <w:t>A</w:t>
      </w:r>
      <w:r w:rsidRPr="009A5DC2">
        <w:rPr>
          <w:sz w:val="24"/>
        </w:rPr>
        <w:t>nnexure RA1 to RA6.</w:t>
      </w:r>
    </w:p>
    <w:p w:rsidR="00A67E60" w:rsidRPr="009A5DC2" w:rsidRDefault="00A67E60" w:rsidP="00DA097A">
      <w:pPr>
        <w:pStyle w:val="NoSpacing"/>
        <w:spacing w:line="360" w:lineRule="auto"/>
      </w:pPr>
    </w:p>
    <w:p w:rsidR="008F311D" w:rsidRPr="009A5DC2" w:rsidRDefault="008F311D" w:rsidP="00DA097A">
      <w:pPr>
        <w:spacing w:line="360" w:lineRule="auto"/>
        <w:ind w:left="720" w:hanging="720"/>
        <w:jc w:val="both"/>
        <w:rPr>
          <w:sz w:val="24"/>
          <w:u w:val="single"/>
        </w:rPr>
      </w:pPr>
      <w:r w:rsidRPr="009A5DC2">
        <w:rPr>
          <w:sz w:val="24"/>
        </w:rPr>
        <w:t>[</w:t>
      </w:r>
      <w:r w:rsidR="00C53224" w:rsidRPr="009A5DC2">
        <w:rPr>
          <w:sz w:val="24"/>
        </w:rPr>
        <w:t>11</w:t>
      </w:r>
      <w:r w:rsidRPr="009A5DC2">
        <w:rPr>
          <w:sz w:val="24"/>
        </w:rPr>
        <w:t>]</w:t>
      </w:r>
      <w:r w:rsidRPr="009A5DC2">
        <w:rPr>
          <w:sz w:val="24"/>
        </w:rPr>
        <w:tab/>
        <w:t xml:space="preserve">The </w:t>
      </w:r>
      <w:r w:rsidR="00C53224" w:rsidRPr="009A5DC2">
        <w:rPr>
          <w:sz w:val="24"/>
        </w:rPr>
        <w:t xml:space="preserve">impugned sections </w:t>
      </w:r>
      <w:r w:rsidRPr="009A5DC2">
        <w:rPr>
          <w:sz w:val="24"/>
        </w:rPr>
        <w:t>in</w:t>
      </w:r>
      <w:r w:rsidR="00D672CF" w:rsidRPr="009A5DC2">
        <w:rPr>
          <w:sz w:val="24"/>
        </w:rPr>
        <w:t xml:space="preserve"> the replying affidavit</w:t>
      </w:r>
      <w:r w:rsidR="00C53224" w:rsidRPr="009A5DC2">
        <w:rPr>
          <w:sz w:val="24"/>
        </w:rPr>
        <w:t xml:space="preserve"> </w:t>
      </w:r>
      <w:r w:rsidRPr="009A5DC2">
        <w:rPr>
          <w:sz w:val="24"/>
        </w:rPr>
        <w:t xml:space="preserve">introduced a further basis for the just and equitable  winding-up of Polanocol. </w:t>
      </w:r>
      <w:r w:rsidR="001D5785" w:rsidRPr="009A5DC2">
        <w:rPr>
          <w:sz w:val="24"/>
        </w:rPr>
        <w:t xml:space="preserve">  This</w:t>
      </w:r>
      <w:r w:rsidR="00C53224" w:rsidRPr="009A5DC2">
        <w:rPr>
          <w:sz w:val="24"/>
        </w:rPr>
        <w:t>, as aforementioned</w:t>
      </w:r>
      <w:r w:rsidR="001D5785" w:rsidRPr="009A5DC2">
        <w:rPr>
          <w:sz w:val="24"/>
        </w:rPr>
        <w:t xml:space="preserve"> is </w:t>
      </w:r>
      <w:r w:rsidRPr="009A5DC2">
        <w:rPr>
          <w:sz w:val="24"/>
        </w:rPr>
        <w:t xml:space="preserve">that the entire business model of Polanocol contravenes the Share Block Control Act  read with the definition of </w:t>
      </w:r>
      <w:r w:rsidR="006B6BE5">
        <w:rPr>
          <w:sz w:val="24"/>
        </w:rPr>
        <w:t>a</w:t>
      </w:r>
      <w:r w:rsidRPr="009A5DC2">
        <w:rPr>
          <w:sz w:val="24"/>
        </w:rPr>
        <w:t xml:space="preserve">gricultural </w:t>
      </w:r>
      <w:r w:rsidR="006B6BE5">
        <w:rPr>
          <w:sz w:val="24"/>
        </w:rPr>
        <w:t>l</w:t>
      </w:r>
      <w:r w:rsidRPr="009A5DC2">
        <w:rPr>
          <w:sz w:val="24"/>
        </w:rPr>
        <w:t>and in the S</w:t>
      </w:r>
      <w:r w:rsidR="006B6BE5">
        <w:rPr>
          <w:sz w:val="24"/>
        </w:rPr>
        <w:t>AL</w:t>
      </w:r>
      <w:r w:rsidR="00BA414E">
        <w:rPr>
          <w:sz w:val="24"/>
        </w:rPr>
        <w:t xml:space="preserve"> Act </w:t>
      </w:r>
      <w:r w:rsidRPr="009A5DC2">
        <w:rPr>
          <w:sz w:val="24"/>
        </w:rPr>
        <w:t xml:space="preserve"> and that its continued functioning will be in contravention of the law. </w:t>
      </w:r>
      <w:r w:rsidR="001D5785" w:rsidRPr="009A5DC2">
        <w:rPr>
          <w:sz w:val="24"/>
        </w:rPr>
        <w:t xml:space="preserve"> This, the Applicants categorised as an anterior issue to be addressed</w:t>
      </w:r>
      <w:r w:rsidR="002B7C85" w:rsidRPr="009A5DC2">
        <w:rPr>
          <w:sz w:val="24"/>
        </w:rPr>
        <w:t xml:space="preserve">, contending moreover that this </w:t>
      </w:r>
      <w:r w:rsidR="00D672CF" w:rsidRPr="009A5DC2">
        <w:rPr>
          <w:sz w:val="24"/>
        </w:rPr>
        <w:t>C</w:t>
      </w:r>
      <w:r w:rsidR="002B7C85" w:rsidRPr="009A5DC2">
        <w:rPr>
          <w:sz w:val="24"/>
        </w:rPr>
        <w:t xml:space="preserve">ourt </w:t>
      </w:r>
      <w:r w:rsidR="00C53224" w:rsidRPr="009A5DC2">
        <w:rPr>
          <w:sz w:val="24"/>
        </w:rPr>
        <w:t xml:space="preserve">could not ignore the alleged illegality and </w:t>
      </w:r>
      <w:r w:rsidR="002B7C85" w:rsidRPr="009A5DC2">
        <w:rPr>
          <w:sz w:val="24"/>
        </w:rPr>
        <w:t>was constitutionally bound to uphold the law.</w:t>
      </w:r>
    </w:p>
    <w:p w:rsidR="002B7C85" w:rsidRPr="009A5DC2" w:rsidRDefault="002B7C85" w:rsidP="009A5DC2">
      <w:pPr>
        <w:spacing w:before="240" w:line="360" w:lineRule="auto"/>
        <w:jc w:val="both"/>
        <w:rPr>
          <w:sz w:val="24"/>
          <w:u w:val="single"/>
        </w:rPr>
      </w:pPr>
    </w:p>
    <w:p w:rsidR="002B7C85" w:rsidRPr="009A5DC2" w:rsidRDefault="002B7C85" w:rsidP="009A5DC2">
      <w:pPr>
        <w:spacing w:before="240" w:line="360" w:lineRule="auto"/>
        <w:ind w:left="720" w:hanging="720"/>
        <w:jc w:val="both"/>
        <w:rPr>
          <w:sz w:val="24"/>
        </w:rPr>
      </w:pPr>
      <w:r w:rsidRPr="009A5DC2">
        <w:rPr>
          <w:sz w:val="24"/>
        </w:rPr>
        <w:t>[</w:t>
      </w:r>
      <w:r w:rsidR="00A67E60" w:rsidRPr="009A5DC2">
        <w:rPr>
          <w:sz w:val="24"/>
        </w:rPr>
        <w:t>12]</w:t>
      </w:r>
      <w:r w:rsidRPr="009A5DC2">
        <w:rPr>
          <w:sz w:val="24"/>
        </w:rPr>
        <w:tab/>
        <w:t xml:space="preserve">In </w:t>
      </w:r>
      <w:r w:rsidRPr="009A5DC2">
        <w:rPr>
          <w:i/>
          <w:sz w:val="24"/>
        </w:rPr>
        <w:t>Moster</w:t>
      </w:r>
      <w:r w:rsidR="00C53224" w:rsidRPr="009A5DC2">
        <w:rPr>
          <w:i/>
          <w:sz w:val="24"/>
        </w:rPr>
        <w:t>t</w:t>
      </w:r>
      <w:r w:rsidRPr="009A5DC2">
        <w:rPr>
          <w:i/>
          <w:sz w:val="24"/>
        </w:rPr>
        <w:t xml:space="preserve"> and </w:t>
      </w:r>
      <w:r w:rsidR="00D672CF" w:rsidRPr="009A5DC2">
        <w:rPr>
          <w:i/>
          <w:sz w:val="24"/>
        </w:rPr>
        <w:t>O</w:t>
      </w:r>
      <w:r w:rsidRPr="009A5DC2">
        <w:rPr>
          <w:i/>
          <w:sz w:val="24"/>
        </w:rPr>
        <w:t>thers v Firstrand Bank t/a RMB Private Bank and another</w:t>
      </w:r>
      <w:r w:rsidR="00B218AC">
        <w:rPr>
          <w:rStyle w:val="FootnoteReference"/>
          <w:i/>
          <w:sz w:val="24"/>
        </w:rPr>
        <w:footnoteReference w:id="1"/>
      </w:r>
      <w:r w:rsidRPr="009A5DC2">
        <w:rPr>
          <w:i/>
          <w:sz w:val="24"/>
        </w:rPr>
        <w:t xml:space="preserve"> </w:t>
      </w:r>
      <w:r w:rsidRPr="009A5DC2">
        <w:rPr>
          <w:sz w:val="24"/>
        </w:rPr>
        <w:t>2018(4) SA 443 (SCA)</w:t>
      </w:r>
      <w:r w:rsidR="00D672CF" w:rsidRPr="009A5DC2">
        <w:rPr>
          <w:sz w:val="24"/>
        </w:rPr>
        <w:t xml:space="preserve"> at paragraph 13</w:t>
      </w:r>
      <w:r w:rsidRPr="009A5DC2">
        <w:rPr>
          <w:sz w:val="24"/>
        </w:rPr>
        <w:t xml:space="preserve"> Van der Merwe, JA stated the following:</w:t>
      </w:r>
    </w:p>
    <w:p w:rsidR="00C376EA" w:rsidRPr="009A5DC2" w:rsidRDefault="002B7C85" w:rsidP="009A5DC2">
      <w:pPr>
        <w:spacing w:before="240" w:line="360" w:lineRule="auto"/>
        <w:ind w:left="1440"/>
        <w:jc w:val="both"/>
        <w:rPr>
          <w:i/>
          <w:sz w:val="22"/>
          <w:szCs w:val="22"/>
        </w:rPr>
      </w:pPr>
      <w:r w:rsidRPr="009A5DC2">
        <w:rPr>
          <w:i/>
          <w:sz w:val="22"/>
          <w:szCs w:val="22"/>
        </w:rPr>
        <w:t>“It is trite that in motion proceedings the affidavits constitute both the pleadings and the evidence. As a respondent has a right to know what case he or she has to meet and to respond thereto, the general rule is that an applicant will not be permitted to make or supplement his or her case in the replying affidavit. This, however, is not an absolute rule. A court may in the exercise of its discretion in exceptional cases allow new matter in a replying affidavit. . . .In the exercise of this discretion a court should in particular have regard to</w:t>
      </w:r>
      <w:r w:rsidR="00D672CF" w:rsidRPr="009A5DC2">
        <w:rPr>
          <w:i/>
          <w:sz w:val="22"/>
          <w:szCs w:val="22"/>
        </w:rPr>
        <w:t>: (i)w</w:t>
      </w:r>
      <w:r w:rsidRPr="009A5DC2">
        <w:rPr>
          <w:i/>
          <w:sz w:val="22"/>
          <w:szCs w:val="22"/>
        </w:rPr>
        <w:t>hether all the facts necessary to determine the new matter raised in the replying affidavit were placed before the court;</w:t>
      </w:r>
      <w:r w:rsidR="00D672CF" w:rsidRPr="009A5DC2">
        <w:rPr>
          <w:i/>
          <w:sz w:val="22"/>
          <w:szCs w:val="22"/>
        </w:rPr>
        <w:t xml:space="preserve"> (ii)w</w:t>
      </w:r>
      <w:r w:rsidRPr="009A5DC2">
        <w:rPr>
          <w:i/>
          <w:sz w:val="22"/>
          <w:szCs w:val="22"/>
        </w:rPr>
        <w:t>hether the determination of the new matter will prejudice the respondent in a manner that could not be put right by orders in respect of postponement and costs;</w:t>
      </w:r>
      <w:r w:rsidR="00D672CF" w:rsidRPr="009A5DC2">
        <w:rPr>
          <w:i/>
          <w:sz w:val="22"/>
          <w:szCs w:val="22"/>
        </w:rPr>
        <w:t xml:space="preserve"> (iii)w</w:t>
      </w:r>
      <w:r w:rsidRPr="009A5DC2">
        <w:rPr>
          <w:i/>
          <w:sz w:val="22"/>
          <w:szCs w:val="22"/>
        </w:rPr>
        <w:t>hether the new matter was known to the applicant when the application was launched;</w:t>
      </w:r>
      <w:r w:rsidR="00B218AC">
        <w:rPr>
          <w:i/>
          <w:sz w:val="22"/>
          <w:szCs w:val="22"/>
        </w:rPr>
        <w:t xml:space="preserve"> and</w:t>
      </w:r>
      <w:r w:rsidR="00D672CF" w:rsidRPr="009A5DC2">
        <w:rPr>
          <w:i/>
          <w:sz w:val="22"/>
          <w:szCs w:val="22"/>
        </w:rPr>
        <w:t xml:space="preserve"> (iv)w</w:t>
      </w:r>
      <w:r w:rsidRPr="009A5DC2">
        <w:rPr>
          <w:i/>
          <w:sz w:val="22"/>
          <w:szCs w:val="22"/>
        </w:rPr>
        <w:t>hether the disallowance of the new matter would result in unnecessary waste of costs.”</w:t>
      </w:r>
    </w:p>
    <w:p w:rsidR="00314CC9" w:rsidRPr="009A5DC2" w:rsidRDefault="00314CC9" w:rsidP="009A5DC2">
      <w:pPr>
        <w:pStyle w:val="NoSpacing"/>
        <w:spacing w:line="360" w:lineRule="auto"/>
      </w:pPr>
    </w:p>
    <w:p w:rsidR="00AA6362" w:rsidRPr="009A5DC2" w:rsidRDefault="00314CC9" w:rsidP="009A5DC2">
      <w:pPr>
        <w:spacing w:line="360" w:lineRule="auto"/>
        <w:ind w:left="720" w:hanging="720"/>
        <w:jc w:val="both"/>
        <w:rPr>
          <w:color w:val="000000" w:themeColor="text1"/>
          <w:sz w:val="24"/>
        </w:rPr>
      </w:pPr>
      <w:r w:rsidRPr="009A5DC2">
        <w:rPr>
          <w:color w:val="000000" w:themeColor="text1"/>
          <w:sz w:val="24"/>
        </w:rPr>
        <w:t>[</w:t>
      </w:r>
      <w:r w:rsidR="00D672CF" w:rsidRPr="009A5DC2">
        <w:rPr>
          <w:color w:val="000000" w:themeColor="text1"/>
          <w:sz w:val="24"/>
        </w:rPr>
        <w:t>13</w:t>
      </w:r>
      <w:r w:rsidRPr="009A5DC2">
        <w:rPr>
          <w:color w:val="000000" w:themeColor="text1"/>
          <w:sz w:val="24"/>
        </w:rPr>
        <w:t xml:space="preserve">] </w:t>
      </w:r>
      <w:r w:rsidRPr="009A5DC2">
        <w:rPr>
          <w:color w:val="000000" w:themeColor="text1"/>
          <w:sz w:val="24"/>
        </w:rPr>
        <w:tab/>
        <w:t>Mr Jonker for the Applicant submitted that the replying affidavit did not introduce a new ground or cause of action for the liquidation of Polanacol. The Applicants had always relied upon</w:t>
      </w:r>
      <w:r w:rsidR="00A31E89">
        <w:rPr>
          <w:color w:val="000000" w:themeColor="text1"/>
          <w:sz w:val="24"/>
        </w:rPr>
        <w:t xml:space="preserve"> the</w:t>
      </w:r>
      <w:r w:rsidRPr="009A5DC2">
        <w:rPr>
          <w:color w:val="000000" w:themeColor="text1"/>
          <w:sz w:val="24"/>
        </w:rPr>
        <w:t xml:space="preserve"> just and equitable ground of liquidation. The impu</w:t>
      </w:r>
      <w:r w:rsidR="00AA6362" w:rsidRPr="009A5DC2">
        <w:rPr>
          <w:color w:val="000000" w:themeColor="text1"/>
          <w:sz w:val="24"/>
        </w:rPr>
        <w:t>g</w:t>
      </w:r>
      <w:r w:rsidRPr="009A5DC2">
        <w:rPr>
          <w:color w:val="000000" w:themeColor="text1"/>
          <w:sz w:val="24"/>
        </w:rPr>
        <w:t>ned paragraphs in the replying affidavit</w:t>
      </w:r>
      <w:r w:rsidR="002D3D76" w:rsidRPr="009A5DC2">
        <w:rPr>
          <w:color w:val="000000" w:themeColor="text1"/>
          <w:sz w:val="24"/>
        </w:rPr>
        <w:t>,</w:t>
      </w:r>
      <w:r w:rsidRPr="009A5DC2">
        <w:rPr>
          <w:color w:val="000000" w:themeColor="text1"/>
          <w:sz w:val="24"/>
        </w:rPr>
        <w:t xml:space="preserve"> he stated </w:t>
      </w:r>
      <w:r w:rsidR="00714D8B" w:rsidRPr="009A5DC2">
        <w:rPr>
          <w:color w:val="000000" w:themeColor="text1"/>
          <w:sz w:val="24"/>
        </w:rPr>
        <w:t>were</w:t>
      </w:r>
      <w:r w:rsidRPr="009A5DC2">
        <w:rPr>
          <w:color w:val="000000" w:themeColor="text1"/>
          <w:sz w:val="24"/>
        </w:rPr>
        <w:t xml:space="preserve"> in answer to the </w:t>
      </w:r>
      <w:r w:rsidR="00A31E89">
        <w:rPr>
          <w:color w:val="000000" w:themeColor="text1"/>
          <w:sz w:val="24"/>
        </w:rPr>
        <w:t>I</w:t>
      </w:r>
      <w:r w:rsidRPr="009A5DC2">
        <w:rPr>
          <w:color w:val="000000" w:themeColor="text1"/>
          <w:sz w:val="24"/>
        </w:rPr>
        <w:t xml:space="preserve">ntervening </w:t>
      </w:r>
      <w:r w:rsidR="00A31E89">
        <w:rPr>
          <w:color w:val="000000" w:themeColor="text1"/>
          <w:sz w:val="24"/>
        </w:rPr>
        <w:t>P</w:t>
      </w:r>
      <w:r w:rsidRPr="009A5DC2">
        <w:rPr>
          <w:color w:val="000000" w:themeColor="text1"/>
          <w:sz w:val="24"/>
        </w:rPr>
        <w:t xml:space="preserve">arties’ just and equitable defence. </w:t>
      </w:r>
      <w:r w:rsidR="002D3D76" w:rsidRPr="009A5DC2">
        <w:rPr>
          <w:color w:val="000000" w:themeColor="text1"/>
          <w:sz w:val="24"/>
        </w:rPr>
        <w:t>The</w:t>
      </w:r>
      <w:r w:rsidR="00366A34" w:rsidRPr="009A5DC2">
        <w:rPr>
          <w:color w:val="000000" w:themeColor="text1"/>
          <w:sz w:val="24"/>
        </w:rPr>
        <w:t>ir</w:t>
      </w:r>
      <w:r w:rsidR="002D3D76" w:rsidRPr="009A5DC2">
        <w:rPr>
          <w:color w:val="000000" w:themeColor="text1"/>
          <w:sz w:val="24"/>
        </w:rPr>
        <w:t xml:space="preserve"> answering </w:t>
      </w:r>
      <w:r w:rsidR="00A67E60" w:rsidRPr="009A5DC2">
        <w:rPr>
          <w:color w:val="000000" w:themeColor="text1"/>
          <w:sz w:val="24"/>
        </w:rPr>
        <w:t>affidavit alleged</w:t>
      </w:r>
      <w:r w:rsidR="00366A34" w:rsidRPr="009A5DC2">
        <w:rPr>
          <w:color w:val="000000" w:themeColor="text1"/>
          <w:sz w:val="24"/>
        </w:rPr>
        <w:t xml:space="preserve"> </w:t>
      </w:r>
      <w:r w:rsidR="002D3D76" w:rsidRPr="009A5DC2">
        <w:rPr>
          <w:color w:val="000000" w:themeColor="text1"/>
          <w:sz w:val="24"/>
        </w:rPr>
        <w:t xml:space="preserve">that they had bought shares, share certificates as attached had been issued, that they had valid shareholder agreements and as shareholders they could break </w:t>
      </w:r>
      <w:r w:rsidR="00366A34" w:rsidRPr="009A5DC2">
        <w:rPr>
          <w:color w:val="000000" w:themeColor="text1"/>
          <w:sz w:val="24"/>
        </w:rPr>
        <w:t>the</w:t>
      </w:r>
      <w:r w:rsidR="002D3D76" w:rsidRPr="009A5DC2">
        <w:rPr>
          <w:color w:val="000000" w:themeColor="text1"/>
          <w:sz w:val="24"/>
        </w:rPr>
        <w:t xml:space="preserve"> deadlock. This, he submitted cause</w:t>
      </w:r>
      <w:r w:rsidR="00AA6362" w:rsidRPr="009A5DC2">
        <w:rPr>
          <w:color w:val="000000" w:themeColor="text1"/>
          <w:sz w:val="24"/>
        </w:rPr>
        <w:t>d</w:t>
      </w:r>
      <w:r w:rsidR="002D3D76" w:rsidRPr="009A5DC2">
        <w:rPr>
          <w:color w:val="000000" w:themeColor="text1"/>
          <w:sz w:val="24"/>
        </w:rPr>
        <w:t xml:space="preserve"> the </w:t>
      </w:r>
      <w:r w:rsidR="00714D8B" w:rsidRPr="009A5DC2">
        <w:rPr>
          <w:color w:val="000000" w:themeColor="text1"/>
          <w:sz w:val="24"/>
        </w:rPr>
        <w:t xml:space="preserve">  Applicants’ </w:t>
      </w:r>
      <w:r w:rsidR="002D3D76" w:rsidRPr="009A5DC2">
        <w:rPr>
          <w:color w:val="000000" w:themeColor="text1"/>
          <w:sz w:val="24"/>
        </w:rPr>
        <w:t xml:space="preserve">focus to shift to the question of legality. </w:t>
      </w:r>
    </w:p>
    <w:p w:rsidR="00AA6362" w:rsidRPr="009A5DC2" w:rsidRDefault="00AA6362" w:rsidP="009A5DC2">
      <w:pPr>
        <w:pStyle w:val="NoSpacing"/>
        <w:spacing w:line="360" w:lineRule="auto"/>
      </w:pPr>
    </w:p>
    <w:p w:rsidR="002F78E7" w:rsidRPr="009A5DC2" w:rsidRDefault="00714D8B" w:rsidP="009A5DC2">
      <w:pPr>
        <w:spacing w:line="360" w:lineRule="auto"/>
        <w:ind w:left="720" w:hanging="720"/>
        <w:jc w:val="both"/>
        <w:rPr>
          <w:color w:val="000000" w:themeColor="text1"/>
          <w:sz w:val="24"/>
        </w:rPr>
      </w:pPr>
      <w:r w:rsidRPr="009A5DC2">
        <w:rPr>
          <w:color w:val="000000" w:themeColor="text1"/>
          <w:sz w:val="24"/>
        </w:rPr>
        <w:t>[</w:t>
      </w:r>
      <w:r w:rsidR="00D672CF" w:rsidRPr="009A5DC2">
        <w:rPr>
          <w:color w:val="000000" w:themeColor="text1"/>
          <w:sz w:val="24"/>
        </w:rPr>
        <w:t>14</w:t>
      </w:r>
      <w:r w:rsidRPr="009A5DC2">
        <w:rPr>
          <w:color w:val="000000" w:themeColor="text1"/>
          <w:sz w:val="24"/>
        </w:rPr>
        <w:t xml:space="preserve">] </w:t>
      </w:r>
      <w:r w:rsidR="00C40C95" w:rsidRPr="009A5DC2">
        <w:rPr>
          <w:color w:val="000000" w:themeColor="text1"/>
          <w:sz w:val="24"/>
        </w:rPr>
        <w:t xml:space="preserve">    </w:t>
      </w:r>
      <w:r w:rsidR="00314CC9" w:rsidRPr="009A5DC2">
        <w:rPr>
          <w:color w:val="000000" w:themeColor="text1"/>
          <w:sz w:val="24"/>
        </w:rPr>
        <w:t>The Applicants’ reliance upon the illegality of the shareholders’ agreements and Polanocol’s business model only became apparent</w:t>
      </w:r>
      <w:r w:rsidRPr="009A5DC2">
        <w:rPr>
          <w:color w:val="000000" w:themeColor="text1"/>
          <w:sz w:val="24"/>
        </w:rPr>
        <w:t>, he contended,</w:t>
      </w:r>
      <w:r w:rsidR="00314CC9" w:rsidRPr="009A5DC2">
        <w:rPr>
          <w:color w:val="000000" w:themeColor="text1"/>
          <w:sz w:val="24"/>
        </w:rPr>
        <w:t xml:space="preserve"> after the delivery of the </w:t>
      </w:r>
      <w:r w:rsidR="00A31E89">
        <w:rPr>
          <w:color w:val="000000" w:themeColor="text1"/>
          <w:sz w:val="24"/>
        </w:rPr>
        <w:t>I</w:t>
      </w:r>
      <w:r w:rsidR="00314CC9" w:rsidRPr="009A5DC2">
        <w:rPr>
          <w:color w:val="000000" w:themeColor="text1"/>
          <w:sz w:val="24"/>
        </w:rPr>
        <w:t xml:space="preserve">ntervening </w:t>
      </w:r>
      <w:r w:rsidR="00A31E89">
        <w:rPr>
          <w:color w:val="000000" w:themeColor="text1"/>
          <w:sz w:val="24"/>
        </w:rPr>
        <w:t>P</w:t>
      </w:r>
      <w:r w:rsidR="00314CC9" w:rsidRPr="009A5DC2">
        <w:rPr>
          <w:color w:val="000000" w:themeColor="text1"/>
          <w:sz w:val="24"/>
        </w:rPr>
        <w:t xml:space="preserve">arties’ intervention application and answering affidavit in which they asserted their right as shareholders based on the </w:t>
      </w:r>
      <w:r w:rsidR="00314CC9" w:rsidRPr="009A5DC2">
        <w:rPr>
          <w:color w:val="000000" w:themeColor="text1"/>
          <w:sz w:val="24"/>
        </w:rPr>
        <w:lastRenderedPageBreak/>
        <w:t xml:space="preserve">shareholders’ agreements. </w:t>
      </w:r>
      <w:r w:rsidR="00AA6362" w:rsidRPr="009A5DC2">
        <w:rPr>
          <w:color w:val="000000" w:themeColor="text1"/>
          <w:sz w:val="24"/>
        </w:rPr>
        <w:t>Dalton</w:t>
      </w:r>
      <w:r w:rsidR="00781B6D">
        <w:rPr>
          <w:color w:val="000000" w:themeColor="text1"/>
          <w:sz w:val="24"/>
        </w:rPr>
        <w:t>, he said,</w:t>
      </w:r>
      <w:r w:rsidR="00AA6362" w:rsidRPr="009A5DC2">
        <w:rPr>
          <w:color w:val="000000" w:themeColor="text1"/>
          <w:sz w:val="24"/>
        </w:rPr>
        <w:t xml:space="preserve"> was aware that the shares could be sold but he was not aware of the issue pertaining to the illegality of the shares.</w:t>
      </w:r>
      <w:r w:rsidRPr="009A5DC2">
        <w:rPr>
          <w:color w:val="000000" w:themeColor="text1"/>
          <w:sz w:val="24"/>
        </w:rPr>
        <w:t xml:space="preserve"> In reply </w:t>
      </w:r>
      <w:r w:rsidR="00781B6D">
        <w:rPr>
          <w:color w:val="000000" w:themeColor="text1"/>
          <w:sz w:val="24"/>
        </w:rPr>
        <w:t xml:space="preserve">Dalton </w:t>
      </w:r>
      <w:r w:rsidRPr="009A5DC2">
        <w:rPr>
          <w:color w:val="000000" w:themeColor="text1"/>
          <w:sz w:val="24"/>
        </w:rPr>
        <w:t xml:space="preserve"> refuted the </w:t>
      </w:r>
      <w:r w:rsidR="00781B6D">
        <w:rPr>
          <w:color w:val="000000" w:themeColor="text1"/>
          <w:sz w:val="24"/>
        </w:rPr>
        <w:t>I</w:t>
      </w:r>
      <w:r w:rsidRPr="009A5DC2">
        <w:rPr>
          <w:color w:val="000000" w:themeColor="text1"/>
          <w:sz w:val="24"/>
        </w:rPr>
        <w:t xml:space="preserve">ntervening </w:t>
      </w:r>
      <w:r w:rsidR="00781B6D">
        <w:rPr>
          <w:color w:val="000000" w:themeColor="text1"/>
          <w:sz w:val="24"/>
        </w:rPr>
        <w:t>P</w:t>
      </w:r>
      <w:r w:rsidRPr="009A5DC2">
        <w:rPr>
          <w:color w:val="000000" w:themeColor="text1"/>
          <w:sz w:val="24"/>
        </w:rPr>
        <w:t>arties’ reliance upon the shareholders’ agreements by demonstrating that they are void. The replying affidavit, he submitted,</w:t>
      </w:r>
      <w:r w:rsidR="00314CC9" w:rsidRPr="009A5DC2">
        <w:rPr>
          <w:color w:val="000000" w:themeColor="text1"/>
          <w:sz w:val="24"/>
        </w:rPr>
        <w:t xml:space="preserve"> enlarged upon what was revealed in the answering affidavit. </w:t>
      </w:r>
    </w:p>
    <w:p w:rsidR="00314CC9" w:rsidRPr="009A5DC2" w:rsidRDefault="00314CC9" w:rsidP="009A5DC2">
      <w:pPr>
        <w:pStyle w:val="NoSpacing"/>
        <w:spacing w:line="360" w:lineRule="auto"/>
      </w:pPr>
    </w:p>
    <w:p w:rsidR="003256B7" w:rsidRPr="009A5DC2" w:rsidRDefault="002F78E7" w:rsidP="009A5DC2">
      <w:pPr>
        <w:spacing w:line="360" w:lineRule="auto"/>
        <w:ind w:left="720" w:hanging="720"/>
        <w:jc w:val="both"/>
        <w:rPr>
          <w:color w:val="000000" w:themeColor="text1"/>
          <w:sz w:val="24"/>
        </w:rPr>
      </w:pPr>
      <w:r w:rsidRPr="009A5DC2">
        <w:rPr>
          <w:color w:val="000000" w:themeColor="text1"/>
          <w:sz w:val="24"/>
        </w:rPr>
        <w:t>[</w:t>
      </w:r>
      <w:r w:rsidR="00A67E60" w:rsidRPr="009A5DC2">
        <w:rPr>
          <w:color w:val="000000" w:themeColor="text1"/>
          <w:sz w:val="24"/>
        </w:rPr>
        <w:t>15</w:t>
      </w:r>
      <w:r w:rsidR="00C40C95" w:rsidRPr="009A5DC2">
        <w:rPr>
          <w:color w:val="000000" w:themeColor="text1"/>
          <w:sz w:val="24"/>
        </w:rPr>
        <w:t xml:space="preserve">]     </w:t>
      </w:r>
      <w:r w:rsidR="00A71C77" w:rsidRPr="009A5DC2">
        <w:rPr>
          <w:color w:val="000000" w:themeColor="text1"/>
          <w:sz w:val="24"/>
        </w:rPr>
        <w:t>I note that t</w:t>
      </w:r>
      <w:r w:rsidRPr="009A5DC2">
        <w:rPr>
          <w:color w:val="000000" w:themeColor="text1"/>
          <w:sz w:val="24"/>
        </w:rPr>
        <w:t>his application was launched on 2 March 2022. The founding affidavit indicates that at that stage, Dalton was aware of the subject of unlawful issuing of shares. Although he raise</w:t>
      </w:r>
      <w:r w:rsidR="00781B6D">
        <w:rPr>
          <w:color w:val="000000" w:themeColor="text1"/>
          <w:sz w:val="24"/>
        </w:rPr>
        <w:t>d</w:t>
      </w:r>
      <w:r w:rsidRPr="009A5DC2">
        <w:rPr>
          <w:color w:val="000000" w:themeColor="text1"/>
          <w:sz w:val="24"/>
        </w:rPr>
        <w:t xml:space="preserve"> this pertinently in relation to a special resolution approving the issue of shares to a director, he </w:t>
      </w:r>
      <w:r w:rsidR="00A67E60" w:rsidRPr="009A5DC2">
        <w:rPr>
          <w:color w:val="000000" w:themeColor="text1"/>
          <w:sz w:val="24"/>
        </w:rPr>
        <w:t>was nonetheless</w:t>
      </w:r>
      <w:r w:rsidR="00A71C77" w:rsidRPr="009A5DC2">
        <w:rPr>
          <w:color w:val="000000" w:themeColor="text1"/>
          <w:sz w:val="24"/>
        </w:rPr>
        <w:t xml:space="preserve"> </w:t>
      </w:r>
      <w:r w:rsidRPr="009A5DC2">
        <w:rPr>
          <w:color w:val="000000" w:themeColor="text1"/>
          <w:sz w:val="24"/>
        </w:rPr>
        <w:t>alive to</w:t>
      </w:r>
      <w:r w:rsidR="00714D8B" w:rsidRPr="009A5DC2">
        <w:rPr>
          <w:color w:val="000000" w:themeColor="text1"/>
          <w:sz w:val="24"/>
        </w:rPr>
        <w:t xml:space="preserve"> </w:t>
      </w:r>
      <w:r w:rsidR="00A71C77" w:rsidRPr="009A5DC2">
        <w:rPr>
          <w:color w:val="000000" w:themeColor="text1"/>
          <w:sz w:val="24"/>
        </w:rPr>
        <w:t>the issue of</w:t>
      </w:r>
      <w:r w:rsidRPr="009A5DC2">
        <w:rPr>
          <w:color w:val="000000" w:themeColor="text1"/>
          <w:sz w:val="24"/>
        </w:rPr>
        <w:t xml:space="preserve"> unlawfulness pertaining to shares. The founding affidavit also notes that the shareholders’ register records 84 shares had been issued to some 40 purchasers</w:t>
      </w:r>
      <w:r w:rsidR="00A71C77" w:rsidRPr="009A5DC2">
        <w:rPr>
          <w:color w:val="000000" w:themeColor="text1"/>
          <w:sz w:val="24"/>
        </w:rPr>
        <w:t>.</w:t>
      </w:r>
      <w:r w:rsidR="00C40C95" w:rsidRPr="009A5DC2">
        <w:rPr>
          <w:color w:val="000000" w:themeColor="text1"/>
          <w:sz w:val="24"/>
        </w:rPr>
        <w:t xml:space="preserve"> </w:t>
      </w:r>
      <w:r w:rsidR="00A71C77" w:rsidRPr="009A5DC2">
        <w:rPr>
          <w:color w:val="000000" w:themeColor="text1"/>
          <w:sz w:val="24"/>
        </w:rPr>
        <w:t>I</w:t>
      </w:r>
      <w:r w:rsidR="003256B7" w:rsidRPr="009A5DC2">
        <w:rPr>
          <w:color w:val="000000" w:themeColor="text1"/>
          <w:sz w:val="24"/>
        </w:rPr>
        <w:t>t</w:t>
      </w:r>
      <w:r w:rsidRPr="009A5DC2">
        <w:rPr>
          <w:color w:val="000000" w:themeColor="text1"/>
          <w:sz w:val="24"/>
        </w:rPr>
        <w:t xml:space="preserve"> </w:t>
      </w:r>
      <w:r w:rsidR="00A71C77" w:rsidRPr="009A5DC2">
        <w:rPr>
          <w:color w:val="000000" w:themeColor="text1"/>
          <w:sz w:val="24"/>
        </w:rPr>
        <w:t>also</w:t>
      </w:r>
      <w:r w:rsidRPr="009A5DC2">
        <w:rPr>
          <w:color w:val="000000" w:themeColor="text1"/>
          <w:sz w:val="24"/>
        </w:rPr>
        <w:t xml:space="preserve"> refers to the unlawful issuing of shares to Bartman and Viljoen. </w:t>
      </w:r>
    </w:p>
    <w:p w:rsidR="003256B7" w:rsidRPr="009A5DC2" w:rsidRDefault="003256B7" w:rsidP="009A5DC2">
      <w:pPr>
        <w:pStyle w:val="NoSpacing"/>
        <w:spacing w:line="360" w:lineRule="auto"/>
      </w:pPr>
    </w:p>
    <w:p w:rsidR="00366A34" w:rsidRPr="009A5DC2" w:rsidRDefault="003256B7" w:rsidP="009A5DC2">
      <w:pPr>
        <w:spacing w:line="360" w:lineRule="auto"/>
        <w:ind w:left="720" w:hanging="720"/>
        <w:jc w:val="both"/>
        <w:rPr>
          <w:color w:val="000000" w:themeColor="text1"/>
          <w:sz w:val="24"/>
        </w:rPr>
      </w:pPr>
      <w:r w:rsidRPr="009A5DC2">
        <w:rPr>
          <w:color w:val="000000" w:themeColor="text1"/>
          <w:sz w:val="24"/>
        </w:rPr>
        <w:t>[</w:t>
      </w:r>
      <w:r w:rsidR="00A71C77" w:rsidRPr="009A5DC2">
        <w:rPr>
          <w:color w:val="000000" w:themeColor="text1"/>
          <w:sz w:val="24"/>
        </w:rPr>
        <w:t>1</w:t>
      </w:r>
      <w:r w:rsidR="00A67E60" w:rsidRPr="009A5DC2">
        <w:rPr>
          <w:color w:val="000000" w:themeColor="text1"/>
          <w:sz w:val="24"/>
        </w:rPr>
        <w:t>6</w:t>
      </w:r>
      <w:r w:rsidRPr="009A5DC2">
        <w:rPr>
          <w:color w:val="000000" w:themeColor="text1"/>
          <w:sz w:val="24"/>
        </w:rPr>
        <w:t>]</w:t>
      </w:r>
      <w:r w:rsidR="00A67E60" w:rsidRPr="009A5DC2">
        <w:rPr>
          <w:color w:val="000000" w:themeColor="text1"/>
          <w:sz w:val="24"/>
        </w:rPr>
        <w:tab/>
      </w:r>
      <w:r w:rsidRPr="009A5DC2">
        <w:rPr>
          <w:color w:val="000000" w:themeColor="text1"/>
          <w:sz w:val="24"/>
        </w:rPr>
        <w:t xml:space="preserve"> It is also so that a</w:t>
      </w:r>
      <w:r w:rsidR="002F78E7" w:rsidRPr="009A5DC2">
        <w:rPr>
          <w:color w:val="000000" w:themeColor="text1"/>
          <w:sz w:val="24"/>
        </w:rPr>
        <w:t xml:space="preserve">s of March 2022 shareholders’ agreements had already been signed. </w:t>
      </w:r>
      <w:r w:rsidRPr="009A5DC2">
        <w:rPr>
          <w:color w:val="000000" w:themeColor="text1"/>
          <w:sz w:val="24"/>
        </w:rPr>
        <w:t xml:space="preserve">Bartman’s answering affidavit states that Dalton himself executed shareholders’ agreements with several investors and accepted payment of their funds. </w:t>
      </w:r>
      <w:r w:rsidR="002F78E7" w:rsidRPr="009A5DC2">
        <w:rPr>
          <w:color w:val="000000" w:themeColor="text1"/>
          <w:sz w:val="24"/>
        </w:rPr>
        <w:t>One such agreement</w:t>
      </w:r>
      <w:r w:rsidR="00EE48A0">
        <w:rPr>
          <w:color w:val="000000" w:themeColor="text1"/>
          <w:sz w:val="24"/>
        </w:rPr>
        <w:t xml:space="preserve"> </w:t>
      </w:r>
      <w:r w:rsidR="002F78E7" w:rsidRPr="009A5DC2">
        <w:rPr>
          <w:color w:val="000000" w:themeColor="text1"/>
          <w:sz w:val="24"/>
        </w:rPr>
        <w:t xml:space="preserve"> is alleged by Bartman to have been executed </w:t>
      </w:r>
      <w:r w:rsidR="00A67E60" w:rsidRPr="009A5DC2">
        <w:rPr>
          <w:color w:val="000000" w:themeColor="text1"/>
          <w:sz w:val="24"/>
        </w:rPr>
        <w:t>by Dalton</w:t>
      </w:r>
      <w:r w:rsidR="002F78E7" w:rsidRPr="009A5DC2">
        <w:rPr>
          <w:color w:val="000000" w:themeColor="text1"/>
          <w:sz w:val="24"/>
        </w:rPr>
        <w:t xml:space="preserve"> and concluded with Trevor Bruce Hulett. </w:t>
      </w:r>
      <w:r w:rsidRPr="009A5DC2">
        <w:rPr>
          <w:color w:val="000000" w:themeColor="text1"/>
          <w:sz w:val="24"/>
        </w:rPr>
        <w:t xml:space="preserve"> I pause to mention that w</w:t>
      </w:r>
      <w:r w:rsidR="00366A34" w:rsidRPr="009A5DC2">
        <w:rPr>
          <w:color w:val="000000" w:themeColor="text1"/>
          <w:sz w:val="24"/>
        </w:rPr>
        <w:t>hilst this is not refuted or responded to in the replying affidavit of Dalton to Bartman’s answering affidavit</w:t>
      </w:r>
      <w:r w:rsidR="00A71C77" w:rsidRPr="009A5DC2">
        <w:rPr>
          <w:color w:val="000000" w:themeColor="text1"/>
          <w:sz w:val="24"/>
        </w:rPr>
        <w:t>,</w:t>
      </w:r>
      <w:r w:rsidR="00366A34" w:rsidRPr="009A5DC2">
        <w:rPr>
          <w:color w:val="000000" w:themeColor="text1"/>
          <w:sz w:val="24"/>
        </w:rPr>
        <w:t xml:space="preserve"> it is later on refuted by Dalton in reply to the </w:t>
      </w:r>
      <w:r w:rsidRPr="009A5DC2">
        <w:rPr>
          <w:color w:val="000000" w:themeColor="text1"/>
          <w:sz w:val="24"/>
        </w:rPr>
        <w:t>I</w:t>
      </w:r>
      <w:r w:rsidR="00366A34" w:rsidRPr="009A5DC2">
        <w:rPr>
          <w:color w:val="000000" w:themeColor="text1"/>
          <w:sz w:val="24"/>
        </w:rPr>
        <w:t xml:space="preserve">ntervening </w:t>
      </w:r>
      <w:r w:rsidRPr="009A5DC2">
        <w:rPr>
          <w:color w:val="000000" w:themeColor="text1"/>
          <w:sz w:val="24"/>
        </w:rPr>
        <w:t>P</w:t>
      </w:r>
      <w:r w:rsidR="00366A34" w:rsidRPr="009A5DC2">
        <w:rPr>
          <w:color w:val="000000" w:themeColor="text1"/>
          <w:sz w:val="24"/>
        </w:rPr>
        <w:t>arties’ affidavit.</w:t>
      </w:r>
    </w:p>
    <w:p w:rsidR="002F78E7" w:rsidRPr="009A5DC2" w:rsidRDefault="002F78E7" w:rsidP="009A5DC2">
      <w:pPr>
        <w:pStyle w:val="NoSpacing"/>
        <w:spacing w:line="360" w:lineRule="auto"/>
      </w:pPr>
    </w:p>
    <w:p w:rsidR="003256B7" w:rsidRPr="009A5DC2" w:rsidRDefault="00C40C95" w:rsidP="009A5DC2">
      <w:pPr>
        <w:spacing w:line="360" w:lineRule="auto"/>
        <w:ind w:left="720" w:hanging="720"/>
        <w:jc w:val="both"/>
        <w:rPr>
          <w:color w:val="000000" w:themeColor="text1"/>
          <w:sz w:val="24"/>
        </w:rPr>
      </w:pPr>
      <w:r w:rsidRPr="009A5DC2">
        <w:rPr>
          <w:color w:val="000000" w:themeColor="text1"/>
          <w:sz w:val="24"/>
        </w:rPr>
        <w:t xml:space="preserve"> </w:t>
      </w:r>
      <w:r w:rsidR="002F78E7" w:rsidRPr="009A5DC2">
        <w:rPr>
          <w:color w:val="000000" w:themeColor="text1"/>
          <w:sz w:val="24"/>
        </w:rPr>
        <w:t>[</w:t>
      </w:r>
      <w:r w:rsidR="00A71C77" w:rsidRPr="009A5DC2">
        <w:rPr>
          <w:color w:val="000000" w:themeColor="text1"/>
          <w:sz w:val="24"/>
        </w:rPr>
        <w:t>1</w:t>
      </w:r>
      <w:r w:rsidR="00A67E60" w:rsidRPr="009A5DC2">
        <w:rPr>
          <w:color w:val="000000" w:themeColor="text1"/>
          <w:sz w:val="24"/>
        </w:rPr>
        <w:t>7</w:t>
      </w:r>
      <w:r w:rsidR="002F78E7" w:rsidRPr="009A5DC2">
        <w:rPr>
          <w:color w:val="000000" w:themeColor="text1"/>
          <w:sz w:val="24"/>
        </w:rPr>
        <w:t>]</w:t>
      </w:r>
      <w:r w:rsidR="002F78E7" w:rsidRPr="009A5DC2">
        <w:rPr>
          <w:color w:val="000000" w:themeColor="text1"/>
          <w:sz w:val="24"/>
        </w:rPr>
        <w:tab/>
        <w:t xml:space="preserve">Paragraph 15.5 of </w:t>
      </w:r>
      <w:r w:rsidR="003256B7" w:rsidRPr="009A5DC2">
        <w:rPr>
          <w:color w:val="000000" w:themeColor="text1"/>
          <w:sz w:val="24"/>
        </w:rPr>
        <w:t xml:space="preserve">Hulett’s share </w:t>
      </w:r>
      <w:r w:rsidR="002F78E7" w:rsidRPr="009A5DC2">
        <w:rPr>
          <w:color w:val="000000" w:themeColor="text1"/>
          <w:sz w:val="24"/>
        </w:rPr>
        <w:t>agreement which is a standard clause in all the sale of shares agreements states as follows</w:t>
      </w:r>
      <w:r w:rsidR="00A71C77" w:rsidRPr="009A5DC2">
        <w:rPr>
          <w:color w:val="000000" w:themeColor="text1"/>
          <w:sz w:val="24"/>
        </w:rPr>
        <w:t>:</w:t>
      </w:r>
      <w:r w:rsidR="002F78E7" w:rsidRPr="009A5DC2">
        <w:rPr>
          <w:color w:val="000000" w:themeColor="text1"/>
          <w:sz w:val="24"/>
        </w:rPr>
        <w:t xml:space="preserve"> </w:t>
      </w:r>
    </w:p>
    <w:p w:rsidR="002F78E7" w:rsidRPr="009A5DC2" w:rsidRDefault="002F78E7" w:rsidP="009A5DC2">
      <w:pPr>
        <w:spacing w:line="360" w:lineRule="auto"/>
        <w:ind w:left="1440"/>
        <w:jc w:val="both"/>
        <w:rPr>
          <w:i/>
          <w:color w:val="000000" w:themeColor="text1"/>
          <w:sz w:val="22"/>
          <w:szCs w:val="22"/>
        </w:rPr>
      </w:pPr>
      <w:r w:rsidRPr="009A5DC2">
        <w:rPr>
          <w:color w:val="000000" w:themeColor="text1"/>
          <w:sz w:val="22"/>
          <w:szCs w:val="22"/>
        </w:rPr>
        <w:t>“</w:t>
      </w:r>
      <w:r w:rsidRPr="009A5DC2">
        <w:rPr>
          <w:i/>
          <w:color w:val="000000" w:themeColor="text1"/>
          <w:sz w:val="22"/>
          <w:szCs w:val="22"/>
        </w:rPr>
        <w:t>the purchaser recognises that the current legislation in South Africa severely restricts the ability to form a small scale farming community on agricultural zoned land and accepts that the seller is not liable for any restriction by the government placed on the seller.”</w:t>
      </w:r>
    </w:p>
    <w:p w:rsidR="002F78E7" w:rsidRPr="009A5DC2" w:rsidRDefault="00C40C95" w:rsidP="009A5DC2">
      <w:pPr>
        <w:spacing w:line="360" w:lineRule="auto"/>
        <w:ind w:left="720" w:hanging="720"/>
        <w:jc w:val="both"/>
        <w:rPr>
          <w:color w:val="000000" w:themeColor="text1"/>
          <w:sz w:val="24"/>
        </w:rPr>
      </w:pPr>
      <w:r w:rsidRPr="009A5DC2">
        <w:rPr>
          <w:color w:val="000000" w:themeColor="text1"/>
          <w:sz w:val="24"/>
        </w:rPr>
        <w:t xml:space="preserve">           </w:t>
      </w:r>
      <w:r w:rsidR="002F78E7" w:rsidRPr="009A5DC2">
        <w:rPr>
          <w:color w:val="000000" w:themeColor="text1"/>
          <w:sz w:val="24"/>
        </w:rPr>
        <w:t xml:space="preserve">This is a further indication of Dalton’s being alive to some of the questions </w:t>
      </w:r>
      <w:r w:rsidR="006B6BE5">
        <w:rPr>
          <w:color w:val="000000" w:themeColor="text1"/>
          <w:sz w:val="24"/>
        </w:rPr>
        <w:t xml:space="preserve">pertinent to </w:t>
      </w:r>
      <w:r w:rsidR="002F78E7" w:rsidRPr="009A5DC2">
        <w:rPr>
          <w:color w:val="000000" w:themeColor="text1"/>
          <w:sz w:val="24"/>
        </w:rPr>
        <w:t xml:space="preserve">illegality which he claims not to have been aware of prior to the </w:t>
      </w:r>
      <w:r w:rsidR="006B6BE5">
        <w:rPr>
          <w:color w:val="000000" w:themeColor="text1"/>
          <w:sz w:val="24"/>
        </w:rPr>
        <w:t>I</w:t>
      </w:r>
      <w:r w:rsidR="002F78E7" w:rsidRPr="009A5DC2">
        <w:rPr>
          <w:color w:val="000000" w:themeColor="text1"/>
          <w:sz w:val="24"/>
        </w:rPr>
        <w:t xml:space="preserve">ntervening </w:t>
      </w:r>
      <w:r w:rsidR="006B6BE5">
        <w:rPr>
          <w:color w:val="000000" w:themeColor="text1"/>
          <w:sz w:val="24"/>
        </w:rPr>
        <w:t>P</w:t>
      </w:r>
      <w:r w:rsidR="002F78E7" w:rsidRPr="009A5DC2">
        <w:rPr>
          <w:color w:val="000000" w:themeColor="text1"/>
          <w:sz w:val="24"/>
        </w:rPr>
        <w:t>arties’ answering affidavit being filed.</w:t>
      </w:r>
      <w:r w:rsidR="003256B7" w:rsidRPr="009A5DC2">
        <w:rPr>
          <w:color w:val="000000" w:themeColor="text1"/>
          <w:sz w:val="24"/>
        </w:rPr>
        <w:t xml:space="preserve"> Sale of shares agreements </w:t>
      </w:r>
      <w:r w:rsidR="003256B7" w:rsidRPr="009A5DC2">
        <w:rPr>
          <w:color w:val="000000" w:themeColor="text1"/>
          <w:sz w:val="24"/>
        </w:rPr>
        <w:lastRenderedPageBreak/>
        <w:t xml:space="preserve">were executed at a time when he was a director and his </w:t>
      </w:r>
      <w:r w:rsidR="006B6BE5">
        <w:rPr>
          <w:color w:val="000000" w:themeColor="text1"/>
          <w:sz w:val="24"/>
        </w:rPr>
        <w:t xml:space="preserve">mere say so </w:t>
      </w:r>
      <w:r w:rsidR="003256B7" w:rsidRPr="009A5DC2">
        <w:rPr>
          <w:color w:val="000000" w:themeColor="text1"/>
          <w:sz w:val="24"/>
        </w:rPr>
        <w:t xml:space="preserve">of ignorance as to the contents thereof is so </w:t>
      </w:r>
      <w:r w:rsidR="00A67E60" w:rsidRPr="009A5DC2">
        <w:rPr>
          <w:color w:val="000000" w:themeColor="text1"/>
          <w:sz w:val="24"/>
        </w:rPr>
        <w:t>improbable as</w:t>
      </w:r>
      <w:r w:rsidR="003256B7" w:rsidRPr="009A5DC2">
        <w:rPr>
          <w:color w:val="000000" w:themeColor="text1"/>
          <w:sz w:val="24"/>
        </w:rPr>
        <w:t xml:space="preserve"> not to be countenanced.</w:t>
      </w:r>
    </w:p>
    <w:p w:rsidR="004850DF" w:rsidRPr="009A5DC2" w:rsidRDefault="004850DF" w:rsidP="009A5DC2">
      <w:pPr>
        <w:pStyle w:val="NoSpacing"/>
        <w:spacing w:line="360" w:lineRule="auto"/>
      </w:pPr>
    </w:p>
    <w:p w:rsidR="00A00D63" w:rsidRPr="009A5DC2" w:rsidRDefault="004850DF" w:rsidP="009A5DC2">
      <w:pPr>
        <w:spacing w:line="360" w:lineRule="auto"/>
        <w:ind w:left="720" w:hanging="720"/>
        <w:jc w:val="both"/>
        <w:rPr>
          <w:color w:val="000000" w:themeColor="text1"/>
          <w:sz w:val="24"/>
        </w:rPr>
      </w:pPr>
      <w:r w:rsidRPr="009A5DC2">
        <w:rPr>
          <w:color w:val="000000" w:themeColor="text1"/>
          <w:sz w:val="24"/>
        </w:rPr>
        <w:t>[</w:t>
      </w:r>
      <w:r w:rsidR="00A71C77" w:rsidRPr="009A5DC2">
        <w:rPr>
          <w:color w:val="000000" w:themeColor="text1"/>
          <w:sz w:val="24"/>
        </w:rPr>
        <w:t>1</w:t>
      </w:r>
      <w:r w:rsidR="00A67E60" w:rsidRPr="009A5DC2">
        <w:rPr>
          <w:color w:val="000000" w:themeColor="text1"/>
          <w:sz w:val="24"/>
        </w:rPr>
        <w:t>8</w:t>
      </w:r>
      <w:r w:rsidRPr="009A5DC2">
        <w:rPr>
          <w:color w:val="000000" w:themeColor="text1"/>
          <w:sz w:val="24"/>
        </w:rPr>
        <w:t>]</w:t>
      </w:r>
      <w:r w:rsidRPr="009A5DC2">
        <w:rPr>
          <w:color w:val="000000" w:themeColor="text1"/>
          <w:sz w:val="24"/>
        </w:rPr>
        <w:tab/>
        <w:t xml:space="preserve">Then too there is a circular by Dalton </w:t>
      </w:r>
      <w:r w:rsidR="00A00D63" w:rsidRPr="009A5DC2">
        <w:rPr>
          <w:color w:val="000000" w:themeColor="text1"/>
          <w:sz w:val="24"/>
        </w:rPr>
        <w:t xml:space="preserve">dated 25 May 2020, Annexure AA2.1 to the answering affidavit of Bartman </w:t>
      </w:r>
      <w:r w:rsidRPr="009A5DC2">
        <w:rPr>
          <w:color w:val="000000" w:themeColor="text1"/>
          <w:sz w:val="24"/>
        </w:rPr>
        <w:t>which states</w:t>
      </w:r>
      <w:r w:rsidR="00A00D63" w:rsidRPr="009A5DC2">
        <w:rPr>
          <w:color w:val="000000" w:themeColor="text1"/>
          <w:sz w:val="24"/>
        </w:rPr>
        <w:t>:</w:t>
      </w:r>
    </w:p>
    <w:p w:rsidR="004850DF" w:rsidRPr="009A5DC2" w:rsidRDefault="004850DF" w:rsidP="009A5DC2">
      <w:pPr>
        <w:spacing w:line="360" w:lineRule="auto"/>
        <w:ind w:left="1440"/>
        <w:jc w:val="both"/>
        <w:rPr>
          <w:i/>
          <w:color w:val="000000" w:themeColor="text1"/>
          <w:sz w:val="22"/>
          <w:szCs w:val="22"/>
        </w:rPr>
      </w:pPr>
      <w:r w:rsidRPr="009A5DC2">
        <w:rPr>
          <w:i/>
          <w:color w:val="000000" w:themeColor="text1"/>
          <w:sz w:val="22"/>
          <w:szCs w:val="22"/>
        </w:rPr>
        <w:t xml:space="preserve">“So we had to then work within the constraints that agricultural zoning allows so after many discussions with many CA’s and legal people (it’s amazing how few are willing to get involved with a movement like ours going for self-determination, so finding the right one takes time) we </w:t>
      </w:r>
      <w:r w:rsidR="00A71C77" w:rsidRPr="009A5DC2">
        <w:rPr>
          <w:i/>
          <w:color w:val="000000" w:themeColor="text1"/>
          <w:sz w:val="22"/>
          <w:szCs w:val="22"/>
        </w:rPr>
        <w:t>thought</w:t>
      </w:r>
      <w:r w:rsidRPr="009A5DC2">
        <w:rPr>
          <w:i/>
          <w:color w:val="000000" w:themeColor="text1"/>
          <w:sz w:val="22"/>
          <w:szCs w:val="22"/>
        </w:rPr>
        <w:t xml:space="preserve"> th</w:t>
      </w:r>
      <w:r w:rsidR="00237EC6" w:rsidRPr="009A5DC2">
        <w:rPr>
          <w:i/>
          <w:color w:val="000000" w:themeColor="text1"/>
          <w:sz w:val="22"/>
          <w:szCs w:val="22"/>
        </w:rPr>
        <w:t>e best way is shares and . . . ”</w:t>
      </w:r>
    </w:p>
    <w:p w:rsidR="004850DF" w:rsidRPr="009A5DC2" w:rsidRDefault="00C40C95" w:rsidP="009A5DC2">
      <w:pPr>
        <w:spacing w:line="360" w:lineRule="auto"/>
        <w:ind w:left="720" w:hanging="720"/>
        <w:jc w:val="both"/>
        <w:rPr>
          <w:color w:val="000000" w:themeColor="text1"/>
          <w:sz w:val="24"/>
        </w:rPr>
      </w:pPr>
      <w:r w:rsidRPr="009A5DC2">
        <w:rPr>
          <w:color w:val="000000" w:themeColor="text1"/>
          <w:sz w:val="24"/>
        </w:rPr>
        <w:t xml:space="preserve">           </w:t>
      </w:r>
      <w:r w:rsidR="004850DF" w:rsidRPr="009A5DC2">
        <w:rPr>
          <w:color w:val="000000" w:themeColor="text1"/>
          <w:sz w:val="24"/>
        </w:rPr>
        <w:t xml:space="preserve">This too </w:t>
      </w:r>
      <w:r w:rsidR="00A71C77" w:rsidRPr="009A5DC2">
        <w:rPr>
          <w:color w:val="000000" w:themeColor="text1"/>
          <w:sz w:val="24"/>
        </w:rPr>
        <w:t>suggests</w:t>
      </w:r>
      <w:r w:rsidR="004850DF" w:rsidRPr="009A5DC2">
        <w:rPr>
          <w:color w:val="000000" w:themeColor="text1"/>
          <w:sz w:val="24"/>
        </w:rPr>
        <w:t xml:space="preserve"> that at the commencement of these proceedings Dalton was engaged with issues</w:t>
      </w:r>
      <w:r w:rsidR="00A71C77" w:rsidRPr="009A5DC2">
        <w:rPr>
          <w:color w:val="000000" w:themeColor="text1"/>
          <w:sz w:val="24"/>
        </w:rPr>
        <w:t xml:space="preserve"> related to</w:t>
      </w:r>
      <w:r w:rsidR="004850DF" w:rsidRPr="009A5DC2">
        <w:rPr>
          <w:color w:val="000000" w:themeColor="text1"/>
          <w:sz w:val="24"/>
        </w:rPr>
        <w:t xml:space="preserve"> the new matter raised in reply to the </w:t>
      </w:r>
      <w:r w:rsidR="006B6BE5">
        <w:rPr>
          <w:color w:val="000000" w:themeColor="text1"/>
          <w:sz w:val="24"/>
        </w:rPr>
        <w:t>I</w:t>
      </w:r>
      <w:r w:rsidR="004850DF" w:rsidRPr="009A5DC2">
        <w:rPr>
          <w:color w:val="000000" w:themeColor="text1"/>
          <w:sz w:val="24"/>
        </w:rPr>
        <w:t xml:space="preserve">ntervening </w:t>
      </w:r>
      <w:r w:rsidR="006B6BE5">
        <w:rPr>
          <w:color w:val="000000" w:themeColor="text1"/>
          <w:sz w:val="24"/>
        </w:rPr>
        <w:t>P</w:t>
      </w:r>
      <w:r w:rsidR="004850DF" w:rsidRPr="009A5DC2">
        <w:rPr>
          <w:color w:val="000000" w:themeColor="text1"/>
          <w:sz w:val="24"/>
        </w:rPr>
        <w:t>arties’ answering affidavit</w:t>
      </w:r>
      <w:r w:rsidR="00A71C77" w:rsidRPr="009A5DC2">
        <w:rPr>
          <w:color w:val="000000" w:themeColor="text1"/>
          <w:sz w:val="24"/>
        </w:rPr>
        <w:t xml:space="preserve"> and would have been alive to it.</w:t>
      </w:r>
    </w:p>
    <w:p w:rsidR="002F78E7" w:rsidRPr="009A5DC2" w:rsidRDefault="002F78E7" w:rsidP="009A5DC2">
      <w:pPr>
        <w:spacing w:line="360" w:lineRule="auto"/>
        <w:jc w:val="both"/>
        <w:rPr>
          <w:color w:val="000000" w:themeColor="text1"/>
          <w:sz w:val="24"/>
        </w:rPr>
      </w:pPr>
    </w:p>
    <w:p w:rsidR="00E04F5D" w:rsidRPr="009A5DC2" w:rsidRDefault="00F77CA9" w:rsidP="009A5DC2">
      <w:pPr>
        <w:spacing w:line="360" w:lineRule="auto"/>
        <w:ind w:left="720" w:hanging="720"/>
        <w:jc w:val="both"/>
        <w:rPr>
          <w:color w:val="000000" w:themeColor="text1"/>
          <w:sz w:val="24"/>
        </w:rPr>
      </w:pPr>
      <w:r w:rsidRPr="009A5DC2">
        <w:rPr>
          <w:color w:val="000000" w:themeColor="text1"/>
          <w:sz w:val="24"/>
        </w:rPr>
        <w:t>[</w:t>
      </w:r>
      <w:r w:rsidR="00A71C77" w:rsidRPr="009A5DC2">
        <w:rPr>
          <w:color w:val="000000" w:themeColor="text1"/>
          <w:sz w:val="24"/>
        </w:rPr>
        <w:t>1</w:t>
      </w:r>
      <w:r w:rsidR="00A67E60" w:rsidRPr="009A5DC2">
        <w:rPr>
          <w:color w:val="000000" w:themeColor="text1"/>
          <w:sz w:val="24"/>
        </w:rPr>
        <w:t>9</w:t>
      </w:r>
      <w:r w:rsidRPr="009A5DC2">
        <w:rPr>
          <w:color w:val="000000" w:themeColor="text1"/>
          <w:sz w:val="24"/>
        </w:rPr>
        <w:t>]</w:t>
      </w:r>
      <w:r w:rsidRPr="009A5DC2">
        <w:rPr>
          <w:color w:val="000000" w:themeColor="text1"/>
          <w:sz w:val="24"/>
        </w:rPr>
        <w:tab/>
        <w:t>Dalton would have one believe that in establishing the Po</w:t>
      </w:r>
      <w:r w:rsidR="00A00D63" w:rsidRPr="009A5DC2">
        <w:rPr>
          <w:color w:val="000000" w:themeColor="text1"/>
          <w:sz w:val="24"/>
        </w:rPr>
        <w:t>la</w:t>
      </w:r>
      <w:r w:rsidRPr="009A5DC2">
        <w:rPr>
          <w:color w:val="000000" w:themeColor="text1"/>
          <w:sz w:val="24"/>
        </w:rPr>
        <w:t>nac</w:t>
      </w:r>
      <w:r w:rsidR="00A00D63" w:rsidRPr="009A5DC2">
        <w:rPr>
          <w:color w:val="000000" w:themeColor="text1"/>
          <w:sz w:val="24"/>
        </w:rPr>
        <w:t>o</w:t>
      </w:r>
      <w:r w:rsidRPr="009A5DC2">
        <w:rPr>
          <w:color w:val="000000" w:themeColor="text1"/>
          <w:sz w:val="24"/>
        </w:rPr>
        <w:t xml:space="preserve">l business model which was based on the sale of shares to investors like the </w:t>
      </w:r>
      <w:r w:rsidR="006B6BE5">
        <w:rPr>
          <w:color w:val="000000" w:themeColor="text1"/>
          <w:sz w:val="24"/>
        </w:rPr>
        <w:t>I</w:t>
      </w:r>
      <w:r w:rsidRPr="009A5DC2">
        <w:rPr>
          <w:color w:val="000000" w:themeColor="text1"/>
          <w:sz w:val="24"/>
        </w:rPr>
        <w:t xml:space="preserve">ntervening </w:t>
      </w:r>
      <w:r w:rsidR="006B6BE5">
        <w:rPr>
          <w:color w:val="000000" w:themeColor="text1"/>
          <w:sz w:val="24"/>
        </w:rPr>
        <w:t>P</w:t>
      </w:r>
      <w:r w:rsidRPr="009A5DC2">
        <w:rPr>
          <w:color w:val="000000" w:themeColor="text1"/>
          <w:sz w:val="24"/>
        </w:rPr>
        <w:t xml:space="preserve">arties, and resulted in a slew of </w:t>
      </w:r>
      <w:r w:rsidR="00A67E60" w:rsidRPr="009A5DC2">
        <w:rPr>
          <w:color w:val="000000" w:themeColor="text1"/>
          <w:sz w:val="24"/>
        </w:rPr>
        <w:t>shareholders’</w:t>
      </w:r>
      <w:r w:rsidRPr="009A5DC2">
        <w:rPr>
          <w:color w:val="000000" w:themeColor="text1"/>
          <w:sz w:val="24"/>
        </w:rPr>
        <w:t xml:space="preserve"> agreements being signed, no heed was paid to the validity of the shareholder agreements or the </w:t>
      </w:r>
      <w:r w:rsidR="00A00D63" w:rsidRPr="009A5DC2">
        <w:rPr>
          <w:color w:val="000000" w:themeColor="text1"/>
          <w:sz w:val="24"/>
        </w:rPr>
        <w:t xml:space="preserve">legality of the </w:t>
      </w:r>
      <w:r w:rsidRPr="009A5DC2">
        <w:rPr>
          <w:color w:val="000000" w:themeColor="text1"/>
          <w:sz w:val="24"/>
        </w:rPr>
        <w:t>Polanocol business model. It is common cause that these agreements were signed when he was a director</w:t>
      </w:r>
      <w:r w:rsidR="00A71C77" w:rsidRPr="009A5DC2">
        <w:rPr>
          <w:color w:val="000000" w:themeColor="text1"/>
          <w:sz w:val="24"/>
        </w:rPr>
        <w:t xml:space="preserve"> and that he was engaging “legal people”. His </w:t>
      </w:r>
      <w:r w:rsidR="00E04F5D" w:rsidRPr="009A5DC2">
        <w:rPr>
          <w:color w:val="000000" w:themeColor="text1"/>
          <w:sz w:val="24"/>
        </w:rPr>
        <w:t>claim not to have been aware of the illegality issue at the commencement of these proceedings, thus wears thin.</w:t>
      </w:r>
    </w:p>
    <w:p w:rsidR="00E04F5D" w:rsidRPr="009A5DC2" w:rsidRDefault="00E04F5D" w:rsidP="009A5DC2">
      <w:pPr>
        <w:pStyle w:val="NoSpacing"/>
        <w:spacing w:line="360" w:lineRule="auto"/>
      </w:pPr>
    </w:p>
    <w:p w:rsidR="00F77CA9" w:rsidRPr="009A5DC2" w:rsidRDefault="00E04F5D" w:rsidP="009A5DC2">
      <w:pPr>
        <w:spacing w:line="360" w:lineRule="auto"/>
        <w:ind w:left="720" w:hanging="720"/>
        <w:jc w:val="both"/>
        <w:rPr>
          <w:color w:val="000000" w:themeColor="text1"/>
          <w:sz w:val="24"/>
        </w:rPr>
      </w:pPr>
      <w:r w:rsidRPr="009A5DC2">
        <w:rPr>
          <w:color w:val="000000" w:themeColor="text1"/>
          <w:sz w:val="24"/>
        </w:rPr>
        <w:t>[</w:t>
      </w:r>
      <w:r w:rsidR="00A67E60" w:rsidRPr="009A5DC2">
        <w:rPr>
          <w:color w:val="000000" w:themeColor="text1"/>
          <w:sz w:val="24"/>
        </w:rPr>
        <w:t>20</w:t>
      </w:r>
      <w:r w:rsidRPr="009A5DC2">
        <w:rPr>
          <w:color w:val="000000" w:themeColor="text1"/>
          <w:sz w:val="24"/>
        </w:rPr>
        <w:t xml:space="preserve">] </w:t>
      </w:r>
      <w:r w:rsidR="00C40C95" w:rsidRPr="009A5DC2">
        <w:rPr>
          <w:color w:val="000000" w:themeColor="text1"/>
          <w:sz w:val="24"/>
        </w:rPr>
        <w:t xml:space="preserve">     </w:t>
      </w:r>
      <w:r w:rsidR="00F77CA9" w:rsidRPr="009A5DC2">
        <w:rPr>
          <w:color w:val="000000" w:themeColor="text1"/>
          <w:sz w:val="24"/>
        </w:rPr>
        <w:t xml:space="preserve">His attempts to distance himself from </w:t>
      </w:r>
      <w:r w:rsidR="00A67E60" w:rsidRPr="009A5DC2">
        <w:rPr>
          <w:color w:val="000000" w:themeColor="text1"/>
          <w:sz w:val="24"/>
        </w:rPr>
        <w:t>the sale</w:t>
      </w:r>
      <w:r w:rsidRPr="009A5DC2">
        <w:rPr>
          <w:color w:val="000000" w:themeColor="text1"/>
          <w:sz w:val="24"/>
        </w:rPr>
        <w:t xml:space="preserve"> of shares </w:t>
      </w:r>
      <w:r w:rsidR="00F77CA9" w:rsidRPr="009A5DC2">
        <w:rPr>
          <w:color w:val="000000" w:themeColor="text1"/>
          <w:sz w:val="24"/>
        </w:rPr>
        <w:t>agreements by claiming he did not draft them, suggesting his signature may have been forged</w:t>
      </w:r>
      <w:r w:rsidR="00A00D63" w:rsidRPr="009A5DC2">
        <w:rPr>
          <w:color w:val="000000" w:themeColor="text1"/>
          <w:sz w:val="24"/>
        </w:rPr>
        <w:t xml:space="preserve">, </w:t>
      </w:r>
      <w:r w:rsidR="00F77CA9" w:rsidRPr="009A5DC2">
        <w:rPr>
          <w:color w:val="000000" w:themeColor="text1"/>
          <w:sz w:val="24"/>
        </w:rPr>
        <w:t>alternatively that he did not remember signing</w:t>
      </w:r>
      <w:r w:rsidR="00A00D63" w:rsidRPr="009A5DC2">
        <w:rPr>
          <w:color w:val="000000" w:themeColor="text1"/>
          <w:sz w:val="24"/>
        </w:rPr>
        <w:t>, as he did in reply to the Intervening Parties’ answering affidavit,</w:t>
      </w:r>
      <w:r w:rsidR="00F77CA9" w:rsidRPr="009A5DC2">
        <w:rPr>
          <w:color w:val="000000" w:themeColor="text1"/>
          <w:sz w:val="24"/>
        </w:rPr>
        <w:t xml:space="preserve"> is aptly categorised by the intervening parties as astounding. There is no </w:t>
      </w:r>
      <w:r w:rsidR="00A67E60" w:rsidRPr="009A5DC2">
        <w:rPr>
          <w:color w:val="000000" w:themeColor="text1"/>
          <w:sz w:val="24"/>
        </w:rPr>
        <w:t>evidence apart</w:t>
      </w:r>
      <w:r w:rsidRPr="009A5DC2">
        <w:rPr>
          <w:color w:val="000000" w:themeColor="text1"/>
          <w:sz w:val="24"/>
        </w:rPr>
        <w:t xml:space="preserve"> from his say so </w:t>
      </w:r>
      <w:r w:rsidR="00F77CA9" w:rsidRPr="009A5DC2">
        <w:rPr>
          <w:color w:val="000000" w:themeColor="text1"/>
          <w:sz w:val="24"/>
        </w:rPr>
        <w:t xml:space="preserve">to back up his averment of ignorance as to the legality of the Polanocol business model or the shareholders’ agreements until he was alerted thereto by the </w:t>
      </w:r>
      <w:r w:rsidRPr="009A5DC2">
        <w:rPr>
          <w:color w:val="000000" w:themeColor="text1"/>
          <w:sz w:val="24"/>
        </w:rPr>
        <w:t>I</w:t>
      </w:r>
      <w:r w:rsidR="00F77CA9" w:rsidRPr="009A5DC2">
        <w:rPr>
          <w:color w:val="000000" w:themeColor="text1"/>
          <w:sz w:val="24"/>
        </w:rPr>
        <w:t xml:space="preserve">ntervening </w:t>
      </w:r>
      <w:r w:rsidRPr="009A5DC2">
        <w:rPr>
          <w:color w:val="000000" w:themeColor="text1"/>
          <w:sz w:val="24"/>
        </w:rPr>
        <w:t>P</w:t>
      </w:r>
      <w:r w:rsidR="00F77CA9" w:rsidRPr="009A5DC2">
        <w:rPr>
          <w:color w:val="000000" w:themeColor="text1"/>
          <w:sz w:val="24"/>
        </w:rPr>
        <w:t>arties</w:t>
      </w:r>
      <w:r w:rsidRPr="009A5DC2">
        <w:rPr>
          <w:color w:val="000000" w:themeColor="text1"/>
          <w:sz w:val="24"/>
        </w:rPr>
        <w:t>’</w:t>
      </w:r>
      <w:r w:rsidR="00F77CA9" w:rsidRPr="009A5DC2">
        <w:rPr>
          <w:color w:val="000000" w:themeColor="text1"/>
          <w:sz w:val="24"/>
        </w:rPr>
        <w:t xml:space="preserve"> claiming that the shareholders’ agreements were valid. </w:t>
      </w:r>
      <w:r w:rsidR="00A00D63" w:rsidRPr="009A5DC2">
        <w:rPr>
          <w:color w:val="000000" w:themeColor="text1"/>
          <w:sz w:val="24"/>
        </w:rPr>
        <w:t xml:space="preserve"> On the contrary, the pleadings suggest otherwise. </w:t>
      </w:r>
      <w:r w:rsidR="00F77CA9" w:rsidRPr="009A5DC2">
        <w:rPr>
          <w:color w:val="000000" w:themeColor="text1"/>
          <w:sz w:val="24"/>
        </w:rPr>
        <w:t xml:space="preserve">It is no answer, as submitted by Mr </w:t>
      </w:r>
      <w:r w:rsidR="00F77CA9" w:rsidRPr="009A5DC2">
        <w:rPr>
          <w:color w:val="000000" w:themeColor="text1"/>
          <w:sz w:val="24"/>
        </w:rPr>
        <w:lastRenderedPageBreak/>
        <w:t>Jonker</w:t>
      </w:r>
      <w:r w:rsidR="006B6BE5">
        <w:rPr>
          <w:color w:val="000000" w:themeColor="text1"/>
          <w:sz w:val="24"/>
        </w:rPr>
        <w:t>,</w:t>
      </w:r>
      <w:r w:rsidR="00F77CA9" w:rsidRPr="009A5DC2">
        <w:rPr>
          <w:color w:val="000000" w:themeColor="text1"/>
          <w:sz w:val="24"/>
        </w:rPr>
        <w:t xml:space="preserve"> that Dalton was aware that the shares could be sold but he was not aware of the legality of the shareholders’ agreement. </w:t>
      </w:r>
    </w:p>
    <w:p w:rsidR="00C376EA" w:rsidRPr="009A5DC2" w:rsidRDefault="00C376EA" w:rsidP="009A5DC2">
      <w:pPr>
        <w:pStyle w:val="NoSpacing"/>
        <w:spacing w:line="360" w:lineRule="auto"/>
      </w:pPr>
    </w:p>
    <w:p w:rsidR="007B60BA" w:rsidRPr="009A5DC2" w:rsidRDefault="007B60BA" w:rsidP="009A5DC2">
      <w:pPr>
        <w:spacing w:line="360" w:lineRule="auto"/>
        <w:ind w:left="720" w:hanging="720"/>
        <w:jc w:val="both"/>
        <w:rPr>
          <w:color w:val="000000" w:themeColor="text1"/>
          <w:sz w:val="24"/>
        </w:rPr>
      </w:pPr>
      <w:r w:rsidRPr="009A5DC2">
        <w:rPr>
          <w:color w:val="000000" w:themeColor="text1"/>
          <w:sz w:val="24"/>
        </w:rPr>
        <w:t>[</w:t>
      </w:r>
      <w:r w:rsidR="00E04F5D" w:rsidRPr="009A5DC2">
        <w:rPr>
          <w:color w:val="000000" w:themeColor="text1"/>
          <w:sz w:val="24"/>
        </w:rPr>
        <w:t>2</w:t>
      </w:r>
      <w:r w:rsidR="00A67E60" w:rsidRPr="009A5DC2">
        <w:rPr>
          <w:color w:val="000000" w:themeColor="text1"/>
          <w:sz w:val="24"/>
        </w:rPr>
        <w:t>1</w:t>
      </w:r>
      <w:r w:rsidRPr="009A5DC2">
        <w:rPr>
          <w:color w:val="000000" w:themeColor="text1"/>
          <w:sz w:val="24"/>
        </w:rPr>
        <w:t>]</w:t>
      </w:r>
      <w:r w:rsidRPr="009A5DC2">
        <w:rPr>
          <w:color w:val="000000" w:themeColor="text1"/>
          <w:sz w:val="24"/>
        </w:rPr>
        <w:tab/>
        <w:t xml:space="preserve">The issue of illegality is clearly a new </w:t>
      </w:r>
      <w:r w:rsidR="00E04F5D" w:rsidRPr="009A5DC2">
        <w:rPr>
          <w:color w:val="000000" w:themeColor="text1"/>
          <w:sz w:val="24"/>
        </w:rPr>
        <w:t>matter that was</w:t>
      </w:r>
      <w:r w:rsidRPr="009A5DC2">
        <w:rPr>
          <w:color w:val="000000" w:themeColor="text1"/>
          <w:sz w:val="24"/>
        </w:rPr>
        <w:t xml:space="preserve"> introduced</w:t>
      </w:r>
      <w:r w:rsidR="00E04F5D" w:rsidRPr="009A5DC2">
        <w:rPr>
          <w:color w:val="000000" w:themeColor="text1"/>
          <w:sz w:val="24"/>
        </w:rPr>
        <w:t>,</w:t>
      </w:r>
      <w:r w:rsidRPr="009A5DC2">
        <w:rPr>
          <w:color w:val="000000" w:themeColor="text1"/>
          <w:sz w:val="24"/>
        </w:rPr>
        <w:t xml:space="preserve"> notwithstanding it being brought under the just and equitable heading. The illegality of the Polanocol business model and the validity of the share</w:t>
      </w:r>
      <w:r w:rsidR="00A00D63" w:rsidRPr="009A5DC2">
        <w:rPr>
          <w:color w:val="000000" w:themeColor="text1"/>
          <w:sz w:val="24"/>
        </w:rPr>
        <w:t>s</w:t>
      </w:r>
      <w:r w:rsidRPr="009A5DC2">
        <w:rPr>
          <w:color w:val="000000" w:themeColor="text1"/>
          <w:sz w:val="24"/>
        </w:rPr>
        <w:t xml:space="preserve"> with reference to the Share Block Act and the S</w:t>
      </w:r>
      <w:r w:rsidR="006B6BE5">
        <w:rPr>
          <w:color w:val="000000" w:themeColor="text1"/>
          <w:sz w:val="24"/>
        </w:rPr>
        <w:t>AL</w:t>
      </w:r>
      <w:r w:rsidRPr="009A5DC2">
        <w:rPr>
          <w:color w:val="000000" w:themeColor="text1"/>
          <w:sz w:val="24"/>
        </w:rPr>
        <w:t xml:space="preserve"> Act was not a case that the Respondents were required to </w:t>
      </w:r>
      <w:r w:rsidR="00C40C95" w:rsidRPr="009A5DC2">
        <w:rPr>
          <w:color w:val="000000" w:themeColor="text1"/>
          <w:sz w:val="24"/>
        </w:rPr>
        <w:t>meet in the founding affidavit.</w:t>
      </w:r>
    </w:p>
    <w:p w:rsidR="007B60BA" w:rsidRPr="009A5DC2" w:rsidRDefault="007B60BA" w:rsidP="009A5DC2">
      <w:pPr>
        <w:pStyle w:val="NoSpacing"/>
        <w:spacing w:line="360" w:lineRule="auto"/>
      </w:pPr>
    </w:p>
    <w:p w:rsidR="00C376EA" w:rsidRPr="009A5DC2" w:rsidRDefault="00C376EA" w:rsidP="009A5DC2">
      <w:pPr>
        <w:spacing w:line="360" w:lineRule="auto"/>
        <w:ind w:left="720" w:hanging="720"/>
        <w:jc w:val="both"/>
        <w:rPr>
          <w:color w:val="000000" w:themeColor="text1"/>
          <w:sz w:val="24"/>
        </w:rPr>
      </w:pPr>
      <w:r w:rsidRPr="009A5DC2">
        <w:rPr>
          <w:color w:val="000000" w:themeColor="text1"/>
          <w:sz w:val="24"/>
        </w:rPr>
        <w:t>[</w:t>
      </w:r>
      <w:r w:rsidR="004B7416" w:rsidRPr="009A5DC2">
        <w:rPr>
          <w:color w:val="000000" w:themeColor="text1"/>
          <w:sz w:val="24"/>
        </w:rPr>
        <w:t>2</w:t>
      </w:r>
      <w:r w:rsidR="00A67E60" w:rsidRPr="009A5DC2">
        <w:rPr>
          <w:color w:val="000000" w:themeColor="text1"/>
          <w:sz w:val="24"/>
        </w:rPr>
        <w:t>2</w:t>
      </w:r>
      <w:r w:rsidRPr="009A5DC2">
        <w:rPr>
          <w:color w:val="000000" w:themeColor="text1"/>
          <w:sz w:val="24"/>
        </w:rPr>
        <w:t>]</w:t>
      </w:r>
      <w:r w:rsidRPr="009A5DC2">
        <w:rPr>
          <w:color w:val="000000" w:themeColor="text1"/>
          <w:sz w:val="24"/>
        </w:rPr>
        <w:tab/>
        <w:t>I accordingly am of the view that the new matter pertaining to  illegality w</w:t>
      </w:r>
      <w:r w:rsidR="004B7416" w:rsidRPr="009A5DC2">
        <w:rPr>
          <w:color w:val="000000" w:themeColor="text1"/>
          <w:sz w:val="24"/>
        </w:rPr>
        <w:t xml:space="preserve">ould in all probability have been </w:t>
      </w:r>
      <w:r w:rsidRPr="009A5DC2">
        <w:rPr>
          <w:color w:val="000000" w:themeColor="text1"/>
          <w:sz w:val="24"/>
        </w:rPr>
        <w:t>known to Dalton</w:t>
      </w:r>
      <w:r w:rsidR="004B7416" w:rsidRPr="009A5DC2">
        <w:rPr>
          <w:color w:val="000000" w:themeColor="text1"/>
          <w:sz w:val="24"/>
        </w:rPr>
        <w:t xml:space="preserve">, the </w:t>
      </w:r>
      <w:r w:rsidR="00A67E60" w:rsidRPr="009A5DC2">
        <w:rPr>
          <w:color w:val="000000" w:themeColor="text1"/>
          <w:sz w:val="24"/>
        </w:rPr>
        <w:t>co-architect</w:t>
      </w:r>
      <w:r w:rsidR="004B7416" w:rsidRPr="009A5DC2">
        <w:rPr>
          <w:color w:val="000000" w:themeColor="text1"/>
          <w:sz w:val="24"/>
        </w:rPr>
        <w:t xml:space="preserve"> of the Polanocol business model,</w:t>
      </w:r>
      <w:r w:rsidRPr="009A5DC2">
        <w:rPr>
          <w:color w:val="000000" w:themeColor="text1"/>
          <w:sz w:val="24"/>
        </w:rPr>
        <w:t xml:space="preserve"> when the application was launched. </w:t>
      </w:r>
      <w:r w:rsidR="00A00D63" w:rsidRPr="009A5DC2">
        <w:rPr>
          <w:color w:val="000000" w:themeColor="text1"/>
          <w:sz w:val="24"/>
        </w:rPr>
        <w:t xml:space="preserve"> The n</w:t>
      </w:r>
      <w:r w:rsidRPr="009A5DC2">
        <w:rPr>
          <w:color w:val="000000" w:themeColor="text1"/>
          <w:sz w:val="24"/>
        </w:rPr>
        <w:t>ew matter</w:t>
      </w:r>
      <w:r w:rsidR="00A00D63" w:rsidRPr="009A5DC2">
        <w:rPr>
          <w:color w:val="000000" w:themeColor="text1"/>
          <w:sz w:val="24"/>
        </w:rPr>
        <w:t>, if allowed,</w:t>
      </w:r>
      <w:r w:rsidRPr="009A5DC2">
        <w:rPr>
          <w:color w:val="000000" w:themeColor="text1"/>
          <w:sz w:val="24"/>
        </w:rPr>
        <w:t xml:space="preserve"> </w:t>
      </w:r>
      <w:r w:rsidR="00A00D63" w:rsidRPr="009A5DC2">
        <w:rPr>
          <w:color w:val="000000" w:themeColor="text1"/>
          <w:sz w:val="24"/>
        </w:rPr>
        <w:t xml:space="preserve">will </w:t>
      </w:r>
      <w:r w:rsidR="00A67E60" w:rsidRPr="009A5DC2">
        <w:rPr>
          <w:color w:val="000000" w:themeColor="text1"/>
          <w:sz w:val="24"/>
        </w:rPr>
        <w:t>certainly prejudice</w:t>
      </w:r>
      <w:r w:rsidRPr="009A5DC2">
        <w:rPr>
          <w:color w:val="000000" w:themeColor="text1"/>
          <w:sz w:val="24"/>
        </w:rPr>
        <w:t xml:space="preserve"> the Respondents in a manner which could not be put right by orders in respect of postponements and costs.</w:t>
      </w:r>
      <w:r w:rsidR="00E04F5D" w:rsidRPr="009A5DC2">
        <w:rPr>
          <w:color w:val="000000" w:themeColor="text1"/>
          <w:sz w:val="24"/>
        </w:rPr>
        <w:t xml:space="preserve"> The disallowance of the new matter will </w:t>
      </w:r>
      <w:r w:rsidR="00816BB0" w:rsidRPr="009A5DC2">
        <w:rPr>
          <w:color w:val="000000" w:themeColor="text1"/>
          <w:sz w:val="24"/>
        </w:rPr>
        <w:t xml:space="preserve">not </w:t>
      </w:r>
      <w:r w:rsidR="00E04F5D" w:rsidRPr="009A5DC2">
        <w:rPr>
          <w:color w:val="000000" w:themeColor="text1"/>
          <w:sz w:val="24"/>
        </w:rPr>
        <w:t xml:space="preserve">result in unnecessary waste of costs. </w:t>
      </w:r>
      <w:r w:rsidR="00BA414E">
        <w:rPr>
          <w:color w:val="000000" w:themeColor="text1"/>
          <w:sz w:val="24"/>
        </w:rPr>
        <w:t xml:space="preserve">– I note also that </w:t>
      </w:r>
      <w:r w:rsidR="00E04F5D" w:rsidRPr="009A5DC2">
        <w:rPr>
          <w:color w:val="000000" w:themeColor="text1"/>
          <w:sz w:val="24"/>
        </w:rPr>
        <w:t xml:space="preserve">Mr Crookes for the Intervening Parties did not concede that all the facts necessary </w:t>
      </w:r>
      <w:r w:rsidR="00816BB0" w:rsidRPr="009A5DC2">
        <w:rPr>
          <w:color w:val="000000" w:themeColor="text1"/>
          <w:sz w:val="24"/>
        </w:rPr>
        <w:t>to determine the new matter were placed before</w:t>
      </w:r>
      <w:r w:rsidR="00BA414E">
        <w:rPr>
          <w:color w:val="000000" w:themeColor="text1"/>
          <w:sz w:val="24"/>
        </w:rPr>
        <w:t xml:space="preserve"> Court.</w:t>
      </w:r>
    </w:p>
    <w:p w:rsidR="00A67E60" w:rsidRPr="009A5DC2" w:rsidRDefault="002D3D76" w:rsidP="009A5DC2">
      <w:pPr>
        <w:spacing w:before="240" w:line="360" w:lineRule="auto"/>
        <w:ind w:left="720" w:hanging="720"/>
        <w:jc w:val="both"/>
        <w:rPr>
          <w:sz w:val="24"/>
        </w:rPr>
      </w:pPr>
      <w:r w:rsidRPr="009A5DC2">
        <w:rPr>
          <w:sz w:val="24"/>
        </w:rPr>
        <w:t>[</w:t>
      </w:r>
      <w:r w:rsidR="004B7416" w:rsidRPr="009A5DC2">
        <w:rPr>
          <w:sz w:val="24"/>
        </w:rPr>
        <w:t>2</w:t>
      </w:r>
      <w:r w:rsidR="00A67E60" w:rsidRPr="009A5DC2">
        <w:rPr>
          <w:sz w:val="24"/>
        </w:rPr>
        <w:t>3</w:t>
      </w:r>
      <w:r w:rsidRPr="009A5DC2">
        <w:rPr>
          <w:sz w:val="24"/>
        </w:rPr>
        <w:t>]</w:t>
      </w:r>
      <w:r w:rsidR="00A67E60" w:rsidRPr="009A5DC2">
        <w:rPr>
          <w:sz w:val="24"/>
        </w:rPr>
        <w:tab/>
      </w:r>
      <w:r w:rsidRPr="009A5DC2">
        <w:rPr>
          <w:sz w:val="24"/>
        </w:rPr>
        <w:t xml:space="preserve"> Insofar </w:t>
      </w:r>
      <w:r w:rsidR="00A67E60" w:rsidRPr="009A5DC2">
        <w:rPr>
          <w:sz w:val="24"/>
        </w:rPr>
        <w:t>as the</w:t>
      </w:r>
      <w:r w:rsidR="004B7416" w:rsidRPr="009A5DC2">
        <w:rPr>
          <w:sz w:val="24"/>
        </w:rPr>
        <w:t xml:space="preserve"> </w:t>
      </w:r>
      <w:r w:rsidRPr="009A5DC2">
        <w:rPr>
          <w:sz w:val="24"/>
        </w:rPr>
        <w:t>Applicant</w:t>
      </w:r>
      <w:r w:rsidR="00991D57" w:rsidRPr="009A5DC2">
        <w:rPr>
          <w:sz w:val="24"/>
        </w:rPr>
        <w:t>s</w:t>
      </w:r>
      <w:r w:rsidRPr="009A5DC2">
        <w:rPr>
          <w:sz w:val="24"/>
        </w:rPr>
        <w:t xml:space="preserve"> motivate for the inclusion </w:t>
      </w:r>
      <w:r w:rsidR="00A67E60" w:rsidRPr="009A5DC2">
        <w:rPr>
          <w:sz w:val="24"/>
        </w:rPr>
        <w:t>of the</w:t>
      </w:r>
      <w:r w:rsidRPr="009A5DC2">
        <w:rPr>
          <w:sz w:val="24"/>
        </w:rPr>
        <w:t xml:space="preserve"> new </w:t>
      </w:r>
      <w:r w:rsidR="00A67E60" w:rsidRPr="009A5DC2">
        <w:rPr>
          <w:sz w:val="24"/>
        </w:rPr>
        <w:t>matter as</w:t>
      </w:r>
      <w:r w:rsidRPr="009A5DC2">
        <w:rPr>
          <w:sz w:val="24"/>
        </w:rPr>
        <w:t xml:space="preserve"> a just and equitable basis for winding up </w:t>
      </w:r>
      <w:r w:rsidR="00991D57" w:rsidRPr="009A5DC2">
        <w:rPr>
          <w:sz w:val="24"/>
        </w:rPr>
        <w:t xml:space="preserve">on the basis </w:t>
      </w:r>
      <w:r w:rsidR="00A67E60" w:rsidRPr="009A5DC2">
        <w:rPr>
          <w:sz w:val="24"/>
        </w:rPr>
        <w:t>of the</w:t>
      </w:r>
      <w:r w:rsidR="00991D57" w:rsidRPr="009A5DC2">
        <w:rPr>
          <w:sz w:val="24"/>
        </w:rPr>
        <w:t xml:space="preserve"> </w:t>
      </w:r>
      <w:r w:rsidRPr="009A5DC2">
        <w:rPr>
          <w:sz w:val="24"/>
        </w:rPr>
        <w:t>illegality</w:t>
      </w:r>
      <w:r w:rsidR="00991D57" w:rsidRPr="009A5DC2">
        <w:rPr>
          <w:sz w:val="24"/>
        </w:rPr>
        <w:t xml:space="preserve"> of a business model that Dalton himself engineered,</w:t>
      </w:r>
      <w:r w:rsidRPr="009A5DC2">
        <w:rPr>
          <w:sz w:val="24"/>
        </w:rPr>
        <w:t xml:space="preserve"> </w:t>
      </w:r>
      <w:r w:rsidR="007E4C38" w:rsidRPr="009A5DC2">
        <w:rPr>
          <w:sz w:val="24"/>
        </w:rPr>
        <w:t xml:space="preserve">justice and </w:t>
      </w:r>
      <w:r w:rsidR="00A67E60" w:rsidRPr="009A5DC2">
        <w:rPr>
          <w:sz w:val="24"/>
        </w:rPr>
        <w:t>equity in</w:t>
      </w:r>
      <w:r w:rsidR="00991D57" w:rsidRPr="009A5DC2">
        <w:rPr>
          <w:sz w:val="24"/>
        </w:rPr>
        <w:t xml:space="preserve"> my view </w:t>
      </w:r>
      <w:r w:rsidR="007E4C38" w:rsidRPr="009A5DC2">
        <w:rPr>
          <w:sz w:val="24"/>
        </w:rPr>
        <w:t>militates against th</w:t>
      </w:r>
      <w:r w:rsidR="00991D57" w:rsidRPr="009A5DC2">
        <w:rPr>
          <w:sz w:val="24"/>
        </w:rPr>
        <w:t>is.</w:t>
      </w:r>
      <w:r w:rsidR="007E4C38" w:rsidRPr="009A5DC2">
        <w:rPr>
          <w:sz w:val="24"/>
        </w:rPr>
        <w:t xml:space="preserve"> </w:t>
      </w:r>
      <w:r w:rsidRPr="009A5DC2">
        <w:rPr>
          <w:sz w:val="24"/>
        </w:rPr>
        <w:t>For</w:t>
      </w:r>
      <w:r w:rsidR="00991D57" w:rsidRPr="009A5DC2">
        <w:rPr>
          <w:sz w:val="24"/>
        </w:rPr>
        <w:t xml:space="preserve"> this would permit Dalton, </w:t>
      </w:r>
      <w:r w:rsidRPr="009A5DC2">
        <w:rPr>
          <w:sz w:val="24"/>
        </w:rPr>
        <w:t>who</w:t>
      </w:r>
      <w:r w:rsidR="00BA414E">
        <w:rPr>
          <w:sz w:val="24"/>
        </w:rPr>
        <w:t>,</w:t>
      </w:r>
      <w:r w:rsidR="00991D57" w:rsidRPr="009A5DC2">
        <w:rPr>
          <w:sz w:val="24"/>
        </w:rPr>
        <w:t xml:space="preserve"> on his version</w:t>
      </w:r>
      <w:r w:rsidRPr="009A5DC2">
        <w:rPr>
          <w:sz w:val="24"/>
        </w:rPr>
        <w:t xml:space="preserve"> engineered an illegal scheme</w:t>
      </w:r>
      <w:r w:rsidR="00392406" w:rsidRPr="009A5DC2">
        <w:rPr>
          <w:sz w:val="24"/>
        </w:rPr>
        <w:t>,</w:t>
      </w:r>
      <w:r w:rsidRPr="009A5DC2">
        <w:rPr>
          <w:sz w:val="24"/>
        </w:rPr>
        <w:t xml:space="preserve"> to take advantage of its illegality for his sole benefit and to the disadvantage of the </w:t>
      </w:r>
      <w:r w:rsidR="00991D57" w:rsidRPr="009A5DC2">
        <w:rPr>
          <w:sz w:val="24"/>
        </w:rPr>
        <w:t xml:space="preserve">Respondents and Intervening </w:t>
      </w:r>
      <w:r w:rsidR="00BA414E">
        <w:rPr>
          <w:sz w:val="24"/>
        </w:rPr>
        <w:t>P</w:t>
      </w:r>
      <w:r w:rsidR="00991D57" w:rsidRPr="009A5DC2">
        <w:rPr>
          <w:sz w:val="24"/>
        </w:rPr>
        <w:t>arties.</w:t>
      </w:r>
      <w:r w:rsidRPr="009A5DC2">
        <w:rPr>
          <w:sz w:val="24"/>
        </w:rPr>
        <w:t xml:space="preserve"> There would be nothing just and equitable </w:t>
      </w:r>
      <w:r w:rsidR="00A67E60" w:rsidRPr="009A5DC2">
        <w:rPr>
          <w:sz w:val="24"/>
        </w:rPr>
        <w:t>in obtaining</w:t>
      </w:r>
      <w:r w:rsidRPr="009A5DC2">
        <w:rPr>
          <w:sz w:val="24"/>
        </w:rPr>
        <w:t xml:space="preserve"> a winding up by the inclusion of the new material. It ill behoves </w:t>
      </w:r>
      <w:r w:rsidR="00392406" w:rsidRPr="009A5DC2">
        <w:rPr>
          <w:sz w:val="24"/>
        </w:rPr>
        <w:t>Dalton</w:t>
      </w:r>
      <w:r w:rsidRPr="009A5DC2">
        <w:rPr>
          <w:sz w:val="24"/>
        </w:rPr>
        <w:t xml:space="preserve"> in the circumstances</w:t>
      </w:r>
      <w:r w:rsidR="004B7416" w:rsidRPr="009A5DC2">
        <w:rPr>
          <w:sz w:val="24"/>
        </w:rPr>
        <w:t>,</w:t>
      </w:r>
      <w:r w:rsidRPr="009A5DC2">
        <w:rPr>
          <w:sz w:val="24"/>
        </w:rPr>
        <w:t xml:space="preserve"> having created the alleged illegality to now </w:t>
      </w:r>
      <w:r w:rsidR="00A67E60" w:rsidRPr="009A5DC2">
        <w:rPr>
          <w:sz w:val="24"/>
        </w:rPr>
        <w:t>to seek</w:t>
      </w:r>
      <w:r w:rsidRPr="009A5DC2">
        <w:rPr>
          <w:sz w:val="24"/>
        </w:rPr>
        <w:t xml:space="preserve"> to include it as a new basis for the winding-up. </w:t>
      </w:r>
    </w:p>
    <w:p w:rsidR="00155FA7" w:rsidRPr="009A5DC2" w:rsidRDefault="00155FA7" w:rsidP="009A5DC2">
      <w:pPr>
        <w:pStyle w:val="NoSpacing"/>
        <w:spacing w:line="360" w:lineRule="auto"/>
      </w:pPr>
    </w:p>
    <w:p w:rsidR="002D3D76" w:rsidRPr="009A5DC2" w:rsidRDefault="002D3D76" w:rsidP="009A5DC2">
      <w:pPr>
        <w:spacing w:line="360" w:lineRule="auto"/>
        <w:ind w:left="720" w:hanging="720"/>
        <w:jc w:val="both"/>
        <w:rPr>
          <w:sz w:val="24"/>
        </w:rPr>
      </w:pPr>
      <w:r w:rsidRPr="009A5DC2">
        <w:rPr>
          <w:sz w:val="24"/>
        </w:rPr>
        <w:t>[</w:t>
      </w:r>
      <w:r w:rsidR="00381B26" w:rsidRPr="009A5DC2">
        <w:rPr>
          <w:sz w:val="24"/>
        </w:rPr>
        <w:t>2</w:t>
      </w:r>
      <w:r w:rsidR="00A67E60" w:rsidRPr="009A5DC2">
        <w:rPr>
          <w:sz w:val="24"/>
        </w:rPr>
        <w:t>4</w:t>
      </w:r>
      <w:r w:rsidRPr="009A5DC2">
        <w:rPr>
          <w:sz w:val="24"/>
        </w:rPr>
        <w:t xml:space="preserve">] </w:t>
      </w:r>
      <w:r w:rsidR="00A67E60" w:rsidRPr="009A5DC2">
        <w:rPr>
          <w:sz w:val="24"/>
        </w:rPr>
        <w:tab/>
      </w:r>
      <w:r w:rsidRPr="009A5DC2">
        <w:rPr>
          <w:sz w:val="24"/>
        </w:rPr>
        <w:t xml:space="preserve">It is trite that an Applicant who relies on justice and equity as a ground for winding-up must come to court with clean hands, in the sense that he or she must not have been wrongfully responsible for, or have connived at bringing about the state of affairs which is asserted results in it being just and equitable </w:t>
      </w:r>
      <w:r w:rsidRPr="009A5DC2">
        <w:rPr>
          <w:sz w:val="24"/>
        </w:rPr>
        <w:lastRenderedPageBreak/>
        <w:t xml:space="preserve">to wind up the company. See </w:t>
      </w:r>
      <w:r w:rsidRPr="009A5DC2">
        <w:rPr>
          <w:i/>
          <w:sz w:val="24"/>
        </w:rPr>
        <w:t>Emphy and another v Pa</w:t>
      </w:r>
      <w:r w:rsidR="003E77BF">
        <w:rPr>
          <w:i/>
          <w:sz w:val="24"/>
        </w:rPr>
        <w:t>cer</w:t>
      </w:r>
      <w:r w:rsidRPr="009A5DC2">
        <w:rPr>
          <w:i/>
          <w:sz w:val="24"/>
        </w:rPr>
        <w:t xml:space="preserve"> Properties (Pty) Ltd</w:t>
      </w:r>
      <w:r w:rsidR="003E77BF">
        <w:rPr>
          <w:rStyle w:val="FootnoteReference"/>
          <w:i/>
          <w:sz w:val="24"/>
        </w:rPr>
        <w:footnoteReference w:id="2"/>
      </w:r>
      <w:r w:rsidRPr="009A5DC2">
        <w:rPr>
          <w:sz w:val="24"/>
        </w:rPr>
        <w:t xml:space="preserve">, </w:t>
      </w:r>
      <w:r w:rsidRPr="009A5DC2">
        <w:rPr>
          <w:i/>
          <w:sz w:val="24"/>
        </w:rPr>
        <w:t>Wackrill v Sandton International Removal</w:t>
      </w:r>
      <w:r w:rsidR="0008579B">
        <w:rPr>
          <w:i/>
          <w:sz w:val="24"/>
        </w:rPr>
        <w:t>s</w:t>
      </w:r>
      <w:r w:rsidRPr="009A5DC2">
        <w:rPr>
          <w:i/>
          <w:sz w:val="24"/>
        </w:rPr>
        <w:t xml:space="preserve"> (Pty) Ltd</w:t>
      </w:r>
      <w:r w:rsidR="003E77BF">
        <w:rPr>
          <w:i/>
          <w:sz w:val="24"/>
        </w:rPr>
        <w:t>.</w:t>
      </w:r>
      <w:r w:rsidR="003E77BF">
        <w:rPr>
          <w:rStyle w:val="FootnoteReference"/>
          <w:i/>
          <w:sz w:val="24"/>
        </w:rPr>
        <w:footnoteReference w:id="3"/>
      </w:r>
      <w:r w:rsidR="007E5A4F" w:rsidRPr="009A5DC2">
        <w:rPr>
          <w:sz w:val="24"/>
        </w:rPr>
        <w:t xml:space="preserve"> Dalton does not fit this mould.</w:t>
      </w:r>
    </w:p>
    <w:p w:rsidR="00A5161F" w:rsidRPr="009A5DC2" w:rsidRDefault="00A5161F" w:rsidP="009A5DC2">
      <w:pPr>
        <w:pStyle w:val="NoSpacing"/>
        <w:spacing w:line="360" w:lineRule="auto"/>
      </w:pPr>
    </w:p>
    <w:p w:rsidR="006C7B92" w:rsidRPr="009A5DC2" w:rsidRDefault="006C7B92" w:rsidP="009A5DC2">
      <w:pPr>
        <w:spacing w:line="360" w:lineRule="auto"/>
        <w:ind w:left="720" w:hanging="720"/>
        <w:jc w:val="both"/>
        <w:rPr>
          <w:sz w:val="24"/>
        </w:rPr>
      </w:pPr>
      <w:r w:rsidRPr="009A5DC2">
        <w:rPr>
          <w:sz w:val="24"/>
        </w:rPr>
        <w:t>[</w:t>
      </w:r>
      <w:r w:rsidR="00381B26" w:rsidRPr="009A5DC2">
        <w:rPr>
          <w:sz w:val="24"/>
        </w:rPr>
        <w:t>2</w:t>
      </w:r>
      <w:r w:rsidR="00A67E60" w:rsidRPr="009A5DC2">
        <w:rPr>
          <w:sz w:val="24"/>
        </w:rPr>
        <w:t>5</w:t>
      </w:r>
      <w:r w:rsidRPr="009A5DC2">
        <w:rPr>
          <w:sz w:val="24"/>
        </w:rPr>
        <w:t xml:space="preserve">] </w:t>
      </w:r>
      <w:r w:rsidR="002975EF" w:rsidRPr="009A5DC2">
        <w:rPr>
          <w:sz w:val="24"/>
        </w:rPr>
        <w:t xml:space="preserve">    </w:t>
      </w:r>
      <w:r w:rsidRPr="009A5DC2">
        <w:rPr>
          <w:sz w:val="24"/>
        </w:rPr>
        <w:t xml:space="preserve">The application to strike out </w:t>
      </w:r>
      <w:r w:rsidR="00AA2CA8" w:rsidRPr="009A5DC2">
        <w:rPr>
          <w:sz w:val="24"/>
        </w:rPr>
        <w:t xml:space="preserve">is </w:t>
      </w:r>
      <w:r w:rsidRPr="009A5DC2">
        <w:rPr>
          <w:sz w:val="24"/>
        </w:rPr>
        <w:t>accordingly  granted.</w:t>
      </w:r>
    </w:p>
    <w:p w:rsidR="00A67E60" w:rsidRPr="009A5DC2" w:rsidRDefault="00A67E60" w:rsidP="009A5DC2">
      <w:pPr>
        <w:pStyle w:val="NoSpacing"/>
        <w:spacing w:line="360" w:lineRule="auto"/>
      </w:pPr>
    </w:p>
    <w:p w:rsidR="00392406" w:rsidRPr="009A5DC2" w:rsidRDefault="002D3D76" w:rsidP="009A5DC2">
      <w:pPr>
        <w:spacing w:line="360" w:lineRule="auto"/>
        <w:ind w:left="720" w:hanging="720"/>
        <w:jc w:val="both"/>
        <w:rPr>
          <w:color w:val="000000" w:themeColor="text1"/>
          <w:sz w:val="24"/>
        </w:rPr>
      </w:pPr>
      <w:r w:rsidRPr="009A5DC2">
        <w:rPr>
          <w:color w:val="000000" w:themeColor="text1"/>
          <w:sz w:val="24"/>
        </w:rPr>
        <w:t>[</w:t>
      </w:r>
      <w:r w:rsidR="00381B26" w:rsidRPr="009A5DC2">
        <w:rPr>
          <w:color w:val="000000" w:themeColor="text1"/>
          <w:sz w:val="24"/>
        </w:rPr>
        <w:t>2</w:t>
      </w:r>
      <w:r w:rsidR="00A67E60" w:rsidRPr="009A5DC2">
        <w:rPr>
          <w:color w:val="000000" w:themeColor="text1"/>
          <w:sz w:val="24"/>
        </w:rPr>
        <w:t>6</w:t>
      </w:r>
      <w:r w:rsidRPr="009A5DC2">
        <w:rPr>
          <w:color w:val="000000" w:themeColor="text1"/>
          <w:sz w:val="24"/>
        </w:rPr>
        <w:t>]</w:t>
      </w:r>
      <w:r w:rsidRPr="009A5DC2">
        <w:rPr>
          <w:color w:val="000000" w:themeColor="text1"/>
          <w:sz w:val="24"/>
        </w:rPr>
        <w:tab/>
        <w:t>Given that the application to strike out has been granted</w:t>
      </w:r>
      <w:r w:rsidR="00392406" w:rsidRPr="009A5DC2">
        <w:rPr>
          <w:color w:val="000000" w:themeColor="text1"/>
          <w:sz w:val="24"/>
        </w:rPr>
        <w:t>,</w:t>
      </w:r>
      <w:r w:rsidRPr="009A5DC2">
        <w:rPr>
          <w:color w:val="000000" w:themeColor="text1"/>
          <w:sz w:val="24"/>
        </w:rPr>
        <w:t xml:space="preserve"> the introduction of the further basis for the just and equitable winding up of Polanocol based on the illegality of the business model for contravention of the Share Block Control Act and the S</w:t>
      </w:r>
      <w:r w:rsidR="00BA414E">
        <w:rPr>
          <w:color w:val="000000" w:themeColor="text1"/>
          <w:sz w:val="24"/>
        </w:rPr>
        <w:t>AL</w:t>
      </w:r>
      <w:r w:rsidRPr="009A5DC2">
        <w:rPr>
          <w:color w:val="000000" w:themeColor="text1"/>
          <w:sz w:val="24"/>
        </w:rPr>
        <w:t xml:space="preserve"> Act 1, cannot be entertained. </w:t>
      </w:r>
    </w:p>
    <w:p w:rsidR="00392406" w:rsidRPr="009A5DC2" w:rsidRDefault="00392406" w:rsidP="009A5DC2">
      <w:pPr>
        <w:pStyle w:val="NoSpacing"/>
        <w:spacing w:line="360" w:lineRule="auto"/>
      </w:pPr>
    </w:p>
    <w:p w:rsidR="001D5785" w:rsidRPr="009A5DC2" w:rsidRDefault="00392406" w:rsidP="009A5DC2">
      <w:pPr>
        <w:spacing w:line="360" w:lineRule="auto"/>
        <w:ind w:left="720" w:hanging="720"/>
        <w:jc w:val="both"/>
        <w:rPr>
          <w:color w:val="000000" w:themeColor="text1"/>
          <w:sz w:val="24"/>
        </w:rPr>
      </w:pPr>
      <w:r w:rsidRPr="009A5DC2">
        <w:rPr>
          <w:color w:val="000000" w:themeColor="text1"/>
          <w:sz w:val="24"/>
        </w:rPr>
        <w:t>[</w:t>
      </w:r>
      <w:r w:rsidR="00381B26" w:rsidRPr="009A5DC2">
        <w:rPr>
          <w:color w:val="000000" w:themeColor="text1"/>
          <w:sz w:val="24"/>
        </w:rPr>
        <w:t>2</w:t>
      </w:r>
      <w:r w:rsidR="00A67E60" w:rsidRPr="009A5DC2">
        <w:rPr>
          <w:color w:val="000000" w:themeColor="text1"/>
          <w:sz w:val="24"/>
        </w:rPr>
        <w:t>7</w:t>
      </w:r>
      <w:r w:rsidRPr="009A5DC2">
        <w:rPr>
          <w:color w:val="000000" w:themeColor="text1"/>
          <w:sz w:val="24"/>
        </w:rPr>
        <w:t>]</w:t>
      </w:r>
      <w:r w:rsidR="00A67E60" w:rsidRPr="009A5DC2">
        <w:rPr>
          <w:color w:val="000000" w:themeColor="text1"/>
          <w:sz w:val="24"/>
        </w:rPr>
        <w:tab/>
      </w:r>
      <w:r w:rsidR="0053114D" w:rsidRPr="009A5DC2">
        <w:rPr>
          <w:color w:val="000000" w:themeColor="text1"/>
          <w:sz w:val="24"/>
        </w:rPr>
        <w:t xml:space="preserve"> </w:t>
      </w:r>
      <w:r w:rsidR="00381B26" w:rsidRPr="009A5DC2">
        <w:rPr>
          <w:color w:val="000000" w:themeColor="text1"/>
          <w:sz w:val="24"/>
        </w:rPr>
        <w:t xml:space="preserve">Motivating for the inclusion of the new matter, </w:t>
      </w:r>
      <w:r w:rsidR="002D3D76" w:rsidRPr="009A5DC2">
        <w:rPr>
          <w:color w:val="000000" w:themeColor="text1"/>
          <w:sz w:val="24"/>
        </w:rPr>
        <w:t xml:space="preserve">Mr Jonker </w:t>
      </w:r>
      <w:r w:rsidRPr="009A5DC2">
        <w:rPr>
          <w:color w:val="000000" w:themeColor="text1"/>
          <w:sz w:val="24"/>
        </w:rPr>
        <w:t xml:space="preserve">correctly </w:t>
      </w:r>
      <w:r w:rsidR="002D3D76" w:rsidRPr="009A5DC2">
        <w:rPr>
          <w:color w:val="000000" w:themeColor="text1"/>
          <w:sz w:val="24"/>
        </w:rPr>
        <w:t xml:space="preserve">submitted that this </w:t>
      </w:r>
      <w:r w:rsidR="00BA414E">
        <w:rPr>
          <w:color w:val="000000" w:themeColor="text1"/>
          <w:sz w:val="24"/>
        </w:rPr>
        <w:t>C</w:t>
      </w:r>
      <w:r w:rsidR="002D3D76" w:rsidRPr="009A5DC2">
        <w:rPr>
          <w:color w:val="000000" w:themeColor="text1"/>
          <w:sz w:val="24"/>
        </w:rPr>
        <w:t>ourt is constitutionally bound to uphold the law</w:t>
      </w:r>
      <w:r w:rsidR="00205FB8" w:rsidRPr="009A5DC2">
        <w:rPr>
          <w:color w:val="000000" w:themeColor="text1"/>
          <w:sz w:val="24"/>
        </w:rPr>
        <w:t xml:space="preserve"> and cannot ignore an illegality. </w:t>
      </w:r>
      <w:r w:rsidR="002D3D76" w:rsidRPr="009A5DC2">
        <w:rPr>
          <w:color w:val="000000" w:themeColor="text1"/>
          <w:sz w:val="24"/>
        </w:rPr>
        <w:t xml:space="preserve"> To this end I intend drawing the alleged illegality to the attention of the DPP </w:t>
      </w:r>
      <w:r w:rsidR="007E4C38" w:rsidRPr="009A5DC2">
        <w:rPr>
          <w:color w:val="000000" w:themeColor="text1"/>
          <w:sz w:val="24"/>
        </w:rPr>
        <w:t xml:space="preserve">for investigation on the basis of criminal offences in terms of section 11 of SAL Act and section 21 of the </w:t>
      </w:r>
      <w:r w:rsidR="00BA414E">
        <w:rPr>
          <w:color w:val="000000" w:themeColor="text1"/>
          <w:sz w:val="24"/>
        </w:rPr>
        <w:t>hare Block Act</w:t>
      </w:r>
      <w:r w:rsidR="007E4C38" w:rsidRPr="009A5DC2">
        <w:rPr>
          <w:color w:val="000000" w:themeColor="text1"/>
          <w:sz w:val="24"/>
        </w:rPr>
        <w:t xml:space="preserve">. A copy of this judgment shall be sent to the </w:t>
      </w:r>
      <w:r w:rsidR="00BA414E">
        <w:rPr>
          <w:color w:val="000000" w:themeColor="text1"/>
          <w:sz w:val="24"/>
        </w:rPr>
        <w:t>relevant</w:t>
      </w:r>
      <w:r w:rsidR="007E4C38" w:rsidRPr="009A5DC2">
        <w:rPr>
          <w:color w:val="000000" w:themeColor="text1"/>
          <w:sz w:val="24"/>
        </w:rPr>
        <w:t xml:space="preserve"> office of the DPP. It shall also be sent to the </w:t>
      </w:r>
      <w:r w:rsidR="0053114D" w:rsidRPr="009A5DC2">
        <w:rPr>
          <w:color w:val="000000" w:themeColor="text1"/>
          <w:sz w:val="24"/>
        </w:rPr>
        <w:t>Company and Intellectual Property Commission.</w:t>
      </w:r>
      <w:r w:rsidR="007E4C38" w:rsidRPr="009A5DC2">
        <w:rPr>
          <w:color w:val="000000" w:themeColor="text1"/>
          <w:sz w:val="24"/>
        </w:rPr>
        <w:t xml:space="preserve"> </w:t>
      </w:r>
      <w:r w:rsidR="0053114D" w:rsidRPr="009A5DC2">
        <w:rPr>
          <w:color w:val="000000" w:themeColor="text1"/>
          <w:sz w:val="24"/>
        </w:rPr>
        <w:t>S</w:t>
      </w:r>
      <w:r w:rsidR="007E4C38" w:rsidRPr="009A5DC2">
        <w:rPr>
          <w:color w:val="000000" w:themeColor="text1"/>
          <w:sz w:val="24"/>
        </w:rPr>
        <w:t xml:space="preserve">ection 81(f) of the Companies </w:t>
      </w:r>
      <w:r w:rsidR="00A67E60" w:rsidRPr="009A5DC2">
        <w:rPr>
          <w:color w:val="000000" w:themeColor="text1"/>
          <w:sz w:val="24"/>
        </w:rPr>
        <w:t>Act 71</w:t>
      </w:r>
      <w:r w:rsidR="0053114D" w:rsidRPr="009A5DC2">
        <w:rPr>
          <w:color w:val="000000" w:themeColor="text1"/>
          <w:sz w:val="24"/>
        </w:rPr>
        <w:t xml:space="preserve"> of 2008 </w:t>
      </w:r>
      <w:r w:rsidR="007E4C38" w:rsidRPr="009A5DC2">
        <w:rPr>
          <w:color w:val="000000" w:themeColor="text1"/>
          <w:sz w:val="24"/>
        </w:rPr>
        <w:t xml:space="preserve">enables the </w:t>
      </w:r>
      <w:r w:rsidR="0053114D" w:rsidRPr="009A5DC2">
        <w:rPr>
          <w:color w:val="000000" w:themeColor="text1"/>
          <w:sz w:val="24"/>
        </w:rPr>
        <w:t xml:space="preserve">Commission </w:t>
      </w:r>
      <w:r w:rsidR="007E4C38" w:rsidRPr="009A5DC2">
        <w:rPr>
          <w:color w:val="000000" w:themeColor="text1"/>
          <w:sz w:val="24"/>
        </w:rPr>
        <w:t xml:space="preserve">to apply to wind-up a company if it is </w:t>
      </w:r>
      <w:r w:rsidR="0053114D" w:rsidRPr="009A5DC2">
        <w:rPr>
          <w:color w:val="000000" w:themeColor="text1"/>
          <w:sz w:val="24"/>
        </w:rPr>
        <w:t xml:space="preserve">acting in an </w:t>
      </w:r>
      <w:r w:rsidR="007E4C38" w:rsidRPr="009A5DC2">
        <w:rPr>
          <w:color w:val="000000" w:themeColor="text1"/>
          <w:sz w:val="24"/>
        </w:rPr>
        <w:t>illegal</w:t>
      </w:r>
      <w:r w:rsidR="0053114D" w:rsidRPr="009A5DC2">
        <w:rPr>
          <w:color w:val="000000" w:themeColor="text1"/>
          <w:sz w:val="24"/>
        </w:rPr>
        <w:t xml:space="preserve"> manner</w:t>
      </w:r>
      <w:r w:rsidR="007E4C38" w:rsidRPr="009A5DC2">
        <w:rPr>
          <w:color w:val="000000" w:themeColor="text1"/>
          <w:sz w:val="24"/>
        </w:rPr>
        <w:t>.</w:t>
      </w:r>
    </w:p>
    <w:p w:rsidR="00155FA7" w:rsidRPr="00155FA7" w:rsidRDefault="00155FA7" w:rsidP="009A5DC2">
      <w:pPr>
        <w:pStyle w:val="NoSpacing"/>
        <w:spacing w:line="360" w:lineRule="auto"/>
      </w:pPr>
    </w:p>
    <w:p w:rsidR="00754444" w:rsidRPr="009A5DC2" w:rsidRDefault="00754444" w:rsidP="009A5DC2">
      <w:pPr>
        <w:spacing w:line="360" w:lineRule="auto"/>
        <w:jc w:val="both"/>
        <w:rPr>
          <w:sz w:val="24"/>
          <w:u w:val="single"/>
        </w:rPr>
      </w:pPr>
      <w:r w:rsidRPr="009A5DC2">
        <w:rPr>
          <w:sz w:val="24"/>
          <w:u w:val="single"/>
        </w:rPr>
        <w:t>Payapp’s claim:</w:t>
      </w:r>
    </w:p>
    <w:p w:rsidR="000A6582" w:rsidRPr="009A5DC2" w:rsidRDefault="00754444" w:rsidP="009A5DC2">
      <w:pPr>
        <w:spacing w:line="360" w:lineRule="auto"/>
        <w:ind w:left="720" w:hanging="720"/>
        <w:jc w:val="both"/>
        <w:rPr>
          <w:sz w:val="24"/>
        </w:rPr>
      </w:pPr>
      <w:r w:rsidRPr="009A5DC2">
        <w:rPr>
          <w:sz w:val="24"/>
        </w:rPr>
        <w:t>[</w:t>
      </w:r>
      <w:r w:rsidR="0053114D" w:rsidRPr="009A5DC2">
        <w:rPr>
          <w:sz w:val="24"/>
        </w:rPr>
        <w:t>2</w:t>
      </w:r>
      <w:r w:rsidR="00A67E60" w:rsidRPr="009A5DC2">
        <w:rPr>
          <w:sz w:val="24"/>
        </w:rPr>
        <w:t>8</w:t>
      </w:r>
      <w:r w:rsidRPr="009A5DC2">
        <w:rPr>
          <w:sz w:val="24"/>
        </w:rPr>
        <w:t>]</w:t>
      </w:r>
      <w:r w:rsidRPr="009A5DC2">
        <w:rPr>
          <w:sz w:val="24"/>
        </w:rPr>
        <w:tab/>
      </w:r>
      <w:r w:rsidR="00B81291" w:rsidRPr="009A5DC2">
        <w:rPr>
          <w:sz w:val="24"/>
        </w:rPr>
        <w:t xml:space="preserve"> </w:t>
      </w:r>
      <w:r w:rsidRPr="009A5DC2">
        <w:rPr>
          <w:sz w:val="24"/>
        </w:rPr>
        <w:t xml:space="preserve">Payapp’s </w:t>
      </w:r>
      <w:r w:rsidR="00AE3877" w:rsidRPr="009A5DC2">
        <w:rPr>
          <w:sz w:val="24"/>
        </w:rPr>
        <w:t xml:space="preserve">claim </w:t>
      </w:r>
      <w:r w:rsidR="00205FB8" w:rsidRPr="009A5DC2">
        <w:rPr>
          <w:sz w:val="24"/>
        </w:rPr>
        <w:t>arises from an alleged oral loan agreement</w:t>
      </w:r>
      <w:r w:rsidR="00AE3877" w:rsidRPr="009A5DC2">
        <w:rPr>
          <w:sz w:val="24"/>
        </w:rPr>
        <w:t xml:space="preserve"> for the sum of R3</w:t>
      </w:r>
      <w:r w:rsidR="00850ED3" w:rsidRPr="009A5DC2">
        <w:rPr>
          <w:sz w:val="24"/>
        </w:rPr>
        <w:t>,300</w:t>
      </w:r>
      <w:r w:rsidR="00E7631E" w:rsidRPr="009A5DC2">
        <w:rPr>
          <w:sz w:val="24"/>
        </w:rPr>
        <w:t xml:space="preserve"> 000</w:t>
      </w:r>
      <w:r w:rsidR="00850ED3" w:rsidRPr="009A5DC2">
        <w:rPr>
          <w:sz w:val="24"/>
        </w:rPr>
        <w:t xml:space="preserve">.00 (three </w:t>
      </w:r>
      <w:r w:rsidR="00AE3877" w:rsidRPr="009A5DC2">
        <w:rPr>
          <w:sz w:val="24"/>
        </w:rPr>
        <w:t>million</w:t>
      </w:r>
      <w:r w:rsidR="00850ED3" w:rsidRPr="009A5DC2">
        <w:rPr>
          <w:sz w:val="24"/>
        </w:rPr>
        <w:t xml:space="preserve"> three hundred thousand)</w:t>
      </w:r>
      <w:r w:rsidRPr="009A5DC2">
        <w:rPr>
          <w:sz w:val="24"/>
        </w:rPr>
        <w:t xml:space="preserve"> which </w:t>
      </w:r>
      <w:r w:rsidR="00C74D0F" w:rsidRPr="009A5DC2">
        <w:rPr>
          <w:sz w:val="24"/>
        </w:rPr>
        <w:t xml:space="preserve">Dalton claims </w:t>
      </w:r>
      <w:r w:rsidRPr="009A5DC2">
        <w:rPr>
          <w:sz w:val="24"/>
        </w:rPr>
        <w:t>was lent to Polanocol</w:t>
      </w:r>
      <w:r w:rsidR="000A6582" w:rsidRPr="009A5DC2">
        <w:rPr>
          <w:sz w:val="24"/>
        </w:rPr>
        <w:t xml:space="preserve"> to finance the balance of the purchase price of the farm. </w:t>
      </w:r>
      <w:r w:rsidR="00205FB8" w:rsidRPr="009A5DC2">
        <w:rPr>
          <w:sz w:val="24"/>
        </w:rPr>
        <w:t>In this regard it is alleged that Polanocol is indebted to Payapp in the total sum of R2 547 708.56 together with interest calculated from 4 February 2022. Dalton’s</w:t>
      </w:r>
      <w:r w:rsidR="000A6582" w:rsidRPr="009A5DC2">
        <w:rPr>
          <w:sz w:val="24"/>
        </w:rPr>
        <w:t xml:space="preserve"> founding affidavit states that on 19 May 2020, Polanocol, represented by Bartman and Dalton ente</w:t>
      </w:r>
      <w:r w:rsidR="00AE3877" w:rsidRPr="009A5DC2">
        <w:rPr>
          <w:sz w:val="24"/>
        </w:rPr>
        <w:t>red into an oral loan agreement with</w:t>
      </w:r>
      <w:r w:rsidR="000A6582" w:rsidRPr="009A5DC2">
        <w:rPr>
          <w:sz w:val="24"/>
        </w:rPr>
        <w:t xml:space="preserve"> Payapp for a loan of this amount. </w:t>
      </w:r>
      <w:r w:rsidR="00AE3877" w:rsidRPr="009A5DC2">
        <w:rPr>
          <w:sz w:val="24"/>
        </w:rPr>
        <w:t xml:space="preserve"> It was agreed that </w:t>
      </w:r>
      <w:r w:rsidR="000A6582" w:rsidRPr="009A5DC2">
        <w:rPr>
          <w:sz w:val="24"/>
        </w:rPr>
        <w:t xml:space="preserve">Polacocol would repay the capital sum as </w:t>
      </w:r>
      <w:r w:rsidR="000A6582" w:rsidRPr="009A5DC2">
        <w:rPr>
          <w:sz w:val="24"/>
        </w:rPr>
        <w:lastRenderedPageBreak/>
        <w:t>and when it was able to raise funds. The parties discussed formalising the loan agreement in writing but this did not happen.</w:t>
      </w:r>
    </w:p>
    <w:p w:rsidR="000A6582" w:rsidRPr="009A5DC2" w:rsidRDefault="000A6582" w:rsidP="009A5DC2">
      <w:pPr>
        <w:pStyle w:val="NoSpacing"/>
        <w:spacing w:line="360" w:lineRule="auto"/>
      </w:pPr>
    </w:p>
    <w:p w:rsidR="00C80E64" w:rsidRPr="009A5DC2" w:rsidRDefault="000A6582" w:rsidP="009A5DC2">
      <w:pPr>
        <w:spacing w:line="360" w:lineRule="auto"/>
        <w:ind w:left="720" w:hanging="720"/>
        <w:jc w:val="both"/>
        <w:rPr>
          <w:sz w:val="24"/>
        </w:rPr>
      </w:pPr>
      <w:r w:rsidRPr="009A5DC2">
        <w:rPr>
          <w:sz w:val="24"/>
        </w:rPr>
        <w:t>[</w:t>
      </w:r>
      <w:r w:rsidR="0053114D" w:rsidRPr="009A5DC2">
        <w:rPr>
          <w:sz w:val="24"/>
        </w:rPr>
        <w:t>2</w:t>
      </w:r>
      <w:r w:rsidR="00A67E60" w:rsidRPr="009A5DC2">
        <w:rPr>
          <w:sz w:val="24"/>
        </w:rPr>
        <w:t>9</w:t>
      </w:r>
      <w:r w:rsidRPr="009A5DC2">
        <w:rPr>
          <w:sz w:val="24"/>
        </w:rPr>
        <w:t>]</w:t>
      </w:r>
      <w:r w:rsidRPr="009A5DC2">
        <w:rPr>
          <w:sz w:val="24"/>
        </w:rPr>
        <w:tab/>
      </w:r>
      <w:r w:rsidR="00C80E64" w:rsidRPr="009A5DC2">
        <w:rPr>
          <w:sz w:val="24"/>
        </w:rPr>
        <w:t xml:space="preserve">Dalton states that voice recording transcripts of a meeting between Dalton and Bartman on 25 January 2021 and </w:t>
      </w:r>
      <w:r w:rsidR="00A67E60" w:rsidRPr="009A5DC2">
        <w:rPr>
          <w:sz w:val="24"/>
        </w:rPr>
        <w:t>WhatsApp</w:t>
      </w:r>
      <w:r w:rsidR="00C80E64" w:rsidRPr="009A5DC2">
        <w:rPr>
          <w:sz w:val="24"/>
        </w:rPr>
        <w:t xml:space="preserve"> exchanges between Dalton and Bartman of 23 and 24 February 2021, quoted verbatim in the founding affidavit evidence the loan by Payapp. As the full voice recordings </w:t>
      </w:r>
      <w:r w:rsidR="00616629" w:rsidRPr="009A5DC2">
        <w:rPr>
          <w:sz w:val="24"/>
        </w:rPr>
        <w:t xml:space="preserve">and a transcript thereof </w:t>
      </w:r>
      <w:r w:rsidR="00C80E64" w:rsidRPr="009A5DC2">
        <w:rPr>
          <w:sz w:val="24"/>
        </w:rPr>
        <w:t xml:space="preserve">were not produced  for inspection pursuant to a Rule 35 (12 ) notice by the Intervening parties, these cannot be relied upon. </w:t>
      </w:r>
      <w:r w:rsidR="0053114D" w:rsidRPr="009A5DC2">
        <w:rPr>
          <w:sz w:val="24"/>
        </w:rPr>
        <w:t xml:space="preserve">See </w:t>
      </w:r>
      <w:r w:rsidR="0053114D" w:rsidRPr="00DA097A">
        <w:rPr>
          <w:i/>
          <w:sz w:val="24"/>
        </w:rPr>
        <w:t>Democratic Alliance</w:t>
      </w:r>
      <w:r w:rsidR="0053114D" w:rsidRPr="009A5DC2">
        <w:rPr>
          <w:sz w:val="24"/>
        </w:rPr>
        <w:t xml:space="preserve"> </w:t>
      </w:r>
      <w:r w:rsidR="00C419E4" w:rsidRPr="00DA097A">
        <w:rPr>
          <w:i/>
          <w:sz w:val="24"/>
        </w:rPr>
        <w:t>and Others v Mkhwebane and Another</w:t>
      </w:r>
      <w:r w:rsidR="0053114D" w:rsidRPr="009A5DC2">
        <w:rPr>
          <w:sz w:val="24"/>
        </w:rPr>
        <w:t>.</w:t>
      </w:r>
      <w:r w:rsidR="002D6A48">
        <w:rPr>
          <w:rStyle w:val="FootnoteReference"/>
          <w:sz w:val="24"/>
        </w:rPr>
        <w:footnoteReference w:id="4"/>
      </w:r>
    </w:p>
    <w:p w:rsidR="00C80E64" w:rsidRPr="009A5DC2" w:rsidRDefault="00C80E64" w:rsidP="009A5DC2">
      <w:pPr>
        <w:pStyle w:val="NoSpacing"/>
        <w:spacing w:line="360" w:lineRule="auto"/>
      </w:pPr>
    </w:p>
    <w:p w:rsidR="00853F1D" w:rsidRPr="009A5DC2" w:rsidRDefault="000A6582" w:rsidP="009A5DC2">
      <w:pPr>
        <w:spacing w:line="360" w:lineRule="auto"/>
        <w:ind w:left="720" w:hanging="720"/>
        <w:jc w:val="both"/>
        <w:rPr>
          <w:sz w:val="24"/>
        </w:rPr>
      </w:pPr>
      <w:r w:rsidRPr="009A5DC2">
        <w:rPr>
          <w:sz w:val="24"/>
        </w:rPr>
        <w:t xml:space="preserve"> </w:t>
      </w:r>
      <w:r w:rsidR="00B81291" w:rsidRPr="009A5DC2">
        <w:rPr>
          <w:sz w:val="24"/>
        </w:rPr>
        <w:t>[</w:t>
      </w:r>
      <w:r w:rsidR="00A67E60" w:rsidRPr="009A5DC2">
        <w:rPr>
          <w:sz w:val="24"/>
        </w:rPr>
        <w:t>30]</w:t>
      </w:r>
      <w:r w:rsidR="00A67E60" w:rsidRPr="009A5DC2">
        <w:rPr>
          <w:sz w:val="24"/>
        </w:rPr>
        <w:tab/>
      </w:r>
      <w:r w:rsidRPr="009A5DC2">
        <w:rPr>
          <w:sz w:val="24"/>
        </w:rPr>
        <w:t>Bartman’s answering affidavit  denie</w:t>
      </w:r>
      <w:r w:rsidR="00B81291" w:rsidRPr="009A5DC2">
        <w:rPr>
          <w:sz w:val="24"/>
        </w:rPr>
        <w:t>s</w:t>
      </w:r>
      <w:r w:rsidRPr="009A5DC2">
        <w:rPr>
          <w:sz w:val="24"/>
        </w:rPr>
        <w:t xml:space="preserve"> the loan by Payapp</w:t>
      </w:r>
      <w:r w:rsidR="00AE3877" w:rsidRPr="009A5DC2">
        <w:rPr>
          <w:sz w:val="24"/>
        </w:rPr>
        <w:t>, and aver</w:t>
      </w:r>
      <w:r w:rsidR="00B81291" w:rsidRPr="009A5DC2">
        <w:rPr>
          <w:sz w:val="24"/>
        </w:rPr>
        <w:t>s</w:t>
      </w:r>
      <w:r w:rsidRPr="009A5DC2">
        <w:rPr>
          <w:sz w:val="24"/>
        </w:rPr>
        <w:t xml:space="preserve"> that the balance of the purchase price was </w:t>
      </w:r>
      <w:r w:rsidR="009916D2" w:rsidRPr="009A5DC2">
        <w:rPr>
          <w:sz w:val="24"/>
        </w:rPr>
        <w:t>financed</w:t>
      </w:r>
      <w:r w:rsidR="00AE3877" w:rsidRPr="009A5DC2">
        <w:rPr>
          <w:sz w:val="24"/>
        </w:rPr>
        <w:t xml:space="preserve"> by way of verbally agreed personal loans by</w:t>
      </w:r>
      <w:r w:rsidRPr="009A5DC2">
        <w:rPr>
          <w:sz w:val="24"/>
        </w:rPr>
        <w:t xml:space="preserve"> him and Dalton each in the sum of R1,5mi</w:t>
      </w:r>
      <w:r w:rsidR="00AE3877" w:rsidRPr="009A5DC2">
        <w:rPr>
          <w:sz w:val="24"/>
        </w:rPr>
        <w:t xml:space="preserve">llion. </w:t>
      </w:r>
      <w:r w:rsidR="00B81291" w:rsidRPr="009A5DC2">
        <w:rPr>
          <w:sz w:val="24"/>
        </w:rPr>
        <w:t>In his</w:t>
      </w:r>
      <w:r w:rsidRPr="009A5DC2">
        <w:rPr>
          <w:sz w:val="24"/>
        </w:rPr>
        <w:t xml:space="preserve"> supplementary answering affidavit, </w:t>
      </w:r>
      <w:r w:rsidR="00B81291" w:rsidRPr="009A5DC2">
        <w:rPr>
          <w:sz w:val="24"/>
        </w:rPr>
        <w:t>he states</w:t>
      </w:r>
      <w:r w:rsidRPr="009A5DC2">
        <w:rPr>
          <w:sz w:val="24"/>
        </w:rPr>
        <w:t xml:space="preserve"> that he appointed chartered accountantso investigate Polanocol’s financial affairs. They considered the statement of the attorneys who transferred the farm, Polanocol’s FNB account and EG Elliott Trust Account and concluded that they were unable to locate any proof that Payapp actuall</w:t>
      </w:r>
      <w:r w:rsidR="00850ED3" w:rsidRPr="009A5DC2">
        <w:rPr>
          <w:sz w:val="24"/>
        </w:rPr>
        <w:t xml:space="preserve">y paid the amount of </w:t>
      </w:r>
      <w:r w:rsidR="00E7631E" w:rsidRPr="009A5DC2">
        <w:rPr>
          <w:sz w:val="24"/>
        </w:rPr>
        <w:t>R3,300 000.00</w:t>
      </w:r>
      <w:r w:rsidRPr="009A5DC2">
        <w:rPr>
          <w:sz w:val="24"/>
        </w:rPr>
        <w:t xml:space="preserve"> to Polanocol on its behalf.</w:t>
      </w:r>
      <w:r w:rsidR="00850ED3" w:rsidRPr="009A5DC2">
        <w:rPr>
          <w:sz w:val="24"/>
        </w:rPr>
        <w:t xml:space="preserve"> Based on their findings the Respondents</w:t>
      </w:r>
      <w:r w:rsidRPr="009A5DC2">
        <w:rPr>
          <w:sz w:val="24"/>
        </w:rPr>
        <w:t xml:space="preserve"> deny Payapp’s claim.</w:t>
      </w:r>
      <w:r w:rsidR="00BA3E77" w:rsidRPr="009A5DC2">
        <w:rPr>
          <w:sz w:val="24"/>
        </w:rPr>
        <w:t xml:space="preserve">  </w:t>
      </w:r>
    </w:p>
    <w:p w:rsidR="00A67E60" w:rsidRPr="009A5DC2" w:rsidRDefault="00A67E60" w:rsidP="009A5DC2">
      <w:pPr>
        <w:pStyle w:val="NoSpacing"/>
        <w:spacing w:line="360" w:lineRule="auto"/>
      </w:pPr>
    </w:p>
    <w:p w:rsidR="00BA3E77" w:rsidRPr="009A5DC2" w:rsidRDefault="00853F1D" w:rsidP="009A5DC2">
      <w:pPr>
        <w:spacing w:line="360" w:lineRule="auto"/>
        <w:ind w:left="720" w:hanging="720"/>
        <w:jc w:val="both"/>
        <w:rPr>
          <w:sz w:val="24"/>
        </w:rPr>
      </w:pPr>
      <w:r w:rsidRPr="009A5DC2">
        <w:rPr>
          <w:sz w:val="24"/>
        </w:rPr>
        <w:t>[</w:t>
      </w:r>
      <w:r w:rsidR="00E7631E" w:rsidRPr="009A5DC2">
        <w:rPr>
          <w:sz w:val="24"/>
        </w:rPr>
        <w:t>3</w:t>
      </w:r>
      <w:r w:rsidR="00A67E60" w:rsidRPr="009A5DC2">
        <w:rPr>
          <w:sz w:val="24"/>
        </w:rPr>
        <w:t>1</w:t>
      </w:r>
      <w:r w:rsidRPr="009A5DC2">
        <w:rPr>
          <w:sz w:val="24"/>
        </w:rPr>
        <w:t xml:space="preserve">] </w:t>
      </w:r>
      <w:r w:rsidR="002975EF" w:rsidRPr="009A5DC2">
        <w:rPr>
          <w:sz w:val="24"/>
        </w:rPr>
        <w:t xml:space="preserve">    </w:t>
      </w:r>
      <w:r w:rsidR="00BA3E77" w:rsidRPr="009A5DC2">
        <w:rPr>
          <w:sz w:val="24"/>
        </w:rPr>
        <w:t xml:space="preserve">Balance sheets of Payapp dated between June to October </w:t>
      </w:r>
      <w:r w:rsidR="00A67E60" w:rsidRPr="009A5DC2">
        <w:rPr>
          <w:sz w:val="24"/>
        </w:rPr>
        <w:t xml:space="preserve">2020. </w:t>
      </w:r>
      <w:r w:rsidRPr="009A5DC2">
        <w:rPr>
          <w:sz w:val="24"/>
        </w:rPr>
        <w:t>contends Bartman,</w:t>
      </w:r>
      <w:r w:rsidR="00BA3E77" w:rsidRPr="009A5DC2">
        <w:rPr>
          <w:sz w:val="24"/>
        </w:rPr>
        <w:t xml:space="preserve"> do not reflect any loan to Polanocol. </w:t>
      </w:r>
      <w:r w:rsidR="006E10D4">
        <w:rPr>
          <w:sz w:val="24"/>
        </w:rPr>
        <w:t>Dalton</w:t>
      </w:r>
      <w:r w:rsidR="00A67E60" w:rsidRPr="009A5DC2">
        <w:rPr>
          <w:sz w:val="24"/>
        </w:rPr>
        <w:t xml:space="preserve"> counter</w:t>
      </w:r>
      <w:r w:rsidR="006E10D4">
        <w:rPr>
          <w:sz w:val="24"/>
        </w:rPr>
        <w:t>s</w:t>
      </w:r>
      <w:r w:rsidRPr="009A5DC2">
        <w:rPr>
          <w:sz w:val="24"/>
        </w:rPr>
        <w:t xml:space="preserve"> </w:t>
      </w:r>
      <w:r w:rsidR="00BA3E77" w:rsidRPr="009A5DC2">
        <w:rPr>
          <w:sz w:val="24"/>
        </w:rPr>
        <w:t xml:space="preserve">in </w:t>
      </w:r>
      <w:r w:rsidR="00A67E60" w:rsidRPr="009A5DC2">
        <w:rPr>
          <w:sz w:val="24"/>
        </w:rPr>
        <w:t>reply that</w:t>
      </w:r>
      <w:r w:rsidRPr="009A5DC2">
        <w:rPr>
          <w:sz w:val="24"/>
        </w:rPr>
        <w:t xml:space="preserve"> </w:t>
      </w:r>
      <w:r w:rsidR="00BA3E77" w:rsidRPr="009A5DC2">
        <w:rPr>
          <w:sz w:val="24"/>
        </w:rPr>
        <w:t>the</w:t>
      </w:r>
      <w:r w:rsidRPr="009A5DC2">
        <w:rPr>
          <w:sz w:val="24"/>
        </w:rPr>
        <w:t>se</w:t>
      </w:r>
      <w:r w:rsidR="00BA3E77" w:rsidRPr="009A5DC2">
        <w:rPr>
          <w:sz w:val="24"/>
        </w:rPr>
        <w:t xml:space="preserve"> are a </w:t>
      </w:r>
      <w:r w:rsidRPr="009A5DC2">
        <w:rPr>
          <w:sz w:val="24"/>
        </w:rPr>
        <w:t>“</w:t>
      </w:r>
      <w:r w:rsidR="00BA3E77" w:rsidRPr="009A5DC2">
        <w:rPr>
          <w:sz w:val="24"/>
        </w:rPr>
        <w:t>snapshot</w:t>
      </w:r>
      <w:r w:rsidRPr="009A5DC2">
        <w:rPr>
          <w:sz w:val="24"/>
        </w:rPr>
        <w:t>”</w:t>
      </w:r>
      <w:r w:rsidR="00BA3E77" w:rsidRPr="009A5DC2">
        <w:rPr>
          <w:sz w:val="24"/>
        </w:rPr>
        <w:t xml:space="preserve"> of Payapp’s cash and gold investments on a specific date and time and do not reflect </w:t>
      </w:r>
      <w:r w:rsidRPr="009A5DC2">
        <w:rPr>
          <w:sz w:val="24"/>
        </w:rPr>
        <w:t>its</w:t>
      </w:r>
      <w:r w:rsidR="00BA3E77" w:rsidRPr="009A5DC2">
        <w:rPr>
          <w:sz w:val="24"/>
        </w:rPr>
        <w:t xml:space="preserve"> total assets and liabilities</w:t>
      </w:r>
      <w:r w:rsidRPr="009A5DC2">
        <w:rPr>
          <w:sz w:val="24"/>
        </w:rPr>
        <w:t>.</w:t>
      </w:r>
      <w:r w:rsidR="00BA3E77" w:rsidRPr="009A5DC2">
        <w:rPr>
          <w:sz w:val="24"/>
        </w:rPr>
        <w:t xml:space="preserve"> </w:t>
      </w:r>
    </w:p>
    <w:p w:rsidR="00BA3E77" w:rsidRPr="009A5DC2" w:rsidRDefault="00BA3E77" w:rsidP="009A5DC2">
      <w:pPr>
        <w:pStyle w:val="NoSpacing"/>
        <w:spacing w:line="360" w:lineRule="auto"/>
      </w:pPr>
    </w:p>
    <w:p w:rsidR="000A6582" w:rsidRPr="009A5DC2" w:rsidRDefault="00BA3E77" w:rsidP="009A5DC2">
      <w:pPr>
        <w:spacing w:line="360" w:lineRule="auto"/>
        <w:ind w:left="720" w:hanging="720"/>
        <w:jc w:val="both"/>
        <w:rPr>
          <w:sz w:val="24"/>
        </w:rPr>
      </w:pPr>
      <w:r w:rsidRPr="009A5DC2">
        <w:rPr>
          <w:sz w:val="24"/>
        </w:rPr>
        <w:t>[</w:t>
      </w:r>
      <w:r w:rsidR="00A67E60" w:rsidRPr="009A5DC2">
        <w:rPr>
          <w:sz w:val="24"/>
        </w:rPr>
        <w:t>32</w:t>
      </w:r>
      <w:r w:rsidRPr="009A5DC2">
        <w:rPr>
          <w:sz w:val="24"/>
        </w:rPr>
        <w:t>]</w:t>
      </w:r>
      <w:r w:rsidR="00853F1D" w:rsidRPr="009A5DC2">
        <w:rPr>
          <w:sz w:val="24"/>
        </w:rPr>
        <w:t xml:space="preserve"> </w:t>
      </w:r>
      <w:r w:rsidR="002975EF" w:rsidRPr="009A5DC2">
        <w:rPr>
          <w:sz w:val="24"/>
        </w:rPr>
        <w:t xml:space="preserve">    </w:t>
      </w:r>
      <w:r w:rsidR="00853F1D" w:rsidRPr="009A5DC2">
        <w:rPr>
          <w:sz w:val="24"/>
        </w:rPr>
        <w:t>Further i</w:t>
      </w:r>
      <w:r w:rsidR="00616629" w:rsidRPr="009A5DC2">
        <w:rPr>
          <w:sz w:val="24"/>
        </w:rPr>
        <w:t>n reply</w:t>
      </w:r>
      <w:r w:rsidR="00853F1D" w:rsidRPr="009A5DC2">
        <w:rPr>
          <w:sz w:val="24"/>
        </w:rPr>
        <w:t>,</w:t>
      </w:r>
      <w:r w:rsidR="00B72286">
        <w:rPr>
          <w:sz w:val="24"/>
        </w:rPr>
        <w:t>Dalton</w:t>
      </w:r>
      <w:r w:rsidR="00616629" w:rsidRPr="009A5DC2">
        <w:rPr>
          <w:sz w:val="24"/>
        </w:rPr>
        <w:t xml:space="preserve"> rel</w:t>
      </w:r>
      <w:r w:rsidR="00B72286">
        <w:rPr>
          <w:sz w:val="24"/>
        </w:rPr>
        <w:t>ies</w:t>
      </w:r>
      <w:r w:rsidR="00616629" w:rsidRPr="009A5DC2">
        <w:rPr>
          <w:sz w:val="24"/>
        </w:rPr>
        <w:t xml:space="preserve"> on various p</w:t>
      </w:r>
      <w:r w:rsidR="00173681" w:rsidRPr="009A5DC2">
        <w:rPr>
          <w:sz w:val="24"/>
        </w:rPr>
        <w:t xml:space="preserve">roofs of payments and extracts from bank statements to substantiate the allegation that Payapp paid R3 300 000 towards the purchase price of the farm. The Respondents contend that this merely shows that the various bank accounts that were utilised by Payapp to administer its online payment platform were also utilised to make payment of </w:t>
      </w:r>
      <w:r w:rsidR="00173681" w:rsidRPr="009A5DC2">
        <w:rPr>
          <w:sz w:val="24"/>
        </w:rPr>
        <w:lastRenderedPageBreak/>
        <w:t>the purchase of the farm.  They aver that despite what is suggested in reply, the</w:t>
      </w:r>
      <w:r w:rsidRPr="009A5DC2">
        <w:rPr>
          <w:sz w:val="24"/>
        </w:rPr>
        <w:t xml:space="preserve"> supporting documents on which the Applicants rel</w:t>
      </w:r>
      <w:r w:rsidR="00173681" w:rsidRPr="009A5DC2">
        <w:rPr>
          <w:sz w:val="24"/>
        </w:rPr>
        <w:t xml:space="preserve">y </w:t>
      </w:r>
      <w:r w:rsidRPr="009A5DC2">
        <w:rPr>
          <w:sz w:val="24"/>
        </w:rPr>
        <w:t>do not prove th</w:t>
      </w:r>
      <w:r w:rsidR="00E7631E" w:rsidRPr="009A5DC2">
        <w:rPr>
          <w:sz w:val="24"/>
        </w:rPr>
        <w:t>a</w:t>
      </w:r>
      <w:r w:rsidRPr="009A5DC2">
        <w:rPr>
          <w:sz w:val="24"/>
        </w:rPr>
        <w:t xml:space="preserve">t Payapp’s funds were used to pay for the farm. Instead </w:t>
      </w:r>
      <w:r w:rsidR="00E7631E" w:rsidRPr="009A5DC2">
        <w:rPr>
          <w:sz w:val="24"/>
        </w:rPr>
        <w:t>the documents</w:t>
      </w:r>
      <w:r w:rsidRPr="009A5DC2">
        <w:rPr>
          <w:sz w:val="24"/>
        </w:rPr>
        <w:t xml:space="preserve"> support the Respondents’</w:t>
      </w:r>
      <w:r w:rsidR="00E7631E" w:rsidRPr="009A5DC2">
        <w:rPr>
          <w:sz w:val="24"/>
        </w:rPr>
        <w:t xml:space="preserve"> </w:t>
      </w:r>
      <w:r w:rsidRPr="009A5DC2">
        <w:rPr>
          <w:sz w:val="24"/>
        </w:rPr>
        <w:t>version that Polanocol’s funds held in the P</w:t>
      </w:r>
      <w:r w:rsidR="00A4736F">
        <w:rPr>
          <w:sz w:val="24"/>
        </w:rPr>
        <w:t>a</w:t>
      </w:r>
      <w:r w:rsidRPr="009A5DC2">
        <w:rPr>
          <w:sz w:val="24"/>
        </w:rPr>
        <w:t>yapp account were used to pay the balance of the purchase price.</w:t>
      </w:r>
    </w:p>
    <w:p w:rsidR="001639CB" w:rsidRPr="009A5DC2" w:rsidRDefault="001639CB" w:rsidP="009A5DC2">
      <w:pPr>
        <w:pStyle w:val="NoSpacing"/>
        <w:spacing w:line="360" w:lineRule="auto"/>
      </w:pPr>
    </w:p>
    <w:p w:rsidR="001639CB" w:rsidRPr="009A5DC2" w:rsidRDefault="001639CB" w:rsidP="009A5DC2">
      <w:pPr>
        <w:spacing w:line="360" w:lineRule="auto"/>
        <w:ind w:left="720" w:hanging="720"/>
        <w:jc w:val="both"/>
        <w:rPr>
          <w:sz w:val="24"/>
        </w:rPr>
      </w:pPr>
      <w:r w:rsidRPr="009A5DC2">
        <w:rPr>
          <w:sz w:val="24"/>
        </w:rPr>
        <w:t>[</w:t>
      </w:r>
      <w:r w:rsidR="00E7631E" w:rsidRPr="009A5DC2">
        <w:rPr>
          <w:sz w:val="24"/>
        </w:rPr>
        <w:t>3</w:t>
      </w:r>
      <w:r w:rsidR="00A67E60" w:rsidRPr="009A5DC2">
        <w:rPr>
          <w:sz w:val="24"/>
        </w:rPr>
        <w:t>3</w:t>
      </w:r>
      <w:r w:rsidRPr="009A5DC2">
        <w:rPr>
          <w:sz w:val="24"/>
        </w:rPr>
        <w:t>]</w:t>
      </w:r>
      <w:r w:rsidRPr="009A5DC2">
        <w:rPr>
          <w:sz w:val="24"/>
        </w:rPr>
        <w:tab/>
        <w:t xml:space="preserve">A further dispute pertaining to this loan is raised by the </w:t>
      </w:r>
      <w:r w:rsidR="00931BB5" w:rsidRPr="009A5DC2">
        <w:rPr>
          <w:sz w:val="24"/>
        </w:rPr>
        <w:t>Interve</w:t>
      </w:r>
      <w:r w:rsidR="00BE7697" w:rsidRPr="009A5DC2">
        <w:rPr>
          <w:sz w:val="24"/>
        </w:rPr>
        <w:t>ning Parties.</w:t>
      </w:r>
      <w:r w:rsidRPr="009A5DC2">
        <w:rPr>
          <w:sz w:val="24"/>
        </w:rPr>
        <w:t xml:space="preserve"> The dispute they raise is whether the sum of R3,3 million was a withdrawal from Polanocol</w:t>
      </w:r>
      <w:r w:rsidR="0044023D" w:rsidRPr="009A5DC2">
        <w:rPr>
          <w:sz w:val="24"/>
        </w:rPr>
        <w:t xml:space="preserve"> of investors’ funds that had been paid into its Payapp account </w:t>
      </w:r>
      <w:r w:rsidR="00A67E60" w:rsidRPr="009A5DC2">
        <w:rPr>
          <w:sz w:val="24"/>
        </w:rPr>
        <w:t>from the</w:t>
      </w:r>
      <w:r w:rsidR="00B81291" w:rsidRPr="009A5DC2">
        <w:rPr>
          <w:sz w:val="24"/>
        </w:rPr>
        <w:t xml:space="preserve"> </w:t>
      </w:r>
      <w:r w:rsidR="0044023D" w:rsidRPr="009A5DC2">
        <w:rPr>
          <w:sz w:val="24"/>
        </w:rPr>
        <w:t xml:space="preserve">EG </w:t>
      </w:r>
      <w:r w:rsidR="00A67E60" w:rsidRPr="009A5DC2">
        <w:rPr>
          <w:sz w:val="24"/>
        </w:rPr>
        <w:t>Elliott Trust</w:t>
      </w:r>
      <w:r w:rsidR="00B81291" w:rsidRPr="009A5DC2">
        <w:rPr>
          <w:sz w:val="24"/>
        </w:rPr>
        <w:t xml:space="preserve"> </w:t>
      </w:r>
      <w:r w:rsidR="0044023D" w:rsidRPr="009A5DC2">
        <w:rPr>
          <w:sz w:val="24"/>
        </w:rPr>
        <w:t>during October 2019 to April 2020, or whether it was a loan by Payapp as contended by the Applicants.</w:t>
      </w:r>
    </w:p>
    <w:p w:rsidR="0044023D" w:rsidRPr="009A5DC2" w:rsidRDefault="0044023D" w:rsidP="009A5DC2">
      <w:pPr>
        <w:pStyle w:val="NoSpacing"/>
        <w:spacing w:line="360" w:lineRule="auto"/>
      </w:pPr>
    </w:p>
    <w:p w:rsidR="0044023D" w:rsidRPr="009A5DC2" w:rsidRDefault="0044023D" w:rsidP="009A5DC2">
      <w:pPr>
        <w:spacing w:line="360" w:lineRule="auto"/>
        <w:ind w:left="720" w:hanging="720"/>
        <w:jc w:val="both"/>
        <w:rPr>
          <w:sz w:val="24"/>
        </w:rPr>
      </w:pPr>
      <w:r w:rsidRPr="009A5DC2">
        <w:rPr>
          <w:sz w:val="24"/>
        </w:rPr>
        <w:t>[</w:t>
      </w:r>
      <w:r w:rsidR="00E7631E" w:rsidRPr="009A5DC2">
        <w:rPr>
          <w:sz w:val="24"/>
        </w:rPr>
        <w:t>3</w:t>
      </w:r>
      <w:r w:rsidR="00A67E60" w:rsidRPr="009A5DC2">
        <w:rPr>
          <w:sz w:val="24"/>
        </w:rPr>
        <w:t>4</w:t>
      </w:r>
      <w:r w:rsidRPr="009A5DC2">
        <w:rPr>
          <w:sz w:val="24"/>
        </w:rPr>
        <w:t>]</w:t>
      </w:r>
      <w:r w:rsidRPr="009A5DC2">
        <w:rPr>
          <w:sz w:val="24"/>
        </w:rPr>
        <w:tab/>
        <w:t>In this regard the founding affidavit in the</w:t>
      </w:r>
      <w:r w:rsidR="00E7631E" w:rsidRPr="009A5DC2">
        <w:rPr>
          <w:sz w:val="24"/>
        </w:rPr>
        <w:t xml:space="preserve"> Intervention</w:t>
      </w:r>
      <w:r w:rsidRPr="009A5DC2">
        <w:rPr>
          <w:sz w:val="24"/>
        </w:rPr>
        <w:t xml:space="preserve"> </w:t>
      </w:r>
      <w:r w:rsidR="00B72286">
        <w:rPr>
          <w:sz w:val="24"/>
        </w:rPr>
        <w:t>a</w:t>
      </w:r>
      <w:r w:rsidRPr="009A5DC2">
        <w:rPr>
          <w:sz w:val="24"/>
        </w:rPr>
        <w:t>pplication of Mr No</w:t>
      </w:r>
      <w:r w:rsidR="00E7631E" w:rsidRPr="009A5DC2">
        <w:rPr>
          <w:sz w:val="24"/>
        </w:rPr>
        <w:t>r</w:t>
      </w:r>
      <w:r w:rsidRPr="009A5DC2">
        <w:rPr>
          <w:sz w:val="24"/>
        </w:rPr>
        <w:t>tje</w:t>
      </w:r>
      <w:r w:rsidR="00B81291" w:rsidRPr="009A5DC2">
        <w:rPr>
          <w:sz w:val="24"/>
        </w:rPr>
        <w:t xml:space="preserve"> </w:t>
      </w:r>
      <w:r w:rsidRPr="009A5DC2">
        <w:rPr>
          <w:sz w:val="24"/>
        </w:rPr>
        <w:t xml:space="preserve">states that before July 2020, all the </w:t>
      </w:r>
      <w:r w:rsidR="00BE7697" w:rsidRPr="009A5DC2">
        <w:rPr>
          <w:sz w:val="24"/>
        </w:rPr>
        <w:t>I</w:t>
      </w:r>
      <w:r w:rsidRPr="009A5DC2">
        <w:rPr>
          <w:sz w:val="24"/>
        </w:rPr>
        <w:t xml:space="preserve">ntervening </w:t>
      </w:r>
      <w:r w:rsidR="00BE7697" w:rsidRPr="009A5DC2">
        <w:rPr>
          <w:sz w:val="24"/>
        </w:rPr>
        <w:t>P</w:t>
      </w:r>
      <w:r w:rsidRPr="009A5DC2">
        <w:rPr>
          <w:sz w:val="24"/>
        </w:rPr>
        <w:t>arties’ payments to Polanocol were paid to the EG Elliot Trust account and after the first half of the purchase price for the farm was paid, the sum of R6 092 million of investor funds had been transferred from the EG Elliott Trust to Polanocol’s Payapp account. They were held by Payapp but were Polanocol’s funds. Each of the payments identified by Dalton in his supplementary replying affidavit, being the advance of R3,3 million to the Payapp loan account</w:t>
      </w:r>
      <w:r w:rsidR="00E7631E" w:rsidRPr="009A5DC2">
        <w:rPr>
          <w:sz w:val="24"/>
        </w:rPr>
        <w:t>, w</w:t>
      </w:r>
      <w:r w:rsidR="00B72286">
        <w:rPr>
          <w:sz w:val="24"/>
        </w:rPr>
        <w:t>as</w:t>
      </w:r>
      <w:r w:rsidRPr="009A5DC2">
        <w:rPr>
          <w:sz w:val="24"/>
        </w:rPr>
        <w:t xml:space="preserve"> for amounts credited to the Polanocol Payapp account. The R3,3 million</w:t>
      </w:r>
      <w:r w:rsidR="004861C2" w:rsidRPr="009A5DC2">
        <w:rPr>
          <w:sz w:val="24"/>
        </w:rPr>
        <w:t xml:space="preserve"> he contends therefore is not a loan from Payapp but a withdrawal by Polanocol of investors’ funds that had been paid into the Payapp account.</w:t>
      </w:r>
    </w:p>
    <w:p w:rsidR="004861C2" w:rsidRPr="009A5DC2" w:rsidRDefault="004861C2" w:rsidP="009A5DC2">
      <w:pPr>
        <w:pStyle w:val="NoSpacing"/>
        <w:spacing w:line="360" w:lineRule="auto"/>
      </w:pPr>
    </w:p>
    <w:p w:rsidR="004861C2" w:rsidRPr="009A5DC2" w:rsidRDefault="004861C2" w:rsidP="009A5DC2">
      <w:pPr>
        <w:spacing w:line="360" w:lineRule="auto"/>
        <w:ind w:left="720" w:hanging="720"/>
        <w:jc w:val="both"/>
        <w:rPr>
          <w:sz w:val="24"/>
        </w:rPr>
      </w:pPr>
      <w:r w:rsidRPr="009A5DC2">
        <w:rPr>
          <w:sz w:val="24"/>
        </w:rPr>
        <w:t>[</w:t>
      </w:r>
      <w:r w:rsidR="00E7631E" w:rsidRPr="009A5DC2">
        <w:rPr>
          <w:sz w:val="24"/>
        </w:rPr>
        <w:t>3</w:t>
      </w:r>
      <w:r w:rsidR="00A67E60" w:rsidRPr="009A5DC2">
        <w:rPr>
          <w:sz w:val="24"/>
        </w:rPr>
        <w:t>5</w:t>
      </w:r>
      <w:r w:rsidRPr="009A5DC2">
        <w:rPr>
          <w:sz w:val="24"/>
        </w:rPr>
        <w:t>]</w:t>
      </w:r>
      <w:r w:rsidRPr="009A5DC2">
        <w:rPr>
          <w:sz w:val="24"/>
        </w:rPr>
        <w:tab/>
        <w:t>This is denied in reply by Dalton who contends that Polanocol did not have funds to pay the entire purchase price and that Nortje did not factor in all the farm expenses. He further states with reference to a reconciliation</w:t>
      </w:r>
      <w:r w:rsidR="00E7631E" w:rsidRPr="009A5DC2">
        <w:rPr>
          <w:sz w:val="24"/>
        </w:rPr>
        <w:t>,</w:t>
      </w:r>
      <w:r w:rsidRPr="009A5DC2">
        <w:rPr>
          <w:sz w:val="24"/>
        </w:rPr>
        <w:t xml:space="preserve"> that after payment of R5 million to </w:t>
      </w:r>
      <w:r w:rsidR="00B72286">
        <w:rPr>
          <w:sz w:val="24"/>
        </w:rPr>
        <w:t>the transferring attorneys</w:t>
      </w:r>
      <w:r w:rsidRPr="009A5DC2">
        <w:rPr>
          <w:sz w:val="24"/>
        </w:rPr>
        <w:t>, Polanacol had a positive balance in</w:t>
      </w:r>
      <w:r w:rsidR="00B72286">
        <w:rPr>
          <w:sz w:val="24"/>
        </w:rPr>
        <w:t xml:space="preserve"> the</w:t>
      </w:r>
      <w:r w:rsidRPr="009A5DC2">
        <w:rPr>
          <w:sz w:val="24"/>
        </w:rPr>
        <w:t xml:space="preserve"> E</w:t>
      </w:r>
      <w:r w:rsidR="00B72286">
        <w:rPr>
          <w:sz w:val="24"/>
        </w:rPr>
        <w:t>lliot</w:t>
      </w:r>
      <w:r w:rsidRPr="009A5DC2">
        <w:rPr>
          <w:sz w:val="24"/>
        </w:rPr>
        <w:t xml:space="preserve"> Trust </w:t>
      </w:r>
      <w:r w:rsidR="00E7631E" w:rsidRPr="009A5DC2">
        <w:rPr>
          <w:sz w:val="24"/>
        </w:rPr>
        <w:t>A</w:t>
      </w:r>
      <w:r w:rsidRPr="009A5DC2">
        <w:rPr>
          <w:sz w:val="24"/>
        </w:rPr>
        <w:t xml:space="preserve">ccount of R12million and a negative balance of </w:t>
      </w:r>
      <w:r w:rsidR="006D7881" w:rsidRPr="009A5DC2">
        <w:rPr>
          <w:sz w:val="24"/>
        </w:rPr>
        <w:t>-</w:t>
      </w:r>
      <w:r w:rsidRPr="009A5DC2">
        <w:rPr>
          <w:sz w:val="24"/>
        </w:rPr>
        <w:t xml:space="preserve"> R3</w:t>
      </w:r>
      <w:r w:rsidR="006D7881" w:rsidRPr="009A5DC2">
        <w:rPr>
          <w:sz w:val="24"/>
        </w:rPr>
        <w:t xml:space="preserve"> 268 </w:t>
      </w:r>
      <w:r w:rsidR="00A67E60" w:rsidRPr="009A5DC2">
        <w:rPr>
          <w:sz w:val="24"/>
        </w:rPr>
        <w:t xml:space="preserve">697.41 </w:t>
      </w:r>
      <w:r w:rsidR="00B72286">
        <w:rPr>
          <w:sz w:val="24"/>
        </w:rPr>
        <w:t>in</w:t>
      </w:r>
      <w:r w:rsidRPr="009A5DC2">
        <w:rPr>
          <w:sz w:val="24"/>
        </w:rPr>
        <w:t xml:space="preserve"> its Payapp account. This reflected the R3,3 million loan.</w:t>
      </w:r>
    </w:p>
    <w:p w:rsidR="00A67E60" w:rsidRPr="009A5DC2" w:rsidRDefault="00A67E60" w:rsidP="009A5DC2">
      <w:pPr>
        <w:pStyle w:val="NoSpacing"/>
        <w:spacing w:line="360" w:lineRule="auto"/>
      </w:pPr>
    </w:p>
    <w:p w:rsidR="004861C2" w:rsidRPr="009A5DC2" w:rsidRDefault="006D7881" w:rsidP="009A5DC2">
      <w:pPr>
        <w:spacing w:line="360" w:lineRule="auto"/>
        <w:ind w:left="720" w:hanging="720"/>
        <w:jc w:val="both"/>
        <w:rPr>
          <w:sz w:val="24"/>
        </w:rPr>
      </w:pPr>
      <w:r w:rsidRPr="009A5DC2">
        <w:rPr>
          <w:sz w:val="24"/>
        </w:rPr>
        <w:t>[</w:t>
      </w:r>
      <w:r w:rsidR="00A67E60" w:rsidRPr="009A5DC2">
        <w:rPr>
          <w:sz w:val="24"/>
        </w:rPr>
        <w:t>36</w:t>
      </w:r>
      <w:r w:rsidRPr="009A5DC2">
        <w:rPr>
          <w:sz w:val="24"/>
        </w:rPr>
        <w:t>]</w:t>
      </w:r>
      <w:r w:rsidR="00335318" w:rsidRPr="009A5DC2">
        <w:rPr>
          <w:sz w:val="24"/>
        </w:rPr>
        <w:tab/>
      </w:r>
      <w:r w:rsidRPr="009A5DC2">
        <w:rPr>
          <w:sz w:val="24"/>
        </w:rPr>
        <w:t xml:space="preserve">The Respondents </w:t>
      </w:r>
      <w:r w:rsidR="00335318" w:rsidRPr="009A5DC2">
        <w:rPr>
          <w:sz w:val="24"/>
        </w:rPr>
        <w:t>contend that</w:t>
      </w:r>
      <w:r w:rsidRPr="009A5DC2">
        <w:rPr>
          <w:sz w:val="24"/>
        </w:rPr>
        <w:t xml:space="preserve"> the reconciliation is not supported by any vouchers and is contradicted by the Respondent’s independently verified</w:t>
      </w:r>
      <w:r w:rsidR="00264AB6" w:rsidRPr="009A5DC2">
        <w:rPr>
          <w:sz w:val="24"/>
        </w:rPr>
        <w:t xml:space="preserve"> </w:t>
      </w:r>
      <w:r w:rsidR="00264AB6" w:rsidRPr="009A5DC2">
        <w:rPr>
          <w:sz w:val="24"/>
        </w:rPr>
        <w:lastRenderedPageBreak/>
        <w:t>reconciliation which reflects that immediately after the purchase price was paid, Polanoncol’s Payapp account had a credit balance of US$14,143.25.</w:t>
      </w:r>
    </w:p>
    <w:p w:rsidR="004861C2" w:rsidRPr="009A5DC2" w:rsidRDefault="004861C2" w:rsidP="009A5DC2">
      <w:pPr>
        <w:pStyle w:val="NoSpacing"/>
        <w:spacing w:line="360" w:lineRule="auto"/>
      </w:pPr>
      <w:r w:rsidRPr="009A5DC2">
        <w:t xml:space="preserve"> </w:t>
      </w:r>
    </w:p>
    <w:p w:rsidR="004861C2" w:rsidRPr="009A5DC2" w:rsidRDefault="004861C2" w:rsidP="009A5DC2">
      <w:pPr>
        <w:spacing w:line="360" w:lineRule="auto"/>
        <w:ind w:left="720" w:hanging="720"/>
        <w:jc w:val="both"/>
        <w:rPr>
          <w:sz w:val="24"/>
        </w:rPr>
      </w:pPr>
      <w:r w:rsidRPr="009A5DC2">
        <w:rPr>
          <w:sz w:val="24"/>
        </w:rPr>
        <w:t>[</w:t>
      </w:r>
      <w:r w:rsidR="00A5146B" w:rsidRPr="009A5DC2">
        <w:rPr>
          <w:sz w:val="24"/>
        </w:rPr>
        <w:t>3</w:t>
      </w:r>
      <w:r w:rsidR="00A67E60" w:rsidRPr="009A5DC2">
        <w:rPr>
          <w:sz w:val="24"/>
        </w:rPr>
        <w:t>7</w:t>
      </w:r>
      <w:r w:rsidRPr="009A5DC2">
        <w:rPr>
          <w:sz w:val="24"/>
        </w:rPr>
        <w:t>]</w:t>
      </w:r>
      <w:r w:rsidRPr="009A5DC2">
        <w:rPr>
          <w:sz w:val="24"/>
        </w:rPr>
        <w:tab/>
      </w:r>
      <w:r w:rsidR="00BE7697" w:rsidRPr="009A5DC2">
        <w:rPr>
          <w:sz w:val="24"/>
        </w:rPr>
        <w:t xml:space="preserve">Then </w:t>
      </w:r>
      <w:r w:rsidR="00B81291" w:rsidRPr="009A5DC2">
        <w:rPr>
          <w:sz w:val="24"/>
        </w:rPr>
        <w:t>t</w:t>
      </w:r>
      <w:r w:rsidRPr="009A5DC2">
        <w:rPr>
          <w:sz w:val="24"/>
        </w:rPr>
        <w:t xml:space="preserve">here is a further dispute concerning </w:t>
      </w:r>
      <w:r w:rsidR="00A5146B" w:rsidRPr="009A5DC2">
        <w:rPr>
          <w:sz w:val="24"/>
        </w:rPr>
        <w:t xml:space="preserve">the </w:t>
      </w:r>
      <w:r w:rsidRPr="009A5DC2">
        <w:rPr>
          <w:sz w:val="24"/>
        </w:rPr>
        <w:t xml:space="preserve">reconciliation of Polanocol’s account with Payapp. The founding affidavit of the intervening </w:t>
      </w:r>
      <w:r w:rsidR="00A67E60" w:rsidRPr="009A5DC2">
        <w:rPr>
          <w:sz w:val="24"/>
        </w:rPr>
        <w:t>party states</w:t>
      </w:r>
      <w:r w:rsidRPr="009A5DC2">
        <w:rPr>
          <w:sz w:val="24"/>
        </w:rPr>
        <w:t xml:space="preserve"> that after reconciling payments against deposits, Polanocol’s account with Payapp had a balance of </w:t>
      </w:r>
      <w:r w:rsidR="00B6765C" w:rsidRPr="009A5DC2">
        <w:rPr>
          <w:sz w:val="24"/>
        </w:rPr>
        <w:t>US$</w:t>
      </w:r>
      <w:r w:rsidRPr="009A5DC2">
        <w:rPr>
          <w:sz w:val="24"/>
        </w:rPr>
        <w:t>36 </w:t>
      </w:r>
      <w:r w:rsidR="00335318" w:rsidRPr="009A5DC2">
        <w:rPr>
          <w:sz w:val="24"/>
        </w:rPr>
        <w:t>843.69 in</w:t>
      </w:r>
      <w:r w:rsidR="00B6765C" w:rsidRPr="009A5DC2">
        <w:rPr>
          <w:sz w:val="24"/>
        </w:rPr>
        <w:t xml:space="preserve"> favour of Polanocol. In the light of this reconciliation it cannot be said Payapp has established itself as a creditor.</w:t>
      </w:r>
    </w:p>
    <w:p w:rsidR="00A5146B" w:rsidRPr="009A5DC2" w:rsidRDefault="00A5146B" w:rsidP="009A5DC2">
      <w:pPr>
        <w:pStyle w:val="NoSpacing"/>
        <w:spacing w:line="360" w:lineRule="auto"/>
      </w:pPr>
    </w:p>
    <w:p w:rsidR="00B6765C" w:rsidRPr="009A5DC2" w:rsidRDefault="00A5146B" w:rsidP="009A5DC2">
      <w:pPr>
        <w:spacing w:line="360" w:lineRule="auto"/>
        <w:ind w:left="720" w:hanging="720"/>
        <w:jc w:val="both"/>
        <w:rPr>
          <w:sz w:val="24"/>
        </w:rPr>
      </w:pPr>
      <w:r w:rsidRPr="009A5DC2">
        <w:rPr>
          <w:sz w:val="24"/>
        </w:rPr>
        <w:t>[3</w:t>
      </w:r>
      <w:r w:rsidR="00335318" w:rsidRPr="009A5DC2">
        <w:rPr>
          <w:sz w:val="24"/>
        </w:rPr>
        <w:t>8</w:t>
      </w:r>
      <w:r w:rsidRPr="009A5DC2">
        <w:rPr>
          <w:sz w:val="24"/>
        </w:rPr>
        <w:t>]</w:t>
      </w:r>
      <w:r w:rsidR="00335318" w:rsidRPr="009A5DC2">
        <w:rPr>
          <w:sz w:val="24"/>
        </w:rPr>
        <w:tab/>
      </w:r>
      <w:r w:rsidRPr="009A5DC2">
        <w:rPr>
          <w:sz w:val="24"/>
        </w:rPr>
        <w:t xml:space="preserve"> </w:t>
      </w:r>
      <w:r w:rsidR="00B6765C" w:rsidRPr="009A5DC2">
        <w:rPr>
          <w:sz w:val="24"/>
        </w:rPr>
        <w:t xml:space="preserve">In </w:t>
      </w:r>
      <w:r w:rsidR="00335318" w:rsidRPr="009A5DC2">
        <w:rPr>
          <w:sz w:val="24"/>
        </w:rPr>
        <w:t>reply, Dalton</w:t>
      </w:r>
      <w:r w:rsidR="00B81291" w:rsidRPr="009A5DC2">
        <w:rPr>
          <w:sz w:val="24"/>
        </w:rPr>
        <w:t xml:space="preserve"> </w:t>
      </w:r>
      <w:r w:rsidR="00B6765C" w:rsidRPr="009A5DC2">
        <w:rPr>
          <w:sz w:val="24"/>
        </w:rPr>
        <w:t>state</w:t>
      </w:r>
      <w:r w:rsidR="00B81291" w:rsidRPr="009A5DC2">
        <w:rPr>
          <w:sz w:val="24"/>
        </w:rPr>
        <w:t>s</w:t>
      </w:r>
      <w:r w:rsidR="00B6765C" w:rsidRPr="009A5DC2">
        <w:rPr>
          <w:sz w:val="24"/>
        </w:rPr>
        <w:t xml:space="preserve"> that the total credit deposits in Polanocol’s Payapp account equals US$927985.50 ($10 88020.71 minus Payapp’s loan of US$160 036.21). Considering that the total payments from Polanocol’s Payapp account was US$1051177.02, the balance of the account as at 22 June 2021, would have been minus US$123 192.52. This shortfall was financed with the Payapp loan to Polanocol. </w:t>
      </w:r>
    </w:p>
    <w:p w:rsidR="00B6765C" w:rsidRPr="009A5DC2" w:rsidRDefault="00B6765C" w:rsidP="009A5DC2">
      <w:pPr>
        <w:pStyle w:val="NoSpacing"/>
        <w:spacing w:line="360" w:lineRule="auto"/>
      </w:pPr>
    </w:p>
    <w:p w:rsidR="0051458A" w:rsidRPr="009A5DC2" w:rsidRDefault="0051458A" w:rsidP="009A5DC2">
      <w:pPr>
        <w:spacing w:line="360" w:lineRule="auto"/>
        <w:jc w:val="both"/>
        <w:rPr>
          <w:sz w:val="24"/>
          <w:u w:val="single"/>
        </w:rPr>
      </w:pPr>
      <w:r w:rsidRPr="009A5DC2">
        <w:rPr>
          <w:sz w:val="24"/>
          <w:u w:val="single"/>
        </w:rPr>
        <w:t>Dalton’s claim</w:t>
      </w:r>
    </w:p>
    <w:p w:rsidR="0051458A" w:rsidRPr="009A5DC2" w:rsidRDefault="0051458A" w:rsidP="009A5DC2">
      <w:pPr>
        <w:spacing w:line="360" w:lineRule="auto"/>
        <w:ind w:left="720" w:hanging="720"/>
        <w:jc w:val="both"/>
        <w:rPr>
          <w:sz w:val="24"/>
        </w:rPr>
      </w:pPr>
      <w:r w:rsidRPr="009A5DC2">
        <w:rPr>
          <w:sz w:val="24"/>
        </w:rPr>
        <w:t>[</w:t>
      </w:r>
      <w:r w:rsidR="00A5146B" w:rsidRPr="009A5DC2">
        <w:rPr>
          <w:sz w:val="24"/>
        </w:rPr>
        <w:t>3</w:t>
      </w:r>
      <w:r w:rsidR="00335318" w:rsidRPr="009A5DC2">
        <w:rPr>
          <w:sz w:val="24"/>
        </w:rPr>
        <w:t>9</w:t>
      </w:r>
      <w:r w:rsidRPr="009A5DC2">
        <w:rPr>
          <w:sz w:val="24"/>
        </w:rPr>
        <w:t>]</w:t>
      </w:r>
      <w:r w:rsidRPr="009A5DC2">
        <w:rPr>
          <w:sz w:val="24"/>
        </w:rPr>
        <w:tab/>
      </w:r>
      <w:r w:rsidR="00214F98" w:rsidRPr="009A5DC2">
        <w:rPr>
          <w:sz w:val="24"/>
        </w:rPr>
        <w:t xml:space="preserve">Dalton’s claim as aforementioned is for payment of the amount of R2 600 000.00 plus interest, alleged to be the balance due </w:t>
      </w:r>
      <w:r w:rsidR="00E04850" w:rsidRPr="009A5DC2">
        <w:rPr>
          <w:sz w:val="24"/>
        </w:rPr>
        <w:t xml:space="preserve"> for a loan to Polanocol as agreed. </w:t>
      </w:r>
    </w:p>
    <w:p w:rsidR="0051458A" w:rsidRPr="009A5DC2" w:rsidRDefault="0051458A" w:rsidP="009A5DC2">
      <w:pPr>
        <w:pStyle w:val="NoSpacing"/>
        <w:spacing w:line="360" w:lineRule="auto"/>
      </w:pPr>
    </w:p>
    <w:p w:rsidR="0051458A" w:rsidRPr="009A5DC2" w:rsidRDefault="0051458A" w:rsidP="009A5DC2">
      <w:pPr>
        <w:spacing w:line="360" w:lineRule="auto"/>
        <w:ind w:left="720" w:hanging="720"/>
        <w:jc w:val="both"/>
        <w:rPr>
          <w:sz w:val="24"/>
        </w:rPr>
      </w:pPr>
      <w:r w:rsidRPr="009A5DC2">
        <w:rPr>
          <w:sz w:val="24"/>
        </w:rPr>
        <w:t>[</w:t>
      </w:r>
      <w:r w:rsidR="00335318" w:rsidRPr="009A5DC2">
        <w:rPr>
          <w:sz w:val="24"/>
        </w:rPr>
        <w:t>40</w:t>
      </w:r>
      <w:r w:rsidRPr="009A5DC2">
        <w:rPr>
          <w:sz w:val="24"/>
        </w:rPr>
        <w:t>]</w:t>
      </w:r>
      <w:r w:rsidRPr="009A5DC2">
        <w:rPr>
          <w:sz w:val="24"/>
        </w:rPr>
        <w:tab/>
        <w:t>Bartman’s supplemen</w:t>
      </w:r>
      <w:r w:rsidR="00E04850" w:rsidRPr="009A5DC2">
        <w:rPr>
          <w:sz w:val="24"/>
        </w:rPr>
        <w:t xml:space="preserve">tary answering </w:t>
      </w:r>
      <w:r w:rsidR="00335318" w:rsidRPr="009A5DC2">
        <w:rPr>
          <w:sz w:val="24"/>
        </w:rPr>
        <w:t>affidavit admits</w:t>
      </w:r>
      <w:r w:rsidRPr="009A5DC2">
        <w:rPr>
          <w:sz w:val="24"/>
        </w:rPr>
        <w:t xml:space="preserve"> the conclusion of the agreement between him and Dalton but denies Dalton’s contention that he only received payment of R400 000.00. He states Dal</w:t>
      </w:r>
      <w:r w:rsidR="00E1105B" w:rsidRPr="009A5DC2">
        <w:rPr>
          <w:sz w:val="24"/>
        </w:rPr>
        <w:t>ton received payment in the net</w:t>
      </w:r>
      <w:r w:rsidRPr="009A5DC2">
        <w:rPr>
          <w:sz w:val="24"/>
        </w:rPr>
        <w:t xml:space="preserve"> amount of R794491.40 and annexes how this is calculated in annexure “AA8”. In reply Bartman’s calculation is </w:t>
      </w:r>
      <w:r w:rsidR="00335318" w:rsidRPr="009A5DC2">
        <w:rPr>
          <w:sz w:val="24"/>
        </w:rPr>
        <w:t>rejected</w:t>
      </w:r>
      <w:r w:rsidR="00B72286">
        <w:rPr>
          <w:sz w:val="24"/>
        </w:rPr>
        <w:t>.</w:t>
      </w:r>
      <w:r w:rsidR="00335318" w:rsidRPr="009A5DC2">
        <w:rPr>
          <w:sz w:val="24"/>
        </w:rPr>
        <w:t xml:space="preserve"> Dalton</w:t>
      </w:r>
      <w:r w:rsidRPr="009A5DC2">
        <w:rPr>
          <w:sz w:val="24"/>
        </w:rPr>
        <w:t xml:space="preserve"> points out that it is an error to apply the full R50 000.00 monthly payment in the reduction of the outstanding capital. This is because the R50 000-00 monthly payment, he alleges comprises R25 000-00 interest and R25 000-00 capital. A deduction of only R25 000-00, on each payment reflects that only R400 000-00 had been paid leaving a balance of R2.6million. Dalton points out in reply moreover that annexure AA8 reflects three journal entries which are not payments and of which he has no knowledge.</w:t>
      </w:r>
    </w:p>
    <w:p w:rsidR="0051458A" w:rsidRPr="009A5DC2" w:rsidRDefault="0051458A" w:rsidP="009A5DC2">
      <w:pPr>
        <w:pStyle w:val="NoSpacing"/>
        <w:spacing w:line="360" w:lineRule="auto"/>
      </w:pPr>
    </w:p>
    <w:p w:rsidR="0051458A" w:rsidRPr="009A5DC2" w:rsidRDefault="0051458A" w:rsidP="009A5DC2">
      <w:pPr>
        <w:spacing w:line="360" w:lineRule="auto"/>
        <w:ind w:left="720" w:hanging="720"/>
        <w:jc w:val="both"/>
        <w:rPr>
          <w:sz w:val="24"/>
        </w:rPr>
      </w:pPr>
      <w:r w:rsidRPr="009A5DC2">
        <w:rPr>
          <w:sz w:val="24"/>
        </w:rPr>
        <w:t>[</w:t>
      </w:r>
      <w:r w:rsidR="00335318" w:rsidRPr="009A5DC2">
        <w:rPr>
          <w:sz w:val="24"/>
        </w:rPr>
        <w:t>41</w:t>
      </w:r>
      <w:r w:rsidRPr="009A5DC2">
        <w:rPr>
          <w:sz w:val="24"/>
        </w:rPr>
        <w:t>]</w:t>
      </w:r>
      <w:r w:rsidRPr="009A5DC2">
        <w:rPr>
          <w:sz w:val="24"/>
        </w:rPr>
        <w:tab/>
        <w:t xml:space="preserve">Bartman moreover </w:t>
      </w:r>
      <w:r w:rsidR="00D61E59" w:rsidRPr="009A5DC2">
        <w:rPr>
          <w:sz w:val="24"/>
        </w:rPr>
        <w:t>alleges in his supplementary replying affidavit that the following amounts must be deducted from Dalton’s loan account:</w:t>
      </w:r>
    </w:p>
    <w:p w:rsidR="00D61E59" w:rsidRPr="009A5DC2" w:rsidRDefault="00D61E59" w:rsidP="009A5DC2">
      <w:pPr>
        <w:spacing w:line="360" w:lineRule="auto"/>
        <w:jc w:val="both"/>
        <w:rPr>
          <w:sz w:val="24"/>
        </w:rPr>
      </w:pPr>
      <w:r w:rsidRPr="009A5DC2">
        <w:rPr>
          <w:sz w:val="24"/>
        </w:rPr>
        <w:tab/>
      </w:r>
      <w:r w:rsidR="00335318" w:rsidRPr="009A5DC2">
        <w:rPr>
          <w:sz w:val="24"/>
        </w:rPr>
        <w:t>41</w:t>
      </w:r>
      <w:r w:rsidRPr="009A5DC2">
        <w:rPr>
          <w:sz w:val="24"/>
        </w:rPr>
        <w:t>.1</w:t>
      </w:r>
      <w:r w:rsidRPr="009A5DC2">
        <w:rPr>
          <w:sz w:val="24"/>
        </w:rPr>
        <w:tab/>
        <w:t>R2</w:t>
      </w:r>
      <w:r w:rsidR="006514C0" w:rsidRPr="009A5DC2">
        <w:rPr>
          <w:sz w:val="24"/>
        </w:rPr>
        <w:t xml:space="preserve"> </w:t>
      </w:r>
      <w:r w:rsidRPr="009A5DC2">
        <w:rPr>
          <w:sz w:val="24"/>
        </w:rPr>
        <w:t xml:space="preserve">440 169.00 and R54801.00, alleging that on 19 and 20 May 2020 </w:t>
      </w:r>
      <w:r w:rsidR="009916D2" w:rsidRPr="009A5DC2">
        <w:rPr>
          <w:sz w:val="24"/>
        </w:rPr>
        <w:tab/>
      </w:r>
      <w:r w:rsidR="009916D2" w:rsidRPr="009A5DC2">
        <w:rPr>
          <w:sz w:val="24"/>
        </w:rPr>
        <w:tab/>
      </w:r>
      <w:r w:rsidRPr="009A5DC2">
        <w:rPr>
          <w:sz w:val="24"/>
        </w:rPr>
        <w:t xml:space="preserve">respectively Dalton paid himself these amounts respectively. These </w:t>
      </w:r>
      <w:r w:rsidR="009916D2" w:rsidRPr="009A5DC2">
        <w:rPr>
          <w:sz w:val="24"/>
        </w:rPr>
        <w:tab/>
      </w:r>
      <w:r w:rsidR="009916D2" w:rsidRPr="009A5DC2">
        <w:rPr>
          <w:sz w:val="24"/>
        </w:rPr>
        <w:tab/>
      </w:r>
      <w:r w:rsidRPr="009A5DC2">
        <w:rPr>
          <w:sz w:val="24"/>
        </w:rPr>
        <w:t xml:space="preserve">transactions are reflected on the transaction schedule on Polanocol’s </w:t>
      </w:r>
      <w:r w:rsidR="009916D2" w:rsidRPr="009A5DC2">
        <w:rPr>
          <w:sz w:val="24"/>
        </w:rPr>
        <w:tab/>
      </w:r>
      <w:r w:rsidR="009916D2" w:rsidRPr="009A5DC2">
        <w:rPr>
          <w:sz w:val="24"/>
        </w:rPr>
        <w:tab/>
      </w:r>
      <w:r w:rsidRPr="009A5DC2">
        <w:rPr>
          <w:sz w:val="24"/>
        </w:rPr>
        <w:t xml:space="preserve">Payapp account being annexures AA6. </w:t>
      </w:r>
    </w:p>
    <w:p w:rsidR="00937A6C" w:rsidRPr="009A5DC2" w:rsidRDefault="00D61E59" w:rsidP="009A5DC2">
      <w:pPr>
        <w:spacing w:line="360" w:lineRule="auto"/>
        <w:jc w:val="both"/>
        <w:rPr>
          <w:sz w:val="24"/>
        </w:rPr>
      </w:pPr>
      <w:r w:rsidRPr="009A5DC2">
        <w:rPr>
          <w:sz w:val="24"/>
        </w:rPr>
        <w:tab/>
      </w:r>
      <w:r w:rsidR="00335318" w:rsidRPr="009A5DC2">
        <w:rPr>
          <w:sz w:val="24"/>
        </w:rPr>
        <w:t>41</w:t>
      </w:r>
      <w:r w:rsidRPr="009A5DC2">
        <w:rPr>
          <w:sz w:val="24"/>
        </w:rPr>
        <w:t>.2</w:t>
      </w:r>
      <w:r w:rsidRPr="009A5DC2">
        <w:rPr>
          <w:sz w:val="24"/>
        </w:rPr>
        <w:tab/>
        <w:t xml:space="preserve">Dalton denies this in reply stating these amounts represent payments </w:t>
      </w:r>
      <w:r w:rsidR="009916D2" w:rsidRPr="009A5DC2">
        <w:rPr>
          <w:sz w:val="24"/>
        </w:rPr>
        <w:tab/>
      </w:r>
      <w:r w:rsidR="009916D2" w:rsidRPr="009A5DC2">
        <w:rPr>
          <w:sz w:val="24"/>
        </w:rPr>
        <w:tab/>
      </w:r>
      <w:r w:rsidRPr="009A5DC2">
        <w:rPr>
          <w:sz w:val="24"/>
        </w:rPr>
        <w:t>that he made on behalf of Polanocol</w:t>
      </w:r>
      <w:r w:rsidR="00E1105B" w:rsidRPr="009A5DC2">
        <w:rPr>
          <w:sz w:val="24"/>
        </w:rPr>
        <w:t>. T</w:t>
      </w:r>
      <w:r w:rsidRPr="009A5DC2">
        <w:rPr>
          <w:sz w:val="24"/>
        </w:rPr>
        <w:t xml:space="preserve">he dates and amounts of these </w:t>
      </w:r>
      <w:r w:rsidR="009916D2" w:rsidRPr="009A5DC2">
        <w:rPr>
          <w:sz w:val="24"/>
        </w:rPr>
        <w:tab/>
      </w:r>
      <w:r w:rsidR="009916D2" w:rsidRPr="009A5DC2">
        <w:rPr>
          <w:sz w:val="24"/>
        </w:rPr>
        <w:tab/>
      </w:r>
      <w:r w:rsidRPr="009A5DC2">
        <w:rPr>
          <w:sz w:val="24"/>
        </w:rPr>
        <w:t xml:space="preserve">expenses are set out in documents annexed to the supplementary </w:t>
      </w:r>
      <w:r w:rsidR="009916D2" w:rsidRPr="009A5DC2">
        <w:rPr>
          <w:sz w:val="24"/>
        </w:rPr>
        <w:tab/>
      </w:r>
      <w:r w:rsidR="009916D2" w:rsidRPr="009A5DC2">
        <w:rPr>
          <w:sz w:val="24"/>
        </w:rPr>
        <w:tab/>
      </w:r>
      <w:r w:rsidR="009916D2" w:rsidRPr="009A5DC2">
        <w:rPr>
          <w:sz w:val="24"/>
        </w:rPr>
        <w:tab/>
      </w:r>
      <w:r w:rsidRPr="009A5DC2">
        <w:rPr>
          <w:sz w:val="24"/>
        </w:rPr>
        <w:t xml:space="preserve">replying affidavit being annexures RA9 and RA10. In respect of the </w:t>
      </w:r>
      <w:r w:rsidR="009916D2" w:rsidRPr="009A5DC2">
        <w:rPr>
          <w:sz w:val="24"/>
        </w:rPr>
        <w:tab/>
      </w:r>
      <w:r w:rsidR="009916D2" w:rsidRPr="009A5DC2">
        <w:rPr>
          <w:sz w:val="24"/>
        </w:rPr>
        <w:tab/>
      </w:r>
      <w:r w:rsidR="009916D2" w:rsidRPr="009A5DC2">
        <w:rPr>
          <w:sz w:val="24"/>
        </w:rPr>
        <w:tab/>
      </w:r>
      <w:r w:rsidRPr="009A5DC2">
        <w:rPr>
          <w:sz w:val="24"/>
        </w:rPr>
        <w:t>refund of R54801.00</w:t>
      </w:r>
      <w:r w:rsidR="00A5146B" w:rsidRPr="009A5DC2">
        <w:rPr>
          <w:sz w:val="24"/>
        </w:rPr>
        <w:t>,</w:t>
      </w:r>
      <w:r w:rsidRPr="009A5DC2">
        <w:rPr>
          <w:sz w:val="24"/>
        </w:rPr>
        <w:t xml:space="preserve"> </w:t>
      </w:r>
      <w:r w:rsidR="00A5146B" w:rsidRPr="009A5DC2">
        <w:rPr>
          <w:sz w:val="24"/>
        </w:rPr>
        <w:t>A</w:t>
      </w:r>
      <w:r w:rsidRPr="009A5DC2">
        <w:rPr>
          <w:sz w:val="24"/>
        </w:rPr>
        <w:t>nnexure RA9</w:t>
      </w:r>
      <w:r w:rsidR="00E1105B" w:rsidRPr="009A5DC2">
        <w:rPr>
          <w:sz w:val="24"/>
        </w:rPr>
        <w:t>,</w:t>
      </w:r>
      <w:r w:rsidRPr="009A5DC2">
        <w:rPr>
          <w:sz w:val="24"/>
        </w:rPr>
        <w:t xml:space="preserve"> he contends is a summary of </w:t>
      </w:r>
      <w:r w:rsidR="009916D2" w:rsidRPr="009A5DC2">
        <w:rPr>
          <w:sz w:val="24"/>
        </w:rPr>
        <w:tab/>
      </w:r>
      <w:r w:rsidR="009916D2" w:rsidRPr="009A5DC2">
        <w:rPr>
          <w:sz w:val="24"/>
        </w:rPr>
        <w:tab/>
      </w:r>
      <w:r w:rsidR="009916D2" w:rsidRPr="009A5DC2">
        <w:rPr>
          <w:sz w:val="24"/>
        </w:rPr>
        <w:tab/>
      </w:r>
      <w:r w:rsidRPr="009A5DC2">
        <w:rPr>
          <w:sz w:val="24"/>
        </w:rPr>
        <w:t xml:space="preserve">Polanocol expenses that were paid from Mezogen’s Nedbank account </w:t>
      </w:r>
      <w:r w:rsidR="009916D2" w:rsidRPr="009A5DC2">
        <w:rPr>
          <w:sz w:val="24"/>
        </w:rPr>
        <w:tab/>
      </w:r>
      <w:r w:rsidR="009916D2" w:rsidRPr="009A5DC2">
        <w:rPr>
          <w:sz w:val="24"/>
        </w:rPr>
        <w:tab/>
      </w:r>
      <w:r w:rsidRPr="009A5DC2">
        <w:rPr>
          <w:sz w:val="24"/>
        </w:rPr>
        <w:t xml:space="preserve">being one of Payapp’s accounts as alluded to above. Annexure RA9 he </w:t>
      </w:r>
      <w:r w:rsidR="009916D2" w:rsidRPr="009A5DC2">
        <w:rPr>
          <w:sz w:val="24"/>
        </w:rPr>
        <w:tab/>
      </w:r>
      <w:r w:rsidR="009916D2" w:rsidRPr="009A5DC2">
        <w:rPr>
          <w:sz w:val="24"/>
        </w:rPr>
        <w:tab/>
      </w:r>
      <w:r w:rsidRPr="009A5DC2">
        <w:rPr>
          <w:sz w:val="24"/>
        </w:rPr>
        <w:t xml:space="preserve">contends reflects that there is still a shortfall owing to him in the sum of </w:t>
      </w:r>
      <w:r w:rsidR="009916D2" w:rsidRPr="009A5DC2">
        <w:rPr>
          <w:sz w:val="24"/>
        </w:rPr>
        <w:tab/>
      </w:r>
      <w:r w:rsidR="009916D2" w:rsidRPr="009A5DC2">
        <w:rPr>
          <w:sz w:val="24"/>
        </w:rPr>
        <w:tab/>
      </w:r>
      <w:r w:rsidRPr="009A5DC2">
        <w:rPr>
          <w:sz w:val="24"/>
        </w:rPr>
        <w:t>R</w:t>
      </w:r>
      <w:r w:rsidR="00937A6C" w:rsidRPr="009A5DC2">
        <w:rPr>
          <w:sz w:val="24"/>
        </w:rPr>
        <w:t xml:space="preserve">2600.51. In respect of the refund of R244 169.00, Dalton attaches </w:t>
      </w:r>
      <w:r w:rsidR="009916D2" w:rsidRPr="009A5DC2">
        <w:rPr>
          <w:sz w:val="24"/>
        </w:rPr>
        <w:tab/>
      </w:r>
      <w:r w:rsidR="009916D2" w:rsidRPr="009A5DC2">
        <w:rPr>
          <w:sz w:val="24"/>
        </w:rPr>
        <w:tab/>
      </w:r>
      <w:r w:rsidR="00F70B7A" w:rsidRPr="009A5DC2">
        <w:rPr>
          <w:sz w:val="24"/>
        </w:rPr>
        <w:t xml:space="preserve"> a </w:t>
      </w:r>
      <w:r w:rsidR="00937A6C" w:rsidRPr="009A5DC2">
        <w:rPr>
          <w:sz w:val="24"/>
        </w:rPr>
        <w:t xml:space="preserve">reconciliation setting out the calculation of this amount marked RA10. </w:t>
      </w:r>
      <w:r w:rsidR="009916D2" w:rsidRPr="009A5DC2">
        <w:rPr>
          <w:sz w:val="24"/>
        </w:rPr>
        <w:tab/>
      </w:r>
      <w:r w:rsidR="009916D2" w:rsidRPr="009A5DC2">
        <w:rPr>
          <w:sz w:val="24"/>
        </w:rPr>
        <w:tab/>
      </w:r>
    </w:p>
    <w:p w:rsidR="006D32DF" w:rsidRPr="009A5DC2" w:rsidRDefault="00937A6C"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2</w:t>
      </w:r>
      <w:r w:rsidR="002975EF" w:rsidRPr="009A5DC2">
        <w:rPr>
          <w:sz w:val="24"/>
        </w:rPr>
        <w:t>]</w:t>
      </w:r>
      <w:r w:rsidR="002975EF" w:rsidRPr="009A5DC2">
        <w:rPr>
          <w:sz w:val="24"/>
        </w:rPr>
        <w:tab/>
      </w:r>
      <w:r w:rsidRPr="009A5DC2">
        <w:rPr>
          <w:sz w:val="24"/>
        </w:rPr>
        <w:t xml:space="preserve">Bartman </w:t>
      </w:r>
      <w:r w:rsidR="006514C0" w:rsidRPr="009A5DC2">
        <w:rPr>
          <w:sz w:val="24"/>
        </w:rPr>
        <w:t xml:space="preserve">moreover </w:t>
      </w:r>
      <w:r w:rsidRPr="009A5DC2">
        <w:rPr>
          <w:sz w:val="24"/>
        </w:rPr>
        <w:t>a</w:t>
      </w:r>
      <w:r w:rsidR="006514C0" w:rsidRPr="009A5DC2">
        <w:rPr>
          <w:sz w:val="24"/>
        </w:rPr>
        <w:t xml:space="preserve">vers </w:t>
      </w:r>
      <w:r w:rsidRPr="009A5DC2">
        <w:rPr>
          <w:sz w:val="24"/>
        </w:rPr>
        <w:t>that the amount of R810 0002.59 must be deducted from Dalton’s loan account by applying set-off.</w:t>
      </w:r>
      <w:r w:rsidR="006514C0" w:rsidRPr="009A5DC2">
        <w:rPr>
          <w:sz w:val="24"/>
        </w:rPr>
        <w:t xml:space="preserve"> </w:t>
      </w:r>
      <w:r w:rsidRPr="009A5DC2">
        <w:rPr>
          <w:sz w:val="24"/>
        </w:rPr>
        <w:t>Dalton denies in reply that this amount may simply be set-off against his loan account. At best for Bartman, Polanocol may have a counterclaim against him which is denied.</w:t>
      </w:r>
    </w:p>
    <w:p w:rsidR="00937A6C" w:rsidRPr="009A5DC2" w:rsidRDefault="00937A6C" w:rsidP="009A5DC2">
      <w:pPr>
        <w:pStyle w:val="NoSpacing"/>
        <w:spacing w:line="360" w:lineRule="auto"/>
      </w:pPr>
    </w:p>
    <w:p w:rsidR="00937A6C" w:rsidRPr="009A5DC2" w:rsidRDefault="00937A6C"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3</w:t>
      </w:r>
      <w:r w:rsidRPr="009A5DC2">
        <w:rPr>
          <w:sz w:val="24"/>
        </w:rPr>
        <w:t>]</w:t>
      </w:r>
      <w:r w:rsidRPr="009A5DC2">
        <w:rPr>
          <w:sz w:val="24"/>
        </w:rPr>
        <w:tab/>
        <w:t xml:space="preserve">Dalton contends that even accepting Bartman’s new allegations in his supplementary </w:t>
      </w:r>
      <w:r w:rsidR="009916D2" w:rsidRPr="009A5DC2">
        <w:rPr>
          <w:sz w:val="24"/>
        </w:rPr>
        <w:t>answering</w:t>
      </w:r>
      <w:r w:rsidRPr="009A5DC2">
        <w:rPr>
          <w:sz w:val="24"/>
        </w:rPr>
        <w:t xml:space="preserve"> affidavit, Polanocol would remain indebted to Dalton in the sum of at least R1210538.60, calculated as follows:</w:t>
      </w:r>
    </w:p>
    <w:p w:rsidR="00937A6C" w:rsidRPr="009A5DC2" w:rsidRDefault="00937A6C" w:rsidP="009A5DC2">
      <w:pPr>
        <w:spacing w:line="360" w:lineRule="auto"/>
        <w:jc w:val="both"/>
        <w:rPr>
          <w:sz w:val="24"/>
        </w:rPr>
      </w:pPr>
      <w:r w:rsidRPr="009A5DC2">
        <w:rPr>
          <w:sz w:val="24"/>
        </w:rPr>
        <w:tab/>
      </w:r>
      <w:r w:rsidR="00C640F0" w:rsidRPr="009A5DC2">
        <w:rPr>
          <w:sz w:val="24"/>
        </w:rPr>
        <w:t>41</w:t>
      </w:r>
      <w:r w:rsidRPr="009A5DC2">
        <w:rPr>
          <w:sz w:val="24"/>
        </w:rPr>
        <w:t>.1</w:t>
      </w:r>
      <w:r w:rsidRPr="009A5DC2">
        <w:rPr>
          <w:sz w:val="24"/>
        </w:rPr>
        <w:tab/>
        <w:t>Dalton’s loan account R3000000.00;</w:t>
      </w:r>
    </w:p>
    <w:p w:rsidR="00937A6C" w:rsidRPr="009A5DC2" w:rsidRDefault="00937A6C" w:rsidP="009A5DC2">
      <w:pPr>
        <w:spacing w:line="360" w:lineRule="auto"/>
        <w:jc w:val="both"/>
        <w:rPr>
          <w:sz w:val="24"/>
        </w:rPr>
      </w:pPr>
      <w:r w:rsidRPr="009A5DC2">
        <w:rPr>
          <w:sz w:val="24"/>
        </w:rPr>
        <w:tab/>
      </w:r>
      <w:r w:rsidR="00C640F0" w:rsidRPr="009A5DC2">
        <w:rPr>
          <w:sz w:val="24"/>
        </w:rPr>
        <w:t>41</w:t>
      </w:r>
      <w:r w:rsidRPr="009A5DC2">
        <w:rPr>
          <w:sz w:val="24"/>
        </w:rPr>
        <w:t>.2</w:t>
      </w:r>
      <w:r w:rsidRPr="009A5DC2">
        <w:rPr>
          <w:sz w:val="24"/>
        </w:rPr>
        <w:tab/>
        <w:t xml:space="preserve">Dalton’s personal loan account to Polanocol to finance the shortfall in </w:t>
      </w:r>
      <w:r w:rsidR="0054412A" w:rsidRPr="009A5DC2">
        <w:rPr>
          <w:sz w:val="24"/>
        </w:rPr>
        <w:tab/>
      </w:r>
      <w:r w:rsidR="0054412A" w:rsidRPr="009A5DC2">
        <w:rPr>
          <w:sz w:val="24"/>
        </w:rPr>
        <w:tab/>
      </w:r>
      <w:r w:rsidRPr="009A5DC2">
        <w:rPr>
          <w:sz w:val="24"/>
        </w:rPr>
        <w:t>the purchase price of the farm R1500000.00.</w:t>
      </w:r>
    </w:p>
    <w:p w:rsidR="00937A6C" w:rsidRPr="009A5DC2" w:rsidRDefault="00937A6C" w:rsidP="009A5DC2">
      <w:pPr>
        <w:spacing w:line="360" w:lineRule="auto"/>
        <w:jc w:val="both"/>
        <w:rPr>
          <w:sz w:val="24"/>
        </w:rPr>
      </w:pPr>
      <w:r w:rsidRPr="009A5DC2">
        <w:rPr>
          <w:sz w:val="24"/>
        </w:rPr>
        <w:tab/>
      </w:r>
      <w:r w:rsidR="00C640F0" w:rsidRPr="009A5DC2">
        <w:rPr>
          <w:sz w:val="24"/>
        </w:rPr>
        <w:t>41</w:t>
      </w:r>
      <w:r w:rsidRPr="009A5DC2">
        <w:rPr>
          <w:sz w:val="24"/>
        </w:rPr>
        <w:t>.3</w:t>
      </w:r>
      <w:r w:rsidRPr="009A5DC2">
        <w:rPr>
          <w:sz w:val="24"/>
        </w:rPr>
        <w:tab/>
        <w:t xml:space="preserve">Less the </w:t>
      </w:r>
      <w:r w:rsidR="009916D2" w:rsidRPr="009A5DC2">
        <w:rPr>
          <w:sz w:val="24"/>
        </w:rPr>
        <w:t>total</w:t>
      </w:r>
      <w:r w:rsidRPr="009A5DC2">
        <w:rPr>
          <w:sz w:val="24"/>
        </w:rPr>
        <w:t xml:space="preserve"> amount </w:t>
      </w:r>
      <w:r w:rsidR="009916D2" w:rsidRPr="009A5DC2">
        <w:rPr>
          <w:sz w:val="24"/>
        </w:rPr>
        <w:t>to</w:t>
      </w:r>
      <w:r w:rsidRPr="009A5DC2">
        <w:rPr>
          <w:sz w:val="24"/>
        </w:rPr>
        <w:t xml:space="preserve"> be deducted from the loan account on </w:t>
      </w:r>
      <w:r w:rsidR="0054412A" w:rsidRPr="009A5DC2">
        <w:rPr>
          <w:sz w:val="24"/>
        </w:rPr>
        <w:tab/>
      </w:r>
      <w:r w:rsidR="0054412A" w:rsidRPr="009A5DC2">
        <w:rPr>
          <w:sz w:val="24"/>
        </w:rPr>
        <w:tab/>
      </w:r>
      <w:r w:rsidR="0054412A" w:rsidRPr="009A5DC2">
        <w:rPr>
          <w:sz w:val="24"/>
        </w:rPr>
        <w:tab/>
      </w:r>
      <w:r w:rsidRPr="009A5DC2">
        <w:rPr>
          <w:sz w:val="24"/>
        </w:rPr>
        <w:t xml:space="preserve">Bartman’s version being payments received from Polanocol towards his </w:t>
      </w:r>
      <w:r w:rsidR="0054412A" w:rsidRPr="009A5DC2">
        <w:rPr>
          <w:sz w:val="24"/>
        </w:rPr>
        <w:tab/>
      </w:r>
      <w:r w:rsidR="0054412A" w:rsidRPr="009A5DC2">
        <w:rPr>
          <w:sz w:val="24"/>
        </w:rPr>
        <w:tab/>
      </w:r>
      <w:r w:rsidRPr="009A5DC2">
        <w:rPr>
          <w:sz w:val="24"/>
        </w:rPr>
        <w:t>loan account, being R3289461.40.</w:t>
      </w:r>
    </w:p>
    <w:p w:rsidR="00937A6C" w:rsidRPr="009A5DC2" w:rsidRDefault="00937A6C" w:rsidP="009A5DC2">
      <w:pPr>
        <w:spacing w:line="360" w:lineRule="auto"/>
        <w:jc w:val="both"/>
        <w:rPr>
          <w:sz w:val="24"/>
        </w:rPr>
      </w:pPr>
      <w:r w:rsidRPr="009A5DC2">
        <w:rPr>
          <w:sz w:val="24"/>
        </w:rPr>
        <w:tab/>
      </w:r>
      <w:r w:rsidR="00C640F0" w:rsidRPr="009A5DC2">
        <w:rPr>
          <w:sz w:val="24"/>
        </w:rPr>
        <w:t>41</w:t>
      </w:r>
      <w:r w:rsidRPr="009A5DC2">
        <w:rPr>
          <w:sz w:val="24"/>
        </w:rPr>
        <w:t>.4</w:t>
      </w:r>
      <w:r w:rsidRPr="009A5DC2">
        <w:rPr>
          <w:sz w:val="24"/>
        </w:rPr>
        <w:tab/>
        <w:t>Total R1210538.60</w:t>
      </w:r>
    </w:p>
    <w:p w:rsidR="00937A6C" w:rsidRPr="009A5DC2" w:rsidRDefault="00937A6C" w:rsidP="009A5DC2">
      <w:pPr>
        <w:pStyle w:val="NoSpacing"/>
        <w:spacing w:line="360" w:lineRule="auto"/>
      </w:pPr>
      <w:r w:rsidRPr="009A5DC2">
        <w:lastRenderedPageBreak/>
        <w:t xml:space="preserve"> </w:t>
      </w:r>
    </w:p>
    <w:p w:rsidR="00C74D0F" w:rsidRPr="009A5DC2" w:rsidRDefault="00A5146B"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4</w:t>
      </w:r>
      <w:r w:rsidRPr="009A5DC2">
        <w:rPr>
          <w:sz w:val="24"/>
        </w:rPr>
        <w:t>]</w:t>
      </w:r>
      <w:r w:rsidR="00C74D0F" w:rsidRPr="009A5DC2">
        <w:rPr>
          <w:sz w:val="24"/>
        </w:rPr>
        <w:tab/>
        <w:t xml:space="preserve">The </w:t>
      </w:r>
      <w:r w:rsidR="00F70B7A" w:rsidRPr="009A5DC2">
        <w:rPr>
          <w:sz w:val="24"/>
        </w:rPr>
        <w:t xml:space="preserve">Intervening Parties </w:t>
      </w:r>
      <w:r w:rsidR="00335318" w:rsidRPr="009A5DC2">
        <w:rPr>
          <w:sz w:val="24"/>
        </w:rPr>
        <w:t>dispute both</w:t>
      </w:r>
      <w:r w:rsidR="00F70B7A" w:rsidRPr="009A5DC2">
        <w:rPr>
          <w:sz w:val="24"/>
        </w:rPr>
        <w:t xml:space="preserve"> loans to Bartman and </w:t>
      </w:r>
      <w:r w:rsidR="00C74D0F" w:rsidRPr="009A5DC2">
        <w:rPr>
          <w:sz w:val="24"/>
        </w:rPr>
        <w:t>Dalton</w:t>
      </w:r>
      <w:r w:rsidRPr="009A5DC2">
        <w:rPr>
          <w:sz w:val="24"/>
        </w:rPr>
        <w:t>,</w:t>
      </w:r>
      <w:r w:rsidR="00C74D0F" w:rsidRPr="009A5DC2">
        <w:rPr>
          <w:sz w:val="24"/>
        </w:rPr>
        <w:t xml:space="preserve"> </w:t>
      </w:r>
      <w:r w:rsidR="007108EE">
        <w:rPr>
          <w:sz w:val="24"/>
        </w:rPr>
        <w:t xml:space="preserve">they </w:t>
      </w:r>
      <w:r w:rsidR="00C74D0F" w:rsidRPr="009A5DC2">
        <w:rPr>
          <w:sz w:val="24"/>
        </w:rPr>
        <w:t>dispute whether these are valid loans and take issue with the fact that the interest rate is not explained</w:t>
      </w:r>
      <w:r w:rsidRPr="009A5DC2">
        <w:rPr>
          <w:sz w:val="24"/>
        </w:rPr>
        <w:t>.</w:t>
      </w:r>
      <w:r w:rsidR="00C74D0F" w:rsidRPr="009A5DC2">
        <w:rPr>
          <w:sz w:val="24"/>
        </w:rPr>
        <w:t xml:space="preserve"> </w:t>
      </w:r>
      <w:r w:rsidR="001E7A9D" w:rsidRPr="009A5DC2">
        <w:rPr>
          <w:sz w:val="24"/>
        </w:rPr>
        <w:t xml:space="preserve">They contend that in February 2020 when the agreement between Bartman and Dalton was struck, Polanoncol had already taken significant amounts of investors’ money. It was not a </w:t>
      </w:r>
      <w:r w:rsidR="00335318" w:rsidRPr="009A5DC2">
        <w:rPr>
          <w:sz w:val="24"/>
        </w:rPr>
        <w:t>two-member</w:t>
      </w:r>
      <w:r w:rsidR="001E7A9D" w:rsidRPr="009A5DC2">
        <w:rPr>
          <w:sz w:val="24"/>
        </w:rPr>
        <w:t xml:space="preserve"> company in respect of which the two of them could simply assign themselves loan claims. </w:t>
      </w:r>
      <w:r w:rsidR="00C74D0F" w:rsidRPr="009A5DC2">
        <w:rPr>
          <w:sz w:val="24"/>
        </w:rPr>
        <w:t xml:space="preserve">Before any amounts are acknowledged, they contend these agreements will have to be proved and it will have to be shown that the company got value commensurate to the loans. They dispute and deny that the company has received such value and further contend that Dalton’s claim is not real. </w:t>
      </w:r>
      <w:r w:rsidR="00F70B7A" w:rsidRPr="009A5DC2">
        <w:rPr>
          <w:sz w:val="24"/>
        </w:rPr>
        <w:t xml:space="preserve">The financial statements they contend make no mention of these loans. </w:t>
      </w:r>
      <w:r w:rsidR="00C74D0F" w:rsidRPr="009A5DC2">
        <w:rPr>
          <w:sz w:val="24"/>
        </w:rPr>
        <w:t xml:space="preserve">These averments are not responded to by Dalton in reply. </w:t>
      </w:r>
    </w:p>
    <w:p w:rsidR="00937A6C" w:rsidRPr="009A5DC2" w:rsidRDefault="00937A6C" w:rsidP="009A5DC2">
      <w:pPr>
        <w:pStyle w:val="NoSpacing"/>
        <w:spacing w:line="360" w:lineRule="auto"/>
      </w:pPr>
    </w:p>
    <w:p w:rsidR="00937A6C" w:rsidRPr="009A5DC2" w:rsidRDefault="00937A6C" w:rsidP="009A5DC2">
      <w:pPr>
        <w:spacing w:line="360" w:lineRule="auto"/>
        <w:jc w:val="both"/>
        <w:rPr>
          <w:sz w:val="24"/>
          <w:u w:val="single"/>
        </w:rPr>
      </w:pPr>
      <w:r w:rsidRPr="009A5DC2">
        <w:rPr>
          <w:sz w:val="24"/>
          <w:u w:val="single"/>
        </w:rPr>
        <w:t>Polanocaol’s commercial insolvency</w:t>
      </w:r>
    </w:p>
    <w:p w:rsidR="002601A9" w:rsidRPr="009A5DC2" w:rsidRDefault="00EA6013"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5</w:t>
      </w:r>
      <w:r w:rsidRPr="009A5DC2">
        <w:rPr>
          <w:sz w:val="24"/>
        </w:rPr>
        <w:t>]</w:t>
      </w:r>
      <w:r w:rsidRPr="009A5DC2">
        <w:rPr>
          <w:sz w:val="24"/>
        </w:rPr>
        <w:tab/>
        <w:t>The</w:t>
      </w:r>
      <w:r w:rsidR="001E7A9D" w:rsidRPr="009A5DC2">
        <w:rPr>
          <w:sz w:val="24"/>
        </w:rPr>
        <w:t xml:space="preserve"> Respondents submit </w:t>
      </w:r>
      <w:r w:rsidR="002601A9" w:rsidRPr="009A5DC2">
        <w:rPr>
          <w:sz w:val="24"/>
        </w:rPr>
        <w:t xml:space="preserve">that the Applicants have attempted to supplement their case in reply by referring to Polanacol’s alleged commercial insolvency and relying on section 344(1) (c) of the 1973 Companies Act as a further ground for liquidation. They point out that Dalton makes no allegations in his founding affidavit concerning </w:t>
      </w:r>
      <w:r w:rsidR="00335318" w:rsidRPr="009A5DC2">
        <w:rPr>
          <w:sz w:val="24"/>
        </w:rPr>
        <w:t>Polanacol’s commercial</w:t>
      </w:r>
      <w:r w:rsidR="002601A9" w:rsidRPr="009A5DC2">
        <w:rPr>
          <w:sz w:val="24"/>
        </w:rPr>
        <w:t xml:space="preserve"> insolvency or even its financial affairs generally. </w:t>
      </w:r>
    </w:p>
    <w:p w:rsidR="002601A9" w:rsidRPr="009A5DC2" w:rsidRDefault="002601A9"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6</w:t>
      </w:r>
      <w:r w:rsidR="002975EF" w:rsidRPr="009A5DC2">
        <w:rPr>
          <w:sz w:val="24"/>
        </w:rPr>
        <w:t>]   The</w:t>
      </w:r>
      <w:r w:rsidR="001E7A9D" w:rsidRPr="009A5DC2">
        <w:rPr>
          <w:sz w:val="24"/>
        </w:rPr>
        <w:t xml:space="preserve"> Intervening Parties </w:t>
      </w:r>
      <w:r w:rsidR="00D97813" w:rsidRPr="009A5DC2">
        <w:rPr>
          <w:sz w:val="24"/>
        </w:rPr>
        <w:t xml:space="preserve">addressed the financial state of Polanocol in their founding affidavit pointing out  </w:t>
      </w:r>
      <w:r w:rsidRPr="009A5DC2">
        <w:rPr>
          <w:sz w:val="24"/>
        </w:rPr>
        <w:t xml:space="preserve">that </w:t>
      </w:r>
      <w:r w:rsidR="00EA6013" w:rsidRPr="009A5DC2">
        <w:rPr>
          <w:sz w:val="24"/>
        </w:rPr>
        <w:t>Polanocol’s 2022 financial statement</w:t>
      </w:r>
      <w:r w:rsidRPr="009A5DC2">
        <w:rPr>
          <w:sz w:val="24"/>
        </w:rPr>
        <w:t>s</w:t>
      </w:r>
      <w:r w:rsidR="00EA6013" w:rsidRPr="009A5DC2">
        <w:rPr>
          <w:sz w:val="24"/>
        </w:rPr>
        <w:t xml:space="preserve"> show</w:t>
      </w:r>
      <w:r w:rsidR="002975EF" w:rsidRPr="009A5DC2">
        <w:rPr>
          <w:sz w:val="24"/>
        </w:rPr>
        <w:t xml:space="preserve"> that</w:t>
      </w:r>
      <w:r w:rsidRPr="009A5DC2">
        <w:rPr>
          <w:sz w:val="24"/>
        </w:rPr>
        <w:t>:</w:t>
      </w:r>
    </w:p>
    <w:p w:rsidR="002601A9" w:rsidRPr="009A5DC2" w:rsidRDefault="002601A9" w:rsidP="009A5DC2">
      <w:pPr>
        <w:spacing w:line="360" w:lineRule="auto"/>
        <w:ind w:left="720"/>
        <w:jc w:val="both"/>
        <w:rPr>
          <w:sz w:val="24"/>
        </w:rPr>
      </w:pPr>
      <w:r w:rsidRPr="009A5DC2">
        <w:rPr>
          <w:sz w:val="24"/>
        </w:rPr>
        <w:t>Polanocol has</w:t>
      </w:r>
      <w:r w:rsidR="00EA6013" w:rsidRPr="009A5DC2">
        <w:rPr>
          <w:sz w:val="24"/>
        </w:rPr>
        <w:t xml:space="preserve"> equity of R</w:t>
      </w:r>
      <w:r w:rsidR="00335318" w:rsidRPr="009A5DC2">
        <w:rPr>
          <w:sz w:val="24"/>
        </w:rPr>
        <w:t>17,659,129.</w:t>
      </w:r>
      <w:r w:rsidR="00EA6013" w:rsidRPr="009A5DC2">
        <w:rPr>
          <w:sz w:val="24"/>
        </w:rPr>
        <w:t xml:space="preserve"> </w:t>
      </w:r>
    </w:p>
    <w:p w:rsidR="00D97813" w:rsidRPr="009A5DC2" w:rsidRDefault="00EA6013" w:rsidP="009A5DC2">
      <w:pPr>
        <w:spacing w:line="360" w:lineRule="auto"/>
        <w:ind w:left="720"/>
        <w:jc w:val="both"/>
        <w:rPr>
          <w:sz w:val="24"/>
        </w:rPr>
      </w:pPr>
      <w:r w:rsidRPr="009A5DC2">
        <w:rPr>
          <w:sz w:val="24"/>
        </w:rPr>
        <w:t xml:space="preserve">It </w:t>
      </w:r>
      <w:r w:rsidR="00335318" w:rsidRPr="009A5DC2">
        <w:rPr>
          <w:sz w:val="24"/>
        </w:rPr>
        <w:t>has sufficient</w:t>
      </w:r>
      <w:r w:rsidR="002601A9" w:rsidRPr="009A5DC2">
        <w:rPr>
          <w:sz w:val="24"/>
        </w:rPr>
        <w:t xml:space="preserve"> </w:t>
      </w:r>
      <w:r w:rsidR="00335318" w:rsidRPr="009A5DC2">
        <w:rPr>
          <w:sz w:val="24"/>
        </w:rPr>
        <w:t>cash of</w:t>
      </w:r>
      <w:r w:rsidR="00D97813" w:rsidRPr="009A5DC2">
        <w:rPr>
          <w:sz w:val="24"/>
        </w:rPr>
        <w:t xml:space="preserve"> R26 4696 </w:t>
      </w:r>
      <w:r w:rsidR="002601A9" w:rsidRPr="009A5DC2">
        <w:rPr>
          <w:sz w:val="24"/>
        </w:rPr>
        <w:t>to meet its liabilities</w:t>
      </w:r>
      <w:r w:rsidRPr="009A5DC2">
        <w:rPr>
          <w:sz w:val="24"/>
        </w:rPr>
        <w:t xml:space="preserve"> of R101, 094. </w:t>
      </w:r>
    </w:p>
    <w:p w:rsidR="00A5146B" w:rsidRPr="009A5DC2" w:rsidRDefault="00D97813" w:rsidP="009A5DC2">
      <w:pPr>
        <w:spacing w:line="360" w:lineRule="auto"/>
        <w:ind w:left="720"/>
        <w:jc w:val="both"/>
        <w:rPr>
          <w:sz w:val="24"/>
        </w:rPr>
      </w:pPr>
      <w:r w:rsidRPr="009A5DC2">
        <w:rPr>
          <w:sz w:val="24"/>
        </w:rPr>
        <w:t xml:space="preserve">Assets to the value </w:t>
      </w:r>
      <w:r w:rsidR="00335318" w:rsidRPr="009A5DC2">
        <w:rPr>
          <w:sz w:val="24"/>
        </w:rPr>
        <w:t>of R</w:t>
      </w:r>
      <w:r w:rsidRPr="009A5DC2">
        <w:rPr>
          <w:sz w:val="24"/>
        </w:rPr>
        <w:t xml:space="preserve">18 373 057. </w:t>
      </w:r>
    </w:p>
    <w:p w:rsidR="00C4071E" w:rsidRPr="009A5DC2" w:rsidRDefault="00D97813" w:rsidP="009A5DC2">
      <w:pPr>
        <w:spacing w:line="360" w:lineRule="auto"/>
        <w:ind w:left="720"/>
        <w:jc w:val="both"/>
        <w:rPr>
          <w:sz w:val="24"/>
        </w:rPr>
      </w:pPr>
      <w:r w:rsidRPr="009A5DC2">
        <w:rPr>
          <w:sz w:val="24"/>
        </w:rPr>
        <w:t xml:space="preserve">This is not replied </w:t>
      </w:r>
      <w:r w:rsidR="00335318" w:rsidRPr="009A5DC2">
        <w:rPr>
          <w:sz w:val="24"/>
        </w:rPr>
        <w:t>to. The</w:t>
      </w:r>
      <w:r w:rsidRPr="009A5DC2">
        <w:rPr>
          <w:sz w:val="24"/>
        </w:rPr>
        <w:t xml:space="preserve"> Respondents additionally point out </w:t>
      </w:r>
      <w:r w:rsidR="00335318" w:rsidRPr="009A5DC2">
        <w:rPr>
          <w:sz w:val="24"/>
        </w:rPr>
        <w:t>that Polanocol</w:t>
      </w:r>
      <w:r w:rsidRPr="009A5DC2">
        <w:rPr>
          <w:sz w:val="24"/>
        </w:rPr>
        <w:t xml:space="preserve"> has assets to the value of R18 373 057 and cannot </w:t>
      </w:r>
      <w:r w:rsidR="00EA6013" w:rsidRPr="009A5DC2">
        <w:rPr>
          <w:sz w:val="24"/>
        </w:rPr>
        <w:t>be deemed to be unable to pay its debts.</w:t>
      </w:r>
    </w:p>
    <w:p w:rsidR="000A39D9" w:rsidRPr="009A5DC2" w:rsidRDefault="000A39D9" w:rsidP="009A5DC2">
      <w:pPr>
        <w:pStyle w:val="NoSpacing"/>
        <w:spacing w:line="360" w:lineRule="auto"/>
      </w:pPr>
    </w:p>
    <w:p w:rsidR="000A39D9" w:rsidRPr="009A5DC2" w:rsidRDefault="005B4DB2" w:rsidP="009A5DC2">
      <w:pPr>
        <w:spacing w:line="360" w:lineRule="auto"/>
        <w:jc w:val="both"/>
        <w:rPr>
          <w:sz w:val="24"/>
          <w:u w:val="single"/>
        </w:rPr>
      </w:pPr>
      <w:r w:rsidRPr="009A5DC2">
        <w:rPr>
          <w:sz w:val="24"/>
          <w:u w:val="single"/>
        </w:rPr>
        <w:t>Discussion: disputes about the existence of the debts.</w:t>
      </w:r>
    </w:p>
    <w:p w:rsidR="00E7197E" w:rsidRPr="009A5DC2" w:rsidRDefault="00E7197E" w:rsidP="009A5DC2">
      <w:pPr>
        <w:spacing w:line="360" w:lineRule="auto"/>
        <w:ind w:left="720" w:hanging="720"/>
        <w:jc w:val="both"/>
        <w:rPr>
          <w:sz w:val="24"/>
        </w:rPr>
      </w:pPr>
      <w:r w:rsidRPr="009A5DC2">
        <w:rPr>
          <w:sz w:val="24"/>
        </w:rPr>
        <w:lastRenderedPageBreak/>
        <w:t>[</w:t>
      </w:r>
      <w:r w:rsidR="00C640F0" w:rsidRPr="009A5DC2">
        <w:rPr>
          <w:sz w:val="24"/>
        </w:rPr>
        <w:t>4</w:t>
      </w:r>
      <w:r w:rsidR="00335318" w:rsidRPr="009A5DC2">
        <w:rPr>
          <w:sz w:val="24"/>
        </w:rPr>
        <w:t>7</w:t>
      </w:r>
      <w:r w:rsidRPr="009A5DC2">
        <w:rPr>
          <w:sz w:val="24"/>
        </w:rPr>
        <w:t>]</w:t>
      </w:r>
      <w:r w:rsidRPr="009A5DC2">
        <w:rPr>
          <w:sz w:val="24"/>
        </w:rPr>
        <w:tab/>
      </w:r>
      <w:r w:rsidR="007E75DB" w:rsidRPr="009A5DC2">
        <w:rPr>
          <w:sz w:val="24"/>
        </w:rPr>
        <w:t>The above clearly indicates that the pleadings are replete with disputes of fac</w:t>
      </w:r>
      <w:r w:rsidR="00AC38F3">
        <w:rPr>
          <w:sz w:val="24"/>
        </w:rPr>
        <w:t>t in abundance</w:t>
      </w:r>
      <w:r w:rsidR="007E75DB" w:rsidRPr="009A5DC2">
        <w:rPr>
          <w:sz w:val="24"/>
        </w:rPr>
        <w:t xml:space="preserve"> </w:t>
      </w:r>
      <w:r w:rsidRPr="009A5DC2">
        <w:rPr>
          <w:sz w:val="24"/>
        </w:rPr>
        <w:t>These being application proceedings</w:t>
      </w:r>
      <w:r w:rsidR="00503647" w:rsidRPr="009A5DC2">
        <w:rPr>
          <w:sz w:val="24"/>
        </w:rPr>
        <w:t>,</w:t>
      </w:r>
      <w:r w:rsidRPr="009A5DC2">
        <w:rPr>
          <w:sz w:val="24"/>
        </w:rPr>
        <w:t xml:space="preserve"> the </w:t>
      </w:r>
      <w:r w:rsidRPr="009A5DC2">
        <w:rPr>
          <w:i/>
          <w:sz w:val="24"/>
        </w:rPr>
        <w:t>Plascon Evans</w:t>
      </w:r>
      <w:r w:rsidRPr="009A5DC2">
        <w:rPr>
          <w:sz w:val="24"/>
        </w:rPr>
        <w:t xml:space="preserve"> test applies.</w:t>
      </w:r>
      <w:r w:rsidRPr="009A5DC2">
        <w:rPr>
          <w:rStyle w:val="FootnoteReference"/>
          <w:sz w:val="24"/>
        </w:rPr>
        <w:footnoteReference w:id="5"/>
      </w:r>
      <w:r w:rsidRPr="009A5DC2">
        <w:rPr>
          <w:sz w:val="24"/>
        </w:rPr>
        <w:t xml:space="preserve"> It would be well to remind ourselves that the relief sought can only be granted if I am satisfied that the facts alleged by the Respondents together with the facts alleged by the Applicants which the Respondents admit, justify the relief. A denial by the Respondents may only be disregarded if I am satisfied that it does not raise a real, </w:t>
      </w:r>
      <w:r w:rsidR="002F4506" w:rsidRPr="009A5DC2">
        <w:rPr>
          <w:sz w:val="24"/>
        </w:rPr>
        <w:t xml:space="preserve">genuine or </w:t>
      </w:r>
      <w:r w:rsidR="002F4506" w:rsidRPr="009A5DC2">
        <w:rPr>
          <w:i/>
          <w:sz w:val="24"/>
        </w:rPr>
        <w:t xml:space="preserve">bona fide </w:t>
      </w:r>
      <w:r w:rsidR="002F4506" w:rsidRPr="009A5DC2">
        <w:rPr>
          <w:sz w:val="24"/>
        </w:rPr>
        <w:t>dispute of fact and I am satisfied as to the inherent credibility of the Applicant’s factual averments.</w:t>
      </w:r>
      <w:r w:rsidR="002F4506" w:rsidRPr="009A5DC2">
        <w:rPr>
          <w:rStyle w:val="FootnoteReference"/>
          <w:sz w:val="24"/>
        </w:rPr>
        <w:footnoteReference w:id="6"/>
      </w:r>
    </w:p>
    <w:p w:rsidR="002F4506" w:rsidRPr="009A5DC2" w:rsidRDefault="002F4506" w:rsidP="009A5DC2">
      <w:pPr>
        <w:pStyle w:val="NoSpacing"/>
        <w:spacing w:line="360" w:lineRule="auto"/>
      </w:pPr>
    </w:p>
    <w:p w:rsidR="00451A2F" w:rsidRPr="009A5DC2" w:rsidRDefault="002F4506" w:rsidP="009A5DC2">
      <w:pPr>
        <w:spacing w:line="360" w:lineRule="auto"/>
        <w:ind w:left="720" w:hanging="720"/>
        <w:jc w:val="both"/>
        <w:rPr>
          <w:sz w:val="24"/>
        </w:rPr>
      </w:pPr>
      <w:r w:rsidRPr="009A5DC2">
        <w:rPr>
          <w:sz w:val="24"/>
        </w:rPr>
        <w:t>[</w:t>
      </w:r>
      <w:r w:rsidR="00C640F0" w:rsidRPr="009A5DC2">
        <w:rPr>
          <w:sz w:val="24"/>
        </w:rPr>
        <w:t>4</w:t>
      </w:r>
      <w:r w:rsidR="00335318" w:rsidRPr="009A5DC2">
        <w:rPr>
          <w:sz w:val="24"/>
        </w:rPr>
        <w:t>8</w:t>
      </w:r>
      <w:r w:rsidRPr="009A5DC2">
        <w:rPr>
          <w:sz w:val="24"/>
        </w:rPr>
        <w:t>]</w:t>
      </w:r>
      <w:r w:rsidRPr="009A5DC2">
        <w:rPr>
          <w:sz w:val="24"/>
        </w:rPr>
        <w:tab/>
      </w:r>
      <w:r w:rsidR="00451A2F" w:rsidRPr="009A5DC2">
        <w:rPr>
          <w:sz w:val="24"/>
        </w:rPr>
        <w:t xml:space="preserve">In  </w:t>
      </w:r>
      <w:r w:rsidR="00451A2F" w:rsidRPr="009A5DC2">
        <w:rPr>
          <w:i/>
          <w:sz w:val="24"/>
        </w:rPr>
        <w:t>Wightman t/a JW Construction v Headfore (Pty) Ltd and another</w:t>
      </w:r>
      <w:r w:rsidR="001542E2">
        <w:rPr>
          <w:rStyle w:val="FootnoteReference"/>
          <w:i/>
          <w:sz w:val="24"/>
        </w:rPr>
        <w:footnoteReference w:id="7"/>
      </w:r>
      <w:r w:rsidR="00451A2F" w:rsidRPr="009A5DC2">
        <w:rPr>
          <w:i/>
          <w:sz w:val="24"/>
        </w:rPr>
        <w:t xml:space="preserve"> </w:t>
      </w:r>
      <w:r w:rsidR="00451A2F" w:rsidRPr="009A5DC2">
        <w:rPr>
          <w:sz w:val="24"/>
        </w:rPr>
        <w:t>at  paragraph 13  it was said:</w:t>
      </w:r>
    </w:p>
    <w:p w:rsidR="00335318" w:rsidRPr="009A5DC2" w:rsidRDefault="00335318" w:rsidP="009A5DC2">
      <w:pPr>
        <w:spacing w:line="360" w:lineRule="auto"/>
        <w:ind w:left="1440"/>
        <w:jc w:val="both"/>
        <w:rPr>
          <w:i/>
          <w:sz w:val="22"/>
          <w:szCs w:val="22"/>
        </w:rPr>
      </w:pPr>
      <w:r w:rsidRPr="009A5DC2">
        <w:rPr>
          <w:i/>
          <w:sz w:val="22"/>
          <w:szCs w:val="22"/>
        </w:rPr>
        <w:t>“A</w:t>
      </w:r>
      <w:r w:rsidR="00451A2F" w:rsidRPr="009A5DC2">
        <w:rPr>
          <w:i/>
          <w:sz w:val="22"/>
          <w:szCs w:val="22"/>
        </w:rPr>
        <w:t xml:space="preserve"> </w:t>
      </w:r>
      <w:r w:rsidRPr="009A5DC2">
        <w:rPr>
          <w:i/>
          <w:sz w:val="22"/>
          <w:szCs w:val="22"/>
        </w:rPr>
        <w:t>real,</w:t>
      </w:r>
      <w:r w:rsidR="00451A2F" w:rsidRPr="009A5DC2">
        <w:rPr>
          <w:i/>
          <w:sz w:val="22"/>
          <w:szCs w:val="22"/>
        </w:rPr>
        <w:t xml:space="preserve"> genuine and bona fide dispute of fact c</w:t>
      </w:r>
      <w:r w:rsidR="00503647" w:rsidRPr="009A5DC2">
        <w:rPr>
          <w:i/>
          <w:sz w:val="22"/>
          <w:szCs w:val="22"/>
        </w:rPr>
        <w:t>an</w:t>
      </w:r>
      <w:r w:rsidR="00451A2F" w:rsidRPr="009A5DC2">
        <w:rPr>
          <w:i/>
          <w:sz w:val="22"/>
          <w:szCs w:val="22"/>
        </w:rPr>
        <w:t xml:space="preserve"> exist only when the court is satisfied that the party who purports to raise the dispute has in his affidavit seriously and unambiguously addressed the fact said to be disputed</w:t>
      </w:r>
      <w:r w:rsidR="00DC5901" w:rsidRPr="009A5DC2">
        <w:rPr>
          <w:i/>
          <w:sz w:val="22"/>
          <w:szCs w:val="22"/>
        </w:rPr>
        <w:t>.</w:t>
      </w:r>
      <w:r w:rsidR="00451A2F" w:rsidRPr="009A5DC2">
        <w:rPr>
          <w:i/>
          <w:sz w:val="22"/>
          <w:szCs w:val="22"/>
        </w:rPr>
        <w:t>”</w:t>
      </w:r>
      <w:r w:rsidR="002F4506" w:rsidRPr="009A5DC2">
        <w:rPr>
          <w:i/>
          <w:sz w:val="22"/>
          <w:szCs w:val="22"/>
        </w:rPr>
        <w:t xml:space="preserve"> </w:t>
      </w:r>
    </w:p>
    <w:p w:rsidR="002F4506" w:rsidRPr="009A5DC2" w:rsidRDefault="002975EF" w:rsidP="009A5DC2">
      <w:pPr>
        <w:spacing w:line="360" w:lineRule="auto"/>
        <w:ind w:left="720" w:hanging="720"/>
        <w:jc w:val="both"/>
        <w:rPr>
          <w:sz w:val="24"/>
        </w:rPr>
      </w:pPr>
      <w:r w:rsidRPr="009A5DC2">
        <w:rPr>
          <w:sz w:val="24"/>
        </w:rPr>
        <w:t xml:space="preserve">           </w:t>
      </w:r>
      <w:r w:rsidR="00AC38F3">
        <w:rPr>
          <w:sz w:val="24"/>
        </w:rPr>
        <w:t>I am of the view that t</w:t>
      </w:r>
      <w:r w:rsidR="00BB3A54" w:rsidRPr="009A5DC2">
        <w:rPr>
          <w:sz w:val="24"/>
        </w:rPr>
        <w:t xml:space="preserve">he </w:t>
      </w:r>
      <w:r w:rsidR="002F4506" w:rsidRPr="009A5DC2">
        <w:rPr>
          <w:sz w:val="24"/>
        </w:rPr>
        <w:t xml:space="preserve">Respondents and </w:t>
      </w:r>
      <w:r w:rsidR="00BB3A54" w:rsidRPr="009A5DC2">
        <w:rPr>
          <w:sz w:val="24"/>
        </w:rPr>
        <w:t>I</w:t>
      </w:r>
      <w:r w:rsidR="002F4506" w:rsidRPr="009A5DC2">
        <w:rPr>
          <w:sz w:val="24"/>
        </w:rPr>
        <w:t xml:space="preserve">ntervening parties have </w:t>
      </w:r>
      <w:r w:rsidR="00BB3A54" w:rsidRPr="009A5DC2">
        <w:rPr>
          <w:sz w:val="24"/>
        </w:rPr>
        <w:t xml:space="preserve">done just so </w:t>
      </w:r>
      <w:r w:rsidR="002F4506" w:rsidRPr="009A5DC2">
        <w:rPr>
          <w:sz w:val="24"/>
        </w:rPr>
        <w:t xml:space="preserve">in </w:t>
      </w:r>
      <w:r w:rsidR="00BB3A54" w:rsidRPr="009A5DC2">
        <w:rPr>
          <w:sz w:val="24"/>
        </w:rPr>
        <w:t>respect of the facts they are disputing.</w:t>
      </w:r>
      <w:r w:rsidR="00AC38F3">
        <w:rPr>
          <w:sz w:val="24"/>
        </w:rPr>
        <w:t xml:space="preserve"> They have indeed seriously and unambiguously addressed the disputed facts pertaining to Payapp’s and Dalton’s claims against Polanocol as well as the latter’s commercial insolvency.</w:t>
      </w:r>
    </w:p>
    <w:p w:rsidR="00405238" w:rsidRPr="009A5DC2" w:rsidRDefault="00405238" w:rsidP="009A5DC2">
      <w:pPr>
        <w:pStyle w:val="NoSpacing"/>
        <w:spacing w:line="360" w:lineRule="auto"/>
      </w:pPr>
    </w:p>
    <w:p w:rsidR="00405238" w:rsidRPr="009A5DC2" w:rsidRDefault="00405238" w:rsidP="009A5DC2">
      <w:pPr>
        <w:spacing w:line="360" w:lineRule="auto"/>
        <w:ind w:left="720" w:hanging="720"/>
        <w:jc w:val="both"/>
        <w:rPr>
          <w:sz w:val="24"/>
        </w:rPr>
      </w:pPr>
      <w:r w:rsidRPr="009A5DC2">
        <w:rPr>
          <w:sz w:val="24"/>
        </w:rPr>
        <w:t>[</w:t>
      </w:r>
      <w:r w:rsidR="00335318" w:rsidRPr="009A5DC2">
        <w:rPr>
          <w:sz w:val="24"/>
        </w:rPr>
        <w:t>49</w:t>
      </w:r>
      <w:r w:rsidRPr="009A5DC2">
        <w:rPr>
          <w:sz w:val="24"/>
        </w:rPr>
        <w:t xml:space="preserve"> ]</w:t>
      </w:r>
      <w:r w:rsidRPr="009A5DC2">
        <w:rPr>
          <w:sz w:val="24"/>
        </w:rPr>
        <w:tab/>
        <w:t xml:space="preserve">In </w:t>
      </w:r>
      <w:r w:rsidRPr="009A5DC2">
        <w:rPr>
          <w:i/>
          <w:sz w:val="24"/>
        </w:rPr>
        <w:t>Badenhorst v Northern Construction Enterprises (Pty) Ltd</w:t>
      </w:r>
      <w:r w:rsidR="00777FBB">
        <w:rPr>
          <w:rStyle w:val="FootnoteReference"/>
          <w:i/>
          <w:sz w:val="24"/>
        </w:rPr>
        <w:footnoteReference w:id="8"/>
      </w:r>
      <w:r w:rsidRPr="009A5DC2">
        <w:rPr>
          <w:sz w:val="24"/>
        </w:rPr>
        <w:t xml:space="preserve">, the well-known Badenhorst rule was articulated namely, that the procedure for winding-up is not designed for the resolution of disputes over the existence or non-existence of a debt, and therefore winding-up proceedings are not appropriate, and ought not to be resorted to, in order to enforce the payment of a debt, the </w:t>
      </w:r>
      <w:r w:rsidR="00197804" w:rsidRPr="009A5DC2">
        <w:rPr>
          <w:sz w:val="24"/>
        </w:rPr>
        <w:t>existence</w:t>
      </w:r>
      <w:r w:rsidRPr="009A5DC2">
        <w:rPr>
          <w:sz w:val="24"/>
        </w:rPr>
        <w:t xml:space="preserve"> of which is </w:t>
      </w:r>
      <w:r w:rsidRPr="009A5DC2">
        <w:rPr>
          <w:i/>
          <w:sz w:val="24"/>
        </w:rPr>
        <w:t xml:space="preserve">bona fide </w:t>
      </w:r>
      <w:r w:rsidRPr="009A5DC2">
        <w:rPr>
          <w:sz w:val="24"/>
        </w:rPr>
        <w:t>disputed by the company o</w:t>
      </w:r>
      <w:r w:rsidR="00CE3F44">
        <w:rPr>
          <w:sz w:val="24"/>
        </w:rPr>
        <w:t>n</w:t>
      </w:r>
      <w:r w:rsidRPr="009A5DC2">
        <w:rPr>
          <w:sz w:val="24"/>
        </w:rPr>
        <w:t xml:space="preserve"> reasonable or substantial grounds.</w:t>
      </w:r>
    </w:p>
    <w:p w:rsidR="00405238" w:rsidRPr="009A5DC2" w:rsidRDefault="00405238" w:rsidP="009A5DC2">
      <w:pPr>
        <w:pStyle w:val="NoSpacing"/>
        <w:spacing w:line="360" w:lineRule="auto"/>
      </w:pPr>
    </w:p>
    <w:p w:rsidR="00197804" w:rsidRPr="009A5DC2" w:rsidRDefault="00405238" w:rsidP="009A5DC2">
      <w:pPr>
        <w:spacing w:line="360" w:lineRule="auto"/>
        <w:jc w:val="both"/>
        <w:rPr>
          <w:sz w:val="24"/>
        </w:rPr>
      </w:pPr>
      <w:r w:rsidRPr="009A5DC2">
        <w:rPr>
          <w:sz w:val="24"/>
        </w:rPr>
        <w:t xml:space="preserve">[ </w:t>
      </w:r>
      <w:r w:rsidR="00C640F0" w:rsidRPr="009A5DC2">
        <w:rPr>
          <w:sz w:val="24"/>
        </w:rPr>
        <w:t>5</w:t>
      </w:r>
      <w:r w:rsidR="00335318" w:rsidRPr="009A5DC2">
        <w:rPr>
          <w:sz w:val="24"/>
        </w:rPr>
        <w:t>0</w:t>
      </w:r>
      <w:r w:rsidRPr="009A5DC2">
        <w:rPr>
          <w:sz w:val="24"/>
        </w:rPr>
        <w:t>]</w:t>
      </w:r>
      <w:r w:rsidRPr="009A5DC2">
        <w:rPr>
          <w:sz w:val="24"/>
        </w:rPr>
        <w:tab/>
        <w:t xml:space="preserve"> Hi</w:t>
      </w:r>
      <w:r w:rsidR="00197804" w:rsidRPr="009A5DC2">
        <w:rPr>
          <w:sz w:val="24"/>
        </w:rPr>
        <w:t>e</w:t>
      </w:r>
      <w:r w:rsidRPr="009A5DC2">
        <w:rPr>
          <w:sz w:val="24"/>
        </w:rPr>
        <w:t>mstra, AJ stated</w:t>
      </w:r>
      <w:r w:rsidR="00FE3F99" w:rsidRPr="009A5DC2">
        <w:rPr>
          <w:sz w:val="24"/>
        </w:rPr>
        <w:t xml:space="preserve"> at</w:t>
      </w:r>
      <w:r w:rsidR="001B6928" w:rsidRPr="009A5DC2">
        <w:rPr>
          <w:sz w:val="24"/>
        </w:rPr>
        <w:t xml:space="preserve"> 347</w:t>
      </w:r>
      <w:r w:rsidR="00C640F0" w:rsidRPr="009A5DC2">
        <w:rPr>
          <w:sz w:val="24"/>
        </w:rPr>
        <w:t xml:space="preserve"> H -348C</w:t>
      </w:r>
      <w:r w:rsidR="00197804" w:rsidRPr="009A5DC2">
        <w:rPr>
          <w:sz w:val="24"/>
        </w:rPr>
        <w:t>:</w:t>
      </w:r>
    </w:p>
    <w:p w:rsidR="00405238" w:rsidRPr="009A5DC2" w:rsidRDefault="00405238" w:rsidP="009A5DC2">
      <w:pPr>
        <w:spacing w:line="360" w:lineRule="auto"/>
        <w:ind w:left="1440"/>
        <w:jc w:val="both"/>
        <w:rPr>
          <w:i/>
          <w:sz w:val="22"/>
          <w:szCs w:val="22"/>
        </w:rPr>
      </w:pPr>
      <w:r w:rsidRPr="009A5DC2">
        <w:rPr>
          <w:i/>
          <w:sz w:val="22"/>
          <w:szCs w:val="22"/>
        </w:rPr>
        <w:t>“A winding-up petition is not a legitimate means of seeking to enforce payment of a debt which is bona fide disputed by the company. A petition pre</w:t>
      </w:r>
      <w:r w:rsidR="00D90DB6">
        <w:rPr>
          <w:i/>
          <w:sz w:val="22"/>
          <w:szCs w:val="22"/>
        </w:rPr>
        <w:t>s</w:t>
      </w:r>
      <w:r w:rsidRPr="009A5DC2">
        <w:rPr>
          <w:i/>
          <w:sz w:val="22"/>
          <w:szCs w:val="22"/>
        </w:rPr>
        <w:t xml:space="preserve">ented </w:t>
      </w:r>
      <w:r w:rsidRPr="009A5DC2">
        <w:rPr>
          <w:i/>
          <w:sz w:val="22"/>
          <w:szCs w:val="22"/>
        </w:rPr>
        <w:lastRenderedPageBreak/>
        <w:t>ostensibly for a winding-up order but really to exercise pressure will be dismissed and under circumstances may be stigmatised as a scandalous abuse of the process of the Court. Some years ago petitions founded on disputed debts were directed to stand over ti</w:t>
      </w:r>
      <w:r w:rsidR="00D90DB6">
        <w:rPr>
          <w:i/>
          <w:sz w:val="22"/>
          <w:szCs w:val="22"/>
        </w:rPr>
        <w:t>l</w:t>
      </w:r>
      <w:r w:rsidRPr="009A5DC2">
        <w:rPr>
          <w:i/>
          <w:sz w:val="22"/>
          <w:szCs w:val="22"/>
        </w:rPr>
        <w:t>l the debt was established by action. If, however, there was no reason to believe that the debt</w:t>
      </w:r>
      <w:r w:rsidR="0090182A">
        <w:rPr>
          <w:i/>
          <w:sz w:val="22"/>
          <w:szCs w:val="22"/>
        </w:rPr>
        <w:t>,</w:t>
      </w:r>
      <w:r w:rsidRPr="009A5DC2">
        <w:rPr>
          <w:i/>
          <w:sz w:val="22"/>
          <w:szCs w:val="22"/>
        </w:rPr>
        <w:t xml:space="preserve"> if established, would not be paid, the petition was dismissed. The modern practice has been to dismiss such petitions. But</w:t>
      </w:r>
      <w:r w:rsidR="0090182A">
        <w:rPr>
          <w:i/>
          <w:sz w:val="22"/>
          <w:szCs w:val="22"/>
        </w:rPr>
        <w:t>,</w:t>
      </w:r>
      <w:r w:rsidRPr="009A5DC2">
        <w:rPr>
          <w:i/>
          <w:sz w:val="22"/>
          <w:szCs w:val="22"/>
        </w:rPr>
        <w:t xml:space="preserve"> of course, if the debt is not disputed on some substantial ground, the court may decide it on the petition and make the order.”</w:t>
      </w:r>
    </w:p>
    <w:p w:rsidR="00405238" w:rsidRPr="009A5DC2" w:rsidRDefault="00405238" w:rsidP="009A5DC2">
      <w:pPr>
        <w:spacing w:line="360" w:lineRule="auto"/>
        <w:jc w:val="both"/>
        <w:rPr>
          <w:sz w:val="24"/>
        </w:rPr>
      </w:pPr>
    </w:p>
    <w:p w:rsidR="00405238" w:rsidRPr="009A5DC2" w:rsidRDefault="00405238"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1</w:t>
      </w:r>
      <w:r w:rsidRPr="009A5DC2">
        <w:rPr>
          <w:sz w:val="24"/>
        </w:rPr>
        <w:t>]</w:t>
      </w:r>
      <w:r w:rsidRPr="009A5DC2">
        <w:rPr>
          <w:sz w:val="24"/>
        </w:rPr>
        <w:tab/>
        <w:t xml:space="preserve"> In </w:t>
      </w:r>
      <w:r w:rsidRPr="009A5DC2">
        <w:rPr>
          <w:i/>
          <w:sz w:val="24"/>
        </w:rPr>
        <w:t>Kalil v Decotex (Pty) Ltd and another</w:t>
      </w:r>
      <w:r w:rsidR="002C6A19">
        <w:rPr>
          <w:rStyle w:val="FootnoteReference"/>
          <w:i/>
          <w:sz w:val="24"/>
        </w:rPr>
        <w:footnoteReference w:id="9"/>
      </w:r>
      <w:r w:rsidRPr="009A5DC2">
        <w:rPr>
          <w:sz w:val="24"/>
        </w:rPr>
        <w:t>, Corbett, JA stated:</w:t>
      </w:r>
    </w:p>
    <w:p w:rsidR="00405238" w:rsidRPr="009A5DC2" w:rsidRDefault="00405238" w:rsidP="009A5DC2">
      <w:pPr>
        <w:spacing w:line="360" w:lineRule="auto"/>
        <w:ind w:left="1440"/>
        <w:jc w:val="both"/>
        <w:rPr>
          <w:i/>
          <w:sz w:val="22"/>
          <w:szCs w:val="22"/>
        </w:rPr>
      </w:pPr>
      <w:r w:rsidRPr="009A5DC2">
        <w:rPr>
          <w:i/>
          <w:sz w:val="22"/>
          <w:szCs w:val="22"/>
        </w:rPr>
        <w:t>“Consequently, where the respondent shows on a balance of probability that its indebtedness to the applicant is disputed on bona fide and reasonable grounds the Court will refuse a winding-up order. The onus on the respondent is not to show that it is not indebted to the applicant:</w:t>
      </w:r>
      <w:r w:rsidR="007B1ABC" w:rsidRPr="009A5DC2">
        <w:rPr>
          <w:i/>
          <w:sz w:val="22"/>
          <w:szCs w:val="22"/>
        </w:rPr>
        <w:t xml:space="preserve"> it is merely to show that the indebtedness is disputed on bona fide and reasonable grounds. Though not always formulated in exactly the same terms this rule appears from decisions such as Badenhorst v Northern Construction  . . . .</w:t>
      </w:r>
      <w:r w:rsidR="003869DD">
        <w:rPr>
          <w:i/>
          <w:sz w:val="22"/>
          <w:szCs w:val="22"/>
        </w:rPr>
        <w:t>F</w:t>
      </w:r>
      <w:r w:rsidR="007B1ABC" w:rsidRPr="009A5DC2">
        <w:rPr>
          <w:i/>
          <w:sz w:val="22"/>
          <w:szCs w:val="22"/>
        </w:rPr>
        <w:t>or convenience I shall refer to this as the Bandenhorst rule. This rule would tend to cut across the general approach to applications for a provisional order of winding-up which I have outlined above as it is conceivable that the situation might arise that the applicant could show a balance of probabilities in his favour on the affidavits, while at the same time the respondent established that its indebtedness to the applicant was disputed on bona fide and reasonable grounds.</w:t>
      </w:r>
      <w:r w:rsidR="00197804" w:rsidRPr="009A5DC2">
        <w:rPr>
          <w:i/>
          <w:sz w:val="22"/>
          <w:szCs w:val="22"/>
        </w:rPr>
        <w:t>”</w:t>
      </w:r>
      <w:r w:rsidR="007B1ABC" w:rsidRPr="009A5DC2">
        <w:rPr>
          <w:i/>
          <w:sz w:val="22"/>
          <w:szCs w:val="22"/>
        </w:rPr>
        <w:t xml:space="preserve"> </w:t>
      </w:r>
    </w:p>
    <w:p w:rsidR="007B1ABC" w:rsidRPr="009A5DC2" w:rsidRDefault="007B1ABC" w:rsidP="009A5DC2">
      <w:pPr>
        <w:pStyle w:val="NoSpacing"/>
        <w:spacing w:line="360" w:lineRule="auto"/>
      </w:pPr>
    </w:p>
    <w:p w:rsidR="00335318" w:rsidRPr="009A5DC2" w:rsidRDefault="00FE3F99" w:rsidP="009A5DC2">
      <w:pPr>
        <w:spacing w:line="360" w:lineRule="auto"/>
        <w:ind w:left="720" w:hanging="720"/>
        <w:jc w:val="both"/>
        <w:rPr>
          <w:sz w:val="24"/>
        </w:rPr>
      </w:pPr>
      <w:r w:rsidRPr="009A5DC2">
        <w:rPr>
          <w:iCs/>
          <w:sz w:val="22"/>
          <w:szCs w:val="22"/>
        </w:rPr>
        <w:t>[</w:t>
      </w:r>
      <w:r w:rsidR="00C640F0" w:rsidRPr="009A5DC2">
        <w:rPr>
          <w:iCs/>
          <w:sz w:val="22"/>
          <w:szCs w:val="22"/>
        </w:rPr>
        <w:t>5</w:t>
      </w:r>
      <w:r w:rsidR="00335318" w:rsidRPr="009A5DC2">
        <w:rPr>
          <w:iCs/>
          <w:sz w:val="22"/>
          <w:szCs w:val="22"/>
        </w:rPr>
        <w:t>2</w:t>
      </w:r>
      <w:r w:rsidRPr="009A5DC2">
        <w:rPr>
          <w:iCs/>
          <w:sz w:val="22"/>
          <w:szCs w:val="22"/>
        </w:rPr>
        <w:t>]</w:t>
      </w:r>
      <w:r w:rsidR="00335318" w:rsidRPr="009A5DC2">
        <w:rPr>
          <w:iCs/>
          <w:sz w:val="22"/>
          <w:szCs w:val="22"/>
        </w:rPr>
        <w:tab/>
      </w:r>
      <w:r w:rsidRPr="009A5DC2">
        <w:rPr>
          <w:iCs/>
          <w:sz w:val="24"/>
        </w:rPr>
        <w:t xml:space="preserve"> </w:t>
      </w:r>
      <w:r w:rsidR="00875F88" w:rsidRPr="009A5DC2">
        <w:rPr>
          <w:iCs/>
          <w:sz w:val="24"/>
        </w:rPr>
        <w:t xml:space="preserve">The </w:t>
      </w:r>
      <w:r w:rsidR="00335318" w:rsidRPr="009A5DC2">
        <w:rPr>
          <w:iCs/>
          <w:sz w:val="24"/>
        </w:rPr>
        <w:t>Respondents and</w:t>
      </w:r>
      <w:r w:rsidRPr="009A5DC2">
        <w:rPr>
          <w:iCs/>
          <w:sz w:val="24"/>
        </w:rPr>
        <w:t xml:space="preserve"> Intervening Parties  </w:t>
      </w:r>
      <w:r w:rsidR="00875F88" w:rsidRPr="009A5DC2">
        <w:rPr>
          <w:iCs/>
          <w:sz w:val="24"/>
        </w:rPr>
        <w:t xml:space="preserve"> have   shown on a balance of probabilit</w:t>
      </w:r>
      <w:r w:rsidRPr="009A5DC2">
        <w:rPr>
          <w:iCs/>
          <w:sz w:val="24"/>
        </w:rPr>
        <w:t xml:space="preserve">ies </w:t>
      </w:r>
      <w:r w:rsidR="00875F88" w:rsidRPr="009A5DC2">
        <w:rPr>
          <w:iCs/>
          <w:sz w:val="24"/>
        </w:rPr>
        <w:t xml:space="preserve">that </w:t>
      </w:r>
      <w:r w:rsidRPr="009A5DC2">
        <w:rPr>
          <w:iCs/>
          <w:sz w:val="24"/>
        </w:rPr>
        <w:t xml:space="preserve">their </w:t>
      </w:r>
      <w:r w:rsidR="00875F88" w:rsidRPr="009A5DC2">
        <w:rPr>
          <w:iCs/>
          <w:sz w:val="24"/>
        </w:rPr>
        <w:t xml:space="preserve">indebtedness to the </w:t>
      </w:r>
      <w:r w:rsidRPr="009A5DC2">
        <w:rPr>
          <w:iCs/>
          <w:sz w:val="24"/>
        </w:rPr>
        <w:t>A</w:t>
      </w:r>
      <w:r w:rsidR="00875F88" w:rsidRPr="009A5DC2">
        <w:rPr>
          <w:iCs/>
          <w:sz w:val="24"/>
        </w:rPr>
        <w:t>pplicant</w:t>
      </w:r>
      <w:r w:rsidRPr="009A5DC2">
        <w:rPr>
          <w:iCs/>
          <w:sz w:val="24"/>
        </w:rPr>
        <w:t>s</w:t>
      </w:r>
      <w:r w:rsidR="00875F88" w:rsidRPr="009A5DC2">
        <w:rPr>
          <w:iCs/>
          <w:sz w:val="24"/>
        </w:rPr>
        <w:t xml:space="preserve"> is disputed on bona fide and reasonable grounds.   This in my view is a classic instance </w:t>
      </w:r>
      <w:r w:rsidR="00335318" w:rsidRPr="009A5DC2">
        <w:rPr>
          <w:iCs/>
          <w:sz w:val="24"/>
        </w:rPr>
        <w:t>where winding</w:t>
      </w:r>
      <w:r w:rsidR="00875F88" w:rsidRPr="009A5DC2">
        <w:rPr>
          <w:iCs/>
          <w:sz w:val="24"/>
        </w:rPr>
        <w:t xml:space="preserve">-up </w:t>
      </w:r>
      <w:r w:rsidR="00335318" w:rsidRPr="009A5DC2">
        <w:rPr>
          <w:iCs/>
          <w:sz w:val="24"/>
        </w:rPr>
        <w:t>proceedings ought</w:t>
      </w:r>
      <w:r w:rsidR="00875F88" w:rsidRPr="009A5DC2">
        <w:rPr>
          <w:iCs/>
          <w:sz w:val="24"/>
        </w:rPr>
        <w:t xml:space="preserve"> not to </w:t>
      </w:r>
      <w:r w:rsidR="00BB3A54" w:rsidRPr="009A5DC2">
        <w:rPr>
          <w:iCs/>
          <w:sz w:val="24"/>
        </w:rPr>
        <w:t xml:space="preserve">have </w:t>
      </w:r>
      <w:r w:rsidR="00875F88" w:rsidRPr="009A5DC2">
        <w:rPr>
          <w:iCs/>
          <w:sz w:val="24"/>
        </w:rPr>
        <w:t>be</w:t>
      </w:r>
      <w:r w:rsidR="00BB3A54" w:rsidRPr="009A5DC2">
        <w:rPr>
          <w:iCs/>
          <w:sz w:val="24"/>
        </w:rPr>
        <w:t>en</w:t>
      </w:r>
      <w:r w:rsidR="00875F88" w:rsidRPr="009A5DC2">
        <w:rPr>
          <w:iCs/>
          <w:sz w:val="24"/>
        </w:rPr>
        <w:t xml:space="preserve"> resorted to, in order to enforce </w:t>
      </w:r>
      <w:r w:rsidR="00875F88" w:rsidRPr="009A5DC2">
        <w:rPr>
          <w:sz w:val="24"/>
        </w:rPr>
        <w:t xml:space="preserve">the payment </w:t>
      </w:r>
      <w:r w:rsidR="00335318" w:rsidRPr="009A5DC2">
        <w:rPr>
          <w:sz w:val="24"/>
        </w:rPr>
        <w:t>of the</w:t>
      </w:r>
      <w:r w:rsidR="00875F88" w:rsidRPr="009A5DC2">
        <w:rPr>
          <w:sz w:val="24"/>
        </w:rPr>
        <w:t xml:space="preserve"> debts in question, the existence of which </w:t>
      </w:r>
      <w:r w:rsidR="00335318" w:rsidRPr="009A5DC2">
        <w:rPr>
          <w:sz w:val="24"/>
        </w:rPr>
        <w:t>are bona</w:t>
      </w:r>
      <w:r w:rsidR="00875F88" w:rsidRPr="009A5DC2">
        <w:rPr>
          <w:i/>
          <w:sz w:val="24"/>
        </w:rPr>
        <w:t xml:space="preserve"> fide </w:t>
      </w:r>
      <w:r w:rsidR="00875F88" w:rsidRPr="009A5DC2">
        <w:rPr>
          <w:sz w:val="24"/>
        </w:rPr>
        <w:t xml:space="preserve">disputed </w:t>
      </w:r>
      <w:r w:rsidR="00335318" w:rsidRPr="009A5DC2">
        <w:rPr>
          <w:sz w:val="24"/>
        </w:rPr>
        <w:t>on substantial</w:t>
      </w:r>
      <w:r w:rsidR="00875F88" w:rsidRPr="009A5DC2">
        <w:rPr>
          <w:sz w:val="24"/>
        </w:rPr>
        <w:t xml:space="preserve"> grounds. </w:t>
      </w:r>
      <w:r w:rsidR="00BB3A54" w:rsidRPr="009A5DC2">
        <w:rPr>
          <w:sz w:val="24"/>
        </w:rPr>
        <w:t>Given the breakdown in the relationship between Dalton and Bartman, and the denial of the debts, the myriad disputes should have been foreseen and the application should not have been proceeded with.</w:t>
      </w:r>
    </w:p>
    <w:p w:rsidR="00335318" w:rsidRPr="009A5DC2" w:rsidRDefault="00335318" w:rsidP="009A5DC2">
      <w:pPr>
        <w:pStyle w:val="NoSpacing"/>
        <w:spacing w:line="360" w:lineRule="auto"/>
      </w:pPr>
    </w:p>
    <w:p w:rsidR="0000613E" w:rsidRPr="009A5DC2" w:rsidRDefault="00E64FE2" w:rsidP="009A5DC2">
      <w:pPr>
        <w:spacing w:line="360" w:lineRule="auto"/>
        <w:jc w:val="both"/>
        <w:rPr>
          <w:sz w:val="24"/>
          <w:u w:val="single"/>
        </w:rPr>
      </w:pPr>
      <w:r w:rsidRPr="009A5DC2">
        <w:rPr>
          <w:sz w:val="24"/>
          <w:u w:val="single"/>
        </w:rPr>
        <w:lastRenderedPageBreak/>
        <w:t xml:space="preserve">Just and </w:t>
      </w:r>
      <w:r w:rsidR="00785B07" w:rsidRPr="009A5DC2">
        <w:rPr>
          <w:sz w:val="24"/>
          <w:u w:val="single"/>
        </w:rPr>
        <w:t>E</w:t>
      </w:r>
      <w:r w:rsidRPr="009A5DC2">
        <w:rPr>
          <w:sz w:val="24"/>
          <w:u w:val="single"/>
        </w:rPr>
        <w:t xml:space="preserve">quitable </w:t>
      </w:r>
      <w:r w:rsidR="00785B07" w:rsidRPr="009A5DC2">
        <w:rPr>
          <w:sz w:val="24"/>
          <w:u w:val="single"/>
        </w:rPr>
        <w:t>C</w:t>
      </w:r>
      <w:r w:rsidRPr="009A5DC2">
        <w:rPr>
          <w:sz w:val="24"/>
          <w:u w:val="single"/>
        </w:rPr>
        <w:t>onsiderations</w:t>
      </w:r>
    </w:p>
    <w:p w:rsidR="00CF7A78" w:rsidRPr="009A5DC2" w:rsidRDefault="00CF7A78"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3</w:t>
      </w:r>
      <w:r w:rsidRPr="009A5DC2">
        <w:rPr>
          <w:sz w:val="24"/>
        </w:rPr>
        <w:t>]</w:t>
      </w:r>
      <w:r w:rsidRPr="009A5DC2">
        <w:rPr>
          <w:sz w:val="24"/>
        </w:rPr>
        <w:tab/>
        <w:t xml:space="preserve">The </w:t>
      </w:r>
      <w:r w:rsidR="00335318" w:rsidRPr="009A5DC2">
        <w:rPr>
          <w:sz w:val="24"/>
        </w:rPr>
        <w:t>Applicants contend</w:t>
      </w:r>
      <w:r w:rsidR="0051546E" w:rsidRPr="009A5DC2">
        <w:rPr>
          <w:sz w:val="24"/>
        </w:rPr>
        <w:t xml:space="preserve"> that </w:t>
      </w:r>
      <w:r w:rsidRPr="009A5DC2">
        <w:rPr>
          <w:sz w:val="24"/>
        </w:rPr>
        <w:t xml:space="preserve">a deadlock and a complete breakdown of the relationship between Dalton and Bartman </w:t>
      </w:r>
      <w:r w:rsidR="00335318" w:rsidRPr="009A5DC2">
        <w:rPr>
          <w:sz w:val="24"/>
        </w:rPr>
        <w:t>is sufficient</w:t>
      </w:r>
      <w:r w:rsidRPr="009A5DC2">
        <w:rPr>
          <w:sz w:val="24"/>
        </w:rPr>
        <w:t xml:space="preserve"> evidence to conclude that it </w:t>
      </w:r>
      <w:r w:rsidR="0051546E" w:rsidRPr="009A5DC2">
        <w:rPr>
          <w:sz w:val="24"/>
        </w:rPr>
        <w:t>is</w:t>
      </w:r>
      <w:r w:rsidRPr="009A5DC2">
        <w:rPr>
          <w:sz w:val="24"/>
        </w:rPr>
        <w:t xml:space="preserve"> just and equitable that Polanocol be wou</w:t>
      </w:r>
      <w:r w:rsidR="0051546E" w:rsidRPr="009A5DC2">
        <w:rPr>
          <w:sz w:val="24"/>
        </w:rPr>
        <w:t>nd</w:t>
      </w:r>
      <w:r w:rsidRPr="009A5DC2">
        <w:rPr>
          <w:sz w:val="24"/>
        </w:rPr>
        <w:t xml:space="preserve"> up. The</w:t>
      </w:r>
      <w:r w:rsidR="0051546E" w:rsidRPr="009A5DC2">
        <w:rPr>
          <w:sz w:val="24"/>
        </w:rPr>
        <w:t>y aver</w:t>
      </w:r>
      <w:r w:rsidRPr="009A5DC2">
        <w:rPr>
          <w:sz w:val="24"/>
        </w:rPr>
        <w:t xml:space="preserve">that it would be an impossible task to apportion blame for the breakdown </w:t>
      </w:r>
      <w:r w:rsidR="00785B07" w:rsidRPr="009A5DC2">
        <w:rPr>
          <w:sz w:val="24"/>
        </w:rPr>
        <w:t>of</w:t>
      </w:r>
      <w:r w:rsidRPr="009A5DC2">
        <w:rPr>
          <w:sz w:val="24"/>
        </w:rPr>
        <w:t xml:space="preserve"> Bartman and Dalton’s relationship.  </w:t>
      </w:r>
      <w:r w:rsidR="0051546E" w:rsidRPr="009A5DC2">
        <w:rPr>
          <w:sz w:val="24"/>
        </w:rPr>
        <w:t>N</w:t>
      </w:r>
      <w:r w:rsidRPr="009A5DC2">
        <w:rPr>
          <w:sz w:val="24"/>
        </w:rPr>
        <w:t>o one party</w:t>
      </w:r>
      <w:r w:rsidR="0051546E" w:rsidRPr="009A5DC2">
        <w:rPr>
          <w:sz w:val="24"/>
        </w:rPr>
        <w:t xml:space="preserve"> they say</w:t>
      </w:r>
      <w:r w:rsidRPr="009A5DC2">
        <w:rPr>
          <w:sz w:val="24"/>
        </w:rPr>
        <w:t xml:space="preserve"> is solely at </w:t>
      </w:r>
      <w:r w:rsidR="00335318" w:rsidRPr="009A5DC2">
        <w:rPr>
          <w:sz w:val="24"/>
        </w:rPr>
        <w:t>fault, and both</w:t>
      </w:r>
      <w:r w:rsidRPr="009A5DC2">
        <w:rPr>
          <w:sz w:val="24"/>
        </w:rPr>
        <w:t xml:space="preserve"> contributed to some extent to the breakdown of the relationship.</w:t>
      </w:r>
      <w:r w:rsidR="0051546E" w:rsidRPr="009A5DC2">
        <w:rPr>
          <w:sz w:val="24"/>
        </w:rPr>
        <w:t xml:space="preserve"> </w:t>
      </w:r>
      <w:r w:rsidRPr="009A5DC2">
        <w:rPr>
          <w:sz w:val="24"/>
        </w:rPr>
        <w:t>The</w:t>
      </w:r>
      <w:r w:rsidR="0051546E" w:rsidRPr="009A5DC2">
        <w:rPr>
          <w:sz w:val="24"/>
        </w:rPr>
        <w:t>y</w:t>
      </w:r>
      <w:r w:rsidRPr="009A5DC2">
        <w:rPr>
          <w:sz w:val="24"/>
        </w:rPr>
        <w:t xml:space="preserve"> characterise the relationship between these two as one of litigation and confrontation as is evidenced by interim protection orders issued against each other and the spoliation order and interim interdict Dalton obtained against </w:t>
      </w:r>
      <w:r w:rsidRPr="009A5DC2">
        <w:rPr>
          <w:i/>
          <w:sz w:val="24"/>
        </w:rPr>
        <w:t xml:space="preserve">inter alia </w:t>
      </w:r>
      <w:r w:rsidRPr="009A5DC2">
        <w:rPr>
          <w:sz w:val="24"/>
        </w:rPr>
        <w:t>Bartman.</w:t>
      </w:r>
    </w:p>
    <w:p w:rsidR="00335318" w:rsidRPr="009A5DC2" w:rsidRDefault="00335318" w:rsidP="009A5DC2">
      <w:pPr>
        <w:pStyle w:val="NoSpacing"/>
        <w:spacing w:line="360" w:lineRule="auto"/>
      </w:pPr>
    </w:p>
    <w:p w:rsidR="00BB7533" w:rsidRPr="009A5DC2" w:rsidRDefault="00BB7533"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4</w:t>
      </w:r>
      <w:r w:rsidRPr="009A5DC2">
        <w:rPr>
          <w:sz w:val="24"/>
        </w:rPr>
        <w:t>]</w:t>
      </w:r>
      <w:r w:rsidRPr="009A5DC2">
        <w:rPr>
          <w:sz w:val="24"/>
        </w:rPr>
        <w:tab/>
      </w:r>
      <w:r w:rsidR="00F71AB4" w:rsidRPr="009A5DC2">
        <w:rPr>
          <w:sz w:val="24"/>
        </w:rPr>
        <w:t xml:space="preserve"> As aforementioned, an </w:t>
      </w:r>
      <w:r w:rsidRPr="009A5DC2">
        <w:rPr>
          <w:sz w:val="24"/>
        </w:rPr>
        <w:t>Applicant who relies on justice and equity as a ground for winding-up must come to court with clean hands</w:t>
      </w:r>
      <w:r w:rsidR="00F71AB4" w:rsidRPr="009A5DC2">
        <w:rPr>
          <w:sz w:val="24"/>
        </w:rPr>
        <w:t>. I</w:t>
      </w:r>
      <w:r w:rsidRPr="009A5DC2">
        <w:rPr>
          <w:sz w:val="24"/>
        </w:rPr>
        <w:t xml:space="preserve">n </w:t>
      </w:r>
      <w:r w:rsidRPr="009A5DC2">
        <w:rPr>
          <w:i/>
          <w:sz w:val="24"/>
        </w:rPr>
        <w:t>Emphy and another v Pa</w:t>
      </w:r>
      <w:r w:rsidR="00737B8C">
        <w:rPr>
          <w:i/>
          <w:sz w:val="24"/>
        </w:rPr>
        <w:t>ce</w:t>
      </w:r>
      <w:r w:rsidRPr="009A5DC2">
        <w:rPr>
          <w:i/>
          <w:sz w:val="24"/>
        </w:rPr>
        <w:t>r Properties (Pty) Ltd</w:t>
      </w:r>
      <w:r w:rsidR="00737B8C">
        <w:rPr>
          <w:rStyle w:val="FootnoteReference"/>
          <w:i/>
          <w:sz w:val="24"/>
        </w:rPr>
        <w:footnoteReference w:id="10"/>
      </w:r>
      <w:r w:rsidRPr="009A5DC2">
        <w:rPr>
          <w:sz w:val="24"/>
        </w:rPr>
        <w:t xml:space="preserve">) </w:t>
      </w:r>
      <w:r w:rsidR="00F71AB4" w:rsidRPr="009A5DC2">
        <w:rPr>
          <w:sz w:val="24"/>
        </w:rPr>
        <w:t xml:space="preserve">it was said </w:t>
      </w:r>
      <w:r w:rsidRPr="009A5DC2">
        <w:rPr>
          <w:sz w:val="24"/>
        </w:rPr>
        <w:t>at 36</w:t>
      </w:r>
      <w:r w:rsidR="00AA4038">
        <w:rPr>
          <w:sz w:val="24"/>
        </w:rPr>
        <w:t>8</w:t>
      </w:r>
      <w:r w:rsidR="00DB1343">
        <w:rPr>
          <w:sz w:val="24"/>
        </w:rPr>
        <w:t>G-</w:t>
      </w:r>
      <w:r w:rsidR="00D85416">
        <w:rPr>
          <w:sz w:val="24"/>
        </w:rPr>
        <w:t>369A</w:t>
      </w:r>
      <w:r w:rsidR="00F71AB4" w:rsidRPr="009A5DC2">
        <w:rPr>
          <w:sz w:val="24"/>
        </w:rPr>
        <w:t>:</w:t>
      </w:r>
    </w:p>
    <w:p w:rsidR="001663DE" w:rsidRPr="009A5DC2" w:rsidRDefault="00BB7533" w:rsidP="009A5DC2">
      <w:pPr>
        <w:spacing w:line="360" w:lineRule="auto"/>
        <w:ind w:left="1440"/>
        <w:jc w:val="both"/>
        <w:rPr>
          <w:i/>
          <w:sz w:val="22"/>
          <w:szCs w:val="22"/>
        </w:rPr>
      </w:pPr>
      <w:r w:rsidRPr="009A5DC2">
        <w:rPr>
          <w:i/>
          <w:sz w:val="22"/>
          <w:szCs w:val="22"/>
        </w:rPr>
        <w:t xml:space="preserve">“A petitioner who relies on the just and equitable clause must come to court with clean hands: if the breakdown in confidence between him and the other parties to the dispute appears to have been due to his misconduct he cannot insist on the company </w:t>
      </w:r>
      <w:r w:rsidR="001663DE" w:rsidRPr="009A5DC2">
        <w:rPr>
          <w:i/>
          <w:sz w:val="22"/>
          <w:szCs w:val="22"/>
        </w:rPr>
        <w:t xml:space="preserve">being wound up if they wish to continue…the impossibility must not be caused by the person seeking to take advantage of it. </w:t>
      </w:r>
    </w:p>
    <w:p w:rsidR="001663DE" w:rsidRPr="009A5DC2" w:rsidRDefault="001663DE" w:rsidP="009A5DC2">
      <w:pPr>
        <w:spacing w:line="360" w:lineRule="auto"/>
        <w:ind w:left="720"/>
        <w:jc w:val="both"/>
        <w:rPr>
          <w:i/>
          <w:sz w:val="22"/>
          <w:szCs w:val="22"/>
        </w:rPr>
      </w:pPr>
    </w:p>
    <w:p w:rsidR="001663DE" w:rsidRPr="009A5DC2" w:rsidRDefault="001663DE" w:rsidP="009A5DC2">
      <w:pPr>
        <w:spacing w:line="360" w:lineRule="auto"/>
        <w:ind w:left="1440"/>
        <w:jc w:val="both"/>
        <w:rPr>
          <w:i/>
          <w:sz w:val="22"/>
          <w:szCs w:val="22"/>
        </w:rPr>
      </w:pPr>
      <w:r w:rsidRPr="009A5DC2">
        <w:rPr>
          <w:i/>
          <w:sz w:val="22"/>
          <w:szCs w:val="22"/>
        </w:rPr>
        <w:t>. . . an applicant that relies on the just and equitable provision must not have been wrongfully responsible for the situation which has arisen</w:t>
      </w:r>
      <w:r w:rsidR="00DB1343">
        <w:rPr>
          <w:i/>
          <w:sz w:val="22"/>
          <w:szCs w:val="22"/>
        </w:rPr>
        <w:t>…</w:t>
      </w:r>
      <w:r w:rsidRPr="009A5DC2">
        <w:rPr>
          <w:i/>
          <w:sz w:val="22"/>
          <w:szCs w:val="22"/>
        </w:rPr>
        <w:t xml:space="preserve"> I am satisfied that the mere existence of a deadlock does </w:t>
      </w:r>
      <w:r w:rsidR="00E40F0D" w:rsidRPr="009A5DC2">
        <w:rPr>
          <w:i/>
          <w:sz w:val="22"/>
          <w:szCs w:val="22"/>
        </w:rPr>
        <w:t>not per</w:t>
      </w:r>
      <w:r w:rsidRPr="009A5DC2">
        <w:rPr>
          <w:i/>
          <w:sz w:val="22"/>
          <w:szCs w:val="22"/>
        </w:rPr>
        <w:t xml:space="preserve"> se entitle an applicant to a winding-up order under the just and equitable provision. What requires to be emphasised is that the court is concerned with what is just and equitable and not whether there is a deadlock or not.”</w:t>
      </w:r>
    </w:p>
    <w:p w:rsidR="00155FA7" w:rsidRPr="009A5DC2" w:rsidRDefault="00155FA7" w:rsidP="009A5DC2">
      <w:pPr>
        <w:spacing w:line="360" w:lineRule="auto"/>
        <w:ind w:left="1440"/>
        <w:jc w:val="both"/>
        <w:rPr>
          <w:i/>
          <w:sz w:val="22"/>
          <w:szCs w:val="22"/>
        </w:rPr>
      </w:pPr>
    </w:p>
    <w:p w:rsidR="001663DE" w:rsidRPr="009A5DC2" w:rsidRDefault="00785B07"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5</w:t>
      </w:r>
      <w:r w:rsidRPr="009A5DC2">
        <w:rPr>
          <w:sz w:val="24"/>
        </w:rPr>
        <w:t xml:space="preserve">] </w:t>
      </w:r>
      <w:r w:rsidR="00335318" w:rsidRPr="009A5DC2">
        <w:rPr>
          <w:sz w:val="24"/>
        </w:rPr>
        <w:tab/>
      </w:r>
      <w:r w:rsidR="001663DE" w:rsidRPr="009A5DC2">
        <w:rPr>
          <w:sz w:val="24"/>
        </w:rPr>
        <w:t xml:space="preserve">The Respondents contend that Dalton was the cause of the breakdown and therefore is not approaching the court with clean hands. In this regard they contend that Dalton purported to remove Bartman as vice president after declaring himself president of the self-sustaining community, Dalton formed a </w:t>
      </w:r>
      <w:r w:rsidR="001663DE" w:rsidRPr="009A5DC2">
        <w:rPr>
          <w:sz w:val="24"/>
        </w:rPr>
        <w:lastRenderedPageBreak/>
        <w:t>faction with several Dalton investors and residents and they did everything in their power to make life on Bartman as difficult as possible, Dalton backdated and executed a loan agreement on behalf of Polanocol when he had no authority to do so.</w:t>
      </w:r>
      <w:r w:rsidR="00335318" w:rsidRPr="009A5DC2">
        <w:rPr>
          <w:sz w:val="24"/>
        </w:rPr>
        <w:t xml:space="preserve"> </w:t>
      </w:r>
      <w:r w:rsidR="001663DE" w:rsidRPr="009A5DC2">
        <w:rPr>
          <w:sz w:val="24"/>
        </w:rPr>
        <w:t xml:space="preserve">This is disputed by </w:t>
      </w:r>
      <w:r w:rsidR="00335318" w:rsidRPr="009A5DC2">
        <w:rPr>
          <w:sz w:val="24"/>
        </w:rPr>
        <w:t>Dalton who</w:t>
      </w:r>
      <w:r w:rsidR="00D50D98" w:rsidRPr="009A5DC2">
        <w:rPr>
          <w:sz w:val="24"/>
        </w:rPr>
        <w:t xml:space="preserve"> however concedes</w:t>
      </w:r>
      <w:r w:rsidR="001663DE" w:rsidRPr="009A5DC2">
        <w:rPr>
          <w:sz w:val="24"/>
        </w:rPr>
        <w:t xml:space="preserve"> that it is impossible to apportion blame between him and Bartman, some blame does attach to him. </w:t>
      </w:r>
    </w:p>
    <w:p w:rsidR="00335318" w:rsidRPr="009A5DC2" w:rsidRDefault="00335318" w:rsidP="009A5DC2">
      <w:pPr>
        <w:pStyle w:val="NoSpacing"/>
        <w:spacing w:line="360" w:lineRule="auto"/>
      </w:pPr>
    </w:p>
    <w:p w:rsidR="002A086B" w:rsidRPr="009A5DC2" w:rsidRDefault="002A086B"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6</w:t>
      </w:r>
      <w:r w:rsidRPr="009A5DC2">
        <w:rPr>
          <w:sz w:val="24"/>
        </w:rPr>
        <w:t>]</w:t>
      </w:r>
      <w:r w:rsidRPr="009A5DC2">
        <w:rPr>
          <w:sz w:val="24"/>
        </w:rPr>
        <w:tab/>
      </w:r>
      <w:r w:rsidR="00D50D98" w:rsidRPr="009A5DC2">
        <w:rPr>
          <w:sz w:val="24"/>
        </w:rPr>
        <w:t xml:space="preserve">As stated in </w:t>
      </w:r>
      <w:r w:rsidR="00D50D98" w:rsidRPr="009A5DC2">
        <w:rPr>
          <w:i/>
          <w:iCs/>
          <w:sz w:val="24"/>
        </w:rPr>
        <w:t>Emphy</w:t>
      </w:r>
      <w:r w:rsidR="00D50D98" w:rsidRPr="009A5DC2">
        <w:rPr>
          <w:sz w:val="24"/>
        </w:rPr>
        <w:t xml:space="preserve"> </w:t>
      </w:r>
      <w:r w:rsidR="00D50D98" w:rsidRPr="009A5DC2">
        <w:rPr>
          <w:i/>
          <w:iCs/>
          <w:sz w:val="24"/>
        </w:rPr>
        <w:t>supra</w:t>
      </w:r>
      <w:r w:rsidR="00D50D98" w:rsidRPr="009A5DC2">
        <w:rPr>
          <w:sz w:val="24"/>
        </w:rPr>
        <w:t>,</w:t>
      </w:r>
      <w:r w:rsidR="00AB5841">
        <w:rPr>
          <w:sz w:val="24"/>
        </w:rPr>
        <w:t xml:space="preserve"> </w:t>
      </w:r>
      <w:r w:rsidR="00D50D98" w:rsidRPr="009A5DC2">
        <w:rPr>
          <w:sz w:val="24"/>
        </w:rPr>
        <w:t>the mere existence of a deadlock is not sufficient for a winding up order. What I am required to be concerned with,</w:t>
      </w:r>
      <w:r w:rsidRPr="009A5DC2">
        <w:rPr>
          <w:sz w:val="24"/>
        </w:rPr>
        <w:t xml:space="preserve"> is what is just and equitable</w:t>
      </w:r>
      <w:r w:rsidR="004311B6">
        <w:rPr>
          <w:sz w:val="24"/>
        </w:rPr>
        <w:t xml:space="preserve"> and</w:t>
      </w:r>
      <w:r w:rsidRPr="009A5DC2">
        <w:rPr>
          <w:sz w:val="24"/>
        </w:rPr>
        <w:t xml:space="preserve"> not </w:t>
      </w:r>
      <w:r w:rsidR="00AC38F3">
        <w:rPr>
          <w:sz w:val="24"/>
        </w:rPr>
        <w:t xml:space="preserve"> only </w:t>
      </w:r>
      <w:r w:rsidRPr="009A5DC2">
        <w:rPr>
          <w:sz w:val="24"/>
        </w:rPr>
        <w:t>whether there is a deadlock between Dalton and Bartman</w:t>
      </w:r>
      <w:r w:rsidR="00AC38F3">
        <w:rPr>
          <w:sz w:val="24"/>
        </w:rPr>
        <w:t>, the mere existence of which</w:t>
      </w:r>
      <w:r w:rsidR="004311B6">
        <w:rPr>
          <w:sz w:val="24"/>
        </w:rPr>
        <w:t xml:space="preserve">, </w:t>
      </w:r>
      <w:r w:rsidR="00AC38F3">
        <w:rPr>
          <w:sz w:val="24"/>
        </w:rPr>
        <w:t>per se does not entitle the Applicants to a windin</w:t>
      </w:r>
      <w:r w:rsidR="004311B6">
        <w:rPr>
          <w:sz w:val="24"/>
        </w:rPr>
        <w:t>g</w:t>
      </w:r>
      <w:r w:rsidR="00AC38F3">
        <w:rPr>
          <w:sz w:val="24"/>
        </w:rPr>
        <w:t xml:space="preserve"> up order.</w:t>
      </w:r>
      <w:r w:rsidRPr="009A5DC2">
        <w:rPr>
          <w:sz w:val="24"/>
        </w:rPr>
        <w:t xml:space="preserve"> </w:t>
      </w:r>
      <w:r w:rsidR="00D50D98" w:rsidRPr="009A5DC2">
        <w:rPr>
          <w:sz w:val="24"/>
        </w:rPr>
        <w:t xml:space="preserve"> </w:t>
      </w:r>
      <w:r w:rsidRPr="009A5DC2">
        <w:rPr>
          <w:sz w:val="24"/>
        </w:rPr>
        <w:t>In this regard, the pleadings illustrate that Polanocol is not a small company akin to a partnership between Dalton and Bartman. It is a company with several investors to whom shares have been sold, with whom shareholder agreements have been concluded and share certificates issued, in return for a place to live as part of a community on the farm Dalbarton. The founding affidavit of Nortje in the Intervening Application aptly states that their lives should not be held hostage to the disagreements between Dalton and Bartman.  As is contended by the Intervening parties,</w:t>
      </w:r>
      <w:r w:rsidR="0051546E" w:rsidRPr="009A5DC2">
        <w:rPr>
          <w:sz w:val="24"/>
        </w:rPr>
        <w:t xml:space="preserve"> </w:t>
      </w:r>
      <w:r w:rsidRPr="009A5DC2">
        <w:rPr>
          <w:sz w:val="24"/>
        </w:rPr>
        <w:t>no case is made out that the community is divided and cannot survive</w:t>
      </w:r>
      <w:r w:rsidR="0051546E" w:rsidRPr="009A5DC2">
        <w:rPr>
          <w:sz w:val="24"/>
        </w:rPr>
        <w:t>.</w:t>
      </w:r>
      <w:r w:rsidRPr="009A5DC2">
        <w:rPr>
          <w:sz w:val="24"/>
        </w:rPr>
        <w:t xml:space="preserve"> </w:t>
      </w:r>
      <w:r w:rsidR="0051546E" w:rsidRPr="009A5DC2">
        <w:rPr>
          <w:sz w:val="24"/>
        </w:rPr>
        <w:t>I</w:t>
      </w:r>
      <w:r w:rsidRPr="009A5DC2">
        <w:rPr>
          <w:sz w:val="24"/>
        </w:rPr>
        <w:t>t is only the relationship between Bartm</w:t>
      </w:r>
      <w:r w:rsidR="00D50D98" w:rsidRPr="009A5DC2">
        <w:rPr>
          <w:sz w:val="24"/>
        </w:rPr>
        <w:t>an</w:t>
      </w:r>
      <w:r w:rsidRPr="009A5DC2">
        <w:rPr>
          <w:sz w:val="24"/>
        </w:rPr>
        <w:t xml:space="preserve"> and Dalton that is identified as problematic. I agree that to simply ignore these facts and conclude that because of the disagreements and disputes between Dalton and Bartman, the company should be wound up, would be an act </w:t>
      </w:r>
      <w:r w:rsidR="00335318" w:rsidRPr="009A5DC2">
        <w:rPr>
          <w:sz w:val="24"/>
        </w:rPr>
        <w:t>of injustice</w:t>
      </w:r>
      <w:r w:rsidRPr="009A5DC2">
        <w:rPr>
          <w:sz w:val="24"/>
        </w:rPr>
        <w:t xml:space="preserve"> and inequality.</w:t>
      </w:r>
    </w:p>
    <w:p w:rsidR="009A5DC2" w:rsidRPr="009A5DC2" w:rsidRDefault="009A5DC2" w:rsidP="009A5DC2">
      <w:pPr>
        <w:pStyle w:val="NoSpacing"/>
        <w:spacing w:line="360" w:lineRule="auto"/>
      </w:pPr>
    </w:p>
    <w:p w:rsidR="001663DE" w:rsidRPr="009A5DC2" w:rsidRDefault="002A086B" w:rsidP="009A5DC2">
      <w:pPr>
        <w:spacing w:line="360" w:lineRule="auto"/>
        <w:ind w:left="720" w:hanging="720"/>
        <w:jc w:val="both"/>
        <w:rPr>
          <w:sz w:val="24"/>
        </w:rPr>
      </w:pPr>
      <w:r w:rsidRPr="009A5DC2">
        <w:rPr>
          <w:sz w:val="24"/>
        </w:rPr>
        <w:t>[</w:t>
      </w:r>
      <w:r w:rsidR="00C640F0" w:rsidRPr="009A5DC2">
        <w:rPr>
          <w:sz w:val="24"/>
        </w:rPr>
        <w:t>5</w:t>
      </w:r>
      <w:r w:rsidR="00335318" w:rsidRPr="009A5DC2">
        <w:rPr>
          <w:sz w:val="24"/>
        </w:rPr>
        <w:t>7</w:t>
      </w:r>
      <w:r w:rsidRPr="009A5DC2">
        <w:rPr>
          <w:sz w:val="24"/>
        </w:rPr>
        <w:t xml:space="preserve">] </w:t>
      </w:r>
      <w:r w:rsidR="002975EF" w:rsidRPr="009A5DC2">
        <w:rPr>
          <w:sz w:val="24"/>
        </w:rPr>
        <w:t xml:space="preserve">   </w:t>
      </w:r>
      <w:r w:rsidRPr="009A5DC2">
        <w:rPr>
          <w:sz w:val="24"/>
        </w:rPr>
        <w:t xml:space="preserve">In view of all of the </w:t>
      </w:r>
      <w:r w:rsidR="00335318" w:rsidRPr="009A5DC2">
        <w:rPr>
          <w:sz w:val="24"/>
        </w:rPr>
        <w:t>above the</w:t>
      </w:r>
      <w:r w:rsidRPr="009A5DC2">
        <w:rPr>
          <w:sz w:val="24"/>
        </w:rPr>
        <w:t xml:space="preserve"> Applicants have not made out a proper case for </w:t>
      </w:r>
      <w:r w:rsidR="002975EF" w:rsidRPr="009A5DC2">
        <w:rPr>
          <w:sz w:val="24"/>
        </w:rPr>
        <w:t>the winding</w:t>
      </w:r>
      <w:r w:rsidRPr="009A5DC2">
        <w:rPr>
          <w:sz w:val="24"/>
        </w:rPr>
        <w:t xml:space="preserve"> up of Polanocol. I grant the following order:</w:t>
      </w:r>
    </w:p>
    <w:p w:rsidR="002A086B" w:rsidRPr="009A5DC2" w:rsidRDefault="004F5BAA" w:rsidP="009A5DC2">
      <w:pPr>
        <w:spacing w:line="360" w:lineRule="auto"/>
        <w:ind w:left="720"/>
        <w:jc w:val="both"/>
        <w:rPr>
          <w:sz w:val="24"/>
        </w:rPr>
      </w:pPr>
      <w:r w:rsidRPr="009A5DC2">
        <w:rPr>
          <w:sz w:val="24"/>
        </w:rPr>
        <w:t>1.</w:t>
      </w:r>
      <w:r w:rsidR="002A086B" w:rsidRPr="009A5DC2">
        <w:rPr>
          <w:sz w:val="24"/>
        </w:rPr>
        <w:t xml:space="preserve">The </w:t>
      </w:r>
      <w:r w:rsidR="00335318" w:rsidRPr="009A5DC2">
        <w:rPr>
          <w:sz w:val="24"/>
        </w:rPr>
        <w:t>Application is</w:t>
      </w:r>
      <w:r w:rsidR="002A086B" w:rsidRPr="009A5DC2">
        <w:rPr>
          <w:sz w:val="24"/>
        </w:rPr>
        <w:t xml:space="preserve"> dismissed</w:t>
      </w:r>
    </w:p>
    <w:p w:rsidR="004F5BAA" w:rsidRPr="009A5DC2" w:rsidRDefault="004F5BAA" w:rsidP="009A5DC2">
      <w:pPr>
        <w:spacing w:line="360" w:lineRule="auto"/>
        <w:ind w:left="720"/>
        <w:jc w:val="both"/>
        <w:rPr>
          <w:sz w:val="24"/>
        </w:rPr>
      </w:pPr>
      <w:r w:rsidRPr="009A5DC2">
        <w:rPr>
          <w:sz w:val="24"/>
        </w:rPr>
        <w:t>2. The Provisional Order of Liquidation is discharged;</w:t>
      </w:r>
    </w:p>
    <w:p w:rsidR="004F5BAA" w:rsidRPr="009A5DC2" w:rsidRDefault="004F5BAA" w:rsidP="00DA097A">
      <w:pPr>
        <w:spacing w:line="360" w:lineRule="auto"/>
        <w:ind w:left="1134" w:hanging="283"/>
        <w:jc w:val="both"/>
        <w:rPr>
          <w:sz w:val="24"/>
        </w:rPr>
      </w:pPr>
      <w:r w:rsidRPr="009A5DC2">
        <w:rPr>
          <w:sz w:val="24"/>
        </w:rPr>
        <w:t>3. The Applicants shall pay the costs of the First and Second Respondents and</w:t>
      </w:r>
      <w:r w:rsidR="00A67CBA">
        <w:rPr>
          <w:sz w:val="24"/>
        </w:rPr>
        <w:t xml:space="preserve"> </w:t>
      </w:r>
      <w:r w:rsidRPr="009A5DC2">
        <w:rPr>
          <w:sz w:val="24"/>
        </w:rPr>
        <w:t>the costs of the Intervening Parties on the scale as between party and party.</w:t>
      </w:r>
    </w:p>
    <w:p w:rsidR="004F5BAA" w:rsidRDefault="004F5BAA" w:rsidP="0054412A">
      <w:pPr>
        <w:spacing w:line="480" w:lineRule="auto"/>
        <w:jc w:val="both"/>
        <w:rPr>
          <w:sz w:val="24"/>
        </w:rPr>
      </w:pPr>
    </w:p>
    <w:p w:rsidR="001663DE" w:rsidRDefault="00B617D0" w:rsidP="0054412A">
      <w:pPr>
        <w:spacing w:line="480" w:lineRule="auto"/>
        <w:jc w:val="both"/>
        <w:rPr>
          <w:sz w:val="24"/>
        </w:rPr>
      </w:pPr>
      <w:r>
        <w:rPr>
          <w:sz w:val="24"/>
        </w:rPr>
        <w:lastRenderedPageBreak/>
        <w:tab/>
      </w:r>
      <w:r>
        <w:rPr>
          <w:sz w:val="24"/>
        </w:rPr>
        <w:tab/>
      </w:r>
      <w:r>
        <w:rPr>
          <w:sz w:val="24"/>
        </w:rPr>
        <w:tab/>
      </w:r>
      <w:r>
        <w:rPr>
          <w:sz w:val="24"/>
        </w:rPr>
        <w:tab/>
      </w:r>
      <w:r>
        <w:rPr>
          <w:sz w:val="24"/>
        </w:rPr>
        <w:tab/>
      </w:r>
      <w:r>
        <w:rPr>
          <w:sz w:val="24"/>
        </w:rPr>
        <w:tab/>
      </w:r>
      <w:r>
        <w:rPr>
          <w:sz w:val="24"/>
        </w:rPr>
        <w:tab/>
      </w:r>
    </w:p>
    <w:p w:rsidR="00335318" w:rsidRDefault="00335318" w:rsidP="00B617D0">
      <w:pPr>
        <w:spacing w:line="480" w:lineRule="auto"/>
        <w:jc w:val="right"/>
        <w:rPr>
          <w:b/>
          <w:sz w:val="24"/>
        </w:rPr>
      </w:pPr>
      <w:r>
        <w:rPr>
          <w:sz w:val="24"/>
        </w:rPr>
        <w:tab/>
      </w:r>
      <w:r>
        <w:rPr>
          <w:sz w:val="24"/>
        </w:rPr>
        <w:tab/>
      </w:r>
      <w:r>
        <w:rPr>
          <w:sz w:val="24"/>
        </w:rPr>
        <w:tab/>
      </w:r>
      <w:r>
        <w:rPr>
          <w:sz w:val="24"/>
        </w:rPr>
        <w:tab/>
      </w:r>
      <w:r>
        <w:rPr>
          <w:sz w:val="24"/>
        </w:rPr>
        <w:tab/>
      </w:r>
      <w:r>
        <w:rPr>
          <w:sz w:val="24"/>
        </w:rPr>
        <w:tab/>
      </w:r>
      <w:r>
        <w:rPr>
          <w:sz w:val="24"/>
        </w:rPr>
        <w:tab/>
      </w:r>
      <w:r w:rsidR="00B617D0">
        <w:rPr>
          <w:sz w:val="24"/>
        </w:rPr>
        <w:t xml:space="preserve">                              </w:t>
      </w:r>
      <w:r w:rsidR="00B617D0">
        <w:rPr>
          <w:noProof/>
          <w:lang w:val="en-US"/>
        </w:rPr>
        <w:drawing>
          <wp:inline distT="0" distB="0" distL="0" distR="0" wp14:anchorId="55606E23" wp14:editId="6F6E1B97">
            <wp:extent cx="1146175"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572770"/>
                    </a:xfrm>
                    <a:prstGeom prst="rect">
                      <a:avLst/>
                    </a:prstGeom>
                    <a:noFill/>
                  </pic:spPr>
                </pic:pic>
              </a:graphicData>
            </a:graphic>
          </wp:inline>
        </w:drawing>
      </w:r>
      <w:r>
        <w:rPr>
          <w:sz w:val="24"/>
        </w:rPr>
        <w:tab/>
      </w:r>
      <w:r>
        <w:rPr>
          <w:sz w:val="24"/>
        </w:rPr>
        <w:tab/>
      </w:r>
      <w:r>
        <w:rPr>
          <w:sz w:val="24"/>
        </w:rPr>
        <w:tab/>
      </w:r>
      <w:r>
        <w:rPr>
          <w:sz w:val="24"/>
        </w:rPr>
        <w:tab/>
      </w:r>
      <w:r>
        <w:rPr>
          <w:sz w:val="24"/>
        </w:rPr>
        <w:tab/>
      </w:r>
      <w:r>
        <w:rPr>
          <w:sz w:val="24"/>
        </w:rPr>
        <w:tab/>
      </w:r>
      <w:r>
        <w:rPr>
          <w:sz w:val="24"/>
        </w:rPr>
        <w:tab/>
      </w:r>
      <w:r>
        <w:rPr>
          <w:b/>
          <w:sz w:val="24"/>
        </w:rPr>
        <w:t>MEER, J</w:t>
      </w:r>
    </w:p>
    <w:p w:rsidR="00B617D0" w:rsidRDefault="00B617D0" w:rsidP="00B617D0">
      <w:pPr>
        <w:spacing w:line="480" w:lineRule="auto"/>
        <w:jc w:val="right"/>
        <w:rPr>
          <w:b/>
          <w:sz w:val="24"/>
        </w:rPr>
      </w:pPr>
    </w:p>
    <w:p w:rsidR="00B617D0" w:rsidRPr="00335318" w:rsidRDefault="00335318" w:rsidP="00FE733B">
      <w:pPr>
        <w:spacing w:line="480" w:lineRule="auto"/>
        <w:jc w:val="both"/>
        <w:rPr>
          <w:sz w:val="24"/>
          <w:lang w:val="en-US"/>
        </w:rPr>
      </w:pPr>
      <w:r w:rsidRPr="00335318">
        <w:rPr>
          <w:sz w:val="24"/>
          <w:u w:val="single"/>
          <w:lang w:val="en-US"/>
        </w:rPr>
        <w:t>Adv for Applicant:</w:t>
      </w:r>
      <w:r w:rsidRPr="00335318">
        <w:rPr>
          <w:sz w:val="24"/>
          <w:lang w:val="en-US"/>
        </w:rPr>
        <w:tab/>
      </w:r>
      <w:r w:rsidRPr="00335318">
        <w:rPr>
          <w:sz w:val="24"/>
          <w:lang w:val="en-US"/>
        </w:rPr>
        <w:tab/>
      </w:r>
      <w:r>
        <w:rPr>
          <w:sz w:val="24"/>
          <w:lang w:val="en-US"/>
        </w:rPr>
        <w:tab/>
      </w:r>
      <w:r w:rsidRPr="00335318">
        <w:rPr>
          <w:b/>
          <w:sz w:val="24"/>
          <w:lang w:val="en-US"/>
        </w:rPr>
        <w:t>W Jonker</w:t>
      </w:r>
      <w:r w:rsidRPr="00335318">
        <w:rPr>
          <w:sz w:val="24"/>
          <w:lang w:val="en-US"/>
        </w:rPr>
        <w:tab/>
      </w:r>
      <w:r w:rsidRPr="00335318">
        <w:rPr>
          <w:sz w:val="24"/>
          <w:lang w:val="en-US"/>
        </w:rPr>
        <w:tab/>
      </w:r>
      <w:r w:rsidRPr="00335318">
        <w:rPr>
          <w:sz w:val="24"/>
          <w:lang w:val="en-US"/>
        </w:rPr>
        <w:tab/>
      </w:r>
    </w:p>
    <w:p w:rsidR="00335318" w:rsidRPr="00335318" w:rsidRDefault="00335318" w:rsidP="00FE733B">
      <w:pPr>
        <w:spacing w:line="480" w:lineRule="auto"/>
        <w:jc w:val="both"/>
        <w:rPr>
          <w:sz w:val="24"/>
          <w:lang w:val="en-US"/>
        </w:rPr>
      </w:pPr>
      <w:r w:rsidRPr="00335318">
        <w:rPr>
          <w:i/>
          <w:sz w:val="24"/>
          <w:lang w:val="en-US"/>
        </w:rPr>
        <w:t>Instructed by Van der Spuy per CH van Breda</w:t>
      </w:r>
    </w:p>
    <w:p w:rsidR="00335318" w:rsidRPr="00335318" w:rsidRDefault="00335318" w:rsidP="00FE733B">
      <w:pPr>
        <w:spacing w:line="480" w:lineRule="auto"/>
        <w:jc w:val="both"/>
        <w:rPr>
          <w:sz w:val="24"/>
          <w:lang w:val="en-US"/>
        </w:rPr>
      </w:pPr>
      <w:r w:rsidRPr="00335318">
        <w:rPr>
          <w:sz w:val="24"/>
          <w:u w:val="single"/>
          <w:lang w:val="en-US"/>
        </w:rPr>
        <w:t>Adv for Respondent</w:t>
      </w:r>
      <w:r w:rsidR="003417FE">
        <w:rPr>
          <w:sz w:val="24"/>
          <w:u w:val="single"/>
          <w:lang w:val="en-US"/>
        </w:rPr>
        <w:t>s</w:t>
      </w:r>
      <w:r w:rsidRPr="00335318">
        <w:rPr>
          <w:sz w:val="24"/>
          <w:u w:val="single"/>
          <w:lang w:val="en-US"/>
        </w:rPr>
        <w:t>:</w:t>
      </w:r>
      <w:r w:rsidRPr="00335318">
        <w:rPr>
          <w:sz w:val="24"/>
          <w:lang w:val="en-US"/>
        </w:rPr>
        <w:tab/>
      </w:r>
      <w:r w:rsidRPr="00335318">
        <w:rPr>
          <w:sz w:val="24"/>
          <w:lang w:val="en-US"/>
        </w:rPr>
        <w:tab/>
      </w:r>
      <w:r w:rsidRPr="00335318">
        <w:rPr>
          <w:b/>
          <w:sz w:val="24"/>
          <w:lang w:val="en-US"/>
        </w:rPr>
        <w:t>L van Dyk</w:t>
      </w:r>
      <w:r w:rsidRPr="00335318">
        <w:rPr>
          <w:sz w:val="24"/>
          <w:lang w:val="en-US"/>
        </w:rPr>
        <w:tab/>
      </w:r>
      <w:r w:rsidRPr="00335318">
        <w:rPr>
          <w:sz w:val="24"/>
          <w:lang w:val="en-US"/>
        </w:rPr>
        <w:tab/>
      </w:r>
    </w:p>
    <w:p w:rsidR="00FE733B" w:rsidRDefault="00335318" w:rsidP="00FE733B">
      <w:pPr>
        <w:spacing w:line="480" w:lineRule="auto"/>
        <w:rPr>
          <w:rFonts w:ascii="Calibri" w:hAnsi="Calibri" w:cs="Calibri"/>
          <w:sz w:val="22"/>
          <w:szCs w:val="22"/>
          <w:lang w:val="en-ZA"/>
        </w:rPr>
      </w:pPr>
      <w:r w:rsidRPr="00335318">
        <w:rPr>
          <w:i/>
          <w:sz w:val="24"/>
          <w:lang w:val="en-US"/>
        </w:rPr>
        <w:t xml:space="preserve">Instructed by </w:t>
      </w:r>
      <w:r w:rsidR="00FE733B" w:rsidRPr="00FE733B">
        <w:rPr>
          <w:i/>
          <w:sz w:val="24"/>
        </w:rPr>
        <w:t>Geldenhuys Jonker Inc.</w:t>
      </w:r>
    </w:p>
    <w:p w:rsidR="00335318" w:rsidRPr="00335318" w:rsidRDefault="00335318" w:rsidP="00FE733B">
      <w:pPr>
        <w:spacing w:line="480" w:lineRule="auto"/>
        <w:jc w:val="both"/>
        <w:rPr>
          <w:sz w:val="24"/>
          <w:lang w:val="en-US"/>
        </w:rPr>
      </w:pPr>
      <w:r w:rsidRPr="00335318">
        <w:rPr>
          <w:sz w:val="24"/>
          <w:u w:val="single"/>
          <w:lang w:val="en-US"/>
        </w:rPr>
        <w:t>Adv for Intervening Parties:</w:t>
      </w:r>
      <w:r w:rsidRPr="00335318">
        <w:rPr>
          <w:sz w:val="24"/>
          <w:lang w:val="en-US"/>
        </w:rPr>
        <w:tab/>
      </w:r>
      <w:r w:rsidRPr="00335318">
        <w:rPr>
          <w:b/>
          <w:sz w:val="24"/>
          <w:lang w:val="en-US"/>
        </w:rPr>
        <w:t>T Crookes</w:t>
      </w:r>
    </w:p>
    <w:p w:rsidR="00A6391F" w:rsidRPr="009A5DC2" w:rsidRDefault="00B6404D" w:rsidP="00FE733B">
      <w:pPr>
        <w:spacing w:line="480" w:lineRule="auto"/>
        <w:jc w:val="both"/>
        <w:rPr>
          <w:i/>
          <w:sz w:val="24"/>
        </w:rPr>
      </w:pPr>
      <w:r>
        <w:rPr>
          <w:i/>
          <w:sz w:val="24"/>
        </w:rPr>
        <w:t>Instructed by Ebersöhns Attorneys</w:t>
      </w:r>
    </w:p>
    <w:sectPr w:rsidR="00A6391F" w:rsidRPr="009A5DC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C3" w:rsidRDefault="00144DC3" w:rsidP="0054412A">
      <w:r>
        <w:separator/>
      </w:r>
    </w:p>
  </w:endnote>
  <w:endnote w:type="continuationSeparator" w:id="0">
    <w:p w:rsidR="00144DC3" w:rsidRDefault="00144DC3" w:rsidP="0054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C3" w:rsidRDefault="00144DC3" w:rsidP="0054412A">
      <w:r>
        <w:separator/>
      </w:r>
    </w:p>
  </w:footnote>
  <w:footnote w:type="continuationSeparator" w:id="0">
    <w:p w:rsidR="00144DC3" w:rsidRDefault="00144DC3" w:rsidP="0054412A">
      <w:r>
        <w:continuationSeparator/>
      </w:r>
    </w:p>
  </w:footnote>
  <w:footnote w:id="1">
    <w:p w:rsidR="00B218AC" w:rsidRPr="00DA097A" w:rsidRDefault="00B218AC" w:rsidP="00B218AC">
      <w:pPr>
        <w:pStyle w:val="FootnoteText"/>
        <w:rPr>
          <w:sz w:val="18"/>
        </w:rPr>
      </w:pPr>
      <w:r w:rsidRPr="00DA097A">
        <w:rPr>
          <w:rStyle w:val="FootnoteReference"/>
          <w:sz w:val="18"/>
        </w:rPr>
        <w:footnoteRef/>
      </w:r>
      <w:r w:rsidRPr="00DA097A">
        <w:rPr>
          <w:sz w:val="18"/>
        </w:rPr>
        <w:t xml:space="preserve"> 2018(4) SA 443 (SCA) para 13.</w:t>
      </w:r>
    </w:p>
  </w:footnote>
  <w:footnote w:id="2">
    <w:p w:rsidR="003E77BF" w:rsidRPr="00DA097A" w:rsidRDefault="003E77BF">
      <w:pPr>
        <w:pStyle w:val="FootnoteText"/>
        <w:rPr>
          <w:sz w:val="18"/>
        </w:rPr>
      </w:pPr>
      <w:r w:rsidRPr="00DA097A">
        <w:rPr>
          <w:rStyle w:val="FootnoteReference"/>
          <w:sz w:val="18"/>
        </w:rPr>
        <w:footnoteRef/>
      </w:r>
      <w:r w:rsidRPr="00DA097A">
        <w:rPr>
          <w:sz w:val="18"/>
        </w:rPr>
        <w:t xml:space="preserve"> 1979(3) SA 363 (D) at 368.</w:t>
      </w:r>
    </w:p>
  </w:footnote>
  <w:footnote w:id="3">
    <w:p w:rsidR="003E77BF" w:rsidRDefault="003E77BF">
      <w:pPr>
        <w:pStyle w:val="FootnoteText"/>
      </w:pPr>
      <w:r w:rsidRPr="00DA097A">
        <w:rPr>
          <w:rStyle w:val="FootnoteReference"/>
          <w:sz w:val="18"/>
        </w:rPr>
        <w:footnoteRef/>
      </w:r>
      <w:r w:rsidRPr="00DA097A">
        <w:rPr>
          <w:sz w:val="18"/>
        </w:rPr>
        <w:t xml:space="preserve"> 1984(1) SA 282 (W) at 292.</w:t>
      </w:r>
    </w:p>
  </w:footnote>
  <w:footnote w:id="4">
    <w:p w:rsidR="002D6A48" w:rsidRPr="00DA097A" w:rsidRDefault="002D6A48">
      <w:pPr>
        <w:pStyle w:val="FootnoteText"/>
        <w:rPr>
          <w:sz w:val="18"/>
        </w:rPr>
      </w:pPr>
      <w:r w:rsidRPr="00DA097A">
        <w:rPr>
          <w:rStyle w:val="FootnoteReference"/>
          <w:sz w:val="18"/>
        </w:rPr>
        <w:footnoteRef/>
      </w:r>
      <w:r w:rsidRPr="00DA097A">
        <w:rPr>
          <w:sz w:val="18"/>
        </w:rPr>
        <w:t xml:space="preserve"> 2021 (3) SA 403 (SCA) para 41. </w:t>
      </w:r>
    </w:p>
  </w:footnote>
  <w:footnote w:id="5">
    <w:p w:rsidR="00314CC9" w:rsidRPr="00DA097A" w:rsidRDefault="00314CC9">
      <w:pPr>
        <w:pStyle w:val="FootnoteText"/>
        <w:rPr>
          <w:sz w:val="18"/>
          <w:szCs w:val="18"/>
          <w:lang w:val="en-US"/>
        </w:rPr>
      </w:pPr>
      <w:r w:rsidRPr="00DA097A">
        <w:rPr>
          <w:rStyle w:val="FootnoteReference"/>
          <w:sz w:val="18"/>
          <w:szCs w:val="18"/>
        </w:rPr>
        <w:footnoteRef/>
      </w:r>
      <w:r w:rsidRPr="00DA097A">
        <w:rPr>
          <w:sz w:val="18"/>
          <w:szCs w:val="18"/>
        </w:rPr>
        <w:t xml:space="preserve"> </w:t>
      </w:r>
      <w:r w:rsidRPr="00DA097A">
        <w:rPr>
          <w:sz w:val="18"/>
          <w:szCs w:val="18"/>
          <w:lang w:val="en-US"/>
        </w:rPr>
        <w:t xml:space="preserve">See </w:t>
      </w:r>
      <w:r w:rsidRPr="00DA097A">
        <w:rPr>
          <w:i/>
          <w:sz w:val="18"/>
          <w:szCs w:val="18"/>
          <w:lang w:val="en-US"/>
        </w:rPr>
        <w:t xml:space="preserve">Plascon Evans Paints Limited v Van Riebeeck Paints (Pty) Ltd </w:t>
      </w:r>
      <w:r w:rsidRPr="00DA097A">
        <w:rPr>
          <w:sz w:val="18"/>
          <w:szCs w:val="18"/>
          <w:lang w:val="en-US"/>
        </w:rPr>
        <w:t>1984(3) SA 623 (A) at 634I-635B</w:t>
      </w:r>
      <w:r w:rsidR="00BC7C08" w:rsidRPr="00777FBB">
        <w:rPr>
          <w:sz w:val="18"/>
          <w:szCs w:val="18"/>
          <w:lang w:val="en-US"/>
        </w:rPr>
        <w:t>.</w:t>
      </w:r>
    </w:p>
  </w:footnote>
  <w:footnote w:id="6">
    <w:p w:rsidR="00314CC9" w:rsidRPr="00DA097A" w:rsidRDefault="00314CC9">
      <w:pPr>
        <w:pStyle w:val="FootnoteText"/>
        <w:rPr>
          <w:sz w:val="18"/>
          <w:szCs w:val="18"/>
          <w:lang w:val="en-US"/>
        </w:rPr>
      </w:pPr>
      <w:r w:rsidRPr="00DA097A">
        <w:rPr>
          <w:rStyle w:val="FootnoteReference"/>
          <w:sz w:val="18"/>
          <w:szCs w:val="18"/>
        </w:rPr>
        <w:footnoteRef/>
      </w:r>
      <w:r w:rsidR="00D9162D" w:rsidRPr="00777FBB">
        <w:rPr>
          <w:i/>
          <w:sz w:val="18"/>
          <w:szCs w:val="18"/>
          <w:lang w:val="en-US"/>
        </w:rPr>
        <w:t xml:space="preserve"> </w:t>
      </w:r>
      <w:r w:rsidR="00D9162D" w:rsidRPr="00777FBB">
        <w:rPr>
          <w:sz w:val="18"/>
          <w:szCs w:val="18"/>
          <w:lang w:val="en-US"/>
        </w:rPr>
        <w:t>A</w:t>
      </w:r>
      <w:r w:rsidR="00D9162D" w:rsidRPr="00CE3F44">
        <w:rPr>
          <w:sz w:val="18"/>
          <w:szCs w:val="18"/>
          <w:lang w:val="en-US"/>
        </w:rPr>
        <w:t>bove</w:t>
      </w:r>
      <w:r w:rsidRPr="00DA097A">
        <w:rPr>
          <w:i/>
          <w:sz w:val="18"/>
          <w:szCs w:val="18"/>
          <w:lang w:val="en-US"/>
        </w:rPr>
        <w:t xml:space="preserve"> </w:t>
      </w:r>
      <w:r w:rsidRPr="00DA097A">
        <w:rPr>
          <w:sz w:val="18"/>
          <w:szCs w:val="18"/>
          <w:lang w:val="en-US"/>
        </w:rPr>
        <w:t>at 634I-635B</w:t>
      </w:r>
    </w:p>
  </w:footnote>
  <w:footnote w:id="7">
    <w:p w:rsidR="001542E2" w:rsidRPr="00DA097A" w:rsidRDefault="001542E2" w:rsidP="001542E2">
      <w:pPr>
        <w:pStyle w:val="FootnoteText"/>
        <w:rPr>
          <w:sz w:val="18"/>
          <w:szCs w:val="18"/>
        </w:rPr>
      </w:pPr>
      <w:r w:rsidRPr="00DA097A">
        <w:rPr>
          <w:rStyle w:val="FootnoteReference"/>
          <w:sz w:val="18"/>
          <w:szCs w:val="18"/>
        </w:rPr>
        <w:footnoteRef/>
      </w:r>
      <w:r w:rsidRPr="00DA097A">
        <w:rPr>
          <w:sz w:val="18"/>
          <w:szCs w:val="18"/>
        </w:rPr>
        <w:t xml:space="preserve"> 2008(3) SA 371 (SCA).</w:t>
      </w:r>
    </w:p>
  </w:footnote>
  <w:footnote w:id="8">
    <w:p w:rsidR="00777FBB" w:rsidRDefault="00777FBB">
      <w:pPr>
        <w:pStyle w:val="FootnoteText"/>
      </w:pPr>
      <w:r w:rsidRPr="00DA097A">
        <w:rPr>
          <w:rStyle w:val="FootnoteReference"/>
          <w:sz w:val="18"/>
          <w:szCs w:val="18"/>
        </w:rPr>
        <w:footnoteRef/>
      </w:r>
      <w:r w:rsidRPr="00DA097A">
        <w:rPr>
          <w:sz w:val="18"/>
          <w:szCs w:val="18"/>
        </w:rPr>
        <w:t xml:space="preserve"> 1956(2) SA 346 (T) at 347.</w:t>
      </w:r>
      <w:r>
        <w:t xml:space="preserve"> </w:t>
      </w:r>
    </w:p>
  </w:footnote>
  <w:footnote w:id="9">
    <w:p w:rsidR="002C6A19" w:rsidRPr="00DA097A" w:rsidRDefault="002C6A19">
      <w:pPr>
        <w:pStyle w:val="FootnoteText"/>
        <w:rPr>
          <w:sz w:val="18"/>
        </w:rPr>
      </w:pPr>
      <w:r w:rsidRPr="00DA097A">
        <w:rPr>
          <w:rStyle w:val="FootnoteReference"/>
          <w:sz w:val="18"/>
        </w:rPr>
        <w:footnoteRef/>
      </w:r>
      <w:r w:rsidRPr="00DA097A">
        <w:rPr>
          <w:sz w:val="18"/>
        </w:rPr>
        <w:t xml:space="preserve"> 1988(1) SA 943</w:t>
      </w:r>
      <w:r w:rsidR="00127502">
        <w:rPr>
          <w:sz w:val="18"/>
        </w:rPr>
        <w:t xml:space="preserve"> (A)</w:t>
      </w:r>
      <w:r w:rsidRPr="00DA097A">
        <w:rPr>
          <w:sz w:val="18"/>
        </w:rPr>
        <w:t xml:space="preserve"> at 980 A-H.</w:t>
      </w:r>
    </w:p>
  </w:footnote>
  <w:footnote w:id="10">
    <w:p w:rsidR="00737B8C" w:rsidRPr="00DA097A" w:rsidRDefault="00737B8C">
      <w:pPr>
        <w:pStyle w:val="FootnoteText"/>
        <w:rPr>
          <w:sz w:val="18"/>
        </w:rPr>
      </w:pPr>
      <w:r w:rsidRPr="00DA097A">
        <w:rPr>
          <w:rStyle w:val="FootnoteReference"/>
          <w:sz w:val="18"/>
        </w:rPr>
        <w:footnoteRef/>
      </w:r>
      <w:r w:rsidRPr="00DA097A">
        <w:rPr>
          <w:sz w:val="18"/>
        </w:rPr>
        <w:t xml:space="preserve"> Above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138"/>
      <w:docPartObj>
        <w:docPartGallery w:val="Page Numbers (Top of Page)"/>
        <w:docPartUnique/>
      </w:docPartObj>
    </w:sdtPr>
    <w:sdtEndPr>
      <w:rPr>
        <w:noProof/>
      </w:rPr>
    </w:sdtEndPr>
    <w:sdtContent>
      <w:p w:rsidR="00314CC9" w:rsidRDefault="00314CC9">
        <w:pPr>
          <w:pStyle w:val="Header"/>
          <w:jc w:val="center"/>
        </w:pPr>
        <w:r>
          <w:fldChar w:fldCharType="begin"/>
        </w:r>
        <w:r>
          <w:instrText xml:space="preserve"> PAGE   \* MERGEFORMAT </w:instrText>
        </w:r>
        <w:r>
          <w:fldChar w:fldCharType="separate"/>
        </w:r>
        <w:r w:rsidR="00D22169">
          <w:rPr>
            <w:noProof/>
          </w:rPr>
          <w:t>3</w:t>
        </w:r>
        <w:r>
          <w:rPr>
            <w:noProof/>
          </w:rPr>
          <w:fldChar w:fldCharType="end"/>
        </w:r>
      </w:p>
    </w:sdtContent>
  </w:sdt>
  <w:p w:rsidR="00314CC9" w:rsidRDefault="00314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109A4"/>
    <w:multiLevelType w:val="hybridMultilevel"/>
    <w:tmpl w:val="82766CA8"/>
    <w:lvl w:ilvl="0" w:tplc="663C7F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1B"/>
    <w:rsid w:val="0000613E"/>
    <w:rsid w:val="000115C6"/>
    <w:rsid w:val="00024354"/>
    <w:rsid w:val="000454C5"/>
    <w:rsid w:val="00062FAE"/>
    <w:rsid w:val="0008579B"/>
    <w:rsid w:val="00092D5A"/>
    <w:rsid w:val="00097B73"/>
    <w:rsid w:val="000A39D9"/>
    <w:rsid w:val="000A6582"/>
    <w:rsid w:val="000C3281"/>
    <w:rsid w:val="000D5B7D"/>
    <w:rsid w:val="000F3806"/>
    <w:rsid w:val="00127502"/>
    <w:rsid w:val="00144DC3"/>
    <w:rsid w:val="001542E2"/>
    <w:rsid w:val="001545C7"/>
    <w:rsid w:val="00155FA7"/>
    <w:rsid w:val="001639CB"/>
    <w:rsid w:val="001663DE"/>
    <w:rsid w:val="00171249"/>
    <w:rsid w:val="00172989"/>
    <w:rsid w:val="00173681"/>
    <w:rsid w:val="001920F4"/>
    <w:rsid w:val="0019284F"/>
    <w:rsid w:val="00197804"/>
    <w:rsid w:val="001B6928"/>
    <w:rsid w:val="001D5785"/>
    <w:rsid w:val="001E33D1"/>
    <w:rsid w:val="001E7A9D"/>
    <w:rsid w:val="00205FB8"/>
    <w:rsid w:val="00210602"/>
    <w:rsid w:val="00214F98"/>
    <w:rsid w:val="00227FF7"/>
    <w:rsid w:val="00237EC6"/>
    <w:rsid w:val="002574F6"/>
    <w:rsid w:val="002601A9"/>
    <w:rsid w:val="00264AB6"/>
    <w:rsid w:val="002670F4"/>
    <w:rsid w:val="002818E8"/>
    <w:rsid w:val="002975EF"/>
    <w:rsid w:val="002A086B"/>
    <w:rsid w:val="002B7C85"/>
    <w:rsid w:val="002C6A19"/>
    <w:rsid w:val="002D3D76"/>
    <w:rsid w:val="002D6A48"/>
    <w:rsid w:val="002E01B7"/>
    <w:rsid w:val="002F0150"/>
    <w:rsid w:val="002F4506"/>
    <w:rsid w:val="002F78E7"/>
    <w:rsid w:val="00314CC9"/>
    <w:rsid w:val="00317B31"/>
    <w:rsid w:val="003256B7"/>
    <w:rsid w:val="00325DEA"/>
    <w:rsid w:val="00335318"/>
    <w:rsid w:val="003368C7"/>
    <w:rsid w:val="003417FE"/>
    <w:rsid w:val="00366A34"/>
    <w:rsid w:val="00381B26"/>
    <w:rsid w:val="00382D1B"/>
    <w:rsid w:val="003869DD"/>
    <w:rsid w:val="00392406"/>
    <w:rsid w:val="003A06A4"/>
    <w:rsid w:val="003A4C25"/>
    <w:rsid w:val="003D2620"/>
    <w:rsid w:val="003E40D7"/>
    <w:rsid w:val="003E77BF"/>
    <w:rsid w:val="003F080B"/>
    <w:rsid w:val="003F2799"/>
    <w:rsid w:val="00405238"/>
    <w:rsid w:val="00410AED"/>
    <w:rsid w:val="00424398"/>
    <w:rsid w:val="004311B6"/>
    <w:rsid w:val="0044023D"/>
    <w:rsid w:val="00451A2F"/>
    <w:rsid w:val="00463730"/>
    <w:rsid w:val="00465E8D"/>
    <w:rsid w:val="00484EEF"/>
    <w:rsid w:val="004850DF"/>
    <w:rsid w:val="004861C2"/>
    <w:rsid w:val="004A04F4"/>
    <w:rsid w:val="004B1620"/>
    <w:rsid w:val="004B1862"/>
    <w:rsid w:val="004B7416"/>
    <w:rsid w:val="004E5CD8"/>
    <w:rsid w:val="004F2C10"/>
    <w:rsid w:val="004F5BAA"/>
    <w:rsid w:val="00503647"/>
    <w:rsid w:val="0051458A"/>
    <w:rsid w:val="00515286"/>
    <w:rsid w:val="0051546E"/>
    <w:rsid w:val="00524F0C"/>
    <w:rsid w:val="0053114D"/>
    <w:rsid w:val="0053613F"/>
    <w:rsid w:val="0054412A"/>
    <w:rsid w:val="005514A2"/>
    <w:rsid w:val="00552062"/>
    <w:rsid w:val="00576A9C"/>
    <w:rsid w:val="005806D3"/>
    <w:rsid w:val="005859EA"/>
    <w:rsid w:val="005B0B73"/>
    <w:rsid w:val="005B4DB2"/>
    <w:rsid w:val="005B6DB7"/>
    <w:rsid w:val="005D3FFC"/>
    <w:rsid w:val="005E3EBE"/>
    <w:rsid w:val="00616629"/>
    <w:rsid w:val="00622CA1"/>
    <w:rsid w:val="0063448C"/>
    <w:rsid w:val="00647B0E"/>
    <w:rsid w:val="006507D8"/>
    <w:rsid w:val="006514C0"/>
    <w:rsid w:val="00652AEF"/>
    <w:rsid w:val="00666DB8"/>
    <w:rsid w:val="00683056"/>
    <w:rsid w:val="006B6BE5"/>
    <w:rsid w:val="006C7B92"/>
    <w:rsid w:val="006D32DF"/>
    <w:rsid w:val="006D7881"/>
    <w:rsid w:val="006E10D4"/>
    <w:rsid w:val="006F0A37"/>
    <w:rsid w:val="007108EE"/>
    <w:rsid w:val="00714D8B"/>
    <w:rsid w:val="0071796B"/>
    <w:rsid w:val="00735D99"/>
    <w:rsid w:val="00737B8C"/>
    <w:rsid w:val="00740209"/>
    <w:rsid w:val="00754038"/>
    <w:rsid w:val="00754444"/>
    <w:rsid w:val="00770DFE"/>
    <w:rsid w:val="00776FB1"/>
    <w:rsid w:val="00777FBB"/>
    <w:rsid w:val="00781B6D"/>
    <w:rsid w:val="00785B07"/>
    <w:rsid w:val="00793891"/>
    <w:rsid w:val="00794315"/>
    <w:rsid w:val="007A5306"/>
    <w:rsid w:val="007B1ABC"/>
    <w:rsid w:val="007B2BB5"/>
    <w:rsid w:val="007B60BA"/>
    <w:rsid w:val="007C05EE"/>
    <w:rsid w:val="007D641B"/>
    <w:rsid w:val="007D66C8"/>
    <w:rsid w:val="007E4C38"/>
    <w:rsid w:val="007E5A4F"/>
    <w:rsid w:val="007E75DB"/>
    <w:rsid w:val="00816BB0"/>
    <w:rsid w:val="008258C7"/>
    <w:rsid w:val="00850ED3"/>
    <w:rsid w:val="00853F1D"/>
    <w:rsid w:val="00865516"/>
    <w:rsid w:val="00874EBA"/>
    <w:rsid w:val="00875F88"/>
    <w:rsid w:val="00876FF8"/>
    <w:rsid w:val="008B124C"/>
    <w:rsid w:val="008C363E"/>
    <w:rsid w:val="008C495D"/>
    <w:rsid w:val="008F311D"/>
    <w:rsid w:val="0090182A"/>
    <w:rsid w:val="009018D9"/>
    <w:rsid w:val="0091251F"/>
    <w:rsid w:val="00931BB5"/>
    <w:rsid w:val="00932F70"/>
    <w:rsid w:val="00937A6C"/>
    <w:rsid w:val="009447C7"/>
    <w:rsid w:val="009542BD"/>
    <w:rsid w:val="00975F06"/>
    <w:rsid w:val="009916D2"/>
    <w:rsid w:val="00991D57"/>
    <w:rsid w:val="00992DE7"/>
    <w:rsid w:val="009A5DC2"/>
    <w:rsid w:val="009F2C8A"/>
    <w:rsid w:val="009F5908"/>
    <w:rsid w:val="00A00D63"/>
    <w:rsid w:val="00A159DE"/>
    <w:rsid w:val="00A20B95"/>
    <w:rsid w:val="00A31E89"/>
    <w:rsid w:val="00A41150"/>
    <w:rsid w:val="00A4736F"/>
    <w:rsid w:val="00A5146B"/>
    <w:rsid w:val="00A5161F"/>
    <w:rsid w:val="00A6391F"/>
    <w:rsid w:val="00A67CBA"/>
    <w:rsid w:val="00A67E60"/>
    <w:rsid w:val="00A71C77"/>
    <w:rsid w:val="00A85AAE"/>
    <w:rsid w:val="00AA0FEB"/>
    <w:rsid w:val="00AA2CA8"/>
    <w:rsid w:val="00AA4038"/>
    <w:rsid w:val="00AA5A46"/>
    <w:rsid w:val="00AA6362"/>
    <w:rsid w:val="00AB5841"/>
    <w:rsid w:val="00AC059F"/>
    <w:rsid w:val="00AC38F3"/>
    <w:rsid w:val="00AD3063"/>
    <w:rsid w:val="00AE3877"/>
    <w:rsid w:val="00AE4DBC"/>
    <w:rsid w:val="00B218AC"/>
    <w:rsid w:val="00B24DDE"/>
    <w:rsid w:val="00B617D0"/>
    <w:rsid w:val="00B6404D"/>
    <w:rsid w:val="00B6765C"/>
    <w:rsid w:val="00B72286"/>
    <w:rsid w:val="00B75E0C"/>
    <w:rsid w:val="00B81291"/>
    <w:rsid w:val="00BA078F"/>
    <w:rsid w:val="00BA3E77"/>
    <w:rsid w:val="00BA414E"/>
    <w:rsid w:val="00BB3A54"/>
    <w:rsid w:val="00BB7533"/>
    <w:rsid w:val="00BC7C08"/>
    <w:rsid w:val="00BD2A6C"/>
    <w:rsid w:val="00BD7AA1"/>
    <w:rsid w:val="00BE7697"/>
    <w:rsid w:val="00C06394"/>
    <w:rsid w:val="00C218C6"/>
    <w:rsid w:val="00C261EE"/>
    <w:rsid w:val="00C307E6"/>
    <w:rsid w:val="00C376EA"/>
    <w:rsid w:val="00C4071E"/>
    <w:rsid w:val="00C40C95"/>
    <w:rsid w:val="00C419E4"/>
    <w:rsid w:val="00C421EF"/>
    <w:rsid w:val="00C50571"/>
    <w:rsid w:val="00C53224"/>
    <w:rsid w:val="00C6404D"/>
    <w:rsid w:val="00C640F0"/>
    <w:rsid w:val="00C7092D"/>
    <w:rsid w:val="00C74D0F"/>
    <w:rsid w:val="00C7644E"/>
    <w:rsid w:val="00C80E64"/>
    <w:rsid w:val="00CB7B20"/>
    <w:rsid w:val="00CC48E2"/>
    <w:rsid w:val="00CE3F44"/>
    <w:rsid w:val="00CF1C44"/>
    <w:rsid w:val="00CF7707"/>
    <w:rsid w:val="00CF7A78"/>
    <w:rsid w:val="00D10D26"/>
    <w:rsid w:val="00D16B54"/>
    <w:rsid w:val="00D22169"/>
    <w:rsid w:val="00D50D98"/>
    <w:rsid w:val="00D61E59"/>
    <w:rsid w:val="00D672CF"/>
    <w:rsid w:val="00D7171B"/>
    <w:rsid w:val="00D77481"/>
    <w:rsid w:val="00D85416"/>
    <w:rsid w:val="00D90DB6"/>
    <w:rsid w:val="00D9162D"/>
    <w:rsid w:val="00D97813"/>
    <w:rsid w:val="00DA097A"/>
    <w:rsid w:val="00DB1343"/>
    <w:rsid w:val="00DC1342"/>
    <w:rsid w:val="00DC5901"/>
    <w:rsid w:val="00DD230E"/>
    <w:rsid w:val="00DE3C7E"/>
    <w:rsid w:val="00E04850"/>
    <w:rsid w:val="00E04F5D"/>
    <w:rsid w:val="00E1105B"/>
    <w:rsid w:val="00E13AAE"/>
    <w:rsid w:val="00E20807"/>
    <w:rsid w:val="00E258FC"/>
    <w:rsid w:val="00E31ED2"/>
    <w:rsid w:val="00E37C52"/>
    <w:rsid w:val="00E40F0D"/>
    <w:rsid w:val="00E57BC2"/>
    <w:rsid w:val="00E64FE2"/>
    <w:rsid w:val="00E65D5A"/>
    <w:rsid w:val="00E7197E"/>
    <w:rsid w:val="00E7631E"/>
    <w:rsid w:val="00EA6013"/>
    <w:rsid w:val="00EB7346"/>
    <w:rsid w:val="00EC45A3"/>
    <w:rsid w:val="00ED636A"/>
    <w:rsid w:val="00EE087E"/>
    <w:rsid w:val="00EE48A0"/>
    <w:rsid w:val="00EF1778"/>
    <w:rsid w:val="00F025CA"/>
    <w:rsid w:val="00F14DD8"/>
    <w:rsid w:val="00F26F2A"/>
    <w:rsid w:val="00F70B7A"/>
    <w:rsid w:val="00F71AB4"/>
    <w:rsid w:val="00F77CA9"/>
    <w:rsid w:val="00F91089"/>
    <w:rsid w:val="00F931A3"/>
    <w:rsid w:val="00FE3F99"/>
    <w:rsid w:val="00FE733B"/>
    <w:rsid w:val="00FF0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F415B-C403-4AA7-8DB0-906F1BD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1B"/>
    <w:pPr>
      <w:spacing w:after="0" w:line="240" w:lineRule="auto"/>
    </w:pPr>
    <w:rPr>
      <w:rFonts w:ascii="Arial" w:eastAsia="Times New Roman"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12A"/>
    <w:rPr>
      <w:sz w:val="20"/>
      <w:szCs w:val="20"/>
    </w:rPr>
  </w:style>
  <w:style w:type="character" w:customStyle="1" w:styleId="FootnoteTextChar">
    <w:name w:val="Footnote Text Char"/>
    <w:basedOn w:val="DefaultParagraphFont"/>
    <w:link w:val="FootnoteText"/>
    <w:uiPriority w:val="99"/>
    <w:semiHidden/>
    <w:rsid w:val="0054412A"/>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54412A"/>
    <w:rPr>
      <w:vertAlign w:val="superscript"/>
    </w:rPr>
  </w:style>
  <w:style w:type="paragraph" w:styleId="Header">
    <w:name w:val="header"/>
    <w:basedOn w:val="Normal"/>
    <w:link w:val="HeaderChar"/>
    <w:uiPriority w:val="99"/>
    <w:unhideWhenUsed/>
    <w:rsid w:val="00BD2A6C"/>
    <w:pPr>
      <w:tabs>
        <w:tab w:val="center" w:pos="4513"/>
        <w:tab w:val="right" w:pos="9026"/>
      </w:tabs>
    </w:pPr>
  </w:style>
  <w:style w:type="character" w:customStyle="1" w:styleId="HeaderChar">
    <w:name w:val="Header Char"/>
    <w:basedOn w:val="DefaultParagraphFont"/>
    <w:link w:val="Header"/>
    <w:uiPriority w:val="99"/>
    <w:rsid w:val="00BD2A6C"/>
    <w:rPr>
      <w:rFonts w:ascii="Arial" w:eastAsia="Times New Roman" w:hAnsi="Arial" w:cs="Arial"/>
      <w:sz w:val="28"/>
      <w:szCs w:val="24"/>
      <w:lang w:val="en-GB"/>
    </w:rPr>
  </w:style>
  <w:style w:type="paragraph" w:styleId="Footer">
    <w:name w:val="footer"/>
    <w:basedOn w:val="Normal"/>
    <w:link w:val="FooterChar"/>
    <w:uiPriority w:val="99"/>
    <w:unhideWhenUsed/>
    <w:rsid w:val="00BD2A6C"/>
    <w:pPr>
      <w:tabs>
        <w:tab w:val="center" w:pos="4513"/>
        <w:tab w:val="right" w:pos="9026"/>
      </w:tabs>
    </w:pPr>
  </w:style>
  <w:style w:type="character" w:customStyle="1" w:styleId="FooterChar">
    <w:name w:val="Footer Char"/>
    <w:basedOn w:val="DefaultParagraphFont"/>
    <w:link w:val="Footer"/>
    <w:uiPriority w:val="99"/>
    <w:rsid w:val="00BD2A6C"/>
    <w:rPr>
      <w:rFonts w:ascii="Arial" w:eastAsia="Times New Roman" w:hAnsi="Arial" w:cs="Arial"/>
      <w:sz w:val="28"/>
      <w:szCs w:val="24"/>
      <w:lang w:val="en-GB"/>
    </w:rPr>
  </w:style>
  <w:style w:type="paragraph" w:styleId="BalloonText">
    <w:name w:val="Balloon Text"/>
    <w:basedOn w:val="Normal"/>
    <w:link w:val="BalloonTextChar"/>
    <w:uiPriority w:val="99"/>
    <w:semiHidden/>
    <w:unhideWhenUsed/>
    <w:rsid w:val="00BD2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6C"/>
    <w:rPr>
      <w:rFonts w:ascii="Segoe UI" w:eastAsia="Times New Roman" w:hAnsi="Segoe UI" w:cs="Segoe UI"/>
      <w:sz w:val="18"/>
      <w:szCs w:val="18"/>
      <w:lang w:val="en-GB"/>
    </w:rPr>
  </w:style>
  <w:style w:type="paragraph" w:styleId="ListParagraph">
    <w:name w:val="List Paragraph"/>
    <w:basedOn w:val="Normal"/>
    <w:uiPriority w:val="34"/>
    <w:qFormat/>
    <w:rsid w:val="002574F6"/>
    <w:pPr>
      <w:ind w:left="720"/>
      <w:contextualSpacing/>
    </w:pPr>
  </w:style>
  <w:style w:type="character" w:styleId="CommentReference">
    <w:name w:val="annotation reference"/>
    <w:basedOn w:val="DefaultParagraphFont"/>
    <w:uiPriority w:val="99"/>
    <w:semiHidden/>
    <w:unhideWhenUsed/>
    <w:rsid w:val="00C40C95"/>
    <w:rPr>
      <w:sz w:val="16"/>
      <w:szCs w:val="16"/>
    </w:rPr>
  </w:style>
  <w:style w:type="paragraph" w:styleId="CommentText">
    <w:name w:val="annotation text"/>
    <w:basedOn w:val="Normal"/>
    <w:link w:val="CommentTextChar"/>
    <w:uiPriority w:val="99"/>
    <w:semiHidden/>
    <w:unhideWhenUsed/>
    <w:rsid w:val="00C40C95"/>
    <w:rPr>
      <w:sz w:val="20"/>
      <w:szCs w:val="20"/>
    </w:rPr>
  </w:style>
  <w:style w:type="character" w:customStyle="1" w:styleId="CommentTextChar">
    <w:name w:val="Comment Text Char"/>
    <w:basedOn w:val="DefaultParagraphFont"/>
    <w:link w:val="CommentText"/>
    <w:uiPriority w:val="99"/>
    <w:semiHidden/>
    <w:rsid w:val="00C40C95"/>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40C95"/>
    <w:rPr>
      <w:b/>
      <w:bCs/>
    </w:rPr>
  </w:style>
  <w:style w:type="character" w:customStyle="1" w:styleId="CommentSubjectChar">
    <w:name w:val="Comment Subject Char"/>
    <w:basedOn w:val="CommentTextChar"/>
    <w:link w:val="CommentSubject"/>
    <w:uiPriority w:val="99"/>
    <w:semiHidden/>
    <w:rsid w:val="00C40C95"/>
    <w:rPr>
      <w:rFonts w:ascii="Arial" w:eastAsia="Times New Roman" w:hAnsi="Arial" w:cs="Arial"/>
      <w:b/>
      <w:bCs/>
      <w:sz w:val="20"/>
      <w:szCs w:val="20"/>
      <w:lang w:val="en-GB"/>
    </w:rPr>
  </w:style>
  <w:style w:type="paragraph" w:styleId="NoSpacing">
    <w:name w:val="No Spacing"/>
    <w:uiPriority w:val="1"/>
    <w:qFormat/>
    <w:rsid w:val="00155FA7"/>
    <w:pPr>
      <w:spacing w:after="0" w:line="240" w:lineRule="auto"/>
    </w:pPr>
    <w:rPr>
      <w:rFonts w:ascii="Arial" w:eastAsia="Times New Roman" w:hAnsi="Arial" w:cs="Arial"/>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9424-6614-4508-862F-072155D2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5586</Words>
  <Characters>31842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Mokone</cp:lastModifiedBy>
  <cp:revision>2</cp:revision>
  <cp:lastPrinted>2023-06-02T12:20:00Z</cp:lastPrinted>
  <dcterms:created xsi:type="dcterms:W3CDTF">2023-06-13T08:53:00Z</dcterms:created>
  <dcterms:modified xsi:type="dcterms:W3CDTF">2023-06-13T08:53:00Z</dcterms:modified>
</cp:coreProperties>
</file>