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B28B2"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23DD44FC" wp14:editId="7AAC4804">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50F19" w14:textId="77777777" w:rsidR="006724F1" w:rsidRPr="00725C7B" w:rsidRDefault="006724F1" w:rsidP="006724F1">
      <w:pPr>
        <w:spacing w:line="360" w:lineRule="auto"/>
        <w:ind w:left="720"/>
        <w:jc w:val="both"/>
        <w:rPr>
          <w:b/>
          <w:bCs/>
        </w:rPr>
      </w:pPr>
    </w:p>
    <w:p w14:paraId="14B13B81" w14:textId="77777777" w:rsidR="006724F1" w:rsidRDefault="006724F1" w:rsidP="006724F1">
      <w:pPr>
        <w:spacing w:line="360" w:lineRule="auto"/>
        <w:ind w:left="720"/>
        <w:jc w:val="both"/>
        <w:rPr>
          <w:b/>
          <w:bCs/>
        </w:rPr>
      </w:pPr>
    </w:p>
    <w:p w14:paraId="6E447C6F" w14:textId="77777777" w:rsidR="006724F1" w:rsidRPr="003B461A" w:rsidRDefault="006724F1" w:rsidP="00F4257E">
      <w:pPr>
        <w:spacing w:line="360" w:lineRule="auto"/>
        <w:jc w:val="center"/>
      </w:pPr>
      <w:r w:rsidRPr="003B461A">
        <w:rPr>
          <w:b/>
          <w:bCs/>
        </w:rPr>
        <w:t>IN THE HIGH COURT OF SOUTH AFRICA</w:t>
      </w:r>
    </w:p>
    <w:p w14:paraId="54668D7B" w14:textId="77777777" w:rsidR="006724F1" w:rsidRPr="003B461A" w:rsidRDefault="006724F1" w:rsidP="00F4257E">
      <w:pPr>
        <w:spacing w:line="276" w:lineRule="auto"/>
        <w:jc w:val="center"/>
        <w:rPr>
          <w:b/>
          <w:bCs/>
        </w:rPr>
      </w:pPr>
      <w:r w:rsidRPr="003B461A">
        <w:rPr>
          <w:b/>
          <w:bCs/>
        </w:rPr>
        <w:t>(WESTERN CAPE DIVISION, CAPE TOWN)</w:t>
      </w:r>
    </w:p>
    <w:p w14:paraId="7D4E9BE5" w14:textId="77777777" w:rsidR="008A5E0B" w:rsidRDefault="008A5E0B" w:rsidP="008A5E0B">
      <w:pPr>
        <w:spacing w:line="360" w:lineRule="auto"/>
        <w:rPr>
          <w:b/>
          <w:bCs/>
        </w:rPr>
      </w:pPr>
    </w:p>
    <w:p w14:paraId="4BBF95D4" w14:textId="5638C517" w:rsidR="008A5E0B" w:rsidRPr="006F6785" w:rsidRDefault="008A5E0B" w:rsidP="00824B4B">
      <w:pPr>
        <w:spacing w:line="360" w:lineRule="auto"/>
        <w:jc w:val="right"/>
        <w:rPr>
          <w:b/>
        </w:rPr>
      </w:pPr>
      <w:r>
        <w:rPr>
          <w:b/>
        </w:rPr>
        <w:t xml:space="preserve"> </w:t>
      </w:r>
      <w:r w:rsidR="00092029">
        <w:rPr>
          <w:b/>
        </w:rPr>
        <w:t xml:space="preserve">                                                                            </w:t>
      </w:r>
      <w:r w:rsidRPr="006F6785">
        <w:t xml:space="preserve">                      </w:t>
      </w:r>
      <w:r w:rsidRPr="006F6785">
        <w:rPr>
          <w:b/>
        </w:rPr>
        <w:t xml:space="preserve">Case No: </w:t>
      </w:r>
      <w:r w:rsidR="00026FBD">
        <w:rPr>
          <w:b/>
        </w:rPr>
        <w:t>2699/2023</w:t>
      </w:r>
    </w:p>
    <w:p w14:paraId="0FE3C6C0" w14:textId="77777777" w:rsidR="008A5E0B" w:rsidRDefault="008A5E0B" w:rsidP="008A5E0B">
      <w:pPr>
        <w:jc w:val="both"/>
      </w:pPr>
      <w:r>
        <w:t>In the matter between:</w:t>
      </w:r>
    </w:p>
    <w:p w14:paraId="304C7A55" w14:textId="77777777" w:rsidR="008A5E0B" w:rsidRDefault="008A5E0B" w:rsidP="008A5E0B">
      <w:pPr>
        <w:jc w:val="both"/>
      </w:pPr>
    </w:p>
    <w:p w14:paraId="00FDECC5" w14:textId="77777777" w:rsidR="008A5E0B" w:rsidRDefault="008A5E0B" w:rsidP="008A5E0B">
      <w:pPr>
        <w:jc w:val="both"/>
      </w:pPr>
    </w:p>
    <w:p w14:paraId="40A620C8" w14:textId="1319525F" w:rsidR="00026FBD" w:rsidRDefault="00026FBD" w:rsidP="00026FBD">
      <w:pPr>
        <w:tabs>
          <w:tab w:val="right" w:pos="10421"/>
        </w:tabs>
        <w:spacing w:line="480" w:lineRule="auto"/>
        <w:jc w:val="both"/>
      </w:pPr>
      <w:r>
        <w:rPr>
          <w:b/>
        </w:rPr>
        <w:t>ALG BOERDERY (PTY) LTD</w:t>
      </w:r>
      <w:r w:rsidRPr="003B461A">
        <w:rPr>
          <w:b/>
        </w:rPr>
        <w:tab/>
        <w:t xml:space="preserve">      </w:t>
      </w:r>
      <w:r>
        <w:rPr>
          <w:b/>
        </w:rPr>
        <w:t xml:space="preserve">            </w:t>
      </w:r>
      <w:r w:rsidR="001947E2">
        <w:t>First</w:t>
      </w:r>
      <w:r>
        <w:t xml:space="preserve"> Applicant     </w:t>
      </w:r>
    </w:p>
    <w:p w14:paraId="4044726C" w14:textId="74CDE175" w:rsidR="00026FBD" w:rsidRDefault="00026FBD" w:rsidP="00026FBD">
      <w:pPr>
        <w:tabs>
          <w:tab w:val="right" w:pos="10421"/>
        </w:tabs>
        <w:spacing w:line="360" w:lineRule="auto"/>
        <w:jc w:val="both"/>
      </w:pPr>
      <w:r>
        <w:rPr>
          <w:b/>
        </w:rPr>
        <w:t>GERRIT ERASMUS VAN DER MERWE</w:t>
      </w:r>
      <w:r w:rsidRPr="003B461A">
        <w:rPr>
          <w:b/>
        </w:rPr>
        <w:tab/>
        <w:t xml:space="preserve">      </w:t>
      </w:r>
      <w:r>
        <w:rPr>
          <w:b/>
        </w:rPr>
        <w:t xml:space="preserve">            </w:t>
      </w:r>
      <w:r w:rsidR="001947E2">
        <w:t>Second</w:t>
      </w:r>
      <w:r>
        <w:t xml:space="preserve"> Applicant</w:t>
      </w:r>
    </w:p>
    <w:p w14:paraId="1CE663F1" w14:textId="77777777" w:rsidR="00026FBD" w:rsidRPr="003B461A" w:rsidRDefault="00026FBD" w:rsidP="00026FBD">
      <w:pPr>
        <w:spacing w:line="360" w:lineRule="auto"/>
        <w:jc w:val="both"/>
      </w:pPr>
    </w:p>
    <w:p w14:paraId="4D94CBB3" w14:textId="77777777" w:rsidR="00026FBD" w:rsidRPr="003B461A" w:rsidRDefault="00026FBD" w:rsidP="00026FBD">
      <w:pPr>
        <w:tabs>
          <w:tab w:val="right" w:pos="8460"/>
        </w:tabs>
        <w:spacing w:line="360" w:lineRule="auto"/>
        <w:jc w:val="both"/>
      </w:pPr>
      <w:r w:rsidRPr="003B461A">
        <w:t>and</w:t>
      </w:r>
    </w:p>
    <w:p w14:paraId="60575FE0" w14:textId="77777777" w:rsidR="00026FBD" w:rsidRPr="003B461A" w:rsidRDefault="00026FBD" w:rsidP="00026FBD">
      <w:pPr>
        <w:tabs>
          <w:tab w:val="right" w:pos="8460"/>
        </w:tabs>
        <w:spacing w:line="360" w:lineRule="auto"/>
        <w:jc w:val="both"/>
        <w:rPr>
          <w:b/>
        </w:rPr>
      </w:pPr>
    </w:p>
    <w:p w14:paraId="13060A04" w14:textId="6FB2FD9F" w:rsidR="00026FBD" w:rsidRDefault="00026FBD" w:rsidP="00026FBD">
      <w:pPr>
        <w:tabs>
          <w:tab w:val="right" w:pos="10421"/>
        </w:tabs>
        <w:spacing w:line="480" w:lineRule="auto"/>
        <w:jc w:val="both"/>
      </w:pPr>
      <w:r>
        <w:rPr>
          <w:b/>
        </w:rPr>
        <w:t>HILDA JOHANNA VAN HEERDEN</w:t>
      </w:r>
      <w:r w:rsidRPr="003B461A">
        <w:rPr>
          <w:b/>
        </w:rPr>
        <w:tab/>
        <w:t xml:space="preserve">      </w:t>
      </w:r>
      <w:r>
        <w:rPr>
          <w:b/>
        </w:rPr>
        <w:t xml:space="preserve">            </w:t>
      </w:r>
      <w:r w:rsidR="001947E2">
        <w:t>First</w:t>
      </w:r>
      <w:r>
        <w:t xml:space="preserve"> Respondent  </w:t>
      </w:r>
    </w:p>
    <w:p w14:paraId="69BAF5AC" w14:textId="2D39E9FF" w:rsidR="00026FBD" w:rsidRDefault="00026FBD" w:rsidP="00026FBD">
      <w:pPr>
        <w:tabs>
          <w:tab w:val="right" w:pos="10421"/>
        </w:tabs>
        <w:spacing w:line="480" w:lineRule="auto"/>
        <w:jc w:val="both"/>
      </w:pPr>
      <w:r>
        <w:rPr>
          <w:b/>
        </w:rPr>
        <w:t>JOHANNES STEPHANUS SPAMER</w:t>
      </w:r>
      <w:r w:rsidRPr="003B461A">
        <w:rPr>
          <w:b/>
        </w:rPr>
        <w:tab/>
        <w:t xml:space="preserve">      </w:t>
      </w:r>
      <w:r>
        <w:rPr>
          <w:b/>
        </w:rPr>
        <w:t xml:space="preserve">            </w:t>
      </w:r>
      <w:r w:rsidR="001947E2">
        <w:t>Second</w:t>
      </w:r>
      <w:r>
        <w:t xml:space="preserve"> Respondent </w:t>
      </w:r>
    </w:p>
    <w:p w14:paraId="446FA67E" w14:textId="3B6BE731" w:rsidR="00026FBD" w:rsidRDefault="00026FBD" w:rsidP="00026FBD">
      <w:pPr>
        <w:tabs>
          <w:tab w:val="right" w:pos="10421"/>
        </w:tabs>
        <w:spacing w:line="480" w:lineRule="auto"/>
        <w:jc w:val="both"/>
      </w:pPr>
      <w:r>
        <w:rPr>
          <w:b/>
        </w:rPr>
        <w:t>HERMAN BESTER N.O.</w:t>
      </w:r>
      <w:r w:rsidRPr="003B461A">
        <w:rPr>
          <w:b/>
        </w:rPr>
        <w:tab/>
        <w:t xml:space="preserve">      </w:t>
      </w:r>
      <w:r>
        <w:rPr>
          <w:b/>
        </w:rPr>
        <w:t xml:space="preserve">            </w:t>
      </w:r>
      <w:r w:rsidR="001947E2">
        <w:t>Third</w:t>
      </w:r>
      <w:r>
        <w:t xml:space="preserve"> Respondent </w:t>
      </w:r>
    </w:p>
    <w:p w14:paraId="0A5315E8" w14:textId="4C702CF9" w:rsidR="00026FBD" w:rsidRDefault="00026FBD" w:rsidP="00026FBD">
      <w:pPr>
        <w:tabs>
          <w:tab w:val="right" w:pos="10421"/>
        </w:tabs>
        <w:spacing w:line="480" w:lineRule="auto"/>
        <w:jc w:val="both"/>
      </w:pPr>
      <w:r>
        <w:rPr>
          <w:b/>
        </w:rPr>
        <w:t>HILBER (PTY) LTD</w:t>
      </w:r>
      <w:r w:rsidRPr="003B461A">
        <w:rPr>
          <w:b/>
        </w:rPr>
        <w:tab/>
        <w:t xml:space="preserve">      </w:t>
      </w:r>
      <w:r>
        <w:rPr>
          <w:b/>
        </w:rPr>
        <w:t xml:space="preserve">            </w:t>
      </w:r>
      <w:r w:rsidR="001947E2">
        <w:t>Fourth</w:t>
      </w:r>
      <w:r>
        <w:t xml:space="preserve"> Respondent </w:t>
      </w:r>
    </w:p>
    <w:p w14:paraId="307C0880" w14:textId="42E7F010" w:rsidR="00026FBD" w:rsidRDefault="00026FBD" w:rsidP="00026FBD">
      <w:pPr>
        <w:tabs>
          <w:tab w:val="right" w:pos="10421"/>
        </w:tabs>
        <w:spacing w:line="480" w:lineRule="auto"/>
        <w:jc w:val="both"/>
      </w:pPr>
      <w:r>
        <w:rPr>
          <w:b/>
        </w:rPr>
        <w:t>HILBER II (PTY) LTD</w:t>
      </w:r>
      <w:r w:rsidRPr="003B461A">
        <w:rPr>
          <w:b/>
        </w:rPr>
        <w:tab/>
        <w:t xml:space="preserve">      </w:t>
      </w:r>
      <w:r>
        <w:rPr>
          <w:b/>
        </w:rPr>
        <w:t xml:space="preserve">            </w:t>
      </w:r>
      <w:r w:rsidR="001947E2">
        <w:t>Fifth</w:t>
      </w:r>
      <w:r>
        <w:t xml:space="preserve"> Respondent </w:t>
      </w:r>
    </w:p>
    <w:p w14:paraId="215ED837" w14:textId="7E3D6E2E" w:rsidR="00026FBD" w:rsidRDefault="00026FBD" w:rsidP="00026FBD">
      <w:pPr>
        <w:tabs>
          <w:tab w:val="right" w:pos="10421"/>
        </w:tabs>
        <w:spacing w:line="480" w:lineRule="auto"/>
        <w:jc w:val="both"/>
      </w:pPr>
      <w:r>
        <w:rPr>
          <w:b/>
        </w:rPr>
        <w:t>HILDA JOHANNA VAN HEERDEN N.O.</w:t>
      </w:r>
      <w:r w:rsidRPr="003B461A">
        <w:rPr>
          <w:b/>
        </w:rPr>
        <w:tab/>
        <w:t xml:space="preserve">      </w:t>
      </w:r>
      <w:r>
        <w:rPr>
          <w:b/>
        </w:rPr>
        <w:t xml:space="preserve">            </w:t>
      </w:r>
      <w:r w:rsidR="001947E2">
        <w:t>Sixth</w:t>
      </w:r>
      <w:r>
        <w:t xml:space="preserve"> Respondent </w:t>
      </w:r>
    </w:p>
    <w:p w14:paraId="4E9974EB" w14:textId="0671857E" w:rsidR="00026FBD" w:rsidRDefault="00026FBD" w:rsidP="00026FBD">
      <w:pPr>
        <w:tabs>
          <w:tab w:val="right" w:pos="10421"/>
        </w:tabs>
        <w:spacing w:line="480" w:lineRule="auto"/>
        <w:jc w:val="both"/>
      </w:pPr>
      <w:r>
        <w:rPr>
          <w:b/>
        </w:rPr>
        <w:t>HENDRIK PETRUS VOS N.O.</w:t>
      </w:r>
      <w:r w:rsidRPr="003B461A">
        <w:rPr>
          <w:b/>
        </w:rPr>
        <w:tab/>
        <w:t xml:space="preserve">      </w:t>
      </w:r>
      <w:r>
        <w:rPr>
          <w:b/>
        </w:rPr>
        <w:t xml:space="preserve">            </w:t>
      </w:r>
      <w:r w:rsidR="001947E2">
        <w:t>Seventh</w:t>
      </w:r>
      <w:r>
        <w:t xml:space="preserve"> Respondent</w:t>
      </w:r>
    </w:p>
    <w:p w14:paraId="70274B63" w14:textId="2CCC93DA" w:rsidR="00026FBD" w:rsidRDefault="00026FBD" w:rsidP="00026FBD">
      <w:pPr>
        <w:tabs>
          <w:tab w:val="right" w:pos="10421"/>
        </w:tabs>
        <w:spacing w:line="480" w:lineRule="auto"/>
        <w:jc w:val="both"/>
      </w:pPr>
      <w:r>
        <w:rPr>
          <w:b/>
        </w:rPr>
        <w:t>KARIN LINDA DREYER N.O.</w:t>
      </w:r>
      <w:r w:rsidRPr="003B461A">
        <w:rPr>
          <w:b/>
        </w:rPr>
        <w:tab/>
        <w:t xml:space="preserve">      </w:t>
      </w:r>
      <w:r>
        <w:rPr>
          <w:b/>
        </w:rPr>
        <w:t xml:space="preserve">            </w:t>
      </w:r>
      <w:r w:rsidR="001947E2">
        <w:t>Eighth</w:t>
      </w:r>
      <w:r>
        <w:t xml:space="preserve"> Respondent </w:t>
      </w:r>
    </w:p>
    <w:p w14:paraId="2E840403" w14:textId="15522F85" w:rsidR="00026FBD" w:rsidRDefault="00026FBD" w:rsidP="00026FBD">
      <w:pPr>
        <w:tabs>
          <w:tab w:val="right" w:pos="10421"/>
        </w:tabs>
        <w:spacing w:line="480" w:lineRule="auto"/>
        <w:jc w:val="both"/>
      </w:pPr>
    </w:p>
    <w:p w14:paraId="4ECCFB96" w14:textId="77777777"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14:paraId="28DC7DCA" w14:textId="265A70AC" w:rsidR="007E0C13" w:rsidRDefault="00D77613" w:rsidP="004C3172">
      <w:pPr>
        <w:tabs>
          <w:tab w:val="right" w:pos="9072"/>
        </w:tabs>
        <w:spacing w:line="480" w:lineRule="auto"/>
        <w:jc w:val="both"/>
      </w:pPr>
      <w:r w:rsidRPr="00E33BD4">
        <w:rPr>
          <w:b/>
        </w:rPr>
        <w:t>Heard:</w:t>
      </w:r>
      <w:r w:rsidR="00166F0F">
        <w:t xml:space="preserve"> </w:t>
      </w:r>
      <w:r w:rsidR="00026FBD">
        <w:t>12 June</w:t>
      </w:r>
      <w:r w:rsidR="008960EF">
        <w:t xml:space="preserve"> 2023</w:t>
      </w:r>
    </w:p>
    <w:p w14:paraId="2DD26F1F" w14:textId="65B1BB05"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60351E">
        <w:t>14 June 2023</w:t>
      </w:r>
    </w:p>
    <w:p w14:paraId="7CFDCFB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0160542" w14:textId="77777777" w:rsidR="007E0C13" w:rsidRPr="003B461A" w:rsidRDefault="007E0C13" w:rsidP="003B461A">
      <w:pPr>
        <w:tabs>
          <w:tab w:val="right" w:pos="8400"/>
        </w:tabs>
        <w:spacing w:before="60" w:after="60"/>
        <w:jc w:val="both"/>
        <w:rPr>
          <w:sz w:val="26"/>
          <w:szCs w:val="26"/>
        </w:rPr>
      </w:pPr>
    </w:p>
    <w:p w14:paraId="57D478EF" w14:textId="77777777"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0D305F5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5C1ED279" w14:textId="77777777" w:rsidR="003B461A" w:rsidRDefault="00E4144F" w:rsidP="007134CF">
      <w:pPr>
        <w:jc w:val="both"/>
        <w:rPr>
          <w:rFonts w:eastAsiaTheme="minorHAnsi"/>
          <w:b/>
          <w:lang w:eastAsia="en-US"/>
        </w:rPr>
      </w:pPr>
      <w:r w:rsidRPr="00FD66FB">
        <w:rPr>
          <w:rFonts w:eastAsiaTheme="minorHAnsi"/>
          <w:b/>
          <w:u w:val="single"/>
          <w:lang w:eastAsia="en-US"/>
        </w:rPr>
        <w:lastRenderedPageBreak/>
        <w:t>CLOETE J</w:t>
      </w:r>
      <w:r w:rsidR="003D0062">
        <w:rPr>
          <w:rFonts w:eastAsiaTheme="minorHAnsi"/>
          <w:b/>
          <w:lang w:eastAsia="en-US"/>
        </w:rPr>
        <w:t>:</w:t>
      </w:r>
    </w:p>
    <w:p w14:paraId="257D5695" w14:textId="77777777" w:rsidR="008960EF" w:rsidRDefault="008960EF" w:rsidP="007134CF">
      <w:pPr>
        <w:jc w:val="both"/>
        <w:rPr>
          <w:rFonts w:eastAsiaTheme="minorHAnsi"/>
          <w:b/>
          <w:lang w:eastAsia="en-US"/>
        </w:rPr>
      </w:pPr>
    </w:p>
    <w:p w14:paraId="6A112600" w14:textId="77777777" w:rsidR="00463FFB" w:rsidRDefault="00463FFB" w:rsidP="003B461A">
      <w:pPr>
        <w:jc w:val="both"/>
        <w:rPr>
          <w:rFonts w:eastAsiaTheme="minorHAnsi"/>
          <w:b/>
          <w:lang w:eastAsia="en-US"/>
        </w:rPr>
      </w:pPr>
    </w:p>
    <w:p w14:paraId="2A627A86" w14:textId="365DEB38" w:rsidR="00EF4681" w:rsidRDefault="00A1584E" w:rsidP="00A1584E">
      <w:pPr>
        <w:spacing w:after="480" w:line="480" w:lineRule="auto"/>
        <w:ind w:left="720" w:hanging="720"/>
        <w:jc w:val="both"/>
      </w:pPr>
      <w:r>
        <w:t>[1]</w:t>
      </w:r>
      <w:r>
        <w:tab/>
      </w:r>
      <w:r w:rsidR="000728A2">
        <w:t>Th</w:t>
      </w:r>
      <w:r w:rsidR="00543A5F">
        <w:t xml:space="preserve">is is an opposed </w:t>
      </w:r>
      <w:r w:rsidR="00127B49">
        <w:t>interlocutory application for relief in terms of uniform rule 35(14). It is brought at the instance of the first and fifth to eighth respondents in the main application set down for hearing on 30 August 2023, to compel the first and second applicants in that application to produce a host of documents. The main application is opposed by these respondents along with the second respondent.</w:t>
      </w:r>
    </w:p>
    <w:p w14:paraId="0573B33A" w14:textId="6C488D34" w:rsidR="00127B49" w:rsidRDefault="00A1584E" w:rsidP="00A1584E">
      <w:pPr>
        <w:spacing w:after="480" w:line="480" w:lineRule="auto"/>
        <w:ind w:left="720" w:hanging="720"/>
        <w:jc w:val="both"/>
      </w:pPr>
      <w:r>
        <w:t>[2</w:t>
      </w:r>
      <w:bookmarkStart w:id="0" w:name="_GoBack"/>
      <w:bookmarkEnd w:id="0"/>
      <w:r>
        <w:t>]</w:t>
      </w:r>
      <w:r>
        <w:tab/>
      </w:r>
      <w:r w:rsidR="00127B49">
        <w:t xml:space="preserve">The reason is described in the rule 35(14) notice preceding the current application as being </w:t>
      </w:r>
      <w:r w:rsidR="00127B49">
        <w:rPr>
          <w:i/>
        </w:rPr>
        <w:t>‘for purposes of pleading, the following documents</w:t>
      </w:r>
      <w:r w:rsidR="00127B49">
        <w:t xml:space="preserve"> [are required]</w:t>
      </w:r>
      <w:r w:rsidR="00127B49">
        <w:rPr>
          <w:i/>
        </w:rPr>
        <w:t xml:space="preserve"> which are relevant to a reasonably anticipated issue…’</w:t>
      </w:r>
      <w:r w:rsidR="00127B49">
        <w:t>. For convenience, and save where otherwise indicated the first and fifth to eight respondents are referred to herein as “the respondents” and the first and second applicants as “the applicants”.</w:t>
      </w:r>
    </w:p>
    <w:p w14:paraId="309FDF8C" w14:textId="460FEECA" w:rsidR="00127B49" w:rsidRDefault="00A1584E" w:rsidP="00A1584E">
      <w:pPr>
        <w:spacing w:after="480" w:line="480" w:lineRule="auto"/>
        <w:ind w:left="720" w:hanging="720"/>
        <w:jc w:val="both"/>
      </w:pPr>
      <w:r>
        <w:t>[3]</w:t>
      </w:r>
      <w:r>
        <w:tab/>
      </w:r>
      <w:r w:rsidR="00127B49">
        <w:t>In the main application the applicants seek the court’s declaration that: (a) the appointment of the second respondent (“Spamer”) as director of the fourth respondent (“Hilber”) on 12 December 2022 is void; (b) the resolution taken on 16 January 2023 to place Hilber in business rescue is void; (c) consequently, the appointment of the third respondent (“Bester”) as business rescue practitioner (“BRP”) is void; and (d) business rescue in respect of Hilber did not commence.</w:t>
      </w:r>
    </w:p>
    <w:p w14:paraId="37DDB501" w14:textId="4BEFB56D" w:rsidR="00127B49" w:rsidRDefault="00A1584E" w:rsidP="00A1584E">
      <w:pPr>
        <w:spacing w:after="480" w:line="480" w:lineRule="auto"/>
        <w:ind w:left="720" w:hanging="720"/>
        <w:jc w:val="both"/>
      </w:pPr>
      <w:r>
        <w:t>[4]</w:t>
      </w:r>
      <w:r>
        <w:tab/>
      </w:r>
      <w:r w:rsidR="00127B49">
        <w:t xml:space="preserve">At this stage only the founding affidavit in the main application is before the court since the respondents maintain they require the documents listed in their </w:t>
      </w:r>
      <w:r w:rsidR="00127B49">
        <w:lastRenderedPageBreak/>
        <w:t>rule 35(14) notice to prepare their answering affidavit. Perusal of that founding affidavit reveals the following:</w:t>
      </w:r>
    </w:p>
    <w:p w14:paraId="54420D60" w14:textId="74CA1EB0" w:rsidR="007F2C5C" w:rsidRDefault="00127B49" w:rsidP="007F2C5C">
      <w:pPr>
        <w:spacing w:after="480" w:line="480" w:lineRule="auto"/>
        <w:ind w:left="1440" w:hanging="720"/>
        <w:jc w:val="both"/>
      </w:pPr>
      <w:r>
        <w:t>4.1</w:t>
      </w:r>
      <w:r>
        <w:tab/>
        <w:t xml:space="preserve">It contains </w:t>
      </w:r>
      <w:r w:rsidR="007F2C5C">
        <w:t>101 paragraphs. Of these</w:t>
      </w:r>
      <w:r w:rsidR="00CB744D">
        <w:t>,</w:t>
      </w:r>
      <w:r w:rsidR="007F2C5C">
        <w:t xml:space="preserve"> paragraphs 51 to 76 </w:t>
      </w:r>
      <w:r w:rsidR="00CB744D">
        <w:t xml:space="preserve">(“the relevant paragraphs”) </w:t>
      </w:r>
      <w:r w:rsidR="007F2C5C">
        <w:t>deal with the issues which the later court must determine. The remaining paragraphs provide historical and other context and/or deal with matters which arose subsequent to the events giving rise to the issues;</w:t>
      </w:r>
      <w:r w:rsidR="003D24D4">
        <w:rPr>
          <w:rStyle w:val="FootnoteReference"/>
        </w:rPr>
        <w:footnoteReference w:id="1"/>
      </w:r>
      <w:r w:rsidR="003D24D4">
        <w:t xml:space="preserve"> and</w:t>
      </w:r>
    </w:p>
    <w:p w14:paraId="5ACDDE49" w14:textId="56900368" w:rsidR="007F2C5C" w:rsidRDefault="007F2C5C" w:rsidP="00CB744D">
      <w:pPr>
        <w:spacing w:after="480" w:line="480" w:lineRule="auto"/>
        <w:ind w:left="1440" w:hanging="720"/>
        <w:jc w:val="both"/>
      </w:pPr>
      <w:r>
        <w:t>4.2</w:t>
      </w:r>
      <w:r>
        <w:tab/>
      </w:r>
      <w:r w:rsidR="00CB744D">
        <w:t>In the relevant paragraphs reliance is placed on the proper interpretation of a certain clause(s) in a joint venture agreement in relation to Spamer’s challenged appointment, which is a matter of law and not fact;</w:t>
      </w:r>
      <w:r w:rsidR="00CB744D">
        <w:rPr>
          <w:rStyle w:val="FootnoteReference"/>
        </w:rPr>
        <w:footnoteReference w:id="2"/>
      </w:r>
      <w:r w:rsidR="003D24D4">
        <w:t xml:space="preserve"> </w:t>
      </w:r>
      <w:r w:rsidR="00CB744D">
        <w:t>and statutory provisions pertaining to the impugned business rescue resolution and subsequent appointment of the BRP. Annexed are documents and correspondence upon which the applicants rely in support of their averments in the relevant paragraphs.</w:t>
      </w:r>
    </w:p>
    <w:p w14:paraId="4A0F35EF" w14:textId="34C385C5" w:rsidR="00127B49" w:rsidRDefault="00A1584E" w:rsidP="00A1584E">
      <w:pPr>
        <w:spacing w:after="480" w:line="480" w:lineRule="auto"/>
        <w:ind w:left="720" w:hanging="720"/>
        <w:jc w:val="both"/>
      </w:pPr>
      <w:r>
        <w:t>[5]</w:t>
      </w:r>
      <w:r>
        <w:tab/>
      </w:r>
      <w:r w:rsidR="009022AE">
        <w:t xml:space="preserve">Accordingly, despite the parties’ competing versions in relation to their overall disputes (evident from the founding affidavit in the main application and advanced in substantial part to motivate urgency, which is the basis upon which that application was initially brought), it is evident that </w:t>
      </w:r>
      <w:r w:rsidR="00A24F55">
        <w:t>any</w:t>
      </w:r>
      <w:r w:rsidR="009022AE">
        <w:t xml:space="preserve"> factual dispute(s) which may arise from the answering affidavit </w:t>
      </w:r>
      <w:r w:rsidR="00A24F55">
        <w:t xml:space="preserve">in relation to the relevant </w:t>
      </w:r>
      <w:r w:rsidR="00A24F55">
        <w:lastRenderedPageBreak/>
        <w:t xml:space="preserve">paragraphs </w:t>
      </w:r>
      <w:r w:rsidR="009022AE">
        <w:t>will have</w:t>
      </w:r>
      <w:r w:rsidR="00A24F55">
        <w:t xml:space="preserve"> limited impact on the </w:t>
      </w:r>
      <w:r w:rsidR="009022AE">
        <w:t>legal issue</w:t>
      </w:r>
      <w:r w:rsidR="00A24F55">
        <w:t>s</w:t>
      </w:r>
      <w:r w:rsidR="00FF5D95">
        <w:t xml:space="preserve"> which the later court must determine.</w:t>
      </w:r>
    </w:p>
    <w:p w14:paraId="559F3690" w14:textId="4142A512" w:rsidR="00FF5D95" w:rsidRDefault="00A1584E" w:rsidP="00A1584E">
      <w:pPr>
        <w:spacing w:after="480" w:line="480" w:lineRule="auto"/>
        <w:ind w:left="720" w:hanging="720"/>
        <w:jc w:val="both"/>
      </w:pPr>
      <w:r>
        <w:t>[6]</w:t>
      </w:r>
      <w:r>
        <w:tab/>
      </w:r>
      <w:r w:rsidR="00FF5D95">
        <w:t>This is borne out by the fact that a sole paragraph in the rule 35(14) notice – i.e. paragraph 74 – deals with</w:t>
      </w:r>
      <w:r w:rsidR="00A24F55">
        <w:t xml:space="preserve"> the relevant paragraphs.</w:t>
      </w:r>
      <w:r w:rsidR="00FF5D95">
        <w:t xml:space="preserve"> It refers to paragraph</w:t>
      </w:r>
      <w:r w:rsidR="00A24F55">
        <w:t> </w:t>
      </w:r>
      <w:r w:rsidR="00FF5D95">
        <w:t xml:space="preserve">61 of </w:t>
      </w:r>
      <w:r w:rsidR="00A24F55">
        <w:t>the founding</w:t>
      </w:r>
      <w:r w:rsidR="00FF5D95">
        <w:t xml:space="preserve"> affidavit as well as annexure FA14 thereto</w:t>
      </w:r>
      <w:r w:rsidR="00A24F55">
        <w:t>,</w:t>
      </w:r>
      <w:r w:rsidR="00FF5D95">
        <w:t xml:space="preserve"> and reads </w:t>
      </w:r>
      <w:r w:rsidR="00FF5D95">
        <w:rPr>
          <w:i/>
        </w:rPr>
        <w:t>‘copies of the following documents requested in Annexure FA14’</w:t>
      </w:r>
      <w:r w:rsidR="00FF5D95">
        <w:t xml:space="preserve">. No documents are separately listed but, on the assumption that paragraphs 75 to 79 of that notice – which fall under the subheading </w:t>
      </w:r>
      <w:r w:rsidR="00FF5D95">
        <w:rPr>
          <w:i/>
        </w:rPr>
        <w:t>‘Ad paragraph 96.6 of the founding affidavit’</w:t>
      </w:r>
      <w:r w:rsidR="00FF5D95">
        <w:t xml:space="preserve"> – were intended to refer to those documents, they are itemised therein as follows:</w:t>
      </w:r>
    </w:p>
    <w:p w14:paraId="51B42C59" w14:textId="5053FB50" w:rsidR="00FF5D95" w:rsidRDefault="00BB0817" w:rsidP="00BB0817">
      <w:pPr>
        <w:spacing w:after="240" w:line="360" w:lineRule="auto"/>
        <w:ind w:left="1440"/>
        <w:jc w:val="both"/>
        <w:rPr>
          <w:i/>
          <w:sz w:val="22"/>
          <w:szCs w:val="22"/>
        </w:rPr>
      </w:pPr>
      <w:r>
        <w:rPr>
          <w:i/>
          <w:sz w:val="22"/>
          <w:szCs w:val="22"/>
        </w:rPr>
        <w:t>‘</w:t>
      </w:r>
      <w:r w:rsidR="00FF5D95">
        <w:rPr>
          <w:i/>
          <w:sz w:val="22"/>
          <w:szCs w:val="22"/>
        </w:rPr>
        <w:t>75.</w:t>
      </w:r>
      <w:r w:rsidR="00FF5D95">
        <w:rPr>
          <w:i/>
          <w:sz w:val="22"/>
          <w:szCs w:val="22"/>
        </w:rPr>
        <w:tab/>
        <w:t xml:space="preserve">A list reflecting the creditors of Hilber. </w:t>
      </w:r>
    </w:p>
    <w:p w14:paraId="40DD0381" w14:textId="62B763EC" w:rsidR="00BB0817" w:rsidRDefault="000E791D" w:rsidP="000E791D">
      <w:pPr>
        <w:spacing w:after="240" w:line="360" w:lineRule="auto"/>
        <w:ind w:left="2160" w:hanging="720"/>
        <w:jc w:val="both"/>
        <w:rPr>
          <w:i/>
          <w:sz w:val="22"/>
          <w:szCs w:val="22"/>
        </w:rPr>
      </w:pPr>
      <w:r>
        <w:rPr>
          <w:i/>
          <w:sz w:val="22"/>
          <w:szCs w:val="22"/>
        </w:rPr>
        <w:t>76</w:t>
      </w:r>
      <w:r w:rsidR="00BB0817">
        <w:rPr>
          <w:i/>
          <w:sz w:val="22"/>
          <w:szCs w:val="22"/>
        </w:rPr>
        <w:t>.</w:t>
      </w:r>
      <w:r w:rsidR="00BB0817">
        <w:rPr>
          <w:i/>
          <w:sz w:val="22"/>
          <w:szCs w:val="22"/>
        </w:rPr>
        <w:tab/>
      </w:r>
      <w:r>
        <w:rPr>
          <w:i/>
          <w:sz w:val="22"/>
          <w:szCs w:val="22"/>
        </w:rPr>
        <w:t>Copies of any and all responses by the applicants to the e-mail, Annexure FA14.</w:t>
      </w:r>
    </w:p>
    <w:p w14:paraId="55817840" w14:textId="30813F5C" w:rsidR="000E791D" w:rsidRDefault="000E791D" w:rsidP="00BB0817">
      <w:pPr>
        <w:spacing w:after="240" w:line="360" w:lineRule="auto"/>
        <w:ind w:left="1440"/>
        <w:jc w:val="both"/>
        <w:rPr>
          <w:i/>
          <w:sz w:val="22"/>
          <w:szCs w:val="22"/>
        </w:rPr>
      </w:pPr>
      <w:r>
        <w:rPr>
          <w:i/>
          <w:sz w:val="22"/>
          <w:szCs w:val="22"/>
        </w:rPr>
        <w:t>77.</w:t>
      </w:r>
      <w:r>
        <w:rPr>
          <w:i/>
          <w:sz w:val="22"/>
          <w:szCs w:val="22"/>
        </w:rPr>
        <w:tab/>
        <w:t>Copies of any agreements as set out in paragraph 1 of the e-mail.</w:t>
      </w:r>
    </w:p>
    <w:p w14:paraId="2593C95E" w14:textId="6968721A" w:rsidR="000E791D" w:rsidRDefault="000E791D" w:rsidP="00BB0817">
      <w:pPr>
        <w:spacing w:after="240" w:line="360" w:lineRule="auto"/>
        <w:ind w:left="1440"/>
        <w:jc w:val="both"/>
        <w:rPr>
          <w:i/>
          <w:sz w:val="22"/>
          <w:szCs w:val="22"/>
        </w:rPr>
      </w:pPr>
      <w:r>
        <w:rPr>
          <w:i/>
          <w:sz w:val="22"/>
          <w:szCs w:val="22"/>
        </w:rPr>
        <w:t>78.</w:t>
      </w:r>
      <w:r>
        <w:rPr>
          <w:i/>
          <w:sz w:val="22"/>
          <w:szCs w:val="22"/>
        </w:rPr>
        <w:tab/>
        <w:t>Copies of any agreements as set out in paragraph 2 of the e-mail.</w:t>
      </w:r>
    </w:p>
    <w:p w14:paraId="3AB0F640" w14:textId="66EE4CCC" w:rsidR="000E791D" w:rsidRPr="00FF5D95" w:rsidRDefault="000E791D" w:rsidP="000E791D">
      <w:pPr>
        <w:spacing w:after="600" w:line="360" w:lineRule="auto"/>
        <w:ind w:left="1440"/>
        <w:jc w:val="both"/>
        <w:rPr>
          <w:i/>
          <w:sz w:val="22"/>
          <w:szCs w:val="22"/>
        </w:rPr>
      </w:pPr>
      <w:r>
        <w:rPr>
          <w:i/>
          <w:sz w:val="22"/>
          <w:szCs w:val="22"/>
        </w:rPr>
        <w:t>79.</w:t>
      </w:r>
      <w:r>
        <w:rPr>
          <w:i/>
          <w:sz w:val="22"/>
          <w:szCs w:val="22"/>
        </w:rPr>
        <w:tab/>
        <w:t>Copies of any agreements as set out in paragraph 3 of the e-mail.’</w:t>
      </w:r>
    </w:p>
    <w:p w14:paraId="38E11EF1" w14:textId="79D37BD5" w:rsidR="00FF5D95" w:rsidRDefault="00A1584E" w:rsidP="00A1584E">
      <w:pPr>
        <w:spacing w:after="480" w:line="480" w:lineRule="auto"/>
        <w:ind w:left="720" w:hanging="720"/>
        <w:jc w:val="both"/>
      </w:pPr>
      <w:r>
        <w:t>[7]</w:t>
      </w:r>
      <w:r>
        <w:tab/>
      </w:r>
      <w:r w:rsidR="000E791D">
        <w:t xml:space="preserve">Annexure FA14 to the founding affidavit is an email from the first respondent (“Van Heerden”) to the second applicant (“Van der Merwe”) dated 12 January 2023 requesting certain financial documentation and information in relation to Hilber, seemingly for purposes of the shareholders/directors meeting scheduled for 16 January 2023. At all relevant times Van Heerden and Van der Merwe </w:t>
      </w:r>
      <w:r w:rsidR="000E791D">
        <w:lastRenderedPageBreak/>
        <w:t xml:space="preserve">were co-directors of </w:t>
      </w:r>
      <w:r w:rsidR="007C5F9D">
        <w:t>Hilber</w:t>
      </w:r>
      <w:r w:rsidR="000E791D">
        <w:t xml:space="preserve"> until Spamer was </w:t>
      </w:r>
      <w:r w:rsidR="007E16A0">
        <w:t xml:space="preserve">also </w:t>
      </w:r>
      <w:r w:rsidR="000E791D">
        <w:t>purportedly appointed as such on 12 December 2022.</w:t>
      </w:r>
    </w:p>
    <w:p w14:paraId="4ADC2937" w14:textId="6FDC847C" w:rsidR="000E791D" w:rsidRDefault="00A1584E" w:rsidP="00A1584E">
      <w:pPr>
        <w:spacing w:after="480" w:line="480" w:lineRule="auto"/>
        <w:ind w:left="720" w:hanging="720"/>
        <w:jc w:val="both"/>
      </w:pPr>
      <w:r>
        <w:t>[8]</w:t>
      </w:r>
      <w:r>
        <w:tab/>
      </w:r>
      <w:r w:rsidR="000E791D">
        <w:t xml:space="preserve">This email was thus sent </w:t>
      </w:r>
      <w:r w:rsidR="005616EC">
        <w:t xml:space="preserve">by Van Heerden </w:t>
      </w:r>
      <w:r w:rsidR="000E791D">
        <w:t xml:space="preserve">to </w:t>
      </w:r>
      <w:r w:rsidR="00A24F55">
        <w:t>Van der Merwe</w:t>
      </w:r>
      <w:r w:rsidR="000E791D">
        <w:t xml:space="preserve"> </w:t>
      </w:r>
      <w:r w:rsidR="007F26AC">
        <w:rPr>
          <w:u w:val="single"/>
        </w:rPr>
        <w:t>after</w:t>
      </w:r>
      <w:r w:rsidR="007F26AC">
        <w:t xml:space="preserve"> the impugned appointment of Spamer on 12 December 2022 and any documents sought therein cannot be relevant to such appointment. In addition, according to Spamer (who is the deponent to both the main and replying affidavits in the current application) that information and documentation (amongst others) has never been provided to Van Heerden. The relevance of this allegation is that on 16 January 2023, Van Heerden nonetheless signed the impugned resolution to place Hilber in business rescue in terms of s 129 of the Companies Act</w:t>
      </w:r>
      <w:r w:rsidR="00AA3E9C">
        <w:rPr>
          <w:rStyle w:val="FootnoteReference"/>
        </w:rPr>
        <w:footnoteReference w:id="3"/>
      </w:r>
      <w:r w:rsidR="00AA3E9C">
        <w:t xml:space="preserve"> i.e. on the basis that the board of directors had reasonable grounds to believe Hilber was financially distressed and there was a reasonable prospect of rescuing it.</w:t>
      </w:r>
    </w:p>
    <w:p w14:paraId="4A64A237" w14:textId="217DBD86" w:rsidR="00AA3E9C" w:rsidRDefault="00A1584E" w:rsidP="00A1584E">
      <w:pPr>
        <w:spacing w:after="480" w:line="480" w:lineRule="auto"/>
        <w:ind w:left="720" w:hanging="720"/>
        <w:jc w:val="both"/>
      </w:pPr>
      <w:r>
        <w:t>[9]</w:t>
      </w:r>
      <w:r>
        <w:tab/>
      </w:r>
      <w:r w:rsidR="00AA3E9C">
        <w:t>It is not in dispute that this resolution was taken at a time when Van der Merwe was no longer in attendance at that meeting. It thus stands to reason that Van Heerden (and Spamer) must already have had information and documentation in their possession which they considered sufficient to conclude that business rescue</w:t>
      </w:r>
      <w:r w:rsidR="00A24F55">
        <w:t>, due to financial distress,</w:t>
      </w:r>
      <w:r w:rsidR="00AA3E9C">
        <w:t xml:space="preserve"> was the appropriate option for Hilber. In these circumstances, I do not see how documents produced </w:t>
      </w:r>
      <w:r w:rsidR="00AA3E9C">
        <w:rPr>
          <w:i/>
        </w:rPr>
        <w:t>ex post facto</w:t>
      </w:r>
      <w:r w:rsidR="00AA3E9C">
        <w:t xml:space="preserve"> can be of any relevance to the taking of that resolution</w:t>
      </w:r>
      <w:r w:rsidR="00534D8B">
        <w:t>. Further, it should also be self-</w:t>
      </w:r>
      <w:r w:rsidR="00534D8B">
        <w:lastRenderedPageBreak/>
        <w:t xml:space="preserve">evident that these documents have no relevance to Van Heerden’s subsequent </w:t>
      </w:r>
      <w:r w:rsidR="00534D8B">
        <w:rPr>
          <w:u w:val="single"/>
        </w:rPr>
        <w:t>appointment</w:t>
      </w:r>
      <w:r w:rsidR="00534D8B">
        <w:t xml:space="preserve"> of Bester as BRP. </w:t>
      </w:r>
    </w:p>
    <w:p w14:paraId="22A378B2" w14:textId="0DA58220" w:rsidR="00534D8B" w:rsidRDefault="00A1584E" w:rsidP="00A1584E">
      <w:pPr>
        <w:spacing w:after="480" w:line="480" w:lineRule="auto"/>
        <w:ind w:left="720" w:hanging="720"/>
        <w:jc w:val="both"/>
      </w:pPr>
      <w:r>
        <w:t>[10]</w:t>
      </w:r>
      <w:r>
        <w:tab/>
      </w:r>
      <w:r w:rsidR="00534D8B">
        <w:t xml:space="preserve">Put differently, the documents requested in the rule 35(14) notice for determination of the issues by a later court are neither essential nor material to the </w:t>
      </w:r>
      <w:r w:rsidR="00534D8B">
        <w:rPr>
          <w:i/>
        </w:rPr>
        <w:t>‘</w:t>
      </w:r>
      <w:r w:rsidR="00534D8B" w:rsidRPr="00534D8B">
        <w:rPr>
          <w:i/>
        </w:rPr>
        <w:t>proper conduct and fair determination of the case</w:t>
      </w:r>
      <w:r w:rsidR="00534D8B">
        <w:rPr>
          <w:i/>
        </w:rPr>
        <w:t>’</w:t>
      </w:r>
      <w:r w:rsidR="005F58F8">
        <w:t xml:space="preserve"> which the respondents are required to meet.</w:t>
      </w:r>
      <w:r w:rsidR="0075231A">
        <w:t xml:space="preserve"> </w:t>
      </w:r>
      <w:r w:rsidR="00C66695">
        <w:t xml:space="preserve">As stated in </w:t>
      </w:r>
      <w:r w:rsidR="00C66695">
        <w:rPr>
          <w:i/>
        </w:rPr>
        <w:t>Lewis Group Ltd v Woollam (2)</w:t>
      </w:r>
      <w:r w:rsidR="00A54FF9" w:rsidRPr="00A54FF9">
        <w:rPr>
          <w:rStyle w:val="FootnoteReference"/>
        </w:rPr>
        <w:footnoteReference w:id="4"/>
      </w:r>
      <w:r w:rsidR="00C66695" w:rsidRPr="00A54FF9">
        <w:t>:</w:t>
      </w:r>
    </w:p>
    <w:p w14:paraId="67B153F3" w14:textId="5C5F533E" w:rsidR="00C66695" w:rsidRDefault="00C66695" w:rsidP="00B0199F">
      <w:pPr>
        <w:spacing w:after="120" w:line="360" w:lineRule="auto"/>
        <w:ind w:left="2160" w:hanging="742"/>
        <w:jc w:val="both"/>
        <w:rPr>
          <w:i/>
          <w:sz w:val="22"/>
          <w:szCs w:val="22"/>
        </w:rPr>
      </w:pPr>
      <w:r>
        <w:rPr>
          <w:i/>
          <w:sz w:val="22"/>
          <w:szCs w:val="22"/>
        </w:rPr>
        <w:t>‘[4]</w:t>
      </w:r>
      <w:r>
        <w:rPr>
          <w:i/>
          <w:sz w:val="22"/>
          <w:szCs w:val="22"/>
        </w:rPr>
        <w:tab/>
        <w:t xml:space="preserve">Rule 35, which regulates the discovery procedure in general civil litigation, is primarily applicable in action proceedings. Rule 35(13) provides, however, that </w:t>
      </w:r>
      <w:r>
        <w:rPr>
          <w:sz w:val="22"/>
          <w:szCs w:val="22"/>
        </w:rPr>
        <w:t>“The provisions of this rule relating to discovery sha</w:t>
      </w:r>
      <w:r w:rsidR="00440EDC">
        <w:rPr>
          <w:sz w:val="22"/>
          <w:szCs w:val="22"/>
        </w:rPr>
        <w:t>ll</w:t>
      </w:r>
      <w:r>
        <w:rPr>
          <w:sz w:val="22"/>
          <w:szCs w:val="22"/>
        </w:rPr>
        <w:t xml:space="preserve"> </w:t>
      </w:r>
      <w:r>
        <w:rPr>
          <w:sz w:val="22"/>
          <w:szCs w:val="22"/>
          <w:u w:val="single"/>
        </w:rPr>
        <w:t>mutatis mutandis</w:t>
      </w:r>
      <w:r>
        <w:rPr>
          <w:sz w:val="22"/>
          <w:szCs w:val="22"/>
        </w:rPr>
        <w:t xml:space="preserve"> apply, in so far as the court may direct, to applications”. </w:t>
      </w:r>
      <w:r>
        <w:rPr>
          <w:i/>
          <w:sz w:val="22"/>
          <w:szCs w:val="22"/>
        </w:rPr>
        <w:t xml:space="preserve">The fact that, differently to the position in respect of actions, a party seeking discovery in motion proceedings is able to obtain it only insofar as the court might direct points to the availability of the procedure in applications as being out of the ordinary, and, to that extent, exceptional. Indeed, in </w:t>
      </w:r>
      <w:r>
        <w:rPr>
          <w:sz w:val="22"/>
          <w:szCs w:val="22"/>
        </w:rPr>
        <w:t>Moulded Components and Rotomoulding South Africa (Pty) Ltd v Coucourakis</w:t>
      </w:r>
      <w:r>
        <w:rPr>
          <w:i/>
          <w:sz w:val="22"/>
          <w:szCs w:val="22"/>
        </w:rPr>
        <w:t xml:space="preserve"> 1979 (2) SA 457 (W) at 470D-E, Botha J remarked:</w:t>
      </w:r>
    </w:p>
    <w:p w14:paraId="3D36A782" w14:textId="77777777" w:rsidR="00C22E9D" w:rsidRDefault="00C66695" w:rsidP="00B0199F">
      <w:pPr>
        <w:spacing w:after="120" w:line="360" w:lineRule="auto"/>
        <w:ind w:left="2977" w:hanging="97"/>
        <w:jc w:val="both"/>
        <w:rPr>
          <w:i/>
          <w:sz w:val="20"/>
          <w:szCs w:val="20"/>
        </w:rPr>
      </w:pPr>
      <w:r>
        <w:rPr>
          <w:i/>
          <w:sz w:val="20"/>
          <w:szCs w:val="20"/>
        </w:rPr>
        <w:t xml:space="preserve"> “In application proceedings we know that discovery is a very, very rare and unusual procedure </w:t>
      </w:r>
      <w:r w:rsidR="00C22E9D">
        <w:rPr>
          <w:i/>
          <w:sz w:val="20"/>
          <w:szCs w:val="20"/>
        </w:rPr>
        <w:t>to be used and I have no doubt that that is a sound practice and it is only in exceptional circumstances, in my view, that discovery should be ordered in application proceedings.”</w:t>
      </w:r>
    </w:p>
    <w:p w14:paraId="2555A7A7" w14:textId="77777777" w:rsidR="00836FEC" w:rsidRDefault="00C22E9D" w:rsidP="00836FEC">
      <w:pPr>
        <w:tabs>
          <w:tab w:val="left" w:pos="2127"/>
        </w:tabs>
        <w:spacing w:after="120" w:line="360" w:lineRule="auto"/>
        <w:ind w:left="2126" w:hanging="708"/>
        <w:jc w:val="both"/>
        <w:rPr>
          <w:i/>
          <w:sz w:val="22"/>
          <w:szCs w:val="22"/>
        </w:rPr>
      </w:pPr>
      <w:r>
        <w:rPr>
          <w:i/>
          <w:sz w:val="22"/>
          <w:szCs w:val="22"/>
        </w:rPr>
        <w:t>[5]</w:t>
      </w:r>
      <w:r>
        <w:rPr>
          <w:i/>
          <w:sz w:val="22"/>
          <w:szCs w:val="22"/>
        </w:rPr>
        <w:tab/>
      </w:r>
      <w:r w:rsidR="00B0199F">
        <w:rPr>
          <w:i/>
          <w:sz w:val="22"/>
          <w:szCs w:val="22"/>
        </w:rPr>
        <w:t xml:space="preserve">In </w:t>
      </w:r>
      <w:r w:rsidR="00B0199F">
        <w:rPr>
          <w:sz w:val="22"/>
          <w:szCs w:val="22"/>
        </w:rPr>
        <w:t>Moulded Components</w:t>
      </w:r>
      <w:r w:rsidR="00B6477C">
        <w:rPr>
          <w:i/>
          <w:sz w:val="22"/>
          <w:szCs w:val="22"/>
        </w:rPr>
        <w:t>, the learned Judge declined the request to make the procedure applicable for a number of reasons, including the failure of the party seeking discovery to have sought the documents concerned earlier, the danger that acceding to the request could lead to an unwholesome widening of the ambit of the proceed</w:t>
      </w:r>
      <w:r w:rsidR="00001709">
        <w:rPr>
          <w:i/>
          <w:sz w:val="22"/>
          <w:szCs w:val="22"/>
        </w:rPr>
        <w:t>i</w:t>
      </w:r>
      <w:r w:rsidR="00B6477C">
        <w:rPr>
          <w:i/>
          <w:sz w:val="22"/>
          <w:szCs w:val="22"/>
        </w:rPr>
        <w:t xml:space="preserve">ngs, the limited relevance of the documents sought, the wide form in which the relief was sought and the court’s perception that the contemplated exercise </w:t>
      </w:r>
      <w:r w:rsidR="00B6477C">
        <w:rPr>
          <w:i/>
          <w:sz w:val="22"/>
          <w:szCs w:val="22"/>
        </w:rPr>
        <w:lastRenderedPageBreak/>
        <w:t>would be something of a “fishing expedition”. The court’s reasoning confirms that the determination of an application for discovery in motion proceedi</w:t>
      </w:r>
      <w:r w:rsidR="00001709">
        <w:rPr>
          <w:i/>
          <w:sz w:val="22"/>
          <w:szCs w:val="22"/>
        </w:rPr>
        <w:t>ng</w:t>
      </w:r>
      <w:r w:rsidR="00B6477C">
        <w:rPr>
          <w:i/>
          <w:sz w:val="22"/>
          <w:szCs w:val="22"/>
        </w:rPr>
        <w:t>s proceeds upon an examination of the request with reference to its particular content assessed in the context of the peculiar characteristics of the litigation and mindful of the premise that the request should, as a matter of policy, be granted only exceptionally.</w:t>
      </w:r>
    </w:p>
    <w:p w14:paraId="61E4DA8E" w14:textId="4EF11939" w:rsidR="00C66695" w:rsidRPr="00C66695" w:rsidRDefault="00836FEC" w:rsidP="00B6477C">
      <w:pPr>
        <w:tabs>
          <w:tab w:val="left" w:pos="2127"/>
        </w:tabs>
        <w:spacing w:line="360" w:lineRule="auto"/>
        <w:ind w:left="2126" w:hanging="708"/>
        <w:jc w:val="both"/>
        <w:rPr>
          <w:i/>
          <w:sz w:val="20"/>
          <w:szCs w:val="20"/>
        </w:rPr>
      </w:pPr>
      <w:r>
        <w:rPr>
          <w:i/>
          <w:sz w:val="22"/>
          <w:szCs w:val="22"/>
        </w:rPr>
        <w:t>[6]</w:t>
      </w:r>
      <w:r>
        <w:rPr>
          <w:i/>
          <w:sz w:val="22"/>
          <w:szCs w:val="22"/>
        </w:rPr>
        <w:tab/>
      </w:r>
      <w:r w:rsidR="00C22E9D">
        <w:rPr>
          <w:i/>
          <w:sz w:val="22"/>
          <w:szCs w:val="22"/>
        </w:rPr>
        <w:tab/>
      </w:r>
      <w:r w:rsidR="00B17622">
        <w:rPr>
          <w:i/>
          <w:sz w:val="22"/>
          <w:szCs w:val="22"/>
        </w:rPr>
        <w:t xml:space="preserve">The pertinent principles have been rehearsed in a number of other reported judgments, notably </w:t>
      </w:r>
      <w:r w:rsidR="00B17622">
        <w:rPr>
          <w:sz w:val="22"/>
          <w:szCs w:val="22"/>
        </w:rPr>
        <w:t xml:space="preserve">Saunders Valve Co Ltd v Insamcor (Pty) Ltd </w:t>
      </w:r>
      <w:r w:rsidR="00B17622">
        <w:rPr>
          <w:i/>
          <w:sz w:val="22"/>
          <w:szCs w:val="22"/>
        </w:rPr>
        <w:t xml:space="preserve">1985 (1) SA 146 (T), </w:t>
      </w:r>
      <w:r w:rsidR="00B17622">
        <w:rPr>
          <w:sz w:val="22"/>
          <w:szCs w:val="22"/>
        </w:rPr>
        <w:t xml:space="preserve">Premier Freight (Pty) Ltd v Breathetex Corporation (Pty) Ltd </w:t>
      </w:r>
      <w:r w:rsidR="00B17622">
        <w:rPr>
          <w:i/>
          <w:sz w:val="22"/>
          <w:szCs w:val="22"/>
        </w:rPr>
        <w:t xml:space="preserve">2003 (6) SA 190 (SE), </w:t>
      </w:r>
      <w:r w:rsidR="00B17622">
        <w:rPr>
          <w:sz w:val="22"/>
          <w:szCs w:val="22"/>
        </w:rPr>
        <w:t>STT Sales (Pty) Ltd v Fourie and others</w:t>
      </w:r>
      <w:r w:rsidR="00B17622">
        <w:rPr>
          <w:i/>
          <w:sz w:val="22"/>
          <w:szCs w:val="22"/>
        </w:rPr>
        <w:t xml:space="preserve"> 2010</w:t>
      </w:r>
      <w:r w:rsidR="000F7ED9">
        <w:rPr>
          <w:i/>
          <w:sz w:val="22"/>
          <w:szCs w:val="22"/>
        </w:rPr>
        <w:t xml:space="preserve"> (6) SA 272 (GSJ</w:t>
      </w:r>
      <w:r w:rsidR="005616EC">
        <w:rPr>
          <w:i/>
          <w:sz w:val="22"/>
          <w:szCs w:val="22"/>
        </w:rPr>
        <w:t>)</w:t>
      </w:r>
      <w:r w:rsidR="000F7ED9">
        <w:rPr>
          <w:i/>
          <w:sz w:val="22"/>
          <w:szCs w:val="22"/>
        </w:rPr>
        <w:t xml:space="preserve"> and </w:t>
      </w:r>
      <w:r w:rsidR="000F7ED9">
        <w:rPr>
          <w:sz w:val="22"/>
          <w:szCs w:val="22"/>
        </w:rPr>
        <w:t xml:space="preserve">FirstRand Bank Ltd t/a Wesbank v Manhattan Operations (Pty) Ltd </w:t>
      </w:r>
      <w:r w:rsidR="000F7ED9">
        <w:rPr>
          <w:i/>
          <w:sz w:val="22"/>
          <w:szCs w:val="22"/>
        </w:rPr>
        <w:t>2013</w:t>
      </w:r>
      <w:r w:rsidR="002465F5">
        <w:rPr>
          <w:i/>
          <w:sz w:val="22"/>
          <w:szCs w:val="22"/>
        </w:rPr>
        <w:t xml:space="preserve"> (5) SA 238 (GSJ). It seems to me that the essential criterion is whether discovery would be material to the proper conduct and fair determination of the case.’</w:t>
      </w:r>
      <w:r w:rsidR="00C66695">
        <w:rPr>
          <w:i/>
          <w:sz w:val="20"/>
          <w:szCs w:val="20"/>
        </w:rPr>
        <w:t xml:space="preserve"> </w:t>
      </w:r>
    </w:p>
    <w:p w14:paraId="38A9435A" w14:textId="77777777" w:rsidR="00C66695" w:rsidRPr="00C66695" w:rsidRDefault="00C66695" w:rsidP="002465F5">
      <w:pPr>
        <w:spacing w:after="360" w:line="360" w:lineRule="auto"/>
        <w:ind w:left="2880" w:hanging="720"/>
        <w:jc w:val="both"/>
        <w:rPr>
          <w:i/>
          <w:sz w:val="22"/>
          <w:szCs w:val="22"/>
        </w:rPr>
      </w:pPr>
    </w:p>
    <w:p w14:paraId="64720ADF" w14:textId="482D51BC" w:rsidR="00A24F55" w:rsidRDefault="00A1584E" w:rsidP="00A1584E">
      <w:pPr>
        <w:spacing w:after="480" w:line="480" w:lineRule="auto"/>
        <w:ind w:left="720" w:hanging="720"/>
        <w:jc w:val="both"/>
      </w:pPr>
      <w:r>
        <w:t>[11]</w:t>
      </w:r>
      <w:r>
        <w:tab/>
      </w:r>
      <w:r w:rsidR="00A24F55">
        <w:t xml:space="preserve">In support of the rule 35(14) relief Spamer also explicitly stated (in the replying affidavit) that </w:t>
      </w:r>
      <w:r w:rsidR="00A24F55">
        <w:rPr>
          <w:i/>
        </w:rPr>
        <w:t>‘[i]t has become even more important that the parties’ disputes be determined once and for all to avoid a multiplicity of applications and actions and the Respondents therefore intend to bring all the issues/disputes before this Court for determination’.</w:t>
      </w:r>
      <w:r w:rsidR="00A24F55">
        <w:t xml:space="preserve"> That is a course of action open to the respondents, but not in the context of a rule 35(14) application, as was made clear in </w:t>
      </w:r>
      <w:r w:rsidR="00A24F55">
        <w:rPr>
          <w:i/>
        </w:rPr>
        <w:t>Ingledew v Financial Services Board</w:t>
      </w:r>
      <w:r w:rsidR="00A24F55">
        <w:t>:</w:t>
      </w:r>
      <w:r w:rsidR="00A24641">
        <w:rPr>
          <w:rStyle w:val="FootnoteReference"/>
        </w:rPr>
        <w:footnoteReference w:id="5"/>
      </w:r>
    </w:p>
    <w:p w14:paraId="4F00F304" w14:textId="35909622" w:rsidR="00A24641" w:rsidRDefault="00A24641" w:rsidP="00A24641">
      <w:pPr>
        <w:pStyle w:val="JUGMENTNUMBERED"/>
        <w:numPr>
          <w:ilvl w:val="0"/>
          <w:numId w:val="0"/>
        </w:numPr>
        <w:spacing w:line="360" w:lineRule="auto"/>
        <w:ind w:left="1440"/>
        <w:rPr>
          <w:rFonts w:ascii="Arial" w:hAnsi="Arial" w:cs="Arial"/>
          <w:i/>
          <w:sz w:val="22"/>
          <w:szCs w:val="22"/>
        </w:rPr>
      </w:pPr>
      <w:r>
        <w:rPr>
          <w:rFonts w:ascii="Arial" w:hAnsi="Arial" w:cs="Arial"/>
          <w:i/>
          <w:sz w:val="22"/>
          <w:szCs w:val="22"/>
        </w:rPr>
        <w:t>‘</w:t>
      </w:r>
      <w:r w:rsidRPr="00F76E4B">
        <w:rPr>
          <w:rFonts w:ascii="Arial" w:hAnsi="Arial" w:cs="Arial"/>
          <w:i/>
          <w:sz w:val="22"/>
          <w:szCs w:val="22"/>
        </w:rPr>
        <w:t>[15]</w:t>
      </w:r>
      <w:r w:rsidRPr="00F76E4B">
        <w:rPr>
          <w:rFonts w:ascii="Arial" w:hAnsi="Arial" w:cs="Arial"/>
          <w:i/>
          <w:sz w:val="22"/>
          <w:szCs w:val="22"/>
        </w:rPr>
        <w:tab/>
        <w:t>Both section 32(1)(a)</w:t>
      </w:r>
      <w:r w:rsidRPr="00F76E4B">
        <w:rPr>
          <w:rFonts w:ascii="Arial" w:hAnsi="Arial" w:cs="Arial"/>
          <w:sz w:val="22"/>
          <w:szCs w:val="22"/>
        </w:rPr>
        <w:t xml:space="preserve"> [of the Constitution]</w:t>
      </w:r>
      <w:r w:rsidRPr="00F76E4B">
        <w:rPr>
          <w:rFonts w:ascii="Arial" w:hAnsi="Arial" w:cs="Arial"/>
          <w:i/>
          <w:sz w:val="22"/>
          <w:szCs w:val="22"/>
        </w:rPr>
        <w:t xml:space="preserve"> and rule 35(14) confer a right to obtain information.  However, section 32 confers a general and an unqualified right to information.  By contrast, the subrule confers a limited right.  It can only be invoked during litigation by a litigant after appearance to defend an action has been entered and its terms unequivocally limit the nature of the documents and tape recordings covered by the rule to those “relevant to a </w:t>
      </w:r>
      <w:r w:rsidRPr="00F76E4B">
        <w:rPr>
          <w:rFonts w:ascii="Arial" w:hAnsi="Arial" w:cs="Arial"/>
          <w:i/>
          <w:sz w:val="22"/>
          <w:szCs w:val="22"/>
        </w:rPr>
        <w:lastRenderedPageBreak/>
        <w:t>reasonably anticipated issue in an action” and further limits the documents in question to those required “for purposes of pleading”</w:t>
      </w:r>
      <w:r w:rsidR="00E104BF">
        <w:rPr>
          <w:rFonts w:ascii="Arial" w:hAnsi="Arial" w:cs="Arial"/>
          <w:i/>
          <w:sz w:val="22"/>
          <w:szCs w:val="22"/>
        </w:rPr>
        <w:t>.</w:t>
      </w:r>
      <w:r w:rsidRPr="00F76E4B">
        <w:rPr>
          <w:rFonts w:ascii="Arial" w:hAnsi="Arial" w:cs="Arial"/>
          <w:i/>
          <w:sz w:val="22"/>
          <w:szCs w:val="22"/>
        </w:rPr>
        <w:t xml:space="preserve">  There is no reasonable constitutional construction of the rule that could broaden such purpose to accommodate the construction of it contended for by the applicant.  Accordingly, the subrule grants a right to information that is narrower, to that extent, than the right in section 32(1)(a).</w:t>
      </w:r>
      <w:r>
        <w:rPr>
          <w:rFonts w:ascii="Arial" w:hAnsi="Arial" w:cs="Arial"/>
          <w:i/>
          <w:sz w:val="22"/>
          <w:szCs w:val="22"/>
        </w:rPr>
        <w:t>’</w:t>
      </w:r>
    </w:p>
    <w:p w14:paraId="2B67EAD0" w14:textId="77777777" w:rsidR="00A24641" w:rsidRPr="00F76E4B" w:rsidRDefault="00A24641" w:rsidP="00F71CA1">
      <w:pPr>
        <w:pStyle w:val="JUGMENTNUMBERED"/>
        <w:numPr>
          <w:ilvl w:val="0"/>
          <w:numId w:val="0"/>
        </w:numPr>
        <w:spacing w:after="120" w:line="360" w:lineRule="auto"/>
        <w:ind w:left="1440"/>
        <w:rPr>
          <w:rFonts w:ascii="Arial" w:hAnsi="Arial" w:cs="Arial"/>
          <w:i/>
          <w:sz w:val="22"/>
          <w:szCs w:val="22"/>
        </w:rPr>
      </w:pPr>
    </w:p>
    <w:p w14:paraId="6DA8CB92" w14:textId="48783F9D" w:rsidR="00A24641" w:rsidRDefault="00A1584E" w:rsidP="00A1584E">
      <w:pPr>
        <w:spacing w:after="480" w:line="480" w:lineRule="auto"/>
        <w:ind w:left="720" w:hanging="720"/>
        <w:jc w:val="both"/>
      </w:pPr>
      <w:r>
        <w:t>[12]</w:t>
      </w:r>
      <w:r>
        <w:tab/>
      </w:r>
      <w:r w:rsidR="00441BAC">
        <w:t xml:space="preserve">The same applies to any contemplated counter-application, as was held in </w:t>
      </w:r>
      <w:r w:rsidR="00441BAC">
        <w:rPr>
          <w:i/>
        </w:rPr>
        <w:t>Quayside Fish Suppliers CC v Irvin &amp; Johnson Ltd</w:t>
      </w:r>
      <w:r w:rsidR="00441BAC">
        <w:t>:</w:t>
      </w:r>
      <w:r w:rsidR="00441BAC">
        <w:rPr>
          <w:rStyle w:val="FootnoteReference"/>
        </w:rPr>
        <w:footnoteReference w:id="6"/>
      </w:r>
    </w:p>
    <w:p w14:paraId="0885CCF5" w14:textId="271C78ED" w:rsidR="00441BAC" w:rsidRPr="00441BAC" w:rsidRDefault="00441BAC" w:rsidP="00441BAC">
      <w:pPr>
        <w:spacing w:after="480" w:line="360" w:lineRule="auto"/>
        <w:ind w:left="1440"/>
        <w:jc w:val="both"/>
        <w:rPr>
          <w:i/>
          <w:sz w:val="22"/>
          <w:szCs w:val="22"/>
        </w:rPr>
      </w:pPr>
      <w:r w:rsidRPr="00441BAC">
        <w:rPr>
          <w:i/>
          <w:sz w:val="22"/>
          <w:szCs w:val="22"/>
        </w:rPr>
        <w:t>‘[16]</w:t>
      </w:r>
      <w:r w:rsidRPr="00441BAC">
        <w:rPr>
          <w:i/>
          <w:sz w:val="22"/>
          <w:szCs w:val="22"/>
        </w:rPr>
        <w:tab/>
        <w:t xml:space="preserve">Mr </w:t>
      </w:r>
      <w:r w:rsidRPr="00441BAC">
        <w:rPr>
          <w:sz w:val="22"/>
          <w:szCs w:val="22"/>
        </w:rPr>
        <w:t>Burger</w:t>
      </w:r>
      <w:r w:rsidRPr="00441BAC">
        <w:rPr>
          <w:i/>
          <w:sz w:val="22"/>
          <w:szCs w:val="22"/>
        </w:rPr>
        <w:t xml:space="preserve">, who appeared for the applicant, submitted that the </w:t>
      </w:r>
      <w:r w:rsidRPr="00441BAC">
        <w:rPr>
          <w:sz w:val="22"/>
          <w:szCs w:val="22"/>
        </w:rPr>
        <w:t>Cullinan Holdings</w:t>
      </w:r>
      <w:r w:rsidRPr="00441BAC">
        <w:rPr>
          <w:i/>
          <w:sz w:val="22"/>
          <w:szCs w:val="22"/>
        </w:rPr>
        <w:t xml:space="preserve"> case was wrongly decided. Mr </w:t>
      </w:r>
      <w:r w:rsidRPr="00441BAC">
        <w:rPr>
          <w:sz w:val="22"/>
          <w:szCs w:val="22"/>
        </w:rPr>
        <w:t>Burger</w:t>
      </w:r>
      <w:r w:rsidRPr="00441BAC">
        <w:rPr>
          <w:i/>
          <w:sz w:val="22"/>
          <w:szCs w:val="22"/>
        </w:rPr>
        <w:t xml:space="preserve"> contended that the interpretation attributed to Rule 35(14) by Van Dijkhorst J effectively renders the Rule </w:t>
      </w:r>
      <w:r>
        <w:rPr>
          <w:i/>
          <w:sz w:val="22"/>
          <w:szCs w:val="22"/>
        </w:rPr>
        <w:t>inoperative</w:t>
      </w:r>
      <w:r w:rsidRPr="00441BAC">
        <w:rPr>
          <w:i/>
          <w:sz w:val="22"/>
          <w:szCs w:val="22"/>
        </w:rPr>
        <w:t xml:space="preserve">. I cannot agree with this submission. Rule 35(14) is limited in application and is aimed at operating only in the very specific circumstances set out in the Rule. To interpret it more widely would make inroads into the general principle that prior to the institution of an action a party cannot snoop around other people’s books. See, too, </w:t>
      </w:r>
      <w:r w:rsidRPr="00441BAC">
        <w:rPr>
          <w:sz w:val="22"/>
          <w:szCs w:val="22"/>
        </w:rPr>
        <w:t xml:space="preserve">The MV </w:t>
      </w:r>
      <w:r w:rsidRPr="00441BAC">
        <w:rPr>
          <w:i/>
          <w:sz w:val="22"/>
          <w:szCs w:val="22"/>
        </w:rPr>
        <w:t>Urgup</w:t>
      </w:r>
      <w:r w:rsidRPr="00441BAC">
        <w:rPr>
          <w:sz w:val="22"/>
          <w:szCs w:val="22"/>
        </w:rPr>
        <w:t xml:space="preserve">: Owners of the MV </w:t>
      </w:r>
      <w:r w:rsidRPr="00441BAC">
        <w:rPr>
          <w:i/>
          <w:sz w:val="22"/>
          <w:szCs w:val="22"/>
        </w:rPr>
        <w:t>Urgup</w:t>
      </w:r>
      <w:r w:rsidRPr="00441BAC">
        <w:rPr>
          <w:sz w:val="22"/>
          <w:szCs w:val="22"/>
        </w:rPr>
        <w:t xml:space="preserve"> v Western Bulk Carriers (Australia) (Pty) Ltd and Others</w:t>
      </w:r>
      <w:r w:rsidRPr="00441BAC">
        <w:rPr>
          <w:i/>
          <w:sz w:val="22"/>
          <w:szCs w:val="22"/>
        </w:rPr>
        <w:t xml:space="preserve"> 1999 (3) SA 500 (C) at 515B-I. In my view, the issues pending between the parties are those reflected in the pleadings. What the applicant is asking me to do is to permit it to search amongst the documents of the respondent to find out whether or not it has an additional or alternative counterclaim against the respondent. If this is what Rule 35(14) contemplates, it will give a plaintiff in reconvention a right which a plaintiff in convention does not have. The legislature could never have envisaged that once appearance to defend has been entered to a claim in convention it would give a plaintiff in reconvention </w:t>
      </w:r>
      <w:r w:rsidRPr="00441BAC">
        <w:rPr>
          <w:sz w:val="22"/>
          <w:szCs w:val="22"/>
        </w:rPr>
        <w:t>carte blanche</w:t>
      </w:r>
      <w:r w:rsidRPr="00441BAC">
        <w:rPr>
          <w:i/>
          <w:sz w:val="22"/>
          <w:szCs w:val="22"/>
        </w:rPr>
        <w:t xml:space="preserve"> to ask for the production of documents to establish whether he/she has a legal or factual foundation to formulate a claim in reconvention.’</w:t>
      </w:r>
    </w:p>
    <w:p w14:paraId="583581E1" w14:textId="77777777" w:rsidR="00441BAC" w:rsidRPr="00A24641" w:rsidRDefault="00441BAC" w:rsidP="00441BAC">
      <w:pPr>
        <w:spacing w:after="240" w:line="480" w:lineRule="auto"/>
        <w:ind w:left="720"/>
        <w:jc w:val="both"/>
      </w:pPr>
    </w:p>
    <w:p w14:paraId="01D61918" w14:textId="35D506F2" w:rsidR="00F71CA1" w:rsidRDefault="00A1584E" w:rsidP="00A1584E">
      <w:pPr>
        <w:spacing w:after="480" w:line="480" w:lineRule="auto"/>
        <w:ind w:left="720" w:hanging="720"/>
        <w:jc w:val="both"/>
      </w:pPr>
      <w:r>
        <w:lastRenderedPageBreak/>
        <w:t>[13]</w:t>
      </w:r>
      <w:r>
        <w:tab/>
      </w:r>
      <w:r w:rsidR="00F71CA1">
        <w:t xml:space="preserve">During argument counsel for the respondents developed their contention that the applicants seek in the main application to have the business rescue resolution set aside under s 130(1)(a) of the Companies Act, and it is for this reason that some of the documents required to be produced will assist in determining whether or not Hilber is indeed financially distressed. However as pointed out by counsel for the applicants this fundamentally misconstrues the basis of the relief claimed in the main application. In </w:t>
      </w:r>
      <w:r w:rsidR="00F71CA1">
        <w:rPr>
          <w:i/>
        </w:rPr>
        <w:t>Panamo Properties v Nel</w:t>
      </w:r>
      <w:r w:rsidR="00F71CA1">
        <w:rPr>
          <w:rStyle w:val="FootnoteReference"/>
        </w:rPr>
        <w:footnoteReference w:id="7"/>
      </w:r>
      <w:r w:rsidR="00F71CA1">
        <w:rPr>
          <w:i/>
        </w:rPr>
        <w:t xml:space="preserve"> </w:t>
      </w:r>
      <w:r w:rsidR="00F71CA1">
        <w:t>the court put it as follows:</w:t>
      </w:r>
    </w:p>
    <w:p w14:paraId="04A7C8E1" w14:textId="33D20C9F" w:rsidR="00F71CA1" w:rsidRPr="00F76E4B" w:rsidRDefault="00F71CA1" w:rsidP="00E22C20">
      <w:pPr>
        <w:pStyle w:val="NormalWeb"/>
        <w:shd w:val="clear" w:color="auto" w:fill="FFFFFF"/>
        <w:spacing w:before="144" w:beforeAutospacing="0" w:after="600" w:afterAutospacing="0" w:line="360" w:lineRule="auto"/>
        <w:ind w:left="1440"/>
        <w:jc w:val="both"/>
        <w:rPr>
          <w:rFonts w:ascii="Arial" w:hAnsi="Arial" w:cs="Arial"/>
          <w:i/>
          <w:color w:val="242121"/>
          <w:sz w:val="22"/>
          <w:szCs w:val="22"/>
        </w:rPr>
      </w:pPr>
      <w:r>
        <w:rPr>
          <w:rFonts w:ascii="Arial" w:hAnsi="Arial" w:cs="Arial"/>
          <w:i/>
          <w:color w:val="242121"/>
          <w:sz w:val="22"/>
          <w:szCs w:val="22"/>
          <w:lang w:val="en-GB"/>
        </w:rPr>
        <w:t>‘</w:t>
      </w:r>
      <w:r w:rsidRPr="00F76E4B">
        <w:rPr>
          <w:rFonts w:ascii="Arial" w:hAnsi="Arial" w:cs="Arial"/>
          <w:i/>
          <w:color w:val="242121"/>
          <w:sz w:val="22"/>
          <w:szCs w:val="22"/>
          <w:lang w:val="en-GB"/>
        </w:rPr>
        <w:t>[22] Counsel derived support for the first submission from </w:t>
      </w:r>
      <w:r w:rsidRPr="00E104BF">
        <w:rPr>
          <w:rFonts w:ascii="Arial" w:hAnsi="Arial" w:cs="Arial"/>
          <w:iCs/>
          <w:color w:val="242121"/>
          <w:sz w:val="22"/>
          <w:szCs w:val="22"/>
          <w:lang w:val="en-GB"/>
        </w:rPr>
        <w:t>D H Brothers</w:t>
      </w:r>
      <w:r w:rsidRPr="00F76E4B">
        <w:rPr>
          <w:rFonts w:ascii="Arial" w:hAnsi="Arial" w:cs="Arial"/>
          <w:i/>
          <w:color w:val="242121"/>
          <w:sz w:val="22"/>
          <w:szCs w:val="22"/>
          <w:lang w:val="en-GB"/>
        </w:rPr>
        <w:t>, where a resolution to commence business rescue was passed without the board of directors being properly constituted. The court said that this amounted to a failure to comply with the procedural requirements of s 129(1) of the Act. In my view that was incorrect. The consequence of the board not having been properly constituted, (which was not what occurred in the present case), would be that the resolution was not a resolution of the board of directors. As such it was a nullity and ineffective for the purpose of commencing business rescue proceedings. Equally, in the absence of such a resolution, there was nothing to set aside in terms of s 130(1)</w:t>
      </w:r>
      <w:r w:rsidRPr="00F76E4B">
        <w:rPr>
          <w:rFonts w:ascii="Arial" w:hAnsi="Arial" w:cs="Arial"/>
          <w:i/>
          <w:iCs/>
          <w:color w:val="242121"/>
          <w:sz w:val="22"/>
          <w:szCs w:val="22"/>
          <w:lang w:val="en-GB"/>
        </w:rPr>
        <w:t>(a)</w:t>
      </w:r>
      <w:r w:rsidRPr="00F76E4B">
        <w:rPr>
          <w:rFonts w:ascii="Arial" w:hAnsi="Arial" w:cs="Arial"/>
          <w:i/>
          <w:color w:val="242121"/>
          <w:sz w:val="22"/>
          <w:szCs w:val="22"/>
          <w:lang w:val="en-GB"/>
        </w:rPr>
        <w:t>(iii)…</w:t>
      </w:r>
      <w:r>
        <w:rPr>
          <w:rFonts w:ascii="Arial" w:hAnsi="Arial" w:cs="Arial"/>
          <w:i/>
          <w:color w:val="242121"/>
          <w:sz w:val="22"/>
          <w:szCs w:val="22"/>
          <w:lang w:val="en-GB"/>
        </w:rPr>
        <w:t>’</w:t>
      </w:r>
    </w:p>
    <w:p w14:paraId="66AD08F3" w14:textId="4250D473" w:rsidR="005F58F8" w:rsidRPr="005F58F8" w:rsidRDefault="00A1584E" w:rsidP="00A1584E">
      <w:pPr>
        <w:spacing w:after="240" w:line="480" w:lineRule="auto"/>
        <w:ind w:left="720" w:hanging="720"/>
        <w:jc w:val="both"/>
      </w:pPr>
      <w:r w:rsidRPr="005F58F8">
        <w:t>[14]</w:t>
      </w:r>
      <w:r w:rsidRPr="005F58F8">
        <w:tab/>
      </w:r>
      <w:r w:rsidR="005F58F8">
        <w:rPr>
          <w:b/>
        </w:rPr>
        <w:t>In the result the following order is made:</w:t>
      </w:r>
    </w:p>
    <w:p w14:paraId="1979E80E" w14:textId="7E37EB75" w:rsidR="005F58F8" w:rsidRPr="00A1584E" w:rsidRDefault="00A1584E" w:rsidP="00A1584E">
      <w:pPr>
        <w:spacing w:after="480" w:line="480" w:lineRule="auto"/>
        <w:ind w:left="1080" w:hanging="360"/>
        <w:jc w:val="both"/>
        <w:rPr>
          <w:b/>
        </w:rPr>
      </w:pPr>
      <w:r>
        <w:rPr>
          <w:b/>
        </w:rPr>
        <w:t>1.</w:t>
      </w:r>
      <w:r>
        <w:rPr>
          <w:b/>
        </w:rPr>
        <w:tab/>
      </w:r>
      <w:r w:rsidR="005F58F8" w:rsidRPr="00A1584E">
        <w:rPr>
          <w:b/>
        </w:rPr>
        <w:t>The interlocutory rule 35(14) application is dismissed with costs, including the costs of two counsel where so employed</w:t>
      </w:r>
      <w:r w:rsidR="00E22C20" w:rsidRPr="00A1584E">
        <w:rPr>
          <w:b/>
        </w:rPr>
        <w:t>, such costs to be paid jointly and severally by the first and fifth to eighth respondents</w:t>
      </w:r>
      <w:r w:rsidR="005F58F8" w:rsidRPr="00A1584E">
        <w:rPr>
          <w:b/>
        </w:rPr>
        <w:t xml:space="preserve">; and </w:t>
      </w:r>
    </w:p>
    <w:p w14:paraId="799CCDF0" w14:textId="77777777" w:rsidR="005F58F8" w:rsidRDefault="005F58F8" w:rsidP="005F58F8">
      <w:pPr>
        <w:pStyle w:val="ListParagraph"/>
        <w:spacing w:after="480" w:line="480" w:lineRule="auto"/>
        <w:ind w:left="1080"/>
        <w:jc w:val="both"/>
        <w:rPr>
          <w:b/>
        </w:rPr>
      </w:pPr>
    </w:p>
    <w:p w14:paraId="2CC9EF28" w14:textId="6A6D428B" w:rsidR="005F58F8" w:rsidRPr="00A1584E" w:rsidRDefault="00A1584E" w:rsidP="00A1584E">
      <w:pPr>
        <w:spacing w:after="480" w:line="480" w:lineRule="auto"/>
        <w:ind w:left="1080" w:hanging="360"/>
        <w:jc w:val="both"/>
        <w:rPr>
          <w:b/>
        </w:rPr>
      </w:pPr>
      <w:r>
        <w:rPr>
          <w:b/>
        </w:rPr>
        <w:t>2.</w:t>
      </w:r>
      <w:r>
        <w:rPr>
          <w:b/>
        </w:rPr>
        <w:tab/>
      </w:r>
      <w:r w:rsidR="005F58F8" w:rsidRPr="00A1584E">
        <w:rPr>
          <w:b/>
        </w:rPr>
        <w:t>The first, second and fifth to eighth respondents in the main application set down for hearing on 30 August 2023 shall deliver their answering affidavit(s), if any, within ten (10) court days from date hereof.</w:t>
      </w:r>
    </w:p>
    <w:p w14:paraId="1613744F" w14:textId="77777777" w:rsidR="002B6A33" w:rsidRPr="002B6A33" w:rsidRDefault="002B6A33" w:rsidP="002B6A33">
      <w:pPr>
        <w:pStyle w:val="ListParagraph"/>
        <w:rPr>
          <w:b/>
        </w:rPr>
      </w:pPr>
    </w:p>
    <w:p w14:paraId="199C23BB" w14:textId="3C5D9A0F" w:rsidR="002B6A33" w:rsidRDefault="002B6A33" w:rsidP="002B6A33">
      <w:pPr>
        <w:pStyle w:val="ListParagraph"/>
        <w:spacing w:after="480" w:line="480" w:lineRule="auto"/>
        <w:ind w:left="1080"/>
        <w:jc w:val="both"/>
        <w:rPr>
          <w:b/>
        </w:rPr>
      </w:pPr>
    </w:p>
    <w:p w14:paraId="6DEC1733" w14:textId="77777777" w:rsidR="00A50158" w:rsidRDefault="00A50158" w:rsidP="002B6A33">
      <w:pPr>
        <w:pStyle w:val="ListParagraph"/>
        <w:spacing w:after="480" w:line="480" w:lineRule="auto"/>
        <w:ind w:left="1080"/>
        <w:jc w:val="both"/>
        <w:rPr>
          <w:b/>
        </w:rPr>
      </w:pPr>
    </w:p>
    <w:p w14:paraId="6DE7ED05" w14:textId="3BECBD90" w:rsidR="002B6A33" w:rsidRDefault="002B6A33" w:rsidP="002B6A33">
      <w:pPr>
        <w:pStyle w:val="ListParagraph"/>
        <w:spacing w:after="480" w:line="480" w:lineRule="auto"/>
        <w:ind w:left="5040"/>
        <w:jc w:val="both"/>
        <w:rPr>
          <w:b/>
        </w:rPr>
      </w:pPr>
      <w:r>
        <w:rPr>
          <w:b/>
        </w:rPr>
        <w:t>________________</w:t>
      </w:r>
    </w:p>
    <w:p w14:paraId="04311462" w14:textId="05A82F17" w:rsidR="002B6A33" w:rsidRDefault="002B6A33" w:rsidP="002B6A33">
      <w:pPr>
        <w:pStyle w:val="ListParagraph"/>
        <w:spacing w:after="480" w:line="480" w:lineRule="auto"/>
        <w:ind w:left="5040"/>
        <w:jc w:val="both"/>
        <w:rPr>
          <w:b/>
        </w:rPr>
      </w:pPr>
      <w:r>
        <w:rPr>
          <w:b/>
        </w:rPr>
        <w:t>J I CLOETE</w:t>
      </w:r>
    </w:p>
    <w:p w14:paraId="20233310" w14:textId="016ABF03" w:rsidR="00C10801" w:rsidRDefault="00C10801" w:rsidP="002B6A33">
      <w:pPr>
        <w:pStyle w:val="ListParagraph"/>
        <w:spacing w:after="480" w:line="480" w:lineRule="auto"/>
        <w:ind w:left="5040"/>
        <w:jc w:val="both"/>
        <w:rPr>
          <w:b/>
        </w:rPr>
      </w:pPr>
    </w:p>
    <w:p w14:paraId="6B01C12E" w14:textId="41D3D4F1" w:rsidR="00E22C20" w:rsidRDefault="00E22C20" w:rsidP="00E22C20">
      <w:pPr>
        <w:spacing w:line="480" w:lineRule="auto"/>
      </w:pPr>
      <w:r w:rsidRPr="000F667E">
        <w:rPr>
          <w:u w:val="single"/>
        </w:rPr>
        <w:t xml:space="preserve">For </w:t>
      </w:r>
      <w:r>
        <w:rPr>
          <w:u w:val="single"/>
        </w:rPr>
        <w:t>1</w:t>
      </w:r>
      <w:r w:rsidRPr="007C2E2B">
        <w:rPr>
          <w:u w:val="single"/>
          <w:vertAlign w:val="superscript"/>
        </w:rPr>
        <w:t>st</w:t>
      </w:r>
      <w:r>
        <w:rPr>
          <w:u w:val="single"/>
        </w:rPr>
        <w:t xml:space="preserve"> and 5</w:t>
      </w:r>
      <w:r w:rsidRPr="007C2E2B">
        <w:rPr>
          <w:u w:val="single"/>
          <w:vertAlign w:val="superscript"/>
        </w:rPr>
        <w:t>th</w:t>
      </w:r>
      <w:r>
        <w:rPr>
          <w:u w:val="single"/>
        </w:rPr>
        <w:t xml:space="preserve"> to 8</w:t>
      </w:r>
      <w:r w:rsidRPr="007C2E2B">
        <w:rPr>
          <w:u w:val="single"/>
          <w:vertAlign w:val="superscript"/>
        </w:rPr>
        <w:t>th</w:t>
      </w:r>
      <w:r>
        <w:rPr>
          <w:u w:val="single"/>
        </w:rPr>
        <w:t xml:space="preserve"> </w:t>
      </w:r>
      <w:r w:rsidR="00710263">
        <w:rPr>
          <w:u w:val="single"/>
        </w:rPr>
        <w:t>respondents in the main application</w:t>
      </w:r>
      <w:r w:rsidRPr="00D26A46">
        <w:t>:</w:t>
      </w:r>
      <w:r>
        <w:t xml:space="preserve"> Adv R W F MacWilliam SC</w:t>
      </w:r>
    </w:p>
    <w:p w14:paraId="3D5CF181" w14:textId="5EC135B8" w:rsidR="00E22C20" w:rsidRPr="000F667E" w:rsidRDefault="00E22C20" w:rsidP="00E22C20">
      <w:pPr>
        <w:spacing w:line="480" w:lineRule="auto"/>
        <w:jc w:val="both"/>
      </w:pPr>
      <w:r w:rsidRPr="00184E4C">
        <w:rPr>
          <w:u w:val="single"/>
        </w:rPr>
        <w:t>Instructed by</w:t>
      </w:r>
      <w:r w:rsidRPr="00D26A46">
        <w:t>:</w:t>
      </w:r>
      <w:r>
        <w:t xml:space="preserve"> Spamer Triebel Inc. </w:t>
      </w:r>
      <w:r w:rsidR="00710263">
        <w:t>(</w:t>
      </w:r>
      <w:r>
        <w:t>JS Spamer</w:t>
      </w:r>
      <w:r w:rsidR="00710263">
        <w:t>)</w:t>
      </w:r>
    </w:p>
    <w:p w14:paraId="31A9BC01" w14:textId="77777777" w:rsidR="00E22C20" w:rsidRDefault="00E22C20" w:rsidP="00A72E85">
      <w:pPr>
        <w:jc w:val="both"/>
        <w:rPr>
          <w:u w:val="single"/>
        </w:rPr>
      </w:pPr>
    </w:p>
    <w:p w14:paraId="6C1278C3" w14:textId="138AA3CF" w:rsidR="00E22C20" w:rsidRDefault="00E22C20" w:rsidP="00E22C20">
      <w:pPr>
        <w:spacing w:line="480" w:lineRule="auto"/>
        <w:jc w:val="both"/>
      </w:pPr>
      <w:r w:rsidRPr="000F667E">
        <w:rPr>
          <w:u w:val="single"/>
        </w:rPr>
        <w:t>For</w:t>
      </w:r>
      <w:r w:rsidR="00710263">
        <w:rPr>
          <w:u w:val="single"/>
        </w:rPr>
        <w:t xml:space="preserve"> 1</w:t>
      </w:r>
      <w:r w:rsidR="00710263" w:rsidRPr="00710263">
        <w:rPr>
          <w:u w:val="single"/>
          <w:vertAlign w:val="superscript"/>
        </w:rPr>
        <w:t>st</w:t>
      </w:r>
      <w:r w:rsidR="00710263">
        <w:rPr>
          <w:u w:val="single"/>
        </w:rPr>
        <w:t xml:space="preserve"> and 2</w:t>
      </w:r>
      <w:r w:rsidR="00710263" w:rsidRPr="00710263">
        <w:rPr>
          <w:u w:val="single"/>
          <w:vertAlign w:val="superscript"/>
        </w:rPr>
        <w:t>nd</w:t>
      </w:r>
      <w:r w:rsidR="00710263">
        <w:rPr>
          <w:u w:val="single"/>
        </w:rPr>
        <w:t xml:space="preserve"> applicants in the main application</w:t>
      </w:r>
      <w:r w:rsidRPr="00D26A46">
        <w:t>:</w:t>
      </w:r>
      <w:r>
        <w:t xml:space="preserve"> Adv I J Muller SC and Adv H Du Toit</w:t>
      </w:r>
    </w:p>
    <w:p w14:paraId="772E9387" w14:textId="6D4892ED" w:rsidR="00C10801" w:rsidRPr="00E22C20" w:rsidRDefault="00E22C20" w:rsidP="00E22C20">
      <w:pPr>
        <w:spacing w:after="480" w:line="480" w:lineRule="auto"/>
        <w:rPr>
          <w:b/>
        </w:rPr>
      </w:pPr>
      <w:r w:rsidRPr="00184E4C">
        <w:rPr>
          <w:u w:val="single"/>
        </w:rPr>
        <w:t>Instructed by</w:t>
      </w:r>
      <w:r w:rsidRPr="00D26A46">
        <w:t>:</w:t>
      </w:r>
      <w:r>
        <w:t xml:space="preserve"> Van der Spuy &amp; Partners </w:t>
      </w:r>
      <w:r w:rsidR="00710263">
        <w:t>(</w:t>
      </w:r>
      <w:r>
        <w:t>CH Van Breda</w:t>
      </w:r>
      <w:r w:rsidR="00710263">
        <w:t>)</w:t>
      </w:r>
    </w:p>
    <w:sectPr w:rsidR="00C10801" w:rsidRPr="00E22C20"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1692" w14:textId="77777777" w:rsidR="00BB3690" w:rsidRDefault="00BB3690" w:rsidP="00F4257E">
      <w:r>
        <w:separator/>
      </w:r>
    </w:p>
  </w:endnote>
  <w:endnote w:type="continuationSeparator" w:id="0">
    <w:p w14:paraId="29922B71" w14:textId="77777777" w:rsidR="00BB3690" w:rsidRDefault="00BB3690"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2D41" w14:textId="77777777" w:rsidR="00D46F35" w:rsidRDefault="00D4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3524" w14:textId="77777777" w:rsidR="00D46F35" w:rsidRDefault="00D46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BB02" w14:textId="77777777" w:rsidR="00D46F35" w:rsidRDefault="00D4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DE87B" w14:textId="77777777" w:rsidR="00BB3690" w:rsidRDefault="00BB3690" w:rsidP="00F4257E">
      <w:r>
        <w:separator/>
      </w:r>
    </w:p>
  </w:footnote>
  <w:footnote w:type="continuationSeparator" w:id="0">
    <w:p w14:paraId="772D3C9D" w14:textId="77777777" w:rsidR="00BB3690" w:rsidRDefault="00BB3690" w:rsidP="00F4257E">
      <w:r>
        <w:continuationSeparator/>
      </w:r>
    </w:p>
  </w:footnote>
  <w:footnote w:id="1">
    <w:p w14:paraId="499B3AAC" w14:textId="1283EA8A" w:rsidR="003D24D4" w:rsidRPr="003D24D4" w:rsidRDefault="003D24D4" w:rsidP="003D24D4">
      <w:pPr>
        <w:pStyle w:val="FootnoteText"/>
        <w:tabs>
          <w:tab w:val="left" w:pos="284"/>
        </w:tabs>
        <w:jc w:val="both"/>
      </w:pPr>
      <w:r>
        <w:rPr>
          <w:rStyle w:val="FootnoteReference"/>
        </w:rPr>
        <w:footnoteRef/>
      </w:r>
      <w:r>
        <w:t xml:space="preserve"> </w:t>
      </w:r>
      <w:r>
        <w:tab/>
        <w:t xml:space="preserve">See </w:t>
      </w:r>
      <w:r>
        <w:rPr>
          <w:i/>
        </w:rPr>
        <w:t xml:space="preserve">Rail Commuters’ </w:t>
      </w:r>
      <w:r w:rsidR="003543A2">
        <w:rPr>
          <w:i/>
        </w:rPr>
        <w:t>Action</w:t>
      </w:r>
      <w:r>
        <w:rPr>
          <w:i/>
        </w:rPr>
        <w:t xml:space="preserve"> Group v Transnet Ltd</w:t>
      </w:r>
      <w:r>
        <w:t xml:space="preserve"> 2006 (6) SA 68 (C) at 84B and G.</w:t>
      </w:r>
    </w:p>
  </w:footnote>
  <w:footnote w:id="2">
    <w:p w14:paraId="1A80C6F8" w14:textId="77777777" w:rsidR="00CB744D" w:rsidRPr="003D24D4" w:rsidRDefault="00CB744D" w:rsidP="00CB744D">
      <w:pPr>
        <w:pStyle w:val="FootnoteText"/>
        <w:tabs>
          <w:tab w:val="left" w:pos="284"/>
        </w:tabs>
        <w:ind w:left="284" w:hanging="284"/>
        <w:jc w:val="both"/>
      </w:pPr>
      <w:r>
        <w:rPr>
          <w:rStyle w:val="FootnoteReference"/>
        </w:rPr>
        <w:footnoteRef/>
      </w:r>
      <w:r>
        <w:t xml:space="preserve"> </w:t>
      </w:r>
      <w:r>
        <w:tab/>
      </w:r>
      <w:r>
        <w:rPr>
          <w:i/>
        </w:rPr>
        <w:t>KPMG Chartered Accountants (SA) v Securefin Ltd and Another</w:t>
      </w:r>
      <w:r>
        <w:t xml:space="preserve"> 2009 (4) SA 399 (SCA) at para [39].</w:t>
      </w:r>
    </w:p>
  </w:footnote>
  <w:footnote w:id="3">
    <w:p w14:paraId="265E0E9F" w14:textId="7092525D" w:rsidR="00AA3E9C" w:rsidRDefault="00AA3E9C" w:rsidP="00AA3E9C">
      <w:pPr>
        <w:pStyle w:val="FootnoteText"/>
        <w:tabs>
          <w:tab w:val="left" w:pos="284"/>
        </w:tabs>
      </w:pPr>
      <w:r>
        <w:rPr>
          <w:rStyle w:val="FootnoteReference"/>
        </w:rPr>
        <w:footnoteRef/>
      </w:r>
      <w:r>
        <w:t xml:space="preserve"> </w:t>
      </w:r>
      <w:r>
        <w:tab/>
        <w:t>No 71 of 2008.</w:t>
      </w:r>
    </w:p>
  </w:footnote>
  <w:footnote w:id="4">
    <w:p w14:paraId="60E6E407" w14:textId="74165D7B" w:rsidR="00A54FF9" w:rsidRDefault="00A54FF9" w:rsidP="00A54FF9">
      <w:pPr>
        <w:pStyle w:val="FootnoteText"/>
        <w:tabs>
          <w:tab w:val="left" w:pos="284"/>
        </w:tabs>
      </w:pPr>
      <w:r>
        <w:rPr>
          <w:rStyle w:val="FootnoteReference"/>
        </w:rPr>
        <w:footnoteRef/>
      </w:r>
      <w:r>
        <w:t xml:space="preserve"> </w:t>
      </w:r>
      <w:r>
        <w:tab/>
        <w:t>[2017] All SA 231 (WCC)</w:t>
      </w:r>
    </w:p>
  </w:footnote>
  <w:footnote w:id="5">
    <w:p w14:paraId="34F64BCC" w14:textId="779A5ABD" w:rsidR="00A24641" w:rsidRDefault="00A24641" w:rsidP="00A24641">
      <w:pPr>
        <w:pStyle w:val="FootnoteText"/>
        <w:tabs>
          <w:tab w:val="left" w:pos="284"/>
        </w:tabs>
      </w:pPr>
      <w:r>
        <w:rPr>
          <w:rStyle w:val="FootnoteReference"/>
        </w:rPr>
        <w:footnoteRef/>
      </w:r>
      <w:r>
        <w:t xml:space="preserve"> </w:t>
      </w:r>
      <w:r>
        <w:tab/>
        <w:t>2003 (4) SA 584 (CC) at para [15].</w:t>
      </w:r>
    </w:p>
  </w:footnote>
  <w:footnote w:id="6">
    <w:p w14:paraId="67B92C3A" w14:textId="1CAD93DD" w:rsidR="00441BAC" w:rsidRPr="00441BAC" w:rsidRDefault="00441BAC" w:rsidP="00441BAC">
      <w:pPr>
        <w:pStyle w:val="FootnoteText"/>
        <w:tabs>
          <w:tab w:val="left" w:pos="284"/>
        </w:tabs>
      </w:pPr>
      <w:r>
        <w:rPr>
          <w:rStyle w:val="FootnoteReference"/>
        </w:rPr>
        <w:footnoteRef/>
      </w:r>
      <w:r>
        <w:t xml:space="preserve"> </w:t>
      </w:r>
      <w:r>
        <w:tab/>
        <w:t xml:space="preserve">2000 (2) SA 529 (CPD) at para [16], cited with approval in </w:t>
      </w:r>
      <w:r>
        <w:rPr>
          <w:i/>
        </w:rPr>
        <w:t xml:space="preserve">Ingledew </w:t>
      </w:r>
      <w:r>
        <w:t>(</w:t>
      </w:r>
      <w:r>
        <w:rPr>
          <w:i/>
        </w:rPr>
        <w:t>supra</w:t>
      </w:r>
      <w:r>
        <w:t>) at para [15].</w:t>
      </w:r>
    </w:p>
  </w:footnote>
  <w:footnote w:id="7">
    <w:p w14:paraId="6451C6C7" w14:textId="046595A6" w:rsidR="00F71CA1" w:rsidRDefault="00F71CA1" w:rsidP="00F71CA1">
      <w:pPr>
        <w:pStyle w:val="FootnoteText"/>
        <w:tabs>
          <w:tab w:val="left" w:pos="284"/>
        </w:tabs>
      </w:pPr>
      <w:r>
        <w:rPr>
          <w:rStyle w:val="FootnoteReference"/>
        </w:rPr>
        <w:footnoteRef/>
      </w:r>
      <w:r>
        <w:t xml:space="preserve"> </w:t>
      </w:r>
      <w:r>
        <w:tab/>
        <w:t>2015 (5) SA 63 (SCA)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EE22" w14:textId="77777777" w:rsidR="00D46F35" w:rsidRDefault="00D46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3B0B"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7AB7EC6F" w14:textId="77777777" w:rsidR="00D46F35" w:rsidRDefault="00D46F35">
        <w:pPr>
          <w:pStyle w:val="Header"/>
          <w:jc w:val="center"/>
          <w:rPr>
            <w:noProof/>
          </w:rPr>
        </w:pPr>
        <w:r>
          <w:fldChar w:fldCharType="begin"/>
        </w:r>
        <w:r>
          <w:instrText xml:space="preserve"> PAGE   \* MERGEFORMAT </w:instrText>
        </w:r>
        <w:r>
          <w:fldChar w:fldCharType="separate"/>
        </w:r>
        <w:r w:rsidR="00A1584E">
          <w:rPr>
            <w:noProof/>
          </w:rPr>
          <w:t>2</w:t>
        </w:r>
        <w:r>
          <w:rPr>
            <w:noProof/>
          </w:rPr>
          <w:fldChar w:fldCharType="end"/>
        </w:r>
      </w:p>
      <w:p w14:paraId="7CF65D8D" w14:textId="77777777" w:rsidR="00D46F35" w:rsidRDefault="00BB3690">
        <w:pPr>
          <w:pStyle w:val="Header"/>
          <w:jc w:val="center"/>
        </w:pPr>
      </w:p>
    </w:sdtContent>
  </w:sdt>
  <w:p w14:paraId="126FD48D" w14:textId="77777777" w:rsidR="00D46F35" w:rsidRDefault="00D46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92B1" w14:textId="77777777" w:rsidR="00D46F35" w:rsidRDefault="00D46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26EB34E0"/>
    <w:multiLevelType w:val="hybridMultilevel"/>
    <w:tmpl w:val="2C669B3E"/>
    <w:lvl w:ilvl="0" w:tplc="863AFD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nsid w:val="31A1255B"/>
    <w:multiLevelType w:val="hybridMultilevel"/>
    <w:tmpl w:val="64B83BCC"/>
    <w:lvl w:ilvl="0" w:tplc="72FA7F5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nsid w:val="461D13BD"/>
    <w:multiLevelType w:val="multilevel"/>
    <w:tmpl w:val="C24C9418"/>
    <w:lvl w:ilvl="0">
      <w:start w:val="1"/>
      <w:numFmt w:val="decimal"/>
      <w:pStyle w:val="JUGMENTNUMBERED"/>
      <w:lvlText w:val="[%1]"/>
      <w:lvlJc w:val="left"/>
      <w:pPr>
        <w:tabs>
          <w:tab w:val="num" w:pos="680"/>
        </w:tabs>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2CE3894"/>
    <w:multiLevelType w:val="hybridMultilevel"/>
    <w:tmpl w:val="33188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4E85559"/>
    <w:multiLevelType w:val="hybridMultilevel"/>
    <w:tmpl w:val="1C402FA6"/>
    <w:lvl w:ilvl="0" w:tplc="9984FC62">
      <w:start w:val="1"/>
      <w:numFmt w:val="decimal"/>
      <w:lvlText w:val="4.%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7BC69A9"/>
    <w:multiLevelType w:val="hybridMultilevel"/>
    <w:tmpl w:val="250222A6"/>
    <w:lvl w:ilvl="0" w:tplc="9BAA3A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72DD53A4"/>
    <w:multiLevelType w:val="hybridMultilevel"/>
    <w:tmpl w:val="0A328B82"/>
    <w:lvl w:ilvl="0" w:tplc="1C090001">
      <w:start w:val="1"/>
      <w:numFmt w:val="bullet"/>
      <w:lvlText w:val=""/>
      <w:lvlJc w:val="left"/>
      <w:pPr>
        <w:ind w:left="3408" w:hanging="360"/>
      </w:pPr>
      <w:rPr>
        <w:rFonts w:ascii="Symbol" w:hAnsi="Symbol" w:hint="default"/>
      </w:rPr>
    </w:lvl>
    <w:lvl w:ilvl="1" w:tplc="1C090003" w:tentative="1">
      <w:start w:val="1"/>
      <w:numFmt w:val="bullet"/>
      <w:lvlText w:val="o"/>
      <w:lvlJc w:val="left"/>
      <w:pPr>
        <w:ind w:left="4128" w:hanging="360"/>
      </w:pPr>
      <w:rPr>
        <w:rFonts w:ascii="Courier New" w:hAnsi="Courier New" w:cs="Courier New" w:hint="default"/>
      </w:rPr>
    </w:lvl>
    <w:lvl w:ilvl="2" w:tplc="1C090005" w:tentative="1">
      <w:start w:val="1"/>
      <w:numFmt w:val="bullet"/>
      <w:lvlText w:val=""/>
      <w:lvlJc w:val="left"/>
      <w:pPr>
        <w:ind w:left="4848" w:hanging="360"/>
      </w:pPr>
      <w:rPr>
        <w:rFonts w:ascii="Wingdings" w:hAnsi="Wingdings" w:hint="default"/>
      </w:rPr>
    </w:lvl>
    <w:lvl w:ilvl="3" w:tplc="1C090001" w:tentative="1">
      <w:start w:val="1"/>
      <w:numFmt w:val="bullet"/>
      <w:lvlText w:val=""/>
      <w:lvlJc w:val="left"/>
      <w:pPr>
        <w:ind w:left="5568" w:hanging="360"/>
      </w:pPr>
      <w:rPr>
        <w:rFonts w:ascii="Symbol" w:hAnsi="Symbol" w:hint="default"/>
      </w:rPr>
    </w:lvl>
    <w:lvl w:ilvl="4" w:tplc="1C090003" w:tentative="1">
      <w:start w:val="1"/>
      <w:numFmt w:val="bullet"/>
      <w:lvlText w:val="o"/>
      <w:lvlJc w:val="left"/>
      <w:pPr>
        <w:ind w:left="6288" w:hanging="360"/>
      </w:pPr>
      <w:rPr>
        <w:rFonts w:ascii="Courier New" w:hAnsi="Courier New" w:cs="Courier New" w:hint="default"/>
      </w:rPr>
    </w:lvl>
    <w:lvl w:ilvl="5" w:tplc="1C090005" w:tentative="1">
      <w:start w:val="1"/>
      <w:numFmt w:val="bullet"/>
      <w:lvlText w:val=""/>
      <w:lvlJc w:val="left"/>
      <w:pPr>
        <w:ind w:left="7008" w:hanging="360"/>
      </w:pPr>
      <w:rPr>
        <w:rFonts w:ascii="Wingdings" w:hAnsi="Wingdings" w:hint="default"/>
      </w:rPr>
    </w:lvl>
    <w:lvl w:ilvl="6" w:tplc="1C090001" w:tentative="1">
      <w:start w:val="1"/>
      <w:numFmt w:val="bullet"/>
      <w:lvlText w:val=""/>
      <w:lvlJc w:val="left"/>
      <w:pPr>
        <w:ind w:left="7728" w:hanging="360"/>
      </w:pPr>
      <w:rPr>
        <w:rFonts w:ascii="Symbol" w:hAnsi="Symbol" w:hint="default"/>
      </w:rPr>
    </w:lvl>
    <w:lvl w:ilvl="7" w:tplc="1C090003" w:tentative="1">
      <w:start w:val="1"/>
      <w:numFmt w:val="bullet"/>
      <w:lvlText w:val="o"/>
      <w:lvlJc w:val="left"/>
      <w:pPr>
        <w:ind w:left="8448" w:hanging="360"/>
      </w:pPr>
      <w:rPr>
        <w:rFonts w:ascii="Courier New" w:hAnsi="Courier New" w:cs="Courier New" w:hint="default"/>
      </w:rPr>
    </w:lvl>
    <w:lvl w:ilvl="8" w:tplc="1C090005" w:tentative="1">
      <w:start w:val="1"/>
      <w:numFmt w:val="bullet"/>
      <w:lvlText w:val=""/>
      <w:lvlJc w:val="left"/>
      <w:pPr>
        <w:ind w:left="9168" w:hanging="360"/>
      </w:pPr>
      <w:rPr>
        <w:rFonts w:ascii="Wingdings" w:hAnsi="Wingdings" w:hint="default"/>
      </w:rPr>
    </w:lvl>
  </w:abstractNum>
  <w:abstractNum w:abstractNumId="28">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5"/>
  </w:num>
  <w:num w:numId="2">
    <w:abstractNumId w:val="14"/>
  </w:num>
  <w:num w:numId="3">
    <w:abstractNumId w:val="29"/>
  </w:num>
  <w:num w:numId="4">
    <w:abstractNumId w:val="9"/>
  </w:num>
  <w:num w:numId="5">
    <w:abstractNumId w:val="4"/>
  </w:num>
  <w:num w:numId="6">
    <w:abstractNumId w:val="3"/>
  </w:num>
  <w:num w:numId="7">
    <w:abstractNumId w:val="17"/>
  </w:num>
  <w:num w:numId="8">
    <w:abstractNumId w:val="11"/>
  </w:num>
  <w:num w:numId="9">
    <w:abstractNumId w:val="10"/>
  </w:num>
  <w:num w:numId="10">
    <w:abstractNumId w:val="26"/>
  </w:num>
  <w:num w:numId="11">
    <w:abstractNumId w:val="32"/>
  </w:num>
  <w:num w:numId="12">
    <w:abstractNumId w:val="16"/>
  </w:num>
  <w:num w:numId="13">
    <w:abstractNumId w:val="6"/>
  </w:num>
  <w:num w:numId="14">
    <w:abstractNumId w:val="18"/>
  </w:num>
  <w:num w:numId="15">
    <w:abstractNumId w:val="7"/>
  </w:num>
  <w:num w:numId="16">
    <w:abstractNumId w:val="19"/>
  </w:num>
  <w:num w:numId="17">
    <w:abstractNumId w:val="13"/>
  </w:num>
  <w:num w:numId="18">
    <w:abstractNumId w:val="31"/>
  </w:num>
  <w:num w:numId="19">
    <w:abstractNumId w:val="22"/>
  </w:num>
  <w:num w:numId="20">
    <w:abstractNumId w:val="2"/>
  </w:num>
  <w:num w:numId="21">
    <w:abstractNumId w:val="0"/>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0"/>
  </w:num>
  <w:num w:numId="26">
    <w:abstractNumId w:val="28"/>
  </w:num>
  <w:num w:numId="27">
    <w:abstractNumId w:val="21"/>
  </w:num>
  <w:num w:numId="28">
    <w:abstractNumId w:val="12"/>
  </w:num>
  <w:num w:numId="29">
    <w:abstractNumId w:val="27"/>
  </w:num>
  <w:num w:numId="30">
    <w:abstractNumId w:val="8"/>
  </w:num>
  <w:num w:numId="31">
    <w:abstractNumId w:val="23"/>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1709"/>
    <w:rsid w:val="0000283B"/>
    <w:rsid w:val="0000327A"/>
    <w:rsid w:val="00003C15"/>
    <w:rsid w:val="00005214"/>
    <w:rsid w:val="00006E2C"/>
    <w:rsid w:val="00013C43"/>
    <w:rsid w:val="00016727"/>
    <w:rsid w:val="00017D48"/>
    <w:rsid w:val="00025452"/>
    <w:rsid w:val="00026FBD"/>
    <w:rsid w:val="00030389"/>
    <w:rsid w:val="00030442"/>
    <w:rsid w:val="0003148F"/>
    <w:rsid w:val="00032180"/>
    <w:rsid w:val="00035F78"/>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6497"/>
    <w:rsid w:val="000A7583"/>
    <w:rsid w:val="000B103A"/>
    <w:rsid w:val="000B5329"/>
    <w:rsid w:val="000B7977"/>
    <w:rsid w:val="000C2012"/>
    <w:rsid w:val="000C272C"/>
    <w:rsid w:val="000C30A5"/>
    <w:rsid w:val="000C5A3A"/>
    <w:rsid w:val="000C5CFB"/>
    <w:rsid w:val="000C603D"/>
    <w:rsid w:val="000C6358"/>
    <w:rsid w:val="000C68E8"/>
    <w:rsid w:val="000C6BFD"/>
    <w:rsid w:val="000C7FE0"/>
    <w:rsid w:val="000D0428"/>
    <w:rsid w:val="000D1823"/>
    <w:rsid w:val="000D296F"/>
    <w:rsid w:val="000D3070"/>
    <w:rsid w:val="000D335D"/>
    <w:rsid w:val="000E58E8"/>
    <w:rsid w:val="000E791D"/>
    <w:rsid w:val="000E7D51"/>
    <w:rsid w:val="000F0458"/>
    <w:rsid w:val="000F138A"/>
    <w:rsid w:val="000F1A51"/>
    <w:rsid w:val="000F26E0"/>
    <w:rsid w:val="000F6201"/>
    <w:rsid w:val="000F68F5"/>
    <w:rsid w:val="000F70AD"/>
    <w:rsid w:val="000F7DBB"/>
    <w:rsid w:val="000F7ED9"/>
    <w:rsid w:val="0010279D"/>
    <w:rsid w:val="00104D05"/>
    <w:rsid w:val="00105886"/>
    <w:rsid w:val="00105DE0"/>
    <w:rsid w:val="00112B1B"/>
    <w:rsid w:val="0012219A"/>
    <w:rsid w:val="00122665"/>
    <w:rsid w:val="00122CDF"/>
    <w:rsid w:val="00126FD5"/>
    <w:rsid w:val="00127B49"/>
    <w:rsid w:val="00131BD2"/>
    <w:rsid w:val="001324D2"/>
    <w:rsid w:val="001330B9"/>
    <w:rsid w:val="001416ED"/>
    <w:rsid w:val="00141DE9"/>
    <w:rsid w:val="00142667"/>
    <w:rsid w:val="0014329E"/>
    <w:rsid w:val="0014505D"/>
    <w:rsid w:val="00147849"/>
    <w:rsid w:val="00150F5B"/>
    <w:rsid w:val="0015202F"/>
    <w:rsid w:val="0015627D"/>
    <w:rsid w:val="00156BAD"/>
    <w:rsid w:val="00161CA8"/>
    <w:rsid w:val="00162871"/>
    <w:rsid w:val="00163D0F"/>
    <w:rsid w:val="001644A8"/>
    <w:rsid w:val="001653CA"/>
    <w:rsid w:val="00166157"/>
    <w:rsid w:val="00166F0F"/>
    <w:rsid w:val="00167CD5"/>
    <w:rsid w:val="00172950"/>
    <w:rsid w:val="001804F1"/>
    <w:rsid w:val="00180D06"/>
    <w:rsid w:val="00181F11"/>
    <w:rsid w:val="00182F68"/>
    <w:rsid w:val="00183F6F"/>
    <w:rsid w:val="001852DA"/>
    <w:rsid w:val="001854A2"/>
    <w:rsid w:val="00187756"/>
    <w:rsid w:val="0019056D"/>
    <w:rsid w:val="00191096"/>
    <w:rsid w:val="00194343"/>
    <w:rsid w:val="001947E2"/>
    <w:rsid w:val="00194BFB"/>
    <w:rsid w:val="001A154F"/>
    <w:rsid w:val="001A1BF1"/>
    <w:rsid w:val="001A4398"/>
    <w:rsid w:val="001A4ED8"/>
    <w:rsid w:val="001B0422"/>
    <w:rsid w:val="001B27E1"/>
    <w:rsid w:val="001B2BB6"/>
    <w:rsid w:val="001B6EF9"/>
    <w:rsid w:val="001B70EA"/>
    <w:rsid w:val="001B7B6F"/>
    <w:rsid w:val="001C63D3"/>
    <w:rsid w:val="001D5E48"/>
    <w:rsid w:val="001D63ED"/>
    <w:rsid w:val="001D6819"/>
    <w:rsid w:val="001E4798"/>
    <w:rsid w:val="001E4E58"/>
    <w:rsid w:val="001E59D8"/>
    <w:rsid w:val="001E611A"/>
    <w:rsid w:val="001F100E"/>
    <w:rsid w:val="001F391A"/>
    <w:rsid w:val="002013B4"/>
    <w:rsid w:val="002020AA"/>
    <w:rsid w:val="00205047"/>
    <w:rsid w:val="0020643D"/>
    <w:rsid w:val="002074E8"/>
    <w:rsid w:val="002160F3"/>
    <w:rsid w:val="00216776"/>
    <w:rsid w:val="00220CAC"/>
    <w:rsid w:val="002221F1"/>
    <w:rsid w:val="002225C8"/>
    <w:rsid w:val="00222CBA"/>
    <w:rsid w:val="00222D75"/>
    <w:rsid w:val="00223A31"/>
    <w:rsid w:val="00223C51"/>
    <w:rsid w:val="00231E96"/>
    <w:rsid w:val="00235ECD"/>
    <w:rsid w:val="00240475"/>
    <w:rsid w:val="00240E3E"/>
    <w:rsid w:val="00245BEA"/>
    <w:rsid w:val="00245D23"/>
    <w:rsid w:val="002465F5"/>
    <w:rsid w:val="0024689F"/>
    <w:rsid w:val="0025089F"/>
    <w:rsid w:val="00252595"/>
    <w:rsid w:val="002548BB"/>
    <w:rsid w:val="00254F7A"/>
    <w:rsid w:val="00264778"/>
    <w:rsid w:val="0026490A"/>
    <w:rsid w:val="00265647"/>
    <w:rsid w:val="002660DE"/>
    <w:rsid w:val="00270206"/>
    <w:rsid w:val="00270B6A"/>
    <w:rsid w:val="0027489F"/>
    <w:rsid w:val="00275849"/>
    <w:rsid w:val="00277AAD"/>
    <w:rsid w:val="00280B77"/>
    <w:rsid w:val="00283B33"/>
    <w:rsid w:val="00283E38"/>
    <w:rsid w:val="0028442C"/>
    <w:rsid w:val="00285395"/>
    <w:rsid w:val="00285B38"/>
    <w:rsid w:val="0029037C"/>
    <w:rsid w:val="002A53A2"/>
    <w:rsid w:val="002B0569"/>
    <w:rsid w:val="002B2C3A"/>
    <w:rsid w:val="002B6A33"/>
    <w:rsid w:val="002C05D3"/>
    <w:rsid w:val="002C1D94"/>
    <w:rsid w:val="002C3960"/>
    <w:rsid w:val="002C3B6B"/>
    <w:rsid w:val="002D1856"/>
    <w:rsid w:val="002D19B3"/>
    <w:rsid w:val="002D48AB"/>
    <w:rsid w:val="002D62D3"/>
    <w:rsid w:val="002D7427"/>
    <w:rsid w:val="002E4623"/>
    <w:rsid w:val="002E58A0"/>
    <w:rsid w:val="002E6446"/>
    <w:rsid w:val="002E7809"/>
    <w:rsid w:val="002F12E8"/>
    <w:rsid w:val="002F5101"/>
    <w:rsid w:val="002F52BA"/>
    <w:rsid w:val="002F5A94"/>
    <w:rsid w:val="00301AF2"/>
    <w:rsid w:val="00303F67"/>
    <w:rsid w:val="00304433"/>
    <w:rsid w:val="003076DD"/>
    <w:rsid w:val="00313209"/>
    <w:rsid w:val="00313AFF"/>
    <w:rsid w:val="003161AC"/>
    <w:rsid w:val="00316863"/>
    <w:rsid w:val="00317B5A"/>
    <w:rsid w:val="00320A49"/>
    <w:rsid w:val="00321843"/>
    <w:rsid w:val="003228E2"/>
    <w:rsid w:val="0032525F"/>
    <w:rsid w:val="003253AC"/>
    <w:rsid w:val="00326B5F"/>
    <w:rsid w:val="003277FC"/>
    <w:rsid w:val="00332CBD"/>
    <w:rsid w:val="00334AAC"/>
    <w:rsid w:val="00334EE3"/>
    <w:rsid w:val="00335F69"/>
    <w:rsid w:val="00336974"/>
    <w:rsid w:val="00336CC6"/>
    <w:rsid w:val="00340803"/>
    <w:rsid w:val="003434C7"/>
    <w:rsid w:val="0034445D"/>
    <w:rsid w:val="00346CDF"/>
    <w:rsid w:val="00347FD7"/>
    <w:rsid w:val="00351732"/>
    <w:rsid w:val="00351B4D"/>
    <w:rsid w:val="00353987"/>
    <w:rsid w:val="003539CE"/>
    <w:rsid w:val="003543A2"/>
    <w:rsid w:val="00355FFE"/>
    <w:rsid w:val="00362D4F"/>
    <w:rsid w:val="00362ECE"/>
    <w:rsid w:val="00373D7B"/>
    <w:rsid w:val="00374B26"/>
    <w:rsid w:val="00383245"/>
    <w:rsid w:val="00384EA8"/>
    <w:rsid w:val="00387F5A"/>
    <w:rsid w:val="0039212C"/>
    <w:rsid w:val="0039546A"/>
    <w:rsid w:val="00395E50"/>
    <w:rsid w:val="003A2265"/>
    <w:rsid w:val="003A3EBB"/>
    <w:rsid w:val="003A7F63"/>
    <w:rsid w:val="003B0868"/>
    <w:rsid w:val="003B461A"/>
    <w:rsid w:val="003B51A5"/>
    <w:rsid w:val="003B5B98"/>
    <w:rsid w:val="003B6629"/>
    <w:rsid w:val="003B6DB3"/>
    <w:rsid w:val="003B7C1F"/>
    <w:rsid w:val="003C0270"/>
    <w:rsid w:val="003C08E6"/>
    <w:rsid w:val="003C3D40"/>
    <w:rsid w:val="003D0062"/>
    <w:rsid w:val="003D19E7"/>
    <w:rsid w:val="003D24D4"/>
    <w:rsid w:val="003D2DE8"/>
    <w:rsid w:val="003D3356"/>
    <w:rsid w:val="003D3F3F"/>
    <w:rsid w:val="003D4A9C"/>
    <w:rsid w:val="003D5517"/>
    <w:rsid w:val="003D5874"/>
    <w:rsid w:val="003D5D58"/>
    <w:rsid w:val="003D6C58"/>
    <w:rsid w:val="003E2B24"/>
    <w:rsid w:val="003E35C7"/>
    <w:rsid w:val="003E47F7"/>
    <w:rsid w:val="003E5605"/>
    <w:rsid w:val="003E6BA5"/>
    <w:rsid w:val="003F040D"/>
    <w:rsid w:val="003F402D"/>
    <w:rsid w:val="003F41BF"/>
    <w:rsid w:val="003F45A7"/>
    <w:rsid w:val="003F5942"/>
    <w:rsid w:val="0041299F"/>
    <w:rsid w:val="004130EF"/>
    <w:rsid w:val="00413812"/>
    <w:rsid w:val="004149FF"/>
    <w:rsid w:val="00415010"/>
    <w:rsid w:val="004163DA"/>
    <w:rsid w:val="00421FE8"/>
    <w:rsid w:val="00422758"/>
    <w:rsid w:val="0042321D"/>
    <w:rsid w:val="004234F1"/>
    <w:rsid w:val="00423895"/>
    <w:rsid w:val="00425616"/>
    <w:rsid w:val="00426848"/>
    <w:rsid w:val="00427E97"/>
    <w:rsid w:val="00430932"/>
    <w:rsid w:val="0043347C"/>
    <w:rsid w:val="00435CDB"/>
    <w:rsid w:val="00435F46"/>
    <w:rsid w:val="004369D7"/>
    <w:rsid w:val="00437BBF"/>
    <w:rsid w:val="004405E5"/>
    <w:rsid w:val="00440EDC"/>
    <w:rsid w:val="00441BAC"/>
    <w:rsid w:val="004441AA"/>
    <w:rsid w:val="004511D8"/>
    <w:rsid w:val="00451D78"/>
    <w:rsid w:val="00451E08"/>
    <w:rsid w:val="00451E49"/>
    <w:rsid w:val="0045308D"/>
    <w:rsid w:val="00453091"/>
    <w:rsid w:val="00453306"/>
    <w:rsid w:val="00453B20"/>
    <w:rsid w:val="00456B03"/>
    <w:rsid w:val="00457BC2"/>
    <w:rsid w:val="00463D6F"/>
    <w:rsid w:val="00463FFB"/>
    <w:rsid w:val="0046468D"/>
    <w:rsid w:val="00464CD7"/>
    <w:rsid w:val="00465FC2"/>
    <w:rsid w:val="0046670C"/>
    <w:rsid w:val="00466A59"/>
    <w:rsid w:val="0047255B"/>
    <w:rsid w:val="004735F4"/>
    <w:rsid w:val="004738B9"/>
    <w:rsid w:val="00476A07"/>
    <w:rsid w:val="004774A8"/>
    <w:rsid w:val="00482302"/>
    <w:rsid w:val="00482702"/>
    <w:rsid w:val="00483BF0"/>
    <w:rsid w:val="00486C16"/>
    <w:rsid w:val="00490333"/>
    <w:rsid w:val="0049188A"/>
    <w:rsid w:val="00493BB8"/>
    <w:rsid w:val="00494AE1"/>
    <w:rsid w:val="004A2A70"/>
    <w:rsid w:val="004A5613"/>
    <w:rsid w:val="004A671A"/>
    <w:rsid w:val="004B0EDA"/>
    <w:rsid w:val="004B5BF5"/>
    <w:rsid w:val="004B7DE8"/>
    <w:rsid w:val="004C066F"/>
    <w:rsid w:val="004C1AFC"/>
    <w:rsid w:val="004C1E4D"/>
    <w:rsid w:val="004C3172"/>
    <w:rsid w:val="004C3492"/>
    <w:rsid w:val="004C61B7"/>
    <w:rsid w:val="004C62C0"/>
    <w:rsid w:val="004C727B"/>
    <w:rsid w:val="004C792E"/>
    <w:rsid w:val="004C7B46"/>
    <w:rsid w:val="004C7C9E"/>
    <w:rsid w:val="004C7CB0"/>
    <w:rsid w:val="004D189C"/>
    <w:rsid w:val="004D2682"/>
    <w:rsid w:val="004D2F5C"/>
    <w:rsid w:val="004D35E9"/>
    <w:rsid w:val="004D69D1"/>
    <w:rsid w:val="004E5F25"/>
    <w:rsid w:val="004F3796"/>
    <w:rsid w:val="004F6535"/>
    <w:rsid w:val="004F668F"/>
    <w:rsid w:val="004F68D5"/>
    <w:rsid w:val="00500A19"/>
    <w:rsid w:val="00500AA6"/>
    <w:rsid w:val="005028D9"/>
    <w:rsid w:val="0050363C"/>
    <w:rsid w:val="005040A3"/>
    <w:rsid w:val="005046A4"/>
    <w:rsid w:val="00504CEC"/>
    <w:rsid w:val="005050B4"/>
    <w:rsid w:val="00506C7C"/>
    <w:rsid w:val="00506D90"/>
    <w:rsid w:val="00510073"/>
    <w:rsid w:val="00511993"/>
    <w:rsid w:val="00511C9E"/>
    <w:rsid w:val="00511D83"/>
    <w:rsid w:val="00514AB6"/>
    <w:rsid w:val="00515C78"/>
    <w:rsid w:val="00516A9B"/>
    <w:rsid w:val="005228EB"/>
    <w:rsid w:val="00524BE9"/>
    <w:rsid w:val="005257B4"/>
    <w:rsid w:val="00530A2E"/>
    <w:rsid w:val="00532EE1"/>
    <w:rsid w:val="00534D8B"/>
    <w:rsid w:val="00540A04"/>
    <w:rsid w:val="00543A5F"/>
    <w:rsid w:val="005446BB"/>
    <w:rsid w:val="00546477"/>
    <w:rsid w:val="00546C4E"/>
    <w:rsid w:val="005472C3"/>
    <w:rsid w:val="005477B2"/>
    <w:rsid w:val="00553B48"/>
    <w:rsid w:val="00555257"/>
    <w:rsid w:val="00555A92"/>
    <w:rsid w:val="00556863"/>
    <w:rsid w:val="005616EC"/>
    <w:rsid w:val="00565A7C"/>
    <w:rsid w:val="00565B0D"/>
    <w:rsid w:val="00565F00"/>
    <w:rsid w:val="00566518"/>
    <w:rsid w:val="00566CA5"/>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9432C"/>
    <w:rsid w:val="005A00B3"/>
    <w:rsid w:val="005A0CB1"/>
    <w:rsid w:val="005A12CA"/>
    <w:rsid w:val="005A2077"/>
    <w:rsid w:val="005A3DE6"/>
    <w:rsid w:val="005A42AF"/>
    <w:rsid w:val="005A64B0"/>
    <w:rsid w:val="005B1080"/>
    <w:rsid w:val="005B36A6"/>
    <w:rsid w:val="005B3EF2"/>
    <w:rsid w:val="005B417B"/>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3A8"/>
    <w:rsid w:val="005F260D"/>
    <w:rsid w:val="005F2757"/>
    <w:rsid w:val="005F58F8"/>
    <w:rsid w:val="005F5CB8"/>
    <w:rsid w:val="005F7547"/>
    <w:rsid w:val="00600CBB"/>
    <w:rsid w:val="0060119C"/>
    <w:rsid w:val="0060122F"/>
    <w:rsid w:val="00602B8C"/>
    <w:rsid w:val="00602F26"/>
    <w:rsid w:val="0060351E"/>
    <w:rsid w:val="00603812"/>
    <w:rsid w:val="00603925"/>
    <w:rsid w:val="00605535"/>
    <w:rsid w:val="00606679"/>
    <w:rsid w:val="00606DB0"/>
    <w:rsid w:val="006079F0"/>
    <w:rsid w:val="00610F8D"/>
    <w:rsid w:val="006113AF"/>
    <w:rsid w:val="00614380"/>
    <w:rsid w:val="00620B00"/>
    <w:rsid w:val="00623F45"/>
    <w:rsid w:val="00627726"/>
    <w:rsid w:val="0063080A"/>
    <w:rsid w:val="006314EF"/>
    <w:rsid w:val="0063609C"/>
    <w:rsid w:val="00636995"/>
    <w:rsid w:val="00640E1F"/>
    <w:rsid w:val="00643915"/>
    <w:rsid w:val="0065357C"/>
    <w:rsid w:val="006559BE"/>
    <w:rsid w:val="006579B2"/>
    <w:rsid w:val="00663D98"/>
    <w:rsid w:val="00664485"/>
    <w:rsid w:val="00670636"/>
    <w:rsid w:val="0067096F"/>
    <w:rsid w:val="00671AAD"/>
    <w:rsid w:val="006724F1"/>
    <w:rsid w:val="00684A27"/>
    <w:rsid w:val="00685F3B"/>
    <w:rsid w:val="0068625C"/>
    <w:rsid w:val="00686904"/>
    <w:rsid w:val="006872D3"/>
    <w:rsid w:val="00693403"/>
    <w:rsid w:val="00695323"/>
    <w:rsid w:val="00695B1A"/>
    <w:rsid w:val="006969CE"/>
    <w:rsid w:val="00697486"/>
    <w:rsid w:val="006A0BAC"/>
    <w:rsid w:val="006A30E2"/>
    <w:rsid w:val="006A5024"/>
    <w:rsid w:val="006B0510"/>
    <w:rsid w:val="006B34A6"/>
    <w:rsid w:val="006B3610"/>
    <w:rsid w:val="006B56ED"/>
    <w:rsid w:val="006B7356"/>
    <w:rsid w:val="006C0B9B"/>
    <w:rsid w:val="006C7CCA"/>
    <w:rsid w:val="006D216F"/>
    <w:rsid w:val="006D2490"/>
    <w:rsid w:val="006D2610"/>
    <w:rsid w:val="006D3546"/>
    <w:rsid w:val="006D40B8"/>
    <w:rsid w:val="006D5EF0"/>
    <w:rsid w:val="006D6544"/>
    <w:rsid w:val="006D6C51"/>
    <w:rsid w:val="006D787E"/>
    <w:rsid w:val="006E5135"/>
    <w:rsid w:val="006E5363"/>
    <w:rsid w:val="006E6E39"/>
    <w:rsid w:val="006E716A"/>
    <w:rsid w:val="006E7219"/>
    <w:rsid w:val="006E7AD5"/>
    <w:rsid w:val="006E7F77"/>
    <w:rsid w:val="006F0484"/>
    <w:rsid w:val="006F0DDA"/>
    <w:rsid w:val="006F2F9A"/>
    <w:rsid w:val="006F4520"/>
    <w:rsid w:val="006F6EAE"/>
    <w:rsid w:val="007017A2"/>
    <w:rsid w:val="00702B62"/>
    <w:rsid w:val="00704D23"/>
    <w:rsid w:val="00706077"/>
    <w:rsid w:val="007062BE"/>
    <w:rsid w:val="00706A97"/>
    <w:rsid w:val="00707561"/>
    <w:rsid w:val="00710263"/>
    <w:rsid w:val="00713029"/>
    <w:rsid w:val="007134CF"/>
    <w:rsid w:val="0071418E"/>
    <w:rsid w:val="00714A20"/>
    <w:rsid w:val="007162DA"/>
    <w:rsid w:val="0071723C"/>
    <w:rsid w:val="0072052B"/>
    <w:rsid w:val="007229AE"/>
    <w:rsid w:val="00723822"/>
    <w:rsid w:val="00723EDA"/>
    <w:rsid w:val="00724983"/>
    <w:rsid w:val="00724C73"/>
    <w:rsid w:val="007259E8"/>
    <w:rsid w:val="00725B5E"/>
    <w:rsid w:val="00725F43"/>
    <w:rsid w:val="00727AB2"/>
    <w:rsid w:val="0073189C"/>
    <w:rsid w:val="00734815"/>
    <w:rsid w:val="00734BBF"/>
    <w:rsid w:val="00735A90"/>
    <w:rsid w:val="00735BB8"/>
    <w:rsid w:val="0074469D"/>
    <w:rsid w:val="0075231A"/>
    <w:rsid w:val="007540E2"/>
    <w:rsid w:val="0075420A"/>
    <w:rsid w:val="0075432B"/>
    <w:rsid w:val="0075635E"/>
    <w:rsid w:val="007601DF"/>
    <w:rsid w:val="0076064D"/>
    <w:rsid w:val="00760657"/>
    <w:rsid w:val="00761B85"/>
    <w:rsid w:val="007621EF"/>
    <w:rsid w:val="00763E45"/>
    <w:rsid w:val="00764447"/>
    <w:rsid w:val="007655EC"/>
    <w:rsid w:val="007668FE"/>
    <w:rsid w:val="00767CFC"/>
    <w:rsid w:val="00770F8F"/>
    <w:rsid w:val="00771E80"/>
    <w:rsid w:val="00772339"/>
    <w:rsid w:val="00773A24"/>
    <w:rsid w:val="00774364"/>
    <w:rsid w:val="00774C8C"/>
    <w:rsid w:val="007765D5"/>
    <w:rsid w:val="007772B4"/>
    <w:rsid w:val="007845D1"/>
    <w:rsid w:val="00784D7E"/>
    <w:rsid w:val="00785A0E"/>
    <w:rsid w:val="007860B7"/>
    <w:rsid w:val="007863CC"/>
    <w:rsid w:val="00791750"/>
    <w:rsid w:val="00791C96"/>
    <w:rsid w:val="00792C03"/>
    <w:rsid w:val="00792C85"/>
    <w:rsid w:val="0079436D"/>
    <w:rsid w:val="00796B5A"/>
    <w:rsid w:val="00796C29"/>
    <w:rsid w:val="007A10C0"/>
    <w:rsid w:val="007B0AA7"/>
    <w:rsid w:val="007B0CB7"/>
    <w:rsid w:val="007B0EFD"/>
    <w:rsid w:val="007B38ED"/>
    <w:rsid w:val="007B67AC"/>
    <w:rsid w:val="007C00F7"/>
    <w:rsid w:val="007C07A8"/>
    <w:rsid w:val="007C1566"/>
    <w:rsid w:val="007C1605"/>
    <w:rsid w:val="007C23AB"/>
    <w:rsid w:val="007C2CC6"/>
    <w:rsid w:val="007C384A"/>
    <w:rsid w:val="007C460B"/>
    <w:rsid w:val="007C5E37"/>
    <w:rsid w:val="007C5F9D"/>
    <w:rsid w:val="007C6D01"/>
    <w:rsid w:val="007C70A6"/>
    <w:rsid w:val="007C732B"/>
    <w:rsid w:val="007D04BD"/>
    <w:rsid w:val="007D1353"/>
    <w:rsid w:val="007D1E16"/>
    <w:rsid w:val="007D2D04"/>
    <w:rsid w:val="007E0C13"/>
    <w:rsid w:val="007E16A0"/>
    <w:rsid w:val="007E4F2F"/>
    <w:rsid w:val="007E773E"/>
    <w:rsid w:val="007F0605"/>
    <w:rsid w:val="007F1C4A"/>
    <w:rsid w:val="007F1E90"/>
    <w:rsid w:val="007F26AC"/>
    <w:rsid w:val="007F2C5C"/>
    <w:rsid w:val="007F2E75"/>
    <w:rsid w:val="007F59CA"/>
    <w:rsid w:val="007F5E83"/>
    <w:rsid w:val="007F7B84"/>
    <w:rsid w:val="007F7CA4"/>
    <w:rsid w:val="008077AE"/>
    <w:rsid w:val="0081081E"/>
    <w:rsid w:val="008113CE"/>
    <w:rsid w:val="00817A85"/>
    <w:rsid w:val="00817B29"/>
    <w:rsid w:val="00817E17"/>
    <w:rsid w:val="0082427B"/>
    <w:rsid w:val="00824B4B"/>
    <w:rsid w:val="00825836"/>
    <w:rsid w:val="0082676E"/>
    <w:rsid w:val="00827E09"/>
    <w:rsid w:val="00830CD5"/>
    <w:rsid w:val="00830F2B"/>
    <w:rsid w:val="00831201"/>
    <w:rsid w:val="00832C68"/>
    <w:rsid w:val="00832DA8"/>
    <w:rsid w:val="00832E39"/>
    <w:rsid w:val="00833903"/>
    <w:rsid w:val="008347E3"/>
    <w:rsid w:val="00836FEC"/>
    <w:rsid w:val="00840040"/>
    <w:rsid w:val="008432F4"/>
    <w:rsid w:val="00843730"/>
    <w:rsid w:val="0084545B"/>
    <w:rsid w:val="00845BA4"/>
    <w:rsid w:val="00847A75"/>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410"/>
    <w:rsid w:val="008778F6"/>
    <w:rsid w:val="00880CAE"/>
    <w:rsid w:val="00882A5F"/>
    <w:rsid w:val="00882E91"/>
    <w:rsid w:val="00883631"/>
    <w:rsid w:val="008844B1"/>
    <w:rsid w:val="00885198"/>
    <w:rsid w:val="00894596"/>
    <w:rsid w:val="00894928"/>
    <w:rsid w:val="00894B2B"/>
    <w:rsid w:val="008960EF"/>
    <w:rsid w:val="00897493"/>
    <w:rsid w:val="008A13EE"/>
    <w:rsid w:val="008A1553"/>
    <w:rsid w:val="008A24AF"/>
    <w:rsid w:val="008A2BEF"/>
    <w:rsid w:val="008A5E0B"/>
    <w:rsid w:val="008B0BD4"/>
    <w:rsid w:val="008B0CEB"/>
    <w:rsid w:val="008B1592"/>
    <w:rsid w:val="008B1669"/>
    <w:rsid w:val="008B53B7"/>
    <w:rsid w:val="008B5D62"/>
    <w:rsid w:val="008C1BC3"/>
    <w:rsid w:val="008C2186"/>
    <w:rsid w:val="008C3576"/>
    <w:rsid w:val="008C58F1"/>
    <w:rsid w:val="008C7140"/>
    <w:rsid w:val="008D0EF5"/>
    <w:rsid w:val="008D1D5D"/>
    <w:rsid w:val="008E3868"/>
    <w:rsid w:val="008E55AF"/>
    <w:rsid w:val="008E5AC7"/>
    <w:rsid w:val="008E650E"/>
    <w:rsid w:val="008E693E"/>
    <w:rsid w:val="008F0D4E"/>
    <w:rsid w:val="008F428C"/>
    <w:rsid w:val="008F4A1C"/>
    <w:rsid w:val="008F6007"/>
    <w:rsid w:val="008F7614"/>
    <w:rsid w:val="00900068"/>
    <w:rsid w:val="009022AE"/>
    <w:rsid w:val="00907728"/>
    <w:rsid w:val="009105D9"/>
    <w:rsid w:val="00910713"/>
    <w:rsid w:val="00910B2C"/>
    <w:rsid w:val="0091184D"/>
    <w:rsid w:val="0091560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37516"/>
    <w:rsid w:val="0094531D"/>
    <w:rsid w:val="0094706F"/>
    <w:rsid w:val="00947422"/>
    <w:rsid w:val="00951F57"/>
    <w:rsid w:val="00954A58"/>
    <w:rsid w:val="00954BF3"/>
    <w:rsid w:val="009562C7"/>
    <w:rsid w:val="00962689"/>
    <w:rsid w:val="00964E96"/>
    <w:rsid w:val="0097092F"/>
    <w:rsid w:val="00976686"/>
    <w:rsid w:val="00976D3C"/>
    <w:rsid w:val="00977109"/>
    <w:rsid w:val="009776DE"/>
    <w:rsid w:val="00982FAD"/>
    <w:rsid w:val="0098565A"/>
    <w:rsid w:val="009927B9"/>
    <w:rsid w:val="00993F39"/>
    <w:rsid w:val="009A035A"/>
    <w:rsid w:val="009A1489"/>
    <w:rsid w:val="009A188B"/>
    <w:rsid w:val="009A4126"/>
    <w:rsid w:val="009A4AA7"/>
    <w:rsid w:val="009A4FDF"/>
    <w:rsid w:val="009A606A"/>
    <w:rsid w:val="009A6099"/>
    <w:rsid w:val="009B1DFD"/>
    <w:rsid w:val="009B2945"/>
    <w:rsid w:val="009B3047"/>
    <w:rsid w:val="009C0AA9"/>
    <w:rsid w:val="009C1BBA"/>
    <w:rsid w:val="009C40DD"/>
    <w:rsid w:val="009C430B"/>
    <w:rsid w:val="009C4F83"/>
    <w:rsid w:val="009C7D3F"/>
    <w:rsid w:val="009D0E0E"/>
    <w:rsid w:val="009D14DB"/>
    <w:rsid w:val="009D257D"/>
    <w:rsid w:val="009D346C"/>
    <w:rsid w:val="009D4672"/>
    <w:rsid w:val="009D4CF6"/>
    <w:rsid w:val="009D69D2"/>
    <w:rsid w:val="009E01AE"/>
    <w:rsid w:val="009E0227"/>
    <w:rsid w:val="009E7333"/>
    <w:rsid w:val="009F01DA"/>
    <w:rsid w:val="009F1B02"/>
    <w:rsid w:val="009F20BB"/>
    <w:rsid w:val="009F4E48"/>
    <w:rsid w:val="00A01561"/>
    <w:rsid w:val="00A026E6"/>
    <w:rsid w:val="00A029BE"/>
    <w:rsid w:val="00A031C2"/>
    <w:rsid w:val="00A07A58"/>
    <w:rsid w:val="00A11C30"/>
    <w:rsid w:val="00A12D15"/>
    <w:rsid w:val="00A141ED"/>
    <w:rsid w:val="00A1584E"/>
    <w:rsid w:val="00A16587"/>
    <w:rsid w:val="00A22E2B"/>
    <w:rsid w:val="00A22FCA"/>
    <w:rsid w:val="00A23089"/>
    <w:rsid w:val="00A23AD8"/>
    <w:rsid w:val="00A24641"/>
    <w:rsid w:val="00A24F55"/>
    <w:rsid w:val="00A26396"/>
    <w:rsid w:val="00A31C95"/>
    <w:rsid w:val="00A338EC"/>
    <w:rsid w:val="00A341AD"/>
    <w:rsid w:val="00A3425D"/>
    <w:rsid w:val="00A34FF2"/>
    <w:rsid w:val="00A352F8"/>
    <w:rsid w:val="00A35F51"/>
    <w:rsid w:val="00A36BCC"/>
    <w:rsid w:val="00A41B4C"/>
    <w:rsid w:val="00A4220A"/>
    <w:rsid w:val="00A42AF9"/>
    <w:rsid w:val="00A42BC9"/>
    <w:rsid w:val="00A42EC5"/>
    <w:rsid w:val="00A43789"/>
    <w:rsid w:val="00A43E81"/>
    <w:rsid w:val="00A46FAA"/>
    <w:rsid w:val="00A50158"/>
    <w:rsid w:val="00A54FF9"/>
    <w:rsid w:val="00A55CBA"/>
    <w:rsid w:val="00A561B6"/>
    <w:rsid w:val="00A633AD"/>
    <w:rsid w:val="00A666C4"/>
    <w:rsid w:val="00A67631"/>
    <w:rsid w:val="00A701A5"/>
    <w:rsid w:val="00A708A6"/>
    <w:rsid w:val="00A71CB8"/>
    <w:rsid w:val="00A72562"/>
    <w:rsid w:val="00A72E85"/>
    <w:rsid w:val="00A73931"/>
    <w:rsid w:val="00A73B2D"/>
    <w:rsid w:val="00A752B3"/>
    <w:rsid w:val="00A76F38"/>
    <w:rsid w:val="00A7707C"/>
    <w:rsid w:val="00A8002F"/>
    <w:rsid w:val="00A802BD"/>
    <w:rsid w:val="00A80946"/>
    <w:rsid w:val="00A8215B"/>
    <w:rsid w:val="00A93128"/>
    <w:rsid w:val="00A9653E"/>
    <w:rsid w:val="00A96DE4"/>
    <w:rsid w:val="00AA3E9C"/>
    <w:rsid w:val="00AA466F"/>
    <w:rsid w:val="00AA61B1"/>
    <w:rsid w:val="00AA6716"/>
    <w:rsid w:val="00AA785A"/>
    <w:rsid w:val="00AB0E76"/>
    <w:rsid w:val="00AB23CB"/>
    <w:rsid w:val="00AB29C9"/>
    <w:rsid w:val="00AB3AB0"/>
    <w:rsid w:val="00AB6640"/>
    <w:rsid w:val="00AC1007"/>
    <w:rsid w:val="00AC12E8"/>
    <w:rsid w:val="00AC3608"/>
    <w:rsid w:val="00AC40FA"/>
    <w:rsid w:val="00AC4370"/>
    <w:rsid w:val="00AC58A0"/>
    <w:rsid w:val="00AC5CBE"/>
    <w:rsid w:val="00AD0029"/>
    <w:rsid w:val="00AD0FF8"/>
    <w:rsid w:val="00AD1704"/>
    <w:rsid w:val="00AD1AAD"/>
    <w:rsid w:val="00AD2E3C"/>
    <w:rsid w:val="00AD577D"/>
    <w:rsid w:val="00AD6871"/>
    <w:rsid w:val="00AE232D"/>
    <w:rsid w:val="00AE3932"/>
    <w:rsid w:val="00AE4108"/>
    <w:rsid w:val="00AE5A7B"/>
    <w:rsid w:val="00AF0D19"/>
    <w:rsid w:val="00AF1913"/>
    <w:rsid w:val="00AF2268"/>
    <w:rsid w:val="00AF631F"/>
    <w:rsid w:val="00AF6D9B"/>
    <w:rsid w:val="00AF7136"/>
    <w:rsid w:val="00AF7274"/>
    <w:rsid w:val="00AF7C09"/>
    <w:rsid w:val="00B0020F"/>
    <w:rsid w:val="00B017AC"/>
    <w:rsid w:val="00B0199F"/>
    <w:rsid w:val="00B0256F"/>
    <w:rsid w:val="00B05690"/>
    <w:rsid w:val="00B067C9"/>
    <w:rsid w:val="00B06B86"/>
    <w:rsid w:val="00B079A1"/>
    <w:rsid w:val="00B100A8"/>
    <w:rsid w:val="00B10CA3"/>
    <w:rsid w:val="00B1316C"/>
    <w:rsid w:val="00B1569F"/>
    <w:rsid w:val="00B17622"/>
    <w:rsid w:val="00B20D94"/>
    <w:rsid w:val="00B214BD"/>
    <w:rsid w:val="00B21AAB"/>
    <w:rsid w:val="00B26753"/>
    <w:rsid w:val="00B26955"/>
    <w:rsid w:val="00B26B60"/>
    <w:rsid w:val="00B26B94"/>
    <w:rsid w:val="00B27449"/>
    <w:rsid w:val="00B31EB7"/>
    <w:rsid w:val="00B336CA"/>
    <w:rsid w:val="00B33B9E"/>
    <w:rsid w:val="00B34674"/>
    <w:rsid w:val="00B36BBC"/>
    <w:rsid w:val="00B40342"/>
    <w:rsid w:val="00B45411"/>
    <w:rsid w:val="00B4565F"/>
    <w:rsid w:val="00B46DA4"/>
    <w:rsid w:val="00B500F8"/>
    <w:rsid w:val="00B50EBF"/>
    <w:rsid w:val="00B52DC0"/>
    <w:rsid w:val="00B532B0"/>
    <w:rsid w:val="00B536C6"/>
    <w:rsid w:val="00B54517"/>
    <w:rsid w:val="00B56C4C"/>
    <w:rsid w:val="00B57816"/>
    <w:rsid w:val="00B621E5"/>
    <w:rsid w:val="00B62D94"/>
    <w:rsid w:val="00B63E33"/>
    <w:rsid w:val="00B6477C"/>
    <w:rsid w:val="00B71EE8"/>
    <w:rsid w:val="00B730AB"/>
    <w:rsid w:val="00B73341"/>
    <w:rsid w:val="00B73B52"/>
    <w:rsid w:val="00B765D7"/>
    <w:rsid w:val="00B8186E"/>
    <w:rsid w:val="00B81BB6"/>
    <w:rsid w:val="00B840D5"/>
    <w:rsid w:val="00B858BB"/>
    <w:rsid w:val="00B85E17"/>
    <w:rsid w:val="00B85E1F"/>
    <w:rsid w:val="00B93996"/>
    <w:rsid w:val="00B958F2"/>
    <w:rsid w:val="00B967F0"/>
    <w:rsid w:val="00B96897"/>
    <w:rsid w:val="00B97833"/>
    <w:rsid w:val="00BA598F"/>
    <w:rsid w:val="00BA689E"/>
    <w:rsid w:val="00BB0817"/>
    <w:rsid w:val="00BB3690"/>
    <w:rsid w:val="00BB3F9F"/>
    <w:rsid w:val="00BB574A"/>
    <w:rsid w:val="00BC03DD"/>
    <w:rsid w:val="00BC6AE9"/>
    <w:rsid w:val="00BC7C27"/>
    <w:rsid w:val="00BD38B2"/>
    <w:rsid w:val="00BE1596"/>
    <w:rsid w:val="00BE2BFC"/>
    <w:rsid w:val="00BE327A"/>
    <w:rsid w:val="00BE372C"/>
    <w:rsid w:val="00BE3894"/>
    <w:rsid w:val="00BE4E2B"/>
    <w:rsid w:val="00BE7C96"/>
    <w:rsid w:val="00BE7E3A"/>
    <w:rsid w:val="00BF0D2B"/>
    <w:rsid w:val="00BF2120"/>
    <w:rsid w:val="00BF44D5"/>
    <w:rsid w:val="00C012A1"/>
    <w:rsid w:val="00C02FFD"/>
    <w:rsid w:val="00C04193"/>
    <w:rsid w:val="00C05838"/>
    <w:rsid w:val="00C0698C"/>
    <w:rsid w:val="00C104A7"/>
    <w:rsid w:val="00C10801"/>
    <w:rsid w:val="00C17AE0"/>
    <w:rsid w:val="00C20ECD"/>
    <w:rsid w:val="00C22E9D"/>
    <w:rsid w:val="00C23CB3"/>
    <w:rsid w:val="00C24068"/>
    <w:rsid w:val="00C2548A"/>
    <w:rsid w:val="00C25E02"/>
    <w:rsid w:val="00C263FF"/>
    <w:rsid w:val="00C2780F"/>
    <w:rsid w:val="00C279F4"/>
    <w:rsid w:val="00C32E43"/>
    <w:rsid w:val="00C330E2"/>
    <w:rsid w:val="00C3762F"/>
    <w:rsid w:val="00C4103B"/>
    <w:rsid w:val="00C418E2"/>
    <w:rsid w:val="00C45486"/>
    <w:rsid w:val="00C4650D"/>
    <w:rsid w:val="00C46ECE"/>
    <w:rsid w:val="00C47D8E"/>
    <w:rsid w:val="00C50106"/>
    <w:rsid w:val="00C50649"/>
    <w:rsid w:val="00C508DC"/>
    <w:rsid w:val="00C50A6B"/>
    <w:rsid w:val="00C5365E"/>
    <w:rsid w:val="00C578B2"/>
    <w:rsid w:val="00C62247"/>
    <w:rsid w:val="00C630BC"/>
    <w:rsid w:val="00C63685"/>
    <w:rsid w:val="00C66695"/>
    <w:rsid w:val="00C66AA3"/>
    <w:rsid w:val="00C72322"/>
    <w:rsid w:val="00C73C36"/>
    <w:rsid w:val="00C77E75"/>
    <w:rsid w:val="00C77F85"/>
    <w:rsid w:val="00C81F9F"/>
    <w:rsid w:val="00C8371D"/>
    <w:rsid w:val="00C83F19"/>
    <w:rsid w:val="00C84D85"/>
    <w:rsid w:val="00C8519E"/>
    <w:rsid w:val="00C85E2C"/>
    <w:rsid w:val="00C860D1"/>
    <w:rsid w:val="00C86747"/>
    <w:rsid w:val="00C90FBF"/>
    <w:rsid w:val="00C9425C"/>
    <w:rsid w:val="00C9479E"/>
    <w:rsid w:val="00C95108"/>
    <w:rsid w:val="00C9551F"/>
    <w:rsid w:val="00C95878"/>
    <w:rsid w:val="00C95FF5"/>
    <w:rsid w:val="00CA0208"/>
    <w:rsid w:val="00CA3826"/>
    <w:rsid w:val="00CA79D5"/>
    <w:rsid w:val="00CB1E14"/>
    <w:rsid w:val="00CB28EE"/>
    <w:rsid w:val="00CB2D0C"/>
    <w:rsid w:val="00CB3D5F"/>
    <w:rsid w:val="00CB744D"/>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21BF"/>
    <w:rsid w:val="00CE3715"/>
    <w:rsid w:val="00CE37EA"/>
    <w:rsid w:val="00CE7106"/>
    <w:rsid w:val="00CE790F"/>
    <w:rsid w:val="00CF0233"/>
    <w:rsid w:val="00CF10A1"/>
    <w:rsid w:val="00CF4155"/>
    <w:rsid w:val="00CF60C0"/>
    <w:rsid w:val="00CF71B9"/>
    <w:rsid w:val="00D00169"/>
    <w:rsid w:val="00D024BF"/>
    <w:rsid w:val="00D03075"/>
    <w:rsid w:val="00D0698E"/>
    <w:rsid w:val="00D071AF"/>
    <w:rsid w:val="00D079D9"/>
    <w:rsid w:val="00D10954"/>
    <w:rsid w:val="00D11D3D"/>
    <w:rsid w:val="00D13DC1"/>
    <w:rsid w:val="00D1421D"/>
    <w:rsid w:val="00D16D7A"/>
    <w:rsid w:val="00D17A29"/>
    <w:rsid w:val="00D21646"/>
    <w:rsid w:val="00D257EE"/>
    <w:rsid w:val="00D2584D"/>
    <w:rsid w:val="00D25D23"/>
    <w:rsid w:val="00D268FE"/>
    <w:rsid w:val="00D272E5"/>
    <w:rsid w:val="00D4022C"/>
    <w:rsid w:val="00D40740"/>
    <w:rsid w:val="00D41EEF"/>
    <w:rsid w:val="00D42C5D"/>
    <w:rsid w:val="00D441BC"/>
    <w:rsid w:val="00D46F35"/>
    <w:rsid w:val="00D506EC"/>
    <w:rsid w:val="00D516F5"/>
    <w:rsid w:val="00D51FB8"/>
    <w:rsid w:val="00D5211D"/>
    <w:rsid w:val="00D52811"/>
    <w:rsid w:val="00D553D1"/>
    <w:rsid w:val="00D619E5"/>
    <w:rsid w:val="00D6265C"/>
    <w:rsid w:val="00D62EF4"/>
    <w:rsid w:val="00D63C54"/>
    <w:rsid w:val="00D6694C"/>
    <w:rsid w:val="00D67062"/>
    <w:rsid w:val="00D71096"/>
    <w:rsid w:val="00D73F7B"/>
    <w:rsid w:val="00D755EB"/>
    <w:rsid w:val="00D77613"/>
    <w:rsid w:val="00D810C8"/>
    <w:rsid w:val="00D81631"/>
    <w:rsid w:val="00D81B40"/>
    <w:rsid w:val="00D822A0"/>
    <w:rsid w:val="00D833D8"/>
    <w:rsid w:val="00D83DD4"/>
    <w:rsid w:val="00D83E64"/>
    <w:rsid w:val="00D86B7C"/>
    <w:rsid w:val="00D90484"/>
    <w:rsid w:val="00D91E20"/>
    <w:rsid w:val="00D932C3"/>
    <w:rsid w:val="00D94879"/>
    <w:rsid w:val="00D95C92"/>
    <w:rsid w:val="00DA1CBD"/>
    <w:rsid w:val="00DA2A34"/>
    <w:rsid w:val="00DA4F05"/>
    <w:rsid w:val="00DB04DB"/>
    <w:rsid w:val="00DB0D2F"/>
    <w:rsid w:val="00DB0DFE"/>
    <w:rsid w:val="00DB3187"/>
    <w:rsid w:val="00DB4015"/>
    <w:rsid w:val="00DC1D6B"/>
    <w:rsid w:val="00DC5CB4"/>
    <w:rsid w:val="00DC5E46"/>
    <w:rsid w:val="00DC74B7"/>
    <w:rsid w:val="00DD13B3"/>
    <w:rsid w:val="00DD569E"/>
    <w:rsid w:val="00DD613B"/>
    <w:rsid w:val="00DD67F9"/>
    <w:rsid w:val="00DD6954"/>
    <w:rsid w:val="00DE02A0"/>
    <w:rsid w:val="00DE5211"/>
    <w:rsid w:val="00DE555B"/>
    <w:rsid w:val="00DE56FF"/>
    <w:rsid w:val="00DE76AC"/>
    <w:rsid w:val="00DE7A07"/>
    <w:rsid w:val="00DF2995"/>
    <w:rsid w:val="00DF661C"/>
    <w:rsid w:val="00DF6D51"/>
    <w:rsid w:val="00E005BD"/>
    <w:rsid w:val="00E0141B"/>
    <w:rsid w:val="00E019C3"/>
    <w:rsid w:val="00E0395A"/>
    <w:rsid w:val="00E0457D"/>
    <w:rsid w:val="00E104BF"/>
    <w:rsid w:val="00E109CF"/>
    <w:rsid w:val="00E10E07"/>
    <w:rsid w:val="00E11599"/>
    <w:rsid w:val="00E1214F"/>
    <w:rsid w:val="00E1271B"/>
    <w:rsid w:val="00E153FA"/>
    <w:rsid w:val="00E17A1D"/>
    <w:rsid w:val="00E22C20"/>
    <w:rsid w:val="00E231D6"/>
    <w:rsid w:val="00E2357E"/>
    <w:rsid w:val="00E237C6"/>
    <w:rsid w:val="00E264E1"/>
    <w:rsid w:val="00E319A4"/>
    <w:rsid w:val="00E31F35"/>
    <w:rsid w:val="00E31F75"/>
    <w:rsid w:val="00E33BD4"/>
    <w:rsid w:val="00E35B05"/>
    <w:rsid w:val="00E365ED"/>
    <w:rsid w:val="00E36689"/>
    <w:rsid w:val="00E37558"/>
    <w:rsid w:val="00E4144F"/>
    <w:rsid w:val="00E454C3"/>
    <w:rsid w:val="00E45D90"/>
    <w:rsid w:val="00E46130"/>
    <w:rsid w:val="00E52E6B"/>
    <w:rsid w:val="00E53C75"/>
    <w:rsid w:val="00E542DD"/>
    <w:rsid w:val="00E555AB"/>
    <w:rsid w:val="00E55BF4"/>
    <w:rsid w:val="00E56B93"/>
    <w:rsid w:val="00E62A28"/>
    <w:rsid w:val="00E656C4"/>
    <w:rsid w:val="00E729ED"/>
    <w:rsid w:val="00E72D1F"/>
    <w:rsid w:val="00E74682"/>
    <w:rsid w:val="00E818AA"/>
    <w:rsid w:val="00E83485"/>
    <w:rsid w:val="00E84258"/>
    <w:rsid w:val="00E87752"/>
    <w:rsid w:val="00E87AE2"/>
    <w:rsid w:val="00E91F09"/>
    <w:rsid w:val="00E9209D"/>
    <w:rsid w:val="00E9412C"/>
    <w:rsid w:val="00EA3CA2"/>
    <w:rsid w:val="00EA5C72"/>
    <w:rsid w:val="00EB4AC7"/>
    <w:rsid w:val="00EB5683"/>
    <w:rsid w:val="00EB7742"/>
    <w:rsid w:val="00EC02B6"/>
    <w:rsid w:val="00EC1435"/>
    <w:rsid w:val="00EC1EF5"/>
    <w:rsid w:val="00EC325A"/>
    <w:rsid w:val="00EC5A4F"/>
    <w:rsid w:val="00ED76DD"/>
    <w:rsid w:val="00EE019F"/>
    <w:rsid w:val="00EE12F9"/>
    <w:rsid w:val="00EE14EC"/>
    <w:rsid w:val="00EE3BD9"/>
    <w:rsid w:val="00EF0037"/>
    <w:rsid w:val="00EF0125"/>
    <w:rsid w:val="00EF0619"/>
    <w:rsid w:val="00EF07C2"/>
    <w:rsid w:val="00EF11BA"/>
    <w:rsid w:val="00EF2C0B"/>
    <w:rsid w:val="00EF3313"/>
    <w:rsid w:val="00EF4681"/>
    <w:rsid w:val="00F03BB2"/>
    <w:rsid w:val="00F05454"/>
    <w:rsid w:val="00F076FA"/>
    <w:rsid w:val="00F117DE"/>
    <w:rsid w:val="00F11A08"/>
    <w:rsid w:val="00F11B08"/>
    <w:rsid w:val="00F1404A"/>
    <w:rsid w:val="00F178BB"/>
    <w:rsid w:val="00F22E20"/>
    <w:rsid w:val="00F240FE"/>
    <w:rsid w:val="00F26363"/>
    <w:rsid w:val="00F26437"/>
    <w:rsid w:val="00F267D9"/>
    <w:rsid w:val="00F27F7F"/>
    <w:rsid w:val="00F302D2"/>
    <w:rsid w:val="00F30675"/>
    <w:rsid w:val="00F4012A"/>
    <w:rsid w:val="00F40B24"/>
    <w:rsid w:val="00F41563"/>
    <w:rsid w:val="00F4257E"/>
    <w:rsid w:val="00F445C0"/>
    <w:rsid w:val="00F4490A"/>
    <w:rsid w:val="00F503AE"/>
    <w:rsid w:val="00F51698"/>
    <w:rsid w:val="00F5183A"/>
    <w:rsid w:val="00F531CA"/>
    <w:rsid w:val="00F547E3"/>
    <w:rsid w:val="00F54D06"/>
    <w:rsid w:val="00F565C2"/>
    <w:rsid w:val="00F56FC1"/>
    <w:rsid w:val="00F63921"/>
    <w:rsid w:val="00F63BC6"/>
    <w:rsid w:val="00F67498"/>
    <w:rsid w:val="00F70BF8"/>
    <w:rsid w:val="00F70D05"/>
    <w:rsid w:val="00F71AB4"/>
    <w:rsid w:val="00F71CA1"/>
    <w:rsid w:val="00F72D41"/>
    <w:rsid w:val="00F73042"/>
    <w:rsid w:val="00F731EC"/>
    <w:rsid w:val="00F73FA8"/>
    <w:rsid w:val="00F74CCC"/>
    <w:rsid w:val="00F75BE2"/>
    <w:rsid w:val="00F761D5"/>
    <w:rsid w:val="00F76E4B"/>
    <w:rsid w:val="00F82F2F"/>
    <w:rsid w:val="00F83739"/>
    <w:rsid w:val="00F8374B"/>
    <w:rsid w:val="00F83C07"/>
    <w:rsid w:val="00F86A0D"/>
    <w:rsid w:val="00F905B2"/>
    <w:rsid w:val="00F912FC"/>
    <w:rsid w:val="00F917CB"/>
    <w:rsid w:val="00F918AF"/>
    <w:rsid w:val="00F91BAA"/>
    <w:rsid w:val="00F9775A"/>
    <w:rsid w:val="00F97F7C"/>
    <w:rsid w:val="00FA097F"/>
    <w:rsid w:val="00FA10A4"/>
    <w:rsid w:val="00FA1723"/>
    <w:rsid w:val="00FA6009"/>
    <w:rsid w:val="00FA611A"/>
    <w:rsid w:val="00FA6312"/>
    <w:rsid w:val="00FB3149"/>
    <w:rsid w:val="00FB5095"/>
    <w:rsid w:val="00FC14EE"/>
    <w:rsid w:val="00FC2A37"/>
    <w:rsid w:val="00FC57A7"/>
    <w:rsid w:val="00FC7CC2"/>
    <w:rsid w:val="00FD0299"/>
    <w:rsid w:val="00FD33A1"/>
    <w:rsid w:val="00FD4FAA"/>
    <w:rsid w:val="00FD66FB"/>
    <w:rsid w:val="00FD6C76"/>
    <w:rsid w:val="00FE2C97"/>
    <w:rsid w:val="00FE72DE"/>
    <w:rsid w:val="00FF5D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E113"/>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table" w:styleId="TableGrid">
    <w:name w:val="Table Grid"/>
    <w:basedOn w:val="TableNormal"/>
    <w:uiPriority w:val="59"/>
    <w:rsid w:val="00B8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GMENTNUMBERED">
    <w:name w:val="JUGMENT NUMBERED"/>
    <w:basedOn w:val="Normal"/>
    <w:uiPriority w:val="99"/>
    <w:rsid w:val="00C10801"/>
    <w:pPr>
      <w:numPr>
        <w:numId w:val="33"/>
      </w:numPr>
      <w:spacing w:line="480" w:lineRule="auto"/>
      <w:jc w:val="both"/>
    </w:pPr>
    <w:rPr>
      <w:rFonts w:ascii="Times New Roman" w:hAnsi="Times New Roman" w:cs="Times New Roman"/>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22516">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3" ma:contentTypeDescription="Create a new document." ma:contentTypeScope="" ma:versionID="267dd1e86803dd40d2acb79b6ca9211e">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fd3168a5a83ceb3515187aa114f78402"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E495-D059-4186-B7CB-47F74ABB21BF}">
  <ds:schemaRefs>
    <ds:schemaRef ds:uri="http://schemas.microsoft.com/sharepoint/v3/contenttype/forms"/>
  </ds:schemaRefs>
</ds:datastoreItem>
</file>

<file path=customXml/itemProps2.xml><?xml version="1.0" encoding="utf-8"?>
<ds:datastoreItem xmlns:ds="http://schemas.openxmlformats.org/officeDocument/2006/customXml" ds:itemID="{53099279-C0D6-4CAF-9F7A-B4647474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4B5B5-A043-413A-8706-289651D7BA0E}">
  <ds:schemaRefs>
    <ds:schemaRef ds:uri="http://schemas.microsoft.com/office/2006/metadata/properties"/>
    <ds:schemaRef ds:uri="http://schemas.microsoft.com/office/infopath/2007/PartnerControls"/>
    <ds:schemaRef ds:uri="2e5d8bf4-e976-4310-89b5-20300ef8baa9"/>
  </ds:schemaRefs>
</ds:datastoreItem>
</file>

<file path=customXml/itemProps4.xml><?xml version="1.0" encoding="utf-8"?>
<ds:datastoreItem xmlns:ds="http://schemas.openxmlformats.org/officeDocument/2006/customXml" ds:itemID="{941E0489-6794-4968-B292-8C68C8B5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2023-06-12T13:13:00Z</cp:lastPrinted>
  <dcterms:created xsi:type="dcterms:W3CDTF">2023-06-14T07:48:00Z</dcterms:created>
  <dcterms:modified xsi:type="dcterms:W3CDTF">2023-06-14T07:48:00Z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