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B062" w14:textId="77777777" w:rsidR="00A16719" w:rsidRPr="007E54C2" w:rsidRDefault="00A16719" w:rsidP="006572B3">
      <w:pPr>
        <w:pStyle w:val="Title"/>
        <w:jc w:val="center"/>
        <w:rPr>
          <w:rFonts w:ascii="Arial" w:hAnsi="Arial" w:cs="Arial"/>
          <w:b/>
          <w:bCs/>
          <w:sz w:val="24"/>
          <w:szCs w:val="24"/>
          <w:lang w:val="en-GB"/>
        </w:rPr>
      </w:pPr>
      <w:bookmarkStart w:id="0" w:name="_GoBack"/>
      <w:bookmarkEnd w:id="0"/>
    </w:p>
    <w:p w14:paraId="4D83C884" w14:textId="77777777" w:rsidR="00A16719" w:rsidRPr="007E54C2" w:rsidRDefault="00A16719" w:rsidP="006572B3">
      <w:pPr>
        <w:pStyle w:val="Title"/>
        <w:jc w:val="center"/>
        <w:rPr>
          <w:rFonts w:ascii="Arial" w:hAnsi="Arial" w:cs="Arial"/>
          <w:b/>
          <w:bCs/>
          <w:sz w:val="24"/>
          <w:szCs w:val="24"/>
          <w:lang w:val="en-GB"/>
        </w:rPr>
      </w:pPr>
    </w:p>
    <w:p w14:paraId="2C39EBDC" w14:textId="77777777" w:rsidR="00A16719" w:rsidRPr="007E54C2" w:rsidRDefault="00A16719" w:rsidP="006572B3">
      <w:pPr>
        <w:pStyle w:val="Title"/>
        <w:jc w:val="center"/>
        <w:rPr>
          <w:rFonts w:ascii="Arial" w:hAnsi="Arial" w:cs="Arial"/>
          <w:b/>
          <w:bCs/>
          <w:sz w:val="24"/>
          <w:szCs w:val="24"/>
          <w:lang w:val="en-GB"/>
        </w:rPr>
      </w:pPr>
    </w:p>
    <w:p w14:paraId="17D365C4" w14:textId="77777777" w:rsidR="00A16719" w:rsidRPr="007E54C2" w:rsidRDefault="00A16719" w:rsidP="006572B3">
      <w:pPr>
        <w:pStyle w:val="Title"/>
        <w:jc w:val="center"/>
        <w:rPr>
          <w:rFonts w:ascii="Arial" w:hAnsi="Arial" w:cs="Arial"/>
          <w:b/>
          <w:bCs/>
          <w:sz w:val="24"/>
          <w:szCs w:val="24"/>
          <w:lang w:val="en-GB"/>
        </w:rPr>
      </w:pPr>
    </w:p>
    <w:p w14:paraId="53EF6153" w14:textId="451A2A3E" w:rsidR="006572B3" w:rsidRPr="007E54C2" w:rsidRDefault="006572B3" w:rsidP="006572B3">
      <w:pPr>
        <w:pStyle w:val="Title"/>
        <w:jc w:val="center"/>
        <w:rPr>
          <w:rFonts w:ascii="Arial" w:hAnsi="Arial" w:cs="Arial"/>
          <w:b/>
          <w:bCs/>
          <w:sz w:val="24"/>
          <w:szCs w:val="24"/>
          <w:lang w:val="en-GB"/>
        </w:rPr>
      </w:pPr>
      <w:r w:rsidRPr="007E54C2">
        <w:rPr>
          <w:rFonts w:ascii="Arial" w:hAnsi="Arial" w:cs="Arial"/>
          <w:b/>
          <w:bCs/>
          <w:sz w:val="24"/>
          <w:szCs w:val="24"/>
          <w:lang w:val="en-GB"/>
        </w:rPr>
        <w:t>IN THE HIGH COURT OF SOUTH AFRICA</w:t>
      </w:r>
    </w:p>
    <w:p w14:paraId="217595C1" w14:textId="77777777" w:rsidR="006572B3" w:rsidRPr="007E54C2" w:rsidRDefault="006572B3" w:rsidP="006572B3">
      <w:pPr>
        <w:jc w:val="center"/>
        <w:rPr>
          <w:rFonts w:cs="Arial"/>
          <w:b/>
          <w:bCs/>
          <w:lang w:val="en-GB"/>
        </w:rPr>
      </w:pPr>
      <w:r w:rsidRPr="007E54C2">
        <w:rPr>
          <w:rFonts w:cs="Arial"/>
          <w:b/>
          <w:bCs/>
          <w:lang w:val="en-GB"/>
        </w:rPr>
        <w:t>(WESTERN CAPE HIGH COURT, CAPE TOWN)</w:t>
      </w:r>
    </w:p>
    <w:p w14:paraId="36FED678" w14:textId="77777777" w:rsidR="006572B3" w:rsidRPr="007E54C2" w:rsidRDefault="006572B3" w:rsidP="006572B3">
      <w:pPr>
        <w:jc w:val="center"/>
        <w:rPr>
          <w:rFonts w:cs="Arial"/>
          <w:b/>
          <w:bCs/>
          <w:lang w:val="en-GB"/>
        </w:rPr>
      </w:pPr>
    </w:p>
    <w:p w14:paraId="69768CC3" w14:textId="77777777" w:rsidR="006572B3" w:rsidRPr="007E54C2" w:rsidRDefault="006572B3" w:rsidP="006572B3">
      <w:pPr>
        <w:jc w:val="both"/>
        <w:rPr>
          <w:rFonts w:cs="Arial"/>
          <w:lang w:val="en-GB"/>
        </w:rPr>
      </w:pPr>
    </w:p>
    <w:p w14:paraId="04030683" w14:textId="124C737B" w:rsidR="006572B3" w:rsidRPr="007E54C2" w:rsidRDefault="006572B3" w:rsidP="00387726">
      <w:pPr>
        <w:ind w:left="5103"/>
        <w:jc w:val="both"/>
        <w:rPr>
          <w:rFonts w:cs="Arial"/>
          <w:b/>
          <w:lang w:val="en-GB"/>
        </w:rPr>
      </w:pPr>
      <w:r w:rsidRPr="007E54C2">
        <w:rPr>
          <w:rFonts w:cs="Arial"/>
          <w:bCs/>
          <w:lang w:val="en-GB"/>
        </w:rPr>
        <w:t>Case No:</w:t>
      </w:r>
      <w:r w:rsidRPr="007E54C2">
        <w:rPr>
          <w:rFonts w:cs="Arial"/>
          <w:b/>
          <w:lang w:val="en-GB"/>
        </w:rPr>
        <w:tab/>
      </w:r>
      <w:r w:rsidR="0014257F" w:rsidRPr="007E54C2">
        <w:rPr>
          <w:rFonts w:cs="Arial"/>
          <w:b/>
          <w:lang w:val="en-GB"/>
        </w:rPr>
        <w:t>1896</w:t>
      </w:r>
      <w:r w:rsidR="00C23557" w:rsidRPr="007E54C2">
        <w:rPr>
          <w:rFonts w:cs="Arial"/>
          <w:b/>
          <w:lang w:val="en-GB"/>
        </w:rPr>
        <w:t>/2023</w:t>
      </w:r>
    </w:p>
    <w:p w14:paraId="031D71C3" w14:textId="77777777" w:rsidR="006572B3" w:rsidRPr="007E54C2" w:rsidRDefault="006572B3" w:rsidP="006572B3">
      <w:pPr>
        <w:jc w:val="both"/>
        <w:rPr>
          <w:rFonts w:cs="Arial"/>
          <w:lang w:val="en-GB"/>
        </w:rPr>
      </w:pPr>
    </w:p>
    <w:p w14:paraId="1BA1F2B9" w14:textId="77777777" w:rsidR="006572B3" w:rsidRPr="007E54C2" w:rsidRDefault="006572B3" w:rsidP="006572B3">
      <w:pPr>
        <w:jc w:val="both"/>
        <w:rPr>
          <w:rFonts w:cs="Arial"/>
          <w:lang w:val="en-GB"/>
        </w:rPr>
      </w:pPr>
      <w:r w:rsidRPr="007E54C2">
        <w:rPr>
          <w:rFonts w:cs="Arial"/>
          <w:lang w:val="en-GB"/>
        </w:rPr>
        <w:t>In the matter between:</w:t>
      </w:r>
    </w:p>
    <w:p w14:paraId="2EE9757B" w14:textId="77777777" w:rsidR="006572B3" w:rsidRPr="007E54C2" w:rsidRDefault="006572B3" w:rsidP="006572B3">
      <w:pPr>
        <w:jc w:val="both"/>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6572B3" w:rsidRPr="007E54C2" w14:paraId="3CA764CA" w14:textId="77777777" w:rsidTr="005A2514">
        <w:tc>
          <w:tcPr>
            <w:tcW w:w="6232" w:type="dxa"/>
          </w:tcPr>
          <w:p w14:paraId="4D4CCB18" w14:textId="53F1DAF8" w:rsidR="006572B3" w:rsidRPr="007E54C2" w:rsidRDefault="00402030" w:rsidP="005A2514">
            <w:pPr>
              <w:spacing w:before="120"/>
              <w:jc w:val="both"/>
              <w:rPr>
                <w:rFonts w:cs="Arial"/>
                <w:b/>
                <w:lang w:val="en-GB"/>
              </w:rPr>
            </w:pPr>
            <w:r w:rsidRPr="007E54C2">
              <w:rPr>
                <w:rFonts w:cs="Arial"/>
                <w:b/>
                <w:lang w:val="en-GB"/>
              </w:rPr>
              <w:t>SOUTH AFRICAN SECURIT</w:t>
            </w:r>
            <w:r w:rsidR="001F1344" w:rsidRPr="007E54C2">
              <w:rPr>
                <w:rFonts w:cs="Arial"/>
                <w:b/>
                <w:lang w:val="en-GB"/>
              </w:rPr>
              <w:t>ISATION PROGRAMME (RF) LIMITED</w:t>
            </w:r>
          </w:p>
        </w:tc>
        <w:tc>
          <w:tcPr>
            <w:tcW w:w="2784" w:type="dxa"/>
          </w:tcPr>
          <w:p w14:paraId="161848A3" w14:textId="58E73D1E" w:rsidR="006572B3" w:rsidRPr="007E54C2" w:rsidRDefault="001F1344" w:rsidP="005A2514">
            <w:pPr>
              <w:tabs>
                <w:tab w:val="left" w:pos="6660"/>
              </w:tabs>
              <w:spacing w:before="120"/>
              <w:jc w:val="right"/>
              <w:rPr>
                <w:rFonts w:cs="Arial"/>
                <w:b/>
                <w:lang w:val="en-GB"/>
              </w:rPr>
            </w:pPr>
            <w:r w:rsidRPr="007E54C2">
              <w:rPr>
                <w:rFonts w:cs="Arial"/>
                <w:b/>
                <w:lang w:val="en-GB"/>
              </w:rPr>
              <w:t>First Applicant/</w:t>
            </w:r>
            <w:r w:rsidR="00E72001" w:rsidRPr="007E54C2">
              <w:rPr>
                <w:rFonts w:cs="Arial"/>
                <w:b/>
                <w:lang w:val="en-GB"/>
              </w:rPr>
              <w:t xml:space="preserve"> </w:t>
            </w:r>
            <w:r w:rsidRPr="007E54C2">
              <w:rPr>
                <w:rFonts w:cs="Arial"/>
                <w:b/>
                <w:lang w:val="en-GB"/>
              </w:rPr>
              <w:t>First</w:t>
            </w:r>
            <w:r w:rsidR="00E72001" w:rsidRPr="007E54C2">
              <w:rPr>
                <w:rFonts w:cs="Arial"/>
                <w:b/>
                <w:lang w:val="en-GB"/>
              </w:rPr>
              <w:t> </w:t>
            </w:r>
            <w:r w:rsidRPr="007E54C2">
              <w:rPr>
                <w:rFonts w:cs="Arial"/>
                <w:b/>
                <w:lang w:val="en-GB"/>
              </w:rPr>
              <w:t>Plaintiff</w:t>
            </w:r>
          </w:p>
        </w:tc>
      </w:tr>
      <w:tr w:rsidR="00E72001" w:rsidRPr="007E54C2" w14:paraId="0FC89382" w14:textId="77777777" w:rsidTr="005A2514">
        <w:tc>
          <w:tcPr>
            <w:tcW w:w="6232" w:type="dxa"/>
          </w:tcPr>
          <w:p w14:paraId="797746F7" w14:textId="76B9825E" w:rsidR="00E72001" w:rsidRPr="007E54C2" w:rsidRDefault="00E72001" w:rsidP="005A2514">
            <w:pPr>
              <w:spacing w:before="120"/>
              <w:jc w:val="both"/>
              <w:rPr>
                <w:rFonts w:cs="Arial"/>
                <w:b/>
                <w:lang w:val="en-GB"/>
              </w:rPr>
            </w:pPr>
            <w:r w:rsidRPr="007E54C2">
              <w:rPr>
                <w:rFonts w:cs="Arial"/>
                <w:b/>
                <w:lang w:val="en-GB"/>
              </w:rPr>
              <w:t>SASFIN BANK LIMITED</w:t>
            </w:r>
          </w:p>
        </w:tc>
        <w:tc>
          <w:tcPr>
            <w:tcW w:w="2784" w:type="dxa"/>
          </w:tcPr>
          <w:p w14:paraId="6FEA6F9B" w14:textId="4BD90AD3" w:rsidR="00E72001" w:rsidRPr="007E54C2" w:rsidRDefault="00E72001" w:rsidP="005A2514">
            <w:pPr>
              <w:tabs>
                <w:tab w:val="left" w:pos="6660"/>
              </w:tabs>
              <w:spacing w:before="120"/>
              <w:jc w:val="right"/>
              <w:rPr>
                <w:rFonts w:cs="Arial"/>
                <w:b/>
                <w:lang w:val="en-GB"/>
              </w:rPr>
            </w:pPr>
            <w:r w:rsidRPr="007E54C2">
              <w:rPr>
                <w:rFonts w:cs="Arial"/>
                <w:b/>
                <w:lang w:val="en-GB"/>
              </w:rPr>
              <w:t>Second Applicant/ Second Plaintiff</w:t>
            </w:r>
          </w:p>
        </w:tc>
      </w:tr>
      <w:tr w:rsidR="00E72001" w:rsidRPr="007E54C2" w14:paraId="5A92EB2A" w14:textId="77777777" w:rsidTr="005A2514">
        <w:tc>
          <w:tcPr>
            <w:tcW w:w="6232" w:type="dxa"/>
          </w:tcPr>
          <w:p w14:paraId="10BED146" w14:textId="6B02B4CC" w:rsidR="00E72001" w:rsidRPr="007E54C2" w:rsidRDefault="00E72001" w:rsidP="005A2514">
            <w:pPr>
              <w:spacing w:before="120"/>
              <w:jc w:val="both"/>
              <w:rPr>
                <w:rFonts w:cs="Arial"/>
                <w:b/>
                <w:lang w:val="en-GB"/>
              </w:rPr>
            </w:pPr>
            <w:r w:rsidRPr="007E54C2">
              <w:rPr>
                <w:rFonts w:cs="Arial"/>
                <w:b/>
                <w:lang w:val="en-GB"/>
              </w:rPr>
              <w:t>SUNLYN (PTY) LTD</w:t>
            </w:r>
          </w:p>
        </w:tc>
        <w:tc>
          <w:tcPr>
            <w:tcW w:w="2784" w:type="dxa"/>
          </w:tcPr>
          <w:p w14:paraId="036F2960" w14:textId="06ACD2D8" w:rsidR="00E72001" w:rsidRPr="007E54C2" w:rsidRDefault="00E72001" w:rsidP="005A2514">
            <w:pPr>
              <w:tabs>
                <w:tab w:val="left" w:pos="6660"/>
              </w:tabs>
              <w:spacing w:before="120"/>
              <w:jc w:val="right"/>
              <w:rPr>
                <w:rFonts w:cs="Arial"/>
                <w:b/>
                <w:lang w:val="en-GB"/>
              </w:rPr>
            </w:pPr>
            <w:r w:rsidRPr="007E54C2">
              <w:rPr>
                <w:rFonts w:cs="Arial"/>
                <w:b/>
                <w:lang w:val="en-GB"/>
              </w:rPr>
              <w:t>Third Applicant/ Third Plaintiff</w:t>
            </w:r>
          </w:p>
        </w:tc>
      </w:tr>
      <w:tr w:rsidR="006572B3" w:rsidRPr="007E54C2" w14:paraId="44B63EC9" w14:textId="77777777" w:rsidTr="005A2514">
        <w:tc>
          <w:tcPr>
            <w:tcW w:w="6232" w:type="dxa"/>
          </w:tcPr>
          <w:p w14:paraId="7CD26F79" w14:textId="77777777" w:rsidR="006572B3" w:rsidRPr="007E54C2" w:rsidRDefault="006572B3" w:rsidP="005A2514">
            <w:pPr>
              <w:tabs>
                <w:tab w:val="left" w:pos="6660"/>
                <w:tab w:val="left" w:pos="7655"/>
              </w:tabs>
              <w:spacing w:before="120"/>
              <w:jc w:val="both"/>
              <w:rPr>
                <w:rFonts w:cs="Arial"/>
                <w:b/>
                <w:lang w:val="en-GB"/>
              </w:rPr>
            </w:pPr>
          </w:p>
          <w:p w14:paraId="300B69D9" w14:textId="77777777" w:rsidR="006572B3" w:rsidRPr="007E54C2" w:rsidRDefault="006572B3" w:rsidP="005A2514">
            <w:pPr>
              <w:tabs>
                <w:tab w:val="left" w:pos="6660"/>
                <w:tab w:val="left" w:pos="7371"/>
              </w:tabs>
              <w:spacing w:before="120"/>
              <w:jc w:val="both"/>
              <w:rPr>
                <w:rFonts w:cs="Arial"/>
                <w:b/>
                <w:lang w:val="en-GB"/>
              </w:rPr>
            </w:pPr>
            <w:r w:rsidRPr="007E54C2">
              <w:rPr>
                <w:rFonts w:cs="Arial"/>
                <w:b/>
                <w:lang w:val="en-GB"/>
              </w:rPr>
              <w:t>versus</w:t>
            </w:r>
          </w:p>
          <w:p w14:paraId="40E86B18" w14:textId="77777777" w:rsidR="006572B3" w:rsidRPr="007E54C2" w:rsidRDefault="006572B3" w:rsidP="005A2514">
            <w:pPr>
              <w:spacing w:before="120"/>
              <w:jc w:val="both"/>
              <w:rPr>
                <w:rFonts w:cs="Arial"/>
                <w:b/>
                <w:lang w:val="en-GB"/>
              </w:rPr>
            </w:pPr>
          </w:p>
        </w:tc>
        <w:tc>
          <w:tcPr>
            <w:tcW w:w="2784" w:type="dxa"/>
          </w:tcPr>
          <w:p w14:paraId="2F615994" w14:textId="77777777" w:rsidR="006572B3" w:rsidRPr="007E54C2" w:rsidRDefault="006572B3" w:rsidP="005A2514">
            <w:pPr>
              <w:spacing w:before="120"/>
              <w:jc w:val="right"/>
              <w:rPr>
                <w:rFonts w:cs="Arial"/>
                <w:b/>
                <w:lang w:val="en-GB"/>
              </w:rPr>
            </w:pPr>
          </w:p>
        </w:tc>
      </w:tr>
      <w:tr w:rsidR="006572B3" w:rsidRPr="007E54C2" w14:paraId="1D3271EE" w14:textId="77777777" w:rsidTr="005A2514">
        <w:tc>
          <w:tcPr>
            <w:tcW w:w="6232" w:type="dxa"/>
          </w:tcPr>
          <w:p w14:paraId="1E936B74" w14:textId="5743EFB7" w:rsidR="006572B3" w:rsidRPr="007E54C2" w:rsidRDefault="00906599" w:rsidP="005A2514">
            <w:pPr>
              <w:tabs>
                <w:tab w:val="left" w:pos="6660"/>
                <w:tab w:val="left" w:pos="7655"/>
              </w:tabs>
              <w:spacing w:before="120"/>
              <w:jc w:val="both"/>
              <w:rPr>
                <w:rFonts w:cs="Arial"/>
                <w:b/>
                <w:lang w:val="en-GB"/>
              </w:rPr>
            </w:pPr>
            <w:r w:rsidRPr="007E54C2">
              <w:rPr>
                <w:rFonts w:cs="Arial"/>
                <w:b/>
                <w:lang w:val="en-GB"/>
              </w:rPr>
              <w:t>WBT AUTO WHOLESALERS</w:t>
            </w:r>
          </w:p>
        </w:tc>
        <w:tc>
          <w:tcPr>
            <w:tcW w:w="2784" w:type="dxa"/>
          </w:tcPr>
          <w:p w14:paraId="401DDE16" w14:textId="3CA44903" w:rsidR="006572B3" w:rsidRPr="007E54C2" w:rsidRDefault="00125DD5" w:rsidP="005A2514">
            <w:pPr>
              <w:spacing w:before="120"/>
              <w:jc w:val="right"/>
              <w:rPr>
                <w:rFonts w:cs="Arial"/>
                <w:b/>
                <w:lang w:val="en-GB"/>
              </w:rPr>
            </w:pPr>
            <w:r w:rsidRPr="007E54C2">
              <w:rPr>
                <w:rFonts w:cs="Arial"/>
                <w:b/>
                <w:lang w:val="en-GB"/>
              </w:rPr>
              <w:t>First Respondent</w:t>
            </w:r>
            <w:r w:rsidR="00906599" w:rsidRPr="007E54C2">
              <w:rPr>
                <w:rFonts w:cs="Arial"/>
                <w:b/>
                <w:lang w:val="en-GB"/>
              </w:rPr>
              <w:t>/</w:t>
            </w:r>
          </w:p>
          <w:p w14:paraId="188E1118" w14:textId="3C130AC5" w:rsidR="00E72001" w:rsidRPr="007E54C2" w:rsidRDefault="00E72001" w:rsidP="005A2514">
            <w:pPr>
              <w:spacing w:before="120"/>
              <w:jc w:val="right"/>
              <w:rPr>
                <w:rFonts w:cs="Arial"/>
                <w:b/>
                <w:lang w:val="en-GB"/>
              </w:rPr>
            </w:pPr>
            <w:r w:rsidRPr="007E54C2">
              <w:rPr>
                <w:rFonts w:cs="Arial"/>
                <w:b/>
                <w:lang w:val="en-GB"/>
              </w:rPr>
              <w:t>First Defendant</w:t>
            </w:r>
          </w:p>
        </w:tc>
      </w:tr>
      <w:tr w:rsidR="00C11B06" w:rsidRPr="007E54C2" w14:paraId="3FF50163" w14:textId="77777777" w:rsidTr="005A2514">
        <w:tc>
          <w:tcPr>
            <w:tcW w:w="6232" w:type="dxa"/>
          </w:tcPr>
          <w:p w14:paraId="44F177E9" w14:textId="3C77B401" w:rsidR="00C11B06" w:rsidRPr="007E54C2" w:rsidRDefault="00906599" w:rsidP="005A2514">
            <w:pPr>
              <w:tabs>
                <w:tab w:val="left" w:pos="6660"/>
                <w:tab w:val="left" w:pos="7655"/>
              </w:tabs>
              <w:spacing w:before="120"/>
              <w:jc w:val="both"/>
              <w:rPr>
                <w:rFonts w:cs="Arial"/>
                <w:b/>
                <w:lang w:val="en-GB"/>
              </w:rPr>
            </w:pPr>
            <w:r w:rsidRPr="007E54C2">
              <w:rPr>
                <w:rFonts w:cs="Arial"/>
                <w:b/>
                <w:lang w:val="en-GB"/>
              </w:rPr>
              <w:t>LUCELLE FLEUR ANGEL</w:t>
            </w:r>
          </w:p>
        </w:tc>
        <w:tc>
          <w:tcPr>
            <w:tcW w:w="2784" w:type="dxa"/>
          </w:tcPr>
          <w:p w14:paraId="01C4AD5B" w14:textId="0591BC47" w:rsidR="00C11B06" w:rsidRPr="007E54C2" w:rsidRDefault="00C11B06" w:rsidP="005A2514">
            <w:pPr>
              <w:spacing w:before="120"/>
              <w:jc w:val="right"/>
              <w:rPr>
                <w:rFonts w:cs="Arial"/>
                <w:b/>
                <w:lang w:val="en-GB"/>
              </w:rPr>
            </w:pPr>
            <w:r w:rsidRPr="007E54C2">
              <w:rPr>
                <w:rFonts w:cs="Arial"/>
                <w:b/>
                <w:lang w:val="en-GB"/>
              </w:rPr>
              <w:t xml:space="preserve">Second </w:t>
            </w:r>
            <w:r w:rsidR="00125DD5" w:rsidRPr="007E54C2">
              <w:rPr>
                <w:rFonts w:cs="Arial"/>
                <w:b/>
                <w:lang w:val="en-GB"/>
              </w:rPr>
              <w:t>Respondent</w:t>
            </w:r>
            <w:r w:rsidR="00906599" w:rsidRPr="007E54C2">
              <w:rPr>
                <w:rFonts w:cs="Arial"/>
                <w:b/>
                <w:lang w:val="en-GB"/>
              </w:rPr>
              <w:t>/</w:t>
            </w:r>
          </w:p>
          <w:p w14:paraId="7E91F1C5" w14:textId="2114F914" w:rsidR="00906599" w:rsidRPr="007E54C2" w:rsidRDefault="00906599" w:rsidP="005A2514">
            <w:pPr>
              <w:spacing w:before="120"/>
              <w:jc w:val="right"/>
              <w:rPr>
                <w:rFonts w:cs="Arial"/>
                <w:b/>
                <w:lang w:val="en-GB"/>
              </w:rPr>
            </w:pPr>
            <w:r w:rsidRPr="007E54C2">
              <w:rPr>
                <w:rFonts w:cs="Arial"/>
                <w:b/>
                <w:lang w:val="en-GB"/>
              </w:rPr>
              <w:t>Second Defendant</w:t>
            </w:r>
          </w:p>
        </w:tc>
      </w:tr>
      <w:tr w:rsidR="00EB588A" w:rsidRPr="007E54C2" w14:paraId="7942C693" w14:textId="77777777" w:rsidTr="005A2514">
        <w:tc>
          <w:tcPr>
            <w:tcW w:w="6232" w:type="dxa"/>
          </w:tcPr>
          <w:p w14:paraId="0D847E36" w14:textId="640DEAF0" w:rsidR="00EB588A" w:rsidRPr="007E54C2" w:rsidRDefault="00AB5C9D" w:rsidP="005A2514">
            <w:pPr>
              <w:tabs>
                <w:tab w:val="left" w:pos="6660"/>
                <w:tab w:val="left" w:pos="7655"/>
              </w:tabs>
              <w:spacing w:before="120"/>
              <w:jc w:val="both"/>
              <w:rPr>
                <w:rFonts w:cs="Arial"/>
                <w:b/>
                <w:lang w:val="en-GB"/>
              </w:rPr>
            </w:pPr>
            <w:r w:rsidRPr="007E54C2">
              <w:rPr>
                <w:rFonts w:cs="Arial"/>
                <w:b/>
                <w:lang w:val="en-GB"/>
              </w:rPr>
              <w:t>WESLEY ERNEST ANGEL</w:t>
            </w:r>
          </w:p>
        </w:tc>
        <w:tc>
          <w:tcPr>
            <w:tcW w:w="2784" w:type="dxa"/>
          </w:tcPr>
          <w:p w14:paraId="7CE3AAA4" w14:textId="77777777" w:rsidR="00906599" w:rsidRPr="007E54C2" w:rsidRDefault="00EB588A" w:rsidP="005A2514">
            <w:pPr>
              <w:spacing w:before="120"/>
              <w:jc w:val="right"/>
              <w:rPr>
                <w:rFonts w:cs="Arial"/>
                <w:b/>
                <w:lang w:val="en-GB"/>
              </w:rPr>
            </w:pPr>
            <w:r w:rsidRPr="007E54C2">
              <w:rPr>
                <w:rFonts w:cs="Arial"/>
                <w:b/>
                <w:lang w:val="en-GB"/>
              </w:rPr>
              <w:t>Third Respondent</w:t>
            </w:r>
            <w:r w:rsidR="00906599" w:rsidRPr="007E54C2">
              <w:rPr>
                <w:rFonts w:cs="Arial"/>
                <w:b/>
                <w:lang w:val="en-GB"/>
              </w:rPr>
              <w:t>/</w:t>
            </w:r>
          </w:p>
          <w:p w14:paraId="2EEA9AD6" w14:textId="40BBBA37" w:rsidR="00EB588A" w:rsidRPr="007E54C2" w:rsidRDefault="00906599" w:rsidP="005A2514">
            <w:pPr>
              <w:spacing w:before="120"/>
              <w:jc w:val="right"/>
              <w:rPr>
                <w:rFonts w:cs="Arial"/>
                <w:b/>
                <w:lang w:val="en-GB"/>
              </w:rPr>
            </w:pPr>
            <w:r w:rsidRPr="007E54C2">
              <w:rPr>
                <w:rFonts w:cs="Arial"/>
                <w:b/>
                <w:lang w:val="en-GB"/>
              </w:rPr>
              <w:t>Third Defendant</w:t>
            </w:r>
          </w:p>
        </w:tc>
      </w:tr>
    </w:tbl>
    <w:p w14:paraId="3DA5AD5E" w14:textId="77777777" w:rsidR="006572B3" w:rsidRPr="007E54C2" w:rsidRDefault="006572B3" w:rsidP="006572B3">
      <w:pPr>
        <w:pBdr>
          <w:bottom w:val="single" w:sz="12" w:space="1" w:color="auto"/>
        </w:pBdr>
        <w:rPr>
          <w:rFonts w:cs="Arial"/>
          <w:lang w:val="en-GB"/>
        </w:rPr>
      </w:pPr>
    </w:p>
    <w:p w14:paraId="1669BE98" w14:textId="77777777" w:rsidR="00EB588A" w:rsidRPr="007E54C2" w:rsidRDefault="00EB588A" w:rsidP="006572B3">
      <w:pPr>
        <w:pBdr>
          <w:bottom w:val="single" w:sz="12" w:space="1" w:color="auto"/>
        </w:pBdr>
        <w:rPr>
          <w:rFonts w:cs="Arial"/>
          <w:lang w:val="en-GB"/>
        </w:rPr>
      </w:pPr>
    </w:p>
    <w:p w14:paraId="7C05EA21" w14:textId="04FAF1D3" w:rsidR="000505C9" w:rsidRPr="007E54C2" w:rsidRDefault="000505C9" w:rsidP="006572B3">
      <w:pPr>
        <w:pBdr>
          <w:bottom w:val="single" w:sz="12" w:space="1" w:color="auto"/>
        </w:pBdr>
        <w:rPr>
          <w:rFonts w:cs="Arial"/>
          <w:b/>
          <w:bCs/>
          <w:lang w:val="en-GB"/>
        </w:rPr>
      </w:pPr>
      <w:r w:rsidRPr="007E54C2">
        <w:rPr>
          <w:rFonts w:cs="Arial"/>
          <w:b/>
          <w:bCs/>
          <w:lang w:val="en-GB"/>
        </w:rPr>
        <w:t xml:space="preserve">Coram: </w:t>
      </w:r>
      <w:r w:rsidR="00EC57EE" w:rsidRPr="007E54C2">
        <w:rPr>
          <w:rFonts w:cs="Arial"/>
          <w:b/>
          <w:bCs/>
          <w:lang w:val="en-GB"/>
        </w:rPr>
        <w:tab/>
      </w:r>
      <w:r w:rsidRPr="007E54C2">
        <w:rPr>
          <w:rFonts w:cs="Arial"/>
          <w:b/>
          <w:bCs/>
          <w:lang w:val="en-GB"/>
        </w:rPr>
        <w:t>Adhikari AJ</w:t>
      </w:r>
    </w:p>
    <w:p w14:paraId="6BC9D18D" w14:textId="5B985EF7" w:rsidR="000505C9" w:rsidRPr="007E54C2" w:rsidRDefault="00EC57EE" w:rsidP="006572B3">
      <w:pPr>
        <w:pBdr>
          <w:bottom w:val="single" w:sz="12" w:space="1" w:color="auto"/>
        </w:pBdr>
        <w:rPr>
          <w:rFonts w:cs="Arial"/>
          <w:b/>
          <w:bCs/>
          <w:lang w:val="en-GB"/>
        </w:rPr>
      </w:pPr>
      <w:r w:rsidRPr="007E54C2">
        <w:rPr>
          <w:rFonts w:cs="Arial"/>
          <w:b/>
          <w:bCs/>
          <w:lang w:val="en-GB"/>
        </w:rPr>
        <w:t xml:space="preserve">Heard: </w:t>
      </w:r>
      <w:r w:rsidRPr="007E54C2">
        <w:rPr>
          <w:rFonts w:cs="Arial"/>
          <w:b/>
          <w:bCs/>
          <w:lang w:val="en-GB"/>
        </w:rPr>
        <w:tab/>
      </w:r>
      <w:r w:rsidR="005A2514" w:rsidRPr="007E54C2">
        <w:rPr>
          <w:rFonts w:cs="Arial"/>
          <w:b/>
          <w:bCs/>
          <w:lang w:val="en-GB"/>
        </w:rPr>
        <w:t>30 January</w:t>
      </w:r>
      <w:r w:rsidR="002F2663" w:rsidRPr="007E54C2">
        <w:rPr>
          <w:rFonts w:cs="Arial"/>
          <w:b/>
          <w:bCs/>
          <w:lang w:val="en-GB"/>
        </w:rPr>
        <w:t> 2024</w:t>
      </w:r>
    </w:p>
    <w:p w14:paraId="2FCD6A74" w14:textId="6ABE5E0F" w:rsidR="00EC57EE" w:rsidRPr="007E54C2" w:rsidRDefault="00EC57EE" w:rsidP="006572B3">
      <w:pPr>
        <w:pBdr>
          <w:bottom w:val="single" w:sz="12" w:space="1" w:color="auto"/>
        </w:pBdr>
        <w:rPr>
          <w:rFonts w:cs="Arial"/>
          <w:b/>
          <w:bCs/>
          <w:lang w:val="en-GB"/>
        </w:rPr>
      </w:pPr>
      <w:r w:rsidRPr="007E54C2">
        <w:rPr>
          <w:rFonts w:cs="Arial"/>
          <w:b/>
          <w:bCs/>
          <w:lang w:val="en-GB"/>
        </w:rPr>
        <w:t>Delivered:</w:t>
      </w:r>
      <w:r w:rsidR="002F2663" w:rsidRPr="007E54C2">
        <w:rPr>
          <w:rFonts w:cs="Arial"/>
          <w:b/>
          <w:bCs/>
          <w:lang w:val="en-GB"/>
        </w:rPr>
        <w:tab/>
      </w:r>
      <w:r w:rsidR="005A2514" w:rsidRPr="007E54C2">
        <w:rPr>
          <w:rFonts w:cs="Arial"/>
          <w:b/>
          <w:bCs/>
          <w:lang w:val="en-GB"/>
        </w:rPr>
        <w:t>5</w:t>
      </w:r>
      <w:r w:rsidR="002F2663" w:rsidRPr="007E54C2">
        <w:rPr>
          <w:rFonts w:cs="Arial"/>
          <w:b/>
          <w:bCs/>
          <w:lang w:val="en-GB"/>
        </w:rPr>
        <w:t> </w:t>
      </w:r>
      <w:r w:rsidR="00EB588A" w:rsidRPr="007E54C2">
        <w:rPr>
          <w:rFonts w:cs="Arial"/>
          <w:b/>
          <w:bCs/>
          <w:lang w:val="en-GB"/>
        </w:rPr>
        <w:t>February</w:t>
      </w:r>
      <w:r w:rsidR="002F2663" w:rsidRPr="007E54C2">
        <w:rPr>
          <w:rFonts w:cs="Arial"/>
          <w:b/>
          <w:bCs/>
          <w:lang w:val="en-GB"/>
        </w:rPr>
        <w:t> 2024</w:t>
      </w:r>
    </w:p>
    <w:p w14:paraId="17F8B8A8" w14:textId="77777777" w:rsidR="006572B3" w:rsidRPr="007E54C2" w:rsidRDefault="006572B3" w:rsidP="006572B3">
      <w:pPr>
        <w:pBdr>
          <w:bottom w:val="single" w:sz="12" w:space="1" w:color="auto"/>
        </w:pBdr>
        <w:rPr>
          <w:rFonts w:cs="Arial"/>
          <w:lang w:val="en-GB"/>
        </w:rPr>
      </w:pPr>
    </w:p>
    <w:p w14:paraId="3BD0BFC7" w14:textId="77777777" w:rsidR="006572B3" w:rsidRPr="007E54C2" w:rsidRDefault="006572B3" w:rsidP="006572B3">
      <w:pPr>
        <w:rPr>
          <w:rFonts w:cs="Arial"/>
          <w:lang w:val="en-GB"/>
        </w:rPr>
      </w:pPr>
    </w:p>
    <w:p w14:paraId="5259F85A" w14:textId="77777777" w:rsidR="006572B3" w:rsidRPr="007E54C2" w:rsidRDefault="006572B3" w:rsidP="006572B3">
      <w:pPr>
        <w:rPr>
          <w:rFonts w:cs="Arial"/>
          <w:lang w:val="en-GB"/>
        </w:rPr>
      </w:pPr>
    </w:p>
    <w:p w14:paraId="60998456" w14:textId="139935E6" w:rsidR="006572B3" w:rsidRPr="007E54C2" w:rsidRDefault="006572B3" w:rsidP="006572B3">
      <w:pPr>
        <w:tabs>
          <w:tab w:val="left" w:pos="3544"/>
          <w:tab w:val="left" w:pos="3828"/>
        </w:tabs>
        <w:jc w:val="center"/>
        <w:rPr>
          <w:rFonts w:cs="Arial"/>
          <w:b/>
          <w:lang w:val="en-GB"/>
        </w:rPr>
      </w:pPr>
      <w:r w:rsidRPr="007E54C2">
        <w:rPr>
          <w:rFonts w:cs="Arial"/>
          <w:b/>
          <w:lang w:val="en-GB"/>
        </w:rPr>
        <w:t xml:space="preserve">JUDGMENT DELIVERED ELECTRONICALLY ON </w:t>
      </w:r>
      <w:r w:rsidR="003873DF" w:rsidRPr="007E54C2">
        <w:rPr>
          <w:rFonts w:cs="Arial"/>
          <w:b/>
          <w:lang w:val="en-GB"/>
        </w:rPr>
        <w:t>5</w:t>
      </w:r>
      <w:r w:rsidRPr="007E54C2">
        <w:rPr>
          <w:rFonts w:cs="Arial"/>
          <w:b/>
          <w:lang w:val="en-GB"/>
        </w:rPr>
        <w:t> </w:t>
      </w:r>
      <w:r w:rsidR="00A75CB4" w:rsidRPr="007E54C2">
        <w:rPr>
          <w:rFonts w:cs="Arial"/>
          <w:b/>
          <w:lang w:val="en-GB"/>
        </w:rPr>
        <w:t>FEBRUARY</w:t>
      </w:r>
      <w:r w:rsidRPr="007E54C2">
        <w:rPr>
          <w:rFonts w:cs="Arial"/>
          <w:b/>
          <w:lang w:val="en-GB"/>
        </w:rPr>
        <w:t> 2024</w:t>
      </w:r>
    </w:p>
    <w:p w14:paraId="7C76C9CE" w14:textId="77777777" w:rsidR="006572B3" w:rsidRPr="007E54C2" w:rsidRDefault="006572B3" w:rsidP="006572B3">
      <w:pPr>
        <w:rPr>
          <w:rFonts w:cs="Arial"/>
          <w:lang w:val="en-GB"/>
        </w:rPr>
      </w:pPr>
    </w:p>
    <w:p w14:paraId="7428D99F" w14:textId="77777777" w:rsidR="006572B3" w:rsidRPr="007E54C2" w:rsidRDefault="006572B3" w:rsidP="006572B3">
      <w:pPr>
        <w:pBdr>
          <w:bottom w:val="single" w:sz="12" w:space="1" w:color="auto"/>
        </w:pBdr>
        <w:rPr>
          <w:rFonts w:cs="Arial"/>
          <w:lang w:val="en-GB"/>
        </w:rPr>
      </w:pPr>
    </w:p>
    <w:p w14:paraId="5E319748" w14:textId="77777777" w:rsidR="006572B3" w:rsidRPr="007E54C2" w:rsidRDefault="006572B3" w:rsidP="006572B3">
      <w:pPr>
        <w:rPr>
          <w:rFonts w:cs="Arial"/>
          <w:lang w:val="en-GB"/>
        </w:rPr>
      </w:pPr>
    </w:p>
    <w:p w14:paraId="2F857C00" w14:textId="77777777" w:rsidR="006572B3" w:rsidRPr="007E54C2" w:rsidRDefault="006572B3" w:rsidP="006572B3">
      <w:pPr>
        <w:rPr>
          <w:rFonts w:cs="Arial"/>
          <w:lang w:val="en-GB"/>
        </w:rPr>
      </w:pPr>
    </w:p>
    <w:p w14:paraId="2EF2D37C" w14:textId="55E479CE" w:rsidR="006572B3" w:rsidRPr="007E54C2" w:rsidRDefault="006572B3" w:rsidP="006572B3">
      <w:pPr>
        <w:jc w:val="both"/>
        <w:rPr>
          <w:rFonts w:cs="Arial"/>
          <w:lang w:val="en-GB"/>
        </w:rPr>
      </w:pPr>
      <w:r w:rsidRPr="007E54C2">
        <w:rPr>
          <w:rFonts w:cs="Arial"/>
          <w:b/>
          <w:bCs/>
          <w:lang w:val="en-GB"/>
        </w:rPr>
        <w:t xml:space="preserve">Delivered:   This judgment was handed down electronically by circulation to the parties' legal representatives by email.  The date for the hand-down is deemed to be on </w:t>
      </w:r>
      <w:r w:rsidR="003873DF" w:rsidRPr="007E54C2">
        <w:rPr>
          <w:rFonts w:cs="Arial"/>
          <w:b/>
          <w:bCs/>
          <w:lang w:val="en-GB"/>
        </w:rPr>
        <w:t>5</w:t>
      </w:r>
      <w:r w:rsidRPr="007E54C2">
        <w:rPr>
          <w:rFonts w:cs="Arial"/>
          <w:b/>
          <w:bCs/>
          <w:lang w:val="en-GB"/>
        </w:rPr>
        <w:t> </w:t>
      </w:r>
      <w:r w:rsidR="00B51BBE" w:rsidRPr="007E54C2">
        <w:rPr>
          <w:rFonts w:cs="Arial"/>
          <w:b/>
          <w:bCs/>
          <w:lang w:val="en-GB"/>
        </w:rPr>
        <w:t>February</w:t>
      </w:r>
      <w:r w:rsidRPr="007E54C2">
        <w:rPr>
          <w:rFonts w:cs="Arial"/>
          <w:b/>
          <w:bCs/>
          <w:lang w:val="en-GB"/>
        </w:rPr>
        <w:t> 2024.</w:t>
      </w:r>
    </w:p>
    <w:p w14:paraId="34A7FA77" w14:textId="77777777" w:rsidR="006572B3" w:rsidRPr="007E54C2" w:rsidRDefault="006572B3" w:rsidP="00A72014">
      <w:pPr>
        <w:spacing w:before="120" w:after="360"/>
        <w:jc w:val="both"/>
        <w:rPr>
          <w:rFonts w:cs="Arial"/>
          <w:b/>
          <w:lang w:val="en-GB"/>
        </w:rPr>
      </w:pPr>
    </w:p>
    <w:p w14:paraId="2B406679" w14:textId="77777777" w:rsidR="006572B3" w:rsidRPr="007E54C2" w:rsidRDefault="006572B3" w:rsidP="00A72014">
      <w:pPr>
        <w:spacing w:before="120" w:after="360"/>
        <w:jc w:val="both"/>
        <w:rPr>
          <w:rFonts w:cs="Arial"/>
          <w:b/>
          <w:lang w:val="en-GB"/>
        </w:rPr>
      </w:pPr>
      <w:r w:rsidRPr="007E54C2">
        <w:rPr>
          <w:rFonts w:cs="Arial"/>
          <w:b/>
          <w:lang w:val="en-GB"/>
        </w:rPr>
        <w:lastRenderedPageBreak/>
        <w:t>ADHIKARI, AJ</w:t>
      </w:r>
    </w:p>
    <w:p w14:paraId="77BCD6FC" w14:textId="0CCB8001" w:rsidR="007A10D7" w:rsidRPr="007E54C2" w:rsidRDefault="00EA5132" w:rsidP="00EA5132">
      <w:pPr>
        <w:snapToGrid w:val="0"/>
        <w:spacing w:before="120" w:after="240" w:line="480" w:lineRule="auto"/>
        <w:ind w:hanging="6"/>
        <w:jc w:val="both"/>
        <w:rPr>
          <w:rFonts w:cs="Arial"/>
          <w:lang w:val="en-GB"/>
        </w:rPr>
      </w:pPr>
      <w:r w:rsidRPr="007E54C2">
        <w:rPr>
          <w:rFonts w:cs="Arial"/>
          <w:lang w:val="en-GB"/>
        </w:rPr>
        <w:t>[1]</w:t>
      </w:r>
      <w:r w:rsidRPr="007E54C2">
        <w:rPr>
          <w:rFonts w:cs="Arial"/>
          <w:lang w:val="en-GB"/>
        </w:rPr>
        <w:tab/>
      </w:r>
      <w:r w:rsidR="006572B3" w:rsidRPr="007E54C2">
        <w:rPr>
          <w:rFonts w:cs="Arial"/>
          <w:lang w:val="en-GB"/>
        </w:rPr>
        <w:t xml:space="preserve">This is an </w:t>
      </w:r>
      <w:r w:rsidR="007B1751" w:rsidRPr="007E54C2">
        <w:rPr>
          <w:rFonts w:cs="Arial"/>
          <w:lang w:val="en-GB"/>
        </w:rPr>
        <w:t xml:space="preserve">opposed application for summary judgment.  </w:t>
      </w:r>
    </w:p>
    <w:p w14:paraId="76DE3B1E" w14:textId="3099868C" w:rsidR="007B1751" w:rsidRPr="007E54C2" w:rsidRDefault="00EA5132" w:rsidP="00EA5132">
      <w:pPr>
        <w:snapToGrid w:val="0"/>
        <w:spacing w:before="120" w:after="240" w:line="480" w:lineRule="auto"/>
        <w:ind w:hanging="6"/>
        <w:jc w:val="both"/>
        <w:rPr>
          <w:rFonts w:cs="Arial"/>
          <w:lang w:val="en-GB"/>
        </w:rPr>
      </w:pPr>
      <w:r w:rsidRPr="007E54C2">
        <w:rPr>
          <w:rFonts w:cs="Arial"/>
          <w:lang w:val="en-GB"/>
        </w:rPr>
        <w:t>[2]</w:t>
      </w:r>
      <w:r w:rsidRPr="007E54C2">
        <w:rPr>
          <w:rFonts w:cs="Arial"/>
          <w:lang w:val="en-GB"/>
        </w:rPr>
        <w:tab/>
      </w:r>
      <w:r w:rsidR="007B1751" w:rsidRPr="007E54C2">
        <w:rPr>
          <w:rFonts w:cs="Arial"/>
          <w:lang w:val="en-GB"/>
        </w:rPr>
        <w:t xml:space="preserve">The </w:t>
      </w:r>
      <w:r w:rsidR="00AC7B69" w:rsidRPr="007E54C2">
        <w:rPr>
          <w:rFonts w:cs="Arial"/>
          <w:lang w:val="en-GB"/>
        </w:rPr>
        <w:t>plaintiffs seek summary judgment against:</w:t>
      </w:r>
    </w:p>
    <w:p w14:paraId="57D0D4ED" w14:textId="11C43E5F" w:rsidR="00AC7B69" w:rsidRPr="007E54C2" w:rsidRDefault="00EA5132" w:rsidP="00EA5132">
      <w:pPr>
        <w:snapToGrid w:val="0"/>
        <w:spacing w:before="120" w:after="240" w:line="480" w:lineRule="auto"/>
        <w:ind w:left="1701" w:hanging="992"/>
        <w:jc w:val="both"/>
        <w:rPr>
          <w:rFonts w:cs="Arial"/>
          <w:lang w:val="en-GB"/>
        </w:rPr>
      </w:pPr>
      <w:r w:rsidRPr="007E54C2">
        <w:rPr>
          <w:rFonts w:cs="Arial"/>
          <w:lang w:val="en-GB"/>
        </w:rPr>
        <w:t>[2.1]</w:t>
      </w:r>
      <w:r w:rsidRPr="007E54C2">
        <w:rPr>
          <w:rFonts w:cs="Arial"/>
          <w:lang w:val="en-GB"/>
        </w:rPr>
        <w:tab/>
      </w:r>
      <w:r w:rsidR="00F82AF1" w:rsidRPr="007E54C2">
        <w:rPr>
          <w:rFonts w:cs="Arial"/>
          <w:lang w:val="en-GB"/>
        </w:rPr>
        <w:t>The second defendant (</w:t>
      </w:r>
      <w:r w:rsidR="00514930" w:rsidRPr="007E54C2">
        <w:rPr>
          <w:rFonts w:cs="Arial"/>
          <w:lang w:val="en-GB"/>
        </w:rPr>
        <w:t>Ms Angel</w:t>
      </w:r>
      <w:r w:rsidR="00F82AF1" w:rsidRPr="007E54C2">
        <w:rPr>
          <w:rFonts w:cs="Arial"/>
          <w:lang w:val="en-GB"/>
        </w:rPr>
        <w:t>)</w:t>
      </w:r>
      <w:r w:rsidR="00514930" w:rsidRPr="007E54C2">
        <w:rPr>
          <w:rFonts w:cs="Arial"/>
          <w:lang w:val="en-GB"/>
        </w:rPr>
        <w:t xml:space="preserve"> for:</w:t>
      </w:r>
      <w:r w:rsidR="00E72694" w:rsidRPr="007E54C2">
        <w:rPr>
          <w:rStyle w:val="FootnoteReference"/>
          <w:rFonts w:cs="Arial"/>
          <w:lang w:val="en-GB"/>
        </w:rPr>
        <w:footnoteReference w:id="1"/>
      </w:r>
    </w:p>
    <w:p w14:paraId="5B19DD06" w14:textId="63035441" w:rsidR="00514930" w:rsidRPr="007E54C2" w:rsidRDefault="00EA5132" w:rsidP="00EA5132">
      <w:pPr>
        <w:snapToGrid w:val="0"/>
        <w:spacing w:before="120" w:after="240" w:line="480" w:lineRule="auto"/>
        <w:ind w:left="2835" w:hanging="1134"/>
        <w:jc w:val="both"/>
        <w:rPr>
          <w:rFonts w:cs="Arial"/>
          <w:lang w:val="en-GB"/>
        </w:rPr>
      </w:pPr>
      <w:r w:rsidRPr="007E54C2">
        <w:rPr>
          <w:rFonts w:cs="Arial"/>
          <w:lang w:val="en-GB"/>
        </w:rPr>
        <w:t>[2.1.1]</w:t>
      </w:r>
      <w:r w:rsidRPr="007E54C2">
        <w:rPr>
          <w:rFonts w:cs="Arial"/>
          <w:lang w:val="en-GB"/>
        </w:rPr>
        <w:tab/>
      </w:r>
      <w:r w:rsidR="00514930" w:rsidRPr="007E54C2">
        <w:rPr>
          <w:rFonts w:cs="Arial"/>
          <w:lang w:val="en-GB"/>
        </w:rPr>
        <w:t>Payment of the sum of R25 406.97;</w:t>
      </w:r>
    </w:p>
    <w:p w14:paraId="6EDA52AD" w14:textId="73C4E147" w:rsidR="00514930" w:rsidRPr="007E54C2" w:rsidRDefault="00EA5132" w:rsidP="00EA5132">
      <w:pPr>
        <w:snapToGrid w:val="0"/>
        <w:spacing w:before="120" w:after="240" w:line="480" w:lineRule="auto"/>
        <w:ind w:left="2835" w:hanging="1134"/>
        <w:jc w:val="both"/>
        <w:rPr>
          <w:rFonts w:cs="Arial"/>
          <w:lang w:val="en-GB"/>
        </w:rPr>
      </w:pPr>
      <w:r w:rsidRPr="007E54C2">
        <w:rPr>
          <w:rFonts w:cs="Arial"/>
          <w:lang w:val="en-GB"/>
        </w:rPr>
        <w:t>[2.1.2]</w:t>
      </w:r>
      <w:r w:rsidRPr="007E54C2">
        <w:rPr>
          <w:rFonts w:cs="Arial"/>
          <w:lang w:val="en-GB"/>
        </w:rPr>
        <w:tab/>
      </w:r>
      <w:r w:rsidR="00514930" w:rsidRPr="007E54C2">
        <w:rPr>
          <w:rFonts w:cs="Arial"/>
          <w:lang w:val="en-GB"/>
        </w:rPr>
        <w:t>Interest on the aforesaid amount at the rate of 9%</w:t>
      </w:r>
      <w:r w:rsidR="006D5472" w:rsidRPr="007E54C2">
        <w:rPr>
          <w:rFonts w:cs="Arial"/>
          <w:lang w:val="en-GB"/>
        </w:rPr>
        <w:t xml:space="preserve"> per annum from 19 August 2021 to date of payment; and</w:t>
      </w:r>
    </w:p>
    <w:p w14:paraId="5CB7302F" w14:textId="6FB45244" w:rsidR="006D5472" w:rsidRPr="007E54C2" w:rsidRDefault="00EA5132" w:rsidP="00EA5132">
      <w:pPr>
        <w:snapToGrid w:val="0"/>
        <w:spacing w:before="120" w:after="240" w:line="480" w:lineRule="auto"/>
        <w:ind w:left="2835" w:hanging="1134"/>
        <w:jc w:val="both"/>
        <w:rPr>
          <w:rFonts w:cs="Arial"/>
          <w:lang w:val="en-GB"/>
        </w:rPr>
      </w:pPr>
      <w:r w:rsidRPr="007E54C2">
        <w:rPr>
          <w:rFonts w:cs="Arial"/>
          <w:lang w:val="en-GB"/>
        </w:rPr>
        <w:t>[2.1.3]</w:t>
      </w:r>
      <w:r w:rsidRPr="007E54C2">
        <w:rPr>
          <w:rFonts w:cs="Arial"/>
          <w:lang w:val="en-GB"/>
        </w:rPr>
        <w:tab/>
      </w:r>
      <w:r w:rsidR="006D5472" w:rsidRPr="007E54C2">
        <w:rPr>
          <w:rFonts w:cs="Arial"/>
          <w:lang w:val="en-GB"/>
        </w:rPr>
        <w:t>Costs of suit on an attorney client scale</w:t>
      </w:r>
      <w:r w:rsidR="007A67BD" w:rsidRPr="007E54C2">
        <w:rPr>
          <w:rFonts w:cs="Arial"/>
          <w:lang w:val="en-GB"/>
        </w:rPr>
        <w:t>.</w:t>
      </w:r>
    </w:p>
    <w:p w14:paraId="0AC072C2" w14:textId="7594FCD4" w:rsidR="007A67BD" w:rsidRPr="007E54C2" w:rsidRDefault="00EA5132" w:rsidP="00EA5132">
      <w:pPr>
        <w:snapToGrid w:val="0"/>
        <w:spacing w:before="120" w:after="240" w:line="480" w:lineRule="auto"/>
        <w:ind w:left="792" w:hanging="432"/>
        <w:jc w:val="both"/>
        <w:rPr>
          <w:rFonts w:cs="Arial"/>
          <w:lang w:val="en-GB"/>
        </w:rPr>
      </w:pPr>
      <w:r w:rsidRPr="007E54C2">
        <w:rPr>
          <w:rFonts w:cs="Arial"/>
          <w:lang w:val="en-GB"/>
        </w:rPr>
        <w:t>[2.2]</w:t>
      </w:r>
      <w:r w:rsidRPr="007E54C2">
        <w:rPr>
          <w:rFonts w:cs="Arial"/>
          <w:lang w:val="en-GB"/>
        </w:rPr>
        <w:tab/>
      </w:r>
      <w:r w:rsidR="007A67BD" w:rsidRPr="007E54C2">
        <w:rPr>
          <w:rFonts w:cs="Arial"/>
          <w:lang w:val="en-GB"/>
        </w:rPr>
        <w:t>Ms Angel and the third defendant ('Mr Angel’) for:</w:t>
      </w:r>
      <w:r w:rsidR="00E72694" w:rsidRPr="007E54C2">
        <w:rPr>
          <w:rStyle w:val="FootnoteReference"/>
          <w:rFonts w:cs="Arial"/>
          <w:lang w:val="en-GB"/>
        </w:rPr>
        <w:footnoteReference w:id="2"/>
      </w:r>
    </w:p>
    <w:p w14:paraId="5A54C63B" w14:textId="2AE385E9" w:rsidR="007A67BD" w:rsidRPr="007E54C2" w:rsidRDefault="00EA5132" w:rsidP="00EA5132">
      <w:pPr>
        <w:snapToGrid w:val="0"/>
        <w:spacing w:before="120" w:after="240" w:line="480" w:lineRule="auto"/>
        <w:ind w:left="2835" w:hanging="1134"/>
        <w:jc w:val="both"/>
        <w:rPr>
          <w:rFonts w:cs="Arial"/>
          <w:lang w:val="en-GB"/>
        </w:rPr>
      </w:pPr>
      <w:r w:rsidRPr="007E54C2">
        <w:rPr>
          <w:rFonts w:cs="Arial"/>
          <w:lang w:val="en-GB"/>
        </w:rPr>
        <w:t>[2.2.1]</w:t>
      </w:r>
      <w:r w:rsidRPr="007E54C2">
        <w:rPr>
          <w:rFonts w:cs="Arial"/>
          <w:lang w:val="en-GB"/>
        </w:rPr>
        <w:tab/>
      </w:r>
      <w:r w:rsidR="007A67BD" w:rsidRPr="007E54C2">
        <w:rPr>
          <w:rFonts w:cs="Arial"/>
          <w:lang w:val="en-GB"/>
        </w:rPr>
        <w:t>Payment of the sum of R</w:t>
      </w:r>
      <w:r w:rsidR="00E72694" w:rsidRPr="007E54C2">
        <w:rPr>
          <w:rFonts w:cs="Arial"/>
          <w:lang w:val="en-GB"/>
        </w:rPr>
        <w:t>175 169.82</w:t>
      </w:r>
      <w:r w:rsidR="007A67BD" w:rsidRPr="007E54C2">
        <w:rPr>
          <w:rFonts w:cs="Arial"/>
          <w:lang w:val="en-GB"/>
        </w:rPr>
        <w:t>;</w:t>
      </w:r>
    </w:p>
    <w:p w14:paraId="0145B9F4" w14:textId="54C529DA" w:rsidR="007A67BD" w:rsidRPr="007E54C2" w:rsidRDefault="00EA5132" w:rsidP="00EA5132">
      <w:pPr>
        <w:snapToGrid w:val="0"/>
        <w:spacing w:before="120" w:after="240" w:line="480" w:lineRule="auto"/>
        <w:ind w:left="2835" w:hanging="1134"/>
        <w:jc w:val="both"/>
        <w:rPr>
          <w:rFonts w:cs="Arial"/>
          <w:lang w:val="en-GB"/>
        </w:rPr>
      </w:pPr>
      <w:r w:rsidRPr="007E54C2">
        <w:rPr>
          <w:rFonts w:cs="Arial"/>
          <w:lang w:val="en-GB"/>
        </w:rPr>
        <w:t>[2.2.2]</w:t>
      </w:r>
      <w:r w:rsidRPr="007E54C2">
        <w:rPr>
          <w:rFonts w:cs="Arial"/>
          <w:lang w:val="en-GB"/>
        </w:rPr>
        <w:tab/>
      </w:r>
      <w:r w:rsidR="007A67BD" w:rsidRPr="007E54C2">
        <w:rPr>
          <w:rFonts w:cs="Arial"/>
          <w:lang w:val="en-GB"/>
        </w:rPr>
        <w:t>Interest on the aforesaid amount at the rate of 9% per annum from 19 August 2021 to date of payment; and</w:t>
      </w:r>
    </w:p>
    <w:p w14:paraId="0570AA8D" w14:textId="7193F905" w:rsidR="007A67BD" w:rsidRPr="007E54C2" w:rsidRDefault="00EA5132" w:rsidP="00EA5132">
      <w:pPr>
        <w:snapToGrid w:val="0"/>
        <w:spacing w:before="120" w:after="240" w:line="480" w:lineRule="auto"/>
        <w:ind w:left="2835" w:hanging="1134"/>
        <w:jc w:val="both"/>
        <w:rPr>
          <w:rFonts w:cs="Arial"/>
          <w:lang w:val="en-GB"/>
        </w:rPr>
      </w:pPr>
      <w:r w:rsidRPr="007E54C2">
        <w:rPr>
          <w:rFonts w:cs="Arial"/>
          <w:lang w:val="en-GB"/>
        </w:rPr>
        <w:t>[2.2.3]</w:t>
      </w:r>
      <w:r w:rsidRPr="007E54C2">
        <w:rPr>
          <w:rFonts w:cs="Arial"/>
          <w:lang w:val="en-GB"/>
        </w:rPr>
        <w:tab/>
      </w:r>
      <w:r w:rsidR="007A67BD" w:rsidRPr="007E54C2">
        <w:rPr>
          <w:rFonts w:cs="Arial"/>
          <w:lang w:val="en-GB"/>
        </w:rPr>
        <w:t>Costs of suit on an attorney client scale.</w:t>
      </w:r>
    </w:p>
    <w:p w14:paraId="7730A795" w14:textId="1BFDC5A5" w:rsidR="00E72694" w:rsidRPr="007E54C2" w:rsidRDefault="00EA5132" w:rsidP="00EA5132">
      <w:pPr>
        <w:snapToGrid w:val="0"/>
        <w:spacing w:before="120" w:after="240" w:line="480" w:lineRule="auto"/>
        <w:ind w:hanging="6"/>
        <w:jc w:val="both"/>
        <w:rPr>
          <w:rFonts w:cs="Arial"/>
          <w:lang w:val="en-GB"/>
        </w:rPr>
      </w:pPr>
      <w:r w:rsidRPr="007E54C2">
        <w:rPr>
          <w:rFonts w:cs="Arial"/>
          <w:lang w:val="en-GB"/>
        </w:rPr>
        <w:t>[3]</w:t>
      </w:r>
      <w:r w:rsidRPr="007E54C2">
        <w:rPr>
          <w:rFonts w:cs="Arial"/>
          <w:lang w:val="en-GB"/>
        </w:rPr>
        <w:tab/>
      </w:r>
      <w:r w:rsidR="00152534" w:rsidRPr="007E54C2">
        <w:rPr>
          <w:rFonts w:cs="Arial"/>
          <w:lang w:val="en-GB"/>
        </w:rPr>
        <w:t>It appears from the certificate of balance annexed to the particulars of claim that t</w:t>
      </w:r>
      <w:r w:rsidR="00D9763D" w:rsidRPr="007E54C2">
        <w:rPr>
          <w:rFonts w:cs="Arial"/>
          <w:lang w:val="en-GB"/>
        </w:rPr>
        <w:t xml:space="preserve">he sum claimed in respect of </w:t>
      </w:r>
      <w:r w:rsidR="00D41C69" w:rsidRPr="007E54C2">
        <w:rPr>
          <w:rFonts w:cs="Arial"/>
          <w:lang w:val="en-GB"/>
        </w:rPr>
        <w:t>Claim A</w:t>
      </w:r>
      <w:r w:rsidR="00D9763D" w:rsidRPr="007E54C2">
        <w:rPr>
          <w:rFonts w:cs="Arial"/>
          <w:lang w:val="en-GB"/>
        </w:rPr>
        <w:t xml:space="preserve"> (that is R25 406.97)</w:t>
      </w:r>
      <w:r w:rsidR="00D41C69" w:rsidRPr="007E54C2">
        <w:rPr>
          <w:rFonts w:cs="Arial"/>
          <w:lang w:val="en-GB"/>
        </w:rPr>
        <w:t xml:space="preserve"> comprises</w:t>
      </w:r>
      <w:r w:rsidR="00D9763D" w:rsidRPr="007E54C2">
        <w:rPr>
          <w:rFonts w:cs="Arial"/>
          <w:lang w:val="en-GB"/>
        </w:rPr>
        <w:t xml:space="preserve"> </w:t>
      </w:r>
      <w:r w:rsidR="00152534" w:rsidRPr="007E54C2">
        <w:rPr>
          <w:rFonts w:cs="Arial"/>
          <w:lang w:val="en-GB"/>
        </w:rPr>
        <w:t xml:space="preserve">of an </w:t>
      </w:r>
      <w:r w:rsidR="006E5609" w:rsidRPr="007E54C2">
        <w:rPr>
          <w:rFonts w:cs="Arial"/>
          <w:lang w:val="en-GB"/>
        </w:rPr>
        <w:t xml:space="preserve">arrear rental </w:t>
      </w:r>
      <w:r w:rsidR="00152534" w:rsidRPr="007E54C2">
        <w:rPr>
          <w:rFonts w:cs="Arial"/>
          <w:lang w:val="en-GB"/>
        </w:rPr>
        <w:t xml:space="preserve">amount of R15 909.24 </w:t>
      </w:r>
      <w:r w:rsidR="006E5609" w:rsidRPr="007E54C2">
        <w:rPr>
          <w:rFonts w:cs="Arial"/>
          <w:lang w:val="en-GB"/>
        </w:rPr>
        <w:t>and future rental in the amount of R9</w:t>
      </w:r>
      <w:r w:rsidR="004E7890" w:rsidRPr="007E54C2">
        <w:rPr>
          <w:rFonts w:cs="Arial"/>
          <w:lang w:val="en-GB"/>
        </w:rPr>
        <w:t> 554.73.</w:t>
      </w:r>
      <w:r w:rsidR="00F96828" w:rsidRPr="007E54C2">
        <w:rPr>
          <w:rFonts w:cs="Arial"/>
          <w:lang w:val="en-GB"/>
        </w:rPr>
        <w:t xml:space="preserve">  </w:t>
      </w:r>
      <w:r w:rsidR="00B844EB" w:rsidRPr="007E54C2">
        <w:rPr>
          <w:rFonts w:cs="Arial"/>
          <w:lang w:val="en-GB"/>
        </w:rPr>
        <w:t xml:space="preserve">Claim A </w:t>
      </w:r>
      <w:r w:rsidR="00385702" w:rsidRPr="007E54C2">
        <w:rPr>
          <w:rFonts w:cs="Arial"/>
          <w:lang w:val="en-GB"/>
        </w:rPr>
        <w:t>arises from</w:t>
      </w:r>
      <w:r w:rsidR="00B844EB" w:rsidRPr="007E54C2">
        <w:rPr>
          <w:rFonts w:cs="Arial"/>
          <w:lang w:val="en-GB"/>
        </w:rPr>
        <w:t xml:space="preserve"> a photocopier rental agreement </w:t>
      </w:r>
      <w:r w:rsidR="009B5F56" w:rsidRPr="007E54C2">
        <w:rPr>
          <w:rFonts w:cs="Arial"/>
          <w:lang w:val="en-GB"/>
        </w:rPr>
        <w:t xml:space="preserve">(‘the first rental agreement’) </w:t>
      </w:r>
      <w:r w:rsidR="00B844EB" w:rsidRPr="007E54C2">
        <w:rPr>
          <w:rFonts w:cs="Arial"/>
          <w:lang w:val="en-GB"/>
        </w:rPr>
        <w:t xml:space="preserve">concluded </w:t>
      </w:r>
      <w:r w:rsidR="00A87CDF" w:rsidRPr="007E54C2">
        <w:rPr>
          <w:rFonts w:cs="Arial"/>
          <w:lang w:val="en-GB"/>
        </w:rPr>
        <w:t xml:space="preserve">on or about 31 August 2017 </w:t>
      </w:r>
      <w:r w:rsidR="00B844EB" w:rsidRPr="007E54C2">
        <w:rPr>
          <w:rFonts w:cs="Arial"/>
          <w:lang w:val="en-GB"/>
        </w:rPr>
        <w:t>between</w:t>
      </w:r>
      <w:r w:rsidR="00385702" w:rsidRPr="007E54C2">
        <w:rPr>
          <w:rFonts w:cs="Arial"/>
          <w:lang w:val="en-GB"/>
        </w:rPr>
        <w:t xml:space="preserve"> the third plaintiff (‘Sunlyn’) and the first defendant (‘WBT’)</w:t>
      </w:r>
      <w:r w:rsidR="00A87CDF" w:rsidRPr="007E54C2">
        <w:rPr>
          <w:rFonts w:cs="Arial"/>
          <w:lang w:val="en-GB"/>
        </w:rPr>
        <w:t xml:space="preserve">.  </w:t>
      </w:r>
      <w:r w:rsidR="00137B9B" w:rsidRPr="007E54C2">
        <w:rPr>
          <w:rFonts w:cs="Arial"/>
          <w:lang w:val="en-GB"/>
        </w:rPr>
        <w:t xml:space="preserve">WBT was provisionally wound up on 14 May 2021.  A provisional liquidator </w:t>
      </w:r>
      <w:r w:rsidR="00137B9B" w:rsidRPr="007E54C2">
        <w:rPr>
          <w:rFonts w:cs="Arial"/>
          <w:lang w:val="en-GB"/>
        </w:rPr>
        <w:lastRenderedPageBreak/>
        <w:t>was appointed on 27 May 2021. WBT was finally wound up on 24 June 2021.</w:t>
      </w:r>
      <w:r w:rsidR="00E02AA9" w:rsidRPr="007E54C2">
        <w:rPr>
          <w:rFonts w:cs="Arial"/>
          <w:lang w:val="en-GB"/>
        </w:rPr>
        <w:t xml:space="preserve">  </w:t>
      </w:r>
      <w:r w:rsidR="00137B9B" w:rsidRPr="007E54C2">
        <w:rPr>
          <w:rFonts w:cs="Arial"/>
          <w:lang w:val="en-GB"/>
        </w:rPr>
        <w:t xml:space="preserve">It does not appear to be in dispute that </w:t>
      </w:r>
      <w:r w:rsidR="00BE2F37" w:rsidRPr="007E54C2">
        <w:rPr>
          <w:rFonts w:cs="Arial"/>
          <w:lang w:val="en-GB"/>
        </w:rPr>
        <w:t xml:space="preserve">Ms Angel’s liability in </w:t>
      </w:r>
      <w:r w:rsidR="00EA1747" w:rsidRPr="007E54C2">
        <w:rPr>
          <w:rFonts w:cs="Arial"/>
          <w:lang w:val="en-GB"/>
        </w:rPr>
        <w:t>respect</w:t>
      </w:r>
      <w:r w:rsidR="00BE2F37" w:rsidRPr="007E54C2">
        <w:rPr>
          <w:rFonts w:cs="Arial"/>
          <w:lang w:val="en-GB"/>
        </w:rPr>
        <w:t xml:space="preserve"> of Claim</w:t>
      </w:r>
      <w:r w:rsidR="00E02AA9" w:rsidRPr="007E54C2">
        <w:rPr>
          <w:rFonts w:cs="Arial"/>
          <w:lang w:val="en-GB"/>
        </w:rPr>
        <w:t> </w:t>
      </w:r>
      <w:r w:rsidR="00BE2F37" w:rsidRPr="007E54C2">
        <w:rPr>
          <w:rFonts w:cs="Arial"/>
          <w:lang w:val="en-GB"/>
        </w:rPr>
        <w:t xml:space="preserve">A arises from a written guarantee </w:t>
      </w:r>
      <w:r w:rsidR="00EA1747" w:rsidRPr="007E54C2">
        <w:rPr>
          <w:rFonts w:cs="Arial"/>
          <w:lang w:val="en-GB"/>
        </w:rPr>
        <w:t xml:space="preserve">in terms of which Ms Angel bound herself </w:t>
      </w:r>
      <w:r w:rsidR="00785546" w:rsidRPr="007E54C2">
        <w:rPr>
          <w:rFonts w:cs="Arial"/>
          <w:lang w:val="en-GB"/>
        </w:rPr>
        <w:t xml:space="preserve">as guarantor and co-principal debtor for the </w:t>
      </w:r>
      <w:r w:rsidR="000B7244" w:rsidRPr="007E54C2">
        <w:rPr>
          <w:rFonts w:cs="Arial"/>
          <w:lang w:val="en-GB"/>
        </w:rPr>
        <w:t xml:space="preserve">obligations of WBT under the </w:t>
      </w:r>
      <w:r w:rsidR="009B5F56" w:rsidRPr="007E54C2">
        <w:rPr>
          <w:rFonts w:cs="Arial"/>
          <w:lang w:val="en-GB"/>
        </w:rPr>
        <w:t xml:space="preserve">first </w:t>
      </w:r>
      <w:r w:rsidR="000B7244" w:rsidRPr="007E54C2">
        <w:rPr>
          <w:rFonts w:cs="Arial"/>
          <w:lang w:val="en-GB"/>
        </w:rPr>
        <w:t>rental agreement</w:t>
      </w:r>
      <w:r w:rsidR="009B5F56" w:rsidRPr="007E54C2">
        <w:rPr>
          <w:rFonts w:cs="Arial"/>
          <w:lang w:val="en-GB"/>
        </w:rPr>
        <w:t>.</w:t>
      </w:r>
    </w:p>
    <w:p w14:paraId="51A54458" w14:textId="2D5E76BC" w:rsidR="009B5F56" w:rsidRPr="007E54C2" w:rsidRDefault="00EA5132" w:rsidP="00EA5132">
      <w:pPr>
        <w:snapToGrid w:val="0"/>
        <w:spacing w:before="120" w:after="240" w:line="480" w:lineRule="auto"/>
        <w:ind w:hanging="6"/>
        <w:jc w:val="both"/>
        <w:rPr>
          <w:rFonts w:cs="Arial"/>
          <w:lang w:val="en-GB"/>
        </w:rPr>
      </w:pPr>
      <w:r w:rsidRPr="007E54C2">
        <w:rPr>
          <w:rFonts w:cs="Arial"/>
          <w:lang w:val="en-GB"/>
        </w:rPr>
        <w:t>[4]</w:t>
      </w:r>
      <w:r w:rsidRPr="007E54C2">
        <w:rPr>
          <w:rFonts w:cs="Arial"/>
          <w:lang w:val="en-GB"/>
        </w:rPr>
        <w:tab/>
      </w:r>
      <w:r w:rsidR="004E7890" w:rsidRPr="007E54C2">
        <w:rPr>
          <w:rFonts w:cs="Arial"/>
          <w:lang w:val="en-GB"/>
        </w:rPr>
        <w:t>It appears from the certificate of balance annexed to the particulars of claim that the sum claimed in respect of Claim B (that is R175 169.82) comprises of an arrear rental amount of R</w:t>
      </w:r>
      <w:r w:rsidR="00241CE2" w:rsidRPr="007E54C2">
        <w:rPr>
          <w:rFonts w:cs="Arial"/>
          <w:lang w:val="en-GB"/>
        </w:rPr>
        <w:t>31 941.26</w:t>
      </w:r>
      <w:r w:rsidR="004E7890" w:rsidRPr="007E54C2">
        <w:rPr>
          <w:rFonts w:cs="Arial"/>
          <w:lang w:val="en-GB"/>
        </w:rPr>
        <w:t xml:space="preserve"> and future rental in the amount of </w:t>
      </w:r>
      <w:r w:rsidR="00241CE2" w:rsidRPr="007E54C2">
        <w:rPr>
          <w:rFonts w:cs="Arial"/>
          <w:lang w:val="en-GB"/>
        </w:rPr>
        <w:t>R143 228.56</w:t>
      </w:r>
      <w:r w:rsidR="004E7890" w:rsidRPr="007E54C2">
        <w:rPr>
          <w:rFonts w:cs="Arial"/>
          <w:lang w:val="en-GB"/>
        </w:rPr>
        <w:t>.</w:t>
      </w:r>
      <w:r w:rsidR="00E02AA9" w:rsidRPr="007E54C2">
        <w:rPr>
          <w:rFonts w:cs="Arial"/>
          <w:lang w:val="en-GB"/>
        </w:rPr>
        <w:t xml:space="preserve"> </w:t>
      </w:r>
      <w:r w:rsidR="009B5F56" w:rsidRPr="007E54C2">
        <w:rPr>
          <w:rFonts w:cs="Arial"/>
          <w:lang w:val="en-GB"/>
        </w:rPr>
        <w:t xml:space="preserve">Claim B arises from a photocopier rental agreement (‘the </w:t>
      </w:r>
      <w:r w:rsidR="00FB1ABB" w:rsidRPr="007E54C2">
        <w:rPr>
          <w:rFonts w:cs="Arial"/>
          <w:lang w:val="en-GB"/>
        </w:rPr>
        <w:t>second</w:t>
      </w:r>
      <w:r w:rsidR="009B5F56" w:rsidRPr="007E54C2">
        <w:rPr>
          <w:rFonts w:cs="Arial"/>
          <w:lang w:val="en-GB"/>
        </w:rPr>
        <w:t xml:space="preserve"> rental agreement’) concluded on or about </w:t>
      </w:r>
      <w:r w:rsidR="00DA6194" w:rsidRPr="007E54C2">
        <w:rPr>
          <w:rFonts w:cs="Arial"/>
          <w:lang w:val="en-GB"/>
        </w:rPr>
        <w:t xml:space="preserve">20 May 2019 </w:t>
      </w:r>
      <w:r w:rsidR="009B5F56" w:rsidRPr="007E54C2">
        <w:rPr>
          <w:rFonts w:cs="Arial"/>
          <w:lang w:val="en-GB"/>
        </w:rPr>
        <w:t>between</w:t>
      </w:r>
      <w:r w:rsidR="005A21B8" w:rsidRPr="007E54C2">
        <w:rPr>
          <w:rFonts w:cs="Arial"/>
          <w:lang w:val="en-GB"/>
        </w:rPr>
        <w:t xml:space="preserve"> </w:t>
      </w:r>
      <w:r w:rsidR="00150DE4" w:rsidRPr="007E54C2">
        <w:rPr>
          <w:rFonts w:cs="Arial"/>
          <w:lang w:val="en-GB"/>
        </w:rPr>
        <w:t xml:space="preserve">WBT and </w:t>
      </w:r>
      <w:r w:rsidR="005A21B8" w:rsidRPr="007E54C2">
        <w:rPr>
          <w:rFonts w:cs="Arial"/>
          <w:lang w:val="en-GB"/>
        </w:rPr>
        <w:t>a</w:t>
      </w:r>
      <w:r w:rsidR="00412F2B" w:rsidRPr="007E54C2">
        <w:rPr>
          <w:rFonts w:cs="Arial"/>
          <w:lang w:val="en-GB"/>
        </w:rPr>
        <w:t xml:space="preserve"> close corporation </w:t>
      </w:r>
      <w:r w:rsidR="00150DE4" w:rsidRPr="007E54C2">
        <w:rPr>
          <w:rFonts w:cs="Arial"/>
          <w:lang w:val="en-GB"/>
        </w:rPr>
        <w:t xml:space="preserve">known as </w:t>
      </w:r>
      <w:r w:rsidR="005A21B8" w:rsidRPr="007E54C2">
        <w:rPr>
          <w:rFonts w:cs="Arial"/>
          <w:lang w:val="en-GB"/>
        </w:rPr>
        <w:t>Corprint CC</w:t>
      </w:r>
      <w:r w:rsidR="009B5F56" w:rsidRPr="007E54C2">
        <w:rPr>
          <w:rFonts w:cs="Arial"/>
          <w:lang w:val="en-GB"/>
        </w:rPr>
        <w:t xml:space="preserve">.  </w:t>
      </w:r>
      <w:r w:rsidR="00FD0261" w:rsidRPr="007E54C2">
        <w:rPr>
          <w:rFonts w:cs="Arial"/>
          <w:lang w:val="en-GB"/>
        </w:rPr>
        <w:t>The plaintiffs contend that t</w:t>
      </w:r>
      <w:r w:rsidR="00EA17E5" w:rsidRPr="007E54C2">
        <w:rPr>
          <w:rFonts w:cs="Arial"/>
          <w:lang w:val="en-GB"/>
        </w:rPr>
        <w:t>he liability of</w:t>
      </w:r>
      <w:r w:rsidR="009B5F56" w:rsidRPr="007E54C2">
        <w:rPr>
          <w:rFonts w:cs="Arial"/>
          <w:lang w:val="en-GB"/>
        </w:rPr>
        <w:t xml:space="preserve"> Ms Angel</w:t>
      </w:r>
      <w:r w:rsidR="00EA17E5" w:rsidRPr="007E54C2">
        <w:rPr>
          <w:rFonts w:cs="Arial"/>
          <w:lang w:val="en-GB"/>
        </w:rPr>
        <w:t xml:space="preserve"> and Mr Angel (collectively referred to as </w:t>
      </w:r>
      <w:r w:rsidR="00EA17E5" w:rsidRPr="007E54C2">
        <w:rPr>
          <w:rFonts w:cs="Arial"/>
          <w:i/>
          <w:iCs/>
          <w:lang w:val="en-GB"/>
        </w:rPr>
        <w:t>‘the defendants’</w:t>
      </w:r>
      <w:r w:rsidR="00EA17E5" w:rsidRPr="007E54C2">
        <w:rPr>
          <w:rFonts w:cs="Arial"/>
          <w:lang w:val="en-GB"/>
        </w:rPr>
        <w:t>)</w:t>
      </w:r>
      <w:r w:rsidR="009B5F56" w:rsidRPr="007E54C2">
        <w:rPr>
          <w:rFonts w:cs="Arial"/>
          <w:lang w:val="en-GB"/>
        </w:rPr>
        <w:t xml:space="preserve"> in respect of Claim</w:t>
      </w:r>
      <w:r w:rsidR="00627551" w:rsidRPr="007E54C2">
        <w:rPr>
          <w:rFonts w:cs="Arial"/>
          <w:lang w:val="en-GB"/>
        </w:rPr>
        <w:t> </w:t>
      </w:r>
      <w:r w:rsidR="00EA17E5" w:rsidRPr="007E54C2">
        <w:rPr>
          <w:rFonts w:cs="Arial"/>
          <w:lang w:val="en-GB"/>
        </w:rPr>
        <w:t>B</w:t>
      </w:r>
      <w:r w:rsidR="009B5F56" w:rsidRPr="007E54C2">
        <w:rPr>
          <w:rFonts w:cs="Arial"/>
          <w:lang w:val="en-GB"/>
        </w:rPr>
        <w:t xml:space="preserve"> arises from a written guarantee in terms of which </w:t>
      </w:r>
      <w:r w:rsidR="00EA17E5" w:rsidRPr="007E54C2">
        <w:rPr>
          <w:rFonts w:cs="Arial"/>
          <w:lang w:val="en-GB"/>
        </w:rPr>
        <w:t>the defendants</w:t>
      </w:r>
      <w:r w:rsidR="009B5F56" w:rsidRPr="007E54C2">
        <w:rPr>
          <w:rFonts w:cs="Arial"/>
          <w:lang w:val="en-GB"/>
        </w:rPr>
        <w:t xml:space="preserve"> bound </w:t>
      </w:r>
      <w:r w:rsidR="00EA17E5" w:rsidRPr="007E54C2">
        <w:rPr>
          <w:rFonts w:cs="Arial"/>
          <w:lang w:val="en-GB"/>
        </w:rPr>
        <w:t xml:space="preserve">themselves </w:t>
      </w:r>
      <w:r w:rsidR="009B5F56" w:rsidRPr="007E54C2">
        <w:rPr>
          <w:rFonts w:cs="Arial"/>
          <w:lang w:val="en-GB"/>
        </w:rPr>
        <w:t>as guarantor</w:t>
      </w:r>
      <w:r w:rsidR="00EA17E5" w:rsidRPr="007E54C2">
        <w:rPr>
          <w:rFonts w:cs="Arial"/>
          <w:lang w:val="en-GB"/>
        </w:rPr>
        <w:t>s</w:t>
      </w:r>
      <w:r w:rsidR="009B5F56" w:rsidRPr="007E54C2">
        <w:rPr>
          <w:rFonts w:cs="Arial"/>
          <w:lang w:val="en-GB"/>
        </w:rPr>
        <w:t xml:space="preserve"> and co-principal debtor</w:t>
      </w:r>
      <w:r w:rsidR="00EA17E5" w:rsidRPr="007E54C2">
        <w:rPr>
          <w:rFonts w:cs="Arial"/>
          <w:lang w:val="en-GB"/>
        </w:rPr>
        <w:t>s</w:t>
      </w:r>
      <w:r w:rsidR="009B5F56" w:rsidRPr="007E54C2">
        <w:rPr>
          <w:rFonts w:cs="Arial"/>
          <w:lang w:val="en-GB"/>
        </w:rPr>
        <w:t xml:space="preserve"> for the obligations of WBT under the </w:t>
      </w:r>
      <w:r w:rsidR="00EA17E5" w:rsidRPr="007E54C2">
        <w:rPr>
          <w:rFonts w:cs="Arial"/>
          <w:lang w:val="en-GB"/>
        </w:rPr>
        <w:t>second</w:t>
      </w:r>
      <w:r w:rsidR="009B5F56" w:rsidRPr="007E54C2">
        <w:rPr>
          <w:rFonts w:cs="Arial"/>
          <w:lang w:val="en-GB"/>
        </w:rPr>
        <w:t xml:space="preserve"> rental agreement.</w:t>
      </w:r>
      <w:r w:rsidR="00691725" w:rsidRPr="007E54C2">
        <w:rPr>
          <w:rFonts w:cs="Arial"/>
          <w:lang w:val="en-GB"/>
        </w:rPr>
        <w:t xml:space="preserve">  </w:t>
      </w:r>
      <w:r w:rsidR="00627551" w:rsidRPr="007E54C2">
        <w:rPr>
          <w:rFonts w:cs="Arial"/>
          <w:lang w:val="en-GB"/>
        </w:rPr>
        <w:t>The defendants, however, deny signing this guarantee.</w:t>
      </w:r>
    </w:p>
    <w:p w14:paraId="1990B614" w14:textId="31FF61FA" w:rsidR="008446C9" w:rsidRPr="007E54C2" w:rsidRDefault="00EA5132" w:rsidP="00EA5132">
      <w:pPr>
        <w:snapToGrid w:val="0"/>
        <w:spacing w:before="120" w:after="240" w:line="480" w:lineRule="auto"/>
        <w:ind w:hanging="6"/>
        <w:jc w:val="both"/>
        <w:rPr>
          <w:rFonts w:cs="Arial"/>
          <w:lang w:val="en-GB"/>
        </w:rPr>
      </w:pPr>
      <w:r w:rsidRPr="007E54C2">
        <w:rPr>
          <w:rFonts w:cs="Arial"/>
          <w:lang w:val="en-GB"/>
        </w:rPr>
        <w:t>[5]</w:t>
      </w:r>
      <w:r w:rsidRPr="007E54C2">
        <w:rPr>
          <w:rFonts w:cs="Arial"/>
          <w:lang w:val="en-GB"/>
        </w:rPr>
        <w:tab/>
      </w:r>
      <w:r w:rsidR="008446C9" w:rsidRPr="007E54C2">
        <w:rPr>
          <w:rFonts w:cs="Arial"/>
          <w:lang w:val="en-GB"/>
        </w:rPr>
        <w:t xml:space="preserve">It appears from the pleadings that: </w:t>
      </w:r>
    </w:p>
    <w:p w14:paraId="3BE9D731" w14:textId="461F1898" w:rsidR="009B5F56" w:rsidRPr="007E54C2" w:rsidRDefault="00EA5132" w:rsidP="00EA5132">
      <w:pPr>
        <w:snapToGrid w:val="0"/>
        <w:spacing w:before="120" w:after="240" w:line="480" w:lineRule="auto"/>
        <w:ind w:left="1276" w:hanging="916"/>
        <w:jc w:val="both"/>
        <w:rPr>
          <w:rFonts w:cs="Arial"/>
          <w:lang w:val="en-GB"/>
        </w:rPr>
      </w:pPr>
      <w:r w:rsidRPr="007E54C2">
        <w:rPr>
          <w:rFonts w:cs="Arial"/>
          <w:lang w:val="en-GB"/>
        </w:rPr>
        <w:t>[5.1]</w:t>
      </w:r>
      <w:r w:rsidRPr="007E54C2">
        <w:rPr>
          <w:rFonts w:cs="Arial"/>
          <w:lang w:val="en-GB"/>
        </w:rPr>
        <w:tab/>
      </w:r>
      <w:proofErr w:type="spellStart"/>
      <w:r w:rsidR="008446C9" w:rsidRPr="007E54C2">
        <w:rPr>
          <w:rFonts w:cs="Arial"/>
          <w:lang w:val="en-GB"/>
        </w:rPr>
        <w:t>Corprint’s</w:t>
      </w:r>
      <w:proofErr w:type="spellEnd"/>
      <w:r w:rsidR="008446C9" w:rsidRPr="007E54C2">
        <w:rPr>
          <w:rFonts w:cs="Arial"/>
          <w:lang w:val="en-GB"/>
        </w:rPr>
        <w:t xml:space="preserve"> rights under the second </w:t>
      </w:r>
      <w:r w:rsidR="001E2041">
        <w:rPr>
          <w:rFonts w:cs="Arial"/>
          <w:lang w:val="en-GB"/>
        </w:rPr>
        <w:t xml:space="preserve">rental </w:t>
      </w:r>
      <w:r w:rsidR="008446C9" w:rsidRPr="007E54C2">
        <w:rPr>
          <w:rFonts w:cs="Arial"/>
          <w:lang w:val="en-GB"/>
        </w:rPr>
        <w:t>agreement were ceded to Sunlyn</w:t>
      </w:r>
      <w:r w:rsidR="00F44E17" w:rsidRPr="007E54C2">
        <w:rPr>
          <w:rFonts w:cs="Arial"/>
          <w:lang w:val="en-GB"/>
        </w:rPr>
        <w:t>;</w:t>
      </w:r>
    </w:p>
    <w:p w14:paraId="666FFFF8" w14:textId="049E408D" w:rsidR="00D82CCC" w:rsidRPr="007E54C2" w:rsidRDefault="00EA5132" w:rsidP="00EA5132">
      <w:pPr>
        <w:snapToGrid w:val="0"/>
        <w:spacing w:before="120" w:after="240" w:line="480" w:lineRule="auto"/>
        <w:ind w:left="1276" w:hanging="916"/>
        <w:jc w:val="both"/>
        <w:rPr>
          <w:rFonts w:cs="Arial"/>
          <w:lang w:val="en-GB"/>
        </w:rPr>
      </w:pPr>
      <w:r w:rsidRPr="007E54C2">
        <w:rPr>
          <w:rFonts w:cs="Arial"/>
          <w:lang w:val="en-GB"/>
        </w:rPr>
        <w:t>[5.2]</w:t>
      </w:r>
      <w:r w:rsidRPr="007E54C2">
        <w:rPr>
          <w:rFonts w:cs="Arial"/>
          <w:lang w:val="en-GB"/>
        </w:rPr>
        <w:tab/>
      </w:r>
      <w:proofErr w:type="spellStart"/>
      <w:r w:rsidR="00D82CCC" w:rsidRPr="007E54C2">
        <w:rPr>
          <w:rFonts w:cs="Arial"/>
          <w:lang w:val="en-GB"/>
        </w:rPr>
        <w:t>Sunlyn’s</w:t>
      </w:r>
      <w:proofErr w:type="spellEnd"/>
      <w:r w:rsidR="00D82CCC" w:rsidRPr="007E54C2">
        <w:rPr>
          <w:rFonts w:cs="Arial"/>
          <w:lang w:val="en-GB"/>
        </w:rPr>
        <w:t xml:space="preserve"> rights under the first </w:t>
      </w:r>
      <w:r w:rsidR="001E2041">
        <w:rPr>
          <w:rFonts w:cs="Arial"/>
          <w:lang w:val="en-GB"/>
        </w:rPr>
        <w:t xml:space="preserve">rental </w:t>
      </w:r>
      <w:r w:rsidR="00D82CCC" w:rsidRPr="007E54C2">
        <w:rPr>
          <w:rFonts w:cs="Arial"/>
          <w:lang w:val="en-GB"/>
        </w:rPr>
        <w:t xml:space="preserve">agreement and under the second </w:t>
      </w:r>
      <w:r w:rsidR="001E2041">
        <w:rPr>
          <w:rFonts w:cs="Arial"/>
          <w:lang w:val="en-GB"/>
        </w:rPr>
        <w:t xml:space="preserve">rental </w:t>
      </w:r>
      <w:r w:rsidR="00D82CCC" w:rsidRPr="007E54C2">
        <w:rPr>
          <w:rFonts w:cs="Arial"/>
          <w:lang w:val="en-GB"/>
        </w:rPr>
        <w:t xml:space="preserve">agreement were ceded to </w:t>
      </w:r>
      <w:r w:rsidR="00F44E17" w:rsidRPr="007E54C2">
        <w:rPr>
          <w:rFonts w:cs="Arial"/>
          <w:lang w:val="en-GB"/>
        </w:rPr>
        <w:t xml:space="preserve">the </w:t>
      </w:r>
      <w:r w:rsidR="00475C43" w:rsidRPr="007E54C2">
        <w:rPr>
          <w:rFonts w:cs="Arial"/>
          <w:lang w:val="en-GB"/>
        </w:rPr>
        <w:t>second</w:t>
      </w:r>
      <w:r w:rsidR="00F44E17" w:rsidRPr="007E54C2">
        <w:rPr>
          <w:rFonts w:cs="Arial"/>
          <w:lang w:val="en-GB"/>
        </w:rPr>
        <w:t xml:space="preserve"> plaintiff (‘Sasfin’); and</w:t>
      </w:r>
    </w:p>
    <w:p w14:paraId="08BAA2F9" w14:textId="7C1D2195" w:rsidR="00F44E17" w:rsidRPr="007E54C2" w:rsidRDefault="00EA5132" w:rsidP="00EA5132">
      <w:pPr>
        <w:snapToGrid w:val="0"/>
        <w:spacing w:before="120" w:after="240" w:line="480" w:lineRule="auto"/>
        <w:ind w:left="1276" w:hanging="916"/>
        <w:jc w:val="both"/>
        <w:rPr>
          <w:rFonts w:cs="Arial"/>
          <w:lang w:val="en-GB"/>
        </w:rPr>
      </w:pPr>
      <w:r w:rsidRPr="007E54C2">
        <w:rPr>
          <w:rFonts w:cs="Arial"/>
          <w:lang w:val="en-GB"/>
        </w:rPr>
        <w:t>[5.3]</w:t>
      </w:r>
      <w:r w:rsidRPr="007E54C2">
        <w:rPr>
          <w:rFonts w:cs="Arial"/>
          <w:lang w:val="en-GB"/>
        </w:rPr>
        <w:tab/>
      </w:r>
      <w:proofErr w:type="spellStart"/>
      <w:r w:rsidR="0026079E" w:rsidRPr="007E54C2">
        <w:rPr>
          <w:rFonts w:cs="Arial"/>
          <w:lang w:val="en-GB"/>
        </w:rPr>
        <w:t>Sasfin’s</w:t>
      </w:r>
      <w:proofErr w:type="spellEnd"/>
      <w:r w:rsidR="0026079E" w:rsidRPr="007E54C2">
        <w:rPr>
          <w:rFonts w:cs="Arial"/>
          <w:lang w:val="en-GB"/>
        </w:rPr>
        <w:t xml:space="preserve"> rights under the first </w:t>
      </w:r>
      <w:r w:rsidR="001E2041">
        <w:rPr>
          <w:rFonts w:cs="Arial"/>
          <w:lang w:val="en-GB"/>
        </w:rPr>
        <w:t xml:space="preserve">rental </w:t>
      </w:r>
      <w:r w:rsidR="0026079E" w:rsidRPr="007E54C2">
        <w:rPr>
          <w:rFonts w:cs="Arial"/>
          <w:lang w:val="en-GB"/>
        </w:rPr>
        <w:t xml:space="preserve">agreement and under the second </w:t>
      </w:r>
      <w:r w:rsidR="001E2041">
        <w:rPr>
          <w:rFonts w:cs="Arial"/>
          <w:lang w:val="en-GB"/>
        </w:rPr>
        <w:t xml:space="preserve">rental </w:t>
      </w:r>
      <w:r w:rsidR="0026079E" w:rsidRPr="007E54C2">
        <w:rPr>
          <w:rFonts w:cs="Arial"/>
          <w:lang w:val="en-GB"/>
        </w:rPr>
        <w:t>agreement were ceded to the</w:t>
      </w:r>
      <w:r w:rsidR="00475C43" w:rsidRPr="007E54C2">
        <w:rPr>
          <w:rFonts w:cs="Arial"/>
          <w:lang w:val="en-GB"/>
        </w:rPr>
        <w:t xml:space="preserve"> first plaintiff (‘SASP’).</w:t>
      </w:r>
    </w:p>
    <w:p w14:paraId="26120099" w14:textId="7EE23EF5" w:rsidR="00424CA1" w:rsidRPr="007E54C2" w:rsidRDefault="00424CA1" w:rsidP="00424CA1">
      <w:pPr>
        <w:pStyle w:val="Heading1"/>
        <w:rPr>
          <w:lang w:val="en-GB"/>
        </w:rPr>
      </w:pPr>
      <w:r w:rsidRPr="007E54C2">
        <w:rPr>
          <w:lang w:val="en-GB"/>
        </w:rPr>
        <w:lastRenderedPageBreak/>
        <w:t>Applicable legal principles</w:t>
      </w:r>
    </w:p>
    <w:p w14:paraId="482D3312" w14:textId="7F626081" w:rsidR="00D57C32" w:rsidRPr="007E54C2" w:rsidRDefault="00EA5132" w:rsidP="00EA5132">
      <w:pPr>
        <w:snapToGrid w:val="0"/>
        <w:spacing w:before="120" w:after="240" w:line="480" w:lineRule="auto"/>
        <w:ind w:hanging="6"/>
        <w:jc w:val="both"/>
        <w:rPr>
          <w:rFonts w:cs="Arial"/>
          <w:lang w:val="en-GB"/>
        </w:rPr>
      </w:pPr>
      <w:r w:rsidRPr="007E54C2">
        <w:rPr>
          <w:rFonts w:cs="Arial"/>
          <w:lang w:val="en-GB"/>
        </w:rPr>
        <w:t>[6]</w:t>
      </w:r>
      <w:r w:rsidRPr="007E54C2">
        <w:rPr>
          <w:rFonts w:cs="Arial"/>
          <w:lang w:val="en-GB"/>
        </w:rPr>
        <w:tab/>
      </w:r>
      <w:r w:rsidR="00F2665F" w:rsidRPr="007E54C2">
        <w:rPr>
          <w:rFonts w:cs="Arial"/>
          <w:lang w:val="en-GB"/>
        </w:rPr>
        <w:t>The purpose of the summary judgment procedure is to prevent sham defences from defeating the rights of parties by delay, and at the same time causing great loss to plaintiffs who were endeavouring to enforce their rights.</w:t>
      </w:r>
      <w:r w:rsidR="00F2665F" w:rsidRPr="007E54C2">
        <w:rPr>
          <w:rStyle w:val="FootnoteReference"/>
          <w:rFonts w:cs="Arial"/>
          <w:lang w:val="en-GB"/>
        </w:rPr>
        <w:footnoteReference w:id="3"/>
      </w:r>
      <w:r w:rsidR="0014524B" w:rsidRPr="007E54C2">
        <w:rPr>
          <w:rFonts w:cs="Arial"/>
          <w:lang w:val="en-GB"/>
        </w:rPr>
        <w:t xml:space="preserve">  </w:t>
      </w:r>
      <w:r w:rsidR="00240D0C" w:rsidRPr="007E54C2">
        <w:rPr>
          <w:rFonts w:cs="Arial"/>
          <w:lang w:val="en-GB"/>
        </w:rPr>
        <w:t>A d</w:t>
      </w:r>
      <w:r w:rsidR="00F2665F" w:rsidRPr="007E54C2">
        <w:rPr>
          <w:rFonts w:cs="Arial"/>
          <w:lang w:val="en-GB"/>
        </w:rPr>
        <w:t xml:space="preserve">efendant resisting summary judgment </w:t>
      </w:r>
      <w:r w:rsidR="00240D0C" w:rsidRPr="007E54C2">
        <w:rPr>
          <w:rFonts w:cs="Arial"/>
          <w:lang w:val="en-GB"/>
        </w:rPr>
        <w:t xml:space="preserve">must satisfy the court that </w:t>
      </w:r>
      <w:r w:rsidR="007A7B9F" w:rsidRPr="007E54C2">
        <w:rPr>
          <w:rFonts w:cs="Arial"/>
          <w:lang w:val="en-GB"/>
        </w:rPr>
        <w:t xml:space="preserve">it has a </w:t>
      </w:r>
      <w:r w:rsidR="007A7B9F" w:rsidRPr="007E54C2">
        <w:rPr>
          <w:rFonts w:cs="Arial"/>
          <w:i/>
          <w:iCs/>
          <w:lang w:val="en-GB"/>
        </w:rPr>
        <w:t>bona fide</w:t>
      </w:r>
      <w:r w:rsidR="007A7B9F" w:rsidRPr="007E54C2">
        <w:rPr>
          <w:rFonts w:cs="Arial"/>
          <w:lang w:val="en-GB"/>
        </w:rPr>
        <w:t xml:space="preserve"> defence to the plaintiff’s claim, that is a defence set up </w:t>
      </w:r>
      <w:r w:rsidR="007A7B9F" w:rsidRPr="007E54C2">
        <w:rPr>
          <w:rFonts w:cs="Arial"/>
          <w:i/>
          <w:iCs/>
          <w:lang w:val="en-GB"/>
        </w:rPr>
        <w:t>bona fide</w:t>
      </w:r>
      <w:r w:rsidR="007A7B9F" w:rsidRPr="007E54C2">
        <w:rPr>
          <w:rFonts w:cs="Arial"/>
          <w:lang w:val="en-GB"/>
        </w:rPr>
        <w:t xml:space="preserve"> or honestly, which if proved at the trial, would constitute a defence to the plaintiff’s claim.</w:t>
      </w:r>
      <w:r w:rsidR="00BF291D" w:rsidRPr="007E54C2">
        <w:rPr>
          <w:rStyle w:val="FootnoteReference"/>
          <w:rFonts w:cs="Arial"/>
          <w:lang w:val="en-GB"/>
        </w:rPr>
        <w:footnoteReference w:id="4"/>
      </w:r>
      <w:r w:rsidR="00E53190" w:rsidRPr="007E54C2">
        <w:rPr>
          <w:rFonts w:cs="Arial"/>
          <w:lang w:val="en-GB"/>
        </w:rPr>
        <w:t xml:space="preserve">  A defendant is</w:t>
      </w:r>
      <w:r w:rsidR="00F2665F" w:rsidRPr="007E54C2">
        <w:rPr>
          <w:rFonts w:cs="Arial"/>
          <w:lang w:val="en-GB"/>
        </w:rPr>
        <w:t xml:space="preserve"> required to disclose fully the nature and grounds of </w:t>
      </w:r>
      <w:r w:rsidR="00E53190" w:rsidRPr="007E54C2">
        <w:rPr>
          <w:rFonts w:cs="Arial"/>
          <w:lang w:val="en-GB"/>
        </w:rPr>
        <w:t>the</w:t>
      </w:r>
      <w:r w:rsidR="00F2665F" w:rsidRPr="007E54C2">
        <w:rPr>
          <w:rFonts w:cs="Arial"/>
          <w:lang w:val="en-GB"/>
        </w:rPr>
        <w:t xml:space="preserve"> defence in </w:t>
      </w:r>
      <w:r w:rsidR="0014524B" w:rsidRPr="007E54C2">
        <w:rPr>
          <w:rFonts w:cs="Arial"/>
          <w:lang w:val="en-GB"/>
        </w:rPr>
        <w:t>the</w:t>
      </w:r>
      <w:r w:rsidR="00F2665F" w:rsidRPr="007E54C2">
        <w:rPr>
          <w:rFonts w:cs="Arial"/>
          <w:lang w:val="en-GB"/>
        </w:rPr>
        <w:t xml:space="preserve"> opposing affidavit. </w:t>
      </w:r>
      <w:r w:rsidR="001C24D2" w:rsidRPr="007E54C2">
        <w:rPr>
          <w:rFonts w:cs="Arial"/>
          <w:lang w:val="en-GB"/>
        </w:rPr>
        <w:t xml:space="preserve"> In assessing whether a defendant </w:t>
      </w:r>
      <w:r w:rsidR="001C7369" w:rsidRPr="007E54C2">
        <w:rPr>
          <w:rFonts w:cs="Arial"/>
          <w:lang w:val="en-GB"/>
        </w:rPr>
        <w:t xml:space="preserve">has a </w:t>
      </w:r>
      <w:r w:rsidR="001C7369" w:rsidRPr="007E54C2">
        <w:rPr>
          <w:rFonts w:cs="Arial"/>
          <w:i/>
          <w:iCs/>
          <w:lang w:val="en-GB"/>
        </w:rPr>
        <w:t>bona fide</w:t>
      </w:r>
      <w:r w:rsidR="001C7369" w:rsidRPr="007E54C2">
        <w:rPr>
          <w:rFonts w:cs="Arial"/>
          <w:lang w:val="en-GB"/>
        </w:rPr>
        <w:t xml:space="preserve"> defence to the claim, the court is called upon to enquire into (a) whether the defendant has fully disclosed the nature and grounds of </w:t>
      </w:r>
      <w:r w:rsidR="00087BCE" w:rsidRPr="007E54C2">
        <w:rPr>
          <w:rFonts w:cs="Arial"/>
          <w:lang w:val="en-GB"/>
        </w:rPr>
        <w:t>the</w:t>
      </w:r>
      <w:r w:rsidR="001C7369" w:rsidRPr="007E54C2">
        <w:rPr>
          <w:rFonts w:cs="Arial"/>
          <w:lang w:val="en-GB"/>
        </w:rPr>
        <w:t xml:space="preserve"> defence and the material facts upon which it is founded, and (b)</w:t>
      </w:r>
      <w:r w:rsidR="00087BCE" w:rsidRPr="007E54C2">
        <w:rPr>
          <w:rFonts w:cs="Arial"/>
          <w:lang w:val="en-GB"/>
        </w:rPr>
        <w:t> </w:t>
      </w:r>
      <w:r w:rsidR="001C7369" w:rsidRPr="007E54C2">
        <w:rPr>
          <w:rFonts w:cs="Arial"/>
          <w:lang w:val="en-GB"/>
        </w:rPr>
        <w:t xml:space="preserve">whether on the facts so disclosed the defendant appears to have, as to either the whole or part of the claim, a defence which is both </w:t>
      </w:r>
      <w:r w:rsidR="001C7369" w:rsidRPr="007E54C2">
        <w:rPr>
          <w:rFonts w:cs="Arial"/>
          <w:i/>
          <w:iCs/>
          <w:lang w:val="en-GB"/>
        </w:rPr>
        <w:t xml:space="preserve">bona fide </w:t>
      </w:r>
      <w:r w:rsidR="001C7369" w:rsidRPr="007E54C2">
        <w:rPr>
          <w:rFonts w:cs="Arial"/>
          <w:lang w:val="en-GB"/>
        </w:rPr>
        <w:t>and good in law.</w:t>
      </w:r>
      <w:r w:rsidR="00240D0C" w:rsidRPr="007E54C2">
        <w:rPr>
          <w:rStyle w:val="FootnoteReference"/>
          <w:rFonts w:cs="Arial"/>
          <w:lang w:val="en-GB"/>
        </w:rPr>
        <w:footnoteReference w:id="5"/>
      </w:r>
      <w:r w:rsidR="001C7369" w:rsidRPr="007E54C2">
        <w:rPr>
          <w:rFonts w:cs="Arial"/>
          <w:lang w:val="en-GB"/>
        </w:rPr>
        <w:t xml:space="preserve"> </w:t>
      </w:r>
      <w:r w:rsidR="00087BCE" w:rsidRPr="007E54C2">
        <w:rPr>
          <w:rFonts w:cs="Arial"/>
          <w:lang w:val="en-GB"/>
        </w:rPr>
        <w:t xml:space="preserve"> </w:t>
      </w:r>
      <w:r w:rsidR="001C7369" w:rsidRPr="007E54C2">
        <w:rPr>
          <w:rFonts w:cs="Arial"/>
          <w:lang w:val="en-GB"/>
        </w:rPr>
        <w:t xml:space="preserve">If satisfied on these matters the </w:t>
      </w:r>
      <w:r w:rsidR="00240D0C" w:rsidRPr="007E54C2">
        <w:rPr>
          <w:rFonts w:cs="Arial"/>
          <w:lang w:val="en-GB"/>
        </w:rPr>
        <w:t>c</w:t>
      </w:r>
      <w:r w:rsidR="001C7369" w:rsidRPr="007E54C2">
        <w:rPr>
          <w:rFonts w:cs="Arial"/>
          <w:lang w:val="en-GB"/>
        </w:rPr>
        <w:t>ourt must refuse summary judgment, either wholly or in part, as the case may be</w:t>
      </w:r>
      <w:r w:rsidR="00087BCE" w:rsidRPr="007E54C2">
        <w:rPr>
          <w:rFonts w:cs="Arial"/>
          <w:lang w:val="en-GB"/>
        </w:rPr>
        <w:t>.</w:t>
      </w:r>
      <w:r w:rsidR="00240D0C" w:rsidRPr="007E54C2">
        <w:rPr>
          <w:rStyle w:val="FootnoteReference"/>
          <w:rFonts w:cs="Arial"/>
          <w:lang w:val="en-GB"/>
        </w:rPr>
        <w:footnoteReference w:id="6"/>
      </w:r>
    </w:p>
    <w:p w14:paraId="5E2DB3AE" w14:textId="6AA963B1" w:rsidR="00732D43" w:rsidRPr="007E54C2" w:rsidRDefault="00EA5132" w:rsidP="00EA5132">
      <w:pPr>
        <w:snapToGrid w:val="0"/>
        <w:spacing w:before="120" w:after="240" w:line="480" w:lineRule="auto"/>
        <w:ind w:hanging="6"/>
        <w:jc w:val="both"/>
        <w:rPr>
          <w:rFonts w:cs="Arial"/>
          <w:lang w:val="en-GB"/>
        </w:rPr>
      </w:pPr>
      <w:r w:rsidRPr="007E54C2">
        <w:rPr>
          <w:rFonts w:cs="Arial"/>
          <w:lang w:val="en-GB"/>
        </w:rPr>
        <w:t>[7]</w:t>
      </w:r>
      <w:r w:rsidRPr="007E54C2">
        <w:rPr>
          <w:rFonts w:cs="Arial"/>
          <w:lang w:val="en-GB"/>
        </w:rPr>
        <w:tab/>
      </w:r>
      <w:r w:rsidR="00F336A8" w:rsidRPr="007E54C2">
        <w:rPr>
          <w:rFonts w:cs="Arial"/>
          <w:lang w:val="en-GB"/>
        </w:rPr>
        <w:t>T</w:t>
      </w:r>
      <w:r w:rsidR="00F2665F" w:rsidRPr="007E54C2">
        <w:rPr>
          <w:rFonts w:cs="Arial"/>
          <w:lang w:val="en-GB"/>
        </w:rPr>
        <w:t xml:space="preserve">he effect of the amendment </w:t>
      </w:r>
      <w:r w:rsidR="00F336A8" w:rsidRPr="007E54C2">
        <w:rPr>
          <w:rFonts w:cs="Arial"/>
          <w:lang w:val="en-GB"/>
        </w:rPr>
        <w:t>to R</w:t>
      </w:r>
      <w:r w:rsidR="00F2665F" w:rsidRPr="007E54C2">
        <w:rPr>
          <w:rFonts w:cs="Arial"/>
          <w:lang w:val="en-GB"/>
        </w:rPr>
        <w:t>ule</w:t>
      </w:r>
      <w:r w:rsidR="00657C64" w:rsidRPr="007E54C2">
        <w:rPr>
          <w:rFonts w:cs="Arial"/>
          <w:lang w:val="en-GB"/>
        </w:rPr>
        <w:t> </w:t>
      </w:r>
      <w:r w:rsidR="00F2665F" w:rsidRPr="007E54C2">
        <w:rPr>
          <w:rFonts w:cs="Arial"/>
          <w:lang w:val="en-GB"/>
        </w:rPr>
        <w:t xml:space="preserve">32(b) </w:t>
      </w:r>
      <w:r w:rsidR="00F336A8" w:rsidRPr="007E54C2">
        <w:rPr>
          <w:rFonts w:cs="Arial"/>
          <w:lang w:val="en-GB"/>
        </w:rPr>
        <w:t xml:space="preserve">is that the plaintiff is now required to engage with the content of the plea in order to substantiate its averments that the defence is not </w:t>
      </w:r>
      <w:r w:rsidR="00F336A8" w:rsidRPr="007E54C2">
        <w:rPr>
          <w:rFonts w:cs="Arial"/>
          <w:i/>
          <w:iCs/>
          <w:lang w:val="en-GB"/>
        </w:rPr>
        <w:t>bona fide</w:t>
      </w:r>
      <w:r w:rsidR="00F336A8" w:rsidRPr="007E54C2">
        <w:rPr>
          <w:rFonts w:cs="Arial"/>
          <w:lang w:val="en-GB"/>
        </w:rPr>
        <w:t xml:space="preserve"> and has been raised merely for the purposes of delay.</w:t>
      </w:r>
      <w:r w:rsidR="00D57C32" w:rsidRPr="007E54C2">
        <w:rPr>
          <w:rStyle w:val="FootnoteReference"/>
          <w:rFonts w:cs="Arial"/>
          <w:i/>
          <w:iCs/>
          <w:lang w:val="en-GB"/>
        </w:rPr>
        <w:footnoteReference w:id="7"/>
      </w:r>
      <w:r w:rsidR="00D57C32" w:rsidRPr="007E54C2">
        <w:rPr>
          <w:rFonts w:cs="Arial"/>
          <w:lang w:val="en-GB"/>
        </w:rPr>
        <w:t xml:space="preserve">  However</w:t>
      </w:r>
      <w:r w:rsidR="00732D43" w:rsidRPr="007E54C2">
        <w:rPr>
          <w:rFonts w:cs="Arial"/>
          <w:lang w:val="en-GB"/>
        </w:rPr>
        <w:t>,</w:t>
      </w:r>
      <w:r w:rsidR="00D57C32" w:rsidRPr="007E54C2">
        <w:rPr>
          <w:rFonts w:cs="Arial"/>
          <w:lang w:val="en-GB"/>
        </w:rPr>
        <w:t xml:space="preserve"> as this court noted in </w:t>
      </w:r>
      <w:r w:rsidR="00D57C32" w:rsidRPr="007E54C2">
        <w:rPr>
          <w:rFonts w:cs="Arial"/>
          <w:i/>
          <w:iCs/>
          <w:lang w:val="en-GB"/>
        </w:rPr>
        <w:t>Tumileng Trading</w:t>
      </w:r>
      <w:r w:rsidR="00F336A8" w:rsidRPr="007E54C2">
        <w:rPr>
          <w:rFonts w:cs="Arial"/>
          <w:lang w:val="en-GB"/>
        </w:rPr>
        <w:t>, that the exercise is likely to be futile in all cases other than those in which the pleaded defence is a bald denial</w:t>
      </w:r>
      <w:r w:rsidR="00D57C32" w:rsidRPr="007E54C2">
        <w:rPr>
          <w:rFonts w:cs="Arial"/>
          <w:lang w:val="en-GB"/>
        </w:rPr>
        <w:t xml:space="preserve"> </w:t>
      </w:r>
      <w:r w:rsidR="00F336A8" w:rsidRPr="007E54C2">
        <w:rPr>
          <w:rFonts w:cs="Arial"/>
          <w:lang w:val="en-GB"/>
        </w:rPr>
        <w:t xml:space="preserve">because a </w:t>
      </w:r>
      <w:r w:rsidR="00F336A8" w:rsidRPr="007E54C2">
        <w:rPr>
          <w:rFonts w:cs="Arial"/>
          <w:lang w:val="en-GB"/>
        </w:rPr>
        <w:lastRenderedPageBreak/>
        <w:t>court seized of a summary judgment application is not charged with determining the substantive merit of a defence, nor with determining its prospects of success.</w:t>
      </w:r>
      <w:r w:rsidR="00732D43" w:rsidRPr="007E54C2">
        <w:rPr>
          <w:rStyle w:val="FootnoteReference"/>
          <w:rFonts w:cs="Arial"/>
          <w:lang w:val="en-GB"/>
        </w:rPr>
        <w:footnoteReference w:id="8"/>
      </w:r>
    </w:p>
    <w:p w14:paraId="4DB36AF7" w14:textId="2DA4D4E2" w:rsidR="00424CA1" w:rsidRPr="007E54C2" w:rsidRDefault="00424CA1" w:rsidP="00424CA1">
      <w:pPr>
        <w:pStyle w:val="Heading1"/>
        <w:rPr>
          <w:lang w:val="en-GB"/>
        </w:rPr>
      </w:pPr>
      <w:r w:rsidRPr="007E54C2">
        <w:rPr>
          <w:lang w:val="en-GB"/>
        </w:rPr>
        <w:t>The defences</w:t>
      </w:r>
    </w:p>
    <w:p w14:paraId="5E946577" w14:textId="4EC15A13" w:rsidR="008A64C5" w:rsidRPr="007E54C2" w:rsidRDefault="00EA5132" w:rsidP="00EA5132">
      <w:pPr>
        <w:snapToGrid w:val="0"/>
        <w:spacing w:before="120" w:after="240" w:line="480" w:lineRule="auto"/>
        <w:ind w:hanging="6"/>
        <w:jc w:val="both"/>
        <w:rPr>
          <w:rFonts w:cs="Arial"/>
          <w:lang w:val="en-GB"/>
        </w:rPr>
      </w:pPr>
      <w:r w:rsidRPr="007E54C2">
        <w:rPr>
          <w:rFonts w:cs="Arial"/>
          <w:lang w:val="en-GB"/>
        </w:rPr>
        <w:t>[8]</w:t>
      </w:r>
      <w:r w:rsidRPr="007E54C2">
        <w:rPr>
          <w:rFonts w:cs="Arial"/>
          <w:lang w:val="en-GB"/>
        </w:rPr>
        <w:tab/>
      </w:r>
      <w:r w:rsidR="008A64C5" w:rsidRPr="007E54C2">
        <w:rPr>
          <w:rFonts w:cs="Arial"/>
          <w:lang w:val="en-GB"/>
        </w:rPr>
        <w:t>Having regard to the allegations in the particulars of claim, read with the plea, it is apparent that the defendants admit that WTB breached the terms of the first and second rental agreements</w:t>
      </w:r>
      <w:r w:rsidR="00DB682B" w:rsidRPr="007E54C2">
        <w:rPr>
          <w:rFonts w:cs="Arial"/>
          <w:lang w:val="en-GB"/>
        </w:rPr>
        <w:t xml:space="preserve"> respectively</w:t>
      </w:r>
      <w:r w:rsidR="008A64C5" w:rsidRPr="007E54C2">
        <w:rPr>
          <w:rFonts w:cs="Arial"/>
          <w:lang w:val="en-GB"/>
        </w:rPr>
        <w:t xml:space="preserve"> by failing to make regular monthly payments in terms of those agreements and that consequently Sasfin or SASP are entitled to claim </w:t>
      </w:r>
      <w:r w:rsidR="008A64C5" w:rsidRPr="007E54C2">
        <w:rPr>
          <w:rFonts w:cs="Arial"/>
          <w:i/>
          <w:iCs/>
          <w:lang w:val="en-GB"/>
        </w:rPr>
        <w:t>“immediate payment of all amounts which would have been payable in terms of the rental agreements … whether such amounts were then due for payment or not”</w:t>
      </w:r>
      <w:r w:rsidR="008A64C5" w:rsidRPr="007E54C2">
        <w:rPr>
          <w:rFonts w:cs="Arial"/>
          <w:lang w:val="en-GB"/>
        </w:rPr>
        <w:t>.</w:t>
      </w:r>
    </w:p>
    <w:p w14:paraId="5BFF07DA" w14:textId="03BEEE1C" w:rsidR="00E00D26" w:rsidRPr="007E54C2" w:rsidRDefault="00EA5132" w:rsidP="00EA5132">
      <w:pPr>
        <w:snapToGrid w:val="0"/>
        <w:spacing w:before="120" w:after="240" w:line="480" w:lineRule="auto"/>
        <w:ind w:hanging="6"/>
        <w:jc w:val="both"/>
        <w:rPr>
          <w:rFonts w:cs="Arial"/>
          <w:lang w:val="en-GB"/>
        </w:rPr>
      </w:pPr>
      <w:r w:rsidRPr="007E54C2">
        <w:rPr>
          <w:rFonts w:cs="Arial"/>
          <w:lang w:val="en-GB"/>
        </w:rPr>
        <w:t>[9]</w:t>
      </w:r>
      <w:r w:rsidRPr="007E54C2">
        <w:rPr>
          <w:rFonts w:cs="Arial"/>
          <w:lang w:val="en-GB"/>
        </w:rPr>
        <w:tab/>
      </w:r>
      <w:r w:rsidR="00DC34F9" w:rsidRPr="007E54C2">
        <w:rPr>
          <w:rFonts w:cs="Arial"/>
          <w:lang w:val="en-GB"/>
        </w:rPr>
        <w:t xml:space="preserve">It </w:t>
      </w:r>
      <w:r w:rsidR="00DB682B" w:rsidRPr="007E54C2">
        <w:rPr>
          <w:rFonts w:cs="Arial"/>
          <w:lang w:val="en-GB"/>
        </w:rPr>
        <w:t>is</w:t>
      </w:r>
      <w:r w:rsidR="00DC34F9" w:rsidRPr="007E54C2">
        <w:rPr>
          <w:rFonts w:cs="Arial"/>
          <w:lang w:val="en-GB"/>
        </w:rPr>
        <w:t xml:space="preserve"> common cause that Ms Angel signed the guarantee which underlies the plaintiffs’ cause of action in respect of Claim A.  The defendants, however, dispute that they signed the guarantee which underlies the plaintiffs’ cause of action in respect of Claim B.</w:t>
      </w:r>
      <w:r w:rsidR="008B4223" w:rsidRPr="007E54C2">
        <w:rPr>
          <w:rFonts w:cs="Arial"/>
          <w:lang w:val="en-GB"/>
        </w:rPr>
        <w:t xml:space="preserve">  No basis is set out in the plea </w:t>
      </w:r>
      <w:r w:rsidR="008D4007" w:rsidRPr="007E54C2">
        <w:rPr>
          <w:rFonts w:cs="Arial"/>
          <w:lang w:val="en-GB"/>
        </w:rPr>
        <w:t>for this denial.  Further, the affidavit opposing summary judgment does not deal with this issue</w:t>
      </w:r>
      <w:r w:rsidR="00E00D26" w:rsidRPr="007E54C2">
        <w:rPr>
          <w:rFonts w:cs="Arial"/>
          <w:lang w:val="en-GB"/>
        </w:rPr>
        <w:t xml:space="preserve"> and in fact</w:t>
      </w:r>
      <w:r w:rsidR="00997E70" w:rsidRPr="007E54C2">
        <w:rPr>
          <w:rFonts w:cs="Arial"/>
          <w:lang w:val="en-GB"/>
        </w:rPr>
        <w:t>,</w:t>
      </w:r>
      <w:r w:rsidR="00E00D26" w:rsidRPr="007E54C2">
        <w:rPr>
          <w:rFonts w:cs="Arial"/>
          <w:lang w:val="en-GB"/>
        </w:rPr>
        <w:t xml:space="preserve"> the defendants accept in the affidavit opposing summary judgment that the arrear rental portions of Claim A and Claim B are not disputed.  This is confirmed in the defendants’ heads of argument </w:t>
      </w:r>
      <w:r w:rsidR="00FE761D" w:rsidRPr="007E54C2">
        <w:rPr>
          <w:rFonts w:cs="Arial"/>
          <w:lang w:val="en-GB"/>
        </w:rPr>
        <w:t xml:space="preserve">where </w:t>
      </w:r>
      <w:r w:rsidR="008A05BA" w:rsidRPr="007E54C2">
        <w:rPr>
          <w:rFonts w:cs="Arial"/>
          <w:lang w:val="en-GB"/>
        </w:rPr>
        <w:t>the submission is made that</w:t>
      </w:r>
      <w:r w:rsidR="00E00D26" w:rsidRPr="007E54C2">
        <w:rPr>
          <w:rFonts w:cs="Arial"/>
          <w:lang w:val="en-GB"/>
        </w:rPr>
        <w:t xml:space="preserve"> the defendants</w:t>
      </w:r>
      <w:r w:rsidR="008A05BA" w:rsidRPr="007E54C2">
        <w:rPr>
          <w:rFonts w:cs="Arial"/>
          <w:lang w:val="en-GB"/>
        </w:rPr>
        <w:t>’</w:t>
      </w:r>
      <w:r w:rsidR="00E00D26" w:rsidRPr="007E54C2">
        <w:rPr>
          <w:rFonts w:cs="Arial"/>
          <w:lang w:val="en-GB"/>
        </w:rPr>
        <w:t xml:space="preserve"> oppos</w:t>
      </w:r>
      <w:r w:rsidR="00FE761D" w:rsidRPr="007E54C2">
        <w:rPr>
          <w:rFonts w:cs="Arial"/>
          <w:lang w:val="en-GB"/>
        </w:rPr>
        <w:t>ition</w:t>
      </w:r>
      <w:r w:rsidR="00E00D26" w:rsidRPr="007E54C2">
        <w:rPr>
          <w:rFonts w:cs="Arial"/>
          <w:lang w:val="en-GB"/>
        </w:rPr>
        <w:t xml:space="preserve"> </w:t>
      </w:r>
      <w:r w:rsidR="002337CA" w:rsidRPr="007E54C2">
        <w:rPr>
          <w:rFonts w:cs="Arial"/>
          <w:lang w:val="en-GB"/>
        </w:rPr>
        <w:t xml:space="preserve">to </w:t>
      </w:r>
      <w:r w:rsidR="00E00D26" w:rsidRPr="007E54C2">
        <w:rPr>
          <w:rFonts w:cs="Arial"/>
          <w:lang w:val="en-GB"/>
        </w:rPr>
        <w:t>summary judgment is limited to the plaintiffs’ entitlement to the future rentals claimed.</w:t>
      </w:r>
    </w:p>
    <w:p w14:paraId="3F8F4F14" w14:textId="601AEB3A" w:rsidR="007E0C5C" w:rsidRDefault="00EA5132" w:rsidP="00EA5132">
      <w:pPr>
        <w:snapToGrid w:val="0"/>
        <w:spacing w:before="120" w:after="240" w:line="480" w:lineRule="auto"/>
        <w:ind w:hanging="6"/>
        <w:jc w:val="both"/>
        <w:rPr>
          <w:rFonts w:cs="Arial"/>
          <w:lang w:val="en-GB"/>
        </w:rPr>
      </w:pPr>
      <w:r>
        <w:rPr>
          <w:rFonts w:cs="Arial"/>
          <w:lang w:val="en-GB"/>
        </w:rPr>
        <w:t>[10]</w:t>
      </w:r>
      <w:r>
        <w:rPr>
          <w:rFonts w:cs="Arial"/>
          <w:lang w:val="en-GB"/>
        </w:rPr>
        <w:tab/>
      </w:r>
      <w:r w:rsidR="008A05BA" w:rsidRPr="007E54C2">
        <w:rPr>
          <w:rFonts w:cs="Arial"/>
          <w:lang w:val="en-GB"/>
        </w:rPr>
        <w:t>It is trite that a</w:t>
      </w:r>
      <w:r w:rsidR="003340E5" w:rsidRPr="007E54C2">
        <w:rPr>
          <w:rFonts w:cs="Arial"/>
          <w:lang w:val="en-GB"/>
        </w:rPr>
        <w:t xml:space="preserve"> court should exercise </w:t>
      </w:r>
      <w:r w:rsidR="002337CA" w:rsidRPr="007E54C2">
        <w:rPr>
          <w:rFonts w:cs="Arial"/>
          <w:lang w:val="en-GB"/>
        </w:rPr>
        <w:t>its</w:t>
      </w:r>
      <w:r w:rsidR="003340E5" w:rsidRPr="007E54C2">
        <w:rPr>
          <w:rFonts w:cs="Arial"/>
          <w:lang w:val="en-GB"/>
        </w:rPr>
        <w:t xml:space="preserve"> discretion against granting </w:t>
      </w:r>
      <w:r w:rsidR="00724D38" w:rsidRPr="007E54C2">
        <w:rPr>
          <w:rFonts w:cs="Arial"/>
          <w:lang w:val="en-GB"/>
        </w:rPr>
        <w:t xml:space="preserve">summary judgment </w:t>
      </w:r>
      <w:r w:rsidR="003340E5" w:rsidRPr="007E54C2">
        <w:rPr>
          <w:rFonts w:cs="Arial"/>
          <w:lang w:val="en-GB"/>
        </w:rPr>
        <w:t xml:space="preserve">where it appears that </w:t>
      </w:r>
      <w:r w:rsidR="002337CA" w:rsidRPr="007E54C2">
        <w:rPr>
          <w:rFonts w:cs="Arial"/>
          <w:lang w:val="en-GB"/>
        </w:rPr>
        <w:t xml:space="preserve">there </w:t>
      </w:r>
      <w:r w:rsidR="00724D38" w:rsidRPr="007E54C2">
        <w:rPr>
          <w:rFonts w:cs="Arial"/>
          <w:lang w:val="en-GB"/>
        </w:rPr>
        <w:t xml:space="preserve">is </w:t>
      </w:r>
      <w:r w:rsidR="003340E5" w:rsidRPr="007E54C2">
        <w:rPr>
          <w:rFonts w:cs="Arial"/>
          <w:lang w:val="en-GB"/>
        </w:rPr>
        <w:t>a reasonable possibility that an injustice may be done if summary judgment is granted</w:t>
      </w:r>
      <w:r w:rsidR="006A1D40" w:rsidRPr="007E54C2">
        <w:rPr>
          <w:rFonts w:cs="Arial"/>
          <w:lang w:val="en-GB"/>
        </w:rPr>
        <w:t xml:space="preserve">.  </w:t>
      </w:r>
      <w:r w:rsidR="00F420C3" w:rsidRPr="007E54C2">
        <w:rPr>
          <w:rFonts w:cs="Arial"/>
          <w:lang w:val="en-GB"/>
        </w:rPr>
        <w:t xml:space="preserve"> </w:t>
      </w:r>
      <w:r w:rsidR="006A1D40" w:rsidRPr="007E54C2">
        <w:rPr>
          <w:rFonts w:cs="Arial"/>
          <w:lang w:val="en-GB"/>
        </w:rPr>
        <w:t>However,</w:t>
      </w:r>
      <w:r w:rsidR="00F420C3" w:rsidRPr="007E54C2">
        <w:rPr>
          <w:rFonts w:cs="Arial"/>
          <w:lang w:val="en-GB"/>
        </w:rPr>
        <w:t xml:space="preserve"> </w:t>
      </w:r>
      <w:r w:rsidR="003340E5" w:rsidRPr="007E54C2">
        <w:rPr>
          <w:rFonts w:cs="Arial"/>
          <w:lang w:val="en-GB"/>
        </w:rPr>
        <w:t xml:space="preserve">where the liability of the defendant </w:t>
      </w:r>
      <w:r w:rsidR="003340E5" w:rsidRPr="007E54C2">
        <w:rPr>
          <w:rFonts w:cs="Arial"/>
          <w:lang w:val="en-GB"/>
        </w:rPr>
        <w:lastRenderedPageBreak/>
        <w:t>is undisputed</w:t>
      </w:r>
      <w:r w:rsidR="00F420C3" w:rsidRPr="007E54C2">
        <w:rPr>
          <w:rFonts w:cs="Arial"/>
          <w:lang w:val="en-GB"/>
        </w:rPr>
        <w:t>,</w:t>
      </w:r>
      <w:r w:rsidR="003340E5" w:rsidRPr="007E54C2">
        <w:rPr>
          <w:rFonts w:cs="Arial"/>
          <w:lang w:val="en-GB"/>
        </w:rPr>
        <w:t xml:space="preserve"> the discretion should not be exercised against a plaintiff so as to deprive it of the relief to which it is entitled.</w:t>
      </w:r>
      <w:r w:rsidR="00177B83" w:rsidRPr="007E54C2">
        <w:rPr>
          <w:rStyle w:val="FootnoteReference"/>
          <w:rFonts w:cs="Arial"/>
          <w:lang w:val="en-GB"/>
        </w:rPr>
        <w:footnoteReference w:id="9"/>
      </w:r>
      <w:r w:rsidR="006A1D40" w:rsidRPr="007E54C2">
        <w:rPr>
          <w:rFonts w:cs="Arial"/>
          <w:lang w:val="en-GB"/>
        </w:rPr>
        <w:t xml:space="preserve">  </w:t>
      </w:r>
    </w:p>
    <w:p w14:paraId="0C2E6278" w14:textId="468464C6" w:rsidR="0028127D" w:rsidRPr="007E54C2" w:rsidRDefault="00EA5132" w:rsidP="00EA5132">
      <w:pPr>
        <w:snapToGrid w:val="0"/>
        <w:spacing w:before="120" w:after="240" w:line="480" w:lineRule="auto"/>
        <w:ind w:hanging="6"/>
        <w:jc w:val="both"/>
        <w:rPr>
          <w:rFonts w:cs="Arial"/>
          <w:lang w:val="en-GB"/>
        </w:rPr>
      </w:pPr>
      <w:r w:rsidRPr="007E54C2">
        <w:rPr>
          <w:rFonts w:cs="Arial"/>
          <w:lang w:val="en-GB"/>
        </w:rPr>
        <w:t>[11]</w:t>
      </w:r>
      <w:r w:rsidRPr="007E54C2">
        <w:rPr>
          <w:rFonts w:cs="Arial"/>
          <w:lang w:val="en-GB"/>
        </w:rPr>
        <w:tab/>
      </w:r>
      <w:r w:rsidR="008A05BA" w:rsidRPr="007E54C2">
        <w:rPr>
          <w:rFonts w:cs="Arial"/>
          <w:lang w:val="en-GB"/>
        </w:rPr>
        <w:t>Consequently, in the face of the defendants’ admitted liability in respect of the arrear rental portions of Claim A and Claim B</w:t>
      </w:r>
      <w:r w:rsidR="006A1D40" w:rsidRPr="007E54C2">
        <w:rPr>
          <w:rFonts w:cs="Arial"/>
          <w:lang w:val="en-GB"/>
        </w:rPr>
        <w:t xml:space="preserve"> respectively</w:t>
      </w:r>
      <w:r w:rsidR="008A05BA" w:rsidRPr="007E54C2">
        <w:rPr>
          <w:rFonts w:cs="Arial"/>
          <w:lang w:val="en-GB"/>
        </w:rPr>
        <w:t xml:space="preserve">, I am satisfied that the defendants </w:t>
      </w:r>
      <w:r w:rsidR="006A1D40" w:rsidRPr="007E54C2">
        <w:rPr>
          <w:rFonts w:cs="Arial"/>
          <w:lang w:val="en-GB"/>
        </w:rPr>
        <w:t>have not disclosed</w:t>
      </w:r>
      <w:r w:rsidR="008A05BA" w:rsidRPr="007E54C2">
        <w:rPr>
          <w:rFonts w:cs="Arial"/>
          <w:lang w:val="en-GB"/>
        </w:rPr>
        <w:t xml:space="preserve"> a </w:t>
      </w:r>
      <w:r w:rsidR="008A05BA" w:rsidRPr="007E54C2">
        <w:rPr>
          <w:rFonts w:cs="Arial"/>
          <w:i/>
          <w:iCs/>
          <w:lang w:val="en-GB"/>
        </w:rPr>
        <w:t>bona fide</w:t>
      </w:r>
      <w:r w:rsidR="008A05BA" w:rsidRPr="007E54C2">
        <w:rPr>
          <w:rFonts w:cs="Arial"/>
          <w:lang w:val="en-GB"/>
        </w:rPr>
        <w:t xml:space="preserve"> defence to th</w:t>
      </w:r>
      <w:r w:rsidR="0040730A">
        <w:rPr>
          <w:rFonts w:cs="Arial"/>
          <w:lang w:val="en-GB"/>
        </w:rPr>
        <w:t>o</w:t>
      </w:r>
      <w:r w:rsidR="008A05BA" w:rsidRPr="007E54C2">
        <w:rPr>
          <w:rFonts w:cs="Arial"/>
          <w:lang w:val="en-GB"/>
        </w:rPr>
        <w:t>se portions of the plaintiff</w:t>
      </w:r>
      <w:r w:rsidR="0028127D" w:rsidRPr="007E54C2">
        <w:rPr>
          <w:rFonts w:cs="Arial"/>
          <w:lang w:val="en-GB"/>
        </w:rPr>
        <w:t>s’</w:t>
      </w:r>
      <w:r w:rsidR="008A05BA" w:rsidRPr="007E54C2">
        <w:rPr>
          <w:rFonts w:cs="Arial"/>
          <w:lang w:val="en-GB"/>
        </w:rPr>
        <w:t xml:space="preserve"> claim</w:t>
      </w:r>
      <w:r w:rsidR="0028127D" w:rsidRPr="007E54C2">
        <w:rPr>
          <w:rFonts w:cs="Arial"/>
          <w:lang w:val="en-GB"/>
        </w:rPr>
        <w:t>s</w:t>
      </w:r>
      <w:r w:rsidR="0040730A">
        <w:rPr>
          <w:rFonts w:cs="Arial"/>
          <w:lang w:val="en-GB"/>
        </w:rPr>
        <w:t xml:space="preserve">, and that summary judgment ought to be granted in respect of </w:t>
      </w:r>
      <w:r w:rsidR="008423BC" w:rsidRPr="007E54C2">
        <w:rPr>
          <w:rFonts w:cs="Arial"/>
          <w:lang w:val="en-GB"/>
        </w:rPr>
        <w:t xml:space="preserve">the arrear rental portions of </w:t>
      </w:r>
      <w:r w:rsidR="008423BC">
        <w:rPr>
          <w:rFonts w:cs="Arial"/>
          <w:lang w:val="en-GB"/>
        </w:rPr>
        <w:t>the plaintiffs’ claims.</w:t>
      </w:r>
    </w:p>
    <w:p w14:paraId="20BCB0F4" w14:textId="5F6F28FD" w:rsidR="00FD043F" w:rsidRPr="007E54C2" w:rsidRDefault="00EA5132" w:rsidP="00EA5132">
      <w:pPr>
        <w:snapToGrid w:val="0"/>
        <w:spacing w:before="120" w:after="240" w:line="480" w:lineRule="auto"/>
        <w:ind w:hanging="6"/>
        <w:jc w:val="both"/>
        <w:rPr>
          <w:rFonts w:cs="Arial"/>
          <w:lang w:val="en-GB"/>
        </w:rPr>
      </w:pPr>
      <w:r w:rsidRPr="007E54C2">
        <w:rPr>
          <w:rFonts w:cs="Arial"/>
          <w:lang w:val="en-GB"/>
        </w:rPr>
        <w:t>[12]</w:t>
      </w:r>
      <w:r w:rsidRPr="007E54C2">
        <w:rPr>
          <w:rFonts w:cs="Arial"/>
          <w:lang w:val="en-GB"/>
        </w:rPr>
        <w:tab/>
      </w:r>
      <w:r w:rsidR="0028127D" w:rsidRPr="007E54C2">
        <w:rPr>
          <w:rFonts w:cs="Arial"/>
          <w:lang w:val="en-GB"/>
        </w:rPr>
        <w:t xml:space="preserve">Insofar as the future rental portions of Claim A and Claim B are concerned, </w:t>
      </w:r>
      <w:r w:rsidR="0059152D" w:rsidRPr="007E54C2">
        <w:rPr>
          <w:rFonts w:cs="Arial"/>
          <w:lang w:val="en-GB"/>
        </w:rPr>
        <w:t xml:space="preserve">the defendants </w:t>
      </w:r>
      <w:r w:rsidR="00AC10B7" w:rsidRPr="007E54C2">
        <w:rPr>
          <w:rFonts w:cs="Arial"/>
          <w:lang w:val="en-GB"/>
        </w:rPr>
        <w:t>contend that</w:t>
      </w:r>
      <w:r w:rsidR="00467674" w:rsidRPr="007E54C2">
        <w:rPr>
          <w:rFonts w:cs="Arial"/>
          <w:lang w:val="en-GB"/>
        </w:rPr>
        <w:t>:</w:t>
      </w:r>
    </w:p>
    <w:p w14:paraId="03F05ADB" w14:textId="0C637AEA" w:rsidR="00FD043F" w:rsidRPr="007E54C2" w:rsidRDefault="00EA5132" w:rsidP="00EA5132">
      <w:pPr>
        <w:snapToGrid w:val="0"/>
        <w:spacing w:before="120" w:after="240" w:line="480" w:lineRule="auto"/>
        <w:ind w:left="1418" w:hanging="1058"/>
        <w:jc w:val="both"/>
        <w:rPr>
          <w:rFonts w:cs="Arial"/>
          <w:lang w:val="en-GB"/>
        </w:rPr>
      </w:pPr>
      <w:r w:rsidRPr="007E54C2">
        <w:rPr>
          <w:rFonts w:cs="Arial"/>
          <w:lang w:val="en-GB"/>
        </w:rPr>
        <w:t>[12.1]</w:t>
      </w:r>
      <w:r w:rsidRPr="007E54C2">
        <w:rPr>
          <w:rFonts w:cs="Arial"/>
          <w:lang w:val="en-GB"/>
        </w:rPr>
        <w:tab/>
      </w:r>
      <w:r w:rsidR="00FD043F" w:rsidRPr="007E54C2">
        <w:rPr>
          <w:rFonts w:cs="Arial"/>
          <w:lang w:val="en-GB"/>
        </w:rPr>
        <w:t xml:space="preserve">Given the provisions of s 37(c) of the Insolvency Act </w:t>
      </w:r>
      <w:r w:rsidR="00090697" w:rsidRPr="007E54C2">
        <w:rPr>
          <w:rFonts w:cs="Arial"/>
          <w:lang w:val="en-GB"/>
        </w:rPr>
        <w:t xml:space="preserve">24 of 1936 (‘the Insolvency Act’) </w:t>
      </w:r>
      <w:r w:rsidR="00FD043F" w:rsidRPr="007E54C2">
        <w:rPr>
          <w:rFonts w:cs="Arial"/>
          <w:lang w:val="en-GB"/>
        </w:rPr>
        <w:t>these amounts cannot be claimed in an action for specific performance because the rental agreements had been determined on 28 August 2021 by the provisional liquidator, that is prior to the action being instituted (action was instituted on 2 February 2022); and</w:t>
      </w:r>
    </w:p>
    <w:p w14:paraId="2235C5C2" w14:textId="0E19BC8F" w:rsidR="00FD043F" w:rsidRPr="007E54C2" w:rsidRDefault="00EA5132" w:rsidP="00EA5132">
      <w:pPr>
        <w:snapToGrid w:val="0"/>
        <w:spacing w:before="120" w:after="240" w:line="480" w:lineRule="auto"/>
        <w:ind w:left="1418" w:hanging="1058"/>
        <w:jc w:val="both"/>
        <w:rPr>
          <w:rFonts w:cs="Arial"/>
          <w:lang w:val="en-GB"/>
        </w:rPr>
      </w:pPr>
      <w:r w:rsidRPr="007E54C2">
        <w:rPr>
          <w:rFonts w:cs="Arial"/>
          <w:lang w:val="en-GB"/>
        </w:rPr>
        <w:t>[12.2]</w:t>
      </w:r>
      <w:r w:rsidRPr="007E54C2">
        <w:rPr>
          <w:rFonts w:cs="Arial"/>
          <w:lang w:val="en-GB"/>
        </w:rPr>
        <w:tab/>
      </w:r>
      <w:r w:rsidR="00FD043F" w:rsidRPr="007E54C2">
        <w:rPr>
          <w:rFonts w:cs="Arial"/>
          <w:lang w:val="en-GB"/>
        </w:rPr>
        <w:t>The amounts claimed constitute unreasonable penalties as contemplated by s</w:t>
      </w:r>
      <w:r w:rsidR="00D5113A" w:rsidRPr="007E54C2">
        <w:rPr>
          <w:rFonts w:cs="Arial"/>
          <w:lang w:val="en-GB"/>
        </w:rPr>
        <w:t> </w:t>
      </w:r>
      <w:r w:rsidR="00FD043F" w:rsidRPr="007E54C2">
        <w:rPr>
          <w:rFonts w:cs="Arial"/>
          <w:lang w:val="en-GB"/>
        </w:rPr>
        <w:t xml:space="preserve">3 of the Conventional Penalties Act </w:t>
      </w:r>
      <w:r w:rsidR="00C6724C" w:rsidRPr="007E54C2">
        <w:rPr>
          <w:rFonts w:cs="Arial"/>
          <w:lang w:val="en-GB"/>
        </w:rPr>
        <w:t xml:space="preserve">15 of </w:t>
      </w:r>
      <w:r w:rsidR="00FD043F" w:rsidRPr="007E54C2">
        <w:rPr>
          <w:rFonts w:cs="Arial"/>
          <w:lang w:val="en-GB"/>
        </w:rPr>
        <w:t>1962</w:t>
      </w:r>
      <w:r w:rsidR="007C367B" w:rsidRPr="007E54C2">
        <w:rPr>
          <w:rFonts w:cs="Arial"/>
          <w:lang w:val="en-GB"/>
        </w:rPr>
        <w:t xml:space="preserve"> (‘Conventional Penalties Act’)</w:t>
      </w:r>
      <w:r w:rsidR="00FD043F" w:rsidRPr="007E54C2">
        <w:rPr>
          <w:rFonts w:cs="Arial"/>
          <w:lang w:val="en-GB"/>
        </w:rPr>
        <w:t>.</w:t>
      </w:r>
    </w:p>
    <w:p w14:paraId="4779C3F3" w14:textId="053CF1ED" w:rsidR="00C875E5" w:rsidRPr="007E54C2" w:rsidRDefault="00EA5132" w:rsidP="00EA5132">
      <w:pPr>
        <w:snapToGrid w:val="0"/>
        <w:spacing w:before="120" w:after="240" w:line="480" w:lineRule="auto"/>
        <w:ind w:hanging="6"/>
        <w:jc w:val="both"/>
        <w:rPr>
          <w:rFonts w:cs="Arial"/>
          <w:lang w:val="en-GB"/>
        </w:rPr>
      </w:pPr>
      <w:r w:rsidRPr="007E54C2">
        <w:rPr>
          <w:rFonts w:cs="Arial"/>
          <w:lang w:val="en-GB"/>
        </w:rPr>
        <w:t>[13]</w:t>
      </w:r>
      <w:r w:rsidRPr="007E54C2">
        <w:rPr>
          <w:rFonts w:cs="Arial"/>
          <w:lang w:val="en-GB"/>
        </w:rPr>
        <w:tab/>
      </w:r>
      <w:r w:rsidR="00FD043F" w:rsidRPr="007E54C2">
        <w:rPr>
          <w:rFonts w:cs="Arial"/>
          <w:lang w:val="en-GB"/>
        </w:rPr>
        <w:t>In essence</w:t>
      </w:r>
      <w:r w:rsidR="00D82082" w:rsidRPr="007E54C2">
        <w:rPr>
          <w:rFonts w:cs="Arial"/>
          <w:lang w:val="en-GB"/>
        </w:rPr>
        <w:t>,</w:t>
      </w:r>
      <w:r w:rsidR="00FD043F" w:rsidRPr="007E54C2">
        <w:rPr>
          <w:rFonts w:cs="Arial"/>
          <w:lang w:val="en-GB"/>
        </w:rPr>
        <w:t xml:space="preserve"> the defendants contend that the plaintiffs are not entitled to claim specific performance arising from agreements that were terminated prior to action being instituted</w:t>
      </w:r>
      <w:r w:rsidR="00913C2B" w:rsidRPr="007E54C2">
        <w:rPr>
          <w:rFonts w:cs="Arial"/>
          <w:lang w:val="en-GB"/>
        </w:rPr>
        <w:t xml:space="preserve"> and that in any event the plaintiffs repossessed the photocopier machines when the </w:t>
      </w:r>
      <w:r w:rsidR="00D82082" w:rsidRPr="007E54C2">
        <w:rPr>
          <w:rFonts w:cs="Arial"/>
          <w:lang w:val="en-GB"/>
        </w:rPr>
        <w:t xml:space="preserve">first and second </w:t>
      </w:r>
      <w:r w:rsidR="00913C2B" w:rsidRPr="007E54C2">
        <w:rPr>
          <w:rFonts w:cs="Arial"/>
          <w:lang w:val="en-GB"/>
        </w:rPr>
        <w:t xml:space="preserve">rental agreements were terminated and are thus </w:t>
      </w:r>
      <w:r w:rsidR="00913C2B" w:rsidRPr="007E54C2">
        <w:rPr>
          <w:rFonts w:cs="Arial"/>
          <w:lang w:val="en-GB"/>
        </w:rPr>
        <w:lastRenderedPageBreak/>
        <w:t xml:space="preserve">not entitled to the </w:t>
      </w:r>
      <w:r w:rsidR="004D1A3A" w:rsidRPr="007E54C2">
        <w:rPr>
          <w:rFonts w:cs="Arial"/>
          <w:lang w:val="en-GB"/>
        </w:rPr>
        <w:t xml:space="preserve">full </w:t>
      </w:r>
      <w:r w:rsidR="00913C2B" w:rsidRPr="007E54C2">
        <w:rPr>
          <w:rFonts w:cs="Arial"/>
          <w:lang w:val="en-GB"/>
        </w:rPr>
        <w:t xml:space="preserve">amounts </w:t>
      </w:r>
      <w:r w:rsidR="004D1A3A" w:rsidRPr="007E54C2">
        <w:rPr>
          <w:rFonts w:cs="Arial"/>
          <w:lang w:val="en-GB"/>
        </w:rPr>
        <w:t>claimed in the particulars of claim</w:t>
      </w:r>
      <w:r w:rsidR="00FD043F" w:rsidRPr="007E54C2">
        <w:rPr>
          <w:rFonts w:cs="Arial"/>
          <w:lang w:val="en-GB"/>
        </w:rPr>
        <w:t xml:space="preserve">.  </w:t>
      </w:r>
      <w:r w:rsidR="00F60CF1" w:rsidRPr="007E54C2">
        <w:rPr>
          <w:rFonts w:cs="Arial"/>
          <w:lang w:val="en-GB"/>
        </w:rPr>
        <w:t xml:space="preserve">Further, the defendants </w:t>
      </w:r>
      <w:r w:rsidR="00C875E5" w:rsidRPr="007E54C2">
        <w:rPr>
          <w:rFonts w:cs="Arial"/>
          <w:lang w:val="en-GB"/>
        </w:rPr>
        <w:t xml:space="preserve">contend that </w:t>
      </w:r>
      <w:r w:rsidR="003F69F0" w:rsidRPr="007E54C2">
        <w:rPr>
          <w:rFonts w:cs="Arial"/>
          <w:lang w:val="en-GB"/>
        </w:rPr>
        <w:t xml:space="preserve">the </w:t>
      </w:r>
      <w:r w:rsidR="006C58DC" w:rsidRPr="007E54C2">
        <w:rPr>
          <w:rFonts w:cs="Arial"/>
          <w:lang w:val="en-GB"/>
        </w:rPr>
        <w:t xml:space="preserve">plaintiffs’ </w:t>
      </w:r>
      <w:r w:rsidR="003F69F0" w:rsidRPr="007E54C2">
        <w:rPr>
          <w:rFonts w:cs="Arial"/>
          <w:lang w:val="en-GB"/>
        </w:rPr>
        <w:t>claim</w:t>
      </w:r>
      <w:r w:rsidR="006C58DC" w:rsidRPr="007E54C2">
        <w:rPr>
          <w:rFonts w:cs="Arial"/>
          <w:lang w:val="en-GB"/>
        </w:rPr>
        <w:t>s</w:t>
      </w:r>
      <w:r w:rsidR="003F69F0" w:rsidRPr="007E54C2">
        <w:rPr>
          <w:rFonts w:cs="Arial"/>
          <w:lang w:val="en-GB"/>
        </w:rPr>
        <w:t xml:space="preserve"> for future rentals </w:t>
      </w:r>
      <w:r w:rsidR="00670518" w:rsidRPr="007E54C2">
        <w:rPr>
          <w:rFonts w:cs="Arial"/>
          <w:lang w:val="en-GB"/>
        </w:rPr>
        <w:t>constitute</w:t>
      </w:r>
      <w:r w:rsidR="00175A27" w:rsidRPr="007E54C2">
        <w:rPr>
          <w:rFonts w:cs="Arial"/>
          <w:lang w:val="en-GB"/>
        </w:rPr>
        <w:t xml:space="preserve"> penalty stipulations as contemplated by the Conventional Penalties Act</w:t>
      </w:r>
      <w:r w:rsidR="00276586" w:rsidRPr="007E54C2">
        <w:rPr>
          <w:rFonts w:cs="Arial"/>
          <w:lang w:val="en-GB"/>
        </w:rPr>
        <w:t xml:space="preserve">.  </w:t>
      </w:r>
      <w:r w:rsidR="00175A27" w:rsidRPr="007E54C2">
        <w:rPr>
          <w:rFonts w:cs="Arial"/>
          <w:lang w:val="en-GB"/>
        </w:rPr>
        <w:t xml:space="preserve"> </w:t>
      </w:r>
      <w:r w:rsidR="00670518" w:rsidRPr="007E54C2">
        <w:rPr>
          <w:rFonts w:cs="Arial"/>
          <w:lang w:val="en-GB"/>
        </w:rPr>
        <w:t>The defendants further contend that</w:t>
      </w:r>
      <w:r w:rsidR="00175A27" w:rsidRPr="007E54C2">
        <w:rPr>
          <w:rFonts w:cs="Arial"/>
          <w:lang w:val="en-GB"/>
        </w:rPr>
        <w:t xml:space="preserve"> substantially similar contractual provisions were found to constitute </w:t>
      </w:r>
      <w:r w:rsidR="00BA15DF" w:rsidRPr="007E54C2">
        <w:rPr>
          <w:rFonts w:cs="Arial"/>
          <w:lang w:val="en-GB"/>
        </w:rPr>
        <w:t>unreason</w:t>
      </w:r>
      <w:r w:rsidR="005770D2" w:rsidRPr="007E54C2">
        <w:rPr>
          <w:rFonts w:cs="Arial"/>
          <w:lang w:val="en-GB"/>
        </w:rPr>
        <w:t>abl</w:t>
      </w:r>
      <w:r w:rsidR="00BA15DF" w:rsidRPr="007E54C2">
        <w:rPr>
          <w:rFonts w:cs="Arial"/>
          <w:lang w:val="en-GB"/>
        </w:rPr>
        <w:t xml:space="preserve">e </w:t>
      </w:r>
      <w:r w:rsidR="00175A27" w:rsidRPr="007E54C2">
        <w:rPr>
          <w:rFonts w:cs="Arial"/>
          <w:lang w:val="en-GB"/>
        </w:rPr>
        <w:t xml:space="preserve">penalty provisions in </w:t>
      </w:r>
      <w:r w:rsidR="00C875E5" w:rsidRPr="007E54C2">
        <w:rPr>
          <w:i/>
          <w:iCs/>
          <w:lang w:val="en-GB"/>
        </w:rPr>
        <w:t>Plumbago Financial Services (Pty) Ltd t/a Toshiba Rentals v Joseph t/a Project Finance</w:t>
      </w:r>
      <w:r w:rsidR="005770D2" w:rsidRPr="007E54C2">
        <w:rPr>
          <w:i/>
          <w:iCs/>
          <w:lang w:val="en-GB"/>
        </w:rPr>
        <w:t>.</w:t>
      </w:r>
      <w:r w:rsidR="008B49F0" w:rsidRPr="007E54C2">
        <w:rPr>
          <w:rStyle w:val="FootnoteReference"/>
          <w:lang w:val="en-GB"/>
        </w:rPr>
        <w:footnoteReference w:id="10"/>
      </w:r>
      <w:r w:rsidR="00766D0F" w:rsidRPr="007E54C2">
        <w:rPr>
          <w:lang w:val="en-GB"/>
        </w:rPr>
        <w:t xml:space="preserve">  </w:t>
      </w:r>
      <w:r w:rsidR="00DF51A2">
        <w:rPr>
          <w:lang w:val="en-GB"/>
        </w:rPr>
        <w:t>T</w:t>
      </w:r>
      <w:r w:rsidR="007D3690" w:rsidRPr="007E54C2">
        <w:rPr>
          <w:lang w:val="en-GB"/>
        </w:rPr>
        <w:t>he defendants contend that they are entitled to a reduction in the conventional penalty (that is the claim for future rentals</w:t>
      </w:r>
      <w:r w:rsidR="0028552A" w:rsidRPr="007E54C2">
        <w:rPr>
          <w:lang w:val="en-GB"/>
        </w:rPr>
        <w:t>),</w:t>
      </w:r>
      <w:r w:rsidR="007D3690" w:rsidRPr="007E54C2">
        <w:rPr>
          <w:lang w:val="en-GB"/>
        </w:rPr>
        <w:t xml:space="preserve"> and that the extent of the reduction will depend on </w:t>
      </w:r>
      <w:r w:rsidR="00C515F1" w:rsidRPr="007E54C2">
        <w:rPr>
          <w:lang w:val="en-GB"/>
        </w:rPr>
        <w:t>when the plaintiffs repossessed the photocopier machines and what income</w:t>
      </w:r>
      <w:r w:rsidR="003254E9" w:rsidRPr="007E54C2">
        <w:rPr>
          <w:lang w:val="en-GB"/>
        </w:rPr>
        <w:t xml:space="preserve"> </w:t>
      </w:r>
      <w:r w:rsidR="00C515F1" w:rsidRPr="007E54C2">
        <w:rPr>
          <w:lang w:val="en-GB"/>
        </w:rPr>
        <w:t>the</w:t>
      </w:r>
      <w:r w:rsidR="003254E9" w:rsidRPr="007E54C2">
        <w:rPr>
          <w:lang w:val="en-GB"/>
        </w:rPr>
        <w:t xml:space="preserve"> plaintiffs generated from the</w:t>
      </w:r>
      <w:r w:rsidR="00C515F1" w:rsidRPr="007E54C2">
        <w:rPr>
          <w:lang w:val="en-GB"/>
        </w:rPr>
        <w:t xml:space="preserve"> </w:t>
      </w:r>
      <w:r w:rsidR="003254E9" w:rsidRPr="007E54C2">
        <w:rPr>
          <w:lang w:val="en-GB"/>
        </w:rPr>
        <w:t xml:space="preserve">photocopier </w:t>
      </w:r>
      <w:r w:rsidR="00C515F1" w:rsidRPr="007E54C2">
        <w:rPr>
          <w:lang w:val="en-GB"/>
        </w:rPr>
        <w:t xml:space="preserve">machines </w:t>
      </w:r>
      <w:r w:rsidR="003254E9" w:rsidRPr="007E54C2">
        <w:rPr>
          <w:lang w:val="en-GB"/>
        </w:rPr>
        <w:t xml:space="preserve">after they were repossessed.  </w:t>
      </w:r>
    </w:p>
    <w:p w14:paraId="023996DC" w14:textId="6F3167B1" w:rsidR="008F197A" w:rsidRPr="006051A9" w:rsidRDefault="00EA5132" w:rsidP="00EA5132">
      <w:pPr>
        <w:snapToGrid w:val="0"/>
        <w:spacing w:before="120" w:after="240" w:line="480" w:lineRule="auto"/>
        <w:ind w:hanging="6"/>
        <w:jc w:val="both"/>
        <w:rPr>
          <w:rFonts w:cs="Arial"/>
          <w:lang w:val="en-GB"/>
        </w:rPr>
      </w:pPr>
      <w:r w:rsidRPr="006051A9">
        <w:rPr>
          <w:rFonts w:cs="Arial"/>
          <w:lang w:val="en-GB"/>
        </w:rPr>
        <w:t>[14]</w:t>
      </w:r>
      <w:r w:rsidRPr="006051A9">
        <w:rPr>
          <w:rFonts w:cs="Arial"/>
          <w:lang w:val="en-GB"/>
        </w:rPr>
        <w:tab/>
      </w:r>
      <w:r w:rsidR="00D940D4" w:rsidRPr="007E54C2">
        <w:rPr>
          <w:rFonts w:cs="Arial"/>
          <w:lang w:val="en-GB"/>
        </w:rPr>
        <w:t>In the affidavit filed in support of the application for summary judgment, the plaintiffs accept that their claim is one for specific performance and legal costs.  This accords with the plaintiffs’ pleaded case.  The plaintiffs contend that the liquidation of WTB does not have the effect of discharging the defendants from liability in terms of the guarantees</w:t>
      </w:r>
      <w:r w:rsidR="003254E9" w:rsidRPr="007E54C2">
        <w:rPr>
          <w:rFonts w:cs="Arial"/>
          <w:lang w:val="en-GB"/>
        </w:rPr>
        <w:t xml:space="preserve"> and further dispute that they repossessed the photocopier machines.</w:t>
      </w:r>
      <w:r w:rsidR="006051A9">
        <w:rPr>
          <w:rFonts w:cs="Arial"/>
          <w:lang w:val="en-GB"/>
        </w:rPr>
        <w:t xml:space="preserve">  </w:t>
      </w:r>
      <w:r w:rsidR="0014604E" w:rsidRPr="006051A9">
        <w:rPr>
          <w:rFonts w:cs="Arial"/>
          <w:lang w:val="en-GB"/>
        </w:rPr>
        <w:t>Mr Braun for the plaintiffs sought to persuade m</w:t>
      </w:r>
      <w:r w:rsidR="006D43D5" w:rsidRPr="006051A9">
        <w:rPr>
          <w:rFonts w:cs="Arial"/>
          <w:lang w:val="en-GB"/>
        </w:rPr>
        <w:t>e</w:t>
      </w:r>
      <w:r w:rsidR="0014604E" w:rsidRPr="006051A9">
        <w:rPr>
          <w:rFonts w:cs="Arial"/>
          <w:lang w:val="en-GB"/>
        </w:rPr>
        <w:t xml:space="preserve"> that none of the defences are good in law, </w:t>
      </w:r>
      <w:r w:rsidR="006D43D5" w:rsidRPr="006051A9">
        <w:rPr>
          <w:rFonts w:cs="Arial"/>
          <w:lang w:val="en-GB"/>
        </w:rPr>
        <w:t>however, the arguments that Mr Braun relied on would require me to determine the substantive merit</w:t>
      </w:r>
      <w:r w:rsidR="008C0F70" w:rsidRPr="006051A9">
        <w:rPr>
          <w:rFonts w:cs="Arial"/>
          <w:lang w:val="en-GB"/>
        </w:rPr>
        <w:t>s</w:t>
      </w:r>
      <w:r w:rsidR="006D43D5" w:rsidRPr="006051A9">
        <w:rPr>
          <w:rFonts w:cs="Arial"/>
          <w:lang w:val="en-GB"/>
        </w:rPr>
        <w:t xml:space="preserve"> of the</w:t>
      </w:r>
      <w:r w:rsidR="008C0F70" w:rsidRPr="006051A9">
        <w:rPr>
          <w:rFonts w:cs="Arial"/>
          <w:lang w:val="en-GB"/>
        </w:rPr>
        <w:t xml:space="preserve"> defences</w:t>
      </w:r>
      <w:r w:rsidR="006D43D5" w:rsidRPr="006051A9">
        <w:rPr>
          <w:rFonts w:cs="Arial"/>
          <w:lang w:val="en-GB"/>
        </w:rPr>
        <w:t xml:space="preserve">.  That is not what </w:t>
      </w:r>
      <w:r w:rsidR="008F197A" w:rsidRPr="006051A9">
        <w:rPr>
          <w:rFonts w:cs="Arial"/>
          <w:lang w:val="en-GB"/>
        </w:rPr>
        <w:t xml:space="preserve">this court is called upon to do in </w:t>
      </w:r>
      <w:r w:rsidR="008C0F70" w:rsidRPr="006051A9">
        <w:rPr>
          <w:rFonts w:cs="Arial"/>
          <w:lang w:val="en-GB"/>
        </w:rPr>
        <w:t xml:space="preserve">summary judgment </w:t>
      </w:r>
      <w:r w:rsidR="008F197A" w:rsidRPr="006051A9">
        <w:rPr>
          <w:rFonts w:cs="Arial"/>
          <w:lang w:val="en-GB"/>
        </w:rPr>
        <w:t xml:space="preserve">proceedings.  </w:t>
      </w:r>
    </w:p>
    <w:p w14:paraId="7B08170B" w14:textId="631D1EBF" w:rsidR="00DA21B0" w:rsidRPr="000316F2" w:rsidRDefault="00EA5132" w:rsidP="00EA5132">
      <w:pPr>
        <w:snapToGrid w:val="0"/>
        <w:spacing w:before="120" w:after="240" w:line="480" w:lineRule="auto"/>
        <w:ind w:hanging="6"/>
        <w:jc w:val="both"/>
        <w:rPr>
          <w:rFonts w:cs="Arial"/>
          <w:lang w:val="en-GB"/>
        </w:rPr>
      </w:pPr>
      <w:r w:rsidRPr="000316F2">
        <w:rPr>
          <w:rFonts w:cs="Arial"/>
          <w:lang w:val="en-GB"/>
        </w:rPr>
        <w:t>[15]</w:t>
      </w:r>
      <w:r w:rsidRPr="000316F2">
        <w:rPr>
          <w:rFonts w:cs="Arial"/>
          <w:lang w:val="en-GB"/>
        </w:rPr>
        <w:tab/>
      </w:r>
      <w:r w:rsidR="008F197A" w:rsidRPr="007E54C2">
        <w:rPr>
          <w:rFonts w:cs="Arial"/>
          <w:lang w:val="en-GB"/>
        </w:rPr>
        <w:t xml:space="preserve">Having regard to the defences, I am persuaded that the defences </w:t>
      </w:r>
      <w:r w:rsidR="00C82B3A" w:rsidRPr="007E54C2">
        <w:rPr>
          <w:rFonts w:cs="Arial"/>
          <w:lang w:val="en-GB"/>
        </w:rPr>
        <w:t xml:space="preserve">are genuinely raised </w:t>
      </w:r>
      <w:r w:rsidR="005D7983">
        <w:rPr>
          <w:rFonts w:cs="Arial"/>
          <w:lang w:val="en-GB"/>
        </w:rPr>
        <w:t>and</w:t>
      </w:r>
      <w:r w:rsidR="000545A6" w:rsidRPr="007E54C2">
        <w:rPr>
          <w:rFonts w:cs="Arial"/>
          <w:lang w:val="en-GB"/>
        </w:rPr>
        <w:t xml:space="preserve"> that the defences can</w:t>
      </w:r>
      <w:r w:rsidR="00165491">
        <w:rPr>
          <w:rFonts w:cs="Arial"/>
          <w:lang w:val="en-GB"/>
        </w:rPr>
        <w:t>not</w:t>
      </w:r>
      <w:r w:rsidR="000545A6" w:rsidRPr="007E54C2">
        <w:rPr>
          <w:rFonts w:cs="Arial"/>
          <w:lang w:val="en-GB"/>
        </w:rPr>
        <w:t xml:space="preserve"> fairly be said to constitute </w:t>
      </w:r>
      <w:r w:rsidR="00B26AD0" w:rsidRPr="007E54C2">
        <w:rPr>
          <w:lang w:val="en-GB"/>
        </w:rPr>
        <w:t>a sham put up for purposes of obtaining delay</w:t>
      </w:r>
      <w:r w:rsidR="000545A6" w:rsidRPr="007E54C2">
        <w:rPr>
          <w:lang w:val="en-GB"/>
        </w:rPr>
        <w:t xml:space="preserve">.  </w:t>
      </w:r>
      <w:r w:rsidR="00B26AD0" w:rsidRPr="007E54C2">
        <w:rPr>
          <w:rFonts w:cs="Arial"/>
          <w:lang w:val="en-GB"/>
        </w:rPr>
        <w:t xml:space="preserve"> </w:t>
      </w:r>
      <w:r w:rsidR="00DA21B0" w:rsidRPr="007E54C2">
        <w:rPr>
          <w:rFonts w:cs="Arial"/>
          <w:lang w:val="en-GB"/>
        </w:rPr>
        <w:t>F</w:t>
      </w:r>
      <w:r w:rsidR="00C82B3A" w:rsidRPr="007E54C2">
        <w:rPr>
          <w:rFonts w:cs="Arial"/>
          <w:lang w:val="en-GB"/>
        </w:rPr>
        <w:t>urther I am persuaded that the defences, if proved at the trial, would constitute defences to the plaintiffs’ claims</w:t>
      </w:r>
      <w:r w:rsidR="00C82B3A" w:rsidRPr="007E54C2">
        <w:rPr>
          <w:lang w:val="en-GB"/>
        </w:rPr>
        <w:t xml:space="preserve"> </w:t>
      </w:r>
      <w:r w:rsidR="00C946D6" w:rsidRPr="007E54C2">
        <w:rPr>
          <w:lang w:val="en-GB"/>
        </w:rPr>
        <w:t xml:space="preserve">insofar </w:t>
      </w:r>
      <w:r w:rsidR="00201B66">
        <w:rPr>
          <w:lang w:val="en-GB"/>
        </w:rPr>
        <w:t xml:space="preserve">as </w:t>
      </w:r>
      <w:r w:rsidR="00C946D6" w:rsidRPr="007E54C2">
        <w:rPr>
          <w:lang w:val="en-GB"/>
        </w:rPr>
        <w:t xml:space="preserve">the future rental </w:t>
      </w:r>
      <w:r w:rsidR="00C946D6" w:rsidRPr="007E54C2">
        <w:rPr>
          <w:lang w:val="en-GB"/>
        </w:rPr>
        <w:lastRenderedPageBreak/>
        <w:t>claims are concerned</w:t>
      </w:r>
      <w:r w:rsidR="003E7AFF" w:rsidRPr="007E54C2">
        <w:rPr>
          <w:rFonts w:cs="Arial"/>
          <w:lang w:val="en-GB"/>
        </w:rPr>
        <w:t>.</w:t>
      </w:r>
      <w:r w:rsidR="00DA21B0" w:rsidRPr="007E54C2">
        <w:rPr>
          <w:rFonts w:cs="Arial"/>
          <w:lang w:val="en-GB"/>
        </w:rPr>
        <w:t xml:space="preserve">  Consequently,</w:t>
      </w:r>
      <w:r w:rsidR="00B306D7">
        <w:rPr>
          <w:rFonts w:cs="Arial"/>
          <w:lang w:val="en-GB"/>
        </w:rPr>
        <w:t xml:space="preserve"> I am satisfied that there </w:t>
      </w:r>
      <w:r w:rsidR="00B306D7" w:rsidRPr="007E54C2">
        <w:rPr>
          <w:rFonts w:cs="Arial"/>
          <w:lang w:val="en-GB"/>
        </w:rPr>
        <w:t>is a reasonable possibility that an injustice may be done if summary judgment is granted</w:t>
      </w:r>
      <w:r w:rsidR="00B306D7">
        <w:rPr>
          <w:rFonts w:cs="Arial"/>
          <w:lang w:val="en-GB"/>
        </w:rPr>
        <w:t xml:space="preserve"> in respect of the </w:t>
      </w:r>
      <w:r w:rsidR="004A41DF" w:rsidRPr="007E54C2">
        <w:rPr>
          <w:rFonts w:cs="Arial"/>
          <w:lang w:val="en-GB"/>
        </w:rPr>
        <w:t>plaintiffs’ claims for future rentals</w:t>
      </w:r>
      <w:r w:rsidR="00357353">
        <w:rPr>
          <w:rFonts w:cs="Arial"/>
          <w:lang w:val="en-GB"/>
        </w:rPr>
        <w:t xml:space="preserve">.  </w:t>
      </w:r>
    </w:p>
    <w:p w14:paraId="78EC8D38" w14:textId="6AC56881" w:rsidR="00C17190" w:rsidRPr="007E54C2" w:rsidRDefault="00C17190" w:rsidP="00424CA1">
      <w:pPr>
        <w:pStyle w:val="Heading1"/>
        <w:rPr>
          <w:lang w:val="en-GB"/>
        </w:rPr>
      </w:pPr>
      <w:r w:rsidRPr="007E54C2">
        <w:rPr>
          <w:lang w:val="en-GB"/>
        </w:rPr>
        <w:t>Costs</w:t>
      </w:r>
    </w:p>
    <w:p w14:paraId="0216F4E1" w14:textId="49552945" w:rsidR="00926974" w:rsidRPr="007E54C2" w:rsidRDefault="00EA5132" w:rsidP="00EA5132">
      <w:pPr>
        <w:snapToGrid w:val="0"/>
        <w:spacing w:before="120" w:after="240" w:line="480" w:lineRule="auto"/>
        <w:ind w:hanging="6"/>
        <w:jc w:val="both"/>
        <w:rPr>
          <w:rFonts w:cs="Arial"/>
          <w:lang w:val="en-GB"/>
        </w:rPr>
      </w:pPr>
      <w:r w:rsidRPr="007E54C2">
        <w:rPr>
          <w:rFonts w:cs="Arial"/>
          <w:lang w:val="en-GB"/>
        </w:rPr>
        <w:t>[16]</w:t>
      </w:r>
      <w:r w:rsidRPr="007E54C2">
        <w:rPr>
          <w:rFonts w:cs="Arial"/>
          <w:lang w:val="en-GB"/>
        </w:rPr>
        <w:tab/>
      </w:r>
      <w:r w:rsidR="00102AA9" w:rsidRPr="007E54C2">
        <w:rPr>
          <w:rFonts w:cs="Arial"/>
          <w:lang w:val="en-GB"/>
        </w:rPr>
        <w:t xml:space="preserve">The agreements on which the plaintiffs’ claims are based provide for the defendants to bear the costs of legal proceedings on a scale as between attorney and client.  The defendants have set out no basis in the plea for why they should not be bound by the terms of the agreements </w:t>
      </w:r>
      <w:r w:rsidR="00804A43" w:rsidRPr="007E54C2">
        <w:rPr>
          <w:rFonts w:cs="Arial"/>
          <w:lang w:val="en-GB"/>
        </w:rPr>
        <w:t>in respect of those portions of the plaintiffs</w:t>
      </w:r>
      <w:r w:rsidR="00D239CE" w:rsidRPr="007E54C2">
        <w:rPr>
          <w:rFonts w:cs="Arial"/>
          <w:lang w:val="en-GB"/>
        </w:rPr>
        <w:t>’</w:t>
      </w:r>
      <w:r w:rsidR="00804A43" w:rsidRPr="007E54C2">
        <w:rPr>
          <w:rFonts w:cs="Arial"/>
          <w:lang w:val="en-GB"/>
        </w:rPr>
        <w:t xml:space="preserve"> claims in respect of which summary judgment is granted.</w:t>
      </w:r>
      <w:r w:rsidR="0041037F" w:rsidRPr="007E54C2">
        <w:rPr>
          <w:rFonts w:cs="Arial"/>
          <w:lang w:val="en-GB"/>
        </w:rPr>
        <w:t xml:space="preserve">  </w:t>
      </w:r>
      <w:r w:rsidR="00926974" w:rsidRPr="007E54C2">
        <w:rPr>
          <w:rFonts w:cs="Arial"/>
          <w:lang w:val="en-GB"/>
        </w:rPr>
        <w:t>As to the appropriate tariff to be applied, the plaintiffs’ claims fall within the monetary jurisdiction of the Magistrates’ Courts and consequently, I am persuaded that it would be appropriate for the plaintiffs to be limited to recovering costs on the Magistrates Court tariff.</w:t>
      </w:r>
    </w:p>
    <w:p w14:paraId="56DE3758" w14:textId="5FA49E2E" w:rsidR="004C3839" w:rsidRPr="007E54C2" w:rsidRDefault="00EA5132" w:rsidP="00EA5132">
      <w:pPr>
        <w:snapToGrid w:val="0"/>
        <w:spacing w:before="120" w:after="240" w:line="480" w:lineRule="auto"/>
        <w:ind w:hanging="6"/>
        <w:jc w:val="both"/>
        <w:rPr>
          <w:rFonts w:cs="Arial"/>
          <w:lang w:val="en-GB"/>
        </w:rPr>
      </w:pPr>
      <w:r w:rsidRPr="007E54C2">
        <w:rPr>
          <w:rFonts w:cs="Arial"/>
          <w:lang w:val="en-GB"/>
        </w:rPr>
        <w:t>[17]</w:t>
      </w:r>
      <w:r w:rsidRPr="007E54C2">
        <w:rPr>
          <w:rFonts w:cs="Arial"/>
          <w:lang w:val="en-GB"/>
        </w:rPr>
        <w:tab/>
      </w:r>
      <w:r w:rsidR="004C3839" w:rsidRPr="007E54C2">
        <w:rPr>
          <w:rFonts w:cs="Arial"/>
          <w:lang w:val="en-GB"/>
        </w:rPr>
        <w:t>In terms of the Rule</w:t>
      </w:r>
      <w:r w:rsidR="00FC024E" w:rsidRPr="007E54C2">
        <w:rPr>
          <w:rFonts w:cs="Arial"/>
          <w:lang w:val="en-GB"/>
        </w:rPr>
        <w:t> </w:t>
      </w:r>
      <w:r w:rsidR="004C3839" w:rsidRPr="007E54C2">
        <w:rPr>
          <w:rFonts w:cs="Arial"/>
          <w:lang w:val="en-GB"/>
        </w:rPr>
        <w:t xml:space="preserve">32(9), the court </w:t>
      </w:r>
      <w:r w:rsidR="009C274F">
        <w:rPr>
          <w:rFonts w:cs="Arial"/>
          <w:lang w:val="en-GB"/>
        </w:rPr>
        <w:t xml:space="preserve">in summary judgment proceedings </w:t>
      </w:r>
      <w:r w:rsidR="004C3839" w:rsidRPr="007E54C2">
        <w:rPr>
          <w:rFonts w:cs="Arial"/>
          <w:lang w:val="en-GB"/>
        </w:rPr>
        <w:t xml:space="preserve">may make such order as to costs as to it may seem just.  The usual order is costs in the cause.  Rule 32(9)(a) provides for a deviation from the normal order where the plaintiff, in the opinion of the court, knew that the defendant relied on a contention which would entitle such defendant to leave to defend. </w:t>
      </w:r>
      <w:r w:rsidR="00C17190" w:rsidRPr="007E54C2">
        <w:rPr>
          <w:rFonts w:cs="Arial"/>
          <w:lang w:val="en-GB"/>
        </w:rPr>
        <w:t xml:space="preserve"> </w:t>
      </w:r>
      <w:r w:rsidR="004C3839" w:rsidRPr="007E54C2">
        <w:rPr>
          <w:rFonts w:cs="Arial"/>
          <w:lang w:val="en-GB"/>
        </w:rPr>
        <w:t>Although the plaintiff</w:t>
      </w:r>
      <w:r w:rsidR="00C17190" w:rsidRPr="007E54C2">
        <w:rPr>
          <w:rFonts w:cs="Arial"/>
          <w:lang w:val="en-GB"/>
        </w:rPr>
        <w:t>s</w:t>
      </w:r>
      <w:r w:rsidR="004C3839" w:rsidRPr="007E54C2">
        <w:rPr>
          <w:rFonts w:cs="Arial"/>
          <w:lang w:val="en-GB"/>
        </w:rPr>
        <w:t xml:space="preserve"> </w:t>
      </w:r>
      <w:r w:rsidR="00CC23BD">
        <w:rPr>
          <w:rFonts w:cs="Arial"/>
          <w:lang w:val="en-GB"/>
        </w:rPr>
        <w:t xml:space="preserve">in this matter </w:t>
      </w:r>
      <w:r w:rsidR="004C3839" w:rsidRPr="007E54C2">
        <w:rPr>
          <w:rFonts w:cs="Arial"/>
          <w:lang w:val="en-GB"/>
        </w:rPr>
        <w:t xml:space="preserve">could have anticipated that </w:t>
      </w:r>
      <w:r w:rsidR="00C17190" w:rsidRPr="007E54C2">
        <w:rPr>
          <w:rFonts w:cs="Arial"/>
          <w:lang w:val="en-GB"/>
        </w:rPr>
        <w:t>they</w:t>
      </w:r>
      <w:r w:rsidR="004C3839" w:rsidRPr="007E54C2">
        <w:rPr>
          <w:rFonts w:cs="Arial"/>
          <w:lang w:val="en-GB"/>
        </w:rPr>
        <w:t xml:space="preserve"> would experience some difficulty in obtaining summary judgment, </w:t>
      </w:r>
      <w:r w:rsidR="00C17190" w:rsidRPr="007E54C2">
        <w:rPr>
          <w:rFonts w:cs="Arial"/>
          <w:lang w:val="en-GB"/>
        </w:rPr>
        <w:t xml:space="preserve">having regard to the pleaded defences, </w:t>
      </w:r>
      <w:r w:rsidR="004C3839" w:rsidRPr="007E54C2">
        <w:rPr>
          <w:rFonts w:cs="Arial"/>
          <w:lang w:val="en-GB"/>
        </w:rPr>
        <w:t xml:space="preserve">I </w:t>
      </w:r>
      <w:r w:rsidR="00A623BA" w:rsidRPr="007E54C2">
        <w:rPr>
          <w:rFonts w:cs="Arial"/>
          <w:lang w:val="en-GB"/>
        </w:rPr>
        <w:t>am not persuaded that</w:t>
      </w:r>
      <w:r w:rsidR="004C3839" w:rsidRPr="007E54C2">
        <w:rPr>
          <w:rFonts w:cs="Arial"/>
          <w:lang w:val="en-GB"/>
        </w:rPr>
        <w:t xml:space="preserve"> the plaintiff</w:t>
      </w:r>
      <w:r w:rsidR="00C17190" w:rsidRPr="007E54C2">
        <w:rPr>
          <w:rFonts w:cs="Arial"/>
          <w:lang w:val="en-GB"/>
        </w:rPr>
        <w:t>s</w:t>
      </w:r>
      <w:r w:rsidR="004C3839" w:rsidRPr="007E54C2">
        <w:rPr>
          <w:rFonts w:cs="Arial"/>
          <w:lang w:val="en-GB"/>
        </w:rPr>
        <w:t xml:space="preserve"> knew that </w:t>
      </w:r>
      <w:r w:rsidR="00C17190" w:rsidRPr="007E54C2">
        <w:rPr>
          <w:rFonts w:cs="Arial"/>
          <w:lang w:val="en-GB"/>
        </w:rPr>
        <w:t>the defendants</w:t>
      </w:r>
      <w:r w:rsidR="004C3839" w:rsidRPr="007E54C2">
        <w:rPr>
          <w:rFonts w:cs="Arial"/>
          <w:lang w:val="en-GB"/>
        </w:rPr>
        <w:t xml:space="preserve"> would be entitled to leave to defend. </w:t>
      </w:r>
      <w:r w:rsidR="00C17190" w:rsidRPr="007E54C2">
        <w:rPr>
          <w:rFonts w:cs="Arial"/>
          <w:lang w:val="en-GB"/>
        </w:rPr>
        <w:t xml:space="preserve"> </w:t>
      </w:r>
      <w:proofErr w:type="gramStart"/>
      <w:r w:rsidR="00A623BA" w:rsidRPr="007E54C2">
        <w:rPr>
          <w:rFonts w:cs="Arial"/>
          <w:lang w:val="en-GB"/>
        </w:rPr>
        <w:t>Consequently</w:t>
      </w:r>
      <w:proofErr w:type="gramEnd"/>
      <w:r w:rsidR="00A623BA" w:rsidRPr="007E54C2">
        <w:rPr>
          <w:rFonts w:cs="Arial"/>
          <w:lang w:val="en-GB"/>
        </w:rPr>
        <w:t xml:space="preserve"> I am not satisfied that </w:t>
      </w:r>
      <w:r w:rsidR="0090526E" w:rsidRPr="007E54C2">
        <w:rPr>
          <w:rFonts w:cs="Arial"/>
          <w:lang w:val="en-GB"/>
        </w:rPr>
        <w:t xml:space="preserve">on the facts of this matter </w:t>
      </w:r>
      <w:r w:rsidR="004C3839" w:rsidRPr="007E54C2">
        <w:rPr>
          <w:rFonts w:cs="Arial"/>
          <w:lang w:val="en-GB"/>
        </w:rPr>
        <w:t xml:space="preserve">a deviation </w:t>
      </w:r>
      <w:r w:rsidR="00354BAF">
        <w:rPr>
          <w:rFonts w:cs="Arial"/>
          <w:lang w:val="en-GB"/>
        </w:rPr>
        <w:t xml:space="preserve">is justified </w:t>
      </w:r>
      <w:r w:rsidR="004C3839" w:rsidRPr="007E54C2">
        <w:rPr>
          <w:rFonts w:cs="Arial"/>
          <w:lang w:val="en-GB"/>
        </w:rPr>
        <w:t>from the usual order</w:t>
      </w:r>
      <w:r w:rsidR="0090526E" w:rsidRPr="007E54C2">
        <w:rPr>
          <w:rFonts w:cs="Arial"/>
          <w:lang w:val="en-GB"/>
        </w:rPr>
        <w:t xml:space="preserve"> in respect of the portions of the </w:t>
      </w:r>
      <w:r w:rsidR="00354BAF">
        <w:rPr>
          <w:rFonts w:cs="Arial"/>
          <w:lang w:val="en-GB"/>
        </w:rPr>
        <w:t xml:space="preserve">plaintiff’s </w:t>
      </w:r>
      <w:r w:rsidR="0090526E" w:rsidRPr="007E54C2">
        <w:rPr>
          <w:rFonts w:cs="Arial"/>
          <w:lang w:val="en-GB"/>
        </w:rPr>
        <w:t>claims for which leave to defend is granted.</w:t>
      </w:r>
    </w:p>
    <w:p w14:paraId="6AA38770" w14:textId="77777777" w:rsidR="0041037F" w:rsidRPr="007E54C2" w:rsidRDefault="0041037F" w:rsidP="0059152D">
      <w:pPr>
        <w:snapToGrid w:val="0"/>
        <w:spacing w:before="120" w:after="240" w:line="480" w:lineRule="auto"/>
        <w:jc w:val="both"/>
        <w:rPr>
          <w:rFonts w:cs="Arial"/>
          <w:lang w:val="en-GB"/>
        </w:rPr>
      </w:pPr>
    </w:p>
    <w:p w14:paraId="414A766A" w14:textId="77777777" w:rsidR="006572B3" w:rsidRPr="007E54C2" w:rsidRDefault="006572B3" w:rsidP="006572B3">
      <w:pPr>
        <w:snapToGrid w:val="0"/>
        <w:spacing w:before="120" w:after="240" w:line="480" w:lineRule="auto"/>
        <w:jc w:val="both"/>
        <w:rPr>
          <w:rFonts w:cs="Arial"/>
          <w:b/>
          <w:bCs/>
          <w:lang w:val="en-GB"/>
        </w:rPr>
      </w:pPr>
      <w:r w:rsidRPr="007E54C2">
        <w:rPr>
          <w:rFonts w:cs="Arial"/>
          <w:b/>
          <w:bCs/>
          <w:lang w:val="en-GB"/>
        </w:rPr>
        <w:lastRenderedPageBreak/>
        <w:t>In the result I make the following order:</w:t>
      </w:r>
    </w:p>
    <w:p w14:paraId="6AFB97ED" w14:textId="0F62E2D4" w:rsidR="00327111" w:rsidRPr="00EA5132" w:rsidRDefault="00EA5132" w:rsidP="00EA5132">
      <w:pPr>
        <w:snapToGrid w:val="0"/>
        <w:spacing w:before="120" w:after="240" w:line="480" w:lineRule="auto"/>
        <w:ind w:left="567" w:hanging="567"/>
        <w:jc w:val="both"/>
        <w:rPr>
          <w:rFonts w:cs="Arial"/>
          <w:lang w:val="en-GB"/>
        </w:rPr>
      </w:pPr>
      <w:r w:rsidRPr="007E54C2">
        <w:rPr>
          <w:rFonts w:cs="Arial"/>
          <w:lang w:val="en-GB"/>
        </w:rPr>
        <w:t>1.</w:t>
      </w:r>
      <w:r w:rsidRPr="007E54C2">
        <w:rPr>
          <w:rFonts w:cs="Arial"/>
          <w:lang w:val="en-GB"/>
        </w:rPr>
        <w:tab/>
      </w:r>
      <w:r w:rsidR="00327111" w:rsidRPr="00EA5132">
        <w:rPr>
          <w:rFonts w:cs="Arial"/>
          <w:lang w:val="en-GB"/>
        </w:rPr>
        <w:t>Summary judgment is granted in favour of the plaintiffs</w:t>
      </w:r>
      <w:r w:rsidR="0041037F" w:rsidRPr="00EA5132">
        <w:rPr>
          <w:rFonts w:cs="Arial"/>
          <w:lang w:val="en-GB"/>
        </w:rPr>
        <w:t xml:space="preserve"> against</w:t>
      </w:r>
      <w:r w:rsidR="00327111" w:rsidRPr="00EA5132">
        <w:rPr>
          <w:rFonts w:cs="Arial"/>
          <w:lang w:val="en-GB"/>
        </w:rPr>
        <w:t>:</w:t>
      </w:r>
    </w:p>
    <w:p w14:paraId="00D883CD" w14:textId="74369683" w:rsidR="00327111" w:rsidRPr="007E54C2" w:rsidRDefault="00EA5132" w:rsidP="00EA5132">
      <w:pPr>
        <w:snapToGrid w:val="0"/>
        <w:spacing w:before="120" w:after="240" w:line="480" w:lineRule="auto"/>
        <w:ind w:left="1418" w:hanging="851"/>
        <w:jc w:val="both"/>
        <w:rPr>
          <w:rFonts w:cs="Arial"/>
          <w:lang w:val="en-GB"/>
        </w:rPr>
      </w:pPr>
      <w:r w:rsidRPr="007E54C2">
        <w:rPr>
          <w:rFonts w:cs="Arial"/>
          <w:lang w:val="en-GB"/>
        </w:rPr>
        <w:t>1.1.</w:t>
      </w:r>
      <w:r w:rsidRPr="007E54C2">
        <w:rPr>
          <w:rFonts w:cs="Arial"/>
          <w:lang w:val="en-GB"/>
        </w:rPr>
        <w:tab/>
      </w:r>
      <w:r w:rsidR="0041037F" w:rsidRPr="007E54C2">
        <w:rPr>
          <w:rFonts w:cs="Arial"/>
          <w:lang w:val="en-GB"/>
        </w:rPr>
        <w:t>t</w:t>
      </w:r>
      <w:r w:rsidR="00327111" w:rsidRPr="007E54C2">
        <w:rPr>
          <w:rFonts w:cs="Arial"/>
          <w:lang w:val="en-GB"/>
        </w:rPr>
        <w:t>he second defendant for:</w:t>
      </w:r>
    </w:p>
    <w:p w14:paraId="0D450B32" w14:textId="2E90631A" w:rsidR="00327111" w:rsidRPr="007E54C2" w:rsidRDefault="00EA5132" w:rsidP="00EA5132">
      <w:pPr>
        <w:snapToGrid w:val="0"/>
        <w:spacing w:before="120" w:after="240" w:line="480" w:lineRule="auto"/>
        <w:ind w:left="2835" w:hanging="1417"/>
        <w:jc w:val="both"/>
        <w:rPr>
          <w:rFonts w:cs="Arial"/>
          <w:lang w:val="en-GB"/>
        </w:rPr>
      </w:pPr>
      <w:r w:rsidRPr="007E54C2">
        <w:rPr>
          <w:rFonts w:cs="Arial"/>
          <w:lang w:val="en-GB"/>
        </w:rPr>
        <w:t>1.1.1.</w:t>
      </w:r>
      <w:r w:rsidRPr="007E54C2">
        <w:rPr>
          <w:rFonts w:cs="Arial"/>
          <w:lang w:val="en-GB"/>
        </w:rPr>
        <w:tab/>
      </w:r>
      <w:r w:rsidR="0041037F" w:rsidRPr="007E54C2">
        <w:rPr>
          <w:rFonts w:cs="Arial"/>
          <w:lang w:val="en-GB"/>
        </w:rPr>
        <w:t>p</w:t>
      </w:r>
      <w:r w:rsidR="00327111" w:rsidRPr="007E54C2">
        <w:rPr>
          <w:rFonts w:cs="Arial"/>
          <w:lang w:val="en-GB"/>
        </w:rPr>
        <w:t>ayment of the sum of R15 909.24;</w:t>
      </w:r>
    </w:p>
    <w:p w14:paraId="2CCB27BA" w14:textId="52A8BE11" w:rsidR="00327111" w:rsidRPr="007E54C2" w:rsidRDefault="00EA5132" w:rsidP="00EA5132">
      <w:pPr>
        <w:snapToGrid w:val="0"/>
        <w:spacing w:before="120" w:after="240" w:line="480" w:lineRule="auto"/>
        <w:ind w:left="2835" w:hanging="1417"/>
        <w:jc w:val="both"/>
        <w:rPr>
          <w:rFonts w:cs="Arial"/>
          <w:lang w:val="en-GB"/>
        </w:rPr>
      </w:pPr>
      <w:r w:rsidRPr="007E54C2">
        <w:rPr>
          <w:rFonts w:cs="Arial"/>
          <w:lang w:val="en-GB"/>
        </w:rPr>
        <w:t>1.1.2.</w:t>
      </w:r>
      <w:r w:rsidRPr="007E54C2">
        <w:rPr>
          <w:rFonts w:cs="Arial"/>
          <w:lang w:val="en-GB"/>
        </w:rPr>
        <w:tab/>
      </w:r>
      <w:r w:rsidR="0041037F" w:rsidRPr="007E54C2">
        <w:rPr>
          <w:rFonts w:cs="Arial"/>
          <w:lang w:val="en-GB"/>
        </w:rPr>
        <w:t>i</w:t>
      </w:r>
      <w:r w:rsidR="00327111" w:rsidRPr="007E54C2">
        <w:rPr>
          <w:rFonts w:cs="Arial"/>
          <w:lang w:val="en-GB"/>
        </w:rPr>
        <w:t>nterest on the aforesaid amount at the rate of 9% per annum from 19 August 2021 to date of payment; and</w:t>
      </w:r>
    </w:p>
    <w:p w14:paraId="08BFD025" w14:textId="518E142C" w:rsidR="00327111" w:rsidRPr="007E54C2" w:rsidRDefault="00EA5132" w:rsidP="00EA5132">
      <w:pPr>
        <w:snapToGrid w:val="0"/>
        <w:spacing w:before="120" w:after="240" w:line="480" w:lineRule="auto"/>
        <w:ind w:left="2835" w:hanging="1417"/>
        <w:jc w:val="both"/>
        <w:rPr>
          <w:rFonts w:cs="Arial"/>
          <w:lang w:val="en-GB"/>
        </w:rPr>
      </w:pPr>
      <w:r w:rsidRPr="007E54C2">
        <w:rPr>
          <w:rFonts w:cs="Arial"/>
          <w:lang w:val="en-GB"/>
        </w:rPr>
        <w:t>1.1.3.</w:t>
      </w:r>
      <w:r w:rsidRPr="007E54C2">
        <w:rPr>
          <w:rFonts w:cs="Arial"/>
          <w:lang w:val="en-GB"/>
        </w:rPr>
        <w:tab/>
      </w:r>
      <w:r w:rsidR="0041037F" w:rsidRPr="007E54C2">
        <w:rPr>
          <w:rFonts w:cs="Arial"/>
          <w:lang w:val="en-GB"/>
        </w:rPr>
        <w:t>c</w:t>
      </w:r>
      <w:r w:rsidR="00327111" w:rsidRPr="007E54C2">
        <w:rPr>
          <w:rFonts w:cs="Arial"/>
          <w:lang w:val="en-GB"/>
        </w:rPr>
        <w:t xml:space="preserve">osts of suit on an attorney client scale, </w:t>
      </w:r>
      <w:r w:rsidR="00E201C1" w:rsidRPr="007E54C2">
        <w:rPr>
          <w:rFonts w:cs="Arial"/>
          <w:lang w:val="en-GB"/>
        </w:rPr>
        <w:t>on the Magistrates Court tariff</w:t>
      </w:r>
      <w:r w:rsidR="00327111" w:rsidRPr="007E54C2">
        <w:rPr>
          <w:rFonts w:cs="Arial"/>
          <w:lang w:val="en-GB"/>
        </w:rPr>
        <w:t>.</w:t>
      </w:r>
    </w:p>
    <w:p w14:paraId="41A0D4CD" w14:textId="219E50CA" w:rsidR="00327111" w:rsidRPr="007E54C2" w:rsidRDefault="00EA5132" w:rsidP="00EA5132">
      <w:pPr>
        <w:snapToGrid w:val="0"/>
        <w:spacing w:before="120" w:after="240" w:line="480" w:lineRule="auto"/>
        <w:ind w:left="1418" w:hanging="1058"/>
        <w:jc w:val="both"/>
        <w:rPr>
          <w:rFonts w:cs="Arial"/>
          <w:lang w:val="en-GB"/>
        </w:rPr>
      </w:pPr>
      <w:r w:rsidRPr="007E54C2">
        <w:rPr>
          <w:rFonts w:cs="Arial"/>
          <w:lang w:val="en-GB"/>
        </w:rPr>
        <w:t>1.2.</w:t>
      </w:r>
      <w:r w:rsidRPr="007E54C2">
        <w:rPr>
          <w:rFonts w:cs="Arial"/>
          <w:lang w:val="en-GB"/>
        </w:rPr>
        <w:tab/>
      </w:r>
      <w:r w:rsidR="00F97E4F" w:rsidRPr="007E54C2">
        <w:rPr>
          <w:rFonts w:cs="Arial"/>
          <w:lang w:val="en-GB"/>
        </w:rPr>
        <w:t>t</w:t>
      </w:r>
      <w:r w:rsidR="00E201C1" w:rsidRPr="007E54C2">
        <w:rPr>
          <w:rFonts w:cs="Arial"/>
          <w:lang w:val="en-GB"/>
        </w:rPr>
        <w:t xml:space="preserve">he second </w:t>
      </w:r>
      <w:r w:rsidR="008D7106">
        <w:rPr>
          <w:rFonts w:cs="Arial"/>
          <w:lang w:val="en-GB"/>
        </w:rPr>
        <w:t xml:space="preserve">and third </w:t>
      </w:r>
      <w:r w:rsidR="00E201C1" w:rsidRPr="007E54C2">
        <w:rPr>
          <w:rFonts w:cs="Arial"/>
          <w:lang w:val="en-GB"/>
        </w:rPr>
        <w:t>defendant</w:t>
      </w:r>
      <w:r w:rsidR="008D7106">
        <w:rPr>
          <w:rFonts w:cs="Arial"/>
          <w:lang w:val="en-GB"/>
        </w:rPr>
        <w:t>s</w:t>
      </w:r>
      <w:r w:rsidR="00E201C1" w:rsidRPr="007E54C2">
        <w:rPr>
          <w:rFonts w:cs="Arial"/>
          <w:lang w:val="en-GB"/>
        </w:rPr>
        <w:t>, jointly and severally the one paying the other to be absolved</w:t>
      </w:r>
      <w:r w:rsidR="00327111" w:rsidRPr="007E54C2">
        <w:rPr>
          <w:rFonts w:cs="Arial"/>
          <w:lang w:val="en-GB"/>
        </w:rPr>
        <w:t xml:space="preserve"> for:</w:t>
      </w:r>
    </w:p>
    <w:p w14:paraId="521084E4" w14:textId="14307251" w:rsidR="00327111" w:rsidRPr="007E54C2" w:rsidRDefault="00EA5132" w:rsidP="00EA5132">
      <w:pPr>
        <w:snapToGrid w:val="0"/>
        <w:spacing w:before="120" w:after="240" w:line="480" w:lineRule="auto"/>
        <w:ind w:left="2835" w:hanging="1417"/>
        <w:jc w:val="both"/>
        <w:rPr>
          <w:rFonts w:cs="Arial"/>
          <w:lang w:val="en-GB"/>
        </w:rPr>
      </w:pPr>
      <w:r w:rsidRPr="007E54C2">
        <w:rPr>
          <w:rFonts w:cs="Arial"/>
          <w:lang w:val="en-GB"/>
        </w:rPr>
        <w:t>1.2.1.</w:t>
      </w:r>
      <w:r w:rsidRPr="007E54C2">
        <w:rPr>
          <w:rFonts w:cs="Arial"/>
          <w:lang w:val="en-GB"/>
        </w:rPr>
        <w:tab/>
      </w:r>
      <w:r w:rsidR="00F97E4F" w:rsidRPr="007E54C2">
        <w:rPr>
          <w:rFonts w:cs="Arial"/>
          <w:lang w:val="en-GB"/>
        </w:rPr>
        <w:t>p</w:t>
      </w:r>
      <w:r w:rsidR="00327111" w:rsidRPr="007E54C2">
        <w:rPr>
          <w:rFonts w:cs="Arial"/>
          <w:lang w:val="en-GB"/>
        </w:rPr>
        <w:t xml:space="preserve">ayment of the sum of </w:t>
      </w:r>
      <w:r w:rsidR="00E201C1" w:rsidRPr="007E54C2">
        <w:rPr>
          <w:rFonts w:cs="Arial"/>
          <w:lang w:val="en-GB"/>
        </w:rPr>
        <w:t>R31 941.26</w:t>
      </w:r>
      <w:r w:rsidR="00327111" w:rsidRPr="007E54C2">
        <w:rPr>
          <w:rFonts w:cs="Arial"/>
          <w:lang w:val="en-GB"/>
        </w:rPr>
        <w:t>;</w:t>
      </w:r>
    </w:p>
    <w:p w14:paraId="5EC6FAD7" w14:textId="7EA17C74" w:rsidR="00327111" w:rsidRPr="007E54C2" w:rsidRDefault="00EA5132" w:rsidP="00EA5132">
      <w:pPr>
        <w:snapToGrid w:val="0"/>
        <w:spacing w:before="120" w:after="240" w:line="480" w:lineRule="auto"/>
        <w:ind w:left="2835" w:hanging="1417"/>
        <w:jc w:val="both"/>
        <w:rPr>
          <w:rFonts w:cs="Arial"/>
          <w:lang w:val="en-GB"/>
        </w:rPr>
      </w:pPr>
      <w:r w:rsidRPr="007E54C2">
        <w:rPr>
          <w:rFonts w:cs="Arial"/>
          <w:lang w:val="en-GB"/>
        </w:rPr>
        <w:t>1.2.2.</w:t>
      </w:r>
      <w:r w:rsidRPr="007E54C2">
        <w:rPr>
          <w:rFonts w:cs="Arial"/>
          <w:lang w:val="en-GB"/>
        </w:rPr>
        <w:tab/>
      </w:r>
      <w:r w:rsidR="00F97E4F" w:rsidRPr="007E54C2">
        <w:rPr>
          <w:rFonts w:cs="Arial"/>
          <w:lang w:val="en-GB"/>
        </w:rPr>
        <w:t>i</w:t>
      </w:r>
      <w:r w:rsidR="00327111" w:rsidRPr="007E54C2">
        <w:rPr>
          <w:rFonts w:cs="Arial"/>
          <w:lang w:val="en-GB"/>
        </w:rPr>
        <w:t>nterest on the aforesaid amount at the rate of 9% per annum from 19 August 2021 to date of payment; and</w:t>
      </w:r>
    </w:p>
    <w:p w14:paraId="5B4832F6" w14:textId="050A7E72" w:rsidR="00327111" w:rsidRPr="007E54C2" w:rsidRDefault="00EA5132" w:rsidP="00EA5132">
      <w:pPr>
        <w:snapToGrid w:val="0"/>
        <w:spacing w:before="120" w:after="240" w:line="480" w:lineRule="auto"/>
        <w:ind w:left="2835" w:hanging="1417"/>
        <w:jc w:val="both"/>
        <w:rPr>
          <w:rFonts w:cs="Arial"/>
          <w:lang w:val="en-GB"/>
        </w:rPr>
      </w:pPr>
      <w:r w:rsidRPr="007E54C2">
        <w:rPr>
          <w:rFonts w:cs="Arial"/>
          <w:lang w:val="en-GB"/>
        </w:rPr>
        <w:t>1.2.3.</w:t>
      </w:r>
      <w:r w:rsidRPr="007E54C2">
        <w:rPr>
          <w:rFonts w:cs="Arial"/>
          <w:lang w:val="en-GB"/>
        </w:rPr>
        <w:tab/>
      </w:r>
      <w:r w:rsidR="00F97E4F" w:rsidRPr="007E54C2">
        <w:rPr>
          <w:rFonts w:cs="Arial"/>
          <w:lang w:val="en-GB"/>
        </w:rPr>
        <w:t>c</w:t>
      </w:r>
      <w:r w:rsidR="00E201C1" w:rsidRPr="007E54C2">
        <w:rPr>
          <w:rFonts w:cs="Arial"/>
          <w:lang w:val="en-GB"/>
        </w:rPr>
        <w:t>osts of suit on an attorney client scale, on the Magistrates Court tariff.</w:t>
      </w:r>
    </w:p>
    <w:p w14:paraId="3638868B" w14:textId="2EBF897E" w:rsidR="00786A82" w:rsidRPr="00EA5132" w:rsidRDefault="00EA5132" w:rsidP="00EA5132">
      <w:pPr>
        <w:snapToGrid w:val="0"/>
        <w:spacing w:before="120" w:after="240" w:line="480" w:lineRule="auto"/>
        <w:ind w:left="567" w:hanging="567"/>
        <w:jc w:val="both"/>
        <w:rPr>
          <w:rFonts w:cs="Arial"/>
          <w:lang w:val="en-GB"/>
        </w:rPr>
      </w:pPr>
      <w:r w:rsidRPr="007E54C2">
        <w:rPr>
          <w:rFonts w:cs="Arial"/>
          <w:lang w:val="en-GB"/>
        </w:rPr>
        <w:t>2.</w:t>
      </w:r>
      <w:r w:rsidRPr="007E54C2">
        <w:rPr>
          <w:rFonts w:cs="Arial"/>
          <w:lang w:val="en-GB"/>
        </w:rPr>
        <w:tab/>
      </w:r>
      <w:r w:rsidR="00731373" w:rsidRPr="00EA5132">
        <w:rPr>
          <w:rFonts w:cs="Arial"/>
          <w:lang w:val="en-GB"/>
        </w:rPr>
        <w:t xml:space="preserve">Save as </w:t>
      </w:r>
      <w:r w:rsidR="00224F59" w:rsidRPr="00EA5132">
        <w:rPr>
          <w:rFonts w:cs="Arial"/>
          <w:lang w:val="en-GB"/>
        </w:rPr>
        <w:t>provided for</w:t>
      </w:r>
      <w:r w:rsidR="00731373" w:rsidRPr="00EA5132">
        <w:rPr>
          <w:rFonts w:cs="Arial"/>
          <w:lang w:val="en-GB"/>
        </w:rPr>
        <w:t xml:space="preserve"> in paragraphs 1.1 and 1.2 above, summary judgment is refused</w:t>
      </w:r>
      <w:r w:rsidR="00FE0963" w:rsidRPr="00EA5132">
        <w:rPr>
          <w:rFonts w:cs="Arial"/>
          <w:lang w:val="en-GB"/>
        </w:rPr>
        <w:t xml:space="preserve"> and the </w:t>
      </w:r>
      <w:r w:rsidR="00E201C1" w:rsidRPr="00EA5132">
        <w:rPr>
          <w:rFonts w:cs="Arial"/>
          <w:lang w:val="en-GB"/>
        </w:rPr>
        <w:t>second and third defendants are granted leave to defend</w:t>
      </w:r>
      <w:r w:rsidR="00FE0963" w:rsidRPr="00EA5132">
        <w:rPr>
          <w:rFonts w:cs="Arial"/>
          <w:lang w:val="en-GB"/>
        </w:rPr>
        <w:t>.</w:t>
      </w:r>
    </w:p>
    <w:p w14:paraId="62C1A3EB" w14:textId="04F43C17" w:rsidR="00A1242F" w:rsidRPr="00EA5132" w:rsidRDefault="00EA5132" w:rsidP="00EA5132">
      <w:pPr>
        <w:snapToGrid w:val="0"/>
        <w:spacing w:before="120" w:after="240" w:line="480" w:lineRule="auto"/>
        <w:ind w:left="567" w:hanging="567"/>
        <w:jc w:val="both"/>
        <w:rPr>
          <w:rFonts w:cs="Arial"/>
          <w:lang w:val="en-GB"/>
        </w:rPr>
      </w:pPr>
      <w:r w:rsidRPr="007E54C2">
        <w:rPr>
          <w:rFonts w:cs="Arial"/>
          <w:lang w:val="en-GB"/>
        </w:rPr>
        <w:t>3.</w:t>
      </w:r>
      <w:r w:rsidRPr="007E54C2">
        <w:rPr>
          <w:rFonts w:cs="Arial"/>
          <w:lang w:val="en-GB"/>
        </w:rPr>
        <w:tab/>
      </w:r>
      <w:r w:rsidR="00A1242F" w:rsidRPr="00EA5132">
        <w:rPr>
          <w:rFonts w:cs="Arial"/>
          <w:lang w:val="en-GB"/>
        </w:rPr>
        <w:t>The costs of the summary judgment application shall stand over for determination at trial.</w:t>
      </w:r>
    </w:p>
    <w:p w14:paraId="03F0A083" w14:textId="068B87D2" w:rsidR="006572B3" w:rsidRPr="007E54C2" w:rsidRDefault="006572B3" w:rsidP="006D10FA">
      <w:pPr>
        <w:snapToGrid w:val="0"/>
        <w:spacing w:before="120" w:after="240" w:line="480" w:lineRule="auto"/>
        <w:jc w:val="both"/>
        <w:rPr>
          <w:rFonts w:cs="Arial"/>
          <w:lang w:val="en-GB"/>
        </w:rPr>
      </w:pPr>
    </w:p>
    <w:p w14:paraId="433C5D9C" w14:textId="77777777" w:rsidR="00505DE0" w:rsidRPr="007E54C2" w:rsidRDefault="00505DE0" w:rsidP="006572B3">
      <w:pPr>
        <w:rPr>
          <w:rFonts w:cs="Arial"/>
          <w:lang w:val="en-GB"/>
        </w:rPr>
      </w:pPr>
    </w:p>
    <w:p w14:paraId="6DBDB00A" w14:textId="77777777" w:rsidR="00527666" w:rsidRPr="007E54C2" w:rsidRDefault="00527666" w:rsidP="006572B3">
      <w:pPr>
        <w:rPr>
          <w:rFonts w:cs="Arial"/>
          <w:lang w:val="en-GB"/>
        </w:rPr>
      </w:pPr>
    </w:p>
    <w:p w14:paraId="1CE82705" w14:textId="77777777" w:rsidR="00516B42" w:rsidRPr="007E54C2" w:rsidRDefault="00516B42" w:rsidP="006572B3">
      <w:pPr>
        <w:rPr>
          <w:rFonts w:cs="Arial"/>
          <w:lang w:val="en-GB"/>
        </w:rPr>
      </w:pPr>
    </w:p>
    <w:p w14:paraId="0073FB66" w14:textId="44C16133" w:rsidR="00516B42" w:rsidRPr="007E54C2" w:rsidRDefault="00516B42" w:rsidP="00516B42">
      <w:pPr>
        <w:spacing w:line="360" w:lineRule="auto"/>
        <w:ind w:left="6480"/>
        <w:jc w:val="both"/>
        <w:rPr>
          <w:rFonts w:cs="Arial"/>
          <w:b/>
          <w:u w:val="single"/>
          <w:lang w:val="en-GB"/>
        </w:rPr>
      </w:pPr>
      <w:r w:rsidRPr="007E54C2">
        <w:rPr>
          <w:rFonts w:cs="Arial"/>
          <w:b/>
          <w:u w:val="single"/>
          <w:lang w:val="en-GB"/>
        </w:rPr>
        <w:t>_______________</w:t>
      </w:r>
    </w:p>
    <w:p w14:paraId="7C8019D8" w14:textId="77777777" w:rsidR="00516B42" w:rsidRPr="007E54C2" w:rsidRDefault="00516B42" w:rsidP="00516B42">
      <w:pPr>
        <w:spacing w:line="360" w:lineRule="auto"/>
        <w:ind w:left="6480"/>
        <w:jc w:val="both"/>
        <w:rPr>
          <w:rFonts w:cs="Arial"/>
          <w:b/>
          <w:lang w:val="en-GB"/>
        </w:rPr>
      </w:pPr>
      <w:r w:rsidRPr="007E54C2">
        <w:rPr>
          <w:rFonts w:cs="Arial"/>
          <w:b/>
          <w:lang w:val="en-GB"/>
        </w:rPr>
        <w:t xml:space="preserve">   ADHIKARI, AJ</w:t>
      </w:r>
    </w:p>
    <w:p w14:paraId="155C3F58" w14:textId="77777777" w:rsidR="00516B42" w:rsidRPr="007E54C2" w:rsidRDefault="00516B42" w:rsidP="006572B3">
      <w:pPr>
        <w:rPr>
          <w:rFonts w:cs="Arial"/>
          <w:lang w:val="en-GB"/>
        </w:rPr>
      </w:pPr>
    </w:p>
    <w:p w14:paraId="2EC2B715" w14:textId="77777777" w:rsidR="00516B42" w:rsidRPr="007E54C2" w:rsidRDefault="00516B42" w:rsidP="006572B3">
      <w:pPr>
        <w:rPr>
          <w:rFonts w:cs="Arial"/>
          <w:lang w:val="en-GB"/>
        </w:rPr>
      </w:pPr>
    </w:p>
    <w:p w14:paraId="18AEF326" w14:textId="77777777" w:rsidR="00527666" w:rsidRPr="007E54C2" w:rsidRDefault="00527666" w:rsidP="006572B3">
      <w:pPr>
        <w:rPr>
          <w:rFonts w:cs="Arial"/>
          <w:lang w:val="en-GB"/>
        </w:rPr>
      </w:pPr>
    </w:p>
    <w:p w14:paraId="55F46A44" w14:textId="77777777" w:rsidR="00527666" w:rsidRPr="007E54C2" w:rsidRDefault="00527666" w:rsidP="00527666">
      <w:pPr>
        <w:spacing w:line="360" w:lineRule="auto"/>
        <w:jc w:val="center"/>
        <w:rPr>
          <w:rFonts w:cs="Arial"/>
          <w:b/>
          <w:lang w:val="en-GB"/>
        </w:rPr>
      </w:pPr>
      <w:r w:rsidRPr="007E54C2">
        <w:rPr>
          <w:rFonts w:cs="Arial"/>
          <w:b/>
          <w:u w:val="single"/>
          <w:lang w:val="en-GB"/>
        </w:rPr>
        <w:t>APPEARANCES</w:t>
      </w:r>
      <w:r w:rsidRPr="007E54C2">
        <w:rPr>
          <w:rFonts w:cs="Arial"/>
          <w:b/>
          <w:lang w:val="en-GB"/>
        </w:rPr>
        <w:t>:</w:t>
      </w:r>
    </w:p>
    <w:p w14:paraId="1C9D928A" w14:textId="77777777" w:rsidR="00527666" w:rsidRPr="007E54C2" w:rsidRDefault="00527666" w:rsidP="00527666">
      <w:pPr>
        <w:spacing w:line="360" w:lineRule="auto"/>
        <w:rPr>
          <w:rFonts w:cs="Arial"/>
          <w:lang w:val="en-GB"/>
        </w:rPr>
      </w:pPr>
    </w:p>
    <w:p w14:paraId="640B77D2" w14:textId="142D3261" w:rsidR="00527666" w:rsidRPr="007E54C2" w:rsidRDefault="00527666" w:rsidP="00527666">
      <w:pPr>
        <w:tabs>
          <w:tab w:val="left" w:pos="4536"/>
        </w:tabs>
        <w:rPr>
          <w:rFonts w:cs="Arial"/>
          <w:b/>
          <w:lang w:val="en-GB"/>
        </w:rPr>
      </w:pPr>
      <w:r w:rsidRPr="007E54C2">
        <w:rPr>
          <w:rFonts w:cs="Arial"/>
          <w:b/>
          <w:lang w:val="en-GB"/>
        </w:rPr>
        <w:t>Applicant’s Counsel:</w:t>
      </w:r>
      <w:r w:rsidRPr="007E54C2">
        <w:rPr>
          <w:rFonts w:cs="Arial"/>
          <w:b/>
          <w:lang w:val="en-GB"/>
        </w:rPr>
        <w:tab/>
        <w:t xml:space="preserve">Adv </w:t>
      </w:r>
      <w:r w:rsidR="003873DF" w:rsidRPr="007E54C2">
        <w:rPr>
          <w:rFonts w:cs="Arial"/>
          <w:b/>
          <w:lang w:val="en-GB"/>
        </w:rPr>
        <w:t>B Braun</w:t>
      </w:r>
    </w:p>
    <w:p w14:paraId="27009C44" w14:textId="77777777" w:rsidR="00527666" w:rsidRPr="007E54C2" w:rsidRDefault="00527666" w:rsidP="00527666">
      <w:pPr>
        <w:tabs>
          <w:tab w:val="left" w:pos="5490"/>
        </w:tabs>
        <w:rPr>
          <w:rFonts w:cs="Arial"/>
          <w:b/>
          <w:lang w:val="en-GB"/>
        </w:rPr>
      </w:pPr>
    </w:p>
    <w:p w14:paraId="5D77A289" w14:textId="3C3642BB" w:rsidR="00527666" w:rsidRPr="007E54C2" w:rsidRDefault="00D66059" w:rsidP="00527666">
      <w:pPr>
        <w:tabs>
          <w:tab w:val="left" w:pos="4536"/>
        </w:tabs>
        <w:ind w:left="5387" w:hanging="5387"/>
        <w:rPr>
          <w:rFonts w:cs="Arial"/>
          <w:bCs/>
          <w:lang w:val="en-GB"/>
        </w:rPr>
      </w:pPr>
      <w:r w:rsidRPr="007E54C2">
        <w:rPr>
          <w:rFonts w:cs="Arial"/>
          <w:b/>
          <w:lang w:val="en-GB"/>
        </w:rPr>
        <w:t>Instructed by</w:t>
      </w:r>
      <w:r w:rsidR="00527666" w:rsidRPr="007E54C2">
        <w:rPr>
          <w:rFonts w:cs="Arial"/>
          <w:b/>
          <w:lang w:val="en-GB"/>
        </w:rPr>
        <w:t>:</w:t>
      </w:r>
      <w:r w:rsidR="00527666" w:rsidRPr="007E54C2">
        <w:rPr>
          <w:rFonts w:cs="Arial"/>
          <w:b/>
          <w:lang w:val="en-GB"/>
        </w:rPr>
        <w:tab/>
      </w:r>
      <w:r w:rsidR="00DE02DF" w:rsidRPr="007E54C2">
        <w:rPr>
          <w:rFonts w:cs="Arial"/>
          <w:b/>
          <w:lang w:val="en-GB"/>
        </w:rPr>
        <w:t>Smit</w:t>
      </w:r>
      <w:r w:rsidR="00547DD0" w:rsidRPr="007E54C2">
        <w:rPr>
          <w:rFonts w:cs="Arial"/>
          <w:b/>
          <w:lang w:val="en-GB"/>
        </w:rPr>
        <w:t xml:space="preserve"> Jones &amp; Pratt Inc</w:t>
      </w:r>
    </w:p>
    <w:p w14:paraId="51A346B2" w14:textId="77777777" w:rsidR="00527666" w:rsidRPr="007E54C2" w:rsidRDefault="00527666" w:rsidP="00527666">
      <w:pPr>
        <w:tabs>
          <w:tab w:val="left" w:pos="5490"/>
        </w:tabs>
        <w:jc w:val="both"/>
        <w:rPr>
          <w:rFonts w:cs="Arial"/>
          <w:b/>
          <w:lang w:val="en-GB"/>
        </w:rPr>
      </w:pPr>
    </w:p>
    <w:p w14:paraId="7FDC0E33" w14:textId="77777777" w:rsidR="00527666" w:rsidRPr="007E54C2" w:rsidRDefault="00527666" w:rsidP="00527666">
      <w:pPr>
        <w:tabs>
          <w:tab w:val="left" w:pos="5490"/>
        </w:tabs>
        <w:jc w:val="both"/>
        <w:rPr>
          <w:rFonts w:cs="Arial"/>
          <w:b/>
          <w:lang w:val="en-GB"/>
        </w:rPr>
      </w:pPr>
    </w:p>
    <w:p w14:paraId="3819BE2D" w14:textId="6F20D097" w:rsidR="00527666" w:rsidRPr="007E54C2" w:rsidRDefault="00527666" w:rsidP="00527666">
      <w:pPr>
        <w:tabs>
          <w:tab w:val="left" w:pos="4536"/>
        </w:tabs>
        <w:jc w:val="both"/>
        <w:rPr>
          <w:rFonts w:cs="Arial"/>
          <w:b/>
          <w:lang w:val="en-GB"/>
        </w:rPr>
      </w:pPr>
      <w:r w:rsidRPr="007E54C2">
        <w:rPr>
          <w:rFonts w:cs="Arial"/>
          <w:b/>
          <w:lang w:val="en-GB"/>
        </w:rPr>
        <w:t>Respondents’ Counsel:</w:t>
      </w:r>
      <w:r w:rsidRPr="007E54C2">
        <w:rPr>
          <w:rFonts w:cs="Arial"/>
          <w:b/>
          <w:lang w:val="en-GB"/>
        </w:rPr>
        <w:tab/>
      </w:r>
      <w:r w:rsidR="0075380C" w:rsidRPr="007E54C2">
        <w:rPr>
          <w:rFonts w:cs="Arial"/>
          <w:b/>
          <w:lang w:val="en-GB"/>
        </w:rPr>
        <w:t>Adv </w:t>
      </w:r>
      <w:r w:rsidR="003873DF" w:rsidRPr="007E54C2">
        <w:rPr>
          <w:rFonts w:cs="Arial"/>
          <w:b/>
          <w:lang w:val="en-GB"/>
        </w:rPr>
        <w:t>M</w:t>
      </w:r>
      <w:r w:rsidR="00162B3D" w:rsidRPr="007E54C2">
        <w:rPr>
          <w:rFonts w:cs="Arial"/>
          <w:b/>
          <w:lang w:val="en-GB"/>
        </w:rPr>
        <w:t>A</w:t>
      </w:r>
      <w:r w:rsidR="003873DF" w:rsidRPr="007E54C2">
        <w:rPr>
          <w:rFonts w:cs="Arial"/>
          <w:b/>
          <w:lang w:val="en-GB"/>
        </w:rPr>
        <w:t> McChesney</w:t>
      </w:r>
    </w:p>
    <w:p w14:paraId="4EA1A3BB" w14:textId="77777777" w:rsidR="00527666" w:rsidRPr="007E54C2" w:rsidRDefault="00527666" w:rsidP="00527666">
      <w:pPr>
        <w:tabs>
          <w:tab w:val="left" w:pos="5490"/>
        </w:tabs>
        <w:jc w:val="both"/>
        <w:rPr>
          <w:rFonts w:cs="Arial"/>
          <w:b/>
          <w:lang w:val="en-GB"/>
        </w:rPr>
      </w:pPr>
    </w:p>
    <w:p w14:paraId="040F31C1" w14:textId="381B80A7" w:rsidR="00527666" w:rsidRPr="007E54C2" w:rsidRDefault="00D66059" w:rsidP="00B243D8">
      <w:pPr>
        <w:tabs>
          <w:tab w:val="left" w:pos="4536"/>
        </w:tabs>
        <w:snapToGrid w:val="0"/>
        <w:jc w:val="both"/>
        <w:rPr>
          <w:rFonts w:cs="Arial"/>
          <w:lang w:val="en-GB"/>
        </w:rPr>
      </w:pPr>
      <w:r w:rsidRPr="007E54C2">
        <w:rPr>
          <w:rFonts w:cs="Arial"/>
          <w:b/>
          <w:lang w:val="en-GB"/>
        </w:rPr>
        <w:t>Instructed by</w:t>
      </w:r>
      <w:r w:rsidR="00527666" w:rsidRPr="007E54C2">
        <w:rPr>
          <w:rFonts w:cs="Arial"/>
          <w:b/>
          <w:lang w:val="en-GB"/>
        </w:rPr>
        <w:t>:</w:t>
      </w:r>
      <w:r w:rsidR="00527666" w:rsidRPr="007E54C2">
        <w:rPr>
          <w:rFonts w:cs="Arial"/>
          <w:b/>
          <w:lang w:val="en-GB"/>
        </w:rPr>
        <w:tab/>
      </w:r>
      <w:r w:rsidR="00162B3D" w:rsidRPr="007E54C2">
        <w:rPr>
          <w:rFonts w:cs="Arial"/>
          <w:b/>
          <w:lang w:val="en-GB"/>
        </w:rPr>
        <w:t>Potgieter &amp; Associates</w:t>
      </w:r>
    </w:p>
    <w:sectPr w:rsidR="00527666" w:rsidRPr="007E54C2" w:rsidSect="00DA770B">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225F" w14:textId="77777777" w:rsidR="008F57AC" w:rsidRDefault="008F57AC" w:rsidP="00A16719">
      <w:r>
        <w:separator/>
      </w:r>
    </w:p>
  </w:endnote>
  <w:endnote w:type="continuationSeparator" w:id="0">
    <w:p w14:paraId="2EB24C31" w14:textId="77777777" w:rsidR="008F57AC" w:rsidRDefault="008F57AC" w:rsidP="00A1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62DC" w14:textId="77777777" w:rsidR="008F57AC" w:rsidRDefault="008F57AC" w:rsidP="00A16719">
      <w:r>
        <w:separator/>
      </w:r>
    </w:p>
  </w:footnote>
  <w:footnote w:type="continuationSeparator" w:id="0">
    <w:p w14:paraId="741F5B7C" w14:textId="77777777" w:rsidR="008F57AC" w:rsidRDefault="008F57AC" w:rsidP="00A16719">
      <w:r>
        <w:continuationSeparator/>
      </w:r>
    </w:p>
  </w:footnote>
  <w:footnote w:id="1">
    <w:p w14:paraId="2CA07764" w14:textId="22EA3453" w:rsidR="00E72694" w:rsidRPr="00E72694" w:rsidRDefault="00E72694" w:rsidP="00732D43">
      <w:pPr>
        <w:pStyle w:val="FootnoteText"/>
        <w:ind w:left="284" w:hanging="284"/>
        <w:rPr>
          <w:lang w:val="en-US"/>
        </w:rPr>
      </w:pPr>
      <w:r>
        <w:rPr>
          <w:rStyle w:val="FootnoteReference"/>
        </w:rPr>
        <w:footnoteRef/>
      </w:r>
      <w:r>
        <w:t xml:space="preserve"> </w:t>
      </w:r>
      <w:r>
        <w:rPr>
          <w:lang w:val="en-US"/>
        </w:rPr>
        <w:tab/>
        <w:t>For ease of reference this claim is referred to in the remainder of the judgment as ‘Claim A’.</w:t>
      </w:r>
    </w:p>
  </w:footnote>
  <w:footnote w:id="2">
    <w:p w14:paraId="46695C0E" w14:textId="655CAFB4" w:rsidR="00E72694" w:rsidRPr="00E72694" w:rsidRDefault="00E72694" w:rsidP="00732D43">
      <w:pPr>
        <w:pStyle w:val="FootnoteText"/>
        <w:ind w:left="284" w:hanging="284"/>
        <w:rPr>
          <w:lang w:val="en-US"/>
        </w:rPr>
      </w:pPr>
      <w:r>
        <w:rPr>
          <w:rStyle w:val="FootnoteReference"/>
        </w:rPr>
        <w:footnoteRef/>
      </w:r>
      <w:r>
        <w:t xml:space="preserve"> </w:t>
      </w:r>
      <w:r>
        <w:rPr>
          <w:lang w:val="en-US"/>
        </w:rPr>
        <w:tab/>
        <w:t>For ease of reference this claim is referred to in the remainder of the judgment as ‘Claim B’.</w:t>
      </w:r>
    </w:p>
  </w:footnote>
  <w:footnote w:id="3">
    <w:p w14:paraId="38F46566" w14:textId="52F48E67" w:rsidR="00F2665F" w:rsidRPr="00F2665F" w:rsidRDefault="00F2665F" w:rsidP="00732D43">
      <w:pPr>
        <w:pStyle w:val="FootnoteText"/>
        <w:ind w:left="284" w:hanging="284"/>
        <w:rPr>
          <w:lang w:val="en-US"/>
        </w:rPr>
      </w:pPr>
      <w:r>
        <w:rPr>
          <w:rStyle w:val="FootnoteReference"/>
        </w:rPr>
        <w:footnoteRef/>
      </w:r>
      <w:r>
        <w:t xml:space="preserve"> </w:t>
      </w:r>
      <w:r>
        <w:rPr>
          <w:lang w:val="en-US"/>
        </w:rPr>
        <w:tab/>
      </w:r>
      <w:r w:rsidRPr="00F2665F">
        <w:rPr>
          <w:i/>
          <w:iCs/>
          <w:lang w:val="en-US"/>
        </w:rPr>
        <w:t>J</w:t>
      </w:r>
      <w:r>
        <w:rPr>
          <w:rFonts w:cs="Arial"/>
          <w:i/>
          <w:iCs/>
          <w:lang w:val="en-US"/>
        </w:rPr>
        <w:t>oob Joob Investments (Pty) Ltd v Stocks Mavundla Zek Joint Venture</w:t>
      </w:r>
      <w:r>
        <w:rPr>
          <w:rFonts w:cs="Arial"/>
          <w:lang w:val="en-US"/>
        </w:rPr>
        <w:t xml:space="preserve"> </w:t>
      </w:r>
      <w:r w:rsidRPr="00F2665F">
        <w:rPr>
          <w:rFonts w:cs="Arial"/>
          <w:lang w:val="en-US"/>
        </w:rPr>
        <w:t>2009 (5) SA 1</w:t>
      </w:r>
      <w:r>
        <w:rPr>
          <w:rFonts w:cs="Arial"/>
          <w:lang w:val="en-US"/>
        </w:rPr>
        <w:t xml:space="preserve"> (SCA) at para [31].</w:t>
      </w:r>
    </w:p>
  </w:footnote>
  <w:footnote w:id="4">
    <w:p w14:paraId="77D6CCC3" w14:textId="01BB75A9" w:rsidR="00BF291D" w:rsidRPr="00BF291D" w:rsidRDefault="00BF291D" w:rsidP="00732D43">
      <w:pPr>
        <w:pStyle w:val="FootnoteText"/>
        <w:ind w:left="284" w:hanging="284"/>
        <w:rPr>
          <w:lang w:val="en-US"/>
        </w:rPr>
      </w:pPr>
      <w:r>
        <w:rPr>
          <w:rStyle w:val="FootnoteReference"/>
        </w:rPr>
        <w:footnoteRef/>
      </w:r>
      <w:r>
        <w:t xml:space="preserve"> </w:t>
      </w:r>
      <w:r>
        <w:rPr>
          <w:lang w:val="en-US"/>
        </w:rPr>
        <w:tab/>
      </w:r>
      <w:r>
        <w:rPr>
          <w:i/>
          <w:iCs/>
        </w:rPr>
        <w:t>Bentley Maudesley &amp; Co. Ltd</w:t>
      </w:r>
      <w:r>
        <w:t xml:space="preserve"> v "</w:t>
      </w:r>
      <w:r>
        <w:rPr>
          <w:i/>
          <w:iCs/>
        </w:rPr>
        <w:t>Carburol ” (Pty) Ltd and Another</w:t>
      </w:r>
      <w:r>
        <w:t xml:space="preserve"> </w:t>
      </w:r>
      <w:r w:rsidRPr="00BF291D">
        <w:t>1949 (4) SA 873</w:t>
      </w:r>
      <w:r>
        <w:t xml:space="preserve"> (C)</w:t>
      </w:r>
      <w:r w:rsidR="00780770">
        <w:t xml:space="preserve"> at 874</w:t>
      </w:r>
      <w:r w:rsidR="007D35DC">
        <w:t>.</w:t>
      </w:r>
    </w:p>
  </w:footnote>
  <w:footnote w:id="5">
    <w:p w14:paraId="4A951CF4" w14:textId="177E353E" w:rsidR="00240D0C" w:rsidRPr="00240D0C" w:rsidRDefault="00240D0C" w:rsidP="00732D43">
      <w:pPr>
        <w:pStyle w:val="FootnoteText"/>
        <w:ind w:left="284" w:hanging="284"/>
        <w:rPr>
          <w:lang w:val="en-US"/>
        </w:rPr>
      </w:pPr>
      <w:r>
        <w:rPr>
          <w:rStyle w:val="FootnoteReference"/>
        </w:rPr>
        <w:footnoteRef/>
      </w:r>
      <w:r>
        <w:t xml:space="preserve"> </w:t>
      </w:r>
      <w:r>
        <w:rPr>
          <w:lang w:val="en-US"/>
        </w:rPr>
        <w:tab/>
      </w:r>
      <w:r>
        <w:rPr>
          <w:rFonts w:cs="Arial"/>
          <w:i/>
          <w:iCs/>
          <w:lang w:val="en-US"/>
        </w:rPr>
        <w:t>Maharaj v Barclays National Bank Ltd</w:t>
      </w:r>
      <w:r>
        <w:rPr>
          <w:rFonts w:cs="Arial"/>
          <w:lang w:val="en-US"/>
        </w:rPr>
        <w:t xml:space="preserve"> </w:t>
      </w:r>
      <w:r w:rsidRPr="00240D0C">
        <w:rPr>
          <w:rFonts w:cs="Arial"/>
          <w:lang w:val="en-US"/>
        </w:rPr>
        <w:t>1976 (1) SA 418</w:t>
      </w:r>
      <w:r>
        <w:rPr>
          <w:rFonts w:cs="Arial"/>
          <w:lang w:val="en-US"/>
        </w:rPr>
        <w:t xml:space="preserve"> (A) at 426A-C.</w:t>
      </w:r>
    </w:p>
  </w:footnote>
  <w:footnote w:id="6">
    <w:p w14:paraId="1C675AF6" w14:textId="7A7704C7" w:rsidR="00240D0C" w:rsidRPr="00240D0C" w:rsidRDefault="00240D0C" w:rsidP="00732D43">
      <w:pPr>
        <w:pStyle w:val="FootnoteText"/>
        <w:ind w:left="284" w:hanging="284"/>
        <w:rPr>
          <w:lang w:val="en-US"/>
        </w:rPr>
      </w:pPr>
      <w:r>
        <w:rPr>
          <w:rStyle w:val="FootnoteReference"/>
        </w:rPr>
        <w:footnoteRef/>
      </w:r>
      <w:r>
        <w:t xml:space="preserve"> </w:t>
      </w:r>
      <w:r>
        <w:rPr>
          <w:lang w:val="en-US"/>
        </w:rPr>
        <w:tab/>
      </w:r>
      <w:r w:rsidRPr="00240D0C">
        <w:rPr>
          <w:i/>
          <w:iCs/>
          <w:lang w:val="en-US"/>
        </w:rPr>
        <w:t>Id.</w:t>
      </w:r>
    </w:p>
  </w:footnote>
  <w:footnote w:id="7">
    <w:p w14:paraId="23D8AB79" w14:textId="77777777" w:rsidR="00D57C32" w:rsidRPr="00266777" w:rsidRDefault="00D57C32" w:rsidP="00732D43">
      <w:pPr>
        <w:pStyle w:val="FootnoteText"/>
        <w:ind w:left="284" w:hanging="284"/>
        <w:rPr>
          <w:lang w:val="en-US"/>
        </w:rPr>
      </w:pPr>
      <w:r>
        <w:rPr>
          <w:rStyle w:val="FootnoteReference"/>
        </w:rPr>
        <w:footnoteRef/>
      </w:r>
      <w:r>
        <w:t xml:space="preserve"> </w:t>
      </w:r>
      <w:r>
        <w:rPr>
          <w:lang w:val="en-US"/>
        </w:rPr>
        <w:tab/>
      </w:r>
      <w:r>
        <w:rPr>
          <w:rFonts w:cs="Arial"/>
          <w:i/>
          <w:iCs/>
          <w:lang w:val="en-US"/>
        </w:rPr>
        <w:t>Tumileng Trading CC v National Security and Fire (Pty) Ltd; E and D Security Systems CC v National Security and Fire (Pty) Ltd</w:t>
      </w:r>
      <w:r>
        <w:rPr>
          <w:rFonts w:cs="Arial"/>
          <w:lang w:val="en-US"/>
        </w:rPr>
        <w:t xml:space="preserve"> </w:t>
      </w:r>
      <w:r w:rsidRPr="00266777">
        <w:rPr>
          <w:rFonts w:cs="Arial"/>
          <w:lang w:val="en-US"/>
        </w:rPr>
        <w:t>2020 (6) SA 624</w:t>
      </w:r>
      <w:r>
        <w:rPr>
          <w:rFonts w:cs="Arial"/>
          <w:lang w:val="en-US"/>
        </w:rPr>
        <w:t xml:space="preserve"> (WCC) at para [22].</w:t>
      </w:r>
    </w:p>
  </w:footnote>
  <w:footnote w:id="8">
    <w:p w14:paraId="0A12BF0D" w14:textId="3B03AD90" w:rsidR="00732D43" w:rsidRPr="00732D43" w:rsidRDefault="00732D43" w:rsidP="00732D43">
      <w:pPr>
        <w:pStyle w:val="FootnoteText"/>
        <w:ind w:left="284" w:hanging="284"/>
        <w:rPr>
          <w:lang w:val="en-US"/>
        </w:rPr>
      </w:pPr>
      <w:r>
        <w:rPr>
          <w:rStyle w:val="FootnoteReference"/>
        </w:rPr>
        <w:footnoteRef/>
      </w:r>
      <w:r>
        <w:t xml:space="preserve"> </w:t>
      </w:r>
      <w:r>
        <w:rPr>
          <w:lang w:val="en-US"/>
        </w:rPr>
        <w:tab/>
      </w:r>
      <w:r w:rsidRPr="00732D43">
        <w:rPr>
          <w:i/>
          <w:iCs/>
          <w:lang w:val="en-US"/>
        </w:rPr>
        <w:t>Id.</w:t>
      </w:r>
    </w:p>
  </w:footnote>
  <w:footnote w:id="9">
    <w:p w14:paraId="62D3F6EF" w14:textId="604AB914" w:rsidR="00177B83" w:rsidRPr="00177B83" w:rsidRDefault="00177B83" w:rsidP="009A7133">
      <w:pPr>
        <w:pStyle w:val="FootnoteText"/>
        <w:ind w:left="284" w:hanging="284"/>
        <w:rPr>
          <w:lang w:val="en-US"/>
        </w:rPr>
      </w:pPr>
      <w:r>
        <w:rPr>
          <w:rStyle w:val="FootnoteReference"/>
        </w:rPr>
        <w:footnoteRef/>
      </w:r>
      <w:r>
        <w:t xml:space="preserve"> </w:t>
      </w:r>
      <w:r>
        <w:rPr>
          <w:lang w:val="en-US"/>
        </w:rPr>
        <w:tab/>
      </w:r>
      <w:r w:rsidR="009A7133" w:rsidRPr="009A7133">
        <w:rPr>
          <w:i/>
          <w:iCs/>
          <w:lang w:val="en-US"/>
        </w:rPr>
        <w:t>Jili v FirstRand Bank Ltd t/a Wesbank</w:t>
      </w:r>
      <w:r w:rsidR="009A7133">
        <w:rPr>
          <w:lang w:val="en-US"/>
        </w:rPr>
        <w:t xml:space="preserve"> </w:t>
      </w:r>
      <w:r w:rsidR="009A7133" w:rsidRPr="009A7133">
        <w:rPr>
          <w:lang w:val="en-US"/>
        </w:rPr>
        <w:t xml:space="preserve">2015 (3) SA 586 (SCA) at para </w:t>
      </w:r>
      <w:r w:rsidR="009A7133">
        <w:rPr>
          <w:lang w:val="en-US"/>
        </w:rPr>
        <w:t>[</w:t>
      </w:r>
      <w:r w:rsidR="009A7133" w:rsidRPr="009A7133">
        <w:rPr>
          <w:lang w:val="en-US"/>
        </w:rPr>
        <w:t>13</w:t>
      </w:r>
      <w:r w:rsidR="009A7133">
        <w:rPr>
          <w:lang w:val="en-US"/>
        </w:rPr>
        <w:t>]</w:t>
      </w:r>
      <w:r w:rsidR="009A7133" w:rsidRPr="009A7133">
        <w:rPr>
          <w:lang w:val="en-US"/>
        </w:rPr>
        <w:t xml:space="preserve"> – </w:t>
      </w:r>
      <w:r w:rsidR="009A7133">
        <w:rPr>
          <w:lang w:val="en-US"/>
        </w:rPr>
        <w:t>[</w:t>
      </w:r>
      <w:r w:rsidR="009A7133" w:rsidRPr="009A7133">
        <w:rPr>
          <w:lang w:val="en-US"/>
        </w:rPr>
        <w:t>14</w:t>
      </w:r>
      <w:r w:rsidR="009A7133">
        <w:rPr>
          <w:lang w:val="en-US"/>
        </w:rPr>
        <w:t>]</w:t>
      </w:r>
      <w:r w:rsidR="009A7133" w:rsidRPr="009A7133">
        <w:rPr>
          <w:lang w:val="en-US"/>
        </w:rPr>
        <w:t>.</w:t>
      </w:r>
    </w:p>
  </w:footnote>
  <w:footnote w:id="10">
    <w:p w14:paraId="2C42B376" w14:textId="3F0DBFD2" w:rsidR="008B49F0" w:rsidRPr="008B49F0" w:rsidRDefault="008B49F0" w:rsidP="008B49F0">
      <w:pPr>
        <w:pStyle w:val="FootnoteText"/>
        <w:ind w:left="284" w:hanging="284"/>
        <w:rPr>
          <w:lang w:val="en-US"/>
        </w:rPr>
      </w:pPr>
      <w:r>
        <w:rPr>
          <w:rStyle w:val="FootnoteReference"/>
        </w:rPr>
        <w:footnoteRef/>
      </w:r>
      <w:r>
        <w:t xml:space="preserve"> </w:t>
      </w:r>
      <w:r>
        <w:rPr>
          <w:lang w:val="en-US"/>
        </w:rPr>
        <w:tab/>
      </w:r>
      <w:r w:rsidRPr="00175A27">
        <w:rPr>
          <w:i/>
          <w:iCs/>
        </w:rPr>
        <w:t>Plumbago Financial Services (Pty) Ltd t/a Toshiba Rentals v Joseph t/a Project Finance</w:t>
      </w:r>
      <w:r>
        <w:t xml:space="preserve"> 2008 (3) SA 47 (C).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580664"/>
      <w:docPartObj>
        <w:docPartGallery w:val="Page Numbers (Top of Page)"/>
        <w:docPartUnique/>
      </w:docPartObj>
    </w:sdtPr>
    <w:sdtEndPr>
      <w:rPr>
        <w:rStyle w:val="PageNumber"/>
      </w:rPr>
    </w:sdtEndPr>
    <w:sdtContent>
      <w:p w14:paraId="56145AF5" w14:textId="1A8803CE" w:rsidR="00A16719" w:rsidRDefault="00A16719" w:rsidP="007E6F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62B34" w14:textId="77777777" w:rsidR="00A16719" w:rsidRDefault="00A16719" w:rsidP="00A1671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0035588"/>
      <w:docPartObj>
        <w:docPartGallery w:val="Page Numbers (Top of Page)"/>
        <w:docPartUnique/>
      </w:docPartObj>
    </w:sdtPr>
    <w:sdtEndPr>
      <w:rPr>
        <w:rStyle w:val="PageNumber"/>
      </w:rPr>
    </w:sdtEndPr>
    <w:sdtContent>
      <w:p w14:paraId="4E4520AB" w14:textId="017A87E5" w:rsidR="00A16719" w:rsidRDefault="00A16719" w:rsidP="007E6F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5132">
          <w:rPr>
            <w:rStyle w:val="PageNumber"/>
            <w:noProof/>
          </w:rPr>
          <w:t>10</w:t>
        </w:r>
        <w:r>
          <w:rPr>
            <w:rStyle w:val="PageNumber"/>
          </w:rPr>
          <w:fldChar w:fldCharType="end"/>
        </w:r>
      </w:p>
    </w:sdtContent>
  </w:sdt>
  <w:p w14:paraId="4A202556" w14:textId="77777777" w:rsidR="00A16719" w:rsidRDefault="00A16719" w:rsidP="00A16719">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DBE"/>
    <w:multiLevelType w:val="multilevel"/>
    <w:tmpl w:val="AA3E960A"/>
    <w:styleLink w:val="CurrentList1"/>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7116C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0E2040"/>
    <w:multiLevelType w:val="hybridMultilevel"/>
    <w:tmpl w:val="0D7CCFCC"/>
    <w:lvl w:ilvl="0" w:tplc="FD44E570">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5F827AD2">
      <w:start w:val="1"/>
      <w:numFmt w:val="lowerLetter"/>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D8200C"/>
    <w:multiLevelType w:val="multilevel"/>
    <w:tmpl w:val="0B203A28"/>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4" w15:restartNumberingAfterBreak="0">
    <w:nsid w:val="4322344F"/>
    <w:multiLevelType w:val="multilevel"/>
    <w:tmpl w:val="FB8CD790"/>
    <w:lvl w:ilvl="0">
      <w:start w:val="1"/>
      <w:numFmt w:val="decimal"/>
      <w:pStyle w:val="BowLevel1ListAlt"/>
      <w:lvlText w:val="%1."/>
      <w:lvlJc w:val="left"/>
      <w:pPr>
        <w:tabs>
          <w:tab w:val="num" w:pos="567"/>
        </w:tabs>
        <w:ind w:left="567" w:hanging="567"/>
      </w:pPr>
      <w:rPr>
        <w:rFonts w:ascii="Arial" w:hAnsi="Arial" w:cs="Arial" w:hint="default"/>
        <w:b w:val="0"/>
        <w:i w:val="0"/>
        <w:iCs w:val="0"/>
      </w:rPr>
    </w:lvl>
    <w:lvl w:ilvl="1">
      <w:start w:val="1"/>
      <w:numFmt w:val="decimal"/>
      <w:pStyle w:val="BowLevel2ListAlt"/>
      <w:lvlText w:val="%1.%2"/>
      <w:lvlJc w:val="left"/>
      <w:pPr>
        <w:tabs>
          <w:tab w:val="num" w:pos="851"/>
        </w:tabs>
        <w:ind w:left="851" w:hanging="851"/>
      </w:pPr>
      <w:rPr>
        <w:rFonts w:ascii="Arial" w:hAnsi="Arial" w:cs="Arial" w:hint="default"/>
        <w:i w:val="0"/>
        <w:iCs w:val="0"/>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57D5ECD"/>
    <w:multiLevelType w:val="multilevel"/>
    <w:tmpl w:val="3D2630B4"/>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50084A"/>
    <w:multiLevelType w:val="multilevel"/>
    <w:tmpl w:val="F3D6D904"/>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BA6A32"/>
    <w:multiLevelType w:val="multilevel"/>
    <w:tmpl w:val="08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9A52BD"/>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6"/>
  </w:num>
  <w:num w:numId="4">
    <w:abstractNumId w:val="1"/>
  </w:num>
  <w:num w:numId="5">
    <w:abstractNumId w:val="0"/>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B3"/>
    <w:rsid w:val="000015B0"/>
    <w:rsid w:val="000027F1"/>
    <w:rsid w:val="000028F9"/>
    <w:rsid w:val="00004B1F"/>
    <w:rsid w:val="000051B3"/>
    <w:rsid w:val="00005544"/>
    <w:rsid w:val="000066D3"/>
    <w:rsid w:val="00016949"/>
    <w:rsid w:val="0002074B"/>
    <w:rsid w:val="0002386A"/>
    <w:rsid w:val="000244D9"/>
    <w:rsid w:val="00027E82"/>
    <w:rsid w:val="00030F98"/>
    <w:rsid w:val="000316F2"/>
    <w:rsid w:val="00033F03"/>
    <w:rsid w:val="0004055E"/>
    <w:rsid w:val="0004278F"/>
    <w:rsid w:val="0004386E"/>
    <w:rsid w:val="000439D6"/>
    <w:rsid w:val="00044FDE"/>
    <w:rsid w:val="0004655D"/>
    <w:rsid w:val="00047177"/>
    <w:rsid w:val="0004787D"/>
    <w:rsid w:val="000505C9"/>
    <w:rsid w:val="00052204"/>
    <w:rsid w:val="000535DC"/>
    <w:rsid w:val="00053A27"/>
    <w:rsid w:val="000545A6"/>
    <w:rsid w:val="000559FE"/>
    <w:rsid w:val="0005600B"/>
    <w:rsid w:val="00057854"/>
    <w:rsid w:val="000607D1"/>
    <w:rsid w:val="00062DAB"/>
    <w:rsid w:val="000651F9"/>
    <w:rsid w:val="00067D27"/>
    <w:rsid w:val="00067E46"/>
    <w:rsid w:val="000725EE"/>
    <w:rsid w:val="000731D9"/>
    <w:rsid w:val="000827B8"/>
    <w:rsid w:val="00082BE2"/>
    <w:rsid w:val="000837B0"/>
    <w:rsid w:val="0008428C"/>
    <w:rsid w:val="00087171"/>
    <w:rsid w:val="00087BCE"/>
    <w:rsid w:val="00090697"/>
    <w:rsid w:val="000906BA"/>
    <w:rsid w:val="000923D6"/>
    <w:rsid w:val="00092EAC"/>
    <w:rsid w:val="0009609C"/>
    <w:rsid w:val="000A1A72"/>
    <w:rsid w:val="000A1AD8"/>
    <w:rsid w:val="000A1ED4"/>
    <w:rsid w:val="000A33A4"/>
    <w:rsid w:val="000A6BED"/>
    <w:rsid w:val="000B5DB6"/>
    <w:rsid w:val="000B7244"/>
    <w:rsid w:val="000C2091"/>
    <w:rsid w:val="000C315F"/>
    <w:rsid w:val="000C7FBF"/>
    <w:rsid w:val="000D070E"/>
    <w:rsid w:val="000D0A1A"/>
    <w:rsid w:val="000D4956"/>
    <w:rsid w:val="000E0B7C"/>
    <w:rsid w:val="000E35E5"/>
    <w:rsid w:val="000E4ADD"/>
    <w:rsid w:val="000E6F4B"/>
    <w:rsid w:val="000E71DD"/>
    <w:rsid w:val="000E78AC"/>
    <w:rsid w:val="000F1D72"/>
    <w:rsid w:val="001010E0"/>
    <w:rsid w:val="0010181A"/>
    <w:rsid w:val="00102AA9"/>
    <w:rsid w:val="00104E22"/>
    <w:rsid w:val="00105B90"/>
    <w:rsid w:val="00112013"/>
    <w:rsid w:val="00112528"/>
    <w:rsid w:val="00117322"/>
    <w:rsid w:val="001207D5"/>
    <w:rsid w:val="00122B54"/>
    <w:rsid w:val="00125DD5"/>
    <w:rsid w:val="00133FE0"/>
    <w:rsid w:val="00137788"/>
    <w:rsid w:val="00137B9B"/>
    <w:rsid w:val="00140B73"/>
    <w:rsid w:val="00140C56"/>
    <w:rsid w:val="0014257F"/>
    <w:rsid w:val="001427BD"/>
    <w:rsid w:val="001429D3"/>
    <w:rsid w:val="00143A6D"/>
    <w:rsid w:val="00144A35"/>
    <w:rsid w:val="00144A94"/>
    <w:rsid w:val="0014524B"/>
    <w:rsid w:val="001457CE"/>
    <w:rsid w:val="001459A1"/>
    <w:rsid w:val="0014604E"/>
    <w:rsid w:val="00150DE4"/>
    <w:rsid w:val="00152534"/>
    <w:rsid w:val="00152DBE"/>
    <w:rsid w:val="00160F5E"/>
    <w:rsid w:val="00162B3D"/>
    <w:rsid w:val="00163426"/>
    <w:rsid w:val="001647BC"/>
    <w:rsid w:val="00165491"/>
    <w:rsid w:val="001667FF"/>
    <w:rsid w:val="00171F29"/>
    <w:rsid w:val="001734C2"/>
    <w:rsid w:val="00174C80"/>
    <w:rsid w:val="00175583"/>
    <w:rsid w:val="00175608"/>
    <w:rsid w:val="00175A27"/>
    <w:rsid w:val="00177B83"/>
    <w:rsid w:val="00182CF2"/>
    <w:rsid w:val="00191EC4"/>
    <w:rsid w:val="001926C8"/>
    <w:rsid w:val="00197B1E"/>
    <w:rsid w:val="001A1E4C"/>
    <w:rsid w:val="001A32CA"/>
    <w:rsid w:val="001A332D"/>
    <w:rsid w:val="001B1467"/>
    <w:rsid w:val="001B1782"/>
    <w:rsid w:val="001B557A"/>
    <w:rsid w:val="001B5FBF"/>
    <w:rsid w:val="001B7E74"/>
    <w:rsid w:val="001C08FE"/>
    <w:rsid w:val="001C0C86"/>
    <w:rsid w:val="001C24D2"/>
    <w:rsid w:val="001C456D"/>
    <w:rsid w:val="001C4F0C"/>
    <w:rsid w:val="001C7369"/>
    <w:rsid w:val="001D2806"/>
    <w:rsid w:val="001D4983"/>
    <w:rsid w:val="001D5DDE"/>
    <w:rsid w:val="001D7FBC"/>
    <w:rsid w:val="001E0F97"/>
    <w:rsid w:val="001E12BA"/>
    <w:rsid w:val="001E1CD4"/>
    <w:rsid w:val="001E2041"/>
    <w:rsid w:val="001F1344"/>
    <w:rsid w:val="001F2CE2"/>
    <w:rsid w:val="001F2D71"/>
    <w:rsid w:val="001F3B4E"/>
    <w:rsid w:val="001F68CA"/>
    <w:rsid w:val="001F6985"/>
    <w:rsid w:val="002005FC"/>
    <w:rsid w:val="00201020"/>
    <w:rsid w:val="00201B66"/>
    <w:rsid w:val="0020273F"/>
    <w:rsid w:val="00205521"/>
    <w:rsid w:val="002066D5"/>
    <w:rsid w:val="002072D1"/>
    <w:rsid w:val="00211242"/>
    <w:rsid w:val="00212502"/>
    <w:rsid w:val="0021258A"/>
    <w:rsid w:val="00213071"/>
    <w:rsid w:val="00214880"/>
    <w:rsid w:val="00214BF4"/>
    <w:rsid w:val="00216DBA"/>
    <w:rsid w:val="00224B66"/>
    <w:rsid w:val="00224F59"/>
    <w:rsid w:val="00230F32"/>
    <w:rsid w:val="002337CA"/>
    <w:rsid w:val="00233F48"/>
    <w:rsid w:val="002352D5"/>
    <w:rsid w:val="0023713A"/>
    <w:rsid w:val="00240D0C"/>
    <w:rsid w:val="00241CE2"/>
    <w:rsid w:val="0024383C"/>
    <w:rsid w:val="00243EE4"/>
    <w:rsid w:val="0024488F"/>
    <w:rsid w:val="002463F7"/>
    <w:rsid w:val="0024751D"/>
    <w:rsid w:val="00253EBD"/>
    <w:rsid w:val="00254759"/>
    <w:rsid w:val="0025538D"/>
    <w:rsid w:val="00255924"/>
    <w:rsid w:val="0026079E"/>
    <w:rsid w:val="00260CF2"/>
    <w:rsid w:val="002628E6"/>
    <w:rsid w:val="002636C9"/>
    <w:rsid w:val="00264001"/>
    <w:rsid w:val="0026412D"/>
    <w:rsid w:val="00265245"/>
    <w:rsid w:val="002665B2"/>
    <w:rsid w:val="00266777"/>
    <w:rsid w:val="002738CB"/>
    <w:rsid w:val="002747E8"/>
    <w:rsid w:val="00274887"/>
    <w:rsid w:val="00274B9C"/>
    <w:rsid w:val="00274ECB"/>
    <w:rsid w:val="00276586"/>
    <w:rsid w:val="0028127D"/>
    <w:rsid w:val="0028552A"/>
    <w:rsid w:val="00286952"/>
    <w:rsid w:val="00287B47"/>
    <w:rsid w:val="0029037C"/>
    <w:rsid w:val="0029273A"/>
    <w:rsid w:val="002947A3"/>
    <w:rsid w:val="00295E61"/>
    <w:rsid w:val="002A0759"/>
    <w:rsid w:val="002A3EEB"/>
    <w:rsid w:val="002A44BE"/>
    <w:rsid w:val="002A46D7"/>
    <w:rsid w:val="002A772B"/>
    <w:rsid w:val="002B0C18"/>
    <w:rsid w:val="002B1B0B"/>
    <w:rsid w:val="002B2C9D"/>
    <w:rsid w:val="002B32AC"/>
    <w:rsid w:val="002B33E1"/>
    <w:rsid w:val="002B3CCF"/>
    <w:rsid w:val="002B446C"/>
    <w:rsid w:val="002B4E4F"/>
    <w:rsid w:val="002C071D"/>
    <w:rsid w:val="002C3879"/>
    <w:rsid w:val="002C4D10"/>
    <w:rsid w:val="002C5203"/>
    <w:rsid w:val="002D32D3"/>
    <w:rsid w:val="002D5AEF"/>
    <w:rsid w:val="002D6772"/>
    <w:rsid w:val="002D740D"/>
    <w:rsid w:val="002E0698"/>
    <w:rsid w:val="002E2224"/>
    <w:rsid w:val="002E226A"/>
    <w:rsid w:val="002E2682"/>
    <w:rsid w:val="002E3F64"/>
    <w:rsid w:val="002E6E8F"/>
    <w:rsid w:val="002E6FC1"/>
    <w:rsid w:val="002E7224"/>
    <w:rsid w:val="002F2663"/>
    <w:rsid w:val="00304A33"/>
    <w:rsid w:val="00307462"/>
    <w:rsid w:val="00314120"/>
    <w:rsid w:val="003218D7"/>
    <w:rsid w:val="0032513C"/>
    <w:rsid w:val="00325424"/>
    <w:rsid w:val="003254E9"/>
    <w:rsid w:val="00327111"/>
    <w:rsid w:val="0033004B"/>
    <w:rsid w:val="00331BEC"/>
    <w:rsid w:val="003340E5"/>
    <w:rsid w:val="00336585"/>
    <w:rsid w:val="00336809"/>
    <w:rsid w:val="00337BEF"/>
    <w:rsid w:val="00340B67"/>
    <w:rsid w:val="003416C7"/>
    <w:rsid w:val="00342FBC"/>
    <w:rsid w:val="003439DA"/>
    <w:rsid w:val="003446DC"/>
    <w:rsid w:val="00345AA6"/>
    <w:rsid w:val="0034744E"/>
    <w:rsid w:val="00351B4C"/>
    <w:rsid w:val="00352559"/>
    <w:rsid w:val="003536CA"/>
    <w:rsid w:val="0035486D"/>
    <w:rsid w:val="00354B43"/>
    <w:rsid w:val="00354BAF"/>
    <w:rsid w:val="00357353"/>
    <w:rsid w:val="00361EC5"/>
    <w:rsid w:val="00362887"/>
    <w:rsid w:val="003628A5"/>
    <w:rsid w:val="00365737"/>
    <w:rsid w:val="0036687A"/>
    <w:rsid w:val="00367F2D"/>
    <w:rsid w:val="00371040"/>
    <w:rsid w:val="0037474A"/>
    <w:rsid w:val="00376B47"/>
    <w:rsid w:val="00381CF3"/>
    <w:rsid w:val="003826D4"/>
    <w:rsid w:val="00383930"/>
    <w:rsid w:val="003841F1"/>
    <w:rsid w:val="00385702"/>
    <w:rsid w:val="003873DF"/>
    <w:rsid w:val="00387726"/>
    <w:rsid w:val="00390A3A"/>
    <w:rsid w:val="00390E3C"/>
    <w:rsid w:val="003928EB"/>
    <w:rsid w:val="00394799"/>
    <w:rsid w:val="003A0060"/>
    <w:rsid w:val="003A111E"/>
    <w:rsid w:val="003A2FDB"/>
    <w:rsid w:val="003A56D9"/>
    <w:rsid w:val="003A70E8"/>
    <w:rsid w:val="003A770E"/>
    <w:rsid w:val="003B1D12"/>
    <w:rsid w:val="003B20EE"/>
    <w:rsid w:val="003B45E4"/>
    <w:rsid w:val="003B4693"/>
    <w:rsid w:val="003C369C"/>
    <w:rsid w:val="003C4B86"/>
    <w:rsid w:val="003D18A4"/>
    <w:rsid w:val="003D1BFC"/>
    <w:rsid w:val="003D2212"/>
    <w:rsid w:val="003D3D8A"/>
    <w:rsid w:val="003D5B23"/>
    <w:rsid w:val="003E124F"/>
    <w:rsid w:val="003E5F0F"/>
    <w:rsid w:val="003E733A"/>
    <w:rsid w:val="003E7AFF"/>
    <w:rsid w:val="003F0208"/>
    <w:rsid w:val="003F38FC"/>
    <w:rsid w:val="003F392E"/>
    <w:rsid w:val="003F5068"/>
    <w:rsid w:val="003F69F0"/>
    <w:rsid w:val="003F7DC4"/>
    <w:rsid w:val="00402030"/>
    <w:rsid w:val="004022CE"/>
    <w:rsid w:val="00405D1A"/>
    <w:rsid w:val="00407222"/>
    <w:rsid w:val="0040730A"/>
    <w:rsid w:val="004074BB"/>
    <w:rsid w:val="0041037F"/>
    <w:rsid w:val="00411A8B"/>
    <w:rsid w:val="00412C69"/>
    <w:rsid w:val="00412F2B"/>
    <w:rsid w:val="00413974"/>
    <w:rsid w:val="00413982"/>
    <w:rsid w:val="00416368"/>
    <w:rsid w:val="00422B05"/>
    <w:rsid w:val="00422F41"/>
    <w:rsid w:val="00424CA1"/>
    <w:rsid w:val="00427CC1"/>
    <w:rsid w:val="00431C77"/>
    <w:rsid w:val="00432641"/>
    <w:rsid w:val="00435432"/>
    <w:rsid w:val="004357D5"/>
    <w:rsid w:val="00436A1D"/>
    <w:rsid w:val="00440A6A"/>
    <w:rsid w:val="0044196E"/>
    <w:rsid w:val="00441CE6"/>
    <w:rsid w:val="004531D8"/>
    <w:rsid w:val="00453A41"/>
    <w:rsid w:val="00455565"/>
    <w:rsid w:val="004664C5"/>
    <w:rsid w:val="00467498"/>
    <w:rsid w:val="00467674"/>
    <w:rsid w:val="00470B16"/>
    <w:rsid w:val="00471DD6"/>
    <w:rsid w:val="004727B8"/>
    <w:rsid w:val="0047520B"/>
    <w:rsid w:val="00475C43"/>
    <w:rsid w:val="00476707"/>
    <w:rsid w:val="00476E52"/>
    <w:rsid w:val="0048055C"/>
    <w:rsid w:val="004838FB"/>
    <w:rsid w:val="00483952"/>
    <w:rsid w:val="00484DC4"/>
    <w:rsid w:val="00493DE1"/>
    <w:rsid w:val="004942D0"/>
    <w:rsid w:val="00496628"/>
    <w:rsid w:val="004A41DF"/>
    <w:rsid w:val="004A632F"/>
    <w:rsid w:val="004A6344"/>
    <w:rsid w:val="004B1636"/>
    <w:rsid w:val="004B3414"/>
    <w:rsid w:val="004C10CA"/>
    <w:rsid w:val="004C1BE8"/>
    <w:rsid w:val="004C3839"/>
    <w:rsid w:val="004C492B"/>
    <w:rsid w:val="004C5954"/>
    <w:rsid w:val="004D1A3A"/>
    <w:rsid w:val="004D2177"/>
    <w:rsid w:val="004D24B5"/>
    <w:rsid w:val="004D4688"/>
    <w:rsid w:val="004D560D"/>
    <w:rsid w:val="004E1BE2"/>
    <w:rsid w:val="004E3F3C"/>
    <w:rsid w:val="004E7890"/>
    <w:rsid w:val="004F0022"/>
    <w:rsid w:val="004F3351"/>
    <w:rsid w:val="004F33C4"/>
    <w:rsid w:val="004F6298"/>
    <w:rsid w:val="00502E4A"/>
    <w:rsid w:val="00502FF1"/>
    <w:rsid w:val="00505DE0"/>
    <w:rsid w:val="0050608A"/>
    <w:rsid w:val="005060E9"/>
    <w:rsid w:val="00506B7C"/>
    <w:rsid w:val="005074C4"/>
    <w:rsid w:val="0050788A"/>
    <w:rsid w:val="0051003A"/>
    <w:rsid w:val="00510EC6"/>
    <w:rsid w:val="00511B85"/>
    <w:rsid w:val="00514930"/>
    <w:rsid w:val="00516330"/>
    <w:rsid w:val="00516B42"/>
    <w:rsid w:val="005176A6"/>
    <w:rsid w:val="00522A29"/>
    <w:rsid w:val="00524A22"/>
    <w:rsid w:val="00525616"/>
    <w:rsid w:val="00525DE4"/>
    <w:rsid w:val="00527666"/>
    <w:rsid w:val="00531583"/>
    <w:rsid w:val="00535A79"/>
    <w:rsid w:val="00537721"/>
    <w:rsid w:val="00537B54"/>
    <w:rsid w:val="00542CC4"/>
    <w:rsid w:val="00545191"/>
    <w:rsid w:val="005477C0"/>
    <w:rsid w:val="00547873"/>
    <w:rsid w:val="00547DD0"/>
    <w:rsid w:val="0055073A"/>
    <w:rsid w:val="00550B7D"/>
    <w:rsid w:val="00553941"/>
    <w:rsid w:val="0055533C"/>
    <w:rsid w:val="005561C2"/>
    <w:rsid w:val="00562395"/>
    <w:rsid w:val="005639B5"/>
    <w:rsid w:val="005656A5"/>
    <w:rsid w:val="00567042"/>
    <w:rsid w:val="00567A90"/>
    <w:rsid w:val="005729F9"/>
    <w:rsid w:val="00573AD8"/>
    <w:rsid w:val="00576699"/>
    <w:rsid w:val="005770D2"/>
    <w:rsid w:val="0058259C"/>
    <w:rsid w:val="0058478C"/>
    <w:rsid w:val="00584F14"/>
    <w:rsid w:val="00585D6A"/>
    <w:rsid w:val="0059122A"/>
    <w:rsid w:val="0059152D"/>
    <w:rsid w:val="0059185C"/>
    <w:rsid w:val="00591C61"/>
    <w:rsid w:val="005948CE"/>
    <w:rsid w:val="0059555A"/>
    <w:rsid w:val="005A21B8"/>
    <w:rsid w:val="005A2514"/>
    <w:rsid w:val="005A3A47"/>
    <w:rsid w:val="005A6E4C"/>
    <w:rsid w:val="005B2CCB"/>
    <w:rsid w:val="005B3816"/>
    <w:rsid w:val="005B4B26"/>
    <w:rsid w:val="005B56D3"/>
    <w:rsid w:val="005B625A"/>
    <w:rsid w:val="005C1A28"/>
    <w:rsid w:val="005C3FDF"/>
    <w:rsid w:val="005C426B"/>
    <w:rsid w:val="005C5C22"/>
    <w:rsid w:val="005D31E7"/>
    <w:rsid w:val="005D7983"/>
    <w:rsid w:val="005E1D9A"/>
    <w:rsid w:val="005E2910"/>
    <w:rsid w:val="005E4441"/>
    <w:rsid w:val="005E60BD"/>
    <w:rsid w:val="005F7A52"/>
    <w:rsid w:val="0060182F"/>
    <w:rsid w:val="00601A28"/>
    <w:rsid w:val="00602134"/>
    <w:rsid w:val="0060316E"/>
    <w:rsid w:val="006047A5"/>
    <w:rsid w:val="006051A9"/>
    <w:rsid w:val="006106C4"/>
    <w:rsid w:val="00613C00"/>
    <w:rsid w:val="0061402D"/>
    <w:rsid w:val="00615020"/>
    <w:rsid w:val="0061704E"/>
    <w:rsid w:val="0062226E"/>
    <w:rsid w:val="006226C6"/>
    <w:rsid w:val="00627551"/>
    <w:rsid w:val="006315D2"/>
    <w:rsid w:val="00640A2D"/>
    <w:rsid w:val="00643403"/>
    <w:rsid w:val="00644636"/>
    <w:rsid w:val="00645C99"/>
    <w:rsid w:val="006511CF"/>
    <w:rsid w:val="006529E7"/>
    <w:rsid w:val="0065572C"/>
    <w:rsid w:val="006572B3"/>
    <w:rsid w:val="00657C64"/>
    <w:rsid w:val="006617BC"/>
    <w:rsid w:val="00662E41"/>
    <w:rsid w:val="00666BFF"/>
    <w:rsid w:val="00667885"/>
    <w:rsid w:val="00670518"/>
    <w:rsid w:val="00672984"/>
    <w:rsid w:val="00677AF8"/>
    <w:rsid w:val="00682814"/>
    <w:rsid w:val="00682E76"/>
    <w:rsid w:val="006851B3"/>
    <w:rsid w:val="006852EA"/>
    <w:rsid w:val="0068795D"/>
    <w:rsid w:val="0069080E"/>
    <w:rsid w:val="00691725"/>
    <w:rsid w:val="006938AA"/>
    <w:rsid w:val="006941DA"/>
    <w:rsid w:val="0069440E"/>
    <w:rsid w:val="00696F2D"/>
    <w:rsid w:val="006974A8"/>
    <w:rsid w:val="006A1D40"/>
    <w:rsid w:val="006A4805"/>
    <w:rsid w:val="006A5A54"/>
    <w:rsid w:val="006B0888"/>
    <w:rsid w:val="006B2C47"/>
    <w:rsid w:val="006B46C6"/>
    <w:rsid w:val="006C0BD0"/>
    <w:rsid w:val="006C58DC"/>
    <w:rsid w:val="006C6607"/>
    <w:rsid w:val="006D01CB"/>
    <w:rsid w:val="006D0507"/>
    <w:rsid w:val="006D10FA"/>
    <w:rsid w:val="006D1968"/>
    <w:rsid w:val="006D291A"/>
    <w:rsid w:val="006D43D5"/>
    <w:rsid w:val="006D5472"/>
    <w:rsid w:val="006E45DC"/>
    <w:rsid w:val="006E5609"/>
    <w:rsid w:val="006E651B"/>
    <w:rsid w:val="006F00F1"/>
    <w:rsid w:val="006F204B"/>
    <w:rsid w:val="006F5209"/>
    <w:rsid w:val="0070011C"/>
    <w:rsid w:val="0070165F"/>
    <w:rsid w:val="0070211A"/>
    <w:rsid w:val="00703559"/>
    <w:rsid w:val="0070527D"/>
    <w:rsid w:val="00705E54"/>
    <w:rsid w:val="00707978"/>
    <w:rsid w:val="00707D36"/>
    <w:rsid w:val="00713658"/>
    <w:rsid w:val="00713DF9"/>
    <w:rsid w:val="00714858"/>
    <w:rsid w:val="0072225F"/>
    <w:rsid w:val="00724307"/>
    <w:rsid w:val="00724D38"/>
    <w:rsid w:val="0073018D"/>
    <w:rsid w:val="00730A6F"/>
    <w:rsid w:val="00731373"/>
    <w:rsid w:val="00731527"/>
    <w:rsid w:val="007316F1"/>
    <w:rsid w:val="00732D43"/>
    <w:rsid w:val="007337FD"/>
    <w:rsid w:val="007338BA"/>
    <w:rsid w:val="0073517D"/>
    <w:rsid w:val="00737885"/>
    <w:rsid w:val="00743796"/>
    <w:rsid w:val="00743F97"/>
    <w:rsid w:val="007451E3"/>
    <w:rsid w:val="00751571"/>
    <w:rsid w:val="00751BDC"/>
    <w:rsid w:val="0075380C"/>
    <w:rsid w:val="00754681"/>
    <w:rsid w:val="00757981"/>
    <w:rsid w:val="0076037E"/>
    <w:rsid w:val="007609B4"/>
    <w:rsid w:val="0076378A"/>
    <w:rsid w:val="00766D0F"/>
    <w:rsid w:val="00770B8F"/>
    <w:rsid w:val="00770F47"/>
    <w:rsid w:val="00773313"/>
    <w:rsid w:val="00774A6A"/>
    <w:rsid w:val="0077625D"/>
    <w:rsid w:val="00777465"/>
    <w:rsid w:val="00780770"/>
    <w:rsid w:val="00780E9C"/>
    <w:rsid w:val="00785166"/>
    <w:rsid w:val="00785378"/>
    <w:rsid w:val="00785546"/>
    <w:rsid w:val="00786A82"/>
    <w:rsid w:val="00790022"/>
    <w:rsid w:val="00791CBF"/>
    <w:rsid w:val="007936B5"/>
    <w:rsid w:val="007945C6"/>
    <w:rsid w:val="0079497A"/>
    <w:rsid w:val="00795C38"/>
    <w:rsid w:val="00796BC6"/>
    <w:rsid w:val="00797D5C"/>
    <w:rsid w:val="007A10D7"/>
    <w:rsid w:val="007A67BD"/>
    <w:rsid w:val="007A70AA"/>
    <w:rsid w:val="007A7B9F"/>
    <w:rsid w:val="007B1751"/>
    <w:rsid w:val="007B194B"/>
    <w:rsid w:val="007B788A"/>
    <w:rsid w:val="007C367B"/>
    <w:rsid w:val="007D01B5"/>
    <w:rsid w:val="007D0945"/>
    <w:rsid w:val="007D272C"/>
    <w:rsid w:val="007D29C7"/>
    <w:rsid w:val="007D35DC"/>
    <w:rsid w:val="007D3690"/>
    <w:rsid w:val="007D3EB3"/>
    <w:rsid w:val="007D41E4"/>
    <w:rsid w:val="007D75CA"/>
    <w:rsid w:val="007E0C5C"/>
    <w:rsid w:val="007E1430"/>
    <w:rsid w:val="007E1F31"/>
    <w:rsid w:val="007E2D80"/>
    <w:rsid w:val="007E3DC4"/>
    <w:rsid w:val="007E54C2"/>
    <w:rsid w:val="007E6512"/>
    <w:rsid w:val="007E6583"/>
    <w:rsid w:val="007E684D"/>
    <w:rsid w:val="007F0242"/>
    <w:rsid w:val="007F4007"/>
    <w:rsid w:val="007F6250"/>
    <w:rsid w:val="007F68BB"/>
    <w:rsid w:val="007F6DFB"/>
    <w:rsid w:val="00800365"/>
    <w:rsid w:val="0080285D"/>
    <w:rsid w:val="00802B67"/>
    <w:rsid w:val="00804A43"/>
    <w:rsid w:val="00806F0C"/>
    <w:rsid w:val="00807689"/>
    <w:rsid w:val="008114B3"/>
    <w:rsid w:val="00812EE0"/>
    <w:rsid w:val="0081340F"/>
    <w:rsid w:val="0081524E"/>
    <w:rsid w:val="00821DAB"/>
    <w:rsid w:val="0082582A"/>
    <w:rsid w:val="0082605C"/>
    <w:rsid w:val="0082654F"/>
    <w:rsid w:val="00833D6C"/>
    <w:rsid w:val="00836AA4"/>
    <w:rsid w:val="00837D70"/>
    <w:rsid w:val="00841FC7"/>
    <w:rsid w:val="008423BC"/>
    <w:rsid w:val="00842DEA"/>
    <w:rsid w:val="00844657"/>
    <w:rsid w:val="008446C9"/>
    <w:rsid w:val="0085199F"/>
    <w:rsid w:val="0085273D"/>
    <w:rsid w:val="00855240"/>
    <w:rsid w:val="00856F26"/>
    <w:rsid w:val="0086610C"/>
    <w:rsid w:val="00873D7B"/>
    <w:rsid w:val="00890292"/>
    <w:rsid w:val="0089064B"/>
    <w:rsid w:val="0089233E"/>
    <w:rsid w:val="00894F61"/>
    <w:rsid w:val="008A05BA"/>
    <w:rsid w:val="008A501C"/>
    <w:rsid w:val="008A5E30"/>
    <w:rsid w:val="008A64C5"/>
    <w:rsid w:val="008B4223"/>
    <w:rsid w:val="008B479C"/>
    <w:rsid w:val="008B49F0"/>
    <w:rsid w:val="008B501B"/>
    <w:rsid w:val="008B5560"/>
    <w:rsid w:val="008B657E"/>
    <w:rsid w:val="008B6E0D"/>
    <w:rsid w:val="008B73AE"/>
    <w:rsid w:val="008C0D9B"/>
    <w:rsid w:val="008C0F70"/>
    <w:rsid w:val="008C3021"/>
    <w:rsid w:val="008C4649"/>
    <w:rsid w:val="008C55CB"/>
    <w:rsid w:val="008C7A91"/>
    <w:rsid w:val="008D4007"/>
    <w:rsid w:val="008D470B"/>
    <w:rsid w:val="008D4A9B"/>
    <w:rsid w:val="008D6BB1"/>
    <w:rsid w:val="008D7106"/>
    <w:rsid w:val="008D718D"/>
    <w:rsid w:val="008E0C48"/>
    <w:rsid w:val="008E3C6E"/>
    <w:rsid w:val="008E42DC"/>
    <w:rsid w:val="008F04F2"/>
    <w:rsid w:val="008F197A"/>
    <w:rsid w:val="008F47AB"/>
    <w:rsid w:val="008F530D"/>
    <w:rsid w:val="008F57AC"/>
    <w:rsid w:val="0090526E"/>
    <w:rsid w:val="009052E8"/>
    <w:rsid w:val="00906599"/>
    <w:rsid w:val="00913BDF"/>
    <w:rsid w:val="00913C2B"/>
    <w:rsid w:val="00913DE0"/>
    <w:rsid w:val="00913F72"/>
    <w:rsid w:val="00924C77"/>
    <w:rsid w:val="00925269"/>
    <w:rsid w:val="009262E4"/>
    <w:rsid w:val="00926974"/>
    <w:rsid w:val="00927E3B"/>
    <w:rsid w:val="00930D13"/>
    <w:rsid w:val="00934BFE"/>
    <w:rsid w:val="00937C2C"/>
    <w:rsid w:val="00937F65"/>
    <w:rsid w:val="00944F47"/>
    <w:rsid w:val="009455D8"/>
    <w:rsid w:val="00947C11"/>
    <w:rsid w:val="0095283F"/>
    <w:rsid w:val="00952D2E"/>
    <w:rsid w:val="00956A77"/>
    <w:rsid w:val="009653B7"/>
    <w:rsid w:val="00972452"/>
    <w:rsid w:val="00972538"/>
    <w:rsid w:val="00975E41"/>
    <w:rsid w:val="009760A6"/>
    <w:rsid w:val="00980F99"/>
    <w:rsid w:val="00981316"/>
    <w:rsid w:val="009821CC"/>
    <w:rsid w:val="00983168"/>
    <w:rsid w:val="0098757A"/>
    <w:rsid w:val="00991B8F"/>
    <w:rsid w:val="00992601"/>
    <w:rsid w:val="00995087"/>
    <w:rsid w:val="00996F9E"/>
    <w:rsid w:val="00997324"/>
    <w:rsid w:val="00997E70"/>
    <w:rsid w:val="009A5ADA"/>
    <w:rsid w:val="009A7133"/>
    <w:rsid w:val="009B3618"/>
    <w:rsid w:val="009B4985"/>
    <w:rsid w:val="009B5F56"/>
    <w:rsid w:val="009B6509"/>
    <w:rsid w:val="009B6D39"/>
    <w:rsid w:val="009B71D3"/>
    <w:rsid w:val="009C274F"/>
    <w:rsid w:val="009C33CF"/>
    <w:rsid w:val="009C3F02"/>
    <w:rsid w:val="009C45D1"/>
    <w:rsid w:val="009C56A5"/>
    <w:rsid w:val="009C5972"/>
    <w:rsid w:val="009C7EDE"/>
    <w:rsid w:val="009E0370"/>
    <w:rsid w:val="009E14A2"/>
    <w:rsid w:val="009E3B63"/>
    <w:rsid w:val="009E4905"/>
    <w:rsid w:val="009E5701"/>
    <w:rsid w:val="009E64A1"/>
    <w:rsid w:val="009E6EF3"/>
    <w:rsid w:val="009F597A"/>
    <w:rsid w:val="009F7F51"/>
    <w:rsid w:val="00A00DCF"/>
    <w:rsid w:val="00A024B4"/>
    <w:rsid w:val="00A054CE"/>
    <w:rsid w:val="00A072B8"/>
    <w:rsid w:val="00A07C94"/>
    <w:rsid w:val="00A1242F"/>
    <w:rsid w:val="00A14952"/>
    <w:rsid w:val="00A16719"/>
    <w:rsid w:val="00A17875"/>
    <w:rsid w:val="00A2012D"/>
    <w:rsid w:val="00A22789"/>
    <w:rsid w:val="00A22BAF"/>
    <w:rsid w:val="00A24B79"/>
    <w:rsid w:val="00A26DB0"/>
    <w:rsid w:val="00A279D0"/>
    <w:rsid w:val="00A32757"/>
    <w:rsid w:val="00A32989"/>
    <w:rsid w:val="00A33FFC"/>
    <w:rsid w:val="00A377FD"/>
    <w:rsid w:val="00A37CDF"/>
    <w:rsid w:val="00A445B6"/>
    <w:rsid w:val="00A478DB"/>
    <w:rsid w:val="00A47A2C"/>
    <w:rsid w:val="00A47B5B"/>
    <w:rsid w:val="00A55EAF"/>
    <w:rsid w:val="00A57E00"/>
    <w:rsid w:val="00A61220"/>
    <w:rsid w:val="00A623BA"/>
    <w:rsid w:val="00A72014"/>
    <w:rsid w:val="00A72A8F"/>
    <w:rsid w:val="00A7522F"/>
    <w:rsid w:val="00A75CB4"/>
    <w:rsid w:val="00A76835"/>
    <w:rsid w:val="00A831DE"/>
    <w:rsid w:val="00A84639"/>
    <w:rsid w:val="00A84CC2"/>
    <w:rsid w:val="00A85295"/>
    <w:rsid w:val="00A8539C"/>
    <w:rsid w:val="00A87CDF"/>
    <w:rsid w:val="00AA1D4A"/>
    <w:rsid w:val="00AA3D03"/>
    <w:rsid w:val="00AB0DB3"/>
    <w:rsid w:val="00AB0DC8"/>
    <w:rsid w:val="00AB1E4F"/>
    <w:rsid w:val="00AB4907"/>
    <w:rsid w:val="00AB4A70"/>
    <w:rsid w:val="00AB4BB1"/>
    <w:rsid w:val="00AB5C9D"/>
    <w:rsid w:val="00AC10B7"/>
    <w:rsid w:val="00AC2567"/>
    <w:rsid w:val="00AC65B8"/>
    <w:rsid w:val="00AC7B69"/>
    <w:rsid w:val="00AD48B0"/>
    <w:rsid w:val="00AD6069"/>
    <w:rsid w:val="00AD60DE"/>
    <w:rsid w:val="00AD758E"/>
    <w:rsid w:val="00AD76C5"/>
    <w:rsid w:val="00AE023A"/>
    <w:rsid w:val="00AE1AF0"/>
    <w:rsid w:val="00AE2108"/>
    <w:rsid w:val="00AF0A51"/>
    <w:rsid w:val="00AF0AC3"/>
    <w:rsid w:val="00AF227F"/>
    <w:rsid w:val="00AF379C"/>
    <w:rsid w:val="00AF4F34"/>
    <w:rsid w:val="00B03422"/>
    <w:rsid w:val="00B0660B"/>
    <w:rsid w:val="00B079F0"/>
    <w:rsid w:val="00B13E2A"/>
    <w:rsid w:val="00B20DCE"/>
    <w:rsid w:val="00B20F30"/>
    <w:rsid w:val="00B21BC0"/>
    <w:rsid w:val="00B243D8"/>
    <w:rsid w:val="00B26AD0"/>
    <w:rsid w:val="00B306D7"/>
    <w:rsid w:val="00B34495"/>
    <w:rsid w:val="00B3546C"/>
    <w:rsid w:val="00B35779"/>
    <w:rsid w:val="00B365EF"/>
    <w:rsid w:val="00B43F25"/>
    <w:rsid w:val="00B50267"/>
    <w:rsid w:val="00B51BBE"/>
    <w:rsid w:val="00B53709"/>
    <w:rsid w:val="00B5447C"/>
    <w:rsid w:val="00B545D8"/>
    <w:rsid w:val="00B55852"/>
    <w:rsid w:val="00B562C8"/>
    <w:rsid w:val="00B56AF3"/>
    <w:rsid w:val="00B6538F"/>
    <w:rsid w:val="00B67CC2"/>
    <w:rsid w:val="00B701E4"/>
    <w:rsid w:val="00B72BB4"/>
    <w:rsid w:val="00B74A9B"/>
    <w:rsid w:val="00B775E0"/>
    <w:rsid w:val="00B77D9D"/>
    <w:rsid w:val="00B80549"/>
    <w:rsid w:val="00B82EEA"/>
    <w:rsid w:val="00B844EA"/>
    <w:rsid w:val="00B844EB"/>
    <w:rsid w:val="00B84A84"/>
    <w:rsid w:val="00B91FE1"/>
    <w:rsid w:val="00B94EFB"/>
    <w:rsid w:val="00B96116"/>
    <w:rsid w:val="00BA15DF"/>
    <w:rsid w:val="00BA6A8B"/>
    <w:rsid w:val="00BA7954"/>
    <w:rsid w:val="00BB0349"/>
    <w:rsid w:val="00BB1E7E"/>
    <w:rsid w:val="00BC75B9"/>
    <w:rsid w:val="00BD1A46"/>
    <w:rsid w:val="00BD2522"/>
    <w:rsid w:val="00BD6F46"/>
    <w:rsid w:val="00BE2359"/>
    <w:rsid w:val="00BE2F23"/>
    <w:rsid w:val="00BE2F37"/>
    <w:rsid w:val="00BF0105"/>
    <w:rsid w:val="00BF246F"/>
    <w:rsid w:val="00BF291D"/>
    <w:rsid w:val="00BF3077"/>
    <w:rsid w:val="00BF316E"/>
    <w:rsid w:val="00BF60B7"/>
    <w:rsid w:val="00BF725C"/>
    <w:rsid w:val="00BF7959"/>
    <w:rsid w:val="00BF7D52"/>
    <w:rsid w:val="00C02130"/>
    <w:rsid w:val="00C0274D"/>
    <w:rsid w:val="00C11B06"/>
    <w:rsid w:val="00C122E8"/>
    <w:rsid w:val="00C17190"/>
    <w:rsid w:val="00C21385"/>
    <w:rsid w:val="00C23557"/>
    <w:rsid w:val="00C30274"/>
    <w:rsid w:val="00C30B3C"/>
    <w:rsid w:val="00C3347A"/>
    <w:rsid w:val="00C351E4"/>
    <w:rsid w:val="00C4157F"/>
    <w:rsid w:val="00C4369D"/>
    <w:rsid w:val="00C43794"/>
    <w:rsid w:val="00C44523"/>
    <w:rsid w:val="00C469B3"/>
    <w:rsid w:val="00C515F1"/>
    <w:rsid w:val="00C52C30"/>
    <w:rsid w:val="00C578B4"/>
    <w:rsid w:val="00C60D3D"/>
    <w:rsid w:val="00C625DC"/>
    <w:rsid w:val="00C6341E"/>
    <w:rsid w:val="00C64FFE"/>
    <w:rsid w:val="00C6724C"/>
    <w:rsid w:val="00C76063"/>
    <w:rsid w:val="00C773F7"/>
    <w:rsid w:val="00C81422"/>
    <w:rsid w:val="00C82B3A"/>
    <w:rsid w:val="00C83774"/>
    <w:rsid w:val="00C850B8"/>
    <w:rsid w:val="00C8520A"/>
    <w:rsid w:val="00C857BD"/>
    <w:rsid w:val="00C86A0E"/>
    <w:rsid w:val="00C875E5"/>
    <w:rsid w:val="00C90D29"/>
    <w:rsid w:val="00C91F41"/>
    <w:rsid w:val="00C9210A"/>
    <w:rsid w:val="00C92EB1"/>
    <w:rsid w:val="00C946D6"/>
    <w:rsid w:val="00C964D0"/>
    <w:rsid w:val="00C97599"/>
    <w:rsid w:val="00CA01B8"/>
    <w:rsid w:val="00CA52CE"/>
    <w:rsid w:val="00CA7D02"/>
    <w:rsid w:val="00CB4C23"/>
    <w:rsid w:val="00CB5692"/>
    <w:rsid w:val="00CC1414"/>
    <w:rsid w:val="00CC1D56"/>
    <w:rsid w:val="00CC23BD"/>
    <w:rsid w:val="00CC5C05"/>
    <w:rsid w:val="00CC6495"/>
    <w:rsid w:val="00CD279E"/>
    <w:rsid w:val="00CD3755"/>
    <w:rsid w:val="00CD7476"/>
    <w:rsid w:val="00CD79D8"/>
    <w:rsid w:val="00CE004C"/>
    <w:rsid w:val="00CE0A45"/>
    <w:rsid w:val="00CE2393"/>
    <w:rsid w:val="00CE464E"/>
    <w:rsid w:val="00CE603E"/>
    <w:rsid w:val="00CF57EE"/>
    <w:rsid w:val="00CF60F5"/>
    <w:rsid w:val="00CF6195"/>
    <w:rsid w:val="00D00CDA"/>
    <w:rsid w:val="00D01C44"/>
    <w:rsid w:val="00D022A1"/>
    <w:rsid w:val="00D04A97"/>
    <w:rsid w:val="00D12965"/>
    <w:rsid w:val="00D14D02"/>
    <w:rsid w:val="00D15116"/>
    <w:rsid w:val="00D17330"/>
    <w:rsid w:val="00D21B2F"/>
    <w:rsid w:val="00D237DB"/>
    <w:rsid w:val="00D239CE"/>
    <w:rsid w:val="00D266F1"/>
    <w:rsid w:val="00D271B1"/>
    <w:rsid w:val="00D32A4A"/>
    <w:rsid w:val="00D36DBD"/>
    <w:rsid w:val="00D377F3"/>
    <w:rsid w:val="00D40FBC"/>
    <w:rsid w:val="00D41C69"/>
    <w:rsid w:val="00D450EE"/>
    <w:rsid w:val="00D454B0"/>
    <w:rsid w:val="00D47EA9"/>
    <w:rsid w:val="00D5113A"/>
    <w:rsid w:val="00D57C32"/>
    <w:rsid w:val="00D57DB5"/>
    <w:rsid w:val="00D66059"/>
    <w:rsid w:val="00D660F2"/>
    <w:rsid w:val="00D717A2"/>
    <w:rsid w:val="00D72922"/>
    <w:rsid w:val="00D73591"/>
    <w:rsid w:val="00D82082"/>
    <w:rsid w:val="00D82CCC"/>
    <w:rsid w:val="00D841D4"/>
    <w:rsid w:val="00D847EB"/>
    <w:rsid w:val="00D940D4"/>
    <w:rsid w:val="00D975C7"/>
    <w:rsid w:val="00D9763D"/>
    <w:rsid w:val="00D976C8"/>
    <w:rsid w:val="00DA181C"/>
    <w:rsid w:val="00DA1C5B"/>
    <w:rsid w:val="00DA21B0"/>
    <w:rsid w:val="00DA5274"/>
    <w:rsid w:val="00DA6194"/>
    <w:rsid w:val="00DA6E10"/>
    <w:rsid w:val="00DA6E3E"/>
    <w:rsid w:val="00DA770B"/>
    <w:rsid w:val="00DB0B85"/>
    <w:rsid w:val="00DB5450"/>
    <w:rsid w:val="00DB682B"/>
    <w:rsid w:val="00DC0265"/>
    <w:rsid w:val="00DC2718"/>
    <w:rsid w:val="00DC34F9"/>
    <w:rsid w:val="00DC76CC"/>
    <w:rsid w:val="00DD4842"/>
    <w:rsid w:val="00DE02DF"/>
    <w:rsid w:val="00DE1113"/>
    <w:rsid w:val="00DE2949"/>
    <w:rsid w:val="00DE377B"/>
    <w:rsid w:val="00DE427E"/>
    <w:rsid w:val="00DE583D"/>
    <w:rsid w:val="00DF0037"/>
    <w:rsid w:val="00DF0A0E"/>
    <w:rsid w:val="00DF158F"/>
    <w:rsid w:val="00DF4927"/>
    <w:rsid w:val="00DF51A2"/>
    <w:rsid w:val="00DF7149"/>
    <w:rsid w:val="00E00AE7"/>
    <w:rsid w:val="00E00D26"/>
    <w:rsid w:val="00E01983"/>
    <w:rsid w:val="00E0206F"/>
    <w:rsid w:val="00E02AA9"/>
    <w:rsid w:val="00E03675"/>
    <w:rsid w:val="00E0510F"/>
    <w:rsid w:val="00E05BB2"/>
    <w:rsid w:val="00E06761"/>
    <w:rsid w:val="00E10B56"/>
    <w:rsid w:val="00E11BA9"/>
    <w:rsid w:val="00E14497"/>
    <w:rsid w:val="00E166BC"/>
    <w:rsid w:val="00E201C1"/>
    <w:rsid w:val="00E20BA5"/>
    <w:rsid w:val="00E20D97"/>
    <w:rsid w:val="00E22CA5"/>
    <w:rsid w:val="00E24373"/>
    <w:rsid w:val="00E2662C"/>
    <w:rsid w:val="00E26C82"/>
    <w:rsid w:val="00E30F3F"/>
    <w:rsid w:val="00E357BA"/>
    <w:rsid w:val="00E35F17"/>
    <w:rsid w:val="00E370FE"/>
    <w:rsid w:val="00E468AB"/>
    <w:rsid w:val="00E47C38"/>
    <w:rsid w:val="00E53190"/>
    <w:rsid w:val="00E54531"/>
    <w:rsid w:val="00E56301"/>
    <w:rsid w:val="00E56854"/>
    <w:rsid w:val="00E63D56"/>
    <w:rsid w:val="00E64549"/>
    <w:rsid w:val="00E666B8"/>
    <w:rsid w:val="00E70EAE"/>
    <w:rsid w:val="00E72001"/>
    <w:rsid w:val="00E72694"/>
    <w:rsid w:val="00E72D12"/>
    <w:rsid w:val="00E739A7"/>
    <w:rsid w:val="00E8370C"/>
    <w:rsid w:val="00E84537"/>
    <w:rsid w:val="00E85202"/>
    <w:rsid w:val="00E86604"/>
    <w:rsid w:val="00E874A6"/>
    <w:rsid w:val="00E91DEC"/>
    <w:rsid w:val="00E93479"/>
    <w:rsid w:val="00E947DD"/>
    <w:rsid w:val="00E967E3"/>
    <w:rsid w:val="00E96986"/>
    <w:rsid w:val="00EA1747"/>
    <w:rsid w:val="00EA17E5"/>
    <w:rsid w:val="00EA43E5"/>
    <w:rsid w:val="00EA4C52"/>
    <w:rsid w:val="00EA5132"/>
    <w:rsid w:val="00EA5D35"/>
    <w:rsid w:val="00EA73AE"/>
    <w:rsid w:val="00EB24D5"/>
    <w:rsid w:val="00EB2B4F"/>
    <w:rsid w:val="00EB2CD0"/>
    <w:rsid w:val="00EB381D"/>
    <w:rsid w:val="00EB588A"/>
    <w:rsid w:val="00EC173A"/>
    <w:rsid w:val="00EC2658"/>
    <w:rsid w:val="00EC57EE"/>
    <w:rsid w:val="00EC7F49"/>
    <w:rsid w:val="00ED45AF"/>
    <w:rsid w:val="00ED6CF7"/>
    <w:rsid w:val="00EE1C5F"/>
    <w:rsid w:val="00EE6CE1"/>
    <w:rsid w:val="00EF0F7F"/>
    <w:rsid w:val="00EF3119"/>
    <w:rsid w:val="00F00F27"/>
    <w:rsid w:val="00F01FB5"/>
    <w:rsid w:val="00F03BE3"/>
    <w:rsid w:val="00F11860"/>
    <w:rsid w:val="00F1235B"/>
    <w:rsid w:val="00F13979"/>
    <w:rsid w:val="00F17568"/>
    <w:rsid w:val="00F230EA"/>
    <w:rsid w:val="00F232C1"/>
    <w:rsid w:val="00F2500C"/>
    <w:rsid w:val="00F2665F"/>
    <w:rsid w:val="00F27276"/>
    <w:rsid w:val="00F31852"/>
    <w:rsid w:val="00F32CD5"/>
    <w:rsid w:val="00F336A8"/>
    <w:rsid w:val="00F418CF"/>
    <w:rsid w:val="00F420C3"/>
    <w:rsid w:val="00F42BBA"/>
    <w:rsid w:val="00F44E17"/>
    <w:rsid w:val="00F4567B"/>
    <w:rsid w:val="00F50FBA"/>
    <w:rsid w:val="00F51568"/>
    <w:rsid w:val="00F524B1"/>
    <w:rsid w:val="00F52993"/>
    <w:rsid w:val="00F60CF1"/>
    <w:rsid w:val="00F63C83"/>
    <w:rsid w:val="00F674C9"/>
    <w:rsid w:val="00F67941"/>
    <w:rsid w:val="00F749F7"/>
    <w:rsid w:val="00F75868"/>
    <w:rsid w:val="00F82450"/>
    <w:rsid w:val="00F82AF1"/>
    <w:rsid w:val="00F874A4"/>
    <w:rsid w:val="00F876A6"/>
    <w:rsid w:val="00F87C20"/>
    <w:rsid w:val="00F900E3"/>
    <w:rsid w:val="00F93424"/>
    <w:rsid w:val="00F938D1"/>
    <w:rsid w:val="00F9626D"/>
    <w:rsid w:val="00F96828"/>
    <w:rsid w:val="00F97E4F"/>
    <w:rsid w:val="00FA0771"/>
    <w:rsid w:val="00FA07AB"/>
    <w:rsid w:val="00FA168E"/>
    <w:rsid w:val="00FA3F62"/>
    <w:rsid w:val="00FB1ABB"/>
    <w:rsid w:val="00FB2784"/>
    <w:rsid w:val="00FB4873"/>
    <w:rsid w:val="00FC024E"/>
    <w:rsid w:val="00FC0B4B"/>
    <w:rsid w:val="00FC26C8"/>
    <w:rsid w:val="00FC3F9B"/>
    <w:rsid w:val="00FC6454"/>
    <w:rsid w:val="00FD0261"/>
    <w:rsid w:val="00FD043F"/>
    <w:rsid w:val="00FD1A05"/>
    <w:rsid w:val="00FD3BBC"/>
    <w:rsid w:val="00FE0963"/>
    <w:rsid w:val="00FE0CB2"/>
    <w:rsid w:val="00FE1435"/>
    <w:rsid w:val="00FE5438"/>
    <w:rsid w:val="00FE761D"/>
    <w:rsid w:val="00FF1A7D"/>
    <w:rsid w:val="00FF2732"/>
    <w:rsid w:val="00FF2A29"/>
    <w:rsid w:val="00FF34BD"/>
    <w:rsid w:val="00FF45F6"/>
    <w:rsid w:val="00FF68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C855"/>
  <w15:chartTrackingRefBased/>
  <w15:docId w15:val="{9750C98D-8CB9-DF40-9CF7-0B445200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B3"/>
  </w:style>
  <w:style w:type="paragraph" w:styleId="Heading1">
    <w:name w:val="heading 1"/>
    <w:basedOn w:val="Normal"/>
    <w:next w:val="Normal"/>
    <w:link w:val="Heading1Char"/>
    <w:uiPriority w:val="9"/>
    <w:qFormat/>
    <w:rsid w:val="00D717A2"/>
    <w:pPr>
      <w:keepNext/>
      <w:keepLines/>
      <w:spacing w:before="120" w:after="360" w:line="480" w:lineRule="auto"/>
      <w:outlineLvl w:val="0"/>
    </w:pPr>
    <w:rPr>
      <w:rFonts w:eastAsiaTheme="majorEastAsia" w:cstheme="majorBidi"/>
      <w:b/>
      <w:color w:val="000000" w:themeColor="text1"/>
      <w:szCs w:val="40"/>
    </w:rPr>
  </w:style>
  <w:style w:type="paragraph" w:styleId="Heading2">
    <w:name w:val="heading 2"/>
    <w:basedOn w:val="Normal"/>
    <w:next w:val="Normal"/>
    <w:link w:val="Heading2Char"/>
    <w:uiPriority w:val="9"/>
    <w:unhideWhenUsed/>
    <w:qFormat/>
    <w:rsid w:val="006572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72B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72B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572B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572B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72B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72B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72B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A2"/>
    <w:rPr>
      <w:rFonts w:eastAsiaTheme="majorEastAsia" w:cstheme="majorBidi"/>
      <w:b/>
      <w:color w:val="000000" w:themeColor="text1"/>
      <w:szCs w:val="40"/>
    </w:rPr>
  </w:style>
  <w:style w:type="character" w:customStyle="1" w:styleId="Heading2Char">
    <w:name w:val="Heading 2 Char"/>
    <w:basedOn w:val="DefaultParagraphFont"/>
    <w:link w:val="Heading2"/>
    <w:uiPriority w:val="9"/>
    <w:rsid w:val="006572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72B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72B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572B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572B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72B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72B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72B3"/>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6572B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72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2B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72B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572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72B3"/>
    <w:rPr>
      <w:i/>
      <w:iCs/>
      <w:color w:val="404040" w:themeColor="text1" w:themeTint="BF"/>
    </w:rPr>
  </w:style>
  <w:style w:type="paragraph" w:styleId="ListParagraph">
    <w:name w:val="List Paragraph"/>
    <w:aliases w:val="List Paragraph 1,Numbered Paras"/>
    <w:basedOn w:val="Normal"/>
    <w:link w:val="ListParagraphChar"/>
    <w:uiPriority w:val="34"/>
    <w:qFormat/>
    <w:rsid w:val="006572B3"/>
    <w:pPr>
      <w:ind w:left="720"/>
      <w:contextualSpacing/>
    </w:pPr>
  </w:style>
  <w:style w:type="character" w:styleId="IntenseEmphasis">
    <w:name w:val="Intense Emphasis"/>
    <w:basedOn w:val="DefaultParagraphFont"/>
    <w:uiPriority w:val="21"/>
    <w:qFormat/>
    <w:rsid w:val="006572B3"/>
    <w:rPr>
      <w:i/>
      <w:iCs/>
      <w:color w:val="0F4761" w:themeColor="accent1" w:themeShade="BF"/>
    </w:rPr>
  </w:style>
  <w:style w:type="paragraph" w:styleId="IntenseQuote">
    <w:name w:val="Intense Quote"/>
    <w:basedOn w:val="Normal"/>
    <w:next w:val="Normal"/>
    <w:link w:val="IntenseQuoteChar"/>
    <w:uiPriority w:val="30"/>
    <w:qFormat/>
    <w:rsid w:val="006572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72B3"/>
    <w:rPr>
      <w:i/>
      <w:iCs/>
      <w:color w:val="0F4761" w:themeColor="accent1" w:themeShade="BF"/>
    </w:rPr>
  </w:style>
  <w:style w:type="character" w:styleId="IntenseReference">
    <w:name w:val="Intense Reference"/>
    <w:basedOn w:val="DefaultParagraphFont"/>
    <w:uiPriority w:val="32"/>
    <w:qFormat/>
    <w:rsid w:val="006572B3"/>
    <w:rPr>
      <w:b/>
      <w:bCs/>
      <w:smallCaps/>
      <w:color w:val="0F4761" w:themeColor="accent1" w:themeShade="BF"/>
      <w:spacing w:val="5"/>
    </w:rPr>
  </w:style>
  <w:style w:type="table" w:styleId="TableGrid">
    <w:name w:val="Table Grid"/>
    <w:basedOn w:val="TableNormal"/>
    <w:uiPriority w:val="39"/>
    <w:rsid w:val="0065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Numbered Paras Char"/>
    <w:link w:val="ListParagraph"/>
    <w:uiPriority w:val="34"/>
    <w:qFormat/>
    <w:locked/>
    <w:rsid w:val="006572B3"/>
  </w:style>
  <w:style w:type="paragraph" w:styleId="Header">
    <w:name w:val="header"/>
    <w:basedOn w:val="Normal"/>
    <w:link w:val="HeaderChar"/>
    <w:uiPriority w:val="99"/>
    <w:unhideWhenUsed/>
    <w:rsid w:val="00A16719"/>
    <w:pPr>
      <w:tabs>
        <w:tab w:val="center" w:pos="4513"/>
        <w:tab w:val="right" w:pos="9026"/>
      </w:tabs>
    </w:pPr>
  </w:style>
  <w:style w:type="character" w:customStyle="1" w:styleId="HeaderChar">
    <w:name w:val="Header Char"/>
    <w:basedOn w:val="DefaultParagraphFont"/>
    <w:link w:val="Header"/>
    <w:uiPriority w:val="99"/>
    <w:rsid w:val="00A16719"/>
  </w:style>
  <w:style w:type="character" w:styleId="PageNumber">
    <w:name w:val="page number"/>
    <w:basedOn w:val="DefaultParagraphFont"/>
    <w:uiPriority w:val="99"/>
    <w:semiHidden/>
    <w:unhideWhenUsed/>
    <w:rsid w:val="00A16719"/>
  </w:style>
  <w:style w:type="paragraph" w:styleId="NormalWeb">
    <w:name w:val="Normal (Web)"/>
    <w:basedOn w:val="Normal"/>
    <w:uiPriority w:val="99"/>
    <w:unhideWhenUsed/>
    <w:rsid w:val="00FB4873"/>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FB4873"/>
    <w:rPr>
      <w:color w:val="0000FF"/>
      <w:u w:val="single"/>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5_G,Char Char Ch"/>
    <w:basedOn w:val="Normal"/>
    <w:link w:val="FootnoteTextChar"/>
    <w:uiPriority w:val="99"/>
    <w:unhideWhenUsed/>
    <w:qFormat/>
    <w:rsid w:val="001010E0"/>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1010E0"/>
    <w:rPr>
      <w:sz w:val="20"/>
      <w:szCs w:val="20"/>
    </w:rPr>
  </w:style>
  <w:style w:type="character" w:styleId="FootnoteReference">
    <w:name w:val="footnote reference"/>
    <w:aliases w:val="Footnote Reference + Superscript,Ref,de nota al pie,註腳內容,Footnotes refss,fr,4_G"/>
    <w:basedOn w:val="DefaultParagraphFont"/>
    <w:uiPriority w:val="99"/>
    <w:unhideWhenUsed/>
    <w:qFormat/>
    <w:rsid w:val="001010E0"/>
    <w:rPr>
      <w:vertAlign w:val="superscript"/>
    </w:rPr>
  </w:style>
  <w:style w:type="paragraph" w:customStyle="1" w:styleId="lg-a-1">
    <w:name w:val="lg-a-1"/>
    <w:basedOn w:val="Normal"/>
    <w:rsid w:val="002C3879"/>
    <w:pPr>
      <w:spacing w:before="100" w:beforeAutospacing="1" w:after="100" w:afterAutospacing="1"/>
    </w:pPr>
    <w:rPr>
      <w:rFonts w:ascii="Times New Roman" w:eastAsia="Times New Roman" w:hAnsi="Times New Roman"/>
      <w:lang w:eastAsia="en-GB"/>
    </w:rPr>
  </w:style>
  <w:style w:type="numbering" w:customStyle="1" w:styleId="CurrentList1">
    <w:name w:val="Current List1"/>
    <w:uiPriority w:val="99"/>
    <w:rsid w:val="00780E9C"/>
    <w:pPr>
      <w:numPr>
        <w:numId w:val="5"/>
      </w:numPr>
    </w:pPr>
  </w:style>
  <w:style w:type="paragraph" w:customStyle="1" w:styleId="com-footnotes">
    <w:name w:val="com-footnotes"/>
    <w:basedOn w:val="Normal"/>
    <w:rsid w:val="00286952"/>
    <w:pPr>
      <w:spacing w:before="100" w:beforeAutospacing="1" w:after="100" w:afterAutospacing="1"/>
    </w:pPr>
    <w:rPr>
      <w:rFonts w:ascii="Times New Roman" w:eastAsia="Times New Roman" w:hAnsi="Times New Roman"/>
      <w:lang w:eastAsia="en-GB"/>
    </w:rPr>
  </w:style>
  <w:style w:type="character" w:customStyle="1" w:styleId="mc">
    <w:name w:val="mc"/>
    <w:basedOn w:val="DefaultParagraphFont"/>
    <w:rsid w:val="00730A6F"/>
  </w:style>
  <w:style w:type="paragraph" w:styleId="Revision">
    <w:name w:val="Revision"/>
    <w:hidden/>
    <w:uiPriority w:val="99"/>
    <w:semiHidden/>
    <w:rsid w:val="00A24B79"/>
  </w:style>
  <w:style w:type="character" w:customStyle="1" w:styleId="footnoteanchor">
    <w:name w:val="footnoteanchor"/>
    <w:basedOn w:val="DefaultParagraphFont"/>
    <w:rsid w:val="002B32AC"/>
  </w:style>
  <w:style w:type="paragraph" w:customStyle="1" w:styleId="BowLevel1ListAlt">
    <w:name w:val="Bow_Level 1 List Alt+["/>
    <w:basedOn w:val="Normal"/>
    <w:rsid w:val="00BA6A8B"/>
    <w:pPr>
      <w:numPr>
        <w:numId w:val="8"/>
      </w:numPr>
    </w:pPr>
    <w:rPr>
      <w:rFonts w:ascii="Times New Roman" w:eastAsia="Times New Roman" w:hAnsi="Times New Roman"/>
      <w:lang w:eastAsia="en-GB"/>
    </w:rPr>
  </w:style>
  <w:style w:type="paragraph" w:customStyle="1" w:styleId="BowLevel2ListAlt">
    <w:name w:val="Bow_Level 2 List Alt ]"/>
    <w:basedOn w:val="Normal"/>
    <w:rsid w:val="00BA6A8B"/>
    <w:pPr>
      <w:numPr>
        <w:ilvl w:val="1"/>
        <w:numId w:val="8"/>
      </w:numPr>
    </w:pPr>
    <w:rPr>
      <w:rFonts w:ascii="Times New Roman" w:eastAsia="Times New Roman" w:hAnsi="Times New Roman"/>
      <w:lang w:eastAsia="en-GB"/>
    </w:rPr>
  </w:style>
  <w:style w:type="paragraph" w:customStyle="1" w:styleId="BowLevel3ListAlt">
    <w:name w:val="Bow_Level 3 List Alt+'"/>
    <w:basedOn w:val="Normal"/>
    <w:rsid w:val="00BA6A8B"/>
    <w:pPr>
      <w:numPr>
        <w:ilvl w:val="2"/>
        <w:numId w:val="8"/>
      </w:numPr>
    </w:pPr>
    <w:rPr>
      <w:rFonts w:ascii="Times New Roman" w:eastAsia="Times New Roman" w:hAnsi="Times New Roman"/>
      <w:lang w:eastAsia="en-GB"/>
    </w:rPr>
  </w:style>
  <w:style w:type="paragraph" w:customStyle="1" w:styleId="BowLevel4ListAlt">
    <w:name w:val="Bow_Level 4 List Alt+/"/>
    <w:basedOn w:val="Normal"/>
    <w:rsid w:val="00BA6A8B"/>
    <w:pPr>
      <w:numPr>
        <w:ilvl w:val="3"/>
        <w:numId w:val="8"/>
      </w:numPr>
    </w:pPr>
    <w:rPr>
      <w:rFonts w:ascii="Times New Roman" w:eastAsia="Times New Roman" w:hAnsi="Times New Roman"/>
      <w:lang w:eastAsia="en-GB"/>
    </w:rPr>
  </w:style>
  <w:style w:type="paragraph" w:customStyle="1" w:styleId="BowLevel5ListAlt">
    <w:name w:val="Bow_Level 5 List Alt+."/>
    <w:basedOn w:val="Normal"/>
    <w:rsid w:val="00BA6A8B"/>
    <w:pPr>
      <w:numPr>
        <w:ilvl w:val="4"/>
        <w:numId w:val="8"/>
      </w:numPr>
    </w:pPr>
    <w:rPr>
      <w:rFonts w:ascii="Times New Roman" w:eastAsia="Times New Roman" w:hAnsi="Times New Roman"/>
      <w:lang w:eastAsia="en-GB"/>
    </w:rPr>
  </w:style>
  <w:style w:type="paragraph" w:customStyle="1" w:styleId="BowLevel6ListAlt">
    <w:name w:val="Bow_Level 6 List Alt+"/>
    <w:basedOn w:val="Normal"/>
    <w:rsid w:val="00BA6A8B"/>
    <w:pPr>
      <w:numPr>
        <w:ilvl w:val="5"/>
        <w:numId w:val="8"/>
      </w:numPr>
    </w:pPr>
    <w:rPr>
      <w:rFonts w:ascii="Times New Roman" w:eastAsia="Times New Roman" w:hAnsi="Times New Roman"/>
      <w:lang w:eastAsia="en-GB"/>
    </w:rPr>
  </w:style>
  <w:style w:type="paragraph" w:customStyle="1" w:styleId="BowLevel7ListAltM">
    <w:name w:val="Bow_Level 7 List Alt+M"/>
    <w:basedOn w:val="Normal"/>
    <w:rsid w:val="00BA6A8B"/>
    <w:pPr>
      <w:numPr>
        <w:ilvl w:val="6"/>
        <w:numId w:val="8"/>
      </w:numPr>
    </w:pPr>
    <w:rPr>
      <w:rFonts w:ascii="Times New Roman" w:eastAsia="Times New Roman" w:hAnsi="Times New Roman"/>
      <w:lang w:eastAsia="en-GB"/>
    </w:rPr>
  </w:style>
  <w:style w:type="paragraph" w:customStyle="1" w:styleId="Quote1">
    <w:name w:val="Quote1"/>
    <w:basedOn w:val="Normal"/>
    <w:rsid w:val="00682814"/>
    <w:pPr>
      <w:spacing w:before="100" w:beforeAutospacing="1" w:after="100" w:afterAutospacing="1"/>
    </w:pPr>
    <w:rPr>
      <w:rFonts w:ascii="Times New Roman" w:eastAsia="Times New Roman" w:hAnsi="Times New Roman"/>
      <w:lang w:eastAsia="en-GB"/>
    </w:rPr>
  </w:style>
  <w:style w:type="paragraph" w:customStyle="1" w:styleId="lrpara">
    <w:name w:val="lrpara"/>
    <w:basedOn w:val="Normal"/>
    <w:rsid w:val="003340E5"/>
    <w:pPr>
      <w:spacing w:before="100" w:beforeAutospacing="1" w:after="100" w:afterAutospacing="1"/>
    </w:pPr>
    <w:rPr>
      <w:rFonts w:ascii="Times New Roman" w:eastAsia="Times New Roman" w:hAnsi="Times New Roman"/>
      <w:lang w:eastAsia="en-GB"/>
    </w:rPr>
  </w:style>
  <w:style w:type="paragraph" w:customStyle="1" w:styleId="pageno">
    <w:name w:val="pageno"/>
    <w:basedOn w:val="Normal"/>
    <w:rsid w:val="00F336A8"/>
    <w:pPr>
      <w:spacing w:before="100" w:beforeAutospacing="1" w:after="100" w:afterAutospacing="1"/>
    </w:pPr>
    <w:rPr>
      <w:rFonts w:ascii="Times New Roman" w:eastAsia="Times New Roman" w:hAnsi="Times New Roman"/>
      <w:lang w:eastAsia="en-GB"/>
    </w:rPr>
  </w:style>
  <w:style w:type="paragraph" w:customStyle="1" w:styleId="lrjudgecont">
    <w:name w:val="lrjudgecont"/>
    <w:basedOn w:val="Normal"/>
    <w:rsid w:val="00F336A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005">
      <w:bodyDiv w:val="1"/>
      <w:marLeft w:val="0"/>
      <w:marRight w:val="0"/>
      <w:marTop w:val="0"/>
      <w:marBottom w:val="0"/>
      <w:divBdr>
        <w:top w:val="none" w:sz="0" w:space="0" w:color="auto"/>
        <w:left w:val="none" w:sz="0" w:space="0" w:color="auto"/>
        <w:bottom w:val="none" w:sz="0" w:space="0" w:color="auto"/>
        <w:right w:val="none" w:sz="0" w:space="0" w:color="auto"/>
      </w:divBdr>
    </w:div>
    <w:div w:id="318076703">
      <w:bodyDiv w:val="1"/>
      <w:marLeft w:val="0"/>
      <w:marRight w:val="0"/>
      <w:marTop w:val="0"/>
      <w:marBottom w:val="0"/>
      <w:divBdr>
        <w:top w:val="none" w:sz="0" w:space="0" w:color="auto"/>
        <w:left w:val="none" w:sz="0" w:space="0" w:color="auto"/>
        <w:bottom w:val="none" w:sz="0" w:space="0" w:color="auto"/>
        <w:right w:val="none" w:sz="0" w:space="0" w:color="auto"/>
      </w:divBdr>
    </w:div>
    <w:div w:id="959185906">
      <w:bodyDiv w:val="1"/>
      <w:marLeft w:val="0"/>
      <w:marRight w:val="0"/>
      <w:marTop w:val="0"/>
      <w:marBottom w:val="0"/>
      <w:divBdr>
        <w:top w:val="none" w:sz="0" w:space="0" w:color="auto"/>
        <w:left w:val="none" w:sz="0" w:space="0" w:color="auto"/>
        <w:bottom w:val="none" w:sz="0" w:space="0" w:color="auto"/>
        <w:right w:val="none" w:sz="0" w:space="0" w:color="auto"/>
      </w:divBdr>
    </w:div>
    <w:div w:id="1085612973">
      <w:bodyDiv w:val="1"/>
      <w:marLeft w:val="0"/>
      <w:marRight w:val="0"/>
      <w:marTop w:val="0"/>
      <w:marBottom w:val="0"/>
      <w:divBdr>
        <w:top w:val="none" w:sz="0" w:space="0" w:color="auto"/>
        <w:left w:val="none" w:sz="0" w:space="0" w:color="auto"/>
        <w:bottom w:val="none" w:sz="0" w:space="0" w:color="auto"/>
        <w:right w:val="none" w:sz="0" w:space="0" w:color="auto"/>
      </w:divBdr>
      <w:divsChild>
        <w:div w:id="60083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30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582188">
      <w:bodyDiv w:val="1"/>
      <w:marLeft w:val="0"/>
      <w:marRight w:val="0"/>
      <w:marTop w:val="0"/>
      <w:marBottom w:val="0"/>
      <w:divBdr>
        <w:top w:val="none" w:sz="0" w:space="0" w:color="auto"/>
        <w:left w:val="none" w:sz="0" w:space="0" w:color="auto"/>
        <w:bottom w:val="none" w:sz="0" w:space="0" w:color="auto"/>
        <w:right w:val="none" w:sz="0" w:space="0" w:color="auto"/>
      </w:divBdr>
    </w:div>
    <w:div w:id="1266428058">
      <w:bodyDiv w:val="1"/>
      <w:marLeft w:val="0"/>
      <w:marRight w:val="0"/>
      <w:marTop w:val="0"/>
      <w:marBottom w:val="0"/>
      <w:divBdr>
        <w:top w:val="none" w:sz="0" w:space="0" w:color="auto"/>
        <w:left w:val="none" w:sz="0" w:space="0" w:color="auto"/>
        <w:bottom w:val="none" w:sz="0" w:space="0" w:color="auto"/>
        <w:right w:val="none" w:sz="0" w:space="0" w:color="auto"/>
      </w:divBdr>
    </w:div>
    <w:div w:id="1316181152">
      <w:bodyDiv w:val="1"/>
      <w:marLeft w:val="0"/>
      <w:marRight w:val="0"/>
      <w:marTop w:val="0"/>
      <w:marBottom w:val="0"/>
      <w:divBdr>
        <w:top w:val="none" w:sz="0" w:space="0" w:color="auto"/>
        <w:left w:val="none" w:sz="0" w:space="0" w:color="auto"/>
        <w:bottom w:val="none" w:sz="0" w:space="0" w:color="auto"/>
        <w:right w:val="none" w:sz="0" w:space="0" w:color="auto"/>
      </w:divBdr>
    </w:div>
    <w:div w:id="1418356670">
      <w:bodyDiv w:val="1"/>
      <w:marLeft w:val="0"/>
      <w:marRight w:val="0"/>
      <w:marTop w:val="0"/>
      <w:marBottom w:val="0"/>
      <w:divBdr>
        <w:top w:val="none" w:sz="0" w:space="0" w:color="auto"/>
        <w:left w:val="none" w:sz="0" w:space="0" w:color="auto"/>
        <w:bottom w:val="none" w:sz="0" w:space="0" w:color="auto"/>
        <w:right w:val="none" w:sz="0" w:space="0" w:color="auto"/>
      </w:divBdr>
    </w:div>
    <w:div w:id="1626616884">
      <w:bodyDiv w:val="1"/>
      <w:marLeft w:val="0"/>
      <w:marRight w:val="0"/>
      <w:marTop w:val="0"/>
      <w:marBottom w:val="0"/>
      <w:divBdr>
        <w:top w:val="none" w:sz="0" w:space="0" w:color="auto"/>
        <w:left w:val="none" w:sz="0" w:space="0" w:color="auto"/>
        <w:bottom w:val="none" w:sz="0" w:space="0" w:color="auto"/>
        <w:right w:val="none" w:sz="0" w:space="0" w:color="auto"/>
      </w:divBdr>
    </w:div>
    <w:div w:id="2009864844">
      <w:bodyDiv w:val="1"/>
      <w:marLeft w:val="0"/>
      <w:marRight w:val="0"/>
      <w:marTop w:val="0"/>
      <w:marBottom w:val="0"/>
      <w:divBdr>
        <w:top w:val="none" w:sz="0" w:space="0" w:color="auto"/>
        <w:left w:val="none" w:sz="0" w:space="0" w:color="auto"/>
        <w:bottom w:val="none" w:sz="0" w:space="0" w:color="auto"/>
        <w:right w:val="none" w:sz="0" w:space="0" w:color="auto"/>
      </w:divBdr>
    </w:div>
    <w:div w:id="20605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Mushahida Adhikari</dc:creator>
  <cp:keywords/>
  <dc:description/>
  <cp:lastModifiedBy>Mary Bruce</cp:lastModifiedBy>
  <cp:revision>3</cp:revision>
  <dcterms:created xsi:type="dcterms:W3CDTF">2024-02-05T08:59:00Z</dcterms:created>
  <dcterms:modified xsi:type="dcterms:W3CDTF">2024-02-06T10:11:00Z</dcterms:modified>
</cp:coreProperties>
</file>