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8F593" w14:textId="441D44B0" w:rsidR="00302338" w:rsidRDefault="00302338" w:rsidP="00302338">
      <w:pPr>
        <w:jc w:val="center"/>
      </w:pPr>
      <w:bookmarkStart w:id="0" w:name="_GoBack"/>
      <w:bookmarkEnd w:id="0"/>
      <w:r>
        <w:rPr>
          <w:noProof/>
          <w:lang w:val="en-ZA" w:eastAsia="en-ZA"/>
        </w:rPr>
        <w:drawing>
          <wp:inline distT="0" distB="0" distL="0" distR="0" wp14:anchorId="31E0F02D" wp14:editId="1D6AB8D4">
            <wp:extent cx="841375"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1097280"/>
                    </a:xfrm>
                    <a:prstGeom prst="rect">
                      <a:avLst/>
                    </a:prstGeom>
                    <a:noFill/>
                  </pic:spPr>
                </pic:pic>
              </a:graphicData>
            </a:graphic>
          </wp:inline>
        </w:drawing>
      </w:r>
    </w:p>
    <w:p w14:paraId="7F3F7502" w14:textId="77777777" w:rsidR="00302338" w:rsidRDefault="00302338" w:rsidP="00302338">
      <w:pPr>
        <w:spacing w:after="0" w:line="276" w:lineRule="auto"/>
        <w:jc w:val="center"/>
        <w:rPr>
          <w:rFonts w:ascii="Arial" w:hAnsi="Arial" w:cs="Arial"/>
          <w:b/>
          <w:bCs/>
        </w:rPr>
      </w:pPr>
      <w:r w:rsidRPr="00CB6F5D">
        <w:rPr>
          <w:rFonts w:ascii="Arial" w:eastAsia="Times New Roman" w:hAnsi="Arial" w:cs="Arial"/>
          <w:b/>
          <w:bCs/>
        </w:rPr>
        <w:t>IN THE HIGH COURT OF SOUTH AFRICA</w:t>
      </w:r>
      <w:r>
        <w:rPr>
          <w:rFonts w:ascii="Arial" w:eastAsia="Times New Roman" w:hAnsi="Arial" w:cs="Arial"/>
          <w:b/>
          <w:bCs/>
        </w:rPr>
        <w:t xml:space="preserve">                </w:t>
      </w:r>
      <w:r>
        <w:rPr>
          <w:rFonts w:ascii="Arial" w:hAnsi="Arial" w:cs="Arial"/>
          <w:b/>
          <w:bCs/>
        </w:rPr>
        <w:t xml:space="preserve">                                        </w:t>
      </w:r>
    </w:p>
    <w:p w14:paraId="4078C3E4" w14:textId="18644F02" w:rsidR="00302338" w:rsidRPr="00F853D5" w:rsidRDefault="00302338" w:rsidP="00302338">
      <w:pPr>
        <w:spacing w:after="0" w:line="276" w:lineRule="auto"/>
        <w:rPr>
          <w:rFonts w:ascii="Arial" w:hAnsi="Arial" w:cs="Arial"/>
          <w:b/>
          <w:bCs/>
          <w:sz w:val="16"/>
          <w:szCs w:val="16"/>
        </w:rPr>
      </w:pPr>
      <w:r>
        <w:rPr>
          <w:rFonts w:ascii="Arial" w:hAnsi="Arial" w:cs="Arial"/>
          <w:b/>
          <w:bCs/>
        </w:rPr>
        <w:t xml:space="preserve">                                         </w:t>
      </w:r>
      <w:r w:rsidRPr="00CB6F5D">
        <w:rPr>
          <w:rFonts w:ascii="Arial" w:hAnsi="Arial" w:cs="Arial"/>
          <w:b/>
          <w:bCs/>
        </w:rPr>
        <w:t>[WESTERN CAPE DIVISION, CAPE TOWN</w:t>
      </w:r>
      <w:r>
        <w:rPr>
          <w:rFonts w:ascii="Arial" w:hAnsi="Arial" w:cs="Arial"/>
          <w:b/>
          <w:bCs/>
        </w:rPr>
        <w:t>]</w:t>
      </w:r>
      <w:r w:rsidR="00F853D5">
        <w:rPr>
          <w:rFonts w:ascii="Arial" w:hAnsi="Arial" w:cs="Arial"/>
          <w:b/>
          <w:bCs/>
        </w:rPr>
        <w:t xml:space="preserve">                 </w:t>
      </w:r>
      <w:r w:rsidR="00F853D5">
        <w:rPr>
          <w:rFonts w:ascii="Arial" w:hAnsi="Arial" w:cs="Arial"/>
          <w:b/>
          <w:bCs/>
          <w:sz w:val="16"/>
          <w:szCs w:val="16"/>
        </w:rPr>
        <w:t>[REPORTABLE]</w:t>
      </w:r>
    </w:p>
    <w:p w14:paraId="33A1BA5B" w14:textId="57A42BFD" w:rsidR="00302338" w:rsidRPr="00086098" w:rsidRDefault="00302338" w:rsidP="00302338">
      <w:pPr>
        <w:spacing w:line="240" w:lineRule="auto"/>
        <w:rPr>
          <w:rFonts w:ascii="Arial" w:eastAsia="Calibri" w:hAnsi="Arial" w:cs="Arial"/>
          <w:bCs/>
          <w:sz w:val="24"/>
          <w:szCs w:val="24"/>
          <w:lang w:val="en-GB"/>
        </w:rPr>
      </w:pPr>
      <w:r w:rsidRPr="00086098">
        <w:t xml:space="preserve">                                                                                            </w:t>
      </w:r>
      <w:r>
        <w:t xml:space="preserve">             </w:t>
      </w:r>
      <w:r w:rsidRPr="00086098">
        <w:t xml:space="preserve"> </w:t>
      </w:r>
      <w:r>
        <w:t xml:space="preserve">                                        </w:t>
      </w:r>
      <w:r w:rsidRPr="00086098">
        <w:rPr>
          <w:rFonts w:ascii="Arial" w:hAnsi="Arial" w:cs="Arial"/>
          <w:sz w:val="24"/>
          <w:szCs w:val="24"/>
        </w:rPr>
        <w:t>Case no.</w:t>
      </w:r>
      <w:r>
        <w:rPr>
          <w:rFonts w:ascii="Arial" w:hAnsi="Arial" w:cs="Arial"/>
          <w:sz w:val="24"/>
          <w:szCs w:val="24"/>
        </w:rPr>
        <w:t xml:space="preserve"> A</w:t>
      </w:r>
      <w:r>
        <w:rPr>
          <w:rFonts w:ascii="Arial" w:eastAsia="Calibri" w:hAnsi="Arial" w:cs="Arial"/>
          <w:bCs/>
          <w:sz w:val="24"/>
          <w:szCs w:val="24"/>
          <w:lang w:val="en-GB"/>
        </w:rPr>
        <w:t>251/22</w:t>
      </w:r>
      <w:r w:rsidRPr="00086098">
        <w:rPr>
          <w:rFonts w:ascii="Arial" w:eastAsia="Calibri" w:hAnsi="Arial" w:cs="Arial"/>
          <w:bCs/>
          <w:sz w:val="24"/>
          <w:szCs w:val="24"/>
          <w:lang w:val="en-GB"/>
        </w:rPr>
        <w:t xml:space="preserve">                                                                                                                                                                                                          </w:t>
      </w:r>
    </w:p>
    <w:p w14:paraId="3347E86C" w14:textId="77777777" w:rsidR="00570D1B" w:rsidRDefault="00302338" w:rsidP="00302338">
      <w:pPr>
        <w:spacing w:before="240" w:after="0" w:line="240" w:lineRule="auto"/>
        <w:rPr>
          <w:rFonts w:ascii="Arial" w:eastAsia="Calibri" w:hAnsi="Arial" w:cs="Arial"/>
          <w:sz w:val="24"/>
          <w:szCs w:val="24"/>
          <w:lang w:val="en-GB"/>
        </w:rPr>
      </w:pPr>
      <w:bookmarkStart w:id="1" w:name="_Hlk9079132"/>
      <w:r w:rsidRPr="00086098">
        <w:rPr>
          <w:rFonts w:ascii="Arial" w:eastAsia="Calibri" w:hAnsi="Arial" w:cs="Arial"/>
          <w:sz w:val="24"/>
          <w:szCs w:val="24"/>
          <w:lang w:val="en-GB"/>
        </w:rPr>
        <w:t>In the matter between:</w:t>
      </w:r>
    </w:p>
    <w:p w14:paraId="1866A086" w14:textId="6C9BE25D" w:rsidR="00302338" w:rsidRDefault="00302338" w:rsidP="00302338">
      <w:pPr>
        <w:spacing w:before="240" w:after="0" w:line="240" w:lineRule="auto"/>
        <w:rPr>
          <w:rFonts w:ascii="Arial" w:eastAsia="Calibri" w:hAnsi="Arial" w:cs="Arial"/>
          <w:sz w:val="24"/>
          <w:szCs w:val="24"/>
          <w:lang w:val="en-GB"/>
        </w:rPr>
      </w:pPr>
      <w:r>
        <w:rPr>
          <w:rFonts w:ascii="Arial" w:eastAsia="Calibri" w:hAnsi="Arial" w:cs="Arial"/>
          <w:sz w:val="24"/>
          <w:szCs w:val="24"/>
          <w:lang w:val="en-GB"/>
        </w:rPr>
        <w:t xml:space="preserve">  </w:t>
      </w:r>
    </w:p>
    <w:p w14:paraId="20BB1411" w14:textId="17775318" w:rsidR="00302338" w:rsidRDefault="00302338" w:rsidP="00302338">
      <w:pPr>
        <w:spacing w:line="240" w:lineRule="auto"/>
        <w:rPr>
          <w:rFonts w:ascii="Arial" w:eastAsia="Calibri" w:hAnsi="Arial" w:cs="Arial"/>
          <w:b/>
          <w:sz w:val="24"/>
          <w:szCs w:val="24"/>
        </w:rPr>
      </w:pPr>
      <w:r>
        <w:rPr>
          <w:rFonts w:ascii="Arial" w:eastAsia="Calibri" w:hAnsi="Arial" w:cs="Arial"/>
          <w:b/>
          <w:sz w:val="24"/>
          <w:szCs w:val="24"/>
        </w:rPr>
        <w:t>TUB</w:t>
      </w:r>
      <w:r w:rsidR="004D1523">
        <w:rPr>
          <w:rFonts w:ascii="Arial" w:eastAsia="Calibri" w:hAnsi="Arial" w:cs="Arial"/>
          <w:b/>
          <w:sz w:val="24"/>
          <w:szCs w:val="24"/>
        </w:rPr>
        <w:t>E</w:t>
      </w:r>
      <w:r>
        <w:rPr>
          <w:rFonts w:ascii="Arial" w:eastAsia="Calibri" w:hAnsi="Arial" w:cs="Arial"/>
          <w:b/>
          <w:sz w:val="24"/>
          <w:szCs w:val="24"/>
        </w:rPr>
        <w:t>STONE (PTY) LTD</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w:t>
      </w:r>
      <w:r w:rsidRPr="0053168A">
        <w:rPr>
          <w:rFonts w:ascii="Arial" w:eastAsia="Calibri" w:hAnsi="Arial" w:cs="Arial"/>
          <w:bCs/>
          <w:sz w:val="24"/>
          <w:szCs w:val="24"/>
        </w:rPr>
        <w:t>App</w:t>
      </w:r>
      <w:r>
        <w:rPr>
          <w:rFonts w:ascii="Arial" w:eastAsia="Calibri" w:hAnsi="Arial" w:cs="Arial"/>
          <w:bCs/>
          <w:sz w:val="24"/>
          <w:szCs w:val="24"/>
        </w:rPr>
        <w:t>e</w:t>
      </w:r>
      <w:r w:rsidRPr="0053168A">
        <w:rPr>
          <w:rFonts w:ascii="Arial" w:eastAsia="Calibri" w:hAnsi="Arial" w:cs="Arial"/>
          <w:bCs/>
          <w:sz w:val="24"/>
          <w:szCs w:val="24"/>
        </w:rPr>
        <w:t>l</w:t>
      </w:r>
      <w:r>
        <w:rPr>
          <w:rFonts w:ascii="Arial" w:eastAsia="Calibri" w:hAnsi="Arial" w:cs="Arial"/>
          <w:bCs/>
          <w:sz w:val="24"/>
          <w:szCs w:val="24"/>
        </w:rPr>
        <w:t>l</w:t>
      </w:r>
      <w:r w:rsidRPr="0053168A">
        <w:rPr>
          <w:rFonts w:ascii="Arial" w:eastAsia="Calibri" w:hAnsi="Arial" w:cs="Arial"/>
          <w:bCs/>
          <w:sz w:val="24"/>
          <w:szCs w:val="24"/>
        </w:rPr>
        <w:t>ant</w:t>
      </w:r>
      <w:bookmarkStart w:id="2" w:name="_Hlk9079308"/>
      <w:r>
        <w:rPr>
          <w:rFonts w:ascii="Arial" w:eastAsia="Calibri" w:hAnsi="Arial" w:cs="Arial"/>
          <w:b/>
          <w:sz w:val="24"/>
          <w:szCs w:val="24"/>
        </w:rPr>
        <w:t xml:space="preserve">                          </w:t>
      </w:r>
    </w:p>
    <w:bookmarkEnd w:id="2"/>
    <w:p w14:paraId="43FD98C8" w14:textId="77777777" w:rsidR="00302338" w:rsidRDefault="00302338" w:rsidP="00302338">
      <w:pPr>
        <w:spacing w:before="240" w:after="0" w:line="240" w:lineRule="auto"/>
        <w:rPr>
          <w:rFonts w:ascii="Arial" w:eastAsia="Calibri" w:hAnsi="Arial" w:cs="Arial"/>
          <w:sz w:val="24"/>
          <w:szCs w:val="24"/>
          <w:lang w:val="en-GB"/>
        </w:rPr>
      </w:pPr>
      <w:r>
        <w:rPr>
          <w:rFonts w:ascii="Arial" w:eastAsia="Calibri" w:hAnsi="Arial" w:cs="Arial"/>
          <w:sz w:val="24"/>
          <w:szCs w:val="24"/>
        </w:rPr>
        <w:t>and</w:t>
      </w:r>
      <w:r>
        <w:rPr>
          <w:rFonts w:ascii="Arial" w:eastAsia="Calibri" w:hAnsi="Arial" w:cs="Arial"/>
          <w:b/>
          <w:sz w:val="24"/>
          <w:szCs w:val="24"/>
        </w:rPr>
        <w:t xml:space="preserve">    </w:t>
      </w:r>
    </w:p>
    <w:p w14:paraId="72DB0ADE" w14:textId="77777777" w:rsidR="00302338" w:rsidRDefault="00302338" w:rsidP="00302338">
      <w:pPr>
        <w:spacing w:after="0" w:line="240" w:lineRule="auto"/>
        <w:rPr>
          <w:rFonts w:ascii="Arial" w:eastAsia="Calibri" w:hAnsi="Arial" w:cs="Arial"/>
          <w:b/>
          <w:sz w:val="24"/>
          <w:szCs w:val="24"/>
        </w:rPr>
      </w:pPr>
      <w:bookmarkStart w:id="3" w:name="_Hlk9079232"/>
      <w:bookmarkStart w:id="4" w:name="_Hlk523661029"/>
      <w:bookmarkStart w:id="5" w:name="_Hlk523661394"/>
      <w:bookmarkEnd w:id="1"/>
    </w:p>
    <w:p w14:paraId="1AE639CA" w14:textId="5127D916" w:rsidR="00302338" w:rsidRDefault="003C1F24" w:rsidP="00302338">
      <w:pPr>
        <w:spacing w:after="0" w:line="240" w:lineRule="auto"/>
        <w:rPr>
          <w:rFonts w:ascii="Arial" w:eastAsia="Calibri" w:hAnsi="Arial" w:cs="Arial"/>
          <w:b/>
          <w:sz w:val="24"/>
          <w:szCs w:val="24"/>
        </w:rPr>
      </w:pPr>
      <w:r>
        <w:rPr>
          <w:rFonts w:ascii="Arial" w:eastAsia="Calibri" w:hAnsi="Arial" w:cs="Arial"/>
          <w:b/>
          <w:sz w:val="24"/>
          <w:szCs w:val="24"/>
        </w:rPr>
        <w:t xml:space="preserve">THE </w:t>
      </w:r>
      <w:r w:rsidR="00302338">
        <w:rPr>
          <w:rFonts w:ascii="Arial" w:eastAsia="Calibri" w:hAnsi="Arial" w:cs="Arial"/>
          <w:b/>
          <w:sz w:val="24"/>
          <w:szCs w:val="24"/>
        </w:rPr>
        <w:t>RE</w:t>
      </w:r>
      <w:bookmarkStart w:id="6" w:name="_Hlk21012028"/>
      <w:r w:rsidR="00302338">
        <w:rPr>
          <w:rFonts w:ascii="Arial" w:eastAsia="Calibri" w:hAnsi="Arial" w:cs="Arial"/>
          <w:b/>
          <w:sz w:val="24"/>
          <w:szCs w:val="24"/>
        </w:rPr>
        <w:t>CYCLING &amp; ECO</w:t>
      </w:r>
      <w:r w:rsidR="002B6E17">
        <w:rPr>
          <w:rFonts w:ascii="Arial" w:eastAsia="Calibri" w:hAnsi="Arial" w:cs="Arial"/>
          <w:b/>
          <w:sz w:val="24"/>
          <w:szCs w:val="24"/>
        </w:rPr>
        <w:t>N</w:t>
      </w:r>
      <w:r w:rsidR="00302338">
        <w:rPr>
          <w:rFonts w:ascii="Arial" w:eastAsia="Calibri" w:hAnsi="Arial" w:cs="Arial"/>
          <w:b/>
          <w:sz w:val="24"/>
          <w:szCs w:val="24"/>
        </w:rPr>
        <w:t>O</w:t>
      </w:r>
      <w:r>
        <w:rPr>
          <w:rFonts w:ascii="Arial" w:eastAsia="Calibri" w:hAnsi="Arial" w:cs="Arial"/>
          <w:b/>
          <w:sz w:val="24"/>
          <w:szCs w:val="24"/>
        </w:rPr>
        <w:t>M</w:t>
      </w:r>
      <w:r w:rsidR="00302338">
        <w:rPr>
          <w:rFonts w:ascii="Arial" w:eastAsia="Calibri" w:hAnsi="Arial" w:cs="Arial"/>
          <w:b/>
          <w:sz w:val="24"/>
          <w:szCs w:val="24"/>
        </w:rPr>
        <w:t>IC DEVELOPMENT</w:t>
      </w:r>
    </w:p>
    <w:p w14:paraId="583CDB29" w14:textId="090BA0DB" w:rsidR="00302338" w:rsidRDefault="00302338" w:rsidP="00302338">
      <w:pPr>
        <w:spacing w:after="0" w:line="240" w:lineRule="auto"/>
        <w:rPr>
          <w:rFonts w:ascii="Arial" w:eastAsia="Calibri" w:hAnsi="Arial" w:cs="Arial"/>
          <w:bCs/>
          <w:sz w:val="24"/>
          <w:szCs w:val="24"/>
        </w:rPr>
      </w:pPr>
      <w:r>
        <w:rPr>
          <w:rFonts w:ascii="Arial" w:eastAsia="Calibri" w:hAnsi="Arial" w:cs="Arial"/>
          <w:b/>
          <w:sz w:val="24"/>
          <w:szCs w:val="24"/>
        </w:rPr>
        <w:t>INITIATIVE OF SOUTH AFRICA NPC</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Cs/>
          <w:sz w:val="24"/>
          <w:szCs w:val="24"/>
        </w:rPr>
        <w:t xml:space="preserve">                          </w:t>
      </w:r>
      <w:bookmarkEnd w:id="6"/>
      <w:r>
        <w:rPr>
          <w:rFonts w:ascii="Arial" w:eastAsia="Calibri" w:hAnsi="Arial" w:cs="Arial"/>
          <w:bCs/>
          <w:sz w:val="24"/>
          <w:szCs w:val="24"/>
        </w:rPr>
        <w:t xml:space="preserve">        </w:t>
      </w:r>
      <w:r w:rsidRPr="00086098">
        <w:rPr>
          <w:rFonts w:ascii="Arial" w:eastAsia="Calibri" w:hAnsi="Arial" w:cs="Arial"/>
          <w:bCs/>
          <w:sz w:val="24"/>
          <w:szCs w:val="24"/>
          <w:lang w:val="en-GB"/>
        </w:rPr>
        <w:t>Respondent</w:t>
      </w:r>
      <w:r>
        <w:rPr>
          <w:rFonts w:ascii="Arial" w:eastAsia="Calibri" w:hAnsi="Arial" w:cs="Arial"/>
          <w:b/>
          <w:sz w:val="24"/>
          <w:szCs w:val="24"/>
        </w:rPr>
        <w:t xml:space="preserve">                </w:t>
      </w:r>
    </w:p>
    <w:p w14:paraId="31B09F1E" w14:textId="77777777" w:rsidR="00302338" w:rsidRDefault="00302338" w:rsidP="00302338">
      <w:pPr>
        <w:spacing w:after="0" w:line="240" w:lineRule="auto"/>
        <w:rPr>
          <w:rFonts w:ascii="Arial" w:eastAsia="Calibri" w:hAnsi="Arial" w:cs="Arial"/>
          <w:bCs/>
          <w:sz w:val="24"/>
          <w:szCs w:val="24"/>
        </w:rPr>
      </w:pPr>
    </w:p>
    <w:bookmarkEnd w:id="3"/>
    <w:bookmarkEnd w:id="4"/>
    <w:bookmarkEnd w:id="5"/>
    <w:p w14:paraId="0D2B981F" w14:textId="77777777" w:rsidR="00302338" w:rsidRPr="00086098" w:rsidRDefault="00302338" w:rsidP="00302338">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lang w:val="en-GB"/>
        </w:rPr>
      </w:pPr>
    </w:p>
    <w:p w14:paraId="5C778F50" w14:textId="77777777" w:rsidR="00302338" w:rsidRPr="00086098" w:rsidRDefault="00302338" w:rsidP="00302338">
      <w:pPr>
        <w:adjustRightInd w:val="0"/>
        <w:spacing w:after="0" w:line="240" w:lineRule="auto"/>
        <w:jc w:val="both"/>
        <w:textAlignment w:val="baseline"/>
        <w:rPr>
          <w:rFonts w:ascii="Arial" w:eastAsia="Times New Roman" w:hAnsi="Arial" w:cs="Arial"/>
          <w:b/>
          <w:bCs/>
          <w:snapToGrid w:val="0"/>
          <w:sz w:val="24"/>
          <w:szCs w:val="24"/>
          <w:lang w:val="en-GB"/>
        </w:rPr>
      </w:pPr>
    </w:p>
    <w:p w14:paraId="71C1D6C9" w14:textId="6A8C2FD9" w:rsidR="00302338" w:rsidRPr="00086098" w:rsidRDefault="00302338" w:rsidP="00302338">
      <w:pPr>
        <w:adjustRightInd w:val="0"/>
        <w:spacing w:after="0" w:line="240" w:lineRule="auto"/>
        <w:jc w:val="center"/>
        <w:textAlignment w:val="baseline"/>
        <w:rPr>
          <w:rFonts w:ascii="Arial" w:eastAsia="Times New Roman" w:hAnsi="Arial" w:cs="Arial"/>
          <w:b/>
          <w:bCs/>
          <w:snapToGrid w:val="0"/>
          <w:sz w:val="24"/>
          <w:szCs w:val="24"/>
          <w:lang w:val="en-GB"/>
        </w:rPr>
      </w:pPr>
      <w:r>
        <w:rPr>
          <w:rFonts w:ascii="Arial" w:eastAsia="Times New Roman" w:hAnsi="Arial" w:cs="Arial"/>
          <w:b/>
          <w:bCs/>
          <w:snapToGrid w:val="0"/>
          <w:sz w:val="24"/>
          <w:szCs w:val="24"/>
          <w:lang w:val="en-GB"/>
        </w:rPr>
        <w:t xml:space="preserve"> </w:t>
      </w:r>
      <w:r w:rsidRPr="00086098">
        <w:rPr>
          <w:rFonts w:ascii="Arial" w:eastAsia="Times New Roman" w:hAnsi="Arial" w:cs="Arial"/>
          <w:b/>
          <w:bCs/>
          <w:snapToGrid w:val="0"/>
          <w:sz w:val="24"/>
          <w:szCs w:val="24"/>
          <w:lang w:val="en-GB"/>
        </w:rPr>
        <w:t xml:space="preserve">JUDGMENT DELIVERED </w:t>
      </w:r>
      <w:r>
        <w:rPr>
          <w:rFonts w:ascii="Arial" w:eastAsia="Times New Roman" w:hAnsi="Arial" w:cs="Arial"/>
          <w:b/>
          <w:bCs/>
          <w:snapToGrid w:val="0"/>
          <w:sz w:val="24"/>
          <w:szCs w:val="24"/>
          <w:lang w:val="en-GB"/>
        </w:rPr>
        <w:t xml:space="preserve">(VIA EMAIL) </w:t>
      </w:r>
      <w:r w:rsidRPr="00086098">
        <w:rPr>
          <w:rFonts w:ascii="Arial" w:eastAsia="Times New Roman" w:hAnsi="Arial" w:cs="Arial"/>
          <w:b/>
          <w:bCs/>
          <w:snapToGrid w:val="0"/>
          <w:sz w:val="24"/>
          <w:szCs w:val="24"/>
          <w:lang w:val="en-GB"/>
        </w:rPr>
        <w:t>ON</w:t>
      </w:r>
      <w:r w:rsidR="001B345A">
        <w:rPr>
          <w:rFonts w:ascii="Arial" w:eastAsia="Times New Roman" w:hAnsi="Arial" w:cs="Arial"/>
          <w:b/>
          <w:bCs/>
          <w:snapToGrid w:val="0"/>
          <w:sz w:val="24"/>
          <w:szCs w:val="24"/>
          <w:lang w:val="en-GB"/>
        </w:rPr>
        <w:t xml:space="preserve"> </w:t>
      </w:r>
      <w:r w:rsidR="00BB29E4">
        <w:rPr>
          <w:rFonts w:ascii="Arial" w:eastAsia="Times New Roman" w:hAnsi="Arial" w:cs="Arial"/>
          <w:b/>
          <w:bCs/>
          <w:snapToGrid w:val="0"/>
          <w:sz w:val="24"/>
          <w:szCs w:val="24"/>
          <w:lang w:val="en-GB"/>
        </w:rPr>
        <w:t>5</w:t>
      </w:r>
      <w:r>
        <w:rPr>
          <w:rFonts w:ascii="Arial" w:eastAsia="Times New Roman" w:hAnsi="Arial" w:cs="Arial"/>
          <w:b/>
          <w:bCs/>
          <w:snapToGrid w:val="0"/>
          <w:sz w:val="24"/>
          <w:szCs w:val="24"/>
          <w:lang w:val="en-GB"/>
        </w:rPr>
        <w:t xml:space="preserve"> </w:t>
      </w:r>
      <w:r w:rsidR="00F54EEB">
        <w:rPr>
          <w:rFonts w:ascii="Arial" w:eastAsia="Times New Roman" w:hAnsi="Arial" w:cs="Arial"/>
          <w:b/>
          <w:bCs/>
          <w:snapToGrid w:val="0"/>
          <w:sz w:val="24"/>
          <w:szCs w:val="24"/>
          <w:lang w:val="en-GB"/>
        </w:rPr>
        <w:t>FEBR</w:t>
      </w:r>
      <w:r>
        <w:rPr>
          <w:rFonts w:ascii="Arial" w:eastAsia="Times New Roman" w:hAnsi="Arial" w:cs="Arial"/>
          <w:b/>
          <w:bCs/>
          <w:snapToGrid w:val="0"/>
          <w:sz w:val="24"/>
          <w:szCs w:val="24"/>
          <w:lang w:val="en-GB"/>
        </w:rPr>
        <w:t xml:space="preserve">UARY </w:t>
      </w:r>
      <w:r w:rsidRPr="00086098">
        <w:rPr>
          <w:rFonts w:ascii="Arial" w:eastAsia="Times New Roman" w:hAnsi="Arial" w:cs="Arial"/>
          <w:b/>
          <w:bCs/>
          <w:snapToGrid w:val="0"/>
          <w:sz w:val="24"/>
          <w:szCs w:val="24"/>
          <w:lang w:val="en-GB"/>
        </w:rPr>
        <w:t>20</w:t>
      </w:r>
      <w:r>
        <w:rPr>
          <w:rFonts w:ascii="Arial" w:eastAsia="Times New Roman" w:hAnsi="Arial" w:cs="Arial"/>
          <w:b/>
          <w:bCs/>
          <w:snapToGrid w:val="0"/>
          <w:sz w:val="24"/>
          <w:szCs w:val="24"/>
          <w:lang w:val="en-GB"/>
        </w:rPr>
        <w:t>24</w:t>
      </w:r>
      <w:r w:rsidRPr="00086098">
        <w:rPr>
          <w:rFonts w:ascii="Arial" w:eastAsia="Times New Roman" w:hAnsi="Arial" w:cs="Arial"/>
          <w:b/>
          <w:bCs/>
          <w:snapToGrid w:val="0"/>
          <w:sz w:val="24"/>
          <w:szCs w:val="24"/>
          <w:lang w:val="en-GB"/>
        </w:rPr>
        <w:t xml:space="preserve">   </w:t>
      </w:r>
    </w:p>
    <w:p w14:paraId="3459DE59" w14:textId="77777777" w:rsidR="00302338" w:rsidRPr="00086098" w:rsidRDefault="00302338" w:rsidP="00302338">
      <w:pPr>
        <w:adjustRightInd w:val="0"/>
        <w:spacing w:after="0" w:line="240" w:lineRule="auto"/>
        <w:jc w:val="both"/>
        <w:textAlignment w:val="baseline"/>
        <w:rPr>
          <w:rFonts w:ascii="Arial" w:eastAsia="Times New Roman" w:hAnsi="Arial" w:cs="Arial"/>
          <w:b/>
          <w:bCs/>
          <w:snapToGrid w:val="0"/>
          <w:sz w:val="24"/>
          <w:szCs w:val="24"/>
          <w:lang w:val="en-GB"/>
        </w:rPr>
      </w:pPr>
      <w:r w:rsidRPr="00086098">
        <w:rPr>
          <w:rFonts w:ascii="Arial" w:eastAsia="Times New Roman" w:hAnsi="Arial" w:cs="Arial"/>
          <w:b/>
          <w:bCs/>
          <w:snapToGrid w:val="0"/>
          <w:sz w:val="24"/>
          <w:szCs w:val="24"/>
          <w:lang w:val="en-GB"/>
        </w:rPr>
        <w:t>______________________________________________________________________</w:t>
      </w:r>
    </w:p>
    <w:p w14:paraId="76B3C396" w14:textId="77777777" w:rsidR="00302338" w:rsidRPr="00086098" w:rsidRDefault="00302338" w:rsidP="00302338">
      <w:pPr>
        <w:adjustRightInd w:val="0"/>
        <w:spacing w:after="0" w:line="480" w:lineRule="auto"/>
        <w:jc w:val="both"/>
        <w:textAlignment w:val="baseline"/>
        <w:rPr>
          <w:rFonts w:ascii="Arial" w:eastAsia="Times New Roman" w:hAnsi="Arial" w:cs="Arial"/>
          <w:b/>
          <w:bCs/>
          <w:sz w:val="24"/>
          <w:szCs w:val="24"/>
          <w:lang w:val="en-GB"/>
        </w:rPr>
      </w:pPr>
    </w:p>
    <w:p w14:paraId="696347BA" w14:textId="416310C7" w:rsidR="00302338" w:rsidRPr="00086098" w:rsidRDefault="00302338" w:rsidP="00302338">
      <w:pPr>
        <w:adjustRightInd w:val="0"/>
        <w:spacing w:line="360" w:lineRule="auto"/>
        <w:jc w:val="both"/>
        <w:textAlignment w:val="baseline"/>
        <w:rPr>
          <w:rFonts w:ascii="Arial" w:eastAsia="Times New Roman" w:hAnsi="Arial" w:cs="Arial"/>
          <w:b/>
          <w:bCs/>
          <w:sz w:val="24"/>
          <w:szCs w:val="24"/>
          <w:lang w:val="en-GB"/>
        </w:rPr>
      </w:pPr>
      <w:r w:rsidRPr="00086098">
        <w:rPr>
          <w:rFonts w:ascii="Arial" w:eastAsia="Times New Roman" w:hAnsi="Arial" w:cs="Arial"/>
          <w:b/>
          <w:bCs/>
          <w:sz w:val="24"/>
          <w:szCs w:val="24"/>
          <w:lang w:val="en-GB"/>
        </w:rPr>
        <w:t>SHER</w:t>
      </w:r>
      <w:r>
        <w:rPr>
          <w:rFonts w:ascii="Arial" w:eastAsia="Times New Roman" w:hAnsi="Arial" w:cs="Arial"/>
          <w:b/>
          <w:bCs/>
          <w:sz w:val="24"/>
          <w:szCs w:val="24"/>
          <w:lang w:val="en-GB"/>
        </w:rPr>
        <w:t>,</w:t>
      </w:r>
      <w:r w:rsidRPr="00086098">
        <w:rPr>
          <w:rFonts w:ascii="Arial" w:eastAsia="Times New Roman" w:hAnsi="Arial" w:cs="Arial"/>
          <w:b/>
          <w:bCs/>
          <w:sz w:val="24"/>
          <w:szCs w:val="24"/>
          <w:lang w:val="en-GB"/>
        </w:rPr>
        <w:t xml:space="preserve"> J</w:t>
      </w:r>
      <w:r>
        <w:rPr>
          <w:rFonts w:ascii="Arial" w:eastAsia="Times New Roman" w:hAnsi="Arial" w:cs="Arial"/>
          <w:b/>
          <w:bCs/>
          <w:sz w:val="24"/>
          <w:szCs w:val="24"/>
          <w:lang w:val="en-GB"/>
        </w:rPr>
        <w:t xml:space="preserve"> (FORTUIN J et MANTAME J concurring)</w:t>
      </w:r>
      <w:r w:rsidRPr="00086098">
        <w:rPr>
          <w:rFonts w:ascii="Arial" w:eastAsia="Times New Roman" w:hAnsi="Arial" w:cs="Arial"/>
          <w:b/>
          <w:bCs/>
          <w:sz w:val="24"/>
          <w:szCs w:val="24"/>
          <w:lang w:val="en-GB"/>
        </w:rPr>
        <w:t>:</w:t>
      </w:r>
    </w:p>
    <w:p w14:paraId="20C39CB0" w14:textId="7F79ED40" w:rsidR="00302338"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1.</w:t>
      </w:r>
      <w:r>
        <w:rPr>
          <w:rFonts w:ascii="Arial" w:eastAsia="Times New Roman" w:hAnsi="Arial" w:cs="Arial"/>
          <w:bCs/>
          <w:kern w:val="0"/>
          <w:sz w:val="24"/>
          <w:szCs w:val="24"/>
          <w:lang w:val="en-GB"/>
          <w14:ligatures w14:val="none"/>
        </w:rPr>
        <w:tab/>
      </w:r>
      <w:r w:rsidR="00302338" w:rsidRPr="00811277">
        <w:rPr>
          <w:rFonts w:ascii="Arial" w:eastAsia="Times New Roman" w:hAnsi="Arial" w:cs="Arial"/>
          <w:bCs/>
          <w:sz w:val="24"/>
          <w:szCs w:val="24"/>
          <w:lang w:val="en-GB"/>
        </w:rPr>
        <w:t xml:space="preserve">This is an </w:t>
      </w:r>
      <w:r w:rsidR="00570D1B" w:rsidRPr="00811277">
        <w:rPr>
          <w:rFonts w:ascii="Arial" w:eastAsia="Times New Roman" w:hAnsi="Arial" w:cs="Arial"/>
          <w:bCs/>
          <w:sz w:val="24"/>
          <w:szCs w:val="24"/>
          <w:lang w:val="en-GB"/>
        </w:rPr>
        <w:t>appeal (</w:t>
      </w:r>
      <w:r w:rsidR="00863757" w:rsidRPr="00811277">
        <w:rPr>
          <w:rFonts w:ascii="Arial" w:eastAsia="Times New Roman" w:hAnsi="Arial" w:cs="Arial"/>
          <w:bCs/>
          <w:sz w:val="24"/>
          <w:szCs w:val="24"/>
          <w:lang w:val="en-GB"/>
        </w:rPr>
        <w:t xml:space="preserve">with </w:t>
      </w:r>
      <w:r w:rsidR="00570D1B" w:rsidRPr="00811277">
        <w:rPr>
          <w:rFonts w:ascii="Arial" w:eastAsia="Times New Roman" w:hAnsi="Arial" w:cs="Arial"/>
          <w:bCs/>
          <w:sz w:val="24"/>
          <w:szCs w:val="24"/>
          <w:lang w:val="en-GB"/>
        </w:rPr>
        <w:t xml:space="preserve">leave of the SCA) against </w:t>
      </w:r>
      <w:r w:rsidR="00F145E3" w:rsidRPr="00811277">
        <w:rPr>
          <w:rFonts w:ascii="Arial" w:eastAsia="Times New Roman" w:hAnsi="Arial" w:cs="Arial"/>
          <w:bCs/>
          <w:sz w:val="24"/>
          <w:szCs w:val="24"/>
          <w:lang w:val="en-GB"/>
        </w:rPr>
        <w:t>a</w:t>
      </w:r>
      <w:r w:rsidR="00570D1B" w:rsidRPr="00811277">
        <w:rPr>
          <w:rFonts w:ascii="Arial" w:eastAsia="Times New Roman" w:hAnsi="Arial" w:cs="Arial"/>
          <w:bCs/>
          <w:sz w:val="24"/>
          <w:szCs w:val="24"/>
          <w:lang w:val="en-GB"/>
        </w:rPr>
        <w:t xml:space="preserve"> judgment of this </w:t>
      </w:r>
      <w:r w:rsidR="00863757" w:rsidRPr="00811277">
        <w:rPr>
          <w:rFonts w:ascii="Arial" w:eastAsia="Times New Roman" w:hAnsi="Arial" w:cs="Arial"/>
          <w:bCs/>
          <w:sz w:val="24"/>
          <w:szCs w:val="24"/>
          <w:lang w:val="en-GB"/>
        </w:rPr>
        <w:t>C</w:t>
      </w:r>
      <w:r w:rsidR="00570D1B" w:rsidRPr="00811277">
        <w:rPr>
          <w:rFonts w:ascii="Arial" w:eastAsia="Times New Roman" w:hAnsi="Arial" w:cs="Arial"/>
          <w:bCs/>
          <w:sz w:val="24"/>
          <w:szCs w:val="24"/>
          <w:lang w:val="en-GB"/>
        </w:rPr>
        <w:t>ourt</w:t>
      </w:r>
      <w:r w:rsidR="00C62243" w:rsidRPr="00811277">
        <w:rPr>
          <w:rFonts w:ascii="Arial" w:eastAsia="Times New Roman" w:hAnsi="Arial" w:cs="Arial"/>
          <w:bCs/>
          <w:sz w:val="24"/>
          <w:szCs w:val="24"/>
          <w:lang w:val="en-GB"/>
        </w:rPr>
        <w:t>,</w:t>
      </w:r>
      <w:r w:rsidR="00F145E3">
        <w:rPr>
          <w:rStyle w:val="FootnoteReference"/>
          <w:rFonts w:ascii="Arial" w:eastAsia="Times New Roman" w:hAnsi="Arial" w:cs="Arial"/>
          <w:bCs/>
          <w:sz w:val="24"/>
          <w:szCs w:val="24"/>
          <w:lang w:val="en-GB"/>
        </w:rPr>
        <w:footnoteReference w:id="1"/>
      </w:r>
      <w:r w:rsidR="00570D1B" w:rsidRPr="00811277">
        <w:rPr>
          <w:rFonts w:ascii="Arial" w:eastAsia="Times New Roman" w:hAnsi="Arial" w:cs="Arial"/>
          <w:bCs/>
          <w:sz w:val="24"/>
          <w:szCs w:val="24"/>
          <w:lang w:val="en-GB"/>
        </w:rPr>
        <w:t xml:space="preserve"> in terms of which the appellant </w:t>
      </w:r>
      <w:r w:rsidR="00863757" w:rsidRPr="00811277">
        <w:rPr>
          <w:rFonts w:ascii="Arial" w:eastAsia="Times New Roman" w:hAnsi="Arial" w:cs="Arial"/>
          <w:bCs/>
          <w:sz w:val="24"/>
          <w:szCs w:val="24"/>
          <w:lang w:val="en-GB"/>
        </w:rPr>
        <w:t>T</w:t>
      </w:r>
      <w:r w:rsidR="00570D1B" w:rsidRPr="00811277">
        <w:rPr>
          <w:rFonts w:ascii="Arial" w:eastAsia="Times New Roman" w:hAnsi="Arial" w:cs="Arial"/>
          <w:bCs/>
          <w:sz w:val="24"/>
          <w:szCs w:val="24"/>
          <w:lang w:val="en-GB"/>
        </w:rPr>
        <w:t>ubestone (Pty) Ltd</w:t>
      </w:r>
      <w:r w:rsidR="00863757" w:rsidRPr="00811277">
        <w:rPr>
          <w:rFonts w:ascii="Arial" w:eastAsia="Times New Roman" w:hAnsi="Arial" w:cs="Arial"/>
          <w:bCs/>
          <w:sz w:val="24"/>
          <w:szCs w:val="24"/>
          <w:lang w:val="en-GB"/>
        </w:rPr>
        <w:t>, a</w:t>
      </w:r>
      <w:r w:rsidR="00570D1B" w:rsidRPr="00811277">
        <w:rPr>
          <w:rFonts w:ascii="Arial" w:eastAsia="Times New Roman" w:hAnsi="Arial" w:cs="Arial"/>
          <w:bCs/>
          <w:sz w:val="24"/>
          <w:szCs w:val="24"/>
          <w:lang w:val="en-GB"/>
        </w:rPr>
        <w:t xml:space="preserve"> company which imports tyres</w:t>
      </w:r>
      <w:r w:rsidR="00863757" w:rsidRPr="00811277">
        <w:rPr>
          <w:rFonts w:ascii="Arial" w:eastAsia="Times New Roman" w:hAnsi="Arial" w:cs="Arial"/>
          <w:bCs/>
          <w:sz w:val="24"/>
          <w:szCs w:val="24"/>
          <w:lang w:val="en-GB"/>
        </w:rPr>
        <w:t>,</w:t>
      </w:r>
      <w:r w:rsidR="00570D1B" w:rsidRPr="00811277">
        <w:rPr>
          <w:rFonts w:ascii="Arial" w:eastAsia="Times New Roman" w:hAnsi="Arial" w:cs="Arial"/>
          <w:bCs/>
          <w:sz w:val="24"/>
          <w:szCs w:val="24"/>
          <w:lang w:val="en-GB"/>
        </w:rPr>
        <w:t xml:space="preserve"> was held liable to pay the respondent</w:t>
      </w:r>
      <w:r w:rsidR="00863757" w:rsidRPr="00811277">
        <w:rPr>
          <w:rFonts w:ascii="Arial" w:eastAsia="Times New Roman" w:hAnsi="Arial" w:cs="Arial"/>
          <w:bCs/>
          <w:sz w:val="24"/>
          <w:szCs w:val="24"/>
          <w:lang w:val="en-GB"/>
        </w:rPr>
        <w:t>,</w:t>
      </w:r>
      <w:r w:rsidR="00570D1B" w:rsidRPr="00811277">
        <w:rPr>
          <w:rFonts w:ascii="Arial" w:eastAsia="Times New Roman" w:hAnsi="Arial" w:cs="Arial"/>
          <w:bCs/>
          <w:sz w:val="24"/>
          <w:szCs w:val="24"/>
          <w:lang w:val="en-GB"/>
        </w:rPr>
        <w:t xml:space="preserve"> the </w:t>
      </w:r>
      <w:r w:rsidR="00863757" w:rsidRPr="00811277">
        <w:rPr>
          <w:rFonts w:ascii="Arial" w:eastAsia="Times New Roman" w:hAnsi="Arial" w:cs="Arial"/>
          <w:bCs/>
          <w:sz w:val="24"/>
          <w:szCs w:val="24"/>
          <w:lang w:val="en-GB"/>
        </w:rPr>
        <w:t>R</w:t>
      </w:r>
      <w:r w:rsidR="00570D1B" w:rsidRPr="00811277">
        <w:rPr>
          <w:rFonts w:ascii="Arial" w:eastAsia="Times New Roman" w:hAnsi="Arial" w:cs="Arial"/>
          <w:bCs/>
          <w:sz w:val="24"/>
          <w:szCs w:val="24"/>
          <w:lang w:val="en-GB"/>
        </w:rPr>
        <w:t xml:space="preserve">ecycling </w:t>
      </w:r>
      <w:r w:rsidR="00863757" w:rsidRPr="00811277">
        <w:rPr>
          <w:rFonts w:ascii="Arial" w:eastAsia="Times New Roman" w:hAnsi="Arial" w:cs="Arial"/>
          <w:bCs/>
          <w:sz w:val="24"/>
          <w:szCs w:val="24"/>
          <w:lang w:val="en-GB"/>
        </w:rPr>
        <w:t>&amp; E</w:t>
      </w:r>
      <w:r w:rsidR="00570D1B" w:rsidRPr="00811277">
        <w:rPr>
          <w:rFonts w:ascii="Arial" w:eastAsia="Times New Roman" w:hAnsi="Arial" w:cs="Arial"/>
          <w:bCs/>
          <w:sz w:val="24"/>
          <w:szCs w:val="24"/>
          <w:lang w:val="en-GB"/>
        </w:rPr>
        <w:t xml:space="preserve">conomic </w:t>
      </w:r>
      <w:r w:rsidR="00863757" w:rsidRPr="00811277">
        <w:rPr>
          <w:rFonts w:ascii="Arial" w:eastAsia="Times New Roman" w:hAnsi="Arial" w:cs="Arial"/>
          <w:bCs/>
          <w:sz w:val="24"/>
          <w:szCs w:val="24"/>
          <w:lang w:val="en-GB"/>
        </w:rPr>
        <w:t>D</w:t>
      </w:r>
      <w:r w:rsidR="00570D1B" w:rsidRPr="00811277">
        <w:rPr>
          <w:rFonts w:ascii="Arial" w:eastAsia="Times New Roman" w:hAnsi="Arial" w:cs="Arial"/>
          <w:bCs/>
          <w:sz w:val="24"/>
          <w:szCs w:val="24"/>
          <w:lang w:val="en-GB"/>
        </w:rPr>
        <w:t xml:space="preserve">evelopment </w:t>
      </w:r>
      <w:r w:rsidR="00863757" w:rsidRPr="00811277">
        <w:rPr>
          <w:rFonts w:ascii="Arial" w:eastAsia="Times New Roman" w:hAnsi="Arial" w:cs="Arial"/>
          <w:bCs/>
          <w:sz w:val="24"/>
          <w:szCs w:val="24"/>
          <w:lang w:val="en-GB"/>
        </w:rPr>
        <w:t>I</w:t>
      </w:r>
      <w:r w:rsidR="00570D1B" w:rsidRPr="00811277">
        <w:rPr>
          <w:rFonts w:ascii="Arial" w:eastAsia="Times New Roman" w:hAnsi="Arial" w:cs="Arial"/>
          <w:bCs/>
          <w:sz w:val="24"/>
          <w:szCs w:val="24"/>
          <w:lang w:val="en-GB"/>
        </w:rPr>
        <w:t>nitiative of SA NPC (</w:t>
      </w:r>
      <w:r w:rsidR="008A5E33" w:rsidRPr="00811277">
        <w:rPr>
          <w:rFonts w:ascii="Arial" w:eastAsia="Times New Roman" w:hAnsi="Arial" w:cs="Arial"/>
          <w:bCs/>
          <w:sz w:val="24"/>
          <w:szCs w:val="24"/>
          <w:lang w:val="en-GB"/>
        </w:rPr>
        <w:t>‘</w:t>
      </w:r>
      <w:r w:rsidR="00570D1B" w:rsidRPr="00811277">
        <w:rPr>
          <w:rFonts w:ascii="Arial" w:eastAsia="Times New Roman" w:hAnsi="Arial" w:cs="Arial"/>
          <w:bCs/>
          <w:sz w:val="24"/>
          <w:szCs w:val="24"/>
          <w:lang w:val="en-GB"/>
        </w:rPr>
        <w:t>Redisa</w:t>
      </w:r>
      <w:r w:rsidR="008A5E33" w:rsidRPr="00811277">
        <w:rPr>
          <w:rFonts w:ascii="Arial" w:eastAsia="Times New Roman" w:hAnsi="Arial" w:cs="Arial"/>
          <w:bCs/>
          <w:sz w:val="24"/>
          <w:szCs w:val="24"/>
          <w:lang w:val="en-GB"/>
        </w:rPr>
        <w:t>’</w:t>
      </w:r>
      <w:r w:rsidR="00570D1B" w:rsidRPr="00811277">
        <w:rPr>
          <w:rFonts w:ascii="Arial" w:eastAsia="Times New Roman" w:hAnsi="Arial" w:cs="Arial"/>
          <w:bCs/>
          <w:sz w:val="24"/>
          <w:szCs w:val="24"/>
          <w:lang w:val="en-GB"/>
        </w:rPr>
        <w:t>)</w:t>
      </w:r>
      <w:r w:rsidR="00F230EF" w:rsidRPr="00811277">
        <w:rPr>
          <w:rFonts w:ascii="Arial" w:eastAsia="Times New Roman" w:hAnsi="Arial" w:cs="Arial"/>
          <w:bCs/>
          <w:sz w:val="24"/>
          <w:szCs w:val="24"/>
          <w:lang w:val="en-GB"/>
        </w:rPr>
        <w:t>,</w:t>
      </w:r>
      <w:r w:rsidR="00570D1B" w:rsidRPr="00811277">
        <w:rPr>
          <w:rFonts w:ascii="Arial" w:eastAsia="Times New Roman" w:hAnsi="Arial" w:cs="Arial"/>
          <w:bCs/>
          <w:sz w:val="24"/>
          <w:szCs w:val="24"/>
          <w:lang w:val="en-GB"/>
        </w:rPr>
        <w:t xml:space="preserve"> the sum of R</w:t>
      </w:r>
      <w:r w:rsidR="00863757" w:rsidRPr="00811277">
        <w:rPr>
          <w:rFonts w:ascii="Arial" w:eastAsia="Times New Roman" w:hAnsi="Arial" w:cs="Arial"/>
          <w:bCs/>
          <w:sz w:val="24"/>
          <w:szCs w:val="24"/>
          <w:lang w:val="en-GB"/>
        </w:rPr>
        <w:t xml:space="preserve"> </w:t>
      </w:r>
      <w:r w:rsidR="00570D1B" w:rsidRPr="00811277">
        <w:rPr>
          <w:rFonts w:ascii="Arial" w:eastAsia="Times New Roman" w:hAnsi="Arial" w:cs="Arial"/>
          <w:bCs/>
          <w:sz w:val="24"/>
          <w:szCs w:val="24"/>
          <w:lang w:val="en-GB"/>
        </w:rPr>
        <w:t>2</w:t>
      </w:r>
      <w:r w:rsidR="00863757" w:rsidRPr="00811277">
        <w:rPr>
          <w:rFonts w:ascii="Arial" w:eastAsia="Times New Roman" w:hAnsi="Arial" w:cs="Arial"/>
          <w:bCs/>
          <w:sz w:val="24"/>
          <w:szCs w:val="24"/>
          <w:lang w:val="en-GB"/>
        </w:rPr>
        <w:t xml:space="preserve"> </w:t>
      </w:r>
      <w:r w:rsidR="00570D1B" w:rsidRPr="00811277">
        <w:rPr>
          <w:rFonts w:ascii="Arial" w:eastAsia="Times New Roman" w:hAnsi="Arial" w:cs="Arial"/>
          <w:bCs/>
          <w:sz w:val="24"/>
          <w:szCs w:val="24"/>
          <w:lang w:val="en-GB"/>
        </w:rPr>
        <w:t>479</w:t>
      </w:r>
      <w:r w:rsidR="00863757" w:rsidRPr="00811277">
        <w:rPr>
          <w:rFonts w:ascii="Arial" w:eastAsia="Times New Roman" w:hAnsi="Arial" w:cs="Arial"/>
          <w:bCs/>
          <w:sz w:val="24"/>
          <w:szCs w:val="24"/>
          <w:lang w:val="en-GB"/>
        </w:rPr>
        <w:t xml:space="preserve"> </w:t>
      </w:r>
      <w:r w:rsidR="00570D1B" w:rsidRPr="00811277">
        <w:rPr>
          <w:rFonts w:ascii="Arial" w:eastAsia="Times New Roman" w:hAnsi="Arial" w:cs="Arial"/>
          <w:bCs/>
          <w:sz w:val="24"/>
          <w:szCs w:val="24"/>
          <w:lang w:val="en-GB"/>
        </w:rPr>
        <w:t>335</w:t>
      </w:r>
      <w:r w:rsidR="00863757" w:rsidRPr="00811277">
        <w:rPr>
          <w:rFonts w:ascii="Arial" w:eastAsia="Times New Roman" w:hAnsi="Arial" w:cs="Arial"/>
          <w:bCs/>
          <w:sz w:val="24"/>
          <w:szCs w:val="24"/>
          <w:lang w:val="en-GB"/>
        </w:rPr>
        <w:t>,</w:t>
      </w:r>
      <w:r w:rsidR="00570D1B" w:rsidRPr="00811277">
        <w:rPr>
          <w:rFonts w:ascii="Arial" w:eastAsia="Times New Roman" w:hAnsi="Arial" w:cs="Arial"/>
          <w:bCs/>
          <w:sz w:val="24"/>
          <w:szCs w:val="24"/>
          <w:lang w:val="en-GB"/>
        </w:rPr>
        <w:t xml:space="preserve"> together with interest and costs</w:t>
      </w:r>
      <w:r w:rsidR="00863757" w:rsidRPr="00811277">
        <w:rPr>
          <w:rFonts w:ascii="Arial" w:eastAsia="Times New Roman" w:hAnsi="Arial" w:cs="Arial"/>
          <w:bCs/>
          <w:sz w:val="24"/>
          <w:szCs w:val="24"/>
          <w:lang w:val="en-GB"/>
        </w:rPr>
        <w:t xml:space="preserve">. The amount represented levies which were allegedly due </w:t>
      </w:r>
      <w:r w:rsidR="003076AA" w:rsidRPr="00811277">
        <w:rPr>
          <w:rFonts w:ascii="Arial" w:eastAsia="Times New Roman" w:hAnsi="Arial" w:cs="Arial"/>
          <w:bCs/>
          <w:sz w:val="24"/>
          <w:szCs w:val="24"/>
          <w:lang w:val="en-GB"/>
        </w:rPr>
        <w:t>in</w:t>
      </w:r>
      <w:r w:rsidR="00863757" w:rsidRPr="00811277">
        <w:rPr>
          <w:rFonts w:ascii="Arial" w:eastAsia="Times New Roman" w:hAnsi="Arial" w:cs="Arial"/>
          <w:bCs/>
          <w:sz w:val="24"/>
          <w:szCs w:val="24"/>
          <w:lang w:val="en-GB"/>
        </w:rPr>
        <w:t xml:space="preserve"> the period October 2016-February 2017 in terms of a so-called ‘integrated industry waste tyre management plan’ (‘</w:t>
      </w:r>
      <w:r w:rsidR="00A860F6" w:rsidRPr="00811277">
        <w:rPr>
          <w:rFonts w:ascii="Arial" w:eastAsia="Times New Roman" w:hAnsi="Arial" w:cs="Arial"/>
          <w:bCs/>
          <w:sz w:val="24"/>
          <w:szCs w:val="24"/>
          <w:lang w:val="en-GB"/>
        </w:rPr>
        <w:t>a</w:t>
      </w:r>
      <w:r w:rsidR="00863757" w:rsidRPr="00811277">
        <w:rPr>
          <w:rFonts w:ascii="Arial" w:eastAsia="Times New Roman" w:hAnsi="Arial" w:cs="Arial"/>
          <w:bCs/>
          <w:sz w:val="24"/>
          <w:szCs w:val="24"/>
          <w:lang w:val="en-GB"/>
        </w:rPr>
        <w:t xml:space="preserve"> </w:t>
      </w:r>
      <w:r w:rsidR="00F230EF" w:rsidRPr="00811277">
        <w:rPr>
          <w:rFonts w:ascii="Arial" w:eastAsia="Times New Roman" w:hAnsi="Arial" w:cs="Arial"/>
          <w:bCs/>
          <w:sz w:val="24"/>
          <w:szCs w:val="24"/>
          <w:lang w:val="en-GB"/>
        </w:rPr>
        <w:t xml:space="preserve">WTM </w:t>
      </w:r>
      <w:r w:rsidR="00863757" w:rsidRPr="00811277">
        <w:rPr>
          <w:rFonts w:ascii="Arial" w:eastAsia="Times New Roman" w:hAnsi="Arial" w:cs="Arial"/>
          <w:bCs/>
          <w:sz w:val="24"/>
          <w:szCs w:val="24"/>
          <w:lang w:val="en-GB"/>
        </w:rPr>
        <w:t>plan’)</w:t>
      </w:r>
      <w:r w:rsidR="009E4C2E" w:rsidRPr="00811277">
        <w:rPr>
          <w:rFonts w:ascii="Arial" w:eastAsia="Times New Roman" w:hAnsi="Arial" w:cs="Arial"/>
          <w:bCs/>
          <w:sz w:val="24"/>
          <w:szCs w:val="24"/>
          <w:lang w:val="en-GB"/>
        </w:rPr>
        <w:t>, administered by Redisa</w:t>
      </w:r>
      <w:r w:rsidR="00863757" w:rsidRPr="00811277">
        <w:rPr>
          <w:rFonts w:ascii="Arial" w:eastAsia="Times New Roman" w:hAnsi="Arial" w:cs="Arial"/>
          <w:bCs/>
          <w:sz w:val="24"/>
          <w:szCs w:val="24"/>
          <w:lang w:val="en-GB"/>
        </w:rPr>
        <w:t xml:space="preserve">, which was promulgated by the Minister of Water and Environmental Affairs on 30 November </w:t>
      </w:r>
      <w:r w:rsidR="00863757" w:rsidRPr="00811277">
        <w:rPr>
          <w:rFonts w:ascii="Arial" w:eastAsia="Times New Roman" w:hAnsi="Arial" w:cs="Arial"/>
          <w:bCs/>
          <w:sz w:val="24"/>
          <w:szCs w:val="24"/>
          <w:lang w:val="en-GB"/>
        </w:rPr>
        <w:lastRenderedPageBreak/>
        <w:t>2012 in terms of the National Environmental Management Waste Act</w:t>
      </w:r>
      <w:r w:rsidR="00D83AFD" w:rsidRPr="00811277">
        <w:rPr>
          <w:rFonts w:ascii="Arial" w:eastAsia="Times New Roman" w:hAnsi="Arial" w:cs="Arial"/>
          <w:bCs/>
          <w:sz w:val="24"/>
          <w:szCs w:val="24"/>
          <w:lang w:val="en-GB"/>
        </w:rPr>
        <w:t xml:space="preserve"> </w:t>
      </w:r>
      <w:r w:rsidR="00863757">
        <w:rPr>
          <w:rStyle w:val="FootnoteReference"/>
          <w:rFonts w:ascii="Arial" w:eastAsia="Times New Roman" w:hAnsi="Arial" w:cs="Arial"/>
          <w:bCs/>
          <w:sz w:val="24"/>
          <w:szCs w:val="24"/>
          <w:lang w:val="en-GB"/>
        </w:rPr>
        <w:footnoteReference w:id="2"/>
      </w:r>
      <w:r w:rsidR="00863757" w:rsidRPr="00811277">
        <w:rPr>
          <w:rFonts w:ascii="Arial" w:eastAsia="Times New Roman" w:hAnsi="Arial" w:cs="Arial"/>
          <w:bCs/>
          <w:sz w:val="24"/>
          <w:szCs w:val="24"/>
          <w:lang w:val="en-GB"/>
        </w:rPr>
        <w:t xml:space="preserve"> </w:t>
      </w:r>
      <w:r w:rsidR="00897751" w:rsidRPr="00811277">
        <w:rPr>
          <w:rFonts w:ascii="Arial" w:eastAsia="Times New Roman" w:hAnsi="Arial" w:cs="Arial"/>
          <w:bCs/>
          <w:sz w:val="24"/>
          <w:szCs w:val="24"/>
          <w:lang w:val="en-GB"/>
        </w:rPr>
        <w:t xml:space="preserve">(‘the Waste Act’) </w:t>
      </w:r>
      <w:r w:rsidR="00863757" w:rsidRPr="00811277">
        <w:rPr>
          <w:rFonts w:ascii="Arial" w:eastAsia="Times New Roman" w:hAnsi="Arial" w:cs="Arial"/>
          <w:bCs/>
          <w:sz w:val="24"/>
          <w:szCs w:val="24"/>
          <w:lang w:val="en-GB"/>
        </w:rPr>
        <w:t>and the Waste Tyre Regulations of 2008</w:t>
      </w:r>
      <w:r w:rsidR="009E4C2E" w:rsidRPr="00811277">
        <w:rPr>
          <w:rFonts w:ascii="Arial" w:eastAsia="Times New Roman" w:hAnsi="Arial" w:cs="Arial"/>
          <w:bCs/>
          <w:sz w:val="24"/>
          <w:szCs w:val="24"/>
          <w:lang w:val="en-GB"/>
        </w:rPr>
        <w:t>.</w:t>
      </w:r>
      <w:r w:rsidR="00863757">
        <w:rPr>
          <w:rStyle w:val="FootnoteReference"/>
          <w:rFonts w:ascii="Arial" w:eastAsia="Times New Roman" w:hAnsi="Arial" w:cs="Arial"/>
          <w:bCs/>
          <w:sz w:val="24"/>
          <w:szCs w:val="24"/>
          <w:lang w:val="en-GB"/>
        </w:rPr>
        <w:footnoteReference w:id="3"/>
      </w:r>
      <w:r w:rsidR="009E4C2E" w:rsidRPr="00811277">
        <w:rPr>
          <w:rFonts w:ascii="Arial" w:eastAsia="Times New Roman" w:hAnsi="Arial" w:cs="Arial"/>
          <w:bCs/>
          <w:sz w:val="24"/>
          <w:szCs w:val="24"/>
          <w:lang w:val="en-GB"/>
        </w:rPr>
        <w:t xml:space="preserve"> </w:t>
      </w:r>
    </w:p>
    <w:p w14:paraId="100EEBB3" w14:textId="7CAA7BBB" w:rsidR="00F230EF"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2.</w:t>
      </w:r>
      <w:r>
        <w:rPr>
          <w:rFonts w:ascii="Arial" w:eastAsia="Times New Roman" w:hAnsi="Arial" w:cs="Arial"/>
          <w:bCs/>
          <w:kern w:val="0"/>
          <w:sz w:val="24"/>
          <w:szCs w:val="24"/>
          <w:lang w:val="en-GB"/>
          <w14:ligatures w14:val="none"/>
        </w:rPr>
        <w:tab/>
      </w:r>
      <w:r w:rsidR="00F230EF" w:rsidRPr="00811277">
        <w:rPr>
          <w:rFonts w:ascii="Arial" w:eastAsia="Times New Roman" w:hAnsi="Arial" w:cs="Arial"/>
          <w:bCs/>
          <w:sz w:val="24"/>
          <w:szCs w:val="24"/>
          <w:lang w:val="en-GB"/>
        </w:rPr>
        <w:t>The Regulations sought to deal with the problem of the disposal of ‘waste’ tyres</w:t>
      </w:r>
      <w:r w:rsidR="00D6140C" w:rsidRPr="00811277">
        <w:rPr>
          <w:rFonts w:ascii="Arial" w:eastAsia="Times New Roman" w:hAnsi="Arial" w:cs="Arial"/>
          <w:bCs/>
          <w:sz w:val="24"/>
          <w:szCs w:val="24"/>
          <w:lang w:val="en-GB"/>
        </w:rPr>
        <w:t xml:space="preserve"> </w:t>
      </w:r>
      <w:r w:rsidR="00163A80" w:rsidRPr="00811277">
        <w:rPr>
          <w:rFonts w:ascii="Arial" w:eastAsia="Times New Roman" w:hAnsi="Arial" w:cs="Arial"/>
          <w:bCs/>
          <w:sz w:val="24"/>
          <w:szCs w:val="24"/>
          <w:lang w:val="en-GB"/>
        </w:rPr>
        <w:t>including</w:t>
      </w:r>
      <w:r w:rsidR="00A860F6" w:rsidRPr="00811277">
        <w:rPr>
          <w:rFonts w:ascii="Arial" w:eastAsia="Times New Roman" w:hAnsi="Arial" w:cs="Arial"/>
          <w:bCs/>
          <w:sz w:val="24"/>
          <w:szCs w:val="24"/>
          <w:lang w:val="en-GB"/>
        </w:rPr>
        <w:t xml:space="preserve"> </w:t>
      </w:r>
      <w:r w:rsidR="00D6140C" w:rsidRPr="00811277">
        <w:rPr>
          <w:rFonts w:ascii="Arial" w:eastAsia="Times New Roman" w:hAnsi="Arial" w:cs="Arial"/>
          <w:bCs/>
          <w:sz w:val="24"/>
          <w:szCs w:val="24"/>
          <w:lang w:val="en-GB"/>
        </w:rPr>
        <w:t xml:space="preserve">used, </w:t>
      </w:r>
      <w:r w:rsidR="00F230EF" w:rsidRPr="00811277">
        <w:rPr>
          <w:rFonts w:ascii="Arial" w:eastAsia="Times New Roman" w:hAnsi="Arial" w:cs="Arial"/>
          <w:bCs/>
          <w:sz w:val="24"/>
          <w:szCs w:val="24"/>
          <w:lang w:val="en-GB"/>
        </w:rPr>
        <w:t xml:space="preserve">retread </w:t>
      </w:r>
      <w:r w:rsidR="00BF2CF3" w:rsidRPr="00811277">
        <w:rPr>
          <w:rFonts w:ascii="Arial" w:eastAsia="Times New Roman" w:hAnsi="Arial" w:cs="Arial"/>
          <w:bCs/>
          <w:sz w:val="24"/>
          <w:szCs w:val="24"/>
          <w:lang w:val="en-GB"/>
        </w:rPr>
        <w:t>or</w:t>
      </w:r>
      <w:r w:rsidR="00A860F6" w:rsidRPr="00811277">
        <w:rPr>
          <w:rFonts w:ascii="Arial" w:eastAsia="Times New Roman" w:hAnsi="Arial" w:cs="Arial"/>
          <w:bCs/>
          <w:sz w:val="24"/>
          <w:szCs w:val="24"/>
          <w:lang w:val="en-GB"/>
        </w:rPr>
        <w:t xml:space="preserve"> new </w:t>
      </w:r>
      <w:r w:rsidR="00F230EF" w:rsidRPr="00811277">
        <w:rPr>
          <w:rFonts w:ascii="Arial" w:eastAsia="Times New Roman" w:hAnsi="Arial" w:cs="Arial"/>
          <w:bCs/>
          <w:sz w:val="24"/>
          <w:szCs w:val="24"/>
          <w:lang w:val="en-GB"/>
        </w:rPr>
        <w:t>tyres, which were no</w:t>
      </w:r>
      <w:r w:rsidR="00301446" w:rsidRPr="00811277">
        <w:rPr>
          <w:rFonts w:ascii="Arial" w:eastAsia="Times New Roman" w:hAnsi="Arial" w:cs="Arial"/>
          <w:bCs/>
          <w:sz w:val="24"/>
          <w:szCs w:val="24"/>
          <w:lang w:val="en-GB"/>
        </w:rPr>
        <w:t>t</w:t>
      </w:r>
      <w:r w:rsidR="00F230EF" w:rsidRPr="00811277">
        <w:rPr>
          <w:rFonts w:ascii="Arial" w:eastAsia="Times New Roman" w:hAnsi="Arial" w:cs="Arial"/>
          <w:bCs/>
          <w:sz w:val="24"/>
          <w:szCs w:val="24"/>
          <w:lang w:val="en-GB"/>
        </w:rPr>
        <w:t xml:space="preserve"> fit for use</w:t>
      </w:r>
      <w:r w:rsidR="00A860F6" w:rsidRPr="00811277">
        <w:rPr>
          <w:rFonts w:ascii="Arial" w:eastAsia="Times New Roman" w:hAnsi="Arial" w:cs="Arial"/>
          <w:bCs/>
          <w:sz w:val="24"/>
          <w:szCs w:val="24"/>
          <w:lang w:val="en-GB"/>
        </w:rPr>
        <w:t>.</w:t>
      </w:r>
      <w:r w:rsidR="00FC52AC" w:rsidRPr="00811277">
        <w:rPr>
          <w:rFonts w:ascii="Arial" w:eastAsia="Times New Roman" w:hAnsi="Arial" w:cs="Arial"/>
          <w:bCs/>
          <w:sz w:val="24"/>
          <w:szCs w:val="24"/>
          <w:lang w:val="en-GB"/>
        </w:rPr>
        <w:t xml:space="preserve"> </w:t>
      </w:r>
      <w:r w:rsidR="00A50771" w:rsidRPr="00811277">
        <w:rPr>
          <w:rFonts w:ascii="Arial" w:eastAsia="Times New Roman" w:hAnsi="Arial" w:cs="Arial"/>
          <w:bCs/>
          <w:sz w:val="24"/>
          <w:szCs w:val="24"/>
          <w:lang w:val="en-GB"/>
        </w:rPr>
        <w:t xml:space="preserve">They </w:t>
      </w:r>
      <w:r w:rsidR="00BF2CF3" w:rsidRPr="00811277">
        <w:rPr>
          <w:rFonts w:ascii="Arial" w:eastAsia="Times New Roman" w:hAnsi="Arial" w:cs="Arial"/>
          <w:bCs/>
          <w:sz w:val="24"/>
          <w:szCs w:val="24"/>
          <w:lang w:val="en-GB"/>
        </w:rPr>
        <w:t>provided that</w:t>
      </w:r>
      <w:r w:rsidR="009E4C2E" w:rsidRPr="00811277">
        <w:rPr>
          <w:rFonts w:ascii="Arial" w:eastAsia="Times New Roman" w:hAnsi="Arial" w:cs="Arial"/>
          <w:bCs/>
          <w:sz w:val="24"/>
          <w:szCs w:val="24"/>
          <w:lang w:val="en-GB"/>
        </w:rPr>
        <w:t xml:space="preserve"> </w:t>
      </w:r>
      <w:r w:rsidR="00F230EF" w:rsidRPr="00811277">
        <w:rPr>
          <w:rFonts w:ascii="Arial" w:eastAsia="Times New Roman" w:hAnsi="Arial" w:cs="Arial"/>
          <w:bCs/>
          <w:sz w:val="24"/>
          <w:szCs w:val="24"/>
          <w:lang w:val="en-GB"/>
        </w:rPr>
        <w:t xml:space="preserve">tyre </w:t>
      </w:r>
      <w:r w:rsidR="005C5231" w:rsidRPr="00811277">
        <w:rPr>
          <w:rFonts w:ascii="Arial" w:eastAsia="Times New Roman" w:hAnsi="Arial" w:cs="Arial"/>
          <w:bCs/>
          <w:sz w:val="24"/>
          <w:szCs w:val="24"/>
          <w:lang w:val="en-GB"/>
        </w:rPr>
        <w:t>‘</w:t>
      </w:r>
      <w:r w:rsidR="00F230EF" w:rsidRPr="00811277">
        <w:rPr>
          <w:rFonts w:ascii="Arial" w:eastAsia="Times New Roman" w:hAnsi="Arial" w:cs="Arial"/>
          <w:bCs/>
          <w:sz w:val="24"/>
          <w:szCs w:val="24"/>
          <w:lang w:val="en-GB"/>
        </w:rPr>
        <w:t>producers</w:t>
      </w:r>
      <w:r w:rsidR="005C5231" w:rsidRPr="00811277">
        <w:rPr>
          <w:rFonts w:ascii="Arial" w:eastAsia="Times New Roman" w:hAnsi="Arial" w:cs="Arial"/>
          <w:bCs/>
          <w:sz w:val="24"/>
          <w:szCs w:val="24"/>
          <w:lang w:val="en-GB"/>
        </w:rPr>
        <w:t>’</w:t>
      </w:r>
      <w:r w:rsidR="00F230EF" w:rsidRPr="00811277">
        <w:rPr>
          <w:rFonts w:ascii="Arial" w:eastAsia="Times New Roman" w:hAnsi="Arial" w:cs="Arial"/>
          <w:bCs/>
          <w:sz w:val="24"/>
          <w:szCs w:val="24"/>
          <w:lang w:val="en-GB"/>
        </w:rPr>
        <w:t xml:space="preserve"> </w:t>
      </w:r>
      <w:r w:rsidR="005C5231" w:rsidRPr="00811277">
        <w:rPr>
          <w:rFonts w:ascii="Arial" w:eastAsia="Times New Roman" w:hAnsi="Arial" w:cs="Arial"/>
          <w:bCs/>
          <w:sz w:val="24"/>
          <w:szCs w:val="24"/>
          <w:lang w:val="en-GB"/>
        </w:rPr>
        <w:t>(</w:t>
      </w:r>
      <w:r w:rsidR="00F230EF" w:rsidRPr="00811277">
        <w:rPr>
          <w:rFonts w:ascii="Arial" w:eastAsia="Times New Roman" w:hAnsi="Arial" w:cs="Arial"/>
          <w:bCs/>
          <w:sz w:val="24"/>
          <w:szCs w:val="24"/>
          <w:lang w:val="en-GB"/>
        </w:rPr>
        <w:t>wh</w:t>
      </w:r>
      <w:r w:rsidR="00866E73" w:rsidRPr="00811277">
        <w:rPr>
          <w:rFonts w:ascii="Arial" w:eastAsia="Times New Roman" w:hAnsi="Arial" w:cs="Arial"/>
          <w:bCs/>
          <w:sz w:val="24"/>
          <w:szCs w:val="24"/>
          <w:lang w:val="en-GB"/>
        </w:rPr>
        <w:t>o</w:t>
      </w:r>
      <w:r w:rsidR="00F230EF" w:rsidRPr="00811277">
        <w:rPr>
          <w:rFonts w:ascii="Arial" w:eastAsia="Times New Roman" w:hAnsi="Arial" w:cs="Arial"/>
          <w:bCs/>
          <w:sz w:val="24"/>
          <w:szCs w:val="24"/>
          <w:lang w:val="en-GB"/>
        </w:rPr>
        <w:t xml:space="preserve"> were defined as including both manufacturers and importers</w:t>
      </w:r>
      <w:r w:rsidR="005C5231" w:rsidRPr="00811277">
        <w:rPr>
          <w:rFonts w:ascii="Arial" w:eastAsia="Times New Roman" w:hAnsi="Arial" w:cs="Arial"/>
          <w:bCs/>
          <w:sz w:val="24"/>
          <w:szCs w:val="24"/>
          <w:lang w:val="en-GB"/>
        </w:rPr>
        <w:t>)</w:t>
      </w:r>
      <w:r w:rsidR="00F230EF" w:rsidRPr="00811277">
        <w:rPr>
          <w:rFonts w:ascii="Arial" w:eastAsia="Times New Roman" w:hAnsi="Arial" w:cs="Arial"/>
          <w:bCs/>
          <w:sz w:val="24"/>
          <w:szCs w:val="24"/>
          <w:lang w:val="en-GB"/>
        </w:rPr>
        <w:t xml:space="preserve"> </w:t>
      </w:r>
      <w:r w:rsidR="00BF2CF3" w:rsidRPr="00811277">
        <w:rPr>
          <w:rFonts w:ascii="Arial" w:eastAsia="Times New Roman" w:hAnsi="Arial" w:cs="Arial"/>
          <w:bCs/>
          <w:sz w:val="24"/>
          <w:szCs w:val="24"/>
          <w:lang w:val="en-GB"/>
        </w:rPr>
        <w:t xml:space="preserve">were </w:t>
      </w:r>
      <w:r w:rsidR="00866E73" w:rsidRPr="00811277">
        <w:rPr>
          <w:rFonts w:ascii="Arial" w:eastAsia="Times New Roman" w:hAnsi="Arial" w:cs="Arial"/>
          <w:bCs/>
          <w:sz w:val="24"/>
          <w:szCs w:val="24"/>
          <w:lang w:val="en-GB"/>
        </w:rPr>
        <w:t>not allowed to manufacture</w:t>
      </w:r>
      <w:r w:rsidR="00FB0728" w:rsidRPr="00811277">
        <w:rPr>
          <w:rFonts w:ascii="Arial" w:eastAsia="Times New Roman" w:hAnsi="Arial" w:cs="Arial"/>
          <w:bCs/>
          <w:sz w:val="24"/>
          <w:szCs w:val="24"/>
          <w:lang w:val="en-GB"/>
        </w:rPr>
        <w:t xml:space="preserve">, </w:t>
      </w:r>
      <w:r w:rsidR="00866E73" w:rsidRPr="00811277">
        <w:rPr>
          <w:rFonts w:ascii="Arial" w:eastAsia="Times New Roman" w:hAnsi="Arial" w:cs="Arial"/>
          <w:bCs/>
          <w:sz w:val="24"/>
          <w:szCs w:val="24"/>
          <w:lang w:val="en-GB"/>
        </w:rPr>
        <w:t>import</w:t>
      </w:r>
      <w:r w:rsidR="0020745E" w:rsidRPr="00811277">
        <w:rPr>
          <w:rFonts w:ascii="Arial" w:eastAsia="Times New Roman" w:hAnsi="Arial" w:cs="Arial"/>
          <w:bCs/>
          <w:sz w:val="24"/>
          <w:szCs w:val="24"/>
          <w:lang w:val="en-GB"/>
        </w:rPr>
        <w:t>,</w:t>
      </w:r>
      <w:r w:rsidR="00FB0728" w:rsidRPr="00811277">
        <w:rPr>
          <w:rFonts w:ascii="Arial" w:eastAsia="Times New Roman" w:hAnsi="Arial" w:cs="Arial"/>
          <w:bCs/>
          <w:sz w:val="24"/>
          <w:szCs w:val="24"/>
          <w:lang w:val="en-GB"/>
        </w:rPr>
        <w:t xml:space="preserve"> or deal in </w:t>
      </w:r>
      <w:r w:rsidR="00866E73" w:rsidRPr="00811277">
        <w:rPr>
          <w:rFonts w:ascii="Arial" w:eastAsia="Times New Roman" w:hAnsi="Arial" w:cs="Arial"/>
          <w:bCs/>
          <w:sz w:val="24"/>
          <w:szCs w:val="24"/>
          <w:lang w:val="en-GB"/>
        </w:rPr>
        <w:t xml:space="preserve">tyres unless they </w:t>
      </w:r>
      <w:r w:rsidR="00B45F48" w:rsidRPr="00811277">
        <w:rPr>
          <w:rFonts w:ascii="Arial" w:eastAsia="Times New Roman" w:hAnsi="Arial" w:cs="Arial"/>
          <w:bCs/>
          <w:sz w:val="24"/>
          <w:szCs w:val="24"/>
          <w:lang w:val="en-GB"/>
        </w:rPr>
        <w:t xml:space="preserve">subscribed to a WTM plan which contained measures for the recycling or </w:t>
      </w:r>
      <w:r w:rsidR="00FC52AC" w:rsidRPr="00811277">
        <w:rPr>
          <w:rFonts w:ascii="Arial" w:eastAsia="Times New Roman" w:hAnsi="Arial" w:cs="Arial"/>
          <w:bCs/>
          <w:sz w:val="24"/>
          <w:szCs w:val="24"/>
          <w:lang w:val="en-GB"/>
        </w:rPr>
        <w:t xml:space="preserve">disposal </w:t>
      </w:r>
      <w:r w:rsidR="008E5D14" w:rsidRPr="00811277">
        <w:rPr>
          <w:rFonts w:ascii="Arial" w:eastAsia="Times New Roman" w:hAnsi="Arial" w:cs="Arial"/>
          <w:bCs/>
          <w:sz w:val="24"/>
          <w:szCs w:val="24"/>
          <w:lang w:val="en-GB"/>
        </w:rPr>
        <w:t xml:space="preserve">of </w:t>
      </w:r>
      <w:r w:rsidR="00427A97" w:rsidRPr="00811277">
        <w:rPr>
          <w:rFonts w:ascii="Arial" w:eastAsia="Times New Roman" w:hAnsi="Arial" w:cs="Arial"/>
          <w:bCs/>
          <w:sz w:val="24"/>
          <w:szCs w:val="24"/>
          <w:lang w:val="en-GB"/>
        </w:rPr>
        <w:t xml:space="preserve">waste </w:t>
      </w:r>
      <w:r w:rsidR="008E5D14" w:rsidRPr="00811277">
        <w:rPr>
          <w:rFonts w:ascii="Arial" w:eastAsia="Times New Roman" w:hAnsi="Arial" w:cs="Arial"/>
          <w:bCs/>
          <w:sz w:val="24"/>
          <w:szCs w:val="24"/>
          <w:lang w:val="en-GB"/>
        </w:rPr>
        <w:t>tyres</w:t>
      </w:r>
      <w:r w:rsidR="00D61948" w:rsidRPr="00811277">
        <w:rPr>
          <w:rFonts w:ascii="Arial" w:eastAsia="Times New Roman" w:hAnsi="Arial" w:cs="Arial"/>
          <w:bCs/>
          <w:sz w:val="24"/>
          <w:szCs w:val="24"/>
          <w:lang w:val="en-GB"/>
        </w:rPr>
        <w:t xml:space="preserve"> in</w:t>
      </w:r>
      <w:r w:rsidR="00F230EF" w:rsidRPr="00811277">
        <w:rPr>
          <w:rFonts w:ascii="Arial" w:eastAsia="Times New Roman" w:hAnsi="Arial" w:cs="Arial"/>
          <w:bCs/>
          <w:sz w:val="24"/>
          <w:szCs w:val="24"/>
          <w:lang w:val="en-GB"/>
        </w:rPr>
        <w:t xml:space="preserve"> a manner authorised </w:t>
      </w:r>
      <w:r w:rsidR="00D75B47" w:rsidRPr="00811277">
        <w:rPr>
          <w:rFonts w:ascii="Arial" w:eastAsia="Times New Roman" w:hAnsi="Arial" w:cs="Arial"/>
          <w:bCs/>
          <w:sz w:val="24"/>
          <w:szCs w:val="24"/>
          <w:lang w:val="en-GB"/>
        </w:rPr>
        <w:t>by</w:t>
      </w:r>
      <w:r w:rsidR="00F230EF" w:rsidRPr="00811277">
        <w:rPr>
          <w:rFonts w:ascii="Arial" w:eastAsia="Times New Roman" w:hAnsi="Arial" w:cs="Arial"/>
          <w:bCs/>
          <w:sz w:val="24"/>
          <w:szCs w:val="24"/>
          <w:lang w:val="en-GB"/>
        </w:rPr>
        <w:t xml:space="preserve"> </w:t>
      </w:r>
      <w:r w:rsidR="0020745E" w:rsidRPr="00811277">
        <w:rPr>
          <w:rFonts w:ascii="Arial" w:eastAsia="Times New Roman" w:hAnsi="Arial" w:cs="Arial"/>
          <w:bCs/>
          <w:sz w:val="24"/>
          <w:szCs w:val="24"/>
          <w:lang w:val="en-GB"/>
        </w:rPr>
        <w:t>the plan</w:t>
      </w:r>
      <w:r w:rsidR="00F230EF" w:rsidRPr="00811277">
        <w:rPr>
          <w:rFonts w:ascii="Arial" w:eastAsia="Times New Roman" w:hAnsi="Arial" w:cs="Arial"/>
          <w:bCs/>
          <w:sz w:val="24"/>
          <w:szCs w:val="24"/>
          <w:lang w:val="en-GB"/>
        </w:rPr>
        <w:t xml:space="preserve">. To this end, </w:t>
      </w:r>
      <w:r w:rsidR="00BF2CF3" w:rsidRPr="00811277">
        <w:rPr>
          <w:rFonts w:ascii="Arial" w:eastAsia="Times New Roman" w:hAnsi="Arial" w:cs="Arial"/>
          <w:bCs/>
          <w:sz w:val="24"/>
          <w:szCs w:val="24"/>
          <w:lang w:val="en-GB"/>
        </w:rPr>
        <w:t>producers</w:t>
      </w:r>
      <w:r w:rsidR="00F230EF" w:rsidRPr="00811277">
        <w:rPr>
          <w:rFonts w:ascii="Arial" w:eastAsia="Times New Roman" w:hAnsi="Arial" w:cs="Arial"/>
          <w:bCs/>
          <w:sz w:val="24"/>
          <w:szCs w:val="24"/>
          <w:lang w:val="en-GB"/>
        </w:rPr>
        <w:t xml:space="preserve"> were required either to prepare a</w:t>
      </w:r>
      <w:r w:rsidR="00A860F6" w:rsidRPr="00811277">
        <w:rPr>
          <w:rFonts w:ascii="Arial" w:eastAsia="Times New Roman" w:hAnsi="Arial" w:cs="Arial"/>
          <w:bCs/>
          <w:sz w:val="24"/>
          <w:szCs w:val="24"/>
          <w:lang w:val="en-GB"/>
        </w:rPr>
        <w:t xml:space="preserve">nd </w:t>
      </w:r>
      <w:r w:rsidR="00F230EF" w:rsidRPr="00811277">
        <w:rPr>
          <w:rFonts w:ascii="Arial" w:eastAsia="Times New Roman" w:hAnsi="Arial" w:cs="Arial"/>
          <w:bCs/>
          <w:sz w:val="24"/>
          <w:szCs w:val="24"/>
          <w:lang w:val="en-GB"/>
        </w:rPr>
        <w:t xml:space="preserve">submit </w:t>
      </w:r>
      <w:r w:rsidR="00861CCA" w:rsidRPr="00811277">
        <w:rPr>
          <w:rFonts w:ascii="Arial" w:eastAsia="Times New Roman" w:hAnsi="Arial" w:cs="Arial"/>
          <w:bCs/>
          <w:sz w:val="24"/>
          <w:szCs w:val="24"/>
          <w:lang w:val="en-GB"/>
        </w:rPr>
        <w:t>their own</w:t>
      </w:r>
      <w:r w:rsidR="00A860F6" w:rsidRPr="00811277">
        <w:rPr>
          <w:rFonts w:ascii="Arial" w:eastAsia="Times New Roman" w:hAnsi="Arial" w:cs="Arial"/>
          <w:bCs/>
          <w:sz w:val="24"/>
          <w:szCs w:val="24"/>
          <w:lang w:val="en-GB"/>
        </w:rPr>
        <w:t xml:space="preserve"> WTM plan </w:t>
      </w:r>
      <w:r w:rsidR="00F230EF" w:rsidRPr="00811277">
        <w:rPr>
          <w:rFonts w:ascii="Arial" w:eastAsia="Times New Roman" w:hAnsi="Arial" w:cs="Arial"/>
          <w:bCs/>
          <w:sz w:val="24"/>
          <w:szCs w:val="24"/>
          <w:lang w:val="en-GB"/>
        </w:rPr>
        <w:t>to the Minister within 60 days of registering</w:t>
      </w:r>
      <w:r w:rsidR="00BF2CF3" w:rsidRPr="00811277">
        <w:rPr>
          <w:rFonts w:ascii="Arial" w:eastAsia="Times New Roman" w:hAnsi="Arial" w:cs="Arial"/>
          <w:bCs/>
          <w:sz w:val="24"/>
          <w:szCs w:val="24"/>
          <w:lang w:val="en-GB"/>
        </w:rPr>
        <w:t>,</w:t>
      </w:r>
      <w:r w:rsidR="00F230EF" w:rsidRPr="00811277">
        <w:rPr>
          <w:rFonts w:ascii="Arial" w:eastAsia="Times New Roman" w:hAnsi="Arial" w:cs="Arial"/>
          <w:bCs/>
          <w:sz w:val="24"/>
          <w:szCs w:val="24"/>
          <w:lang w:val="en-GB"/>
        </w:rPr>
        <w:t xml:space="preserve"> or to </w:t>
      </w:r>
      <w:r w:rsidR="0020745E" w:rsidRPr="00811277">
        <w:rPr>
          <w:rFonts w:ascii="Arial" w:eastAsia="Times New Roman" w:hAnsi="Arial" w:cs="Arial"/>
          <w:bCs/>
          <w:sz w:val="24"/>
          <w:szCs w:val="24"/>
          <w:lang w:val="en-GB"/>
        </w:rPr>
        <w:t>subscribe to</w:t>
      </w:r>
      <w:r w:rsidR="00F230EF" w:rsidRPr="00811277">
        <w:rPr>
          <w:rFonts w:ascii="Arial" w:eastAsia="Times New Roman" w:hAnsi="Arial" w:cs="Arial"/>
          <w:bCs/>
          <w:sz w:val="24"/>
          <w:szCs w:val="24"/>
          <w:lang w:val="en-GB"/>
        </w:rPr>
        <w:t xml:space="preserve"> </w:t>
      </w:r>
      <w:r w:rsidR="00A860F6" w:rsidRPr="00811277">
        <w:rPr>
          <w:rFonts w:ascii="Arial" w:eastAsia="Times New Roman" w:hAnsi="Arial" w:cs="Arial"/>
          <w:bCs/>
          <w:sz w:val="24"/>
          <w:szCs w:val="24"/>
          <w:lang w:val="en-GB"/>
        </w:rPr>
        <w:t>one</w:t>
      </w:r>
      <w:r w:rsidR="00F230EF" w:rsidRPr="00811277">
        <w:rPr>
          <w:rFonts w:ascii="Arial" w:eastAsia="Times New Roman" w:hAnsi="Arial" w:cs="Arial"/>
          <w:bCs/>
          <w:sz w:val="24"/>
          <w:szCs w:val="24"/>
          <w:lang w:val="en-GB"/>
        </w:rPr>
        <w:t xml:space="preserve"> which </w:t>
      </w:r>
      <w:r w:rsidR="00A860F6" w:rsidRPr="00811277">
        <w:rPr>
          <w:rFonts w:ascii="Arial" w:eastAsia="Times New Roman" w:hAnsi="Arial" w:cs="Arial"/>
          <w:bCs/>
          <w:sz w:val="24"/>
          <w:szCs w:val="24"/>
          <w:lang w:val="en-GB"/>
        </w:rPr>
        <w:t xml:space="preserve">had </w:t>
      </w:r>
      <w:r w:rsidR="00330662" w:rsidRPr="00811277">
        <w:rPr>
          <w:rFonts w:ascii="Arial" w:eastAsia="Times New Roman" w:hAnsi="Arial" w:cs="Arial"/>
          <w:bCs/>
          <w:sz w:val="24"/>
          <w:szCs w:val="24"/>
          <w:lang w:val="en-GB"/>
        </w:rPr>
        <w:t xml:space="preserve">already </w:t>
      </w:r>
      <w:r w:rsidR="00A860F6" w:rsidRPr="00811277">
        <w:rPr>
          <w:rFonts w:ascii="Arial" w:eastAsia="Times New Roman" w:hAnsi="Arial" w:cs="Arial"/>
          <w:bCs/>
          <w:sz w:val="24"/>
          <w:szCs w:val="24"/>
          <w:lang w:val="en-GB"/>
        </w:rPr>
        <w:t>been</w:t>
      </w:r>
      <w:r w:rsidR="00F230EF" w:rsidRPr="00811277">
        <w:rPr>
          <w:rFonts w:ascii="Arial" w:eastAsia="Times New Roman" w:hAnsi="Arial" w:cs="Arial"/>
          <w:bCs/>
          <w:sz w:val="24"/>
          <w:szCs w:val="24"/>
          <w:lang w:val="en-GB"/>
        </w:rPr>
        <w:t xml:space="preserve"> approved by the </w:t>
      </w:r>
      <w:r w:rsidR="00A534C6" w:rsidRPr="00811277">
        <w:rPr>
          <w:rFonts w:ascii="Arial" w:eastAsia="Times New Roman" w:hAnsi="Arial" w:cs="Arial"/>
          <w:bCs/>
          <w:sz w:val="24"/>
          <w:szCs w:val="24"/>
          <w:lang w:val="en-GB"/>
        </w:rPr>
        <w:t>Minister</w:t>
      </w:r>
      <w:r w:rsidR="00F230EF" w:rsidRPr="00811277">
        <w:rPr>
          <w:rFonts w:ascii="Arial" w:eastAsia="Times New Roman" w:hAnsi="Arial" w:cs="Arial"/>
          <w:bCs/>
          <w:sz w:val="24"/>
          <w:szCs w:val="24"/>
          <w:lang w:val="en-GB"/>
        </w:rPr>
        <w:t>.</w:t>
      </w:r>
    </w:p>
    <w:p w14:paraId="0B5ED7EB" w14:textId="0004EC41" w:rsidR="00302338" w:rsidRPr="00577D58" w:rsidRDefault="00302338" w:rsidP="00302338">
      <w:pPr>
        <w:spacing w:line="360" w:lineRule="auto"/>
        <w:jc w:val="both"/>
        <w:rPr>
          <w:rFonts w:ascii="Arial" w:eastAsia="Times New Roman" w:hAnsi="Arial" w:cs="Arial"/>
          <w:b/>
          <w:sz w:val="24"/>
          <w:szCs w:val="24"/>
          <w:lang w:val="en-GB"/>
        </w:rPr>
      </w:pPr>
      <w:r w:rsidRPr="00577D58">
        <w:rPr>
          <w:rFonts w:ascii="Arial" w:eastAsia="Times New Roman" w:hAnsi="Arial" w:cs="Arial"/>
          <w:b/>
          <w:sz w:val="24"/>
          <w:szCs w:val="24"/>
          <w:lang w:val="en-GB"/>
        </w:rPr>
        <w:t xml:space="preserve">The </w:t>
      </w:r>
      <w:r w:rsidR="003E12D3">
        <w:rPr>
          <w:rFonts w:ascii="Arial" w:eastAsia="Times New Roman" w:hAnsi="Arial" w:cs="Arial"/>
          <w:b/>
          <w:sz w:val="24"/>
          <w:szCs w:val="24"/>
          <w:lang w:val="en-GB"/>
        </w:rPr>
        <w:t>background</w:t>
      </w:r>
      <w:r w:rsidRPr="00577D58">
        <w:rPr>
          <w:rFonts w:ascii="Arial" w:eastAsia="Times New Roman" w:hAnsi="Arial" w:cs="Arial"/>
          <w:b/>
          <w:sz w:val="24"/>
          <w:szCs w:val="24"/>
          <w:lang w:val="en-GB"/>
        </w:rPr>
        <w:t xml:space="preserve"> </w:t>
      </w:r>
    </w:p>
    <w:p w14:paraId="508E0CE4" w14:textId="276590AF" w:rsidR="00302338"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3.</w:t>
      </w:r>
      <w:r>
        <w:rPr>
          <w:rFonts w:ascii="Arial" w:eastAsia="Times New Roman" w:hAnsi="Arial" w:cs="Arial"/>
          <w:bCs/>
          <w:kern w:val="0"/>
          <w:sz w:val="24"/>
          <w:szCs w:val="24"/>
          <w:lang w:val="en-GB"/>
          <w14:ligatures w14:val="none"/>
        </w:rPr>
        <w:tab/>
      </w:r>
      <w:r w:rsidR="005F0F4B" w:rsidRPr="00811277">
        <w:rPr>
          <w:rFonts w:ascii="Arial" w:eastAsia="Times New Roman" w:hAnsi="Arial" w:cs="Arial"/>
          <w:bCs/>
          <w:sz w:val="24"/>
          <w:szCs w:val="24"/>
          <w:lang w:val="en-GB"/>
        </w:rPr>
        <w:t xml:space="preserve">Following its </w:t>
      </w:r>
      <w:r w:rsidR="00F230EF" w:rsidRPr="00811277">
        <w:rPr>
          <w:rFonts w:ascii="Arial" w:eastAsia="Times New Roman" w:hAnsi="Arial" w:cs="Arial"/>
          <w:bCs/>
          <w:sz w:val="24"/>
          <w:szCs w:val="24"/>
          <w:lang w:val="en-GB"/>
        </w:rPr>
        <w:t>incorporat</w:t>
      </w:r>
      <w:r w:rsidR="005F0F4B" w:rsidRPr="00811277">
        <w:rPr>
          <w:rFonts w:ascii="Arial" w:eastAsia="Times New Roman" w:hAnsi="Arial" w:cs="Arial"/>
          <w:bCs/>
          <w:sz w:val="24"/>
          <w:szCs w:val="24"/>
          <w:lang w:val="en-GB"/>
        </w:rPr>
        <w:t>ion</w:t>
      </w:r>
      <w:r w:rsidR="00A860F6" w:rsidRPr="00811277">
        <w:rPr>
          <w:rFonts w:ascii="Arial" w:eastAsia="Times New Roman" w:hAnsi="Arial" w:cs="Arial"/>
          <w:bCs/>
          <w:sz w:val="24"/>
          <w:szCs w:val="24"/>
          <w:lang w:val="en-GB"/>
        </w:rPr>
        <w:t xml:space="preserve"> as a non-profit company</w:t>
      </w:r>
      <w:r w:rsidR="00F230EF" w:rsidRPr="00811277">
        <w:rPr>
          <w:rFonts w:ascii="Arial" w:eastAsia="Times New Roman" w:hAnsi="Arial" w:cs="Arial"/>
          <w:bCs/>
          <w:sz w:val="24"/>
          <w:szCs w:val="24"/>
          <w:lang w:val="en-GB"/>
        </w:rPr>
        <w:t xml:space="preserve"> </w:t>
      </w:r>
      <w:r w:rsidR="00FC52AC" w:rsidRPr="00811277">
        <w:rPr>
          <w:rFonts w:ascii="Arial" w:eastAsia="Times New Roman" w:hAnsi="Arial" w:cs="Arial"/>
          <w:bCs/>
          <w:sz w:val="24"/>
          <w:szCs w:val="24"/>
          <w:lang w:val="en-GB"/>
        </w:rPr>
        <w:t>in</w:t>
      </w:r>
      <w:r w:rsidR="00A860F6" w:rsidRPr="00811277">
        <w:rPr>
          <w:rFonts w:ascii="Arial" w:eastAsia="Times New Roman" w:hAnsi="Arial" w:cs="Arial"/>
          <w:bCs/>
          <w:sz w:val="24"/>
          <w:szCs w:val="24"/>
          <w:lang w:val="en-GB"/>
        </w:rPr>
        <w:t xml:space="preserve"> 2010</w:t>
      </w:r>
      <w:r w:rsidR="00C62243" w:rsidRPr="00811277">
        <w:rPr>
          <w:rFonts w:ascii="Arial" w:eastAsia="Times New Roman" w:hAnsi="Arial" w:cs="Arial"/>
          <w:bCs/>
          <w:sz w:val="24"/>
          <w:szCs w:val="24"/>
          <w:lang w:val="en-GB"/>
        </w:rPr>
        <w:t>,</w:t>
      </w:r>
      <w:r w:rsidR="005F0F4B" w:rsidRPr="00811277">
        <w:rPr>
          <w:rFonts w:ascii="Arial" w:eastAsia="Times New Roman" w:hAnsi="Arial" w:cs="Arial"/>
          <w:bCs/>
          <w:sz w:val="24"/>
          <w:szCs w:val="24"/>
          <w:lang w:val="en-GB"/>
        </w:rPr>
        <w:t xml:space="preserve"> Redisa </w:t>
      </w:r>
      <w:r w:rsidR="00866E73" w:rsidRPr="00811277">
        <w:rPr>
          <w:rFonts w:ascii="Arial" w:eastAsia="Times New Roman" w:hAnsi="Arial" w:cs="Arial"/>
          <w:bCs/>
          <w:sz w:val="24"/>
          <w:szCs w:val="24"/>
          <w:lang w:val="en-GB"/>
        </w:rPr>
        <w:t xml:space="preserve">set about preparing what it </w:t>
      </w:r>
      <w:r w:rsidR="0053352E" w:rsidRPr="00811277">
        <w:rPr>
          <w:rFonts w:ascii="Arial" w:eastAsia="Times New Roman" w:hAnsi="Arial" w:cs="Arial"/>
          <w:bCs/>
          <w:sz w:val="24"/>
          <w:szCs w:val="24"/>
          <w:lang w:val="en-GB"/>
        </w:rPr>
        <w:t xml:space="preserve">envisaged </w:t>
      </w:r>
      <w:r w:rsidR="00B01BE0" w:rsidRPr="00811277">
        <w:rPr>
          <w:rFonts w:ascii="Arial" w:eastAsia="Times New Roman" w:hAnsi="Arial" w:cs="Arial"/>
          <w:bCs/>
          <w:sz w:val="24"/>
          <w:szCs w:val="24"/>
          <w:lang w:val="en-GB"/>
        </w:rPr>
        <w:t>c</w:t>
      </w:r>
      <w:r w:rsidR="00866E73" w:rsidRPr="00811277">
        <w:rPr>
          <w:rFonts w:ascii="Arial" w:eastAsia="Times New Roman" w:hAnsi="Arial" w:cs="Arial"/>
          <w:bCs/>
          <w:sz w:val="24"/>
          <w:szCs w:val="24"/>
          <w:lang w:val="en-GB"/>
        </w:rPr>
        <w:t>ould serve as a country-wide blueprint for a WTM plan</w:t>
      </w:r>
      <w:r w:rsidR="00BE632E" w:rsidRPr="00811277">
        <w:rPr>
          <w:rFonts w:ascii="Arial" w:eastAsia="Times New Roman" w:hAnsi="Arial" w:cs="Arial"/>
          <w:bCs/>
          <w:sz w:val="24"/>
          <w:szCs w:val="24"/>
          <w:lang w:val="en-GB"/>
        </w:rPr>
        <w:t xml:space="preserve">. </w:t>
      </w:r>
      <w:r w:rsidR="00FC52AC" w:rsidRPr="00811277">
        <w:rPr>
          <w:rFonts w:ascii="Arial" w:eastAsia="Times New Roman" w:hAnsi="Arial" w:cs="Arial"/>
          <w:bCs/>
          <w:sz w:val="24"/>
          <w:szCs w:val="24"/>
          <w:lang w:val="en-GB"/>
        </w:rPr>
        <w:t>A</w:t>
      </w:r>
      <w:r w:rsidR="00BE632E" w:rsidRPr="00811277">
        <w:rPr>
          <w:rFonts w:ascii="Arial" w:eastAsia="Times New Roman" w:hAnsi="Arial" w:cs="Arial"/>
          <w:bCs/>
          <w:sz w:val="24"/>
          <w:szCs w:val="24"/>
          <w:lang w:val="en-GB"/>
        </w:rPr>
        <w:t>s the effective disposal of waste tyres was a</w:t>
      </w:r>
      <w:r w:rsidR="00A209B4" w:rsidRPr="00811277">
        <w:rPr>
          <w:rFonts w:ascii="Arial" w:eastAsia="Times New Roman" w:hAnsi="Arial" w:cs="Arial"/>
          <w:bCs/>
          <w:sz w:val="24"/>
          <w:szCs w:val="24"/>
          <w:lang w:val="en-GB"/>
        </w:rPr>
        <w:t>n</w:t>
      </w:r>
      <w:r w:rsidR="00BE632E" w:rsidRPr="00811277">
        <w:rPr>
          <w:rFonts w:ascii="Arial" w:eastAsia="Times New Roman" w:hAnsi="Arial" w:cs="Arial"/>
          <w:bCs/>
          <w:sz w:val="24"/>
          <w:szCs w:val="24"/>
          <w:lang w:val="en-GB"/>
        </w:rPr>
        <w:t xml:space="preserve"> environmentally sensitive </w:t>
      </w:r>
      <w:r w:rsidR="00FC52AC" w:rsidRPr="00811277">
        <w:rPr>
          <w:rFonts w:ascii="Arial" w:eastAsia="Times New Roman" w:hAnsi="Arial" w:cs="Arial"/>
          <w:bCs/>
          <w:sz w:val="24"/>
          <w:szCs w:val="24"/>
          <w:lang w:val="en-GB"/>
        </w:rPr>
        <w:t>issue</w:t>
      </w:r>
      <w:r w:rsidR="00BE632E" w:rsidRPr="00811277">
        <w:rPr>
          <w:rFonts w:ascii="Arial" w:eastAsia="Times New Roman" w:hAnsi="Arial" w:cs="Arial"/>
          <w:bCs/>
          <w:sz w:val="24"/>
          <w:szCs w:val="24"/>
          <w:lang w:val="en-GB"/>
        </w:rPr>
        <w:t xml:space="preserve"> </w:t>
      </w:r>
      <w:r w:rsidR="00330662" w:rsidRPr="00811277">
        <w:rPr>
          <w:rFonts w:ascii="Arial" w:eastAsia="Times New Roman" w:hAnsi="Arial" w:cs="Arial"/>
          <w:bCs/>
          <w:sz w:val="24"/>
          <w:szCs w:val="24"/>
          <w:lang w:val="en-GB"/>
        </w:rPr>
        <w:t>which</w:t>
      </w:r>
      <w:r w:rsidR="00866E73" w:rsidRPr="00811277">
        <w:rPr>
          <w:rFonts w:ascii="Arial" w:eastAsia="Times New Roman" w:hAnsi="Arial" w:cs="Arial"/>
          <w:bCs/>
          <w:sz w:val="24"/>
          <w:szCs w:val="24"/>
          <w:lang w:val="en-GB"/>
        </w:rPr>
        <w:t xml:space="preserve"> </w:t>
      </w:r>
      <w:r w:rsidR="006C77E3" w:rsidRPr="00811277">
        <w:rPr>
          <w:rFonts w:ascii="Arial" w:eastAsia="Times New Roman" w:hAnsi="Arial" w:cs="Arial"/>
          <w:bCs/>
          <w:sz w:val="24"/>
          <w:szCs w:val="24"/>
          <w:lang w:val="en-GB"/>
        </w:rPr>
        <w:t xml:space="preserve">affected </w:t>
      </w:r>
      <w:r w:rsidR="0020745E" w:rsidRPr="00811277">
        <w:rPr>
          <w:rFonts w:ascii="Arial" w:eastAsia="Times New Roman" w:hAnsi="Arial" w:cs="Arial"/>
          <w:bCs/>
          <w:sz w:val="24"/>
          <w:szCs w:val="24"/>
          <w:lang w:val="en-GB"/>
        </w:rPr>
        <w:t>the entire country</w:t>
      </w:r>
      <w:r w:rsidR="008E5D14" w:rsidRPr="00811277">
        <w:rPr>
          <w:rFonts w:ascii="Arial" w:eastAsia="Times New Roman" w:hAnsi="Arial" w:cs="Arial"/>
          <w:bCs/>
          <w:sz w:val="24"/>
          <w:szCs w:val="24"/>
          <w:lang w:val="en-GB"/>
        </w:rPr>
        <w:t xml:space="preserve"> </w:t>
      </w:r>
      <w:r w:rsidR="00BE632E">
        <w:rPr>
          <w:rStyle w:val="FootnoteReference"/>
          <w:rFonts w:ascii="Arial" w:eastAsia="Times New Roman" w:hAnsi="Arial" w:cs="Arial"/>
          <w:bCs/>
          <w:sz w:val="24"/>
          <w:szCs w:val="24"/>
          <w:lang w:val="en-GB"/>
        </w:rPr>
        <w:footnoteReference w:id="4"/>
      </w:r>
      <w:r w:rsidR="00A209B4" w:rsidRPr="00811277">
        <w:rPr>
          <w:rFonts w:ascii="Arial" w:eastAsia="Times New Roman" w:hAnsi="Arial" w:cs="Arial"/>
          <w:bCs/>
          <w:sz w:val="24"/>
          <w:szCs w:val="24"/>
          <w:lang w:val="en-GB"/>
        </w:rPr>
        <w:t xml:space="preserve"> </w:t>
      </w:r>
      <w:r w:rsidR="00301446" w:rsidRPr="00811277">
        <w:rPr>
          <w:rFonts w:ascii="Arial" w:eastAsia="Times New Roman" w:hAnsi="Arial" w:cs="Arial"/>
          <w:bCs/>
          <w:sz w:val="24"/>
          <w:szCs w:val="24"/>
          <w:lang w:val="en-GB"/>
        </w:rPr>
        <w:t>i</w:t>
      </w:r>
      <w:r w:rsidR="00BE632E" w:rsidRPr="00811277">
        <w:rPr>
          <w:rFonts w:ascii="Arial" w:eastAsia="Times New Roman" w:hAnsi="Arial" w:cs="Arial"/>
          <w:bCs/>
          <w:sz w:val="24"/>
          <w:szCs w:val="24"/>
          <w:lang w:val="en-GB"/>
        </w:rPr>
        <w:t>t motivate</w:t>
      </w:r>
      <w:r w:rsidR="00AB64AC" w:rsidRPr="00811277">
        <w:rPr>
          <w:rFonts w:ascii="Arial" w:eastAsia="Times New Roman" w:hAnsi="Arial" w:cs="Arial"/>
          <w:bCs/>
          <w:sz w:val="24"/>
          <w:szCs w:val="24"/>
          <w:lang w:val="en-GB"/>
        </w:rPr>
        <w:t>d</w:t>
      </w:r>
      <w:r w:rsidR="00BE632E" w:rsidRPr="00811277">
        <w:rPr>
          <w:rFonts w:ascii="Arial" w:eastAsia="Times New Roman" w:hAnsi="Arial" w:cs="Arial"/>
          <w:bCs/>
          <w:sz w:val="24"/>
          <w:szCs w:val="24"/>
          <w:lang w:val="en-GB"/>
        </w:rPr>
        <w:t xml:space="preserve"> for the adoption of a</w:t>
      </w:r>
      <w:r w:rsidR="00C33C1F" w:rsidRPr="00811277">
        <w:rPr>
          <w:rFonts w:ascii="Arial" w:eastAsia="Times New Roman" w:hAnsi="Arial" w:cs="Arial"/>
          <w:bCs/>
          <w:sz w:val="24"/>
          <w:szCs w:val="24"/>
          <w:lang w:val="en-GB"/>
        </w:rPr>
        <w:t xml:space="preserve"> single, industry-wide </w:t>
      </w:r>
      <w:r w:rsidR="00BE632E" w:rsidRPr="00811277">
        <w:rPr>
          <w:rFonts w:ascii="Arial" w:eastAsia="Times New Roman" w:hAnsi="Arial" w:cs="Arial"/>
          <w:bCs/>
          <w:sz w:val="24"/>
          <w:szCs w:val="24"/>
          <w:lang w:val="en-GB"/>
        </w:rPr>
        <w:t>plan on the grounds that it would be more cost-effective and efficient, given the economies of scale involved</w:t>
      </w:r>
      <w:r w:rsidR="008F6E34" w:rsidRPr="00811277">
        <w:rPr>
          <w:rFonts w:ascii="Arial" w:eastAsia="Times New Roman" w:hAnsi="Arial" w:cs="Arial"/>
          <w:bCs/>
          <w:sz w:val="24"/>
          <w:szCs w:val="24"/>
          <w:lang w:val="en-GB"/>
        </w:rPr>
        <w:t xml:space="preserve"> and </w:t>
      </w:r>
      <w:r w:rsidR="00E51F3E" w:rsidRPr="00811277">
        <w:rPr>
          <w:rFonts w:ascii="Arial" w:eastAsia="Times New Roman" w:hAnsi="Arial" w:cs="Arial"/>
          <w:bCs/>
          <w:sz w:val="24"/>
          <w:szCs w:val="24"/>
          <w:lang w:val="en-GB"/>
        </w:rPr>
        <w:t xml:space="preserve">given </w:t>
      </w:r>
      <w:r w:rsidR="00B01BE0" w:rsidRPr="00811277">
        <w:rPr>
          <w:rFonts w:ascii="Arial" w:eastAsia="Times New Roman" w:hAnsi="Arial" w:cs="Arial"/>
          <w:bCs/>
          <w:sz w:val="24"/>
          <w:szCs w:val="24"/>
          <w:lang w:val="en-GB"/>
        </w:rPr>
        <w:t>that</w:t>
      </w:r>
      <w:r w:rsidR="008F6E34" w:rsidRPr="00811277">
        <w:rPr>
          <w:rFonts w:ascii="Arial" w:eastAsia="Times New Roman" w:hAnsi="Arial" w:cs="Arial"/>
          <w:bCs/>
          <w:sz w:val="24"/>
          <w:szCs w:val="24"/>
          <w:lang w:val="en-GB"/>
        </w:rPr>
        <w:t xml:space="preserve"> it would allow for better financial</w:t>
      </w:r>
      <w:r w:rsidR="00866189" w:rsidRPr="00811277">
        <w:rPr>
          <w:rFonts w:ascii="Arial" w:eastAsia="Times New Roman" w:hAnsi="Arial" w:cs="Arial"/>
          <w:bCs/>
          <w:sz w:val="24"/>
          <w:szCs w:val="24"/>
          <w:lang w:val="en-GB"/>
        </w:rPr>
        <w:t xml:space="preserve"> </w:t>
      </w:r>
      <w:r w:rsidR="008F6E34" w:rsidRPr="00811277">
        <w:rPr>
          <w:rFonts w:ascii="Arial" w:eastAsia="Times New Roman" w:hAnsi="Arial" w:cs="Arial"/>
          <w:bCs/>
          <w:sz w:val="24"/>
          <w:szCs w:val="24"/>
          <w:lang w:val="en-GB"/>
        </w:rPr>
        <w:t>control</w:t>
      </w:r>
      <w:r w:rsidR="00BE632E" w:rsidRPr="00811277">
        <w:rPr>
          <w:rFonts w:ascii="Arial" w:eastAsia="Times New Roman" w:hAnsi="Arial" w:cs="Arial"/>
          <w:bCs/>
          <w:sz w:val="24"/>
          <w:szCs w:val="24"/>
          <w:lang w:val="en-GB"/>
        </w:rPr>
        <w:t xml:space="preserve"> th</w:t>
      </w:r>
      <w:r w:rsidR="008F6E34" w:rsidRPr="00811277">
        <w:rPr>
          <w:rFonts w:ascii="Arial" w:eastAsia="Times New Roman" w:hAnsi="Arial" w:cs="Arial"/>
          <w:bCs/>
          <w:sz w:val="24"/>
          <w:szCs w:val="24"/>
          <w:lang w:val="en-GB"/>
        </w:rPr>
        <w:t>a</w:t>
      </w:r>
      <w:r w:rsidR="00BE632E" w:rsidRPr="00811277">
        <w:rPr>
          <w:rFonts w:ascii="Arial" w:eastAsia="Times New Roman" w:hAnsi="Arial" w:cs="Arial"/>
          <w:bCs/>
          <w:sz w:val="24"/>
          <w:szCs w:val="24"/>
          <w:lang w:val="en-GB"/>
        </w:rPr>
        <w:t>n a multiplicity of smaller</w:t>
      </w:r>
      <w:r w:rsidR="00C33C1F" w:rsidRPr="00811277">
        <w:rPr>
          <w:rFonts w:ascii="Arial" w:eastAsia="Times New Roman" w:hAnsi="Arial" w:cs="Arial"/>
          <w:bCs/>
          <w:sz w:val="24"/>
          <w:szCs w:val="24"/>
          <w:lang w:val="en-GB"/>
        </w:rPr>
        <w:t>, individual</w:t>
      </w:r>
      <w:r w:rsidR="00BE632E" w:rsidRPr="00811277">
        <w:rPr>
          <w:rFonts w:ascii="Arial" w:eastAsia="Times New Roman" w:hAnsi="Arial" w:cs="Arial"/>
          <w:bCs/>
          <w:sz w:val="24"/>
          <w:szCs w:val="24"/>
          <w:lang w:val="en-GB"/>
        </w:rPr>
        <w:t xml:space="preserve"> plan</w:t>
      </w:r>
      <w:r w:rsidR="00C33C1F" w:rsidRPr="00811277">
        <w:rPr>
          <w:rFonts w:ascii="Arial" w:eastAsia="Times New Roman" w:hAnsi="Arial" w:cs="Arial"/>
          <w:bCs/>
          <w:sz w:val="24"/>
          <w:szCs w:val="24"/>
          <w:lang w:val="en-GB"/>
        </w:rPr>
        <w:t>s</w:t>
      </w:r>
      <w:r w:rsidR="00BE632E" w:rsidRPr="00811277">
        <w:rPr>
          <w:rFonts w:ascii="Arial" w:eastAsia="Times New Roman" w:hAnsi="Arial" w:cs="Arial"/>
          <w:bCs/>
          <w:sz w:val="24"/>
          <w:szCs w:val="24"/>
          <w:lang w:val="en-GB"/>
        </w:rPr>
        <w:t xml:space="preserve"> develop</w:t>
      </w:r>
      <w:r w:rsidR="008F6E34" w:rsidRPr="00811277">
        <w:rPr>
          <w:rFonts w:ascii="Arial" w:eastAsia="Times New Roman" w:hAnsi="Arial" w:cs="Arial"/>
          <w:bCs/>
          <w:sz w:val="24"/>
          <w:szCs w:val="24"/>
          <w:lang w:val="en-GB"/>
        </w:rPr>
        <w:t>ed</w:t>
      </w:r>
      <w:r w:rsidR="00BE632E" w:rsidRPr="00811277">
        <w:rPr>
          <w:rFonts w:ascii="Arial" w:eastAsia="Times New Roman" w:hAnsi="Arial" w:cs="Arial"/>
          <w:bCs/>
          <w:sz w:val="24"/>
          <w:szCs w:val="24"/>
          <w:lang w:val="en-GB"/>
        </w:rPr>
        <w:t xml:space="preserve"> by </w:t>
      </w:r>
      <w:r w:rsidR="00E51F3E" w:rsidRPr="00811277">
        <w:rPr>
          <w:rFonts w:ascii="Arial" w:eastAsia="Times New Roman" w:hAnsi="Arial" w:cs="Arial"/>
          <w:bCs/>
          <w:sz w:val="24"/>
          <w:szCs w:val="24"/>
          <w:lang w:val="en-GB"/>
        </w:rPr>
        <w:t xml:space="preserve">various </w:t>
      </w:r>
      <w:r w:rsidR="00BE632E" w:rsidRPr="00811277">
        <w:rPr>
          <w:rFonts w:ascii="Arial" w:eastAsia="Times New Roman" w:hAnsi="Arial" w:cs="Arial"/>
          <w:bCs/>
          <w:sz w:val="24"/>
          <w:szCs w:val="24"/>
          <w:lang w:val="en-GB"/>
        </w:rPr>
        <w:t xml:space="preserve">groupings within the </w:t>
      </w:r>
      <w:r w:rsidR="009D50A8" w:rsidRPr="00811277">
        <w:rPr>
          <w:rFonts w:ascii="Arial" w:eastAsia="Times New Roman" w:hAnsi="Arial" w:cs="Arial"/>
          <w:bCs/>
          <w:sz w:val="24"/>
          <w:szCs w:val="24"/>
          <w:lang w:val="en-GB"/>
        </w:rPr>
        <w:t>thousands of</w:t>
      </w:r>
      <w:r w:rsidR="00C33C1F" w:rsidRPr="00811277">
        <w:rPr>
          <w:rFonts w:ascii="Arial" w:eastAsia="Times New Roman" w:hAnsi="Arial" w:cs="Arial"/>
          <w:bCs/>
          <w:sz w:val="24"/>
          <w:szCs w:val="24"/>
          <w:lang w:val="en-GB"/>
        </w:rPr>
        <w:t xml:space="preserve"> </w:t>
      </w:r>
      <w:r w:rsidR="00BE632E" w:rsidRPr="00811277">
        <w:rPr>
          <w:rFonts w:ascii="Arial" w:eastAsia="Times New Roman" w:hAnsi="Arial" w:cs="Arial"/>
          <w:bCs/>
          <w:sz w:val="24"/>
          <w:szCs w:val="24"/>
          <w:lang w:val="en-GB"/>
        </w:rPr>
        <w:t xml:space="preserve">tyre dealerships </w:t>
      </w:r>
      <w:r w:rsidR="00C33C1F" w:rsidRPr="00811277">
        <w:rPr>
          <w:rFonts w:ascii="Arial" w:eastAsia="Times New Roman" w:hAnsi="Arial" w:cs="Arial"/>
          <w:bCs/>
          <w:sz w:val="24"/>
          <w:szCs w:val="24"/>
          <w:lang w:val="en-GB"/>
        </w:rPr>
        <w:t>in the country</w:t>
      </w:r>
      <w:r w:rsidR="008F6E34" w:rsidRPr="00811277">
        <w:rPr>
          <w:rFonts w:ascii="Arial" w:eastAsia="Times New Roman" w:hAnsi="Arial" w:cs="Arial"/>
          <w:bCs/>
          <w:sz w:val="24"/>
          <w:szCs w:val="24"/>
          <w:lang w:val="en-GB"/>
        </w:rPr>
        <w:t xml:space="preserve">. It contended that a </w:t>
      </w:r>
      <w:r w:rsidR="00AB64AC" w:rsidRPr="00811277">
        <w:rPr>
          <w:rFonts w:ascii="Arial" w:eastAsia="Times New Roman" w:hAnsi="Arial" w:cs="Arial"/>
          <w:bCs/>
          <w:sz w:val="24"/>
          <w:szCs w:val="24"/>
          <w:lang w:val="en-GB"/>
        </w:rPr>
        <w:t xml:space="preserve">national </w:t>
      </w:r>
      <w:r w:rsidR="008F6E34" w:rsidRPr="00811277">
        <w:rPr>
          <w:rFonts w:ascii="Arial" w:eastAsia="Times New Roman" w:hAnsi="Arial" w:cs="Arial"/>
          <w:bCs/>
          <w:sz w:val="24"/>
          <w:szCs w:val="24"/>
          <w:lang w:val="en-GB"/>
        </w:rPr>
        <w:t>plan</w:t>
      </w:r>
      <w:r w:rsidR="00BE632E" w:rsidRPr="00811277">
        <w:rPr>
          <w:rFonts w:ascii="Arial" w:eastAsia="Times New Roman" w:hAnsi="Arial" w:cs="Arial"/>
          <w:bCs/>
          <w:sz w:val="24"/>
          <w:szCs w:val="24"/>
          <w:lang w:val="en-GB"/>
        </w:rPr>
        <w:t xml:space="preserve"> would </w:t>
      </w:r>
      <w:r w:rsidR="00F63024" w:rsidRPr="00811277">
        <w:rPr>
          <w:rFonts w:ascii="Arial" w:eastAsia="Times New Roman" w:hAnsi="Arial" w:cs="Arial"/>
          <w:bCs/>
          <w:sz w:val="24"/>
          <w:szCs w:val="24"/>
          <w:lang w:val="en-GB"/>
        </w:rPr>
        <w:t xml:space="preserve">be easier to implement and would </w:t>
      </w:r>
      <w:r w:rsidR="00BE632E" w:rsidRPr="00811277">
        <w:rPr>
          <w:rFonts w:ascii="Arial" w:eastAsia="Times New Roman" w:hAnsi="Arial" w:cs="Arial"/>
          <w:bCs/>
          <w:sz w:val="24"/>
          <w:szCs w:val="24"/>
          <w:lang w:val="en-GB"/>
        </w:rPr>
        <w:t xml:space="preserve">allow for </w:t>
      </w:r>
      <w:r w:rsidR="00C33C1F" w:rsidRPr="00811277">
        <w:rPr>
          <w:rFonts w:ascii="Arial" w:eastAsia="Times New Roman" w:hAnsi="Arial" w:cs="Arial"/>
          <w:bCs/>
          <w:sz w:val="24"/>
          <w:szCs w:val="24"/>
          <w:lang w:val="en-GB"/>
        </w:rPr>
        <w:t xml:space="preserve">the </w:t>
      </w:r>
      <w:r w:rsidR="00BE632E" w:rsidRPr="00811277">
        <w:rPr>
          <w:rFonts w:ascii="Arial" w:eastAsia="Times New Roman" w:hAnsi="Arial" w:cs="Arial"/>
          <w:bCs/>
          <w:sz w:val="24"/>
          <w:szCs w:val="24"/>
          <w:lang w:val="en-GB"/>
        </w:rPr>
        <w:t>maximisation of job creation and empowerment objectives</w:t>
      </w:r>
      <w:r w:rsidR="0020745E" w:rsidRPr="00811277">
        <w:rPr>
          <w:rFonts w:ascii="Arial" w:eastAsia="Times New Roman" w:hAnsi="Arial" w:cs="Arial"/>
          <w:bCs/>
          <w:sz w:val="24"/>
          <w:szCs w:val="24"/>
          <w:lang w:val="en-GB"/>
        </w:rPr>
        <w:t>,</w:t>
      </w:r>
      <w:r w:rsidR="00BE632E" w:rsidRPr="00811277">
        <w:rPr>
          <w:rFonts w:ascii="Arial" w:eastAsia="Times New Roman" w:hAnsi="Arial" w:cs="Arial"/>
          <w:bCs/>
          <w:sz w:val="24"/>
          <w:szCs w:val="24"/>
          <w:lang w:val="en-GB"/>
        </w:rPr>
        <w:t xml:space="preserve"> by including the informal sector</w:t>
      </w:r>
      <w:r w:rsidR="00FC52AC" w:rsidRPr="00811277">
        <w:rPr>
          <w:rFonts w:ascii="Arial" w:eastAsia="Times New Roman" w:hAnsi="Arial" w:cs="Arial"/>
          <w:bCs/>
          <w:sz w:val="24"/>
          <w:szCs w:val="24"/>
          <w:lang w:val="en-GB"/>
        </w:rPr>
        <w:t>,</w:t>
      </w:r>
      <w:r w:rsidR="00BE632E" w:rsidRPr="00811277">
        <w:rPr>
          <w:rFonts w:ascii="Arial" w:eastAsia="Times New Roman" w:hAnsi="Arial" w:cs="Arial"/>
          <w:bCs/>
          <w:sz w:val="24"/>
          <w:szCs w:val="24"/>
          <w:lang w:val="en-GB"/>
        </w:rPr>
        <w:t xml:space="preserve"> which deal</w:t>
      </w:r>
      <w:r w:rsidR="008E5D14" w:rsidRPr="00811277">
        <w:rPr>
          <w:rFonts w:ascii="Arial" w:eastAsia="Times New Roman" w:hAnsi="Arial" w:cs="Arial"/>
          <w:bCs/>
          <w:sz w:val="24"/>
          <w:szCs w:val="24"/>
          <w:lang w:val="en-GB"/>
        </w:rPr>
        <w:t>s</w:t>
      </w:r>
      <w:r w:rsidR="00BE632E" w:rsidRPr="00811277">
        <w:rPr>
          <w:rFonts w:ascii="Arial" w:eastAsia="Times New Roman" w:hAnsi="Arial" w:cs="Arial"/>
          <w:bCs/>
          <w:sz w:val="24"/>
          <w:szCs w:val="24"/>
          <w:lang w:val="en-GB"/>
        </w:rPr>
        <w:t xml:space="preserve"> with </w:t>
      </w:r>
      <w:r w:rsidR="00B01BE0" w:rsidRPr="00811277">
        <w:rPr>
          <w:rFonts w:ascii="Arial" w:eastAsia="Times New Roman" w:hAnsi="Arial" w:cs="Arial"/>
          <w:bCs/>
          <w:sz w:val="24"/>
          <w:szCs w:val="24"/>
          <w:lang w:val="en-GB"/>
        </w:rPr>
        <w:t>most</w:t>
      </w:r>
      <w:r w:rsidR="00BE632E" w:rsidRPr="00811277">
        <w:rPr>
          <w:rFonts w:ascii="Arial" w:eastAsia="Times New Roman" w:hAnsi="Arial" w:cs="Arial"/>
          <w:bCs/>
          <w:sz w:val="24"/>
          <w:szCs w:val="24"/>
          <w:lang w:val="en-GB"/>
        </w:rPr>
        <w:t xml:space="preserve"> scrap tyres.</w:t>
      </w:r>
    </w:p>
    <w:p w14:paraId="116553FA" w14:textId="44272504" w:rsidR="00302338"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4.</w:t>
      </w:r>
      <w:r>
        <w:rPr>
          <w:rFonts w:ascii="Arial" w:eastAsia="Times New Roman" w:hAnsi="Arial" w:cs="Arial"/>
          <w:bCs/>
          <w:kern w:val="0"/>
          <w:sz w:val="24"/>
          <w:szCs w:val="24"/>
          <w:lang w:val="en-GB"/>
          <w14:ligatures w14:val="none"/>
        </w:rPr>
        <w:tab/>
      </w:r>
      <w:r w:rsidR="00B01BE0" w:rsidRPr="00811277">
        <w:rPr>
          <w:rFonts w:ascii="Arial" w:eastAsia="Times New Roman" w:hAnsi="Arial" w:cs="Arial"/>
          <w:bCs/>
          <w:sz w:val="24"/>
          <w:szCs w:val="24"/>
          <w:lang w:val="en-GB"/>
        </w:rPr>
        <w:t xml:space="preserve">The draft </w:t>
      </w:r>
      <w:r w:rsidR="00D84714" w:rsidRPr="00811277">
        <w:rPr>
          <w:rFonts w:ascii="Arial" w:eastAsia="Times New Roman" w:hAnsi="Arial" w:cs="Arial"/>
          <w:bCs/>
          <w:sz w:val="24"/>
          <w:szCs w:val="24"/>
          <w:lang w:val="en-GB"/>
        </w:rPr>
        <w:t xml:space="preserve">plan </w:t>
      </w:r>
      <w:r w:rsidR="00B01BE0" w:rsidRPr="00811277">
        <w:rPr>
          <w:rFonts w:ascii="Arial" w:eastAsia="Times New Roman" w:hAnsi="Arial" w:cs="Arial"/>
          <w:bCs/>
          <w:sz w:val="24"/>
          <w:szCs w:val="24"/>
          <w:lang w:val="en-GB"/>
        </w:rPr>
        <w:t xml:space="preserve">which </w:t>
      </w:r>
      <w:r w:rsidR="00861CCA" w:rsidRPr="00811277">
        <w:rPr>
          <w:rFonts w:ascii="Arial" w:eastAsia="Times New Roman" w:hAnsi="Arial" w:cs="Arial"/>
          <w:bCs/>
          <w:sz w:val="24"/>
          <w:szCs w:val="24"/>
          <w:lang w:val="en-GB"/>
        </w:rPr>
        <w:t>R</w:t>
      </w:r>
      <w:r w:rsidR="00B01BE0" w:rsidRPr="00811277">
        <w:rPr>
          <w:rFonts w:ascii="Arial" w:eastAsia="Times New Roman" w:hAnsi="Arial" w:cs="Arial"/>
          <w:bCs/>
          <w:sz w:val="24"/>
          <w:szCs w:val="24"/>
          <w:lang w:val="en-GB"/>
        </w:rPr>
        <w:t xml:space="preserve">edisa prepared was submitted to the Minister in February 2011. In April and December that year competing plans were filed by the SA </w:t>
      </w:r>
      <w:r w:rsidR="00861CCA" w:rsidRPr="00811277">
        <w:rPr>
          <w:rFonts w:ascii="Arial" w:eastAsia="Times New Roman" w:hAnsi="Arial" w:cs="Arial"/>
          <w:bCs/>
          <w:sz w:val="24"/>
          <w:szCs w:val="24"/>
          <w:lang w:val="en-GB"/>
        </w:rPr>
        <w:t>T</w:t>
      </w:r>
      <w:r w:rsidR="00B01BE0" w:rsidRPr="00811277">
        <w:rPr>
          <w:rFonts w:ascii="Arial" w:eastAsia="Times New Roman" w:hAnsi="Arial" w:cs="Arial"/>
          <w:bCs/>
          <w:sz w:val="24"/>
          <w:szCs w:val="24"/>
          <w:lang w:val="en-GB"/>
        </w:rPr>
        <w:t xml:space="preserve">yre </w:t>
      </w:r>
      <w:r w:rsidR="00861CCA" w:rsidRPr="00811277">
        <w:rPr>
          <w:rFonts w:ascii="Arial" w:eastAsia="Times New Roman" w:hAnsi="Arial" w:cs="Arial"/>
          <w:bCs/>
          <w:sz w:val="24"/>
          <w:szCs w:val="24"/>
          <w:lang w:val="en-GB"/>
        </w:rPr>
        <w:t>P</w:t>
      </w:r>
      <w:r w:rsidR="00B01BE0" w:rsidRPr="00811277">
        <w:rPr>
          <w:rFonts w:ascii="Arial" w:eastAsia="Times New Roman" w:hAnsi="Arial" w:cs="Arial"/>
          <w:bCs/>
          <w:sz w:val="24"/>
          <w:szCs w:val="24"/>
          <w:lang w:val="en-GB"/>
        </w:rPr>
        <w:t xml:space="preserve">rocess </w:t>
      </w:r>
      <w:r w:rsidR="00861CCA" w:rsidRPr="00811277">
        <w:rPr>
          <w:rFonts w:ascii="Arial" w:eastAsia="Times New Roman" w:hAnsi="Arial" w:cs="Arial"/>
          <w:bCs/>
          <w:sz w:val="24"/>
          <w:szCs w:val="24"/>
          <w:lang w:val="en-GB"/>
        </w:rPr>
        <w:t>C</w:t>
      </w:r>
      <w:r w:rsidR="00B01BE0" w:rsidRPr="00811277">
        <w:rPr>
          <w:rFonts w:ascii="Arial" w:eastAsia="Times New Roman" w:hAnsi="Arial" w:cs="Arial"/>
          <w:bCs/>
          <w:sz w:val="24"/>
          <w:szCs w:val="24"/>
          <w:lang w:val="en-GB"/>
        </w:rPr>
        <w:t>orporation NPC</w:t>
      </w:r>
      <w:r w:rsidR="001725E1" w:rsidRPr="00811277">
        <w:rPr>
          <w:rFonts w:ascii="Arial" w:eastAsia="Times New Roman" w:hAnsi="Arial" w:cs="Arial"/>
          <w:bCs/>
          <w:sz w:val="24"/>
          <w:szCs w:val="24"/>
          <w:lang w:val="en-GB"/>
        </w:rPr>
        <w:t xml:space="preserve"> (‘SA Tyre)</w:t>
      </w:r>
      <w:r w:rsidR="00B01BE0" w:rsidRPr="00811277">
        <w:rPr>
          <w:rFonts w:ascii="Arial" w:eastAsia="Times New Roman" w:hAnsi="Arial" w:cs="Arial"/>
          <w:bCs/>
          <w:sz w:val="24"/>
          <w:szCs w:val="24"/>
          <w:lang w:val="en-GB"/>
        </w:rPr>
        <w:t xml:space="preserve"> and the </w:t>
      </w:r>
      <w:r w:rsidR="00861CCA" w:rsidRPr="00811277">
        <w:rPr>
          <w:rFonts w:ascii="Arial" w:eastAsia="Times New Roman" w:hAnsi="Arial" w:cs="Arial"/>
          <w:bCs/>
          <w:sz w:val="24"/>
          <w:szCs w:val="24"/>
          <w:lang w:val="en-GB"/>
        </w:rPr>
        <w:t>R</w:t>
      </w:r>
      <w:r w:rsidR="00B01BE0" w:rsidRPr="00811277">
        <w:rPr>
          <w:rFonts w:ascii="Arial" w:eastAsia="Times New Roman" w:hAnsi="Arial" w:cs="Arial"/>
          <w:bCs/>
          <w:sz w:val="24"/>
          <w:szCs w:val="24"/>
          <w:lang w:val="en-GB"/>
        </w:rPr>
        <w:t xml:space="preserve">etail </w:t>
      </w:r>
      <w:r w:rsidR="00861CCA" w:rsidRPr="00811277">
        <w:rPr>
          <w:rFonts w:ascii="Arial" w:eastAsia="Times New Roman" w:hAnsi="Arial" w:cs="Arial"/>
          <w:bCs/>
          <w:sz w:val="24"/>
          <w:szCs w:val="24"/>
          <w:lang w:val="en-GB"/>
        </w:rPr>
        <w:t>M</w:t>
      </w:r>
      <w:r w:rsidR="00B01BE0" w:rsidRPr="00811277">
        <w:rPr>
          <w:rFonts w:ascii="Arial" w:eastAsia="Times New Roman" w:hAnsi="Arial" w:cs="Arial"/>
          <w:bCs/>
          <w:sz w:val="24"/>
          <w:szCs w:val="24"/>
          <w:lang w:val="en-GB"/>
        </w:rPr>
        <w:t xml:space="preserve">otor </w:t>
      </w:r>
      <w:r w:rsidR="00861CCA" w:rsidRPr="00811277">
        <w:rPr>
          <w:rFonts w:ascii="Arial" w:eastAsia="Times New Roman" w:hAnsi="Arial" w:cs="Arial"/>
          <w:bCs/>
          <w:sz w:val="24"/>
          <w:szCs w:val="24"/>
          <w:lang w:val="en-GB"/>
        </w:rPr>
        <w:t>I</w:t>
      </w:r>
      <w:r w:rsidR="00B01BE0" w:rsidRPr="00811277">
        <w:rPr>
          <w:rFonts w:ascii="Arial" w:eastAsia="Times New Roman" w:hAnsi="Arial" w:cs="Arial"/>
          <w:bCs/>
          <w:sz w:val="24"/>
          <w:szCs w:val="24"/>
          <w:lang w:val="en-GB"/>
        </w:rPr>
        <w:t xml:space="preserve">ndustry Organisation. </w:t>
      </w:r>
      <w:r w:rsidR="00B01BE0" w:rsidRPr="00811277">
        <w:rPr>
          <w:rFonts w:ascii="Arial" w:eastAsia="Times New Roman" w:hAnsi="Arial" w:cs="Arial"/>
          <w:bCs/>
          <w:sz w:val="24"/>
          <w:szCs w:val="24"/>
          <w:lang w:val="en-GB"/>
        </w:rPr>
        <w:lastRenderedPageBreak/>
        <w:t xml:space="preserve">In November 2011 </w:t>
      </w:r>
      <w:r w:rsidR="00861CCA" w:rsidRPr="00811277">
        <w:rPr>
          <w:rFonts w:ascii="Arial" w:eastAsia="Times New Roman" w:hAnsi="Arial" w:cs="Arial"/>
          <w:bCs/>
          <w:sz w:val="24"/>
          <w:szCs w:val="24"/>
          <w:lang w:val="en-GB"/>
        </w:rPr>
        <w:t>R</w:t>
      </w:r>
      <w:r w:rsidR="00B01BE0" w:rsidRPr="00811277">
        <w:rPr>
          <w:rFonts w:ascii="Arial" w:eastAsia="Times New Roman" w:hAnsi="Arial" w:cs="Arial"/>
          <w:bCs/>
          <w:sz w:val="24"/>
          <w:szCs w:val="24"/>
          <w:lang w:val="en-GB"/>
        </w:rPr>
        <w:t>edisa’s plan was approved</w:t>
      </w:r>
      <w:r w:rsidR="00861CCA" w:rsidRPr="00811277">
        <w:rPr>
          <w:rFonts w:ascii="Arial" w:eastAsia="Times New Roman" w:hAnsi="Arial" w:cs="Arial"/>
          <w:bCs/>
          <w:sz w:val="24"/>
          <w:szCs w:val="24"/>
          <w:lang w:val="en-GB"/>
        </w:rPr>
        <w:t>, but w</w:t>
      </w:r>
      <w:r w:rsidR="00B01BE0" w:rsidRPr="00811277">
        <w:rPr>
          <w:rFonts w:ascii="Arial" w:eastAsia="Times New Roman" w:hAnsi="Arial" w:cs="Arial"/>
          <w:bCs/>
          <w:sz w:val="24"/>
          <w:szCs w:val="24"/>
          <w:lang w:val="en-GB"/>
        </w:rPr>
        <w:t>hen an urgent application was launched for an order suspending</w:t>
      </w:r>
      <w:r w:rsidR="00DD0B60" w:rsidRPr="00811277">
        <w:rPr>
          <w:rFonts w:ascii="Arial" w:eastAsia="Times New Roman" w:hAnsi="Arial" w:cs="Arial"/>
          <w:bCs/>
          <w:sz w:val="24"/>
          <w:szCs w:val="24"/>
          <w:lang w:val="en-GB"/>
        </w:rPr>
        <w:t xml:space="preserve"> its</w:t>
      </w:r>
      <w:r w:rsidR="00B01BE0" w:rsidRPr="00811277">
        <w:rPr>
          <w:rFonts w:ascii="Arial" w:eastAsia="Times New Roman" w:hAnsi="Arial" w:cs="Arial"/>
          <w:bCs/>
          <w:sz w:val="24"/>
          <w:szCs w:val="24"/>
          <w:lang w:val="en-GB"/>
        </w:rPr>
        <w:t xml:space="preserve"> implementation the Minister withdrew </w:t>
      </w:r>
      <w:r w:rsidR="00533BCB" w:rsidRPr="00811277">
        <w:rPr>
          <w:rFonts w:ascii="Arial" w:eastAsia="Times New Roman" w:hAnsi="Arial" w:cs="Arial"/>
          <w:bCs/>
          <w:sz w:val="24"/>
          <w:szCs w:val="24"/>
          <w:lang w:val="en-GB"/>
        </w:rPr>
        <w:t>her</w:t>
      </w:r>
      <w:r w:rsidR="00B01BE0" w:rsidRPr="00811277">
        <w:rPr>
          <w:rFonts w:ascii="Arial" w:eastAsia="Times New Roman" w:hAnsi="Arial" w:cs="Arial"/>
          <w:bCs/>
          <w:sz w:val="24"/>
          <w:szCs w:val="24"/>
          <w:lang w:val="en-GB"/>
        </w:rPr>
        <w:t xml:space="preserve"> approval. An amended plan was then submitted</w:t>
      </w:r>
      <w:r w:rsidR="001725E1" w:rsidRPr="00811277">
        <w:rPr>
          <w:rFonts w:ascii="Arial" w:eastAsia="Times New Roman" w:hAnsi="Arial" w:cs="Arial"/>
          <w:bCs/>
          <w:sz w:val="24"/>
          <w:szCs w:val="24"/>
          <w:lang w:val="en-GB"/>
        </w:rPr>
        <w:t>,</w:t>
      </w:r>
      <w:r w:rsidR="00B01BE0" w:rsidRPr="00811277">
        <w:rPr>
          <w:rFonts w:ascii="Arial" w:eastAsia="Times New Roman" w:hAnsi="Arial" w:cs="Arial"/>
          <w:bCs/>
          <w:sz w:val="24"/>
          <w:szCs w:val="24"/>
          <w:lang w:val="en-GB"/>
        </w:rPr>
        <w:t xml:space="preserve"> which was published for public comment</w:t>
      </w:r>
      <w:r w:rsidR="00861CCA" w:rsidRPr="00811277">
        <w:rPr>
          <w:rFonts w:ascii="Arial" w:eastAsia="Times New Roman" w:hAnsi="Arial" w:cs="Arial"/>
          <w:bCs/>
          <w:sz w:val="24"/>
          <w:szCs w:val="24"/>
          <w:lang w:val="en-GB"/>
        </w:rPr>
        <w:t xml:space="preserve">, </w:t>
      </w:r>
      <w:r w:rsidR="008E5D14" w:rsidRPr="00811277">
        <w:rPr>
          <w:rFonts w:ascii="Arial" w:eastAsia="Times New Roman" w:hAnsi="Arial" w:cs="Arial"/>
          <w:bCs/>
          <w:sz w:val="24"/>
          <w:szCs w:val="24"/>
          <w:lang w:val="en-GB"/>
        </w:rPr>
        <w:t>and</w:t>
      </w:r>
      <w:r w:rsidR="00861CCA" w:rsidRPr="00811277">
        <w:rPr>
          <w:rFonts w:ascii="Arial" w:eastAsia="Times New Roman" w:hAnsi="Arial" w:cs="Arial"/>
          <w:bCs/>
          <w:sz w:val="24"/>
          <w:szCs w:val="24"/>
          <w:lang w:val="en-GB"/>
        </w:rPr>
        <w:t xml:space="preserve"> </w:t>
      </w:r>
      <w:r w:rsidR="00B01BE0" w:rsidRPr="00811277">
        <w:rPr>
          <w:rFonts w:ascii="Arial" w:eastAsia="Times New Roman" w:hAnsi="Arial" w:cs="Arial"/>
          <w:bCs/>
          <w:sz w:val="24"/>
          <w:szCs w:val="24"/>
          <w:lang w:val="en-GB"/>
        </w:rPr>
        <w:t>a public</w:t>
      </w:r>
      <w:r w:rsidR="008E5D14" w:rsidRPr="00811277">
        <w:rPr>
          <w:rFonts w:ascii="Arial" w:eastAsia="Times New Roman" w:hAnsi="Arial" w:cs="Arial"/>
          <w:bCs/>
          <w:sz w:val="24"/>
          <w:szCs w:val="24"/>
          <w:lang w:val="en-GB"/>
        </w:rPr>
        <w:t xml:space="preserve"> </w:t>
      </w:r>
      <w:r w:rsidR="00B01BE0" w:rsidRPr="00811277">
        <w:rPr>
          <w:rFonts w:ascii="Arial" w:eastAsia="Times New Roman" w:hAnsi="Arial" w:cs="Arial"/>
          <w:bCs/>
          <w:sz w:val="24"/>
          <w:szCs w:val="24"/>
          <w:lang w:val="en-GB"/>
        </w:rPr>
        <w:t xml:space="preserve">participation process </w:t>
      </w:r>
      <w:r w:rsidR="001656E6" w:rsidRPr="00811277">
        <w:rPr>
          <w:rFonts w:ascii="Arial" w:eastAsia="Times New Roman" w:hAnsi="Arial" w:cs="Arial"/>
          <w:bCs/>
          <w:sz w:val="24"/>
          <w:szCs w:val="24"/>
          <w:lang w:val="en-GB"/>
        </w:rPr>
        <w:t>followed</w:t>
      </w:r>
      <w:r w:rsidR="00B01BE0" w:rsidRPr="00811277">
        <w:rPr>
          <w:rFonts w:ascii="Arial" w:eastAsia="Times New Roman" w:hAnsi="Arial" w:cs="Arial"/>
          <w:bCs/>
          <w:sz w:val="24"/>
          <w:szCs w:val="24"/>
          <w:lang w:val="en-GB"/>
        </w:rPr>
        <w:t>. In July 2012 the Minister approved the amended plan but a further challenge was launched to it</w:t>
      </w:r>
      <w:r w:rsidR="00861CCA" w:rsidRPr="00811277">
        <w:rPr>
          <w:rFonts w:ascii="Arial" w:eastAsia="Times New Roman" w:hAnsi="Arial" w:cs="Arial"/>
          <w:bCs/>
          <w:sz w:val="24"/>
          <w:szCs w:val="24"/>
          <w:lang w:val="en-GB"/>
        </w:rPr>
        <w:t>,</w:t>
      </w:r>
      <w:r w:rsidR="00B01BE0" w:rsidRPr="00811277">
        <w:rPr>
          <w:rFonts w:ascii="Arial" w:eastAsia="Times New Roman" w:hAnsi="Arial" w:cs="Arial"/>
          <w:bCs/>
          <w:sz w:val="24"/>
          <w:szCs w:val="24"/>
          <w:lang w:val="en-GB"/>
        </w:rPr>
        <w:t xml:space="preserve"> which resulted in an interim interdict being granted</w:t>
      </w:r>
      <w:r w:rsidR="00533BCB" w:rsidRPr="00811277">
        <w:rPr>
          <w:rFonts w:ascii="Arial" w:eastAsia="Times New Roman" w:hAnsi="Arial" w:cs="Arial"/>
          <w:bCs/>
          <w:sz w:val="24"/>
          <w:szCs w:val="24"/>
          <w:lang w:val="en-GB"/>
        </w:rPr>
        <w:t>,</w:t>
      </w:r>
      <w:r w:rsidR="00B01BE0" w:rsidRPr="00811277">
        <w:rPr>
          <w:rFonts w:ascii="Arial" w:eastAsia="Times New Roman" w:hAnsi="Arial" w:cs="Arial"/>
          <w:bCs/>
          <w:sz w:val="24"/>
          <w:szCs w:val="24"/>
          <w:lang w:val="en-GB"/>
        </w:rPr>
        <w:t xml:space="preserve"> pending a review. Once </w:t>
      </w:r>
      <w:r w:rsidR="001656E6" w:rsidRPr="00811277">
        <w:rPr>
          <w:rFonts w:ascii="Arial" w:eastAsia="Times New Roman" w:hAnsi="Arial" w:cs="Arial"/>
          <w:bCs/>
          <w:sz w:val="24"/>
          <w:szCs w:val="24"/>
          <w:lang w:val="en-GB"/>
        </w:rPr>
        <w:t>again,</w:t>
      </w:r>
      <w:r w:rsidR="00B01BE0" w:rsidRPr="00811277">
        <w:rPr>
          <w:rFonts w:ascii="Arial" w:eastAsia="Times New Roman" w:hAnsi="Arial" w:cs="Arial"/>
          <w:bCs/>
          <w:sz w:val="24"/>
          <w:szCs w:val="24"/>
          <w:lang w:val="en-GB"/>
        </w:rPr>
        <w:t xml:space="preserve"> the Minister withdrew her approval</w:t>
      </w:r>
      <w:r w:rsidR="001725E1" w:rsidRPr="00811277">
        <w:rPr>
          <w:rFonts w:ascii="Arial" w:eastAsia="Times New Roman" w:hAnsi="Arial" w:cs="Arial"/>
          <w:bCs/>
          <w:sz w:val="24"/>
          <w:szCs w:val="24"/>
          <w:lang w:val="en-GB"/>
        </w:rPr>
        <w:t>,</w:t>
      </w:r>
      <w:r w:rsidR="00B01BE0" w:rsidRPr="00811277">
        <w:rPr>
          <w:rFonts w:ascii="Arial" w:eastAsia="Times New Roman" w:hAnsi="Arial" w:cs="Arial"/>
          <w:bCs/>
          <w:sz w:val="24"/>
          <w:szCs w:val="24"/>
          <w:lang w:val="en-GB"/>
        </w:rPr>
        <w:t xml:space="preserve"> but </w:t>
      </w:r>
      <w:r w:rsidR="00861CCA" w:rsidRPr="00811277">
        <w:rPr>
          <w:rFonts w:ascii="Arial" w:eastAsia="Times New Roman" w:hAnsi="Arial" w:cs="Arial"/>
          <w:bCs/>
          <w:sz w:val="24"/>
          <w:szCs w:val="24"/>
          <w:lang w:val="en-GB"/>
        </w:rPr>
        <w:t xml:space="preserve">regranted it to a further amended </w:t>
      </w:r>
      <w:r w:rsidR="00B01BE0" w:rsidRPr="00811277">
        <w:rPr>
          <w:rFonts w:ascii="Arial" w:eastAsia="Times New Roman" w:hAnsi="Arial" w:cs="Arial"/>
          <w:bCs/>
          <w:sz w:val="24"/>
          <w:szCs w:val="24"/>
          <w:lang w:val="en-GB"/>
        </w:rPr>
        <w:t>version</w:t>
      </w:r>
      <w:r w:rsidR="00C435FE" w:rsidRPr="00811277">
        <w:rPr>
          <w:rFonts w:ascii="Arial" w:eastAsia="Times New Roman" w:hAnsi="Arial" w:cs="Arial"/>
          <w:bCs/>
          <w:sz w:val="24"/>
          <w:szCs w:val="24"/>
          <w:lang w:val="en-GB"/>
        </w:rPr>
        <w:t>,</w:t>
      </w:r>
      <w:r w:rsidR="008E5D14" w:rsidRPr="00811277">
        <w:rPr>
          <w:rFonts w:ascii="Arial" w:eastAsia="Times New Roman" w:hAnsi="Arial" w:cs="Arial"/>
          <w:bCs/>
          <w:sz w:val="24"/>
          <w:szCs w:val="24"/>
          <w:lang w:val="en-GB"/>
        </w:rPr>
        <w:t xml:space="preserve"> which was promulgated o</w:t>
      </w:r>
      <w:r w:rsidR="00B01BE0" w:rsidRPr="00811277">
        <w:rPr>
          <w:rFonts w:ascii="Arial" w:eastAsia="Times New Roman" w:hAnsi="Arial" w:cs="Arial"/>
          <w:bCs/>
          <w:sz w:val="24"/>
          <w:szCs w:val="24"/>
          <w:lang w:val="en-GB"/>
        </w:rPr>
        <w:t>n 30 November 2012</w:t>
      </w:r>
      <w:r w:rsidR="008E5D14" w:rsidRPr="00811277">
        <w:rPr>
          <w:rFonts w:ascii="Arial" w:eastAsia="Times New Roman" w:hAnsi="Arial" w:cs="Arial"/>
          <w:bCs/>
          <w:sz w:val="24"/>
          <w:szCs w:val="24"/>
          <w:lang w:val="en-GB"/>
        </w:rPr>
        <w:t>.</w:t>
      </w:r>
    </w:p>
    <w:p w14:paraId="4A4DF586" w14:textId="6444EEB1" w:rsidR="006C77E3"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5.</w:t>
      </w:r>
      <w:r>
        <w:rPr>
          <w:rFonts w:ascii="Arial" w:eastAsia="Times New Roman" w:hAnsi="Arial" w:cs="Arial"/>
          <w:bCs/>
          <w:kern w:val="0"/>
          <w:sz w:val="24"/>
          <w:szCs w:val="24"/>
          <w:lang w:val="en-GB"/>
          <w14:ligatures w14:val="none"/>
        </w:rPr>
        <w:tab/>
      </w:r>
      <w:r w:rsidR="001725E1" w:rsidRPr="00811277">
        <w:rPr>
          <w:rFonts w:ascii="Arial" w:eastAsia="Times New Roman" w:hAnsi="Arial" w:cs="Arial"/>
          <w:bCs/>
          <w:sz w:val="24"/>
          <w:szCs w:val="24"/>
          <w:lang w:val="en-GB"/>
        </w:rPr>
        <w:t xml:space="preserve">Somewhat unusually, the plan was </w:t>
      </w:r>
      <w:r w:rsidR="008E5D14" w:rsidRPr="00811277">
        <w:rPr>
          <w:rFonts w:ascii="Arial" w:eastAsia="Times New Roman" w:hAnsi="Arial" w:cs="Arial"/>
          <w:bCs/>
          <w:sz w:val="24"/>
          <w:szCs w:val="24"/>
          <w:lang w:val="en-GB"/>
        </w:rPr>
        <w:t>promulgated</w:t>
      </w:r>
      <w:r w:rsidR="001725E1" w:rsidRPr="00811277">
        <w:rPr>
          <w:rFonts w:ascii="Arial" w:eastAsia="Times New Roman" w:hAnsi="Arial" w:cs="Arial"/>
          <w:bCs/>
          <w:sz w:val="24"/>
          <w:szCs w:val="24"/>
          <w:lang w:val="en-GB"/>
        </w:rPr>
        <w:t xml:space="preserve"> in the memorandum format in which it </w:t>
      </w:r>
      <w:r w:rsidR="0020745E" w:rsidRPr="00811277">
        <w:rPr>
          <w:rFonts w:ascii="Arial" w:eastAsia="Times New Roman" w:hAnsi="Arial" w:cs="Arial"/>
          <w:bCs/>
          <w:sz w:val="24"/>
          <w:szCs w:val="24"/>
          <w:lang w:val="en-GB"/>
        </w:rPr>
        <w:t>had been</w:t>
      </w:r>
      <w:r w:rsidR="00E5147C" w:rsidRPr="00811277">
        <w:rPr>
          <w:rFonts w:ascii="Arial" w:eastAsia="Times New Roman" w:hAnsi="Arial" w:cs="Arial"/>
          <w:bCs/>
          <w:sz w:val="24"/>
          <w:szCs w:val="24"/>
          <w:lang w:val="en-GB"/>
        </w:rPr>
        <w:t xml:space="preserve"> </w:t>
      </w:r>
      <w:r w:rsidR="001725E1" w:rsidRPr="00811277">
        <w:rPr>
          <w:rFonts w:ascii="Arial" w:eastAsia="Times New Roman" w:hAnsi="Arial" w:cs="Arial"/>
          <w:bCs/>
          <w:sz w:val="24"/>
          <w:szCs w:val="24"/>
          <w:lang w:val="en-GB"/>
        </w:rPr>
        <w:t>submitted</w:t>
      </w:r>
      <w:r w:rsidR="00301446" w:rsidRPr="00811277">
        <w:rPr>
          <w:rFonts w:ascii="Arial" w:eastAsia="Times New Roman" w:hAnsi="Arial" w:cs="Arial"/>
          <w:bCs/>
          <w:sz w:val="24"/>
          <w:szCs w:val="24"/>
          <w:lang w:val="en-GB"/>
        </w:rPr>
        <w:t xml:space="preserve"> to the Minister</w:t>
      </w:r>
      <w:r w:rsidR="001725E1" w:rsidRPr="00811277">
        <w:rPr>
          <w:rFonts w:ascii="Arial" w:eastAsia="Times New Roman" w:hAnsi="Arial" w:cs="Arial"/>
          <w:bCs/>
          <w:sz w:val="24"/>
          <w:szCs w:val="24"/>
          <w:lang w:val="en-GB"/>
        </w:rPr>
        <w:t xml:space="preserve">, rather than </w:t>
      </w:r>
      <w:r w:rsidR="00FE487A" w:rsidRPr="00811277">
        <w:rPr>
          <w:rFonts w:ascii="Arial" w:eastAsia="Times New Roman" w:hAnsi="Arial" w:cs="Arial"/>
          <w:bCs/>
          <w:sz w:val="24"/>
          <w:szCs w:val="24"/>
          <w:lang w:val="en-GB"/>
        </w:rPr>
        <w:t xml:space="preserve">in </w:t>
      </w:r>
      <w:r w:rsidR="001725E1" w:rsidRPr="00811277">
        <w:rPr>
          <w:rFonts w:ascii="Arial" w:eastAsia="Times New Roman" w:hAnsi="Arial" w:cs="Arial"/>
          <w:bCs/>
          <w:sz w:val="24"/>
          <w:szCs w:val="24"/>
          <w:lang w:val="en-GB"/>
        </w:rPr>
        <w:t xml:space="preserve">the traditional, regulatory format </w:t>
      </w:r>
      <w:r w:rsidR="00E5147C" w:rsidRPr="00811277">
        <w:rPr>
          <w:rFonts w:ascii="Arial" w:eastAsia="Times New Roman" w:hAnsi="Arial" w:cs="Arial"/>
          <w:bCs/>
          <w:sz w:val="24"/>
          <w:szCs w:val="24"/>
          <w:lang w:val="en-GB"/>
        </w:rPr>
        <w:t xml:space="preserve">which is </w:t>
      </w:r>
      <w:r w:rsidR="0020745E" w:rsidRPr="00811277">
        <w:rPr>
          <w:rFonts w:ascii="Arial" w:eastAsia="Times New Roman" w:hAnsi="Arial" w:cs="Arial"/>
          <w:bCs/>
          <w:sz w:val="24"/>
          <w:szCs w:val="24"/>
          <w:lang w:val="en-GB"/>
        </w:rPr>
        <w:t xml:space="preserve">commonly </w:t>
      </w:r>
      <w:r w:rsidR="001725E1" w:rsidRPr="00811277">
        <w:rPr>
          <w:rFonts w:ascii="Arial" w:eastAsia="Times New Roman" w:hAnsi="Arial" w:cs="Arial"/>
          <w:bCs/>
          <w:sz w:val="24"/>
          <w:szCs w:val="24"/>
          <w:lang w:val="en-GB"/>
        </w:rPr>
        <w:t>utilized when promulgating subordinate legislation.</w:t>
      </w:r>
      <w:r w:rsidR="001725E1">
        <w:rPr>
          <w:rStyle w:val="FootnoteReference"/>
          <w:rFonts w:ascii="Arial" w:eastAsia="Times New Roman" w:hAnsi="Arial" w:cs="Arial"/>
          <w:bCs/>
          <w:sz w:val="24"/>
          <w:szCs w:val="24"/>
          <w:lang w:val="en-GB"/>
        </w:rPr>
        <w:footnoteReference w:id="5"/>
      </w:r>
      <w:r w:rsidR="001725E1" w:rsidRPr="00811277">
        <w:rPr>
          <w:rFonts w:ascii="Arial" w:eastAsia="Times New Roman" w:hAnsi="Arial" w:cs="Arial"/>
          <w:bCs/>
          <w:sz w:val="24"/>
          <w:szCs w:val="24"/>
          <w:lang w:val="en-GB"/>
        </w:rPr>
        <w:t xml:space="preserve"> </w:t>
      </w:r>
      <w:r w:rsidR="00FE487A" w:rsidRPr="00811277">
        <w:rPr>
          <w:rFonts w:ascii="Arial" w:eastAsia="Times New Roman" w:hAnsi="Arial" w:cs="Arial"/>
          <w:bCs/>
          <w:sz w:val="24"/>
          <w:szCs w:val="24"/>
          <w:lang w:val="en-GB"/>
        </w:rPr>
        <w:t xml:space="preserve">As a result </w:t>
      </w:r>
      <w:r w:rsidR="0020745E" w:rsidRPr="00811277">
        <w:rPr>
          <w:rFonts w:ascii="Arial" w:eastAsia="Times New Roman" w:hAnsi="Arial" w:cs="Arial"/>
          <w:bCs/>
          <w:sz w:val="24"/>
          <w:szCs w:val="24"/>
          <w:lang w:val="en-GB"/>
        </w:rPr>
        <w:t>it was</w:t>
      </w:r>
      <w:r w:rsidR="00FE487A" w:rsidRPr="00811277">
        <w:rPr>
          <w:rFonts w:ascii="Arial" w:eastAsia="Times New Roman" w:hAnsi="Arial" w:cs="Arial"/>
          <w:bCs/>
          <w:sz w:val="24"/>
          <w:szCs w:val="24"/>
          <w:lang w:val="en-GB"/>
        </w:rPr>
        <w:t xml:space="preserve"> an extensive and lengthy document, which serve</w:t>
      </w:r>
      <w:r w:rsidR="00D84714" w:rsidRPr="00811277">
        <w:rPr>
          <w:rFonts w:ascii="Arial" w:eastAsia="Times New Roman" w:hAnsi="Arial" w:cs="Arial"/>
          <w:bCs/>
          <w:sz w:val="24"/>
          <w:szCs w:val="24"/>
          <w:lang w:val="en-GB"/>
        </w:rPr>
        <w:t>d</w:t>
      </w:r>
      <w:r w:rsidR="00FE487A" w:rsidRPr="00811277">
        <w:rPr>
          <w:rFonts w:ascii="Arial" w:eastAsia="Times New Roman" w:hAnsi="Arial" w:cs="Arial"/>
          <w:bCs/>
          <w:sz w:val="24"/>
          <w:szCs w:val="24"/>
          <w:lang w:val="en-GB"/>
        </w:rPr>
        <w:t xml:space="preserve"> both as a </w:t>
      </w:r>
      <w:r w:rsidR="007D0356" w:rsidRPr="00811277">
        <w:rPr>
          <w:rFonts w:ascii="Arial" w:eastAsia="Times New Roman" w:hAnsi="Arial" w:cs="Arial"/>
          <w:bCs/>
          <w:sz w:val="24"/>
          <w:szCs w:val="24"/>
          <w:lang w:val="en-GB"/>
        </w:rPr>
        <w:t>promotional</w:t>
      </w:r>
      <w:r w:rsidR="00FE487A" w:rsidRPr="00811277">
        <w:rPr>
          <w:rFonts w:ascii="Arial" w:eastAsia="Times New Roman" w:hAnsi="Arial" w:cs="Arial"/>
          <w:bCs/>
          <w:sz w:val="24"/>
          <w:szCs w:val="24"/>
          <w:lang w:val="en-GB"/>
        </w:rPr>
        <w:t xml:space="preserve"> motivation for its acceptance and a </w:t>
      </w:r>
      <w:r w:rsidR="007D0356" w:rsidRPr="00811277">
        <w:rPr>
          <w:rFonts w:ascii="Arial" w:eastAsia="Times New Roman" w:hAnsi="Arial" w:cs="Arial"/>
          <w:bCs/>
          <w:sz w:val="24"/>
          <w:szCs w:val="24"/>
          <w:lang w:val="en-GB"/>
        </w:rPr>
        <w:t xml:space="preserve">loosely formulated </w:t>
      </w:r>
      <w:r w:rsidR="00FE487A" w:rsidRPr="00811277">
        <w:rPr>
          <w:rFonts w:ascii="Arial" w:eastAsia="Times New Roman" w:hAnsi="Arial" w:cs="Arial"/>
          <w:bCs/>
          <w:sz w:val="24"/>
          <w:szCs w:val="24"/>
          <w:lang w:val="en-GB"/>
        </w:rPr>
        <w:t xml:space="preserve">regulatory framework for the disposal of waste tyres. </w:t>
      </w:r>
    </w:p>
    <w:p w14:paraId="777F34A6" w14:textId="25CDB112" w:rsidR="002F5B7E" w:rsidRPr="00811277" w:rsidRDefault="00811277" w:rsidP="00811277">
      <w:pPr>
        <w:spacing w:line="360" w:lineRule="auto"/>
        <w:ind w:left="720" w:hanging="720"/>
        <w:jc w:val="both"/>
        <w:rPr>
          <w:rFonts w:ascii="Arial" w:eastAsia="Times New Roman" w:hAnsi="Arial" w:cs="Arial"/>
          <w:bCs/>
          <w:sz w:val="24"/>
          <w:szCs w:val="24"/>
          <w:lang w:val="en-GB"/>
        </w:rPr>
      </w:pPr>
      <w:r w:rsidRPr="006C77E3">
        <w:rPr>
          <w:rFonts w:ascii="Arial" w:eastAsia="Times New Roman" w:hAnsi="Arial" w:cs="Arial"/>
          <w:bCs/>
          <w:kern w:val="0"/>
          <w:sz w:val="24"/>
          <w:szCs w:val="24"/>
          <w:lang w:val="en-GB"/>
          <w14:ligatures w14:val="none"/>
        </w:rPr>
        <w:t>6.</w:t>
      </w:r>
      <w:r w:rsidRPr="006C77E3">
        <w:rPr>
          <w:rFonts w:ascii="Arial" w:eastAsia="Times New Roman" w:hAnsi="Arial" w:cs="Arial"/>
          <w:bCs/>
          <w:kern w:val="0"/>
          <w:sz w:val="24"/>
          <w:szCs w:val="24"/>
          <w:lang w:val="en-GB"/>
          <w14:ligatures w14:val="none"/>
        </w:rPr>
        <w:tab/>
      </w:r>
      <w:r w:rsidR="00FE487A" w:rsidRPr="00811277">
        <w:rPr>
          <w:rFonts w:ascii="Arial" w:eastAsia="Times New Roman" w:hAnsi="Arial" w:cs="Arial"/>
          <w:bCs/>
          <w:sz w:val="24"/>
          <w:szCs w:val="24"/>
          <w:lang w:val="en-GB"/>
        </w:rPr>
        <w:t>As for the regulatory framework</w:t>
      </w:r>
      <w:r w:rsidR="008038DB" w:rsidRPr="00811277">
        <w:rPr>
          <w:rFonts w:ascii="Arial" w:eastAsia="Times New Roman" w:hAnsi="Arial" w:cs="Arial"/>
          <w:bCs/>
          <w:sz w:val="24"/>
          <w:szCs w:val="24"/>
          <w:lang w:val="en-GB"/>
        </w:rPr>
        <w:t xml:space="preserve"> it proposed</w:t>
      </w:r>
      <w:r w:rsidR="001656E6" w:rsidRPr="00811277">
        <w:rPr>
          <w:rFonts w:ascii="Arial" w:eastAsia="Times New Roman" w:hAnsi="Arial" w:cs="Arial"/>
          <w:bCs/>
          <w:sz w:val="24"/>
          <w:szCs w:val="24"/>
          <w:lang w:val="en-GB"/>
        </w:rPr>
        <w:t>,</w:t>
      </w:r>
      <w:r w:rsidR="00FE487A" w:rsidRPr="00811277">
        <w:rPr>
          <w:rFonts w:ascii="Arial" w:eastAsia="Times New Roman" w:hAnsi="Arial" w:cs="Arial"/>
          <w:bCs/>
          <w:sz w:val="24"/>
          <w:szCs w:val="24"/>
          <w:lang w:val="en-GB"/>
        </w:rPr>
        <w:t xml:space="preserve"> it envisaged </w:t>
      </w:r>
      <w:r w:rsidR="008D4940" w:rsidRPr="00811277">
        <w:rPr>
          <w:rFonts w:ascii="Arial" w:eastAsia="Times New Roman" w:hAnsi="Arial" w:cs="Arial"/>
          <w:bCs/>
          <w:sz w:val="24"/>
          <w:szCs w:val="24"/>
          <w:lang w:val="en-GB"/>
        </w:rPr>
        <w:t>establishing</w:t>
      </w:r>
      <w:r w:rsidR="00FE487A" w:rsidRPr="00811277">
        <w:rPr>
          <w:rFonts w:ascii="Arial" w:eastAsia="Times New Roman" w:hAnsi="Arial" w:cs="Arial"/>
          <w:bCs/>
          <w:sz w:val="24"/>
          <w:szCs w:val="24"/>
          <w:lang w:val="en-GB"/>
        </w:rPr>
        <w:t xml:space="preserve"> a network of producers, transporters and processors</w:t>
      </w:r>
      <w:r w:rsidR="006C77E3" w:rsidRPr="00811277">
        <w:rPr>
          <w:rFonts w:ascii="Arial" w:eastAsia="Times New Roman" w:hAnsi="Arial" w:cs="Arial"/>
          <w:bCs/>
          <w:sz w:val="24"/>
          <w:szCs w:val="24"/>
          <w:lang w:val="en-GB"/>
        </w:rPr>
        <w:t>,</w:t>
      </w:r>
      <w:r w:rsidR="00FE487A" w:rsidRPr="00811277">
        <w:rPr>
          <w:rFonts w:ascii="Arial" w:eastAsia="Times New Roman" w:hAnsi="Arial" w:cs="Arial"/>
          <w:bCs/>
          <w:sz w:val="24"/>
          <w:szCs w:val="24"/>
          <w:lang w:val="en-GB"/>
        </w:rPr>
        <w:t xml:space="preserve"> who were to be registered with Redisa. </w:t>
      </w:r>
      <w:r w:rsidR="009003AF" w:rsidRPr="00811277">
        <w:rPr>
          <w:rFonts w:ascii="Arial" w:eastAsia="Times New Roman" w:hAnsi="Arial" w:cs="Arial"/>
          <w:bCs/>
          <w:sz w:val="24"/>
          <w:szCs w:val="24"/>
          <w:lang w:val="en-GB"/>
        </w:rPr>
        <w:t>Producers</w:t>
      </w:r>
      <w:r w:rsidR="002F1C45" w:rsidRPr="00811277">
        <w:rPr>
          <w:rFonts w:ascii="Arial" w:eastAsia="Times New Roman" w:hAnsi="Arial" w:cs="Arial"/>
          <w:bCs/>
          <w:sz w:val="24"/>
          <w:szCs w:val="24"/>
          <w:lang w:val="en-GB"/>
        </w:rPr>
        <w:t>, wh</w:t>
      </w:r>
      <w:r w:rsidR="000D2B65" w:rsidRPr="00811277">
        <w:rPr>
          <w:rFonts w:ascii="Arial" w:eastAsia="Times New Roman" w:hAnsi="Arial" w:cs="Arial"/>
          <w:bCs/>
          <w:sz w:val="24"/>
          <w:szCs w:val="24"/>
          <w:lang w:val="en-GB"/>
        </w:rPr>
        <w:t>o</w:t>
      </w:r>
      <w:r w:rsidR="002F1C45" w:rsidRPr="00811277">
        <w:rPr>
          <w:rFonts w:ascii="Arial" w:eastAsia="Times New Roman" w:hAnsi="Arial" w:cs="Arial"/>
          <w:bCs/>
          <w:sz w:val="24"/>
          <w:szCs w:val="24"/>
          <w:lang w:val="en-GB"/>
        </w:rPr>
        <w:t xml:space="preserve"> included both m</w:t>
      </w:r>
      <w:r w:rsidR="009003AF" w:rsidRPr="00811277">
        <w:rPr>
          <w:rFonts w:ascii="Arial" w:eastAsia="Times New Roman" w:hAnsi="Arial" w:cs="Arial"/>
          <w:bCs/>
          <w:sz w:val="24"/>
          <w:szCs w:val="24"/>
          <w:lang w:val="en-GB"/>
        </w:rPr>
        <w:t>anufacturers and importers</w:t>
      </w:r>
      <w:r w:rsidR="002F1C45" w:rsidRPr="00811277">
        <w:rPr>
          <w:rFonts w:ascii="Arial" w:eastAsia="Times New Roman" w:hAnsi="Arial" w:cs="Arial"/>
          <w:bCs/>
          <w:sz w:val="24"/>
          <w:szCs w:val="24"/>
          <w:lang w:val="en-GB"/>
        </w:rPr>
        <w:t>,</w:t>
      </w:r>
      <w:r w:rsidR="00FE487A" w:rsidRPr="00811277">
        <w:rPr>
          <w:rFonts w:ascii="Arial" w:eastAsia="Times New Roman" w:hAnsi="Arial" w:cs="Arial"/>
          <w:bCs/>
          <w:sz w:val="24"/>
          <w:szCs w:val="24"/>
          <w:lang w:val="en-GB"/>
        </w:rPr>
        <w:t xml:space="preserve"> would have to submit monthly returns in which they declared the number</w:t>
      </w:r>
      <w:r w:rsidR="00DB369B" w:rsidRPr="00811277">
        <w:rPr>
          <w:rFonts w:ascii="Arial" w:eastAsia="Times New Roman" w:hAnsi="Arial" w:cs="Arial"/>
          <w:bCs/>
          <w:sz w:val="24"/>
          <w:szCs w:val="24"/>
          <w:lang w:val="en-GB"/>
        </w:rPr>
        <w:t xml:space="preserve"> and mass</w:t>
      </w:r>
      <w:r w:rsidR="00FE487A" w:rsidRPr="00811277">
        <w:rPr>
          <w:rFonts w:ascii="Arial" w:eastAsia="Times New Roman" w:hAnsi="Arial" w:cs="Arial"/>
          <w:bCs/>
          <w:sz w:val="24"/>
          <w:szCs w:val="24"/>
          <w:lang w:val="en-GB"/>
        </w:rPr>
        <w:t xml:space="preserve"> of tyres manufactured and imported, which were </w:t>
      </w:r>
      <w:r w:rsidR="006C77E3" w:rsidRPr="00811277">
        <w:rPr>
          <w:rFonts w:ascii="Arial" w:eastAsia="Times New Roman" w:hAnsi="Arial" w:cs="Arial"/>
          <w:bCs/>
          <w:sz w:val="24"/>
          <w:szCs w:val="24"/>
          <w:lang w:val="en-GB"/>
        </w:rPr>
        <w:t xml:space="preserve">to be </w:t>
      </w:r>
      <w:r w:rsidR="00A52715" w:rsidRPr="00811277">
        <w:rPr>
          <w:rFonts w:ascii="Arial" w:eastAsia="Times New Roman" w:hAnsi="Arial" w:cs="Arial"/>
          <w:bCs/>
          <w:sz w:val="24"/>
          <w:szCs w:val="24"/>
          <w:lang w:val="en-GB"/>
        </w:rPr>
        <w:t>verified</w:t>
      </w:r>
      <w:r w:rsidR="00FE487A" w:rsidRPr="00811277">
        <w:rPr>
          <w:rFonts w:ascii="Arial" w:eastAsia="Times New Roman" w:hAnsi="Arial" w:cs="Arial"/>
          <w:bCs/>
          <w:sz w:val="24"/>
          <w:szCs w:val="24"/>
          <w:lang w:val="en-GB"/>
        </w:rPr>
        <w:t xml:space="preserve"> by </w:t>
      </w:r>
      <w:r w:rsidR="00A52715" w:rsidRPr="00811277">
        <w:rPr>
          <w:rFonts w:ascii="Arial" w:eastAsia="Times New Roman" w:hAnsi="Arial" w:cs="Arial"/>
          <w:bCs/>
          <w:sz w:val="24"/>
          <w:szCs w:val="24"/>
          <w:lang w:val="en-GB"/>
        </w:rPr>
        <w:t>means</w:t>
      </w:r>
      <w:r w:rsidR="00FE487A" w:rsidRPr="00811277">
        <w:rPr>
          <w:rFonts w:ascii="Arial" w:eastAsia="Times New Roman" w:hAnsi="Arial" w:cs="Arial"/>
          <w:bCs/>
          <w:sz w:val="24"/>
          <w:szCs w:val="24"/>
          <w:lang w:val="en-GB"/>
        </w:rPr>
        <w:t xml:space="preserve"> of annual audit certificate</w:t>
      </w:r>
      <w:r w:rsidR="0020745E" w:rsidRPr="00811277">
        <w:rPr>
          <w:rFonts w:ascii="Arial" w:eastAsia="Times New Roman" w:hAnsi="Arial" w:cs="Arial"/>
          <w:bCs/>
          <w:sz w:val="24"/>
          <w:szCs w:val="24"/>
          <w:lang w:val="en-GB"/>
        </w:rPr>
        <w:t>s</w:t>
      </w:r>
      <w:r w:rsidR="00FE487A" w:rsidRPr="00811277">
        <w:rPr>
          <w:rFonts w:ascii="Arial" w:eastAsia="Times New Roman" w:hAnsi="Arial" w:cs="Arial"/>
          <w:bCs/>
          <w:sz w:val="24"/>
          <w:szCs w:val="24"/>
          <w:lang w:val="en-GB"/>
        </w:rPr>
        <w:t>.</w:t>
      </w:r>
      <w:r w:rsidR="000068DC" w:rsidRPr="00811277">
        <w:rPr>
          <w:rFonts w:ascii="Arial" w:eastAsia="Times New Roman" w:hAnsi="Arial" w:cs="Arial"/>
          <w:bCs/>
          <w:sz w:val="24"/>
          <w:szCs w:val="24"/>
          <w:lang w:val="en-GB"/>
        </w:rPr>
        <w:t xml:space="preserve"> The information</w:t>
      </w:r>
      <w:r w:rsidR="00FE487A" w:rsidRPr="00811277">
        <w:rPr>
          <w:rFonts w:ascii="Arial" w:eastAsia="Times New Roman" w:hAnsi="Arial" w:cs="Arial"/>
          <w:bCs/>
          <w:sz w:val="24"/>
          <w:szCs w:val="24"/>
          <w:lang w:val="en-GB"/>
        </w:rPr>
        <w:t xml:space="preserve"> </w:t>
      </w:r>
      <w:r w:rsidR="000068DC" w:rsidRPr="00811277">
        <w:rPr>
          <w:rFonts w:ascii="Arial" w:eastAsia="Times New Roman" w:hAnsi="Arial" w:cs="Arial"/>
          <w:bCs/>
          <w:sz w:val="24"/>
          <w:szCs w:val="24"/>
          <w:lang w:val="en-GB"/>
        </w:rPr>
        <w:t>which was provided in these returns would serve as the basis for the levying of a ‘waste tyre management fee’.</w:t>
      </w:r>
    </w:p>
    <w:p w14:paraId="7DFEC10A" w14:textId="01C99665" w:rsidR="004905A4" w:rsidRPr="00811277" w:rsidRDefault="00811277" w:rsidP="00811277">
      <w:pPr>
        <w:spacing w:line="360" w:lineRule="auto"/>
        <w:ind w:left="720" w:hanging="720"/>
        <w:jc w:val="both"/>
        <w:rPr>
          <w:rFonts w:ascii="Arial" w:eastAsia="Times New Roman" w:hAnsi="Arial" w:cs="Arial"/>
          <w:bCs/>
          <w:sz w:val="24"/>
          <w:szCs w:val="24"/>
          <w:lang w:val="en-GB"/>
        </w:rPr>
      </w:pPr>
      <w:r w:rsidRPr="00A52715">
        <w:rPr>
          <w:rFonts w:ascii="Arial" w:eastAsia="Times New Roman" w:hAnsi="Arial" w:cs="Arial"/>
          <w:bCs/>
          <w:kern w:val="0"/>
          <w:sz w:val="24"/>
          <w:szCs w:val="24"/>
          <w:lang w:val="en-GB"/>
          <w14:ligatures w14:val="none"/>
        </w:rPr>
        <w:t>7.</w:t>
      </w:r>
      <w:r w:rsidRPr="00A52715">
        <w:rPr>
          <w:rFonts w:ascii="Arial" w:eastAsia="Times New Roman" w:hAnsi="Arial" w:cs="Arial"/>
          <w:bCs/>
          <w:kern w:val="0"/>
          <w:sz w:val="24"/>
          <w:szCs w:val="24"/>
          <w:lang w:val="en-GB"/>
          <w14:ligatures w14:val="none"/>
        </w:rPr>
        <w:tab/>
      </w:r>
      <w:r w:rsidR="00A52715" w:rsidRPr="00811277">
        <w:rPr>
          <w:rFonts w:ascii="Arial" w:eastAsia="Times New Roman" w:hAnsi="Arial" w:cs="Arial"/>
          <w:bCs/>
          <w:sz w:val="24"/>
          <w:szCs w:val="24"/>
          <w:lang w:val="en-GB"/>
        </w:rPr>
        <w:t>Waste</w:t>
      </w:r>
      <w:r w:rsidR="00FE487A" w:rsidRPr="00811277">
        <w:rPr>
          <w:rFonts w:ascii="Arial" w:eastAsia="Times New Roman" w:hAnsi="Arial" w:cs="Arial"/>
          <w:bCs/>
          <w:sz w:val="24"/>
          <w:szCs w:val="24"/>
          <w:lang w:val="en-GB"/>
        </w:rPr>
        <w:t xml:space="preserve"> tyres w</w:t>
      </w:r>
      <w:r w:rsidR="00884870" w:rsidRPr="00811277">
        <w:rPr>
          <w:rFonts w:ascii="Arial" w:eastAsia="Times New Roman" w:hAnsi="Arial" w:cs="Arial"/>
          <w:bCs/>
          <w:sz w:val="24"/>
          <w:szCs w:val="24"/>
          <w:lang w:val="en-GB"/>
        </w:rPr>
        <w:t>ere to</w:t>
      </w:r>
      <w:r w:rsidR="00FE487A" w:rsidRPr="00811277">
        <w:rPr>
          <w:rFonts w:ascii="Arial" w:eastAsia="Times New Roman" w:hAnsi="Arial" w:cs="Arial"/>
          <w:bCs/>
          <w:sz w:val="24"/>
          <w:szCs w:val="24"/>
          <w:lang w:val="en-GB"/>
        </w:rPr>
        <w:t xml:space="preserve"> be collected from </w:t>
      </w:r>
      <w:r w:rsidR="008D4940" w:rsidRPr="00811277">
        <w:rPr>
          <w:rFonts w:ascii="Arial" w:eastAsia="Times New Roman" w:hAnsi="Arial" w:cs="Arial"/>
          <w:bCs/>
          <w:sz w:val="24"/>
          <w:szCs w:val="24"/>
          <w:lang w:val="en-GB"/>
        </w:rPr>
        <w:t>producers</w:t>
      </w:r>
      <w:r w:rsidR="00DD0B60" w:rsidRPr="00811277">
        <w:rPr>
          <w:rFonts w:ascii="Arial" w:eastAsia="Times New Roman" w:hAnsi="Arial" w:cs="Arial"/>
          <w:bCs/>
          <w:sz w:val="24"/>
          <w:szCs w:val="24"/>
          <w:lang w:val="en-GB"/>
        </w:rPr>
        <w:t>, dealers</w:t>
      </w:r>
      <w:r w:rsidR="008D4940" w:rsidRPr="00811277">
        <w:rPr>
          <w:rFonts w:ascii="Arial" w:eastAsia="Times New Roman" w:hAnsi="Arial" w:cs="Arial"/>
          <w:bCs/>
          <w:sz w:val="24"/>
          <w:szCs w:val="24"/>
          <w:lang w:val="en-GB"/>
        </w:rPr>
        <w:t xml:space="preserve"> and</w:t>
      </w:r>
      <w:r w:rsidR="00FE487A" w:rsidRPr="00811277">
        <w:rPr>
          <w:rFonts w:ascii="Arial" w:eastAsia="Times New Roman" w:hAnsi="Arial" w:cs="Arial"/>
          <w:bCs/>
          <w:sz w:val="24"/>
          <w:szCs w:val="24"/>
          <w:lang w:val="en-GB"/>
        </w:rPr>
        <w:t xml:space="preserve"> </w:t>
      </w:r>
      <w:r w:rsidR="008D4940" w:rsidRPr="00811277">
        <w:rPr>
          <w:rFonts w:ascii="Arial" w:eastAsia="Times New Roman" w:hAnsi="Arial" w:cs="Arial"/>
          <w:bCs/>
          <w:sz w:val="24"/>
          <w:szCs w:val="24"/>
          <w:lang w:val="en-GB"/>
        </w:rPr>
        <w:t>p</w:t>
      </w:r>
      <w:r w:rsidR="00FE487A" w:rsidRPr="00811277">
        <w:rPr>
          <w:rFonts w:ascii="Arial" w:eastAsia="Times New Roman" w:hAnsi="Arial" w:cs="Arial"/>
          <w:bCs/>
          <w:sz w:val="24"/>
          <w:szCs w:val="24"/>
          <w:lang w:val="en-GB"/>
        </w:rPr>
        <w:t xml:space="preserve">ublic spaces and </w:t>
      </w:r>
      <w:r w:rsidR="007D0356" w:rsidRPr="00811277">
        <w:rPr>
          <w:rFonts w:ascii="Arial" w:eastAsia="Times New Roman" w:hAnsi="Arial" w:cs="Arial"/>
          <w:bCs/>
          <w:sz w:val="24"/>
          <w:szCs w:val="24"/>
          <w:lang w:val="en-GB"/>
        </w:rPr>
        <w:t>conveyed</w:t>
      </w:r>
      <w:r w:rsidR="00FE487A" w:rsidRPr="00811277">
        <w:rPr>
          <w:rFonts w:ascii="Arial" w:eastAsia="Times New Roman" w:hAnsi="Arial" w:cs="Arial"/>
          <w:bCs/>
          <w:sz w:val="24"/>
          <w:szCs w:val="24"/>
          <w:lang w:val="en-GB"/>
        </w:rPr>
        <w:t xml:space="preserve"> to storage depots and process</w:t>
      </w:r>
      <w:r w:rsidR="002F5B7E" w:rsidRPr="00811277">
        <w:rPr>
          <w:rFonts w:ascii="Arial" w:eastAsia="Times New Roman" w:hAnsi="Arial" w:cs="Arial"/>
          <w:bCs/>
          <w:sz w:val="24"/>
          <w:szCs w:val="24"/>
          <w:lang w:val="en-GB"/>
        </w:rPr>
        <w:t>ors</w:t>
      </w:r>
      <w:r w:rsidR="006C77E3" w:rsidRPr="00811277">
        <w:rPr>
          <w:rFonts w:ascii="Arial" w:eastAsia="Times New Roman" w:hAnsi="Arial" w:cs="Arial"/>
          <w:bCs/>
          <w:sz w:val="24"/>
          <w:szCs w:val="24"/>
          <w:lang w:val="en-GB"/>
        </w:rPr>
        <w:t>,</w:t>
      </w:r>
      <w:r w:rsidR="00FE487A" w:rsidRPr="00811277">
        <w:rPr>
          <w:rFonts w:ascii="Arial" w:eastAsia="Times New Roman" w:hAnsi="Arial" w:cs="Arial"/>
          <w:bCs/>
          <w:sz w:val="24"/>
          <w:szCs w:val="24"/>
          <w:lang w:val="en-GB"/>
        </w:rPr>
        <w:t xml:space="preserve"> </w:t>
      </w:r>
      <w:r w:rsidR="002F5B7E" w:rsidRPr="00811277">
        <w:rPr>
          <w:rFonts w:ascii="Arial" w:eastAsia="Times New Roman" w:hAnsi="Arial" w:cs="Arial"/>
          <w:bCs/>
          <w:sz w:val="24"/>
          <w:szCs w:val="24"/>
          <w:lang w:val="en-GB"/>
        </w:rPr>
        <w:t>by</w:t>
      </w:r>
      <w:r w:rsidR="00FE487A" w:rsidRPr="00811277">
        <w:rPr>
          <w:rFonts w:ascii="Arial" w:eastAsia="Times New Roman" w:hAnsi="Arial" w:cs="Arial"/>
          <w:bCs/>
          <w:sz w:val="24"/>
          <w:szCs w:val="24"/>
          <w:lang w:val="en-GB"/>
        </w:rPr>
        <w:t xml:space="preserve"> transporters</w:t>
      </w:r>
      <w:r w:rsidR="008D4940" w:rsidRPr="00811277">
        <w:rPr>
          <w:rFonts w:ascii="Arial" w:eastAsia="Times New Roman" w:hAnsi="Arial" w:cs="Arial"/>
          <w:bCs/>
          <w:sz w:val="24"/>
          <w:szCs w:val="24"/>
          <w:lang w:val="en-GB"/>
        </w:rPr>
        <w:t>, who</w:t>
      </w:r>
      <w:r w:rsidR="006C77E3" w:rsidRPr="00811277">
        <w:rPr>
          <w:rFonts w:ascii="Arial" w:eastAsia="Times New Roman" w:hAnsi="Arial" w:cs="Arial"/>
          <w:bCs/>
          <w:sz w:val="24"/>
          <w:szCs w:val="24"/>
          <w:lang w:val="en-GB"/>
        </w:rPr>
        <w:t xml:space="preserve"> </w:t>
      </w:r>
      <w:r w:rsidR="00FE487A" w:rsidRPr="00811277">
        <w:rPr>
          <w:rFonts w:ascii="Arial" w:eastAsia="Times New Roman" w:hAnsi="Arial" w:cs="Arial"/>
          <w:bCs/>
          <w:sz w:val="24"/>
          <w:szCs w:val="24"/>
          <w:lang w:val="en-GB"/>
        </w:rPr>
        <w:t>w</w:t>
      </w:r>
      <w:r w:rsidR="007D0356" w:rsidRPr="00811277">
        <w:rPr>
          <w:rFonts w:ascii="Arial" w:eastAsia="Times New Roman" w:hAnsi="Arial" w:cs="Arial"/>
          <w:bCs/>
          <w:sz w:val="24"/>
          <w:szCs w:val="24"/>
          <w:lang w:val="en-GB"/>
        </w:rPr>
        <w:t>ere to</w:t>
      </w:r>
      <w:r w:rsidR="00FE487A" w:rsidRPr="00811277">
        <w:rPr>
          <w:rFonts w:ascii="Arial" w:eastAsia="Times New Roman" w:hAnsi="Arial" w:cs="Arial"/>
          <w:bCs/>
          <w:sz w:val="24"/>
          <w:szCs w:val="24"/>
          <w:lang w:val="en-GB"/>
        </w:rPr>
        <w:t xml:space="preserve"> be paid on a per kilogram/per kilometre basis</w:t>
      </w:r>
      <w:r w:rsidR="006C77E3" w:rsidRPr="00811277">
        <w:rPr>
          <w:rFonts w:ascii="Arial" w:eastAsia="Times New Roman" w:hAnsi="Arial" w:cs="Arial"/>
          <w:bCs/>
          <w:sz w:val="24"/>
          <w:szCs w:val="24"/>
          <w:lang w:val="en-GB"/>
        </w:rPr>
        <w:t xml:space="preserve"> pursuant to transportation contracts which would be awarded</w:t>
      </w:r>
      <w:r w:rsidR="004905A4" w:rsidRPr="00811277">
        <w:rPr>
          <w:rFonts w:ascii="Arial" w:eastAsia="Times New Roman" w:hAnsi="Arial" w:cs="Arial"/>
          <w:bCs/>
          <w:sz w:val="24"/>
          <w:szCs w:val="24"/>
          <w:lang w:val="en-GB"/>
        </w:rPr>
        <w:t>,</w:t>
      </w:r>
      <w:r w:rsidR="006C77E3" w:rsidRPr="00811277">
        <w:rPr>
          <w:rFonts w:ascii="Arial" w:eastAsia="Times New Roman" w:hAnsi="Arial" w:cs="Arial"/>
          <w:bCs/>
          <w:sz w:val="24"/>
          <w:szCs w:val="24"/>
          <w:lang w:val="en-GB"/>
        </w:rPr>
        <w:t xml:space="preserve"> </w:t>
      </w:r>
      <w:r w:rsidR="00D84714" w:rsidRPr="00811277">
        <w:rPr>
          <w:rFonts w:ascii="Arial" w:eastAsia="Times New Roman" w:hAnsi="Arial" w:cs="Arial"/>
          <w:bCs/>
          <w:sz w:val="24"/>
          <w:szCs w:val="24"/>
          <w:lang w:val="en-GB"/>
        </w:rPr>
        <w:t>on</w:t>
      </w:r>
      <w:r w:rsidR="006C77E3" w:rsidRPr="00811277">
        <w:rPr>
          <w:rFonts w:ascii="Arial" w:eastAsia="Times New Roman" w:hAnsi="Arial" w:cs="Arial"/>
          <w:bCs/>
          <w:sz w:val="24"/>
          <w:szCs w:val="24"/>
          <w:lang w:val="en-GB"/>
        </w:rPr>
        <w:t xml:space="preserve"> tender</w:t>
      </w:r>
      <w:r w:rsidR="00C62243" w:rsidRPr="00811277">
        <w:rPr>
          <w:rFonts w:ascii="Arial" w:eastAsia="Times New Roman" w:hAnsi="Arial" w:cs="Arial"/>
          <w:bCs/>
          <w:sz w:val="24"/>
          <w:szCs w:val="24"/>
          <w:lang w:val="en-GB"/>
        </w:rPr>
        <w:t>.</w:t>
      </w:r>
      <w:r w:rsidR="006C77E3" w:rsidRPr="00811277">
        <w:rPr>
          <w:rFonts w:ascii="Arial" w:eastAsia="Times New Roman" w:hAnsi="Arial" w:cs="Arial"/>
          <w:bCs/>
          <w:sz w:val="24"/>
          <w:szCs w:val="24"/>
          <w:lang w:val="en-GB"/>
        </w:rPr>
        <w:t xml:space="preserve"> </w:t>
      </w:r>
      <w:r w:rsidR="00FE487A" w:rsidRPr="00811277">
        <w:rPr>
          <w:rFonts w:ascii="Arial" w:eastAsia="Times New Roman" w:hAnsi="Arial" w:cs="Arial"/>
          <w:bCs/>
          <w:sz w:val="24"/>
          <w:szCs w:val="24"/>
          <w:lang w:val="en-GB"/>
        </w:rPr>
        <w:t>The</w:t>
      </w:r>
      <w:r w:rsidR="00A52715" w:rsidRPr="00811277">
        <w:rPr>
          <w:rFonts w:ascii="Arial" w:eastAsia="Times New Roman" w:hAnsi="Arial" w:cs="Arial"/>
          <w:bCs/>
          <w:sz w:val="24"/>
          <w:szCs w:val="24"/>
          <w:lang w:val="en-GB"/>
        </w:rPr>
        <w:t xml:space="preserve"> transporters</w:t>
      </w:r>
      <w:r w:rsidR="00FE487A" w:rsidRPr="00811277">
        <w:rPr>
          <w:rFonts w:ascii="Arial" w:eastAsia="Times New Roman" w:hAnsi="Arial" w:cs="Arial"/>
          <w:bCs/>
          <w:sz w:val="24"/>
          <w:szCs w:val="24"/>
          <w:lang w:val="en-GB"/>
        </w:rPr>
        <w:t xml:space="preserve"> </w:t>
      </w:r>
      <w:r w:rsidR="002F1C45" w:rsidRPr="00811277">
        <w:rPr>
          <w:rFonts w:ascii="Arial" w:eastAsia="Times New Roman" w:hAnsi="Arial" w:cs="Arial"/>
          <w:bCs/>
          <w:sz w:val="24"/>
          <w:szCs w:val="24"/>
          <w:lang w:val="en-GB"/>
        </w:rPr>
        <w:t xml:space="preserve">and processors </w:t>
      </w:r>
      <w:r w:rsidR="0020745E" w:rsidRPr="00811277">
        <w:rPr>
          <w:rFonts w:ascii="Arial" w:eastAsia="Times New Roman" w:hAnsi="Arial" w:cs="Arial"/>
          <w:bCs/>
          <w:sz w:val="24"/>
          <w:szCs w:val="24"/>
          <w:lang w:val="en-GB"/>
        </w:rPr>
        <w:t xml:space="preserve">were </w:t>
      </w:r>
      <w:r w:rsidR="008E5D14" w:rsidRPr="00811277">
        <w:rPr>
          <w:rFonts w:ascii="Arial" w:eastAsia="Times New Roman" w:hAnsi="Arial" w:cs="Arial"/>
          <w:bCs/>
          <w:sz w:val="24"/>
          <w:szCs w:val="24"/>
          <w:lang w:val="en-GB"/>
        </w:rPr>
        <w:t xml:space="preserve">similarly </w:t>
      </w:r>
      <w:r w:rsidR="0020745E" w:rsidRPr="00811277">
        <w:rPr>
          <w:rFonts w:ascii="Arial" w:eastAsia="Times New Roman" w:hAnsi="Arial" w:cs="Arial"/>
          <w:bCs/>
          <w:sz w:val="24"/>
          <w:szCs w:val="24"/>
          <w:lang w:val="en-GB"/>
        </w:rPr>
        <w:t>required</w:t>
      </w:r>
      <w:r w:rsidR="00FE487A" w:rsidRPr="00811277">
        <w:rPr>
          <w:rFonts w:ascii="Arial" w:eastAsia="Times New Roman" w:hAnsi="Arial" w:cs="Arial"/>
          <w:bCs/>
          <w:sz w:val="24"/>
          <w:szCs w:val="24"/>
          <w:lang w:val="en-GB"/>
        </w:rPr>
        <w:t xml:space="preserve"> to render returns</w:t>
      </w:r>
      <w:r w:rsidR="002F5B7E" w:rsidRPr="00811277">
        <w:rPr>
          <w:rFonts w:ascii="Arial" w:eastAsia="Times New Roman" w:hAnsi="Arial" w:cs="Arial"/>
          <w:bCs/>
          <w:sz w:val="24"/>
          <w:szCs w:val="24"/>
          <w:lang w:val="en-GB"/>
        </w:rPr>
        <w:t xml:space="preserve"> as to the number</w:t>
      </w:r>
      <w:r w:rsidR="00C62243" w:rsidRPr="00811277">
        <w:rPr>
          <w:rFonts w:ascii="Arial" w:eastAsia="Times New Roman" w:hAnsi="Arial" w:cs="Arial"/>
          <w:bCs/>
          <w:sz w:val="24"/>
          <w:szCs w:val="24"/>
          <w:lang w:val="en-GB"/>
        </w:rPr>
        <w:t>,</w:t>
      </w:r>
      <w:r w:rsidR="002F5B7E" w:rsidRPr="00811277">
        <w:rPr>
          <w:rFonts w:ascii="Arial" w:eastAsia="Times New Roman" w:hAnsi="Arial" w:cs="Arial"/>
          <w:bCs/>
          <w:sz w:val="24"/>
          <w:szCs w:val="24"/>
          <w:lang w:val="en-GB"/>
        </w:rPr>
        <w:t xml:space="preserve"> type</w:t>
      </w:r>
      <w:r w:rsidR="00C62243" w:rsidRPr="00811277">
        <w:rPr>
          <w:rFonts w:ascii="Arial" w:eastAsia="Times New Roman" w:hAnsi="Arial" w:cs="Arial"/>
          <w:bCs/>
          <w:sz w:val="24"/>
          <w:szCs w:val="24"/>
          <w:lang w:val="en-GB"/>
        </w:rPr>
        <w:t xml:space="preserve"> and tonnage</w:t>
      </w:r>
      <w:r w:rsidR="002F5B7E" w:rsidRPr="00811277">
        <w:rPr>
          <w:rFonts w:ascii="Arial" w:eastAsia="Times New Roman" w:hAnsi="Arial" w:cs="Arial"/>
          <w:bCs/>
          <w:sz w:val="24"/>
          <w:szCs w:val="24"/>
          <w:lang w:val="en-GB"/>
        </w:rPr>
        <w:t xml:space="preserve"> of tyres collected and </w:t>
      </w:r>
      <w:r w:rsidR="00C62243" w:rsidRPr="00811277">
        <w:rPr>
          <w:rFonts w:ascii="Arial" w:eastAsia="Times New Roman" w:hAnsi="Arial" w:cs="Arial"/>
          <w:bCs/>
          <w:sz w:val="24"/>
          <w:szCs w:val="24"/>
          <w:lang w:val="en-GB"/>
        </w:rPr>
        <w:t>transported</w:t>
      </w:r>
      <w:r w:rsidR="002F5B7E" w:rsidRPr="00811277">
        <w:rPr>
          <w:rFonts w:ascii="Arial" w:eastAsia="Times New Roman" w:hAnsi="Arial" w:cs="Arial"/>
          <w:bCs/>
          <w:sz w:val="24"/>
          <w:szCs w:val="24"/>
          <w:lang w:val="en-GB"/>
        </w:rPr>
        <w:t xml:space="preserve"> </w:t>
      </w:r>
      <w:r w:rsidR="00950249" w:rsidRPr="00811277">
        <w:rPr>
          <w:rFonts w:ascii="Arial" w:eastAsia="Times New Roman" w:hAnsi="Arial" w:cs="Arial"/>
          <w:bCs/>
          <w:sz w:val="24"/>
          <w:szCs w:val="24"/>
          <w:lang w:val="en-GB"/>
        </w:rPr>
        <w:t>to storage</w:t>
      </w:r>
      <w:r w:rsidR="002F5B7E" w:rsidRPr="00811277">
        <w:rPr>
          <w:rFonts w:ascii="Arial" w:eastAsia="Times New Roman" w:hAnsi="Arial" w:cs="Arial"/>
          <w:bCs/>
          <w:sz w:val="24"/>
          <w:szCs w:val="24"/>
          <w:lang w:val="en-GB"/>
        </w:rPr>
        <w:t xml:space="preserve"> depots and disposal facilities</w:t>
      </w:r>
      <w:r w:rsidR="00C904D5" w:rsidRPr="00811277">
        <w:rPr>
          <w:rFonts w:ascii="Arial" w:eastAsia="Times New Roman" w:hAnsi="Arial" w:cs="Arial"/>
          <w:bCs/>
          <w:sz w:val="24"/>
          <w:szCs w:val="24"/>
          <w:lang w:val="en-GB"/>
        </w:rPr>
        <w:t>, as were the</w:t>
      </w:r>
      <w:r w:rsidR="002F5B7E" w:rsidRPr="00811277">
        <w:rPr>
          <w:rFonts w:ascii="Arial" w:eastAsia="Times New Roman" w:hAnsi="Arial" w:cs="Arial"/>
          <w:bCs/>
          <w:sz w:val="24"/>
          <w:szCs w:val="24"/>
          <w:lang w:val="en-GB"/>
        </w:rPr>
        <w:t xml:space="preserve"> </w:t>
      </w:r>
      <w:r w:rsidR="006C77E3" w:rsidRPr="00811277">
        <w:rPr>
          <w:rFonts w:ascii="Arial" w:eastAsia="Times New Roman" w:hAnsi="Arial" w:cs="Arial"/>
          <w:bCs/>
          <w:sz w:val="24"/>
          <w:szCs w:val="24"/>
          <w:lang w:val="en-GB"/>
        </w:rPr>
        <w:t xml:space="preserve">managers of </w:t>
      </w:r>
      <w:r w:rsidR="0020745E" w:rsidRPr="00811277">
        <w:rPr>
          <w:rFonts w:ascii="Arial" w:eastAsia="Times New Roman" w:hAnsi="Arial" w:cs="Arial"/>
          <w:bCs/>
          <w:sz w:val="24"/>
          <w:szCs w:val="24"/>
          <w:lang w:val="en-GB"/>
        </w:rPr>
        <w:lastRenderedPageBreak/>
        <w:t>these</w:t>
      </w:r>
      <w:r w:rsidR="00E5147C" w:rsidRPr="00811277">
        <w:rPr>
          <w:rFonts w:ascii="Arial" w:eastAsia="Times New Roman" w:hAnsi="Arial" w:cs="Arial"/>
          <w:bCs/>
          <w:sz w:val="24"/>
          <w:szCs w:val="24"/>
          <w:lang w:val="en-GB"/>
        </w:rPr>
        <w:t xml:space="preserve"> facilities</w:t>
      </w:r>
      <w:r w:rsidR="002F1C45" w:rsidRPr="00811277">
        <w:rPr>
          <w:rFonts w:ascii="Arial" w:eastAsia="Times New Roman" w:hAnsi="Arial" w:cs="Arial"/>
          <w:bCs/>
          <w:sz w:val="24"/>
          <w:szCs w:val="24"/>
          <w:lang w:val="en-GB"/>
        </w:rPr>
        <w:t>.</w:t>
      </w:r>
      <w:r w:rsidR="002F5B7E" w:rsidRPr="00811277">
        <w:rPr>
          <w:rFonts w:ascii="Arial" w:eastAsia="Times New Roman" w:hAnsi="Arial" w:cs="Arial"/>
          <w:bCs/>
          <w:sz w:val="24"/>
          <w:szCs w:val="24"/>
          <w:lang w:val="en-GB"/>
        </w:rPr>
        <w:t>.</w:t>
      </w:r>
      <w:r w:rsidR="002F5B7E">
        <w:rPr>
          <w:rStyle w:val="FootnoteReference"/>
          <w:rFonts w:ascii="Arial" w:eastAsia="Times New Roman" w:hAnsi="Arial" w:cs="Arial"/>
          <w:bCs/>
          <w:sz w:val="24"/>
          <w:szCs w:val="24"/>
          <w:lang w:val="en-GB"/>
        </w:rPr>
        <w:footnoteReference w:id="6"/>
      </w:r>
      <w:r w:rsidR="00A52715" w:rsidRPr="00811277">
        <w:rPr>
          <w:rFonts w:ascii="Arial" w:eastAsia="Times New Roman" w:hAnsi="Arial" w:cs="Arial"/>
          <w:bCs/>
          <w:sz w:val="24"/>
          <w:szCs w:val="24"/>
          <w:lang w:val="en-GB"/>
        </w:rPr>
        <w:t xml:space="preserve"> The disposal of waste tyres (primarily by recycling) was to be carried out by </w:t>
      </w:r>
      <w:r w:rsidR="000068DC" w:rsidRPr="00811277">
        <w:rPr>
          <w:rFonts w:ascii="Arial" w:eastAsia="Times New Roman" w:hAnsi="Arial" w:cs="Arial"/>
          <w:bCs/>
          <w:sz w:val="24"/>
          <w:szCs w:val="24"/>
          <w:lang w:val="en-GB"/>
        </w:rPr>
        <w:t xml:space="preserve">the </w:t>
      </w:r>
      <w:r w:rsidR="00A52715" w:rsidRPr="00811277">
        <w:rPr>
          <w:rFonts w:ascii="Arial" w:eastAsia="Times New Roman" w:hAnsi="Arial" w:cs="Arial"/>
          <w:bCs/>
          <w:sz w:val="24"/>
          <w:szCs w:val="24"/>
          <w:lang w:val="en-GB"/>
        </w:rPr>
        <w:t xml:space="preserve">processors, who </w:t>
      </w:r>
      <w:r w:rsidR="00163A80" w:rsidRPr="00811277">
        <w:rPr>
          <w:rFonts w:ascii="Arial" w:eastAsia="Times New Roman" w:hAnsi="Arial" w:cs="Arial"/>
          <w:bCs/>
          <w:sz w:val="24"/>
          <w:szCs w:val="24"/>
          <w:lang w:val="en-GB"/>
        </w:rPr>
        <w:t xml:space="preserve">would tender for and </w:t>
      </w:r>
      <w:r w:rsidR="00A52715" w:rsidRPr="00811277">
        <w:rPr>
          <w:rFonts w:ascii="Arial" w:eastAsia="Times New Roman" w:hAnsi="Arial" w:cs="Arial"/>
          <w:bCs/>
          <w:sz w:val="24"/>
          <w:szCs w:val="24"/>
          <w:lang w:val="en-GB"/>
        </w:rPr>
        <w:t>be awarded a specified annual tonnage of waste tyres</w:t>
      </w:r>
      <w:r w:rsidR="00163A80" w:rsidRPr="00811277">
        <w:rPr>
          <w:rFonts w:ascii="Arial" w:eastAsia="Times New Roman" w:hAnsi="Arial" w:cs="Arial"/>
          <w:bCs/>
          <w:sz w:val="24"/>
          <w:szCs w:val="24"/>
          <w:lang w:val="en-GB"/>
        </w:rPr>
        <w:t>,</w:t>
      </w:r>
      <w:r w:rsidR="00A52715" w:rsidRPr="00811277">
        <w:rPr>
          <w:rFonts w:ascii="Arial" w:eastAsia="Times New Roman" w:hAnsi="Arial" w:cs="Arial"/>
          <w:bCs/>
          <w:sz w:val="24"/>
          <w:szCs w:val="24"/>
          <w:lang w:val="en-GB"/>
        </w:rPr>
        <w:t xml:space="preserve"> which they would dispose of at a range of processing facilities which were to be established. </w:t>
      </w:r>
    </w:p>
    <w:p w14:paraId="3E025596" w14:textId="2BE98EC0" w:rsidR="00950249"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8.</w:t>
      </w:r>
      <w:r>
        <w:rPr>
          <w:rFonts w:ascii="Arial" w:eastAsia="Times New Roman" w:hAnsi="Arial" w:cs="Arial"/>
          <w:bCs/>
          <w:kern w:val="0"/>
          <w:sz w:val="24"/>
          <w:szCs w:val="24"/>
          <w:lang w:val="en-GB"/>
          <w14:ligatures w14:val="none"/>
        </w:rPr>
        <w:tab/>
      </w:r>
      <w:r w:rsidR="00DB369B" w:rsidRPr="00811277">
        <w:rPr>
          <w:rFonts w:ascii="Arial" w:eastAsia="Times New Roman" w:hAnsi="Arial" w:cs="Arial"/>
          <w:bCs/>
          <w:sz w:val="24"/>
          <w:szCs w:val="24"/>
          <w:lang w:val="en-GB"/>
        </w:rPr>
        <w:t>A</w:t>
      </w:r>
      <w:r w:rsidR="0043233F" w:rsidRPr="00811277">
        <w:rPr>
          <w:rFonts w:ascii="Arial" w:eastAsia="Times New Roman" w:hAnsi="Arial" w:cs="Arial"/>
          <w:bCs/>
          <w:sz w:val="24"/>
          <w:szCs w:val="24"/>
          <w:lang w:val="en-GB"/>
        </w:rPr>
        <w:t>s far as funding the project was concerned</w:t>
      </w:r>
      <w:r w:rsidR="00E5147C" w:rsidRPr="00811277">
        <w:rPr>
          <w:rFonts w:ascii="Arial" w:eastAsia="Times New Roman" w:hAnsi="Arial" w:cs="Arial"/>
          <w:bCs/>
          <w:sz w:val="24"/>
          <w:szCs w:val="24"/>
          <w:lang w:val="en-GB"/>
        </w:rPr>
        <w:t>,</w:t>
      </w:r>
      <w:r w:rsidR="0043233F" w:rsidRPr="00811277">
        <w:rPr>
          <w:rFonts w:ascii="Arial" w:eastAsia="Times New Roman" w:hAnsi="Arial" w:cs="Arial"/>
          <w:bCs/>
          <w:sz w:val="24"/>
          <w:szCs w:val="24"/>
          <w:lang w:val="en-GB"/>
        </w:rPr>
        <w:t xml:space="preserve"> this was </w:t>
      </w:r>
      <w:r w:rsidR="008E6BB7" w:rsidRPr="00811277">
        <w:rPr>
          <w:rFonts w:ascii="Arial" w:eastAsia="Times New Roman" w:hAnsi="Arial" w:cs="Arial"/>
          <w:bCs/>
          <w:sz w:val="24"/>
          <w:szCs w:val="24"/>
          <w:lang w:val="en-GB"/>
        </w:rPr>
        <w:t xml:space="preserve">an aspect which was </w:t>
      </w:r>
      <w:r w:rsidR="00D61948" w:rsidRPr="00811277">
        <w:rPr>
          <w:rFonts w:ascii="Arial" w:eastAsia="Times New Roman" w:hAnsi="Arial" w:cs="Arial"/>
          <w:bCs/>
          <w:sz w:val="24"/>
          <w:szCs w:val="24"/>
          <w:lang w:val="en-GB"/>
        </w:rPr>
        <w:t xml:space="preserve">not </w:t>
      </w:r>
      <w:r w:rsidR="00950249" w:rsidRPr="00811277">
        <w:rPr>
          <w:rFonts w:ascii="Arial" w:eastAsia="Times New Roman" w:hAnsi="Arial" w:cs="Arial"/>
          <w:bCs/>
          <w:sz w:val="24"/>
          <w:szCs w:val="24"/>
          <w:lang w:val="en-GB"/>
        </w:rPr>
        <w:t xml:space="preserve">conveniently </w:t>
      </w:r>
      <w:r w:rsidR="0043233F" w:rsidRPr="00811277">
        <w:rPr>
          <w:rFonts w:ascii="Arial" w:eastAsia="Times New Roman" w:hAnsi="Arial" w:cs="Arial"/>
          <w:bCs/>
          <w:sz w:val="24"/>
          <w:szCs w:val="24"/>
          <w:lang w:val="en-GB"/>
        </w:rPr>
        <w:t xml:space="preserve">dealt with in a single </w:t>
      </w:r>
      <w:r w:rsidR="00C47F7C" w:rsidRPr="00811277">
        <w:rPr>
          <w:rFonts w:ascii="Arial" w:eastAsia="Times New Roman" w:hAnsi="Arial" w:cs="Arial"/>
          <w:bCs/>
          <w:sz w:val="24"/>
          <w:szCs w:val="24"/>
          <w:lang w:val="en-GB"/>
        </w:rPr>
        <w:t xml:space="preserve">section </w:t>
      </w:r>
      <w:r w:rsidR="00AE0CAE" w:rsidRPr="00811277">
        <w:rPr>
          <w:rFonts w:ascii="Arial" w:eastAsia="Times New Roman" w:hAnsi="Arial" w:cs="Arial"/>
          <w:bCs/>
          <w:sz w:val="24"/>
          <w:szCs w:val="24"/>
          <w:lang w:val="en-GB"/>
        </w:rPr>
        <w:t>of</w:t>
      </w:r>
      <w:r w:rsidR="0043233F" w:rsidRPr="00811277">
        <w:rPr>
          <w:rFonts w:ascii="Arial" w:eastAsia="Times New Roman" w:hAnsi="Arial" w:cs="Arial"/>
          <w:bCs/>
          <w:sz w:val="24"/>
          <w:szCs w:val="24"/>
          <w:lang w:val="en-GB"/>
        </w:rPr>
        <w:t xml:space="preserve"> the </w:t>
      </w:r>
      <w:r w:rsidR="00950249" w:rsidRPr="00811277">
        <w:rPr>
          <w:rFonts w:ascii="Arial" w:eastAsia="Times New Roman" w:hAnsi="Arial" w:cs="Arial"/>
          <w:bCs/>
          <w:sz w:val="24"/>
          <w:szCs w:val="24"/>
          <w:lang w:val="en-GB"/>
        </w:rPr>
        <w:t>memorandum</w:t>
      </w:r>
      <w:r w:rsidR="002B2990" w:rsidRPr="00811277">
        <w:rPr>
          <w:rFonts w:ascii="Arial" w:eastAsia="Times New Roman" w:hAnsi="Arial" w:cs="Arial"/>
          <w:bCs/>
          <w:sz w:val="24"/>
          <w:szCs w:val="24"/>
          <w:lang w:val="en-GB"/>
        </w:rPr>
        <w:t>,</w:t>
      </w:r>
      <w:r w:rsidR="00950249" w:rsidRPr="00811277">
        <w:rPr>
          <w:rFonts w:ascii="Arial" w:eastAsia="Times New Roman" w:hAnsi="Arial" w:cs="Arial"/>
          <w:bCs/>
          <w:sz w:val="24"/>
          <w:szCs w:val="24"/>
          <w:lang w:val="en-GB"/>
        </w:rPr>
        <w:t xml:space="preserve"> but</w:t>
      </w:r>
      <w:r w:rsidR="0043233F" w:rsidRPr="00811277">
        <w:rPr>
          <w:rFonts w:ascii="Arial" w:eastAsia="Times New Roman" w:hAnsi="Arial" w:cs="Arial"/>
          <w:bCs/>
          <w:sz w:val="24"/>
          <w:szCs w:val="24"/>
          <w:lang w:val="en-GB"/>
        </w:rPr>
        <w:t xml:space="preserve"> in </w:t>
      </w:r>
      <w:r w:rsidR="00E5147C" w:rsidRPr="00811277">
        <w:rPr>
          <w:rFonts w:ascii="Arial" w:eastAsia="Times New Roman" w:hAnsi="Arial" w:cs="Arial"/>
          <w:bCs/>
          <w:sz w:val="24"/>
          <w:szCs w:val="24"/>
          <w:lang w:val="en-GB"/>
        </w:rPr>
        <w:t>several</w:t>
      </w:r>
      <w:r w:rsidR="0043233F" w:rsidRPr="00811277">
        <w:rPr>
          <w:rFonts w:ascii="Arial" w:eastAsia="Times New Roman" w:hAnsi="Arial" w:cs="Arial"/>
          <w:bCs/>
          <w:sz w:val="24"/>
          <w:szCs w:val="24"/>
          <w:lang w:val="en-GB"/>
        </w:rPr>
        <w:t xml:space="preserve"> clauses</w:t>
      </w:r>
      <w:r w:rsidR="00D84714" w:rsidRPr="00811277">
        <w:rPr>
          <w:rFonts w:ascii="Arial" w:eastAsia="Times New Roman" w:hAnsi="Arial" w:cs="Arial"/>
          <w:bCs/>
          <w:sz w:val="24"/>
          <w:szCs w:val="24"/>
          <w:lang w:val="en-GB"/>
        </w:rPr>
        <w:t xml:space="preserve"> thereof </w:t>
      </w:r>
      <w:r w:rsidR="0043233F" w:rsidRPr="00811277">
        <w:rPr>
          <w:rFonts w:ascii="Arial" w:eastAsia="Times New Roman" w:hAnsi="Arial" w:cs="Arial"/>
          <w:bCs/>
          <w:sz w:val="24"/>
          <w:szCs w:val="24"/>
          <w:lang w:val="en-GB"/>
        </w:rPr>
        <w:t xml:space="preserve">and </w:t>
      </w:r>
      <w:r w:rsidR="00E5147C" w:rsidRPr="00811277">
        <w:rPr>
          <w:rFonts w:ascii="Arial" w:eastAsia="Times New Roman" w:hAnsi="Arial" w:cs="Arial"/>
          <w:bCs/>
          <w:sz w:val="24"/>
          <w:szCs w:val="24"/>
          <w:lang w:val="en-GB"/>
        </w:rPr>
        <w:t>an</w:t>
      </w:r>
      <w:r w:rsidR="0043233F" w:rsidRPr="00811277">
        <w:rPr>
          <w:rFonts w:ascii="Arial" w:eastAsia="Times New Roman" w:hAnsi="Arial" w:cs="Arial"/>
          <w:bCs/>
          <w:sz w:val="24"/>
          <w:szCs w:val="24"/>
          <w:lang w:val="en-GB"/>
        </w:rPr>
        <w:t xml:space="preserve"> annexure</w:t>
      </w:r>
      <w:r w:rsidR="00E5147C" w:rsidRPr="00811277">
        <w:rPr>
          <w:rFonts w:ascii="Arial" w:eastAsia="Times New Roman" w:hAnsi="Arial" w:cs="Arial"/>
          <w:bCs/>
          <w:sz w:val="24"/>
          <w:szCs w:val="24"/>
          <w:lang w:val="en-GB"/>
        </w:rPr>
        <w:t>.</w:t>
      </w:r>
      <w:r w:rsidR="00E5147C">
        <w:rPr>
          <w:rStyle w:val="FootnoteReference"/>
          <w:rFonts w:ascii="Arial" w:eastAsia="Times New Roman" w:hAnsi="Arial" w:cs="Arial"/>
          <w:bCs/>
          <w:sz w:val="24"/>
          <w:szCs w:val="24"/>
          <w:lang w:val="en-GB"/>
        </w:rPr>
        <w:footnoteReference w:id="7"/>
      </w:r>
      <w:r w:rsidR="0043233F" w:rsidRPr="00811277">
        <w:rPr>
          <w:rFonts w:ascii="Arial" w:eastAsia="Times New Roman" w:hAnsi="Arial" w:cs="Arial"/>
          <w:bCs/>
          <w:sz w:val="24"/>
          <w:szCs w:val="24"/>
          <w:lang w:val="en-GB"/>
        </w:rPr>
        <w:t xml:space="preserve"> </w:t>
      </w:r>
    </w:p>
    <w:p w14:paraId="35330027" w14:textId="62DC16FA" w:rsidR="00E5147C" w:rsidRPr="00811277" w:rsidRDefault="00811277" w:rsidP="00811277">
      <w:pPr>
        <w:spacing w:line="360" w:lineRule="auto"/>
        <w:ind w:left="720" w:hanging="720"/>
        <w:jc w:val="both"/>
        <w:rPr>
          <w:rFonts w:ascii="Arial" w:eastAsia="Times New Roman" w:hAnsi="Arial" w:cs="Arial"/>
          <w:bCs/>
          <w:sz w:val="24"/>
          <w:szCs w:val="24"/>
          <w:lang w:val="en-GB"/>
        </w:rPr>
      </w:pPr>
      <w:r w:rsidRPr="00D84714">
        <w:rPr>
          <w:rFonts w:ascii="Arial" w:eastAsia="Times New Roman" w:hAnsi="Arial" w:cs="Arial"/>
          <w:bCs/>
          <w:kern w:val="0"/>
          <w:sz w:val="24"/>
          <w:szCs w:val="24"/>
          <w:lang w:val="en-GB"/>
          <w14:ligatures w14:val="none"/>
        </w:rPr>
        <w:t>9.</w:t>
      </w:r>
      <w:r w:rsidRPr="00D84714">
        <w:rPr>
          <w:rFonts w:ascii="Arial" w:eastAsia="Times New Roman" w:hAnsi="Arial" w:cs="Arial"/>
          <w:bCs/>
          <w:kern w:val="0"/>
          <w:sz w:val="24"/>
          <w:szCs w:val="24"/>
          <w:lang w:val="en-GB"/>
          <w14:ligatures w14:val="none"/>
        </w:rPr>
        <w:tab/>
      </w:r>
      <w:r w:rsidR="003B4ABF" w:rsidRPr="00811277">
        <w:rPr>
          <w:rFonts w:ascii="Arial" w:eastAsia="Times New Roman" w:hAnsi="Arial" w:cs="Arial"/>
          <w:bCs/>
          <w:sz w:val="24"/>
          <w:szCs w:val="24"/>
          <w:lang w:val="en-GB"/>
        </w:rPr>
        <w:t xml:space="preserve">Essentially, </w:t>
      </w:r>
      <w:r w:rsidR="00AE0CAE" w:rsidRPr="00811277">
        <w:rPr>
          <w:rFonts w:ascii="Arial" w:eastAsia="Times New Roman" w:hAnsi="Arial" w:cs="Arial"/>
          <w:bCs/>
          <w:sz w:val="24"/>
          <w:szCs w:val="24"/>
          <w:lang w:val="en-GB"/>
        </w:rPr>
        <w:t>it was</w:t>
      </w:r>
      <w:r w:rsidR="0043233F" w:rsidRPr="00811277">
        <w:rPr>
          <w:rFonts w:ascii="Arial" w:eastAsia="Times New Roman" w:hAnsi="Arial" w:cs="Arial"/>
          <w:bCs/>
          <w:sz w:val="24"/>
          <w:szCs w:val="24"/>
          <w:lang w:val="en-GB"/>
        </w:rPr>
        <w:t xml:space="preserve"> envisaged</w:t>
      </w:r>
      <w:r w:rsidR="008E6BB7" w:rsidRPr="00811277">
        <w:rPr>
          <w:rFonts w:ascii="Arial" w:eastAsia="Times New Roman" w:hAnsi="Arial" w:cs="Arial"/>
          <w:bCs/>
          <w:sz w:val="24"/>
          <w:szCs w:val="24"/>
          <w:lang w:val="en-GB"/>
        </w:rPr>
        <w:t xml:space="preserve"> t</w:t>
      </w:r>
      <w:r w:rsidR="0043233F" w:rsidRPr="00811277">
        <w:rPr>
          <w:rFonts w:ascii="Arial" w:eastAsia="Times New Roman" w:hAnsi="Arial" w:cs="Arial"/>
          <w:bCs/>
          <w:sz w:val="24"/>
          <w:szCs w:val="24"/>
          <w:lang w:val="en-GB"/>
        </w:rPr>
        <w:t xml:space="preserve">hat </w:t>
      </w:r>
      <w:r w:rsidR="002B2990" w:rsidRPr="00811277">
        <w:rPr>
          <w:rFonts w:ascii="Arial" w:eastAsia="Times New Roman" w:hAnsi="Arial" w:cs="Arial"/>
          <w:bCs/>
          <w:sz w:val="24"/>
          <w:szCs w:val="24"/>
          <w:lang w:val="en-GB"/>
        </w:rPr>
        <w:t>the plan</w:t>
      </w:r>
      <w:r w:rsidR="008038DB" w:rsidRPr="00811277">
        <w:rPr>
          <w:rFonts w:ascii="Arial" w:eastAsia="Times New Roman" w:hAnsi="Arial" w:cs="Arial"/>
          <w:bCs/>
          <w:sz w:val="24"/>
          <w:szCs w:val="24"/>
          <w:lang w:val="en-GB"/>
        </w:rPr>
        <w:t xml:space="preserve"> would </w:t>
      </w:r>
      <w:r w:rsidR="002B2990" w:rsidRPr="00811277">
        <w:rPr>
          <w:rFonts w:ascii="Arial" w:eastAsia="Times New Roman" w:hAnsi="Arial" w:cs="Arial"/>
          <w:bCs/>
          <w:sz w:val="24"/>
          <w:szCs w:val="24"/>
          <w:lang w:val="en-GB"/>
        </w:rPr>
        <w:t xml:space="preserve">be funded </w:t>
      </w:r>
      <w:r w:rsidR="008038DB" w:rsidRPr="00811277">
        <w:rPr>
          <w:rFonts w:ascii="Arial" w:eastAsia="Times New Roman" w:hAnsi="Arial" w:cs="Arial"/>
          <w:bCs/>
          <w:sz w:val="24"/>
          <w:szCs w:val="24"/>
          <w:lang w:val="en-GB"/>
        </w:rPr>
        <w:t>from</w:t>
      </w:r>
      <w:r w:rsidR="0043233F" w:rsidRPr="00811277">
        <w:rPr>
          <w:rFonts w:ascii="Arial" w:eastAsia="Times New Roman" w:hAnsi="Arial" w:cs="Arial"/>
          <w:bCs/>
          <w:sz w:val="24"/>
          <w:szCs w:val="24"/>
          <w:lang w:val="en-GB"/>
        </w:rPr>
        <w:t xml:space="preserve"> </w:t>
      </w:r>
      <w:r w:rsidR="007A6A29" w:rsidRPr="00811277">
        <w:rPr>
          <w:rFonts w:ascii="Arial" w:eastAsia="Times New Roman" w:hAnsi="Arial" w:cs="Arial"/>
          <w:bCs/>
          <w:sz w:val="24"/>
          <w:szCs w:val="24"/>
          <w:lang w:val="en-GB"/>
        </w:rPr>
        <w:t>a</w:t>
      </w:r>
      <w:r w:rsidR="0043233F" w:rsidRPr="00811277">
        <w:rPr>
          <w:rFonts w:ascii="Arial" w:eastAsia="Times New Roman" w:hAnsi="Arial" w:cs="Arial"/>
          <w:bCs/>
          <w:sz w:val="24"/>
          <w:szCs w:val="24"/>
          <w:lang w:val="en-GB"/>
        </w:rPr>
        <w:t xml:space="preserve"> </w:t>
      </w:r>
      <w:r w:rsidR="00E5147C" w:rsidRPr="00811277">
        <w:rPr>
          <w:rFonts w:ascii="Arial" w:eastAsia="Times New Roman" w:hAnsi="Arial" w:cs="Arial"/>
          <w:bCs/>
          <w:sz w:val="24"/>
          <w:szCs w:val="24"/>
          <w:lang w:val="en-GB"/>
        </w:rPr>
        <w:t>‘</w:t>
      </w:r>
      <w:r w:rsidR="0043233F" w:rsidRPr="00811277">
        <w:rPr>
          <w:rFonts w:ascii="Arial" w:eastAsia="Times New Roman" w:hAnsi="Arial" w:cs="Arial"/>
          <w:bCs/>
          <w:sz w:val="24"/>
          <w:szCs w:val="24"/>
          <w:lang w:val="en-GB"/>
        </w:rPr>
        <w:t>waste tyre management fee</w:t>
      </w:r>
      <w:r w:rsidR="00E5147C" w:rsidRPr="00811277">
        <w:rPr>
          <w:rFonts w:ascii="Arial" w:eastAsia="Times New Roman" w:hAnsi="Arial" w:cs="Arial"/>
          <w:bCs/>
          <w:sz w:val="24"/>
          <w:szCs w:val="24"/>
          <w:lang w:val="en-GB"/>
        </w:rPr>
        <w:t>’</w:t>
      </w:r>
      <w:r w:rsidR="0043233F" w:rsidRPr="00811277">
        <w:rPr>
          <w:rFonts w:ascii="Arial" w:eastAsia="Times New Roman" w:hAnsi="Arial" w:cs="Arial"/>
          <w:bCs/>
          <w:sz w:val="24"/>
          <w:szCs w:val="24"/>
          <w:lang w:val="en-GB"/>
        </w:rPr>
        <w:t xml:space="preserve"> which was to be paid by subscribers</w:t>
      </w:r>
      <w:r w:rsidR="0017596A" w:rsidRPr="00811277">
        <w:rPr>
          <w:rFonts w:ascii="Arial" w:eastAsia="Times New Roman" w:hAnsi="Arial" w:cs="Arial"/>
          <w:bCs/>
          <w:sz w:val="24"/>
          <w:szCs w:val="24"/>
          <w:lang w:val="en-GB"/>
        </w:rPr>
        <w:t xml:space="preserve"> </w:t>
      </w:r>
      <w:r w:rsidR="002B2990" w:rsidRPr="00811277">
        <w:rPr>
          <w:rFonts w:ascii="Arial" w:eastAsia="Times New Roman" w:hAnsi="Arial" w:cs="Arial"/>
          <w:bCs/>
          <w:sz w:val="24"/>
          <w:szCs w:val="24"/>
          <w:lang w:val="en-GB"/>
        </w:rPr>
        <w:t>(</w:t>
      </w:r>
      <w:r w:rsidR="0017596A" w:rsidRPr="00811277">
        <w:rPr>
          <w:rFonts w:ascii="Arial" w:eastAsia="Times New Roman" w:hAnsi="Arial" w:cs="Arial"/>
          <w:bCs/>
          <w:sz w:val="24"/>
          <w:szCs w:val="24"/>
          <w:lang w:val="en-GB"/>
        </w:rPr>
        <w:t>i.e. all tyre producers and importers</w:t>
      </w:r>
      <w:r w:rsidR="002B2990" w:rsidRPr="00811277">
        <w:rPr>
          <w:rFonts w:ascii="Arial" w:eastAsia="Times New Roman" w:hAnsi="Arial" w:cs="Arial"/>
          <w:bCs/>
          <w:sz w:val="24"/>
          <w:szCs w:val="24"/>
          <w:lang w:val="en-GB"/>
        </w:rPr>
        <w:t>)</w:t>
      </w:r>
      <w:r w:rsidR="00E5147C" w:rsidRPr="00811277">
        <w:rPr>
          <w:rFonts w:ascii="Arial" w:eastAsia="Times New Roman" w:hAnsi="Arial" w:cs="Arial"/>
          <w:bCs/>
          <w:sz w:val="24"/>
          <w:szCs w:val="24"/>
          <w:lang w:val="en-GB"/>
        </w:rPr>
        <w:t>,</w:t>
      </w:r>
      <w:r w:rsidR="0043233F" w:rsidRPr="00811277">
        <w:rPr>
          <w:rFonts w:ascii="Arial" w:eastAsia="Times New Roman" w:hAnsi="Arial" w:cs="Arial"/>
          <w:bCs/>
          <w:sz w:val="24"/>
          <w:szCs w:val="24"/>
          <w:lang w:val="en-GB"/>
        </w:rPr>
        <w:t xml:space="preserve"> </w:t>
      </w:r>
      <w:r w:rsidR="008E6BB7" w:rsidRPr="00811277">
        <w:rPr>
          <w:rFonts w:ascii="Arial" w:eastAsia="Times New Roman" w:hAnsi="Arial" w:cs="Arial"/>
          <w:bCs/>
          <w:sz w:val="24"/>
          <w:szCs w:val="24"/>
          <w:lang w:val="en-GB"/>
        </w:rPr>
        <w:t xml:space="preserve">in the form </w:t>
      </w:r>
      <w:r w:rsidR="0043233F" w:rsidRPr="00811277">
        <w:rPr>
          <w:rFonts w:ascii="Arial" w:eastAsia="Times New Roman" w:hAnsi="Arial" w:cs="Arial"/>
          <w:bCs/>
          <w:sz w:val="24"/>
          <w:szCs w:val="24"/>
          <w:lang w:val="en-GB"/>
        </w:rPr>
        <w:t xml:space="preserve">of a levy </w:t>
      </w:r>
      <w:r w:rsidR="003B4ABF" w:rsidRPr="00811277">
        <w:rPr>
          <w:rFonts w:ascii="Arial" w:eastAsia="Times New Roman" w:hAnsi="Arial" w:cs="Arial"/>
          <w:bCs/>
          <w:sz w:val="24"/>
          <w:szCs w:val="24"/>
          <w:lang w:val="en-GB"/>
        </w:rPr>
        <w:t>which w</w:t>
      </w:r>
      <w:r w:rsidR="0080487C" w:rsidRPr="00811277">
        <w:rPr>
          <w:rFonts w:ascii="Arial" w:eastAsia="Times New Roman" w:hAnsi="Arial" w:cs="Arial"/>
          <w:bCs/>
          <w:sz w:val="24"/>
          <w:szCs w:val="24"/>
          <w:lang w:val="en-GB"/>
        </w:rPr>
        <w:t>as to</w:t>
      </w:r>
      <w:r w:rsidR="003B4ABF" w:rsidRPr="00811277">
        <w:rPr>
          <w:rFonts w:ascii="Arial" w:eastAsia="Times New Roman" w:hAnsi="Arial" w:cs="Arial"/>
          <w:bCs/>
          <w:sz w:val="24"/>
          <w:szCs w:val="24"/>
          <w:lang w:val="en-GB"/>
        </w:rPr>
        <w:t xml:space="preserve"> </w:t>
      </w:r>
      <w:r w:rsidR="0043233F" w:rsidRPr="00811277">
        <w:rPr>
          <w:rFonts w:ascii="Arial" w:eastAsia="Times New Roman" w:hAnsi="Arial" w:cs="Arial"/>
          <w:bCs/>
          <w:sz w:val="24"/>
          <w:szCs w:val="24"/>
          <w:lang w:val="en-GB"/>
        </w:rPr>
        <w:t xml:space="preserve">be imposed on </w:t>
      </w:r>
      <w:r w:rsidR="00E5147C" w:rsidRPr="00811277">
        <w:rPr>
          <w:rFonts w:ascii="Arial" w:eastAsia="Times New Roman" w:hAnsi="Arial" w:cs="Arial"/>
          <w:bCs/>
          <w:sz w:val="24"/>
          <w:szCs w:val="24"/>
          <w:lang w:val="en-GB"/>
        </w:rPr>
        <w:t xml:space="preserve">all </w:t>
      </w:r>
      <w:r w:rsidR="0043233F" w:rsidRPr="00811277">
        <w:rPr>
          <w:rFonts w:ascii="Arial" w:eastAsia="Times New Roman" w:hAnsi="Arial" w:cs="Arial"/>
          <w:bCs/>
          <w:sz w:val="24"/>
          <w:szCs w:val="24"/>
          <w:lang w:val="en-GB"/>
        </w:rPr>
        <w:t xml:space="preserve">tyres produced </w:t>
      </w:r>
      <w:r w:rsidR="00C47F7C" w:rsidRPr="00811277">
        <w:rPr>
          <w:rFonts w:ascii="Arial" w:eastAsia="Times New Roman" w:hAnsi="Arial" w:cs="Arial"/>
          <w:bCs/>
          <w:sz w:val="24"/>
          <w:szCs w:val="24"/>
          <w:lang w:val="en-GB"/>
        </w:rPr>
        <w:t xml:space="preserve">in </w:t>
      </w:r>
      <w:r w:rsidR="0043233F" w:rsidRPr="00811277">
        <w:rPr>
          <w:rFonts w:ascii="Arial" w:eastAsia="Times New Roman" w:hAnsi="Arial" w:cs="Arial"/>
          <w:bCs/>
          <w:sz w:val="24"/>
          <w:szCs w:val="24"/>
          <w:lang w:val="en-GB"/>
        </w:rPr>
        <w:t>or imported to SA</w:t>
      </w:r>
      <w:r w:rsidR="00E5147C" w:rsidRPr="00811277">
        <w:rPr>
          <w:rFonts w:ascii="Arial" w:eastAsia="Times New Roman" w:hAnsi="Arial" w:cs="Arial"/>
          <w:bCs/>
          <w:sz w:val="24"/>
          <w:szCs w:val="24"/>
          <w:lang w:val="en-GB"/>
        </w:rPr>
        <w:t>,</w:t>
      </w:r>
      <w:r w:rsidR="0043233F" w:rsidRPr="00811277">
        <w:rPr>
          <w:rFonts w:ascii="Arial" w:eastAsia="Times New Roman" w:hAnsi="Arial" w:cs="Arial"/>
          <w:bCs/>
          <w:sz w:val="24"/>
          <w:szCs w:val="24"/>
          <w:lang w:val="en-GB"/>
        </w:rPr>
        <w:t xml:space="preserve"> on a Rand</w:t>
      </w:r>
      <w:r w:rsidR="00E5147C" w:rsidRPr="00811277">
        <w:rPr>
          <w:rFonts w:ascii="Arial" w:eastAsia="Times New Roman" w:hAnsi="Arial" w:cs="Arial"/>
          <w:bCs/>
          <w:sz w:val="24"/>
          <w:szCs w:val="24"/>
          <w:lang w:val="en-GB"/>
        </w:rPr>
        <w:t>-</w:t>
      </w:r>
      <w:r w:rsidR="0043233F" w:rsidRPr="00811277">
        <w:rPr>
          <w:rFonts w:ascii="Arial" w:eastAsia="Times New Roman" w:hAnsi="Arial" w:cs="Arial"/>
          <w:bCs/>
          <w:sz w:val="24"/>
          <w:szCs w:val="24"/>
          <w:lang w:val="en-GB"/>
        </w:rPr>
        <w:t>per</w:t>
      </w:r>
      <w:r w:rsidR="00E5147C" w:rsidRPr="00811277">
        <w:rPr>
          <w:rFonts w:ascii="Arial" w:eastAsia="Times New Roman" w:hAnsi="Arial" w:cs="Arial"/>
          <w:bCs/>
          <w:sz w:val="24"/>
          <w:szCs w:val="24"/>
          <w:lang w:val="en-GB"/>
        </w:rPr>
        <w:t>-</w:t>
      </w:r>
      <w:r w:rsidR="0043233F" w:rsidRPr="00811277">
        <w:rPr>
          <w:rFonts w:ascii="Arial" w:eastAsia="Times New Roman" w:hAnsi="Arial" w:cs="Arial"/>
          <w:bCs/>
          <w:sz w:val="24"/>
          <w:szCs w:val="24"/>
          <w:lang w:val="en-GB"/>
        </w:rPr>
        <w:t>kilogram</w:t>
      </w:r>
      <w:r w:rsidR="00950249" w:rsidRPr="00811277">
        <w:rPr>
          <w:rFonts w:ascii="Arial" w:eastAsia="Times New Roman" w:hAnsi="Arial" w:cs="Arial"/>
          <w:bCs/>
          <w:sz w:val="24"/>
          <w:szCs w:val="24"/>
          <w:lang w:val="en-GB"/>
        </w:rPr>
        <w:t xml:space="preserve"> weight</w:t>
      </w:r>
      <w:r w:rsidR="0043233F" w:rsidRPr="00811277">
        <w:rPr>
          <w:rFonts w:ascii="Arial" w:eastAsia="Times New Roman" w:hAnsi="Arial" w:cs="Arial"/>
          <w:bCs/>
          <w:sz w:val="24"/>
          <w:szCs w:val="24"/>
          <w:lang w:val="en-GB"/>
        </w:rPr>
        <w:t xml:space="preserve"> cost basis.</w:t>
      </w:r>
      <w:r w:rsidR="008E6BB7">
        <w:rPr>
          <w:rStyle w:val="FootnoteReference"/>
          <w:rFonts w:ascii="Arial" w:eastAsia="Times New Roman" w:hAnsi="Arial" w:cs="Arial"/>
          <w:bCs/>
          <w:sz w:val="24"/>
          <w:szCs w:val="24"/>
          <w:lang w:val="en-GB"/>
        </w:rPr>
        <w:footnoteReference w:id="8"/>
      </w:r>
      <w:r w:rsidR="0043233F" w:rsidRPr="00811277">
        <w:rPr>
          <w:rFonts w:ascii="Arial" w:eastAsia="Times New Roman" w:hAnsi="Arial" w:cs="Arial"/>
          <w:bCs/>
          <w:sz w:val="24"/>
          <w:szCs w:val="24"/>
          <w:lang w:val="en-GB"/>
        </w:rPr>
        <w:t xml:space="preserve"> </w:t>
      </w:r>
      <w:r w:rsidR="008E6BB7" w:rsidRPr="00811277">
        <w:rPr>
          <w:rFonts w:ascii="Arial" w:eastAsia="Times New Roman" w:hAnsi="Arial" w:cs="Arial"/>
          <w:bCs/>
          <w:sz w:val="24"/>
          <w:szCs w:val="24"/>
          <w:lang w:val="en-GB"/>
        </w:rPr>
        <w:t>As tyre sizes varied from type to type and brand to brand</w:t>
      </w:r>
      <w:r w:rsidR="008E5D14" w:rsidRPr="00811277">
        <w:rPr>
          <w:rFonts w:ascii="Arial" w:eastAsia="Times New Roman" w:hAnsi="Arial" w:cs="Arial"/>
          <w:bCs/>
          <w:sz w:val="24"/>
          <w:szCs w:val="24"/>
          <w:lang w:val="en-GB"/>
        </w:rPr>
        <w:t>,</w:t>
      </w:r>
      <w:r w:rsidR="008E6BB7" w:rsidRPr="00811277">
        <w:rPr>
          <w:rFonts w:ascii="Arial" w:eastAsia="Times New Roman" w:hAnsi="Arial" w:cs="Arial"/>
          <w:bCs/>
          <w:sz w:val="24"/>
          <w:szCs w:val="24"/>
          <w:lang w:val="en-GB"/>
        </w:rPr>
        <w:t xml:space="preserve"> weights w</w:t>
      </w:r>
      <w:r w:rsidR="00A52715" w:rsidRPr="00811277">
        <w:rPr>
          <w:rFonts w:ascii="Arial" w:eastAsia="Times New Roman" w:hAnsi="Arial" w:cs="Arial"/>
          <w:bCs/>
          <w:sz w:val="24"/>
          <w:szCs w:val="24"/>
          <w:lang w:val="en-GB"/>
        </w:rPr>
        <w:t>ere to</w:t>
      </w:r>
      <w:r w:rsidR="008E6BB7" w:rsidRPr="00811277">
        <w:rPr>
          <w:rFonts w:ascii="Arial" w:eastAsia="Times New Roman" w:hAnsi="Arial" w:cs="Arial"/>
          <w:bCs/>
          <w:sz w:val="24"/>
          <w:szCs w:val="24"/>
          <w:lang w:val="en-GB"/>
        </w:rPr>
        <w:t xml:space="preserve"> be standardised, by size and type of tyre. </w:t>
      </w:r>
      <w:r w:rsidR="001B1D3F" w:rsidRPr="00811277">
        <w:rPr>
          <w:rFonts w:ascii="Arial" w:eastAsia="Times New Roman" w:hAnsi="Arial" w:cs="Arial"/>
          <w:bCs/>
          <w:sz w:val="24"/>
          <w:szCs w:val="24"/>
          <w:lang w:val="en-GB"/>
        </w:rPr>
        <w:t>Included in the f</w:t>
      </w:r>
      <w:r w:rsidR="00C47F7C" w:rsidRPr="00811277">
        <w:rPr>
          <w:rFonts w:ascii="Arial" w:eastAsia="Times New Roman" w:hAnsi="Arial" w:cs="Arial"/>
          <w:bCs/>
          <w:sz w:val="24"/>
          <w:szCs w:val="24"/>
          <w:lang w:val="en-GB"/>
        </w:rPr>
        <w:t xml:space="preserve">actors </w:t>
      </w:r>
      <w:r w:rsidR="00D84714" w:rsidRPr="00811277">
        <w:rPr>
          <w:rFonts w:ascii="Arial" w:eastAsia="Times New Roman" w:hAnsi="Arial" w:cs="Arial"/>
          <w:bCs/>
          <w:sz w:val="24"/>
          <w:szCs w:val="24"/>
          <w:lang w:val="en-GB"/>
        </w:rPr>
        <w:t xml:space="preserve">which </w:t>
      </w:r>
      <w:r w:rsidR="007A6A29" w:rsidRPr="00811277">
        <w:rPr>
          <w:rFonts w:ascii="Arial" w:eastAsia="Times New Roman" w:hAnsi="Arial" w:cs="Arial"/>
          <w:bCs/>
          <w:sz w:val="24"/>
          <w:szCs w:val="24"/>
          <w:lang w:val="en-GB"/>
        </w:rPr>
        <w:t xml:space="preserve">would </w:t>
      </w:r>
      <w:r w:rsidR="00C47F7C" w:rsidRPr="00811277">
        <w:rPr>
          <w:rFonts w:ascii="Arial" w:eastAsia="Times New Roman" w:hAnsi="Arial" w:cs="Arial"/>
          <w:bCs/>
          <w:sz w:val="24"/>
          <w:szCs w:val="24"/>
          <w:lang w:val="en-GB"/>
        </w:rPr>
        <w:t>determin</w:t>
      </w:r>
      <w:r w:rsidR="009003AF" w:rsidRPr="00811277">
        <w:rPr>
          <w:rFonts w:ascii="Arial" w:eastAsia="Times New Roman" w:hAnsi="Arial" w:cs="Arial"/>
          <w:bCs/>
          <w:sz w:val="24"/>
          <w:szCs w:val="24"/>
          <w:lang w:val="en-GB"/>
        </w:rPr>
        <w:t>e</w:t>
      </w:r>
      <w:r w:rsidR="00950249" w:rsidRPr="00811277">
        <w:rPr>
          <w:rFonts w:ascii="Arial" w:eastAsia="Times New Roman" w:hAnsi="Arial" w:cs="Arial"/>
          <w:bCs/>
          <w:sz w:val="24"/>
          <w:szCs w:val="24"/>
          <w:lang w:val="en-GB"/>
        </w:rPr>
        <w:t xml:space="preserve"> </w:t>
      </w:r>
      <w:r w:rsidR="00C47F7C" w:rsidRPr="00811277">
        <w:rPr>
          <w:rFonts w:ascii="Arial" w:eastAsia="Times New Roman" w:hAnsi="Arial" w:cs="Arial"/>
          <w:bCs/>
          <w:sz w:val="24"/>
          <w:szCs w:val="24"/>
          <w:lang w:val="en-GB"/>
        </w:rPr>
        <w:t xml:space="preserve">the </w:t>
      </w:r>
      <w:r w:rsidR="008E6BB7" w:rsidRPr="00811277">
        <w:rPr>
          <w:rFonts w:ascii="Arial" w:eastAsia="Times New Roman" w:hAnsi="Arial" w:cs="Arial"/>
          <w:bCs/>
          <w:sz w:val="24"/>
          <w:szCs w:val="24"/>
          <w:lang w:val="en-GB"/>
        </w:rPr>
        <w:t xml:space="preserve">Rand-per-kilogram </w:t>
      </w:r>
      <w:r w:rsidR="00C47F7C" w:rsidRPr="00811277">
        <w:rPr>
          <w:rFonts w:ascii="Arial" w:eastAsia="Times New Roman" w:hAnsi="Arial" w:cs="Arial"/>
          <w:bCs/>
          <w:sz w:val="24"/>
          <w:szCs w:val="24"/>
          <w:lang w:val="en-GB"/>
        </w:rPr>
        <w:t xml:space="preserve">cost </w:t>
      </w:r>
      <w:r w:rsidR="001B1D3F" w:rsidRPr="00811277">
        <w:rPr>
          <w:rFonts w:ascii="Arial" w:eastAsia="Times New Roman" w:hAnsi="Arial" w:cs="Arial"/>
          <w:bCs/>
          <w:sz w:val="24"/>
          <w:szCs w:val="24"/>
          <w:lang w:val="en-GB"/>
        </w:rPr>
        <w:t>were</w:t>
      </w:r>
      <w:r w:rsidR="00A52715" w:rsidRPr="00811277">
        <w:rPr>
          <w:rFonts w:ascii="Arial" w:eastAsia="Times New Roman" w:hAnsi="Arial" w:cs="Arial"/>
          <w:bCs/>
          <w:sz w:val="24"/>
          <w:szCs w:val="24"/>
          <w:lang w:val="en-GB"/>
        </w:rPr>
        <w:t xml:space="preserve"> </w:t>
      </w:r>
      <w:r w:rsidR="008E6BB7" w:rsidRPr="00811277">
        <w:rPr>
          <w:rFonts w:ascii="Arial" w:eastAsia="Times New Roman" w:hAnsi="Arial" w:cs="Arial"/>
          <w:bCs/>
          <w:sz w:val="24"/>
          <w:szCs w:val="24"/>
          <w:lang w:val="en-GB"/>
        </w:rPr>
        <w:t xml:space="preserve">1) </w:t>
      </w:r>
      <w:r w:rsidR="00C47F7C" w:rsidRPr="00811277">
        <w:rPr>
          <w:rFonts w:ascii="Arial" w:eastAsia="Times New Roman" w:hAnsi="Arial" w:cs="Arial"/>
          <w:bCs/>
          <w:sz w:val="24"/>
          <w:szCs w:val="24"/>
          <w:lang w:val="en-GB"/>
        </w:rPr>
        <w:t>collection and transportation</w:t>
      </w:r>
      <w:r w:rsidR="008E6BB7" w:rsidRPr="00811277">
        <w:rPr>
          <w:rFonts w:ascii="Arial" w:eastAsia="Times New Roman" w:hAnsi="Arial" w:cs="Arial"/>
          <w:bCs/>
          <w:sz w:val="24"/>
          <w:szCs w:val="24"/>
          <w:lang w:val="en-GB"/>
        </w:rPr>
        <w:t xml:space="preserve"> </w:t>
      </w:r>
      <w:r w:rsidR="008038DB" w:rsidRPr="00811277">
        <w:rPr>
          <w:rFonts w:ascii="Arial" w:eastAsia="Times New Roman" w:hAnsi="Arial" w:cs="Arial"/>
          <w:bCs/>
          <w:sz w:val="24"/>
          <w:szCs w:val="24"/>
          <w:lang w:val="en-GB"/>
        </w:rPr>
        <w:t xml:space="preserve">costs </w:t>
      </w:r>
      <w:r w:rsidR="008E6BB7" w:rsidRPr="00811277">
        <w:rPr>
          <w:rFonts w:ascii="Arial" w:eastAsia="Times New Roman" w:hAnsi="Arial" w:cs="Arial"/>
          <w:bCs/>
          <w:sz w:val="24"/>
          <w:szCs w:val="24"/>
          <w:lang w:val="en-GB"/>
        </w:rPr>
        <w:t xml:space="preserve">2) </w:t>
      </w:r>
      <w:r w:rsidR="00C47F7C" w:rsidRPr="00811277">
        <w:rPr>
          <w:rFonts w:ascii="Arial" w:eastAsia="Times New Roman" w:hAnsi="Arial" w:cs="Arial"/>
          <w:bCs/>
          <w:sz w:val="24"/>
          <w:szCs w:val="24"/>
          <w:lang w:val="en-GB"/>
        </w:rPr>
        <w:t xml:space="preserve">storage, handling and processing </w:t>
      </w:r>
      <w:r w:rsidR="008038DB" w:rsidRPr="00811277">
        <w:rPr>
          <w:rFonts w:ascii="Arial" w:eastAsia="Times New Roman" w:hAnsi="Arial" w:cs="Arial"/>
          <w:bCs/>
          <w:sz w:val="24"/>
          <w:szCs w:val="24"/>
          <w:lang w:val="en-GB"/>
        </w:rPr>
        <w:t xml:space="preserve">costs and </w:t>
      </w:r>
      <w:r w:rsidR="008E6BB7" w:rsidRPr="00811277">
        <w:rPr>
          <w:rFonts w:ascii="Arial" w:eastAsia="Times New Roman" w:hAnsi="Arial" w:cs="Arial"/>
          <w:bCs/>
          <w:sz w:val="24"/>
          <w:szCs w:val="24"/>
          <w:lang w:val="en-GB"/>
        </w:rPr>
        <w:t>3)</w:t>
      </w:r>
      <w:r w:rsidR="00A85603" w:rsidRPr="00811277">
        <w:rPr>
          <w:rFonts w:ascii="Arial" w:eastAsia="Times New Roman" w:hAnsi="Arial" w:cs="Arial"/>
          <w:bCs/>
          <w:sz w:val="24"/>
          <w:szCs w:val="24"/>
          <w:lang w:val="en-GB"/>
        </w:rPr>
        <w:t xml:space="preserve"> </w:t>
      </w:r>
      <w:r w:rsidR="00C47F7C" w:rsidRPr="00811277">
        <w:rPr>
          <w:rFonts w:ascii="Arial" w:eastAsia="Times New Roman" w:hAnsi="Arial" w:cs="Arial"/>
          <w:bCs/>
          <w:sz w:val="24"/>
          <w:szCs w:val="24"/>
          <w:lang w:val="en-GB"/>
        </w:rPr>
        <w:t>administration, management</w:t>
      </w:r>
      <w:r w:rsidR="00A52715" w:rsidRPr="00811277">
        <w:rPr>
          <w:rFonts w:ascii="Arial" w:eastAsia="Times New Roman" w:hAnsi="Arial" w:cs="Arial"/>
          <w:bCs/>
          <w:sz w:val="24"/>
          <w:szCs w:val="24"/>
          <w:lang w:val="en-GB"/>
        </w:rPr>
        <w:t>,</w:t>
      </w:r>
      <w:r w:rsidR="00C47F7C" w:rsidRPr="00811277">
        <w:rPr>
          <w:rFonts w:ascii="Arial" w:eastAsia="Times New Roman" w:hAnsi="Arial" w:cs="Arial"/>
          <w:bCs/>
          <w:sz w:val="24"/>
          <w:szCs w:val="24"/>
          <w:lang w:val="en-GB"/>
        </w:rPr>
        <w:t xml:space="preserve"> advertising</w:t>
      </w:r>
      <w:r w:rsidR="0017596A" w:rsidRPr="00811277">
        <w:rPr>
          <w:rFonts w:ascii="Arial" w:eastAsia="Times New Roman" w:hAnsi="Arial" w:cs="Arial"/>
          <w:bCs/>
          <w:sz w:val="24"/>
          <w:szCs w:val="24"/>
          <w:lang w:val="en-GB"/>
        </w:rPr>
        <w:t>,</w:t>
      </w:r>
      <w:r w:rsidR="00C47F7C" w:rsidRPr="00811277">
        <w:rPr>
          <w:rFonts w:ascii="Arial" w:eastAsia="Times New Roman" w:hAnsi="Arial" w:cs="Arial"/>
          <w:bCs/>
          <w:sz w:val="24"/>
          <w:szCs w:val="24"/>
          <w:lang w:val="en-GB"/>
        </w:rPr>
        <w:t xml:space="preserve"> and </w:t>
      </w:r>
      <w:r w:rsidR="00A85603" w:rsidRPr="00811277">
        <w:rPr>
          <w:rFonts w:ascii="Arial" w:eastAsia="Times New Roman" w:hAnsi="Arial" w:cs="Arial"/>
          <w:bCs/>
          <w:sz w:val="24"/>
          <w:szCs w:val="24"/>
          <w:lang w:val="en-GB"/>
        </w:rPr>
        <w:t>marketing</w:t>
      </w:r>
      <w:r w:rsidR="00C47F7C" w:rsidRPr="00811277">
        <w:rPr>
          <w:rFonts w:ascii="Arial" w:eastAsia="Times New Roman" w:hAnsi="Arial" w:cs="Arial"/>
          <w:bCs/>
          <w:sz w:val="24"/>
          <w:szCs w:val="24"/>
          <w:lang w:val="en-GB"/>
        </w:rPr>
        <w:t xml:space="preserve"> costs. </w:t>
      </w:r>
      <w:r w:rsidR="001B1D3F" w:rsidRPr="00811277">
        <w:rPr>
          <w:rFonts w:ascii="Arial" w:eastAsia="Times New Roman" w:hAnsi="Arial" w:cs="Arial"/>
          <w:bCs/>
          <w:sz w:val="24"/>
          <w:szCs w:val="24"/>
          <w:lang w:val="en-GB"/>
        </w:rPr>
        <w:t>T</w:t>
      </w:r>
      <w:r w:rsidR="00F47B0B" w:rsidRPr="00811277">
        <w:rPr>
          <w:rFonts w:ascii="Arial" w:eastAsia="Times New Roman" w:hAnsi="Arial" w:cs="Arial"/>
          <w:bCs/>
          <w:sz w:val="24"/>
          <w:szCs w:val="24"/>
          <w:lang w:val="en-GB"/>
        </w:rPr>
        <w:t>he bulk of the</w:t>
      </w:r>
      <w:r w:rsidR="00A85603" w:rsidRPr="00811277">
        <w:rPr>
          <w:rFonts w:ascii="Arial" w:eastAsia="Times New Roman" w:hAnsi="Arial" w:cs="Arial"/>
          <w:bCs/>
          <w:sz w:val="24"/>
          <w:szCs w:val="24"/>
          <w:lang w:val="en-GB"/>
        </w:rPr>
        <w:t>se</w:t>
      </w:r>
      <w:r w:rsidR="00F47B0B" w:rsidRPr="00811277">
        <w:rPr>
          <w:rFonts w:ascii="Arial" w:eastAsia="Times New Roman" w:hAnsi="Arial" w:cs="Arial"/>
          <w:bCs/>
          <w:sz w:val="24"/>
          <w:szCs w:val="24"/>
          <w:lang w:val="en-GB"/>
        </w:rPr>
        <w:t xml:space="preserve"> </w:t>
      </w:r>
      <w:r w:rsidR="009003AF" w:rsidRPr="00811277">
        <w:rPr>
          <w:rFonts w:ascii="Arial" w:eastAsia="Times New Roman" w:hAnsi="Arial" w:cs="Arial"/>
          <w:bCs/>
          <w:sz w:val="24"/>
          <w:szCs w:val="24"/>
          <w:lang w:val="en-GB"/>
        </w:rPr>
        <w:t>costs, some</w:t>
      </w:r>
      <w:r w:rsidR="00F47B0B" w:rsidRPr="00811277">
        <w:rPr>
          <w:rFonts w:ascii="Arial" w:eastAsia="Times New Roman" w:hAnsi="Arial" w:cs="Arial"/>
          <w:bCs/>
          <w:sz w:val="24"/>
          <w:szCs w:val="24"/>
          <w:lang w:val="en-GB"/>
        </w:rPr>
        <w:t xml:space="preserve"> </w:t>
      </w:r>
      <w:r w:rsidR="00E55871" w:rsidRPr="00811277">
        <w:rPr>
          <w:rFonts w:ascii="Arial" w:eastAsia="Times New Roman" w:hAnsi="Arial" w:cs="Arial"/>
          <w:bCs/>
          <w:sz w:val="24"/>
          <w:szCs w:val="24"/>
          <w:lang w:val="en-GB"/>
        </w:rPr>
        <w:t>38</w:t>
      </w:r>
      <w:r w:rsidR="00F47B0B" w:rsidRPr="00811277">
        <w:rPr>
          <w:rFonts w:ascii="Arial" w:eastAsia="Times New Roman" w:hAnsi="Arial" w:cs="Arial"/>
          <w:bCs/>
          <w:sz w:val="24"/>
          <w:szCs w:val="24"/>
          <w:lang w:val="en-GB"/>
        </w:rPr>
        <w:t>%</w:t>
      </w:r>
      <w:r w:rsidR="00E55871" w:rsidRPr="00811277">
        <w:rPr>
          <w:rFonts w:ascii="Arial" w:eastAsia="Times New Roman" w:hAnsi="Arial" w:cs="Arial"/>
          <w:bCs/>
          <w:sz w:val="24"/>
          <w:szCs w:val="24"/>
          <w:lang w:val="en-GB"/>
        </w:rPr>
        <w:t>,</w:t>
      </w:r>
      <w:r w:rsidR="00F47B0B" w:rsidRPr="00811277">
        <w:rPr>
          <w:rFonts w:ascii="Arial" w:eastAsia="Times New Roman" w:hAnsi="Arial" w:cs="Arial"/>
          <w:bCs/>
          <w:sz w:val="24"/>
          <w:szCs w:val="24"/>
          <w:lang w:val="en-GB"/>
        </w:rPr>
        <w:t xml:space="preserve"> would </w:t>
      </w:r>
      <w:r w:rsidR="00A52715" w:rsidRPr="00811277">
        <w:rPr>
          <w:rFonts w:ascii="Arial" w:eastAsia="Times New Roman" w:hAnsi="Arial" w:cs="Arial"/>
          <w:bCs/>
          <w:sz w:val="24"/>
          <w:szCs w:val="24"/>
          <w:lang w:val="en-GB"/>
        </w:rPr>
        <w:t>be for</w:t>
      </w:r>
      <w:r w:rsidR="00F47B0B" w:rsidRPr="00811277">
        <w:rPr>
          <w:rFonts w:ascii="Arial" w:eastAsia="Times New Roman" w:hAnsi="Arial" w:cs="Arial"/>
          <w:bCs/>
          <w:sz w:val="24"/>
          <w:szCs w:val="24"/>
          <w:lang w:val="en-GB"/>
        </w:rPr>
        <w:t xml:space="preserve"> transportation, with administrat</w:t>
      </w:r>
      <w:r w:rsidR="00D6140C" w:rsidRPr="00811277">
        <w:rPr>
          <w:rFonts w:ascii="Arial" w:eastAsia="Times New Roman" w:hAnsi="Arial" w:cs="Arial"/>
          <w:bCs/>
          <w:sz w:val="24"/>
          <w:szCs w:val="24"/>
          <w:lang w:val="en-GB"/>
        </w:rPr>
        <w:t>ion</w:t>
      </w:r>
      <w:r w:rsidR="00F47B0B" w:rsidRPr="00811277">
        <w:rPr>
          <w:rFonts w:ascii="Arial" w:eastAsia="Times New Roman" w:hAnsi="Arial" w:cs="Arial"/>
          <w:bCs/>
          <w:sz w:val="24"/>
          <w:szCs w:val="24"/>
          <w:lang w:val="en-GB"/>
        </w:rPr>
        <w:t xml:space="preserve"> and depot</w:t>
      </w:r>
      <w:r w:rsidR="00D61948" w:rsidRPr="00811277">
        <w:rPr>
          <w:rFonts w:ascii="Arial" w:eastAsia="Times New Roman" w:hAnsi="Arial" w:cs="Arial"/>
          <w:bCs/>
          <w:sz w:val="24"/>
          <w:szCs w:val="24"/>
          <w:lang w:val="en-GB"/>
        </w:rPr>
        <w:t>/storage</w:t>
      </w:r>
      <w:r w:rsidR="00F47B0B" w:rsidRPr="00811277">
        <w:rPr>
          <w:rFonts w:ascii="Arial" w:eastAsia="Times New Roman" w:hAnsi="Arial" w:cs="Arial"/>
          <w:bCs/>
          <w:sz w:val="24"/>
          <w:szCs w:val="24"/>
          <w:lang w:val="en-GB"/>
        </w:rPr>
        <w:t xml:space="preserve"> costs anticipated to each come in at half of that i.e. 20%.</w:t>
      </w:r>
      <w:r w:rsidR="00F47B0B">
        <w:rPr>
          <w:rStyle w:val="FootnoteReference"/>
          <w:rFonts w:ascii="Arial" w:eastAsia="Times New Roman" w:hAnsi="Arial" w:cs="Arial"/>
          <w:bCs/>
          <w:sz w:val="24"/>
          <w:szCs w:val="24"/>
          <w:lang w:val="en-GB"/>
        </w:rPr>
        <w:footnoteReference w:id="9"/>
      </w:r>
    </w:p>
    <w:p w14:paraId="2F21FEF7" w14:textId="58A9C894" w:rsidR="003B4ABF" w:rsidRPr="00811277" w:rsidRDefault="00811277" w:rsidP="00811277">
      <w:pPr>
        <w:spacing w:line="360" w:lineRule="auto"/>
        <w:ind w:left="720" w:hanging="720"/>
        <w:jc w:val="both"/>
        <w:rPr>
          <w:rFonts w:ascii="Arial" w:eastAsia="Times New Roman" w:hAnsi="Arial" w:cs="Arial"/>
          <w:bCs/>
          <w:sz w:val="24"/>
          <w:szCs w:val="24"/>
          <w:lang w:val="en-GB"/>
        </w:rPr>
      </w:pPr>
      <w:r w:rsidRPr="00BA6EC3">
        <w:rPr>
          <w:rFonts w:ascii="Arial" w:eastAsia="Times New Roman" w:hAnsi="Arial" w:cs="Arial"/>
          <w:bCs/>
          <w:kern w:val="0"/>
          <w:sz w:val="24"/>
          <w:szCs w:val="24"/>
          <w:lang w:val="en-GB"/>
          <w14:ligatures w14:val="none"/>
        </w:rPr>
        <w:t>10.</w:t>
      </w:r>
      <w:r w:rsidRPr="00BA6EC3">
        <w:rPr>
          <w:rFonts w:ascii="Arial" w:eastAsia="Times New Roman" w:hAnsi="Arial" w:cs="Arial"/>
          <w:bCs/>
          <w:kern w:val="0"/>
          <w:sz w:val="24"/>
          <w:szCs w:val="24"/>
          <w:lang w:val="en-GB"/>
          <w14:ligatures w14:val="none"/>
        </w:rPr>
        <w:tab/>
      </w:r>
      <w:r w:rsidR="008D4940" w:rsidRPr="00811277">
        <w:rPr>
          <w:rFonts w:ascii="Arial" w:eastAsia="Times New Roman" w:hAnsi="Arial" w:cs="Arial"/>
          <w:bCs/>
          <w:sz w:val="24"/>
          <w:szCs w:val="24"/>
          <w:lang w:val="en-GB"/>
        </w:rPr>
        <w:t>T</w:t>
      </w:r>
      <w:r w:rsidR="0043233F" w:rsidRPr="00811277">
        <w:rPr>
          <w:rFonts w:ascii="Arial" w:eastAsia="Times New Roman" w:hAnsi="Arial" w:cs="Arial"/>
          <w:bCs/>
          <w:sz w:val="24"/>
          <w:szCs w:val="24"/>
          <w:lang w:val="en-GB"/>
        </w:rPr>
        <w:t xml:space="preserve">he </w:t>
      </w:r>
      <w:r w:rsidR="00A52715" w:rsidRPr="00811277">
        <w:rPr>
          <w:rFonts w:ascii="Arial" w:eastAsia="Times New Roman" w:hAnsi="Arial" w:cs="Arial"/>
          <w:bCs/>
          <w:sz w:val="24"/>
          <w:szCs w:val="24"/>
          <w:lang w:val="en-GB"/>
        </w:rPr>
        <w:t>waste tyre management fee</w:t>
      </w:r>
      <w:r w:rsidR="0043233F" w:rsidRPr="00811277">
        <w:rPr>
          <w:rFonts w:ascii="Arial" w:eastAsia="Times New Roman" w:hAnsi="Arial" w:cs="Arial"/>
          <w:bCs/>
          <w:sz w:val="24"/>
          <w:szCs w:val="24"/>
          <w:lang w:val="en-GB"/>
        </w:rPr>
        <w:t xml:space="preserve"> </w:t>
      </w:r>
      <w:r w:rsidR="004B5D73" w:rsidRPr="00811277">
        <w:rPr>
          <w:rFonts w:ascii="Arial" w:eastAsia="Times New Roman" w:hAnsi="Arial" w:cs="Arial"/>
          <w:bCs/>
          <w:sz w:val="24"/>
          <w:szCs w:val="24"/>
          <w:lang w:val="en-GB"/>
        </w:rPr>
        <w:t>was</w:t>
      </w:r>
      <w:r w:rsidR="0043233F" w:rsidRPr="00811277">
        <w:rPr>
          <w:rFonts w:ascii="Arial" w:eastAsia="Times New Roman" w:hAnsi="Arial" w:cs="Arial"/>
          <w:bCs/>
          <w:sz w:val="24"/>
          <w:szCs w:val="24"/>
          <w:lang w:val="en-GB"/>
        </w:rPr>
        <w:t xml:space="preserve"> </w:t>
      </w:r>
      <w:r w:rsidR="008E6BB7" w:rsidRPr="00811277">
        <w:rPr>
          <w:rFonts w:ascii="Arial" w:eastAsia="Times New Roman" w:hAnsi="Arial" w:cs="Arial"/>
          <w:bCs/>
          <w:sz w:val="24"/>
          <w:szCs w:val="24"/>
          <w:lang w:val="en-GB"/>
        </w:rPr>
        <w:t>‘</w:t>
      </w:r>
      <w:r w:rsidR="0043233F" w:rsidRPr="00811277">
        <w:rPr>
          <w:rFonts w:ascii="Arial" w:eastAsia="Times New Roman" w:hAnsi="Arial" w:cs="Arial"/>
          <w:bCs/>
          <w:sz w:val="24"/>
          <w:szCs w:val="24"/>
          <w:lang w:val="en-GB"/>
        </w:rPr>
        <w:t>estimated</w:t>
      </w:r>
      <w:r w:rsidR="008E6BB7" w:rsidRPr="00811277">
        <w:rPr>
          <w:rFonts w:ascii="Arial" w:eastAsia="Times New Roman" w:hAnsi="Arial" w:cs="Arial"/>
          <w:bCs/>
          <w:sz w:val="24"/>
          <w:szCs w:val="24"/>
          <w:lang w:val="en-GB"/>
        </w:rPr>
        <w:t>’</w:t>
      </w:r>
      <w:r w:rsidR="0043233F" w:rsidRPr="00811277">
        <w:rPr>
          <w:rFonts w:ascii="Arial" w:eastAsia="Times New Roman" w:hAnsi="Arial" w:cs="Arial"/>
          <w:bCs/>
          <w:sz w:val="24"/>
          <w:szCs w:val="24"/>
          <w:lang w:val="en-GB"/>
        </w:rPr>
        <w:t xml:space="preserve"> on </w:t>
      </w:r>
      <w:r w:rsidR="00674B84" w:rsidRPr="00811277">
        <w:rPr>
          <w:rFonts w:ascii="Arial" w:eastAsia="Times New Roman" w:hAnsi="Arial" w:cs="Arial"/>
          <w:bCs/>
          <w:sz w:val="24"/>
          <w:szCs w:val="24"/>
          <w:lang w:val="en-GB"/>
        </w:rPr>
        <w:t xml:space="preserve">the basis of </w:t>
      </w:r>
      <w:r w:rsidR="0043233F" w:rsidRPr="00811277">
        <w:rPr>
          <w:rFonts w:ascii="Arial" w:eastAsia="Times New Roman" w:hAnsi="Arial" w:cs="Arial"/>
          <w:bCs/>
          <w:sz w:val="24"/>
          <w:szCs w:val="24"/>
          <w:lang w:val="en-GB"/>
        </w:rPr>
        <w:t>a ‘</w:t>
      </w:r>
      <w:r w:rsidR="003B4ABF" w:rsidRPr="00811277">
        <w:rPr>
          <w:rFonts w:ascii="Arial" w:eastAsia="Times New Roman" w:hAnsi="Arial" w:cs="Arial"/>
          <w:bCs/>
          <w:sz w:val="24"/>
          <w:szCs w:val="24"/>
          <w:lang w:val="en-GB"/>
        </w:rPr>
        <w:t>steady state</w:t>
      </w:r>
      <w:r w:rsidR="0043233F" w:rsidRPr="00811277">
        <w:rPr>
          <w:rFonts w:ascii="Arial" w:eastAsia="Times New Roman" w:hAnsi="Arial" w:cs="Arial"/>
          <w:bCs/>
          <w:sz w:val="24"/>
          <w:szCs w:val="24"/>
          <w:lang w:val="en-GB"/>
        </w:rPr>
        <w:t xml:space="preserve"> amount</w:t>
      </w:r>
      <w:r w:rsidR="008E6BB7" w:rsidRPr="00811277">
        <w:rPr>
          <w:rFonts w:ascii="Arial" w:eastAsia="Times New Roman" w:hAnsi="Arial" w:cs="Arial"/>
          <w:bCs/>
          <w:sz w:val="24"/>
          <w:szCs w:val="24"/>
          <w:lang w:val="en-GB"/>
        </w:rPr>
        <w:t>’</w:t>
      </w:r>
      <w:r w:rsidR="0043233F" w:rsidRPr="00811277">
        <w:rPr>
          <w:rFonts w:ascii="Arial" w:eastAsia="Times New Roman" w:hAnsi="Arial" w:cs="Arial"/>
          <w:bCs/>
          <w:sz w:val="24"/>
          <w:szCs w:val="24"/>
          <w:lang w:val="en-GB"/>
        </w:rPr>
        <w:t xml:space="preserve"> (</w:t>
      </w:r>
      <w:r w:rsidR="00420430" w:rsidRPr="00811277">
        <w:rPr>
          <w:rFonts w:ascii="Arial" w:eastAsia="Times New Roman" w:hAnsi="Arial" w:cs="Arial"/>
          <w:bCs/>
          <w:sz w:val="24"/>
          <w:szCs w:val="24"/>
          <w:lang w:val="en-GB"/>
        </w:rPr>
        <w:t>sic) needed</w:t>
      </w:r>
      <w:r w:rsidR="0043233F" w:rsidRPr="00811277">
        <w:rPr>
          <w:rFonts w:ascii="Arial" w:eastAsia="Times New Roman" w:hAnsi="Arial" w:cs="Arial"/>
          <w:bCs/>
          <w:sz w:val="24"/>
          <w:szCs w:val="24"/>
          <w:lang w:val="en-GB"/>
        </w:rPr>
        <w:t xml:space="preserve"> to operate the plan</w:t>
      </w:r>
      <w:r w:rsidR="003B4ABF" w:rsidRPr="00811277">
        <w:rPr>
          <w:rFonts w:ascii="Arial" w:eastAsia="Times New Roman" w:hAnsi="Arial" w:cs="Arial"/>
          <w:bCs/>
          <w:sz w:val="24"/>
          <w:szCs w:val="24"/>
          <w:lang w:val="en-GB"/>
        </w:rPr>
        <w:t>,</w:t>
      </w:r>
      <w:r w:rsidR="0043233F" w:rsidRPr="00811277">
        <w:rPr>
          <w:rFonts w:ascii="Arial" w:eastAsia="Times New Roman" w:hAnsi="Arial" w:cs="Arial"/>
          <w:bCs/>
          <w:sz w:val="24"/>
          <w:szCs w:val="24"/>
          <w:lang w:val="en-GB"/>
        </w:rPr>
        <w:t xml:space="preserve"> once the necessary systems and infrastructure w</w:t>
      </w:r>
      <w:r w:rsidR="004F67F0" w:rsidRPr="00811277">
        <w:rPr>
          <w:rFonts w:ascii="Arial" w:eastAsia="Times New Roman" w:hAnsi="Arial" w:cs="Arial"/>
          <w:bCs/>
          <w:sz w:val="24"/>
          <w:szCs w:val="24"/>
          <w:lang w:val="en-GB"/>
        </w:rPr>
        <w:t>as</w:t>
      </w:r>
      <w:r w:rsidR="0043233F" w:rsidRPr="00811277">
        <w:rPr>
          <w:rFonts w:ascii="Arial" w:eastAsia="Times New Roman" w:hAnsi="Arial" w:cs="Arial"/>
          <w:bCs/>
          <w:sz w:val="24"/>
          <w:szCs w:val="24"/>
          <w:lang w:val="en-GB"/>
        </w:rPr>
        <w:t xml:space="preserve"> in place.</w:t>
      </w:r>
      <w:r w:rsidR="008E6BB7">
        <w:rPr>
          <w:rStyle w:val="FootnoteReference"/>
          <w:rFonts w:ascii="Arial" w:eastAsia="Times New Roman" w:hAnsi="Arial" w:cs="Arial"/>
          <w:bCs/>
          <w:sz w:val="24"/>
          <w:szCs w:val="24"/>
          <w:lang w:val="en-GB"/>
        </w:rPr>
        <w:footnoteReference w:id="10"/>
      </w:r>
      <w:r w:rsidR="0043233F" w:rsidRPr="00811277">
        <w:rPr>
          <w:rFonts w:ascii="Arial" w:eastAsia="Times New Roman" w:hAnsi="Arial" w:cs="Arial"/>
          <w:bCs/>
          <w:sz w:val="24"/>
          <w:szCs w:val="24"/>
          <w:lang w:val="en-GB"/>
        </w:rPr>
        <w:t xml:space="preserve"> </w:t>
      </w:r>
      <w:r w:rsidR="002B2990" w:rsidRPr="00811277">
        <w:rPr>
          <w:rFonts w:ascii="Arial" w:eastAsia="Times New Roman" w:hAnsi="Arial" w:cs="Arial"/>
          <w:bCs/>
          <w:sz w:val="24"/>
          <w:szCs w:val="24"/>
          <w:lang w:val="en-GB"/>
        </w:rPr>
        <w:t>It was expected that i</w:t>
      </w:r>
      <w:r w:rsidR="0043233F" w:rsidRPr="00811277">
        <w:rPr>
          <w:rFonts w:ascii="Arial" w:eastAsia="Times New Roman" w:hAnsi="Arial" w:cs="Arial"/>
          <w:bCs/>
          <w:sz w:val="24"/>
          <w:szCs w:val="24"/>
          <w:lang w:val="en-GB"/>
        </w:rPr>
        <w:t xml:space="preserve">n the initial years there would be an over-recovery </w:t>
      </w:r>
      <w:r w:rsidR="003B4ABF" w:rsidRPr="00811277">
        <w:rPr>
          <w:rFonts w:ascii="Arial" w:eastAsia="Times New Roman" w:hAnsi="Arial" w:cs="Arial"/>
          <w:bCs/>
          <w:sz w:val="24"/>
          <w:szCs w:val="24"/>
          <w:lang w:val="en-GB"/>
        </w:rPr>
        <w:t>as the</w:t>
      </w:r>
      <w:r w:rsidR="0043233F" w:rsidRPr="00811277">
        <w:rPr>
          <w:rFonts w:ascii="Arial" w:eastAsia="Times New Roman" w:hAnsi="Arial" w:cs="Arial"/>
          <w:bCs/>
          <w:sz w:val="24"/>
          <w:szCs w:val="24"/>
          <w:lang w:val="en-GB"/>
        </w:rPr>
        <w:t xml:space="preserve"> number of depots, transporters and process</w:t>
      </w:r>
      <w:r w:rsidR="003B4ABF" w:rsidRPr="00811277">
        <w:rPr>
          <w:rFonts w:ascii="Arial" w:eastAsia="Times New Roman" w:hAnsi="Arial" w:cs="Arial"/>
          <w:bCs/>
          <w:sz w:val="24"/>
          <w:szCs w:val="24"/>
          <w:lang w:val="en-GB"/>
        </w:rPr>
        <w:t>ors</w:t>
      </w:r>
      <w:r w:rsidR="0043233F" w:rsidRPr="00811277">
        <w:rPr>
          <w:rFonts w:ascii="Arial" w:eastAsia="Times New Roman" w:hAnsi="Arial" w:cs="Arial"/>
          <w:bCs/>
          <w:sz w:val="24"/>
          <w:szCs w:val="24"/>
          <w:lang w:val="en-GB"/>
        </w:rPr>
        <w:t xml:space="preserve"> would be less th</w:t>
      </w:r>
      <w:r w:rsidR="003B4ABF" w:rsidRPr="00811277">
        <w:rPr>
          <w:rFonts w:ascii="Arial" w:eastAsia="Times New Roman" w:hAnsi="Arial" w:cs="Arial"/>
          <w:bCs/>
          <w:sz w:val="24"/>
          <w:szCs w:val="24"/>
          <w:lang w:val="en-GB"/>
        </w:rPr>
        <w:t>a</w:t>
      </w:r>
      <w:r w:rsidR="0043233F" w:rsidRPr="00811277">
        <w:rPr>
          <w:rFonts w:ascii="Arial" w:eastAsia="Times New Roman" w:hAnsi="Arial" w:cs="Arial"/>
          <w:bCs/>
          <w:sz w:val="24"/>
          <w:szCs w:val="24"/>
          <w:lang w:val="en-GB"/>
        </w:rPr>
        <w:t xml:space="preserve">n the </w:t>
      </w:r>
      <w:r w:rsidR="003B4ABF" w:rsidRPr="00811277">
        <w:rPr>
          <w:rFonts w:ascii="Arial" w:eastAsia="Times New Roman" w:hAnsi="Arial" w:cs="Arial"/>
          <w:bCs/>
          <w:sz w:val="24"/>
          <w:szCs w:val="24"/>
          <w:lang w:val="en-GB"/>
        </w:rPr>
        <w:t>projected</w:t>
      </w:r>
      <w:r w:rsidR="0043233F" w:rsidRPr="00811277">
        <w:rPr>
          <w:rFonts w:ascii="Arial" w:eastAsia="Times New Roman" w:hAnsi="Arial" w:cs="Arial"/>
          <w:bCs/>
          <w:sz w:val="24"/>
          <w:szCs w:val="24"/>
          <w:lang w:val="en-GB"/>
        </w:rPr>
        <w:t xml:space="preserve"> final numbers. This ‘over-recovery’ would be accumulated as a reserve</w:t>
      </w:r>
      <w:r w:rsidR="003B4ABF" w:rsidRPr="00811277">
        <w:rPr>
          <w:rFonts w:ascii="Arial" w:eastAsia="Times New Roman" w:hAnsi="Arial" w:cs="Arial"/>
          <w:bCs/>
          <w:sz w:val="24"/>
          <w:szCs w:val="24"/>
          <w:lang w:val="en-GB"/>
        </w:rPr>
        <w:t xml:space="preserve"> which would be used to </w:t>
      </w:r>
      <w:r w:rsidR="0043233F" w:rsidRPr="00811277">
        <w:rPr>
          <w:rFonts w:ascii="Arial" w:eastAsia="Times New Roman" w:hAnsi="Arial" w:cs="Arial"/>
          <w:bCs/>
          <w:sz w:val="24"/>
          <w:szCs w:val="24"/>
          <w:lang w:val="en-GB"/>
        </w:rPr>
        <w:t xml:space="preserve">fund </w:t>
      </w:r>
      <w:r w:rsidR="000068DC" w:rsidRPr="00811277">
        <w:rPr>
          <w:rFonts w:ascii="Arial" w:eastAsia="Times New Roman" w:hAnsi="Arial" w:cs="Arial"/>
          <w:bCs/>
          <w:sz w:val="24"/>
          <w:szCs w:val="24"/>
          <w:lang w:val="en-GB"/>
        </w:rPr>
        <w:t xml:space="preserve">the </w:t>
      </w:r>
      <w:r w:rsidR="003B4ABF" w:rsidRPr="00811277">
        <w:rPr>
          <w:rFonts w:ascii="Arial" w:eastAsia="Times New Roman" w:hAnsi="Arial" w:cs="Arial"/>
          <w:bCs/>
          <w:sz w:val="24"/>
          <w:szCs w:val="24"/>
          <w:lang w:val="en-GB"/>
        </w:rPr>
        <w:t xml:space="preserve">initial </w:t>
      </w:r>
      <w:r w:rsidR="0043233F" w:rsidRPr="00811277">
        <w:rPr>
          <w:rFonts w:ascii="Arial" w:eastAsia="Times New Roman" w:hAnsi="Arial" w:cs="Arial"/>
          <w:bCs/>
          <w:sz w:val="24"/>
          <w:szCs w:val="24"/>
          <w:lang w:val="en-GB"/>
        </w:rPr>
        <w:t xml:space="preserve">establishment </w:t>
      </w:r>
      <w:r w:rsidR="003B4ABF" w:rsidRPr="00811277">
        <w:rPr>
          <w:rFonts w:ascii="Arial" w:eastAsia="Times New Roman" w:hAnsi="Arial" w:cs="Arial"/>
          <w:bCs/>
          <w:sz w:val="24"/>
          <w:szCs w:val="24"/>
          <w:lang w:val="en-GB"/>
        </w:rPr>
        <w:t xml:space="preserve">and </w:t>
      </w:r>
      <w:r w:rsidR="0043233F" w:rsidRPr="00811277">
        <w:rPr>
          <w:rFonts w:ascii="Arial" w:eastAsia="Times New Roman" w:hAnsi="Arial" w:cs="Arial"/>
          <w:bCs/>
          <w:sz w:val="24"/>
          <w:szCs w:val="24"/>
          <w:lang w:val="en-GB"/>
        </w:rPr>
        <w:t>set</w:t>
      </w:r>
      <w:r w:rsidR="003B4ABF" w:rsidRPr="00811277">
        <w:rPr>
          <w:rFonts w:ascii="Arial" w:eastAsia="Times New Roman" w:hAnsi="Arial" w:cs="Arial"/>
          <w:bCs/>
          <w:sz w:val="24"/>
          <w:szCs w:val="24"/>
          <w:lang w:val="en-GB"/>
        </w:rPr>
        <w:t>-</w:t>
      </w:r>
      <w:r w:rsidR="0043233F" w:rsidRPr="00811277">
        <w:rPr>
          <w:rFonts w:ascii="Arial" w:eastAsia="Times New Roman" w:hAnsi="Arial" w:cs="Arial"/>
          <w:bCs/>
          <w:sz w:val="24"/>
          <w:szCs w:val="24"/>
          <w:lang w:val="en-GB"/>
        </w:rPr>
        <w:t xml:space="preserve">up costs. </w:t>
      </w:r>
      <w:r w:rsidR="005F07BB" w:rsidRPr="00811277">
        <w:rPr>
          <w:rFonts w:ascii="Arial" w:eastAsia="Times New Roman" w:hAnsi="Arial" w:cs="Arial"/>
          <w:bCs/>
          <w:sz w:val="24"/>
          <w:szCs w:val="24"/>
          <w:lang w:val="en-GB"/>
        </w:rPr>
        <w:t>O</w:t>
      </w:r>
      <w:r w:rsidR="0043233F" w:rsidRPr="00811277">
        <w:rPr>
          <w:rFonts w:ascii="Arial" w:eastAsia="Times New Roman" w:hAnsi="Arial" w:cs="Arial"/>
          <w:bCs/>
          <w:sz w:val="24"/>
          <w:szCs w:val="24"/>
          <w:lang w:val="en-GB"/>
        </w:rPr>
        <w:t xml:space="preserve">perational costs </w:t>
      </w:r>
      <w:r w:rsidR="008E6BB7" w:rsidRPr="00811277">
        <w:rPr>
          <w:rFonts w:ascii="Arial" w:eastAsia="Times New Roman" w:hAnsi="Arial" w:cs="Arial"/>
          <w:bCs/>
          <w:sz w:val="24"/>
          <w:szCs w:val="24"/>
          <w:lang w:val="en-GB"/>
        </w:rPr>
        <w:t>for</w:t>
      </w:r>
      <w:r w:rsidR="0043233F" w:rsidRPr="00811277">
        <w:rPr>
          <w:rFonts w:ascii="Arial" w:eastAsia="Times New Roman" w:hAnsi="Arial" w:cs="Arial"/>
          <w:bCs/>
          <w:sz w:val="24"/>
          <w:szCs w:val="24"/>
          <w:lang w:val="en-GB"/>
        </w:rPr>
        <w:t xml:space="preserve"> the 1</w:t>
      </w:r>
      <w:r w:rsidR="0043233F" w:rsidRPr="00811277">
        <w:rPr>
          <w:rFonts w:ascii="Arial" w:eastAsia="Times New Roman" w:hAnsi="Arial" w:cs="Arial"/>
          <w:bCs/>
          <w:sz w:val="24"/>
          <w:szCs w:val="24"/>
          <w:vertAlign w:val="superscript"/>
          <w:lang w:val="en-GB"/>
        </w:rPr>
        <w:t>st</w:t>
      </w:r>
      <w:r w:rsidR="0043233F" w:rsidRPr="00811277">
        <w:rPr>
          <w:rFonts w:ascii="Arial" w:eastAsia="Times New Roman" w:hAnsi="Arial" w:cs="Arial"/>
          <w:bCs/>
          <w:sz w:val="24"/>
          <w:szCs w:val="24"/>
          <w:lang w:val="en-GB"/>
        </w:rPr>
        <w:t xml:space="preserve"> year </w:t>
      </w:r>
      <w:r w:rsidR="005F07BB" w:rsidRPr="00811277">
        <w:rPr>
          <w:rFonts w:ascii="Arial" w:eastAsia="Times New Roman" w:hAnsi="Arial" w:cs="Arial"/>
          <w:bCs/>
          <w:sz w:val="24"/>
          <w:szCs w:val="24"/>
          <w:lang w:val="en-GB"/>
        </w:rPr>
        <w:t>were estimated to</w:t>
      </w:r>
      <w:r w:rsidR="003B4ABF" w:rsidRPr="00811277">
        <w:rPr>
          <w:rFonts w:ascii="Arial" w:eastAsia="Times New Roman" w:hAnsi="Arial" w:cs="Arial"/>
          <w:bCs/>
          <w:sz w:val="24"/>
          <w:szCs w:val="24"/>
          <w:lang w:val="en-GB"/>
        </w:rPr>
        <w:t xml:space="preserve"> be</w:t>
      </w:r>
      <w:r w:rsidR="0043233F" w:rsidRPr="00811277">
        <w:rPr>
          <w:rFonts w:ascii="Arial" w:eastAsia="Times New Roman" w:hAnsi="Arial" w:cs="Arial"/>
          <w:bCs/>
          <w:sz w:val="24"/>
          <w:szCs w:val="24"/>
          <w:lang w:val="en-GB"/>
        </w:rPr>
        <w:t xml:space="preserve"> in the </w:t>
      </w:r>
      <w:r w:rsidR="0080487C" w:rsidRPr="00811277">
        <w:rPr>
          <w:rFonts w:ascii="Arial" w:eastAsia="Times New Roman" w:hAnsi="Arial" w:cs="Arial"/>
          <w:bCs/>
          <w:sz w:val="24"/>
          <w:szCs w:val="24"/>
          <w:lang w:val="en-GB"/>
        </w:rPr>
        <w:t>region</w:t>
      </w:r>
      <w:r w:rsidR="0043233F" w:rsidRPr="00811277">
        <w:rPr>
          <w:rFonts w:ascii="Arial" w:eastAsia="Times New Roman" w:hAnsi="Arial" w:cs="Arial"/>
          <w:bCs/>
          <w:sz w:val="24"/>
          <w:szCs w:val="24"/>
          <w:lang w:val="en-GB"/>
        </w:rPr>
        <w:t xml:space="preserve"> of approximately R 6</w:t>
      </w:r>
      <w:r w:rsidR="003B4ABF" w:rsidRPr="00811277">
        <w:rPr>
          <w:rFonts w:ascii="Arial" w:eastAsia="Times New Roman" w:hAnsi="Arial" w:cs="Arial"/>
          <w:bCs/>
          <w:sz w:val="24"/>
          <w:szCs w:val="24"/>
          <w:lang w:val="en-GB"/>
        </w:rPr>
        <w:t>2</w:t>
      </w:r>
      <w:r w:rsidR="0043233F" w:rsidRPr="00811277">
        <w:rPr>
          <w:rFonts w:ascii="Arial" w:eastAsia="Times New Roman" w:hAnsi="Arial" w:cs="Arial"/>
          <w:bCs/>
          <w:sz w:val="24"/>
          <w:szCs w:val="24"/>
          <w:lang w:val="en-GB"/>
        </w:rPr>
        <w:t>4 million. Costs for succeeding years w</w:t>
      </w:r>
      <w:r w:rsidR="00CF0750" w:rsidRPr="00811277">
        <w:rPr>
          <w:rFonts w:ascii="Arial" w:eastAsia="Times New Roman" w:hAnsi="Arial" w:cs="Arial"/>
          <w:bCs/>
          <w:sz w:val="24"/>
          <w:szCs w:val="24"/>
          <w:lang w:val="en-GB"/>
        </w:rPr>
        <w:t>ere to</w:t>
      </w:r>
      <w:r w:rsidR="0043233F" w:rsidRPr="00811277">
        <w:rPr>
          <w:rFonts w:ascii="Arial" w:eastAsia="Times New Roman" w:hAnsi="Arial" w:cs="Arial"/>
          <w:bCs/>
          <w:sz w:val="24"/>
          <w:szCs w:val="24"/>
          <w:lang w:val="en-GB"/>
        </w:rPr>
        <w:t xml:space="preserve"> be </w:t>
      </w:r>
      <w:r w:rsidR="0043233F" w:rsidRPr="00811277">
        <w:rPr>
          <w:rFonts w:ascii="Arial" w:eastAsia="Times New Roman" w:hAnsi="Arial" w:cs="Arial"/>
          <w:bCs/>
          <w:sz w:val="24"/>
          <w:szCs w:val="24"/>
          <w:lang w:val="en-GB"/>
        </w:rPr>
        <w:lastRenderedPageBreak/>
        <w:t xml:space="preserve">based on </w:t>
      </w:r>
      <w:r w:rsidR="006128D4" w:rsidRPr="00811277">
        <w:rPr>
          <w:rFonts w:ascii="Arial" w:eastAsia="Times New Roman" w:hAnsi="Arial" w:cs="Arial"/>
          <w:bCs/>
          <w:sz w:val="24"/>
          <w:szCs w:val="24"/>
          <w:lang w:val="en-GB"/>
        </w:rPr>
        <w:t xml:space="preserve">the </w:t>
      </w:r>
      <w:r w:rsidR="0043233F" w:rsidRPr="00811277">
        <w:rPr>
          <w:rFonts w:ascii="Arial" w:eastAsia="Times New Roman" w:hAnsi="Arial" w:cs="Arial"/>
          <w:bCs/>
          <w:sz w:val="24"/>
          <w:szCs w:val="24"/>
          <w:lang w:val="en-GB"/>
        </w:rPr>
        <w:t>actual costs incurred in the 1</w:t>
      </w:r>
      <w:r w:rsidR="0043233F" w:rsidRPr="00811277">
        <w:rPr>
          <w:rFonts w:ascii="Arial" w:eastAsia="Times New Roman" w:hAnsi="Arial" w:cs="Arial"/>
          <w:bCs/>
          <w:sz w:val="24"/>
          <w:szCs w:val="24"/>
          <w:vertAlign w:val="superscript"/>
          <w:lang w:val="en-GB"/>
        </w:rPr>
        <w:t>st</w:t>
      </w:r>
      <w:r w:rsidR="0043233F" w:rsidRPr="00811277">
        <w:rPr>
          <w:rFonts w:ascii="Arial" w:eastAsia="Times New Roman" w:hAnsi="Arial" w:cs="Arial"/>
          <w:bCs/>
          <w:sz w:val="24"/>
          <w:szCs w:val="24"/>
          <w:lang w:val="en-GB"/>
        </w:rPr>
        <w:t xml:space="preserve"> year </w:t>
      </w:r>
      <w:r w:rsidR="003B4ABF" w:rsidRPr="00811277">
        <w:rPr>
          <w:rFonts w:ascii="Arial" w:eastAsia="Times New Roman" w:hAnsi="Arial" w:cs="Arial"/>
          <w:bCs/>
          <w:sz w:val="24"/>
          <w:szCs w:val="24"/>
          <w:lang w:val="en-GB"/>
        </w:rPr>
        <w:t xml:space="preserve">and </w:t>
      </w:r>
      <w:r w:rsidR="0043233F" w:rsidRPr="00811277">
        <w:rPr>
          <w:rFonts w:ascii="Arial" w:eastAsia="Times New Roman" w:hAnsi="Arial" w:cs="Arial"/>
          <w:bCs/>
          <w:sz w:val="24"/>
          <w:szCs w:val="24"/>
          <w:lang w:val="en-GB"/>
        </w:rPr>
        <w:t>projected fluctuating variable costs</w:t>
      </w:r>
      <w:r w:rsidR="003B4ABF" w:rsidRPr="00811277">
        <w:rPr>
          <w:rFonts w:ascii="Arial" w:eastAsia="Times New Roman" w:hAnsi="Arial" w:cs="Arial"/>
          <w:bCs/>
          <w:sz w:val="24"/>
          <w:szCs w:val="24"/>
          <w:lang w:val="en-GB"/>
        </w:rPr>
        <w:t>,</w:t>
      </w:r>
      <w:r w:rsidR="0043233F" w:rsidRPr="00811277">
        <w:rPr>
          <w:rFonts w:ascii="Arial" w:eastAsia="Times New Roman" w:hAnsi="Arial" w:cs="Arial"/>
          <w:bCs/>
          <w:sz w:val="24"/>
          <w:szCs w:val="24"/>
          <w:lang w:val="en-GB"/>
        </w:rPr>
        <w:t xml:space="preserve"> </w:t>
      </w:r>
      <w:r w:rsidR="00F47B0B" w:rsidRPr="00811277">
        <w:rPr>
          <w:rFonts w:ascii="Arial" w:eastAsia="Times New Roman" w:hAnsi="Arial" w:cs="Arial"/>
          <w:bCs/>
          <w:sz w:val="24"/>
          <w:szCs w:val="24"/>
          <w:lang w:val="en-GB"/>
        </w:rPr>
        <w:t>including</w:t>
      </w:r>
      <w:r w:rsidR="0043233F" w:rsidRPr="00811277">
        <w:rPr>
          <w:rFonts w:ascii="Arial" w:eastAsia="Times New Roman" w:hAnsi="Arial" w:cs="Arial"/>
          <w:bCs/>
          <w:sz w:val="24"/>
          <w:szCs w:val="24"/>
          <w:lang w:val="en-GB"/>
        </w:rPr>
        <w:t xml:space="preserve"> inflation</w:t>
      </w:r>
      <w:r w:rsidR="003B4ABF" w:rsidRPr="00811277">
        <w:rPr>
          <w:rFonts w:ascii="Arial" w:eastAsia="Times New Roman" w:hAnsi="Arial" w:cs="Arial"/>
          <w:bCs/>
          <w:sz w:val="24"/>
          <w:szCs w:val="24"/>
          <w:lang w:val="en-GB"/>
        </w:rPr>
        <w:t>.</w:t>
      </w:r>
      <w:r w:rsidR="00F47B0B">
        <w:rPr>
          <w:rStyle w:val="FootnoteReference"/>
          <w:rFonts w:ascii="Arial" w:eastAsia="Times New Roman" w:hAnsi="Arial" w:cs="Arial"/>
          <w:bCs/>
          <w:sz w:val="24"/>
          <w:szCs w:val="24"/>
          <w:lang w:val="en-GB"/>
        </w:rPr>
        <w:footnoteReference w:id="11"/>
      </w:r>
      <w:r w:rsidR="00BA6EC3" w:rsidRPr="00811277">
        <w:rPr>
          <w:rFonts w:ascii="Arial" w:eastAsia="Times New Roman" w:hAnsi="Arial" w:cs="Arial"/>
          <w:bCs/>
          <w:sz w:val="24"/>
          <w:szCs w:val="24"/>
          <w:lang w:val="en-GB"/>
        </w:rPr>
        <w:t xml:space="preserve"> </w:t>
      </w:r>
    </w:p>
    <w:p w14:paraId="13AC7789" w14:textId="5ED64DEE" w:rsidR="0080487C" w:rsidRPr="00811277" w:rsidRDefault="00811277" w:rsidP="00811277">
      <w:pPr>
        <w:spacing w:line="360" w:lineRule="auto"/>
        <w:ind w:left="720" w:hanging="720"/>
        <w:jc w:val="both"/>
        <w:rPr>
          <w:rFonts w:ascii="Arial" w:eastAsia="Times New Roman" w:hAnsi="Arial" w:cs="Arial"/>
          <w:bCs/>
          <w:sz w:val="24"/>
          <w:szCs w:val="24"/>
          <w:lang w:val="en-GB"/>
        </w:rPr>
      </w:pPr>
      <w:r w:rsidRPr="008038DB">
        <w:rPr>
          <w:rFonts w:ascii="Arial" w:eastAsia="Times New Roman" w:hAnsi="Arial" w:cs="Arial"/>
          <w:bCs/>
          <w:kern w:val="0"/>
          <w:sz w:val="24"/>
          <w:szCs w:val="24"/>
          <w:lang w:val="en-GB"/>
          <w14:ligatures w14:val="none"/>
        </w:rPr>
        <w:t>11.</w:t>
      </w:r>
      <w:r w:rsidRPr="008038DB">
        <w:rPr>
          <w:rFonts w:ascii="Arial" w:eastAsia="Times New Roman" w:hAnsi="Arial" w:cs="Arial"/>
          <w:bCs/>
          <w:kern w:val="0"/>
          <w:sz w:val="24"/>
          <w:szCs w:val="24"/>
          <w:lang w:val="en-GB"/>
          <w14:ligatures w14:val="none"/>
        </w:rPr>
        <w:tab/>
      </w:r>
      <w:r w:rsidR="0080487C" w:rsidRPr="00811277">
        <w:rPr>
          <w:rFonts w:ascii="Arial" w:eastAsia="Times New Roman" w:hAnsi="Arial" w:cs="Arial"/>
          <w:bCs/>
          <w:sz w:val="24"/>
          <w:szCs w:val="24"/>
          <w:lang w:val="en-GB"/>
        </w:rPr>
        <w:t xml:space="preserve">The </w:t>
      </w:r>
      <w:r w:rsidR="00CF0750" w:rsidRPr="00811277">
        <w:rPr>
          <w:rFonts w:ascii="Arial" w:eastAsia="Times New Roman" w:hAnsi="Arial" w:cs="Arial"/>
          <w:bCs/>
          <w:sz w:val="24"/>
          <w:szCs w:val="24"/>
          <w:lang w:val="en-GB"/>
        </w:rPr>
        <w:t xml:space="preserve">plan provided that the </w:t>
      </w:r>
      <w:r w:rsidR="00A52715" w:rsidRPr="00811277">
        <w:rPr>
          <w:rFonts w:ascii="Arial" w:eastAsia="Times New Roman" w:hAnsi="Arial" w:cs="Arial"/>
          <w:bCs/>
          <w:sz w:val="24"/>
          <w:szCs w:val="24"/>
          <w:lang w:val="en-GB"/>
        </w:rPr>
        <w:t xml:space="preserve">waste tyre management fee </w:t>
      </w:r>
      <w:r w:rsidR="0043233F" w:rsidRPr="00811277">
        <w:rPr>
          <w:rFonts w:ascii="Arial" w:eastAsia="Times New Roman" w:hAnsi="Arial" w:cs="Arial"/>
          <w:bCs/>
          <w:sz w:val="24"/>
          <w:szCs w:val="24"/>
          <w:lang w:val="en-GB"/>
        </w:rPr>
        <w:t xml:space="preserve">would be </w:t>
      </w:r>
      <w:r w:rsidR="00E55871" w:rsidRPr="00811277">
        <w:rPr>
          <w:rFonts w:ascii="Arial" w:eastAsia="Times New Roman" w:hAnsi="Arial" w:cs="Arial"/>
          <w:bCs/>
          <w:sz w:val="24"/>
          <w:szCs w:val="24"/>
          <w:lang w:val="en-GB"/>
        </w:rPr>
        <w:t>‘</w:t>
      </w:r>
      <w:r w:rsidR="0043233F" w:rsidRPr="00811277">
        <w:rPr>
          <w:rFonts w:ascii="Arial" w:eastAsia="Times New Roman" w:hAnsi="Arial" w:cs="Arial"/>
          <w:bCs/>
          <w:sz w:val="24"/>
          <w:szCs w:val="24"/>
          <w:lang w:val="en-GB"/>
        </w:rPr>
        <w:t>reviewed</w:t>
      </w:r>
      <w:r w:rsidR="00E55871" w:rsidRPr="00811277">
        <w:rPr>
          <w:rFonts w:ascii="Arial" w:eastAsia="Times New Roman" w:hAnsi="Arial" w:cs="Arial"/>
          <w:bCs/>
          <w:sz w:val="24"/>
          <w:szCs w:val="24"/>
          <w:lang w:val="en-GB"/>
        </w:rPr>
        <w:t>’</w:t>
      </w:r>
      <w:r w:rsidR="000E0B2C" w:rsidRPr="00811277">
        <w:rPr>
          <w:rFonts w:ascii="Arial" w:eastAsia="Times New Roman" w:hAnsi="Arial" w:cs="Arial"/>
          <w:bCs/>
          <w:sz w:val="24"/>
          <w:szCs w:val="24"/>
          <w:lang w:val="en-GB"/>
        </w:rPr>
        <w:t xml:space="preserve"> </w:t>
      </w:r>
      <w:r w:rsidR="008F6A3B" w:rsidRPr="00811277">
        <w:rPr>
          <w:rFonts w:ascii="Arial" w:eastAsia="Times New Roman" w:hAnsi="Arial" w:cs="Arial"/>
          <w:bCs/>
          <w:sz w:val="24"/>
          <w:szCs w:val="24"/>
          <w:lang w:val="en-GB"/>
        </w:rPr>
        <w:t>annually</w:t>
      </w:r>
      <w:r w:rsidR="00BA6EC3" w:rsidRPr="00811277">
        <w:rPr>
          <w:rFonts w:ascii="Arial" w:eastAsia="Times New Roman" w:hAnsi="Arial" w:cs="Arial"/>
          <w:bCs/>
          <w:sz w:val="24"/>
          <w:szCs w:val="24"/>
          <w:lang w:val="en-GB"/>
        </w:rPr>
        <w:t>, in consultation with relevant consumer bodies,</w:t>
      </w:r>
      <w:r w:rsidR="008F6A3B" w:rsidRPr="00811277">
        <w:rPr>
          <w:rFonts w:ascii="Arial" w:eastAsia="Times New Roman" w:hAnsi="Arial" w:cs="Arial"/>
          <w:bCs/>
          <w:sz w:val="24"/>
          <w:szCs w:val="24"/>
          <w:lang w:val="en-GB"/>
        </w:rPr>
        <w:t xml:space="preserve"> </w:t>
      </w:r>
      <w:r w:rsidR="00AE0CAE" w:rsidRPr="00811277">
        <w:rPr>
          <w:rFonts w:ascii="Arial" w:eastAsia="Times New Roman" w:hAnsi="Arial" w:cs="Arial"/>
          <w:bCs/>
          <w:sz w:val="24"/>
          <w:szCs w:val="24"/>
          <w:lang w:val="en-GB"/>
        </w:rPr>
        <w:t xml:space="preserve">based on </w:t>
      </w:r>
      <w:r w:rsidR="00950249" w:rsidRPr="00811277">
        <w:rPr>
          <w:rFonts w:ascii="Arial" w:eastAsia="Times New Roman" w:hAnsi="Arial" w:cs="Arial"/>
          <w:bCs/>
          <w:sz w:val="24"/>
          <w:szCs w:val="24"/>
          <w:lang w:val="en-GB"/>
        </w:rPr>
        <w:t>‘</w:t>
      </w:r>
      <w:r w:rsidR="00AE0CAE" w:rsidRPr="00811277">
        <w:rPr>
          <w:rFonts w:ascii="Arial" w:eastAsia="Times New Roman" w:hAnsi="Arial" w:cs="Arial"/>
          <w:bCs/>
          <w:sz w:val="24"/>
          <w:szCs w:val="24"/>
          <w:lang w:val="en-GB"/>
        </w:rPr>
        <w:t>operational experience’</w:t>
      </w:r>
      <w:r w:rsidR="00BA6EC3" w:rsidRPr="00811277">
        <w:rPr>
          <w:rFonts w:ascii="Arial" w:eastAsia="Times New Roman" w:hAnsi="Arial" w:cs="Arial"/>
          <w:bCs/>
          <w:sz w:val="24"/>
          <w:szCs w:val="24"/>
          <w:lang w:val="en-GB"/>
        </w:rPr>
        <w:t xml:space="preserve"> </w:t>
      </w:r>
      <w:r w:rsidR="008F6A3B" w:rsidRPr="00811277">
        <w:rPr>
          <w:rFonts w:ascii="Arial" w:eastAsia="Times New Roman" w:hAnsi="Arial" w:cs="Arial"/>
          <w:bCs/>
          <w:sz w:val="24"/>
          <w:szCs w:val="24"/>
          <w:lang w:val="en-GB"/>
        </w:rPr>
        <w:t>and the number of tyres manufactured and imported</w:t>
      </w:r>
      <w:r w:rsidR="00BA6EC3" w:rsidRPr="00811277">
        <w:rPr>
          <w:rFonts w:ascii="Arial" w:eastAsia="Times New Roman" w:hAnsi="Arial" w:cs="Arial"/>
          <w:bCs/>
          <w:sz w:val="24"/>
          <w:szCs w:val="24"/>
          <w:lang w:val="en-GB"/>
        </w:rPr>
        <w:t>.</w:t>
      </w:r>
      <w:r w:rsidR="00076192">
        <w:rPr>
          <w:rStyle w:val="FootnoteReference"/>
          <w:rFonts w:ascii="Arial" w:eastAsia="Times New Roman" w:hAnsi="Arial" w:cs="Arial"/>
          <w:bCs/>
          <w:sz w:val="24"/>
          <w:szCs w:val="24"/>
          <w:lang w:val="en-GB"/>
        </w:rPr>
        <w:footnoteReference w:id="12"/>
      </w:r>
      <w:r w:rsidR="00BA6EC3" w:rsidRPr="00811277">
        <w:rPr>
          <w:rFonts w:ascii="Arial" w:eastAsia="Times New Roman" w:hAnsi="Arial" w:cs="Arial"/>
          <w:bCs/>
          <w:sz w:val="24"/>
          <w:szCs w:val="24"/>
          <w:lang w:val="en-GB"/>
        </w:rPr>
        <w:t xml:space="preserve"> </w:t>
      </w:r>
      <w:r w:rsidR="00BC693B" w:rsidRPr="00811277">
        <w:rPr>
          <w:rFonts w:ascii="Arial" w:eastAsia="Times New Roman" w:hAnsi="Arial" w:cs="Arial"/>
          <w:bCs/>
          <w:sz w:val="24"/>
          <w:szCs w:val="24"/>
          <w:lang w:val="en-GB"/>
        </w:rPr>
        <w:t>Redisa’s objective w</w:t>
      </w:r>
      <w:r w:rsidR="0080487C" w:rsidRPr="00811277">
        <w:rPr>
          <w:rFonts w:ascii="Arial" w:eastAsia="Times New Roman" w:hAnsi="Arial" w:cs="Arial"/>
          <w:bCs/>
          <w:sz w:val="24"/>
          <w:szCs w:val="24"/>
          <w:lang w:val="en-GB"/>
        </w:rPr>
        <w:t>as</w:t>
      </w:r>
      <w:r w:rsidR="00BC693B" w:rsidRPr="00811277">
        <w:rPr>
          <w:rFonts w:ascii="Arial" w:eastAsia="Times New Roman" w:hAnsi="Arial" w:cs="Arial"/>
          <w:bCs/>
          <w:sz w:val="24"/>
          <w:szCs w:val="24"/>
          <w:lang w:val="en-GB"/>
        </w:rPr>
        <w:t xml:space="preserve"> to strive </w:t>
      </w:r>
      <w:r w:rsidR="005F07BB" w:rsidRPr="00811277">
        <w:rPr>
          <w:rFonts w:ascii="Arial" w:eastAsia="Times New Roman" w:hAnsi="Arial" w:cs="Arial"/>
          <w:bCs/>
          <w:sz w:val="24"/>
          <w:szCs w:val="24"/>
          <w:lang w:val="en-GB"/>
        </w:rPr>
        <w:t>‘</w:t>
      </w:r>
      <w:r w:rsidR="0080487C" w:rsidRPr="00811277">
        <w:rPr>
          <w:rFonts w:ascii="Arial" w:eastAsia="Times New Roman" w:hAnsi="Arial" w:cs="Arial"/>
          <w:bCs/>
          <w:sz w:val="24"/>
          <w:szCs w:val="24"/>
          <w:lang w:val="en-GB"/>
        </w:rPr>
        <w:t xml:space="preserve">at </w:t>
      </w:r>
      <w:r w:rsidR="00BC693B" w:rsidRPr="00811277">
        <w:rPr>
          <w:rFonts w:ascii="Arial" w:eastAsia="Times New Roman" w:hAnsi="Arial" w:cs="Arial"/>
          <w:bCs/>
          <w:sz w:val="24"/>
          <w:szCs w:val="24"/>
          <w:lang w:val="en-GB"/>
        </w:rPr>
        <w:t>all times</w:t>
      </w:r>
      <w:r w:rsidR="005F07BB" w:rsidRPr="00811277">
        <w:rPr>
          <w:rFonts w:ascii="Arial" w:eastAsia="Times New Roman" w:hAnsi="Arial" w:cs="Arial"/>
          <w:bCs/>
          <w:sz w:val="24"/>
          <w:szCs w:val="24"/>
          <w:lang w:val="en-GB"/>
        </w:rPr>
        <w:t>’</w:t>
      </w:r>
      <w:r w:rsidR="00BC693B" w:rsidRPr="00811277">
        <w:rPr>
          <w:rFonts w:ascii="Arial" w:eastAsia="Times New Roman" w:hAnsi="Arial" w:cs="Arial"/>
          <w:bCs/>
          <w:sz w:val="24"/>
          <w:szCs w:val="24"/>
          <w:lang w:val="en-GB"/>
        </w:rPr>
        <w:t xml:space="preserve"> to minimise </w:t>
      </w:r>
      <w:r w:rsidR="00D33FD9" w:rsidRPr="00811277">
        <w:rPr>
          <w:rFonts w:ascii="Arial" w:eastAsia="Times New Roman" w:hAnsi="Arial" w:cs="Arial"/>
          <w:bCs/>
          <w:sz w:val="24"/>
          <w:szCs w:val="24"/>
          <w:lang w:val="en-GB"/>
        </w:rPr>
        <w:t>and</w:t>
      </w:r>
      <w:r w:rsidR="00BC693B" w:rsidRPr="00811277">
        <w:rPr>
          <w:rFonts w:ascii="Arial" w:eastAsia="Times New Roman" w:hAnsi="Arial" w:cs="Arial"/>
          <w:bCs/>
          <w:sz w:val="24"/>
          <w:szCs w:val="24"/>
          <w:lang w:val="en-GB"/>
        </w:rPr>
        <w:t xml:space="preserve"> contain the </w:t>
      </w:r>
      <w:r w:rsidR="00D33FD9" w:rsidRPr="00811277">
        <w:rPr>
          <w:rFonts w:ascii="Arial" w:eastAsia="Times New Roman" w:hAnsi="Arial" w:cs="Arial"/>
          <w:bCs/>
          <w:sz w:val="24"/>
          <w:szCs w:val="24"/>
          <w:lang w:val="en-GB"/>
        </w:rPr>
        <w:t>fee</w:t>
      </w:r>
      <w:r w:rsidR="002B2990" w:rsidRPr="00811277">
        <w:rPr>
          <w:rFonts w:ascii="Arial" w:eastAsia="Times New Roman" w:hAnsi="Arial" w:cs="Arial"/>
          <w:bCs/>
          <w:sz w:val="24"/>
          <w:szCs w:val="24"/>
          <w:lang w:val="en-GB"/>
        </w:rPr>
        <w:t>,</w:t>
      </w:r>
      <w:r w:rsidR="00BC693B" w:rsidRPr="00811277">
        <w:rPr>
          <w:rFonts w:ascii="Arial" w:eastAsia="Times New Roman" w:hAnsi="Arial" w:cs="Arial"/>
          <w:bCs/>
          <w:sz w:val="24"/>
          <w:szCs w:val="24"/>
          <w:lang w:val="en-GB"/>
        </w:rPr>
        <w:t xml:space="preserve"> </w:t>
      </w:r>
      <w:r w:rsidR="00D61948" w:rsidRPr="00811277">
        <w:rPr>
          <w:rFonts w:ascii="Arial" w:eastAsia="Times New Roman" w:hAnsi="Arial" w:cs="Arial"/>
          <w:bCs/>
          <w:sz w:val="24"/>
          <w:szCs w:val="24"/>
          <w:lang w:val="en-GB"/>
        </w:rPr>
        <w:t>‘</w:t>
      </w:r>
      <w:r w:rsidR="00BC693B" w:rsidRPr="00811277">
        <w:rPr>
          <w:rFonts w:ascii="Arial" w:eastAsia="Times New Roman" w:hAnsi="Arial" w:cs="Arial"/>
          <w:bCs/>
          <w:sz w:val="24"/>
          <w:szCs w:val="24"/>
          <w:lang w:val="en-GB"/>
        </w:rPr>
        <w:t>in real terms</w:t>
      </w:r>
      <w:r w:rsidR="00D61948" w:rsidRPr="00811277">
        <w:rPr>
          <w:rFonts w:ascii="Arial" w:eastAsia="Times New Roman" w:hAnsi="Arial" w:cs="Arial"/>
          <w:bCs/>
          <w:sz w:val="24"/>
          <w:szCs w:val="24"/>
          <w:lang w:val="en-GB"/>
        </w:rPr>
        <w:t>’</w:t>
      </w:r>
      <w:r w:rsidR="00BC693B" w:rsidRPr="00811277">
        <w:rPr>
          <w:rFonts w:ascii="Arial" w:eastAsia="Times New Roman" w:hAnsi="Arial" w:cs="Arial"/>
          <w:bCs/>
          <w:sz w:val="24"/>
          <w:szCs w:val="24"/>
          <w:lang w:val="en-GB"/>
        </w:rPr>
        <w:t xml:space="preserve">, </w:t>
      </w:r>
      <w:r w:rsidR="002B2990" w:rsidRPr="00811277">
        <w:rPr>
          <w:rFonts w:ascii="Arial" w:eastAsia="Times New Roman" w:hAnsi="Arial" w:cs="Arial"/>
          <w:bCs/>
          <w:sz w:val="24"/>
          <w:szCs w:val="24"/>
          <w:lang w:val="en-GB"/>
        </w:rPr>
        <w:t xml:space="preserve">to </w:t>
      </w:r>
      <w:r w:rsidR="005C500C" w:rsidRPr="00811277">
        <w:rPr>
          <w:rFonts w:ascii="Arial" w:eastAsia="Times New Roman" w:hAnsi="Arial" w:cs="Arial"/>
          <w:bCs/>
          <w:sz w:val="24"/>
          <w:szCs w:val="24"/>
          <w:lang w:val="en-GB"/>
        </w:rPr>
        <w:t xml:space="preserve">an </w:t>
      </w:r>
      <w:r w:rsidR="001774A6" w:rsidRPr="00811277">
        <w:rPr>
          <w:rFonts w:ascii="Arial" w:eastAsia="Times New Roman" w:hAnsi="Arial" w:cs="Arial"/>
          <w:bCs/>
          <w:sz w:val="24"/>
          <w:szCs w:val="24"/>
          <w:lang w:val="en-GB"/>
        </w:rPr>
        <w:t>amount equal</w:t>
      </w:r>
      <w:r w:rsidR="00BC693B" w:rsidRPr="00811277">
        <w:rPr>
          <w:rFonts w:ascii="Arial" w:eastAsia="Times New Roman" w:hAnsi="Arial" w:cs="Arial"/>
          <w:bCs/>
          <w:sz w:val="24"/>
          <w:szCs w:val="24"/>
          <w:lang w:val="en-GB"/>
        </w:rPr>
        <w:t xml:space="preserve"> to or less th</w:t>
      </w:r>
      <w:r w:rsidR="00D61948" w:rsidRPr="00811277">
        <w:rPr>
          <w:rFonts w:ascii="Arial" w:eastAsia="Times New Roman" w:hAnsi="Arial" w:cs="Arial"/>
          <w:bCs/>
          <w:sz w:val="24"/>
          <w:szCs w:val="24"/>
          <w:lang w:val="en-GB"/>
        </w:rPr>
        <w:t>a</w:t>
      </w:r>
      <w:r w:rsidR="00BC693B" w:rsidRPr="00811277">
        <w:rPr>
          <w:rFonts w:ascii="Arial" w:eastAsia="Times New Roman" w:hAnsi="Arial" w:cs="Arial"/>
          <w:bCs/>
          <w:sz w:val="24"/>
          <w:szCs w:val="24"/>
          <w:lang w:val="en-GB"/>
        </w:rPr>
        <w:t>n the initial levy charged.</w:t>
      </w:r>
      <w:r w:rsidR="00C47F7C" w:rsidRPr="00811277">
        <w:rPr>
          <w:rFonts w:ascii="Arial" w:eastAsia="Times New Roman" w:hAnsi="Arial" w:cs="Arial"/>
          <w:bCs/>
          <w:sz w:val="24"/>
          <w:szCs w:val="24"/>
          <w:lang w:val="en-GB"/>
        </w:rPr>
        <w:t xml:space="preserve"> </w:t>
      </w:r>
      <w:r w:rsidR="008038DB" w:rsidRPr="00811277">
        <w:rPr>
          <w:rFonts w:ascii="Arial" w:eastAsia="Times New Roman" w:hAnsi="Arial" w:cs="Arial"/>
          <w:bCs/>
          <w:sz w:val="24"/>
          <w:szCs w:val="24"/>
          <w:lang w:val="en-GB"/>
        </w:rPr>
        <w:t xml:space="preserve">Annual reports would be published which would </w:t>
      </w:r>
      <w:r w:rsidR="002B2990" w:rsidRPr="00811277">
        <w:rPr>
          <w:rFonts w:ascii="Arial" w:eastAsia="Times New Roman" w:hAnsi="Arial" w:cs="Arial"/>
          <w:bCs/>
          <w:sz w:val="24"/>
          <w:szCs w:val="24"/>
          <w:lang w:val="en-GB"/>
        </w:rPr>
        <w:t>detail progress</w:t>
      </w:r>
      <w:r w:rsidR="008038DB" w:rsidRPr="00811277">
        <w:rPr>
          <w:rFonts w:ascii="Arial" w:eastAsia="Times New Roman" w:hAnsi="Arial" w:cs="Arial"/>
          <w:bCs/>
          <w:sz w:val="24"/>
          <w:szCs w:val="24"/>
          <w:lang w:val="en-GB"/>
        </w:rPr>
        <w:t xml:space="preserve"> made in implementing the plan and </w:t>
      </w:r>
      <w:r w:rsidR="004F67F0" w:rsidRPr="00811277">
        <w:rPr>
          <w:rFonts w:ascii="Arial" w:eastAsia="Times New Roman" w:hAnsi="Arial" w:cs="Arial"/>
          <w:bCs/>
          <w:sz w:val="24"/>
          <w:szCs w:val="24"/>
          <w:lang w:val="en-GB"/>
        </w:rPr>
        <w:t xml:space="preserve">would </w:t>
      </w:r>
      <w:r w:rsidR="008038DB" w:rsidRPr="00811277">
        <w:rPr>
          <w:rFonts w:ascii="Arial" w:eastAsia="Times New Roman" w:hAnsi="Arial" w:cs="Arial"/>
          <w:bCs/>
          <w:sz w:val="24"/>
          <w:szCs w:val="24"/>
          <w:lang w:val="en-GB"/>
        </w:rPr>
        <w:t xml:space="preserve">provide cost ‘breakdowns’ on a per kilogram basis. </w:t>
      </w:r>
    </w:p>
    <w:p w14:paraId="4D85B19F" w14:textId="2A31D88E" w:rsidR="00802A6F" w:rsidRPr="00811277" w:rsidRDefault="00811277" w:rsidP="00811277">
      <w:pPr>
        <w:spacing w:line="360" w:lineRule="auto"/>
        <w:ind w:left="720" w:hanging="720"/>
        <w:jc w:val="both"/>
        <w:rPr>
          <w:rFonts w:ascii="Arial" w:eastAsia="Times New Roman" w:hAnsi="Arial" w:cs="Arial"/>
          <w:bCs/>
          <w:sz w:val="24"/>
          <w:szCs w:val="24"/>
          <w:lang w:val="en-GB"/>
        </w:rPr>
      </w:pPr>
      <w:r w:rsidRPr="00D174F9">
        <w:rPr>
          <w:rFonts w:ascii="Arial" w:eastAsia="Times New Roman" w:hAnsi="Arial" w:cs="Arial"/>
          <w:bCs/>
          <w:kern w:val="0"/>
          <w:sz w:val="24"/>
          <w:szCs w:val="24"/>
          <w:lang w:val="en-GB"/>
          <w14:ligatures w14:val="none"/>
        </w:rPr>
        <w:t>12.</w:t>
      </w:r>
      <w:r w:rsidRPr="00D174F9">
        <w:rPr>
          <w:rFonts w:ascii="Arial" w:eastAsia="Times New Roman" w:hAnsi="Arial" w:cs="Arial"/>
          <w:bCs/>
          <w:kern w:val="0"/>
          <w:sz w:val="24"/>
          <w:szCs w:val="24"/>
          <w:lang w:val="en-GB"/>
          <w14:ligatures w14:val="none"/>
        </w:rPr>
        <w:tab/>
      </w:r>
      <w:r w:rsidR="00C47F7C" w:rsidRPr="00811277">
        <w:rPr>
          <w:rFonts w:ascii="Arial" w:eastAsia="Times New Roman" w:hAnsi="Arial" w:cs="Arial"/>
          <w:bCs/>
          <w:sz w:val="24"/>
          <w:szCs w:val="24"/>
          <w:lang w:val="en-GB"/>
        </w:rPr>
        <w:t xml:space="preserve">As </w:t>
      </w:r>
      <w:r w:rsidR="00CB4BA6" w:rsidRPr="00811277">
        <w:rPr>
          <w:rFonts w:ascii="Arial" w:eastAsia="Times New Roman" w:hAnsi="Arial" w:cs="Arial"/>
          <w:bCs/>
          <w:sz w:val="24"/>
          <w:szCs w:val="24"/>
          <w:lang w:val="en-GB"/>
        </w:rPr>
        <w:t>for</w:t>
      </w:r>
      <w:r w:rsidR="00C47F7C" w:rsidRPr="00811277">
        <w:rPr>
          <w:rFonts w:ascii="Arial" w:eastAsia="Times New Roman" w:hAnsi="Arial" w:cs="Arial"/>
          <w:bCs/>
          <w:sz w:val="24"/>
          <w:szCs w:val="24"/>
          <w:lang w:val="en-GB"/>
        </w:rPr>
        <w:t xml:space="preserve"> the </w:t>
      </w:r>
      <w:r w:rsidR="00D33FD9" w:rsidRPr="00811277">
        <w:rPr>
          <w:rFonts w:ascii="Arial" w:eastAsia="Times New Roman" w:hAnsi="Arial" w:cs="Arial"/>
          <w:bCs/>
          <w:sz w:val="24"/>
          <w:szCs w:val="24"/>
          <w:lang w:val="en-GB"/>
        </w:rPr>
        <w:t xml:space="preserve">initial </w:t>
      </w:r>
      <w:r w:rsidR="0080487C" w:rsidRPr="00811277">
        <w:rPr>
          <w:rFonts w:ascii="Arial" w:eastAsia="Times New Roman" w:hAnsi="Arial" w:cs="Arial"/>
          <w:bCs/>
          <w:sz w:val="24"/>
          <w:szCs w:val="24"/>
          <w:lang w:val="en-GB"/>
        </w:rPr>
        <w:t xml:space="preserve">Rand-per kilogram </w:t>
      </w:r>
      <w:r w:rsidR="00C47F7C" w:rsidRPr="00811277">
        <w:rPr>
          <w:rFonts w:ascii="Arial" w:eastAsia="Times New Roman" w:hAnsi="Arial" w:cs="Arial"/>
          <w:bCs/>
          <w:sz w:val="24"/>
          <w:szCs w:val="24"/>
          <w:lang w:val="en-GB"/>
        </w:rPr>
        <w:t xml:space="preserve">levy which was to be imposed, it was </w:t>
      </w:r>
      <w:r w:rsidR="0080487C" w:rsidRPr="00811277">
        <w:rPr>
          <w:rFonts w:ascii="Arial" w:eastAsia="Times New Roman" w:hAnsi="Arial" w:cs="Arial"/>
          <w:bCs/>
          <w:sz w:val="24"/>
          <w:szCs w:val="24"/>
          <w:lang w:val="en-GB"/>
        </w:rPr>
        <w:t>explained</w:t>
      </w:r>
      <w:r w:rsidR="0080487C">
        <w:rPr>
          <w:rStyle w:val="FootnoteReference"/>
          <w:rFonts w:ascii="Arial" w:eastAsia="Times New Roman" w:hAnsi="Arial" w:cs="Arial"/>
          <w:bCs/>
          <w:sz w:val="24"/>
          <w:szCs w:val="24"/>
          <w:lang w:val="en-GB"/>
        </w:rPr>
        <w:footnoteReference w:id="13"/>
      </w:r>
      <w:r w:rsidR="00C47F7C" w:rsidRPr="00811277">
        <w:rPr>
          <w:rFonts w:ascii="Arial" w:eastAsia="Times New Roman" w:hAnsi="Arial" w:cs="Arial"/>
          <w:bCs/>
          <w:sz w:val="24"/>
          <w:szCs w:val="24"/>
          <w:lang w:val="en-GB"/>
        </w:rPr>
        <w:t xml:space="preserve"> that this had been </w:t>
      </w:r>
      <w:r w:rsidR="00CB4BA6" w:rsidRPr="00811277">
        <w:rPr>
          <w:rFonts w:ascii="Arial" w:eastAsia="Times New Roman" w:hAnsi="Arial" w:cs="Arial"/>
          <w:bCs/>
          <w:sz w:val="24"/>
          <w:szCs w:val="24"/>
          <w:lang w:val="en-GB"/>
        </w:rPr>
        <w:t>arrived at</w:t>
      </w:r>
      <w:r w:rsidR="00C47F7C" w:rsidRPr="00811277">
        <w:rPr>
          <w:rFonts w:ascii="Arial" w:eastAsia="Times New Roman" w:hAnsi="Arial" w:cs="Arial"/>
          <w:bCs/>
          <w:sz w:val="24"/>
          <w:szCs w:val="24"/>
          <w:lang w:val="en-GB"/>
        </w:rPr>
        <w:t xml:space="preserve"> on the basis of an average cost per ton of transporting waste tyres to kilns, at a rate of R 8</w:t>
      </w:r>
      <w:r w:rsidR="0080487C" w:rsidRPr="00811277">
        <w:rPr>
          <w:rFonts w:ascii="Arial" w:eastAsia="Times New Roman" w:hAnsi="Arial" w:cs="Arial"/>
          <w:bCs/>
          <w:sz w:val="24"/>
          <w:szCs w:val="24"/>
          <w:lang w:val="en-GB"/>
        </w:rPr>
        <w:t>/</w:t>
      </w:r>
      <w:r w:rsidR="00C47F7C" w:rsidRPr="00811277">
        <w:rPr>
          <w:rFonts w:ascii="Arial" w:eastAsia="Times New Roman" w:hAnsi="Arial" w:cs="Arial"/>
          <w:bCs/>
          <w:sz w:val="24"/>
          <w:szCs w:val="24"/>
          <w:lang w:val="en-GB"/>
        </w:rPr>
        <w:t xml:space="preserve">per (passenger) tyre, which equated to a cost of approximately R 800/per ton of rubber; plus a </w:t>
      </w:r>
      <w:r w:rsidR="0080487C" w:rsidRPr="00811277">
        <w:rPr>
          <w:rFonts w:ascii="Arial" w:eastAsia="Times New Roman" w:hAnsi="Arial" w:cs="Arial"/>
          <w:bCs/>
          <w:sz w:val="24"/>
          <w:szCs w:val="24"/>
          <w:lang w:val="en-GB"/>
        </w:rPr>
        <w:t xml:space="preserve">handling </w:t>
      </w:r>
      <w:r w:rsidR="00C47F7C" w:rsidRPr="00811277">
        <w:rPr>
          <w:rFonts w:ascii="Arial" w:eastAsia="Times New Roman" w:hAnsi="Arial" w:cs="Arial"/>
          <w:bCs/>
          <w:sz w:val="24"/>
          <w:szCs w:val="24"/>
          <w:lang w:val="en-GB"/>
        </w:rPr>
        <w:t>fee of R 200/per ton i.e. R</w:t>
      </w:r>
      <w:r w:rsidR="0080487C" w:rsidRPr="00811277">
        <w:rPr>
          <w:rFonts w:ascii="Arial" w:eastAsia="Times New Roman" w:hAnsi="Arial" w:cs="Arial"/>
          <w:bCs/>
          <w:sz w:val="24"/>
          <w:szCs w:val="24"/>
          <w:lang w:val="en-GB"/>
        </w:rPr>
        <w:t xml:space="preserve"> </w:t>
      </w:r>
      <w:r w:rsidR="00C47F7C" w:rsidRPr="00811277">
        <w:rPr>
          <w:rFonts w:ascii="Arial" w:eastAsia="Times New Roman" w:hAnsi="Arial" w:cs="Arial"/>
          <w:bCs/>
          <w:sz w:val="24"/>
          <w:szCs w:val="24"/>
          <w:lang w:val="en-GB"/>
        </w:rPr>
        <w:t>2 per tyre for services at depots and disposal facilities, and a disposal cost of R 900 per ton/R 9 per tyre, plus 20% for administration and other costs</w:t>
      </w:r>
      <w:r w:rsidR="00D61948" w:rsidRPr="00811277">
        <w:rPr>
          <w:rFonts w:ascii="Arial" w:eastAsia="Times New Roman" w:hAnsi="Arial" w:cs="Arial"/>
          <w:bCs/>
          <w:sz w:val="24"/>
          <w:szCs w:val="24"/>
          <w:lang w:val="en-GB"/>
        </w:rPr>
        <w:t>.</w:t>
      </w:r>
      <w:r w:rsidR="00C47F7C" w:rsidRPr="00811277">
        <w:rPr>
          <w:rFonts w:ascii="Arial" w:eastAsia="Times New Roman" w:hAnsi="Arial" w:cs="Arial"/>
          <w:bCs/>
          <w:sz w:val="24"/>
          <w:szCs w:val="24"/>
          <w:lang w:val="en-GB"/>
        </w:rPr>
        <w:t xml:space="preserve"> </w:t>
      </w:r>
      <w:r w:rsidR="00D61948" w:rsidRPr="00811277">
        <w:rPr>
          <w:rFonts w:ascii="Arial" w:eastAsia="Times New Roman" w:hAnsi="Arial" w:cs="Arial"/>
          <w:bCs/>
          <w:sz w:val="24"/>
          <w:szCs w:val="24"/>
          <w:lang w:val="en-GB"/>
        </w:rPr>
        <w:t>I</w:t>
      </w:r>
      <w:r w:rsidR="00C47F7C" w:rsidRPr="00811277">
        <w:rPr>
          <w:rFonts w:ascii="Arial" w:eastAsia="Times New Roman" w:hAnsi="Arial" w:cs="Arial"/>
          <w:bCs/>
          <w:sz w:val="24"/>
          <w:szCs w:val="24"/>
          <w:lang w:val="en-GB"/>
        </w:rPr>
        <w:t xml:space="preserve">n total </w:t>
      </w:r>
      <w:r w:rsidR="00D61948" w:rsidRPr="00811277">
        <w:rPr>
          <w:rFonts w:ascii="Arial" w:eastAsia="Times New Roman" w:hAnsi="Arial" w:cs="Arial"/>
          <w:bCs/>
          <w:sz w:val="24"/>
          <w:szCs w:val="24"/>
          <w:lang w:val="en-GB"/>
        </w:rPr>
        <w:t xml:space="preserve">this </w:t>
      </w:r>
      <w:r w:rsidR="00C47F7C" w:rsidRPr="00811277">
        <w:rPr>
          <w:rFonts w:ascii="Arial" w:eastAsia="Times New Roman" w:hAnsi="Arial" w:cs="Arial"/>
          <w:bCs/>
          <w:sz w:val="24"/>
          <w:szCs w:val="24"/>
          <w:lang w:val="en-GB"/>
        </w:rPr>
        <w:t xml:space="preserve">averaged out </w:t>
      </w:r>
      <w:r w:rsidR="006C439D" w:rsidRPr="00811277">
        <w:rPr>
          <w:rFonts w:ascii="Arial" w:eastAsia="Times New Roman" w:hAnsi="Arial" w:cs="Arial"/>
          <w:bCs/>
          <w:sz w:val="24"/>
          <w:szCs w:val="24"/>
          <w:lang w:val="en-GB"/>
        </w:rPr>
        <w:t>to</w:t>
      </w:r>
      <w:r w:rsidR="00C47F7C" w:rsidRPr="00811277">
        <w:rPr>
          <w:rFonts w:ascii="Arial" w:eastAsia="Times New Roman" w:hAnsi="Arial" w:cs="Arial"/>
          <w:bCs/>
          <w:sz w:val="24"/>
          <w:szCs w:val="24"/>
          <w:lang w:val="en-GB"/>
        </w:rPr>
        <w:t xml:space="preserve"> a cost of approximately R 2280 per ton, which reduced to a Rand-per-kilogram </w:t>
      </w:r>
      <w:r w:rsidR="0080487C" w:rsidRPr="00811277">
        <w:rPr>
          <w:rFonts w:ascii="Arial" w:eastAsia="Times New Roman" w:hAnsi="Arial" w:cs="Arial"/>
          <w:bCs/>
          <w:sz w:val="24"/>
          <w:szCs w:val="24"/>
          <w:lang w:val="en-GB"/>
        </w:rPr>
        <w:t>figure</w:t>
      </w:r>
      <w:r w:rsidR="00C47F7C" w:rsidRPr="00811277">
        <w:rPr>
          <w:rFonts w:ascii="Arial" w:eastAsia="Times New Roman" w:hAnsi="Arial" w:cs="Arial"/>
          <w:bCs/>
          <w:sz w:val="24"/>
          <w:szCs w:val="24"/>
          <w:lang w:val="en-GB"/>
        </w:rPr>
        <w:t xml:space="preserve"> </w:t>
      </w:r>
      <w:r w:rsidR="006C439D" w:rsidRPr="00811277">
        <w:rPr>
          <w:rFonts w:ascii="Arial" w:eastAsia="Times New Roman" w:hAnsi="Arial" w:cs="Arial"/>
          <w:bCs/>
          <w:sz w:val="24"/>
          <w:szCs w:val="24"/>
          <w:lang w:val="en-GB"/>
        </w:rPr>
        <w:t>came to</w:t>
      </w:r>
      <w:r w:rsidR="001774A6" w:rsidRPr="00811277">
        <w:rPr>
          <w:rFonts w:ascii="Arial" w:eastAsia="Times New Roman" w:hAnsi="Arial" w:cs="Arial"/>
          <w:bCs/>
          <w:sz w:val="24"/>
          <w:szCs w:val="24"/>
          <w:lang w:val="en-GB"/>
        </w:rPr>
        <w:t xml:space="preserve"> </w:t>
      </w:r>
      <w:r w:rsidR="00C47F7C" w:rsidRPr="00811277">
        <w:rPr>
          <w:rFonts w:ascii="Arial" w:eastAsia="Times New Roman" w:hAnsi="Arial" w:cs="Arial"/>
          <w:bCs/>
          <w:sz w:val="24"/>
          <w:szCs w:val="24"/>
          <w:lang w:val="en-GB"/>
        </w:rPr>
        <w:t>R 2.30 per kilogram</w:t>
      </w:r>
      <w:r w:rsidR="004F67F0" w:rsidRPr="00811277">
        <w:rPr>
          <w:rFonts w:ascii="Arial" w:eastAsia="Times New Roman" w:hAnsi="Arial" w:cs="Arial"/>
          <w:bCs/>
          <w:sz w:val="24"/>
          <w:szCs w:val="24"/>
          <w:lang w:val="en-GB"/>
        </w:rPr>
        <w:t>,</w:t>
      </w:r>
      <w:r w:rsidR="00C47F7C" w:rsidRPr="00811277">
        <w:rPr>
          <w:rFonts w:ascii="Arial" w:eastAsia="Times New Roman" w:hAnsi="Arial" w:cs="Arial"/>
          <w:bCs/>
          <w:sz w:val="24"/>
          <w:szCs w:val="24"/>
          <w:lang w:val="en-GB"/>
        </w:rPr>
        <w:t xml:space="preserve"> excluding VAT.</w:t>
      </w:r>
      <w:r w:rsidR="00BC76ED" w:rsidRPr="00811277">
        <w:rPr>
          <w:rFonts w:ascii="Arial" w:eastAsia="Times New Roman" w:hAnsi="Arial" w:cs="Arial"/>
          <w:bCs/>
          <w:sz w:val="24"/>
          <w:szCs w:val="24"/>
          <w:lang w:val="en-GB"/>
        </w:rPr>
        <w:t xml:space="preserve"> </w:t>
      </w:r>
      <w:r w:rsidR="00E55871" w:rsidRPr="00811277">
        <w:rPr>
          <w:rFonts w:ascii="Arial" w:eastAsia="Times New Roman" w:hAnsi="Arial" w:cs="Arial"/>
          <w:bCs/>
          <w:sz w:val="24"/>
          <w:szCs w:val="24"/>
          <w:lang w:val="en-GB"/>
        </w:rPr>
        <w:t>This</w:t>
      </w:r>
      <w:r w:rsidR="00BC76ED" w:rsidRPr="00811277">
        <w:rPr>
          <w:rFonts w:ascii="Arial" w:eastAsia="Times New Roman" w:hAnsi="Arial" w:cs="Arial"/>
          <w:bCs/>
          <w:sz w:val="24"/>
          <w:szCs w:val="24"/>
          <w:lang w:val="en-GB"/>
        </w:rPr>
        <w:t xml:space="preserve"> was accordingly the initial levy which was </w:t>
      </w:r>
      <w:r w:rsidR="00CB4BA6" w:rsidRPr="00811277">
        <w:rPr>
          <w:rFonts w:ascii="Arial" w:eastAsia="Times New Roman" w:hAnsi="Arial" w:cs="Arial"/>
          <w:bCs/>
          <w:sz w:val="24"/>
          <w:szCs w:val="24"/>
          <w:lang w:val="en-GB"/>
        </w:rPr>
        <w:t>imposed</w:t>
      </w:r>
      <w:r w:rsidR="00BC76ED" w:rsidRPr="00811277">
        <w:rPr>
          <w:rFonts w:ascii="Arial" w:eastAsia="Times New Roman" w:hAnsi="Arial" w:cs="Arial"/>
          <w:bCs/>
          <w:sz w:val="24"/>
          <w:szCs w:val="24"/>
          <w:lang w:val="en-GB"/>
        </w:rPr>
        <w:t>.</w:t>
      </w:r>
      <w:r w:rsidR="00D174F9" w:rsidRPr="00811277">
        <w:rPr>
          <w:rFonts w:ascii="Arial" w:eastAsia="Times New Roman" w:hAnsi="Arial" w:cs="Arial"/>
          <w:bCs/>
          <w:sz w:val="24"/>
          <w:szCs w:val="24"/>
          <w:lang w:val="en-GB"/>
        </w:rPr>
        <w:t xml:space="preserve"> S</w:t>
      </w:r>
      <w:r w:rsidR="004F67F0" w:rsidRPr="00811277">
        <w:rPr>
          <w:rFonts w:ascii="Arial" w:eastAsia="Times New Roman" w:hAnsi="Arial" w:cs="Arial"/>
          <w:bCs/>
          <w:sz w:val="24"/>
          <w:szCs w:val="24"/>
          <w:lang w:val="en-GB"/>
        </w:rPr>
        <w:t>ub</w:t>
      </w:r>
      <w:r w:rsidR="00CB4BA6" w:rsidRPr="00811277">
        <w:rPr>
          <w:rFonts w:ascii="Arial" w:eastAsia="Times New Roman" w:hAnsi="Arial" w:cs="Arial"/>
          <w:bCs/>
          <w:sz w:val="24"/>
          <w:szCs w:val="24"/>
          <w:lang w:val="en-GB"/>
        </w:rPr>
        <w:t xml:space="preserve">sequent to its promulgation </w:t>
      </w:r>
      <w:r w:rsidR="00D174F9" w:rsidRPr="00811277">
        <w:rPr>
          <w:rFonts w:ascii="Arial" w:eastAsia="Times New Roman" w:hAnsi="Arial" w:cs="Arial"/>
          <w:bCs/>
          <w:sz w:val="24"/>
          <w:szCs w:val="24"/>
          <w:lang w:val="en-GB"/>
        </w:rPr>
        <w:t>it</w:t>
      </w:r>
      <w:r w:rsidR="00802A6F" w:rsidRPr="00811277">
        <w:rPr>
          <w:rFonts w:ascii="Arial" w:eastAsia="Times New Roman" w:hAnsi="Arial" w:cs="Arial"/>
          <w:bCs/>
          <w:sz w:val="24"/>
          <w:szCs w:val="24"/>
          <w:lang w:val="en-GB"/>
        </w:rPr>
        <w:t xml:space="preserve"> was never increased or decreased and remained the same for the 4</w:t>
      </w:r>
      <w:r w:rsidR="009E6A15" w:rsidRPr="00811277">
        <w:rPr>
          <w:rFonts w:ascii="Arial" w:eastAsia="Times New Roman" w:hAnsi="Arial" w:cs="Arial"/>
          <w:bCs/>
          <w:sz w:val="24"/>
          <w:szCs w:val="24"/>
          <w:lang w:val="en-GB"/>
        </w:rPr>
        <w:t xml:space="preserve">½ years </w:t>
      </w:r>
      <w:r w:rsidR="00802A6F" w:rsidRPr="00811277">
        <w:rPr>
          <w:rFonts w:ascii="Arial" w:eastAsia="Times New Roman" w:hAnsi="Arial" w:cs="Arial"/>
          <w:bCs/>
          <w:sz w:val="24"/>
          <w:szCs w:val="24"/>
          <w:lang w:val="en-GB"/>
        </w:rPr>
        <w:t>relevant to this matter</w:t>
      </w:r>
      <w:r w:rsidR="00E55871" w:rsidRPr="00811277">
        <w:rPr>
          <w:rFonts w:ascii="Arial" w:eastAsia="Times New Roman" w:hAnsi="Arial" w:cs="Arial"/>
          <w:bCs/>
          <w:sz w:val="24"/>
          <w:szCs w:val="24"/>
          <w:lang w:val="en-GB"/>
        </w:rPr>
        <w:t>,</w:t>
      </w:r>
      <w:r w:rsidR="00802A6F" w:rsidRPr="00811277">
        <w:rPr>
          <w:rFonts w:ascii="Arial" w:eastAsia="Times New Roman" w:hAnsi="Arial" w:cs="Arial"/>
          <w:bCs/>
          <w:sz w:val="24"/>
          <w:szCs w:val="24"/>
          <w:lang w:val="en-GB"/>
        </w:rPr>
        <w:t xml:space="preserve"> from the </w:t>
      </w:r>
      <w:r w:rsidR="00CB4BA6" w:rsidRPr="00811277">
        <w:rPr>
          <w:rFonts w:ascii="Arial" w:eastAsia="Times New Roman" w:hAnsi="Arial" w:cs="Arial"/>
          <w:bCs/>
          <w:sz w:val="24"/>
          <w:szCs w:val="24"/>
          <w:lang w:val="en-GB"/>
        </w:rPr>
        <w:t>gazetting</w:t>
      </w:r>
      <w:r w:rsidR="00802A6F" w:rsidRPr="00811277">
        <w:rPr>
          <w:rFonts w:ascii="Arial" w:eastAsia="Times New Roman" w:hAnsi="Arial" w:cs="Arial"/>
          <w:bCs/>
          <w:sz w:val="24"/>
          <w:szCs w:val="24"/>
          <w:lang w:val="en-GB"/>
        </w:rPr>
        <w:t xml:space="preserve"> of the plan at the end of November 2012 until </w:t>
      </w:r>
      <w:r w:rsidR="001774A6" w:rsidRPr="00811277">
        <w:rPr>
          <w:rFonts w:ascii="Arial" w:eastAsia="Times New Roman" w:hAnsi="Arial" w:cs="Arial"/>
          <w:bCs/>
          <w:sz w:val="24"/>
          <w:szCs w:val="24"/>
          <w:lang w:val="en-GB"/>
        </w:rPr>
        <w:t>May</w:t>
      </w:r>
      <w:r w:rsidR="00802A6F" w:rsidRPr="00811277">
        <w:rPr>
          <w:rFonts w:ascii="Arial" w:eastAsia="Times New Roman" w:hAnsi="Arial" w:cs="Arial"/>
          <w:bCs/>
          <w:sz w:val="24"/>
          <w:szCs w:val="24"/>
          <w:lang w:val="en-GB"/>
        </w:rPr>
        <w:t xml:space="preserve"> 2017. </w:t>
      </w:r>
    </w:p>
    <w:p w14:paraId="353A7ADE" w14:textId="66944197" w:rsidR="00E55871"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13.</w:t>
      </w:r>
      <w:r>
        <w:rPr>
          <w:rFonts w:ascii="Arial" w:eastAsia="Times New Roman" w:hAnsi="Arial" w:cs="Arial"/>
          <w:bCs/>
          <w:kern w:val="0"/>
          <w:sz w:val="24"/>
          <w:szCs w:val="24"/>
          <w:lang w:val="en-GB"/>
          <w14:ligatures w14:val="none"/>
        </w:rPr>
        <w:tab/>
      </w:r>
      <w:r w:rsidR="00802A6F" w:rsidRPr="00811277">
        <w:rPr>
          <w:rFonts w:ascii="Arial" w:eastAsia="Times New Roman" w:hAnsi="Arial" w:cs="Arial"/>
          <w:bCs/>
          <w:sz w:val="24"/>
          <w:szCs w:val="24"/>
          <w:lang w:val="en-GB"/>
        </w:rPr>
        <w:t>It is common cause that the appellant subscribed to the plan.</w:t>
      </w:r>
      <w:r w:rsidR="00D33FD9" w:rsidRPr="00811277">
        <w:rPr>
          <w:rFonts w:ascii="Arial" w:eastAsia="Times New Roman" w:hAnsi="Arial" w:cs="Arial"/>
          <w:bCs/>
          <w:sz w:val="24"/>
          <w:szCs w:val="24"/>
          <w:lang w:val="en-GB"/>
        </w:rPr>
        <w:t xml:space="preserve"> Although</w:t>
      </w:r>
      <w:r w:rsidR="00802A6F" w:rsidRPr="00811277">
        <w:rPr>
          <w:rFonts w:ascii="Arial" w:eastAsia="Times New Roman" w:hAnsi="Arial" w:cs="Arial"/>
          <w:bCs/>
          <w:sz w:val="24"/>
          <w:szCs w:val="24"/>
          <w:lang w:val="en-GB"/>
        </w:rPr>
        <w:t xml:space="preserve"> </w:t>
      </w:r>
      <w:r w:rsidR="00D33FD9" w:rsidRPr="00811277">
        <w:rPr>
          <w:rFonts w:ascii="Arial" w:eastAsia="Times New Roman" w:hAnsi="Arial" w:cs="Arial"/>
          <w:bCs/>
          <w:sz w:val="24"/>
          <w:szCs w:val="24"/>
          <w:lang w:val="en-GB"/>
        </w:rPr>
        <w:t>i</w:t>
      </w:r>
      <w:r w:rsidR="00802A6F" w:rsidRPr="00811277">
        <w:rPr>
          <w:rFonts w:ascii="Arial" w:eastAsia="Times New Roman" w:hAnsi="Arial" w:cs="Arial"/>
          <w:bCs/>
          <w:sz w:val="24"/>
          <w:szCs w:val="24"/>
          <w:lang w:val="en-GB"/>
        </w:rPr>
        <w:t xml:space="preserve">t </w:t>
      </w:r>
      <w:r w:rsidR="003525B5" w:rsidRPr="00811277">
        <w:rPr>
          <w:rFonts w:ascii="Arial" w:eastAsia="Times New Roman" w:hAnsi="Arial" w:cs="Arial"/>
          <w:bCs/>
          <w:sz w:val="24"/>
          <w:szCs w:val="24"/>
          <w:lang w:val="en-GB"/>
        </w:rPr>
        <w:t xml:space="preserve">only </w:t>
      </w:r>
      <w:r w:rsidR="00802A6F" w:rsidRPr="00811277">
        <w:rPr>
          <w:rFonts w:ascii="Arial" w:eastAsia="Times New Roman" w:hAnsi="Arial" w:cs="Arial"/>
          <w:bCs/>
          <w:sz w:val="24"/>
          <w:szCs w:val="24"/>
          <w:lang w:val="en-GB"/>
        </w:rPr>
        <w:t xml:space="preserve">signed a deed of adherence </w:t>
      </w:r>
      <w:r w:rsidR="00471F82" w:rsidRPr="00811277">
        <w:rPr>
          <w:rFonts w:ascii="Arial" w:eastAsia="Times New Roman" w:hAnsi="Arial" w:cs="Arial"/>
          <w:bCs/>
          <w:sz w:val="24"/>
          <w:szCs w:val="24"/>
          <w:lang w:val="en-GB"/>
        </w:rPr>
        <w:t xml:space="preserve">in </w:t>
      </w:r>
      <w:r w:rsidR="00802A6F" w:rsidRPr="00811277">
        <w:rPr>
          <w:rFonts w:ascii="Arial" w:eastAsia="Times New Roman" w:hAnsi="Arial" w:cs="Arial"/>
          <w:bCs/>
          <w:sz w:val="24"/>
          <w:szCs w:val="24"/>
          <w:lang w:val="en-GB"/>
        </w:rPr>
        <w:t xml:space="preserve">respect of the 2011 </w:t>
      </w:r>
      <w:r w:rsidR="00471F82" w:rsidRPr="00811277">
        <w:rPr>
          <w:rFonts w:ascii="Arial" w:eastAsia="Times New Roman" w:hAnsi="Arial" w:cs="Arial"/>
          <w:bCs/>
          <w:sz w:val="24"/>
          <w:szCs w:val="24"/>
          <w:lang w:val="en-GB"/>
        </w:rPr>
        <w:t>first draft</w:t>
      </w:r>
      <w:r w:rsidR="00802A6F" w:rsidRPr="00811277">
        <w:rPr>
          <w:rFonts w:ascii="Arial" w:eastAsia="Times New Roman" w:hAnsi="Arial" w:cs="Arial"/>
          <w:bCs/>
          <w:sz w:val="24"/>
          <w:szCs w:val="24"/>
          <w:lang w:val="en-GB"/>
        </w:rPr>
        <w:t xml:space="preserve"> </w:t>
      </w:r>
      <w:r w:rsidR="0065494B" w:rsidRPr="00811277">
        <w:rPr>
          <w:rFonts w:ascii="Arial" w:eastAsia="Times New Roman" w:hAnsi="Arial" w:cs="Arial"/>
          <w:bCs/>
          <w:sz w:val="24"/>
          <w:szCs w:val="24"/>
          <w:lang w:val="en-GB"/>
        </w:rPr>
        <w:t>thereof</w:t>
      </w:r>
      <w:r w:rsidR="00D33FD9" w:rsidRPr="00811277">
        <w:rPr>
          <w:rFonts w:ascii="Arial" w:eastAsia="Times New Roman" w:hAnsi="Arial" w:cs="Arial"/>
          <w:bCs/>
          <w:sz w:val="24"/>
          <w:szCs w:val="24"/>
          <w:lang w:val="en-GB"/>
        </w:rPr>
        <w:t xml:space="preserve"> </w:t>
      </w:r>
      <w:r w:rsidR="003525B5" w:rsidRPr="00811277">
        <w:rPr>
          <w:rFonts w:ascii="Arial" w:eastAsia="Times New Roman" w:hAnsi="Arial" w:cs="Arial"/>
          <w:bCs/>
          <w:sz w:val="24"/>
          <w:szCs w:val="24"/>
          <w:lang w:val="en-GB"/>
        </w:rPr>
        <w:t>a</w:t>
      </w:r>
      <w:r w:rsidR="00D33FD9" w:rsidRPr="00811277">
        <w:rPr>
          <w:rFonts w:ascii="Arial" w:eastAsia="Times New Roman" w:hAnsi="Arial" w:cs="Arial"/>
          <w:bCs/>
          <w:sz w:val="24"/>
          <w:szCs w:val="24"/>
          <w:lang w:val="en-GB"/>
        </w:rPr>
        <w:t>nd</w:t>
      </w:r>
      <w:r w:rsidR="00802A6F" w:rsidRPr="00811277">
        <w:rPr>
          <w:rFonts w:ascii="Arial" w:eastAsia="Times New Roman" w:hAnsi="Arial" w:cs="Arial"/>
          <w:bCs/>
          <w:sz w:val="24"/>
          <w:szCs w:val="24"/>
          <w:lang w:val="en-GB"/>
        </w:rPr>
        <w:t xml:space="preserve"> did not sign another </w:t>
      </w:r>
      <w:r w:rsidR="0065494B" w:rsidRPr="00811277">
        <w:rPr>
          <w:rFonts w:ascii="Arial" w:eastAsia="Times New Roman" w:hAnsi="Arial" w:cs="Arial"/>
          <w:bCs/>
          <w:sz w:val="24"/>
          <w:szCs w:val="24"/>
          <w:lang w:val="en-GB"/>
        </w:rPr>
        <w:t>deed</w:t>
      </w:r>
      <w:r w:rsidR="00802A6F" w:rsidRPr="00811277">
        <w:rPr>
          <w:rFonts w:ascii="Arial" w:eastAsia="Times New Roman" w:hAnsi="Arial" w:cs="Arial"/>
          <w:bCs/>
          <w:sz w:val="24"/>
          <w:szCs w:val="24"/>
          <w:lang w:val="en-GB"/>
        </w:rPr>
        <w:t xml:space="preserve"> in respect of the final draft that was approved a year </w:t>
      </w:r>
      <w:r w:rsidR="00D33FD9" w:rsidRPr="00811277">
        <w:rPr>
          <w:rFonts w:ascii="Arial" w:eastAsia="Times New Roman" w:hAnsi="Arial" w:cs="Arial"/>
          <w:bCs/>
          <w:sz w:val="24"/>
          <w:szCs w:val="24"/>
          <w:lang w:val="en-GB"/>
        </w:rPr>
        <w:t xml:space="preserve">later, it </w:t>
      </w:r>
      <w:r w:rsidR="00802A6F" w:rsidRPr="00811277">
        <w:rPr>
          <w:rFonts w:ascii="Arial" w:eastAsia="Times New Roman" w:hAnsi="Arial" w:cs="Arial"/>
          <w:bCs/>
          <w:sz w:val="24"/>
          <w:szCs w:val="24"/>
          <w:lang w:val="en-GB"/>
        </w:rPr>
        <w:t>was listed as a confirmed subscriber</w:t>
      </w:r>
      <w:r w:rsidR="00D174F9" w:rsidRPr="00811277">
        <w:rPr>
          <w:rFonts w:ascii="Arial" w:eastAsia="Times New Roman" w:hAnsi="Arial" w:cs="Arial"/>
          <w:bCs/>
          <w:sz w:val="24"/>
          <w:szCs w:val="24"/>
          <w:lang w:val="en-GB"/>
        </w:rPr>
        <w:t xml:space="preserve"> in the gazetted plan</w:t>
      </w:r>
      <w:r w:rsidR="00802A6F" w:rsidRPr="00811277">
        <w:rPr>
          <w:rFonts w:ascii="Arial" w:eastAsia="Times New Roman" w:hAnsi="Arial" w:cs="Arial"/>
          <w:bCs/>
          <w:sz w:val="24"/>
          <w:szCs w:val="24"/>
          <w:lang w:val="en-GB"/>
        </w:rPr>
        <w:t xml:space="preserve">. </w:t>
      </w:r>
    </w:p>
    <w:p w14:paraId="728524B7" w14:textId="41A9C874" w:rsidR="006E7B94"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14.</w:t>
      </w:r>
      <w:r>
        <w:rPr>
          <w:rFonts w:ascii="Arial" w:eastAsia="Times New Roman" w:hAnsi="Arial" w:cs="Arial"/>
          <w:bCs/>
          <w:kern w:val="0"/>
          <w:sz w:val="24"/>
          <w:szCs w:val="24"/>
          <w:lang w:val="en-GB"/>
          <w14:ligatures w14:val="none"/>
        </w:rPr>
        <w:tab/>
      </w:r>
      <w:r w:rsidR="00D33FD9" w:rsidRPr="00811277">
        <w:rPr>
          <w:rFonts w:ascii="Arial" w:eastAsia="Times New Roman" w:hAnsi="Arial" w:cs="Arial"/>
          <w:bCs/>
          <w:sz w:val="24"/>
          <w:szCs w:val="24"/>
          <w:lang w:val="en-GB"/>
        </w:rPr>
        <w:t>T</w:t>
      </w:r>
      <w:r w:rsidR="00802A6F" w:rsidRPr="00811277">
        <w:rPr>
          <w:rFonts w:ascii="Arial" w:eastAsia="Times New Roman" w:hAnsi="Arial" w:cs="Arial"/>
          <w:bCs/>
          <w:sz w:val="24"/>
          <w:szCs w:val="24"/>
          <w:lang w:val="en-GB"/>
        </w:rPr>
        <w:t xml:space="preserve">he appellant rendered returns </w:t>
      </w:r>
      <w:r w:rsidR="006C439D" w:rsidRPr="00811277">
        <w:rPr>
          <w:rFonts w:ascii="Arial" w:eastAsia="Times New Roman" w:hAnsi="Arial" w:cs="Arial"/>
          <w:bCs/>
          <w:sz w:val="24"/>
          <w:szCs w:val="24"/>
          <w:lang w:val="en-GB"/>
        </w:rPr>
        <w:t xml:space="preserve">and paid its levies </w:t>
      </w:r>
      <w:r w:rsidR="00C91B39" w:rsidRPr="00811277">
        <w:rPr>
          <w:rFonts w:ascii="Arial" w:eastAsia="Times New Roman" w:hAnsi="Arial" w:cs="Arial"/>
          <w:bCs/>
          <w:sz w:val="24"/>
          <w:szCs w:val="24"/>
          <w:lang w:val="en-GB"/>
        </w:rPr>
        <w:t xml:space="preserve">for 4 years, </w:t>
      </w:r>
      <w:r w:rsidR="00802A6F" w:rsidRPr="00811277">
        <w:rPr>
          <w:rFonts w:ascii="Arial" w:eastAsia="Times New Roman" w:hAnsi="Arial" w:cs="Arial"/>
          <w:bCs/>
          <w:sz w:val="24"/>
          <w:szCs w:val="24"/>
          <w:lang w:val="en-GB"/>
        </w:rPr>
        <w:t xml:space="preserve">from the time when the plan was promulgated </w:t>
      </w:r>
      <w:r w:rsidR="00471F82" w:rsidRPr="00811277">
        <w:rPr>
          <w:rFonts w:ascii="Arial" w:eastAsia="Times New Roman" w:hAnsi="Arial" w:cs="Arial"/>
          <w:bCs/>
          <w:sz w:val="24"/>
          <w:szCs w:val="24"/>
          <w:lang w:val="en-GB"/>
        </w:rPr>
        <w:t xml:space="preserve">in November 2012 </w:t>
      </w:r>
      <w:r w:rsidR="00802A6F" w:rsidRPr="00811277">
        <w:rPr>
          <w:rFonts w:ascii="Arial" w:eastAsia="Times New Roman" w:hAnsi="Arial" w:cs="Arial"/>
          <w:bCs/>
          <w:sz w:val="24"/>
          <w:szCs w:val="24"/>
          <w:lang w:val="en-GB"/>
        </w:rPr>
        <w:t xml:space="preserve">until October 2016. Between October </w:t>
      </w:r>
      <w:r w:rsidR="00802A6F" w:rsidRPr="00811277">
        <w:rPr>
          <w:rFonts w:ascii="Arial" w:eastAsia="Times New Roman" w:hAnsi="Arial" w:cs="Arial"/>
          <w:bCs/>
          <w:sz w:val="24"/>
          <w:szCs w:val="24"/>
          <w:lang w:val="en-GB"/>
        </w:rPr>
        <w:lastRenderedPageBreak/>
        <w:t xml:space="preserve">2016 </w:t>
      </w:r>
      <w:r w:rsidR="00D33FD9" w:rsidRPr="00811277">
        <w:rPr>
          <w:rFonts w:ascii="Arial" w:eastAsia="Times New Roman" w:hAnsi="Arial" w:cs="Arial"/>
          <w:bCs/>
          <w:sz w:val="24"/>
          <w:szCs w:val="24"/>
          <w:lang w:val="en-GB"/>
        </w:rPr>
        <w:t>and January 2017 i</w:t>
      </w:r>
      <w:r w:rsidR="00802A6F" w:rsidRPr="00811277">
        <w:rPr>
          <w:rFonts w:ascii="Arial" w:eastAsia="Times New Roman" w:hAnsi="Arial" w:cs="Arial"/>
          <w:bCs/>
          <w:sz w:val="24"/>
          <w:szCs w:val="24"/>
          <w:lang w:val="en-GB"/>
        </w:rPr>
        <w:t>t continue</w:t>
      </w:r>
      <w:r w:rsidR="00161EB7" w:rsidRPr="00811277">
        <w:rPr>
          <w:rFonts w:ascii="Arial" w:eastAsia="Times New Roman" w:hAnsi="Arial" w:cs="Arial"/>
          <w:bCs/>
          <w:sz w:val="24"/>
          <w:szCs w:val="24"/>
          <w:lang w:val="en-GB"/>
        </w:rPr>
        <w:t>d</w:t>
      </w:r>
      <w:r w:rsidR="00802A6F" w:rsidRPr="00811277">
        <w:rPr>
          <w:rFonts w:ascii="Arial" w:eastAsia="Times New Roman" w:hAnsi="Arial" w:cs="Arial"/>
          <w:bCs/>
          <w:sz w:val="24"/>
          <w:szCs w:val="24"/>
          <w:lang w:val="en-GB"/>
        </w:rPr>
        <w:t xml:space="preserve"> to render returns but failed to make payment of</w:t>
      </w:r>
      <w:r w:rsidR="0065494B" w:rsidRPr="00811277">
        <w:rPr>
          <w:rFonts w:ascii="Arial" w:eastAsia="Times New Roman" w:hAnsi="Arial" w:cs="Arial"/>
          <w:bCs/>
          <w:sz w:val="24"/>
          <w:szCs w:val="24"/>
          <w:lang w:val="en-GB"/>
        </w:rPr>
        <w:t xml:space="preserve"> any of</w:t>
      </w:r>
      <w:r w:rsidR="00802A6F" w:rsidRPr="00811277">
        <w:rPr>
          <w:rFonts w:ascii="Arial" w:eastAsia="Times New Roman" w:hAnsi="Arial" w:cs="Arial"/>
          <w:bCs/>
          <w:sz w:val="24"/>
          <w:szCs w:val="24"/>
          <w:lang w:val="en-GB"/>
        </w:rPr>
        <w:t xml:space="preserve"> the amounts due in respect of </w:t>
      </w:r>
      <w:r w:rsidR="00E55871" w:rsidRPr="00811277">
        <w:rPr>
          <w:rFonts w:ascii="Arial" w:eastAsia="Times New Roman" w:hAnsi="Arial" w:cs="Arial"/>
          <w:bCs/>
          <w:sz w:val="24"/>
          <w:szCs w:val="24"/>
          <w:lang w:val="en-GB"/>
        </w:rPr>
        <w:t xml:space="preserve">the </w:t>
      </w:r>
      <w:r w:rsidR="00802A6F" w:rsidRPr="00811277">
        <w:rPr>
          <w:rFonts w:ascii="Arial" w:eastAsia="Times New Roman" w:hAnsi="Arial" w:cs="Arial"/>
          <w:bCs/>
          <w:sz w:val="24"/>
          <w:szCs w:val="24"/>
          <w:lang w:val="en-GB"/>
        </w:rPr>
        <w:t xml:space="preserve">invoices which were raised by </w:t>
      </w:r>
      <w:r w:rsidR="00161EB7" w:rsidRPr="00811277">
        <w:rPr>
          <w:rFonts w:ascii="Arial" w:eastAsia="Times New Roman" w:hAnsi="Arial" w:cs="Arial"/>
          <w:bCs/>
          <w:sz w:val="24"/>
          <w:szCs w:val="24"/>
          <w:lang w:val="en-GB"/>
        </w:rPr>
        <w:t>Redisa</w:t>
      </w:r>
      <w:r w:rsidR="00F35A07" w:rsidRPr="00811277">
        <w:rPr>
          <w:rFonts w:ascii="Arial" w:eastAsia="Times New Roman" w:hAnsi="Arial" w:cs="Arial"/>
          <w:bCs/>
          <w:sz w:val="24"/>
          <w:szCs w:val="24"/>
          <w:lang w:val="en-GB"/>
        </w:rPr>
        <w:t>, for th</w:t>
      </w:r>
      <w:r w:rsidR="00D33FD9" w:rsidRPr="00811277">
        <w:rPr>
          <w:rFonts w:ascii="Arial" w:eastAsia="Times New Roman" w:hAnsi="Arial" w:cs="Arial"/>
          <w:bCs/>
          <w:sz w:val="24"/>
          <w:szCs w:val="24"/>
          <w:lang w:val="en-GB"/>
        </w:rPr>
        <w:t>ose</w:t>
      </w:r>
      <w:r w:rsidR="00F35A07" w:rsidRPr="00811277">
        <w:rPr>
          <w:rFonts w:ascii="Arial" w:eastAsia="Times New Roman" w:hAnsi="Arial" w:cs="Arial"/>
          <w:bCs/>
          <w:sz w:val="24"/>
          <w:szCs w:val="24"/>
          <w:lang w:val="en-GB"/>
        </w:rPr>
        <w:t xml:space="preserve"> 4 months</w:t>
      </w:r>
      <w:r w:rsidR="006C439D" w:rsidRPr="00811277">
        <w:rPr>
          <w:rFonts w:ascii="Arial" w:eastAsia="Times New Roman" w:hAnsi="Arial" w:cs="Arial"/>
          <w:bCs/>
          <w:sz w:val="24"/>
          <w:szCs w:val="24"/>
          <w:lang w:val="en-GB"/>
        </w:rPr>
        <w:t>. The invoices</w:t>
      </w:r>
      <w:r w:rsidR="00802A6F" w:rsidRPr="00811277">
        <w:rPr>
          <w:rFonts w:ascii="Arial" w:eastAsia="Times New Roman" w:hAnsi="Arial" w:cs="Arial"/>
          <w:bCs/>
          <w:sz w:val="24"/>
          <w:szCs w:val="24"/>
          <w:lang w:val="en-GB"/>
        </w:rPr>
        <w:t xml:space="preserve"> </w:t>
      </w:r>
      <w:r w:rsidR="00C91B39" w:rsidRPr="00811277">
        <w:rPr>
          <w:rFonts w:ascii="Arial" w:eastAsia="Times New Roman" w:hAnsi="Arial" w:cs="Arial"/>
          <w:bCs/>
          <w:sz w:val="24"/>
          <w:szCs w:val="24"/>
          <w:lang w:val="en-GB"/>
        </w:rPr>
        <w:t xml:space="preserve">reflected </w:t>
      </w:r>
      <w:r w:rsidR="00802A6F" w:rsidRPr="00811277">
        <w:rPr>
          <w:rFonts w:ascii="Arial" w:eastAsia="Times New Roman" w:hAnsi="Arial" w:cs="Arial"/>
          <w:bCs/>
          <w:sz w:val="24"/>
          <w:szCs w:val="24"/>
          <w:lang w:val="en-GB"/>
        </w:rPr>
        <w:t>that</w:t>
      </w:r>
      <w:r w:rsidR="006E7B94" w:rsidRPr="00811277">
        <w:rPr>
          <w:rFonts w:ascii="Arial" w:eastAsia="Times New Roman" w:hAnsi="Arial" w:cs="Arial"/>
          <w:bCs/>
          <w:sz w:val="24"/>
          <w:szCs w:val="24"/>
          <w:lang w:val="en-GB"/>
        </w:rPr>
        <w:t>, cumulatively,</w:t>
      </w:r>
      <w:r w:rsidR="00802A6F" w:rsidRPr="00811277">
        <w:rPr>
          <w:rFonts w:ascii="Arial" w:eastAsia="Times New Roman" w:hAnsi="Arial" w:cs="Arial"/>
          <w:bCs/>
          <w:sz w:val="24"/>
          <w:szCs w:val="24"/>
          <w:lang w:val="en-GB"/>
        </w:rPr>
        <w:t xml:space="preserve"> </w:t>
      </w:r>
      <w:r w:rsidR="0065494B" w:rsidRPr="00811277">
        <w:rPr>
          <w:rFonts w:ascii="Arial" w:eastAsia="Times New Roman" w:hAnsi="Arial" w:cs="Arial"/>
          <w:bCs/>
          <w:sz w:val="24"/>
          <w:szCs w:val="24"/>
          <w:lang w:val="en-GB"/>
        </w:rPr>
        <w:t>the appellant</w:t>
      </w:r>
      <w:r w:rsidR="00802A6F" w:rsidRPr="00811277">
        <w:rPr>
          <w:rFonts w:ascii="Arial" w:eastAsia="Times New Roman" w:hAnsi="Arial" w:cs="Arial"/>
          <w:bCs/>
          <w:sz w:val="24"/>
          <w:szCs w:val="24"/>
          <w:lang w:val="en-GB"/>
        </w:rPr>
        <w:t xml:space="preserve"> owed the amount </w:t>
      </w:r>
      <w:r w:rsidR="006C439D" w:rsidRPr="00811277">
        <w:rPr>
          <w:rFonts w:ascii="Arial" w:eastAsia="Times New Roman" w:hAnsi="Arial" w:cs="Arial"/>
          <w:bCs/>
          <w:sz w:val="24"/>
          <w:szCs w:val="24"/>
          <w:lang w:val="en-GB"/>
        </w:rPr>
        <w:t xml:space="preserve">which was </w:t>
      </w:r>
      <w:r w:rsidR="00802A6F" w:rsidRPr="00811277">
        <w:rPr>
          <w:rFonts w:ascii="Arial" w:eastAsia="Times New Roman" w:hAnsi="Arial" w:cs="Arial"/>
          <w:bCs/>
          <w:sz w:val="24"/>
          <w:szCs w:val="24"/>
          <w:lang w:val="en-GB"/>
        </w:rPr>
        <w:t>claimed</w:t>
      </w:r>
      <w:r w:rsidR="0065494B" w:rsidRPr="00811277">
        <w:rPr>
          <w:rFonts w:ascii="Arial" w:eastAsia="Times New Roman" w:hAnsi="Arial" w:cs="Arial"/>
          <w:bCs/>
          <w:sz w:val="24"/>
          <w:szCs w:val="24"/>
          <w:lang w:val="en-GB"/>
        </w:rPr>
        <w:t xml:space="preserve"> in the application.</w:t>
      </w:r>
      <w:r w:rsidR="00161EB7" w:rsidRPr="00811277">
        <w:rPr>
          <w:rFonts w:ascii="Arial" w:eastAsia="Times New Roman" w:hAnsi="Arial" w:cs="Arial"/>
          <w:bCs/>
          <w:sz w:val="24"/>
          <w:szCs w:val="24"/>
          <w:lang w:val="en-GB"/>
        </w:rPr>
        <w:t xml:space="preserve"> </w:t>
      </w:r>
    </w:p>
    <w:p w14:paraId="0DF931C1" w14:textId="2188AF02" w:rsidR="001774A6"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15.</w:t>
      </w:r>
      <w:r>
        <w:rPr>
          <w:rFonts w:ascii="Arial" w:eastAsia="Times New Roman" w:hAnsi="Arial" w:cs="Arial"/>
          <w:bCs/>
          <w:kern w:val="0"/>
          <w:sz w:val="24"/>
          <w:szCs w:val="24"/>
          <w:lang w:val="en-GB"/>
          <w14:ligatures w14:val="none"/>
        </w:rPr>
        <w:tab/>
      </w:r>
      <w:r w:rsidR="001774A6" w:rsidRPr="00811277">
        <w:rPr>
          <w:rFonts w:ascii="Arial" w:eastAsia="Times New Roman" w:hAnsi="Arial" w:cs="Arial"/>
          <w:bCs/>
          <w:sz w:val="24"/>
          <w:szCs w:val="24"/>
          <w:lang w:val="en-GB"/>
        </w:rPr>
        <w:t>At no time during th</w:t>
      </w:r>
      <w:r w:rsidR="006C439D" w:rsidRPr="00811277">
        <w:rPr>
          <w:rFonts w:ascii="Arial" w:eastAsia="Times New Roman" w:hAnsi="Arial" w:cs="Arial"/>
          <w:bCs/>
          <w:sz w:val="24"/>
          <w:szCs w:val="24"/>
          <w:lang w:val="en-GB"/>
        </w:rPr>
        <w:t>e</w:t>
      </w:r>
      <w:r w:rsidR="001774A6" w:rsidRPr="00811277">
        <w:rPr>
          <w:rFonts w:ascii="Arial" w:eastAsia="Times New Roman" w:hAnsi="Arial" w:cs="Arial"/>
          <w:bCs/>
          <w:sz w:val="24"/>
          <w:szCs w:val="24"/>
          <w:lang w:val="en-GB"/>
        </w:rPr>
        <w:t xml:space="preserve"> period </w:t>
      </w:r>
      <w:r w:rsidR="006C439D" w:rsidRPr="00811277">
        <w:rPr>
          <w:rFonts w:ascii="Arial" w:eastAsia="Times New Roman" w:hAnsi="Arial" w:cs="Arial"/>
          <w:bCs/>
          <w:sz w:val="24"/>
          <w:szCs w:val="24"/>
          <w:lang w:val="en-GB"/>
        </w:rPr>
        <w:t>November 2012 to M</w:t>
      </w:r>
      <w:r w:rsidR="00E55871" w:rsidRPr="00811277">
        <w:rPr>
          <w:rFonts w:ascii="Arial" w:eastAsia="Times New Roman" w:hAnsi="Arial" w:cs="Arial"/>
          <w:bCs/>
          <w:sz w:val="24"/>
          <w:szCs w:val="24"/>
          <w:lang w:val="en-GB"/>
        </w:rPr>
        <w:t>ay</w:t>
      </w:r>
      <w:r w:rsidR="006C439D" w:rsidRPr="00811277">
        <w:rPr>
          <w:rFonts w:ascii="Arial" w:eastAsia="Times New Roman" w:hAnsi="Arial" w:cs="Arial"/>
          <w:bCs/>
          <w:sz w:val="24"/>
          <w:szCs w:val="24"/>
          <w:lang w:val="en-GB"/>
        </w:rPr>
        <w:t xml:space="preserve"> 2017 </w:t>
      </w:r>
      <w:r w:rsidR="001774A6" w:rsidRPr="00811277">
        <w:rPr>
          <w:rFonts w:ascii="Arial" w:eastAsia="Times New Roman" w:hAnsi="Arial" w:cs="Arial"/>
          <w:bCs/>
          <w:sz w:val="24"/>
          <w:szCs w:val="24"/>
          <w:lang w:val="en-GB"/>
        </w:rPr>
        <w:t xml:space="preserve">did </w:t>
      </w:r>
      <w:r w:rsidR="006C439D" w:rsidRPr="00811277">
        <w:rPr>
          <w:rFonts w:ascii="Arial" w:eastAsia="Times New Roman" w:hAnsi="Arial" w:cs="Arial"/>
          <w:bCs/>
          <w:sz w:val="24"/>
          <w:szCs w:val="24"/>
          <w:lang w:val="en-GB"/>
        </w:rPr>
        <w:t>the appellant</w:t>
      </w:r>
      <w:r w:rsidR="001774A6" w:rsidRPr="00811277">
        <w:rPr>
          <w:rFonts w:ascii="Arial" w:eastAsia="Times New Roman" w:hAnsi="Arial" w:cs="Arial"/>
          <w:bCs/>
          <w:sz w:val="24"/>
          <w:szCs w:val="24"/>
          <w:lang w:val="en-GB"/>
        </w:rPr>
        <w:t xml:space="preserve"> ever contend that the plan, or any provision thereof, was invalid, </w:t>
      </w:r>
      <w:r w:rsidR="0065494B" w:rsidRPr="00811277">
        <w:rPr>
          <w:rFonts w:ascii="Arial" w:eastAsia="Times New Roman" w:hAnsi="Arial" w:cs="Arial"/>
          <w:bCs/>
          <w:sz w:val="24"/>
          <w:szCs w:val="24"/>
          <w:lang w:val="en-GB"/>
        </w:rPr>
        <w:t>unlawful, or un</w:t>
      </w:r>
      <w:r w:rsidR="001774A6" w:rsidRPr="00811277">
        <w:rPr>
          <w:rFonts w:ascii="Arial" w:eastAsia="Times New Roman" w:hAnsi="Arial" w:cs="Arial"/>
          <w:bCs/>
          <w:sz w:val="24"/>
          <w:szCs w:val="24"/>
          <w:lang w:val="en-GB"/>
        </w:rPr>
        <w:t>enforceable</w:t>
      </w:r>
      <w:r w:rsidR="00025FC8" w:rsidRPr="00811277">
        <w:rPr>
          <w:rFonts w:ascii="Arial" w:eastAsia="Times New Roman" w:hAnsi="Arial" w:cs="Arial"/>
          <w:bCs/>
          <w:sz w:val="24"/>
          <w:szCs w:val="24"/>
          <w:lang w:val="en-GB"/>
        </w:rPr>
        <w:t>,</w:t>
      </w:r>
      <w:r w:rsidR="001774A6" w:rsidRPr="00811277">
        <w:rPr>
          <w:rFonts w:ascii="Arial" w:eastAsia="Times New Roman" w:hAnsi="Arial" w:cs="Arial"/>
          <w:bCs/>
          <w:sz w:val="24"/>
          <w:szCs w:val="24"/>
          <w:lang w:val="en-GB"/>
        </w:rPr>
        <w:t xml:space="preserve"> for any reason.</w:t>
      </w:r>
      <w:r w:rsidR="0065494B" w:rsidRPr="00811277">
        <w:rPr>
          <w:rFonts w:ascii="Arial" w:eastAsia="Times New Roman" w:hAnsi="Arial" w:cs="Arial"/>
          <w:bCs/>
          <w:sz w:val="24"/>
          <w:szCs w:val="24"/>
          <w:lang w:val="en-GB"/>
        </w:rPr>
        <w:t xml:space="preserve"> In fact, the appellant did not </w:t>
      </w:r>
      <w:r w:rsidR="00F53E23" w:rsidRPr="00811277">
        <w:rPr>
          <w:rFonts w:ascii="Arial" w:eastAsia="Times New Roman" w:hAnsi="Arial" w:cs="Arial"/>
          <w:bCs/>
          <w:sz w:val="24"/>
          <w:szCs w:val="24"/>
          <w:lang w:val="en-GB"/>
        </w:rPr>
        <w:t>contest the plan</w:t>
      </w:r>
      <w:r w:rsidR="0065494B" w:rsidRPr="00811277">
        <w:rPr>
          <w:rFonts w:ascii="Arial" w:eastAsia="Times New Roman" w:hAnsi="Arial" w:cs="Arial"/>
          <w:bCs/>
          <w:sz w:val="24"/>
          <w:szCs w:val="24"/>
          <w:lang w:val="en-GB"/>
        </w:rPr>
        <w:t xml:space="preserve"> until it was called upon to respond to the application which Redisa launched in September 2019, in which it sought to extract payment from </w:t>
      </w:r>
      <w:r w:rsidR="009E6A15" w:rsidRPr="00811277">
        <w:rPr>
          <w:rFonts w:ascii="Arial" w:eastAsia="Times New Roman" w:hAnsi="Arial" w:cs="Arial"/>
          <w:bCs/>
          <w:sz w:val="24"/>
          <w:szCs w:val="24"/>
          <w:lang w:val="en-GB"/>
        </w:rPr>
        <w:t>the appellant</w:t>
      </w:r>
      <w:r w:rsidR="0065494B" w:rsidRPr="00811277">
        <w:rPr>
          <w:rFonts w:ascii="Arial" w:eastAsia="Times New Roman" w:hAnsi="Arial" w:cs="Arial"/>
          <w:bCs/>
          <w:sz w:val="24"/>
          <w:szCs w:val="24"/>
          <w:lang w:val="en-GB"/>
        </w:rPr>
        <w:t xml:space="preserve">. </w:t>
      </w:r>
    </w:p>
    <w:p w14:paraId="3EB80B2C" w14:textId="65D2FAFD" w:rsidR="00984CF5" w:rsidRPr="00811277" w:rsidRDefault="00811277" w:rsidP="00811277">
      <w:pPr>
        <w:spacing w:line="360" w:lineRule="auto"/>
        <w:ind w:left="720" w:hanging="720"/>
        <w:jc w:val="both"/>
        <w:rPr>
          <w:rFonts w:ascii="Arial" w:eastAsia="Times New Roman" w:hAnsi="Arial" w:cs="Arial"/>
          <w:bCs/>
          <w:sz w:val="24"/>
          <w:szCs w:val="24"/>
          <w:lang w:val="en-GB"/>
        </w:rPr>
      </w:pPr>
      <w:r w:rsidRPr="001774A6">
        <w:rPr>
          <w:rFonts w:ascii="Arial" w:eastAsia="Times New Roman" w:hAnsi="Arial" w:cs="Arial"/>
          <w:bCs/>
          <w:kern w:val="0"/>
          <w:sz w:val="24"/>
          <w:szCs w:val="24"/>
          <w:lang w:val="en-GB"/>
          <w14:ligatures w14:val="none"/>
        </w:rPr>
        <w:t>16.</w:t>
      </w:r>
      <w:r w:rsidRPr="001774A6">
        <w:rPr>
          <w:rFonts w:ascii="Arial" w:eastAsia="Times New Roman" w:hAnsi="Arial" w:cs="Arial"/>
          <w:bCs/>
          <w:kern w:val="0"/>
          <w:sz w:val="24"/>
          <w:szCs w:val="24"/>
          <w:lang w:val="en-GB"/>
          <w14:ligatures w14:val="none"/>
        </w:rPr>
        <w:tab/>
      </w:r>
      <w:r w:rsidR="00802A6F" w:rsidRPr="00811277">
        <w:rPr>
          <w:rFonts w:ascii="Arial" w:eastAsia="Times New Roman" w:hAnsi="Arial" w:cs="Arial"/>
          <w:bCs/>
          <w:sz w:val="24"/>
          <w:szCs w:val="24"/>
          <w:lang w:val="en-GB"/>
        </w:rPr>
        <w:t xml:space="preserve">The appellant’s failure to make </w:t>
      </w:r>
      <w:r w:rsidR="00161EB7" w:rsidRPr="00811277">
        <w:rPr>
          <w:rFonts w:ascii="Arial" w:eastAsia="Times New Roman" w:hAnsi="Arial" w:cs="Arial"/>
          <w:bCs/>
          <w:sz w:val="24"/>
          <w:szCs w:val="24"/>
          <w:lang w:val="en-GB"/>
        </w:rPr>
        <w:t xml:space="preserve">any </w:t>
      </w:r>
      <w:r w:rsidR="00802A6F" w:rsidRPr="00811277">
        <w:rPr>
          <w:rFonts w:ascii="Arial" w:eastAsia="Times New Roman" w:hAnsi="Arial" w:cs="Arial"/>
          <w:bCs/>
          <w:sz w:val="24"/>
          <w:szCs w:val="24"/>
          <w:lang w:val="en-GB"/>
        </w:rPr>
        <w:t xml:space="preserve">payments that were due after October 2016 occurred </w:t>
      </w:r>
      <w:r w:rsidR="00686CE1" w:rsidRPr="00811277">
        <w:rPr>
          <w:rFonts w:ascii="Arial" w:eastAsia="Times New Roman" w:hAnsi="Arial" w:cs="Arial"/>
          <w:bCs/>
          <w:sz w:val="24"/>
          <w:szCs w:val="24"/>
          <w:lang w:val="en-GB"/>
        </w:rPr>
        <w:t>against</w:t>
      </w:r>
      <w:r w:rsidR="0065494B" w:rsidRPr="00811277">
        <w:rPr>
          <w:rFonts w:ascii="Arial" w:eastAsia="Times New Roman" w:hAnsi="Arial" w:cs="Arial"/>
          <w:bCs/>
          <w:sz w:val="24"/>
          <w:szCs w:val="24"/>
          <w:lang w:val="en-GB"/>
        </w:rPr>
        <w:t xml:space="preserve"> </w:t>
      </w:r>
      <w:r w:rsidR="00802A6F" w:rsidRPr="00811277">
        <w:rPr>
          <w:rFonts w:ascii="Arial" w:eastAsia="Times New Roman" w:hAnsi="Arial" w:cs="Arial"/>
          <w:bCs/>
          <w:sz w:val="24"/>
          <w:szCs w:val="24"/>
          <w:lang w:val="en-GB"/>
        </w:rPr>
        <w:t xml:space="preserve">the following </w:t>
      </w:r>
      <w:r w:rsidR="006E7B94" w:rsidRPr="00811277">
        <w:rPr>
          <w:rFonts w:ascii="Arial" w:eastAsia="Times New Roman" w:hAnsi="Arial" w:cs="Arial"/>
          <w:bCs/>
          <w:sz w:val="24"/>
          <w:szCs w:val="24"/>
          <w:lang w:val="en-GB"/>
        </w:rPr>
        <w:t>background</w:t>
      </w:r>
      <w:r w:rsidR="00802A6F" w:rsidRPr="00811277">
        <w:rPr>
          <w:rFonts w:ascii="Arial" w:eastAsia="Times New Roman" w:hAnsi="Arial" w:cs="Arial"/>
          <w:bCs/>
          <w:sz w:val="24"/>
          <w:szCs w:val="24"/>
          <w:lang w:val="en-GB"/>
        </w:rPr>
        <w:t>.</w:t>
      </w:r>
      <w:r w:rsidR="00DB369B">
        <w:rPr>
          <w:rStyle w:val="FootnoteReference"/>
          <w:rFonts w:ascii="Arial" w:eastAsia="Times New Roman" w:hAnsi="Arial" w:cs="Arial"/>
          <w:bCs/>
          <w:sz w:val="24"/>
          <w:szCs w:val="24"/>
          <w:lang w:val="en-GB"/>
        </w:rPr>
        <w:footnoteReference w:id="14"/>
      </w:r>
      <w:r w:rsidR="00802A6F" w:rsidRPr="00811277">
        <w:rPr>
          <w:rFonts w:ascii="Arial" w:eastAsia="Times New Roman" w:hAnsi="Arial" w:cs="Arial"/>
          <w:bCs/>
          <w:sz w:val="24"/>
          <w:szCs w:val="24"/>
          <w:lang w:val="en-GB"/>
        </w:rPr>
        <w:t xml:space="preserve"> </w:t>
      </w:r>
      <w:r w:rsidR="004F78B1" w:rsidRPr="00811277">
        <w:rPr>
          <w:rFonts w:ascii="Arial" w:eastAsia="Times New Roman" w:hAnsi="Arial" w:cs="Arial"/>
          <w:bCs/>
          <w:sz w:val="24"/>
          <w:szCs w:val="24"/>
          <w:lang w:val="en-GB"/>
        </w:rPr>
        <w:t>Towards the end of 2013</w:t>
      </w:r>
      <w:r w:rsidR="0076063D" w:rsidRPr="00811277">
        <w:rPr>
          <w:rFonts w:ascii="Arial" w:eastAsia="Times New Roman" w:hAnsi="Arial" w:cs="Arial"/>
          <w:bCs/>
          <w:sz w:val="24"/>
          <w:szCs w:val="24"/>
          <w:lang w:val="en-GB"/>
        </w:rPr>
        <w:t xml:space="preserve"> the </w:t>
      </w:r>
      <w:r w:rsidR="001774A6" w:rsidRPr="00811277">
        <w:rPr>
          <w:rFonts w:ascii="Arial" w:eastAsia="Times New Roman" w:hAnsi="Arial" w:cs="Arial"/>
          <w:bCs/>
          <w:sz w:val="24"/>
          <w:szCs w:val="24"/>
          <w:lang w:val="en-GB"/>
        </w:rPr>
        <w:t>government</w:t>
      </w:r>
      <w:r w:rsidR="0076063D" w:rsidRPr="00811277">
        <w:rPr>
          <w:rFonts w:ascii="Arial" w:eastAsia="Times New Roman" w:hAnsi="Arial" w:cs="Arial"/>
          <w:bCs/>
          <w:sz w:val="24"/>
          <w:szCs w:val="24"/>
          <w:lang w:val="en-GB"/>
        </w:rPr>
        <w:t xml:space="preserve"> indicated that it </w:t>
      </w:r>
      <w:r w:rsidR="00984CF5" w:rsidRPr="00811277">
        <w:rPr>
          <w:rFonts w:ascii="Arial" w:eastAsia="Times New Roman" w:hAnsi="Arial" w:cs="Arial"/>
          <w:bCs/>
          <w:sz w:val="24"/>
          <w:szCs w:val="24"/>
          <w:lang w:val="en-GB"/>
        </w:rPr>
        <w:t>intended</w:t>
      </w:r>
      <w:r w:rsidR="0076063D" w:rsidRPr="00811277">
        <w:rPr>
          <w:rFonts w:ascii="Arial" w:eastAsia="Times New Roman" w:hAnsi="Arial" w:cs="Arial"/>
          <w:bCs/>
          <w:sz w:val="24"/>
          <w:szCs w:val="24"/>
          <w:lang w:val="en-GB"/>
        </w:rPr>
        <w:t xml:space="preserve"> changing the funding model for waste management plans</w:t>
      </w:r>
      <w:r w:rsidR="0065494B" w:rsidRPr="00811277">
        <w:rPr>
          <w:rFonts w:ascii="Arial" w:eastAsia="Times New Roman" w:hAnsi="Arial" w:cs="Arial"/>
          <w:bCs/>
          <w:sz w:val="24"/>
          <w:szCs w:val="24"/>
          <w:lang w:val="en-GB"/>
        </w:rPr>
        <w:t xml:space="preserve"> adopted in terms of the Waste Act</w:t>
      </w:r>
      <w:r w:rsidR="0076063D" w:rsidRPr="00811277">
        <w:rPr>
          <w:rFonts w:ascii="Arial" w:eastAsia="Times New Roman" w:hAnsi="Arial" w:cs="Arial"/>
          <w:bCs/>
          <w:sz w:val="24"/>
          <w:szCs w:val="24"/>
          <w:lang w:val="en-GB"/>
        </w:rPr>
        <w:t xml:space="preserve">. For this purpose in </w:t>
      </w:r>
      <w:r w:rsidR="00802A6F" w:rsidRPr="00811277">
        <w:rPr>
          <w:rFonts w:ascii="Arial" w:eastAsia="Times New Roman" w:hAnsi="Arial" w:cs="Arial"/>
          <w:bCs/>
          <w:sz w:val="24"/>
          <w:szCs w:val="24"/>
          <w:lang w:val="en-GB"/>
        </w:rPr>
        <w:t>June 2014 an amendment</w:t>
      </w:r>
      <w:r w:rsidR="0076063D">
        <w:rPr>
          <w:rStyle w:val="FootnoteReference"/>
          <w:rFonts w:ascii="Arial" w:eastAsia="Times New Roman" w:hAnsi="Arial" w:cs="Arial"/>
          <w:bCs/>
          <w:sz w:val="24"/>
          <w:szCs w:val="24"/>
          <w:lang w:val="en-GB"/>
        </w:rPr>
        <w:footnoteReference w:id="15"/>
      </w:r>
      <w:r w:rsidR="006E7B94" w:rsidRPr="00811277">
        <w:rPr>
          <w:rFonts w:ascii="Arial" w:eastAsia="Times New Roman" w:hAnsi="Arial" w:cs="Arial"/>
          <w:bCs/>
          <w:sz w:val="24"/>
          <w:szCs w:val="24"/>
          <w:lang w:val="en-GB"/>
        </w:rPr>
        <w:t xml:space="preserve"> to the Waste Act</w:t>
      </w:r>
      <w:r w:rsidR="00802A6F" w:rsidRPr="00811277">
        <w:rPr>
          <w:rFonts w:ascii="Arial" w:eastAsia="Times New Roman" w:hAnsi="Arial" w:cs="Arial"/>
          <w:bCs/>
          <w:sz w:val="24"/>
          <w:szCs w:val="24"/>
          <w:lang w:val="en-GB"/>
        </w:rPr>
        <w:t xml:space="preserve"> was </w:t>
      </w:r>
      <w:r w:rsidR="009E6A15" w:rsidRPr="00811277">
        <w:rPr>
          <w:rFonts w:ascii="Arial" w:eastAsia="Times New Roman" w:hAnsi="Arial" w:cs="Arial"/>
          <w:bCs/>
          <w:sz w:val="24"/>
          <w:szCs w:val="24"/>
          <w:lang w:val="en-GB"/>
        </w:rPr>
        <w:t>passed</w:t>
      </w:r>
      <w:r w:rsidR="001774A6" w:rsidRPr="00811277">
        <w:rPr>
          <w:rFonts w:ascii="Arial" w:eastAsia="Times New Roman" w:hAnsi="Arial" w:cs="Arial"/>
          <w:bCs/>
          <w:sz w:val="24"/>
          <w:szCs w:val="24"/>
          <w:lang w:val="en-GB"/>
        </w:rPr>
        <w:t>,</w:t>
      </w:r>
      <w:r w:rsidR="00802A6F" w:rsidRPr="00811277">
        <w:rPr>
          <w:rFonts w:ascii="Arial" w:eastAsia="Times New Roman" w:hAnsi="Arial" w:cs="Arial"/>
          <w:bCs/>
          <w:sz w:val="24"/>
          <w:szCs w:val="24"/>
          <w:lang w:val="en-GB"/>
        </w:rPr>
        <w:t xml:space="preserve"> which provided that the Minister of </w:t>
      </w:r>
      <w:r w:rsidR="001335BA" w:rsidRPr="00811277">
        <w:rPr>
          <w:rFonts w:ascii="Arial" w:eastAsia="Times New Roman" w:hAnsi="Arial" w:cs="Arial"/>
          <w:bCs/>
          <w:sz w:val="24"/>
          <w:szCs w:val="24"/>
          <w:lang w:val="en-GB"/>
        </w:rPr>
        <w:t>E</w:t>
      </w:r>
      <w:r w:rsidR="00802A6F" w:rsidRPr="00811277">
        <w:rPr>
          <w:rFonts w:ascii="Arial" w:eastAsia="Times New Roman" w:hAnsi="Arial" w:cs="Arial"/>
          <w:bCs/>
          <w:sz w:val="24"/>
          <w:szCs w:val="24"/>
          <w:lang w:val="en-GB"/>
        </w:rPr>
        <w:t xml:space="preserve">nvironmental </w:t>
      </w:r>
      <w:r w:rsidR="001335BA" w:rsidRPr="00811277">
        <w:rPr>
          <w:rFonts w:ascii="Arial" w:eastAsia="Times New Roman" w:hAnsi="Arial" w:cs="Arial"/>
          <w:bCs/>
          <w:sz w:val="24"/>
          <w:szCs w:val="24"/>
          <w:lang w:val="en-GB"/>
        </w:rPr>
        <w:t>A</w:t>
      </w:r>
      <w:r w:rsidR="00802A6F" w:rsidRPr="00811277">
        <w:rPr>
          <w:rFonts w:ascii="Arial" w:eastAsia="Times New Roman" w:hAnsi="Arial" w:cs="Arial"/>
          <w:bCs/>
          <w:sz w:val="24"/>
          <w:szCs w:val="24"/>
          <w:lang w:val="en-GB"/>
        </w:rPr>
        <w:t xml:space="preserve">ffairs, in concurrence with the Minister of Finance, was to publish a </w:t>
      </w:r>
      <w:r w:rsidR="001335BA" w:rsidRPr="00811277">
        <w:rPr>
          <w:rFonts w:ascii="Arial" w:eastAsia="Times New Roman" w:hAnsi="Arial" w:cs="Arial"/>
          <w:bCs/>
          <w:sz w:val="24"/>
          <w:szCs w:val="24"/>
          <w:lang w:val="en-GB"/>
        </w:rPr>
        <w:t>‘</w:t>
      </w:r>
      <w:r w:rsidR="00984CF5" w:rsidRPr="00811277">
        <w:rPr>
          <w:rFonts w:ascii="Arial" w:eastAsia="Times New Roman" w:hAnsi="Arial" w:cs="Arial"/>
          <w:bCs/>
          <w:sz w:val="24"/>
          <w:szCs w:val="24"/>
          <w:lang w:val="en-GB"/>
        </w:rPr>
        <w:t>N</w:t>
      </w:r>
      <w:r w:rsidR="00802A6F" w:rsidRPr="00811277">
        <w:rPr>
          <w:rFonts w:ascii="Arial" w:eastAsia="Times New Roman" w:hAnsi="Arial" w:cs="Arial"/>
          <w:bCs/>
          <w:sz w:val="24"/>
          <w:szCs w:val="24"/>
          <w:lang w:val="en-GB"/>
        </w:rPr>
        <w:t xml:space="preserve">ational </w:t>
      </w:r>
      <w:r w:rsidR="00984CF5" w:rsidRPr="00811277">
        <w:rPr>
          <w:rFonts w:ascii="Arial" w:eastAsia="Times New Roman" w:hAnsi="Arial" w:cs="Arial"/>
          <w:bCs/>
          <w:sz w:val="24"/>
          <w:szCs w:val="24"/>
          <w:lang w:val="en-GB"/>
        </w:rPr>
        <w:t>P</w:t>
      </w:r>
      <w:r w:rsidR="00802A6F" w:rsidRPr="00811277">
        <w:rPr>
          <w:rFonts w:ascii="Arial" w:eastAsia="Times New Roman" w:hAnsi="Arial" w:cs="Arial"/>
          <w:bCs/>
          <w:sz w:val="24"/>
          <w:szCs w:val="24"/>
          <w:lang w:val="en-GB"/>
        </w:rPr>
        <w:t xml:space="preserve">ricing </w:t>
      </w:r>
      <w:r w:rsidR="00984CF5" w:rsidRPr="00811277">
        <w:rPr>
          <w:rFonts w:ascii="Arial" w:eastAsia="Times New Roman" w:hAnsi="Arial" w:cs="Arial"/>
          <w:bCs/>
          <w:sz w:val="24"/>
          <w:szCs w:val="24"/>
          <w:lang w:val="en-GB"/>
        </w:rPr>
        <w:t>S</w:t>
      </w:r>
      <w:r w:rsidR="00802A6F" w:rsidRPr="00811277">
        <w:rPr>
          <w:rFonts w:ascii="Arial" w:eastAsia="Times New Roman" w:hAnsi="Arial" w:cs="Arial"/>
          <w:bCs/>
          <w:sz w:val="24"/>
          <w:szCs w:val="24"/>
          <w:lang w:val="en-GB"/>
        </w:rPr>
        <w:t>trategy</w:t>
      </w:r>
      <w:r w:rsidR="001335BA" w:rsidRPr="00811277">
        <w:rPr>
          <w:rFonts w:ascii="Arial" w:eastAsia="Times New Roman" w:hAnsi="Arial" w:cs="Arial"/>
          <w:bCs/>
          <w:sz w:val="24"/>
          <w:szCs w:val="24"/>
          <w:lang w:val="en-GB"/>
        </w:rPr>
        <w:t xml:space="preserve">’ </w:t>
      </w:r>
      <w:r w:rsidR="006C439D" w:rsidRPr="00811277">
        <w:rPr>
          <w:rFonts w:ascii="Arial" w:eastAsia="Times New Roman" w:hAnsi="Arial" w:cs="Arial"/>
          <w:bCs/>
          <w:sz w:val="24"/>
          <w:szCs w:val="24"/>
          <w:lang w:val="en-GB"/>
        </w:rPr>
        <w:t>which would deal with</w:t>
      </w:r>
      <w:r w:rsidR="00802A6F" w:rsidRPr="00811277">
        <w:rPr>
          <w:rFonts w:ascii="Arial" w:eastAsia="Times New Roman" w:hAnsi="Arial" w:cs="Arial"/>
          <w:bCs/>
          <w:sz w:val="24"/>
          <w:szCs w:val="24"/>
          <w:lang w:val="en-GB"/>
        </w:rPr>
        <w:t xml:space="preserve"> </w:t>
      </w:r>
      <w:r w:rsidR="00984CF5" w:rsidRPr="00811277">
        <w:rPr>
          <w:rFonts w:ascii="Arial" w:eastAsia="Times New Roman" w:hAnsi="Arial" w:cs="Arial"/>
          <w:bCs/>
          <w:sz w:val="24"/>
          <w:szCs w:val="24"/>
          <w:lang w:val="en-GB"/>
        </w:rPr>
        <w:t xml:space="preserve">the </w:t>
      </w:r>
      <w:r w:rsidR="001335BA" w:rsidRPr="00811277">
        <w:rPr>
          <w:rFonts w:ascii="Arial" w:eastAsia="Times New Roman" w:hAnsi="Arial" w:cs="Arial"/>
          <w:bCs/>
          <w:sz w:val="24"/>
          <w:szCs w:val="24"/>
          <w:lang w:val="en-GB"/>
        </w:rPr>
        <w:t xml:space="preserve">funding </w:t>
      </w:r>
      <w:r w:rsidR="00984CF5" w:rsidRPr="00811277">
        <w:rPr>
          <w:rFonts w:ascii="Arial" w:eastAsia="Times New Roman" w:hAnsi="Arial" w:cs="Arial"/>
          <w:bCs/>
          <w:sz w:val="24"/>
          <w:szCs w:val="24"/>
          <w:lang w:val="en-GB"/>
        </w:rPr>
        <w:t xml:space="preserve">of </w:t>
      </w:r>
      <w:r w:rsidR="00802A6F" w:rsidRPr="00811277">
        <w:rPr>
          <w:rFonts w:ascii="Arial" w:eastAsia="Times New Roman" w:hAnsi="Arial" w:cs="Arial"/>
          <w:bCs/>
          <w:sz w:val="24"/>
          <w:szCs w:val="24"/>
          <w:lang w:val="en-GB"/>
        </w:rPr>
        <w:t xml:space="preserve">the management and disposal of waste. </w:t>
      </w:r>
      <w:r w:rsidR="001335BA" w:rsidRPr="00811277">
        <w:rPr>
          <w:rFonts w:ascii="Arial" w:eastAsia="Times New Roman" w:hAnsi="Arial" w:cs="Arial"/>
          <w:bCs/>
          <w:sz w:val="24"/>
          <w:szCs w:val="24"/>
          <w:lang w:val="en-GB"/>
        </w:rPr>
        <w:t>The</w:t>
      </w:r>
      <w:r w:rsidR="00802A6F" w:rsidRPr="00811277">
        <w:rPr>
          <w:rFonts w:ascii="Arial" w:eastAsia="Times New Roman" w:hAnsi="Arial" w:cs="Arial"/>
          <w:bCs/>
          <w:sz w:val="24"/>
          <w:szCs w:val="24"/>
          <w:lang w:val="en-GB"/>
        </w:rPr>
        <w:t xml:space="preserve"> </w:t>
      </w:r>
      <w:r w:rsidR="00984CF5" w:rsidRPr="00811277">
        <w:rPr>
          <w:rFonts w:ascii="Arial" w:eastAsia="Times New Roman" w:hAnsi="Arial" w:cs="Arial"/>
          <w:bCs/>
          <w:sz w:val="24"/>
          <w:szCs w:val="24"/>
          <w:lang w:val="en-GB"/>
        </w:rPr>
        <w:t>S</w:t>
      </w:r>
      <w:r w:rsidR="00802A6F" w:rsidRPr="00811277">
        <w:rPr>
          <w:rFonts w:ascii="Arial" w:eastAsia="Times New Roman" w:hAnsi="Arial" w:cs="Arial"/>
          <w:bCs/>
          <w:sz w:val="24"/>
          <w:szCs w:val="24"/>
          <w:lang w:val="en-GB"/>
        </w:rPr>
        <w:t>trategy was published on 11 August 2016</w:t>
      </w:r>
      <w:r w:rsidR="00FD484A" w:rsidRPr="00811277">
        <w:rPr>
          <w:rFonts w:ascii="Arial" w:eastAsia="Times New Roman" w:hAnsi="Arial" w:cs="Arial"/>
          <w:bCs/>
          <w:sz w:val="24"/>
          <w:szCs w:val="24"/>
          <w:lang w:val="en-GB"/>
        </w:rPr>
        <w:t>.</w:t>
      </w:r>
      <w:r w:rsidR="00802A6F" w:rsidRPr="00811277">
        <w:rPr>
          <w:rFonts w:ascii="Arial" w:eastAsia="Times New Roman" w:hAnsi="Arial" w:cs="Arial"/>
          <w:bCs/>
          <w:sz w:val="24"/>
          <w:szCs w:val="24"/>
          <w:lang w:val="en-GB"/>
        </w:rPr>
        <w:t xml:space="preserve"> </w:t>
      </w:r>
      <w:r w:rsidR="00FD484A" w:rsidRPr="00811277">
        <w:rPr>
          <w:rFonts w:ascii="Arial" w:eastAsia="Times New Roman" w:hAnsi="Arial" w:cs="Arial"/>
          <w:bCs/>
          <w:sz w:val="24"/>
          <w:szCs w:val="24"/>
          <w:lang w:val="en-GB"/>
        </w:rPr>
        <w:t xml:space="preserve">It proposed that waste plan fees/levies were to be collected directly by the State, rather than by the entities established to administer waste plans, who would be funded by grants from the State.   </w:t>
      </w:r>
    </w:p>
    <w:p w14:paraId="66E4E67F" w14:textId="2598A6E3" w:rsidR="008C4BF9"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17.</w:t>
      </w:r>
      <w:r>
        <w:rPr>
          <w:rFonts w:ascii="Arial" w:eastAsia="Times New Roman" w:hAnsi="Arial" w:cs="Arial"/>
          <w:bCs/>
          <w:kern w:val="0"/>
          <w:sz w:val="24"/>
          <w:szCs w:val="24"/>
          <w:lang w:val="en-GB"/>
          <w14:ligatures w14:val="none"/>
        </w:rPr>
        <w:tab/>
      </w:r>
      <w:r w:rsidR="00F440B9" w:rsidRPr="00811277">
        <w:rPr>
          <w:rFonts w:ascii="Arial" w:eastAsia="Times New Roman" w:hAnsi="Arial" w:cs="Arial"/>
          <w:bCs/>
          <w:sz w:val="24"/>
          <w:szCs w:val="24"/>
          <w:lang w:val="en-GB"/>
        </w:rPr>
        <w:t>O</w:t>
      </w:r>
      <w:r w:rsidR="0076063D" w:rsidRPr="00811277">
        <w:rPr>
          <w:rFonts w:ascii="Arial" w:eastAsia="Times New Roman" w:hAnsi="Arial" w:cs="Arial"/>
          <w:bCs/>
          <w:sz w:val="24"/>
          <w:szCs w:val="24"/>
          <w:lang w:val="en-GB"/>
        </w:rPr>
        <w:t xml:space="preserve">n 1 November 2016, following an audit which </w:t>
      </w:r>
      <w:r w:rsidR="0093154E" w:rsidRPr="00811277">
        <w:rPr>
          <w:rFonts w:ascii="Arial" w:eastAsia="Times New Roman" w:hAnsi="Arial" w:cs="Arial"/>
          <w:bCs/>
          <w:sz w:val="24"/>
          <w:szCs w:val="24"/>
          <w:lang w:val="en-GB"/>
        </w:rPr>
        <w:t>was</w:t>
      </w:r>
      <w:r w:rsidR="0076063D" w:rsidRPr="00811277">
        <w:rPr>
          <w:rFonts w:ascii="Arial" w:eastAsia="Times New Roman" w:hAnsi="Arial" w:cs="Arial"/>
          <w:bCs/>
          <w:sz w:val="24"/>
          <w:szCs w:val="24"/>
          <w:lang w:val="en-GB"/>
        </w:rPr>
        <w:t xml:space="preserve"> carried out</w:t>
      </w:r>
      <w:r w:rsidR="009855DD" w:rsidRPr="00811277">
        <w:rPr>
          <w:rFonts w:ascii="Arial" w:eastAsia="Times New Roman" w:hAnsi="Arial" w:cs="Arial"/>
          <w:bCs/>
          <w:sz w:val="24"/>
          <w:szCs w:val="24"/>
          <w:lang w:val="en-GB"/>
        </w:rPr>
        <w:t xml:space="preserve"> </w:t>
      </w:r>
      <w:r w:rsidR="0076063D" w:rsidRPr="00811277">
        <w:rPr>
          <w:rFonts w:ascii="Arial" w:eastAsia="Times New Roman" w:hAnsi="Arial" w:cs="Arial"/>
          <w:bCs/>
          <w:sz w:val="24"/>
          <w:szCs w:val="24"/>
          <w:lang w:val="en-GB"/>
        </w:rPr>
        <w:t xml:space="preserve">on </w:t>
      </w:r>
      <w:r w:rsidR="001774A6" w:rsidRPr="00811277">
        <w:rPr>
          <w:rFonts w:ascii="Arial" w:eastAsia="Times New Roman" w:hAnsi="Arial" w:cs="Arial"/>
          <w:bCs/>
          <w:sz w:val="24"/>
          <w:szCs w:val="24"/>
          <w:lang w:val="en-GB"/>
        </w:rPr>
        <w:t>Redisa the</w:t>
      </w:r>
      <w:r w:rsidR="009855DD" w:rsidRPr="00811277">
        <w:rPr>
          <w:rFonts w:ascii="Arial" w:eastAsia="Times New Roman" w:hAnsi="Arial" w:cs="Arial"/>
          <w:bCs/>
          <w:sz w:val="24"/>
          <w:szCs w:val="24"/>
          <w:lang w:val="en-GB"/>
        </w:rPr>
        <w:t xml:space="preserve"> </w:t>
      </w:r>
      <w:r w:rsidR="0076063D" w:rsidRPr="00811277">
        <w:rPr>
          <w:rFonts w:ascii="Arial" w:eastAsia="Times New Roman" w:hAnsi="Arial" w:cs="Arial"/>
          <w:bCs/>
          <w:sz w:val="24"/>
          <w:szCs w:val="24"/>
          <w:lang w:val="en-GB"/>
        </w:rPr>
        <w:t xml:space="preserve">Minister called upon </w:t>
      </w:r>
      <w:r w:rsidR="009855DD" w:rsidRPr="00811277">
        <w:rPr>
          <w:rFonts w:ascii="Arial" w:eastAsia="Times New Roman" w:hAnsi="Arial" w:cs="Arial"/>
          <w:bCs/>
          <w:sz w:val="24"/>
          <w:szCs w:val="24"/>
          <w:lang w:val="en-GB"/>
        </w:rPr>
        <w:t xml:space="preserve">it </w:t>
      </w:r>
      <w:r w:rsidR="0076063D" w:rsidRPr="00811277">
        <w:rPr>
          <w:rFonts w:ascii="Arial" w:eastAsia="Times New Roman" w:hAnsi="Arial" w:cs="Arial"/>
          <w:bCs/>
          <w:sz w:val="24"/>
          <w:szCs w:val="24"/>
          <w:lang w:val="en-GB"/>
        </w:rPr>
        <w:t xml:space="preserve">to provide written reasons, within 15 days, why </w:t>
      </w:r>
      <w:r w:rsidR="00AF4287" w:rsidRPr="00811277">
        <w:rPr>
          <w:rFonts w:ascii="Arial" w:eastAsia="Times New Roman" w:hAnsi="Arial" w:cs="Arial"/>
          <w:bCs/>
          <w:sz w:val="24"/>
          <w:szCs w:val="24"/>
          <w:lang w:val="en-GB"/>
        </w:rPr>
        <w:t xml:space="preserve">its </w:t>
      </w:r>
      <w:r w:rsidR="0076063D" w:rsidRPr="00811277">
        <w:rPr>
          <w:rFonts w:ascii="Arial" w:eastAsia="Times New Roman" w:hAnsi="Arial" w:cs="Arial"/>
          <w:bCs/>
          <w:sz w:val="24"/>
          <w:szCs w:val="24"/>
          <w:lang w:val="en-GB"/>
        </w:rPr>
        <w:t xml:space="preserve">plan should not be withdrawn.  </w:t>
      </w:r>
      <w:r w:rsidR="009855DD" w:rsidRPr="00811277">
        <w:rPr>
          <w:rFonts w:ascii="Arial" w:eastAsia="Times New Roman" w:hAnsi="Arial" w:cs="Arial"/>
          <w:bCs/>
          <w:sz w:val="24"/>
          <w:szCs w:val="24"/>
          <w:lang w:val="en-GB"/>
        </w:rPr>
        <w:t>A</w:t>
      </w:r>
      <w:r w:rsidR="0076063D" w:rsidRPr="00811277">
        <w:rPr>
          <w:rFonts w:ascii="Arial" w:eastAsia="Times New Roman" w:hAnsi="Arial" w:cs="Arial"/>
          <w:bCs/>
          <w:sz w:val="24"/>
          <w:szCs w:val="24"/>
          <w:lang w:val="en-GB"/>
        </w:rPr>
        <w:t xml:space="preserve">lthough </w:t>
      </w:r>
      <w:r w:rsidR="00AF4287" w:rsidRPr="00811277">
        <w:rPr>
          <w:rFonts w:ascii="Arial" w:eastAsia="Times New Roman" w:hAnsi="Arial" w:cs="Arial"/>
          <w:bCs/>
          <w:sz w:val="24"/>
          <w:szCs w:val="24"/>
          <w:lang w:val="en-GB"/>
        </w:rPr>
        <w:t>it</w:t>
      </w:r>
      <w:r w:rsidR="0076063D" w:rsidRPr="00811277">
        <w:rPr>
          <w:rFonts w:ascii="Arial" w:eastAsia="Times New Roman" w:hAnsi="Arial" w:cs="Arial"/>
          <w:bCs/>
          <w:sz w:val="24"/>
          <w:szCs w:val="24"/>
          <w:lang w:val="en-GB"/>
        </w:rPr>
        <w:t xml:space="preserve"> was given until 30 November </w:t>
      </w:r>
      <w:r w:rsidR="009855DD" w:rsidRPr="00811277">
        <w:rPr>
          <w:rFonts w:ascii="Arial" w:eastAsia="Times New Roman" w:hAnsi="Arial" w:cs="Arial"/>
          <w:bCs/>
          <w:sz w:val="24"/>
          <w:szCs w:val="24"/>
          <w:lang w:val="en-GB"/>
        </w:rPr>
        <w:t xml:space="preserve">2016 </w:t>
      </w:r>
      <w:r w:rsidR="0076063D" w:rsidRPr="00811277">
        <w:rPr>
          <w:rFonts w:ascii="Arial" w:eastAsia="Times New Roman" w:hAnsi="Arial" w:cs="Arial"/>
          <w:bCs/>
          <w:sz w:val="24"/>
          <w:szCs w:val="24"/>
          <w:lang w:val="en-GB"/>
        </w:rPr>
        <w:t xml:space="preserve">to respond, on which date </w:t>
      </w:r>
      <w:r w:rsidR="009855DD" w:rsidRPr="00811277">
        <w:rPr>
          <w:rFonts w:ascii="Arial" w:eastAsia="Times New Roman" w:hAnsi="Arial" w:cs="Arial"/>
          <w:bCs/>
          <w:sz w:val="24"/>
          <w:szCs w:val="24"/>
          <w:lang w:val="en-GB"/>
        </w:rPr>
        <w:t xml:space="preserve">it </w:t>
      </w:r>
      <w:r w:rsidR="008C4BF9" w:rsidRPr="00811277">
        <w:rPr>
          <w:rFonts w:ascii="Arial" w:eastAsia="Times New Roman" w:hAnsi="Arial" w:cs="Arial"/>
          <w:bCs/>
          <w:sz w:val="24"/>
          <w:szCs w:val="24"/>
          <w:lang w:val="en-GB"/>
        </w:rPr>
        <w:t xml:space="preserve">duly </w:t>
      </w:r>
      <w:r w:rsidR="0076063D" w:rsidRPr="00811277">
        <w:rPr>
          <w:rFonts w:ascii="Arial" w:eastAsia="Times New Roman" w:hAnsi="Arial" w:cs="Arial"/>
          <w:bCs/>
          <w:sz w:val="24"/>
          <w:szCs w:val="24"/>
          <w:lang w:val="en-GB"/>
        </w:rPr>
        <w:t xml:space="preserve">filed a comprehensive response, </w:t>
      </w:r>
      <w:r w:rsidR="009855DD" w:rsidRPr="00811277">
        <w:rPr>
          <w:rFonts w:ascii="Arial" w:eastAsia="Times New Roman" w:hAnsi="Arial" w:cs="Arial"/>
          <w:bCs/>
          <w:sz w:val="24"/>
          <w:szCs w:val="24"/>
          <w:lang w:val="en-GB"/>
        </w:rPr>
        <w:t>the Minister issued a directive</w:t>
      </w:r>
      <w:r w:rsidR="0076063D" w:rsidRPr="00811277">
        <w:rPr>
          <w:rFonts w:ascii="Arial" w:eastAsia="Times New Roman" w:hAnsi="Arial" w:cs="Arial"/>
          <w:bCs/>
          <w:sz w:val="24"/>
          <w:szCs w:val="24"/>
          <w:lang w:val="en-GB"/>
        </w:rPr>
        <w:t xml:space="preserve"> the </w:t>
      </w:r>
      <w:r w:rsidR="001774A6" w:rsidRPr="00811277">
        <w:rPr>
          <w:rFonts w:ascii="Arial" w:eastAsia="Times New Roman" w:hAnsi="Arial" w:cs="Arial"/>
          <w:bCs/>
          <w:sz w:val="24"/>
          <w:szCs w:val="24"/>
          <w:lang w:val="en-GB"/>
        </w:rPr>
        <w:t xml:space="preserve">preceding </w:t>
      </w:r>
      <w:r w:rsidR="0076063D" w:rsidRPr="00811277">
        <w:rPr>
          <w:rFonts w:ascii="Arial" w:eastAsia="Times New Roman" w:hAnsi="Arial" w:cs="Arial"/>
          <w:bCs/>
          <w:sz w:val="24"/>
          <w:szCs w:val="24"/>
          <w:lang w:val="en-GB"/>
        </w:rPr>
        <w:t>day</w:t>
      </w:r>
      <w:r w:rsidR="0009062D" w:rsidRPr="00811277">
        <w:rPr>
          <w:rFonts w:ascii="Arial" w:eastAsia="Times New Roman" w:hAnsi="Arial" w:cs="Arial"/>
          <w:bCs/>
          <w:sz w:val="24"/>
          <w:szCs w:val="24"/>
          <w:lang w:val="en-GB"/>
        </w:rPr>
        <w:t xml:space="preserve">, </w:t>
      </w:r>
      <w:r w:rsidR="0076063D" w:rsidRPr="00811277">
        <w:rPr>
          <w:rFonts w:ascii="Arial" w:eastAsia="Times New Roman" w:hAnsi="Arial" w:cs="Arial"/>
          <w:bCs/>
          <w:sz w:val="24"/>
          <w:szCs w:val="24"/>
          <w:lang w:val="en-GB"/>
        </w:rPr>
        <w:t>29 November 2016</w:t>
      </w:r>
      <w:r w:rsidR="0009062D" w:rsidRPr="00811277">
        <w:rPr>
          <w:rFonts w:ascii="Arial" w:eastAsia="Times New Roman" w:hAnsi="Arial" w:cs="Arial"/>
          <w:bCs/>
          <w:sz w:val="24"/>
          <w:szCs w:val="24"/>
          <w:lang w:val="en-GB"/>
        </w:rPr>
        <w:t>,</w:t>
      </w:r>
      <w:r w:rsidR="0076063D" w:rsidRPr="00811277">
        <w:rPr>
          <w:rFonts w:ascii="Arial" w:eastAsia="Times New Roman" w:hAnsi="Arial" w:cs="Arial"/>
          <w:bCs/>
          <w:sz w:val="24"/>
          <w:szCs w:val="24"/>
          <w:lang w:val="en-GB"/>
        </w:rPr>
        <w:t xml:space="preserve"> in which </w:t>
      </w:r>
      <w:r w:rsidR="006E7B94" w:rsidRPr="00811277">
        <w:rPr>
          <w:rFonts w:ascii="Arial" w:eastAsia="Times New Roman" w:hAnsi="Arial" w:cs="Arial"/>
          <w:bCs/>
          <w:sz w:val="24"/>
          <w:szCs w:val="24"/>
          <w:lang w:val="en-GB"/>
        </w:rPr>
        <w:t xml:space="preserve">she gave </w:t>
      </w:r>
      <w:r w:rsidR="009855DD" w:rsidRPr="00811277">
        <w:rPr>
          <w:rFonts w:ascii="Arial" w:eastAsia="Times New Roman" w:hAnsi="Arial" w:cs="Arial"/>
          <w:bCs/>
          <w:sz w:val="24"/>
          <w:szCs w:val="24"/>
          <w:lang w:val="en-GB"/>
        </w:rPr>
        <w:t>notice t</w:t>
      </w:r>
      <w:r w:rsidR="0076063D" w:rsidRPr="00811277">
        <w:rPr>
          <w:rFonts w:ascii="Arial" w:eastAsia="Times New Roman" w:hAnsi="Arial" w:cs="Arial"/>
          <w:bCs/>
          <w:sz w:val="24"/>
          <w:szCs w:val="24"/>
          <w:lang w:val="en-GB"/>
        </w:rPr>
        <w:t xml:space="preserve">hat she had assumed control </w:t>
      </w:r>
      <w:r w:rsidR="009855DD" w:rsidRPr="00811277">
        <w:rPr>
          <w:rFonts w:ascii="Arial" w:eastAsia="Times New Roman" w:hAnsi="Arial" w:cs="Arial"/>
          <w:bCs/>
          <w:sz w:val="24"/>
          <w:szCs w:val="24"/>
          <w:lang w:val="en-GB"/>
        </w:rPr>
        <w:t>over</w:t>
      </w:r>
      <w:r w:rsidR="0076063D" w:rsidRPr="00811277">
        <w:rPr>
          <w:rFonts w:ascii="Arial" w:eastAsia="Times New Roman" w:hAnsi="Arial" w:cs="Arial"/>
          <w:bCs/>
          <w:sz w:val="24"/>
          <w:szCs w:val="24"/>
          <w:lang w:val="en-GB"/>
        </w:rPr>
        <w:t xml:space="preserve"> </w:t>
      </w:r>
      <w:r w:rsidR="009E6A15" w:rsidRPr="00811277">
        <w:rPr>
          <w:rFonts w:ascii="Arial" w:eastAsia="Times New Roman" w:hAnsi="Arial" w:cs="Arial"/>
          <w:bCs/>
          <w:sz w:val="24"/>
          <w:szCs w:val="24"/>
          <w:lang w:val="en-GB"/>
        </w:rPr>
        <w:t>Redisa</w:t>
      </w:r>
      <w:r w:rsidR="0076063D" w:rsidRPr="00811277">
        <w:rPr>
          <w:rFonts w:ascii="Arial" w:eastAsia="Times New Roman" w:hAnsi="Arial" w:cs="Arial"/>
          <w:bCs/>
          <w:sz w:val="24"/>
          <w:szCs w:val="24"/>
          <w:lang w:val="en-GB"/>
        </w:rPr>
        <w:t xml:space="preserve"> and its operations</w:t>
      </w:r>
      <w:r w:rsidR="009E6A15" w:rsidRPr="00811277">
        <w:rPr>
          <w:rFonts w:ascii="Arial" w:eastAsia="Times New Roman" w:hAnsi="Arial" w:cs="Arial"/>
          <w:bCs/>
          <w:sz w:val="24"/>
          <w:szCs w:val="24"/>
          <w:lang w:val="en-GB"/>
        </w:rPr>
        <w:t>.</w:t>
      </w:r>
      <w:r w:rsidR="00AF4287" w:rsidRPr="00811277">
        <w:rPr>
          <w:rFonts w:ascii="Arial" w:eastAsia="Times New Roman" w:hAnsi="Arial" w:cs="Arial"/>
          <w:bCs/>
          <w:sz w:val="24"/>
          <w:szCs w:val="24"/>
          <w:lang w:val="en-GB"/>
        </w:rPr>
        <w:t xml:space="preserve"> </w:t>
      </w:r>
    </w:p>
    <w:p w14:paraId="1FB69DD9" w14:textId="47ABCD38" w:rsidR="00025FC8"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lastRenderedPageBreak/>
        <w:t>18.</w:t>
      </w:r>
      <w:r>
        <w:rPr>
          <w:rFonts w:ascii="Arial" w:eastAsia="Times New Roman" w:hAnsi="Arial" w:cs="Arial"/>
          <w:bCs/>
          <w:kern w:val="0"/>
          <w:sz w:val="24"/>
          <w:szCs w:val="24"/>
          <w:lang w:val="en-GB"/>
          <w14:ligatures w14:val="none"/>
        </w:rPr>
        <w:tab/>
      </w:r>
      <w:r w:rsidR="0076063D" w:rsidRPr="00811277">
        <w:rPr>
          <w:rFonts w:ascii="Arial" w:eastAsia="Times New Roman" w:hAnsi="Arial" w:cs="Arial"/>
          <w:bCs/>
          <w:sz w:val="24"/>
          <w:szCs w:val="24"/>
          <w:lang w:val="en-GB"/>
        </w:rPr>
        <w:t xml:space="preserve">Redisa </w:t>
      </w:r>
      <w:r w:rsidR="00025FC8" w:rsidRPr="00811277">
        <w:rPr>
          <w:rFonts w:ascii="Arial" w:eastAsia="Times New Roman" w:hAnsi="Arial" w:cs="Arial"/>
          <w:bCs/>
          <w:sz w:val="24"/>
          <w:szCs w:val="24"/>
          <w:lang w:val="en-GB"/>
        </w:rPr>
        <w:t xml:space="preserve">then </w:t>
      </w:r>
      <w:r w:rsidR="0095799E" w:rsidRPr="00811277">
        <w:rPr>
          <w:rFonts w:ascii="Arial" w:eastAsia="Times New Roman" w:hAnsi="Arial" w:cs="Arial"/>
          <w:bCs/>
          <w:sz w:val="24"/>
          <w:szCs w:val="24"/>
          <w:lang w:val="en-GB"/>
        </w:rPr>
        <w:t xml:space="preserve">launched </w:t>
      </w:r>
      <w:r w:rsidR="0076063D" w:rsidRPr="00811277">
        <w:rPr>
          <w:rFonts w:ascii="Arial" w:eastAsia="Times New Roman" w:hAnsi="Arial" w:cs="Arial"/>
          <w:bCs/>
          <w:sz w:val="24"/>
          <w:szCs w:val="24"/>
          <w:lang w:val="en-GB"/>
        </w:rPr>
        <w:t xml:space="preserve">an urgent application </w:t>
      </w:r>
      <w:r w:rsidR="00F440B9" w:rsidRPr="00811277">
        <w:rPr>
          <w:rFonts w:ascii="Arial" w:eastAsia="Times New Roman" w:hAnsi="Arial" w:cs="Arial"/>
          <w:bCs/>
          <w:sz w:val="24"/>
          <w:szCs w:val="24"/>
          <w:lang w:val="en-GB"/>
        </w:rPr>
        <w:t xml:space="preserve">in this </w:t>
      </w:r>
      <w:r w:rsidR="009855DD" w:rsidRPr="00811277">
        <w:rPr>
          <w:rFonts w:ascii="Arial" w:eastAsia="Times New Roman" w:hAnsi="Arial" w:cs="Arial"/>
          <w:bCs/>
          <w:sz w:val="24"/>
          <w:szCs w:val="24"/>
          <w:lang w:val="en-GB"/>
        </w:rPr>
        <w:t>C</w:t>
      </w:r>
      <w:r w:rsidR="00F440B9" w:rsidRPr="00811277">
        <w:rPr>
          <w:rFonts w:ascii="Arial" w:eastAsia="Times New Roman" w:hAnsi="Arial" w:cs="Arial"/>
          <w:bCs/>
          <w:sz w:val="24"/>
          <w:szCs w:val="24"/>
          <w:lang w:val="en-GB"/>
        </w:rPr>
        <w:t xml:space="preserve">ourt for an order interdicting the Minister from implementing </w:t>
      </w:r>
      <w:r w:rsidR="00AF4287" w:rsidRPr="00811277">
        <w:rPr>
          <w:rFonts w:ascii="Arial" w:eastAsia="Times New Roman" w:hAnsi="Arial" w:cs="Arial"/>
          <w:bCs/>
          <w:sz w:val="24"/>
          <w:szCs w:val="24"/>
          <w:lang w:val="en-GB"/>
        </w:rPr>
        <w:t>her</w:t>
      </w:r>
      <w:r w:rsidR="00F440B9" w:rsidRPr="00811277">
        <w:rPr>
          <w:rFonts w:ascii="Arial" w:eastAsia="Times New Roman" w:hAnsi="Arial" w:cs="Arial"/>
          <w:bCs/>
          <w:sz w:val="24"/>
          <w:szCs w:val="24"/>
          <w:lang w:val="en-GB"/>
        </w:rPr>
        <w:t xml:space="preserve"> directive, pending a review of it</w:t>
      </w:r>
      <w:r w:rsidR="009E6A15" w:rsidRPr="00811277">
        <w:rPr>
          <w:rFonts w:ascii="Arial" w:eastAsia="Times New Roman" w:hAnsi="Arial" w:cs="Arial"/>
          <w:bCs/>
          <w:sz w:val="24"/>
          <w:szCs w:val="24"/>
          <w:lang w:val="en-GB"/>
        </w:rPr>
        <w:t>.</w:t>
      </w:r>
      <w:r w:rsidR="00AF4287" w:rsidRPr="00811277">
        <w:rPr>
          <w:rFonts w:ascii="Arial" w:eastAsia="Times New Roman" w:hAnsi="Arial" w:cs="Arial"/>
          <w:bCs/>
          <w:sz w:val="24"/>
          <w:szCs w:val="24"/>
          <w:lang w:val="en-GB"/>
        </w:rPr>
        <w:t xml:space="preserve"> </w:t>
      </w:r>
      <w:r w:rsidR="009E6A15" w:rsidRPr="00811277">
        <w:rPr>
          <w:rFonts w:ascii="Arial" w:eastAsia="Times New Roman" w:hAnsi="Arial" w:cs="Arial"/>
          <w:bCs/>
          <w:sz w:val="24"/>
          <w:szCs w:val="24"/>
          <w:lang w:val="en-GB"/>
        </w:rPr>
        <w:t>A</w:t>
      </w:r>
      <w:r w:rsidR="00AF4287" w:rsidRPr="00811277">
        <w:rPr>
          <w:rFonts w:ascii="Arial" w:eastAsia="Times New Roman" w:hAnsi="Arial" w:cs="Arial"/>
          <w:bCs/>
          <w:sz w:val="24"/>
          <w:szCs w:val="24"/>
          <w:lang w:val="en-GB"/>
        </w:rPr>
        <w:t>n</w:t>
      </w:r>
      <w:r w:rsidR="00F440B9" w:rsidRPr="00811277">
        <w:rPr>
          <w:rFonts w:ascii="Arial" w:eastAsia="Times New Roman" w:hAnsi="Arial" w:cs="Arial"/>
          <w:bCs/>
          <w:sz w:val="24"/>
          <w:szCs w:val="24"/>
          <w:lang w:val="en-GB"/>
        </w:rPr>
        <w:t xml:space="preserve"> interim interdict was </w:t>
      </w:r>
      <w:r w:rsidR="004F67F0" w:rsidRPr="00811277">
        <w:rPr>
          <w:rFonts w:ascii="Arial" w:eastAsia="Times New Roman" w:hAnsi="Arial" w:cs="Arial"/>
          <w:bCs/>
          <w:sz w:val="24"/>
          <w:szCs w:val="24"/>
          <w:lang w:val="en-GB"/>
        </w:rPr>
        <w:t xml:space="preserve">duly </w:t>
      </w:r>
      <w:r w:rsidR="00F440B9" w:rsidRPr="00811277">
        <w:rPr>
          <w:rFonts w:ascii="Arial" w:eastAsia="Times New Roman" w:hAnsi="Arial" w:cs="Arial"/>
          <w:bCs/>
          <w:sz w:val="24"/>
          <w:szCs w:val="24"/>
          <w:lang w:val="en-GB"/>
        </w:rPr>
        <w:t xml:space="preserve">granted on 28 December 2016. </w:t>
      </w:r>
      <w:r w:rsidR="00050D65" w:rsidRPr="00811277">
        <w:rPr>
          <w:rFonts w:ascii="Arial" w:eastAsia="Times New Roman" w:hAnsi="Arial" w:cs="Arial"/>
          <w:bCs/>
          <w:sz w:val="24"/>
          <w:szCs w:val="24"/>
          <w:lang w:val="en-GB"/>
        </w:rPr>
        <w:t xml:space="preserve">This caused the </w:t>
      </w:r>
      <w:r w:rsidR="00F440B9" w:rsidRPr="00811277">
        <w:rPr>
          <w:rFonts w:ascii="Arial" w:eastAsia="Times New Roman" w:hAnsi="Arial" w:cs="Arial"/>
          <w:bCs/>
          <w:sz w:val="24"/>
          <w:szCs w:val="24"/>
          <w:lang w:val="en-GB"/>
        </w:rPr>
        <w:t xml:space="preserve">Minister </w:t>
      </w:r>
      <w:r w:rsidR="00050D65" w:rsidRPr="00811277">
        <w:rPr>
          <w:rFonts w:ascii="Arial" w:eastAsia="Times New Roman" w:hAnsi="Arial" w:cs="Arial"/>
          <w:bCs/>
          <w:sz w:val="24"/>
          <w:szCs w:val="24"/>
          <w:lang w:val="en-GB"/>
        </w:rPr>
        <w:t xml:space="preserve">to </w:t>
      </w:r>
      <w:r w:rsidR="009855DD" w:rsidRPr="00811277">
        <w:rPr>
          <w:rFonts w:ascii="Arial" w:eastAsia="Times New Roman" w:hAnsi="Arial" w:cs="Arial"/>
          <w:bCs/>
          <w:sz w:val="24"/>
          <w:szCs w:val="24"/>
          <w:lang w:val="en-GB"/>
        </w:rPr>
        <w:t>withdr</w:t>
      </w:r>
      <w:r w:rsidR="00050D65" w:rsidRPr="00811277">
        <w:rPr>
          <w:rFonts w:ascii="Arial" w:eastAsia="Times New Roman" w:hAnsi="Arial" w:cs="Arial"/>
          <w:bCs/>
          <w:sz w:val="24"/>
          <w:szCs w:val="24"/>
          <w:lang w:val="en-GB"/>
        </w:rPr>
        <w:t>a</w:t>
      </w:r>
      <w:r w:rsidR="009855DD" w:rsidRPr="00811277">
        <w:rPr>
          <w:rFonts w:ascii="Arial" w:eastAsia="Times New Roman" w:hAnsi="Arial" w:cs="Arial"/>
          <w:bCs/>
          <w:sz w:val="24"/>
          <w:szCs w:val="24"/>
          <w:lang w:val="en-GB"/>
        </w:rPr>
        <w:t>w</w:t>
      </w:r>
      <w:r w:rsidR="00F440B9" w:rsidRPr="00811277">
        <w:rPr>
          <w:rFonts w:ascii="Arial" w:eastAsia="Times New Roman" w:hAnsi="Arial" w:cs="Arial"/>
          <w:bCs/>
          <w:sz w:val="24"/>
          <w:szCs w:val="24"/>
          <w:lang w:val="en-GB"/>
        </w:rPr>
        <w:t xml:space="preserve"> her directive. </w:t>
      </w:r>
    </w:p>
    <w:p w14:paraId="15E5AFB3" w14:textId="4D791775" w:rsidR="00FD484A" w:rsidRPr="00811277" w:rsidRDefault="00811277" w:rsidP="00811277">
      <w:pPr>
        <w:spacing w:line="360" w:lineRule="auto"/>
        <w:ind w:left="720" w:hanging="720"/>
        <w:jc w:val="both"/>
        <w:rPr>
          <w:rFonts w:ascii="Arial" w:eastAsia="Times New Roman" w:hAnsi="Arial" w:cs="Arial"/>
          <w:bCs/>
          <w:sz w:val="24"/>
          <w:szCs w:val="24"/>
          <w:lang w:val="en-GB"/>
        </w:rPr>
      </w:pPr>
      <w:r w:rsidRPr="00025FC8">
        <w:rPr>
          <w:rFonts w:ascii="Arial" w:eastAsia="Times New Roman" w:hAnsi="Arial" w:cs="Arial"/>
          <w:bCs/>
          <w:kern w:val="0"/>
          <w:sz w:val="24"/>
          <w:szCs w:val="24"/>
          <w:lang w:val="en-GB"/>
          <w14:ligatures w14:val="none"/>
        </w:rPr>
        <w:t>19.</w:t>
      </w:r>
      <w:r w:rsidRPr="00025FC8">
        <w:rPr>
          <w:rFonts w:ascii="Arial" w:eastAsia="Times New Roman" w:hAnsi="Arial" w:cs="Arial"/>
          <w:bCs/>
          <w:kern w:val="0"/>
          <w:sz w:val="24"/>
          <w:szCs w:val="24"/>
          <w:lang w:val="en-GB"/>
          <w14:ligatures w14:val="none"/>
        </w:rPr>
        <w:tab/>
      </w:r>
      <w:r w:rsidR="00025FC8" w:rsidRPr="00811277">
        <w:rPr>
          <w:rFonts w:ascii="Arial" w:eastAsia="Times New Roman" w:hAnsi="Arial" w:cs="Arial"/>
          <w:bCs/>
          <w:sz w:val="24"/>
          <w:szCs w:val="24"/>
          <w:lang w:val="en-GB"/>
        </w:rPr>
        <w:t>On 2 December 2016 amendments to the Waste Tyre Regulations were promulgated which sought to give effect to the Strategy, and o</w:t>
      </w:r>
      <w:r w:rsidR="00FD484A" w:rsidRPr="00811277">
        <w:rPr>
          <w:rFonts w:ascii="Arial" w:eastAsia="Times New Roman" w:hAnsi="Arial" w:cs="Arial"/>
          <w:bCs/>
          <w:sz w:val="24"/>
          <w:szCs w:val="24"/>
          <w:lang w:val="en-GB"/>
        </w:rPr>
        <w:t>n 1 February 2017 an amendment to the Customs and Excise Act.</w:t>
      </w:r>
      <w:r w:rsidR="00FD484A">
        <w:rPr>
          <w:rStyle w:val="FootnoteReference"/>
          <w:rFonts w:ascii="Arial" w:eastAsia="Times New Roman" w:hAnsi="Arial" w:cs="Arial"/>
          <w:bCs/>
          <w:sz w:val="24"/>
          <w:szCs w:val="24"/>
          <w:lang w:val="en-GB"/>
        </w:rPr>
        <w:footnoteReference w:id="16"/>
      </w:r>
      <w:r w:rsidR="00FD484A" w:rsidRPr="00811277">
        <w:rPr>
          <w:rFonts w:ascii="Arial" w:eastAsia="Times New Roman" w:hAnsi="Arial" w:cs="Arial"/>
          <w:bCs/>
          <w:sz w:val="24"/>
          <w:szCs w:val="24"/>
          <w:lang w:val="en-GB"/>
        </w:rPr>
        <w:t xml:space="preserve"> </w:t>
      </w:r>
      <w:r w:rsidR="00AF4287" w:rsidRPr="00811277">
        <w:rPr>
          <w:rFonts w:ascii="Arial" w:eastAsia="Times New Roman" w:hAnsi="Arial" w:cs="Arial"/>
          <w:bCs/>
          <w:sz w:val="24"/>
          <w:szCs w:val="24"/>
          <w:lang w:val="en-GB"/>
        </w:rPr>
        <w:t xml:space="preserve">was passed. </w:t>
      </w:r>
      <w:r w:rsidR="00FD484A" w:rsidRPr="00811277">
        <w:rPr>
          <w:rFonts w:ascii="Arial" w:eastAsia="Times New Roman" w:hAnsi="Arial" w:cs="Arial"/>
          <w:bCs/>
          <w:sz w:val="24"/>
          <w:szCs w:val="24"/>
          <w:lang w:val="en-GB"/>
        </w:rPr>
        <w:t xml:space="preserve">The </w:t>
      </w:r>
      <w:r w:rsidR="009E6A15" w:rsidRPr="00811277">
        <w:rPr>
          <w:rFonts w:ascii="Arial" w:eastAsia="Times New Roman" w:hAnsi="Arial" w:cs="Arial"/>
          <w:bCs/>
          <w:sz w:val="24"/>
          <w:szCs w:val="24"/>
          <w:lang w:val="en-GB"/>
        </w:rPr>
        <w:t xml:space="preserve">cumulative </w:t>
      </w:r>
      <w:r w:rsidR="00FD484A" w:rsidRPr="00811277">
        <w:rPr>
          <w:rFonts w:ascii="Arial" w:eastAsia="Times New Roman" w:hAnsi="Arial" w:cs="Arial"/>
          <w:bCs/>
          <w:sz w:val="24"/>
          <w:szCs w:val="24"/>
          <w:lang w:val="en-GB"/>
        </w:rPr>
        <w:t xml:space="preserve">effect of the legislative changes </w:t>
      </w:r>
      <w:r w:rsidR="008C4BF9" w:rsidRPr="00811277">
        <w:rPr>
          <w:rFonts w:ascii="Arial" w:eastAsia="Times New Roman" w:hAnsi="Arial" w:cs="Arial"/>
          <w:bCs/>
          <w:sz w:val="24"/>
          <w:szCs w:val="24"/>
          <w:lang w:val="en-GB"/>
        </w:rPr>
        <w:t xml:space="preserve">which were made </w:t>
      </w:r>
      <w:r w:rsidR="00FD484A" w:rsidRPr="00811277">
        <w:rPr>
          <w:rFonts w:ascii="Arial" w:eastAsia="Times New Roman" w:hAnsi="Arial" w:cs="Arial"/>
          <w:bCs/>
          <w:sz w:val="24"/>
          <w:szCs w:val="24"/>
          <w:lang w:val="en-GB"/>
        </w:rPr>
        <w:t xml:space="preserve">was that as from 1 February 2017 Redisa was no longer to be funded directly by the waste tyre levies which were due from producers and importers and was to be funded by way of grant allocations from National Treasury, and the function of collecting </w:t>
      </w:r>
      <w:r w:rsidR="0009062D" w:rsidRPr="00811277">
        <w:rPr>
          <w:rFonts w:ascii="Arial" w:eastAsia="Times New Roman" w:hAnsi="Arial" w:cs="Arial"/>
          <w:bCs/>
          <w:sz w:val="24"/>
          <w:szCs w:val="24"/>
          <w:lang w:val="en-GB"/>
        </w:rPr>
        <w:t xml:space="preserve">waste tyre </w:t>
      </w:r>
      <w:r w:rsidR="00FD484A" w:rsidRPr="00811277">
        <w:rPr>
          <w:rFonts w:ascii="Arial" w:eastAsia="Times New Roman" w:hAnsi="Arial" w:cs="Arial"/>
          <w:bCs/>
          <w:sz w:val="24"/>
          <w:szCs w:val="24"/>
          <w:lang w:val="en-GB"/>
        </w:rPr>
        <w:t xml:space="preserve">levies was transferred to the SA Revenue Service. As the Redisa plan provided that </w:t>
      </w:r>
      <w:r w:rsidR="00AF4287" w:rsidRPr="00811277">
        <w:rPr>
          <w:rFonts w:ascii="Arial" w:eastAsia="Times New Roman" w:hAnsi="Arial" w:cs="Arial"/>
          <w:bCs/>
          <w:sz w:val="24"/>
          <w:szCs w:val="24"/>
          <w:lang w:val="en-GB"/>
        </w:rPr>
        <w:t xml:space="preserve">levy </w:t>
      </w:r>
      <w:r w:rsidR="00FD484A" w:rsidRPr="00811277">
        <w:rPr>
          <w:rFonts w:ascii="Arial" w:eastAsia="Times New Roman" w:hAnsi="Arial" w:cs="Arial"/>
          <w:bCs/>
          <w:sz w:val="24"/>
          <w:szCs w:val="24"/>
          <w:lang w:val="en-GB"/>
        </w:rPr>
        <w:t>payments were due within 90 days from date of invoice,</w:t>
      </w:r>
      <w:r w:rsidR="00FD484A">
        <w:rPr>
          <w:rStyle w:val="FootnoteReference"/>
          <w:rFonts w:ascii="Arial" w:eastAsia="Times New Roman" w:hAnsi="Arial" w:cs="Arial"/>
          <w:bCs/>
          <w:sz w:val="24"/>
          <w:szCs w:val="24"/>
          <w:lang w:val="en-GB"/>
        </w:rPr>
        <w:footnoteReference w:id="17"/>
      </w:r>
      <w:r w:rsidR="00FD484A" w:rsidRPr="00811277">
        <w:rPr>
          <w:rFonts w:ascii="Arial" w:eastAsia="Times New Roman" w:hAnsi="Arial" w:cs="Arial"/>
          <w:bCs/>
          <w:sz w:val="24"/>
          <w:szCs w:val="24"/>
          <w:lang w:val="en-GB"/>
        </w:rPr>
        <w:t xml:space="preserve"> the last levies that Redisa was </w:t>
      </w:r>
      <w:r w:rsidR="006E7B94" w:rsidRPr="00811277">
        <w:rPr>
          <w:rFonts w:ascii="Arial" w:eastAsia="Times New Roman" w:hAnsi="Arial" w:cs="Arial"/>
          <w:bCs/>
          <w:sz w:val="24"/>
          <w:szCs w:val="24"/>
          <w:lang w:val="en-GB"/>
        </w:rPr>
        <w:t xml:space="preserve">therefore </w:t>
      </w:r>
      <w:r w:rsidR="00FD484A" w:rsidRPr="00811277">
        <w:rPr>
          <w:rFonts w:ascii="Arial" w:eastAsia="Times New Roman" w:hAnsi="Arial" w:cs="Arial"/>
          <w:bCs/>
          <w:sz w:val="24"/>
          <w:szCs w:val="24"/>
          <w:lang w:val="en-GB"/>
        </w:rPr>
        <w:t xml:space="preserve">entitled to </w:t>
      </w:r>
      <w:r w:rsidR="00AF4287" w:rsidRPr="00811277">
        <w:rPr>
          <w:rFonts w:ascii="Arial" w:eastAsia="Times New Roman" w:hAnsi="Arial" w:cs="Arial"/>
          <w:bCs/>
          <w:sz w:val="24"/>
          <w:szCs w:val="24"/>
          <w:lang w:val="en-GB"/>
        </w:rPr>
        <w:t xml:space="preserve">claim and </w:t>
      </w:r>
      <w:r w:rsidR="00FD484A" w:rsidRPr="00811277">
        <w:rPr>
          <w:rFonts w:ascii="Arial" w:eastAsia="Times New Roman" w:hAnsi="Arial" w:cs="Arial"/>
          <w:bCs/>
          <w:sz w:val="24"/>
          <w:szCs w:val="24"/>
          <w:lang w:val="en-GB"/>
        </w:rPr>
        <w:t xml:space="preserve">receive </w:t>
      </w:r>
      <w:r w:rsidR="00AF4287" w:rsidRPr="00811277">
        <w:rPr>
          <w:rFonts w:ascii="Arial" w:eastAsia="Times New Roman" w:hAnsi="Arial" w:cs="Arial"/>
          <w:bCs/>
          <w:sz w:val="24"/>
          <w:szCs w:val="24"/>
          <w:lang w:val="en-GB"/>
        </w:rPr>
        <w:t xml:space="preserve">payment for, </w:t>
      </w:r>
      <w:r w:rsidR="008778E7" w:rsidRPr="00811277">
        <w:rPr>
          <w:rFonts w:ascii="Arial" w:eastAsia="Times New Roman" w:hAnsi="Arial" w:cs="Arial"/>
          <w:bCs/>
          <w:sz w:val="24"/>
          <w:szCs w:val="24"/>
          <w:lang w:val="en-GB"/>
        </w:rPr>
        <w:t xml:space="preserve">after February 2017, </w:t>
      </w:r>
      <w:r w:rsidR="00FD484A" w:rsidRPr="00811277">
        <w:rPr>
          <w:rFonts w:ascii="Arial" w:eastAsia="Times New Roman" w:hAnsi="Arial" w:cs="Arial"/>
          <w:bCs/>
          <w:sz w:val="24"/>
          <w:szCs w:val="24"/>
          <w:lang w:val="en-GB"/>
        </w:rPr>
        <w:t xml:space="preserve">were </w:t>
      </w:r>
      <w:r w:rsidR="006E7B94" w:rsidRPr="00811277">
        <w:rPr>
          <w:rFonts w:ascii="Arial" w:eastAsia="Times New Roman" w:hAnsi="Arial" w:cs="Arial"/>
          <w:bCs/>
          <w:sz w:val="24"/>
          <w:szCs w:val="24"/>
          <w:lang w:val="en-GB"/>
        </w:rPr>
        <w:t xml:space="preserve">those </w:t>
      </w:r>
      <w:r w:rsidR="0009062D" w:rsidRPr="00811277">
        <w:rPr>
          <w:rFonts w:ascii="Arial" w:eastAsia="Times New Roman" w:hAnsi="Arial" w:cs="Arial"/>
          <w:bCs/>
          <w:sz w:val="24"/>
          <w:szCs w:val="24"/>
          <w:lang w:val="en-GB"/>
        </w:rPr>
        <w:t xml:space="preserve">which were </w:t>
      </w:r>
      <w:r w:rsidR="006E7B94" w:rsidRPr="00811277">
        <w:rPr>
          <w:rFonts w:ascii="Arial" w:eastAsia="Times New Roman" w:hAnsi="Arial" w:cs="Arial"/>
          <w:bCs/>
          <w:sz w:val="24"/>
          <w:szCs w:val="24"/>
          <w:lang w:val="en-GB"/>
        </w:rPr>
        <w:t>due for payment by</w:t>
      </w:r>
      <w:r w:rsidR="0009062D" w:rsidRPr="00811277">
        <w:rPr>
          <w:rFonts w:ascii="Arial" w:eastAsia="Times New Roman" w:hAnsi="Arial" w:cs="Arial"/>
          <w:bCs/>
          <w:sz w:val="24"/>
          <w:szCs w:val="24"/>
          <w:lang w:val="en-GB"/>
        </w:rPr>
        <w:t xml:space="preserve"> no later than</w:t>
      </w:r>
      <w:r w:rsidR="006E7B94" w:rsidRPr="00811277">
        <w:rPr>
          <w:rFonts w:ascii="Arial" w:eastAsia="Times New Roman" w:hAnsi="Arial" w:cs="Arial"/>
          <w:bCs/>
          <w:sz w:val="24"/>
          <w:szCs w:val="24"/>
          <w:lang w:val="en-GB"/>
        </w:rPr>
        <w:t xml:space="preserve"> </w:t>
      </w:r>
      <w:r w:rsidR="00FD484A" w:rsidRPr="00811277">
        <w:rPr>
          <w:rFonts w:ascii="Arial" w:eastAsia="Times New Roman" w:hAnsi="Arial" w:cs="Arial"/>
          <w:bCs/>
          <w:sz w:val="24"/>
          <w:szCs w:val="24"/>
          <w:lang w:val="en-GB"/>
        </w:rPr>
        <w:t>May 2017.</w:t>
      </w:r>
    </w:p>
    <w:p w14:paraId="4C521B7F" w14:textId="5C88064C" w:rsidR="0078711A"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20.</w:t>
      </w:r>
      <w:r>
        <w:rPr>
          <w:rFonts w:ascii="Arial" w:eastAsia="Times New Roman" w:hAnsi="Arial" w:cs="Arial"/>
          <w:bCs/>
          <w:kern w:val="0"/>
          <w:sz w:val="24"/>
          <w:szCs w:val="24"/>
          <w:lang w:val="en-GB"/>
          <w14:ligatures w14:val="none"/>
        </w:rPr>
        <w:tab/>
      </w:r>
      <w:r w:rsidR="00AF4287" w:rsidRPr="00811277">
        <w:rPr>
          <w:rFonts w:ascii="Arial" w:eastAsia="Times New Roman" w:hAnsi="Arial" w:cs="Arial"/>
          <w:bCs/>
          <w:sz w:val="24"/>
          <w:szCs w:val="24"/>
          <w:lang w:val="en-GB"/>
        </w:rPr>
        <w:t xml:space="preserve">Although Redisa was supposed to be allocated R 210 million in funding, pursuant to the publication of an appropriation bill in February 2017, no funds were </w:t>
      </w:r>
      <w:r w:rsidR="0009062D" w:rsidRPr="00811277">
        <w:rPr>
          <w:rFonts w:ascii="Arial" w:eastAsia="Times New Roman" w:hAnsi="Arial" w:cs="Arial"/>
          <w:bCs/>
          <w:sz w:val="24"/>
          <w:szCs w:val="24"/>
          <w:lang w:val="en-GB"/>
        </w:rPr>
        <w:t>forthcoming</w:t>
      </w:r>
      <w:r w:rsidR="00AF4287" w:rsidRPr="00811277">
        <w:rPr>
          <w:rFonts w:ascii="Arial" w:eastAsia="Times New Roman" w:hAnsi="Arial" w:cs="Arial"/>
          <w:bCs/>
          <w:sz w:val="24"/>
          <w:szCs w:val="24"/>
          <w:lang w:val="en-GB"/>
        </w:rPr>
        <w:t xml:space="preserve">. </w:t>
      </w:r>
      <w:r w:rsidR="009855DD" w:rsidRPr="00811277">
        <w:rPr>
          <w:rFonts w:ascii="Arial" w:eastAsia="Times New Roman" w:hAnsi="Arial" w:cs="Arial"/>
          <w:bCs/>
          <w:sz w:val="24"/>
          <w:szCs w:val="24"/>
          <w:lang w:val="en-GB"/>
        </w:rPr>
        <w:t xml:space="preserve"> </w:t>
      </w:r>
      <w:r w:rsidR="00272AD6" w:rsidRPr="00811277">
        <w:rPr>
          <w:rFonts w:ascii="Arial" w:eastAsia="Times New Roman" w:hAnsi="Arial" w:cs="Arial"/>
          <w:bCs/>
          <w:sz w:val="24"/>
          <w:szCs w:val="24"/>
          <w:lang w:val="en-GB"/>
        </w:rPr>
        <w:t>I</w:t>
      </w:r>
      <w:r w:rsidR="009855DD" w:rsidRPr="00811277">
        <w:rPr>
          <w:rFonts w:ascii="Arial" w:eastAsia="Times New Roman" w:hAnsi="Arial" w:cs="Arial"/>
          <w:bCs/>
          <w:sz w:val="24"/>
          <w:szCs w:val="24"/>
          <w:lang w:val="en-GB"/>
        </w:rPr>
        <w:t>n</w:t>
      </w:r>
      <w:r w:rsidR="00F440B9" w:rsidRPr="00811277">
        <w:rPr>
          <w:rFonts w:ascii="Arial" w:eastAsia="Times New Roman" w:hAnsi="Arial" w:cs="Arial"/>
          <w:bCs/>
          <w:sz w:val="24"/>
          <w:szCs w:val="24"/>
          <w:lang w:val="en-GB"/>
        </w:rPr>
        <w:t xml:space="preserve"> May 2017 it </w:t>
      </w:r>
      <w:r w:rsidR="00050D65" w:rsidRPr="00811277">
        <w:rPr>
          <w:rFonts w:ascii="Arial" w:eastAsia="Times New Roman" w:hAnsi="Arial" w:cs="Arial"/>
          <w:bCs/>
          <w:sz w:val="24"/>
          <w:szCs w:val="24"/>
          <w:lang w:val="en-GB"/>
        </w:rPr>
        <w:t>indicated</w:t>
      </w:r>
      <w:r w:rsidR="00F440B9" w:rsidRPr="00811277">
        <w:rPr>
          <w:rFonts w:ascii="Arial" w:eastAsia="Times New Roman" w:hAnsi="Arial" w:cs="Arial"/>
          <w:bCs/>
          <w:sz w:val="24"/>
          <w:szCs w:val="24"/>
          <w:lang w:val="en-GB"/>
        </w:rPr>
        <w:t xml:space="preserve"> that unless its funding was resolved it would have to scale back its operation</w:t>
      </w:r>
      <w:r w:rsidR="009855DD" w:rsidRPr="00811277">
        <w:rPr>
          <w:rFonts w:ascii="Arial" w:eastAsia="Times New Roman" w:hAnsi="Arial" w:cs="Arial"/>
          <w:bCs/>
          <w:sz w:val="24"/>
          <w:szCs w:val="24"/>
          <w:lang w:val="en-GB"/>
        </w:rPr>
        <w:t>s. T</w:t>
      </w:r>
      <w:r w:rsidR="00F440B9" w:rsidRPr="00811277">
        <w:rPr>
          <w:rFonts w:ascii="Arial" w:eastAsia="Times New Roman" w:hAnsi="Arial" w:cs="Arial"/>
          <w:bCs/>
          <w:sz w:val="24"/>
          <w:szCs w:val="24"/>
          <w:lang w:val="en-GB"/>
        </w:rPr>
        <w:t>h</w:t>
      </w:r>
      <w:r w:rsidR="0078711A" w:rsidRPr="00811277">
        <w:rPr>
          <w:rFonts w:ascii="Arial" w:eastAsia="Times New Roman" w:hAnsi="Arial" w:cs="Arial"/>
          <w:bCs/>
          <w:sz w:val="24"/>
          <w:szCs w:val="24"/>
          <w:lang w:val="en-GB"/>
        </w:rPr>
        <w:t>e</w:t>
      </w:r>
      <w:r w:rsidR="00F440B9" w:rsidRPr="00811277">
        <w:rPr>
          <w:rFonts w:ascii="Arial" w:eastAsia="Times New Roman" w:hAnsi="Arial" w:cs="Arial"/>
          <w:bCs/>
          <w:sz w:val="24"/>
          <w:szCs w:val="24"/>
          <w:lang w:val="en-GB"/>
        </w:rPr>
        <w:t xml:space="preserve"> Minister t</w:t>
      </w:r>
      <w:r w:rsidR="0078711A" w:rsidRPr="00811277">
        <w:rPr>
          <w:rFonts w:ascii="Arial" w:eastAsia="Times New Roman" w:hAnsi="Arial" w:cs="Arial"/>
          <w:bCs/>
          <w:sz w:val="24"/>
          <w:szCs w:val="24"/>
          <w:lang w:val="en-GB"/>
        </w:rPr>
        <w:t>hen</w:t>
      </w:r>
      <w:r w:rsidR="00F440B9" w:rsidRPr="00811277">
        <w:rPr>
          <w:rFonts w:ascii="Arial" w:eastAsia="Times New Roman" w:hAnsi="Arial" w:cs="Arial"/>
          <w:bCs/>
          <w:sz w:val="24"/>
          <w:szCs w:val="24"/>
          <w:lang w:val="en-GB"/>
        </w:rPr>
        <w:t xml:space="preserve"> launch</w:t>
      </w:r>
      <w:r w:rsidR="0078711A" w:rsidRPr="00811277">
        <w:rPr>
          <w:rFonts w:ascii="Arial" w:eastAsia="Times New Roman" w:hAnsi="Arial" w:cs="Arial"/>
          <w:bCs/>
          <w:sz w:val="24"/>
          <w:szCs w:val="24"/>
          <w:lang w:val="en-GB"/>
        </w:rPr>
        <w:t>ed</w:t>
      </w:r>
      <w:r w:rsidR="009E6A15" w:rsidRPr="00811277">
        <w:rPr>
          <w:rFonts w:ascii="Arial" w:eastAsia="Times New Roman" w:hAnsi="Arial" w:cs="Arial"/>
          <w:bCs/>
          <w:sz w:val="24"/>
          <w:szCs w:val="24"/>
          <w:lang w:val="en-GB"/>
        </w:rPr>
        <w:t xml:space="preserve"> an</w:t>
      </w:r>
      <w:r w:rsidR="00F440B9" w:rsidRPr="00811277">
        <w:rPr>
          <w:rFonts w:ascii="Arial" w:eastAsia="Times New Roman" w:hAnsi="Arial" w:cs="Arial"/>
          <w:bCs/>
          <w:sz w:val="24"/>
          <w:szCs w:val="24"/>
          <w:lang w:val="en-GB"/>
        </w:rPr>
        <w:t xml:space="preserve"> </w:t>
      </w:r>
      <w:r w:rsidR="00F440B9" w:rsidRPr="00811277">
        <w:rPr>
          <w:rFonts w:ascii="Arial" w:eastAsia="Times New Roman" w:hAnsi="Arial" w:cs="Arial"/>
          <w:bCs/>
          <w:i/>
          <w:iCs/>
          <w:sz w:val="24"/>
          <w:szCs w:val="24"/>
          <w:lang w:val="en-GB"/>
        </w:rPr>
        <w:t>ex parte</w:t>
      </w:r>
      <w:r w:rsidR="00F440B9" w:rsidRPr="00811277">
        <w:rPr>
          <w:rFonts w:ascii="Arial" w:eastAsia="Times New Roman" w:hAnsi="Arial" w:cs="Arial"/>
          <w:bCs/>
          <w:sz w:val="24"/>
          <w:szCs w:val="24"/>
          <w:lang w:val="en-GB"/>
        </w:rPr>
        <w:t xml:space="preserve"> application for its winding</w:t>
      </w:r>
      <w:r w:rsidR="009855DD" w:rsidRPr="00811277">
        <w:rPr>
          <w:rFonts w:ascii="Arial" w:eastAsia="Times New Roman" w:hAnsi="Arial" w:cs="Arial"/>
          <w:bCs/>
          <w:sz w:val="24"/>
          <w:szCs w:val="24"/>
          <w:lang w:val="en-GB"/>
        </w:rPr>
        <w:t>-</w:t>
      </w:r>
      <w:r w:rsidR="00F440B9" w:rsidRPr="00811277">
        <w:rPr>
          <w:rFonts w:ascii="Arial" w:eastAsia="Times New Roman" w:hAnsi="Arial" w:cs="Arial"/>
          <w:bCs/>
          <w:sz w:val="24"/>
          <w:szCs w:val="24"/>
          <w:lang w:val="en-GB"/>
        </w:rPr>
        <w:t xml:space="preserve">up, </w:t>
      </w:r>
      <w:r w:rsidR="009E6A15" w:rsidRPr="00811277">
        <w:rPr>
          <w:rFonts w:ascii="Arial" w:eastAsia="Times New Roman" w:hAnsi="Arial" w:cs="Arial"/>
          <w:bCs/>
          <w:sz w:val="24"/>
          <w:szCs w:val="24"/>
          <w:lang w:val="en-GB"/>
        </w:rPr>
        <w:t xml:space="preserve">as well as for </w:t>
      </w:r>
      <w:r w:rsidR="00F440B9" w:rsidRPr="00811277">
        <w:rPr>
          <w:rFonts w:ascii="Arial" w:eastAsia="Times New Roman" w:hAnsi="Arial" w:cs="Arial"/>
          <w:bCs/>
          <w:sz w:val="24"/>
          <w:szCs w:val="24"/>
          <w:lang w:val="en-GB"/>
        </w:rPr>
        <w:t>its management company</w:t>
      </w:r>
      <w:r w:rsidR="008F2C5F" w:rsidRPr="00811277">
        <w:rPr>
          <w:rFonts w:ascii="Arial" w:eastAsia="Times New Roman" w:hAnsi="Arial" w:cs="Arial"/>
          <w:bCs/>
          <w:sz w:val="24"/>
          <w:szCs w:val="24"/>
          <w:lang w:val="en-GB"/>
        </w:rPr>
        <w:t>,</w:t>
      </w:r>
      <w:r w:rsidR="00025FC8" w:rsidRPr="00811277">
        <w:rPr>
          <w:rFonts w:ascii="Arial" w:eastAsia="Times New Roman" w:hAnsi="Arial" w:cs="Arial"/>
          <w:bCs/>
          <w:sz w:val="24"/>
          <w:szCs w:val="24"/>
          <w:lang w:val="en-GB"/>
        </w:rPr>
        <w:t xml:space="preserve"> and p</w:t>
      </w:r>
      <w:r w:rsidR="009855DD" w:rsidRPr="00811277">
        <w:rPr>
          <w:rFonts w:ascii="Arial" w:eastAsia="Times New Roman" w:hAnsi="Arial" w:cs="Arial"/>
          <w:bCs/>
          <w:sz w:val="24"/>
          <w:szCs w:val="24"/>
          <w:lang w:val="en-GB"/>
        </w:rPr>
        <w:t>rovisional orders</w:t>
      </w:r>
      <w:r w:rsidR="00F440B9" w:rsidRPr="00811277">
        <w:rPr>
          <w:rFonts w:ascii="Arial" w:eastAsia="Times New Roman" w:hAnsi="Arial" w:cs="Arial"/>
          <w:bCs/>
          <w:sz w:val="24"/>
          <w:szCs w:val="24"/>
          <w:lang w:val="en-GB"/>
        </w:rPr>
        <w:t xml:space="preserve"> were granted </w:t>
      </w:r>
      <w:r w:rsidR="00050D65" w:rsidRPr="00811277">
        <w:rPr>
          <w:rFonts w:ascii="Arial" w:eastAsia="Times New Roman" w:hAnsi="Arial" w:cs="Arial"/>
          <w:bCs/>
          <w:sz w:val="24"/>
          <w:szCs w:val="24"/>
          <w:lang w:val="en-GB"/>
        </w:rPr>
        <w:t xml:space="preserve">against both entities </w:t>
      </w:r>
      <w:r w:rsidR="00F440B9" w:rsidRPr="00811277">
        <w:rPr>
          <w:rFonts w:ascii="Arial" w:eastAsia="Times New Roman" w:hAnsi="Arial" w:cs="Arial"/>
          <w:bCs/>
          <w:sz w:val="24"/>
          <w:szCs w:val="24"/>
          <w:lang w:val="en-GB"/>
        </w:rPr>
        <w:t>on 1 and 8 June 2017</w:t>
      </w:r>
      <w:r w:rsidR="00050D65" w:rsidRPr="00811277">
        <w:rPr>
          <w:rFonts w:ascii="Arial" w:eastAsia="Times New Roman" w:hAnsi="Arial" w:cs="Arial"/>
          <w:bCs/>
          <w:sz w:val="24"/>
          <w:szCs w:val="24"/>
          <w:lang w:val="en-GB"/>
        </w:rPr>
        <w:t>, which were made final o</w:t>
      </w:r>
      <w:r w:rsidR="00B958D6" w:rsidRPr="00811277">
        <w:rPr>
          <w:rFonts w:ascii="Arial" w:eastAsia="Times New Roman" w:hAnsi="Arial" w:cs="Arial"/>
          <w:bCs/>
          <w:sz w:val="24"/>
          <w:szCs w:val="24"/>
          <w:lang w:val="en-GB"/>
        </w:rPr>
        <w:t>n</w:t>
      </w:r>
      <w:r w:rsidR="00F440B9" w:rsidRPr="00811277">
        <w:rPr>
          <w:rFonts w:ascii="Arial" w:eastAsia="Times New Roman" w:hAnsi="Arial" w:cs="Arial"/>
          <w:bCs/>
          <w:sz w:val="24"/>
          <w:szCs w:val="24"/>
          <w:lang w:val="en-GB"/>
        </w:rPr>
        <w:t xml:space="preserve"> 15 September 2017</w:t>
      </w:r>
      <w:r w:rsidR="00050D65" w:rsidRPr="00811277">
        <w:rPr>
          <w:rFonts w:ascii="Arial" w:eastAsia="Times New Roman" w:hAnsi="Arial" w:cs="Arial"/>
          <w:bCs/>
          <w:sz w:val="24"/>
          <w:szCs w:val="24"/>
          <w:lang w:val="en-GB"/>
        </w:rPr>
        <w:t>.</w:t>
      </w:r>
      <w:r w:rsidR="00F440B9" w:rsidRPr="00811277">
        <w:rPr>
          <w:rFonts w:ascii="Arial" w:eastAsia="Times New Roman" w:hAnsi="Arial" w:cs="Arial"/>
          <w:bCs/>
          <w:sz w:val="24"/>
          <w:szCs w:val="24"/>
          <w:lang w:val="en-GB"/>
        </w:rPr>
        <w:t xml:space="preserve"> </w:t>
      </w:r>
      <w:r w:rsidR="00025FC8" w:rsidRPr="00811277">
        <w:rPr>
          <w:rFonts w:ascii="Arial" w:eastAsia="Times New Roman" w:hAnsi="Arial" w:cs="Arial"/>
          <w:bCs/>
          <w:sz w:val="24"/>
          <w:szCs w:val="24"/>
          <w:lang w:val="en-GB"/>
        </w:rPr>
        <w:t>However</w:t>
      </w:r>
      <w:r w:rsidR="00050D65" w:rsidRPr="00811277">
        <w:rPr>
          <w:rFonts w:ascii="Arial" w:eastAsia="Times New Roman" w:hAnsi="Arial" w:cs="Arial"/>
          <w:bCs/>
          <w:sz w:val="24"/>
          <w:szCs w:val="24"/>
          <w:lang w:val="en-GB"/>
        </w:rPr>
        <w:t xml:space="preserve"> i</w:t>
      </w:r>
      <w:r w:rsidR="00F440B9" w:rsidRPr="00811277">
        <w:rPr>
          <w:rFonts w:ascii="Arial" w:eastAsia="Times New Roman" w:hAnsi="Arial" w:cs="Arial"/>
          <w:bCs/>
          <w:sz w:val="24"/>
          <w:szCs w:val="24"/>
          <w:lang w:val="en-GB"/>
        </w:rPr>
        <w:t>n a subsequent appeal the SCA set aside both winding</w:t>
      </w:r>
      <w:r w:rsidR="0009062D" w:rsidRPr="00811277">
        <w:rPr>
          <w:rFonts w:ascii="Arial" w:eastAsia="Times New Roman" w:hAnsi="Arial" w:cs="Arial"/>
          <w:bCs/>
          <w:sz w:val="24"/>
          <w:szCs w:val="24"/>
          <w:lang w:val="en-GB"/>
        </w:rPr>
        <w:t>s</w:t>
      </w:r>
      <w:r w:rsidR="00F440B9" w:rsidRPr="00811277">
        <w:rPr>
          <w:rFonts w:ascii="Arial" w:eastAsia="Times New Roman" w:hAnsi="Arial" w:cs="Arial"/>
          <w:bCs/>
          <w:sz w:val="24"/>
          <w:szCs w:val="24"/>
          <w:lang w:val="en-GB"/>
        </w:rPr>
        <w:t>-up, on 24 January 2019.</w:t>
      </w:r>
      <w:r w:rsidR="00703782" w:rsidRPr="00811277">
        <w:rPr>
          <w:rFonts w:ascii="Arial" w:eastAsia="Times New Roman" w:hAnsi="Arial" w:cs="Arial"/>
          <w:bCs/>
          <w:sz w:val="24"/>
          <w:szCs w:val="24"/>
          <w:lang w:val="en-GB"/>
        </w:rPr>
        <w:t xml:space="preserve"> </w:t>
      </w:r>
    </w:p>
    <w:p w14:paraId="44B93E8F" w14:textId="461118BE" w:rsidR="00393C1B"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21.</w:t>
      </w:r>
      <w:r>
        <w:rPr>
          <w:rFonts w:ascii="Arial" w:eastAsia="Times New Roman" w:hAnsi="Arial" w:cs="Arial"/>
          <w:bCs/>
          <w:kern w:val="0"/>
          <w:sz w:val="24"/>
          <w:szCs w:val="24"/>
          <w:lang w:val="en-GB"/>
          <w14:ligatures w14:val="none"/>
        </w:rPr>
        <w:tab/>
      </w:r>
      <w:r w:rsidR="00703782" w:rsidRPr="00811277">
        <w:rPr>
          <w:rFonts w:ascii="Arial" w:eastAsia="Times New Roman" w:hAnsi="Arial" w:cs="Arial"/>
          <w:bCs/>
          <w:sz w:val="24"/>
          <w:szCs w:val="24"/>
          <w:lang w:val="en-GB"/>
        </w:rPr>
        <w:t>As a result</w:t>
      </w:r>
      <w:r w:rsidR="0078711A" w:rsidRPr="00811277">
        <w:rPr>
          <w:rFonts w:ascii="Arial" w:eastAsia="Times New Roman" w:hAnsi="Arial" w:cs="Arial"/>
          <w:bCs/>
          <w:sz w:val="24"/>
          <w:szCs w:val="24"/>
          <w:lang w:val="en-GB"/>
        </w:rPr>
        <w:t>, seemingly,</w:t>
      </w:r>
      <w:r w:rsidR="00703782" w:rsidRPr="00811277">
        <w:rPr>
          <w:rFonts w:ascii="Arial" w:eastAsia="Times New Roman" w:hAnsi="Arial" w:cs="Arial"/>
          <w:bCs/>
          <w:sz w:val="24"/>
          <w:szCs w:val="24"/>
          <w:lang w:val="en-GB"/>
        </w:rPr>
        <w:t xml:space="preserve"> of the events which </w:t>
      </w:r>
      <w:r w:rsidR="0093154E" w:rsidRPr="00811277">
        <w:rPr>
          <w:rFonts w:ascii="Arial" w:eastAsia="Times New Roman" w:hAnsi="Arial" w:cs="Arial"/>
          <w:bCs/>
          <w:sz w:val="24"/>
          <w:szCs w:val="24"/>
          <w:lang w:val="en-GB"/>
        </w:rPr>
        <w:t>took place</w:t>
      </w:r>
      <w:r w:rsidR="00703782" w:rsidRPr="00811277">
        <w:rPr>
          <w:rFonts w:ascii="Arial" w:eastAsia="Times New Roman" w:hAnsi="Arial" w:cs="Arial"/>
          <w:bCs/>
          <w:sz w:val="24"/>
          <w:szCs w:val="24"/>
          <w:lang w:val="en-GB"/>
        </w:rPr>
        <w:t xml:space="preserve"> between August 2016 and January 2019 a formal demand for payment of the arrear levies which </w:t>
      </w:r>
      <w:r w:rsidR="0009062D" w:rsidRPr="00811277">
        <w:rPr>
          <w:rFonts w:ascii="Arial" w:eastAsia="Times New Roman" w:hAnsi="Arial" w:cs="Arial"/>
          <w:bCs/>
          <w:sz w:val="24"/>
          <w:szCs w:val="24"/>
          <w:lang w:val="en-GB"/>
        </w:rPr>
        <w:t>fell</w:t>
      </w:r>
      <w:r w:rsidR="00703782" w:rsidRPr="00811277">
        <w:rPr>
          <w:rFonts w:ascii="Arial" w:eastAsia="Times New Roman" w:hAnsi="Arial" w:cs="Arial"/>
          <w:bCs/>
          <w:sz w:val="24"/>
          <w:szCs w:val="24"/>
          <w:lang w:val="en-GB"/>
        </w:rPr>
        <w:t xml:space="preserve"> due </w:t>
      </w:r>
      <w:r w:rsidR="0009062D" w:rsidRPr="00811277">
        <w:rPr>
          <w:rFonts w:ascii="Arial" w:eastAsia="Times New Roman" w:hAnsi="Arial" w:cs="Arial"/>
          <w:bCs/>
          <w:sz w:val="24"/>
          <w:szCs w:val="24"/>
          <w:lang w:val="en-GB"/>
        </w:rPr>
        <w:t>in</w:t>
      </w:r>
      <w:r w:rsidR="00703782" w:rsidRPr="00811277">
        <w:rPr>
          <w:rFonts w:ascii="Arial" w:eastAsia="Times New Roman" w:hAnsi="Arial" w:cs="Arial"/>
          <w:bCs/>
          <w:sz w:val="24"/>
          <w:szCs w:val="24"/>
          <w:lang w:val="en-GB"/>
        </w:rPr>
        <w:t xml:space="preserve"> the period October 2016-M</w:t>
      </w:r>
      <w:r w:rsidR="0009062D" w:rsidRPr="00811277">
        <w:rPr>
          <w:rFonts w:ascii="Arial" w:eastAsia="Times New Roman" w:hAnsi="Arial" w:cs="Arial"/>
          <w:bCs/>
          <w:sz w:val="24"/>
          <w:szCs w:val="24"/>
          <w:lang w:val="en-GB"/>
        </w:rPr>
        <w:t>ay</w:t>
      </w:r>
      <w:r w:rsidR="00703782" w:rsidRPr="00811277">
        <w:rPr>
          <w:rFonts w:ascii="Arial" w:eastAsia="Times New Roman" w:hAnsi="Arial" w:cs="Arial"/>
          <w:bCs/>
          <w:sz w:val="24"/>
          <w:szCs w:val="24"/>
          <w:lang w:val="en-GB"/>
        </w:rPr>
        <w:t xml:space="preserve"> 2017 was only sent to the appellant in</w:t>
      </w:r>
      <w:r w:rsidR="009B1BFF" w:rsidRPr="00811277">
        <w:rPr>
          <w:rFonts w:ascii="Arial" w:eastAsia="Times New Roman" w:hAnsi="Arial" w:cs="Arial"/>
          <w:bCs/>
          <w:sz w:val="24"/>
          <w:szCs w:val="24"/>
          <w:lang w:val="en-GB"/>
        </w:rPr>
        <w:t xml:space="preserve"> August 2019.</w:t>
      </w:r>
      <w:r w:rsidR="00E72A26" w:rsidRPr="00811277">
        <w:rPr>
          <w:rFonts w:ascii="Arial" w:eastAsia="Times New Roman" w:hAnsi="Arial" w:cs="Arial"/>
          <w:bCs/>
          <w:sz w:val="24"/>
          <w:szCs w:val="24"/>
          <w:lang w:val="en-GB"/>
        </w:rPr>
        <w:t xml:space="preserve"> </w:t>
      </w:r>
      <w:r w:rsidR="00E72A26" w:rsidRPr="00811277">
        <w:rPr>
          <w:rFonts w:ascii="Arial" w:eastAsia="Times New Roman" w:hAnsi="Arial" w:cs="Arial"/>
          <w:bCs/>
          <w:sz w:val="24"/>
          <w:szCs w:val="24"/>
          <w:lang w:val="en-GB"/>
        </w:rPr>
        <w:lastRenderedPageBreak/>
        <w:t xml:space="preserve">During the time that Redisa was under liquidation the liquidators did not seek to recover the arrears from the appellant.  </w:t>
      </w:r>
    </w:p>
    <w:p w14:paraId="76B36E0C" w14:textId="7508BE13" w:rsidR="003449A9" w:rsidRPr="00810265" w:rsidRDefault="00810265" w:rsidP="003449A9">
      <w:pPr>
        <w:spacing w:line="360" w:lineRule="auto"/>
        <w:jc w:val="both"/>
        <w:rPr>
          <w:rFonts w:ascii="Arial" w:eastAsia="Times New Roman" w:hAnsi="Arial" w:cs="Arial"/>
          <w:b/>
          <w:sz w:val="24"/>
          <w:szCs w:val="24"/>
          <w:lang w:val="en-GB"/>
        </w:rPr>
      </w:pPr>
      <w:r w:rsidRPr="00810265">
        <w:rPr>
          <w:rFonts w:ascii="Arial" w:eastAsia="Times New Roman" w:hAnsi="Arial" w:cs="Arial"/>
          <w:b/>
          <w:sz w:val="24"/>
          <w:szCs w:val="24"/>
          <w:lang w:val="en-GB"/>
        </w:rPr>
        <w:t xml:space="preserve">The application a </w:t>
      </w:r>
      <w:r w:rsidRPr="0016343C">
        <w:rPr>
          <w:rFonts w:ascii="Arial" w:eastAsia="Times New Roman" w:hAnsi="Arial" w:cs="Arial"/>
          <w:b/>
          <w:i/>
          <w:iCs/>
          <w:sz w:val="24"/>
          <w:szCs w:val="24"/>
          <w:lang w:val="en-GB"/>
        </w:rPr>
        <w:t>quo</w:t>
      </w:r>
    </w:p>
    <w:p w14:paraId="247BEA6D" w14:textId="2E94FF7F" w:rsidR="00733DE3"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22.</w:t>
      </w:r>
      <w:r>
        <w:rPr>
          <w:rFonts w:ascii="Arial" w:eastAsia="Times New Roman" w:hAnsi="Arial" w:cs="Arial"/>
          <w:bCs/>
          <w:kern w:val="0"/>
          <w:sz w:val="24"/>
          <w:szCs w:val="24"/>
          <w:lang w:val="en-GB"/>
          <w14:ligatures w14:val="none"/>
        </w:rPr>
        <w:tab/>
      </w:r>
      <w:r w:rsidR="00167F16" w:rsidRPr="00811277">
        <w:rPr>
          <w:rFonts w:ascii="Arial" w:eastAsia="Times New Roman" w:hAnsi="Arial" w:cs="Arial"/>
          <w:bCs/>
          <w:sz w:val="24"/>
          <w:szCs w:val="24"/>
          <w:lang w:val="en-GB"/>
        </w:rPr>
        <w:t xml:space="preserve">In </w:t>
      </w:r>
      <w:r w:rsidR="004815EA" w:rsidRPr="00811277">
        <w:rPr>
          <w:rFonts w:ascii="Arial" w:eastAsia="Times New Roman" w:hAnsi="Arial" w:cs="Arial"/>
          <w:bCs/>
          <w:sz w:val="24"/>
          <w:szCs w:val="24"/>
          <w:lang w:val="en-GB"/>
        </w:rPr>
        <w:t xml:space="preserve">response to the application which was brought for an order directing it to make payment </w:t>
      </w:r>
      <w:r w:rsidR="00733DE3" w:rsidRPr="00811277">
        <w:rPr>
          <w:rFonts w:ascii="Arial" w:eastAsia="Times New Roman" w:hAnsi="Arial" w:cs="Arial"/>
          <w:bCs/>
          <w:sz w:val="24"/>
          <w:szCs w:val="24"/>
          <w:lang w:val="en-GB"/>
        </w:rPr>
        <w:t xml:space="preserve">of the waste tyre management fees for the period October 2016-January 2017 </w:t>
      </w:r>
      <w:r w:rsidR="004815EA" w:rsidRPr="00811277">
        <w:rPr>
          <w:rFonts w:ascii="Arial" w:eastAsia="Times New Roman" w:hAnsi="Arial" w:cs="Arial"/>
          <w:bCs/>
          <w:sz w:val="24"/>
          <w:szCs w:val="24"/>
          <w:lang w:val="en-GB"/>
        </w:rPr>
        <w:t>the appellant raised several so-called ‘collateral’ or ‘reactive</w:t>
      </w:r>
      <w:r w:rsidR="0084743C" w:rsidRPr="00811277">
        <w:rPr>
          <w:rFonts w:ascii="Arial" w:eastAsia="Times New Roman" w:hAnsi="Arial" w:cs="Arial"/>
          <w:bCs/>
          <w:sz w:val="24"/>
          <w:szCs w:val="24"/>
          <w:lang w:val="en-GB"/>
        </w:rPr>
        <w:t>’</w:t>
      </w:r>
      <w:r w:rsidR="004815EA" w:rsidRPr="00811277">
        <w:rPr>
          <w:rFonts w:ascii="Arial" w:eastAsia="Times New Roman" w:hAnsi="Arial" w:cs="Arial"/>
          <w:bCs/>
          <w:sz w:val="24"/>
          <w:szCs w:val="24"/>
          <w:lang w:val="en-GB"/>
        </w:rPr>
        <w:t xml:space="preserve"> challenges. A collateral or reactive challenge is commonly understood as a challenge to the validity and enforcement of an administrative act or decision, </w:t>
      </w:r>
      <w:r w:rsidR="0084743C" w:rsidRPr="00811277">
        <w:rPr>
          <w:rFonts w:ascii="Arial" w:eastAsia="Times New Roman" w:hAnsi="Arial" w:cs="Arial"/>
          <w:bCs/>
          <w:sz w:val="24"/>
          <w:szCs w:val="24"/>
          <w:lang w:val="en-GB"/>
        </w:rPr>
        <w:t>which</w:t>
      </w:r>
      <w:r w:rsidR="004815EA" w:rsidRPr="00811277">
        <w:rPr>
          <w:rFonts w:ascii="Arial" w:eastAsia="Times New Roman" w:hAnsi="Arial" w:cs="Arial"/>
          <w:bCs/>
          <w:sz w:val="24"/>
          <w:szCs w:val="24"/>
          <w:lang w:val="en-GB"/>
        </w:rPr>
        <w:t xml:space="preserve"> is raised in proceedings </w:t>
      </w:r>
      <w:r w:rsidR="00733DE3" w:rsidRPr="00811277">
        <w:rPr>
          <w:rFonts w:ascii="Arial" w:eastAsia="Times New Roman" w:hAnsi="Arial" w:cs="Arial"/>
          <w:bCs/>
          <w:sz w:val="24"/>
          <w:szCs w:val="24"/>
          <w:lang w:val="en-GB"/>
        </w:rPr>
        <w:t>that are not designed or aimed at impeaching, directly, the validity of such act or decision.</w:t>
      </w:r>
      <w:r w:rsidR="00733DE3">
        <w:rPr>
          <w:rStyle w:val="FootnoteReference"/>
          <w:rFonts w:ascii="Arial" w:eastAsia="Times New Roman" w:hAnsi="Arial" w:cs="Arial"/>
          <w:bCs/>
          <w:sz w:val="24"/>
          <w:szCs w:val="24"/>
          <w:lang w:val="en-GB"/>
        </w:rPr>
        <w:footnoteReference w:id="18"/>
      </w:r>
      <w:r w:rsidR="004815EA" w:rsidRPr="00811277">
        <w:rPr>
          <w:rFonts w:ascii="Arial" w:eastAsia="Times New Roman" w:hAnsi="Arial" w:cs="Arial"/>
          <w:bCs/>
          <w:sz w:val="24"/>
          <w:szCs w:val="24"/>
          <w:lang w:val="en-GB"/>
        </w:rPr>
        <w:t xml:space="preserve"> </w:t>
      </w:r>
      <w:r w:rsidR="00174FE2" w:rsidRPr="00811277">
        <w:rPr>
          <w:rFonts w:ascii="Arial" w:eastAsia="Times New Roman" w:hAnsi="Arial" w:cs="Arial"/>
          <w:bCs/>
          <w:sz w:val="24"/>
          <w:szCs w:val="24"/>
          <w:lang w:val="en-GB"/>
        </w:rPr>
        <w:t>The challenge is one raised incidentally, in response to an attempt to enforce the act or decision.</w:t>
      </w:r>
    </w:p>
    <w:p w14:paraId="2C1FAA33" w14:textId="0FF4D265" w:rsidR="00F32DD2"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23.</w:t>
      </w:r>
      <w:r>
        <w:rPr>
          <w:rFonts w:ascii="Arial" w:eastAsia="Times New Roman" w:hAnsi="Arial" w:cs="Arial"/>
          <w:bCs/>
          <w:kern w:val="0"/>
          <w:sz w:val="24"/>
          <w:szCs w:val="24"/>
          <w:lang w:val="en-GB"/>
          <w14:ligatures w14:val="none"/>
        </w:rPr>
        <w:tab/>
      </w:r>
      <w:r w:rsidR="00174FE2" w:rsidRPr="00811277">
        <w:rPr>
          <w:rFonts w:ascii="Arial" w:eastAsia="Times New Roman" w:hAnsi="Arial" w:cs="Arial"/>
          <w:bCs/>
          <w:sz w:val="24"/>
          <w:szCs w:val="24"/>
          <w:lang w:val="en-GB"/>
        </w:rPr>
        <w:t>The appellant raised, i</w:t>
      </w:r>
      <w:r w:rsidR="00167F16" w:rsidRPr="00811277">
        <w:rPr>
          <w:rFonts w:ascii="Arial" w:eastAsia="Times New Roman" w:hAnsi="Arial" w:cs="Arial"/>
          <w:bCs/>
          <w:sz w:val="24"/>
          <w:szCs w:val="24"/>
          <w:lang w:val="en-GB"/>
        </w:rPr>
        <w:t xml:space="preserve">n the first place, </w:t>
      </w:r>
      <w:r w:rsidR="006C1297" w:rsidRPr="00811277">
        <w:rPr>
          <w:rFonts w:ascii="Arial" w:eastAsia="Times New Roman" w:hAnsi="Arial" w:cs="Arial"/>
          <w:bCs/>
          <w:sz w:val="24"/>
          <w:szCs w:val="24"/>
          <w:lang w:val="en-GB"/>
        </w:rPr>
        <w:t>several</w:t>
      </w:r>
      <w:r w:rsidR="00167F16" w:rsidRPr="00811277">
        <w:rPr>
          <w:rFonts w:ascii="Arial" w:eastAsia="Times New Roman" w:hAnsi="Arial" w:cs="Arial"/>
          <w:bCs/>
          <w:sz w:val="24"/>
          <w:szCs w:val="24"/>
          <w:lang w:val="en-GB"/>
        </w:rPr>
        <w:t xml:space="preserve"> alleged irregularities which had occurred during the time that Redisa had been in control of the </w:t>
      </w:r>
      <w:r w:rsidR="005D31BA" w:rsidRPr="00811277">
        <w:rPr>
          <w:rFonts w:ascii="Arial" w:eastAsia="Times New Roman" w:hAnsi="Arial" w:cs="Arial"/>
          <w:bCs/>
          <w:sz w:val="24"/>
          <w:szCs w:val="24"/>
          <w:lang w:val="en-GB"/>
        </w:rPr>
        <w:t xml:space="preserve">WTM </w:t>
      </w:r>
      <w:r w:rsidR="00167F16" w:rsidRPr="00811277">
        <w:rPr>
          <w:rFonts w:ascii="Arial" w:eastAsia="Times New Roman" w:hAnsi="Arial" w:cs="Arial"/>
          <w:bCs/>
          <w:sz w:val="24"/>
          <w:szCs w:val="24"/>
          <w:lang w:val="en-GB"/>
        </w:rPr>
        <w:t>plan</w:t>
      </w:r>
      <w:r w:rsidR="006C1297" w:rsidRPr="00811277">
        <w:rPr>
          <w:rFonts w:ascii="Arial" w:eastAsia="Times New Roman" w:hAnsi="Arial" w:cs="Arial"/>
          <w:bCs/>
          <w:sz w:val="24"/>
          <w:szCs w:val="24"/>
          <w:lang w:val="en-GB"/>
        </w:rPr>
        <w:t>, which it claimed vitiated it</w:t>
      </w:r>
      <w:r w:rsidR="00167F16" w:rsidRPr="00811277">
        <w:rPr>
          <w:rFonts w:ascii="Arial" w:eastAsia="Times New Roman" w:hAnsi="Arial" w:cs="Arial"/>
          <w:bCs/>
          <w:sz w:val="24"/>
          <w:szCs w:val="24"/>
          <w:lang w:val="en-GB"/>
        </w:rPr>
        <w:t xml:space="preserve">. These included </w:t>
      </w:r>
      <w:r w:rsidR="008F2C5F" w:rsidRPr="00811277">
        <w:rPr>
          <w:rFonts w:ascii="Arial" w:eastAsia="Times New Roman" w:hAnsi="Arial" w:cs="Arial"/>
          <w:bCs/>
          <w:sz w:val="24"/>
          <w:szCs w:val="24"/>
          <w:lang w:val="en-GB"/>
        </w:rPr>
        <w:t xml:space="preserve">1) </w:t>
      </w:r>
      <w:r w:rsidR="00167F16" w:rsidRPr="00811277">
        <w:rPr>
          <w:rFonts w:ascii="Arial" w:eastAsia="Times New Roman" w:hAnsi="Arial" w:cs="Arial"/>
          <w:bCs/>
          <w:sz w:val="24"/>
          <w:szCs w:val="24"/>
          <w:lang w:val="en-GB"/>
        </w:rPr>
        <w:t xml:space="preserve">the </w:t>
      </w:r>
      <w:r w:rsidR="005D31BA" w:rsidRPr="00811277">
        <w:rPr>
          <w:rFonts w:ascii="Arial" w:eastAsia="Times New Roman" w:hAnsi="Arial" w:cs="Arial"/>
          <w:bCs/>
          <w:sz w:val="24"/>
          <w:szCs w:val="24"/>
          <w:lang w:val="en-GB"/>
        </w:rPr>
        <w:t xml:space="preserve">alleged </w:t>
      </w:r>
      <w:r w:rsidR="00167F16" w:rsidRPr="00811277">
        <w:rPr>
          <w:rFonts w:ascii="Arial" w:eastAsia="Times New Roman" w:hAnsi="Arial" w:cs="Arial"/>
          <w:bCs/>
          <w:sz w:val="24"/>
          <w:szCs w:val="24"/>
          <w:lang w:val="en-GB"/>
        </w:rPr>
        <w:t>payment of a management fee to the company which managed the plan</w:t>
      </w:r>
      <w:r w:rsidR="005D31BA" w:rsidRPr="00811277">
        <w:rPr>
          <w:rFonts w:ascii="Arial" w:eastAsia="Times New Roman" w:hAnsi="Arial" w:cs="Arial"/>
          <w:bCs/>
          <w:sz w:val="24"/>
          <w:szCs w:val="24"/>
          <w:lang w:val="en-GB"/>
        </w:rPr>
        <w:t>,</w:t>
      </w:r>
      <w:r w:rsidR="00167F16" w:rsidRPr="00811277">
        <w:rPr>
          <w:rFonts w:ascii="Arial" w:eastAsia="Times New Roman" w:hAnsi="Arial" w:cs="Arial"/>
          <w:bCs/>
          <w:sz w:val="24"/>
          <w:szCs w:val="24"/>
          <w:lang w:val="en-GB"/>
        </w:rPr>
        <w:t xml:space="preserve"> in excess of what </w:t>
      </w:r>
      <w:r w:rsidR="00EF236C" w:rsidRPr="00811277">
        <w:rPr>
          <w:rFonts w:ascii="Arial" w:eastAsia="Times New Roman" w:hAnsi="Arial" w:cs="Arial"/>
          <w:bCs/>
          <w:sz w:val="24"/>
          <w:szCs w:val="24"/>
          <w:lang w:val="en-GB"/>
        </w:rPr>
        <w:t>was</w:t>
      </w:r>
      <w:r w:rsidR="00167F16" w:rsidRPr="00811277">
        <w:rPr>
          <w:rFonts w:ascii="Arial" w:eastAsia="Times New Roman" w:hAnsi="Arial" w:cs="Arial"/>
          <w:bCs/>
          <w:sz w:val="24"/>
          <w:szCs w:val="24"/>
          <w:lang w:val="en-GB"/>
        </w:rPr>
        <w:t xml:space="preserve"> provided for in the management contract</w:t>
      </w:r>
      <w:r w:rsidR="004B38D9" w:rsidRPr="00811277">
        <w:rPr>
          <w:rFonts w:ascii="Arial" w:eastAsia="Times New Roman" w:hAnsi="Arial" w:cs="Arial"/>
          <w:bCs/>
          <w:sz w:val="24"/>
          <w:szCs w:val="24"/>
          <w:lang w:val="en-GB"/>
        </w:rPr>
        <w:t>,</w:t>
      </w:r>
      <w:r w:rsidR="00EF236C" w:rsidRPr="00811277">
        <w:rPr>
          <w:rFonts w:ascii="Arial" w:eastAsia="Times New Roman" w:hAnsi="Arial" w:cs="Arial"/>
          <w:bCs/>
          <w:sz w:val="24"/>
          <w:szCs w:val="24"/>
          <w:lang w:val="en-GB"/>
        </w:rPr>
        <w:t xml:space="preserve"> </w:t>
      </w:r>
      <w:r w:rsidR="00E4060A" w:rsidRPr="00811277">
        <w:rPr>
          <w:rFonts w:ascii="Arial" w:eastAsia="Times New Roman" w:hAnsi="Arial" w:cs="Arial"/>
          <w:bCs/>
          <w:sz w:val="24"/>
          <w:szCs w:val="24"/>
          <w:lang w:val="en-GB"/>
        </w:rPr>
        <w:t xml:space="preserve">from which </w:t>
      </w:r>
      <w:r w:rsidR="00025FC8" w:rsidRPr="00811277">
        <w:rPr>
          <w:rFonts w:ascii="Arial" w:eastAsia="Times New Roman" w:hAnsi="Arial" w:cs="Arial"/>
          <w:bCs/>
          <w:sz w:val="24"/>
          <w:szCs w:val="24"/>
          <w:lang w:val="en-GB"/>
        </w:rPr>
        <w:t xml:space="preserve">proceeds </w:t>
      </w:r>
      <w:r w:rsidR="00167F16" w:rsidRPr="00811277">
        <w:rPr>
          <w:rFonts w:ascii="Arial" w:eastAsia="Times New Roman" w:hAnsi="Arial" w:cs="Arial"/>
          <w:bCs/>
          <w:sz w:val="24"/>
          <w:szCs w:val="24"/>
          <w:lang w:val="en-GB"/>
        </w:rPr>
        <w:t xml:space="preserve">the management company </w:t>
      </w:r>
      <w:r w:rsidR="00E4060A" w:rsidRPr="00811277">
        <w:rPr>
          <w:rFonts w:ascii="Arial" w:eastAsia="Times New Roman" w:hAnsi="Arial" w:cs="Arial"/>
          <w:bCs/>
          <w:sz w:val="24"/>
          <w:szCs w:val="24"/>
          <w:lang w:val="en-GB"/>
        </w:rPr>
        <w:t>in turn paid</w:t>
      </w:r>
      <w:r w:rsidR="00167F16" w:rsidRPr="00811277">
        <w:rPr>
          <w:rFonts w:ascii="Arial" w:eastAsia="Times New Roman" w:hAnsi="Arial" w:cs="Arial"/>
          <w:bCs/>
          <w:sz w:val="24"/>
          <w:szCs w:val="24"/>
          <w:lang w:val="en-GB"/>
        </w:rPr>
        <w:t xml:space="preserve"> large dividends to its shareholders </w:t>
      </w:r>
      <w:r w:rsidR="00025FC8" w:rsidRPr="00811277">
        <w:rPr>
          <w:rFonts w:ascii="Arial" w:eastAsia="Times New Roman" w:hAnsi="Arial" w:cs="Arial"/>
          <w:bCs/>
          <w:sz w:val="24"/>
          <w:szCs w:val="24"/>
          <w:lang w:val="en-GB"/>
        </w:rPr>
        <w:t xml:space="preserve">and </w:t>
      </w:r>
      <w:r w:rsidR="008F2C5F" w:rsidRPr="00811277">
        <w:rPr>
          <w:rFonts w:ascii="Arial" w:eastAsia="Times New Roman" w:hAnsi="Arial" w:cs="Arial"/>
          <w:bCs/>
          <w:sz w:val="24"/>
          <w:szCs w:val="24"/>
          <w:lang w:val="en-GB"/>
        </w:rPr>
        <w:t xml:space="preserve">2) </w:t>
      </w:r>
      <w:r w:rsidR="00167F16" w:rsidRPr="00811277">
        <w:rPr>
          <w:rFonts w:ascii="Arial" w:eastAsia="Times New Roman" w:hAnsi="Arial" w:cs="Arial"/>
          <w:bCs/>
          <w:sz w:val="24"/>
          <w:szCs w:val="24"/>
          <w:lang w:val="en-GB"/>
        </w:rPr>
        <w:t xml:space="preserve">alleged irregular payments by </w:t>
      </w:r>
      <w:r w:rsidR="005D31BA" w:rsidRPr="00811277">
        <w:rPr>
          <w:rFonts w:ascii="Arial" w:eastAsia="Times New Roman" w:hAnsi="Arial" w:cs="Arial"/>
          <w:bCs/>
          <w:sz w:val="24"/>
          <w:szCs w:val="24"/>
          <w:lang w:val="en-GB"/>
        </w:rPr>
        <w:t>R</w:t>
      </w:r>
      <w:r w:rsidR="00167F16" w:rsidRPr="00811277">
        <w:rPr>
          <w:rFonts w:ascii="Arial" w:eastAsia="Times New Roman" w:hAnsi="Arial" w:cs="Arial"/>
          <w:bCs/>
          <w:sz w:val="24"/>
          <w:szCs w:val="24"/>
          <w:lang w:val="en-GB"/>
        </w:rPr>
        <w:t xml:space="preserve">edisa for </w:t>
      </w:r>
      <w:r w:rsidR="005D31BA" w:rsidRPr="00811277">
        <w:rPr>
          <w:rFonts w:ascii="Arial" w:eastAsia="Times New Roman" w:hAnsi="Arial" w:cs="Arial"/>
          <w:bCs/>
          <w:sz w:val="24"/>
          <w:szCs w:val="24"/>
          <w:lang w:val="en-GB"/>
        </w:rPr>
        <w:t xml:space="preserve">the benefit of </w:t>
      </w:r>
      <w:r w:rsidR="00167F16" w:rsidRPr="00811277">
        <w:rPr>
          <w:rFonts w:ascii="Arial" w:eastAsia="Times New Roman" w:hAnsi="Arial" w:cs="Arial"/>
          <w:bCs/>
          <w:sz w:val="24"/>
          <w:szCs w:val="24"/>
          <w:lang w:val="en-GB"/>
        </w:rPr>
        <w:t>its directors (</w:t>
      </w:r>
      <w:r w:rsidR="00EF236C" w:rsidRPr="00811277">
        <w:rPr>
          <w:rFonts w:ascii="Arial" w:eastAsia="Times New Roman" w:hAnsi="Arial" w:cs="Arial"/>
          <w:bCs/>
          <w:sz w:val="24"/>
          <w:szCs w:val="24"/>
          <w:lang w:val="en-GB"/>
        </w:rPr>
        <w:t>for</w:t>
      </w:r>
      <w:r w:rsidR="00167F16" w:rsidRPr="00811277">
        <w:rPr>
          <w:rFonts w:ascii="Arial" w:eastAsia="Times New Roman" w:hAnsi="Arial" w:cs="Arial"/>
          <w:bCs/>
          <w:sz w:val="24"/>
          <w:szCs w:val="24"/>
          <w:lang w:val="en-GB"/>
        </w:rPr>
        <w:t xml:space="preserve"> lease rentals and security upgrades at their residences in Cape Town and the costs of private security)</w:t>
      </w:r>
      <w:r w:rsidR="005D31BA" w:rsidRPr="00811277">
        <w:rPr>
          <w:rFonts w:ascii="Arial" w:eastAsia="Times New Roman" w:hAnsi="Arial" w:cs="Arial"/>
          <w:bCs/>
          <w:sz w:val="24"/>
          <w:szCs w:val="24"/>
          <w:lang w:val="en-GB"/>
        </w:rPr>
        <w:t>,</w:t>
      </w:r>
      <w:r w:rsidR="00167F16" w:rsidRPr="00811277">
        <w:rPr>
          <w:rFonts w:ascii="Arial" w:eastAsia="Times New Roman" w:hAnsi="Arial" w:cs="Arial"/>
          <w:bCs/>
          <w:sz w:val="24"/>
          <w:szCs w:val="24"/>
          <w:lang w:val="en-GB"/>
        </w:rPr>
        <w:t xml:space="preserve"> and </w:t>
      </w:r>
      <w:r w:rsidR="004B38D9" w:rsidRPr="00811277">
        <w:rPr>
          <w:rFonts w:ascii="Arial" w:eastAsia="Times New Roman" w:hAnsi="Arial" w:cs="Arial"/>
          <w:bCs/>
          <w:sz w:val="24"/>
          <w:szCs w:val="24"/>
          <w:lang w:val="en-GB"/>
        </w:rPr>
        <w:t xml:space="preserve">for </w:t>
      </w:r>
      <w:r w:rsidR="00167F16" w:rsidRPr="00811277">
        <w:rPr>
          <w:rFonts w:ascii="Arial" w:eastAsia="Times New Roman" w:hAnsi="Arial" w:cs="Arial"/>
          <w:bCs/>
          <w:sz w:val="24"/>
          <w:szCs w:val="24"/>
          <w:lang w:val="en-GB"/>
        </w:rPr>
        <w:t>a residential property for staff members in Bryanston.</w:t>
      </w:r>
      <w:r w:rsidR="005D31BA" w:rsidRPr="00811277">
        <w:rPr>
          <w:rFonts w:ascii="Arial" w:eastAsia="Times New Roman" w:hAnsi="Arial" w:cs="Arial"/>
          <w:bCs/>
          <w:sz w:val="24"/>
          <w:szCs w:val="24"/>
          <w:lang w:val="en-GB"/>
        </w:rPr>
        <w:t xml:space="preserve"> As Redisa pointed out in its answering affidavit these allegations were sourced from the contents of the affidavits which were filed by the Minister in the winding-up applications and </w:t>
      </w:r>
      <w:r w:rsidR="008F2C5F" w:rsidRPr="00811277">
        <w:rPr>
          <w:rFonts w:ascii="Arial" w:eastAsia="Times New Roman" w:hAnsi="Arial" w:cs="Arial"/>
          <w:bCs/>
          <w:sz w:val="24"/>
          <w:szCs w:val="24"/>
          <w:lang w:val="en-GB"/>
        </w:rPr>
        <w:t>were</w:t>
      </w:r>
      <w:r w:rsidR="005D31BA" w:rsidRPr="00811277">
        <w:rPr>
          <w:rFonts w:ascii="Arial" w:eastAsia="Times New Roman" w:hAnsi="Arial" w:cs="Arial"/>
          <w:bCs/>
          <w:sz w:val="24"/>
          <w:szCs w:val="24"/>
          <w:lang w:val="en-GB"/>
        </w:rPr>
        <w:t xml:space="preserve"> rejected </w:t>
      </w:r>
      <w:r w:rsidR="00EF236C" w:rsidRPr="00811277">
        <w:rPr>
          <w:rFonts w:ascii="Arial" w:eastAsia="Times New Roman" w:hAnsi="Arial" w:cs="Arial"/>
          <w:bCs/>
          <w:sz w:val="24"/>
          <w:szCs w:val="24"/>
          <w:lang w:val="en-GB"/>
        </w:rPr>
        <w:t xml:space="preserve">by </w:t>
      </w:r>
      <w:r w:rsidR="005D31BA" w:rsidRPr="00811277">
        <w:rPr>
          <w:rFonts w:ascii="Arial" w:eastAsia="Times New Roman" w:hAnsi="Arial" w:cs="Arial"/>
          <w:bCs/>
          <w:sz w:val="24"/>
          <w:szCs w:val="24"/>
          <w:lang w:val="en-GB"/>
        </w:rPr>
        <w:t>the SCA</w:t>
      </w:r>
      <w:r w:rsidR="00F32DD2" w:rsidRPr="00811277">
        <w:rPr>
          <w:rFonts w:ascii="Arial" w:eastAsia="Times New Roman" w:hAnsi="Arial" w:cs="Arial"/>
          <w:bCs/>
          <w:sz w:val="24"/>
          <w:szCs w:val="24"/>
          <w:lang w:val="en-GB"/>
        </w:rPr>
        <w:t>,</w:t>
      </w:r>
      <w:r w:rsidR="005D31BA" w:rsidRPr="00811277">
        <w:rPr>
          <w:rFonts w:ascii="Arial" w:eastAsia="Times New Roman" w:hAnsi="Arial" w:cs="Arial"/>
          <w:bCs/>
          <w:sz w:val="24"/>
          <w:szCs w:val="24"/>
          <w:lang w:val="en-GB"/>
        </w:rPr>
        <w:t xml:space="preserve"> which held that they were</w:t>
      </w:r>
      <w:r w:rsidR="00F32DD2" w:rsidRPr="00811277">
        <w:rPr>
          <w:rFonts w:ascii="Arial" w:eastAsia="Times New Roman" w:hAnsi="Arial" w:cs="Arial"/>
          <w:bCs/>
          <w:sz w:val="24"/>
          <w:szCs w:val="24"/>
          <w:lang w:val="en-GB"/>
        </w:rPr>
        <w:t xml:space="preserve"> materially devoid of any factual foundation and </w:t>
      </w:r>
      <w:r w:rsidR="00CF0750" w:rsidRPr="00811277">
        <w:rPr>
          <w:rFonts w:ascii="Arial" w:eastAsia="Times New Roman" w:hAnsi="Arial" w:cs="Arial"/>
          <w:bCs/>
          <w:sz w:val="24"/>
          <w:szCs w:val="24"/>
          <w:lang w:val="en-GB"/>
        </w:rPr>
        <w:t>we</w:t>
      </w:r>
      <w:r w:rsidR="00272AD6" w:rsidRPr="00811277">
        <w:rPr>
          <w:rFonts w:ascii="Arial" w:eastAsia="Times New Roman" w:hAnsi="Arial" w:cs="Arial"/>
          <w:bCs/>
          <w:sz w:val="24"/>
          <w:szCs w:val="24"/>
          <w:lang w:val="en-GB"/>
        </w:rPr>
        <w:t>r</w:t>
      </w:r>
      <w:r w:rsidR="00CF0750" w:rsidRPr="00811277">
        <w:rPr>
          <w:rFonts w:ascii="Arial" w:eastAsia="Times New Roman" w:hAnsi="Arial" w:cs="Arial"/>
          <w:bCs/>
          <w:sz w:val="24"/>
          <w:szCs w:val="24"/>
          <w:lang w:val="en-GB"/>
        </w:rPr>
        <w:t xml:space="preserve">e </w:t>
      </w:r>
      <w:r w:rsidR="005D31BA" w:rsidRPr="00811277">
        <w:rPr>
          <w:rFonts w:ascii="Arial" w:eastAsia="Times New Roman" w:hAnsi="Arial" w:cs="Arial"/>
          <w:bCs/>
          <w:sz w:val="24"/>
          <w:szCs w:val="24"/>
          <w:lang w:val="en-GB"/>
        </w:rPr>
        <w:t>unsustainable</w:t>
      </w:r>
      <w:r w:rsidR="00F32DD2" w:rsidRPr="00811277">
        <w:rPr>
          <w:rFonts w:ascii="Arial" w:eastAsia="Times New Roman" w:hAnsi="Arial" w:cs="Arial"/>
          <w:bCs/>
          <w:sz w:val="24"/>
          <w:szCs w:val="24"/>
          <w:lang w:val="en-GB"/>
        </w:rPr>
        <w:t>, as they had been comprehensively</w:t>
      </w:r>
      <w:r w:rsidR="005D31BA" w:rsidRPr="00811277">
        <w:rPr>
          <w:rFonts w:ascii="Arial" w:eastAsia="Times New Roman" w:hAnsi="Arial" w:cs="Arial"/>
          <w:bCs/>
          <w:sz w:val="24"/>
          <w:szCs w:val="24"/>
          <w:lang w:val="en-GB"/>
        </w:rPr>
        <w:t xml:space="preserve"> refuted by </w:t>
      </w:r>
      <w:r w:rsidR="00F32DD2" w:rsidRPr="00811277">
        <w:rPr>
          <w:rFonts w:ascii="Arial" w:eastAsia="Times New Roman" w:hAnsi="Arial" w:cs="Arial"/>
          <w:bCs/>
          <w:sz w:val="24"/>
          <w:szCs w:val="24"/>
          <w:lang w:val="en-GB"/>
        </w:rPr>
        <w:t>R</w:t>
      </w:r>
      <w:r w:rsidR="005D31BA" w:rsidRPr="00811277">
        <w:rPr>
          <w:rFonts w:ascii="Arial" w:eastAsia="Times New Roman" w:hAnsi="Arial" w:cs="Arial"/>
          <w:bCs/>
          <w:sz w:val="24"/>
          <w:szCs w:val="24"/>
          <w:lang w:val="en-GB"/>
        </w:rPr>
        <w:t>edisa</w:t>
      </w:r>
      <w:r w:rsidR="00F32DD2" w:rsidRPr="00811277">
        <w:rPr>
          <w:rFonts w:ascii="Arial" w:eastAsia="Times New Roman" w:hAnsi="Arial" w:cs="Arial"/>
          <w:bCs/>
          <w:sz w:val="24"/>
          <w:szCs w:val="24"/>
          <w:lang w:val="en-GB"/>
        </w:rPr>
        <w:t xml:space="preserve"> in its answering papers. As these allegations were not pressed in argument before the Court a </w:t>
      </w:r>
      <w:r w:rsidR="00F32DD2" w:rsidRPr="00811277">
        <w:rPr>
          <w:rFonts w:ascii="Arial" w:eastAsia="Times New Roman" w:hAnsi="Arial" w:cs="Arial"/>
          <w:bCs/>
          <w:i/>
          <w:iCs/>
          <w:sz w:val="24"/>
          <w:szCs w:val="24"/>
          <w:lang w:val="en-GB"/>
        </w:rPr>
        <w:t>quo</w:t>
      </w:r>
      <w:r w:rsidR="00F32DD2" w:rsidRPr="00811277">
        <w:rPr>
          <w:rFonts w:ascii="Arial" w:eastAsia="Times New Roman" w:hAnsi="Arial" w:cs="Arial"/>
          <w:bCs/>
          <w:sz w:val="24"/>
          <w:szCs w:val="24"/>
          <w:lang w:val="en-GB"/>
        </w:rPr>
        <w:t xml:space="preserve"> and have not been resurrected as part of the grounds of appeal before us, there is no need to canvass them any further.</w:t>
      </w:r>
    </w:p>
    <w:p w14:paraId="6C964375" w14:textId="49CB6E48" w:rsidR="00100F06" w:rsidRPr="00811277" w:rsidRDefault="00811277" w:rsidP="00811277">
      <w:pPr>
        <w:spacing w:line="360" w:lineRule="auto"/>
        <w:ind w:left="720" w:hanging="720"/>
        <w:jc w:val="both"/>
        <w:rPr>
          <w:rFonts w:ascii="Arial" w:eastAsia="Times New Roman" w:hAnsi="Arial" w:cs="Arial"/>
          <w:b/>
          <w:sz w:val="24"/>
          <w:szCs w:val="24"/>
          <w:lang w:val="en-GB"/>
        </w:rPr>
      </w:pPr>
      <w:r w:rsidRPr="00F54EEB">
        <w:rPr>
          <w:rFonts w:ascii="Arial" w:eastAsia="Times New Roman" w:hAnsi="Arial" w:cs="Arial"/>
          <w:bCs/>
          <w:kern w:val="0"/>
          <w:sz w:val="24"/>
          <w:szCs w:val="24"/>
          <w:lang w:val="en-GB"/>
          <w14:ligatures w14:val="none"/>
        </w:rPr>
        <w:lastRenderedPageBreak/>
        <w:t>24.</w:t>
      </w:r>
      <w:r w:rsidRPr="00F54EEB">
        <w:rPr>
          <w:rFonts w:ascii="Arial" w:eastAsia="Times New Roman" w:hAnsi="Arial" w:cs="Arial"/>
          <w:bCs/>
          <w:kern w:val="0"/>
          <w:sz w:val="24"/>
          <w:szCs w:val="24"/>
          <w:lang w:val="en-GB"/>
          <w14:ligatures w14:val="none"/>
        </w:rPr>
        <w:tab/>
      </w:r>
      <w:r w:rsidR="005D31BA" w:rsidRPr="00811277">
        <w:rPr>
          <w:rFonts w:ascii="Arial" w:eastAsia="Times New Roman" w:hAnsi="Arial" w:cs="Arial"/>
          <w:bCs/>
          <w:sz w:val="24"/>
          <w:szCs w:val="24"/>
          <w:lang w:val="en-GB"/>
        </w:rPr>
        <w:t>In the second place,</w:t>
      </w:r>
      <w:r w:rsidR="00F32DD2" w:rsidRPr="00811277">
        <w:rPr>
          <w:rFonts w:ascii="Arial" w:eastAsia="Times New Roman" w:hAnsi="Arial" w:cs="Arial"/>
          <w:bCs/>
          <w:sz w:val="24"/>
          <w:szCs w:val="24"/>
          <w:lang w:val="en-GB"/>
        </w:rPr>
        <w:t xml:space="preserve"> the appellant </w:t>
      </w:r>
      <w:r w:rsidR="004B38D9" w:rsidRPr="00811277">
        <w:rPr>
          <w:rFonts w:ascii="Arial" w:eastAsia="Times New Roman" w:hAnsi="Arial" w:cs="Arial"/>
          <w:bCs/>
          <w:sz w:val="24"/>
          <w:szCs w:val="24"/>
          <w:lang w:val="en-GB"/>
        </w:rPr>
        <w:t>contended that it was only liable to pay waste tyre management fees that were lawfully due</w:t>
      </w:r>
      <w:r w:rsidR="00CF0750" w:rsidRPr="00811277">
        <w:rPr>
          <w:rFonts w:ascii="Arial" w:eastAsia="Times New Roman" w:hAnsi="Arial" w:cs="Arial"/>
          <w:bCs/>
          <w:sz w:val="24"/>
          <w:szCs w:val="24"/>
          <w:lang w:val="en-GB"/>
        </w:rPr>
        <w:t xml:space="preserve">, and those </w:t>
      </w:r>
      <w:r w:rsidR="00733DE3" w:rsidRPr="00811277">
        <w:rPr>
          <w:rFonts w:ascii="Arial" w:eastAsia="Times New Roman" w:hAnsi="Arial" w:cs="Arial"/>
          <w:bCs/>
          <w:sz w:val="24"/>
          <w:szCs w:val="24"/>
          <w:lang w:val="en-GB"/>
        </w:rPr>
        <w:t xml:space="preserve">that were </w:t>
      </w:r>
      <w:r w:rsidR="00CF0750" w:rsidRPr="00811277">
        <w:rPr>
          <w:rFonts w:ascii="Arial" w:eastAsia="Times New Roman" w:hAnsi="Arial" w:cs="Arial"/>
          <w:bCs/>
          <w:sz w:val="24"/>
          <w:szCs w:val="24"/>
          <w:lang w:val="en-GB"/>
        </w:rPr>
        <w:t>claimed were not</w:t>
      </w:r>
      <w:r w:rsidR="00D223D3" w:rsidRPr="00811277">
        <w:rPr>
          <w:rFonts w:ascii="Arial" w:eastAsia="Times New Roman" w:hAnsi="Arial" w:cs="Arial"/>
          <w:bCs/>
          <w:sz w:val="24"/>
          <w:szCs w:val="24"/>
          <w:lang w:val="en-GB"/>
        </w:rPr>
        <w:t xml:space="preserve">. </w:t>
      </w:r>
      <w:r w:rsidR="005E65C1" w:rsidRPr="00811277">
        <w:rPr>
          <w:rFonts w:ascii="Arial" w:eastAsia="Times New Roman" w:hAnsi="Arial" w:cs="Arial"/>
          <w:bCs/>
          <w:sz w:val="24"/>
          <w:szCs w:val="24"/>
          <w:lang w:val="en-GB"/>
        </w:rPr>
        <w:t>It pointed out that</w:t>
      </w:r>
      <w:r w:rsidR="006C1297" w:rsidRPr="00811277">
        <w:rPr>
          <w:rFonts w:ascii="Arial" w:eastAsia="Times New Roman" w:hAnsi="Arial" w:cs="Arial"/>
          <w:bCs/>
          <w:sz w:val="24"/>
          <w:szCs w:val="24"/>
          <w:lang w:val="en-GB"/>
        </w:rPr>
        <w:t xml:space="preserve"> the</w:t>
      </w:r>
      <w:r w:rsidR="00D66848" w:rsidRPr="00811277">
        <w:rPr>
          <w:rFonts w:ascii="Arial" w:eastAsia="Times New Roman" w:hAnsi="Arial" w:cs="Arial"/>
          <w:bCs/>
          <w:sz w:val="24"/>
          <w:szCs w:val="24"/>
          <w:lang w:val="en-GB"/>
        </w:rPr>
        <w:t xml:space="preserve"> plan</w:t>
      </w:r>
      <w:r w:rsidR="0016343C" w:rsidRPr="00811277">
        <w:rPr>
          <w:rFonts w:ascii="Arial" w:eastAsia="Times New Roman" w:hAnsi="Arial" w:cs="Arial"/>
          <w:bCs/>
          <w:sz w:val="24"/>
          <w:szCs w:val="24"/>
          <w:lang w:val="en-GB"/>
        </w:rPr>
        <w:t xml:space="preserve"> provided that the </w:t>
      </w:r>
      <w:r w:rsidR="00025FC8" w:rsidRPr="00811277">
        <w:rPr>
          <w:rFonts w:ascii="Arial" w:eastAsia="Times New Roman" w:hAnsi="Arial" w:cs="Arial"/>
          <w:bCs/>
          <w:sz w:val="24"/>
          <w:szCs w:val="24"/>
          <w:lang w:val="en-GB"/>
        </w:rPr>
        <w:t>initial</w:t>
      </w:r>
      <w:r w:rsidR="0016343C" w:rsidRPr="00811277">
        <w:rPr>
          <w:rFonts w:ascii="Arial" w:eastAsia="Times New Roman" w:hAnsi="Arial" w:cs="Arial"/>
          <w:bCs/>
          <w:sz w:val="24"/>
          <w:szCs w:val="24"/>
          <w:lang w:val="en-GB"/>
        </w:rPr>
        <w:t xml:space="preserve"> R2.30 per kilogram levy which was imposed in 2012 was </w:t>
      </w:r>
      <w:r w:rsidR="00D223D3" w:rsidRPr="00811277">
        <w:rPr>
          <w:rFonts w:ascii="Arial" w:eastAsia="Times New Roman" w:hAnsi="Arial" w:cs="Arial"/>
          <w:bCs/>
          <w:sz w:val="24"/>
          <w:szCs w:val="24"/>
          <w:lang w:val="en-GB"/>
        </w:rPr>
        <w:t xml:space="preserve">only </w:t>
      </w:r>
      <w:r w:rsidR="0016343C" w:rsidRPr="00811277">
        <w:rPr>
          <w:rFonts w:ascii="Arial" w:eastAsia="Times New Roman" w:hAnsi="Arial" w:cs="Arial"/>
          <w:bCs/>
          <w:sz w:val="24"/>
          <w:szCs w:val="24"/>
          <w:lang w:val="en-GB"/>
        </w:rPr>
        <w:t xml:space="preserve">an ‘estimated’ </w:t>
      </w:r>
      <w:r w:rsidR="00025FC8" w:rsidRPr="00811277">
        <w:rPr>
          <w:rFonts w:ascii="Arial" w:eastAsia="Times New Roman" w:hAnsi="Arial" w:cs="Arial"/>
          <w:bCs/>
          <w:sz w:val="24"/>
          <w:szCs w:val="24"/>
          <w:lang w:val="en-GB"/>
        </w:rPr>
        <w:t>fee</w:t>
      </w:r>
      <w:r w:rsidR="0016343C" w:rsidRPr="00811277">
        <w:rPr>
          <w:rFonts w:ascii="Arial" w:eastAsia="Times New Roman" w:hAnsi="Arial" w:cs="Arial"/>
          <w:bCs/>
          <w:sz w:val="24"/>
          <w:szCs w:val="24"/>
          <w:lang w:val="en-GB"/>
        </w:rPr>
        <w:t xml:space="preserve"> which was to</w:t>
      </w:r>
      <w:r w:rsidR="00D75169" w:rsidRPr="00811277">
        <w:rPr>
          <w:rFonts w:ascii="Arial" w:eastAsia="Times New Roman" w:hAnsi="Arial" w:cs="Arial"/>
          <w:bCs/>
          <w:sz w:val="24"/>
          <w:szCs w:val="24"/>
          <w:lang w:val="en-GB"/>
        </w:rPr>
        <w:t xml:space="preserve"> be</w:t>
      </w:r>
      <w:r w:rsidR="0016343C" w:rsidRPr="00811277">
        <w:rPr>
          <w:rFonts w:ascii="Arial" w:eastAsia="Times New Roman" w:hAnsi="Arial" w:cs="Arial"/>
          <w:bCs/>
          <w:sz w:val="24"/>
          <w:szCs w:val="24"/>
          <w:lang w:val="en-GB"/>
        </w:rPr>
        <w:t xml:space="preserve"> reviewed and amended annually, after consultation with stakeholders, having due regard for the actual costs which had been incurred in previous years. Contrary to this</w:t>
      </w:r>
      <w:r w:rsidR="00D66848" w:rsidRPr="00811277">
        <w:rPr>
          <w:rFonts w:ascii="Arial" w:eastAsia="Times New Roman" w:hAnsi="Arial" w:cs="Arial"/>
          <w:bCs/>
          <w:sz w:val="24"/>
          <w:szCs w:val="24"/>
          <w:lang w:val="en-GB"/>
        </w:rPr>
        <w:t xml:space="preserve"> R</w:t>
      </w:r>
      <w:r w:rsidR="004B38D9" w:rsidRPr="00811277">
        <w:rPr>
          <w:rFonts w:ascii="Arial" w:eastAsia="Times New Roman" w:hAnsi="Arial" w:cs="Arial"/>
          <w:bCs/>
          <w:sz w:val="24"/>
          <w:szCs w:val="24"/>
          <w:lang w:val="en-GB"/>
        </w:rPr>
        <w:t xml:space="preserve">edisa </w:t>
      </w:r>
      <w:r w:rsidR="005E65C1" w:rsidRPr="00811277">
        <w:rPr>
          <w:rFonts w:ascii="Arial" w:eastAsia="Times New Roman" w:hAnsi="Arial" w:cs="Arial"/>
          <w:bCs/>
          <w:sz w:val="24"/>
          <w:szCs w:val="24"/>
          <w:lang w:val="en-GB"/>
        </w:rPr>
        <w:t xml:space="preserve">had </w:t>
      </w:r>
      <w:r w:rsidR="004B38D9" w:rsidRPr="00811277">
        <w:rPr>
          <w:rFonts w:ascii="Arial" w:eastAsia="Times New Roman" w:hAnsi="Arial" w:cs="Arial"/>
          <w:bCs/>
          <w:sz w:val="24"/>
          <w:szCs w:val="24"/>
          <w:lang w:val="en-GB"/>
        </w:rPr>
        <w:t xml:space="preserve">sought payment of </w:t>
      </w:r>
      <w:r w:rsidR="0016343C" w:rsidRPr="00811277">
        <w:rPr>
          <w:rFonts w:ascii="Arial" w:eastAsia="Times New Roman" w:hAnsi="Arial" w:cs="Arial"/>
          <w:bCs/>
          <w:sz w:val="24"/>
          <w:szCs w:val="24"/>
          <w:lang w:val="en-GB"/>
        </w:rPr>
        <w:t xml:space="preserve">waste tyre management </w:t>
      </w:r>
      <w:r w:rsidR="004B38D9" w:rsidRPr="00811277">
        <w:rPr>
          <w:rFonts w:ascii="Arial" w:eastAsia="Times New Roman" w:hAnsi="Arial" w:cs="Arial"/>
          <w:bCs/>
          <w:sz w:val="24"/>
          <w:szCs w:val="24"/>
          <w:lang w:val="en-GB"/>
        </w:rPr>
        <w:t>fees</w:t>
      </w:r>
      <w:r w:rsidR="00D66848" w:rsidRPr="00811277">
        <w:rPr>
          <w:rFonts w:ascii="Arial" w:eastAsia="Times New Roman" w:hAnsi="Arial" w:cs="Arial"/>
          <w:bCs/>
          <w:sz w:val="24"/>
          <w:szCs w:val="24"/>
          <w:lang w:val="en-GB"/>
        </w:rPr>
        <w:t xml:space="preserve"> for the period</w:t>
      </w:r>
      <w:r w:rsidR="004B38D9" w:rsidRPr="00811277">
        <w:rPr>
          <w:rFonts w:ascii="Arial" w:eastAsia="Times New Roman" w:hAnsi="Arial" w:cs="Arial"/>
          <w:bCs/>
          <w:sz w:val="24"/>
          <w:szCs w:val="24"/>
          <w:lang w:val="en-GB"/>
        </w:rPr>
        <w:t xml:space="preserve"> between October 2016 and </w:t>
      </w:r>
      <w:r w:rsidR="00733DE3" w:rsidRPr="00811277">
        <w:rPr>
          <w:rFonts w:ascii="Arial" w:eastAsia="Times New Roman" w:hAnsi="Arial" w:cs="Arial"/>
          <w:bCs/>
          <w:sz w:val="24"/>
          <w:szCs w:val="24"/>
          <w:lang w:val="en-GB"/>
        </w:rPr>
        <w:t>January/</w:t>
      </w:r>
      <w:r w:rsidR="004B38D9" w:rsidRPr="00811277">
        <w:rPr>
          <w:rFonts w:ascii="Arial" w:eastAsia="Times New Roman" w:hAnsi="Arial" w:cs="Arial"/>
          <w:bCs/>
          <w:sz w:val="24"/>
          <w:szCs w:val="24"/>
          <w:lang w:val="en-GB"/>
        </w:rPr>
        <w:t>February 2017,</w:t>
      </w:r>
      <w:r w:rsidR="00D66848" w:rsidRPr="00811277">
        <w:rPr>
          <w:rFonts w:ascii="Arial" w:eastAsia="Times New Roman" w:hAnsi="Arial" w:cs="Arial"/>
          <w:bCs/>
          <w:sz w:val="24"/>
          <w:szCs w:val="24"/>
          <w:lang w:val="en-GB"/>
        </w:rPr>
        <w:t xml:space="preserve"> </w:t>
      </w:r>
      <w:r w:rsidR="004B38D9" w:rsidRPr="00811277">
        <w:rPr>
          <w:rFonts w:ascii="Arial" w:eastAsia="Times New Roman" w:hAnsi="Arial" w:cs="Arial"/>
          <w:bCs/>
          <w:sz w:val="24"/>
          <w:szCs w:val="24"/>
          <w:lang w:val="en-GB"/>
        </w:rPr>
        <w:t xml:space="preserve">which </w:t>
      </w:r>
      <w:r w:rsidR="00C46CD9" w:rsidRPr="00811277">
        <w:rPr>
          <w:rFonts w:ascii="Arial" w:eastAsia="Times New Roman" w:hAnsi="Arial" w:cs="Arial"/>
          <w:bCs/>
          <w:sz w:val="24"/>
          <w:szCs w:val="24"/>
          <w:lang w:val="en-GB"/>
        </w:rPr>
        <w:t>were</w:t>
      </w:r>
      <w:r w:rsidR="0016343C" w:rsidRPr="00811277">
        <w:rPr>
          <w:rFonts w:ascii="Arial" w:eastAsia="Times New Roman" w:hAnsi="Arial" w:cs="Arial"/>
          <w:bCs/>
          <w:sz w:val="24"/>
          <w:szCs w:val="24"/>
          <w:lang w:val="en-GB"/>
        </w:rPr>
        <w:t xml:space="preserve"> </w:t>
      </w:r>
      <w:r w:rsidR="004B38D9" w:rsidRPr="00811277">
        <w:rPr>
          <w:rFonts w:ascii="Arial" w:eastAsia="Times New Roman" w:hAnsi="Arial" w:cs="Arial"/>
          <w:bCs/>
          <w:sz w:val="24"/>
          <w:szCs w:val="24"/>
          <w:lang w:val="en-GB"/>
        </w:rPr>
        <w:t xml:space="preserve">levied </w:t>
      </w:r>
      <w:r w:rsidR="005E65C1" w:rsidRPr="00811277">
        <w:rPr>
          <w:rFonts w:ascii="Arial" w:eastAsia="Times New Roman" w:hAnsi="Arial" w:cs="Arial"/>
          <w:bCs/>
          <w:sz w:val="24"/>
          <w:szCs w:val="24"/>
          <w:lang w:val="en-GB"/>
        </w:rPr>
        <w:t>on the basis of</w:t>
      </w:r>
      <w:r w:rsidR="00D223D3" w:rsidRPr="00811277">
        <w:rPr>
          <w:rFonts w:ascii="Arial" w:eastAsia="Times New Roman" w:hAnsi="Arial" w:cs="Arial"/>
          <w:bCs/>
          <w:sz w:val="24"/>
          <w:szCs w:val="24"/>
          <w:lang w:val="en-GB"/>
        </w:rPr>
        <w:t xml:space="preserve"> the </w:t>
      </w:r>
      <w:r w:rsidR="0016343C" w:rsidRPr="00811277">
        <w:rPr>
          <w:rFonts w:ascii="Arial" w:eastAsia="Times New Roman" w:hAnsi="Arial" w:cs="Arial"/>
          <w:bCs/>
          <w:sz w:val="24"/>
          <w:szCs w:val="24"/>
          <w:lang w:val="en-GB"/>
        </w:rPr>
        <w:t>original</w:t>
      </w:r>
      <w:r w:rsidR="009B6682" w:rsidRPr="00811277">
        <w:rPr>
          <w:rFonts w:ascii="Arial" w:eastAsia="Times New Roman" w:hAnsi="Arial" w:cs="Arial"/>
          <w:bCs/>
          <w:sz w:val="24"/>
          <w:szCs w:val="24"/>
          <w:lang w:val="en-GB"/>
        </w:rPr>
        <w:t xml:space="preserve">, unamended </w:t>
      </w:r>
      <w:r w:rsidR="0016343C" w:rsidRPr="00811277">
        <w:rPr>
          <w:rFonts w:ascii="Arial" w:eastAsia="Times New Roman" w:hAnsi="Arial" w:cs="Arial"/>
          <w:bCs/>
          <w:sz w:val="24"/>
          <w:szCs w:val="24"/>
          <w:lang w:val="en-GB"/>
        </w:rPr>
        <w:t xml:space="preserve">2012 </w:t>
      </w:r>
      <w:r w:rsidR="00833CBA" w:rsidRPr="00811277">
        <w:rPr>
          <w:rFonts w:ascii="Arial" w:eastAsia="Times New Roman" w:hAnsi="Arial" w:cs="Arial"/>
          <w:bCs/>
          <w:sz w:val="24"/>
          <w:szCs w:val="24"/>
          <w:lang w:val="en-GB"/>
        </w:rPr>
        <w:t>tariff</w:t>
      </w:r>
      <w:r w:rsidR="007A3C3D" w:rsidRPr="00811277">
        <w:rPr>
          <w:rFonts w:ascii="Arial" w:eastAsia="Times New Roman" w:hAnsi="Arial" w:cs="Arial"/>
          <w:bCs/>
          <w:sz w:val="24"/>
          <w:szCs w:val="24"/>
          <w:lang w:val="en-GB"/>
        </w:rPr>
        <w:t xml:space="preserve">. </w:t>
      </w:r>
      <w:r w:rsidR="006A2B05" w:rsidRPr="00811277">
        <w:rPr>
          <w:rFonts w:ascii="Arial" w:eastAsia="Times New Roman" w:hAnsi="Arial" w:cs="Arial"/>
          <w:bCs/>
          <w:sz w:val="24"/>
          <w:szCs w:val="24"/>
          <w:lang w:val="en-GB"/>
        </w:rPr>
        <w:t xml:space="preserve">It had </w:t>
      </w:r>
      <w:r w:rsidR="00100F06" w:rsidRPr="00811277">
        <w:rPr>
          <w:rFonts w:ascii="Arial" w:eastAsia="Times New Roman" w:hAnsi="Arial" w:cs="Arial"/>
          <w:bCs/>
          <w:sz w:val="24"/>
          <w:szCs w:val="24"/>
          <w:lang w:val="en-GB"/>
        </w:rPr>
        <w:t xml:space="preserve">therefore </w:t>
      </w:r>
      <w:r w:rsidR="006A2B05" w:rsidRPr="00811277">
        <w:rPr>
          <w:rFonts w:ascii="Arial" w:eastAsia="Times New Roman" w:hAnsi="Arial" w:cs="Arial"/>
          <w:bCs/>
          <w:sz w:val="24"/>
          <w:szCs w:val="24"/>
          <w:lang w:val="en-GB"/>
        </w:rPr>
        <w:t xml:space="preserve">either failed to review the plan annually, or if it had done so, had improperly resolved to maintain the waste tyre management fee at its original level, thereby failing to take into account the considerations it was supposed to. </w:t>
      </w:r>
      <w:r w:rsidR="00100F06" w:rsidRPr="00811277">
        <w:rPr>
          <w:rFonts w:ascii="Arial" w:eastAsia="Times New Roman" w:hAnsi="Arial" w:cs="Arial"/>
          <w:bCs/>
          <w:sz w:val="24"/>
          <w:szCs w:val="24"/>
          <w:lang w:val="en-GB"/>
        </w:rPr>
        <w:t>If Redisa had reviewed the plan annually without input from stakeholders, it had also acted in a manner that was procedurally unfair, contrary to the provisions of the Promotion of Administrative Justice Act (‘PAJA’),</w:t>
      </w:r>
      <w:r w:rsidR="00100F06">
        <w:rPr>
          <w:rStyle w:val="FootnoteReference"/>
          <w:rFonts w:ascii="Arial" w:eastAsia="Times New Roman" w:hAnsi="Arial" w:cs="Arial"/>
          <w:bCs/>
          <w:sz w:val="24"/>
          <w:szCs w:val="24"/>
          <w:lang w:val="en-GB"/>
        </w:rPr>
        <w:footnoteReference w:id="19"/>
      </w:r>
      <w:r w:rsidR="00100F06" w:rsidRPr="00811277">
        <w:rPr>
          <w:rFonts w:ascii="Arial" w:eastAsia="Times New Roman" w:hAnsi="Arial" w:cs="Arial"/>
          <w:bCs/>
          <w:sz w:val="24"/>
          <w:szCs w:val="24"/>
          <w:lang w:val="en-GB"/>
        </w:rPr>
        <w:t xml:space="preserve"> which, according to the appellant, required it to have held a public enquiry and to have obtained public comment before doing so.  As Redisa had apparently managed to build up a ‘remediation reserve’ of approximately </w:t>
      </w:r>
      <w:r w:rsidR="00833CBA" w:rsidRPr="00811277">
        <w:rPr>
          <w:rFonts w:ascii="Arial" w:eastAsia="Times New Roman" w:hAnsi="Arial" w:cs="Arial"/>
          <w:bCs/>
          <w:sz w:val="24"/>
          <w:szCs w:val="24"/>
          <w:lang w:val="en-GB"/>
        </w:rPr>
        <w:t xml:space="preserve">         </w:t>
      </w:r>
      <w:r w:rsidR="00100F06" w:rsidRPr="00811277">
        <w:rPr>
          <w:rFonts w:ascii="Arial" w:eastAsia="Times New Roman" w:hAnsi="Arial" w:cs="Arial"/>
          <w:bCs/>
          <w:sz w:val="24"/>
          <w:szCs w:val="24"/>
          <w:lang w:val="en-GB"/>
        </w:rPr>
        <w:t xml:space="preserve">R 665 million the levy was clearly excessive and Redisa was over-charging its subscribers. In the circumstances it had also failed to comply with its obligation, in terms of the plan, to ensure that the waste tyre management fee was minimized, and the levy contained in ‘real terms’. </w:t>
      </w:r>
      <w:r w:rsidR="00D223D3" w:rsidRPr="00811277">
        <w:rPr>
          <w:rFonts w:ascii="Arial" w:eastAsia="Times New Roman" w:hAnsi="Arial" w:cs="Arial"/>
          <w:bCs/>
          <w:sz w:val="24"/>
          <w:szCs w:val="24"/>
          <w:lang w:val="en-GB"/>
        </w:rPr>
        <w:t xml:space="preserve">Thus, </w:t>
      </w:r>
      <w:r w:rsidR="005E65C1" w:rsidRPr="00811277">
        <w:rPr>
          <w:rFonts w:ascii="Arial" w:eastAsia="Times New Roman" w:hAnsi="Arial" w:cs="Arial"/>
          <w:bCs/>
          <w:sz w:val="24"/>
          <w:szCs w:val="24"/>
          <w:lang w:val="en-GB"/>
        </w:rPr>
        <w:t xml:space="preserve">the appellant contended, </w:t>
      </w:r>
      <w:r w:rsidR="00D223D3" w:rsidRPr="00811277">
        <w:rPr>
          <w:rFonts w:ascii="Arial" w:eastAsia="Times New Roman" w:hAnsi="Arial" w:cs="Arial"/>
          <w:bCs/>
          <w:sz w:val="24"/>
          <w:szCs w:val="24"/>
          <w:lang w:val="en-GB"/>
        </w:rPr>
        <w:t xml:space="preserve">Redisa had breached the plan </w:t>
      </w:r>
      <w:r w:rsidR="00100F06" w:rsidRPr="00811277">
        <w:rPr>
          <w:rFonts w:ascii="Arial" w:eastAsia="Times New Roman" w:hAnsi="Arial" w:cs="Arial"/>
          <w:bCs/>
          <w:sz w:val="24"/>
          <w:szCs w:val="24"/>
          <w:lang w:val="en-GB"/>
        </w:rPr>
        <w:t xml:space="preserve">in several ways, and in doing so had </w:t>
      </w:r>
      <w:r w:rsidR="00D223D3" w:rsidRPr="00811277">
        <w:rPr>
          <w:rFonts w:ascii="Arial" w:eastAsia="Times New Roman" w:hAnsi="Arial" w:cs="Arial"/>
          <w:bCs/>
          <w:sz w:val="24"/>
          <w:szCs w:val="24"/>
          <w:lang w:val="en-GB"/>
        </w:rPr>
        <w:t>violat</w:t>
      </w:r>
      <w:r w:rsidR="00100F06" w:rsidRPr="00811277">
        <w:rPr>
          <w:rFonts w:ascii="Arial" w:eastAsia="Times New Roman" w:hAnsi="Arial" w:cs="Arial"/>
          <w:bCs/>
          <w:sz w:val="24"/>
          <w:szCs w:val="24"/>
          <w:lang w:val="en-GB"/>
        </w:rPr>
        <w:t>ed</w:t>
      </w:r>
      <w:r w:rsidR="00D223D3" w:rsidRPr="00811277">
        <w:rPr>
          <w:rFonts w:ascii="Arial" w:eastAsia="Times New Roman" w:hAnsi="Arial" w:cs="Arial"/>
          <w:bCs/>
          <w:sz w:val="24"/>
          <w:szCs w:val="24"/>
          <w:lang w:val="en-GB"/>
        </w:rPr>
        <w:t xml:space="preserve"> </w:t>
      </w:r>
      <w:r w:rsidR="008F2C5F" w:rsidRPr="00811277">
        <w:rPr>
          <w:rFonts w:ascii="Arial" w:eastAsia="Times New Roman" w:hAnsi="Arial" w:cs="Arial"/>
          <w:bCs/>
          <w:sz w:val="24"/>
          <w:szCs w:val="24"/>
          <w:lang w:val="en-GB"/>
        </w:rPr>
        <w:t xml:space="preserve">the </w:t>
      </w:r>
      <w:r w:rsidR="00100F06" w:rsidRPr="00811277">
        <w:rPr>
          <w:rFonts w:ascii="Arial" w:eastAsia="Times New Roman" w:hAnsi="Arial" w:cs="Arial"/>
          <w:bCs/>
          <w:sz w:val="24"/>
          <w:szCs w:val="24"/>
          <w:lang w:val="en-GB"/>
        </w:rPr>
        <w:t>legislation and</w:t>
      </w:r>
      <w:r w:rsidR="00AF132D" w:rsidRPr="00811277">
        <w:rPr>
          <w:rFonts w:ascii="Arial" w:eastAsia="Times New Roman" w:hAnsi="Arial" w:cs="Arial"/>
          <w:bCs/>
          <w:sz w:val="24"/>
          <w:szCs w:val="24"/>
          <w:lang w:val="en-GB"/>
        </w:rPr>
        <w:t xml:space="preserve"> </w:t>
      </w:r>
      <w:r w:rsidR="00100F06" w:rsidRPr="00811277">
        <w:rPr>
          <w:rFonts w:ascii="Arial" w:eastAsia="Times New Roman" w:hAnsi="Arial" w:cs="Arial"/>
          <w:bCs/>
          <w:sz w:val="24"/>
          <w:szCs w:val="24"/>
          <w:lang w:val="en-GB"/>
        </w:rPr>
        <w:t xml:space="preserve">made itself </w:t>
      </w:r>
      <w:r w:rsidR="00AF132D" w:rsidRPr="00811277">
        <w:rPr>
          <w:rFonts w:ascii="Arial" w:eastAsia="Times New Roman" w:hAnsi="Arial" w:cs="Arial"/>
          <w:bCs/>
          <w:sz w:val="24"/>
          <w:szCs w:val="24"/>
          <w:lang w:val="en-GB"/>
        </w:rPr>
        <w:t>guilty of a criminal offence</w:t>
      </w:r>
      <w:r w:rsidR="00100F06" w:rsidRPr="00811277">
        <w:rPr>
          <w:rFonts w:ascii="Arial" w:eastAsia="Times New Roman" w:hAnsi="Arial" w:cs="Arial"/>
          <w:bCs/>
          <w:sz w:val="24"/>
          <w:szCs w:val="24"/>
          <w:lang w:val="en-GB"/>
        </w:rPr>
        <w:t xml:space="preserve">, </w:t>
      </w:r>
      <w:r w:rsidR="00D223D3" w:rsidRPr="00811277">
        <w:rPr>
          <w:rFonts w:ascii="Arial" w:eastAsia="Times New Roman" w:hAnsi="Arial" w:cs="Arial"/>
          <w:bCs/>
          <w:sz w:val="24"/>
          <w:szCs w:val="24"/>
          <w:lang w:val="en-GB"/>
        </w:rPr>
        <w:t>and the fee</w:t>
      </w:r>
      <w:r w:rsidR="001B354F" w:rsidRPr="00811277">
        <w:rPr>
          <w:rFonts w:ascii="Arial" w:eastAsia="Times New Roman" w:hAnsi="Arial" w:cs="Arial"/>
          <w:bCs/>
          <w:sz w:val="24"/>
          <w:szCs w:val="24"/>
          <w:lang w:val="en-GB"/>
        </w:rPr>
        <w:t>s</w:t>
      </w:r>
      <w:r w:rsidR="00D223D3" w:rsidRPr="00811277">
        <w:rPr>
          <w:rFonts w:ascii="Arial" w:eastAsia="Times New Roman" w:hAnsi="Arial" w:cs="Arial"/>
          <w:bCs/>
          <w:sz w:val="24"/>
          <w:szCs w:val="24"/>
          <w:lang w:val="en-GB"/>
        </w:rPr>
        <w:t xml:space="preserve"> </w:t>
      </w:r>
      <w:r w:rsidR="00C46CD9" w:rsidRPr="00811277">
        <w:rPr>
          <w:rFonts w:ascii="Arial" w:eastAsia="Times New Roman" w:hAnsi="Arial" w:cs="Arial"/>
          <w:bCs/>
          <w:sz w:val="24"/>
          <w:szCs w:val="24"/>
          <w:lang w:val="en-GB"/>
        </w:rPr>
        <w:t xml:space="preserve">claimed </w:t>
      </w:r>
      <w:r w:rsidR="00D223D3" w:rsidRPr="00811277">
        <w:rPr>
          <w:rFonts w:ascii="Arial" w:eastAsia="Times New Roman" w:hAnsi="Arial" w:cs="Arial"/>
          <w:bCs/>
          <w:sz w:val="24"/>
          <w:szCs w:val="24"/>
          <w:lang w:val="en-GB"/>
        </w:rPr>
        <w:t>w</w:t>
      </w:r>
      <w:r w:rsidR="001B354F" w:rsidRPr="00811277">
        <w:rPr>
          <w:rFonts w:ascii="Arial" w:eastAsia="Times New Roman" w:hAnsi="Arial" w:cs="Arial"/>
          <w:bCs/>
          <w:sz w:val="24"/>
          <w:szCs w:val="24"/>
          <w:lang w:val="en-GB"/>
        </w:rPr>
        <w:t>ere</w:t>
      </w:r>
      <w:r w:rsidR="00D223D3" w:rsidRPr="00811277">
        <w:rPr>
          <w:rFonts w:ascii="Arial" w:eastAsia="Times New Roman" w:hAnsi="Arial" w:cs="Arial"/>
          <w:bCs/>
          <w:sz w:val="24"/>
          <w:szCs w:val="24"/>
          <w:lang w:val="en-GB"/>
        </w:rPr>
        <w:t xml:space="preserve"> unlawful.</w:t>
      </w:r>
      <w:r w:rsidR="006C1297" w:rsidRPr="00811277">
        <w:rPr>
          <w:rFonts w:ascii="Arial" w:eastAsia="Times New Roman" w:hAnsi="Arial" w:cs="Arial"/>
          <w:bCs/>
          <w:sz w:val="24"/>
          <w:szCs w:val="24"/>
          <w:lang w:val="en-GB"/>
        </w:rPr>
        <w:t xml:space="preserve"> </w:t>
      </w:r>
    </w:p>
    <w:p w14:paraId="3299B173" w14:textId="0388BB4D" w:rsidR="00F54EEB" w:rsidRPr="00811277" w:rsidRDefault="00811277" w:rsidP="00811277">
      <w:pPr>
        <w:spacing w:line="360" w:lineRule="auto"/>
        <w:ind w:left="720" w:hanging="720"/>
        <w:jc w:val="both"/>
        <w:rPr>
          <w:rFonts w:ascii="Arial" w:eastAsia="Times New Roman" w:hAnsi="Arial" w:cs="Arial"/>
          <w:b/>
          <w:sz w:val="24"/>
          <w:szCs w:val="24"/>
          <w:lang w:val="en-GB"/>
        </w:rPr>
      </w:pPr>
      <w:r w:rsidRPr="00100F06">
        <w:rPr>
          <w:rFonts w:ascii="Arial" w:eastAsia="Times New Roman" w:hAnsi="Arial" w:cs="Arial"/>
          <w:bCs/>
          <w:kern w:val="0"/>
          <w:sz w:val="24"/>
          <w:szCs w:val="24"/>
          <w:lang w:val="en-GB"/>
          <w14:ligatures w14:val="none"/>
        </w:rPr>
        <w:t>25.</w:t>
      </w:r>
      <w:r w:rsidRPr="00100F06">
        <w:rPr>
          <w:rFonts w:ascii="Arial" w:eastAsia="Times New Roman" w:hAnsi="Arial" w:cs="Arial"/>
          <w:bCs/>
          <w:kern w:val="0"/>
          <w:sz w:val="24"/>
          <w:szCs w:val="24"/>
          <w:lang w:val="en-GB"/>
          <w14:ligatures w14:val="none"/>
        </w:rPr>
        <w:tab/>
      </w:r>
      <w:r w:rsidR="00F54EEB" w:rsidRPr="00811277">
        <w:rPr>
          <w:rFonts w:ascii="Arial" w:eastAsia="Times New Roman" w:hAnsi="Arial" w:cs="Arial"/>
          <w:bCs/>
          <w:sz w:val="24"/>
          <w:szCs w:val="24"/>
          <w:lang w:val="en-GB"/>
        </w:rPr>
        <w:t xml:space="preserve">The Court a </w:t>
      </w:r>
      <w:r w:rsidR="00F54EEB" w:rsidRPr="00811277">
        <w:rPr>
          <w:rFonts w:ascii="Arial" w:eastAsia="Times New Roman" w:hAnsi="Arial" w:cs="Arial"/>
          <w:bCs/>
          <w:i/>
          <w:iCs/>
          <w:sz w:val="24"/>
          <w:szCs w:val="24"/>
          <w:lang w:val="en-GB"/>
        </w:rPr>
        <w:t>quo</w:t>
      </w:r>
      <w:r w:rsidR="00F54EEB" w:rsidRPr="00811277">
        <w:rPr>
          <w:rFonts w:ascii="Arial" w:eastAsia="Times New Roman" w:hAnsi="Arial" w:cs="Arial"/>
          <w:bCs/>
          <w:sz w:val="24"/>
          <w:szCs w:val="24"/>
          <w:lang w:val="en-GB"/>
        </w:rPr>
        <w:t xml:space="preserve"> considered that the collateral challenge</w:t>
      </w:r>
      <w:r w:rsidR="000B4E85" w:rsidRPr="00811277">
        <w:rPr>
          <w:rFonts w:ascii="Arial" w:eastAsia="Times New Roman" w:hAnsi="Arial" w:cs="Arial"/>
          <w:bCs/>
          <w:sz w:val="24"/>
          <w:szCs w:val="24"/>
          <w:lang w:val="en-GB"/>
        </w:rPr>
        <w:t>s</w:t>
      </w:r>
      <w:r w:rsidR="00F54EEB" w:rsidRPr="00811277">
        <w:rPr>
          <w:rFonts w:ascii="Arial" w:eastAsia="Times New Roman" w:hAnsi="Arial" w:cs="Arial"/>
          <w:bCs/>
          <w:sz w:val="24"/>
          <w:szCs w:val="24"/>
          <w:lang w:val="en-GB"/>
        </w:rPr>
        <w:t xml:space="preserve"> should not be entertained, on the grounds of the lengthy delay concerned. </w:t>
      </w:r>
    </w:p>
    <w:p w14:paraId="7E7C5378" w14:textId="35E9FCDC" w:rsidR="00C3416D" w:rsidRPr="00100F06" w:rsidRDefault="00C3416D" w:rsidP="00100F06">
      <w:pPr>
        <w:spacing w:line="360" w:lineRule="auto"/>
        <w:jc w:val="both"/>
        <w:rPr>
          <w:rFonts w:ascii="Arial" w:eastAsia="Times New Roman" w:hAnsi="Arial" w:cs="Arial"/>
          <w:b/>
          <w:sz w:val="24"/>
          <w:szCs w:val="24"/>
          <w:lang w:val="en-GB"/>
        </w:rPr>
      </w:pPr>
      <w:r w:rsidRPr="00100F06">
        <w:rPr>
          <w:rFonts w:ascii="Arial" w:eastAsia="Times New Roman" w:hAnsi="Arial" w:cs="Arial"/>
          <w:b/>
          <w:sz w:val="24"/>
          <w:szCs w:val="24"/>
          <w:lang w:val="en-GB"/>
        </w:rPr>
        <w:t>An assessment</w:t>
      </w:r>
    </w:p>
    <w:p w14:paraId="279EA222" w14:textId="6CC48574" w:rsidR="00C3416D" w:rsidRPr="00811277" w:rsidRDefault="00811277" w:rsidP="00811277">
      <w:pPr>
        <w:spacing w:line="360" w:lineRule="auto"/>
        <w:ind w:left="1080" w:hanging="720"/>
        <w:jc w:val="both"/>
        <w:rPr>
          <w:rFonts w:ascii="Arial" w:eastAsia="Times New Roman" w:hAnsi="Arial" w:cs="Arial"/>
          <w:bCs/>
          <w:sz w:val="24"/>
          <w:szCs w:val="24"/>
          <w:u w:val="single"/>
          <w:lang w:val="en-GB"/>
        </w:rPr>
      </w:pPr>
      <w:r w:rsidRPr="00C3416D">
        <w:rPr>
          <w:rFonts w:ascii="Arial" w:eastAsia="Times New Roman" w:hAnsi="Arial" w:cs="Arial"/>
          <w:bCs/>
          <w:kern w:val="0"/>
          <w:sz w:val="24"/>
          <w:szCs w:val="24"/>
          <w:lang w:val="en-GB"/>
          <w14:ligatures w14:val="none"/>
        </w:rPr>
        <w:t>(i)</w:t>
      </w:r>
      <w:r w:rsidRPr="00C3416D">
        <w:rPr>
          <w:rFonts w:ascii="Arial" w:eastAsia="Times New Roman" w:hAnsi="Arial" w:cs="Arial"/>
          <w:bCs/>
          <w:kern w:val="0"/>
          <w:sz w:val="24"/>
          <w:szCs w:val="24"/>
          <w:lang w:val="en-GB"/>
          <w14:ligatures w14:val="none"/>
        </w:rPr>
        <w:tab/>
      </w:r>
      <w:r w:rsidR="00C3416D" w:rsidRPr="00811277">
        <w:rPr>
          <w:rFonts w:ascii="Arial" w:eastAsia="Times New Roman" w:hAnsi="Arial" w:cs="Arial"/>
          <w:bCs/>
          <w:sz w:val="24"/>
          <w:szCs w:val="24"/>
          <w:u w:val="single"/>
          <w:lang w:val="en-GB"/>
        </w:rPr>
        <w:t>The law</w:t>
      </w:r>
    </w:p>
    <w:p w14:paraId="062B04C1" w14:textId="1301E563" w:rsidR="00F94371"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26.</w:t>
      </w:r>
      <w:r>
        <w:rPr>
          <w:rFonts w:ascii="Arial" w:eastAsia="Times New Roman" w:hAnsi="Arial" w:cs="Arial"/>
          <w:bCs/>
          <w:kern w:val="0"/>
          <w:sz w:val="24"/>
          <w:szCs w:val="24"/>
          <w:lang w:val="en-GB"/>
          <w14:ligatures w14:val="none"/>
        </w:rPr>
        <w:tab/>
      </w:r>
      <w:r w:rsidR="000B4E85" w:rsidRPr="00811277">
        <w:rPr>
          <w:rFonts w:ascii="Arial" w:eastAsia="Times New Roman" w:hAnsi="Arial" w:cs="Arial"/>
          <w:bCs/>
          <w:sz w:val="24"/>
          <w:szCs w:val="24"/>
          <w:lang w:val="en-GB"/>
        </w:rPr>
        <w:t>T</w:t>
      </w:r>
      <w:r w:rsidR="00D23C2B" w:rsidRPr="00811277">
        <w:rPr>
          <w:rFonts w:ascii="Arial" w:eastAsia="Times New Roman" w:hAnsi="Arial" w:cs="Arial"/>
          <w:bCs/>
          <w:sz w:val="24"/>
          <w:szCs w:val="24"/>
          <w:lang w:val="en-GB"/>
        </w:rPr>
        <w:t>he parties</w:t>
      </w:r>
      <w:r w:rsidR="007A3C3D" w:rsidRPr="00811277">
        <w:rPr>
          <w:rFonts w:ascii="Arial" w:eastAsia="Times New Roman" w:hAnsi="Arial" w:cs="Arial"/>
          <w:bCs/>
          <w:sz w:val="24"/>
          <w:szCs w:val="24"/>
          <w:lang w:val="en-GB"/>
        </w:rPr>
        <w:t>’</w:t>
      </w:r>
      <w:r w:rsidR="00D23C2B" w:rsidRPr="00811277">
        <w:rPr>
          <w:rFonts w:ascii="Arial" w:eastAsia="Times New Roman" w:hAnsi="Arial" w:cs="Arial"/>
          <w:bCs/>
          <w:sz w:val="24"/>
          <w:szCs w:val="24"/>
          <w:lang w:val="en-GB"/>
        </w:rPr>
        <w:t xml:space="preserve"> cases rest on opposing interpretations of the judgment of </w:t>
      </w:r>
      <w:r w:rsidR="00CB0AD3" w:rsidRPr="00811277">
        <w:rPr>
          <w:rFonts w:ascii="Arial" w:eastAsia="Times New Roman" w:hAnsi="Arial" w:cs="Arial"/>
          <w:bCs/>
          <w:sz w:val="24"/>
          <w:szCs w:val="24"/>
          <w:lang w:val="en-GB"/>
        </w:rPr>
        <w:t xml:space="preserve">the Constitutional Court, per </w:t>
      </w:r>
      <w:r w:rsidR="00D23C2B" w:rsidRPr="00811277">
        <w:rPr>
          <w:rFonts w:ascii="Arial" w:eastAsia="Times New Roman" w:hAnsi="Arial" w:cs="Arial"/>
          <w:bCs/>
          <w:sz w:val="24"/>
          <w:szCs w:val="24"/>
          <w:lang w:val="en-GB"/>
        </w:rPr>
        <w:t>Cameron J</w:t>
      </w:r>
      <w:r w:rsidR="00CB0AD3" w:rsidRPr="00811277">
        <w:rPr>
          <w:rFonts w:ascii="Arial" w:eastAsia="Times New Roman" w:hAnsi="Arial" w:cs="Arial"/>
          <w:bCs/>
          <w:sz w:val="24"/>
          <w:szCs w:val="24"/>
          <w:lang w:val="en-GB"/>
        </w:rPr>
        <w:t>,</w:t>
      </w:r>
      <w:r w:rsidR="00D23C2B" w:rsidRPr="00811277">
        <w:rPr>
          <w:rFonts w:ascii="Arial" w:eastAsia="Times New Roman" w:hAnsi="Arial" w:cs="Arial"/>
          <w:bCs/>
          <w:sz w:val="24"/>
          <w:szCs w:val="24"/>
          <w:lang w:val="en-GB"/>
        </w:rPr>
        <w:t xml:space="preserve"> in </w:t>
      </w:r>
      <w:r w:rsidR="00D23C2B" w:rsidRPr="00811277">
        <w:rPr>
          <w:rFonts w:ascii="Arial" w:eastAsia="Times New Roman" w:hAnsi="Arial" w:cs="Arial"/>
          <w:bCs/>
          <w:i/>
          <w:iCs/>
          <w:sz w:val="24"/>
          <w:szCs w:val="24"/>
          <w:lang w:val="en-GB"/>
        </w:rPr>
        <w:t>M</w:t>
      </w:r>
      <w:r w:rsidR="007A3C3D" w:rsidRPr="00811277">
        <w:rPr>
          <w:rFonts w:ascii="Arial" w:eastAsia="Times New Roman" w:hAnsi="Arial" w:cs="Arial"/>
          <w:bCs/>
          <w:i/>
          <w:iCs/>
          <w:sz w:val="24"/>
          <w:szCs w:val="24"/>
          <w:lang w:val="en-GB"/>
        </w:rPr>
        <w:t>erafong.</w:t>
      </w:r>
      <w:r w:rsidR="007A3C3D" w:rsidRPr="00811277">
        <w:rPr>
          <w:rStyle w:val="FootnoteReference"/>
          <w:rFonts w:ascii="Arial" w:eastAsia="Times New Roman" w:hAnsi="Arial" w:cs="Arial"/>
          <w:bCs/>
          <w:sz w:val="24"/>
          <w:szCs w:val="24"/>
          <w:lang w:val="en-GB"/>
        </w:rPr>
        <w:t>.</w:t>
      </w:r>
      <w:r w:rsidR="007A3C3D">
        <w:rPr>
          <w:rStyle w:val="FootnoteReference"/>
          <w:rFonts w:ascii="Arial" w:eastAsia="Times New Roman" w:hAnsi="Arial" w:cs="Arial"/>
          <w:bCs/>
          <w:sz w:val="24"/>
          <w:szCs w:val="24"/>
          <w:lang w:val="en-GB"/>
        </w:rPr>
        <w:footnoteReference w:id="20"/>
      </w:r>
      <w:r w:rsidR="00D23C2B" w:rsidRPr="00811277">
        <w:rPr>
          <w:rFonts w:ascii="Arial" w:eastAsia="Times New Roman" w:hAnsi="Arial" w:cs="Arial"/>
          <w:bCs/>
          <w:sz w:val="24"/>
          <w:szCs w:val="24"/>
          <w:lang w:val="en-GB"/>
        </w:rPr>
        <w:t xml:space="preserve"> </w:t>
      </w:r>
      <w:r w:rsidR="007A3C3D" w:rsidRPr="00811277">
        <w:rPr>
          <w:rFonts w:ascii="Arial" w:eastAsia="Times New Roman" w:hAnsi="Arial" w:cs="Arial"/>
          <w:bCs/>
          <w:sz w:val="24"/>
          <w:szCs w:val="24"/>
          <w:lang w:val="en-GB"/>
        </w:rPr>
        <w:t>The a</w:t>
      </w:r>
      <w:r w:rsidR="00D23C2B" w:rsidRPr="00811277">
        <w:rPr>
          <w:rFonts w:ascii="Arial" w:eastAsia="Times New Roman" w:hAnsi="Arial" w:cs="Arial"/>
          <w:bCs/>
          <w:sz w:val="24"/>
          <w:szCs w:val="24"/>
          <w:lang w:val="en-GB"/>
        </w:rPr>
        <w:t xml:space="preserve">ppellant contends that the judgment held that delay plays no role in a ‘classical’ collateral challenge which is raised by a </w:t>
      </w:r>
      <w:r w:rsidR="007A3C3D" w:rsidRPr="00811277">
        <w:rPr>
          <w:rFonts w:ascii="Arial" w:eastAsia="Times New Roman" w:hAnsi="Arial" w:cs="Arial"/>
          <w:bCs/>
          <w:sz w:val="24"/>
          <w:szCs w:val="24"/>
          <w:lang w:val="en-GB"/>
        </w:rPr>
        <w:t>‘</w:t>
      </w:r>
      <w:r w:rsidR="00D23C2B" w:rsidRPr="00811277">
        <w:rPr>
          <w:rFonts w:ascii="Arial" w:eastAsia="Times New Roman" w:hAnsi="Arial" w:cs="Arial"/>
          <w:bCs/>
          <w:sz w:val="24"/>
          <w:szCs w:val="24"/>
          <w:lang w:val="en-GB"/>
        </w:rPr>
        <w:t>non</w:t>
      </w:r>
      <w:r w:rsidR="007A3C3D" w:rsidRPr="00811277">
        <w:rPr>
          <w:rFonts w:ascii="Arial" w:eastAsia="Times New Roman" w:hAnsi="Arial" w:cs="Arial"/>
          <w:bCs/>
          <w:sz w:val="24"/>
          <w:szCs w:val="24"/>
          <w:lang w:val="en-GB"/>
        </w:rPr>
        <w:t>-</w:t>
      </w:r>
      <w:r w:rsidR="00D23C2B" w:rsidRPr="00811277">
        <w:rPr>
          <w:rFonts w:ascii="Arial" w:eastAsia="Times New Roman" w:hAnsi="Arial" w:cs="Arial"/>
          <w:bCs/>
          <w:sz w:val="24"/>
          <w:szCs w:val="24"/>
          <w:lang w:val="en-GB"/>
        </w:rPr>
        <w:t>state</w:t>
      </w:r>
      <w:r w:rsidR="007A3C3D" w:rsidRPr="00811277">
        <w:rPr>
          <w:rFonts w:ascii="Arial" w:eastAsia="Times New Roman" w:hAnsi="Arial" w:cs="Arial"/>
          <w:bCs/>
          <w:sz w:val="24"/>
          <w:szCs w:val="24"/>
          <w:lang w:val="en-GB"/>
        </w:rPr>
        <w:t>’</w:t>
      </w:r>
      <w:r w:rsidR="00D23C2B" w:rsidRPr="00811277">
        <w:rPr>
          <w:rFonts w:ascii="Arial" w:eastAsia="Times New Roman" w:hAnsi="Arial" w:cs="Arial"/>
          <w:bCs/>
          <w:sz w:val="24"/>
          <w:szCs w:val="24"/>
          <w:lang w:val="en-GB"/>
        </w:rPr>
        <w:t xml:space="preserve"> </w:t>
      </w:r>
      <w:r w:rsidR="00E60757" w:rsidRPr="00811277">
        <w:rPr>
          <w:rFonts w:ascii="Arial" w:eastAsia="Times New Roman" w:hAnsi="Arial" w:cs="Arial"/>
          <w:bCs/>
          <w:sz w:val="24"/>
          <w:szCs w:val="24"/>
          <w:lang w:val="en-GB"/>
        </w:rPr>
        <w:t>actor,</w:t>
      </w:r>
      <w:r w:rsidR="00D23C2B" w:rsidRPr="00811277">
        <w:rPr>
          <w:rFonts w:ascii="Arial" w:eastAsia="Times New Roman" w:hAnsi="Arial" w:cs="Arial"/>
          <w:bCs/>
          <w:sz w:val="24"/>
          <w:szCs w:val="24"/>
          <w:lang w:val="en-GB"/>
        </w:rPr>
        <w:t xml:space="preserve"> and </w:t>
      </w:r>
      <w:r w:rsidR="00C04CD5" w:rsidRPr="00811277">
        <w:rPr>
          <w:rFonts w:ascii="Arial" w:eastAsia="Times New Roman" w:hAnsi="Arial" w:cs="Arial"/>
          <w:bCs/>
          <w:sz w:val="24"/>
          <w:szCs w:val="24"/>
          <w:lang w:val="en-GB"/>
        </w:rPr>
        <w:t xml:space="preserve">it </w:t>
      </w:r>
      <w:r w:rsidR="007A3C3D" w:rsidRPr="00811277">
        <w:rPr>
          <w:rFonts w:ascii="Arial" w:eastAsia="Times New Roman" w:hAnsi="Arial" w:cs="Arial"/>
          <w:bCs/>
          <w:sz w:val="24"/>
          <w:szCs w:val="24"/>
          <w:lang w:val="en-GB"/>
        </w:rPr>
        <w:t xml:space="preserve">therefore </w:t>
      </w:r>
      <w:r w:rsidR="00D23C2B" w:rsidRPr="00811277">
        <w:rPr>
          <w:rFonts w:ascii="Arial" w:eastAsia="Times New Roman" w:hAnsi="Arial" w:cs="Arial"/>
          <w:bCs/>
          <w:sz w:val="24"/>
          <w:szCs w:val="24"/>
          <w:lang w:val="en-GB"/>
        </w:rPr>
        <w:t xml:space="preserve">cannot be </w:t>
      </w:r>
      <w:r w:rsidR="007A3C3D" w:rsidRPr="00811277">
        <w:rPr>
          <w:rFonts w:ascii="Arial" w:eastAsia="Times New Roman" w:hAnsi="Arial" w:cs="Arial"/>
          <w:bCs/>
          <w:sz w:val="24"/>
          <w:szCs w:val="24"/>
          <w:lang w:val="en-GB"/>
        </w:rPr>
        <w:t>taken into account</w:t>
      </w:r>
      <w:r w:rsidR="00AF132D" w:rsidRPr="00811277">
        <w:rPr>
          <w:rFonts w:ascii="Arial" w:eastAsia="Times New Roman" w:hAnsi="Arial" w:cs="Arial"/>
          <w:bCs/>
          <w:sz w:val="24"/>
          <w:szCs w:val="24"/>
          <w:lang w:val="en-GB"/>
        </w:rPr>
        <w:t>.</w:t>
      </w:r>
      <w:r w:rsidR="00D23C2B" w:rsidRPr="00811277">
        <w:rPr>
          <w:rFonts w:ascii="Arial" w:eastAsia="Times New Roman" w:hAnsi="Arial" w:cs="Arial"/>
          <w:bCs/>
          <w:sz w:val="24"/>
          <w:szCs w:val="24"/>
          <w:lang w:val="en-GB"/>
        </w:rPr>
        <w:t xml:space="preserve"> </w:t>
      </w:r>
      <w:r w:rsidR="00DE7CA2" w:rsidRPr="00811277">
        <w:rPr>
          <w:rFonts w:ascii="Arial" w:eastAsia="Times New Roman" w:hAnsi="Arial" w:cs="Arial"/>
          <w:bCs/>
          <w:sz w:val="24"/>
          <w:szCs w:val="24"/>
          <w:lang w:val="en-GB"/>
        </w:rPr>
        <w:t>Thus, i</w:t>
      </w:r>
      <w:r w:rsidR="00D23C2B" w:rsidRPr="00811277">
        <w:rPr>
          <w:rFonts w:ascii="Arial" w:eastAsia="Times New Roman" w:hAnsi="Arial" w:cs="Arial"/>
          <w:bCs/>
          <w:sz w:val="24"/>
          <w:szCs w:val="24"/>
          <w:lang w:val="en-GB"/>
        </w:rPr>
        <w:t>n its reading of the judgment</w:t>
      </w:r>
      <w:r w:rsidR="00877834" w:rsidRPr="00811277">
        <w:rPr>
          <w:rFonts w:ascii="Arial" w:eastAsia="Times New Roman" w:hAnsi="Arial" w:cs="Arial"/>
          <w:bCs/>
          <w:sz w:val="24"/>
          <w:szCs w:val="24"/>
          <w:lang w:val="en-GB"/>
        </w:rPr>
        <w:t>,</w:t>
      </w:r>
      <w:r w:rsidR="00D23C2B" w:rsidRPr="00811277">
        <w:rPr>
          <w:rFonts w:ascii="Arial" w:eastAsia="Times New Roman" w:hAnsi="Arial" w:cs="Arial"/>
          <w:bCs/>
          <w:sz w:val="24"/>
          <w:szCs w:val="24"/>
          <w:lang w:val="en-GB"/>
        </w:rPr>
        <w:t xml:space="preserve"> when the validity of an administrative act or decision is challenged collateral</w:t>
      </w:r>
      <w:r w:rsidR="00C3416D" w:rsidRPr="00811277">
        <w:rPr>
          <w:rFonts w:ascii="Arial" w:eastAsia="Times New Roman" w:hAnsi="Arial" w:cs="Arial"/>
          <w:bCs/>
          <w:sz w:val="24"/>
          <w:szCs w:val="24"/>
          <w:lang w:val="en-GB"/>
        </w:rPr>
        <w:t>ly</w:t>
      </w:r>
      <w:r w:rsidR="00D23C2B" w:rsidRPr="00811277">
        <w:rPr>
          <w:rFonts w:ascii="Arial" w:eastAsia="Times New Roman" w:hAnsi="Arial" w:cs="Arial"/>
          <w:bCs/>
          <w:sz w:val="24"/>
          <w:szCs w:val="24"/>
          <w:lang w:val="en-GB"/>
        </w:rPr>
        <w:t xml:space="preserve"> the Court cannot refuse to entertain it and has no discretion to disallow it. It is only in the case of the ‘extended’ form of such a challenge</w:t>
      </w:r>
      <w:r w:rsidR="007977FA" w:rsidRPr="00811277">
        <w:rPr>
          <w:rFonts w:ascii="Arial" w:eastAsia="Times New Roman" w:hAnsi="Arial" w:cs="Arial"/>
          <w:bCs/>
          <w:sz w:val="24"/>
          <w:szCs w:val="24"/>
          <w:lang w:val="en-GB"/>
        </w:rPr>
        <w:t xml:space="preserve"> i.e one</w:t>
      </w:r>
      <w:r w:rsidR="00D23C2B" w:rsidRPr="00811277">
        <w:rPr>
          <w:rFonts w:ascii="Arial" w:eastAsia="Times New Roman" w:hAnsi="Arial" w:cs="Arial"/>
          <w:bCs/>
          <w:sz w:val="24"/>
          <w:szCs w:val="24"/>
          <w:lang w:val="en-GB"/>
        </w:rPr>
        <w:t xml:space="preserve"> involving an organ of state, that delay </w:t>
      </w:r>
      <w:r w:rsidR="007977FA" w:rsidRPr="00811277">
        <w:rPr>
          <w:rFonts w:ascii="Arial" w:eastAsia="Times New Roman" w:hAnsi="Arial" w:cs="Arial"/>
          <w:bCs/>
          <w:sz w:val="24"/>
          <w:szCs w:val="24"/>
          <w:lang w:val="en-GB"/>
        </w:rPr>
        <w:t>may</w:t>
      </w:r>
      <w:r w:rsidR="00D23C2B" w:rsidRPr="00811277">
        <w:rPr>
          <w:rFonts w:ascii="Arial" w:eastAsia="Times New Roman" w:hAnsi="Arial" w:cs="Arial"/>
          <w:bCs/>
          <w:sz w:val="24"/>
          <w:szCs w:val="24"/>
          <w:lang w:val="en-GB"/>
        </w:rPr>
        <w:t xml:space="preserve"> be relevant.</w:t>
      </w:r>
    </w:p>
    <w:p w14:paraId="727A8454" w14:textId="35902147" w:rsidR="00AC18AE"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27.</w:t>
      </w:r>
      <w:r>
        <w:rPr>
          <w:rFonts w:ascii="Arial" w:eastAsia="Times New Roman" w:hAnsi="Arial" w:cs="Arial"/>
          <w:bCs/>
          <w:kern w:val="0"/>
          <w:sz w:val="24"/>
          <w:szCs w:val="24"/>
          <w:lang w:val="en-GB"/>
          <w14:ligatures w14:val="none"/>
        </w:rPr>
        <w:tab/>
      </w:r>
      <w:r w:rsidR="00D23C2B" w:rsidRPr="00811277">
        <w:rPr>
          <w:rFonts w:ascii="Arial" w:eastAsia="Times New Roman" w:hAnsi="Arial" w:cs="Arial"/>
          <w:bCs/>
          <w:sz w:val="24"/>
          <w:szCs w:val="24"/>
          <w:lang w:val="en-GB"/>
        </w:rPr>
        <w:t xml:space="preserve">On the other hand, </w:t>
      </w:r>
      <w:r w:rsidR="00F94371" w:rsidRPr="00811277">
        <w:rPr>
          <w:rFonts w:ascii="Arial" w:eastAsia="Times New Roman" w:hAnsi="Arial" w:cs="Arial"/>
          <w:bCs/>
          <w:sz w:val="24"/>
          <w:szCs w:val="24"/>
          <w:lang w:val="en-GB"/>
        </w:rPr>
        <w:t>R</w:t>
      </w:r>
      <w:r w:rsidR="00D23C2B" w:rsidRPr="00811277">
        <w:rPr>
          <w:rFonts w:ascii="Arial" w:eastAsia="Times New Roman" w:hAnsi="Arial" w:cs="Arial"/>
          <w:bCs/>
          <w:sz w:val="24"/>
          <w:szCs w:val="24"/>
          <w:lang w:val="en-GB"/>
        </w:rPr>
        <w:t>edisa contends that the appellant’s interpretation is based on a selective misreading of the judgment</w:t>
      </w:r>
      <w:r w:rsidR="007977FA" w:rsidRPr="00811277">
        <w:rPr>
          <w:rFonts w:ascii="Arial" w:eastAsia="Times New Roman" w:hAnsi="Arial" w:cs="Arial"/>
          <w:bCs/>
          <w:sz w:val="24"/>
          <w:szCs w:val="24"/>
          <w:lang w:val="en-GB"/>
        </w:rPr>
        <w:t>,</w:t>
      </w:r>
      <w:r w:rsidR="00D23C2B" w:rsidRPr="00811277">
        <w:rPr>
          <w:rFonts w:ascii="Arial" w:eastAsia="Times New Roman" w:hAnsi="Arial" w:cs="Arial"/>
          <w:bCs/>
          <w:sz w:val="24"/>
          <w:szCs w:val="24"/>
          <w:lang w:val="en-GB"/>
        </w:rPr>
        <w:t xml:space="preserve"> and the remarks which were made by Cameron J therein </w:t>
      </w:r>
      <w:r w:rsidR="007977FA" w:rsidRPr="00811277">
        <w:rPr>
          <w:rFonts w:ascii="Arial" w:eastAsia="Times New Roman" w:hAnsi="Arial" w:cs="Arial"/>
          <w:bCs/>
          <w:sz w:val="24"/>
          <w:szCs w:val="24"/>
          <w:lang w:val="en-GB"/>
        </w:rPr>
        <w:t>a</w:t>
      </w:r>
      <w:r w:rsidR="00D23C2B" w:rsidRPr="00811277">
        <w:rPr>
          <w:rFonts w:ascii="Arial" w:eastAsia="Times New Roman" w:hAnsi="Arial" w:cs="Arial"/>
          <w:bCs/>
          <w:sz w:val="24"/>
          <w:szCs w:val="24"/>
          <w:lang w:val="en-GB"/>
        </w:rPr>
        <w:t xml:space="preserve">re </w:t>
      </w:r>
      <w:r w:rsidR="007977FA" w:rsidRPr="00811277">
        <w:rPr>
          <w:rFonts w:ascii="Arial" w:eastAsia="Times New Roman" w:hAnsi="Arial" w:cs="Arial"/>
          <w:bCs/>
          <w:sz w:val="24"/>
          <w:szCs w:val="24"/>
          <w:lang w:val="en-GB"/>
        </w:rPr>
        <w:t>limited</w:t>
      </w:r>
      <w:r w:rsidR="00D23C2B" w:rsidRPr="00811277">
        <w:rPr>
          <w:rFonts w:ascii="Arial" w:eastAsia="Times New Roman" w:hAnsi="Arial" w:cs="Arial"/>
          <w:bCs/>
          <w:sz w:val="24"/>
          <w:szCs w:val="24"/>
          <w:lang w:val="en-GB"/>
        </w:rPr>
        <w:t xml:space="preserve"> to instances where the subject or entity </w:t>
      </w:r>
      <w:r w:rsidR="007A3C3D" w:rsidRPr="00811277">
        <w:rPr>
          <w:rFonts w:ascii="Arial" w:eastAsia="Times New Roman" w:hAnsi="Arial" w:cs="Arial"/>
          <w:bCs/>
          <w:sz w:val="24"/>
          <w:szCs w:val="24"/>
          <w:lang w:val="en-GB"/>
        </w:rPr>
        <w:t xml:space="preserve">which </w:t>
      </w:r>
      <w:r w:rsidR="00D23C2B" w:rsidRPr="00811277">
        <w:rPr>
          <w:rFonts w:ascii="Arial" w:eastAsia="Times New Roman" w:hAnsi="Arial" w:cs="Arial"/>
          <w:bCs/>
          <w:sz w:val="24"/>
          <w:szCs w:val="24"/>
          <w:lang w:val="en-GB"/>
        </w:rPr>
        <w:t xml:space="preserve">seeks to raise </w:t>
      </w:r>
      <w:r w:rsidR="007A3C3D" w:rsidRPr="00811277">
        <w:rPr>
          <w:rFonts w:ascii="Arial" w:eastAsia="Times New Roman" w:hAnsi="Arial" w:cs="Arial"/>
          <w:bCs/>
          <w:sz w:val="24"/>
          <w:szCs w:val="24"/>
          <w:lang w:val="en-GB"/>
        </w:rPr>
        <w:t>a collateral</w:t>
      </w:r>
      <w:r w:rsidR="00D23C2B" w:rsidRPr="00811277">
        <w:rPr>
          <w:rFonts w:ascii="Arial" w:eastAsia="Times New Roman" w:hAnsi="Arial" w:cs="Arial"/>
          <w:bCs/>
          <w:sz w:val="24"/>
          <w:szCs w:val="24"/>
          <w:lang w:val="en-GB"/>
        </w:rPr>
        <w:t xml:space="preserve"> challenge was unaware of the existence of the administrative </w:t>
      </w:r>
      <w:r w:rsidR="00D23C2B" w:rsidRPr="00811277">
        <w:rPr>
          <w:rFonts w:ascii="Arial" w:eastAsia="Times New Roman" w:hAnsi="Arial" w:cs="Arial"/>
          <w:bCs/>
          <w:sz w:val="24"/>
          <w:szCs w:val="24"/>
          <w:lang w:val="en-GB"/>
        </w:rPr>
        <w:lastRenderedPageBreak/>
        <w:t xml:space="preserve">decision or ruling it later seeks to resist, </w:t>
      </w:r>
      <w:r w:rsidR="007F38C8" w:rsidRPr="00811277">
        <w:rPr>
          <w:rFonts w:ascii="Arial" w:eastAsia="Times New Roman" w:hAnsi="Arial" w:cs="Arial"/>
          <w:bCs/>
          <w:sz w:val="24"/>
          <w:szCs w:val="24"/>
          <w:lang w:val="en-GB"/>
        </w:rPr>
        <w:t xml:space="preserve">because </w:t>
      </w:r>
      <w:r w:rsidR="00D23C2B" w:rsidRPr="00811277">
        <w:rPr>
          <w:rFonts w:ascii="Arial" w:eastAsia="Times New Roman" w:hAnsi="Arial" w:cs="Arial"/>
          <w:bCs/>
          <w:sz w:val="24"/>
          <w:szCs w:val="24"/>
          <w:lang w:val="en-GB"/>
        </w:rPr>
        <w:t>it was one that was of general application and not specific to, or directed at, it. In</w:t>
      </w:r>
      <w:r w:rsidR="00877834" w:rsidRPr="00811277">
        <w:rPr>
          <w:rFonts w:ascii="Arial" w:eastAsia="Times New Roman" w:hAnsi="Arial" w:cs="Arial"/>
          <w:bCs/>
          <w:sz w:val="24"/>
          <w:szCs w:val="24"/>
          <w:lang w:val="en-GB"/>
        </w:rPr>
        <w:t xml:space="preserve"> its reading of the judgment, in</w:t>
      </w:r>
      <w:r w:rsidR="00D23C2B" w:rsidRPr="00811277">
        <w:rPr>
          <w:rFonts w:ascii="Arial" w:eastAsia="Times New Roman" w:hAnsi="Arial" w:cs="Arial"/>
          <w:bCs/>
          <w:sz w:val="24"/>
          <w:szCs w:val="24"/>
          <w:lang w:val="en-GB"/>
        </w:rPr>
        <w:t xml:space="preserve"> </w:t>
      </w:r>
      <w:r w:rsidR="007A3C3D" w:rsidRPr="00811277">
        <w:rPr>
          <w:rFonts w:ascii="Arial" w:eastAsia="Times New Roman" w:hAnsi="Arial" w:cs="Arial"/>
          <w:bCs/>
          <w:sz w:val="24"/>
          <w:szCs w:val="24"/>
          <w:lang w:val="en-GB"/>
        </w:rPr>
        <w:t>instances</w:t>
      </w:r>
      <w:r w:rsidR="00D23C2B" w:rsidRPr="00811277">
        <w:rPr>
          <w:rFonts w:ascii="Arial" w:eastAsia="Times New Roman" w:hAnsi="Arial" w:cs="Arial"/>
          <w:bCs/>
          <w:sz w:val="24"/>
          <w:szCs w:val="24"/>
          <w:lang w:val="en-GB"/>
        </w:rPr>
        <w:t xml:space="preserve"> </w:t>
      </w:r>
      <w:r w:rsidR="007977FA" w:rsidRPr="00811277">
        <w:rPr>
          <w:rFonts w:ascii="Arial" w:eastAsia="Times New Roman" w:hAnsi="Arial" w:cs="Arial"/>
          <w:bCs/>
          <w:sz w:val="24"/>
          <w:szCs w:val="24"/>
          <w:lang w:val="en-GB"/>
        </w:rPr>
        <w:t xml:space="preserve">where </w:t>
      </w:r>
      <w:r w:rsidR="00877834" w:rsidRPr="00811277">
        <w:rPr>
          <w:rFonts w:ascii="Arial" w:eastAsia="Times New Roman" w:hAnsi="Arial" w:cs="Arial"/>
          <w:bCs/>
          <w:sz w:val="24"/>
          <w:szCs w:val="24"/>
          <w:lang w:val="en-GB"/>
        </w:rPr>
        <w:t>a</w:t>
      </w:r>
      <w:r w:rsidR="007977FA" w:rsidRPr="00811277">
        <w:rPr>
          <w:rFonts w:ascii="Arial" w:eastAsia="Times New Roman" w:hAnsi="Arial" w:cs="Arial"/>
          <w:bCs/>
          <w:sz w:val="24"/>
          <w:szCs w:val="24"/>
          <w:lang w:val="en-GB"/>
        </w:rPr>
        <w:t xml:space="preserve"> decision or ruling </w:t>
      </w:r>
      <w:r w:rsidR="00C04CD5" w:rsidRPr="00811277">
        <w:rPr>
          <w:rFonts w:ascii="Arial" w:eastAsia="Times New Roman" w:hAnsi="Arial" w:cs="Arial"/>
          <w:bCs/>
          <w:sz w:val="24"/>
          <w:szCs w:val="24"/>
          <w:lang w:val="en-GB"/>
        </w:rPr>
        <w:t>i</w:t>
      </w:r>
      <w:r w:rsidR="007977FA" w:rsidRPr="00811277">
        <w:rPr>
          <w:rFonts w:ascii="Arial" w:eastAsia="Times New Roman" w:hAnsi="Arial" w:cs="Arial"/>
          <w:bCs/>
          <w:sz w:val="24"/>
          <w:szCs w:val="24"/>
          <w:lang w:val="en-GB"/>
        </w:rPr>
        <w:t xml:space="preserve">s specific to, or directed at </w:t>
      </w:r>
      <w:r w:rsidR="00C04CD5" w:rsidRPr="00811277">
        <w:rPr>
          <w:rFonts w:ascii="Arial" w:eastAsia="Times New Roman" w:hAnsi="Arial" w:cs="Arial"/>
          <w:bCs/>
          <w:sz w:val="24"/>
          <w:szCs w:val="24"/>
          <w:lang w:val="en-GB"/>
        </w:rPr>
        <w:t>an</w:t>
      </w:r>
      <w:r w:rsidR="007977FA" w:rsidRPr="00811277">
        <w:rPr>
          <w:rFonts w:ascii="Arial" w:eastAsia="Times New Roman" w:hAnsi="Arial" w:cs="Arial"/>
          <w:bCs/>
          <w:sz w:val="24"/>
          <w:szCs w:val="24"/>
          <w:lang w:val="en-GB"/>
        </w:rPr>
        <w:t xml:space="preserve"> applicant, or </w:t>
      </w:r>
      <w:r w:rsidR="00877834" w:rsidRPr="00811277">
        <w:rPr>
          <w:rFonts w:ascii="Arial" w:eastAsia="Times New Roman" w:hAnsi="Arial" w:cs="Arial"/>
          <w:bCs/>
          <w:sz w:val="24"/>
          <w:szCs w:val="24"/>
          <w:lang w:val="en-GB"/>
        </w:rPr>
        <w:t xml:space="preserve">to </w:t>
      </w:r>
      <w:r w:rsidR="007977FA" w:rsidRPr="00811277">
        <w:rPr>
          <w:rFonts w:ascii="Arial" w:eastAsia="Times New Roman" w:hAnsi="Arial" w:cs="Arial"/>
          <w:bCs/>
          <w:sz w:val="24"/>
          <w:szCs w:val="24"/>
          <w:lang w:val="en-GB"/>
        </w:rPr>
        <w:t xml:space="preserve">a class </w:t>
      </w:r>
      <w:r w:rsidR="00AF132D" w:rsidRPr="00811277">
        <w:rPr>
          <w:rFonts w:ascii="Arial" w:eastAsia="Times New Roman" w:hAnsi="Arial" w:cs="Arial"/>
          <w:bCs/>
          <w:sz w:val="24"/>
          <w:szCs w:val="24"/>
          <w:lang w:val="en-GB"/>
        </w:rPr>
        <w:t>or group</w:t>
      </w:r>
      <w:r w:rsidR="007977FA" w:rsidRPr="00811277">
        <w:rPr>
          <w:rFonts w:ascii="Arial" w:eastAsia="Times New Roman" w:hAnsi="Arial" w:cs="Arial"/>
          <w:bCs/>
          <w:sz w:val="24"/>
          <w:szCs w:val="24"/>
          <w:lang w:val="en-GB"/>
        </w:rPr>
        <w:t xml:space="preserve"> to wh</w:t>
      </w:r>
      <w:r w:rsidR="00AF132D" w:rsidRPr="00811277">
        <w:rPr>
          <w:rFonts w:ascii="Arial" w:eastAsia="Times New Roman" w:hAnsi="Arial" w:cs="Arial"/>
          <w:bCs/>
          <w:sz w:val="24"/>
          <w:szCs w:val="24"/>
          <w:lang w:val="en-GB"/>
        </w:rPr>
        <w:t>ich</w:t>
      </w:r>
      <w:r w:rsidR="007977FA" w:rsidRPr="00811277">
        <w:rPr>
          <w:rFonts w:ascii="Arial" w:eastAsia="Times New Roman" w:hAnsi="Arial" w:cs="Arial"/>
          <w:bCs/>
          <w:sz w:val="24"/>
          <w:szCs w:val="24"/>
          <w:lang w:val="en-GB"/>
        </w:rPr>
        <w:t xml:space="preserve"> it belongs, </w:t>
      </w:r>
      <w:r w:rsidR="00D23C2B" w:rsidRPr="00811277">
        <w:rPr>
          <w:rFonts w:ascii="Arial" w:eastAsia="Times New Roman" w:hAnsi="Arial" w:cs="Arial"/>
          <w:bCs/>
          <w:sz w:val="24"/>
          <w:szCs w:val="24"/>
          <w:lang w:val="en-GB"/>
        </w:rPr>
        <w:t xml:space="preserve">delay may well be a consideration which </w:t>
      </w:r>
      <w:r w:rsidR="007977FA" w:rsidRPr="00811277">
        <w:rPr>
          <w:rFonts w:ascii="Arial" w:eastAsia="Times New Roman" w:hAnsi="Arial" w:cs="Arial"/>
          <w:bCs/>
          <w:sz w:val="24"/>
          <w:szCs w:val="24"/>
          <w:lang w:val="en-GB"/>
        </w:rPr>
        <w:t xml:space="preserve">can </w:t>
      </w:r>
      <w:r w:rsidR="00D23C2B" w:rsidRPr="00811277">
        <w:rPr>
          <w:rFonts w:ascii="Arial" w:eastAsia="Times New Roman" w:hAnsi="Arial" w:cs="Arial"/>
          <w:bCs/>
          <w:sz w:val="24"/>
          <w:szCs w:val="24"/>
          <w:lang w:val="en-GB"/>
        </w:rPr>
        <w:t xml:space="preserve">result in a court refusing to </w:t>
      </w:r>
      <w:r w:rsidR="007A3C3D" w:rsidRPr="00811277">
        <w:rPr>
          <w:rFonts w:ascii="Arial" w:eastAsia="Times New Roman" w:hAnsi="Arial" w:cs="Arial"/>
          <w:bCs/>
          <w:sz w:val="24"/>
          <w:szCs w:val="24"/>
          <w:lang w:val="en-GB"/>
        </w:rPr>
        <w:t>entertain</w:t>
      </w:r>
      <w:r w:rsidR="00D23C2B" w:rsidRPr="00811277">
        <w:rPr>
          <w:rFonts w:ascii="Arial" w:eastAsia="Times New Roman" w:hAnsi="Arial" w:cs="Arial"/>
          <w:bCs/>
          <w:sz w:val="24"/>
          <w:szCs w:val="24"/>
          <w:lang w:val="en-GB"/>
        </w:rPr>
        <w:t xml:space="preserve"> a collateral challenge. This is </w:t>
      </w:r>
      <w:r w:rsidR="007977FA" w:rsidRPr="00811277">
        <w:rPr>
          <w:rFonts w:ascii="Arial" w:eastAsia="Times New Roman" w:hAnsi="Arial" w:cs="Arial"/>
          <w:bCs/>
          <w:sz w:val="24"/>
          <w:szCs w:val="24"/>
          <w:lang w:val="en-GB"/>
        </w:rPr>
        <w:t xml:space="preserve">no more than </w:t>
      </w:r>
      <w:r w:rsidR="00877834" w:rsidRPr="00811277">
        <w:rPr>
          <w:rFonts w:ascii="Arial" w:eastAsia="Times New Roman" w:hAnsi="Arial" w:cs="Arial"/>
          <w:bCs/>
          <w:sz w:val="24"/>
          <w:szCs w:val="24"/>
          <w:lang w:val="en-GB"/>
        </w:rPr>
        <w:t>the</w:t>
      </w:r>
      <w:r w:rsidR="00D23C2B" w:rsidRPr="00811277">
        <w:rPr>
          <w:rFonts w:ascii="Arial" w:eastAsia="Times New Roman" w:hAnsi="Arial" w:cs="Arial"/>
          <w:bCs/>
          <w:sz w:val="24"/>
          <w:szCs w:val="24"/>
          <w:lang w:val="en-GB"/>
        </w:rPr>
        <w:t xml:space="preserve"> necessary </w:t>
      </w:r>
      <w:r w:rsidR="007977FA" w:rsidRPr="00811277">
        <w:rPr>
          <w:rFonts w:ascii="Arial" w:eastAsia="Times New Roman" w:hAnsi="Arial" w:cs="Arial"/>
          <w:bCs/>
          <w:sz w:val="24"/>
          <w:szCs w:val="24"/>
          <w:lang w:val="en-GB"/>
        </w:rPr>
        <w:t xml:space="preserve">result </w:t>
      </w:r>
      <w:r w:rsidR="00877834" w:rsidRPr="00811277">
        <w:rPr>
          <w:rFonts w:ascii="Arial" w:eastAsia="Times New Roman" w:hAnsi="Arial" w:cs="Arial"/>
          <w:bCs/>
          <w:sz w:val="24"/>
          <w:szCs w:val="24"/>
          <w:lang w:val="en-GB"/>
        </w:rPr>
        <w:t>and</w:t>
      </w:r>
      <w:r w:rsidR="007977FA" w:rsidRPr="00811277">
        <w:rPr>
          <w:rFonts w:ascii="Arial" w:eastAsia="Times New Roman" w:hAnsi="Arial" w:cs="Arial"/>
          <w:bCs/>
          <w:sz w:val="24"/>
          <w:szCs w:val="24"/>
          <w:lang w:val="en-GB"/>
        </w:rPr>
        <w:t xml:space="preserve"> </w:t>
      </w:r>
      <w:r w:rsidR="00D23C2B" w:rsidRPr="00811277">
        <w:rPr>
          <w:rFonts w:ascii="Arial" w:eastAsia="Times New Roman" w:hAnsi="Arial" w:cs="Arial"/>
          <w:bCs/>
          <w:sz w:val="24"/>
          <w:szCs w:val="24"/>
          <w:lang w:val="en-GB"/>
        </w:rPr>
        <w:t xml:space="preserve">corollary </w:t>
      </w:r>
      <w:r w:rsidR="00AF132D" w:rsidRPr="00811277">
        <w:rPr>
          <w:rFonts w:ascii="Arial" w:eastAsia="Times New Roman" w:hAnsi="Arial" w:cs="Arial"/>
          <w:bCs/>
          <w:sz w:val="24"/>
          <w:szCs w:val="24"/>
          <w:lang w:val="en-GB"/>
        </w:rPr>
        <w:t>of</w:t>
      </w:r>
      <w:r w:rsidR="00D23C2B" w:rsidRPr="00811277">
        <w:rPr>
          <w:rFonts w:ascii="Arial" w:eastAsia="Times New Roman" w:hAnsi="Arial" w:cs="Arial"/>
          <w:bCs/>
          <w:sz w:val="24"/>
          <w:szCs w:val="24"/>
          <w:lang w:val="en-GB"/>
        </w:rPr>
        <w:t xml:space="preserve"> the well-established principle that, in the interests of finality and certainty, and as an incident of the rule of law, administrative decisions are considered to be binding and to have consequences and effect, unless and until they are set aside</w:t>
      </w:r>
      <w:r w:rsidR="00AF132D" w:rsidRPr="00811277">
        <w:rPr>
          <w:rFonts w:ascii="Arial" w:eastAsia="Times New Roman" w:hAnsi="Arial" w:cs="Arial"/>
          <w:bCs/>
          <w:sz w:val="24"/>
          <w:szCs w:val="24"/>
          <w:lang w:val="en-GB"/>
        </w:rPr>
        <w:t>,</w:t>
      </w:r>
      <w:r w:rsidR="007977FA" w:rsidRPr="00811277">
        <w:rPr>
          <w:rFonts w:ascii="Arial" w:eastAsia="Times New Roman" w:hAnsi="Arial" w:cs="Arial"/>
          <w:bCs/>
          <w:sz w:val="24"/>
          <w:szCs w:val="24"/>
          <w:lang w:val="en-GB"/>
        </w:rPr>
        <w:t xml:space="preserve"> and</w:t>
      </w:r>
      <w:r w:rsidR="00D23C2B" w:rsidRPr="00811277">
        <w:rPr>
          <w:rFonts w:ascii="Arial" w:eastAsia="Times New Roman" w:hAnsi="Arial" w:cs="Arial"/>
          <w:bCs/>
          <w:sz w:val="24"/>
          <w:szCs w:val="24"/>
          <w:lang w:val="en-GB"/>
        </w:rPr>
        <w:t xml:space="preserve"> </w:t>
      </w:r>
      <w:r w:rsidR="007977FA" w:rsidRPr="00811277">
        <w:rPr>
          <w:rFonts w:ascii="Arial" w:eastAsia="Times New Roman" w:hAnsi="Arial" w:cs="Arial"/>
          <w:bCs/>
          <w:sz w:val="24"/>
          <w:szCs w:val="24"/>
          <w:lang w:val="en-GB"/>
        </w:rPr>
        <w:t>c</w:t>
      </w:r>
      <w:r w:rsidR="00D23C2B" w:rsidRPr="00811277">
        <w:rPr>
          <w:rFonts w:ascii="Arial" w:eastAsia="Times New Roman" w:hAnsi="Arial" w:cs="Arial"/>
          <w:bCs/>
          <w:sz w:val="24"/>
          <w:szCs w:val="24"/>
          <w:lang w:val="en-GB"/>
        </w:rPr>
        <w:t xml:space="preserve">ollateral challenges are an exception to this principle. Thus, where citizens or entities affected by an administrative decision or ruling seek to avoid </w:t>
      </w:r>
      <w:r w:rsidR="007977FA" w:rsidRPr="00811277">
        <w:rPr>
          <w:rFonts w:ascii="Arial" w:eastAsia="Times New Roman" w:hAnsi="Arial" w:cs="Arial"/>
          <w:bCs/>
          <w:sz w:val="24"/>
          <w:szCs w:val="24"/>
          <w:lang w:val="en-GB"/>
        </w:rPr>
        <w:t>it,</w:t>
      </w:r>
      <w:r w:rsidR="00D23C2B" w:rsidRPr="00811277">
        <w:rPr>
          <w:rFonts w:ascii="Arial" w:eastAsia="Times New Roman" w:hAnsi="Arial" w:cs="Arial"/>
          <w:bCs/>
          <w:sz w:val="24"/>
          <w:szCs w:val="24"/>
          <w:lang w:val="en-GB"/>
        </w:rPr>
        <w:t xml:space="preserve"> they </w:t>
      </w:r>
      <w:r w:rsidR="004A2F4D" w:rsidRPr="00811277">
        <w:rPr>
          <w:rFonts w:ascii="Arial" w:eastAsia="Times New Roman" w:hAnsi="Arial" w:cs="Arial"/>
          <w:bCs/>
          <w:sz w:val="24"/>
          <w:szCs w:val="24"/>
          <w:lang w:val="en-GB"/>
        </w:rPr>
        <w:t>are required</w:t>
      </w:r>
      <w:r w:rsidR="00D23C2B" w:rsidRPr="00811277">
        <w:rPr>
          <w:rFonts w:ascii="Arial" w:eastAsia="Times New Roman" w:hAnsi="Arial" w:cs="Arial"/>
          <w:bCs/>
          <w:sz w:val="24"/>
          <w:szCs w:val="24"/>
          <w:lang w:val="en-GB"/>
        </w:rPr>
        <w:t xml:space="preserve"> to bring review proceedings timeously to set it aside and cannot sit back and wait to resist </w:t>
      </w:r>
      <w:r w:rsidR="004A2F4D" w:rsidRPr="00811277">
        <w:rPr>
          <w:rFonts w:ascii="Arial" w:eastAsia="Times New Roman" w:hAnsi="Arial" w:cs="Arial"/>
          <w:bCs/>
          <w:sz w:val="24"/>
          <w:szCs w:val="24"/>
          <w:lang w:val="en-GB"/>
        </w:rPr>
        <w:t xml:space="preserve">the </w:t>
      </w:r>
      <w:r w:rsidR="00D23C2B" w:rsidRPr="00811277">
        <w:rPr>
          <w:rFonts w:ascii="Arial" w:eastAsia="Times New Roman" w:hAnsi="Arial" w:cs="Arial"/>
          <w:bCs/>
          <w:sz w:val="24"/>
          <w:szCs w:val="24"/>
          <w:lang w:val="en-GB"/>
        </w:rPr>
        <w:t>enforcement of such decision or ruling.</w:t>
      </w:r>
    </w:p>
    <w:p w14:paraId="2F7C2EE6" w14:textId="7690EAFB" w:rsidR="004A2F4D"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28.</w:t>
      </w:r>
      <w:r>
        <w:rPr>
          <w:rFonts w:ascii="Arial" w:eastAsia="Times New Roman" w:hAnsi="Arial" w:cs="Arial"/>
          <w:bCs/>
          <w:kern w:val="0"/>
          <w:sz w:val="24"/>
          <w:szCs w:val="24"/>
          <w:lang w:val="en-GB"/>
          <w14:ligatures w14:val="none"/>
        </w:rPr>
        <w:tab/>
      </w:r>
      <w:r w:rsidR="00D23C2B" w:rsidRPr="00811277">
        <w:rPr>
          <w:rFonts w:ascii="Arial" w:eastAsia="Times New Roman" w:hAnsi="Arial" w:cs="Arial"/>
          <w:bCs/>
          <w:sz w:val="24"/>
          <w:szCs w:val="24"/>
          <w:lang w:val="en-GB"/>
        </w:rPr>
        <w:t xml:space="preserve">In </w:t>
      </w:r>
      <w:r w:rsidR="00D23C2B" w:rsidRPr="00811277">
        <w:rPr>
          <w:rFonts w:ascii="Arial" w:eastAsia="Times New Roman" w:hAnsi="Arial" w:cs="Arial"/>
          <w:bCs/>
          <w:i/>
          <w:iCs/>
          <w:sz w:val="24"/>
          <w:szCs w:val="24"/>
          <w:lang w:val="en-GB"/>
        </w:rPr>
        <w:t>M</w:t>
      </w:r>
      <w:r w:rsidR="004A2F4D" w:rsidRPr="00811277">
        <w:rPr>
          <w:rFonts w:ascii="Arial" w:eastAsia="Times New Roman" w:hAnsi="Arial" w:cs="Arial"/>
          <w:bCs/>
          <w:i/>
          <w:iCs/>
          <w:sz w:val="24"/>
          <w:szCs w:val="24"/>
          <w:lang w:val="en-GB"/>
        </w:rPr>
        <w:t>erafong</w:t>
      </w:r>
      <w:r w:rsidR="00D23C2B" w:rsidRPr="00811277">
        <w:rPr>
          <w:rFonts w:ascii="Arial" w:eastAsia="Times New Roman" w:hAnsi="Arial" w:cs="Arial"/>
          <w:bCs/>
          <w:sz w:val="24"/>
          <w:szCs w:val="24"/>
          <w:lang w:val="en-GB"/>
        </w:rPr>
        <w:t xml:space="preserve"> the issue for de</w:t>
      </w:r>
      <w:r w:rsidR="00AF132D" w:rsidRPr="00811277">
        <w:rPr>
          <w:rFonts w:ascii="Arial" w:eastAsia="Times New Roman" w:hAnsi="Arial" w:cs="Arial"/>
          <w:bCs/>
          <w:sz w:val="24"/>
          <w:szCs w:val="24"/>
          <w:lang w:val="en-GB"/>
        </w:rPr>
        <w:t>termination</w:t>
      </w:r>
      <w:r w:rsidR="00D23C2B" w:rsidRPr="00811277">
        <w:rPr>
          <w:rFonts w:ascii="Arial" w:eastAsia="Times New Roman" w:hAnsi="Arial" w:cs="Arial"/>
          <w:bCs/>
          <w:sz w:val="24"/>
          <w:szCs w:val="24"/>
          <w:lang w:val="en-GB"/>
        </w:rPr>
        <w:t xml:space="preserve"> by the CC was whether the SCA had been correct in holding that, for so long as an administrative decision </w:t>
      </w:r>
      <w:r w:rsidR="00CB0AD3" w:rsidRPr="00811277">
        <w:rPr>
          <w:rFonts w:ascii="Arial" w:eastAsia="Times New Roman" w:hAnsi="Arial" w:cs="Arial"/>
          <w:bCs/>
          <w:sz w:val="24"/>
          <w:szCs w:val="24"/>
          <w:lang w:val="en-GB"/>
        </w:rPr>
        <w:t xml:space="preserve">or </w:t>
      </w:r>
      <w:r w:rsidR="00D23C2B" w:rsidRPr="00811277">
        <w:rPr>
          <w:rFonts w:ascii="Arial" w:eastAsia="Times New Roman" w:hAnsi="Arial" w:cs="Arial"/>
          <w:bCs/>
          <w:sz w:val="24"/>
          <w:szCs w:val="24"/>
          <w:lang w:val="en-GB"/>
        </w:rPr>
        <w:t>ruling ha</w:t>
      </w:r>
      <w:r w:rsidR="007F38C8" w:rsidRPr="00811277">
        <w:rPr>
          <w:rFonts w:ascii="Arial" w:eastAsia="Times New Roman" w:hAnsi="Arial" w:cs="Arial"/>
          <w:bCs/>
          <w:sz w:val="24"/>
          <w:szCs w:val="24"/>
          <w:lang w:val="en-GB"/>
        </w:rPr>
        <w:t>d</w:t>
      </w:r>
      <w:r w:rsidR="00D23C2B" w:rsidRPr="00811277">
        <w:rPr>
          <w:rFonts w:ascii="Arial" w:eastAsia="Times New Roman" w:hAnsi="Arial" w:cs="Arial"/>
          <w:bCs/>
          <w:sz w:val="24"/>
          <w:szCs w:val="24"/>
          <w:lang w:val="en-GB"/>
        </w:rPr>
        <w:t xml:space="preserve"> not been set aside an organ of </w:t>
      </w:r>
      <w:r w:rsidR="00CB0AD3" w:rsidRPr="00811277">
        <w:rPr>
          <w:rFonts w:ascii="Arial" w:eastAsia="Times New Roman" w:hAnsi="Arial" w:cs="Arial"/>
          <w:bCs/>
          <w:sz w:val="24"/>
          <w:szCs w:val="24"/>
          <w:lang w:val="en-GB"/>
        </w:rPr>
        <w:t>s</w:t>
      </w:r>
      <w:r w:rsidR="00D23C2B" w:rsidRPr="00811277">
        <w:rPr>
          <w:rFonts w:ascii="Arial" w:eastAsia="Times New Roman" w:hAnsi="Arial" w:cs="Arial"/>
          <w:bCs/>
          <w:sz w:val="24"/>
          <w:szCs w:val="24"/>
          <w:lang w:val="en-GB"/>
        </w:rPr>
        <w:t xml:space="preserve">tate </w:t>
      </w:r>
      <w:r w:rsidR="00C04CD5" w:rsidRPr="00811277">
        <w:rPr>
          <w:rFonts w:ascii="Arial" w:eastAsia="Times New Roman" w:hAnsi="Arial" w:cs="Arial"/>
          <w:bCs/>
          <w:sz w:val="24"/>
          <w:szCs w:val="24"/>
          <w:lang w:val="en-GB"/>
        </w:rPr>
        <w:t>could</w:t>
      </w:r>
      <w:r w:rsidR="00D23C2B" w:rsidRPr="00811277">
        <w:rPr>
          <w:rFonts w:ascii="Arial" w:eastAsia="Times New Roman" w:hAnsi="Arial" w:cs="Arial"/>
          <w:bCs/>
          <w:sz w:val="24"/>
          <w:szCs w:val="24"/>
          <w:lang w:val="en-GB"/>
        </w:rPr>
        <w:t xml:space="preserve"> not raise its alleged invalidity as a defence to proceedings in which that decision or ruling </w:t>
      </w:r>
      <w:r w:rsidR="00C04CD5" w:rsidRPr="00811277">
        <w:rPr>
          <w:rFonts w:ascii="Arial" w:eastAsia="Times New Roman" w:hAnsi="Arial" w:cs="Arial"/>
          <w:bCs/>
          <w:sz w:val="24"/>
          <w:szCs w:val="24"/>
          <w:lang w:val="en-GB"/>
        </w:rPr>
        <w:t>wa</w:t>
      </w:r>
      <w:r w:rsidR="00D23C2B" w:rsidRPr="00811277">
        <w:rPr>
          <w:rFonts w:ascii="Arial" w:eastAsia="Times New Roman" w:hAnsi="Arial" w:cs="Arial"/>
          <w:bCs/>
          <w:sz w:val="24"/>
          <w:szCs w:val="24"/>
          <w:lang w:val="en-GB"/>
        </w:rPr>
        <w:t>s sought to be enforced</w:t>
      </w:r>
      <w:r w:rsidR="00AF132D" w:rsidRPr="00811277">
        <w:rPr>
          <w:rFonts w:ascii="Arial" w:eastAsia="Times New Roman" w:hAnsi="Arial" w:cs="Arial"/>
          <w:bCs/>
          <w:sz w:val="24"/>
          <w:szCs w:val="24"/>
          <w:lang w:val="en-GB"/>
        </w:rPr>
        <w:t xml:space="preserve"> against it</w:t>
      </w:r>
      <w:r w:rsidR="00D23C2B" w:rsidRPr="00811277">
        <w:rPr>
          <w:rFonts w:ascii="Arial" w:eastAsia="Times New Roman" w:hAnsi="Arial" w:cs="Arial"/>
          <w:bCs/>
          <w:sz w:val="24"/>
          <w:szCs w:val="24"/>
          <w:lang w:val="en-GB"/>
        </w:rPr>
        <w:t xml:space="preserve">. Consequently, the SCA </w:t>
      </w:r>
      <w:r w:rsidR="0057004E" w:rsidRPr="00811277">
        <w:rPr>
          <w:rFonts w:ascii="Arial" w:eastAsia="Times New Roman" w:hAnsi="Arial" w:cs="Arial"/>
          <w:bCs/>
          <w:sz w:val="24"/>
          <w:szCs w:val="24"/>
          <w:lang w:val="en-GB"/>
        </w:rPr>
        <w:t xml:space="preserve">had </w:t>
      </w:r>
      <w:r w:rsidR="00D23C2B" w:rsidRPr="00811277">
        <w:rPr>
          <w:rFonts w:ascii="Arial" w:eastAsia="Times New Roman" w:hAnsi="Arial" w:cs="Arial"/>
          <w:bCs/>
          <w:sz w:val="24"/>
          <w:szCs w:val="24"/>
          <w:lang w:val="en-GB"/>
        </w:rPr>
        <w:t>held that the M</w:t>
      </w:r>
      <w:r w:rsidR="004A2F4D" w:rsidRPr="00811277">
        <w:rPr>
          <w:rFonts w:ascii="Arial" w:eastAsia="Times New Roman" w:hAnsi="Arial" w:cs="Arial"/>
          <w:bCs/>
          <w:sz w:val="24"/>
          <w:szCs w:val="24"/>
          <w:lang w:val="en-GB"/>
        </w:rPr>
        <w:t>erafong</w:t>
      </w:r>
      <w:r w:rsidR="00D23C2B" w:rsidRPr="00811277">
        <w:rPr>
          <w:rFonts w:ascii="Arial" w:eastAsia="Times New Roman" w:hAnsi="Arial" w:cs="Arial"/>
          <w:bCs/>
          <w:sz w:val="24"/>
          <w:szCs w:val="24"/>
          <w:lang w:val="en-GB"/>
        </w:rPr>
        <w:t xml:space="preserve"> municipality could not raise a collateral challenge to the validity of a decision by the Minister of </w:t>
      </w:r>
      <w:r w:rsidR="004A2F4D" w:rsidRPr="00811277">
        <w:rPr>
          <w:rFonts w:ascii="Arial" w:eastAsia="Times New Roman" w:hAnsi="Arial" w:cs="Arial"/>
          <w:bCs/>
          <w:sz w:val="24"/>
          <w:szCs w:val="24"/>
          <w:lang w:val="en-GB"/>
        </w:rPr>
        <w:t>W</w:t>
      </w:r>
      <w:r w:rsidR="00D23C2B" w:rsidRPr="00811277">
        <w:rPr>
          <w:rFonts w:ascii="Arial" w:eastAsia="Times New Roman" w:hAnsi="Arial" w:cs="Arial"/>
          <w:bCs/>
          <w:sz w:val="24"/>
          <w:szCs w:val="24"/>
          <w:lang w:val="en-GB"/>
        </w:rPr>
        <w:t xml:space="preserve">ater </w:t>
      </w:r>
      <w:r w:rsidR="004A2F4D" w:rsidRPr="00811277">
        <w:rPr>
          <w:rFonts w:ascii="Arial" w:eastAsia="Times New Roman" w:hAnsi="Arial" w:cs="Arial"/>
          <w:bCs/>
          <w:sz w:val="24"/>
          <w:szCs w:val="24"/>
          <w:lang w:val="en-GB"/>
        </w:rPr>
        <w:t>A</w:t>
      </w:r>
      <w:r w:rsidR="00D23C2B" w:rsidRPr="00811277">
        <w:rPr>
          <w:rFonts w:ascii="Arial" w:eastAsia="Times New Roman" w:hAnsi="Arial" w:cs="Arial"/>
          <w:bCs/>
          <w:sz w:val="24"/>
          <w:szCs w:val="24"/>
          <w:lang w:val="en-GB"/>
        </w:rPr>
        <w:t xml:space="preserve">ffairs and </w:t>
      </w:r>
      <w:r w:rsidR="004A2F4D" w:rsidRPr="00811277">
        <w:rPr>
          <w:rFonts w:ascii="Arial" w:eastAsia="Times New Roman" w:hAnsi="Arial" w:cs="Arial"/>
          <w:bCs/>
          <w:sz w:val="24"/>
          <w:szCs w:val="24"/>
          <w:lang w:val="en-GB"/>
        </w:rPr>
        <w:t>F</w:t>
      </w:r>
      <w:r w:rsidR="00D23C2B" w:rsidRPr="00811277">
        <w:rPr>
          <w:rFonts w:ascii="Arial" w:eastAsia="Times New Roman" w:hAnsi="Arial" w:cs="Arial"/>
          <w:bCs/>
          <w:sz w:val="24"/>
          <w:szCs w:val="24"/>
          <w:lang w:val="en-GB"/>
        </w:rPr>
        <w:t xml:space="preserve">orestry </w:t>
      </w:r>
      <w:r w:rsidR="004A2F4D" w:rsidRPr="00811277">
        <w:rPr>
          <w:rFonts w:ascii="Arial" w:eastAsia="Times New Roman" w:hAnsi="Arial" w:cs="Arial"/>
          <w:bCs/>
          <w:sz w:val="24"/>
          <w:szCs w:val="24"/>
          <w:lang w:val="en-GB"/>
        </w:rPr>
        <w:t xml:space="preserve">which </w:t>
      </w:r>
      <w:r w:rsidR="00D23C2B" w:rsidRPr="00811277">
        <w:rPr>
          <w:rFonts w:ascii="Arial" w:eastAsia="Times New Roman" w:hAnsi="Arial" w:cs="Arial"/>
          <w:bCs/>
          <w:sz w:val="24"/>
          <w:szCs w:val="24"/>
          <w:lang w:val="en-GB"/>
        </w:rPr>
        <w:t>‘overrul</w:t>
      </w:r>
      <w:r w:rsidR="004A2F4D" w:rsidRPr="00811277">
        <w:rPr>
          <w:rFonts w:ascii="Arial" w:eastAsia="Times New Roman" w:hAnsi="Arial" w:cs="Arial"/>
          <w:bCs/>
          <w:sz w:val="24"/>
          <w:szCs w:val="24"/>
          <w:lang w:val="en-GB"/>
        </w:rPr>
        <w:t>ed</w:t>
      </w:r>
      <w:r w:rsidR="00D23C2B" w:rsidRPr="00811277">
        <w:rPr>
          <w:rFonts w:ascii="Arial" w:eastAsia="Times New Roman" w:hAnsi="Arial" w:cs="Arial"/>
          <w:bCs/>
          <w:sz w:val="24"/>
          <w:szCs w:val="24"/>
          <w:lang w:val="en-GB"/>
        </w:rPr>
        <w:t xml:space="preserve">’ a surcharge </w:t>
      </w:r>
      <w:r w:rsidR="007977FA" w:rsidRPr="00811277">
        <w:rPr>
          <w:rFonts w:ascii="Arial" w:eastAsia="Times New Roman" w:hAnsi="Arial" w:cs="Arial"/>
          <w:bCs/>
          <w:sz w:val="24"/>
          <w:szCs w:val="24"/>
          <w:lang w:val="en-GB"/>
        </w:rPr>
        <w:t>the municipality</w:t>
      </w:r>
      <w:r w:rsidR="00D23C2B" w:rsidRPr="00811277">
        <w:rPr>
          <w:rFonts w:ascii="Arial" w:eastAsia="Times New Roman" w:hAnsi="Arial" w:cs="Arial"/>
          <w:bCs/>
          <w:sz w:val="24"/>
          <w:szCs w:val="24"/>
          <w:lang w:val="en-GB"/>
        </w:rPr>
        <w:t xml:space="preserve"> sought to impose on water which it supplied to AngloGold Ashanti, for use in its mining operations. </w:t>
      </w:r>
      <w:r w:rsidR="004A2F4D" w:rsidRPr="00811277">
        <w:rPr>
          <w:rFonts w:ascii="Arial" w:eastAsia="Times New Roman" w:hAnsi="Arial" w:cs="Arial"/>
          <w:bCs/>
          <w:sz w:val="24"/>
          <w:szCs w:val="24"/>
          <w:lang w:val="en-GB"/>
        </w:rPr>
        <w:t>The municipality</w:t>
      </w:r>
      <w:r w:rsidR="00D23C2B" w:rsidRPr="00811277">
        <w:rPr>
          <w:rFonts w:ascii="Arial" w:eastAsia="Times New Roman" w:hAnsi="Arial" w:cs="Arial"/>
          <w:bCs/>
          <w:sz w:val="24"/>
          <w:szCs w:val="24"/>
          <w:lang w:val="en-GB"/>
        </w:rPr>
        <w:t xml:space="preserve"> had contend</w:t>
      </w:r>
      <w:r w:rsidR="00877834" w:rsidRPr="00811277">
        <w:rPr>
          <w:rFonts w:ascii="Arial" w:eastAsia="Times New Roman" w:hAnsi="Arial" w:cs="Arial"/>
          <w:bCs/>
          <w:sz w:val="24"/>
          <w:szCs w:val="24"/>
          <w:lang w:val="en-GB"/>
        </w:rPr>
        <w:t>ed</w:t>
      </w:r>
      <w:r w:rsidR="00D23C2B" w:rsidRPr="00811277">
        <w:rPr>
          <w:rFonts w:ascii="Arial" w:eastAsia="Times New Roman" w:hAnsi="Arial" w:cs="Arial"/>
          <w:bCs/>
          <w:sz w:val="24"/>
          <w:szCs w:val="24"/>
          <w:lang w:val="en-GB"/>
        </w:rPr>
        <w:t xml:space="preserve"> that the Minister’s decision was </w:t>
      </w:r>
      <w:r w:rsidR="00D23C2B" w:rsidRPr="00811277">
        <w:rPr>
          <w:rFonts w:ascii="Arial" w:eastAsia="Times New Roman" w:hAnsi="Arial" w:cs="Arial"/>
          <w:bCs/>
          <w:i/>
          <w:iCs/>
          <w:sz w:val="24"/>
          <w:szCs w:val="24"/>
          <w:lang w:val="en-GB"/>
        </w:rPr>
        <w:t>ultra vires</w:t>
      </w:r>
      <w:r w:rsidR="00D23C2B" w:rsidRPr="00811277">
        <w:rPr>
          <w:rFonts w:ascii="Arial" w:eastAsia="Times New Roman" w:hAnsi="Arial" w:cs="Arial"/>
          <w:bCs/>
          <w:sz w:val="24"/>
          <w:szCs w:val="24"/>
          <w:lang w:val="en-GB"/>
        </w:rPr>
        <w:t xml:space="preserve"> and invalid as it intruded on the exclusive constitutional competence which had been conferred on the municipality to </w:t>
      </w:r>
      <w:r w:rsidR="00F64EDD" w:rsidRPr="00811277">
        <w:rPr>
          <w:rFonts w:ascii="Arial" w:eastAsia="Times New Roman" w:hAnsi="Arial" w:cs="Arial"/>
          <w:bCs/>
          <w:sz w:val="24"/>
          <w:szCs w:val="24"/>
          <w:lang w:val="en-GB"/>
        </w:rPr>
        <w:t>provide</w:t>
      </w:r>
      <w:r w:rsidR="00D23C2B" w:rsidRPr="00811277">
        <w:rPr>
          <w:rFonts w:ascii="Arial" w:eastAsia="Times New Roman" w:hAnsi="Arial" w:cs="Arial"/>
          <w:bCs/>
          <w:sz w:val="24"/>
          <w:szCs w:val="24"/>
          <w:lang w:val="en-GB"/>
        </w:rPr>
        <w:t xml:space="preserve"> the supply of water</w:t>
      </w:r>
      <w:r w:rsidR="007977FA" w:rsidRPr="00811277">
        <w:rPr>
          <w:rFonts w:ascii="Arial" w:eastAsia="Times New Roman" w:hAnsi="Arial" w:cs="Arial"/>
          <w:bCs/>
          <w:sz w:val="24"/>
          <w:szCs w:val="24"/>
          <w:lang w:val="en-GB"/>
        </w:rPr>
        <w:t xml:space="preserve">, and </w:t>
      </w:r>
      <w:r w:rsidR="00877834" w:rsidRPr="00811277">
        <w:rPr>
          <w:rFonts w:ascii="Arial" w:eastAsia="Times New Roman" w:hAnsi="Arial" w:cs="Arial"/>
          <w:bCs/>
          <w:sz w:val="24"/>
          <w:szCs w:val="24"/>
          <w:lang w:val="en-GB"/>
        </w:rPr>
        <w:t>the attempt to</w:t>
      </w:r>
      <w:r w:rsidR="007977FA" w:rsidRPr="00811277">
        <w:rPr>
          <w:rFonts w:ascii="Arial" w:eastAsia="Times New Roman" w:hAnsi="Arial" w:cs="Arial"/>
          <w:bCs/>
          <w:sz w:val="24"/>
          <w:szCs w:val="24"/>
          <w:lang w:val="en-GB"/>
        </w:rPr>
        <w:t xml:space="preserve"> enforce</w:t>
      </w:r>
      <w:r w:rsidR="00877834" w:rsidRPr="00811277">
        <w:rPr>
          <w:rFonts w:ascii="Arial" w:eastAsia="Times New Roman" w:hAnsi="Arial" w:cs="Arial"/>
          <w:bCs/>
          <w:sz w:val="24"/>
          <w:szCs w:val="24"/>
          <w:lang w:val="en-GB"/>
        </w:rPr>
        <w:t xml:space="preserve"> the ruling</w:t>
      </w:r>
      <w:r w:rsidR="007977FA" w:rsidRPr="00811277">
        <w:rPr>
          <w:rFonts w:ascii="Arial" w:eastAsia="Times New Roman" w:hAnsi="Arial" w:cs="Arial"/>
          <w:bCs/>
          <w:sz w:val="24"/>
          <w:szCs w:val="24"/>
          <w:lang w:val="en-GB"/>
        </w:rPr>
        <w:t xml:space="preserve"> could consequently be resisted</w:t>
      </w:r>
      <w:r w:rsidR="00D23C2B" w:rsidRPr="00811277">
        <w:rPr>
          <w:rFonts w:ascii="Arial" w:eastAsia="Times New Roman" w:hAnsi="Arial" w:cs="Arial"/>
          <w:bCs/>
          <w:sz w:val="24"/>
          <w:szCs w:val="24"/>
          <w:lang w:val="en-GB"/>
        </w:rPr>
        <w:t xml:space="preserve">. </w:t>
      </w:r>
    </w:p>
    <w:p w14:paraId="18605E13" w14:textId="24377BAC" w:rsidR="00D23C2B"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29.</w:t>
      </w:r>
      <w:r>
        <w:rPr>
          <w:rFonts w:ascii="Arial" w:eastAsia="Times New Roman" w:hAnsi="Arial" w:cs="Arial"/>
          <w:bCs/>
          <w:kern w:val="0"/>
          <w:sz w:val="24"/>
          <w:szCs w:val="24"/>
          <w:lang w:val="en-GB"/>
          <w14:ligatures w14:val="none"/>
        </w:rPr>
        <w:tab/>
      </w:r>
      <w:r w:rsidR="00D23C2B" w:rsidRPr="00811277">
        <w:rPr>
          <w:rFonts w:ascii="Arial" w:eastAsia="Times New Roman" w:hAnsi="Arial" w:cs="Arial"/>
          <w:bCs/>
          <w:sz w:val="24"/>
          <w:szCs w:val="24"/>
          <w:lang w:val="en-GB"/>
        </w:rPr>
        <w:t xml:space="preserve">In his judgment for the majority Cameron J set out the state of the law in relation to so-called ‘reactive’ </w:t>
      </w:r>
      <w:r w:rsidR="00E72BAC" w:rsidRPr="00811277">
        <w:rPr>
          <w:rFonts w:ascii="Arial" w:eastAsia="Times New Roman" w:hAnsi="Arial" w:cs="Arial"/>
          <w:bCs/>
          <w:sz w:val="24"/>
          <w:szCs w:val="24"/>
          <w:lang w:val="en-GB"/>
        </w:rPr>
        <w:t>or ‘</w:t>
      </w:r>
      <w:r w:rsidR="00D23C2B" w:rsidRPr="00811277">
        <w:rPr>
          <w:rFonts w:ascii="Arial" w:eastAsia="Times New Roman" w:hAnsi="Arial" w:cs="Arial"/>
          <w:bCs/>
          <w:sz w:val="24"/>
          <w:szCs w:val="24"/>
          <w:lang w:val="en-GB"/>
        </w:rPr>
        <w:t>collateral</w:t>
      </w:r>
      <w:r w:rsidR="00E72BAC" w:rsidRPr="00811277">
        <w:rPr>
          <w:rFonts w:ascii="Arial" w:eastAsia="Times New Roman" w:hAnsi="Arial" w:cs="Arial"/>
          <w:bCs/>
          <w:sz w:val="24"/>
          <w:szCs w:val="24"/>
          <w:lang w:val="en-GB"/>
        </w:rPr>
        <w:t>’</w:t>
      </w:r>
      <w:r w:rsidR="00D23C2B" w:rsidRPr="00811277">
        <w:rPr>
          <w:rFonts w:ascii="Arial" w:eastAsia="Times New Roman" w:hAnsi="Arial" w:cs="Arial"/>
          <w:bCs/>
          <w:sz w:val="24"/>
          <w:szCs w:val="24"/>
          <w:lang w:val="en-GB"/>
        </w:rPr>
        <w:t xml:space="preserve"> challenges, with reference to the most important pre-</w:t>
      </w:r>
      <w:r w:rsidR="004A2F4D" w:rsidRPr="00811277">
        <w:rPr>
          <w:rFonts w:ascii="Arial" w:eastAsia="Times New Roman" w:hAnsi="Arial" w:cs="Arial"/>
          <w:bCs/>
          <w:sz w:val="24"/>
          <w:szCs w:val="24"/>
          <w:lang w:val="en-GB"/>
        </w:rPr>
        <w:t xml:space="preserve"> </w:t>
      </w:r>
      <w:r w:rsidR="00D23C2B" w:rsidRPr="00811277">
        <w:rPr>
          <w:rFonts w:ascii="Arial" w:eastAsia="Times New Roman" w:hAnsi="Arial" w:cs="Arial"/>
          <w:bCs/>
          <w:sz w:val="24"/>
          <w:szCs w:val="24"/>
          <w:lang w:val="en-GB"/>
        </w:rPr>
        <w:t xml:space="preserve">and </w:t>
      </w:r>
      <w:r w:rsidR="004A2F4D" w:rsidRPr="00811277">
        <w:rPr>
          <w:rFonts w:ascii="Arial" w:eastAsia="Times New Roman" w:hAnsi="Arial" w:cs="Arial"/>
          <w:bCs/>
          <w:sz w:val="24"/>
          <w:szCs w:val="24"/>
          <w:lang w:val="en-GB"/>
        </w:rPr>
        <w:t>post-constitutional</w:t>
      </w:r>
      <w:r w:rsidR="00D23C2B" w:rsidRPr="00811277">
        <w:rPr>
          <w:rFonts w:ascii="Arial" w:eastAsia="Times New Roman" w:hAnsi="Arial" w:cs="Arial"/>
          <w:bCs/>
          <w:sz w:val="24"/>
          <w:szCs w:val="24"/>
          <w:lang w:val="en-GB"/>
        </w:rPr>
        <w:t xml:space="preserve"> decisions. In doing so he contrast</w:t>
      </w:r>
      <w:r w:rsidR="004A2F4D" w:rsidRPr="00811277">
        <w:rPr>
          <w:rFonts w:ascii="Arial" w:eastAsia="Times New Roman" w:hAnsi="Arial" w:cs="Arial"/>
          <w:bCs/>
          <w:sz w:val="24"/>
          <w:szCs w:val="24"/>
          <w:lang w:val="en-GB"/>
        </w:rPr>
        <w:t>ed</w:t>
      </w:r>
      <w:r w:rsidR="00D23C2B" w:rsidRPr="00811277">
        <w:rPr>
          <w:rFonts w:ascii="Arial" w:eastAsia="Times New Roman" w:hAnsi="Arial" w:cs="Arial"/>
          <w:bCs/>
          <w:sz w:val="24"/>
          <w:szCs w:val="24"/>
          <w:lang w:val="en-GB"/>
        </w:rPr>
        <w:t xml:space="preserve"> the approach which </w:t>
      </w:r>
      <w:r w:rsidR="00AF132D" w:rsidRPr="00811277">
        <w:rPr>
          <w:rFonts w:ascii="Arial" w:eastAsia="Times New Roman" w:hAnsi="Arial" w:cs="Arial"/>
          <w:bCs/>
          <w:sz w:val="24"/>
          <w:szCs w:val="24"/>
          <w:lang w:val="en-GB"/>
        </w:rPr>
        <w:t>has been</w:t>
      </w:r>
      <w:r w:rsidR="00D23C2B" w:rsidRPr="00811277">
        <w:rPr>
          <w:rFonts w:ascii="Arial" w:eastAsia="Times New Roman" w:hAnsi="Arial" w:cs="Arial"/>
          <w:bCs/>
          <w:sz w:val="24"/>
          <w:szCs w:val="24"/>
          <w:lang w:val="en-GB"/>
        </w:rPr>
        <w:t xml:space="preserve"> followed by courts which </w:t>
      </w:r>
      <w:r w:rsidR="00AF132D" w:rsidRPr="00811277">
        <w:rPr>
          <w:rFonts w:ascii="Arial" w:eastAsia="Times New Roman" w:hAnsi="Arial" w:cs="Arial"/>
          <w:bCs/>
          <w:sz w:val="24"/>
          <w:szCs w:val="24"/>
          <w:lang w:val="en-GB"/>
        </w:rPr>
        <w:t xml:space="preserve">have </w:t>
      </w:r>
      <w:r w:rsidR="00D23C2B" w:rsidRPr="00811277">
        <w:rPr>
          <w:rFonts w:ascii="Arial" w:eastAsia="Times New Roman" w:hAnsi="Arial" w:cs="Arial"/>
          <w:bCs/>
          <w:sz w:val="24"/>
          <w:szCs w:val="24"/>
          <w:lang w:val="en-GB"/>
        </w:rPr>
        <w:t xml:space="preserve">dealt with reviews (both at common law pre-the Constitution and in terms of </w:t>
      </w:r>
      <w:r w:rsidR="004A2F4D" w:rsidRPr="00811277">
        <w:rPr>
          <w:rFonts w:ascii="Arial" w:eastAsia="Times New Roman" w:hAnsi="Arial" w:cs="Arial"/>
          <w:bCs/>
          <w:sz w:val="24"/>
          <w:szCs w:val="24"/>
          <w:lang w:val="en-GB"/>
        </w:rPr>
        <w:t>PAJA</w:t>
      </w:r>
      <w:r w:rsidR="00D23C2B" w:rsidRPr="00811277">
        <w:rPr>
          <w:rFonts w:ascii="Arial" w:eastAsia="Times New Roman" w:hAnsi="Arial" w:cs="Arial"/>
          <w:bCs/>
          <w:sz w:val="24"/>
          <w:szCs w:val="24"/>
          <w:lang w:val="en-GB"/>
        </w:rPr>
        <w:t xml:space="preserve"> thereafter)</w:t>
      </w:r>
      <w:r w:rsidR="00E72BAC" w:rsidRPr="00811277">
        <w:rPr>
          <w:rFonts w:ascii="Arial" w:eastAsia="Times New Roman" w:hAnsi="Arial" w:cs="Arial"/>
          <w:bCs/>
          <w:sz w:val="24"/>
          <w:szCs w:val="24"/>
          <w:lang w:val="en-GB"/>
        </w:rPr>
        <w:t>,</w:t>
      </w:r>
      <w:r w:rsidR="00D23C2B" w:rsidRPr="00811277">
        <w:rPr>
          <w:rFonts w:ascii="Arial" w:eastAsia="Times New Roman" w:hAnsi="Arial" w:cs="Arial"/>
          <w:bCs/>
          <w:sz w:val="24"/>
          <w:szCs w:val="24"/>
          <w:lang w:val="en-GB"/>
        </w:rPr>
        <w:t xml:space="preserve"> with that </w:t>
      </w:r>
      <w:r w:rsidR="004A2F4D" w:rsidRPr="00811277">
        <w:rPr>
          <w:rFonts w:ascii="Arial" w:eastAsia="Times New Roman" w:hAnsi="Arial" w:cs="Arial"/>
          <w:bCs/>
          <w:sz w:val="24"/>
          <w:szCs w:val="24"/>
          <w:lang w:val="en-GB"/>
        </w:rPr>
        <w:t>adopted</w:t>
      </w:r>
      <w:r w:rsidR="00D23C2B" w:rsidRPr="00811277">
        <w:rPr>
          <w:rFonts w:ascii="Arial" w:eastAsia="Times New Roman" w:hAnsi="Arial" w:cs="Arial"/>
          <w:bCs/>
          <w:sz w:val="24"/>
          <w:szCs w:val="24"/>
          <w:lang w:val="en-GB"/>
        </w:rPr>
        <w:t xml:space="preserve"> in cases involving collateral challenges, which differ distinctively in</w:t>
      </w:r>
      <w:r w:rsidR="004A2F4D" w:rsidRPr="00811277">
        <w:rPr>
          <w:rFonts w:ascii="Arial" w:eastAsia="Times New Roman" w:hAnsi="Arial" w:cs="Arial"/>
          <w:bCs/>
          <w:sz w:val="24"/>
          <w:szCs w:val="24"/>
          <w:lang w:val="en-GB"/>
        </w:rPr>
        <w:t xml:space="preserve"> their</w:t>
      </w:r>
      <w:r w:rsidR="00D23C2B" w:rsidRPr="00811277">
        <w:rPr>
          <w:rFonts w:ascii="Arial" w:eastAsia="Times New Roman" w:hAnsi="Arial" w:cs="Arial"/>
          <w:bCs/>
          <w:sz w:val="24"/>
          <w:szCs w:val="24"/>
          <w:lang w:val="en-GB"/>
        </w:rPr>
        <w:t xml:space="preserve"> </w:t>
      </w:r>
      <w:r w:rsidR="00D23C2B" w:rsidRPr="00811277">
        <w:rPr>
          <w:rFonts w:ascii="Arial" w:eastAsia="Times New Roman" w:hAnsi="Arial" w:cs="Arial"/>
          <w:bCs/>
          <w:sz w:val="24"/>
          <w:szCs w:val="24"/>
          <w:lang w:val="en-GB"/>
        </w:rPr>
        <w:lastRenderedPageBreak/>
        <w:t>object</w:t>
      </w:r>
      <w:r w:rsidR="004A2F4D" w:rsidRPr="00811277">
        <w:rPr>
          <w:rFonts w:ascii="Arial" w:eastAsia="Times New Roman" w:hAnsi="Arial" w:cs="Arial"/>
          <w:bCs/>
          <w:sz w:val="24"/>
          <w:szCs w:val="24"/>
          <w:lang w:val="en-GB"/>
        </w:rPr>
        <w:t>,</w:t>
      </w:r>
      <w:r w:rsidR="00D23C2B" w:rsidRPr="00811277">
        <w:rPr>
          <w:rFonts w:ascii="Arial" w:eastAsia="Times New Roman" w:hAnsi="Arial" w:cs="Arial"/>
          <w:bCs/>
          <w:sz w:val="24"/>
          <w:szCs w:val="24"/>
          <w:lang w:val="en-GB"/>
        </w:rPr>
        <w:t xml:space="preserve"> </w:t>
      </w:r>
      <w:r w:rsidR="00D514ED" w:rsidRPr="00811277">
        <w:rPr>
          <w:rFonts w:ascii="Arial" w:eastAsia="Times New Roman" w:hAnsi="Arial" w:cs="Arial"/>
          <w:bCs/>
          <w:sz w:val="24"/>
          <w:szCs w:val="24"/>
          <w:lang w:val="en-GB"/>
        </w:rPr>
        <w:t>application,</w:t>
      </w:r>
      <w:r w:rsidR="00D23C2B" w:rsidRPr="00811277">
        <w:rPr>
          <w:rFonts w:ascii="Arial" w:eastAsia="Times New Roman" w:hAnsi="Arial" w:cs="Arial"/>
          <w:bCs/>
          <w:sz w:val="24"/>
          <w:szCs w:val="24"/>
          <w:lang w:val="en-GB"/>
        </w:rPr>
        <w:t xml:space="preserve"> and scope</w:t>
      </w:r>
      <w:r w:rsidR="00877834" w:rsidRPr="00811277">
        <w:rPr>
          <w:rFonts w:ascii="Arial" w:eastAsia="Times New Roman" w:hAnsi="Arial" w:cs="Arial"/>
          <w:bCs/>
          <w:sz w:val="24"/>
          <w:szCs w:val="24"/>
          <w:lang w:val="en-GB"/>
        </w:rPr>
        <w:t xml:space="preserve"> from </w:t>
      </w:r>
      <w:r w:rsidR="00C04CD5" w:rsidRPr="00811277">
        <w:rPr>
          <w:rFonts w:ascii="Arial" w:eastAsia="Times New Roman" w:hAnsi="Arial" w:cs="Arial"/>
          <w:bCs/>
          <w:sz w:val="24"/>
          <w:szCs w:val="24"/>
          <w:lang w:val="en-GB"/>
        </w:rPr>
        <w:t xml:space="preserve">review </w:t>
      </w:r>
      <w:r w:rsidR="00877834" w:rsidRPr="00811277">
        <w:rPr>
          <w:rFonts w:ascii="Arial" w:eastAsia="Times New Roman" w:hAnsi="Arial" w:cs="Arial"/>
          <w:bCs/>
          <w:sz w:val="24"/>
          <w:szCs w:val="24"/>
          <w:lang w:val="en-GB"/>
        </w:rPr>
        <w:t>matters</w:t>
      </w:r>
      <w:r w:rsidR="00D23C2B" w:rsidRPr="00811277">
        <w:rPr>
          <w:rFonts w:ascii="Arial" w:eastAsia="Times New Roman" w:hAnsi="Arial" w:cs="Arial"/>
          <w:bCs/>
          <w:sz w:val="24"/>
          <w:szCs w:val="24"/>
          <w:lang w:val="en-GB"/>
        </w:rPr>
        <w:t xml:space="preserve">. </w:t>
      </w:r>
      <w:r w:rsidR="00D23C2B">
        <w:rPr>
          <w:rStyle w:val="FootnoteReference"/>
          <w:rFonts w:ascii="Arial" w:eastAsia="Times New Roman" w:hAnsi="Arial" w:cs="Arial"/>
          <w:bCs/>
          <w:sz w:val="24"/>
          <w:szCs w:val="24"/>
          <w:lang w:val="en-GB"/>
        </w:rPr>
        <w:footnoteReference w:id="21"/>
      </w:r>
      <w:r w:rsidR="00D23C2B" w:rsidRPr="00811277">
        <w:rPr>
          <w:rFonts w:ascii="Arial" w:eastAsia="Times New Roman" w:hAnsi="Arial" w:cs="Arial"/>
          <w:bCs/>
          <w:sz w:val="24"/>
          <w:szCs w:val="24"/>
          <w:lang w:val="en-GB"/>
        </w:rPr>
        <w:t xml:space="preserve"> </w:t>
      </w:r>
      <w:r w:rsidR="004A2F4D" w:rsidRPr="00811277">
        <w:rPr>
          <w:rFonts w:ascii="Arial" w:eastAsia="Times New Roman" w:hAnsi="Arial" w:cs="Arial"/>
          <w:bCs/>
          <w:sz w:val="24"/>
          <w:szCs w:val="24"/>
          <w:lang w:val="en-GB"/>
        </w:rPr>
        <w:t xml:space="preserve">He pointed out that </w:t>
      </w:r>
      <w:r w:rsidR="00964FB6" w:rsidRPr="00811277">
        <w:rPr>
          <w:rFonts w:ascii="Arial" w:eastAsia="Times New Roman" w:hAnsi="Arial" w:cs="Arial"/>
          <w:bCs/>
          <w:sz w:val="24"/>
          <w:szCs w:val="24"/>
          <w:lang w:val="en-GB"/>
        </w:rPr>
        <w:t>since</w:t>
      </w:r>
      <w:r w:rsidR="00D23C2B" w:rsidRPr="00811277">
        <w:rPr>
          <w:rFonts w:ascii="Arial" w:eastAsia="Times New Roman" w:hAnsi="Arial" w:cs="Arial"/>
          <w:bCs/>
          <w:sz w:val="24"/>
          <w:szCs w:val="24"/>
          <w:lang w:val="en-GB"/>
        </w:rPr>
        <w:t xml:space="preserve"> </w:t>
      </w:r>
      <w:r w:rsidR="004A2F4D" w:rsidRPr="00811277">
        <w:rPr>
          <w:rFonts w:ascii="Arial" w:eastAsia="Times New Roman" w:hAnsi="Arial" w:cs="Arial"/>
          <w:bCs/>
          <w:sz w:val="24"/>
          <w:szCs w:val="24"/>
          <w:lang w:val="en-GB"/>
        </w:rPr>
        <w:t xml:space="preserve">the grant of a </w:t>
      </w:r>
      <w:r w:rsidR="00D23C2B" w:rsidRPr="00811277">
        <w:rPr>
          <w:rFonts w:ascii="Arial" w:eastAsia="Times New Roman" w:hAnsi="Arial" w:cs="Arial"/>
          <w:bCs/>
          <w:sz w:val="24"/>
          <w:szCs w:val="24"/>
          <w:lang w:val="en-GB"/>
        </w:rPr>
        <w:t xml:space="preserve">review </w:t>
      </w:r>
      <w:r w:rsidR="00964FB6" w:rsidRPr="00811277">
        <w:rPr>
          <w:rFonts w:ascii="Arial" w:eastAsia="Times New Roman" w:hAnsi="Arial" w:cs="Arial"/>
          <w:bCs/>
          <w:sz w:val="24"/>
          <w:szCs w:val="24"/>
          <w:lang w:val="en-GB"/>
        </w:rPr>
        <w:t>is</w:t>
      </w:r>
      <w:r w:rsidR="00D23C2B" w:rsidRPr="00811277">
        <w:rPr>
          <w:rFonts w:ascii="Arial" w:eastAsia="Times New Roman" w:hAnsi="Arial" w:cs="Arial"/>
          <w:bCs/>
          <w:sz w:val="24"/>
          <w:szCs w:val="24"/>
          <w:lang w:val="en-GB"/>
        </w:rPr>
        <w:t xml:space="preserve"> a discretionary remedy, courts </w:t>
      </w:r>
      <w:r w:rsidR="00964FB6" w:rsidRPr="00811277">
        <w:rPr>
          <w:rFonts w:ascii="Arial" w:eastAsia="Times New Roman" w:hAnsi="Arial" w:cs="Arial"/>
          <w:bCs/>
          <w:sz w:val="24"/>
          <w:szCs w:val="24"/>
          <w:lang w:val="en-GB"/>
        </w:rPr>
        <w:t xml:space="preserve">have </w:t>
      </w:r>
      <w:r w:rsidR="00D23C2B" w:rsidRPr="00811277">
        <w:rPr>
          <w:rFonts w:ascii="Arial" w:eastAsia="Times New Roman" w:hAnsi="Arial" w:cs="Arial"/>
          <w:bCs/>
          <w:sz w:val="24"/>
          <w:szCs w:val="24"/>
          <w:lang w:val="en-GB"/>
        </w:rPr>
        <w:t xml:space="preserve">regularly refused to entertain </w:t>
      </w:r>
      <w:r w:rsidR="004A2F4D" w:rsidRPr="00811277">
        <w:rPr>
          <w:rFonts w:ascii="Arial" w:eastAsia="Times New Roman" w:hAnsi="Arial" w:cs="Arial"/>
          <w:bCs/>
          <w:sz w:val="24"/>
          <w:szCs w:val="24"/>
          <w:lang w:val="en-GB"/>
        </w:rPr>
        <w:t>reviews</w:t>
      </w:r>
      <w:r w:rsidR="00D23C2B" w:rsidRPr="00811277">
        <w:rPr>
          <w:rFonts w:ascii="Arial" w:eastAsia="Times New Roman" w:hAnsi="Arial" w:cs="Arial"/>
          <w:bCs/>
          <w:sz w:val="24"/>
          <w:szCs w:val="24"/>
          <w:lang w:val="en-GB"/>
        </w:rPr>
        <w:t xml:space="preserve"> on the </w:t>
      </w:r>
      <w:r w:rsidR="00E72BAC" w:rsidRPr="00811277">
        <w:rPr>
          <w:rFonts w:ascii="Arial" w:eastAsia="Times New Roman" w:hAnsi="Arial" w:cs="Arial"/>
          <w:bCs/>
          <w:sz w:val="24"/>
          <w:szCs w:val="24"/>
          <w:lang w:val="en-GB"/>
        </w:rPr>
        <w:t>basis</w:t>
      </w:r>
      <w:r w:rsidR="00D23C2B" w:rsidRPr="00811277">
        <w:rPr>
          <w:rFonts w:ascii="Arial" w:eastAsia="Times New Roman" w:hAnsi="Arial" w:cs="Arial"/>
          <w:bCs/>
          <w:sz w:val="24"/>
          <w:szCs w:val="24"/>
          <w:lang w:val="en-GB"/>
        </w:rPr>
        <w:t xml:space="preserve"> that the applicant</w:t>
      </w:r>
      <w:r w:rsidR="00AF132D" w:rsidRPr="00811277">
        <w:rPr>
          <w:rFonts w:ascii="Arial" w:eastAsia="Times New Roman" w:hAnsi="Arial" w:cs="Arial"/>
          <w:bCs/>
          <w:sz w:val="24"/>
          <w:szCs w:val="24"/>
          <w:lang w:val="en-GB"/>
        </w:rPr>
        <w:t>s</w:t>
      </w:r>
      <w:r w:rsidR="00D23C2B" w:rsidRPr="00811277">
        <w:rPr>
          <w:rFonts w:ascii="Arial" w:eastAsia="Times New Roman" w:hAnsi="Arial" w:cs="Arial"/>
          <w:bCs/>
          <w:sz w:val="24"/>
          <w:szCs w:val="24"/>
          <w:lang w:val="en-GB"/>
        </w:rPr>
        <w:t xml:space="preserve"> </w:t>
      </w:r>
      <w:r w:rsidR="00AF132D" w:rsidRPr="00811277">
        <w:rPr>
          <w:rFonts w:ascii="Arial" w:eastAsia="Times New Roman" w:hAnsi="Arial" w:cs="Arial"/>
          <w:bCs/>
          <w:sz w:val="24"/>
          <w:szCs w:val="24"/>
          <w:lang w:val="en-GB"/>
        </w:rPr>
        <w:t xml:space="preserve">had </w:t>
      </w:r>
      <w:r w:rsidR="00D23C2B" w:rsidRPr="00811277">
        <w:rPr>
          <w:rFonts w:ascii="Arial" w:eastAsia="Times New Roman" w:hAnsi="Arial" w:cs="Arial"/>
          <w:bCs/>
          <w:sz w:val="24"/>
          <w:szCs w:val="24"/>
          <w:lang w:val="en-GB"/>
        </w:rPr>
        <w:t>delayed unreasonably before launching them. This was however not the case in collateral challenge matters</w:t>
      </w:r>
      <w:r w:rsidR="004A2F4D" w:rsidRPr="00811277">
        <w:rPr>
          <w:rFonts w:ascii="Arial" w:eastAsia="Times New Roman" w:hAnsi="Arial" w:cs="Arial"/>
          <w:bCs/>
          <w:sz w:val="24"/>
          <w:szCs w:val="24"/>
          <w:lang w:val="en-GB"/>
        </w:rPr>
        <w:t>,</w:t>
      </w:r>
      <w:r w:rsidR="00D23C2B" w:rsidRPr="00811277">
        <w:rPr>
          <w:rFonts w:ascii="Arial" w:eastAsia="Times New Roman" w:hAnsi="Arial" w:cs="Arial"/>
          <w:bCs/>
          <w:sz w:val="24"/>
          <w:szCs w:val="24"/>
          <w:lang w:val="en-GB"/>
        </w:rPr>
        <w:t xml:space="preserve"> w</w:t>
      </w:r>
      <w:r w:rsidR="004A2F4D" w:rsidRPr="00811277">
        <w:rPr>
          <w:rFonts w:ascii="Arial" w:eastAsia="Times New Roman" w:hAnsi="Arial" w:cs="Arial"/>
          <w:bCs/>
          <w:sz w:val="24"/>
          <w:szCs w:val="24"/>
          <w:lang w:val="en-GB"/>
        </w:rPr>
        <w:t>here</w:t>
      </w:r>
      <w:r w:rsidR="00D23C2B" w:rsidRPr="00811277">
        <w:rPr>
          <w:rFonts w:ascii="Arial" w:eastAsia="Times New Roman" w:hAnsi="Arial" w:cs="Arial"/>
          <w:bCs/>
          <w:sz w:val="24"/>
          <w:szCs w:val="24"/>
          <w:lang w:val="en-GB"/>
        </w:rPr>
        <w:t xml:space="preserve"> the state sought to coerce citizens</w:t>
      </w:r>
      <w:r w:rsidR="00F94371" w:rsidRPr="00811277">
        <w:rPr>
          <w:rFonts w:ascii="Arial" w:eastAsia="Times New Roman" w:hAnsi="Arial" w:cs="Arial"/>
          <w:bCs/>
          <w:sz w:val="24"/>
          <w:szCs w:val="24"/>
          <w:lang w:val="en-GB"/>
        </w:rPr>
        <w:t xml:space="preserve"> ‘into payment or prison’. In such matters the courts were frequently prepared to uphold </w:t>
      </w:r>
      <w:r w:rsidR="004A2F4D" w:rsidRPr="00811277">
        <w:rPr>
          <w:rFonts w:ascii="Arial" w:eastAsia="Times New Roman" w:hAnsi="Arial" w:cs="Arial"/>
          <w:bCs/>
          <w:sz w:val="24"/>
          <w:szCs w:val="24"/>
          <w:lang w:val="en-GB"/>
        </w:rPr>
        <w:t>a so-called ‘collateral’ or ‘reactive’</w:t>
      </w:r>
      <w:r w:rsidR="00F94371" w:rsidRPr="00811277">
        <w:rPr>
          <w:rFonts w:ascii="Arial" w:eastAsia="Times New Roman" w:hAnsi="Arial" w:cs="Arial"/>
          <w:bCs/>
          <w:sz w:val="24"/>
          <w:szCs w:val="24"/>
          <w:lang w:val="en-GB"/>
        </w:rPr>
        <w:t xml:space="preserve"> challenge </w:t>
      </w:r>
      <w:r w:rsidR="00877834" w:rsidRPr="00811277">
        <w:rPr>
          <w:rFonts w:ascii="Arial" w:eastAsia="Times New Roman" w:hAnsi="Arial" w:cs="Arial"/>
          <w:bCs/>
          <w:sz w:val="24"/>
          <w:szCs w:val="24"/>
          <w:lang w:val="en-GB"/>
        </w:rPr>
        <w:t>to an</w:t>
      </w:r>
      <w:r w:rsidR="00F94371" w:rsidRPr="00811277">
        <w:rPr>
          <w:rFonts w:ascii="Arial" w:eastAsia="Times New Roman" w:hAnsi="Arial" w:cs="Arial"/>
          <w:bCs/>
          <w:sz w:val="24"/>
          <w:szCs w:val="24"/>
          <w:lang w:val="en-GB"/>
        </w:rPr>
        <w:t xml:space="preserve"> administrative decision or ruling</w:t>
      </w:r>
      <w:r w:rsidR="00877834" w:rsidRPr="00811277">
        <w:rPr>
          <w:rFonts w:ascii="Arial" w:eastAsia="Times New Roman" w:hAnsi="Arial" w:cs="Arial"/>
          <w:bCs/>
          <w:sz w:val="24"/>
          <w:szCs w:val="24"/>
          <w:lang w:val="en-GB"/>
        </w:rPr>
        <w:t xml:space="preserve"> no matter how ‘ancient’</w:t>
      </w:r>
      <w:r w:rsidR="004A2F4D" w:rsidRPr="00811277">
        <w:rPr>
          <w:rFonts w:ascii="Arial" w:eastAsia="Times New Roman" w:hAnsi="Arial" w:cs="Arial"/>
          <w:bCs/>
          <w:sz w:val="24"/>
          <w:szCs w:val="24"/>
          <w:lang w:val="en-GB"/>
        </w:rPr>
        <w:t xml:space="preserve"> it</w:t>
      </w:r>
      <w:r w:rsidR="00877834" w:rsidRPr="00811277">
        <w:rPr>
          <w:rFonts w:ascii="Arial" w:eastAsia="Times New Roman" w:hAnsi="Arial" w:cs="Arial"/>
          <w:bCs/>
          <w:sz w:val="24"/>
          <w:szCs w:val="24"/>
          <w:lang w:val="en-GB"/>
        </w:rPr>
        <w:t xml:space="preserve"> </w:t>
      </w:r>
      <w:r w:rsidR="00F94371" w:rsidRPr="00811277">
        <w:rPr>
          <w:rFonts w:ascii="Arial" w:eastAsia="Times New Roman" w:hAnsi="Arial" w:cs="Arial"/>
          <w:bCs/>
          <w:sz w:val="24"/>
          <w:szCs w:val="24"/>
          <w:lang w:val="en-GB"/>
        </w:rPr>
        <w:t>was</w:t>
      </w:r>
      <w:r w:rsidR="004A2F4D" w:rsidRPr="00811277">
        <w:rPr>
          <w:rFonts w:ascii="Arial" w:eastAsia="Times New Roman" w:hAnsi="Arial" w:cs="Arial"/>
          <w:bCs/>
          <w:sz w:val="24"/>
          <w:szCs w:val="24"/>
          <w:lang w:val="en-GB"/>
        </w:rPr>
        <w:t>,</w:t>
      </w:r>
      <w:r w:rsidR="00F94371">
        <w:rPr>
          <w:rStyle w:val="FootnoteReference"/>
          <w:rFonts w:ascii="Arial" w:eastAsia="Times New Roman" w:hAnsi="Arial" w:cs="Arial"/>
          <w:bCs/>
          <w:sz w:val="24"/>
          <w:szCs w:val="24"/>
          <w:lang w:val="en-GB"/>
        </w:rPr>
        <w:footnoteReference w:id="22"/>
      </w:r>
      <w:r w:rsidR="00F94371" w:rsidRPr="00811277">
        <w:rPr>
          <w:rFonts w:ascii="Arial" w:eastAsia="Times New Roman" w:hAnsi="Arial" w:cs="Arial"/>
          <w:bCs/>
          <w:sz w:val="24"/>
          <w:szCs w:val="24"/>
          <w:lang w:val="en-GB"/>
        </w:rPr>
        <w:t xml:space="preserve"> on the </w:t>
      </w:r>
      <w:r w:rsidR="00877834" w:rsidRPr="00811277">
        <w:rPr>
          <w:rFonts w:ascii="Arial" w:eastAsia="Times New Roman" w:hAnsi="Arial" w:cs="Arial"/>
          <w:bCs/>
          <w:sz w:val="24"/>
          <w:szCs w:val="24"/>
          <w:lang w:val="en-GB"/>
        </w:rPr>
        <w:t>grounds</w:t>
      </w:r>
      <w:r w:rsidR="00F94371" w:rsidRPr="00811277">
        <w:rPr>
          <w:rFonts w:ascii="Arial" w:eastAsia="Times New Roman" w:hAnsi="Arial" w:cs="Arial"/>
          <w:bCs/>
          <w:sz w:val="24"/>
          <w:szCs w:val="24"/>
          <w:lang w:val="en-GB"/>
        </w:rPr>
        <w:t xml:space="preserve"> that it would offend the rule of law for a citizen to be subject</w:t>
      </w:r>
      <w:r w:rsidR="004A2F4D" w:rsidRPr="00811277">
        <w:rPr>
          <w:rFonts w:ascii="Arial" w:eastAsia="Times New Roman" w:hAnsi="Arial" w:cs="Arial"/>
          <w:bCs/>
          <w:sz w:val="24"/>
          <w:szCs w:val="24"/>
          <w:lang w:val="en-GB"/>
        </w:rPr>
        <w:t>ed</w:t>
      </w:r>
      <w:r w:rsidR="00F94371" w:rsidRPr="00811277">
        <w:rPr>
          <w:rFonts w:ascii="Arial" w:eastAsia="Times New Roman" w:hAnsi="Arial" w:cs="Arial"/>
          <w:bCs/>
          <w:sz w:val="24"/>
          <w:szCs w:val="24"/>
          <w:lang w:val="en-GB"/>
        </w:rPr>
        <w:t xml:space="preserve"> to punitive measures or sanctions bas</w:t>
      </w:r>
      <w:r w:rsidR="00AF132D" w:rsidRPr="00811277">
        <w:rPr>
          <w:rFonts w:ascii="Arial" w:eastAsia="Times New Roman" w:hAnsi="Arial" w:cs="Arial"/>
          <w:bCs/>
          <w:sz w:val="24"/>
          <w:szCs w:val="24"/>
          <w:lang w:val="en-GB"/>
        </w:rPr>
        <w:t xml:space="preserve">ed on </w:t>
      </w:r>
      <w:r w:rsidR="00F94371" w:rsidRPr="00811277">
        <w:rPr>
          <w:rFonts w:ascii="Arial" w:eastAsia="Times New Roman" w:hAnsi="Arial" w:cs="Arial"/>
          <w:bCs/>
          <w:sz w:val="24"/>
          <w:szCs w:val="24"/>
          <w:lang w:val="en-GB"/>
        </w:rPr>
        <w:t xml:space="preserve">administrative acts or decisions </w:t>
      </w:r>
      <w:r w:rsidR="004A2F4D" w:rsidRPr="00811277">
        <w:rPr>
          <w:rFonts w:ascii="Arial" w:eastAsia="Times New Roman" w:hAnsi="Arial" w:cs="Arial"/>
          <w:bCs/>
          <w:sz w:val="24"/>
          <w:szCs w:val="24"/>
          <w:lang w:val="en-GB"/>
        </w:rPr>
        <w:t xml:space="preserve">which </w:t>
      </w:r>
      <w:r w:rsidR="00F94371" w:rsidRPr="00811277">
        <w:rPr>
          <w:rFonts w:ascii="Arial" w:eastAsia="Times New Roman" w:hAnsi="Arial" w:cs="Arial"/>
          <w:bCs/>
          <w:sz w:val="24"/>
          <w:szCs w:val="24"/>
          <w:lang w:val="en-GB"/>
        </w:rPr>
        <w:t>w</w:t>
      </w:r>
      <w:r w:rsidR="00877834" w:rsidRPr="00811277">
        <w:rPr>
          <w:rFonts w:ascii="Arial" w:eastAsia="Times New Roman" w:hAnsi="Arial" w:cs="Arial"/>
          <w:bCs/>
          <w:sz w:val="24"/>
          <w:szCs w:val="24"/>
          <w:lang w:val="en-GB"/>
        </w:rPr>
        <w:t>ere</w:t>
      </w:r>
      <w:r w:rsidR="00F94371" w:rsidRPr="00811277">
        <w:rPr>
          <w:rFonts w:ascii="Arial" w:eastAsia="Times New Roman" w:hAnsi="Arial" w:cs="Arial"/>
          <w:bCs/>
          <w:sz w:val="24"/>
          <w:szCs w:val="24"/>
          <w:lang w:val="en-GB"/>
        </w:rPr>
        <w:t xml:space="preserve"> unlawful. Th</w:t>
      </w:r>
      <w:r w:rsidR="001F2738" w:rsidRPr="00811277">
        <w:rPr>
          <w:rFonts w:ascii="Arial" w:eastAsia="Times New Roman" w:hAnsi="Arial" w:cs="Arial"/>
          <w:bCs/>
          <w:sz w:val="24"/>
          <w:szCs w:val="24"/>
          <w:lang w:val="en-GB"/>
        </w:rPr>
        <w:t>us</w:t>
      </w:r>
      <w:r w:rsidR="004A2F4D" w:rsidRPr="00811277">
        <w:rPr>
          <w:rFonts w:ascii="Arial" w:eastAsia="Times New Roman" w:hAnsi="Arial" w:cs="Arial"/>
          <w:bCs/>
          <w:sz w:val="24"/>
          <w:szCs w:val="24"/>
          <w:lang w:val="en-GB"/>
        </w:rPr>
        <w:t>,</w:t>
      </w:r>
      <w:r w:rsidR="00F94371" w:rsidRPr="00811277">
        <w:rPr>
          <w:rFonts w:ascii="Arial" w:eastAsia="Times New Roman" w:hAnsi="Arial" w:cs="Arial"/>
          <w:bCs/>
          <w:sz w:val="24"/>
          <w:szCs w:val="24"/>
          <w:lang w:val="en-GB"/>
        </w:rPr>
        <w:t xml:space="preserve"> it was said</w:t>
      </w:r>
      <w:r w:rsidR="004A2F4D" w:rsidRPr="00811277">
        <w:rPr>
          <w:rFonts w:ascii="Arial" w:eastAsia="Times New Roman" w:hAnsi="Arial" w:cs="Arial"/>
          <w:bCs/>
          <w:sz w:val="24"/>
          <w:szCs w:val="24"/>
          <w:lang w:val="en-GB"/>
        </w:rPr>
        <w:t xml:space="preserve"> that</w:t>
      </w:r>
      <w:r w:rsidR="00F94371" w:rsidRPr="00811277">
        <w:rPr>
          <w:rFonts w:ascii="Arial" w:eastAsia="Times New Roman" w:hAnsi="Arial" w:cs="Arial"/>
          <w:bCs/>
          <w:sz w:val="24"/>
          <w:szCs w:val="24"/>
          <w:lang w:val="en-GB"/>
        </w:rPr>
        <w:t xml:space="preserve"> courts in </w:t>
      </w:r>
      <w:r w:rsidR="00AF132D" w:rsidRPr="00811277">
        <w:rPr>
          <w:rFonts w:ascii="Arial" w:eastAsia="Times New Roman" w:hAnsi="Arial" w:cs="Arial"/>
          <w:bCs/>
          <w:sz w:val="24"/>
          <w:szCs w:val="24"/>
          <w:lang w:val="en-GB"/>
        </w:rPr>
        <w:t>collateral challenge</w:t>
      </w:r>
      <w:r w:rsidR="00F94371" w:rsidRPr="00811277">
        <w:rPr>
          <w:rFonts w:ascii="Arial" w:eastAsia="Times New Roman" w:hAnsi="Arial" w:cs="Arial"/>
          <w:bCs/>
          <w:sz w:val="24"/>
          <w:szCs w:val="24"/>
          <w:lang w:val="en-GB"/>
        </w:rPr>
        <w:t xml:space="preserve"> matters did not have a </w:t>
      </w:r>
      <w:r w:rsidR="00877834" w:rsidRPr="00811277">
        <w:rPr>
          <w:rFonts w:ascii="Arial" w:eastAsia="Times New Roman" w:hAnsi="Arial" w:cs="Arial"/>
          <w:bCs/>
          <w:sz w:val="24"/>
          <w:szCs w:val="24"/>
          <w:lang w:val="en-GB"/>
        </w:rPr>
        <w:t>‘</w:t>
      </w:r>
      <w:r w:rsidR="00F94371" w:rsidRPr="00811277">
        <w:rPr>
          <w:rFonts w:ascii="Arial" w:eastAsia="Times New Roman" w:hAnsi="Arial" w:cs="Arial"/>
          <w:bCs/>
          <w:sz w:val="24"/>
          <w:szCs w:val="24"/>
          <w:lang w:val="en-GB"/>
        </w:rPr>
        <w:t>discretion</w:t>
      </w:r>
      <w:r w:rsidR="00877834" w:rsidRPr="00811277">
        <w:rPr>
          <w:rFonts w:ascii="Arial" w:eastAsia="Times New Roman" w:hAnsi="Arial" w:cs="Arial"/>
          <w:bCs/>
          <w:sz w:val="24"/>
          <w:szCs w:val="24"/>
          <w:lang w:val="en-GB"/>
        </w:rPr>
        <w:t>’</w:t>
      </w:r>
      <w:r w:rsidR="00F94371" w:rsidRPr="00811277">
        <w:rPr>
          <w:rFonts w:ascii="Arial" w:eastAsia="Times New Roman" w:hAnsi="Arial" w:cs="Arial"/>
          <w:bCs/>
          <w:sz w:val="24"/>
          <w:szCs w:val="24"/>
          <w:lang w:val="en-GB"/>
        </w:rPr>
        <w:t xml:space="preserve"> to allow or disallow the raising of </w:t>
      </w:r>
      <w:r w:rsidR="004A2F4D" w:rsidRPr="00811277">
        <w:rPr>
          <w:rFonts w:ascii="Arial" w:eastAsia="Times New Roman" w:hAnsi="Arial" w:cs="Arial"/>
          <w:bCs/>
          <w:sz w:val="24"/>
          <w:szCs w:val="24"/>
          <w:lang w:val="en-GB"/>
        </w:rPr>
        <w:t>such a challenge</w:t>
      </w:r>
      <w:r w:rsidR="00C04CD5" w:rsidRPr="00811277">
        <w:rPr>
          <w:rFonts w:ascii="Arial" w:eastAsia="Times New Roman" w:hAnsi="Arial" w:cs="Arial"/>
          <w:bCs/>
          <w:sz w:val="24"/>
          <w:szCs w:val="24"/>
          <w:lang w:val="en-GB"/>
        </w:rPr>
        <w:t>, as</w:t>
      </w:r>
      <w:r w:rsidR="00F94371" w:rsidRPr="00811277">
        <w:rPr>
          <w:rFonts w:ascii="Arial" w:eastAsia="Times New Roman" w:hAnsi="Arial" w:cs="Arial"/>
          <w:bCs/>
          <w:sz w:val="24"/>
          <w:szCs w:val="24"/>
          <w:lang w:val="en-GB"/>
        </w:rPr>
        <w:t xml:space="preserve"> </w:t>
      </w:r>
      <w:r w:rsidR="00877834" w:rsidRPr="00811277">
        <w:rPr>
          <w:rFonts w:ascii="Arial" w:eastAsia="Times New Roman" w:hAnsi="Arial" w:cs="Arial"/>
          <w:bCs/>
          <w:sz w:val="24"/>
          <w:szCs w:val="24"/>
          <w:lang w:val="en-GB"/>
        </w:rPr>
        <w:t>a</w:t>
      </w:r>
      <w:r w:rsidR="00D60331" w:rsidRPr="00811277">
        <w:rPr>
          <w:rFonts w:ascii="Arial" w:eastAsia="Times New Roman" w:hAnsi="Arial" w:cs="Arial"/>
          <w:bCs/>
          <w:sz w:val="24"/>
          <w:szCs w:val="24"/>
          <w:lang w:val="en-GB"/>
        </w:rPr>
        <w:t xml:space="preserve"> </w:t>
      </w:r>
      <w:r w:rsidR="004A2F4D" w:rsidRPr="00811277">
        <w:rPr>
          <w:rFonts w:ascii="Arial" w:eastAsia="Times New Roman" w:hAnsi="Arial" w:cs="Arial"/>
          <w:bCs/>
          <w:sz w:val="24"/>
          <w:szCs w:val="24"/>
          <w:lang w:val="en-GB"/>
        </w:rPr>
        <w:t>litigant’s</w:t>
      </w:r>
      <w:r w:rsidR="00F94371" w:rsidRPr="00811277">
        <w:rPr>
          <w:rFonts w:ascii="Arial" w:eastAsia="Times New Roman" w:hAnsi="Arial" w:cs="Arial"/>
          <w:bCs/>
          <w:sz w:val="24"/>
          <w:szCs w:val="24"/>
          <w:lang w:val="en-GB"/>
        </w:rPr>
        <w:t xml:space="preserve"> right to do so arose from the fact that the validity of the administrative act or decision </w:t>
      </w:r>
      <w:r w:rsidR="00D60331" w:rsidRPr="00811277">
        <w:rPr>
          <w:rFonts w:ascii="Arial" w:eastAsia="Times New Roman" w:hAnsi="Arial" w:cs="Arial"/>
          <w:bCs/>
          <w:sz w:val="24"/>
          <w:szCs w:val="24"/>
          <w:lang w:val="en-GB"/>
        </w:rPr>
        <w:t xml:space="preserve">in question </w:t>
      </w:r>
      <w:r w:rsidR="00F94371" w:rsidRPr="00811277">
        <w:rPr>
          <w:rFonts w:ascii="Arial" w:eastAsia="Times New Roman" w:hAnsi="Arial" w:cs="Arial"/>
          <w:bCs/>
          <w:sz w:val="24"/>
          <w:szCs w:val="24"/>
          <w:lang w:val="en-GB"/>
        </w:rPr>
        <w:t xml:space="preserve">constituted the </w:t>
      </w:r>
      <w:r w:rsidR="00D60331" w:rsidRPr="00811277">
        <w:rPr>
          <w:rFonts w:ascii="Arial" w:eastAsia="Times New Roman" w:hAnsi="Arial" w:cs="Arial"/>
          <w:bCs/>
          <w:sz w:val="24"/>
          <w:szCs w:val="24"/>
          <w:lang w:val="en-GB"/>
        </w:rPr>
        <w:t xml:space="preserve">basis and </w:t>
      </w:r>
      <w:r w:rsidR="00F94371" w:rsidRPr="00811277">
        <w:rPr>
          <w:rFonts w:ascii="Arial" w:eastAsia="Times New Roman" w:hAnsi="Arial" w:cs="Arial"/>
          <w:bCs/>
          <w:sz w:val="24"/>
          <w:szCs w:val="24"/>
          <w:lang w:val="en-GB"/>
        </w:rPr>
        <w:t xml:space="preserve">legal prerequisite for the validity and legal force of </w:t>
      </w:r>
      <w:r w:rsidR="004A2F4D" w:rsidRPr="00811277">
        <w:rPr>
          <w:rFonts w:ascii="Arial" w:eastAsia="Times New Roman" w:hAnsi="Arial" w:cs="Arial"/>
          <w:bCs/>
          <w:sz w:val="24"/>
          <w:szCs w:val="24"/>
          <w:lang w:val="en-GB"/>
        </w:rPr>
        <w:t xml:space="preserve">the </w:t>
      </w:r>
      <w:r w:rsidR="00F94371" w:rsidRPr="00811277">
        <w:rPr>
          <w:rFonts w:ascii="Arial" w:eastAsia="Times New Roman" w:hAnsi="Arial" w:cs="Arial"/>
          <w:bCs/>
          <w:sz w:val="24"/>
          <w:szCs w:val="24"/>
          <w:lang w:val="en-GB"/>
        </w:rPr>
        <w:t>enforcement action that followed</w:t>
      </w:r>
      <w:r w:rsidR="004A2F4D" w:rsidRPr="00811277">
        <w:rPr>
          <w:rFonts w:ascii="Arial" w:eastAsia="Times New Roman" w:hAnsi="Arial" w:cs="Arial"/>
          <w:bCs/>
          <w:sz w:val="24"/>
          <w:szCs w:val="24"/>
          <w:lang w:val="en-GB"/>
        </w:rPr>
        <w:t>,</w:t>
      </w:r>
      <w:r w:rsidR="00F94371">
        <w:rPr>
          <w:rStyle w:val="FootnoteReference"/>
          <w:rFonts w:ascii="Arial" w:eastAsia="Times New Roman" w:hAnsi="Arial" w:cs="Arial"/>
          <w:bCs/>
          <w:sz w:val="24"/>
          <w:szCs w:val="24"/>
          <w:lang w:val="en-GB"/>
        </w:rPr>
        <w:footnoteReference w:id="23"/>
      </w:r>
      <w:r w:rsidR="00F94371" w:rsidRPr="00811277">
        <w:rPr>
          <w:rFonts w:ascii="Arial" w:eastAsia="Times New Roman" w:hAnsi="Arial" w:cs="Arial"/>
          <w:bCs/>
          <w:sz w:val="24"/>
          <w:szCs w:val="24"/>
          <w:lang w:val="en-GB"/>
        </w:rPr>
        <w:t xml:space="preserve"> </w:t>
      </w:r>
      <w:r w:rsidR="00D60331" w:rsidRPr="00811277">
        <w:rPr>
          <w:rFonts w:ascii="Arial" w:eastAsia="Times New Roman" w:hAnsi="Arial" w:cs="Arial"/>
          <w:bCs/>
          <w:sz w:val="24"/>
          <w:szCs w:val="24"/>
          <w:lang w:val="en-GB"/>
        </w:rPr>
        <w:t xml:space="preserve">and </w:t>
      </w:r>
      <w:r w:rsidR="00F94371" w:rsidRPr="00811277">
        <w:rPr>
          <w:rFonts w:ascii="Arial" w:eastAsia="Times New Roman" w:hAnsi="Arial" w:cs="Arial"/>
          <w:bCs/>
          <w:sz w:val="24"/>
          <w:szCs w:val="24"/>
          <w:lang w:val="en-GB"/>
        </w:rPr>
        <w:t>even if the original decision may have been unlawful or formally invalid it could still produce</w:t>
      </w:r>
      <w:r w:rsidR="004A2F4D" w:rsidRPr="00811277">
        <w:rPr>
          <w:rFonts w:ascii="Arial" w:eastAsia="Times New Roman" w:hAnsi="Arial" w:cs="Arial"/>
          <w:bCs/>
          <w:sz w:val="24"/>
          <w:szCs w:val="24"/>
          <w:lang w:val="en-GB"/>
        </w:rPr>
        <w:t>,</w:t>
      </w:r>
      <w:r w:rsidR="00F94371" w:rsidRPr="00811277">
        <w:rPr>
          <w:rFonts w:ascii="Arial" w:eastAsia="Times New Roman" w:hAnsi="Arial" w:cs="Arial"/>
          <w:bCs/>
          <w:sz w:val="24"/>
          <w:szCs w:val="24"/>
          <w:lang w:val="en-GB"/>
        </w:rPr>
        <w:t xml:space="preserve"> or </w:t>
      </w:r>
      <w:r w:rsidR="004A2F4D" w:rsidRPr="00811277">
        <w:rPr>
          <w:rFonts w:ascii="Arial" w:eastAsia="Times New Roman" w:hAnsi="Arial" w:cs="Arial"/>
          <w:bCs/>
          <w:sz w:val="24"/>
          <w:szCs w:val="24"/>
          <w:lang w:val="en-GB"/>
        </w:rPr>
        <w:t>result in,</w:t>
      </w:r>
      <w:r w:rsidR="00F94371" w:rsidRPr="00811277">
        <w:rPr>
          <w:rFonts w:ascii="Arial" w:eastAsia="Times New Roman" w:hAnsi="Arial" w:cs="Arial"/>
          <w:bCs/>
          <w:sz w:val="24"/>
          <w:szCs w:val="24"/>
          <w:lang w:val="en-GB"/>
        </w:rPr>
        <w:t xml:space="preserve"> </w:t>
      </w:r>
      <w:r w:rsidR="004A2F4D" w:rsidRPr="00811277">
        <w:rPr>
          <w:rFonts w:ascii="Arial" w:eastAsia="Times New Roman" w:hAnsi="Arial" w:cs="Arial"/>
          <w:bCs/>
          <w:sz w:val="24"/>
          <w:szCs w:val="24"/>
          <w:lang w:val="en-GB"/>
        </w:rPr>
        <w:t>‘</w:t>
      </w:r>
      <w:r w:rsidR="00F94371" w:rsidRPr="00811277">
        <w:rPr>
          <w:rFonts w:ascii="Arial" w:eastAsia="Times New Roman" w:hAnsi="Arial" w:cs="Arial"/>
          <w:bCs/>
          <w:sz w:val="24"/>
          <w:szCs w:val="24"/>
          <w:lang w:val="en-GB"/>
        </w:rPr>
        <w:t>legally effective</w:t>
      </w:r>
      <w:r w:rsidR="004A2F4D" w:rsidRPr="00811277">
        <w:rPr>
          <w:rFonts w:ascii="Arial" w:eastAsia="Times New Roman" w:hAnsi="Arial" w:cs="Arial"/>
          <w:bCs/>
          <w:sz w:val="24"/>
          <w:szCs w:val="24"/>
          <w:lang w:val="en-GB"/>
        </w:rPr>
        <w:t>’</w:t>
      </w:r>
      <w:r w:rsidR="00F94371" w:rsidRPr="00811277">
        <w:rPr>
          <w:rFonts w:ascii="Arial" w:eastAsia="Times New Roman" w:hAnsi="Arial" w:cs="Arial"/>
          <w:bCs/>
          <w:sz w:val="24"/>
          <w:szCs w:val="24"/>
          <w:lang w:val="en-GB"/>
        </w:rPr>
        <w:t xml:space="preserve"> consequences.</w:t>
      </w:r>
    </w:p>
    <w:p w14:paraId="2A72CB32" w14:textId="12113CAF" w:rsidR="00F94371"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30.</w:t>
      </w:r>
      <w:r>
        <w:rPr>
          <w:rFonts w:ascii="Arial" w:eastAsia="Times New Roman" w:hAnsi="Arial" w:cs="Arial"/>
          <w:bCs/>
          <w:kern w:val="0"/>
          <w:sz w:val="24"/>
          <w:szCs w:val="24"/>
          <w:lang w:val="en-GB"/>
          <w14:ligatures w14:val="none"/>
        </w:rPr>
        <w:tab/>
      </w:r>
      <w:r w:rsidR="00F94371" w:rsidRPr="00811277">
        <w:rPr>
          <w:rFonts w:ascii="Arial" w:eastAsia="Times New Roman" w:hAnsi="Arial" w:cs="Arial"/>
          <w:bCs/>
          <w:sz w:val="24"/>
          <w:szCs w:val="24"/>
          <w:lang w:val="en-GB"/>
        </w:rPr>
        <w:t>Much has been said and written</w:t>
      </w:r>
      <w:r w:rsidR="00E60757" w:rsidRPr="00811277">
        <w:rPr>
          <w:rFonts w:ascii="Arial" w:eastAsia="Times New Roman" w:hAnsi="Arial" w:cs="Arial"/>
          <w:bCs/>
          <w:sz w:val="24"/>
          <w:szCs w:val="24"/>
          <w:lang w:val="en-GB"/>
        </w:rPr>
        <w:t xml:space="preserve">, </w:t>
      </w:r>
      <w:r w:rsidR="00964FB6" w:rsidRPr="00811277">
        <w:rPr>
          <w:rFonts w:ascii="Arial" w:eastAsia="Times New Roman" w:hAnsi="Arial" w:cs="Arial"/>
          <w:bCs/>
          <w:sz w:val="24"/>
          <w:szCs w:val="24"/>
          <w:lang w:val="en-GB"/>
        </w:rPr>
        <w:t xml:space="preserve">in </w:t>
      </w:r>
      <w:r w:rsidR="00F94371" w:rsidRPr="00811277">
        <w:rPr>
          <w:rFonts w:ascii="Arial" w:eastAsia="Times New Roman" w:hAnsi="Arial" w:cs="Arial"/>
          <w:bCs/>
          <w:sz w:val="24"/>
          <w:szCs w:val="24"/>
          <w:lang w:val="en-GB"/>
        </w:rPr>
        <w:t>academic</w:t>
      </w:r>
      <w:r w:rsidR="00964FB6" w:rsidRPr="00811277">
        <w:rPr>
          <w:rFonts w:ascii="Arial" w:eastAsia="Times New Roman" w:hAnsi="Arial" w:cs="Arial"/>
          <w:bCs/>
          <w:sz w:val="24"/>
          <w:szCs w:val="24"/>
          <w:lang w:val="en-GB"/>
        </w:rPr>
        <w:t xml:space="preserve"> </w:t>
      </w:r>
      <w:r w:rsidR="001968C1" w:rsidRPr="00811277">
        <w:rPr>
          <w:rFonts w:ascii="Arial" w:eastAsia="Times New Roman" w:hAnsi="Arial" w:cs="Arial"/>
          <w:bCs/>
          <w:sz w:val="24"/>
          <w:szCs w:val="24"/>
          <w:lang w:val="en-GB"/>
        </w:rPr>
        <w:t xml:space="preserve">works </w:t>
      </w:r>
      <w:r w:rsidR="00964FB6">
        <w:rPr>
          <w:rStyle w:val="FootnoteReference"/>
          <w:rFonts w:ascii="Arial" w:eastAsia="Times New Roman" w:hAnsi="Arial" w:cs="Arial"/>
          <w:bCs/>
          <w:sz w:val="24"/>
          <w:szCs w:val="24"/>
          <w:lang w:val="en-GB"/>
        </w:rPr>
        <w:footnoteReference w:id="24"/>
      </w:r>
      <w:r w:rsidR="00F94371" w:rsidRPr="00811277">
        <w:rPr>
          <w:rFonts w:ascii="Arial" w:eastAsia="Times New Roman" w:hAnsi="Arial" w:cs="Arial"/>
          <w:bCs/>
          <w:sz w:val="24"/>
          <w:szCs w:val="24"/>
          <w:lang w:val="en-GB"/>
        </w:rPr>
        <w:t xml:space="preserve"> and subsequent cases</w:t>
      </w:r>
      <w:r w:rsidR="00833CBA" w:rsidRPr="00811277">
        <w:rPr>
          <w:rFonts w:ascii="Arial" w:eastAsia="Times New Roman" w:hAnsi="Arial" w:cs="Arial"/>
          <w:bCs/>
          <w:sz w:val="24"/>
          <w:szCs w:val="24"/>
          <w:lang w:val="en-GB"/>
        </w:rPr>
        <w:t xml:space="preserve"> about the meaning and scope of the </w:t>
      </w:r>
      <w:r w:rsidR="00F64EDD" w:rsidRPr="00811277">
        <w:rPr>
          <w:rFonts w:ascii="Arial" w:eastAsia="Times New Roman" w:hAnsi="Arial" w:cs="Arial"/>
          <w:bCs/>
          <w:sz w:val="24"/>
          <w:szCs w:val="24"/>
          <w:lang w:val="en-GB"/>
        </w:rPr>
        <w:t xml:space="preserve">aforegoing </w:t>
      </w:r>
      <w:r w:rsidR="00833CBA" w:rsidRPr="00811277">
        <w:rPr>
          <w:rFonts w:ascii="Arial" w:eastAsia="Times New Roman" w:hAnsi="Arial" w:cs="Arial"/>
          <w:bCs/>
          <w:sz w:val="24"/>
          <w:szCs w:val="24"/>
          <w:lang w:val="en-GB"/>
        </w:rPr>
        <w:t>dicta pertaining to the consequences of legally invalid administrative decisions</w:t>
      </w:r>
      <w:r w:rsidR="00F94371" w:rsidRPr="00811277">
        <w:rPr>
          <w:rFonts w:ascii="Arial" w:eastAsia="Times New Roman" w:hAnsi="Arial" w:cs="Arial"/>
          <w:bCs/>
          <w:sz w:val="24"/>
          <w:szCs w:val="24"/>
          <w:lang w:val="en-GB"/>
        </w:rPr>
        <w:t>. For the purpose</w:t>
      </w:r>
      <w:r w:rsidR="00964FB6" w:rsidRPr="00811277">
        <w:rPr>
          <w:rFonts w:ascii="Arial" w:eastAsia="Times New Roman" w:hAnsi="Arial" w:cs="Arial"/>
          <w:bCs/>
          <w:sz w:val="24"/>
          <w:szCs w:val="24"/>
          <w:lang w:val="en-GB"/>
        </w:rPr>
        <w:t>s</w:t>
      </w:r>
      <w:r w:rsidR="00F94371" w:rsidRPr="00811277">
        <w:rPr>
          <w:rFonts w:ascii="Arial" w:eastAsia="Times New Roman" w:hAnsi="Arial" w:cs="Arial"/>
          <w:bCs/>
          <w:sz w:val="24"/>
          <w:szCs w:val="24"/>
          <w:lang w:val="en-GB"/>
        </w:rPr>
        <w:t xml:space="preserve"> of this judgment it is not necessary or relevant to traverse the debate that has ensued in this regard. This is because it was accepted by the parties that unless and until </w:t>
      </w:r>
      <w:r w:rsidR="00877834" w:rsidRPr="00811277">
        <w:rPr>
          <w:rFonts w:ascii="Arial" w:eastAsia="Times New Roman" w:hAnsi="Arial" w:cs="Arial"/>
          <w:bCs/>
          <w:sz w:val="24"/>
          <w:szCs w:val="24"/>
          <w:lang w:val="en-GB"/>
        </w:rPr>
        <w:t>a</w:t>
      </w:r>
      <w:r w:rsidR="00F94371" w:rsidRPr="00811277">
        <w:rPr>
          <w:rFonts w:ascii="Arial" w:eastAsia="Times New Roman" w:hAnsi="Arial" w:cs="Arial"/>
          <w:bCs/>
          <w:sz w:val="24"/>
          <w:szCs w:val="24"/>
          <w:lang w:val="en-GB"/>
        </w:rPr>
        <w:t xml:space="preserve"> </w:t>
      </w:r>
      <w:r w:rsidR="00D60331" w:rsidRPr="00811277">
        <w:rPr>
          <w:rFonts w:ascii="Arial" w:eastAsia="Times New Roman" w:hAnsi="Arial" w:cs="Arial"/>
          <w:bCs/>
          <w:sz w:val="24"/>
          <w:szCs w:val="24"/>
          <w:lang w:val="en-GB"/>
        </w:rPr>
        <w:t>C</w:t>
      </w:r>
      <w:r w:rsidR="00F94371" w:rsidRPr="00811277">
        <w:rPr>
          <w:rFonts w:ascii="Arial" w:eastAsia="Times New Roman" w:hAnsi="Arial" w:cs="Arial"/>
          <w:bCs/>
          <w:sz w:val="24"/>
          <w:szCs w:val="24"/>
          <w:lang w:val="en-GB"/>
        </w:rPr>
        <w:t>ourt declare</w:t>
      </w:r>
      <w:r w:rsidR="00C04CD5" w:rsidRPr="00811277">
        <w:rPr>
          <w:rFonts w:ascii="Arial" w:eastAsia="Times New Roman" w:hAnsi="Arial" w:cs="Arial"/>
          <w:bCs/>
          <w:sz w:val="24"/>
          <w:szCs w:val="24"/>
          <w:lang w:val="en-GB"/>
        </w:rPr>
        <w:t>d</w:t>
      </w:r>
      <w:r w:rsidR="00F94371" w:rsidRPr="00811277">
        <w:rPr>
          <w:rFonts w:ascii="Arial" w:eastAsia="Times New Roman" w:hAnsi="Arial" w:cs="Arial"/>
          <w:bCs/>
          <w:sz w:val="24"/>
          <w:szCs w:val="24"/>
          <w:lang w:val="en-GB"/>
        </w:rPr>
        <w:t xml:space="preserve"> that the </w:t>
      </w:r>
      <w:r w:rsidR="00D60331" w:rsidRPr="00811277">
        <w:rPr>
          <w:rFonts w:ascii="Arial" w:eastAsia="Times New Roman" w:hAnsi="Arial" w:cs="Arial"/>
          <w:bCs/>
          <w:sz w:val="24"/>
          <w:szCs w:val="24"/>
          <w:lang w:val="en-GB"/>
        </w:rPr>
        <w:t>R</w:t>
      </w:r>
      <w:r w:rsidR="00F94371" w:rsidRPr="00811277">
        <w:rPr>
          <w:rFonts w:ascii="Arial" w:eastAsia="Times New Roman" w:hAnsi="Arial" w:cs="Arial"/>
          <w:bCs/>
          <w:sz w:val="24"/>
          <w:szCs w:val="24"/>
          <w:lang w:val="en-GB"/>
        </w:rPr>
        <w:t xml:space="preserve">edisa plan, or the relevant components thereof which </w:t>
      </w:r>
      <w:r w:rsidR="00D60331" w:rsidRPr="00811277">
        <w:rPr>
          <w:rFonts w:ascii="Arial" w:eastAsia="Times New Roman" w:hAnsi="Arial" w:cs="Arial"/>
          <w:bCs/>
          <w:sz w:val="24"/>
          <w:szCs w:val="24"/>
          <w:lang w:val="en-GB"/>
        </w:rPr>
        <w:t>wer</w:t>
      </w:r>
      <w:r w:rsidR="00F94371" w:rsidRPr="00811277">
        <w:rPr>
          <w:rFonts w:ascii="Arial" w:eastAsia="Times New Roman" w:hAnsi="Arial" w:cs="Arial"/>
          <w:bCs/>
          <w:sz w:val="24"/>
          <w:szCs w:val="24"/>
          <w:lang w:val="en-GB"/>
        </w:rPr>
        <w:t xml:space="preserve">e in issue </w:t>
      </w:r>
      <w:r w:rsidR="001968C1" w:rsidRPr="00811277">
        <w:rPr>
          <w:rFonts w:ascii="Arial" w:eastAsia="Times New Roman" w:hAnsi="Arial" w:cs="Arial"/>
          <w:bCs/>
          <w:sz w:val="24"/>
          <w:szCs w:val="24"/>
          <w:lang w:val="en-GB"/>
        </w:rPr>
        <w:t>(</w:t>
      </w:r>
      <w:r w:rsidR="00F94371" w:rsidRPr="00811277">
        <w:rPr>
          <w:rFonts w:ascii="Arial" w:eastAsia="Times New Roman" w:hAnsi="Arial" w:cs="Arial"/>
          <w:bCs/>
          <w:sz w:val="24"/>
          <w:szCs w:val="24"/>
          <w:lang w:val="en-GB"/>
        </w:rPr>
        <w:t>i.e. th</w:t>
      </w:r>
      <w:r w:rsidR="00877834" w:rsidRPr="00811277">
        <w:rPr>
          <w:rFonts w:ascii="Arial" w:eastAsia="Times New Roman" w:hAnsi="Arial" w:cs="Arial"/>
          <w:bCs/>
          <w:sz w:val="24"/>
          <w:szCs w:val="24"/>
          <w:lang w:val="en-GB"/>
        </w:rPr>
        <w:t>ose which dealt with the</w:t>
      </w:r>
      <w:r w:rsidR="00F94371" w:rsidRPr="00811277">
        <w:rPr>
          <w:rFonts w:ascii="Arial" w:eastAsia="Times New Roman" w:hAnsi="Arial" w:cs="Arial"/>
          <w:bCs/>
          <w:sz w:val="24"/>
          <w:szCs w:val="24"/>
          <w:lang w:val="en-GB"/>
        </w:rPr>
        <w:t xml:space="preserve"> l</w:t>
      </w:r>
      <w:r w:rsidR="00D60331" w:rsidRPr="00811277">
        <w:rPr>
          <w:rFonts w:ascii="Arial" w:eastAsia="Times New Roman" w:hAnsi="Arial" w:cs="Arial"/>
          <w:bCs/>
          <w:sz w:val="24"/>
          <w:szCs w:val="24"/>
          <w:lang w:val="en-GB"/>
        </w:rPr>
        <w:t>evy</w:t>
      </w:r>
      <w:r w:rsidR="00F94371" w:rsidRPr="00811277">
        <w:rPr>
          <w:rFonts w:ascii="Arial" w:eastAsia="Times New Roman" w:hAnsi="Arial" w:cs="Arial"/>
          <w:bCs/>
          <w:sz w:val="24"/>
          <w:szCs w:val="24"/>
          <w:lang w:val="en-GB"/>
        </w:rPr>
        <w:t>ing of the waste tyre management fee</w:t>
      </w:r>
      <w:r w:rsidR="001968C1" w:rsidRPr="00811277">
        <w:rPr>
          <w:rFonts w:ascii="Arial" w:eastAsia="Times New Roman" w:hAnsi="Arial" w:cs="Arial"/>
          <w:bCs/>
          <w:sz w:val="24"/>
          <w:szCs w:val="24"/>
          <w:lang w:val="en-GB"/>
        </w:rPr>
        <w:t>),</w:t>
      </w:r>
      <w:r w:rsidR="00F94371" w:rsidRPr="00811277">
        <w:rPr>
          <w:rFonts w:ascii="Arial" w:eastAsia="Times New Roman" w:hAnsi="Arial" w:cs="Arial"/>
          <w:bCs/>
          <w:sz w:val="24"/>
          <w:szCs w:val="24"/>
          <w:lang w:val="en-GB"/>
        </w:rPr>
        <w:t xml:space="preserve"> were unlawful, the promulgation of the plan had certain consequences in fact, </w:t>
      </w:r>
      <w:r w:rsidR="00F94371" w:rsidRPr="00811277">
        <w:rPr>
          <w:rFonts w:ascii="Arial" w:eastAsia="Times New Roman" w:hAnsi="Arial" w:cs="Arial"/>
          <w:bCs/>
          <w:sz w:val="24"/>
          <w:szCs w:val="24"/>
          <w:lang w:val="en-GB"/>
        </w:rPr>
        <w:lastRenderedPageBreak/>
        <w:t xml:space="preserve">if not in law, one of which </w:t>
      </w:r>
      <w:r w:rsidR="00833CBA" w:rsidRPr="00811277">
        <w:rPr>
          <w:rFonts w:ascii="Arial" w:eastAsia="Times New Roman" w:hAnsi="Arial" w:cs="Arial"/>
          <w:bCs/>
          <w:sz w:val="24"/>
          <w:szCs w:val="24"/>
          <w:lang w:val="en-GB"/>
        </w:rPr>
        <w:t>being</w:t>
      </w:r>
      <w:r w:rsidR="00F94371" w:rsidRPr="00811277">
        <w:rPr>
          <w:rFonts w:ascii="Arial" w:eastAsia="Times New Roman" w:hAnsi="Arial" w:cs="Arial"/>
          <w:bCs/>
          <w:sz w:val="24"/>
          <w:szCs w:val="24"/>
          <w:lang w:val="en-GB"/>
        </w:rPr>
        <w:t xml:space="preserve"> that it gave rise to a right on the part of </w:t>
      </w:r>
      <w:r w:rsidR="00D60331" w:rsidRPr="00811277">
        <w:rPr>
          <w:rFonts w:ascii="Arial" w:eastAsia="Times New Roman" w:hAnsi="Arial" w:cs="Arial"/>
          <w:bCs/>
          <w:sz w:val="24"/>
          <w:szCs w:val="24"/>
          <w:lang w:val="en-GB"/>
        </w:rPr>
        <w:t>R</w:t>
      </w:r>
      <w:r w:rsidR="00F94371" w:rsidRPr="00811277">
        <w:rPr>
          <w:rFonts w:ascii="Arial" w:eastAsia="Times New Roman" w:hAnsi="Arial" w:cs="Arial"/>
          <w:bCs/>
          <w:sz w:val="24"/>
          <w:szCs w:val="24"/>
          <w:lang w:val="en-GB"/>
        </w:rPr>
        <w:t>edisa to claim payment of the amounts levied on the appellant.</w:t>
      </w:r>
    </w:p>
    <w:p w14:paraId="68097DB3" w14:textId="40BDAB76" w:rsidR="00F94371"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31.</w:t>
      </w:r>
      <w:r>
        <w:rPr>
          <w:rFonts w:ascii="Arial" w:eastAsia="Times New Roman" w:hAnsi="Arial" w:cs="Arial"/>
          <w:bCs/>
          <w:kern w:val="0"/>
          <w:sz w:val="24"/>
          <w:szCs w:val="24"/>
          <w:lang w:val="en-GB"/>
          <w14:ligatures w14:val="none"/>
        </w:rPr>
        <w:tab/>
      </w:r>
      <w:r w:rsidR="00F94371" w:rsidRPr="00811277">
        <w:rPr>
          <w:rFonts w:ascii="Arial" w:eastAsia="Times New Roman" w:hAnsi="Arial" w:cs="Arial"/>
          <w:bCs/>
          <w:sz w:val="24"/>
          <w:szCs w:val="24"/>
          <w:lang w:val="en-GB"/>
        </w:rPr>
        <w:t>The issue that requires determination in th</w:t>
      </w:r>
      <w:r w:rsidR="00877834" w:rsidRPr="00811277">
        <w:rPr>
          <w:rFonts w:ascii="Arial" w:eastAsia="Times New Roman" w:hAnsi="Arial" w:cs="Arial"/>
          <w:bCs/>
          <w:sz w:val="24"/>
          <w:szCs w:val="24"/>
          <w:lang w:val="en-GB"/>
        </w:rPr>
        <w:t>is</w:t>
      </w:r>
      <w:r w:rsidR="00F94371" w:rsidRPr="00811277">
        <w:rPr>
          <w:rFonts w:ascii="Arial" w:eastAsia="Times New Roman" w:hAnsi="Arial" w:cs="Arial"/>
          <w:bCs/>
          <w:sz w:val="24"/>
          <w:szCs w:val="24"/>
          <w:lang w:val="en-GB"/>
        </w:rPr>
        <w:t xml:space="preserve"> matter is whether the appellant’s </w:t>
      </w:r>
      <w:r w:rsidR="00F94371" w:rsidRPr="00811277">
        <w:rPr>
          <w:rFonts w:ascii="Arial" w:eastAsia="Times New Roman" w:hAnsi="Arial" w:cs="Arial"/>
          <w:bCs/>
          <w:i/>
          <w:iCs/>
          <w:sz w:val="24"/>
          <w:szCs w:val="24"/>
          <w:lang w:val="en-GB"/>
        </w:rPr>
        <w:t>delay</w:t>
      </w:r>
      <w:r w:rsidR="00F94371" w:rsidRPr="00811277">
        <w:rPr>
          <w:rFonts w:ascii="Arial" w:eastAsia="Times New Roman" w:hAnsi="Arial" w:cs="Arial"/>
          <w:bCs/>
          <w:sz w:val="24"/>
          <w:szCs w:val="24"/>
          <w:lang w:val="en-GB"/>
        </w:rPr>
        <w:t xml:space="preserve"> </w:t>
      </w:r>
      <w:r w:rsidR="00833CBA" w:rsidRPr="00811277">
        <w:rPr>
          <w:rFonts w:ascii="Arial" w:eastAsia="Times New Roman" w:hAnsi="Arial" w:cs="Arial"/>
          <w:bCs/>
          <w:sz w:val="24"/>
          <w:szCs w:val="24"/>
          <w:lang w:val="en-GB"/>
        </w:rPr>
        <w:t>(</w:t>
      </w:r>
      <w:r w:rsidR="00F94371" w:rsidRPr="00811277">
        <w:rPr>
          <w:rFonts w:ascii="Arial" w:eastAsia="Times New Roman" w:hAnsi="Arial" w:cs="Arial"/>
          <w:bCs/>
          <w:sz w:val="24"/>
          <w:szCs w:val="24"/>
          <w:lang w:val="en-GB"/>
        </w:rPr>
        <w:t>in challenging the lev</w:t>
      </w:r>
      <w:r w:rsidR="00397D7F" w:rsidRPr="00811277">
        <w:rPr>
          <w:rFonts w:ascii="Arial" w:eastAsia="Times New Roman" w:hAnsi="Arial" w:cs="Arial"/>
          <w:bCs/>
          <w:sz w:val="24"/>
          <w:szCs w:val="24"/>
          <w:lang w:val="en-GB"/>
        </w:rPr>
        <w:t>i</w:t>
      </w:r>
      <w:r w:rsidR="00F94371" w:rsidRPr="00811277">
        <w:rPr>
          <w:rFonts w:ascii="Arial" w:eastAsia="Times New Roman" w:hAnsi="Arial" w:cs="Arial"/>
          <w:bCs/>
          <w:sz w:val="24"/>
          <w:szCs w:val="24"/>
          <w:lang w:val="en-GB"/>
        </w:rPr>
        <w:t xml:space="preserve">es that were imposed and </w:t>
      </w:r>
      <w:r w:rsidR="00397D7F" w:rsidRPr="00811277">
        <w:rPr>
          <w:rFonts w:ascii="Arial" w:eastAsia="Times New Roman" w:hAnsi="Arial" w:cs="Arial"/>
          <w:bCs/>
          <w:sz w:val="24"/>
          <w:szCs w:val="24"/>
          <w:lang w:val="en-GB"/>
        </w:rPr>
        <w:t>R</w:t>
      </w:r>
      <w:r w:rsidR="00F94371" w:rsidRPr="00811277">
        <w:rPr>
          <w:rFonts w:ascii="Arial" w:eastAsia="Times New Roman" w:hAnsi="Arial" w:cs="Arial"/>
          <w:bCs/>
          <w:sz w:val="24"/>
          <w:szCs w:val="24"/>
          <w:lang w:val="en-GB"/>
        </w:rPr>
        <w:t>edisa’s right to claim payment thereof</w:t>
      </w:r>
      <w:r w:rsidR="00833CBA" w:rsidRPr="00811277">
        <w:rPr>
          <w:rFonts w:ascii="Arial" w:eastAsia="Times New Roman" w:hAnsi="Arial" w:cs="Arial"/>
          <w:bCs/>
          <w:sz w:val="24"/>
          <w:szCs w:val="24"/>
          <w:lang w:val="en-GB"/>
        </w:rPr>
        <w:t>)</w:t>
      </w:r>
      <w:r w:rsidR="00877834" w:rsidRPr="00811277">
        <w:rPr>
          <w:rFonts w:ascii="Arial" w:eastAsia="Times New Roman" w:hAnsi="Arial" w:cs="Arial"/>
          <w:bCs/>
          <w:sz w:val="24"/>
          <w:szCs w:val="24"/>
          <w:lang w:val="en-GB"/>
        </w:rPr>
        <w:t>,</w:t>
      </w:r>
      <w:r w:rsidR="00F94371" w:rsidRPr="00811277">
        <w:rPr>
          <w:rFonts w:ascii="Arial" w:eastAsia="Times New Roman" w:hAnsi="Arial" w:cs="Arial"/>
          <w:bCs/>
          <w:sz w:val="24"/>
          <w:szCs w:val="24"/>
          <w:lang w:val="en-GB"/>
        </w:rPr>
        <w:t xml:space="preserve"> should </w:t>
      </w:r>
      <w:r w:rsidR="00397D7F" w:rsidRPr="00811277">
        <w:rPr>
          <w:rFonts w:ascii="Arial" w:eastAsia="Times New Roman" w:hAnsi="Arial" w:cs="Arial"/>
          <w:bCs/>
          <w:sz w:val="24"/>
          <w:szCs w:val="24"/>
          <w:lang w:val="en-GB"/>
        </w:rPr>
        <w:t xml:space="preserve">have </w:t>
      </w:r>
      <w:r w:rsidR="00F94371" w:rsidRPr="00811277">
        <w:rPr>
          <w:rFonts w:ascii="Arial" w:eastAsia="Times New Roman" w:hAnsi="Arial" w:cs="Arial"/>
          <w:bCs/>
          <w:sz w:val="24"/>
          <w:szCs w:val="24"/>
          <w:lang w:val="en-GB"/>
        </w:rPr>
        <w:t>non</w:t>
      </w:r>
      <w:r w:rsidR="00397D7F" w:rsidRPr="00811277">
        <w:rPr>
          <w:rFonts w:ascii="Arial" w:eastAsia="Times New Roman" w:hAnsi="Arial" w:cs="Arial"/>
          <w:bCs/>
          <w:sz w:val="24"/>
          <w:szCs w:val="24"/>
          <w:lang w:val="en-GB"/>
        </w:rPr>
        <w:t>-</w:t>
      </w:r>
      <w:r w:rsidR="00F94371" w:rsidRPr="00811277">
        <w:rPr>
          <w:rFonts w:ascii="Arial" w:eastAsia="Times New Roman" w:hAnsi="Arial" w:cs="Arial"/>
          <w:bCs/>
          <w:sz w:val="24"/>
          <w:szCs w:val="24"/>
          <w:lang w:val="en-GB"/>
        </w:rPr>
        <w:t>suit</w:t>
      </w:r>
      <w:r w:rsidR="00397D7F" w:rsidRPr="00811277">
        <w:rPr>
          <w:rFonts w:ascii="Arial" w:eastAsia="Times New Roman" w:hAnsi="Arial" w:cs="Arial"/>
          <w:bCs/>
          <w:sz w:val="24"/>
          <w:szCs w:val="24"/>
          <w:lang w:val="en-GB"/>
        </w:rPr>
        <w:t>ed</w:t>
      </w:r>
      <w:r w:rsidR="00F94371" w:rsidRPr="00811277">
        <w:rPr>
          <w:rFonts w:ascii="Arial" w:eastAsia="Times New Roman" w:hAnsi="Arial" w:cs="Arial"/>
          <w:bCs/>
          <w:sz w:val="24"/>
          <w:szCs w:val="24"/>
          <w:lang w:val="en-GB"/>
        </w:rPr>
        <w:t xml:space="preserve"> it</w:t>
      </w:r>
      <w:r w:rsidR="00C04CD5" w:rsidRPr="00811277">
        <w:rPr>
          <w:rFonts w:ascii="Arial" w:eastAsia="Times New Roman" w:hAnsi="Arial" w:cs="Arial"/>
          <w:bCs/>
          <w:sz w:val="24"/>
          <w:szCs w:val="24"/>
          <w:lang w:val="en-GB"/>
        </w:rPr>
        <w:t xml:space="preserve">, as the Court a </w:t>
      </w:r>
      <w:r w:rsidR="00C04CD5" w:rsidRPr="00811277">
        <w:rPr>
          <w:rFonts w:ascii="Arial" w:eastAsia="Times New Roman" w:hAnsi="Arial" w:cs="Arial"/>
          <w:bCs/>
          <w:i/>
          <w:iCs/>
          <w:sz w:val="24"/>
          <w:szCs w:val="24"/>
          <w:lang w:val="en-GB"/>
        </w:rPr>
        <w:t>quo</w:t>
      </w:r>
      <w:r w:rsidR="00C04CD5" w:rsidRPr="00811277">
        <w:rPr>
          <w:rFonts w:ascii="Arial" w:eastAsia="Times New Roman" w:hAnsi="Arial" w:cs="Arial"/>
          <w:bCs/>
          <w:sz w:val="24"/>
          <w:szCs w:val="24"/>
          <w:lang w:val="en-GB"/>
        </w:rPr>
        <w:t xml:space="preserve"> held</w:t>
      </w:r>
      <w:r w:rsidR="00F94371" w:rsidRPr="00811277">
        <w:rPr>
          <w:rFonts w:ascii="Arial" w:eastAsia="Times New Roman" w:hAnsi="Arial" w:cs="Arial"/>
          <w:bCs/>
          <w:sz w:val="24"/>
          <w:szCs w:val="24"/>
          <w:lang w:val="en-GB"/>
        </w:rPr>
        <w:t xml:space="preserve">. This is an important distinction to remember when considering what was said in </w:t>
      </w:r>
      <w:r w:rsidR="00D60331" w:rsidRPr="00811277">
        <w:rPr>
          <w:rFonts w:ascii="Arial" w:eastAsia="Times New Roman" w:hAnsi="Arial" w:cs="Arial"/>
          <w:bCs/>
          <w:i/>
          <w:iCs/>
          <w:sz w:val="24"/>
          <w:szCs w:val="24"/>
          <w:lang w:val="en-GB"/>
        </w:rPr>
        <w:t>Merafong</w:t>
      </w:r>
      <w:r w:rsidR="00D60331" w:rsidRPr="00811277">
        <w:rPr>
          <w:rFonts w:ascii="Arial" w:eastAsia="Times New Roman" w:hAnsi="Arial" w:cs="Arial"/>
          <w:bCs/>
          <w:sz w:val="24"/>
          <w:szCs w:val="24"/>
          <w:lang w:val="en-GB"/>
        </w:rPr>
        <w:t xml:space="preserve">, </w:t>
      </w:r>
      <w:r w:rsidR="00F94371" w:rsidRPr="00811277">
        <w:rPr>
          <w:rFonts w:ascii="Arial" w:eastAsia="Times New Roman" w:hAnsi="Arial" w:cs="Arial"/>
          <w:bCs/>
          <w:sz w:val="24"/>
          <w:szCs w:val="24"/>
          <w:lang w:val="en-GB"/>
        </w:rPr>
        <w:t>because th</w:t>
      </w:r>
      <w:r w:rsidR="00877834" w:rsidRPr="00811277">
        <w:rPr>
          <w:rFonts w:ascii="Arial" w:eastAsia="Times New Roman" w:hAnsi="Arial" w:cs="Arial"/>
          <w:bCs/>
          <w:sz w:val="24"/>
          <w:szCs w:val="24"/>
          <w:lang w:val="en-GB"/>
        </w:rPr>
        <w:t>at</w:t>
      </w:r>
      <w:r w:rsidR="00F94371" w:rsidRPr="00811277">
        <w:rPr>
          <w:rFonts w:ascii="Arial" w:eastAsia="Times New Roman" w:hAnsi="Arial" w:cs="Arial"/>
          <w:bCs/>
          <w:sz w:val="24"/>
          <w:szCs w:val="24"/>
          <w:lang w:val="en-GB"/>
        </w:rPr>
        <w:t xml:space="preserve"> matter was not decided on the basis of the delay which had occurred between the time when the municipality had been overruled by the Minister in July 2015 and when the collateral challenge by it was raised, in proceedings in the High Court</w:t>
      </w:r>
      <w:r w:rsidR="00D60331" w:rsidRPr="00811277">
        <w:rPr>
          <w:rFonts w:ascii="Arial" w:eastAsia="Times New Roman" w:hAnsi="Arial" w:cs="Arial"/>
          <w:bCs/>
          <w:sz w:val="24"/>
          <w:szCs w:val="24"/>
          <w:lang w:val="en-GB"/>
        </w:rPr>
        <w:t>,</w:t>
      </w:r>
      <w:r w:rsidR="00F94371" w:rsidRPr="00811277">
        <w:rPr>
          <w:rFonts w:ascii="Arial" w:eastAsia="Times New Roman" w:hAnsi="Arial" w:cs="Arial"/>
          <w:bCs/>
          <w:sz w:val="24"/>
          <w:szCs w:val="24"/>
          <w:lang w:val="en-GB"/>
        </w:rPr>
        <w:t xml:space="preserve"> some 6 years later, when AngloGold sought an order compelling </w:t>
      </w:r>
      <w:r w:rsidR="00877834" w:rsidRPr="00811277">
        <w:rPr>
          <w:rFonts w:ascii="Arial" w:eastAsia="Times New Roman" w:hAnsi="Arial" w:cs="Arial"/>
          <w:bCs/>
          <w:sz w:val="24"/>
          <w:szCs w:val="24"/>
          <w:lang w:val="en-GB"/>
        </w:rPr>
        <w:t xml:space="preserve">the municipality </w:t>
      </w:r>
      <w:r w:rsidR="00F94371" w:rsidRPr="00811277">
        <w:rPr>
          <w:rFonts w:ascii="Arial" w:eastAsia="Times New Roman" w:hAnsi="Arial" w:cs="Arial"/>
          <w:bCs/>
          <w:sz w:val="24"/>
          <w:szCs w:val="24"/>
          <w:lang w:val="en-GB"/>
        </w:rPr>
        <w:t xml:space="preserve">to comply with the Minister’s ruling. </w:t>
      </w:r>
      <w:r w:rsidR="00833CBA" w:rsidRPr="00811277">
        <w:rPr>
          <w:rFonts w:ascii="Arial" w:eastAsia="Times New Roman" w:hAnsi="Arial" w:cs="Arial"/>
          <w:bCs/>
          <w:sz w:val="24"/>
          <w:szCs w:val="24"/>
          <w:lang w:val="en-GB"/>
        </w:rPr>
        <w:t>(</w:t>
      </w:r>
      <w:r w:rsidR="00F94371" w:rsidRPr="00811277">
        <w:rPr>
          <w:rFonts w:ascii="Arial" w:eastAsia="Times New Roman" w:hAnsi="Arial" w:cs="Arial"/>
          <w:bCs/>
          <w:sz w:val="24"/>
          <w:szCs w:val="24"/>
          <w:lang w:val="en-GB"/>
        </w:rPr>
        <w:t>I</w:t>
      </w:r>
      <w:r w:rsidR="00833CBA" w:rsidRPr="00811277">
        <w:rPr>
          <w:rFonts w:ascii="Arial" w:eastAsia="Times New Roman" w:hAnsi="Arial" w:cs="Arial"/>
          <w:bCs/>
          <w:sz w:val="24"/>
          <w:szCs w:val="24"/>
          <w:lang w:val="en-GB"/>
        </w:rPr>
        <w:t>n this regard i</w:t>
      </w:r>
      <w:r w:rsidR="00F94371" w:rsidRPr="00811277">
        <w:rPr>
          <w:rFonts w:ascii="Arial" w:eastAsia="Times New Roman" w:hAnsi="Arial" w:cs="Arial"/>
          <w:bCs/>
          <w:sz w:val="24"/>
          <w:szCs w:val="24"/>
          <w:lang w:val="en-GB"/>
        </w:rPr>
        <w:t xml:space="preserve">t should be </w:t>
      </w:r>
      <w:r w:rsidR="00833CBA" w:rsidRPr="00811277">
        <w:rPr>
          <w:rFonts w:ascii="Arial" w:eastAsia="Times New Roman" w:hAnsi="Arial" w:cs="Arial"/>
          <w:bCs/>
          <w:sz w:val="24"/>
          <w:szCs w:val="24"/>
          <w:lang w:val="en-GB"/>
        </w:rPr>
        <w:t>noted</w:t>
      </w:r>
      <w:r w:rsidR="00F94371" w:rsidRPr="00811277">
        <w:rPr>
          <w:rFonts w:ascii="Arial" w:eastAsia="Times New Roman" w:hAnsi="Arial" w:cs="Arial"/>
          <w:bCs/>
          <w:sz w:val="24"/>
          <w:szCs w:val="24"/>
          <w:lang w:val="en-GB"/>
        </w:rPr>
        <w:t xml:space="preserve"> that</w:t>
      </w:r>
      <w:r w:rsidR="00204E25" w:rsidRPr="00811277">
        <w:rPr>
          <w:rFonts w:ascii="Arial" w:eastAsia="Times New Roman" w:hAnsi="Arial" w:cs="Arial"/>
          <w:bCs/>
          <w:sz w:val="24"/>
          <w:szCs w:val="24"/>
          <w:lang w:val="en-GB"/>
        </w:rPr>
        <w:t xml:space="preserve"> </w:t>
      </w:r>
      <w:r w:rsidR="00D60331" w:rsidRPr="00811277">
        <w:rPr>
          <w:rFonts w:ascii="Arial" w:eastAsia="Times New Roman" w:hAnsi="Arial" w:cs="Arial"/>
          <w:bCs/>
          <w:sz w:val="24"/>
          <w:szCs w:val="24"/>
          <w:lang w:val="en-GB"/>
        </w:rPr>
        <w:t xml:space="preserve">until </w:t>
      </w:r>
      <w:r w:rsidR="00204E25" w:rsidRPr="00811277">
        <w:rPr>
          <w:rFonts w:ascii="Arial" w:eastAsia="Times New Roman" w:hAnsi="Arial" w:cs="Arial"/>
          <w:bCs/>
          <w:sz w:val="24"/>
          <w:szCs w:val="24"/>
          <w:lang w:val="en-GB"/>
        </w:rPr>
        <w:t>the application was brought by AngloGold it had continued to pay the surcharges imposed on it as the municipality had indicated that if it failed to do so it would discontinue the supply of water to it</w:t>
      </w:r>
      <w:r w:rsidR="00833CBA" w:rsidRPr="00811277">
        <w:rPr>
          <w:rFonts w:ascii="Arial" w:eastAsia="Times New Roman" w:hAnsi="Arial" w:cs="Arial"/>
          <w:bCs/>
          <w:sz w:val="24"/>
          <w:szCs w:val="24"/>
          <w:lang w:val="en-GB"/>
        </w:rPr>
        <w:t>)</w:t>
      </w:r>
      <w:r w:rsidR="00204E25" w:rsidRPr="00811277">
        <w:rPr>
          <w:rFonts w:ascii="Arial" w:eastAsia="Times New Roman" w:hAnsi="Arial" w:cs="Arial"/>
          <w:bCs/>
          <w:sz w:val="24"/>
          <w:szCs w:val="24"/>
          <w:lang w:val="en-GB"/>
        </w:rPr>
        <w:t>.</w:t>
      </w:r>
    </w:p>
    <w:p w14:paraId="3692105F" w14:textId="0E73E633" w:rsidR="008735EB"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32.</w:t>
      </w:r>
      <w:r>
        <w:rPr>
          <w:rFonts w:ascii="Arial" w:eastAsia="Times New Roman" w:hAnsi="Arial" w:cs="Arial"/>
          <w:bCs/>
          <w:kern w:val="0"/>
          <w:sz w:val="24"/>
          <w:szCs w:val="24"/>
          <w:lang w:val="en-GB"/>
          <w14:ligatures w14:val="none"/>
        </w:rPr>
        <w:tab/>
      </w:r>
      <w:r w:rsidR="00204E25" w:rsidRPr="00811277">
        <w:rPr>
          <w:rFonts w:ascii="Arial" w:eastAsia="Times New Roman" w:hAnsi="Arial" w:cs="Arial"/>
          <w:bCs/>
          <w:sz w:val="24"/>
          <w:szCs w:val="24"/>
          <w:lang w:val="en-GB"/>
        </w:rPr>
        <w:t xml:space="preserve">In his discussion of the legal position Cameron J referred to the decisions </w:t>
      </w:r>
      <w:r w:rsidR="00452B33" w:rsidRPr="00811277">
        <w:rPr>
          <w:rFonts w:ascii="Arial" w:eastAsia="Times New Roman" w:hAnsi="Arial" w:cs="Arial"/>
          <w:bCs/>
          <w:sz w:val="24"/>
          <w:szCs w:val="24"/>
          <w:lang w:val="en-GB"/>
        </w:rPr>
        <w:t xml:space="preserve">in </w:t>
      </w:r>
      <w:r w:rsidR="00452B33" w:rsidRPr="00811277">
        <w:rPr>
          <w:rFonts w:ascii="Arial" w:eastAsia="Times New Roman" w:hAnsi="Arial" w:cs="Arial"/>
          <w:bCs/>
          <w:i/>
          <w:iCs/>
          <w:sz w:val="24"/>
          <w:szCs w:val="24"/>
          <w:lang w:val="en-GB"/>
        </w:rPr>
        <w:t>Panasonic</w:t>
      </w:r>
      <w:r w:rsidR="00D60331" w:rsidRPr="00811277">
        <w:rPr>
          <w:rFonts w:ascii="Arial" w:eastAsia="Times New Roman" w:hAnsi="Arial" w:cs="Arial"/>
          <w:bCs/>
          <w:i/>
          <w:iCs/>
          <w:sz w:val="24"/>
          <w:szCs w:val="24"/>
          <w:lang w:val="en-GB"/>
        </w:rPr>
        <w:t>,</w:t>
      </w:r>
      <w:r w:rsidR="004963B5" w:rsidRPr="00F16694">
        <w:rPr>
          <w:rStyle w:val="FootnoteReference"/>
          <w:rFonts w:ascii="Arial" w:eastAsia="Times New Roman" w:hAnsi="Arial" w:cs="Arial"/>
          <w:bCs/>
          <w:sz w:val="24"/>
          <w:szCs w:val="24"/>
          <w:lang w:val="en-GB"/>
        </w:rPr>
        <w:footnoteReference w:id="25"/>
      </w:r>
      <w:r w:rsidR="00204E25" w:rsidRPr="00811277">
        <w:rPr>
          <w:rFonts w:ascii="Arial" w:eastAsia="Times New Roman" w:hAnsi="Arial" w:cs="Arial"/>
          <w:bCs/>
          <w:sz w:val="24"/>
          <w:szCs w:val="24"/>
          <w:lang w:val="en-GB"/>
        </w:rPr>
        <w:t xml:space="preserve">  </w:t>
      </w:r>
      <w:r w:rsidR="00204E25" w:rsidRPr="00811277">
        <w:rPr>
          <w:rFonts w:ascii="Arial" w:eastAsia="Times New Roman" w:hAnsi="Arial" w:cs="Arial"/>
          <w:bCs/>
          <w:i/>
          <w:iCs/>
          <w:sz w:val="24"/>
          <w:szCs w:val="24"/>
          <w:lang w:val="en-GB"/>
        </w:rPr>
        <w:t>Photocircuit</w:t>
      </w:r>
      <w:r w:rsidR="00F16694" w:rsidRPr="00811277">
        <w:rPr>
          <w:rFonts w:ascii="Arial" w:eastAsia="Times New Roman" w:hAnsi="Arial" w:cs="Arial"/>
          <w:bCs/>
          <w:i/>
          <w:iCs/>
          <w:sz w:val="24"/>
          <w:szCs w:val="24"/>
          <w:lang w:val="en-GB"/>
        </w:rPr>
        <w:t xml:space="preserve"> </w:t>
      </w:r>
      <w:r w:rsidR="00D60331" w:rsidRPr="00F16694">
        <w:rPr>
          <w:rStyle w:val="FootnoteReference"/>
          <w:rFonts w:ascii="Arial" w:eastAsia="Times New Roman" w:hAnsi="Arial" w:cs="Arial"/>
          <w:bCs/>
          <w:sz w:val="24"/>
          <w:szCs w:val="24"/>
          <w:lang w:val="en-GB"/>
        </w:rPr>
        <w:footnoteReference w:id="26"/>
      </w:r>
      <w:r w:rsidR="00204E25" w:rsidRPr="00811277">
        <w:rPr>
          <w:rFonts w:ascii="Arial" w:eastAsia="Times New Roman" w:hAnsi="Arial" w:cs="Arial"/>
          <w:bCs/>
          <w:sz w:val="24"/>
          <w:szCs w:val="24"/>
          <w:lang w:val="en-GB"/>
        </w:rPr>
        <w:t xml:space="preserve">  and  </w:t>
      </w:r>
      <w:r w:rsidR="00204E25" w:rsidRPr="00811277">
        <w:rPr>
          <w:rFonts w:ascii="Arial" w:eastAsia="Times New Roman" w:hAnsi="Arial" w:cs="Arial"/>
          <w:bCs/>
          <w:i/>
          <w:iCs/>
          <w:sz w:val="24"/>
          <w:szCs w:val="24"/>
          <w:lang w:val="en-GB"/>
        </w:rPr>
        <w:t>Oudekraal</w:t>
      </w:r>
      <w:r w:rsidR="00452B33" w:rsidRPr="00811277">
        <w:rPr>
          <w:rFonts w:ascii="Arial" w:eastAsia="Times New Roman" w:hAnsi="Arial" w:cs="Arial"/>
          <w:bCs/>
          <w:i/>
          <w:iCs/>
          <w:sz w:val="24"/>
          <w:szCs w:val="24"/>
          <w:lang w:val="en-GB"/>
        </w:rPr>
        <w:t xml:space="preserve"> </w:t>
      </w:r>
      <w:r w:rsidR="00351AEA" w:rsidRPr="00F16694">
        <w:rPr>
          <w:rStyle w:val="FootnoteReference"/>
          <w:rFonts w:ascii="Arial" w:eastAsia="Times New Roman" w:hAnsi="Arial" w:cs="Arial"/>
          <w:bCs/>
          <w:sz w:val="24"/>
          <w:szCs w:val="24"/>
          <w:lang w:val="en-GB"/>
        </w:rPr>
        <w:footnoteReference w:id="27"/>
      </w:r>
      <w:r w:rsidR="00204E25" w:rsidRPr="00811277">
        <w:rPr>
          <w:rFonts w:ascii="Arial" w:eastAsia="Times New Roman" w:hAnsi="Arial" w:cs="Arial"/>
          <w:bCs/>
          <w:sz w:val="24"/>
          <w:szCs w:val="24"/>
          <w:lang w:val="en-GB"/>
        </w:rPr>
        <w:t xml:space="preserve"> </w:t>
      </w:r>
      <w:r w:rsidR="00452B33" w:rsidRPr="00811277">
        <w:rPr>
          <w:rFonts w:ascii="Arial" w:eastAsia="Times New Roman" w:hAnsi="Arial" w:cs="Arial"/>
          <w:bCs/>
          <w:sz w:val="24"/>
          <w:szCs w:val="24"/>
          <w:lang w:val="en-GB"/>
        </w:rPr>
        <w:t xml:space="preserve">all of which originated from, or were decided by, this Court. </w:t>
      </w:r>
      <w:r w:rsidR="00EF1EFE" w:rsidRPr="00811277">
        <w:rPr>
          <w:rFonts w:ascii="Arial" w:eastAsia="Times New Roman" w:hAnsi="Arial" w:cs="Arial"/>
          <w:bCs/>
          <w:sz w:val="24"/>
          <w:szCs w:val="24"/>
          <w:lang w:val="en-GB"/>
        </w:rPr>
        <w:t>To</w:t>
      </w:r>
      <w:r w:rsidR="00397D7F" w:rsidRPr="00811277">
        <w:rPr>
          <w:rFonts w:ascii="Arial" w:eastAsia="Times New Roman" w:hAnsi="Arial" w:cs="Arial"/>
          <w:bCs/>
          <w:sz w:val="24"/>
          <w:szCs w:val="24"/>
          <w:lang w:val="en-GB"/>
        </w:rPr>
        <w:t xml:space="preserve"> properly understand and </w:t>
      </w:r>
      <w:r w:rsidR="00146C43" w:rsidRPr="00811277">
        <w:rPr>
          <w:rFonts w:ascii="Arial" w:eastAsia="Times New Roman" w:hAnsi="Arial" w:cs="Arial"/>
          <w:bCs/>
          <w:sz w:val="24"/>
          <w:szCs w:val="24"/>
          <w:lang w:val="en-GB"/>
        </w:rPr>
        <w:t>contextualize</w:t>
      </w:r>
      <w:r w:rsidR="00397D7F" w:rsidRPr="00811277">
        <w:rPr>
          <w:rFonts w:ascii="Arial" w:eastAsia="Times New Roman" w:hAnsi="Arial" w:cs="Arial"/>
          <w:bCs/>
          <w:sz w:val="24"/>
          <w:szCs w:val="24"/>
          <w:lang w:val="en-GB"/>
        </w:rPr>
        <w:t xml:space="preserve"> the remarks he made, on which the parties both rely for their competing contentions, it is necessary to </w:t>
      </w:r>
      <w:r w:rsidR="00F16694" w:rsidRPr="00811277">
        <w:rPr>
          <w:rFonts w:ascii="Arial" w:eastAsia="Times New Roman" w:hAnsi="Arial" w:cs="Arial"/>
          <w:bCs/>
          <w:sz w:val="24"/>
          <w:szCs w:val="24"/>
          <w:lang w:val="en-GB"/>
        </w:rPr>
        <w:t xml:space="preserve">briefly </w:t>
      </w:r>
      <w:r w:rsidR="00397D7F" w:rsidRPr="00811277">
        <w:rPr>
          <w:rFonts w:ascii="Arial" w:eastAsia="Times New Roman" w:hAnsi="Arial" w:cs="Arial"/>
          <w:bCs/>
          <w:sz w:val="24"/>
          <w:szCs w:val="24"/>
          <w:lang w:val="en-GB"/>
        </w:rPr>
        <w:t xml:space="preserve">detail what occurred in these </w:t>
      </w:r>
      <w:r w:rsidR="00F16694" w:rsidRPr="00811277">
        <w:rPr>
          <w:rFonts w:ascii="Arial" w:eastAsia="Times New Roman" w:hAnsi="Arial" w:cs="Arial"/>
          <w:bCs/>
          <w:sz w:val="24"/>
          <w:szCs w:val="24"/>
          <w:lang w:val="en-GB"/>
        </w:rPr>
        <w:t>matters</w:t>
      </w:r>
      <w:r w:rsidR="00397D7F" w:rsidRPr="00811277">
        <w:rPr>
          <w:rFonts w:ascii="Arial" w:eastAsia="Times New Roman" w:hAnsi="Arial" w:cs="Arial"/>
          <w:bCs/>
          <w:sz w:val="24"/>
          <w:szCs w:val="24"/>
          <w:lang w:val="en-GB"/>
        </w:rPr>
        <w:t xml:space="preserve">. </w:t>
      </w:r>
    </w:p>
    <w:p w14:paraId="553D5FC8" w14:textId="5A2CB6EE" w:rsidR="00397D7F" w:rsidRPr="00811277" w:rsidRDefault="00811277" w:rsidP="00811277">
      <w:pPr>
        <w:spacing w:line="360" w:lineRule="auto"/>
        <w:ind w:left="720" w:hanging="720"/>
        <w:jc w:val="both"/>
        <w:rPr>
          <w:rFonts w:ascii="Arial" w:eastAsia="Times New Roman" w:hAnsi="Arial" w:cs="Arial"/>
          <w:bCs/>
          <w:sz w:val="24"/>
          <w:szCs w:val="24"/>
          <w:lang w:val="en-GB"/>
        </w:rPr>
      </w:pPr>
      <w:r w:rsidRPr="008735EB">
        <w:rPr>
          <w:rFonts w:ascii="Arial" w:eastAsia="Times New Roman" w:hAnsi="Arial" w:cs="Arial"/>
          <w:bCs/>
          <w:kern w:val="0"/>
          <w:sz w:val="24"/>
          <w:szCs w:val="24"/>
          <w:lang w:val="en-GB"/>
          <w14:ligatures w14:val="none"/>
        </w:rPr>
        <w:t>33.</w:t>
      </w:r>
      <w:r w:rsidRPr="008735EB">
        <w:rPr>
          <w:rFonts w:ascii="Arial" w:eastAsia="Times New Roman" w:hAnsi="Arial" w:cs="Arial"/>
          <w:bCs/>
          <w:kern w:val="0"/>
          <w:sz w:val="24"/>
          <w:szCs w:val="24"/>
          <w:lang w:val="en-GB"/>
          <w14:ligatures w14:val="none"/>
        </w:rPr>
        <w:tab/>
      </w:r>
      <w:r w:rsidR="00397D7F" w:rsidRPr="00811277">
        <w:rPr>
          <w:rFonts w:ascii="Arial" w:eastAsia="Times New Roman" w:hAnsi="Arial" w:cs="Arial"/>
          <w:bCs/>
          <w:sz w:val="24"/>
          <w:szCs w:val="24"/>
          <w:lang w:val="en-GB"/>
        </w:rPr>
        <w:t xml:space="preserve">In </w:t>
      </w:r>
      <w:r w:rsidR="00397D7F" w:rsidRPr="00811277">
        <w:rPr>
          <w:rFonts w:ascii="Arial" w:eastAsia="Times New Roman" w:hAnsi="Arial" w:cs="Arial"/>
          <w:bCs/>
          <w:i/>
          <w:iCs/>
          <w:sz w:val="24"/>
          <w:szCs w:val="24"/>
          <w:lang w:val="en-GB"/>
        </w:rPr>
        <w:t>Panasonic</w:t>
      </w:r>
      <w:r w:rsidR="00F16694" w:rsidRPr="00811277">
        <w:rPr>
          <w:rFonts w:ascii="Arial" w:eastAsia="Times New Roman" w:hAnsi="Arial" w:cs="Arial"/>
          <w:bCs/>
          <w:i/>
          <w:iCs/>
          <w:sz w:val="24"/>
          <w:szCs w:val="24"/>
          <w:lang w:val="en-GB"/>
        </w:rPr>
        <w:t>,</w:t>
      </w:r>
      <w:r w:rsidR="00397D7F" w:rsidRPr="00811277">
        <w:rPr>
          <w:rFonts w:ascii="Arial" w:eastAsia="Times New Roman" w:hAnsi="Arial" w:cs="Arial"/>
          <w:bCs/>
          <w:i/>
          <w:iCs/>
          <w:sz w:val="24"/>
          <w:szCs w:val="24"/>
          <w:lang w:val="en-GB"/>
        </w:rPr>
        <w:t xml:space="preserve"> </w:t>
      </w:r>
      <w:r w:rsidR="00397D7F" w:rsidRPr="00811277">
        <w:rPr>
          <w:rFonts w:ascii="Arial" w:eastAsia="Times New Roman" w:hAnsi="Arial" w:cs="Arial"/>
          <w:bCs/>
          <w:sz w:val="24"/>
          <w:szCs w:val="24"/>
          <w:lang w:val="en-GB"/>
        </w:rPr>
        <w:t>which was decided in 1991</w:t>
      </w:r>
      <w:r w:rsidR="00F16694" w:rsidRPr="00811277">
        <w:rPr>
          <w:rFonts w:ascii="Arial" w:eastAsia="Times New Roman" w:hAnsi="Arial" w:cs="Arial"/>
          <w:bCs/>
          <w:sz w:val="24"/>
          <w:szCs w:val="24"/>
          <w:lang w:val="en-GB"/>
        </w:rPr>
        <w:t>,</w:t>
      </w:r>
      <w:r w:rsidR="00397D7F" w:rsidRPr="00811277">
        <w:rPr>
          <w:rFonts w:ascii="Arial" w:eastAsia="Times New Roman" w:hAnsi="Arial" w:cs="Arial"/>
          <w:bCs/>
          <w:sz w:val="24"/>
          <w:szCs w:val="24"/>
          <w:lang w:val="en-GB"/>
        </w:rPr>
        <w:t xml:space="preserve"> a trade union sought a declarator that the continued lock</w:t>
      </w:r>
      <w:r w:rsidR="00F16694" w:rsidRPr="00811277">
        <w:rPr>
          <w:rFonts w:ascii="Arial" w:eastAsia="Times New Roman" w:hAnsi="Arial" w:cs="Arial"/>
          <w:bCs/>
          <w:sz w:val="24"/>
          <w:szCs w:val="24"/>
          <w:lang w:val="en-GB"/>
        </w:rPr>
        <w:t>-</w:t>
      </w:r>
      <w:r w:rsidR="00397D7F" w:rsidRPr="00811277">
        <w:rPr>
          <w:rFonts w:ascii="Arial" w:eastAsia="Times New Roman" w:hAnsi="Arial" w:cs="Arial"/>
          <w:bCs/>
          <w:sz w:val="24"/>
          <w:szCs w:val="24"/>
          <w:lang w:val="en-GB"/>
        </w:rPr>
        <w:t xml:space="preserve">out of its workers by the respondent company was unlawful, on the </w:t>
      </w:r>
      <w:r w:rsidR="00452B33" w:rsidRPr="00811277">
        <w:rPr>
          <w:rFonts w:ascii="Arial" w:eastAsia="Times New Roman" w:hAnsi="Arial" w:cs="Arial"/>
          <w:bCs/>
          <w:sz w:val="24"/>
          <w:szCs w:val="24"/>
          <w:lang w:val="en-GB"/>
        </w:rPr>
        <w:t>grounds</w:t>
      </w:r>
      <w:r w:rsidR="00397D7F" w:rsidRPr="00811277">
        <w:rPr>
          <w:rFonts w:ascii="Arial" w:eastAsia="Times New Roman" w:hAnsi="Arial" w:cs="Arial"/>
          <w:bCs/>
          <w:sz w:val="24"/>
          <w:szCs w:val="24"/>
          <w:lang w:val="en-GB"/>
        </w:rPr>
        <w:t xml:space="preserve"> that the preceding notification which </w:t>
      </w:r>
      <w:r w:rsidR="00F16694" w:rsidRPr="00811277">
        <w:rPr>
          <w:rFonts w:ascii="Arial" w:eastAsia="Times New Roman" w:hAnsi="Arial" w:cs="Arial"/>
          <w:bCs/>
          <w:sz w:val="24"/>
          <w:szCs w:val="24"/>
          <w:lang w:val="en-GB"/>
        </w:rPr>
        <w:t xml:space="preserve">it </w:t>
      </w:r>
      <w:r w:rsidR="00397D7F" w:rsidRPr="00811277">
        <w:rPr>
          <w:rFonts w:ascii="Arial" w:eastAsia="Times New Roman" w:hAnsi="Arial" w:cs="Arial"/>
          <w:bCs/>
          <w:sz w:val="24"/>
          <w:szCs w:val="24"/>
          <w:lang w:val="en-GB"/>
        </w:rPr>
        <w:t xml:space="preserve">had given of a deadlock in negotiations and its referral of </w:t>
      </w:r>
      <w:r w:rsidR="00F16694" w:rsidRPr="00811277">
        <w:rPr>
          <w:rFonts w:ascii="Arial" w:eastAsia="Times New Roman" w:hAnsi="Arial" w:cs="Arial"/>
          <w:bCs/>
          <w:sz w:val="24"/>
          <w:szCs w:val="24"/>
          <w:lang w:val="en-GB"/>
        </w:rPr>
        <w:t xml:space="preserve">a </w:t>
      </w:r>
      <w:r w:rsidR="00397D7F" w:rsidRPr="00811277">
        <w:rPr>
          <w:rFonts w:ascii="Arial" w:eastAsia="Times New Roman" w:hAnsi="Arial" w:cs="Arial"/>
          <w:bCs/>
          <w:sz w:val="24"/>
          <w:szCs w:val="24"/>
          <w:lang w:val="en-GB"/>
        </w:rPr>
        <w:t xml:space="preserve">dispute to conciliation by the then </w:t>
      </w:r>
      <w:r w:rsidR="00F16694" w:rsidRPr="00811277">
        <w:rPr>
          <w:rFonts w:ascii="Arial" w:eastAsia="Times New Roman" w:hAnsi="Arial" w:cs="Arial"/>
          <w:bCs/>
          <w:sz w:val="24"/>
          <w:szCs w:val="24"/>
          <w:lang w:val="en-GB"/>
        </w:rPr>
        <w:t>I</w:t>
      </w:r>
      <w:r w:rsidR="00397D7F" w:rsidRPr="00811277">
        <w:rPr>
          <w:rFonts w:ascii="Arial" w:eastAsia="Times New Roman" w:hAnsi="Arial" w:cs="Arial"/>
          <w:bCs/>
          <w:sz w:val="24"/>
          <w:szCs w:val="24"/>
          <w:lang w:val="en-GB"/>
        </w:rPr>
        <w:t xml:space="preserve">ndustrial </w:t>
      </w:r>
      <w:r w:rsidR="00F16694" w:rsidRPr="00811277">
        <w:rPr>
          <w:rFonts w:ascii="Arial" w:eastAsia="Times New Roman" w:hAnsi="Arial" w:cs="Arial"/>
          <w:bCs/>
          <w:sz w:val="24"/>
          <w:szCs w:val="24"/>
          <w:lang w:val="en-GB"/>
        </w:rPr>
        <w:t>C</w:t>
      </w:r>
      <w:r w:rsidR="00397D7F" w:rsidRPr="00811277">
        <w:rPr>
          <w:rFonts w:ascii="Arial" w:eastAsia="Times New Roman" w:hAnsi="Arial" w:cs="Arial"/>
          <w:bCs/>
          <w:sz w:val="24"/>
          <w:szCs w:val="24"/>
          <w:lang w:val="en-GB"/>
        </w:rPr>
        <w:t>oun</w:t>
      </w:r>
      <w:r w:rsidR="00F16694" w:rsidRPr="00811277">
        <w:rPr>
          <w:rFonts w:ascii="Arial" w:eastAsia="Times New Roman" w:hAnsi="Arial" w:cs="Arial"/>
          <w:bCs/>
          <w:sz w:val="24"/>
          <w:szCs w:val="24"/>
          <w:lang w:val="en-GB"/>
        </w:rPr>
        <w:t>cil for the sector</w:t>
      </w:r>
      <w:r w:rsidR="00397D7F" w:rsidRPr="00811277">
        <w:rPr>
          <w:rFonts w:ascii="Arial" w:eastAsia="Times New Roman" w:hAnsi="Arial" w:cs="Arial"/>
          <w:bCs/>
          <w:sz w:val="24"/>
          <w:szCs w:val="24"/>
          <w:lang w:val="en-GB"/>
        </w:rPr>
        <w:t xml:space="preserve">, </w:t>
      </w:r>
      <w:r w:rsidR="00EF1EFE" w:rsidRPr="00811277">
        <w:rPr>
          <w:rFonts w:ascii="Arial" w:eastAsia="Times New Roman" w:hAnsi="Arial" w:cs="Arial"/>
          <w:bCs/>
          <w:sz w:val="24"/>
          <w:szCs w:val="24"/>
          <w:lang w:val="en-GB"/>
        </w:rPr>
        <w:t>was</w:t>
      </w:r>
      <w:r w:rsidR="00397D7F" w:rsidRPr="00811277">
        <w:rPr>
          <w:rFonts w:ascii="Arial" w:eastAsia="Times New Roman" w:hAnsi="Arial" w:cs="Arial"/>
          <w:bCs/>
          <w:sz w:val="24"/>
          <w:szCs w:val="24"/>
          <w:lang w:val="en-GB"/>
        </w:rPr>
        <w:t xml:space="preserve"> invalid. </w:t>
      </w:r>
      <w:r w:rsidR="0057004E" w:rsidRPr="00811277">
        <w:rPr>
          <w:rFonts w:ascii="Arial" w:eastAsia="Times New Roman" w:hAnsi="Arial" w:cs="Arial"/>
          <w:bCs/>
          <w:sz w:val="24"/>
          <w:szCs w:val="24"/>
          <w:lang w:val="en-GB"/>
        </w:rPr>
        <w:t>Conradie J</w:t>
      </w:r>
      <w:r w:rsidR="00397D7F" w:rsidRPr="00811277">
        <w:rPr>
          <w:rFonts w:ascii="Arial" w:eastAsia="Times New Roman" w:hAnsi="Arial" w:cs="Arial"/>
          <w:bCs/>
          <w:sz w:val="24"/>
          <w:szCs w:val="24"/>
          <w:lang w:val="en-GB"/>
        </w:rPr>
        <w:t xml:space="preserve"> considered the challenge to be a </w:t>
      </w:r>
      <w:r w:rsidR="00397D7F" w:rsidRPr="00811277">
        <w:rPr>
          <w:rFonts w:ascii="Arial" w:eastAsia="Times New Roman" w:hAnsi="Arial" w:cs="Arial"/>
          <w:bCs/>
          <w:sz w:val="24"/>
          <w:szCs w:val="24"/>
          <w:lang w:val="en-GB"/>
        </w:rPr>
        <w:lastRenderedPageBreak/>
        <w:t xml:space="preserve">collateral one which </w:t>
      </w:r>
      <w:r w:rsidR="00B35225" w:rsidRPr="00811277">
        <w:rPr>
          <w:rFonts w:ascii="Arial" w:eastAsia="Times New Roman" w:hAnsi="Arial" w:cs="Arial"/>
          <w:bCs/>
          <w:sz w:val="24"/>
          <w:szCs w:val="24"/>
          <w:lang w:val="en-GB"/>
        </w:rPr>
        <w:t>(</w:t>
      </w:r>
      <w:r w:rsidR="00397D7F" w:rsidRPr="00811277">
        <w:rPr>
          <w:rFonts w:ascii="Arial" w:eastAsia="Times New Roman" w:hAnsi="Arial" w:cs="Arial"/>
          <w:bCs/>
          <w:sz w:val="24"/>
          <w:szCs w:val="24"/>
          <w:lang w:val="en-GB"/>
        </w:rPr>
        <w:t>in the words of the English author Wade</w:t>
      </w:r>
      <w:r w:rsidR="00397D7F">
        <w:rPr>
          <w:rStyle w:val="FootnoteReference"/>
          <w:rFonts w:ascii="Arial" w:eastAsia="Times New Roman" w:hAnsi="Arial" w:cs="Arial"/>
          <w:bCs/>
          <w:sz w:val="24"/>
          <w:szCs w:val="24"/>
          <w:lang w:val="en-GB"/>
        </w:rPr>
        <w:footnoteReference w:id="28"/>
      </w:r>
      <w:r w:rsidR="00B35225" w:rsidRPr="00811277">
        <w:rPr>
          <w:rFonts w:ascii="Arial" w:eastAsia="Times New Roman" w:hAnsi="Arial" w:cs="Arial"/>
          <w:bCs/>
          <w:sz w:val="24"/>
          <w:szCs w:val="24"/>
          <w:lang w:val="en-GB"/>
        </w:rPr>
        <w:t>)</w:t>
      </w:r>
      <w:r w:rsidR="00397D7F" w:rsidRPr="00811277">
        <w:rPr>
          <w:rFonts w:ascii="Arial" w:eastAsia="Times New Roman" w:hAnsi="Arial" w:cs="Arial"/>
          <w:bCs/>
          <w:sz w:val="24"/>
          <w:szCs w:val="24"/>
          <w:lang w:val="en-GB"/>
        </w:rPr>
        <w:t xml:space="preserve"> had not been brought by the </w:t>
      </w:r>
      <w:r w:rsidR="00F16694" w:rsidRPr="00811277">
        <w:rPr>
          <w:rFonts w:ascii="Arial" w:eastAsia="Times New Roman" w:hAnsi="Arial" w:cs="Arial"/>
          <w:bCs/>
          <w:sz w:val="24"/>
          <w:szCs w:val="24"/>
          <w:lang w:val="en-GB"/>
        </w:rPr>
        <w:t>‘</w:t>
      </w:r>
      <w:r w:rsidR="00397D7F" w:rsidRPr="00811277">
        <w:rPr>
          <w:rFonts w:ascii="Arial" w:eastAsia="Times New Roman" w:hAnsi="Arial" w:cs="Arial"/>
          <w:bCs/>
          <w:sz w:val="24"/>
          <w:szCs w:val="24"/>
          <w:lang w:val="en-GB"/>
        </w:rPr>
        <w:t>right person at the right time</w:t>
      </w:r>
      <w:r w:rsidR="00F16694" w:rsidRPr="00811277">
        <w:rPr>
          <w:rFonts w:ascii="Arial" w:eastAsia="Times New Roman" w:hAnsi="Arial" w:cs="Arial"/>
          <w:bCs/>
          <w:sz w:val="24"/>
          <w:szCs w:val="24"/>
          <w:lang w:val="en-GB"/>
        </w:rPr>
        <w:t>’</w:t>
      </w:r>
      <w:r w:rsidR="00397D7F" w:rsidRPr="00811277">
        <w:rPr>
          <w:rFonts w:ascii="Arial" w:eastAsia="Times New Roman" w:hAnsi="Arial" w:cs="Arial"/>
          <w:bCs/>
          <w:sz w:val="24"/>
          <w:szCs w:val="24"/>
          <w:lang w:val="en-GB"/>
        </w:rPr>
        <w:t xml:space="preserve">. In </w:t>
      </w:r>
      <w:r w:rsidR="0057004E" w:rsidRPr="00811277">
        <w:rPr>
          <w:rFonts w:ascii="Arial" w:eastAsia="Times New Roman" w:hAnsi="Arial" w:cs="Arial"/>
          <w:bCs/>
          <w:sz w:val="24"/>
          <w:szCs w:val="24"/>
          <w:lang w:val="en-GB"/>
        </w:rPr>
        <w:t>hi</w:t>
      </w:r>
      <w:r w:rsidR="00397D7F" w:rsidRPr="00811277">
        <w:rPr>
          <w:rFonts w:ascii="Arial" w:eastAsia="Times New Roman" w:hAnsi="Arial" w:cs="Arial"/>
          <w:bCs/>
          <w:sz w:val="24"/>
          <w:szCs w:val="24"/>
          <w:lang w:val="en-GB"/>
        </w:rPr>
        <w:t>s view th</w:t>
      </w:r>
      <w:r w:rsidR="00F16694" w:rsidRPr="00811277">
        <w:rPr>
          <w:rFonts w:ascii="Arial" w:eastAsia="Times New Roman" w:hAnsi="Arial" w:cs="Arial"/>
          <w:bCs/>
          <w:sz w:val="24"/>
          <w:szCs w:val="24"/>
          <w:lang w:val="en-GB"/>
        </w:rPr>
        <w:t>e</w:t>
      </w:r>
      <w:r w:rsidR="00397D7F" w:rsidRPr="00811277">
        <w:rPr>
          <w:rFonts w:ascii="Arial" w:eastAsia="Times New Roman" w:hAnsi="Arial" w:cs="Arial"/>
          <w:bCs/>
          <w:sz w:val="24"/>
          <w:szCs w:val="24"/>
          <w:lang w:val="en-GB"/>
        </w:rPr>
        <w:t xml:space="preserve"> challenge had been brought to</w:t>
      </w:r>
      <w:r w:rsidR="00F16694" w:rsidRPr="00811277">
        <w:rPr>
          <w:rFonts w:ascii="Arial" w:eastAsia="Times New Roman" w:hAnsi="Arial" w:cs="Arial"/>
          <w:bCs/>
          <w:sz w:val="24"/>
          <w:szCs w:val="24"/>
          <w:lang w:val="en-GB"/>
        </w:rPr>
        <w:t>o</w:t>
      </w:r>
      <w:r w:rsidR="00397D7F" w:rsidRPr="00811277">
        <w:rPr>
          <w:rFonts w:ascii="Arial" w:eastAsia="Times New Roman" w:hAnsi="Arial" w:cs="Arial"/>
          <w:bCs/>
          <w:sz w:val="24"/>
          <w:szCs w:val="24"/>
          <w:lang w:val="en-GB"/>
        </w:rPr>
        <w:t xml:space="preserve"> late</w:t>
      </w:r>
      <w:r w:rsidR="00397D7F">
        <w:rPr>
          <w:rStyle w:val="FootnoteReference"/>
          <w:rFonts w:ascii="Arial" w:eastAsia="Times New Roman" w:hAnsi="Arial" w:cs="Arial"/>
          <w:bCs/>
          <w:sz w:val="24"/>
          <w:szCs w:val="24"/>
          <w:lang w:val="en-GB"/>
        </w:rPr>
        <w:footnoteReference w:id="29"/>
      </w:r>
      <w:r w:rsidR="00397D7F" w:rsidRPr="00811277">
        <w:rPr>
          <w:rFonts w:ascii="Arial" w:eastAsia="Times New Roman" w:hAnsi="Arial" w:cs="Arial"/>
          <w:bCs/>
          <w:sz w:val="24"/>
          <w:szCs w:val="24"/>
          <w:lang w:val="en-GB"/>
        </w:rPr>
        <w:t xml:space="preserve"> as the lock</w:t>
      </w:r>
      <w:r w:rsidR="00452B33" w:rsidRPr="00811277">
        <w:rPr>
          <w:rFonts w:ascii="Arial" w:eastAsia="Times New Roman" w:hAnsi="Arial" w:cs="Arial"/>
          <w:bCs/>
          <w:sz w:val="24"/>
          <w:szCs w:val="24"/>
          <w:lang w:val="en-GB"/>
        </w:rPr>
        <w:t>-</w:t>
      </w:r>
      <w:r w:rsidR="00397D7F" w:rsidRPr="00811277">
        <w:rPr>
          <w:rFonts w:ascii="Arial" w:eastAsia="Times New Roman" w:hAnsi="Arial" w:cs="Arial"/>
          <w:bCs/>
          <w:sz w:val="24"/>
          <w:szCs w:val="24"/>
          <w:lang w:val="en-GB"/>
        </w:rPr>
        <w:t xml:space="preserve">out </w:t>
      </w:r>
      <w:r w:rsidR="00F16694" w:rsidRPr="00811277">
        <w:rPr>
          <w:rFonts w:ascii="Arial" w:eastAsia="Times New Roman" w:hAnsi="Arial" w:cs="Arial"/>
          <w:bCs/>
          <w:sz w:val="24"/>
          <w:szCs w:val="24"/>
          <w:lang w:val="en-GB"/>
        </w:rPr>
        <w:t xml:space="preserve">had been </w:t>
      </w:r>
      <w:r w:rsidR="00397D7F" w:rsidRPr="00811277">
        <w:rPr>
          <w:rFonts w:ascii="Arial" w:eastAsia="Times New Roman" w:hAnsi="Arial" w:cs="Arial"/>
          <w:bCs/>
          <w:sz w:val="24"/>
          <w:szCs w:val="24"/>
          <w:lang w:val="en-GB"/>
        </w:rPr>
        <w:t xml:space="preserve">underway </w:t>
      </w:r>
      <w:r w:rsidR="00F16694" w:rsidRPr="00811277">
        <w:rPr>
          <w:rFonts w:ascii="Arial" w:eastAsia="Times New Roman" w:hAnsi="Arial" w:cs="Arial"/>
          <w:bCs/>
          <w:sz w:val="24"/>
          <w:szCs w:val="24"/>
          <w:lang w:val="en-GB"/>
        </w:rPr>
        <w:t xml:space="preserve">for </w:t>
      </w:r>
      <w:r w:rsidR="001968C1" w:rsidRPr="00811277">
        <w:rPr>
          <w:rFonts w:ascii="Arial" w:eastAsia="Times New Roman" w:hAnsi="Arial" w:cs="Arial"/>
          <w:bCs/>
          <w:sz w:val="24"/>
          <w:szCs w:val="24"/>
          <w:lang w:val="en-GB"/>
        </w:rPr>
        <w:t>several</w:t>
      </w:r>
      <w:r w:rsidR="00F16694" w:rsidRPr="00811277">
        <w:rPr>
          <w:rFonts w:ascii="Arial" w:eastAsia="Times New Roman" w:hAnsi="Arial" w:cs="Arial"/>
          <w:bCs/>
          <w:sz w:val="24"/>
          <w:szCs w:val="24"/>
          <w:lang w:val="en-GB"/>
        </w:rPr>
        <w:t xml:space="preserve"> weeks </w:t>
      </w:r>
      <w:r w:rsidR="00397D7F" w:rsidRPr="00811277">
        <w:rPr>
          <w:rFonts w:ascii="Arial" w:eastAsia="Times New Roman" w:hAnsi="Arial" w:cs="Arial"/>
          <w:bCs/>
          <w:sz w:val="24"/>
          <w:szCs w:val="24"/>
          <w:lang w:val="en-GB"/>
        </w:rPr>
        <w:t xml:space="preserve">and the applicant was getting ready to go on strike, on the understanding that the actions which had been taken by the respondent had been validly </w:t>
      </w:r>
      <w:r w:rsidR="00B35225" w:rsidRPr="00811277">
        <w:rPr>
          <w:rFonts w:ascii="Arial" w:eastAsia="Times New Roman" w:hAnsi="Arial" w:cs="Arial"/>
          <w:bCs/>
          <w:sz w:val="24"/>
          <w:szCs w:val="24"/>
          <w:lang w:val="en-GB"/>
        </w:rPr>
        <w:t>carried out</w:t>
      </w:r>
      <w:r w:rsidR="00397D7F" w:rsidRPr="00811277">
        <w:rPr>
          <w:rFonts w:ascii="Arial" w:eastAsia="Times New Roman" w:hAnsi="Arial" w:cs="Arial"/>
          <w:bCs/>
          <w:sz w:val="24"/>
          <w:szCs w:val="24"/>
          <w:lang w:val="en-GB"/>
        </w:rPr>
        <w:t xml:space="preserve">. </w:t>
      </w:r>
      <w:r w:rsidR="0057004E" w:rsidRPr="00811277">
        <w:rPr>
          <w:rFonts w:ascii="Arial" w:eastAsia="Times New Roman" w:hAnsi="Arial" w:cs="Arial"/>
          <w:bCs/>
          <w:sz w:val="24"/>
          <w:szCs w:val="24"/>
          <w:lang w:val="en-GB"/>
        </w:rPr>
        <w:t>I</w:t>
      </w:r>
      <w:r w:rsidR="00B35225" w:rsidRPr="00811277">
        <w:rPr>
          <w:rFonts w:ascii="Arial" w:eastAsia="Times New Roman" w:hAnsi="Arial" w:cs="Arial"/>
          <w:bCs/>
          <w:sz w:val="24"/>
          <w:szCs w:val="24"/>
          <w:lang w:val="en-GB"/>
        </w:rPr>
        <w:t xml:space="preserve">n the </w:t>
      </w:r>
      <w:r w:rsidR="00CC6C85" w:rsidRPr="00811277">
        <w:rPr>
          <w:rFonts w:ascii="Arial" w:eastAsia="Times New Roman" w:hAnsi="Arial" w:cs="Arial"/>
          <w:bCs/>
          <w:sz w:val="24"/>
          <w:szCs w:val="24"/>
          <w:lang w:val="en-GB"/>
        </w:rPr>
        <w:t>circumstances and</w:t>
      </w:r>
      <w:r w:rsidR="00397D7F" w:rsidRPr="00811277">
        <w:rPr>
          <w:rFonts w:ascii="Arial" w:eastAsia="Times New Roman" w:hAnsi="Arial" w:cs="Arial"/>
          <w:bCs/>
          <w:sz w:val="24"/>
          <w:szCs w:val="24"/>
          <w:lang w:val="en-GB"/>
        </w:rPr>
        <w:t xml:space="preserve"> having regard for the undesirability of interfering </w:t>
      </w:r>
      <w:r w:rsidR="00F16694" w:rsidRPr="00811277">
        <w:rPr>
          <w:rFonts w:ascii="Arial" w:eastAsia="Times New Roman" w:hAnsi="Arial" w:cs="Arial"/>
          <w:bCs/>
          <w:sz w:val="24"/>
          <w:szCs w:val="24"/>
          <w:lang w:val="en-GB"/>
        </w:rPr>
        <w:t>in</w:t>
      </w:r>
      <w:r w:rsidR="00397D7F" w:rsidRPr="00811277">
        <w:rPr>
          <w:rFonts w:ascii="Arial" w:eastAsia="Times New Roman" w:hAnsi="Arial" w:cs="Arial"/>
          <w:bCs/>
          <w:sz w:val="24"/>
          <w:szCs w:val="24"/>
          <w:lang w:val="en-GB"/>
        </w:rPr>
        <w:t xml:space="preserve"> </w:t>
      </w:r>
      <w:r w:rsidR="00F16694" w:rsidRPr="00811277">
        <w:rPr>
          <w:rFonts w:ascii="Arial" w:eastAsia="Times New Roman" w:hAnsi="Arial" w:cs="Arial"/>
          <w:bCs/>
          <w:sz w:val="24"/>
          <w:szCs w:val="24"/>
          <w:lang w:val="en-GB"/>
        </w:rPr>
        <w:t>l</w:t>
      </w:r>
      <w:r w:rsidR="00397D7F" w:rsidRPr="00811277">
        <w:rPr>
          <w:rFonts w:ascii="Arial" w:eastAsia="Times New Roman" w:hAnsi="Arial" w:cs="Arial"/>
          <w:bCs/>
          <w:sz w:val="24"/>
          <w:szCs w:val="24"/>
          <w:lang w:val="en-GB"/>
        </w:rPr>
        <w:t>abour relations and the collective bargaining process</w:t>
      </w:r>
      <w:r w:rsidR="00452B33" w:rsidRPr="00811277">
        <w:rPr>
          <w:rFonts w:ascii="Arial" w:eastAsia="Times New Roman" w:hAnsi="Arial" w:cs="Arial"/>
          <w:bCs/>
          <w:sz w:val="24"/>
          <w:szCs w:val="24"/>
          <w:lang w:val="en-GB"/>
        </w:rPr>
        <w:t>,</w:t>
      </w:r>
      <w:r w:rsidR="00397D7F" w:rsidRPr="00811277">
        <w:rPr>
          <w:rFonts w:ascii="Arial" w:eastAsia="Times New Roman" w:hAnsi="Arial" w:cs="Arial"/>
          <w:bCs/>
          <w:sz w:val="24"/>
          <w:szCs w:val="24"/>
          <w:lang w:val="en-GB"/>
        </w:rPr>
        <w:t xml:space="preserve"> </w:t>
      </w:r>
      <w:r w:rsidR="008F47F6" w:rsidRPr="00811277">
        <w:rPr>
          <w:rFonts w:ascii="Arial" w:eastAsia="Times New Roman" w:hAnsi="Arial" w:cs="Arial"/>
          <w:bCs/>
          <w:sz w:val="24"/>
          <w:szCs w:val="24"/>
          <w:lang w:val="en-GB"/>
        </w:rPr>
        <w:t xml:space="preserve">he held that </w:t>
      </w:r>
      <w:r w:rsidR="00397D7F" w:rsidRPr="00811277">
        <w:rPr>
          <w:rFonts w:ascii="Arial" w:eastAsia="Times New Roman" w:hAnsi="Arial" w:cs="Arial"/>
          <w:bCs/>
          <w:sz w:val="24"/>
          <w:szCs w:val="24"/>
          <w:lang w:val="en-GB"/>
        </w:rPr>
        <w:t xml:space="preserve">the collateral challenge </w:t>
      </w:r>
      <w:r w:rsidR="008F47F6" w:rsidRPr="00811277">
        <w:rPr>
          <w:rFonts w:ascii="Arial" w:eastAsia="Times New Roman" w:hAnsi="Arial" w:cs="Arial"/>
          <w:bCs/>
          <w:sz w:val="24"/>
          <w:szCs w:val="24"/>
          <w:lang w:val="en-GB"/>
        </w:rPr>
        <w:t>should</w:t>
      </w:r>
      <w:r w:rsidR="00397D7F" w:rsidRPr="00811277">
        <w:rPr>
          <w:rFonts w:ascii="Arial" w:eastAsia="Times New Roman" w:hAnsi="Arial" w:cs="Arial"/>
          <w:bCs/>
          <w:sz w:val="24"/>
          <w:szCs w:val="24"/>
          <w:lang w:val="en-GB"/>
        </w:rPr>
        <w:t xml:space="preserve"> not </w:t>
      </w:r>
      <w:r w:rsidR="008F47F6" w:rsidRPr="00811277">
        <w:rPr>
          <w:rFonts w:ascii="Arial" w:eastAsia="Times New Roman" w:hAnsi="Arial" w:cs="Arial"/>
          <w:bCs/>
          <w:sz w:val="24"/>
          <w:szCs w:val="24"/>
          <w:lang w:val="en-GB"/>
        </w:rPr>
        <w:t xml:space="preserve">be </w:t>
      </w:r>
      <w:r w:rsidR="00397D7F" w:rsidRPr="00811277">
        <w:rPr>
          <w:rFonts w:ascii="Arial" w:eastAsia="Times New Roman" w:hAnsi="Arial" w:cs="Arial"/>
          <w:bCs/>
          <w:sz w:val="24"/>
          <w:szCs w:val="24"/>
          <w:lang w:val="en-GB"/>
        </w:rPr>
        <w:t xml:space="preserve">entertained. Thus, it is evident that the delay which attended on the matter </w:t>
      </w:r>
      <w:r w:rsidR="00B35225" w:rsidRPr="00811277">
        <w:rPr>
          <w:rFonts w:ascii="Arial" w:eastAsia="Times New Roman" w:hAnsi="Arial" w:cs="Arial"/>
          <w:bCs/>
          <w:sz w:val="24"/>
          <w:szCs w:val="24"/>
          <w:lang w:val="en-GB"/>
        </w:rPr>
        <w:t xml:space="preserve">in </w:t>
      </w:r>
      <w:r w:rsidR="00B35225" w:rsidRPr="00811277">
        <w:rPr>
          <w:rFonts w:ascii="Arial" w:eastAsia="Times New Roman" w:hAnsi="Arial" w:cs="Arial"/>
          <w:bCs/>
          <w:i/>
          <w:iCs/>
          <w:sz w:val="24"/>
          <w:szCs w:val="24"/>
          <w:lang w:val="en-GB"/>
        </w:rPr>
        <w:t xml:space="preserve">Panasonic </w:t>
      </w:r>
      <w:r w:rsidR="00397D7F" w:rsidRPr="00811277">
        <w:rPr>
          <w:rFonts w:ascii="Arial" w:eastAsia="Times New Roman" w:hAnsi="Arial" w:cs="Arial"/>
          <w:bCs/>
          <w:sz w:val="24"/>
          <w:szCs w:val="24"/>
          <w:lang w:val="en-GB"/>
        </w:rPr>
        <w:t xml:space="preserve">was an important factor which </w:t>
      </w:r>
      <w:r w:rsidR="009B7A73" w:rsidRPr="00811277">
        <w:rPr>
          <w:rFonts w:ascii="Arial" w:eastAsia="Times New Roman" w:hAnsi="Arial" w:cs="Arial"/>
          <w:bCs/>
          <w:sz w:val="24"/>
          <w:szCs w:val="24"/>
          <w:lang w:val="en-GB"/>
        </w:rPr>
        <w:t>featured</w:t>
      </w:r>
      <w:r w:rsidR="00397D7F" w:rsidRPr="00811277">
        <w:rPr>
          <w:rFonts w:ascii="Arial" w:eastAsia="Times New Roman" w:hAnsi="Arial" w:cs="Arial"/>
          <w:bCs/>
          <w:sz w:val="24"/>
          <w:szCs w:val="24"/>
          <w:lang w:val="en-GB"/>
        </w:rPr>
        <w:t xml:space="preserve"> </w:t>
      </w:r>
      <w:r w:rsidR="00E60757" w:rsidRPr="00811277">
        <w:rPr>
          <w:rFonts w:ascii="Arial" w:eastAsia="Times New Roman" w:hAnsi="Arial" w:cs="Arial"/>
          <w:bCs/>
          <w:sz w:val="24"/>
          <w:szCs w:val="24"/>
          <w:lang w:val="en-GB"/>
        </w:rPr>
        <w:t>in non-suiting</w:t>
      </w:r>
      <w:r w:rsidR="008735EB" w:rsidRPr="00811277">
        <w:rPr>
          <w:rFonts w:ascii="Arial" w:eastAsia="Times New Roman" w:hAnsi="Arial" w:cs="Arial"/>
          <w:bCs/>
          <w:sz w:val="24"/>
          <w:szCs w:val="24"/>
          <w:lang w:val="en-GB"/>
        </w:rPr>
        <w:t xml:space="preserve"> </w:t>
      </w:r>
      <w:r w:rsidR="00E60757" w:rsidRPr="00811277">
        <w:rPr>
          <w:rFonts w:ascii="Arial" w:eastAsia="Times New Roman" w:hAnsi="Arial" w:cs="Arial"/>
          <w:bCs/>
          <w:sz w:val="24"/>
          <w:szCs w:val="24"/>
          <w:lang w:val="en-GB"/>
        </w:rPr>
        <w:t>the applicant</w:t>
      </w:r>
      <w:r w:rsidR="00397D7F" w:rsidRPr="00811277">
        <w:rPr>
          <w:rFonts w:ascii="Arial" w:eastAsia="Times New Roman" w:hAnsi="Arial" w:cs="Arial"/>
          <w:bCs/>
          <w:sz w:val="24"/>
          <w:szCs w:val="24"/>
          <w:lang w:val="en-GB"/>
        </w:rPr>
        <w:t>.</w:t>
      </w:r>
    </w:p>
    <w:p w14:paraId="4BD5C729" w14:textId="4132B94A" w:rsidR="00CC6C85"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34.</w:t>
      </w:r>
      <w:r>
        <w:rPr>
          <w:rFonts w:ascii="Arial" w:eastAsia="Times New Roman" w:hAnsi="Arial" w:cs="Arial"/>
          <w:bCs/>
          <w:kern w:val="0"/>
          <w:sz w:val="24"/>
          <w:szCs w:val="24"/>
          <w:lang w:val="en-GB"/>
          <w14:ligatures w14:val="none"/>
        </w:rPr>
        <w:tab/>
      </w:r>
      <w:r w:rsidR="00721055" w:rsidRPr="00811277">
        <w:rPr>
          <w:rFonts w:ascii="Arial" w:eastAsia="Times New Roman" w:hAnsi="Arial" w:cs="Arial"/>
          <w:bCs/>
          <w:sz w:val="24"/>
          <w:szCs w:val="24"/>
          <w:lang w:val="en-GB"/>
        </w:rPr>
        <w:t>Some two</w:t>
      </w:r>
      <w:r w:rsidR="00397D7F" w:rsidRPr="00811277">
        <w:rPr>
          <w:rFonts w:ascii="Arial" w:eastAsia="Times New Roman" w:hAnsi="Arial" w:cs="Arial"/>
          <w:bCs/>
          <w:sz w:val="24"/>
          <w:szCs w:val="24"/>
          <w:lang w:val="en-GB"/>
        </w:rPr>
        <w:t xml:space="preserve"> years later this </w:t>
      </w:r>
      <w:r w:rsidR="00721055" w:rsidRPr="00811277">
        <w:rPr>
          <w:rFonts w:ascii="Arial" w:eastAsia="Times New Roman" w:hAnsi="Arial" w:cs="Arial"/>
          <w:bCs/>
          <w:sz w:val="24"/>
          <w:szCs w:val="24"/>
          <w:lang w:val="en-GB"/>
        </w:rPr>
        <w:t>C</w:t>
      </w:r>
      <w:r w:rsidR="00397D7F" w:rsidRPr="00811277">
        <w:rPr>
          <w:rFonts w:ascii="Arial" w:eastAsia="Times New Roman" w:hAnsi="Arial" w:cs="Arial"/>
          <w:bCs/>
          <w:sz w:val="24"/>
          <w:szCs w:val="24"/>
          <w:lang w:val="en-GB"/>
        </w:rPr>
        <w:t>ourt had occasion</w:t>
      </w:r>
      <w:r w:rsidR="00721055" w:rsidRPr="00811277">
        <w:rPr>
          <w:rFonts w:ascii="Arial" w:eastAsia="Times New Roman" w:hAnsi="Arial" w:cs="Arial"/>
          <w:bCs/>
          <w:sz w:val="24"/>
          <w:szCs w:val="24"/>
          <w:lang w:val="en-GB"/>
        </w:rPr>
        <w:t>,</w:t>
      </w:r>
      <w:r w:rsidR="00397D7F" w:rsidRPr="00811277">
        <w:rPr>
          <w:rFonts w:ascii="Arial" w:eastAsia="Times New Roman" w:hAnsi="Arial" w:cs="Arial"/>
          <w:bCs/>
          <w:sz w:val="24"/>
          <w:szCs w:val="24"/>
          <w:lang w:val="en-GB"/>
        </w:rPr>
        <w:t xml:space="preserve"> in </w:t>
      </w:r>
      <w:r w:rsidR="00721055" w:rsidRPr="00811277">
        <w:rPr>
          <w:rFonts w:ascii="Arial" w:eastAsia="Times New Roman" w:hAnsi="Arial" w:cs="Arial"/>
          <w:bCs/>
          <w:i/>
          <w:iCs/>
          <w:sz w:val="24"/>
          <w:szCs w:val="24"/>
          <w:lang w:val="en-GB"/>
        </w:rPr>
        <w:t>P</w:t>
      </w:r>
      <w:r w:rsidR="00397D7F" w:rsidRPr="00811277">
        <w:rPr>
          <w:rFonts w:ascii="Arial" w:eastAsia="Times New Roman" w:hAnsi="Arial" w:cs="Arial"/>
          <w:bCs/>
          <w:i/>
          <w:iCs/>
          <w:sz w:val="24"/>
          <w:szCs w:val="24"/>
          <w:lang w:val="en-GB"/>
        </w:rPr>
        <w:t>hotocircuit</w:t>
      </w:r>
      <w:r w:rsidR="00721055" w:rsidRPr="00811277">
        <w:rPr>
          <w:rFonts w:ascii="Arial" w:eastAsia="Times New Roman" w:hAnsi="Arial" w:cs="Arial"/>
          <w:bCs/>
          <w:i/>
          <w:iCs/>
          <w:sz w:val="24"/>
          <w:szCs w:val="24"/>
          <w:lang w:val="en-GB"/>
        </w:rPr>
        <w:t>,</w:t>
      </w:r>
      <w:r w:rsidR="00397D7F" w:rsidRPr="00811277">
        <w:rPr>
          <w:rFonts w:ascii="Arial" w:eastAsia="Times New Roman" w:hAnsi="Arial" w:cs="Arial"/>
          <w:bCs/>
          <w:i/>
          <w:iCs/>
          <w:sz w:val="24"/>
          <w:szCs w:val="24"/>
          <w:lang w:val="en-GB"/>
        </w:rPr>
        <w:t xml:space="preserve"> </w:t>
      </w:r>
      <w:r w:rsidR="00397D7F" w:rsidRPr="00811277">
        <w:rPr>
          <w:rFonts w:ascii="Arial" w:eastAsia="Times New Roman" w:hAnsi="Arial" w:cs="Arial"/>
          <w:bCs/>
          <w:sz w:val="24"/>
          <w:szCs w:val="24"/>
          <w:lang w:val="en-GB"/>
        </w:rPr>
        <w:t xml:space="preserve">to pronounce on </w:t>
      </w:r>
      <w:r w:rsidR="00FE7566" w:rsidRPr="00811277">
        <w:rPr>
          <w:rFonts w:ascii="Arial" w:eastAsia="Times New Roman" w:hAnsi="Arial" w:cs="Arial"/>
          <w:bCs/>
          <w:sz w:val="24"/>
          <w:szCs w:val="24"/>
          <w:lang w:val="en-GB"/>
        </w:rPr>
        <w:t>a collateral</w:t>
      </w:r>
      <w:r w:rsidR="00397D7F" w:rsidRPr="00811277">
        <w:rPr>
          <w:rFonts w:ascii="Arial" w:eastAsia="Times New Roman" w:hAnsi="Arial" w:cs="Arial"/>
          <w:bCs/>
          <w:sz w:val="24"/>
          <w:szCs w:val="24"/>
          <w:lang w:val="en-GB"/>
        </w:rPr>
        <w:t xml:space="preserve"> challenge which was contested on the grounds of undue delay. The applicant had sought an order compelling the respondent to render returns so that it could compute </w:t>
      </w:r>
      <w:r w:rsidR="00B35225" w:rsidRPr="00811277">
        <w:rPr>
          <w:rFonts w:ascii="Arial" w:eastAsia="Times New Roman" w:hAnsi="Arial" w:cs="Arial"/>
          <w:bCs/>
          <w:sz w:val="24"/>
          <w:szCs w:val="24"/>
          <w:lang w:val="en-GB"/>
        </w:rPr>
        <w:t>the respondent’s</w:t>
      </w:r>
      <w:r w:rsidR="00397D7F" w:rsidRPr="00811277">
        <w:rPr>
          <w:rFonts w:ascii="Arial" w:eastAsia="Times New Roman" w:hAnsi="Arial" w:cs="Arial"/>
          <w:bCs/>
          <w:sz w:val="24"/>
          <w:szCs w:val="24"/>
          <w:lang w:val="en-GB"/>
        </w:rPr>
        <w:t xml:space="preserve"> levy contributions in terms of industrial agreements which appl</w:t>
      </w:r>
      <w:r w:rsidR="00B35225" w:rsidRPr="00811277">
        <w:rPr>
          <w:rFonts w:ascii="Arial" w:eastAsia="Times New Roman" w:hAnsi="Arial" w:cs="Arial"/>
          <w:bCs/>
          <w:sz w:val="24"/>
          <w:szCs w:val="24"/>
          <w:lang w:val="en-GB"/>
        </w:rPr>
        <w:t>i</w:t>
      </w:r>
      <w:r w:rsidR="00CC6C85" w:rsidRPr="00811277">
        <w:rPr>
          <w:rFonts w:ascii="Arial" w:eastAsia="Times New Roman" w:hAnsi="Arial" w:cs="Arial"/>
          <w:bCs/>
          <w:sz w:val="24"/>
          <w:szCs w:val="24"/>
          <w:lang w:val="en-GB"/>
        </w:rPr>
        <w:t>e</w:t>
      </w:r>
      <w:r w:rsidR="00B35225" w:rsidRPr="00811277">
        <w:rPr>
          <w:rFonts w:ascii="Arial" w:eastAsia="Times New Roman" w:hAnsi="Arial" w:cs="Arial"/>
          <w:bCs/>
          <w:sz w:val="24"/>
          <w:szCs w:val="24"/>
          <w:lang w:val="en-GB"/>
        </w:rPr>
        <w:t>d</w:t>
      </w:r>
      <w:r w:rsidR="00397D7F" w:rsidRPr="00811277">
        <w:rPr>
          <w:rFonts w:ascii="Arial" w:eastAsia="Times New Roman" w:hAnsi="Arial" w:cs="Arial"/>
          <w:bCs/>
          <w:sz w:val="24"/>
          <w:szCs w:val="24"/>
          <w:lang w:val="en-GB"/>
        </w:rPr>
        <w:t xml:space="preserve"> to employers in the industry</w:t>
      </w:r>
      <w:r w:rsidR="00CC6C85" w:rsidRPr="00811277">
        <w:rPr>
          <w:rFonts w:ascii="Arial" w:eastAsia="Times New Roman" w:hAnsi="Arial" w:cs="Arial"/>
          <w:bCs/>
          <w:sz w:val="24"/>
          <w:szCs w:val="24"/>
          <w:lang w:val="en-GB"/>
        </w:rPr>
        <w:t xml:space="preserve"> concerned</w:t>
      </w:r>
      <w:r w:rsidR="00397D7F" w:rsidRPr="00811277">
        <w:rPr>
          <w:rFonts w:ascii="Arial" w:eastAsia="Times New Roman" w:hAnsi="Arial" w:cs="Arial"/>
          <w:bCs/>
          <w:sz w:val="24"/>
          <w:szCs w:val="24"/>
          <w:lang w:val="en-GB"/>
        </w:rPr>
        <w:t xml:space="preserve">. The application was resisted on the grounds that the Minister’s approval of the registration of the applicant </w:t>
      </w:r>
      <w:r w:rsidR="00B35225" w:rsidRPr="00811277">
        <w:rPr>
          <w:rFonts w:ascii="Arial" w:eastAsia="Times New Roman" w:hAnsi="Arial" w:cs="Arial"/>
          <w:bCs/>
          <w:sz w:val="24"/>
          <w:szCs w:val="24"/>
          <w:lang w:val="en-GB"/>
        </w:rPr>
        <w:t>as</w:t>
      </w:r>
      <w:r w:rsidR="00397D7F" w:rsidRPr="00811277">
        <w:rPr>
          <w:rFonts w:ascii="Arial" w:eastAsia="Times New Roman" w:hAnsi="Arial" w:cs="Arial"/>
          <w:bCs/>
          <w:sz w:val="24"/>
          <w:szCs w:val="24"/>
          <w:lang w:val="en-GB"/>
        </w:rPr>
        <w:t xml:space="preserve"> a</w:t>
      </w:r>
      <w:r w:rsidR="00B35225" w:rsidRPr="00811277">
        <w:rPr>
          <w:rFonts w:ascii="Arial" w:eastAsia="Times New Roman" w:hAnsi="Arial" w:cs="Arial"/>
          <w:bCs/>
          <w:sz w:val="24"/>
          <w:szCs w:val="24"/>
          <w:lang w:val="en-GB"/>
        </w:rPr>
        <w:t xml:space="preserve">n industrial </w:t>
      </w:r>
      <w:r w:rsidR="00397D7F" w:rsidRPr="00811277">
        <w:rPr>
          <w:rFonts w:ascii="Arial" w:eastAsia="Times New Roman" w:hAnsi="Arial" w:cs="Arial"/>
          <w:bCs/>
          <w:sz w:val="24"/>
          <w:szCs w:val="24"/>
          <w:lang w:val="en-GB"/>
        </w:rPr>
        <w:t>coun</w:t>
      </w:r>
      <w:r w:rsidR="00B35225" w:rsidRPr="00811277">
        <w:rPr>
          <w:rFonts w:ascii="Arial" w:eastAsia="Times New Roman" w:hAnsi="Arial" w:cs="Arial"/>
          <w:bCs/>
          <w:sz w:val="24"/>
          <w:szCs w:val="24"/>
          <w:lang w:val="en-GB"/>
        </w:rPr>
        <w:t>cil</w:t>
      </w:r>
      <w:r w:rsidR="00397D7F" w:rsidRPr="00811277">
        <w:rPr>
          <w:rFonts w:ascii="Arial" w:eastAsia="Times New Roman" w:hAnsi="Arial" w:cs="Arial"/>
          <w:bCs/>
          <w:sz w:val="24"/>
          <w:szCs w:val="24"/>
          <w:lang w:val="en-GB"/>
        </w:rPr>
        <w:t xml:space="preserve"> was </w:t>
      </w:r>
      <w:r w:rsidR="00397D7F" w:rsidRPr="00811277">
        <w:rPr>
          <w:rFonts w:ascii="Arial" w:eastAsia="Times New Roman" w:hAnsi="Arial" w:cs="Arial"/>
          <w:bCs/>
          <w:i/>
          <w:iCs/>
          <w:sz w:val="24"/>
          <w:szCs w:val="24"/>
          <w:lang w:val="en-GB"/>
        </w:rPr>
        <w:t>ultra vires</w:t>
      </w:r>
      <w:r w:rsidR="00397D7F" w:rsidRPr="00811277">
        <w:rPr>
          <w:rFonts w:ascii="Arial" w:eastAsia="Times New Roman" w:hAnsi="Arial" w:cs="Arial"/>
          <w:bCs/>
          <w:sz w:val="24"/>
          <w:szCs w:val="24"/>
          <w:lang w:val="en-GB"/>
        </w:rPr>
        <w:t xml:space="preserve"> and the applicant </w:t>
      </w:r>
      <w:r w:rsidR="00B35225" w:rsidRPr="00811277">
        <w:rPr>
          <w:rFonts w:ascii="Arial" w:eastAsia="Times New Roman" w:hAnsi="Arial" w:cs="Arial"/>
          <w:bCs/>
          <w:sz w:val="24"/>
          <w:szCs w:val="24"/>
          <w:lang w:val="en-GB"/>
        </w:rPr>
        <w:t xml:space="preserve">accordingly </w:t>
      </w:r>
      <w:r w:rsidR="00397D7F" w:rsidRPr="00811277">
        <w:rPr>
          <w:rFonts w:ascii="Arial" w:eastAsia="Times New Roman" w:hAnsi="Arial" w:cs="Arial"/>
          <w:bCs/>
          <w:sz w:val="24"/>
          <w:szCs w:val="24"/>
          <w:lang w:val="en-GB"/>
        </w:rPr>
        <w:t xml:space="preserve">lacked the </w:t>
      </w:r>
      <w:r w:rsidR="00B35225" w:rsidRPr="00811277">
        <w:rPr>
          <w:rFonts w:ascii="Arial" w:eastAsia="Times New Roman" w:hAnsi="Arial" w:cs="Arial"/>
          <w:bCs/>
          <w:sz w:val="24"/>
          <w:szCs w:val="24"/>
          <w:lang w:val="en-GB"/>
        </w:rPr>
        <w:t xml:space="preserve">necessary </w:t>
      </w:r>
      <w:r w:rsidR="00397D7F" w:rsidRPr="00811277">
        <w:rPr>
          <w:rFonts w:ascii="Arial" w:eastAsia="Times New Roman" w:hAnsi="Arial" w:cs="Arial"/>
          <w:bCs/>
          <w:sz w:val="24"/>
          <w:szCs w:val="24"/>
          <w:lang w:val="en-GB"/>
        </w:rPr>
        <w:t xml:space="preserve">jurisdiction to require the respondent to submit returns. One of the aspects which the </w:t>
      </w:r>
      <w:r w:rsidR="00CC6C85" w:rsidRPr="00811277">
        <w:rPr>
          <w:rFonts w:ascii="Arial" w:eastAsia="Times New Roman" w:hAnsi="Arial" w:cs="Arial"/>
          <w:bCs/>
          <w:sz w:val="24"/>
          <w:szCs w:val="24"/>
          <w:lang w:val="en-GB"/>
        </w:rPr>
        <w:t>C</w:t>
      </w:r>
      <w:r w:rsidR="00397D7F" w:rsidRPr="00811277">
        <w:rPr>
          <w:rFonts w:ascii="Arial" w:eastAsia="Times New Roman" w:hAnsi="Arial" w:cs="Arial"/>
          <w:bCs/>
          <w:sz w:val="24"/>
          <w:szCs w:val="24"/>
          <w:lang w:val="en-GB"/>
        </w:rPr>
        <w:t xml:space="preserve">ourt was required to determine in </w:t>
      </w:r>
      <w:r w:rsidR="00397D7F" w:rsidRPr="00811277">
        <w:rPr>
          <w:rFonts w:ascii="Arial" w:eastAsia="Times New Roman" w:hAnsi="Arial" w:cs="Arial"/>
          <w:bCs/>
          <w:i/>
          <w:iCs/>
          <w:sz w:val="24"/>
          <w:szCs w:val="24"/>
          <w:lang w:val="en-GB"/>
        </w:rPr>
        <w:t>limine</w:t>
      </w:r>
      <w:r w:rsidR="00397D7F" w:rsidRPr="00811277">
        <w:rPr>
          <w:rFonts w:ascii="Arial" w:eastAsia="Times New Roman" w:hAnsi="Arial" w:cs="Arial"/>
          <w:bCs/>
          <w:sz w:val="24"/>
          <w:szCs w:val="24"/>
          <w:lang w:val="en-GB"/>
        </w:rPr>
        <w:t xml:space="preserve"> was whether, by reason of the lapse of time, the applicant </w:t>
      </w:r>
      <w:r w:rsidR="00B35225" w:rsidRPr="00811277">
        <w:rPr>
          <w:rFonts w:ascii="Arial" w:eastAsia="Times New Roman" w:hAnsi="Arial" w:cs="Arial"/>
          <w:bCs/>
          <w:sz w:val="24"/>
          <w:szCs w:val="24"/>
          <w:lang w:val="en-GB"/>
        </w:rPr>
        <w:t>should be</w:t>
      </w:r>
      <w:r w:rsidR="00397D7F" w:rsidRPr="00811277">
        <w:rPr>
          <w:rFonts w:ascii="Arial" w:eastAsia="Times New Roman" w:hAnsi="Arial" w:cs="Arial"/>
          <w:bCs/>
          <w:sz w:val="24"/>
          <w:szCs w:val="24"/>
          <w:lang w:val="en-GB"/>
        </w:rPr>
        <w:t xml:space="preserve"> precluded from doing so</w:t>
      </w:r>
      <w:r w:rsidR="00B35225" w:rsidRPr="00811277">
        <w:rPr>
          <w:rFonts w:ascii="Arial" w:eastAsia="Times New Roman" w:hAnsi="Arial" w:cs="Arial"/>
          <w:bCs/>
          <w:sz w:val="24"/>
          <w:szCs w:val="24"/>
          <w:lang w:val="en-GB"/>
        </w:rPr>
        <w:t>, a</w:t>
      </w:r>
      <w:r w:rsidR="005E02D7" w:rsidRPr="00811277">
        <w:rPr>
          <w:rFonts w:ascii="Arial" w:eastAsia="Times New Roman" w:hAnsi="Arial" w:cs="Arial"/>
          <w:bCs/>
          <w:sz w:val="24"/>
          <w:szCs w:val="24"/>
          <w:lang w:val="en-GB"/>
        </w:rPr>
        <w:t xml:space="preserve">s </w:t>
      </w:r>
      <w:r w:rsidR="00B35225" w:rsidRPr="00811277">
        <w:rPr>
          <w:rFonts w:ascii="Arial" w:eastAsia="Times New Roman" w:hAnsi="Arial" w:cs="Arial"/>
          <w:bCs/>
          <w:sz w:val="24"/>
          <w:szCs w:val="24"/>
          <w:lang w:val="en-GB"/>
        </w:rPr>
        <w:t xml:space="preserve">had </w:t>
      </w:r>
      <w:r w:rsidR="005E02D7" w:rsidRPr="00811277">
        <w:rPr>
          <w:rFonts w:ascii="Arial" w:eastAsia="Times New Roman" w:hAnsi="Arial" w:cs="Arial"/>
          <w:bCs/>
          <w:sz w:val="24"/>
          <w:szCs w:val="24"/>
          <w:lang w:val="en-GB"/>
        </w:rPr>
        <w:t xml:space="preserve">previously </w:t>
      </w:r>
      <w:r w:rsidR="00CC6C85" w:rsidRPr="00811277">
        <w:rPr>
          <w:rFonts w:ascii="Arial" w:eastAsia="Times New Roman" w:hAnsi="Arial" w:cs="Arial"/>
          <w:bCs/>
          <w:sz w:val="24"/>
          <w:szCs w:val="24"/>
          <w:lang w:val="en-GB"/>
        </w:rPr>
        <w:t>o</w:t>
      </w:r>
      <w:r w:rsidR="00B35225" w:rsidRPr="00811277">
        <w:rPr>
          <w:rFonts w:ascii="Arial" w:eastAsia="Times New Roman" w:hAnsi="Arial" w:cs="Arial"/>
          <w:bCs/>
          <w:sz w:val="24"/>
          <w:szCs w:val="24"/>
          <w:lang w:val="en-GB"/>
        </w:rPr>
        <w:t xml:space="preserve">ccurred in </w:t>
      </w:r>
      <w:r w:rsidR="005E02D7" w:rsidRPr="00811277">
        <w:rPr>
          <w:rFonts w:ascii="Arial" w:eastAsia="Times New Roman" w:hAnsi="Arial" w:cs="Arial"/>
          <w:bCs/>
          <w:i/>
          <w:iCs/>
          <w:sz w:val="24"/>
          <w:szCs w:val="24"/>
          <w:lang w:val="en-GB"/>
        </w:rPr>
        <w:t>Panasonic</w:t>
      </w:r>
      <w:r w:rsidR="00B35225" w:rsidRPr="00811277">
        <w:rPr>
          <w:rFonts w:ascii="Arial" w:eastAsia="Times New Roman" w:hAnsi="Arial" w:cs="Arial"/>
          <w:bCs/>
          <w:sz w:val="24"/>
          <w:szCs w:val="24"/>
          <w:lang w:val="en-GB"/>
        </w:rPr>
        <w:t xml:space="preserve">. </w:t>
      </w:r>
    </w:p>
    <w:p w14:paraId="1B975439" w14:textId="29A72390" w:rsidR="0057004E"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35.</w:t>
      </w:r>
      <w:r>
        <w:rPr>
          <w:rFonts w:ascii="Arial" w:eastAsia="Times New Roman" w:hAnsi="Arial" w:cs="Arial"/>
          <w:bCs/>
          <w:kern w:val="0"/>
          <w:sz w:val="24"/>
          <w:szCs w:val="24"/>
          <w:lang w:val="en-GB"/>
          <w14:ligatures w14:val="none"/>
        </w:rPr>
        <w:tab/>
      </w:r>
      <w:r w:rsidR="0057004E" w:rsidRPr="00811277">
        <w:rPr>
          <w:rFonts w:ascii="Arial" w:eastAsia="Times New Roman" w:hAnsi="Arial" w:cs="Arial"/>
          <w:bCs/>
          <w:sz w:val="24"/>
          <w:szCs w:val="24"/>
          <w:lang w:val="en-GB"/>
        </w:rPr>
        <w:t>Scott J</w:t>
      </w:r>
      <w:r w:rsidR="005E02D7" w:rsidRPr="00811277">
        <w:rPr>
          <w:rFonts w:ascii="Arial" w:eastAsia="Times New Roman" w:hAnsi="Arial" w:cs="Arial"/>
          <w:bCs/>
          <w:sz w:val="24"/>
          <w:szCs w:val="24"/>
          <w:lang w:val="en-GB"/>
        </w:rPr>
        <w:t xml:space="preserve"> </w:t>
      </w:r>
      <w:r w:rsidR="0057004E" w:rsidRPr="00811277">
        <w:rPr>
          <w:rFonts w:ascii="Arial" w:eastAsia="Times New Roman" w:hAnsi="Arial" w:cs="Arial"/>
          <w:bCs/>
          <w:sz w:val="24"/>
          <w:szCs w:val="24"/>
          <w:lang w:val="en-GB"/>
        </w:rPr>
        <w:t xml:space="preserve">(as he then was) </w:t>
      </w:r>
      <w:r w:rsidR="005E02D7" w:rsidRPr="00811277">
        <w:rPr>
          <w:rFonts w:ascii="Arial" w:eastAsia="Times New Roman" w:hAnsi="Arial" w:cs="Arial"/>
          <w:bCs/>
          <w:sz w:val="24"/>
          <w:szCs w:val="24"/>
          <w:lang w:val="en-GB"/>
        </w:rPr>
        <w:t>contrasted review matters which sought to set aside an</w:t>
      </w:r>
      <w:r w:rsidR="00B35225" w:rsidRPr="00811277">
        <w:rPr>
          <w:rFonts w:ascii="Arial" w:eastAsia="Times New Roman" w:hAnsi="Arial" w:cs="Arial"/>
          <w:bCs/>
          <w:sz w:val="24"/>
          <w:szCs w:val="24"/>
          <w:lang w:val="en-GB"/>
        </w:rPr>
        <w:t xml:space="preserve"> </w:t>
      </w:r>
      <w:r w:rsidR="005E02D7" w:rsidRPr="00811277">
        <w:rPr>
          <w:rFonts w:ascii="Arial" w:eastAsia="Times New Roman" w:hAnsi="Arial" w:cs="Arial"/>
          <w:bCs/>
          <w:sz w:val="24"/>
          <w:szCs w:val="24"/>
          <w:lang w:val="en-GB"/>
        </w:rPr>
        <w:t xml:space="preserve">administrative action or decision, </w:t>
      </w:r>
      <w:r w:rsidR="00B35225" w:rsidRPr="00811277">
        <w:rPr>
          <w:rFonts w:ascii="Arial" w:eastAsia="Times New Roman" w:hAnsi="Arial" w:cs="Arial"/>
          <w:bCs/>
          <w:sz w:val="24"/>
          <w:szCs w:val="24"/>
          <w:lang w:val="en-GB"/>
        </w:rPr>
        <w:t xml:space="preserve">in which it was accepted that </w:t>
      </w:r>
      <w:r w:rsidR="00CC6C85" w:rsidRPr="00811277">
        <w:rPr>
          <w:rFonts w:ascii="Arial" w:eastAsia="Times New Roman" w:hAnsi="Arial" w:cs="Arial"/>
          <w:bCs/>
          <w:sz w:val="24"/>
          <w:szCs w:val="24"/>
          <w:lang w:val="en-GB"/>
        </w:rPr>
        <w:t>a court</w:t>
      </w:r>
      <w:r w:rsidR="00B35225" w:rsidRPr="00811277">
        <w:rPr>
          <w:rFonts w:ascii="Arial" w:eastAsia="Times New Roman" w:hAnsi="Arial" w:cs="Arial"/>
          <w:bCs/>
          <w:sz w:val="24"/>
          <w:szCs w:val="24"/>
          <w:lang w:val="en-GB"/>
        </w:rPr>
        <w:t xml:space="preserve"> had a </w:t>
      </w:r>
      <w:r w:rsidR="005E02D7" w:rsidRPr="00811277">
        <w:rPr>
          <w:rFonts w:ascii="Arial" w:eastAsia="Times New Roman" w:hAnsi="Arial" w:cs="Arial"/>
          <w:bCs/>
          <w:sz w:val="24"/>
          <w:szCs w:val="24"/>
          <w:lang w:val="en-GB"/>
        </w:rPr>
        <w:t>discretion to decline to assist</w:t>
      </w:r>
      <w:r w:rsidR="007704F5" w:rsidRPr="00811277">
        <w:rPr>
          <w:rFonts w:ascii="Arial" w:eastAsia="Times New Roman" w:hAnsi="Arial" w:cs="Arial"/>
          <w:bCs/>
          <w:sz w:val="24"/>
          <w:szCs w:val="24"/>
          <w:lang w:val="en-GB"/>
        </w:rPr>
        <w:t>,</w:t>
      </w:r>
      <w:r w:rsidR="00FE7566" w:rsidRPr="00811277">
        <w:rPr>
          <w:rFonts w:ascii="Arial" w:eastAsia="Times New Roman" w:hAnsi="Arial" w:cs="Arial"/>
          <w:bCs/>
          <w:sz w:val="24"/>
          <w:szCs w:val="24"/>
          <w:lang w:val="en-GB"/>
        </w:rPr>
        <w:t xml:space="preserve"> </w:t>
      </w:r>
      <w:r w:rsidR="007704F5" w:rsidRPr="00811277">
        <w:rPr>
          <w:rFonts w:ascii="Arial" w:eastAsia="Times New Roman" w:hAnsi="Arial" w:cs="Arial"/>
          <w:bCs/>
          <w:sz w:val="24"/>
          <w:szCs w:val="24"/>
          <w:lang w:val="en-GB"/>
        </w:rPr>
        <w:t>as a result</w:t>
      </w:r>
      <w:r w:rsidR="00FE7566" w:rsidRPr="00811277">
        <w:rPr>
          <w:rFonts w:ascii="Arial" w:eastAsia="Times New Roman" w:hAnsi="Arial" w:cs="Arial"/>
          <w:bCs/>
          <w:sz w:val="24"/>
          <w:szCs w:val="24"/>
          <w:lang w:val="en-GB"/>
        </w:rPr>
        <w:t xml:space="preserve"> of undue delay</w:t>
      </w:r>
      <w:r w:rsidR="007704F5" w:rsidRPr="00811277">
        <w:rPr>
          <w:rFonts w:ascii="Arial" w:eastAsia="Times New Roman" w:hAnsi="Arial" w:cs="Arial"/>
          <w:bCs/>
          <w:sz w:val="24"/>
          <w:szCs w:val="24"/>
          <w:lang w:val="en-GB"/>
        </w:rPr>
        <w:t>,</w:t>
      </w:r>
      <w:r w:rsidR="00CC6C85" w:rsidRPr="00811277">
        <w:rPr>
          <w:rFonts w:ascii="Arial" w:eastAsia="Times New Roman" w:hAnsi="Arial" w:cs="Arial"/>
          <w:bCs/>
          <w:sz w:val="24"/>
          <w:szCs w:val="24"/>
          <w:lang w:val="en-GB"/>
        </w:rPr>
        <w:t xml:space="preserve"> </w:t>
      </w:r>
      <w:r w:rsidR="005E02D7" w:rsidRPr="00811277">
        <w:rPr>
          <w:rFonts w:ascii="Arial" w:eastAsia="Times New Roman" w:hAnsi="Arial" w:cs="Arial"/>
          <w:bCs/>
          <w:sz w:val="24"/>
          <w:szCs w:val="24"/>
          <w:lang w:val="en-GB"/>
        </w:rPr>
        <w:t xml:space="preserve">even though </w:t>
      </w:r>
      <w:r w:rsidR="00CC6C85" w:rsidRPr="00811277">
        <w:rPr>
          <w:rFonts w:ascii="Arial" w:eastAsia="Times New Roman" w:hAnsi="Arial" w:cs="Arial"/>
          <w:bCs/>
          <w:sz w:val="24"/>
          <w:szCs w:val="24"/>
          <w:lang w:val="en-GB"/>
        </w:rPr>
        <w:t xml:space="preserve">a </w:t>
      </w:r>
      <w:r w:rsidR="005E02D7" w:rsidRPr="00811277">
        <w:rPr>
          <w:rFonts w:ascii="Arial" w:eastAsia="Times New Roman" w:hAnsi="Arial" w:cs="Arial"/>
          <w:bCs/>
          <w:sz w:val="24"/>
          <w:szCs w:val="24"/>
          <w:lang w:val="en-GB"/>
        </w:rPr>
        <w:t>substantive case for relief may have been made out</w:t>
      </w:r>
      <w:r w:rsidR="00CC6C85" w:rsidRPr="00811277">
        <w:rPr>
          <w:rFonts w:ascii="Arial" w:eastAsia="Times New Roman" w:hAnsi="Arial" w:cs="Arial"/>
          <w:bCs/>
          <w:sz w:val="24"/>
          <w:szCs w:val="24"/>
          <w:lang w:val="en-GB"/>
        </w:rPr>
        <w:t>;</w:t>
      </w:r>
      <w:r w:rsidR="005E02D7" w:rsidRPr="00811277">
        <w:rPr>
          <w:rFonts w:ascii="Arial" w:eastAsia="Times New Roman" w:hAnsi="Arial" w:cs="Arial"/>
          <w:bCs/>
          <w:sz w:val="24"/>
          <w:szCs w:val="24"/>
          <w:lang w:val="en-GB"/>
        </w:rPr>
        <w:t xml:space="preserve"> with collateral challenge matters</w:t>
      </w:r>
      <w:r w:rsidR="00B35225" w:rsidRPr="00811277">
        <w:rPr>
          <w:rFonts w:ascii="Arial" w:eastAsia="Times New Roman" w:hAnsi="Arial" w:cs="Arial"/>
          <w:bCs/>
          <w:sz w:val="24"/>
          <w:szCs w:val="24"/>
          <w:lang w:val="en-GB"/>
        </w:rPr>
        <w:t>,</w:t>
      </w:r>
      <w:r w:rsidR="005E02D7" w:rsidRPr="00811277">
        <w:rPr>
          <w:rFonts w:ascii="Arial" w:eastAsia="Times New Roman" w:hAnsi="Arial" w:cs="Arial"/>
          <w:bCs/>
          <w:sz w:val="24"/>
          <w:szCs w:val="24"/>
          <w:lang w:val="en-GB"/>
        </w:rPr>
        <w:t xml:space="preserve"> which were not in themselves aimed at impeaching the </w:t>
      </w:r>
      <w:r w:rsidR="00CC6C85" w:rsidRPr="00811277">
        <w:rPr>
          <w:rFonts w:ascii="Arial" w:eastAsia="Times New Roman" w:hAnsi="Arial" w:cs="Arial"/>
          <w:bCs/>
          <w:sz w:val="24"/>
          <w:szCs w:val="24"/>
          <w:lang w:val="en-GB"/>
        </w:rPr>
        <w:t>validity of</w:t>
      </w:r>
      <w:r w:rsidR="005E02D7" w:rsidRPr="00811277">
        <w:rPr>
          <w:rFonts w:ascii="Arial" w:eastAsia="Times New Roman" w:hAnsi="Arial" w:cs="Arial"/>
          <w:bCs/>
          <w:sz w:val="24"/>
          <w:szCs w:val="24"/>
          <w:lang w:val="en-GB"/>
        </w:rPr>
        <w:t xml:space="preserve"> the decision or action but to resist </w:t>
      </w:r>
      <w:r w:rsidR="00B35225" w:rsidRPr="00811277">
        <w:rPr>
          <w:rFonts w:ascii="Arial" w:eastAsia="Times New Roman" w:hAnsi="Arial" w:cs="Arial"/>
          <w:bCs/>
          <w:sz w:val="24"/>
          <w:szCs w:val="24"/>
          <w:lang w:val="en-GB"/>
        </w:rPr>
        <w:t xml:space="preserve">its </w:t>
      </w:r>
      <w:r w:rsidR="005E02D7" w:rsidRPr="00811277">
        <w:rPr>
          <w:rFonts w:ascii="Arial" w:eastAsia="Times New Roman" w:hAnsi="Arial" w:cs="Arial"/>
          <w:bCs/>
          <w:sz w:val="24"/>
          <w:szCs w:val="24"/>
          <w:lang w:val="en-GB"/>
        </w:rPr>
        <w:t>enforcement</w:t>
      </w:r>
      <w:r w:rsidR="00B35225" w:rsidRPr="00811277">
        <w:rPr>
          <w:rFonts w:ascii="Arial" w:eastAsia="Times New Roman" w:hAnsi="Arial" w:cs="Arial"/>
          <w:bCs/>
          <w:sz w:val="24"/>
          <w:szCs w:val="24"/>
          <w:lang w:val="en-GB"/>
        </w:rPr>
        <w:t xml:space="preserve">. </w:t>
      </w:r>
      <w:r w:rsidR="0057004E" w:rsidRPr="00811277">
        <w:rPr>
          <w:rFonts w:ascii="Arial" w:eastAsia="Times New Roman" w:hAnsi="Arial" w:cs="Arial"/>
          <w:bCs/>
          <w:sz w:val="24"/>
          <w:szCs w:val="24"/>
          <w:lang w:val="en-GB"/>
        </w:rPr>
        <w:t>He</w:t>
      </w:r>
      <w:r w:rsidR="007704F5" w:rsidRPr="00811277">
        <w:rPr>
          <w:rFonts w:ascii="Arial" w:eastAsia="Times New Roman" w:hAnsi="Arial" w:cs="Arial"/>
          <w:bCs/>
          <w:sz w:val="24"/>
          <w:szCs w:val="24"/>
          <w:lang w:val="en-GB"/>
        </w:rPr>
        <w:t xml:space="preserve"> held that i</w:t>
      </w:r>
      <w:r w:rsidR="005E02D7" w:rsidRPr="00811277">
        <w:rPr>
          <w:rFonts w:ascii="Arial" w:eastAsia="Times New Roman" w:hAnsi="Arial" w:cs="Arial"/>
          <w:bCs/>
          <w:sz w:val="24"/>
          <w:szCs w:val="24"/>
          <w:lang w:val="en-GB"/>
        </w:rPr>
        <w:t xml:space="preserve">n such </w:t>
      </w:r>
      <w:r w:rsidR="00B35225" w:rsidRPr="00811277">
        <w:rPr>
          <w:rFonts w:ascii="Arial" w:eastAsia="Times New Roman" w:hAnsi="Arial" w:cs="Arial"/>
          <w:bCs/>
          <w:sz w:val="24"/>
          <w:szCs w:val="24"/>
          <w:lang w:val="en-GB"/>
        </w:rPr>
        <w:t xml:space="preserve">matters </w:t>
      </w:r>
      <w:r w:rsidR="005E02D7" w:rsidRPr="00811277">
        <w:rPr>
          <w:rFonts w:ascii="Arial" w:eastAsia="Times New Roman" w:hAnsi="Arial" w:cs="Arial"/>
          <w:bCs/>
          <w:sz w:val="24"/>
          <w:szCs w:val="24"/>
          <w:lang w:val="en-GB"/>
        </w:rPr>
        <w:t xml:space="preserve">a party could not be precluded from raising the invalidity of </w:t>
      </w:r>
      <w:r w:rsidR="00B35225" w:rsidRPr="00811277">
        <w:rPr>
          <w:rFonts w:ascii="Arial" w:eastAsia="Times New Roman" w:hAnsi="Arial" w:cs="Arial"/>
          <w:bCs/>
          <w:sz w:val="24"/>
          <w:szCs w:val="24"/>
          <w:lang w:val="en-GB"/>
        </w:rPr>
        <w:t>an underlying</w:t>
      </w:r>
      <w:r w:rsidR="005E02D7" w:rsidRPr="00811277">
        <w:rPr>
          <w:rFonts w:ascii="Arial" w:eastAsia="Times New Roman" w:hAnsi="Arial" w:cs="Arial"/>
          <w:bCs/>
          <w:sz w:val="24"/>
          <w:szCs w:val="24"/>
          <w:lang w:val="en-GB"/>
        </w:rPr>
        <w:t xml:space="preserve"> administrative action or decision ‘</w:t>
      </w:r>
      <w:r w:rsidR="005E02D7" w:rsidRPr="00811277">
        <w:rPr>
          <w:rFonts w:ascii="Arial" w:eastAsia="Times New Roman" w:hAnsi="Arial" w:cs="Arial"/>
          <w:bCs/>
          <w:i/>
          <w:iCs/>
          <w:sz w:val="24"/>
          <w:szCs w:val="24"/>
          <w:lang w:val="en-GB"/>
        </w:rPr>
        <w:t>merely</w:t>
      </w:r>
      <w:r w:rsidR="005E02D7" w:rsidRPr="00811277">
        <w:rPr>
          <w:rFonts w:ascii="Arial" w:eastAsia="Times New Roman" w:hAnsi="Arial" w:cs="Arial"/>
          <w:bCs/>
          <w:sz w:val="24"/>
          <w:szCs w:val="24"/>
          <w:lang w:val="en-GB"/>
        </w:rPr>
        <w:t>’ on the grounds of delay</w:t>
      </w:r>
      <w:r w:rsidR="00B35225" w:rsidRPr="00811277">
        <w:rPr>
          <w:rFonts w:ascii="Arial" w:eastAsia="Times New Roman" w:hAnsi="Arial" w:cs="Arial"/>
          <w:bCs/>
          <w:sz w:val="24"/>
          <w:szCs w:val="24"/>
          <w:lang w:val="en-GB"/>
        </w:rPr>
        <w:t>,</w:t>
      </w:r>
      <w:r w:rsidR="005E02D7" w:rsidRPr="00811277">
        <w:rPr>
          <w:rFonts w:ascii="Arial" w:eastAsia="Times New Roman" w:hAnsi="Arial" w:cs="Arial"/>
          <w:bCs/>
          <w:sz w:val="24"/>
          <w:szCs w:val="24"/>
          <w:lang w:val="en-GB"/>
        </w:rPr>
        <w:t xml:space="preserve"> for this </w:t>
      </w:r>
      <w:r w:rsidR="00CC6C85" w:rsidRPr="00811277">
        <w:rPr>
          <w:rFonts w:ascii="Arial" w:eastAsia="Times New Roman" w:hAnsi="Arial" w:cs="Arial"/>
          <w:bCs/>
          <w:sz w:val="24"/>
          <w:szCs w:val="24"/>
          <w:lang w:val="en-GB"/>
        </w:rPr>
        <w:t>might</w:t>
      </w:r>
      <w:r w:rsidR="005E02D7" w:rsidRPr="00811277">
        <w:rPr>
          <w:rFonts w:ascii="Arial" w:eastAsia="Times New Roman" w:hAnsi="Arial" w:cs="Arial"/>
          <w:bCs/>
          <w:sz w:val="24"/>
          <w:szCs w:val="24"/>
          <w:lang w:val="en-GB"/>
        </w:rPr>
        <w:t xml:space="preserve"> be ‘akin</w:t>
      </w:r>
      <w:r w:rsidR="00B35225" w:rsidRPr="00811277">
        <w:rPr>
          <w:rFonts w:ascii="Arial" w:eastAsia="Times New Roman" w:hAnsi="Arial" w:cs="Arial"/>
          <w:bCs/>
          <w:sz w:val="24"/>
          <w:szCs w:val="24"/>
          <w:lang w:val="en-GB"/>
        </w:rPr>
        <w:t xml:space="preserve">’ to </w:t>
      </w:r>
      <w:r w:rsidR="00B35225" w:rsidRPr="00811277">
        <w:rPr>
          <w:rFonts w:ascii="Arial" w:eastAsia="Times New Roman" w:hAnsi="Arial" w:cs="Arial"/>
          <w:bCs/>
          <w:sz w:val="24"/>
          <w:szCs w:val="24"/>
          <w:lang w:val="en-GB"/>
        </w:rPr>
        <w:lastRenderedPageBreak/>
        <w:t>holding that a</w:t>
      </w:r>
      <w:r w:rsidR="005E02D7" w:rsidRPr="00811277">
        <w:rPr>
          <w:rFonts w:ascii="Arial" w:eastAsia="Times New Roman" w:hAnsi="Arial" w:cs="Arial"/>
          <w:bCs/>
          <w:sz w:val="24"/>
          <w:szCs w:val="24"/>
          <w:lang w:val="en-GB"/>
        </w:rPr>
        <w:t xml:space="preserve"> defence to a claim</w:t>
      </w:r>
      <w:r w:rsidR="00B35225" w:rsidRPr="00811277">
        <w:rPr>
          <w:rFonts w:ascii="Arial" w:eastAsia="Times New Roman" w:hAnsi="Arial" w:cs="Arial"/>
          <w:bCs/>
          <w:sz w:val="24"/>
          <w:szCs w:val="24"/>
          <w:lang w:val="en-GB"/>
        </w:rPr>
        <w:t xml:space="preserve"> had </w:t>
      </w:r>
      <w:r w:rsidR="005E02D7" w:rsidRPr="00811277">
        <w:rPr>
          <w:rFonts w:ascii="Arial" w:eastAsia="Times New Roman" w:hAnsi="Arial" w:cs="Arial"/>
          <w:bCs/>
          <w:sz w:val="24"/>
          <w:szCs w:val="24"/>
          <w:lang w:val="en-GB"/>
        </w:rPr>
        <w:t>becom</w:t>
      </w:r>
      <w:r w:rsidR="00B35225" w:rsidRPr="00811277">
        <w:rPr>
          <w:rFonts w:ascii="Arial" w:eastAsia="Times New Roman" w:hAnsi="Arial" w:cs="Arial"/>
          <w:bCs/>
          <w:sz w:val="24"/>
          <w:szCs w:val="24"/>
          <w:lang w:val="en-GB"/>
        </w:rPr>
        <w:t>e</w:t>
      </w:r>
      <w:r w:rsidR="005E02D7" w:rsidRPr="00811277">
        <w:rPr>
          <w:rFonts w:ascii="Arial" w:eastAsia="Times New Roman" w:hAnsi="Arial" w:cs="Arial"/>
          <w:bCs/>
          <w:sz w:val="24"/>
          <w:szCs w:val="24"/>
          <w:lang w:val="en-GB"/>
        </w:rPr>
        <w:t xml:space="preserve"> prescribed </w:t>
      </w:r>
      <w:r w:rsidR="00B35225" w:rsidRPr="00811277">
        <w:rPr>
          <w:rFonts w:ascii="Arial" w:eastAsia="Times New Roman" w:hAnsi="Arial" w:cs="Arial"/>
          <w:bCs/>
          <w:sz w:val="24"/>
          <w:szCs w:val="24"/>
          <w:lang w:val="en-GB"/>
        </w:rPr>
        <w:t>bef</w:t>
      </w:r>
      <w:r w:rsidR="005E02D7" w:rsidRPr="00811277">
        <w:rPr>
          <w:rFonts w:ascii="Arial" w:eastAsia="Times New Roman" w:hAnsi="Arial" w:cs="Arial"/>
          <w:bCs/>
          <w:sz w:val="24"/>
          <w:szCs w:val="24"/>
          <w:lang w:val="en-GB"/>
        </w:rPr>
        <w:t>or</w:t>
      </w:r>
      <w:r w:rsidR="00B35225" w:rsidRPr="00811277">
        <w:rPr>
          <w:rFonts w:ascii="Arial" w:eastAsia="Times New Roman" w:hAnsi="Arial" w:cs="Arial"/>
          <w:bCs/>
          <w:sz w:val="24"/>
          <w:szCs w:val="24"/>
          <w:lang w:val="en-GB"/>
        </w:rPr>
        <w:t>e</w:t>
      </w:r>
      <w:r w:rsidR="005E02D7" w:rsidRPr="00811277">
        <w:rPr>
          <w:rFonts w:ascii="Arial" w:eastAsia="Times New Roman" w:hAnsi="Arial" w:cs="Arial"/>
          <w:bCs/>
          <w:sz w:val="24"/>
          <w:szCs w:val="24"/>
          <w:lang w:val="en-GB"/>
        </w:rPr>
        <w:t xml:space="preserve"> the claim itself.</w:t>
      </w:r>
      <w:r w:rsidR="005E02D7">
        <w:rPr>
          <w:rStyle w:val="FootnoteReference"/>
          <w:rFonts w:ascii="Arial" w:eastAsia="Times New Roman" w:hAnsi="Arial" w:cs="Arial"/>
          <w:bCs/>
          <w:sz w:val="24"/>
          <w:szCs w:val="24"/>
          <w:lang w:val="en-GB"/>
        </w:rPr>
        <w:footnoteReference w:id="30"/>
      </w:r>
      <w:r w:rsidR="005E02D7" w:rsidRPr="00811277">
        <w:rPr>
          <w:rFonts w:ascii="Arial" w:eastAsia="Times New Roman" w:hAnsi="Arial" w:cs="Arial"/>
          <w:bCs/>
          <w:sz w:val="24"/>
          <w:szCs w:val="24"/>
          <w:lang w:val="en-GB"/>
        </w:rPr>
        <w:t xml:space="preserve"> </w:t>
      </w:r>
      <w:r w:rsidR="0057004E" w:rsidRPr="00811277">
        <w:rPr>
          <w:rFonts w:ascii="Arial" w:eastAsia="Times New Roman" w:hAnsi="Arial" w:cs="Arial"/>
          <w:bCs/>
          <w:sz w:val="24"/>
          <w:szCs w:val="24"/>
          <w:lang w:val="en-GB"/>
        </w:rPr>
        <w:t>Consequently</w:t>
      </w:r>
      <w:r w:rsidR="005E02D7" w:rsidRPr="00811277">
        <w:rPr>
          <w:rFonts w:ascii="Arial" w:eastAsia="Times New Roman" w:hAnsi="Arial" w:cs="Arial"/>
          <w:bCs/>
          <w:sz w:val="24"/>
          <w:szCs w:val="24"/>
          <w:lang w:val="en-GB"/>
        </w:rPr>
        <w:t xml:space="preserve">, in some cases administrative acts and subordinate legislation had been indirectly challenged in criminal and enforcement proceedings many years after they were </w:t>
      </w:r>
      <w:r w:rsidR="00CC6C85" w:rsidRPr="00811277">
        <w:rPr>
          <w:rFonts w:ascii="Arial" w:eastAsia="Times New Roman" w:hAnsi="Arial" w:cs="Arial"/>
          <w:bCs/>
          <w:sz w:val="24"/>
          <w:szCs w:val="24"/>
          <w:lang w:val="en-GB"/>
        </w:rPr>
        <w:t>per</w:t>
      </w:r>
      <w:r w:rsidR="005E02D7" w:rsidRPr="00811277">
        <w:rPr>
          <w:rFonts w:ascii="Arial" w:eastAsia="Times New Roman" w:hAnsi="Arial" w:cs="Arial"/>
          <w:bCs/>
          <w:sz w:val="24"/>
          <w:szCs w:val="24"/>
          <w:lang w:val="en-GB"/>
        </w:rPr>
        <w:t xml:space="preserve">formed or promulgated. In this regard he </w:t>
      </w:r>
      <w:r w:rsidR="008F47F6" w:rsidRPr="00811277">
        <w:rPr>
          <w:rFonts w:ascii="Arial" w:eastAsia="Times New Roman" w:hAnsi="Arial" w:cs="Arial"/>
          <w:bCs/>
          <w:sz w:val="24"/>
          <w:szCs w:val="24"/>
          <w:lang w:val="en-GB"/>
        </w:rPr>
        <w:t>re</w:t>
      </w:r>
      <w:r w:rsidR="005E02D7" w:rsidRPr="00811277">
        <w:rPr>
          <w:rFonts w:ascii="Arial" w:eastAsia="Times New Roman" w:hAnsi="Arial" w:cs="Arial"/>
          <w:bCs/>
          <w:sz w:val="24"/>
          <w:szCs w:val="24"/>
          <w:lang w:val="en-GB"/>
        </w:rPr>
        <w:t xml:space="preserve">ferred to the decision in the UK in 1961 in </w:t>
      </w:r>
      <w:r w:rsidR="00CC6C85" w:rsidRPr="00811277">
        <w:rPr>
          <w:rFonts w:ascii="Arial" w:eastAsia="Times New Roman" w:hAnsi="Arial" w:cs="Arial"/>
          <w:bCs/>
          <w:i/>
          <w:iCs/>
          <w:sz w:val="24"/>
          <w:szCs w:val="24"/>
          <w:lang w:val="en-GB"/>
        </w:rPr>
        <w:t>C</w:t>
      </w:r>
      <w:r w:rsidR="005E02D7" w:rsidRPr="00811277">
        <w:rPr>
          <w:rFonts w:ascii="Arial" w:eastAsia="Times New Roman" w:hAnsi="Arial" w:cs="Arial"/>
          <w:bCs/>
          <w:i/>
          <w:iCs/>
          <w:sz w:val="24"/>
          <w:szCs w:val="24"/>
          <w:lang w:val="en-GB"/>
        </w:rPr>
        <w:t>ure</w:t>
      </w:r>
      <w:r w:rsidR="005E02D7">
        <w:rPr>
          <w:rStyle w:val="FootnoteReference"/>
          <w:rFonts w:ascii="Arial" w:eastAsia="Times New Roman" w:hAnsi="Arial" w:cs="Arial"/>
          <w:bCs/>
          <w:sz w:val="24"/>
          <w:szCs w:val="24"/>
          <w:lang w:val="en-GB"/>
        </w:rPr>
        <w:footnoteReference w:id="31"/>
      </w:r>
      <w:r w:rsidR="005E02D7" w:rsidRPr="00811277">
        <w:rPr>
          <w:rFonts w:ascii="Arial" w:eastAsia="Times New Roman" w:hAnsi="Arial" w:cs="Arial"/>
          <w:bCs/>
          <w:sz w:val="24"/>
          <w:szCs w:val="24"/>
          <w:lang w:val="en-GB"/>
        </w:rPr>
        <w:t xml:space="preserve"> where </w:t>
      </w:r>
      <w:r w:rsidR="00CC6C85" w:rsidRPr="00811277">
        <w:rPr>
          <w:rFonts w:ascii="Arial" w:eastAsia="Times New Roman" w:hAnsi="Arial" w:cs="Arial"/>
          <w:bCs/>
          <w:sz w:val="24"/>
          <w:szCs w:val="24"/>
          <w:lang w:val="en-GB"/>
        </w:rPr>
        <w:t xml:space="preserve">a </w:t>
      </w:r>
      <w:r w:rsidR="005E02D7" w:rsidRPr="00811277">
        <w:rPr>
          <w:rFonts w:ascii="Arial" w:eastAsia="Times New Roman" w:hAnsi="Arial" w:cs="Arial"/>
          <w:bCs/>
          <w:sz w:val="24"/>
          <w:szCs w:val="24"/>
          <w:lang w:val="en-GB"/>
        </w:rPr>
        <w:t xml:space="preserve">purchase tax regulation which had been passed in 1945 was held to be </w:t>
      </w:r>
      <w:r w:rsidR="005E02D7" w:rsidRPr="00811277">
        <w:rPr>
          <w:rFonts w:ascii="Arial" w:eastAsia="Times New Roman" w:hAnsi="Arial" w:cs="Arial"/>
          <w:bCs/>
          <w:i/>
          <w:iCs/>
          <w:sz w:val="24"/>
          <w:szCs w:val="24"/>
          <w:lang w:val="en-GB"/>
        </w:rPr>
        <w:t>ultra vires</w:t>
      </w:r>
      <w:r w:rsidR="005E02D7" w:rsidRPr="00811277">
        <w:rPr>
          <w:rFonts w:ascii="Arial" w:eastAsia="Times New Roman" w:hAnsi="Arial" w:cs="Arial"/>
          <w:bCs/>
          <w:sz w:val="24"/>
          <w:szCs w:val="24"/>
          <w:lang w:val="en-GB"/>
        </w:rPr>
        <w:t xml:space="preserve"> in </w:t>
      </w:r>
      <w:r w:rsidR="00CC6C85" w:rsidRPr="00811277">
        <w:rPr>
          <w:rFonts w:ascii="Arial" w:eastAsia="Times New Roman" w:hAnsi="Arial" w:cs="Arial"/>
          <w:bCs/>
          <w:sz w:val="24"/>
          <w:szCs w:val="24"/>
          <w:lang w:val="en-GB"/>
        </w:rPr>
        <w:t>a</w:t>
      </w:r>
      <w:r w:rsidR="005E02D7" w:rsidRPr="00811277">
        <w:rPr>
          <w:rFonts w:ascii="Arial" w:eastAsia="Times New Roman" w:hAnsi="Arial" w:cs="Arial"/>
          <w:bCs/>
          <w:sz w:val="24"/>
          <w:szCs w:val="24"/>
          <w:lang w:val="en-GB"/>
        </w:rPr>
        <w:t xml:space="preserve"> collateral challenge</w:t>
      </w:r>
      <w:r w:rsidR="00CC6C85" w:rsidRPr="00811277">
        <w:rPr>
          <w:rFonts w:ascii="Arial" w:eastAsia="Times New Roman" w:hAnsi="Arial" w:cs="Arial"/>
          <w:bCs/>
          <w:sz w:val="24"/>
          <w:szCs w:val="24"/>
          <w:lang w:val="en-GB"/>
        </w:rPr>
        <w:t>,</w:t>
      </w:r>
      <w:r w:rsidR="005E02D7" w:rsidRPr="00811277">
        <w:rPr>
          <w:rFonts w:ascii="Arial" w:eastAsia="Times New Roman" w:hAnsi="Arial" w:cs="Arial"/>
          <w:bCs/>
          <w:sz w:val="24"/>
          <w:szCs w:val="24"/>
          <w:lang w:val="en-GB"/>
        </w:rPr>
        <w:t xml:space="preserve"> when it </w:t>
      </w:r>
      <w:r w:rsidR="00CC6C85" w:rsidRPr="00811277">
        <w:rPr>
          <w:rFonts w:ascii="Arial" w:eastAsia="Times New Roman" w:hAnsi="Arial" w:cs="Arial"/>
          <w:bCs/>
          <w:sz w:val="24"/>
          <w:szCs w:val="24"/>
          <w:lang w:val="en-GB"/>
        </w:rPr>
        <w:t xml:space="preserve">was </w:t>
      </w:r>
      <w:r w:rsidR="005E02D7" w:rsidRPr="00811277">
        <w:rPr>
          <w:rFonts w:ascii="Arial" w:eastAsia="Times New Roman" w:hAnsi="Arial" w:cs="Arial"/>
          <w:bCs/>
          <w:sz w:val="24"/>
          <w:szCs w:val="24"/>
          <w:lang w:val="en-GB"/>
        </w:rPr>
        <w:t>sought to be enforced some 16 years</w:t>
      </w:r>
      <w:r w:rsidR="00CC6C85" w:rsidRPr="00811277">
        <w:rPr>
          <w:rFonts w:ascii="Arial" w:eastAsia="Times New Roman" w:hAnsi="Arial" w:cs="Arial"/>
          <w:bCs/>
          <w:sz w:val="24"/>
          <w:szCs w:val="24"/>
          <w:lang w:val="en-GB"/>
        </w:rPr>
        <w:t xml:space="preserve"> after its passing</w:t>
      </w:r>
      <w:r w:rsidR="005E02D7" w:rsidRPr="00811277">
        <w:rPr>
          <w:rFonts w:ascii="Arial" w:eastAsia="Times New Roman" w:hAnsi="Arial" w:cs="Arial"/>
          <w:bCs/>
          <w:sz w:val="24"/>
          <w:szCs w:val="24"/>
          <w:lang w:val="en-GB"/>
        </w:rPr>
        <w:t xml:space="preserve">. </w:t>
      </w:r>
      <w:r w:rsidR="00072FBB" w:rsidRPr="00811277">
        <w:rPr>
          <w:rFonts w:ascii="Arial" w:eastAsia="Times New Roman" w:hAnsi="Arial" w:cs="Arial"/>
          <w:bCs/>
          <w:sz w:val="24"/>
          <w:szCs w:val="24"/>
          <w:lang w:val="en-GB"/>
        </w:rPr>
        <w:t>In t</w:t>
      </w:r>
      <w:r w:rsidR="005E02D7" w:rsidRPr="00811277">
        <w:rPr>
          <w:rFonts w:ascii="Arial" w:eastAsia="Times New Roman" w:hAnsi="Arial" w:cs="Arial"/>
          <w:bCs/>
          <w:sz w:val="24"/>
          <w:szCs w:val="24"/>
          <w:lang w:val="en-GB"/>
        </w:rPr>
        <w:t xml:space="preserve">he circumstances, </w:t>
      </w:r>
      <w:r w:rsidR="009B7A73" w:rsidRPr="00811277">
        <w:rPr>
          <w:rFonts w:ascii="Arial" w:eastAsia="Times New Roman" w:hAnsi="Arial" w:cs="Arial"/>
          <w:bCs/>
          <w:sz w:val="24"/>
          <w:szCs w:val="24"/>
          <w:lang w:val="en-GB"/>
        </w:rPr>
        <w:t>he concluded</w:t>
      </w:r>
      <w:r w:rsidR="005E02D7" w:rsidRPr="00811277">
        <w:rPr>
          <w:rFonts w:ascii="Arial" w:eastAsia="Times New Roman" w:hAnsi="Arial" w:cs="Arial"/>
          <w:bCs/>
          <w:sz w:val="24"/>
          <w:szCs w:val="24"/>
          <w:lang w:val="en-GB"/>
        </w:rPr>
        <w:t xml:space="preserve"> that the delay rule which was applicable in review matters</w:t>
      </w:r>
      <w:r w:rsidR="00EF1EFE" w:rsidRPr="00811277">
        <w:rPr>
          <w:rFonts w:ascii="Arial" w:eastAsia="Times New Roman" w:hAnsi="Arial" w:cs="Arial"/>
          <w:bCs/>
          <w:sz w:val="24"/>
          <w:szCs w:val="24"/>
          <w:lang w:val="en-GB"/>
        </w:rPr>
        <w:t xml:space="preserve"> </w:t>
      </w:r>
      <w:r w:rsidR="00072FBB">
        <w:rPr>
          <w:rStyle w:val="FootnoteReference"/>
          <w:rFonts w:ascii="Arial" w:eastAsia="Times New Roman" w:hAnsi="Arial" w:cs="Arial"/>
          <w:bCs/>
          <w:sz w:val="24"/>
          <w:szCs w:val="24"/>
          <w:lang w:val="en-GB"/>
        </w:rPr>
        <w:footnoteReference w:id="32"/>
      </w:r>
      <w:r w:rsidR="005E02D7" w:rsidRPr="00811277">
        <w:rPr>
          <w:rFonts w:ascii="Arial" w:eastAsia="Times New Roman" w:hAnsi="Arial" w:cs="Arial"/>
          <w:bCs/>
          <w:sz w:val="24"/>
          <w:szCs w:val="24"/>
          <w:lang w:val="en-GB"/>
        </w:rPr>
        <w:t xml:space="preserve"> where the alleged invalidity of an administrative act or decision, or of subordinate legislation</w:t>
      </w:r>
      <w:r w:rsidR="001F249A" w:rsidRPr="00811277">
        <w:rPr>
          <w:rFonts w:ascii="Arial" w:eastAsia="Times New Roman" w:hAnsi="Arial" w:cs="Arial"/>
          <w:bCs/>
          <w:sz w:val="24"/>
          <w:szCs w:val="24"/>
          <w:lang w:val="en-GB"/>
        </w:rPr>
        <w:t>,</w:t>
      </w:r>
      <w:r w:rsidR="005E02D7" w:rsidRPr="00811277">
        <w:rPr>
          <w:rFonts w:ascii="Arial" w:eastAsia="Times New Roman" w:hAnsi="Arial" w:cs="Arial"/>
          <w:bCs/>
          <w:sz w:val="24"/>
          <w:szCs w:val="24"/>
          <w:lang w:val="en-GB"/>
        </w:rPr>
        <w:t xml:space="preserve"> </w:t>
      </w:r>
      <w:r w:rsidR="007D0D2B" w:rsidRPr="00811277">
        <w:rPr>
          <w:rFonts w:ascii="Arial" w:eastAsia="Times New Roman" w:hAnsi="Arial" w:cs="Arial"/>
          <w:bCs/>
          <w:sz w:val="24"/>
          <w:szCs w:val="24"/>
          <w:lang w:val="en-GB"/>
        </w:rPr>
        <w:t>wa</w:t>
      </w:r>
      <w:r w:rsidR="005E02D7" w:rsidRPr="00811277">
        <w:rPr>
          <w:rFonts w:ascii="Arial" w:eastAsia="Times New Roman" w:hAnsi="Arial" w:cs="Arial"/>
          <w:bCs/>
          <w:sz w:val="24"/>
          <w:szCs w:val="24"/>
          <w:lang w:val="en-GB"/>
        </w:rPr>
        <w:t>s challenged</w:t>
      </w:r>
      <w:r w:rsidR="001F249A" w:rsidRPr="00811277">
        <w:rPr>
          <w:rFonts w:ascii="Arial" w:eastAsia="Times New Roman" w:hAnsi="Arial" w:cs="Arial"/>
          <w:bCs/>
          <w:sz w:val="24"/>
          <w:szCs w:val="24"/>
          <w:lang w:val="en-GB"/>
        </w:rPr>
        <w:t>,</w:t>
      </w:r>
      <w:r w:rsidR="005E02D7" w:rsidRPr="00811277">
        <w:rPr>
          <w:rFonts w:ascii="Arial" w:eastAsia="Times New Roman" w:hAnsi="Arial" w:cs="Arial"/>
          <w:bCs/>
          <w:sz w:val="24"/>
          <w:szCs w:val="24"/>
          <w:lang w:val="en-GB"/>
        </w:rPr>
        <w:t xml:space="preserve"> </w:t>
      </w:r>
      <w:r w:rsidR="000D22BC" w:rsidRPr="00811277">
        <w:rPr>
          <w:rFonts w:ascii="Arial" w:eastAsia="Times New Roman" w:hAnsi="Arial" w:cs="Arial"/>
          <w:bCs/>
          <w:sz w:val="24"/>
          <w:szCs w:val="24"/>
          <w:lang w:val="en-GB"/>
        </w:rPr>
        <w:t>could</w:t>
      </w:r>
      <w:r w:rsidR="005E02D7" w:rsidRPr="00811277">
        <w:rPr>
          <w:rFonts w:ascii="Arial" w:eastAsia="Times New Roman" w:hAnsi="Arial" w:cs="Arial"/>
          <w:bCs/>
          <w:sz w:val="24"/>
          <w:szCs w:val="24"/>
          <w:lang w:val="en-GB"/>
        </w:rPr>
        <w:t xml:space="preserve"> not </w:t>
      </w:r>
      <w:r w:rsidR="000D22BC" w:rsidRPr="00811277">
        <w:rPr>
          <w:rFonts w:ascii="Arial" w:eastAsia="Times New Roman" w:hAnsi="Arial" w:cs="Arial"/>
          <w:bCs/>
          <w:sz w:val="24"/>
          <w:szCs w:val="24"/>
          <w:lang w:val="en-GB"/>
        </w:rPr>
        <w:t xml:space="preserve">serve as </w:t>
      </w:r>
      <w:r w:rsidR="005E02D7" w:rsidRPr="00811277">
        <w:rPr>
          <w:rFonts w:ascii="Arial" w:eastAsia="Times New Roman" w:hAnsi="Arial" w:cs="Arial"/>
          <w:bCs/>
          <w:sz w:val="24"/>
          <w:szCs w:val="24"/>
          <w:lang w:val="en-GB"/>
        </w:rPr>
        <w:t>a defence to an action or application in which it was challenged collateral</w:t>
      </w:r>
      <w:r w:rsidR="001F249A" w:rsidRPr="00811277">
        <w:rPr>
          <w:rFonts w:ascii="Arial" w:eastAsia="Times New Roman" w:hAnsi="Arial" w:cs="Arial"/>
          <w:bCs/>
          <w:sz w:val="24"/>
          <w:szCs w:val="24"/>
          <w:lang w:val="en-GB"/>
        </w:rPr>
        <w:t>ly</w:t>
      </w:r>
      <w:r w:rsidR="005E02D7" w:rsidRPr="00811277">
        <w:rPr>
          <w:rFonts w:ascii="Arial" w:eastAsia="Times New Roman" w:hAnsi="Arial" w:cs="Arial"/>
          <w:bCs/>
          <w:sz w:val="24"/>
          <w:szCs w:val="24"/>
          <w:lang w:val="en-GB"/>
        </w:rPr>
        <w:t xml:space="preserve">. </w:t>
      </w:r>
    </w:p>
    <w:p w14:paraId="750897FA" w14:textId="61FBC2C5" w:rsidR="00204E25"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36.</w:t>
      </w:r>
      <w:r>
        <w:rPr>
          <w:rFonts w:ascii="Arial" w:eastAsia="Times New Roman" w:hAnsi="Arial" w:cs="Arial"/>
          <w:bCs/>
          <w:kern w:val="0"/>
          <w:sz w:val="24"/>
          <w:szCs w:val="24"/>
          <w:lang w:val="en-GB"/>
          <w14:ligatures w14:val="none"/>
        </w:rPr>
        <w:tab/>
      </w:r>
      <w:r w:rsidR="005E02D7" w:rsidRPr="00811277">
        <w:rPr>
          <w:rFonts w:ascii="Arial" w:eastAsia="Times New Roman" w:hAnsi="Arial" w:cs="Arial"/>
          <w:bCs/>
          <w:sz w:val="24"/>
          <w:szCs w:val="24"/>
          <w:lang w:val="en-GB"/>
        </w:rPr>
        <w:t xml:space="preserve">Properly read in the context of the relevant facts which were before the </w:t>
      </w:r>
      <w:r w:rsidR="001F249A" w:rsidRPr="00811277">
        <w:rPr>
          <w:rFonts w:ascii="Arial" w:eastAsia="Times New Roman" w:hAnsi="Arial" w:cs="Arial"/>
          <w:bCs/>
          <w:sz w:val="24"/>
          <w:szCs w:val="24"/>
          <w:lang w:val="en-GB"/>
        </w:rPr>
        <w:t>C</w:t>
      </w:r>
      <w:r w:rsidR="005E02D7" w:rsidRPr="00811277">
        <w:rPr>
          <w:rFonts w:ascii="Arial" w:eastAsia="Times New Roman" w:hAnsi="Arial" w:cs="Arial"/>
          <w:bCs/>
          <w:sz w:val="24"/>
          <w:szCs w:val="24"/>
          <w:lang w:val="en-GB"/>
        </w:rPr>
        <w:t>ourt at the time and the earlier remarks which were made</w:t>
      </w:r>
      <w:r w:rsidR="001F249A" w:rsidRPr="00811277">
        <w:rPr>
          <w:rFonts w:ascii="Arial" w:eastAsia="Times New Roman" w:hAnsi="Arial" w:cs="Arial"/>
          <w:bCs/>
          <w:sz w:val="24"/>
          <w:szCs w:val="24"/>
          <w:lang w:val="en-GB"/>
        </w:rPr>
        <w:t xml:space="preserve"> by it</w:t>
      </w:r>
      <w:r w:rsidR="005E02D7" w:rsidRPr="00811277">
        <w:rPr>
          <w:rFonts w:ascii="Arial" w:eastAsia="Times New Roman" w:hAnsi="Arial" w:cs="Arial"/>
          <w:bCs/>
          <w:sz w:val="24"/>
          <w:szCs w:val="24"/>
          <w:lang w:val="en-GB"/>
        </w:rPr>
        <w:t xml:space="preserve">, this decision also goes no further than to state that a defendant/respondent cannot be precluded </w:t>
      </w:r>
      <w:r w:rsidR="005E02D7" w:rsidRPr="00811277">
        <w:rPr>
          <w:rFonts w:ascii="Arial" w:eastAsia="Times New Roman" w:hAnsi="Arial" w:cs="Arial"/>
          <w:bCs/>
          <w:i/>
          <w:iCs/>
          <w:sz w:val="24"/>
          <w:szCs w:val="24"/>
          <w:lang w:val="en-GB"/>
        </w:rPr>
        <w:t>per se</w:t>
      </w:r>
      <w:r w:rsidR="005E02D7" w:rsidRPr="00811277">
        <w:rPr>
          <w:rFonts w:ascii="Arial" w:eastAsia="Times New Roman" w:hAnsi="Arial" w:cs="Arial"/>
          <w:bCs/>
          <w:sz w:val="24"/>
          <w:szCs w:val="24"/>
          <w:lang w:val="en-GB"/>
        </w:rPr>
        <w:t xml:space="preserve"> from raising a collateral challenge, on the grounds of delay. </w:t>
      </w:r>
      <w:r w:rsidR="001F249A" w:rsidRPr="00811277">
        <w:rPr>
          <w:rFonts w:ascii="Arial" w:eastAsia="Times New Roman" w:hAnsi="Arial" w:cs="Arial"/>
          <w:bCs/>
          <w:sz w:val="24"/>
          <w:szCs w:val="24"/>
          <w:lang w:val="en-GB"/>
        </w:rPr>
        <w:t>On my reading of it t</w:t>
      </w:r>
      <w:r w:rsidR="005E02D7" w:rsidRPr="00811277">
        <w:rPr>
          <w:rFonts w:ascii="Arial" w:eastAsia="Times New Roman" w:hAnsi="Arial" w:cs="Arial"/>
          <w:bCs/>
          <w:sz w:val="24"/>
          <w:szCs w:val="24"/>
          <w:lang w:val="en-GB"/>
        </w:rPr>
        <w:t xml:space="preserve">he decision did not purport to lay down a general rule that in collateral challenge matters delay </w:t>
      </w:r>
      <w:r w:rsidR="001F249A" w:rsidRPr="00811277">
        <w:rPr>
          <w:rFonts w:ascii="Arial" w:eastAsia="Times New Roman" w:hAnsi="Arial" w:cs="Arial"/>
          <w:bCs/>
          <w:sz w:val="24"/>
          <w:szCs w:val="24"/>
          <w:lang w:val="en-GB"/>
        </w:rPr>
        <w:t xml:space="preserve">will </w:t>
      </w:r>
      <w:r w:rsidR="005E02D7" w:rsidRPr="00811277">
        <w:rPr>
          <w:rFonts w:ascii="Arial" w:eastAsia="Times New Roman" w:hAnsi="Arial" w:cs="Arial"/>
          <w:bCs/>
          <w:i/>
          <w:iCs/>
          <w:sz w:val="24"/>
          <w:szCs w:val="24"/>
          <w:lang w:val="en-GB"/>
        </w:rPr>
        <w:t>never</w:t>
      </w:r>
      <w:r w:rsidR="005E02D7" w:rsidRPr="00811277">
        <w:rPr>
          <w:rFonts w:ascii="Arial" w:eastAsia="Times New Roman" w:hAnsi="Arial" w:cs="Arial"/>
          <w:bCs/>
          <w:sz w:val="24"/>
          <w:szCs w:val="24"/>
          <w:lang w:val="en-GB"/>
        </w:rPr>
        <w:t xml:space="preserve"> play a role and if it did </w:t>
      </w:r>
      <w:r w:rsidR="001F249A" w:rsidRPr="00811277">
        <w:rPr>
          <w:rFonts w:ascii="Arial" w:eastAsia="Times New Roman" w:hAnsi="Arial" w:cs="Arial"/>
          <w:bCs/>
          <w:sz w:val="24"/>
          <w:szCs w:val="24"/>
          <w:lang w:val="en-GB"/>
        </w:rPr>
        <w:t xml:space="preserve">purport to do </w:t>
      </w:r>
      <w:r w:rsidR="005E02D7" w:rsidRPr="00811277">
        <w:rPr>
          <w:rFonts w:ascii="Arial" w:eastAsia="Times New Roman" w:hAnsi="Arial" w:cs="Arial"/>
          <w:bCs/>
          <w:sz w:val="24"/>
          <w:szCs w:val="24"/>
          <w:lang w:val="en-GB"/>
        </w:rPr>
        <w:t xml:space="preserve">so, </w:t>
      </w:r>
      <w:r w:rsidR="001F249A" w:rsidRPr="00811277">
        <w:rPr>
          <w:rFonts w:ascii="Arial" w:eastAsia="Times New Roman" w:hAnsi="Arial" w:cs="Arial"/>
          <w:bCs/>
          <w:sz w:val="24"/>
          <w:szCs w:val="24"/>
          <w:lang w:val="en-GB"/>
        </w:rPr>
        <w:t xml:space="preserve">this </w:t>
      </w:r>
      <w:r w:rsidR="007D0D2B" w:rsidRPr="00811277">
        <w:rPr>
          <w:rFonts w:ascii="Arial" w:eastAsia="Times New Roman" w:hAnsi="Arial" w:cs="Arial"/>
          <w:bCs/>
          <w:sz w:val="24"/>
          <w:szCs w:val="24"/>
          <w:lang w:val="en-GB"/>
        </w:rPr>
        <w:t>is</w:t>
      </w:r>
      <w:r w:rsidR="001F249A" w:rsidRPr="00811277">
        <w:rPr>
          <w:rFonts w:ascii="Arial" w:eastAsia="Times New Roman" w:hAnsi="Arial" w:cs="Arial"/>
          <w:bCs/>
          <w:sz w:val="24"/>
          <w:szCs w:val="24"/>
          <w:lang w:val="en-GB"/>
        </w:rPr>
        <w:t xml:space="preserve"> contrary to the </w:t>
      </w:r>
      <w:r w:rsidR="005E02D7" w:rsidRPr="00811277">
        <w:rPr>
          <w:rFonts w:ascii="Arial" w:eastAsia="Times New Roman" w:hAnsi="Arial" w:cs="Arial"/>
          <w:bCs/>
          <w:sz w:val="24"/>
          <w:szCs w:val="24"/>
          <w:lang w:val="en-GB"/>
        </w:rPr>
        <w:t xml:space="preserve">position which </w:t>
      </w:r>
      <w:r w:rsidR="007D0D2B" w:rsidRPr="00811277">
        <w:rPr>
          <w:rFonts w:ascii="Arial" w:eastAsia="Times New Roman" w:hAnsi="Arial" w:cs="Arial"/>
          <w:bCs/>
          <w:sz w:val="24"/>
          <w:szCs w:val="24"/>
          <w:lang w:val="en-GB"/>
        </w:rPr>
        <w:t>has</w:t>
      </w:r>
      <w:r w:rsidR="005E02D7" w:rsidRPr="00811277">
        <w:rPr>
          <w:rFonts w:ascii="Arial" w:eastAsia="Times New Roman" w:hAnsi="Arial" w:cs="Arial"/>
          <w:bCs/>
          <w:sz w:val="24"/>
          <w:szCs w:val="24"/>
          <w:lang w:val="en-GB"/>
        </w:rPr>
        <w:t xml:space="preserve"> </w:t>
      </w:r>
      <w:r w:rsidR="001F249A" w:rsidRPr="00811277">
        <w:rPr>
          <w:rFonts w:ascii="Arial" w:eastAsia="Times New Roman" w:hAnsi="Arial" w:cs="Arial"/>
          <w:bCs/>
          <w:sz w:val="24"/>
          <w:szCs w:val="24"/>
          <w:lang w:val="en-GB"/>
        </w:rPr>
        <w:t xml:space="preserve">subsequently </w:t>
      </w:r>
      <w:r w:rsidR="007D0D2B" w:rsidRPr="00811277">
        <w:rPr>
          <w:rFonts w:ascii="Arial" w:eastAsia="Times New Roman" w:hAnsi="Arial" w:cs="Arial"/>
          <w:bCs/>
          <w:sz w:val="24"/>
          <w:szCs w:val="24"/>
          <w:lang w:val="en-GB"/>
        </w:rPr>
        <w:t xml:space="preserve">been </w:t>
      </w:r>
      <w:r w:rsidR="005E02D7" w:rsidRPr="00811277">
        <w:rPr>
          <w:rFonts w:ascii="Arial" w:eastAsia="Times New Roman" w:hAnsi="Arial" w:cs="Arial"/>
          <w:bCs/>
          <w:sz w:val="24"/>
          <w:szCs w:val="24"/>
          <w:lang w:val="en-GB"/>
        </w:rPr>
        <w:t>adopted by our highest Courts.</w:t>
      </w:r>
    </w:p>
    <w:p w14:paraId="3F57F415" w14:textId="0FF95775" w:rsidR="00F54BAB"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37.</w:t>
      </w:r>
      <w:r>
        <w:rPr>
          <w:rFonts w:ascii="Arial" w:eastAsia="Times New Roman" w:hAnsi="Arial" w:cs="Arial"/>
          <w:bCs/>
          <w:kern w:val="0"/>
          <w:sz w:val="24"/>
          <w:szCs w:val="24"/>
          <w:lang w:val="en-GB"/>
          <w14:ligatures w14:val="none"/>
        </w:rPr>
        <w:tab/>
      </w:r>
      <w:r w:rsidR="005E02D7" w:rsidRPr="00811277">
        <w:rPr>
          <w:rFonts w:ascii="Arial" w:eastAsia="Times New Roman" w:hAnsi="Arial" w:cs="Arial"/>
          <w:bCs/>
          <w:sz w:val="24"/>
          <w:szCs w:val="24"/>
          <w:lang w:val="en-GB"/>
        </w:rPr>
        <w:t xml:space="preserve">That brings us to the decision in </w:t>
      </w:r>
      <w:r w:rsidR="005E02D7" w:rsidRPr="00811277">
        <w:rPr>
          <w:rFonts w:ascii="Arial" w:eastAsia="Times New Roman" w:hAnsi="Arial" w:cs="Arial"/>
          <w:bCs/>
          <w:i/>
          <w:iCs/>
          <w:sz w:val="24"/>
          <w:szCs w:val="24"/>
          <w:lang w:val="en-GB"/>
        </w:rPr>
        <w:t>Oudekraal</w:t>
      </w:r>
      <w:r w:rsidR="007D0D2B" w:rsidRPr="00811277">
        <w:rPr>
          <w:rFonts w:ascii="Arial" w:eastAsia="Times New Roman" w:hAnsi="Arial" w:cs="Arial"/>
          <w:bCs/>
          <w:i/>
          <w:iCs/>
          <w:sz w:val="24"/>
          <w:szCs w:val="24"/>
          <w:lang w:val="en-GB"/>
        </w:rPr>
        <w:t>,</w:t>
      </w:r>
      <w:r w:rsidR="005E02D7" w:rsidRPr="00811277">
        <w:rPr>
          <w:rFonts w:ascii="Arial" w:eastAsia="Times New Roman" w:hAnsi="Arial" w:cs="Arial"/>
          <w:bCs/>
          <w:sz w:val="24"/>
          <w:szCs w:val="24"/>
          <w:lang w:val="en-GB"/>
        </w:rPr>
        <w:t xml:space="preserve"> which also originated </w:t>
      </w:r>
      <w:r w:rsidR="0061417E" w:rsidRPr="00811277">
        <w:rPr>
          <w:rFonts w:ascii="Arial" w:eastAsia="Times New Roman" w:hAnsi="Arial" w:cs="Arial"/>
          <w:bCs/>
          <w:sz w:val="24"/>
          <w:szCs w:val="24"/>
          <w:lang w:val="en-GB"/>
        </w:rPr>
        <w:t>in</w:t>
      </w:r>
      <w:r w:rsidR="005E02D7" w:rsidRPr="00811277">
        <w:rPr>
          <w:rFonts w:ascii="Arial" w:eastAsia="Times New Roman" w:hAnsi="Arial" w:cs="Arial"/>
          <w:bCs/>
          <w:sz w:val="24"/>
          <w:szCs w:val="24"/>
          <w:lang w:val="en-GB"/>
        </w:rPr>
        <w:t xml:space="preserve"> this </w:t>
      </w:r>
      <w:r w:rsidR="0061417E" w:rsidRPr="00811277">
        <w:rPr>
          <w:rFonts w:ascii="Arial" w:eastAsia="Times New Roman" w:hAnsi="Arial" w:cs="Arial"/>
          <w:bCs/>
          <w:sz w:val="24"/>
          <w:szCs w:val="24"/>
          <w:lang w:val="en-GB"/>
        </w:rPr>
        <w:t>C</w:t>
      </w:r>
      <w:r w:rsidR="005E02D7" w:rsidRPr="00811277">
        <w:rPr>
          <w:rFonts w:ascii="Arial" w:eastAsia="Times New Roman" w:hAnsi="Arial" w:cs="Arial"/>
          <w:bCs/>
          <w:sz w:val="24"/>
          <w:szCs w:val="24"/>
          <w:lang w:val="en-GB"/>
        </w:rPr>
        <w:t>ourt</w:t>
      </w:r>
      <w:r w:rsidR="00AF15AD" w:rsidRPr="00811277">
        <w:rPr>
          <w:rFonts w:ascii="Arial" w:eastAsia="Times New Roman" w:hAnsi="Arial" w:cs="Arial"/>
          <w:bCs/>
          <w:sz w:val="24"/>
          <w:szCs w:val="24"/>
          <w:lang w:val="en-GB"/>
        </w:rPr>
        <w:t>,</w:t>
      </w:r>
      <w:r w:rsidR="007D0D2B">
        <w:rPr>
          <w:rStyle w:val="FootnoteReference"/>
          <w:rFonts w:ascii="Arial" w:eastAsia="Times New Roman" w:hAnsi="Arial" w:cs="Arial"/>
          <w:bCs/>
          <w:sz w:val="24"/>
          <w:szCs w:val="24"/>
          <w:lang w:val="en-GB"/>
        </w:rPr>
        <w:footnoteReference w:id="33"/>
      </w:r>
      <w:r w:rsidR="00AF15AD" w:rsidRPr="00811277">
        <w:rPr>
          <w:rFonts w:ascii="Arial" w:eastAsia="Times New Roman" w:hAnsi="Arial" w:cs="Arial"/>
          <w:bCs/>
          <w:sz w:val="24"/>
          <w:szCs w:val="24"/>
          <w:lang w:val="en-GB"/>
        </w:rPr>
        <w:t xml:space="preserve"> </w:t>
      </w:r>
      <w:r w:rsidR="005E02D7" w:rsidRPr="00811277">
        <w:rPr>
          <w:rFonts w:ascii="Arial" w:eastAsia="Times New Roman" w:hAnsi="Arial" w:cs="Arial"/>
          <w:bCs/>
          <w:sz w:val="24"/>
          <w:szCs w:val="24"/>
          <w:lang w:val="en-GB"/>
        </w:rPr>
        <w:t xml:space="preserve">and then made its way to the SCA, on </w:t>
      </w:r>
      <w:r w:rsidR="00AF15AD" w:rsidRPr="00811277">
        <w:rPr>
          <w:rFonts w:ascii="Arial" w:eastAsia="Times New Roman" w:hAnsi="Arial" w:cs="Arial"/>
          <w:bCs/>
          <w:sz w:val="24"/>
          <w:szCs w:val="24"/>
          <w:lang w:val="en-GB"/>
        </w:rPr>
        <w:t>two</w:t>
      </w:r>
      <w:r w:rsidR="005E02D7" w:rsidRPr="00811277">
        <w:rPr>
          <w:rFonts w:ascii="Arial" w:eastAsia="Times New Roman" w:hAnsi="Arial" w:cs="Arial"/>
          <w:bCs/>
          <w:sz w:val="24"/>
          <w:szCs w:val="24"/>
          <w:lang w:val="en-GB"/>
        </w:rPr>
        <w:t xml:space="preserve"> occasions. </w:t>
      </w:r>
      <w:r w:rsidR="0061417E" w:rsidRPr="00811277">
        <w:rPr>
          <w:rFonts w:ascii="Arial" w:eastAsia="Times New Roman" w:hAnsi="Arial" w:cs="Arial"/>
          <w:bCs/>
          <w:sz w:val="24"/>
          <w:szCs w:val="24"/>
          <w:lang w:val="en-GB"/>
        </w:rPr>
        <w:t xml:space="preserve">The </w:t>
      </w:r>
      <w:r w:rsidR="00A35AFB" w:rsidRPr="00811277">
        <w:rPr>
          <w:rFonts w:ascii="Arial" w:eastAsia="Times New Roman" w:hAnsi="Arial" w:cs="Arial"/>
          <w:bCs/>
          <w:sz w:val="24"/>
          <w:szCs w:val="24"/>
          <w:lang w:val="en-GB"/>
        </w:rPr>
        <w:t>r</w:t>
      </w:r>
      <w:r w:rsidR="005E02D7" w:rsidRPr="00811277">
        <w:rPr>
          <w:rFonts w:ascii="Arial" w:eastAsia="Times New Roman" w:hAnsi="Arial" w:cs="Arial"/>
          <w:bCs/>
          <w:sz w:val="24"/>
          <w:szCs w:val="24"/>
          <w:lang w:val="en-GB"/>
        </w:rPr>
        <w:t xml:space="preserve">elevant facts were briefly as follows. In 1957 </w:t>
      </w:r>
      <w:r w:rsidR="00A35AFB" w:rsidRPr="00811277">
        <w:rPr>
          <w:rFonts w:ascii="Arial" w:eastAsia="Times New Roman" w:hAnsi="Arial" w:cs="Arial"/>
          <w:bCs/>
          <w:sz w:val="24"/>
          <w:szCs w:val="24"/>
          <w:lang w:val="en-GB"/>
        </w:rPr>
        <w:t xml:space="preserve">the </w:t>
      </w:r>
      <w:r w:rsidR="005E02D7" w:rsidRPr="00811277">
        <w:rPr>
          <w:rFonts w:ascii="Arial" w:eastAsia="Times New Roman" w:hAnsi="Arial" w:cs="Arial"/>
          <w:bCs/>
          <w:sz w:val="24"/>
          <w:szCs w:val="24"/>
          <w:lang w:val="en-GB"/>
        </w:rPr>
        <w:t xml:space="preserve">then </w:t>
      </w:r>
      <w:r w:rsidR="00A35AFB" w:rsidRPr="00811277">
        <w:rPr>
          <w:rFonts w:ascii="Arial" w:eastAsia="Times New Roman" w:hAnsi="Arial" w:cs="Arial"/>
          <w:bCs/>
          <w:sz w:val="24"/>
          <w:szCs w:val="24"/>
          <w:lang w:val="en-GB"/>
        </w:rPr>
        <w:t>A</w:t>
      </w:r>
      <w:r w:rsidR="005E02D7" w:rsidRPr="00811277">
        <w:rPr>
          <w:rFonts w:ascii="Arial" w:eastAsia="Times New Roman" w:hAnsi="Arial" w:cs="Arial"/>
          <w:bCs/>
          <w:sz w:val="24"/>
          <w:szCs w:val="24"/>
          <w:lang w:val="en-GB"/>
        </w:rPr>
        <w:t xml:space="preserve">dministrator of the Cape </w:t>
      </w:r>
      <w:r w:rsidR="00A35AFB" w:rsidRPr="00811277">
        <w:rPr>
          <w:rFonts w:ascii="Arial" w:eastAsia="Times New Roman" w:hAnsi="Arial" w:cs="Arial"/>
          <w:bCs/>
          <w:sz w:val="24"/>
          <w:szCs w:val="24"/>
          <w:lang w:val="en-GB"/>
        </w:rPr>
        <w:t>P</w:t>
      </w:r>
      <w:r w:rsidR="005E02D7" w:rsidRPr="00811277">
        <w:rPr>
          <w:rFonts w:ascii="Arial" w:eastAsia="Times New Roman" w:hAnsi="Arial" w:cs="Arial"/>
          <w:bCs/>
          <w:sz w:val="24"/>
          <w:szCs w:val="24"/>
          <w:lang w:val="en-GB"/>
        </w:rPr>
        <w:t xml:space="preserve">rovince granted approval for the laying out of </w:t>
      </w:r>
      <w:r w:rsidR="00A35AFB" w:rsidRPr="00811277">
        <w:rPr>
          <w:rFonts w:ascii="Arial" w:eastAsia="Times New Roman" w:hAnsi="Arial" w:cs="Arial"/>
          <w:bCs/>
          <w:sz w:val="24"/>
          <w:szCs w:val="24"/>
          <w:lang w:val="en-GB"/>
        </w:rPr>
        <w:t>a</w:t>
      </w:r>
      <w:r w:rsidR="005E02D7" w:rsidRPr="00811277">
        <w:rPr>
          <w:rFonts w:ascii="Arial" w:eastAsia="Times New Roman" w:hAnsi="Arial" w:cs="Arial"/>
          <w:bCs/>
          <w:sz w:val="24"/>
          <w:szCs w:val="24"/>
          <w:lang w:val="en-GB"/>
        </w:rPr>
        <w:t xml:space="preserve"> township on the site of the </w:t>
      </w:r>
      <w:r w:rsidR="005E02D7" w:rsidRPr="00811277">
        <w:rPr>
          <w:rFonts w:ascii="Arial" w:eastAsia="Times New Roman" w:hAnsi="Arial" w:cs="Arial"/>
          <w:bCs/>
          <w:i/>
          <w:iCs/>
          <w:sz w:val="24"/>
          <w:szCs w:val="24"/>
          <w:lang w:val="en-GB"/>
        </w:rPr>
        <w:t>Oudekraal</w:t>
      </w:r>
      <w:r w:rsidR="005E02D7" w:rsidRPr="00811277">
        <w:rPr>
          <w:rFonts w:ascii="Arial" w:eastAsia="Times New Roman" w:hAnsi="Arial" w:cs="Arial"/>
          <w:bCs/>
          <w:sz w:val="24"/>
          <w:szCs w:val="24"/>
          <w:lang w:val="en-GB"/>
        </w:rPr>
        <w:t xml:space="preserve"> farm</w:t>
      </w:r>
      <w:r w:rsidR="001F249A" w:rsidRPr="00811277">
        <w:rPr>
          <w:rFonts w:ascii="Arial" w:eastAsia="Times New Roman" w:hAnsi="Arial" w:cs="Arial"/>
          <w:bCs/>
          <w:sz w:val="24"/>
          <w:szCs w:val="24"/>
          <w:lang w:val="en-GB"/>
        </w:rPr>
        <w:t>,</w:t>
      </w:r>
      <w:r w:rsidR="005E02D7" w:rsidRPr="00811277">
        <w:rPr>
          <w:rFonts w:ascii="Arial" w:eastAsia="Times New Roman" w:hAnsi="Arial" w:cs="Arial"/>
          <w:bCs/>
          <w:sz w:val="24"/>
          <w:szCs w:val="24"/>
          <w:lang w:val="en-GB"/>
        </w:rPr>
        <w:t xml:space="preserve"> in an area along the </w:t>
      </w:r>
      <w:r w:rsidR="001F249A" w:rsidRPr="00811277">
        <w:rPr>
          <w:rFonts w:ascii="Arial" w:eastAsia="Times New Roman" w:hAnsi="Arial" w:cs="Arial"/>
          <w:bCs/>
          <w:sz w:val="24"/>
          <w:szCs w:val="24"/>
          <w:lang w:val="en-GB"/>
        </w:rPr>
        <w:t xml:space="preserve">so-called ‘Twelve Apostle’ mountain range on the </w:t>
      </w:r>
      <w:r w:rsidR="005E02D7" w:rsidRPr="00811277">
        <w:rPr>
          <w:rFonts w:ascii="Arial" w:eastAsia="Times New Roman" w:hAnsi="Arial" w:cs="Arial"/>
          <w:bCs/>
          <w:sz w:val="24"/>
          <w:szCs w:val="24"/>
          <w:lang w:val="en-GB"/>
        </w:rPr>
        <w:t xml:space="preserve">Atlantic coast, between </w:t>
      </w:r>
      <w:r w:rsidR="00A35AFB" w:rsidRPr="00811277">
        <w:rPr>
          <w:rFonts w:ascii="Arial" w:eastAsia="Times New Roman" w:hAnsi="Arial" w:cs="Arial"/>
          <w:bCs/>
          <w:sz w:val="24"/>
          <w:szCs w:val="24"/>
          <w:lang w:val="en-GB"/>
        </w:rPr>
        <w:t xml:space="preserve">Bakoven </w:t>
      </w:r>
      <w:r w:rsidR="005E02D7" w:rsidRPr="00811277">
        <w:rPr>
          <w:rFonts w:ascii="Arial" w:eastAsia="Times New Roman" w:hAnsi="Arial" w:cs="Arial"/>
          <w:bCs/>
          <w:sz w:val="24"/>
          <w:szCs w:val="24"/>
          <w:lang w:val="en-GB"/>
        </w:rPr>
        <w:t xml:space="preserve">and Llandudno. The legislation required that a general plan for the township was to be submitted to the </w:t>
      </w:r>
      <w:r w:rsidR="00A35AFB" w:rsidRPr="00811277">
        <w:rPr>
          <w:rFonts w:ascii="Arial" w:eastAsia="Times New Roman" w:hAnsi="Arial" w:cs="Arial"/>
          <w:bCs/>
          <w:sz w:val="24"/>
          <w:szCs w:val="24"/>
          <w:lang w:val="en-GB"/>
        </w:rPr>
        <w:t>S</w:t>
      </w:r>
      <w:r w:rsidR="005E02D7" w:rsidRPr="00811277">
        <w:rPr>
          <w:rFonts w:ascii="Arial" w:eastAsia="Times New Roman" w:hAnsi="Arial" w:cs="Arial"/>
          <w:bCs/>
          <w:sz w:val="24"/>
          <w:szCs w:val="24"/>
          <w:lang w:val="en-GB"/>
        </w:rPr>
        <w:t>urveyor-</w:t>
      </w:r>
      <w:r w:rsidR="00A35AFB" w:rsidRPr="00811277">
        <w:rPr>
          <w:rFonts w:ascii="Arial" w:eastAsia="Times New Roman" w:hAnsi="Arial" w:cs="Arial"/>
          <w:bCs/>
          <w:sz w:val="24"/>
          <w:szCs w:val="24"/>
          <w:lang w:val="en-GB"/>
        </w:rPr>
        <w:t>G</w:t>
      </w:r>
      <w:r w:rsidR="005E02D7" w:rsidRPr="00811277">
        <w:rPr>
          <w:rFonts w:ascii="Arial" w:eastAsia="Times New Roman" w:hAnsi="Arial" w:cs="Arial"/>
          <w:bCs/>
          <w:sz w:val="24"/>
          <w:szCs w:val="24"/>
          <w:lang w:val="en-GB"/>
        </w:rPr>
        <w:t xml:space="preserve">eneral </w:t>
      </w:r>
      <w:r w:rsidR="00A35AFB" w:rsidRPr="00811277">
        <w:rPr>
          <w:rFonts w:ascii="Arial" w:eastAsia="Times New Roman" w:hAnsi="Arial" w:cs="Arial"/>
          <w:bCs/>
          <w:sz w:val="24"/>
          <w:szCs w:val="24"/>
          <w:lang w:val="en-GB"/>
        </w:rPr>
        <w:t>within</w:t>
      </w:r>
      <w:r w:rsidR="005E02D7" w:rsidRPr="00811277">
        <w:rPr>
          <w:rFonts w:ascii="Arial" w:eastAsia="Times New Roman" w:hAnsi="Arial" w:cs="Arial"/>
          <w:bCs/>
          <w:sz w:val="24"/>
          <w:szCs w:val="24"/>
          <w:lang w:val="en-GB"/>
        </w:rPr>
        <w:t xml:space="preserve"> 12 months from the date of the </w:t>
      </w:r>
      <w:r w:rsidR="00A35AFB" w:rsidRPr="00811277">
        <w:rPr>
          <w:rFonts w:ascii="Arial" w:eastAsia="Times New Roman" w:hAnsi="Arial" w:cs="Arial"/>
          <w:bCs/>
          <w:sz w:val="24"/>
          <w:szCs w:val="24"/>
          <w:lang w:val="en-GB"/>
        </w:rPr>
        <w:t>A</w:t>
      </w:r>
      <w:r w:rsidR="005E02D7" w:rsidRPr="00811277">
        <w:rPr>
          <w:rFonts w:ascii="Arial" w:eastAsia="Times New Roman" w:hAnsi="Arial" w:cs="Arial"/>
          <w:bCs/>
          <w:sz w:val="24"/>
          <w:szCs w:val="24"/>
          <w:lang w:val="en-GB"/>
        </w:rPr>
        <w:t>dministrator’s approval</w:t>
      </w:r>
      <w:r w:rsidR="00A35AFB" w:rsidRPr="00811277">
        <w:rPr>
          <w:rFonts w:ascii="Arial" w:eastAsia="Times New Roman" w:hAnsi="Arial" w:cs="Arial"/>
          <w:bCs/>
          <w:sz w:val="24"/>
          <w:szCs w:val="24"/>
          <w:lang w:val="en-GB"/>
        </w:rPr>
        <w:t>,</w:t>
      </w:r>
      <w:r w:rsidR="005E02D7" w:rsidRPr="00811277">
        <w:rPr>
          <w:rFonts w:ascii="Arial" w:eastAsia="Times New Roman" w:hAnsi="Arial" w:cs="Arial"/>
          <w:bCs/>
          <w:sz w:val="24"/>
          <w:szCs w:val="24"/>
          <w:lang w:val="en-GB"/>
        </w:rPr>
        <w:t xml:space="preserve"> and once </w:t>
      </w:r>
      <w:r w:rsidR="004F55E0" w:rsidRPr="00811277">
        <w:rPr>
          <w:rFonts w:ascii="Arial" w:eastAsia="Times New Roman" w:hAnsi="Arial" w:cs="Arial"/>
          <w:bCs/>
          <w:sz w:val="24"/>
          <w:szCs w:val="24"/>
          <w:lang w:val="en-GB"/>
        </w:rPr>
        <w:t xml:space="preserve">it was </w:t>
      </w:r>
      <w:r w:rsidR="005E02D7" w:rsidRPr="00811277">
        <w:rPr>
          <w:rFonts w:ascii="Arial" w:eastAsia="Times New Roman" w:hAnsi="Arial" w:cs="Arial"/>
          <w:bCs/>
          <w:sz w:val="24"/>
          <w:szCs w:val="24"/>
          <w:lang w:val="en-GB"/>
        </w:rPr>
        <w:t xml:space="preserve">approved </w:t>
      </w:r>
      <w:r w:rsidR="004F55E0" w:rsidRPr="00811277">
        <w:rPr>
          <w:rFonts w:ascii="Arial" w:eastAsia="Times New Roman" w:hAnsi="Arial" w:cs="Arial"/>
          <w:bCs/>
          <w:sz w:val="24"/>
          <w:szCs w:val="24"/>
          <w:lang w:val="en-GB"/>
        </w:rPr>
        <w:t xml:space="preserve">it </w:t>
      </w:r>
      <w:r w:rsidR="005E02D7" w:rsidRPr="00811277">
        <w:rPr>
          <w:rFonts w:ascii="Arial" w:eastAsia="Times New Roman" w:hAnsi="Arial" w:cs="Arial"/>
          <w:bCs/>
          <w:sz w:val="24"/>
          <w:szCs w:val="24"/>
          <w:lang w:val="en-GB"/>
        </w:rPr>
        <w:t xml:space="preserve">was </w:t>
      </w:r>
      <w:r w:rsidR="004F55E0" w:rsidRPr="00811277">
        <w:rPr>
          <w:rFonts w:ascii="Arial" w:eastAsia="Times New Roman" w:hAnsi="Arial" w:cs="Arial"/>
          <w:bCs/>
          <w:sz w:val="24"/>
          <w:szCs w:val="24"/>
          <w:lang w:val="en-GB"/>
        </w:rPr>
        <w:t xml:space="preserve">in turn </w:t>
      </w:r>
      <w:r w:rsidR="005E02D7" w:rsidRPr="00811277">
        <w:rPr>
          <w:rFonts w:ascii="Arial" w:eastAsia="Times New Roman" w:hAnsi="Arial" w:cs="Arial"/>
          <w:bCs/>
          <w:sz w:val="24"/>
          <w:szCs w:val="24"/>
          <w:lang w:val="en-GB"/>
        </w:rPr>
        <w:t xml:space="preserve">to be lodged with the Registrar of </w:t>
      </w:r>
      <w:r w:rsidR="004F55E0" w:rsidRPr="00811277">
        <w:rPr>
          <w:rFonts w:ascii="Arial" w:eastAsia="Times New Roman" w:hAnsi="Arial" w:cs="Arial"/>
          <w:bCs/>
          <w:sz w:val="24"/>
          <w:szCs w:val="24"/>
          <w:lang w:val="en-GB"/>
        </w:rPr>
        <w:t>D</w:t>
      </w:r>
      <w:r w:rsidR="005E02D7" w:rsidRPr="00811277">
        <w:rPr>
          <w:rFonts w:ascii="Arial" w:eastAsia="Times New Roman" w:hAnsi="Arial" w:cs="Arial"/>
          <w:bCs/>
          <w:sz w:val="24"/>
          <w:szCs w:val="24"/>
          <w:lang w:val="en-GB"/>
        </w:rPr>
        <w:t xml:space="preserve">eeds within 3 </w:t>
      </w:r>
      <w:r w:rsidR="004F55E0" w:rsidRPr="00811277">
        <w:rPr>
          <w:rFonts w:ascii="Arial" w:eastAsia="Times New Roman" w:hAnsi="Arial" w:cs="Arial"/>
          <w:bCs/>
          <w:sz w:val="24"/>
          <w:szCs w:val="24"/>
          <w:lang w:val="en-GB"/>
        </w:rPr>
        <w:t>months thereof</w:t>
      </w:r>
      <w:r w:rsidR="005E02D7" w:rsidRPr="00811277">
        <w:rPr>
          <w:rFonts w:ascii="Arial" w:eastAsia="Times New Roman" w:hAnsi="Arial" w:cs="Arial"/>
          <w:bCs/>
          <w:sz w:val="24"/>
          <w:szCs w:val="24"/>
          <w:lang w:val="en-GB"/>
        </w:rPr>
        <w:t xml:space="preserve">, for </w:t>
      </w:r>
      <w:r w:rsidR="00CE1F9C" w:rsidRPr="00811277">
        <w:rPr>
          <w:rFonts w:ascii="Arial" w:eastAsia="Times New Roman" w:hAnsi="Arial" w:cs="Arial"/>
          <w:bCs/>
          <w:sz w:val="24"/>
          <w:szCs w:val="24"/>
          <w:lang w:val="en-GB"/>
        </w:rPr>
        <w:t xml:space="preserve">his </w:t>
      </w:r>
      <w:r w:rsidR="005E02D7" w:rsidRPr="00811277">
        <w:rPr>
          <w:rFonts w:ascii="Arial" w:eastAsia="Times New Roman" w:hAnsi="Arial" w:cs="Arial"/>
          <w:bCs/>
          <w:sz w:val="24"/>
          <w:szCs w:val="24"/>
          <w:lang w:val="en-GB"/>
        </w:rPr>
        <w:t>approval. This did not happen</w:t>
      </w:r>
      <w:r w:rsidR="004F55E0" w:rsidRPr="00811277">
        <w:rPr>
          <w:rFonts w:ascii="Arial" w:eastAsia="Times New Roman" w:hAnsi="Arial" w:cs="Arial"/>
          <w:bCs/>
          <w:sz w:val="24"/>
          <w:szCs w:val="24"/>
          <w:lang w:val="en-GB"/>
        </w:rPr>
        <w:t>, even though t</w:t>
      </w:r>
      <w:r w:rsidR="00F54BAB" w:rsidRPr="00811277">
        <w:rPr>
          <w:rFonts w:ascii="Arial" w:eastAsia="Times New Roman" w:hAnsi="Arial" w:cs="Arial"/>
          <w:bCs/>
          <w:sz w:val="24"/>
          <w:szCs w:val="24"/>
          <w:lang w:val="en-GB"/>
        </w:rPr>
        <w:t xml:space="preserve">he </w:t>
      </w:r>
      <w:r w:rsidR="004F55E0" w:rsidRPr="00811277">
        <w:rPr>
          <w:rFonts w:ascii="Arial" w:eastAsia="Times New Roman" w:hAnsi="Arial" w:cs="Arial"/>
          <w:bCs/>
          <w:sz w:val="24"/>
          <w:szCs w:val="24"/>
          <w:lang w:val="en-GB"/>
        </w:rPr>
        <w:t>A</w:t>
      </w:r>
      <w:r w:rsidR="00F54BAB" w:rsidRPr="00811277">
        <w:rPr>
          <w:rFonts w:ascii="Arial" w:eastAsia="Times New Roman" w:hAnsi="Arial" w:cs="Arial"/>
          <w:bCs/>
          <w:sz w:val="24"/>
          <w:szCs w:val="24"/>
          <w:lang w:val="en-GB"/>
        </w:rPr>
        <w:t xml:space="preserve">dministrator </w:t>
      </w:r>
      <w:r w:rsidR="004F55E0" w:rsidRPr="00811277">
        <w:rPr>
          <w:rFonts w:ascii="Arial" w:eastAsia="Times New Roman" w:hAnsi="Arial" w:cs="Arial"/>
          <w:bCs/>
          <w:sz w:val="24"/>
          <w:szCs w:val="24"/>
          <w:lang w:val="en-GB"/>
        </w:rPr>
        <w:t>had g</w:t>
      </w:r>
      <w:r w:rsidR="00F54BAB" w:rsidRPr="00811277">
        <w:rPr>
          <w:rFonts w:ascii="Arial" w:eastAsia="Times New Roman" w:hAnsi="Arial" w:cs="Arial"/>
          <w:bCs/>
          <w:sz w:val="24"/>
          <w:szCs w:val="24"/>
          <w:lang w:val="en-GB"/>
        </w:rPr>
        <w:t xml:space="preserve">ranted extensions for the </w:t>
      </w:r>
      <w:r w:rsidR="00F54BAB" w:rsidRPr="00811277">
        <w:rPr>
          <w:rFonts w:ascii="Arial" w:eastAsia="Times New Roman" w:hAnsi="Arial" w:cs="Arial"/>
          <w:bCs/>
          <w:sz w:val="24"/>
          <w:szCs w:val="24"/>
          <w:lang w:val="en-GB"/>
        </w:rPr>
        <w:lastRenderedPageBreak/>
        <w:t xml:space="preserve">lodging of </w:t>
      </w:r>
      <w:r w:rsidR="004F55E0" w:rsidRPr="00811277">
        <w:rPr>
          <w:rFonts w:ascii="Arial" w:eastAsia="Times New Roman" w:hAnsi="Arial" w:cs="Arial"/>
          <w:bCs/>
          <w:sz w:val="24"/>
          <w:szCs w:val="24"/>
          <w:lang w:val="en-GB"/>
        </w:rPr>
        <w:t>the documents</w:t>
      </w:r>
      <w:r w:rsidR="00F54BAB" w:rsidRPr="00811277">
        <w:rPr>
          <w:rFonts w:ascii="Arial" w:eastAsia="Times New Roman" w:hAnsi="Arial" w:cs="Arial"/>
          <w:bCs/>
          <w:sz w:val="24"/>
          <w:szCs w:val="24"/>
          <w:lang w:val="en-GB"/>
        </w:rPr>
        <w:t xml:space="preserve"> </w:t>
      </w:r>
      <w:r w:rsidR="004F55E0" w:rsidRPr="00811277">
        <w:rPr>
          <w:rFonts w:ascii="Arial" w:eastAsia="Times New Roman" w:hAnsi="Arial" w:cs="Arial"/>
          <w:bCs/>
          <w:sz w:val="24"/>
          <w:szCs w:val="24"/>
          <w:lang w:val="en-GB"/>
        </w:rPr>
        <w:t xml:space="preserve">referred to, </w:t>
      </w:r>
      <w:r w:rsidR="00F54BAB" w:rsidRPr="00811277">
        <w:rPr>
          <w:rFonts w:ascii="Arial" w:eastAsia="Times New Roman" w:hAnsi="Arial" w:cs="Arial"/>
          <w:bCs/>
          <w:sz w:val="24"/>
          <w:szCs w:val="24"/>
          <w:lang w:val="en-GB"/>
        </w:rPr>
        <w:t>in June 1960 and October 1961.</w:t>
      </w:r>
      <w:r w:rsidR="002C4B2D" w:rsidRPr="00811277">
        <w:rPr>
          <w:rFonts w:ascii="Arial" w:eastAsia="Times New Roman" w:hAnsi="Arial" w:cs="Arial"/>
          <w:bCs/>
          <w:sz w:val="24"/>
          <w:szCs w:val="24"/>
          <w:lang w:val="en-GB"/>
        </w:rPr>
        <w:t xml:space="preserve"> Despite th</w:t>
      </w:r>
      <w:r w:rsidR="004F55E0" w:rsidRPr="00811277">
        <w:rPr>
          <w:rFonts w:ascii="Arial" w:eastAsia="Times New Roman" w:hAnsi="Arial" w:cs="Arial"/>
          <w:bCs/>
          <w:sz w:val="24"/>
          <w:szCs w:val="24"/>
          <w:lang w:val="en-GB"/>
        </w:rPr>
        <w:t>ese extensions</w:t>
      </w:r>
      <w:r w:rsidR="002C4B2D" w:rsidRPr="00811277">
        <w:rPr>
          <w:rFonts w:ascii="Arial" w:eastAsia="Times New Roman" w:hAnsi="Arial" w:cs="Arial"/>
          <w:bCs/>
          <w:sz w:val="24"/>
          <w:szCs w:val="24"/>
          <w:lang w:val="en-GB"/>
        </w:rPr>
        <w:t xml:space="preserve"> the submissions and approvals occurred out of time</w:t>
      </w:r>
      <w:r w:rsidR="004F55E0" w:rsidRPr="00811277">
        <w:rPr>
          <w:rFonts w:ascii="Arial" w:eastAsia="Times New Roman" w:hAnsi="Arial" w:cs="Arial"/>
          <w:bCs/>
          <w:sz w:val="24"/>
          <w:szCs w:val="24"/>
          <w:lang w:val="en-GB"/>
        </w:rPr>
        <w:t>, in or about 1961-1962</w:t>
      </w:r>
      <w:r w:rsidR="002C4B2D" w:rsidRPr="00811277">
        <w:rPr>
          <w:rFonts w:ascii="Arial" w:eastAsia="Times New Roman" w:hAnsi="Arial" w:cs="Arial"/>
          <w:bCs/>
          <w:sz w:val="24"/>
          <w:szCs w:val="24"/>
          <w:lang w:val="en-GB"/>
        </w:rPr>
        <w:t xml:space="preserve">. In </w:t>
      </w:r>
      <w:r w:rsidR="004F55E0" w:rsidRPr="00811277">
        <w:rPr>
          <w:rFonts w:ascii="Arial" w:eastAsia="Times New Roman" w:hAnsi="Arial" w:cs="Arial"/>
          <w:bCs/>
          <w:sz w:val="24"/>
          <w:szCs w:val="24"/>
          <w:lang w:val="en-GB"/>
        </w:rPr>
        <w:t>1</w:t>
      </w:r>
      <w:r w:rsidR="002C4B2D" w:rsidRPr="00811277">
        <w:rPr>
          <w:rFonts w:ascii="Arial" w:eastAsia="Times New Roman" w:hAnsi="Arial" w:cs="Arial"/>
          <w:bCs/>
          <w:sz w:val="24"/>
          <w:szCs w:val="24"/>
          <w:lang w:val="en-GB"/>
        </w:rPr>
        <w:t xml:space="preserve">965 </w:t>
      </w:r>
      <w:r w:rsidR="004F55E0" w:rsidRPr="00811277">
        <w:rPr>
          <w:rFonts w:ascii="Arial" w:eastAsia="Times New Roman" w:hAnsi="Arial" w:cs="Arial"/>
          <w:bCs/>
          <w:sz w:val="24"/>
          <w:szCs w:val="24"/>
          <w:lang w:val="en-GB"/>
        </w:rPr>
        <w:t xml:space="preserve">the land </w:t>
      </w:r>
      <w:r w:rsidR="002C4B2D" w:rsidRPr="00811277">
        <w:rPr>
          <w:rFonts w:ascii="Arial" w:eastAsia="Times New Roman" w:hAnsi="Arial" w:cs="Arial"/>
          <w:bCs/>
          <w:sz w:val="24"/>
          <w:szCs w:val="24"/>
          <w:lang w:val="en-GB"/>
        </w:rPr>
        <w:t>was acquired from the original owner</w:t>
      </w:r>
      <w:r w:rsidR="004F55E0" w:rsidRPr="00811277">
        <w:rPr>
          <w:rFonts w:ascii="Arial" w:eastAsia="Times New Roman" w:hAnsi="Arial" w:cs="Arial"/>
          <w:bCs/>
          <w:sz w:val="24"/>
          <w:szCs w:val="24"/>
          <w:lang w:val="en-GB"/>
        </w:rPr>
        <w:t>’</w:t>
      </w:r>
      <w:r w:rsidR="002C4B2D" w:rsidRPr="00811277">
        <w:rPr>
          <w:rFonts w:ascii="Arial" w:eastAsia="Times New Roman" w:hAnsi="Arial" w:cs="Arial"/>
          <w:bCs/>
          <w:sz w:val="24"/>
          <w:szCs w:val="24"/>
          <w:lang w:val="en-GB"/>
        </w:rPr>
        <w:t xml:space="preserve">s deceased </w:t>
      </w:r>
      <w:r w:rsidR="00CE1F9C" w:rsidRPr="00811277">
        <w:rPr>
          <w:rFonts w:ascii="Arial" w:eastAsia="Times New Roman" w:hAnsi="Arial" w:cs="Arial"/>
          <w:bCs/>
          <w:sz w:val="24"/>
          <w:szCs w:val="24"/>
          <w:lang w:val="en-GB"/>
        </w:rPr>
        <w:t>estate,</w:t>
      </w:r>
      <w:r w:rsidR="002C4B2D" w:rsidRPr="00811277">
        <w:rPr>
          <w:rFonts w:ascii="Arial" w:eastAsia="Times New Roman" w:hAnsi="Arial" w:cs="Arial"/>
          <w:bCs/>
          <w:sz w:val="24"/>
          <w:szCs w:val="24"/>
          <w:lang w:val="en-GB"/>
        </w:rPr>
        <w:t xml:space="preserve"> but no attempt was made to develop it until 1996 i.e. some 30 years later</w:t>
      </w:r>
      <w:r w:rsidR="004F55E0" w:rsidRPr="00811277">
        <w:rPr>
          <w:rFonts w:ascii="Arial" w:eastAsia="Times New Roman" w:hAnsi="Arial" w:cs="Arial"/>
          <w:bCs/>
          <w:sz w:val="24"/>
          <w:szCs w:val="24"/>
          <w:lang w:val="en-GB"/>
        </w:rPr>
        <w:t>,</w:t>
      </w:r>
      <w:r w:rsidR="002C4B2D" w:rsidRPr="00811277">
        <w:rPr>
          <w:rFonts w:ascii="Arial" w:eastAsia="Times New Roman" w:hAnsi="Arial" w:cs="Arial"/>
          <w:bCs/>
          <w:sz w:val="24"/>
          <w:szCs w:val="24"/>
          <w:lang w:val="en-GB"/>
        </w:rPr>
        <w:t xml:space="preserve"> when the succeeding owner submitted an engineering </w:t>
      </w:r>
      <w:r w:rsidR="004F55E0" w:rsidRPr="00811277">
        <w:rPr>
          <w:rFonts w:ascii="Arial" w:eastAsia="Times New Roman" w:hAnsi="Arial" w:cs="Arial"/>
          <w:bCs/>
          <w:sz w:val="24"/>
          <w:szCs w:val="24"/>
          <w:lang w:val="en-GB"/>
        </w:rPr>
        <w:t>s</w:t>
      </w:r>
      <w:r w:rsidR="002C4B2D" w:rsidRPr="00811277">
        <w:rPr>
          <w:rFonts w:ascii="Arial" w:eastAsia="Times New Roman" w:hAnsi="Arial" w:cs="Arial"/>
          <w:bCs/>
          <w:sz w:val="24"/>
          <w:szCs w:val="24"/>
          <w:lang w:val="en-GB"/>
        </w:rPr>
        <w:t xml:space="preserve">ervices plan </w:t>
      </w:r>
      <w:r w:rsidR="004F55E0" w:rsidRPr="00811277">
        <w:rPr>
          <w:rFonts w:ascii="Arial" w:eastAsia="Times New Roman" w:hAnsi="Arial" w:cs="Arial"/>
          <w:bCs/>
          <w:sz w:val="24"/>
          <w:szCs w:val="24"/>
          <w:lang w:val="en-GB"/>
        </w:rPr>
        <w:t xml:space="preserve">for the proposed township </w:t>
      </w:r>
      <w:r w:rsidR="002C4B2D" w:rsidRPr="00811277">
        <w:rPr>
          <w:rFonts w:ascii="Arial" w:eastAsia="Times New Roman" w:hAnsi="Arial" w:cs="Arial"/>
          <w:bCs/>
          <w:sz w:val="24"/>
          <w:szCs w:val="24"/>
          <w:lang w:val="en-GB"/>
        </w:rPr>
        <w:t xml:space="preserve">to the then </w:t>
      </w:r>
      <w:r w:rsidR="004F55E0" w:rsidRPr="00811277">
        <w:rPr>
          <w:rFonts w:ascii="Arial" w:eastAsia="Times New Roman" w:hAnsi="Arial" w:cs="Arial"/>
          <w:bCs/>
          <w:sz w:val="24"/>
          <w:szCs w:val="24"/>
          <w:lang w:val="en-GB"/>
        </w:rPr>
        <w:t xml:space="preserve">Cape </w:t>
      </w:r>
      <w:r w:rsidR="002C4B2D" w:rsidRPr="00811277">
        <w:rPr>
          <w:rFonts w:ascii="Arial" w:eastAsia="Times New Roman" w:hAnsi="Arial" w:cs="Arial"/>
          <w:bCs/>
          <w:sz w:val="24"/>
          <w:szCs w:val="24"/>
          <w:lang w:val="en-GB"/>
        </w:rPr>
        <w:t xml:space="preserve">Metropolitan Council </w:t>
      </w:r>
      <w:r w:rsidR="00411118" w:rsidRPr="00811277">
        <w:rPr>
          <w:rFonts w:ascii="Arial" w:eastAsia="Times New Roman" w:hAnsi="Arial" w:cs="Arial"/>
          <w:bCs/>
          <w:sz w:val="24"/>
          <w:szCs w:val="24"/>
          <w:lang w:val="en-GB"/>
        </w:rPr>
        <w:t xml:space="preserve">(‘the City’) </w:t>
      </w:r>
      <w:r w:rsidR="002C4B2D" w:rsidRPr="00811277">
        <w:rPr>
          <w:rFonts w:ascii="Arial" w:eastAsia="Times New Roman" w:hAnsi="Arial" w:cs="Arial"/>
          <w:bCs/>
          <w:sz w:val="24"/>
          <w:szCs w:val="24"/>
          <w:lang w:val="en-GB"/>
        </w:rPr>
        <w:t>for approval. The application was rejected on the grounds that the approval for the township</w:t>
      </w:r>
      <w:r w:rsidR="00F54BAB" w:rsidRPr="00811277">
        <w:rPr>
          <w:rFonts w:ascii="Arial" w:eastAsia="Times New Roman" w:hAnsi="Arial" w:cs="Arial"/>
          <w:bCs/>
          <w:sz w:val="24"/>
          <w:szCs w:val="24"/>
          <w:lang w:val="en-GB"/>
        </w:rPr>
        <w:t xml:space="preserve"> </w:t>
      </w:r>
      <w:r w:rsidR="002C4B2D" w:rsidRPr="00811277">
        <w:rPr>
          <w:rFonts w:ascii="Arial" w:eastAsia="Times New Roman" w:hAnsi="Arial" w:cs="Arial"/>
          <w:bCs/>
          <w:sz w:val="24"/>
          <w:szCs w:val="24"/>
          <w:lang w:val="en-GB"/>
        </w:rPr>
        <w:t>had lapsed</w:t>
      </w:r>
      <w:r w:rsidR="00757B4A" w:rsidRPr="00811277">
        <w:rPr>
          <w:rFonts w:ascii="Arial" w:eastAsia="Times New Roman" w:hAnsi="Arial" w:cs="Arial"/>
          <w:bCs/>
          <w:sz w:val="24"/>
          <w:szCs w:val="24"/>
          <w:lang w:val="en-GB"/>
        </w:rPr>
        <w:t xml:space="preserve"> in 1961</w:t>
      </w:r>
      <w:r w:rsidR="002C4B2D" w:rsidRPr="00811277">
        <w:rPr>
          <w:rFonts w:ascii="Arial" w:eastAsia="Times New Roman" w:hAnsi="Arial" w:cs="Arial"/>
          <w:bCs/>
          <w:sz w:val="24"/>
          <w:szCs w:val="24"/>
          <w:lang w:val="en-GB"/>
        </w:rPr>
        <w:t>, as the general plan for the development had not been submitted and approved</w:t>
      </w:r>
      <w:r w:rsidR="00CE1F9C" w:rsidRPr="00811277">
        <w:rPr>
          <w:rFonts w:ascii="Arial" w:eastAsia="Times New Roman" w:hAnsi="Arial" w:cs="Arial"/>
          <w:bCs/>
          <w:sz w:val="24"/>
          <w:szCs w:val="24"/>
          <w:lang w:val="en-GB"/>
        </w:rPr>
        <w:t xml:space="preserve"> </w:t>
      </w:r>
      <w:r w:rsidR="002C4B2D" w:rsidRPr="00811277">
        <w:rPr>
          <w:rFonts w:ascii="Arial" w:eastAsia="Times New Roman" w:hAnsi="Arial" w:cs="Arial"/>
          <w:bCs/>
          <w:sz w:val="24"/>
          <w:szCs w:val="24"/>
          <w:lang w:val="en-GB"/>
        </w:rPr>
        <w:t xml:space="preserve">within the requisite time periods. In response, the owner made application for an order declaring that the township and development rights </w:t>
      </w:r>
      <w:r w:rsidR="004F55E0" w:rsidRPr="00811277">
        <w:rPr>
          <w:rFonts w:ascii="Arial" w:eastAsia="Times New Roman" w:hAnsi="Arial" w:cs="Arial"/>
          <w:bCs/>
          <w:sz w:val="24"/>
          <w:szCs w:val="24"/>
          <w:lang w:val="en-GB"/>
        </w:rPr>
        <w:t>had</w:t>
      </w:r>
      <w:r w:rsidR="002C4B2D" w:rsidRPr="00811277">
        <w:rPr>
          <w:rFonts w:ascii="Arial" w:eastAsia="Times New Roman" w:hAnsi="Arial" w:cs="Arial"/>
          <w:bCs/>
          <w:sz w:val="24"/>
          <w:szCs w:val="24"/>
          <w:lang w:val="en-GB"/>
        </w:rPr>
        <w:t xml:space="preserve"> not lapsed and were of full force and effect.</w:t>
      </w:r>
      <w:r w:rsidR="001A513F" w:rsidRPr="00811277">
        <w:rPr>
          <w:rFonts w:ascii="Arial" w:eastAsia="Times New Roman" w:hAnsi="Arial" w:cs="Arial"/>
          <w:bCs/>
          <w:sz w:val="24"/>
          <w:szCs w:val="24"/>
          <w:lang w:val="en-GB"/>
        </w:rPr>
        <w:t xml:space="preserve"> The City (together with a range of other parties) resisted the application </w:t>
      </w:r>
      <w:r w:rsidR="004F55E0" w:rsidRPr="00811277">
        <w:rPr>
          <w:rFonts w:ascii="Arial" w:eastAsia="Times New Roman" w:hAnsi="Arial" w:cs="Arial"/>
          <w:bCs/>
          <w:sz w:val="24"/>
          <w:szCs w:val="24"/>
          <w:lang w:val="en-GB"/>
        </w:rPr>
        <w:t xml:space="preserve">by way of a collateral challenge, </w:t>
      </w:r>
      <w:r w:rsidR="001A513F" w:rsidRPr="00811277">
        <w:rPr>
          <w:rFonts w:ascii="Arial" w:eastAsia="Times New Roman" w:hAnsi="Arial" w:cs="Arial"/>
          <w:bCs/>
          <w:sz w:val="24"/>
          <w:szCs w:val="24"/>
          <w:lang w:val="en-GB"/>
        </w:rPr>
        <w:t>on the basis that the authorisation on which the applicant relied had lapsed</w:t>
      </w:r>
      <w:r w:rsidR="004F55E0" w:rsidRPr="00811277">
        <w:rPr>
          <w:rFonts w:ascii="Arial" w:eastAsia="Times New Roman" w:hAnsi="Arial" w:cs="Arial"/>
          <w:bCs/>
          <w:sz w:val="24"/>
          <w:szCs w:val="24"/>
          <w:lang w:val="en-GB"/>
        </w:rPr>
        <w:t xml:space="preserve"> in 1961</w:t>
      </w:r>
      <w:r w:rsidR="001A513F" w:rsidRPr="00811277">
        <w:rPr>
          <w:rFonts w:ascii="Arial" w:eastAsia="Times New Roman" w:hAnsi="Arial" w:cs="Arial"/>
          <w:bCs/>
          <w:sz w:val="24"/>
          <w:szCs w:val="24"/>
          <w:lang w:val="en-GB"/>
        </w:rPr>
        <w:t xml:space="preserve">. In response, the applicant </w:t>
      </w:r>
      <w:r w:rsidR="00CE1F9C" w:rsidRPr="00811277">
        <w:rPr>
          <w:rFonts w:ascii="Arial" w:eastAsia="Times New Roman" w:hAnsi="Arial" w:cs="Arial"/>
          <w:bCs/>
          <w:sz w:val="24"/>
          <w:szCs w:val="24"/>
          <w:lang w:val="en-GB"/>
        </w:rPr>
        <w:t xml:space="preserve">in turn </w:t>
      </w:r>
      <w:r w:rsidR="001A513F" w:rsidRPr="00811277">
        <w:rPr>
          <w:rFonts w:ascii="Arial" w:eastAsia="Times New Roman" w:hAnsi="Arial" w:cs="Arial"/>
          <w:bCs/>
          <w:sz w:val="24"/>
          <w:szCs w:val="24"/>
          <w:lang w:val="en-GB"/>
        </w:rPr>
        <w:t>counte</w:t>
      </w:r>
      <w:r w:rsidR="004F55E0" w:rsidRPr="00811277">
        <w:rPr>
          <w:rFonts w:ascii="Arial" w:eastAsia="Times New Roman" w:hAnsi="Arial" w:cs="Arial"/>
          <w:bCs/>
          <w:sz w:val="24"/>
          <w:szCs w:val="24"/>
          <w:lang w:val="en-GB"/>
        </w:rPr>
        <w:t>red that</w:t>
      </w:r>
      <w:r w:rsidR="001A513F" w:rsidRPr="00811277">
        <w:rPr>
          <w:rFonts w:ascii="Arial" w:eastAsia="Times New Roman" w:hAnsi="Arial" w:cs="Arial"/>
          <w:bCs/>
          <w:sz w:val="24"/>
          <w:szCs w:val="24"/>
          <w:lang w:val="en-GB"/>
        </w:rPr>
        <w:t xml:space="preserve"> the City could not rely on such a defence as it had delayed excessively before challenging the authorisation.</w:t>
      </w:r>
    </w:p>
    <w:p w14:paraId="5078A4E0" w14:textId="59EFCDC2" w:rsidR="00AF15AD"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38.</w:t>
      </w:r>
      <w:r>
        <w:rPr>
          <w:rFonts w:ascii="Arial" w:eastAsia="Times New Roman" w:hAnsi="Arial" w:cs="Arial"/>
          <w:bCs/>
          <w:kern w:val="0"/>
          <w:sz w:val="24"/>
          <w:szCs w:val="24"/>
          <w:lang w:val="en-GB"/>
          <w14:ligatures w14:val="none"/>
        </w:rPr>
        <w:tab/>
      </w:r>
      <w:r w:rsidR="001A513F" w:rsidRPr="00811277">
        <w:rPr>
          <w:rFonts w:ascii="Arial" w:eastAsia="Times New Roman" w:hAnsi="Arial" w:cs="Arial"/>
          <w:bCs/>
          <w:sz w:val="24"/>
          <w:szCs w:val="24"/>
          <w:lang w:val="en-GB"/>
        </w:rPr>
        <w:t xml:space="preserve">Davis J </w:t>
      </w:r>
      <w:r w:rsidR="00CE1F9C" w:rsidRPr="00811277">
        <w:rPr>
          <w:rFonts w:ascii="Arial" w:eastAsia="Times New Roman" w:hAnsi="Arial" w:cs="Arial"/>
          <w:bCs/>
          <w:sz w:val="24"/>
          <w:szCs w:val="24"/>
          <w:lang w:val="en-GB"/>
        </w:rPr>
        <w:t xml:space="preserve">noted </w:t>
      </w:r>
      <w:r w:rsidR="001A513F" w:rsidRPr="00811277">
        <w:rPr>
          <w:rFonts w:ascii="Arial" w:eastAsia="Times New Roman" w:hAnsi="Arial" w:cs="Arial"/>
          <w:bCs/>
          <w:sz w:val="24"/>
          <w:szCs w:val="24"/>
          <w:lang w:val="en-GB"/>
        </w:rPr>
        <w:t xml:space="preserve">that from the documents </w:t>
      </w:r>
      <w:r w:rsidR="00CE1F9C" w:rsidRPr="00811277">
        <w:rPr>
          <w:rFonts w:ascii="Arial" w:eastAsia="Times New Roman" w:hAnsi="Arial" w:cs="Arial"/>
          <w:bCs/>
          <w:sz w:val="24"/>
          <w:szCs w:val="24"/>
          <w:lang w:val="en-GB"/>
        </w:rPr>
        <w:t xml:space="preserve">which </w:t>
      </w:r>
      <w:r w:rsidR="001A513F" w:rsidRPr="00811277">
        <w:rPr>
          <w:rFonts w:ascii="Arial" w:eastAsia="Times New Roman" w:hAnsi="Arial" w:cs="Arial"/>
          <w:bCs/>
          <w:sz w:val="24"/>
          <w:szCs w:val="24"/>
          <w:lang w:val="en-GB"/>
        </w:rPr>
        <w:t>had been submitted for approval of the general plan</w:t>
      </w:r>
      <w:r w:rsidR="00FE7566" w:rsidRPr="00811277">
        <w:rPr>
          <w:rFonts w:ascii="Arial" w:eastAsia="Times New Roman" w:hAnsi="Arial" w:cs="Arial"/>
          <w:bCs/>
          <w:sz w:val="24"/>
          <w:szCs w:val="24"/>
          <w:lang w:val="en-GB"/>
        </w:rPr>
        <w:t xml:space="preserve"> in 1961</w:t>
      </w:r>
      <w:r w:rsidR="001A513F" w:rsidRPr="00811277">
        <w:rPr>
          <w:rFonts w:ascii="Arial" w:eastAsia="Times New Roman" w:hAnsi="Arial" w:cs="Arial"/>
          <w:bCs/>
          <w:sz w:val="24"/>
          <w:szCs w:val="24"/>
          <w:lang w:val="en-GB"/>
        </w:rPr>
        <w:t xml:space="preserve"> it was apparent that the existence of </w:t>
      </w:r>
      <w:r w:rsidR="00AF15AD" w:rsidRPr="00811277">
        <w:rPr>
          <w:rFonts w:ascii="Arial" w:eastAsia="Times New Roman" w:hAnsi="Arial" w:cs="Arial"/>
          <w:bCs/>
          <w:sz w:val="24"/>
          <w:szCs w:val="24"/>
          <w:lang w:val="en-GB"/>
        </w:rPr>
        <w:t>s</w:t>
      </w:r>
      <w:r w:rsidR="00411118" w:rsidRPr="00811277">
        <w:rPr>
          <w:rFonts w:ascii="Arial" w:eastAsia="Times New Roman" w:hAnsi="Arial" w:cs="Arial"/>
          <w:bCs/>
          <w:sz w:val="24"/>
          <w:szCs w:val="24"/>
          <w:lang w:val="en-GB"/>
        </w:rPr>
        <w:t>everal</w:t>
      </w:r>
      <w:r w:rsidR="001A513F" w:rsidRPr="00811277">
        <w:rPr>
          <w:rFonts w:ascii="Arial" w:eastAsia="Times New Roman" w:hAnsi="Arial" w:cs="Arial"/>
          <w:bCs/>
          <w:sz w:val="24"/>
          <w:szCs w:val="24"/>
          <w:lang w:val="en-GB"/>
        </w:rPr>
        <w:t xml:space="preserve"> graves of M</w:t>
      </w:r>
      <w:r w:rsidR="00CE1F9C" w:rsidRPr="00811277">
        <w:rPr>
          <w:rFonts w:ascii="Arial" w:eastAsia="Times New Roman" w:hAnsi="Arial" w:cs="Arial"/>
          <w:bCs/>
          <w:sz w:val="24"/>
          <w:szCs w:val="24"/>
          <w:lang w:val="en-GB"/>
        </w:rPr>
        <w:t>u</w:t>
      </w:r>
      <w:r w:rsidR="001A513F" w:rsidRPr="00811277">
        <w:rPr>
          <w:rFonts w:ascii="Arial" w:eastAsia="Times New Roman" w:hAnsi="Arial" w:cs="Arial"/>
          <w:bCs/>
          <w:sz w:val="24"/>
          <w:szCs w:val="24"/>
          <w:lang w:val="en-GB"/>
        </w:rPr>
        <w:t>sl</w:t>
      </w:r>
      <w:r w:rsidR="00CE1F9C" w:rsidRPr="00811277">
        <w:rPr>
          <w:rFonts w:ascii="Arial" w:eastAsia="Times New Roman" w:hAnsi="Arial" w:cs="Arial"/>
          <w:bCs/>
          <w:sz w:val="24"/>
          <w:szCs w:val="24"/>
          <w:lang w:val="en-GB"/>
        </w:rPr>
        <w:t>i</w:t>
      </w:r>
      <w:r w:rsidR="001A513F" w:rsidRPr="00811277">
        <w:rPr>
          <w:rFonts w:ascii="Arial" w:eastAsia="Times New Roman" w:hAnsi="Arial" w:cs="Arial"/>
          <w:bCs/>
          <w:sz w:val="24"/>
          <w:szCs w:val="24"/>
          <w:lang w:val="en-GB"/>
        </w:rPr>
        <w:t>m slaves and kramats (</w:t>
      </w:r>
      <w:r w:rsidR="00411118" w:rsidRPr="00811277">
        <w:rPr>
          <w:rFonts w:ascii="Arial" w:eastAsia="Times New Roman" w:hAnsi="Arial" w:cs="Arial"/>
          <w:bCs/>
          <w:sz w:val="24"/>
          <w:szCs w:val="24"/>
          <w:lang w:val="en-GB"/>
        </w:rPr>
        <w:t xml:space="preserve">burial </w:t>
      </w:r>
      <w:r w:rsidR="001A513F" w:rsidRPr="00811277">
        <w:rPr>
          <w:rFonts w:ascii="Arial" w:eastAsia="Times New Roman" w:hAnsi="Arial" w:cs="Arial"/>
          <w:bCs/>
          <w:sz w:val="24"/>
          <w:szCs w:val="24"/>
          <w:lang w:val="en-GB"/>
        </w:rPr>
        <w:t>shrines</w:t>
      </w:r>
      <w:r w:rsidR="002A5194" w:rsidRPr="00811277">
        <w:rPr>
          <w:rFonts w:ascii="Arial" w:eastAsia="Times New Roman" w:hAnsi="Arial" w:cs="Arial"/>
          <w:bCs/>
          <w:sz w:val="24"/>
          <w:szCs w:val="24"/>
          <w:lang w:val="en-GB"/>
        </w:rPr>
        <w:t>)</w:t>
      </w:r>
      <w:r w:rsidR="001A513F" w:rsidRPr="00811277">
        <w:rPr>
          <w:rFonts w:ascii="Arial" w:eastAsia="Times New Roman" w:hAnsi="Arial" w:cs="Arial"/>
          <w:bCs/>
          <w:sz w:val="24"/>
          <w:szCs w:val="24"/>
          <w:lang w:val="en-GB"/>
        </w:rPr>
        <w:t xml:space="preserve"> which were of great religious, cultural and historical significance </w:t>
      </w:r>
      <w:r w:rsidR="00411118" w:rsidRPr="00811277">
        <w:rPr>
          <w:rFonts w:ascii="Arial" w:eastAsia="Times New Roman" w:hAnsi="Arial" w:cs="Arial"/>
          <w:bCs/>
          <w:sz w:val="24"/>
          <w:szCs w:val="24"/>
          <w:lang w:val="en-GB"/>
        </w:rPr>
        <w:t>to the Muslim community</w:t>
      </w:r>
      <w:r w:rsidR="00C04CF6" w:rsidRPr="00811277">
        <w:rPr>
          <w:rFonts w:ascii="Arial" w:eastAsia="Times New Roman" w:hAnsi="Arial" w:cs="Arial"/>
          <w:bCs/>
          <w:sz w:val="24"/>
          <w:szCs w:val="24"/>
          <w:lang w:val="en-GB"/>
        </w:rPr>
        <w:t>,</w:t>
      </w:r>
      <w:r w:rsidR="00411118" w:rsidRPr="00811277">
        <w:rPr>
          <w:rFonts w:ascii="Arial" w:eastAsia="Times New Roman" w:hAnsi="Arial" w:cs="Arial"/>
          <w:bCs/>
          <w:sz w:val="24"/>
          <w:szCs w:val="24"/>
          <w:lang w:val="en-GB"/>
        </w:rPr>
        <w:t xml:space="preserve"> </w:t>
      </w:r>
      <w:r w:rsidR="001A513F" w:rsidRPr="00811277">
        <w:rPr>
          <w:rFonts w:ascii="Arial" w:eastAsia="Times New Roman" w:hAnsi="Arial" w:cs="Arial"/>
          <w:bCs/>
          <w:sz w:val="24"/>
          <w:szCs w:val="24"/>
          <w:lang w:val="en-GB"/>
        </w:rPr>
        <w:t xml:space="preserve">had not been </w:t>
      </w:r>
      <w:r w:rsidR="00757B4A" w:rsidRPr="00811277">
        <w:rPr>
          <w:rFonts w:ascii="Arial" w:eastAsia="Times New Roman" w:hAnsi="Arial" w:cs="Arial"/>
          <w:bCs/>
          <w:sz w:val="24"/>
          <w:szCs w:val="24"/>
          <w:lang w:val="en-GB"/>
        </w:rPr>
        <w:t>depicted</w:t>
      </w:r>
      <w:r w:rsidR="001A513F" w:rsidRPr="00811277">
        <w:rPr>
          <w:rFonts w:ascii="Arial" w:eastAsia="Times New Roman" w:hAnsi="Arial" w:cs="Arial"/>
          <w:bCs/>
          <w:sz w:val="24"/>
          <w:szCs w:val="24"/>
          <w:lang w:val="en-GB"/>
        </w:rPr>
        <w:t xml:space="preserve"> and had </w:t>
      </w:r>
      <w:r w:rsidR="00CE1F9C" w:rsidRPr="00811277">
        <w:rPr>
          <w:rFonts w:ascii="Arial" w:eastAsia="Times New Roman" w:hAnsi="Arial" w:cs="Arial"/>
          <w:bCs/>
          <w:sz w:val="24"/>
          <w:szCs w:val="24"/>
          <w:lang w:val="en-GB"/>
        </w:rPr>
        <w:t xml:space="preserve">accordingly </w:t>
      </w:r>
      <w:r w:rsidR="001A513F" w:rsidRPr="00811277">
        <w:rPr>
          <w:rFonts w:ascii="Arial" w:eastAsia="Times New Roman" w:hAnsi="Arial" w:cs="Arial"/>
          <w:bCs/>
          <w:sz w:val="24"/>
          <w:szCs w:val="24"/>
          <w:lang w:val="en-GB"/>
        </w:rPr>
        <w:t xml:space="preserve">not been considered and taken into account when </w:t>
      </w:r>
      <w:r w:rsidR="00CE1F9C" w:rsidRPr="00811277">
        <w:rPr>
          <w:rFonts w:ascii="Arial" w:eastAsia="Times New Roman" w:hAnsi="Arial" w:cs="Arial"/>
          <w:bCs/>
          <w:sz w:val="24"/>
          <w:szCs w:val="24"/>
          <w:lang w:val="en-GB"/>
        </w:rPr>
        <w:t xml:space="preserve">approval for the </w:t>
      </w:r>
      <w:r w:rsidR="001A513F" w:rsidRPr="00811277">
        <w:rPr>
          <w:rFonts w:ascii="Arial" w:eastAsia="Times New Roman" w:hAnsi="Arial" w:cs="Arial"/>
          <w:bCs/>
          <w:sz w:val="24"/>
          <w:szCs w:val="24"/>
          <w:lang w:val="en-GB"/>
        </w:rPr>
        <w:t xml:space="preserve">township was granted. In addition, the area </w:t>
      </w:r>
      <w:r w:rsidR="00CE1F9C" w:rsidRPr="00811277">
        <w:rPr>
          <w:rFonts w:ascii="Arial" w:eastAsia="Times New Roman" w:hAnsi="Arial" w:cs="Arial"/>
          <w:bCs/>
          <w:sz w:val="24"/>
          <w:szCs w:val="24"/>
          <w:lang w:val="en-GB"/>
        </w:rPr>
        <w:t xml:space="preserve">had in the intervening years been incorporated into a national park and </w:t>
      </w:r>
      <w:r w:rsidR="001A513F" w:rsidRPr="00811277">
        <w:rPr>
          <w:rFonts w:ascii="Arial" w:eastAsia="Times New Roman" w:hAnsi="Arial" w:cs="Arial"/>
          <w:bCs/>
          <w:sz w:val="24"/>
          <w:szCs w:val="24"/>
          <w:lang w:val="en-GB"/>
        </w:rPr>
        <w:t>was of great environmental importance</w:t>
      </w:r>
      <w:r w:rsidR="00757B4A" w:rsidRPr="00811277">
        <w:rPr>
          <w:rFonts w:ascii="Arial" w:eastAsia="Times New Roman" w:hAnsi="Arial" w:cs="Arial"/>
          <w:bCs/>
          <w:sz w:val="24"/>
          <w:szCs w:val="24"/>
          <w:lang w:val="en-GB"/>
        </w:rPr>
        <w:t>.</w:t>
      </w:r>
      <w:r w:rsidR="001A513F" w:rsidRPr="00811277">
        <w:rPr>
          <w:rFonts w:ascii="Arial" w:eastAsia="Times New Roman" w:hAnsi="Arial" w:cs="Arial"/>
          <w:bCs/>
          <w:sz w:val="24"/>
          <w:szCs w:val="24"/>
          <w:lang w:val="en-GB"/>
        </w:rPr>
        <w:t xml:space="preserve"> Th</w:t>
      </w:r>
      <w:r w:rsidR="00CE1F9C" w:rsidRPr="00811277">
        <w:rPr>
          <w:rFonts w:ascii="Arial" w:eastAsia="Times New Roman" w:hAnsi="Arial" w:cs="Arial"/>
          <w:bCs/>
          <w:sz w:val="24"/>
          <w:szCs w:val="24"/>
          <w:lang w:val="en-GB"/>
        </w:rPr>
        <w:t xml:space="preserve">is aspect too had </w:t>
      </w:r>
      <w:r w:rsidR="001A513F" w:rsidRPr="00811277">
        <w:rPr>
          <w:rFonts w:ascii="Arial" w:eastAsia="Times New Roman" w:hAnsi="Arial" w:cs="Arial"/>
          <w:bCs/>
          <w:sz w:val="24"/>
          <w:szCs w:val="24"/>
          <w:lang w:val="en-GB"/>
        </w:rPr>
        <w:t xml:space="preserve">also clearly not been </w:t>
      </w:r>
      <w:r w:rsidR="00FE7566" w:rsidRPr="00811277">
        <w:rPr>
          <w:rFonts w:ascii="Arial" w:eastAsia="Times New Roman" w:hAnsi="Arial" w:cs="Arial"/>
          <w:bCs/>
          <w:sz w:val="24"/>
          <w:szCs w:val="24"/>
          <w:lang w:val="en-GB"/>
        </w:rPr>
        <w:t>considered</w:t>
      </w:r>
      <w:r w:rsidR="001A513F" w:rsidRPr="00811277">
        <w:rPr>
          <w:rFonts w:ascii="Arial" w:eastAsia="Times New Roman" w:hAnsi="Arial" w:cs="Arial"/>
          <w:bCs/>
          <w:sz w:val="24"/>
          <w:szCs w:val="24"/>
          <w:lang w:val="en-GB"/>
        </w:rPr>
        <w:t xml:space="preserve"> at the time when </w:t>
      </w:r>
      <w:r w:rsidR="00CE1F9C" w:rsidRPr="00811277">
        <w:rPr>
          <w:rFonts w:ascii="Arial" w:eastAsia="Times New Roman" w:hAnsi="Arial" w:cs="Arial"/>
          <w:bCs/>
          <w:sz w:val="24"/>
          <w:szCs w:val="24"/>
          <w:lang w:val="en-GB"/>
        </w:rPr>
        <w:t xml:space="preserve">the </w:t>
      </w:r>
      <w:r w:rsidR="001A513F" w:rsidRPr="00811277">
        <w:rPr>
          <w:rFonts w:ascii="Arial" w:eastAsia="Times New Roman" w:hAnsi="Arial" w:cs="Arial"/>
          <w:bCs/>
          <w:sz w:val="24"/>
          <w:szCs w:val="24"/>
          <w:lang w:val="en-GB"/>
        </w:rPr>
        <w:t xml:space="preserve">approval </w:t>
      </w:r>
      <w:r w:rsidR="00C04CF6" w:rsidRPr="00811277">
        <w:rPr>
          <w:rFonts w:ascii="Arial" w:eastAsia="Times New Roman" w:hAnsi="Arial" w:cs="Arial"/>
          <w:bCs/>
          <w:sz w:val="24"/>
          <w:szCs w:val="24"/>
          <w:lang w:val="en-GB"/>
        </w:rPr>
        <w:t>had been</w:t>
      </w:r>
      <w:r w:rsidR="001A513F" w:rsidRPr="00811277">
        <w:rPr>
          <w:rFonts w:ascii="Arial" w:eastAsia="Times New Roman" w:hAnsi="Arial" w:cs="Arial"/>
          <w:bCs/>
          <w:sz w:val="24"/>
          <w:szCs w:val="24"/>
          <w:lang w:val="en-GB"/>
        </w:rPr>
        <w:t xml:space="preserve"> granted</w:t>
      </w:r>
      <w:r w:rsidR="00CE1F9C" w:rsidRPr="00811277">
        <w:rPr>
          <w:rFonts w:ascii="Arial" w:eastAsia="Times New Roman" w:hAnsi="Arial" w:cs="Arial"/>
          <w:bCs/>
          <w:sz w:val="24"/>
          <w:szCs w:val="24"/>
          <w:lang w:val="en-GB"/>
        </w:rPr>
        <w:t xml:space="preserve"> in 1961</w:t>
      </w:r>
      <w:r w:rsidR="001A513F" w:rsidRPr="00811277">
        <w:rPr>
          <w:rFonts w:ascii="Arial" w:eastAsia="Times New Roman" w:hAnsi="Arial" w:cs="Arial"/>
          <w:bCs/>
          <w:sz w:val="24"/>
          <w:szCs w:val="24"/>
          <w:lang w:val="en-GB"/>
        </w:rPr>
        <w:t xml:space="preserve">. Consequently, given the potential for </w:t>
      </w:r>
      <w:r w:rsidR="00CE1F9C" w:rsidRPr="00811277">
        <w:rPr>
          <w:rFonts w:ascii="Arial" w:eastAsia="Times New Roman" w:hAnsi="Arial" w:cs="Arial"/>
          <w:bCs/>
          <w:sz w:val="24"/>
          <w:szCs w:val="24"/>
          <w:lang w:val="en-GB"/>
        </w:rPr>
        <w:t xml:space="preserve">a </w:t>
      </w:r>
      <w:r w:rsidR="001A513F" w:rsidRPr="00811277">
        <w:rPr>
          <w:rFonts w:ascii="Arial" w:eastAsia="Times New Roman" w:hAnsi="Arial" w:cs="Arial"/>
          <w:bCs/>
          <w:sz w:val="24"/>
          <w:szCs w:val="24"/>
          <w:lang w:val="en-GB"/>
        </w:rPr>
        <w:t xml:space="preserve">serious breach of </w:t>
      </w:r>
      <w:r w:rsidR="00FE7566" w:rsidRPr="00811277">
        <w:rPr>
          <w:rFonts w:ascii="Arial" w:eastAsia="Times New Roman" w:hAnsi="Arial" w:cs="Arial"/>
          <w:bCs/>
          <w:sz w:val="24"/>
          <w:szCs w:val="24"/>
          <w:lang w:val="en-GB"/>
        </w:rPr>
        <w:t xml:space="preserve">now </w:t>
      </w:r>
      <w:r w:rsidR="00CE1F9C" w:rsidRPr="00811277">
        <w:rPr>
          <w:rFonts w:ascii="Arial" w:eastAsia="Times New Roman" w:hAnsi="Arial" w:cs="Arial"/>
          <w:bCs/>
          <w:sz w:val="24"/>
          <w:szCs w:val="24"/>
          <w:lang w:val="en-GB"/>
        </w:rPr>
        <w:t xml:space="preserve">constitutionally enshrined </w:t>
      </w:r>
      <w:r w:rsidR="001A513F" w:rsidRPr="00811277">
        <w:rPr>
          <w:rFonts w:ascii="Arial" w:eastAsia="Times New Roman" w:hAnsi="Arial" w:cs="Arial"/>
          <w:bCs/>
          <w:sz w:val="24"/>
          <w:szCs w:val="24"/>
          <w:lang w:val="en-GB"/>
        </w:rPr>
        <w:t>religious</w:t>
      </w:r>
      <w:r w:rsidR="00CE1F9C" w:rsidRPr="00811277">
        <w:rPr>
          <w:rFonts w:ascii="Arial" w:eastAsia="Times New Roman" w:hAnsi="Arial" w:cs="Arial"/>
          <w:bCs/>
          <w:sz w:val="24"/>
          <w:szCs w:val="24"/>
          <w:lang w:val="en-GB"/>
        </w:rPr>
        <w:t>,</w:t>
      </w:r>
      <w:r w:rsidR="001A513F" w:rsidRPr="00811277">
        <w:rPr>
          <w:rFonts w:ascii="Arial" w:eastAsia="Times New Roman" w:hAnsi="Arial" w:cs="Arial"/>
          <w:bCs/>
          <w:sz w:val="24"/>
          <w:szCs w:val="24"/>
          <w:lang w:val="en-GB"/>
        </w:rPr>
        <w:t xml:space="preserve"> cultural and environmental </w:t>
      </w:r>
      <w:r w:rsidR="00CE1F9C" w:rsidRPr="00811277">
        <w:rPr>
          <w:rFonts w:ascii="Arial" w:eastAsia="Times New Roman" w:hAnsi="Arial" w:cs="Arial"/>
          <w:bCs/>
          <w:sz w:val="24"/>
          <w:szCs w:val="24"/>
          <w:lang w:val="en-GB"/>
        </w:rPr>
        <w:t>rights</w:t>
      </w:r>
      <w:r w:rsidR="00757B4A" w:rsidRPr="00811277">
        <w:rPr>
          <w:rFonts w:ascii="Arial" w:eastAsia="Times New Roman" w:hAnsi="Arial" w:cs="Arial"/>
          <w:bCs/>
          <w:sz w:val="24"/>
          <w:szCs w:val="24"/>
          <w:lang w:val="en-GB"/>
        </w:rPr>
        <w:t>,</w:t>
      </w:r>
      <w:r w:rsidR="00CE1F9C" w:rsidRPr="00811277">
        <w:rPr>
          <w:rFonts w:ascii="Arial" w:eastAsia="Times New Roman" w:hAnsi="Arial" w:cs="Arial"/>
          <w:bCs/>
          <w:sz w:val="24"/>
          <w:szCs w:val="24"/>
          <w:lang w:val="en-GB"/>
        </w:rPr>
        <w:t xml:space="preserve"> </w:t>
      </w:r>
      <w:r w:rsidR="001A513F" w:rsidRPr="00811277">
        <w:rPr>
          <w:rFonts w:ascii="Arial" w:eastAsia="Times New Roman" w:hAnsi="Arial" w:cs="Arial"/>
          <w:bCs/>
          <w:sz w:val="24"/>
          <w:szCs w:val="24"/>
          <w:lang w:val="en-GB"/>
        </w:rPr>
        <w:t>were the property to be developed</w:t>
      </w:r>
      <w:r w:rsidR="00CE1F9C" w:rsidRPr="00811277">
        <w:rPr>
          <w:rFonts w:ascii="Arial" w:eastAsia="Times New Roman" w:hAnsi="Arial" w:cs="Arial"/>
          <w:bCs/>
          <w:sz w:val="24"/>
          <w:szCs w:val="24"/>
          <w:lang w:val="en-GB"/>
        </w:rPr>
        <w:t>,</w:t>
      </w:r>
      <w:r w:rsidR="001A513F" w:rsidRPr="00811277">
        <w:rPr>
          <w:rFonts w:ascii="Arial" w:eastAsia="Times New Roman" w:hAnsi="Arial" w:cs="Arial"/>
          <w:bCs/>
          <w:sz w:val="24"/>
          <w:szCs w:val="24"/>
          <w:lang w:val="en-GB"/>
        </w:rPr>
        <w:t xml:space="preserve"> he was of the view that it would be an improper exercise of the </w:t>
      </w:r>
      <w:r w:rsidR="00CE1F9C" w:rsidRPr="00811277">
        <w:rPr>
          <w:rFonts w:ascii="Arial" w:eastAsia="Times New Roman" w:hAnsi="Arial" w:cs="Arial"/>
          <w:bCs/>
          <w:sz w:val="24"/>
          <w:szCs w:val="24"/>
          <w:lang w:val="en-GB"/>
        </w:rPr>
        <w:t>C</w:t>
      </w:r>
      <w:r w:rsidR="001A513F" w:rsidRPr="00811277">
        <w:rPr>
          <w:rFonts w:ascii="Arial" w:eastAsia="Times New Roman" w:hAnsi="Arial" w:cs="Arial"/>
          <w:bCs/>
          <w:sz w:val="24"/>
          <w:szCs w:val="24"/>
          <w:lang w:val="en-GB"/>
        </w:rPr>
        <w:t xml:space="preserve">ourt’s </w:t>
      </w:r>
      <w:r w:rsidR="00AF15AD" w:rsidRPr="00811277">
        <w:rPr>
          <w:rFonts w:ascii="Arial" w:eastAsia="Times New Roman" w:hAnsi="Arial" w:cs="Arial"/>
          <w:bCs/>
          <w:sz w:val="24"/>
          <w:szCs w:val="24"/>
          <w:lang w:val="en-GB"/>
        </w:rPr>
        <w:t>‘</w:t>
      </w:r>
      <w:r w:rsidR="001A513F" w:rsidRPr="00811277">
        <w:rPr>
          <w:rFonts w:ascii="Arial" w:eastAsia="Times New Roman" w:hAnsi="Arial" w:cs="Arial"/>
          <w:bCs/>
          <w:sz w:val="24"/>
          <w:szCs w:val="24"/>
          <w:lang w:val="en-GB"/>
        </w:rPr>
        <w:t>discretion</w:t>
      </w:r>
      <w:r w:rsidR="00AF15AD" w:rsidRPr="00811277">
        <w:rPr>
          <w:rFonts w:ascii="Arial" w:eastAsia="Times New Roman" w:hAnsi="Arial" w:cs="Arial"/>
          <w:bCs/>
          <w:sz w:val="24"/>
          <w:szCs w:val="24"/>
          <w:lang w:val="en-GB"/>
        </w:rPr>
        <w:t>’</w:t>
      </w:r>
      <w:r w:rsidR="001A513F" w:rsidRPr="00811277">
        <w:rPr>
          <w:rFonts w:ascii="Arial" w:eastAsia="Times New Roman" w:hAnsi="Arial" w:cs="Arial"/>
          <w:bCs/>
          <w:sz w:val="24"/>
          <w:szCs w:val="24"/>
          <w:lang w:val="en-GB"/>
        </w:rPr>
        <w:t xml:space="preserve"> to refuse to allow the </w:t>
      </w:r>
      <w:r w:rsidR="00CE1F9C" w:rsidRPr="00811277">
        <w:rPr>
          <w:rFonts w:ascii="Arial" w:eastAsia="Times New Roman" w:hAnsi="Arial" w:cs="Arial"/>
          <w:bCs/>
          <w:sz w:val="24"/>
          <w:szCs w:val="24"/>
          <w:lang w:val="en-GB"/>
        </w:rPr>
        <w:t>City’s</w:t>
      </w:r>
      <w:r w:rsidR="001A513F" w:rsidRPr="00811277">
        <w:rPr>
          <w:rFonts w:ascii="Arial" w:eastAsia="Times New Roman" w:hAnsi="Arial" w:cs="Arial"/>
          <w:bCs/>
          <w:sz w:val="24"/>
          <w:szCs w:val="24"/>
          <w:lang w:val="en-GB"/>
        </w:rPr>
        <w:t xml:space="preserve"> collateral challenge ‘solely’ on the grounds of delay. </w:t>
      </w:r>
      <w:r w:rsidR="00AF15AD" w:rsidRPr="00811277">
        <w:rPr>
          <w:rFonts w:ascii="Arial" w:eastAsia="Times New Roman" w:hAnsi="Arial" w:cs="Arial"/>
          <w:bCs/>
          <w:sz w:val="24"/>
          <w:szCs w:val="24"/>
          <w:lang w:val="en-GB"/>
        </w:rPr>
        <w:t>In this regard h</w:t>
      </w:r>
      <w:r w:rsidR="001A513F" w:rsidRPr="00811277">
        <w:rPr>
          <w:rFonts w:ascii="Arial" w:eastAsia="Times New Roman" w:hAnsi="Arial" w:cs="Arial"/>
          <w:bCs/>
          <w:sz w:val="24"/>
          <w:szCs w:val="24"/>
          <w:lang w:val="en-GB"/>
        </w:rPr>
        <w:t>e pointed out that not only had the City not sought to challenge the authorisations and approvals which had been granted in the 60</w:t>
      </w:r>
      <w:r w:rsidR="00FE7566" w:rsidRPr="00811277">
        <w:rPr>
          <w:rFonts w:ascii="Arial" w:eastAsia="Times New Roman" w:hAnsi="Arial" w:cs="Arial"/>
          <w:bCs/>
          <w:sz w:val="24"/>
          <w:szCs w:val="24"/>
          <w:lang w:val="en-GB"/>
        </w:rPr>
        <w:t>’</w:t>
      </w:r>
      <w:r w:rsidR="001A513F" w:rsidRPr="00811277">
        <w:rPr>
          <w:rFonts w:ascii="Arial" w:eastAsia="Times New Roman" w:hAnsi="Arial" w:cs="Arial"/>
          <w:bCs/>
          <w:sz w:val="24"/>
          <w:szCs w:val="24"/>
          <w:lang w:val="en-GB"/>
        </w:rPr>
        <w:t xml:space="preserve">s but </w:t>
      </w:r>
      <w:r w:rsidR="00ED646F" w:rsidRPr="00811277">
        <w:rPr>
          <w:rFonts w:ascii="Arial" w:eastAsia="Times New Roman" w:hAnsi="Arial" w:cs="Arial"/>
          <w:bCs/>
          <w:sz w:val="24"/>
          <w:szCs w:val="24"/>
          <w:lang w:val="en-GB"/>
        </w:rPr>
        <w:t>the applicant</w:t>
      </w:r>
      <w:r w:rsidR="001A513F" w:rsidRPr="00811277">
        <w:rPr>
          <w:rFonts w:ascii="Arial" w:eastAsia="Times New Roman" w:hAnsi="Arial" w:cs="Arial"/>
          <w:bCs/>
          <w:sz w:val="24"/>
          <w:szCs w:val="24"/>
          <w:lang w:val="en-GB"/>
        </w:rPr>
        <w:t xml:space="preserve"> himself had not done so for some 30 years after acquiring the property. </w:t>
      </w:r>
      <w:r w:rsidR="00FE7566" w:rsidRPr="00811277">
        <w:rPr>
          <w:rFonts w:ascii="Arial" w:eastAsia="Times New Roman" w:hAnsi="Arial" w:cs="Arial"/>
          <w:bCs/>
          <w:sz w:val="24"/>
          <w:szCs w:val="24"/>
          <w:lang w:val="en-GB"/>
        </w:rPr>
        <w:t xml:space="preserve">Consequently, he held that </w:t>
      </w:r>
      <w:r w:rsidR="001A513F" w:rsidRPr="00811277">
        <w:rPr>
          <w:rFonts w:ascii="Arial" w:eastAsia="Times New Roman" w:hAnsi="Arial" w:cs="Arial"/>
          <w:bCs/>
          <w:sz w:val="24"/>
          <w:szCs w:val="24"/>
          <w:lang w:val="en-GB"/>
        </w:rPr>
        <w:t xml:space="preserve">as the approval for </w:t>
      </w:r>
      <w:r w:rsidR="00FE7566" w:rsidRPr="00811277">
        <w:rPr>
          <w:rFonts w:ascii="Arial" w:eastAsia="Times New Roman" w:hAnsi="Arial" w:cs="Arial"/>
          <w:bCs/>
          <w:sz w:val="24"/>
          <w:szCs w:val="24"/>
          <w:lang w:val="en-GB"/>
        </w:rPr>
        <w:t>the</w:t>
      </w:r>
      <w:r w:rsidR="001A513F" w:rsidRPr="00811277">
        <w:rPr>
          <w:rFonts w:ascii="Arial" w:eastAsia="Times New Roman" w:hAnsi="Arial" w:cs="Arial"/>
          <w:bCs/>
          <w:sz w:val="24"/>
          <w:szCs w:val="24"/>
          <w:lang w:val="en-GB"/>
        </w:rPr>
        <w:t xml:space="preserve"> </w:t>
      </w:r>
      <w:r w:rsidR="001A513F" w:rsidRPr="00811277">
        <w:rPr>
          <w:rFonts w:ascii="Arial" w:eastAsia="Times New Roman" w:hAnsi="Arial" w:cs="Arial"/>
          <w:bCs/>
          <w:sz w:val="24"/>
          <w:szCs w:val="24"/>
          <w:lang w:val="en-GB"/>
        </w:rPr>
        <w:lastRenderedPageBreak/>
        <w:t>township had lapsed before the general plan could be submitted and approved</w:t>
      </w:r>
      <w:r w:rsidR="00AF15AD" w:rsidRPr="00811277">
        <w:rPr>
          <w:rFonts w:ascii="Arial" w:eastAsia="Times New Roman" w:hAnsi="Arial" w:cs="Arial"/>
          <w:bCs/>
          <w:sz w:val="24"/>
          <w:szCs w:val="24"/>
          <w:lang w:val="en-GB"/>
        </w:rPr>
        <w:t>,</w:t>
      </w:r>
      <w:r w:rsidR="001A513F" w:rsidRPr="00811277">
        <w:rPr>
          <w:rFonts w:ascii="Arial" w:eastAsia="Times New Roman" w:hAnsi="Arial" w:cs="Arial"/>
          <w:bCs/>
          <w:sz w:val="24"/>
          <w:szCs w:val="24"/>
          <w:lang w:val="en-GB"/>
        </w:rPr>
        <w:t xml:space="preserve"> it was a nullity</w:t>
      </w:r>
      <w:r w:rsidR="00AF15AD" w:rsidRPr="00811277">
        <w:rPr>
          <w:rFonts w:ascii="Arial" w:eastAsia="Times New Roman" w:hAnsi="Arial" w:cs="Arial"/>
          <w:bCs/>
          <w:sz w:val="24"/>
          <w:szCs w:val="24"/>
          <w:lang w:val="en-GB"/>
        </w:rPr>
        <w:t>,</w:t>
      </w:r>
      <w:r w:rsidR="001A513F" w:rsidRPr="00811277">
        <w:rPr>
          <w:rFonts w:ascii="Arial" w:eastAsia="Times New Roman" w:hAnsi="Arial" w:cs="Arial"/>
          <w:bCs/>
          <w:sz w:val="24"/>
          <w:szCs w:val="24"/>
          <w:lang w:val="en-GB"/>
        </w:rPr>
        <w:t xml:space="preserve"> </w:t>
      </w:r>
      <w:r w:rsidR="00ED646F" w:rsidRPr="00811277">
        <w:rPr>
          <w:rFonts w:ascii="Arial" w:eastAsia="Times New Roman" w:hAnsi="Arial" w:cs="Arial"/>
          <w:bCs/>
          <w:sz w:val="24"/>
          <w:szCs w:val="24"/>
          <w:lang w:val="en-GB"/>
        </w:rPr>
        <w:t>and</w:t>
      </w:r>
      <w:r w:rsidR="001A513F" w:rsidRPr="00811277">
        <w:rPr>
          <w:rFonts w:ascii="Arial" w:eastAsia="Times New Roman" w:hAnsi="Arial" w:cs="Arial"/>
          <w:bCs/>
          <w:sz w:val="24"/>
          <w:szCs w:val="24"/>
          <w:lang w:val="en-GB"/>
        </w:rPr>
        <w:t xml:space="preserve"> the </w:t>
      </w:r>
      <w:r w:rsidR="00ED646F" w:rsidRPr="00811277">
        <w:rPr>
          <w:rFonts w:ascii="Arial" w:eastAsia="Times New Roman" w:hAnsi="Arial" w:cs="Arial"/>
          <w:bCs/>
          <w:sz w:val="24"/>
          <w:szCs w:val="24"/>
          <w:lang w:val="en-GB"/>
        </w:rPr>
        <w:t>C</w:t>
      </w:r>
      <w:r w:rsidR="001A513F" w:rsidRPr="00811277">
        <w:rPr>
          <w:rFonts w:ascii="Arial" w:eastAsia="Times New Roman" w:hAnsi="Arial" w:cs="Arial"/>
          <w:bCs/>
          <w:sz w:val="24"/>
          <w:szCs w:val="24"/>
          <w:lang w:val="en-GB"/>
        </w:rPr>
        <w:t xml:space="preserve">ity was entitled to raise this </w:t>
      </w:r>
      <w:r w:rsidR="00AF15AD" w:rsidRPr="00811277">
        <w:rPr>
          <w:rFonts w:ascii="Arial" w:eastAsia="Times New Roman" w:hAnsi="Arial" w:cs="Arial"/>
          <w:bCs/>
          <w:sz w:val="24"/>
          <w:szCs w:val="24"/>
          <w:lang w:val="en-GB"/>
        </w:rPr>
        <w:t>as</w:t>
      </w:r>
      <w:r w:rsidR="001A513F" w:rsidRPr="00811277">
        <w:rPr>
          <w:rFonts w:ascii="Arial" w:eastAsia="Times New Roman" w:hAnsi="Arial" w:cs="Arial"/>
          <w:bCs/>
          <w:sz w:val="24"/>
          <w:szCs w:val="24"/>
          <w:lang w:val="en-GB"/>
        </w:rPr>
        <w:t xml:space="preserve"> a defence.</w:t>
      </w:r>
      <w:r w:rsidR="00627922" w:rsidRPr="00811277">
        <w:rPr>
          <w:rFonts w:ascii="Arial" w:eastAsia="Times New Roman" w:hAnsi="Arial" w:cs="Arial"/>
          <w:bCs/>
          <w:sz w:val="24"/>
          <w:szCs w:val="24"/>
          <w:lang w:val="en-GB"/>
        </w:rPr>
        <w:t xml:space="preserve"> </w:t>
      </w:r>
    </w:p>
    <w:p w14:paraId="01AF026B" w14:textId="3C7A1654" w:rsidR="001A513F"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39.</w:t>
      </w:r>
      <w:r>
        <w:rPr>
          <w:rFonts w:ascii="Arial" w:eastAsia="Times New Roman" w:hAnsi="Arial" w:cs="Arial"/>
          <w:bCs/>
          <w:kern w:val="0"/>
          <w:sz w:val="24"/>
          <w:szCs w:val="24"/>
          <w:lang w:val="en-GB"/>
          <w14:ligatures w14:val="none"/>
        </w:rPr>
        <w:tab/>
      </w:r>
      <w:r w:rsidR="00C04CF6" w:rsidRPr="00811277">
        <w:rPr>
          <w:rFonts w:ascii="Arial" w:eastAsia="Times New Roman" w:hAnsi="Arial" w:cs="Arial"/>
          <w:bCs/>
          <w:sz w:val="24"/>
          <w:szCs w:val="24"/>
          <w:lang w:val="en-GB"/>
        </w:rPr>
        <w:t>From the aforegoing i</w:t>
      </w:r>
      <w:r w:rsidR="00757B4A" w:rsidRPr="00811277">
        <w:rPr>
          <w:rFonts w:ascii="Arial" w:eastAsia="Times New Roman" w:hAnsi="Arial" w:cs="Arial"/>
          <w:bCs/>
          <w:sz w:val="24"/>
          <w:szCs w:val="24"/>
          <w:lang w:val="en-GB"/>
        </w:rPr>
        <w:t>t is evident that the issue of delay was considered</w:t>
      </w:r>
      <w:r w:rsidR="00AB184F" w:rsidRPr="00811277">
        <w:rPr>
          <w:rFonts w:ascii="Arial" w:eastAsia="Times New Roman" w:hAnsi="Arial" w:cs="Arial"/>
          <w:bCs/>
          <w:sz w:val="24"/>
          <w:szCs w:val="24"/>
          <w:lang w:val="en-GB"/>
        </w:rPr>
        <w:t>,</w:t>
      </w:r>
      <w:r w:rsidR="00AB184F" w:rsidRPr="00811277">
        <w:rPr>
          <w:rFonts w:ascii="Arial" w:eastAsia="Times New Roman" w:hAnsi="Arial" w:cs="Arial"/>
          <w:bCs/>
          <w:i/>
          <w:iCs/>
          <w:sz w:val="24"/>
          <w:szCs w:val="24"/>
          <w:lang w:val="en-GB"/>
        </w:rPr>
        <w:t xml:space="preserve"> a la</w:t>
      </w:r>
      <w:r w:rsidR="00AB184F" w:rsidRPr="00811277">
        <w:rPr>
          <w:rFonts w:ascii="Arial" w:eastAsia="Times New Roman" w:hAnsi="Arial" w:cs="Arial"/>
          <w:bCs/>
          <w:sz w:val="24"/>
          <w:szCs w:val="24"/>
          <w:lang w:val="en-GB"/>
        </w:rPr>
        <w:t xml:space="preserve"> </w:t>
      </w:r>
      <w:r w:rsidR="00AB184F" w:rsidRPr="00811277">
        <w:rPr>
          <w:rFonts w:ascii="Arial" w:eastAsia="Times New Roman" w:hAnsi="Arial" w:cs="Arial"/>
          <w:bCs/>
          <w:i/>
          <w:iCs/>
          <w:sz w:val="24"/>
          <w:szCs w:val="24"/>
          <w:lang w:val="en-GB"/>
        </w:rPr>
        <w:t>Photocircuit,</w:t>
      </w:r>
      <w:r w:rsidR="00757B4A" w:rsidRPr="00811277">
        <w:rPr>
          <w:rFonts w:ascii="Arial" w:eastAsia="Times New Roman" w:hAnsi="Arial" w:cs="Arial"/>
          <w:bCs/>
          <w:sz w:val="24"/>
          <w:szCs w:val="24"/>
          <w:lang w:val="en-GB"/>
        </w:rPr>
        <w:t xml:space="preserve"> to be a</w:t>
      </w:r>
      <w:r w:rsidR="00AF15AD" w:rsidRPr="00811277">
        <w:rPr>
          <w:rFonts w:ascii="Arial" w:eastAsia="Times New Roman" w:hAnsi="Arial" w:cs="Arial"/>
          <w:bCs/>
          <w:sz w:val="24"/>
          <w:szCs w:val="24"/>
          <w:lang w:val="en-GB"/>
        </w:rPr>
        <w:t xml:space="preserve"> factor</w:t>
      </w:r>
      <w:r w:rsidR="00757B4A" w:rsidRPr="00811277">
        <w:rPr>
          <w:rFonts w:ascii="Arial" w:eastAsia="Times New Roman" w:hAnsi="Arial" w:cs="Arial"/>
          <w:bCs/>
          <w:sz w:val="24"/>
          <w:szCs w:val="24"/>
          <w:lang w:val="en-GB"/>
        </w:rPr>
        <w:t xml:space="preserve"> that should be taken into account in determining whether the collateral challenge should be sustained.  </w:t>
      </w:r>
    </w:p>
    <w:p w14:paraId="29D2BF5D" w14:textId="2CF88721" w:rsidR="001A513F"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40.</w:t>
      </w:r>
      <w:r>
        <w:rPr>
          <w:rFonts w:ascii="Arial" w:eastAsia="Times New Roman" w:hAnsi="Arial" w:cs="Arial"/>
          <w:bCs/>
          <w:kern w:val="0"/>
          <w:sz w:val="24"/>
          <w:szCs w:val="24"/>
          <w:lang w:val="en-GB"/>
          <w14:ligatures w14:val="none"/>
        </w:rPr>
        <w:tab/>
      </w:r>
      <w:r w:rsidR="001A513F" w:rsidRPr="00811277">
        <w:rPr>
          <w:rFonts w:ascii="Arial" w:eastAsia="Times New Roman" w:hAnsi="Arial" w:cs="Arial"/>
          <w:bCs/>
          <w:sz w:val="24"/>
          <w:szCs w:val="24"/>
          <w:lang w:val="en-GB"/>
        </w:rPr>
        <w:t xml:space="preserve">On appeal, the SCA </w:t>
      </w:r>
      <w:r w:rsidR="000C2EA0" w:rsidRPr="00811277">
        <w:rPr>
          <w:rFonts w:ascii="Arial" w:eastAsia="Times New Roman" w:hAnsi="Arial" w:cs="Arial"/>
          <w:bCs/>
          <w:sz w:val="24"/>
          <w:szCs w:val="24"/>
          <w:lang w:val="en-GB"/>
        </w:rPr>
        <w:t xml:space="preserve">confirmed </w:t>
      </w:r>
      <w:r w:rsidR="00C04CF6" w:rsidRPr="00811277">
        <w:rPr>
          <w:rFonts w:ascii="Arial" w:eastAsia="Times New Roman" w:hAnsi="Arial" w:cs="Arial"/>
          <w:bCs/>
          <w:sz w:val="24"/>
          <w:szCs w:val="24"/>
          <w:lang w:val="en-GB"/>
        </w:rPr>
        <w:t>and restated</w:t>
      </w:r>
      <w:r w:rsidR="00627922">
        <w:rPr>
          <w:rStyle w:val="FootnoteReference"/>
          <w:rFonts w:ascii="Arial" w:eastAsia="Times New Roman" w:hAnsi="Arial" w:cs="Arial"/>
          <w:bCs/>
          <w:sz w:val="24"/>
          <w:szCs w:val="24"/>
          <w:lang w:val="en-GB"/>
        </w:rPr>
        <w:footnoteReference w:id="34"/>
      </w:r>
      <w:r w:rsidR="001A513F" w:rsidRPr="00811277">
        <w:rPr>
          <w:rFonts w:ascii="Arial" w:eastAsia="Times New Roman" w:hAnsi="Arial" w:cs="Arial"/>
          <w:bCs/>
          <w:sz w:val="24"/>
          <w:szCs w:val="24"/>
          <w:lang w:val="en-GB"/>
        </w:rPr>
        <w:t xml:space="preserve"> with reference to the decision of the House of Lords in </w:t>
      </w:r>
      <w:r w:rsidR="001A513F" w:rsidRPr="00811277">
        <w:rPr>
          <w:rFonts w:ascii="Arial" w:eastAsia="Times New Roman" w:hAnsi="Arial" w:cs="Arial"/>
          <w:bCs/>
          <w:i/>
          <w:iCs/>
          <w:sz w:val="24"/>
          <w:szCs w:val="24"/>
          <w:lang w:val="en-GB"/>
        </w:rPr>
        <w:t>Boddington</w:t>
      </w:r>
      <w:r w:rsidR="00C04CF6" w:rsidRPr="00811277">
        <w:rPr>
          <w:rFonts w:ascii="Arial" w:eastAsia="Times New Roman" w:hAnsi="Arial" w:cs="Arial"/>
          <w:bCs/>
          <w:i/>
          <w:iCs/>
          <w:sz w:val="24"/>
          <w:szCs w:val="24"/>
          <w:lang w:val="en-GB"/>
        </w:rPr>
        <w:t>,</w:t>
      </w:r>
      <w:r w:rsidR="001A513F">
        <w:rPr>
          <w:rStyle w:val="FootnoteReference"/>
          <w:rFonts w:ascii="Arial" w:eastAsia="Times New Roman" w:hAnsi="Arial" w:cs="Arial"/>
          <w:bCs/>
          <w:sz w:val="24"/>
          <w:szCs w:val="24"/>
          <w:lang w:val="en-GB"/>
        </w:rPr>
        <w:footnoteReference w:id="35"/>
      </w:r>
      <w:r w:rsidR="001A513F" w:rsidRPr="00811277">
        <w:rPr>
          <w:rFonts w:ascii="Arial" w:eastAsia="Times New Roman" w:hAnsi="Arial" w:cs="Arial"/>
          <w:bCs/>
          <w:sz w:val="24"/>
          <w:szCs w:val="24"/>
          <w:lang w:val="en-GB"/>
        </w:rPr>
        <w:t xml:space="preserve"> that collateral challenges were commonly raised in proceedings that were not designed directly to impeach the validity of an administrative act or decision, but to resist</w:t>
      </w:r>
      <w:r w:rsidR="002F6D47" w:rsidRPr="00811277">
        <w:rPr>
          <w:rFonts w:ascii="Arial" w:eastAsia="Times New Roman" w:hAnsi="Arial" w:cs="Arial"/>
          <w:bCs/>
          <w:sz w:val="24"/>
          <w:szCs w:val="24"/>
          <w:lang w:val="en-GB"/>
        </w:rPr>
        <w:t xml:space="preserve"> its enforcement</w:t>
      </w:r>
      <w:r w:rsidR="001A513F" w:rsidRPr="00811277">
        <w:rPr>
          <w:rFonts w:ascii="Arial" w:eastAsia="Times New Roman" w:hAnsi="Arial" w:cs="Arial"/>
          <w:bCs/>
          <w:sz w:val="24"/>
          <w:szCs w:val="24"/>
          <w:lang w:val="en-GB"/>
        </w:rPr>
        <w:t xml:space="preserve">. They occurred in instances where an administrative act or decision was </w:t>
      </w:r>
      <w:r w:rsidR="000C2EA0" w:rsidRPr="00811277">
        <w:rPr>
          <w:rFonts w:ascii="Arial" w:eastAsia="Times New Roman" w:hAnsi="Arial" w:cs="Arial"/>
          <w:bCs/>
          <w:sz w:val="24"/>
          <w:szCs w:val="24"/>
          <w:lang w:val="en-GB"/>
        </w:rPr>
        <w:t>s</w:t>
      </w:r>
      <w:r w:rsidR="001A513F" w:rsidRPr="00811277">
        <w:rPr>
          <w:rFonts w:ascii="Arial" w:eastAsia="Times New Roman" w:hAnsi="Arial" w:cs="Arial"/>
          <w:bCs/>
          <w:sz w:val="24"/>
          <w:szCs w:val="24"/>
          <w:lang w:val="en-GB"/>
        </w:rPr>
        <w:t xml:space="preserve">ought to be applied coercively by the state or a public authority against </w:t>
      </w:r>
      <w:r w:rsidR="00AF15AD" w:rsidRPr="00811277">
        <w:rPr>
          <w:rFonts w:ascii="Arial" w:eastAsia="Times New Roman" w:hAnsi="Arial" w:cs="Arial"/>
          <w:bCs/>
          <w:sz w:val="24"/>
          <w:szCs w:val="24"/>
          <w:lang w:val="en-GB"/>
        </w:rPr>
        <w:t>a</w:t>
      </w:r>
      <w:r w:rsidR="001A513F" w:rsidRPr="00811277">
        <w:rPr>
          <w:rFonts w:ascii="Arial" w:eastAsia="Times New Roman" w:hAnsi="Arial" w:cs="Arial"/>
          <w:bCs/>
          <w:sz w:val="24"/>
          <w:szCs w:val="24"/>
          <w:lang w:val="en-GB"/>
        </w:rPr>
        <w:t xml:space="preserve"> person or entity. As the coercive action derived its force from the prior administrative action or decision, </w:t>
      </w:r>
      <w:r w:rsidR="00627922" w:rsidRPr="00811277">
        <w:rPr>
          <w:rFonts w:ascii="Arial" w:eastAsia="Times New Roman" w:hAnsi="Arial" w:cs="Arial"/>
          <w:bCs/>
          <w:sz w:val="24"/>
          <w:szCs w:val="24"/>
          <w:lang w:val="en-GB"/>
        </w:rPr>
        <w:t xml:space="preserve">the </w:t>
      </w:r>
      <w:r w:rsidR="001A513F" w:rsidRPr="00811277">
        <w:rPr>
          <w:rFonts w:ascii="Arial" w:eastAsia="Times New Roman" w:hAnsi="Arial" w:cs="Arial"/>
          <w:bCs/>
          <w:sz w:val="24"/>
          <w:szCs w:val="24"/>
          <w:lang w:val="en-GB"/>
        </w:rPr>
        <w:t xml:space="preserve">right to challenge the validity thereof indirectly or ‘collaterally’ arose because </w:t>
      </w:r>
      <w:r w:rsidR="00627922" w:rsidRPr="00811277">
        <w:rPr>
          <w:rFonts w:ascii="Arial" w:eastAsia="Times New Roman" w:hAnsi="Arial" w:cs="Arial"/>
          <w:bCs/>
          <w:sz w:val="24"/>
          <w:szCs w:val="24"/>
          <w:lang w:val="en-GB"/>
        </w:rPr>
        <w:t xml:space="preserve">the </w:t>
      </w:r>
      <w:r w:rsidR="001A513F" w:rsidRPr="00811277">
        <w:rPr>
          <w:rFonts w:ascii="Arial" w:eastAsia="Times New Roman" w:hAnsi="Arial" w:cs="Arial"/>
          <w:bCs/>
          <w:sz w:val="24"/>
          <w:szCs w:val="24"/>
          <w:lang w:val="en-GB"/>
        </w:rPr>
        <w:t>validity of the action or decision was an essential prerequisite for the validity of the coercive action.</w:t>
      </w:r>
      <w:r w:rsidR="00935861">
        <w:rPr>
          <w:rStyle w:val="FootnoteReference"/>
          <w:rFonts w:ascii="Arial" w:eastAsia="Times New Roman" w:hAnsi="Arial" w:cs="Arial"/>
          <w:bCs/>
          <w:sz w:val="24"/>
          <w:szCs w:val="24"/>
          <w:lang w:val="en-GB"/>
        </w:rPr>
        <w:footnoteReference w:id="36"/>
      </w:r>
    </w:p>
    <w:p w14:paraId="0E5C177D" w14:textId="554AB7EA" w:rsidR="00411118"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41.</w:t>
      </w:r>
      <w:r>
        <w:rPr>
          <w:rFonts w:ascii="Arial" w:eastAsia="Times New Roman" w:hAnsi="Arial" w:cs="Arial"/>
          <w:bCs/>
          <w:kern w:val="0"/>
          <w:sz w:val="24"/>
          <w:szCs w:val="24"/>
          <w:lang w:val="en-GB"/>
          <w14:ligatures w14:val="none"/>
        </w:rPr>
        <w:tab/>
      </w:r>
      <w:r w:rsidR="00AA4352" w:rsidRPr="00811277">
        <w:rPr>
          <w:rFonts w:ascii="Arial" w:eastAsia="Times New Roman" w:hAnsi="Arial" w:cs="Arial"/>
          <w:bCs/>
          <w:sz w:val="24"/>
          <w:szCs w:val="24"/>
          <w:lang w:val="en-GB"/>
        </w:rPr>
        <w:t>In the circumstances</w:t>
      </w:r>
      <w:r w:rsidR="00AB184F" w:rsidRPr="00811277">
        <w:rPr>
          <w:rFonts w:ascii="Arial" w:eastAsia="Times New Roman" w:hAnsi="Arial" w:cs="Arial"/>
          <w:bCs/>
          <w:sz w:val="24"/>
          <w:szCs w:val="24"/>
          <w:lang w:val="en-GB"/>
        </w:rPr>
        <w:t>,</w:t>
      </w:r>
      <w:r w:rsidR="00AA4352" w:rsidRPr="00811277">
        <w:rPr>
          <w:rFonts w:ascii="Arial" w:eastAsia="Times New Roman" w:hAnsi="Arial" w:cs="Arial"/>
          <w:bCs/>
          <w:sz w:val="24"/>
          <w:szCs w:val="24"/>
          <w:lang w:val="en-GB"/>
        </w:rPr>
        <w:t xml:space="preserve"> </w:t>
      </w:r>
      <w:r w:rsidR="00ED26A0" w:rsidRPr="00811277">
        <w:rPr>
          <w:rFonts w:ascii="Arial" w:eastAsia="Times New Roman" w:hAnsi="Arial" w:cs="Arial"/>
          <w:bCs/>
          <w:sz w:val="24"/>
          <w:szCs w:val="24"/>
          <w:lang w:val="en-GB"/>
        </w:rPr>
        <w:t>a</w:t>
      </w:r>
      <w:r w:rsidR="00AA4352" w:rsidRPr="00811277">
        <w:rPr>
          <w:rFonts w:ascii="Arial" w:eastAsia="Times New Roman" w:hAnsi="Arial" w:cs="Arial"/>
          <w:bCs/>
          <w:sz w:val="24"/>
          <w:szCs w:val="24"/>
          <w:lang w:val="en-GB"/>
        </w:rPr>
        <w:t xml:space="preserve"> person or entity which was subject to the coercive action could not be precluded from challenging the validity of the administrative action or decision from which it derived its force. Thus, in those cases in which the validity of an administrative act or decision could be challenged collaterally </w:t>
      </w:r>
      <w:r w:rsidR="00627922" w:rsidRPr="00811277">
        <w:rPr>
          <w:rFonts w:ascii="Arial" w:eastAsia="Times New Roman" w:hAnsi="Arial" w:cs="Arial"/>
          <w:bCs/>
          <w:sz w:val="24"/>
          <w:szCs w:val="24"/>
          <w:lang w:val="en-GB"/>
        </w:rPr>
        <w:t xml:space="preserve">a </w:t>
      </w:r>
      <w:r w:rsidR="00AA4352" w:rsidRPr="00811277">
        <w:rPr>
          <w:rFonts w:ascii="Arial" w:eastAsia="Times New Roman" w:hAnsi="Arial" w:cs="Arial"/>
          <w:bCs/>
          <w:sz w:val="24"/>
          <w:szCs w:val="24"/>
          <w:lang w:val="en-GB"/>
        </w:rPr>
        <w:t xml:space="preserve">court had no </w:t>
      </w:r>
      <w:r w:rsidR="00AF15AD" w:rsidRPr="00811277">
        <w:rPr>
          <w:rFonts w:ascii="Arial" w:eastAsia="Times New Roman" w:hAnsi="Arial" w:cs="Arial"/>
          <w:bCs/>
          <w:sz w:val="24"/>
          <w:szCs w:val="24"/>
          <w:lang w:val="en-GB"/>
        </w:rPr>
        <w:t>‘</w:t>
      </w:r>
      <w:r w:rsidR="00AA4352" w:rsidRPr="00811277">
        <w:rPr>
          <w:rFonts w:ascii="Arial" w:eastAsia="Times New Roman" w:hAnsi="Arial" w:cs="Arial"/>
          <w:bCs/>
          <w:sz w:val="24"/>
          <w:szCs w:val="24"/>
          <w:lang w:val="en-GB"/>
        </w:rPr>
        <w:t>discretion</w:t>
      </w:r>
      <w:r w:rsidR="00AF15AD" w:rsidRPr="00811277">
        <w:rPr>
          <w:rFonts w:ascii="Arial" w:eastAsia="Times New Roman" w:hAnsi="Arial" w:cs="Arial"/>
          <w:bCs/>
          <w:sz w:val="24"/>
          <w:szCs w:val="24"/>
          <w:lang w:val="en-GB"/>
        </w:rPr>
        <w:t>’</w:t>
      </w:r>
      <w:r w:rsidR="00AA4352" w:rsidRPr="00811277">
        <w:rPr>
          <w:rFonts w:ascii="Arial" w:eastAsia="Times New Roman" w:hAnsi="Arial" w:cs="Arial"/>
          <w:bCs/>
          <w:sz w:val="24"/>
          <w:szCs w:val="24"/>
          <w:lang w:val="en-GB"/>
        </w:rPr>
        <w:t xml:space="preserve"> to allow or disallow the raising of such a defence</w:t>
      </w:r>
      <w:r w:rsidR="002F6D47" w:rsidRPr="00811277">
        <w:rPr>
          <w:rFonts w:ascii="Arial" w:eastAsia="Times New Roman" w:hAnsi="Arial" w:cs="Arial"/>
          <w:bCs/>
          <w:sz w:val="24"/>
          <w:szCs w:val="24"/>
          <w:lang w:val="en-GB"/>
        </w:rPr>
        <w:t>,</w:t>
      </w:r>
      <w:r w:rsidR="00AA4352">
        <w:rPr>
          <w:rStyle w:val="FootnoteReference"/>
          <w:rFonts w:ascii="Arial" w:eastAsia="Times New Roman" w:hAnsi="Arial" w:cs="Arial"/>
          <w:bCs/>
          <w:sz w:val="24"/>
          <w:szCs w:val="24"/>
          <w:lang w:val="en-GB"/>
        </w:rPr>
        <w:footnoteReference w:id="37"/>
      </w:r>
      <w:r w:rsidR="00AA4352" w:rsidRPr="00811277">
        <w:rPr>
          <w:rFonts w:ascii="Arial" w:eastAsia="Times New Roman" w:hAnsi="Arial" w:cs="Arial"/>
          <w:bCs/>
          <w:sz w:val="24"/>
          <w:szCs w:val="24"/>
          <w:lang w:val="en-GB"/>
        </w:rPr>
        <w:t xml:space="preserve"> unlike in review matters</w:t>
      </w:r>
      <w:r w:rsidR="00627922" w:rsidRPr="00811277">
        <w:rPr>
          <w:rFonts w:ascii="Arial" w:eastAsia="Times New Roman" w:hAnsi="Arial" w:cs="Arial"/>
          <w:bCs/>
          <w:sz w:val="24"/>
          <w:szCs w:val="24"/>
          <w:lang w:val="en-GB"/>
        </w:rPr>
        <w:t>,</w:t>
      </w:r>
      <w:r w:rsidR="00AA4352" w:rsidRPr="00811277">
        <w:rPr>
          <w:rFonts w:ascii="Arial" w:eastAsia="Times New Roman" w:hAnsi="Arial" w:cs="Arial"/>
          <w:bCs/>
          <w:sz w:val="24"/>
          <w:szCs w:val="24"/>
          <w:lang w:val="en-GB"/>
        </w:rPr>
        <w:t xml:space="preserve"> where the court had </w:t>
      </w:r>
      <w:r w:rsidR="002F6D47" w:rsidRPr="00811277">
        <w:rPr>
          <w:rFonts w:ascii="Arial" w:eastAsia="Times New Roman" w:hAnsi="Arial" w:cs="Arial"/>
          <w:bCs/>
          <w:sz w:val="24"/>
          <w:szCs w:val="24"/>
          <w:lang w:val="en-GB"/>
        </w:rPr>
        <w:t xml:space="preserve">such </w:t>
      </w:r>
      <w:r w:rsidR="00AA4352" w:rsidRPr="00811277">
        <w:rPr>
          <w:rFonts w:ascii="Arial" w:eastAsia="Times New Roman" w:hAnsi="Arial" w:cs="Arial"/>
          <w:bCs/>
          <w:sz w:val="24"/>
          <w:szCs w:val="24"/>
          <w:lang w:val="en-GB"/>
        </w:rPr>
        <w:t>a discretion</w:t>
      </w:r>
      <w:r w:rsidR="002F6D47" w:rsidRPr="00811277">
        <w:rPr>
          <w:rFonts w:ascii="Arial" w:eastAsia="Times New Roman" w:hAnsi="Arial" w:cs="Arial"/>
          <w:bCs/>
          <w:sz w:val="24"/>
          <w:szCs w:val="24"/>
          <w:lang w:val="en-GB"/>
        </w:rPr>
        <w:t>,</w:t>
      </w:r>
      <w:r w:rsidR="00AA4352" w:rsidRPr="00811277">
        <w:rPr>
          <w:rFonts w:ascii="Arial" w:eastAsia="Times New Roman" w:hAnsi="Arial" w:cs="Arial"/>
          <w:bCs/>
          <w:sz w:val="24"/>
          <w:szCs w:val="24"/>
          <w:lang w:val="en-GB"/>
        </w:rPr>
        <w:t xml:space="preserve"> which served as a ‘moderating tool’ for avoiding or minimising </w:t>
      </w:r>
      <w:r w:rsidR="002F6D47" w:rsidRPr="00811277">
        <w:rPr>
          <w:rFonts w:ascii="Arial" w:eastAsia="Times New Roman" w:hAnsi="Arial" w:cs="Arial"/>
          <w:bCs/>
          <w:sz w:val="24"/>
          <w:szCs w:val="24"/>
          <w:lang w:val="en-GB"/>
        </w:rPr>
        <w:t>in</w:t>
      </w:r>
      <w:r w:rsidR="00AA4352" w:rsidRPr="00811277">
        <w:rPr>
          <w:rFonts w:ascii="Arial" w:eastAsia="Times New Roman" w:hAnsi="Arial" w:cs="Arial"/>
          <w:bCs/>
          <w:sz w:val="24"/>
          <w:szCs w:val="24"/>
          <w:lang w:val="en-GB"/>
        </w:rPr>
        <w:t>justice in instances where ‘legality and certainty collide’.</w:t>
      </w:r>
      <w:r w:rsidR="00AA4352">
        <w:rPr>
          <w:rStyle w:val="FootnoteReference"/>
          <w:rFonts w:ascii="Arial" w:eastAsia="Times New Roman" w:hAnsi="Arial" w:cs="Arial"/>
          <w:bCs/>
          <w:sz w:val="24"/>
          <w:szCs w:val="24"/>
          <w:lang w:val="en-GB"/>
        </w:rPr>
        <w:footnoteReference w:id="38"/>
      </w:r>
      <w:r w:rsidR="00807581" w:rsidRPr="00811277">
        <w:rPr>
          <w:rFonts w:ascii="Arial" w:eastAsia="Times New Roman" w:hAnsi="Arial" w:cs="Arial"/>
          <w:bCs/>
          <w:sz w:val="24"/>
          <w:szCs w:val="24"/>
          <w:lang w:val="en-GB"/>
        </w:rPr>
        <w:t xml:space="preserve"> </w:t>
      </w:r>
      <w:r w:rsidR="00627922" w:rsidRPr="00811277">
        <w:rPr>
          <w:rFonts w:ascii="Arial" w:eastAsia="Times New Roman" w:hAnsi="Arial" w:cs="Arial"/>
          <w:bCs/>
          <w:sz w:val="24"/>
          <w:szCs w:val="24"/>
          <w:lang w:val="en-GB"/>
        </w:rPr>
        <w:t>But</w:t>
      </w:r>
      <w:r w:rsidR="00807581" w:rsidRPr="00811277">
        <w:rPr>
          <w:rFonts w:ascii="Arial" w:eastAsia="Times New Roman" w:hAnsi="Arial" w:cs="Arial"/>
          <w:bCs/>
          <w:sz w:val="24"/>
          <w:szCs w:val="24"/>
          <w:lang w:val="en-GB"/>
        </w:rPr>
        <w:t xml:space="preserve"> the</w:t>
      </w:r>
      <w:r w:rsidR="00ED26A0" w:rsidRPr="00811277">
        <w:rPr>
          <w:rFonts w:ascii="Arial" w:eastAsia="Times New Roman" w:hAnsi="Arial" w:cs="Arial"/>
          <w:bCs/>
          <w:sz w:val="24"/>
          <w:szCs w:val="24"/>
          <w:lang w:val="en-GB"/>
        </w:rPr>
        <w:t xml:space="preserve"> SCA warned that the</w:t>
      </w:r>
      <w:r w:rsidR="00807581" w:rsidRPr="00811277">
        <w:rPr>
          <w:rFonts w:ascii="Arial" w:eastAsia="Times New Roman" w:hAnsi="Arial" w:cs="Arial"/>
          <w:bCs/>
          <w:sz w:val="24"/>
          <w:szCs w:val="24"/>
          <w:lang w:val="en-GB"/>
        </w:rPr>
        <w:t xml:space="preserve"> </w:t>
      </w:r>
      <w:r w:rsidR="002F6D47" w:rsidRPr="00811277">
        <w:rPr>
          <w:rFonts w:ascii="Arial" w:eastAsia="Times New Roman" w:hAnsi="Arial" w:cs="Arial"/>
          <w:bCs/>
          <w:sz w:val="24"/>
          <w:szCs w:val="24"/>
          <w:lang w:val="en-GB"/>
        </w:rPr>
        <w:t>two</w:t>
      </w:r>
      <w:r w:rsidR="00807581" w:rsidRPr="00811277">
        <w:rPr>
          <w:rFonts w:ascii="Arial" w:eastAsia="Times New Roman" w:hAnsi="Arial" w:cs="Arial"/>
          <w:bCs/>
          <w:sz w:val="24"/>
          <w:szCs w:val="24"/>
          <w:lang w:val="en-GB"/>
        </w:rPr>
        <w:t xml:space="preserve"> remedies were not to be conflated: each </w:t>
      </w:r>
      <w:r w:rsidR="002F6D47" w:rsidRPr="00811277">
        <w:rPr>
          <w:rFonts w:ascii="Arial" w:eastAsia="Times New Roman" w:hAnsi="Arial" w:cs="Arial"/>
          <w:bCs/>
          <w:sz w:val="24"/>
          <w:szCs w:val="24"/>
          <w:lang w:val="en-GB"/>
        </w:rPr>
        <w:t>one</w:t>
      </w:r>
      <w:r w:rsidR="00807581" w:rsidRPr="00811277">
        <w:rPr>
          <w:rFonts w:ascii="Arial" w:eastAsia="Times New Roman" w:hAnsi="Arial" w:cs="Arial"/>
          <w:bCs/>
          <w:sz w:val="24"/>
          <w:szCs w:val="24"/>
          <w:lang w:val="en-GB"/>
        </w:rPr>
        <w:t xml:space="preserve"> had </w:t>
      </w:r>
      <w:r w:rsidR="002F6D47" w:rsidRPr="00811277">
        <w:rPr>
          <w:rFonts w:ascii="Arial" w:eastAsia="Times New Roman" w:hAnsi="Arial" w:cs="Arial"/>
          <w:bCs/>
          <w:sz w:val="24"/>
          <w:szCs w:val="24"/>
          <w:lang w:val="en-GB"/>
        </w:rPr>
        <w:t xml:space="preserve">its own, </w:t>
      </w:r>
      <w:r w:rsidR="00807581" w:rsidRPr="00811277">
        <w:rPr>
          <w:rFonts w:ascii="Arial" w:eastAsia="Times New Roman" w:hAnsi="Arial" w:cs="Arial"/>
          <w:bCs/>
          <w:sz w:val="24"/>
          <w:szCs w:val="24"/>
          <w:lang w:val="en-GB"/>
        </w:rPr>
        <w:t>separate application to its appropriate circumstances</w:t>
      </w:r>
      <w:r w:rsidR="002F6D47" w:rsidRPr="00811277">
        <w:rPr>
          <w:rFonts w:ascii="Arial" w:eastAsia="Times New Roman" w:hAnsi="Arial" w:cs="Arial"/>
          <w:bCs/>
          <w:sz w:val="24"/>
          <w:szCs w:val="24"/>
          <w:lang w:val="en-GB"/>
        </w:rPr>
        <w:t>,</w:t>
      </w:r>
      <w:r w:rsidR="00807581" w:rsidRPr="00811277">
        <w:rPr>
          <w:rFonts w:ascii="Arial" w:eastAsia="Times New Roman" w:hAnsi="Arial" w:cs="Arial"/>
          <w:bCs/>
          <w:sz w:val="24"/>
          <w:szCs w:val="24"/>
          <w:lang w:val="en-GB"/>
        </w:rPr>
        <w:t xml:space="preserve"> and they ought not to be seen as </w:t>
      </w:r>
      <w:r w:rsidR="002F6D47" w:rsidRPr="00811277">
        <w:rPr>
          <w:rFonts w:ascii="Arial" w:eastAsia="Times New Roman" w:hAnsi="Arial" w:cs="Arial"/>
          <w:bCs/>
          <w:sz w:val="24"/>
          <w:szCs w:val="24"/>
          <w:lang w:val="en-GB"/>
        </w:rPr>
        <w:t>‘</w:t>
      </w:r>
      <w:r w:rsidR="00807581" w:rsidRPr="00811277">
        <w:rPr>
          <w:rFonts w:ascii="Arial" w:eastAsia="Times New Roman" w:hAnsi="Arial" w:cs="Arial"/>
          <w:bCs/>
          <w:sz w:val="24"/>
          <w:szCs w:val="24"/>
          <w:lang w:val="en-GB"/>
        </w:rPr>
        <w:t>interchangeable manifestations</w:t>
      </w:r>
      <w:r w:rsidR="002F6D47" w:rsidRPr="00811277">
        <w:rPr>
          <w:rFonts w:ascii="Arial" w:eastAsia="Times New Roman" w:hAnsi="Arial" w:cs="Arial"/>
          <w:bCs/>
          <w:sz w:val="24"/>
          <w:szCs w:val="24"/>
          <w:lang w:val="en-GB"/>
        </w:rPr>
        <w:t>’</w:t>
      </w:r>
      <w:r w:rsidR="00807581" w:rsidRPr="00811277">
        <w:rPr>
          <w:rFonts w:ascii="Arial" w:eastAsia="Times New Roman" w:hAnsi="Arial" w:cs="Arial"/>
          <w:bCs/>
          <w:sz w:val="24"/>
          <w:szCs w:val="24"/>
          <w:lang w:val="en-GB"/>
        </w:rPr>
        <w:t xml:space="preserve"> of a single remedy that arose whenever an administrative act was challenged on the grounds of invalidity.</w:t>
      </w:r>
      <w:r w:rsidR="00627922">
        <w:rPr>
          <w:rStyle w:val="FootnoteReference"/>
          <w:rFonts w:ascii="Arial" w:eastAsia="Times New Roman" w:hAnsi="Arial" w:cs="Arial"/>
          <w:bCs/>
          <w:sz w:val="24"/>
          <w:szCs w:val="24"/>
          <w:lang w:val="en-GB"/>
        </w:rPr>
        <w:footnoteReference w:id="39"/>
      </w:r>
      <w:r w:rsidR="00807581" w:rsidRPr="00811277">
        <w:rPr>
          <w:rFonts w:ascii="Arial" w:eastAsia="Times New Roman" w:hAnsi="Arial" w:cs="Arial"/>
          <w:bCs/>
          <w:sz w:val="24"/>
          <w:szCs w:val="24"/>
          <w:lang w:val="en-GB"/>
        </w:rPr>
        <w:t xml:space="preserve"> </w:t>
      </w:r>
    </w:p>
    <w:p w14:paraId="1C06294E" w14:textId="69054AEF" w:rsidR="00627922"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lastRenderedPageBreak/>
        <w:t>42.</w:t>
      </w:r>
      <w:r>
        <w:rPr>
          <w:rFonts w:ascii="Arial" w:eastAsia="Times New Roman" w:hAnsi="Arial" w:cs="Arial"/>
          <w:bCs/>
          <w:kern w:val="0"/>
          <w:sz w:val="24"/>
          <w:szCs w:val="24"/>
          <w:lang w:val="en-GB"/>
          <w14:ligatures w14:val="none"/>
        </w:rPr>
        <w:tab/>
      </w:r>
      <w:r w:rsidR="003C662E" w:rsidRPr="00811277">
        <w:rPr>
          <w:rFonts w:ascii="Arial" w:eastAsia="Times New Roman" w:hAnsi="Arial" w:cs="Arial"/>
          <w:bCs/>
          <w:sz w:val="24"/>
          <w:szCs w:val="24"/>
          <w:lang w:val="en-GB"/>
        </w:rPr>
        <w:t xml:space="preserve">Thus, contrary to the Court a </w:t>
      </w:r>
      <w:r w:rsidR="003C662E" w:rsidRPr="00811277">
        <w:rPr>
          <w:rFonts w:ascii="Arial" w:eastAsia="Times New Roman" w:hAnsi="Arial" w:cs="Arial"/>
          <w:bCs/>
          <w:i/>
          <w:iCs/>
          <w:sz w:val="24"/>
          <w:szCs w:val="24"/>
          <w:lang w:val="en-GB"/>
        </w:rPr>
        <w:t>quo</w:t>
      </w:r>
      <w:r w:rsidR="003C662E" w:rsidRPr="00811277">
        <w:rPr>
          <w:rFonts w:ascii="Arial" w:eastAsia="Times New Roman" w:hAnsi="Arial" w:cs="Arial"/>
          <w:bCs/>
          <w:sz w:val="24"/>
          <w:szCs w:val="24"/>
          <w:lang w:val="en-GB"/>
        </w:rPr>
        <w:t xml:space="preserve"> the SCA held that in matters involving collateral challenges, which are properly raised, the court concerned does not have a </w:t>
      </w:r>
      <w:r w:rsidR="001C1D28" w:rsidRPr="00811277">
        <w:rPr>
          <w:rFonts w:ascii="Arial" w:eastAsia="Times New Roman" w:hAnsi="Arial" w:cs="Arial"/>
          <w:bCs/>
          <w:sz w:val="24"/>
          <w:szCs w:val="24"/>
          <w:lang w:val="en-GB"/>
        </w:rPr>
        <w:t>‘</w:t>
      </w:r>
      <w:r w:rsidR="003C662E" w:rsidRPr="00811277">
        <w:rPr>
          <w:rFonts w:ascii="Arial" w:eastAsia="Times New Roman" w:hAnsi="Arial" w:cs="Arial"/>
          <w:bCs/>
          <w:sz w:val="24"/>
          <w:szCs w:val="24"/>
          <w:lang w:val="en-GB"/>
        </w:rPr>
        <w:t>discretion</w:t>
      </w:r>
      <w:r w:rsidR="001C1D28" w:rsidRPr="00811277">
        <w:rPr>
          <w:rFonts w:ascii="Arial" w:eastAsia="Times New Roman" w:hAnsi="Arial" w:cs="Arial"/>
          <w:bCs/>
          <w:sz w:val="24"/>
          <w:szCs w:val="24"/>
          <w:lang w:val="en-GB"/>
        </w:rPr>
        <w:t>’</w:t>
      </w:r>
      <w:r w:rsidR="003C662E" w:rsidRPr="00811277">
        <w:rPr>
          <w:rFonts w:ascii="Arial" w:eastAsia="Times New Roman" w:hAnsi="Arial" w:cs="Arial"/>
          <w:bCs/>
          <w:sz w:val="24"/>
          <w:szCs w:val="24"/>
          <w:lang w:val="en-GB"/>
        </w:rPr>
        <w:t xml:space="preserve"> to refuse to entertain the challenge, unlike in reviews. But the SCA did not hold that in appropriate circumstances </w:t>
      </w:r>
      <w:r w:rsidR="00AB184F" w:rsidRPr="00811277">
        <w:rPr>
          <w:rFonts w:ascii="Arial" w:eastAsia="Times New Roman" w:hAnsi="Arial" w:cs="Arial"/>
          <w:bCs/>
          <w:sz w:val="24"/>
          <w:szCs w:val="24"/>
          <w:lang w:val="en-GB"/>
        </w:rPr>
        <w:t>a</w:t>
      </w:r>
      <w:r w:rsidR="003C662E" w:rsidRPr="00811277">
        <w:rPr>
          <w:rFonts w:ascii="Arial" w:eastAsia="Times New Roman" w:hAnsi="Arial" w:cs="Arial"/>
          <w:bCs/>
          <w:sz w:val="24"/>
          <w:szCs w:val="24"/>
          <w:lang w:val="en-GB"/>
        </w:rPr>
        <w:t xml:space="preserve"> delay in raising a </w:t>
      </w:r>
      <w:r w:rsidR="00AB184F" w:rsidRPr="00811277">
        <w:rPr>
          <w:rFonts w:ascii="Arial" w:eastAsia="Times New Roman" w:hAnsi="Arial" w:cs="Arial"/>
          <w:bCs/>
          <w:sz w:val="24"/>
          <w:szCs w:val="24"/>
          <w:lang w:val="en-GB"/>
        </w:rPr>
        <w:t xml:space="preserve">collateral </w:t>
      </w:r>
      <w:r w:rsidR="003C662E" w:rsidRPr="00811277">
        <w:rPr>
          <w:rFonts w:ascii="Arial" w:eastAsia="Times New Roman" w:hAnsi="Arial" w:cs="Arial"/>
          <w:bCs/>
          <w:sz w:val="24"/>
          <w:szCs w:val="24"/>
          <w:lang w:val="en-GB"/>
        </w:rPr>
        <w:t xml:space="preserve">challenge may not count as one of the factors which must be taken into account, in order to determine whether the challenge should be permitted.  </w:t>
      </w:r>
    </w:p>
    <w:p w14:paraId="6A68CC52" w14:textId="636ABA3C" w:rsidR="003C0FF0"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43.</w:t>
      </w:r>
      <w:r>
        <w:rPr>
          <w:rFonts w:ascii="Arial" w:eastAsia="Times New Roman" w:hAnsi="Arial" w:cs="Arial"/>
          <w:bCs/>
          <w:kern w:val="0"/>
          <w:sz w:val="24"/>
          <w:szCs w:val="24"/>
          <w:lang w:val="en-GB"/>
          <w14:ligatures w14:val="none"/>
        </w:rPr>
        <w:tab/>
      </w:r>
      <w:r w:rsidR="00411118" w:rsidRPr="00811277">
        <w:rPr>
          <w:rFonts w:ascii="Arial" w:eastAsia="Times New Roman" w:hAnsi="Arial" w:cs="Arial"/>
          <w:bCs/>
          <w:sz w:val="24"/>
          <w:szCs w:val="24"/>
          <w:lang w:val="en-GB"/>
        </w:rPr>
        <w:t>C</w:t>
      </w:r>
      <w:r w:rsidR="00ED26A0" w:rsidRPr="00811277">
        <w:rPr>
          <w:rFonts w:ascii="Arial" w:eastAsia="Times New Roman" w:hAnsi="Arial" w:cs="Arial"/>
          <w:bCs/>
          <w:sz w:val="24"/>
          <w:szCs w:val="24"/>
          <w:lang w:val="en-GB"/>
        </w:rPr>
        <w:t xml:space="preserve">ontrary to the Court a </w:t>
      </w:r>
      <w:r w:rsidR="00ED26A0" w:rsidRPr="00811277">
        <w:rPr>
          <w:rFonts w:ascii="Arial" w:eastAsia="Times New Roman" w:hAnsi="Arial" w:cs="Arial"/>
          <w:bCs/>
          <w:i/>
          <w:iCs/>
          <w:sz w:val="24"/>
          <w:szCs w:val="24"/>
          <w:lang w:val="en-GB"/>
        </w:rPr>
        <w:t>quo</w:t>
      </w:r>
      <w:r w:rsidR="00ED26A0" w:rsidRPr="00811277">
        <w:rPr>
          <w:rFonts w:ascii="Arial" w:eastAsia="Times New Roman" w:hAnsi="Arial" w:cs="Arial"/>
          <w:bCs/>
          <w:sz w:val="24"/>
          <w:szCs w:val="24"/>
          <w:lang w:val="en-GB"/>
        </w:rPr>
        <w:t xml:space="preserve"> t</w:t>
      </w:r>
      <w:r w:rsidR="00807581" w:rsidRPr="00811277">
        <w:rPr>
          <w:rFonts w:ascii="Arial" w:eastAsia="Times New Roman" w:hAnsi="Arial" w:cs="Arial"/>
          <w:bCs/>
          <w:sz w:val="24"/>
          <w:szCs w:val="24"/>
          <w:lang w:val="en-GB"/>
        </w:rPr>
        <w:t xml:space="preserve">he SCA </w:t>
      </w:r>
      <w:r w:rsidR="00411118" w:rsidRPr="00811277">
        <w:rPr>
          <w:rFonts w:ascii="Arial" w:eastAsia="Times New Roman" w:hAnsi="Arial" w:cs="Arial"/>
          <w:bCs/>
          <w:sz w:val="24"/>
          <w:szCs w:val="24"/>
          <w:lang w:val="en-GB"/>
        </w:rPr>
        <w:t xml:space="preserve">also </w:t>
      </w:r>
      <w:r w:rsidR="00807581" w:rsidRPr="00811277">
        <w:rPr>
          <w:rFonts w:ascii="Arial" w:eastAsia="Times New Roman" w:hAnsi="Arial" w:cs="Arial"/>
          <w:bCs/>
          <w:sz w:val="24"/>
          <w:szCs w:val="24"/>
          <w:lang w:val="en-GB"/>
        </w:rPr>
        <w:t xml:space="preserve">held that the </w:t>
      </w:r>
      <w:r w:rsidR="00ED646F" w:rsidRPr="00811277">
        <w:rPr>
          <w:rFonts w:ascii="Arial" w:eastAsia="Times New Roman" w:hAnsi="Arial" w:cs="Arial"/>
          <w:bCs/>
          <w:sz w:val="24"/>
          <w:szCs w:val="24"/>
          <w:lang w:val="en-GB"/>
        </w:rPr>
        <w:t>C</w:t>
      </w:r>
      <w:r w:rsidR="00807581" w:rsidRPr="00811277">
        <w:rPr>
          <w:rFonts w:ascii="Arial" w:eastAsia="Times New Roman" w:hAnsi="Arial" w:cs="Arial"/>
          <w:bCs/>
          <w:sz w:val="24"/>
          <w:szCs w:val="24"/>
          <w:lang w:val="en-GB"/>
        </w:rPr>
        <w:t>ity’s purported reliance on a collateral challenge was ‘misplaced’</w:t>
      </w:r>
      <w:r w:rsidR="003C662E" w:rsidRPr="00811277">
        <w:rPr>
          <w:rFonts w:ascii="Arial" w:eastAsia="Times New Roman" w:hAnsi="Arial" w:cs="Arial"/>
          <w:bCs/>
          <w:sz w:val="24"/>
          <w:szCs w:val="24"/>
          <w:lang w:val="en-GB"/>
        </w:rPr>
        <w:t>, for two reasons</w:t>
      </w:r>
      <w:r w:rsidR="00807581" w:rsidRPr="00811277">
        <w:rPr>
          <w:rFonts w:ascii="Arial" w:eastAsia="Times New Roman" w:hAnsi="Arial" w:cs="Arial"/>
          <w:bCs/>
          <w:sz w:val="24"/>
          <w:szCs w:val="24"/>
          <w:lang w:val="en-GB"/>
        </w:rPr>
        <w:t xml:space="preserve">. </w:t>
      </w:r>
      <w:r w:rsidR="003C662E" w:rsidRPr="00811277">
        <w:rPr>
          <w:rFonts w:ascii="Arial" w:eastAsia="Times New Roman" w:hAnsi="Arial" w:cs="Arial"/>
          <w:bCs/>
          <w:sz w:val="24"/>
          <w:szCs w:val="24"/>
          <w:lang w:val="en-GB"/>
        </w:rPr>
        <w:t>In the first place, it</w:t>
      </w:r>
      <w:r w:rsidR="00ED26A0" w:rsidRPr="00811277">
        <w:rPr>
          <w:rFonts w:ascii="Arial" w:eastAsia="Times New Roman" w:hAnsi="Arial" w:cs="Arial"/>
          <w:bCs/>
          <w:sz w:val="24"/>
          <w:szCs w:val="24"/>
          <w:lang w:val="en-GB"/>
        </w:rPr>
        <w:t xml:space="preserve"> was of the view that t</w:t>
      </w:r>
      <w:r w:rsidR="00807581" w:rsidRPr="00811277">
        <w:rPr>
          <w:rFonts w:ascii="Arial" w:eastAsia="Times New Roman" w:hAnsi="Arial" w:cs="Arial"/>
          <w:bCs/>
          <w:sz w:val="24"/>
          <w:szCs w:val="24"/>
          <w:lang w:val="en-GB"/>
        </w:rPr>
        <w:t xml:space="preserve">he approval of </w:t>
      </w:r>
      <w:r w:rsidR="003C662E" w:rsidRPr="00811277">
        <w:rPr>
          <w:rFonts w:ascii="Arial" w:eastAsia="Times New Roman" w:hAnsi="Arial" w:cs="Arial"/>
          <w:bCs/>
          <w:sz w:val="24"/>
          <w:szCs w:val="24"/>
          <w:lang w:val="en-GB"/>
        </w:rPr>
        <w:t>the Oudekraal</w:t>
      </w:r>
      <w:r w:rsidR="00807581" w:rsidRPr="00811277">
        <w:rPr>
          <w:rFonts w:ascii="Arial" w:eastAsia="Times New Roman" w:hAnsi="Arial" w:cs="Arial"/>
          <w:bCs/>
          <w:sz w:val="24"/>
          <w:szCs w:val="24"/>
          <w:lang w:val="en-GB"/>
        </w:rPr>
        <w:t xml:space="preserve"> township by the </w:t>
      </w:r>
      <w:r w:rsidR="00ED26A0" w:rsidRPr="00811277">
        <w:rPr>
          <w:rFonts w:ascii="Arial" w:eastAsia="Times New Roman" w:hAnsi="Arial" w:cs="Arial"/>
          <w:bCs/>
          <w:sz w:val="24"/>
          <w:szCs w:val="24"/>
          <w:lang w:val="en-GB"/>
        </w:rPr>
        <w:t>A</w:t>
      </w:r>
      <w:r w:rsidR="00807581" w:rsidRPr="00811277">
        <w:rPr>
          <w:rFonts w:ascii="Arial" w:eastAsia="Times New Roman" w:hAnsi="Arial" w:cs="Arial"/>
          <w:bCs/>
          <w:sz w:val="24"/>
          <w:szCs w:val="24"/>
          <w:lang w:val="en-GB"/>
        </w:rPr>
        <w:t xml:space="preserve">dministrator, constituted no more than permission to develop land </w:t>
      </w:r>
      <w:r w:rsidR="00ED26A0" w:rsidRPr="00811277">
        <w:rPr>
          <w:rFonts w:ascii="Arial" w:eastAsia="Times New Roman" w:hAnsi="Arial" w:cs="Arial"/>
          <w:bCs/>
          <w:sz w:val="24"/>
          <w:szCs w:val="24"/>
          <w:lang w:val="en-GB"/>
        </w:rPr>
        <w:t>in a particular</w:t>
      </w:r>
      <w:r w:rsidR="00807581" w:rsidRPr="00811277">
        <w:rPr>
          <w:rFonts w:ascii="Arial" w:eastAsia="Times New Roman" w:hAnsi="Arial" w:cs="Arial"/>
          <w:bCs/>
          <w:sz w:val="24"/>
          <w:szCs w:val="24"/>
          <w:lang w:val="en-GB"/>
        </w:rPr>
        <w:t xml:space="preserve"> way, which took effect once various steps that were prescribed </w:t>
      </w:r>
      <w:r w:rsidR="00ED26A0" w:rsidRPr="00811277">
        <w:rPr>
          <w:rFonts w:ascii="Arial" w:eastAsia="Times New Roman" w:hAnsi="Arial" w:cs="Arial"/>
          <w:bCs/>
          <w:sz w:val="24"/>
          <w:szCs w:val="24"/>
          <w:lang w:val="en-GB"/>
        </w:rPr>
        <w:t>had been</w:t>
      </w:r>
      <w:r w:rsidR="00807581" w:rsidRPr="00811277">
        <w:rPr>
          <w:rFonts w:ascii="Arial" w:eastAsia="Times New Roman" w:hAnsi="Arial" w:cs="Arial"/>
          <w:bCs/>
          <w:sz w:val="24"/>
          <w:szCs w:val="24"/>
          <w:lang w:val="en-GB"/>
        </w:rPr>
        <w:t xml:space="preserve"> complied with</w:t>
      </w:r>
      <w:r w:rsidR="00ED26A0" w:rsidRPr="00811277">
        <w:rPr>
          <w:rFonts w:ascii="Arial" w:eastAsia="Times New Roman" w:hAnsi="Arial" w:cs="Arial"/>
          <w:bCs/>
          <w:sz w:val="24"/>
          <w:szCs w:val="24"/>
          <w:lang w:val="en-GB"/>
        </w:rPr>
        <w:t xml:space="preserve">, and </w:t>
      </w:r>
      <w:r w:rsidR="00807581" w:rsidRPr="00811277">
        <w:rPr>
          <w:rFonts w:ascii="Arial" w:eastAsia="Times New Roman" w:hAnsi="Arial" w:cs="Arial"/>
          <w:bCs/>
          <w:sz w:val="24"/>
          <w:szCs w:val="24"/>
          <w:lang w:val="en-GB"/>
        </w:rPr>
        <w:t xml:space="preserve">on a proper construction of the relevant legislation the validity of the subsequent steps i.e. those taken afterwards was not dependent on the legal validity of the </w:t>
      </w:r>
      <w:r w:rsidR="00ED26A0" w:rsidRPr="00811277">
        <w:rPr>
          <w:rFonts w:ascii="Arial" w:eastAsia="Times New Roman" w:hAnsi="Arial" w:cs="Arial"/>
          <w:bCs/>
          <w:sz w:val="24"/>
          <w:szCs w:val="24"/>
          <w:lang w:val="en-GB"/>
        </w:rPr>
        <w:t>A</w:t>
      </w:r>
      <w:r w:rsidR="00807581" w:rsidRPr="00811277">
        <w:rPr>
          <w:rFonts w:ascii="Arial" w:eastAsia="Times New Roman" w:hAnsi="Arial" w:cs="Arial"/>
          <w:bCs/>
          <w:sz w:val="24"/>
          <w:szCs w:val="24"/>
          <w:lang w:val="en-GB"/>
        </w:rPr>
        <w:t>dministrator’s approval, but merely on the fact that it was given.</w:t>
      </w:r>
      <w:r w:rsidR="00ED26A0">
        <w:rPr>
          <w:rStyle w:val="FootnoteReference"/>
          <w:rFonts w:ascii="Arial" w:eastAsia="Times New Roman" w:hAnsi="Arial" w:cs="Arial"/>
          <w:bCs/>
          <w:sz w:val="24"/>
          <w:szCs w:val="24"/>
          <w:lang w:val="en-GB"/>
        </w:rPr>
        <w:footnoteReference w:id="40"/>
      </w:r>
      <w:r w:rsidR="00807581" w:rsidRPr="00811277">
        <w:rPr>
          <w:rFonts w:ascii="Arial" w:eastAsia="Times New Roman" w:hAnsi="Arial" w:cs="Arial"/>
          <w:bCs/>
          <w:sz w:val="24"/>
          <w:szCs w:val="24"/>
          <w:lang w:val="en-GB"/>
        </w:rPr>
        <w:t xml:space="preserve"> The</w:t>
      </w:r>
      <w:r w:rsidR="00ED26A0" w:rsidRPr="00811277">
        <w:rPr>
          <w:rFonts w:ascii="Arial" w:eastAsia="Times New Roman" w:hAnsi="Arial" w:cs="Arial"/>
          <w:bCs/>
          <w:sz w:val="24"/>
          <w:szCs w:val="24"/>
          <w:lang w:val="en-GB"/>
        </w:rPr>
        <w:t>re was no obligation on the</w:t>
      </w:r>
      <w:r w:rsidR="00807581" w:rsidRPr="00811277">
        <w:rPr>
          <w:rFonts w:ascii="Arial" w:eastAsia="Times New Roman" w:hAnsi="Arial" w:cs="Arial"/>
          <w:bCs/>
          <w:sz w:val="24"/>
          <w:szCs w:val="24"/>
          <w:lang w:val="en-GB"/>
        </w:rPr>
        <w:t xml:space="preserve"> </w:t>
      </w:r>
      <w:r w:rsidR="00ED26A0" w:rsidRPr="00811277">
        <w:rPr>
          <w:rFonts w:ascii="Arial" w:eastAsia="Times New Roman" w:hAnsi="Arial" w:cs="Arial"/>
          <w:bCs/>
          <w:sz w:val="24"/>
          <w:szCs w:val="24"/>
          <w:lang w:val="en-GB"/>
        </w:rPr>
        <w:t>S</w:t>
      </w:r>
      <w:r w:rsidR="00807581" w:rsidRPr="00811277">
        <w:rPr>
          <w:rFonts w:ascii="Arial" w:eastAsia="Times New Roman" w:hAnsi="Arial" w:cs="Arial"/>
          <w:bCs/>
          <w:sz w:val="24"/>
          <w:szCs w:val="24"/>
          <w:lang w:val="en-GB"/>
        </w:rPr>
        <w:t>urveyor-</w:t>
      </w:r>
      <w:r w:rsidR="00ED26A0" w:rsidRPr="00811277">
        <w:rPr>
          <w:rFonts w:ascii="Arial" w:eastAsia="Times New Roman" w:hAnsi="Arial" w:cs="Arial"/>
          <w:bCs/>
          <w:sz w:val="24"/>
          <w:szCs w:val="24"/>
          <w:lang w:val="en-GB"/>
        </w:rPr>
        <w:t>G</w:t>
      </w:r>
      <w:r w:rsidR="00807581" w:rsidRPr="00811277">
        <w:rPr>
          <w:rFonts w:ascii="Arial" w:eastAsia="Times New Roman" w:hAnsi="Arial" w:cs="Arial"/>
          <w:bCs/>
          <w:sz w:val="24"/>
          <w:szCs w:val="24"/>
          <w:lang w:val="en-GB"/>
        </w:rPr>
        <w:t xml:space="preserve">eneral and </w:t>
      </w:r>
      <w:r w:rsidR="00ED26A0" w:rsidRPr="00811277">
        <w:rPr>
          <w:rFonts w:ascii="Arial" w:eastAsia="Times New Roman" w:hAnsi="Arial" w:cs="Arial"/>
          <w:bCs/>
          <w:sz w:val="24"/>
          <w:szCs w:val="24"/>
          <w:lang w:val="en-GB"/>
        </w:rPr>
        <w:t>R</w:t>
      </w:r>
      <w:r w:rsidR="00807581" w:rsidRPr="00811277">
        <w:rPr>
          <w:rFonts w:ascii="Arial" w:eastAsia="Times New Roman" w:hAnsi="Arial" w:cs="Arial"/>
          <w:bCs/>
          <w:sz w:val="24"/>
          <w:szCs w:val="24"/>
          <w:lang w:val="en-GB"/>
        </w:rPr>
        <w:t xml:space="preserve">egistrar of </w:t>
      </w:r>
      <w:r w:rsidR="00ED26A0" w:rsidRPr="00811277">
        <w:rPr>
          <w:rFonts w:ascii="Arial" w:eastAsia="Times New Roman" w:hAnsi="Arial" w:cs="Arial"/>
          <w:bCs/>
          <w:sz w:val="24"/>
          <w:szCs w:val="24"/>
          <w:lang w:val="en-GB"/>
        </w:rPr>
        <w:t>D</w:t>
      </w:r>
      <w:r w:rsidR="00807581" w:rsidRPr="00811277">
        <w:rPr>
          <w:rFonts w:ascii="Arial" w:eastAsia="Times New Roman" w:hAnsi="Arial" w:cs="Arial"/>
          <w:bCs/>
          <w:sz w:val="24"/>
          <w:szCs w:val="24"/>
          <w:lang w:val="en-GB"/>
        </w:rPr>
        <w:t xml:space="preserve">eeds to satisfy themselves that the </w:t>
      </w:r>
      <w:r w:rsidR="00ED26A0" w:rsidRPr="00811277">
        <w:rPr>
          <w:rFonts w:ascii="Arial" w:eastAsia="Times New Roman" w:hAnsi="Arial" w:cs="Arial"/>
          <w:bCs/>
          <w:sz w:val="24"/>
          <w:szCs w:val="24"/>
          <w:lang w:val="en-GB"/>
        </w:rPr>
        <w:t>A</w:t>
      </w:r>
      <w:r w:rsidR="00807581" w:rsidRPr="00811277">
        <w:rPr>
          <w:rFonts w:ascii="Arial" w:eastAsia="Times New Roman" w:hAnsi="Arial" w:cs="Arial"/>
          <w:bCs/>
          <w:sz w:val="24"/>
          <w:szCs w:val="24"/>
          <w:lang w:val="en-GB"/>
        </w:rPr>
        <w:t>dministrator</w:t>
      </w:r>
      <w:r w:rsidR="00ED26A0" w:rsidRPr="00811277">
        <w:rPr>
          <w:rFonts w:ascii="Arial" w:eastAsia="Times New Roman" w:hAnsi="Arial" w:cs="Arial"/>
          <w:bCs/>
          <w:sz w:val="24"/>
          <w:szCs w:val="24"/>
          <w:lang w:val="en-GB"/>
        </w:rPr>
        <w:t>’</w:t>
      </w:r>
      <w:r w:rsidR="00807581" w:rsidRPr="00811277">
        <w:rPr>
          <w:rFonts w:ascii="Arial" w:eastAsia="Times New Roman" w:hAnsi="Arial" w:cs="Arial"/>
          <w:bCs/>
          <w:sz w:val="24"/>
          <w:szCs w:val="24"/>
          <w:lang w:val="en-GB"/>
        </w:rPr>
        <w:t xml:space="preserve">s approval was valid </w:t>
      </w:r>
      <w:r w:rsidR="003C0FF0" w:rsidRPr="00811277">
        <w:rPr>
          <w:rFonts w:ascii="Arial" w:eastAsia="Times New Roman" w:hAnsi="Arial" w:cs="Arial"/>
          <w:bCs/>
          <w:sz w:val="24"/>
          <w:szCs w:val="24"/>
          <w:lang w:val="en-GB"/>
        </w:rPr>
        <w:t xml:space="preserve">in order </w:t>
      </w:r>
      <w:r w:rsidR="00807581" w:rsidRPr="00811277">
        <w:rPr>
          <w:rFonts w:ascii="Arial" w:eastAsia="Times New Roman" w:hAnsi="Arial" w:cs="Arial"/>
          <w:bCs/>
          <w:sz w:val="24"/>
          <w:szCs w:val="24"/>
          <w:lang w:val="en-GB"/>
        </w:rPr>
        <w:t xml:space="preserve">for </w:t>
      </w:r>
      <w:r w:rsidR="00ED26A0" w:rsidRPr="00811277">
        <w:rPr>
          <w:rFonts w:ascii="Arial" w:eastAsia="Times New Roman" w:hAnsi="Arial" w:cs="Arial"/>
          <w:bCs/>
          <w:sz w:val="24"/>
          <w:szCs w:val="24"/>
          <w:lang w:val="en-GB"/>
        </w:rPr>
        <w:t xml:space="preserve">them to </w:t>
      </w:r>
      <w:r w:rsidR="00807581" w:rsidRPr="00811277">
        <w:rPr>
          <w:rFonts w:ascii="Arial" w:eastAsia="Times New Roman" w:hAnsi="Arial" w:cs="Arial"/>
          <w:bCs/>
          <w:sz w:val="24"/>
          <w:szCs w:val="24"/>
          <w:lang w:val="en-GB"/>
        </w:rPr>
        <w:t>carry out their functions</w:t>
      </w:r>
      <w:r w:rsidR="00ED26A0" w:rsidRPr="00811277">
        <w:rPr>
          <w:rFonts w:ascii="Arial" w:eastAsia="Times New Roman" w:hAnsi="Arial" w:cs="Arial"/>
          <w:bCs/>
          <w:sz w:val="24"/>
          <w:szCs w:val="24"/>
          <w:lang w:val="en-GB"/>
        </w:rPr>
        <w:t>,</w:t>
      </w:r>
      <w:r w:rsidR="00807581" w:rsidRPr="00811277">
        <w:rPr>
          <w:rFonts w:ascii="Arial" w:eastAsia="Times New Roman" w:hAnsi="Arial" w:cs="Arial"/>
          <w:bCs/>
          <w:sz w:val="24"/>
          <w:szCs w:val="24"/>
          <w:lang w:val="en-GB"/>
        </w:rPr>
        <w:t xml:space="preserve"> and the validity </w:t>
      </w:r>
      <w:r w:rsidR="00411118" w:rsidRPr="00811277">
        <w:rPr>
          <w:rFonts w:ascii="Arial" w:eastAsia="Times New Roman" w:hAnsi="Arial" w:cs="Arial"/>
          <w:bCs/>
          <w:sz w:val="24"/>
          <w:szCs w:val="24"/>
          <w:lang w:val="en-GB"/>
        </w:rPr>
        <w:t xml:space="preserve">and </w:t>
      </w:r>
      <w:r w:rsidR="00347BC9" w:rsidRPr="00811277">
        <w:rPr>
          <w:rFonts w:ascii="Arial" w:eastAsia="Times New Roman" w:hAnsi="Arial" w:cs="Arial"/>
          <w:bCs/>
          <w:sz w:val="24"/>
          <w:szCs w:val="24"/>
          <w:lang w:val="en-GB"/>
        </w:rPr>
        <w:t xml:space="preserve">legal force and effect </w:t>
      </w:r>
      <w:r w:rsidR="00807581" w:rsidRPr="00811277">
        <w:rPr>
          <w:rFonts w:ascii="Arial" w:eastAsia="Times New Roman" w:hAnsi="Arial" w:cs="Arial"/>
          <w:bCs/>
          <w:sz w:val="24"/>
          <w:szCs w:val="24"/>
          <w:lang w:val="en-GB"/>
        </w:rPr>
        <w:t xml:space="preserve">of their actions did not depend upon </w:t>
      </w:r>
      <w:r w:rsidR="00ED26A0" w:rsidRPr="00811277">
        <w:rPr>
          <w:rFonts w:ascii="Arial" w:eastAsia="Times New Roman" w:hAnsi="Arial" w:cs="Arial"/>
          <w:bCs/>
          <w:sz w:val="24"/>
          <w:szCs w:val="24"/>
          <w:lang w:val="en-GB"/>
        </w:rPr>
        <w:t xml:space="preserve">the </w:t>
      </w:r>
      <w:r w:rsidR="00807581" w:rsidRPr="00811277">
        <w:rPr>
          <w:rFonts w:ascii="Arial" w:eastAsia="Times New Roman" w:hAnsi="Arial" w:cs="Arial"/>
          <w:bCs/>
          <w:sz w:val="24"/>
          <w:szCs w:val="24"/>
          <w:lang w:val="en-GB"/>
        </w:rPr>
        <w:t xml:space="preserve">validity of the </w:t>
      </w:r>
      <w:r w:rsidR="00ED26A0" w:rsidRPr="00811277">
        <w:rPr>
          <w:rFonts w:ascii="Arial" w:eastAsia="Times New Roman" w:hAnsi="Arial" w:cs="Arial"/>
          <w:bCs/>
          <w:sz w:val="24"/>
          <w:szCs w:val="24"/>
          <w:lang w:val="en-GB"/>
        </w:rPr>
        <w:t>A</w:t>
      </w:r>
      <w:r w:rsidR="00807581" w:rsidRPr="00811277">
        <w:rPr>
          <w:rFonts w:ascii="Arial" w:eastAsia="Times New Roman" w:hAnsi="Arial" w:cs="Arial"/>
          <w:bCs/>
          <w:sz w:val="24"/>
          <w:szCs w:val="24"/>
          <w:lang w:val="en-GB"/>
        </w:rPr>
        <w:t>dministrator</w:t>
      </w:r>
      <w:r w:rsidR="00ED26A0" w:rsidRPr="00811277">
        <w:rPr>
          <w:rFonts w:ascii="Arial" w:eastAsia="Times New Roman" w:hAnsi="Arial" w:cs="Arial"/>
          <w:bCs/>
          <w:sz w:val="24"/>
          <w:szCs w:val="24"/>
          <w:lang w:val="en-GB"/>
        </w:rPr>
        <w:t>’</w:t>
      </w:r>
      <w:r w:rsidR="00807581" w:rsidRPr="00811277">
        <w:rPr>
          <w:rFonts w:ascii="Arial" w:eastAsia="Times New Roman" w:hAnsi="Arial" w:cs="Arial"/>
          <w:bCs/>
          <w:sz w:val="24"/>
          <w:szCs w:val="24"/>
          <w:lang w:val="en-GB"/>
        </w:rPr>
        <w:t>s actions or decisions</w:t>
      </w:r>
      <w:r w:rsidR="003C662E" w:rsidRPr="00811277">
        <w:rPr>
          <w:rFonts w:ascii="Arial" w:eastAsia="Times New Roman" w:hAnsi="Arial" w:cs="Arial"/>
          <w:bCs/>
          <w:sz w:val="24"/>
          <w:szCs w:val="24"/>
          <w:lang w:val="en-GB"/>
        </w:rPr>
        <w:t xml:space="preserve">. </w:t>
      </w:r>
    </w:p>
    <w:p w14:paraId="241B5BDF" w14:textId="308BEF34" w:rsidR="00DD17E6" w:rsidRPr="00811277" w:rsidRDefault="00811277" w:rsidP="00811277">
      <w:pPr>
        <w:spacing w:line="360" w:lineRule="auto"/>
        <w:ind w:left="720" w:hanging="720"/>
        <w:jc w:val="both"/>
        <w:rPr>
          <w:rFonts w:ascii="Arial" w:eastAsia="Times New Roman" w:hAnsi="Arial" w:cs="Arial"/>
          <w:bCs/>
          <w:sz w:val="24"/>
          <w:szCs w:val="24"/>
          <w:lang w:val="en-GB"/>
        </w:rPr>
      </w:pPr>
      <w:r w:rsidRPr="00627922">
        <w:rPr>
          <w:rFonts w:ascii="Arial" w:eastAsia="Times New Roman" w:hAnsi="Arial" w:cs="Arial"/>
          <w:bCs/>
          <w:kern w:val="0"/>
          <w:sz w:val="24"/>
          <w:szCs w:val="24"/>
          <w:lang w:val="en-GB"/>
          <w14:ligatures w14:val="none"/>
        </w:rPr>
        <w:t>44.</w:t>
      </w:r>
      <w:r w:rsidRPr="00627922">
        <w:rPr>
          <w:rFonts w:ascii="Arial" w:eastAsia="Times New Roman" w:hAnsi="Arial" w:cs="Arial"/>
          <w:bCs/>
          <w:kern w:val="0"/>
          <w:sz w:val="24"/>
          <w:szCs w:val="24"/>
          <w:lang w:val="en-GB"/>
          <w14:ligatures w14:val="none"/>
        </w:rPr>
        <w:tab/>
      </w:r>
      <w:r w:rsidR="00DD17E6" w:rsidRPr="00811277">
        <w:rPr>
          <w:rFonts w:ascii="Arial" w:eastAsia="Times New Roman" w:hAnsi="Arial" w:cs="Arial"/>
          <w:bCs/>
          <w:sz w:val="24"/>
          <w:szCs w:val="24"/>
          <w:lang w:val="en-GB"/>
        </w:rPr>
        <w:t xml:space="preserve">In the </w:t>
      </w:r>
      <w:r w:rsidR="003C662E" w:rsidRPr="00811277">
        <w:rPr>
          <w:rFonts w:ascii="Arial" w:eastAsia="Times New Roman" w:hAnsi="Arial" w:cs="Arial"/>
          <w:bCs/>
          <w:sz w:val="24"/>
          <w:szCs w:val="24"/>
          <w:lang w:val="en-GB"/>
        </w:rPr>
        <w:t xml:space="preserve">second place, in the </w:t>
      </w:r>
      <w:r w:rsidR="00DD17E6" w:rsidRPr="00811277">
        <w:rPr>
          <w:rFonts w:ascii="Arial" w:eastAsia="Times New Roman" w:hAnsi="Arial" w:cs="Arial"/>
          <w:bCs/>
          <w:sz w:val="24"/>
          <w:szCs w:val="24"/>
          <w:lang w:val="en-GB"/>
        </w:rPr>
        <w:t xml:space="preserve">form in which the matter had come before the </w:t>
      </w:r>
      <w:r w:rsidR="003C0FF0" w:rsidRPr="00811277">
        <w:rPr>
          <w:rFonts w:ascii="Arial" w:eastAsia="Times New Roman" w:hAnsi="Arial" w:cs="Arial"/>
          <w:bCs/>
          <w:sz w:val="24"/>
          <w:szCs w:val="24"/>
          <w:lang w:val="en-GB"/>
        </w:rPr>
        <w:t>C</w:t>
      </w:r>
      <w:r w:rsidR="00DD17E6" w:rsidRPr="00811277">
        <w:rPr>
          <w:rFonts w:ascii="Arial" w:eastAsia="Times New Roman" w:hAnsi="Arial" w:cs="Arial"/>
          <w:bCs/>
          <w:sz w:val="24"/>
          <w:szCs w:val="24"/>
          <w:lang w:val="en-GB"/>
        </w:rPr>
        <w:t xml:space="preserve">ourt </w:t>
      </w:r>
      <w:r w:rsidR="003C0FF0" w:rsidRPr="00811277">
        <w:rPr>
          <w:rFonts w:ascii="Arial" w:eastAsia="Times New Roman" w:hAnsi="Arial" w:cs="Arial"/>
          <w:bCs/>
          <w:sz w:val="24"/>
          <w:szCs w:val="24"/>
          <w:lang w:val="en-GB"/>
        </w:rPr>
        <w:t xml:space="preserve">a </w:t>
      </w:r>
      <w:r w:rsidR="003C0FF0" w:rsidRPr="00811277">
        <w:rPr>
          <w:rFonts w:ascii="Arial" w:eastAsia="Times New Roman" w:hAnsi="Arial" w:cs="Arial"/>
          <w:bCs/>
          <w:i/>
          <w:iCs/>
          <w:sz w:val="24"/>
          <w:szCs w:val="24"/>
          <w:lang w:val="en-GB"/>
        </w:rPr>
        <w:t>quo</w:t>
      </w:r>
      <w:r w:rsidR="003C0FF0" w:rsidRPr="00811277">
        <w:rPr>
          <w:rFonts w:ascii="Arial" w:eastAsia="Times New Roman" w:hAnsi="Arial" w:cs="Arial"/>
          <w:bCs/>
          <w:sz w:val="24"/>
          <w:szCs w:val="24"/>
          <w:lang w:val="en-GB"/>
        </w:rPr>
        <w:t xml:space="preserve"> </w:t>
      </w:r>
      <w:r w:rsidR="00DD17E6" w:rsidRPr="00811277">
        <w:rPr>
          <w:rFonts w:ascii="Arial" w:eastAsia="Times New Roman" w:hAnsi="Arial" w:cs="Arial"/>
          <w:bCs/>
          <w:sz w:val="24"/>
          <w:szCs w:val="24"/>
          <w:lang w:val="en-GB"/>
        </w:rPr>
        <w:t xml:space="preserve">the invalid administrative act of the </w:t>
      </w:r>
      <w:r w:rsidR="003C0FF0" w:rsidRPr="00811277">
        <w:rPr>
          <w:rFonts w:ascii="Arial" w:eastAsia="Times New Roman" w:hAnsi="Arial" w:cs="Arial"/>
          <w:bCs/>
          <w:sz w:val="24"/>
          <w:szCs w:val="24"/>
          <w:lang w:val="en-GB"/>
        </w:rPr>
        <w:t>A</w:t>
      </w:r>
      <w:r w:rsidR="00DD17E6" w:rsidRPr="00811277">
        <w:rPr>
          <w:rFonts w:ascii="Arial" w:eastAsia="Times New Roman" w:hAnsi="Arial" w:cs="Arial"/>
          <w:bCs/>
          <w:sz w:val="24"/>
          <w:szCs w:val="24"/>
          <w:lang w:val="en-GB"/>
        </w:rPr>
        <w:t xml:space="preserve">dministrator </w:t>
      </w:r>
      <w:r w:rsidR="003C0FF0" w:rsidRPr="00811277">
        <w:rPr>
          <w:rFonts w:ascii="Arial" w:eastAsia="Times New Roman" w:hAnsi="Arial" w:cs="Arial"/>
          <w:bCs/>
          <w:sz w:val="24"/>
          <w:szCs w:val="24"/>
          <w:lang w:val="en-GB"/>
        </w:rPr>
        <w:t>had</w:t>
      </w:r>
      <w:r w:rsidR="00DD17E6" w:rsidRPr="00811277">
        <w:rPr>
          <w:rFonts w:ascii="Arial" w:eastAsia="Times New Roman" w:hAnsi="Arial" w:cs="Arial"/>
          <w:bCs/>
          <w:sz w:val="24"/>
          <w:szCs w:val="24"/>
          <w:lang w:val="en-GB"/>
        </w:rPr>
        <w:t xml:space="preserve"> not </w:t>
      </w:r>
      <w:r w:rsidR="003C0FF0" w:rsidRPr="00811277">
        <w:rPr>
          <w:rFonts w:ascii="Arial" w:eastAsia="Times New Roman" w:hAnsi="Arial" w:cs="Arial"/>
          <w:bCs/>
          <w:sz w:val="24"/>
          <w:szCs w:val="24"/>
          <w:lang w:val="en-GB"/>
        </w:rPr>
        <w:t xml:space="preserve">been </w:t>
      </w:r>
      <w:r w:rsidR="00DD17E6" w:rsidRPr="00811277">
        <w:rPr>
          <w:rFonts w:ascii="Arial" w:eastAsia="Times New Roman" w:hAnsi="Arial" w:cs="Arial"/>
          <w:bCs/>
          <w:sz w:val="24"/>
          <w:szCs w:val="24"/>
          <w:lang w:val="en-GB"/>
        </w:rPr>
        <w:t xml:space="preserve">sought to be applied coercively against the City by </w:t>
      </w:r>
      <w:r w:rsidR="003C0FF0" w:rsidRPr="00811277">
        <w:rPr>
          <w:rFonts w:ascii="Arial" w:eastAsia="Times New Roman" w:hAnsi="Arial" w:cs="Arial"/>
          <w:bCs/>
          <w:sz w:val="24"/>
          <w:szCs w:val="24"/>
          <w:lang w:val="en-GB"/>
        </w:rPr>
        <w:t xml:space="preserve">a </w:t>
      </w:r>
      <w:r w:rsidR="00DD17E6" w:rsidRPr="00811277">
        <w:rPr>
          <w:rFonts w:ascii="Arial" w:eastAsia="Times New Roman" w:hAnsi="Arial" w:cs="Arial"/>
          <w:bCs/>
          <w:sz w:val="24"/>
          <w:szCs w:val="24"/>
          <w:lang w:val="en-GB"/>
        </w:rPr>
        <w:t xml:space="preserve">public authority or the state, nor did it serve to provide a foundation for any coercive action against </w:t>
      </w:r>
      <w:r w:rsidR="003C0FF0" w:rsidRPr="00811277">
        <w:rPr>
          <w:rFonts w:ascii="Arial" w:eastAsia="Times New Roman" w:hAnsi="Arial" w:cs="Arial"/>
          <w:bCs/>
          <w:sz w:val="24"/>
          <w:szCs w:val="24"/>
          <w:lang w:val="en-GB"/>
        </w:rPr>
        <w:t>the City</w:t>
      </w:r>
      <w:r w:rsidR="00DD17E6" w:rsidRPr="00811277">
        <w:rPr>
          <w:rFonts w:ascii="Arial" w:eastAsia="Times New Roman" w:hAnsi="Arial" w:cs="Arial"/>
          <w:bCs/>
          <w:sz w:val="24"/>
          <w:szCs w:val="24"/>
          <w:lang w:val="en-GB"/>
        </w:rPr>
        <w:t>.</w:t>
      </w:r>
      <w:r w:rsidR="003C0FF0" w:rsidRPr="00811277">
        <w:rPr>
          <w:rFonts w:ascii="Arial" w:eastAsia="Times New Roman" w:hAnsi="Arial" w:cs="Arial"/>
          <w:bCs/>
          <w:sz w:val="24"/>
          <w:szCs w:val="24"/>
          <w:lang w:val="en-GB"/>
        </w:rPr>
        <w:t xml:space="preserve"> Thus, the requirements for a collateral challenge had not been present.</w:t>
      </w:r>
      <w:r w:rsidR="00DD17E6" w:rsidRPr="00811277">
        <w:rPr>
          <w:rFonts w:ascii="Arial" w:eastAsia="Times New Roman" w:hAnsi="Arial" w:cs="Arial"/>
          <w:bCs/>
          <w:sz w:val="24"/>
          <w:szCs w:val="24"/>
          <w:lang w:val="en-GB"/>
        </w:rPr>
        <w:t xml:space="preserve"> </w:t>
      </w:r>
    </w:p>
    <w:p w14:paraId="64712127" w14:textId="749E56A1" w:rsidR="00DD17E6"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45.</w:t>
      </w:r>
      <w:r>
        <w:rPr>
          <w:rFonts w:ascii="Arial" w:eastAsia="Times New Roman" w:hAnsi="Arial" w:cs="Arial"/>
          <w:bCs/>
          <w:kern w:val="0"/>
          <w:sz w:val="24"/>
          <w:szCs w:val="24"/>
          <w:lang w:val="en-GB"/>
          <w14:ligatures w14:val="none"/>
        </w:rPr>
        <w:tab/>
      </w:r>
      <w:r w:rsidR="003C0FF0" w:rsidRPr="00811277">
        <w:rPr>
          <w:rFonts w:ascii="Arial" w:eastAsia="Times New Roman" w:hAnsi="Arial" w:cs="Arial"/>
          <w:bCs/>
          <w:sz w:val="24"/>
          <w:szCs w:val="24"/>
          <w:lang w:val="en-GB"/>
        </w:rPr>
        <w:t>However, d</w:t>
      </w:r>
      <w:r w:rsidR="00DD17E6" w:rsidRPr="00811277">
        <w:rPr>
          <w:rFonts w:ascii="Arial" w:eastAsia="Times New Roman" w:hAnsi="Arial" w:cs="Arial"/>
          <w:bCs/>
          <w:sz w:val="24"/>
          <w:szCs w:val="24"/>
          <w:lang w:val="en-GB"/>
        </w:rPr>
        <w:t xml:space="preserve">espite these findings </w:t>
      </w:r>
      <w:r w:rsidR="003C0FF0" w:rsidRPr="00811277">
        <w:rPr>
          <w:rFonts w:ascii="Arial" w:eastAsia="Times New Roman" w:hAnsi="Arial" w:cs="Arial"/>
          <w:bCs/>
          <w:sz w:val="24"/>
          <w:szCs w:val="24"/>
          <w:lang w:val="en-GB"/>
        </w:rPr>
        <w:t xml:space="preserve">the </w:t>
      </w:r>
      <w:r w:rsidR="00DD17E6" w:rsidRPr="00811277">
        <w:rPr>
          <w:rFonts w:ascii="Arial" w:eastAsia="Times New Roman" w:hAnsi="Arial" w:cs="Arial"/>
          <w:bCs/>
          <w:sz w:val="24"/>
          <w:szCs w:val="24"/>
          <w:lang w:val="en-GB"/>
        </w:rPr>
        <w:t xml:space="preserve">SCA </w:t>
      </w:r>
      <w:r w:rsidR="003C0FF0" w:rsidRPr="00811277">
        <w:rPr>
          <w:rFonts w:ascii="Arial" w:eastAsia="Times New Roman" w:hAnsi="Arial" w:cs="Arial"/>
          <w:bCs/>
          <w:sz w:val="24"/>
          <w:szCs w:val="24"/>
          <w:lang w:val="en-GB"/>
        </w:rPr>
        <w:t xml:space="preserve">nonetheless </w:t>
      </w:r>
      <w:r w:rsidR="00930164" w:rsidRPr="00811277">
        <w:rPr>
          <w:rFonts w:ascii="Arial" w:eastAsia="Times New Roman" w:hAnsi="Arial" w:cs="Arial"/>
          <w:bCs/>
          <w:sz w:val="24"/>
          <w:szCs w:val="24"/>
          <w:lang w:val="en-GB"/>
        </w:rPr>
        <w:t>concluded</w:t>
      </w:r>
      <w:r w:rsidR="00DD17E6" w:rsidRPr="00811277">
        <w:rPr>
          <w:rFonts w:ascii="Arial" w:eastAsia="Times New Roman" w:hAnsi="Arial" w:cs="Arial"/>
          <w:bCs/>
          <w:sz w:val="24"/>
          <w:szCs w:val="24"/>
          <w:lang w:val="en-GB"/>
        </w:rPr>
        <w:t xml:space="preserve"> that the relief which had been sought had been correctly refused</w:t>
      </w:r>
      <w:r w:rsidR="00930164" w:rsidRPr="00811277">
        <w:rPr>
          <w:rFonts w:ascii="Arial" w:eastAsia="Times New Roman" w:hAnsi="Arial" w:cs="Arial"/>
          <w:bCs/>
          <w:sz w:val="24"/>
          <w:szCs w:val="24"/>
          <w:lang w:val="en-GB"/>
        </w:rPr>
        <w:t xml:space="preserve"> and, in its view,</w:t>
      </w:r>
      <w:r w:rsidR="00DD17E6" w:rsidRPr="00811277">
        <w:rPr>
          <w:rFonts w:ascii="Arial" w:eastAsia="Times New Roman" w:hAnsi="Arial" w:cs="Arial"/>
          <w:bCs/>
          <w:sz w:val="24"/>
          <w:szCs w:val="24"/>
          <w:lang w:val="en-GB"/>
        </w:rPr>
        <w:t xml:space="preserve"> the applicant had not been entitled to obtain a declaratory order </w:t>
      </w:r>
      <w:r w:rsidR="003C0FF0" w:rsidRPr="00811277">
        <w:rPr>
          <w:rFonts w:ascii="Arial" w:eastAsia="Times New Roman" w:hAnsi="Arial" w:cs="Arial"/>
          <w:bCs/>
          <w:sz w:val="24"/>
          <w:szCs w:val="24"/>
          <w:lang w:val="en-GB"/>
        </w:rPr>
        <w:t xml:space="preserve">to the effect </w:t>
      </w:r>
      <w:r w:rsidR="00DD17E6" w:rsidRPr="00811277">
        <w:rPr>
          <w:rFonts w:ascii="Arial" w:eastAsia="Times New Roman" w:hAnsi="Arial" w:cs="Arial"/>
          <w:bCs/>
          <w:sz w:val="24"/>
          <w:szCs w:val="24"/>
          <w:lang w:val="en-GB"/>
        </w:rPr>
        <w:t xml:space="preserve">that the steps which had been taken by the various officials involved were regular </w:t>
      </w:r>
      <w:r w:rsidR="003C0FF0" w:rsidRPr="00811277">
        <w:rPr>
          <w:rFonts w:ascii="Arial" w:eastAsia="Times New Roman" w:hAnsi="Arial" w:cs="Arial"/>
          <w:bCs/>
          <w:sz w:val="24"/>
          <w:szCs w:val="24"/>
          <w:lang w:val="en-GB"/>
        </w:rPr>
        <w:t xml:space="preserve">or </w:t>
      </w:r>
      <w:r w:rsidR="00DD17E6" w:rsidRPr="00811277">
        <w:rPr>
          <w:rFonts w:ascii="Arial" w:eastAsia="Times New Roman" w:hAnsi="Arial" w:cs="Arial"/>
          <w:bCs/>
          <w:sz w:val="24"/>
          <w:szCs w:val="24"/>
          <w:lang w:val="en-GB"/>
        </w:rPr>
        <w:t>lawful</w:t>
      </w:r>
      <w:r w:rsidR="008D40C9" w:rsidRPr="00811277">
        <w:rPr>
          <w:rFonts w:ascii="Arial" w:eastAsia="Times New Roman" w:hAnsi="Arial" w:cs="Arial"/>
          <w:bCs/>
          <w:sz w:val="24"/>
          <w:szCs w:val="24"/>
          <w:lang w:val="en-GB"/>
        </w:rPr>
        <w:t>, as this would pre-empt the review which had been launched</w:t>
      </w:r>
      <w:r w:rsidR="00930164" w:rsidRPr="00811277">
        <w:rPr>
          <w:rFonts w:ascii="Arial" w:eastAsia="Times New Roman" w:hAnsi="Arial" w:cs="Arial"/>
          <w:bCs/>
          <w:sz w:val="24"/>
          <w:szCs w:val="24"/>
          <w:lang w:val="en-GB"/>
        </w:rPr>
        <w:t xml:space="preserve">. </w:t>
      </w:r>
    </w:p>
    <w:p w14:paraId="55B8C63E" w14:textId="3318B2EB" w:rsidR="00DD17E6"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46.</w:t>
      </w:r>
      <w:r>
        <w:rPr>
          <w:rFonts w:ascii="Arial" w:eastAsia="Times New Roman" w:hAnsi="Arial" w:cs="Arial"/>
          <w:bCs/>
          <w:kern w:val="0"/>
          <w:sz w:val="24"/>
          <w:szCs w:val="24"/>
          <w:lang w:val="en-GB"/>
          <w14:ligatures w14:val="none"/>
        </w:rPr>
        <w:tab/>
      </w:r>
      <w:r w:rsidR="00930164" w:rsidRPr="00811277">
        <w:rPr>
          <w:rFonts w:ascii="Arial" w:eastAsia="Times New Roman" w:hAnsi="Arial" w:cs="Arial"/>
          <w:bCs/>
          <w:sz w:val="24"/>
          <w:szCs w:val="24"/>
          <w:lang w:val="en-GB"/>
        </w:rPr>
        <w:t xml:space="preserve">In this regard, </w:t>
      </w:r>
      <w:r w:rsidR="00AB184F" w:rsidRPr="00811277">
        <w:rPr>
          <w:rFonts w:ascii="Arial" w:eastAsia="Times New Roman" w:hAnsi="Arial" w:cs="Arial"/>
          <w:bCs/>
          <w:sz w:val="24"/>
          <w:szCs w:val="24"/>
          <w:lang w:val="en-GB"/>
        </w:rPr>
        <w:t xml:space="preserve">it </w:t>
      </w:r>
      <w:r w:rsidR="001C1D28" w:rsidRPr="00811277">
        <w:rPr>
          <w:rFonts w:ascii="Arial" w:eastAsia="Times New Roman" w:hAnsi="Arial" w:cs="Arial"/>
          <w:bCs/>
          <w:sz w:val="24"/>
          <w:szCs w:val="24"/>
          <w:lang w:val="en-GB"/>
        </w:rPr>
        <w:t>noted, as per</w:t>
      </w:r>
      <w:r w:rsidR="00AB184F" w:rsidRPr="00811277">
        <w:rPr>
          <w:rFonts w:ascii="Arial" w:eastAsia="Times New Roman" w:hAnsi="Arial" w:cs="Arial"/>
          <w:bCs/>
          <w:sz w:val="24"/>
          <w:szCs w:val="24"/>
          <w:lang w:val="en-GB"/>
        </w:rPr>
        <w:t xml:space="preserve"> the findings of the Court a </w:t>
      </w:r>
      <w:r w:rsidR="00AB184F" w:rsidRPr="00811277">
        <w:rPr>
          <w:rFonts w:ascii="Arial" w:eastAsia="Times New Roman" w:hAnsi="Arial" w:cs="Arial"/>
          <w:bCs/>
          <w:i/>
          <w:iCs/>
          <w:sz w:val="24"/>
          <w:szCs w:val="24"/>
          <w:lang w:val="en-GB"/>
        </w:rPr>
        <w:t>quo</w:t>
      </w:r>
      <w:r w:rsidR="001C1D28" w:rsidRPr="00811277">
        <w:rPr>
          <w:rFonts w:ascii="Arial" w:eastAsia="Times New Roman" w:hAnsi="Arial" w:cs="Arial"/>
          <w:bCs/>
          <w:i/>
          <w:iCs/>
          <w:sz w:val="24"/>
          <w:szCs w:val="24"/>
          <w:lang w:val="en-GB"/>
        </w:rPr>
        <w:t xml:space="preserve">, </w:t>
      </w:r>
      <w:r w:rsidR="001C1D28" w:rsidRPr="00811277">
        <w:rPr>
          <w:rFonts w:ascii="Arial" w:eastAsia="Times New Roman" w:hAnsi="Arial" w:cs="Arial"/>
          <w:bCs/>
          <w:sz w:val="24"/>
          <w:szCs w:val="24"/>
          <w:lang w:val="en-GB"/>
        </w:rPr>
        <w:t xml:space="preserve">that </w:t>
      </w:r>
      <w:r w:rsidR="00AB184F" w:rsidRPr="00811277">
        <w:rPr>
          <w:rFonts w:ascii="Arial" w:eastAsia="Times New Roman" w:hAnsi="Arial" w:cs="Arial"/>
          <w:bCs/>
          <w:sz w:val="24"/>
          <w:szCs w:val="24"/>
          <w:lang w:val="en-GB"/>
        </w:rPr>
        <w:t>the graves and kramats had</w:t>
      </w:r>
      <w:r w:rsidR="00DD17E6" w:rsidRPr="00811277">
        <w:rPr>
          <w:rFonts w:ascii="Arial" w:eastAsia="Times New Roman" w:hAnsi="Arial" w:cs="Arial"/>
          <w:bCs/>
          <w:sz w:val="24"/>
          <w:szCs w:val="24"/>
          <w:lang w:val="en-GB"/>
        </w:rPr>
        <w:t xml:space="preserve"> not </w:t>
      </w:r>
      <w:r w:rsidR="008D40C9" w:rsidRPr="00811277">
        <w:rPr>
          <w:rFonts w:ascii="Arial" w:eastAsia="Times New Roman" w:hAnsi="Arial" w:cs="Arial"/>
          <w:bCs/>
          <w:sz w:val="24"/>
          <w:szCs w:val="24"/>
          <w:lang w:val="en-GB"/>
        </w:rPr>
        <w:t xml:space="preserve">been </w:t>
      </w:r>
      <w:r w:rsidR="00DD17E6" w:rsidRPr="00811277">
        <w:rPr>
          <w:rFonts w:ascii="Arial" w:eastAsia="Times New Roman" w:hAnsi="Arial" w:cs="Arial"/>
          <w:bCs/>
          <w:sz w:val="24"/>
          <w:szCs w:val="24"/>
          <w:lang w:val="en-GB"/>
        </w:rPr>
        <w:t xml:space="preserve">referred to or shown on the application for approval of the </w:t>
      </w:r>
      <w:r w:rsidR="00DD17E6" w:rsidRPr="00811277">
        <w:rPr>
          <w:rFonts w:ascii="Arial" w:eastAsia="Times New Roman" w:hAnsi="Arial" w:cs="Arial"/>
          <w:bCs/>
          <w:sz w:val="24"/>
          <w:szCs w:val="24"/>
          <w:lang w:val="en-GB"/>
        </w:rPr>
        <w:lastRenderedPageBreak/>
        <w:t>township</w:t>
      </w:r>
      <w:r w:rsidR="00AB184F" w:rsidRPr="00811277">
        <w:rPr>
          <w:rFonts w:ascii="Arial" w:eastAsia="Times New Roman" w:hAnsi="Arial" w:cs="Arial"/>
          <w:bCs/>
          <w:sz w:val="24"/>
          <w:szCs w:val="24"/>
          <w:lang w:val="en-GB"/>
        </w:rPr>
        <w:t>, and</w:t>
      </w:r>
      <w:r w:rsidR="001C1D28" w:rsidRPr="00811277">
        <w:rPr>
          <w:rFonts w:ascii="Arial" w:eastAsia="Times New Roman" w:hAnsi="Arial" w:cs="Arial"/>
          <w:bCs/>
          <w:sz w:val="24"/>
          <w:szCs w:val="24"/>
          <w:lang w:val="en-GB"/>
        </w:rPr>
        <w:t xml:space="preserve"> it agreed that</w:t>
      </w:r>
      <w:r w:rsidR="00AB184F" w:rsidRPr="00811277">
        <w:rPr>
          <w:rFonts w:ascii="Arial" w:eastAsia="Times New Roman" w:hAnsi="Arial" w:cs="Arial"/>
          <w:bCs/>
          <w:sz w:val="24"/>
          <w:szCs w:val="24"/>
          <w:lang w:val="en-GB"/>
        </w:rPr>
        <w:t xml:space="preserve"> their</w:t>
      </w:r>
      <w:r w:rsidR="00DD17E6" w:rsidRPr="00811277">
        <w:rPr>
          <w:rFonts w:ascii="Arial" w:eastAsia="Times New Roman" w:hAnsi="Arial" w:cs="Arial"/>
          <w:bCs/>
          <w:sz w:val="24"/>
          <w:szCs w:val="24"/>
          <w:lang w:val="en-GB"/>
        </w:rPr>
        <w:t xml:space="preserve"> presence was a significant factor that should have been taken into account </w:t>
      </w:r>
      <w:r w:rsidR="008D40C9" w:rsidRPr="00811277">
        <w:rPr>
          <w:rFonts w:ascii="Arial" w:eastAsia="Times New Roman" w:hAnsi="Arial" w:cs="Arial"/>
          <w:bCs/>
          <w:sz w:val="24"/>
          <w:szCs w:val="24"/>
          <w:lang w:val="en-GB"/>
        </w:rPr>
        <w:t xml:space="preserve">when </w:t>
      </w:r>
      <w:r w:rsidR="00DD17E6" w:rsidRPr="00811277">
        <w:rPr>
          <w:rFonts w:ascii="Arial" w:eastAsia="Times New Roman" w:hAnsi="Arial" w:cs="Arial"/>
          <w:bCs/>
          <w:sz w:val="24"/>
          <w:szCs w:val="24"/>
          <w:lang w:val="en-GB"/>
        </w:rPr>
        <w:t>the decision of whether to permit the establishment of a township on the land</w:t>
      </w:r>
      <w:r w:rsidR="008D40C9" w:rsidRPr="00811277">
        <w:rPr>
          <w:rFonts w:ascii="Arial" w:eastAsia="Times New Roman" w:hAnsi="Arial" w:cs="Arial"/>
          <w:bCs/>
          <w:sz w:val="24"/>
          <w:szCs w:val="24"/>
          <w:lang w:val="en-GB"/>
        </w:rPr>
        <w:t>, had been taken</w:t>
      </w:r>
      <w:r w:rsidR="00DD17E6" w:rsidRPr="00811277">
        <w:rPr>
          <w:rFonts w:ascii="Arial" w:eastAsia="Times New Roman" w:hAnsi="Arial" w:cs="Arial"/>
          <w:bCs/>
          <w:sz w:val="24"/>
          <w:szCs w:val="24"/>
          <w:lang w:val="en-GB"/>
        </w:rPr>
        <w:t xml:space="preserve">. The failure to consider this </w:t>
      </w:r>
      <w:r w:rsidR="00347BC9" w:rsidRPr="00811277">
        <w:rPr>
          <w:rFonts w:ascii="Arial" w:eastAsia="Times New Roman" w:hAnsi="Arial" w:cs="Arial"/>
          <w:bCs/>
          <w:sz w:val="24"/>
          <w:szCs w:val="24"/>
          <w:lang w:val="en-GB"/>
        </w:rPr>
        <w:t xml:space="preserve">potentially </w:t>
      </w:r>
      <w:r w:rsidR="00DD17E6" w:rsidRPr="00811277">
        <w:rPr>
          <w:rFonts w:ascii="Arial" w:eastAsia="Times New Roman" w:hAnsi="Arial" w:cs="Arial"/>
          <w:bCs/>
          <w:sz w:val="24"/>
          <w:szCs w:val="24"/>
          <w:lang w:val="en-GB"/>
        </w:rPr>
        <w:t xml:space="preserve">rendered the approval which was granted by the </w:t>
      </w:r>
      <w:r w:rsidR="001C1D28" w:rsidRPr="00811277">
        <w:rPr>
          <w:rFonts w:ascii="Arial" w:eastAsia="Times New Roman" w:hAnsi="Arial" w:cs="Arial"/>
          <w:bCs/>
          <w:sz w:val="24"/>
          <w:szCs w:val="24"/>
          <w:lang w:val="en-GB"/>
        </w:rPr>
        <w:t>A</w:t>
      </w:r>
      <w:r w:rsidR="00DD17E6" w:rsidRPr="00811277">
        <w:rPr>
          <w:rFonts w:ascii="Arial" w:eastAsia="Times New Roman" w:hAnsi="Arial" w:cs="Arial"/>
          <w:bCs/>
          <w:sz w:val="24"/>
          <w:szCs w:val="24"/>
          <w:lang w:val="en-GB"/>
        </w:rPr>
        <w:t xml:space="preserve">dministrator invalid and </w:t>
      </w:r>
      <w:r w:rsidR="00DD17E6" w:rsidRPr="00811277">
        <w:rPr>
          <w:rFonts w:ascii="Arial" w:eastAsia="Times New Roman" w:hAnsi="Arial" w:cs="Arial"/>
          <w:bCs/>
          <w:i/>
          <w:iCs/>
          <w:sz w:val="24"/>
          <w:szCs w:val="24"/>
          <w:lang w:val="en-GB"/>
        </w:rPr>
        <w:t>ultra vires</w:t>
      </w:r>
      <w:r w:rsidR="00DD17E6" w:rsidRPr="00811277">
        <w:rPr>
          <w:rFonts w:ascii="Arial" w:eastAsia="Times New Roman" w:hAnsi="Arial" w:cs="Arial"/>
          <w:bCs/>
          <w:sz w:val="24"/>
          <w:szCs w:val="24"/>
          <w:lang w:val="en-GB"/>
        </w:rPr>
        <w:t xml:space="preserve"> and liable to be set aside on review. However,</w:t>
      </w:r>
      <w:r w:rsidR="008D40C9" w:rsidRPr="00811277">
        <w:rPr>
          <w:rFonts w:ascii="Arial" w:eastAsia="Times New Roman" w:hAnsi="Arial" w:cs="Arial"/>
          <w:bCs/>
          <w:sz w:val="24"/>
          <w:szCs w:val="24"/>
          <w:lang w:val="en-GB"/>
        </w:rPr>
        <w:t xml:space="preserve"> </w:t>
      </w:r>
      <w:r w:rsidR="00DD17E6" w:rsidRPr="00811277">
        <w:rPr>
          <w:rFonts w:ascii="Arial" w:eastAsia="Times New Roman" w:hAnsi="Arial" w:cs="Arial"/>
          <w:bCs/>
          <w:sz w:val="24"/>
          <w:szCs w:val="24"/>
          <w:lang w:val="en-GB"/>
        </w:rPr>
        <w:t xml:space="preserve">for so long as the </w:t>
      </w:r>
      <w:r w:rsidR="008D40C9" w:rsidRPr="00811277">
        <w:rPr>
          <w:rFonts w:ascii="Arial" w:eastAsia="Times New Roman" w:hAnsi="Arial" w:cs="Arial"/>
          <w:bCs/>
          <w:sz w:val="24"/>
          <w:szCs w:val="24"/>
          <w:lang w:val="en-GB"/>
        </w:rPr>
        <w:t>A</w:t>
      </w:r>
      <w:r w:rsidR="00DD17E6" w:rsidRPr="00811277">
        <w:rPr>
          <w:rFonts w:ascii="Arial" w:eastAsia="Times New Roman" w:hAnsi="Arial" w:cs="Arial"/>
          <w:bCs/>
          <w:sz w:val="24"/>
          <w:szCs w:val="24"/>
          <w:lang w:val="en-GB"/>
        </w:rPr>
        <w:t>dministrator</w:t>
      </w:r>
      <w:r w:rsidR="008D40C9" w:rsidRPr="00811277">
        <w:rPr>
          <w:rFonts w:ascii="Arial" w:eastAsia="Times New Roman" w:hAnsi="Arial" w:cs="Arial"/>
          <w:bCs/>
          <w:sz w:val="24"/>
          <w:szCs w:val="24"/>
          <w:lang w:val="en-GB"/>
        </w:rPr>
        <w:t>’</w:t>
      </w:r>
      <w:r w:rsidR="00DD17E6" w:rsidRPr="00811277">
        <w:rPr>
          <w:rFonts w:ascii="Arial" w:eastAsia="Times New Roman" w:hAnsi="Arial" w:cs="Arial"/>
          <w:bCs/>
          <w:sz w:val="24"/>
          <w:szCs w:val="24"/>
          <w:lang w:val="en-GB"/>
        </w:rPr>
        <w:t xml:space="preserve">s approval was in place the owners of the land were allowed to develop a township on it, as </w:t>
      </w:r>
      <w:r w:rsidR="008D40C9" w:rsidRPr="00811277">
        <w:rPr>
          <w:rFonts w:ascii="Arial" w:eastAsia="Times New Roman" w:hAnsi="Arial" w:cs="Arial"/>
          <w:bCs/>
          <w:sz w:val="24"/>
          <w:szCs w:val="24"/>
          <w:lang w:val="en-GB"/>
        </w:rPr>
        <w:t xml:space="preserve">the approval </w:t>
      </w:r>
      <w:r w:rsidR="00DD17E6" w:rsidRPr="00811277">
        <w:rPr>
          <w:rFonts w:ascii="Arial" w:eastAsia="Times New Roman" w:hAnsi="Arial" w:cs="Arial"/>
          <w:bCs/>
          <w:sz w:val="24"/>
          <w:szCs w:val="24"/>
          <w:lang w:val="en-GB"/>
        </w:rPr>
        <w:t>was an act which had consequences</w:t>
      </w:r>
      <w:r w:rsidR="001C1D28" w:rsidRPr="00811277">
        <w:rPr>
          <w:rFonts w:ascii="Arial" w:eastAsia="Times New Roman" w:hAnsi="Arial" w:cs="Arial"/>
          <w:bCs/>
          <w:sz w:val="24"/>
          <w:szCs w:val="24"/>
          <w:lang w:val="en-GB"/>
        </w:rPr>
        <w:t>,</w:t>
      </w:r>
      <w:r w:rsidR="00DD17E6" w:rsidRPr="00811277">
        <w:rPr>
          <w:rFonts w:ascii="Arial" w:eastAsia="Times New Roman" w:hAnsi="Arial" w:cs="Arial"/>
          <w:bCs/>
          <w:sz w:val="24"/>
          <w:szCs w:val="24"/>
          <w:lang w:val="en-GB"/>
        </w:rPr>
        <w:t xml:space="preserve"> and the </w:t>
      </w:r>
      <w:r w:rsidR="008D40C9" w:rsidRPr="00811277">
        <w:rPr>
          <w:rFonts w:ascii="Arial" w:eastAsia="Times New Roman" w:hAnsi="Arial" w:cs="Arial"/>
          <w:bCs/>
          <w:sz w:val="24"/>
          <w:szCs w:val="24"/>
          <w:lang w:val="en-GB"/>
        </w:rPr>
        <w:t xml:space="preserve">City </w:t>
      </w:r>
      <w:r w:rsidR="00DD17E6" w:rsidRPr="00811277">
        <w:rPr>
          <w:rFonts w:ascii="Arial" w:eastAsia="Times New Roman" w:hAnsi="Arial" w:cs="Arial"/>
          <w:bCs/>
          <w:sz w:val="24"/>
          <w:szCs w:val="24"/>
          <w:lang w:val="en-GB"/>
        </w:rPr>
        <w:t>was not entitled to ignore it.</w:t>
      </w:r>
      <w:r w:rsidR="00DD17E6">
        <w:rPr>
          <w:rStyle w:val="FootnoteReference"/>
          <w:rFonts w:ascii="Arial" w:eastAsia="Times New Roman" w:hAnsi="Arial" w:cs="Arial"/>
          <w:bCs/>
          <w:sz w:val="24"/>
          <w:szCs w:val="24"/>
          <w:lang w:val="en-GB"/>
        </w:rPr>
        <w:footnoteReference w:id="41"/>
      </w:r>
      <w:r w:rsidR="00DD17E6" w:rsidRPr="00811277">
        <w:rPr>
          <w:rFonts w:ascii="Arial" w:eastAsia="Times New Roman" w:hAnsi="Arial" w:cs="Arial"/>
          <w:bCs/>
          <w:sz w:val="24"/>
          <w:szCs w:val="24"/>
          <w:lang w:val="en-GB"/>
        </w:rPr>
        <w:t xml:space="preserve"> </w:t>
      </w:r>
    </w:p>
    <w:p w14:paraId="0990D70C" w14:textId="163A2B01" w:rsidR="00DD17E6"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47.</w:t>
      </w:r>
      <w:r>
        <w:rPr>
          <w:rFonts w:ascii="Arial" w:eastAsia="Times New Roman" w:hAnsi="Arial" w:cs="Arial"/>
          <w:bCs/>
          <w:kern w:val="0"/>
          <w:sz w:val="24"/>
          <w:szCs w:val="24"/>
          <w:lang w:val="en-GB"/>
          <w14:ligatures w14:val="none"/>
        </w:rPr>
        <w:tab/>
      </w:r>
      <w:r w:rsidR="00A804E1" w:rsidRPr="00811277">
        <w:rPr>
          <w:rFonts w:ascii="Arial" w:eastAsia="Times New Roman" w:hAnsi="Arial" w:cs="Arial"/>
          <w:bCs/>
          <w:sz w:val="24"/>
          <w:szCs w:val="24"/>
          <w:lang w:val="en-GB"/>
        </w:rPr>
        <w:t>S</w:t>
      </w:r>
      <w:r w:rsidR="00017FA1" w:rsidRPr="00811277">
        <w:rPr>
          <w:rFonts w:ascii="Arial" w:eastAsia="Times New Roman" w:hAnsi="Arial" w:cs="Arial"/>
          <w:bCs/>
          <w:sz w:val="24"/>
          <w:szCs w:val="24"/>
          <w:lang w:val="en-GB"/>
        </w:rPr>
        <w:t xml:space="preserve">ubsequent to the decision by the SCA </w:t>
      </w:r>
      <w:r w:rsidR="00A804E1" w:rsidRPr="00811277">
        <w:rPr>
          <w:rFonts w:ascii="Arial" w:eastAsia="Times New Roman" w:hAnsi="Arial" w:cs="Arial"/>
          <w:bCs/>
          <w:sz w:val="24"/>
          <w:szCs w:val="24"/>
          <w:lang w:val="en-GB"/>
        </w:rPr>
        <w:t>the</w:t>
      </w:r>
      <w:r w:rsidR="00017FA1" w:rsidRPr="00811277">
        <w:rPr>
          <w:rFonts w:ascii="Arial" w:eastAsia="Times New Roman" w:hAnsi="Arial" w:cs="Arial"/>
          <w:bCs/>
          <w:sz w:val="24"/>
          <w:szCs w:val="24"/>
          <w:lang w:val="en-GB"/>
        </w:rPr>
        <w:t xml:space="preserve"> review application </w:t>
      </w:r>
      <w:r w:rsidR="00A804E1" w:rsidRPr="00811277">
        <w:rPr>
          <w:rFonts w:ascii="Arial" w:eastAsia="Times New Roman" w:hAnsi="Arial" w:cs="Arial"/>
          <w:bCs/>
          <w:sz w:val="24"/>
          <w:szCs w:val="24"/>
          <w:lang w:val="en-GB"/>
        </w:rPr>
        <w:t xml:space="preserve">which </w:t>
      </w:r>
      <w:r w:rsidR="00017FA1" w:rsidRPr="00811277">
        <w:rPr>
          <w:rFonts w:ascii="Arial" w:eastAsia="Times New Roman" w:hAnsi="Arial" w:cs="Arial"/>
          <w:bCs/>
          <w:sz w:val="24"/>
          <w:szCs w:val="24"/>
          <w:lang w:val="en-GB"/>
        </w:rPr>
        <w:t xml:space="preserve">was launched by the </w:t>
      </w:r>
      <w:r w:rsidR="00347BC9" w:rsidRPr="00811277">
        <w:rPr>
          <w:rFonts w:ascii="Arial" w:eastAsia="Times New Roman" w:hAnsi="Arial" w:cs="Arial"/>
          <w:bCs/>
          <w:sz w:val="24"/>
          <w:szCs w:val="24"/>
          <w:lang w:val="en-GB"/>
        </w:rPr>
        <w:t>City</w:t>
      </w:r>
      <w:r w:rsidR="00017FA1" w:rsidRPr="00811277">
        <w:rPr>
          <w:rFonts w:ascii="Arial" w:eastAsia="Times New Roman" w:hAnsi="Arial" w:cs="Arial"/>
          <w:bCs/>
          <w:sz w:val="24"/>
          <w:szCs w:val="24"/>
          <w:lang w:val="en-GB"/>
        </w:rPr>
        <w:t xml:space="preserve"> succeeded in this </w:t>
      </w:r>
      <w:r w:rsidR="00A804E1" w:rsidRPr="00811277">
        <w:rPr>
          <w:rFonts w:ascii="Arial" w:eastAsia="Times New Roman" w:hAnsi="Arial" w:cs="Arial"/>
          <w:bCs/>
          <w:sz w:val="24"/>
          <w:szCs w:val="24"/>
          <w:lang w:val="en-GB"/>
        </w:rPr>
        <w:t>C</w:t>
      </w:r>
      <w:r w:rsidR="00017FA1" w:rsidRPr="00811277">
        <w:rPr>
          <w:rFonts w:ascii="Arial" w:eastAsia="Times New Roman" w:hAnsi="Arial" w:cs="Arial"/>
          <w:bCs/>
          <w:sz w:val="24"/>
          <w:szCs w:val="24"/>
          <w:lang w:val="en-GB"/>
        </w:rPr>
        <w:t>ourt, notwithstanding the delay involved</w:t>
      </w:r>
      <w:r w:rsidR="00A804E1" w:rsidRPr="00811277">
        <w:rPr>
          <w:rFonts w:ascii="Arial" w:eastAsia="Times New Roman" w:hAnsi="Arial" w:cs="Arial"/>
          <w:bCs/>
          <w:sz w:val="24"/>
          <w:szCs w:val="24"/>
          <w:lang w:val="en-GB"/>
        </w:rPr>
        <w:t>,</w:t>
      </w:r>
      <w:r w:rsidR="00017FA1" w:rsidRPr="00811277">
        <w:rPr>
          <w:rFonts w:ascii="Arial" w:eastAsia="Times New Roman" w:hAnsi="Arial" w:cs="Arial"/>
          <w:bCs/>
          <w:sz w:val="24"/>
          <w:szCs w:val="24"/>
          <w:lang w:val="en-GB"/>
        </w:rPr>
        <w:t xml:space="preserve"> which was condoned on the grounds of the unique circumstances which were present. The decision was upheld on appeal to the SCA</w:t>
      </w:r>
      <w:r w:rsidR="00CE772D" w:rsidRPr="00811277">
        <w:rPr>
          <w:rFonts w:ascii="Arial" w:eastAsia="Times New Roman" w:hAnsi="Arial" w:cs="Arial"/>
          <w:bCs/>
          <w:sz w:val="24"/>
          <w:szCs w:val="24"/>
          <w:lang w:val="en-GB"/>
        </w:rPr>
        <w:t xml:space="preserve"> in </w:t>
      </w:r>
      <w:r w:rsidR="00CE772D" w:rsidRPr="00811277">
        <w:rPr>
          <w:rFonts w:ascii="Arial" w:eastAsia="Times New Roman" w:hAnsi="Arial" w:cs="Arial"/>
          <w:bCs/>
          <w:i/>
          <w:iCs/>
          <w:sz w:val="24"/>
          <w:szCs w:val="24"/>
          <w:lang w:val="en-GB"/>
        </w:rPr>
        <w:t xml:space="preserve">Oudekraal </w:t>
      </w:r>
      <w:r w:rsidR="00CE772D" w:rsidRPr="00811277">
        <w:rPr>
          <w:rFonts w:ascii="Arial" w:eastAsia="Times New Roman" w:hAnsi="Arial" w:cs="Arial"/>
          <w:bCs/>
          <w:sz w:val="24"/>
          <w:szCs w:val="24"/>
          <w:lang w:val="en-GB"/>
        </w:rPr>
        <w:t xml:space="preserve">2 </w:t>
      </w:r>
      <w:r w:rsidR="00017FA1">
        <w:rPr>
          <w:rStyle w:val="FootnoteReference"/>
          <w:rFonts w:ascii="Arial" w:eastAsia="Times New Roman" w:hAnsi="Arial" w:cs="Arial"/>
          <w:bCs/>
          <w:sz w:val="24"/>
          <w:szCs w:val="24"/>
          <w:lang w:val="en-GB"/>
        </w:rPr>
        <w:footnoteReference w:id="42"/>
      </w:r>
      <w:r w:rsidR="00CE772D" w:rsidRPr="00811277">
        <w:rPr>
          <w:rFonts w:ascii="Arial" w:eastAsia="Times New Roman" w:hAnsi="Arial" w:cs="Arial"/>
          <w:bCs/>
          <w:sz w:val="24"/>
          <w:szCs w:val="24"/>
          <w:lang w:val="en-GB"/>
        </w:rPr>
        <w:t xml:space="preserve"> which emphasised the constitutional change</w:t>
      </w:r>
      <w:r w:rsidR="00347BC9" w:rsidRPr="00811277">
        <w:rPr>
          <w:rFonts w:ascii="Arial" w:eastAsia="Times New Roman" w:hAnsi="Arial" w:cs="Arial"/>
          <w:bCs/>
          <w:sz w:val="24"/>
          <w:szCs w:val="24"/>
          <w:lang w:val="en-GB"/>
        </w:rPr>
        <w:t>s</w:t>
      </w:r>
      <w:r w:rsidR="00CE772D" w:rsidRPr="00811277">
        <w:rPr>
          <w:rFonts w:ascii="Arial" w:eastAsia="Times New Roman" w:hAnsi="Arial" w:cs="Arial"/>
          <w:bCs/>
          <w:sz w:val="24"/>
          <w:szCs w:val="24"/>
          <w:lang w:val="en-GB"/>
        </w:rPr>
        <w:t xml:space="preserve"> which had been brought about by the recognition of religious and cultural rights and the right to have the environment protected. The </w:t>
      </w:r>
      <w:r w:rsidR="00ED646F" w:rsidRPr="00811277">
        <w:rPr>
          <w:rFonts w:ascii="Arial" w:eastAsia="Times New Roman" w:hAnsi="Arial" w:cs="Arial"/>
          <w:bCs/>
          <w:sz w:val="24"/>
          <w:szCs w:val="24"/>
          <w:lang w:val="en-GB"/>
        </w:rPr>
        <w:t>SCA</w:t>
      </w:r>
      <w:r w:rsidR="00CE772D" w:rsidRPr="00811277">
        <w:rPr>
          <w:rFonts w:ascii="Arial" w:eastAsia="Times New Roman" w:hAnsi="Arial" w:cs="Arial"/>
          <w:bCs/>
          <w:sz w:val="24"/>
          <w:szCs w:val="24"/>
          <w:lang w:val="en-GB"/>
        </w:rPr>
        <w:t xml:space="preserve"> held that the principle of legality and </w:t>
      </w:r>
      <w:r w:rsidR="00ED646F" w:rsidRPr="00811277">
        <w:rPr>
          <w:rFonts w:ascii="Arial" w:eastAsia="Times New Roman" w:hAnsi="Arial" w:cs="Arial"/>
          <w:bCs/>
          <w:sz w:val="24"/>
          <w:szCs w:val="24"/>
          <w:lang w:val="en-GB"/>
        </w:rPr>
        <w:t xml:space="preserve">the </w:t>
      </w:r>
      <w:r w:rsidR="00CE772D" w:rsidRPr="00811277">
        <w:rPr>
          <w:rFonts w:ascii="Arial" w:eastAsia="Times New Roman" w:hAnsi="Arial" w:cs="Arial"/>
          <w:bCs/>
          <w:sz w:val="24"/>
          <w:szCs w:val="24"/>
          <w:lang w:val="en-GB"/>
        </w:rPr>
        <w:t xml:space="preserve">interests of justice would be advanced by ensuring that the invalid decision of the </w:t>
      </w:r>
      <w:r w:rsidR="00ED646F" w:rsidRPr="00811277">
        <w:rPr>
          <w:rFonts w:ascii="Arial" w:eastAsia="Times New Roman" w:hAnsi="Arial" w:cs="Arial"/>
          <w:bCs/>
          <w:sz w:val="24"/>
          <w:szCs w:val="24"/>
          <w:lang w:val="en-GB"/>
        </w:rPr>
        <w:t>A</w:t>
      </w:r>
      <w:r w:rsidR="00CE772D" w:rsidRPr="00811277">
        <w:rPr>
          <w:rFonts w:ascii="Arial" w:eastAsia="Times New Roman" w:hAnsi="Arial" w:cs="Arial"/>
          <w:bCs/>
          <w:sz w:val="24"/>
          <w:szCs w:val="24"/>
          <w:lang w:val="en-GB"/>
        </w:rPr>
        <w:t>dministrator did not stand.</w:t>
      </w:r>
    </w:p>
    <w:p w14:paraId="06DD6197" w14:textId="1624B622" w:rsidR="00CE772D"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48.</w:t>
      </w:r>
      <w:r>
        <w:rPr>
          <w:rFonts w:ascii="Arial" w:eastAsia="Times New Roman" w:hAnsi="Arial" w:cs="Arial"/>
          <w:bCs/>
          <w:kern w:val="0"/>
          <w:sz w:val="24"/>
          <w:szCs w:val="24"/>
          <w:lang w:val="en-GB"/>
          <w14:ligatures w14:val="none"/>
        </w:rPr>
        <w:tab/>
      </w:r>
      <w:r w:rsidR="00CE772D" w:rsidRPr="00811277">
        <w:rPr>
          <w:rFonts w:ascii="Arial" w:eastAsia="Times New Roman" w:hAnsi="Arial" w:cs="Arial"/>
          <w:bCs/>
          <w:sz w:val="24"/>
          <w:szCs w:val="24"/>
          <w:lang w:val="en-GB"/>
        </w:rPr>
        <w:t xml:space="preserve">From the aforegoing discussion of the </w:t>
      </w:r>
      <w:r w:rsidR="00CE772D" w:rsidRPr="00811277">
        <w:rPr>
          <w:rFonts w:ascii="Arial" w:eastAsia="Times New Roman" w:hAnsi="Arial" w:cs="Arial"/>
          <w:bCs/>
          <w:i/>
          <w:iCs/>
          <w:sz w:val="24"/>
          <w:szCs w:val="24"/>
          <w:lang w:val="en-GB"/>
        </w:rPr>
        <w:t xml:space="preserve">Oudekraal </w:t>
      </w:r>
      <w:r w:rsidR="00CE772D" w:rsidRPr="00811277">
        <w:rPr>
          <w:rFonts w:ascii="Arial" w:eastAsia="Times New Roman" w:hAnsi="Arial" w:cs="Arial"/>
          <w:bCs/>
          <w:sz w:val="24"/>
          <w:szCs w:val="24"/>
          <w:lang w:val="en-GB"/>
        </w:rPr>
        <w:t>decisions it will be apparent that the issue of delay</w:t>
      </w:r>
      <w:r w:rsidR="00206F65" w:rsidRPr="00811277">
        <w:rPr>
          <w:rFonts w:ascii="Arial" w:eastAsia="Times New Roman" w:hAnsi="Arial" w:cs="Arial"/>
          <w:bCs/>
          <w:sz w:val="24"/>
          <w:szCs w:val="24"/>
          <w:lang w:val="en-GB"/>
        </w:rPr>
        <w:t xml:space="preserve"> in relation to collateral challenges,</w:t>
      </w:r>
      <w:r w:rsidR="00CE772D" w:rsidRPr="00811277">
        <w:rPr>
          <w:rFonts w:ascii="Arial" w:eastAsia="Times New Roman" w:hAnsi="Arial" w:cs="Arial"/>
          <w:bCs/>
          <w:sz w:val="24"/>
          <w:szCs w:val="24"/>
          <w:lang w:val="en-GB"/>
        </w:rPr>
        <w:t xml:space="preserve"> which was touched upon </w:t>
      </w:r>
      <w:r w:rsidR="00E60757" w:rsidRPr="00811277">
        <w:rPr>
          <w:rFonts w:ascii="Arial" w:eastAsia="Times New Roman" w:hAnsi="Arial" w:cs="Arial"/>
          <w:bCs/>
          <w:sz w:val="24"/>
          <w:szCs w:val="24"/>
          <w:lang w:val="en-GB"/>
        </w:rPr>
        <w:t>in the first</w:t>
      </w:r>
      <w:r w:rsidR="00CE772D" w:rsidRPr="00811277">
        <w:rPr>
          <w:rFonts w:ascii="Arial" w:eastAsia="Times New Roman" w:hAnsi="Arial" w:cs="Arial"/>
          <w:bCs/>
          <w:sz w:val="24"/>
          <w:szCs w:val="24"/>
          <w:lang w:val="en-GB"/>
        </w:rPr>
        <w:t xml:space="preserve"> decision of Davis J</w:t>
      </w:r>
      <w:r w:rsidR="00206F65" w:rsidRPr="00811277">
        <w:rPr>
          <w:rFonts w:ascii="Arial" w:eastAsia="Times New Roman" w:hAnsi="Arial" w:cs="Arial"/>
          <w:bCs/>
          <w:sz w:val="24"/>
          <w:szCs w:val="24"/>
          <w:lang w:val="en-GB"/>
        </w:rPr>
        <w:t>,</w:t>
      </w:r>
      <w:r w:rsidR="00E60757" w:rsidRPr="00811277">
        <w:rPr>
          <w:rFonts w:ascii="Arial" w:eastAsia="Times New Roman" w:hAnsi="Arial" w:cs="Arial"/>
          <w:bCs/>
          <w:sz w:val="24"/>
          <w:szCs w:val="24"/>
          <w:lang w:val="en-GB"/>
        </w:rPr>
        <w:t xml:space="preserve"> was</w:t>
      </w:r>
      <w:r w:rsidR="00CE772D" w:rsidRPr="00811277">
        <w:rPr>
          <w:rFonts w:ascii="Arial" w:eastAsia="Times New Roman" w:hAnsi="Arial" w:cs="Arial"/>
          <w:bCs/>
          <w:sz w:val="24"/>
          <w:szCs w:val="24"/>
          <w:lang w:val="en-GB"/>
        </w:rPr>
        <w:t xml:space="preserve"> not revisited </w:t>
      </w:r>
      <w:r w:rsidR="00206F65" w:rsidRPr="00811277">
        <w:rPr>
          <w:rFonts w:ascii="Arial" w:eastAsia="Times New Roman" w:hAnsi="Arial" w:cs="Arial"/>
          <w:bCs/>
          <w:sz w:val="24"/>
          <w:szCs w:val="24"/>
          <w:lang w:val="en-GB"/>
        </w:rPr>
        <w:t xml:space="preserve">and </w:t>
      </w:r>
      <w:r w:rsidR="00CE772D" w:rsidRPr="00811277">
        <w:rPr>
          <w:rFonts w:ascii="Arial" w:eastAsia="Times New Roman" w:hAnsi="Arial" w:cs="Arial"/>
          <w:bCs/>
          <w:sz w:val="24"/>
          <w:szCs w:val="24"/>
          <w:lang w:val="en-GB"/>
        </w:rPr>
        <w:t xml:space="preserve">did not feature in the ratio </w:t>
      </w:r>
      <w:r w:rsidR="00206F65" w:rsidRPr="00811277">
        <w:rPr>
          <w:rFonts w:ascii="Arial" w:eastAsia="Times New Roman" w:hAnsi="Arial" w:cs="Arial"/>
          <w:bCs/>
          <w:sz w:val="24"/>
          <w:szCs w:val="24"/>
          <w:lang w:val="en-GB"/>
        </w:rPr>
        <w:t>of</w:t>
      </w:r>
      <w:r w:rsidR="00CE772D" w:rsidRPr="00811277">
        <w:rPr>
          <w:rFonts w:ascii="Arial" w:eastAsia="Times New Roman" w:hAnsi="Arial" w:cs="Arial"/>
          <w:bCs/>
          <w:sz w:val="24"/>
          <w:szCs w:val="24"/>
          <w:lang w:val="en-GB"/>
        </w:rPr>
        <w:t xml:space="preserve"> the subsequent decisions</w:t>
      </w:r>
      <w:r w:rsidR="00A804E1" w:rsidRPr="00811277">
        <w:rPr>
          <w:rFonts w:ascii="Arial" w:eastAsia="Times New Roman" w:hAnsi="Arial" w:cs="Arial"/>
          <w:bCs/>
          <w:sz w:val="24"/>
          <w:szCs w:val="24"/>
          <w:lang w:val="en-GB"/>
        </w:rPr>
        <w:t xml:space="preserve"> on appeal</w:t>
      </w:r>
      <w:r w:rsidR="00CE772D" w:rsidRPr="00811277">
        <w:rPr>
          <w:rFonts w:ascii="Arial" w:eastAsia="Times New Roman" w:hAnsi="Arial" w:cs="Arial"/>
          <w:bCs/>
          <w:sz w:val="24"/>
          <w:szCs w:val="24"/>
          <w:lang w:val="en-GB"/>
        </w:rPr>
        <w:t>.</w:t>
      </w:r>
    </w:p>
    <w:p w14:paraId="72DC4930" w14:textId="4BE94536" w:rsidR="00843009"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49.</w:t>
      </w:r>
      <w:r>
        <w:rPr>
          <w:rFonts w:ascii="Arial" w:eastAsia="Times New Roman" w:hAnsi="Arial" w:cs="Arial"/>
          <w:bCs/>
          <w:kern w:val="0"/>
          <w:sz w:val="24"/>
          <w:szCs w:val="24"/>
          <w:lang w:val="en-GB"/>
          <w14:ligatures w14:val="none"/>
        </w:rPr>
        <w:tab/>
      </w:r>
      <w:r w:rsidR="00B452FB" w:rsidRPr="00811277">
        <w:rPr>
          <w:rFonts w:ascii="Arial" w:eastAsia="Times New Roman" w:hAnsi="Arial" w:cs="Arial"/>
          <w:bCs/>
          <w:sz w:val="24"/>
          <w:szCs w:val="24"/>
          <w:lang w:val="en-GB"/>
        </w:rPr>
        <w:t>T</w:t>
      </w:r>
      <w:r w:rsidR="00CE772D" w:rsidRPr="00811277">
        <w:rPr>
          <w:rFonts w:ascii="Arial" w:eastAsia="Times New Roman" w:hAnsi="Arial" w:cs="Arial"/>
          <w:bCs/>
          <w:sz w:val="24"/>
          <w:szCs w:val="24"/>
          <w:lang w:val="en-GB"/>
        </w:rPr>
        <w:t>he next time the issue of delay arose in a collateral challenge matter which went all the way to the SCA, was in 2010</w:t>
      </w:r>
      <w:r w:rsidR="00206F65" w:rsidRPr="00811277">
        <w:rPr>
          <w:rFonts w:ascii="Arial" w:eastAsia="Times New Roman" w:hAnsi="Arial" w:cs="Arial"/>
          <w:bCs/>
          <w:sz w:val="24"/>
          <w:szCs w:val="24"/>
          <w:lang w:val="en-GB"/>
        </w:rPr>
        <w:t>,</w:t>
      </w:r>
      <w:r w:rsidR="00CE772D" w:rsidRPr="00811277">
        <w:rPr>
          <w:rFonts w:ascii="Arial" w:eastAsia="Times New Roman" w:hAnsi="Arial" w:cs="Arial"/>
          <w:bCs/>
          <w:sz w:val="24"/>
          <w:szCs w:val="24"/>
          <w:lang w:val="en-GB"/>
        </w:rPr>
        <w:t xml:space="preserve"> in </w:t>
      </w:r>
      <w:r w:rsidR="00CE772D" w:rsidRPr="00811277">
        <w:rPr>
          <w:rFonts w:ascii="Arial" w:eastAsia="Times New Roman" w:hAnsi="Arial" w:cs="Arial"/>
          <w:bCs/>
          <w:i/>
          <w:iCs/>
          <w:sz w:val="24"/>
          <w:szCs w:val="24"/>
          <w:lang w:val="en-GB"/>
        </w:rPr>
        <w:t>3M SA</w:t>
      </w:r>
      <w:r w:rsidR="00B452FB" w:rsidRPr="00B452FB">
        <w:rPr>
          <w:rStyle w:val="FootnoteReference"/>
          <w:rFonts w:ascii="Arial" w:eastAsia="Times New Roman" w:hAnsi="Arial" w:cs="Arial"/>
          <w:bCs/>
          <w:sz w:val="24"/>
          <w:szCs w:val="24"/>
          <w:lang w:val="en-GB"/>
        </w:rPr>
        <w:footnoteReference w:id="43"/>
      </w:r>
      <w:r w:rsidR="00CE772D" w:rsidRPr="00811277">
        <w:rPr>
          <w:rFonts w:ascii="Arial" w:eastAsia="Times New Roman" w:hAnsi="Arial" w:cs="Arial"/>
          <w:bCs/>
          <w:sz w:val="24"/>
          <w:szCs w:val="24"/>
          <w:lang w:val="en-GB"/>
        </w:rPr>
        <w:t xml:space="preserve"> where in response to an attempt by the Commissioner of the SA </w:t>
      </w:r>
      <w:r w:rsidR="00206F65" w:rsidRPr="00811277">
        <w:rPr>
          <w:rFonts w:ascii="Arial" w:eastAsia="Times New Roman" w:hAnsi="Arial" w:cs="Arial"/>
          <w:bCs/>
          <w:sz w:val="24"/>
          <w:szCs w:val="24"/>
          <w:lang w:val="en-GB"/>
        </w:rPr>
        <w:t>R</w:t>
      </w:r>
      <w:r w:rsidR="00CE772D" w:rsidRPr="00811277">
        <w:rPr>
          <w:rFonts w:ascii="Arial" w:eastAsia="Times New Roman" w:hAnsi="Arial" w:cs="Arial"/>
          <w:bCs/>
          <w:sz w:val="24"/>
          <w:szCs w:val="24"/>
          <w:lang w:val="en-GB"/>
        </w:rPr>
        <w:t xml:space="preserve">evenue </w:t>
      </w:r>
      <w:r w:rsidR="00206F65" w:rsidRPr="00811277">
        <w:rPr>
          <w:rFonts w:ascii="Arial" w:eastAsia="Times New Roman" w:hAnsi="Arial" w:cs="Arial"/>
          <w:bCs/>
          <w:sz w:val="24"/>
          <w:szCs w:val="24"/>
          <w:lang w:val="en-GB"/>
        </w:rPr>
        <w:t>S</w:t>
      </w:r>
      <w:r w:rsidR="00CE772D" w:rsidRPr="00811277">
        <w:rPr>
          <w:rFonts w:ascii="Arial" w:eastAsia="Times New Roman" w:hAnsi="Arial" w:cs="Arial"/>
          <w:bCs/>
          <w:sz w:val="24"/>
          <w:szCs w:val="24"/>
          <w:lang w:val="en-GB"/>
        </w:rPr>
        <w:t>ervice to extract payment of arrear import duties</w:t>
      </w:r>
      <w:r w:rsidR="00206F65" w:rsidRPr="00811277">
        <w:rPr>
          <w:rFonts w:ascii="Arial" w:eastAsia="Times New Roman" w:hAnsi="Arial" w:cs="Arial"/>
          <w:bCs/>
          <w:sz w:val="24"/>
          <w:szCs w:val="24"/>
          <w:lang w:val="en-GB"/>
        </w:rPr>
        <w:t>,</w:t>
      </w:r>
      <w:r w:rsidR="00CE772D" w:rsidRPr="00811277">
        <w:rPr>
          <w:rFonts w:ascii="Arial" w:eastAsia="Times New Roman" w:hAnsi="Arial" w:cs="Arial"/>
          <w:bCs/>
          <w:sz w:val="24"/>
          <w:szCs w:val="24"/>
          <w:lang w:val="en-GB"/>
        </w:rPr>
        <w:t xml:space="preserve"> the defendant sought to assail the validity of the underlying administrative decision on which it was based, in an application for a declarator. In response, the Commissioner objected on the basis that the applicant should have instituted a review within 180 days </w:t>
      </w:r>
      <w:r w:rsidR="00206F65" w:rsidRPr="00811277">
        <w:rPr>
          <w:rFonts w:ascii="Arial" w:eastAsia="Times New Roman" w:hAnsi="Arial" w:cs="Arial"/>
          <w:bCs/>
          <w:sz w:val="24"/>
          <w:szCs w:val="24"/>
          <w:lang w:val="en-GB"/>
        </w:rPr>
        <w:t>in terms of PAJA but</w:t>
      </w:r>
      <w:r w:rsidR="00CE772D" w:rsidRPr="00811277">
        <w:rPr>
          <w:rFonts w:ascii="Arial" w:eastAsia="Times New Roman" w:hAnsi="Arial" w:cs="Arial"/>
          <w:bCs/>
          <w:sz w:val="24"/>
          <w:szCs w:val="24"/>
          <w:lang w:val="en-GB"/>
        </w:rPr>
        <w:t xml:space="preserve"> had failed to do so</w:t>
      </w:r>
      <w:r w:rsidR="00F86B67" w:rsidRPr="00811277">
        <w:rPr>
          <w:rFonts w:ascii="Arial" w:eastAsia="Times New Roman" w:hAnsi="Arial" w:cs="Arial"/>
          <w:bCs/>
          <w:sz w:val="24"/>
          <w:szCs w:val="24"/>
          <w:lang w:val="en-GB"/>
        </w:rPr>
        <w:t xml:space="preserve">. After citing the extract in </w:t>
      </w:r>
      <w:r w:rsidR="00206F65" w:rsidRPr="00811277">
        <w:rPr>
          <w:rFonts w:ascii="Arial" w:eastAsia="Times New Roman" w:hAnsi="Arial" w:cs="Arial"/>
          <w:bCs/>
          <w:i/>
          <w:iCs/>
          <w:sz w:val="24"/>
          <w:szCs w:val="24"/>
          <w:lang w:val="en-GB"/>
        </w:rPr>
        <w:t>P</w:t>
      </w:r>
      <w:r w:rsidR="00F86B67" w:rsidRPr="00811277">
        <w:rPr>
          <w:rFonts w:ascii="Arial" w:eastAsia="Times New Roman" w:hAnsi="Arial" w:cs="Arial"/>
          <w:bCs/>
          <w:i/>
          <w:iCs/>
          <w:sz w:val="24"/>
          <w:szCs w:val="24"/>
          <w:lang w:val="en-GB"/>
        </w:rPr>
        <w:t>hotocircuit</w:t>
      </w:r>
      <w:r w:rsidR="00F86B67" w:rsidRPr="00811277">
        <w:rPr>
          <w:rFonts w:ascii="Arial" w:eastAsia="Times New Roman" w:hAnsi="Arial" w:cs="Arial"/>
          <w:bCs/>
          <w:sz w:val="24"/>
          <w:szCs w:val="24"/>
          <w:lang w:val="en-GB"/>
        </w:rPr>
        <w:t xml:space="preserve"> previously referred to, about a defendant in </w:t>
      </w:r>
      <w:r w:rsidR="00F86B67" w:rsidRPr="00811277">
        <w:rPr>
          <w:rFonts w:ascii="Arial" w:eastAsia="Times New Roman" w:hAnsi="Arial" w:cs="Arial"/>
          <w:bCs/>
          <w:sz w:val="24"/>
          <w:szCs w:val="24"/>
          <w:lang w:val="en-GB"/>
        </w:rPr>
        <w:lastRenderedPageBreak/>
        <w:t>proceedings involving a collateral challenge not be</w:t>
      </w:r>
      <w:r w:rsidR="00206F65" w:rsidRPr="00811277">
        <w:rPr>
          <w:rFonts w:ascii="Arial" w:eastAsia="Times New Roman" w:hAnsi="Arial" w:cs="Arial"/>
          <w:bCs/>
          <w:sz w:val="24"/>
          <w:szCs w:val="24"/>
          <w:lang w:val="en-GB"/>
        </w:rPr>
        <w:t>ing</w:t>
      </w:r>
      <w:r w:rsidR="00F86B67" w:rsidRPr="00811277">
        <w:rPr>
          <w:rFonts w:ascii="Arial" w:eastAsia="Times New Roman" w:hAnsi="Arial" w:cs="Arial"/>
          <w:bCs/>
          <w:sz w:val="24"/>
          <w:szCs w:val="24"/>
          <w:lang w:val="en-GB"/>
        </w:rPr>
        <w:t xml:space="preserve"> precluded from raising </w:t>
      </w:r>
      <w:r w:rsidR="00206F65" w:rsidRPr="00811277">
        <w:rPr>
          <w:rFonts w:ascii="Arial" w:eastAsia="Times New Roman" w:hAnsi="Arial" w:cs="Arial"/>
          <w:bCs/>
          <w:sz w:val="24"/>
          <w:szCs w:val="24"/>
          <w:lang w:val="en-GB"/>
        </w:rPr>
        <w:t>t</w:t>
      </w:r>
      <w:r w:rsidR="00F86B67" w:rsidRPr="00811277">
        <w:rPr>
          <w:rFonts w:ascii="Arial" w:eastAsia="Times New Roman" w:hAnsi="Arial" w:cs="Arial"/>
          <w:bCs/>
          <w:sz w:val="24"/>
          <w:szCs w:val="24"/>
          <w:lang w:val="en-GB"/>
        </w:rPr>
        <w:t xml:space="preserve">he defence ‘merely’ on the grounds of delay </w:t>
      </w:r>
      <w:r w:rsidR="00C77C06" w:rsidRPr="00811277">
        <w:rPr>
          <w:rFonts w:ascii="Arial" w:eastAsia="Times New Roman" w:hAnsi="Arial" w:cs="Arial"/>
          <w:bCs/>
          <w:sz w:val="24"/>
          <w:szCs w:val="24"/>
          <w:lang w:val="en-GB"/>
        </w:rPr>
        <w:t>(</w:t>
      </w:r>
      <w:r w:rsidR="00F86B67" w:rsidRPr="00811277">
        <w:rPr>
          <w:rFonts w:ascii="Arial" w:eastAsia="Times New Roman" w:hAnsi="Arial" w:cs="Arial"/>
          <w:bCs/>
          <w:sz w:val="24"/>
          <w:szCs w:val="24"/>
          <w:lang w:val="en-GB"/>
        </w:rPr>
        <w:t xml:space="preserve">for to do so would otherwise </w:t>
      </w:r>
      <w:r w:rsidR="00347BC9" w:rsidRPr="00811277">
        <w:rPr>
          <w:rFonts w:ascii="Arial" w:eastAsia="Times New Roman" w:hAnsi="Arial" w:cs="Arial"/>
          <w:bCs/>
          <w:sz w:val="24"/>
          <w:szCs w:val="24"/>
          <w:lang w:val="en-GB"/>
        </w:rPr>
        <w:t>be akin</w:t>
      </w:r>
      <w:r w:rsidR="00F86B67" w:rsidRPr="00811277">
        <w:rPr>
          <w:rFonts w:ascii="Arial" w:eastAsia="Times New Roman" w:hAnsi="Arial" w:cs="Arial"/>
          <w:bCs/>
          <w:sz w:val="24"/>
          <w:szCs w:val="24"/>
          <w:lang w:val="en-GB"/>
        </w:rPr>
        <w:t xml:space="preserve"> to holding that the defence had become prescribed </w:t>
      </w:r>
      <w:r w:rsidR="00347BC9" w:rsidRPr="00811277">
        <w:rPr>
          <w:rFonts w:ascii="Arial" w:eastAsia="Times New Roman" w:hAnsi="Arial" w:cs="Arial"/>
          <w:bCs/>
          <w:sz w:val="24"/>
          <w:szCs w:val="24"/>
          <w:lang w:val="en-GB"/>
        </w:rPr>
        <w:t>be</w:t>
      </w:r>
      <w:r w:rsidR="00F86B67" w:rsidRPr="00811277">
        <w:rPr>
          <w:rFonts w:ascii="Arial" w:eastAsia="Times New Roman" w:hAnsi="Arial" w:cs="Arial"/>
          <w:bCs/>
          <w:sz w:val="24"/>
          <w:szCs w:val="24"/>
          <w:lang w:val="en-GB"/>
        </w:rPr>
        <w:t>for</w:t>
      </w:r>
      <w:r w:rsidR="00347BC9" w:rsidRPr="00811277">
        <w:rPr>
          <w:rFonts w:ascii="Arial" w:eastAsia="Times New Roman" w:hAnsi="Arial" w:cs="Arial"/>
          <w:bCs/>
          <w:sz w:val="24"/>
          <w:szCs w:val="24"/>
          <w:lang w:val="en-GB"/>
        </w:rPr>
        <w:t>e</w:t>
      </w:r>
      <w:r w:rsidR="00F86B67" w:rsidRPr="00811277">
        <w:rPr>
          <w:rFonts w:ascii="Arial" w:eastAsia="Times New Roman" w:hAnsi="Arial" w:cs="Arial"/>
          <w:bCs/>
          <w:sz w:val="24"/>
          <w:szCs w:val="24"/>
          <w:lang w:val="en-GB"/>
        </w:rPr>
        <w:t xml:space="preserve"> the claim itself</w:t>
      </w:r>
      <w:r w:rsidR="00C77C06" w:rsidRPr="00811277">
        <w:rPr>
          <w:rFonts w:ascii="Arial" w:eastAsia="Times New Roman" w:hAnsi="Arial" w:cs="Arial"/>
          <w:bCs/>
          <w:sz w:val="24"/>
          <w:szCs w:val="24"/>
          <w:lang w:val="en-GB"/>
        </w:rPr>
        <w:t>)</w:t>
      </w:r>
      <w:r w:rsidR="00F86B67" w:rsidRPr="00811277">
        <w:rPr>
          <w:rFonts w:ascii="Arial" w:eastAsia="Times New Roman" w:hAnsi="Arial" w:cs="Arial"/>
          <w:bCs/>
          <w:sz w:val="24"/>
          <w:szCs w:val="24"/>
          <w:lang w:val="en-GB"/>
        </w:rPr>
        <w:t xml:space="preserve">, the SCA held that </w:t>
      </w:r>
      <w:r w:rsidR="00347BC9" w:rsidRPr="00811277">
        <w:rPr>
          <w:rFonts w:ascii="Arial" w:eastAsia="Times New Roman" w:hAnsi="Arial" w:cs="Arial"/>
          <w:bCs/>
          <w:sz w:val="24"/>
          <w:szCs w:val="24"/>
          <w:lang w:val="en-GB"/>
        </w:rPr>
        <w:t>C</w:t>
      </w:r>
      <w:r w:rsidR="00F86B67" w:rsidRPr="00811277">
        <w:rPr>
          <w:rFonts w:ascii="Arial" w:eastAsia="Times New Roman" w:hAnsi="Arial" w:cs="Arial"/>
          <w:bCs/>
          <w:sz w:val="24"/>
          <w:szCs w:val="24"/>
          <w:lang w:val="en-GB"/>
        </w:rPr>
        <w:t>ommissioner</w:t>
      </w:r>
      <w:r w:rsidR="00347BC9" w:rsidRPr="00811277">
        <w:rPr>
          <w:rFonts w:ascii="Arial" w:eastAsia="Times New Roman" w:hAnsi="Arial" w:cs="Arial"/>
          <w:bCs/>
          <w:sz w:val="24"/>
          <w:szCs w:val="24"/>
          <w:lang w:val="en-GB"/>
        </w:rPr>
        <w:t>’</w:t>
      </w:r>
      <w:r w:rsidR="00F86B67" w:rsidRPr="00811277">
        <w:rPr>
          <w:rFonts w:ascii="Arial" w:eastAsia="Times New Roman" w:hAnsi="Arial" w:cs="Arial"/>
          <w:bCs/>
          <w:sz w:val="24"/>
          <w:szCs w:val="24"/>
          <w:lang w:val="en-GB"/>
        </w:rPr>
        <w:t xml:space="preserve">s attempt to raise the </w:t>
      </w:r>
      <w:r w:rsidR="00347BC9" w:rsidRPr="00811277">
        <w:rPr>
          <w:rFonts w:ascii="Arial" w:eastAsia="Times New Roman" w:hAnsi="Arial" w:cs="Arial"/>
          <w:bCs/>
          <w:sz w:val="24"/>
          <w:szCs w:val="24"/>
          <w:lang w:val="en-GB"/>
        </w:rPr>
        <w:t xml:space="preserve">delay as a </w:t>
      </w:r>
      <w:r w:rsidR="00F86B67" w:rsidRPr="00811277">
        <w:rPr>
          <w:rFonts w:ascii="Arial" w:eastAsia="Times New Roman" w:hAnsi="Arial" w:cs="Arial"/>
          <w:bCs/>
          <w:sz w:val="24"/>
          <w:szCs w:val="24"/>
          <w:lang w:val="en-GB"/>
        </w:rPr>
        <w:t>defence</w:t>
      </w:r>
      <w:r w:rsidR="00347BC9" w:rsidRPr="00811277">
        <w:rPr>
          <w:rFonts w:ascii="Arial" w:eastAsia="Times New Roman" w:hAnsi="Arial" w:cs="Arial"/>
          <w:bCs/>
          <w:sz w:val="24"/>
          <w:szCs w:val="24"/>
          <w:lang w:val="en-GB"/>
        </w:rPr>
        <w:t>,</w:t>
      </w:r>
      <w:r w:rsidR="00F86B67" w:rsidRPr="00811277">
        <w:rPr>
          <w:rFonts w:ascii="Arial" w:eastAsia="Times New Roman" w:hAnsi="Arial" w:cs="Arial"/>
          <w:bCs/>
          <w:sz w:val="24"/>
          <w:szCs w:val="24"/>
          <w:lang w:val="en-GB"/>
        </w:rPr>
        <w:t xml:space="preserve"> in the circumstances before it,</w:t>
      </w:r>
      <w:r w:rsidR="00347BC9" w:rsidRPr="00811277">
        <w:rPr>
          <w:rFonts w:ascii="Arial" w:eastAsia="Times New Roman" w:hAnsi="Arial" w:cs="Arial"/>
          <w:bCs/>
          <w:sz w:val="24"/>
          <w:szCs w:val="24"/>
          <w:lang w:val="en-GB"/>
        </w:rPr>
        <w:t xml:space="preserve"> was</w:t>
      </w:r>
      <w:r w:rsidR="00F86B67" w:rsidRPr="00811277">
        <w:rPr>
          <w:rFonts w:ascii="Arial" w:eastAsia="Times New Roman" w:hAnsi="Arial" w:cs="Arial"/>
          <w:bCs/>
          <w:sz w:val="24"/>
          <w:szCs w:val="24"/>
          <w:lang w:val="en-GB"/>
        </w:rPr>
        <w:t xml:space="preserve"> ‘simply not available’.</w:t>
      </w:r>
      <w:r w:rsidR="00F86B67">
        <w:rPr>
          <w:rStyle w:val="FootnoteReference"/>
          <w:rFonts w:ascii="Arial" w:eastAsia="Times New Roman" w:hAnsi="Arial" w:cs="Arial"/>
          <w:bCs/>
          <w:sz w:val="24"/>
          <w:szCs w:val="24"/>
          <w:lang w:val="en-GB"/>
        </w:rPr>
        <w:footnoteReference w:id="44"/>
      </w:r>
      <w:r w:rsidR="00F86B67" w:rsidRPr="00811277">
        <w:rPr>
          <w:rFonts w:ascii="Arial" w:eastAsia="Times New Roman" w:hAnsi="Arial" w:cs="Arial"/>
          <w:bCs/>
          <w:sz w:val="24"/>
          <w:szCs w:val="24"/>
          <w:lang w:val="en-GB"/>
        </w:rPr>
        <w:t xml:space="preserve"> </w:t>
      </w:r>
    </w:p>
    <w:p w14:paraId="46542B84" w14:textId="5763EC9D" w:rsidR="00CE772D"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50.</w:t>
      </w:r>
      <w:r>
        <w:rPr>
          <w:rFonts w:ascii="Arial" w:eastAsia="Times New Roman" w:hAnsi="Arial" w:cs="Arial"/>
          <w:bCs/>
          <w:kern w:val="0"/>
          <w:sz w:val="24"/>
          <w:szCs w:val="24"/>
          <w:lang w:val="en-GB"/>
          <w14:ligatures w14:val="none"/>
        </w:rPr>
        <w:tab/>
      </w:r>
      <w:r w:rsidR="00843009" w:rsidRPr="00811277">
        <w:rPr>
          <w:rFonts w:ascii="Arial" w:eastAsia="Times New Roman" w:hAnsi="Arial" w:cs="Arial"/>
          <w:bCs/>
          <w:sz w:val="24"/>
          <w:szCs w:val="24"/>
          <w:lang w:val="en-GB"/>
        </w:rPr>
        <w:t>T</w:t>
      </w:r>
      <w:r w:rsidR="00F86B67" w:rsidRPr="00811277">
        <w:rPr>
          <w:rFonts w:ascii="Arial" w:eastAsia="Times New Roman" w:hAnsi="Arial" w:cs="Arial"/>
          <w:bCs/>
          <w:sz w:val="24"/>
          <w:szCs w:val="24"/>
          <w:lang w:val="en-GB"/>
        </w:rPr>
        <w:t xml:space="preserve">hat brings us back to the decision of the CC in </w:t>
      </w:r>
      <w:r w:rsidR="00F86B67" w:rsidRPr="00811277">
        <w:rPr>
          <w:rFonts w:ascii="Arial" w:eastAsia="Times New Roman" w:hAnsi="Arial" w:cs="Arial"/>
          <w:bCs/>
          <w:i/>
          <w:iCs/>
          <w:sz w:val="24"/>
          <w:szCs w:val="24"/>
          <w:lang w:val="en-GB"/>
        </w:rPr>
        <w:t>Mera</w:t>
      </w:r>
      <w:r w:rsidR="00843009" w:rsidRPr="00811277">
        <w:rPr>
          <w:rFonts w:ascii="Arial" w:eastAsia="Times New Roman" w:hAnsi="Arial" w:cs="Arial"/>
          <w:bCs/>
          <w:i/>
          <w:iCs/>
          <w:sz w:val="24"/>
          <w:szCs w:val="24"/>
          <w:lang w:val="en-GB"/>
        </w:rPr>
        <w:t>fong</w:t>
      </w:r>
      <w:r w:rsidR="00843009" w:rsidRPr="00811277">
        <w:rPr>
          <w:rFonts w:ascii="Arial" w:eastAsia="Times New Roman" w:hAnsi="Arial" w:cs="Arial"/>
          <w:bCs/>
          <w:sz w:val="24"/>
          <w:szCs w:val="24"/>
          <w:lang w:val="en-GB"/>
        </w:rPr>
        <w:t>, in</w:t>
      </w:r>
      <w:r w:rsidR="00F86B67" w:rsidRPr="00811277">
        <w:rPr>
          <w:rFonts w:ascii="Arial" w:eastAsia="Times New Roman" w:hAnsi="Arial" w:cs="Arial"/>
          <w:bCs/>
          <w:sz w:val="24"/>
          <w:szCs w:val="24"/>
          <w:lang w:val="en-GB"/>
        </w:rPr>
        <w:t xml:space="preserve"> 2017. As was previously pointed out at the commencement of this discussion, the issue the CC was required to determine was whether a collateral challenge could be raised by an organ of state, and not </w:t>
      </w:r>
      <w:r w:rsidR="00C77C06" w:rsidRPr="00811277">
        <w:rPr>
          <w:rFonts w:ascii="Arial" w:eastAsia="Times New Roman" w:hAnsi="Arial" w:cs="Arial"/>
          <w:bCs/>
          <w:sz w:val="24"/>
          <w:szCs w:val="24"/>
          <w:lang w:val="en-GB"/>
        </w:rPr>
        <w:t xml:space="preserve">whether </w:t>
      </w:r>
      <w:r w:rsidR="00F86B67" w:rsidRPr="00811277">
        <w:rPr>
          <w:rFonts w:ascii="Arial" w:eastAsia="Times New Roman" w:hAnsi="Arial" w:cs="Arial"/>
          <w:bCs/>
          <w:sz w:val="24"/>
          <w:szCs w:val="24"/>
          <w:lang w:val="en-GB"/>
        </w:rPr>
        <w:t xml:space="preserve">the </w:t>
      </w:r>
      <w:r w:rsidR="00F86B67" w:rsidRPr="00811277">
        <w:rPr>
          <w:rFonts w:ascii="Arial" w:eastAsia="Times New Roman" w:hAnsi="Arial" w:cs="Arial"/>
          <w:bCs/>
          <w:i/>
          <w:iCs/>
          <w:sz w:val="24"/>
          <w:szCs w:val="24"/>
          <w:lang w:val="en-GB"/>
        </w:rPr>
        <w:t>delay</w:t>
      </w:r>
      <w:r w:rsidR="00F86B67" w:rsidRPr="00811277">
        <w:rPr>
          <w:rFonts w:ascii="Arial" w:eastAsia="Times New Roman" w:hAnsi="Arial" w:cs="Arial"/>
          <w:bCs/>
          <w:sz w:val="24"/>
          <w:szCs w:val="24"/>
          <w:lang w:val="en-GB"/>
        </w:rPr>
        <w:t xml:space="preserve"> </w:t>
      </w:r>
      <w:r w:rsidR="00347BC9" w:rsidRPr="00811277">
        <w:rPr>
          <w:rFonts w:ascii="Arial" w:eastAsia="Times New Roman" w:hAnsi="Arial" w:cs="Arial"/>
          <w:bCs/>
          <w:sz w:val="24"/>
          <w:szCs w:val="24"/>
          <w:lang w:val="en-GB"/>
        </w:rPr>
        <w:t xml:space="preserve">which was attendant </w:t>
      </w:r>
      <w:r w:rsidR="00333E14" w:rsidRPr="00811277">
        <w:rPr>
          <w:rFonts w:ascii="Arial" w:eastAsia="Times New Roman" w:hAnsi="Arial" w:cs="Arial"/>
          <w:bCs/>
          <w:sz w:val="24"/>
          <w:szCs w:val="24"/>
          <w:lang w:val="en-GB"/>
        </w:rPr>
        <w:t>thereon</w:t>
      </w:r>
      <w:r w:rsidR="00C77C06" w:rsidRPr="00811277">
        <w:rPr>
          <w:rFonts w:ascii="Arial" w:eastAsia="Times New Roman" w:hAnsi="Arial" w:cs="Arial"/>
          <w:bCs/>
          <w:sz w:val="24"/>
          <w:szCs w:val="24"/>
          <w:lang w:val="en-GB"/>
        </w:rPr>
        <w:t xml:space="preserve">, should non-suit </w:t>
      </w:r>
      <w:r w:rsidR="00333E14" w:rsidRPr="00811277">
        <w:rPr>
          <w:rFonts w:ascii="Arial" w:eastAsia="Times New Roman" w:hAnsi="Arial" w:cs="Arial"/>
          <w:bCs/>
          <w:sz w:val="24"/>
          <w:szCs w:val="24"/>
          <w:lang w:val="en-GB"/>
        </w:rPr>
        <w:t>it</w:t>
      </w:r>
      <w:r w:rsidR="00F86B67" w:rsidRPr="00811277">
        <w:rPr>
          <w:rFonts w:ascii="Arial" w:eastAsia="Times New Roman" w:hAnsi="Arial" w:cs="Arial"/>
          <w:bCs/>
          <w:sz w:val="24"/>
          <w:szCs w:val="24"/>
          <w:lang w:val="en-GB"/>
        </w:rPr>
        <w:t>.</w:t>
      </w:r>
    </w:p>
    <w:p w14:paraId="1E63A35D" w14:textId="17EC4F8D" w:rsidR="00C66503"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51.</w:t>
      </w:r>
      <w:r>
        <w:rPr>
          <w:rFonts w:ascii="Arial" w:eastAsia="Times New Roman" w:hAnsi="Arial" w:cs="Arial"/>
          <w:bCs/>
          <w:kern w:val="0"/>
          <w:sz w:val="24"/>
          <w:szCs w:val="24"/>
          <w:lang w:val="en-GB"/>
          <w14:ligatures w14:val="none"/>
        </w:rPr>
        <w:tab/>
      </w:r>
      <w:r w:rsidR="00425998" w:rsidRPr="00811277">
        <w:rPr>
          <w:rFonts w:ascii="Arial" w:eastAsia="Times New Roman" w:hAnsi="Arial" w:cs="Arial"/>
          <w:bCs/>
          <w:sz w:val="24"/>
          <w:szCs w:val="24"/>
          <w:lang w:val="en-GB"/>
        </w:rPr>
        <w:t xml:space="preserve">On this aspect the </w:t>
      </w:r>
      <w:r w:rsidR="005716C0" w:rsidRPr="00811277">
        <w:rPr>
          <w:rFonts w:ascii="Arial" w:eastAsia="Times New Roman" w:hAnsi="Arial" w:cs="Arial"/>
          <w:bCs/>
          <w:sz w:val="24"/>
          <w:szCs w:val="24"/>
          <w:lang w:val="en-GB"/>
        </w:rPr>
        <w:t>C</w:t>
      </w:r>
      <w:r w:rsidR="00425998" w:rsidRPr="00811277">
        <w:rPr>
          <w:rFonts w:ascii="Arial" w:eastAsia="Times New Roman" w:hAnsi="Arial" w:cs="Arial"/>
          <w:bCs/>
          <w:sz w:val="24"/>
          <w:szCs w:val="24"/>
          <w:lang w:val="en-GB"/>
        </w:rPr>
        <w:t xml:space="preserve">ourt held that </w:t>
      </w:r>
      <w:r w:rsidR="00C66503" w:rsidRPr="00811277">
        <w:rPr>
          <w:rFonts w:ascii="Arial" w:eastAsia="Times New Roman" w:hAnsi="Arial" w:cs="Arial"/>
          <w:bCs/>
          <w:sz w:val="24"/>
          <w:szCs w:val="24"/>
          <w:lang w:val="en-GB"/>
        </w:rPr>
        <w:t>even though collateral challenges were aimed, in the first instance, at protecting citizens from the undue exercise of state power</w:t>
      </w:r>
      <w:r w:rsidR="00C66503">
        <w:rPr>
          <w:rStyle w:val="FootnoteReference"/>
          <w:rFonts w:ascii="Arial" w:eastAsia="Times New Roman" w:hAnsi="Arial" w:cs="Arial"/>
          <w:bCs/>
          <w:sz w:val="24"/>
          <w:szCs w:val="24"/>
          <w:lang w:val="en-GB"/>
        </w:rPr>
        <w:footnoteReference w:id="45"/>
      </w:r>
      <w:r w:rsidR="00C66503" w:rsidRPr="00811277">
        <w:rPr>
          <w:rFonts w:ascii="Arial" w:eastAsia="Times New Roman" w:hAnsi="Arial" w:cs="Arial"/>
          <w:bCs/>
          <w:sz w:val="24"/>
          <w:szCs w:val="24"/>
          <w:lang w:val="en-GB"/>
        </w:rPr>
        <w:t xml:space="preserve"> there was no practical or conceptual reason to restrict their use only to such circumstances and </w:t>
      </w:r>
      <w:r w:rsidR="005716C0" w:rsidRPr="00811277">
        <w:rPr>
          <w:rFonts w:ascii="Arial" w:eastAsia="Times New Roman" w:hAnsi="Arial" w:cs="Arial"/>
          <w:bCs/>
          <w:sz w:val="24"/>
          <w:szCs w:val="24"/>
          <w:lang w:val="en-GB"/>
        </w:rPr>
        <w:t>Merafong’s</w:t>
      </w:r>
      <w:r w:rsidR="00425998" w:rsidRPr="00811277">
        <w:rPr>
          <w:rFonts w:ascii="Arial" w:eastAsia="Times New Roman" w:hAnsi="Arial" w:cs="Arial"/>
          <w:bCs/>
          <w:sz w:val="24"/>
          <w:szCs w:val="24"/>
          <w:lang w:val="en-GB"/>
        </w:rPr>
        <w:t xml:space="preserve"> status as an organ of state did not categorically exclude</w:t>
      </w:r>
      <w:r w:rsidR="005716C0" w:rsidRPr="00811277">
        <w:rPr>
          <w:rFonts w:ascii="Arial" w:eastAsia="Times New Roman" w:hAnsi="Arial" w:cs="Arial"/>
          <w:bCs/>
          <w:sz w:val="24"/>
          <w:szCs w:val="24"/>
          <w:lang w:val="en-GB"/>
        </w:rPr>
        <w:t xml:space="preserve"> it</w:t>
      </w:r>
      <w:r w:rsidR="00425998" w:rsidRPr="00811277">
        <w:rPr>
          <w:rFonts w:ascii="Arial" w:eastAsia="Times New Roman" w:hAnsi="Arial" w:cs="Arial"/>
          <w:bCs/>
          <w:sz w:val="24"/>
          <w:szCs w:val="24"/>
          <w:lang w:val="en-GB"/>
        </w:rPr>
        <w:t xml:space="preserve"> from raising a collateral challenge</w:t>
      </w:r>
      <w:r w:rsidR="00F61C00" w:rsidRPr="00811277">
        <w:rPr>
          <w:rFonts w:ascii="Arial" w:eastAsia="Times New Roman" w:hAnsi="Arial" w:cs="Arial"/>
          <w:bCs/>
          <w:sz w:val="24"/>
          <w:szCs w:val="24"/>
          <w:lang w:val="en-GB"/>
        </w:rPr>
        <w:t>.</w:t>
      </w:r>
      <w:r w:rsidR="00425998">
        <w:rPr>
          <w:rStyle w:val="FootnoteReference"/>
          <w:rFonts w:ascii="Arial" w:eastAsia="Times New Roman" w:hAnsi="Arial" w:cs="Arial"/>
          <w:bCs/>
          <w:sz w:val="24"/>
          <w:szCs w:val="24"/>
          <w:lang w:val="en-GB"/>
        </w:rPr>
        <w:footnoteReference w:id="46"/>
      </w:r>
      <w:r w:rsidR="00425998" w:rsidRPr="00811277">
        <w:rPr>
          <w:rFonts w:ascii="Arial" w:eastAsia="Times New Roman" w:hAnsi="Arial" w:cs="Arial"/>
          <w:bCs/>
          <w:sz w:val="24"/>
          <w:szCs w:val="24"/>
          <w:lang w:val="en-GB"/>
        </w:rPr>
        <w:t xml:space="preserve"> </w:t>
      </w:r>
    </w:p>
    <w:p w14:paraId="6744EE18" w14:textId="775BFB09" w:rsidR="002B06EC"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52.</w:t>
      </w:r>
      <w:r>
        <w:rPr>
          <w:rFonts w:ascii="Arial" w:eastAsia="Times New Roman" w:hAnsi="Arial" w:cs="Arial"/>
          <w:bCs/>
          <w:kern w:val="0"/>
          <w:sz w:val="24"/>
          <w:szCs w:val="24"/>
          <w:lang w:val="en-GB"/>
          <w14:ligatures w14:val="none"/>
        </w:rPr>
        <w:tab/>
      </w:r>
      <w:r w:rsidR="0085038A" w:rsidRPr="00811277">
        <w:rPr>
          <w:rFonts w:ascii="Arial" w:eastAsia="Times New Roman" w:hAnsi="Arial" w:cs="Arial"/>
          <w:bCs/>
          <w:sz w:val="24"/>
          <w:szCs w:val="24"/>
          <w:lang w:val="en-GB"/>
        </w:rPr>
        <w:t>But</w:t>
      </w:r>
      <w:r w:rsidR="00425998" w:rsidRPr="00811277">
        <w:rPr>
          <w:rFonts w:ascii="Arial" w:eastAsia="Times New Roman" w:hAnsi="Arial" w:cs="Arial"/>
          <w:bCs/>
          <w:sz w:val="24"/>
          <w:szCs w:val="24"/>
          <w:lang w:val="en-GB"/>
        </w:rPr>
        <w:t xml:space="preserve"> </w:t>
      </w:r>
      <w:r w:rsidR="00A96C85" w:rsidRPr="00811277">
        <w:rPr>
          <w:rFonts w:ascii="Arial" w:eastAsia="Times New Roman" w:hAnsi="Arial" w:cs="Arial"/>
          <w:bCs/>
          <w:sz w:val="24"/>
          <w:szCs w:val="24"/>
          <w:lang w:val="en-GB"/>
        </w:rPr>
        <w:t xml:space="preserve">Cameron J </w:t>
      </w:r>
      <w:r w:rsidR="005716C0" w:rsidRPr="00811277">
        <w:rPr>
          <w:rFonts w:ascii="Arial" w:eastAsia="Times New Roman" w:hAnsi="Arial" w:cs="Arial"/>
          <w:bCs/>
          <w:sz w:val="24"/>
          <w:szCs w:val="24"/>
          <w:lang w:val="en-GB"/>
        </w:rPr>
        <w:t>was of the view</w:t>
      </w:r>
      <w:r w:rsidR="00425998" w:rsidRPr="00811277">
        <w:rPr>
          <w:rFonts w:ascii="Arial" w:eastAsia="Times New Roman" w:hAnsi="Arial" w:cs="Arial"/>
          <w:bCs/>
          <w:sz w:val="24"/>
          <w:szCs w:val="24"/>
          <w:lang w:val="en-GB"/>
        </w:rPr>
        <w:t xml:space="preserve"> that </w:t>
      </w:r>
      <w:r w:rsidR="005716C0" w:rsidRPr="00811277">
        <w:rPr>
          <w:rFonts w:ascii="Arial" w:eastAsia="Times New Roman" w:hAnsi="Arial" w:cs="Arial"/>
          <w:bCs/>
          <w:sz w:val="24"/>
          <w:szCs w:val="24"/>
          <w:lang w:val="en-GB"/>
        </w:rPr>
        <w:t xml:space="preserve">Merafong’s </w:t>
      </w:r>
      <w:r w:rsidR="00425998" w:rsidRPr="00811277">
        <w:rPr>
          <w:rFonts w:ascii="Arial" w:eastAsia="Times New Roman" w:hAnsi="Arial" w:cs="Arial"/>
          <w:bCs/>
          <w:sz w:val="24"/>
          <w:szCs w:val="24"/>
          <w:lang w:val="en-GB"/>
        </w:rPr>
        <w:t xml:space="preserve">challenge had distinctive attributes which rendered it different from the so-called </w:t>
      </w:r>
      <w:r w:rsidR="005716C0" w:rsidRPr="00811277">
        <w:rPr>
          <w:rFonts w:ascii="Arial" w:eastAsia="Times New Roman" w:hAnsi="Arial" w:cs="Arial"/>
          <w:bCs/>
          <w:sz w:val="24"/>
          <w:szCs w:val="24"/>
          <w:lang w:val="en-GB"/>
        </w:rPr>
        <w:t>‘</w:t>
      </w:r>
      <w:r w:rsidR="00425998" w:rsidRPr="00811277">
        <w:rPr>
          <w:rFonts w:ascii="Arial" w:eastAsia="Times New Roman" w:hAnsi="Arial" w:cs="Arial"/>
          <w:bCs/>
          <w:sz w:val="24"/>
          <w:szCs w:val="24"/>
          <w:lang w:val="en-GB"/>
        </w:rPr>
        <w:t>classical</w:t>
      </w:r>
      <w:r w:rsidR="00A96C85" w:rsidRPr="00811277">
        <w:rPr>
          <w:rFonts w:ascii="Arial" w:eastAsia="Times New Roman" w:hAnsi="Arial" w:cs="Arial"/>
          <w:bCs/>
          <w:sz w:val="24"/>
          <w:szCs w:val="24"/>
          <w:lang w:val="en-GB"/>
        </w:rPr>
        <w:t>’ collateral</w:t>
      </w:r>
      <w:r w:rsidR="00425998" w:rsidRPr="00811277">
        <w:rPr>
          <w:rFonts w:ascii="Arial" w:eastAsia="Times New Roman" w:hAnsi="Arial" w:cs="Arial"/>
          <w:bCs/>
          <w:sz w:val="24"/>
          <w:szCs w:val="24"/>
          <w:lang w:val="en-GB"/>
        </w:rPr>
        <w:t xml:space="preserve"> challenge, where delay</w:t>
      </w:r>
      <w:r w:rsidR="00F94CA2" w:rsidRPr="00811277">
        <w:rPr>
          <w:rFonts w:ascii="Arial" w:eastAsia="Times New Roman" w:hAnsi="Arial" w:cs="Arial"/>
          <w:bCs/>
          <w:sz w:val="24"/>
          <w:szCs w:val="24"/>
          <w:lang w:val="en-GB"/>
        </w:rPr>
        <w:t xml:space="preserve"> </w:t>
      </w:r>
      <w:r w:rsidR="005716C0" w:rsidRPr="00811277">
        <w:rPr>
          <w:rFonts w:ascii="Arial" w:eastAsia="Times New Roman" w:hAnsi="Arial" w:cs="Arial"/>
          <w:bCs/>
          <w:sz w:val="24"/>
          <w:szCs w:val="24"/>
          <w:lang w:val="en-GB"/>
        </w:rPr>
        <w:t>‘</w:t>
      </w:r>
      <w:r w:rsidR="00425998" w:rsidRPr="00811277">
        <w:rPr>
          <w:rFonts w:ascii="Arial" w:eastAsia="Times New Roman" w:hAnsi="Arial" w:cs="Arial"/>
          <w:bCs/>
          <w:sz w:val="24"/>
          <w:szCs w:val="24"/>
          <w:lang w:val="en-GB"/>
        </w:rPr>
        <w:t>played no role</w:t>
      </w:r>
      <w:r w:rsidR="005716C0" w:rsidRPr="00811277">
        <w:rPr>
          <w:rFonts w:ascii="Arial" w:eastAsia="Times New Roman" w:hAnsi="Arial" w:cs="Arial"/>
          <w:bCs/>
          <w:sz w:val="24"/>
          <w:szCs w:val="24"/>
          <w:lang w:val="en-GB"/>
        </w:rPr>
        <w:t>’</w:t>
      </w:r>
      <w:r w:rsidR="00425998" w:rsidRPr="00811277">
        <w:rPr>
          <w:rFonts w:ascii="Arial" w:eastAsia="Times New Roman" w:hAnsi="Arial" w:cs="Arial"/>
          <w:bCs/>
          <w:sz w:val="24"/>
          <w:szCs w:val="24"/>
          <w:lang w:val="en-GB"/>
        </w:rPr>
        <w:t xml:space="preserve"> and the subject of coercive action was entitled to have the lawfulness thereof scrutinised because the rule of law required </w:t>
      </w:r>
      <w:r w:rsidR="00A96C85" w:rsidRPr="00811277">
        <w:rPr>
          <w:rFonts w:ascii="Arial" w:eastAsia="Times New Roman" w:hAnsi="Arial" w:cs="Arial"/>
          <w:bCs/>
          <w:sz w:val="24"/>
          <w:szCs w:val="24"/>
          <w:lang w:val="en-GB"/>
        </w:rPr>
        <w:t xml:space="preserve">that </w:t>
      </w:r>
      <w:r w:rsidR="00425998" w:rsidRPr="00811277">
        <w:rPr>
          <w:rFonts w:ascii="Arial" w:eastAsia="Times New Roman" w:hAnsi="Arial" w:cs="Arial"/>
          <w:bCs/>
          <w:sz w:val="24"/>
          <w:szCs w:val="24"/>
          <w:lang w:val="en-GB"/>
        </w:rPr>
        <w:t>official power should not be exercised against someone unless it was lawfully sourced.</w:t>
      </w:r>
      <w:r w:rsidR="00425998">
        <w:rPr>
          <w:rStyle w:val="FootnoteReference"/>
          <w:rFonts w:ascii="Arial" w:eastAsia="Times New Roman" w:hAnsi="Arial" w:cs="Arial"/>
          <w:bCs/>
          <w:sz w:val="24"/>
          <w:szCs w:val="24"/>
          <w:lang w:val="en-GB"/>
        </w:rPr>
        <w:footnoteReference w:id="47"/>
      </w:r>
      <w:r w:rsidR="00425998" w:rsidRPr="00811277">
        <w:rPr>
          <w:rFonts w:ascii="Arial" w:eastAsia="Times New Roman" w:hAnsi="Arial" w:cs="Arial"/>
          <w:bCs/>
          <w:sz w:val="24"/>
          <w:szCs w:val="24"/>
          <w:lang w:val="en-GB"/>
        </w:rPr>
        <w:t xml:space="preserve"> </w:t>
      </w:r>
      <w:r w:rsidR="00333E14" w:rsidRPr="00811277">
        <w:rPr>
          <w:rFonts w:ascii="Arial" w:eastAsia="Times New Roman" w:hAnsi="Arial" w:cs="Arial"/>
          <w:bCs/>
          <w:sz w:val="24"/>
          <w:szCs w:val="24"/>
          <w:lang w:val="en-GB"/>
        </w:rPr>
        <w:t>In this regard t</w:t>
      </w:r>
      <w:r w:rsidR="00425998" w:rsidRPr="00811277">
        <w:rPr>
          <w:rFonts w:ascii="Arial" w:eastAsia="Times New Roman" w:hAnsi="Arial" w:cs="Arial"/>
          <w:bCs/>
          <w:sz w:val="24"/>
          <w:szCs w:val="24"/>
          <w:lang w:val="en-GB"/>
        </w:rPr>
        <w:t xml:space="preserve">he </w:t>
      </w:r>
      <w:r w:rsidR="00A96C85" w:rsidRPr="00811277">
        <w:rPr>
          <w:rFonts w:ascii="Arial" w:eastAsia="Times New Roman" w:hAnsi="Arial" w:cs="Arial"/>
          <w:bCs/>
          <w:sz w:val="24"/>
          <w:szCs w:val="24"/>
          <w:lang w:val="en-GB"/>
        </w:rPr>
        <w:t>‘</w:t>
      </w:r>
      <w:r w:rsidR="00425998" w:rsidRPr="00811277">
        <w:rPr>
          <w:rFonts w:ascii="Arial" w:eastAsia="Times New Roman" w:hAnsi="Arial" w:cs="Arial"/>
          <w:bCs/>
          <w:sz w:val="24"/>
          <w:szCs w:val="24"/>
          <w:lang w:val="en-GB"/>
        </w:rPr>
        <w:t>virtue</w:t>
      </w:r>
      <w:r w:rsidR="00A96C85" w:rsidRPr="00811277">
        <w:rPr>
          <w:rFonts w:ascii="Arial" w:eastAsia="Times New Roman" w:hAnsi="Arial" w:cs="Arial"/>
          <w:bCs/>
          <w:sz w:val="24"/>
          <w:szCs w:val="24"/>
          <w:lang w:val="en-GB"/>
        </w:rPr>
        <w:t>’</w:t>
      </w:r>
      <w:r w:rsidR="00425998" w:rsidRPr="00811277">
        <w:rPr>
          <w:rFonts w:ascii="Arial" w:eastAsia="Times New Roman" w:hAnsi="Arial" w:cs="Arial"/>
          <w:bCs/>
          <w:sz w:val="24"/>
          <w:szCs w:val="24"/>
          <w:lang w:val="en-GB"/>
        </w:rPr>
        <w:t xml:space="preserve"> of </w:t>
      </w:r>
      <w:r w:rsidR="0085038A" w:rsidRPr="00811277">
        <w:rPr>
          <w:rFonts w:ascii="Arial" w:eastAsia="Times New Roman" w:hAnsi="Arial" w:cs="Arial"/>
          <w:bCs/>
          <w:sz w:val="24"/>
          <w:szCs w:val="24"/>
          <w:lang w:val="en-GB"/>
        </w:rPr>
        <w:t>‘</w:t>
      </w:r>
      <w:r w:rsidR="00425998" w:rsidRPr="00811277">
        <w:rPr>
          <w:rFonts w:ascii="Arial" w:eastAsia="Times New Roman" w:hAnsi="Arial" w:cs="Arial"/>
          <w:bCs/>
          <w:sz w:val="24"/>
          <w:szCs w:val="24"/>
          <w:lang w:val="en-GB"/>
        </w:rPr>
        <w:t>classical</w:t>
      </w:r>
      <w:r w:rsidR="0085038A" w:rsidRPr="00811277">
        <w:rPr>
          <w:rFonts w:ascii="Arial" w:eastAsia="Times New Roman" w:hAnsi="Arial" w:cs="Arial"/>
          <w:bCs/>
          <w:sz w:val="24"/>
          <w:szCs w:val="24"/>
          <w:lang w:val="en-GB"/>
        </w:rPr>
        <w:t>’</w:t>
      </w:r>
      <w:r w:rsidR="00425998" w:rsidRPr="00811277">
        <w:rPr>
          <w:rFonts w:ascii="Arial" w:eastAsia="Times New Roman" w:hAnsi="Arial" w:cs="Arial"/>
          <w:bCs/>
          <w:sz w:val="24"/>
          <w:szCs w:val="24"/>
          <w:lang w:val="en-GB"/>
        </w:rPr>
        <w:t xml:space="preserve"> reactive challenges lay in the fact that they provided a defence to parties who faced the enforcement of the law but never </w:t>
      </w:r>
      <w:r w:rsidR="00A96C85" w:rsidRPr="00811277">
        <w:rPr>
          <w:rFonts w:ascii="Arial" w:eastAsia="Times New Roman" w:hAnsi="Arial" w:cs="Arial"/>
          <w:bCs/>
          <w:sz w:val="24"/>
          <w:szCs w:val="24"/>
          <w:lang w:val="en-GB"/>
        </w:rPr>
        <w:t>‘</w:t>
      </w:r>
      <w:r w:rsidR="00425998" w:rsidRPr="00811277">
        <w:rPr>
          <w:rFonts w:ascii="Arial" w:eastAsia="Times New Roman" w:hAnsi="Arial" w:cs="Arial"/>
          <w:bCs/>
          <w:sz w:val="24"/>
          <w:szCs w:val="24"/>
          <w:lang w:val="en-GB"/>
        </w:rPr>
        <w:t>previously confronted</w:t>
      </w:r>
      <w:r w:rsidR="00A96C85" w:rsidRPr="00811277">
        <w:rPr>
          <w:rFonts w:ascii="Arial" w:eastAsia="Times New Roman" w:hAnsi="Arial" w:cs="Arial"/>
          <w:bCs/>
          <w:sz w:val="24"/>
          <w:szCs w:val="24"/>
          <w:lang w:val="en-GB"/>
        </w:rPr>
        <w:t xml:space="preserve"> it’</w:t>
      </w:r>
      <w:r w:rsidR="00425998" w:rsidRPr="00811277">
        <w:rPr>
          <w:rFonts w:ascii="Arial" w:eastAsia="Times New Roman" w:hAnsi="Arial" w:cs="Arial"/>
          <w:bCs/>
          <w:sz w:val="24"/>
          <w:szCs w:val="24"/>
          <w:lang w:val="en-GB"/>
        </w:rPr>
        <w:t>.</w:t>
      </w:r>
      <w:r w:rsidR="00425998">
        <w:rPr>
          <w:rStyle w:val="FootnoteReference"/>
          <w:rFonts w:ascii="Arial" w:eastAsia="Times New Roman" w:hAnsi="Arial" w:cs="Arial"/>
          <w:bCs/>
          <w:sz w:val="24"/>
          <w:szCs w:val="24"/>
          <w:lang w:val="en-GB"/>
        </w:rPr>
        <w:footnoteReference w:id="48"/>
      </w:r>
      <w:r w:rsidR="00425998" w:rsidRPr="00811277">
        <w:rPr>
          <w:rFonts w:ascii="Arial" w:eastAsia="Times New Roman" w:hAnsi="Arial" w:cs="Arial"/>
          <w:bCs/>
          <w:sz w:val="24"/>
          <w:szCs w:val="24"/>
          <w:lang w:val="en-GB"/>
        </w:rPr>
        <w:t xml:space="preserve"> </w:t>
      </w:r>
      <w:r w:rsidR="00A96C85" w:rsidRPr="00811277">
        <w:rPr>
          <w:rFonts w:ascii="Arial" w:eastAsia="Times New Roman" w:hAnsi="Arial" w:cs="Arial"/>
          <w:bCs/>
          <w:sz w:val="24"/>
          <w:szCs w:val="24"/>
          <w:lang w:val="en-GB"/>
        </w:rPr>
        <w:t xml:space="preserve">For this reason, </w:t>
      </w:r>
      <w:r w:rsidR="00425998" w:rsidRPr="00811277">
        <w:rPr>
          <w:rFonts w:ascii="Arial" w:eastAsia="Times New Roman" w:hAnsi="Arial" w:cs="Arial"/>
          <w:bCs/>
          <w:sz w:val="24"/>
          <w:szCs w:val="24"/>
          <w:lang w:val="en-GB"/>
        </w:rPr>
        <w:t xml:space="preserve">such challenges </w:t>
      </w:r>
      <w:r w:rsidR="0085038A" w:rsidRPr="00811277">
        <w:rPr>
          <w:rFonts w:ascii="Arial" w:eastAsia="Times New Roman" w:hAnsi="Arial" w:cs="Arial"/>
          <w:bCs/>
          <w:sz w:val="24"/>
          <w:szCs w:val="24"/>
          <w:lang w:val="en-GB"/>
        </w:rPr>
        <w:t>were</w:t>
      </w:r>
      <w:r w:rsidR="00425998" w:rsidRPr="00811277">
        <w:rPr>
          <w:rFonts w:ascii="Arial" w:eastAsia="Times New Roman" w:hAnsi="Arial" w:cs="Arial"/>
          <w:bCs/>
          <w:sz w:val="24"/>
          <w:szCs w:val="24"/>
          <w:lang w:val="en-GB"/>
        </w:rPr>
        <w:t xml:space="preserve"> sometimes disallowed</w:t>
      </w:r>
      <w:r w:rsidR="0085038A" w:rsidRPr="00811277">
        <w:rPr>
          <w:rFonts w:ascii="Arial" w:eastAsia="Times New Roman" w:hAnsi="Arial" w:cs="Arial"/>
          <w:bCs/>
          <w:sz w:val="24"/>
          <w:szCs w:val="24"/>
          <w:lang w:val="en-GB"/>
        </w:rPr>
        <w:t>,</w:t>
      </w:r>
      <w:r w:rsidR="00425998" w:rsidRPr="00811277">
        <w:rPr>
          <w:rFonts w:ascii="Arial" w:eastAsia="Times New Roman" w:hAnsi="Arial" w:cs="Arial"/>
          <w:bCs/>
          <w:sz w:val="24"/>
          <w:szCs w:val="24"/>
          <w:lang w:val="en-GB"/>
        </w:rPr>
        <w:t xml:space="preserve"> </w:t>
      </w:r>
      <w:r w:rsidR="00A96C85" w:rsidRPr="00811277">
        <w:rPr>
          <w:rFonts w:ascii="Arial" w:eastAsia="Times New Roman" w:hAnsi="Arial" w:cs="Arial"/>
          <w:bCs/>
          <w:sz w:val="24"/>
          <w:szCs w:val="24"/>
          <w:lang w:val="en-GB"/>
        </w:rPr>
        <w:t xml:space="preserve">in </w:t>
      </w:r>
      <w:r w:rsidR="0085038A" w:rsidRPr="00811277">
        <w:rPr>
          <w:rFonts w:ascii="Arial" w:eastAsia="Times New Roman" w:hAnsi="Arial" w:cs="Arial"/>
          <w:bCs/>
          <w:sz w:val="24"/>
          <w:szCs w:val="24"/>
          <w:lang w:val="en-GB"/>
        </w:rPr>
        <w:t>instances</w:t>
      </w:r>
      <w:r w:rsidR="00A96C85" w:rsidRPr="00811277">
        <w:rPr>
          <w:rFonts w:ascii="Arial" w:eastAsia="Times New Roman" w:hAnsi="Arial" w:cs="Arial"/>
          <w:bCs/>
          <w:sz w:val="24"/>
          <w:szCs w:val="24"/>
          <w:lang w:val="en-GB"/>
        </w:rPr>
        <w:t xml:space="preserve"> </w:t>
      </w:r>
      <w:r w:rsidR="00425998" w:rsidRPr="00811277">
        <w:rPr>
          <w:rFonts w:ascii="Arial" w:eastAsia="Times New Roman" w:hAnsi="Arial" w:cs="Arial"/>
          <w:bCs/>
          <w:sz w:val="24"/>
          <w:szCs w:val="24"/>
          <w:lang w:val="en-GB"/>
        </w:rPr>
        <w:t xml:space="preserve">where the </w:t>
      </w:r>
      <w:r w:rsidR="0085038A" w:rsidRPr="00811277">
        <w:rPr>
          <w:rFonts w:ascii="Arial" w:eastAsia="Times New Roman" w:hAnsi="Arial" w:cs="Arial"/>
          <w:bCs/>
          <w:sz w:val="24"/>
          <w:szCs w:val="24"/>
          <w:lang w:val="en-GB"/>
        </w:rPr>
        <w:t xml:space="preserve">challenging party </w:t>
      </w:r>
      <w:r w:rsidR="00425998" w:rsidRPr="00811277">
        <w:rPr>
          <w:rFonts w:ascii="Arial" w:eastAsia="Times New Roman" w:hAnsi="Arial" w:cs="Arial"/>
          <w:bCs/>
          <w:sz w:val="24"/>
          <w:szCs w:val="24"/>
          <w:lang w:val="en-GB"/>
        </w:rPr>
        <w:t>had an appeal or other remedy available and the administrative action or decision which was in dispute was ‘specifically directed’ at</w:t>
      </w:r>
      <w:r w:rsidR="0085038A" w:rsidRPr="00811277">
        <w:rPr>
          <w:rFonts w:ascii="Arial" w:eastAsia="Times New Roman" w:hAnsi="Arial" w:cs="Arial"/>
          <w:bCs/>
          <w:sz w:val="24"/>
          <w:szCs w:val="24"/>
          <w:lang w:val="en-GB"/>
        </w:rPr>
        <w:t xml:space="preserve"> </w:t>
      </w:r>
      <w:r w:rsidR="00425998" w:rsidRPr="00811277">
        <w:rPr>
          <w:rFonts w:ascii="Arial" w:eastAsia="Times New Roman" w:hAnsi="Arial" w:cs="Arial"/>
          <w:bCs/>
          <w:sz w:val="24"/>
          <w:szCs w:val="24"/>
          <w:lang w:val="en-GB"/>
        </w:rPr>
        <w:t xml:space="preserve">and </w:t>
      </w:r>
      <w:r w:rsidR="00BA0596" w:rsidRPr="00811277">
        <w:rPr>
          <w:rFonts w:ascii="Arial" w:eastAsia="Times New Roman" w:hAnsi="Arial" w:cs="Arial"/>
          <w:bCs/>
          <w:sz w:val="24"/>
          <w:szCs w:val="24"/>
          <w:lang w:val="en-GB"/>
        </w:rPr>
        <w:t>known to it</w:t>
      </w:r>
      <w:r w:rsidR="0085038A" w:rsidRPr="00811277">
        <w:rPr>
          <w:rFonts w:ascii="Arial" w:eastAsia="Times New Roman" w:hAnsi="Arial" w:cs="Arial"/>
          <w:bCs/>
          <w:sz w:val="24"/>
          <w:szCs w:val="24"/>
          <w:lang w:val="en-GB"/>
        </w:rPr>
        <w:t>,</w:t>
      </w:r>
      <w:r w:rsidR="00BA0596" w:rsidRPr="00811277">
        <w:rPr>
          <w:rFonts w:ascii="Arial" w:eastAsia="Times New Roman" w:hAnsi="Arial" w:cs="Arial"/>
          <w:bCs/>
          <w:sz w:val="24"/>
          <w:szCs w:val="24"/>
          <w:lang w:val="en-GB"/>
        </w:rPr>
        <w:t xml:space="preserve"> in contrast with </w:t>
      </w:r>
      <w:r w:rsidR="0085038A" w:rsidRPr="00811277">
        <w:rPr>
          <w:rFonts w:ascii="Arial" w:eastAsia="Times New Roman" w:hAnsi="Arial" w:cs="Arial"/>
          <w:bCs/>
          <w:sz w:val="24"/>
          <w:szCs w:val="24"/>
          <w:lang w:val="en-GB"/>
        </w:rPr>
        <w:t>instances where the</w:t>
      </w:r>
      <w:r w:rsidR="00BA0596" w:rsidRPr="00811277">
        <w:rPr>
          <w:rFonts w:ascii="Arial" w:eastAsia="Times New Roman" w:hAnsi="Arial" w:cs="Arial"/>
          <w:bCs/>
          <w:sz w:val="24"/>
          <w:szCs w:val="24"/>
          <w:lang w:val="en-GB"/>
        </w:rPr>
        <w:t xml:space="preserve"> administrative action or decision was directed </w:t>
      </w:r>
      <w:r w:rsidR="00DC4B98" w:rsidRPr="00811277">
        <w:rPr>
          <w:rFonts w:ascii="Arial" w:eastAsia="Times New Roman" w:hAnsi="Arial" w:cs="Arial"/>
          <w:bCs/>
          <w:sz w:val="24"/>
          <w:szCs w:val="24"/>
          <w:lang w:val="en-GB"/>
        </w:rPr>
        <w:t>at</w:t>
      </w:r>
      <w:r w:rsidR="00425998" w:rsidRPr="00811277">
        <w:rPr>
          <w:rFonts w:ascii="Arial" w:eastAsia="Times New Roman" w:hAnsi="Arial" w:cs="Arial"/>
          <w:bCs/>
          <w:sz w:val="24"/>
          <w:szCs w:val="24"/>
          <w:lang w:val="en-GB"/>
        </w:rPr>
        <w:t xml:space="preserve"> the ‘world at large’ </w:t>
      </w:r>
      <w:r w:rsidR="00BA0596" w:rsidRPr="00811277">
        <w:rPr>
          <w:rFonts w:ascii="Arial" w:eastAsia="Times New Roman" w:hAnsi="Arial" w:cs="Arial"/>
          <w:bCs/>
          <w:sz w:val="24"/>
          <w:szCs w:val="24"/>
          <w:lang w:val="en-GB"/>
        </w:rPr>
        <w:t xml:space="preserve">i.e. was of </w:t>
      </w:r>
      <w:r w:rsidR="00425998" w:rsidRPr="00811277">
        <w:rPr>
          <w:rFonts w:ascii="Arial" w:eastAsia="Times New Roman" w:hAnsi="Arial" w:cs="Arial"/>
          <w:bCs/>
          <w:sz w:val="24"/>
          <w:szCs w:val="24"/>
          <w:lang w:val="en-GB"/>
        </w:rPr>
        <w:t xml:space="preserve">general application </w:t>
      </w:r>
      <w:r w:rsidR="00425998" w:rsidRPr="00811277">
        <w:rPr>
          <w:rFonts w:ascii="Arial" w:eastAsia="Times New Roman" w:hAnsi="Arial" w:cs="Arial"/>
          <w:bCs/>
          <w:sz w:val="24"/>
          <w:szCs w:val="24"/>
          <w:lang w:val="en-GB"/>
        </w:rPr>
        <w:lastRenderedPageBreak/>
        <w:t xml:space="preserve">and </w:t>
      </w:r>
      <w:r w:rsidR="00BA0596" w:rsidRPr="00811277">
        <w:rPr>
          <w:rFonts w:ascii="Arial" w:eastAsia="Times New Roman" w:hAnsi="Arial" w:cs="Arial"/>
          <w:bCs/>
          <w:sz w:val="24"/>
          <w:szCs w:val="24"/>
          <w:lang w:val="en-GB"/>
        </w:rPr>
        <w:t>as such</w:t>
      </w:r>
      <w:r w:rsidR="00425998" w:rsidRPr="00811277">
        <w:rPr>
          <w:rFonts w:ascii="Arial" w:eastAsia="Times New Roman" w:hAnsi="Arial" w:cs="Arial"/>
          <w:bCs/>
          <w:sz w:val="24"/>
          <w:szCs w:val="24"/>
          <w:lang w:val="en-GB"/>
        </w:rPr>
        <w:t xml:space="preserve"> </w:t>
      </w:r>
      <w:r w:rsidR="0085038A" w:rsidRPr="00811277">
        <w:rPr>
          <w:rFonts w:ascii="Arial" w:eastAsia="Times New Roman" w:hAnsi="Arial" w:cs="Arial"/>
          <w:bCs/>
          <w:sz w:val="24"/>
          <w:szCs w:val="24"/>
          <w:lang w:val="en-GB"/>
        </w:rPr>
        <w:t xml:space="preserve">was </w:t>
      </w:r>
      <w:r w:rsidR="00425998" w:rsidRPr="00811277">
        <w:rPr>
          <w:rFonts w:ascii="Arial" w:eastAsia="Times New Roman" w:hAnsi="Arial" w:cs="Arial"/>
          <w:bCs/>
          <w:sz w:val="24"/>
          <w:szCs w:val="24"/>
          <w:lang w:val="en-GB"/>
        </w:rPr>
        <w:t>possibly unknown</w:t>
      </w:r>
      <w:r w:rsidR="00BA0596" w:rsidRPr="00811277">
        <w:rPr>
          <w:rFonts w:ascii="Arial" w:eastAsia="Times New Roman" w:hAnsi="Arial" w:cs="Arial"/>
          <w:bCs/>
          <w:sz w:val="24"/>
          <w:szCs w:val="24"/>
          <w:lang w:val="en-GB"/>
        </w:rPr>
        <w:t xml:space="preserve"> to it, in which case </w:t>
      </w:r>
      <w:r w:rsidR="00425998" w:rsidRPr="00811277">
        <w:rPr>
          <w:rFonts w:ascii="Arial" w:eastAsia="Times New Roman" w:hAnsi="Arial" w:cs="Arial"/>
          <w:bCs/>
          <w:sz w:val="24"/>
          <w:szCs w:val="24"/>
          <w:lang w:val="en-GB"/>
        </w:rPr>
        <w:t>delay could not be a disqualifying factor.</w:t>
      </w:r>
      <w:r w:rsidR="00425998">
        <w:rPr>
          <w:rStyle w:val="FootnoteReference"/>
          <w:rFonts w:ascii="Arial" w:eastAsia="Times New Roman" w:hAnsi="Arial" w:cs="Arial"/>
          <w:bCs/>
          <w:sz w:val="24"/>
          <w:szCs w:val="24"/>
          <w:lang w:val="en-GB"/>
        </w:rPr>
        <w:footnoteReference w:id="49"/>
      </w:r>
      <w:r w:rsidR="0085038A" w:rsidRPr="00811277">
        <w:rPr>
          <w:rFonts w:ascii="Arial" w:eastAsia="Times New Roman" w:hAnsi="Arial" w:cs="Arial"/>
          <w:bCs/>
          <w:sz w:val="24"/>
          <w:szCs w:val="24"/>
          <w:lang w:val="en-GB"/>
        </w:rPr>
        <w:t xml:space="preserve"> </w:t>
      </w:r>
    </w:p>
    <w:p w14:paraId="3EF67222" w14:textId="0DE28A34" w:rsidR="00F94CA2"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53.</w:t>
      </w:r>
      <w:r>
        <w:rPr>
          <w:rFonts w:ascii="Arial" w:eastAsia="Times New Roman" w:hAnsi="Arial" w:cs="Arial"/>
          <w:bCs/>
          <w:kern w:val="0"/>
          <w:sz w:val="24"/>
          <w:szCs w:val="24"/>
          <w:lang w:val="en-GB"/>
          <w14:ligatures w14:val="none"/>
        </w:rPr>
        <w:tab/>
      </w:r>
      <w:r w:rsidR="002B06EC" w:rsidRPr="00811277">
        <w:rPr>
          <w:rFonts w:ascii="Arial" w:eastAsia="Times New Roman" w:hAnsi="Arial" w:cs="Arial"/>
          <w:bCs/>
          <w:sz w:val="24"/>
          <w:szCs w:val="24"/>
          <w:lang w:val="en-GB"/>
        </w:rPr>
        <w:t>By way of examples of</w:t>
      </w:r>
      <w:r w:rsidR="0085038A" w:rsidRPr="00811277">
        <w:rPr>
          <w:rFonts w:ascii="Arial" w:eastAsia="Times New Roman" w:hAnsi="Arial" w:cs="Arial"/>
          <w:bCs/>
          <w:sz w:val="24"/>
          <w:szCs w:val="24"/>
          <w:lang w:val="en-GB"/>
        </w:rPr>
        <w:t xml:space="preserve"> </w:t>
      </w:r>
      <w:r w:rsidR="00F64EDD" w:rsidRPr="00811277">
        <w:rPr>
          <w:rFonts w:ascii="Arial" w:eastAsia="Times New Roman" w:hAnsi="Arial" w:cs="Arial"/>
          <w:bCs/>
          <w:sz w:val="24"/>
          <w:szCs w:val="24"/>
          <w:lang w:val="en-GB"/>
        </w:rPr>
        <w:t xml:space="preserve">matters where collateral challenges had been refused </w:t>
      </w:r>
      <w:r w:rsidR="00333E14" w:rsidRPr="00811277">
        <w:rPr>
          <w:rFonts w:ascii="Arial" w:eastAsia="Times New Roman" w:hAnsi="Arial" w:cs="Arial"/>
          <w:bCs/>
          <w:sz w:val="24"/>
          <w:szCs w:val="24"/>
          <w:lang w:val="en-GB"/>
        </w:rPr>
        <w:t>h</w:t>
      </w:r>
      <w:r w:rsidR="00F64EDD" w:rsidRPr="00811277">
        <w:rPr>
          <w:rFonts w:ascii="Arial" w:eastAsia="Times New Roman" w:hAnsi="Arial" w:cs="Arial"/>
          <w:bCs/>
          <w:sz w:val="24"/>
          <w:szCs w:val="24"/>
          <w:lang w:val="en-GB"/>
        </w:rPr>
        <w:t>e</w:t>
      </w:r>
      <w:r w:rsidR="0085038A" w:rsidRPr="00811277">
        <w:rPr>
          <w:rFonts w:ascii="Arial" w:eastAsia="Times New Roman" w:hAnsi="Arial" w:cs="Arial"/>
          <w:bCs/>
          <w:sz w:val="24"/>
          <w:szCs w:val="24"/>
          <w:lang w:val="en-GB"/>
        </w:rPr>
        <w:t xml:space="preserve"> referred</w:t>
      </w:r>
      <w:r w:rsidR="00D51F8C" w:rsidRPr="00811277">
        <w:rPr>
          <w:rFonts w:ascii="Arial" w:eastAsia="Times New Roman" w:hAnsi="Arial" w:cs="Arial"/>
          <w:bCs/>
          <w:sz w:val="24"/>
          <w:szCs w:val="24"/>
          <w:lang w:val="en-GB"/>
        </w:rPr>
        <w:t xml:space="preserve">, in passing, </w:t>
      </w:r>
      <w:r w:rsidR="0085038A">
        <w:rPr>
          <w:rStyle w:val="FootnoteReference"/>
          <w:rFonts w:ascii="Arial" w:eastAsia="Times New Roman" w:hAnsi="Arial" w:cs="Arial"/>
          <w:bCs/>
          <w:sz w:val="24"/>
          <w:szCs w:val="24"/>
          <w:lang w:val="en-GB"/>
        </w:rPr>
        <w:footnoteReference w:id="50"/>
      </w:r>
      <w:r w:rsidR="0085038A" w:rsidRPr="00811277">
        <w:rPr>
          <w:rFonts w:ascii="Arial" w:eastAsia="Times New Roman" w:hAnsi="Arial" w:cs="Arial"/>
          <w:bCs/>
          <w:sz w:val="24"/>
          <w:szCs w:val="24"/>
          <w:lang w:val="en-GB"/>
        </w:rPr>
        <w:t xml:space="preserve"> </w:t>
      </w:r>
      <w:r w:rsidR="002B06EC" w:rsidRPr="00811277">
        <w:rPr>
          <w:rFonts w:ascii="Arial" w:eastAsia="Times New Roman" w:hAnsi="Arial" w:cs="Arial"/>
          <w:bCs/>
          <w:sz w:val="24"/>
          <w:szCs w:val="24"/>
          <w:lang w:val="en-GB"/>
        </w:rPr>
        <w:t xml:space="preserve">to the decisions of the English Courts in </w:t>
      </w:r>
      <w:r w:rsidR="002B06EC" w:rsidRPr="00811277">
        <w:rPr>
          <w:rFonts w:ascii="Arial" w:eastAsia="Times New Roman" w:hAnsi="Arial" w:cs="Arial"/>
          <w:bCs/>
          <w:i/>
          <w:iCs/>
          <w:sz w:val="24"/>
          <w:szCs w:val="24"/>
          <w:lang w:val="en-GB"/>
        </w:rPr>
        <w:t>Quietlynn</w:t>
      </w:r>
      <w:r w:rsidR="00D51F8C" w:rsidRPr="00811277">
        <w:rPr>
          <w:rFonts w:ascii="Arial" w:eastAsia="Times New Roman" w:hAnsi="Arial" w:cs="Arial"/>
          <w:bCs/>
          <w:i/>
          <w:iCs/>
          <w:sz w:val="24"/>
          <w:szCs w:val="24"/>
          <w:lang w:val="en-GB"/>
        </w:rPr>
        <w:t xml:space="preserve"> </w:t>
      </w:r>
      <w:r w:rsidR="002B06EC">
        <w:rPr>
          <w:rStyle w:val="FootnoteReference"/>
          <w:rFonts w:ascii="Arial" w:eastAsia="Times New Roman" w:hAnsi="Arial" w:cs="Arial"/>
          <w:bCs/>
          <w:sz w:val="24"/>
          <w:szCs w:val="24"/>
          <w:lang w:val="en-GB"/>
        </w:rPr>
        <w:footnoteReference w:id="51"/>
      </w:r>
      <w:r w:rsidR="002B06EC" w:rsidRPr="00811277">
        <w:rPr>
          <w:rFonts w:ascii="Arial" w:eastAsia="Times New Roman" w:hAnsi="Arial" w:cs="Arial"/>
          <w:bCs/>
          <w:sz w:val="24"/>
          <w:szCs w:val="24"/>
          <w:lang w:val="en-GB"/>
        </w:rPr>
        <w:t xml:space="preserve"> </w:t>
      </w:r>
      <w:r w:rsidR="00B12003" w:rsidRPr="00811277">
        <w:rPr>
          <w:rFonts w:ascii="Arial" w:eastAsia="Times New Roman" w:hAnsi="Arial" w:cs="Arial"/>
          <w:bCs/>
          <w:sz w:val="24"/>
          <w:szCs w:val="24"/>
          <w:lang w:val="en-GB"/>
        </w:rPr>
        <w:t>(</w:t>
      </w:r>
      <w:r w:rsidR="002B06EC" w:rsidRPr="00811277">
        <w:rPr>
          <w:rFonts w:ascii="Arial" w:eastAsia="Times New Roman" w:hAnsi="Arial" w:cs="Arial"/>
          <w:bCs/>
          <w:sz w:val="24"/>
          <w:szCs w:val="24"/>
          <w:lang w:val="en-GB"/>
        </w:rPr>
        <w:t>which concerned a</w:t>
      </w:r>
      <w:r w:rsidR="00F473E1" w:rsidRPr="00811277">
        <w:rPr>
          <w:rFonts w:ascii="Arial" w:eastAsia="Times New Roman" w:hAnsi="Arial" w:cs="Arial"/>
          <w:bCs/>
          <w:sz w:val="24"/>
          <w:szCs w:val="24"/>
          <w:lang w:val="en-GB"/>
        </w:rPr>
        <w:t>n injunction for</w:t>
      </w:r>
      <w:r w:rsidR="002B06EC" w:rsidRPr="00811277">
        <w:rPr>
          <w:rFonts w:ascii="Arial" w:eastAsia="Times New Roman" w:hAnsi="Arial" w:cs="Arial"/>
          <w:bCs/>
          <w:sz w:val="24"/>
          <w:szCs w:val="24"/>
          <w:lang w:val="en-GB"/>
        </w:rPr>
        <w:t xml:space="preserve"> </w:t>
      </w:r>
      <w:r w:rsidR="00B12003" w:rsidRPr="00811277">
        <w:rPr>
          <w:rFonts w:ascii="Arial" w:eastAsia="Times New Roman" w:hAnsi="Arial" w:cs="Arial"/>
          <w:bCs/>
          <w:sz w:val="24"/>
          <w:szCs w:val="24"/>
          <w:lang w:val="en-GB"/>
        </w:rPr>
        <w:t xml:space="preserve">failure to </w:t>
      </w:r>
      <w:r w:rsidR="002B06EC" w:rsidRPr="00811277">
        <w:rPr>
          <w:rFonts w:ascii="Arial" w:eastAsia="Times New Roman" w:hAnsi="Arial" w:cs="Arial"/>
          <w:bCs/>
          <w:sz w:val="24"/>
          <w:szCs w:val="24"/>
          <w:lang w:val="en-GB"/>
        </w:rPr>
        <w:t>operate a ‘sex shop’</w:t>
      </w:r>
      <w:r w:rsidR="00B12003" w:rsidRPr="00811277">
        <w:rPr>
          <w:rFonts w:ascii="Arial" w:eastAsia="Times New Roman" w:hAnsi="Arial" w:cs="Arial"/>
          <w:bCs/>
          <w:sz w:val="24"/>
          <w:szCs w:val="24"/>
          <w:lang w:val="en-GB"/>
        </w:rPr>
        <w:t xml:space="preserve"> in accordance with a licence)</w:t>
      </w:r>
      <w:r w:rsidR="002B06EC" w:rsidRPr="00811277">
        <w:rPr>
          <w:rFonts w:ascii="Arial" w:eastAsia="Times New Roman" w:hAnsi="Arial" w:cs="Arial"/>
          <w:bCs/>
          <w:sz w:val="24"/>
          <w:szCs w:val="24"/>
          <w:lang w:val="en-GB"/>
        </w:rPr>
        <w:t xml:space="preserve"> and </w:t>
      </w:r>
      <w:r w:rsidR="002B06EC" w:rsidRPr="00811277">
        <w:rPr>
          <w:rFonts w:ascii="Arial" w:eastAsia="Times New Roman" w:hAnsi="Arial" w:cs="Arial"/>
          <w:bCs/>
          <w:i/>
          <w:iCs/>
          <w:sz w:val="24"/>
          <w:szCs w:val="24"/>
          <w:lang w:val="en-GB"/>
        </w:rPr>
        <w:t>Wicks</w:t>
      </w:r>
      <w:r w:rsidR="00D51F8C" w:rsidRPr="00811277">
        <w:rPr>
          <w:rFonts w:ascii="Arial" w:eastAsia="Times New Roman" w:hAnsi="Arial" w:cs="Arial"/>
          <w:bCs/>
          <w:i/>
          <w:iCs/>
          <w:sz w:val="24"/>
          <w:szCs w:val="24"/>
          <w:lang w:val="en-GB"/>
        </w:rPr>
        <w:t xml:space="preserve"> </w:t>
      </w:r>
      <w:r w:rsidR="002B06EC">
        <w:rPr>
          <w:rStyle w:val="FootnoteReference"/>
          <w:rFonts w:ascii="Arial" w:eastAsia="Times New Roman" w:hAnsi="Arial" w:cs="Arial"/>
          <w:bCs/>
          <w:sz w:val="24"/>
          <w:szCs w:val="24"/>
          <w:lang w:val="en-GB"/>
        </w:rPr>
        <w:footnoteReference w:id="52"/>
      </w:r>
      <w:r w:rsidR="00B12003" w:rsidRPr="00811277">
        <w:rPr>
          <w:rFonts w:ascii="Arial" w:eastAsia="Times New Roman" w:hAnsi="Arial" w:cs="Arial"/>
          <w:bCs/>
          <w:i/>
          <w:iCs/>
          <w:sz w:val="24"/>
          <w:szCs w:val="24"/>
          <w:lang w:val="en-GB"/>
        </w:rPr>
        <w:t xml:space="preserve"> </w:t>
      </w:r>
      <w:r w:rsidR="002B06EC" w:rsidRPr="00811277">
        <w:rPr>
          <w:rFonts w:ascii="Arial" w:eastAsia="Times New Roman" w:hAnsi="Arial" w:cs="Arial"/>
          <w:bCs/>
          <w:sz w:val="24"/>
          <w:szCs w:val="24"/>
          <w:lang w:val="en-GB"/>
        </w:rPr>
        <w:t xml:space="preserve">(which concerned a prosecution for failure to comply with a stop building enforcement notice), and the decision of </w:t>
      </w:r>
      <w:r w:rsidR="00B12003" w:rsidRPr="00811277">
        <w:rPr>
          <w:rFonts w:ascii="Arial" w:eastAsia="Times New Roman" w:hAnsi="Arial" w:cs="Arial"/>
          <w:bCs/>
          <w:sz w:val="24"/>
          <w:szCs w:val="24"/>
          <w:lang w:val="en-GB"/>
        </w:rPr>
        <w:t xml:space="preserve">our Courts in </w:t>
      </w:r>
      <w:r w:rsidR="00B12003" w:rsidRPr="00811277">
        <w:rPr>
          <w:rFonts w:ascii="Arial" w:eastAsia="Times New Roman" w:hAnsi="Arial" w:cs="Arial"/>
          <w:bCs/>
          <w:i/>
          <w:iCs/>
          <w:sz w:val="24"/>
          <w:szCs w:val="24"/>
          <w:lang w:val="en-GB"/>
        </w:rPr>
        <w:t>Khabisi</w:t>
      </w:r>
      <w:r w:rsidR="00B12003" w:rsidRPr="00811277">
        <w:rPr>
          <w:rFonts w:ascii="Arial" w:eastAsia="Times New Roman" w:hAnsi="Arial" w:cs="Arial"/>
          <w:bCs/>
          <w:sz w:val="24"/>
          <w:szCs w:val="24"/>
          <w:lang w:val="en-GB"/>
        </w:rPr>
        <w:t xml:space="preserve"> </w:t>
      </w:r>
      <w:r w:rsidR="00B12003">
        <w:rPr>
          <w:rStyle w:val="FootnoteReference"/>
          <w:rFonts w:ascii="Arial" w:eastAsia="Times New Roman" w:hAnsi="Arial" w:cs="Arial"/>
          <w:bCs/>
          <w:sz w:val="24"/>
          <w:szCs w:val="24"/>
          <w:lang w:val="en-GB"/>
        </w:rPr>
        <w:footnoteReference w:id="53"/>
      </w:r>
      <w:r w:rsidR="00B12003" w:rsidRPr="00811277">
        <w:rPr>
          <w:rFonts w:ascii="Arial" w:eastAsia="Times New Roman" w:hAnsi="Arial" w:cs="Arial"/>
          <w:bCs/>
          <w:sz w:val="24"/>
          <w:szCs w:val="24"/>
          <w:lang w:val="en-GB"/>
        </w:rPr>
        <w:t xml:space="preserve"> (which concerned a</w:t>
      </w:r>
      <w:r w:rsidR="00F473E1" w:rsidRPr="00811277">
        <w:rPr>
          <w:rFonts w:ascii="Arial" w:eastAsia="Times New Roman" w:hAnsi="Arial" w:cs="Arial"/>
          <w:bCs/>
          <w:sz w:val="24"/>
          <w:szCs w:val="24"/>
          <w:lang w:val="en-GB"/>
        </w:rPr>
        <w:t>n interdict fo</w:t>
      </w:r>
      <w:r w:rsidR="00066B64" w:rsidRPr="00811277">
        <w:rPr>
          <w:rFonts w:ascii="Arial" w:eastAsia="Times New Roman" w:hAnsi="Arial" w:cs="Arial"/>
          <w:bCs/>
          <w:sz w:val="24"/>
          <w:szCs w:val="24"/>
          <w:lang w:val="en-GB"/>
        </w:rPr>
        <w:t>r</w:t>
      </w:r>
      <w:r w:rsidR="00B12003" w:rsidRPr="00811277">
        <w:rPr>
          <w:rFonts w:ascii="Arial" w:eastAsia="Times New Roman" w:hAnsi="Arial" w:cs="Arial"/>
          <w:bCs/>
          <w:sz w:val="24"/>
          <w:szCs w:val="24"/>
          <w:lang w:val="en-GB"/>
        </w:rPr>
        <w:t xml:space="preserve"> failure to comply with compliance notices issued in terms of environmental legislation). </w:t>
      </w:r>
    </w:p>
    <w:p w14:paraId="1C4941C6" w14:textId="7BC1CE9F" w:rsidR="00FE4BA3"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54.</w:t>
      </w:r>
      <w:r>
        <w:rPr>
          <w:rFonts w:ascii="Arial" w:eastAsia="Times New Roman" w:hAnsi="Arial" w:cs="Arial"/>
          <w:bCs/>
          <w:kern w:val="0"/>
          <w:sz w:val="24"/>
          <w:szCs w:val="24"/>
          <w:lang w:val="en-GB"/>
          <w14:ligatures w14:val="none"/>
        </w:rPr>
        <w:tab/>
      </w:r>
      <w:r w:rsidR="00B12003" w:rsidRPr="00811277">
        <w:rPr>
          <w:rFonts w:ascii="Arial" w:eastAsia="Times New Roman" w:hAnsi="Arial" w:cs="Arial"/>
          <w:bCs/>
          <w:sz w:val="24"/>
          <w:szCs w:val="24"/>
          <w:lang w:val="en-GB"/>
        </w:rPr>
        <w:t>In each of these matters</w:t>
      </w:r>
      <w:r w:rsidR="00066B64" w:rsidRPr="00811277">
        <w:rPr>
          <w:rFonts w:ascii="Arial" w:eastAsia="Times New Roman" w:hAnsi="Arial" w:cs="Arial"/>
          <w:bCs/>
          <w:sz w:val="24"/>
          <w:szCs w:val="24"/>
          <w:lang w:val="en-GB"/>
        </w:rPr>
        <w:t xml:space="preserve"> the administrative decisions were specifically directed at the applicants and thus known to them and, as was said in </w:t>
      </w:r>
      <w:r w:rsidR="00066B64" w:rsidRPr="00811277">
        <w:rPr>
          <w:rFonts w:ascii="Arial" w:eastAsia="Times New Roman" w:hAnsi="Arial" w:cs="Arial"/>
          <w:bCs/>
          <w:i/>
          <w:iCs/>
          <w:sz w:val="24"/>
          <w:szCs w:val="24"/>
          <w:lang w:val="en-GB"/>
        </w:rPr>
        <w:t xml:space="preserve">Quietlynn </w:t>
      </w:r>
      <w:r w:rsidR="00066B64">
        <w:rPr>
          <w:rStyle w:val="FootnoteReference"/>
          <w:rFonts w:ascii="Arial" w:eastAsia="Times New Roman" w:hAnsi="Arial" w:cs="Arial"/>
          <w:bCs/>
          <w:sz w:val="24"/>
          <w:szCs w:val="24"/>
          <w:lang w:val="en-GB"/>
        </w:rPr>
        <w:footnoteReference w:id="54"/>
      </w:r>
      <w:r w:rsidR="00066B64" w:rsidRPr="00811277">
        <w:rPr>
          <w:rFonts w:ascii="Arial" w:eastAsia="Times New Roman" w:hAnsi="Arial" w:cs="Arial"/>
          <w:bCs/>
          <w:sz w:val="24"/>
          <w:szCs w:val="24"/>
          <w:lang w:val="en-GB"/>
        </w:rPr>
        <w:t xml:space="preserve"> they </w:t>
      </w:r>
      <w:r w:rsidR="00FE4BA3" w:rsidRPr="00811277">
        <w:rPr>
          <w:rFonts w:ascii="Arial" w:eastAsia="Times New Roman" w:hAnsi="Arial" w:cs="Arial"/>
          <w:bCs/>
          <w:sz w:val="24"/>
          <w:szCs w:val="24"/>
          <w:lang w:val="en-GB"/>
        </w:rPr>
        <w:t>had ‘</w:t>
      </w:r>
      <w:r w:rsidR="00066B64" w:rsidRPr="00811277">
        <w:rPr>
          <w:rFonts w:ascii="Arial" w:eastAsia="Times New Roman" w:hAnsi="Arial" w:cs="Arial"/>
          <w:bCs/>
          <w:sz w:val="24"/>
          <w:szCs w:val="24"/>
          <w:lang w:val="en-GB"/>
        </w:rPr>
        <w:t>clear and ample opportunity’</w:t>
      </w:r>
      <w:r w:rsidR="00066B64">
        <w:rPr>
          <w:rStyle w:val="FootnoteReference"/>
          <w:rFonts w:ascii="Arial" w:eastAsia="Times New Roman" w:hAnsi="Arial" w:cs="Arial"/>
          <w:bCs/>
          <w:sz w:val="24"/>
          <w:szCs w:val="24"/>
          <w:lang w:val="en-GB"/>
        </w:rPr>
        <w:footnoteReference w:id="55"/>
      </w:r>
      <w:r w:rsidR="00066B64" w:rsidRPr="00811277">
        <w:rPr>
          <w:rFonts w:ascii="Arial" w:eastAsia="Times New Roman" w:hAnsi="Arial" w:cs="Arial"/>
          <w:bCs/>
          <w:sz w:val="24"/>
          <w:szCs w:val="24"/>
          <w:lang w:val="en-GB"/>
        </w:rPr>
        <w:t xml:space="preserve"> to challenge their legality directly</w:t>
      </w:r>
      <w:r w:rsidR="00DC4B98" w:rsidRPr="00811277">
        <w:rPr>
          <w:rFonts w:ascii="Arial" w:eastAsia="Times New Roman" w:hAnsi="Arial" w:cs="Arial"/>
          <w:bCs/>
          <w:sz w:val="24"/>
          <w:szCs w:val="24"/>
          <w:lang w:val="en-GB"/>
        </w:rPr>
        <w:t>,</w:t>
      </w:r>
      <w:r w:rsidR="00DC4B98">
        <w:rPr>
          <w:rStyle w:val="FootnoteReference"/>
          <w:rFonts w:ascii="Arial" w:eastAsia="Times New Roman" w:hAnsi="Arial" w:cs="Arial"/>
          <w:bCs/>
          <w:sz w:val="24"/>
          <w:szCs w:val="24"/>
          <w:lang w:val="en-GB"/>
        </w:rPr>
        <w:footnoteReference w:id="56"/>
      </w:r>
      <w:r w:rsidR="00066B64" w:rsidRPr="00811277">
        <w:rPr>
          <w:rFonts w:ascii="Arial" w:eastAsia="Times New Roman" w:hAnsi="Arial" w:cs="Arial"/>
          <w:bCs/>
          <w:sz w:val="24"/>
          <w:szCs w:val="24"/>
          <w:lang w:val="en-GB"/>
        </w:rPr>
        <w:t xml:space="preserve"> prior to attempting to </w:t>
      </w:r>
      <w:r w:rsidR="00FE4BA3" w:rsidRPr="00811277">
        <w:rPr>
          <w:rFonts w:ascii="Arial" w:eastAsia="Times New Roman" w:hAnsi="Arial" w:cs="Arial"/>
          <w:bCs/>
          <w:sz w:val="24"/>
          <w:szCs w:val="24"/>
          <w:lang w:val="en-GB"/>
        </w:rPr>
        <w:t>r</w:t>
      </w:r>
      <w:r w:rsidR="00066B64" w:rsidRPr="00811277">
        <w:rPr>
          <w:rFonts w:ascii="Arial" w:eastAsia="Times New Roman" w:hAnsi="Arial" w:cs="Arial"/>
          <w:bCs/>
          <w:sz w:val="24"/>
          <w:szCs w:val="24"/>
          <w:lang w:val="en-GB"/>
        </w:rPr>
        <w:t>esist their enforcement</w:t>
      </w:r>
      <w:r w:rsidR="00FE4BA3" w:rsidRPr="00811277">
        <w:rPr>
          <w:rFonts w:ascii="Arial" w:eastAsia="Times New Roman" w:hAnsi="Arial" w:cs="Arial"/>
          <w:bCs/>
          <w:sz w:val="24"/>
          <w:szCs w:val="24"/>
          <w:lang w:val="en-GB"/>
        </w:rPr>
        <w:t xml:space="preserve"> collaterally.</w:t>
      </w:r>
      <w:r w:rsidR="00066B64" w:rsidRPr="00811277">
        <w:rPr>
          <w:rFonts w:ascii="Arial" w:eastAsia="Times New Roman" w:hAnsi="Arial" w:cs="Arial"/>
          <w:bCs/>
          <w:sz w:val="24"/>
          <w:szCs w:val="24"/>
          <w:lang w:val="en-GB"/>
        </w:rPr>
        <w:t xml:space="preserve"> </w:t>
      </w:r>
      <w:r w:rsidR="00F94CA2" w:rsidRPr="00811277">
        <w:rPr>
          <w:rFonts w:ascii="Arial" w:eastAsia="Times New Roman" w:hAnsi="Arial" w:cs="Arial"/>
          <w:bCs/>
          <w:sz w:val="24"/>
          <w:szCs w:val="24"/>
          <w:lang w:val="en-GB"/>
        </w:rPr>
        <w:t xml:space="preserve">In </w:t>
      </w:r>
      <w:r w:rsidR="00F94CA2" w:rsidRPr="00811277">
        <w:rPr>
          <w:rFonts w:ascii="Arial" w:eastAsia="Times New Roman" w:hAnsi="Arial" w:cs="Arial"/>
          <w:bCs/>
          <w:i/>
          <w:iCs/>
          <w:sz w:val="24"/>
          <w:szCs w:val="24"/>
          <w:lang w:val="en-GB"/>
        </w:rPr>
        <w:t xml:space="preserve">Tasima </w:t>
      </w:r>
      <w:r w:rsidR="00F94CA2">
        <w:rPr>
          <w:rStyle w:val="FootnoteReference"/>
          <w:rFonts w:ascii="Arial" w:eastAsia="Times New Roman" w:hAnsi="Arial" w:cs="Arial"/>
          <w:bCs/>
          <w:sz w:val="24"/>
          <w:szCs w:val="24"/>
          <w:lang w:val="en-GB"/>
        </w:rPr>
        <w:footnoteReference w:id="57"/>
      </w:r>
      <w:r w:rsidR="00F94CA2" w:rsidRPr="00811277">
        <w:rPr>
          <w:rFonts w:ascii="Arial" w:eastAsia="Times New Roman" w:hAnsi="Arial" w:cs="Arial"/>
          <w:bCs/>
          <w:sz w:val="24"/>
          <w:szCs w:val="24"/>
          <w:lang w:val="en-GB"/>
        </w:rPr>
        <w:t xml:space="preserve"> the Constitutional Court spoke of a ‘sufficient’ opportunity.</w:t>
      </w:r>
    </w:p>
    <w:p w14:paraId="2DE787BA" w14:textId="317BDDE1" w:rsidR="00333E14"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55.</w:t>
      </w:r>
      <w:r>
        <w:rPr>
          <w:rFonts w:ascii="Arial" w:eastAsia="Times New Roman" w:hAnsi="Arial" w:cs="Arial"/>
          <w:bCs/>
          <w:kern w:val="0"/>
          <w:sz w:val="24"/>
          <w:szCs w:val="24"/>
          <w:lang w:val="en-GB"/>
          <w14:ligatures w14:val="none"/>
        </w:rPr>
        <w:tab/>
      </w:r>
      <w:r w:rsidR="00DC4B98" w:rsidRPr="00811277">
        <w:rPr>
          <w:rFonts w:ascii="Arial" w:eastAsia="Times New Roman" w:hAnsi="Arial" w:cs="Arial"/>
          <w:bCs/>
          <w:sz w:val="24"/>
          <w:szCs w:val="24"/>
          <w:lang w:val="en-GB"/>
        </w:rPr>
        <w:t xml:space="preserve">In contrast to these matters, the </w:t>
      </w:r>
      <w:r w:rsidR="00660F72" w:rsidRPr="00811277">
        <w:rPr>
          <w:rFonts w:ascii="Arial" w:eastAsia="Times New Roman" w:hAnsi="Arial" w:cs="Arial"/>
          <w:bCs/>
          <w:sz w:val="24"/>
          <w:szCs w:val="24"/>
          <w:lang w:val="en-GB"/>
        </w:rPr>
        <w:t xml:space="preserve">‘classical’ collateral challenge, where it </w:t>
      </w:r>
      <w:r w:rsidR="00013A13" w:rsidRPr="00811277">
        <w:rPr>
          <w:rFonts w:ascii="Arial" w:eastAsia="Times New Roman" w:hAnsi="Arial" w:cs="Arial"/>
          <w:bCs/>
          <w:sz w:val="24"/>
          <w:szCs w:val="24"/>
          <w:lang w:val="en-GB"/>
        </w:rPr>
        <w:t>wa</w:t>
      </w:r>
      <w:r w:rsidR="00660F72" w:rsidRPr="00811277">
        <w:rPr>
          <w:rFonts w:ascii="Arial" w:eastAsia="Times New Roman" w:hAnsi="Arial" w:cs="Arial"/>
          <w:bCs/>
          <w:sz w:val="24"/>
          <w:szCs w:val="24"/>
          <w:lang w:val="en-GB"/>
        </w:rPr>
        <w:t>s sought to resist an administrative act of general application</w:t>
      </w:r>
      <w:r w:rsidR="00013A13" w:rsidRPr="00811277">
        <w:rPr>
          <w:rFonts w:ascii="Arial" w:eastAsia="Times New Roman" w:hAnsi="Arial" w:cs="Arial"/>
          <w:bCs/>
          <w:sz w:val="24"/>
          <w:szCs w:val="24"/>
          <w:lang w:val="en-GB"/>
        </w:rPr>
        <w:t>,</w:t>
      </w:r>
      <w:r w:rsidR="00660F72" w:rsidRPr="00811277">
        <w:rPr>
          <w:rFonts w:ascii="Arial" w:eastAsia="Times New Roman" w:hAnsi="Arial" w:cs="Arial"/>
          <w:bCs/>
          <w:sz w:val="24"/>
          <w:szCs w:val="24"/>
          <w:lang w:val="en-GB"/>
        </w:rPr>
        <w:t xml:space="preserve"> is the decision in </w:t>
      </w:r>
      <w:r w:rsidR="00660F72" w:rsidRPr="00811277">
        <w:rPr>
          <w:rFonts w:ascii="Arial" w:eastAsia="Times New Roman" w:hAnsi="Arial" w:cs="Arial"/>
          <w:bCs/>
          <w:i/>
          <w:iCs/>
          <w:sz w:val="24"/>
          <w:szCs w:val="24"/>
          <w:lang w:val="en-GB"/>
        </w:rPr>
        <w:t>Boddington</w:t>
      </w:r>
      <w:r w:rsidR="00F8215B" w:rsidRPr="00811277">
        <w:rPr>
          <w:rFonts w:ascii="Arial" w:eastAsia="Times New Roman" w:hAnsi="Arial" w:cs="Arial"/>
          <w:bCs/>
          <w:i/>
          <w:iCs/>
          <w:sz w:val="24"/>
          <w:szCs w:val="24"/>
          <w:lang w:val="en-GB"/>
        </w:rPr>
        <w:t>,</w:t>
      </w:r>
      <w:r w:rsidR="00660F72">
        <w:rPr>
          <w:rStyle w:val="FootnoteReference"/>
          <w:rFonts w:ascii="Arial" w:eastAsia="Times New Roman" w:hAnsi="Arial" w:cs="Arial"/>
          <w:bCs/>
          <w:sz w:val="24"/>
          <w:szCs w:val="24"/>
          <w:lang w:val="en-GB"/>
        </w:rPr>
        <w:footnoteReference w:id="58"/>
      </w:r>
      <w:r w:rsidR="00660F72" w:rsidRPr="00811277">
        <w:rPr>
          <w:rFonts w:ascii="Arial" w:eastAsia="Times New Roman" w:hAnsi="Arial" w:cs="Arial"/>
          <w:bCs/>
          <w:sz w:val="24"/>
          <w:szCs w:val="24"/>
          <w:lang w:val="en-GB"/>
        </w:rPr>
        <w:t xml:space="preserve"> </w:t>
      </w:r>
      <w:r w:rsidR="00D74FA3" w:rsidRPr="00811277">
        <w:rPr>
          <w:rFonts w:ascii="Arial" w:eastAsia="Times New Roman" w:hAnsi="Arial" w:cs="Arial"/>
          <w:bCs/>
          <w:sz w:val="24"/>
          <w:szCs w:val="24"/>
          <w:lang w:val="en-GB"/>
        </w:rPr>
        <w:t xml:space="preserve">which </w:t>
      </w:r>
      <w:r w:rsidR="00F8215B" w:rsidRPr="00811277">
        <w:rPr>
          <w:rFonts w:ascii="Arial" w:eastAsia="Times New Roman" w:hAnsi="Arial" w:cs="Arial"/>
          <w:bCs/>
          <w:sz w:val="24"/>
          <w:szCs w:val="24"/>
          <w:lang w:val="en-GB"/>
        </w:rPr>
        <w:t xml:space="preserve">was referred to by the SCA in </w:t>
      </w:r>
      <w:r w:rsidR="00F8215B" w:rsidRPr="00811277">
        <w:rPr>
          <w:rFonts w:ascii="Arial" w:eastAsia="Times New Roman" w:hAnsi="Arial" w:cs="Arial"/>
          <w:bCs/>
          <w:i/>
          <w:iCs/>
          <w:sz w:val="24"/>
          <w:szCs w:val="24"/>
          <w:lang w:val="en-GB"/>
        </w:rPr>
        <w:t>Oudekraal</w:t>
      </w:r>
      <w:r w:rsidR="00F8215B" w:rsidRPr="00811277">
        <w:rPr>
          <w:rFonts w:ascii="Arial" w:eastAsia="Times New Roman" w:hAnsi="Arial" w:cs="Arial"/>
          <w:bCs/>
          <w:sz w:val="24"/>
          <w:szCs w:val="24"/>
          <w:lang w:val="en-GB"/>
        </w:rPr>
        <w:t xml:space="preserve"> 1. It </w:t>
      </w:r>
      <w:r w:rsidR="00D74FA3" w:rsidRPr="00811277">
        <w:rPr>
          <w:rFonts w:ascii="Arial" w:eastAsia="Times New Roman" w:hAnsi="Arial" w:cs="Arial"/>
          <w:bCs/>
          <w:sz w:val="24"/>
          <w:szCs w:val="24"/>
          <w:lang w:val="en-GB"/>
        </w:rPr>
        <w:t>concerned a bylaw which allowed for the regulation of the conduct of persons on trains by the British railway authorities. The bylaw became operative</w:t>
      </w:r>
      <w:r w:rsidR="003F26DD" w:rsidRPr="00811277">
        <w:rPr>
          <w:rFonts w:ascii="Arial" w:eastAsia="Times New Roman" w:hAnsi="Arial" w:cs="Arial"/>
          <w:bCs/>
          <w:sz w:val="24"/>
          <w:szCs w:val="24"/>
          <w:lang w:val="en-GB"/>
        </w:rPr>
        <w:t xml:space="preserve"> </w:t>
      </w:r>
      <w:r w:rsidR="00F07FBB" w:rsidRPr="00811277">
        <w:rPr>
          <w:rFonts w:ascii="Arial" w:eastAsia="Times New Roman" w:hAnsi="Arial" w:cs="Arial"/>
          <w:bCs/>
          <w:sz w:val="24"/>
          <w:szCs w:val="24"/>
          <w:lang w:val="en-GB"/>
        </w:rPr>
        <w:t>sometime</w:t>
      </w:r>
      <w:r w:rsidR="003F26DD" w:rsidRPr="00811277">
        <w:rPr>
          <w:rFonts w:ascii="Arial" w:eastAsia="Times New Roman" w:hAnsi="Arial" w:cs="Arial"/>
          <w:bCs/>
          <w:sz w:val="24"/>
          <w:szCs w:val="24"/>
          <w:lang w:val="en-GB"/>
        </w:rPr>
        <w:t xml:space="preserve"> after it was brought into law</w:t>
      </w:r>
      <w:r w:rsidR="00F8215B" w:rsidRPr="00811277">
        <w:rPr>
          <w:rFonts w:ascii="Arial" w:eastAsia="Times New Roman" w:hAnsi="Arial" w:cs="Arial"/>
          <w:bCs/>
          <w:sz w:val="24"/>
          <w:szCs w:val="24"/>
          <w:lang w:val="en-GB"/>
        </w:rPr>
        <w:t>,</w:t>
      </w:r>
      <w:r w:rsidR="003F26DD" w:rsidRPr="00811277">
        <w:rPr>
          <w:rFonts w:ascii="Arial" w:eastAsia="Times New Roman" w:hAnsi="Arial" w:cs="Arial"/>
          <w:bCs/>
          <w:sz w:val="24"/>
          <w:szCs w:val="24"/>
          <w:lang w:val="en-GB"/>
        </w:rPr>
        <w:t xml:space="preserve"> as subordinate legislation</w:t>
      </w:r>
      <w:r w:rsidR="00F8215B" w:rsidRPr="00811277">
        <w:rPr>
          <w:rFonts w:ascii="Arial" w:eastAsia="Times New Roman" w:hAnsi="Arial" w:cs="Arial"/>
          <w:bCs/>
          <w:sz w:val="24"/>
          <w:szCs w:val="24"/>
          <w:lang w:val="en-GB"/>
        </w:rPr>
        <w:t>,</w:t>
      </w:r>
      <w:r w:rsidR="00D74FA3" w:rsidRPr="00811277">
        <w:rPr>
          <w:rFonts w:ascii="Arial" w:eastAsia="Times New Roman" w:hAnsi="Arial" w:cs="Arial"/>
          <w:bCs/>
          <w:sz w:val="24"/>
          <w:szCs w:val="24"/>
          <w:lang w:val="en-GB"/>
        </w:rPr>
        <w:t xml:space="preserve"> when notices were posted in trains, prohibiting smoking in all carriages.</w:t>
      </w:r>
      <w:r w:rsidR="00066B64" w:rsidRPr="00811277">
        <w:rPr>
          <w:rFonts w:ascii="Arial" w:eastAsia="Times New Roman" w:hAnsi="Arial" w:cs="Arial"/>
          <w:bCs/>
          <w:sz w:val="24"/>
          <w:szCs w:val="24"/>
          <w:lang w:val="en-GB"/>
        </w:rPr>
        <w:t xml:space="preserve"> </w:t>
      </w:r>
      <w:r w:rsidR="00D74FA3" w:rsidRPr="00811277">
        <w:rPr>
          <w:rFonts w:ascii="Arial" w:eastAsia="Times New Roman" w:hAnsi="Arial" w:cs="Arial"/>
          <w:bCs/>
          <w:sz w:val="24"/>
          <w:szCs w:val="24"/>
          <w:lang w:val="en-GB"/>
        </w:rPr>
        <w:t xml:space="preserve">When he was charged with contravening the bylaw the accused sought to raise a collateral challenge that the decision to post </w:t>
      </w:r>
      <w:r w:rsidR="00D74FA3" w:rsidRPr="00811277">
        <w:rPr>
          <w:rFonts w:ascii="Arial" w:eastAsia="Times New Roman" w:hAnsi="Arial" w:cs="Arial"/>
          <w:bCs/>
          <w:sz w:val="24"/>
          <w:szCs w:val="24"/>
          <w:lang w:val="en-GB"/>
        </w:rPr>
        <w:lastRenderedPageBreak/>
        <w:t xml:space="preserve">the notices was </w:t>
      </w:r>
      <w:r w:rsidR="00D74FA3" w:rsidRPr="00811277">
        <w:rPr>
          <w:rFonts w:ascii="Arial" w:eastAsia="Times New Roman" w:hAnsi="Arial" w:cs="Arial"/>
          <w:bCs/>
          <w:i/>
          <w:iCs/>
          <w:sz w:val="24"/>
          <w:szCs w:val="24"/>
          <w:lang w:val="en-GB"/>
        </w:rPr>
        <w:t>ultra vires</w:t>
      </w:r>
      <w:r w:rsidR="00D74FA3" w:rsidRPr="00811277">
        <w:rPr>
          <w:rFonts w:ascii="Arial" w:eastAsia="Times New Roman" w:hAnsi="Arial" w:cs="Arial"/>
          <w:bCs/>
          <w:sz w:val="24"/>
          <w:szCs w:val="24"/>
          <w:lang w:val="en-GB"/>
        </w:rPr>
        <w:t xml:space="preserve"> the authorities</w:t>
      </w:r>
      <w:r w:rsidR="00013A13" w:rsidRPr="00811277">
        <w:rPr>
          <w:rFonts w:ascii="Arial" w:eastAsia="Times New Roman" w:hAnsi="Arial" w:cs="Arial"/>
          <w:bCs/>
          <w:sz w:val="24"/>
          <w:szCs w:val="24"/>
          <w:lang w:val="en-GB"/>
        </w:rPr>
        <w:t>’</w:t>
      </w:r>
      <w:r w:rsidR="00D74FA3" w:rsidRPr="00811277">
        <w:rPr>
          <w:rFonts w:ascii="Arial" w:eastAsia="Times New Roman" w:hAnsi="Arial" w:cs="Arial"/>
          <w:bCs/>
          <w:sz w:val="24"/>
          <w:szCs w:val="24"/>
          <w:lang w:val="en-GB"/>
        </w:rPr>
        <w:t xml:space="preserve"> powers</w:t>
      </w:r>
      <w:r w:rsidR="00013A13" w:rsidRPr="00811277">
        <w:rPr>
          <w:rFonts w:ascii="Arial" w:eastAsia="Times New Roman" w:hAnsi="Arial" w:cs="Arial"/>
          <w:bCs/>
          <w:sz w:val="24"/>
          <w:szCs w:val="24"/>
          <w:lang w:val="en-GB"/>
        </w:rPr>
        <w:t>, but he was convicted by the</w:t>
      </w:r>
      <w:r w:rsidR="00D74FA3" w:rsidRPr="00811277">
        <w:rPr>
          <w:rFonts w:ascii="Arial" w:eastAsia="Times New Roman" w:hAnsi="Arial" w:cs="Arial"/>
          <w:bCs/>
          <w:sz w:val="24"/>
          <w:szCs w:val="24"/>
          <w:lang w:val="en-GB"/>
        </w:rPr>
        <w:t xml:space="preserve"> district court on the basis of existing precedent, which held that unless a bylaw was substantively, as opposed to procedurally</w:t>
      </w:r>
      <w:r w:rsidR="00210D8D" w:rsidRPr="00811277">
        <w:rPr>
          <w:rFonts w:ascii="Arial" w:eastAsia="Times New Roman" w:hAnsi="Arial" w:cs="Arial"/>
          <w:bCs/>
          <w:sz w:val="24"/>
          <w:szCs w:val="24"/>
          <w:lang w:val="en-GB"/>
        </w:rPr>
        <w:t>,</w:t>
      </w:r>
      <w:r w:rsidR="00D74FA3" w:rsidRPr="00811277">
        <w:rPr>
          <w:rFonts w:ascii="Arial" w:eastAsia="Times New Roman" w:hAnsi="Arial" w:cs="Arial"/>
          <w:bCs/>
          <w:sz w:val="24"/>
          <w:szCs w:val="24"/>
          <w:lang w:val="en-GB"/>
        </w:rPr>
        <w:t xml:space="preserve"> invalid it could not be called into question in criminal proceedings. </w:t>
      </w:r>
      <w:r w:rsidR="00013A13" w:rsidRPr="00811277">
        <w:rPr>
          <w:rFonts w:ascii="Arial" w:eastAsia="Times New Roman" w:hAnsi="Arial" w:cs="Arial"/>
          <w:bCs/>
          <w:sz w:val="24"/>
          <w:szCs w:val="24"/>
          <w:lang w:val="en-GB"/>
        </w:rPr>
        <w:t xml:space="preserve">The </w:t>
      </w:r>
      <w:r w:rsidR="00D74FA3" w:rsidRPr="00811277">
        <w:rPr>
          <w:rFonts w:ascii="Arial" w:eastAsia="Times New Roman" w:hAnsi="Arial" w:cs="Arial"/>
          <w:bCs/>
          <w:sz w:val="24"/>
          <w:szCs w:val="24"/>
          <w:lang w:val="en-GB"/>
        </w:rPr>
        <w:t xml:space="preserve">House of Lords </w:t>
      </w:r>
      <w:r w:rsidR="00210D8D" w:rsidRPr="00811277">
        <w:rPr>
          <w:rFonts w:ascii="Arial" w:eastAsia="Times New Roman" w:hAnsi="Arial" w:cs="Arial"/>
          <w:bCs/>
          <w:sz w:val="24"/>
          <w:szCs w:val="24"/>
          <w:lang w:val="en-GB"/>
        </w:rPr>
        <w:t xml:space="preserve">was of the view that collateral challenges could be raised in criminal proceedings on the grounds of both procedural and substantive invalidity and accordingly </w:t>
      </w:r>
      <w:r w:rsidR="00013A13" w:rsidRPr="00811277">
        <w:rPr>
          <w:rFonts w:ascii="Arial" w:eastAsia="Times New Roman" w:hAnsi="Arial" w:cs="Arial"/>
          <w:bCs/>
          <w:sz w:val="24"/>
          <w:szCs w:val="24"/>
          <w:lang w:val="en-GB"/>
        </w:rPr>
        <w:t xml:space="preserve">held that the existing precedent should be </w:t>
      </w:r>
      <w:r w:rsidR="00210D8D" w:rsidRPr="00811277">
        <w:rPr>
          <w:rFonts w:ascii="Arial" w:eastAsia="Times New Roman" w:hAnsi="Arial" w:cs="Arial"/>
          <w:bCs/>
          <w:sz w:val="24"/>
          <w:szCs w:val="24"/>
          <w:lang w:val="en-GB"/>
        </w:rPr>
        <w:t>overruled. It was further of the view that</w:t>
      </w:r>
      <w:r w:rsidR="00013A13" w:rsidRPr="00811277">
        <w:rPr>
          <w:rFonts w:ascii="Arial" w:eastAsia="Times New Roman" w:hAnsi="Arial" w:cs="Arial"/>
          <w:bCs/>
          <w:sz w:val="24"/>
          <w:szCs w:val="24"/>
          <w:lang w:val="en-GB"/>
        </w:rPr>
        <w:t xml:space="preserve"> the </w:t>
      </w:r>
      <w:r w:rsidR="00210D8D" w:rsidRPr="00811277">
        <w:rPr>
          <w:rFonts w:ascii="Arial" w:eastAsia="Times New Roman" w:hAnsi="Arial" w:cs="Arial"/>
          <w:bCs/>
          <w:sz w:val="24"/>
          <w:szCs w:val="24"/>
          <w:lang w:val="en-GB"/>
        </w:rPr>
        <w:t>collateral challenges</w:t>
      </w:r>
      <w:r w:rsidR="00013A13" w:rsidRPr="00811277">
        <w:rPr>
          <w:rFonts w:ascii="Arial" w:eastAsia="Times New Roman" w:hAnsi="Arial" w:cs="Arial"/>
          <w:bCs/>
          <w:sz w:val="24"/>
          <w:szCs w:val="24"/>
          <w:lang w:val="en-GB"/>
        </w:rPr>
        <w:t xml:space="preserve"> in </w:t>
      </w:r>
      <w:r w:rsidR="00013A13" w:rsidRPr="00811277">
        <w:rPr>
          <w:rFonts w:ascii="Arial" w:eastAsia="Times New Roman" w:hAnsi="Arial" w:cs="Arial"/>
          <w:bCs/>
          <w:i/>
          <w:iCs/>
          <w:sz w:val="24"/>
          <w:szCs w:val="24"/>
          <w:lang w:val="en-GB"/>
        </w:rPr>
        <w:t xml:space="preserve">Quietlynn </w:t>
      </w:r>
      <w:r w:rsidR="00013A13" w:rsidRPr="00811277">
        <w:rPr>
          <w:rFonts w:ascii="Arial" w:eastAsia="Times New Roman" w:hAnsi="Arial" w:cs="Arial"/>
          <w:bCs/>
          <w:sz w:val="24"/>
          <w:szCs w:val="24"/>
          <w:lang w:val="en-GB"/>
        </w:rPr>
        <w:t xml:space="preserve">and </w:t>
      </w:r>
      <w:r w:rsidR="00013A13" w:rsidRPr="00811277">
        <w:rPr>
          <w:rFonts w:ascii="Arial" w:eastAsia="Times New Roman" w:hAnsi="Arial" w:cs="Arial"/>
          <w:bCs/>
          <w:i/>
          <w:iCs/>
          <w:sz w:val="24"/>
          <w:szCs w:val="24"/>
          <w:lang w:val="en-GB"/>
        </w:rPr>
        <w:t>Wicks</w:t>
      </w:r>
      <w:r w:rsidR="00013A13" w:rsidRPr="00811277">
        <w:rPr>
          <w:rFonts w:ascii="Arial" w:eastAsia="Times New Roman" w:hAnsi="Arial" w:cs="Arial"/>
          <w:bCs/>
          <w:sz w:val="24"/>
          <w:szCs w:val="24"/>
          <w:lang w:val="en-GB"/>
        </w:rPr>
        <w:t xml:space="preserve"> were distinguishable as they were concerned with administrative acts which were specifically directed at defendants who had clear and ample opportunity to challenge the legality thereof, before being charged. In contrast with those matters the bylaw was of a ‘general’ character in the sense that it was directed at the ‘world at large’</w:t>
      </w:r>
      <w:r w:rsidR="00210D8D" w:rsidRPr="00811277">
        <w:rPr>
          <w:rFonts w:ascii="Arial" w:eastAsia="Times New Roman" w:hAnsi="Arial" w:cs="Arial"/>
          <w:bCs/>
          <w:sz w:val="24"/>
          <w:szCs w:val="24"/>
          <w:lang w:val="en-GB"/>
        </w:rPr>
        <w:t>,</w:t>
      </w:r>
      <w:r w:rsidR="00013A13" w:rsidRPr="00811277">
        <w:rPr>
          <w:rFonts w:ascii="Arial" w:eastAsia="Times New Roman" w:hAnsi="Arial" w:cs="Arial"/>
          <w:bCs/>
          <w:sz w:val="24"/>
          <w:szCs w:val="24"/>
          <w:lang w:val="en-GB"/>
        </w:rPr>
        <w:t xml:space="preserve"> and the first time when </w:t>
      </w:r>
      <w:r w:rsidR="00DB67B4" w:rsidRPr="00811277">
        <w:rPr>
          <w:rFonts w:ascii="Arial" w:eastAsia="Times New Roman" w:hAnsi="Arial" w:cs="Arial"/>
          <w:bCs/>
          <w:sz w:val="24"/>
          <w:szCs w:val="24"/>
          <w:lang w:val="en-GB"/>
        </w:rPr>
        <w:t>the accused</w:t>
      </w:r>
      <w:r w:rsidR="00013A13" w:rsidRPr="00811277">
        <w:rPr>
          <w:rFonts w:ascii="Arial" w:eastAsia="Times New Roman" w:hAnsi="Arial" w:cs="Arial"/>
          <w:bCs/>
          <w:sz w:val="24"/>
          <w:szCs w:val="24"/>
          <w:lang w:val="en-GB"/>
        </w:rPr>
        <w:t xml:space="preserve"> w</w:t>
      </w:r>
      <w:r w:rsidR="007D3A9F" w:rsidRPr="00811277">
        <w:rPr>
          <w:rFonts w:ascii="Arial" w:eastAsia="Times New Roman" w:hAnsi="Arial" w:cs="Arial"/>
          <w:bCs/>
          <w:sz w:val="24"/>
          <w:szCs w:val="24"/>
          <w:lang w:val="en-GB"/>
        </w:rPr>
        <w:t>as</w:t>
      </w:r>
      <w:r w:rsidR="00210D8D" w:rsidRPr="00811277">
        <w:rPr>
          <w:rFonts w:ascii="Arial" w:eastAsia="Times New Roman" w:hAnsi="Arial" w:cs="Arial"/>
          <w:bCs/>
          <w:sz w:val="24"/>
          <w:szCs w:val="24"/>
          <w:lang w:val="en-GB"/>
        </w:rPr>
        <w:t xml:space="preserve"> </w:t>
      </w:r>
      <w:r w:rsidR="00013A13" w:rsidRPr="00811277">
        <w:rPr>
          <w:rFonts w:ascii="Arial" w:eastAsia="Times New Roman" w:hAnsi="Arial" w:cs="Arial"/>
          <w:bCs/>
          <w:sz w:val="24"/>
          <w:szCs w:val="24"/>
          <w:lang w:val="en-GB"/>
        </w:rPr>
        <w:t xml:space="preserve">affected by it, </w:t>
      </w:r>
      <w:r w:rsidR="00DB67B4" w:rsidRPr="00811277">
        <w:rPr>
          <w:rFonts w:ascii="Arial" w:eastAsia="Times New Roman" w:hAnsi="Arial" w:cs="Arial"/>
          <w:bCs/>
          <w:sz w:val="24"/>
          <w:szCs w:val="24"/>
          <w:lang w:val="en-GB"/>
        </w:rPr>
        <w:t>was</w:t>
      </w:r>
      <w:r w:rsidR="00013A13" w:rsidRPr="00811277">
        <w:rPr>
          <w:rFonts w:ascii="Arial" w:eastAsia="Times New Roman" w:hAnsi="Arial" w:cs="Arial"/>
          <w:bCs/>
          <w:sz w:val="24"/>
          <w:szCs w:val="24"/>
          <w:lang w:val="en-GB"/>
        </w:rPr>
        <w:t xml:space="preserve"> when </w:t>
      </w:r>
      <w:r w:rsidR="00DB67B4" w:rsidRPr="00811277">
        <w:rPr>
          <w:rFonts w:ascii="Arial" w:eastAsia="Times New Roman" w:hAnsi="Arial" w:cs="Arial"/>
          <w:bCs/>
          <w:sz w:val="24"/>
          <w:szCs w:val="24"/>
          <w:lang w:val="en-GB"/>
        </w:rPr>
        <w:t>he</w:t>
      </w:r>
      <w:r w:rsidR="00210D8D" w:rsidRPr="00811277">
        <w:rPr>
          <w:rFonts w:ascii="Arial" w:eastAsia="Times New Roman" w:hAnsi="Arial" w:cs="Arial"/>
          <w:bCs/>
          <w:sz w:val="24"/>
          <w:szCs w:val="24"/>
          <w:lang w:val="en-GB"/>
        </w:rPr>
        <w:t xml:space="preserve"> </w:t>
      </w:r>
      <w:r w:rsidR="00013A13" w:rsidRPr="00811277">
        <w:rPr>
          <w:rFonts w:ascii="Arial" w:eastAsia="Times New Roman" w:hAnsi="Arial" w:cs="Arial"/>
          <w:bCs/>
          <w:sz w:val="24"/>
          <w:szCs w:val="24"/>
          <w:lang w:val="en-GB"/>
        </w:rPr>
        <w:t xml:space="preserve">was charged with </w:t>
      </w:r>
      <w:r w:rsidR="00210D8D" w:rsidRPr="00811277">
        <w:rPr>
          <w:rFonts w:ascii="Arial" w:eastAsia="Times New Roman" w:hAnsi="Arial" w:cs="Arial"/>
          <w:bCs/>
          <w:sz w:val="24"/>
          <w:szCs w:val="24"/>
          <w:lang w:val="en-GB"/>
        </w:rPr>
        <w:t>smoking in breach of it.</w:t>
      </w:r>
      <w:r w:rsidR="00013A13" w:rsidRPr="00811277">
        <w:rPr>
          <w:rFonts w:ascii="Arial" w:eastAsia="Times New Roman" w:hAnsi="Arial" w:cs="Arial"/>
          <w:bCs/>
          <w:sz w:val="24"/>
          <w:szCs w:val="24"/>
          <w:lang w:val="en-GB"/>
        </w:rPr>
        <w:t xml:space="preserve"> </w:t>
      </w:r>
      <w:r w:rsidR="00DB67B4" w:rsidRPr="00811277">
        <w:rPr>
          <w:rFonts w:ascii="Arial" w:eastAsia="Times New Roman" w:hAnsi="Arial" w:cs="Arial"/>
          <w:bCs/>
          <w:sz w:val="24"/>
          <w:szCs w:val="24"/>
          <w:lang w:val="en-GB"/>
        </w:rPr>
        <w:t>B</w:t>
      </w:r>
      <w:r w:rsidR="00210D8D" w:rsidRPr="00811277">
        <w:rPr>
          <w:rFonts w:ascii="Arial" w:eastAsia="Times New Roman" w:hAnsi="Arial" w:cs="Arial"/>
          <w:bCs/>
          <w:sz w:val="24"/>
          <w:szCs w:val="24"/>
          <w:lang w:val="en-GB"/>
        </w:rPr>
        <w:t>efore then</w:t>
      </w:r>
      <w:r w:rsidR="00013A13" w:rsidRPr="00811277">
        <w:rPr>
          <w:rFonts w:ascii="Arial" w:eastAsia="Times New Roman" w:hAnsi="Arial" w:cs="Arial"/>
          <w:bCs/>
          <w:sz w:val="24"/>
          <w:szCs w:val="24"/>
          <w:lang w:val="en-GB"/>
        </w:rPr>
        <w:t>, the accused had no ‘sensible opportunity’ to challenge the validity of the posting of the notices</w:t>
      </w:r>
      <w:r w:rsidR="00210D8D" w:rsidRPr="00811277">
        <w:rPr>
          <w:rFonts w:ascii="Arial" w:eastAsia="Times New Roman" w:hAnsi="Arial" w:cs="Arial"/>
          <w:bCs/>
          <w:sz w:val="24"/>
          <w:szCs w:val="24"/>
          <w:lang w:val="en-GB"/>
        </w:rPr>
        <w:t>.</w:t>
      </w:r>
    </w:p>
    <w:p w14:paraId="29B00B8F" w14:textId="201AB2A8" w:rsidR="003D7E95"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56.</w:t>
      </w:r>
      <w:r>
        <w:rPr>
          <w:rFonts w:ascii="Arial" w:eastAsia="Times New Roman" w:hAnsi="Arial" w:cs="Arial"/>
          <w:bCs/>
          <w:kern w:val="0"/>
          <w:sz w:val="24"/>
          <w:szCs w:val="24"/>
          <w:lang w:val="en-GB"/>
          <w14:ligatures w14:val="none"/>
        </w:rPr>
        <w:tab/>
      </w:r>
      <w:r w:rsidR="00D514ED" w:rsidRPr="00811277">
        <w:rPr>
          <w:rFonts w:ascii="Arial" w:eastAsia="Times New Roman" w:hAnsi="Arial" w:cs="Arial"/>
          <w:bCs/>
          <w:sz w:val="24"/>
          <w:szCs w:val="24"/>
          <w:lang w:val="en-GB"/>
        </w:rPr>
        <w:t>Cameron J was of the view that a</w:t>
      </w:r>
      <w:r w:rsidR="00F61C00" w:rsidRPr="00811277">
        <w:rPr>
          <w:rFonts w:ascii="Arial" w:eastAsia="Times New Roman" w:hAnsi="Arial" w:cs="Arial"/>
          <w:bCs/>
          <w:sz w:val="24"/>
          <w:szCs w:val="24"/>
          <w:lang w:val="en-GB"/>
        </w:rPr>
        <w:t xml:space="preserve">s </w:t>
      </w:r>
      <w:r w:rsidR="003D7E95" w:rsidRPr="00811277">
        <w:rPr>
          <w:rFonts w:ascii="Arial" w:eastAsia="Times New Roman" w:hAnsi="Arial" w:cs="Arial"/>
          <w:bCs/>
          <w:sz w:val="24"/>
          <w:szCs w:val="24"/>
          <w:lang w:val="en-GB"/>
        </w:rPr>
        <w:t xml:space="preserve">the </w:t>
      </w:r>
      <w:r w:rsidR="00F61C00" w:rsidRPr="00811277">
        <w:rPr>
          <w:rFonts w:ascii="Arial" w:eastAsia="Times New Roman" w:hAnsi="Arial" w:cs="Arial"/>
          <w:bCs/>
          <w:sz w:val="24"/>
          <w:szCs w:val="24"/>
          <w:lang w:val="en-GB"/>
        </w:rPr>
        <w:t>M</w:t>
      </w:r>
      <w:r w:rsidR="003D7E95" w:rsidRPr="00811277">
        <w:rPr>
          <w:rFonts w:ascii="Arial" w:eastAsia="Times New Roman" w:hAnsi="Arial" w:cs="Arial"/>
          <w:bCs/>
          <w:sz w:val="24"/>
          <w:szCs w:val="24"/>
          <w:lang w:val="en-GB"/>
        </w:rPr>
        <w:t>erafong municipality</w:t>
      </w:r>
      <w:r w:rsidR="00F61C00" w:rsidRPr="00811277">
        <w:rPr>
          <w:rFonts w:ascii="Arial" w:eastAsia="Times New Roman" w:hAnsi="Arial" w:cs="Arial"/>
          <w:bCs/>
          <w:sz w:val="24"/>
          <w:szCs w:val="24"/>
          <w:lang w:val="en-GB"/>
        </w:rPr>
        <w:t xml:space="preserve"> was well aware of the Minister’s decision against it, which was specifically addressed </w:t>
      </w:r>
      <w:r w:rsidR="003D7E95" w:rsidRPr="00811277">
        <w:rPr>
          <w:rFonts w:ascii="Arial" w:eastAsia="Times New Roman" w:hAnsi="Arial" w:cs="Arial"/>
          <w:bCs/>
          <w:sz w:val="24"/>
          <w:szCs w:val="24"/>
          <w:lang w:val="en-GB"/>
        </w:rPr>
        <w:t xml:space="preserve">to </w:t>
      </w:r>
      <w:r w:rsidR="00F61C00" w:rsidRPr="00811277">
        <w:rPr>
          <w:rFonts w:ascii="Arial" w:eastAsia="Times New Roman" w:hAnsi="Arial" w:cs="Arial"/>
          <w:bCs/>
          <w:sz w:val="24"/>
          <w:szCs w:val="24"/>
          <w:lang w:val="en-GB"/>
        </w:rPr>
        <w:t>it</w:t>
      </w:r>
      <w:r w:rsidR="003D7E95" w:rsidRPr="00811277">
        <w:rPr>
          <w:rFonts w:ascii="Arial" w:eastAsia="Times New Roman" w:hAnsi="Arial" w:cs="Arial"/>
          <w:bCs/>
          <w:sz w:val="24"/>
          <w:szCs w:val="24"/>
          <w:lang w:val="en-GB"/>
        </w:rPr>
        <w:t>,</w:t>
      </w:r>
      <w:r w:rsidR="00F61C00" w:rsidRPr="00811277">
        <w:rPr>
          <w:rFonts w:ascii="Arial" w:eastAsia="Times New Roman" w:hAnsi="Arial" w:cs="Arial"/>
          <w:bCs/>
          <w:sz w:val="24"/>
          <w:szCs w:val="24"/>
          <w:lang w:val="en-GB"/>
        </w:rPr>
        <w:t xml:space="preserve"> and knew that it could </w:t>
      </w:r>
      <w:r w:rsidR="003D7E95" w:rsidRPr="00811277">
        <w:rPr>
          <w:rFonts w:ascii="Arial" w:eastAsia="Times New Roman" w:hAnsi="Arial" w:cs="Arial"/>
          <w:bCs/>
          <w:sz w:val="24"/>
          <w:szCs w:val="24"/>
          <w:lang w:val="en-GB"/>
        </w:rPr>
        <w:t xml:space="preserve">be </w:t>
      </w:r>
      <w:r w:rsidR="00F61C00" w:rsidRPr="00811277">
        <w:rPr>
          <w:rFonts w:ascii="Arial" w:eastAsia="Times New Roman" w:hAnsi="Arial" w:cs="Arial"/>
          <w:bCs/>
          <w:sz w:val="24"/>
          <w:szCs w:val="24"/>
          <w:lang w:val="en-GB"/>
        </w:rPr>
        <w:t>contested, its reactive challenge was of the category that necessitated scrutiny in regard to the delay.</w:t>
      </w:r>
      <w:r w:rsidR="00F61C00">
        <w:rPr>
          <w:rStyle w:val="FootnoteReference"/>
          <w:rFonts w:ascii="Arial" w:eastAsia="Times New Roman" w:hAnsi="Arial" w:cs="Arial"/>
          <w:bCs/>
          <w:sz w:val="24"/>
          <w:szCs w:val="24"/>
          <w:lang w:val="en-GB"/>
        </w:rPr>
        <w:footnoteReference w:id="59"/>
      </w:r>
      <w:r w:rsidR="00F61C00" w:rsidRPr="00811277">
        <w:rPr>
          <w:rFonts w:ascii="Arial" w:eastAsia="Times New Roman" w:hAnsi="Arial" w:cs="Arial"/>
          <w:bCs/>
          <w:sz w:val="24"/>
          <w:szCs w:val="24"/>
          <w:lang w:val="en-GB"/>
        </w:rPr>
        <w:t xml:space="preserve"> </w:t>
      </w:r>
    </w:p>
    <w:p w14:paraId="08B99E77" w14:textId="04D1040E" w:rsidR="003D7E95"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57.</w:t>
      </w:r>
      <w:r>
        <w:rPr>
          <w:rFonts w:ascii="Arial" w:eastAsia="Times New Roman" w:hAnsi="Arial" w:cs="Arial"/>
          <w:bCs/>
          <w:kern w:val="0"/>
          <w:sz w:val="24"/>
          <w:szCs w:val="24"/>
          <w:lang w:val="en-GB"/>
          <w14:ligatures w14:val="none"/>
        </w:rPr>
        <w:tab/>
      </w:r>
      <w:r w:rsidR="003D7E95" w:rsidRPr="00811277">
        <w:rPr>
          <w:rFonts w:ascii="Arial" w:eastAsia="Times New Roman" w:hAnsi="Arial" w:cs="Arial"/>
          <w:bCs/>
          <w:sz w:val="24"/>
          <w:szCs w:val="24"/>
          <w:lang w:val="en-GB"/>
        </w:rPr>
        <w:t>A</w:t>
      </w:r>
      <w:r w:rsidR="00F61C00" w:rsidRPr="00811277">
        <w:rPr>
          <w:rFonts w:ascii="Arial" w:eastAsia="Times New Roman" w:hAnsi="Arial" w:cs="Arial"/>
          <w:bCs/>
          <w:sz w:val="24"/>
          <w:szCs w:val="24"/>
          <w:lang w:val="en-GB"/>
        </w:rPr>
        <w:t xml:space="preserve">s an organ of state it had a constitutional obligation to uphold and support the rule of law </w:t>
      </w:r>
      <w:r w:rsidR="00F61C00" w:rsidRPr="00811277">
        <w:rPr>
          <w:rFonts w:ascii="Arial" w:eastAsia="Times New Roman" w:hAnsi="Arial" w:cs="Arial"/>
          <w:bCs/>
          <w:i/>
          <w:iCs/>
          <w:sz w:val="24"/>
          <w:szCs w:val="24"/>
          <w:lang w:val="en-GB"/>
        </w:rPr>
        <w:t>int</w:t>
      </w:r>
      <w:r w:rsidR="003D7E95" w:rsidRPr="00811277">
        <w:rPr>
          <w:rFonts w:ascii="Arial" w:eastAsia="Times New Roman" w:hAnsi="Arial" w:cs="Arial"/>
          <w:bCs/>
          <w:i/>
          <w:iCs/>
          <w:sz w:val="24"/>
          <w:szCs w:val="24"/>
          <w:lang w:val="en-GB"/>
        </w:rPr>
        <w:t xml:space="preserve">er </w:t>
      </w:r>
      <w:r w:rsidR="00F61C00" w:rsidRPr="00811277">
        <w:rPr>
          <w:rFonts w:ascii="Arial" w:eastAsia="Times New Roman" w:hAnsi="Arial" w:cs="Arial"/>
          <w:bCs/>
          <w:i/>
          <w:iCs/>
          <w:sz w:val="24"/>
          <w:szCs w:val="24"/>
          <w:lang w:val="en-GB"/>
        </w:rPr>
        <w:t>alia</w:t>
      </w:r>
      <w:r w:rsidR="00F61C00" w:rsidRPr="00811277">
        <w:rPr>
          <w:rFonts w:ascii="Arial" w:eastAsia="Times New Roman" w:hAnsi="Arial" w:cs="Arial"/>
          <w:bCs/>
          <w:sz w:val="24"/>
          <w:szCs w:val="24"/>
          <w:lang w:val="en-GB"/>
        </w:rPr>
        <w:t xml:space="preserve"> by seeking redress for the unlawful actions of the state</w:t>
      </w:r>
      <w:r w:rsidR="00335021" w:rsidRPr="00811277">
        <w:rPr>
          <w:rFonts w:ascii="Arial" w:eastAsia="Times New Roman" w:hAnsi="Arial" w:cs="Arial"/>
          <w:bCs/>
          <w:sz w:val="24"/>
          <w:szCs w:val="24"/>
          <w:lang w:val="en-GB"/>
        </w:rPr>
        <w:t xml:space="preserve">, </w:t>
      </w:r>
      <w:r w:rsidR="00F61C00">
        <w:rPr>
          <w:rStyle w:val="FootnoteReference"/>
          <w:rFonts w:ascii="Arial" w:eastAsia="Times New Roman" w:hAnsi="Arial" w:cs="Arial"/>
          <w:bCs/>
          <w:sz w:val="24"/>
          <w:szCs w:val="24"/>
          <w:lang w:val="en-GB"/>
        </w:rPr>
        <w:footnoteReference w:id="60"/>
      </w:r>
      <w:r w:rsidR="00F61C00" w:rsidRPr="00811277">
        <w:rPr>
          <w:rFonts w:ascii="Arial" w:eastAsia="Times New Roman" w:hAnsi="Arial" w:cs="Arial"/>
          <w:bCs/>
          <w:sz w:val="24"/>
          <w:szCs w:val="24"/>
          <w:lang w:val="en-GB"/>
        </w:rPr>
        <w:t xml:space="preserve"> </w:t>
      </w:r>
      <w:r w:rsidR="00335021" w:rsidRPr="00811277">
        <w:rPr>
          <w:rFonts w:ascii="Arial" w:eastAsia="Times New Roman" w:hAnsi="Arial" w:cs="Arial"/>
          <w:bCs/>
          <w:sz w:val="24"/>
          <w:szCs w:val="24"/>
          <w:lang w:val="en-GB"/>
        </w:rPr>
        <w:t>and</w:t>
      </w:r>
      <w:r w:rsidR="00F61C00" w:rsidRPr="00811277">
        <w:rPr>
          <w:rFonts w:ascii="Arial" w:eastAsia="Times New Roman" w:hAnsi="Arial" w:cs="Arial"/>
          <w:bCs/>
          <w:sz w:val="24"/>
          <w:szCs w:val="24"/>
          <w:lang w:val="en-GB"/>
        </w:rPr>
        <w:t xml:space="preserve"> was </w:t>
      </w:r>
      <w:r w:rsidR="00335021" w:rsidRPr="00811277">
        <w:rPr>
          <w:rFonts w:ascii="Arial" w:eastAsia="Times New Roman" w:hAnsi="Arial" w:cs="Arial"/>
          <w:bCs/>
          <w:sz w:val="24"/>
          <w:szCs w:val="24"/>
          <w:lang w:val="en-GB"/>
        </w:rPr>
        <w:t xml:space="preserve">accordingly </w:t>
      </w:r>
      <w:r w:rsidR="00F61C00" w:rsidRPr="00811277">
        <w:rPr>
          <w:rFonts w:ascii="Arial" w:eastAsia="Times New Roman" w:hAnsi="Arial" w:cs="Arial"/>
          <w:bCs/>
          <w:sz w:val="24"/>
          <w:szCs w:val="24"/>
          <w:lang w:val="en-GB"/>
        </w:rPr>
        <w:t>obliged to institute proceedings to review the Minister’s decision without unreasonable delay. By remitting the matter to the High Court for consideration afresh M</w:t>
      </w:r>
      <w:r w:rsidR="003D7E95" w:rsidRPr="00811277">
        <w:rPr>
          <w:rFonts w:ascii="Arial" w:eastAsia="Times New Roman" w:hAnsi="Arial" w:cs="Arial"/>
          <w:bCs/>
          <w:sz w:val="24"/>
          <w:szCs w:val="24"/>
          <w:lang w:val="en-GB"/>
        </w:rPr>
        <w:t>erafong</w:t>
      </w:r>
      <w:r w:rsidR="00F61C00" w:rsidRPr="00811277">
        <w:rPr>
          <w:rFonts w:ascii="Arial" w:eastAsia="Times New Roman" w:hAnsi="Arial" w:cs="Arial"/>
          <w:bCs/>
          <w:sz w:val="24"/>
          <w:szCs w:val="24"/>
          <w:lang w:val="en-GB"/>
        </w:rPr>
        <w:t xml:space="preserve"> would have the opportunity to provide an explanation for why it had not challenge</w:t>
      </w:r>
      <w:r w:rsidR="003D7E95" w:rsidRPr="00811277">
        <w:rPr>
          <w:rFonts w:ascii="Arial" w:eastAsia="Times New Roman" w:hAnsi="Arial" w:cs="Arial"/>
          <w:bCs/>
          <w:sz w:val="24"/>
          <w:szCs w:val="24"/>
          <w:lang w:val="en-GB"/>
        </w:rPr>
        <w:t>d</w:t>
      </w:r>
      <w:r w:rsidR="00F61C00" w:rsidRPr="00811277">
        <w:rPr>
          <w:rFonts w:ascii="Arial" w:eastAsia="Times New Roman" w:hAnsi="Arial" w:cs="Arial"/>
          <w:bCs/>
          <w:sz w:val="24"/>
          <w:szCs w:val="24"/>
          <w:lang w:val="en-GB"/>
        </w:rPr>
        <w:t xml:space="preserve"> the Minister’s decision directly</w:t>
      </w:r>
      <w:r w:rsidR="003D7E95" w:rsidRPr="00811277">
        <w:rPr>
          <w:rFonts w:ascii="Arial" w:eastAsia="Times New Roman" w:hAnsi="Arial" w:cs="Arial"/>
          <w:bCs/>
          <w:sz w:val="24"/>
          <w:szCs w:val="24"/>
          <w:lang w:val="en-GB"/>
        </w:rPr>
        <w:t xml:space="preserve"> and the ‘hurdles’ of lateness and potential prejudice could be considered.</w:t>
      </w:r>
    </w:p>
    <w:p w14:paraId="3C088FAF" w14:textId="52FD37CD" w:rsidR="001436CD"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58.</w:t>
      </w:r>
      <w:r>
        <w:rPr>
          <w:rFonts w:ascii="Arial" w:eastAsia="Times New Roman" w:hAnsi="Arial" w:cs="Arial"/>
          <w:bCs/>
          <w:kern w:val="0"/>
          <w:sz w:val="24"/>
          <w:szCs w:val="24"/>
          <w:lang w:val="en-GB"/>
          <w14:ligatures w14:val="none"/>
        </w:rPr>
        <w:tab/>
      </w:r>
      <w:r w:rsidR="00335021" w:rsidRPr="00811277">
        <w:rPr>
          <w:rFonts w:ascii="Arial" w:eastAsia="Times New Roman" w:hAnsi="Arial" w:cs="Arial"/>
          <w:bCs/>
          <w:sz w:val="24"/>
          <w:szCs w:val="24"/>
          <w:lang w:val="en-GB"/>
        </w:rPr>
        <w:t>From the exposition of the decision in M</w:t>
      </w:r>
      <w:r w:rsidR="00C66D99" w:rsidRPr="00811277">
        <w:rPr>
          <w:rFonts w:ascii="Arial" w:eastAsia="Times New Roman" w:hAnsi="Arial" w:cs="Arial"/>
          <w:bCs/>
          <w:sz w:val="24"/>
          <w:szCs w:val="24"/>
          <w:lang w:val="en-GB"/>
        </w:rPr>
        <w:t>erafong</w:t>
      </w:r>
      <w:r w:rsidR="00335021" w:rsidRPr="00811277">
        <w:rPr>
          <w:rFonts w:ascii="Arial" w:eastAsia="Times New Roman" w:hAnsi="Arial" w:cs="Arial"/>
          <w:bCs/>
          <w:sz w:val="24"/>
          <w:szCs w:val="24"/>
          <w:lang w:val="en-GB"/>
        </w:rPr>
        <w:t xml:space="preserve"> it should be clear that the issue of delay is not </w:t>
      </w:r>
      <w:r w:rsidR="00C66D99" w:rsidRPr="00811277">
        <w:rPr>
          <w:rFonts w:ascii="Arial" w:eastAsia="Times New Roman" w:hAnsi="Arial" w:cs="Arial"/>
          <w:bCs/>
          <w:sz w:val="24"/>
          <w:szCs w:val="24"/>
          <w:lang w:val="en-GB"/>
        </w:rPr>
        <w:t>i</w:t>
      </w:r>
      <w:r w:rsidR="00335021" w:rsidRPr="00811277">
        <w:rPr>
          <w:rFonts w:ascii="Arial" w:eastAsia="Times New Roman" w:hAnsi="Arial" w:cs="Arial"/>
          <w:bCs/>
          <w:sz w:val="24"/>
          <w:szCs w:val="24"/>
          <w:lang w:val="en-GB"/>
        </w:rPr>
        <w:t>r</w:t>
      </w:r>
      <w:r w:rsidR="00C66D99" w:rsidRPr="00811277">
        <w:rPr>
          <w:rFonts w:ascii="Arial" w:eastAsia="Times New Roman" w:hAnsi="Arial" w:cs="Arial"/>
          <w:bCs/>
          <w:sz w:val="24"/>
          <w:szCs w:val="24"/>
          <w:lang w:val="en-GB"/>
        </w:rPr>
        <w:t>r</w:t>
      </w:r>
      <w:r w:rsidR="00335021" w:rsidRPr="00811277">
        <w:rPr>
          <w:rFonts w:ascii="Arial" w:eastAsia="Times New Roman" w:hAnsi="Arial" w:cs="Arial"/>
          <w:bCs/>
          <w:sz w:val="24"/>
          <w:szCs w:val="24"/>
          <w:lang w:val="en-GB"/>
        </w:rPr>
        <w:t>elevant to proceedings in which collateral challenges are raised</w:t>
      </w:r>
      <w:r w:rsidR="00C66D99" w:rsidRPr="00811277">
        <w:rPr>
          <w:rFonts w:ascii="Arial" w:eastAsia="Times New Roman" w:hAnsi="Arial" w:cs="Arial"/>
          <w:bCs/>
          <w:sz w:val="24"/>
          <w:szCs w:val="24"/>
          <w:lang w:val="en-GB"/>
        </w:rPr>
        <w:t xml:space="preserve"> by so-called non-state actors and it is a factor which must be considered when </w:t>
      </w:r>
      <w:r w:rsidR="00C66D99" w:rsidRPr="00811277">
        <w:rPr>
          <w:rFonts w:ascii="Arial" w:eastAsia="Times New Roman" w:hAnsi="Arial" w:cs="Arial"/>
          <w:bCs/>
          <w:sz w:val="24"/>
          <w:szCs w:val="24"/>
          <w:lang w:val="en-GB"/>
        </w:rPr>
        <w:lastRenderedPageBreak/>
        <w:t>determining whether a collateral challenge should be entertained</w:t>
      </w:r>
      <w:r w:rsidR="000E6EAB" w:rsidRPr="00811277">
        <w:rPr>
          <w:rFonts w:ascii="Arial" w:eastAsia="Times New Roman" w:hAnsi="Arial" w:cs="Arial"/>
          <w:bCs/>
          <w:sz w:val="24"/>
          <w:szCs w:val="24"/>
          <w:lang w:val="en-GB"/>
        </w:rPr>
        <w:t>, in all matters involving such challenges</w:t>
      </w:r>
      <w:r w:rsidR="00C66D99" w:rsidRPr="00811277">
        <w:rPr>
          <w:rFonts w:ascii="Arial" w:eastAsia="Times New Roman" w:hAnsi="Arial" w:cs="Arial"/>
          <w:bCs/>
          <w:sz w:val="24"/>
          <w:szCs w:val="24"/>
          <w:lang w:val="en-GB"/>
        </w:rPr>
        <w:t xml:space="preserve">. Aside from the passages of the judgment that have already been referred to </w:t>
      </w:r>
      <w:r w:rsidR="000E6EAB" w:rsidRPr="00811277">
        <w:rPr>
          <w:rFonts w:ascii="Arial" w:eastAsia="Times New Roman" w:hAnsi="Arial" w:cs="Arial"/>
          <w:bCs/>
          <w:sz w:val="24"/>
          <w:szCs w:val="24"/>
          <w:lang w:val="en-GB"/>
        </w:rPr>
        <w:t>this</w:t>
      </w:r>
      <w:r w:rsidR="00C66D99" w:rsidRPr="00811277">
        <w:rPr>
          <w:rFonts w:ascii="Arial" w:eastAsia="Times New Roman" w:hAnsi="Arial" w:cs="Arial"/>
          <w:bCs/>
          <w:sz w:val="24"/>
          <w:szCs w:val="24"/>
          <w:lang w:val="en-GB"/>
        </w:rPr>
        <w:t xml:space="preserve"> is made clear</w:t>
      </w:r>
      <w:r w:rsidR="003F3103" w:rsidRPr="00811277">
        <w:rPr>
          <w:rFonts w:ascii="Arial" w:eastAsia="Times New Roman" w:hAnsi="Arial" w:cs="Arial"/>
          <w:bCs/>
          <w:sz w:val="24"/>
          <w:szCs w:val="24"/>
          <w:lang w:val="en-GB"/>
        </w:rPr>
        <w:t xml:space="preserve"> in</w:t>
      </w:r>
      <w:r w:rsidR="00C66D99" w:rsidRPr="00811277">
        <w:rPr>
          <w:rFonts w:ascii="Arial" w:eastAsia="Times New Roman" w:hAnsi="Arial" w:cs="Arial"/>
          <w:bCs/>
          <w:sz w:val="24"/>
          <w:szCs w:val="24"/>
          <w:lang w:val="en-GB"/>
        </w:rPr>
        <w:t xml:space="preserve"> other paragraphs in Cameron J’s judgment</w:t>
      </w:r>
      <w:r w:rsidR="003F3103" w:rsidRPr="00811277">
        <w:rPr>
          <w:rFonts w:ascii="Arial" w:eastAsia="Times New Roman" w:hAnsi="Arial" w:cs="Arial"/>
          <w:bCs/>
          <w:sz w:val="24"/>
          <w:szCs w:val="24"/>
          <w:lang w:val="en-GB"/>
        </w:rPr>
        <w:t xml:space="preserve"> where</w:t>
      </w:r>
      <w:r w:rsidR="00C66D99" w:rsidRPr="00811277">
        <w:rPr>
          <w:rFonts w:ascii="Arial" w:eastAsia="Times New Roman" w:hAnsi="Arial" w:cs="Arial"/>
          <w:bCs/>
          <w:sz w:val="24"/>
          <w:szCs w:val="24"/>
          <w:lang w:val="en-GB"/>
        </w:rPr>
        <w:t xml:space="preserve"> he commented that delay, though ‘relevant’</w:t>
      </w:r>
      <w:r w:rsidR="000E6EAB" w:rsidRPr="00811277">
        <w:rPr>
          <w:rFonts w:ascii="Arial" w:eastAsia="Times New Roman" w:hAnsi="Arial" w:cs="Arial"/>
          <w:bCs/>
          <w:sz w:val="24"/>
          <w:szCs w:val="24"/>
          <w:lang w:val="en-GB"/>
        </w:rPr>
        <w:t>,</w:t>
      </w:r>
      <w:r w:rsidR="00C66D99" w:rsidRPr="00811277">
        <w:rPr>
          <w:rFonts w:ascii="Arial" w:eastAsia="Times New Roman" w:hAnsi="Arial" w:cs="Arial"/>
          <w:bCs/>
          <w:sz w:val="24"/>
          <w:szCs w:val="24"/>
          <w:lang w:val="en-GB"/>
        </w:rPr>
        <w:t xml:space="preserve"> may not be ‘conclusive’ in a collateral challenge matter</w:t>
      </w:r>
      <w:r w:rsidR="000E6EAB" w:rsidRPr="00811277">
        <w:rPr>
          <w:rFonts w:ascii="Arial" w:eastAsia="Times New Roman" w:hAnsi="Arial" w:cs="Arial"/>
          <w:bCs/>
          <w:sz w:val="24"/>
          <w:szCs w:val="24"/>
          <w:lang w:val="en-GB"/>
        </w:rPr>
        <w:t xml:space="preserve"> </w:t>
      </w:r>
      <w:r w:rsidR="00C66D99">
        <w:rPr>
          <w:rStyle w:val="FootnoteReference"/>
          <w:rFonts w:ascii="Arial" w:eastAsia="Times New Roman" w:hAnsi="Arial" w:cs="Arial"/>
          <w:bCs/>
          <w:sz w:val="24"/>
          <w:szCs w:val="24"/>
          <w:lang w:val="en-GB"/>
        </w:rPr>
        <w:footnoteReference w:id="61"/>
      </w:r>
      <w:r w:rsidR="00C66D99" w:rsidRPr="00811277">
        <w:rPr>
          <w:rFonts w:ascii="Arial" w:eastAsia="Times New Roman" w:hAnsi="Arial" w:cs="Arial"/>
          <w:bCs/>
          <w:sz w:val="24"/>
          <w:szCs w:val="24"/>
          <w:lang w:val="en-GB"/>
        </w:rPr>
        <w:t xml:space="preserve"> </w:t>
      </w:r>
      <w:r w:rsidR="000E6EAB" w:rsidRPr="00811277">
        <w:rPr>
          <w:rFonts w:ascii="Arial" w:eastAsia="Times New Roman" w:hAnsi="Arial" w:cs="Arial"/>
          <w:bCs/>
          <w:sz w:val="24"/>
          <w:szCs w:val="24"/>
          <w:lang w:val="en-GB"/>
        </w:rPr>
        <w:t xml:space="preserve">and </w:t>
      </w:r>
      <w:r w:rsidR="00C66D99" w:rsidRPr="00811277">
        <w:rPr>
          <w:rFonts w:ascii="Arial" w:eastAsia="Times New Roman" w:hAnsi="Arial" w:cs="Arial"/>
          <w:bCs/>
          <w:sz w:val="24"/>
          <w:szCs w:val="24"/>
          <w:lang w:val="en-GB"/>
        </w:rPr>
        <w:t xml:space="preserve">there </w:t>
      </w:r>
      <w:r w:rsidR="000E6EAB" w:rsidRPr="00811277">
        <w:rPr>
          <w:rFonts w:ascii="Arial" w:eastAsia="Times New Roman" w:hAnsi="Arial" w:cs="Arial"/>
          <w:bCs/>
          <w:sz w:val="24"/>
          <w:szCs w:val="24"/>
          <w:lang w:val="en-GB"/>
        </w:rPr>
        <w:t>is</w:t>
      </w:r>
      <w:r w:rsidR="00C66D99" w:rsidRPr="00811277">
        <w:rPr>
          <w:rFonts w:ascii="Arial" w:eastAsia="Times New Roman" w:hAnsi="Arial" w:cs="Arial"/>
          <w:bCs/>
          <w:sz w:val="24"/>
          <w:szCs w:val="24"/>
          <w:lang w:val="en-GB"/>
        </w:rPr>
        <w:t xml:space="preserve"> a range </w:t>
      </w:r>
      <w:r w:rsidR="000E6EAB" w:rsidRPr="00811277">
        <w:rPr>
          <w:rFonts w:ascii="Arial" w:eastAsia="Times New Roman" w:hAnsi="Arial" w:cs="Arial"/>
          <w:bCs/>
          <w:sz w:val="24"/>
          <w:szCs w:val="24"/>
          <w:lang w:val="en-GB"/>
        </w:rPr>
        <w:t>in such matters</w:t>
      </w:r>
      <w:r w:rsidR="00C66D99" w:rsidRPr="00811277">
        <w:rPr>
          <w:rFonts w:ascii="Arial" w:eastAsia="Times New Roman" w:hAnsi="Arial" w:cs="Arial"/>
          <w:bCs/>
          <w:sz w:val="24"/>
          <w:szCs w:val="24"/>
          <w:lang w:val="en-GB"/>
        </w:rPr>
        <w:t>: in some</w:t>
      </w:r>
      <w:r w:rsidR="003F3103" w:rsidRPr="00811277">
        <w:rPr>
          <w:rFonts w:ascii="Arial" w:eastAsia="Times New Roman" w:hAnsi="Arial" w:cs="Arial"/>
          <w:bCs/>
          <w:sz w:val="24"/>
          <w:szCs w:val="24"/>
          <w:lang w:val="en-GB"/>
        </w:rPr>
        <w:t xml:space="preserve"> of them</w:t>
      </w:r>
      <w:r w:rsidR="00C66D99" w:rsidRPr="00811277">
        <w:rPr>
          <w:rFonts w:ascii="Arial" w:eastAsia="Times New Roman" w:hAnsi="Arial" w:cs="Arial"/>
          <w:bCs/>
          <w:sz w:val="24"/>
          <w:szCs w:val="24"/>
          <w:lang w:val="en-GB"/>
        </w:rPr>
        <w:t xml:space="preserve"> delay will be ‘axiomatically irrelevant’ whilst in others it ‘</w:t>
      </w:r>
      <w:r w:rsidR="000E6EAB" w:rsidRPr="00811277">
        <w:rPr>
          <w:rFonts w:ascii="Arial" w:eastAsia="Times New Roman" w:hAnsi="Arial" w:cs="Arial"/>
          <w:bCs/>
          <w:sz w:val="24"/>
          <w:szCs w:val="24"/>
          <w:lang w:val="en-GB"/>
        </w:rPr>
        <w:t>counts</w:t>
      </w:r>
      <w:r w:rsidR="00C66D99" w:rsidRPr="00811277">
        <w:rPr>
          <w:rFonts w:ascii="Arial" w:eastAsia="Times New Roman" w:hAnsi="Arial" w:cs="Arial"/>
          <w:bCs/>
          <w:sz w:val="24"/>
          <w:szCs w:val="24"/>
          <w:lang w:val="en-GB"/>
        </w:rPr>
        <w:t>.</w:t>
      </w:r>
      <w:r w:rsidR="00C66D99">
        <w:rPr>
          <w:rStyle w:val="FootnoteReference"/>
          <w:rFonts w:ascii="Arial" w:eastAsia="Times New Roman" w:hAnsi="Arial" w:cs="Arial"/>
          <w:bCs/>
          <w:sz w:val="24"/>
          <w:szCs w:val="24"/>
          <w:lang w:val="en-GB"/>
        </w:rPr>
        <w:footnoteReference w:id="62"/>
      </w:r>
    </w:p>
    <w:p w14:paraId="37AE9755" w14:textId="41F63A50" w:rsidR="00D122DD"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59.</w:t>
      </w:r>
      <w:r>
        <w:rPr>
          <w:rFonts w:ascii="Arial" w:eastAsia="Times New Roman" w:hAnsi="Arial" w:cs="Arial"/>
          <w:bCs/>
          <w:kern w:val="0"/>
          <w:sz w:val="24"/>
          <w:szCs w:val="24"/>
          <w:lang w:val="en-GB"/>
          <w14:ligatures w14:val="none"/>
        </w:rPr>
        <w:tab/>
      </w:r>
      <w:r w:rsidR="00B875DF" w:rsidRPr="00811277">
        <w:rPr>
          <w:rFonts w:ascii="Arial" w:eastAsia="Times New Roman" w:hAnsi="Arial" w:cs="Arial"/>
          <w:bCs/>
          <w:sz w:val="24"/>
          <w:szCs w:val="24"/>
          <w:lang w:val="en-GB"/>
        </w:rPr>
        <w:t xml:space="preserve">Following on its decision in </w:t>
      </w:r>
      <w:r w:rsidR="00B875DF" w:rsidRPr="00811277">
        <w:rPr>
          <w:rFonts w:ascii="Arial" w:eastAsia="Times New Roman" w:hAnsi="Arial" w:cs="Arial"/>
          <w:bCs/>
          <w:i/>
          <w:iCs/>
          <w:sz w:val="24"/>
          <w:szCs w:val="24"/>
          <w:lang w:val="en-GB"/>
        </w:rPr>
        <w:t xml:space="preserve">Merafong </w:t>
      </w:r>
      <w:r w:rsidR="00B875DF" w:rsidRPr="00811277">
        <w:rPr>
          <w:rFonts w:ascii="Arial" w:eastAsia="Times New Roman" w:hAnsi="Arial" w:cs="Arial"/>
          <w:bCs/>
          <w:sz w:val="24"/>
          <w:szCs w:val="24"/>
          <w:lang w:val="en-GB"/>
        </w:rPr>
        <w:t xml:space="preserve">in 2017 the Constitutional Court </w:t>
      </w:r>
      <w:r w:rsidR="00344F2D" w:rsidRPr="00811277">
        <w:rPr>
          <w:rFonts w:ascii="Arial" w:eastAsia="Times New Roman" w:hAnsi="Arial" w:cs="Arial"/>
          <w:bCs/>
          <w:sz w:val="24"/>
          <w:szCs w:val="24"/>
          <w:lang w:val="en-GB"/>
        </w:rPr>
        <w:t>again</w:t>
      </w:r>
      <w:r w:rsidR="00B875DF" w:rsidRPr="00811277">
        <w:rPr>
          <w:rFonts w:ascii="Arial" w:eastAsia="Times New Roman" w:hAnsi="Arial" w:cs="Arial"/>
          <w:bCs/>
          <w:sz w:val="24"/>
          <w:szCs w:val="24"/>
          <w:lang w:val="en-GB"/>
        </w:rPr>
        <w:t xml:space="preserve"> had occasion, in several matters which it heard between 2018 and 2019, to consider the issue and effect of delay in the bringing of collateral challenges, and extended the range and ambit </w:t>
      </w:r>
      <w:r w:rsidR="00344F2D" w:rsidRPr="00811277">
        <w:rPr>
          <w:rFonts w:ascii="Arial" w:eastAsia="Times New Roman" w:hAnsi="Arial" w:cs="Arial"/>
          <w:bCs/>
          <w:sz w:val="24"/>
          <w:szCs w:val="24"/>
          <w:lang w:val="en-GB"/>
        </w:rPr>
        <w:t>there</w:t>
      </w:r>
      <w:r w:rsidR="00B875DF" w:rsidRPr="00811277">
        <w:rPr>
          <w:rFonts w:ascii="Arial" w:eastAsia="Times New Roman" w:hAnsi="Arial" w:cs="Arial"/>
          <w:bCs/>
          <w:sz w:val="24"/>
          <w:szCs w:val="24"/>
          <w:lang w:val="en-GB"/>
        </w:rPr>
        <w:t>of</w:t>
      </w:r>
      <w:r w:rsidR="00344F2D" w:rsidRPr="00811277">
        <w:rPr>
          <w:rFonts w:ascii="Arial" w:eastAsia="Times New Roman" w:hAnsi="Arial" w:cs="Arial"/>
          <w:bCs/>
          <w:sz w:val="24"/>
          <w:szCs w:val="24"/>
          <w:lang w:val="en-GB"/>
        </w:rPr>
        <w:t xml:space="preserve"> by </w:t>
      </w:r>
      <w:r w:rsidR="00B875DF" w:rsidRPr="00811277">
        <w:rPr>
          <w:rFonts w:ascii="Arial" w:eastAsia="Times New Roman" w:hAnsi="Arial" w:cs="Arial"/>
          <w:bCs/>
          <w:sz w:val="24"/>
          <w:szCs w:val="24"/>
          <w:lang w:val="en-GB"/>
        </w:rPr>
        <w:t xml:space="preserve">holding that </w:t>
      </w:r>
      <w:r w:rsidR="00F94CA2" w:rsidRPr="00811277">
        <w:rPr>
          <w:rFonts w:ascii="Arial" w:eastAsia="Times New Roman" w:hAnsi="Arial" w:cs="Arial"/>
          <w:bCs/>
          <w:sz w:val="24"/>
          <w:szCs w:val="24"/>
          <w:lang w:val="en-GB"/>
        </w:rPr>
        <w:t>not all such challenge</w:t>
      </w:r>
      <w:r w:rsidR="000E6EAB" w:rsidRPr="00811277">
        <w:rPr>
          <w:rFonts w:ascii="Arial" w:eastAsia="Times New Roman" w:hAnsi="Arial" w:cs="Arial"/>
          <w:bCs/>
          <w:sz w:val="24"/>
          <w:szCs w:val="24"/>
          <w:lang w:val="en-GB"/>
        </w:rPr>
        <w:t>s</w:t>
      </w:r>
      <w:r w:rsidR="00F94CA2" w:rsidRPr="00811277">
        <w:rPr>
          <w:rFonts w:ascii="Arial" w:eastAsia="Times New Roman" w:hAnsi="Arial" w:cs="Arial"/>
          <w:bCs/>
          <w:sz w:val="24"/>
          <w:szCs w:val="24"/>
          <w:lang w:val="en-GB"/>
        </w:rPr>
        <w:t xml:space="preserve"> need to be made or employed </w:t>
      </w:r>
      <w:r w:rsidR="00344F2D" w:rsidRPr="00811277">
        <w:rPr>
          <w:rFonts w:ascii="Arial" w:eastAsia="Times New Roman" w:hAnsi="Arial" w:cs="Arial"/>
          <w:bCs/>
          <w:sz w:val="24"/>
          <w:szCs w:val="24"/>
          <w:lang w:val="en-GB"/>
        </w:rPr>
        <w:t>defensively but</w:t>
      </w:r>
      <w:r w:rsidR="00F94CA2" w:rsidRPr="00811277">
        <w:rPr>
          <w:rFonts w:ascii="Arial" w:eastAsia="Times New Roman" w:hAnsi="Arial" w:cs="Arial"/>
          <w:bCs/>
          <w:sz w:val="24"/>
          <w:szCs w:val="24"/>
          <w:lang w:val="en-GB"/>
        </w:rPr>
        <w:t xml:space="preserve"> may be </w:t>
      </w:r>
      <w:r w:rsidR="00D122DD" w:rsidRPr="00811277">
        <w:rPr>
          <w:rFonts w:ascii="Arial" w:eastAsia="Times New Roman" w:hAnsi="Arial" w:cs="Arial"/>
          <w:bCs/>
          <w:sz w:val="24"/>
          <w:szCs w:val="24"/>
          <w:lang w:val="en-GB"/>
        </w:rPr>
        <w:t>done so</w:t>
      </w:r>
      <w:r w:rsidR="00F94CA2" w:rsidRPr="00811277">
        <w:rPr>
          <w:rFonts w:ascii="Arial" w:eastAsia="Times New Roman" w:hAnsi="Arial" w:cs="Arial"/>
          <w:bCs/>
          <w:sz w:val="24"/>
          <w:szCs w:val="24"/>
          <w:lang w:val="en-GB"/>
        </w:rPr>
        <w:t xml:space="preserve"> offens</w:t>
      </w:r>
      <w:r w:rsidR="000E6EAB" w:rsidRPr="00811277">
        <w:rPr>
          <w:rFonts w:ascii="Arial" w:eastAsia="Times New Roman" w:hAnsi="Arial" w:cs="Arial"/>
          <w:bCs/>
          <w:sz w:val="24"/>
          <w:szCs w:val="24"/>
          <w:lang w:val="en-GB"/>
        </w:rPr>
        <w:t>ively</w:t>
      </w:r>
      <w:r w:rsidR="00F94CA2" w:rsidRPr="00811277">
        <w:rPr>
          <w:rFonts w:ascii="Arial" w:eastAsia="Times New Roman" w:hAnsi="Arial" w:cs="Arial"/>
          <w:bCs/>
          <w:sz w:val="24"/>
          <w:szCs w:val="24"/>
          <w:lang w:val="en-GB"/>
        </w:rPr>
        <w:t>.</w:t>
      </w:r>
      <w:r w:rsidR="000E6EAB" w:rsidRPr="00811277">
        <w:rPr>
          <w:rFonts w:ascii="Arial" w:eastAsia="Times New Roman" w:hAnsi="Arial" w:cs="Arial"/>
          <w:bCs/>
          <w:sz w:val="24"/>
          <w:szCs w:val="24"/>
          <w:lang w:val="en-GB"/>
        </w:rPr>
        <w:t xml:space="preserve"> </w:t>
      </w:r>
    </w:p>
    <w:p w14:paraId="79AF0081" w14:textId="6DD946AE" w:rsidR="009F1970"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60.</w:t>
      </w:r>
      <w:r>
        <w:rPr>
          <w:rFonts w:ascii="Arial" w:eastAsia="Times New Roman" w:hAnsi="Arial" w:cs="Arial"/>
          <w:bCs/>
          <w:kern w:val="0"/>
          <w:sz w:val="24"/>
          <w:szCs w:val="24"/>
          <w:lang w:val="en-GB"/>
          <w14:ligatures w14:val="none"/>
        </w:rPr>
        <w:tab/>
      </w:r>
      <w:r w:rsidR="00344F2D" w:rsidRPr="00811277">
        <w:rPr>
          <w:rFonts w:ascii="Arial" w:eastAsia="Times New Roman" w:hAnsi="Arial" w:cs="Arial"/>
          <w:bCs/>
          <w:sz w:val="24"/>
          <w:szCs w:val="24"/>
          <w:lang w:val="en-GB"/>
        </w:rPr>
        <w:t>Thus, i</w:t>
      </w:r>
      <w:r w:rsidR="000E6EAB" w:rsidRPr="00811277">
        <w:rPr>
          <w:rFonts w:ascii="Arial" w:eastAsia="Times New Roman" w:hAnsi="Arial" w:cs="Arial"/>
          <w:bCs/>
          <w:sz w:val="24"/>
          <w:szCs w:val="24"/>
          <w:lang w:val="en-GB"/>
        </w:rPr>
        <w:t xml:space="preserve">n </w:t>
      </w:r>
      <w:r w:rsidR="000E6EAB" w:rsidRPr="00811277">
        <w:rPr>
          <w:rFonts w:ascii="Arial" w:eastAsia="Times New Roman" w:hAnsi="Arial" w:cs="Arial"/>
          <w:bCs/>
          <w:i/>
          <w:iCs/>
          <w:sz w:val="24"/>
          <w:szCs w:val="24"/>
          <w:lang w:val="en-GB"/>
        </w:rPr>
        <w:t>Tasima</w:t>
      </w:r>
      <w:r w:rsidR="000E6EAB" w:rsidRPr="00811277">
        <w:rPr>
          <w:rFonts w:ascii="Arial" w:eastAsia="Times New Roman" w:hAnsi="Arial" w:cs="Arial"/>
          <w:bCs/>
          <w:sz w:val="24"/>
          <w:szCs w:val="24"/>
          <w:lang w:val="en-GB"/>
        </w:rPr>
        <w:t xml:space="preserve"> </w:t>
      </w:r>
      <w:r w:rsidR="000E6EAB">
        <w:rPr>
          <w:rStyle w:val="FootnoteReference"/>
          <w:rFonts w:ascii="Arial" w:eastAsia="Times New Roman" w:hAnsi="Arial" w:cs="Arial"/>
          <w:bCs/>
          <w:sz w:val="24"/>
          <w:szCs w:val="24"/>
          <w:lang w:val="en-GB"/>
        </w:rPr>
        <w:footnoteReference w:id="63"/>
      </w:r>
      <w:r w:rsidR="003F3103" w:rsidRPr="00811277">
        <w:rPr>
          <w:rFonts w:ascii="Arial" w:eastAsia="Times New Roman" w:hAnsi="Arial" w:cs="Arial"/>
          <w:bCs/>
          <w:sz w:val="24"/>
          <w:szCs w:val="24"/>
          <w:lang w:val="en-GB"/>
        </w:rPr>
        <w:t xml:space="preserve"> the Department of Transport was permitted to raise a collateral challenge in the form of a counter-application for review, as a defence to contempt proceedings which were brought, </w:t>
      </w:r>
      <w:r w:rsidR="00FF4EAB" w:rsidRPr="00811277">
        <w:rPr>
          <w:rFonts w:ascii="Arial" w:eastAsia="Times New Roman" w:hAnsi="Arial" w:cs="Arial"/>
          <w:bCs/>
          <w:sz w:val="24"/>
          <w:szCs w:val="24"/>
          <w:lang w:val="en-GB"/>
        </w:rPr>
        <w:t>when it sought to resist compliance with</w:t>
      </w:r>
      <w:r w:rsidR="003F3103" w:rsidRPr="00811277">
        <w:rPr>
          <w:rFonts w:ascii="Arial" w:eastAsia="Times New Roman" w:hAnsi="Arial" w:cs="Arial"/>
          <w:bCs/>
          <w:sz w:val="24"/>
          <w:szCs w:val="24"/>
          <w:lang w:val="en-GB"/>
        </w:rPr>
        <w:t xml:space="preserve"> an order which had been granted </w:t>
      </w:r>
      <w:r w:rsidR="009F1970" w:rsidRPr="00811277">
        <w:rPr>
          <w:rFonts w:ascii="Arial" w:eastAsia="Times New Roman" w:hAnsi="Arial" w:cs="Arial"/>
          <w:bCs/>
          <w:sz w:val="24"/>
          <w:szCs w:val="24"/>
          <w:lang w:val="en-GB"/>
        </w:rPr>
        <w:t>against it</w:t>
      </w:r>
      <w:r w:rsidR="007262F8" w:rsidRPr="00811277">
        <w:rPr>
          <w:rFonts w:ascii="Arial" w:eastAsia="Times New Roman" w:hAnsi="Arial" w:cs="Arial"/>
          <w:bCs/>
          <w:sz w:val="24"/>
          <w:szCs w:val="24"/>
          <w:lang w:val="en-GB"/>
        </w:rPr>
        <w:t>,</w:t>
      </w:r>
      <w:r w:rsidR="003F3103" w:rsidRPr="00811277">
        <w:rPr>
          <w:rFonts w:ascii="Arial" w:eastAsia="Times New Roman" w:hAnsi="Arial" w:cs="Arial"/>
          <w:bCs/>
          <w:sz w:val="24"/>
          <w:szCs w:val="24"/>
          <w:lang w:val="en-GB"/>
        </w:rPr>
        <w:t xml:space="preserve"> improperly extending </w:t>
      </w:r>
      <w:r w:rsidR="00B71546" w:rsidRPr="00811277">
        <w:rPr>
          <w:rFonts w:ascii="Arial" w:eastAsia="Times New Roman" w:hAnsi="Arial" w:cs="Arial"/>
          <w:bCs/>
          <w:sz w:val="24"/>
          <w:szCs w:val="24"/>
          <w:lang w:val="en-GB"/>
        </w:rPr>
        <w:t>a</w:t>
      </w:r>
      <w:r w:rsidR="003F3103" w:rsidRPr="00811277">
        <w:rPr>
          <w:rFonts w:ascii="Arial" w:eastAsia="Times New Roman" w:hAnsi="Arial" w:cs="Arial"/>
          <w:bCs/>
          <w:sz w:val="24"/>
          <w:szCs w:val="24"/>
          <w:lang w:val="en-GB"/>
        </w:rPr>
        <w:t xml:space="preserve"> service contract after it had already expired. The</w:t>
      </w:r>
      <w:r w:rsidR="00B71546" w:rsidRPr="00811277">
        <w:rPr>
          <w:rFonts w:ascii="Arial" w:eastAsia="Times New Roman" w:hAnsi="Arial" w:cs="Arial"/>
          <w:bCs/>
          <w:sz w:val="24"/>
          <w:szCs w:val="24"/>
          <w:lang w:val="en-GB"/>
        </w:rPr>
        <w:t>re</w:t>
      </w:r>
      <w:r w:rsidR="003F3103" w:rsidRPr="00811277">
        <w:rPr>
          <w:rFonts w:ascii="Arial" w:eastAsia="Times New Roman" w:hAnsi="Arial" w:cs="Arial"/>
          <w:bCs/>
          <w:sz w:val="24"/>
          <w:szCs w:val="24"/>
          <w:lang w:val="en-GB"/>
        </w:rPr>
        <w:t xml:space="preserve"> had been a </w:t>
      </w:r>
      <w:r w:rsidR="00B71546" w:rsidRPr="00811277">
        <w:rPr>
          <w:rFonts w:ascii="Arial" w:eastAsia="Times New Roman" w:hAnsi="Arial" w:cs="Arial"/>
          <w:bCs/>
          <w:sz w:val="24"/>
          <w:szCs w:val="24"/>
          <w:lang w:val="en-GB"/>
        </w:rPr>
        <w:t>6-year</w:t>
      </w:r>
      <w:r w:rsidR="003F3103" w:rsidRPr="00811277">
        <w:rPr>
          <w:rFonts w:ascii="Arial" w:eastAsia="Times New Roman" w:hAnsi="Arial" w:cs="Arial"/>
          <w:bCs/>
          <w:sz w:val="24"/>
          <w:szCs w:val="24"/>
          <w:lang w:val="en-GB"/>
        </w:rPr>
        <w:t xml:space="preserve"> delay between the time when the contract was improperly extended and when the challenge was lodged.</w:t>
      </w:r>
      <w:r w:rsidR="00B71546" w:rsidRPr="00811277">
        <w:rPr>
          <w:rFonts w:ascii="Arial" w:eastAsia="Times New Roman" w:hAnsi="Arial" w:cs="Arial"/>
          <w:bCs/>
          <w:sz w:val="24"/>
          <w:szCs w:val="24"/>
          <w:lang w:val="en-GB"/>
        </w:rPr>
        <w:t xml:space="preserve"> The CC confirmed that reactive challenges may be brought by organs of state, provided that the delay in doing so was not ‘unwarrantably undue’.</w:t>
      </w:r>
      <w:r w:rsidR="00B71546">
        <w:rPr>
          <w:rStyle w:val="FootnoteReference"/>
          <w:rFonts w:ascii="Arial" w:eastAsia="Times New Roman" w:hAnsi="Arial" w:cs="Arial"/>
          <w:bCs/>
          <w:sz w:val="24"/>
          <w:szCs w:val="24"/>
          <w:lang w:val="en-GB"/>
        </w:rPr>
        <w:footnoteReference w:id="64"/>
      </w:r>
      <w:r w:rsidR="00B71546" w:rsidRPr="00811277">
        <w:rPr>
          <w:rFonts w:ascii="Arial" w:eastAsia="Times New Roman" w:hAnsi="Arial" w:cs="Arial"/>
          <w:bCs/>
          <w:sz w:val="24"/>
          <w:szCs w:val="24"/>
          <w:lang w:val="en-GB"/>
        </w:rPr>
        <w:t xml:space="preserve"> </w:t>
      </w:r>
      <w:r w:rsidR="007262F8" w:rsidRPr="00811277">
        <w:rPr>
          <w:rFonts w:ascii="Arial" w:eastAsia="Times New Roman" w:hAnsi="Arial" w:cs="Arial"/>
          <w:bCs/>
          <w:sz w:val="24"/>
          <w:szCs w:val="24"/>
          <w:lang w:val="en-GB"/>
        </w:rPr>
        <w:t>It held that, w</w:t>
      </w:r>
      <w:r w:rsidR="00B71546" w:rsidRPr="00811277">
        <w:rPr>
          <w:rFonts w:ascii="Arial" w:eastAsia="Times New Roman" w:hAnsi="Arial" w:cs="Arial"/>
          <w:bCs/>
          <w:sz w:val="24"/>
          <w:szCs w:val="24"/>
          <w:lang w:val="en-GB"/>
        </w:rPr>
        <w:t>hilst a court should be slow to allow procedural hurdles to prevent</w:t>
      </w:r>
      <w:r w:rsidR="00FF4EAB" w:rsidRPr="00811277">
        <w:rPr>
          <w:rFonts w:ascii="Arial" w:eastAsia="Times New Roman" w:hAnsi="Arial" w:cs="Arial"/>
          <w:bCs/>
          <w:sz w:val="24"/>
          <w:szCs w:val="24"/>
          <w:lang w:val="en-GB"/>
        </w:rPr>
        <w:t xml:space="preserve"> it</w:t>
      </w:r>
      <w:r w:rsidR="00B71546" w:rsidRPr="00811277">
        <w:rPr>
          <w:rFonts w:ascii="Arial" w:eastAsia="Times New Roman" w:hAnsi="Arial" w:cs="Arial"/>
          <w:bCs/>
          <w:sz w:val="24"/>
          <w:szCs w:val="24"/>
          <w:lang w:val="en-GB"/>
        </w:rPr>
        <w:t xml:space="preserve"> from looking into a challenge to the lawfulness of the exercise of public power it was equally a feature of the rule of law that </w:t>
      </w:r>
      <w:r w:rsidR="009F1970" w:rsidRPr="00811277">
        <w:rPr>
          <w:rFonts w:ascii="Arial" w:eastAsia="Times New Roman" w:hAnsi="Arial" w:cs="Arial"/>
          <w:bCs/>
          <w:sz w:val="24"/>
          <w:szCs w:val="24"/>
          <w:lang w:val="en-GB"/>
        </w:rPr>
        <w:t>‘</w:t>
      </w:r>
      <w:r w:rsidR="00B71546" w:rsidRPr="00811277">
        <w:rPr>
          <w:rFonts w:ascii="Arial" w:eastAsia="Times New Roman" w:hAnsi="Arial" w:cs="Arial"/>
          <w:bCs/>
          <w:sz w:val="24"/>
          <w:szCs w:val="24"/>
          <w:lang w:val="en-GB"/>
        </w:rPr>
        <w:t>undue</w:t>
      </w:r>
      <w:r w:rsidR="009F1970" w:rsidRPr="00811277">
        <w:rPr>
          <w:rFonts w:ascii="Arial" w:eastAsia="Times New Roman" w:hAnsi="Arial" w:cs="Arial"/>
          <w:bCs/>
          <w:sz w:val="24"/>
          <w:szCs w:val="24"/>
          <w:lang w:val="en-GB"/>
        </w:rPr>
        <w:t>’</w:t>
      </w:r>
      <w:r w:rsidR="00B71546" w:rsidRPr="00811277">
        <w:rPr>
          <w:rFonts w:ascii="Arial" w:eastAsia="Times New Roman" w:hAnsi="Arial" w:cs="Arial"/>
          <w:bCs/>
          <w:sz w:val="24"/>
          <w:szCs w:val="24"/>
          <w:lang w:val="en-GB"/>
        </w:rPr>
        <w:t xml:space="preserve"> delay should not be tolerated</w:t>
      </w:r>
      <w:r w:rsidR="00FF4EAB" w:rsidRPr="00811277">
        <w:rPr>
          <w:rFonts w:ascii="Arial" w:eastAsia="Times New Roman" w:hAnsi="Arial" w:cs="Arial"/>
          <w:bCs/>
          <w:sz w:val="24"/>
          <w:szCs w:val="24"/>
          <w:lang w:val="en-GB"/>
        </w:rPr>
        <w:t xml:space="preserve">, as it could prejudice the respondent and undermine the public interest in bringing certainty and finality to administrative action. Consequently, </w:t>
      </w:r>
      <w:r w:rsidR="009F1970" w:rsidRPr="00811277">
        <w:rPr>
          <w:rFonts w:ascii="Arial" w:eastAsia="Times New Roman" w:hAnsi="Arial" w:cs="Arial"/>
          <w:bCs/>
          <w:sz w:val="24"/>
          <w:szCs w:val="24"/>
          <w:lang w:val="en-GB"/>
        </w:rPr>
        <w:t>a</w:t>
      </w:r>
      <w:r w:rsidR="00FF4EAB" w:rsidRPr="00811277">
        <w:rPr>
          <w:rFonts w:ascii="Arial" w:eastAsia="Times New Roman" w:hAnsi="Arial" w:cs="Arial"/>
          <w:bCs/>
          <w:sz w:val="24"/>
          <w:szCs w:val="24"/>
          <w:lang w:val="en-GB"/>
        </w:rPr>
        <w:t xml:space="preserve"> court should exhibit ‘vigilance, consideration and propriety’ before overlooking a late review</w:t>
      </w:r>
      <w:r w:rsidR="00D122DD" w:rsidRPr="00811277">
        <w:rPr>
          <w:rFonts w:ascii="Arial" w:eastAsia="Times New Roman" w:hAnsi="Arial" w:cs="Arial"/>
          <w:bCs/>
          <w:sz w:val="24"/>
          <w:szCs w:val="24"/>
          <w:lang w:val="en-GB"/>
        </w:rPr>
        <w:t>,</w:t>
      </w:r>
      <w:r w:rsidR="00FF4EAB" w:rsidRPr="00811277">
        <w:rPr>
          <w:rFonts w:ascii="Arial" w:eastAsia="Times New Roman" w:hAnsi="Arial" w:cs="Arial"/>
          <w:bCs/>
          <w:sz w:val="24"/>
          <w:szCs w:val="24"/>
          <w:lang w:val="en-GB"/>
        </w:rPr>
        <w:t xml:space="preserve"> </w:t>
      </w:r>
      <w:r w:rsidR="00D122DD" w:rsidRPr="00811277">
        <w:rPr>
          <w:rFonts w:ascii="Arial" w:eastAsia="Times New Roman" w:hAnsi="Arial" w:cs="Arial"/>
          <w:bCs/>
          <w:sz w:val="24"/>
          <w:szCs w:val="24"/>
          <w:lang w:val="en-GB"/>
        </w:rPr>
        <w:t>‘</w:t>
      </w:r>
      <w:r w:rsidR="00FF4EAB" w:rsidRPr="00811277">
        <w:rPr>
          <w:rFonts w:ascii="Arial" w:eastAsia="Times New Roman" w:hAnsi="Arial" w:cs="Arial"/>
          <w:bCs/>
          <w:sz w:val="24"/>
          <w:szCs w:val="24"/>
          <w:lang w:val="en-GB"/>
        </w:rPr>
        <w:t>reactive or otherwise</w:t>
      </w:r>
      <w:r w:rsidR="00D122DD" w:rsidRPr="00811277">
        <w:rPr>
          <w:rFonts w:ascii="Arial" w:eastAsia="Times New Roman" w:hAnsi="Arial" w:cs="Arial"/>
          <w:bCs/>
          <w:sz w:val="24"/>
          <w:szCs w:val="24"/>
          <w:lang w:val="en-GB"/>
        </w:rPr>
        <w:t>’</w:t>
      </w:r>
      <w:r w:rsidR="00FF4EAB" w:rsidRPr="00811277">
        <w:rPr>
          <w:rFonts w:ascii="Arial" w:eastAsia="Times New Roman" w:hAnsi="Arial" w:cs="Arial"/>
          <w:bCs/>
          <w:sz w:val="24"/>
          <w:szCs w:val="24"/>
          <w:lang w:val="en-GB"/>
        </w:rPr>
        <w:t>.</w:t>
      </w:r>
      <w:r w:rsidR="00FF4EAB">
        <w:rPr>
          <w:rStyle w:val="FootnoteReference"/>
          <w:rFonts w:ascii="Arial" w:eastAsia="Times New Roman" w:hAnsi="Arial" w:cs="Arial"/>
          <w:bCs/>
          <w:sz w:val="24"/>
          <w:szCs w:val="24"/>
          <w:lang w:val="en-GB"/>
        </w:rPr>
        <w:footnoteReference w:id="65"/>
      </w:r>
      <w:r w:rsidR="00FF4EAB" w:rsidRPr="00811277">
        <w:rPr>
          <w:rFonts w:ascii="Arial" w:eastAsia="Times New Roman" w:hAnsi="Arial" w:cs="Arial"/>
          <w:bCs/>
          <w:sz w:val="24"/>
          <w:szCs w:val="24"/>
          <w:lang w:val="en-GB"/>
        </w:rPr>
        <w:t xml:space="preserve"> </w:t>
      </w:r>
    </w:p>
    <w:p w14:paraId="023A57A2" w14:textId="73ADB903" w:rsidR="008C1D67"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lastRenderedPageBreak/>
        <w:t>61.</w:t>
      </w:r>
      <w:r>
        <w:rPr>
          <w:rFonts w:ascii="Arial" w:eastAsia="Times New Roman" w:hAnsi="Arial" w:cs="Arial"/>
          <w:bCs/>
          <w:kern w:val="0"/>
          <w:sz w:val="24"/>
          <w:szCs w:val="24"/>
          <w:lang w:val="en-GB"/>
          <w14:ligatures w14:val="none"/>
        </w:rPr>
        <w:tab/>
      </w:r>
      <w:r w:rsidR="00FF4EAB" w:rsidRPr="00811277">
        <w:rPr>
          <w:rFonts w:ascii="Arial" w:eastAsia="Times New Roman" w:hAnsi="Arial" w:cs="Arial"/>
          <w:bCs/>
          <w:sz w:val="24"/>
          <w:szCs w:val="24"/>
          <w:lang w:val="en-GB"/>
        </w:rPr>
        <w:t>In considering whether to condone the delay</w:t>
      </w:r>
      <w:r w:rsidR="00D122DD" w:rsidRPr="00811277">
        <w:rPr>
          <w:rFonts w:ascii="Arial" w:eastAsia="Times New Roman" w:hAnsi="Arial" w:cs="Arial"/>
          <w:bCs/>
          <w:sz w:val="24"/>
          <w:szCs w:val="24"/>
          <w:lang w:val="en-GB"/>
        </w:rPr>
        <w:t xml:space="preserve"> in </w:t>
      </w:r>
      <w:r w:rsidR="00D122DD" w:rsidRPr="00811277">
        <w:rPr>
          <w:rFonts w:ascii="Arial" w:eastAsia="Times New Roman" w:hAnsi="Arial" w:cs="Arial"/>
          <w:bCs/>
          <w:i/>
          <w:iCs/>
          <w:sz w:val="24"/>
          <w:szCs w:val="24"/>
          <w:lang w:val="en-GB"/>
        </w:rPr>
        <w:t>Tasima</w:t>
      </w:r>
      <w:r w:rsidR="00FF4EAB" w:rsidRPr="00811277">
        <w:rPr>
          <w:rFonts w:ascii="Arial" w:eastAsia="Times New Roman" w:hAnsi="Arial" w:cs="Arial"/>
          <w:bCs/>
          <w:sz w:val="24"/>
          <w:szCs w:val="24"/>
          <w:lang w:val="en-GB"/>
        </w:rPr>
        <w:t xml:space="preserve">, </w:t>
      </w:r>
      <w:r w:rsidR="009F1970" w:rsidRPr="00811277">
        <w:rPr>
          <w:rFonts w:ascii="Arial" w:eastAsia="Times New Roman" w:hAnsi="Arial" w:cs="Arial"/>
          <w:bCs/>
          <w:sz w:val="24"/>
          <w:szCs w:val="24"/>
          <w:lang w:val="en-GB"/>
        </w:rPr>
        <w:t>the CC</w:t>
      </w:r>
      <w:r w:rsidR="00FF4EAB" w:rsidRPr="00811277">
        <w:rPr>
          <w:rFonts w:ascii="Arial" w:eastAsia="Times New Roman" w:hAnsi="Arial" w:cs="Arial"/>
          <w:bCs/>
          <w:sz w:val="24"/>
          <w:szCs w:val="24"/>
          <w:lang w:val="en-GB"/>
        </w:rPr>
        <w:t xml:space="preserve"> adopted the ’factual, multifactorial and context-sensitive’</w:t>
      </w:r>
      <w:r w:rsidR="007262F8">
        <w:rPr>
          <w:rStyle w:val="FootnoteReference"/>
          <w:rFonts w:ascii="Arial" w:eastAsia="Times New Roman" w:hAnsi="Arial" w:cs="Arial"/>
          <w:bCs/>
          <w:sz w:val="24"/>
          <w:szCs w:val="24"/>
          <w:lang w:val="en-GB"/>
        </w:rPr>
        <w:footnoteReference w:id="66"/>
      </w:r>
      <w:r w:rsidR="00FF4EAB" w:rsidRPr="00811277">
        <w:rPr>
          <w:rFonts w:ascii="Arial" w:eastAsia="Times New Roman" w:hAnsi="Arial" w:cs="Arial"/>
          <w:bCs/>
          <w:sz w:val="24"/>
          <w:szCs w:val="24"/>
          <w:lang w:val="en-GB"/>
        </w:rPr>
        <w:t xml:space="preserve"> test which was formulated in </w:t>
      </w:r>
      <w:r w:rsidR="00FF4EAB" w:rsidRPr="00811277">
        <w:rPr>
          <w:rFonts w:ascii="Arial" w:eastAsia="Times New Roman" w:hAnsi="Arial" w:cs="Arial"/>
          <w:bCs/>
          <w:i/>
          <w:iCs/>
          <w:sz w:val="24"/>
          <w:szCs w:val="24"/>
          <w:lang w:val="en-GB"/>
        </w:rPr>
        <w:t>Khumalo</w:t>
      </w:r>
      <w:r w:rsidR="00FF4EAB">
        <w:rPr>
          <w:rStyle w:val="FootnoteReference"/>
          <w:rFonts w:ascii="Arial" w:eastAsia="Times New Roman" w:hAnsi="Arial" w:cs="Arial"/>
          <w:bCs/>
          <w:sz w:val="24"/>
          <w:szCs w:val="24"/>
          <w:lang w:val="en-GB"/>
        </w:rPr>
        <w:footnoteReference w:id="67"/>
      </w:r>
      <w:r w:rsidR="00FF4EAB" w:rsidRPr="00811277">
        <w:rPr>
          <w:rFonts w:ascii="Arial" w:eastAsia="Times New Roman" w:hAnsi="Arial" w:cs="Arial"/>
          <w:bCs/>
          <w:sz w:val="24"/>
          <w:szCs w:val="24"/>
          <w:lang w:val="en-GB"/>
        </w:rPr>
        <w:t xml:space="preserve"> </w:t>
      </w:r>
      <w:r w:rsidR="008C1D67" w:rsidRPr="00811277">
        <w:rPr>
          <w:rFonts w:ascii="Arial" w:eastAsia="Times New Roman" w:hAnsi="Arial" w:cs="Arial"/>
          <w:bCs/>
          <w:sz w:val="24"/>
          <w:szCs w:val="24"/>
          <w:lang w:val="en-GB"/>
        </w:rPr>
        <w:t xml:space="preserve">(which concerned a review) </w:t>
      </w:r>
      <w:r w:rsidR="009F1970" w:rsidRPr="00811277">
        <w:rPr>
          <w:rFonts w:ascii="Arial" w:eastAsia="Times New Roman" w:hAnsi="Arial" w:cs="Arial"/>
          <w:bCs/>
          <w:sz w:val="24"/>
          <w:szCs w:val="24"/>
          <w:lang w:val="en-GB"/>
        </w:rPr>
        <w:t xml:space="preserve">in which </w:t>
      </w:r>
      <w:r w:rsidR="000624AD" w:rsidRPr="00811277">
        <w:rPr>
          <w:rFonts w:ascii="Arial" w:eastAsia="Times New Roman" w:hAnsi="Arial" w:cs="Arial"/>
          <w:bCs/>
          <w:sz w:val="24"/>
          <w:szCs w:val="24"/>
          <w:lang w:val="en-GB"/>
        </w:rPr>
        <w:t xml:space="preserve">it was held that </w:t>
      </w:r>
      <w:r w:rsidR="009F1970" w:rsidRPr="00811277">
        <w:rPr>
          <w:rFonts w:ascii="Arial" w:eastAsia="Times New Roman" w:hAnsi="Arial" w:cs="Arial"/>
          <w:bCs/>
          <w:sz w:val="24"/>
          <w:szCs w:val="24"/>
          <w:lang w:val="en-GB"/>
        </w:rPr>
        <w:t xml:space="preserve">regard must be had to all the relevant circumstances including the nature of the disputed decision </w:t>
      </w:r>
      <w:r w:rsidR="0015047B" w:rsidRPr="00811277">
        <w:rPr>
          <w:rFonts w:ascii="Arial" w:eastAsia="Times New Roman" w:hAnsi="Arial" w:cs="Arial"/>
          <w:bCs/>
          <w:sz w:val="24"/>
          <w:szCs w:val="24"/>
          <w:lang w:val="en-GB"/>
        </w:rPr>
        <w:t>and</w:t>
      </w:r>
      <w:r w:rsidR="009F1970" w:rsidRPr="00811277">
        <w:rPr>
          <w:rFonts w:ascii="Arial" w:eastAsia="Times New Roman" w:hAnsi="Arial" w:cs="Arial"/>
          <w:bCs/>
          <w:sz w:val="24"/>
          <w:szCs w:val="24"/>
          <w:lang w:val="en-GB"/>
        </w:rPr>
        <w:t xml:space="preserve"> the merits of the challenge to it</w:t>
      </w:r>
      <w:r w:rsidR="0015047B" w:rsidRPr="00811277">
        <w:rPr>
          <w:rFonts w:ascii="Arial" w:eastAsia="Times New Roman" w:hAnsi="Arial" w:cs="Arial"/>
          <w:bCs/>
          <w:sz w:val="24"/>
          <w:szCs w:val="24"/>
          <w:lang w:val="en-GB"/>
        </w:rPr>
        <w:t>,</w:t>
      </w:r>
      <w:r w:rsidR="009F1970">
        <w:rPr>
          <w:rStyle w:val="FootnoteReference"/>
          <w:rFonts w:ascii="Arial" w:eastAsia="Times New Roman" w:hAnsi="Arial" w:cs="Arial"/>
          <w:bCs/>
          <w:sz w:val="24"/>
          <w:szCs w:val="24"/>
          <w:lang w:val="en-GB"/>
        </w:rPr>
        <w:footnoteReference w:id="68"/>
      </w:r>
      <w:r w:rsidR="009F1970" w:rsidRPr="00811277">
        <w:rPr>
          <w:rFonts w:ascii="Arial" w:eastAsia="Times New Roman" w:hAnsi="Arial" w:cs="Arial"/>
          <w:bCs/>
          <w:sz w:val="24"/>
          <w:szCs w:val="24"/>
          <w:lang w:val="en-GB"/>
        </w:rPr>
        <w:t xml:space="preserve"> </w:t>
      </w:r>
      <w:r w:rsidR="0015047B" w:rsidRPr="00811277">
        <w:rPr>
          <w:rFonts w:ascii="Arial" w:eastAsia="Times New Roman" w:hAnsi="Arial" w:cs="Arial"/>
          <w:bCs/>
          <w:sz w:val="24"/>
          <w:szCs w:val="24"/>
          <w:lang w:val="en-GB"/>
        </w:rPr>
        <w:t xml:space="preserve">and </w:t>
      </w:r>
      <w:r w:rsidR="009F1970" w:rsidRPr="00811277">
        <w:rPr>
          <w:rFonts w:ascii="Arial" w:eastAsia="Times New Roman" w:hAnsi="Arial" w:cs="Arial"/>
          <w:bCs/>
          <w:sz w:val="24"/>
          <w:szCs w:val="24"/>
          <w:lang w:val="en-GB"/>
        </w:rPr>
        <w:t xml:space="preserve">the explanation </w:t>
      </w:r>
      <w:r w:rsidR="0015047B" w:rsidRPr="00811277">
        <w:rPr>
          <w:rFonts w:ascii="Arial" w:eastAsia="Times New Roman" w:hAnsi="Arial" w:cs="Arial"/>
          <w:bCs/>
          <w:sz w:val="24"/>
          <w:szCs w:val="24"/>
          <w:lang w:val="en-GB"/>
        </w:rPr>
        <w:t xml:space="preserve">which has been </w:t>
      </w:r>
      <w:r w:rsidR="009F1970" w:rsidRPr="00811277">
        <w:rPr>
          <w:rFonts w:ascii="Arial" w:eastAsia="Times New Roman" w:hAnsi="Arial" w:cs="Arial"/>
          <w:bCs/>
          <w:sz w:val="24"/>
          <w:szCs w:val="24"/>
          <w:lang w:val="en-GB"/>
        </w:rPr>
        <w:t>tendered for the delay and why it should be overlooked</w:t>
      </w:r>
      <w:r w:rsidR="0015047B" w:rsidRPr="00811277">
        <w:rPr>
          <w:rFonts w:ascii="Arial" w:eastAsia="Times New Roman" w:hAnsi="Arial" w:cs="Arial"/>
          <w:bCs/>
          <w:sz w:val="24"/>
          <w:szCs w:val="24"/>
          <w:lang w:val="en-GB"/>
        </w:rPr>
        <w:t>, with reference to the consequences which may ensue if the impugned decision is set aside</w:t>
      </w:r>
      <w:r w:rsidR="008C1D67" w:rsidRPr="00811277">
        <w:rPr>
          <w:rFonts w:ascii="Arial" w:eastAsia="Times New Roman" w:hAnsi="Arial" w:cs="Arial"/>
          <w:bCs/>
          <w:sz w:val="24"/>
          <w:szCs w:val="24"/>
          <w:lang w:val="en-GB"/>
        </w:rPr>
        <w:t xml:space="preserve"> or not enforced</w:t>
      </w:r>
      <w:r w:rsidR="0015047B" w:rsidRPr="00811277">
        <w:rPr>
          <w:rFonts w:ascii="Arial" w:eastAsia="Times New Roman" w:hAnsi="Arial" w:cs="Arial"/>
          <w:bCs/>
          <w:sz w:val="24"/>
          <w:szCs w:val="24"/>
          <w:lang w:val="en-GB"/>
        </w:rPr>
        <w:t xml:space="preserve">, including any </w:t>
      </w:r>
      <w:r w:rsidR="009F1970" w:rsidRPr="00811277">
        <w:rPr>
          <w:rFonts w:ascii="Arial" w:eastAsia="Times New Roman" w:hAnsi="Arial" w:cs="Arial"/>
          <w:bCs/>
          <w:sz w:val="24"/>
          <w:szCs w:val="24"/>
          <w:lang w:val="en-GB"/>
        </w:rPr>
        <w:t xml:space="preserve">potential prejudice </w:t>
      </w:r>
      <w:r w:rsidR="0015047B" w:rsidRPr="00811277">
        <w:rPr>
          <w:rFonts w:ascii="Arial" w:eastAsia="Times New Roman" w:hAnsi="Arial" w:cs="Arial"/>
          <w:bCs/>
          <w:sz w:val="24"/>
          <w:szCs w:val="24"/>
          <w:lang w:val="en-GB"/>
        </w:rPr>
        <w:t xml:space="preserve">that may be occasioned </w:t>
      </w:r>
      <w:r w:rsidR="009F1970" w:rsidRPr="00811277">
        <w:rPr>
          <w:rFonts w:ascii="Arial" w:eastAsia="Times New Roman" w:hAnsi="Arial" w:cs="Arial"/>
          <w:bCs/>
          <w:sz w:val="24"/>
          <w:szCs w:val="24"/>
          <w:lang w:val="en-GB"/>
        </w:rPr>
        <w:t>to affected parties.</w:t>
      </w:r>
      <w:r w:rsidR="0015047B" w:rsidRPr="00811277">
        <w:rPr>
          <w:rFonts w:ascii="Arial" w:eastAsia="Times New Roman" w:hAnsi="Arial" w:cs="Arial"/>
          <w:bCs/>
          <w:sz w:val="24"/>
          <w:szCs w:val="24"/>
          <w:lang w:val="en-GB"/>
        </w:rPr>
        <w:t xml:space="preserve"> It also reiterated that, as far as the explanation for the delay is concerned it must be a full and comprehensive one, which covers the entire period.</w:t>
      </w:r>
      <w:r w:rsidR="0015047B">
        <w:rPr>
          <w:rStyle w:val="FootnoteReference"/>
          <w:rFonts w:ascii="Arial" w:eastAsia="Times New Roman" w:hAnsi="Arial" w:cs="Arial"/>
          <w:bCs/>
          <w:sz w:val="24"/>
          <w:szCs w:val="24"/>
          <w:lang w:val="en-GB"/>
        </w:rPr>
        <w:footnoteReference w:id="69"/>
      </w:r>
      <w:r w:rsidR="009F1970" w:rsidRPr="00811277">
        <w:rPr>
          <w:rFonts w:ascii="Arial" w:eastAsia="Times New Roman" w:hAnsi="Arial" w:cs="Arial"/>
          <w:bCs/>
          <w:sz w:val="24"/>
          <w:szCs w:val="24"/>
          <w:lang w:val="en-GB"/>
        </w:rPr>
        <w:t xml:space="preserve"> </w:t>
      </w:r>
    </w:p>
    <w:p w14:paraId="64C87E34" w14:textId="68C31534" w:rsidR="00173B91"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62.</w:t>
      </w:r>
      <w:r>
        <w:rPr>
          <w:rFonts w:ascii="Arial" w:eastAsia="Times New Roman" w:hAnsi="Arial" w:cs="Arial"/>
          <w:bCs/>
          <w:kern w:val="0"/>
          <w:sz w:val="24"/>
          <w:szCs w:val="24"/>
          <w:lang w:val="en-GB"/>
          <w14:ligatures w14:val="none"/>
        </w:rPr>
        <w:tab/>
      </w:r>
      <w:r w:rsidR="008C1D67" w:rsidRPr="00811277">
        <w:rPr>
          <w:rFonts w:ascii="Arial" w:eastAsia="Times New Roman" w:hAnsi="Arial" w:cs="Arial"/>
          <w:bCs/>
          <w:sz w:val="24"/>
          <w:szCs w:val="24"/>
          <w:lang w:val="en-GB"/>
        </w:rPr>
        <w:t xml:space="preserve">In similar vein, in </w:t>
      </w:r>
      <w:r w:rsidR="008C1D67" w:rsidRPr="00811277">
        <w:rPr>
          <w:rFonts w:ascii="Arial" w:eastAsia="Times New Roman" w:hAnsi="Arial" w:cs="Arial"/>
          <w:bCs/>
          <w:i/>
          <w:iCs/>
          <w:sz w:val="24"/>
          <w:szCs w:val="24"/>
          <w:lang w:val="en-GB"/>
        </w:rPr>
        <w:t>Gijima</w:t>
      </w:r>
      <w:r w:rsidR="00FF4EAB" w:rsidRPr="00811277">
        <w:rPr>
          <w:rFonts w:ascii="Arial" w:eastAsia="Times New Roman" w:hAnsi="Arial" w:cs="Arial"/>
          <w:bCs/>
          <w:sz w:val="24"/>
          <w:szCs w:val="24"/>
          <w:lang w:val="en-GB"/>
        </w:rPr>
        <w:t xml:space="preserve"> </w:t>
      </w:r>
      <w:r w:rsidR="008C1D67">
        <w:rPr>
          <w:rStyle w:val="FootnoteReference"/>
          <w:rFonts w:ascii="Arial" w:eastAsia="Times New Roman" w:hAnsi="Arial" w:cs="Arial"/>
          <w:bCs/>
          <w:sz w:val="24"/>
          <w:szCs w:val="24"/>
          <w:lang w:val="en-GB"/>
        </w:rPr>
        <w:footnoteReference w:id="70"/>
      </w:r>
      <w:r w:rsidR="008C1D67" w:rsidRPr="00811277">
        <w:rPr>
          <w:rFonts w:ascii="Arial" w:eastAsia="Times New Roman" w:hAnsi="Arial" w:cs="Arial"/>
          <w:bCs/>
          <w:sz w:val="24"/>
          <w:szCs w:val="24"/>
          <w:lang w:val="en-GB"/>
        </w:rPr>
        <w:t xml:space="preserve"> </w:t>
      </w:r>
      <w:r w:rsidR="00D514ED" w:rsidRPr="00811277">
        <w:rPr>
          <w:rFonts w:ascii="Arial" w:eastAsia="Times New Roman" w:hAnsi="Arial" w:cs="Arial"/>
          <w:bCs/>
          <w:sz w:val="24"/>
          <w:szCs w:val="24"/>
          <w:lang w:val="en-GB"/>
        </w:rPr>
        <w:t xml:space="preserve">where </w:t>
      </w:r>
      <w:r w:rsidR="008C1D67" w:rsidRPr="00811277">
        <w:rPr>
          <w:rFonts w:ascii="Arial" w:eastAsia="Times New Roman" w:hAnsi="Arial" w:cs="Arial"/>
          <w:bCs/>
          <w:sz w:val="24"/>
          <w:szCs w:val="24"/>
          <w:lang w:val="en-GB"/>
        </w:rPr>
        <w:t xml:space="preserve">the CC held that organs of state who seek to review their own decisions must do so in terms of the principle of legality, and not by way of a review of administrative action in terms of PAJA (as it only applies to private persons and not to the state), </w:t>
      </w:r>
      <w:r w:rsidR="007D3A9F" w:rsidRPr="00811277">
        <w:rPr>
          <w:rFonts w:ascii="Arial" w:eastAsia="Times New Roman" w:hAnsi="Arial" w:cs="Arial"/>
          <w:bCs/>
          <w:sz w:val="24"/>
          <w:szCs w:val="24"/>
          <w:lang w:val="en-GB"/>
        </w:rPr>
        <w:t xml:space="preserve">it </w:t>
      </w:r>
      <w:r w:rsidR="008C1D67" w:rsidRPr="00811277">
        <w:rPr>
          <w:rFonts w:ascii="Arial" w:eastAsia="Times New Roman" w:hAnsi="Arial" w:cs="Arial"/>
          <w:bCs/>
          <w:sz w:val="24"/>
          <w:szCs w:val="24"/>
          <w:lang w:val="en-GB"/>
        </w:rPr>
        <w:t xml:space="preserve">confirmed </w:t>
      </w:r>
      <w:r w:rsidR="008C1D67" w:rsidRPr="00811277">
        <w:rPr>
          <w:rFonts w:ascii="Arial" w:eastAsia="Times New Roman" w:hAnsi="Arial" w:cs="Arial"/>
          <w:bCs/>
          <w:i/>
          <w:iCs/>
          <w:sz w:val="24"/>
          <w:szCs w:val="24"/>
          <w:lang w:val="en-GB"/>
        </w:rPr>
        <w:t>en passant</w:t>
      </w:r>
      <w:r w:rsidR="008C1D67" w:rsidRPr="00811277">
        <w:rPr>
          <w:rFonts w:ascii="Arial" w:eastAsia="Times New Roman" w:hAnsi="Arial" w:cs="Arial"/>
          <w:bCs/>
          <w:sz w:val="24"/>
          <w:szCs w:val="24"/>
          <w:lang w:val="en-GB"/>
        </w:rPr>
        <w:t xml:space="preserve"> that when doing </w:t>
      </w:r>
      <w:r w:rsidR="00D122DD" w:rsidRPr="00811277">
        <w:rPr>
          <w:rFonts w:ascii="Arial" w:eastAsia="Times New Roman" w:hAnsi="Arial" w:cs="Arial"/>
          <w:bCs/>
          <w:sz w:val="24"/>
          <w:szCs w:val="24"/>
          <w:lang w:val="en-GB"/>
        </w:rPr>
        <w:t xml:space="preserve">so </w:t>
      </w:r>
      <w:r w:rsidR="008C1D67" w:rsidRPr="00811277">
        <w:rPr>
          <w:rFonts w:ascii="Arial" w:eastAsia="Times New Roman" w:hAnsi="Arial" w:cs="Arial"/>
          <w:bCs/>
          <w:sz w:val="24"/>
          <w:szCs w:val="24"/>
          <w:lang w:val="en-GB"/>
        </w:rPr>
        <w:t xml:space="preserve">by way of a reactive challenge the question of ‘unwarranted delay’ may feature and may have to be accounted for. </w:t>
      </w:r>
      <w:r w:rsidR="00D514ED" w:rsidRPr="00811277">
        <w:rPr>
          <w:rFonts w:ascii="Arial" w:eastAsia="Times New Roman" w:hAnsi="Arial" w:cs="Arial"/>
          <w:bCs/>
          <w:sz w:val="24"/>
          <w:szCs w:val="24"/>
          <w:lang w:val="en-GB"/>
        </w:rPr>
        <w:t>Finally, i</w:t>
      </w:r>
      <w:r w:rsidR="000624AD" w:rsidRPr="00811277">
        <w:rPr>
          <w:rFonts w:ascii="Arial" w:eastAsia="Times New Roman" w:hAnsi="Arial" w:cs="Arial"/>
          <w:bCs/>
          <w:sz w:val="24"/>
          <w:szCs w:val="24"/>
          <w:lang w:val="en-GB"/>
        </w:rPr>
        <w:t xml:space="preserve">n </w:t>
      </w:r>
      <w:r w:rsidR="000624AD" w:rsidRPr="00811277">
        <w:rPr>
          <w:rFonts w:ascii="Arial" w:eastAsia="Times New Roman" w:hAnsi="Arial" w:cs="Arial"/>
          <w:bCs/>
          <w:i/>
          <w:iCs/>
          <w:sz w:val="24"/>
          <w:szCs w:val="24"/>
          <w:lang w:val="en-GB"/>
        </w:rPr>
        <w:t>Buffalo City</w:t>
      </w:r>
      <w:r w:rsidR="00173B91" w:rsidRPr="00811277">
        <w:rPr>
          <w:rFonts w:ascii="Arial" w:eastAsia="Times New Roman" w:hAnsi="Arial" w:cs="Arial"/>
          <w:bCs/>
          <w:i/>
          <w:iCs/>
          <w:sz w:val="24"/>
          <w:szCs w:val="24"/>
          <w:lang w:val="en-GB"/>
        </w:rPr>
        <w:t xml:space="preserve">, </w:t>
      </w:r>
      <w:r w:rsidR="000624AD">
        <w:rPr>
          <w:rStyle w:val="FootnoteReference"/>
          <w:rFonts w:ascii="Arial" w:eastAsia="Times New Roman" w:hAnsi="Arial" w:cs="Arial"/>
          <w:bCs/>
          <w:sz w:val="24"/>
          <w:szCs w:val="24"/>
          <w:lang w:val="en-GB"/>
        </w:rPr>
        <w:footnoteReference w:id="71"/>
      </w:r>
      <w:r w:rsidR="00173B91" w:rsidRPr="00811277">
        <w:rPr>
          <w:rFonts w:ascii="Arial" w:eastAsia="Times New Roman" w:hAnsi="Arial" w:cs="Arial"/>
          <w:bCs/>
          <w:i/>
          <w:iCs/>
          <w:sz w:val="24"/>
          <w:szCs w:val="24"/>
          <w:lang w:val="en-GB"/>
        </w:rPr>
        <w:t xml:space="preserve"> </w:t>
      </w:r>
      <w:r w:rsidR="00173B91" w:rsidRPr="00811277">
        <w:rPr>
          <w:rFonts w:ascii="Arial" w:eastAsia="Times New Roman" w:hAnsi="Arial" w:cs="Arial"/>
          <w:bCs/>
          <w:sz w:val="24"/>
          <w:szCs w:val="24"/>
          <w:lang w:val="en-GB"/>
        </w:rPr>
        <w:t xml:space="preserve">where the municipality raised a collateral challenge in the form of the review of a tender (in defence to an application for provisional sentence claiming payment in terms of </w:t>
      </w:r>
      <w:r w:rsidR="007D3A9F" w:rsidRPr="00811277">
        <w:rPr>
          <w:rFonts w:ascii="Arial" w:eastAsia="Times New Roman" w:hAnsi="Arial" w:cs="Arial"/>
          <w:bCs/>
          <w:sz w:val="24"/>
          <w:szCs w:val="24"/>
          <w:lang w:val="en-GB"/>
        </w:rPr>
        <w:t>a</w:t>
      </w:r>
      <w:r w:rsidR="00173B91" w:rsidRPr="00811277">
        <w:rPr>
          <w:rFonts w:ascii="Arial" w:eastAsia="Times New Roman" w:hAnsi="Arial" w:cs="Arial"/>
          <w:bCs/>
          <w:sz w:val="24"/>
          <w:szCs w:val="24"/>
          <w:lang w:val="en-GB"/>
        </w:rPr>
        <w:t xml:space="preserve"> contract which was concluded pursuant to the award thereof) the Court emphasised (per Cameron J) that if collateral review challenges were allowed in the face of utterly unreasonable delays, without even minimal explanations, the protections which had been afforded by various judgments would provide ‘leaky cover’.</w:t>
      </w:r>
    </w:p>
    <w:p w14:paraId="67AAFAAC" w14:textId="048C2C74" w:rsidR="006E1082" w:rsidRPr="00811277" w:rsidRDefault="00811277" w:rsidP="00811277">
      <w:pPr>
        <w:spacing w:line="360" w:lineRule="auto"/>
        <w:ind w:left="1080" w:hanging="720"/>
        <w:jc w:val="both"/>
        <w:rPr>
          <w:rFonts w:ascii="Arial" w:eastAsia="Times New Roman" w:hAnsi="Arial" w:cs="Arial"/>
          <w:bCs/>
          <w:sz w:val="24"/>
          <w:szCs w:val="24"/>
          <w:u w:val="single"/>
          <w:lang w:val="en-GB"/>
        </w:rPr>
      </w:pPr>
      <w:r w:rsidRPr="006E1082">
        <w:rPr>
          <w:rFonts w:ascii="Arial" w:eastAsia="Times New Roman" w:hAnsi="Arial" w:cs="Arial"/>
          <w:bCs/>
          <w:kern w:val="0"/>
          <w:sz w:val="24"/>
          <w:szCs w:val="24"/>
          <w:lang w:val="en-GB"/>
          <w14:ligatures w14:val="none"/>
        </w:rPr>
        <w:t>(ii)</w:t>
      </w:r>
      <w:r w:rsidRPr="006E1082">
        <w:rPr>
          <w:rFonts w:ascii="Arial" w:eastAsia="Times New Roman" w:hAnsi="Arial" w:cs="Arial"/>
          <w:bCs/>
          <w:kern w:val="0"/>
          <w:sz w:val="24"/>
          <w:szCs w:val="24"/>
          <w:lang w:val="en-GB"/>
          <w14:ligatures w14:val="none"/>
        </w:rPr>
        <w:tab/>
      </w:r>
      <w:r w:rsidR="006E1082" w:rsidRPr="00811277">
        <w:rPr>
          <w:rFonts w:ascii="Arial" w:eastAsia="Times New Roman" w:hAnsi="Arial" w:cs="Arial"/>
          <w:bCs/>
          <w:sz w:val="24"/>
          <w:szCs w:val="24"/>
          <w:u w:val="single"/>
          <w:lang w:val="en-GB"/>
        </w:rPr>
        <w:t>An application and a summary</w:t>
      </w:r>
    </w:p>
    <w:p w14:paraId="26056F5E" w14:textId="51017DFB" w:rsidR="00542AB3"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63.</w:t>
      </w:r>
      <w:r>
        <w:rPr>
          <w:rFonts w:ascii="Arial" w:eastAsia="Times New Roman" w:hAnsi="Arial" w:cs="Arial"/>
          <w:bCs/>
          <w:kern w:val="0"/>
          <w:sz w:val="24"/>
          <w:szCs w:val="24"/>
          <w:lang w:val="en-GB"/>
          <w14:ligatures w14:val="none"/>
        </w:rPr>
        <w:tab/>
      </w:r>
      <w:r w:rsidR="00173B91" w:rsidRPr="00811277">
        <w:rPr>
          <w:rFonts w:ascii="Arial" w:eastAsia="Times New Roman" w:hAnsi="Arial" w:cs="Arial"/>
          <w:bCs/>
          <w:sz w:val="24"/>
          <w:szCs w:val="24"/>
          <w:lang w:val="en-GB"/>
        </w:rPr>
        <w:t>It is time to apply the principles which have been elucidated, to the facts of the case which is before us. In doing</w:t>
      </w:r>
      <w:r w:rsidR="006E1082" w:rsidRPr="00811277">
        <w:rPr>
          <w:rFonts w:ascii="Arial" w:eastAsia="Times New Roman" w:hAnsi="Arial" w:cs="Arial"/>
          <w:bCs/>
          <w:sz w:val="24"/>
          <w:szCs w:val="24"/>
          <w:lang w:val="en-GB"/>
        </w:rPr>
        <w:t xml:space="preserve"> so</w:t>
      </w:r>
      <w:r w:rsidR="00173B91" w:rsidRPr="00811277">
        <w:rPr>
          <w:rFonts w:ascii="Arial" w:eastAsia="Times New Roman" w:hAnsi="Arial" w:cs="Arial"/>
          <w:bCs/>
          <w:sz w:val="24"/>
          <w:szCs w:val="24"/>
          <w:lang w:val="en-GB"/>
        </w:rPr>
        <w:t>, and by way of a preliminary remark, it is in my view</w:t>
      </w:r>
      <w:r w:rsidR="006E1082" w:rsidRPr="00811277">
        <w:rPr>
          <w:rFonts w:ascii="Arial" w:eastAsia="Times New Roman" w:hAnsi="Arial" w:cs="Arial"/>
          <w:bCs/>
          <w:sz w:val="24"/>
          <w:szCs w:val="24"/>
          <w:lang w:val="en-GB"/>
        </w:rPr>
        <w:t xml:space="preserve"> wholly unhelpful to make use of the formalistic distinction between a so-called ‘classical’ collateral challenge </w:t>
      </w:r>
      <w:r w:rsidR="00254C20" w:rsidRPr="00811277">
        <w:rPr>
          <w:rFonts w:ascii="Arial" w:eastAsia="Times New Roman" w:hAnsi="Arial" w:cs="Arial"/>
          <w:bCs/>
          <w:sz w:val="24"/>
          <w:szCs w:val="24"/>
          <w:lang w:val="en-GB"/>
        </w:rPr>
        <w:t xml:space="preserve">by a private person </w:t>
      </w:r>
      <w:r w:rsidR="006E1082" w:rsidRPr="00811277">
        <w:rPr>
          <w:rFonts w:ascii="Arial" w:eastAsia="Times New Roman" w:hAnsi="Arial" w:cs="Arial"/>
          <w:bCs/>
          <w:sz w:val="24"/>
          <w:szCs w:val="24"/>
          <w:lang w:val="en-GB"/>
        </w:rPr>
        <w:t xml:space="preserve">as it is commonly </w:t>
      </w:r>
      <w:r w:rsidR="006E1082" w:rsidRPr="00811277">
        <w:rPr>
          <w:rFonts w:ascii="Arial" w:eastAsia="Times New Roman" w:hAnsi="Arial" w:cs="Arial"/>
          <w:bCs/>
          <w:sz w:val="24"/>
          <w:szCs w:val="24"/>
          <w:lang w:val="en-GB"/>
        </w:rPr>
        <w:lastRenderedPageBreak/>
        <w:t xml:space="preserve">understood </w:t>
      </w:r>
      <w:r w:rsidR="00C45C2B" w:rsidRPr="00811277">
        <w:rPr>
          <w:rFonts w:ascii="Arial" w:eastAsia="Times New Roman" w:hAnsi="Arial" w:cs="Arial"/>
          <w:bCs/>
          <w:sz w:val="24"/>
          <w:szCs w:val="24"/>
          <w:lang w:val="en-GB"/>
        </w:rPr>
        <w:t>(</w:t>
      </w:r>
      <w:r w:rsidR="006E1082" w:rsidRPr="00811277">
        <w:rPr>
          <w:rFonts w:ascii="Arial" w:eastAsia="Times New Roman" w:hAnsi="Arial" w:cs="Arial"/>
          <w:bCs/>
          <w:sz w:val="24"/>
          <w:szCs w:val="24"/>
          <w:lang w:val="en-GB"/>
        </w:rPr>
        <w:t xml:space="preserve">as typified by and identified in </w:t>
      </w:r>
      <w:r w:rsidR="006E1082" w:rsidRPr="00811277">
        <w:rPr>
          <w:rFonts w:ascii="Arial" w:eastAsia="Times New Roman" w:hAnsi="Arial" w:cs="Arial"/>
          <w:bCs/>
          <w:i/>
          <w:iCs/>
          <w:sz w:val="24"/>
          <w:szCs w:val="24"/>
          <w:lang w:val="en-GB"/>
        </w:rPr>
        <w:t>Boddington</w:t>
      </w:r>
      <w:r w:rsidR="00C45C2B" w:rsidRPr="00811277">
        <w:rPr>
          <w:rFonts w:ascii="Arial" w:eastAsia="Times New Roman" w:hAnsi="Arial" w:cs="Arial"/>
          <w:bCs/>
          <w:i/>
          <w:iCs/>
          <w:sz w:val="24"/>
          <w:szCs w:val="24"/>
          <w:lang w:val="en-GB"/>
        </w:rPr>
        <w:t>)</w:t>
      </w:r>
      <w:r w:rsidR="006E1082" w:rsidRPr="00811277">
        <w:rPr>
          <w:rFonts w:ascii="Arial" w:eastAsia="Times New Roman" w:hAnsi="Arial" w:cs="Arial"/>
          <w:bCs/>
          <w:i/>
          <w:iCs/>
          <w:sz w:val="24"/>
          <w:szCs w:val="24"/>
          <w:lang w:val="en-GB"/>
        </w:rPr>
        <w:t>,</w:t>
      </w:r>
      <w:r w:rsidR="006E1082" w:rsidRPr="00811277">
        <w:rPr>
          <w:rFonts w:ascii="Arial" w:eastAsia="Times New Roman" w:hAnsi="Arial" w:cs="Arial"/>
          <w:bCs/>
          <w:sz w:val="24"/>
          <w:szCs w:val="24"/>
          <w:lang w:val="en-GB"/>
        </w:rPr>
        <w:t xml:space="preserve"> and </w:t>
      </w:r>
      <w:r w:rsidR="002E47BE" w:rsidRPr="00811277">
        <w:rPr>
          <w:rFonts w:ascii="Arial" w:eastAsia="Times New Roman" w:hAnsi="Arial" w:cs="Arial"/>
          <w:bCs/>
          <w:sz w:val="24"/>
          <w:szCs w:val="24"/>
          <w:lang w:val="en-GB"/>
        </w:rPr>
        <w:t>a</w:t>
      </w:r>
      <w:r w:rsidR="006E1082" w:rsidRPr="00811277">
        <w:rPr>
          <w:rFonts w:ascii="Arial" w:eastAsia="Times New Roman" w:hAnsi="Arial" w:cs="Arial"/>
          <w:bCs/>
          <w:sz w:val="24"/>
          <w:szCs w:val="24"/>
          <w:lang w:val="en-GB"/>
        </w:rPr>
        <w:t xml:space="preserve"> so-called ‘extended’ one</w:t>
      </w:r>
      <w:r w:rsidR="00254C20" w:rsidRPr="00811277">
        <w:rPr>
          <w:rFonts w:ascii="Arial" w:eastAsia="Times New Roman" w:hAnsi="Arial" w:cs="Arial"/>
          <w:bCs/>
          <w:sz w:val="24"/>
          <w:szCs w:val="24"/>
          <w:lang w:val="en-GB"/>
        </w:rPr>
        <w:t xml:space="preserve"> by an organ of state or corporate entity</w:t>
      </w:r>
      <w:r w:rsidR="00C45C2B" w:rsidRPr="00811277">
        <w:rPr>
          <w:rFonts w:ascii="Arial" w:eastAsia="Times New Roman" w:hAnsi="Arial" w:cs="Arial"/>
          <w:bCs/>
          <w:sz w:val="24"/>
          <w:szCs w:val="24"/>
          <w:lang w:val="en-GB"/>
        </w:rPr>
        <w:t xml:space="preserve"> (of the kind which features in </w:t>
      </w:r>
      <w:r w:rsidR="004D2952" w:rsidRPr="00811277">
        <w:rPr>
          <w:rFonts w:ascii="Arial" w:eastAsia="Times New Roman" w:hAnsi="Arial" w:cs="Arial"/>
          <w:bCs/>
          <w:i/>
          <w:iCs/>
          <w:sz w:val="24"/>
          <w:szCs w:val="24"/>
          <w:lang w:val="en-GB"/>
        </w:rPr>
        <w:t>Oudekraal,</w:t>
      </w:r>
      <w:r w:rsidR="004D2952" w:rsidRPr="00811277">
        <w:rPr>
          <w:rFonts w:ascii="Arial" w:eastAsia="Times New Roman" w:hAnsi="Arial" w:cs="Arial"/>
          <w:bCs/>
          <w:sz w:val="24"/>
          <w:szCs w:val="24"/>
          <w:lang w:val="en-GB"/>
        </w:rPr>
        <w:t xml:space="preserve"> </w:t>
      </w:r>
      <w:r w:rsidR="00542AB3" w:rsidRPr="00811277">
        <w:rPr>
          <w:rFonts w:ascii="Arial" w:eastAsia="Times New Roman" w:hAnsi="Arial" w:cs="Arial"/>
          <w:bCs/>
          <w:i/>
          <w:iCs/>
          <w:sz w:val="24"/>
          <w:szCs w:val="24"/>
          <w:lang w:val="en-GB"/>
        </w:rPr>
        <w:t>Merafong</w:t>
      </w:r>
      <w:r w:rsidR="00542AB3" w:rsidRPr="00811277">
        <w:rPr>
          <w:rFonts w:ascii="Arial" w:eastAsia="Times New Roman" w:hAnsi="Arial" w:cs="Arial"/>
          <w:bCs/>
          <w:sz w:val="24"/>
          <w:szCs w:val="24"/>
          <w:lang w:val="en-GB"/>
        </w:rPr>
        <w:t xml:space="preserve">, </w:t>
      </w:r>
      <w:r w:rsidR="00C45C2B" w:rsidRPr="00811277">
        <w:rPr>
          <w:rFonts w:ascii="Arial" w:eastAsia="Times New Roman" w:hAnsi="Arial" w:cs="Arial"/>
          <w:bCs/>
          <w:i/>
          <w:iCs/>
          <w:sz w:val="24"/>
          <w:szCs w:val="24"/>
          <w:lang w:val="en-GB"/>
        </w:rPr>
        <w:t>Tasima</w:t>
      </w:r>
      <w:r w:rsidR="00C45C2B" w:rsidRPr="00811277">
        <w:rPr>
          <w:rFonts w:ascii="Arial" w:eastAsia="Times New Roman" w:hAnsi="Arial" w:cs="Arial"/>
          <w:bCs/>
          <w:sz w:val="24"/>
          <w:szCs w:val="24"/>
          <w:lang w:val="en-GB"/>
        </w:rPr>
        <w:t xml:space="preserve"> and </w:t>
      </w:r>
      <w:r w:rsidR="00C45C2B" w:rsidRPr="00811277">
        <w:rPr>
          <w:rFonts w:ascii="Arial" w:eastAsia="Times New Roman" w:hAnsi="Arial" w:cs="Arial"/>
          <w:bCs/>
          <w:i/>
          <w:iCs/>
          <w:sz w:val="24"/>
          <w:szCs w:val="24"/>
          <w:lang w:val="en-GB"/>
        </w:rPr>
        <w:t>Buffalo City)</w:t>
      </w:r>
      <w:r w:rsidR="006E1082" w:rsidRPr="00811277">
        <w:rPr>
          <w:rFonts w:ascii="Arial" w:eastAsia="Times New Roman" w:hAnsi="Arial" w:cs="Arial"/>
          <w:bCs/>
          <w:sz w:val="24"/>
          <w:szCs w:val="24"/>
          <w:lang w:val="en-GB"/>
        </w:rPr>
        <w:t>, and to attempt to f</w:t>
      </w:r>
      <w:r w:rsidR="00DF6D91" w:rsidRPr="00811277">
        <w:rPr>
          <w:rFonts w:ascii="Arial" w:eastAsia="Times New Roman" w:hAnsi="Arial" w:cs="Arial"/>
          <w:bCs/>
          <w:sz w:val="24"/>
          <w:szCs w:val="24"/>
          <w:lang w:val="en-GB"/>
        </w:rPr>
        <w:t>orce</w:t>
      </w:r>
      <w:r w:rsidR="006E1082" w:rsidRPr="00811277">
        <w:rPr>
          <w:rFonts w:ascii="Arial" w:eastAsia="Times New Roman" w:hAnsi="Arial" w:cs="Arial"/>
          <w:bCs/>
          <w:sz w:val="24"/>
          <w:szCs w:val="24"/>
          <w:lang w:val="en-GB"/>
        </w:rPr>
        <w:t xml:space="preserve"> the facts of this matter into one or other of these</w:t>
      </w:r>
      <w:r w:rsidR="00C45C2B" w:rsidRPr="00811277">
        <w:rPr>
          <w:rFonts w:ascii="Arial" w:eastAsia="Times New Roman" w:hAnsi="Arial" w:cs="Arial"/>
          <w:bCs/>
          <w:sz w:val="24"/>
          <w:szCs w:val="24"/>
          <w:lang w:val="en-GB"/>
        </w:rPr>
        <w:t xml:space="preserve"> categorizations</w:t>
      </w:r>
      <w:r w:rsidR="006E1082" w:rsidRPr="00811277">
        <w:rPr>
          <w:rFonts w:ascii="Arial" w:eastAsia="Times New Roman" w:hAnsi="Arial" w:cs="Arial"/>
          <w:bCs/>
          <w:sz w:val="24"/>
          <w:szCs w:val="24"/>
          <w:lang w:val="en-GB"/>
        </w:rPr>
        <w:t xml:space="preserve">. </w:t>
      </w:r>
      <w:r w:rsidR="00C6045C" w:rsidRPr="00811277">
        <w:rPr>
          <w:rFonts w:ascii="Arial" w:eastAsia="Times New Roman" w:hAnsi="Arial" w:cs="Arial"/>
          <w:bCs/>
          <w:sz w:val="24"/>
          <w:szCs w:val="24"/>
          <w:lang w:val="en-GB"/>
        </w:rPr>
        <w:t>W</w:t>
      </w:r>
      <w:r w:rsidR="006E1082" w:rsidRPr="00811277">
        <w:rPr>
          <w:rFonts w:ascii="Arial" w:eastAsia="Times New Roman" w:hAnsi="Arial" w:cs="Arial"/>
          <w:bCs/>
          <w:sz w:val="24"/>
          <w:szCs w:val="24"/>
          <w:lang w:val="en-GB"/>
        </w:rPr>
        <w:t>hereas th</w:t>
      </w:r>
      <w:r w:rsidR="00C45C2B" w:rsidRPr="00811277">
        <w:rPr>
          <w:rFonts w:ascii="Arial" w:eastAsia="Times New Roman" w:hAnsi="Arial" w:cs="Arial"/>
          <w:bCs/>
          <w:sz w:val="24"/>
          <w:szCs w:val="24"/>
          <w:lang w:val="en-GB"/>
        </w:rPr>
        <w:t>ey</w:t>
      </w:r>
      <w:r w:rsidR="006E1082" w:rsidRPr="00811277">
        <w:rPr>
          <w:rFonts w:ascii="Arial" w:eastAsia="Times New Roman" w:hAnsi="Arial" w:cs="Arial"/>
          <w:bCs/>
          <w:sz w:val="24"/>
          <w:szCs w:val="24"/>
          <w:lang w:val="en-GB"/>
        </w:rPr>
        <w:t xml:space="preserve"> may be useful when one is engaged in attempting to understand the historical origin</w:t>
      </w:r>
      <w:r w:rsidR="00C45C2B" w:rsidRPr="00811277">
        <w:rPr>
          <w:rFonts w:ascii="Arial" w:eastAsia="Times New Roman" w:hAnsi="Arial" w:cs="Arial"/>
          <w:bCs/>
          <w:sz w:val="24"/>
          <w:szCs w:val="24"/>
          <w:lang w:val="en-GB"/>
        </w:rPr>
        <w:t>s</w:t>
      </w:r>
      <w:r w:rsidR="006E1082" w:rsidRPr="00811277">
        <w:rPr>
          <w:rFonts w:ascii="Arial" w:eastAsia="Times New Roman" w:hAnsi="Arial" w:cs="Arial"/>
          <w:bCs/>
          <w:sz w:val="24"/>
          <w:szCs w:val="24"/>
          <w:lang w:val="en-GB"/>
        </w:rPr>
        <w:t xml:space="preserve"> and the evolution and development of the use of such challenges, in English law and our law, </w:t>
      </w:r>
      <w:r w:rsidR="00C45C2B" w:rsidRPr="00811277">
        <w:rPr>
          <w:rFonts w:ascii="Arial" w:eastAsia="Times New Roman" w:hAnsi="Arial" w:cs="Arial"/>
          <w:bCs/>
          <w:sz w:val="24"/>
          <w:szCs w:val="24"/>
          <w:lang w:val="en-GB"/>
        </w:rPr>
        <w:t xml:space="preserve">they should not be seen and understood as two different legal animals, which are subject to two </w:t>
      </w:r>
      <w:r w:rsidR="00254C20" w:rsidRPr="00811277">
        <w:rPr>
          <w:rFonts w:ascii="Arial" w:eastAsia="Times New Roman" w:hAnsi="Arial" w:cs="Arial"/>
          <w:bCs/>
          <w:sz w:val="24"/>
          <w:szCs w:val="24"/>
          <w:lang w:val="en-GB"/>
        </w:rPr>
        <w:t xml:space="preserve">wholly </w:t>
      </w:r>
      <w:r w:rsidR="00C45C2B" w:rsidRPr="00811277">
        <w:rPr>
          <w:rFonts w:ascii="Arial" w:eastAsia="Times New Roman" w:hAnsi="Arial" w:cs="Arial"/>
          <w:bCs/>
          <w:sz w:val="24"/>
          <w:szCs w:val="24"/>
          <w:lang w:val="en-GB"/>
        </w:rPr>
        <w:t>different legal regimes and treatments.</w:t>
      </w:r>
      <w:r w:rsidR="004D2952" w:rsidRPr="00811277">
        <w:rPr>
          <w:rFonts w:ascii="Arial" w:eastAsia="Times New Roman" w:hAnsi="Arial" w:cs="Arial"/>
          <w:bCs/>
          <w:sz w:val="24"/>
          <w:szCs w:val="24"/>
          <w:lang w:val="en-GB"/>
        </w:rPr>
        <w:t xml:space="preserve"> </w:t>
      </w:r>
      <w:r w:rsidR="00542AB3" w:rsidRPr="00811277">
        <w:rPr>
          <w:rFonts w:ascii="Arial" w:eastAsia="Times New Roman" w:hAnsi="Arial" w:cs="Arial"/>
          <w:bCs/>
          <w:sz w:val="24"/>
          <w:szCs w:val="24"/>
          <w:lang w:val="en-GB"/>
        </w:rPr>
        <w:t>Given the developments which have occurred in this area of the law and the extension of the availability of such challenges, from private persons to corporate entities and organs of state, and from purely reactive i.e. defensive applications to offensive ones it is, in my view</w:t>
      </w:r>
      <w:r w:rsidR="007461E5" w:rsidRPr="00811277">
        <w:rPr>
          <w:rFonts w:ascii="Arial" w:eastAsia="Times New Roman" w:hAnsi="Arial" w:cs="Arial"/>
          <w:bCs/>
          <w:sz w:val="24"/>
          <w:szCs w:val="24"/>
          <w:lang w:val="en-GB"/>
        </w:rPr>
        <w:t>,</w:t>
      </w:r>
      <w:r w:rsidR="00542AB3" w:rsidRPr="00811277">
        <w:rPr>
          <w:rFonts w:ascii="Arial" w:eastAsia="Times New Roman" w:hAnsi="Arial" w:cs="Arial"/>
          <w:bCs/>
          <w:sz w:val="24"/>
          <w:szCs w:val="24"/>
          <w:lang w:val="en-GB"/>
        </w:rPr>
        <w:t xml:space="preserve"> time to jettison the artificiality of these distinctions and to simply refer to collateral challenges as a</w:t>
      </w:r>
      <w:r w:rsidR="0007383F" w:rsidRPr="00811277">
        <w:rPr>
          <w:rFonts w:ascii="Arial" w:eastAsia="Times New Roman" w:hAnsi="Arial" w:cs="Arial"/>
          <w:bCs/>
          <w:sz w:val="24"/>
          <w:szCs w:val="24"/>
          <w:lang w:val="en-GB"/>
        </w:rPr>
        <w:t xml:space="preserve"> </w:t>
      </w:r>
      <w:r w:rsidR="00542AB3" w:rsidRPr="00811277">
        <w:rPr>
          <w:rFonts w:ascii="Arial" w:eastAsia="Times New Roman" w:hAnsi="Arial" w:cs="Arial"/>
          <w:bCs/>
          <w:sz w:val="24"/>
          <w:szCs w:val="24"/>
          <w:lang w:val="en-GB"/>
        </w:rPr>
        <w:t xml:space="preserve">genus, rather than in terms of separate species.    </w:t>
      </w:r>
    </w:p>
    <w:p w14:paraId="20287BD1" w14:textId="6F4D487E" w:rsidR="00C6045C"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64.</w:t>
      </w:r>
      <w:r>
        <w:rPr>
          <w:rFonts w:ascii="Arial" w:eastAsia="Times New Roman" w:hAnsi="Arial" w:cs="Arial"/>
          <w:bCs/>
          <w:kern w:val="0"/>
          <w:sz w:val="24"/>
          <w:szCs w:val="24"/>
          <w:lang w:val="en-GB"/>
          <w14:ligatures w14:val="none"/>
        </w:rPr>
        <w:tab/>
      </w:r>
      <w:r w:rsidR="00542AB3" w:rsidRPr="00811277">
        <w:rPr>
          <w:rFonts w:ascii="Arial" w:eastAsia="Times New Roman" w:hAnsi="Arial" w:cs="Arial"/>
          <w:bCs/>
          <w:sz w:val="24"/>
          <w:szCs w:val="24"/>
          <w:lang w:val="en-GB"/>
        </w:rPr>
        <w:t>I</w:t>
      </w:r>
      <w:r w:rsidR="004D2952" w:rsidRPr="00811277">
        <w:rPr>
          <w:rFonts w:ascii="Arial" w:eastAsia="Times New Roman" w:hAnsi="Arial" w:cs="Arial"/>
          <w:bCs/>
          <w:sz w:val="24"/>
          <w:szCs w:val="24"/>
          <w:lang w:val="en-GB"/>
        </w:rPr>
        <w:t xml:space="preserve">t is precisely because of the appellant’s attempt to straitjacket the facts of the matter into one or other of these categorizations, </w:t>
      </w:r>
      <w:r w:rsidR="001B345A" w:rsidRPr="00811277">
        <w:rPr>
          <w:rFonts w:ascii="Arial" w:eastAsia="Times New Roman" w:hAnsi="Arial" w:cs="Arial"/>
          <w:bCs/>
          <w:sz w:val="24"/>
          <w:szCs w:val="24"/>
          <w:lang w:val="en-GB"/>
        </w:rPr>
        <w:t>based on</w:t>
      </w:r>
      <w:r w:rsidR="004D2952" w:rsidRPr="00811277">
        <w:rPr>
          <w:rFonts w:ascii="Arial" w:eastAsia="Times New Roman" w:hAnsi="Arial" w:cs="Arial"/>
          <w:bCs/>
          <w:sz w:val="24"/>
          <w:szCs w:val="24"/>
          <w:lang w:val="en-GB"/>
        </w:rPr>
        <w:t xml:space="preserve"> the remarks which were made in </w:t>
      </w:r>
      <w:r w:rsidR="004D2952" w:rsidRPr="00811277">
        <w:rPr>
          <w:rFonts w:ascii="Arial" w:eastAsia="Times New Roman" w:hAnsi="Arial" w:cs="Arial"/>
          <w:bCs/>
          <w:i/>
          <w:iCs/>
          <w:sz w:val="24"/>
          <w:szCs w:val="24"/>
          <w:lang w:val="en-GB"/>
        </w:rPr>
        <w:t>Merafong</w:t>
      </w:r>
      <w:r w:rsidR="004D2952" w:rsidRPr="00811277">
        <w:rPr>
          <w:rFonts w:ascii="Arial" w:eastAsia="Times New Roman" w:hAnsi="Arial" w:cs="Arial"/>
          <w:bCs/>
          <w:sz w:val="24"/>
          <w:szCs w:val="24"/>
          <w:lang w:val="en-GB"/>
        </w:rPr>
        <w:t>, that the parties arrive at diametrically opposite interpretations of the judgment</w:t>
      </w:r>
      <w:r w:rsidR="00243F1F" w:rsidRPr="00811277">
        <w:rPr>
          <w:rFonts w:ascii="Arial" w:eastAsia="Times New Roman" w:hAnsi="Arial" w:cs="Arial"/>
          <w:bCs/>
          <w:sz w:val="24"/>
          <w:szCs w:val="24"/>
          <w:lang w:val="en-GB"/>
        </w:rPr>
        <w:t>, and the appellant has misread the judgment</w:t>
      </w:r>
      <w:r w:rsidR="004D2952" w:rsidRPr="00811277">
        <w:rPr>
          <w:rFonts w:ascii="Arial" w:eastAsia="Times New Roman" w:hAnsi="Arial" w:cs="Arial"/>
          <w:bCs/>
          <w:sz w:val="24"/>
          <w:szCs w:val="24"/>
          <w:lang w:val="en-GB"/>
        </w:rPr>
        <w:t xml:space="preserve">. </w:t>
      </w:r>
    </w:p>
    <w:p w14:paraId="4B86BEE9" w14:textId="3200288D" w:rsidR="00243F1F"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65.</w:t>
      </w:r>
      <w:r>
        <w:rPr>
          <w:rFonts w:ascii="Arial" w:eastAsia="Times New Roman" w:hAnsi="Arial" w:cs="Arial"/>
          <w:bCs/>
          <w:kern w:val="0"/>
          <w:sz w:val="24"/>
          <w:szCs w:val="24"/>
          <w:lang w:val="en-GB"/>
          <w14:ligatures w14:val="none"/>
        </w:rPr>
        <w:tab/>
      </w:r>
      <w:r w:rsidR="00D66278" w:rsidRPr="00811277">
        <w:rPr>
          <w:rFonts w:ascii="Arial" w:eastAsia="Times New Roman" w:hAnsi="Arial" w:cs="Arial"/>
          <w:bCs/>
          <w:sz w:val="24"/>
          <w:szCs w:val="24"/>
          <w:lang w:val="en-GB"/>
        </w:rPr>
        <w:t xml:space="preserve">The appellant </w:t>
      </w:r>
      <w:r w:rsidR="001256D9" w:rsidRPr="00811277">
        <w:rPr>
          <w:rFonts w:ascii="Arial" w:eastAsia="Times New Roman" w:hAnsi="Arial" w:cs="Arial"/>
          <w:bCs/>
          <w:sz w:val="24"/>
          <w:szCs w:val="24"/>
          <w:lang w:val="en-GB"/>
        </w:rPr>
        <w:t>contends</w:t>
      </w:r>
      <w:r w:rsidR="00D66278" w:rsidRPr="00811277">
        <w:rPr>
          <w:rFonts w:ascii="Arial" w:eastAsia="Times New Roman" w:hAnsi="Arial" w:cs="Arial"/>
          <w:bCs/>
          <w:sz w:val="24"/>
          <w:szCs w:val="24"/>
          <w:lang w:val="en-GB"/>
        </w:rPr>
        <w:t xml:space="preserve"> that </w:t>
      </w:r>
      <w:r w:rsidR="00243F1F" w:rsidRPr="00811277">
        <w:rPr>
          <w:rFonts w:ascii="Arial" w:eastAsia="Times New Roman" w:hAnsi="Arial" w:cs="Arial"/>
          <w:bCs/>
          <w:sz w:val="24"/>
          <w:szCs w:val="24"/>
          <w:lang w:val="en-GB"/>
        </w:rPr>
        <w:t>in saying</w:t>
      </w:r>
      <w:r w:rsidR="00D66278" w:rsidRPr="00811277">
        <w:rPr>
          <w:rFonts w:ascii="Arial" w:eastAsia="Times New Roman" w:hAnsi="Arial" w:cs="Arial"/>
          <w:bCs/>
          <w:sz w:val="24"/>
          <w:szCs w:val="24"/>
          <w:lang w:val="en-GB"/>
        </w:rPr>
        <w:t xml:space="preserve"> that in a ‘classical’ collateral challenge ‘delay plays no role’</w:t>
      </w:r>
      <w:r w:rsidR="00D66278">
        <w:rPr>
          <w:rStyle w:val="FootnoteReference"/>
          <w:rFonts w:ascii="Arial" w:eastAsia="Times New Roman" w:hAnsi="Arial" w:cs="Arial"/>
          <w:bCs/>
          <w:sz w:val="24"/>
          <w:szCs w:val="24"/>
          <w:lang w:val="en-GB"/>
        </w:rPr>
        <w:footnoteReference w:id="72"/>
      </w:r>
      <w:r w:rsidR="00D66278" w:rsidRPr="00811277">
        <w:rPr>
          <w:rFonts w:ascii="Arial" w:eastAsia="Times New Roman" w:hAnsi="Arial" w:cs="Arial"/>
          <w:bCs/>
          <w:sz w:val="24"/>
          <w:szCs w:val="24"/>
          <w:lang w:val="en-GB"/>
        </w:rPr>
        <w:t xml:space="preserve"> Cameron J was laying down a rule or principle. </w:t>
      </w:r>
      <w:r w:rsidR="00243F1F" w:rsidRPr="00811277">
        <w:rPr>
          <w:rFonts w:ascii="Arial" w:eastAsia="Times New Roman" w:hAnsi="Arial" w:cs="Arial"/>
          <w:bCs/>
          <w:sz w:val="24"/>
          <w:szCs w:val="24"/>
          <w:lang w:val="en-GB"/>
        </w:rPr>
        <w:t>And because of this, as the appellant’s challenge, according to it</w:t>
      </w:r>
      <w:r w:rsidR="001256D9" w:rsidRPr="00811277">
        <w:rPr>
          <w:rFonts w:ascii="Arial" w:eastAsia="Times New Roman" w:hAnsi="Arial" w:cs="Arial"/>
          <w:bCs/>
          <w:sz w:val="24"/>
          <w:szCs w:val="24"/>
          <w:lang w:val="en-GB"/>
        </w:rPr>
        <w:t>,</w:t>
      </w:r>
      <w:r w:rsidR="00243F1F" w:rsidRPr="00811277">
        <w:rPr>
          <w:rFonts w:ascii="Arial" w:eastAsia="Times New Roman" w:hAnsi="Arial" w:cs="Arial"/>
          <w:bCs/>
          <w:sz w:val="24"/>
          <w:szCs w:val="24"/>
          <w:lang w:val="en-GB"/>
        </w:rPr>
        <w:t xml:space="preserve"> is a ‘classical’ one, its delay in raising </w:t>
      </w:r>
      <w:r w:rsidR="001256D9" w:rsidRPr="00811277">
        <w:rPr>
          <w:rFonts w:ascii="Arial" w:eastAsia="Times New Roman" w:hAnsi="Arial" w:cs="Arial"/>
          <w:bCs/>
          <w:sz w:val="24"/>
          <w:szCs w:val="24"/>
          <w:lang w:val="en-GB"/>
        </w:rPr>
        <w:t xml:space="preserve">it </w:t>
      </w:r>
      <w:r w:rsidR="00243F1F" w:rsidRPr="00811277">
        <w:rPr>
          <w:rFonts w:ascii="Arial" w:eastAsia="Times New Roman" w:hAnsi="Arial" w:cs="Arial"/>
          <w:bCs/>
          <w:sz w:val="24"/>
          <w:szCs w:val="24"/>
          <w:lang w:val="en-GB"/>
        </w:rPr>
        <w:t>is</w:t>
      </w:r>
      <w:r w:rsidR="001256D9" w:rsidRPr="00811277">
        <w:rPr>
          <w:rFonts w:ascii="Arial" w:eastAsia="Times New Roman" w:hAnsi="Arial" w:cs="Arial"/>
          <w:bCs/>
          <w:sz w:val="24"/>
          <w:szCs w:val="24"/>
          <w:lang w:val="en-GB"/>
        </w:rPr>
        <w:t xml:space="preserve"> consequently </w:t>
      </w:r>
      <w:r w:rsidR="00243F1F" w:rsidRPr="00811277">
        <w:rPr>
          <w:rFonts w:ascii="Arial" w:eastAsia="Times New Roman" w:hAnsi="Arial" w:cs="Arial"/>
          <w:bCs/>
          <w:sz w:val="24"/>
          <w:szCs w:val="24"/>
          <w:lang w:val="en-GB"/>
        </w:rPr>
        <w:t xml:space="preserve">irrelevant and cannot be held against it. </w:t>
      </w:r>
    </w:p>
    <w:p w14:paraId="56749DF7" w14:textId="7E07F982" w:rsidR="001256D9"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66.</w:t>
      </w:r>
      <w:r>
        <w:rPr>
          <w:rFonts w:ascii="Arial" w:eastAsia="Times New Roman" w:hAnsi="Arial" w:cs="Arial"/>
          <w:bCs/>
          <w:kern w:val="0"/>
          <w:sz w:val="24"/>
          <w:szCs w:val="24"/>
          <w:lang w:val="en-GB"/>
          <w14:ligatures w14:val="none"/>
        </w:rPr>
        <w:tab/>
      </w:r>
      <w:r w:rsidR="00D66278" w:rsidRPr="00811277">
        <w:rPr>
          <w:rFonts w:ascii="Arial" w:eastAsia="Times New Roman" w:hAnsi="Arial" w:cs="Arial"/>
          <w:bCs/>
          <w:sz w:val="24"/>
          <w:szCs w:val="24"/>
          <w:lang w:val="en-GB"/>
        </w:rPr>
        <w:t xml:space="preserve">I do not understand </w:t>
      </w:r>
      <w:r w:rsidR="00243F1F" w:rsidRPr="00811277">
        <w:rPr>
          <w:rFonts w:ascii="Arial" w:eastAsia="Times New Roman" w:hAnsi="Arial" w:cs="Arial"/>
          <w:bCs/>
          <w:sz w:val="24"/>
          <w:szCs w:val="24"/>
          <w:lang w:val="en-GB"/>
        </w:rPr>
        <w:t>Cameron J’s comment</w:t>
      </w:r>
      <w:r w:rsidR="00D66278" w:rsidRPr="00811277">
        <w:rPr>
          <w:rFonts w:ascii="Arial" w:eastAsia="Times New Roman" w:hAnsi="Arial" w:cs="Arial"/>
          <w:bCs/>
          <w:sz w:val="24"/>
          <w:szCs w:val="24"/>
          <w:lang w:val="en-GB"/>
        </w:rPr>
        <w:t xml:space="preserve"> that way. </w:t>
      </w:r>
      <w:r w:rsidR="00243F1F" w:rsidRPr="00811277">
        <w:rPr>
          <w:rFonts w:ascii="Arial" w:eastAsia="Times New Roman" w:hAnsi="Arial" w:cs="Arial"/>
          <w:bCs/>
          <w:sz w:val="24"/>
          <w:szCs w:val="24"/>
          <w:lang w:val="en-GB"/>
        </w:rPr>
        <w:t>As is by now trite and well-established, when interpreting any document, including a judgment, one must consider the text i.e</w:t>
      </w:r>
      <w:r w:rsidR="00C24A93" w:rsidRPr="00811277">
        <w:rPr>
          <w:rFonts w:ascii="Arial" w:eastAsia="Times New Roman" w:hAnsi="Arial" w:cs="Arial"/>
          <w:bCs/>
          <w:sz w:val="24"/>
          <w:szCs w:val="24"/>
          <w:lang w:val="en-GB"/>
        </w:rPr>
        <w:t>.</w:t>
      </w:r>
      <w:r w:rsidR="00243F1F" w:rsidRPr="00811277">
        <w:rPr>
          <w:rFonts w:ascii="Arial" w:eastAsia="Times New Roman" w:hAnsi="Arial" w:cs="Arial"/>
          <w:bCs/>
          <w:sz w:val="24"/>
          <w:szCs w:val="24"/>
          <w:lang w:val="en-GB"/>
        </w:rPr>
        <w:t xml:space="preserve"> the language used, in the context of the document as a whole, with due regard for the purpose intended by the author. </w:t>
      </w:r>
      <w:r w:rsidR="00D66278" w:rsidRPr="00811277">
        <w:rPr>
          <w:rFonts w:ascii="Arial" w:eastAsia="Times New Roman" w:hAnsi="Arial" w:cs="Arial"/>
          <w:bCs/>
          <w:sz w:val="24"/>
          <w:szCs w:val="24"/>
          <w:lang w:val="en-GB"/>
        </w:rPr>
        <w:t xml:space="preserve">The comment must </w:t>
      </w:r>
      <w:r w:rsidR="00243F1F" w:rsidRPr="00811277">
        <w:rPr>
          <w:rFonts w:ascii="Arial" w:eastAsia="Times New Roman" w:hAnsi="Arial" w:cs="Arial"/>
          <w:bCs/>
          <w:sz w:val="24"/>
          <w:szCs w:val="24"/>
          <w:lang w:val="en-GB"/>
        </w:rPr>
        <w:t xml:space="preserve">accordingly </w:t>
      </w:r>
      <w:r w:rsidR="00D66278" w:rsidRPr="00811277">
        <w:rPr>
          <w:rFonts w:ascii="Arial" w:eastAsia="Times New Roman" w:hAnsi="Arial" w:cs="Arial"/>
          <w:bCs/>
          <w:sz w:val="24"/>
          <w:szCs w:val="24"/>
          <w:lang w:val="en-GB"/>
        </w:rPr>
        <w:t xml:space="preserve">be read and interpreted in the context of </w:t>
      </w:r>
      <w:r w:rsidR="00243F1F" w:rsidRPr="00811277">
        <w:rPr>
          <w:rFonts w:ascii="Arial" w:eastAsia="Times New Roman" w:hAnsi="Arial" w:cs="Arial"/>
          <w:bCs/>
          <w:sz w:val="24"/>
          <w:szCs w:val="24"/>
          <w:lang w:val="en-GB"/>
        </w:rPr>
        <w:t xml:space="preserve">the fact that it  was made </w:t>
      </w:r>
      <w:r w:rsidR="001256D9" w:rsidRPr="00811277">
        <w:rPr>
          <w:rFonts w:ascii="Arial" w:eastAsia="Times New Roman" w:hAnsi="Arial" w:cs="Arial"/>
          <w:bCs/>
          <w:sz w:val="24"/>
          <w:szCs w:val="24"/>
          <w:lang w:val="en-GB"/>
        </w:rPr>
        <w:t>as part of an exposition of the origins and development of the use of collateral challenges in our law, and the</w:t>
      </w:r>
      <w:r w:rsidR="00D66278" w:rsidRPr="00811277">
        <w:rPr>
          <w:rFonts w:ascii="Arial" w:eastAsia="Times New Roman" w:hAnsi="Arial" w:cs="Arial"/>
          <w:bCs/>
          <w:sz w:val="24"/>
          <w:szCs w:val="24"/>
          <w:lang w:val="en-GB"/>
        </w:rPr>
        <w:t xml:space="preserve"> further comment, a paragraph later, that a </w:t>
      </w:r>
      <w:r w:rsidR="001256D9" w:rsidRPr="00811277">
        <w:rPr>
          <w:rFonts w:ascii="Arial" w:eastAsia="Times New Roman" w:hAnsi="Arial" w:cs="Arial"/>
          <w:bCs/>
          <w:sz w:val="24"/>
          <w:szCs w:val="24"/>
          <w:lang w:val="en-GB"/>
        </w:rPr>
        <w:t xml:space="preserve">‘classical’ collateral </w:t>
      </w:r>
      <w:r w:rsidR="00D66278" w:rsidRPr="00811277">
        <w:rPr>
          <w:rFonts w:ascii="Arial" w:eastAsia="Times New Roman" w:hAnsi="Arial" w:cs="Arial"/>
          <w:bCs/>
          <w:sz w:val="24"/>
          <w:szCs w:val="24"/>
          <w:lang w:val="en-GB"/>
        </w:rPr>
        <w:t xml:space="preserve">challenge provides a defence to a person who faces the enforcement of </w:t>
      </w:r>
      <w:r w:rsidR="00D66278" w:rsidRPr="00811277">
        <w:rPr>
          <w:rFonts w:ascii="Arial" w:eastAsia="Times New Roman" w:hAnsi="Arial" w:cs="Arial"/>
          <w:bCs/>
          <w:sz w:val="24"/>
          <w:szCs w:val="24"/>
          <w:lang w:val="en-GB"/>
        </w:rPr>
        <w:lastRenderedPageBreak/>
        <w:t>the law, but ‘who never previously confronted it’.</w:t>
      </w:r>
      <w:r w:rsidR="00D66278">
        <w:rPr>
          <w:rStyle w:val="FootnoteReference"/>
          <w:rFonts w:ascii="Arial" w:eastAsia="Times New Roman" w:hAnsi="Arial" w:cs="Arial"/>
          <w:bCs/>
          <w:sz w:val="24"/>
          <w:szCs w:val="24"/>
          <w:lang w:val="en-GB"/>
        </w:rPr>
        <w:footnoteReference w:id="73"/>
      </w:r>
      <w:r w:rsidR="00D66278" w:rsidRPr="00811277">
        <w:rPr>
          <w:rFonts w:ascii="Arial" w:eastAsia="Times New Roman" w:hAnsi="Arial" w:cs="Arial"/>
          <w:bCs/>
          <w:sz w:val="24"/>
          <w:szCs w:val="24"/>
          <w:lang w:val="en-GB"/>
        </w:rPr>
        <w:t xml:space="preserve"> </w:t>
      </w:r>
      <w:r w:rsidR="009543E3" w:rsidRPr="00811277">
        <w:rPr>
          <w:rFonts w:ascii="Arial" w:eastAsia="Times New Roman" w:hAnsi="Arial" w:cs="Arial"/>
          <w:bCs/>
          <w:sz w:val="24"/>
          <w:szCs w:val="24"/>
          <w:lang w:val="en-GB"/>
        </w:rPr>
        <w:t>(</w:t>
      </w:r>
      <w:r w:rsidR="00243F1F" w:rsidRPr="00811277">
        <w:rPr>
          <w:rFonts w:ascii="Arial" w:eastAsia="Times New Roman" w:hAnsi="Arial" w:cs="Arial"/>
          <w:bCs/>
          <w:sz w:val="24"/>
          <w:szCs w:val="24"/>
          <w:lang w:val="en-GB"/>
        </w:rPr>
        <w:t>Perhaps</w:t>
      </w:r>
      <w:r w:rsidR="00DF6D91" w:rsidRPr="00811277">
        <w:rPr>
          <w:rFonts w:ascii="Arial" w:eastAsia="Times New Roman" w:hAnsi="Arial" w:cs="Arial"/>
          <w:bCs/>
          <w:sz w:val="24"/>
          <w:szCs w:val="24"/>
          <w:lang w:val="en-GB"/>
        </w:rPr>
        <w:t>, with respect,</w:t>
      </w:r>
      <w:r w:rsidR="00243F1F" w:rsidRPr="00811277">
        <w:rPr>
          <w:rFonts w:ascii="Arial" w:eastAsia="Times New Roman" w:hAnsi="Arial" w:cs="Arial"/>
          <w:bCs/>
          <w:sz w:val="24"/>
          <w:szCs w:val="24"/>
          <w:lang w:val="en-GB"/>
        </w:rPr>
        <w:t xml:space="preserve"> a better formulation would have been to say ‘who never previously was confronted by it’</w:t>
      </w:r>
      <w:r w:rsidR="009543E3" w:rsidRPr="00811277">
        <w:rPr>
          <w:rFonts w:ascii="Arial" w:eastAsia="Times New Roman" w:hAnsi="Arial" w:cs="Arial"/>
          <w:bCs/>
          <w:sz w:val="24"/>
          <w:szCs w:val="24"/>
          <w:lang w:val="en-GB"/>
        </w:rPr>
        <w:t>?)</w:t>
      </w:r>
      <w:r w:rsidR="00243F1F" w:rsidRPr="00811277">
        <w:rPr>
          <w:rFonts w:ascii="Arial" w:eastAsia="Times New Roman" w:hAnsi="Arial" w:cs="Arial"/>
          <w:bCs/>
          <w:sz w:val="24"/>
          <w:szCs w:val="24"/>
          <w:lang w:val="en-GB"/>
        </w:rPr>
        <w:t xml:space="preserve">. </w:t>
      </w:r>
    </w:p>
    <w:p w14:paraId="20C6ED82" w14:textId="39C0520A" w:rsidR="00D66278"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67.</w:t>
      </w:r>
      <w:r>
        <w:rPr>
          <w:rFonts w:ascii="Arial" w:eastAsia="Times New Roman" w:hAnsi="Arial" w:cs="Arial"/>
          <w:bCs/>
          <w:kern w:val="0"/>
          <w:sz w:val="24"/>
          <w:szCs w:val="24"/>
          <w:lang w:val="en-GB"/>
          <w14:ligatures w14:val="none"/>
        </w:rPr>
        <w:tab/>
      </w:r>
      <w:r w:rsidR="00243F1F" w:rsidRPr="00811277">
        <w:rPr>
          <w:rFonts w:ascii="Arial" w:eastAsia="Times New Roman" w:hAnsi="Arial" w:cs="Arial"/>
          <w:bCs/>
          <w:sz w:val="24"/>
          <w:szCs w:val="24"/>
          <w:lang w:val="en-GB"/>
        </w:rPr>
        <w:t>In my view</w:t>
      </w:r>
      <w:r w:rsidR="001256D9" w:rsidRPr="00811277">
        <w:rPr>
          <w:rFonts w:ascii="Arial" w:eastAsia="Times New Roman" w:hAnsi="Arial" w:cs="Arial"/>
          <w:bCs/>
          <w:sz w:val="24"/>
          <w:szCs w:val="24"/>
          <w:lang w:val="en-GB"/>
        </w:rPr>
        <w:t>, properly considered in this context, what</w:t>
      </w:r>
      <w:r w:rsidR="00243F1F" w:rsidRPr="00811277">
        <w:rPr>
          <w:rFonts w:ascii="Arial" w:eastAsia="Times New Roman" w:hAnsi="Arial" w:cs="Arial"/>
          <w:bCs/>
          <w:sz w:val="24"/>
          <w:szCs w:val="24"/>
          <w:lang w:val="en-GB"/>
        </w:rPr>
        <w:t xml:space="preserve"> </w:t>
      </w:r>
      <w:r w:rsidR="001256D9" w:rsidRPr="00811277">
        <w:rPr>
          <w:rFonts w:ascii="Arial" w:eastAsia="Times New Roman" w:hAnsi="Arial" w:cs="Arial"/>
          <w:bCs/>
          <w:sz w:val="24"/>
          <w:szCs w:val="24"/>
          <w:lang w:val="en-GB"/>
        </w:rPr>
        <w:t xml:space="preserve">Cameron J </w:t>
      </w:r>
      <w:r w:rsidR="00D66278" w:rsidRPr="00811277">
        <w:rPr>
          <w:rFonts w:ascii="Arial" w:eastAsia="Times New Roman" w:hAnsi="Arial" w:cs="Arial"/>
          <w:bCs/>
          <w:sz w:val="24"/>
          <w:szCs w:val="24"/>
          <w:lang w:val="en-GB"/>
        </w:rPr>
        <w:t xml:space="preserve">was saying </w:t>
      </w:r>
      <w:r w:rsidR="00243F1F" w:rsidRPr="00811277">
        <w:rPr>
          <w:rFonts w:ascii="Arial" w:eastAsia="Times New Roman" w:hAnsi="Arial" w:cs="Arial"/>
          <w:bCs/>
          <w:sz w:val="24"/>
          <w:szCs w:val="24"/>
          <w:lang w:val="en-GB"/>
        </w:rPr>
        <w:t>was</w:t>
      </w:r>
      <w:r w:rsidR="00D66278" w:rsidRPr="00811277">
        <w:rPr>
          <w:rFonts w:ascii="Arial" w:eastAsia="Times New Roman" w:hAnsi="Arial" w:cs="Arial"/>
          <w:bCs/>
          <w:sz w:val="24"/>
          <w:szCs w:val="24"/>
          <w:lang w:val="en-GB"/>
        </w:rPr>
        <w:t xml:space="preserve"> that in the ‘classical’ collateral challenge</w:t>
      </w:r>
      <w:r w:rsidR="00243F1F" w:rsidRPr="00811277">
        <w:rPr>
          <w:rFonts w:ascii="Arial" w:eastAsia="Times New Roman" w:hAnsi="Arial" w:cs="Arial"/>
          <w:bCs/>
          <w:sz w:val="24"/>
          <w:szCs w:val="24"/>
          <w:lang w:val="en-GB"/>
        </w:rPr>
        <w:t xml:space="preserve"> delay </w:t>
      </w:r>
      <w:r w:rsidR="00243F1F" w:rsidRPr="00811277">
        <w:rPr>
          <w:rFonts w:ascii="Arial" w:eastAsia="Times New Roman" w:hAnsi="Arial" w:cs="Arial"/>
          <w:bCs/>
          <w:i/>
          <w:iCs/>
          <w:sz w:val="24"/>
          <w:szCs w:val="24"/>
          <w:lang w:val="en-GB"/>
        </w:rPr>
        <w:t>commonly cannot or does not</w:t>
      </w:r>
      <w:r w:rsidR="00243F1F" w:rsidRPr="00811277">
        <w:rPr>
          <w:rFonts w:ascii="Arial" w:eastAsia="Times New Roman" w:hAnsi="Arial" w:cs="Arial"/>
          <w:bCs/>
          <w:sz w:val="24"/>
          <w:szCs w:val="24"/>
          <w:lang w:val="en-GB"/>
        </w:rPr>
        <w:t xml:space="preserve"> play a role, because it is concerned with cases where a person (or as it has subsequently been extended, a corporate entity or organ of state)</w:t>
      </w:r>
      <w:r w:rsidR="001256D9" w:rsidRPr="00811277">
        <w:rPr>
          <w:rFonts w:ascii="Arial" w:eastAsia="Times New Roman" w:hAnsi="Arial" w:cs="Arial"/>
          <w:bCs/>
          <w:sz w:val="24"/>
          <w:szCs w:val="24"/>
          <w:lang w:val="en-GB"/>
        </w:rPr>
        <w:t xml:space="preserve"> has not previously been confronted with the coercive action concerned i.e. with the enforcement of an administrative  action or decision which he now seeks to resist</w:t>
      </w:r>
      <w:r w:rsidR="00DF6D91" w:rsidRPr="00811277">
        <w:rPr>
          <w:rFonts w:ascii="Arial" w:eastAsia="Times New Roman" w:hAnsi="Arial" w:cs="Arial"/>
          <w:bCs/>
          <w:sz w:val="24"/>
          <w:szCs w:val="24"/>
          <w:lang w:val="en-GB"/>
        </w:rPr>
        <w:t>,</w:t>
      </w:r>
      <w:r w:rsidR="001256D9" w:rsidRPr="00811277">
        <w:rPr>
          <w:rFonts w:ascii="Arial" w:eastAsia="Times New Roman" w:hAnsi="Arial" w:cs="Arial"/>
          <w:bCs/>
          <w:sz w:val="24"/>
          <w:szCs w:val="24"/>
          <w:lang w:val="en-GB"/>
        </w:rPr>
        <w:t xml:space="preserve"> when confronted by it. Obviously, in such circumstances there can be no issue or question about any delay on his </w:t>
      </w:r>
      <w:r w:rsidR="007461E5" w:rsidRPr="00811277">
        <w:rPr>
          <w:rFonts w:ascii="Arial" w:eastAsia="Times New Roman" w:hAnsi="Arial" w:cs="Arial"/>
          <w:bCs/>
          <w:sz w:val="24"/>
          <w:szCs w:val="24"/>
          <w:lang w:val="en-GB"/>
        </w:rPr>
        <w:t>part because</w:t>
      </w:r>
      <w:r w:rsidR="001256D9" w:rsidRPr="00811277">
        <w:rPr>
          <w:rFonts w:ascii="Arial" w:eastAsia="Times New Roman" w:hAnsi="Arial" w:cs="Arial"/>
          <w:bCs/>
          <w:sz w:val="24"/>
          <w:szCs w:val="24"/>
          <w:lang w:val="en-GB"/>
        </w:rPr>
        <w:t xml:space="preserve"> he was not confronted with the action before</w:t>
      </w:r>
      <w:r w:rsidR="003250E5" w:rsidRPr="00811277">
        <w:rPr>
          <w:rFonts w:ascii="Arial" w:eastAsia="Times New Roman" w:hAnsi="Arial" w:cs="Arial"/>
          <w:bCs/>
          <w:sz w:val="24"/>
          <w:szCs w:val="24"/>
          <w:lang w:val="en-GB"/>
        </w:rPr>
        <w:t xml:space="preserve">. Delay does not feature because it is considered that, until the confrontation occurred, there was no legal obligation on the subject of the coercive action to challenge it, or in the words of the case law, because </w:t>
      </w:r>
      <w:r w:rsidR="007461E5" w:rsidRPr="00811277">
        <w:rPr>
          <w:rFonts w:ascii="Arial" w:eastAsia="Times New Roman" w:hAnsi="Arial" w:cs="Arial"/>
          <w:bCs/>
          <w:sz w:val="24"/>
          <w:szCs w:val="24"/>
          <w:lang w:val="en-GB"/>
        </w:rPr>
        <w:t>in</w:t>
      </w:r>
      <w:r w:rsidR="003250E5" w:rsidRPr="00811277">
        <w:rPr>
          <w:rFonts w:ascii="Arial" w:eastAsia="Times New Roman" w:hAnsi="Arial" w:cs="Arial"/>
          <w:bCs/>
          <w:sz w:val="24"/>
          <w:szCs w:val="24"/>
          <w:lang w:val="en-GB"/>
        </w:rPr>
        <w:t xml:space="preserve"> the particular circumstances of the case it is considered that the subject did not have a ‘sensible’(as per </w:t>
      </w:r>
      <w:r w:rsidR="003250E5" w:rsidRPr="00811277">
        <w:rPr>
          <w:rFonts w:ascii="Arial" w:eastAsia="Times New Roman" w:hAnsi="Arial" w:cs="Arial"/>
          <w:bCs/>
          <w:i/>
          <w:iCs/>
          <w:sz w:val="24"/>
          <w:szCs w:val="24"/>
          <w:lang w:val="en-GB"/>
        </w:rPr>
        <w:t>Boddington</w:t>
      </w:r>
      <w:r w:rsidR="003250E5" w:rsidRPr="00811277">
        <w:rPr>
          <w:rFonts w:ascii="Arial" w:eastAsia="Times New Roman" w:hAnsi="Arial" w:cs="Arial"/>
          <w:bCs/>
          <w:sz w:val="24"/>
          <w:szCs w:val="24"/>
          <w:lang w:val="en-GB"/>
        </w:rPr>
        <w:t xml:space="preserve">) or ‘sufficient’ (as per </w:t>
      </w:r>
      <w:r w:rsidR="003250E5" w:rsidRPr="00811277">
        <w:rPr>
          <w:rFonts w:ascii="Arial" w:eastAsia="Times New Roman" w:hAnsi="Arial" w:cs="Arial"/>
          <w:bCs/>
          <w:i/>
          <w:iCs/>
          <w:sz w:val="24"/>
          <w:szCs w:val="24"/>
          <w:lang w:val="en-GB"/>
        </w:rPr>
        <w:t>Tasima</w:t>
      </w:r>
      <w:r w:rsidR="003250E5" w:rsidRPr="00811277">
        <w:rPr>
          <w:rFonts w:ascii="Arial" w:eastAsia="Times New Roman" w:hAnsi="Arial" w:cs="Arial"/>
          <w:bCs/>
          <w:sz w:val="24"/>
          <w:szCs w:val="24"/>
          <w:lang w:val="en-GB"/>
        </w:rPr>
        <w:t>) opportunity to do so, until a later date or occasion, in response to which the collateral challenge was raised. Thus, i</w:t>
      </w:r>
      <w:r w:rsidR="00D66278" w:rsidRPr="00811277">
        <w:rPr>
          <w:rFonts w:ascii="Arial" w:eastAsia="Times New Roman" w:hAnsi="Arial" w:cs="Arial"/>
          <w:bCs/>
          <w:sz w:val="24"/>
          <w:szCs w:val="24"/>
          <w:lang w:val="en-GB"/>
        </w:rPr>
        <w:t>n my view, when commenting that in the ‘classical’ collateral challenge ‘delay plays no role’ Cameron J was not seeking to lay down a rule</w:t>
      </w:r>
      <w:r w:rsidR="003250E5" w:rsidRPr="00811277">
        <w:rPr>
          <w:rFonts w:ascii="Arial" w:eastAsia="Times New Roman" w:hAnsi="Arial" w:cs="Arial"/>
          <w:bCs/>
          <w:sz w:val="24"/>
          <w:szCs w:val="24"/>
          <w:lang w:val="en-GB"/>
        </w:rPr>
        <w:t xml:space="preserve"> or principle pertaining to a so-called ‘classical’ collateral challeng</w:t>
      </w:r>
      <w:r w:rsidR="007E7F98" w:rsidRPr="00811277">
        <w:rPr>
          <w:rFonts w:ascii="Arial" w:eastAsia="Times New Roman" w:hAnsi="Arial" w:cs="Arial"/>
          <w:bCs/>
          <w:sz w:val="24"/>
          <w:szCs w:val="24"/>
          <w:lang w:val="en-GB"/>
        </w:rPr>
        <w:t>e</w:t>
      </w:r>
      <w:r w:rsidR="003250E5" w:rsidRPr="00811277">
        <w:rPr>
          <w:rFonts w:ascii="Arial" w:eastAsia="Times New Roman" w:hAnsi="Arial" w:cs="Arial"/>
          <w:bCs/>
          <w:sz w:val="24"/>
          <w:szCs w:val="24"/>
          <w:lang w:val="en-GB"/>
        </w:rPr>
        <w:t xml:space="preserve"> but was </w:t>
      </w:r>
      <w:r w:rsidR="001D488B" w:rsidRPr="00811277">
        <w:rPr>
          <w:rFonts w:ascii="Arial" w:eastAsia="Times New Roman" w:hAnsi="Arial" w:cs="Arial"/>
          <w:bCs/>
          <w:sz w:val="24"/>
          <w:szCs w:val="24"/>
          <w:lang w:val="en-GB"/>
        </w:rPr>
        <w:t xml:space="preserve">simply </w:t>
      </w:r>
      <w:r w:rsidR="003250E5" w:rsidRPr="00811277">
        <w:rPr>
          <w:rFonts w:ascii="Arial" w:eastAsia="Times New Roman" w:hAnsi="Arial" w:cs="Arial"/>
          <w:bCs/>
          <w:sz w:val="24"/>
          <w:szCs w:val="24"/>
          <w:lang w:val="en-GB"/>
        </w:rPr>
        <w:t xml:space="preserve">describing a primary feature </w:t>
      </w:r>
      <w:r w:rsidR="007E7F98" w:rsidRPr="00811277">
        <w:rPr>
          <w:rFonts w:ascii="Arial" w:eastAsia="Times New Roman" w:hAnsi="Arial" w:cs="Arial"/>
          <w:bCs/>
          <w:sz w:val="24"/>
          <w:szCs w:val="24"/>
          <w:lang w:val="en-GB"/>
        </w:rPr>
        <w:t>of it.</w:t>
      </w:r>
      <w:r w:rsidR="00D66278" w:rsidRPr="00811277">
        <w:rPr>
          <w:rFonts w:ascii="Arial" w:eastAsia="Times New Roman" w:hAnsi="Arial" w:cs="Arial"/>
          <w:bCs/>
          <w:sz w:val="24"/>
          <w:szCs w:val="24"/>
          <w:lang w:val="en-GB"/>
        </w:rPr>
        <w:t xml:space="preserve"> </w:t>
      </w:r>
    </w:p>
    <w:p w14:paraId="363503BD" w14:textId="25907135" w:rsidR="007D3A9F"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68.</w:t>
      </w:r>
      <w:r>
        <w:rPr>
          <w:rFonts w:ascii="Arial" w:eastAsia="Times New Roman" w:hAnsi="Arial" w:cs="Arial"/>
          <w:bCs/>
          <w:kern w:val="0"/>
          <w:sz w:val="24"/>
          <w:szCs w:val="24"/>
          <w:lang w:val="en-GB"/>
          <w14:ligatures w14:val="none"/>
        </w:rPr>
        <w:tab/>
      </w:r>
      <w:r w:rsidR="007E7F98" w:rsidRPr="00811277">
        <w:rPr>
          <w:rFonts w:ascii="Arial" w:eastAsia="Times New Roman" w:hAnsi="Arial" w:cs="Arial"/>
          <w:bCs/>
          <w:sz w:val="24"/>
          <w:szCs w:val="24"/>
          <w:lang w:val="en-GB"/>
        </w:rPr>
        <w:t xml:space="preserve">In the circumstances, </w:t>
      </w:r>
      <w:r w:rsidR="002E47BE" w:rsidRPr="00811277">
        <w:rPr>
          <w:rFonts w:ascii="Arial" w:eastAsia="Times New Roman" w:hAnsi="Arial" w:cs="Arial"/>
          <w:bCs/>
          <w:sz w:val="24"/>
          <w:szCs w:val="24"/>
          <w:lang w:val="en-GB"/>
        </w:rPr>
        <w:t xml:space="preserve">as I understand it a </w:t>
      </w:r>
      <w:r w:rsidR="00431F1B" w:rsidRPr="00811277">
        <w:rPr>
          <w:rFonts w:ascii="Arial" w:eastAsia="Times New Roman" w:hAnsi="Arial" w:cs="Arial"/>
          <w:bCs/>
          <w:sz w:val="24"/>
          <w:szCs w:val="24"/>
          <w:lang w:val="en-GB"/>
        </w:rPr>
        <w:t xml:space="preserve">collateral challenge will not necessarily succeed, simply because it is </w:t>
      </w:r>
      <w:r w:rsidR="001D488B" w:rsidRPr="00811277">
        <w:rPr>
          <w:rFonts w:ascii="Arial" w:eastAsia="Times New Roman" w:hAnsi="Arial" w:cs="Arial"/>
          <w:bCs/>
          <w:sz w:val="24"/>
          <w:szCs w:val="24"/>
          <w:lang w:val="en-GB"/>
        </w:rPr>
        <w:t xml:space="preserve">described </w:t>
      </w:r>
      <w:r w:rsidR="00431F1B" w:rsidRPr="00811277">
        <w:rPr>
          <w:rFonts w:ascii="Arial" w:eastAsia="Times New Roman" w:hAnsi="Arial" w:cs="Arial"/>
          <w:bCs/>
          <w:sz w:val="24"/>
          <w:szCs w:val="24"/>
          <w:lang w:val="en-GB"/>
        </w:rPr>
        <w:t>a</w:t>
      </w:r>
      <w:r w:rsidR="001D488B" w:rsidRPr="00811277">
        <w:rPr>
          <w:rFonts w:ascii="Arial" w:eastAsia="Times New Roman" w:hAnsi="Arial" w:cs="Arial"/>
          <w:bCs/>
          <w:sz w:val="24"/>
          <w:szCs w:val="24"/>
          <w:lang w:val="en-GB"/>
        </w:rPr>
        <w:t>s a</w:t>
      </w:r>
      <w:r w:rsidR="00331261" w:rsidRPr="00811277">
        <w:rPr>
          <w:rFonts w:ascii="Arial" w:eastAsia="Times New Roman" w:hAnsi="Arial" w:cs="Arial"/>
          <w:bCs/>
          <w:sz w:val="24"/>
          <w:szCs w:val="24"/>
          <w:lang w:val="en-GB"/>
        </w:rPr>
        <w:t xml:space="preserve"> so-called ‘classical’ one i.e. one brought by a citizen in response to coercive action by the state, based on an administrative action or decision which was general in nature. There may well be instances where, notwithstanding the generality of the action or decision concerned, the citizen may not be able to resist its enforcement, for instance where the citizen was aware of the action or decision and that </w:t>
      </w:r>
      <w:r w:rsidR="002E47BE" w:rsidRPr="00811277">
        <w:rPr>
          <w:rFonts w:ascii="Arial" w:eastAsia="Times New Roman" w:hAnsi="Arial" w:cs="Arial"/>
          <w:bCs/>
          <w:sz w:val="24"/>
          <w:szCs w:val="24"/>
          <w:lang w:val="en-GB"/>
        </w:rPr>
        <w:t>it may</w:t>
      </w:r>
      <w:r w:rsidR="00331261" w:rsidRPr="00811277">
        <w:rPr>
          <w:rFonts w:ascii="Arial" w:eastAsia="Times New Roman" w:hAnsi="Arial" w:cs="Arial"/>
          <w:bCs/>
          <w:sz w:val="24"/>
          <w:szCs w:val="24"/>
          <w:lang w:val="en-GB"/>
        </w:rPr>
        <w:t xml:space="preserve"> appl</w:t>
      </w:r>
      <w:r w:rsidR="002E47BE" w:rsidRPr="00811277">
        <w:rPr>
          <w:rFonts w:ascii="Arial" w:eastAsia="Times New Roman" w:hAnsi="Arial" w:cs="Arial"/>
          <w:bCs/>
          <w:sz w:val="24"/>
          <w:szCs w:val="24"/>
          <w:lang w:val="en-GB"/>
        </w:rPr>
        <w:t>y</w:t>
      </w:r>
      <w:r w:rsidR="00331261" w:rsidRPr="00811277">
        <w:rPr>
          <w:rFonts w:ascii="Arial" w:eastAsia="Times New Roman" w:hAnsi="Arial" w:cs="Arial"/>
          <w:bCs/>
          <w:sz w:val="24"/>
          <w:szCs w:val="24"/>
          <w:lang w:val="en-GB"/>
        </w:rPr>
        <w:t xml:space="preserve"> to him, but deliberately chose not to challenge it and to see if he could avoid it</w:t>
      </w:r>
      <w:r w:rsidR="00DF6D91" w:rsidRPr="00811277">
        <w:rPr>
          <w:rFonts w:ascii="Arial" w:eastAsia="Times New Roman" w:hAnsi="Arial" w:cs="Arial"/>
          <w:bCs/>
          <w:sz w:val="24"/>
          <w:szCs w:val="24"/>
          <w:lang w:val="en-GB"/>
        </w:rPr>
        <w:t>,</w:t>
      </w:r>
      <w:r w:rsidR="002E47BE" w:rsidRPr="00811277">
        <w:rPr>
          <w:rFonts w:ascii="Arial" w:eastAsia="Times New Roman" w:hAnsi="Arial" w:cs="Arial"/>
          <w:bCs/>
          <w:sz w:val="24"/>
          <w:szCs w:val="24"/>
          <w:lang w:val="en-GB"/>
        </w:rPr>
        <w:t xml:space="preserve"> because it applied to the population at large</w:t>
      </w:r>
      <w:r w:rsidR="00331261" w:rsidRPr="00811277">
        <w:rPr>
          <w:rFonts w:ascii="Arial" w:eastAsia="Times New Roman" w:hAnsi="Arial" w:cs="Arial"/>
          <w:bCs/>
          <w:sz w:val="24"/>
          <w:szCs w:val="24"/>
          <w:lang w:val="en-GB"/>
        </w:rPr>
        <w:t>, and as a result, flouted the law or acted in deliberate and knowing contravention of it</w:t>
      </w:r>
      <w:r w:rsidR="002E47BE" w:rsidRPr="00811277">
        <w:rPr>
          <w:rFonts w:ascii="Arial" w:eastAsia="Times New Roman" w:hAnsi="Arial" w:cs="Arial"/>
          <w:bCs/>
          <w:sz w:val="24"/>
          <w:szCs w:val="24"/>
          <w:lang w:val="en-GB"/>
        </w:rPr>
        <w:t xml:space="preserve">, and only chose to confront it later, in </w:t>
      </w:r>
      <w:r w:rsidR="002E47BE" w:rsidRPr="00811277">
        <w:rPr>
          <w:rFonts w:ascii="Arial" w:eastAsia="Times New Roman" w:hAnsi="Arial" w:cs="Arial"/>
          <w:bCs/>
          <w:sz w:val="24"/>
          <w:szCs w:val="24"/>
          <w:lang w:val="en-GB"/>
        </w:rPr>
        <w:lastRenderedPageBreak/>
        <w:t>response</w:t>
      </w:r>
      <w:r w:rsidR="007461E5" w:rsidRPr="00811277">
        <w:rPr>
          <w:rFonts w:ascii="Arial" w:eastAsia="Times New Roman" w:hAnsi="Arial" w:cs="Arial"/>
          <w:bCs/>
          <w:sz w:val="24"/>
          <w:szCs w:val="24"/>
          <w:lang w:val="en-GB"/>
        </w:rPr>
        <w:t xml:space="preserve"> to coercive action</w:t>
      </w:r>
      <w:r w:rsidR="00331261" w:rsidRPr="00811277">
        <w:rPr>
          <w:rFonts w:ascii="Arial" w:eastAsia="Times New Roman" w:hAnsi="Arial" w:cs="Arial"/>
          <w:bCs/>
          <w:sz w:val="24"/>
          <w:szCs w:val="24"/>
          <w:lang w:val="en-GB"/>
        </w:rPr>
        <w:t>. A court in such circumstances might well decline t</w:t>
      </w:r>
      <w:r w:rsidR="0007383F" w:rsidRPr="00811277">
        <w:rPr>
          <w:rFonts w:ascii="Arial" w:eastAsia="Times New Roman" w:hAnsi="Arial" w:cs="Arial"/>
          <w:bCs/>
          <w:sz w:val="24"/>
          <w:szCs w:val="24"/>
          <w:lang w:val="en-GB"/>
        </w:rPr>
        <w:t>o</w:t>
      </w:r>
      <w:r w:rsidR="00331261" w:rsidRPr="00811277">
        <w:rPr>
          <w:rFonts w:ascii="Arial" w:eastAsia="Times New Roman" w:hAnsi="Arial" w:cs="Arial"/>
          <w:bCs/>
          <w:sz w:val="24"/>
          <w:szCs w:val="24"/>
          <w:lang w:val="en-GB"/>
        </w:rPr>
        <w:t xml:space="preserve"> uphold a late collateral challenge.</w:t>
      </w:r>
    </w:p>
    <w:p w14:paraId="05C63854" w14:textId="2B76B6B4" w:rsidR="00254C20"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69.</w:t>
      </w:r>
      <w:r>
        <w:rPr>
          <w:rFonts w:ascii="Arial" w:eastAsia="Times New Roman" w:hAnsi="Arial" w:cs="Arial"/>
          <w:bCs/>
          <w:kern w:val="0"/>
          <w:sz w:val="24"/>
          <w:szCs w:val="24"/>
          <w:lang w:val="en-GB"/>
          <w14:ligatures w14:val="none"/>
        </w:rPr>
        <w:tab/>
      </w:r>
      <w:r w:rsidR="00C45C2B" w:rsidRPr="00811277">
        <w:rPr>
          <w:rFonts w:ascii="Arial" w:eastAsia="Times New Roman" w:hAnsi="Arial" w:cs="Arial"/>
          <w:bCs/>
          <w:sz w:val="24"/>
          <w:szCs w:val="24"/>
          <w:lang w:val="en-GB"/>
        </w:rPr>
        <w:t xml:space="preserve">Ultimately, the question which requires an answer is </w:t>
      </w:r>
      <w:r w:rsidR="007E7F98" w:rsidRPr="00811277">
        <w:rPr>
          <w:rFonts w:ascii="Arial" w:eastAsia="Times New Roman" w:hAnsi="Arial" w:cs="Arial"/>
          <w:bCs/>
          <w:sz w:val="24"/>
          <w:szCs w:val="24"/>
          <w:lang w:val="en-GB"/>
        </w:rPr>
        <w:t xml:space="preserve">not </w:t>
      </w:r>
      <w:r w:rsidR="00C45C2B" w:rsidRPr="00811277">
        <w:rPr>
          <w:rFonts w:ascii="Arial" w:eastAsia="Times New Roman" w:hAnsi="Arial" w:cs="Arial"/>
          <w:bCs/>
          <w:sz w:val="24"/>
          <w:szCs w:val="24"/>
          <w:lang w:val="en-GB"/>
        </w:rPr>
        <w:t>whether</w:t>
      </w:r>
      <w:r w:rsidR="007E7F98" w:rsidRPr="00811277">
        <w:rPr>
          <w:rFonts w:ascii="Arial" w:eastAsia="Times New Roman" w:hAnsi="Arial" w:cs="Arial"/>
          <w:bCs/>
          <w:sz w:val="24"/>
          <w:szCs w:val="24"/>
          <w:lang w:val="en-GB"/>
        </w:rPr>
        <w:t xml:space="preserve"> the collateral challenge which is raised</w:t>
      </w:r>
      <w:r w:rsidR="00DF6D91" w:rsidRPr="00811277">
        <w:rPr>
          <w:rFonts w:ascii="Arial" w:eastAsia="Times New Roman" w:hAnsi="Arial" w:cs="Arial"/>
          <w:bCs/>
          <w:sz w:val="24"/>
          <w:szCs w:val="24"/>
          <w:lang w:val="en-GB"/>
        </w:rPr>
        <w:t>,</w:t>
      </w:r>
      <w:r w:rsidR="007E7F98" w:rsidRPr="00811277">
        <w:rPr>
          <w:rFonts w:ascii="Arial" w:eastAsia="Times New Roman" w:hAnsi="Arial" w:cs="Arial"/>
          <w:bCs/>
          <w:sz w:val="24"/>
          <w:szCs w:val="24"/>
          <w:lang w:val="en-GB"/>
        </w:rPr>
        <w:t xml:space="preserve"> be it by a private person or by an organ of state or corporate entity</w:t>
      </w:r>
      <w:r w:rsidR="00DF6D91" w:rsidRPr="00811277">
        <w:rPr>
          <w:rFonts w:ascii="Arial" w:eastAsia="Times New Roman" w:hAnsi="Arial" w:cs="Arial"/>
          <w:bCs/>
          <w:sz w:val="24"/>
          <w:szCs w:val="24"/>
          <w:lang w:val="en-GB"/>
        </w:rPr>
        <w:t>,</w:t>
      </w:r>
      <w:r w:rsidR="007E7F98" w:rsidRPr="00811277">
        <w:rPr>
          <w:rFonts w:ascii="Arial" w:eastAsia="Times New Roman" w:hAnsi="Arial" w:cs="Arial"/>
          <w:bCs/>
          <w:sz w:val="24"/>
          <w:szCs w:val="24"/>
          <w:lang w:val="en-GB"/>
        </w:rPr>
        <w:t xml:space="preserve"> is a ‘classical’ one or not, but whether</w:t>
      </w:r>
      <w:r w:rsidR="00C45C2B" w:rsidRPr="00811277">
        <w:rPr>
          <w:rFonts w:ascii="Arial" w:eastAsia="Times New Roman" w:hAnsi="Arial" w:cs="Arial"/>
          <w:bCs/>
          <w:sz w:val="24"/>
          <w:szCs w:val="24"/>
          <w:lang w:val="en-GB"/>
        </w:rPr>
        <w:t>, on the facts which are before the Court at the time,</w:t>
      </w:r>
      <w:r w:rsidR="007E7F98" w:rsidRPr="00811277">
        <w:rPr>
          <w:rFonts w:ascii="Arial" w:eastAsia="Times New Roman" w:hAnsi="Arial" w:cs="Arial"/>
          <w:bCs/>
          <w:sz w:val="24"/>
          <w:szCs w:val="24"/>
          <w:lang w:val="en-GB"/>
        </w:rPr>
        <w:t xml:space="preserve"> it</w:t>
      </w:r>
      <w:r w:rsidR="00C45C2B" w:rsidRPr="00811277">
        <w:rPr>
          <w:rFonts w:ascii="Arial" w:eastAsia="Times New Roman" w:hAnsi="Arial" w:cs="Arial"/>
          <w:bCs/>
          <w:sz w:val="24"/>
          <w:szCs w:val="24"/>
          <w:lang w:val="en-GB"/>
        </w:rPr>
        <w:t xml:space="preserve"> is one which can and should be entertained. In answering this question the determining factors are </w:t>
      </w:r>
      <w:r w:rsidR="004D2952" w:rsidRPr="00811277">
        <w:rPr>
          <w:rFonts w:ascii="Arial" w:eastAsia="Times New Roman" w:hAnsi="Arial" w:cs="Arial"/>
          <w:bCs/>
          <w:sz w:val="24"/>
          <w:szCs w:val="24"/>
          <w:lang w:val="en-GB"/>
        </w:rPr>
        <w:t xml:space="preserve">1) </w:t>
      </w:r>
      <w:r w:rsidR="00C45C2B" w:rsidRPr="00811277">
        <w:rPr>
          <w:rFonts w:ascii="Arial" w:eastAsia="Times New Roman" w:hAnsi="Arial" w:cs="Arial"/>
          <w:bCs/>
          <w:sz w:val="24"/>
          <w:szCs w:val="24"/>
          <w:lang w:val="en-GB"/>
        </w:rPr>
        <w:t xml:space="preserve">whether the </w:t>
      </w:r>
      <w:r w:rsidR="004D2952" w:rsidRPr="00811277">
        <w:rPr>
          <w:rFonts w:ascii="Arial" w:eastAsia="Times New Roman" w:hAnsi="Arial" w:cs="Arial"/>
          <w:bCs/>
          <w:sz w:val="24"/>
          <w:szCs w:val="24"/>
          <w:lang w:val="en-GB"/>
        </w:rPr>
        <w:t>object</w:t>
      </w:r>
      <w:r w:rsidR="00C45C2B" w:rsidRPr="00811277">
        <w:rPr>
          <w:rFonts w:ascii="Arial" w:eastAsia="Times New Roman" w:hAnsi="Arial" w:cs="Arial"/>
          <w:bCs/>
          <w:sz w:val="24"/>
          <w:szCs w:val="24"/>
          <w:lang w:val="en-GB"/>
        </w:rPr>
        <w:t xml:space="preserve"> of the challenge i.e. the administrative act or decision, or the legislation on which it is based and from which it derives legal force and effect, </w:t>
      </w:r>
      <w:r w:rsidR="00254C20" w:rsidRPr="00811277">
        <w:rPr>
          <w:rFonts w:ascii="Arial" w:eastAsia="Times New Roman" w:hAnsi="Arial" w:cs="Arial"/>
          <w:bCs/>
          <w:sz w:val="24"/>
          <w:szCs w:val="24"/>
          <w:lang w:val="en-GB"/>
        </w:rPr>
        <w:t>i</w:t>
      </w:r>
      <w:r w:rsidR="00C45C2B" w:rsidRPr="00811277">
        <w:rPr>
          <w:rFonts w:ascii="Arial" w:eastAsia="Times New Roman" w:hAnsi="Arial" w:cs="Arial"/>
          <w:bCs/>
          <w:sz w:val="24"/>
          <w:szCs w:val="24"/>
          <w:lang w:val="en-GB"/>
        </w:rPr>
        <w:t>s one that was specific to the challenger</w:t>
      </w:r>
      <w:r w:rsidR="00254C20" w:rsidRPr="00811277">
        <w:rPr>
          <w:rFonts w:ascii="Arial" w:eastAsia="Times New Roman" w:hAnsi="Arial" w:cs="Arial"/>
          <w:bCs/>
          <w:sz w:val="24"/>
          <w:szCs w:val="24"/>
          <w:lang w:val="en-GB"/>
        </w:rPr>
        <w:t xml:space="preserve"> (in that it was directed at him/her, or it, in particular</w:t>
      </w:r>
      <w:r w:rsidR="001D488B" w:rsidRPr="00811277">
        <w:rPr>
          <w:rFonts w:ascii="Arial" w:eastAsia="Times New Roman" w:hAnsi="Arial" w:cs="Arial"/>
          <w:bCs/>
          <w:sz w:val="24"/>
          <w:szCs w:val="24"/>
          <w:lang w:val="en-GB"/>
        </w:rPr>
        <w:t>,</w:t>
      </w:r>
      <w:r w:rsidR="00254C20" w:rsidRPr="00811277">
        <w:rPr>
          <w:rFonts w:ascii="Arial" w:eastAsia="Times New Roman" w:hAnsi="Arial" w:cs="Arial"/>
          <w:bCs/>
          <w:sz w:val="24"/>
          <w:szCs w:val="24"/>
          <w:lang w:val="en-GB"/>
        </w:rPr>
        <w:t xml:space="preserve"> or to a class or group to which he/she/they belong</w:t>
      </w:r>
      <w:r w:rsidR="004D2952" w:rsidRPr="00811277">
        <w:rPr>
          <w:rFonts w:ascii="Arial" w:eastAsia="Times New Roman" w:hAnsi="Arial" w:cs="Arial"/>
          <w:bCs/>
          <w:sz w:val="24"/>
          <w:szCs w:val="24"/>
          <w:lang w:val="en-GB"/>
        </w:rPr>
        <w:t>s</w:t>
      </w:r>
      <w:r w:rsidR="00254C20" w:rsidRPr="00811277">
        <w:rPr>
          <w:rFonts w:ascii="Arial" w:eastAsia="Times New Roman" w:hAnsi="Arial" w:cs="Arial"/>
          <w:bCs/>
          <w:sz w:val="24"/>
          <w:szCs w:val="24"/>
          <w:lang w:val="en-GB"/>
        </w:rPr>
        <w:t xml:space="preserve">), or </w:t>
      </w:r>
      <w:r w:rsidR="004D2952" w:rsidRPr="00811277">
        <w:rPr>
          <w:rFonts w:ascii="Arial" w:eastAsia="Times New Roman" w:hAnsi="Arial" w:cs="Arial"/>
          <w:bCs/>
          <w:sz w:val="24"/>
          <w:szCs w:val="24"/>
          <w:lang w:val="en-GB"/>
        </w:rPr>
        <w:t>is</w:t>
      </w:r>
      <w:r w:rsidR="00254C20" w:rsidRPr="00811277">
        <w:rPr>
          <w:rFonts w:ascii="Arial" w:eastAsia="Times New Roman" w:hAnsi="Arial" w:cs="Arial"/>
          <w:bCs/>
          <w:sz w:val="24"/>
          <w:szCs w:val="24"/>
          <w:lang w:val="en-GB"/>
        </w:rPr>
        <w:t xml:space="preserve"> one that was general and unspecific </w:t>
      </w:r>
      <w:r w:rsidR="009543E3" w:rsidRPr="00811277">
        <w:rPr>
          <w:rFonts w:ascii="Arial" w:eastAsia="Times New Roman" w:hAnsi="Arial" w:cs="Arial"/>
          <w:bCs/>
          <w:sz w:val="24"/>
          <w:szCs w:val="24"/>
          <w:lang w:val="en-GB"/>
        </w:rPr>
        <w:t xml:space="preserve">or indeterminate </w:t>
      </w:r>
      <w:r w:rsidR="00254C20" w:rsidRPr="00811277">
        <w:rPr>
          <w:rFonts w:ascii="Arial" w:eastAsia="Times New Roman" w:hAnsi="Arial" w:cs="Arial"/>
          <w:bCs/>
          <w:sz w:val="24"/>
          <w:szCs w:val="24"/>
          <w:lang w:val="en-GB"/>
        </w:rPr>
        <w:t xml:space="preserve">(in that it was of application to the world at large) and </w:t>
      </w:r>
      <w:r w:rsidR="004D2952" w:rsidRPr="00811277">
        <w:rPr>
          <w:rFonts w:ascii="Arial" w:eastAsia="Times New Roman" w:hAnsi="Arial" w:cs="Arial"/>
          <w:bCs/>
          <w:sz w:val="24"/>
          <w:szCs w:val="24"/>
          <w:lang w:val="en-GB"/>
        </w:rPr>
        <w:t xml:space="preserve">2) </w:t>
      </w:r>
      <w:r w:rsidR="00254C20" w:rsidRPr="00811277">
        <w:rPr>
          <w:rFonts w:ascii="Arial" w:eastAsia="Times New Roman" w:hAnsi="Arial" w:cs="Arial"/>
          <w:bCs/>
          <w:sz w:val="24"/>
          <w:szCs w:val="24"/>
          <w:lang w:val="en-GB"/>
        </w:rPr>
        <w:t xml:space="preserve">whether it was known to </w:t>
      </w:r>
      <w:r w:rsidR="004D2952" w:rsidRPr="00811277">
        <w:rPr>
          <w:rFonts w:ascii="Arial" w:eastAsia="Times New Roman" w:hAnsi="Arial" w:cs="Arial"/>
          <w:bCs/>
          <w:sz w:val="24"/>
          <w:szCs w:val="24"/>
          <w:lang w:val="en-GB"/>
        </w:rPr>
        <w:t>the challenger</w:t>
      </w:r>
      <w:r w:rsidR="00254C20" w:rsidRPr="00811277">
        <w:rPr>
          <w:rFonts w:ascii="Arial" w:eastAsia="Times New Roman" w:hAnsi="Arial" w:cs="Arial"/>
          <w:bCs/>
          <w:sz w:val="24"/>
          <w:szCs w:val="24"/>
          <w:lang w:val="en-GB"/>
        </w:rPr>
        <w:t xml:space="preserve"> (or should have been known</w:t>
      </w:r>
      <w:r w:rsidR="004D2952" w:rsidRPr="00811277">
        <w:rPr>
          <w:rFonts w:ascii="Arial" w:eastAsia="Times New Roman" w:hAnsi="Arial" w:cs="Arial"/>
          <w:bCs/>
          <w:sz w:val="24"/>
          <w:szCs w:val="24"/>
          <w:lang w:val="en-GB"/>
        </w:rPr>
        <w:t xml:space="preserve"> by</w:t>
      </w:r>
      <w:r w:rsidR="00254C20" w:rsidRPr="00811277">
        <w:rPr>
          <w:rFonts w:ascii="Arial" w:eastAsia="Times New Roman" w:hAnsi="Arial" w:cs="Arial"/>
          <w:bCs/>
          <w:sz w:val="24"/>
          <w:szCs w:val="24"/>
          <w:lang w:val="en-GB"/>
        </w:rPr>
        <w:t xml:space="preserve"> </w:t>
      </w:r>
      <w:r w:rsidR="002E47BE" w:rsidRPr="00811277">
        <w:rPr>
          <w:rFonts w:ascii="Arial" w:eastAsia="Times New Roman" w:hAnsi="Arial" w:cs="Arial"/>
          <w:bCs/>
          <w:sz w:val="24"/>
          <w:szCs w:val="24"/>
          <w:lang w:val="en-GB"/>
        </w:rPr>
        <w:t>him/her/</w:t>
      </w:r>
      <w:r w:rsidR="00254C20" w:rsidRPr="00811277">
        <w:rPr>
          <w:rFonts w:ascii="Arial" w:eastAsia="Times New Roman" w:hAnsi="Arial" w:cs="Arial"/>
          <w:bCs/>
          <w:sz w:val="24"/>
          <w:szCs w:val="24"/>
          <w:lang w:val="en-GB"/>
        </w:rPr>
        <w:t>it, with the exercise of reasonable care).</w:t>
      </w:r>
    </w:p>
    <w:p w14:paraId="7EFF602F" w14:textId="606AC82E" w:rsidR="002E47BE"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70.</w:t>
      </w:r>
      <w:r>
        <w:rPr>
          <w:rFonts w:ascii="Arial" w:eastAsia="Times New Roman" w:hAnsi="Arial" w:cs="Arial"/>
          <w:bCs/>
          <w:kern w:val="0"/>
          <w:sz w:val="24"/>
          <w:szCs w:val="24"/>
          <w:lang w:val="en-GB"/>
          <w14:ligatures w14:val="none"/>
        </w:rPr>
        <w:tab/>
      </w:r>
      <w:r w:rsidR="00254C20" w:rsidRPr="00811277">
        <w:rPr>
          <w:rFonts w:ascii="Arial" w:eastAsia="Times New Roman" w:hAnsi="Arial" w:cs="Arial"/>
          <w:bCs/>
          <w:sz w:val="24"/>
          <w:szCs w:val="24"/>
          <w:lang w:val="en-GB"/>
        </w:rPr>
        <w:t xml:space="preserve">In the case of the former </w:t>
      </w:r>
      <w:r w:rsidR="00431F1B" w:rsidRPr="00811277">
        <w:rPr>
          <w:rFonts w:ascii="Arial" w:eastAsia="Times New Roman" w:hAnsi="Arial" w:cs="Arial"/>
          <w:bCs/>
          <w:sz w:val="24"/>
          <w:szCs w:val="24"/>
          <w:lang w:val="en-GB"/>
        </w:rPr>
        <w:t>and a challenger who had actual knowledge</w:t>
      </w:r>
      <w:r w:rsidR="002E47BE" w:rsidRPr="00811277">
        <w:rPr>
          <w:rFonts w:ascii="Arial" w:eastAsia="Times New Roman" w:hAnsi="Arial" w:cs="Arial"/>
          <w:bCs/>
          <w:sz w:val="24"/>
          <w:szCs w:val="24"/>
          <w:lang w:val="en-GB"/>
        </w:rPr>
        <w:t xml:space="preserve"> </w:t>
      </w:r>
      <w:r w:rsidR="001D488B" w:rsidRPr="00811277">
        <w:rPr>
          <w:rFonts w:ascii="Arial" w:eastAsia="Times New Roman" w:hAnsi="Arial" w:cs="Arial"/>
          <w:bCs/>
          <w:sz w:val="24"/>
          <w:szCs w:val="24"/>
          <w:lang w:val="en-GB"/>
        </w:rPr>
        <w:t>(</w:t>
      </w:r>
      <w:r w:rsidR="002E47BE" w:rsidRPr="00811277">
        <w:rPr>
          <w:rFonts w:ascii="Arial" w:eastAsia="Times New Roman" w:hAnsi="Arial" w:cs="Arial"/>
          <w:bCs/>
          <w:sz w:val="24"/>
          <w:szCs w:val="24"/>
          <w:lang w:val="en-GB"/>
        </w:rPr>
        <w:t>such as in this matter</w:t>
      </w:r>
      <w:r w:rsidR="001D488B" w:rsidRPr="00811277">
        <w:rPr>
          <w:rFonts w:ascii="Arial" w:eastAsia="Times New Roman" w:hAnsi="Arial" w:cs="Arial"/>
          <w:bCs/>
          <w:sz w:val="24"/>
          <w:szCs w:val="24"/>
          <w:lang w:val="en-GB"/>
        </w:rPr>
        <w:t>)</w:t>
      </w:r>
      <w:r w:rsidR="00431F1B" w:rsidRPr="00811277">
        <w:rPr>
          <w:rFonts w:ascii="Arial" w:eastAsia="Times New Roman" w:hAnsi="Arial" w:cs="Arial"/>
          <w:bCs/>
          <w:sz w:val="24"/>
          <w:szCs w:val="24"/>
          <w:lang w:val="en-GB"/>
        </w:rPr>
        <w:t xml:space="preserve">, </w:t>
      </w:r>
      <w:r w:rsidR="00254C20" w:rsidRPr="00811277">
        <w:rPr>
          <w:rFonts w:ascii="Arial" w:eastAsia="Times New Roman" w:hAnsi="Arial" w:cs="Arial"/>
          <w:bCs/>
          <w:sz w:val="24"/>
          <w:szCs w:val="24"/>
          <w:lang w:val="en-GB"/>
        </w:rPr>
        <w:t xml:space="preserve">the further factor that must </w:t>
      </w:r>
      <w:r w:rsidR="007E7F98" w:rsidRPr="00811277">
        <w:rPr>
          <w:rFonts w:ascii="Arial" w:eastAsia="Times New Roman" w:hAnsi="Arial" w:cs="Arial"/>
          <w:bCs/>
          <w:sz w:val="24"/>
          <w:szCs w:val="24"/>
          <w:lang w:val="en-GB"/>
        </w:rPr>
        <w:t xml:space="preserve">be </w:t>
      </w:r>
      <w:r w:rsidR="00254C20" w:rsidRPr="00811277">
        <w:rPr>
          <w:rFonts w:ascii="Arial" w:eastAsia="Times New Roman" w:hAnsi="Arial" w:cs="Arial"/>
          <w:bCs/>
          <w:sz w:val="24"/>
          <w:szCs w:val="24"/>
          <w:lang w:val="en-GB"/>
        </w:rPr>
        <w:t>considered is whether the challenger had sufficient (or ‘ample’) opportunity</w:t>
      </w:r>
      <w:r w:rsidR="004D2952" w:rsidRPr="00811277">
        <w:rPr>
          <w:rFonts w:ascii="Arial" w:eastAsia="Times New Roman" w:hAnsi="Arial" w:cs="Arial"/>
          <w:bCs/>
          <w:sz w:val="24"/>
          <w:szCs w:val="24"/>
          <w:lang w:val="en-GB"/>
        </w:rPr>
        <w:t xml:space="preserve"> to c</w:t>
      </w:r>
      <w:r w:rsidR="008A1E39" w:rsidRPr="00811277">
        <w:rPr>
          <w:rFonts w:ascii="Arial" w:eastAsia="Times New Roman" w:hAnsi="Arial" w:cs="Arial"/>
          <w:bCs/>
          <w:sz w:val="24"/>
          <w:szCs w:val="24"/>
          <w:lang w:val="en-GB"/>
        </w:rPr>
        <w:t>ontest</w:t>
      </w:r>
      <w:r w:rsidR="004D2952" w:rsidRPr="00811277">
        <w:rPr>
          <w:rFonts w:ascii="Arial" w:eastAsia="Times New Roman" w:hAnsi="Arial" w:cs="Arial"/>
          <w:bCs/>
          <w:sz w:val="24"/>
          <w:szCs w:val="24"/>
          <w:lang w:val="en-GB"/>
        </w:rPr>
        <w:t xml:space="preserve"> the administrative act or decision directly (by way of review or other legal remedy</w:t>
      </w:r>
      <w:r w:rsidR="00DF6D91">
        <w:rPr>
          <w:rStyle w:val="FootnoteReference"/>
          <w:rFonts w:ascii="Arial" w:eastAsia="Times New Roman" w:hAnsi="Arial" w:cs="Arial"/>
          <w:bCs/>
          <w:sz w:val="24"/>
          <w:szCs w:val="24"/>
          <w:lang w:val="en-GB"/>
        </w:rPr>
        <w:footnoteReference w:id="74"/>
      </w:r>
      <w:r w:rsidR="004D2952" w:rsidRPr="00811277">
        <w:rPr>
          <w:rFonts w:ascii="Arial" w:eastAsia="Times New Roman" w:hAnsi="Arial" w:cs="Arial"/>
          <w:bCs/>
          <w:sz w:val="24"/>
          <w:szCs w:val="24"/>
          <w:lang w:val="en-GB"/>
        </w:rPr>
        <w:t>), but failed</w:t>
      </w:r>
      <w:r w:rsidR="00431F1B" w:rsidRPr="00811277">
        <w:rPr>
          <w:rFonts w:ascii="Arial" w:eastAsia="Times New Roman" w:hAnsi="Arial" w:cs="Arial"/>
          <w:bCs/>
          <w:sz w:val="24"/>
          <w:szCs w:val="24"/>
          <w:lang w:val="en-GB"/>
        </w:rPr>
        <w:t>,</w:t>
      </w:r>
      <w:r w:rsidR="004D2952" w:rsidRPr="00811277">
        <w:rPr>
          <w:rFonts w:ascii="Arial" w:eastAsia="Times New Roman" w:hAnsi="Arial" w:cs="Arial"/>
          <w:bCs/>
          <w:sz w:val="24"/>
          <w:szCs w:val="24"/>
          <w:lang w:val="en-GB"/>
        </w:rPr>
        <w:t xml:space="preserve"> or deliberately chose not, to do so.</w:t>
      </w:r>
      <w:r w:rsidR="00431F1B" w:rsidRPr="00811277">
        <w:rPr>
          <w:rFonts w:ascii="Arial" w:eastAsia="Times New Roman" w:hAnsi="Arial" w:cs="Arial"/>
          <w:bCs/>
          <w:sz w:val="24"/>
          <w:szCs w:val="24"/>
          <w:lang w:val="en-GB"/>
        </w:rPr>
        <w:t xml:space="preserve"> In such a case, </w:t>
      </w:r>
      <w:r w:rsidR="0009232E" w:rsidRPr="00811277">
        <w:rPr>
          <w:rFonts w:ascii="Arial" w:eastAsia="Times New Roman" w:hAnsi="Arial" w:cs="Arial"/>
          <w:bCs/>
          <w:sz w:val="24"/>
          <w:szCs w:val="24"/>
          <w:lang w:val="en-GB"/>
        </w:rPr>
        <w:t xml:space="preserve">delay will obviously be an aspect which the court must consider, in determining whether to entertain the challenge or to dismiss it. </w:t>
      </w:r>
      <w:r w:rsidR="007461E5" w:rsidRPr="00811277">
        <w:rPr>
          <w:rFonts w:ascii="Arial" w:eastAsia="Times New Roman" w:hAnsi="Arial" w:cs="Arial"/>
          <w:bCs/>
          <w:sz w:val="24"/>
          <w:szCs w:val="24"/>
          <w:lang w:val="en-GB"/>
        </w:rPr>
        <w:t>Unlike in review matters, t</w:t>
      </w:r>
      <w:r w:rsidR="0009232E" w:rsidRPr="00811277">
        <w:rPr>
          <w:rFonts w:ascii="Arial" w:eastAsia="Times New Roman" w:hAnsi="Arial" w:cs="Arial"/>
          <w:bCs/>
          <w:sz w:val="24"/>
          <w:szCs w:val="24"/>
          <w:lang w:val="en-GB"/>
        </w:rPr>
        <w:t xml:space="preserve">he </w:t>
      </w:r>
      <w:r w:rsidR="00431F1B" w:rsidRPr="00811277">
        <w:rPr>
          <w:rFonts w:ascii="Arial" w:eastAsia="Times New Roman" w:hAnsi="Arial" w:cs="Arial"/>
          <w:bCs/>
          <w:sz w:val="24"/>
          <w:szCs w:val="24"/>
          <w:lang w:val="en-GB"/>
        </w:rPr>
        <w:t xml:space="preserve">court will not have a ‘discretion’ to refuse to entertain the challenge without evaluating it, </w:t>
      </w:r>
      <w:r w:rsidR="00431F1B" w:rsidRPr="00811277">
        <w:rPr>
          <w:rFonts w:ascii="Arial" w:eastAsia="Times New Roman" w:hAnsi="Arial" w:cs="Arial"/>
          <w:bCs/>
          <w:i/>
          <w:iCs/>
          <w:sz w:val="24"/>
          <w:szCs w:val="24"/>
          <w:lang w:val="en-GB"/>
        </w:rPr>
        <w:t>simply</w:t>
      </w:r>
      <w:r w:rsidR="00431F1B" w:rsidRPr="00811277">
        <w:rPr>
          <w:rFonts w:ascii="Arial" w:eastAsia="Times New Roman" w:hAnsi="Arial" w:cs="Arial"/>
          <w:bCs/>
          <w:sz w:val="24"/>
          <w:szCs w:val="24"/>
          <w:lang w:val="en-GB"/>
        </w:rPr>
        <w:t xml:space="preserve"> or </w:t>
      </w:r>
      <w:r w:rsidR="00431F1B" w:rsidRPr="00811277">
        <w:rPr>
          <w:rFonts w:ascii="Arial" w:eastAsia="Times New Roman" w:hAnsi="Arial" w:cs="Arial"/>
          <w:bCs/>
          <w:i/>
          <w:iCs/>
          <w:sz w:val="24"/>
          <w:szCs w:val="24"/>
          <w:lang w:val="en-GB"/>
        </w:rPr>
        <w:t>only</w:t>
      </w:r>
      <w:r w:rsidR="00431F1B" w:rsidRPr="00811277">
        <w:rPr>
          <w:rFonts w:ascii="Arial" w:eastAsia="Times New Roman" w:hAnsi="Arial" w:cs="Arial"/>
          <w:bCs/>
          <w:sz w:val="24"/>
          <w:szCs w:val="24"/>
          <w:lang w:val="en-GB"/>
        </w:rPr>
        <w:t xml:space="preserve"> because it was brought late. </w:t>
      </w:r>
      <w:r w:rsidR="007461E5" w:rsidRPr="00811277">
        <w:rPr>
          <w:rFonts w:ascii="Arial" w:eastAsia="Times New Roman" w:hAnsi="Arial" w:cs="Arial"/>
          <w:bCs/>
          <w:sz w:val="24"/>
          <w:szCs w:val="24"/>
          <w:lang w:val="en-GB"/>
        </w:rPr>
        <w:t>I</w:t>
      </w:r>
      <w:r w:rsidR="00431F1B" w:rsidRPr="00811277">
        <w:rPr>
          <w:rFonts w:ascii="Arial" w:eastAsia="Times New Roman" w:hAnsi="Arial" w:cs="Arial"/>
          <w:bCs/>
          <w:sz w:val="24"/>
          <w:szCs w:val="24"/>
          <w:lang w:val="en-GB"/>
        </w:rPr>
        <w:t xml:space="preserve">t must have regard for </w:t>
      </w:r>
      <w:r w:rsidR="007461E5" w:rsidRPr="00811277">
        <w:rPr>
          <w:rFonts w:ascii="Arial" w:eastAsia="Times New Roman" w:hAnsi="Arial" w:cs="Arial"/>
          <w:bCs/>
          <w:sz w:val="24"/>
          <w:szCs w:val="24"/>
          <w:lang w:val="en-GB"/>
        </w:rPr>
        <w:t xml:space="preserve">all </w:t>
      </w:r>
      <w:r w:rsidR="00431F1B" w:rsidRPr="00811277">
        <w:rPr>
          <w:rFonts w:ascii="Arial" w:eastAsia="Times New Roman" w:hAnsi="Arial" w:cs="Arial"/>
          <w:bCs/>
          <w:sz w:val="24"/>
          <w:szCs w:val="24"/>
          <w:lang w:val="en-GB"/>
        </w:rPr>
        <w:t xml:space="preserve">the circumstances, </w:t>
      </w:r>
      <w:r w:rsidR="007461E5" w:rsidRPr="00811277">
        <w:rPr>
          <w:rFonts w:ascii="Arial" w:eastAsia="Times New Roman" w:hAnsi="Arial" w:cs="Arial"/>
          <w:bCs/>
          <w:sz w:val="24"/>
          <w:szCs w:val="24"/>
          <w:lang w:val="en-GB"/>
        </w:rPr>
        <w:t xml:space="preserve">which will </w:t>
      </w:r>
      <w:r w:rsidR="00431F1B" w:rsidRPr="00811277">
        <w:rPr>
          <w:rFonts w:ascii="Arial" w:eastAsia="Times New Roman" w:hAnsi="Arial" w:cs="Arial"/>
          <w:bCs/>
          <w:sz w:val="24"/>
          <w:szCs w:val="24"/>
          <w:lang w:val="en-GB"/>
        </w:rPr>
        <w:t>includ</w:t>
      </w:r>
      <w:r w:rsidR="007461E5" w:rsidRPr="00811277">
        <w:rPr>
          <w:rFonts w:ascii="Arial" w:eastAsia="Times New Roman" w:hAnsi="Arial" w:cs="Arial"/>
          <w:bCs/>
          <w:sz w:val="24"/>
          <w:szCs w:val="24"/>
          <w:lang w:val="en-GB"/>
        </w:rPr>
        <w:t>e</w:t>
      </w:r>
      <w:r w:rsidR="00431F1B" w:rsidRPr="00811277">
        <w:rPr>
          <w:rFonts w:ascii="Arial" w:eastAsia="Times New Roman" w:hAnsi="Arial" w:cs="Arial"/>
          <w:bCs/>
          <w:sz w:val="24"/>
          <w:szCs w:val="24"/>
          <w:lang w:val="en-GB"/>
        </w:rPr>
        <w:t xml:space="preserve"> the delay which was attendant on the bringing of the challenge and the explanation which </w:t>
      </w:r>
      <w:r w:rsidR="007461E5" w:rsidRPr="00811277">
        <w:rPr>
          <w:rFonts w:ascii="Arial" w:eastAsia="Times New Roman" w:hAnsi="Arial" w:cs="Arial"/>
          <w:bCs/>
          <w:sz w:val="24"/>
          <w:szCs w:val="24"/>
          <w:lang w:val="en-GB"/>
        </w:rPr>
        <w:t>was</w:t>
      </w:r>
      <w:r w:rsidR="00431F1B" w:rsidRPr="00811277">
        <w:rPr>
          <w:rFonts w:ascii="Arial" w:eastAsia="Times New Roman" w:hAnsi="Arial" w:cs="Arial"/>
          <w:bCs/>
          <w:sz w:val="24"/>
          <w:szCs w:val="24"/>
          <w:lang w:val="en-GB"/>
        </w:rPr>
        <w:t xml:space="preserve"> given in this regard</w:t>
      </w:r>
      <w:r w:rsidR="004B4DBB" w:rsidRPr="00811277">
        <w:rPr>
          <w:rFonts w:ascii="Arial" w:eastAsia="Times New Roman" w:hAnsi="Arial" w:cs="Arial"/>
          <w:bCs/>
          <w:sz w:val="24"/>
          <w:szCs w:val="24"/>
          <w:lang w:val="en-GB"/>
        </w:rPr>
        <w:t>,</w:t>
      </w:r>
      <w:r w:rsidR="00431F1B" w:rsidRPr="00811277">
        <w:rPr>
          <w:rFonts w:ascii="Arial" w:eastAsia="Times New Roman" w:hAnsi="Arial" w:cs="Arial"/>
          <w:bCs/>
          <w:sz w:val="24"/>
          <w:szCs w:val="24"/>
          <w:lang w:val="en-GB"/>
        </w:rPr>
        <w:t xml:space="preserve"> and the effect </w:t>
      </w:r>
      <w:r w:rsidR="002E47BE" w:rsidRPr="00811277">
        <w:rPr>
          <w:rFonts w:ascii="Arial" w:eastAsia="Times New Roman" w:hAnsi="Arial" w:cs="Arial"/>
          <w:bCs/>
          <w:sz w:val="24"/>
          <w:szCs w:val="24"/>
          <w:lang w:val="en-GB"/>
        </w:rPr>
        <w:t xml:space="preserve">that </w:t>
      </w:r>
      <w:r w:rsidR="00431F1B" w:rsidRPr="00811277">
        <w:rPr>
          <w:rFonts w:ascii="Arial" w:eastAsia="Times New Roman" w:hAnsi="Arial" w:cs="Arial"/>
          <w:bCs/>
          <w:sz w:val="24"/>
          <w:szCs w:val="24"/>
          <w:lang w:val="en-GB"/>
        </w:rPr>
        <w:t xml:space="preserve">upholding the challenge may have on </w:t>
      </w:r>
      <w:r w:rsidR="002E47BE" w:rsidRPr="00811277">
        <w:rPr>
          <w:rFonts w:ascii="Arial" w:eastAsia="Times New Roman" w:hAnsi="Arial" w:cs="Arial"/>
          <w:bCs/>
          <w:sz w:val="24"/>
          <w:szCs w:val="24"/>
          <w:lang w:val="en-GB"/>
        </w:rPr>
        <w:t>vested rights</w:t>
      </w:r>
      <w:r w:rsidR="007461E5" w:rsidRPr="00811277">
        <w:rPr>
          <w:rFonts w:ascii="Arial" w:eastAsia="Times New Roman" w:hAnsi="Arial" w:cs="Arial"/>
          <w:bCs/>
          <w:sz w:val="24"/>
          <w:szCs w:val="24"/>
          <w:lang w:val="en-GB"/>
        </w:rPr>
        <w:t>,</w:t>
      </w:r>
      <w:r w:rsidR="002E47BE" w:rsidRPr="00811277">
        <w:rPr>
          <w:rFonts w:ascii="Arial" w:eastAsia="Times New Roman" w:hAnsi="Arial" w:cs="Arial"/>
          <w:bCs/>
          <w:sz w:val="24"/>
          <w:szCs w:val="24"/>
          <w:lang w:val="en-GB"/>
        </w:rPr>
        <w:t xml:space="preserve"> a</w:t>
      </w:r>
      <w:r w:rsidR="001D488B" w:rsidRPr="00811277">
        <w:rPr>
          <w:rFonts w:ascii="Arial" w:eastAsia="Times New Roman" w:hAnsi="Arial" w:cs="Arial"/>
          <w:bCs/>
          <w:sz w:val="24"/>
          <w:szCs w:val="24"/>
          <w:lang w:val="en-GB"/>
        </w:rPr>
        <w:t>s well as</w:t>
      </w:r>
      <w:r w:rsidR="002E47BE" w:rsidRPr="00811277">
        <w:rPr>
          <w:rFonts w:ascii="Arial" w:eastAsia="Times New Roman" w:hAnsi="Arial" w:cs="Arial"/>
          <w:bCs/>
          <w:sz w:val="24"/>
          <w:szCs w:val="24"/>
          <w:lang w:val="en-GB"/>
        </w:rPr>
        <w:t xml:space="preserve"> </w:t>
      </w:r>
      <w:r w:rsidR="00431F1B" w:rsidRPr="00811277">
        <w:rPr>
          <w:rFonts w:ascii="Arial" w:eastAsia="Times New Roman" w:hAnsi="Arial" w:cs="Arial"/>
          <w:bCs/>
          <w:sz w:val="24"/>
          <w:szCs w:val="24"/>
          <w:lang w:val="en-GB"/>
        </w:rPr>
        <w:t>the requirements of certainty and finality of administrative acts and decisions.</w:t>
      </w:r>
      <w:r w:rsidR="002E47BE" w:rsidRPr="00811277">
        <w:rPr>
          <w:rFonts w:ascii="Arial" w:eastAsia="Times New Roman" w:hAnsi="Arial" w:cs="Arial"/>
          <w:bCs/>
          <w:sz w:val="24"/>
          <w:szCs w:val="24"/>
          <w:lang w:val="en-GB"/>
        </w:rPr>
        <w:t xml:space="preserve"> Thus, in short, in our law delay is and has always been a factor in collateral challenge matters, which </w:t>
      </w:r>
      <w:r w:rsidR="002E47BE" w:rsidRPr="00811277">
        <w:rPr>
          <w:rFonts w:ascii="Arial" w:eastAsia="Times New Roman" w:hAnsi="Arial" w:cs="Arial"/>
          <w:bCs/>
          <w:i/>
          <w:iCs/>
          <w:sz w:val="24"/>
          <w:szCs w:val="24"/>
          <w:lang w:val="en-GB"/>
        </w:rPr>
        <w:t>may</w:t>
      </w:r>
      <w:r w:rsidR="002E47BE" w:rsidRPr="00811277">
        <w:rPr>
          <w:rFonts w:ascii="Arial" w:eastAsia="Times New Roman" w:hAnsi="Arial" w:cs="Arial"/>
          <w:bCs/>
          <w:sz w:val="24"/>
          <w:szCs w:val="24"/>
          <w:lang w:val="en-GB"/>
        </w:rPr>
        <w:t xml:space="preserve"> have to be taken into account. </w:t>
      </w:r>
    </w:p>
    <w:p w14:paraId="0ED6C32A" w14:textId="28CADF0B" w:rsidR="00A2591F"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lastRenderedPageBreak/>
        <w:t>71.</w:t>
      </w:r>
      <w:r>
        <w:rPr>
          <w:rFonts w:ascii="Arial" w:eastAsia="Times New Roman" w:hAnsi="Arial" w:cs="Arial"/>
          <w:bCs/>
          <w:kern w:val="0"/>
          <w:sz w:val="24"/>
          <w:szCs w:val="24"/>
          <w:lang w:val="en-GB"/>
          <w14:ligatures w14:val="none"/>
        </w:rPr>
        <w:tab/>
      </w:r>
      <w:r w:rsidR="007461E5" w:rsidRPr="00811277">
        <w:rPr>
          <w:rFonts w:ascii="Arial" w:eastAsia="Times New Roman" w:hAnsi="Arial" w:cs="Arial"/>
          <w:bCs/>
          <w:sz w:val="24"/>
          <w:szCs w:val="24"/>
          <w:lang w:val="en-GB"/>
        </w:rPr>
        <w:t>In this matter delay is</w:t>
      </w:r>
      <w:r w:rsidR="000248D7" w:rsidRPr="00811277">
        <w:rPr>
          <w:rFonts w:ascii="Arial" w:eastAsia="Times New Roman" w:hAnsi="Arial" w:cs="Arial"/>
          <w:bCs/>
          <w:sz w:val="24"/>
          <w:szCs w:val="24"/>
          <w:lang w:val="en-GB"/>
        </w:rPr>
        <w:t>, in my view,</w:t>
      </w:r>
      <w:r w:rsidR="007461E5" w:rsidRPr="00811277">
        <w:rPr>
          <w:rFonts w:ascii="Arial" w:eastAsia="Times New Roman" w:hAnsi="Arial" w:cs="Arial"/>
          <w:bCs/>
          <w:sz w:val="24"/>
          <w:szCs w:val="24"/>
          <w:lang w:val="en-GB"/>
        </w:rPr>
        <w:t xml:space="preserve"> a material and important feature</w:t>
      </w:r>
      <w:r w:rsidR="004B4DBB" w:rsidRPr="00811277">
        <w:rPr>
          <w:rFonts w:ascii="Arial" w:eastAsia="Times New Roman" w:hAnsi="Arial" w:cs="Arial"/>
          <w:bCs/>
          <w:sz w:val="24"/>
          <w:szCs w:val="24"/>
          <w:lang w:val="en-GB"/>
        </w:rPr>
        <w:t xml:space="preserve"> which </w:t>
      </w:r>
      <w:r w:rsidR="004B4DBB" w:rsidRPr="00811277">
        <w:rPr>
          <w:rFonts w:ascii="Arial" w:eastAsia="Times New Roman" w:hAnsi="Arial" w:cs="Arial"/>
          <w:bCs/>
          <w:i/>
          <w:iCs/>
          <w:sz w:val="24"/>
          <w:szCs w:val="24"/>
          <w:lang w:val="en-GB"/>
        </w:rPr>
        <w:t>must</w:t>
      </w:r>
      <w:r w:rsidR="004B4DBB" w:rsidRPr="00811277">
        <w:rPr>
          <w:rFonts w:ascii="Arial" w:eastAsia="Times New Roman" w:hAnsi="Arial" w:cs="Arial"/>
          <w:bCs/>
          <w:sz w:val="24"/>
          <w:szCs w:val="24"/>
          <w:lang w:val="en-GB"/>
        </w:rPr>
        <w:t xml:space="preserve"> be </w:t>
      </w:r>
      <w:r w:rsidR="00207721" w:rsidRPr="00811277">
        <w:rPr>
          <w:rFonts w:ascii="Arial" w:eastAsia="Times New Roman" w:hAnsi="Arial" w:cs="Arial"/>
          <w:bCs/>
          <w:sz w:val="24"/>
          <w:szCs w:val="24"/>
          <w:lang w:val="en-GB"/>
        </w:rPr>
        <w:t>considered</w:t>
      </w:r>
      <w:r w:rsidR="007461E5" w:rsidRPr="00811277">
        <w:rPr>
          <w:rFonts w:ascii="Arial" w:eastAsia="Times New Roman" w:hAnsi="Arial" w:cs="Arial"/>
          <w:bCs/>
          <w:sz w:val="24"/>
          <w:szCs w:val="24"/>
          <w:lang w:val="en-GB"/>
        </w:rPr>
        <w:t>.</w:t>
      </w:r>
      <w:r w:rsidR="00090165" w:rsidRPr="00811277">
        <w:rPr>
          <w:rFonts w:ascii="Arial" w:eastAsia="Times New Roman" w:hAnsi="Arial" w:cs="Arial"/>
          <w:bCs/>
          <w:sz w:val="24"/>
          <w:szCs w:val="24"/>
          <w:lang w:val="en-GB"/>
        </w:rPr>
        <w:t xml:space="preserve"> The appellant knew about the </w:t>
      </w:r>
      <w:r w:rsidR="00A2591F" w:rsidRPr="00811277">
        <w:rPr>
          <w:rFonts w:ascii="Arial" w:eastAsia="Times New Roman" w:hAnsi="Arial" w:cs="Arial"/>
          <w:bCs/>
          <w:sz w:val="24"/>
          <w:szCs w:val="24"/>
          <w:lang w:val="en-GB"/>
        </w:rPr>
        <w:t>R</w:t>
      </w:r>
      <w:r w:rsidR="00090165" w:rsidRPr="00811277">
        <w:rPr>
          <w:rFonts w:ascii="Arial" w:eastAsia="Times New Roman" w:hAnsi="Arial" w:cs="Arial"/>
          <w:bCs/>
          <w:sz w:val="24"/>
          <w:szCs w:val="24"/>
          <w:lang w:val="en-GB"/>
        </w:rPr>
        <w:t>edisa plan well before it was promulgated</w:t>
      </w:r>
      <w:r w:rsidR="00A2591F" w:rsidRPr="00811277">
        <w:rPr>
          <w:rFonts w:ascii="Arial" w:eastAsia="Times New Roman" w:hAnsi="Arial" w:cs="Arial"/>
          <w:bCs/>
          <w:sz w:val="24"/>
          <w:szCs w:val="24"/>
          <w:lang w:val="en-GB"/>
        </w:rPr>
        <w:t xml:space="preserve"> in 2012 and</w:t>
      </w:r>
      <w:r w:rsidR="00090165" w:rsidRPr="00811277">
        <w:rPr>
          <w:rFonts w:ascii="Arial" w:eastAsia="Times New Roman" w:hAnsi="Arial" w:cs="Arial"/>
          <w:bCs/>
          <w:sz w:val="24"/>
          <w:szCs w:val="24"/>
          <w:lang w:val="en-GB"/>
        </w:rPr>
        <w:t xml:space="preserve"> subscribe</w:t>
      </w:r>
      <w:r w:rsidR="00A2591F" w:rsidRPr="00811277">
        <w:rPr>
          <w:rFonts w:ascii="Arial" w:eastAsia="Times New Roman" w:hAnsi="Arial" w:cs="Arial"/>
          <w:bCs/>
          <w:sz w:val="24"/>
          <w:szCs w:val="24"/>
          <w:lang w:val="en-GB"/>
        </w:rPr>
        <w:t>d</w:t>
      </w:r>
      <w:r w:rsidR="00090165" w:rsidRPr="00811277">
        <w:rPr>
          <w:rFonts w:ascii="Arial" w:eastAsia="Times New Roman" w:hAnsi="Arial" w:cs="Arial"/>
          <w:bCs/>
          <w:sz w:val="24"/>
          <w:szCs w:val="24"/>
          <w:lang w:val="en-GB"/>
        </w:rPr>
        <w:t xml:space="preserve"> to it. As an importer it was part of a group of persons to whom the provisions of the plan specifically </w:t>
      </w:r>
      <w:r w:rsidR="008A1E39" w:rsidRPr="00811277">
        <w:rPr>
          <w:rFonts w:ascii="Arial" w:eastAsia="Times New Roman" w:hAnsi="Arial" w:cs="Arial"/>
          <w:bCs/>
          <w:sz w:val="24"/>
          <w:szCs w:val="24"/>
          <w:lang w:val="en-GB"/>
        </w:rPr>
        <w:t>applied</w:t>
      </w:r>
      <w:r w:rsidR="00090165" w:rsidRPr="00811277">
        <w:rPr>
          <w:rFonts w:ascii="Arial" w:eastAsia="Times New Roman" w:hAnsi="Arial" w:cs="Arial"/>
          <w:bCs/>
          <w:sz w:val="24"/>
          <w:szCs w:val="24"/>
          <w:lang w:val="en-GB"/>
        </w:rPr>
        <w:t>. It knew that the plan made provision for the levying of a waste t</w:t>
      </w:r>
      <w:r w:rsidR="00A2591F" w:rsidRPr="00811277">
        <w:rPr>
          <w:rFonts w:ascii="Arial" w:eastAsia="Times New Roman" w:hAnsi="Arial" w:cs="Arial"/>
          <w:bCs/>
          <w:sz w:val="24"/>
          <w:szCs w:val="24"/>
          <w:lang w:val="en-GB"/>
        </w:rPr>
        <w:t>y</w:t>
      </w:r>
      <w:r w:rsidR="00090165" w:rsidRPr="00811277">
        <w:rPr>
          <w:rFonts w:ascii="Arial" w:eastAsia="Times New Roman" w:hAnsi="Arial" w:cs="Arial"/>
          <w:bCs/>
          <w:sz w:val="24"/>
          <w:szCs w:val="24"/>
          <w:lang w:val="en-GB"/>
        </w:rPr>
        <w:t>re management fee which was to be reviewed and adjusted annually i.e. increased or decreased</w:t>
      </w:r>
      <w:r w:rsidR="00A2591F" w:rsidRPr="00811277">
        <w:rPr>
          <w:rFonts w:ascii="Arial" w:eastAsia="Times New Roman" w:hAnsi="Arial" w:cs="Arial"/>
          <w:bCs/>
          <w:sz w:val="24"/>
          <w:szCs w:val="24"/>
          <w:lang w:val="en-GB"/>
        </w:rPr>
        <w:t>,</w:t>
      </w:r>
      <w:r w:rsidR="00090165" w:rsidRPr="00811277">
        <w:rPr>
          <w:rFonts w:ascii="Arial" w:eastAsia="Times New Roman" w:hAnsi="Arial" w:cs="Arial"/>
          <w:bCs/>
          <w:sz w:val="24"/>
          <w:szCs w:val="24"/>
          <w:lang w:val="en-GB"/>
        </w:rPr>
        <w:t xml:space="preserve"> depending on the pr</w:t>
      </w:r>
      <w:r w:rsidR="00A2591F" w:rsidRPr="00811277">
        <w:rPr>
          <w:rFonts w:ascii="Arial" w:eastAsia="Times New Roman" w:hAnsi="Arial" w:cs="Arial"/>
          <w:bCs/>
          <w:sz w:val="24"/>
          <w:szCs w:val="24"/>
          <w:lang w:val="en-GB"/>
        </w:rPr>
        <w:t>ior</w:t>
      </w:r>
      <w:r w:rsidR="00090165" w:rsidRPr="00811277">
        <w:rPr>
          <w:rFonts w:ascii="Arial" w:eastAsia="Times New Roman" w:hAnsi="Arial" w:cs="Arial"/>
          <w:bCs/>
          <w:sz w:val="24"/>
          <w:szCs w:val="24"/>
          <w:lang w:val="en-GB"/>
        </w:rPr>
        <w:t xml:space="preserve"> year</w:t>
      </w:r>
      <w:r w:rsidR="000248D7" w:rsidRPr="00811277">
        <w:rPr>
          <w:rFonts w:ascii="Arial" w:eastAsia="Times New Roman" w:hAnsi="Arial" w:cs="Arial"/>
          <w:bCs/>
          <w:sz w:val="24"/>
          <w:szCs w:val="24"/>
          <w:lang w:val="en-GB"/>
        </w:rPr>
        <w:t>’</w:t>
      </w:r>
      <w:r w:rsidR="00090165" w:rsidRPr="00811277">
        <w:rPr>
          <w:rFonts w:ascii="Arial" w:eastAsia="Times New Roman" w:hAnsi="Arial" w:cs="Arial"/>
          <w:bCs/>
          <w:sz w:val="24"/>
          <w:szCs w:val="24"/>
          <w:lang w:val="en-GB"/>
        </w:rPr>
        <w:t>s running and operational costs. It knew</w:t>
      </w:r>
      <w:r w:rsidR="00A2591F" w:rsidRPr="00811277">
        <w:rPr>
          <w:rFonts w:ascii="Arial" w:eastAsia="Times New Roman" w:hAnsi="Arial" w:cs="Arial"/>
          <w:bCs/>
          <w:sz w:val="24"/>
          <w:szCs w:val="24"/>
          <w:lang w:val="en-GB"/>
        </w:rPr>
        <w:t xml:space="preserve">, already </w:t>
      </w:r>
      <w:r w:rsidR="000248D7" w:rsidRPr="00811277">
        <w:rPr>
          <w:rFonts w:ascii="Arial" w:eastAsia="Times New Roman" w:hAnsi="Arial" w:cs="Arial"/>
          <w:bCs/>
          <w:sz w:val="24"/>
          <w:szCs w:val="24"/>
          <w:lang w:val="en-GB"/>
        </w:rPr>
        <w:t xml:space="preserve">in </w:t>
      </w:r>
      <w:r w:rsidR="00090165" w:rsidRPr="00811277">
        <w:rPr>
          <w:rFonts w:ascii="Arial" w:eastAsia="Times New Roman" w:hAnsi="Arial" w:cs="Arial"/>
          <w:bCs/>
          <w:sz w:val="24"/>
          <w:szCs w:val="24"/>
          <w:lang w:val="en-GB"/>
        </w:rPr>
        <w:t xml:space="preserve">the </w:t>
      </w:r>
      <w:r w:rsidR="000248D7" w:rsidRPr="00811277">
        <w:rPr>
          <w:rFonts w:ascii="Arial" w:eastAsia="Times New Roman" w:hAnsi="Arial" w:cs="Arial"/>
          <w:bCs/>
          <w:sz w:val="24"/>
          <w:szCs w:val="24"/>
          <w:lang w:val="en-GB"/>
        </w:rPr>
        <w:t xml:space="preserve">first </w:t>
      </w:r>
      <w:r w:rsidR="00090165" w:rsidRPr="00811277">
        <w:rPr>
          <w:rFonts w:ascii="Arial" w:eastAsia="Times New Roman" w:hAnsi="Arial" w:cs="Arial"/>
          <w:bCs/>
          <w:sz w:val="24"/>
          <w:szCs w:val="24"/>
          <w:lang w:val="en-GB"/>
        </w:rPr>
        <w:t xml:space="preserve">year </w:t>
      </w:r>
      <w:r w:rsidR="00A2591F" w:rsidRPr="00811277">
        <w:rPr>
          <w:rFonts w:ascii="Arial" w:eastAsia="Times New Roman" w:hAnsi="Arial" w:cs="Arial"/>
          <w:bCs/>
          <w:sz w:val="24"/>
          <w:szCs w:val="24"/>
          <w:lang w:val="en-GB"/>
        </w:rPr>
        <w:t>after</w:t>
      </w:r>
      <w:r w:rsidR="00090165" w:rsidRPr="00811277">
        <w:rPr>
          <w:rFonts w:ascii="Arial" w:eastAsia="Times New Roman" w:hAnsi="Arial" w:cs="Arial"/>
          <w:bCs/>
          <w:sz w:val="24"/>
          <w:szCs w:val="24"/>
          <w:lang w:val="en-GB"/>
        </w:rPr>
        <w:t xml:space="preserve"> its promulgation</w:t>
      </w:r>
      <w:r w:rsidR="0045457D" w:rsidRPr="00811277">
        <w:rPr>
          <w:rFonts w:ascii="Arial" w:eastAsia="Times New Roman" w:hAnsi="Arial" w:cs="Arial"/>
          <w:bCs/>
          <w:sz w:val="24"/>
          <w:szCs w:val="24"/>
          <w:lang w:val="en-GB"/>
        </w:rPr>
        <w:t>,</w:t>
      </w:r>
      <w:r w:rsidR="00090165" w:rsidRPr="00811277">
        <w:rPr>
          <w:rFonts w:ascii="Arial" w:eastAsia="Times New Roman" w:hAnsi="Arial" w:cs="Arial"/>
          <w:bCs/>
          <w:sz w:val="24"/>
          <w:szCs w:val="24"/>
          <w:lang w:val="en-GB"/>
        </w:rPr>
        <w:t xml:space="preserve"> </w:t>
      </w:r>
      <w:r w:rsidR="00A2591F" w:rsidRPr="00811277">
        <w:rPr>
          <w:rFonts w:ascii="Arial" w:eastAsia="Times New Roman" w:hAnsi="Arial" w:cs="Arial"/>
          <w:bCs/>
          <w:sz w:val="24"/>
          <w:szCs w:val="24"/>
          <w:lang w:val="en-GB"/>
        </w:rPr>
        <w:t xml:space="preserve">that </w:t>
      </w:r>
      <w:r w:rsidR="00090165" w:rsidRPr="00811277">
        <w:rPr>
          <w:rFonts w:ascii="Arial" w:eastAsia="Times New Roman" w:hAnsi="Arial" w:cs="Arial"/>
          <w:bCs/>
          <w:sz w:val="24"/>
          <w:szCs w:val="24"/>
          <w:lang w:val="en-GB"/>
        </w:rPr>
        <w:t xml:space="preserve">the fee </w:t>
      </w:r>
      <w:r w:rsidR="0045457D" w:rsidRPr="00811277">
        <w:rPr>
          <w:rFonts w:ascii="Arial" w:eastAsia="Times New Roman" w:hAnsi="Arial" w:cs="Arial"/>
          <w:bCs/>
          <w:sz w:val="24"/>
          <w:szCs w:val="24"/>
          <w:lang w:val="en-GB"/>
        </w:rPr>
        <w:t>was</w:t>
      </w:r>
      <w:r w:rsidR="00090165" w:rsidRPr="00811277">
        <w:rPr>
          <w:rFonts w:ascii="Arial" w:eastAsia="Times New Roman" w:hAnsi="Arial" w:cs="Arial"/>
          <w:bCs/>
          <w:sz w:val="24"/>
          <w:szCs w:val="24"/>
          <w:lang w:val="en-GB"/>
        </w:rPr>
        <w:t xml:space="preserve"> not reviewed</w:t>
      </w:r>
      <w:r w:rsidR="000248D7" w:rsidRPr="00811277">
        <w:rPr>
          <w:rFonts w:ascii="Arial" w:eastAsia="Times New Roman" w:hAnsi="Arial" w:cs="Arial"/>
          <w:bCs/>
          <w:sz w:val="24"/>
          <w:szCs w:val="24"/>
          <w:lang w:val="en-GB"/>
        </w:rPr>
        <w:t xml:space="preserve"> and adjusted</w:t>
      </w:r>
      <w:r w:rsidR="0045457D" w:rsidRPr="00811277">
        <w:rPr>
          <w:rFonts w:ascii="Arial" w:eastAsia="Times New Roman" w:hAnsi="Arial" w:cs="Arial"/>
          <w:bCs/>
          <w:sz w:val="24"/>
          <w:szCs w:val="24"/>
          <w:lang w:val="en-GB"/>
        </w:rPr>
        <w:t>, and that it was not reviewed and adjusted in the years that followed</w:t>
      </w:r>
      <w:r w:rsidR="000248D7" w:rsidRPr="00811277">
        <w:rPr>
          <w:rFonts w:ascii="Arial" w:eastAsia="Times New Roman" w:hAnsi="Arial" w:cs="Arial"/>
          <w:bCs/>
          <w:sz w:val="24"/>
          <w:szCs w:val="24"/>
          <w:lang w:val="en-GB"/>
        </w:rPr>
        <w:t>.</w:t>
      </w:r>
      <w:r w:rsidR="00090165" w:rsidRPr="00811277">
        <w:rPr>
          <w:rFonts w:ascii="Arial" w:eastAsia="Times New Roman" w:hAnsi="Arial" w:cs="Arial"/>
          <w:bCs/>
          <w:sz w:val="24"/>
          <w:szCs w:val="24"/>
          <w:lang w:val="en-GB"/>
        </w:rPr>
        <w:t xml:space="preserve"> Despite this it continued voluntarily and without demur to make payment of the </w:t>
      </w:r>
      <w:r w:rsidR="00A2591F" w:rsidRPr="00811277">
        <w:rPr>
          <w:rFonts w:ascii="Arial" w:eastAsia="Times New Roman" w:hAnsi="Arial" w:cs="Arial"/>
          <w:bCs/>
          <w:sz w:val="24"/>
          <w:szCs w:val="24"/>
          <w:lang w:val="en-GB"/>
        </w:rPr>
        <w:t>fee</w:t>
      </w:r>
      <w:r w:rsidR="000248D7" w:rsidRPr="00811277">
        <w:rPr>
          <w:rFonts w:ascii="Arial" w:eastAsia="Times New Roman" w:hAnsi="Arial" w:cs="Arial"/>
          <w:bCs/>
          <w:sz w:val="24"/>
          <w:szCs w:val="24"/>
          <w:lang w:val="en-GB"/>
        </w:rPr>
        <w:t>, as it was</w:t>
      </w:r>
      <w:r w:rsidR="0045457D" w:rsidRPr="00811277">
        <w:rPr>
          <w:rFonts w:ascii="Arial" w:eastAsia="Times New Roman" w:hAnsi="Arial" w:cs="Arial"/>
          <w:bCs/>
          <w:sz w:val="24"/>
          <w:szCs w:val="24"/>
          <w:lang w:val="en-GB"/>
        </w:rPr>
        <w:t xml:space="preserve"> levied</w:t>
      </w:r>
      <w:r w:rsidR="000248D7" w:rsidRPr="00811277">
        <w:rPr>
          <w:rFonts w:ascii="Arial" w:eastAsia="Times New Roman" w:hAnsi="Arial" w:cs="Arial"/>
          <w:bCs/>
          <w:sz w:val="24"/>
          <w:szCs w:val="24"/>
          <w:lang w:val="en-GB"/>
        </w:rPr>
        <w:t>,</w:t>
      </w:r>
      <w:r w:rsidR="00090165" w:rsidRPr="00811277">
        <w:rPr>
          <w:rFonts w:ascii="Arial" w:eastAsia="Times New Roman" w:hAnsi="Arial" w:cs="Arial"/>
          <w:bCs/>
          <w:sz w:val="24"/>
          <w:szCs w:val="24"/>
          <w:lang w:val="en-GB"/>
        </w:rPr>
        <w:t xml:space="preserve"> for a period of 4 years between the promulgation of the plan on 30 November 2012 and October 2016</w:t>
      </w:r>
      <w:r w:rsidR="0045457D" w:rsidRPr="00811277">
        <w:rPr>
          <w:rFonts w:ascii="Arial" w:eastAsia="Times New Roman" w:hAnsi="Arial" w:cs="Arial"/>
          <w:bCs/>
          <w:sz w:val="24"/>
          <w:szCs w:val="24"/>
          <w:lang w:val="en-GB"/>
        </w:rPr>
        <w:t>,</w:t>
      </w:r>
      <w:r w:rsidR="00090165" w:rsidRPr="00811277">
        <w:rPr>
          <w:rFonts w:ascii="Arial" w:eastAsia="Times New Roman" w:hAnsi="Arial" w:cs="Arial"/>
          <w:bCs/>
          <w:sz w:val="24"/>
          <w:szCs w:val="24"/>
          <w:lang w:val="en-GB"/>
        </w:rPr>
        <w:t xml:space="preserve"> when it stopped doing so, without offering any explanation. During the 4 years that it paid the </w:t>
      </w:r>
      <w:r w:rsidR="00A2591F" w:rsidRPr="00811277">
        <w:rPr>
          <w:rFonts w:ascii="Arial" w:eastAsia="Times New Roman" w:hAnsi="Arial" w:cs="Arial"/>
          <w:bCs/>
          <w:sz w:val="24"/>
          <w:szCs w:val="24"/>
          <w:lang w:val="en-GB"/>
        </w:rPr>
        <w:t>fee</w:t>
      </w:r>
      <w:r w:rsidR="00090165" w:rsidRPr="00811277">
        <w:rPr>
          <w:rFonts w:ascii="Arial" w:eastAsia="Times New Roman" w:hAnsi="Arial" w:cs="Arial"/>
          <w:bCs/>
          <w:sz w:val="24"/>
          <w:szCs w:val="24"/>
          <w:lang w:val="en-GB"/>
        </w:rPr>
        <w:t xml:space="preserve"> it did not seek to raise any illegality or invalidity in relation to</w:t>
      </w:r>
      <w:r w:rsidR="00A2591F" w:rsidRPr="00811277">
        <w:rPr>
          <w:rFonts w:ascii="Arial" w:eastAsia="Times New Roman" w:hAnsi="Arial" w:cs="Arial"/>
          <w:bCs/>
          <w:sz w:val="24"/>
          <w:szCs w:val="24"/>
          <w:lang w:val="en-GB"/>
        </w:rPr>
        <w:t xml:space="preserve"> it</w:t>
      </w:r>
      <w:r w:rsidR="00090165" w:rsidRPr="00811277">
        <w:rPr>
          <w:rFonts w:ascii="Arial" w:eastAsia="Times New Roman" w:hAnsi="Arial" w:cs="Arial"/>
          <w:bCs/>
          <w:sz w:val="24"/>
          <w:szCs w:val="24"/>
          <w:lang w:val="en-GB"/>
        </w:rPr>
        <w:t xml:space="preserve"> and only sought to do so when the application was launched by </w:t>
      </w:r>
      <w:r w:rsidR="00A2591F" w:rsidRPr="00811277">
        <w:rPr>
          <w:rFonts w:ascii="Arial" w:eastAsia="Times New Roman" w:hAnsi="Arial" w:cs="Arial"/>
          <w:bCs/>
          <w:sz w:val="24"/>
          <w:szCs w:val="24"/>
          <w:lang w:val="en-GB"/>
        </w:rPr>
        <w:t>R</w:t>
      </w:r>
      <w:r w:rsidR="00090165" w:rsidRPr="00811277">
        <w:rPr>
          <w:rFonts w:ascii="Arial" w:eastAsia="Times New Roman" w:hAnsi="Arial" w:cs="Arial"/>
          <w:bCs/>
          <w:sz w:val="24"/>
          <w:szCs w:val="24"/>
          <w:lang w:val="en-GB"/>
        </w:rPr>
        <w:t xml:space="preserve">edisa in September 2019, just short of 3 years after it stopped paying. </w:t>
      </w:r>
      <w:r w:rsidR="0045457D" w:rsidRPr="00811277">
        <w:rPr>
          <w:rFonts w:ascii="Arial" w:eastAsia="Times New Roman" w:hAnsi="Arial" w:cs="Arial"/>
          <w:bCs/>
          <w:sz w:val="24"/>
          <w:szCs w:val="24"/>
          <w:lang w:val="en-GB"/>
        </w:rPr>
        <w:t xml:space="preserve"> </w:t>
      </w:r>
    </w:p>
    <w:p w14:paraId="51B5035C" w14:textId="5B411820" w:rsidR="005321C4"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72.</w:t>
      </w:r>
      <w:r>
        <w:rPr>
          <w:rFonts w:ascii="Arial" w:eastAsia="Times New Roman" w:hAnsi="Arial" w:cs="Arial"/>
          <w:bCs/>
          <w:kern w:val="0"/>
          <w:sz w:val="24"/>
          <w:szCs w:val="24"/>
          <w:lang w:val="en-GB"/>
          <w14:ligatures w14:val="none"/>
        </w:rPr>
        <w:tab/>
      </w:r>
      <w:r w:rsidR="00090165" w:rsidRPr="00811277">
        <w:rPr>
          <w:rFonts w:ascii="Arial" w:eastAsia="Times New Roman" w:hAnsi="Arial" w:cs="Arial"/>
          <w:bCs/>
          <w:sz w:val="24"/>
          <w:szCs w:val="24"/>
          <w:lang w:val="en-GB"/>
        </w:rPr>
        <w:t xml:space="preserve">In seeking to challenge the enforcement of the plan collaterally the applicant </w:t>
      </w:r>
      <w:r w:rsidR="005321C4" w:rsidRPr="00811277">
        <w:rPr>
          <w:rFonts w:ascii="Arial" w:eastAsia="Times New Roman" w:hAnsi="Arial" w:cs="Arial"/>
          <w:bCs/>
          <w:sz w:val="24"/>
          <w:szCs w:val="24"/>
          <w:lang w:val="en-GB"/>
        </w:rPr>
        <w:t>made no attempt to</w:t>
      </w:r>
      <w:r w:rsidR="00090165" w:rsidRPr="00811277">
        <w:rPr>
          <w:rFonts w:ascii="Arial" w:eastAsia="Times New Roman" w:hAnsi="Arial" w:cs="Arial"/>
          <w:bCs/>
          <w:sz w:val="24"/>
          <w:szCs w:val="24"/>
          <w:lang w:val="en-GB"/>
        </w:rPr>
        <w:t xml:space="preserve"> provide any explanation for </w:t>
      </w:r>
      <w:r w:rsidR="000248D7" w:rsidRPr="00811277">
        <w:rPr>
          <w:rFonts w:ascii="Arial" w:eastAsia="Times New Roman" w:hAnsi="Arial" w:cs="Arial"/>
          <w:bCs/>
          <w:sz w:val="24"/>
          <w:szCs w:val="24"/>
          <w:lang w:val="en-GB"/>
        </w:rPr>
        <w:t xml:space="preserve">why it made payment of a fee it considered to be unlawful, </w:t>
      </w:r>
      <w:r w:rsidR="008275E7" w:rsidRPr="00811277">
        <w:rPr>
          <w:rFonts w:ascii="Arial" w:eastAsia="Times New Roman" w:hAnsi="Arial" w:cs="Arial"/>
          <w:bCs/>
          <w:sz w:val="24"/>
          <w:szCs w:val="24"/>
          <w:lang w:val="en-GB"/>
        </w:rPr>
        <w:t xml:space="preserve">at least </w:t>
      </w:r>
      <w:r w:rsidR="000248D7" w:rsidRPr="00811277">
        <w:rPr>
          <w:rFonts w:ascii="Arial" w:eastAsia="Times New Roman" w:hAnsi="Arial" w:cs="Arial"/>
          <w:bCs/>
          <w:sz w:val="24"/>
          <w:szCs w:val="24"/>
          <w:lang w:val="en-GB"/>
        </w:rPr>
        <w:t>from November 201</w:t>
      </w:r>
      <w:r w:rsidR="00696EF7" w:rsidRPr="00811277">
        <w:rPr>
          <w:rFonts w:ascii="Arial" w:eastAsia="Times New Roman" w:hAnsi="Arial" w:cs="Arial"/>
          <w:bCs/>
          <w:sz w:val="24"/>
          <w:szCs w:val="24"/>
          <w:lang w:val="en-GB"/>
        </w:rPr>
        <w:t>3</w:t>
      </w:r>
      <w:r w:rsidR="000248D7" w:rsidRPr="00811277">
        <w:rPr>
          <w:rFonts w:ascii="Arial" w:eastAsia="Times New Roman" w:hAnsi="Arial" w:cs="Arial"/>
          <w:bCs/>
          <w:sz w:val="24"/>
          <w:szCs w:val="24"/>
          <w:lang w:val="en-GB"/>
        </w:rPr>
        <w:t xml:space="preserve"> until </w:t>
      </w:r>
      <w:r w:rsidR="00696EF7" w:rsidRPr="00811277">
        <w:rPr>
          <w:rFonts w:ascii="Arial" w:eastAsia="Times New Roman" w:hAnsi="Arial" w:cs="Arial"/>
          <w:bCs/>
          <w:sz w:val="24"/>
          <w:szCs w:val="24"/>
          <w:lang w:val="en-GB"/>
        </w:rPr>
        <w:t xml:space="preserve">October </w:t>
      </w:r>
      <w:r w:rsidR="000248D7" w:rsidRPr="00811277">
        <w:rPr>
          <w:rFonts w:ascii="Arial" w:eastAsia="Times New Roman" w:hAnsi="Arial" w:cs="Arial"/>
          <w:bCs/>
          <w:sz w:val="24"/>
          <w:szCs w:val="24"/>
          <w:lang w:val="en-GB"/>
        </w:rPr>
        <w:t>2016, and why it never sought to challenge the levying of the fee</w:t>
      </w:r>
      <w:r w:rsidR="00090165" w:rsidRPr="00811277">
        <w:rPr>
          <w:rFonts w:ascii="Arial" w:eastAsia="Times New Roman" w:hAnsi="Arial" w:cs="Arial"/>
          <w:bCs/>
          <w:sz w:val="24"/>
          <w:szCs w:val="24"/>
          <w:lang w:val="en-GB"/>
        </w:rPr>
        <w:t xml:space="preserve"> </w:t>
      </w:r>
      <w:r w:rsidR="000248D7" w:rsidRPr="00811277">
        <w:rPr>
          <w:rFonts w:ascii="Arial" w:eastAsia="Times New Roman" w:hAnsi="Arial" w:cs="Arial"/>
          <w:bCs/>
          <w:sz w:val="24"/>
          <w:szCs w:val="24"/>
          <w:lang w:val="en-GB"/>
        </w:rPr>
        <w:t xml:space="preserve">by way of a review, or otherwise. It failed to provide any explanation for its delay in doing anything until it raised </w:t>
      </w:r>
      <w:r w:rsidR="005321C4" w:rsidRPr="00811277">
        <w:rPr>
          <w:rFonts w:ascii="Arial" w:eastAsia="Times New Roman" w:hAnsi="Arial" w:cs="Arial"/>
          <w:bCs/>
          <w:sz w:val="24"/>
          <w:szCs w:val="24"/>
          <w:lang w:val="en-GB"/>
        </w:rPr>
        <w:t xml:space="preserve">its </w:t>
      </w:r>
      <w:r w:rsidR="000248D7" w:rsidRPr="00811277">
        <w:rPr>
          <w:rFonts w:ascii="Arial" w:eastAsia="Times New Roman" w:hAnsi="Arial" w:cs="Arial"/>
          <w:bCs/>
          <w:sz w:val="24"/>
          <w:szCs w:val="24"/>
          <w:lang w:val="en-GB"/>
        </w:rPr>
        <w:t>collateral challenge late in 2019.</w:t>
      </w:r>
      <w:r w:rsidR="00090165" w:rsidRPr="00811277">
        <w:rPr>
          <w:rFonts w:ascii="Arial" w:eastAsia="Times New Roman" w:hAnsi="Arial" w:cs="Arial"/>
          <w:bCs/>
          <w:sz w:val="24"/>
          <w:szCs w:val="24"/>
          <w:lang w:val="en-GB"/>
        </w:rPr>
        <w:t xml:space="preserve"> It was, by law, required to provide a full </w:t>
      </w:r>
      <w:r w:rsidR="000248D7" w:rsidRPr="00811277">
        <w:rPr>
          <w:rFonts w:ascii="Arial" w:eastAsia="Times New Roman" w:hAnsi="Arial" w:cs="Arial"/>
          <w:bCs/>
          <w:sz w:val="24"/>
          <w:szCs w:val="24"/>
          <w:lang w:val="en-GB"/>
        </w:rPr>
        <w:t xml:space="preserve">and </w:t>
      </w:r>
      <w:r w:rsidR="005321C4" w:rsidRPr="00811277">
        <w:rPr>
          <w:rFonts w:ascii="Arial" w:eastAsia="Times New Roman" w:hAnsi="Arial" w:cs="Arial"/>
          <w:bCs/>
          <w:sz w:val="24"/>
          <w:szCs w:val="24"/>
          <w:lang w:val="en-GB"/>
        </w:rPr>
        <w:t>cogent</w:t>
      </w:r>
      <w:r w:rsidR="000248D7" w:rsidRPr="00811277">
        <w:rPr>
          <w:rFonts w:ascii="Arial" w:eastAsia="Times New Roman" w:hAnsi="Arial" w:cs="Arial"/>
          <w:bCs/>
          <w:sz w:val="24"/>
          <w:szCs w:val="24"/>
          <w:lang w:val="en-GB"/>
        </w:rPr>
        <w:t xml:space="preserve"> </w:t>
      </w:r>
      <w:r w:rsidR="00090165" w:rsidRPr="00811277">
        <w:rPr>
          <w:rFonts w:ascii="Arial" w:eastAsia="Times New Roman" w:hAnsi="Arial" w:cs="Arial"/>
          <w:bCs/>
          <w:sz w:val="24"/>
          <w:szCs w:val="24"/>
          <w:lang w:val="en-GB"/>
        </w:rPr>
        <w:t>explanation which covered the entire period of delay</w:t>
      </w:r>
      <w:r w:rsidR="000248D7" w:rsidRPr="00811277">
        <w:rPr>
          <w:rFonts w:ascii="Arial" w:eastAsia="Times New Roman" w:hAnsi="Arial" w:cs="Arial"/>
          <w:bCs/>
          <w:sz w:val="24"/>
          <w:szCs w:val="24"/>
          <w:lang w:val="en-GB"/>
        </w:rPr>
        <w:t>,</w:t>
      </w:r>
      <w:r w:rsidR="00090165" w:rsidRPr="00811277">
        <w:rPr>
          <w:rFonts w:ascii="Arial" w:eastAsia="Times New Roman" w:hAnsi="Arial" w:cs="Arial"/>
          <w:bCs/>
          <w:sz w:val="24"/>
          <w:szCs w:val="24"/>
          <w:lang w:val="en-GB"/>
        </w:rPr>
        <w:t xml:space="preserve"> but </w:t>
      </w:r>
      <w:r w:rsidR="005321C4" w:rsidRPr="00811277">
        <w:rPr>
          <w:rFonts w:ascii="Arial" w:eastAsia="Times New Roman" w:hAnsi="Arial" w:cs="Arial"/>
          <w:bCs/>
          <w:sz w:val="24"/>
          <w:szCs w:val="24"/>
          <w:lang w:val="en-GB"/>
        </w:rPr>
        <w:t xml:space="preserve">it </w:t>
      </w:r>
      <w:r w:rsidR="00090165" w:rsidRPr="00811277">
        <w:rPr>
          <w:rFonts w:ascii="Arial" w:eastAsia="Times New Roman" w:hAnsi="Arial" w:cs="Arial"/>
          <w:bCs/>
          <w:sz w:val="24"/>
          <w:szCs w:val="24"/>
          <w:lang w:val="en-GB"/>
        </w:rPr>
        <w:t xml:space="preserve">did not even provide a cursory one. </w:t>
      </w:r>
      <w:r w:rsidR="005321C4" w:rsidRPr="00811277">
        <w:rPr>
          <w:rFonts w:ascii="Arial" w:eastAsia="Times New Roman" w:hAnsi="Arial" w:cs="Arial"/>
          <w:bCs/>
          <w:sz w:val="24"/>
          <w:szCs w:val="24"/>
          <w:lang w:val="en-GB"/>
        </w:rPr>
        <w:t xml:space="preserve">In the absence of any </w:t>
      </w:r>
      <w:r w:rsidR="00BB29E4" w:rsidRPr="00811277">
        <w:rPr>
          <w:rFonts w:ascii="Arial" w:eastAsia="Times New Roman" w:hAnsi="Arial" w:cs="Arial"/>
          <w:bCs/>
          <w:sz w:val="24"/>
          <w:szCs w:val="24"/>
          <w:lang w:val="en-GB"/>
        </w:rPr>
        <w:t xml:space="preserve">of </w:t>
      </w:r>
      <w:r w:rsidR="005321C4" w:rsidRPr="00811277">
        <w:rPr>
          <w:rFonts w:ascii="Arial" w:eastAsia="Times New Roman" w:hAnsi="Arial" w:cs="Arial"/>
          <w:bCs/>
          <w:sz w:val="24"/>
          <w:szCs w:val="24"/>
          <w:lang w:val="en-GB"/>
        </w:rPr>
        <w:t xml:space="preserve">these explanations it is difficult not to conclude that its belated raising of a collateral challenge was nothing more than an opportunistic attempt to avoid making payment, and that it stopped making payment of the levies in October 2016 because it took advantage of the fact that </w:t>
      </w:r>
      <w:r w:rsidR="00F50396" w:rsidRPr="00811277">
        <w:rPr>
          <w:rFonts w:ascii="Arial" w:eastAsia="Times New Roman" w:hAnsi="Arial" w:cs="Arial"/>
          <w:bCs/>
          <w:sz w:val="24"/>
          <w:szCs w:val="24"/>
          <w:lang w:val="en-GB"/>
        </w:rPr>
        <w:t xml:space="preserve">1) </w:t>
      </w:r>
      <w:r w:rsidR="005321C4" w:rsidRPr="00811277">
        <w:rPr>
          <w:rFonts w:ascii="Arial" w:eastAsia="Times New Roman" w:hAnsi="Arial" w:cs="Arial"/>
          <w:bCs/>
          <w:sz w:val="24"/>
          <w:szCs w:val="24"/>
          <w:lang w:val="en-GB"/>
        </w:rPr>
        <w:t xml:space="preserve">the </w:t>
      </w:r>
      <w:r w:rsidR="008A1E39" w:rsidRPr="00811277">
        <w:rPr>
          <w:rFonts w:ascii="Arial" w:eastAsia="Times New Roman" w:hAnsi="Arial" w:cs="Arial"/>
          <w:bCs/>
          <w:sz w:val="24"/>
          <w:szCs w:val="24"/>
          <w:lang w:val="en-GB"/>
        </w:rPr>
        <w:t xml:space="preserve">state had </w:t>
      </w:r>
      <w:r w:rsidR="00F50396" w:rsidRPr="00811277">
        <w:rPr>
          <w:rFonts w:ascii="Arial" w:eastAsia="Times New Roman" w:hAnsi="Arial" w:cs="Arial"/>
          <w:bCs/>
          <w:sz w:val="24"/>
          <w:szCs w:val="24"/>
          <w:lang w:val="en-GB"/>
        </w:rPr>
        <w:t>indicated</w:t>
      </w:r>
      <w:r w:rsidR="008A1E39" w:rsidRPr="00811277">
        <w:rPr>
          <w:rFonts w:ascii="Arial" w:eastAsia="Times New Roman" w:hAnsi="Arial" w:cs="Arial"/>
          <w:bCs/>
          <w:sz w:val="24"/>
          <w:szCs w:val="24"/>
          <w:lang w:val="en-GB"/>
        </w:rPr>
        <w:t xml:space="preserve"> </w:t>
      </w:r>
      <w:r w:rsidR="00F50396" w:rsidRPr="00811277">
        <w:rPr>
          <w:rFonts w:ascii="Arial" w:eastAsia="Times New Roman" w:hAnsi="Arial" w:cs="Arial"/>
          <w:bCs/>
          <w:sz w:val="24"/>
          <w:szCs w:val="24"/>
          <w:lang w:val="en-GB"/>
        </w:rPr>
        <w:t xml:space="preserve">in </w:t>
      </w:r>
      <w:r w:rsidR="000D3716" w:rsidRPr="00811277">
        <w:rPr>
          <w:rFonts w:ascii="Arial" w:eastAsia="Times New Roman" w:hAnsi="Arial" w:cs="Arial"/>
          <w:bCs/>
          <w:sz w:val="24"/>
          <w:szCs w:val="24"/>
          <w:lang w:val="en-GB"/>
        </w:rPr>
        <w:t xml:space="preserve">or about </w:t>
      </w:r>
      <w:r w:rsidR="00F50396" w:rsidRPr="00811277">
        <w:rPr>
          <w:rFonts w:ascii="Arial" w:eastAsia="Times New Roman" w:hAnsi="Arial" w:cs="Arial"/>
          <w:bCs/>
          <w:sz w:val="24"/>
          <w:szCs w:val="24"/>
          <w:lang w:val="en-GB"/>
        </w:rPr>
        <w:t xml:space="preserve">August 2016 that it </w:t>
      </w:r>
      <w:r w:rsidR="000D3716" w:rsidRPr="00811277">
        <w:rPr>
          <w:rFonts w:ascii="Arial" w:eastAsia="Times New Roman" w:hAnsi="Arial" w:cs="Arial"/>
          <w:bCs/>
          <w:sz w:val="24"/>
          <w:szCs w:val="24"/>
          <w:lang w:val="en-GB"/>
        </w:rPr>
        <w:t xml:space="preserve">was going </w:t>
      </w:r>
      <w:r w:rsidR="008A1E39" w:rsidRPr="00811277">
        <w:rPr>
          <w:rFonts w:ascii="Arial" w:eastAsia="Times New Roman" w:hAnsi="Arial" w:cs="Arial"/>
          <w:bCs/>
          <w:sz w:val="24"/>
          <w:szCs w:val="24"/>
          <w:lang w:val="en-GB"/>
        </w:rPr>
        <w:t xml:space="preserve">to change the funding model </w:t>
      </w:r>
      <w:r w:rsidR="009543E3" w:rsidRPr="00811277">
        <w:rPr>
          <w:rFonts w:ascii="Arial" w:eastAsia="Times New Roman" w:hAnsi="Arial" w:cs="Arial"/>
          <w:bCs/>
          <w:sz w:val="24"/>
          <w:szCs w:val="24"/>
          <w:lang w:val="en-GB"/>
        </w:rPr>
        <w:t xml:space="preserve">for waste plans </w:t>
      </w:r>
      <w:r w:rsidR="008A1E39" w:rsidRPr="00811277">
        <w:rPr>
          <w:rFonts w:ascii="Arial" w:eastAsia="Times New Roman" w:hAnsi="Arial" w:cs="Arial"/>
          <w:bCs/>
          <w:sz w:val="24"/>
          <w:szCs w:val="24"/>
          <w:lang w:val="en-GB"/>
        </w:rPr>
        <w:t xml:space="preserve">and by doing so Redisa would no longer be entitled to recover the levies from subscribers, and </w:t>
      </w:r>
      <w:r w:rsidR="00F50396" w:rsidRPr="00811277">
        <w:rPr>
          <w:rFonts w:ascii="Arial" w:eastAsia="Times New Roman" w:hAnsi="Arial" w:cs="Arial"/>
          <w:bCs/>
          <w:sz w:val="24"/>
          <w:szCs w:val="24"/>
          <w:lang w:val="en-GB"/>
        </w:rPr>
        <w:t xml:space="preserve">2) </w:t>
      </w:r>
      <w:r w:rsidR="000D3716" w:rsidRPr="00811277">
        <w:rPr>
          <w:rFonts w:ascii="Arial" w:eastAsia="Times New Roman" w:hAnsi="Arial" w:cs="Arial"/>
          <w:bCs/>
          <w:sz w:val="24"/>
          <w:szCs w:val="24"/>
          <w:lang w:val="en-GB"/>
        </w:rPr>
        <w:t>in or about October-November 2016</w:t>
      </w:r>
      <w:r w:rsidR="008A1E39" w:rsidRPr="00811277">
        <w:rPr>
          <w:rFonts w:ascii="Arial" w:eastAsia="Times New Roman" w:hAnsi="Arial" w:cs="Arial"/>
          <w:bCs/>
          <w:sz w:val="24"/>
          <w:szCs w:val="24"/>
          <w:lang w:val="en-GB"/>
        </w:rPr>
        <w:t xml:space="preserve"> the </w:t>
      </w:r>
      <w:r w:rsidR="005321C4" w:rsidRPr="00811277">
        <w:rPr>
          <w:rFonts w:ascii="Arial" w:eastAsia="Times New Roman" w:hAnsi="Arial" w:cs="Arial"/>
          <w:bCs/>
          <w:sz w:val="24"/>
          <w:szCs w:val="24"/>
          <w:lang w:val="en-GB"/>
        </w:rPr>
        <w:t xml:space="preserve">Minister </w:t>
      </w:r>
      <w:r w:rsidR="008A1E39" w:rsidRPr="00811277">
        <w:rPr>
          <w:rFonts w:ascii="Arial" w:eastAsia="Times New Roman" w:hAnsi="Arial" w:cs="Arial"/>
          <w:bCs/>
          <w:sz w:val="24"/>
          <w:szCs w:val="24"/>
          <w:lang w:val="en-GB"/>
        </w:rPr>
        <w:t>sought</w:t>
      </w:r>
      <w:r w:rsidR="005321C4" w:rsidRPr="00811277">
        <w:rPr>
          <w:rFonts w:ascii="Arial" w:eastAsia="Times New Roman" w:hAnsi="Arial" w:cs="Arial"/>
          <w:bCs/>
          <w:sz w:val="24"/>
          <w:szCs w:val="24"/>
          <w:lang w:val="en-GB"/>
        </w:rPr>
        <w:t xml:space="preserve"> to take control of Redisa.     </w:t>
      </w:r>
    </w:p>
    <w:p w14:paraId="2142584F" w14:textId="3BA8D37E" w:rsidR="0045457D"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lastRenderedPageBreak/>
        <w:t>73.</w:t>
      </w:r>
      <w:r>
        <w:rPr>
          <w:rFonts w:ascii="Arial" w:eastAsia="Times New Roman" w:hAnsi="Arial" w:cs="Arial"/>
          <w:bCs/>
          <w:kern w:val="0"/>
          <w:sz w:val="24"/>
          <w:szCs w:val="24"/>
          <w:lang w:val="en-GB"/>
          <w14:ligatures w14:val="none"/>
        </w:rPr>
        <w:tab/>
      </w:r>
      <w:r w:rsidR="00090165" w:rsidRPr="00811277">
        <w:rPr>
          <w:rFonts w:ascii="Arial" w:eastAsia="Times New Roman" w:hAnsi="Arial" w:cs="Arial"/>
          <w:bCs/>
          <w:sz w:val="24"/>
          <w:szCs w:val="24"/>
          <w:lang w:val="en-GB"/>
        </w:rPr>
        <w:t xml:space="preserve">Given the circumstances, </w:t>
      </w:r>
      <w:r w:rsidR="000248D7" w:rsidRPr="00811277">
        <w:rPr>
          <w:rFonts w:ascii="Arial" w:eastAsia="Times New Roman" w:hAnsi="Arial" w:cs="Arial"/>
          <w:bCs/>
          <w:sz w:val="24"/>
          <w:szCs w:val="24"/>
          <w:lang w:val="en-GB"/>
        </w:rPr>
        <w:t xml:space="preserve">can it be said that </w:t>
      </w:r>
      <w:r w:rsidR="00090165" w:rsidRPr="00811277">
        <w:rPr>
          <w:rFonts w:ascii="Arial" w:eastAsia="Times New Roman" w:hAnsi="Arial" w:cs="Arial"/>
          <w:bCs/>
          <w:sz w:val="24"/>
          <w:szCs w:val="24"/>
          <w:lang w:val="en-GB"/>
        </w:rPr>
        <w:t xml:space="preserve">the delay </w:t>
      </w:r>
      <w:r w:rsidR="000248D7" w:rsidRPr="00811277">
        <w:rPr>
          <w:rFonts w:ascii="Arial" w:eastAsia="Times New Roman" w:hAnsi="Arial" w:cs="Arial"/>
          <w:bCs/>
          <w:sz w:val="24"/>
          <w:szCs w:val="24"/>
          <w:lang w:val="en-GB"/>
        </w:rPr>
        <w:t xml:space="preserve">should </w:t>
      </w:r>
      <w:r w:rsidR="00090165" w:rsidRPr="00811277">
        <w:rPr>
          <w:rFonts w:ascii="Arial" w:eastAsia="Times New Roman" w:hAnsi="Arial" w:cs="Arial"/>
          <w:bCs/>
          <w:sz w:val="24"/>
          <w:szCs w:val="24"/>
          <w:lang w:val="en-GB"/>
        </w:rPr>
        <w:t xml:space="preserve">nonetheless have been overlooked by the </w:t>
      </w:r>
      <w:r w:rsidR="000248D7" w:rsidRPr="00811277">
        <w:rPr>
          <w:rFonts w:ascii="Arial" w:eastAsia="Times New Roman" w:hAnsi="Arial" w:cs="Arial"/>
          <w:bCs/>
          <w:sz w:val="24"/>
          <w:szCs w:val="24"/>
          <w:lang w:val="en-GB"/>
        </w:rPr>
        <w:t>C</w:t>
      </w:r>
      <w:r w:rsidR="00090165" w:rsidRPr="00811277">
        <w:rPr>
          <w:rFonts w:ascii="Arial" w:eastAsia="Times New Roman" w:hAnsi="Arial" w:cs="Arial"/>
          <w:bCs/>
          <w:sz w:val="24"/>
          <w:szCs w:val="24"/>
          <w:lang w:val="en-GB"/>
        </w:rPr>
        <w:t xml:space="preserve">ourt a </w:t>
      </w:r>
      <w:r w:rsidR="00090165" w:rsidRPr="00811277">
        <w:rPr>
          <w:rFonts w:ascii="Arial" w:eastAsia="Times New Roman" w:hAnsi="Arial" w:cs="Arial"/>
          <w:bCs/>
          <w:i/>
          <w:iCs/>
          <w:sz w:val="24"/>
          <w:szCs w:val="24"/>
          <w:lang w:val="en-GB"/>
        </w:rPr>
        <w:t>quo</w:t>
      </w:r>
      <w:r w:rsidR="00090165" w:rsidRPr="00811277">
        <w:rPr>
          <w:rFonts w:ascii="Arial" w:eastAsia="Times New Roman" w:hAnsi="Arial" w:cs="Arial"/>
          <w:bCs/>
          <w:sz w:val="24"/>
          <w:szCs w:val="24"/>
          <w:lang w:val="en-GB"/>
        </w:rPr>
        <w:t xml:space="preserve">? I think not. In my view </w:t>
      </w:r>
      <w:r w:rsidR="000248D7" w:rsidRPr="00811277">
        <w:rPr>
          <w:rFonts w:ascii="Arial" w:eastAsia="Times New Roman" w:hAnsi="Arial" w:cs="Arial"/>
          <w:bCs/>
          <w:sz w:val="24"/>
          <w:szCs w:val="24"/>
          <w:lang w:val="en-GB"/>
        </w:rPr>
        <w:t>t</w:t>
      </w:r>
      <w:r w:rsidR="00090165" w:rsidRPr="00811277">
        <w:rPr>
          <w:rFonts w:ascii="Arial" w:eastAsia="Times New Roman" w:hAnsi="Arial" w:cs="Arial"/>
          <w:bCs/>
          <w:sz w:val="24"/>
          <w:szCs w:val="24"/>
          <w:lang w:val="en-GB"/>
        </w:rPr>
        <w:t xml:space="preserve">he interests of </w:t>
      </w:r>
      <w:r w:rsidR="000248D7" w:rsidRPr="00811277">
        <w:rPr>
          <w:rFonts w:ascii="Arial" w:eastAsia="Times New Roman" w:hAnsi="Arial" w:cs="Arial"/>
          <w:bCs/>
          <w:sz w:val="24"/>
          <w:szCs w:val="24"/>
          <w:lang w:val="en-GB"/>
        </w:rPr>
        <w:t xml:space="preserve">the </w:t>
      </w:r>
      <w:r w:rsidR="00090165" w:rsidRPr="00811277">
        <w:rPr>
          <w:rFonts w:ascii="Arial" w:eastAsia="Times New Roman" w:hAnsi="Arial" w:cs="Arial"/>
          <w:bCs/>
          <w:sz w:val="24"/>
          <w:szCs w:val="24"/>
          <w:lang w:val="en-GB"/>
        </w:rPr>
        <w:t xml:space="preserve">finality and certainty </w:t>
      </w:r>
      <w:r w:rsidR="000248D7" w:rsidRPr="00811277">
        <w:rPr>
          <w:rFonts w:ascii="Arial" w:eastAsia="Times New Roman" w:hAnsi="Arial" w:cs="Arial"/>
          <w:bCs/>
          <w:sz w:val="24"/>
          <w:szCs w:val="24"/>
          <w:lang w:val="en-GB"/>
        </w:rPr>
        <w:t xml:space="preserve">of administrative decisions, </w:t>
      </w:r>
      <w:r w:rsidR="00207721" w:rsidRPr="00811277">
        <w:rPr>
          <w:rFonts w:ascii="Arial" w:eastAsia="Times New Roman" w:hAnsi="Arial" w:cs="Arial"/>
          <w:bCs/>
          <w:sz w:val="24"/>
          <w:szCs w:val="24"/>
          <w:lang w:val="en-GB"/>
        </w:rPr>
        <w:t>a</w:t>
      </w:r>
      <w:r w:rsidR="000248D7" w:rsidRPr="00811277">
        <w:rPr>
          <w:rFonts w:ascii="Arial" w:eastAsia="Times New Roman" w:hAnsi="Arial" w:cs="Arial"/>
          <w:bCs/>
          <w:sz w:val="24"/>
          <w:szCs w:val="24"/>
          <w:lang w:val="en-GB"/>
        </w:rPr>
        <w:t>re strongly against allowing this.</w:t>
      </w:r>
      <w:r w:rsidR="008275E7" w:rsidRPr="00811277">
        <w:rPr>
          <w:rFonts w:ascii="Arial" w:eastAsia="Times New Roman" w:hAnsi="Arial" w:cs="Arial"/>
          <w:bCs/>
          <w:sz w:val="24"/>
          <w:szCs w:val="24"/>
          <w:lang w:val="en-GB"/>
        </w:rPr>
        <w:t xml:space="preserve"> Millions of rands were paid over in lieu of levies by tyre producers and importers from November 2012 to May 2017. </w:t>
      </w:r>
      <w:r w:rsidR="000248D7" w:rsidRPr="00811277">
        <w:rPr>
          <w:rFonts w:ascii="Arial" w:eastAsia="Times New Roman" w:hAnsi="Arial" w:cs="Arial"/>
          <w:bCs/>
          <w:sz w:val="24"/>
          <w:szCs w:val="24"/>
          <w:lang w:val="en-GB"/>
        </w:rPr>
        <w:t xml:space="preserve"> </w:t>
      </w:r>
    </w:p>
    <w:p w14:paraId="3DE08D02" w14:textId="3107FD77" w:rsidR="00F50396"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74.</w:t>
      </w:r>
      <w:r>
        <w:rPr>
          <w:rFonts w:ascii="Arial" w:eastAsia="Times New Roman" w:hAnsi="Arial" w:cs="Arial"/>
          <w:bCs/>
          <w:kern w:val="0"/>
          <w:sz w:val="24"/>
          <w:szCs w:val="24"/>
          <w:lang w:val="en-GB"/>
          <w14:ligatures w14:val="none"/>
        </w:rPr>
        <w:tab/>
      </w:r>
      <w:r w:rsidR="00090165" w:rsidRPr="00811277">
        <w:rPr>
          <w:rFonts w:ascii="Arial" w:eastAsia="Times New Roman" w:hAnsi="Arial" w:cs="Arial"/>
          <w:bCs/>
          <w:sz w:val="24"/>
          <w:szCs w:val="24"/>
          <w:lang w:val="en-GB"/>
        </w:rPr>
        <w:t>I</w:t>
      </w:r>
      <w:r w:rsidR="00B80888" w:rsidRPr="00811277">
        <w:rPr>
          <w:rFonts w:ascii="Arial" w:eastAsia="Times New Roman" w:hAnsi="Arial" w:cs="Arial"/>
          <w:bCs/>
          <w:sz w:val="24"/>
          <w:szCs w:val="24"/>
          <w:lang w:val="en-GB"/>
        </w:rPr>
        <w:t>t</w:t>
      </w:r>
      <w:r w:rsidR="00090165" w:rsidRPr="00811277">
        <w:rPr>
          <w:rFonts w:ascii="Arial" w:eastAsia="Times New Roman" w:hAnsi="Arial" w:cs="Arial"/>
          <w:bCs/>
          <w:sz w:val="24"/>
          <w:szCs w:val="24"/>
          <w:lang w:val="en-GB"/>
        </w:rPr>
        <w:t xml:space="preserve"> should </w:t>
      </w:r>
      <w:r w:rsidR="00F50396" w:rsidRPr="00811277">
        <w:rPr>
          <w:rFonts w:ascii="Arial" w:eastAsia="Times New Roman" w:hAnsi="Arial" w:cs="Arial"/>
          <w:bCs/>
          <w:sz w:val="24"/>
          <w:szCs w:val="24"/>
          <w:lang w:val="en-GB"/>
        </w:rPr>
        <w:t xml:space="preserve">also </w:t>
      </w:r>
      <w:r w:rsidR="00090165" w:rsidRPr="00811277">
        <w:rPr>
          <w:rFonts w:ascii="Arial" w:eastAsia="Times New Roman" w:hAnsi="Arial" w:cs="Arial"/>
          <w:bCs/>
          <w:sz w:val="24"/>
          <w:szCs w:val="24"/>
          <w:lang w:val="en-GB"/>
        </w:rPr>
        <w:t xml:space="preserve">be </w:t>
      </w:r>
      <w:r w:rsidR="0045457D" w:rsidRPr="00811277">
        <w:rPr>
          <w:rFonts w:ascii="Arial" w:eastAsia="Times New Roman" w:hAnsi="Arial" w:cs="Arial"/>
          <w:bCs/>
          <w:sz w:val="24"/>
          <w:szCs w:val="24"/>
          <w:lang w:val="en-GB"/>
        </w:rPr>
        <w:t>pointed out</w:t>
      </w:r>
      <w:r w:rsidR="00090165" w:rsidRPr="00811277">
        <w:rPr>
          <w:rFonts w:ascii="Arial" w:eastAsia="Times New Roman" w:hAnsi="Arial" w:cs="Arial"/>
          <w:bCs/>
          <w:sz w:val="24"/>
          <w:szCs w:val="24"/>
          <w:lang w:val="en-GB"/>
        </w:rPr>
        <w:t xml:space="preserve"> that </w:t>
      </w:r>
      <w:r w:rsidR="0045457D" w:rsidRPr="00811277">
        <w:rPr>
          <w:rFonts w:ascii="Arial" w:eastAsia="Times New Roman" w:hAnsi="Arial" w:cs="Arial"/>
          <w:bCs/>
          <w:sz w:val="24"/>
          <w:szCs w:val="24"/>
          <w:lang w:val="en-GB"/>
        </w:rPr>
        <w:t xml:space="preserve">the prospects of </w:t>
      </w:r>
      <w:r w:rsidR="008A1E39" w:rsidRPr="00811277">
        <w:rPr>
          <w:rFonts w:ascii="Arial" w:eastAsia="Times New Roman" w:hAnsi="Arial" w:cs="Arial"/>
          <w:bCs/>
          <w:sz w:val="24"/>
          <w:szCs w:val="24"/>
          <w:lang w:val="en-GB"/>
        </w:rPr>
        <w:t>the appellant</w:t>
      </w:r>
      <w:r w:rsidR="0045457D" w:rsidRPr="00811277">
        <w:rPr>
          <w:rFonts w:ascii="Arial" w:eastAsia="Times New Roman" w:hAnsi="Arial" w:cs="Arial"/>
          <w:bCs/>
          <w:sz w:val="24"/>
          <w:szCs w:val="24"/>
          <w:lang w:val="en-GB"/>
        </w:rPr>
        <w:t xml:space="preserve"> succeeding on the merits </w:t>
      </w:r>
      <w:r w:rsidR="00090165" w:rsidRPr="00811277">
        <w:rPr>
          <w:rFonts w:ascii="Arial" w:eastAsia="Times New Roman" w:hAnsi="Arial" w:cs="Arial"/>
          <w:bCs/>
          <w:sz w:val="24"/>
          <w:szCs w:val="24"/>
          <w:lang w:val="en-GB"/>
        </w:rPr>
        <w:t xml:space="preserve">of </w:t>
      </w:r>
      <w:r w:rsidR="0045457D" w:rsidRPr="00811277">
        <w:rPr>
          <w:rFonts w:ascii="Arial" w:eastAsia="Times New Roman" w:hAnsi="Arial" w:cs="Arial"/>
          <w:bCs/>
          <w:sz w:val="24"/>
          <w:szCs w:val="24"/>
          <w:lang w:val="en-GB"/>
        </w:rPr>
        <w:t>its</w:t>
      </w:r>
      <w:r w:rsidR="00090165" w:rsidRPr="00811277">
        <w:rPr>
          <w:rFonts w:ascii="Arial" w:eastAsia="Times New Roman" w:hAnsi="Arial" w:cs="Arial"/>
          <w:bCs/>
          <w:sz w:val="24"/>
          <w:szCs w:val="24"/>
          <w:lang w:val="en-GB"/>
        </w:rPr>
        <w:t xml:space="preserve"> challenge </w:t>
      </w:r>
      <w:r w:rsidR="008E44D5" w:rsidRPr="00811277">
        <w:rPr>
          <w:rFonts w:ascii="Arial" w:eastAsia="Times New Roman" w:hAnsi="Arial" w:cs="Arial"/>
          <w:bCs/>
          <w:sz w:val="24"/>
          <w:szCs w:val="24"/>
          <w:lang w:val="en-GB"/>
        </w:rPr>
        <w:t>we</w:t>
      </w:r>
      <w:r w:rsidR="0045457D" w:rsidRPr="00811277">
        <w:rPr>
          <w:rFonts w:ascii="Arial" w:eastAsia="Times New Roman" w:hAnsi="Arial" w:cs="Arial"/>
          <w:bCs/>
          <w:sz w:val="24"/>
          <w:szCs w:val="24"/>
          <w:lang w:val="en-GB"/>
        </w:rPr>
        <w:t>r</w:t>
      </w:r>
      <w:r w:rsidR="00090165" w:rsidRPr="00811277">
        <w:rPr>
          <w:rFonts w:ascii="Arial" w:eastAsia="Times New Roman" w:hAnsi="Arial" w:cs="Arial"/>
          <w:bCs/>
          <w:sz w:val="24"/>
          <w:szCs w:val="24"/>
          <w:lang w:val="en-GB"/>
        </w:rPr>
        <w:t xml:space="preserve">e extremely </w:t>
      </w:r>
      <w:r w:rsidR="0045457D" w:rsidRPr="00811277">
        <w:rPr>
          <w:rFonts w:ascii="Arial" w:eastAsia="Times New Roman" w:hAnsi="Arial" w:cs="Arial"/>
          <w:bCs/>
          <w:sz w:val="24"/>
          <w:szCs w:val="24"/>
          <w:lang w:val="en-GB"/>
        </w:rPr>
        <w:t xml:space="preserve">tenuous, </w:t>
      </w:r>
      <w:r w:rsidR="00F61285" w:rsidRPr="00811277">
        <w:rPr>
          <w:rFonts w:ascii="Arial" w:eastAsia="Times New Roman" w:hAnsi="Arial" w:cs="Arial"/>
          <w:bCs/>
          <w:sz w:val="24"/>
          <w:szCs w:val="24"/>
          <w:lang w:val="en-GB"/>
        </w:rPr>
        <w:t xml:space="preserve">for </w:t>
      </w:r>
      <w:r w:rsidR="00B80888" w:rsidRPr="00811277">
        <w:rPr>
          <w:rFonts w:ascii="Arial" w:eastAsia="Times New Roman" w:hAnsi="Arial" w:cs="Arial"/>
          <w:bCs/>
          <w:sz w:val="24"/>
          <w:szCs w:val="24"/>
          <w:lang w:val="en-GB"/>
        </w:rPr>
        <w:t>two</w:t>
      </w:r>
      <w:r w:rsidR="00F61285" w:rsidRPr="00811277">
        <w:rPr>
          <w:rFonts w:ascii="Arial" w:eastAsia="Times New Roman" w:hAnsi="Arial" w:cs="Arial"/>
          <w:bCs/>
          <w:sz w:val="24"/>
          <w:szCs w:val="24"/>
          <w:lang w:val="en-GB"/>
        </w:rPr>
        <w:t xml:space="preserve"> principal reasons, </w:t>
      </w:r>
      <w:r w:rsidR="0045457D" w:rsidRPr="00811277">
        <w:rPr>
          <w:rFonts w:ascii="Arial" w:eastAsia="Times New Roman" w:hAnsi="Arial" w:cs="Arial"/>
          <w:bCs/>
          <w:sz w:val="24"/>
          <w:szCs w:val="24"/>
          <w:lang w:val="en-GB"/>
        </w:rPr>
        <w:t>and this was a further factor which militated against allowing the challenge to be entertained</w:t>
      </w:r>
      <w:r w:rsidR="00090165" w:rsidRPr="00811277">
        <w:rPr>
          <w:rFonts w:ascii="Arial" w:eastAsia="Times New Roman" w:hAnsi="Arial" w:cs="Arial"/>
          <w:bCs/>
          <w:sz w:val="24"/>
          <w:szCs w:val="24"/>
          <w:lang w:val="en-GB"/>
        </w:rPr>
        <w:t xml:space="preserve">. </w:t>
      </w:r>
    </w:p>
    <w:p w14:paraId="64661D8C" w14:textId="1403A232" w:rsidR="00B80888"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75.</w:t>
      </w:r>
      <w:r>
        <w:rPr>
          <w:rFonts w:ascii="Arial" w:eastAsia="Times New Roman" w:hAnsi="Arial" w:cs="Arial"/>
          <w:bCs/>
          <w:kern w:val="0"/>
          <w:sz w:val="24"/>
          <w:szCs w:val="24"/>
          <w:lang w:val="en-GB"/>
          <w14:ligatures w14:val="none"/>
        </w:rPr>
        <w:tab/>
      </w:r>
      <w:r w:rsidR="0045457D" w:rsidRPr="00811277">
        <w:rPr>
          <w:rFonts w:ascii="Arial" w:eastAsia="Times New Roman" w:hAnsi="Arial" w:cs="Arial"/>
          <w:bCs/>
          <w:sz w:val="24"/>
          <w:szCs w:val="24"/>
          <w:lang w:val="en-GB"/>
        </w:rPr>
        <w:t>In the first</w:t>
      </w:r>
      <w:r w:rsidR="00090165" w:rsidRPr="00811277">
        <w:rPr>
          <w:rFonts w:ascii="Arial" w:eastAsia="Times New Roman" w:hAnsi="Arial" w:cs="Arial"/>
          <w:bCs/>
          <w:sz w:val="24"/>
          <w:szCs w:val="24"/>
          <w:lang w:val="en-GB"/>
        </w:rPr>
        <w:t xml:space="preserve"> place the contention that </w:t>
      </w:r>
      <w:r w:rsidR="0045457D" w:rsidRPr="00811277">
        <w:rPr>
          <w:rFonts w:ascii="Arial" w:eastAsia="Times New Roman" w:hAnsi="Arial" w:cs="Arial"/>
          <w:bCs/>
          <w:sz w:val="24"/>
          <w:szCs w:val="24"/>
          <w:lang w:val="en-GB"/>
        </w:rPr>
        <w:t>Redisa’s</w:t>
      </w:r>
      <w:r w:rsidR="00090165" w:rsidRPr="00811277">
        <w:rPr>
          <w:rFonts w:ascii="Arial" w:eastAsia="Times New Roman" w:hAnsi="Arial" w:cs="Arial"/>
          <w:bCs/>
          <w:sz w:val="24"/>
          <w:szCs w:val="24"/>
          <w:lang w:val="en-GB"/>
        </w:rPr>
        <w:t xml:space="preserve"> failure to review the plan</w:t>
      </w:r>
      <w:r w:rsidR="0045457D" w:rsidRPr="00811277">
        <w:rPr>
          <w:rFonts w:ascii="Arial" w:eastAsia="Times New Roman" w:hAnsi="Arial" w:cs="Arial"/>
          <w:bCs/>
          <w:sz w:val="24"/>
          <w:szCs w:val="24"/>
          <w:lang w:val="en-GB"/>
        </w:rPr>
        <w:t xml:space="preserve"> and to amend the fee</w:t>
      </w:r>
      <w:r w:rsidR="00090165" w:rsidRPr="00811277">
        <w:rPr>
          <w:rFonts w:ascii="Arial" w:eastAsia="Times New Roman" w:hAnsi="Arial" w:cs="Arial"/>
          <w:bCs/>
          <w:sz w:val="24"/>
          <w:szCs w:val="24"/>
          <w:lang w:val="en-GB"/>
        </w:rPr>
        <w:t xml:space="preserve"> constitute</w:t>
      </w:r>
      <w:r w:rsidR="008A1E39" w:rsidRPr="00811277">
        <w:rPr>
          <w:rFonts w:ascii="Arial" w:eastAsia="Times New Roman" w:hAnsi="Arial" w:cs="Arial"/>
          <w:bCs/>
          <w:sz w:val="24"/>
          <w:szCs w:val="24"/>
          <w:lang w:val="en-GB"/>
        </w:rPr>
        <w:t>d</w:t>
      </w:r>
      <w:r w:rsidR="00090165" w:rsidRPr="00811277">
        <w:rPr>
          <w:rFonts w:ascii="Arial" w:eastAsia="Times New Roman" w:hAnsi="Arial" w:cs="Arial"/>
          <w:bCs/>
          <w:sz w:val="24"/>
          <w:szCs w:val="24"/>
          <w:lang w:val="en-GB"/>
        </w:rPr>
        <w:t xml:space="preserve"> a criminal offence and </w:t>
      </w:r>
      <w:r w:rsidR="0045457D" w:rsidRPr="00811277">
        <w:rPr>
          <w:rFonts w:ascii="Arial" w:eastAsia="Times New Roman" w:hAnsi="Arial" w:cs="Arial"/>
          <w:bCs/>
          <w:sz w:val="24"/>
          <w:szCs w:val="24"/>
          <w:lang w:val="en-GB"/>
        </w:rPr>
        <w:t>therefore</w:t>
      </w:r>
      <w:r w:rsidR="00090165" w:rsidRPr="00811277">
        <w:rPr>
          <w:rFonts w:ascii="Arial" w:eastAsia="Times New Roman" w:hAnsi="Arial" w:cs="Arial"/>
          <w:bCs/>
          <w:sz w:val="24"/>
          <w:szCs w:val="24"/>
          <w:lang w:val="en-GB"/>
        </w:rPr>
        <w:t xml:space="preserve"> the fees</w:t>
      </w:r>
      <w:r w:rsidR="009B3DDC" w:rsidRPr="00811277">
        <w:rPr>
          <w:rFonts w:ascii="Arial" w:eastAsia="Times New Roman" w:hAnsi="Arial" w:cs="Arial"/>
          <w:bCs/>
          <w:sz w:val="24"/>
          <w:szCs w:val="24"/>
          <w:lang w:val="en-GB"/>
        </w:rPr>
        <w:t xml:space="preserve"> claimed by </w:t>
      </w:r>
      <w:r w:rsidR="00B80888" w:rsidRPr="00811277">
        <w:rPr>
          <w:rFonts w:ascii="Arial" w:eastAsia="Times New Roman" w:hAnsi="Arial" w:cs="Arial"/>
          <w:bCs/>
          <w:sz w:val="24"/>
          <w:szCs w:val="24"/>
          <w:lang w:val="en-GB"/>
        </w:rPr>
        <w:t>it</w:t>
      </w:r>
      <w:r w:rsidR="009B3DDC" w:rsidRPr="00811277">
        <w:rPr>
          <w:rFonts w:ascii="Arial" w:eastAsia="Times New Roman" w:hAnsi="Arial" w:cs="Arial"/>
          <w:bCs/>
          <w:sz w:val="24"/>
          <w:szCs w:val="24"/>
          <w:lang w:val="en-GB"/>
        </w:rPr>
        <w:t xml:space="preserve"> were unlawful, c</w:t>
      </w:r>
      <w:r w:rsidR="008A1E39" w:rsidRPr="00811277">
        <w:rPr>
          <w:rFonts w:ascii="Arial" w:eastAsia="Times New Roman" w:hAnsi="Arial" w:cs="Arial"/>
          <w:bCs/>
          <w:sz w:val="24"/>
          <w:szCs w:val="24"/>
          <w:lang w:val="en-GB"/>
        </w:rPr>
        <w:t>ould not</w:t>
      </w:r>
      <w:r w:rsidR="009B3DDC" w:rsidRPr="00811277">
        <w:rPr>
          <w:rFonts w:ascii="Arial" w:eastAsia="Times New Roman" w:hAnsi="Arial" w:cs="Arial"/>
          <w:bCs/>
          <w:sz w:val="24"/>
          <w:szCs w:val="24"/>
          <w:lang w:val="en-GB"/>
        </w:rPr>
        <w:t xml:space="preserve"> succeed. </w:t>
      </w:r>
      <w:r w:rsidR="00F61285" w:rsidRPr="00811277">
        <w:rPr>
          <w:rFonts w:ascii="Arial" w:eastAsia="Times New Roman" w:hAnsi="Arial" w:cs="Arial"/>
          <w:bCs/>
          <w:sz w:val="24"/>
          <w:szCs w:val="24"/>
          <w:lang w:val="en-GB"/>
        </w:rPr>
        <w:t>In advancing its challenge</w:t>
      </w:r>
      <w:r w:rsidR="009B3DDC" w:rsidRPr="00811277">
        <w:rPr>
          <w:rFonts w:ascii="Arial" w:eastAsia="Times New Roman" w:hAnsi="Arial" w:cs="Arial"/>
          <w:bCs/>
          <w:sz w:val="24"/>
          <w:szCs w:val="24"/>
          <w:lang w:val="en-GB"/>
        </w:rPr>
        <w:t xml:space="preserve"> on this basis the appellant point</w:t>
      </w:r>
      <w:r w:rsidR="00F1523F" w:rsidRPr="00811277">
        <w:rPr>
          <w:rFonts w:ascii="Arial" w:eastAsia="Times New Roman" w:hAnsi="Arial" w:cs="Arial"/>
          <w:bCs/>
          <w:sz w:val="24"/>
          <w:szCs w:val="24"/>
          <w:lang w:val="en-GB"/>
        </w:rPr>
        <w:t>ed</w:t>
      </w:r>
      <w:r w:rsidR="009B3DDC" w:rsidRPr="00811277">
        <w:rPr>
          <w:rFonts w:ascii="Arial" w:eastAsia="Times New Roman" w:hAnsi="Arial" w:cs="Arial"/>
          <w:bCs/>
          <w:sz w:val="24"/>
          <w:szCs w:val="24"/>
          <w:lang w:val="en-GB"/>
        </w:rPr>
        <w:t xml:space="preserve"> out that in terms of the </w:t>
      </w:r>
      <w:r w:rsidR="00F61285" w:rsidRPr="00811277">
        <w:rPr>
          <w:rFonts w:ascii="Arial" w:eastAsia="Times New Roman" w:hAnsi="Arial" w:cs="Arial"/>
          <w:bCs/>
          <w:sz w:val="24"/>
          <w:szCs w:val="24"/>
          <w:lang w:val="en-GB"/>
        </w:rPr>
        <w:t>W</w:t>
      </w:r>
      <w:r w:rsidR="009B3DDC" w:rsidRPr="00811277">
        <w:rPr>
          <w:rFonts w:ascii="Arial" w:eastAsia="Times New Roman" w:hAnsi="Arial" w:cs="Arial"/>
          <w:bCs/>
          <w:sz w:val="24"/>
          <w:szCs w:val="24"/>
          <w:lang w:val="en-GB"/>
        </w:rPr>
        <w:t xml:space="preserve">aste </w:t>
      </w:r>
      <w:r w:rsidR="00F61285" w:rsidRPr="00811277">
        <w:rPr>
          <w:rFonts w:ascii="Arial" w:eastAsia="Times New Roman" w:hAnsi="Arial" w:cs="Arial"/>
          <w:bCs/>
          <w:sz w:val="24"/>
          <w:szCs w:val="24"/>
          <w:lang w:val="en-GB"/>
        </w:rPr>
        <w:t>A</w:t>
      </w:r>
      <w:r w:rsidR="009B3DDC" w:rsidRPr="00811277">
        <w:rPr>
          <w:rFonts w:ascii="Arial" w:eastAsia="Times New Roman" w:hAnsi="Arial" w:cs="Arial"/>
          <w:bCs/>
          <w:sz w:val="24"/>
          <w:szCs w:val="24"/>
          <w:lang w:val="en-GB"/>
        </w:rPr>
        <w:t xml:space="preserve">ct a person or entity which </w:t>
      </w:r>
      <w:r w:rsidR="00B80888" w:rsidRPr="00811277">
        <w:rPr>
          <w:rFonts w:ascii="Arial" w:eastAsia="Times New Roman" w:hAnsi="Arial" w:cs="Arial"/>
          <w:bCs/>
          <w:sz w:val="24"/>
          <w:szCs w:val="24"/>
          <w:lang w:val="en-GB"/>
        </w:rPr>
        <w:t>i</w:t>
      </w:r>
      <w:r w:rsidR="008A1E39" w:rsidRPr="00811277">
        <w:rPr>
          <w:rFonts w:ascii="Arial" w:eastAsia="Times New Roman" w:hAnsi="Arial" w:cs="Arial"/>
          <w:bCs/>
          <w:sz w:val="24"/>
          <w:szCs w:val="24"/>
          <w:lang w:val="en-GB"/>
        </w:rPr>
        <w:t>s</w:t>
      </w:r>
      <w:r w:rsidR="009B3DDC" w:rsidRPr="00811277">
        <w:rPr>
          <w:rFonts w:ascii="Arial" w:eastAsia="Times New Roman" w:hAnsi="Arial" w:cs="Arial"/>
          <w:bCs/>
          <w:sz w:val="24"/>
          <w:szCs w:val="24"/>
          <w:lang w:val="en-GB"/>
        </w:rPr>
        <w:t xml:space="preserve"> party to a waste plan commit</w:t>
      </w:r>
      <w:r w:rsidR="00F50396" w:rsidRPr="00811277">
        <w:rPr>
          <w:rFonts w:ascii="Arial" w:eastAsia="Times New Roman" w:hAnsi="Arial" w:cs="Arial"/>
          <w:bCs/>
          <w:sz w:val="24"/>
          <w:szCs w:val="24"/>
          <w:lang w:val="en-GB"/>
        </w:rPr>
        <w:t>s</w:t>
      </w:r>
      <w:r w:rsidR="009B3DDC" w:rsidRPr="00811277">
        <w:rPr>
          <w:rFonts w:ascii="Arial" w:eastAsia="Times New Roman" w:hAnsi="Arial" w:cs="Arial"/>
          <w:bCs/>
          <w:sz w:val="24"/>
          <w:szCs w:val="24"/>
          <w:lang w:val="en-GB"/>
        </w:rPr>
        <w:t xml:space="preserve"> an offence if they contravene or fail to comply</w:t>
      </w:r>
      <w:r w:rsidR="00F61285" w:rsidRPr="00811277">
        <w:rPr>
          <w:rFonts w:ascii="Arial" w:eastAsia="Times New Roman" w:hAnsi="Arial" w:cs="Arial"/>
          <w:bCs/>
          <w:sz w:val="24"/>
          <w:szCs w:val="24"/>
          <w:lang w:val="en-GB"/>
        </w:rPr>
        <w:t xml:space="preserve"> with the plan.</w:t>
      </w:r>
      <w:r w:rsidR="00F61285">
        <w:rPr>
          <w:rStyle w:val="FootnoteReference"/>
          <w:rFonts w:ascii="Arial" w:eastAsia="Times New Roman" w:hAnsi="Arial" w:cs="Arial"/>
          <w:bCs/>
          <w:sz w:val="24"/>
          <w:szCs w:val="24"/>
          <w:lang w:val="en-GB"/>
        </w:rPr>
        <w:footnoteReference w:id="75"/>
      </w:r>
      <w:r w:rsidR="009B3DDC" w:rsidRPr="00811277">
        <w:rPr>
          <w:rFonts w:ascii="Arial" w:eastAsia="Times New Roman" w:hAnsi="Arial" w:cs="Arial"/>
          <w:bCs/>
          <w:sz w:val="24"/>
          <w:szCs w:val="24"/>
          <w:lang w:val="en-GB"/>
        </w:rPr>
        <w:t xml:space="preserve"> When considering the provision </w:t>
      </w:r>
      <w:r w:rsidR="00F61285" w:rsidRPr="00811277">
        <w:rPr>
          <w:rFonts w:ascii="Arial" w:eastAsia="Times New Roman" w:hAnsi="Arial" w:cs="Arial"/>
          <w:bCs/>
          <w:sz w:val="24"/>
          <w:szCs w:val="24"/>
          <w:lang w:val="en-GB"/>
        </w:rPr>
        <w:t>concerned</w:t>
      </w:r>
      <w:r w:rsidR="009B3DDC" w:rsidRPr="00811277">
        <w:rPr>
          <w:rFonts w:ascii="Arial" w:eastAsia="Times New Roman" w:hAnsi="Arial" w:cs="Arial"/>
          <w:bCs/>
          <w:sz w:val="24"/>
          <w:szCs w:val="24"/>
          <w:lang w:val="en-GB"/>
        </w:rPr>
        <w:t>, one must not sta</w:t>
      </w:r>
      <w:r w:rsidR="00F61285" w:rsidRPr="00811277">
        <w:rPr>
          <w:rFonts w:ascii="Arial" w:eastAsia="Times New Roman" w:hAnsi="Arial" w:cs="Arial"/>
          <w:bCs/>
          <w:sz w:val="24"/>
          <w:szCs w:val="24"/>
          <w:lang w:val="en-GB"/>
        </w:rPr>
        <w:t>re</w:t>
      </w:r>
      <w:r w:rsidR="009B3DDC" w:rsidRPr="00811277">
        <w:rPr>
          <w:rFonts w:ascii="Arial" w:eastAsia="Times New Roman" w:hAnsi="Arial" w:cs="Arial"/>
          <w:bCs/>
          <w:sz w:val="24"/>
          <w:szCs w:val="24"/>
          <w:lang w:val="en-GB"/>
        </w:rPr>
        <w:t xml:space="preserve"> blindly at the language</w:t>
      </w:r>
      <w:r w:rsidR="00F1523F" w:rsidRPr="00811277">
        <w:rPr>
          <w:rFonts w:ascii="Arial" w:eastAsia="Times New Roman" w:hAnsi="Arial" w:cs="Arial"/>
          <w:bCs/>
          <w:sz w:val="24"/>
          <w:szCs w:val="24"/>
          <w:lang w:val="en-GB"/>
        </w:rPr>
        <w:t xml:space="preserve"> and apply a literal interpretation only, and </w:t>
      </w:r>
      <w:r w:rsidR="008A1E39" w:rsidRPr="00811277">
        <w:rPr>
          <w:rFonts w:ascii="Arial" w:eastAsia="Times New Roman" w:hAnsi="Arial" w:cs="Arial"/>
          <w:bCs/>
          <w:sz w:val="24"/>
          <w:szCs w:val="24"/>
          <w:lang w:val="en-GB"/>
        </w:rPr>
        <w:t xml:space="preserve">one </w:t>
      </w:r>
      <w:r w:rsidR="009B3DDC" w:rsidRPr="00811277">
        <w:rPr>
          <w:rFonts w:ascii="Arial" w:eastAsia="Times New Roman" w:hAnsi="Arial" w:cs="Arial"/>
          <w:bCs/>
          <w:sz w:val="24"/>
          <w:szCs w:val="24"/>
          <w:lang w:val="en-GB"/>
        </w:rPr>
        <w:t xml:space="preserve">must </w:t>
      </w:r>
      <w:r w:rsidR="008A1E39" w:rsidRPr="00811277">
        <w:rPr>
          <w:rFonts w:ascii="Arial" w:eastAsia="Times New Roman" w:hAnsi="Arial" w:cs="Arial"/>
          <w:bCs/>
          <w:sz w:val="24"/>
          <w:szCs w:val="24"/>
          <w:lang w:val="en-GB"/>
        </w:rPr>
        <w:t xml:space="preserve">seek to </w:t>
      </w:r>
      <w:r w:rsidR="00F1523F" w:rsidRPr="00811277">
        <w:rPr>
          <w:rFonts w:ascii="Arial" w:eastAsia="Times New Roman" w:hAnsi="Arial" w:cs="Arial"/>
          <w:bCs/>
          <w:sz w:val="24"/>
          <w:szCs w:val="24"/>
          <w:lang w:val="en-GB"/>
        </w:rPr>
        <w:t>provide a sensible and purposive interpretation, in the</w:t>
      </w:r>
      <w:r w:rsidR="009B3DDC" w:rsidRPr="00811277">
        <w:rPr>
          <w:rFonts w:ascii="Arial" w:eastAsia="Times New Roman" w:hAnsi="Arial" w:cs="Arial"/>
          <w:bCs/>
          <w:sz w:val="24"/>
          <w:szCs w:val="24"/>
          <w:lang w:val="en-GB"/>
        </w:rPr>
        <w:t xml:space="preserve"> context of the </w:t>
      </w:r>
      <w:r w:rsidR="00F1523F" w:rsidRPr="00811277">
        <w:rPr>
          <w:rFonts w:ascii="Arial" w:eastAsia="Times New Roman" w:hAnsi="Arial" w:cs="Arial"/>
          <w:bCs/>
          <w:sz w:val="24"/>
          <w:szCs w:val="24"/>
          <w:lang w:val="en-GB"/>
        </w:rPr>
        <w:t>Ac</w:t>
      </w:r>
      <w:r w:rsidR="009B3DDC" w:rsidRPr="00811277">
        <w:rPr>
          <w:rFonts w:ascii="Arial" w:eastAsia="Times New Roman" w:hAnsi="Arial" w:cs="Arial"/>
          <w:bCs/>
          <w:sz w:val="24"/>
          <w:szCs w:val="24"/>
          <w:lang w:val="en-GB"/>
        </w:rPr>
        <w:t>t</w:t>
      </w:r>
      <w:r w:rsidR="00F1523F" w:rsidRPr="00811277">
        <w:rPr>
          <w:rFonts w:ascii="Arial" w:eastAsia="Times New Roman" w:hAnsi="Arial" w:cs="Arial"/>
          <w:bCs/>
          <w:sz w:val="24"/>
          <w:szCs w:val="24"/>
          <w:lang w:val="en-GB"/>
        </w:rPr>
        <w:t>,</w:t>
      </w:r>
      <w:r w:rsidR="009B3DDC" w:rsidRPr="00811277">
        <w:rPr>
          <w:rFonts w:ascii="Arial" w:eastAsia="Times New Roman" w:hAnsi="Arial" w:cs="Arial"/>
          <w:bCs/>
          <w:sz w:val="24"/>
          <w:szCs w:val="24"/>
          <w:lang w:val="en-GB"/>
        </w:rPr>
        <w:t xml:space="preserve"> read as a whole</w:t>
      </w:r>
      <w:r w:rsidR="00F1523F" w:rsidRPr="00811277">
        <w:rPr>
          <w:rFonts w:ascii="Arial" w:eastAsia="Times New Roman" w:hAnsi="Arial" w:cs="Arial"/>
          <w:bCs/>
          <w:sz w:val="24"/>
          <w:szCs w:val="24"/>
          <w:lang w:val="en-GB"/>
        </w:rPr>
        <w:t xml:space="preserve">. </w:t>
      </w:r>
      <w:r w:rsidR="008A1E39" w:rsidRPr="00811277">
        <w:rPr>
          <w:rFonts w:ascii="Arial" w:eastAsia="Times New Roman" w:hAnsi="Arial" w:cs="Arial"/>
          <w:bCs/>
          <w:sz w:val="24"/>
          <w:szCs w:val="24"/>
          <w:lang w:val="en-GB"/>
        </w:rPr>
        <w:t>In</w:t>
      </w:r>
      <w:r w:rsidR="009B3DDC" w:rsidRPr="00811277">
        <w:rPr>
          <w:rFonts w:ascii="Arial" w:eastAsia="Times New Roman" w:hAnsi="Arial" w:cs="Arial"/>
          <w:bCs/>
          <w:sz w:val="24"/>
          <w:szCs w:val="24"/>
          <w:lang w:val="en-GB"/>
        </w:rPr>
        <w:t xml:space="preserve"> </w:t>
      </w:r>
      <w:r w:rsidR="00F50396" w:rsidRPr="00811277">
        <w:rPr>
          <w:rFonts w:ascii="Arial" w:eastAsia="Times New Roman" w:hAnsi="Arial" w:cs="Arial"/>
          <w:bCs/>
          <w:sz w:val="24"/>
          <w:szCs w:val="24"/>
          <w:lang w:val="en-GB"/>
        </w:rPr>
        <w:t>this regard</w:t>
      </w:r>
      <w:r w:rsidR="009B3DDC" w:rsidRPr="00811277">
        <w:rPr>
          <w:rFonts w:ascii="Arial" w:eastAsia="Times New Roman" w:hAnsi="Arial" w:cs="Arial"/>
          <w:bCs/>
          <w:sz w:val="24"/>
          <w:szCs w:val="24"/>
          <w:lang w:val="en-GB"/>
        </w:rPr>
        <w:t xml:space="preserve">, </w:t>
      </w:r>
      <w:r w:rsidR="008A1E39" w:rsidRPr="00811277">
        <w:rPr>
          <w:rFonts w:ascii="Arial" w:eastAsia="Times New Roman" w:hAnsi="Arial" w:cs="Arial"/>
          <w:bCs/>
          <w:sz w:val="24"/>
          <w:szCs w:val="24"/>
          <w:lang w:val="en-GB"/>
        </w:rPr>
        <w:t xml:space="preserve">aside from provisions which set out the extent of any financial contribution that may be required to support consumer-based waste reduction programs, </w:t>
      </w:r>
      <w:r w:rsidR="009B3DDC" w:rsidRPr="00811277">
        <w:rPr>
          <w:rFonts w:ascii="Arial" w:eastAsia="Times New Roman" w:hAnsi="Arial" w:cs="Arial"/>
          <w:bCs/>
          <w:sz w:val="24"/>
          <w:szCs w:val="24"/>
          <w:lang w:val="en-GB"/>
        </w:rPr>
        <w:t xml:space="preserve">the contents of a waste </w:t>
      </w:r>
      <w:r w:rsidR="008A1E39" w:rsidRPr="00811277">
        <w:rPr>
          <w:rFonts w:ascii="Arial" w:eastAsia="Times New Roman" w:hAnsi="Arial" w:cs="Arial"/>
          <w:bCs/>
          <w:sz w:val="24"/>
          <w:szCs w:val="24"/>
          <w:lang w:val="en-GB"/>
        </w:rPr>
        <w:t>plan can</w:t>
      </w:r>
      <w:r w:rsidR="00F50396" w:rsidRPr="00811277">
        <w:rPr>
          <w:rFonts w:ascii="Arial" w:eastAsia="Times New Roman" w:hAnsi="Arial" w:cs="Arial"/>
          <w:bCs/>
          <w:sz w:val="24"/>
          <w:szCs w:val="24"/>
          <w:lang w:val="en-GB"/>
        </w:rPr>
        <w:t>, in terms of the Act</w:t>
      </w:r>
      <w:r w:rsidR="00B80888" w:rsidRPr="00811277">
        <w:rPr>
          <w:rFonts w:ascii="Arial" w:eastAsia="Times New Roman" w:hAnsi="Arial" w:cs="Arial"/>
          <w:bCs/>
          <w:sz w:val="24"/>
          <w:szCs w:val="24"/>
          <w:lang w:val="en-GB"/>
        </w:rPr>
        <w:t>,</w:t>
      </w:r>
      <w:r w:rsidR="00F50396">
        <w:rPr>
          <w:rStyle w:val="FootnoteReference"/>
          <w:rFonts w:ascii="Arial" w:eastAsia="Times New Roman" w:hAnsi="Arial" w:cs="Arial"/>
          <w:bCs/>
          <w:sz w:val="24"/>
          <w:szCs w:val="24"/>
          <w:lang w:val="en-GB"/>
        </w:rPr>
        <w:footnoteReference w:id="76"/>
      </w:r>
      <w:r w:rsidR="00F50396" w:rsidRPr="00811277">
        <w:rPr>
          <w:rFonts w:ascii="Arial" w:eastAsia="Times New Roman" w:hAnsi="Arial" w:cs="Arial"/>
          <w:bCs/>
          <w:sz w:val="24"/>
          <w:szCs w:val="24"/>
          <w:lang w:val="en-GB"/>
        </w:rPr>
        <w:t xml:space="preserve"> </w:t>
      </w:r>
      <w:r w:rsidR="008A1E39" w:rsidRPr="00811277">
        <w:rPr>
          <w:rFonts w:ascii="Arial" w:eastAsia="Times New Roman" w:hAnsi="Arial" w:cs="Arial"/>
          <w:bCs/>
          <w:sz w:val="24"/>
          <w:szCs w:val="24"/>
          <w:lang w:val="en-GB"/>
        </w:rPr>
        <w:t xml:space="preserve"> </w:t>
      </w:r>
      <w:r w:rsidR="009B3DDC" w:rsidRPr="00811277">
        <w:rPr>
          <w:rFonts w:ascii="Arial" w:eastAsia="Times New Roman" w:hAnsi="Arial" w:cs="Arial"/>
          <w:bCs/>
          <w:sz w:val="24"/>
          <w:szCs w:val="24"/>
          <w:lang w:val="en-GB"/>
        </w:rPr>
        <w:t xml:space="preserve">be </w:t>
      </w:r>
      <w:r w:rsidR="008A1E39" w:rsidRPr="00811277">
        <w:rPr>
          <w:rFonts w:ascii="Arial" w:eastAsia="Times New Roman" w:hAnsi="Arial" w:cs="Arial"/>
          <w:bCs/>
          <w:sz w:val="24"/>
          <w:szCs w:val="24"/>
          <w:lang w:val="en-GB"/>
        </w:rPr>
        <w:t>far-ranging</w:t>
      </w:r>
      <w:r w:rsidR="009B3DDC" w:rsidRPr="00811277">
        <w:rPr>
          <w:rFonts w:ascii="Arial" w:eastAsia="Times New Roman" w:hAnsi="Arial" w:cs="Arial"/>
          <w:bCs/>
          <w:sz w:val="24"/>
          <w:szCs w:val="24"/>
          <w:lang w:val="en-GB"/>
        </w:rPr>
        <w:t xml:space="preserve"> and </w:t>
      </w:r>
      <w:r w:rsidR="008A1E39" w:rsidRPr="00811277">
        <w:rPr>
          <w:rFonts w:ascii="Arial" w:eastAsia="Times New Roman" w:hAnsi="Arial" w:cs="Arial"/>
          <w:bCs/>
          <w:sz w:val="24"/>
          <w:szCs w:val="24"/>
          <w:lang w:val="en-GB"/>
        </w:rPr>
        <w:t xml:space="preserve">can </w:t>
      </w:r>
      <w:r w:rsidR="009B3DDC" w:rsidRPr="00811277">
        <w:rPr>
          <w:rFonts w:ascii="Arial" w:eastAsia="Times New Roman" w:hAnsi="Arial" w:cs="Arial"/>
          <w:bCs/>
          <w:sz w:val="24"/>
          <w:szCs w:val="24"/>
          <w:lang w:val="en-GB"/>
        </w:rPr>
        <w:t xml:space="preserve">include </w:t>
      </w:r>
      <w:r w:rsidR="00B80888" w:rsidRPr="00811277">
        <w:rPr>
          <w:rFonts w:ascii="Arial" w:eastAsia="Times New Roman" w:hAnsi="Arial" w:cs="Arial"/>
          <w:bCs/>
          <w:sz w:val="24"/>
          <w:szCs w:val="24"/>
          <w:lang w:val="en-GB"/>
        </w:rPr>
        <w:t xml:space="preserve">aspirational </w:t>
      </w:r>
      <w:r w:rsidR="008A1E39" w:rsidRPr="00811277">
        <w:rPr>
          <w:rFonts w:ascii="Arial" w:eastAsia="Times New Roman" w:hAnsi="Arial" w:cs="Arial"/>
          <w:bCs/>
          <w:sz w:val="24"/>
          <w:szCs w:val="24"/>
          <w:lang w:val="en-GB"/>
        </w:rPr>
        <w:t>aspects</w:t>
      </w:r>
      <w:r w:rsidR="009B3DDC" w:rsidRPr="00811277">
        <w:rPr>
          <w:rFonts w:ascii="Arial" w:eastAsia="Times New Roman" w:hAnsi="Arial" w:cs="Arial"/>
          <w:bCs/>
          <w:sz w:val="24"/>
          <w:szCs w:val="24"/>
          <w:lang w:val="en-GB"/>
        </w:rPr>
        <w:t xml:space="preserve"> such as ‘targets’ for waste minimisation, </w:t>
      </w:r>
      <w:r w:rsidR="008A1E39" w:rsidRPr="00811277">
        <w:rPr>
          <w:rFonts w:ascii="Arial" w:eastAsia="Times New Roman" w:hAnsi="Arial" w:cs="Arial"/>
          <w:bCs/>
          <w:sz w:val="24"/>
          <w:szCs w:val="24"/>
          <w:lang w:val="en-GB"/>
        </w:rPr>
        <w:t>‘</w:t>
      </w:r>
      <w:r w:rsidR="009B3DDC" w:rsidRPr="00811277">
        <w:rPr>
          <w:rFonts w:ascii="Arial" w:eastAsia="Times New Roman" w:hAnsi="Arial" w:cs="Arial"/>
          <w:bCs/>
          <w:sz w:val="24"/>
          <w:szCs w:val="24"/>
          <w:lang w:val="en-GB"/>
        </w:rPr>
        <w:t>programs</w:t>
      </w:r>
      <w:r w:rsidR="008A1E39" w:rsidRPr="00811277">
        <w:rPr>
          <w:rFonts w:ascii="Arial" w:eastAsia="Times New Roman" w:hAnsi="Arial" w:cs="Arial"/>
          <w:bCs/>
          <w:sz w:val="24"/>
          <w:szCs w:val="24"/>
          <w:lang w:val="en-GB"/>
        </w:rPr>
        <w:t>’ and ‘opportunities’</w:t>
      </w:r>
      <w:r w:rsidR="009B3DDC" w:rsidRPr="00811277">
        <w:rPr>
          <w:rFonts w:ascii="Arial" w:eastAsia="Times New Roman" w:hAnsi="Arial" w:cs="Arial"/>
          <w:bCs/>
          <w:sz w:val="24"/>
          <w:szCs w:val="24"/>
          <w:lang w:val="en-GB"/>
        </w:rPr>
        <w:t xml:space="preserve"> to minimise </w:t>
      </w:r>
      <w:r w:rsidR="008A1E39" w:rsidRPr="00811277">
        <w:rPr>
          <w:rFonts w:ascii="Arial" w:eastAsia="Times New Roman" w:hAnsi="Arial" w:cs="Arial"/>
          <w:bCs/>
          <w:sz w:val="24"/>
          <w:szCs w:val="24"/>
          <w:lang w:val="en-GB"/>
        </w:rPr>
        <w:t xml:space="preserve">and reduce </w:t>
      </w:r>
      <w:r w:rsidR="009B3DDC" w:rsidRPr="00811277">
        <w:rPr>
          <w:rFonts w:ascii="Arial" w:eastAsia="Times New Roman" w:hAnsi="Arial" w:cs="Arial"/>
          <w:bCs/>
          <w:sz w:val="24"/>
          <w:szCs w:val="24"/>
          <w:lang w:val="en-GB"/>
        </w:rPr>
        <w:t>the generation of waste</w:t>
      </w:r>
      <w:r w:rsidR="00F9122B" w:rsidRPr="00811277">
        <w:rPr>
          <w:rFonts w:ascii="Arial" w:eastAsia="Times New Roman" w:hAnsi="Arial" w:cs="Arial"/>
          <w:bCs/>
          <w:sz w:val="24"/>
          <w:szCs w:val="24"/>
          <w:lang w:val="en-GB"/>
        </w:rPr>
        <w:t>,</w:t>
      </w:r>
      <w:r w:rsidR="008A1E39" w:rsidRPr="00811277">
        <w:rPr>
          <w:rFonts w:ascii="Arial" w:eastAsia="Times New Roman" w:hAnsi="Arial" w:cs="Arial"/>
          <w:bCs/>
          <w:sz w:val="24"/>
          <w:szCs w:val="24"/>
          <w:lang w:val="en-GB"/>
        </w:rPr>
        <w:t xml:space="preserve"> and</w:t>
      </w:r>
      <w:r w:rsidR="009B3DDC" w:rsidRPr="00811277">
        <w:rPr>
          <w:rFonts w:ascii="Arial" w:eastAsia="Times New Roman" w:hAnsi="Arial" w:cs="Arial"/>
          <w:bCs/>
          <w:sz w:val="24"/>
          <w:szCs w:val="24"/>
          <w:lang w:val="en-GB"/>
        </w:rPr>
        <w:t xml:space="preserve"> mechanisms for informing the public of the impact </w:t>
      </w:r>
      <w:r w:rsidR="00B80888" w:rsidRPr="00811277">
        <w:rPr>
          <w:rFonts w:ascii="Arial" w:eastAsia="Times New Roman" w:hAnsi="Arial" w:cs="Arial"/>
          <w:bCs/>
          <w:sz w:val="24"/>
          <w:szCs w:val="24"/>
          <w:lang w:val="en-GB"/>
        </w:rPr>
        <w:t xml:space="preserve">of </w:t>
      </w:r>
      <w:r w:rsidR="009B3DDC" w:rsidRPr="00811277">
        <w:rPr>
          <w:rFonts w:ascii="Arial" w:eastAsia="Times New Roman" w:hAnsi="Arial" w:cs="Arial"/>
          <w:bCs/>
          <w:sz w:val="24"/>
          <w:szCs w:val="24"/>
          <w:lang w:val="en-GB"/>
        </w:rPr>
        <w:t xml:space="preserve">waste-generating products on the environment. </w:t>
      </w:r>
      <w:r w:rsidR="00F9122B" w:rsidRPr="00811277">
        <w:rPr>
          <w:rFonts w:ascii="Arial" w:eastAsia="Times New Roman" w:hAnsi="Arial" w:cs="Arial"/>
          <w:bCs/>
          <w:sz w:val="24"/>
          <w:szCs w:val="24"/>
          <w:lang w:val="en-GB"/>
        </w:rPr>
        <w:t>T</w:t>
      </w:r>
      <w:r w:rsidR="009B3DDC" w:rsidRPr="00811277">
        <w:rPr>
          <w:rFonts w:ascii="Arial" w:eastAsia="Times New Roman" w:hAnsi="Arial" w:cs="Arial"/>
          <w:bCs/>
          <w:sz w:val="24"/>
          <w:szCs w:val="24"/>
          <w:lang w:val="en-GB"/>
        </w:rPr>
        <w:t xml:space="preserve">he waste plan provided by </w:t>
      </w:r>
      <w:r w:rsidR="00F9122B" w:rsidRPr="00811277">
        <w:rPr>
          <w:rFonts w:ascii="Arial" w:eastAsia="Times New Roman" w:hAnsi="Arial" w:cs="Arial"/>
          <w:bCs/>
          <w:sz w:val="24"/>
          <w:szCs w:val="24"/>
          <w:lang w:val="en-GB"/>
        </w:rPr>
        <w:t>R</w:t>
      </w:r>
      <w:r w:rsidR="009B3DDC" w:rsidRPr="00811277">
        <w:rPr>
          <w:rFonts w:ascii="Arial" w:eastAsia="Times New Roman" w:hAnsi="Arial" w:cs="Arial"/>
          <w:bCs/>
          <w:sz w:val="24"/>
          <w:szCs w:val="24"/>
          <w:lang w:val="en-GB"/>
        </w:rPr>
        <w:t>edisa is extensive and</w:t>
      </w:r>
      <w:r w:rsidR="00F9122B" w:rsidRPr="00811277">
        <w:rPr>
          <w:rFonts w:ascii="Arial" w:eastAsia="Times New Roman" w:hAnsi="Arial" w:cs="Arial"/>
          <w:bCs/>
          <w:sz w:val="24"/>
          <w:szCs w:val="24"/>
          <w:lang w:val="en-GB"/>
        </w:rPr>
        <w:t xml:space="preserve"> detailed and contains</w:t>
      </w:r>
      <w:r w:rsidR="009B3DDC" w:rsidRPr="00811277">
        <w:rPr>
          <w:rFonts w:ascii="Arial" w:eastAsia="Times New Roman" w:hAnsi="Arial" w:cs="Arial"/>
          <w:bCs/>
          <w:sz w:val="24"/>
          <w:szCs w:val="24"/>
          <w:lang w:val="en-GB"/>
        </w:rPr>
        <w:t xml:space="preserve"> a number of </w:t>
      </w:r>
      <w:r w:rsidR="00F9122B" w:rsidRPr="00811277">
        <w:rPr>
          <w:rFonts w:ascii="Arial" w:eastAsia="Times New Roman" w:hAnsi="Arial" w:cs="Arial"/>
          <w:bCs/>
          <w:sz w:val="24"/>
          <w:szCs w:val="24"/>
          <w:lang w:val="en-GB"/>
        </w:rPr>
        <w:t xml:space="preserve">these </w:t>
      </w:r>
      <w:r w:rsidR="009B3DDC" w:rsidRPr="00811277">
        <w:rPr>
          <w:rFonts w:ascii="Arial" w:eastAsia="Times New Roman" w:hAnsi="Arial" w:cs="Arial"/>
          <w:bCs/>
          <w:sz w:val="24"/>
          <w:szCs w:val="24"/>
          <w:lang w:val="en-GB"/>
        </w:rPr>
        <w:t xml:space="preserve">aspirational </w:t>
      </w:r>
      <w:r w:rsidR="00F9122B" w:rsidRPr="00811277">
        <w:rPr>
          <w:rFonts w:ascii="Arial" w:eastAsia="Times New Roman" w:hAnsi="Arial" w:cs="Arial"/>
          <w:bCs/>
          <w:sz w:val="24"/>
          <w:szCs w:val="24"/>
          <w:lang w:val="en-GB"/>
        </w:rPr>
        <w:t>‘</w:t>
      </w:r>
      <w:r w:rsidR="009B3DDC" w:rsidRPr="00811277">
        <w:rPr>
          <w:rFonts w:ascii="Arial" w:eastAsia="Times New Roman" w:hAnsi="Arial" w:cs="Arial"/>
          <w:bCs/>
          <w:sz w:val="24"/>
          <w:szCs w:val="24"/>
          <w:lang w:val="en-GB"/>
        </w:rPr>
        <w:t>targets</w:t>
      </w:r>
      <w:r w:rsidR="00F9122B" w:rsidRPr="00811277">
        <w:rPr>
          <w:rFonts w:ascii="Arial" w:eastAsia="Times New Roman" w:hAnsi="Arial" w:cs="Arial"/>
          <w:bCs/>
          <w:sz w:val="24"/>
          <w:szCs w:val="24"/>
          <w:lang w:val="en-GB"/>
        </w:rPr>
        <w:t>’</w:t>
      </w:r>
      <w:r w:rsidR="009B3DDC" w:rsidRPr="00811277">
        <w:rPr>
          <w:rFonts w:ascii="Arial" w:eastAsia="Times New Roman" w:hAnsi="Arial" w:cs="Arial"/>
          <w:bCs/>
          <w:sz w:val="24"/>
          <w:szCs w:val="24"/>
          <w:lang w:val="en-GB"/>
        </w:rPr>
        <w:t xml:space="preserve">, aims and objectives. </w:t>
      </w:r>
      <w:r w:rsidR="00F9122B" w:rsidRPr="00811277">
        <w:rPr>
          <w:rFonts w:ascii="Arial" w:eastAsia="Times New Roman" w:hAnsi="Arial" w:cs="Arial"/>
          <w:bCs/>
          <w:sz w:val="24"/>
          <w:szCs w:val="24"/>
          <w:lang w:val="en-GB"/>
        </w:rPr>
        <w:t>Given what may be contained in a waste plan It</w:t>
      </w:r>
      <w:r w:rsidR="00F1523F" w:rsidRPr="00811277">
        <w:rPr>
          <w:rFonts w:ascii="Arial" w:eastAsia="Times New Roman" w:hAnsi="Arial" w:cs="Arial"/>
          <w:bCs/>
          <w:sz w:val="24"/>
          <w:szCs w:val="24"/>
          <w:lang w:val="en-GB"/>
        </w:rPr>
        <w:t xml:space="preserve"> could, in my view, </w:t>
      </w:r>
      <w:r w:rsidR="00AC6FD5" w:rsidRPr="00811277">
        <w:rPr>
          <w:rFonts w:ascii="Arial" w:eastAsia="Times New Roman" w:hAnsi="Arial" w:cs="Arial"/>
          <w:bCs/>
          <w:sz w:val="24"/>
          <w:szCs w:val="24"/>
          <w:lang w:val="en-GB"/>
        </w:rPr>
        <w:t xml:space="preserve">therefore </w:t>
      </w:r>
      <w:r w:rsidR="00F1523F" w:rsidRPr="00811277">
        <w:rPr>
          <w:rFonts w:ascii="Arial" w:eastAsia="Times New Roman" w:hAnsi="Arial" w:cs="Arial"/>
          <w:bCs/>
          <w:sz w:val="24"/>
          <w:szCs w:val="24"/>
          <w:lang w:val="en-GB"/>
        </w:rPr>
        <w:t xml:space="preserve">never have been intended or envisaged that a simple failure to comply with </w:t>
      </w:r>
      <w:r w:rsidR="00F9122B" w:rsidRPr="00811277">
        <w:rPr>
          <w:rFonts w:ascii="Arial" w:eastAsia="Times New Roman" w:hAnsi="Arial" w:cs="Arial"/>
          <w:bCs/>
          <w:sz w:val="24"/>
          <w:szCs w:val="24"/>
          <w:lang w:val="en-GB"/>
        </w:rPr>
        <w:t xml:space="preserve">any single </w:t>
      </w:r>
      <w:r w:rsidR="00F1523F" w:rsidRPr="00811277">
        <w:rPr>
          <w:rFonts w:ascii="Arial" w:eastAsia="Times New Roman" w:hAnsi="Arial" w:cs="Arial"/>
          <w:bCs/>
          <w:sz w:val="24"/>
          <w:szCs w:val="24"/>
          <w:lang w:val="en-GB"/>
        </w:rPr>
        <w:t>provision in a waste plan, would result in a punishable offence.</w:t>
      </w:r>
      <w:r w:rsidR="00F9122B" w:rsidRPr="00811277">
        <w:rPr>
          <w:rFonts w:ascii="Arial" w:eastAsia="Times New Roman" w:hAnsi="Arial" w:cs="Arial"/>
          <w:bCs/>
          <w:sz w:val="24"/>
          <w:szCs w:val="24"/>
          <w:lang w:val="en-GB"/>
        </w:rPr>
        <w:t xml:space="preserve"> </w:t>
      </w:r>
    </w:p>
    <w:p w14:paraId="3BF08C91" w14:textId="625528F0" w:rsidR="0001224D"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lastRenderedPageBreak/>
        <w:t>76.</w:t>
      </w:r>
      <w:r>
        <w:rPr>
          <w:rFonts w:ascii="Arial" w:eastAsia="Times New Roman" w:hAnsi="Arial" w:cs="Arial"/>
          <w:bCs/>
          <w:kern w:val="0"/>
          <w:sz w:val="24"/>
          <w:szCs w:val="24"/>
          <w:lang w:val="en-GB"/>
          <w14:ligatures w14:val="none"/>
        </w:rPr>
        <w:tab/>
      </w:r>
      <w:r w:rsidR="00B80888" w:rsidRPr="00811277">
        <w:rPr>
          <w:rFonts w:ascii="Arial" w:eastAsia="Times New Roman" w:hAnsi="Arial" w:cs="Arial"/>
          <w:bCs/>
          <w:sz w:val="24"/>
          <w:szCs w:val="24"/>
          <w:lang w:val="en-GB"/>
        </w:rPr>
        <w:t xml:space="preserve">In the second place, </w:t>
      </w:r>
      <w:r w:rsidR="00F9122B" w:rsidRPr="00811277">
        <w:rPr>
          <w:rFonts w:ascii="Arial" w:eastAsia="Times New Roman" w:hAnsi="Arial" w:cs="Arial"/>
          <w:bCs/>
          <w:sz w:val="24"/>
          <w:szCs w:val="24"/>
          <w:lang w:val="en-GB"/>
        </w:rPr>
        <w:t>those provisions of the plan which deal</w:t>
      </w:r>
      <w:r w:rsidR="00B80888" w:rsidRPr="00811277">
        <w:rPr>
          <w:rFonts w:ascii="Arial" w:eastAsia="Times New Roman" w:hAnsi="Arial" w:cs="Arial"/>
          <w:bCs/>
          <w:sz w:val="24"/>
          <w:szCs w:val="24"/>
          <w:lang w:val="en-GB"/>
        </w:rPr>
        <w:t>t</w:t>
      </w:r>
      <w:r w:rsidR="00F9122B" w:rsidRPr="00811277">
        <w:rPr>
          <w:rFonts w:ascii="Arial" w:eastAsia="Times New Roman" w:hAnsi="Arial" w:cs="Arial"/>
          <w:bCs/>
          <w:sz w:val="24"/>
          <w:szCs w:val="24"/>
          <w:lang w:val="en-GB"/>
        </w:rPr>
        <w:t xml:space="preserve"> with the waste tyre management fee, </w:t>
      </w:r>
      <w:r w:rsidR="00B80888" w:rsidRPr="00811277">
        <w:rPr>
          <w:rFonts w:ascii="Arial" w:eastAsia="Times New Roman" w:hAnsi="Arial" w:cs="Arial"/>
          <w:bCs/>
          <w:sz w:val="24"/>
          <w:szCs w:val="24"/>
          <w:lang w:val="en-GB"/>
        </w:rPr>
        <w:t>clearly</w:t>
      </w:r>
      <w:r w:rsidR="00F9122B" w:rsidRPr="00811277">
        <w:rPr>
          <w:rFonts w:ascii="Arial" w:eastAsia="Times New Roman" w:hAnsi="Arial" w:cs="Arial"/>
          <w:bCs/>
          <w:sz w:val="24"/>
          <w:szCs w:val="24"/>
          <w:lang w:val="en-GB"/>
        </w:rPr>
        <w:t xml:space="preserve"> stated that the initial levy which was proposed </w:t>
      </w:r>
      <w:r w:rsidR="009B3DDC" w:rsidRPr="00811277">
        <w:rPr>
          <w:rFonts w:ascii="Arial" w:eastAsia="Times New Roman" w:hAnsi="Arial" w:cs="Arial"/>
          <w:bCs/>
          <w:sz w:val="24"/>
          <w:szCs w:val="24"/>
          <w:lang w:val="en-GB"/>
        </w:rPr>
        <w:t>was simply an ‘estimate’</w:t>
      </w:r>
      <w:r w:rsidR="00F9122B" w:rsidRPr="00811277">
        <w:rPr>
          <w:rFonts w:ascii="Arial" w:eastAsia="Times New Roman" w:hAnsi="Arial" w:cs="Arial"/>
          <w:bCs/>
          <w:sz w:val="24"/>
          <w:szCs w:val="24"/>
          <w:lang w:val="en-GB"/>
        </w:rPr>
        <w:t>,</w:t>
      </w:r>
      <w:r w:rsidR="009B3DDC" w:rsidRPr="00811277">
        <w:rPr>
          <w:rFonts w:ascii="Arial" w:eastAsia="Times New Roman" w:hAnsi="Arial" w:cs="Arial"/>
          <w:bCs/>
          <w:sz w:val="24"/>
          <w:szCs w:val="24"/>
          <w:lang w:val="en-GB"/>
        </w:rPr>
        <w:t xml:space="preserve"> which was subject to change</w:t>
      </w:r>
      <w:r w:rsidR="00F9122B" w:rsidRPr="00811277">
        <w:rPr>
          <w:rFonts w:ascii="Arial" w:eastAsia="Times New Roman" w:hAnsi="Arial" w:cs="Arial"/>
          <w:bCs/>
          <w:sz w:val="24"/>
          <w:szCs w:val="24"/>
          <w:lang w:val="en-GB"/>
        </w:rPr>
        <w:t>, and would be</w:t>
      </w:r>
      <w:r w:rsidR="009B3DDC" w:rsidRPr="00811277">
        <w:rPr>
          <w:rFonts w:ascii="Arial" w:eastAsia="Times New Roman" w:hAnsi="Arial" w:cs="Arial"/>
          <w:bCs/>
          <w:sz w:val="24"/>
          <w:szCs w:val="24"/>
          <w:lang w:val="en-GB"/>
        </w:rPr>
        <w:t xml:space="preserve"> reviewed annuall</w:t>
      </w:r>
      <w:r w:rsidR="00F9122B" w:rsidRPr="00811277">
        <w:rPr>
          <w:rFonts w:ascii="Arial" w:eastAsia="Times New Roman" w:hAnsi="Arial" w:cs="Arial"/>
          <w:bCs/>
          <w:sz w:val="24"/>
          <w:szCs w:val="24"/>
          <w:lang w:val="en-GB"/>
        </w:rPr>
        <w:t xml:space="preserve">y, </w:t>
      </w:r>
      <w:r w:rsidR="009B3DDC" w:rsidRPr="00811277">
        <w:rPr>
          <w:rFonts w:ascii="Arial" w:eastAsia="Times New Roman" w:hAnsi="Arial" w:cs="Arial"/>
          <w:bCs/>
          <w:sz w:val="24"/>
          <w:szCs w:val="24"/>
          <w:lang w:val="en-GB"/>
        </w:rPr>
        <w:t xml:space="preserve">after consultation with all stakeholders </w:t>
      </w:r>
      <w:r w:rsidR="00F9122B" w:rsidRPr="00811277">
        <w:rPr>
          <w:rFonts w:ascii="Arial" w:eastAsia="Times New Roman" w:hAnsi="Arial" w:cs="Arial"/>
          <w:bCs/>
          <w:sz w:val="24"/>
          <w:szCs w:val="24"/>
          <w:lang w:val="en-GB"/>
        </w:rPr>
        <w:t>and consideration</w:t>
      </w:r>
      <w:r w:rsidR="009B3DDC" w:rsidRPr="00811277">
        <w:rPr>
          <w:rFonts w:ascii="Arial" w:eastAsia="Times New Roman" w:hAnsi="Arial" w:cs="Arial"/>
          <w:bCs/>
          <w:sz w:val="24"/>
          <w:szCs w:val="24"/>
          <w:lang w:val="en-GB"/>
        </w:rPr>
        <w:t xml:space="preserve"> of the previous year</w:t>
      </w:r>
      <w:r w:rsidR="00F9122B" w:rsidRPr="00811277">
        <w:rPr>
          <w:rFonts w:ascii="Arial" w:eastAsia="Times New Roman" w:hAnsi="Arial" w:cs="Arial"/>
          <w:bCs/>
          <w:sz w:val="24"/>
          <w:szCs w:val="24"/>
          <w:lang w:val="en-GB"/>
        </w:rPr>
        <w:t>’</w:t>
      </w:r>
      <w:r w:rsidR="009B3DDC" w:rsidRPr="00811277">
        <w:rPr>
          <w:rFonts w:ascii="Arial" w:eastAsia="Times New Roman" w:hAnsi="Arial" w:cs="Arial"/>
          <w:bCs/>
          <w:sz w:val="24"/>
          <w:szCs w:val="24"/>
          <w:lang w:val="en-GB"/>
        </w:rPr>
        <w:t xml:space="preserve">s operational costs. </w:t>
      </w:r>
      <w:r w:rsidR="00F9122B" w:rsidRPr="00811277">
        <w:rPr>
          <w:rFonts w:ascii="Arial" w:eastAsia="Times New Roman" w:hAnsi="Arial" w:cs="Arial"/>
          <w:bCs/>
          <w:sz w:val="24"/>
          <w:szCs w:val="24"/>
          <w:lang w:val="en-GB"/>
        </w:rPr>
        <w:t xml:space="preserve">As I read it, the plan did not compel Redisa to amend the fee annually, only to review it, and if justified pursuant thereto, to </w:t>
      </w:r>
      <w:r w:rsidR="00F9122B" w:rsidRPr="00811277">
        <w:rPr>
          <w:rFonts w:ascii="Arial" w:eastAsia="Times New Roman" w:hAnsi="Arial" w:cs="Arial"/>
          <w:bCs/>
          <w:i/>
          <w:iCs/>
          <w:sz w:val="24"/>
          <w:szCs w:val="24"/>
          <w:lang w:val="en-GB"/>
        </w:rPr>
        <w:t>then</w:t>
      </w:r>
      <w:r w:rsidR="00F9122B" w:rsidRPr="00811277">
        <w:rPr>
          <w:rFonts w:ascii="Arial" w:eastAsia="Times New Roman" w:hAnsi="Arial" w:cs="Arial"/>
          <w:bCs/>
          <w:sz w:val="24"/>
          <w:szCs w:val="24"/>
          <w:lang w:val="en-GB"/>
        </w:rPr>
        <w:t xml:space="preserve"> amend it, after due consultation with all stakeholders, which would include government. </w:t>
      </w:r>
    </w:p>
    <w:p w14:paraId="76B06297" w14:textId="1E141CAD" w:rsidR="00B80888"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77.</w:t>
      </w:r>
      <w:r>
        <w:rPr>
          <w:rFonts w:ascii="Arial" w:eastAsia="Times New Roman" w:hAnsi="Arial" w:cs="Arial"/>
          <w:bCs/>
          <w:kern w:val="0"/>
          <w:sz w:val="24"/>
          <w:szCs w:val="24"/>
          <w:lang w:val="en-GB"/>
          <w14:ligatures w14:val="none"/>
        </w:rPr>
        <w:tab/>
      </w:r>
      <w:r w:rsidR="009B3DDC" w:rsidRPr="00811277">
        <w:rPr>
          <w:rFonts w:ascii="Arial" w:eastAsia="Times New Roman" w:hAnsi="Arial" w:cs="Arial"/>
          <w:bCs/>
          <w:sz w:val="24"/>
          <w:szCs w:val="24"/>
          <w:lang w:val="en-GB"/>
        </w:rPr>
        <w:t xml:space="preserve">Redisa says that it </w:t>
      </w:r>
      <w:r w:rsidR="00F9122B" w:rsidRPr="00811277">
        <w:rPr>
          <w:rFonts w:ascii="Arial" w:eastAsia="Times New Roman" w:hAnsi="Arial" w:cs="Arial"/>
          <w:bCs/>
          <w:sz w:val="24"/>
          <w:szCs w:val="24"/>
          <w:lang w:val="en-GB"/>
        </w:rPr>
        <w:t>duly commenced a process of review</w:t>
      </w:r>
      <w:r w:rsidR="009B3DDC" w:rsidRPr="00811277">
        <w:rPr>
          <w:rFonts w:ascii="Arial" w:eastAsia="Times New Roman" w:hAnsi="Arial" w:cs="Arial"/>
          <w:bCs/>
          <w:sz w:val="24"/>
          <w:szCs w:val="24"/>
          <w:lang w:val="en-GB"/>
        </w:rPr>
        <w:t xml:space="preserve"> in September 2013, within </w:t>
      </w:r>
      <w:r w:rsidR="00F9122B" w:rsidRPr="00811277">
        <w:rPr>
          <w:rFonts w:ascii="Arial" w:eastAsia="Times New Roman" w:hAnsi="Arial" w:cs="Arial"/>
          <w:bCs/>
          <w:sz w:val="24"/>
          <w:szCs w:val="24"/>
          <w:lang w:val="en-GB"/>
        </w:rPr>
        <w:t>a</w:t>
      </w:r>
      <w:r w:rsidR="009B3DDC" w:rsidRPr="00811277">
        <w:rPr>
          <w:rFonts w:ascii="Arial" w:eastAsia="Times New Roman" w:hAnsi="Arial" w:cs="Arial"/>
          <w:bCs/>
          <w:sz w:val="24"/>
          <w:szCs w:val="24"/>
          <w:lang w:val="en-GB"/>
        </w:rPr>
        <w:t xml:space="preserve"> year after </w:t>
      </w:r>
      <w:r w:rsidR="00F9122B" w:rsidRPr="00811277">
        <w:rPr>
          <w:rFonts w:ascii="Arial" w:eastAsia="Times New Roman" w:hAnsi="Arial" w:cs="Arial"/>
          <w:bCs/>
          <w:sz w:val="24"/>
          <w:szCs w:val="24"/>
          <w:lang w:val="en-GB"/>
        </w:rPr>
        <w:t xml:space="preserve">the </w:t>
      </w:r>
      <w:r w:rsidR="009B3DDC" w:rsidRPr="00811277">
        <w:rPr>
          <w:rFonts w:ascii="Arial" w:eastAsia="Times New Roman" w:hAnsi="Arial" w:cs="Arial"/>
          <w:bCs/>
          <w:sz w:val="24"/>
          <w:szCs w:val="24"/>
          <w:lang w:val="en-GB"/>
        </w:rPr>
        <w:t xml:space="preserve">plan was promulgated. On 16 September 2013 it held a meeting with the Department at which a proposed fee increase was discussed. The Department undertook to revert in this regard. At a further meeting which was held on 5 November 2013 </w:t>
      </w:r>
      <w:r w:rsidR="00F9122B" w:rsidRPr="00811277">
        <w:rPr>
          <w:rFonts w:ascii="Arial" w:eastAsia="Times New Roman" w:hAnsi="Arial" w:cs="Arial"/>
          <w:bCs/>
          <w:sz w:val="24"/>
          <w:szCs w:val="24"/>
          <w:lang w:val="en-GB"/>
        </w:rPr>
        <w:t>R</w:t>
      </w:r>
      <w:r w:rsidR="009B3DDC" w:rsidRPr="00811277">
        <w:rPr>
          <w:rFonts w:ascii="Arial" w:eastAsia="Times New Roman" w:hAnsi="Arial" w:cs="Arial"/>
          <w:bCs/>
          <w:sz w:val="24"/>
          <w:szCs w:val="24"/>
          <w:lang w:val="en-GB"/>
        </w:rPr>
        <w:t>edisa was asked to submit its proposed amendments to the plan</w:t>
      </w:r>
      <w:r w:rsidR="00A2591F" w:rsidRPr="00811277">
        <w:rPr>
          <w:rFonts w:ascii="Arial" w:eastAsia="Times New Roman" w:hAnsi="Arial" w:cs="Arial"/>
          <w:bCs/>
          <w:sz w:val="24"/>
          <w:szCs w:val="24"/>
          <w:lang w:val="en-GB"/>
        </w:rPr>
        <w:t xml:space="preserve">, which </w:t>
      </w:r>
      <w:r w:rsidR="00F9122B" w:rsidRPr="00811277">
        <w:rPr>
          <w:rFonts w:ascii="Arial" w:eastAsia="Times New Roman" w:hAnsi="Arial" w:cs="Arial"/>
          <w:bCs/>
          <w:sz w:val="24"/>
          <w:szCs w:val="24"/>
          <w:lang w:val="en-GB"/>
        </w:rPr>
        <w:t xml:space="preserve">it did </w:t>
      </w:r>
      <w:r w:rsidR="00A2591F" w:rsidRPr="00811277">
        <w:rPr>
          <w:rFonts w:ascii="Arial" w:eastAsia="Times New Roman" w:hAnsi="Arial" w:cs="Arial"/>
          <w:bCs/>
          <w:sz w:val="24"/>
          <w:szCs w:val="24"/>
          <w:lang w:val="en-GB"/>
        </w:rPr>
        <w:t xml:space="preserve">on 25 November 2013, when it submitted a proposal that there should be an annual adjustment </w:t>
      </w:r>
      <w:r w:rsidR="00F9122B" w:rsidRPr="00811277">
        <w:rPr>
          <w:rFonts w:ascii="Arial" w:eastAsia="Times New Roman" w:hAnsi="Arial" w:cs="Arial"/>
          <w:bCs/>
          <w:sz w:val="24"/>
          <w:szCs w:val="24"/>
          <w:lang w:val="en-GB"/>
        </w:rPr>
        <w:t>to</w:t>
      </w:r>
      <w:r w:rsidR="00A2591F" w:rsidRPr="00811277">
        <w:rPr>
          <w:rFonts w:ascii="Arial" w:eastAsia="Times New Roman" w:hAnsi="Arial" w:cs="Arial"/>
          <w:bCs/>
          <w:sz w:val="24"/>
          <w:szCs w:val="24"/>
          <w:lang w:val="en-GB"/>
        </w:rPr>
        <w:t xml:space="preserve"> the fee, based on changes </w:t>
      </w:r>
      <w:r w:rsidR="00F9122B" w:rsidRPr="00811277">
        <w:rPr>
          <w:rFonts w:ascii="Arial" w:eastAsia="Times New Roman" w:hAnsi="Arial" w:cs="Arial"/>
          <w:bCs/>
          <w:sz w:val="24"/>
          <w:szCs w:val="24"/>
          <w:lang w:val="en-GB"/>
        </w:rPr>
        <w:t>to</w:t>
      </w:r>
      <w:r w:rsidR="00A2591F" w:rsidRPr="00811277">
        <w:rPr>
          <w:rFonts w:ascii="Arial" w:eastAsia="Times New Roman" w:hAnsi="Arial" w:cs="Arial"/>
          <w:bCs/>
          <w:sz w:val="24"/>
          <w:szCs w:val="24"/>
          <w:lang w:val="en-GB"/>
        </w:rPr>
        <w:t xml:space="preserve"> the consumer price index. On 29 January 2014 the </w:t>
      </w:r>
      <w:r w:rsidR="00F9122B" w:rsidRPr="00811277">
        <w:rPr>
          <w:rFonts w:ascii="Arial" w:eastAsia="Times New Roman" w:hAnsi="Arial" w:cs="Arial"/>
          <w:bCs/>
          <w:sz w:val="24"/>
          <w:szCs w:val="24"/>
          <w:lang w:val="en-GB"/>
        </w:rPr>
        <w:t>D</w:t>
      </w:r>
      <w:r w:rsidR="00A2591F" w:rsidRPr="00811277">
        <w:rPr>
          <w:rFonts w:ascii="Arial" w:eastAsia="Times New Roman" w:hAnsi="Arial" w:cs="Arial"/>
          <w:bCs/>
          <w:sz w:val="24"/>
          <w:szCs w:val="24"/>
          <w:lang w:val="en-GB"/>
        </w:rPr>
        <w:t xml:space="preserve">epartment informed </w:t>
      </w:r>
      <w:r w:rsidR="0001224D" w:rsidRPr="00811277">
        <w:rPr>
          <w:rFonts w:ascii="Arial" w:eastAsia="Times New Roman" w:hAnsi="Arial" w:cs="Arial"/>
          <w:bCs/>
          <w:sz w:val="24"/>
          <w:szCs w:val="24"/>
          <w:lang w:val="en-GB"/>
        </w:rPr>
        <w:t>R</w:t>
      </w:r>
      <w:r w:rsidR="00A2591F" w:rsidRPr="00811277">
        <w:rPr>
          <w:rFonts w:ascii="Arial" w:eastAsia="Times New Roman" w:hAnsi="Arial" w:cs="Arial"/>
          <w:bCs/>
          <w:sz w:val="24"/>
          <w:szCs w:val="24"/>
          <w:lang w:val="en-GB"/>
        </w:rPr>
        <w:t xml:space="preserve">edisa that in in its view the plan did not need to be amended at that stage by being taken through </w:t>
      </w:r>
      <w:r w:rsidR="00B80888" w:rsidRPr="00811277">
        <w:rPr>
          <w:rFonts w:ascii="Arial" w:eastAsia="Times New Roman" w:hAnsi="Arial" w:cs="Arial"/>
          <w:bCs/>
          <w:sz w:val="24"/>
          <w:szCs w:val="24"/>
          <w:lang w:val="en-GB"/>
        </w:rPr>
        <w:t xml:space="preserve">a </w:t>
      </w:r>
      <w:r w:rsidR="00A2591F" w:rsidRPr="00811277">
        <w:rPr>
          <w:rFonts w:ascii="Arial" w:eastAsia="Times New Roman" w:hAnsi="Arial" w:cs="Arial"/>
          <w:bCs/>
          <w:sz w:val="24"/>
          <w:szCs w:val="24"/>
          <w:lang w:val="en-GB"/>
        </w:rPr>
        <w:t xml:space="preserve">fee review process. By doing so the Department effectively communicated that the fee should be maintained as it was. Redisa says that, had the Department supported an increase it would then have commenced the necessary consultation and public participation process with interested parties. </w:t>
      </w:r>
    </w:p>
    <w:p w14:paraId="5F13ACDE" w14:textId="6C259FB5" w:rsidR="00E5637C"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t>78.</w:t>
      </w:r>
      <w:r>
        <w:rPr>
          <w:rFonts w:ascii="Arial" w:eastAsia="Times New Roman" w:hAnsi="Arial" w:cs="Arial"/>
          <w:bCs/>
          <w:kern w:val="0"/>
          <w:sz w:val="24"/>
          <w:szCs w:val="24"/>
          <w:lang w:val="en-GB"/>
          <w14:ligatures w14:val="none"/>
        </w:rPr>
        <w:tab/>
      </w:r>
      <w:r w:rsidR="00B80888" w:rsidRPr="00811277">
        <w:rPr>
          <w:rFonts w:ascii="Arial" w:eastAsia="Times New Roman" w:hAnsi="Arial" w:cs="Arial"/>
          <w:bCs/>
          <w:sz w:val="24"/>
          <w:szCs w:val="24"/>
          <w:lang w:val="en-GB"/>
        </w:rPr>
        <w:t>Then, a</w:t>
      </w:r>
      <w:r w:rsidR="00A2591F" w:rsidRPr="00811277">
        <w:rPr>
          <w:rFonts w:ascii="Arial" w:eastAsia="Times New Roman" w:hAnsi="Arial" w:cs="Arial"/>
          <w:bCs/>
          <w:sz w:val="24"/>
          <w:szCs w:val="24"/>
          <w:lang w:val="en-GB"/>
        </w:rPr>
        <w:t xml:space="preserve">s previously pointed out, at the end of 2013 the Department proposed amendments to the funding model for waste management plans which were promulgated in June 2014, </w:t>
      </w:r>
      <w:r w:rsidR="00E5637C" w:rsidRPr="00811277">
        <w:rPr>
          <w:rFonts w:ascii="Arial" w:eastAsia="Times New Roman" w:hAnsi="Arial" w:cs="Arial"/>
          <w:bCs/>
          <w:sz w:val="24"/>
          <w:szCs w:val="24"/>
          <w:lang w:val="en-GB"/>
        </w:rPr>
        <w:t>and</w:t>
      </w:r>
      <w:r w:rsidR="00A2591F" w:rsidRPr="00811277">
        <w:rPr>
          <w:rFonts w:ascii="Arial" w:eastAsia="Times New Roman" w:hAnsi="Arial" w:cs="Arial"/>
          <w:bCs/>
          <w:sz w:val="24"/>
          <w:szCs w:val="24"/>
          <w:lang w:val="en-GB"/>
        </w:rPr>
        <w:t xml:space="preserve"> </w:t>
      </w:r>
      <w:r w:rsidR="00E5637C" w:rsidRPr="00811277">
        <w:rPr>
          <w:rFonts w:ascii="Arial" w:eastAsia="Times New Roman" w:hAnsi="Arial" w:cs="Arial"/>
          <w:bCs/>
          <w:sz w:val="24"/>
          <w:szCs w:val="24"/>
          <w:lang w:val="en-GB"/>
        </w:rPr>
        <w:t xml:space="preserve">pursuant to legislative amendments which were passed between December 2016 and February 2017 to give effect to this change </w:t>
      </w:r>
      <w:r w:rsidR="00A2591F" w:rsidRPr="00811277">
        <w:rPr>
          <w:rFonts w:ascii="Arial" w:eastAsia="Times New Roman" w:hAnsi="Arial" w:cs="Arial"/>
          <w:bCs/>
          <w:sz w:val="24"/>
          <w:szCs w:val="24"/>
          <w:lang w:val="en-GB"/>
        </w:rPr>
        <w:t xml:space="preserve"> </w:t>
      </w:r>
      <w:r w:rsidR="009543E3" w:rsidRPr="00811277">
        <w:rPr>
          <w:rFonts w:ascii="Arial" w:eastAsia="Times New Roman" w:hAnsi="Arial" w:cs="Arial"/>
          <w:bCs/>
          <w:sz w:val="24"/>
          <w:szCs w:val="24"/>
          <w:lang w:val="en-GB"/>
        </w:rPr>
        <w:t>R</w:t>
      </w:r>
      <w:r w:rsidR="00A2591F" w:rsidRPr="00811277">
        <w:rPr>
          <w:rFonts w:ascii="Arial" w:eastAsia="Times New Roman" w:hAnsi="Arial" w:cs="Arial"/>
          <w:bCs/>
          <w:sz w:val="24"/>
          <w:szCs w:val="24"/>
          <w:lang w:val="en-GB"/>
        </w:rPr>
        <w:t xml:space="preserve">edisa </w:t>
      </w:r>
      <w:r w:rsidR="00E5637C" w:rsidRPr="00811277">
        <w:rPr>
          <w:rFonts w:ascii="Arial" w:eastAsia="Times New Roman" w:hAnsi="Arial" w:cs="Arial"/>
          <w:bCs/>
          <w:sz w:val="24"/>
          <w:szCs w:val="24"/>
          <w:lang w:val="en-GB"/>
        </w:rPr>
        <w:t xml:space="preserve">was </w:t>
      </w:r>
      <w:r w:rsidR="00A2591F" w:rsidRPr="00811277">
        <w:rPr>
          <w:rFonts w:ascii="Arial" w:eastAsia="Times New Roman" w:hAnsi="Arial" w:cs="Arial"/>
          <w:bCs/>
          <w:sz w:val="24"/>
          <w:szCs w:val="24"/>
          <w:lang w:val="en-GB"/>
        </w:rPr>
        <w:t>no longer empowered to collect the waste t</w:t>
      </w:r>
      <w:r w:rsidR="00E60ACC" w:rsidRPr="00811277">
        <w:rPr>
          <w:rFonts w:ascii="Arial" w:eastAsia="Times New Roman" w:hAnsi="Arial" w:cs="Arial"/>
          <w:bCs/>
          <w:sz w:val="24"/>
          <w:szCs w:val="24"/>
          <w:lang w:val="en-GB"/>
        </w:rPr>
        <w:t>y</w:t>
      </w:r>
      <w:r w:rsidR="00A2591F" w:rsidRPr="00811277">
        <w:rPr>
          <w:rFonts w:ascii="Arial" w:eastAsia="Times New Roman" w:hAnsi="Arial" w:cs="Arial"/>
          <w:bCs/>
          <w:sz w:val="24"/>
          <w:szCs w:val="24"/>
          <w:lang w:val="en-GB"/>
        </w:rPr>
        <w:t xml:space="preserve">re management fee directly from subscribers, </w:t>
      </w:r>
      <w:r w:rsidR="009543E3" w:rsidRPr="00811277">
        <w:rPr>
          <w:rFonts w:ascii="Arial" w:eastAsia="Times New Roman" w:hAnsi="Arial" w:cs="Arial"/>
          <w:bCs/>
          <w:sz w:val="24"/>
          <w:szCs w:val="24"/>
          <w:lang w:val="en-GB"/>
        </w:rPr>
        <w:t>a</w:t>
      </w:r>
      <w:r w:rsidR="00E60ACC" w:rsidRPr="00811277">
        <w:rPr>
          <w:rFonts w:ascii="Arial" w:eastAsia="Times New Roman" w:hAnsi="Arial" w:cs="Arial"/>
          <w:bCs/>
          <w:sz w:val="24"/>
          <w:szCs w:val="24"/>
          <w:lang w:val="en-GB"/>
        </w:rPr>
        <w:t>nd this</w:t>
      </w:r>
      <w:r w:rsidR="009543E3" w:rsidRPr="00811277">
        <w:rPr>
          <w:rFonts w:ascii="Arial" w:eastAsia="Times New Roman" w:hAnsi="Arial" w:cs="Arial"/>
          <w:bCs/>
          <w:sz w:val="24"/>
          <w:szCs w:val="24"/>
          <w:lang w:val="en-GB"/>
        </w:rPr>
        <w:t xml:space="preserve"> </w:t>
      </w:r>
      <w:r w:rsidR="00A2591F" w:rsidRPr="00811277">
        <w:rPr>
          <w:rFonts w:ascii="Arial" w:eastAsia="Times New Roman" w:hAnsi="Arial" w:cs="Arial"/>
          <w:bCs/>
          <w:sz w:val="24"/>
          <w:szCs w:val="24"/>
          <w:lang w:val="en-GB"/>
        </w:rPr>
        <w:t xml:space="preserve">function was </w:t>
      </w:r>
      <w:r w:rsidR="00E60ACC" w:rsidRPr="00811277">
        <w:rPr>
          <w:rFonts w:ascii="Arial" w:eastAsia="Times New Roman" w:hAnsi="Arial" w:cs="Arial"/>
          <w:bCs/>
          <w:sz w:val="24"/>
          <w:szCs w:val="24"/>
          <w:lang w:val="en-GB"/>
        </w:rPr>
        <w:t xml:space="preserve">subsequently </w:t>
      </w:r>
      <w:r w:rsidR="00A2591F" w:rsidRPr="00811277">
        <w:rPr>
          <w:rFonts w:ascii="Arial" w:eastAsia="Times New Roman" w:hAnsi="Arial" w:cs="Arial"/>
          <w:bCs/>
          <w:sz w:val="24"/>
          <w:szCs w:val="24"/>
          <w:lang w:val="en-GB"/>
        </w:rPr>
        <w:t xml:space="preserve">transferred to the SA </w:t>
      </w:r>
      <w:r w:rsidR="00E60ACC" w:rsidRPr="00811277">
        <w:rPr>
          <w:rFonts w:ascii="Arial" w:eastAsia="Times New Roman" w:hAnsi="Arial" w:cs="Arial"/>
          <w:bCs/>
          <w:sz w:val="24"/>
          <w:szCs w:val="24"/>
          <w:lang w:val="en-GB"/>
        </w:rPr>
        <w:t>R</w:t>
      </w:r>
      <w:r w:rsidR="00A2591F" w:rsidRPr="00811277">
        <w:rPr>
          <w:rFonts w:ascii="Arial" w:eastAsia="Times New Roman" w:hAnsi="Arial" w:cs="Arial"/>
          <w:bCs/>
          <w:sz w:val="24"/>
          <w:szCs w:val="24"/>
          <w:lang w:val="en-GB"/>
        </w:rPr>
        <w:t xml:space="preserve">evenue </w:t>
      </w:r>
      <w:r w:rsidR="00E60ACC" w:rsidRPr="00811277">
        <w:rPr>
          <w:rFonts w:ascii="Arial" w:eastAsia="Times New Roman" w:hAnsi="Arial" w:cs="Arial"/>
          <w:bCs/>
          <w:sz w:val="24"/>
          <w:szCs w:val="24"/>
          <w:lang w:val="en-GB"/>
        </w:rPr>
        <w:t>S</w:t>
      </w:r>
      <w:r w:rsidR="00A2591F" w:rsidRPr="00811277">
        <w:rPr>
          <w:rFonts w:ascii="Arial" w:eastAsia="Times New Roman" w:hAnsi="Arial" w:cs="Arial"/>
          <w:bCs/>
          <w:sz w:val="24"/>
          <w:szCs w:val="24"/>
          <w:lang w:val="en-GB"/>
        </w:rPr>
        <w:t xml:space="preserve">ervice. In such circumstances it is ludicrous to suggest that </w:t>
      </w:r>
      <w:r w:rsidR="00E60ACC" w:rsidRPr="00811277">
        <w:rPr>
          <w:rFonts w:ascii="Arial" w:eastAsia="Times New Roman" w:hAnsi="Arial" w:cs="Arial"/>
          <w:bCs/>
          <w:sz w:val="24"/>
          <w:szCs w:val="24"/>
          <w:lang w:val="en-GB"/>
        </w:rPr>
        <w:t>R</w:t>
      </w:r>
      <w:r w:rsidR="00A2591F" w:rsidRPr="00811277">
        <w:rPr>
          <w:rFonts w:ascii="Arial" w:eastAsia="Times New Roman" w:hAnsi="Arial" w:cs="Arial"/>
          <w:bCs/>
          <w:sz w:val="24"/>
          <w:szCs w:val="24"/>
          <w:lang w:val="en-GB"/>
        </w:rPr>
        <w:t>edisa committed an offence by not reviewing and amending the waste t</w:t>
      </w:r>
      <w:r w:rsidR="00E60ACC" w:rsidRPr="00811277">
        <w:rPr>
          <w:rFonts w:ascii="Arial" w:eastAsia="Times New Roman" w:hAnsi="Arial" w:cs="Arial"/>
          <w:bCs/>
          <w:sz w:val="24"/>
          <w:szCs w:val="24"/>
          <w:lang w:val="en-GB"/>
        </w:rPr>
        <w:t>y</w:t>
      </w:r>
      <w:r w:rsidR="00A2591F" w:rsidRPr="00811277">
        <w:rPr>
          <w:rFonts w:ascii="Arial" w:eastAsia="Times New Roman" w:hAnsi="Arial" w:cs="Arial"/>
          <w:bCs/>
          <w:sz w:val="24"/>
          <w:szCs w:val="24"/>
          <w:lang w:val="en-GB"/>
        </w:rPr>
        <w:t>re management fees after September 2013</w:t>
      </w:r>
      <w:r w:rsidR="00E5637C" w:rsidRPr="00811277">
        <w:rPr>
          <w:rFonts w:ascii="Arial" w:eastAsia="Times New Roman" w:hAnsi="Arial" w:cs="Arial"/>
          <w:bCs/>
          <w:sz w:val="24"/>
          <w:szCs w:val="24"/>
          <w:lang w:val="en-GB"/>
        </w:rPr>
        <w:t>, because, a</w:t>
      </w:r>
      <w:r w:rsidR="00A2591F" w:rsidRPr="00811277">
        <w:rPr>
          <w:rFonts w:ascii="Arial" w:eastAsia="Times New Roman" w:hAnsi="Arial" w:cs="Arial"/>
          <w:bCs/>
          <w:sz w:val="24"/>
          <w:szCs w:val="24"/>
          <w:lang w:val="en-GB"/>
        </w:rPr>
        <w:t>s a result of the legislat</w:t>
      </w:r>
      <w:r w:rsidR="00816050" w:rsidRPr="00811277">
        <w:rPr>
          <w:rFonts w:ascii="Arial" w:eastAsia="Times New Roman" w:hAnsi="Arial" w:cs="Arial"/>
          <w:bCs/>
          <w:sz w:val="24"/>
          <w:szCs w:val="24"/>
          <w:lang w:val="en-GB"/>
        </w:rPr>
        <w:t>ive</w:t>
      </w:r>
      <w:r w:rsidR="00A2591F" w:rsidRPr="00811277">
        <w:rPr>
          <w:rFonts w:ascii="Arial" w:eastAsia="Times New Roman" w:hAnsi="Arial" w:cs="Arial"/>
          <w:bCs/>
          <w:sz w:val="24"/>
          <w:szCs w:val="24"/>
          <w:lang w:val="en-GB"/>
        </w:rPr>
        <w:t xml:space="preserve"> changes that were made </w:t>
      </w:r>
      <w:r w:rsidR="00E60ACC" w:rsidRPr="00811277">
        <w:rPr>
          <w:rFonts w:ascii="Arial" w:eastAsia="Times New Roman" w:hAnsi="Arial" w:cs="Arial"/>
          <w:bCs/>
          <w:sz w:val="24"/>
          <w:szCs w:val="24"/>
          <w:lang w:val="en-GB"/>
        </w:rPr>
        <w:t>it</w:t>
      </w:r>
      <w:r w:rsidR="00A2591F" w:rsidRPr="00811277">
        <w:rPr>
          <w:rFonts w:ascii="Arial" w:eastAsia="Times New Roman" w:hAnsi="Arial" w:cs="Arial"/>
          <w:bCs/>
          <w:sz w:val="24"/>
          <w:szCs w:val="24"/>
          <w:lang w:val="en-GB"/>
        </w:rPr>
        <w:t xml:space="preserve"> was, in my view, no longer </w:t>
      </w:r>
      <w:r w:rsidR="00E60ACC" w:rsidRPr="00811277">
        <w:rPr>
          <w:rFonts w:ascii="Arial" w:eastAsia="Times New Roman" w:hAnsi="Arial" w:cs="Arial"/>
          <w:bCs/>
          <w:sz w:val="24"/>
          <w:szCs w:val="24"/>
          <w:lang w:val="en-GB"/>
        </w:rPr>
        <w:t>em</w:t>
      </w:r>
      <w:r w:rsidR="00A2591F" w:rsidRPr="00811277">
        <w:rPr>
          <w:rFonts w:ascii="Arial" w:eastAsia="Times New Roman" w:hAnsi="Arial" w:cs="Arial"/>
          <w:bCs/>
          <w:sz w:val="24"/>
          <w:szCs w:val="24"/>
          <w:lang w:val="en-GB"/>
        </w:rPr>
        <w:t>powered</w:t>
      </w:r>
      <w:r w:rsidR="007461E5" w:rsidRPr="00811277">
        <w:rPr>
          <w:rFonts w:ascii="Arial" w:eastAsia="Times New Roman" w:hAnsi="Arial" w:cs="Arial"/>
          <w:bCs/>
          <w:sz w:val="24"/>
          <w:szCs w:val="24"/>
          <w:lang w:val="en-GB"/>
        </w:rPr>
        <w:t xml:space="preserve"> </w:t>
      </w:r>
      <w:r w:rsidR="00A2591F" w:rsidRPr="00811277">
        <w:rPr>
          <w:rFonts w:ascii="Arial" w:eastAsia="Times New Roman" w:hAnsi="Arial" w:cs="Arial"/>
          <w:bCs/>
          <w:sz w:val="24"/>
          <w:szCs w:val="24"/>
          <w:lang w:val="en-GB"/>
        </w:rPr>
        <w:t xml:space="preserve">to do so. </w:t>
      </w:r>
    </w:p>
    <w:p w14:paraId="2C6CFC62" w14:textId="0B937DF0" w:rsidR="00E5637C" w:rsidRPr="00811277" w:rsidRDefault="00811277" w:rsidP="00811277">
      <w:pPr>
        <w:spacing w:line="360" w:lineRule="auto"/>
        <w:ind w:left="720" w:hanging="720"/>
        <w:jc w:val="both"/>
        <w:rPr>
          <w:rFonts w:ascii="Arial" w:eastAsia="Times New Roman" w:hAnsi="Arial" w:cs="Arial"/>
          <w:bCs/>
          <w:sz w:val="24"/>
          <w:szCs w:val="24"/>
          <w:lang w:val="en-GB"/>
        </w:rPr>
      </w:pPr>
      <w:r>
        <w:rPr>
          <w:rFonts w:ascii="Arial" w:eastAsia="Times New Roman" w:hAnsi="Arial" w:cs="Arial"/>
          <w:bCs/>
          <w:kern w:val="0"/>
          <w:sz w:val="24"/>
          <w:szCs w:val="24"/>
          <w:lang w:val="en-GB"/>
          <w14:ligatures w14:val="none"/>
        </w:rPr>
        <w:lastRenderedPageBreak/>
        <w:t>79.</w:t>
      </w:r>
      <w:r>
        <w:rPr>
          <w:rFonts w:ascii="Arial" w:eastAsia="Times New Roman" w:hAnsi="Arial" w:cs="Arial"/>
          <w:bCs/>
          <w:kern w:val="0"/>
          <w:sz w:val="24"/>
          <w:szCs w:val="24"/>
          <w:lang w:val="en-GB"/>
          <w14:ligatures w14:val="none"/>
        </w:rPr>
        <w:tab/>
      </w:r>
      <w:r w:rsidR="001024DE" w:rsidRPr="00811277">
        <w:rPr>
          <w:rFonts w:ascii="Arial" w:eastAsia="Times New Roman" w:hAnsi="Arial" w:cs="Arial"/>
          <w:bCs/>
          <w:sz w:val="24"/>
          <w:szCs w:val="24"/>
          <w:lang w:val="en-GB"/>
        </w:rPr>
        <w:t>In the circumstances, t</w:t>
      </w:r>
      <w:r w:rsidR="00A2591F" w:rsidRPr="00811277">
        <w:rPr>
          <w:rFonts w:ascii="Arial" w:eastAsia="Times New Roman" w:hAnsi="Arial" w:cs="Arial"/>
          <w:bCs/>
          <w:sz w:val="24"/>
          <w:szCs w:val="24"/>
          <w:lang w:val="en-GB"/>
        </w:rPr>
        <w:t>he fact that the waste t</w:t>
      </w:r>
      <w:r w:rsidR="00E5637C" w:rsidRPr="00811277">
        <w:rPr>
          <w:rFonts w:ascii="Arial" w:eastAsia="Times New Roman" w:hAnsi="Arial" w:cs="Arial"/>
          <w:bCs/>
          <w:sz w:val="24"/>
          <w:szCs w:val="24"/>
          <w:lang w:val="en-GB"/>
        </w:rPr>
        <w:t>y</w:t>
      </w:r>
      <w:r w:rsidR="00A2591F" w:rsidRPr="00811277">
        <w:rPr>
          <w:rFonts w:ascii="Arial" w:eastAsia="Times New Roman" w:hAnsi="Arial" w:cs="Arial"/>
          <w:bCs/>
          <w:sz w:val="24"/>
          <w:szCs w:val="24"/>
          <w:lang w:val="en-GB"/>
        </w:rPr>
        <w:t xml:space="preserve">re management fee was not adjusted </w:t>
      </w:r>
      <w:r w:rsidR="001024DE" w:rsidRPr="00811277">
        <w:rPr>
          <w:rFonts w:ascii="Arial" w:eastAsia="Times New Roman" w:hAnsi="Arial" w:cs="Arial"/>
          <w:bCs/>
          <w:sz w:val="24"/>
          <w:szCs w:val="24"/>
          <w:lang w:val="en-GB"/>
        </w:rPr>
        <w:t>after</w:t>
      </w:r>
      <w:r w:rsidR="00A2591F" w:rsidRPr="00811277">
        <w:rPr>
          <w:rFonts w:ascii="Arial" w:eastAsia="Times New Roman" w:hAnsi="Arial" w:cs="Arial"/>
          <w:bCs/>
          <w:sz w:val="24"/>
          <w:szCs w:val="24"/>
          <w:lang w:val="en-GB"/>
        </w:rPr>
        <w:t xml:space="preserve"> its initial promulgation, because it was not reviewed and amended, does not mean that it became unlawful. It was lawfully set and imposed as a levy when the plan was gazetted</w:t>
      </w:r>
      <w:r w:rsidR="00E5637C" w:rsidRPr="00811277">
        <w:rPr>
          <w:rFonts w:ascii="Arial" w:eastAsia="Times New Roman" w:hAnsi="Arial" w:cs="Arial"/>
          <w:bCs/>
          <w:sz w:val="24"/>
          <w:szCs w:val="24"/>
          <w:lang w:val="en-GB"/>
        </w:rPr>
        <w:t>,</w:t>
      </w:r>
      <w:r w:rsidR="00A2591F" w:rsidRPr="00811277">
        <w:rPr>
          <w:rFonts w:ascii="Arial" w:eastAsia="Times New Roman" w:hAnsi="Arial" w:cs="Arial"/>
          <w:bCs/>
          <w:sz w:val="24"/>
          <w:szCs w:val="24"/>
          <w:lang w:val="en-GB"/>
        </w:rPr>
        <w:t xml:space="preserve"> and until it was reviewed and amended it surely remained a lawful fee that could be levied, as would any subsequent adjusted fee, until it was reviewed and amended.</w:t>
      </w:r>
    </w:p>
    <w:p w14:paraId="59D09E44" w14:textId="7666FCE9" w:rsidR="00E5637C" w:rsidRPr="00811277" w:rsidRDefault="00811277" w:rsidP="00811277">
      <w:pPr>
        <w:spacing w:line="360" w:lineRule="auto"/>
        <w:ind w:left="720" w:hanging="720"/>
        <w:jc w:val="both"/>
        <w:rPr>
          <w:rFonts w:ascii="Arial" w:eastAsia="Times New Roman" w:hAnsi="Arial" w:cs="Arial"/>
          <w:bCs/>
          <w:sz w:val="24"/>
          <w:szCs w:val="24"/>
          <w:lang w:val="en-GB"/>
        </w:rPr>
      </w:pPr>
      <w:r w:rsidRPr="00E5637C">
        <w:rPr>
          <w:rFonts w:ascii="Arial" w:eastAsia="Times New Roman" w:hAnsi="Arial" w:cs="Arial"/>
          <w:bCs/>
          <w:kern w:val="0"/>
          <w:sz w:val="24"/>
          <w:szCs w:val="24"/>
          <w:lang w:val="en-GB"/>
          <w14:ligatures w14:val="none"/>
        </w:rPr>
        <w:t>80.</w:t>
      </w:r>
      <w:r w:rsidRPr="00E5637C">
        <w:rPr>
          <w:rFonts w:ascii="Arial" w:eastAsia="Times New Roman" w:hAnsi="Arial" w:cs="Arial"/>
          <w:bCs/>
          <w:kern w:val="0"/>
          <w:sz w:val="24"/>
          <w:szCs w:val="24"/>
          <w:lang w:val="en-GB"/>
          <w14:ligatures w14:val="none"/>
        </w:rPr>
        <w:tab/>
      </w:r>
      <w:r w:rsidR="00A2591F" w:rsidRPr="00811277">
        <w:rPr>
          <w:rFonts w:ascii="Arial" w:eastAsia="Times New Roman" w:hAnsi="Arial" w:cs="Arial"/>
          <w:bCs/>
          <w:sz w:val="24"/>
          <w:szCs w:val="24"/>
          <w:lang w:val="en-GB"/>
        </w:rPr>
        <w:t xml:space="preserve">For the aforegoing reasons the decision of the </w:t>
      </w:r>
      <w:r w:rsidR="001024DE" w:rsidRPr="00811277">
        <w:rPr>
          <w:rFonts w:ascii="Arial" w:eastAsia="Times New Roman" w:hAnsi="Arial" w:cs="Arial"/>
          <w:bCs/>
          <w:sz w:val="24"/>
          <w:szCs w:val="24"/>
          <w:lang w:val="en-GB"/>
        </w:rPr>
        <w:t>C</w:t>
      </w:r>
      <w:r w:rsidR="00A2591F" w:rsidRPr="00811277">
        <w:rPr>
          <w:rFonts w:ascii="Arial" w:eastAsia="Times New Roman" w:hAnsi="Arial" w:cs="Arial"/>
          <w:bCs/>
          <w:sz w:val="24"/>
          <w:szCs w:val="24"/>
          <w:lang w:val="en-GB"/>
        </w:rPr>
        <w:t xml:space="preserve">ourt a </w:t>
      </w:r>
      <w:r w:rsidR="00A2591F" w:rsidRPr="00811277">
        <w:rPr>
          <w:rFonts w:ascii="Arial" w:eastAsia="Times New Roman" w:hAnsi="Arial" w:cs="Arial"/>
          <w:bCs/>
          <w:i/>
          <w:iCs/>
          <w:sz w:val="24"/>
          <w:szCs w:val="24"/>
          <w:lang w:val="en-GB"/>
        </w:rPr>
        <w:t>quo</w:t>
      </w:r>
      <w:r w:rsidR="00A2591F" w:rsidRPr="00811277">
        <w:rPr>
          <w:rFonts w:ascii="Arial" w:eastAsia="Times New Roman" w:hAnsi="Arial" w:cs="Arial"/>
          <w:bCs/>
          <w:sz w:val="24"/>
          <w:szCs w:val="24"/>
          <w:lang w:val="en-GB"/>
        </w:rPr>
        <w:t xml:space="preserve"> must be upheld.</w:t>
      </w:r>
      <w:r w:rsidR="00E5637C" w:rsidRPr="00811277">
        <w:rPr>
          <w:rFonts w:ascii="Arial" w:eastAsia="Times New Roman" w:hAnsi="Arial" w:cs="Arial"/>
          <w:bCs/>
          <w:sz w:val="24"/>
          <w:szCs w:val="24"/>
          <w:lang w:val="en-GB"/>
        </w:rPr>
        <w:t xml:space="preserve"> </w:t>
      </w:r>
      <w:r w:rsidR="00A2591F" w:rsidRPr="00811277">
        <w:rPr>
          <w:rFonts w:ascii="Arial" w:eastAsia="Times New Roman" w:hAnsi="Arial" w:cs="Arial"/>
          <w:bCs/>
          <w:sz w:val="24"/>
          <w:szCs w:val="24"/>
          <w:lang w:val="en-GB"/>
        </w:rPr>
        <w:t xml:space="preserve">In the result, I would make the following order: </w:t>
      </w:r>
    </w:p>
    <w:p w14:paraId="2139337D" w14:textId="28B24E50" w:rsidR="003D7E95" w:rsidRPr="00E5637C" w:rsidRDefault="00E5637C" w:rsidP="00E5637C">
      <w:pPr>
        <w:spacing w:line="360" w:lineRule="auto"/>
        <w:ind w:left="720"/>
        <w:jc w:val="both"/>
        <w:rPr>
          <w:rFonts w:ascii="Arial" w:eastAsia="Times New Roman" w:hAnsi="Arial" w:cs="Arial"/>
          <w:bCs/>
          <w:sz w:val="24"/>
          <w:szCs w:val="24"/>
          <w:lang w:val="en-GB"/>
        </w:rPr>
      </w:pPr>
      <w:r>
        <w:rPr>
          <w:rFonts w:ascii="Arial" w:eastAsia="Times New Roman" w:hAnsi="Arial" w:cs="Arial"/>
          <w:bCs/>
          <w:sz w:val="24"/>
          <w:szCs w:val="24"/>
          <w:lang w:val="en-ZA"/>
        </w:rPr>
        <w:t>T</w:t>
      </w:r>
      <w:r w:rsidR="00A2591F" w:rsidRPr="00E5637C">
        <w:rPr>
          <w:rFonts w:ascii="Arial" w:eastAsia="Times New Roman" w:hAnsi="Arial" w:cs="Arial"/>
          <w:bCs/>
          <w:sz w:val="24"/>
          <w:szCs w:val="24"/>
          <w:lang w:val="en-GB"/>
        </w:rPr>
        <w:t xml:space="preserve">he appeal is dismissed with costs, including the costs of </w:t>
      </w:r>
      <w:r>
        <w:rPr>
          <w:rFonts w:ascii="Arial" w:eastAsia="Times New Roman" w:hAnsi="Arial" w:cs="Arial"/>
          <w:bCs/>
          <w:sz w:val="24"/>
          <w:szCs w:val="24"/>
          <w:lang w:val="en-GB"/>
        </w:rPr>
        <w:t>two</w:t>
      </w:r>
      <w:r w:rsidR="00A2591F" w:rsidRPr="00E5637C">
        <w:rPr>
          <w:rFonts w:ascii="Arial" w:eastAsia="Times New Roman" w:hAnsi="Arial" w:cs="Arial"/>
          <w:bCs/>
          <w:sz w:val="24"/>
          <w:szCs w:val="24"/>
          <w:lang w:val="en-GB"/>
        </w:rPr>
        <w:t xml:space="preserve"> counsel</w:t>
      </w:r>
      <w:r>
        <w:rPr>
          <w:rFonts w:ascii="Arial" w:eastAsia="Times New Roman" w:hAnsi="Arial" w:cs="Arial"/>
          <w:bCs/>
          <w:sz w:val="24"/>
          <w:szCs w:val="24"/>
          <w:lang w:val="en-GB"/>
        </w:rPr>
        <w:t xml:space="preserve"> where so employed</w:t>
      </w:r>
      <w:r w:rsidR="00A2591F" w:rsidRPr="00E5637C">
        <w:rPr>
          <w:rFonts w:ascii="Arial" w:eastAsia="Times New Roman" w:hAnsi="Arial" w:cs="Arial"/>
          <w:bCs/>
          <w:sz w:val="24"/>
          <w:szCs w:val="24"/>
          <w:lang w:val="en-GB"/>
        </w:rPr>
        <w:t>.</w:t>
      </w:r>
      <w:r w:rsidR="00431F1B" w:rsidRPr="00E5637C">
        <w:rPr>
          <w:rFonts w:ascii="Arial" w:eastAsia="Times New Roman" w:hAnsi="Arial" w:cs="Arial"/>
          <w:bCs/>
          <w:sz w:val="24"/>
          <w:szCs w:val="24"/>
          <w:lang w:val="en-GB"/>
        </w:rPr>
        <w:t xml:space="preserve">   </w:t>
      </w:r>
      <w:r w:rsidR="004D2952" w:rsidRPr="00E5637C">
        <w:rPr>
          <w:rFonts w:ascii="Arial" w:eastAsia="Times New Roman" w:hAnsi="Arial" w:cs="Arial"/>
          <w:bCs/>
          <w:sz w:val="24"/>
          <w:szCs w:val="24"/>
          <w:lang w:val="en-GB"/>
        </w:rPr>
        <w:t xml:space="preserve"> </w:t>
      </w:r>
      <w:r w:rsidR="00254C20" w:rsidRPr="00E5637C">
        <w:rPr>
          <w:rFonts w:ascii="Arial" w:eastAsia="Times New Roman" w:hAnsi="Arial" w:cs="Arial"/>
          <w:bCs/>
          <w:sz w:val="24"/>
          <w:szCs w:val="24"/>
          <w:lang w:val="en-GB"/>
        </w:rPr>
        <w:t xml:space="preserve">   </w:t>
      </w:r>
      <w:r w:rsidR="00C45C2B" w:rsidRPr="00E5637C">
        <w:rPr>
          <w:rFonts w:ascii="Arial" w:eastAsia="Times New Roman" w:hAnsi="Arial" w:cs="Arial"/>
          <w:bCs/>
          <w:sz w:val="24"/>
          <w:szCs w:val="24"/>
          <w:lang w:val="en-GB"/>
        </w:rPr>
        <w:t xml:space="preserve">        </w:t>
      </w:r>
      <w:r w:rsidR="006E1082" w:rsidRPr="00E5637C">
        <w:rPr>
          <w:rFonts w:ascii="Arial" w:eastAsia="Times New Roman" w:hAnsi="Arial" w:cs="Arial"/>
          <w:bCs/>
          <w:sz w:val="24"/>
          <w:szCs w:val="24"/>
          <w:lang w:val="en-GB"/>
        </w:rPr>
        <w:t xml:space="preserve">      </w:t>
      </w:r>
      <w:r w:rsidR="00173B91" w:rsidRPr="00E5637C">
        <w:rPr>
          <w:rFonts w:ascii="Arial" w:eastAsia="Times New Roman" w:hAnsi="Arial" w:cs="Arial"/>
          <w:bCs/>
          <w:sz w:val="24"/>
          <w:szCs w:val="24"/>
          <w:lang w:val="en-GB"/>
        </w:rPr>
        <w:t xml:space="preserve">  </w:t>
      </w:r>
      <w:r w:rsidR="00B71546" w:rsidRPr="00E5637C">
        <w:rPr>
          <w:rFonts w:ascii="Arial" w:eastAsia="Times New Roman" w:hAnsi="Arial" w:cs="Arial"/>
          <w:bCs/>
          <w:sz w:val="24"/>
          <w:szCs w:val="24"/>
          <w:lang w:val="en-GB"/>
        </w:rPr>
        <w:t xml:space="preserve">    </w:t>
      </w:r>
      <w:r w:rsidR="00FC1449" w:rsidRPr="00E5637C">
        <w:rPr>
          <w:rFonts w:ascii="Arial" w:eastAsia="Times New Roman" w:hAnsi="Arial" w:cs="Arial"/>
          <w:bCs/>
          <w:sz w:val="24"/>
          <w:szCs w:val="24"/>
          <w:lang w:val="en-GB"/>
        </w:rPr>
        <w:t xml:space="preserve"> </w:t>
      </w:r>
      <w:r w:rsidR="00F94CA2" w:rsidRPr="00E5637C">
        <w:rPr>
          <w:rFonts w:ascii="Arial" w:eastAsia="Times New Roman" w:hAnsi="Arial" w:cs="Arial"/>
          <w:bCs/>
          <w:sz w:val="24"/>
          <w:szCs w:val="24"/>
          <w:lang w:val="en-GB"/>
        </w:rPr>
        <w:t xml:space="preserve"> </w:t>
      </w:r>
      <w:r w:rsidR="001436CD" w:rsidRPr="00E5637C">
        <w:rPr>
          <w:rFonts w:ascii="Arial" w:eastAsia="Times New Roman" w:hAnsi="Arial" w:cs="Arial"/>
          <w:bCs/>
          <w:sz w:val="24"/>
          <w:szCs w:val="24"/>
          <w:lang w:val="en-GB"/>
        </w:rPr>
        <w:t xml:space="preserve">  </w:t>
      </w:r>
      <w:r w:rsidR="00C66D99" w:rsidRPr="00E5637C">
        <w:rPr>
          <w:rFonts w:ascii="Arial" w:eastAsia="Times New Roman" w:hAnsi="Arial" w:cs="Arial"/>
          <w:bCs/>
          <w:sz w:val="24"/>
          <w:szCs w:val="24"/>
          <w:lang w:val="en-GB"/>
        </w:rPr>
        <w:t xml:space="preserve"> </w:t>
      </w:r>
    </w:p>
    <w:p w14:paraId="264EBDE4" w14:textId="77777777" w:rsidR="00333E14" w:rsidRDefault="00333E14" w:rsidP="00333E14">
      <w:pPr>
        <w:spacing w:line="360" w:lineRule="auto"/>
        <w:ind w:left="360"/>
        <w:jc w:val="center"/>
        <w:rPr>
          <w:rFonts w:ascii="Arial" w:eastAsia="Times New Roman" w:hAnsi="Arial" w:cs="Arial"/>
          <w:bCs/>
          <w:sz w:val="24"/>
          <w:szCs w:val="24"/>
          <w:lang w:val="en-GB"/>
        </w:rPr>
      </w:pPr>
    </w:p>
    <w:p w14:paraId="190E7D9F" w14:textId="77777777" w:rsidR="005926AB" w:rsidRDefault="005926AB" w:rsidP="00333E14">
      <w:pPr>
        <w:spacing w:line="360" w:lineRule="auto"/>
        <w:ind w:left="360"/>
        <w:jc w:val="center"/>
        <w:rPr>
          <w:rFonts w:ascii="Arial" w:eastAsia="Times New Roman" w:hAnsi="Arial" w:cs="Arial"/>
          <w:bCs/>
          <w:sz w:val="24"/>
          <w:szCs w:val="24"/>
          <w:lang w:val="en-GB"/>
        </w:rPr>
      </w:pPr>
    </w:p>
    <w:p w14:paraId="1E3FDCB5" w14:textId="77777777" w:rsidR="00B578BA" w:rsidRDefault="00B578BA" w:rsidP="00333E14">
      <w:pPr>
        <w:spacing w:line="360" w:lineRule="auto"/>
        <w:ind w:left="360"/>
        <w:jc w:val="center"/>
        <w:rPr>
          <w:rFonts w:ascii="Arial" w:eastAsia="Times New Roman" w:hAnsi="Arial" w:cs="Arial"/>
          <w:bCs/>
          <w:sz w:val="24"/>
          <w:szCs w:val="24"/>
          <w:lang w:val="en-GB"/>
        </w:rPr>
      </w:pPr>
    </w:p>
    <w:p w14:paraId="31FB3EBD" w14:textId="77777777" w:rsidR="00E5637C" w:rsidRDefault="00E5637C" w:rsidP="00333E14">
      <w:pPr>
        <w:spacing w:line="360" w:lineRule="auto"/>
        <w:ind w:left="360"/>
        <w:jc w:val="center"/>
        <w:rPr>
          <w:rFonts w:ascii="Arial" w:eastAsia="Times New Roman" w:hAnsi="Arial" w:cs="Arial"/>
          <w:bCs/>
          <w:sz w:val="24"/>
          <w:szCs w:val="24"/>
          <w:lang w:val="en-GB"/>
        </w:rPr>
      </w:pPr>
    </w:p>
    <w:p w14:paraId="11143C48" w14:textId="77777777" w:rsidR="00E5637C" w:rsidRDefault="00E5637C" w:rsidP="00333E14">
      <w:pPr>
        <w:spacing w:line="360" w:lineRule="auto"/>
        <w:ind w:left="360"/>
        <w:jc w:val="center"/>
        <w:rPr>
          <w:rFonts w:ascii="Arial" w:eastAsia="Times New Roman" w:hAnsi="Arial" w:cs="Arial"/>
          <w:bCs/>
          <w:sz w:val="24"/>
          <w:szCs w:val="24"/>
          <w:lang w:val="en-GB"/>
        </w:rPr>
      </w:pPr>
    </w:p>
    <w:p w14:paraId="01382F04" w14:textId="39D685A9" w:rsidR="00E5637C" w:rsidRPr="002574DB" w:rsidRDefault="00E5637C" w:rsidP="00333E14">
      <w:pPr>
        <w:spacing w:line="360" w:lineRule="auto"/>
        <w:ind w:left="360"/>
        <w:jc w:val="center"/>
        <w:rPr>
          <w:rFonts w:ascii="Arial" w:eastAsia="Times New Roman" w:hAnsi="Arial" w:cs="Arial"/>
          <w:b/>
          <w:sz w:val="24"/>
          <w:szCs w:val="24"/>
          <w:lang w:val="en-GB"/>
        </w:rPr>
      </w:pP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t xml:space="preserve">    </w:t>
      </w:r>
      <w:r w:rsidRPr="002574DB">
        <w:rPr>
          <w:rFonts w:ascii="Arial" w:eastAsia="Times New Roman" w:hAnsi="Arial" w:cs="Arial"/>
          <w:b/>
          <w:sz w:val="24"/>
          <w:szCs w:val="24"/>
          <w:lang w:val="en-GB"/>
        </w:rPr>
        <w:t>M SHER</w:t>
      </w:r>
    </w:p>
    <w:p w14:paraId="372E9725" w14:textId="77777777" w:rsidR="002574DB" w:rsidRDefault="00E5637C" w:rsidP="00333E14">
      <w:pPr>
        <w:spacing w:line="360" w:lineRule="auto"/>
        <w:ind w:left="360"/>
        <w:jc w:val="center"/>
        <w:rPr>
          <w:rFonts w:ascii="Arial" w:eastAsia="Times New Roman" w:hAnsi="Arial" w:cs="Arial"/>
          <w:b/>
          <w:sz w:val="24"/>
          <w:szCs w:val="24"/>
          <w:lang w:val="en-GB"/>
        </w:rPr>
      </w:pPr>
      <w:r w:rsidRPr="002574DB">
        <w:rPr>
          <w:rFonts w:ascii="Arial" w:eastAsia="Times New Roman" w:hAnsi="Arial" w:cs="Arial"/>
          <w:b/>
          <w:sz w:val="24"/>
          <w:szCs w:val="24"/>
          <w:lang w:val="en-GB"/>
        </w:rPr>
        <w:tab/>
      </w:r>
      <w:r w:rsidRPr="002574DB">
        <w:rPr>
          <w:rFonts w:ascii="Arial" w:eastAsia="Times New Roman" w:hAnsi="Arial" w:cs="Arial"/>
          <w:b/>
          <w:sz w:val="24"/>
          <w:szCs w:val="24"/>
          <w:lang w:val="en-GB"/>
        </w:rPr>
        <w:tab/>
      </w:r>
      <w:r w:rsidRPr="002574DB">
        <w:rPr>
          <w:rFonts w:ascii="Arial" w:eastAsia="Times New Roman" w:hAnsi="Arial" w:cs="Arial"/>
          <w:b/>
          <w:sz w:val="24"/>
          <w:szCs w:val="24"/>
          <w:lang w:val="en-GB"/>
        </w:rPr>
        <w:tab/>
      </w:r>
      <w:r w:rsidRPr="002574DB">
        <w:rPr>
          <w:rFonts w:ascii="Arial" w:eastAsia="Times New Roman" w:hAnsi="Arial" w:cs="Arial"/>
          <w:b/>
          <w:sz w:val="24"/>
          <w:szCs w:val="24"/>
          <w:lang w:val="en-GB"/>
        </w:rPr>
        <w:tab/>
      </w:r>
      <w:r w:rsidRPr="002574DB">
        <w:rPr>
          <w:rFonts w:ascii="Arial" w:eastAsia="Times New Roman" w:hAnsi="Arial" w:cs="Arial"/>
          <w:b/>
          <w:sz w:val="24"/>
          <w:szCs w:val="24"/>
          <w:lang w:val="en-GB"/>
        </w:rPr>
        <w:tab/>
      </w:r>
      <w:r w:rsidRPr="002574DB">
        <w:rPr>
          <w:rFonts w:ascii="Arial" w:eastAsia="Times New Roman" w:hAnsi="Arial" w:cs="Arial"/>
          <w:b/>
          <w:sz w:val="24"/>
          <w:szCs w:val="24"/>
          <w:lang w:val="en-GB"/>
        </w:rPr>
        <w:tab/>
      </w:r>
      <w:r w:rsidRPr="002574DB">
        <w:rPr>
          <w:rFonts w:ascii="Arial" w:eastAsia="Times New Roman" w:hAnsi="Arial" w:cs="Arial"/>
          <w:b/>
          <w:sz w:val="24"/>
          <w:szCs w:val="24"/>
          <w:lang w:val="en-GB"/>
        </w:rPr>
        <w:tab/>
        <w:t>Judge of the High Court</w:t>
      </w:r>
    </w:p>
    <w:p w14:paraId="0BDCD277" w14:textId="77777777" w:rsidR="002574DB" w:rsidRDefault="002574DB" w:rsidP="00333E14">
      <w:pPr>
        <w:spacing w:line="360" w:lineRule="auto"/>
        <w:ind w:left="360"/>
        <w:jc w:val="center"/>
        <w:rPr>
          <w:rFonts w:ascii="Arial" w:eastAsia="Times New Roman" w:hAnsi="Arial" w:cs="Arial"/>
          <w:b/>
          <w:sz w:val="24"/>
          <w:szCs w:val="24"/>
          <w:lang w:val="en-GB"/>
        </w:rPr>
      </w:pPr>
    </w:p>
    <w:p w14:paraId="129B261E" w14:textId="77777777" w:rsidR="002574DB" w:rsidRDefault="002574DB" w:rsidP="002574DB">
      <w:pPr>
        <w:spacing w:line="360" w:lineRule="auto"/>
        <w:ind w:left="360"/>
        <w:rPr>
          <w:rFonts w:ascii="Arial" w:eastAsia="Times New Roman" w:hAnsi="Arial" w:cs="Arial"/>
          <w:b/>
          <w:sz w:val="24"/>
          <w:szCs w:val="24"/>
          <w:lang w:val="en-GB"/>
        </w:rPr>
      </w:pPr>
      <w:r w:rsidRPr="002574DB">
        <w:rPr>
          <w:rFonts w:ascii="Arial" w:eastAsia="Times New Roman" w:hAnsi="Arial" w:cs="Arial"/>
          <w:bCs/>
          <w:sz w:val="24"/>
          <w:szCs w:val="24"/>
          <w:lang w:val="en-GB"/>
        </w:rPr>
        <w:t>I agree, and it is so ordered</w:t>
      </w:r>
      <w:r>
        <w:rPr>
          <w:rFonts w:ascii="Arial" w:eastAsia="Times New Roman" w:hAnsi="Arial" w:cs="Arial"/>
          <w:b/>
          <w:sz w:val="24"/>
          <w:szCs w:val="24"/>
          <w:lang w:val="en-GB"/>
        </w:rPr>
        <w:t>.</w:t>
      </w:r>
    </w:p>
    <w:p w14:paraId="11436BA7" w14:textId="77777777" w:rsidR="002574DB" w:rsidRDefault="002574DB" w:rsidP="002574DB">
      <w:pPr>
        <w:spacing w:line="360" w:lineRule="auto"/>
        <w:ind w:left="360"/>
        <w:rPr>
          <w:rFonts w:ascii="Arial" w:eastAsia="Times New Roman" w:hAnsi="Arial" w:cs="Arial"/>
          <w:bCs/>
          <w:sz w:val="24"/>
          <w:szCs w:val="24"/>
          <w:lang w:val="en-GB"/>
        </w:rPr>
      </w:pPr>
    </w:p>
    <w:p w14:paraId="3CF473B9" w14:textId="77777777" w:rsidR="002574DB" w:rsidRDefault="002574DB" w:rsidP="002574DB">
      <w:pPr>
        <w:spacing w:line="360" w:lineRule="auto"/>
        <w:ind w:left="360"/>
        <w:rPr>
          <w:rFonts w:ascii="Arial" w:eastAsia="Times New Roman" w:hAnsi="Arial" w:cs="Arial"/>
          <w:bCs/>
          <w:sz w:val="24"/>
          <w:szCs w:val="24"/>
          <w:lang w:val="en-GB"/>
        </w:rPr>
      </w:pPr>
    </w:p>
    <w:p w14:paraId="66E611DD" w14:textId="77777777" w:rsidR="005926AB" w:rsidRDefault="005926AB" w:rsidP="002574DB">
      <w:pPr>
        <w:spacing w:line="360" w:lineRule="auto"/>
        <w:ind w:left="360"/>
        <w:rPr>
          <w:rFonts w:ascii="Arial" w:eastAsia="Times New Roman" w:hAnsi="Arial" w:cs="Arial"/>
          <w:bCs/>
          <w:sz w:val="24"/>
          <w:szCs w:val="24"/>
          <w:lang w:val="en-GB"/>
        </w:rPr>
      </w:pPr>
    </w:p>
    <w:p w14:paraId="1EFAC0FA" w14:textId="77777777" w:rsidR="002574DB" w:rsidRDefault="002574DB" w:rsidP="002574DB">
      <w:pPr>
        <w:spacing w:line="360" w:lineRule="auto"/>
        <w:ind w:left="360"/>
        <w:rPr>
          <w:rFonts w:ascii="Arial" w:eastAsia="Times New Roman" w:hAnsi="Arial" w:cs="Arial"/>
          <w:bCs/>
          <w:sz w:val="24"/>
          <w:szCs w:val="24"/>
          <w:lang w:val="en-GB"/>
        </w:rPr>
      </w:pPr>
    </w:p>
    <w:p w14:paraId="0C92DBB7" w14:textId="5D00B07C" w:rsidR="00E5637C" w:rsidRPr="002574DB" w:rsidRDefault="002574DB" w:rsidP="002574DB">
      <w:pPr>
        <w:spacing w:line="360" w:lineRule="auto"/>
        <w:ind w:left="360"/>
        <w:rPr>
          <w:rFonts w:ascii="Arial" w:eastAsia="Times New Roman" w:hAnsi="Arial" w:cs="Arial"/>
          <w:b/>
          <w:sz w:val="24"/>
          <w:szCs w:val="24"/>
          <w:lang w:val="en-GB"/>
        </w:rPr>
      </w:pP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r>
      <w:r w:rsidRPr="002574DB">
        <w:rPr>
          <w:rFonts w:ascii="Arial" w:eastAsia="Times New Roman" w:hAnsi="Arial" w:cs="Arial"/>
          <w:b/>
          <w:sz w:val="24"/>
          <w:szCs w:val="24"/>
          <w:lang w:val="en-GB"/>
        </w:rPr>
        <w:t>C FORTUIN</w:t>
      </w:r>
      <w:r w:rsidR="00E5637C" w:rsidRPr="002574DB">
        <w:rPr>
          <w:rFonts w:ascii="Arial" w:eastAsia="Times New Roman" w:hAnsi="Arial" w:cs="Arial"/>
          <w:b/>
          <w:sz w:val="24"/>
          <w:szCs w:val="24"/>
          <w:lang w:val="en-GB"/>
        </w:rPr>
        <w:tab/>
      </w:r>
    </w:p>
    <w:p w14:paraId="20249E9B" w14:textId="57E22B18" w:rsidR="00E5637C" w:rsidRDefault="002574DB" w:rsidP="00333E14">
      <w:pPr>
        <w:spacing w:line="360" w:lineRule="auto"/>
        <w:ind w:left="360"/>
        <w:jc w:val="center"/>
        <w:rPr>
          <w:rFonts w:ascii="Arial" w:eastAsia="Times New Roman" w:hAnsi="Arial" w:cs="Arial"/>
          <w:b/>
          <w:sz w:val="24"/>
          <w:szCs w:val="24"/>
          <w:lang w:val="en-GB"/>
        </w:rPr>
      </w:pPr>
      <w:r>
        <w:rPr>
          <w:rFonts w:ascii="Arial" w:eastAsia="Times New Roman" w:hAnsi="Arial" w:cs="Arial"/>
          <w:bCs/>
          <w:sz w:val="24"/>
          <w:szCs w:val="24"/>
          <w:lang w:val="en-GB"/>
        </w:rPr>
        <w:t xml:space="preserve">             </w:t>
      </w: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r>
      <w:r>
        <w:rPr>
          <w:rFonts w:ascii="Arial" w:eastAsia="Times New Roman" w:hAnsi="Arial" w:cs="Arial"/>
          <w:bCs/>
          <w:sz w:val="24"/>
          <w:szCs w:val="24"/>
          <w:lang w:val="en-GB"/>
        </w:rPr>
        <w:tab/>
      </w:r>
      <w:r w:rsidRPr="002574DB">
        <w:rPr>
          <w:rFonts w:ascii="Arial" w:eastAsia="Times New Roman" w:hAnsi="Arial" w:cs="Arial"/>
          <w:b/>
          <w:sz w:val="24"/>
          <w:szCs w:val="24"/>
          <w:lang w:val="en-GB"/>
        </w:rPr>
        <w:t>Judge of the High Court</w:t>
      </w:r>
    </w:p>
    <w:p w14:paraId="736B2950" w14:textId="77777777" w:rsidR="002574DB" w:rsidRDefault="002574DB" w:rsidP="00333E14">
      <w:pPr>
        <w:spacing w:line="360" w:lineRule="auto"/>
        <w:ind w:left="360"/>
        <w:jc w:val="center"/>
        <w:rPr>
          <w:rFonts w:ascii="Arial" w:eastAsia="Times New Roman" w:hAnsi="Arial" w:cs="Arial"/>
          <w:b/>
          <w:sz w:val="24"/>
          <w:szCs w:val="24"/>
          <w:lang w:val="en-GB"/>
        </w:rPr>
      </w:pPr>
    </w:p>
    <w:p w14:paraId="18E48EF3" w14:textId="70643CF4" w:rsidR="002574DB" w:rsidRPr="002574DB" w:rsidRDefault="002574DB" w:rsidP="002574DB">
      <w:pPr>
        <w:spacing w:line="360" w:lineRule="auto"/>
        <w:ind w:left="360"/>
        <w:rPr>
          <w:rFonts w:ascii="Arial" w:eastAsia="Times New Roman" w:hAnsi="Arial" w:cs="Arial"/>
          <w:bCs/>
          <w:sz w:val="24"/>
          <w:szCs w:val="24"/>
          <w:lang w:val="en-GB"/>
        </w:rPr>
      </w:pPr>
      <w:r>
        <w:rPr>
          <w:rFonts w:ascii="Arial" w:eastAsia="Times New Roman" w:hAnsi="Arial" w:cs="Arial"/>
          <w:bCs/>
          <w:sz w:val="24"/>
          <w:szCs w:val="24"/>
          <w:lang w:val="en-GB"/>
        </w:rPr>
        <w:t>I agree.</w:t>
      </w:r>
    </w:p>
    <w:p w14:paraId="00E3816D" w14:textId="77777777" w:rsidR="002574DB" w:rsidRDefault="002574DB" w:rsidP="00333E14">
      <w:pPr>
        <w:spacing w:line="360" w:lineRule="auto"/>
        <w:ind w:left="360"/>
        <w:jc w:val="center"/>
        <w:rPr>
          <w:rFonts w:ascii="Arial" w:eastAsia="Times New Roman" w:hAnsi="Arial" w:cs="Arial"/>
          <w:b/>
          <w:sz w:val="24"/>
          <w:szCs w:val="24"/>
          <w:lang w:val="en-GB"/>
        </w:rPr>
      </w:pPr>
    </w:p>
    <w:p w14:paraId="19383029" w14:textId="77777777" w:rsidR="002574DB" w:rsidRDefault="002574DB" w:rsidP="00333E14">
      <w:pPr>
        <w:spacing w:line="360" w:lineRule="auto"/>
        <w:ind w:left="360"/>
        <w:jc w:val="center"/>
        <w:rPr>
          <w:rFonts w:ascii="Arial" w:eastAsia="Times New Roman" w:hAnsi="Arial" w:cs="Arial"/>
          <w:b/>
          <w:sz w:val="24"/>
          <w:szCs w:val="24"/>
          <w:lang w:val="en-GB"/>
        </w:rPr>
      </w:pPr>
    </w:p>
    <w:p w14:paraId="59400BC3" w14:textId="77777777" w:rsidR="002574DB" w:rsidRDefault="002574DB" w:rsidP="00333E14">
      <w:pPr>
        <w:spacing w:line="360" w:lineRule="auto"/>
        <w:ind w:left="360"/>
        <w:jc w:val="center"/>
        <w:rPr>
          <w:rFonts w:ascii="Arial" w:eastAsia="Times New Roman" w:hAnsi="Arial" w:cs="Arial"/>
          <w:b/>
          <w:sz w:val="24"/>
          <w:szCs w:val="24"/>
          <w:lang w:val="en-GB"/>
        </w:rPr>
      </w:pPr>
    </w:p>
    <w:p w14:paraId="4CD89FF6" w14:textId="77777777" w:rsidR="002574DB" w:rsidRDefault="002574DB" w:rsidP="00333E14">
      <w:pPr>
        <w:spacing w:line="360" w:lineRule="auto"/>
        <w:ind w:left="360"/>
        <w:jc w:val="center"/>
        <w:rPr>
          <w:rFonts w:ascii="Arial" w:eastAsia="Times New Roman" w:hAnsi="Arial" w:cs="Arial"/>
          <w:b/>
          <w:sz w:val="24"/>
          <w:szCs w:val="24"/>
          <w:lang w:val="en-GB"/>
        </w:rPr>
      </w:pPr>
    </w:p>
    <w:p w14:paraId="7A2FD2E5" w14:textId="134CB5B4" w:rsidR="002574DB" w:rsidRDefault="002574DB" w:rsidP="00333E14">
      <w:pPr>
        <w:spacing w:line="360" w:lineRule="auto"/>
        <w:ind w:left="360"/>
        <w:jc w:val="center"/>
        <w:rPr>
          <w:rFonts w:ascii="Arial" w:eastAsia="Times New Roman" w:hAnsi="Arial" w:cs="Arial"/>
          <w:b/>
          <w:sz w:val="24"/>
          <w:szCs w:val="24"/>
          <w:lang w:val="en-GB"/>
        </w:rPr>
      </w:pPr>
      <w:r>
        <w:rPr>
          <w:rFonts w:ascii="Arial" w:eastAsia="Times New Roman" w:hAnsi="Arial" w:cs="Arial"/>
          <w:b/>
          <w:sz w:val="24"/>
          <w:szCs w:val="24"/>
          <w:lang w:val="en-GB"/>
        </w:rPr>
        <w:tab/>
      </w:r>
      <w:r>
        <w:rPr>
          <w:rFonts w:ascii="Arial" w:eastAsia="Times New Roman" w:hAnsi="Arial" w:cs="Arial"/>
          <w:b/>
          <w:sz w:val="24"/>
          <w:szCs w:val="24"/>
          <w:lang w:val="en-GB"/>
        </w:rPr>
        <w:tab/>
      </w:r>
      <w:r>
        <w:rPr>
          <w:rFonts w:ascii="Arial" w:eastAsia="Times New Roman" w:hAnsi="Arial" w:cs="Arial"/>
          <w:b/>
          <w:sz w:val="24"/>
          <w:szCs w:val="24"/>
          <w:lang w:val="en-GB"/>
        </w:rPr>
        <w:tab/>
      </w:r>
      <w:r>
        <w:rPr>
          <w:rFonts w:ascii="Arial" w:eastAsia="Times New Roman" w:hAnsi="Arial" w:cs="Arial"/>
          <w:b/>
          <w:sz w:val="24"/>
          <w:szCs w:val="24"/>
          <w:lang w:val="en-GB"/>
        </w:rPr>
        <w:tab/>
        <w:t>B MANTAME</w:t>
      </w:r>
    </w:p>
    <w:p w14:paraId="61C8EDBE" w14:textId="425C5556" w:rsidR="002574DB" w:rsidRDefault="002574DB" w:rsidP="002574DB">
      <w:pPr>
        <w:spacing w:line="360" w:lineRule="auto"/>
        <w:ind w:left="360"/>
        <w:jc w:val="center"/>
        <w:rPr>
          <w:rFonts w:ascii="Arial" w:eastAsia="Times New Roman" w:hAnsi="Arial" w:cs="Arial"/>
          <w:b/>
          <w:sz w:val="24"/>
          <w:szCs w:val="24"/>
          <w:lang w:val="en-GB"/>
        </w:rPr>
      </w:pPr>
      <w:r>
        <w:rPr>
          <w:rFonts w:ascii="Arial" w:eastAsia="Times New Roman" w:hAnsi="Arial" w:cs="Arial"/>
          <w:b/>
          <w:sz w:val="24"/>
          <w:szCs w:val="24"/>
          <w:lang w:val="en-GB"/>
        </w:rPr>
        <w:tab/>
      </w:r>
      <w:r>
        <w:rPr>
          <w:rFonts w:ascii="Arial" w:eastAsia="Times New Roman" w:hAnsi="Arial" w:cs="Arial"/>
          <w:b/>
          <w:sz w:val="24"/>
          <w:szCs w:val="24"/>
          <w:lang w:val="en-GB"/>
        </w:rPr>
        <w:tab/>
      </w:r>
      <w:r>
        <w:rPr>
          <w:rFonts w:ascii="Arial" w:eastAsia="Times New Roman" w:hAnsi="Arial" w:cs="Arial"/>
          <w:b/>
          <w:sz w:val="24"/>
          <w:szCs w:val="24"/>
          <w:lang w:val="en-GB"/>
        </w:rPr>
        <w:tab/>
      </w:r>
      <w:r>
        <w:rPr>
          <w:rFonts w:ascii="Arial" w:eastAsia="Times New Roman" w:hAnsi="Arial" w:cs="Arial"/>
          <w:b/>
          <w:sz w:val="24"/>
          <w:szCs w:val="24"/>
          <w:lang w:val="en-GB"/>
        </w:rPr>
        <w:tab/>
      </w:r>
      <w:r>
        <w:rPr>
          <w:rFonts w:ascii="Arial" w:eastAsia="Times New Roman" w:hAnsi="Arial" w:cs="Arial"/>
          <w:b/>
          <w:sz w:val="24"/>
          <w:szCs w:val="24"/>
          <w:lang w:val="en-GB"/>
        </w:rPr>
        <w:tab/>
      </w:r>
      <w:r>
        <w:rPr>
          <w:rFonts w:ascii="Arial" w:eastAsia="Times New Roman" w:hAnsi="Arial" w:cs="Arial"/>
          <w:b/>
          <w:sz w:val="24"/>
          <w:szCs w:val="24"/>
          <w:lang w:val="en-GB"/>
        </w:rPr>
        <w:tab/>
      </w:r>
      <w:r w:rsidRPr="002574DB">
        <w:rPr>
          <w:rFonts w:ascii="Arial" w:eastAsia="Times New Roman" w:hAnsi="Arial" w:cs="Arial"/>
          <w:b/>
          <w:sz w:val="24"/>
          <w:szCs w:val="24"/>
          <w:lang w:val="en-GB"/>
        </w:rPr>
        <w:t>Judge of the High Court</w:t>
      </w:r>
    </w:p>
    <w:p w14:paraId="0DEE464D" w14:textId="77777777" w:rsidR="000D4DBA" w:rsidRDefault="000D4DBA" w:rsidP="002574DB">
      <w:pPr>
        <w:spacing w:line="360" w:lineRule="auto"/>
        <w:ind w:left="360"/>
        <w:jc w:val="center"/>
        <w:rPr>
          <w:rFonts w:ascii="Arial" w:eastAsia="Times New Roman" w:hAnsi="Arial" w:cs="Arial"/>
          <w:b/>
          <w:sz w:val="24"/>
          <w:szCs w:val="24"/>
          <w:lang w:val="en-GB"/>
        </w:rPr>
      </w:pPr>
    </w:p>
    <w:p w14:paraId="2CCB4F04" w14:textId="77777777" w:rsidR="00EF02D2" w:rsidRDefault="00EF02D2" w:rsidP="00C14221">
      <w:pPr>
        <w:spacing w:after="0"/>
        <w:rPr>
          <w:rFonts w:ascii="Arial" w:hAnsi="Arial" w:cs="Arial"/>
          <w:b/>
          <w:bCs/>
          <w:sz w:val="20"/>
          <w:szCs w:val="20"/>
          <w:u w:val="single"/>
        </w:rPr>
      </w:pPr>
    </w:p>
    <w:p w14:paraId="02CEBB67" w14:textId="5E52E295" w:rsidR="00C14221" w:rsidRPr="00C14221" w:rsidRDefault="00C14221" w:rsidP="00C14221">
      <w:pPr>
        <w:spacing w:after="0"/>
        <w:rPr>
          <w:rFonts w:ascii="Arial" w:hAnsi="Arial" w:cs="Arial"/>
          <w:sz w:val="20"/>
          <w:szCs w:val="20"/>
          <w:u w:val="single"/>
        </w:rPr>
      </w:pPr>
      <w:r w:rsidRPr="00C14221">
        <w:rPr>
          <w:rFonts w:ascii="Arial" w:hAnsi="Arial" w:cs="Arial"/>
          <w:b/>
          <w:bCs/>
          <w:sz w:val="20"/>
          <w:szCs w:val="20"/>
          <w:u w:val="single"/>
        </w:rPr>
        <w:t>Appearances</w:t>
      </w:r>
      <w:r w:rsidRPr="00C14221">
        <w:rPr>
          <w:rFonts w:ascii="Arial" w:hAnsi="Arial" w:cs="Arial"/>
          <w:sz w:val="20"/>
          <w:szCs w:val="20"/>
          <w:u w:val="single"/>
        </w:rPr>
        <w:t xml:space="preserve">: </w:t>
      </w:r>
    </w:p>
    <w:p w14:paraId="3A1F1011" w14:textId="77777777" w:rsidR="00C14221" w:rsidRPr="00C14221" w:rsidRDefault="00C14221" w:rsidP="00C14221">
      <w:pPr>
        <w:spacing w:after="0"/>
        <w:rPr>
          <w:rFonts w:ascii="Arial" w:hAnsi="Arial" w:cs="Arial"/>
          <w:sz w:val="20"/>
          <w:szCs w:val="20"/>
          <w:u w:val="single"/>
        </w:rPr>
      </w:pPr>
    </w:p>
    <w:p w14:paraId="4FF8065B" w14:textId="1BAA3BC7" w:rsidR="00C14221" w:rsidRPr="00C14221" w:rsidRDefault="00C14221" w:rsidP="00C14221">
      <w:pPr>
        <w:spacing w:after="0"/>
        <w:rPr>
          <w:rFonts w:ascii="Arial" w:hAnsi="Arial" w:cs="Arial"/>
          <w:sz w:val="20"/>
          <w:szCs w:val="20"/>
        </w:rPr>
      </w:pPr>
      <w:r w:rsidRPr="00C14221">
        <w:rPr>
          <w:rFonts w:ascii="Arial" w:hAnsi="Arial" w:cs="Arial"/>
          <w:sz w:val="20"/>
          <w:szCs w:val="20"/>
        </w:rPr>
        <w:t>App</w:t>
      </w:r>
      <w:r>
        <w:rPr>
          <w:rFonts w:ascii="Arial" w:hAnsi="Arial" w:cs="Arial"/>
          <w:sz w:val="20"/>
          <w:szCs w:val="20"/>
        </w:rPr>
        <w:t>ell</w:t>
      </w:r>
      <w:r w:rsidRPr="00C14221">
        <w:rPr>
          <w:rFonts w:ascii="Arial" w:hAnsi="Arial" w:cs="Arial"/>
          <w:sz w:val="20"/>
          <w:szCs w:val="20"/>
        </w:rPr>
        <w:t xml:space="preserve">ant’s counsel: </w:t>
      </w:r>
      <w:r>
        <w:rPr>
          <w:rFonts w:ascii="Arial" w:hAnsi="Arial" w:cs="Arial"/>
          <w:sz w:val="20"/>
          <w:szCs w:val="20"/>
        </w:rPr>
        <w:t>B Stoop</w:t>
      </w:r>
      <w:r w:rsidRPr="00C14221">
        <w:rPr>
          <w:rFonts w:ascii="Arial" w:hAnsi="Arial" w:cs="Arial"/>
          <w:sz w:val="20"/>
          <w:szCs w:val="20"/>
        </w:rPr>
        <w:t xml:space="preserve"> SC </w:t>
      </w:r>
    </w:p>
    <w:p w14:paraId="7918A3C7" w14:textId="78A54163" w:rsidR="00C14221" w:rsidRPr="00C14221" w:rsidRDefault="00C14221" w:rsidP="00C14221">
      <w:pPr>
        <w:spacing w:after="0"/>
        <w:rPr>
          <w:rFonts w:ascii="Arial" w:hAnsi="Arial" w:cs="Arial"/>
          <w:sz w:val="20"/>
          <w:szCs w:val="20"/>
        </w:rPr>
      </w:pPr>
      <w:r w:rsidRPr="00C14221">
        <w:rPr>
          <w:rFonts w:ascii="Arial" w:hAnsi="Arial" w:cs="Arial"/>
          <w:sz w:val="20"/>
          <w:szCs w:val="20"/>
        </w:rPr>
        <w:t>App</w:t>
      </w:r>
      <w:r>
        <w:rPr>
          <w:rFonts w:ascii="Arial" w:hAnsi="Arial" w:cs="Arial"/>
          <w:sz w:val="20"/>
          <w:szCs w:val="20"/>
        </w:rPr>
        <w:t>ell</w:t>
      </w:r>
      <w:r w:rsidRPr="00C14221">
        <w:rPr>
          <w:rFonts w:ascii="Arial" w:hAnsi="Arial" w:cs="Arial"/>
          <w:sz w:val="20"/>
          <w:szCs w:val="20"/>
        </w:rPr>
        <w:t xml:space="preserve">ant’s attorneys: </w:t>
      </w:r>
      <w:r>
        <w:rPr>
          <w:rFonts w:ascii="Arial" w:hAnsi="Arial" w:cs="Arial"/>
          <w:sz w:val="20"/>
          <w:szCs w:val="20"/>
        </w:rPr>
        <w:t xml:space="preserve">Barnard Inc (Tshwane) c/o Kemp &amp; Nabal </w:t>
      </w:r>
      <w:r w:rsidRPr="00C14221">
        <w:rPr>
          <w:rFonts w:ascii="Arial" w:hAnsi="Arial" w:cs="Arial"/>
          <w:sz w:val="20"/>
          <w:szCs w:val="20"/>
        </w:rPr>
        <w:t>(</w:t>
      </w:r>
      <w:r>
        <w:rPr>
          <w:rFonts w:ascii="Arial" w:hAnsi="Arial" w:cs="Arial"/>
          <w:sz w:val="20"/>
          <w:szCs w:val="20"/>
        </w:rPr>
        <w:t>Tygervalley</w:t>
      </w:r>
      <w:r w:rsidRPr="00C14221">
        <w:rPr>
          <w:rFonts w:ascii="Arial" w:hAnsi="Arial" w:cs="Arial"/>
          <w:sz w:val="20"/>
          <w:szCs w:val="20"/>
        </w:rPr>
        <w:t>)</w:t>
      </w:r>
    </w:p>
    <w:p w14:paraId="41500E84" w14:textId="1AE5F354" w:rsidR="00C14221" w:rsidRPr="00C14221" w:rsidRDefault="00C14221" w:rsidP="00C14221">
      <w:pPr>
        <w:spacing w:after="0"/>
        <w:rPr>
          <w:rFonts w:ascii="Arial" w:hAnsi="Arial" w:cs="Arial"/>
          <w:sz w:val="20"/>
          <w:szCs w:val="20"/>
        </w:rPr>
      </w:pPr>
      <w:r w:rsidRPr="00C14221">
        <w:rPr>
          <w:rFonts w:ascii="Arial" w:hAnsi="Arial" w:cs="Arial"/>
          <w:sz w:val="20"/>
          <w:szCs w:val="20"/>
        </w:rPr>
        <w:t xml:space="preserve">Respondent’s counsel: </w:t>
      </w:r>
      <w:r>
        <w:rPr>
          <w:rFonts w:ascii="Arial" w:hAnsi="Arial" w:cs="Arial"/>
          <w:sz w:val="20"/>
          <w:szCs w:val="20"/>
        </w:rPr>
        <w:t>L Kelly</w:t>
      </w:r>
      <w:r w:rsidRPr="00C14221">
        <w:rPr>
          <w:rFonts w:ascii="Arial" w:hAnsi="Arial" w:cs="Arial"/>
          <w:sz w:val="20"/>
          <w:szCs w:val="20"/>
        </w:rPr>
        <w:t xml:space="preserve"> and </w:t>
      </w:r>
      <w:r>
        <w:rPr>
          <w:rFonts w:ascii="Arial" w:hAnsi="Arial" w:cs="Arial"/>
          <w:sz w:val="20"/>
          <w:szCs w:val="20"/>
        </w:rPr>
        <w:t>R Graham</w:t>
      </w:r>
    </w:p>
    <w:p w14:paraId="3749B64B" w14:textId="5B88468F" w:rsidR="00C14221" w:rsidRPr="00C14221" w:rsidRDefault="00C14221" w:rsidP="00C14221">
      <w:pPr>
        <w:rPr>
          <w:sz w:val="20"/>
          <w:szCs w:val="20"/>
        </w:rPr>
      </w:pPr>
      <w:r w:rsidRPr="00C14221">
        <w:rPr>
          <w:rFonts w:ascii="Arial" w:hAnsi="Arial" w:cs="Arial"/>
          <w:sz w:val="20"/>
          <w:szCs w:val="20"/>
        </w:rPr>
        <w:t>Respondent’s attorneys:</w:t>
      </w:r>
      <w:r>
        <w:rPr>
          <w:rFonts w:ascii="Arial" w:hAnsi="Arial" w:cs="Arial"/>
          <w:sz w:val="20"/>
          <w:szCs w:val="20"/>
        </w:rPr>
        <w:t xml:space="preserve"> Cliffe Dekker Hofmeyr Inc </w:t>
      </w:r>
      <w:r w:rsidRPr="00C14221">
        <w:rPr>
          <w:rFonts w:ascii="Arial" w:hAnsi="Arial" w:cs="Arial"/>
          <w:sz w:val="20"/>
          <w:szCs w:val="20"/>
        </w:rPr>
        <w:t xml:space="preserve">(Cape Town) </w:t>
      </w:r>
    </w:p>
    <w:p w14:paraId="1EBD57F6" w14:textId="77777777" w:rsidR="000D4DBA" w:rsidRDefault="000D4DBA" w:rsidP="000D4DBA">
      <w:pPr>
        <w:spacing w:line="360" w:lineRule="auto"/>
        <w:ind w:left="360"/>
        <w:rPr>
          <w:rFonts w:ascii="Arial" w:eastAsia="Times New Roman" w:hAnsi="Arial" w:cs="Arial"/>
          <w:b/>
          <w:sz w:val="24"/>
          <w:szCs w:val="24"/>
          <w:lang w:val="en-GB"/>
        </w:rPr>
      </w:pPr>
    </w:p>
    <w:p w14:paraId="19AA2266" w14:textId="74556C4F" w:rsidR="002574DB" w:rsidRDefault="002574DB" w:rsidP="00333E14">
      <w:pPr>
        <w:spacing w:line="360" w:lineRule="auto"/>
        <w:ind w:left="360"/>
        <w:jc w:val="center"/>
        <w:rPr>
          <w:rFonts w:ascii="Arial" w:eastAsia="Times New Roman" w:hAnsi="Arial" w:cs="Arial"/>
          <w:b/>
          <w:sz w:val="24"/>
          <w:szCs w:val="24"/>
          <w:lang w:val="en-GB"/>
        </w:rPr>
      </w:pPr>
    </w:p>
    <w:p w14:paraId="6C8C4793" w14:textId="77777777" w:rsidR="002574DB" w:rsidRDefault="002574DB" w:rsidP="00333E14">
      <w:pPr>
        <w:spacing w:line="360" w:lineRule="auto"/>
        <w:ind w:left="360"/>
        <w:jc w:val="center"/>
        <w:rPr>
          <w:rFonts w:ascii="Arial" w:eastAsia="Times New Roman" w:hAnsi="Arial" w:cs="Arial"/>
          <w:b/>
          <w:sz w:val="24"/>
          <w:szCs w:val="24"/>
          <w:lang w:val="en-GB"/>
        </w:rPr>
      </w:pPr>
    </w:p>
    <w:p w14:paraId="6B34901F" w14:textId="77777777" w:rsidR="002574DB" w:rsidRDefault="002574DB" w:rsidP="00333E14">
      <w:pPr>
        <w:spacing w:line="360" w:lineRule="auto"/>
        <w:ind w:left="360"/>
        <w:jc w:val="center"/>
        <w:rPr>
          <w:rFonts w:ascii="Arial" w:eastAsia="Times New Roman" w:hAnsi="Arial" w:cs="Arial"/>
          <w:b/>
          <w:sz w:val="24"/>
          <w:szCs w:val="24"/>
          <w:lang w:val="en-GB"/>
        </w:rPr>
      </w:pPr>
    </w:p>
    <w:p w14:paraId="79474BCD" w14:textId="77777777" w:rsidR="002574DB" w:rsidRDefault="002574DB" w:rsidP="00333E14">
      <w:pPr>
        <w:spacing w:line="360" w:lineRule="auto"/>
        <w:ind w:left="360"/>
        <w:jc w:val="center"/>
        <w:rPr>
          <w:rFonts w:ascii="Arial" w:eastAsia="Times New Roman" w:hAnsi="Arial" w:cs="Arial"/>
          <w:b/>
          <w:sz w:val="24"/>
          <w:szCs w:val="24"/>
          <w:lang w:val="en-GB"/>
        </w:rPr>
      </w:pPr>
    </w:p>
    <w:p w14:paraId="44A0BCFA" w14:textId="77777777" w:rsidR="002574DB" w:rsidRDefault="002574DB" w:rsidP="00333E14">
      <w:pPr>
        <w:spacing w:line="360" w:lineRule="auto"/>
        <w:ind w:left="360"/>
        <w:jc w:val="center"/>
        <w:rPr>
          <w:rFonts w:ascii="Arial" w:eastAsia="Times New Roman" w:hAnsi="Arial" w:cs="Arial"/>
          <w:b/>
          <w:sz w:val="24"/>
          <w:szCs w:val="24"/>
          <w:lang w:val="en-GB"/>
        </w:rPr>
      </w:pPr>
    </w:p>
    <w:p w14:paraId="43728668" w14:textId="77777777" w:rsidR="002574DB" w:rsidRPr="00F54BAB" w:rsidRDefault="002574DB" w:rsidP="00333E14">
      <w:pPr>
        <w:spacing w:line="360" w:lineRule="auto"/>
        <w:ind w:left="360"/>
        <w:jc w:val="center"/>
        <w:rPr>
          <w:rFonts w:ascii="Arial" w:eastAsia="Times New Roman" w:hAnsi="Arial" w:cs="Arial"/>
          <w:bCs/>
          <w:sz w:val="24"/>
          <w:szCs w:val="24"/>
          <w:lang w:val="en-GB"/>
        </w:rPr>
      </w:pPr>
    </w:p>
    <w:sectPr w:rsidR="002574DB" w:rsidRPr="00F54BAB" w:rsidSect="00272F7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164C3" w14:textId="77777777" w:rsidR="00D44D04" w:rsidRDefault="00D44D04" w:rsidP="00863757">
      <w:pPr>
        <w:spacing w:after="0" w:line="240" w:lineRule="auto"/>
      </w:pPr>
      <w:r>
        <w:separator/>
      </w:r>
    </w:p>
  </w:endnote>
  <w:endnote w:type="continuationSeparator" w:id="0">
    <w:p w14:paraId="15A01D9B" w14:textId="77777777" w:rsidR="00D44D04" w:rsidRDefault="00D44D04" w:rsidP="0086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8428F" w14:textId="77777777" w:rsidR="00D44D04" w:rsidRDefault="00D44D04" w:rsidP="00863757">
      <w:pPr>
        <w:spacing w:after="0" w:line="240" w:lineRule="auto"/>
      </w:pPr>
      <w:r>
        <w:separator/>
      </w:r>
    </w:p>
  </w:footnote>
  <w:footnote w:type="continuationSeparator" w:id="0">
    <w:p w14:paraId="1864A9B6" w14:textId="77777777" w:rsidR="00D44D04" w:rsidRDefault="00D44D04" w:rsidP="00863757">
      <w:pPr>
        <w:spacing w:after="0" w:line="240" w:lineRule="auto"/>
      </w:pPr>
      <w:r>
        <w:continuationSeparator/>
      </w:r>
    </w:p>
  </w:footnote>
  <w:footnote w:id="1">
    <w:p w14:paraId="48EB7ECA" w14:textId="255DB85E" w:rsidR="00F145E3" w:rsidRPr="00F145E3" w:rsidRDefault="00F145E3">
      <w:pPr>
        <w:pStyle w:val="FootnoteText"/>
        <w:rPr>
          <w:lang w:val="en-ZA"/>
        </w:rPr>
      </w:pPr>
      <w:r>
        <w:rPr>
          <w:rStyle w:val="FootnoteReference"/>
        </w:rPr>
        <w:footnoteRef/>
      </w:r>
      <w:r>
        <w:t xml:space="preserve"> </w:t>
      </w:r>
      <w:r w:rsidR="000D2B65">
        <w:t>R</w:t>
      </w:r>
      <w:r>
        <w:rPr>
          <w:lang w:val="en-ZA"/>
        </w:rPr>
        <w:t xml:space="preserve">eported </w:t>
      </w:r>
      <w:r w:rsidRPr="00F230EF">
        <w:rPr>
          <w:i/>
          <w:iCs/>
          <w:lang w:val="en-ZA"/>
        </w:rPr>
        <w:t>sub nom Recycling &amp; Development Initiative of SA v Tubestone (Pty) Ltd</w:t>
      </w:r>
      <w:r>
        <w:rPr>
          <w:lang w:val="en-ZA"/>
        </w:rPr>
        <w:t xml:space="preserve"> [2022] 1 ALL SA</w:t>
      </w:r>
      <w:r w:rsidR="00F230EF">
        <w:rPr>
          <w:lang w:val="en-ZA"/>
        </w:rPr>
        <w:t xml:space="preserve"> 774 (WCC)</w:t>
      </w:r>
      <w:r>
        <w:rPr>
          <w:lang w:val="en-ZA"/>
        </w:rPr>
        <w:t>.</w:t>
      </w:r>
    </w:p>
  </w:footnote>
  <w:footnote w:id="2">
    <w:p w14:paraId="7D70BFBD" w14:textId="0C417E4D" w:rsidR="00863757" w:rsidRDefault="00863757">
      <w:pPr>
        <w:pStyle w:val="FootnoteText"/>
      </w:pPr>
      <w:r>
        <w:rPr>
          <w:rStyle w:val="FootnoteReference"/>
        </w:rPr>
        <w:footnoteRef/>
      </w:r>
      <w:r>
        <w:t xml:space="preserve"> </w:t>
      </w:r>
      <w:r w:rsidR="00F230EF">
        <w:t>A</w:t>
      </w:r>
      <w:r>
        <w:t>ct 59 of 2008</w:t>
      </w:r>
      <w:r w:rsidR="008A5E33">
        <w:t>- the ‘Waste Act’</w:t>
      </w:r>
      <w:r>
        <w:t>.</w:t>
      </w:r>
    </w:p>
  </w:footnote>
  <w:footnote w:id="3">
    <w:p w14:paraId="136A56C8" w14:textId="2903EC7E" w:rsidR="00863757" w:rsidRDefault="00863757">
      <w:pPr>
        <w:pStyle w:val="FootnoteText"/>
      </w:pPr>
      <w:r>
        <w:rPr>
          <w:rStyle w:val="FootnoteReference"/>
        </w:rPr>
        <w:footnoteRef/>
      </w:r>
      <w:r>
        <w:t xml:space="preserve"> </w:t>
      </w:r>
      <w:r w:rsidR="00D83AFD">
        <w:t>The Regulations were p</w:t>
      </w:r>
      <w:r>
        <w:t xml:space="preserve">romulgated in terms of </w:t>
      </w:r>
      <w:r w:rsidR="00F230EF">
        <w:t>s</w:t>
      </w:r>
      <w:r>
        <w:t xml:space="preserve"> 24B of the </w:t>
      </w:r>
      <w:r w:rsidR="00F230EF">
        <w:t>E</w:t>
      </w:r>
      <w:r>
        <w:t xml:space="preserve">nvironment </w:t>
      </w:r>
      <w:r w:rsidR="00F230EF">
        <w:t>C</w:t>
      </w:r>
      <w:r>
        <w:t xml:space="preserve">onservation </w:t>
      </w:r>
      <w:r w:rsidR="00F230EF">
        <w:t>A</w:t>
      </w:r>
      <w:r>
        <w:t>ct 73 of 1989</w:t>
      </w:r>
      <w:r w:rsidR="00F230EF">
        <w:t>,</w:t>
      </w:r>
      <w:r>
        <w:t xml:space="preserve"> which </w:t>
      </w:r>
      <w:r w:rsidR="00D83AFD">
        <w:t xml:space="preserve">(save for the Regulations made under it), </w:t>
      </w:r>
      <w:r>
        <w:t xml:space="preserve">was repealed by the </w:t>
      </w:r>
      <w:r w:rsidR="00F230EF">
        <w:t>W</w:t>
      </w:r>
      <w:r>
        <w:t xml:space="preserve">aste </w:t>
      </w:r>
      <w:r w:rsidR="00F230EF">
        <w:t>A</w:t>
      </w:r>
      <w:r>
        <w:t>ct</w:t>
      </w:r>
      <w:r w:rsidR="00D83AFD">
        <w:t>,</w:t>
      </w:r>
      <w:r>
        <w:t xml:space="preserve"> with effect from 1 July 2009</w:t>
      </w:r>
      <w:r w:rsidR="00D83AFD">
        <w:t xml:space="preserve">. </w:t>
      </w:r>
    </w:p>
  </w:footnote>
  <w:footnote w:id="4">
    <w:p w14:paraId="05CC1286" w14:textId="64E37D5E" w:rsidR="00BE632E" w:rsidRDefault="00BE632E">
      <w:pPr>
        <w:pStyle w:val="FootnoteText"/>
      </w:pPr>
      <w:r>
        <w:rPr>
          <w:rStyle w:val="FootnoteReference"/>
        </w:rPr>
        <w:footnoteRef/>
      </w:r>
      <w:r>
        <w:t xml:space="preserve"> In terms of s 28(1) of the Waste Act</w:t>
      </w:r>
      <w:r w:rsidR="0020745E">
        <w:t xml:space="preserve"> a national waste management plan is required where waste affects more than one province</w:t>
      </w:r>
      <w:r w:rsidR="00A209B4">
        <w:t xml:space="preserve">. </w:t>
      </w:r>
    </w:p>
  </w:footnote>
  <w:footnote w:id="5">
    <w:p w14:paraId="22996B81" w14:textId="2DCD67AA" w:rsidR="001725E1" w:rsidRPr="001725E1" w:rsidRDefault="001725E1">
      <w:pPr>
        <w:pStyle w:val="FootnoteText"/>
        <w:rPr>
          <w:lang w:val="en-ZA"/>
        </w:rPr>
      </w:pPr>
      <w:r>
        <w:rPr>
          <w:rStyle w:val="FootnoteReference"/>
        </w:rPr>
        <w:footnoteRef/>
      </w:r>
      <w:r>
        <w:t xml:space="preserve"> </w:t>
      </w:r>
      <w:r w:rsidR="00884870">
        <w:t xml:space="preserve">As </w:t>
      </w:r>
      <w:r w:rsidR="00F63024">
        <w:t xml:space="preserve">the plan </w:t>
      </w:r>
      <w:r w:rsidR="00884870">
        <w:t xml:space="preserve">was held to be in </w:t>
      </w:r>
      <w:r w:rsidR="00301446" w:rsidRPr="00301446">
        <w:rPr>
          <w:i/>
          <w:iCs/>
          <w:lang w:val="en-ZA"/>
        </w:rPr>
        <w:t>Retail Industry Organization &amp; Ano v Minister of Water &amp; Environmental Affairs &amp; Ano</w:t>
      </w:r>
      <w:r w:rsidR="00301446">
        <w:rPr>
          <w:lang w:val="en-ZA"/>
        </w:rPr>
        <w:t xml:space="preserve"> 2014 (3) SA 251 (SCA) paras 29-30. </w:t>
      </w:r>
    </w:p>
  </w:footnote>
  <w:footnote w:id="6">
    <w:p w14:paraId="3DD5348E" w14:textId="165DDB4D" w:rsidR="002F5B7E" w:rsidRPr="002F5B7E" w:rsidRDefault="002F5B7E">
      <w:pPr>
        <w:pStyle w:val="FootnoteText"/>
        <w:rPr>
          <w:lang w:val="en-ZA"/>
        </w:rPr>
      </w:pPr>
      <w:r>
        <w:rPr>
          <w:rStyle w:val="FootnoteReference"/>
        </w:rPr>
        <w:footnoteRef/>
      </w:r>
      <w:r>
        <w:t xml:space="preserve"> </w:t>
      </w:r>
      <w:r>
        <w:rPr>
          <w:lang w:val="en-ZA"/>
        </w:rPr>
        <w:t>Clause 9.1.</w:t>
      </w:r>
    </w:p>
  </w:footnote>
  <w:footnote w:id="7">
    <w:p w14:paraId="32DC49AB" w14:textId="46520E72" w:rsidR="00E5147C" w:rsidRPr="00E5147C" w:rsidRDefault="00E5147C">
      <w:pPr>
        <w:pStyle w:val="FootnoteText"/>
        <w:rPr>
          <w:lang w:val="en-ZA"/>
        </w:rPr>
      </w:pPr>
      <w:r>
        <w:rPr>
          <w:rStyle w:val="FootnoteReference"/>
        </w:rPr>
        <w:footnoteRef/>
      </w:r>
      <w:r>
        <w:t xml:space="preserve"> </w:t>
      </w:r>
      <w:r>
        <w:rPr>
          <w:lang w:val="en-ZA"/>
        </w:rPr>
        <w:t>Annexure D.</w:t>
      </w:r>
    </w:p>
  </w:footnote>
  <w:footnote w:id="8">
    <w:p w14:paraId="50A14F35" w14:textId="7FA7D744" w:rsidR="008E6BB7" w:rsidRPr="008E6BB7" w:rsidRDefault="008E6BB7">
      <w:pPr>
        <w:pStyle w:val="FootnoteText"/>
        <w:rPr>
          <w:lang w:val="en-ZA"/>
        </w:rPr>
      </w:pPr>
      <w:r>
        <w:rPr>
          <w:rStyle w:val="FootnoteReference"/>
        </w:rPr>
        <w:footnoteRef/>
      </w:r>
      <w:r>
        <w:t xml:space="preserve"> </w:t>
      </w:r>
      <w:r>
        <w:rPr>
          <w:lang w:val="en-ZA"/>
        </w:rPr>
        <w:t>Clause 17.1.</w:t>
      </w:r>
    </w:p>
  </w:footnote>
  <w:footnote w:id="9">
    <w:p w14:paraId="467C76CB" w14:textId="5E747EBA" w:rsidR="00F47B0B" w:rsidRPr="00F47B0B" w:rsidRDefault="00F47B0B" w:rsidP="00F47B0B">
      <w:pPr>
        <w:pStyle w:val="FootnoteText"/>
        <w:rPr>
          <w:lang w:val="en-ZA"/>
        </w:rPr>
      </w:pPr>
      <w:r>
        <w:rPr>
          <w:rStyle w:val="FootnoteReference"/>
        </w:rPr>
        <w:footnoteRef/>
      </w:r>
      <w:r>
        <w:t xml:space="preserve"> </w:t>
      </w:r>
      <w:r w:rsidR="001B1D3F" w:rsidRPr="001B1D3F">
        <w:rPr>
          <w:i/>
          <w:iCs/>
        </w:rPr>
        <w:t>Vide</w:t>
      </w:r>
      <w:r w:rsidR="001B1D3F">
        <w:t xml:space="preserve"> the schematic above c</w:t>
      </w:r>
      <w:r>
        <w:rPr>
          <w:lang w:val="en-ZA"/>
        </w:rPr>
        <w:t>lause 25.1.</w:t>
      </w:r>
    </w:p>
  </w:footnote>
  <w:footnote w:id="10">
    <w:p w14:paraId="549D6896" w14:textId="2EF01FF8" w:rsidR="008E6BB7" w:rsidRPr="008E6BB7" w:rsidRDefault="008E6BB7">
      <w:pPr>
        <w:pStyle w:val="FootnoteText"/>
        <w:rPr>
          <w:lang w:val="en-ZA"/>
        </w:rPr>
      </w:pPr>
      <w:r>
        <w:rPr>
          <w:rStyle w:val="FootnoteReference"/>
        </w:rPr>
        <w:footnoteRef/>
      </w:r>
      <w:r w:rsidR="00AE0CAE">
        <w:rPr>
          <w:lang w:val="en-ZA"/>
        </w:rPr>
        <w:t xml:space="preserve"> </w:t>
      </w:r>
      <w:r>
        <w:rPr>
          <w:lang w:val="en-ZA"/>
        </w:rPr>
        <w:t>Clause 16.</w:t>
      </w:r>
    </w:p>
  </w:footnote>
  <w:footnote w:id="11">
    <w:p w14:paraId="6C9235CA" w14:textId="2048E567" w:rsidR="00F47B0B" w:rsidRPr="00F47B0B" w:rsidRDefault="00F47B0B">
      <w:pPr>
        <w:pStyle w:val="FootnoteText"/>
        <w:rPr>
          <w:lang w:val="en-ZA"/>
        </w:rPr>
      </w:pPr>
      <w:r>
        <w:rPr>
          <w:rStyle w:val="FootnoteReference"/>
        </w:rPr>
        <w:footnoteRef/>
      </w:r>
      <w:r>
        <w:t xml:space="preserve"> </w:t>
      </w:r>
      <w:r>
        <w:rPr>
          <w:lang w:val="en-ZA"/>
        </w:rPr>
        <w:t>Id.</w:t>
      </w:r>
    </w:p>
  </w:footnote>
  <w:footnote w:id="12">
    <w:p w14:paraId="0986B1D0" w14:textId="68C02F7B" w:rsidR="00076192" w:rsidRPr="00076192" w:rsidRDefault="00076192">
      <w:pPr>
        <w:pStyle w:val="FootnoteText"/>
        <w:rPr>
          <w:lang w:val="en-ZA"/>
        </w:rPr>
      </w:pPr>
      <w:r>
        <w:rPr>
          <w:rStyle w:val="FootnoteReference"/>
        </w:rPr>
        <w:footnoteRef/>
      </w:r>
      <w:r>
        <w:t xml:space="preserve"> </w:t>
      </w:r>
      <w:r>
        <w:rPr>
          <w:lang w:val="en-ZA"/>
        </w:rPr>
        <w:t>Clauses 17.1 and 25.1.</w:t>
      </w:r>
    </w:p>
  </w:footnote>
  <w:footnote w:id="13">
    <w:p w14:paraId="020E3B7E" w14:textId="3D50BC19" w:rsidR="0080487C" w:rsidRPr="0080487C" w:rsidRDefault="0080487C">
      <w:pPr>
        <w:pStyle w:val="FootnoteText"/>
        <w:rPr>
          <w:lang w:val="en-ZA"/>
        </w:rPr>
      </w:pPr>
      <w:r>
        <w:rPr>
          <w:rStyle w:val="FootnoteReference"/>
        </w:rPr>
        <w:footnoteRef/>
      </w:r>
      <w:r>
        <w:t xml:space="preserve"> </w:t>
      </w:r>
      <w:r>
        <w:rPr>
          <w:lang w:val="en-ZA"/>
        </w:rPr>
        <w:t>In annexure D.</w:t>
      </w:r>
    </w:p>
  </w:footnote>
  <w:footnote w:id="14">
    <w:p w14:paraId="656D3B2C" w14:textId="2A595896" w:rsidR="00DB369B" w:rsidRPr="00DB369B" w:rsidRDefault="00DB369B">
      <w:pPr>
        <w:pStyle w:val="FootnoteText"/>
        <w:rPr>
          <w:lang w:val="en-ZA"/>
        </w:rPr>
      </w:pPr>
      <w:r>
        <w:rPr>
          <w:rStyle w:val="FootnoteReference"/>
        </w:rPr>
        <w:footnoteRef/>
      </w:r>
      <w:r>
        <w:t xml:space="preserve"> </w:t>
      </w:r>
      <w:r>
        <w:rPr>
          <w:lang w:val="en-ZA"/>
        </w:rPr>
        <w:t xml:space="preserve">As set out in </w:t>
      </w:r>
      <w:r w:rsidRPr="00F230EF">
        <w:rPr>
          <w:i/>
          <w:iCs/>
          <w:lang w:val="en-ZA"/>
        </w:rPr>
        <w:t xml:space="preserve">Recycling &amp; Development Initiative of SA v </w:t>
      </w:r>
      <w:r>
        <w:rPr>
          <w:i/>
          <w:iCs/>
          <w:lang w:val="en-ZA"/>
        </w:rPr>
        <w:t>Minister of Environmental Affairs</w:t>
      </w:r>
      <w:r w:rsidRPr="00F230EF">
        <w:rPr>
          <w:i/>
          <w:iCs/>
          <w:lang w:val="en-ZA"/>
        </w:rPr>
        <w:t xml:space="preserve"> (Pty) Ltd</w:t>
      </w:r>
      <w:r>
        <w:rPr>
          <w:lang w:val="en-ZA"/>
        </w:rPr>
        <w:t xml:space="preserve"> 2019 (3) SA 251 (SCA) paras 16-44.</w:t>
      </w:r>
    </w:p>
  </w:footnote>
  <w:footnote w:id="15">
    <w:p w14:paraId="27E6E919" w14:textId="196C97A1" w:rsidR="0076063D" w:rsidRPr="0076063D" w:rsidRDefault="0076063D">
      <w:pPr>
        <w:pStyle w:val="FootnoteText"/>
        <w:rPr>
          <w:lang w:val="en-ZA"/>
        </w:rPr>
      </w:pPr>
      <w:r>
        <w:rPr>
          <w:rStyle w:val="FootnoteReference"/>
        </w:rPr>
        <w:footnoteRef/>
      </w:r>
      <w:r>
        <w:t xml:space="preserve"> </w:t>
      </w:r>
      <w:r>
        <w:rPr>
          <w:lang w:val="en-ZA"/>
        </w:rPr>
        <w:t>The National Environmental Management: Waste Amendment Act 26 of 2014.</w:t>
      </w:r>
    </w:p>
  </w:footnote>
  <w:footnote w:id="16">
    <w:p w14:paraId="2A95DF4A" w14:textId="77777777" w:rsidR="00FD484A" w:rsidRPr="00984CF5" w:rsidRDefault="00FD484A" w:rsidP="00FD484A">
      <w:pPr>
        <w:pStyle w:val="FootnoteText"/>
        <w:rPr>
          <w:lang w:val="en-ZA"/>
        </w:rPr>
      </w:pPr>
      <w:r>
        <w:rPr>
          <w:rStyle w:val="FootnoteReference"/>
        </w:rPr>
        <w:footnoteRef/>
      </w:r>
      <w:r>
        <w:t xml:space="preserve"> </w:t>
      </w:r>
      <w:r>
        <w:rPr>
          <w:lang w:val="en-ZA"/>
        </w:rPr>
        <w:t>Act 91 of 1964.</w:t>
      </w:r>
    </w:p>
  </w:footnote>
  <w:footnote w:id="17">
    <w:p w14:paraId="5E603AC9" w14:textId="5BA656D9" w:rsidR="00FD484A" w:rsidRPr="0076063D" w:rsidRDefault="00FD484A" w:rsidP="00FD484A">
      <w:pPr>
        <w:pStyle w:val="FootnoteText"/>
        <w:rPr>
          <w:lang w:val="en-ZA"/>
        </w:rPr>
      </w:pPr>
      <w:r>
        <w:rPr>
          <w:rStyle w:val="FootnoteReference"/>
        </w:rPr>
        <w:footnoteRef/>
      </w:r>
      <w:r>
        <w:t xml:space="preserve"> </w:t>
      </w:r>
      <w:r w:rsidR="0078711A">
        <w:t>C</w:t>
      </w:r>
      <w:r>
        <w:rPr>
          <w:lang w:val="en-ZA"/>
        </w:rPr>
        <w:t>lause 17.1 of the plan.</w:t>
      </w:r>
    </w:p>
  </w:footnote>
  <w:footnote w:id="18">
    <w:p w14:paraId="746945DB" w14:textId="4BECD469" w:rsidR="00733DE3" w:rsidRPr="00733DE3" w:rsidRDefault="00733DE3">
      <w:pPr>
        <w:pStyle w:val="FootnoteText"/>
        <w:rPr>
          <w:lang w:val="en-ZA"/>
        </w:rPr>
      </w:pPr>
      <w:r>
        <w:rPr>
          <w:rStyle w:val="FootnoteReference"/>
        </w:rPr>
        <w:footnoteRef/>
      </w:r>
      <w:r>
        <w:t xml:space="preserve"> </w:t>
      </w:r>
      <w:r w:rsidRPr="00733DE3">
        <w:rPr>
          <w:i/>
          <w:iCs/>
          <w:lang w:val="en-ZA"/>
        </w:rPr>
        <w:t>Oudekraal Estates (Pty) Ltd v City of Cape Town &amp; Ors</w:t>
      </w:r>
      <w:r>
        <w:rPr>
          <w:lang w:val="en-ZA"/>
        </w:rPr>
        <w:t xml:space="preserve"> 2004 (</w:t>
      </w:r>
      <w:r w:rsidR="006A2B05">
        <w:rPr>
          <w:lang w:val="en-ZA"/>
        </w:rPr>
        <w:t>6</w:t>
      </w:r>
      <w:r>
        <w:rPr>
          <w:lang w:val="en-ZA"/>
        </w:rPr>
        <w:t xml:space="preserve">) SA 222 (SCA) para 32, footnote 22. </w:t>
      </w:r>
    </w:p>
  </w:footnote>
  <w:footnote w:id="19">
    <w:p w14:paraId="7293F8C7" w14:textId="77777777" w:rsidR="00100F06" w:rsidRPr="006C1297" w:rsidRDefault="00100F06" w:rsidP="00100F06">
      <w:pPr>
        <w:pStyle w:val="FootnoteText"/>
        <w:rPr>
          <w:lang w:val="en-ZA"/>
        </w:rPr>
      </w:pPr>
      <w:r>
        <w:rPr>
          <w:rStyle w:val="FootnoteReference"/>
        </w:rPr>
        <w:footnoteRef/>
      </w:r>
      <w:r>
        <w:t xml:space="preserve"> </w:t>
      </w:r>
      <w:r>
        <w:rPr>
          <w:lang w:val="en-ZA"/>
        </w:rPr>
        <w:t>Act 3 of 2000.</w:t>
      </w:r>
    </w:p>
  </w:footnote>
  <w:footnote w:id="20">
    <w:p w14:paraId="0E379426" w14:textId="2CEA5550" w:rsidR="007A3C3D" w:rsidRPr="007A3C3D" w:rsidRDefault="007A3C3D">
      <w:pPr>
        <w:pStyle w:val="FootnoteText"/>
        <w:rPr>
          <w:lang w:val="en-ZA"/>
        </w:rPr>
      </w:pPr>
      <w:r>
        <w:rPr>
          <w:rStyle w:val="FootnoteReference"/>
        </w:rPr>
        <w:footnoteRef/>
      </w:r>
      <w:r>
        <w:t xml:space="preserve"> </w:t>
      </w:r>
      <w:r w:rsidRPr="007A3C3D">
        <w:rPr>
          <w:i/>
          <w:iCs/>
          <w:lang w:val="en-ZA"/>
        </w:rPr>
        <w:t xml:space="preserve">Merafong City Local Municipality v AngloGold Ashanti Ltd </w:t>
      </w:r>
      <w:r>
        <w:rPr>
          <w:lang w:val="en-ZA"/>
        </w:rPr>
        <w:t>2017 (2) SA 211 (CC).</w:t>
      </w:r>
    </w:p>
  </w:footnote>
  <w:footnote w:id="21">
    <w:p w14:paraId="6FA61311" w14:textId="08335707" w:rsidR="00D23C2B" w:rsidRDefault="00D23C2B">
      <w:pPr>
        <w:pStyle w:val="FootnoteText"/>
      </w:pPr>
      <w:r>
        <w:rPr>
          <w:rStyle w:val="FootnoteReference"/>
        </w:rPr>
        <w:footnoteRef/>
      </w:r>
      <w:r>
        <w:t xml:space="preserve"> </w:t>
      </w:r>
      <w:r w:rsidR="00964FB6">
        <w:t>P</w:t>
      </w:r>
      <w:r>
        <w:t>ara 32.</w:t>
      </w:r>
    </w:p>
  </w:footnote>
  <w:footnote w:id="22">
    <w:p w14:paraId="17B7FEB6" w14:textId="7E841776" w:rsidR="00F94371" w:rsidRDefault="00F94371">
      <w:pPr>
        <w:pStyle w:val="FootnoteText"/>
      </w:pPr>
      <w:r>
        <w:rPr>
          <w:rStyle w:val="FootnoteReference"/>
        </w:rPr>
        <w:footnoteRef/>
      </w:r>
      <w:r>
        <w:t xml:space="preserve"> </w:t>
      </w:r>
      <w:r w:rsidR="00964FB6">
        <w:t>P</w:t>
      </w:r>
      <w:r>
        <w:t>ara 31.</w:t>
      </w:r>
    </w:p>
  </w:footnote>
  <w:footnote w:id="23">
    <w:p w14:paraId="27E5F81A" w14:textId="350BF7C3" w:rsidR="00F94371" w:rsidRDefault="00F94371">
      <w:pPr>
        <w:pStyle w:val="FootnoteText"/>
      </w:pPr>
      <w:r>
        <w:rPr>
          <w:rStyle w:val="FootnoteReference"/>
        </w:rPr>
        <w:footnoteRef/>
      </w:r>
      <w:r>
        <w:t xml:space="preserve"> </w:t>
      </w:r>
      <w:r w:rsidR="00171B2B">
        <w:t>P</w:t>
      </w:r>
      <w:r>
        <w:t>ara 36.</w:t>
      </w:r>
    </w:p>
  </w:footnote>
  <w:footnote w:id="24">
    <w:p w14:paraId="24FBDFC8" w14:textId="799B7DCF" w:rsidR="00964FB6" w:rsidRPr="00964FB6" w:rsidRDefault="00964FB6">
      <w:pPr>
        <w:pStyle w:val="FootnoteText"/>
        <w:rPr>
          <w:lang w:val="en-ZA"/>
        </w:rPr>
      </w:pPr>
      <w:r>
        <w:rPr>
          <w:rStyle w:val="FootnoteReference"/>
        </w:rPr>
        <w:footnoteRef/>
      </w:r>
      <w:r>
        <w:t xml:space="preserve"> </w:t>
      </w:r>
      <w:r>
        <w:rPr>
          <w:lang w:val="en-ZA"/>
        </w:rPr>
        <w:t xml:space="preserve">Vide </w:t>
      </w:r>
      <w:r w:rsidR="001F2738">
        <w:rPr>
          <w:lang w:val="en-ZA"/>
        </w:rPr>
        <w:t>DM Pretorius ‘</w:t>
      </w:r>
      <w:r w:rsidR="001F2738" w:rsidRPr="001F2738">
        <w:rPr>
          <w:i/>
          <w:iCs/>
          <w:lang w:val="en-ZA"/>
        </w:rPr>
        <w:t xml:space="preserve">Oudekraal </w:t>
      </w:r>
      <w:r w:rsidR="00ED687B">
        <w:rPr>
          <w:i/>
          <w:iCs/>
          <w:lang w:val="en-ZA"/>
        </w:rPr>
        <w:t>A</w:t>
      </w:r>
      <w:r w:rsidR="001F2738" w:rsidRPr="001F2738">
        <w:rPr>
          <w:i/>
          <w:iCs/>
          <w:lang w:val="en-ZA"/>
        </w:rPr>
        <w:t xml:space="preserve">fter </w:t>
      </w:r>
      <w:r w:rsidR="00ED687B">
        <w:rPr>
          <w:i/>
          <w:iCs/>
          <w:lang w:val="en-ZA"/>
        </w:rPr>
        <w:t>Fifteen</w:t>
      </w:r>
      <w:r w:rsidR="001F2738" w:rsidRPr="001F2738">
        <w:rPr>
          <w:i/>
          <w:iCs/>
          <w:lang w:val="en-ZA"/>
        </w:rPr>
        <w:t xml:space="preserve"> </w:t>
      </w:r>
      <w:r w:rsidR="00ED687B">
        <w:rPr>
          <w:i/>
          <w:iCs/>
          <w:lang w:val="en-ZA"/>
        </w:rPr>
        <w:t>Y</w:t>
      </w:r>
      <w:r w:rsidR="001F2738" w:rsidRPr="001F2738">
        <w:rPr>
          <w:i/>
          <w:iCs/>
          <w:lang w:val="en-ZA"/>
        </w:rPr>
        <w:t xml:space="preserve">ears; The Second </w:t>
      </w:r>
      <w:r w:rsidR="001F2738">
        <w:rPr>
          <w:i/>
          <w:iCs/>
          <w:lang w:val="en-ZA"/>
        </w:rPr>
        <w:t>A</w:t>
      </w:r>
      <w:r w:rsidR="001F2738" w:rsidRPr="001F2738">
        <w:rPr>
          <w:i/>
          <w:iCs/>
          <w:lang w:val="en-ZA"/>
        </w:rPr>
        <w:t>ct (Or</w:t>
      </w:r>
      <w:r w:rsidR="00ED687B">
        <w:rPr>
          <w:i/>
          <w:iCs/>
          <w:lang w:val="en-ZA"/>
        </w:rPr>
        <w:t>,</w:t>
      </w:r>
      <w:r w:rsidR="001F2738" w:rsidRPr="001F2738">
        <w:rPr>
          <w:i/>
          <w:iCs/>
          <w:lang w:val="en-ZA"/>
        </w:rPr>
        <w:t xml:space="preserve"> a </w:t>
      </w:r>
      <w:r w:rsidR="00ED687B">
        <w:rPr>
          <w:i/>
          <w:iCs/>
          <w:lang w:val="en-ZA"/>
        </w:rPr>
        <w:t>Rea</w:t>
      </w:r>
      <w:r w:rsidR="001F2738" w:rsidRPr="001F2738">
        <w:rPr>
          <w:i/>
          <w:iCs/>
          <w:lang w:val="en-ZA"/>
        </w:rPr>
        <w:t>ssessment of the Statu</w:t>
      </w:r>
      <w:r w:rsidR="001F2738">
        <w:rPr>
          <w:i/>
          <w:iCs/>
          <w:lang w:val="en-ZA"/>
        </w:rPr>
        <w:t>s</w:t>
      </w:r>
      <w:r w:rsidR="001F2738" w:rsidRPr="001F2738">
        <w:rPr>
          <w:i/>
          <w:iCs/>
          <w:lang w:val="en-ZA"/>
        </w:rPr>
        <w:t xml:space="preserve"> and Force of Defective Administrative Decisions Pending Judicial Review</w:t>
      </w:r>
      <w:r w:rsidR="001F2738">
        <w:rPr>
          <w:lang w:val="en-ZA"/>
        </w:rPr>
        <w:t>’ 2020 Stell LR</w:t>
      </w:r>
      <w:r w:rsidR="007F38C8">
        <w:rPr>
          <w:lang w:val="en-ZA"/>
        </w:rPr>
        <w:t xml:space="preserve"> 3</w:t>
      </w:r>
      <w:r w:rsidR="00ED687B">
        <w:rPr>
          <w:lang w:val="en-ZA"/>
        </w:rPr>
        <w:t>;</w:t>
      </w:r>
      <w:r w:rsidR="00ED687B" w:rsidRPr="00ED687B">
        <w:rPr>
          <w:rFonts w:ascii="Calibri" w:eastAsia="Times New Roman" w:hAnsi="Calibri" w:cs="Calibri"/>
          <w:color w:val="000000"/>
          <w:kern w:val="0"/>
          <w:lang w:val="en-ZA" w:eastAsia="en-ZA"/>
          <w14:ligatures w14:val="none"/>
        </w:rPr>
        <w:t xml:space="preserve"> Angus McKenzie </w:t>
      </w:r>
      <w:r w:rsidR="00ED687B" w:rsidRPr="00ED687B">
        <w:rPr>
          <w:rFonts w:ascii="Calibri" w:eastAsia="Times New Roman" w:hAnsi="Calibri" w:cs="Calibri"/>
          <w:i/>
          <w:iCs/>
          <w:color w:val="000000"/>
          <w:kern w:val="0"/>
          <w:lang w:val="en-ZA" w:eastAsia="en-ZA"/>
          <w14:ligatures w14:val="none"/>
        </w:rPr>
        <w:t>The development of collateral review and the status of unlawful acts in South African law</w:t>
      </w:r>
      <w:r w:rsidR="00ED687B" w:rsidRPr="00ED687B">
        <w:rPr>
          <w:rFonts w:ascii="Calibri" w:eastAsia="Times New Roman" w:hAnsi="Calibri" w:cs="Calibri"/>
          <w:color w:val="000000"/>
          <w:kern w:val="0"/>
          <w:lang w:val="en-ZA" w:eastAsia="en-ZA"/>
          <w14:ligatures w14:val="none"/>
        </w:rPr>
        <w:t> (2017) unpublished LLM dissertation, University of the Witwatersrand</w:t>
      </w:r>
      <w:r w:rsidR="004F333D">
        <w:rPr>
          <w:rFonts w:ascii="Calibri" w:eastAsia="Times New Roman" w:hAnsi="Calibri" w:cs="Calibri"/>
          <w:color w:val="000000"/>
          <w:kern w:val="0"/>
          <w:lang w:val="en-ZA" w:eastAsia="en-ZA"/>
          <w14:ligatures w14:val="none"/>
        </w:rPr>
        <w:t>; OT Van Dyk ‘</w:t>
      </w:r>
      <w:r w:rsidR="004F333D" w:rsidRPr="004F333D">
        <w:rPr>
          <w:rFonts w:ascii="Calibri" w:eastAsia="Times New Roman" w:hAnsi="Calibri" w:cs="Calibri"/>
          <w:i/>
          <w:iCs/>
          <w:color w:val="000000"/>
          <w:kern w:val="0"/>
          <w:lang w:val="en-ZA" w:eastAsia="en-ZA"/>
          <w14:ligatures w14:val="none"/>
        </w:rPr>
        <w:t>The Influence of the Oudekraal and Kirland Decisions on the Legal Status of an Invalid Administrative Act</w:t>
      </w:r>
      <w:r w:rsidR="004F333D">
        <w:rPr>
          <w:rFonts w:ascii="Calibri" w:eastAsia="Times New Roman" w:hAnsi="Calibri" w:cs="Calibri"/>
          <w:color w:val="000000"/>
          <w:kern w:val="0"/>
          <w:lang w:val="en-ZA" w:eastAsia="en-ZA"/>
          <w14:ligatures w14:val="none"/>
        </w:rPr>
        <w:t>’ doctoral dissertation University of Pretoria 2021</w:t>
      </w:r>
      <w:r w:rsidR="00E60757">
        <w:rPr>
          <w:rFonts w:ascii="Calibri" w:eastAsia="Times New Roman" w:hAnsi="Calibri" w:cs="Calibri"/>
          <w:color w:val="000000"/>
          <w:kern w:val="0"/>
          <w:lang w:val="en-ZA" w:eastAsia="en-ZA"/>
          <w14:ligatures w14:val="none"/>
        </w:rPr>
        <w:t>.</w:t>
      </w:r>
    </w:p>
  </w:footnote>
  <w:footnote w:id="25">
    <w:p w14:paraId="69312058" w14:textId="7399BCA5" w:rsidR="004963B5" w:rsidRPr="004963B5" w:rsidRDefault="004963B5">
      <w:pPr>
        <w:pStyle w:val="FootnoteText"/>
        <w:rPr>
          <w:lang w:val="en-ZA"/>
        </w:rPr>
      </w:pPr>
      <w:r>
        <w:rPr>
          <w:rStyle w:val="FootnoteReference"/>
        </w:rPr>
        <w:footnoteRef/>
      </w:r>
      <w:r>
        <w:t xml:space="preserve"> </w:t>
      </w:r>
      <w:r w:rsidR="00721055" w:rsidRPr="00721055">
        <w:rPr>
          <w:i/>
          <w:iCs/>
        </w:rPr>
        <w:t>Metal &amp; Electrical Workers Union of South Africa v National Panasonic Co (Parow Factory)</w:t>
      </w:r>
      <w:r w:rsidR="00721055">
        <w:rPr>
          <w:i/>
          <w:iCs/>
        </w:rPr>
        <w:t xml:space="preserve"> </w:t>
      </w:r>
      <w:r w:rsidR="00721055">
        <w:t xml:space="preserve">1991 (2) SA 527 (C). </w:t>
      </w:r>
    </w:p>
  </w:footnote>
  <w:footnote w:id="26">
    <w:p w14:paraId="0DBFDB98" w14:textId="46B0BA63" w:rsidR="00D60331" w:rsidRPr="00D60331" w:rsidRDefault="00D60331">
      <w:pPr>
        <w:pStyle w:val="FootnoteText"/>
        <w:rPr>
          <w:lang w:val="en-ZA"/>
        </w:rPr>
      </w:pPr>
      <w:r>
        <w:rPr>
          <w:rStyle w:val="FootnoteReference"/>
        </w:rPr>
        <w:footnoteRef/>
      </w:r>
      <w:r>
        <w:t xml:space="preserve"> </w:t>
      </w:r>
      <w:r w:rsidRPr="00D60331">
        <w:rPr>
          <w:i/>
          <w:iCs/>
          <w:lang w:val="en-ZA"/>
        </w:rPr>
        <w:t>National Industrial Council for the Iron, Steel, Engineering &amp; Metallurgical Industry v Photocircuit SA (Pty) Ltd</w:t>
      </w:r>
      <w:r>
        <w:rPr>
          <w:lang w:val="en-ZA"/>
        </w:rPr>
        <w:t xml:space="preserve"> 1993 (2) SA 245 (C)</w:t>
      </w:r>
      <w:r w:rsidR="00457D43">
        <w:rPr>
          <w:lang w:val="en-ZA"/>
        </w:rPr>
        <w:t>.</w:t>
      </w:r>
    </w:p>
  </w:footnote>
  <w:footnote w:id="27">
    <w:p w14:paraId="16494D33" w14:textId="1ECACEBB" w:rsidR="00351AEA" w:rsidRPr="00351AEA" w:rsidRDefault="00351AEA">
      <w:pPr>
        <w:pStyle w:val="FootnoteText"/>
        <w:rPr>
          <w:lang w:val="en-ZA"/>
        </w:rPr>
      </w:pPr>
      <w:r>
        <w:rPr>
          <w:rStyle w:val="FootnoteReference"/>
        </w:rPr>
        <w:footnoteRef/>
      </w:r>
      <w:r>
        <w:t xml:space="preserve"> </w:t>
      </w:r>
      <w:r w:rsidR="00211C48">
        <w:t xml:space="preserve">There </w:t>
      </w:r>
      <w:r w:rsidR="00146C43">
        <w:t>are three reported ‘</w:t>
      </w:r>
      <w:r w:rsidR="00146C43" w:rsidRPr="00146C43">
        <w:rPr>
          <w:i/>
          <w:iCs/>
        </w:rPr>
        <w:t>Oudekraal</w:t>
      </w:r>
      <w:r w:rsidR="00146C43">
        <w:t>’ matters relevant to this matter: the decision of Davis J</w:t>
      </w:r>
      <w:r w:rsidR="00CE10C6">
        <w:t xml:space="preserve"> (Veldhuizen J concurring)</w:t>
      </w:r>
      <w:r w:rsidR="00146C43">
        <w:t xml:space="preserve"> in </w:t>
      </w:r>
      <w:r w:rsidR="00146C43" w:rsidRPr="00146C43">
        <w:rPr>
          <w:i/>
          <w:iCs/>
        </w:rPr>
        <w:t>Oudekraal Estates (Pty) Ltd v City of Cape Town &amp; Ors</w:t>
      </w:r>
      <w:r w:rsidR="00146C43">
        <w:t xml:space="preserve"> 2002 (6) SA 573 (C) which was upheld on appeal to the SCA (albeit for different reasons) in </w:t>
      </w:r>
      <w:r w:rsidR="00146C43" w:rsidRPr="0061417E">
        <w:rPr>
          <w:i/>
          <w:iCs/>
        </w:rPr>
        <w:t>O</w:t>
      </w:r>
      <w:r w:rsidR="00146C43" w:rsidRPr="0061417E">
        <w:rPr>
          <w:i/>
          <w:iCs/>
          <w:lang w:val="en-ZA"/>
        </w:rPr>
        <w:t>udekraal Estates (Pty) Ltd v City of Cape Town &amp; Ors</w:t>
      </w:r>
      <w:r w:rsidR="00146C43">
        <w:rPr>
          <w:i/>
          <w:iCs/>
          <w:lang w:val="en-ZA"/>
        </w:rPr>
        <w:t xml:space="preserve"> </w:t>
      </w:r>
      <w:r w:rsidR="00146C43">
        <w:rPr>
          <w:lang w:val="en-ZA"/>
        </w:rPr>
        <w:t>2004 (</w:t>
      </w:r>
      <w:r w:rsidR="00833CBA">
        <w:rPr>
          <w:lang w:val="en-ZA"/>
        </w:rPr>
        <w:t>6</w:t>
      </w:r>
      <w:r w:rsidR="00146C43">
        <w:rPr>
          <w:lang w:val="en-ZA"/>
        </w:rPr>
        <w:t>) SA 222 (SCA)</w:t>
      </w:r>
      <w:r w:rsidR="00CE10C6">
        <w:rPr>
          <w:lang w:val="en-ZA"/>
        </w:rPr>
        <w:t>,</w:t>
      </w:r>
      <w:r w:rsidR="00146C43">
        <w:rPr>
          <w:lang w:val="en-ZA"/>
        </w:rPr>
        <w:t xml:space="preserve"> commonly referred to as ‘</w:t>
      </w:r>
      <w:r w:rsidR="00146C43" w:rsidRPr="00146C43">
        <w:rPr>
          <w:i/>
          <w:iCs/>
          <w:lang w:val="en-ZA"/>
        </w:rPr>
        <w:t xml:space="preserve">Oudekraal </w:t>
      </w:r>
      <w:r w:rsidR="00146C43" w:rsidRPr="004F333D">
        <w:rPr>
          <w:lang w:val="en-ZA"/>
        </w:rPr>
        <w:t>1</w:t>
      </w:r>
      <w:r w:rsidR="00146C43">
        <w:rPr>
          <w:lang w:val="en-ZA"/>
        </w:rPr>
        <w:t xml:space="preserve">’, which dealt with delay in the context of the collateral challenges </w:t>
      </w:r>
      <w:r w:rsidR="00833CBA">
        <w:rPr>
          <w:lang w:val="en-ZA"/>
        </w:rPr>
        <w:t xml:space="preserve">raised </w:t>
      </w:r>
      <w:r w:rsidR="00146C43">
        <w:rPr>
          <w:lang w:val="en-ZA"/>
        </w:rPr>
        <w:t xml:space="preserve">by the City of Cape Town and </w:t>
      </w:r>
      <w:r w:rsidR="00146C43" w:rsidRPr="0061417E">
        <w:rPr>
          <w:i/>
          <w:iCs/>
        </w:rPr>
        <w:t>O</w:t>
      </w:r>
      <w:r w:rsidR="00146C43" w:rsidRPr="0061417E">
        <w:rPr>
          <w:i/>
          <w:iCs/>
          <w:lang w:val="en-ZA"/>
        </w:rPr>
        <w:t>udekraal Estates (Pty) Ltd v City of Cape Town &amp; Ors</w:t>
      </w:r>
      <w:r w:rsidR="00146C43">
        <w:rPr>
          <w:lang w:val="en-ZA"/>
        </w:rPr>
        <w:t xml:space="preserve"> 2010 (1) SA 333 (SCA)</w:t>
      </w:r>
      <w:r w:rsidR="00394D4A" w:rsidRPr="00394D4A">
        <w:rPr>
          <w:lang w:val="en-ZA"/>
        </w:rPr>
        <w:t xml:space="preserve"> </w:t>
      </w:r>
      <w:r w:rsidR="0057004E">
        <w:rPr>
          <w:lang w:val="en-ZA"/>
        </w:rPr>
        <w:t>, or ‘</w:t>
      </w:r>
      <w:r w:rsidR="0057004E" w:rsidRPr="0057004E">
        <w:rPr>
          <w:i/>
          <w:iCs/>
          <w:lang w:val="en-ZA"/>
        </w:rPr>
        <w:t xml:space="preserve">Oudekraal </w:t>
      </w:r>
      <w:r w:rsidR="0057004E">
        <w:rPr>
          <w:lang w:val="en-ZA"/>
        </w:rPr>
        <w:t xml:space="preserve">2’, </w:t>
      </w:r>
      <w:r w:rsidR="00394D4A">
        <w:rPr>
          <w:lang w:val="en-ZA"/>
        </w:rPr>
        <w:t>which dealt with delay in the context of the review</w:t>
      </w:r>
      <w:r w:rsidR="00CE10C6">
        <w:rPr>
          <w:lang w:val="en-ZA"/>
        </w:rPr>
        <w:t xml:space="preserve"> which was subsequently brought</w:t>
      </w:r>
      <w:r w:rsidR="00146C43">
        <w:rPr>
          <w:lang w:val="en-ZA"/>
        </w:rPr>
        <w:t>.</w:t>
      </w:r>
      <w:r w:rsidR="00394D4A">
        <w:rPr>
          <w:lang w:val="en-ZA"/>
        </w:rPr>
        <w:t xml:space="preserve"> </w:t>
      </w:r>
      <w:r w:rsidR="00146C43">
        <w:rPr>
          <w:lang w:val="en-ZA"/>
        </w:rPr>
        <w:t xml:space="preserve"> </w:t>
      </w:r>
      <w:r w:rsidR="00146C43" w:rsidRPr="00146C43">
        <w:rPr>
          <w:lang w:val="en-ZA"/>
        </w:rPr>
        <w:t xml:space="preserve"> </w:t>
      </w:r>
    </w:p>
  </w:footnote>
  <w:footnote w:id="28">
    <w:p w14:paraId="072A73DA" w14:textId="0C68D9F9" w:rsidR="00397D7F" w:rsidRDefault="00397D7F">
      <w:pPr>
        <w:pStyle w:val="FootnoteText"/>
      </w:pPr>
      <w:r>
        <w:rPr>
          <w:rStyle w:val="FootnoteReference"/>
        </w:rPr>
        <w:footnoteRef/>
      </w:r>
      <w:r>
        <w:t xml:space="preserve"> </w:t>
      </w:r>
      <w:r w:rsidR="00017FA1" w:rsidRPr="00F16694">
        <w:rPr>
          <w:i/>
          <w:iCs/>
        </w:rPr>
        <w:t>A</w:t>
      </w:r>
      <w:r w:rsidRPr="00F16694">
        <w:rPr>
          <w:i/>
          <w:iCs/>
        </w:rPr>
        <w:t xml:space="preserve">dministrative </w:t>
      </w:r>
      <w:r w:rsidR="00F16694" w:rsidRPr="00F16694">
        <w:rPr>
          <w:i/>
          <w:iCs/>
        </w:rPr>
        <w:t>L</w:t>
      </w:r>
      <w:r w:rsidRPr="00F16694">
        <w:rPr>
          <w:i/>
          <w:iCs/>
        </w:rPr>
        <w:t>aw</w:t>
      </w:r>
      <w:r w:rsidR="00CC6C85">
        <w:rPr>
          <w:i/>
          <w:iCs/>
        </w:rPr>
        <w:t xml:space="preserve"> </w:t>
      </w:r>
      <w:r w:rsidR="00CC6C85" w:rsidRPr="00CC6C85">
        <w:t>6</w:t>
      </w:r>
      <w:r w:rsidR="00CC6C85" w:rsidRPr="00CC6C85">
        <w:rPr>
          <w:vertAlign w:val="superscript"/>
        </w:rPr>
        <w:t>th</w:t>
      </w:r>
      <w:r w:rsidR="00CC6C85" w:rsidRPr="00CC6C85">
        <w:t xml:space="preserve"> ed, 331</w:t>
      </w:r>
      <w:r w:rsidR="00CC6C85">
        <w:rPr>
          <w:i/>
          <w:iCs/>
        </w:rPr>
        <w:t>.</w:t>
      </w:r>
    </w:p>
  </w:footnote>
  <w:footnote w:id="29">
    <w:p w14:paraId="0389BDFC" w14:textId="693E17F0" w:rsidR="00397D7F" w:rsidRDefault="00397D7F">
      <w:pPr>
        <w:pStyle w:val="FootnoteText"/>
      </w:pPr>
      <w:r>
        <w:rPr>
          <w:rStyle w:val="FootnoteReference"/>
        </w:rPr>
        <w:footnoteRef/>
      </w:r>
      <w:r>
        <w:t xml:space="preserve"> </w:t>
      </w:r>
      <w:r w:rsidR="001968C1">
        <w:t xml:space="preserve">Id, </w:t>
      </w:r>
      <w:r>
        <w:t>530F-H.</w:t>
      </w:r>
    </w:p>
  </w:footnote>
  <w:footnote w:id="30">
    <w:p w14:paraId="33E89E5A" w14:textId="64B0A520" w:rsidR="005E02D7" w:rsidRDefault="005E02D7">
      <w:pPr>
        <w:pStyle w:val="FootnoteText"/>
      </w:pPr>
      <w:r>
        <w:rPr>
          <w:rStyle w:val="FootnoteReference"/>
        </w:rPr>
        <w:footnoteRef/>
      </w:r>
      <w:r>
        <w:t xml:space="preserve"> </w:t>
      </w:r>
      <w:r w:rsidR="00B35225" w:rsidRPr="00B35225">
        <w:rPr>
          <w:i/>
          <w:iCs/>
        </w:rPr>
        <w:t>Photocircuit</w:t>
      </w:r>
      <w:r w:rsidR="00C04CD5">
        <w:rPr>
          <w:i/>
          <w:iCs/>
        </w:rPr>
        <w:t xml:space="preserve"> </w:t>
      </w:r>
      <w:r w:rsidR="00C04CD5">
        <w:t>n 26</w:t>
      </w:r>
      <w:r w:rsidR="00B35225">
        <w:rPr>
          <w:i/>
          <w:iCs/>
        </w:rPr>
        <w:t>,</w:t>
      </w:r>
      <w:r w:rsidR="00B35225">
        <w:t xml:space="preserve"> </w:t>
      </w:r>
      <w:r>
        <w:t>253C-D.</w:t>
      </w:r>
    </w:p>
  </w:footnote>
  <w:footnote w:id="31">
    <w:p w14:paraId="4A741C36" w14:textId="201E96F0" w:rsidR="005E02D7" w:rsidRDefault="005E02D7">
      <w:pPr>
        <w:pStyle w:val="FootnoteText"/>
      </w:pPr>
      <w:r>
        <w:rPr>
          <w:rStyle w:val="FootnoteReference"/>
        </w:rPr>
        <w:footnoteRef/>
      </w:r>
      <w:r>
        <w:t xml:space="preserve"> </w:t>
      </w:r>
      <w:r w:rsidR="00017FA1" w:rsidRPr="00017FA1">
        <w:rPr>
          <w:i/>
          <w:iCs/>
        </w:rPr>
        <w:t>C</w:t>
      </w:r>
      <w:r w:rsidRPr="00017FA1">
        <w:rPr>
          <w:i/>
          <w:iCs/>
        </w:rPr>
        <w:t>ure v Deeley</w:t>
      </w:r>
      <w:r w:rsidR="00017FA1">
        <w:rPr>
          <w:i/>
          <w:iCs/>
        </w:rPr>
        <w:t xml:space="preserve"> </w:t>
      </w:r>
      <w:r w:rsidR="00CC6C85">
        <w:t>Ltd [1961</w:t>
      </w:r>
      <w:r w:rsidR="00072FBB">
        <w:t>] 3 All ER 641 (QB)</w:t>
      </w:r>
      <w:r w:rsidR="00FE7566">
        <w:t>.</w:t>
      </w:r>
      <w:r w:rsidR="00017FA1">
        <w:rPr>
          <w:i/>
          <w:iCs/>
        </w:rPr>
        <w:t xml:space="preserve"> </w:t>
      </w:r>
    </w:p>
  </w:footnote>
  <w:footnote w:id="32">
    <w:p w14:paraId="51FE5E50" w14:textId="74FC4F7C" w:rsidR="00072FBB" w:rsidRPr="00072FBB" w:rsidRDefault="00072FBB">
      <w:pPr>
        <w:pStyle w:val="FootnoteText"/>
        <w:rPr>
          <w:lang w:val="en-ZA"/>
        </w:rPr>
      </w:pPr>
      <w:r>
        <w:rPr>
          <w:rStyle w:val="FootnoteReference"/>
        </w:rPr>
        <w:footnoteRef/>
      </w:r>
      <w:r>
        <w:t xml:space="preserve"> </w:t>
      </w:r>
      <w:r>
        <w:rPr>
          <w:lang w:val="en-ZA"/>
        </w:rPr>
        <w:t xml:space="preserve">As set out in </w:t>
      </w:r>
      <w:r w:rsidRPr="00072FBB">
        <w:rPr>
          <w:i/>
          <w:iCs/>
          <w:lang w:val="en-ZA"/>
        </w:rPr>
        <w:t>Wolgroeiers Afslaers (Edms) Bpk v Munisipaliteit van Kaapstad</w:t>
      </w:r>
      <w:r>
        <w:rPr>
          <w:lang w:val="en-ZA"/>
        </w:rPr>
        <w:t xml:space="preserve"> 1978 (1) SA 13 (A), 39C-D.</w:t>
      </w:r>
    </w:p>
  </w:footnote>
  <w:footnote w:id="33">
    <w:p w14:paraId="6DE91AC8" w14:textId="2296B937" w:rsidR="007D0D2B" w:rsidRPr="007D0D2B" w:rsidRDefault="007D0D2B">
      <w:pPr>
        <w:pStyle w:val="FootnoteText"/>
        <w:rPr>
          <w:lang w:val="en-ZA"/>
        </w:rPr>
      </w:pPr>
      <w:r>
        <w:rPr>
          <w:rStyle w:val="FootnoteReference"/>
        </w:rPr>
        <w:footnoteRef/>
      </w:r>
      <w:r>
        <w:t xml:space="preserve"> </w:t>
      </w:r>
      <w:r w:rsidRPr="0061417E">
        <w:rPr>
          <w:i/>
          <w:iCs/>
        </w:rPr>
        <w:t>O</w:t>
      </w:r>
      <w:r w:rsidRPr="0061417E">
        <w:rPr>
          <w:i/>
          <w:iCs/>
          <w:lang w:val="en-ZA"/>
        </w:rPr>
        <w:t>udekraal Estates (Pty) Ltd v City of Cape Town &amp; Ors</w:t>
      </w:r>
      <w:r>
        <w:rPr>
          <w:lang w:val="en-ZA"/>
        </w:rPr>
        <w:t xml:space="preserve"> 2002 (6) </w:t>
      </w:r>
      <w:r w:rsidR="004F333D">
        <w:rPr>
          <w:lang w:val="en-ZA"/>
        </w:rPr>
        <w:t xml:space="preserve">SA </w:t>
      </w:r>
      <w:r>
        <w:rPr>
          <w:lang w:val="en-ZA"/>
        </w:rPr>
        <w:t>573 (C).</w:t>
      </w:r>
    </w:p>
  </w:footnote>
  <w:footnote w:id="34">
    <w:p w14:paraId="79072495" w14:textId="7CB75A98" w:rsidR="00627922" w:rsidRPr="00627922" w:rsidRDefault="00627922">
      <w:pPr>
        <w:pStyle w:val="FootnoteText"/>
        <w:rPr>
          <w:lang w:val="en-ZA"/>
        </w:rPr>
      </w:pPr>
      <w:r>
        <w:rPr>
          <w:rStyle w:val="FootnoteReference"/>
        </w:rPr>
        <w:footnoteRef/>
      </w:r>
      <w:r>
        <w:t xml:space="preserve"> </w:t>
      </w:r>
      <w:r w:rsidR="008F6ED2" w:rsidRPr="0061417E">
        <w:rPr>
          <w:i/>
          <w:iCs/>
        </w:rPr>
        <w:t>O</w:t>
      </w:r>
      <w:r w:rsidR="008F6ED2" w:rsidRPr="0061417E">
        <w:rPr>
          <w:i/>
          <w:iCs/>
          <w:lang w:val="en-ZA"/>
        </w:rPr>
        <w:t>udekraal Estates (Pty) Ltd v City of Cape Town &amp; Ors</w:t>
      </w:r>
      <w:r w:rsidR="008F6ED2">
        <w:rPr>
          <w:i/>
          <w:iCs/>
          <w:lang w:val="en-ZA"/>
        </w:rPr>
        <w:t xml:space="preserve"> </w:t>
      </w:r>
      <w:r w:rsidR="008F6ED2">
        <w:rPr>
          <w:lang w:val="en-ZA"/>
        </w:rPr>
        <w:t>2004 (</w:t>
      </w:r>
      <w:r w:rsidR="00AF15AD">
        <w:rPr>
          <w:lang w:val="en-ZA"/>
        </w:rPr>
        <w:t>6</w:t>
      </w:r>
      <w:r w:rsidR="008F6ED2">
        <w:rPr>
          <w:lang w:val="en-ZA"/>
        </w:rPr>
        <w:t>) SA 222 (SCA) para 36.</w:t>
      </w:r>
    </w:p>
  </w:footnote>
  <w:footnote w:id="35">
    <w:p w14:paraId="7055CCE8" w14:textId="46AB2535" w:rsidR="001A513F" w:rsidRDefault="001A513F">
      <w:pPr>
        <w:pStyle w:val="FootnoteText"/>
      </w:pPr>
      <w:r>
        <w:rPr>
          <w:rStyle w:val="FootnoteReference"/>
        </w:rPr>
        <w:footnoteRef/>
      </w:r>
      <w:r>
        <w:t xml:space="preserve"> </w:t>
      </w:r>
      <w:r w:rsidRPr="00935861">
        <w:rPr>
          <w:i/>
          <w:iCs/>
        </w:rPr>
        <w:t>Boddington</w:t>
      </w:r>
      <w:r w:rsidR="00935861" w:rsidRPr="00935861">
        <w:rPr>
          <w:i/>
          <w:iCs/>
        </w:rPr>
        <w:t xml:space="preserve"> v</w:t>
      </w:r>
      <w:r w:rsidRPr="00935861">
        <w:rPr>
          <w:i/>
          <w:iCs/>
        </w:rPr>
        <w:t xml:space="preserve"> British </w:t>
      </w:r>
      <w:r w:rsidR="00935861" w:rsidRPr="00935861">
        <w:rPr>
          <w:i/>
          <w:iCs/>
        </w:rPr>
        <w:t>T</w:t>
      </w:r>
      <w:r w:rsidRPr="00935861">
        <w:rPr>
          <w:i/>
          <w:iCs/>
        </w:rPr>
        <w:t xml:space="preserve">ransport </w:t>
      </w:r>
      <w:r w:rsidR="00935861" w:rsidRPr="00935861">
        <w:rPr>
          <w:i/>
          <w:iCs/>
        </w:rPr>
        <w:t>P</w:t>
      </w:r>
      <w:r w:rsidRPr="00935861">
        <w:rPr>
          <w:i/>
          <w:iCs/>
        </w:rPr>
        <w:t>olice</w:t>
      </w:r>
      <w:r>
        <w:t xml:space="preserve"> </w:t>
      </w:r>
      <w:r w:rsidR="00935861">
        <w:t>[</w:t>
      </w:r>
      <w:r>
        <w:t>1998</w:t>
      </w:r>
      <w:r w:rsidR="00935861">
        <w:t>]</w:t>
      </w:r>
      <w:r>
        <w:t xml:space="preserve"> 2 </w:t>
      </w:r>
      <w:r w:rsidR="00935861">
        <w:t>A</w:t>
      </w:r>
      <w:r>
        <w:t>ll ER 203.</w:t>
      </w:r>
    </w:p>
  </w:footnote>
  <w:footnote w:id="36">
    <w:p w14:paraId="7AAC1788" w14:textId="5D4DB83E" w:rsidR="00935861" w:rsidRPr="00935861" w:rsidRDefault="00935861">
      <w:pPr>
        <w:pStyle w:val="FootnoteText"/>
        <w:rPr>
          <w:lang w:val="en-ZA"/>
        </w:rPr>
      </w:pPr>
      <w:r>
        <w:rPr>
          <w:rStyle w:val="FootnoteReference"/>
        </w:rPr>
        <w:footnoteRef/>
      </w:r>
      <w:r>
        <w:t xml:space="preserve"> </w:t>
      </w:r>
      <w:r w:rsidRPr="00AA4352">
        <w:rPr>
          <w:lang w:val="en-ZA"/>
        </w:rPr>
        <w:t>Id</w:t>
      </w:r>
      <w:r w:rsidR="00AA4352">
        <w:rPr>
          <w:lang w:val="en-ZA"/>
        </w:rPr>
        <w:t>,</w:t>
      </w:r>
      <w:r>
        <w:rPr>
          <w:lang w:val="en-ZA"/>
        </w:rPr>
        <w:t xml:space="preserve"> para 36.</w:t>
      </w:r>
    </w:p>
  </w:footnote>
  <w:footnote w:id="37">
    <w:p w14:paraId="6D01AB00" w14:textId="20BBC532" w:rsidR="00AA4352" w:rsidRPr="00AA4352" w:rsidRDefault="00AA4352">
      <w:pPr>
        <w:pStyle w:val="FootnoteText"/>
        <w:rPr>
          <w:lang w:val="en-ZA"/>
        </w:rPr>
      </w:pPr>
      <w:r>
        <w:rPr>
          <w:rStyle w:val="FootnoteReference"/>
        </w:rPr>
        <w:footnoteRef/>
      </w:r>
      <w:r>
        <w:t xml:space="preserve"> </w:t>
      </w:r>
      <w:r>
        <w:rPr>
          <w:lang w:val="en-ZA"/>
        </w:rPr>
        <w:t>Id.</w:t>
      </w:r>
    </w:p>
  </w:footnote>
  <w:footnote w:id="38">
    <w:p w14:paraId="42747B59" w14:textId="5F0FF22C" w:rsidR="00AA4352" w:rsidRDefault="00AA4352">
      <w:pPr>
        <w:pStyle w:val="FootnoteText"/>
      </w:pPr>
      <w:r>
        <w:rPr>
          <w:rStyle w:val="FootnoteReference"/>
        </w:rPr>
        <w:footnoteRef/>
      </w:r>
      <w:r>
        <w:t xml:space="preserve"> </w:t>
      </w:r>
      <w:r w:rsidR="00431730">
        <w:t>Id.</w:t>
      </w:r>
    </w:p>
  </w:footnote>
  <w:footnote w:id="39">
    <w:p w14:paraId="51709BEE" w14:textId="2830A80F" w:rsidR="00627922" w:rsidRPr="00627922" w:rsidRDefault="00627922">
      <w:pPr>
        <w:pStyle w:val="FootnoteText"/>
        <w:rPr>
          <w:lang w:val="en-ZA"/>
        </w:rPr>
      </w:pPr>
      <w:r>
        <w:rPr>
          <w:rStyle w:val="FootnoteReference"/>
        </w:rPr>
        <w:footnoteRef/>
      </w:r>
      <w:r>
        <w:t xml:space="preserve"> </w:t>
      </w:r>
      <w:r w:rsidR="00431730">
        <w:t>Id</w:t>
      </w:r>
      <w:r w:rsidR="000C2EA0">
        <w:t>.</w:t>
      </w:r>
    </w:p>
  </w:footnote>
  <w:footnote w:id="40">
    <w:p w14:paraId="40949F4D" w14:textId="4986DE8D" w:rsidR="00ED26A0" w:rsidRPr="00ED26A0" w:rsidRDefault="00ED26A0">
      <w:pPr>
        <w:pStyle w:val="FootnoteText"/>
        <w:rPr>
          <w:lang w:val="en-ZA"/>
        </w:rPr>
      </w:pPr>
      <w:r>
        <w:rPr>
          <w:rStyle w:val="FootnoteReference"/>
        </w:rPr>
        <w:footnoteRef/>
      </w:r>
      <w:r>
        <w:t xml:space="preserve"> </w:t>
      </w:r>
      <w:r>
        <w:rPr>
          <w:lang w:val="en-ZA"/>
        </w:rPr>
        <w:t>Para 39.</w:t>
      </w:r>
    </w:p>
  </w:footnote>
  <w:footnote w:id="41">
    <w:p w14:paraId="31A7B575" w14:textId="77777777" w:rsidR="00DD17E6" w:rsidRDefault="00DD17E6" w:rsidP="00DD17E6">
      <w:pPr>
        <w:pStyle w:val="FootnoteText"/>
      </w:pPr>
      <w:r>
        <w:rPr>
          <w:rStyle w:val="FootnoteReference"/>
        </w:rPr>
        <w:footnoteRef/>
      </w:r>
      <w:r>
        <w:t xml:space="preserve"> Para 40.</w:t>
      </w:r>
    </w:p>
  </w:footnote>
  <w:footnote w:id="42">
    <w:p w14:paraId="5C9FA2E2" w14:textId="0BE3934A" w:rsidR="00017FA1" w:rsidRDefault="00017FA1">
      <w:pPr>
        <w:pStyle w:val="FootnoteText"/>
      </w:pPr>
      <w:r>
        <w:rPr>
          <w:rStyle w:val="FootnoteReference"/>
        </w:rPr>
        <w:footnoteRef/>
      </w:r>
      <w:r>
        <w:t xml:space="preserve"> </w:t>
      </w:r>
      <w:r w:rsidRPr="004963B5">
        <w:rPr>
          <w:i/>
          <w:iCs/>
        </w:rPr>
        <w:t xml:space="preserve">Oudekraal </w:t>
      </w:r>
      <w:r w:rsidR="004963B5" w:rsidRPr="004963B5">
        <w:rPr>
          <w:i/>
          <w:iCs/>
        </w:rPr>
        <w:t xml:space="preserve">Estates (Pty) Ltd </w:t>
      </w:r>
      <w:r w:rsidRPr="004963B5">
        <w:rPr>
          <w:i/>
          <w:iCs/>
        </w:rPr>
        <w:t>v</w:t>
      </w:r>
      <w:r w:rsidR="004963B5" w:rsidRPr="004963B5">
        <w:rPr>
          <w:i/>
          <w:iCs/>
        </w:rPr>
        <w:t xml:space="preserve"> City of Cape Town</w:t>
      </w:r>
      <w:r w:rsidR="004963B5">
        <w:t xml:space="preserve"> 2010 (1) SA 333 (SCA).</w:t>
      </w:r>
    </w:p>
  </w:footnote>
  <w:footnote w:id="43">
    <w:p w14:paraId="7EE501E7" w14:textId="52247958" w:rsidR="00B452FB" w:rsidRPr="007C5558" w:rsidRDefault="00B452FB">
      <w:pPr>
        <w:pStyle w:val="FootnoteText"/>
        <w:rPr>
          <w:lang w:val="en-ZA"/>
        </w:rPr>
      </w:pPr>
      <w:r>
        <w:rPr>
          <w:rStyle w:val="FootnoteReference"/>
        </w:rPr>
        <w:footnoteRef/>
      </w:r>
      <w:r>
        <w:t xml:space="preserve"> </w:t>
      </w:r>
      <w:r w:rsidR="00E332A3" w:rsidRPr="007C5558">
        <w:rPr>
          <w:i/>
          <w:iCs/>
        </w:rPr>
        <w:t xml:space="preserve">3M SA (Pty) Ltd v Commissioner, </w:t>
      </w:r>
      <w:r w:rsidR="007C5558" w:rsidRPr="007C5558">
        <w:rPr>
          <w:i/>
          <w:iCs/>
          <w:lang w:val="en-ZA"/>
        </w:rPr>
        <w:t>South African Revenue Service</w:t>
      </w:r>
      <w:r w:rsidR="007C5558">
        <w:rPr>
          <w:i/>
          <w:iCs/>
          <w:lang w:val="en-ZA"/>
        </w:rPr>
        <w:t xml:space="preserve"> </w:t>
      </w:r>
      <w:r w:rsidR="007C5558">
        <w:rPr>
          <w:lang w:val="en-ZA"/>
        </w:rPr>
        <w:t>[2010] 3 All SA 361 (SCA).</w:t>
      </w:r>
    </w:p>
  </w:footnote>
  <w:footnote w:id="44">
    <w:p w14:paraId="19F0430B" w14:textId="216EF99B" w:rsidR="00F86B67" w:rsidRDefault="00F86B67">
      <w:pPr>
        <w:pStyle w:val="FootnoteText"/>
      </w:pPr>
      <w:r>
        <w:rPr>
          <w:rStyle w:val="FootnoteReference"/>
        </w:rPr>
        <w:footnoteRef/>
      </w:r>
      <w:r>
        <w:t xml:space="preserve"> Id para 33.</w:t>
      </w:r>
    </w:p>
  </w:footnote>
  <w:footnote w:id="45">
    <w:p w14:paraId="4AC15F0F" w14:textId="21CF4607" w:rsidR="00C66503" w:rsidRPr="00C66503" w:rsidRDefault="00C66503">
      <w:pPr>
        <w:pStyle w:val="FootnoteText"/>
        <w:rPr>
          <w:lang w:val="en-ZA"/>
        </w:rPr>
      </w:pPr>
      <w:r>
        <w:rPr>
          <w:rStyle w:val="FootnoteReference"/>
        </w:rPr>
        <w:footnoteRef/>
      </w:r>
      <w:r>
        <w:t xml:space="preserve"> </w:t>
      </w:r>
      <w:r>
        <w:rPr>
          <w:lang w:val="en-ZA"/>
        </w:rPr>
        <w:t>Para 55.</w:t>
      </w:r>
    </w:p>
  </w:footnote>
  <w:footnote w:id="46">
    <w:p w14:paraId="5C8C3F26" w14:textId="6D21CFAD" w:rsidR="00425998" w:rsidRDefault="00425998">
      <w:pPr>
        <w:pStyle w:val="FootnoteText"/>
      </w:pPr>
      <w:r>
        <w:rPr>
          <w:rStyle w:val="FootnoteReference"/>
        </w:rPr>
        <w:footnoteRef/>
      </w:r>
      <w:r>
        <w:t xml:space="preserve"> </w:t>
      </w:r>
      <w:r w:rsidR="005716C0">
        <w:t>P</w:t>
      </w:r>
      <w:r>
        <w:t>ara 68.</w:t>
      </w:r>
    </w:p>
  </w:footnote>
  <w:footnote w:id="47">
    <w:p w14:paraId="433FF98F" w14:textId="53BCDB8B" w:rsidR="00425998" w:rsidRDefault="00425998">
      <w:pPr>
        <w:pStyle w:val="FootnoteText"/>
      </w:pPr>
      <w:r>
        <w:rPr>
          <w:rStyle w:val="FootnoteReference"/>
        </w:rPr>
        <w:footnoteRef/>
      </w:r>
      <w:r>
        <w:t xml:space="preserve"> </w:t>
      </w:r>
      <w:r w:rsidR="005716C0">
        <w:t>P</w:t>
      </w:r>
      <w:r>
        <w:t>ara 69.</w:t>
      </w:r>
    </w:p>
  </w:footnote>
  <w:footnote w:id="48">
    <w:p w14:paraId="650E8009" w14:textId="095FEF90" w:rsidR="00425998" w:rsidRDefault="00425998">
      <w:pPr>
        <w:pStyle w:val="FootnoteText"/>
      </w:pPr>
      <w:r>
        <w:rPr>
          <w:rStyle w:val="FootnoteReference"/>
        </w:rPr>
        <w:footnoteRef/>
      </w:r>
      <w:r>
        <w:t xml:space="preserve"> </w:t>
      </w:r>
      <w:r w:rsidR="005716C0">
        <w:t>P</w:t>
      </w:r>
      <w:r>
        <w:t xml:space="preserve">ara 70. </w:t>
      </w:r>
    </w:p>
  </w:footnote>
  <w:footnote w:id="49">
    <w:p w14:paraId="2796801F" w14:textId="0E4D64CA" w:rsidR="00425998" w:rsidRDefault="00425998">
      <w:pPr>
        <w:pStyle w:val="FootnoteText"/>
      </w:pPr>
      <w:r>
        <w:rPr>
          <w:rStyle w:val="FootnoteReference"/>
        </w:rPr>
        <w:footnoteRef/>
      </w:r>
      <w:r>
        <w:t xml:space="preserve"> </w:t>
      </w:r>
      <w:r w:rsidR="005716C0">
        <w:t>P</w:t>
      </w:r>
      <w:r>
        <w:t>aras 70-71.</w:t>
      </w:r>
    </w:p>
  </w:footnote>
  <w:footnote w:id="50">
    <w:p w14:paraId="12C7CA60" w14:textId="77777777" w:rsidR="0085038A" w:rsidRPr="00425998" w:rsidRDefault="0085038A" w:rsidP="0085038A">
      <w:pPr>
        <w:pStyle w:val="FootnoteText"/>
        <w:rPr>
          <w:lang w:val="en-ZA"/>
        </w:rPr>
      </w:pPr>
      <w:r>
        <w:rPr>
          <w:rStyle w:val="FootnoteReference"/>
        </w:rPr>
        <w:footnoteRef/>
      </w:r>
      <w:r>
        <w:t xml:space="preserve"> </w:t>
      </w:r>
      <w:r>
        <w:rPr>
          <w:lang w:val="en-ZA"/>
        </w:rPr>
        <w:t>In footnote 86.</w:t>
      </w:r>
    </w:p>
  </w:footnote>
  <w:footnote w:id="51">
    <w:p w14:paraId="7359F410" w14:textId="5063AD89" w:rsidR="002B06EC" w:rsidRPr="002B06EC" w:rsidRDefault="002B06EC">
      <w:pPr>
        <w:pStyle w:val="FootnoteText"/>
        <w:rPr>
          <w:lang w:val="en-ZA"/>
        </w:rPr>
      </w:pPr>
      <w:r>
        <w:rPr>
          <w:rStyle w:val="FootnoteReference"/>
        </w:rPr>
        <w:footnoteRef/>
      </w:r>
      <w:r>
        <w:t xml:space="preserve"> </w:t>
      </w:r>
      <w:r w:rsidR="00066B64" w:rsidRPr="00066B64">
        <w:rPr>
          <w:i/>
          <w:iCs/>
        </w:rPr>
        <w:t xml:space="preserve">Plymouth City Council v </w:t>
      </w:r>
      <w:r w:rsidR="00066B64" w:rsidRPr="00066B64">
        <w:rPr>
          <w:bCs/>
          <w:i/>
          <w:iCs/>
          <w:lang w:val="en-GB"/>
        </w:rPr>
        <w:t>Quietlynn</w:t>
      </w:r>
      <w:r w:rsidR="00066B64" w:rsidRPr="00066B64">
        <w:rPr>
          <w:bCs/>
          <w:lang w:val="en-GB"/>
        </w:rPr>
        <w:t xml:space="preserve"> [1987] 2 All ER 1040</w:t>
      </w:r>
      <w:r w:rsidR="00066B64">
        <w:rPr>
          <w:bCs/>
          <w:lang w:val="en-GB"/>
        </w:rPr>
        <w:t>.</w:t>
      </w:r>
    </w:p>
  </w:footnote>
  <w:footnote w:id="52">
    <w:p w14:paraId="751B87C0" w14:textId="3782F943" w:rsidR="002B06EC" w:rsidRPr="002B06EC" w:rsidRDefault="002B06EC">
      <w:pPr>
        <w:pStyle w:val="FootnoteText"/>
        <w:rPr>
          <w:lang w:val="en-ZA"/>
        </w:rPr>
      </w:pPr>
      <w:r>
        <w:rPr>
          <w:rStyle w:val="FootnoteReference"/>
        </w:rPr>
        <w:footnoteRef/>
      </w:r>
      <w:r w:rsidR="00066B64" w:rsidRPr="00333E14">
        <w:rPr>
          <w:bCs/>
          <w:lang w:val="en-GB"/>
        </w:rPr>
        <w:t xml:space="preserve"> </w:t>
      </w:r>
      <w:r w:rsidR="00066B64">
        <w:rPr>
          <w:bCs/>
          <w:lang w:val="en-GB"/>
        </w:rPr>
        <w:t xml:space="preserve">R v </w:t>
      </w:r>
      <w:r w:rsidR="00066B64" w:rsidRPr="00333E14">
        <w:rPr>
          <w:bCs/>
          <w:i/>
          <w:iCs/>
          <w:lang w:val="en-GB"/>
        </w:rPr>
        <w:t>Wicks</w:t>
      </w:r>
      <w:r w:rsidR="00066B64">
        <w:rPr>
          <w:bCs/>
          <w:i/>
          <w:iCs/>
          <w:lang w:val="en-GB"/>
        </w:rPr>
        <w:t xml:space="preserve"> </w:t>
      </w:r>
      <w:r w:rsidR="00066B64">
        <w:rPr>
          <w:bCs/>
          <w:lang w:val="en-GB"/>
        </w:rPr>
        <w:t>{1997} 2 All ER 801.</w:t>
      </w:r>
      <w:r>
        <w:t xml:space="preserve"> </w:t>
      </w:r>
    </w:p>
  </w:footnote>
  <w:footnote w:id="53">
    <w:p w14:paraId="289BEBF2" w14:textId="77777777" w:rsidR="00B12003" w:rsidRDefault="00B12003" w:rsidP="00B12003">
      <w:pPr>
        <w:pStyle w:val="FootnoteText"/>
      </w:pPr>
      <w:r>
        <w:rPr>
          <w:rStyle w:val="FootnoteReference"/>
        </w:rPr>
        <w:footnoteRef/>
      </w:r>
      <w:r>
        <w:t xml:space="preserve"> </w:t>
      </w:r>
      <w:r w:rsidRPr="005716C0">
        <w:rPr>
          <w:i/>
          <w:iCs/>
        </w:rPr>
        <w:t>Khabisi v Aquarella Investments 83 (Pty) Ltd &amp; Ors</w:t>
      </w:r>
      <w:r>
        <w:t xml:space="preserve"> 2008 (4) SA 195 (T).</w:t>
      </w:r>
    </w:p>
  </w:footnote>
  <w:footnote w:id="54">
    <w:p w14:paraId="08C4CB36" w14:textId="20B02685" w:rsidR="00066B64" w:rsidRPr="00066B64" w:rsidRDefault="00066B64">
      <w:pPr>
        <w:pStyle w:val="FootnoteText"/>
        <w:rPr>
          <w:lang w:val="en-ZA"/>
        </w:rPr>
      </w:pPr>
      <w:r>
        <w:rPr>
          <w:rStyle w:val="FootnoteReference"/>
        </w:rPr>
        <w:footnoteRef/>
      </w:r>
      <w:r>
        <w:t xml:space="preserve"> </w:t>
      </w:r>
      <w:r>
        <w:rPr>
          <w:lang w:val="en-ZA"/>
        </w:rPr>
        <w:t>Note</w:t>
      </w:r>
      <w:r w:rsidR="00F853D5">
        <w:rPr>
          <w:lang w:val="en-ZA"/>
        </w:rPr>
        <w:t xml:space="preserve"> 51.</w:t>
      </w:r>
      <w:r>
        <w:rPr>
          <w:lang w:val="en-ZA"/>
        </w:rPr>
        <w:t xml:space="preserve"> </w:t>
      </w:r>
    </w:p>
  </w:footnote>
  <w:footnote w:id="55">
    <w:p w14:paraId="7781288B" w14:textId="453CB27C" w:rsidR="00066B64" w:rsidRPr="00066B64" w:rsidRDefault="00066B64">
      <w:pPr>
        <w:pStyle w:val="FootnoteText"/>
        <w:rPr>
          <w:lang w:val="en-ZA"/>
        </w:rPr>
      </w:pPr>
      <w:r>
        <w:rPr>
          <w:rStyle w:val="FootnoteReference"/>
        </w:rPr>
        <w:footnoteRef/>
      </w:r>
      <w:r>
        <w:t xml:space="preserve"> </w:t>
      </w:r>
      <w:r w:rsidR="00F853D5">
        <w:t>Id, p</w:t>
      </w:r>
      <w:r>
        <w:rPr>
          <w:lang w:val="en-ZA"/>
        </w:rPr>
        <w:t xml:space="preserve">er Lord Irving in </w:t>
      </w:r>
      <w:r w:rsidRPr="00066B64">
        <w:rPr>
          <w:i/>
          <w:iCs/>
          <w:lang w:val="en-ZA"/>
        </w:rPr>
        <w:t xml:space="preserve">Quietlynn </w:t>
      </w:r>
      <w:r>
        <w:rPr>
          <w:lang w:val="en-ZA"/>
        </w:rPr>
        <w:t>n</w:t>
      </w:r>
      <w:r w:rsidR="00FE4BA3">
        <w:rPr>
          <w:lang w:val="en-ZA"/>
        </w:rPr>
        <w:t xml:space="preserve"> 5</w:t>
      </w:r>
      <w:r w:rsidR="00F853D5">
        <w:rPr>
          <w:lang w:val="en-ZA"/>
        </w:rPr>
        <w:t>1</w:t>
      </w:r>
      <w:r w:rsidR="00FE4BA3">
        <w:rPr>
          <w:lang w:val="en-ZA"/>
        </w:rPr>
        <w:t xml:space="preserve">, as endorsed in the recent decision of </w:t>
      </w:r>
      <w:r w:rsidR="00FE4BA3" w:rsidRPr="00171B2B">
        <w:rPr>
          <w:i/>
          <w:iCs/>
          <w:lang w:val="en-ZA"/>
        </w:rPr>
        <w:t xml:space="preserve">R </w:t>
      </w:r>
      <w:r w:rsidR="009E62AD" w:rsidRPr="00171B2B">
        <w:rPr>
          <w:i/>
          <w:iCs/>
          <w:lang w:val="en-ZA"/>
        </w:rPr>
        <w:t>v</w:t>
      </w:r>
      <w:r w:rsidR="00FE4BA3" w:rsidRPr="00171B2B">
        <w:rPr>
          <w:i/>
          <w:iCs/>
          <w:lang w:val="en-ZA"/>
        </w:rPr>
        <w:t xml:space="preserve"> Cooper</w:t>
      </w:r>
      <w:r w:rsidR="00FE4BA3">
        <w:rPr>
          <w:lang w:val="en-ZA"/>
        </w:rPr>
        <w:t xml:space="preserve"> [2022] EWCA Crim 922, which concerned a failure to comply with a </w:t>
      </w:r>
      <w:r w:rsidR="00171B2B">
        <w:rPr>
          <w:lang w:val="en-ZA"/>
        </w:rPr>
        <w:t xml:space="preserve">stop works </w:t>
      </w:r>
      <w:r w:rsidR="00FE4BA3">
        <w:rPr>
          <w:lang w:val="en-ZA"/>
        </w:rPr>
        <w:t>notice in terms of environmental regulations</w:t>
      </w:r>
      <w:r w:rsidR="00C53C8B">
        <w:rPr>
          <w:lang w:val="en-ZA"/>
        </w:rPr>
        <w:t xml:space="preserve">, and the court refused to entertain a collateral challenge as the defendant could have availed himself of an internal appeal to an administrative </w:t>
      </w:r>
      <w:r w:rsidR="003053C4">
        <w:rPr>
          <w:lang w:val="en-ZA"/>
        </w:rPr>
        <w:t>body but</w:t>
      </w:r>
      <w:r w:rsidR="00C53C8B">
        <w:rPr>
          <w:lang w:val="en-ZA"/>
        </w:rPr>
        <w:t xml:space="preserve"> failed to do so</w:t>
      </w:r>
      <w:r>
        <w:rPr>
          <w:lang w:val="en-ZA"/>
        </w:rPr>
        <w:t>.</w:t>
      </w:r>
    </w:p>
  </w:footnote>
  <w:footnote w:id="56">
    <w:p w14:paraId="206816ED" w14:textId="259F4CC3" w:rsidR="00DC4B98" w:rsidRPr="00DC4B98" w:rsidRDefault="00DC4B98">
      <w:pPr>
        <w:pStyle w:val="FootnoteText"/>
        <w:rPr>
          <w:lang w:val="en-ZA"/>
        </w:rPr>
      </w:pPr>
      <w:r>
        <w:rPr>
          <w:rStyle w:val="FootnoteReference"/>
        </w:rPr>
        <w:footnoteRef/>
      </w:r>
      <w:r>
        <w:t xml:space="preserve"> </w:t>
      </w:r>
      <w:r>
        <w:rPr>
          <w:lang w:val="en-ZA"/>
        </w:rPr>
        <w:t xml:space="preserve">In both </w:t>
      </w:r>
      <w:r w:rsidRPr="00DC4B98">
        <w:rPr>
          <w:i/>
          <w:iCs/>
          <w:lang w:val="en-ZA"/>
        </w:rPr>
        <w:t>Quietlynn</w:t>
      </w:r>
      <w:r>
        <w:rPr>
          <w:lang w:val="en-ZA"/>
        </w:rPr>
        <w:t xml:space="preserve"> and </w:t>
      </w:r>
      <w:r w:rsidRPr="00DC4B98">
        <w:rPr>
          <w:i/>
          <w:iCs/>
          <w:lang w:val="en-ZA"/>
        </w:rPr>
        <w:t>Wicks</w:t>
      </w:r>
      <w:r>
        <w:rPr>
          <w:lang w:val="en-ZA"/>
        </w:rPr>
        <w:t xml:space="preserve"> the relevant statutory schemes provided for internal, administrative remedies of appeal.   </w:t>
      </w:r>
    </w:p>
  </w:footnote>
  <w:footnote w:id="57">
    <w:p w14:paraId="6922CD44" w14:textId="7CC4C9A8" w:rsidR="00F94CA2" w:rsidRPr="00F94CA2" w:rsidRDefault="00F94CA2">
      <w:pPr>
        <w:pStyle w:val="FootnoteText"/>
        <w:rPr>
          <w:lang w:val="en-ZA"/>
        </w:rPr>
      </w:pPr>
      <w:r>
        <w:rPr>
          <w:rStyle w:val="FootnoteReference"/>
        </w:rPr>
        <w:footnoteRef/>
      </w:r>
      <w:r>
        <w:t xml:space="preserve"> </w:t>
      </w:r>
      <w:r w:rsidRPr="00F94CA2">
        <w:rPr>
          <w:i/>
          <w:iCs/>
          <w:lang w:val="en-ZA"/>
        </w:rPr>
        <w:t xml:space="preserve">Department of Transport v Tasima (Pty) Ltd </w:t>
      </w:r>
      <w:r>
        <w:rPr>
          <w:lang w:val="en-ZA"/>
        </w:rPr>
        <w:t>2017 (2) SA 622 (CC), footnote 63.</w:t>
      </w:r>
    </w:p>
  </w:footnote>
  <w:footnote w:id="58">
    <w:p w14:paraId="3C3CA46C" w14:textId="0A58648D" w:rsidR="00660F72" w:rsidRPr="00660F72" w:rsidRDefault="00660F72">
      <w:pPr>
        <w:pStyle w:val="FootnoteText"/>
        <w:rPr>
          <w:lang w:val="en-ZA"/>
        </w:rPr>
      </w:pPr>
      <w:r>
        <w:rPr>
          <w:rStyle w:val="FootnoteReference"/>
        </w:rPr>
        <w:footnoteRef/>
      </w:r>
      <w:r>
        <w:t xml:space="preserve"> </w:t>
      </w:r>
      <w:r>
        <w:rPr>
          <w:lang w:val="en-ZA"/>
        </w:rPr>
        <w:t>Note 35.</w:t>
      </w:r>
    </w:p>
  </w:footnote>
  <w:footnote w:id="59">
    <w:p w14:paraId="575F9CBC" w14:textId="77200C90" w:rsidR="00F61C00" w:rsidRDefault="00F61C00">
      <w:pPr>
        <w:pStyle w:val="FootnoteText"/>
      </w:pPr>
      <w:r>
        <w:rPr>
          <w:rStyle w:val="FootnoteReference"/>
        </w:rPr>
        <w:footnoteRef/>
      </w:r>
      <w:r>
        <w:t xml:space="preserve"> </w:t>
      </w:r>
      <w:r w:rsidR="003D7E95">
        <w:t>P</w:t>
      </w:r>
      <w:r>
        <w:t>ara 72.</w:t>
      </w:r>
    </w:p>
  </w:footnote>
  <w:footnote w:id="60">
    <w:p w14:paraId="52498295" w14:textId="3B6643E1" w:rsidR="00F61C00" w:rsidRDefault="00F61C00">
      <w:pPr>
        <w:pStyle w:val="FootnoteText"/>
      </w:pPr>
      <w:r>
        <w:rPr>
          <w:rStyle w:val="FootnoteReference"/>
        </w:rPr>
        <w:footnoteRef/>
      </w:r>
      <w:r>
        <w:t xml:space="preserve"> </w:t>
      </w:r>
      <w:r w:rsidR="003D7E95">
        <w:t>P</w:t>
      </w:r>
      <w:r>
        <w:t>ara 6</w:t>
      </w:r>
      <w:r w:rsidR="003D7E95">
        <w:t>1</w:t>
      </w:r>
      <w:r>
        <w:t>.</w:t>
      </w:r>
    </w:p>
  </w:footnote>
  <w:footnote w:id="61">
    <w:p w14:paraId="1CA6C503" w14:textId="5FEDA7AE" w:rsidR="00C66D99" w:rsidRPr="00C66D99" w:rsidRDefault="00C66D99">
      <w:pPr>
        <w:pStyle w:val="FootnoteText"/>
        <w:rPr>
          <w:lang w:val="en-ZA"/>
        </w:rPr>
      </w:pPr>
      <w:r>
        <w:rPr>
          <w:rStyle w:val="FootnoteReference"/>
        </w:rPr>
        <w:footnoteRef/>
      </w:r>
      <w:r>
        <w:t xml:space="preserve"> </w:t>
      </w:r>
      <w:r>
        <w:rPr>
          <w:lang w:val="en-ZA"/>
        </w:rPr>
        <w:t>Para 77.</w:t>
      </w:r>
    </w:p>
  </w:footnote>
  <w:footnote w:id="62">
    <w:p w14:paraId="1B466948" w14:textId="179DDAE2" w:rsidR="00C66D99" w:rsidRDefault="00C66D99">
      <w:pPr>
        <w:pStyle w:val="FootnoteText"/>
      </w:pPr>
      <w:r>
        <w:rPr>
          <w:rStyle w:val="FootnoteReference"/>
        </w:rPr>
        <w:footnoteRef/>
      </w:r>
      <w:r>
        <w:t xml:space="preserve"> </w:t>
      </w:r>
      <w:r w:rsidR="000E6EAB">
        <w:t>P</w:t>
      </w:r>
      <w:r>
        <w:t xml:space="preserve">ara 81. </w:t>
      </w:r>
    </w:p>
  </w:footnote>
  <w:footnote w:id="63">
    <w:p w14:paraId="7B68DC8E" w14:textId="6152A58F" w:rsidR="000E6EAB" w:rsidRPr="000E6EAB" w:rsidRDefault="000E6EAB">
      <w:pPr>
        <w:pStyle w:val="FootnoteText"/>
        <w:rPr>
          <w:lang w:val="en-ZA"/>
        </w:rPr>
      </w:pPr>
      <w:r>
        <w:rPr>
          <w:rStyle w:val="FootnoteReference"/>
        </w:rPr>
        <w:footnoteRef/>
      </w:r>
      <w:r>
        <w:t xml:space="preserve"> Note 57. </w:t>
      </w:r>
    </w:p>
  </w:footnote>
  <w:footnote w:id="64">
    <w:p w14:paraId="790AF940" w14:textId="6ED7D35F" w:rsidR="00B71546" w:rsidRPr="00B71546" w:rsidRDefault="00B71546">
      <w:pPr>
        <w:pStyle w:val="FootnoteText"/>
        <w:rPr>
          <w:lang w:val="en-ZA"/>
        </w:rPr>
      </w:pPr>
      <w:r>
        <w:rPr>
          <w:rStyle w:val="FootnoteReference"/>
        </w:rPr>
        <w:footnoteRef/>
      </w:r>
      <w:r>
        <w:t xml:space="preserve"> Id, p</w:t>
      </w:r>
      <w:r>
        <w:rPr>
          <w:lang w:val="en-ZA"/>
        </w:rPr>
        <w:t>ara 143</w:t>
      </w:r>
      <w:r w:rsidR="00FB56FD">
        <w:rPr>
          <w:lang w:val="en-ZA"/>
        </w:rPr>
        <w:t>.</w:t>
      </w:r>
    </w:p>
  </w:footnote>
  <w:footnote w:id="65">
    <w:p w14:paraId="7BFD022A" w14:textId="0E423F00" w:rsidR="00FF4EAB" w:rsidRDefault="00FF4EAB">
      <w:pPr>
        <w:pStyle w:val="FootnoteText"/>
      </w:pPr>
      <w:r>
        <w:rPr>
          <w:rStyle w:val="FootnoteReference"/>
        </w:rPr>
        <w:footnoteRef/>
      </w:r>
      <w:r>
        <w:t xml:space="preserve"> Para 160.</w:t>
      </w:r>
    </w:p>
  </w:footnote>
  <w:footnote w:id="66">
    <w:p w14:paraId="7D1F6364" w14:textId="4C699172" w:rsidR="007262F8" w:rsidRPr="007262F8" w:rsidRDefault="007262F8">
      <w:pPr>
        <w:pStyle w:val="FootnoteText"/>
        <w:rPr>
          <w:lang w:val="en-ZA"/>
        </w:rPr>
      </w:pPr>
      <w:r>
        <w:rPr>
          <w:rStyle w:val="FootnoteReference"/>
        </w:rPr>
        <w:footnoteRef/>
      </w:r>
      <w:r>
        <w:t xml:space="preserve"> </w:t>
      </w:r>
      <w:r>
        <w:rPr>
          <w:lang w:val="en-ZA"/>
        </w:rPr>
        <w:t>Per Khampepe J para 144.</w:t>
      </w:r>
    </w:p>
  </w:footnote>
  <w:footnote w:id="67">
    <w:p w14:paraId="76EE6BC1" w14:textId="66B00619" w:rsidR="00FF4EAB" w:rsidRPr="00FF4EAB" w:rsidRDefault="00FF4EAB">
      <w:pPr>
        <w:pStyle w:val="FootnoteText"/>
        <w:rPr>
          <w:lang w:val="en-ZA"/>
        </w:rPr>
      </w:pPr>
      <w:r>
        <w:rPr>
          <w:rStyle w:val="FootnoteReference"/>
        </w:rPr>
        <w:footnoteRef/>
      </w:r>
      <w:r>
        <w:t xml:space="preserve"> </w:t>
      </w:r>
      <w:r w:rsidRPr="009F1970">
        <w:rPr>
          <w:i/>
          <w:iCs/>
          <w:lang w:val="en-ZA"/>
        </w:rPr>
        <w:t>Khumalo</w:t>
      </w:r>
      <w:r w:rsidR="009F1970" w:rsidRPr="009F1970">
        <w:rPr>
          <w:i/>
          <w:iCs/>
          <w:lang w:val="en-ZA"/>
        </w:rPr>
        <w:t xml:space="preserve"> &amp; Ano v MEC for Education, KwaZulu Natal &amp; Ors</w:t>
      </w:r>
      <w:r w:rsidR="009F1970">
        <w:rPr>
          <w:lang w:val="en-ZA"/>
        </w:rPr>
        <w:t xml:space="preserve"> 2013 (4) SA 262 (CC).</w:t>
      </w:r>
    </w:p>
  </w:footnote>
  <w:footnote w:id="68">
    <w:p w14:paraId="26E30BF8" w14:textId="53828345" w:rsidR="009F1970" w:rsidRDefault="009F1970">
      <w:pPr>
        <w:pStyle w:val="FootnoteText"/>
      </w:pPr>
      <w:r>
        <w:rPr>
          <w:rStyle w:val="FootnoteReference"/>
        </w:rPr>
        <w:footnoteRef/>
      </w:r>
      <w:r>
        <w:t xml:space="preserve"> </w:t>
      </w:r>
      <w:r w:rsidRPr="0015047B">
        <w:rPr>
          <w:i/>
          <w:iCs/>
        </w:rPr>
        <w:t>Khumalo</w:t>
      </w:r>
      <w:r>
        <w:t xml:space="preserve"> para 57.</w:t>
      </w:r>
    </w:p>
  </w:footnote>
  <w:footnote w:id="69">
    <w:p w14:paraId="7D8C5BAC" w14:textId="12B8B8A7" w:rsidR="0015047B" w:rsidRPr="0015047B" w:rsidRDefault="0015047B">
      <w:pPr>
        <w:pStyle w:val="FootnoteText"/>
        <w:rPr>
          <w:lang w:val="en-ZA"/>
        </w:rPr>
      </w:pPr>
      <w:r>
        <w:rPr>
          <w:rStyle w:val="FootnoteReference"/>
        </w:rPr>
        <w:footnoteRef/>
      </w:r>
      <w:r>
        <w:t xml:space="preserve"> </w:t>
      </w:r>
      <w:r w:rsidR="000624AD" w:rsidRPr="000624AD">
        <w:rPr>
          <w:i/>
          <w:iCs/>
        </w:rPr>
        <w:t>Tasima</w:t>
      </w:r>
      <w:r w:rsidR="000624AD">
        <w:t>,</w:t>
      </w:r>
      <w:r>
        <w:t xml:space="preserve"> p</w:t>
      </w:r>
      <w:r>
        <w:rPr>
          <w:lang w:val="en-ZA"/>
        </w:rPr>
        <w:t>aras 152-170.</w:t>
      </w:r>
    </w:p>
  </w:footnote>
  <w:footnote w:id="70">
    <w:p w14:paraId="5200E896" w14:textId="19DB793A" w:rsidR="008C1D67" w:rsidRPr="008C1D67" w:rsidRDefault="008C1D67">
      <w:pPr>
        <w:pStyle w:val="FootnoteText"/>
        <w:rPr>
          <w:lang w:val="en-ZA"/>
        </w:rPr>
      </w:pPr>
      <w:r>
        <w:rPr>
          <w:rStyle w:val="FootnoteReference"/>
        </w:rPr>
        <w:footnoteRef/>
      </w:r>
      <w:r>
        <w:t xml:space="preserve"> </w:t>
      </w:r>
      <w:r w:rsidRPr="008C1D67">
        <w:rPr>
          <w:i/>
          <w:iCs/>
          <w:lang w:val="en-ZA"/>
        </w:rPr>
        <w:t>State Information Technology Agency SOC Ltd v Gijima Holdings (Pty) Ltd</w:t>
      </w:r>
      <w:r>
        <w:rPr>
          <w:lang w:val="en-ZA"/>
        </w:rPr>
        <w:t xml:space="preserve"> 2018 (2) SA 23 (CC).</w:t>
      </w:r>
    </w:p>
  </w:footnote>
  <w:footnote w:id="71">
    <w:p w14:paraId="2A5B8003" w14:textId="730A753F" w:rsidR="000624AD" w:rsidRPr="000624AD" w:rsidRDefault="000624AD">
      <w:pPr>
        <w:pStyle w:val="FootnoteText"/>
        <w:rPr>
          <w:lang w:val="en-ZA"/>
        </w:rPr>
      </w:pPr>
      <w:r>
        <w:rPr>
          <w:rStyle w:val="FootnoteReference"/>
        </w:rPr>
        <w:footnoteRef/>
      </w:r>
      <w:r>
        <w:t xml:space="preserve"> </w:t>
      </w:r>
      <w:r w:rsidR="00173B91" w:rsidRPr="00173B91">
        <w:rPr>
          <w:i/>
          <w:iCs/>
        </w:rPr>
        <w:t>Buffalo City Metropolitan University v Asla Construction (Pty) Ltd</w:t>
      </w:r>
      <w:r w:rsidR="00173B91">
        <w:t xml:space="preserve"> 2019 (4) SA 331 (CC) para 137.</w:t>
      </w:r>
    </w:p>
  </w:footnote>
  <w:footnote w:id="72">
    <w:p w14:paraId="19E59BF0" w14:textId="0D420CB3" w:rsidR="00D66278" w:rsidRPr="00D66278" w:rsidRDefault="00D66278">
      <w:pPr>
        <w:pStyle w:val="FootnoteText"/>
        <w:rPr>
          <w:lang w:val="en-ZA"/>
        </w:rPr>
      </w:pPr>
      <w:r>
        <w:rPr>
          <w:rStyle w:val="FootnoteReference"/>
        </w:rPr>
        <w:footnoteRef/>
      </w:r>
      <w:r>
        <w:t xml:space="preserve"> </w:t>
      </w:r>
      <w:r>
        <w:rPr>
          <w:lang w:val="en-ZA"/>
        </w:rPr>
        <w:t>Id, para 69.</w:t>
      </w:r>
    </w:p>
  </w:footnote>
  <w:footnote w:id="73">
    <w:p w14:paraId="01186D61" w14:textId="464FFF9C" w:rsidR="00D66278" w:rsidRPr="00D66278" w:rsidRDefault="00D66278">
      <w:pPr>
        <w:pStyle w:val="FootnoteText"/>
        <w:rPr>
          <w:lang w:val="en-ZA"/>
        </w:rPr>
      </w:pPr>
      <w:r>
        <w:rPr>
          <w:rStyle w:val="FootnoteReference"/>
        </w:rPr>
        <w:footnoteRef/>
      </w:r>
      <w:r>
        <w:t xml:space="preserve"> Id,</w:t>
      </w:r>
      <w:r>
        <w:rPr>
          <w:lang w:val="en-ZA"/>
        </w:rPr>
        <w:t xml:space="preserve"> para 70.</w:t>
      </w:r>
    </w:p>
  </w:footnote>
  <w:footnote w:id="74">
    <w:p w14:paraId="48B3F424" w14:textId="23F665EA" w:rsidR="00DF6D91" w:rsidRPr="00DF6D91" w:rsidRDefault="00DF6D91">
      <w:pPr>
        <w:pStyle w:val="FootnoteText"/>
        <w:rPr>
          <w:lang w:val="en-ZA"/>
        </w:rPr>
      </w:pPr>
      <w:r>
        <w:rPr>
          <w:rStyle w:val="FootnoteReference"/>
        </w:rPr>
        <w:footnoteRef/>
      </w:r>
      <w:r>
        <w:t xml:space="preserve"> </w:t>
      </w:r>
      <w:r>
        <w:rPr>
          <w:lang w:val="en-ZA"/>
        </w:rPr>
        <w:t>I</w:t>
      </w:r>
      <w:r w:rsidR="00860C7B">
        <w:rPr>
          <w:lang w:val="en-ZA"/>
        </w:rPr>
        <w:t>n</w:t>
      </w:r>
      <w:r>
        <w:rPr>
          <w:lang w:val="en-ZA"/>
        </w:rPr>
        <w:t xml:space="preserve"> the English cases of </w:t>
      </w:r>
      <w:r w:rsidRPr="00860C7B">
        <w:rPr>
          <w:i/>
          <w:iCs/>
          <w:lang w:val="en-ZA"/>
        </w:rPr>
        <w:t>Quietlynn</w:t>
      </w:r>
      <w:r>
        <w:rPr>
          <w:lang w:val="en-ZA"/>
        </w:rPr>
        <w:t xml:space="preserve"> and </w:t>
      </w:r>
      <w:r w:rsidRPr="00860C7B">
        <w:rPr>
          <w:i/>
          <w:iCs/>
          <w:lang w:val="en-ZA"/>
        </w:rPr>
        <w:t>Wicks</w:t>
      </w:r>
      <w:r>
        <w:rPr>
          <w:lang w:val="en-ZA"/>
        </w:rPr>
        <w:t xml:space="preserve"> </w:t>
      </w:r>
      <w:r w:rsidR="00860C7B">
        <w:rPr>
          <w:lang w:val="en-ZA"/>
        </w:rPr>
        <w:t xml:space="preserve">(notes 51 and 52) </w:t>
      </w:r>
      <w:r>
        <w:rPr>
          <w:lang w:val="en-ZA"/>
        </w:rPr>
        <w:t xml:space="preserve">collateral challenges were held to be impermissible where the challenger had recourse to an internal appeal but chose not to make use of it, and in Canada courts have declined to entertain collateral challenges for the same reason vide </w:t>
      </w:r>
      <w:r w:rsidRPr="00860C7B">
        <w:rPr>
          <w:i/>
          <w:iCs/>
          <w:lang w:val="en-ZA"/>
        </w:rPr>
        <w:t>R v Consolidated Maybrun Mines Ltd</w:t>
      </w:r>
      <w:r w:rsidR="00860C7B">
        <w:rPr>
          <w:lang w:val="en-ZA"/>
        </w:rPr>
        <w:t xml:space="preserve"> [199</w:t>
      </w:r>
      <w:r w:rsidR="001E347F">
        <w:rPr>
          <w:lang w:val="en-ZA"/>
        </w:rPr>
        <w:t>8</w:t>
      </w:r>
      <w:r w:rsidR="00860C7B">
        <w:rPr>
          <w:lang w:val="en-ZA"/>
        </w:rPr>
        <w:t>] 1 S.C.R 706; 1998 CanLii 82</w:t>
      </w:r>
      <w:r w:rsidR="00435AB4">
        <w:rPr>
          <w:lang w:val="en-ZA"/>
        </w:rPr>
        <w:t>0</w:t>
      </w:r>
      <w:r w:rsidR="00860C7B">
        <w:rPr>
          <w:lang w:val="en-ZA"/>
        </w:rPr>
        <w:t xml:space="preserve"> (SCC); as endorsed in </w:t>
      </w:r>
      <w:r w:rsidR="00860C7B" w:rsidRPr="00860C7B">
        <w:rPr>
          <w:i/>
          <w:iCs/>
          <w:lang w:val="en-ZA"/>
        </w:rPr>
        <w:t>R v Al Klippert Ltd</w:t>
      </w:r>
      <w:r w:rsidR="00860C7B">
        <w:rPr>
          <w:lang w:val="en-ZA"/>
        </w:rPr>
        <w:t xml:space="preserve"> [1998] 1 S.C.R 737; 1998 CanLii 821 (SCC).  </w:t>
      </w:r>
      <w:r>
        <w:rPr>
          <w:lang w:val="en-ZA"/>
        </w:rPr>
        <w:t xml:space="preserve">   </w:t>
      </w:r>
    </w:p>
  </w:footnote>
  <w:footnote w:id="75">
    <w:p w14:paraId="51EBAB4F" w14:textId="1F6F752D" w:rsidR="00F61285" w:rsidRPr="00F61285" w:rsidRDefault="00F61285">
      <w:pPr>
        <w:pStyle w:val="FootnoteText"/>
        <w:rPr>
          <w:lang w:val="en-ZA"/>
        </w:rPr>
      </w:pPr>
      <w:r>
        <w:rPr>
          <w:rStyle w:val="FootnoteReference"/>
        </w:rPr>
        <w:footnoteRef/>
      </w:r>
      <w:r>
        <w:t xml:space="preserve"> </w:t>
      </w:r>
      <w:r>
        <w:rPr>
          <w:lang w:val="en-ZA"/>
        </w:rPr>
        <w:t>Section 67(1)(d).</w:t>
      </w:r>
    </w:p>
  </w:footnote>
  <w:footnote w:id="76">
    <w:p w14:paraId="6A46F1C7" w14:textId="14B5542A" w:rsidR="00F50396" w:rsidRPr="00F50396" w:rsidRDefault="00F50396">
      <w:pPr>
        <w:pStyle w:val="FootnoteText"/>
        <w:rPr>
          <w:lang w:val="en-ZA"/>
        </w:rPr>
      </w:pPr>
      <w:r>
        <w:rPr>
          <w:rStyle w:val="FootnoteReference"/>
        </w:rPr>
        <w:footnoteRef/>
      </w:r>
      <w:r>
        <w:t xml:space="preserve"> </w:t>
      </w:r>
      <w:r>
        <w:rPr>
          <w:lang w:val="en-ZA"/>
        </w:rPr>
        <w:t>Sections 30(1)-(2).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773076"/>
      <w:docPartObj>
        <w:docPartGallery w:val="Page Numbers (Top of Page)"/>
        <w:docPartUnique/>
      </w:docPartObj>
    </w:sdtPr>
    <w:sdtEndPr>
      <w:rPr>
        <w:noProof/>
      </w:rPr>
    </w:sdtEndPr>
    <w:sdtContent>
      <w:p w14:paraId="157B25AE" w14:textId="09B909CB" w:rsidR="00863757" w:rsidRDefault="00863757">
        <w:pPr>
          <w:pStyle w:val="Header"/>
          <w:jc w:val="right"/>
        </w:pPr>
        <w:r>
          <w:fldChar w:fldCharType="begin"/>
        </w:r>
        <w:r>
          <w:instrText xml:space="preserve"> PAGE   \* MERGEFORMAT </w:instrText>
        </w:r>
        <w:r>
          <w:fldChar w:fldCharType="separate"/>
        </w:r>
        <w:r w:rsidR="00811277">
          <w:rPr>
            <w:noProof/>
          </w:rPr>
          <w:t>8</w:t>
        </w:r>
        <w:r>
          <w:rPr>
            <w:noProof/>
          </w:rPr>
          <w:fldChar w:fldCharType="end"/>
        </w:r>
      </w:p>
    </w:sdtContent>
  </w:sdt>
  <w:p w14:paraId="7FD75FD5" w14:textId="77777777" w:rsidR="00863757" w:rsidRDefault="008637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90F49"/>
    <w:multiLevelType w:val="hybridMultilevel"/>
    <w:tmpl w:val="7488F626"/>
    <w:lvl w:ilvl="0" w:tplc="38A8F4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F6890"/>
    <w:multiLevelType w:val="multilevel"/>
    <w:tmpl w:val="DBCA6F0A"/>
    <w:lvl w:ilvl="0">
      <w:start w:val="1"/>
      <w:numFmt w:val="decimal"/>
      <w:lvlText w:val="%1."/>
      <w:lvlJc w:val="left"/>
      <w:pPr>
        <w:ind w:left="720" w:hanging="360"/>
      </w:pPr>
      <w:rPr>
        <w:rFonts w:ascii="Arial" w:hAnsi="Arial" w:hint="default"/>
        <w:b w:val="0"/>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ED0B3B-8ED0-4A55-AA35-E5676FAB658B}"/>
    <w:docVar w:name="dgnword-eventsink" w:val="286786800"/>
  </w:docVars>
  <w:rsids>
    <w:rsidRoot w:val="00302338"/>
    <w:rsid w:val="000068DC"/>
    <w:rsid w:val="0001224D"/>
    <w:rsid w:val="00013A13"/>
    <w:rsid w:val="00017FA1"/>
    <w:rsid w:val="000248D7"/>
    <w:rsid w:val="00025FC8"/>
    <w:rsid w:val="00040CDA"/>
    <w:rsid w:val="00050D65"/>
    <w:rsid w:val="000624AD"/>
    <w:rsid w:val="00066B64"/>
    <w:rsid w:val="0007232B"/>
    <w:rsid w:val="00072FBB"/>
    <w:rsid w:val="0007383F"/>
    <w:rsid w:val="00076192"/>
    <w:rsid w:val="00090165"/>
    <w:rsid w:val="0009062D"/>
    <w:rsid w:val="0009232E"/>
    <w:rsid w:val="000B4E85"/>
    <w:rsid w:val="000C2EA0"/>
    <w:rsid w:val="000C7DB5"/>
    <w:rsid w:val="000D22BC"/>
    <w:rsid w:val="000D29A9"/>
    <w:rsid w:val="000D2B65"/>
    <w:rsid w:val="000D3716"/>
    <w:rsid w:val="000D4DBA"/>
    <w:rsid w:val="000E0B2C"/>
    <w:rsid w:val="000E6EAB"/>
    <w:rsid w:val="00100F06"/>
    <w:rsid w:val="001024DE"/>
    <w:rsid w:val="00111C4B"/>
    <w:rsid w:val="001256D9"/>
    <w:rsid w:val="001335BA"/>
    <w:rsid w:val="001436CD"/>
    <w:rsid w:val="00146C43"/>
    <w:rsid w:val="0015047B"/>
    <w:rsid w:val="00161EB7"/>
    <w:rsid w:val="0016343C"/>
    <w:rsid w:val="00163A80"/>
    <w:rsid w:val="001656E6"/>
    <w:rsid w:val="00167F16"/>
    <w:rsid w:val="00171B2B"/>
    <w:rsid w:val="001725E1"/>
    <w:rsid w:val="00173B91"/>
    <w:rsid w:val="00174FE2"/>
    <w:rsid w:val="0017596A"/>
    <w:rsid w:val="001774A6"/>
    <w:rsid w:val="001968C1"/>
    <w:rsid w:val="001A513F"/>
    <w:rsid w:val="001B0DC5"/>
    <w:rsid w:val="001B1D3F"/>
    <w:rsid w:val="001B345A"/>
    <w:rsid w:val="001B354F"/>
    <w:rsid w:val="001C1D28"/>
    <w:rsid w:val="001C2B82"/>
    <w:rsid w:val="001D488B"/>
    <w:rsid w:val="001E1FC7"/>
    <w:rsid w:val="001E347F"/>
    <w:rsid w:val="001F249A"/>
    <w:rsid w:val="001F2738"/>
    <w:rsid w:val="00204E25"/>
    <w:rsid w:val="00206F65"/>
    <w:rsid w:val="0020745E"/>
    <w:rsid w:val="00207721"/>
    <w:rsid w:val="00210D8D"/>
    <w:rsid w:val="00211C48"/>
    <w:rsid w:val="00243F1F"/>
    <w:rsid w:val="00254C20"/>
    <w:rsid w:val="002574DB"/>
    <w:rsid w:val="00272AD6"/>
    <w:rsid w:val="00272F76"/>
    <w:rsid w:val="00296B3D"/>
    <w:rsid w:val="002A1B3A"/>
    <w:rsid w:val="002A5194"/>
    <w:rsid w:val="002B06EC"/>
    <w:rsid w:val="002B2990"/>
    <w:rsid w:val="002B6E17"/>
    <w:rsid w:val="002C4B2D"/>
    <w:rsid w:val="002E47BE"/>
    <w:rsid w:val="002F1C45"/>
    <w:rsid w:val="002F5B7E"/>
    <w:rsid w:val="002F6D47"/>
    <w:rsid w:val="00301446"/>
    <w:rsid w:val="00302338"/>
    <w:rsid w:val="003053C4"/>
    <w:rsid w:val="003076AA"/>
    <w:rsid w:val="003250E5"/>
    <w:rsid w:val="00330662"/>
    <w:rsid w:val="00331261"/>
    <w:rsid w:val="00333E14"/>
    <w:rsid w:val="00335021"/>
    <w:rsid w:val="003449A9"/>
    <w:rsid w:val="00344F2D"/>
    <w:rsid w:val="00347BC9"/>
    <w:rsid w:val="00351AEA"/>
    <w:rsid w:val="003525B5"/>
    <w:rsid w:val="00393C1B"/>
    <w:rsid w:val="00394D4A"/>
    <w:rsid w:val="00397D7F"/>
    <w:rsid w:val="003B4ABF"/>
    <w:rsid w:val="003C0FF0"/>
    <w:rsid w:val="003C1F24"/>
    <w:rsid w:val="003C48E8"/>
    <w:rsid w:val="003C662E"/>
    <w:rsid w:val="003D7E95"/>
    <w:rsid w:val="003E12D3"/>
    <w:rsid w:val="003F089B"/>
    <w:rsid w:val="003F26DD"/>
    <w:rsid w:val="003F3103"/>
    <w:rsid w:val="003F5A3B"/>
    <w:rsid w:val="00411118"/>
    <w:rsid w:val="00420430"/>
    <w:rsid w:val="00425998"/>
    <w:rsid w:val="00427A97"/>
    <w:rsid w:val="00431730"/>
    <w:rsid w:val="00431F1B"/>
    <w:rsid w:val="0043233F"/>
    <w:rsid w:val="00435AB4"/>
    <w:rsid w:val="00444F8C"/>
    <w:rsid w:val="00452B33"/>
    <w:rsid w:val="0045457D"/>
    <w:rsid w:val="00457D43"/>
    <w:rsid w:val="00471E92"/>
    <w:rsid w:val="00471F82"/>
    <w:rsid w:val="004815EA"/>
    <w:rsid w:val="004905A4"/>
    <w:rsid w:val="00493615"/>
    <w:rsid w:val="004963B5"/>
    <w:rsid w:val="004A2F4D"/>
    <w:rsid w:val="004B38D9"/>
    <w:rsid w:val="004B4DBB"/>
    <w:rsid w:val="004B5D73"/>
    <w:rsid w:val="004C1CF8"/>
    <w:rsid w:val="004C48BE"/>
    <w:rsid w:val="004D1523"/>
    <w:rsid w:val="004D26E6"/>
    <w:rsid w:val="004D2952"/>
    <w:rsid w:val="004E5997"/>
    <w:rsid w:val="004F333D"/>
    <w:rsid w:val="004F55E0"/>
    <w:rsid w:val="004F67F0"/>
    <w:rsid w:val="004F7857"/>
    <w:rsid w:val="004F78B1"/>
    <w:rsid w:val="005011B5"/>
    <w:rsid w:val="0051395B"/>
    <w:rsid w:val="00530346"/>
    <w:rsid w:val="005321C4"/>
    <w:rsid w:val="0053352E"/>
    <w:rsid w:val="00533BCB"/>
    <w:rsid w:val="00542AB3"/>
    <w:rsid w:val="00545CCE"/>
    <w:rsid w:val="0057004E"/>
    <w:rsid w:val="00570D1B"/>
    <w:rsid w:val="005716C0"/>
    <w:rsid w:val="005926AB"/>
    <w:rsid w:val="005C500C"/>
    <w:rsid w:val="005C5231"/>
    <w:rsid w:val="005D31BA"/>
    <w:rsid w:val="005E02D7"/>
    <w:rsid w:val="005E65C1"/>
    <w:rsid w:val="005F07BB"/>
    <w:rsid w:val="005F0F4B"/>
    <w:rsid w:val="00602E2E"/>
    <w:rsid w:val="006128D4"/>
    <w:rsid w:val="0061417E"/>
    <w:rsid w:val="00617CA1"/>
    <w:rsid w:val="00627922"/>
    <w:rsid w:val="0065494B"/>
    <w:rsid w:val="00660F72"/>
    <w:rsid w:val="00674B84"/>
    <w:rsid w:val="0067649A"/>
    <w:rsid w:val="00686CE1"/>
    <w:rsid w:val="006909E9"/>
    <w:rsid w:val="00696EF7"/>
    <w:rsid w:val="006A2B05"/>
    <w:rsid w:val="006A7CEB"/>
    <w:rsid w:val="006B6012"/>
    <w:rsid w:val="006C1297"/>
    <w:rsid w:val="006C439D"/>
    <w:rsid w:val="006C77E3"/>
    <w:rsid w:val="006E1082"/>
    <w:rsid w:val="006E7752"/>
    <w:rsid w:val="006E7B94"/>
    <w:rsid w:val="006E7F1C"/>
    <w:rsid w:val="00703782"/>
    <w:rsid w:val="00713D8F"/>
    <w:rsid w:val="00721055"/>
    <w:rsid w:val="0072373E"/>
    <w:rsid w:val="007262F8"/>
    <w:rsid w:val="00733DE3"/>
    <w:rsid w:val="00743405"/>
    <w:rsid w:val="007461E5"/>
    <w:rsid w:val="007558CC"/>
    <w:rsid w:val="00757B4A"/>
    <w:rsid w:val="00757F42"/>
    <w:rsid w:val="0076063D"/>
    <w:rsid w:val="007704F5"/>
    <w:rsid w:val="0078711A"/>
    <w:rsid w:val="00796DB5"/>
    <w:rsid w:val="007977FA"/>
    <w:rsid w:val="007A3C3D"/>
    <w:rsid w:val="007A6A29"/>
    <w:rsid w:val="007B637C"/>
    <w:rsid w:val="007C5558"/>
    <w:rsid w:val="007D0356"/>
    <w:rsid w:val="007D0D2B"/>
    <w:rsid w:val="007D3A9F"/>
    <w:rsid w:val="007E7F98"/>
    <w:rsid w:val="007F38C8"/>
    <w:rsid w:val="00802A6F"/>
    <w:rsid w:val="008038DB"/>
    <w:rsid w:val="0080487C"/>
    <w:rsid w:val="008049B0"/>
    <w:rsid w:val="00807581"/>
    <w:rsid w:val="00810265"/>
    <w:rsid w:val="00811277"/>
    <w:rsid w:val="00816050"/>
    <w:rsid w:val="008275E7"/>
    <w:rsid w:val="00833A29"/>
    <w:rsid w:val="00833CBA"/>
    <w:rsid w:val="00843009"/>
    <w:rsid w:val="0084743C"/>
    <w:rsid w:val="0085038A"/>
    <w:rsid w:val="00860C7B"/>
    <w:rsid w:val="00861CCA"/>
    <w:rsid w:val="00863757"/>
    <w:rsid w:val="00866189"/>
    <w:rsid w:val="00866E73"/>
    <w:rsid w:val="008735EB"/>
    <w:rsid w:val="00877834"/>
    <w:rsid w:val="008778E7"/>
    <w:rsid w:val="00880952"/>
    <w:rsid w:val="00884870"/>
    <w:rsid w:val="00897751"/>
    <w:rsid w:val="008A1E39"/>
    <w:rsid w:val="008A5E33"/>
    <w:rsid w:val="008C1D67"/>
    <w:rsid w:val="008C4BF9"/>
    <w:rsid w:val="008D40C9"/>
    <w:rsid w:val="008D4940"/>
    <w:rsid w:val="008E44D5"/>
    <w:rsid w:val="008E5D14"/>
    <w:rsid w:val="008E6BB7"/>
    <w:rsid w:val="008F2C5F"/>
    <w:rsid w:val="008F47F6"/>
    <w:rsid w:val="008F6A3B"/>
    <w:rsid w:val="008F6E34"/>
    <w:rsid w:val="008F6ED2"/>
    <w:rsid w:val="009003AF"/>
    <w:rsid w:val="0091287C"/>
    <w:rsid w:val="00930164"/>
    <w:rsid w:val="0093154E"/>
    <w:rsid w:val="00935861"/>
    <w:rsid w:val="00950249"/>
    <w:rsid w:val="009543E3"/>
    <w:rsid w:val="0095799E"/>
    <w:rsid w:val="00964FB6"/>
    <w:rsid w:val="00984CF5"/>
    <w:rsid w:val="009855DD"/>
    <w:rsid w:val="00992553"/>
    <w:rsid w:val="009B1BFF"/>
    <w:rsid w:val="009B3DDC"/>
    <w:rsid w:val="009B6682"/>
    <w:rsid w:val="009B7A73"/>
    <w:rsid w:val="009C3015"/>
    <w:rsid w:val="009D50A8"/>
    <w:rsid w:val="009E4C2E"/>
    <w:rsid w:val="009E62AD"/>
    <w:rsid w:val="009E6A15"/>
    <w:rsid w:val="009E73AB"/>
    <w:rsid w:val="009F1970"/>
    <w:rsid w:val="00A209B4"/>
    <w:rsid w:val="00A24243"/>
    <w:rsid w:val="00A2591F"/>
    <w:rsid w:val="00A35AFB"/>
    <w:rsid w:val="00A50771"/>
    <w:rsid w:val="00A52715"/>
    <w:rsid w:val="00A534C6"/>
    <w:rsid w:val="00A804E1"/>
    <w:rsid w:val="00A8524E"/>
    <w:rsid w:val="00A85603"/>
    <w:rsid w:val="00A860F6"/>
    <w:rsid w:val="00A96C85"/>
    <w:rsid w:val="00AA4352"/>
    <w:rsid w:val="00AB184F"/>
    <w:rsid w:val="00AB64AC"/>
    <w:rsid w:val="00AC18AE"/>
    <w:rsid w:val="00AC6FD5"/>
    <w:rsid w:val="00AE02DC"/>
    <w:rsid w:val="00AE0CAE"/>
    <w:rsid w:val="00AE56E1"/>
    <w:rsid w:val="00AF132D"/>
    <w:rsid w:val="00AF15AD"/>
    <w:rsid w:val="00AF4287"/>
    <w:rsid w:val="00B01BE0"/>
    <w:rsid w:val="00B07025"/>
    <w:rsid w:val="00B12003"/>
    <w:rsid w:val="00B20996"/>
    <w:rsid w:val="00B35225"/>
    <w:rsid w:val="00B452FB"/>
    <w:rsid w:val="00B45F48"/>
    <w:rsid w:val="00B578BA"/>
    <w:rsid w:val="00B71546"/>
    <w:rsid w:val="00B80888"/>
    <w:rsid w:val="00B875DF"/>
    <w:rsid w:val="00B958D6"/>
    <w:rsid w:val="00BA0596"/>
    <w:rsid w:val="00BA6EC3"/>
    <w:rsid w:val="00BB0BED"/>
    <w:rsid w:val="00BB29E4"/>
    <w:rsid w:val="00BC693B"/>
    <w:rsid w:val="00BC76ED"/>
    <w:rsid w:val="00BE4310"/>
    <w:rsid w:val="00BE632E"/>
    <w:rsid w:val="00BF2CF3"/>
    <w:rsid w:val="00C04CD5"/>
    <w:rsid w:val="00C04CF6"/>
    <w:rsid w:val="00C14221"/>
    <w:rsid w:val="00C24A93"/>
    <w:rsid w:val="00C33C1F"/>
    <w:rsid w:val="00C3416D"/>
    <w:rsid w:val="00C3554F"/>
    <w:rsid w:val="00C435FE"/>
    <w:rsid w:val="00C45C2B"/>
    <w:rsid w:val="00C46CD9"/>
    <w:rsid w:val="00C47F7C"/>
    <w:rsid w:val="00C526F8"/>
    <w:rsid w:val="00C53C8B"/>
    <w:rsid w:val="00C6045C"/>
    <w:rsid w:val="00C62243"/>
    <w:rsid w:val="00C66503"/>
    <w:rsid w:val="00C66D99"/>
    <w:rsid w:val="00C77C06"/>
    <w:rsid w:val="00C904D5"/>
    <w:rsid w:val="00C91B39"/>
    <w:rsid w:val="00CB0AD3"/>
    <w:rsid w:val="00CB4BA6"/>
    <w:rsid w:val="00CC153E"/>
    <w:rsid w:val="00CC6C85"/>
    <w:rsid w:val="00CE10C6"/>
    <w:rsid w:val="00CE1F9C"/>
    <w:rsid w:val="00CE772D"/>
    <w:rsid w:val="00CF0750"/>
    <w:rsid w:val="00D01816"/>
    <w:rsid w:val="00D122DD"/>
    <w:rsid w:val="00D126F8"/>
    <w:rsid w:val="00D174F9"/>
    <w:rsid w:val="00D223D3"/>
    <w:rsid w:val="00D23C2B"/>
    <w:rsid w:val="00D33FD9"/>
    <w:rsid w:val="00D36420"/>
    <w:rsid w:val="00D44D04"/>
    <w:rsid w:val="00D514ED"/>
    <w:rsid w:val="00D51F8C"/>
    <w:rsid w:val="00D60331"/>
    <w:rsid w:val="00D6140C"/>
    <w:rsid w:val="00D61948"/>
    <w:rsid w:val="00D66278"/>
    <w:rsid w:val="00D66848"/>
    <w:rsid w:val="00D74FA3"/>
    <w:rsid w:val="00D75169"/>
    <w:rsid w:val="00D75B47"/>
    <w:rsid w:val="00D75F5D"/>
    <w:rsid w:val="00D83AFD"/>
    <w:rsid w:val="00D84714"/>
    <w:rsid w:val="00DB369B"/>
    <w:rsid w:val="00DB67B4"/>
    <w:rsid w:val="00DC40F3"/>
    <w:rsid w:val="00DC4B98"/>
    <w:rsid w:val="00DD0B60"/>
    <w:rsid w:val="00DD17E6"/>
    <w:rsid w:val="00DD2604"/>
    <w:rsid w:val="00DE7CA2"/>
    <w:rsid w:val="00DF1A04"/>
    <w:rsid w:val="00DF6D91"/>
    <w:rsid w:val="00E00818"/>
    <w:rsid w:val="00E332A3"/>
    <w:rsid w:val="00E4060A"/>
    <w:rsid w:val="00E5147C"/>
    <w:rsid w:val="00E51F3E"/>
    <w:rsid w:val="00E55871"/>
    <w:rsid w:val="00E5637C"/>
    <w:rsid w:val="00E60757"/>
    <w:rsid w:val="00E60ACC"/>
    <w:rsid w:val="00E72A26"/>
    <w:rsid w:val="00E72BAC"/>
    <w:rsid w:val="00ED26A0"/>
    <w:rsid w:val="00ED646F"/>
    <w:rsid w:val="00ED687B"/>
    <w:rsid w:val="00EF02D2"/>
    <w:rsid w:val="00EF1EFE"/>
    <w:rsid w:val="00EF236C"/>
    <w:rsid w:val="00F05013"/>
    <w:rsid w:val="00F07FBB"/>
    <w:rsid w:val="00F145E3"/>
    <w:rsid w:val="00F1523F"/>
    <w:rsid w:val="00F16694"/>
    <w:rsid w:val="00F230EF"/>
    <w:rsid w:val="00F32DD2"/>
    <w:rsid w:val="00F35A07"/>
    <w:rsid w:val="00F440B9"/>
    <w:rsid w:val="00F473E1"/>
    <w:rsid w:val="00F47B0B"/>
    <w:rsid w:val="00F50396"/>
    <w:rsid w:val="00F53E23"/>
    <w:rsid w:val="00F54BAB"/>
    <w:rsid w:val="00F54EEB"/>
    <w:rsid w:val="00F61285"/>
    <w:rsid w:val="00F61C00"/>
    <w:rsid w:val="00F63024"/>
    <w:rsid w:val="00F64EDD"/>
    <w:rsid w:val="00F74EE3"/>
    <w:rsid w:val="00F8215B"/>
    <w:rsid w:val="00F84644"/>
    <w:rsid w:val="00F853D5"/>
    <w:rsid w:val="00F86B67"/>
    <w:rsid w:val="00F9122B"/>
    <w:rsid w:val="00F94371"/>
    <w:rsid w:val="00F94CA2"/>
    <w:rsid w:val="00FB0728"/>
    <w:rsid w:val="00FB56FD"/>
    <w:rsid w:val="00FC1449"/>
    <w:rsid w:val="00FC52AC"/>
    <w:rsid w:val="00FD484A"/>
    <w:rsid w:val="00FE487A"/>
    <w:rsid w:val="00FE4BA3"/>
    <w:rsid w:val="00FE7566"/>
    <w:rsid w:val="00FF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D9C8"/>
  <w15:chartTrackingRefBased/>
  <w15:docId w15:val="{00ABFC46-8C30-4674-A66D-0CA9241E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338"/>
    <w:pPr>
      <w:ind w:left="720"/>
      <w:contextualSpacing/>
    </w:pPr>
    <w:rPr>
      <w:kern w:val="0"/>
      <w14:ligatures w14:val="none"/>
    </w:rPr>
  </w:style>
  <w:style w:type="paragraph" w:styleId="FootnoteText">
    <w:name w:val="footnote text"/>
    <w:basedOn w:val="Normal"/>
    <w:link w:val="FootnoteTextChar"/>
    <w:uiPriority w:val="99"/>
    <w:semiHidden/>
    <w:unhideWhenUsed/>
    <w:rsid w:val="008637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757"/>
    <w:rPr>
      <w:sz w:val="20"/>
      <w:szCs w:val="20"/>
    </w:rPr>
  </w:style>
  <w:style w:type="character" w:styleId="FootnoteReference">
    <w:name w:val="footnote reference"/>
    <w:basedOn w:val="DefaultParagraphFont"/>
    <w:uiPriority w:val="99"/>
    <w:semiHidden/>
    <w:unhideWhenUsed/>
    <w:rsid w:val="00863757"/>
    <w:rPr>
      <w:vertAlign w:val="superscript"/>
    </w:rPr>
  </w:style>
  <w:style w:type="paragraph" w:styleId="Header">
    <w:name w:val="header"/>
    <w:basedOn w:val="Normal"/>
    <w:link w:val="HeaderChar"/>
    <w:uiPriority w:val="99"/>
    <w:unhideWhenUsed/>
    <w:rsid w:val="0086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757"/>
  </w:style>
  <w:style w:type="paragraph" w:styleId="Footer">
    <w:name w:val="footer"/>
    <w:basedOn w:val="Normal"/>
    <w:link w:val="FooterChar"/>
    <w:uiPriority w:val="99"/>
    <w:unhideWhenUsed/>
    <w:rsid w:val="0086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15875</TotalTime>
  <Pages>31</Pages>
  <Words>9472</Words>
  <Characters>53992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Sher</dc:creator>
  <cp:keywords/>
  <dc:description/>
  <cp:lastModifiedBy>Mary Bruce</cp:lastModifiedBy>
  <cp:revision>230</cp:revision>
  <dcterms:created xsi:type="dcterms:W3CDTF">2023-12-31T12:07:00Z</dcterms:created>
  <dcterms:modified xsi:type="dcterms:W3CDTF">2024-02-06T10:21:00Z</dcterms:modified>
</cp:coreProperties>
</file>