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72B8" w14:textId="77777777" w:rsidR="00352CAF" w:rsidRDefault="00352CAF" w:rsidP="00352CAF">
      <w:pPr>
        <w:spacing w:line="360" w:lineRule="auto"/>
        <w:ind w:left="720"/>
        <w:jc w:val="both"/>
        <w:rPr>
          <w:b/>
          <w:bCs/>
        </w:rPr>
      </w:pPr>
      <w:bookmarkStart w:id="0" w:name="_GoBack"/>
      <w:bookmarkEnd w:id="0"/>
      <w:r>
        <w:rPr>
          <w:noProof/>
          <w:lang w:eastAsia="en-ZA"/>
        </w:rPr>
        <w:drawing>
          <wp:anchor distT="0" distB="0" distL="114300" distR="114300" simplePos="0" relativeHeight="251658240" behindDoc="1" locked="0" layoutInCell="1" allowOverlap="1" wp14:anchorId="1510F8C1" wp14:editId="4723B052">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p>
    <w:p w14:paraId="4BA3BABC" w14:textId="77777777" w:rsidR="00352CAF" w:rsidRDefault="00352CAF" w:rsidP="00352CAF">
      <w:pPr>
        <w:spacing w:line="360" w:lineRule="auto"/>
        <w:ind w:left="720"/>
        <w:jc w:val="both"/>
        <w:rPr>
          <w:b/>
          <w:bCs/>
        </w:rPr>
      </w:pPr>
    </w:p>
    <w:p w14:paraId="633F997C" w14:textId="77777777" w:rsidR="00352CAF" w:rsidRDefault="00352CAF" w:rsidP="00352CAF">
      <w:pPr>
        <w:spacing w:line="360" w:lineRule="auto"/>
        <w:jc w:val="center"/>
      </w:pPr>
      <w:r>
        <w:rPr>
          <w:b/>
          <w:bCs/>
        </w:rPr>
        <w:t>IN THE HIGH COURT OF SOUTH AFRICA</w:t>
      </w:r>
    </w:p>
    <w:p w14:paraId="19F00610" w14:textId="77777777" w:rsidR="00352CAF" w:rsidRDefault="00352CAF" w:rsidP="00352CAF">
      <w:pPr>
        <w:spacing w:line="276" w:lineRule="auto"/>
        <w:jc w:val="center"/>
        <w:rPr>
          <w:b/>
          <w:bCs/>
        </w:rPr>
      </w:pPr>
      <w:r>
        <w:rPr>
          <w:b/>
          <w:bCs/>
        </w:rPr>
        <w:t>(WESTERN CAPE DIVISION, CAPE TOWN)</w:t>
      </w:r>
    </w:p>
    <w:p w14:paraId="28254963" w14:textId="77777777" w:rsidR="00352CAF" w:rsidRDefault="00352CAF" w:rsidP="00352CAF">
      <w:pPr>
        <w:spacing w:line="360" w:lineRule="auto"/>
        <w:rPr>
          <w:b/>
          <w:bCs/>
        </w:rPr>
      </w:pPr>
    </w:p>
    <w:p w14:paraId="397D2FEF" w14:textId="77777777" w:rsidR="00352CAF" w:rsidRDefault="00352CAF" w:rsidP="00352CAF">
      <w:pPr>
        <w:spacing w:line="360" w:lineRule="auto"/>
        <w:jc w:val="right"/>
        <w:rPr>
          <w:b/>
        </w:rPr>
      </w:pPr>
      <w:r>
        <w:rPr>
          <w:b/>
        </w:rPr>
        <w:t xml:space="preserve">                                                                             </w:t>
      </w:r>
      <w:r>
        <w:t xml:space="preserve">                      </w:t>
      </w:r>
      <w:r>
        <w:rPr>
          <w:b/>
        </w:rPr>
        <w:t>Case no.: A231/23</w:t>
      </w:r>
    </w:p>
    <w:p w14:paraId="12A4BCEB" w14:textId="77777777" w:rsidR="00352CAF" w:rsidRDefault="00352CAF" w:rsidP="00352CAF">
      <w:pPr>
        <w:jc w:val="both"/>
      </w:pPr>
      <w:r>
        <w:t>In the matter between:</w:t>
      </w:r>
    </w:p>
    <w:p w14:paraId="54F035B9" w14:textId="77777777" w:rsidR="00352CAF" w:rsidRDefault="00352CAF" w:rsidP="00352CAF">
      <w:pPr>
        <w:jc w:val="both"/>
      </w:pPr>
    </w:p>
    <w:p w14:paraId="1E49D672" w14:textId="77777777" w:rsidR="00352CAF" w:rsidRDefault="00352CAF" w:rsidP="00352CAF">
      <w:pPr>
        <w:tabs>
          <w:tab w:val="left" w:pos="7483"/>
          <w:tab w:val="right" w:pos="10440"/>
        </w:tabs>
        <w:suppressAutoHyphens/>
        <w:adjustRightInd w:val="0"/>
        <w:spacing w:line="276" w:lineRule="auto"/>
        <w:jc w:val="both"/>
        <w:rPr>
          <w:bCs/>
          <w:spacing w:val="-3"/>
        </w:rPr>
      </w:pPr>
      <w:r>
        <w:rPr>
          <w:b/>
          <w:bCs/>
          <w:spacing w:val="-3"/>
        </w:rPr>
        <w:t>LWANELO MTSHASHU</w:t>
      </w:r>
      <w:r>
        <w:rPr>
          <w:b/>
          <w:bCs/>
          <w:spacing w:val="-3"/>
        </w:rPr>
        <w:tab/>
      </w:r>
      <w:r>
        <w:rPr>
          <w:b/>
          <w:bCs/>
          <w:spacing w:val="-3"/>
        </w:rPr>
        <w:tab/>
        <w:t xml:space="preserve">     </w:t>
      </w:r>
      <w:r w:rsidRPr="00352CAF">
        <w:rPr>
          <w:bCs/>
          <w:spacing w:val="-3"/>
        </w:rPr>
        <w:t>First A</w:t>
      </w:r>
      <w:r>
        <w:rPr>
          <w:bCs/>
          <w:spacing w:val="-3"/>
        </w:rPr>
        <w:t>ppellant</w:t>
      </w:r>
    </w:p>
    <w:p w14:paraId="11B49DE5" w14:textId="77777777" w:rsidR="00352CAF" w:rsidRPr="00352CAF" w:rsidRDefault="00352CAF" w:rsidP="00352CAF">
      <w:pPr>
        <w:tabs>
          <w:tab w:val="left" w:pos="7483"/>
          <w:tab w:val="right" w:pos="10440"/>
        </w:tabs>
        <w:suppressAutoHyphens/>
        <w:adjustRightInd w:val="0"/>
        <w:spacing w:line="276" w:lineRule="auto"/>
        <w:jc w:val="both"/>
        <w:rPr>
          <w:bCs/>
          <w:spacing w:val="-3"/>
        </w:rPr>
      </w:pPr>
      <w:r w:rsidRPr="00352CAF">
        <w:rPr>
          <w:b/>
          <w:bCs/>
          <w:spacing w:val="-3"/>
        </w:rPr>
        <w:t>YONELA DHYUBHELE</w:t>
      </w:r>
      <w:r>
        <w:rPr>
          <w:b/>
          <w:bCs/>
          <w:spacing w:val="-3"/>
        </w:rPr>
        <w:t xml:space="preserve">                                                                               </w:t>
      </w:r>
      <w:r w:rsidRPr="00352CAF">
        <w:rPr>
          <w:bCs/>
          <w:spacing w:val="-3"/>
        </w:rPr>
        <w:t>Second Appellant</w:t>
      </w:r>
    </w:p>
    <w:p w14:paraId="591A22CC" w14:textId="77777777" w:rsidR="00352CAF" w:rsidRDefault="00352CAF" w:rsidP="00352CAF">
      <w:pPr>
        <w:tabs>
          <w:tab w:val="right" w:pos="10440"/>
        </w:tabs>
        <w:suppressAutoHyphens/>
        <w:adjustRightInd w:val="0"/>
        <w:spacing w:line="276" w:lineRule="auto"/>
        <w:jc w:val="both"/>
        <w:rPr>
          <w:b/>
          <w:bCs/>
          <w:spacing w:val="-3"/>
        </w:rPr>
      </w:pPr>
    </w:p>
    <w:p w14:paraId="5AB5C652" w14:textId="77777777" w:rsidR="00352CAF" w:rsidRDefault="00352CAF" w:rsidP="00352CAF">
      <w:pPr>
        <w:tabs>
          <w:tab w:val="right" w:pos="10440"/>
        </w:tabs>
        <w:jc w:val="both"/>
      </w:pPr>
      <w:r>
        <w:t>and</w:t>
      </w:r>
    </w:p>
    <w:p w14:paraId="0A862C4E" w14:textId="77777777" w:rsidR="00352CAF" w:rsidRDefault="00352CAF" w:rsidP="00352CAF">
      <w:pPr>
        <w:tabs>
          <w:tab w:val="right" w:pos="10440"/>
        </w:tabs>
        <w:jc w:val="both"/>
      </w:pPr>
    </w:p>
    <w:p w14:paraId="585E711E" w14:textId="77777777" w:rsidR="00352CAF" w:rsidRDefault="00352CAF" w:rsidP="00352CAF">
      <w:pPr>
        <w:tabs>
          <w:tab w:val="right" w:pos="10440"/>
        </w:tabs>
        <w:spacing w:line="276" w:lineRule="auto"/>
        <w:jc w:val="both"/>
      </w:pPr>
      <w:r>
        <w:rPr>
          <w:b/>
        </w:rPr>
        <w:t>THE STATE</w:t>
      </w:r>
      <w:r>
        <w:rPr>
          <w:b/>
        </w:rPr>
        <w:tab/>
        <w:t xml:space="preserve"> </w:t>
      </w:r>
      <w:r>
        <w:t xml:space="preserve"> Respondent</w:t>
      </w:r>
    </w:p>
    <w:p w14:paraId="3A26825C" w14:textId="77777777" w:rsidR="00352CAF" w:rsidRDefault="00352CAF" w:rsidP="00352CAF">
      <w:pPr>
        <w:tabs>
          <w:tab w:val="right" w:pos="10440"/>
        </w:tabs>
        <w:jc w:val="both"/>
      </w:pPr>
    </w:p>
    <w:p w14:paraId="7263E3ED" w14:textId="41B06495" w:rsidR="00352CAF" w:rsidRDefault="0063468F" w:rsidP="00130841">
      <w:pPr>
        <w:tabs>
          <w:tab w:val="left" w:pos="5692"/>
        </w:tabs>
        <w:spacing w:line="360" w:lineRule="auto"/>
      </w:pPr>
      <w:r>
        <w:tab/>
      </w:r>
    </w:p>
    <w:p w14:paraId="7D2BF980" w14:textId="77777777" w:rsidR="00352CAF" w:rsidRDefault="00352CAF" w:rsidP="00352CAF">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Pr>
          <w:b/>
          <w:i/>
          <w:iCs/>
        </w:rPr>
        <w:t>Coram</w:t>
      </w:r>
      <w:r>
        <w:rPr>
          <w:b/>
        </w:rPr>
        <w:t>:</w:t>
      </w:r>
      <w:r>
        <w:t xml:space="preserve"> V C Saldanha J </w:t>
      </w:r>
      <w:r>
        <w:rPr>
          <w:i/>
          <w:iCs/>
        </w:rPr>
        <w:t>et</w:t>
      </w:r>
      <w:r>
        <w:t xml:space="preserve"> A Cockrell AJ</w:t>
      </w:r>
    </w:p>
    <w:p w14:paraId="1B0F8DD3" w14:textId="77777777" w:rsidR="00352CAF" w:rsidRDefault="00352CAF" w:rsidP="00352CAF">
      <w:pPr>
        <w:tabs>
          <w:tab w:val="right" w:pos="9072"/>
        </w:tabs>
        <w:spacing w:line="480" w:lineRule="auto"/>
        <w:jc w:val="both"/>
      </w:pPr>
      <w:r>
        <w:rPr>
          <w:b/>
        </w:rPr>
        <w:t>Heard:</w:t>
      </w:r>
      <w:r>
        <w:t xml:space="preserve"> 02 February 2024</w:t>
      </w:r>
    </w:p>
    <w:p w14:paraId="3EC0A7E7" w14:textId="0AC80C98" w:rsidR="00352CAF" w:rsidRDefault="00352CAF" w:rsidP="00352CAF">
      <w:pPr>
        <w:tabs>
          <w:tab w:val="right" w:pos="9072"/>
        </w:tabs>
        <w:spacing w:line="480" w:lineRule="auto"/>
        <w:jc w:val="both"/>
      </w:pPr>
      <w:r>
        <w:rPr>
          <w:b/>
        </w:rPr>
        <w:t>Delivered:</w:t>
      </w:r>
      <w:r>
        <w:t xml:space="preserve"> 02 February 2024</w:t>
      </w:r>
      <w:r w:rsidR="00B278B4">
        <w:t xml:space="preserve"> </w:t>
      </w:r>
    </w:p>
    <w:p w14:paraId="7FF610FF" w14:textId="77777777" w:rsidR="00352CAF" w:rsidRDefault="00352CAF" w:rsidP="00352CAF">
      <w:pPr>
        <w:pBdr>
          <w:bottom w:val="single" w:sz="4" w:space="1" w:color="auto"/>
        </w:pBdr>
        <w:tabs>
          <w:tab w:val="right" w:pos="8400"/>
        </w:tabs>
        <w:spacing w:before="60" w:after="60"/>
        <w:jc w:val="both"/>
        <w:rPr>
          <w:sz w:val="26"/>
          <w:szCs w:val="26"/>
        </w:rPr>
      </w:pPr>
    </w:p>
    <w:p w14:paraId="1DF6FCCD" w14:textId="77777777" w:rsidR="00352CAF" w:rsidRDefault="00352CAF" w:rsidP="00352CAF">
      <w:pPr>
        <w:tabs>
          <w:tab w:val="right" w:pos="8400"/>
        </w:tabs>
        <w:spacing w:before="60" w:after="60"/>
        <w:jc w:val="both"/>
        <w:rPr>
          <w:sz w:val="26"/>
          <w:szCs w:val="26"/>
        </w:rPr>
      </w:pPr>
    </w:p>
    <w:p w14:paraId="274D092F" w14:textId="2B35D655" w:rsidR="00352CAF" w:rsidRDefault="00352CAF" w:rsidP="00352CAF">
      <w:pPr>
        <w:tabs>
          <w:tab w:val="center" w:pos="4680"/>
          <w:tab w:val="right" w:pos="8400"/>
          <w:tab w:val="right" w:pos="9360"/>
        </w:tabs>
        <w:spacing w:before="60" w:after="60"/>
        <w:rPr>
          <w:b/>
          <w:sz w:val="26"/>
          <w:szCs w:val="26"/>
        </w:rPr>
      </w:pPr>
      <w:r>
        <w:rPr>
          <w:b/>
          <w:sz w:val="26"/>
          <w:szCs w:val="26"/>
        </w:rPr>
        <w:tab/>
        <w:t>JUDGMENT</w:t>
      </w:r>
      <w:r>
        <w:rPr>
          <w:b/>
          <w:sz w:val="26"/>
          <w:szCs w:val="26"/>
        </w:rPr>
        <w:tab/>
      </w:r>
      <w:r>
        <w:rPr>
          <w:b/>
          <w:sz w:val="26"/>
          <w:szCs w:val="26"/>
        </w:rPr>
        <w:tab/>
      </w:r>
    </w:p>
    <w:p w14:paraId="51661934" w14:textId="77777777" w:rsidR="00352CAF" w:rsidRDefault="00352CAF" w:rsidP="00352CAF">
      <w:pPr>
        <w:pBdr>
          <w:bottom w:val="single" w:sz="4" w:space="1" w:color="auto"/>
        </w:pBdr>
        <w:tabs>
          <w:tab w:val="right" w:pos="8400"/>
        </w:tabs>
        <w:spacing w:before="60" w:after="60"/>
        <w:jc w:val="both"/>
        <w:rPr>
          <w:sz w:val="26"/>
          <w:szCs w:val="26"/>
        </w:rPr>
      </w:pPr>
    </w:p>
    <w:p w14:paraId="54E1C485" w14:textId="77777777" w:rsidR="00352CAF" w:rsidRDefault="00352CAF" w:rsidP="00352CAF">
      <w:pPr>
        <w:jc w:val="both"/>
        <w:rPr>
          <w:rFonts w:eastAsiaTheme="minorHAnsi"/>
          <w:u w:val="single"/>
          <w:lang w:eastAsia="en-US"/>
        </w:rPr>
      </w:pPr>
    </w:p>
    <w:p w14:paraId="743CF9FB" w14:textId="77777777" w:rsidR="00352CAF" w:rsidRDefault="00352CAF" w:rsidP="00352CAF">
      <w:pPr>
        <w:jc w:val="both"/>
        <w:rPr>
          <w:rFonts w:eastAsiaTheme="minorHAnsi"/>
          <w:b/>
          <w:lang w:eastAsia="en-US"/>
        </w:rPr>
      </w:pPr>
      <w:r>
        <w:rPr>
          <w:rFonts w:eastAsiaTheme="minorHAnsi"/>
          <w:b/>
          <w:u w:val="single"/>
          <w:lang w:eastAsia="en-US"/>
        </w:rPr>
        <w:t>SALDANHA J</w:t>
      </w:r>
      <w:r>
        <w:rPr>
          <w:rFonts w:eastAsiaTheme="minorHAnsi"/>
          <w:b/>
          <w:lang w:eastAsia="en-US"/>
        </w:rPr>
        <w:t>:</w:t>
      </w:r>
    </w:p>
    <w:p w14:paraId="624EFFF4" w14:textId="77777777" w:rsidR="00352CAF" w:rsidRDefault="00352CAF" w:rsidP="00352CAF">
      <w:pPr>
        <w:jc w:val="both"/>
        <w:rPr>
          <w:rFonts w:eastAsiaTheme="minorHAnsi"/>
          <w:b/>
          <w:lang w:eastAsia="en-US"/>
        </w:rPr>
      </w:pPr>
    </w:p>
    <w:p w14:paraId="47BBEBD7" w14:textId="2D99A03A" w:rsidR="00493E5C" w:rsidRPr="00493E5C" w:rsidRDefault="00FA6F2D" w:rsidP="00FA6F2D">
      <w:pPr>
        <w:spacing w:line="360" w:lineRule="auto"/>
        <w:jc w:val="both"/>
      </w:pPr>
      <w:r w:rsidRPr="00493E5C">
        <w:t>[1]</w:t>
      </w:r>
      <w:r w:rsidRPr="00493E5C">
        <w:tab/>
      </w:r>
      <w:r w:rsidR="007B4CB7" w:rsidRPr="00FA6F2D">
        <w:rPr>
          <w:lang w:val="en-US"/>
        </w:rPr>
        <w:t xml:space="preserve">This appeal arises in the context of the wretched circumstances of the abuse of alcohol at a tavern in the </w:t>
      </w:r>
      <w:r w:rsidR="004E2729" w:rsidRPr="00FA6F2D">
        <w:rPr>
          <w:lang w:val="en-US"/>
        </w:rPr>
        <w:t xml:space="preserve">community of </w:t>
      </w:r>
      <w:r w:rsidR="00955B1F" w:rsidRPr="00FA6F2D">
        <w:rPr>
          <w:lang w:val="en-US"/>
        </w:rPr>
        <w:t xml:space="preserve">Grabouw </w:t>
      </w:r>
      <w:r w:rsidR="004E2729" w:rsidRPr="00FA6F2D">
        <w:rPr>
          <w:lang w:val="en-US"/>
        </w:rPr>
        <w:t xml:space="preserve">situated </w:t>
      </w:r>
      <w:r w:rsidR="00955B1F" w:rsidRPr="00FA6F2D">
        <w:rPr>
          <w:lang w:val="en-US"/>
        </w:rPr>
        <w:t xml:space="preserve">in </w:t>
      </w:r>
      <w:r w:rsidR="007B4CB7" w:rsidRPr="00FA6F2D">
        <w:rPr>
          <w:lang w:val="en-US"/>
        </w:rPr>
        <w:t xml:space="preserve">the </w:t>
      </w:r>
      <w:r w:rsidR="00D60DC6" w:rsidRPr="00FA6F2D">
        <w:rPr>
          <w:lang w:val="en-US"/>
        </w:rPr>
        <w:t xml:space="preserve">winelands of the </w:t>
      </w:r>
      <w:r w:rsidR="007B4CB7" w:rsidRPr="00FA6F2D">
        <w:rPr>
          <w:lang w:val="en-US"/>
        </w:rPr>
        <w:t>Western Cape</w:t>
      </w:r>
      <w:r w:rsidR="00955B1F" w:rsidRPr="00FA6F2D">
        <w:rPr>
          <w:lang w:val="en-US"/>
        </w:rPr>
        <w:t>. The appellants, Mr</w:t>
      </w:r>
      <w:r w:rsidR="00431C7E" w:rsidRPr="00FA6F2D">
        <w:rPr>
          <w:lang w:val="en-US"/>
        </w:rPr>
        <w:t>.</w:t>
      </w:r>
      <w:r w:rsidR="00955B1F" w:rsidRPr="00FA6F2D">
        <w:rPr>
          <w:lang w:val="en-US"/>
        </w:rPr>
        <w:t xml:space="preserve"> Lwanelo Mtshashu and Mr</w:t>
      </w:r>
      <w:r w:rsidR="00431C7E" w:rsidRPr="00FA6F2D">
        <w:rPr>
          <w:lang w:val="en-US"/>
        </w:rPr>
        <w:t>.</w:t>
      </w:r>
      <w:r w:rsidR="00955B1F" w:rsidRPr="00FA6F2D">
        <w:rPr>
          <w:lang w:val="en-US"/>
        </w:rPr>
        <w:t xml:space="preserve"> Yonela Dhyubhele were </w:t>
      </w:r>
      <w:r w:rsidR="007B4CB7" w:rsidRPr="00FA6F2D">
        <w:rPr>
          <w:lang w:val="en-US"/>
        </w:rPr>
        <w:t>both convicted</w:t>
      </w:r>
      <w:r w:rsidR="00927C88" w:rsidRPr="00FA6F2D">
        <w:rPr>
          <w:lang w:val="en-US"/>
        </w:rPr>
        <w:t xml:space="preserve"> on the</w:t>
      </w:r>
      <w:r w:rsidR="00075757" w:rsidRPr="00FA6F2D">
        <w:rPr>
          <w:lang w:val="en-US"/>
        </w:rPr>
        <w:t xml:space="preserve"> 24 May 2023</w:t>
      </w:r>
      <w:r w:rsidR="00927C88" w:rsidRPr="00FA6F2D">
        <w:rPr>
          <w:lang w:val="en-US"/>
        </w:rPr>
        <w:t xml:space="preserve"> in the regional court Strand </w:t>
      </w:r>
      <w:r w:rsidR="007B4CB7" w:rsidRPr="00FA6F2D">
        <w:rPr>
          <w:lang w:val="en-US"/>
        </w:rPr>
        <w:t>of</w:t>
      </w:r>
      <w:r w:rsidR="00D21758" w:rsidRPr="00FA6F2D">
        <w:rPr>
          <w:lang w:val="en-US"/>
        </w:rPr>
        <w:t xml:space="preserve"> </w:t>
      </w:r>
      <w:r w:rsidR="007B4CB7" w:rsidRPr="00FA6F2D">
        <w:rPr>
          <w:lang w:val="en-US"/>
        </w:rPr>
        <w:t xml:space="preserve">robbery with aggravating circumstances of Mr. </w:t>
      </w:r>
      <w:r w:rsidR="00955B1F" w:rsidRPr="00FA6F2D">
        <w:rPr>
          <w:lang w:val="en-US"/>
        </w:rPr>
        <w:t>Yongama Nyeke,</w:t>
      </w:r>
      <w:r w:rsidR="00493E5C" w:rsidRPr="00FA6F2D">
        <w:rPr>
          <w:lang w:val="en-US"/>
        </w:rPr>
        <w:t xml:space="preserve"> </w:t>
      </w:r>
      <w:r w:rsidR="00927C88" w:rsidRPr="00FA6F2D">
        <w:rPr>
          <w:lang w:val="en-US"/>
        </w:rPr>
        <w:t>(</w:t>
      </w:r>
      <w:r w:rsidR="00493E5C" w:rsidRPr="00FA6F2D">
        <w:rPr>
          <w:lang w:val="en-US"/>
        </w:rPr>
        <w:t>the complainant</w:t>
      </w:r>
      <w:r w:rsidR="00075757" w:rsidRPr="00FA6F2D">
        <w:rPr>
          <w:lang w:val="en-US"/>
        </w:rPr>
        <w:t>,</w:t>
      </w:r>
      <w:r w:rsidR="00927C88" w:rsidRPr="00FA6F2D">
        <w:rPr>
          <w:lang w:val="en-US"/>
        </w:rPr>
        <w:t>)</w:t>
      </w:r>
      <w:r w:rsidR="007B4CB7" w:rsidRPr="00FA6F2D">
        <w:rPr>
          <w:lang w:val="en-US"/>
        </w:rPr>
        <w:t xml:space="preserve"> the murder of Mr. Luth</w:t>
      </w:r>
      <w:r w:rsidR="00955B1F" w:rsidRPr="00FA6F2D">
        <w:rPr>
          <w:lang w:val="en-US"/>
        </w:rPr>
        <w:t xml:space="preserve">o Majalamba (the deceased) and the </w:t>
      </w:r>
      <w:r w:rsidR="007B4CB7" w:rsidRPr="00FA6F2D">
        <w:rPr>
          <w:lang w:val="en-US"/>
        </w:rPr>
        <w:t>unlawful possession of a firearm and ammunition</w:t>
      </w:r>
      <w:r w:rsidR="00955B1F" w:rsidRPr="00FA6F2D">
        <w:rPr>
          <w:lang w:val="en-US"/>
        </w:rPr>
        <w:t>. T</w:t>
      </w:r>
      <w:r w:rsidR="007B4CB7" w:rsidRPr="00FA6F2D">
        <w:rPr>
          <w:lang w:val="en-US"/>
        </w:rPr>
        <w:t xml:space="preserve">hey were each sentenced </w:t>
      </w:r>
      <w:r w:rsidR="00955B1F" w:rsidRPr="00FA6F2D">
        <w:rPr>
          <w:lang w:val="en-US"/>
        </w:rPr>
        <w:t xml:space="preserve">to a </w:t>
      </w:r>
      <w:r w:rsidR="007B4CB7" w:rsidRPr="00FA6F2D">
        <w:rPr>
          <w:lang w:val="en-US"/>
        </w:rPr>
        <w:t>period of 15 years</w:t>
      </w:r>
      <w:r w:rsidR="00955B1F" w:rsidRPr="00FA6F2D">
        <w:rPr>
          <w:lang w:val="en-US"/>
        </w:rPr>
        <w:t>’</w:t>
      </w:r>
      <w:r w:rsidR="007B4CB7" w:rsidRPr="00FA6F2D">
        <w:rPr>
          <w:lang w:val="en-US"/>
        </w:rPr>
        <w:t xml:space="preserve"> imprisonment in respect of the aggravated </w:t>
      </w:r>
      <w:r w:rsidR="00955B1F" w:rsidRPr="00FA6F2D">
        <w:rPr>
          <w:lang w:val="en-US"/>
        </w:rPr>
        <w:t xml:space="preserve">robbery, </w:t>
      </w:r>
      <w:r w:rsidR="00927C88" w:rsidRPr="00FA6F2D">
        <w:rPr>
          <w:lang w:val="en-US"/>
        </w:rPr>
        <w:t>life imprisonment in respect of the murder,</w:t>
      </w:r>
      <w:r w:rsidR="00130841" w:rsidRPr="00FA6F2D">
        <w:rPr>
          <w:lang w:val="en-US"/>
        </w:rPr>
        <w:t xml:space="preserve"> </w:t>
      </w:r>
      <w:r w:rsidR="007B4CB7" w:rsidRPr="00FA6F2D">
        <w:rPr>
          <w:lang w:val="en-US"/>
        </w:rPr>
        <w:t>15 years</w:t>
      </w:r>
      <w:r w:rsidR="00955B1F" w:rsidRPr="00FA6F2D">
        <w:rPr>
          <w:lang w:val="en-US"/>
        </w:rPr>
        <w:t>’</w:t>
      </w:r>
      <w:r w:rsidR="007B4CB7" w:rsidRPr="00FA6F2D">
        <w:rPr>
          <w:lang w:val="en-US"/>
        </w:rPr>
        <w:t xml:space="preserve"> imprisonment </w:t>
      </w:r>
      <w:r w:rsidR="007B4CB7" w:rsidRPr="00FA6F2D">
        <w:rPr>
          <w:lang w:val="en-US"/>
        </w:rPr>
        <w:lastRenderedPageBreak/>
        <w:t xml:space="preserve">in respect of </w:t>
      </w:r>
      <w:r w:rsidR="00D21758" w:rsidRPr="00FA6F2D">
        <w:rPr>
          <w:lang w:val="en-US"/>
        </w:rPr>
        <w:t xml:space="preserve">the </w:t>
      </w:r>
      <w:r w:rsidR="00955B1F" w:rsidRPr="00FA6F2D">
        <w:rPr>
          <w:lang w:val="en-US"/>
        </w:rPr>
        <w:t>un</w:t>
      </w:r>
      <w:r w:rsidR="007B4CB7" w:rsidRPr="00FA6F2D">
        <w:rPr>
          <w:lang w:val="en-US"/>
        </w:rPr>
        <w:t>law</w:t>
      </w:r>
      <w:r w:rsidR="00955B1F" w:rsidRPr="00FA6F2D">
        <w:rPr>
          <w:lang w:val="en-US"/>
        </w:rPr>
        <w:t>ful possession of</w:t>
      </w:r>
      <w:r w:rsidR="00927C88" w:rsidRPr="00FA6F2D">
        <w:rPr>
          <w:lang w:val="en-US"/>
        </w:rPr>
        <w:t xml:space="preserve"> a firearm</w:t>
      </w:r>
      <w:r w:rsidR="00493E5C" w:rsidRPr="00FA6F2D">
        <w:rPr>
          <w:lang w:val="en-US"/>
        </w:rPr>
        <w:t xml:space="preserve"> and 1</w:t>
      </w:r>
      <w:r w:rsidR="00927C88" w:rsidRPr="00FA6F2D">
        <w:rPr>
          <w:lang w:val="en-US"/>
        </w:rPr>
        <w:t xml:space="preserve"> year imprisonment in respect of the unlawful possession of ammunition.</w:t>
      </w:r>
      <w:r w:rsidR="00955B1F" w:rsidRPr="00FA6F2D">
        <w:rPr>
          <w:lang w:val="en-US"/>
        </w:rPr>
        <w:t xml:space="preserve"> The </w:t>
      </w:r>
      <w:r w:rsidR="007B4CB7" w:rsidRPr="00FA6F2D">
        <w:rPr>
          <w:lang w:val="en-US"/>
        </w:rPr>
        <w:t xml:space="preserve">sentences were ordered to </w:t>
      </w:r>
      <w:r w:rsidR="00955B1F" w:rsidRPr="00FA6F2D">
        <w:rPr>
          <w:lang w:val="en-US"/>
        </w:rPr>
        <w:t xml:space="preserve">run concurrently </w:t>
      </w:r>
      <w:r w:rsidR="007B4CB7" w:rsidRPr="00FA6F2D">
        <w:rPr>
          <w:lang w:val="en-US"/>
        </w:rPr>
        <w:t xml:space="preserve">with that </w:t>
      </w:r>
      <w:r w:rsidR="00493E5C" w:rsidRPr="00FA6F2D">
        <w:rPr>
          <w:lang w:val="en-US"/>
        </w:rPr>
        <w:t>of the life sentences</w:t>
      </w:r>
      <w:r w:rsidR="00927C88" w:rsidRPr="00FA6F2D">
        <w:rPr>
          <w:lang w:val="en-US"/>
        </w:rPr>
        <w:t>.</w:t>
      </w:r>
    </w:p>
    <w:p w14:paraId="15B33260" w14:textId="7228D13F" w:rsidR="00E87AFE" w:rsidRPr="00130841" w:rsidRDefault="00FA6F2D" w:rsidP="00FA6F2D">
      <w:pPr>
        <w:spacing w:line="360" w:lineRule="auto"/>
        <w:jc w:val="both"/>
      </w:pPr>
      <w:r w:rsidRPr="00130841">
        <w:t>[2]</w:t>
      </w:r>
      <w:r w:rsidRPr="00130841">
        <w:tab/>
      </w:r>
      <w:r w:rsidR="00955B1F" w:rsidRPr="00FA6F2D">
        <w:rPr>
          <w:lang w:val="en-US"/>
        </w:rPr>
        <w:t>I</w:t>
      </w:r>
      <w:r w:rsidR="007B4CB7" w:rsidRPr="00FA6F2D">
        <w:rPr>
          <w:lang w:val="en-US"/>
        </w:rPr>
        <w:t xml:space="preserve">n light of the provisions of </w:t>
      </w:r>
      <w:r w:rsidR="00955B1F" w:rsidRPr="00FA6F2D">
        <w:rPr>
          <w:lang w:val="en-US"/>
        </w:rPr>
        <w:t>S</w:t>
      </w:r>
      <w:r w:rsidR="007B4CB7" w:rsidRPr="00FA6F2D">
        <w:rPr>
          <w:lang w:val="en-US"/>
        </w:rPr>
        <w:t>ections 309</w:t>
      </w:r>
      <w:r w:rsidR="00075757" w:rsidRPr="00FA6F2D">
        <w:rPr>
          <w:lang w:val="en-US"/>
        </w:rPr>
        <w:t>(1)(a)</w:t>
      </w:r>
      <w:r w:rsidR="00E307BB">
        <w:rPr>
          <w:rStyle w:val="FootnoteReference"/>
          <w:lang w:val="en-US"/>
        </w:rPr>
        <w:footnoteReference w:id="1"/>
      </w:r>
      <w:r w:rsidR="00E87AFE" w:rsidRPr="00FA6F2D">
        <w:rPr>
          <w:lang w:val="en-US"/>
        </w:rPr>
        <w:t xml:space="preserve"> </w:t>
      </w:r>
      <w:r w:rsidR="00D21758" w:rsidRPr="00FA6F2D">
        <w:rPr>
          <w:lang w:val="en-US"/>
        </w:rPr>
        <w:t xml:space="preserve">with regard to </w:t>
      </w:r>
      <w:r w:rsidR="007B4CB7" w:rsidRPr="00FA6F2D">
        <w:rPr>
          <w:lang w:val="en-US"/>
        </w:rPr>
        <w:t>the life sentence</w:t>
      </w:r>
      <w:r w:rsidR="00E87AFE" w:rsidRPr="00FA6F2D">
        <w:rPr>
          <w:lang w:val="en-US"/>
        </w:rPr>
        <w:t>s</w:t>
      </w:r>
      <w:r w:rsidR="00D21758" w:rsidRPr="00FA6F2D">
        <w:rPr>
          <w:lang w:val="en-US"/>
        </w:rPr>
        <w:t xml:space="preserve"> imposed  by the court a quo</w:t>
      </w:r>
      <w:r w:rsidR="00927C88" w:rsidRPr="00FA6F2D">
        <w:rPr>
          <w:lang w:val="en-US"/>
        </w:rPr>
        <w:t>,</w:t>
      </w:r>
      <w:r w:rsidR="007B4CB7" w:rsidRPr="00FA6F2D">
        <w:rPr>
          <w:lang w:val="en-US"/>
        </w:rPr>
        <w:t xml:space="preserve"> </w:t>
      </w:r>
      <w:r w:rsidR="00E87AFE" w:rsidRPr="00FA6F2D">
        <w:rPr>
          <w:lang w:val="en-US"/>
        </w:rPr>
        <w:t xml:space="preserve">the appellants </w:t>
      </w:r>
      <w:r w:rsidR="007B4CB7" w:rsidRPr="00FA6F2D">
        <w:rPr>
          <w:lang w:val="en-US"/>
        </w:rPr>
        <w:t>enjoy</w:t>
      </w:r>
      <w:r w:rsidR="00E87AFE" w:rsidRPr="00FA6F2D">
        <w:rPr>
          <w:lang w:val="en-US"/>
        </w:rPr>
        <w:t xml:space="preserve"> an </w:t>
      </w:r>
      <w:r w:rsidR="007B4CB7" w:rsidRPr="00FA6F2D">
        <w:rPr>
          <w:lang w:val="en-US"/>
        </w:rPr>
        <w:t>automatic right of appeal in respect of their convictions and sentences</w:t>
      </w:r>
      <w:r w:rsidR="00E87AFE" w:rsidRPr="00FA6F2D">
        <w:rPr>
          <w:lang w:val="en-US"/>
        </w:rPr>
        <w:t>.</w:t>
      </w:r>
    </w:p>
    <w:p w14:paraId="16A0478C" w14:textId="63603924" w:rsidR="002A164F" w:rsidRPr="00E87AFE" w:rsidRDefault="00FA6F2D" w:rsidP="00FA6F2D">
      <w:pPr>
        <w:spacing w:line="360" w:lineRule="auto"/>
        <w:jc w:val="both"/>
      </w:pPr>
      <w:r w:rsidRPr="00E87AFE">
        <w:t>[3]</w:t>
      </w:r>
      <w:r w:rsidRPr="00E87AFE">
        <w:tab/>
      </w:r>
      <w:r w:rsidR="002A164F" w:rsidRPr="00FA6F2D">
        <w:rPr>
          <w:lang w:val="en-US"/>
        </w:rPr>
        <w:t>The charge in respect of count 1, that of robbery with aggravating circumstances arose out of an incident on 9 October 2021</w:t>
      </w:r>
      <w:r w:rsidR="001F40D4" w:rsidRPr="00FA6F2D">
        <w:rPr>
          <w:lang w:val="en-US"/>
        </w:rPr>
        <w:t xml:space="preserve"> where</w:t>
      </w:r>
      <w:r w:rsidR="002A164F" w:rsidRPr="00FA6F2D">
        <w:rPr>
          <w:lang w:val="en-US"/>
        </w:rPr>
        <w:t xml:space="preserve"> at or near Waterworks in Grabouw the appellant</w:t>
      </w:r>
      <w:r w:rsidR="00D21758" w:rsidRPr="00FA6F2D">
        <w:rPr>
          <w:lang w:val="en-US"/>
        </w:rPr>
        <w:t>s</w:t>
      </w:r>
      <w:r w:rsidR="002A164F" w:rsidRPr="00FA6F2D">
        <w:rPr>
          <w:lang w:val="en-US"/>
        </w:rPr>
        <w:t xml:space="preserve"> unlawfully and intentionally threatened Mr. Yongama Nyeke, the complainant with a firearm and/or a knife</w:t>
      </w:r>
      <w:r w:rsidR="00D21758" w:rsidRPr="00FA6F2D">
        <w:rPr>
          <w:lang w:val="en-US"/>
        </w:rPr>
        <w:t>,</w:t>
      </w:r>
      <w:r w:rsidR="002A164F" w:rsidRPr="00FA6F2D">
        <w:rPr>
          <w:lang w:val="en-US"/>
        </w:rPr>
        <w:t xml:space="preserve"> with the intention of inflicting grievous bodily harm</w:t>
      </w:r>
      <w:r w:rsidR="009D447C" w:rsidRPr="00FA6F2D">
        <w:rPr>
          <w:lang w:val="en-US"/>
        </w:rPr>
        <w:t xml:space="preserve"> on him</w:t>
      </w:r>
      <w:r w:rsidR="002A164F" w:rsidRPr="00FA6F2D">
        <w:rPr>
          <w:lang w:val="en-US"/>
        </w:rPr>
        <w:t xml:space="preserve"> and removed from his possession</w:t>
      </w:r>
      <w:r w:rsidR="009D447C" w:rsidRPr="00FA6F2D">
        <w:rPr>
          <w:lang w:val="en-US"/>
        </w:rPr>
        <w:t>,</w:t>
      </w:r>
      <w:r w:rsidR="002A164F" w:rsidRPr="00FA6F2D">
        <w:rPr>
          <w:lang w:val="en-US"/>
        </w:rPr>
        <w:t xml:space="preserve"> cash in an unknown amount and a Samsung cellular phone. In respect of count 2, that of</w:t>
      </w:r>
      <w:r w:rsidR="00D21758" w:rsidRPr="00FA6F2D">
        <w:rPr>
          <w:lang w:val="en-US"/>
        </w:rPr>
        <w:t xml:space="preserve"> the </w:t>
      </w:r>
      <w:r w:rsidR="002A164F" w:rsidRPr="00FA6F2D">
        <w:rPr>
          <w:lang w:val="en-US"/>
        </w:rPr>
        <w:t>murder, on the same day as that of the first count, the appellants unlawfully and intentionally killed Mr Lutho Majalamba by having shot him with a firearm and did so with a common purpose. In respect of the third count</w:t>
      </w:r>
      <w:r w:rsidR="009D447C" w:rsidRPr="00FA6F2D">
        <w:rPr>
          <w:lang w:val="en-US"/>
        </w:rPr>
        <w:t>,</w:t>
      </w:r>
      <w:r w:rsidR="002A164F" w:rsidRPr="00FA6F2D">
        <w:rPr>
          <w:lang w:val="en-US"/>
        </w:rPr>
        <w:t xml:space="preserve"> that of the possession of a firearm the appellants were found guilty of having possessed a firearm in contravention of the provisions of sections 3 read with sections 1</w:t>
      </w:r>
      <w:r w:rsidR="00493E5C" w:rsidRPr="00FA6F2D">
        <w:rPr>
          <w:lang w:val="en-US"/>
        </w:rPr>
        <w:t>,</w:t>
      </w:r>
      <w:r w:rsidR="002A164F" w:rsidRPr="00FA6F2D">
        <w:rPr>
          <w:lang w:val="en-US"/>
        </w:rPr>
        <w:t xml:space="preserve"> 103</w:t>
      </w:r>
      <w:r w:rsidR="00493E5C" w:rsidRPr="00FA6F2D">
        <w:rPr>
          <w:lang w:val="en-US"/>
        </w:rPr>
        <w:t>,</w:t>
      </w:r>
      <w:r w:rsidR="002A164F" w:rsidRPr="00FA6F2D">
        <w:rPr>
          <w:lang w:val="en-US"/>
        </w:rPr>
        <w:t xml:space="preserve"> 117</w:t>
      </w:r>
      <w:r w:rsidR="00493E5C" w:rsidRPr="00FA6F2D">
        <w:rPr>
          <w:lang w:val="en-US"/>
        </w:rPr>
        <w:t>,</w:t>
      </w:r>
      <w:r w:rsidR="002A164F" w:rsidRPr="00FA6F2D">
        <w:rPr>
          <w:lang w:val="en-US"/>
        </w:rPr>
        <w:t xml:space="preserve"> 121 A, section 121 read with schedule 4, section 151 of the Firearms Control Act</w:t>
      </w:r>
      <w:r w:rsidR="005328AD" w:rsidRPr="00FA6F2D">
        <w:rPr>
          <w:lang w:val="en-US"/>
        </w:rPr>
        <w:t xml:space="preserve"> 60 of 2000</w:t>
      </w:r>
      <w:r w:rsidR="002A164F" w:rsidRPr="00FA6F2D">
        <w:rPr>
          <w:lang w:val="en-US"/>
        </w:rPr>
        <w:t xml:space="preserve"> further read with sections 250 of the Criminal Procedure Act. The appellants were found to have unlawfully had in their possession a firearm, which firearm was used in the commission of the murder and</w:t>
      </w:r>
      <w:r w:rsidR="00D21758" w:rsidRPr="00FA6F2D">
        <w:rPr>
          <w:lang w:val="en-US"/>
        </w:rPr>
        <w:t xml:space="preserve"> the </w:t>
      </w:r>
      <w:r w:rsidR="002A164F" w:rsidRPr="00FA6F2D">
        <w:rPr>
          <w:lang w:val="en-US"/>
        </w:rPr>
        <w:t>aggravated robbery. In respect of the 4</w:t>
      </w:r>
      <w:r w:rsidR="002A164F" w:rsidRPr="00FA6F2D">
        <w:rPr>
          <w:vertAlign w:val="superscript"/>
          <w:lang w:val="en-US"/>
        </w:rPr>
        <w:t>th</w:t>
      </w:r>
      <w:r w:rsidR="002A164F" w:rsidRPr="00FA6F2D">
        <w:rPr>
          <w:lang w:val="en-US"/>
        </w:rPr>
        <w:t xml:space="preserve"> count they were likewise found to have been in the unlawful possession of ammunition, namely a 9mm parabellum cartridge in contravention of the Firearm Arm</w:t>
      </w:r>
      <w:r w:rsidR="00D21758" w:rsidRPr="00FA6F2D">
        <w:rPr>
          <w:lang w:val="en-US"/>
        </w:rPr>
        <w:t>s</w:t>
      </w:r>
      <w:r w:rsidR="002A164F" w:rsidRPr="00FA6F2D">
        <w:rPr>
          <w:lang w:val="en-US"/>
        </w:rPr>
        <w:t xml:space="preserve"> Control Act.</w:t>
      </w:r>
      <w:r w:rsidR="005328AD" w:rsidRPr="00FA6F2D">
        <w:rPr>
          <w:lang w:val="en-US"/>
        </w:rPr>
        <w:t xml:space="preserve"> The </w:t>
      </w:r>
      <w:r w:rsidR="00075757" w:rsidRPr="00FA6F2D">
        <w:rPr>
          <w:lang w:val="en-US"/>
        </w:rPr>
        <w:t>state alleged and the court a quo found</w:t>
      </w:r>
      <w:r w:rsidR="009D447C" w:rsidRPr="00FA6F2D">
        <w:rPr>
          <w:lang w:val="en-US"/>
        </w:rPr>
        <w:t>,</w:t>
      </w:r>
      <w:r w:rsidR="00075757" w:rsidRPr="00FA6F2D">
        <w:rPr>
          <w:lang w:val="en-US"/>
        </w:rPr>
        <w:t xml:space="preserve"> that </w:t>
      </w:r>
      <w:r w:rsidR="009D447C" w:rsidRPr="00FA6F2D">
        <w:rPr>
          <w:lang w:val="en-US"/>
        </w:rPr>
        <w:t>in addition to the count of murder,</w:t>
      </w:r>
      <w:r w:rsidR="001375AB" w:rsidRPr="00FA6F2D">
        <w:rPr>
          <w:lang w:val="en-US"/>
        </w:rPr>
        <w:t xml:space="preserve"> </w:t>
      </w:r>
      <w:r w:rsidR="00075757" w:rsidRPr="00FA6F2D">
        <w:rPr>
          <w:lang w:val="en-US"/>
        </w:rPr>
        <w:t xml:space="preserve">the appellants acted with </w:t>
      </w:r>
      <w:r w:rsidR="009D447C" w:rsidRPr="00FA6F2D">
        <w:rPr>
          <w:lang w:val="en-US"/>
        </w:rPr>
        <w:t>a</w:t>
      </w:r>
      <w:r w:rsidR="00075757" w:rsidRPr="00FA6F2D">
        <w:rPr>
          <w:lang w:val="en-US"/>
        </w:rPr>
        <w:t xml:space="preserve"> common purpose in respect of all the</w:t>
      </w:r>
      <w:r w:rsidR="009D447C" w:rsidRPr="00FA6F2D">
        <w:rPr>
          <w:lang w:val="en-US"/>
        </w:rPr>
        <w:t xml:space="preserve"> other </w:t>
      </w:r>
      <w:r w:rsidR="00075757" w:rsidRPr="00FA6F2D">
        <w:rPr>
          <w:lang w:val="en-US"/>
        </w:rPr>
        <w:t>counts.</w:t>
      </w:r>
    </w:p>
    <w:p w14:paraId="1DE581F4" w14:textId="2059EAC4" w:rsidR="00EA6E12" w:rsidRPr="00130841" w:rsidRDefault="00FA6F2D" w:rsidP="00FA6F2D">
      <w:pPr>
        <w:spacing w:line="360" w:lineRule="auto"/>
        <w:jc w:val="both"/>
      </w:pPr>
      <w:r w:rsidRPr="00130841">
        <w:lastRenderedPageBreak/>
        <w:t>[4]</w:t>
      </w:r>
      <w:r w:rsidRPr="00130841">
        <w:tab/>
      </w:r>
      <w:r w:rsidR="00E87AFE" w:rsidRPr="00FA6F2D">
        <w:rPr>
          <w:lang w:val="en-US"/>
        </w:rPr>
        <w:t xml:space="preserve">The appellants were legally </w:t>
      </w:r>
      <w:r w:rsidR="00D21758" w:rsidRPr="00FA6F2D">
        <w:rPr>
          <w:lang w:val="en-US"/>
        </w:rPr>
        <w:t xml:space="preserve">represented at </w:t>
      </w:r>
      <w:r w:rsidR="007B4CB7" w:rsidRPr="00FA6F2D">
        <w:rPr>
          <w:lang w:val="en-US"/>
        </w:rPr>
        <w:t>the trial</w:t>
      </w:r>
      <w:r w:rsidR="00D21758" w:rsidRPr="00FA6F2D">
        <w:rPr>
          <w:lang w:val="en-US"/>
        </w:rPr>
        <w:t xml:space="preserve"> and </w:t>
      </w:r>
      <w:r w:rsidR="00E87AFE" w:rsidRPr="00FA6F2D">
        <w:rPr>
          <w:lang w:val="en-US"/>
        </w:rPr>
        <w:t>pleaded n</w:t>
      </w:r>
      <w:r w:rsidR="007B4CB7" w:rsidRPr="00FA6F2D">
        <w:rPr>
          <w:lang w:val="en-US"/>
        </w:rPr>
        <w:t>ot guilty to all of the charges</w:t>
      </w:r>
      <w:r w:rsidR="00927C88" w:rsidRPr="00FA6F2D">
        <w:rPr>
          <w:lang w:val="en-US"/>
        </w:rPr>
        <w:t>.</w:t>
      </w:r>
      <w:r w:rsidR="007B4CB7" w:rsidRPr="00FA6F2D">
        <w:rPr>
          <w:lang w:val="en-US"/>
        </w:rPr>
        <w:t xml:space="preserve"> </w:t>
      </w:r>
      <w:r w:rsidR="00927C88" w:rsidRPr="00FA6F2D">
        <w:rPr>
          <w:lang w:val="en-US"/>
        </w:rPr>
        <w:t xml:space="preserve">They </w:t>
      </w:r>
      <w:r w:rsidR="007B4CB7" w:rsidRPr="00FA6F2D">
        <w:rPr>
          <w:lang w:val="en-US"/>
        </w:rPr>
        <w:t>elected not to disclose the basis of the</w:t>
      </w:r>
      <w:r w:rsidR="00E87AFE" w:rsidRPr="00FA6F2D">
        <w:rPr>
          <w:lang w:val="en-US"/>
        </w:rPr>
        <w:t>ir</w:t>
      </w:r>
      <w:r w:rsidR="007B4CB7" w:rsidRPr="00FA6F2D">
        <w:rPr>
          <w:lang w:val="en-US"/>
        </w:rPr>
        <w:t xml:space="preserve"> </w:t>
      </w:r>
      <w:r w:rsidR="00195AF3" w:rsidRPr="00FA6F2D">
        <w:rPr>
          <w:lang w:val="en-US"/>
        </w:rPr>
        <w:t>defense</w:t>
      </w:r>
      <w:r w:rsidR="00E87AFE" w:rsidRPr="00FA6F2D">
        <w:rPr>
          <w:lang w:val="en-US"/>
        </w:rPr>
        <w:t>. I</w:t>
      </w:r>
      <w:r w:rsidR="007B4CB7" w:rsidRPr="00FA6F2D">
        <w:rPr>
          <w:lang w:val="en-US"/>
        </w:rPr>
        <w:t xml:space="preserve">t appeared </w:t>
      </w:r>
      <w:r w:rsidR="00927C88" w:rsidRPr="00FA6F2D">
        <w:rPr>
          <w:lang w:val="en-US"/>
        </w:rPr>
        <w:t>though</w:t>
      </w:r>
      <w:r w:rsidR="009D447C" w:rsidRPr="00FA6F2D">
        <w:rPr>
          <w:lang w:val="en-US"/>
        </w:rPr>
        <w:t>,</w:t>
      </w:r>
      <w:r w:rsidR="00927C88" w:rsidRPr="00FA6F2D">
        <w:rPr>
          <w:lang w:val="en-US"/>
        </w:rPr>
        <w:t xml:space="preserve"> </w:t>
      </w:r>
      <w:r w:rsidR="007B4CB7" w:rsidRPr="00FA6F2D">
        <w:rPr>
          <w:lang w:val="en-US"/>
        </w:rPr>
        <w:t xml:space="preserve">during the course of the </w:t>
      </w:r>
      <w:r w:rsidR="00195AF3" w:rsidRPr="00FA6F2D">
        <w:rPr>
          <w:lang w:val="en-US"/>
        </w:rPr>
        <w:t>trial</w:t>
      </w:r>
      <w:r w:rsidR="007A060F" w:rsidRPr="00FA6F2D">
        <w:rPr>
          <w:lang w:val="en-US"/>
        </w:rPr>
        <w:t>,</w:t>
      </w:r>
      <w:r w:rsidR="007B4CB7" w:rsidRPr="00FA6F2D">
        <w:rPr>
          <w:lang w:val="en-US"/>
        </w:rPr>
        <w:t xml:space="preserve"> </w:t>
      </w:r>
      <w:r w:rsidR="00D21758" w:rsidRPr="00FA6F2D">
        <w:rPr>
          <w:lang w:val="en-US"/>
        </w:rPr>
        <w:t>each of</w:t>
      </w:r>
      <w:r w:rsidR="007B4CB7" w:rsidRPr="00FA6F2D">
        <w:rPr>
          <w:lang w:val="en-US"/>
        </w:rPr>
        <w:t xml:space="preserve"> the </w:t>
      </w:r>
      <w:r w:rsidR="00195AF3" w:rsidRPr="00FA6F2D">
        <w:rPr>
          <w:lang w:val="en-US"/>
        </w:rPr>
        <w:t xml:space="preserve">appellants </w:t>
      </w:r>
      <w:r w:rsidR="007B4CB7" w:rsidRPr="00FA6F2D">
        <w:rPr>
          <w:lang w:val="en-US"/>
        </w:rPr>
        <w:t xml:space="preserve">relied on the </w:t>
      </w:r>
      <w:r w:rsidR="00195AF3" w:rsidRPr="00FA6F2D">
        <w:rPr>
          <w:lang w:val="en-US"/>
        </w:rPr>
        <w:t>defense</w:t>
      </w:r>
      <w:r w:rsidR="007B4CB7" w:rsidRPr="00FA6F2D">
        <w:rPr>
          <w:lang w:val="en-US"/>
        </w:rPr>
        <w:t xml:space="preserve"> of an alibi</w:t>
      </w:r>
      <w:r w:rsidR="00927C88" w:rsidRPr="00FA6F2D">
        <w:rPr>
          <w:lang w:val="en-US"/>
        </w:rPr>
        <w:t xml:space="preserve"> in t</w:t>
      </w:r>
      <w:r w:rsidR="00EA6E12" w:rsidRPr="00FA6F2D">
        <w:rPr>
          <w:lang w:val="en-US"/>
        </w:rPr>
        <w:t xml:space="preserve">hat they claimed to have been at a tavern in </w:t>
      </w:r>
      <w:r w:rsidR="00927C88" w:rsidRPr="00FA6F2D">
        <w:rPr>
          <w:lang w:val="en-US"/>
        </w:rPr>
        <w:t>De Doorns at the time a</w:t>
      </w:r>
      <w:r w:rsidR="00472E6A" w:rsidRPr="00FA6F2D">
        <w:rPr>
          <w:lang w:val="en-US"/>
        </w:rPr>
        <w:t>nd date of the</w:t>
      </w:r>
      <w:r w:rsidR="00EA6E12" w:rsidRPr="00FA6F2D">
        <w:rPr>
          <w:lang w:val="en-US"/>
        </w:rPr>
        <w:t xml:space="preserve"> incidents</w:t>
      </w:r>
      <w:r w:rsidR="00493E5C" w:rsidRPr="00FA6F2D">
        <w:rPr>
          <w:lang w:val="en-US"/>
        </w:rPr>
        <w:t>.</w:t>
      </w:r>
    </w:p>
    <w:p w14:paraId="08B73B0C" w14:textId="4881C7D2" w:rsidR="00660D58" w:rsidRPr="00660D58" w:rsidRDefault="00FA6F2D" w:rsidP="00FA6F2D">
      <w:pPr>
        <w:spacing w:line="360" w:lineRule="auto"/>
        <w:jc w:val="both"/>
      </w:pPr>
      <w:r w:rsidRPr="00660D58">
        <w:t>[5]</w:t>
      </w:r>
      <w:r w:rsidRPr="00660D58">
        <w:tab/>
      </w:r>
      <w:r w:rsidR="00195AF3" w:rsidRPr="00FA6F2D">
        <w:rPr>
          <w:lang w:val="en-US"/>
        </w:rPr>
        <w:t>T</w:t>
      </w:r>
      <w:r w:rsidR="007B4CB7" w:rsidRPr="00FA6F2D">
        <w:rPr>
          <w:lang w:val="en-US"/>
        </w:rPr>
        <w:t xml:space="preserve">he </w:t>
      </w:r>
      <w:r w:rsidR="00195AF3" w:rsidRPr="00FA6F2D">
        <w:rPr>
          <w:lang w:val="en-US"/>
        </w:rPr>
        <w:t xml:space="preserve">appellants </w:t>
      </w:r>
      <w:r w:rsidR="007B4CB7" w:rsidRPr="00FA6F2D">
        <w:rPr>
          <w:lang w:val="en-US"/>
        </w:rPr>
        <w:t>confirmed that</w:t>
      </w:r>
      <w:r w:rsidR="00EA6E12" w:rsidRPr="00FA6F2D">
        <w:rPr>
          <w:lang w:val="en-US"/>
        </w:rPr>
        <w:t xml:space="preserve"> it had been explained to them by their </w:t>
      </w:r>
      <w:r w:rsidR="0093660E" w:rsidRPr="00FA6F2D">
        <w:rPr>
          <w:lang w:val="en-US"/>
        </w:rPr>
        <w:t xml:space="preserve">legal </w:t>
      </w:r>
      <w:r w:rsidR="00EA6E12" w:rsidRPr="00FA6F2D">
        <w:rPr>
          <w:lang w:val="en-US"/>
        </w:rPr>
        <w:t>representative that</w:t>
      </w:r>
      <w:r w:rsidR="00D21758" w:rsidRPr="00FA6F2D">
        <w:rPr>
          <w:lang w:val="en-US"/>
        </w:rPr>
        <w:t xml:space="preserve"> the applicable</w:t>
      </w:r>
      <w:r w:rsidR="007B4CB7" w:rsidRPr="00FA6F2D">
        <w:rPr>
          <w:lang w:val="en-US"/>
        </w:rPr>
        <w:t xml:space="preserve"> minimum sentence</w:t>
      </w:r>
      <w:r w:rsidR="00D21758" w:rsidRPr="00FA6F2D">
        <w:rPr>
          <w:lang w:val="en-US"/>
        </w:rPr>
        <w:t xml:space="preserve">s legislation </w:t>
      </w:r>
      <w:r w:rsidR="00EA6E12" w:rsidRPr="00FA6F2D">
        <w:rPr>
          <w:lang w:val="en-US"/>
        </w:rPr>
        <w:t xml:space="preserve">were </w:t>
      </w:r>
      <w:r w:rsidR="007B4CB7" w:rsidRPr="00FA6F2D">
        <w:rPr>
          <w:lang w:val="en-US"/>
        </w:rPr>
        <w:t>applicable to the charge of aggravated robbery and that of murde</w:t>
      </w:r>
      <w:r w:rsidR="00EA6E12" w:rsidRPr="00FA6F2D">
        <w:rPr>
          <w:lang w:val="en-US"/>
        </w:rPr>
        <w:t>r.</w:t>
      </w:r>
      <w:r w:rsidR="00493E5C" w:rsidRPr="00FA6F2D">
        <w:rPr>
          <w:lang w:val="en-US"/>
        </w:rPr>
        <w:t xml:space="preserve"> </w:t>
      </w:r>
      <w:r w:rsidR="00EA6E12" w:rsidRPr="00FA6F2D">
        <w:rPr>
          <w:lang w:val="en-US"/>
        </w:rPr>
        <w:t>On appeal</w:t>
      </w:r>
      <w:r w:rsidR="00472E6A" w:rsidRPr="00FA6F2D">
        <w:rPr>
          <w:lang w:val="en-US"/>
        </w:rPr>
        <w:t xml:space="preserve"> t</w:t>
      </w:r>
      <w:r w:rsidR="00EA6E12" w:rsidRPr="00FA6F2D">
        <w:rPr>
          <w:lang w:val="en-US"/>
        </w:rPr>
        <w:t xml:space="preserve">hey </w:t>
      </w:r>
      <w:r w:rsidR="007B4CB7" w:rsidRPr="00FA6F2D">
        <w:rPr>
          <w:lang w:val="en-US"/>
        </w:rPr>
        <w:t xml:space="preserve">contended that the application of the minimum sentence in respect of the </w:t>
      </w:r>
      <w:r w:rsidR="00660D58" w:rsidRPr="00FA6F2D">
        <w:rPr>
          <w:lang w:val="en-US"/>
        </w:rPr>
        <w:t>possession</w:t>
      </w:r>
      <w:r w:rsidR="007B4CB7" w:rsidRPr="00FA6F2D">
        <w:rPr>
          <w:lang w:val="en-US"/>
        </w:rPr>
        <w:t xml:space="preserve"> of the unlicensed firearm had not been explained to them by the</w:t>
      </w:r>
      <w:r w:rsidR="00472E6A" w:rsidRPr="00FA6F2D">
        <w:rPr>
          <w:lang w:val="en-US"/>
        </w:rPr>
        <w:t xml:space="preserve">ir </w:t>
      </w:r>
      <w:r w:rsidR="007B4CB7" w:rsidRPr="00FA6F2D">
        <w:rPr>
          <w:lang w:val="en-US"/>
        </w:rPr>
        <w:t xml:space="preserve">legal representative nor </w:t>
      </w:r>
      <w:r w:rsidR="00EA6E12" w:rsidRPr="00FA6F2D">
        <w:rPr>
          <w:lang w:val="en-US"/>
        </w:rPr>
        <w:t xml:space="preserve">brought to their attention </w:t>
      </w:r>
      <w:r w:rsidR="007B4CB7" w:rsidRPr="00FA6F2D">
        <w:rPr>
          <w:lang w:val="en-US"/>
        </w:rPr>
        <w:t>by the court</w:t>
      </w:r>
      <w:r w:rsidR="00660D58" w:rsidRPr="00FA6F2D">
        <w:rPr>
          <w:lang w:val="en-US"/>
        </w:rPr>
        <w:t>.</w:t>
      </w:r>
    </w:p>
    <w:p w14:paraId="379DD199" w14:textId="729D1D96" w:rsidR="002A164F" w:rsidRPr="00130841" w:rsidRDefault="00FA6F2D" w:rsidP="00FA6F2D">
      <w:pPr>
        <w:spacing w:line="360" w:lineRule="auto"/>
        <w:jc w:val="both"/>
      </w:pPr>
      <w:r w:rsidRPr="00130841">
        <w:t>[6]</w:t>
      </w:r>
      <w:r w:rsidRPr="00130841">
        <w:tab/>
      </w:r>
      <w:r w:rsidR="002A5CAB" w:rsidRPr="00FA6F2D">
        <w:rPr>
          <w:lang w:val="en-US"/>
        </w:rPr>
        <w:t xml:space="preserve">The State tendered </w:t>
      </w:r>
      <w:r w:rsidR="007B4CB7" w:rsidRPr="00FA6F2D">
        <w:rPr>
          <w:lang w:val="en-US"/>
        </w:rPr>
        <w:t xml:space="preserve">the evidence of a single witness </w:t>
      </w:r>
      <w:r w:rsidR="00AC098F" w:rsidRPr="00FA6F2D">
        <w:rPr>
          <w:lang w:val="en-US"/>
        </w:rPr>
        <w:t xml:space="preserve">in </w:t>
      </w:r>
      <w:r w:rsidR="007B4CB7" w:rsidRPr="00FA6F2D">
        <w:rPr>
          <w:lang w:val="en-US"/>
        </w:rPr>
        <w:t>respect of the charge</w:t>
      </w:r>
      <w:r w:rsidR="00AC098F" w:rsidRPr="00FA6F2D">
        <w:rPr>
          <w:lang w:val="en-US"/>
        </w:rPr>
        <w:t>s against the appellants namely, Mr. Nyek</w:t>
      </w:r>
      <w:r w:rsidR="004C0D85" w:rsidRPr="00FA6F2D">
        <w:rPr>
          <w:lang w:val="en-US"/>
        </w:rPr>
        <w:t>e</w:t>
      </w:r>
      <w:r w:rsidR="001375AB" w:rsidRPr="00FA6F2D">
        <w:rPr>
          <w:lang w:val="en-US"/>
        </w:rPr>
        <w:t xml:space="preserve"> the complainant</w:t>
      </w:r>
      <w:r w:rsidR="009D447C" w:rsidRPr="00FA6F2D">
        <w:rPr>
          <w:lang w:val="en-US"/>
        </w:rPr>
        <w:t xml:space="preserve">, in respect of count 1 </w:t>
      </w:r>
      <w:r w:rsidR="00F52783" w:rsidRPr="00FA6F2D">
        <w:rPr>
          <w:lang w:val="en-US"/>
        </w:rPr>
        <w:t>and</w:t>
      </w:r>
      <w:r w:rsidR="009D447C" w:rsidRPr="00FA6F2D">
        <w:rPr>
          <w:lang w:val="en-US"/>
        </w:rPr>
        <w:t xml:space="preserve"> an</w:t>
      </w:r>
      <w:r w:rsidR="00D21758" w:rsidRPr="00FA6F2D">
        <w:rPr>
          <w:lang w:val="en-US"/>
        </w:rPr>
        <w:t xml:space="preserve"> eyewitness </w:t>
      </w:r>
      <w:r w:rsidR="009D447C" w:rsidRPr="00FA6F2D">
        <w:rPr>
          <w:lang w:val="en-US"/>
        </w:rPr>
        <w:t>in respect of all of the counts</w:t>
      </w:r>
      <w:r w:rsidR="004C0D85" w:rsidRPr="00FA6F2D">
        <w:rPr>
          <w:lang w:val="en-US"/>
        </w:rPr>
        <w:t>.</w:t>
      </w:r>
      <w:r w:rsidR="00AC098F" w:rsidRPr="00FA6F2D">
        <w:rPr>
          <w:lang w:val="en-US"/>
        </w:rPr>
        <w:t xml:space="preserve"> </w:t>
      </w:r>
      <w:r w:rsidR="004C0D85" w:rsidRPr="00FA6F2D">
        <w:rPr>
          <w:lang w:val="en-US"/>
        </w:rPr>
        <w:t>W</w:t>
      </w:r>
      <w:r w:rsidR="007B4CB7" w:rsidRPr="00FA6F2D">
        <w:rPr>
          <w:lang w:val="en-US"/>
        </w:rPr>
        <w:t xml:space="preserve">ith the consent of the </w:t>
      </w:r>
      <w:r w:rsidR="00AC098F" w:rsidRPr="00FA6F2D">
        <w:rPr>
          <w:lang w:val="en-US"/>
        </w:rPr>
        <w:t>defence</w:t>
      </w:r>
      <w:r w:rsidR="004C0D85" w:rsidRPr="00FA6F2D">
        <w:rPr>
          <w:lang w:val="en-US"/>
        </w:rPr>
        <w:t>,</w:t>
      </w:r>
      <w:r w:rsidR="00AC098F" w:rsidRPr="00FA6F2D">
        <w:rPr>
          <w:lang w:val="en-US"/>
        </w:rPr>
        <w:t xml:space="preserve"> the </w:t>
      </w:r>
      <w:r w:rsidR="007B4CB7" w:rsidRPr="00FA6F2D">
        <w:rPr>
          <w:lang w:val="en-US"/>
        </w:rPr>
        <w:t>medic</w:t>
      </w:r>
      <w:r w:rsidR="00AC098F" w:rsidRPr="00FA6F2D">
        <w:rPr>
          <w:lang w:val="en-US"/>
        </w:rPr>
        <w:t>o</w:t>
      </w:r>
      <w:r w:rsidR="007B4CB7" w:rsidRPr="00FA6F2D">
        <w:rPr>
          <w:lang w:val="en-US"/>
        </w:rPr>
        <w:t xml:space="preserve"> legal autopsy</w:t>
      </w:r>
      <w:r w:rsidR="004C0D85" w:rsidRPr="00FA6F2D">
        <w:rPr>
          <w:lang w:val="en-US"/>
        </w:rPr>
        <w:t xml:space="preserve"> report </w:t>
      </w:r>
      <w:r w:rsidR="00F52783" w:rsidRPr="00FA6F2D">
        <w:rPr>
          <w:lang w:val="en-US"/>
        </w:rPr>
        <w:t xml:space="preserve">prepared </w:t>
      </w:r>
      <w:r w:rsidR="004C0D85" w:rsidRPr="00FA6F2D">
        <w:rPr>
          <w:lang w:val="en-US"/>
        </w:rPr>
        <w:t>in respect of the</w:t>
      </w:r>
      <w:r w:rsidR="00AC098F" w:rsidRPr="00FA6F2D">
        <w:rPr>
          <w:lang w:val="en-US"/>
        </w:rPr>
        <w:t xml:space="preserve"> deceased by</w:t>
      </w:r>
      <w:r w:rsidR="007B4CB7" w:rsidRPr="00FA6F2D">
        <w:rPr>
          <w:lang w:val="en-US"/>
        </w:rPr>
        <w:t xml:space="preserve"> </w:t>
      </w:r>
      <w:r w:rsidR="00AC098F" w:rsidRPr="00FA6F2D">
        <w:rPr>
          <w:lang w:val="en-US"/>
        </w:rPr>
        <w:t>D</w:t>
      </w:r>
      <w:r w:rsidR="007B4CB7" w:rsidRPr="00FA6F2D">
        <w:rPr>
          <w:lang w:val="en-US"/>
        </w:rPr>
        <w:t>r</w:t>
      </w:r>
      <w:r w:rsidR="00D21758" w:rsidRPr="00FA6F2D">
        <w:rPr>
          <w:lang w:val="en-US"/>
        </w:rPr>
        <w:t>.</w:t>
      </w:r>
      <w:r w:rsidR="007B4CB7" w:rsidRPr="00FA6F2D">
        <w:rPr>
          <w:lang w:val="en-US"/>
        </w:rPr>
        <w:t xml:space="preserve"> Denise L</w:t>
      </w:r>
      <w:r w:rsidR="00977023" w:rsidRPr="00FA6F2D">
        <w:rPr>
          <w:lang w:val="en-US"/>
        </w:rPr>
        <w:t>ourens</w:t>
      </w:r>
      <w:r w:rsidR="004C0D85" w:rsidRPr="00FA6F2D">
        <w:rPr>
          <w:lang w:val="en-US"/>
        </w:rPr>
        <w:t xml:space="preserve"> who </w:t>
      </w:r>
      <w:r w:rsidR="007B4CB7" w:rsidRPr="00FA6F2D">
        <w:rPr>
          <w:lang w:val="en-US"/>
        </w:rPr>
        <w:t xml:space="preserve">on </w:t>
      </w:r>
      <w:r w:rsidR="00AC098F" w:rsidRPr="00FA6F2D">
        <w:rPr>
          <w:lang w:val="en-US"/>
        </w:rPr>
        <w:t>12</w:t>
      </w:r>
      <w:r w:rsidR="007B4CB7" w:rsidRPr="00FA6F2D">
        <w:rPr>
          <w:lang w:val="en-US"/>
        </w:rPr>
        <w:t xml:space="preserve"> October 20</w:t>
      </w:r>
      <w:r w:rsidR="00AC098F" w:rsidRPr="00FA6F2D">
        <w:rPr>
          <w:lang w:val="en-US"/>
        </w:rPr>
        <w:t>21</w:t>
      </w:r>
      <w:r w:rsidR="004C0D85" w:rsidRPr="00FA6F2D">
        <w:rPr>
          <w:lang w:val="en-US"/>
        </w:rPr>
        <w:t xml:space="preserve"> conducted the autopsy</w:t>
      </w:r>
      <w:r w:rsidR="00F52783" w:rsidRPr="00FA6F2D">
        <w:rPr>
          <w:lang w:val="en-US"/>
        </w:rPr>
        <w:t xml:space="preserve"> </w:t>
      </w:r>
      <w:r w:rsidR="00551844" w:rsidRPr="00FA6F2D">
        <w:rPr>
          <w:lang w:val="en-US"/>
        </w:rPr>
        <w:t>deceased at</w:t>
      </w:r>
      <w:r w:rsidR="00AC098F" w:rsidRPr="00FA6F2D">
        <w:rPr>
          <w:lang w:val="en-US"/>
        </w:rPr>
        <w:t xml:space="preserve"> the Worcester F</w:t>
      </w:r>
      <w:r w:rsidR="007B4CB7" w:rsidRPr="00FA6F2D">
        <w:rPr>
          <w:lang w:val="en-US"/>
        </w:rPr>
        <w:t xml:space="preserve">orensic </w:t>
      </w:r>
      <w:r w:rsidR="00AC098F" w:rsidRPr="00FA6F2D">
        <w:rPr>
          <w:lang w:val="en-US"/>
        </w:rPr>
        <w:t>P</w:t>
      </w:r>
      <w:r w:rsidR="007B4CB7" w:rsidRPr="00FA6F2D">
        <w:rPr>
          <w:lang w:val="en-US"/>
        </w:rPr>
        <w:t>athology</w:t>
      </w:r>
      <w:r w:rsidR="00F52783" w:rsidRPr="00FA6F2D">
        <w:rPr>
          <w:lang w:val="en-US"/>
        </w:rPr>
        <w:t xml:space="preserve"> Laboratory </w:t>
      </w:r>
      <w:r w:rsidR="007B4CB7" w:rsidRPr="00FA6F2D">
        <w:rPr>
          <w:lang w:val="en-US"/>
        </w:rPr>
        <w:t xml:space="preserve">was </w:t>
      </w:r>
      <w:r w:rsidR="00AC098F" w:rsidRPr="00FA6F2D">
        <w:rPr>
          <w:lang w:val="en-US"/>
        </w:rPr>
        <w:t xml:space="preserve">handed </w:t>
      </w:r>
      <w:r w:rsidR="007B4CB7" w:rsidRPr="00FA6F2D">
        <w:rPr>
          <w:lang w:val="en-US"/>
        </w:rPr>
        <w:t>into evidence</w:t>
      </w:r>
      <w:r w:rsidR="00AC098F" w:rsidRPr="00FA6F2D">
        <w:rPr>
          <w:lang w:val="en-US"/>
        </w:rPr>
        <w:t xml:space="preserve">. </w:t>
      </w:r>
      <w:r w:rsidR="00551844" w:rsidRPr="00FA6F2D">
        <w:rPr>
          <w:lang w:val="en-US"/>
        </w:rPr>
        <w:t xml:space="preserve">Her </w:t>
      </w:r>
      <w:r w:rsidR="007B4CB7" w:rsidRPr="00FA6F2D">
        <w:rPr>
          <w:lang w:val="en-US"/>
        </w:rPr>
        <w:t>chief autopsy findings</w:t>
      </w:r>
      <w:r w:rsidR="004C0D85" w:rsidRPr="00FA6F2D">
        <w:rPr>
          <w:lang w:val="en-US"/>
        </w:rPr>
        <w:t xml:space="preserve"> </w:t>
      </w:r>
      <w:r w:rsidR="007B4CB7" w:rsidRPr="00FA6F2D">
        <w:rPr>
          <w:lang w:val="en-US"/>
        </w:rPr>
        <w:t xml:space="preserve">was that the </w:t>
      </w:r>
      <w:r w:rsidR="00AC098F" w:rsidRPr="00FA6F2D">
        <w:rPr>
          <w:lang w:val="en-US"/>
        </w:rPr>
        <w:t xml:space="preserve">death of the deceased </w:t>
      </w:r>
      <w:r w:rsidR="00551844" w:rsidRPr="00FA6F2D">
        <w:rPr>
          <w:lang w:val="en-US"/>
        </w:rPr>
        <w:t xml:space="preserve">was caused by </w:t>
      </w:r>
      <w:r w:rsidR="00AC098F" w:rsidRPr="00FA6F2D">
        <w:rPr>
          <w:lang w:val="en-US"/>
        </w:rPr>
        <w:t xml:space="preserve">a </w:t>
      </w:r>
      <w:r w:rsidR="007B4CB7" w:rsidRPr="00FA6F2D">
        <w:rPr>
          <w:lang w:val="en-US"/>
        </w:rPr>
        <w:t>gunshot</w:t>
      </w:r>
      <w:r w:rsidR="00F52783" w:rsidRPr="00FA6F2D">
        <w:rPr>
          <w:lang w:val="en-US"/>
        </w:rPr>
        <w:t xml:space="preserve"> wound</w:t>
      </w:r>
      <w:r w:rsidR="007B4CB7" w:rsidRPr="00FA6F2D">
        <w:rPr>
          <w:lang w:val="en-US"/>
        </w:rPr>
        <w:t xml:space="preserve"> to the left eye</w:t>
      </w:r>
      <w:r w:rsidR="00AC098F" w:rsidRPr="00FA6F2D">
        <w:rPr>
          <w:lang w:val="en-US"/>
        </w:rPr>
        <w:t>. T</w:t>
      </w:r>
      <w:r w:rsidR="007B4CB7" w:rsidRPr="00FA6F2D">
        <w:rPr>
          <w:lang w:val="en-US"/>
        </w:rPr>
        <w:t xml:space="preserve">he formal </w:t>
      </w:r>
      <w:r w:rsidR="00551844" w:rsidRPr="00FA6F2D">
        <w:rPr>
          <w:lang w:val="en-US"/>
        </w:rPr>
        <w:t>D</w:t>
      </w:r>
      <w:r w:rsidR="007B4CB7" w:rsidRPr="00FA6F2D">
        <w:rPr>
          <w:lang w:val="en-US"/>
        </w:rPr>
        <w:t xml:space="preserve">eclaration of </w:t>
      </w:r>
      <w:r w:rsidR="00551844" w:rsidRPr="00FA6F2D">
        <w:rPr>
          <w:lang w:val="en-US"/>
        </w:rPr>
        <w:t>D</w:t>
      </w:r>
      <w:r w:rsidR="007B4CB7" w:rsidRPr="00FA6F2D">
        <w:rPr>
          <w:lang w:val="en-US"/>
        </w:rPr>
        <w:t>eat</w:t>
      </w:r>
      <w:r w:rsidR="00F52783" w:rsidRPr="00FA6F2D">
        <w:rPr>
          <w:lang w:val="en-US"/>
        </w:rPr>
        <w:t>h</w:t>
      </w:r>
      <w:r w:rsidR="007B4CB7" w:rsidRPr="00FA6F2D">
        <w:rPr>
          <w:lang w:val="en-US"/>
        </w:rPr>
        <w:t xml:space="preserve"> </w:t>
      </w:r>
      <w:r w:rsidR="00AC098F" w:rsidRPr="00FA6F2D">
        <w:rPr>
          <w:lang w:val="en-US"/>
        </w:rPr>
        <w:t xml:space="preserve">dated </w:t>
      </w:r>
      <w:r w:rsidR="007B4CB7" w:rsidRPr="00FA6F2D">
        <w:rPr>
          <w:lang w:val="en-US"/>
        </w:rPr>
        <w:t>9</w:t>
      </w:r>
      <w:r w:rsidR="00AC098F" w:rsidRPr="00FA6F2D">
        <w:rPr>
          <w:vertAlign w:val="superscript"/>
          <w:lang w:val="en-US"/>
        </w:rPr>
        <w:t xml:space="preserve"> </w:t>
      </w:r>
      <w:r w:rsidR="00AC098F" w:rsidRPr="00FA6F2D">
        <w:rPr>
          <w:lang w:val="en-US"/>
        </w:rPr>
        <w:t xml:space="preserve">October 2021 </w:t>
      </w:r>
      <w:r w:rsidR="007B4CB7" w:rsidRPr="00FA6F2D">
        <w:rPr>
          <w:lang w:val="en-US"/>
        </w:rPr>
        <w:t xml:space="preserve">by </w:t>
      </w:r>
      <w:r w:rsidR="00AC098F" w:rsidRPr="00FA6F2D">
        <w:rPr>
          <w:lang w:val="en-US"/>
        </w:rPr>
        <w:t xml:space="preserve">a </w:t>
      </w:r>
      <w:r w:rsidR="007B4CB7" w:rsidRPr="00FA6F2D">
        <w:rPr>
          <w:lang w:val="en-US"/>
        </w:rPr>
        <w:t xml:space="preserve">Mr. </w:t>
      </w:r>
      <w:r w:rsidR="00AC098F" w:rsidRPr="00FA6F2D">
        <w:rPr>
          <w:lang w:val="en-US"/>
        </w:rPr>
        <w:t>Denver Sp</w:t>
      </w:r>
      <w:r w:rsidR="00977023" w:rsidRPr="00FA6F2D">
        <w:rPr>
          <w:lang w:val="en-US"/>
        </w:rPr>
        <w:t>ogter</w:t>
      </w:r>
      <w:r w:rsidR="00AC098F" w:rsidRPr="00FA6F2D">
        <w:rPr>
          <w:lang w:val="en-US"/>
        </w:rPr>
        <w:t xml:space="preserve"> </w:t>
      </w:r>
      <w:r w:rsidR="007B4CB7" w:rsidRPr="00FA6F2D">
        <w:rPr>
          <w:lang w:val="en-US"/>
        </w:rPr>
        <w:t xml:space="preserve">which also </w:t>
      </w:r>
      <w:r w:rsidR="00977023" w:rsidRPr="00FA6F2D">
        <w:rPr>
          <w:lang w:val="en-US"/>
        </w:rPr>
        <w:t>diagramma</w:t>
      </w:r>
      <w:r w:rsidR="007B4CB7" w:rsidRPr="00FA6F2D">
        <w:rPr>
          <w:lang w:val="en-US"/>
        </w:rPr>
        <w:t>tically</w:t>
      </w:r>
      <w:r w:rsidR="00551844" w:rsidRPr="00FA6F2D">
        <w:rPr>
          <w:lang w:val="en-US"/>
        </w:rPr>
        <w:t xml:space="preserve"> indicated</w:t>
      </w:r>
      <w:r w:rsidR="007B4CB7" w:rsidRPr="00FA6F2D">
        <w:rPr>
          <w:lang w:val="en-US"/>
        </w:rPr>
        <w:t xml:space="preserve"> the gunshot wound to the left eye</w:t>
      </w:r>
      <w:r w:rsidR="00551844" w:rsidRPr="00FA6F2D">
        <w:rPr>
          <w:lang w:val="en-US"/>
        </w:rPr>
        <w:t xml:space="preserve"> of the deceased</w:t>
      </w:r>
      <w:r w:rsidR="00F52783" w:rsidRPr="00FA6F2D">
        <w:rPr>
          <w:lang w:val="en-US"/>
        </w:rPr>
        <w:t xml:space="preserve"> was handed into evidence</w:t>
      </w:r>
      <w:r w:rsidR="00977023" w:rsidRPr="00FA6F2D">
        <w:rPr>
          <w:lang w:val="en-US"/>
        </w:rPr>
        <w:t>.</w:t>
      </w:r>
      <w:r w:rsidR="007B4CB7" w:rsidRPr="00FA6F2D">
        <w:rPr>
          <w:lang w:val="en-US"/>
        </w:rPr>
        <w:t xml:space="preserve"> </w:t>
      </w:r>
      <w:r w:rsidR="00977023" w:rsidRPr="00FA6F2D">
        <w:rPr>
          <w:lang w:val="en-US"/>
        </w:rPr>
        <w:t>A</w:t>
      </w:r>
      <w:r w:rsidR="007B4CB7" w:rsidRPr="00FA6F2D">
        <w:rPr>
          <w:lang w:val="en-US"/>
        </w:rPr>
        <w:t xml:space="preserve"> copy of an extract of </w:t>
      </w:r>
      <w:r w:rsidR="00977023" w:rsidRPr="00FA6F2D">
        <w:rPr>
          <w:lang w:val="en-US"/>
        </w:rPr>
        <w:t xml:space="preserve">the </w:t>
      </w:r>
      <w:r w:rsidR="007B4CB7" w:rsidRPr="00FA6F2D">
        <w:rPr>
          <w:lang w:val="en-US"/>
        </w:rPr>
        <w:t xml:space="preserve">identity document of the deceased that depicted </w:t>
      </w:r>
      <w:r w:rsidR="00977023" w:rsidRPr="00FA6F2D">
        <w:rPr>
          <w:lang w:val="en-US"/>
        </w:rPr>
        <w:t xml:space="preserve">his date </w:t>
      </w:r>
      <w:r w:rsidR="007B4CB7" w:rsidRPr="00FA6F2D">
        <w:rPr>
          <w:lang w:val="en-US"/>
        </w:rPr>
        <w:t xml:space="preserve">of birth </w:t>
      </w:r>
      <w:r w:rsidR="004C0D85" w:rsidRPr="00FA6F2D">
        <w:rPr>
          <w:lang w:val="en-US"/>
        </w:rPr>
        <w:t xml:space="preserve">as </w:t>
      </w:r>
      <w:r w:rsidR="00977023" w:rsidRPr="00FA6F2D">
        <w:rPr>
          <w:lang w:val="en-US"/>
        </w:rPr>
        <w:t xml:space="preserve">6 </w:t>
      </w:r>
      <w:r w:rsidR="007B4CB7" w:rsidRPr="00FA6F2D">
        <w:rPr>
          <w:lang w:val="en-US"/>
        </w:rPr>
        <w:t>September 1998</w:t>
      </w:r>
      <w:r w:rsidR="00F52783" w:rsidRPr="00FA6F2D">
        <w:rPr>
          <w:lang w:val="en-US"/>
        </w:rPr>
        <w:t xml:space="preserve"> and s</w:t>
      </w:r>
      <w:r w:rsidR="007B4CB7" w:rsidRPr="00FA6F2D">
        <w:rPr>
          <w:lang w:val="en-US"/>
        </w:rPr>
        <w:t>o</w:t>
      </w:r>
      <w:r w:rsidR="00F52783" w:rsidRPr="00FA6F2D">
        <w:rPr>
          <w:lang w:val="en-US"/>
        </w:rPr>
        <w:t xml:space="preserve"> too</w:t>
      </w:r>
      <w:r w:rsidR="004C0D85" w:rsidRPr="00FA6F2D">
        <w:rPr>
          <w:lang w:val="en-US"/>
        </w:rPr>
        <w:t xml:space="preserve"> an extract of the identity document of the sister of th</w:t>
      </w:r>
      <w:r w:rsidR="009115B7" w:rsidRPr="00FA6F2D">
        <w:rPr>
          <w:lang w:val="en-US"/>
        </w:rPr>
        <w:t>e</w:t>
      </w:r>
      <w:r w:rsidR="004C0D85" w:rsidRPr="00FA6F2D">
        <w:rPr>
          <w:lang w:val="en-US"/>
        </w:rPr>
        <w:t xml:space="preserve"> deceased</w:t>
      </w:r>
      <w:r w:rsidR="009D447C" w:rsidRPr="00FA6F2D">
        <w:rPr>
          <w:lang w:val="en-US"/>
        </w:rPr>
        <w:t>,</w:t>
      </w:r>
      <w:r w:rsidR="004C0D85" w:rsidRPr="00FA6F2D">
        <w:rPr>
          <w:lang w:val="en-US"/>
        </w:rPr>
        <w:t xml:space="preserve"> </w:t>
      </w:r>
      <w:r w:rsidR="00977023" w:rsidRPr="00FA6F2D">
        <w:rPr>
          <w:lang w:val="en-US"/>
        </w:rPr>
        <w:t>Ms Bongiswa Majalamba</w:t>
      </w:r>
      <w:r w:rsidR="004C0D85" w:rsidRPr="00FA6F2D">
        <w:rPr>
          <w:lang w:val="en-US"/>
        </w:rPr>
        <w:t xml:space="preserve"> who identified his body</w:t>
      </w:r>
      <w:r w:rsidR="009D447C" w:rsidRPr="00FA6F2D">
        <w:rPr>
          <w:lang w:val="en-US"/>
        </w:rPr>
        <w:t>,</w:t>
      </w:r>
      <w:r w:rsidR="00F52783" w:rsidRPr="00FA6F2D">
        <w:rPr>
          <w:lang w:val="en-US"/>
        </w:rPr>
        <w:t xml:space="preserve"> were handed into evidence</w:t>
      </w:r>
      <w:r w:rsidR="00977023" w:rsidRPr="00FA6F2D">
        <w:rPr>
          <w:lang w:val="en-US"/>
        </w:rPr>
        <w:t>. A set</w:t>
      </w:r>
      <w:r w:rsidR="007B4CB7" w:rsidRPr="00FA6F2D">
        <w:rPr>
          <w:lang w:val="en-US"/>
        </w:rPr>
        <w:t xml:space="preserve"> of photographs of the scene of the incident</w:t>
      </w:r>
      <w:r w:rsidR="00551844" w:rsidRPr="00FA6F2D">
        <w:rPr>
          <w:lang w:val="en-US"/>
        </w:rPr>
        <w:t xml:space="preserve"> </w:t>
      </w:r>
      <w:r w:rsidR="007B4CB7" w:rsidRPr="00FA6F2D">
        <w:rPr>
          <w:lang w:val="en-US"/>
        </w:rPr>
        <w:t>that</w:t>
      </w:r>
      <w:r w:rsidR="00551844" w:rsidRPr="00FA6F2D">
        <w:rPr>
          <w:lang w:val="en-US"/>
        </w:rPr>
        <w:t xml:space="preserve"> also </w:t>
      </w:r>
      <w:r w:rsidR="007B4CB7" w:rsidRPr="00FA6F2D">
        <w:rPr>
          <w:lang w:val="en-US"/>
        </w:rPr>
        <w:t>depicted</w:t>
      </w:r>
      <w:r w:rsidR="004C0D85" w:rsidRPr="00FA6F2D">
        <w:rPr>
          <w:lang w:val="en-US"/>
        </w:rPr>
        <w:t xml:space="preserve"> where </w:t>
      </w:r>
      <w:r w:rsidR="007B4CB7" w:rsidRPr="00FA6F2D">
        <w:rPr>
          <w:lang w:val="en-US"/>
        </w:rPr>
        <w:t>the body of the deceased</w:t>
      </w:r>
      <w:r w:rsidR="004C0D85" w:rsidRPr="00FA6F2D">
        <w:rPr>
          <w:lang w:val="en-US"/>
        </w:rPr>
        <w:t xml:space="preserve"> was found</w:t>
      </w:r>
      <w:r w:rsidR="007B4CB7" w:rsidRPr="00FA6F2D">
        <w:rPr>
          <w:lang w:val="en-US"/>
        </w:rPr>
        <w:t xml:space="preserve"> after being shot w</w:t>
      </w:r>
      <w:r w:rsidR="00551844" w:rsidRPr="00FA6F2D">
        <w:rPr>
          <w:lang w:val="en-US"/>
        </w:rPr>
        <w:t>ere</w:t>
      </w:r>
      <w:r w:rsidR="007B4CB7" w:rsidRPr="00FA6F2D">
        <w:rPr>
          <w:lang w:val="en-US"/>
        </w:rPr>
        <w:t xml:space="preserve"> </w:t>
      </w:r>
      <w:r w:rsidR="00977023" w:rsidRPr="00FA6F2D">
        <w:rPr>
          <w:lang w:val="en-US"/>
        </w:rPr>
        <w:t xml:space="preserve">handed </w:t>
      </w:r>
      <w:r w:rsidR="007B4CB7" w:rsidRPr="00FA6F2D">
        <w:rPr>
          <w:lang w:val="en-US"/>
        </w:rPr>
        <w:t>into evidence</w:t>
      </w:r>
      <w:r w:rsidR="00977023" w:rsidRPr="00FA6F2D">
        <w:rPr>
          <w:lang w:val="en-US"/>
        </w:rPr>
        <w:t>. A</w:t>
      </w:r>
      <w:r w:rsidR="007B4CB7" w:rsidRPr="00FA6F2D">
        <w:rPr>
          <w:lang w:val="en-US"/>
        </w:rPr>
        <w:t xml:space="preserve">n affidavit by Warrant Officer </w:t>
      </w:r>
      <w:r w:rsidR="00977023" w:rsidRPr="00FA6F2D">
        <w:rPr>
          <w:lang w:val="en-US"/>
        </w:rPr>
        <w:t>Mduduzi Preston Radebe of the South</w:t>
      </w:r>
      <w:r w:rsidR="007B4CB7" w:rsidRPr="00FA6F2D">
        <w:rPr>
          <w:lang w:val="en-US"/>
        </w:rPr>
        <w:t xml:space="preserve"> African </w:t>
      </w:r>
      <w:r w:rsidR="00977023" w:rsidRPr="00FA6F2D">
        <w:rPr>
          <w:lang w:val="en-US"/>
        </w:rPr>
        <w:t>Police S</w:t>
      </w:r>
      <w:r w:rsidR="007B4CB7" w:rsidRPr="00FA6F2D">
        <w:rPr>
          <w:lang w:val="en-US"/>
        </w:rPr>
        <w:t xml:space="preserve">ervices with regard to a </w:t>
      </w:r>
      <w:r w:rsidR="00F52783" w:rsidRPr="00FA6F2D">
        <w:rPr>
          <w:lang w:val="en-US"/>
        </w:rPr>
        <w:t xml:space="preserve">spent </w:t>
      </w:r>
      <w:r w:rsidR="007B4CB7" w:rsidRPr="00FA6F2D">
        <w:rPr>
          <w:lang w:val="en-US"/>
        </w:rPr>
        <w:t xml:space="preserve">cartridge </w:t>
      </w:r>
      <w:r w:rsidR="00977023" w:rsidRPr="00FA6F2D">
        <w:rPr>
          <w:lang w:val="en-US"/>
        </w:rPr>
        <w:t>found</w:t>
      </w:r>
      <w:r w:rsidR="00F52783" w:rsidRPr="00FA6F2D">
        <w:rPr>
          <w:lang w:val="en-US"/>
        </w:rPr>
        <w:t xml:space="preserve"> at</w:t>
      </w:r>
      <w:r w:rsidR="007B4CB7" w:rsidRPr="00FA6F2D">
        <w:rPr>
          <w:lang w:val="en-US"/>
        </w:rPr>
        <w:t xml:space="preserve"> the scene was </w:t>
      </w:r>
      <w:r w:rsidR="00551844" w:rsidRPr="00FA6F2D">
        <w:rPr>
          <w:lang w:val="en-US"/>
        </w:rPr>
        <w:t>likewise</w:t>
      </w:r>
      <w:r w:rsidR="007B4CB7" w:rsidRPr="00FA6F2D">
        <w:rPr>
          <w:lang w:val="en-US"/>
        </w:rPr>
        <w:t xml:space="preserve"> </w:t>
      </w:r>
      <w:r w:rsidR="00977023" w:rsidRPr="00FA6F2D">
        <w:rPr>
          <w:lang w:val="en-US"/>
        </w:rPr>
        <w:t xml:space="preserve">handed </w:t>
      </w:r>
      <w:r w:rsidR="007B4CB7" w:rsidRPr="00FA6F2D">
        <w:rPr>
          <w:lang w:val="en-US"/>
        </w:rPr>
        <w:t>into evidence</w:t>
      </w:r>
      <w:r w:rsidR="00977023" w:rsidRPr="00FA6F2D">
        <w:rPr>
          <w:lang w:val="en-US"/>
        </w:rPr>
        <w:t xml:space="preserve">. An </w:t>
      </w:r>
      <w:r w:rsidR="007B4CB7" w:rsidRPr="00FA6F2D">
        <w:rPr>
          <w:lang w:val="en-US"/>
        </w:rPr>
        <w:t xml:space="preserve">affidavit by Sergeant </w:t>
      </w:r>
      <w:r w:rsidR="00977023" w:rsidRPr="00FA6F2D">
        <w:rPr>
          <w:lang w:val="en-US"/>
        </w:rPr>
        <w:t xml:space="preserve">Peter Mathele Stembe </w:t>
      </w:r>
      <w:r w:rsidR="007B4CB7" w:rsidRPr="00FA6F2D">
        <w:rPr>
          <w:lang w:val="en-US"/>
        </w:rPr>
        <w:t>of th</w:t>
      </w:r>
      <w:r w:rsidR="00977023" w:rsidRPr="00FA6F2D">
        <w:rPr>
          <w:lang w:val="en-US"/>
        </w:rPr>
        <w:t>e</w:t>
      </w:r>
      <w:r w:rsidR="007B4CB7" w:rsidRPr="00FA6F2D">
        <w:rPr>
          <w:lang w:val="en-US"/>
        </w:rPr>
        <w:t xml:space="preserve"> South African </w:t>
      </w:r>
      <w:r w:rsidR="00977023" w:rsidRPr="00FA6F2D">
        <w:rPr>
          <w:lang w:val="en-US"/>
        </w:rPr>
        <w:t>P</w:t>
      </w:r>
      <w:r w:rsidR="007B4CB7" w:rsidRPr="00FA6F2D">
        <w:rPr>
          <w:lang w:val="en-US"/>
        </w:rPr>
        <w:t xml:space="preserve">olice </w:t>
      </w:r>
      <w:r w:rsidR="00977023" w:rsidRPr="00FA6F2D">
        <w:rPr>
          <w:lang w:val="en-US"/>
        </w:rPr>
        <w:t>S</w:t>
      </w:r>
      <w:r w:rsidR="007B4CB7" w:rsidRPr="00FA6F2D">
        <w:rPr>
          <w:lang w:val="en-US"/>
        </w:rPr>
        <w:t>ervices</w:t>
      </w:r>
      <w:r w:rsidR="00977023" w:rsidRPr="00FA6F2D">
        <w:rPr>
          <w:lang w:val="en-US"/>
        </w:rPr>
        <w:t xml:space="preserve">, Grabouw </w:t>
      </w:r>
      <w:r w:rsidR="007B4CB7" w:rsidRPr="00FA6F2D">
        <w:rPr>
          <w:lang w:val="en-US"/>
        </w:rPr>
        <w:t xml:space="preserve">with regard to </w:t>
      </w:r>
      <w:r w:rsidR="004C0D85" w:rsidRPr="00FA6F2D">
        <w:rPr>
          <w:lang w:val="en-US"/>
        </w:rPr>
        <w:t>the</w:t>
      </w:r>
      <w:r w:rsidR="007B4CB7" w:rsidRPr="00FA6F2D">
        <w:rPr>
          <w:lang w:val="en-US"/>
        </w:rPr>
        <w:t xml:space="preserve"> conducting</w:t>
      </w:r>
      <w:r w:rsidR="00F52783" w:rsidRPr="00FA6F2D">
        <w:rPr>
          <w:lang w:val="en-US"/>
        </w:rPr>
        <w:t xml:space="preserve"> of</w:t>
      </w:r>
      <w:r w:rsidR="007B4CB7" w:rsidRPr="00FA6F2D">
        <w:rPr>
          <w:lang w:val="en-US"/>
        </w:rPr>
        <w:t xml:space="preserve"> a photo</w:t>
      </w:r>
      <w:r w:rsidR="004C0D85" w:rsidRPr="00FA6F2D">
        <w:rPr>
          <w:lang w:val="en-US"/>
        </w:rPr>
        <w:t>-</w:t>
      </w:r>
      <w:r w:rsidR="007B4CB7" w:rsidRPr="00FA6F2D">
        <w:rPr>
          <w:lang w:val="en-US"/>
        </w:rPr>
        <w:t xml:space="preserve"> identi</w:t>
      </w:r>
      <w:r w:rsidR="00551844" w:rsidRPr="00FA6F2D">
        <w:rPr>
          <w:lang w:val="en-US"/>
        </w:rPr>
        <w:t xml:space="preserve">fication </w:t>
      </w:r>
      <w:r w:rsidR="007B4CB7" w:rsidRPr="00FA6F2D">
        <w:rPr>
          <w:lang w:val="en-US"/>
        </w:rPr>
        <w:t>on 21 October 2021 in which the complainant identified the</w:t>
      </w:r>
      <w:r w:rsidR="009115B7" w:rsidRPr="00FA6F2D">
        <w:rPr>
          <w:lang w:val="en-US"/>
        </w:rPr>
        <w:t xml:space="preserve"> second</w:t>
      </w:r>
      <w:r w:rsidR="007B4CB7" w:rsidRPr="00FA6F2D">
        <w:rPr>
          <w:lang w:val="en-US"/>
        </w:rPr>
        <w:t xml:space="preserve"> appellant by appending </w:t>
      </w:r>
      <w:r w:rsidR="00977023" w:rsidRPr="00FA6F2D">
        <w:rPr>
          <w:lang w:val="en-US"/>
        </w:rPr>
        <w:t xml:space="preserve">his </w:t>
      </w:r>
      <w:r w:rsidR="007B4CB7" w:rsidRPr="00FA6F2D">
        <w:rPr>
          <w:lang w:val="en-US"/>
        </w:rPr>
        <w:t>signature</w:t>
      </w:r>
      <w:r w:rsidR="001A1BA5" w:rsidRPr="00FA6F2D">
        <w:rPr>
          <w:lang w:val="en-US"/>
        </w:rPr>
        <w:t xml:space="preserve"> next to </w:t>
      </w:r>
      <w:r w:rsidR="001A1BA5" w:rsidRPr="00FA6F2D">
        <w:rPr>
          <w:lang w:val="en-US"/>
        </w:rPr>
        <w:lastRenderedPageBreak/>
        <w:t xml:space="preserve">his photograph on a </w:t>
      </w:r>
      <w:r w:rsidR="007B4CB7" w:rsidRPr="00FA6F2D">
        <w:rPr>
          <w:lang w:val="en-US"/>
        </w:rPr>
        <w:t xml:space="preserve">page </w:t>
      </w:r>
      <w:r w:rsidR="001A1BA5" w:rsidRPr="00FA6F2D">
        <w:rPr>
          <w:lang w:val="en-US"/>
        </w:rPr>
        <w:t xml:space="preserve">with </w:t>
      </w:r>
      <w:r w:rsidR="007A060F" w:rsidRPr="00FA6F2D">
        <w:rPr>
          <w:lang w:val="en-US"/>
        </w:rPr>
        <w:t>nine</w:t>
      </w:r>
      <w:r w:rsidR="001A1BA5" w:rsidRPr="00FA6F2D">
        <w:rPr>
          <w:lang w:val="en-US"/>
        </w:rPr>
        <w:t xml:space="preserve"> </w:t>
      </w:r>
      <w:r w:rsidR="007B4CB7" w:rsidRPr="00FA6F2D">
        <w:rPr>
          <w:lang w:val="en-US"/>
        </w:rPr>
        <w:t>photographs</w:t>
      </w:r>
      <w:r w:rsidR="00F52783" w:rsidRPr="00FA6F2D">
        <w:rPr>
          <w:lang w:val="en-US"/>
        </w:rPr>
        <w:t xml:space="preserve"> of other persons.</w:t>
      </w:r>
      <w:r w:rsidR="007B4CB7" w:rsidRPr="00FA6F2D">
        <w:rPr>
          <w:lang w:val="en-US"/>
        </w:rPr>
        <w:t xml:space="preserve"> </w:t>
      </w:r>
      <w:r w:rsidR="00551844" w:rsidRPr="00FA6F2D">
        <w:rPr>
          <w:lang w:val="en-US"/>
        </w:rPr>
        <w:t xml:space="preserve">All of the documentary evidence and photographs were handed into evidence with the consent of the </w:t>
      </w:r>
      <w:r w:rsidR="00D517CA" w:rsidRPr="00FA6F2D">
        <w:rPr>
          <w:lang w:val="en-US"/>
        </w:rPr>
        <w:t>defense</w:t>
      </w:r>
      <w:r w:rsidR="00551844" w:rsidRPr="00FA6F2D">
        <w:rPr>
          <w:lang w:val="en-US"/>
        </w:rPr>
        <w:t>.</w:t>
      </w:r>
    </w:p>
    <w:p w14:paraId="3C7EB76B" w14:textId="17305091" w:rsidR="001A1BA5" w:rsidRPr="001A1BA5" w:rsidRDefault="00FA6F2D" w:rsidP="00FA6F2D">
      <w:pPr>
        <w:spacing w:line="360" w:lineRule="auto"/>
        <w:jc w:val="both"/>
      </w:pPr>
      <w:r w:rsidRPr="001A1BA5">
        <w:t>[7]</w:t>
      </w:r>
      <w:r w:rsidRPr="001A1BA5">
        <w:tab/>
      </w:r>
      <w:r w:rsidR="001A1BA5" w:rsidRPr="00FA6F2D">
        <w:rPr>
          <w:lang w:val="en-US"/>
        </w:rPr>
        <w:t xml:space="preserve">The appellants testified in their own </w:t>
      </w:r>
      <w:r w:rsidR="007B4CB7" w:rsidRPr="00FA6F2D">
        <w:rPr>
          <w:lang w:val="en-US"/>
        </w:rPr>
        <w:t xml:space="preserve">defense and called no </w:t>
      </w:r>
      <w:r w:rsidR="002A164F" w:rsidRPr="00FA6F2D">
        <w:rPr>
          <w:lang w:val="en-US"/>
        </w:rPr>
        <w:t>other</w:t>
      </w:r>
      <w:r w:rsidR="007B4CB7" w:rsidRPr="00FA6F2D">
        <w:rPr>
          <w:lang w:val="en-US"/>
        </w:rPr>
        <w:t xml:space="preserve"> witnesses</w:t>
      </w:r>
      <w:r w:rsidR="001A1BA5" w:rsidRPr="00FA6F2D">
        <w:rPr>
          <w:lang w:val="en-US"/>
        </w:rPr>
        <w:t>. I</w:t>
      </w:r>
      <w:r w:rsidR="007B4CB7" w:rsidRPr="00FA6F2D">
        <w:rPr>
          <w:lang w:val="en-US"/>
        </w:rPr>
        <w:t>t appeared that the</w:t>
      </w:r>
      <w:r w:rsidR="001A1BA5" w:rsidRPr="00FA6F2D">
        <w:rPr>
          <w:lang w:val="en-US"/>
        </w:rPr>
        <w:t>ir</w:t>
      </w:r>
      <w:r w:rsidR="007B4CB7" w:rsidRPr="00FA6F2D">
        <w:rPr>
          <w:lang w:val="en-US"/>
        </w:rPr>
        <w:t xml:space="preserve"> alibi witnesses were unable to attend court </w:t>
      </w:r>
      <w:r w:rsidR="001A1BA5" w:rsidRPr="00FA6F2D">
        <w:rPr>
          <w:lang w:val="en-US"/>
        </w:rPr>
        <w:t xml:space="preserve">notwithstanding the </w:t>
      </w:r>
      <w:r w:rsidR="007B4CB7" w:rsidRPr="00FA6F2D">
        <w:rPr>
          <w:lang w:val="en-US"/>
        </w:rPr>
        <w:t>court having repeatedly postponed the matter for the</w:t>
      </w:r>
      <w:r w:rsidR="000371C5" w:rsidRPr="00FA6F2D">
        <w:rPr>
          <w:lang w:val="en-US"/>
        </w:rPr>
        <w:t>ir</w:t>
      </w:r>
      <w:r w:rsidR="007B4CB7" w:rsidRPr="00FA6F2D">
        <w:rPr>
          <w:lang w:val="en-US"/>
        </w:rPr>
        <w:t xml:space="preserve"> attendance</w:t>
      </w:r>
      <w:r w:rsidR="001A1BA5" w:rsidRPr="00FA6F2D">
        <w:rPr>
          <w:lang w:val="en-US"/>
        </w:rPr>
        <w:t xml:space="preserve">. </w:t>
      </w:r>
    </w:p>
    <w:p w14:paraId="644F5FBB" w14:textId="24BD53C0" w:rsidR="001A1BA5" w:rsidRPr="001A1BA5" w:rsidRDefault="00FA6F2D" w:rsidP="00FA6F2D">
      <w:pPr>
        <w:spacing w:line="360" w:lineRule="auto"/>
        <w:jc w:val="both"/>
      </w:pPr>
      <w:r w:rsidRPr="001A1BA5">
        <w:t>[8]</w:t>
      </w:r>
      <w:r w:rsidRPr="001A1BA5">
        <w:tab/>
      </w:r>
      <w:r w:rsidR="001A1BA5" w:rsidRPr="00FA6F2D">
        <w:rPr>
          <w:lang w:val="en-US"/>
        </w:rPr>
        <w:t>I</w:t>
      </w:r>
      <w:r w:rsidR="007B4CB7" w:rsidRPr="00FA6F2D">
        <w:rPr>
          <w:lang w:val="en-US"/>
        </w:rPr>
        <w:t>n respect of the conviction</w:t>
      </w:r>
      <w:r w:rsidR="002A164F" w:rsidRPr="00FA6F2D">
        <w:rPr>
          <w:lang w:val="en-US"/>
        </w:rPr>
        <w:t>,</w:t>
      </w:r>
      <w:r w:rsidR="009115B7" w:rsidRPr="00FA6F2D">
        <w:rPr>
          <w:lang w:val="en-US"/>
        </w:rPr>
        <w:t xml:space="preserve"> </w:t>
      </w:r>
      <w:r w:rsidR="007B4CB7" w:rsidRPr="00FA6F2D">
        <w:rPr>
          <w:lang w:val="en-US"/>
        </w:rPr>
        <w:t xml:space="preserve">the </w:t>
      </w:r>
      <w:r w:rsidR="001A1BA5" w:rsidRPr="00FA6F2D">
        <w:rPr>
          <w:lang w:val="en-US"/>
        </w:rPr>
        <w:t xml:space="preserve">central challenge </w:t>
      </w:r>
      <w:r w:rsidR="007B4CB7" w:rsidRPr="00FA6F2D">
        <w:rPr>
          <w:lang w:val="en-US"/>
        </w:rPr>
        <w:t xml:space="preserve">to the findings of the </w:t>
      </w:r>
      <w:r w:rsidR="001A1BA5" w:rsidRPr="00FA6F2D">
        <w:rPr>
          <w:lang w:val="en-US"/>
        </w:rPr>
        <w:t>court a quo was</w:t>
      </w:r>
      <w:r w:rsidR="007B4CB7" w:rsidRPr="00FA6F2D">
        <w:rPr>
          <w:lang w:val="en-US"/>
        </w:rPr>
        <w:t xml:space="preserve"> that relating to the identity of the second appellant</w:t>
      </w:r>
      <w:r w:rsidR="001A1BA5" w:rsidRPr="00FA6F2D">
        <w:rPr>
          <w:lang w:val="en-US"/>
        </w:rPr>
        <w:t>. T</w:t>
      </w:r>
      <w:r w:rsidR="007B4CB7" w:rsidRPr="00FA6F2D">
        <w:rPr>
          <w:lang w:val="en-US"/>
        </w:rPr>
        <w:t xml:space="preserve">he </w:t>
      </w:r>
      <w:r w:rsidR="001A1BA5" w:rsidRPr="00FA6F2D">
        <w:rPr>
          <w:lang w:val="en-US"/>
        </w:rPr>
        <w:t xml:space="preserve">appellants </w:t>
      </w:r>
      <w:r w:rsidR="007B4CB7" w:rsidRPr="00FA6F2D">
        <w:rPr>
          <w:lang w:val="en-US"/>
        </w:rPr>
        <w:t xml:space="preserve">also </w:t>
      </w:r>
      <w:r w:rsidR="001A1BA5" w:rsidRPr="00FA6F2D">
        <w:rPr>
          <w:lang w:val="en-US"/>
        </w:rPr>
        <w:t xml:space="preserve">contended that </w:t>
      </w:r>
      <w:r w:rsidR="007B4CB7" w:rsidRPr="00FA6F2D">
        <w:rPr>
          <w:lang w:val="en-US"/>
        </w:rPr>
        <w:t>no firearm had been found in possession of any of th</w:t>
      </w:r>
      <w:r w:rsidR="002A164F" w:rsidRPr="00FA6F2D">
        <w:rPr>
          <w:lang w:val="en-US"/>
        </w:rPr>
        <w:t xml:space="preserve">em that </w:t>
      </w:r>
      <w:r w:rsidR="001A1BA5" w:rsidRPr="00FA6F2D">
        <w:rPr>
          <w:lang w:val="en-US"/>
        </w:rPr>
        <w:t>link</w:t>
      </w:r>
      <w:r w:rsidR="002A164F" w:rsidRPr="00FA6F2D">
        <w:rPr>
          <w:lang w:val="en-US"/>
        </w:rPr>
        <w:t>ed</w:t>
      </w:r>
      <w:r w:rsidR="001A1BA5" w:rsidRPr="00FA6F2D">
        <w:rPr>
          <w:lang w:val="en-US"/>
        </w:rPr>
        <w:t xml:space="preserve"> </w:t>
      </w:r>
      <w:r w:rsidR="007B4CB7" w:rsidRPr="00FA6F2D">
        <w:rPr>
          <w:lang w:val="en-US"/>
        </w:rPr>
        <w:t>them to the murder</w:t>
      </w:r>
      <w:r w:rsidR="002A164F" w:rsidRPr="00FA6F2D">
        <w:rPr>
          <w:lang w:val="en-US"/>
        </w:rPr>
        <w:t>,</w:t>
      </w:r>
      <w:r w:rsidR="007B4CB7" w:rsidRPr="00FA6F2D">
        <w:rPr>
          <w:lang w:val="en-US"/>
        </w:rPr>
        <w:t xml:space="preserve"> that the</w:t>
      </w:r>
      <w:r w:rsidR="001A1BA5" w:rsidRPr="00FA6F2D">
        <w:rPr>
          <w:lang w:val="en-US"/>
        </w:rPr>
        <w:t xml:space="preserve"> spent </w:t>
      </w:r>
      <w:r w:rsidR="007B4CB7" w:rsidRPr="00FA6F2D">
        <w:rPr>
          <w:lang w:val="en-US"/>
        </w:rPr>
        <w:t xml:space="preserve">cartridge found at the scene </w:t>
      </w:r>
      <w:r w:rsidR="001A1BA5" w:rsidRPr="00FA6F2D">
        <w:rPr>
          <w:lang w:val="en-US"/>
        </w:rPr>
        <w:t>had</w:t>
      </w:r>
      <w:r w:rsidR="007B4CB7" w:rsidRPr="00FA6F2D">
        <w:rPr>
          <w:lang w:val="en-US"/>
        </w:rPr>
        <w:t xml:space="preserve"> not been linked </w:t>
      </w:r>
      <w:r w:rsidR="00D517CA" w:rsidRPr="00FA6F2D">
        <w:rPr>
          <w:lang w:val="en-US"/>
        </w:rPr>
        <w:t>to</w:t>
      </w:r>
      <w:r w:rsidR="001A1BA5" w:rsidRPr="00FA6F2D">
        <w:rPr>
          <w:lang w:val="en-US"/>
        </w:rPr>
        <w:t xml:space="preserve"> any firearm nor </w:t>
      </w:r>
      <w:r w:rsidR="002A164F" w:rsidRPr="00FA6F2D">
        <w:rPr>
          <w:lang w:val="en-US"/>
        </w:rPr>
        <w:t xml:space="preserve">as they </w:t>
      </w:r>
      <w:r w:rsidR="007B4CB7" w:rsidRPr="00FA6F2D">
        <w:rPr>
          <w:lang w:val="en-US"/>
        </w:rPr>
        <w:t>contended was</w:t>
      </w:r>
      <w:r w:rsidR="001A1BA5" w:rsidRPr="00FA6F2D">
        <w:rPr>
          <w:lang w:val="en-US"/>
        </w:rPr>
        <w:t xml:space="preserve"> </w:t>
      </w:r>
      <w:r w:rsidR="00D517CA" w:rsidRPr="00FA6F2D">
        <w:rPr>
          <w:lang w:val="en-US"/>
        </w:rPr>
        <w:t xml:space="preserve">the </w:t>
      </w:r>
      <w:r w:rsidR="007B4CB7" w:rsidRPr="00FA6F2D">
        <w:rPr>
          <w:lang w:val="en-US"/>
        </w:rPr>
        <w:t xml:space="preserve">proper chain of evidence established </w:t>
      </w:r>
      <w:r w:rsidR="001A1BA5" w:rsidRPr="00FA6F2D">
        <w:rPr>
          <w:lang w:val="en-US"/>
        </w:rPr>
        <w:t xml:space="preserve">linking an </w:t>
      </w:r>
      <w:r w:rsidR="007B4CB7" w:rsidRPr="00FA6F2D">
        <w:rPr>
          <w:lang w:val="en-US"/>
        </w:rPr>
        <w:t>unknown fir</w:t>
      </w:r>
      <w:r w:rsidR="001A1BA5" w:rsidRPr="00FA6F2D">
        <w:rPr>
          <w:lang w:val="en-US"/>
        </w:rPr>
        <w:t xml:space="preserve">earm and the </w:t>
      </w:r>
      <w:r w:rsidR="007B4CB7" w:rsidRPr="00FA6F2D">
        <w:rPr>
          <w:lang w:val="en-US"/>
        </w:rPr>
        <w:t xml:space="preserve">9mm parabellum </w:t>
      </w:r>
      <w:r w:rsidR="00D517CA" w:rsidRPr="00FA6F2D">
        <w:rPr>
          <w:lang w:val="en-US"/>
        </w:rPr>
        <w:t xml:space="preserve">spent </w:t>
      </w:r>
      <w:r w:rsidR="001A1BA5" w:rsidRPr="00FA6F2D">
        <w:rPr>
          <w:lang w:val="en-US"/>
        </w:rPr>
        <w:t>cartridge</w:t>
      </w:r>
      <w:r w:rsidR="002A164F" w:rsidRPr="00FA6F2D">
        <w:rPr>
          <w:lang w:val="en-US"/>
        </w:rPr>
        <w:t xml:space="preserve"> found at the scene.</w:t>
      </w:r>
      <w:r w:rsidR="001A1BA5" w:rsidRPr="00FA6F2D">
        <w:rPr>
          <w:lang w:val="en-US"/>
        </w:rPr>
        <w:t xml:space="preserve"> The appellants </w:t>
      </w:r>
      <w:r w:rsidR="007B4CB7" w:rsidRPr="00FA6F2D">
        <w:rPr>
          <w:lang w:val="en-US"/>
        </w:rPr>
        <w:t>also contended</w:t>
      </w:r>
      <w:r w:rsidR="000371C5" w:rsidRPr="00FA6F2D">
        <w:rPr>
          <w:lang w:val="en-US"/>
        </w:rPr>
        <w:t xml:space="preserve"> that</w:t>
      </w:r>
      <w:r w:rsidR="007B4CB7" w:rsidRPr="00FA6F2D">
        <w:rPr>
          <w:lang w:val="en-US"/>
        </w:rPr>
        <w:t xml:space="preserve"> there was no bullet </w:t>
      </w:r>
      <w:r w:rsidR="001A1BA5" w:rsidRPr="00FA6F2D">
        <w:rPr>
          <w:lang w:val="en-US"/>
        </w:rPr>
        <w:t xml:space="preserve">head </w:t>
      </w:r>
      <w:r w:rsidR="002A164F" w:rsidRPr="00FA6F2D">
        <w:rPr>
          <w:lang w:val="en-US"/>
        </w:rPr>
        <w:t>n</w:t>
      </w:r>
      <w:r w:rsidR="001A1BA5" w:rsidRPr="00FA6F2D">
        <w:rPr>
          <w:lang w:val="en-US"/>
        </w:rPr>
        <w:t xml:space="preserve">or </w:t>
      </w:r>
      <w:r w:rsidR="007B4CB7" w:rsidRPr="00FA6F2D">
        <w:rPr>
          <w:lang w:val="en-US"/>
        </w:rPr>
        <w:t xml:space="preserve">exit </w:t>
      </w:r>
      <w:r w:rsidR="001A1BA5" w:rsidRPr="00FA6F2D">
        <w:rPr>
          <w:lang w:val="en-US"/>
        </w:rPr>
        <w:t xml:space="preserve">wound </w:t>
      </w:r>
      <w:r w:rsidR="007B4CB7" w:rsidRPr="00FA6F2D">
        <w:rPr>
          <w:lang w:val="en-US"/>
        </w:rPr>
        <w:t>to the deceased</w:t>
      </w:r>
      <w:r w:rsidR="002A164F" w:rsidRPr="00FA6F2D">
        <w:rPr>
          <w:lang w:val="en-US"/>
        </w:rPr>
        <w:t>`s</w:t>
      </w:r>
      <w:r w:rsidR="007B4CB7" w:rsidRPr="00FA6F2D">
        <w:rPr>
          <w:lang w:val="en-US"/>
        </w:rPr>
        <w:t xml:space="preserve"> body linking the spent cartridge</w:t>
      </w:r>
      <w:r w:rsidR="002A164F" w:rsidRPr="00FA6F2D">
        <w:rPr>
          <w:lang w:val="en-US"/>
        </w:rPr>
        <w:t xml:space="preserve"> to the incident</w:t>
      </w:r>
      <w:r w:rsidR="001A1BA5" w:rsidRPr="00FA6F2D">
        <w:rPr>
          <w:lang w:val="en-US"/>
        </w:rPr>
        <w:t>.</w:t>
      </w:r>
    </w:p>
    <w:p w14:paraId="54187D4C" w14:textId="1D5BB1E8" w:rsidR="00B1664D" w:rsidRPr="00B1664D" w:rsidRDefault="00FA6F2D" w:rsidP="00FA6F2D">
      <w:pPr>
        <w:spacing w:line="360" w:lineRule="auto"/>
        <w:jc w:val="both"/>
      </w:pPr>
      <w:r w:rsidRPr="00B1664D">
        <w:t>[9]</w:t>
      </w:r>
      <w:r w:rsidRPr="00B1664D">
        <w:tab/>
      </w:r>
      <w:r w:rsidR="001A1BA5" w:rsidRPr="00FA6F2D">
        <w:rPr>
          <w:lang w:val="en-US"/>
        </w:rPr>
        <w:t>The facts in</w:t>
      </w:r>
      <w:r w:rsidR="007B4CB7" w:rsidRPr="00FA6F2D">
        <w:rPr>
          <w:lang w:val="en-US"/>
        </w:rPr>
        <w:t xml:space="preserve"> this matter need</w:t>
      </w:r>
      <w:r w:rsidR="001A1BA5" w:rsidRPr="00FA6F2D">
        <w:rPr>
          <w:lang w:val="en-US"/>
        </w:rPr>
        <w:t xml:space="preserve"> no more than </w:t>
      </w:r>
      <w:r w:rsidR="007B4CB7" w:rsidRPr="00FA6F2D">
        <w:rPr>
          <w:lang w:val="en-US"/>
        </w:rPr>
        <w:t>briefly</w:t>
      </w:r>
      <w:r w:rsidR="00551844" w:rsidRPr="00FA6F2D">
        <w:rPr>
          <w:lang w:val="en-US"/>
        </w:rPr>
        <w:t xml:space="preserve"> be set out</w:t>
      </w:r>
      <w:r w:rsidR="001A1BA5" w:rsidRPr="00FA6F2D">
        <w:rPr>
          <w:lang w:val="en-US"/>
        </w:rPr>
        <w:t>. O</w:t>
      </w:r>
      <w:r w:rsidR="007B4CB7" w:rsidRPr="00FA6F2D">
        <w:rPr>
          <w:lang w:val="en-US"/>
        </w:rPr>
        <w:t>n the night of the incident</w:t>
      </w:r>
      <w:r w:rsidR="00D517CA" w:rsidRPr="00FA6F2D">
        <w:rPr>
          <w:lang w:val="en-US"/>
        </w:rPr>
        <w:t>,</w:t>
      </w:r>
      <w:r w:rsidR="007B4CB7" w:rsidRPr="00FA6F2D">
        <w:rPr>
          <w:lang w:val="en-US"/>
        </w:rPr>
        <w:t xml:space="preserve"> </w:t>
      </w:r>
      <w:r w:rsidR="002A164F" w:rsidRPr="00FA6F2D">
        <w:rPr>
          <w:lang w:val="en-US"/>
        </w:rPr>
        <w:t>the complainant</w:t>
      </w:r>
      <w:r w:rsidR="001A1BA5" w:rsidRPr="00FA6F2D">
        <w:rPr>
          <w:lang w:val="en-US"/>
        </w:rPr>
        <w:t xml:space="preserve"> </w:t>
      </w:r>
      <w:r w:rsidR="00D517CA" w:rsidRPr="00FA6F2D">
        <w:rPr>
          <w:lang w:val="en-US"/>
        </w:rPr>
        <w:t>was</w:t>
      </w:r>
      <w:r w:rsidR="001A1BA5" w:rsidRPr="00FA6F2D">
        <w:rPr>
          <w:lang w:val="en-US"/>
        </w:rPr>
        <w:t xml:space="preserve"> at </w:t>
      </w:r>
      <w:r w:rsidR="00551844" w:rsidRPr="00FA6F2D">
        <w:rPr>
          <w:lang w:val="en-US"/>
        </w:rPr>
        <w:t>a</w:t>
      </w:r>
      <w:r w:rsidR="001A1BA5" w:rsidRPr="00FA6F2D">
        <w:rPr>
          <w:lang w:val="en-US"/>
        </w:rPr>
        <w:t xml:space="preserve"> </w:t>
      </w:r>
      <w:r w:rsidR="002A164F" w:rsidRPr="00FA6F2D">
        <w:rPr>
          <w:lang w:val="en-US"/>
        </w:rPr>
        <w:t xml:space="preserve">tavern </w:t>
      </w:r>
      <w:r w:rsidR="00551844" w:rsidRPr="00FA6F2D">
        <w:rPr>
          <w:lang w:val="en-US"/>
        </w:rPr>
        <w:t xml:space="preserve">that </w:t>
      </w:r>
      <w:r w:rsidR="002A164F" w:rsidRPr="00FA6F2D">
        <w:rPr>
          <w:lang w:val="en-US"/>
        </w:rPr>
        <w:t>was run from</w:t>
      </w:r>
      <w:r w:rsidR="001A1BA5" w:rsidRPr="00FA6F2D">
        <w:rPr>
          <w:lang w:val="en-US"/>
        </w:rPr>
        <w:t xml:space="preserve"> his residence </w:t>
      </w:r>
      <w:r w:rsidR="002A164F" w:rsidRPr="00FA6F2D">
        <w:rPr>
          <w:lang w:val="en-US"/>
        </w:rPr>
        <w:t>(</w:t>
      </w:r>
      <w:r w:rsidR="00551844" w:rsidRPr="00FA6F2D">
        <w:rPr>
          <w:lang w:val="en-US"/>
        </w:rPr>
        <w:t xml:space="preserve">and </w:t>
      </w:r>
      <w:r w:rsidR="001A1BA5" w:rsidRPr="00FA6F2D">
        <w:rPr>
          <w:lang w:val="en-US"/>
        </w:rPr>
        <w:t>owned by his father)</w:t>
      </w:r>
      <w:r w:rsidR="00D52A6F" w:rsidRPr="00FA6F2D">
        <w:rPr>
          <w:lang w:val="en-US"/>
        </w:rPr>
        <w:t>.</w:t>
      </w:r>
      <w:r w:rsidR="001A1BA5" w:rsidRPr="00FA6F2D">
        <w:rPr>
          <w:lang w:val="en-US"/>
        </w:rPr>
        <w:t xml:space="preserve"> T</w:t>
      </w:r>
      <w:r w:rsidR="007B4CB7" w:rsidRPr="00FA6F2D">
        <w:rPr>
          <w:lang w:val="en-US"/>
        </w:rPr>
        <w:t xml:space="preserve">he </w:t>
      </w:r>
      <w:r w:rsidR="0082110E" w:rsidRPr="00FA6F2D">
        <w:rPr>
          <w:lang w:val="en-US"/>
        </w:rPr>
        <w:t xml:space="preserve">first </w:t>
      </w:r>
      <w:r w:rsidR="007B4CB7" w:rsidRPr="00FA6F2D">
        <w:rPr>
          <w:lang w:val="en-US"/>
        </w:rPr>
        <w:t>appellant w</w:t>
      </w:r>
      <w:r w:rsidR="00987E78" w:rsidRPr="00FA6F2D">
        <w:rPr>
          <w:lang w:val="en-US"/>
        </w:rPr>
        <w:t>ho</w:t>
      </w:r>
      <w:r w:rsidR="007B4CB7" w:rsidRPr="00FA6F2D">
        <w:rPr>
          <w:lang w:val="en-US"/>
        </w:rPr>
        <w:t xml:space="preserve"> </w:t>
      </w:r>
      <w:r w:rsidR="00987E78" w:rsidRPr="00FA6F2D">
        <w:rPr>
          <w:lang w:val="en-US"/>
        </w:rPr>
        <w:t xml:space="preserve">he </w:t>
      </w:r>
      <w:r w:rsidR="007B4CB7" w:rsidRPr="00FA6F2D">
        <w:rPr>
          <w:lang w:val="en-US"/>
        </w:rPr>
        <w:t>described as his cousin and</w:t>
      </w:r>
      <w:r w:rsidR="007E1775" w:rsidRPr="00FA6F2D">
        <w:rPr>
          <w:lang w:val="en-US"/>
        </w:rPr>
        <w:t xml:space="preserve"> who</w:t>
      </w:r>
      <w:r w:rsidR="007B4CB7" w:rsidRPr="00FA6F2D">
        <w:rPr>
          <w:lang w:val="en-US"/>
        </w:rPr>
        <w:t xml:space="preserve"> was well</w:t>
      </w:r>
      <w:r w:rsidR="00987E78" w:rsidRPr="00FA6F2D">
        <w:rPr>
          <w:lang w:val="en-US"/>
        </w:rPr>
        <w:t>-</w:t>
      </w:r>
      <w:r w:rsidR="007B4CB7" w:rsidRPr="00FA6F2D">
        <w:rPr>
          <w:lang w:val="en-US"/>
        </w:rPr>
        <w:t xml:space="preserve">known to him arrived at the </w:t>
      </w:r>
      <w:r w:rsidR="007E1775" w:rsidRPr="00FA6F2D">
        <w:rPr>
          <w:lang w:val="en-US"/>
        </w:rPr>
        <w:t xml:space="preserve">tavern </w:t>
      </w:r>
      <w:r w:rsidR="00987E78" w:rsidRPr="00FA6F2D">
        <w:rPr>
          <w:lang w:val="en-US"/>
        </w:rPr>
        <w:t xml:space="preserve">and </w:t>
      </w:r>
      <w:r w:rsidR="007B4CB7" w:rsidRPr="00FA6F2D">
        <w:rPr>
          <w:lang w:val="en-US"/>
        </w:rPr>
        <w:t>request</w:t>
      </w:r>
      <w:r w:rsidR="00987E78" w:rsidRPr="00FA6F2D">
        <w:rPr>
          <w:lang w:val="en-US"/>
        </w:rPr>
        <w:t>ed bee</w:t>
      </w:r>
      <w:r w:rsidR="007B4CB7" w:rsidRPr="00FA6F2D">
        <w:rPr>
          <w:lang w:val="en-US"/>
        </w:rPr>
        <w:t>rs</w:t>
      </w:r>
      <w:r w:rsidR="00987E78" w:rsidRPr="00FA6F2D">
        <w:rPr>
          <w:lang w:val="en-US"/>
        </w:rPr>
        <w:t xml:space="preserve">. </w:t>
      </w:r>
      <w:r w:rsidR="007E1775" w:rsidRPr="00FA6F2D">
        <w:rPr>
          <w:lang w:val="en-US"/>
        </w:rPr>
        <w:t>G</w:t>
      </w:r>
      <w:r w:rsidR="007B4CB7" w:rsidRPr="00FA6F2D">
        <w:rPr>
          <w:lang w:val="en-US"/>
        </w:rPr>
        <w:t>iven the</w:t>
      </w:r>
      <w:r w:rsidR="00987E78" w:rsidRPr="00FA6F2D">
        <w:rPr>
          <w:lang w:val="en-US"/>
        </w:rPr>
        <w:t>ir</w:t>
      </w:r>
      <w:r w:rsidR="007B4CB7" w:rsidRPr="00FA6F2D">
        <w:rPr>
          <w:lang w:val="en-US"/>
        </w:rPr>
        <w:t xml:space="preserve"> </w:t>
      </w:r>
      <w:r w:rsidR="00987E78" w:rsidRPr="00FA6F2D">
        <w:rPr>
          <w:lang w:val="en-US"/>
        </w:rPr>
        <w:t xml:space="preserve">relationship </w:t>
      </w:r>
      <w:r w:rsidR="007B4CB7" w:rsidRPr="00FA6F2D">
        <w:rPr>
          <w:lang w:val="en-US"/>
        </w:rPr>
        <w:t xml:space="preserve">and that the </w:t>
      </w:r>
      <w:r w:rsidR="00987E78" w:rsidRPr="00FA6F2D">
        <w:rPr>
          <w:lang w:val="en-US"/>
        </w:rPr>
        <w:t xml:space="preserve">first appellant </w:t>
      </w:r>
      <w:r w:rsidR="007B4CB7" w:rsidRPr="00FA6F2D">
        <w:rPr>
          <w:lang w:val="en-US"/>
        </w:rPr>
        <w:t>did not have any money</w:t>
      </w:r>
      <w:r w:rsidR="007E1775" w:rsidRPr="00FA6F2D">
        <w:rPr>
          <w:lang w:val="en-US"/>
        </w:rPr>
        <w:t xml:space="preserve"> the complaina</w:t>
      </w:r>
      <w:r w:rsidR="009115B7" w:rsidRPr="00FA6F2D">
        <w:rPr>
          <w:lang w:val="en-US"/>
        </w:rPr>
        <w:t>n</w:t>
      </w:r>
      <w:r w:rsidR="007E1775" w:rsidRPr="00FA6F2D">
        <w:rPr>
          <w:lang w:val="en-US"/>
        </w:rPr>
        <w:t>t obliged him with two beers</w:t>
      </w:r>
      <w:r w:rsidR="00987E78" w:rsidRPr="00FA6F2D">
        <w:rPr>
          <w:lang w:val="en-US"/>
        </w:rPr>
        <w:t xml:space="preserve">. </w:t>
      </w:r>
      <w:r w:rsidR="009115B7" w:rsidRPr="00FA6F2D">
        <w:rPr>
          <w:lang w:val="en-US"/>
        </w:rPr>
        <w:t>T</w:t>
      </w:r>
      <w:r w:rsidR="007E1775" w:rsidRPr="00FA6F2D">
        <w:rPr>
          <w:lang w:val="en-US"/>
        </w:rPr>
        <w:t>he first</w:t>
      </w:r>
      <w:r w:rsidR="00987E78" w:rsidRPr="00FA6F2D">
        <w:rPr>
          <w:lang w:val="en-US"/>
        </w:rPr>
        <w:t xml:space="preserve"> appellant left</w:t>
      </w:r>
      <w:r w:rsidR="007E1775" w:rsidRPr="00FA6F2D">
        <w:rPr>
          <w:lang w:val="en-US"/>
        </w:rPr>
        <w:t xml:space="preserve"> </w:t>
      </w:r>
      <w:r w:rsidR="00D517CA" w:rsidRPr="00FA6F2D">
        <w:rPr>
          <w:lang w:val="en-US"/>
        </w:rPr>
        <w:t xml:space="preserve">and </w:t>
      </w:r>
      <w:r w:rsidR="009115B7" w:rsidRPr="00FA6F2D">
        <w:rPr>
          <w:lang w:val="en-US"/>
        </w:rPr>
        <w:t>there</w:t>
      </w:r>
      <w:r w:rsidR="007E1775" w:rsidRPr="00FA6F2D">
        <w:rPr>
          <w:lang w:val="en-US"/>
        </w:rPr>
        <w:t>after</w:t>
      </w:r>
      <w:r w:rsidR="00987E78" w:rsidRPr="00FA6F2D">
        <w:rPr>
          <w:lang w:val="en-US"/>
        </w:rPr>
        <w:t xml:space="preserve"> returned </w:t>
      </w:r>
      <w:r w:rsidR="007B4CB7" w:rsidRPr="00FA6F2D">
        <w:rPr>
          <w:lang w:val="en-US"/>
        </w:rPr>
        <w:t xml:space="preserve">in the company of two other persons one of whom was the </w:t>
      </w:r>
      <w:r w:rsidR="00987E78" w:rsidRPr="00FA6F2D">
        <w:rPr>
          <w:lang w:val="en-US"/>
        </w:rPr>
        <w:t xml:space="preserve">second </w:t>
      </w:r>
      <w:r w:rsidR="007B4CB7" w:rsidRPr="00FA6F2D">
        <w:rPr>
          <w:lang w:val="en-US"/>
        </w:rPr>
        <w:t>appellant</w:t>
      </w:r>
      <w:r w:rsidR="00987E78" w:rsidRPr="00FA6F2D">
        <w:rPr>
          <w:lang w:val="en-US"/>
        </w:rPr>
        <w:t>.</w:t>
      </w:r>
      <w:r w:rsidR="00D52A6F" w:rsidRPr="00FA6F2D">
        <w:rPr>
          <w:lang w:val="en-US"/>
        </w:rPr>
        <w:t xml:space="preserve"> </w:t>
      </w:r>
      <w:r w:rsidR="00D517CA" w:rsidRPr="00FA6F2D">
        <w:rPr>
          <w:lang w:val="en-US"/>
        </w:rPr>
        <w:t>The complainant was unable to identify the third person.</w:t>
      </w:r>
      <w:r w:rsidR="00987E78" w:rsidRPr="00FA6F2D">
        <w:rPr>
          <w:lang w:val="en-US"/>
        </w:rPr>
        <w:t xml:space="preserve"> T</w:t>
      </w:r>
      <w:r w:rsidR="007B4CB7" w:rsidRPr="00FA6F2D">
        <w:rPr>
          <w:lang w:val="en-US"/>
        </w:rPr>
        <w:t>hey asked for more beer and first appellant requested food</w:t>
      </w:r>
      <w:r w:rsidR="00987E78" w:rsidRPr="00FA6F2D">
        <w:rPr>
          <w:lang w:val="en-US"/>
        </w:rPr>
        <w:t xml:space="preserve"> from</w:t>
      </w:r>
      <w:r w:rsidR="007B4CB7" w:rsidRPr="00FA6F2D">
        <w:rPr>
          <w:lang w:val="en-US"/>
        </w:rPr>
        <w:t xml:space="preserve"> the complainant</w:t>
      </w:r>
      <w:r w:rsidR="00987E78" w:rsidRPr="00FA6F2D">
        <w:rPr>
          <w:lang w:val="en-US"/>
        </w:rPr>
        <w:t>. The co</w:t>
      </w:r>
      <w:r w:rsidR="007B4CB7" w:rsidRPr="00FA6F2D">
        <w:rPr>
          <w:lang w:val="en-US"/>
        </w:rPr>
        <w:t xml:space="preserve">mplainant </w:t>
      </w:r>
      <w:r w:rsidR="00551844" w:rsidRPr="00FA6F2D">
        <w:rPr>
          <w:lang w:val="en-US"/>
        </w:rPr>
        <w:t xml:space="preserve">again </w:t>
      </w:r>
      <w:r w:rsidR="007B4CB7" w:rsidRPr="00FA6F2D">
        <w:rPr>
          <w:lang w:val="en-US"/>
        </w:rPr>
        <w:t>obliged</w:t>
      </w:r>
      <w:r w:rsidR="007E1775" w:rsidRPr="00FA6F2D">
        <w:rPr>
          <w:lang w:val="en-US"/>
        </w:rPr>
        <w:t>,</w:t>
      </w:r>
      <w:r w:rsidR="00551844" w:rsidRPr="00FA6F2D">
        <w:rPr>
          <w:lang w:val="en-US"/>
        </w:rPr>
        <w:t xml:space="preserve"> and dished</w:t>
      </w:r>
      <w:r w:rsidR="007B4CB7" w:rsidRPr="00FA6F2D">
        <w:rPr>
          <w:lang w:val="en-US"/>
        </w:rPr>
        <w:t xml:space="preserve"> out food for them and invited them to sit in the front room of the house</w:t>
      </w:r>
      <w:r w:rsidR="00A40530" w:rsidRPr="00FA6F2D">
        <w:rPr>
          <w:lang w:val="en-US"/>
        </w:rPr>
        <w:t xml:space="preserve"> rather than in th</w:t>
      </w:r>
      <w:r w:rsidR="00D517CA" w:rsidRPr="00FA6F2D">
        <w:rPr>
          <w:lang w:val="en-US"/>
        </w:rPr>
        <w:t>e</w:t>
      </w:r>
      <w:r w:rsidR="00A40530" w:rsidRPr="00FA6F2D">
        <w:rPr>
          <w:lang w:val="en-US"/>
        </w:rPr>
        <w:t xml:space="preserve"> tavern</w:t>
      </w:r>
      <w:r w:rsidR="007B4CB7" w:rsidRPr="00FA6F2D">
        <w:rPr>
          <w:lang w:val="en-US"/>
        </w:rPr>
        <w:t xml:space="preserve"> while eating</w:t>
      </w:r>
      <w:r w:rsidR="00987E78" w:rsidRPr="00FA6F2D">
        <w:rPr>
          <w:lang w:val="en-US"/>
        </w:rPr>
        <w:t>. T</w:t>
      </w:r>
      <w:r w:rsidR="007B4CB7" w:rsidRPr="00FA6F2D">
        <w:rPr>
          <w:lang w:val="en-US"/>
        </w:rPr>
        <w:t xml:space="preserve">he deceased at that stage arrived and joined the </w:t>
      </w:r>
      <w:r w:rsidR="00987E78" w:rsidRPr="00FA6F2D">
        <w:rPr>
          <w:lang w:val="en-US"/>
        </w:rPr>
        <w:t>appellants and</w:t>
      </w:r>
      <w:r w:rsidR="007B4CB7" w:rsidRPr="00FA6F2D">
        <w:rPr>
          <w:lang w:val="en-US"/>
        </w:rPr>
        <w:t xml:space="preserve"> the third person</w:t>
      </w:r>
      <w:r w:rsidR="007E1775" w:rsidRPr="00FA6F2D">
        <w:rPr>
          <w:lang w:val="en-US"/>
        </w:rPr>
        <w:t xml:space="preserve"> in</w:t>
      </w:r>
      <w:r w:rsidR="00987E78" w:rsidRPr="00FA6F2D">
        <w:rPr>
          <w:lang w:val="en-US"/>
        </w:rPr>
        <w:t xml:space="preserve"> eating the food. T</w:t>
      </w:r>
      <w:r w:rsidR="007B4CB7" w:rsidRPr="00FA6F2D">
        <w:rPr>
          <w:lang w:val="en-US"/>
        </w:rPr>
        <w:t>he complainant was called by a neighbo</w:t>
      </w:r>
      <w:r w:rsidR="00B1664D" w:rsidRPr="00FA6F2D">
        <w:rPr>
          <w:lang w:val="en-US"/>
        </w:rPr>
        <w:t>u</w:t>
      </w:r>
      <w:r w:rsidR="007B4CB7" w:rsidRPr="00FA6F2D">
        <w:rPr>
          <w:lang w:val="en-US"/>
        </w:rPr>
        <w:t xml:space="preserve">r </w:t>
      </w:r>
      <w:r w:rsidR="00B1664D" w:rsidRPr="00FA6F2D">
        <w:rPr>
          <w:lang w:val="en-US"/>
        </w:rPr>
        <w:t xml:space="preserve">and </w:t>
      </w:r>
      <w:r w:rsidR="007B4CB7" w:rsidRPr="00FA6F2D">
        <w:rPr>
          <w:lang w:val="en-US"/>
        </w:rPr>
        <w:t xml:space="preserve">he together with the deceased </w:t>
      </w:r>
      <w:r w:rsidR="00B1664D" w:rsidRPr="00FA6F2D">
        <w:rPr>
          <w:lang w:val="en-US"/>
        </w:rPr>
        <w:t>went</w:t>
      </w:r>
      <w:r w:rsidR="007E1775" w:rsidRPr="00FA6F2D">
        <w:rPr>
          <w:lang w:val="en-US"/>
        </w:rPr>
        <w:t xml:space="preserve"> over </w:t>
      </w:r>
      <w:r w:rsidR="00B1664D" w:rsidRPr="00FA6F2D">
        <w:rPr>
          <w:lang w:val="en-US"/>
        </w:rPr>
        <w:t xml:space="preserve">to </w:t>
      </w:r>
      <w:r w:rsidR="007B4CB7" w:rsidRPr="00FA6F2D">
        <w:rPr>
          <w:lang w:val="en-US"/>
        </w:rPr>
        <w:t>the</w:t>
      </w:r>
      <w:r w:rsidR="00A40530" w:rsidRPr="00FA6F2D">
        <w:rPr>
          <w:lang w:val="en-US"/>
        </w:rPr>
        <w:t xml:space="preserve"> premises of the </w:t>
      </w:r>
      <w:r w:rsidR="00D517CA" w:rsidRPr="00FA6F2D">
        <w:rPr>
          <w:lang w:val="en-US"/>
        </w:rPr>
        <w:t>neighbo</w:t>
      </w:r>
      <w:r w:rsidR="000371C5" w:rsidRPr="00FA6F2D">
        <w:rPr>
          <w:lang w:val="en-US"/>
        </w:rPr>
        <w:t>u</w:t>
      </w:r>
      <w:r w:rsidR="00D517CA" w:rsidRPr="00FA6F2D">
        <w:rPr>
          <w:lang w:val="en-US"/>
        </w:rPr>
        <w:t>r.</w:t>
      </w:r>
      <w:r w:rsidR="00B1664D" w:rsidRPr="00FA6F2D">
        <w:rPr>
          <w:lang w:val="en-US"/>
        </w:rPr>
        <w:t xml:space="preserve"> O</w:t>
      </w:r>
      <w:r w:rsidR="007B4CB7" w:rsidRPr="00FA6F2D">
        <w:rPr>
          <w:lang w:val="en-US"/>
        </w:rPr>
        <w:t>n the</w:t>
      </w:r>
      <w:r w:rsidR="00B1664D" w:rsidRPr="00FA6F2D">
        <w:rPr>
          <w:lang w:val="en-US"/>
        </w:rPr>
        <w:t>ir</w:t>
      </w:r>
      <w:r w:rsidR="00D52A6F" w:rsidRPr="00FA6F2D">
        <w:rPr>
          <w:lang w:val="en-US"/>
        </w:rPr>
        <w:t xml:space="preserve"> return </w:t>
      </w:r>
      <w:r w:rsidR="000371C5" w:rsidRPr="00FA6F2D">
        <w:rPr>
          <w:lang w:val="en-US"/>
        </w:rPr>
        <w:t>he</w:t>
      </w:r>
      <w:r w:rsidR="007B4CB7" w:rsidRPr="00FA6F2D">
        <w:rPr>
          <w:lang w:val="en-US"/>
        </w:rPr>
        <w:t xml:space="preserve"> notice</w:t>
      </w:r>
      <w:r w:rsidR="007E1775" w:rsidRPr="00FA6F2D">
        <w:rPr>
          <w:lang w:val="en-US"/>
        </w:rPr>
        <w:t>d</w:t>
      </w:r>
      <w:r w:rsidR="007B4CB7" w:rsidRPr="00FA6F2D">
        <w:rPr>
          <w:lang w:val="en-US"/>
        </w:rPr>
        <w:t xml:space="preserve"> that the appellants and the third person w</w:t>
      </w:r>
      <w:r w:rsidR="000371C5" w:rsidRPr="00FA6F2D">
        <w:rPr>
          <w:lang w:val="en-US"/>
        </w:rPr>
        <w:t>ere</w:t>
      </w:r>
      <w:r w:rsidR="007B4CB7" w:rsidRPr="00FA6F2D">
        <w:rPr>
          <w:lang w:val="en-US"/>
        </w:rPr>
        <w:t xml:space="preserve"> still busy eating and drinking in the front room of the residence</w:t>
      </w:r>
      <w:r w:rsidR="00B1664D" w:rsidRPr="00FA6F2D">
        <w:rPr>
          <w:lang w:val="en-US"/>
        </w:rPr>
        <w:t>. T</w:t>
      </w:r>
      <w:r w:rsidR="007B4CB7" w:rsidRPr="00FA6F2D">
        <w:rPr>
          <w:lang w:val="en-US"/>
        </w:rPr>
        <w:t xml:space="preserve">he complainant proceeded to </w:t>
      </w:r>
      <w:r w:rsidR="00B1664D" w:rsidRPr="00FA6F2D">
        <w:rPr>
          <w:lang w:val="en-US"/>
        </w:rPr>
        <w:t xml:space="preserve">his own </w:t>
      </w:r>
      <w:r w:rsidR="007E1775" w:rsidRPr="00FA6F2D">
        <w:rPr>
          <w:lang w:val="en-US"/>
        </w:rPr>
        <w:t>bedroom</w:t>
      </w:r>
      <w:r w:rsidR="00B1664D" w:rsidRPr="00FA6F2D">
        <w:rPr>
          <w:lang w:val="en-US"/>
        </w:rPr>
        <w:t xml:space="preserve"> </w:t>
      </w:r>
      <w:r w:rsidR="007B4CB7" w:rsidRPr="00FA6F2D">
        <w:rPr>
          <w:lang w:val="en-US"/>
        </w:rPr>
        <w:t xml:space="preserve">in which he would </w:t>
      </w:r>
      <w:r w:rsidR="00D517CA" w:rsidRPr="00FA6F2D">
        <w:rPr>
          <w:lang w:val="en-US"/>
        </w:rPr>
        <w:t>store</w:t>
      </w:r>
      <w:r w:rsidR="007B4CB7" w:rsidRPr="00FA6F2D">
        <w:rPr>
          <w:lang w:val="en-US"/>
        </w:rPr>
        <w:t xml:space="preserve"> the money which he </w:t>
      </w:r>
      <w:r w:rsidR="007E1775" w:rsidRPr="00FA6F2D">
        <w:rPr>
          <w:lang w:val="en-US"/>
        </w:rPr>
        <w:t xml:space="preserve">collected </w:t>
      </w:r>
      <w:r w:rsidR="007B4CB7" w:rsidRPr="00FA6F2D">
        <w:rPr>
          <w:lang w:val="en-US"/>
        </w:rPr>
        <w:t xml:space="preserve">from his </w:t>
      </w:r>
      <w:r w:rsidR="00B1664D" w:rsidRPr="00FA6F2D">
        <w:rPr>
          <w:lang w:val="en-US"/>
        </w:rPr>
        <w:t>neighbo</w:t>
      </w:r>
      <w:r w:rsidR="00A40530" w:rsidRPr="00FA6F2D">
        <w:rPr>
          <w:lang w:val="en-US"/>
        </w:rPr>
        <w:t>u</w:t>
      </w:r>
      <w:r w:rsidR="00B1664D" w:rsidRPr="00FA6F2D">
        <w:rPr>
          <w:lang w:val="en-US"/>
        </w:rPr>
        <w:t xml:space="preserve">r. The </w:t>
      </w:r>
      <w:r w:rsidR="007B4CB7" w:rsidRPr="00FA6F2D">
        <w:rPr>
          <w:lang w:val="en-US"/>
        </w:rPr>
        <w:t>first app</w:t>
      </w:r>
      <w:r w:rsidR="00B1664D" w:rsidRPr="00FA6F2D">
        <w:rPr>
          <w:lang w:val="en-US"/>
        </w:rPr>
        <w:t>ellant</w:t>
      </w:r>
      <w:r w:rsidR="007B4CB7" w:rsidRPr="00FA6F2D">
        <w:rPr>
          <w:lang w:val="en-US"/>
        </w:rPr>
        <w:t xml:space="preserve"> followed him and pointed </w:t>
      </w:r>
      <w:r w:rsidR="000371C5" w:rsidRPr="00FA6F2D">
        <w:rPr>
          <w:lang w:val="en-US"/>
        </w:rPr>
        <w:t>a</w:t>
      </w:r>
      <w:r w:rsidR="007B4CB7" w:rsidRPr="00FA6F2D">
        <w:rPr>
          <w:lang w:val="en-US"/>
        </w:rPr>
        <w:t xml:space="preserve"> firearm </w:t>
      </w:r>
      <w:r w:rsidR="00B1664D" w:rsidRPr="00FA6F2D">
        <w:rPr>
          <w:lang w:val="en-US"/>
        </w:rPr>
        <w:t>at him. T</w:t>
      </w:r>
      <w:r w:rsidR="007B4CB7" w:rsidRPr="00FA6F2D">
        <w:rPr>
          <w:lang w:val="en-US"/>
        </w:rPr>
        <w:t xml:space="preserve">he </w:t>
      </w:r>
      <w:r w:rsidR="00B1664D" w:rsidRPr="00FA6F2D">
        <w:rPr>
          <w:lang w:val="en-US"/>
        </w:rPr>
        <w:t xml:space="preserve">complainant </w:t>
      </w:r>
      <w:r w:rsidR="007B4CB7" w:rsidRPr="00FA6F2D">
        <w:rPr>
          <w:lang w:val="en-US"/>
        </w:rPr>
        <w:t>explain</w:t>
      </w:r>
      <w:r w:rsidR="00B1664D" w:rsidRPr="00FA6F2D">
        <w:rPr>
          <w:lang w:val="en-US"/>
        </w:rPr>
        <w:t>ed</w:t>
      </w:r>
      <w:r w:rsidR="007B4CB7" w:rsidRPr="00FA6F2D">
        <w:rPr>
          <w:lang w:val="en-US"/>
        </w:rPr>
        <w:t xml:space="preserve"> that he </w:t>
      </w:r>
      <w:r w:rsidR="00B1664D" w:rsidRPr="00FA6F2D">
        <w:rPr>
          <w:lang w:val="en-US"/>
        </w:rPr>
        <w:t xml:space="preserve">turned and grabbed at the </w:t>
      </w:r>
      <w:r w:rsidR="007B4CB7" w:rsidRPr="00FA6F2D">
        <w:rPr>
          <w:lang w:val="en-US"/>
        </w:rPr>
        <w:t xml:space="preserve">firearm </w:t>
      </w:r>
      <w:r w:rsidR="00B1664D" w:rsidRPr="00FA6F2D">
        <w:rPr>
          <w:lang w:val="en-US"/>
        </w:rPr>
        <w:t xml:space="preserve">as at that </w:t>
      </w:r>
      <w:r w:rsidR="007E1775" w:rsidRPr="00FA6F2D">
        <w:rPr>
          <w:lang w:val="en-US"/>
        </w:rPr>
        <w:t>point</w:t>
      </w:r>
      <w:r w:rsidR="00B1664D" w:rsidRPr="00FA6F2D">
        <w:rPr>
          <w:lang w:val="en-US"/>
        </w:rPr>
        <w:t xml:space="preserve"> he thought that</w:t>
      </w:r>
      <w:r w:rsidR="00D517CA" w:rsidRPr="00FA6F2D">
        <w:rPr>
          <w:lang w:val="en-US"/>
        </w:rPr>
        <w:t xml:space="preserve"> the </w:t>
      </w:r>
      <w:r w:rsidR="00B1664D" w:rsidRPr="00FA6F2D">
        <w:rPr>
          <w:lang w:val="en-US"/>
        </w:rPr>
        <w:t xml:space="preserve">first appellant was </w:t>
      </w:r>
      <w:r w:rsidR="007B4CB7" w:rsidRPr="00FA6F2D">
        <w:rPr>
          <w:lang w:val="en-US"/>
        </w:rPr>
        <w:t>no more than joking with him</w:t>
      </w:r>
      <w:r w:rsidR="00B1664D" w:rsidRPr="00FA6F2D">
        <w:rPr>
          <w:lang w:val="en-US"/>
        </w:rPr>
        <w:t xml:space="preserve">. He </w:t>
      </w:r>
      <w:r w:rsidR="007B4CB7" w:rsidRPr="00FA6F2D">
        <w:rPr>
          <w:lang w:val="en-US"/>
        </w:rPr>
        <w:t xml:space="preserve">unsuccessfully </w:t>
      </w:r>
      <w:r w:rsidR="007B4CB7" w:rsidRPr="00FA6F2D">
        <w:rPr>
          <w:lang w:val="en-US"/>
        </w:rPr>
        <w:lastRenderedPageBreak/>
        <w:t>wrestled</w:t>
      </w:r>
      <w:r w:rsidR="00B1664D" w:rsidRPr="00FA6F2D">
        <w:rPr>
          <w:lang w:val="en-US"/>
        </w:rPr>
        <w:t xml:space="preserve"> for the firearm whil</w:t>
      </w:r>
      <w:r w:rsidR="00D517CA" w:rsidRPr="00FA6F2D">
        <w:rPr>
          <w:lang w:val="en-US"/>
        </w:rPr>
        <w:t>e</w:t>
      </w:r>
      <w:r w:rsidR="00B1664D" w:rsidRPr="00FA6F2D">
        <w:rPr>
          <w:lang w:val="en-US"/>
        </w:rPr>
        <w:t xml:space="preserve"> the second appellant </w:t>
      </w:r>
      <w:r w:rsidR="007B4CB7" w:rsidRPr="00FA6F2D">
        <w:rPr>
          <w:lang w:val="en-US"/>
        </w:rPr>
        <w:t xml:space="preserve">intervened and stabbed </w:t>
      </w:r>
      <w:r w:rsidR="007E1775" w:rsidRPr="00FA6F2D">
        <w:rPr>
          <w:lang w:val="en-US"/>
        </w:rPr>
        <w:t xml:space="preserve">at </w:t>
      </w:r>
      <w:r w:rsidR="007B4CB7" w:rsidRPr="00FA6F2D">
        <w:rPr>
          <w:lang w:val="en-US"/>
        </w:rPr>
        <w:t>him</w:t>
      </w:r>
      <w:r w:rsidR="00A40530" w:rsidRPr="00FA6F2D">
        <w:rPr>
          <w:lang w:val="en-US"/>
        </w:rPr>
        <w:t xml:space="preserve"> with a knife</w:t>
      </w:r>
      <w:r w:rsidR="007B4CB7" w:rsidRPr="00FA6F2D">
        <w:rPr>
          <w:lang w:val="en-US"/>
        </w:rPr>
        <w:t xml:space="preserve"> at least </w:t>
      </w:r>
      <w:r w:rsidR="007E1775" w:rsidRPr="00FA6F2D">
        <w:rPr>
          <w:lang w:val="en-US"/>
        </w:rPr>
        <w:t>twice.</w:t>
      </w:r>
      <w:r w:rsidR="009115B7" w:rsidRPr="00FA6F2D">
        <w:rPr>
          <w:lang w:val="en-US"/>
        </w:rPr>
        <w:t xml:space="preserve"> </w:t>
      </w:r>
      <w:r w:rsidR="007E1775" w:rsidRPr="00FA6F2D">
        <w:rPr>
          <w:lang w:val="en-US"/>
        </w:rPr>
        <w:t>On one occasion his hand was scratched with the knife.</w:t>
      </w:r>
      <w:r w:rsidR="00B1664D" w:rsidRPr="00FA6F2D">
        <w:rPr>
          <w:lang w:val="en-US"/>
        </w:rPr>
        <w:t xml:space="preserve"> </w:t>
      </w:r>
    </w:p>
    <w:p w14:paraId="4A8BA9D2" w14:textId="4953DDBD" w:rsidR="00B1664D" w:rsidRPr="00B1664D" w:rsidRDefault="00FA6F2D" w:rsidP="00FA6F2D">
      <w:pPr>
        <w:spacing w:line="360" w:lineRule="auto"/>
        <w:jc w:val="both"/>
      </w:pPr>
      <w:r w:rsidRPr="00B1664D">
        <w:t>[10]</w:t>
      </w:r>
      <w:r w:rsidRPr="00B1664D">
        <w:tab/>
      </w:r>
      <w:r w:rsidR="00B1664D" w:rsidRPr="00FA6F2D">
        <w:rPr>
          <w:lang w:val="en-US"/>
        </w:rPr>
        <w:t xml:space="preserve">The complainant </w:t>
      </w:r>
      <w:r w:rsidR="00113D55" w:rsidRPr="00FA6F2D">
        <w:rPr>
          <w:lang w:val="en-US"/>
        </w:rPr>
        <w:t xml:space="preserve">testified </w:t>
      </w:r>
      <w:r w:rsidR="00B1664D" w:rsidRPr="00FA6F2D">
        <w:rPr>
          <w:lang w:val="en-US"/>
        </w:rPr>
        <w:t xml:space="preserve">that the first appellant </w:t>
      </w:r>
      <w:r w:rsidR="00113D55" w:rsidRPr="00FA6F2D">
        <w:rPr>
          <w:lang w:val="en-US"/>
        </w:rPr>
        <w:t>exclaimed</w:t>
      </w:r>
      <w:r w:rsidR="00B1664D" w:rsidRPr="00FA6F2D">
        <w:rPr>
          <w:lang w:val="en-US"/>
        </w:rPr>
        <w:t xml:space="preserve"> that he wanted to </w:t>
      </w:r>
      <w:r w:rsidR="007B4CB7" w:rsidRPr="00FA6F2D">
        <w:rPr>
          <w:lang w:val="en-US"/>
        </w:rPr>
        <w:t>kill him</w:t>
      </w:r>
      <w:r w:rsidR="00113D55" w:rsidRPr="00FA6F2D">
        <w:rPr>
          <w:lang w:val="en-US"/>
        </w:rPr>
        <w:t>, the complainant,</w:t>
      </w:r>
      <w:r w:rsidR="007B4CB7" w:rsidRPr="00FA6F2D">
        <w:rPr>
          <w:lang w:val="en-US"/>
        </w:rPr>
        <w:t xml:space="preserve"> because his father h</w:t>
      </w:r>
      <w:r w:rsidR="00A40530" w:rsidRPr="00FA6F2D">
        <w:rPr>
          <w:lang w:val="en-US"/>
        </w:rPr>
        <w:t xml:space="preserve">ad </w:t>
      </w:r>
      <w:r w:rsidR="007B4CB7" w:rsidRPr="00FA6F2D">
        <w:rPr>
          <w:lang w:val="en-US"/>
        </w:rPr>
        <w:t>collect</w:t>
      </w:r>
      <w:r w:rsidR="00A40530" w:rsidRPr="00FA6F2D">
        <w:rPr>
          <w:lang w:val="en-US"/>
        </w:rPr>
        <w:t xml:space="preserve">ed </w:t>
      </w:r>
      <w:r w:rsidR="007B4CB7" w:rsidRPr="00FA6F2D">
        <w:rPr>
          <w:lang w:val="en-US"/>
        </w:rPr>
        <w:t>money</w:t>
      </w:r>
      <w:r w:rsidR="00A40530" w:rsidRPr="00FA6F2D">
        <w:rPr>
          <w:lang w:val="en-US"/>
        </w:rPr>
        <w:t xml:space="preserve"> for funeral policies </w:t>
      </w:r>
      <w:r w:rsidR="007B4CB7" w:rsidRPr="00FA6F2D">
        <w:rPr>
          <w:lang w:val="en-US"/>
        </w:rPr>
        <w:t xml:space="preserve">from </w:t>
      </w:r>
      <w:r w:rsidR="00B1664D" w:rsidRPr="00FA6F2D">
        <w:rPr>
          <w:lang w:val="en-US"/>
        </w:rPr>
        <w:t>relatives</w:t>
      </w:r>
      <w:r w:rsidR="00113D55" w:rsidRPr="00FA6F2D">
        <w:rPr>
          <w:lang w:val="en-US"/>
        </w:rPr>
        <w:t xml:space="preserve"> of theirs.</w:t>
      </w:r>
      <w:r w:rsidR="00B1664D" w:rsidRPr="00FA6F2D">
        <w:rPr>
          <w:lang w:val="en-US"/>
        </w:rPr>
        <w:t xml:space="preserve"> </w:t>
      </w:r>
    </w:p>
    <w:p w14:paraId="6AFEB5A1" w14:textId="7932943A" w:rsidR="00B1664D" w:rsidRPr="00B1664D" w:rsidRDefault="00FA6F2D" w:rsidP="00FA6F2D">
      <w:pPr>
        <w:spacing w:line="360" w:lineRule="auto"/>
        <w:jc w:val="both"/>
      </w:pPr>
      <w:r w:rsidRPr="00B1664D">
        <w:t>[11]</w:t>
      </w:r>
      <w:r w:rsidRPr="00B1664D">
        <w:tab/>
      </w:r>
      <w:r w:rsidR="00B1664D" w:rsidRPr="00FA6F2D">
        <w:rPr>
          <w:lang w:val="en-US"/>
        </w:rPr>
        <w:t>I</w:t>
      </w:r>
      <w:r w:rsidR="007B4CB7" w:rsidRPr="00FA6F2D">
        <w:rPr>
          <w:lang w:val="en-US"/>
        </w:rPr>
        <w:t>n the course of the struggle for the fir</w:t>
      </w:r>
      <w:r w:rsidR="00B1664D" w:rsidRPr="00FA6F2D">
        <w:rPr>
          <w:lang w:val="en-US"/>
        </w:rPr>
        <w:t>ear</w:t>
      </w:r>
      <w:r w:rsidR="007B4CB7" w:rsidRPr="00FA6F2D">
        <w:rPr>
          <w:lang w:val="en-US"/>
        </w:rPr>
        <w:t xml:space="preserve">m </w:t>
      </w:r>
      <w:r w:rsidR="00B1664D" w:rsidRPr="00FA6F2D">
        <w:rPr>
          <w:lang w:val="en-US"/>
        </w:rPr>
        <w:t>the complainant explained that a moneybox</w:t>
      </w:r>
      <w:r w:rsidR="00113D55" w:rsidRPr="00FA6F2D">
        <w:rPr>
          <w:lang w:val="en-US"/>
        </w:rPr>
        <w:t xml:space="preserve"> of his</w:t>
      </w:r>
      <w:r w:rsidR="00B1664D" w:rsidRPr="00FA6F2D">
        <w:rPr>
          <w:lang w:val="en-US"/>
        </w:rPr>
        <w:t xml:space="preserve"> </w:t>
      </w:r>
      <w:r w:rsidR="007B4CB7" w:rsidRPr="00FA6F2D">
        <w:rPr>
          <w:lang w:val="en-US"/>
        </w:rPr>
        <w:t>fell to the ground and</w:t>
      </w:r>
      <w:r w:rsidR="00D517CA" w:rsidRPr="00FA6F2D">
        <w:rPr>
          <w:lang w:val="en-US"/>
        </w:rPr>
        <w:t xml:space="preserve"> that</w:t>
      </w:r>
      <w:r w:rsidR="007B4CB7" w:rsidRPr="00FA6F2D">
        <w:rPr>
          <w:lang w:val="en-US"/>
        </w:rPr>
        <w:t xml:space="preserve"> the </w:t>
      </w:r>
      <w:r w:rsidR="00B1664D" w:rsidRPr="00FA6F2D">
        <w:rPr>
          <w:lang w:val="en-US"/>
        </w:rPr>
        <w:t xml:space="preserve">second appellant </w:t>
      </w:r>
      <w:r w:rsidR="007B4CB7" w:rsidRPr="00FA6F2D">
        <w:rPr>
          <w:lang w:val="en-US"/>
        </w:rPr>
        <w:t>and the third person helped themselves to</w:t>
      </w:r>
      <w:r w:rsidR="00113D55" w:rsidRPr="00FA6F2D">
        <w:rPr>
          <w:lang w:val="en-US"/>
        </w:rPr>
        <w:t xml:space="preserve"> the money</w:t>
      </w:r>
      <w:r w:rsidR="00A40530" w:rsidRPr="00FA6F2D">
        <w:rPr>
          <w:lang w:val="en-US"/>
        </w:rPr>
        <w:t xml:space="preserve"> on the floor</w:t>
      </w:r>
      <w:r w:rsidR="00B1664D" w:rsidRPr="00FA6F2D">
        <w:rPr>
          <w:lang w:val="en-US"/>
        </w:rPr>
        <w:t xml:space="preserve">. He </w:t>
      </w:r>
      <w:r w:rsidR="007B4CB7" w:rsidRPr="00FA6F2D">
        <w:rPr>
          <w:lang w:val="en-US"/>
        </w:rPr>
        <w:t>was unable to state exactly how much was</w:t>
      </w:r>
      <w:r w:rsidR="00113D55" w:rsidRPr="00FA6F2D">
        <w:rPr>
          <w:lang w:val="en-US"/>
        </w:rPr>
        <w:t xml:space="preserve"> taken.</w:t>
      </w:r>
      <w:r w:rsidR="00B1664D" w:rsidRPr="00FA6F2D">
        <w:rPr>
          <w:lang w:val="en-US"/>
        </w:rPr>
        <w:t xml:space="preserve"> </w:t>
      </w:r>
    </w:p>
    <w:p w14:paraId="488AC13F" w14:textId="3DF03F2B" w:rsidR="009E37C6" w:rsidRPr="009E37C6" w:rsidRDefault="00FA6F2D" w:rsidP="00FA6F2D">
      <w:pPr>
        <w:spacing w:line="360" w:lineRule="auto"/>
        <w:jc w:val="both"/>
      </w:pPr>
      <w:r w:rsidRPr="009E37C6">
        <w:t>[12]</w:t>
      </w:r>
      <w:r w:rsidRPr="009E37C6">
        <w:tab/>
      </w:r>
      <w:r w:rsidR="00B1664D" w:rsidRPr="00FA6F2D">
        <w:rPr>
          <w:lang w:val="en-US"/>
        </w:rPr>
        <w:t>T</w:t>
      </w:r>
      <w:r w:rsidR="007B4CB7" w:rsidRPr="00FA6F2D">
        <w:rPr>
          <w:lang w:val="en-US"/>
        </w:rPr>
        <w:t xml:space="preserve">he complainant </w:t>
      </w:r>
      <w:r w:rsidR="00113D55" w:rsidRPr="00FA6F2D">
        <w:rPr>
          <w:lang w:val="en-US"/>
        </w:rPr>
        <w:t>testified</w:t>
      </w:r>
      <w:r w:rsidR="007B4CB7" w:rsidRPr="00FA6F2D">
        <w:rPr>
          <w:lang w:val="en-US"/>
        </w:rPr>
        <w:t xml:space="preserve"> that while the struggle</w:t>
      </w:r>
      <w:r w:rsidR="00113D55" w:rsidRPr="00FA6F2D">
        <w:rPr>
          <w:lang w:val="en-US"/>
        </w:rPr>
        <w:t xml:space="preserve"> for the firearm</w:t>
      </w:r>
      <w:r w:rsidR="007B4CB7" w:rsidRPr="00FA6F2D">
        <w:rPr>
          <w:lang w:val="en-US"/>
        </w:rPr>
        <w:t xml:space="preserve"> ensued </w:t>
      </w:r>
      <w:r w:rsidR="00B1664D" w:rsidRPr="00FA6F2D">
        <w:rPr>
          <w:lang w:val="en-US"/>
        </w:rPr>
        <w:t>h</w:t>
      </w:r>
      <w:r w:rsidR="00113D55" w:rsidRPr="00FA6F2D">
        <w:rPr>
          <w:lang w:val="en-US"/>
        </w:rPr>
        <w:t>e</w:t>
      </w:r>
      <w:r w:rsidR="007B4CB7" w:rsidRPr="00FA6F2D">
        <w:rPr>
          <w:lang w:val="en-US"/>
        </w:rPr>
        <w:t xml:space="preserve"> </w:t>
      </w:r>
      <w:r w:rsidR="00B1664D" w:rsidRPr="00FA6F2D">
        <w:rPr>
          <w:lang w:val="en-US"/>
        </w:rPr>
        <w:t xml:space="preserve">heard </w:t>
      </w:r>
      <w:r w:rsidR="007B4CB7" w:rsidRPr="00FA6F2D">
        <w:rPr>
          <w:lang w:val="en-US"/>
        </w:rPr>
        <w:t>a knock on the door which appear</w:t>
      </w:r>
      <w:r w:rsidR="00B1664D" w:rsidRPr="00FA6F2D">
        <w:rPr>
          <w:lang w:val="en-US"/>
        </w:rPr>
        <w:t>ed</w:t>
      </w:r>
      <w:r w:rsidR="007B4CB7" w:rsidRPr="00FA6F2D">
        <w:rPr>
          <w:lang w:val="en-US"/>
        </w:rPr>
        <w:t xml:space="preserve"> to have been the deceased</w:t>
      </w:r>
      <w:r w:rsidR="00B1664D" w:rsidRPr="00FA6F2D">
        <w:rPr>
          <w:lang w:val="en-US"/>
        </w:rPr>
        <w:t>. T</w:t>
      </w:r>
      <w:r w:rsidR="007B4CB7" w:rsidRPr="00FA6F2D">
        <w:rPr>
          <w:lang w:val="en-US"/>
        </w:rPr>
        <w:t xml:space="preserve">he first </w:t>
      </w:r>
      <w:r w:rsidR="00B1664D" w:rsidRPr="00FA6F2D">
        <w:rPr>
          <w:lang w:val="en-US"/>
        </w:rPr>
        <w:t xml:space="preserve">appellant </w:t>
      </w:r>
      <w:r w:rsidR="007B4CB7" w:rsidRPr="00FA6F2D">
        <w:rPr>
          <w:lang w:val="en-US"/>
        </w:rPr>
        <w:t xml:space="preserve">opened the door for him and brought him into the </w:t>
      </w:r>
      <w:r w:rsidR="00113D55" w:rsidRPr="00FA6F2D">
        <w:rPr>
          <w:lang w:val="en-US"/>
        </w:rPr>
        <w:t>bed</w:t>
      </w:r>
      <w:r w:rsidR="007B4CB7" w:rsidRPr="00FA6F2D">
        <w:rPr>
          <w:lang w:val="en-US"/>
        </w:rPr>
        <w:t xml:space="preserve">room </w:t>
      </w:r>
      <w:r w:rsidR="00B1664D" w:rsidRPr="00FA6F2D">
        <w:rPr>
          <w:lang w:val="en-US"/>
        </w:rPr>
        <w:t xml:space="preserve">and instructed </w:t>
      </w:r>
      <w:r w:rsidR="007B4CB7" w:rsidRPr="00FA6F2D">
        <w:rPr>
          <w:lang w:val="en-US"/>
        </w:rPr>
        <w:t>him to sit on the bed</w:t>
      </w:r>
      <w:r w:rsidR="00B1664D" w:rsidRPr="00FA6F2D">
        <w:rPr>
          <w:lang w:val="en-US"/>
        </w:rPr>
        <w:t>. The f</w:t>
      </w:r>
      <w:r w:rsidR="007B4CB7" w:rsidRPr="00FA6F2D">
        <w:rPr>
          <w:lang w:val="en-US"/>
        </w:rPr>
        <w:t>irst</w:t>
      </w:r>
      <w:r w:rsidR="00B1664D" w:rsidRPr="00FA6F2D">
        <w:rPr>
          <w:lang w:val="en-US"/>
        </w:rPr>
        <w:t xml:space="preserve"> appellant </w:t>
      </w:r>
      <w:r w:rsidR="007B4CB7" w:rsidRPr="00FA6F2D">
        <w:rPr>
          <w:lang w:val="en-US"/>
        </w:rPr>
        <w:t>then threaten</w:t>
      </w:r>
      <w:r w:rsidR="00B1664D" w:rsidRPr="00FA6F2D">
        <w:rPr>
          <w:lang w:val="en-US"/>
        </w:rPr>
        <w:t>ed</w:t>
      </w:r>
      <w:r w:rsidR="007B4CB7" w:rsidRPr="00FA6F2D">
        <w:rPr>
          <w:lang w:val="en-US"/>
        </w:rPr>
        <w:t xml:space="preserve"> to shoot him </w:t>
      </w:r>
      <w:r w:rsidR="00113D55" w:rsidRPr="00FA6F2D">
        <w:rPr>
          <w:lang w:val="en-US"/>
        </w:rPr>
        <w:t xml:space="preserve">to which the deceased responded by taking </w:t>
      </w:r>
      <w:r w:rsidR="007C6418" w:rsidRPr="00FA6F2D">
        <w:rPr>
          <w:lang w:val="en-US"/>
        </w:rPr>
        <w:t xml:space="preserve">off </w:t>
      </w:r>
      <w:r w:rsidR="00113D55" w:rsidRPr="00FA6F2D">
        <w:rPr>
          <w:lang w:val="en-US"/>
        </w:rPr>
        <w:t xml:space="preserve">his cap and saying to the first </w:t>
      </w:r>
      <w:r w:rsidR="00D517CA" w:rsidRPr="00FA6F2D">
        <w:rPr>
          <w:lang w:val="en-US"/>
        </w:rPr>
        <w:t>appellant</w:t>
      </w:r>
      <w:r w:rsidR="000371C5" w:rsidRPr="00FA6F2D">
        <w:rPr>
          <w:lang w:val="en-US"/>
        </w:rPr>
        <w:t xml:space="preserve"> with </w:t>
      </w:r>
      <w:r w:rsidR="00D517CA" w:rsidRPr="00FA6F2D">
        <w:rPr>
          <w:lang w:val="en-US"/>
        </w:rPr>
        <w:t>words</w:t>
      </w:r>
      <w:r w:rsidR="00A40530" w:rsidRPr="00FA6F2D">
        <w:rPr>
          <w:lang w:val="en-US"/>
        </w:rPr>
        <w:t xml:space="preserve"> to the effect;</w:t>
      </w:r>
      <w:r w:rsidR="00113D55" w:rsidRPr="00FA6F2D">
        <w:rPr>
          <w:lang w:val="en-US"/>
        </w:rPr>
        <w:t xml:space="preserve"> </w:t>
      </w:r>
      <w:r w:rsidR="009E37C6" w:rsidRPr="00FA6F2D">
        <w:rPr>
          <w:lang w:val="en-US"/>
        </w:rPr>
        <w:t>“</w:t>
      </w:r>
      <w:r w:rsidR="007B4CB7" w:rsidRPr="00FA6F2D">
        <w:rPr>
          <w:lang w:val="en-US"/>
        </w:rPr>
        <w:t>you are lying you will not do that</w:t>
      </w:r>
      <w:r w:rsidR="009E37C6" w:rsidRPr="00FA6F2D">
        <w:rPr>
          <w:lang w:val="en-US"/>
        </w:rPr>
        <w:t xml:space="preserve">.” </w:t>
      </w:r>
      <w:r w:rsidR="00113D55" w:rsidRPr="00FA6F2D">
        <w:rPr>
          <w:lang w:val="en-US"/>
        </w:rPr>
        <w:t>T</w:t>
      </w:r>
      <w:r w:rsidR="009E37C6" w:rsidRPr="00FA6F2D">
        <w:rPr>
          <w:lang w:val="en-US"/>
        </w:rPr>
        <w:t xml:space="preserve">he </w:t>
      </w:r>
      <w:r w:rsidR="007B4CB7" w:rsidRPr="00FA6F2D">
        <w:rPr>
          <w:lang w:val="en-US"/>
        </w:rPr>
        <w:t xml:space="preserve">first appellant </w:t>
      </w:r>
      <w:r w:rsidR="00113D55" w:rsidRPr="00FA6F2D">
        <w:rPr>
          <w:lang w:val="en-US"/>
        </w:rPr>
        <w:t xml:space="preserve">thereupon </w:t>
      </w:r>
      <w:r w:rsidR="007B4CB7" w:rsidRPr="00FA6F2D">
        <w:rPr>
          <w:lang w:val="en-US"/>
        </w:rPr>
        <w:t>shot him once in the left eye</w:t>
      </w:r>
      <w:r w:rsidR="009E37C6" w:rsidRPr="00FA6F2D">
        <w:rPr>
          <w:lang w:val="en-US"/>
        </w:rPr>
        <w:t>. T</w:t>
      </w:r>
      <w:r w:rsidR="007B4CB7" w:rsidRPr="00FA6F2D">
        <w:rPr>
          <w:lang w:val="en-US"/>
        </w:rPr>
        <w:t>he appellant</w:t>
      </w:r>
      <w:r w:rsidR="009E37C6" w:rsidRPr="00FA6F2D">
        <w:rPr>
          <w:lang w:val="en-US"/>
        </w:rPr>
        <w:t>s</w:t>
      </w:r>
      <w:r w:rsidR="007B4CB7" w:rsidRPr="00FA6F2D">
        <w:rPr>
          <w:lang w:val="en-US"/>
        </w:rPr>
        <w:t xml:space="preserve"> and the third person </w:t>
      </w:r>
      <w:r w:rsidR="00A40530" w:rsidRPr="00FA6F2D">
        <w:rPr>
          <w:lang w:val="en-US"/>
        </w:rPr>
        <w:t xml:space="preserve">immediately </w:t>
      </w:r>
      <w:r w:rsidR="009E37C6" w:rsidRPr="00FA6F2D">
        <w:rPr>
          <w:lang w:val="en-US"/>
        </w:rPr>
        <w:t xml:space="preserve">ran away. </w:t>
      </w:r>
    </w:p>
    <w:p w14:paraId="0E246D20" w14:textId="2C690D0B" w:rsidR="009E37C6" w:rsidRPr="009E37C6" w:rsidRDefault="00FA6F2D" w:rsidP="00FA6F2D">
      <w:pPr>
        <w:spacing w:line="360" w:lineRule="auto"/>
        <w:jc w:val="both"/>
      </w:pPr>
      <w:r w:rsidRPr="009E37C6">
        <w:t>[13]</w:t>
      </w:r>
      <w:r w:rsidRPr="009E37C6">
        <w:tab/>
      </w:r>
      <w:r w:rsidR="009E37C6" w:rsidRPr="00FA6F2D">
        <w:rPr>
          <w:lang w:val="en-US"/>
        </w:rPr>
        <w:t>T</w:t>
      </w:r>
      <w:r w:rsidR="007B4CB7" w:rsidRPr="00FA6F2D">
        <w:rPr>
          <w:lang w:val="en-US"/>
        </w:rPr>
        <w:t>he complainant explained that there were no problems between him and the first appellant</w:t>
      </w:r>
      <w:r w:rsidR="009E37C6" w:rsidRPr="00FA6F2D">
        <w:rPr>
          <w:lang w:val="en-US"/>
        </w:rPr>
        <w:t>. T</w:t>
      </w:r>
      <w:r w:rsidR="007B4CB7" w:rsidRPr="00FA6F2D">
        <w:rPr>
          <w:lang w:val="en-US"/>
        </w:rPr>
        <w:t>he first appellant</w:t>
      </w:r>
      <w:r w:rsidR="000371C5" w:rsidRPr="00FA6F2D">
        <w:rPr>
          <w:lang w:val="en-US"/>
        </w:rPr>
        <w:t>,</w:t>
      </w:r>
      <w:r w:rsidR="007B4CB7" w:rsidRPr="00FA6F2D">
        <w:rPr>
          <w:lang w:val="en-US"/>
        </w:rPr>
        <w:t xml:space="preserve"> </w:t>
      </w:r>
      <w:r w:rsidR="009E37C6" w:rsidRPr="00FA6F2D">
        <w:rPr>
          <w:lang w:val="en-US"/>
        </w:rPr>
        <w:t>who</w:t>
      </w:r>
      <w:r w:rsidR="00D517CA" w:rsidRPr="00FA6F2D">
        <w:rPr>
          <w:lang w:val="en-US"/>
        </w:rPr>
        <w:t xml:space="preserve"> originally </w:t>
      </w:r>
      <w:r w:rsidR="009E37C6" w:rsidRPr="00FA6F2D">
        <w:rPr>
          <w:lang w:val="en-US"/>
        </w:rPr>
        <w:t xml:space="preserve">hailed </w:t>
      </w:r>
      <w:r w:rsidR="007B4CB7" w:rsidRPr="00FA6F2D">
        <w:rPr>
          <w:lang w:val="en-US"/>
        </w:rPr>
        <w:t>from the Eastern Cape</w:t>
      </w:r>
      <w:r w:rsidR="007D353D" w:rsidRPr="00FA6F2D">
        <w:rPr>
          <w:lang w:val="en-US"/>
        </w:rPr>
        <w:t>,</w:t>
      </w:r>
      <w:r w:rsidR="00113D55" w:rsidRPr="00FA6F2D">
        <w:rPr>
          <w:lang w:val="en-US"/>
        </w:rPr>
        <w:t xml:space="preserve"> had</w:t>
      </w:r>
      <w:r w:rsidR="007B4CB7" w:rsidRPr="00FA6F2D">
        <w:rPr>
          <w:lang w:val="en-US"/>
        </w:rPr>
        <w:t xml:space="preserve"> at some stage</w:t>
      </w:r>
      <w:r w:rsidR="009E37C6" w:rsidRPr="00FA6F2D">
        <w:rPr>
          <w:lang w:val="en-US"/>
        </w:rPr>
        <w:t xml:space="preserve"> </w:t>
      </w:r>
      <w:r w:rsidR="007B4CB7" w:rsidRPr="00FA6F2D">
        <w:rPr>
          <w:lang w:val="en-US"/>
        </w:rPr>
        <w:t xml:space="preserve">lived with </w:t>
      </w:r>
      <w:r w:rsidR="009E37C6" w:rsidRPr="00FA6F2D">
        <w:rPr>
          <w:lang w:val="en-US"/>
        </w:rPr>
        <w:t>him</w:t>
      </w:r>
      <w:r w:rsidR="00113D55" w:rsidRPr="00FA6F2D">
        <w:rPr>
          <w:lang w:val="en-US"/>
        </w:rPr>
        <w:t xml:space="preserve"> and his family </w:t>
      </w:r>
      <w:r w:rsidR="009E37C6" w:rsidRPr="00FA6F2D">
        <w:rPr>
          <w:lang w:val="en-US"/>
        </w:rPr>
        <w:t xml:space="preserve">at </w:t>
      </w:r>
      <w:r w:rsidR="007B4CB7" w:rsidRPr="00FA6F2D">
        <w:rPr>
          <w:lang w:val="en-US"/>
        </w:rPr>
        <w:t>their premises</w:t>
      </w:r>
      <w:r w:rsidR="009E37C6" w:rsidRPr="00FA6F2D">
        <w:rPr>
          <w:lang w:val="en-US"/>
        </w:rPr>
        <w:t>.</w:t>
      </w:r>
      <w:r w:rsidR="007B4CB7" w:rsidRPr="00FA6F2D">
        <w:rPr>
          <w:lang w:val="en-US"/>
        </w:rPr>
        <w:t xml:space="preserve"> </w:t>
      </w:r>
      <w:r w:rsidR="009E37C6" w:rsidRPr="00FA6F2D">
        <w:rPr>
          <w:lang w:val="en-US"/>
        </w:rPr>
        <w:t>T</w:t>
      </w:r>
      <w:r w:rsidR="007B4CB7" w:rsidRPr="00FA6F2D">
        <w:rPr>
          <w:lang w:val="en-US"/>
        </w:rPr>
        <w:t xml:space="preserve">hey were good friends and </w:t>
      </w:r>
      <w:r w:rsidR="00113D55" w:rsidRPr="00FA6F2D">
        <w:rPr>
          <w:lang w:val="en-US"/>
        </w:rPr>
        <w:t xml:space="preserve">the first appellant </w:t>
      </w:r>
      <w:r w:rsidR="009E37C6" w:rsidRPr="00FA6F2D">
        <w:rPr>
          <w:lang w:val="en-US"/>
        </w:rPr>
        <w:t xml:space="preserve">had </w:t>
      </w:r>
      <w:r w:rsidR="007B4CB7" w:rsidRPr="00FA6F2D">
        <w:rPr>
          <w:lang w:val="en-US"/>
        </w:rPr>
        <w:t xml:space="preserve">often frequented the </w:t>
      </w:r>
      <w:r w:rsidR="009E37C6" w:rsidRPr="00FA6F2D">
        <w:rPr>
          <w:lang w:val="en-US"/>
        </w:rPr>
        <w:t>tavern. H</w:t>
      </w:r>
      <w:r w:rsidR="007B4CB7" w:rsidRPr="00FA6F2D">
        <w:rPr>
          <w:lang w:val="en-US"/>
        </w:rPr>
        <w:t xml:space="preserve">e was aware that the first appellant </w:t>
      </w:r>
      <w:r w:rsidR="009E37C6" w:rsidRPr="00FA6F2D">
        <w:rPr>
          <w:lang w:val="en-US"/>
        </w:rPr>
        <w:t xml:space="preserve">had obtained </w:t>
      </w:r>
      <w:r w:rsidR="007B4CB7" w:rsidRPr="00FA6F2D">
        <w:rPr>
          <w:lang w:val="en-US"/>
        </w:rPr>
        <w:t xml:space="preserve">employment in </w:t>
      </w:r>
      <w:r w:rsidR="009E37C6" w:rsidRPr="00FA6F2D">
        <w:rPr>
          <w:lang w:val="en-US"/>
        </w:rPr>
        <w:t xml:space="preserve">De Doorns </w:t>
      </w:r>
      <w:r w:rsidR="007B4CB7" w:rsidRPr="00FA6F2D">
        <w:rPr>
          <w:lang w:val="en-US"/>
        </w:rPr>
        <w:t>but</w:t>
      </w:r>
      <w:r w:rsidR="00D517CA" w:rsidRPr="00FA6F2D">
        <w:rPr>
          <w:lang w:val="en-US"/>
        </w:rPr>
        <w:t xml:space="preserve"> regularly </w:t>
      </w:r>
      <w:r w:rsidR="007B4CB7" w:rsidRPr="00FA6F2D">
        <w:rPr>
          <w:lang w:val="en-US"/>
        </w:rPr>
        <w:t>return</w:t>
      </w:r>
      <w:r w:rsidR="00D517CA" w:rsidRPr="00FA6F2D">
        <w:rPr>
          <w:lang w:val="en-US"/>
        </w:rPr>
        <w:t>ed</w:t>
      </w:r>
      <w:r w:rsidR="007B4CB7" w:rsidRPr="00FA6F2D">
        <w:rPr>
          <w:lang w:val="en-US"/>
        </w:rPr>
        <w:t xml:space="preserve"> to </w:t>
      </w:r>
      <w:r w:rsidR="009E37C6" w:rsidRPr="00FA6F2D">
        <w:rPr>
          <w:lang w:val="en-US"/>
        </w:rPr>
        <w:t>Grabouw</w:t>
      </w:r>
      <w:r w:rsidR="00AB52DC" w:rsidRPr="00FA6F2D">
        <w:rPr>
          <w:lang w:val="en-US"/>
        </w:rPr>
        <w:t xml:space="preserve"> over weekends</w:t>
      </w:r>
      <w:r w:rsidR="009E37C6" w:rsidRPr="00FA6F2D">
        <w:rPr>
          <w:lang w:val="en-US"/>
        </w:rPr>
        <w:t xml:space="preserve">. </w:t>
      </w:r>
    </w:p>
    <w:p w14:paraId="267B12EF" w14:textId="0D920600" w:rsidR="00BE1A8D" w:rsidRPr="00BE1A8D" w:rsidRDefault="00FA6F2D" w:rsidP="00FA6F2D">
      <w:pPr>
        <w:spacing w:line="360" w:lineRule="auto"/>
        <w:jc w:val="both"/>
      </w:pPr>
      <w:r w:rsidRPr="00BE1A8D">
        <w:t>[14]</w:t>
      </w:r>
      <w:r w:rsidRPr="00BE1A8D">
        <w:tab/>
      </w:r>
      <w:r w:rsidR="009E37C6" w:rsidRPr="00FA6F2D">
        <w:rPr>
          <w:lang w:val="en-US"/>
        </w:rPr>
        <w:t>T</w:t>
      </w:r>
      <w:r w:rsidR="007B4CB7" w:rsidRPr="00FA6F2D">
        <w:rPr>
          <w:lang w:val="en-US"/>
        </w:rPr>
        <w:t>he complainant explained that the</w:t>
      </w:r>
      <w:r w:rsidR="009E37C6" w:rsidRPr="00FA6F2D">
        <w:rPr>
          <w:lang w:val="en-US"/>
        </w:rPr>
        <w:t xml:space="preserve"> </w:t>
      </w:r>
      <w:r w:rsidR="007B4CB7" w:rsidRPr="00FA6F2D">
        <w:rPr>
          <w:lang w:val="en-US"/>
        </w:rPr>
        <w:t>only lighting in the front</w:t>
      </w:r>
      <w:r w:rsidR="00F97935" w:rsidRPr="00FA6F2D">
        <w:rPr>
          <w:lang w:val="en-US"/>
        </w:rPr>
        <w:t xml:space="preserve"> room</w:t>
      </w:r>
      <w:r w:rsidR="007B4CB7" w:rsidRPr="00FA6F2D">
        <w:rPr>
          <w:lang w:val="en-US"/>
        </w:rPr>
        <w:t xml:space="preserve"> was that</w:t>
      </w:r>
      <w:r w:rsidR="00F97935" w:rsidRPr="00FA6F2D">
        <w:rPr>
          <w:lang w:val="en-US"/>
        </w:rPr>
        <w:t xml:space="preserve"> which </w:t>
      </w:r>
      <w:r w:rsidR="007B4CB7" w:rsidRPr="00FA6F2D">
        <w:rPr>
          <w:lang w:val="en-US"/>
        </w:rPr>
        <w:t xml:space="preserve">emanated from </w:t>
      </w:r>
      <w:r w:rsidR="002A745F" w:rsidRPr="00FA6F2D">
        <w:rPr>
          <w:lang w:val="en-US"/>
        </w:rPr>
        <w:t xml:space="preserve">a </w:t>
      </w:r>
      <w:r w:rsidR="007B4CB7" w:rsidRPr="00FA6F2D">
        <w:rPr>
          <w:lang w:val="en-US"/>
        </w:rPr>
        <w:t>television set</w:t>
      </w:r>
      <w:r w:rsidR="002A745F" w:rsidRPr="00FA6F2D">
        <w:rPr>
          <w:lang w:val="en-US"/>
        </w:rPr>
        <w:t>,</w:t>
      </w:r>
      <w:r w:rsidR="007B4CB7" w:rsidRPr="00FA6F2D">
        <w:rPr>
          <w:lang w:val="en-US"/>
        </w:rPr>
        <w:t xml:space="preserve"> but</w:t>
      </w:r>
      <w:r w:rsidR="00F97935" w:rsidRPr="00FA6F2D">
        <w:rPr>
          <w:lang w:val="en-US"/>
        </w:rPr>
        <w:t xml:space="preserve"> that the lights </w:t>
      </w:r>
      <w:r w:rsidR="007B4CB7" w:rsidRPr="00FA6F2D">
        <w:rPr>
          <w:lang w:val="en-US"/>
        </w:rPr>
        <w:t xml:space="preserve">in the bedroom </w:t>
      </w:r>
      <w:r w:rsidR="00BE1A8D" w:rsidRPr="00FA6F2D">
        <w:rPr>
          <w:lang w:val="en-US"/>
        </w:rPr>
        <w:t xml:space="preserve">and </w:t>
      </w:r>
      <w:r w:rsidR="00F97935" w:rsidRPr="00FA6F2D">
        <w:rPr>
          <w:lang w:val="en-US"/>
        </w:rPr>
        <w:t xml:space="preserve">the </w:t>
      </w:r>
      <w:r w:rsidR="00BE1A8D" w:rsidRPr="00FA6F2D">
        <w:rPr>
          <w:lang w:val="en-US"/>
        </w:rPr>
        <w:t>tavern</w:t>
      </w:r>
      <w:r w:rsidR="00AB52DC" w:rsidRPr="00FA6F2D">
        <w:rPr>
          <w:lang w:val="en-US"/>
        </w:rPr>
        <w:t xml:space="preserve"> were on</w:t>
      </w:r>
      <w:r w:rsidR="00F97935" w:rsidRPr="00FA6F2D">
        <w:rPr>
          <w:lang w:val="en-US"/>
        </w:rPr>
        <w:t>.</w:t>
      </w:r>
      <w:r w:rsidR="00BE1A8D" w:rsidRPr="00FA6F2D">
        <w:rPr>
          <w:lang w:val="en-US"/>
        </w:rPr>
        <w:t xml:space="preserve"> H</w:t>
      </w:r>
      <w:r w:rsidR="007B4CB7" w:rsidRPr="00FA6F2D">
        <w:rPr>
          <w:lang w:val="en-US"/>
        </w:rPr>
        <w:t xml:space="preserve">e claimed that he was clearly able to have identified </w:t>
      </w:r>
      <w:r w:rsidR="00F97935" w:rsidRPr="00FA6F2D">
        <w:rPr>
          <w:lang w:val="en-US"/>
        </w:rPr>
        <w:t>the</w:t>
      </w:r>
      <w:r w:rsidR="000371C5" w:rsidRPr="00FA6F2D">
        <w:rPr>
          <w:lang w:val="en-US"/>
        </w:rPr>
        <w:t xml:space="preserve"> first </w:t>
      </w:r>
      <w:r w:rsidR="007B4CB7" w:rsidRPr="00FA6F2D">
        <w:rPr>
          <w:lang w:val="en-US"/>
        </w:rPr>
        <w:t xml:space="preserve">appellant and </w:t>
      </w:r>
      <w:r w:rsidR="00BE1A8D" w:rsidRPr="00FA6F2D">
        <w:rPr>
          <w:lang w:val="en-US"/>
        </w:rPr>
        <w:t>so too</w:t>
      </w:r>
      <w:r w:rsidR="00F97935" w:rsidRPr="00FA6F2D">
        <w:rPr>
          <w:lang w:val="en-US"/>
        </w:rPr>
        <w:t>,</w:t>
      </w:r>
      <w:r w:rsidR="009115B7" w:rsidRPr="00FA6F2D">
        <w:rPr>
          <w:lang w:val="en-US"/>
        </w:rPr>
        <w:t xml:space="preserve"> </w:t>
      </w:r>
      <w:r w:rsidR="007B4CB7" w:rsidRPr="00FA6F2D">
        <w:rPr>
          <w:lang w:val="en-US"/>
        </w:rPr>
        <w:t>the second appellant</w:t>
      </w:r>
      <w:r w:rsidR="00BE1A8D" w:rsidRPr="00FA6F2D">
        <w:rPr>
          <w:lang w:val="en-US"/>
        </w:rPr>
        <w:t xml:space="preserve"> </w:t>
      </w:r>
      <w:r w:rsidR="007B4CB7" w:rsidRPr="00FA6F2D">
        <w:rPr>
          <w:lang w:val="en-US"/>
        </w:rPr>
        <w:t>although</w:t>
      </w:r>
      <w:r w:rsidR="00F97935" w:rsidRPr="00FA6F2D">
        <w:rPr>
          <w:lang w:val="en-US"/>
        </w:rPr>
        <w:t xml:space="preserve"> it was the</w:t>
      </w:r>
      <w:r w:rsidR="00A40530" w:rsidRPr="00FA6F2D">
        <w:rPr>
          <w:lang w:val="en-US"/>
        </w:rPr>
        <w:t xml:space="preserve"> very </w:t>
      </w:r>
      <w:r w:rsidR="00F97935" w:rsidRPr="00FA6F2D">
        <w:rPr>
          <w:lang w:val="en-US"/>
        </w:rPr>
        <w:t>first time to have met him</w:t>
      </w:r>
      <w:r w:rsidR="00A40530" w:rsidRPr="00FA6F2D">
        <w:rPr>
          <w:lang w:val="en-US"/>
        </w:rPr>
        <w:t>.</w:t>
      </w:r>
      <w:r w:rsidR="00D52A6F" w:rsidRPr="00FA6F2D">
        <w:rPr>
          <w:lang w:val="en-US"/>
        </w:rPr>
        <w:t xml:space="preserve"> </w:t>
      </w:r>
      <w:r w:rsidR="00A40530" w:rsidRPr="00FA6F2D">
        <w:rPr>
          <w:lang w:val="en-US"/>
        </w:rPr>
        <w:t xml:space="preserve">The </w:t>
      </w:r>
      <w:r w:rsidR="00AB52DC" w:rsidRPr="00FA6F2D">
        <w:rPr>
          <w:lang w:val="en-US"/>
        </w:rPr>
        <w:t>complainant</w:t>
      </w:r>
      <w:r w:rsidR="00A40530" w:rsidRPr="00FA6F2D">
        <w:rPr>
          <w:lang w:val="en-US"/>
        </w:rPr>
        <w:t xml:space="preserve"> maintained that </w:t>
      </w:r>
      <w:r w:rsidR="00BE1A8D" w:rsidRPr="00FA6F2D">
        <w:rPr>
          <w:lang w:val="en-US"/>
        </w:rPr>
        <w:t>he</w:t>
      </w:r>
      <w:r w:rsidR="00A40530" w:rsidRPr="00FA6F2D">
        <w:rPr>
          <w:lang w:val="en-US"/>
        </w:rPr>
        <w:t xml:space="preserve"> had </w:t>
      </w:r>
      <w:r w:rsidR="007B4CB7" w:rsidRPr="00FA6F2D">
        <w:rPr>
          <w:lang w:val="en-US"/>
        </w:rPr>
        <w:t xml:space="preserve">clearly identified </w:t>
      </w:r>
      <w:r w:rsidR="000371C5" w:rsidRPr="00FA6F2D">
        <w:rPr>
          <w:lang w:val="en-US"/>
        </w:rPr>
        <w:t xml:space="preserve">the second appellant </w:t>
      </w:r>
      <w:r w:rsidR="007B4CB7" w:rsidRPr="00FA6F2D">
        <w:rPr>
          <w:lang w:val="en-US"/>
        </w:rPr>
        <w:t xml:space="preserve">from the scar </w:t>
      </w:r>
      <w:r w:rsidR="00BE1A8D" w:rsidRPr="00FA6F2D">
        <w:rPr>
          <w:lang w:val="en-US"/>
        </w:rPr>
        <w:t>above</w:t>
      </w:r>
      <w:r w:rsidR="007B4CB7" w:rsidRPr="00FA6F2D">
        <w:rPr>
          <w:lang w:val="en-US"/>
        </w:rPr>
        <w:t xml:space="preserve"> his left eye and the aggression </w:t>
      </w:r>
      <w:r w:rsidR="00A40530" w:rsidRPr="00FA6F2D">
        <w:rPr>
          <w:lang w:val="en-US"/>
        </w:rPr>
        <w:t xml:space="preserve">that the second appellant </w:t>
      </w:r>
      <w:r w:rsidR="00F97935" w:rsidRPr="00FA6F2D">
        <w:rPr>
          <w:lang w:val="en-US"/>
        </w:rPr>
        <w:t xml:space="preserve">displayed </w:t>
      </w:r>
      <w:r w:rsidR="007B4CB7" w:rsidRPr="00FA6F2D">
        <w:rPr>
          <w:lang w:val="en-US"/>
        </w:rPr>
        <w:t>during the</w:t>
      </w:r>
      <w:r w:rsidR="00A40530" w:rsidRPr="00FA6F2D">
        <w:rPr>
          <w:lang w:val="en-US"/>
        </w:rPr>
        <w:t xml:space="preserve"> course of the</w:t>
      </w:r>
      <w:r w:rsidR="007B4CB7" w:rsidRPr="00FA6F2D">
        <w:rPr>
          <w:lang w:val="en-US"/>
        </w:rPr>
        <w:t xml:space="preserve"> incident</w:t>
      </w:r>
      <w:r w:rsidR="00BE1A8D" w:rsidRPr="00FA6F2D">
        <w:rPr>
          <w:lang w:val="en-US"/>
        </w:rPr>
        <w:t>.</w:t>
      </w:r>
      <w:r w:rsidR="007B4CB7" w:rsidRPr="00FA6F2D">
        <w:rPr>
          <w:lang w:val="en-US"/>
        </w:rPr>
        <w:t xml:space="preserve"> </w:t>
      </w:r>
      <w:r w:rsidR="00BE1A8D" w:rsidRPr="00FA6F2D">
        <w:rPr>
          <w:lang w:val="en-US"/>
        </w:rPr>
        <w:t>H</w:t>
      </w:r>
      <w:r w:rsidR="007B4CB7" w:rsidRPr="00FA6F2D">
        <w:rPr>
          <w:lang w:val="en-US"/>
        </w:rPr>
        <w:t xml:space="preserve">e claimed that the </w:t>
      </w:r>
      <w:r w:rsidR="00BE1A8D" w:rsidRPr="00FA6F2D">
        <w:rPr>
          <w:lang w:val="en-US"/>
        </w:rPr>
        <w:t xml:space="preserve">second </w:t>
      </w:r>
      <w:r w:rsidR="007B4CB7" w:rsidRPr="00FA6F2D">
        <w:rPr>
          <w:lang w:val="en-US"/>
        </w:rPr>
        <w:t xml:space="preserve">appellant repeatedly said to the first </w:t>
      </w:r>
      <w:r w:rsidR="00BE1A8D" w:rsidRPr="00FA6F2D">
        <w:rPr>
          <w:lang w:val="en-US"/>
        </w:rPr>
        <w:t xml:space="preserve">appellant </w:t>
      </w:r>
      <w:r w:rsidR="007B4CB7" w:rsidRPr="00FA6F2D">
        <w:rPr>
          <w:lang w:val="en-US"/>
        </w:rPr>
        <w:t xml:space="preserve">that they should finish </w:t>
      </w:r>
      <w:r w:rsidR="00F97935" w:rsidRPr="00FA6F2D">
        <w:rPr>
          <w:lang w:val="en-US"/>
        </w:rPr>
        <w:t>him</w:t>
      </w:r>
      <w:r w:rsidR="009115B7" w:rsidRPr="00FA6F2D">
        <w:rPr>
          <w:lang w:val="en-US"/>
        </w:rPr>
        <w:t xml:space="preserve"> </w:t>
      </w:r>
      <w:r w:rsidR="00BE1A8D" w:rsidRPr="00FA6F2D">
        <w:rPr>
          <w:lang w:val="en-US"/>
        </w:rPr>
        <w:t>off as they had come there to kill him. He had</w:t>
      </w:r>
      <w:r w:rsidR="007B4CB7" w:rsidRPr="00FA6F2D">
        <w:rPr>
          <w:lang w:val="en-US"/>
        </w:rPr>
        <w:t xml:space="preserve"> also identified the second </w:t>
      </w:r>
      <w:r w:rsidR="00BE1A8D" w:rsidRPr="00FA6F2D">
        <w:rPr>
          <w:lang w:val="en-US"/>
        </w:rPr>
        <w:t xml:space="preserve">appellant </w:t>
      </w:r>
      <w:r w:rsidR="00A40530" w:rsidRPr="00FA6F2D">
        <w:rPr>
          <w:lang w:val="en-US"/>
        </w:rPr>
        <w:t xml:space="preserve">amongst the set of </w:t>
      </w:r>
      <w:r w:rsidR="007B4CB7" w:rsidRPr="00FA6F2D">
        <w:rPr>
          <w:lang w:val="en-US"/>
        </w:rPr>
        <w:t>photograph</w:t>
      </w:r>
      <w:r w:rsidR="00AB52DC" w:rsidRPr="00FA6F2D">
        <w:rPr>
          <w:lang w:val="en-US"/>
        </w:rPr>
        <w:t>s</w:t>
      </w:r>
      <w:r w:rsidR="007B4CB7" w:rsidRPr="00FA6F2D">
        <w:rPr>
          <w:lang w:val="en-US"/>
        </w:rPr>
        <w:t xml:space="preserve"> </w:t>
      </w:r>
      <w:r w:rsidR="00A40530" w:rsidRPr="00FA6F2D">
        <w:rPr>
          <w:lang w:val="en-US"/>
        </w:rPr>
        <w:t>presented to him by the police</w:t>
      </w:r>
      <w:r w:rsidR="00F97935" w:rsidRPr="00FA6F2D">
        <w:rPr>
          <w:lang w:val="en-US"/>
        </w:rPr>
        <w:t>.</w:t>
      </w:r>
      <w:r w:rsidR="002A745F" w:rsidRPr="00FA6F2D">
        <w:rPr>
          <w:lang w:val="en-US"/>
        </w:rPr>
        <w:t xml:space="preserve"> That identification process was not challenged.</w:t>
      </w:r>
    </w:p>
    <w:p w14:paraId="5A92180A" w14:textId="75FE52D6" w:rsidR="00DA1748" w:rsidRPr="00DA1748" w:rsidRDefault="00FA6F2D" w:rsidP="00FA6F2D">
      <w:pPr>
        <w:spacing w:line="360" w:lineRule="auto"/>
        <w:jc w:val="both"/>
      </w:pPr>
      <w:r w:rsidRPr="00DA1748">
        <w:lastRenderedPageBreak/>
        <w:t>[15]</w:t>
      </w:r>
      <w:r w:rsidRPr="00DA1748">
        <w:tab/>
      </w:r>
      <w:r w:rsidR="00BE1A8D" w:rsidRPr="00FA6F2D">
        <w:rPr>
          <w:lang w:val="en-US"/>
        </w:rPr>
        <w:t>A</w:t>
      </w:r>
      <w:r w:rsidR="007B4CB7" w:rsidRPr="00FA6F2D">
        <w:rPr>
          <w:lang w:val="en-US"/>
        </w:rPr>
        <w:t>s indicated</w:t>
      </w:r>
      <w:r w:rsidR="00F97935" w:rsidRPr="00FA6F2D">
        <w:rPr>
          <w:lang w:val="en-US"/>
        </w:rPr>
        <w:t>,</w:t>
      </w:r>
      <w:r w:rsidR="007B4CB7" w:rsidRPr="00FA6F2D">
        <w:rPr>
          <w:lang w:val="en-US"/>
        </w:rPr>
        <w:t xml:space="preserve"> </w:t>
      </w:r>
      <w:r w:rsidR="00BE1A8D" w:rsidRPr="00FA6F2D">
        <w:rPr>
          <w:lang w:val="en-US"/>
        </w:rPr>
        <w:t>both of the appellants raised an alibi as a defense. T</w:t>
      </w:r>
      <w:r w:rsidR="007B4CB7" w:rsidRPr="00FA6F2D">
        <w:rPr>
          <w:lang w:val="en-US"/>
        </w:rPr>
        <w:t>hey claim</w:t>
      </w:r>
      <w:r w:rsidR="00BE1A8D" w:rsidRPr="00FA6F2D">
        <w:rPr>
          <w:lang w:val="en-US"/>
        </w:rPr>
        <w:t>ed</w:t>
      </w:r>
      <w:r w:rsidR="007B4CB7" w:rsidRPr="00FA6F2D">
        <w:rPr>
          <w:lang w:val="en-US"/>
        </w:rPr>
        <w:t xml:space="preserve"> that on the day</w:t>
      </w:r>
      <w:r w:rsidR="00A40530" w:rsidRPr="00FA6F2D">
        <w:rPr>
          <w:lang w:val="en-US"/>
        </w:rPr>
        <w:t xml:space="preserve"> and</w:t>
      </w:r>
      <w:r w:rsidR="007B4CB7" w:rsidRPr="00FA6F2D">
        <w:rPr>
          <w:lang w:val="en-US"/>
        </w:rPr>
        <w:t xml:space="preserve"> at the time of the incident they were</w:t>
      </w:r>
      <w:r w:rsidR="00A40530" w:rsidRPr="00FA6F2D">
        <w:rPr>
          <w:lang w:val="en-US"/>
        </w:rPr>
        <w:t xml:space="preserve"> in the company of one another and others</w:t>
      </w:r>
      <w:r w:rsidR="000371C5" w:rsidRPr="00FA6F2D">
        <w:rPr>
          <w:lang w:val="en-US"/>
        </w:rPr>
        <w:t xml:space="preserve"> and </w:t>
      </w:r>
      <w:r w:rsidR="00AB52DC" w:rsidRPr="00FA6F2D">
        <w:rPr>
          <w:lang w:val="en-US"/>
        </w:rPr>
        <w:t xml:space="preserve">were </w:t>
      </w:r>
      <w:r w:rsidR="007B4CB7" w:rsidRPr="00FA6F2D">
        <w:rPr>
          <w:lang w:val="en-US"/>
        </w:rPr>
        <w:t xml:space="preserve">at a </w:t>
      </w:r>
      <w:r w:rsidR="00DA1748" w:rsidRPr="00FA6F2D">
        <w:rPr>
          <w:lang w:val="en-US"/>
        </w:rPr>
        <w:t>tavern in De Doorns</w:t>
      </w:r>
      <w:r w:rsidR="000371C5" w:rsidRPr="00FA6F2D">
        <w:rPr>
          <w:lang w:val="en-US"/>
        </w:rPr>
        <w:t>.</w:t>
      </w:r>
      <w:r w:rsidR="00DA1748" w:rsidRPr="00FA6F2D">
        <w:rPr>
          <w:lang w:val="en-US"/>
        </w:rPr>
        <w:t xml:space="preserve"> </w:t>
      </w:r>
      <w:r w:rsidR="000371C5" w:rsidRPr="00FA6F2D">
        <w:rPr>
          <w:lang w:val="en-US"/>
        </w:rPr>
        <w:t>They claimed</w:t>
      </w:r>
      <w:r w:rsidR="00DA1748" w:rsidRPr="00FA6F2D">
        <w:rPr>
          <w:lang w:val="en-US"/>
        </w:rPr>
        <w:t xml:space="preserve"> that </w:t>
      </w:r>
      <w:r w:rsidR="007B4CB7" w:rsidRPr="00FA6F2D">
        <w:rPr>
          <w:lang w:val="en-US"/>
        </w:rPr>
        <w:t>the</w:t>
      </w:r>
      <w:r w:rsidR="00DA1748" w:rsidRPr="00FA6F2D">
        <w:rPr>
          <w:lang w:val="en-US"/>
        </w:rPr>
        <w:t>y</w:t>
      </w:r>
      <w:r w:rsidR="007B4CB7" w:rsidRPr="00FA6F2D">
        <w:rPr>
          <w:lang w:val="en-US"/>
        </w:rPr>
        <w:t xml:space="preserve"> wer</w:t>
      </w:r>
      <w:r w:rsidR="000371C5" w:rsidRPr="00FA6F2D">
        <w:rPr>
          <w:lang w:val="en-US"/>
        </w:rPr>
        <w:t xml:space="preserve">e </w:t>
      </w:r>
      <w:r w:rsidR="007B4CB7" w:rsidRPr="00FA6F2D">
        <w:rPr>
          <w:lang w:val="en-US"/>
        </w:rPr>
        <w:t>wrong</w:t>
      </w:r>
      <w:r w:rsidR="00A40530" w:rsidRPr="00FA6F2D">
        <w:rPr>
          <w:lang w:val="en-US"/>
        </w:rPr>
        <w:t xml:space="preserve">ly </w:t>
      </w:r>
      <w:r w:rsidR="007B4CB7" w:rsidRPr="00FA6F2D">
        <w:rPr>
          <w:lang w:val="en-US"/>
        </w:rPr>
        <w:t>identified by the complainant</w:t>
      </w:r>
      <w:r w:rsidR="00DA1748" w:rsidRPr="00FA6F2D">
        <w:rPr>
          <w:lang w:val="en-US"/>
        </w:rPr>
        <w:t>.</w:t>
      </w:r>
    </w:p>
    <w:p w14:paraId="31B120D5" w14:textId="785E2DB4" w:rsidR="00A55C91" w:rsidRPr="00A55C91" w:rsidRDefault="00FA6F2D" w:rsidP="00FA6F2D">
      <w:pPr>
        <w:spacing w:line="360" w:lineRule="auto"/>
        <w:jc w:val="both"/>
      </w:pPr>
      <w:r w:rsidRPr="00A55C91">
        <w:t>[16]</w:t>
      </w:r>
      <w:r w:rsidRPr="00A55C91">
        <w:tab/>
      </w:r>
      <w:r w:rsidR="00DA1748" w:rsidRPr="00FA6F2D">
        <w:rPr>
          <w:lang w:val="en-US"/>
        </w:rPr>
        <w:t>I</w:t>
      </w:r>
      <w:r w:rsidR="007B4CB7" w:rsidRPr="00FA6F2D">
        <w:rPr>
          <w:lang w:val="en-US"/>
        </w:rPr>
        <w:t xml:space="preserve">n </w:t>
      </w:r>
      <w:r w:rsidR="00DA1748" w:rsidRPr="00FA6F2D">
        <w:rPr>
          <w:lang w:val="en-US"/>
        </w:rPr>
        <w:t xml:space="preserve">her </w:t>
      </w:r>
      <w:r w:rsidR="007B4CB7" w:rsidRPr="00FA6F2D">
        <w:rPr>
          <w:lang w:val="en-US"/>
        </w:rPr>
        <w:t>judgment</w:t>
      </w:r>
      <w:r w:rsidR="000371C5" w:rsidRPr="00FA6F2D">
        <w:rPr>
          <w:lang w:val="en-US"/>
        </w:rPr>
        <w:t>,</w:t>
      </w:r>
      <w:r w:rsidR="007B4CB7" w:rsidRPr="00FA6F2D">
        <w:rPr>
          <w:lang w:val="en-US"/>
        </w:rPr>
        <w:t xml:space="preserve"> the </w:t>
      </w:r>
      <w:r w:rsidR="00F97935" w:rsidRPr="00FA6F2D">
        <w:rPr>
          <w:lang w:val="en-US"/>
        </w:rPr>
        <w:t xml:space="preserve">acting regional </w:t>
      </w:r>
      <w:r w:rsidR="00A40530" w:rsidRPr="00FA6F2D">
        <w:rPr>
          <w:lang w:val="en-US"/>
        </w:rPr>
        <w:t xml:space="preserve">magistrate extensively </w:t>
      </w:r>
      <w:r w:rsidR="007B4CB7" w:rsidRPr="00FA6F2D">
        <w:rPr>
          <w:lang w:val="en-US"/>
        </w:rPr>
        <w:t xml:space="preserve">set out the facts </w:t>
      </w:r>
      <w:r w:rsidR="00DA1748" w:rsidRPr="00FA6F2D">
        <w:rPr>
          <w:lang w:val="en-US"/>
        </w:rPr>
        <w:t>relating to the inciden</w:t>
      </w:r>
      <w:r w:rsidR="00F97935" w:rsidRPr="00FA6F2D">
        <w:rPr>
          <w:lang w:val="en-US"/>
        </w:rPr>
        <w:t>t</w:t>
      </w:r>
      <w:r w:rsidR="00DA1748" w:rsidRPr="00FA6F2D">
        <w:rPr>
          <w:lang w:val="en-US"/>
        </w:rPr>
        <w:t>. She was</w:t>
      </w:r>
      <w:r w:rsidR="007B4CB7" w:rsidRPr="00FA6F2D">
        <w:rPr>
          <w:lang w:val="en-US"/>
        </w:rPr>
        <w:t xml:space="preserve"> mindful </w:t>
      </w:r>
      <w:r w:rsidR="00DA1748" w:rsidRPr="00FA6F2D">
        <w:rPr>
          <w:lang w:val="en-US"/>
        </w:rPr>
        <w:t xml:space="preserve">that she was dealing with a single witness and in respect of the identification of the appellants had to exercise the necessary caution. She was also mindful of the </w:t>
      </w:r>
      <w:r w:rsidR="007B4CB7" w:rsidRPr="00FA6F2D">
        <w:rPr>
          <w:lang w:val="en-US"/>
        </w:rPr>
        <w:t>of</w:t>
      </w:r>
      <w:r w:rsidR="00DA1748" w:rsidRPr="00FA6F2D">
        <w:rPr>
          <w:lang w:val="en-US"/>
        </w:rPr>
        <w:t>t</w:t>
      </w:r>
      <w:r w:rsidR="007B4CB7" w:rsidRPr="00FA6F2D">
        <w:rPr>
          <w:lang w:val="en-US"/>
        </w:rPr>
        <w:t xml:space="preserve"> quoted</w:t>
      </w:r>
      <w:r w:rsidR="00AB52DC" w:rsidRPr="00FA6F2D">
        <w:rPr>
          <w:lang w:val="en-US"/>
        </w:rPr>
        <w:t xml:space="preserve"> guidelines in respect of identification</w:t>
      </w:r>
      <w:r w:rsidR="000371C5" w:rsidRPr="00FA6F2D">
        <w:rPr>
          <w:lang w:val="en-US"/>
        </w:rPr>
        <w:t>,</w:t>
      </w:r>
      <w:r w:rsidR="005A369B" w:rsidRPr="00FA6F2D">
        <w:rPr>
          <w:lang w:val="en-US"/>
        </w:rPr>
        <w:t xml:space="preserve"> </w:t>
      </w:r>
      <w:r w:rsidR="00AB52DC" w:rsidRPr="00FA6F2D">
        <w:rPr>
          <w:lang w:val="en-US"/>
        </w:rPr>
        <w:t xml:space="preserve">with reference </w:t>
      </w:r>
      <w:r w:rsidR="00881969" w:rsidRPr="00FA6F2D">
        <w:rPr>
          <w:lang w:val="en-US"/>
        </w:rPr>
        <w:t>to</w:t>
      </w:r>
      <w:r w:rsidR="007B4CB7" w:rsidRPr="00FA6F2D">
        <w:rPr>
          <w:lang w:val="en-US"/>
        </w:rPr>
        <w:t xml:space="preserve"> authority </w:t>
      </w:r>
      <w:r w:rsidR="00F97935" w:rsidRPr="00FA6F2D">
        <w:rPr>
          <w:lang w:val="en-US"/>
        </w:rPr>
        <w:t xml:space="preserve">of </w:t>
      </w:r>
      <w:r w:rsidR="00A23102" w:rsidRPr="00FA6F2D">
        <w:rPr>
          <w:lang w:val="en-US"/>
        </w:rPr>
        <w:t xml:space="preserve">Holmes JA </w:t>
      </w:r>
      <w:r w:rsidR="00A55C91" w:rsidRPr="00FA6F2D">
        <w:rPr>
          <w:lang w:val="en-US"/>
        </w:rPr>
        <w:t xml:space="preserve">in </w:t>
      </w:r>
      <w:r w:rsidR="00A55C91" w:rsidRPr="00FA6F2D">
        <w:rPr>
          <w:i/>
          <w:lang w:val="en-US"/>
        </w:rPr>
        <w:t>S v Mthethwa</w:t>
      </w:r>
      <w:r w:rsidR="003F3BD6">
        <w:rPr>
          <w:rStyle w:val="FootnoteReference"/>
          <w:i/>
          <w:lang w:val="en-US"/>
        </w:rPr>
        <w:footnoteReference w:id="2"/>
      </w:r>
      <w:r w:rsidR="00A55C91" w:rsidRPr="00FA6F2D">
        <w:rPr>
          <w:lang w:val="en-US"/>
        </w:rPr>
        <w:t xml:space="preserve"> 1972 (3) SA 766 (AD) at 768 a</w:t>
      </w:r>
      <w:r w:rsidR="00F97935" w:rsidRPr="00FA6F2D">
        <w:rPr>
          <w:lang w:val="en-US"/>
        </w:rPr>
        <w:t xml:space="preserve"> in respect of the appellants and in particular the second</w:t>
      </w:r>
      <w:r w:rsidR="005A369B" w:rsidRPr="00FA6F2D">
        <w:rPr>
          <w:lang w:val="en-US"/>
        </w:rPr>
        <w:t xml:space="preserve"> appellant.</w:t>
      </w:r>
    </w:p>
    <w:p w14:paraId="7345661D" w14:textId="29D50BBD" w:rsidR="00B62BE9" w:rsidRPr="00B62BE9" w:rsidRDefault="00FA6F2D" w:rsidP="00FA6F2D">
      <w:pPr>
        <w:spacing w:line="360" w:lineRule="auto"/>
        <w:jc w:val="both"/>
      </w:pPr>
      <w:r w:rsidRPr="00B62BE9">
        <w:t>[17]</w:t>
      </w:r>
      <w:r w:rsidRPr="00B62BE9">
        <w:tab/>
      </w:r>
      <w:r w:rsidR="006534AF" w:rsidRPr="00FA6F2D">
        <w:rPr>
          <w:lang w:val="en-US"/>
        </w:rPr>
        <w:t xml:space="preserve">The </w:t>
      </w:r>
      <w:r w:rsidR="00F97935" w:rsidRPr="00FA6F2D">
        <w:rPr>
          <w:lang w:val="en-US"/>
        </w:rPr>
        <w:t xml:space="preserve">acting regional </w:t>
      </w:r>
      <w:r w:rsidR="006534AF" w:rsidRPr="00FA6F2D">
        <w:rPr>
          <w:lang w:val="en-US"/>
        </w:rPr>
        <w:t xml:space="preserve">magistrate was impressed with the </w:t>
      </w:r>
      <w:r w:rsidR="002A745F" w:rsidRPr="00FA6F2D">
        <w:rPr>
          <w:lang w:val="en-US"/>
        </w:rPr>
        <w:t xml:space="preserve">testimony </w:t>
      </w:r>
      <w:r w:rsidR="006534AF" w:rsidRPr="00FA6F2D">
        <w:rPr>
          <w:lang w:val="en-US"/>
        </w:rPr>
        <w:t>of the complainant and found that his identification of both the appellants was</w:t>
      </w:r>
      <w:r w:rsidR="00683AEF" w:rsidRPr="00FA6F2D">
        <w:rPr>
          <w:lang w:val="en-US"/>
        </w:rPr>
        <w:t xml:space="preserve"> both credible and </w:t>
      </w:r>
      <w:r w:rsidR="006534AF" w:rsidRPr="00FA6F2D">
        <w:rPr>
          <w:lang w:val="en-US"/>
        </w:rPr>
        <w:t xml:space="preserve">reliable. It </w:t>
      </w:r>
      <w:r w:rsidR="0056278C" w:rsidRPr="00FA6F2D">
        <w:rPr>
          <w:lang w:val="en-US"/>
        </w:rPr>
        <w:t>was</w:t>
      </w:r>
      <w:r w:rsidR="006534AF" w:rsidRPr="00FA6F2D">
        <w:rPr>
          <w:lang w:val="en-US"/>
        </w:rPr>
        <w:t xml:space="preserve"> apparent from the evidence that there was sufficient opportunity for the </w:t>
      </w:r>
      <w:r w:rsidR="00B62BE9" w:rsidRPr="00FA6F2D">
        <w:rPr>
          <w:lang w:val="en-US"/>
        </w:rPr>
        <w:t xml:space="preserve">complainant </w:t>
      </w:r>
      <w:r w:rsidR="007B4CB7" w:rsidRPr="00FA6F2D">
        <w:rPr>
          <w:lang w:val="en-US"/>
        </w:rPr>
        <w:t xml:space="preserve">to have observed both of the appellants one of whom he was closely related to and he was able to </w:t>
      </w:r>
      <w:r w:rsidR="00B62BE9" w:rsidRPr="00FA6F2D">
        <w:rPr>
          <w:lang w:val="en-US"/>
        </w:rPr>
        <w:t>have made a</w:t>
      </w:r>
      <w:r w:rsidR="00F97935" w:rsidRPr="00FA6F2D">
        <w:rPr>
          <w:lang w:val="en-US"/>
        </w:rPr>
        <w:t>n</w:t>
      </w:r>
      <w:r w:rsidR="00B62BE9" w:rsidRPr="00FA6F2D">
        <w:rPr>
          <w:lang w:val="en-US"/>
        </w:rPr>
        <w:t xml:space="preserve"> </w:t>
      </w:r>
      <w:r w:rsidR="00F97935" w:rsidRPr="00FA6F2D">
        <w:rPr>
          <w:lang w:val="en-US"/>
        </w:rPr>
        <w:t xml:space="preserve">accurate </w:t>
      </w:r>
      <w:r w:rsidR="007B4CB7" w:rsidRPr="00FA6F2D">
        <w:rPr>
          <w:lang w:val="en-US"/>
        </w:rPr>
        <w:t xml:space="preserve">description of the second </w:t>
      </w:r>
      <w:r w:rsidR="00B62BE9" w:rsidRPr="00FA6F2D">
        <w:rPr>
          <w:lang w:val="en-US"/>
        </w:rPr>
        <w:t xml:space="preserve">appellant </w:t>
      </w:r>
      <w:r w:rsidR="007B4CB7" w:rsidRPr="00FA6F2D">
        <w:rPr>
          <w:lang w:val="en-US"/>
        </w:rPr>
        <w:t>with</w:t>
      </w:r>
      <w:r w:rsidR="00AB52DC" w:rsidRPr="00FA6F2D">
        <w:rPr>
          <w:lang w:val="en-US"/>
        </w:rPr>
        <w:t xml:space="preserve"> reference to</w:t>
      </w:r>
      <w:r w:rsidR="007B4CB7" w:rsidRPr="00FA6F2D">
        <w:rPr>
          <w:lang w:val="en-US"/>
        </w:rPr>
        <w:t xml:space="preserve"> the scar </w:t>
      </w:r>
      <w:r w:rsidR="00B62BE9" w:rsidRPr="00FA6F2D">
        <w:rPr>
          <w:lang w:val="en-US"/>
        </w:rPr>
        <w:t xml:space="preserve">across his </w:t>
      </w:r>
      <w:r w:rsidR="00F97935" w:rsidRPr="00FA6F2D">
        <w:rPr>
          <w:lang w:val="en-US"/>
        </w:rPr>
        <w:t xml:space="preserve">left </w:t>
      </w:r>
      <w:r w:rsidR="007B4CB7" w:rsidRPr="00FA6F2D">
        <w:rPr>
          <w:lang w:val="en-US"/>
        </w:rPr>
        <w:t>eye and who he specifically recalled as having been aggress</w:t>
      </w:r>
      <w:r w:rsidR="00F07B04" w:rsidRPr="00FA6F2D">
        <w:rPr>
          <w:lang w:val="en-US"/>
        </w:rPr>
        <w:t>ive and talkative</w:t>
      </w:r>
      <w:r w:rsidR="007B4CB7" w:rsidRPr="00FA6F2D">
        <w:rPr>
          <w:lang w:val="en-US"/>
        </w:rPr>
        <w:t xml:space="preserve"> during the incident</w:t>
      </w:r>
      <w:r w:rsidR="00B62BE9" w:rsidRPr="00FA6F2D">
        <w:rPr>
          <w:lang w:val="en-US"/>
        </w:rPr>
        <w:t>.</w:t>
      </w:r>
    </w:p>
    <w:p w14:paraId="486B6577" w14:textId="4EFD3768" w:rsidR="00B62BE9" w:rsidRPr="00B62BE9" w:rsidRDefault="00FA6F2D" w:rsidP="00FA6F2D">
      <w:pPr>
        <w:spacing w:line="360" w:lineRule="auto"/>
        <w:jc w:val="both"/>
      </w:pPr>
      <w:r w:rsidRPr="00B62BE9">
        <w:t>[18]</w:t>
      </w:r>
      <w:r w:rsidRPr="00B62BE9">
        <w:tab/>
      </w:r>
      <w:r w:rsidR="00B62BE9" w:rsidRPr="00FA6F2D">
        <w:rPr>
          <w:lang w:val="en-US"/>
        </w:rPr>
        <w:t xml:space="preserve">The appellants for </w:t>
      </w:r>
      <w:r w:rsidR="007B4CB7" w:rsidRPr="00FA6F2D">
        <w:rPr>
          <w:lang w:val="en-US"/>
        </w:rPr>
        <w:t xml:space="preserve">their part </w:t>
      </w:r>
      <w:r w:rsidR="00AB52DC" w:rsidRPr="00FA6F2D">
        <w:rPr>
          <w:lang w:val="en-US"/>
        </w:rPr>
        <w:t>raised</w:t>
      </w:r>
      <w:r w:rsidR="00F07B04" w:rsidRPr="00FA6F2D">
        <w:rPr>
          <w:lang w:val="en-US"/>
        </w:rPr>
        <w:t xml:space="preserve"> </w:t>
      </w:r>
      <w:r w:rsidR="007B4CB7" w:rsidRPr="00FA6F2D">
        <w:rPr>
          <w:lang w:val="en-US"/>
        </w:rPr>
        <w:t xml:space="preserve">no more than </w:t>
      </w:r>
      <w:r w:rsidR="00B62BE9" w:rsidRPr="00FA6F2D">
        <w:rPr>
          <w:lang w:val="en-US"/>
        </w:rPr>
        <w:t xml:space="preserve">an alibi </w:t>
      </w:r>
      <w:r w:rsidR="00AB52DC" w:rsidRPr="00FA6F2D">
        <w:rPr>
          <w:lang w:val="en-US"/>
        </w:rPr>
        <w:t>defence</w:t>
      </w:r>
      <w:r w:rsidR="007B4CB7" w:rsidRPr="00FA6F2D">
        <w:rPr>
          <w:lang w:val="en-US"/>
        </w:rPr>
        <w:t xml:space="preserve"> and</w:t>
      </w:r>
      <w:r w:rsidR="00F07B04" w:rsidRPr="00FA6F2D">
        <w:rPr>
          <w:lang w:val="en-US"/>
        </w:rPr>
        <w:t xml:space="preserve"> </w:t>
      </w:r>
      <w:r w:rsidR="00AB52DC" w:rsidRPr="00FA6F2D">
        <w:rPr>
          <w:lang w:val="en-US"/>
        </w:rPr>
        <w:t>were</w:t>
      </w:r>
      <w:r w:rsidR="00D52A6F" w:rsidRPr="00FA6F2D">
        <w:rPr>
          <w:lang w:val="en-US"/>
        </w:rPr>
        <w:t xml:space="preserve"> </w:t>
      </w:r>
      <w:r w:rsidR="00B62BE9" w:rsidRPr="00FA6F2D">
        <w:rPr>
          <w:lang w:val="en-US"/>
        </w:rPr>
        <w:t>unable to impeach the</w:t>
      </w:r>
      <w:r w:rsidR="0056278C" w:rsidRPr="00FA6F2D">
        <w:rPr>
          <w:lang w:val="en-US"/>
        </w:rPr>
        <w:t xml:space="preserve"> re</w:t>
      </w:r>
      <w:r w:rsidR="007B4CB7" w:rsidRPr="00FA6F2D">
        <w:rPr>
          <w:lang w:val="en-US"/>
        </w:rPr>
        <w:t>liability of the complainant</w:t>
      </w:r>
      <w:r w:rsidR="00B62BE9" w:rsidRPr="00FA6F2D">
        <w:rPr>
          <w:lang w:val="en-US"/>
        </w:rPr>
        <w:t>’</w:t>
      </w:r>
      <w:r w:rsidR="007B4CB7" w:rsidRPr="00FA6F2D">
        <w:rPr>
          <w:lang w:val="en-US"/>
        </w:rPr>
        <w:t>s identification</w:t>
      </w:r>
      <w:r w:rsidR="00683AEF" w:rsidRPr="00FA6F2D">
        <w:rPr>
          <w:lang w:val="en-US"/>
        </w:rPr>
        <w:t xml:space="preserve"> of them</w:t>
      </w:r>
      <w:r w:rsidR="00B62BE9" w:rsidRPr="00FA6F2D">
        <w:rPr>
          <w:lang w:val="en-US"/>
        </w:rPr>
        <w:t>.</w:t>
      </w:r>
    </w:p>
    <w:p w14:paraId="5B2054AE" w14:textId="1CAD1F4A" w:rsidR="00B62BE9" w:rsidRPr="00B62BE9" w:rsidRDefault="00FA6F2D" w:rsidP="00FA6F2D">
      <w:pPr>
        <w:spacing w:line="360" w:lineRule="auto"/>
        <w:jc w:val="both"/>
      </w:pPr>
      <w:r w:rsidRPr="00B62BE9">
        <w:t>[19]</w:t>
      </w:r>
      <w:r w:rsidRPr="00B62BE9">
        <w:tab/>
      </w:r>
      <w:r w:rsidR="00B62BE9" w:rsidRPr="00FA6F2D">
        <w:rPr>
          <w:lang w:val="en-US"/>
        </w:rPr>
        <w:t xml:space="preserve">I am </w:t>
      </w:r>
      <w:r w:rsidR="007B4CB7" w:rsidRPr="00FA6F2D">
        <w:rPr>
          <w:lang w:val="en-US"/>
        </w:rPr>
        <w:t xml:space="preserve">more than satisfied that the </w:t>
      </w:r>
      <w:r w:rsidR="00F07B04" w:rsidRPr="00FA6F2D">
        <w:rPr>
          <w:lang w:val="en-US"/>
        </w:rPr>
        <w:t>s</w:t>
      </w:r>
      <w:r w:rsidR="007B4CB7" w:rsidRPr="00FA6F2D">
        <w:rPr>
          <w:lang w:val="en-US"/>
        </w:rPr>
        <w:t xml:space="preserve">tate </w:t>
      </w:r>
      <w:r w:rsidR="00B62BE9" w:rsidRPr="00FA6F2D">
        <w:rPr>
          <w:lang w:val="en-US"/>
        </w:rPr>
        <w:t xml:space="preserve">had </w:t>
      </w:r>
      <w:r w:rsidR="007B4CB7" w:rsidRPr="00FA6F2D">
        <w:rPr>
          <w:lang w:val="en-US"/>
        </w:rPr>
        <w:t>prove</w:t>
      </w:r>
      <w:r w:rsidR="00B62BE9" w:rsidRPr="00FA6F2D">
        <w:rPr>
          <w:lang w:val="en-US"/>
        </w:rPr>
        <w:t>d</w:t>
      </w:r>
      <w:r w:rsidR="007B4CB7" w:rsidRPr="00FA6F2D">
        <w:rPr>
          <w:lang w:val="en-US"/>
        </w:rPr>
        <w:t xml:space="preserve"> beyond </w:t>
      </w:r>
      <w:r w:rsidR="00B62BE9" w:rsidRPr="00FA6F2D">
        <w:rPr>
          <w:lang w:val="en-US"/>
        </w:rPr>
        <w:t xml:space="preserve">reasonable doubt </w:t>
      </w:r>
      <w:r w:rsidR="007B4CB7" w:rsidRPr="00FA6F2D">
        <w:rPr>
          <w:lang w:val="en-US"/>
        </w:rPr>
        <w:t xml:space="preserve">the guilt of the </w:t>
      </w:r>
      <w:r w:rsidR="00B62BE9" w:rsidRPr="00FA6F2D">
        <w:rPr>
          <w:lang w:val="en-US"/>
        </w:rPr>
        <w:t xml:space="preserve">appellants </w:t>
      </w:r>
      <w:r w:rsidR="00AB52DC" w:rsidRPr="00FA6F2D">
        <w:rPr>
          <w:lang w:val="en-US"/>
        </w:rPr>
        <w:t>on</w:t>
      </w:r>
      <w:r w:rsidR="007B4CB7" w:rsidRPr="00FA6F2D">
        <w:rPr>
          <w:lang w:val="en-US"/>
        </w:rPr>
        <w:t xml:space="preserve"> </w:t>
      </w:r>
      <w:r w:rsidR="00B62BE9" w:rsidRPr="00FA6F2D">
        <w:rPr>
          <w:lang w:val="en-US"/>
        </w:rPr>
        <w:t>all f</w:t>
      </w:r>
      <w:r w:rsidR="00F07B04" w:rsidRPr="00FA6F2D">
        <w:rPr>
          <w:lang w:val="en-US"/>
        </w:rPr>
        <w:t>our</w:t>
      </w:r>
      <w:r w:rsidR="00B62BE9" w:rsidRPr="00FA6F2D">
        <w:rPr>
          <w:lang w:val="en-US"/>
        </w:rPr>
        <w:t xml:space="preserve"> counts</w:t>
      </w:r>
      <w:r w:rsidR="00AB52DC" w:rsidRPr="00FA6F2D">
        <w:rPr>
          <w:lang w:val="en-US"/>
        </w:rPr>
        <w:t xml:space="preserve"> and</w:t>
      </w:r>
      <w:r w:rsidR="0056278C" w:rsidRPr="00FA6F2D">
        <w:rPr>
          <w:lang w:val="en-US"/>
        </w:rPr>
        <w:t xml:space="preserve"> that the</w:t>
      </w:r>
      <w:r w:rsidR="00AB52DC" w:rsidRPr="00FA6F2D">
        <w:rPr>
          <w:lang w:val="en-US"/>
        </w:rPr>
        <w:t xml:space="preserve"> acting regional magistrate correctly rejected the version of the appellants</w:t>
      </w:r>
      <w:r w:rsidR="00B62BE9" w:rsidRPr="00FA6F2D">
        <w:rPr>
          <w:lang w:val="en-US"/>
        </w:rPr>
        <w:t>. T</w:t>
      </w:r>
      <w:r w:rsidR="007B4CB7" w:rsidRPr="00FA6F2D">
        <w:rPr>
          <w:lang w:val="en-US"/>
        </w:rPr>
        <w:t xml:space="preserve">he </w:t>
      </w:r>
      <w:r w:rsidR="00B62BE9" w:rsidRPr="00FA6F2D">
        <w:rPr>
          <w:lang w:val="en-US"/>
        </w:rPr>
        <w:t>grounds raised by</w:t>
      </w:r>
      <w:r w:rsidR="00AB52DC" w:rsidRPr="00FA6F2D">
        <w:rPr>
          <w:lang w:val="en-US"/>
        </w:rPr>
        <w:t xml:space="preserve"> their legal representative on appeal </w:t>
      </w:r>
      <w:r w:rsidR="00B62BE9" w:rsidRPr="00FA6F2D">
        <w:rPr>
          <w:lang w:val="en-US"/>
        </w:rPr>
        <w:t>with regard</w:t>
      </w:r>
      <w:r w:rsidR="007B4CB7" w:rsidRPr="00FA6F2D">
        <w:rPr>
          <w:lang w:val="en-US"/>
        </w:rPr>
        <w:t xml:space="preserve"> to the cartridge</w:t>
      </w:r>
      <w:r w:rsidR="00F07B04" w:rsidRPr="00FA6F2D">
        <w:rPr>
          <w:lang w:val="en-US"/>
        </w:rPr>
        <w:t xml:space="preserve"> and the firearm</w:t>
      </w:r>
      <w:r w:rsidR="007B4CB7" w:rsidRPr="00FA6F2D">
        <w:rPr>
          <w:lang w:val="en-US"/>
        </w:rPr>
        <w:t xml:space="preserve"> </w:t>
      </w:r>
      <w:r w:rsidR="00B62BE9" w:rsidRPr="00FA6F2D">
        <w:rPr>
          <w:lang w:val="en-US"/>
        </w:rPr>
        <w:t xml:space="preserve">are </w:t>
      </w:r>
      <w:r w:rsidR="007B4CB7" w:rsidRPr="00FA6F2D">
        <w:rPr>
          <w:lang w:val="en-US"/>
        </w:rPr>
        <w:t xml:space="preserve">of no merit inasmuch as it </w:t>
      </w:r>
      <w:r w:rsidR="00683AEF" w:rsidRPr="00FA6F2D">
        <w:rPr>
          <w:lang w:val="en-US"/>
        </w:rPr>
        <w:t>was</w:t>
      </w:r>
      <w:r w:rsidR="007B4CB7" w:rsidRPr="00FA6F2D">
        <w:rPr>
          <w:lang w:val="en-US"/>
        </w:rPr>
        <w:t xml:space="preserve"> undisputed that the deceased was killed </w:t>
      </w:r>
      <w:r w:rsidR="00791D0C" w:rsidRPr="00FA6F2D">
        <w:rPr>
          <w:lang w:val="en-US"/>
        </w:rPr>
        <w:t xml:space="preserve">through </w:t>
      </w:r>
      <w:r w:rsidR="007B4CB7" w:rsidRPr="00FA6F2D">
        <w:rPr>
          <w:lang w:val="en-US"/>
        </w:rPr>
        <w:t xml:space="preserve">a gunshot wound to the eye and that </w:t>
      </w:r>
      <w:r w:rsidR="00B62BE9" w:rsidRPr="00FA6F2D">
        <w:rPr>
          <w:lang w:val="en-US"/>
        </w:rPr>
        <w:t>a</w:t>
      </w:r>
      <w:r w:rsidR="00F07B04" w:rsidRPr="00FA6F2D">
        <w:rPr>
          <w:lang w:val="en-US"/>
        </w:rPr>
        <w:t xml:space="preserve"> spent</w:t>
      </w:r>
      <w:r w:rsidR="00B62BE9" w:rsidRPr="00FA6F2D">
        <w:rPr>
          <w:lang w:val="en-US"/>
        </w:rPr>
        <w:t xml:space="preserve"> cartridge </w:t>
      </w:r>
      <w:r w:rsidR="007B4CB7" w:rsidRPr="00FA6F2D">
        <w:rPr>
          <w:lang w:val="en-US"/>
        </w:rPr>
        <w:t xml:space="preserve">had been found </w:t>
      </w:r>
      <w:r w:rsidR="00B62BE9" w:rsidRPr="00FA6F2D">
        <w:rPr>
          <w:lang w:val="en-US"/>
        </w:rPr>
        <w:t xml:space="preserve">at the </w:t>
      </w:r>
      <w:r w:rsidR="007B4CB7" w:rsidRPr="00FA6F2D">
        <w:rPr>
          <w:lang w:val="en-US"/>
        </w:rPr>
        <w:t xml:space="preserve">scene of the </w:t>
      </w:r>
      <w:r w:rsidR="00B62BE9" w:rsidRPr="00FA6F2D">
        <w:rPr>
          <w:lang w:val="en-US"/>
        </w:rPr>
        <w:t>incident.</w:t>
      </w:r>
    </w:p>
    <w:p w14:paraId="025D77DF" w14:textId="173753F6" w:rsidR="00693D3F" w:rsidRPr="00693D3F" w:rsidRDefault="00FA6F2D" w:rsidP="00FA6F2D">
      <w:pPr>
        <w:spacing w:line="360" w:lineRule="auto"/>
        <w:jc w:val="both"/>
      </w:pPr>
      <w:r w:rsidRPr="00693D3F">
        <w:lastRenderedPageBreak/>
        <w:t>[20]</w:t>
      </w:r>
      <w:r w:rsidRPr="00693D3F">
        <w:tab/>
      </w:r>
      <w:r w:rsidR="00B62BE9" w:rsidRPr="00FA6F2D">
        <w:rPr>
          <w:lang w:val="en-US"/>
        </w:rPr>
        <w:t>O</w:t>
      </w:r>
      <w:r w:rsidR="007B4CB7" w:rsidRPr="00FA6F2D">
        <w:rPr>
          <w:lang w:val="en-US"/>
        </w:rPr>
        <w:t>n sentence</w:t>
      </w:r>
      <w:r w:rsidR="00683AEF" w:rsidRPr="00FA6F2D">
        <w:rPr>
          <w:lang w:val="en-US"/>
        </w:rPr>
        <w:t>,</w:t>
      </w:r>
      <w:r w:rsidR="007B4CB7" w:rsidRPr="00FA6F2D">
        <w:rPr>
          <w:lang w:val="en-US"/>
        </w:rPr>
        <w:t xml:space="preserve"> the </w:t>
      </w:r>
      <w:r w:rsidR="00F07B04" w:rsidRPr="00FA6F2D">
        <w:rPr>
          <w:lang w:val="en-US"/>
        </w:rPr>
        <w:t>s</w:t>
      </w:r>
      <w:r w:rsidR="007B4CB7" w:rsidRPr="00FA6F2D">
        <w:rPr>
          <w:lang w:val="en-US"/>
        </w:rPr>
        <w:t>tate</w:t>
      </w:r>
      <w:r w:rsidR="00B62BE9" w:rsidRPr="00FA6F2D">
        <w:rPr>
          <w:lang w:val="en-US"/>
        </w:rPr>
        <w:t xml:space="preserve"> </w:t>
      </w:r>
      <w:r w:rsidR="007B4CB7" w:rsidRPr="00FA6F2D">
        <w:rPr>
          <w:lang w:val="en-US"/>
        </w:rPr>
        <w:t>proved no previous convictions in</w:t>
      </w:r>
      <w:r w:rsidR="00B62BE9" w:rsidRPr="00FA6F2D">
        <w:rPr>
          <w:lang w:val="en-US"/>
        </w:rPr>
        <w:t xml:space="preserve"> respect </w:t>
      </w:r>
      <w:r w:rsidR="007B4CB7" w:rsidRPr="00FA6F2D">
        <w:rPr>
          <w:lang w:val="en-US"/>
        </w:rPr>
        <w:t xml:space="preserve">any </w:t>
      </w:r>
      <w:r w:rsidR="00B62BE9" w:rsidRPr="00FA6F2D">
        <w:rPr>
          <w:lang w:val="en-US"/>
        </w:rPr>
        <w:t>of the appellants. T</w:t>
      </w:r>
      <w:r w:rsidR="007B4CB7" w:rsidRPr="00FA6F2D">
        <w:rPr>
          <w:lang w:val="en-US"/>
        </w:rPr>
        <w:t xml:space="preserve">he </w:t>
      </w:r>
      <w:r w:rsidR="00B62BE9" w:rsidRPr="00FA6F2D">
        <w:rPr>
          <w:lang w:val="en-US"/>
        </w:rPr>
        <w:t xml:space="preserve">appellants’ </w:t>
      </w:r>
      <w:r w:rsidR="007B4CB7" w:rsidRPr="00FA6F2D">
        <w:rPr>
          <w:lang w:val="en-US"/>
        </w:rPr>
        <w:t xml:space="preserve">legal representative </w:t>
      </w:r>
      <w:r w:rsidR="00AA4CB4" w:rsidRPr="00FA6F2D">
        <w:rPr>
          <w:lang w:val="en-US"/>
        </w:rPr>
        <w:t xml:space="preserve">did no more than to </w:t>
      </w:r>
      <w:r w:rsidR="00B62BE9" w:rsidRPr="00FA6F2D">
        <w:rPr>
          <w:lang w:val="en-US"/>
        </w:rPr>
        <w:t xml:space="preserve">address </w:t>
      </w:r>
      <w:r w:rsidR="007B4CB7" w:rsidRPr="00FA6F2D">
        <w:rPr>
          <w:lang w:val="en-US"/>
        </w:rPr>
        <w:t xml:space="preserve">the court </w:t>
      </w:r>
      <w:r w:rsidR="007B4CB7" w:rsidRPr="00FA6F2D">
        <w:rPr>
          <w:i/>
          <w:lang w:val="en-US"/>
        </w:rPr>
        <w:t>ex</w:t>
      </w:r>
      <w:r w:rsidR="00B62BE9" w:rsidRPr="00FA6F2D">
        <w:rPr>
          <w:i/>
          <w:lang w:val="en-US"/>
        </w:rPr>
        <w:t xml:space="preserve"> </w:t>
      </w:r>
      <w:r w:rsidR="007B4CB7" w:rsidRPr="00FA6F2D">
        <w:rPr>
          <w:i/>
          <w:lang w:val="en-US"/>
        </w:rPr>
        <w:t>parte</w:t>
      </w:r>
      <w:r w:rsidR="007B4CB7" w:rsidRPr="00FA6F2D">
        <w:rPr>
          <w:lang w:val="en-US"/>
        </w:rPr>
        <w:t xml:space="preserve"> </w:t>
      </w:r>
      <w:r w:rsidR="00657AAA" w:rsidRPr="00FA6F2D">
        <w:rPr>
          <w:lang w:val="en-US"/>
        </w:rPr>
        <w:t xml:space="preserve">and to </w:t>
      </w:r>
      <w:r w:rsidR="007B4CB7" w:rsidRPr="00FA6F2D">
        <w:rPr>
          <w:lang w:val="en-US"/>
        </w:rPr>
        <w:t>place before the court</w:t>
      </w:r>
      <w:r w:rsidR="00F07B04" w:rsidRPr="00FA6F2D">
        <w:rPr>
          <w:lang w:val="en-US"/>
        </w:rPr>
        <w:t>,</w:t>
      </w:r>
      <w:r w:rsidR="007B4CB7" w:rsidRPr="00FA6F2D">
        <w:rPr>
          <w:lang w:val="en-US"/>
        </w:rPr>
        <w:t xml:space="preserve"> </w:t>
      </w:r>
      <w:r w:rsidR="009F56C0" w:rsidRPr="00FA6F2D">
        <w:rPr>
          <w:lang w:val="en-US"/>
        </w:rPr>
        <w:t xml:space="preserve">in a </w:t>
      </w:r>
      <w:r w:rsidR="00B62BE9" w:rsidRPr="00FA6F2D">
        <w:rPr>
          <w:lang w:val="en-US"/>
        </w:rPr>
        <w:t>rather perfunctory</w:t>
      </w:r>
      <w:r w:rsidR="009F56C0" w:rsidRPr="00FA6F2D">
        <w:rPr>
          <w:lang w:val="en-US"/>
        </w:rPr>
        <w:t xml:space="preserve"> fashion</w:t>
      </w:r>
      <w:r w:rsidR="00F07B04" w:rsidRPr="00FA6F2D">
        <w:rPr>
          <w:lang w:val="en-US"/>
        </w:rPr>
        <w:t>,</w:t>
      </w:r>
      <w:r w:rsidR="00B62BE9" w:rsidRPr="00FA6F2D">
        <w:rPr>
          <w:lang w:val="en-US"/>
        </w:rPr>
        <w:t xml:space="preserve"> </w:t>
      </w:r>
      <w:r w:rsidR="009F56C0" w:rsidRPr="00FA6F2D">
        <w:rPr>
          <w:lang w:val="en-US"/>
        </w:rPr>
        <w:t xml:space="preserve">the appellants’ </w:t>
      </w:r>
      <w:r w:rsidR="007B4CB7" w:rsidRPr="00FA6F2D">
        <w:rPr>
          <w:lang w:val="en-US"/>
        </w:rPr>
        <w:t>personal circumstances</w:t>
      </w:r>
      <w:r w:rsidR="00B62BE9" w:rsidRPr="00FA6F2D">
        <w:rPr>
          <w:lang w:val="en-US"/>
        </w:rPr>
        <w:t>.</w:t>
      </w:r>
      <w:r w:rsidR="009115B7" w:rsidRPr="00FA6F2D">
        <w:rPr>
          <w:lang w:val="en-US"/>
        </w:rPr>
        <w:t xml:space="preserve"> </w:t>
      </w:r>
      <w:r w:rsidR="003D4538" w:rsidRPr="00FA6F2D">
        <w:rPr>
          <w:lang w:val="en-US"/>
        </w:rPr>
        <w:t>That</w:t>
      </w:r>
      <w:r w:rsidR="009115B7" w:rsidRPr="00FA6F2D">
        <w:rPr>
          <w:lang w:val="en-US"/>
        </w:rPr>
        <w:t>,</w:t>
      </w:r>
      <w:r w:rsidR="00B62BE9" w:rsidRPr="00FA6F2D">
        <w:rPr>
          <w:lang w:val="en-US"/>
        </w:rPr>
        <w:t xml:space="preserve"> </w:t>
      </w:r>
      <w:r w:rsidR="003D4538" w:rsidRPr="00FA6F2D">
        <w:rPr>
          <w:lang w:val="en-US"/>
        </w:rPr>
        <w:t>n</w:t>
      </w:r>
      <w:r w:rsidR="007B4CB7" w:rsidRPr="00FA6F2D">
        <w:rPr>
          <w:lang w:val="en-US"/>
        </w:rPr>
        <w:t xml:space="preserve">otwithstanding </w:t>
      </w:r>
      <w:r w:rsidR="00693D3F" w:rsidRPr="00FA6F2D">
        <w:rPr>
          <w:lang w:val="en-US"/>
        </w:rPr>
        <w:t>the fact</w:t>
      </w:r>
      <w:r w:rsidR="0056278C" w:rsidRPr="00FA6F2D">
        <w:rPr>
          <w:lang w:val="en-US"/>
        </w:rPr>
        <w:t>,</w:t>
      </w:r>
      <w:r w:rsidR="00693D3F" w:rsidRPr="00FA6F2D">
        <w:rPr>
          <w:lang w:val="en-US"/>
        </w:rPr>
        <w:t xml:space="preserve"> that </w:t>
      </w:r>
      <w:r w:rsidR="007B4CB7" w:rsidRPr="00FA6F2D">
        <w:rPr>
          <w:lang w:val="en-US"/>
        </w:rPr>
        <w:t>both of the appellants fac</w:t>
      </w:r>
      <w:r w:rsidR="00F07B04" w:rsidRPr="00FA6F2D">
        <w:rPr>
          <w:lang w:val="en-US"/>
        </w:rPr>
        <w:t>ed</w:t>
      </w:r>
      <w:r w:rsidR="007B4CB7" w:rsidRPr="00FA6F2D">
        <w:rPr>
          <w:lang w:val="en-US"/>
        </w:rPr>
        <w:t xml:space="preserve"> a sentence of life imprisonment</w:t>
      </w:r>
      <w:r w:rsidR="003D4538" w:rsidRPr="00FA6F2D">
        <w:rPr>
          <w:lang w:val="en-US"/>
        </w:rPr>
        <w:t>.</w:t>
      </w:r>
      <w:r w:rsidR="007B4CB7" w:rsidRPr="00FA6F2D">
        <w:rPr>
          <w:lang w:val="en-US"/>
        </w:rPr>
        <w:t xml:space="preserve"> </w:t>
      </w:r>
      <w:r w:rsidR="003D4538" w:rsidRPr="00FA6F2D">
        <w:rPr>
          <w:lang w:val="en-US"/>
        </w:rPr>
        <w:t>N</w:t>
      </w:r>
      <w:r w:rsidR="007B4CB7" w:rsidRPr="00FA6F2D">
        <w:rPr>
          <w:lang w:val="en-US"/>
        </w:rPr>
        <w:t>o probation officer</w:t>
      </w:r>
      <w:r w:rsidR="00693D3F" w:rsidRPr="00FA6F2D">
        <w:rPr>
          <w:lang w:val="en-US"/>
        </w:rPr>
        <w:t>’</w:t>
      </w:r>
      <w:r w:rsidR="007B4CB7" w:rsidRPr="00FA6F2D">
        <w:rPr>
          <w:lang w:val="en-US"/>
        </w:rPr>
        <w:t xml:space="preserve">s </w:t>
      </w:r>
      <w:r w:rsidR="00693D3F" w:rsidRPr="00FA6F2D">
        <w:rPr>
          <w:lang w:val="en-US"/>
        </w:rPr>
        <w:t xml:space="preserve">reports were </w:t>
      </w:r>
      <w:r w:rsidR="007B4CB7" w:rsidRPr="00FA6F2D">
        <w:rPr>
          <w:lang w:val="en-US"/>
        </w:rPr>
        <w:t>sought</w:t>
      </w:r>
      <w:r w:rsidR="00693D3F" w:rsidRPr="00FA6F2D">
        <w:rPr>
          <w:lang w:val="en-US"/>
        </w:rPr>
        <w:t xml:space="preserve"> with </w:t>
      </w:r>
      <w:r w:rsidR="007B4CB7" w:rsidRPr="00FA6F2D">
        <w:rPr>
          <w:lang w:val="en-US"/>
        </w:rPr>
        <w:t xml:space="preserve">regard to the background of the </w:t>
      </w:r>
      <w:r w:rsidR="00693D3F" w:rsidRPr="00FA6F2D">
        <w:rPr>
          <w:lang w:val="en-US"/>
        </w:rPr>
        <w:t xml:space="preserve">appellants </w:t>
      </w:r>
      <w:r w:rsidR="007B4CB7" w:rsidRPr="00FA6F2D">
        <w:rPr>
          <w:lang w:val="en-US"/>
        </w:rPr>
        <w:t>and their social circumstances</w:t>
      </w:r>
      <w:r w:rsidR="00693D3F" w:rsidRPr="00FA6F2D">
        <w:rPr>
          <w:lang w:val="en-US"/>
        </w:rPr>
        <w:t>. L</w:t>
      </w:r>
      <w:r w:rsidR="007B4CB7" w:rsidRPr="00FA6F2D">
        <w:rPr>
          <w:lang w:val="en-US"/>
        </w:rPr>
        <w:t>ikewise</w:t>
      </w:r>
      <w:r w:rsidR="00693D3F" w:rsidRPr="00FA6F2D">
        <w:rPr>
          <w:lang w:val="en-US"/>
        </w:rPr>
        <w:t>,</w:t>
      </w:r>
      <w:r w:rsidR="007B4CB7" w:rsidRPr="00FA6F2D">
        <w:rPr>
          <w:lang w:val="en-US"/>
        </w:rPr>
        <w:t xml:space="preserve"> the </w:t>
      </w:r>
      <w:r w:rsidR="00693D3F" w:rsidRPr="00FA6F2D">
        <w:rPr>
          <w:lang w:val="en-US"/>
        </w:rPr>
        <w:t>S</w:t>
      </w:r>
      <w:r w:rsidR="007B4CB7" w:rsidRPr="00FA6F2D">
        <w:rPr>
          <w:lang w:val="en-US"/>
        </w:rPr>
        <w:t>tate had</w:t>
      </w:r>
      <w:r w:rsidR="003D4538" w:rsidRPr="00FA6F2D">
        <w:rPr>
          <w:lang w:val="en-US"/>
        </w:rPr>
        <w:t xml:space="preserve"> </w:t>
      </w:r>
      <w:r w:rsidR="00683AEF" w:rsidRPr="00FA6F2D">
        <w:rPr>
          <w:lang w:val="en-US"/>
        </w:rPr>
        <w:t xml:space="preserve">not </w:t>
      </w:r>
      <w:r w:rsidR="003D4538" w:rsidRPr="00FA6F2D">
        <w:rPr>
          <w:lang w:val="en-US"/>
        </w:rPr>
        <w:t xml:space="preserve">bothered to obtain </w:t>
      </w:r>
      <w:r w:rsidR="007B4CB7" w:rsidRPr="00FA6F2D">
        <w:rPr>
          <w:lang w:val="en-US"/>
        </w:rPr>
        <w:t>an impact assessment report o</w:t>
      </w:r>
      <w:r w:rsidR="003D4538" w:rsidRPr="00FA6F2D">
        <w:rPr>
          <w:lang w:val="en-US"/>
        </w:rPr>
        <w:t>n</w:t>
      </w:r>
      <w:r w:rsidR="007B4CB7" w:rsidRPr="00FA6F2D">
        <w:rPr>
          <w:lang w:val="en-US"/>
        </w:rPr>
        <w:t xml:space="preserve"> the </w:t>
      </w:r>
      <w:r w:rsidR="00791D0C" w:rsidRPr="00FA6F2D">
        <w:rPr>
          <w:lang w:val="en-US"/>
        </w:rPr>
        <w:t xml:space="preserve">impact of the </w:t>
      </w:r>
      <w:r w:rsidR="007B4CB7" w:rsidRPr="00FA6F2D">
        <w:rPr>
          <w:lang w:val="en-US"/>
        </w:rPr>
        <w:t>death of the deceased on his family</w:t>
      </w:r>
      <w:r w:rsidR="00791D0C" w:rsidRPr="00FA6F2D">
        <w:rPr>
          <w:lang w:val="en-US"/>
        </w:rPr>
        <w:t xml:space="preserve"> and likewise perfunctorily addressed the court </w:t>
      </w:r>
      <w:r w:rsidR="00791D0C" w:rsidRPr="00FA6F2D">
        <w:rPr>
          <w:i/>
          <w:lang w:val="en-US"/>
        </w:rPr>
        <w:t>ex parte</w:t>
      </w:r>
      <w:r w:rsidR="00791D0C" w:rsidRPr="00FA6F2D">
        <w:rPr>
          <w:lang w:val="en-US"/>
        </w:rPr>
        <w:t xml:space="preserve"> on sentence.</w:t>
      </w:r>
      <w:r w:rsidR="006E0F21" w:rsidRPr="00FA6F2D">
        <w:rPr>
          <w:lang w:val="en-US"/>
        </w:rPr>
        <w:t xml:space="preserve"> </w:t>
      </w:r>
      <w:r w:rsidR="003D4538" w:rsidRPr="00FA6F2D">
        <w:rPr>
          <w:lang w:val="en-US"/>
        </w:rPr>
        <w:t>Regret</w:t>
      </w:r>
      <w:r w:rsidR="009115B7" w:rsidRPr="00FA6F2D">
        <w:rPr>
          <w:lang w:val="en-US"/>
        </w:rPr>
        <w:t>t</w:t>
      </w:r>
      <w:r w:rsidR="003D4538" w:rsidRPr="00FA6F2D">
        <w:rPr>
          <w:lang w:val="en-US"/>
        </w:rPr>
        <w:t>ably</w:t>
      </w:r>
      <w:r w:rsidR="00683AEF" w:rsidRPr="00FA6F2D">
        <w:rPr>
          <w:lang w:val="en-US"/>
        </w:rPr>
        <w:t>,</w:t>
      </w:r>
      <w:r w:rsidR="003D4538" w:rsidRPr="00FA6F2D">
        <w:rPr>
          <w:lang w:val="en-US"/>
        </w:rPr>
        <w:t xml:space="preserve"> neither did the court request such reports before sent</w:t>
      </w:r>
      <w:r w:rsidR="009115B7" w:rsidRPr="00FA6F2D">
        <w:rPr>
          <w:lang w:val="en-US"/>
        </w:rPr>
        <w:t>enc</w:t>
      </w:r>
      <w:r w:rsidR="003D4538" w:rsidRPr="00FA6F2D">
        <w:rPr>
          <w:lang w:val="en-US"/>
        </w:rPr>
        <w:t>ing the appellants.</w:t>
      </w:r>
      <w:r w:rsidR="007B4CB7" w:rsidRPr="00FA6F2D">
        <w:rPr>
          <w:lang w:val="en-US"/>
        </w:rPr>
        <w:t xml:space="preserve"> I will revert to </w:t>
      </w:r>
      <w:r w:rsidR="003D4538" w:rsidRPr="00FA6F2D">
        <w:rPr>
          <w:lang w:val="en-US"/>
        </w:rPr>
        <w:t>these</w:t>
      </w:r>
      <w:r w:rsidR="00693D3F" w:rsidRPr="00FA6F2D">
        <w:rPr>
          <w:lang w:val="en-US"/>
        </w:rPr>
        <w:t xml:space="preserve"> </w:t>
      </w:r>
      <w:r w:rsidR="007B4CB7" w:rsidRPr="00FA6F2D">
        <w:rPr>
          <w:lang w:val="en-US"/>
        </w:rPr>
        <w:t>observations later in this judgment</w:t>
      </w:r>
      <w:r w:rsidR="003D4538" w:rsidRPr="00FA6F2D">
        <w:rPr>
          <w:lang w:val="en-US"/>
        </w:rPr>
        <w:t xml:space="preserve"> and </w:t>
      </w:r>
      <w:r w:rsidR="00791D0C" w:rsidRPr="00FA6F2D">
        <w:rPr>
          <w:lang w:val="en-US"/>
        </w:rPr>
        <w:t xml:space="preserve">reiterate </w:t>
      </w:r>
      <w:r w:rsidR="003D4538" w:rsidRPr="00FA6F2D">
        <w:rPr>
          <w:lang w:val="en-US"/>
        </w:rPr>
        <w:t>my</w:t>
      </w:r>
      <w:r w:rsidR="002A745F" w:rsidRPr="00FA6F2D">
        <w:rPr>
          <w:lang w:val="en-US"/>
        </w:rPr>
        <w:t xml:space="preserve"> serious </w:t>
      </w:r>
      <w:r w:rsidR="003D4538" w:rsidRPr="00FA6F2D">
        <w:rPr>
          <w:lang w:val="en-US"/>
        </w:rPr>
        <w:t>concern about it.</w:t>
      </w:r>
    </w:p>
    <w:p w14:paraId="56CC65A0" w14:textId="15FEA77B" w:rsidR="001811C0" w:rsidRPr="001811C0" w:rsidRDefault="00FA6F2D" w:rsidP="00FA6F2D">
      <w:pPr>
        <w:spacing w:line="360" w:lineRule="auto"/>
        <w:jc w:val="both"/>
      </w:pPr>
      <w:r w:rsidRPr="001811C0">
        <w:t>[21]</w:t>
      </w:r>
      <w:r w:rsidRPr="001811C0">
        <w:tab/>
      </w:r>
      <w:r w:rsidR="00693D3F" w:rsidRPr="00FA6F2D">
        <w:rPr>
          <w:lang w:val="en-US"/>
        </w:rPr>
        <w:t xml:space="preserve">The first appellant </w:t>
      </w:r>
      <w:r w:rsidR="007B4CB7" w:rsidRPr="00FA6F2D">
        <w:rPr>
          <w:lang w:val="en-US"/>
        </w:rPr>
        <w:t xml:space="preserve">was 23 years old at the time </w:t>
      </w:r>
      <w:r w:rsidR="00693D3F" w:rsidRPr="00FA6F2D">
        <w:rPr>
          <w:lang w:val="en-US"/>
        </w:rPr>
        <w:t>of sentencing</w:t>
      </w:r>
      <w:r w:rsidR="00683AEF" w:rsidRPr="00FA6F2D">
        <w:rPr>
          <w:lang w:val="en-US"/>
        </w:rPr>
        <w:t xml:space="preserve"> and </w:t>
      </w:r>
      <w:r w:rsidR="00693D3F" w:rsidRPr="00FA6F2D">
        <w:rPr>
          <w:lang w:val="en-US"/>
        </w:rPr>
        <w:t>resided in De Doorns. He had a</w:t>
      </w:r>
      <w:r w:rsidR="00C75571" w:rsidRPr="00FA6F2D">
        <w:rPr>
          <w:lang w:val="en-US"/>
        </w:rPr>
        <w:t xml:space="preserve"> five year old</w:t>
      </w:r>
      <w:r w:rsidR="00683AEF" w:rsidRPr="00FA6F2D">
        <w:rPr>
          <w:lang w:val="en-US"/>
        </w:rPr>
        <w:t xml:space="preserve"> child </w:t>
      </w:r>
      <w:r w:rsidR="007B4CB7" w:rsidRPr="00FA6F2D">
        <w:rPr>
          <w:lang w:val="en-US"/>
        </w:rPr>
        <w:t xml:space="preserve">who lived with </w:t>
      </w:r>
      <w:r w:rsidR="00C75571" w:rsidRPr="00FA6F2D">
        <w:rPr>
          <w:lang w:val="en-US"/>
        </w:rPr>
        <w:t>a</w:t>
      </w:r>
      <w:r w:rsidR="007B4CB7" w:rsidRPr="00FA6F2D">
        <w:rPr>
          <w:lang w:val="en-US"/>
        </w:rPr>
        <w:t xml:space="preserve"> grandmother</w:t>
      </w:r>
      <w:r w:rsidR="00693D3F" w:rsidRPr="00FA6F2D">
        <w:rPr>
          <w:lang w:val="en-US"/>
        </w:rPr>
        <w:t xml:space="preserve">. </w:t>
      </w:r>
      <w:r w:rsidR="00C75571" w:rsidRPr="00FA6F2D">
        <w:rPr>
          <w:lang w:val="en-US"/>
        </w:rPr>
        <w:t>He</w:t>
      </w:r>
      <w:r w:rsidR="00693D3F" w:rsidRPr="00FA6F2D">
        <w:rPr>
          <w:lang w:val="en-US"/>
        </w:rPr>
        <w:t xml:space="preserve"> </w:t>
      </w:r>
      <w:r w:rsidR="007B4CB7" w:rsidRPr="00FA6F2D">
        <w:rPr>
          <w:lang w:val="en-US"/>
        </w:rPr>
        <w:t xml:space="preserve">completed </w:t>
      </w:r>
      <w:r w:rsidR="002A745F" w:rsidRPr="00FA6F2D">
        <w:rPr>
          <w:lang w:val="en-US"/>
        </w:rPr>
        <w:t>g</w:t>
      </w:r>
      <w:r w:rsidR="00693D3F" w:rsidRPr="00FA6F2D">
        <w:rPr>
          <w:lang w:val="en-US"/>
        </w:rPr>
        <w:t xml:space="preserve">rade 7 at </w:t>
      </w:r>
      <w:r w:rsidR="007B4CB7" w:rsidRPr="00FA6F2D">
        <w:rPr>
          <w:lang w:val="en-US"/>
        </w:rPr>
        <w:t xml:space="preserve">school </w:t>
      </w:r>
      <w:r w:rsidR="00693D3F" w:rsidRPr="00FA6F2D">
        <w:rPr>
          <w:lang w:val="en-US"/>
        </w:rPr>
        <w:t xml:space="preserve">and worked as a </w:t>
      </w:r>
      <w:r w:rsidR="007B4CB7" w:rsidRPr="00FA6F2D">
        <w:rPr>
          <w:lang w:val="en-US"/>
        </w:rPr>
        <w:t xml:space="preserve">general worker </w:t>
      </w:r>
      <w:r w:rsidR="00693D3F" w:rsidRPr="00FA6F2D">
        <w:rPr>
          <w:lang w:val="en-US"/>
        </w:rPr>
        <w:t>at the Kleinberg farm and earned R</w:t>
      </w:r>
      <w:r w:rsidR="007B4CB7" w:rsidRPr="00FA6F2D">
        <w:rPr>
          <w:lang w:val="en-US"/>
        </w:rPr>
        <w:t>1950 every fortnight</w:t>
      </w:r>
      <w:r w:rsidR="00693D3F" w:rsidRPr="00FA6F2D">
        <w:rPr>
          <w:lang w:val="en-US"/>
        </w:rPr>
        <w:t xml:space="preserve">. In respect of the second appellant he </w:t>
      </w:r>
      <w:r w:rsidR="007B4CB7" w:rsidRPr="00FA6F2D">
        <w:rPr>
          <w:lang w:val="en-US"/>
        </w:rPr>
        <w:t xml:space="preserve">was 21 years old </w:t>
      </w:r>
      <w:r w:rsidR="00693D3F" w:rsidRPr="00FA6F2D">
        <w:rPr>
          <w:lang w:val="en-US"/>
        </w:rPr>
        <w:t xml:space="preserve">at </w:t>
      </w:r>
      <w:r w:rsidR="007B4CB7" w:rsidRPr="00FA6F2D">
        <w:rPr>
          <w:lang w:val="en-US"/>
        </w:rPr>
        <w:t>the time of sentence</w:t>
      </w:r>
      <w:r w:rsidR="00683AEF" w:rsidRPr="00FA6F2D">
        <w:rPr>
          <w:lang w:val="en-US"/>
        </w:rPr>
        <w:t xml:space="preserve"> and </w:t>
      </w:r>
      <w:r w:rsidR="001B2021" w:rsidRPr="00FA6F2D">
        <w:rPr>
          <w:lang w:val="en-US"/>
        </w:rPr>
        <w:t>also resided in De Doorns. He was single, had two minor children aged 5 and 12</w:t>
      </w:r>
      <w:r w:rsidR="00683AEF" w:rsidRPr="00FA6F2D">
        <w:rPr>
          <w:lang w:val="en-US"/>
        </w:rPr>
        <w:t>,</w:t>
      </w:r>
      <w:r w:rsidR="001B2021" w:rsidRPr="00FA6F2D">
        <w:rPr>
          <w:lang w:val="en-US"/>
        </w:rPr>
        <w:t xml:space="preserve"> </w:t>
      </w:r>
      <w:r w:rsidR="007B4CB7" w:rsidRPr="00FA6F2D">
        <w:rPr>
          <w:lang w:val="en-US"/>
        </w:rPr>
        <w:t xml:space="preserve">both of whom </w:t>
      </w:r>
      <w:r w:rsidR="001B2021" w:rsidRPr="00FA6F2D">
        <w:rPr>
          <w:lang w:val="en-US"/>
        </w:rPr>
        <w:t>lived with t</w:t>
      </w:r>
      <w:r w:rsidR="007B4CB7" w:rsidRPr="00FA6F2D">
        <w:rPr>
          <w:lang w:val="en-US"/>
        </w:rPr>
        <w:t>heir grandmother</w:t>
      </w:r>
      <w:r w:rsidR="001B2021" w:rsidRPr="00FA6F2D">
        <w:rPr>
          <w:lang w:val="en-US"/>
        </w:rPr>
        <w:t>. H</w:t>
      </w:r>
      <w:r w:rsidR="007B4CB7" w:rsidRPr="00FA6F2D">
        <w:rPr>
          <w:lang w:val="en-US"/>
        </w:rPr>
        <w:t xml:space="preserve">e completed </w:t>
      </w:r>
      <w:r w:rsidR="002A745F" w:rsidRPr="00FA6F2D">
        <w:rPr>
          <w:lang w:val="en-US"/>
        </w:rPr>
        <w:t>g</w:t>
      </w:r>
      <w:r w:rsidR="001B2021" w:rsidRPr="00FA6F2D">
        <w:rPr>
          <w:lang w:val="en-US"/>
        </w:rPr>
        <w:t xml:space="preserve">rade 4 at </w:t>
      </w:r>
      <w:r w:rsidR="007B4CB7" w:rsidRPr="00FA6F2D">
        <w:rPr>
          <w:lang w:val="en-US"/>
        </w:rPr>
        <w:t>school and likewise</w:t>
      </w:r>
      <w:r w:rsidR="001B2021" w:rsidRPr="00FA6F2D">
        <w:rPr>
          <w:lang w:val="en-US"/>
        </w:rPr>
        <w:t xml:space="preserve"> </w:t>
      </w:r>
      <w:r w:rsidR="007B4CB7" w:rsidRPr="00FA6F2D">
        <w:rPr>
          <w:lang w:val="en-US"/>
        </w:rPr>
        <w:t xml:space="preserve">worked as a general worker at the </w:t>
      </w:r>
      <w:r w:rsidR="001B2021" w:rsidRPr="00FA6F2D">
        <w:rPr>
          <w:lang w:val="en-US"/>
        </w:rPr>
        <w:t xml:space="preserve">Kleinberg farm </w:t>
      </w:r>
      <w:r w:rsidR="00791D0C" w:rsidRPr="00FA6F2D">
        <w:rPr>
          <w:lang w:val="en-US"/>
        </w:rPr>
        <w:t>where he</w:t>
      </w:r>
      <w:r w:rsidR="001B2021" w:rsidRPr="00FA6F2D">
        <w:rPr>
          <w:lang w:val="en-US"/>
        </w:rPr>
        <w:t xml:space="preserve"> earned R</w:t>
      </w:r>
      <w:r w:rsidR="007B4CB7" w:rsidRPr="00FA6F2D">
        <w:rPr>
          <w:lang w:val="en-US"/>
        </w:rPr>
        <w:t>9</w:t>
      </w:r>
      <w:r w:rsidR="001B2021" w:rsidRPr="00FA6F2D">
        <w:rPr>
          <w:lang w:val="en-US"/>
        </w:rPr>
        <w:t xml:space="preserve">50 </w:t>
      </w:r>
      <w:r w:rsidR="007B4CB7" w:rsidRPr="00FA6F2D">
        <w:rPr>
          <w:lang w:val="en-US"/>
        </w:rPr>
        <w:t>every</w:t>
      </w:r>
      <w:r w:rsidR="00C75571" w:rsidRPr="00FA6F2D">
        <w:rPr>
          <w:lang w:val="en-US"/>
        </w:rPr>
        <w:t xml:space="preserve"> fortnight. </w:t>
      </w:r>
      <w:r w:rsidR="001B2021" w:rsidRPr="00FA6F2D">
        <w:rPr>
          <w:lang w:val="en-US"/>
        </w:rPr>
        <w:t xml:space="preserve">The State </w:t>
      </w:r>
      <w:r w:rsidR="007B4CB7" w:rsidRPr="00FA6F2D">
        <w:rPr>
          <w:lang w:val="en-US"/>
        </w:rPr>
        <w:t>contended that there were no sub</w:t>
      </w:r>
      <w:r w:rsidR="001B2021" w:rsidRPr="00FA6F2D">
        <w:rPr>
          <w:lang w:val="en-US"/>
        </w:rPr>
        <w:t xml:space="preserve">stantial and compelling </w:t>
      </w:r>
      <w:r w:rsidR="007B4CB7" w:rsidRPr="00FA6F2D">
        <w:rPr>
          <w:lang w:val="en-US"/>
        </w:rPr>
        <w:t xml:space="preserve">circumstances </w:t>
      </w:r>
      <w:r w:rsidR="00791D0C" w:rsidRPr="00FA6F2D">
        <w:rPr>
          <w:lang w:val="en-US"/>
        </w:rPr>
        <w:t xml:space="preserve">for the court </w:t>
      </w:r>
      <w:r w:rsidR="001B2021" w:rsidRPr="00FA6F2D">
        <w:rPr>
          <w:lang w:val="en-US"/>
        </w:rPr>
        <w:t xml:space="preserve">to </w:t>
      </w:r>
      <w:r w:rsidR="007B4CB7" w:rsidRPr="00FA6F2D">
        <w:rPr>
          <w:lang w:val="en-US"/>
        </w:rPr>
        <w:t xml:space="preserve">deviate from the minimum sentence of life imprisonment in respect of the murder and </w:t>
      </w:r>
      <w:r w:rsidR="00683AEF" w:rsidRPr="00FA6F2D">
        <w:rPr>
          <w:lang w:val="en-US"/>
        </w:rPr>
        <w:t>so</w:t>
      </w:r>
      <w:r w:rsidR="0056278C" w:rsidRPr="00FA6F2D">
        <w:rPr>
          <w:lang w:val="en-US"/>
        </w:rPr>
        <w:t xml:space="preserve"> too </w:t>
      </w:r>
      <w:r w:rsidR="007B4CB7" w:rsidRPr="00FA6F2D">
        <w:rPr>
          <w:lang w:val="en-US"/>
        </w:rPr>
        <w:t xml:space="preserve">in respect of the robbery </w:t>
      </w:r>
      <w:r w:rsidR="001B2021" w:rsidRPr="00FA6F2D">
        <w:rPr>
          <w:lang w:val="en-US"/>
        </w:rPr>
        <w:t xml:space="preserve">and </w:t>
      </w:r>
      <w:r w:rsidR="007B4CB7" w:rsidRPr="00FA6F2D">
        <w:rPr>
          <w:lang w:val="en-US"/>
        </w:rPr>
        <w:t>the possession of the firearm</w:t>
      </w:r>
      <w:r w:rsidR="001B2021" w:rsidRPr="00FA6F2D">
        <w:rPr>
          <w:lang w:val="en-US"/>
        </w:rPr>
        <w:t xml:space="preserve">. The court </w:t>
      </w:r>
      <w:r w:rsidR="007B4CB7" w:rsidRPr="00FA6F2D">
        <w:rPr>
          <w:lang w:val="en-US"/>
        </w:rPr>
        <w:t xml:space="preserve">in sentencing </w:t>
      </w:r>
      <w:r w:rsidR="001B2021" w:rsidRPr="00FA6F2D">
        <w:rPr>
          <w:lang w:val="en-US"/>
        </w:rPr>
        <w:t xml:space="preserve">was </w:t>
      </w:r>
      <w:r w:rsidR="007B4CB7" w:rsidRPr="00FA6F2D">
        <w:rPr>
          <w:lang w:val="en-US"/>
        </w:rPr>
        <w:t>mindful of the of</w:t>
      </w:r>
      <w:r w:rsidR="001B2021" w:rsidRPr="00FA6F2D">
        <w:rPr>
          <w:lang w:val="en-US"/>
        </w:rPr>
        <w:t>t</w:t>
      </w:r>
      <w:r w:rsidR="007B4CB7" w:rsidRPr="00FA6F2D">
        <w:rPr>
          <w:lang w:val="en-US"/>
        </w:rPr>
        <w:t xml:space="preserve"> quoted remarks of </w:t>
      </w:r>
      <w:r w:rsidR="005E2E8B" w:rsidRPr="00FA6F2D">
        <w:rPr>
          <w:lang w:val="en-US"/>
        </w:rPr>
        <w:t xml:space="preserve">Marais JA in </w:t>
      </w:r>
      <w:r w:rsidR="001B2021" w:rsidRPr="00FA6F2D">
        <w:rPr>
          <w:i/>
          <w:lang w:val="en-US"/>
        </w:rPr>
        <w:t>S Malgas</w:t>
      </w:r>
      <w:r w:rsidR="001B2021" w:rsidRPr="00FA6F2D">
        <w:rPr>
          <w:lang w:val="en-US"/>
        </w:rPr>
        <w:t xml:space="preserve"> 2001 (2) SA 1222 (SCA) that the </w:t>
      </w:r>
      <w:r w:rsidR="007B4CB7" w:rsidRPr="00FA6F2D">
        <w:rPr>
          <w:lang w:val="en-US"/>
        </w:rPr>
        <w:t xml:space="preserve">minimum sentence should not be departed </w:t>
      </w:r>
      <w:r w:rsidR="001B2021" w:rsidRPr="00FA6F2D">
        <w:rPr>
          <w:lang w:val="en-US"/>
        </w:rPr>
        <w:t>from for flim</w:t>
      </w:r>
      <w:r w:rsidR="007B4CB7" w:rsidRPr="00FA6F2D">
        <w:rPr>
          <w:lang w:val="en-US"/>
        </w:rPr>
        <w:t>sy reasons</w:t>
      </w:r>
      <w:r w:rsidR="001B2021" w:rsidRPr="00FA6F2D">
        <w:rPr>
          <w:lang w:val="en-US"/>
        </w:rPr>
        <w:t xml:space="preserve">. The court was also </w:t>
      </w:r>
      <w:r w:rsidR="007B4CB7" w:rsidRPr="00FA6F2D">
        <w:rPr>
          <w:lang w:val="en-US"/>
        </w:rPr>
        <w:t xml:space="preserve">particularly </w:t>
      </w:r>
      <w:r w:rsidR="001B2021" w:rsidRPr="00FA6F2D">
        <w:rPr>
          <w:lang w:val="en-US"/>
        </w:rPr>
        <w:t xml:space="preserve">mindful </w:t>
      </w:r>
      <w:r w:rsidR="007B4CB7" w:rsidRPr="00FA6F2D">
        <w:rPr>
          <w:lang w:val="en-US"/>
        </w:rPr>
        <w:t>of the interest</w:t>
      </w:r>
      <w:r w:rsidR="002A745F" w:rsidRPr="00FA6F2D">
        <w:rPr>
          <w:lang w:val="en-US"/>
        </w:rPr>
        <w:t>s</w:t>
      </w:r>
      <w:r w:rsidR="007B4CB7" w:rsidRPr="00FA6F2D">
        <w:rPr>
          <w:lang w:val="en-US"/>
        </w:rPr>
        <w:t xml:space="preserve"> of society and the </w:t>
      </w:r>
      <w:r w:rsidR="001B2021" w:rsidRPr="00FA6F2D">
        <w:rPr>
          <w:lang w:val="en-US"/>
        </w:rPr>
        <w:t>triad</w:t>
      </w:r>
      <w:r w:rsidR="00C75571" w:rsidRPr="00FA6F2D">
        <w:rPr>
          <w:lang w:val="en-US"/>
        </w:rPr>
        <w:t xml:space="preserve"> of considerations when sentencing</w:t>
      </w:r>
      <w:r w:rsidR="001B2021" w:rsidRPr="00FA6F2D">
        <w:rPr>
          <w:lang w:val="en-US"/>
        </w:rPr>
        <w:t xml:space="preserve"> as set out in the matter of </w:t>
      </w:r>
      <w:r w:rsidR="001B2021" w:rsidRPr="00FA6F2D">
        <w:rPr>
          <w:i/>
          <w:lang w:val="en-US"/>
        </w:rPr>
        <w:t>S v Zinn</w:t>
      </w:r>
      <w:r w:rsidR="001B2021" w:rsidRPr="00FA6F2D">
        <w:rPr>
          <w:lang w:val="en-US"/>
        </w:rPr>
        <w:t xml:space="preserve"> 1969 (2) SA 537 (A)</w:t>
      </w:r>
      <w:r w:rsidR="00C75571" w:rsidRPr="00FA6F2D">
        <w:rPr>
          <w:lang w:val="en-US"/>
        </w:rPr>
        <w:t>,</w:t>
      </w:r>
      <w:r w:rsidR="001B2021" w:rsidRPr="00FA6F2D">
        <w:rPr>
          <w:lang w:val="en-US"/>
        </w:rPr>
        <w:t xml:space="preserve"> </w:t>
      </w:r>
      <w:r w:rsidR="007B4CB7" w:rsidRPr="00FA6F2D">
        <w:rPr>
          <w:lang w:val="en-US"/>
        </w:rPr>
        <w:t xml:space="preserve">that </w:t>
      </w:r>
      <w:r w:rsidR="001B2021" w:rsidRPr="00FA6F2D">
        <w:rPr>
          <w:lang w:val="en-US"/>
        </w:rPr>
        <w:t xml:space="preserve">of </w:t>
      </w:r>
      <w:r w:rsidR="007B4CB7" w:rsidRPr="00FA6F2D">
        <w:rPr>
          <w:lang w:val="en-US"/>
        </w:rPr>
        <w:t>the personal c</w:t>
      </w:r>
      <w:r w:rsidR="001B2021" w:rsidRPr="00FA6F2D">
        <w:rPr>
          <w:lang w:val="en-US"/>
        </w:rPr>
        <w:t xml:space="preserve">ircumstances of the accused, the nature and </w:t>
      </w:r>
      <w:r w:rsidR="007B4CB7" w:rsidRPr="00FA6F2D">
        <w:rPr>
          <w:lang w:val="en-US"/>
        </w:rPr>
        <w:t>seriousness of the offen</w:t>
      </w:r>
      <w:r w:rsidR="001B2021" w:rsidRPr="00FA6F2D">
        <w:rPr>
          <w:lang w:val="en-US"/>
        </w:rPr>
        <w:t>ce</w:t>
      </w:r>
      <w:r w:rsidR="007B4CB7" w:rsidRPr="00FA6F2D">
        <w:rPr>
          <w:lang w:val="en-US"/>
        </w:rPr>
        <w:t xml:space="preserve"> and the interest of the community</w:t>
      </w:r>
      <w:r w:rsidR="001B2021" w:rsidRPr="00FA6F2D">
        <w:rPr>
          <w:lang w:val="en-US"/>
        </w:rPr>
        <w:t>. The court</w:t>
      </w:r>
      <w:r w:rsidR="00791D0C" w:rsidRPr="00FA6F2D">
        <w:rPr>
          <w:lang w:val="en-US"/>
        </w:rPr>
        <w:t xml:space="preserve"> a quo</w:t>
      </w:r>
      <w:r w:rsidR="001B2021" w:rsidRPr="00FA6F2D">
        <w:rPr>
          <w:lang w:val="en-US"/>
        </w:rPr>
        <w:t xml:space="preserve"> </w:t>
      </w:r>
      <w:r w:rsidR="0056278C" w:rsidRPr="00FA6F2D">
        <w:rPr>
          <w:lang w:val="en-US"/>
        </w:rPr>
        <w:t xml:space="preserve">noted </w:t>
      </w:r>
      <w:r w:rsidR="007B4CB7" w:rsidRPr="00FA6F2D">
        <w:rPr>
          <w:lang w:val="en-US"/>
        </w:rPr>
        <w:t xml:space="preserve">that the robbery </w:t>
      </w:r>
      <w:r w:rsidR="00C75571" w:rsidRPr="00FA6F2D">
        <w:rPr>
          <w:lang w:val="en-US"/>
        </w:rPr>
        <w:t xml:space="preserve">was committed against a family member of the first appellant and </w:t>
      </w:r>
      <w:r w:rsidR="007B4CB7" w:rsidRPr="00FA6F2D">
        <w:rPr>
          <w:lang w:val="en-US"/>
        </w:rPr>
        <w:t xml:space="preserve">that he had literally abused </w:t>
      </w:r>
      <w:r w:rsidR="001811C0" w:rsidRPr="00FA6F2D">
        <w:rPr>
          <w:lang w:val="en-US"/>
        </w:rPr>
        <w:t>his relation</w:t>
      </w:r>
      <w:r w:rsidR="007B4CB7" w:rsidRPr="00FA6F2D">
        <w:rPr>
          <w:lang w:val="en-US"/>
        </w:rPr>
        <w:t xml:space="preserve">ship with </w:t>
      </w:r>
      <w:r w:rsidR="001811C0" w:rsidRPr="00FA6F2D">
        <w:rPr>
          <w:lang w:val="en-US"/>
        </w:rPr>
        <w:t xml:space="preserve">the </w:t>
      </w:r>
      <w:r w:rsidR="007B4CB7" w:rsidRPr="00FA6F2D">
        <w:rPr>
          <w:lang w:val="en-US"/>
        </w:rPr>
        <w:t>complainant</w:t>
      </w:r>
      <w:r w:rsidR="00C75571" w:rsidRPr="00FA6F2D">
        <w:rPr>
          <w:lang w:val="en-US"/>
        </w:rPr>
        <w:t xml:space="preserve"> despite having generously been</w:t>
      </w:r>
      <w:r w:rsidR="007B4CB7" w:rsidRPr="00FA6F2D">
        <w:rPr>
          <w:lang w:val="en-US"/>
        </w:rPr>
        <w:t xml:space="preserve"> given </w:t>
      </w:r>
      <w:r w:rsidR="001811C0" w:rsidRPr="00FA6F2D">
        <w:rPr>
          <w:lang w:val="en-US"/>
        </w:rPr>
        <w:t xml:space="preserve">alcohol and </w:t>
      </w:r>
      <w:r w:rsidR="007B4CB7" w:rsidRPr="00FA6F2D">
        <w:rPr>
          <w:lang w:val="en-US"/>
        </w:rPr>
        <w:t>food</w:t>
      </w:r>
      <w:r w:rsidR="00791D0C" w:rsidRPr="00FA6F2D">
        <w:rPr>
          <w:lang w:val="en-US"/>
        </w:rPr>
        <w:t xml:space="preserve"> without any charge</w:t>
      </w:r>
      <w:r w:rsidR="0056278C" w:rsidRPr="00FA6F2D">
        <w:rPr>
          <w:lang w:val="en-US"/>
        </w:rPr>
        <w:t>.</w:t>
      </w:r>
      <w:r w:rsidR="001811C0" w:rsidRPr="00FA6F2D">
        <w:rPr>
          <w:lang w:val="en-US"/>
        </w:rPr>
        <w:t xml:space="preserve"> </w:t>
      </w:r>
      <w:r w:rsidR="007B4CB7" w:rsidRPr="00FA6F2D">
        <w:rPr>
          <w:lang w:val="en-US"/>
        </w:rPr>
        <w:t xml:space="preserve"> </w:t>
      </w:r>
      <w:r w:rsidR="001811C0" w:rsidRPr="00FA6F2D">
        <w:rPr>
          <w:lang w:val="en-US"/>
        </w:rPr>
        <w:t xml:space="preserve">It was </w:t>
      </w:r>
      <w:r w:rsidR="007B4CB7" w:rsidRPr="00FA6F2D">
        <w:rPr>
          <w:lang w:val="en-US"/>
        </w:rPr>
        <w:t>apparent that the attack on the complainant was no more than senseless</w:t>
      </w:r>
      <w:r w:rsidR="00791D0C" w:rsidRPr="00FA6F2D">
        <w:rPr>
          <w:lang w:val="en-US"/>
        </w:rPr>
        <w:t xml:space="preserve"> and gratuitous</w:t>
      </w:r>
      <w:r w:rsidR="007B4CB7" w:rsidRPr="00FA6F2D">
        <w:rPr>
          <w:lang w:val="en-US"/>
        </w:rPr>
        <w:t xml:space="preserve"> and </w:t>
      </w:r>
      <w:r w:rsidR="00791D0C" w:rsidRPr="00FA6F2D">
        <w:rPr>
          <w:lang w:val="en-US"/>
        </w:rPr>
        <w:t>was</w:t>
      </w:r>
      <w:r w:rsidR="001811C0" w:rsidRPr="00FA6F2D">
        <w:rPr>
          <w:lang w:val="en-US"/>
        </w:rPr>
        <w:t xml:space="preserve"> in my view </w:t>
      </w:r>
      <w:r w:rsidR="007B4CB7" w:rsidRPr="00FA6F2D">
        <w:rPr>
          <w:lang w:val="en-US"/>
        </w:rPr>
        <w:t xml:space="preserve">fueled by </w:t>
      </w:r>
      <w:r w:rsidR="007B4CB7" w:rsidRPr="00FA6F2D">
        <w:rPr>
          <w:lang w:val="en-US"/>
        </w:rPr>
        <w:lastRenderedPageBreak/>
        <w:t>the consumption of alcohol</w:t>
      </w:r>
      <w:r w:rsidR="001811C0" w:rsidRPr="00FA6F2D">
        <w:rPr>
          <w:lang w:val="en-US"/>
        </w:rPr>
        <w:t xml:space="preserve">. However, I must </w:t>
      </w:r>
      <w:r w:rsidR="00C325B1" w:rsidRPr="00FA6F2D">
        <w:rPr>
          <w:lang w:val="en-US"/>
        </w:rPr>
        <w:t>record</w:t>
      </w:r>
      <w:r w:rsidR="001811C0" w:rsidRPr="00FA6F2D">
        <w:rPr>
          <w:lang w:val="en-US"/>
        </w:rPr>
        <w:t xml:space="preserve"> that the </w:t>
      </w:r>
      <w:r w:rsidR="007B4CB7" w:rsidRPr="00FA6F2D">
        <w:rPr>
          <w:lang w:val="en-US"/>
        </w:rPr>
        <w:t>use of alcohol</w:t>
      </w:r>
      <w:r w:rsidR="00C325B1" w:rsidRPr="00FA6F2D">
        <w:rPr>
          <w:lang w:val="en-US"/>
        </w:rPr>
        <w:t xml:space="preserve"> by the appellants </w:t>
      </w:r>
      <w:r w:rsidR="00683AEF" w:rsidRPr="00FA6F2D">
        <w:rPr>
          <w:lang w:val="en-US"/>
        </w:rPr>
        <w:t>was</w:t>
      </w:r>
      <w:r w:rsidR="007B4CB7" w:rsidRPr="00FA6F2D">
        <w:rPr>
          <w:lang w:val="en-US"/>
        </w:rPr>
        <w:t xml:space="preserve"> not </w:t>
      </w:r>
      <w:r w:rsidR="001811C0" w:rsidRPr="00FA6F2D">
        <w:rPr>
          <w:i/>
          <w:lang w:val="en-US"/>
        </w:rPr>
        <w:t>per se</w:t>
      </w:r>
      <w:r w:rsidR="001811C0" w:rsidRPr="00FA6F2D">
        <w:rPr>
          <w:lang w:val="en-US"/>
        </w:rPr>
        <w:t xml:space="preserve"> a </w:t>
      </w:r>
      <w:r w:rsidR="007B4CB7" w:rsidRPr="00FA6F2D">
        <w:rPr>
          <w:lang w:val="en-US"/>
        </w:rPr>
        <w:t>mitigating factor</w:t>
      </w:r>
      <w:r w:rsidR="00683AEF" w:rsidRPr="00FA6F2D">
        <w:rPr>
          <w:lang w:val="en-US"/>
        </w:rPr>
        <w:t>.</w:t>
      </w:r>
      <w:r w:rsidR="001811C0" w:rsidRPr="00FA6F2D">
        <w:rPr>
          <w:lang w:val="en-US"/>
        </w:rPr>
        <w:t xml:space="preserve"> </w:t>
      </w:r>
    </w:p>
    <w:p w14:paraId="7A638D21" w14:textId="033D3C8C" w:rsidR="001811C0" w:rsidRPr="001811C0" w:rsidRDefault="00FA6F2D" w:rsidP="00FA6F2D">
      <w:pPr>
        <w:spacing w:line="360" w:lineRule="auto"/>
        <w:jc w:val="both"/>
      </w:pPr>
      <w:r w:rsidRPr="001811C0">
        <w:t>[22]</w:t>
      </w:r>
      <w:r w:rsidRPr="001811C0">
        <w:tab/>
      </w:r>
      <w:r w:rsidR="001811C0" w:rsidRPr="00FA6F2D">
        <w:rPr>
          <w:lang w:val="en-US"/>
        </w:rPr>
        <w:t xml:space="preserve">The court proceeded to impose </w:t>
      </w:r>
      <w:r w:rsidR="007B4CB7" w:rsidRPr="00FA6F2D">
        <w:rPr>
          <w:lang w:val="en-US"/>
        </w:rPr>
        <w:t xml:space="preserve">the 15 year minimum sentence in respect of </w:t>
      </w:r>
      <w:r w:rsidR="001811C0" w:rsidRPr="00FA6F2D">
        <w:rPr>
          <w:lang w:val="en-US"/>
        </w:rPr>
        <w:t xml:space="preserve">the </w:t>
      </w:r>
      <w:r w:rsidR="007B4CB7" w:rsidRPr="00FA6F2D">
        <w:rPr>
          <w:lang w:val="en-US"/>
        </w:rPr>
        <w:t xml:space="preserve">robbery </w:t>
      </w:r>
      <w:r w:rsidR="001811C0" w:rsidRPr="00FA6F2D">
        <w:rPr>
          <w:lang w:val="en-US"/>
        </w:rPr>
        <w:t xml:space="preserve">with aggravating </w:t>
      </w:r>
      <w:r w:rsidR="007B4CB7" w:rsidRPr="00FA6F2D">
        <w:rPr>
          <w:lang w:val="en-US"/>
        </w:rPr>
        <w:t>circumstances</w:t>
      </w:r>
      <w:r w:rsidR="001811C0" w:rsidRPr="00FA6F2D">
        <w:rPr>
          <w:lang w:val="en-US"/>
        </w:rPr>
        <w:t>. However, it appears</w:t>
      </w:r>
      <w:r w:rsidR="00C325B1" w:rsidRPr="00FA6F2D">
        <w:rPr>
          <w:lang w:val="en-US"/>
        </w:rPr>
        <w:t xml:space="preserve"> from the record </w:t>
      </w:r>
      <w:r w:rsidR="001811C0" w:rsidRPr="00FA6F2D">
        <w:rPr>
          <w:lang w:val="en-US"/>
        </w:rPr>
        <w:t xml:space="preserve">that </w:t>
      </w:r>
      <w:r w:rsidR="007B4CB7" w:rsidRPr="00FA6F2D">
        <w:rPr>
          <w:lang w:val="en-US"/>
        </w:rPr>
        <w:t>no motivation was provided by the court with regard to the imposition of the life sentence</w:t>
      </w:r>
      <w:r w:rsidR="00C325B1" w:rsidRPr="00FA6F2D">
        <w:rPr>
          <w:lang w:val="en-US"/>
        </w:rPr>
        <w:t>s</w:t>
      </w:r>
      <w:r w:rsidR="007B4CB7" w:rsidRPr="00FA6F2D">
        <w:rPr>
          <w:lang w:val="en-US"/>
        </w:rPr>
        <w:t xml:space="preserve"> for which the court </w:t>
      </w:r>
      <w:r w:rsidR="001811C0" w:rsidRPr="00FA6F2D">
        <w:rPr>
          <w:lang w:val="en-US"/>
        </w:rPr>
        <w:t xml:space="preserve">merely </w:t>
      </w:r>
      <w:r w:rsidR="007B4CB7" w:rsidRPr="00FA6F2D">
        <w:rPr>
          <w:lang w:val="en-US"/>
        </w:rPr>
        <w:t xml:space="preserve">found that there were no substantial and compelling circumstances to have deviated </w:t>
      </w:r>
      <w:r w:rsidR="001811C0" w:rsidRPr="00FA6F2D">
        <w:rPr>
          <w:lang w:val="en-US"/>
        </w:rPr>
        <w:t xml:space="preserve">therefrom. </w:t>
      </w:r>
    </w:p>
    <w:p w14:paraId="0A6B5A75" w14:textId="42869097" w:rsidR="00741080" w:rsidRPr="00AC4B31" w:rsidRDefault="00FA6F2D" w:rsidP="00FA6F2D">
      <w:pPr>
        <w:spacing w:line="360" w:lineRule="auto"/>
        <w:jc w:val="both"/>
      </w:pPr>
      <w:r w:rsidRPr="00AC4B31">
        <w:t>[23]</w:t>
      </w:r>
      <w:r w:rsidRPr="00AC4B31">
        <w:tab/>
      </w:r>
      <w:r w:rsidR="001811C0" w:rsidRPr="00FA6F2D">
        <w:rPr>
          <w:lang w:val="en-US"/>
        </w:rPr>
        <w:t>A</w:t>
      </w:r>
      <w:r w:rsidR="007B4CB7" w:rsidRPr="00FA6F2D">
        <w:rPr>
          <w:lang w:val="en-US"/>
        </w:rPr>
        <w:t xml:space="preserve">s already indicated </w:t>
      </w:r>
      <w:r w:rsidR="00C325B1" w:rsidRPr="00FA6F2D">
        <w:rPr>
          <w:lang w:val="en-US"/>
        </w:rPr>
        <w:t>I am particularly</w:t>
      </w:r>
      <w:r w:rsidR="007B4CB7" w:rsidRPr="00FA6F2D">
        <w:rPr>
          <w:lang w:val="en-US"/>
        </w:rPr>
        <w:t xml:space="preserve"> concerned that giv</w:t>
      </w:r>
      <w:r w:rsidR="001811C0" w:rsidRPr="00FA6F2D">
        <w:rPr>
          <w:lang w:val="en-US"/>
        </w:rPr>
        <w:t>en the seriousness of the offence</w:t>
      </w:r>
      <w:r w:rsidR="00C325B1" w:rsidRPr="00FA6F2D">
        <w:rPr>
          <w:lang w:val="en-US"/>
        </w:rPr>
        <w:t>s and the fact that the appellants faced life</w:t>
      </w:r>
      <w:r w:rsidR="007B4CB7" w:rsidRPr="00FA6F2D">
        <w:rPr>
          <w:lang w:val="en-US"/>
        </w:rPr>
        <w:t xml:space="preserve"> sentence</w:t>
      </w:r>
      <w:r w:rsidR="00C325B1" w:rsidRPr="00FA6F2D">
        <w:rPr>
          <w:lang w:val="en-US"/>
        </w:rPr>
        <w:t>s</w:t>
      </w:r>
      <w:r w:rsidR="007B4CB7" w:rsidRPr="00FA6F2D">
        <w:rPr>
          <w:lang w:val="en-US"/>
        </w:rPr>
        <w:t xml:space="preserve"> no reports </w:t>
      </w:r>
      <w:r w:rsidR="001811C0" w:rsidRPr="00FA6F2D">
        <w:rPr>
          <w:lang w:val="en-US"/>
        </w:rPr>
        <w:t xml:space="preserve">were </w:t>
      </w:r>
      <w:r w:rsidR="007B4CB7" w:rsidRPr="00FA6F2D">
        <w:rPr>
          <w:lang w:val="en-US"/>
        </w:rPr>
        <w:t>obtained by either the defen</w:t>
      </w:r>
      <w:r w:rsidR="001811C0" w:rsidRPr="00FA6F2D">
        <w:rPr>
          <w:lang w:val="en-US"/>
        </w:rPr>
        <w:t>ce</w:t>
      </w:r>
      <w:r w:rsidR="00C325B1" w:rsidRPr="00FA6F2D">
        <w:rPr>
          <w:lang w:val="en-US"/>
        </w:rPr>
        <w:t xml:space="preserve"> in respect of the appellants</w:t>
      </w:r>
      <w:r w:rsidR="007B4CB7" w:rsidRPr="00FA6F2D">
        <w:rPr>
          <w:lang w:val="en-US"/>
        </w:rPr>
        <w:t xml:space="preserve"> nor </w:t>
      </w:r>
      <w:r w:rsidR="001811C0" w:rsidRPr="00FA6F2D">
        <w:rPr>
          <w:lang w:val="en-US"/>
        </w:rPr>
        <w:t>by the S</w:t>
      </w:r>
      <w:r w:rsidR="007B4CB7" w:rsidRPr="00FA6F2D">
        <w:rPr>
          <w:lang w:val="en-US"/>
        </w:rPr>
        <w:t xml:space="preserve">tate in </w:t>
      </w:r>
      <w:r w:rsidR="001811C0" w:rsidRPr="00FA6F2D">
        <w:rPr>
          <w:lang w:val="en-US"/>
        </w:rPr>
        <w:t xml:space="preserve">respect of the </w:t>
      </w:r>
      <w:r w:rsidR="00EA026D" w:rsidRPr="00FA6F2D">
        <w:rPr>
          <w:lang w:val="en-US"/>
        </w:rPr>
        <w:t>complainant and the family of the deceased.</w:t>
      </w:r>
      <w:r w:rsidR="002E72C4" w:rsidRPr="00FA6F2D">
        <w:rPr>
          <w:lang w:val="en-US"/>
        </w:rPr>
        <w:t xml:space="preserve"> </w:t>
      </w:r>
      <w:r w:rsidR="0036534B" w:rsidRPr="00FA6F2D">
        <w:rPr>
          <w:lang w:val="en-US"/>
        </w:rPr>
        <w:t>At most</w:t>
      </w:r>
      <w:r w:rsidR="0056278C" w:rsidRPr="00FA6F2D">
        <w:rPr>
          <w:lang w:val="en-US"/>
        </w:rPr>
        <w:t xml:space="preserve">, all we know of the </w:t>
      </w:r>
      <w:r w:rsidR="0036534B" w:rsidRPr="00FA6F2D">
        <w:rPr>
          <w:lang w:val="en-US"/>
        </w:rPr>
        <w:t>deceased</w:t>
      </w:r>
      <w:r w:rsidR="0056278C" w:rsidRPr="00FA6F2D">
        <w:rPr>
          <w:lang w:val="en-US"/>
        </w:rPr>
        <w:t xml:space="preserve"> is his name,</w:t>
      </w:r>
      <w:r w:rsidR="002E72C4" w:rsidRPr="00FA6F2D">
        <w:rPr>
          <w:lang w:val="en-US"/>
        </w:rPr>
        <w:t xml:space="preserve"> </w:t>
      </w:r>
      <w:r w:rsidR="0056278C" w:rsidRPr="00FA6F2D">
        <w:rPr>
          <w:lang w:val="en-US"/>
        </w:rPr>
        <w:t>date of birth</w:t>
      </w:r>
      <w:r w:rsidR="004544DE" w:rsidRPr="00FA6F2D">
        <w:rPr>
          <w:lang w:val="en-US"/>
        </w:rPr>
        <w:t xml:space="preserve">, </w:t>
      </w:r>
      <w:r w:rsidR="0056278C" w:rsidRPr="00FA6F2D">
        <w:rPr>
          <w:lang w:val="en-US"/>
        </w:rPr>
        <w:t xml:space="preserve">that </w:t>
      </w:r>
      <w:r w:rsidR="001E279C" w:rsidRPr="00FA6F2D">
        <w:rPr>
          <w:lang w:val="en-US"/>
        </w:rPr>
        <w:t xml:space="preserve">his </w:t>
      </w:r>
      <w:r w:rsidR="0056278C" w:rsidRPr="00FA6F2D">
        <w:rPr>
          <w:lang w:val="en-US"/>
        </w:rPr>
        <w:t>sister is Ms Bongiswa Majalamba</w:t>
      </w:r>
      <w:r w:rsidR="0036534B" w:rsidRPr="00FA6F2D">
        <w:rPr>
          <w:lang w:val="en-US"/>
        </w:rPr>
        <w:t xml:space="preserve"> and that he was a friend of the complainant.</w:t>
      </w:r>
      <w:r w:rsidR="002C532B" w:rsidRPr="00FA6F2D">
        <w:rPr>
          <w:lang w:val="en-US"/>
        </w:rPr>
        <w:t xml:space="preserve"> </w:t>
      </w:r>
      <w:r w:rsidR="0036534B" w:rsidRPr="00FA6F2D">
        <w:rPr>
          <w:lang w:val="en-US"/>
        </w:rPr>
        <w:t>Nothing more and least of all</w:t>
      </w:r>
      <w:r w:rsidR="002A745F" w:rsidRPr="00FA6F2D">
        <w:rPr>
          <w:lang w:val="en-US"/>
        </w:rPr>
        <w:t>,</w:t>
      </w:r>
      <w:r w:rsidR="0036534B" w:rsidRPr="00FA6F2D">
        <w:rPr>
          <w:lang w:val="en-US"/>
        </w:rPr>
        <w:t xml:space="preserve"> the impact of his death on his family. Nobody bothered.</w:t>
      </w:r>
      <w:r w:rsidR="001811C0" w:rsidRPr="00FA6F2D">
        <w:rPr>
          <w:lang w:val="en-US"/>
        </w:rPr>
        <w:t xml:space="preserve"> </w:t>
      </w:r>
      <w:r w:rsidR="00D60DC6" w:rsidRPr="00FA6F2D">
        <w:rPr>
          <w:lang w:val="en-US"/>
        </w:rPr>
        <w:t>His life was regrettably reduced by the appellants to</w:t>
      </w:r>
      <w:r w:rsidR="004E2729" w:rsidRPr="00FA6F2D">
        <w:rPr>
          <w:lang w:val="en-US"/>
        </w:rPr>
        <w:t xml:space="preserve"> a</w:t>
      </w:r>
      <w:r w:rsidR="00D60DC6" w:rsidRPr="00FA6F2D">
        <w:rPr>
          <w:lang w:val="en-US"/>
        </w:rPr>
        <w:t xml:space="preserve"> disbelieving dare. </w:t>
      </w:r>
    </w:p>
    <w:p w14:paraId="582A324F" w14:textId="0D4A47E1" w:rsidR="001811C0" w:rsidRPr="001811C0" w:rsidRDefault="00FA6F2D" w:rsidP="00FA6F2D">
      <w:pPr>
        <w:spacing w:line="360" w:lineRule="auto"/>
        <w:jc w:val="both"/>
      </w:pPr>
      <w:r w:rsidRPr="001811C0">
        <w:t>[24]</w:t>
      </w:r>
      <w:r w:rsidRPr="001811C0">
        <w:tab/>
      </w:r>
      <w:r w:rsidR="001811C0" w:rsidRPr="00FA6F2D">
        <w:rPr>
          <w:lang w:val="en-US"/>
        </w:rPr>
        <w:t xml:space="preserve">This court has </w:t>
      </w:r>
      <w:r w:rsidR="007B4CB7" w:rsidRPr="00FA6F2D">
        <w:rPr>
          <w:lang w:val="en-US"/>
        </w:rPr>
        <w:t>repeate</w:t>
      </w:r>
      <w:r w:rsidR="00C325B1" w:rsidRPr="00FA6F2D">
        <w:rPr>
          <w:lang w:val="en-US"/>
        </w:rPr>
        <w:t>dly pointed out in appeals</w:t>
      </w:r>
      <w:r w:rsidR="00683AEF" w:rsidRPr="00FA6F2D">
        <w:rPr>
          <w:lang w:val="en-US"/>
        </w:rPr>
        <w:t>,</w:t>
      </w:r>
      <w:r w:rsidR="00C325B1" w:rsidRPr="00FA6F2D">
        <w:rPr>
          <w:lang w:val="en-US"/>
        </w:rPr>
        <w:t xml:space="preserve"> both the importance and necessity of </w:t>
      </w:r>
      <w:r w:rsidR="0036534B" w:rsidRPr="00FA6F2D">
        <w:rPr>
          <w:lang w:val="en-US"/>
        </w:rPr>
        <w:t xml:space="preserve">social impact </w:t>
      </w:r>
      <w:r w:rsidR="00C325B1" w:rsidRPr="00FA6F2D">
        <w:rPr>
          <w:lang w:val="en-US"/>
        </w:rPr>
        <w:t>reports</w:t>
      </w:r>
      <w:r w:rsidR="0036534B" w:rsidRPr="00FA6F2D">
        <w:rPr>
          <w:lang w:val="en-US"/>
        </w:rPr>
        <w:t xml:space="preserve"> and that of probation officer reports in respect of accused persons </w:t>
      </w:r>
      <w:r w:rsidR="00C325B1" w:rsidRPr="00FA6F2D">
        <w:rPr>
          <w:lang w:val="en-US"/>
        </w:rPr>
        <w:t>been timeously obtained and placed before trial courts.</w:t>
      </w:r>
      <w:r w:rsidR="001811C0" w:rsidRPr="00FA6F2D">
        <w:rPr>
          <w:lang w:val="en-US"/>
        </w:rPr>
        <w:t xml:space="preserve"> L</w:t>
      </w:r>
      <w:r w:rsidR="007B4CB7" w:rsidRPr="00FA6F2D">
        <w:rPr>
          <w:lang w:val="en-US"/>
        </w:rPr>
        <w:t xml:space="preserve">ittle or no effort was </w:t>
      </w:r>
      <w:r w:rsidR="00C325B1" w:rsidRPr="00FA6F2D">
        <w:rPr>
          <w:lang w:val="en-US"/>
        </w:rPr>
        <w:t xml:space="preserve">made </w:t>
      </w:r>
      <w:r w:rsidR="007B4CB7" w:rsidRPr="00FA6F2D">
        <w:rPr>
          <w:lang w:val="en-US"/>
        </w:rPr>
        <w:t xml:space="preserve">in this </w:t>
      </w:r>
      <w:r w:rsidR="001811C0" w:rsidRPr="00FA6F2D">
        <w:rPr>
          <w:lang w:val="en-US"/>
        </w:rPr>
        <w:t>matter</w:t>
      </w:r>
      <w:r w:rsidR="00C325B1" w:rsidRPr="00FA6F2D">
        <w:rPr>
          <w:lang w:val="en-US"/>
        </w:rPr>
        <w:t xml:space="preserve"> to do so</w:t>
      </w:r>
      <w:r w:rsidR="001811C0" w:rsidRPr="00FA6F2D">
        <w:rPr>
          <w:lang w:val="en-US"/>
        </w:rPr>
        <w:t xml:space="preserve"> and i</w:t>
      </w:r>
      <w:r w:rsidR="007B4CB7" w:rsidRPr="00FA6F2D">
        <w:rPr>
          <w:lang w:val="en-US"/>
        </w:rPr>
        <w:t>t</w:t>
      </w:r>
      <w:r w:rsidR="00C325B1" w:rsidRPr="00FA6F2D">
        <w:rPr>
          <w:lang w:val="en-US"/>
        </w:rPr>
        <w:t xml:space="preserve"> is</w:t>
      </w:r>
      <w:r w:rsidR="007B4CB7" w:rsidRPr="00FA6F2D">
        <w:rPr>
          <w:lang w:val="en-US"/>
        </w:rPr>
        <w:t xml:space="preserve"> inexcusable</w:t>
      </w:r>
      <w:r w:rsidR="001811C0" w:rsidRPr="00FA6F2D">
        <w:rPr>
          <w:lang w:val="en-US"/>
        </w:rPr>
        <w:t>.</w:t>
      </w:r>
      <w:r w:rsidR="005964C6" w:rsidRPr="00FA6F2D">
        <w:rPr>
          <w:lang w:val="en-US"/>
        </w:rPr>
        <w:t xml:space="preserve"> </w:t>
      </w:r>
      <w:r w:rsidR="002C532B" w:rsidRPr="00FA6F2D">
        <w:rPr>
          <w:lang w:val="en-US"/>
        </w:rPr>
        <w:t xml:space="preserve">In my view, </w:t>
      </w:r>
      <w:r w:rsidR="00EA026D" w:rsidRPr="00FA6F2D">
        <w:rPr>
          <w:lang w:val="en-US"/>
        </w:rPr>
        <w:t>it amounts to laziness and a lack of proper regard for not only the victims of</w:t>
      </w:r>
      <w:r w:rsidR="0036534B" w:rsidRPr="00FA6F2D">
        <w:rPr>
          <w:lang w:val="en-US"/>
        </w:rPr>
        <w:t xml:space="preserve"> the</w:t>
      </w:r>
      <w:r w:rsidR="00EA026D" w:rsidRPr="00FA6F2D">
        <w:rPr>
          <w:lang w:val="en-US"/>
        </w:rPr>
        <w:t xml:space="preserve"> crime</w:t>
      </w:r>
      <w:r w:rsidR="0036534B" w:rsidRPr="00FA6F2D">
        <w:rPr>
          <w:lang w:val="en-US"/>
        </w:rPr>
        <w:t>s</w:t>
      </w:r>
      <w:r w:rsidR="00EA026D" w:rsidRPr="00FA6F2D">
        <w:rPr>
          <w:lang w:val="en-US"/>
        </w:rPr>
        <w:t xml:space="preserve"> but </w:t>
      </w:r>
      <w:r w:rsidR="0036534B" w:rsidRPr="00FA6F2D">
        <w:rPr>
          <w:lang w:val="en-US"/>
        </w:rPr>
        <w:t xml:space="preserve">also </w:t>
      </w:r>
      <w:r w:rsidR="00EA026D" w:rsidRPr="00FA6F2D">
        <w:rPr>
          <w:lang w:val="en-US"/>
        </w:rPr>
        <w:t>the background circumstances of the perpetrators of such heinous crimes.</w:t>
      </w:r>
      <w:r w:rsidR="001811C0" w:rsidRPr="00FA6F2D">
        <w:rPr>
          <w:lang w:val="en-US"/>
        </w:rPr>
        <w:t xml:space="preserve"> </w:t>
      </w:r>
    </w:p>
    <w:p w14:paraId="65D8DC56" w14:textId="744B13A8" w:rsidR="00E56D0C" w:rsidRPr="00E56D0C" w:rsidRDefault="001811C0" w:rsidP="00AC4B31">
      <w:pPr>
        <w:pStyle w:val="ListParagraph"/>
        <w:spacing w:line="360" w:lineRule="auto"/>
        <w:ind w:left="0"/>
        <w:jc w:val="both"/>
      </w:pPr>
      <w:r>
        <w:rPr>
          <w:lang w:val="en-US"/>
        </w:rPr>
        <w:t xml:space="preserve">I am </w:t>
      </w:r>
      <w:r w:rsidR="007B4CB7" w:rsidRPr="007B4CB7">
        <w:rPr>
          <w:lang w:val="en-US"/>
        </w:rPr>
        <w:t xml:space="preserve">also mindful of the prevalence of such gratuitous violence </w:t>
      </w:r>
      <w:r w:rsidR="00683AEF">
        <w:rPr>
          <w:lang w:val="en-US"/>
        </w:rPr>
        <w:t xml:space="preserve">that manifests </w:t>
      </w:r>
      <w:r w:rsidR="007B4CB7" w:rsidRPr="007B4CB7">
        <w:rPr>
          <w:lang w:val="en-US"/>
        </w:rPr>
        <w:t xml:space="preserve">on </w:t>
      </w:r>
      <w:r w:rsidR="00E56D0C">
        <w:rPr>
          <w:lang w:val="en-US"/>
        </w:rPr>
        <w:t xml:space="preserve">an </w:t>
      </w:r>
      <w:r w:rsidR="007B4CB7" w:rsidRPr="007B4CB7">
        <w:rPr>
          <w:lang w:val="en-US"/>
        </w:rPr>
        <w:t>ever</w:t>
      </w:r>
      <w:r w:rsidR="004544DE">
        <w:rPr>
          <w:lang w:val="en-US"/>
        </w:rPr>
        <w:t>-</w:t>
      </w:r>
      <w:r w:rsidR="007B4CB7" w:rsidRPr="007B4CB7">
        <w:rPr>
          <w:lang w:val="en-US"/>
        </w:rPr>
        <w:t xml:space="preserve"> increasing basis in townships and in particular </w:t>
      </w:r>
      <w:r w:rsidR="00E56D0C">
        <w:rPr>
          <w:lang w:val="en-US"/>
        </w:rPr>
        <w:t xml:space="preserve">at taverns </w:t>
      </w:r>
      <w:r w:rsidR="007B4CB7" w:rsidRPr="007B4CB7">
        <w:rPr>
          <w:lang w:val="en-US"/>
        </w:rPr>
        <w:t>over weekends</w:t>
      </w:r>
      <w:r w:rsidR="00E56D0C">
        <w:rPr>
          <w:lang w:val="en-US"/>
        </w:rPr>
        <w:t xml:space="preserve">. The </w:t>
      </w:r>
      <w:r w:rsidR="007B4CB7" w:rsidRPr="007B4CB7">
        <w:rPr>
          <w:lang w:val="en-US"/>
        </w:rPr>
        <w:t xml:space="preserve">scourge of </w:t>
      </w:r>
      <w:r w:rsidR="00C325B1">
        <w:rPr>
          <w:lang w:val="en-US"/>
        </w:rPr>
        <w:t xml:space="preserve">such </w:t>
      </w:r>
      <w:r w:rsidR="007B4CB7" w:rsidRPr="007B4CB7">
        <w:rPr>
          <w:lang w:val="en-US"/>
        </w:rPr>
        <w:t xml:space="preserve">violence is nothing short of a pandemic and far too often arises in the context of the abuse </w:t>
      </w:r>
      <w:r w:rsidR="00E56D0C">
        <w:rPr>
          <w:lang w:val="en-US"/>
        </w:rPr>
        <w:t xml:space="preserve">of </w:t>
      </w:r>
      <w:r w:rsidR="007B4CB7" w:rsidRPr="007B4CB7">
        <w:rPr>
          <w:lang w:val="en-US"/>
        </w:rPr>
        <w:t>alcohol</w:t>
      </w:r>
      <w:r w:rsidR="00EA026D">
        <w:rPr>
          <w:lang w:val="en-US"/>
        </w:rPr>
        <w:t xml:space="preserve"> and very often its sale</w:t>
      </w:r>
      <w:r w:rsidR="007B4CB7" w:rsidRPr="007B4CB7">
        <w:rPr>
          <w:lang w:val="en-US"/>
        </w:rPr>
        <w:t xml:space="preserve"> </w:t>
      </w:r>
      <w:r w:rsidR="00E56D0C">
        <w:rPr>
          <w:lang w:val="en-US"/>
        </w:rPr>
        <w:t>at</w:t>
      </w:r>
      <w:r w:rsidR="00EA026D">
        <w:rPr>
          <w:lang w:val="en-US"/>
        </w:rPr>
        <w:t xml:space="preserve"> unlicensed and ever proliferating</w:t>
      </w:r>
      <w:r w:rsidR="00C325B1">
        <w:rPr>
          <w:lang w:val="en-US"/>
        </w:rPr>
        <w:t xml:space="preserve"> </w:t>
      </w:r>
      <w:r w:rsidR="00E56D0C">
        <w:rPr>
          <w:lang w:val="en-US"/>
        </w:rPr>
        <w:t xml:space="preserve">taverns. </w:t>
      </w:r>
    </w:p>
    <w:p w14:paraId="4B89AEB3" w14:textId="3FCC678E" w:rsidR="00E56D0C" w:rsidRPr="00E56D0C" w:rsidRDefault="00FA6F2D" w:rsidP="00FA6F2D">
      <w:pPr>
        <w:spacing w:line="360" w:lineRule="auto"/>
        <w:jc w:val="both"/>
      </w:pPr>
      <w:r w:rsidRPr="00E56D0C">
        <w:t>[25]</w:t>
      </w:r>
      <w:r w:rsidRPr="00E56D0C">
        <w:tab/>
      </w:r>
      <w:r w:rsidR="00E56D0C" w:rsidRPr="00FA6F2D">
        <w:rPr>
          <w:lang w:val="en-US"/>
        </w:rPr>
        <w:t>I am</w:t>
      </w:r>
      <w:r w:rsidR="00C325B1" w:rsidRPr="00FA6F2D">
        <w:rPr>
          <w:lang w:val="en-US"/>
        </w:rPr>
        <w:t xml:space="preserve"> </w:t>
      </w:r>
      <w:r w:rsidR="007B4CB7" w:rsidRPr="00FA6F2D">
        <w:rPr>
          <w:lang w:val="en-US"/>
        </w:rPr>
        <w:t>mindful</w:t>
      </w:r>
      <w:r w:rsidR="00323877" w:rsidRPr="00FA6F2D">
        <w:rPr>
          <w:lang w:val="en-US"/>
        </w:rPr>
        <w:t xml:space="preserve"> though </w:t>
      </w:r>
      <w:r w:rsidR="007B4CB7" w:rsidRPr="00FA6F2D">
        <w:rPr>
          <w:lang w:val="en-US"/>
        </w:rPr>
        <w:t xml:space="preserve">of the </w:t>
      </w:r>
      <w:r w:rsidR="00E56D0C" w:rsidRPr="00FA6F2D">
        <w:rPr>
          <w:lang w:val="en-US"/>
        </w:rPr>
        <w:t xml:space="preserve">paucity </w:t>
      </w:r>
      <w:r w:rsidR="007B4CB7" w:rsidRPr="00FA6F2D">
        <w:rPr>
          <w:lang w:val="en-US"/>
        </w:rPr>
        <w:t>of the</w:t>
      </w:r>
      <w:r w:rsidR="00C325B1" w:rsidRPr="00FA6F2D">
        <w:rPr>
          <w:lang w:val="en-US"/>
        </w:rPr>
        <w:t xml:space="preserve"> personal</w:t>
      </w:r>
      <w:r w:rsidR="00541C3A" w:rsidRPr="00FA6F2D">
        <w:rPr>
          <w:lang w:val="en-US"/>
        </w:rPr>
        <w:t xml:space="preserve"> and social</w:t>
      </w:r>
      <w:r w:rsidR="00C325B1" w:rsidRPr="00FA6F2D">
        <w:rPr>
          <w:lang w:val="en-US"/>
        </w:rPr>
        <w:t xml:space="preserve"> </w:t>
      </w:r>
      <w:r w:rsidR="007B4CB7" w:rsidRPr="00FA6F2D">
        <w:rPr>
          <w:lang w:val="en-US"/>
        </w:rPr>
        <w:t>circumstances placed before the court</w:t>
      </w:r>
      <w:r w:rsidR="00C325B1" w:rsidRPr="00FA6F2D">
        <w:rPr>
          <w:lang w:val="en-US"/>
        </w:rPr>
        <w:t xml:space="preserve"> a quo</w:t>
      </w:r>
      <w:r w:rsidR="007B4CB7" w:rsidRPr="00FA6F2D">
        <w:rPr>
          <w:lang w:val="en-US"/>
        </w:rPr>
        <w:t xml:space="preserve"> with regard to that of the </w:t>
      </w:r>
      <w:r w:rsidR="00C325B1" w:rsidRPr="00FA6F2D">
        <w:rPr>
          <w:lang w:val="en-US"/>
        </w:rPr>
        <w:t xml:space="preserve">appellants </w:t>
      </w:r>
      <w:r w:rsidR="007B4CB7" w:rsidRPr="00FA6F2D">
        <w:rPr>
          <w:lang w:val="en-US"/>
        </w:rPr>
        <w:t>but noting their age</w:t>
      </w:r>
      <w:r w:rsidR="00323877" w:rsidRPr="00FA6F2D">
        <w:rPr>
          <w:lang w:val="en-US"/>
        </w:rPr>
        <w:t>s</w:t>
      </w:r>
      <w:r w:rsidR="007B4CB7" w:rsidRPr="00FA6F2D">
        <w:rPr>
          <w:lang w:val="en-US"/>
        </w:rPr>
        <w:t xml:space="preserve"> and the fact that they do not have any previous convictions this court is mindful to </w:t>
      </w:r>
      <w:r w:rsidR="00323877" w:rsidRPr="00FA6F2D">
        <w:rPr>
          <w:lang w:val="en-US"/>
        </w:rPr>
        <w:t xml:space="preserve">no more than </w:t>
      </w:r>
      <w:r w:rsidR="007B4CB7" w:rsidRPr="00FA6F2D">
        <w:rPr>
          <w:lang w:val="en-US"/>
        </w:rPr>
        <w:t>temper their sentences so that they may</w:t>
      </w:r>
      <w:r w:rsidR="00C325B1" w:rsidRPr="00FA6F2D">
        <w:rPr>
          <w:lang w:val="en-US"/>
        </w:rPr>
        <w:t xml:space="preserve"> at the very least</w:t>
      </w:r>
      <w:r w:rsidR="007B4CB7" w:rsidRPr="00FA6F2D">
        <w:rPr>
          <w:lang w:val="en-US"/>
        </w:rPr>
        <w:t xml:space="preserve"> be considered </w:t>
      </w:r>
      <w:r w:rsidR="00E56D0C" w:rsidRPr="00FA6F2D">
        <w:rPr>
          <w:lang w:val="en-US"/>
        </w:rPr>
        <w:t>at an earlier date for parole.</w:t>
      </w:r>
      <w:r w:rsidR="00C004D5" w:rsidRPr="00FA6F2D">
        <w:rPr>
          <w:lang w:val="en-US"/>
        </w:rPr>
        <w:t xml:space="preserve"> Their conduct nonetheless deserves a lengthy term of </w:t>
      </w:r>
      <w:r w:rsidR="00323877" w:rsidRPr="00FA6F2D">
        <w:rPr>
          <w:lang w:val="en-US"/>
        </w:rPr>
        <w:t>imprisonment.</w:t>
      </w:r>
      <w:r w:rsidR="00E56D0C" w:rsidRPr="00FA6F2D">
        <w:rPr>
          <w:lang w:val="en-US"/>
        </w:rPr>
        <w:t xml:space="preserve"> </w:t>
      </w:r>
    </w:p>
    <w:p w14:paraId="65EE4BAC" w14:textId="572CAE8E" w:rsidR="00456392" w:rsidRPr="00456392" w:rsidRDefault="00FA6F2D" w:rsidP="00FA6F2D">
      <w:pPr>
        <w:spacing w:line="360" w:lineRule="auto"/>
        <w:jc w:val="both"/>
      </w:pPr>
      <w:r w:rsidRPr="00456392">
        <w:lastRenderedPageBreak/>
        <w:t>[26]</w:t>
      </w:r>
      <w:r w:rsidRPr="00456392">
        <w:tab/>
      </w:r>
      <w:r w:rsidR="00E56D0C" w:rsidRPr="00FA6F2D">
        <w:rPr>
          <w:lang w:val="en-US"/>
        </w:rPr>
        <w:t>In</w:t>
      </w:r>
      <w:r w:rsidR="007B4CB7" w:rsidRPr="00FA6F2D">
        <w:rPr>
          <w:lang w:val="en-US"/>
        </w:rPr>
        <w:t xml:space="preserve"> the result I propose</w:t>
      </w:r>
      <w:r w:rsidR="00E56D0C" w:rsidRPr="00FA6F2D">
        <w:rPr>
          <w:lang w:val="en-US"/>
        </w:rPr>
        <w:t xml:space="preserve"> </w:t>
      </w:r>
      <w:r w:rsidR="007B4CB7" w:rsidRPr="00FA6F2D">
        <w:rPr>
          <w:lang w:val="en-US"/>
        </w:rPr>
        <w:t xml:space="preserve">to set aside the sentences imposed by the </w:t>
      </w:r>
      <w:r w:rsidR="00323877" w:rsidRPr="00FA6F2D">
        <w:rPr>
          <w:lang w:val="en-US"/>
        </w:rPr>
        <w:t xml:space="preserve">acting regional court </w:t>
      </w:r>
      <w:r w:rsidR="007B4CB7" w:rsidRPr="00FA6F2D">
        <w:rPr>
          <w:lang w:val="en-US"/>
        </w:rPr>
        <w:t xml:space="preserve">magistrate on the second count of </w:t>
      </w:r>
      <w:r w:rsidR="00E56D0C" w:rsidRPr="00FA6F2D">
        <w:rPr>
          <w:lang w:val="en-US"/>
        </w:rPr>
        <w:t xml:space="preserve">murder and </w:t>
      </w:r>
      <w:r w:rsidR="007B4CB7" w:rsidRPr="00FA6F2D">
        <w:rPr>
          <w:lang w:val="en-US"/>
        </w:rPr>
        <w:t xml:space="preserve">that of the possession of the firearm given that they </w:t>
      </w:r>
      <w:r w:rsidR="00E56D0C" w:rsidRPr="00FA6F2D">
        <w:rPr>
          <w:lang w:val="en-US"/>
        </w:rPr>
        <w:t>were</w:t>
      </w:r>
      <w:r w:rsidR="00C325B1" w:rsidRPr="00FA6F2D">
        <w:rPr>
          <w:lang w:val="en-US"/>
        </w:rPr>
        <w:t xml:space="preserve"> not </w:t>
      </w:r>
      <w:r w:rsidR="009115B7" w:rsidRPr="00FA6F2D">
        <w:rPr>
          <w:lang w:val="en-US"/>
        </w:rPr>
        <w:t>w</w:t>
      </w:r>
      <w:r w:rsidR="00E56D0C" w:rsidRPr="00FA6F2D">
        <w:rPr>
          <w:lang w:val="en-US"/>
        </w:rPr>
        <w:t xml:space="preserve">arned </w:t>
      </w:r>
      <w:r w:rsidR="007B4CB7" w:rsidRPr="00FA6F2D">
        <w:rPr>
          <w:lang w:val="en-US"/>
        </w:rPr>
        <w:t>of the application of the minimum sentence legislation</w:t>
      </w:r>
      <w:r w:rsidR="004F54D1" w:rsidRPr="00FA6F2D">
        <w:rPr>
          <w:lang w:val="en-US"/>
        </w:rPr>
        <w:t xml:space="preserve"> in respect of that count</w:t>
      </w:r>
      <w:r w:rsidR="00E56D0C" w:rsidRPr="00FA6F2D">
        <w:rPr>
          <w:lang w:val="en-US"/>
        </w:rPr>
        <w:t xml:space="preserve">. </w:t>
      </w:r>
    </w:p>
    <w:p w14:paraId="7BFFF299" w14:textId="5FE28D03" w:rsidR="00E56D0C" w:rsidRPr="00E56D0C" w:rsidRDefault="00FA6F2D" w:rsidP="00FA6F2D">
      <w:pPr>
        <w:spacing w:line="360" w:lineRule="auto"/>
        <w:jc w:val="both"/>
      </w:pPr>
      <w:r w:rsidRPr="00E56D0C">
        <w:t>[27]</w:t>
      </w:r>
      <w:r w:rsidRPr="00E56D0C">
        <w:tab/>
      </w:r>
      <w:r w:rsidR="00E56D0C" w:rsidRPr="00FA6F2D">
        <w:rPr>
          <w:lang w:val="en-US"/>
        </w:rPr>
        <w:t>E</w:t>
      </w:r>
      <w:r w:rsidR="007B4CB7" w:rsidRPr="00FA6F2D">
        <w:rPr>
          <w:lang w:val="en-US"/>
        </w:rPr>
        <w:t xml:space="preserve">ach of </w:t>
      </w:r>
      <w:r w:rsidR="00E56D0C" w:rsidRPr="00FA6F2D">
        <w:rPr>
          <w:lang w:val="en-US"/>
        </w:rPr>
        <w:t xml:space="preserve">the accused are </w:t>
      </w:r>
      <w:r w:rsidR="007B4CB7" w:rsidRPr="00FA6F2D">
        <w:rPr>
          <w:lang w:val="en-US"/>
        </w:rPr>
        <w:t>sentence</w:t>
      </w:r>
      <w:r w:rsidR="00E56D0C" w:rsidRPr="00FA6F2D">
        <w:rPr>
          <w:lang w:val="en-US"/>
        </w:rPr>
        <w:t>d</w:t>
      </w:r>
      <w:r w:rsidR="007B4CB7" w:rsidRPr="00FA6F2D">
        <w:rPr>
          <w:lang w:val="en-US"/>
        </w:rPr>
        <w:t xml:space="preserve"> as follows</w:t>
      </w:r>
      <w:r w:rsidR="00E56D0C" w:rsidRPr="00FA6F2D">
        <w:rPr>
          <w:lang w:val="en-US"/>
        </w:rPr>
        <w:t>:</w:t>
      </w:r>
    </w:p>
    <w:p w14:paraId="3587D05C" w14:textId="77777777" w:rsidR="00456392" w:rsidRDefault="00456392" w:rsidP="00E56D0C">
      <w:pPr>
        <w:pStyle w:val="ListParagraph"/>
        <w:spacing w:line="360" w:lineRule="auto"/>
        <w:ind w:left="0" w:firstLine="720"/>
        <w:jc w:val="both"/>
        <w:rPr>
          <w:lang w:val="en-US"/>
        </w:rPr>
      </w:pPr>
    </w:p>
    <w:p w14:paraId="250AD52A" w14:textId="5A8EDB81" w:rsidR="00E56D0C" w:rsidRDefault="00E56D0C" w:rsidP="00E56D0C">
      <w:pPr>
        <w:pStyle w:val="ListParagraph"/>
        <w:spacing w:line="360" w:lineRule="auto"/>
        <w:ind w:left="0" w:firstLine="720"/>
        <w:jc w:val="both"/>
        <w:rPr>
          <w:lang w:val="en-US"/>
        </w:rPr>
      </w:pPr>
      <w:r>
        <w:rPr>
          <w:lang w:val="en-US"/>
        </w:rPr>
        <w:t xml:space="preserve">Count 1 - </w:t>
      </w:r>
      <w:r w:rsidR="007B4CB7" w:rsidRPr="007B4CB7">
        <w:rPr>
          <w:lang w:val="en-US"/>
        </w:rPr>
        <w:t>15 years</w:t>
      </w:r>
      <w:r>
        <w:rPr>
          <w:lang w:val="en-US"/>
        </w:rPr>
        <w:t>’</w:t>
      </w:r>
      <w:r w:rsidR="007B4CB7" w:rsidRPr="007B4CB7">
        <w:rPr>
          <w:lang w:val="en-US"/>
        </w:rPr>
        <w:t xml:space="preserve"> imprisonment</w:t>
      </w:r>
      <w:r>
        <w:rPr>
          <w:lang w:val="en-US"/>
        </w:rPr>
        <w:t>.</w:t>
      </w:r>
    </w:p>
    <w:p w14:paraId="2BA07038" w14:textId="77777777" w:rsidR="00E56D0C" w:rsidRDefault="00E56D0C" w:rsidP="00E56D0C">
      <w:pPr>
        <w:pStyle w:val="ListParagraph"/>
        <w:spacing w:line="360" w:lineRule="auto"/>
        <w:ind w:left="0" w:firstLine="720"/>
        <w:jc w:val="both"/>
        <w:rPr>
          <w:lang w:val="en-US"/>
        </w:rPr>
      </w:pPr>
      <w:r>
        <w:rPr>
          <w:lang w:val="en-US"/>
        </w:rPr>
        <w:t xml:space="preserve">Count 2 - 30 years’ </w:t>
      </w:r>
      <w:r w:rsidR="007B4CB7" w:rsidRPr="007B4CB7">
        <w:rPr>
          <w:lang w:val="en-US"/>
        </w:rPr>
        <w:t>imprisonment</w:t>
      </w:r>
    </w:p>
    <w:p w14:paraId="44FDE484" w14:textId="77777777" w:rsidR="00E56D0C" w:rsidRDefault="00E56D0C" w:rsidP="00E56D0C">
      <w:pPr>
        <w:pStyle w:val="ListParagraph"/>
        <w:spacing w:line="360" w:lineRule="auto"/>
        <w:ind w:left="810" w:hanging="810"/>
        <w:jc w:val="both"/>
        <w:rPr>
          <w:lang w:val="en-US"/>
        </w:rPr>
      </w:pPr>
      <w:r>
        <w:rPr>
          <w:lang w:val="en-US"/>
        </w:rPr>
        <w:tab/>
        <w:t>Count 3 – 10 years’ imprisonment.</w:t>
      </w:r>
    </w:p>
    <w:p w14:paraId="51C7F628" w14:textId="57435E6C" w:rsidR="00323877" w:rsidRDefault="00E56D0C" w:rsidP="00E56D0C">
      <w:pPr>
        <w:pStyle w:val="ListParagraph"/>
        <w:spacing w:line="360" w:lineRule="auto"/>
        <w:ind w:left="0" w:firstLine="720"/>
        <w:jc w:val="both"/>
        <w:rPr>
          <w:lang w:val="en-US"/>
        </w:rPr>
      </w:pPr>
      <w:r>
        <w:rPr>
          <w:lang w:val="en-US"/>
        </w:rPr>
        <w:t xml:space="preserve">Count 4 – 1 year imprisonment. </w:t>
      </w:r>
    </w:p>
    <w:p w14:paraId="5B34836E" w14:textId="6319CB34" w:rsidR="007B4CB7" w:rsidRPr="007B4CB7" w:rsidRDefault="00E56D0C" w:rsidP="005964C6">
      <w:pPr>
        <w:pStyle w:val="ListParagraph"/>
        <w:spacing w:line="360" w:lineRule="auto"/>
        <w:jc w:val="both"/>
        <w:rPr>
          <w:b/>
        </w:rPr>
      </w:pPr>
      <w:r>
        <w:rPr>
          <w:lang w:val="en-US"/>
        </w:rPr>
        <w:t xml:space="preserve">All of the sentences are ordered to run concurrently with that in respect of the </w:t>
      </w:r>
      <w:r w:rsidR="007B4CB7" w:rsidRPr="007B4CB7">
        <w:rPr>
          <w:lang w:val="en-US"/>
        </w:rPr>
        <w:t>30 years</w:t>
      </w:r>
      <w:r>
        <w:rPr>
          <w:lang w:val="en-US"/>
        </w:rPr>
        <w:t>’</w:t>
      </w:r>
      <w:r w:rsidR="007B4CB7" w:rsidRPr="007B4CB7">
        <w:rPr>
          <w:lang w:val="en-US"/>
        </w:rPr>
        <w:t xml:space="preserve"> imprisonment</w:t>
      </w:r>
      <w:r w:rsidR="00323877">
        <w:rPr>
          <w:lang w:val="en-US"/>
        </w:rPr>
        <w:t xml:space="preserve"> for the murder</w:t>
      </w:r>
      <w:r w:rsidR="0036534B">
        <w:rPr>
          <w:lang w:val="en-US"/>
        </w:rPr>
        <w:t xml:space="preserve"> of Mr Lutho Majalamba</w:t>
      </w:r>
      <w:r w:rsidR="00323877">
        <w:rPr>
          <w:lang w:val="en-US"/>
        </w:rPr>
        <w:t>.</w:t>
      </w:r>
      <w:r>
        <w:rPr>
          <w:lang w:val="en-US"/>
        </w:rPr>
        <w:t xml:space="preserve"> </w:t>
      </w:r>
    </w:p>
    <w:p w14:paraId="522F7C5E" w14:textId="77777777" w:rsidR="005D04A1" w:rsidRDefault="005D04A1" w:rsidP="00836DE2">
      <w:pPr>
        <w:spacing w:after="480" w:line="480" w:lineRule="auto"/>
        <w:jc w:val="both"/>
      </w:pPr>
    </w:p>
    <w:p w14:paraId="0E8428C0" w14:textId="1614DB08" w:rsidR="004E2729" w:rsidRPr="004E2729" w:rsidRDefault="00836DE2" w:rsidP="004E2729">
      <w:pPr>
        <w:spacing w:line="360" w:lineRule="auto"/>
        <w:jc w:val="both"/>
        <w:rPr>
          <w:b/>
          <w:i/>
        </w:rPr>
      </w:pPr>
      <w:r w:rsidRPr="004E2729">
        <w:rPr>
          <w:i/>
        </w:rPr>
        <w:t>P.S</w:t>
      </w:r>
      <w:r w:rsidRPr="004E2729">
        <w:rPr>
          <w:i/>
        </w:rPr>
        <w:tab/>
        <w:t xml:space="preserve">A copy of this judgment </w:t>
      </w:r>
      <w:r w:rsidR="00CC6963" w:rsidRPr="004E2729">
        <w:rPr>
          <w:i/>
        </w:rPr>
        <w:t xml:space="preserve">is to be </w:t>
      </w:r>
      <w:r w:rsidR="004E2729" w:rsidRPr="004E2729">
        <w:rPr>
          <w:i/>
        </w:rPr>
        <w:t>furnished</w:t>
      </w:r>
      <w:r w:rsidR="00CC6963" w:rsidRPr="004E2729">
        <w:rPr>
          <w:i/>
        </w:rPr>
        <w:t xml:space="preserve"> by the counsel </w:t>
      </w:r>
      <w:r w:rsidR="004E2729" w:rsidRPr="004E2729">
        <w:rPr>
          <w:i/>
        </w:rPr>
        <w:t>for appellants directly to the appellants</w:t>
      </w:r>
      <w:r w:rsidR="003735BC">
        <w:rPr>
          <w:i/>
        </w:rPr>
        <w:t xml:space="preserve"> and</w:t>
      </w:r>
      <w:r w:rsidR="005D04A1" w:rsidRPr="004E2729">
        <w:rPr>
          <w:i/>
        </w:rPr>
        <w:t xml:space="preserve"> </w:t>
      </w:r>
      <w:r w:rsidR="004E2729" w:rsidRPr="004E2729">
        <w:rPr>
          <w:i/>
        </w:rPr>
        <w:t xml:space="preserve">the management of </w:t>
      </w:r>
      <w:r w:rsidR="005D04A1" w:rsidRPr="004E2729">
        <w:rPr>
          <w:i/>
        </w:rPr>
        <w:t xml:space="preserve">Legal Aid </w:t>
      </w:r>
      <w:r w:rsidR="004E2729" w:rsidRPr="004E2729">
        <w:rPr>
          <w:i/>
        </w:rPr>
        <w:t>South Africa. The state is likewise requested to furnish a copy of this judgment to the prosecutor in the court a quo</w:t>
      </w:r>
      <w:r w:rsidR="0070798E">
        <w:rPr>
          <w:i/>
        </w:rPr>
        <w:t>,</w:t>
      </w:r>
      <w:r w:rsidR="004E2729" w:rsidRPr="004E2729">
        <w:rPr>
          <w:i/>
        </w:rPr>
        <w:t xml:space="preserve"> </w:t>
      </w:r>
      <w:r w:rsidR="005D04A1" w:rsidRPr="004E2729">
        <w:rPr>
          <w:i/>
        </w:rPr>
        <w:t>the D</w:t>
      </w:r>
      <w:r w:rsidR="004E2729" w:rsidRPr="004E2729">
        <w:rPr>
          <w:i/>
        </w:rPr>
        <w:t xml:space="preserve">irector of </w:t>
      </w:r>
      <w:r w:rsidR="005D04A1" w:rsidRPr="004E2729">
        <w:rPr>
          <w:i/>
        </w:rPr>
        <w:t>P</w:t>
      </w:r>
      <w:r w:rsidR="004E2729" w:rsidRPr="004E2729">
        <w:rPr>
          <w:i/>
        </w:rPr>
        <w:t xml:space="preserve">ublic </w:t>
      </w:r>
      <w:r w:rsidR="005D04A1" w:rsidRPr="004E2729">
        <w:rPr>
          <w:i/>
        </w:rPr>
        <w:t>P</w:t>
      </w:r>
      <w:r w:rsidR="004E2729" w:rsidRPr="004E2729">
        <w:rPr>
          <w:i/>
        </w:rPr>
        <w:t>rosecutions</w:t>
      </w:r>
      <w:r w:rsidR="0070798E">
        <w:rPr>
          <w:i/>
        </w:rPr>
        <w:t xml:space="preserve"> (DPP Western Cape)</w:t>
      </w:r>
      <w:r w:rsidR="004E2729" w:rsidRPr="004E2729">
        <w:rPr>
          <w:i/>
        </w:rPr>
        <w:t xml:space="preserve"> and the family of the deceased, the late Mr. </w:t>
      </w:r>
      <w:r w:rsidR="004E2729" w:rsidRPr="004E2729">
        <w:rPr>
          <w:i/>
          <w:lang w:val="en-US"/>
        </w:rPr>
        <w:t>Lutho Majalamba. Thank you.</w:t>
      </w:r>
    </w:p>
    <w:p w14:paraId="1DB32D1F" w14:textId="1B14861F" w:rsidR="00836DE2" w:rsidRPr="004E2729" w:rsidRDefault="00836DE2" w:rsidP="005D04A1">
      <w:pPr>
        <w:spacing w:after="480" w:line="480" w:lineRule="auto"/>
        <w:ind w:left="720" w:hanging="720"/>
        <w:jc w:val="both"/>
        <w:rPr>
          <w:i/>
        </w:rPr>
      </w:pPr>
    </w:p>
    <w:p w14:paraId="0CCC2579" w14:textId="77777777" w:rsidR="00352CAF" w:rsidRDefault="00352CAF" w:rsidP="00352CAF">
      <w:pPr>
        <w:pStyle w:val="ListParagraph"/>
        <w:spacing w:after="240" w:line="480" w:lineRule="auto"/>
        <w:ind w:left="5040"/>
        <w:jc w:val="both"/>
        <w:rPr>
          <w:b/>
        </w:rPr>
      </w:pPr>
      <w:r>
        <w:rPr>
          <w:b/>
        </w:rPr>
        <w:t>________________</w:t>
      </w:r>
    </w:p>
    <w:p w14:paraId="0EC643BD" w14:textId="77777777" w:rsidR="00352CAF" w:rsidRDefault="00352CAF" w:rsidP="00352CAF">
      <w:pPr>
        <w:pStyle w:val="ListParagraph"/>
        <w:spacing w:after="240" w:line="480" w:lineRule="auto"/>
        <w:ind w:left="5040"/>
        <w:jc w:val="both"/>
        <w:rPr>
          <w:b/>
        </w:rPr>
      </w:pPr>
      <w:r>
        <w:rPr>
          <w:b/>
        </w:rPr>
        <w:t xml:space="preserve">V C SALDANHA  </w:t>
      </w:r>
    </w:p>
    <w:p w14:paraId="672166A6" w14:textId="77777777" w:rsidR="00352CAF" w:rsidRDefault="00352CAF" w:rsidP="00352CAF">
      <w:pPr>
        <w:pStyle w:val="ListParagraph"/>
        <w:spacing w:after="240" w:line="480" w:lineRule="auto"/>
        <w:ind w:left="5040"/>
        <w:jc w:val="both"/>
        <w:rPr>
          <w:b/>
        </w:rPr>
      </w:pPr>
      <w:r>
        <w:rPr>
          <w:b/>
        </w:rPr>
        <w:t>JUDGE OF THE HIGH COURT</w:t>
      </w:r>
    </w:p>
    <w:p w14:paraId="51D50C78" w14:textId="77777777" w:rsidR="00352CAF" w:rsidRDefault="00352CAF" w:rsidP="00352CAF">
      <w:pPr>
        <w:jc w:val="both"/>
      </w:pPr>
      <w:r>
        <w:t xml:space="preserve">I agree. </w:t>
      </w:r>
    </w:p>
    <w:p w14:paraId="754C2F08" w14:textId="77777777" w:rsidR="00352CAF" w:rsidRDefault="00352CAF" w:rsidP="00352CAF">
      <w:pPr>
        <w:jc w:val="both"/>
      </w:pPr>
    </w:p>
    <w:p w14:paraId="732A13AC" w14:textId="77777777" w:rsidR="00352CAF" w:rsidRDefault="00352CAF" w:rsidP="00352CAF">
      <w:pPr>
        <w:pStyle w:val="ListParagraph"/>
        <w:spacing w:after="240" w:line="480" w:lineRule="auto"/>
        <w:ind w:left="5040"/>
        <w:jc w:val="both"/>
        <w:rPr>
          <w:b/>
        </w:rPr>
      </w:pPr>
      <w:r>
        <w:rPr>
          <w:b/>
        </w:rPr>
        <w:t>________________</w:t>
      </w:r>
    </w:p>
    <w:p w14:paraId="3041A406" w14:textId="77777777" w:rsidR="00352CAF" w:rsidRDefault="00E56D0C" w:rsidP="00352CAF">
      <w:pPr>
        <w:pStyle w:val="ListParagraph"/>
        <w:spacing w:after="240" w:line="480" w:lineRule="auto"/>
        <w:ind w:left="5040"/>
        <w:jc w:val="both"/>
        <w:rPr>
          <w:b/>
        </w:rPr>
      </w:pPr>
      <w:r>
        <w:rPr>
          <w:b/>
        </w:rPr>
        <w:t xml:space="preserve">A COCKRELL </w:t>
      </w:r>
      <w:r w:rsidR="00352CAF">
        <w:rPr>
          <w:b/>
        </w:rPr>
        <w:t xml:space="preserve">    </w:t>
      </w:r>
    </w:p>
    <w:p w14:paraId="613E3B71" w14:textId="77777777" w:rsidR="00352CAF" w:rsidRDefault="00352CAF" w:rsidP="00352CAF">
      <w:pPr>
        <w:pStyle w:val="ListParagraph"/>
        <w:spacing w:after="240" w:line="480" w:lineRule="auto"/>
        <w:ind w:left="5040"/>
        <w:jc w:val="both"/>
        <w:rPr>
          <w:b/>
        </w:rPr>
      </w:pPr>
      <w:r>
        <w:rPr>
          <w:b/>
        </w:rPr>
        <w:t>ACTING JUDGE OF THE HIGH COURT</w:t>
      </w:r>
    </w:p>
    <w:sectPr w:rsidR="00352CAF" w:rsidSect="007D5A0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70F6" w14:textId="77777777" w:rsidR="00A844C1" w:rsidRDefault="00A844C1" w:rsidP="003F3BD6">
      <w:r>
        <w:separator/>
      </w:r>
    </w:p>
  </w:endnote>
  <w:endnote w:type="continuationSeparator" w:id="0">
    <w:p w14:paraId="1BBEF6ED" w14:textId="77777777" w:rsidR="00A844C1" w:rsidRDefault="00A844C1" w:rsidP="003F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7498"/>
      <w:docPartObj>
        <w:docPartGallery w:val="Page Numbers (Bottom of Page)"/>
        <w:docPartUnique/>
      </w:docPartObj>
    </w:sdtPr>
    <w:sdtEndPr>
      <w:rPr>
        <w:color w:val="7F7F7F" w:themeColor="background1" w:themeShade="7F"/>
        <w:spacing w:val="60"/>
        <w:sz w:val="16"/>
        <w:szCs w:val="16"/>
      </w:rPr>
    </w:sdtEndPr>
    <w:sdtContent>
      <w:p w14:paraId="23203360" w14:textId="7B2F9F12" w:rsidR="00D517CA" w:rsidRPr="00456392" w:rsidRDefault="00D517CA">
        <w:pPr>
          <w:pStyle w:val="Footer"/>
          <w:pBdr>
            <w:top w:val="single" w:sz="4" w:space="1" w:color="D9D9D9" w:themeColor="background1" w:themeShade="D9"/>
          </w:pBdr>
          <w:jc w:val="right"/>
          <w:rPr>
            <w:sz w:val="16"/>
            <w:szCs w:val="16"/>
          </w:rPr>
        </w:pPr>
        <w:r w:rsidRPr="00456392">
          <w:rPr>
            <w:sz w:val="16"/>
            <w:szCs w:val="16"/>
          </w:rPr>
          <w:fldChar w:fldCharType="begin"/>
        </w:r>
        <w:r w:rsidRPr="00456392">
          <w:rPr>
            <w:sz w:val="16"/>
            <w:szCs w:val="16"/>
          </w:rPr>
          <w:instrText xml:space="preserve"> PAGE   \* MERGEFORMAT </w:instrText>
        </w:r>
        <w:r w:rsidRPr="00456392">
          <w:rPr>
            <w:sz w:val="16"/>
            <w:szCs w:val="16"/>
          </w:rPr>
          <w:fldChar w:fldCharType="separate"/>
        </w:r>
        <w:r w:rsidR="00FA6F2D">
          <w:rPr>
            <w:noProof/>
            <w:sz w:val="16"/>
            <w:szCs w:val="16"/>
          </w:rPr>
          <w:t>9</w:t>
        </w:r>
        <w:r w:rsidRPr="00456392">
          <w:rPr>
            <w:noProof/>
            <w:sz w:val="16"/>
            <w:szCs w:val="16"/>
          </w:rPr>
          <w:fldChar w:fldCharType="end"/>
        </w:r>
        <w:r w:rsidRPr="00456392">
          <w:rPr>
            <w:sz w:val="16"/>
            <w:szCs w:val="16"/>
          </w:rPr>
          <w:t xml:space="preserve"> | </w:t>
        </w:r>
        <w:r w:rsidRPr="00456392">
          <w:rPr>
            <w:color w:val="7F7F7F" w:themeColor="background1" w:themeShade="7F"/>
            <w:spacing w:val="60"/>
            <w:sz w:val="16"/>
            <w:szCs w:val="16"/>
          </w:rPr>
          <w:t>Page</w:t>
        </w:r>
      </w:p>
    </w:sdtContent>
  </w:sdt>
  <w:p w14:paraId="43A04F60" w14:textId="77777777" w:rsidR="00D517CA" w:rsidRPr="00456392" w:rsidRDefault="00D517CA">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7E6E4" w14:textId="77777777" w:rsidR="00A844C1" w:rsidRDefault="00A844C1" w:rsidP="003F3BD6">
      <w:r>
        <w:separator/>
      </w:r>
    </w:p>
  </w:footnote>
  <w:footnote w:type="continuationSeparator" w:id="0">
    <w:p w14:paraId="5FB79193" w14:textId="77777777" w:rsidR="00A844C1" w:rsidRDefault="00A844C1" w:rsidP="003F3BD6">
      <w:r>
        <w:continuationSeparator/>
      </w:r>
    </w:p>
  </w:footnote>
  <w:footnote w:id="1">
    <w:p w14:paraId="6EC2BB37" w14:textId="77777777" w:rsidR="00E307BB" w:rsidRPr="00E307BB" w:rsidRDefault="00E307BB" w:rsidP="00E307BB">
      <w:pPr>
        <w:jc w:val="both"/>
        <w:rPr>
          <w:rFonts w:eastAsiaTheme="minorHAnsi"/>
          <w:sz w:val="18"/>
          <w:szCs w:val="18"/>
          <w:lang w:val="en-US" w:eastAsia="en-US"/>
        </w:rPr>
      </w:pPr>
      <w:r>
        <w:rPr>
          <w:rStyle w:val="FootnoteReference"/>
        </w:rPr>
        <w:footnoteRef/>
      </w:r>
      <w:r>
        <w:t xml:space="preserve"> </w:t>
      </w:r>
      <w:r w:rsidRPr="00E307BB">
        <w:rPr>
          <w:rFonts w:eastAsiaTheme="minorHAnsi"/>
          <w:sz w:val="18"/>
          <w:szCs w:val="18"/>
          <w:lang w:val="en-US" w:eastAsia="en-US"/>
        </w:rPr>
        <w:t>309 Appeal from lower court by person convicted</w:t>
      </w:r>
    </w:p>
    <w:p w14:paraId="3F9516DB" w14:textId="77777777" w:rsidR="00E307BB" w:rsidRPr="00E307BB" w:rsidRDefault="00E307BB" w:rsidP="00E307BB">
      <w:pPr>
        <w:spacing w:after="160" w:line="259" w:lineRule="auto"/>
        <w:jc w:val="both"/>
        <w:rPr>
          <w:rFonts w:eastAsiaTheme="minorHAnsi"/>
          <w:sz w:val="18"/>
          <w:szCs w:val="18"/>
          <w:lang w:val="en-US" w:eastAsia="en-US"/>
        </w:rPr>
      </w:pPr>
      <w:r w:rsidRPr="00E307BB">
        <w:rPr>
          <w:rFonts w:eastAsiaTheme="minorHAnsi"/>
          <w:sz w:val="18"/>
          <w:szCs w:val="18"/>
          <w:lang w:val="en-US" w:eastAsia="en-US"/>
        </w:rPr>
        <w:t>(1) (a) Subject to section 84 of the Child Justice Act, 2008 (Act 75 of 2008), any person convicted of any offence by any lower court (including a person discharged after conviction) may, subject to leave to appeal being granted in terms of section 309B or 309C, appeal against such conviction and against any resultant sentence or order to the High Court having jurisdiction: Provided that if that person was sentenced to imprisonment for life by a regional court under section 51 (1) of the Criminal Law Amendment Act, 1997 (Act 105 of 1997), he or she may note such an appeal without having to apply for leave in terms of section 309B: Provided further that the provisions of section 302 (1) (b) shall apply in respect of a person who duly notes an appeal against a conviction, sentence or order as contemplated in section 302 (1) (a).</w:t>
      </w:r>
    </w:p>
    <w:p w14:paraId="246D5EDF" w14:textId="4F932A52" w:rsidR="00E307BB" w:rsidRPr="00E307BB" w:rsidRDefault="00E307BB">
      <w:pPr>
        <w:pStyle w:val="FootnoteText"/>
        <w:rPr>
          <w:lang w:val="en-GB"/>
        </w:rPr>
      </w:pPr>
    </w:p>
  </w:footnote>
  <w:footnote w:id="2">
    <w:p w14:paraId="27C79807" w14:textId="77777777" w:rsidR="00D517CA" w:rsidRPr="00CB48BA" w:rsidRDefault="00D517CA" w:rsidP="00CB48BA">
      <w:pPr>
        <w:pStyle w:val="FootnoteText"/>
        <w:jc w:val="both"/>
        <w:rPr>
          <w:sz w:val="18"/>
          <w:szCs w:val="18"/>
          <w:lang w:val="en-GB"/>
        </w:rPr>
      </w:pPr>
      <w:r>
        <w:rPr>
          <w:rStyle w:val="FootnoteReference"/>
        </w:rPr>
        <w:footnoteRef/>
      </w:r>
      <w:r>
        <w:t xml:space="preserve"> </w:t>
      </w:r>
      <w:r w:rsidRPr="00CB48BA">
        <w:rPr>
          <w:sz w:val="18"/>
          <w:szCs w:val="18"/>
          <w:lang w:val="en-GB"/>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on behalf of the accused. The list is not exhaustive. These factors, or such of them as are applicable in a particular case, are not individually decisive, but must be weighed one against the other, in the light of the totality of the evidence, and the probabilities.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15012164"/>
      <w:docPartObj>
        <w:docPartGallery w:val="Page Numbers (Top of Page)"/>
        <w:docPartUnique/>
      </w:docPartObj>
    </w:sdtPr>
    <w:sdtEndPr>
      <w:rPr>
        <w:b/>
        <w:bCs/>
        <w:noProof/>
        <w:color w:val="auto"/>
        <w:spacing w:val="0"/>
      </w:rPr>
    </w:sdtEndPr>
    <w:sdtContent>
      <w:p w14:paraId="4922B7F2" w14:textId="19FBC5D5" w:rsidR="00892568" w:rsidRDefault="0089256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892568">
          <w:rPr>
            <w:b/>
            <w:bCs/>
            <w:noProof/>
          </w:rPr>
          <w:t>1</w:t>
        </w:r>
        <w:r>
          <w:rPr>
            <w:b/>
            <w:bCs/>
            <w:noProof/>
          </w:rPr>
          <w:fldChar w:fldCharType="end"/>
        </w:r>
      </w:p>
    </w:sdtContent>
  </w:sdt>
  <w:p w14:paraId="5A235CFD" w14:textId="77777777" w:rsidR="00892568" w:rsidRDefault="008925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1B9C"/>
    <w:multiLevelType w:val="hybridMultilevel"/>
    <w:tmpl w:val="DCAE8960"/>
    <w:lvl w:ilvl="0" w:tplc="1C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AF"/>
    <w:rsid w:val="000371C5"/>
    <w:rsid w:val="00053CD7"/>
    <w:rsid w:val="00075757"/>
    <w:rsid w:val="00113D55"/>
    <w:rsid w:val="00130841"/>
    <w:rsid w:val="001375AB"/>
    <w:rsid w:val="00142FAE"/>
    <w:rsid w:val="00147D0F"/>
    <w:rsid w:val="001811C0"/>
    <w:rsid w:val="00195AF3"/>
    <w:rsid w:val="001A1BA5"/>
    <w:rsid w:val="001B2021"/>
    <w:rsid w:val="001C62A5"/>
    <w:rsid w:val="001D0AE2"/>
    <w:rsid w:val="001E279C"/>
    <w:rsid w:val="001F40D4"/>
    <w:rsid w:val="002470DB"/>
    <w:rsid w:val="00274F6F"/>
    <w:rsid w:val="002A164F"/>
    <w:rsid w:val="002A5CAB"/>
    <w:rsid w:val="002A745F"/>
    <w:rsid w:val="002B2699"/>
    <w:rsid w:val="002C532B"/>
    <w:rsid w:val="002E72C4"/>
    <w:rsid w:val="002F1CAE"/>
    <w:rsid w:val="0030277F"/>
    <w:rsid w:val="00323877"/>
    <w:rsid w:val="00352CAF"/>
    <w:rsid w:val="0036534B"/>
    <w:rsid w:val="003735BC"/>
    <w:rsid w:val="0039538E"/>
    <w:rsid w:val="003D4538"/>
    <w:rsid w:val="003E48DF"/>
    <w:rsid w:val="003F3BD6"/>
    <w:rsid w:val="004164A3"/>
    <w:rsid w:val="00423CE6"/>
    <w:rsid w:val="004318B1"/>
    <w:rsid w:val="00431C7E"/>
    <w:rsid w:val="004544DE"/>
    <w:rsid w:val="00456392"/>
    <w:rsid w:val="00472E6A"/>
    <w:rsid w:val="004759ED"/>
    <w:rsid w:val="00493E5C"/>
    <w:rsid w:val="004C0D85"/>
    <w:rsid w:val="004E2729"/>
    <w:rsid w:val="004F54D1"/>
    <w:rsid w:val="00511A3C"/>
    <w:rsid w:val="005328AD"/>
    <w:rsid w:val="00541C3A"/>
    <w:rsid w:val="00551844"/>
    <w:rsid w:val="0056278C"/>
    <w:rsid w:val="00587448"/>
    <w:rsid w:val="00587EAA"/>
    <w:rsid w:val="005964C6"/>
    <w:rsid w:val="005A369B"/>
    <w:rsid w:val="005B7CB2"/>
    <w:rsid w:val="005C2F8E"/>
    <w:rsid w:val="005D04A1"/>
    <w:rsid w:val="005E0E9B"/>
    <w:rsid w:val="005E2E8B"/>
    <w:rsid w:val="0063468F"/>
    <w:rsid w:val="00642358"/>
    <w:rsid w:val="006534AF"/>
    <w:rsid w:val="00657AAA"/>
    <w:rsid w:val="00660D58"/>
    <w:rsid w:val="00683AEF"/>
    <w:rsid w:val="006845CE"/>
    <w:rsid w:val="00693D3F"/>
    <w:rsid w:val="006E0F21"/>
    <w:rsid w:val="0070798E"/>
    <w:rsid w:val="00741080"/>
    <w:rsid w:val="0075346B"/>
    <w:rsid w:val="00775D28"/>
    <w:rsid w:val="007831F5"/>
    <w:rsid w:val="00791D0C"/>
    <w:rsid w:val="007A060F"/>
    <w:rsid w:val="007B4CB7"/>
    <w:rsid w:val="007C6418"/>
    <w:rsid w:val="007D353D"/>
    <w:rsid w:val="007D5A09"/>
    <w:rsid w:val="007E1775"/>
    <w:rsid w:val="0082110E"/>
    <w:rsid w:val="00836DE2"/>
    <w:rsid w:val="00881969"/>
    <w:rsid w:val="00892568"/>
    <w:rsid w:val="009115B7"/>
    <w:rsid w:val="00927C88"/>
    <w:rsid w:val="0093660E"/>
    <w:rsid w:val="00943F98"/>
    <w:rsid w:val="00955B1F"/>
    <w:rsid w:val="0096635F"/>
    <w:rsid w:val="00972098"/>
    <w:rsid w:val="00977023"/>
    <w:rsid w:val="00987E78"/>
    <w:rsid w:val="009D447C"/>
    <w:rsid w:val="009E37C6"/>
    <w:rsid w:val="009F56C0"/>
    <w:rsid w:val="00A14A99"/>
    <w:rsid w:val="00A23102"/>
    <w:rsid w:val="00A40530"/>
    <w:rsid w:val="00A54E59"/>
    <w:rsid w:val="00A55C91"/>
    <w:rsid w:val="00A844C1"/>
    <w:rsid w:val="00AA4CB4"/>
    <w:rsid w:val="00AB52DC"/>
    <w:rsid w:val="00AC098F"/>
    <w:rsid w:val="00AC4B31"/>
    <w:rsid w:val="00AE61EE"/>
    <w:rsid w:val="00B1664D"/>
    <w:rsid w:val="00B278B4"/>
    <w:rsid w:val="00B5619F"/>
    <w:rsid w:val="00B62BE9"/>
    <w:rsid w:val="00BE1A8D"/>
    <w:rsid w:val="00C004D5"/>
    <w:rsid w:val="00C25B4A"/>
    <w:rsid w:val="00C325B1"/>
    <w:rsid w:val="00C753C9"/>
    <w:rsid w:val="00C75571"/>
    <w:rsid w:val="00CA34C4"/>
    <w:rsid w:val="00CB2E66"/>
    <w:rsid w:val="00CB48BA"/>
    <w:rsid w:val="00CC6963"/>
    <w:rsid w:val="00CF7841"/>
    <w:rsid w:val="00D21758"/>
    <w:rsid w:val="00D517CA"/>
    <w:rsid w:val="00D52A6F"/>
    <w:rsid w:val="00D60DC6"/>
    <w:rsid w:val="00DA1748"/>
    <w:rsid w:val="00DA71BC"/>
    <w:rsid w:val="00E307BB"/>
    <w:rsid w:val="00E526FF"/>
    <w:rsid w:val="00E56D0C"/>
    <w:rsid w:val="00E87AFE"/>
    <w:rsid w:val="00EA026D"/>
    <w:rsid w:val="00EA6E12"/>
    <w:rsid w:val="00EE266D"/>
    <w:rsid w:val="00EF1C53"/>
    <w:rsid w:val="00F07B04"/>
    <w:rsid w:val="00F52783"/>
    <w:rsid w:val="00F77994"/>
    <w:rsid w:val="00F97935"/>
    <w:rsid w:val="00FA51A5"/>
    <w:rsid w:val="00FA6F2D"/>
    <w:rsid w:val="00FA7F4C"/>
    <w:rsid w:val="00FB4812"/>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88D4"/>
  <w15:chartTrackingRefBased/>
  <w15:docId w15:val="{DF1C6337-A570-4EFA-9675-294BB9F4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AF"/>
    <w:pPr>
      <w:spacing w:after="0" w:line="240" w:lineRule="auto"/>
    </w:pPr>
    <w:rPr>
      <w:rFonts w:ascii="Arial" w:eastAsia="Times New Roman" w:hAnsi="Arial" w:cs="Arial"/>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CAF"/>
    <w:pPr>
      <w:ind w:left="720"/>
      <w:contextualSpacing/>
    </w:pPr>
  </w:style>
  <w:style w:type="paragraph" w:styleId="FootnoteText">
    <w:name w:val="footnote text"/>
    <w:basedOn w:val="Normal"/>
    <w:link w:val="FootnoteTextChar"/>
    <w:uiPriority w:val="99"/>
    <w:semiHidden/>
    <w:unhideWhenUsed/>
    <w:rsid w:val="003F3BD6"/>
    <w:rPr>
      <w:sz w:val="20"/>
      <w:szCs w:val="20"/>
    </w:rPr>
  </w:style>
  <w:style w:type="character" w:customStyle="1" w:styleId="FootnoteTextChar">
    <w:name w:val="Footnote Text Char"/>
    <w:basedOn w:val="DefaultParagraphFont"/>
    <w:link w:val="FootnoteText"/>
    <w:uiPriority w:val="99"/>
    <w:semiHidden/>
    <w:rsid w:val="003F3BD6"/>
    <w:rPr>
      <w:rFonts w:ascii="Arial" w:eastAsia="Times New Roman" w:hAnsi="Arial" w:cs="Arial"/>
      <w:sz w:val="20"/>
      <w:szCs w:val="20"/>
      <w:lang w:val="en-ZA" w:eastAsia="en-GB"/>
    </w:rPr>
  </w:style>
  <w:style w:type="character" w:styleId="FootnoteReference">
    <w:name w:val="footnote reference"/>
    <w:basedOn w:val="DefaultParagraphFont"/>
    <w:uiPriority w:val="99"/>
    <w:semiHidden/>
    <w:unhideWhenUsed/>
    <w:rsid w:val="003F3BD6"/>
    <w:rPr>
      <w:vertAlign w:val="superscript"/>
    </w:rPr>
  </w:style>
  <w:style w:type="character" w:styleId="CommentReference">
    <w:name w:val="annotation reference"/>
    <w:basedOn w:val="DefaultParagraphFont"/>
    <w:uiPriority w:val="99"/>
    <w:semiHidden/>
    <w:unhideWhenUsed/>
    <w:rsid w:val="00927C88"/>
    <w:rPr>
      <w:sz w:val="16"/>
      <w:szCs w:val="16"/>
    </w:rPr>
  </w:style>
  <w:style w:type="paragraph" w:styleId="CommentText">
    <w:name w:val="annotation text"/>
    <w:basedOn w:val="Normal"/>
    <w:link w:val="CommentTextChar"/>
    <w:uiPriority w:val="99"/>
    <w:semiHidden/>
    <w:unhideWhenUsed/>
    <w:rsid w:val="00927C88"/>
    <w:rPr>
      <w:sz w:val="20"/>
      <w:szCs w:val="20"/>
    </w:rPr>
  </w:style>
  <w:style w:type="character" w:customStyle="1" w:styleId="CommentTextChar">
    <w:name w:val="Comment Text Char"/>
    <w:basedOn w:val="DefaultParagraphFont"/>
    <w:link w:val="CommentText"/>
    <w:uiPriority w:val="99"/>
    <w:semiHidden/>
    <w:rsid w:val="00927C88"/>
    <w:rPr>
      <w:rFonts w:ascii="Arial" w:eastAsia="Times New Roman" w:hAnsi="Arial" w:cs="Arial"/>
      <w:sz w:val="20"/>
      <w:szCs w:val="20"/>
      <w:lang w:val="en-ZA" w:eastAsia="en-GB"/>
    </w:rPr>
  </w:style>
  <w:style w:type="paragraph" w:styleId="CommentSubject">
    <w:name w:val="annotation subject"/>
    <w:basedOn w:val="CommentText"/>
    <w:next w:val="CommentText"/>
    <w:link w:val="CommentSubjectChar"/>
    <w:uiPriority w:val="99"/>
    <w:semiHidden/>
    <w:unhideWhenUsed/>
    <w:rsid w:val="00927C88"/>
    <w:rPr>
      <w:b/>
      <w:bCs/>
    </w:rPr>
  </w:style>
  <w:style w:type="character" w:customStyle="1" w:styleId="CommentSubjectChar">
    <w:name w:val="Comment Subject Char"/>
    <w:basedOn w:val="CommentTextChar"/>
    <w:link w:val="CommentSubject"/>
    <w:uiPriority w:val="99"/>
    <w:semiHidden/>
    <w:rsid w:val="00927C88"/>
    <w:rPr>
      <w:rFonts w:ascii="Arial" w:eastAsia="Times New Roman" w:hAnsi="Arial" w:cs="Arial"/>
      <w:b/>
      <w:bCs/>
      <w:sz w:val="20"/>
      <w:szCs w:val="20"/>
      <w:lang w:val="en-ZA" w:eastAsia="en-GB"/>
    </w:rPr>
  </w:style>
  <w:style w:type="paragraph" w:styleId="BalloonText">
    <w:name w:val="Balloon Text"/>
    <w:basedOn w:val="Normal"/>
    <w:link w:val="BalloonTextChar"/>
    <w:uiPriority w:val="99"/>
    <w:semiHidden/>
    <w:unhideWhenUsed/>
    <w:rsid w:val="00927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88"/>
    <w:rPr>
      <w:rFonts w:ascii="Segoe UI" w:eastAsia="Times New Roman" w:hAnsi="Segoe UI" w:cs="Segoe UI"/>
      <w:sz w:val="18"/>
      <w:szCs w:val="18"/>
      <w:lang w:val="en-ZA" w:eastAsia="en-GB"/>
    </w:rPr>
  </w:style>
  <w:style w:type="paragraph" w:styleId="Header">
    <w:name w:val="header"/>
    <w:basedOn w:val="Normal"/>
    <w:link w:val="HeaderChar"/>
    <w:uiPriority w:val="99"/>
    <w:unhideWhenUsed/>
    <w:rsid w:val="00456392"/>
    <w:pPr>
      <w:tabs>
        <w:tab w:val="center" w:pos="4680"/>
        <w:tab w:val="right" w:pos="9360"/>
      </w:tabs>
    </w:pPr>
  </w:style>
  <w:style w:type="character" w:customStyle="1" w:styleId="HeaderChar">
    <w:name w:val="Header Char"/>
    <w:basedOn w:val="DefaultParagraphFont"/>
    <w:link w:val="Header"/>
    <w:uiPriority w:val="99"/>
    <w:rsid w:val="00456392"/>
    <w:rPr>
      <w:rFonts w:ascii="Arial" w:eastAsia="Times New Roman" w:hAnsi="Arial" w:cs="Arial"/>
      <w:sz w:val="24"/>
      <w:szCs w:val="24"/>
      <w:lang w:val="en-ZA" w:eastAsia="en-GB"/>
    </w:rPr>
  </w:style>
  <w:style w:type="paragraph" w:styleId="Footer">
    <w:name w:val="footer"/>
    <w:basedOn w:val="Normal"/>
    <w:link w:val="FooterChar"/>
    <w:uiPriority w:val="99"/>
    <w:unhideWhenUsed/>
    <w:rsid w:val="00456392"/>
    <w:pPr>
      <w:tabs>
        <w:tab w:val="center" w:pos="4680"/>
        <w:tab w:val="right" w:pos="9360"/>
      </w:tabs>
    </w:pPr>
  </w:style>
  <w:style w:type="character" w:customStyle="1" w:styleId="FooterChar">
    <w:name w:val="Footer Char"/>
    <w:basedOn w:val="DefaultParagraphFont"/>
    <w:link w:val="Footer"/>
    <w:uiPriority w:val="99"/>
    <w:rsid w:val="00456392"/>
    <w:rPr>
      <w:rFonts w:ascii="Arial" w:eastAsia="Times New Roman" w:hAnsi="Arial" w:cs="Arial"/>
      <w:sz w:val="24"/>
      <w:szCs w:val="24"/>
      <w:lang w:val="en-ZA" w:eastAsia="en-GB"/>
    </w:rPr>
  </w:style>
  <w:style w:type="paragraph" w:styleId="Revision">
    <w:name w:val="Revision"/>
    <w:hidden/>
    <w:uiPriority w:val="99"/>
    <w:semiHidden/>
    <w:rsid w:val="00423CE6"/>
    <w:pPr>
      <w:spacing w:after="0" w:line="240" w:lineRule="auto"/>
    </w:pPr>
    <w:rPr>
      <w:rFonts w:ascii="Arial" w:eastAsia="Times New Roman" w:hAnsi="Arial" w:cs="Arial"/>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png@01D12061.66368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2E48-DA4E-42F1-9F20-8BFFFAB2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 Bhawoodien</dc:creator>
  <cp:keywords/>
  <dc:description/>
  <cp:lastModifiedBy>Mary Bruce</cp:lastModifiedBy>
  <cp:revision>33</cp:revision>
  <cp:lastPrinted>2024-02-02T12:10:00Z</cp:lastPrinted>
  <dcterms:created xsi:type="dcterms:W3CDTF">2024-02-01T12:41:00Z</dcterms:created>
  <dcterms:modified xsi:type="dcterms:W3CDTF">2024-02-07T06:57:00Z</dcterms:modified>
</cp:coreProperties>
</file>