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CF5" w:rsidRPr="000A0ADE" w:rsidRDefault="00CA2CF5" w:rsidP="00CA2CF5">
      <w:pPr>
        <w:pStyle w:val="Title"/>
        <w:jc w:val="center"/>
        <w:rPr>
          <w:rFonts w:ascii="Arial" w:hAnsi="Arial" w:cs="Arial"/>
          <w:b/>
          <w:bCs/>
          <w:sz w:val="24"/>
          <w:szCs w:val="24"/>
          <w:lang w:val="en-GB"/>
        </w:rPr>
      </w:pPr>
      <w:bookmarkStart w:id="0" w:name="_GoBack"/>
      <w:bookmarkEnd w:id="0"/>
    </w:p>
    <w:p w:rsidR="00CA2CF5" w:rsidRPr="000A0ADE" w:rsidRDefault="00CA2CF5" w:rsidP="00CA2CF5">
      <w:pPr>
        <w:pStyle w:val="Title"/>
        <w:jc w:val="center"/>
        <w:rPr>
          <w:rFonts w:ascii="Arial" w:hAnsi="Arial" w:cs="Arial"/>
          <w:b/>
          <w:bCs/>
          <w:sz w:val="24"/>
          <w:szCs w:val="24"/>
          <w:lang w:val="en-GB"/>
        </w:rPr>
      </w:pPr>
      <w:r w:rsidRPr="00AE0666">
        <w:rPr>
          <w:b/>
          <w:noProof/>
          <w:lang w:eastAsia="en-ZA"/>
        </w:rPr>
        <w:drawing>
          <wp:inline distT="0" distB="0" distL="0" distR="0" wp14:anchorId="7BA6FCF4" wp14:editId="504308C3">
            <wp:extent cx="876300" cy="1035257"/>
            <wp:effectExtent l="0" t="0" r="0" b="0"/>
            <wp:docPr id="1" name="Picture 1" descr="Description: Description: cid:image001.png@01D297ED.F27B3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id:image001.png@01D297ED.F27B35D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0456" cy="1040167"/>
                    </a:xfrm>
                    <a:prstGeom prst="rect">
                      <a:avLst/>
                    </a:prstGeom>
                    <a:noFill/>
                    <a:ln>
                      <a:noFill/>
                    </a:ln>
                  </pic:spPr>
                </pic:pic>
              </a:graphicData>
            </a:graphic>
          </wp:inline>
        </w:drawing>
      </w:r>
    </w:p>
    <w:p w:rsidR="00CA2CF5" w:rsidRPr="000A0ADE" w:rsidRDefault="00CA2CF5" w:rsidP="00CA2CF5">
      <w:pPr>
        <w:pStyle w:val="Title"/>
        <w:jc w:val="center"/>
        <w:rPr>
          <w:rFonts w:ascii="Arial" w:hAnsi="Arial" w:cs="Arial"/>
          <w:b/>
          <w:bCs/>
          <w:sz w:val="24"/>
          <w:szCs w:val="24"/>
          <w:lang w:val="en-GB"/>
        </w:rPr>
      </w:pPr>
    </w:p>
    <w:p w:rsidR="00CA2CF5" w:rsidRPr="000A0ADE" w:rsidRDefault="00CA2CF5" w:rsidP="00CA2CF5">
      <w:pPr>
        <w:pStyle w:val="Title"/>
        <w:jc w:val="center"/>
        <w:rPr>
          <w:rFonts w:ascii="Arial" w:hAnsi="Arial" w:cs="Arial"/>
          <w:b/>
          <w:bCs/>
          <w:sz w:val="24"/>
          <w:szCs w:val="24"/>
          <w:lang w:val="en-GB"/>
        </w:rPr>
      </w:pPr>
    </w:p>
    <w:p w:rsidR="00CA2CF5" w:rsidRPr="000A0ADE" w:rsidRDefault="00CA2CF5" w:rsidP="00CA2CF5">
      <w:pPr>
        <w:pStyle w:val="Title"/>
        <w:jc w:val="center"/>
        <w:rPr>
          <w:rFonts w:ascii="Arial" w:hAnsi="Arial" w:cs="Arial"/>
          <w:b/>
          <w:bCs/>
          <w:sz w:val="24"/>
          <w:szCs w:val="24"/>
          <w:lang w:val="en-GB"/>
        </w:rPr>
      </w:pPr>
    </w:p>
    <w:p w:rsidR="00CA2CF5" w:rsidRPr="000A0ADE" w:rsidRDefault="00CA2CF5" w:rsidP="00CA2CF5">
      <w:pPr>
        <w:pStyle w:val="Title"/>
        <w:jc w:val="center"/>
        <w:rPr>
          <w:rFonts w:ascii="Arial" w:hAnsi="Arial" w:cs="Arial"/>
          <w:b/>
          <w:bCs/>
          <w:sz w:val="24"/>
          <w:szCs w:val="24"/>
          <w:lang w:val="en-GB"/>
        </w:rPr>
      </w:pPr>
      <w:r w:rsidRPr="000A0ADE">
        <w:rPr>
          <w:rFonts w:ascii="Arial" w:hAnsi="Arial" w:cs="Arial"/>
          <w:b/>
          <w:bCs/>
          <w:sz w:val="24"/>
          <w:szCs w:val="24"/>
          <w:lang w:val="en-GB"/>
        </w:rPr>
        <w:t>IN THE HIGH COURT OF SOUTH AFRICA</w:t>
      </w:r>
    </w:p>
    <w:p w:rsidR="00CA2CF5" w:rsidRPr="000A0ADE" w:rsidRDefault="00CA2CF5" w:rsidP="00CA2CF5">
      <w:pPr>
        <w:jc w:val="center"/>
        <w:rPr>
          <w:rFonts w:cs="Arial"/>
          <w:b/>
          <w:bCs/>
          <w:lang w:val="en-GB"/>
        </w:rPr>
      </w:pPr>
      <w:r w:rsidRPr="000A0ADE">
        <w:rPr>
          <w:rFonts w:cs="Arial"/>
          <w:b/>
          <w:bCs/>
          <w:lang w:val="en-GB"/>
        </w:rPr>
        <w:t>(WESTERN CAPE HIGH COURT, CAPE TOWN)</w:t>
      </w:r>
    </w:p>
    <w:p w:rsidR="00CA2CF5" w:rsidRPr="000A0ADE" w:rsidRDefault="00CA2CF5" w:rsidP="00CA2CF5">
      <w:pPr>
        <w:jc w:val="center"/>
        <w:rPr>
          <w:rFonts w:cs="Arial"/>
          <w:b/>
          <w:bCs/>
          <w:lang w:val="en-GB"/>
        </w:rPr>
      </w:pPr>
    </w:p>
    <w:p w:rsidR="00BB552D" w:rsidRPr="009512AF" w:rsidRDefault="00BB552D" w:rsidP="006572B3">
      <w:pPr>
        <w:pStyle w:val="Title"/>
        <w:jc w:val="center"/>
        <w:rPr>
          <w:rFonts w:ascii="Arial" w:hAnsi="Arial" w:cs="Arial"/>
          <w:b/>
          <w:bCs/>
          <w:sz w:val="24"/>
          <w:szCs w:val="24"/>
          <w:lang w:val="en-GB"/>
        </w:rPr>
      </w:pPr>
    </w:p>
    <w:p w:rsidR="006572B3" w:rsidRPr="009512AF" w:rsidRDefault="006572B3" w:rsidP="006572B3">
      <w:pPr>
        <w:jc w:val="both"/>
        <w:rPr>
          <w:rFonts w:cs="Arial"/>
          <w:lang w:val="en-GB"/>
        </w:rPr>
      </w:pPr>
    </w:p>
    <w:p w:rsidR="006572B3" w:rsidRPr="009512AF" w:rsidRDefault="006572B3" w:rsidP="006572B3">
      <w:pPr>
        <w:ind w:left="5387" w:firstLine="425"/>
        <w:jc w:val="both"/>
        <w:rPr>
          <w:rFonts w:cs="Arial"/>
          <w:b/>
          <w:lang w:val="en-GB"/>
        </w:rPr>
      </w:pPr>
      <w:r w:rsidRPr="009512AF">
        <w:rPr>
          <w:rFonts w:cs="Arial"/>
          <w:bCs/>
          <w:lang w:val="en-GB"/>
        </w:rPr>
        <w:t>Case No:</w:t>
      </w:r>
      <w:r w:rsidRPr="009512AF">
        <w:rPr>
          <w:rFonts w:cs="Arial"/>
          <w:b/>
          <w:lang w:val="en-GB"/>
        </w:rPr>
        <w:tab/>
      </w:r>
      <w:r w:rsidR="00227F70" w:rsidRPr="009512AF">
        <w:rPr>
          <w:rFonts w:cs="Arial"/>
          <w:b/>
          <w:lang w:val="en-GB"/>
        </w:rPr>
        <w:t>768</w:t>
      </w:r>
      <w:r w:rsidRPr="009512AF">
        <w:rPr>
          <w:rFonts w:cs="Arial"/>
          <w:b/>
          <w:lang w:val="en-GB"/>
        </w:rPr>
        <w:t>/202</w:t>
      </w:r>
      <w:r w:rsidR="00227F70" w:rsidRPr="009512AF">
        <w:rPr>
          <w:rFonts w:cs="Arial"/>
          <w:b/>
          <w:lang w:val="en-GB"/>
        </w:rPr>
        <w:t>4</w:t>
      </w:r>
    </w:p>
    <w:p w:rsidR="006572B3" w:rsidRPr="009512AF" w:rsidRDefault="006572B3" w:rsidP="006572B3">
      <w:pPr>
        <w:jc w:val="both"/>
        <w:rPr>
          <w:rFonts w:cs="Arial"/>
          <w:lang w:val="en-GB"/>
        </w:rPr>
      </w:pPr>
    </w:p>
    <w:p w:rsidR="006572B3" w:rsidRPr="009512AF" w:rsidRDefault="006572B3" w:rsidP="006572B3">
      <w:pPr>
        <w:jc w:val="both"/>
        <w:rPr>
          <w:rFonts w:cs="Arial"/>
          <w:lang w:val="en-GB"/>
        </w:rPr>
      </w:pPr>
      <w:r w:rsidRPr="009512AF">
        <w:rPr>
          <w:rFonts w:cs="Arial"/>
          <w:lang w:val="en-GB"/>
        </w:rPr>
        <w:t>In the matter between:</w:t>
      </w:r>
    </w:p>
    <w:p w:rsidR="006572B3" w:rsidRPr="009512AF" w:rsidRDefault="006572B3" w:rsidP="006572B3">
      <w:pPr>
        <w:jc w:val="both"/>
        <w:rPr>
          <w:rFonts w:cs="Arial"/>
          <w:lang w:val="en-GB"/>
        </w:rPr>
      </w:pPr>
    </w:p>
    <w:p w:rsidR="001B5FC3" w:rsidRPr="009512AF" w:rsidRDefault="001B5FC3" w:rsidP="006572B3">
      <w:pPr>
        <w:jc w:val="both"/>
        <w:rPr>
          <w:rFonts w:cs="Arial"/>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09"/>
      </w:tblGrid>
      <w:tr w:rsidR="006572B3" w:rsidRPr="009512AF" w:rsidTr="00BB552D">
        <w:tc>
          <w:tcPr>
            <w:tcW w:w="5807" w:type="dxa"/>
          </w:tcPr>
          <w:p w:rsidR="006572B3" w:rsidRPr="009512AF" w:rsidRDefault="00227F70" w:rsidP="00C86793">
            <w:pPr>
              <w:spacing w:before="120" w:after="120" w:line="276" w:lineRule="auto"/>
              <w:jc w:val="both"/>
              <w:rPr>
                <w:rFonts w:cs="Arial"/>
                <w:b/>
                <w:lang w:val="en-GB"/>
              </w:rPr>
            </w:pPr>
            <w:r w:rsidRPr="009512AF">
              <w:rPr>
                <w:rFonts w:cs="Arial"/>
                <w:b/>
                <w:lang w:val="en-GB"/>
              </w:rPr>
              <w:t>PETRUS HERADIEN</w:t>
            </w:r>
          </w:p>
        </w:tc>
        <w:tc>
          <w:tcPr>
            <w:tcW w:w="3209" w:type="dxa"/>
          </w:tcPr>
          <w:p w:rsidR="006572B3" w:rsidRPr="009512AF" w:rsidRDefault="00227F70" w:rsidP="00C86793">
            <w:pPr>
              <w:tabs>
                <w:tab w:val="left" w:pos="6660"/>
              </w:tabs>
              <w:spacing w:before="120" w:after="120" w:line="276" w:lineRule="auto"/>
              <w:jc w:val="right"/>
              <w:rPr>
                <w:rFonts w:cs="Arial"/>
                <w:b/>
                <w:lang w:val="en-GB"/>
              </w:rPr>
            </w:pPr>
            <w:r w:rsidRPr="009512AF">
              <w:rPr>
                <w:rFonts w:cs="Arial"/>
                <w:b/>
                <w:lang w:val="en-GB"/>
              </w:rPr>
              <w:t>Applicant</w:t>
            </w:r>
          </w:p>
        </w:tc>
      </w:tr>
      <w:tr w:rsidR="006572B3" w:rsidRPr="009512AF" w:rsidTr="00BB552D">
        <w:tc>
          <w:tcPr>
            <w:tcW w:w="5807" w:type="dxa"/>
          </w:tcPr>
          <w:p w:rsidR="006572B3" w:rsidRPr="009512AF" w:rsidRDefault="006572B3" w:rsidP="001B5FC3">
            <w:pPr>
              <w:tabs>
                <w:tab w:val="left" w:pos="6660"/>
                <w:tab w:val="left" w:pos="7655"/>
              </w:tabs>
              <w:spacing w:before="120" w:after="120"/>
              <w:jc w:val="both"/>
              <w:rPr>
                <w:rFonts w:cs="Arial"/>
                <w:b/>
                <w:lang w:val="en-GB"/>
              </w:rPr>
            </w:pPr>
          </w:p>
          <w:p w:rsidR="006572B3" w:rsidRPr="009512AF" w:rsidRDefault="006572B3" w:rsidP="001B5FC3">
            <w:pPr>
              <w:tabs>
                <w:tab w:val="left" w:pos="6660"/>
                <w:tab w:val="left" w:pos="7371"/>
              </w:tabs>
              <w:spacing w:before="120" w:after="120"/>
              <w:jc w:val="both"/>
              <w:rPr>
                <w:rFonts w:cs="Arial"/>
                <w:b/>
                <w:lang w:val="en-GB"/>
              </w:rPr>
            </w:pPr>
            <w:r w:rsidRPr="009512AF">
              <w:rPr>
                <w:rFonts w:cs="Arial"/>
                <w:b/>
                <w:lang w:val="en-GB"/>
              </w:rPr>
              <w:t>versus</w:t>
            </w:r>
          </w:p>
          <w:p w:rsidR="006572B3" w:rsidRPr="009512AF" w:rsidRDefault="006572B3" w:rsidP="001B5FC3">
            <w:pPr>
              <w:spacing w:before="120" w:after="120"/>
              <w:jc w:val="both"/>
              <w:rPr>
                <w:rFonts w:cs="Arial"/>
                <w:b/>
                <w:lang w:val="en-GB"/>
              </w:rPr>
            </w:pPr>
          </w:p>
        </w:tc>
        <w:tc>
          <w:tcPr>
            <w:tcW w:w="3209" w:type="dxa"/>
          </w:tcPr>
          <w:p w:rsidR="006572B3" w:rsidRPr="009512AF" w:rsidRDefault="006572B3" w:rsidP="001B5FC3">
            <w:pPr>
              <w:spacing w:before="120" w:after="120"/>
              <w:jc w:val="right"/>
              <w:rPr>
                <w:rFonts w:cs="Arial"/>
                <w:b/>
                <w:lang w:val="en-GB"/>
              </w:rPr>
            </w:pPr>
          </w:p>
        </w:tc>
      </w:tr>
      <w:tr w:rsidR="006572B3" w:rsidRPr="009512AF" w:rsidTr="00BB552D">
        <w:tc>
          <w:tcPr>
            <w:tcW w:w="5807" w:type="dxa"/>
          </w:tcPr>
          <w:p w:rsidR="006572B3" w:rsidRPr="009512AF" w:rsidRDefault="00FE5605" w:rsidP="00C86793">
            <w:pPr>
              <w:tabs>
                <w:tab w:val="left" w:pos="6660"/>
                <w:tab w:val="left" w:pos="7655"/>
              </w:tabs>
              <w:spacing w:before="120" w:after="120" w:line="276" w:lineRule="auto"/>
              <w:jc w:val="both"/>
              <w:rPr>
                <w:rFonts w:cs="Arial"/>
                <w:b/>
                <w:lang w:val="en-GB"/>
              </w:rPr>
            </w:pPr>
            <w:r w:rsidRPr="009512AF">
              <w:rPr>
                <w:rFonts w:cs="Arial"/>
                <w:b/>
                <w:lang w:val="en-GB"/>
              </w:rPr>
              <w:t>WERNER MESHOA</w:t>
            </w:r>
          </w:p>
        </w:tc>
        <w:tc>
          <w:tcPr>
            <w:tcW w:w="3209" w:type="dxa"/>
          </w:tcPr>
          <w:p w:rsidR="006572B3" w:rsidRPr="009512AF" w:rsidRDefault="00227F70" w:rsidP="00C86793">
            <w:pPr>
              <w:spacing w:before="120" w:after="120" w:line="276" w:lineRule="auto"/>
              <w:jc w:val="right"/>
              <w:rPr>
                <w:rFonts w:cs="Arial"/>
                <w:b/>
                <w:lang w:val="en-GB"/>
              </w:rPr>
            </w:pPr>
            <w:r w:rsidRPr="009512AF">
              <w:rPr>
                <w:rFonts w:cs="Arial"/>
                <w:b/>
                <w:lang w:val="en-GB"/>
              </w:rPr>
              <w:t>First Respondent</w:t>
            </w:r>
          </w:p>
        </w:tc>
      </w:tr>
      <w:tr w:rsidR="0019581A" w:rsidRPr="009512AF" w:rsidTr="00BB552D">
        <w:tc>
          <w:tcPr>
            <w:tcW w:w="5807" w:type="dxa"/>
          </w:tcPr>
          <w:p w:rsidR="0019581A" w:rsidRPr="009512AF" w:rsidRDefault="00FE5605" w:rsidP="00C86793">
            <w:pPr>
              <w:tabs>
                <w:tab w:val="left" w:pos="6660"/>
                <w:tab w:val="left" w:pos="7655"/>
              </w:tabs>
              <w:spacing w:before="120" w:after="120" w:line="276" w:lineRule="auto"/>
              <w:jc w:val="both"/>
              <w:rPr>
                <w:rFonts w:cs="Arial"/>
                <w:b/>
                <w:lang w:val="en-GB"/>
              </w:rPr>
            </w:pPr>
            <w:r w:rsidRPr="009512AF">
              <w:rPr>
                <w:rFonts w:cs="Arial"/>
                <w:b/>
                <w:lang w:val="en-GB"/>
              </w:rPr>
              <w:t>JEFFREY DONSON</w:t>
            </w:r>
          </w:p>
        </w:tc>
        <w:tc>
          <w:tcPr>
            <w:tcW w:w="3209" w:type="dxa"/>
          </w:tcPr>
          <w:p w:rsidR="0019581A" w:rsidRPr="009512AF" w:rsidRDefault="0019581A" w:rsidP="00C86793">
            <w:pPr>
              <w:spacing w:before="120" w:after="120" w:line="276" w:lineRule="auto"/>
              <w:jc w:val="right"/>
              <w:rPr>
                <w:rFonts w:cs="Arial"/>
                <w:b/>
                <w:lang w:val="en-GB"/>
              </w:rPr>
            </w:pPr>
            <w:r w:rsidRPr="009512AF">
              <w:rPr>
                <w:rFonts w:cs="Arial"/>
                <w:b/>
                <w:lang w:val="en-GB"/>
              </w:rPr>
              <w:t>Second Respondent</w:t>
            </w:r>
          </w:p>
        </w:tc>
      </w:tr>
      <w:tr w:rsidR="0019581A" w:rsidRPr="009512AF" w:rsidTr="00BB552D">
        <w:tc>
          <w:tcPr>
            <w:tcW w:w="5807" w:type="dxa"/>
          </w:tcPr>
          <w:p w:rsidR="0019581A" w:rsidRPr="009512AF" w:rsidRDefault="00FE5605" w:rsidP="00C86793">
            <w:pPr>
              <w:tabs>
                <w:tab w:val="left" w:pos="6660"/>
                <w:tab w:val="left" w:pos="7655"/>
              </w:tabs>
              <w:spacing w:before="120" w:after="120" w:line="276" w:lineRule="auto"/>
              <w:jc w:val="both"/>
              <w:rPr>
                <w:rFonts w:cs="Arial"/>
                <w:b/>
                <w:lang w:val="en-GB"/>
              </w:rPr>
            </w:pPr>
            <w:r w:rsidRPr="009512AF">
              <w:rPr>
                <w:rFonts w:cs="Arial"/>
                <w:b/>
                <w:lang w:val="en-GB"/>
              </w:rPr>
              <w:t>VALENCIO DONSON</w:t>
            </w:r>
          </w:p>
        </w:tc>
        <w:tc>
          <w:tcPr>
            <w:tcW w:w="3209" w:type="dxa"/>
          </w:tcPr>
          <w:p w:rsidR="0019581A" w:rsidRPr="009512AF" w:rsidRDefault="0019581A" w:rsidP="00C86793">
            <w:pPr>
              <w:spacing w:before="120" w:after="120" w:line="276" w:lineRule="auto"/>
              <w:jc w:val="right"/>
              <w:rPr>
                <w:rFonts w:cs="Arial"/>
                <w:b/>
                <w:lang w:val="en-GB"/>
              </w:rPr>
            </w:pPr>
            <w:r w:rsidRPr="009512AF">
              <w:rPr>
                <w:rFonts w:cs="Arial"/>
                <w:b/>
                <w:lang w:val="en-GB"/>
              </w:rPr>
              <w:t>Third Respondent</w:t>
            </w:r>
          </w:p>
        </w:tc>
      </w:tr>
      <w:tr w:rsidR="0019581A" w:rsidRPr="009512AF" w:rsidTr="00BB552D">
        <w:tc>
          <w:tcPr>
            <w:tcW w:w="5807" w:type="dxa"/>
          </w:tcPr>
          <w:p w:rsidR="0019581A" w:rsidRPr="009512AF" w:rsidRDefault="00FE5605" w:rsidP="00C86793">
            <w:pPr>
              <w:tabs>
                <w:tab w:val="left" w:pos="6660"/>
                <w:tab w:val="left" w:pos="7655"/>
              </w:tabs>
              <w:spacing w:before="120" w:after="120" w:line="276" w:lineRule="auto"/>
              <w:jc w:val="both"/>
              <w:rPr>
                <w:rFonts w:cs="Arial"/>
                <w:b/>
                <w:lang w:val="en-GB"/>
              </w:rPr>
            </w:pPr>
            <w:r w:rsidRPr="009512AF">
              <w:rPr>
                <w:rFonts w:cs="Arial"/>
                <w:b/>
                <w:lang w:val="en-GB"/>
              </w:rPr>
              <w:t>BARBARA OWEN</w:t>
            </w:r>
          </w:p>
        </w:tc>
        <w:tc>
          <w:tcPr>
            <w:tcW w:w="3209" w:type="dxa"/>
          </w:tcPr>
          <w:p w:rsidR="0019581A" w:rsidRPr="009512AF" w:rsidRDefault="0019581A" w:rsidP="00C86793">
            <w:pPr>
              <w:spacing w:before="120" w:after="120" w:line="276" w:lineRule="auto"/>
              <w:jc w:val="right"/>
              <w:rPr>
                <w:rFonts w:cs="Arial"/>
                <w:b/>
                <w:lang w:val="en-GB"/>
              </w:rPr>
            </w:pPr>
            <w:r w:rsidRPr="009512AF">
              <w:rPr>
                <w:rFonts w:cs="Arial"/>
                <w:b/>
                <w:lang w:val="en-GB"/>
              </w:rPr>
              <w:t>Fourth Respondent</w:t>
            </w:r>
          </w:p>
        </w:tc>
      </w:tr>
      <w:tr w:rsidR="0019581A" w:rsidRPr="009512AF" w:rsidTr="00BB552D">
        <w:tc>
          <w:tcPr>
            <w:tcW w:w="5807" w:type="dxa"/>
          </w:tcPr>
          <w:p w:rsidR="0019581A" w:rsidRPr="009512AF" w:rsidRDefault="00FE5605" w:rsidP="00C86793">
            <w:pPr>
              <w:tabs>
                <w:tab w:val="left" w:pos="6660"/>
                <w:tab w:val="left" w:pos="7655"/>
              </w:tabs>
              <w:spacing w:before="120" w:after="120" w:line="276" w:lineRule="auto"/>
              <w:jc w:val="both"/>
              <w:rPr>
                <w:rFonts w:cs="Arial"/>
                <w:b/>
                <w:lang w:val="en-GB"/>
              </w:rPr>
            </w:pPr>
            <w:r w:rsidRPr="009512AF">
              <w:rPr>
                <w:rFonts w:cs="Arial"/>
                <w:b/>
                <w:lang w:val="en-GB"/>
              </w:rPr>
              <w:t>INDEPENDENT CIVIC ORGANI</w:t>
            </w:r>
            <w:r w:rsidR="00554FCD" w:rsidRPr="009512AF">
              <w:rPr>
                <w:rFonts w:cs="Arial"/>
                <w:b/>
                <w:lang w:val="en-GB"/>
              </w:rPr>
              <w:t>Z</w:t>
            </w:r>
            <w:r w:rsidRPr="009512AF">
              <w:rPr>
                <w:rFonts w:cs="Arial"/>
                <w:b/>
                <w:lang w:val="en-GB"/>
              </w:rPr>
              <w:t>ATION OF SOUTH AFRICA</w:t>
            </w:r>
          </w:p>
        </w:tc>
        <w:tc>
          <w:tcPr>
            <w:tcW w:w="3209" w:type="dxa"/>
          </w:tcPr>
          <w:p w:rsidR="0019581A" w:rsidRPr="009512AF" w:rsidRDefault="0019581A" w:rsidP="00C86793">
            <w:pPr>
              <w:spacing w:before="120" w:after="120" w:line="276" w:lineRule="auto"/>
              <w:jc w:val="right"/>
              <w:rPr>
                <w:rFonts w:cs="Arial"/>
                <w:b/>
                <w:lang w:val="en-GB"/>
              </w:rPr>
            </w:pPr>
            <w:r w:rsidRPr="009512AF">
              <w:rPr>
                <w:rFonts w:cs="Arial"/>
                <w:b/>
                <w:lang w:val="en-GB"/>
              </w:rPr>
              <w:t>Fifth Respondent</w:t>
            </w:r>
          </w:p>
        </w:tc>
      </w:tr>
      <w:tr w:rsidR="0019581A" w:rsidRPr="009512AF" w:rsidTr="00BB552D">
        <w:tc>
          <w:tcPr>
            <w:tcW w:w="5807" w:type="dxa"/>
          </w:tcPr>
          <w:p w:rsidR="0019581A" w:rsidRPr="009512AF" w:rsidRDefault="00554FCD" w:rsidP="00C86793">
            <w:pPr>
              <w:tabs>
                <w:tab w:val="left" w:pos="6660"/>
                <w:tab w:val="left" w:pos="7655"/>
              </w:tabs>
              <w:spacing w:before="120" w:after="120" w:line="276" w:lineRule="auto"/>
              <w:jc w:val="both"/>
              <w:rPr>
                <w:rFonts w:cs="Arial"/>
                <w:b/>
                <w:lang w:val="en-GB"/>
              </w:rPr>
            </w:pPr>
            <w:r w:rsidRPr="009512AF">
              <w:rPr>
                <w:rFonts w:cs="Arial"/>
                <w:b/>
                <w:lang w:val="en-GB"/>
              </w:rPr>
              <w:t>INDEPENDENT ELECTORAL COMMISSION</w:t>
            </w:r>
          </w:p>
        </w:tc>
        <w:tc>
          <w:tcPr>
            <w:tcW w:w="3209" w:type="dxa"/>
          </w:tcPr>
          <w:p w:rsidR="0019581A" w:rsidRPr="009512AF" w:rsidRDefault="0019581A" w:rsidP="00C86793">
            <w:pPr>
              <w:spacing w:before="120" w:after="120" w:line="276" w:lineRule="auto"/>
              <w:jc w:val="right"/>
              <w:rPr>
                <w:rFonts w:cs="Arial"/>
                <w:b/>
                <w:lang w:val="en-GB"/>
              </w:rPr>
            </w:pPr>
            <w:r w:rsidRPr="009512AF">
              <w:rPr>
                <w:rFonts w:cs="Arial"/>
                <w:b/>
                <w:lang w:val="en-GB"/>
              </w:rPr>
              <w:t>Sixth Respondent</w:t>
            </w:r>
          </w:p>
        </w:tc>
      </w:tr>
      <w:tr w:rsidR="0019581A" w:rsidRPr="009512AF" w:rsidTr="00BB552D">
        <w:tc>
          <w:tcPr>
            <w:tcW w:w="5807" w:type="dxa"/>
          </w:tcPr>
          <w:p w:rsidR="0019581A" w:rsidRPr="009512AF" w:rsidRDefault="00554FCD" w:rsidP="00C86793">
            <w:pPr>
              <w:tabs>
                <w:tab w:val="left" w:pos="6660"/>
                <w:tab w:val="left" w:pos="7655"/>
              </w:tabs>
              <w:spacing w:before="120" w:after="120" w:line="276" w:lineRule="auto"/>
              <w:jc w:val="both"/>
              <w:rPr>
                <w:rFonts w:cs="Arial"/>
                <w:b/>
                <w:lang w:val="en-GB"/>
              </w:rPr>
            </w:pPr>
            <w:r w:rsidRPr="009512AF">
              <w:rPr>
                <w:rFonts w:cs="Arial"/>
                <w:b/>
                <w:lang w:val="en-GB"/>
              </w:rPr>
              <w:t>THE CHIEF ELECTORAL OFFICER OF THE INDEPENDENT ELECTORAL COMMISSION</w:t>
            </w:r>
          </w:p>
        </w:tc>
        <w:tc>
          <w:tcPr>
            <w:tcW w:w="3209" w:type="dxa"/>
          </w:tcPr>
          <w:p w:rsidR="0019581A" w:rsidRPr="009512AF" w:rsidRDefault="0019581A" w:rsidP="00C86793">
            <w:pPr>
              <w:spacing w:before="120" w:after="120" w:line="276" w:lineRule="auto"/>
              <w:jc w:val="right"/>
              <w:rPr>
                <w:rFonts w:cs="Arial"/>
                <w:b/>
                <w:lang w:val="en-GB"/>
              </w:rPr>
            </w:pPr>
            <w:r w:rsidRPr="009512AF">
              <w:rPr>
                <w:rFonts w:cs="Arial"/>
                <w:b/>
                <w:lang w:val="en-GB"/>
              </w:rPr>
              <w:t>Seventh Respondent</w:t>
            </w:r>
          </w:p>
        </w:tc>
      </w:tr>
      <w:tr w:rsidR="0019581A" w:rsidRPr="009512AF" w:rsidTr="00BB552D">
        <w:tc>
          <w:tcPr>
            <w:tcW w:w="5807" w:type="dxa"/>
          </w:tcPr>
          <w:p w:rsidR="0019581A" w:rsidRPr="009512AF" w:rsidRDefault="00BB552D" w:rsidP="00C86793">
            <w:pPr>
              <w:tabs>
                <w:tab w:val="left" w:pos="6660"/>
                <w:tab w:val="left" w:pos="7655"/>
              </w:tabs>
              <w:spacing w:before="120" w:after="120" w:line="276" w:lineRule="auto"/>
              <w:jc w:val="both"/>
              <w:rPr>
                <w:rFonts w:cs="Arial"/>
                <w:b/>
                <w:lang w:val="en-GB"/>
              </w:rPr>
            </w:pPr>
            <w:r w:rsidRPr="009512AF">
              <w:rPr>
                <w:rFonts w:cs="Arial"/>
                <w:b/>
                <w:lang w:val="en-GB"/>
              </w:rPr>
              <w:t>WITZENBERG MUNICIPALITY</w:t>
            </w:r>
          </w:p>
        </w:tc>
        <w:tc>
          <w:tcPr>
            <w:tcW w:w="3209" w:type="dxa"/>
          </w:tcPr>
          <w:p w:rsidR="0019581A" w:rsidRPr="009512AF" w:rsidRDefault="0019581A" w:rsidP="00C86793">
            <w:pPr>
              <w:spacing w:before="120" w:after="120" w:line="276" w:lineRule="auto"/>
              <w:jc w:val="right"/>
              <w:rPr>
                <w:rFonts w:cs="Arial"/>
                <w:b/>
                <w:lang w:val="en-GB"/>
              </w:rPr>
            </w:pPr>
            <w:r w:rsidRPr="009512AF">
              <w:rPr>
                <w:rFonts w:cs="Arial"/>
                <w:b/>
                <w:lang w:val="en-GB"/>
              </w:rPr>
              <w:t>Eighth Respondent</w:t>
            </w:r>
          </w:p>
        </w:tc>
      </w:tr>
      <w:tr w:rsidR="0019581A" w:rsidRPr="009512AF" w:rsidTr="00BB552D">
        <w:tc>
          <w:tcPr>
            <w:tcW w:w="5807" w:type="dxa"/>
          </w:tcPr>
          <w:p w:rsidR="0019581A" w:rsidRPr="009512AF" w:rsidRDefault="00BB552D" w:rsidP="00C86793">
            <w:pPr>
              <w:tabs>
                <w:tab w:val="left" w:pos="6660"/>
                <w:tab w:val="left" w:pos="7655"/>
              </w:tabs>
              <w:spacing w:before="120" w:after="120" w:line="276" w:lineRule="auto"/>
              <w:jc w:val="both"/>
              <w:rPr>
                <w:rFonts w:cs="Arial"/>
                <w:b/>
                <w:lang w:val="en-GB"/>
              </w:rPr>
            </w:pPr>
            <w:r w:rsidRPr="009512AF">
              <w:rPr>
                <w:rFonts w:cs="Arial"/>
                <w:b/>
                <w:lang w:val="en-GB"/>
              </w:rPr>
              <w:t>MUNICIPAL MANAGER OF WITZENBERG MUNICIPALITY</w:t>
            </w:r>
          </w:p>
        </w:tc>
        <w:tc>
          <w:tcPr>
            <w:tcW w:w="3209" w:type="dxa"/>
          </w:tcPr>
          <w:p w:rsidR="0019581A" w:rsidRPr="009512AF" w:rsidRDefault="0019581A" w:rsidP="00C86793">
            <w:pPr>
              <w:spacing w:before="120" w:after="120" w:line="276" w:lineRule="auto"/>
              <w:jc w:val="right"/>
              <w:rPr>
                <w:rFonts w:cs="Arial"/>
                <w:b/>
                <w:lang w:val="en-GB"/>
              </w:rPr>
            </w:pPr>
            <w:r w:rsidRPr="009512AF">
              <w:rPr>
                <w:rFonts w:cs="Arial"/>
                <w:b/>
                <w:lang w:val="en-GB"/>
              </w:rPr>
              <w:t>Ninth Respondent</w:t>
            </w:r>
          </w:p>
        </w:tc>
      </w:tr>
      <w:tr w:rsidR="0019581A" w:rsidRPr="009512AF" w:rsidTr="00BB552D">
        <w:tc>
          <w:tcPr>
            <w:tcW w:w="5807" w:type="dxa"/>
          </w:tcPr>
          <w:p w:rsidR="0019581A" w:rsidRPr="009512AF" w:rsidRDefault="00BB552D" w:rsidP="00C86793">
            <w:pPr>
              <w:tabs>
                <w:tab w:val="left" w:pos="6660"/>
                <w:tab w:val="left" w:pos="7655"/>
              </w:tabs>
              <w:spacing w:before="120" w:after="120" w:line="276" w:lineRule="auto"/>
              <w:jc w:val="both"/>
              <w:rPr>
                <w:rFonts w:cs="Arial"/>
                <w:b/>
                <w:lang w:val="en-GB"/>
              </w:rPr>
            </w:pPr>
            <w:r w:rsidRPr="009512AF">
              <w:rPr>
                <w:rFonts w:cs="Arial"/>
                <w:b/>
                <w:lang w:val="en-GB"/>
              </w:rPr>
              <w:lastRenderedPageBreak/>
              <w:t>JONATHAN NEL</w:t>
            </w:r>
          </w:p>
        </w:tc>
        <w:tc>
          <w:tcPr>
            <w:tcW w:w="3209" w:type="dxa"/>
          </w:tcPr>
          <w:p w:rsidR="0019581A" w:rsidRPr="009512AF" w:rsidRDefault="0019581A" w:rsidP="00C86793">
            <w:pPr>
              <w:spacing w:before="120" w:after="120" w:line="276" w:lineRule="auto"/>
              <w:jc w:val="right"/>
              <w:rPr>
                <w:rFonts w:cs="Arial"/>
                <w:b/>
                <w:lang w:val="en-GB"/>
              </w:rPr>
            </w:pPr>
            <w:r w:rsidRPr="009512AF">
              <w:rPr>
                <w:rFonts w:cs="Arial"/>
                <w:b/>
                <w:lang w:val="en-GB"/>
              </w:rPr>
              <w:t>Tenth Respondent</w:t>
            </w:r>
          </w:p>
        </w:tc>
      </w:tr>
    </w:tbl>
    <w:p w:rsidR="006572B3" w:rsidRPr="009512AF" w:rsidRDefault="006572B3" w:rsidP="006572B3">
      <w:pPr>
        <w:pBdr>
          <w:bottom w:val="single" w:sz="12" w:space="1" w:color="auto"/>
        </w:pBdr>
        <w:rPr>
          <w:rFonts w:cs="Arial"/>
          <w:lang w:val="en-GB"/>
        </w:rPr>
      </w:pPr>
    </w:p>
    <w:p w:rsidR="00C86793" w:rsidRPr="009512AF" w:rsidRDefault="00C86793" w:rsidP="00C86793">
      <w:pPr>
        <w:pBdr>
          <w:bottom w:val="single" w:sz="12" w:space="1" w:color="auto"/>
        </w:pBdr>
        <w:rPr>
          <w:rFonts w:cs="Arial"/>
          <w:b/>
          <w:bCs/>
          <w:lang w:val="en-GB"/>
        </w:rPr>
      </w:pPr>
      <w:r w:rsidRPr="009512AF">
        <w:rPr>
          <w:rFonts w:cs="Arial"/>
          <w:b/>
          <w:bCs/>
          <w:lang w:val="en-GB"/>
        </w:rPr>
        <w:t xml:space="preserve">Coram: </w:t>
      </w:r>
      <w:r w:rsidRPr="009512AF">
        <w:rPr>
          <w:rFonts w:cs="Arial"/>
          <w:b/>
          <w:bCs/>
          <w:lang w:val="en-GB"/>
        </w:rPr>
        <w:tab/>
        <w:t>Adhikari AJ</w:t>
      </w:r>
    </w:p>
    <w:p w:rsidR="00C86793" w:rsidRPr="009512AF" w:rsidRDefault="00C86793" w:rsidP="00C86793">
      <w:pPr>
        <w:pBdr>
          <w:bottom w:val="single" w:sz="12" w:space="1" w:color="auto"/>
        </w:pBdr>
        <w:rPr>
          <w:rFonts w:cs="Arial"/>
          <w:b/>
          <w:bCs/>
          <w:lang w:val="en-GB"/>
        </w:rPr>
      </w:pPr>
      <w:r w:rsidRPr="009512AF">
        <w:rPr>
          <w:rFonts w:cs="Arial"/>
          <w:b/>
          <w:bCs/>
          <w:lang w:val="en-GB"/>
        </w:rPr>
        <w:t xml:space="preserve">Heard: </w:t>
      </w:r>
      <w:r w:rsidRPr="009512AF">
        <w:rPr>
          <w:rFonts w:cs="Arial"/>
          <w:b/>
          <w:bCs/>
          <w:lang w:val="en-GB"/>
        </w:rPr>
        <w:tab/>
        <w:t>2</w:t>
      </w:r>
      <w:r w:rsidR="001B5FC3" w:rsidRPr="009512AF">
        <w:rPr>
          <w:rFonts w:cs="Arial"/>
          <w:b/>
          <w:bCs/>
          <w:lang w:val="en-GB"/>
        </w:rPr>
        <w:t>6</w:t>
      </w:r>
      <w:r w:rsidRPr="009512AF">
        <w:rPr>
          <w:rFonts w:cs="Arial"/>
          <w:b/>
          <w:bCs/>
          <w:lang w:val="en-GB"/>
        </w:rPr>
        <w:t> January 2024</w:t>
      </w:r>
    </w:p>
    <w:p w:rsidR="00C86793" w:rsidRPr="009512AF" w:rsidRDefault="00C86793" w:rsidP="00C86793">
      <w:pPr>
        <w:pBdr>
          <w:bottom w:val="single" w:sz="12" w:space="1" w:color="auto"/>
        </w:pBdr>
        <w:rPr>
          <w:rFonts w:cs="Arial"/>
          <w:b/>
          <w:bCs/>
          <w:lang w:val="en-GB"/>
        </w:rPr>
      </w:pPr>
      <w:r w:rsidRPr="009512AF">
        <w:rPr>
          <w:rFonts w:cs="Arial"/>
          <w:b/>
          <w:bCs/>
          <w:lang w:val="en-GB"/>
        </w:rPr>
        <w:t>Delivered:</w:t>
      </w:r>
      <w:r w:rsidRPr="009512AF">
        <w:rPr>
          <w:rFonts w:cs="Arial"/>
          <w:b/>
          <w:bCs/>
          <w:lang w:val="en-GB"/>
        </w:rPr>
        <w:tab/>
      </w:r>
      <w:r w:rsidR="003777C6" w:rsidRPr="009512AF">
        <w:rPr>
          <w:rFonts w:cs="Arial"/>
          <w:b/>
          <w:bCs/>
          <w:lang w:val="en-GB"/>
        </w:rPr>
        <w:t>1</w:t>
      </w:r>
      <w:r w:rsidR="006E5584">
        <w:rPr>
          <w:rFonts w:cs="Arial"/>
          <w:b/>
          <w:bCs/>
          <w:lang w:val="en-GB"/>
        </w:rPr>
        <w:t>3</w:t>
      </w:r>
      <w:r w:rsidRPr="009512AF">
        <w:rPr>
          <w:rFonts w:cs="Arial"/>
          <w:b/>
          <w:bCs/>
          <w:lang w:val="en-GB"/>
        </w:rPr>
        <w:t> </w:t>
      </w:r>
      <w:r w:rsidR="001B5FC3" w:rsidRPr="009512AF">
        <w:rPr>
          <w:rFonts w:cs="Arial"/>
          <w:b/>
          <w:bCs/>
          <w:lang w:val="en-GB"/>
        </w:rPr>
        <w:t>February</w:t>
      </w:r>
      <w:r w:rsidRPr="009512AF">
        <w:rPr>
          <w:rFonts w:cs="Arial"/>
          <w:b/>
          <w:bCs/>
          <w:lang w:val="en-GB"/>
        </w:rPr>
        <w:t> 2024</w:t>
      </w:r>
    </w:p>
    <w:p w:rsidR="00BB552D" w:rsidRPr="009512AF" w:rsidRDefault="00BB552D" w:rsidP="006572B3">
      <w:pPr>
        <w:pBdr>
          <w:bottom w:val="single" w:sz="12" w:space="1" w:color="auto"/>
        </w:pBdr>
        <w:rPr>
          <w:rFonts w:cs="Arial"/>
          <w:lang w:val="en-GB"/>
        </w:rPr>
      </w:pPr>
    </w:p>
    <w:p w:rsidR="001B5FC3" w:rsidRPr="009512AF" w:rsidRDefault="001B5FC3" w:rsidP="006572B3">
      <w:pPr>
        <w:pBdr>
          <w:bottom w:val="single" w:sz="12" w:space="1" w:color="auto"/>
        </w:pBdr>
        <w:rPr>
          <w:rFonts w:cs="Arial"/>
          <w:lang w:val="en-GB"/>
        </w:rPr>
      </w:pPr>
    </w:p>
    <w:p w:rsidR="001B5FC3" w:rsidRPr="009512AF" w:rsidRDefault="001B5FC3" w:rsidP="006572B3">
      <w:pPr>
        <w:pBdr>
          <w:bottom w:val="single" w:sz="12" w:space="1" w:color="auto"/>
        </w:pBdr>
        <w:rPr>
          <w:rFonts w:cs="Arial"/>
          <w:lang w:val="en-GB"/>
        </w:rPr>
      </w:pPr>
    </w:p>
    <w:p w:rsidR="006572B3" w:rsidRPr="009512AF" w:rsidRDefault="006572B3" w:rsidP="006572B3">
      <w:pPr>
        <w:pBdr>
          <w:bottom w:val="single" w:sz="12" w:space="1" w:color="auto"/>
        </w:pBdr>
        <w:rPr>
          <w:rFonts w:cs="Arial"/>
          <w:lang w:val="en-GB"/>
        </w:rPr>
      </w:pPr>
    </w:p>
    <w:p w:rsidR="006572B3" w:rsidRPr="009512AF" w:rsidRDefault="006572B3" w:rsidP="006572B3">
      <w:pPr>
        <w:rPr>
          <w:rFonts w:cs="Arial"/>
          <w:lang w:val="en-GB"/>
        </w:rPr>
      </w:pPr>
    </w:p>
    <w:p w:rsidR="006572B3" w:rsidRPr="009512AF" w:rsidRDefault="006572B3" w:rsidP="006572B3">
      <w:pPr>
        <w:rPr>
          <w:rFonts w:cs="Arial"/>
          <w:lang w:val="en-GB"/>
        </w:rPr>
      </w:pPr>
    </w:p>
    <w:p w:rsidR="006572B3" w:rsidRPr="009512AF" w:rsidRDefault="006572B3" w:rsidP="006572B3">
      <w:pPr>
        <w:tabs>
          <w:tab w:val="left" w:pos="3544"/>
          <w:tab w:val="left" w:pos="3828"/>
        </w:tabs>
        <w:jc w:val="center"/>
        <w:rPr>
          <w:rFonts w:cs="Arial"/>
          <w:b/>
          <w:lang w:val="en-GB"/>
        </w:rPr>
      </w:pPr>
      <w:r w:rsidRPr="009512AF">
        <w:rPr>
          <w:rFonts w:cs="Arial"/>
          <w:b/>
          <w:lang w:val="en-GB"/>
        </w:rPr>
        <w:t xml:space="preserve">JUDGMENT DELIVERED ELECTRONICALLY ON </w:t>
      </w:r>
      <w:r w:rsidR="003777C6" w:rsidRPr="009512AF">
        <w:rPr>
          <w:rFonts w:cs="Arial"/>
          <w:b/>
          <w:lang w:val="en-GB"/>
        </w:rPr>
        <w:t>1</w:t>
      </w:r>
      <w:r w:rsidR="006E5584">
        <w:rPr>
          <w:rFonts w:cs="Arial"/>
          <w:b/>
          <w:lang w:val="en-GB"/>
        </w:rPr>
        <w:t>3</w:t>
      </w:r>
      <w:r w:rsidRPr="009512AF">
        <w:rPr>
          <w:rFonts w:cs="Arial"/>
          <w:b/>
          <w:lang w:val="en-GB"/>
        </w:rPr>
        <w:t> </w:t>
      </w:r>
      <w:r w:rsidR="00196FB0" w:rsidRPr="009512AF">
        <w:rPr>
          <w:rFonts w:cs="Arial"/>
          <w:b/>
          <w:lang w:val="en-GB"/>
        </w:rPr>
        <w:t>FEBRUARY</w:t>
      </w:r>
      <w:r w:rsidRPr="009512AF">
        <w:rPr>
          <w:rFonts w:cs="Arial"/>
          <w:b/>
          <w:lang w:val="en-GB"/>
        </w:rPr>
        <w:t> 2024</w:t>
      </w:r>
    </w:p>
    <w:p w:rsidR="006572B3" w:rsidRPr="009512AF" w:rsidRDefault="006572B3" w:rsidP="006572B3">
      <w:pPr>
        <w:rPr>
          <w:rFonts w:cs="Arial"/>
          <w:lang w:val="en-GB"/>
        </w:rPr>
      </w:pPr>
    </w:p>
    <w:p w:rsidR="006572B3" w:rsidRPr="009512AF" w:rsidRDefault="006572B3" w:rsidP="006572B3">
      <w:pPr>
        <w:pBdr>
          <w:bottom w:val="single" w:sz="12" w:space="1" w:color="auto"/>
        </w:pBdr>
        <w:rPr>
          <w:rFonts w:cs="Arial"/>
          <w:lang w:val="en-GB"/>
        </w:rPr>
      </w:pPr>
    </w:p>
    <w:p w:rsidR="006572B3" w:rsidRPr="009512AF" w:rsidRDefault="006572B3" w:rsidP="006572B3">
      <w:pPr>
        <w:rPr>
          <w:rFonts w:cs="Arial"/>
          <w:lang w:val="en-GB"/>
        </w:rPr>
      </w:pPr>
    </w:p>
    <w:p w:rsidR="006572B3" w:rsidRPr="009512AF" w:rsidRDefault="006572B3" w:rsidP="006572B3">
      <w:pPr>
        <w:rPr>
          <w:rFonts w:cs="Arial"/>
          <w:lang w:val="en-GB"/>
        </w:rPr>
      </w:pPr>
    </w:p>
    <w:p w:rsidR="006572B3" w:rsidRPr="009512AF" w:rsidRDefault="006572B3" w:rsidP="005F6940">
      <w:pPr>
        <w:jc w:val="both"/>
        <w:rPr>
          <w:rFonts w:cs="Arial"/>
          <w:lang w:val="en-GB"/>
        </w:rPr>
      </w:pPr>
      <w:r w:rsidRPr="009512AF">
        <w:rPr>
          <w:rFonts w:cs="Arial"/>
          <w:b/>
          <w:bCs/>
          <w:lang w:val="en-GB"/>
        </w:rPr>
        <w:t>Delivered: </w:t>
      </w:r>
      <w:r w:rsidR="00E24B31" w:rsidRPr="009512AF">
        <w:rPr>
          <w:rFonts w:cs="Arial"/>
          <w:b/>
          <w:bCs/>
          <w:lang w:val="en-GB"/>
        </w:rPr>
        <w:t> </w:t>
      </w:r>
      <w:r w:rsidRPr="009512AF">
        <w:rPr>
          <w:rFonts w:cs="Arial"/>
          <w:b/>
          <w:bCs/>
          <w:lang w:val="en-GB"/>
        </w:rPr>
        <w:t xml:space="preserve">This judgment was handed down electronically by circulation to the parties' legal representatives by email.  The date for the hand-down is deemed to be on </w:t>
      </w:r>
      <w:r w:rsidR="003777C6" w:rsidRPr="009512AF">
        <w:rPr>
          <w:rFonts w:cs="Arial"/>
          <w:b/>
          <w:bCs/>
          <w:lang w:val="en-GB"/>
        </w:rPr>
        <w:t>12</w:t>
      </w:r>
      <w:r w:rsidRPr="009512AF">
        <w:rPr>
          <w:rFonts w:cs="Arial"/>
          <w:b/>
          <w:bCs/>
          <w:lang w:val="en-GB"/>
        </w:rPr>
        <w:t> </w:t>
      </w:r>
      <w:r w:rsidR="00196FB0" w:rsidRPr="009512AF">
        <w:rPr>
          <w:rFonts w:cs="Arial"/>
          <w:b/>
          <w:bCs/>
          <w:lang w:val="en-GB"/>
        </w:rPr>
        <w:t>February</w:t>
      </w:r>
      <w:r w:rsidRPr="009512AF">
        <w:rPr>
          <w:rFonts w:cs="Arial"/>
          <w:b/>
          <w:bCs/>
          <w:lang w:val="en-GB"/>
        </w:rPr>
        <w:t> 2024.</w:t>
      </w:r>
    </w:p>
    <w:p w:rsidR="005F6940" w:rsidRPr="009512AF" w:rsidRDefault="005F6940" w:rsidP="005F6940">
      <w:pPr>
        <w:jc w:val="both"/>
        <w:rPr>
          <w:rFonts w:cs="Arial"/>
          <w:lang w:val="en-GB"/>
        </w:rPr>
      </w:pPr>
    </w:p>
    <w:p w:rsidR="005F6940" w:rsidRPr="009512AF" w:rsidRDefault="005F6940" w:rsidP="005F6940">
      <w:pPr>
        <w:jc w:val="both"/>
        <w:rPr>
          <w:rFonts w:cs="Arial"/>
          <w:lang w:val="en-GB"/>
        </w:rPr>
      </w:pPr>
    </w:p>
    <w:p w:rsidR="006572B3" w:rsidRPr="009512AF" w:rsidRDefault="006572B3" w:rsidP="006572B3">
      <w:pPr>
        <w:spacing w:before="120" w:after="360" w:line="480" w:lineRule="auto"/>
        <w:jc w:val="both"/>
        <w:rPr>
          <w:rFonts w:cs="Arial"/>
          <w:b/>
          <w:lang w:val="en-GB"/>
        </w:rPr>
      </w:pPr>
      <w:r w:rsidRPr="009512AF">
        <w:rPr>
          <w:rFonts w:cs="Arial"/>
          <w:b/>
          <w:lang w:val="en-GB"/>
        </w:rPr>
        <w:t>ADHIKARI, AJ</w:t>
      </w:r>
    </w:p>
    <w:p w:rsidR="00627EB5" w:rsidRPr="009512AF" w:rsidRDefault="007F1CDF" w:rsidP="007F1CDF">
      <w:pPr>
        <w:snapToGrid w:val="0"/>
        <w:spacing w:before="120" w:after="360" w:line="480" w:lineRule="auto"/>
        <w:ind w:hanging="6"/>
        <w:jc w:val="both"/>
        <w:rPr>
          <w:rFonts w:cs="Arial"/>
          <w:lang w:val="en-GB"/>
        </w:rPr>
      </w:pPr>
      <w:r w:rsidRPr="009512AF">
        <w:rPr>
          <w:rFonts w:cs="Arial"/>
          <w:lang w:val="en-GB"/>
        </w:rPr>
        <w:t>[1]</w:t>
      </w:r>
      <w:r w:rsidRPr="009512AF">
        <w:rPr>
          <w:rFonts w:cs="Arial"/>
          <w:lang w:val="en-GB"/>
        </w:rPr>
        <w:tab/>
      </w:r>
      <w:r w:rsidR="00627EB5" w:rsidRPr="009512AF">
        <w:rPr>
          <w:rFonts w:cs="Arial"/>
          <w:lang w:val="en-GB"/>
        </w:rPr>
        <w:t>This is an urgent application for an interdict, pending the outcome of judicial review proceedings instituted under Part</w:t>
      </w:r>
      <w:r w:rsidR="00F70735" w:rsidRPr="009512AF">
        <w:rPr>
          <w:rFonts w:cs="Arial"/>
          <w:lang w:val="en-GB"/>
        </w:rPr>
        <w:t> </w:t>
      </w:r>
      <w:r w:rsidR="00627EB5" w:rsidRPr="009512AF">
        <w:rPr>
          <w:rFonts w:cs="Arial"/>
          <w:lang w:val="en-GB"/>
        </w:rPr>
        <w:t>B of the Notice of Motion (‘Part</w:t>
      </w:r>
      <w:r w:rsidR="00627EB5" w:rsidRPr="009512AF">
        <w:rPr>
          <w:rFonts w:cs="Arial"/>
          <w:b/>
          <w:lang w:val="en-GB"/>
        </w:rPr>
        <w:t> </w:t>
      </w:r>
      <w:r w:rsidR="00627EB5" w:rsidRPr="009512AF">
        <w:rPr>
          <w:rFonts w:cs="Arial"/>
          <w:bCs/>
          <w:lang w:val="en-GB"/>
        </w:rPr>
        <w:t>B</w:t>
      </w:r>
      <w:r w:rsidR="00627EB5" w:rsidRPr="009512AF">
        <w:rPr>
          <w:rFonts w:cs="Arial"/>
          <w:lang w:val="en-GB"/>
        </w:rPr>
        <w:t>’)</w:t>
      </w:r>
      <w:r w:rsidR="00E663F6" w:rsidRPr="009512AF">
        <w:rPr>
          <w:rFonts w:cs="Arial"/>
          <w:lang w:val="en-GB"/>
        </w:rPr>
        <w:t>.</w:t>
      </w:r>
    </w:p>
    <w:p w:rsidR="00627EB5" w:rsidRPr="009512AF" w:rsidRDefault="007F1CDF" w:rsidP="007F1CDF">
      <w:pPr>
        <w:snapToGrid w:val="0"/>
        <w:spacing w:before="120" w:after="360" w:line="480" w:lineRule="auto"/>
        <w:ind w:hanging="6"/>
        <w:jc w:val="both"/>
        <w:rPr>
          <w:rFonts w:cs="Arial"/>
          <w:lang w:val="en-GB"/>
        </w:rPr>
      </w:pPr>
      <w:r w:rsidRPr="009512AF">
        <w:rPr>
          <w:rFonts w:cs="Arial"/>
          <w:lang w:val="en-GB"/>
        </w:rPr>
        <w:t>[2]</w:t>
      </w:r>
      <w:r w:rsidRPr="009512AF">
        <w:rPr>
          <w:rFonts w:cs="Arial"/>
          <w:lang w:val="en-GB"/>
        </w:rPr>
        <w:tab/>
      </w:r>
      <w:r w:rsidR="00CD4CF6" w:rsidRPr="009512AF">
        <w:rPr>
          <w:rFonts w:cs="Arial"/>
          <w:lang w:val="en-GB"/>
        </w:rPr>
        <w:t xml:space="preserve">The applicant, </w:t>
      </w:r>
      <w:r w:rsidR="00E663F6" w:rsidRPr="009512AF">
        <w:rPr>
          <w:rFonts w:cs="Arial"/>
          <w:lang w:val="en-GB"/>
        </w:rPr>
        <w:t xml:space="preserve">Mr Heradien was a member of </w:t>
      </w:r>
      <w:r w:rsidR="00CD4CF6" w:rsidRPr="009512AF">
        <w:rPr>
          <w:rFonts w:cs="Arial"/>
          <w:lang w:val="en-GB"/>
        </w:rPr>
        <w:t>the fifth respondent (‘ICOSA’)</w:t>
      </w:r>
      <w:r w:rsidR="00143426" w:rsidRPr="009512AF">
        <w:rPr>
          <w:rFonts w:cs="Arial"/>
          <w:lang w:val="en-GB"/>
        </w:rPr>
        <w:t xml:space="preserve">, </w:t>
      </w:r>
      <w:r w:rsidR="00E663F6" w:rsidRPr="009512AF">
        <w:rPr>
          <w:rFonts w:cs="Arial"/>
          <w:lang w:val="en-GB"/>
        </w:rPr>
        <w:t xml:space="preserve">a political party that holds </w:t>
      </w:r>
      <w:r w:rsidR="00AC45E3" w:rsidRPr="009512AF">
        <w:rPr>
          <w:rFonts w:cs="Arial"/>
          <w:lang w:val="en-GB"/>
        </w:rPr>
        <w:t>a seat on the Municipal Council (‘the Council’) of the eighth respondent (‘the Witzenberg Municipality’)</w:t>
      </w:r>
      <w:r w:rsidR="00275379" w:rsidRPr="009512AF">
        <w:rPr>
          <w:rFonts w:cs="Arial"/>
          <w:lang w:val="en-GB"/>
        </w:rPr>
        <w:t xml:space="preserve">. </w:t>
      </w:r>
      <w:r w:rsidR="0068199A" w:rsidRPr="009512AF">
        <w:rPr>
          <w:rFonts w:cs="Arial"/>
          <w:lang w:val="en-GB"/>
        </w:rPr>
        <w:t xml:space="preserve"> </w:t>
      </w:r>
      <w:r w:rsidR="008D41C7" w:rsidRPr="009512AF">
        <w:rPr>
          <w:rFonts w:cs="Arial"/>
          <w:lang w:val="en-GB"/>
        </w:rPr>
        <w:t>D</w:t>
      </w:r>
      <w:r w:rsidR="0068199A" w:rsidRPr="009512AF">
        <w:rPr>
          <w:rFonts w:cs="Arial"/>
          <w:lang w:val="en-GB"/>
        </w:rPr>
        <w:t>uring the tenure of his membership</w:t>
      </w:r>
      <w:r w:rsidR="008D41C7" w:rsidRPr="009512AF">
        <w:rPr>
          <w:rFonts w:cs="Arial"/>
          <w:lang w:val="en-GB"/>
        </w:rPr>
        <w:t>, Mr Heradien</w:t>
      </w:r>
      <w:r w:rsidR="0068199A" w:rsidRPr="009512AF">
        <w:rPr>
          <w:rFonts w:cs="Arial"/>
          <w:lang w:val="en-GB"/>
        </w:rPr>
        <w:t xml:space="preserve"> was the </w:t>
      </w:r>
      <w:r w:rsidR="00491E85" w:rsidRPr="009512AF">
        <w:rPr>
          <w:rFonts w:cs="Arial"/>
          <w:lang w:val="en-GB"/>
        </w:rPr>
        <w:t xml:space="preserve">proportional representation councillor (‘PR councillor’) representing </w:t>
      </w:r>
      <w:r w:rsidR="00F41DF0" w:rsidRPr="009512AF">
        <w:rPr>
          <w:rFonts w:cs="Arial"/>
          <w:lang w:val="en-GB"/>
        </w:rPr>
        <w:t xml:space="preserve">ICOSA on the Council. </w:t>
      </w:r>
      <w:r w:rsidR="00143426" w:rsidRPr="009512AF">
        <w:rPr>
          <w:rFonts w:cs="Arial"/>
          <w:lang w:val="en-GB"/>
        </w:rPr>
        <w:t xml:space="preserve"> </w:t>
      </w:r>
      <w:r w:rsidR="00F41DF0" w:rsidRPr="009512AF">
        <w:rPr>
          <w:rFonts w:cs="Arial"/>
          <w:lang w:val="en-GB"/>
        </w:rPr>
        <w:t xml:space="preserve">Following the termination of his membership he was replaced as </w:t>
      </w:r>
      <w:r w:rsidR="002F2FD9" w:rsidRPr="009512AF">
        <w:rPr>
          <w:rFonts w:cs="Arial"/>
          <w:lang w:val="en-GB"/>
        </w:rPr>
        <w:t>PR councillor by the tenth respondent (‘Mr Nel’).</w:t>
      </w:r>
    </w:p>
    <w:p w:rsidR="006406A0" w:rsidRPr="009512AF" w:rsidRDefault="007F1CDF" w:rsidP="007F1CDF">
      <w:pPr>
        <w:snapToGrid w:val="0"/>
        <w:spacing w:before="120" w:after="360" w:line="480" w:lineRule="auto"/>
        <w:ind w:hanging="6"/>
        <w:jc w:val="both"/>
        <w:rPr>
          <w:rFonts w:cs="Arial"/>
          <w:lang w:val="en-GB"/>
        </w:rPr>
      </w:pPr>
      <w:r w:rsidRPr="009512AF">
        <w:rPr>
          <w:rFonts w:cs="Arial"/>
          <w:lang w:val="en-GB"/>
        </w:rPr>
        <w:t>[3]</w:t>
      </w:r>
      <w:r w:rsidRPr="009512AF">
        <w:rPr>
          <w:rFonts w:cs="Arial"/>
          <w:lang w:val="en-GB"/>
        </w:rPr>
        <w:tab/>
      </w:r>
      <w:r w:rsidR="002C3BFD" w:rsidRPr="009512AF">
        <w:rPr>
          <w:rFonts w:cs="Arial"/>
          <w:lang w:val="en-GB"/>
        </w:rPr>
        <w:t xml:space="preserve">Mr Heradien </w:t>
      </w:r>
      <w:r w:rsidR="00143426" w:rsidRPr="009512AF">
        <w:rPr>
          <w:rFonts w:cs="Arial"/>
          <w:lang w:val="en-GB"/>
        </w:rPr>
        <w:t xml:space="preserve">sought an urgent </w:t>
      </w:r>
      <w:r w:rsidR="006406A0" w:rsidRPr="009512AF">
        <w:rPr>
          <w:rFonts w:cs="Arial"/>
          <w:lang w:val="en-GB"/>
        </w:rPr>
        <w:t xml:space="preserve">interim </w:t>
      </w:r>
      <w:r w:rsidR="00143426" w:rsidRPr="009512AF">
        <w:rPr>
          <w:rFonts w:cs="Arial"/>
          <w:lang w:val="en-GB"/>
        </w:rPr>
        <w:t>interdict</w:t>
      </w:r>
      <w:r w:rsidR="00023A07" w:rsidRPr="009512AF">
        <w:rPr>
          <w:rFonts w:cs="Arial"/>
          <w:lang w:val="en-GB"/>
        </w:rPr>
        <w:t>,</w:t>
      </w:r>
      <w:r w:rsidR="00143426" w:rsidRPr="009512AF">
        <w:rPr>
          <w:rFonts w:cs="Arial"/>
          <w:lang w:val="en-GB"/>
        </w:rPr>
        <w:t xml:space="preserve"> </w:t>
      </w:r>
      <w:r w:rsidR="006406A0" w:rsidRPr="009512AF">
        <w:rPr>
          <w:rFonts w:cs="Arial"/>
          <w:lang w:val="en-GB"/>
        </w:rPr>
        <w:t xml:space="preserve">pending </w:t>
      </w:r>
      <w:r w:rsidR="00A67E74" w:rsidRPr="009512AF">
        <w:rPr>
          <w:rFonts w:cs="Arial"/>
          <w:lang w:val="en-GB"/>
        </w:rPr>
        <w:t>a review of the termination of his membership of ICOSA</w:t>
      </w:r>
      <w:r w:rsidR="00413C9C" w:rsidRPr="009512AF">
        <w:rPr>
          <w:rFonts w:cs="Arial"/>
          <w:lang w:val="en-GB"/>
        </w:rPr>
        <w:t xml:space="preserve"> and his replacemen</w:t>
      </w:r>
      <w:r w:rsidR="00143426" w:rsidRPr="009512AF">
        <w:rPr>
          <w:rFonts w:cs="Arial"/>
          <w:lang w:val="en-GB"/>
        </w:rPr>
        <w:t>t as PR councillor by Mr Nel</w:t>
      </w:r>
      <w:r w:rsidR="00B31E78" w:rsidRPr="009512AF">
        <w:rPr>
          <w:rFonts w:cs="Arial"/>
          <w:lang w:val="en-GB"/>
        </w:rPr>
        <w:t>:</w:t>
      </w:r>
    </w:p>
    <w:p w:rsidR="006572B3" w:rsidRPr="009512AF" w:rsidRDefault="007F1CDF" w:rsidP="007F1CDF">
      <w:pPr>
        <w:snapToGrid w:val="0"/>
        <w:spacing w:before="120" w:after="360" w:line="480" w:lineRule="auto"/>
        <w:ind w:left="1418" w:hanging="1058"/>
        <w:jc w:val="both"/>
        <w:rPr>
          <w:rFonts w:cs="Arial"/>
          <w:lang w:val="en-GB"/>
        </w:rPr>
      </w:pPr>
      <w:r w:rsidRPr="009512AF">
        <w:rPr>
          <w:rFonts w:cs="Arial"/>
          <w:lang w:val="en-GB"/>
        </w:rPr>
        <w:lastRenderedPageBreak/>
        <w:t>[3.1]</w:t>
      </w:r>
      <w:r w:rsidRPr="009512AF">
        <w:rPr>
          <w:rFonts w:cs="Arial"/>
          <w:lang w:val="en-GB"/>
        </w:rPr>
        <w:tab/>
      </w:r>
      <w:r w:rsidR="00B31E78" w:rsidRPr="009512AF">
        <w:rPr>
          <w:rFonts w:cs="Arial"/>
          <w:lang w:val="en-GB"/>
        </w:rPr>
        <w:t xml:space="preserve">Suspending the </w:t>
      </w:r>
      <w:r w:rsidR="00F90B08" w:rsidRPr="009512AF">
        <w:rPr>
          <w:rFonts w:cs="Arial"/>
          <w:lang w:val="en-GB"/>
        </w:rPr>
        <w:t xml:space="preserve">purported decision taken on </w:t>
      </w:r>
      <w:r w:rsidR="00F6780C" w:rsidRPr="009512AF">
        <w:rPr>
          <w:rFonts w:cs="Arial"/>
          <w:lang w:val="en-GB"/>
        </w:rPr>
        <w:t>4 December 2023,</w:t>
      </w:r>
      <w:r w:rsidR="00F90B08" w:rsidRPr="009512AF">
        <w:rPr>
          <w:rFonts w:cs="Arial"/>
          <w:lang w:val="en-GB"/>
        </w:rPr>
        <w:t xml:space="preserve"> to expel him as a member</w:t>
      </w:r>
      <w:r w:rsidR="00F6780C" w:rsidRPr="009512AF">
        <w:rPr>
          <w:rFonts w:cs="Arial"/>
          <w:lang w:val="en-GB"/>
        </w:rPr>
        <w:t xml:space="preserve"> of ICOSA;</w:t>
      </w:r>
    </w:p>
    <w:p w:rsidR="00F6780C" w:rsidRPr="009512AF" w:rsidRDefault="007F1CDF" w:rsidP="007F1CDF">
      <w:pPr>
        <w:snapToGrid w:val="0"/>
        <w:spacing w:before="120" w:after="360" w:line="480" w:lineRule="auto"/>
        <w:ind w:left="1418" w:hanging="1058"/>
        <w:jc w:val="both"/>
        <w:rPr>
          <w:rFonts w:cs="Arial"/>
          <w:lang w:val="en-GB"/>
        </w:rPr>
      </w:pPr>
      <w:r w:rsidRPr="009512AF">
        <w:rPr>
          <w:rFonts w:cs="Arial"/>
          <w:lang w:val="en-GB"/>
        </w:rPr>
        <w:t>[3.2]</w:t>
      </w:r>
      <w:r w:rsidRPr="009512AF">
        <w:rPr>
          <w:rFonts w:cs="Arial"/>
          <w:lang w:val="en-GB"/>
        </w:rPr>
        <w:tab/>
      </w:r>
      <w:r w:rsidR="00F6780C" w:rsidRPr="009512AF">
        <w:rPr>
          <w:rFonts w:cs="Arial"/>
          <w:lang w:val="en-GB"/>
        </w:rPr>
        <w:t xml:space="preserve">Suspending the purported decision </w:t>
      </w:r>
      <w:r w:rsidR="008427AF" w:rsidRPr="009512AF">
        <w:rPr>
          <w:rFonts w:cs="Arial"/>
          <w:lang w:val="en-GB"/>
        </w:rPr>
        <w:t>of the sixth respondent (‘the IEC’) to replace him</w:t>
      </w:r>
      <w:r w:rsidR="00B15007" w:rsidRPr="009512AF">
        <w:rPr>
          <w:rFonts w:cs="Arial"/>
          <w:lang w:val="en-GB"/>
        </w:rPr>
        <w:t xml:space="preserve"> with Mr Nel</w:t>
      </w:r>
      <w:r w:rsidR="008427AF" w:rsidRPr="009512AF">
        <w:rPr>
          <w:rFonts w:cs="Arial"/>
          <w:lang w:val="en-GB"/>
        </w:rPr>
        <w:t xml:space="preserve"> as </w:t>
      </w:r>
      <w:r w:rsidR="00B15007" w:rsidRPr="009512AF">
        <w:rPr>
          <w:rFonts w:cs="Arial"/>
          <w:lang w:val="en-GB"/>
        </w:rPr>
        <w:t xml:space="preserve">the ICOSA </w:t>
      </w:r>
      <w:r w:rsidR="008427AF" w:rsidRPr="009512AF">
        <w:rPr>
          <w:rFonts w:cs="Arial"/>
          <w:lang w:val="en-GB"/>
        </w:rPr>
        <w:t>PR </w:t>
      </w:r>
      <w:r w:rsidR="00B15007" w:rsidRPr="009512AF">
        <w:rPr>
          <w:rFonts w:cs="Arial"/>
          <w:lang w:val="en-GB"/>
        </w:rPr>
        <w:t>c</w:t>
      </w:r>
      <w:r w:rsidR="008427AF" w:rsidRPr="009512AF">
        <w:rPr>
          <w:rFonts w:cs="Arial"/>
          <w:lang w:val="en-GB"/>
        </w:rPr>
        <w:t>ouncillor</w:t>
      </w:r>
      <w:r w:rsidR="00B15007" w:rsidRPr="009512AF">
        <w:rPr>
          <w:rFonts w:cs="Arial"/>
          <w:lang w:val="en-GB"/>
        </w:rPr>
        <w:t xml:space="preserve"> on the Council;</w:t>
      </w:r>
    </w:p>
    <w:p w:rsidR="00B15007" w:rsidRPr="009512AF" w:rsidRDefault="007F1CDF" w:rsidP="007F1CDF">
      <w:pPr>
        <w:snapToGrid w:val="0"/>
        <w:spacing w:before="120" w:after="360" w:line="480" w:lineRule="auto"/>
        <w:ind w:left="1418" w:hanging="1058"/>
        <w:jc w:val="both"/>
        <w:rPr>
          <w:rFonts w:cs="Arial"/>
          <w:lang w:val="en-GB"/>
        </w:rPr>
      </w:pPr>
      <w:r w:rsidRPr="009512AF">
        <w:rPr>
          <w:rFonts w:cs="Arial"/>
          <w:lang w:val="en-GB"/>
        </w:rPr>
        <w:t>[3.3]</w:t>
      </w:r>
      <w:r w:rsidRPr="009512AF">
        <w:rPr>
          <w:rFonts w:cs="Arial"/>
          <w:lang w:val="en-GB"/>
        </w:rPr>
        <w:tab/>
      </w:r>
      <w:r w:rsidR="00023A07" w:rsidRPr="009512AF">
        <w:rPr>
          <w:rFonts w:cs="Arial"/>
          <w:lang w:val="en-GB"/>
        </w:rPr>
        <w:t xml:space="preserve">Restraining </w:t>
      </w:r>
      <w:r w:rsidR="001329D0" w:rsidRPr="009512AF">
        <w:rPr>
          <w:rFonts w:cs="Arial"/>
          <w:lang w:val="en-GB"/>
        </w:rPr>
        <w:t xml:space="preserve">the respondents from interfering with or hindering him from </w:t>
      </w:r>
      <w:r w:rsidR="00DB5569" w:rsidRPr="009512AF">
        <w:rPr>
          <w:rFonts w:cs="Arial"/>
          <w:lang w:val="en-GB"/>
        </w:rPr>
        <w:t xml:space="preserve">carrying out his duties as </w:t>
      </w:r>
      <w:r w:rsidR="007C5BFA" w:rsidRPr="009512AF">
        <w:rPr>
          <w:rFonts w:cs="Arial"/>
          <w:lang w:val="en-GB"/>
        </w:rPr>
        <w:t xml:space="preserve">the ICOSA </w:t>
      </w:r>
      <w:r w:rsidR="00DB5569" w:rsidRPr="009512AF">
        <w:rPr>
          <w:rFonts w:cs="Arial"/>
          <w:lang w:val="en-GB"/>
        </w:rPr>
        <w:t>PR councillor</w:t>
      </w:r>
      <w:r w:rsidR="007C5BFA" w:rsidRPr="009512AF">
        <w:rPr>
          <w:rFonts w:cs="Arial"/>
          <w:lang w:val="en-GB"/>
        </w:rPr>
        <w:t>;</w:t>
      </w:r>
      <w:r w:rsidR="00503D56" w:rsidRPr="009512AF">
        <w:rPr>
          <w:rFonts w:cs="Arial"/>
          <w:lang w:val="en-GB"/>
        </w:rPr>
        <w:t xml:space="preserve"> and</w:t>
      </w:r>
    </w:p>
    <w:p w:rsidR="007C5BFA" w:rsidRPr="009512AF" w:rsidRDefault="007F1CDF" w:rsidP="007F1CDF">
      <w:pPr>
        <w:snapToGrid w:val="0"/>
        <w:spacing w:before="120" w:after="360" w:line="480" w:lineRule="auto"/>
        <w:ind w:left="1418" w:hanging="1058"/>
        <w:jc w:val="both"/>
        <w:rPr>
          <w:rFonts w:cs="Arial"/>
          <w:lang w:val="en-GB"/>
        </w:rPr>
      </w:pPr>
      <w:r w:rsidRPr="009512AF">
        <w:rPr>
          <w:rFonts w:cs="Arial"/>
          <w:lang w:val="en-GB"/>
        </w:rPr>
        <w:t>[3.4]</w:t>
      </w:r>
      <w:r w:rsidRPr="009512AF">
        <w:rPr>
          <w:rFonts w:cs="Arial"/>
          <w:lang w:val="en-GB"/>
        </w:rPr>
        <w:tab/>
      </w:r>
      <w:r w:rsidR="007C5BFA" w:rsidRPr="009512AF">
        <w:rPr>
          <w:rFonts w:cs="Arial"/>
          <w:lang w:val="en-GB"/>
        </w:rPr>
        <w:t>Directing that he immediately be returned to his position as the ICOSA PR councillor</w:t>
      </w:r>
      <w:r w:rsidR="00503D56" w:rsidRPr="009512AF">
        <w:rPr>
          <w:rFonts w:cs="Arial"/>
          <w:lang w:val="en-GB"/>
        </w:rPr>
        <w:t>.</w:t>
      </w:r>
    </w:p>
    <w:p w:rsidR="006572B3" w:rsidRPr="009512AF" w:rsidRDefault="007F1CDF" w:rsidP="007F1CDF">
      <w:pPr>
        <w:snapToGrid w:val="0"/>
        <w:spacing w:before="120" w:after="360" w:line="480" w:lineRule="auto"/>
        <w:ind w:hanging="6"/>
        <w:jc w:val="both"/>
        <w:rPr>
          <w:rFonts w:cs="Arial"/>
          <w:lang w:val="en-GB"/>
        </w:rPr>
      </w:pPr>
      <w:r w:rsidRPr="009512AF">
        <w:rPr>
          <w:rFonts w:cs="Arial"/>
          <w:lang w:val="en-GB"/>
        </w:rPr>
        <w:t>[4]</w:t>
      </w:r>
      <w:r w:rsidRPr="009512AF">
        <w:rPr>
          <w:rFonts w:cs="Arial"/>
          <w:lang w:val="en-GB"/>
        </w:rPr>
        <w:tab/>
      </w:r>
      <w:r w:rsidR="00503D56" w:rsidRPr="009512AF">
        <w:rPr>
          <w:rFonts w:cs="Arial"/>
          <w:lang w:val="en-GB"/>
        </w:rPr>
        <w:t xml:space="preserve">The interdictory relief </w:t>
      </w:r>
      <w:r w:rsidR="007C3A7C" w:rsidRPr="009512AF">
        <w:rPr>
          <w:rFonts w:cs="Arial"/>
          <w:lang w:val="en-GB"/>
        </w:rPr>
        <w:t>i</w:t>
      </w:r>
      <w:r w:rsidR="00503D56" w:rsidRPr="009512AF">
        <w:rPr>
          <w:rFonts w:cs="Arial"/>
          <w:lang w:val="en-GB"/>
        </w:rPr>
        <w:t xml:space="preserve">s opposed by </w:t>
      </w:r>
      <w:r w:rsidR="00270660" w:rsidRPr="009512AF">
        <w:rPr>
          <w:rFonts w:cs="Arial"/>
          <w:lang w:val="en-GB"/>
        </w:rPr>
        <w:t xml:space="preserve">Mr Nel and </w:t>
      </w:r>
      <w:r w:rsidR="00503D56" w:rsidRPr="009512AF">
        <w:rPr>
          <w:rFonts w:cs="Arial"/>
          <w:lang w:val="en-GB"/>
        </w:rPr>
        <w:t>the first to fifth respondents</w:t>
      </w:r>
      <w:r w:rsidR="005928C4" w:rsidRPr="009512AF">
        <w:rPr>
          <w:rFonts w:cs="Arial"/>
          <w:lang w:val="en-GB"/>
        </w:rPr>
        <w:t xml:space="preserve"> (‘the respondents’)</w:t>
      </w:r>
      <w:r w:rsidR="00270660" w:rsidRPr="009512AF">
        <w:rPr>
          <w:rFonts w:cs="Arial"/>
          <w:lang w:val="en-GB"/>
        </w:rPr>
        <w:t>.</w:t>
      </w:r>
      <w:r w:rsidR="00300749" w:rsidRPr="009512AF">
        <w:rPr>
          <w:rStyle w:val="FootnoteReference"/>
          <w:rFonts w:cs="Arial"/>
          <w:lang w:val="en-GB"/>
        </w:rPr>
        <w:footnoteReference w:id="2"/>
      </w:r>
      <w:r w:rsidR="00503D56" w:rsidRPr="009512AF">
        <w:rPr>
          <w:rFonts w:cs="Arial"/>
          <w:lang w:val="en-GB"/>
        </w:rPr>
        <w:t xml:space="preserve"> </w:t>
      </w:r>
      <w:r w:rsidR="005928C4" w:rsidRPr="009512AF">
        <w:rPr>
          <w:rFonts w:cs="Arial"/>
          <w:lang w:val="en-GB"/>
        </w:rPr>
        <w:t xml:space="preserve"> The </w:t>
      </w:r>
      <w:r w:rsidR="009F2D6D" w:rsidRPr="009512AF">
        <w:rPr>
          <w:rFonts w:cs="Arial"/>
          <w:lang w:val="en-GB"/>
        </w:rPr>
        <w:t>Witzenberg Municipality and the ninth respondent (‘the</w:t>
      </w:r>
      <w:r w:rsidR="00136DEA" w:rsidRPr="009512AF">
        <w:rPr>
          <w:rFonts w:cs="Arial"/>
          <w:lang w:val="en-GB"/>
        </w:rPr>
        <w:t> </w:t>
      </w:r>
      <w:r w:rsidR="009F2D6D" w:rsidRPr="009512AF">
        <w:rPr>
          <w:rFonts w:cs="Arial"/>
          <w:lang w:val="en-GB"/>
        </w:rPr>
        <w:t xml:space="preserve">Municipal Manager’) delivered </w:t>
      </w:r>
      <w:r w:rsidR="00150CCB" w:rsidRPr="009512AF">
        <w:rPr>
          <w:rFonts w:cs="Arial"/>
          <w:lang w:val="en-GB"/>
        </w:rPr>
        <w:t xml:space="preserve">an explanatory affidavit in which they </w:t>
      </w:r>
      <w:r w:rsidR="00DA132C" w:rsidRPr="009512AF">
        <w:rPr>
          <w:rFonts w:cs="Arial"/>
          <w:lang w:val="en-GB"/>
        </w:rPr>
        <w:t xml:space="preserve">state that they abide by the decision of the court but </w:t>
      </w:r>
      <w:r w:rsidR="006E263C" w:rsidRPr="009512AF">
        <w:rPr>
          <w:rFonts w:cs="Arial"/>
          <w:lang w:val="en-GB"/>
        </w:rPr>
        <w:t xml:space="preserve">oppose any costs being granted against them.  At the commencement of the hearing Mr Filand who appeared for Mr Heradien </w:t>
      </w:r>
      <w:r w:rsidR="00136DEA" w:rsidRPr="009512AF">
        <w:rPr>
          <w:rFonts w:cs="Arial"/>
          <w:lang w:val="en-GB"/>
        </w:rPr>
        <w:t>confirmed</w:t>
      </w:r>
      <w:r w:rsidR="006E263C" w:rsidRPr="009512AF">
        <w:rPr>
          <w:rFonts w:cs="Arial"/>
          <w:lang w:val="en-GB"/>
        </w:rPr>
        <w:t xml:space="preserve"> that his client </w:t>
      </w:r>
      <w:r w:rsidR="00136DEA" w:rsidRPr="009512AF">
        <w:rPr>
          <w:rFonts w:cs="Arial"/>
          <w:lang w:val="en-GB"/>
        </w:rPr>
        <w:t xml:space="preserve">would not seek </w:t>
      </w:r>
      <w:r w:rsidR="00C91D71" w:rsidRPr="009512AF">
        <w:rPr>
          <w:rFonts w:cs="Arial"/>
          <w:lang w:val="en-GB"/>
        </w:rPr>
        <w:t xml:space="preserve">costs against Witzenberg Municipality or the Municipal Manager.  </w:t>
      </w:r>
      <w:r w:rsidR="00136DEA" w:rsidRPr="009512AF">
        <w:rPr>
          <w:rFonts w:cs="Arial"/>
          <w:lang w:val="en-GB"/>
        </w:rPr>
        <w:t xml:space="preserve">In the practice </w:t>
      </w:r>
      <w:r w:rsidR="00A85F4F" w:rsidRPr="009512AF">
        <w:rPr>
          <w:rFonts w:cs="Arial"/>
          <w:lang w:val="en-GB"/>
        </w:rPr>
        <w:t xml:space="preserve">note </w:t>
      </w:r>
      <w:r w:rsidR="00C91D71" w:rsidRPr="009512AF">
        <w:rPr>
          <w:rFonts w:cs="Arial"/>
          <w:lang w:val="en-GB"/>
        </w:rPr>
        <w:t xml:space="preserve">filed by Mr Filand prior to the </w:t>
      </w:r>
      <w:r w:rsidR="00480610" w:rsidRPr="009512AF">
        <w:rPr>
          <w:rFonts w:cs="Arial"/>
          <w:lang w:val="en-GB"/>
        </w:rPr>
        <w:t>hearing</w:t>
      </w:r>
      <w:r w:rsidR="00C91D71" w:rsidRPr="009512AF">
        <w:rPr>
          <w:rFonts w:cs="Arial"/>
          <w:lang w:val="en-GB"/>
        </w:rPr>
        <w:t xml:space="preserve">, </w:t>
      </w:r>
      <w:r w:rsidR="00A85F4F" w:rsidRPr="009512AF">
        <w:rPr>
          <w:rFonts w:cs="Arial"/>
          <w:lang w:val="en-GB"/>
        </w:rPr>
        <w:t>he</w:t>
      </w:r>
      <w:r w:rsidR="00C91D71" w:rsidRPr="009512AF">
        <w:rPr>
          <w:rFonts w:cs="Arial"/>
          <w:lang w:val="en-GB"/>
        </w:rPr>
        <w:t xml:space="preserve"> was indicated that t</w:t>
      </w:r>
      <w:r w:rsidR="00136DEA" w:rsidRPr="009512AF">
        <w:rPr>
          <w:rFonts w:cs="Arial"/>
          <w:lang w:val="en-GB"/>
        </w:rPr>
        <w:t>he IEC and the seventh respondent</w:t>
      </w:r>
      <w:r w:rsidR="00EA58BE" w:rsidRPr="009512AF">
        <w:rPr>
          <w:rFonts w:cs="Arial"/>
          <w:lang w:val="en-GB"/>
        </w:rPr>
        <w:t xml:space="preserve"> had advised his attorney telephonically that they would not oppose the relief sought, </w:t>
      </w:r>
      <w:r w:rsidR="00480610" w:rsidRPr="009512AF">
        <w:rPr>
          <w:rFonts w:cs="Arial"/>
          <w:lang w:val="en-GB"/>
        </w:rPr>
        <w:t>and that his attorney had given the IEC and the seventh respondent an undertaking that costs would not be sought against them.</w:t>
      </w:r>
    </w:p>
    <w:p w:rsidR="00A67E33" w:rsidRPr="009512AF" w:rsidRDefault="007F1CDF" w:rsidP="007F1CDF">
      <w:pPr>
        <w:snapToGrid w:val="0"/>
        <w:spacing w:before="120" w:after="360" w:line="480" w:lineRule="auto"/>
        <w:ind w:hanging="6"/>
        <w:jc w:val="both"/>
        <w:rPr>
          <w:rFonts w:cs="Arial"/>
          <w:lang w:val="en-GB"/>
        </w:rPr>
      </w:pPr>
      <w:r w:rsidRPr="009512AF">
        <w:rPr>
          <w:rFonts w:cs="Arial"/>
          <w:lang w:val="en-GB"/>
        </w:rPr>
        <w:lastRenderedPageBreak/>
        <w:t>[5]</w:t>
      </w:r>
      <w:r w:rsidRPr="009512AF">
        <w:rPr>
          <w:rFonts w:cs="Arial"/>
          <w:lang w:val="en-GB"/>
        </w:rPr>
        <w:tab/>
      </w:r>
      <w:r w:rsidR="007C3A7C" w:rsidRPr="009512AF">
        <w:rPr>
          <w:rFonts w:cs="Arial"/>
          <w:lang w:val="en-GB"/>
        </w:rPr>
        <w:t xml:space="preserve">The respondents oppose the relief sought in Part A on the </w:t>
      </w:r>
      <w:r w:rsidR="002C39F9" w:rsidRPr="009512AF">
        <w:rPr>
          <w:rFonts w:cs="Arial"/>
          <w:lang w:val="en-GB"/>
        </w:rPr>
        <w:t>basis that the relief i</w:t>
      </w:r>
      <w:r w:rsidR="00E771EB" w:rsidRPr="009512AF">
        <w:rPr>
          <w:rFonts w:cs="Arial"/>
          <w:lang w:val="en-GB"/>
        </w:rPr>
        <w:t>s</w:t>
      </w:r>
      <w:r w:rsidR="002C39F9" w:rsidRPr="009512AF">
        <w:rPr>
          <w:rFonts w:cs="Arial"/>
          <w:lang w:val="en-GB"/>
        </w:rPr>
        <w:t xml:space="preserve"> incompetent; the requirements for an interim interdict have not been satisfied</w:t>
      </w:r>
      <w:r w:rsidR="00CF2134" w:rsidRPr="009512AF">
        <w:rPr>
          <w:rFonts w:cs="Arial"/>
          <w:lang w:val="en-GB"/>
        </w:rPr>
        <w:t>;</w:t>
      </w:r>
      <w:r w:rsidR="002C39F9" w:rsidRPr="009512AF">
        <w:rPr>
          <w:rFonts w:cs="Arial"/>
          <w:lang w:val="en-GB"/>
        </w:rPr>
        <w:t xml:space="preserve"> and </w:t>
      </w:r>
      <w:r w:rsidR="00CF2134" w:rsidRPr="009512AF">
        <w:rPr>
          <w:rFonts w:cs="Arial"/>
          <w:lang w:val="en-GB"/>
        </w:rPr>
        <w:t>the application constitutes an abuse of process.</w:t>
      </w:r>
      <w:r w:rsidR="00122C0F" w:rsidRPr="009512AF">
        <w:rPr>
          <w:rFonts w:cs="Arial"/>
          <w:lang w:val="en-GB"/>
        </w:rPr>
        <w:t xml:space="preserve">  </w:t>
      </w:r>
    </w:p>
    <w:p w:rsidR="00285EEA" w:rsidRPr="009512AF" w:rsidRDefault="00285EEA" w:rsidP="00AA53AB">
      <w:pPr>
        <w:pStyle w:val="Heading1"/>
        <w:rPr>
          <w:lang w:val="en-GB"/>
        </w:rPr>
      </w:pPr>
      <w:r w:rsidRPr="009512AF">
        <w:rPr>
          <w:lang w:val="en-GB"/>
        </w:rPr>
        <w:t>RELEVANT FACTUAL BACKGROUND</w:t>
      </w:r>
    </w:p>
    <w:p w:rsidR="00122C0F" w:rsidRPr="009512AF" w:rsidRDefault="007F1CDF" w:rsidP="007F1CDF">
      <w:pPr>
        <w:snapToGrid w:val="0"/>
        <w:spacing w:before="120" w:after="360" w:line="480" w:lineRule="auto"/>
        <w:ind w:hanging="6"/>
        <w:jc w:val="both"/>
        <w:rPr>
          <w:rFonts w:cs="Arial"/>
          <w:lang w:val="en-GB"/>
        </w:rPr>
      </w:pPr>
      <w:r w:rsidRPr="009512AF">
        <w:rPr>
          <w:rFonts w:cs="Arial"/>
          <w:lang w:val="en-GB"/>
        </w:rPr>
        <w:t>[6]</w:t>
      </w:r>
      <w:r w:rsidRPr="009512AF">
        <w:rPr>
          <w:rFonts w:cs="Arial"/>
          <w:lang w:val="en-GB"/>
        </w:rPr>
        <w:tab/>
      </w:r>
      <w:r w:rsidR="00285EEA" w:rsidRPr="009512AF">
        <w:rPr>
          <w:rFonts w:cs="Arial"/>
          <w:lang w:val="en-GB"/>
        </w:rPr>
        <w:t>On 23 October 2023 Mr Heradien rec</w:t>
      </w:r>
      <w:r w:rsidR="00D642AA" w:rsidRPr="009512AF">
        <w:rPr>
          <w:rFonts w:cs="Arial"/>
          <w:lang w:val="en-GB"/>
        </w:rPr>
        <w:t>ei</w:t>
      </w:r>
      <w:r w:rsidR="00285EEA" w:rsidRPr="009512AF">
        <w:rPr>
          <w:rFonts w:cs="Arial"/>
          <w:lang w:val="en-GB"/>
        </w:rPr>
        <w:t xml:space="preserve">ved a letter from the fourth respondent in which she stated that she had been appointed as an investigator by an </w:t>
      </w:r>
      <w:r w:rsidR="00285EEA" w:rsidRPr="009512AF">
        <w:rPr>
          <w:rFonts w:cs="Arial"/>
          <w:i/>
          <w:iCs/>
          <w:lang w:val="en-GB"/>
        </w:rPr>
        <w:t>ad hoc</w:t>
      </w:r>
      <w:r w:rsidR="00285EEA" w:rsidRPr="009512AF">
        <w:rPr>
          <w:rFonts w:cs="Arial"/>
          <w:lang w:val="en-GB"/>
        </w:rPr>
        <w:t xml:space="preserve"> disciplinary committee of ICOSA</w:t>
      </w:r>
      <w:r w:rsidR="00926463" w:rsidRPr="009512AF">
        <w:rPr>
          <w:rFonts w:cs="Arial"/>
          <w:lang w:val="en-GB"/>
        </w:rPr>
        <w:t xml:space="preserve"> to investigate </w:t>
      </w:r>
      <w:r w:rsidR="00504F65" w:rsidRPr="009512AF">
        <w:rPr>
          <w:rFonts w:cs="Arial"/>
          <w:lang w:val="en-GB"/>
        </w:rPr>
        <w:t>two incidents of</w:t>
      </w:r>
      <w:r w:rsidR="00D642AA" w:rsidRPr="009512AF">
        <w:rPr>
          <w:rFonts w:cs="Arial"/>
          <w:lang w:val="en-GB"/>
        </w:rPr>
        <w:t xml:space="preserve"> </w:t>
      </w:r>
      <w:r w:rsidR="00504F65" w:rsidRPr="009512AF">
        <w:rPr>
          <w:rFonts w:cs="Arial"/>
          <w:lang w:val="en-GB"/>
        </w:rPr>
        <w:t>alleged</w:t>
      </w:r>
      <w:r w:rsidR="00D642AA" w:rsidRPr="009512AF">
        <w:rPr>
          <w:rFonts w:cs="Arial"/>
          <w:lang w:val="en-GB"/>
        </w:rPr>
        <w:t xml:space="preserve"> misconduct against </w:t>
      </w:r>
      <w:r w:rsidR="00504F65" w:rsidRPr="009512AF">
        <w:rPr>
          <w:rFonts w:cs="Arial"/>
          <w:lang w:val="en-GB"/>
        </w:rPr>
        <w:t>Mr Heradien</w:t>
      </w:r>
      <w:r w:rsidR="00E771EB" w:rsidRPr="009512AF">
        <w:rPr>
          <w:rFonts w:cs="Arial"/>
          <w:lang w:val="en-GB"/>
        </w:rPr>
        <w:t>,</w:t>
      </w:r>
      <w:r w:rsidR="00B7666E" w:rsidRPr="009512AF">
        <w:rPr>
          <w:rFonts w:cs="Arial"/>
          <w:lang w:val="en-GB"/>
        </w:rPr>
        <w:t xml:space="preserve"> in that </w:t>
      </w:r>
      <w:r w:rsidR="0012492E" w:rsidRPr="009512AF">
        <w:rPr>
          <w:rFonts w:cs="Arial"/>
          <w:lang w:val="en-GB"/>
        </w:rPr>
        <w:t>he was alleged to have breached clauses</w:t>
      </w:r>
      <w:r w:rsidR="00E771EB" w:rsidRPr="009512AF">
        <w:rPr>
          <w:rFonts w:cs="Arial"/>
          <w:lang w:val="en-GB"/>
        </w:rPr>
        <w:t> </w:t>
      </w:r>
      <w:r w:rsidR="0012492E" w:rsidRPr="009512AF">
        <w:rPr>
          <w:rFonts w:cs="Arial"/>
          <w:lang w:val="en-GB"/>
        </w:rPr>
        <w:t>2.5.3.3, and/or 2.5.3.6 and 2.5.3.7 of the constitution of ICOSA (‘the constitution’).</w:t>
      </w:r>
      <w:r w:rsidR="0012492E" w:rsidRPr="009512AF">
        <w:rPr>
          <w:rStyle w:val="FootnoteReference"/>
          <w:rFonts w:cs="Arial"/>
          <w:lang w:val="en-GB"/>
        </w:rPr>
        <w:footnoteReference w:id="3"/>
      </w:r>
      <w:r w:rsidR="00A520B1" w:rsidRPr="009512AF">
        <w:rPr>
          <w:rFonts w:cs="Arial"/>
          <w:lang w:val="en-GB"/>
        </w:rPr>
        <w:t xml:space="preserve">  It appears, however, that no further steps were taken in respect of these allegations of misconduct against Mr Heradien.</w:t>
      </w:r>
    </w:p>
    <w:p w:rsidR="00A520B1" w:rsidRPr="009512AF" w:rsidRDefault="007F1CDF" w:rsidP="007F1CDF">
      <w:pPr>
        <w:snapToGrid w:val="0"/>
        <w:spacing w:before="120" w:after="360" w:line="480" w:lineRule="auto"/>
        <w:ind w:hanging="6"/>
        <w:jc w:val="both"/>
        <w:rPr>
          <w:rFonts w:cs="Arial"/>
          <w:lang w:val="en-GB"/>
        </w:rPr>
      </w:pPr>
      <w:r w:rsidRPr="009512AF">
        <w:rPr>
          <w:rFonts w:cs="Arial"/>
          <w:lang w:val="en-GB"/>
        </w:rPr>
        <w:t>[7]</w:t>
      </w:r>
      <w:r w:rsidRPr="009512AF">
        <w:rPr>
          <w:rFonts w:cs="Arial"/>
          <w:lang w:val="en-GB"/>
        </w:rPr>
        <w:tab/>
      </w:r>
      <w:r w:rsidR="00D529BC" w:rsidRPr="009512AF">
        <w:rPr>
          <w:rFonts w:cs="Arial"/>
          <w:lang w:val="en-GB"/>
        </w:rPr>
        <w:t xml:space="preserve">On 17 November 2023 Mr Heradien received </w:t>
      </w:r>
      <w:r w:rsidR="00E4002B" w:rsidRPr="009512AF">
        <w:rPr>
          <w:rFonts w:cs="Arial"/>
          <w:lang w:val="en-GB"/>
        </w:rPr>
        <w:t xml:space="preserve">a letter from the first respondent </w:t>
      </w:r>
      <w:r w:rsidR="00772140" w:rsidRPr="009512AF">
        <w:rPr>
          <w:rFonts w:cs="Arial"/>
          <w:lang w:val="en-GB"/>
        </w:rPr>
        <w:t xml:space="preserve">in which </w:t>
      </w:r>
      <w:r w:rsidR="00AB2FD8" w:rsidRPr="009512AF">
        <w:rPr>
          <w:rFonts w:cs="Arial"/>
          <w:lang w:val="en-GB"/>
        </w:rPr>
        <w:t>he</w:t>
      </w:r>
      <w:r w:rsidR="00772140" w:rsidRPr="009512AF">
        <w:rPr>
          <w:rFonts w:cs="Arial"/>
          <w:lang w:val="en-GB"/>
        </w:rPr>
        <w:t xml:space="preserve"> was informed that he had not paid his monthly </w:t>
      </w:r>
      <w:r w:rsidR="00C17036" w:rsidRPr="009512AF">
        <w:rPr>
          <w:rFonts w:cs="Arial"/>
          <w:lang w:val="en-GB"/>
        </w:rPr>
        <w:t>councillor contribution to ICOSA which had been due on 7 November 2023</w:t>
      </w:r>
      <w:r w:rsidR="00AB2FD8" w:rsidRPr="009512AF">
        <w:rPr>
          <w:rFonts w:cs="Arial"/>
          <w:lang w:val="en-GB"/>
        </w:rPr>
        <w:t>,</w:t>
      </w:r>
      <w:r w:rsidR="00C17036" w:rsidRPr="009512AF">
        <w:rPr>
          <w:rFonts w:cs="Arial"/>
          <w:lang w:val="en-GB"/>
        </w:rPr>
        <w:t xml:space="preserve"> and affording </w:t>
      </w:r>
      <w:r w:rsidR="00AB2FD8" w:rsidRPr="009512AF">
        <w:rPr>
          <w:rFonts w:cs="Arial"/>
          <w:lang w:val="en-GB"/>
        </w:rPr>
        <w:t>him</w:t>
      </w:r>
      <w:r w:rsidR="00835A42" w:rsidRPr="009512AF">
        <w:rPr>
          <w:rFonts w:cs="Arial"/>
          <w:lang w:val="en-GB"/>
        </w:rPr>
        <w:t xml:space="preserve"> </w:t>
      </w:r>
      <w:r w:rsidR="00E86BA7" w:rsidRPr="009512AF">
        <w:rPr>
          <w:rFonts w:cs="Arial"/>
          <w:lang w:val="en-GB"/>
        </w:rPr>
        <w:t>three</w:t>
      </w:r>
      <w:r w:rsidR="00835A42" w:rsidRPr="009512AF">
        <w:rPr>
          <w:rFonts w:cs="Arial"/>
          <w:lang w:val="en-GB"/>
        </w:rPr>
        <w:t xml:space="preserve"> days to settle </w:t>
      </w:r>
      <w:r w:rsidR="00AB2FD8" w:rsidRPr="009512AF">
        <w:rPr>
          <w:rFonts w:cs="Arial"/>
          <w:lang w:val="en-GB"/>
        </w:rPr>
        <w:t>his</w:t>
      </w:r>
      <w:r w:rsidR="00835A42" w:rsidRPr="009512AF">
        <w:rPr>
          <w:rFonts w:cs="Arial"/>
          <w:lang w:val="en-GB"/>
        </w:rPr>
        <w:t xml:space="preserve"> outstanding dues. </w:t>
      </w:r>
    </w:p>
    <w:p w:rsidR="00E86BA7" w:rsidRPr="009512AF" w:rsidRDefault="007F1CDF" w:rsidP="007F1CDF">
      <w:pPr>
        <w:snapToGrid w:val="0"/>
        <w:spacing w:before="120" w:after="360" w:line="480" w:lineRule="auto"/>
        <w:ind w:hanging="6"/>
        <w:jc w:val="both"/>
        <w:rPr>
          <w:rFonts w:cs="Arial"/>
          <w:lang w:val="en-GB"/>
        </w:rPr>
      </w:pPr>
      <w:r w:rsidRPr="009512AF">
        <w:rPr>
          <w:rFonts w:cs="Arial"/>
          <w:lang w:val="en-GB"/>
        </w:rPr>
        <w:t>[8]</w:t>
      </w:r>
      <w:r w:rsidRPr="009512AF">
        <w:rPr>
          <w:rFonts w:cs="Arial"/>
          <w:lang w:val="en-GB"/>
        </w:rPr>
        <w:tab/>
      </w:r>
      <w:r w:rsidR="007304EB" w:rsidRPr="009512AF">
        <w:rPr>
          <w:rFonts w:cs="Arial"/>
          <w:lang w:val="en-GB"/>
        </w:rPr>
        <w:t>The respondents contend that correspondence was sent to ICOSA members</w:t>
      </w:r>
      <w:r w:rsidR="00AB2FD8" w:rsidRPr="009512AF">
        <w:rPr>
          <w:rFonts w:cs="Arial"/>
          <w:lang w:val="en-GB"/>
        </w:rPr>
        <w:t>,</w:t>
      </w:r>
      <w:r w:rsidR="007304EB" w:rsidRPr="009512AF">
        <w:rPr>
          <w:rFonts w:cs="Arial"/>
          <w:lang w:val="en-GB"/>
        </w:rPr>
        <w:t xml:space="preserve"> including Mr Heradien</w:t>
      </w:r>
      <w:r w:rsidR="00AB2FD8" w:rsidRPr="009512AF">
        <w:rPr>
          <w:rFonts w:cs="Arial"/>
          <w:lang w:val="en-GB"/>
        </w:rPr>
        <w:t>,</w:t>
      </w:r>
      <w:r w:rsidR="007304EB" w:rsidRPr="009512AF">
        <w:rPr>
          <w:rFonts w:cs="Arial"/>
          <w:lang w:val="en-GB"/>
        </w:rPr>
        <w:t xml:space="preserve"> advising them that they </w:t>
      </w:r>
      <w:r w:rsidR="00E9029E" w:rsidRPr="009512AF">
        <w:rPr>
          <w:rFonts w:cs="Arial"/>
          <w:lang w:val="en-GB"/>
        </w:rPr>
        <w:t xml:space="preserve">were required to urgently renew their membership before 18h00 on 22 November 2023 in anticipation of </w:t>
      </w:r>
      <w:r w:rsidR="00371248" w:rsidRPr="009512AF">
        <w:rPr>
          <w:rFonts w:cs="Arial"/>
          <w:lang w:val="en-GB"/>
        </w:rPr>
        <w:t xml:space="preserve">the upcoming national congress which was scheduled for 8 December 2023.  Mr Heradien denies having received this correspondence.  </w:t>
      </w:r>
      <w:r w:rsidR="0078312A" w:rsidRPr="009512AF">
        <w:rPr>
          <w:rFonts w:cs="Arial"/>
          <w:lang w:val="en-GB"/>
        </w:rPr>
        <w:t xml:space="preserve">It appears to be common cause that </w:t>
      </w:r>
      <w:r w:rsidR="0078312A" w:rsidRPr="009512AF">
        <w:rPr>
          <w:rFonts w:cs="Arial"/>
          <w:lang w:val="en-GB"/>
        </w:rPr>
        <w:lastRenderedPageBreak/>
        <w:t>Mr Heradien did not</w:t>
      </w:r>
      <w:r w:rsidR="00371248" w:rsidRPr="009512AF">
        <w:rPr>
          <w:rFonts w:cs="Arial"/>
          <w:lang w:val="en-GB"/>
        </w:rPr>
        <w:t xml:space="preserve"> attend a meeting </w:t>
      </w:r>
      <w:r w:rsidR="003202C9" w:rsidRPr="009512AF">
        <w:rPr>
          <w:rFonts w:cs="Arial"/>
          <w:lang w:val="en-GB"/>
        </w:rPr>
        <w:t>held on 18 November 2023</w:t>
      </w:r>
      <w:r w:rsidR="0078312A" w:rsidRPr="009512AF">
        <w:rPr>
          <w:rFonts w:cs="Arial"/>
          <w:lang w:val="en-GB"/>
        </w:rPr>
        <w:t xml:space="preserve"> at which ICOSA members were reminded to renew their membership of the party</w:t>
      </w:r>
      <w:r w:rsidR="007244D4" w:rsidRPr="009512AF">
        <w:rPr>
          <w:rFonts w:cs="Arial"/>
          <w:lang w:val="en-GB"/>
        </w:rPr>
        <w:t xml:space="preserve"> before 22 November 2023.</w:t>
      </w:r>
    </w:p>
    <w:p w:rsidR="001B78D1" w:rsidRPr="009512AF" w:rsidRDefault="007F1CDF" w:rsidP="007F1CDF">
      <w:pPr>
        <w:snapToGrid w:val="0"/>
        <w:spacing w:before="120" w:after="360" w:line="480" w:lineRule="auto"/>
        <w:ind w:hanging="6"/>
        <w:jc w:val="both"/>
        <w:rPr>
          <w:rFonts w:cs="Arial"/>
          <w:lang w:val="en-GB"/>
        </w:rPr>
      </w:pPr>
      <w:r w:rsidRPr="009512AF">
        <w:rPr>
          <w:rFonts w:cs="Arial"/>
          <w:lang w:val="en-GB"/>
        </w:rPr>
        <w:t>[9]</w:t>
      </w:r>
      <w:r w:rsidRPr="009512AF">
        <w:rPr>
          <w:rFonts w:cs="Arial"/>
          <w:lang w:val="en-GB"/>
        </w:rPr>
        <w:tab/>
      </w:r>
      <w:r w:rsidR="001B78D1" w:rsidRPr="009512AF">
        <w:rPr>
          <w:rFonts w:cs="Arial"/>
          <w:lang w:val="en-GB"/>
        </w:rPr>
        <w:t xml:space="preserve">It is, however, not in dispute that Mr Heradien </w:t>
      </w:r>
      <w:r w:rsidR="005B41A3" w:rsidRPr="009512AF">
        <w:rPr>
          <w:rFonts w:cs="Arial"/>
          <w:lang w:val="en-GB"/>
        </w:rPr>
        <w:t xml:space="preserve">received the 17 November 2023 letter in which he was informed that he had not paid his </w:t>
      </w:r>
      <w:r w:rsidR="00791FC6" w:rsidRPr="009512AF">
        <w:rPr>
          <w:rFonts w:cs="Arial"/>
          <w:lang w:val="en-GB"/>
        </w:rPr>
        <w:t xml:space="preserve">monthly councillor contribution to ICOSA </w:t>
      </w:r>
      <w:r w:rsidR="005B41A3" w:rsidRPr="009512AF">
        <w:rPr>
          <w:rFonts w:cs="Arial"/>
          <w:lang w:val="en-GB"/>
        </w:rPr>
        <w:t>and it is further not in dispute that he received a further letter dated 27 November 2023</w:t>
      </w:r>
      <w:r w:rsidR="00CA1A37" w:rsidRPr="009512AF">
        <w:rPr>
          <w:rFonts w:cs="Arial"/>
          <w:lang w:val="en-GB"/>
        </w:rPr>
        <w:t xml:space="preserve"> i</w:t>
      </w:r>
      <w:r w:rsidR="000A1B4F" w:rsidRPr="009512AF">
        <w:rPr>
          <w:rFonts w:cs="Arial"/>
          <w:lang w:val="en-GB"/>
        </w:rPr>
        <w:t xml:space="preserve">n which he was again advised that he had not paid his monthly councillor contribution to ICOSA </w:t>
      </w:r>
      <w:r w:rsidR="00791FC6" w:rsidRPr="009512AF">
        <w:rPr>
          <w:rFonts w:cs="Arial"/>
          <w:lang w:val="en-GB"/>
        </w:rPr>
        <w:t>,</w:t>
      </w:r>
      <w:r w:rsidR="000A1B4F" w:rsidRPr="009512AF">
        <w:rPr>
          <w:rFonts w:cs="Arial"/>
          <w:lang w:val="en-GB"/>
        </w:rPr>
        <w:t>and in which he was advised to pay his outstanding dues by the close of business on that day (that is 27 November 2023).</w:t>
      </w:r>
      <w:r w:rsidR="001C22C5" w:rsidRPr="009512AF">
        <w:rPr>
          <w:rFonts w:cs="Arial"/>
          <w:lang w:val="en-GB"/>
        </w:rPr>
        <w:t xml:space="preserve"> </w:t>
      </w:r>
    </w:p>
    <w:p w:rsidR="00B620D0" w:rsidRPr="009512AF" w:rsidRDefault="007F1CDF" w:rsidP="007F1CDF">
      <w:pPr>
        <w:snapToGrid w:val="0"/>
        <w:spacing w:before="120" w:after="360" w:line="480" w:lineRule="auto"/>
        <w:ind w:hanging="6"/>
        <w:jc w:val="both"/>
        <w:rPr>
          <w:rFonts w:cs="Arial"/>
          <w:lang w:val="en-GB"/>
        </w:rPr>
      </w:pPr>
      <w:r w:rsidRPr="009512AF">
        <w:rPr>
          <w:rFonts w:cs="Arial"/>
          <w:lang w:val="en-GB"/>
        </w:rPr>
        <w:t>[10]</w:t>
      </w:r>
      <w:r w:rsidRPr="009512AF">
        <w:rPr>
          <w:rFonts w:cs="Arial"/>
          <w:lang w:val="en-GB"/>
        </w:rPr>
        <w:tab/>
      </w:r>
      <w:r w:rsidR="006319F4" w:rsidRPr="009512AF">
        <w:rPr>
          <w:rFonts w:cs="Arial"/>
          <w:lang w:val="en-GB"/>
        </w:rPr>
        <w:t xml:space="preserve">Mr Heradien does not deny that he failed to pay his membership dues to the </w:t>
      </w:r>
      <w:r w:rsidR="00E62CD0" w:rsidRPr="009512AF">
        <w:rPr>
          <w:rFonts w:cs="Arial"/>
          <w:lang w:val="en-GB"/>
        </w:rPr>
        <w:t xml:space="preserve">NEC.  He contends in the replying affidavit that </w:t>
      </w:r>
      <w:r w:rsidR="00605011" w:rsidRPr="009512AF">
        <w:rPr>
          <w:rFonts w:cs="Arial"/>
          <w:lang w:val="en-GB"/>
        </w:rPr>
        <w:t xml:space="preserve">he had in fact paid his monthly contributions to </w:t>
      </w:r>
      <w:r w:rsidR="00605011" w:rsidRPr="009512AF">
        <w:rPr>
          <w:rFonts w:cs="Arial"/>
          <w:i/>
          <w:iCs/>
          <w:lang w:val="en-GB"/>
        </w:rPr>
        <w:t>“the Western Cape Division of ICOSA</w:t>
      </w:r>
      <w:r w:rsidR="00416608" w:rsidRPr="009512AF">
        <w:rPr>
          <w:rFonts w:cs="Arial"/>
          <w:i/>
          <w:iCs/>
          <w:lang w:val="en-GB"/>
        </w:rPr>
        <w:t xml:space="preserve"> which [he] recognized (sic) as the only legitimate structure of ICOSA”.</w:t>
      </w:r>
      <w:r w:rsidR="00416608" w:rsidRPr="009512AF">
        <w:rPr>
          <w:rFonts w:cs="Arial"/>
          <w:lang w:val="en-GB"/>
        </w:rPr>
        <w:t xml:space="preserve">  </w:t>
      </w:r>
      <w:r w:rsidR="00ED2315" w:rsidRPr="009512AF">
        <w:rPr>
          <w:rFonts w:cs="Arial"/>
          <w:lang w:val="en-GB"/>
        </w:rPr>
        <w:t xml:space="preserve">It appears </w:t>
      </w:r>
      <w:r w:rsidR="0061372A" w:rsidRPr="009512AF">
        <w:rPr>
          <w:rFonts w:cs="Arial"/>
          <w:lang w:val="en-GB"/>
        </w:rPr>
        <w:t xml:space="preserve">from the papers </w:t>
      </w:r>
      <w:r w:rsidR="00ED2315" w:rsidRPr="009512AF">
        <w:rPr>
          <w:rFonts w:cs="Arial"/>
          <w:lang w:val="en-GB"/>
        </w:rPr>
        <w:t>that Mr Heradien and certain other ICOSA members took issue with the legitimacy of the NEC</w:t>
      </w:r>
      <w:r w:rsidR="00320B10" w:rsidRPr="009512AF">
        <w:rPr>
          <w:rFonts w:cs="Arial"/>
          <w:lang w:val="en-GB"/>
        </w:rPr>
        <w:t>,</w:t>
      </w:r>
      <w:r w:rsidR="00ED2315" w:rsidRPr="009512AF">
        <w:rPr>
          <w:rFonts w:cs="Arial"/>
          <w:lang w:val="en-GB"/>
        </w:rPr>
        <w:t xml:space="preserve"> and as a consequence, ceased paying </w:t>
      </w:r>
      <w:r w:rsidR="00320B10" w:rsidRPr="009512AF">
        <w:rPr>
          <w:rFonts w:cs="Arial"/>
          <w:lang w:val="en-GB"/>
        </w:rPr>
        <w:t xml:space="preserve">their </w:t>
      </w:r>
      <w:r w:rsidR="00ED2315" w:rsidRPr="009512AF">
        <w:rPr>
          <w:rFonts w:cs="Arial"/>
          <w:lang w:val="en-GB"/>
        </w:rPr>
        <w:t>membership dues to the bank account controlled by the NEC</w:t>
      </w:r>
      <w:r w:rsidR="0061372A" w:rsidRPr="009512AF">
        <w:rPr>
          <w:rFonts w:cs="Arial"/>
          <w:lang w:val="en-GB"/>
        </w:rPr>
        <w:t xml:space="preserve">.  The contention in the replying affidavit is that </w:t>
      </w:r>
      <w:r w:rsidR="004A0DD9" w:rsidRPr="009512AF">
        <w:rPr>
          <w:rFonts w:cs="Arial"/>
          <w:lang w:val="en-GB"/>
        </w:rPr>
        <w:t xml:space="preserve">Mr Heradien and those </w:t>
      </w:r>
      <w:r w:rsidR="00320B10" w:rsidRPr="009512AF">
        <w:rPr>
          <w:rFonts w:cs="Arial"/>
          <w:lang w:val="en-GB"/>
        </w:rPr>
        <w:t xml:space="preserve">other ICOSA members </w:t>
      </w:r>
      <w:r w:rsidR="00ED2315" w:rsidRPr="009512AF">
        <w:rPr>
          <w:rFonts w:cs="Arial"/>
          <w:lang w:val="en-GB"/>
        </w:rPr>
        <w:t xml:space="preserve">instead took a decision to pay </w:t>
      </w:r>
      <w:r w:rsidR="00320B10" w:rsidRPr="009512AF">
        <w:rPr>
          <w:rFonts w:cs="Arial"/>
          <w:lang w:val="en-GB"/>
        </w:rPr>
        <w:t xml:space="preserve">their </w:t>
      </w:r>
      <w:r w:rsidR="00ED2315" w:rsidRPr="009512AF">
        <w:rPr>
          <w:rFonts w:cs="Arial"/>
          <w:lang w:val="en-GB"/>
        </w:rPr>
        <w:t xml:space="preserve">membership dues into a bank account </w:t>
      </w:r>
      <w:r w:rsidR="00ED2315" w:rsidRPr="009512AF">
        <w:rPr>
          <w:lang w:val="en-GB"/>
        </w:rPr>
        <w:t xml:space="preserve">controlled by </w:t>
      </w:r>
      <w:r w:rsidR="00B82A44" w:rsidRPr="009512AF">
        <w:rPr>
          <w:lang w:val="en-GB"/>
        </w:rPr>
        <w:t xml:space="preserve">what appears to be a breakaway provincial structure. </w:t>
      </w:r>
      <w:r w:rsidR="00D221F7" w:rsidRPr="009512AF">
        <w:rPr>
          <w:lang w:val="en-GB"/>
        </w:rPr>
        <w:t xml:space="preserve"> Mr Heradien </w:t>
      </w:r>
      <w:r w:rsidR="00136E14" w:rsidRPr="009512AF">
        <w:rPr>
          <w:lang w:val="en-GB"/>
        </w:rPr>
        <w:t xml:space="preserve">in the replying affidavit </w:t>
      </w:r>
      <w:r w:rsidR="00D221F7" w:rsidRPr="009512AF">
        <w:rPr>
          <w:lang w:val="en-GB"/>
        </w:rPr>
        <w:t>contends that he paid his membership dues into this alternative bank account on 7 October 2023</w:t>
      </w:r>
      <w:r w:rsidR="00D221F7" w:rsidRPr="009512AF">
        <w:rPr>
          <w:rFonts w:cs="Arial"/>
          <w:lang w:val="en-GB"/>
        </w:rPr>
        <w:t xml:space="preserve">.  </w:t>
      </w:r>
    </w:p>
    <w:p w:rsidR="001F16A0" w:rsidRPr="009512AF" w:rsidRDefault="007F1CDF" w:rsidP="007F1CDF">
      <w:pPr>
        <w:snapToGrid w:val="0"/>
        <w:spacing w:before="120" w:after="360" w:line="480" w:lineRule="auto"/>
        <w:ind w:hanging="6"/>
        <w:jc w:val="both"/>
        <w:rPr>
          <w:rFonts w:cs="Arial"/>
          <w:lang w:val="en-GB"/>
        </w:rPr>
      </w:pPr>
      <w:r w:rsidRPr="009512AF">
        <w:rPr>
          <w:rFonts w:cs="Arial"/>
          <w:lang w:val="en-GB"/>
        </w:rPr>
        <w:t>[11]</w:t>
      </w:r>
      <w:r w:rsidRPr="009512AF">
        <w:rPr>
          <w:rFonts w:cs="Arial"/>
          <w:lang w:val="en-GB"/>
        </w:rPr>
        <w:tab/>
      </w:r>
      <w:r w:rsidR="00D04C34" w:rsidRPr="009512AF">
        <w:rPr>
          <w:rFonts w:cs="Arial"/>
          <w:lang w:val="en-GB"/>
        </w:rPr>
        <w:t>The respondents</w:t>
      </w:r>
      <w:r w:rsidR="00136E14" w:rsidRPr="009512AF">
        <w:rPr>
          <w:rFonts w:cs="Arial"/>
          <w:lang w:val="en-GB"/>
        </w:rPr>
        <w:t>, on the other hand,</w:t>
      </w:r>
      <w:r w:rsidR="00D04C34" w:rsidRPr="009512AF">
        <w:rPr>
          <w:rFonts w:cs="Arial"/>
          <w:lang w:val="en-GB"/>
        </w:rPr>
        <w:t xml:space="preserve"> contend that Mr Heradien’s membership terminated </w:t>
      </w:r>
      <w:r w:rsidR="007967E3" w:rsidRPr="009512AF">
        <w:rPr>
          <w:rFonts w:cs="Arial"/>
          <w:lang w:val="en-GB"/>
        </w:rPr>
        <w:t>automatically as provided for in clause</w:t>
      </w:r>
      <w:r w:rsidR="00136E14" w:rsidRPr="009512AF">
        <w:rPr>
          <w:rFonts w:cs="Arial"/>
          <w:lang w:val="en-GB"/>
        </w:rPr>
        <w:t> </w:t>
      </w:r>
      <w:r w:rsidR="007967E3" w:rsidRPr="009512AF">
        <w:rPr>
          <w:rFonts w:cs="Arial"/>
          <w:lang w:val="en-GB"/>
        </w:rPr>
        <w:t xml:space="preserve">3.3.1.4 read with clause 3.3.2 of the </w:t>
      </w:r>
      <w:r w:rsidR="00F32DB1" w:rsidRPr="009512AF">
        <w:rPr>
          <w:rFonts w:cs="Arial"/>
          <w:lang w:val="en-GB"/>
        </w:rPr>
        <w:lastRenderedPageBreak/>
        <w:t>constitution</w:t>
      </w:r>
      <w:r w:rsidR="00136E14" w:rsidRPr="009512AF">
        <w:rPr>
          <w:rFonts w:cs="Arial"/>
          <w:lang w:val="en-GB"/>
        </w:rPr>
        <w:t xml:space="preserve"> as a consequence of his failure to pay his membership dues by 22 November 2023.</w:t>
      </w:r>
    </w:p>
    <w:p w:rsidR="00F32DB1" w:rsidRPr="009512AF" w:rsidRDefault="007F1CDF" w:rsidP="007F1CDF">
      <w:pPr>
        <w:keepNext/>
        <w:keepLines/>
        <w:snapToGrid w:val="0"/>
        <w:spacing w:before="120" w:after="360" w:line="480" w:lineRule="auto"/>
        <w:ind w:hanging="6"/>
        <w:jc w:val="both"/>
        <w:rPr>
          <w:rFonts w:cs="Arial"/>
          <w:lang w:val="en-GB"/>
        </w:rPr>
      </w:pPr>
      <w:r w:rsidRPr="009512AF">
        <w:rPr>
          <w:rFonts w:cs="Arial"/>
          <w:lang w:val="en-GB"/>
        </w:rPr>
        <w:t>[12]</w:t>
      </w:r>
      <w:r w:rsidRPr="009512AF">
        <w:rPr>
          <w:rFonts w:cs="Arial"/>
          <w:lang w:val="en-GB"/>
        </w:rPr>
        <w:tab/>
      </w:r>
      <w:r w:rsidR="00F32DB1" w:rsidRPr="009512AF">
        <w:rPr>
          <w:rFonts w:cs="Arial"/>
          <w:lang w:val="en-GB"/>
        </w:rPr>
        <w:t>Mr Heradien was advised on 4 December 2023 that his membership</w:t>
      </w:r>
      <w:r w:rsidR="002379B6" w:rsidRPr="009512AF">
        <w:rPr>
          <w:rFonts w:cs="Arial"/>
          <w:lang w:val="en-GB"/>
        </w:rPr>
        <w:t xml:space="preserve"> of ICOSA</w:t>
      </w:r>
      <w:r w:rsidR="00F32DB1" w:rsidRPr="009512AF">
        <w:rPr>
          <w:rFonts w:cs="Arial"/>
          <w:lang w:val="en-GB"/>
        </w:rPr>
        <w:t xml:space="preserve"> had terminated. </w:t>
      </w:r>
      <w:r w:rsidR="002B3118" w:rsidRPr="009512AF">
        <w:rPr>
          <w:rFonts w:cs="Arial"/>
          <w:lang w:val="en-GB"/>
        </w:rPr>
        <w:t xml:space="preserve"> On 11 December 2023 </w:t>
      </w:r>
      <w:r w:rsidR="00423C2D" w:rsidRPr="009512AF">
        <w:rPr>
          <w:rFonts w:cs="Arial"/>
          <w:lang w:val="en-GB"/>
        </w:rPr>
        <w:t>the second respondent addressed correspondence to the Municipal Manager advising him of the termination of Mr</w:t>
      </w:r>
      <w:r w:rsidR="002379B6" w:rsidRPr="009512AF">
        <w:rPr>
          <w:rFonts w:cs="Arial"/>
          <w:lang w:val="en-GB"/>
        </w:rPr>
        <w:t> </w:t>
      </w:r>
      <w:r w:rsidR="00423C2D" w:rsidRPr="009512AF">
        <w:rPr>
          <w:rFonts w:cs="Arial"/>
          <w:lang w:val="en-GB"/>
        </w:rPr>
        <w:t>Heradien’s membership</w:t>
      </w:r>
      <w:r w:rsidR="002379B6" w:rsidRPr="009512AF">
        <w:rPr>
          <w:rFonts w:cs="Arial"/>
          <w:lang w:val="en-GB"/>
        </w:rPr>
        <w:t xml:space="preserve"> of ICOSA</w:t>
      </w:r>
      <w:r w:rsidR="00423C2D" w:rsidRPr="009512AF">
        <w:rPr>
          <w:rFonts w:cs="Arial"/>
          <w:lang w:val="en-GB"/>
        </w:rPr>
        <w:t xml:space="preserve">.  </w:t>
      </w:r>
      <w:r w:rsidR="00170E50" w:rsidRPr="009512AF">
        <w:rPr>
          <w:rFonts w:cs="Arial"/>
          <w:lang w:val="en-GB"/>
        </w:rPr>
        <w:t xml:space="preserve">On 12 December 2023 the Municipal Manager advised the IEC </w:t>
      </w:r>
      <w:r w:rsidR="00C14E22" w:rsidRPr="009512AF">
        <w:rPr>
          <w:rFonts w:cs="Arial"/>
          <w:lang w:val="en-GB"/>
        </w:rPr>
        <w:t xml:space="preserve">that </w:t>
      </w:r>
      <w:r w:rsidR="008925C8" w:rsidRPr="009512AF">
        <w:rPr>
          <w:rFonts w:cs="Arial"/>
          <w:lang w:val="en-GB"/>
        </w:rPr>
        <w:t xml:space="preserve">Mr Heradien </w:t>
      </w:r>
      <w:r w:rsidR="00826BEC" w:rsidRPr="009512AF">
        <w:rPr>
          <w:rFonts w:cs="Arial"/>
          <w:lang w:val="en-GB"/>
        </w:rPr>
        <w:t>was no longer</w:t>
      </w:r>
      <w:r w:rsidR="008925C8" w:rsidRPr="009512AF">
        <w:rPr>
          <w:rFonts w:cs="Arial"/>
          <w:lang w:val="en-GB"/>
        </w:rPr>
        <w:t xml:space="preserve"> a member of ICOSA and </w:t>
      </w:r>
      <w:r w:rsidR="007C1E88" w:rsidRPr="009512AF">
        <w:rPr>
          <w:rFonts w:cs="Arial"/>
          <w:lang w:val="en-GB"/>
        </w:rPr>
        <w:t>that in terms of s 27(c) of the Local Government Municipal Structures Act</w:t>
      </w:r>
      <w:r w:rsidR="002B6291" w:rsidRPr="009512AF">
        <w:rPr>
          <w:rFonts w:cs="Arial"/>
          <w:lang w:val="en-GB"/>
        </w:rPr>
        <w:t xml:space="preserve"> 117 of 1998 (‘the</w:t>
      </w:r>
      <w:r w:rsidR="00C14E22" w:rsidRPr="009512AF">
        <w:rPr>
          <w:rFonts w:cs="Arial"/>
          <w:lang w:val="en-GB"/>
        </w:rPr>
        <w:t> </w:t>
      </w:r>
      <w:r w:rsidR="002B6291" w:rsidRPr="009512AF">
        <w:rPr>
          <w:rFonts w:cs="Arial"/>
          <w:lang w:val="en-GB"/>
        </w:rPr>
        <w:t>Structures</w:t>
      </w:r>
      <w:r w:rsidR="00C14E22" w:rsidRPr="009512AF">
        <w:rPr>
          <w:rFonts w:cs="Arial"/>
          <w:lang w:val="en-GB"/>
        </w:rPr>
        <w:t> </w:t>
      </w:r>
      <w:r w:rsidR="002B6291" w:rsidRPr="009512AF">
        <w:rPr>
          <w:rFonts w:cs="Arial"/>
          <w:lang w:val="en-GB"/>
        </w:rPr>
        <w:t>Act’)</w:t>
      </w:r>
      <w:r w:rsidR="007C1E88" w:rsidRPr="009512AF">
        <w:rPr>
          <w:rFonts w:cs="Arial"/>
          <w:lang w:val="en-GB"/>
        </w:rPr>
        <w:t xml:space="preserve"> </w:t>
      </w:r>
      <w:r w:rsidR="00140080" w:rsidRPr="009512AF">
        <w:rPr>
          <w:rFonts w:cs="Arial"/>
          <w:lang w:val="en-GB"/>
        </w:rPr>
        <w:t xml:space="preserve">Mr Heradien had ceased to be a member of </w:t>
      </w:r>
      <w:r w:rsidR="00826BEC" w:rsidRPr="009512AF">
        <w:rPr>
          <w:rFonts w:cs="Arial"/>
          <w:lang w:val="en-GB"/>
        </w:rPr>
        <w:t xml:space="preserve">the Council and to hold office as a councillor. </w:t>
      </w:r>
    </w:p>
    <w:p w:rsidR="00FA593A" w:rsidRPr="009512AF" w:rsidRDefault="007F1CDF" w:rsidP="007F1CDF">
      <w:pPr>
        <w:snapToGrid w:val="0"/>
        <w:spacing w:before="120" w:after="360" w:line="480" w:lineRule="auto"/>
        <w:ind w:hanging="6"/>
        <w:jc w:val="both"/>
        <w:rPr>
          <w:rFonts w:cs="Arial"/>
          <w:lang w:val="en-GB"/>
        </w:rPr>
      </w:pPr>
      <w:r w:rsidRPr="009512AF">
        <w:rPr>
          <w:rFonts w:cs="Arial"/>
          <w:lang w:val="en-GB"/>
        </w:rPr>
        <w:t>[13]</w:t>
      </w:r>
      <w:r w:rsidRPr="009512AF">
        <w:rPr>
          <w:rFonts w:cs="Arial"/>
          <w:lang w:val="en-GB"/>
        </w:rPr>
        <w:tab/>
      </w:r>
      <w:r w:rsidR="00A54362" w:rsidRPr="009512AF">
        <w:rPr>
          <w:rFonts w:cs="Arial"/>
          <w:lang w:val="en-GB"/>
        </w:rPr>
        <w:t xml:space="preserve">On 18 December 2023 the IEC </w:t>
      </w:r>
      <w:r w:rsidR="0070414F" w:rsidRPr="009512AF">
        <w:rPr>
          <w:rFonts w:cs="Arial"/>
          <w:lang w:val="en-GB"/>
        </w:rPr>
        <w:t xml:space="preserve">advised the Municipal Manager that Mr Nel had been declared </w:t>
      </w:r>
      <w:r w:rsidR="00EC5270" w:rsidRPr="009512AF">
        <w:rPr>
          <w:rFonts w:cs="Arial"/>
          <w:lang w:val="en-GB"/>
        </w:rPr>
        <w:t>elected to the Council, being the candidate at the top of the ICOSA party list</w:t>
      </w:r>
      <w:r w:rsidR="000D0261" w:rsidRPr="009512AF">
        <w:rPr>
          <w:rFonts w:cs="Arial"/>
          <w:lang w:val="en-GB"/>
        </w:rPr>
        <w:t>,</w:t>
      </w:r>
      <w:r w:rsidR="00EC5270" w:rsidRPr="009512AF">
        <w:rPr>
          <w:rFonts w:cs="Arial"/>
          <w:lang w:val="en-GB"/>
        </w:rPr>
        <w:t xml:space="preserve"> and that Mr Nel had replaced Mr Heradien</w:t>
      </w:r>
      <w:r w:rsidR="0016415D" w:rsidRPr="009512AF">
        <w:rPr>
          <w:rFonts w:cs="Arial"/>
          <w:lang w:val="en-GB"/>
        </w:rPr>
        <w:t xml:space="preserve"> as the ICOSA PR councillor. </w:t>
      </w:r>
    </w:p>
    <w:p w:rsidR="00FA593A" w:rsidRPr="009512AF" w:rsidRDefault="00FA593A" w:rsidP="00AA53AB">
      <w:pPr>
        <w:pStyle w:val="Heading1"/>
        <w:rPr>
          <w:lang w:val="en-GB"/>
        </w:rPr>
      </w:pPr>
      <w:r w:rsidRPr="009512AF">
        <w:rPr>
          <w:lang w:val="en-GB"/>
        </w:rPr>
        <w:t>THE INTERIM RELIEF SOUGHT</w:t>
      </w:r>
    </w:p>
    <w:p w:rsidR="00491610" w:rsidRPr="009512AF" w:rsidRDefault="007F1CDF" w:rsidP="007F1CDF">
      <w:pPr>
        <w:snapToGrid w:val="0"/>
        <w:spacing w:before="120" w:after="360" w:line="480" w:lineRule="auto"/>
        <w:ind w:hanging="6"/>
        <w:jc w:val="both"/>
        <w:rPr>
          <w:rFonts w:cs="Arial"/>
          <w:lang w:val="en-GB"/>
        </w:rPr>
      </w:pPr>
      <w:r w:rsidRPr="009512AF">
        <w:rPr>
          <w:rFonts w:cs="Arial"/>
          <w:lang w:val="en-GB"/>
        </w:rPr>
        <w:t>[14]</w:t>
      </w:r>
      <w:r w:rsidRPr="009512AF">
        <w:rPr>
          <w:rFonts w:cs="Arial"/>
          <w:lang w:val="en-GB"/>
        </w:rPr>
        <w:tab/>
      </w:r>
      <w:r w:rsidR="000F0FE4" w:rsidRPr="009512AF">
        <w:rPr>
          <w:rFonts w:cs="Arial"/>
          <w:lang w:val="en-GB"/>
        </w:rPr>
        <w:t>The well-established requisites for an interim interdict are</w:t>
      </w:r>
      <w:r w:rsidR="000F0FE4" w:rsidRPr="009512AF">
        <w:rPr>
          <w:rStyle w:val="FootnoteReference"/>
          <w:rFonts w:cs="Arial"/>
          <w:lang w:val="en-GB"/>
        </w:rPr>
        <w:footnoteReference w:id="4"/>
      </w:r>
      <w:r w:rsidR="00491610" w:rsidRPr="009512AF">
        <w:rPr>
          <w:rFonts w:cs="Arial"/>
          <w:lang w:val="en-GB"/>
        </w:rPr>
        <w:t xml:space="preserve"> </w:t>
      </w:r>
      <w:r w:rsidR="006C259F" w:rsidRPr="009512AF">
        <w:rPr>
          <w:rFonts w:cs="Arial"/>
          <w:lang w:val="en-GB"/>
        </w:rPr>
        <w:t xml:space="preserve">a </w:t>
      </w:r>
      <w:r w:rsidR="006C259F" w:rsidRPr="009512AF">
        <w:rPr>
          <w:rFonts w:cs="Arial"/>
          <w:i/>
          <w:lang w:val="en-GB"/>
        </w:rPr>
        <w:t xml:space="preserve">prima facie </w:t>
      </w:r>
      <w:r w:rsidR="006C259F" w:rsidRPr="009512AF">
        <w:rPr>
          <w:rFonts w:cs="Arial"/>
          <w:lang w:val="en-GB"/>
        </w:rPr>
        <w:t xml:space="preserve">right, namely </w:t>
      </w:r>
      <w:r w:rsidR="006C259F" w:rsidRPr="009512AF">
        <w:rPr>
          <w:rFonts w:cs="Arial"/>
          <w:i/>
          <w:lang w:val="en-GB"/>
        </w:rPr>
        <w:t xml:space="preserve">prima facie </w:t>
      </w:r>
      <w:r w:rsidR="006C259F" w:rsidRPr="009512AF">
        <w:rPr>
          <w:rFonts w:cs="Arial"/>
          <w:lang w:val="en-GB"/>
        </w:rPr>
        <w:t>proof of facts that establish the existence of a right in terms of substantive law;</w:t>
      </w:r>
      <w:r w:rsidR="006C259F" w:rsidRPr="009512AF">
        <w:rPr>
          <w:rStyle w:val="FootnoteReference"/>
          <w:rFonts w:cs="Arial"/>
          <w:lang w:val="en-GB"/>
        </w:rPr>
        <w:footnoteReference w:id="5"/>
      </w:r>
      <w:r w:rsidR="00491610" w:rsidRPr="009512AF">
        <w:rPr>
          <w:rFonts w:cs="Arial"/>
          <w:lang w:val="en-GB"/>
        </w:rPr>
        <w:t xml:space="preserve"> </w:t>
      </w:r>
      <w:r w:rsidR="006C259F" w:rsidRPr="009512AF">
        <w:rPr>
          <w:rFonts w:cs="Arial"/>
          <w:lang w:val="en-GB"/>
        </w:rPr>
        <w:t>a well-grounded apprehension of irreparable harm if the interim relief is not granted, and the ultimate relief is eventually granted</w:t>
      </w:r>
      <w:r w:rsidR="00FE62D8" w:rsidRPr="009512AF">
        <w:rPr>
          <w:rFonts w:cs="Arial"/>
          <w:lang w:val="en-GB"/>
        </w:rPr>
        <w:t>;</w:t>
      </w:r>
      <w:r w:rsidR="00491610" w:rsidRPr="009512AF">
        <w:rPr>
          <w:rFonts w:cs="Arial"/>
          <w:lang w:val="en-GB"/>
        </w:rPr>
        <w:t xml:space="preserve"> </w:t>
      </w:r>
      <w:r w:rsidR="006C259F" w:rsidRPr="009512AF">
        <w:rPr>
          <w:rFonts w:cs="Arial"/>
          <w:lang w:val="en-GB"/>
        </w:rPr>
        <w:t xml:space="preserve">that the balance of </w:t>
      </w:r>
      <w:r w:rsidR="006C259F" w:rsidRPr="009512AF">
        <w:rPr>
          <w:rFonts w:cs="Arial"/>
          <w:lang w:val="en-GB"/>
        </w:rPr>
        <w:lastRenderedPageBreak/>
        <w:t>convenience favours the granting of an interim interdict;</w:t>
      </w:r>
      <w:r w:rsidR="008D2A88" w:rsidRPr="009512AF">
        <w:rPr>
          <w:rFonts w:cs="Arial"/>
          <w:lang w:val="en-GB"/>
        </w:rPr>
        <w:t xml:space="preserve"> </w:t>
      </w:r>
      <w:r w:rsidR="006C259F" w:rsidRPr="009512AF">
        <w:rPr>
          <w:rFonts w:cs="Arial"/>
          <w:lang w:val="en-GB"/>
        </w:rPr>
        <w:t>and</w:t>
      </w:r>
      <w:r w:rsidR="00491610" w:rsidRPr="009512AF">
        <w:rPr>
          <w:rFonts w:cs="Arial"/>
          <w:lang w:val="en-GB"/>
        </w:rPr>
        <w:t xml:space="preserve"> </w:t>
      </w:r>
      <w:r w:rsidR="006C259F" w:rsidRPr="009512AF">
        <w:rPr>
          <w:rFonts w:cs="Arial"/>
          <w:lang w:val="en-GB"/>
        </w:rPr>
        <w:t>that the applicant has no other satisfactory remedy.</w:t>
      </w:r>
      <w:r w:rsidR="00491610" w:rsidRPr="009512AF">
        <w:rPr>
          <w:rFonts w:cs="Arial"/>
          <w:lang w:val="en-GB"/>
        </w:rPr>
        <w:t xml:space="preserve"> </w:t>
      </w:r>
    </w:p>
    <w:p w:rsidR="006D3F64" w:rsidRPr="009512AF" w:rsidRDefault="007F1CDF" w:rsidP="007F1CDF">
      <w:pPr>
        <w:snapToGrid w:val="0"/>
        <w:spacing w:before="120" w:after="360" w:line="480" w:lineRule="auto"/>
        <w:ind w:hanging="6"/>
        <w:jc w:val="both"/>
        <w:rPr>
          <w:rFonts w:cs="Arial"/>
          <w:lang w:val="en-GB"/>
        </w:rPr>
      </w:pPr>
      <w:r w:rsidRPr="009512AF">
        <w:rPr>
          <w:rFonts w:cs="Arial"/>
          <w:lang w:val="en-GB"/>
        </w:rPr>
        <w:t>[15]</w:t>
      </w:r>
      <w:r w:rsidRPr="009512AF">
        <w:rPr>
          <w:rFonts w:cs="Arial"/>
          <w:lang w:val="en-GB"/>
        </w:rPr>
        <w:tab/>
      </w:r>
      <w:r w:rsidR="000F0FE4" w:rsidRPr="009512AF">
        <w:rPr>
          <w:rFonts w:cs="Arial"/>
          <w:lang w:val="en-GB"/>
        </w:rPr>
        <w:t>These requirements must not be considered separately or in isolation, but in conjunction with one another in order to determine whether the Court should exercise its discretion in favour of granting interim relief.</w:t>
      </w:r>
      <w:r w:rsidR="00782359" w:rsidRPr="009512AF">
        <w:rPr>
          <w:rStyle w:val="FootnoteReference"/>
          <w:lang w:val="en-GB"/>
        </w:rPr>
        <w:footnoteReference w:id="6"/>
      </w:r>
      <w:r w:rsidR="000F0FE4" w:rsidRPr="009512AF">
        <w:rPr>
          <w:rFonts w:cs="Arial"/>
          <w:lang w:val="en-GB"/>
        </w:rPr>
        <w:t xml:space="preserve">  </w:t>
      </w:r>
      <w:r w:rsidR="006D3F64" w:rsidRPr="009512AF">
        <w:rPr>
          <w:lang w:val="en-GB"/>
        </w:rPr>
        <w:t xml:space="preserve">Prospects of success in the main application is a key factor in determining whether interim relief </w:t>
      </w:r>
      <w:r w:rsidR="006D3F64" w:rsidRPr="009512AF">
        <w:rPr>
          <w:i/>
          <w:iCs/>
          <w:lang w:val="en-GB"/>
        </w:rPr>
        <w:t>pendente lite</w:t>
      </w:r>
      <w:r w:rsidR="006D3F64" w:rsidRPr="009512AF">
        <w:rPr>
          <w:lang w:val="en-GB"/>
        </w:rPr>
        <w:t xml:space="preserve"> should be granted, in that the stronger the prospects of success, the less the need for the balance of convenience to favour the applicant, and </w:t>
      </w:r>
      <w:r w:rsidR="006D3F64" w:rsidRPr="009512AF">
        <w:rPr>
          <w:i/>
          <w:iCs/>
          <w:lang w:val="en-GB"/>
        </w:rPr>
        <w:t>vice versa</w:t>
      </w:r>
      <w:r w:rsidR="006D3F64" w:rsidRPr="009512AF">
        <w:rPr>
          <w:lang w:val="en-GB"/>
        </w:rPr>
        <w:t>.</w:t>
      </w:r>
    </w:p>
    <w:p w:rsidR="000632FD" w:rsidRPr="009512AF" w:rsidRDefault="000632FD" w:rsidP="00AA53AB">
      <w:pPr>
        <w:pStyle w:val="Heading2"/>
        <w:rPr>
          <w:lang w:val="en-GB"/>
        </w:rPr>
      </w:pPr>
      <w:r w:rsidRPr="009512AF">
        <w:rPr>
          <w:lang w:val="en-GB"/>
        </w:rPr>
        <w:t>The prima facie right</w:t>
      </w:r>
    </w:p>
    <w:p w:rsidR="000F0FE4" w:rsidRPr="009512AF" w:rsidRDefault="007F1CDF" w:rsidP="007F1CDF">
      <w:pPr>
        <w:snapToGrid w:val="0"/>
        <w:spacing w:before="120" w:after="360" w:line="480" w:lineRule="auto"/>
        <w:ind w:hanging="6"/>
        <w:jc w:val="both"/>
        <w:rPr>
          <w:rFonts w:cs="Arial"/>
          <w:lang w:val="en-GB"/>
        </w:rPr>
      </w:pPr>
      <w:r w:rsidRPr="009512AF">
        <w:rPr>
          <w:rFonts w:cs="Arial"/>
          <w:lang w:val="en-GB"/>
        </w:rPr>
        <w:t>[16]</w:t>
      </w:r>
      <w:r w:rsidRPr="009512AF">
        <w:rPr>
          <w:rFonts w:cs="Arial"/>
          <w:lang w:val="en-GB"/>
        </w:rPr>
        <w:tab/>
      </w:r>
      <w:r w:rsidR="000F0FE4" w:rsidRPr="009512AF">
        <w:rPr>
          <w:rFonts w:cs="Arial"/>
          <w:i/>
          <w:lang w:val="en-GB"/>
        </w:rPr>
        <w:t xml:space="preserve">Prima facie </w:t>
      </w:r>
      <w:r w:rsidR="000F0FE4" w:rsidRPr="009512AF">
        <w:rPr>
          <w:rFonts w:cs="Arial"/>
          <w:lang w:val="en-GB"/>
        </w:rPr>
        <w:t>proof of facts for purposes of interim relief has been formulated as follows:</w:t>
      </w:r>
      <w:r w:rsidR="000F0FE4" w:rsidRPr="009512AF">
        <w:rPr>
          <w:rStyle w:val="FootnoteReference"/>
          <w:rFonts w:cs="Arial"/>
          <w:lang w:val="en-GB"/>
        </w:rPr>
        <w:footnoteReference w:id="7"/>
      </w:r>
      <w:r w:rsidR="000F0FE4" w:rsidRPr="009512AF">
        <w:rPr>
          <w:rFonts w:cs="Arial"/>
          <w:lang w:val="en-GB"/>
        </w:rPr>
        <w:t xml:space="preserve">  the right can be </w:t>
      </w:r>
      <w:r w:rsidR="000F0FE4" w:rsidRPr="009512AF">
        <w:rPr>
          <w:rFonts w:cs="Arial"/>
          <w:i/>
          <w:lang w:val="en-GB"/>
        </w:rPr>
        <w:t xml:space="preserve">prima facie </w:t>
      </w:r>
      <w:r w:rsidR="000F0FE4" w:rsidRPr="009512AF">
        <w:rPr>
          <w:rFonts w:cs="Arial"/>
          <w:lang w:val="en-GB"/>
        </w:rPr>
        <w:t>established, even if it is open to some doubt</w:t>
      </w:r>
      <w:r w:rsidR="001A4A28" w:rsidRPr="009512AF">
        <w:rPr>
          <w:rFonts w:cs="Arial"/>
          <w:lang w:val="en-GB"/>
        </w:rPr>
        <w:t>,</w:t>
      </w:r>
      <w:r w:rsidR="000F0FE4" w:rsidRPr="009512AF">
        <w:rPr>
          <w:rFonts w:cs="Arial"/>
          <w:lang w:val="en-GB"/>
        </w:rPr>
        <w:t xml:space="preserve"> mere acceptance of the applicant’s allegations is insufficient</w:t>
      </w:r>
      <w:r w:rsidR="001A4A28" w:rsidRPr="009512AF">
        <w:rPr>
          <w:rFonts w:cs="Arial"/>
          <w:lang w:val="en-GB"/>
        </w:rPr>
        <w:t>,</w:t>
      </w:r>
      <w:r w:rsidR="000F0FE4" w:rsidRPr="009512AF">
        <w:rPr>
          <w:rFonts w:cs="Arial"/>
          <w:lang w:val="en-GB"/>
        </w:rPr>
        <w:t xml:space="preserve"> but a weighing up of the probabilities of conflicting versions is not required.  The proper approach is (i) to consider the facts as set out by the applicant together with any facts set out by the respondents which the applicant cannot dispute; (ii) to decide whether, with regard to the inherent probabilities and the ultimate onus, the applicant could</w:t>
      </w:r>
      <w:r w:rsidR="000F0FE4" w:rsidRPr="009512AF">
        <w:rPr>
          <w:rStyle w:val="FootnoteReference"/>
          <w:rFonts w:cs="Arial"/>
          <w:lang w:val="en-GB"/>
        </w:rPr>
        <w:footnoteReference w:id="8"/>
      </w:r>
      <w:r w:rsidR="000F0FE4" w:rsidRPr="009512AF">
        <w:rPr>
          <w:rFonts w:cs="Arial"/>
          <w:lang w:val="en-GB"/>
        </w:rPr>
        <w:t xml:space="preserve"> on those facts obtain final relief in due course; and (iii) to then consider the facts set up in contradiction by the respondents, and if they throw serious doubt on the applicant’s case the latter cannot succeed.</w:t>
      </w:r>
    </w:p>
    <w:p w:rsidR="00A317CD" w:rsidRPr="009512AF" w:rsidRDefault="007F1CDF" w:rsidP="007F1CDF">
      <w:pPr>
        <w:snapToGrid w:val="0"/>
        <w:spacing w:before="120" w:after="360" w:line="480" w:lineRule="auto"/>
        <w:ind w:hanging="6"/>
        <w:jc w:val="both"/>
        <w:rPr>
          <w:rStyle w:val="markedcontent"/>
          <w:rFonts w:cs="Arial"/>
          <w:lang w:val="en-GB"/>
        </w:rPr>
      </w:pPr>
      <w:r w:rsidRPr="009512AF">
        <w:rPr>
          <w:rStyle w:val="markedcontent"/>
          <w:rFonts w:cs="Arial"/>
          <w:lang w:val="en-GB"/>
        </w:rPr>
        <w:lastRenderedPageBreak/>
        <w:t>[17]</w:t>
      </w:r>
      <w:r w:rsidRPr="009512AF">
        <w:rPr>
          <w:rStyle w:val="markedcontent"/>
          <w:rFonts w:cs="Arial"/>
          <w:lang w:val="en-GB"/>
        </w:rPr>
        <w:tab/>
      </w:r>
      <w:r w:rsidR="00E27390" w:rsidRPr="009512AF">
        <w:rPr>
          <w:rFonts w:cs="Arial"/>
          <w:lang w:val="en-GB"/>
        </w:rPr>
        <w:t xml:space="preserve">The </w:t>
      </w:r>
      <w:r w:rsidR="00E27390" w:rsidRPr="009512AF">
        <w:rPr>
          <w:rFonts w:cs="Arial"/>
          <w:i/>
          <w:iCs/>
          <w:lang w:val="en-GB"/>
        </w:rPr>
        <w:t>prima facie</w:t>
      </w:r>
      <w:r w:rsidR="00E27390" w:rsidRPr="009512AF">
        <w:rPr>
          <w:rFonts w:cs="Arial"/>
          <w:lang w:val="en-GB"/>
        </w:rPr>
        <w:t xml:space="preserve"> right that Mr Heradien </w:t>
      </w:r>
      <w:r w:rsidR="00A31EF7" w:rsidRPr="009512AF">
        <w:rPr>
          <w:rFonts w:cs="Arial"/>
          <w:lang w:val="en-GB"/>
        </w:rPr>
        <w:t>asserts</w:t>
      </w:r>
      <w:r w:rsidR="00E27390" w:rsidRPr="009512AF">
        <w:rPr>
          <w:rFonts w:cs="Arial"/>
          <w:lang w:val="en-GB"/>
        </w:rPr>
        <w:t xml:space="preserve"> </w:t>
      </w:r>
      <w:r w:rsidR="00FA16BC" w:rsidRPr="009512AF">
        <w:rPr>
          <w:rFonts w:cs="Arial"/>
          <w:lang w:val="en-GB"/>
        </w:rPr>
        <w:t xml:space="preserve">in the founding affidavit is </w:t>
      </w:r>
      <w:r w:rsidR="00D23919" w:rsidRPr="009512AF">
        <w:rPr>
          <w:rFonts w:cs="Arial"/>
          <w:lang w:val="en-GB"/>
        </w:rPr>
        <w:t xml:space="preserve">the right to review the conduct of ICOSA in </w:t>
      </w:r>
      <w:r w:rsidR="009B4707" w:rsidRPr="009512AF">
        <w:rPr>
          <w:rFonts w:cs="Arial"/>
          <w:lang w:val="en-GB"/>
        </w:rPr>
        <w:t>summarily expelling him as a member of the party without due process and in breach of the provisions of the constitution relating to expulsion of members.</w:t>
      </w:r>
      <w:r w:rsidR="00AC3A1C" w:rsidRPr="009512AF">
        <w:rPr>
          <w:rFonts w:cs="Arial"/>
          <w:lang w:val="en-GB"/>
        </w:rPr>
        <w:t xml:space="preserve">  </w:t>
      </w:r>
      <w:r w:rsidR="007C7DE6" w:rsidRPr="009512AF">
        <w:rPr>
          <w:rStyle w:val="markedcontent"/>
          <w:color w:val="000000" w:themeColor="text1"/>
          <w:lang w:val="en-GB"/>
        </w:rPr>
        <w:t>It would appear</w:t>
      </w:r>
      <w:r w:rsidR="009A3776" w:rsidRPr="009512AF">
        <w:rPr>
          <w:rStyle w:val="markedcontent"/>
          <w:color w:val="000000" w:themeColor="text1"/>
          <w:lang w:val="en-GB"/>
        </w:rPr>
        <w:t>,</w:t>
      </w:r>
      <w:r w:rsidR="007C7DE6" w:rsidRPr="009512AF">
        <w:rPr>
          <w:rStyle w:val="markedcontent"/>
          <w:color w:val="000000" w:themeColor="text1"/>
          <w:lang w:val="en-GB"/>
        </w:rPr>
        <w:t xml:space="preserve"> at first blush</w:t>
      </w:r>
      <w:r w:rsidR="009A3776" w:rsidRPr="009512AF">
        <w:rPr>
          <w:rStyle w:val="markedcontent"/>
          <w:color w:val="000000" w:themeColor="text1"/>
          <w:lang w:val="en-GB"/>
        </w:rPr>
        <w:t>,</w:t>
      </w:r>
      <w:r w:rsidR="00323CBB" w:rsidRPr="009512AF">
        <w:rPr>
          <w:rStyle w:val="markedcontent"/>
          <w:color w:val="000000" w:themeColor="text1"/>
          <w:lang w:val="en-GB"/>
        </w:rPr>
        <w:t xml:space="preserve"> that Mr Heradien’s application falters at the first hurdle</w:t>
      </w:r>
      <w:r w:rsidR="007C7DE6" w:rsidRPr="009512AF">
        <w:rPr>
          <w:rStyle w:val="markedcontent"/>
          <w:color w:val="000000" w:themeColor="text1"/>
          <w:lang w:val="en-GB"/>
        </w:rPr>
        <w:t xml:space="preserve"> </w:t>
      </w:r>
      <w:r w:rsidR="009A3776" w:rsidRPr="009512AF">
        <w:rPr>
          <w:rStyle w:val="markedcontent"/>
          <w:color w:val="000000" w:themeColor="text1"/>
          <w:lang w:val="en-GB"/>
        </w:rPr>
        <w:t>given</w:t>
      </w:r>
      <w:r w:rsidR="007C7DE6" w:rsidRPr="009512AF">
        <w:rPr>
          <w:rStyle w:val="markedcontent"/>
          <w:color w:val="000000" w:themeColor="text1"/>
          <w:lang w:val="en-GB"/>
        </w:rPr>
        <w:t xml:space="preserve"> the principle articulated in </w:t>
      </w:r>
      <w:r w:rsidR="007C7DE6" w:rsidRPr="009512AF">
        <w:rPr>
          <w:rStyle w:val="markedcontent"/>
          <w:i/>
          <w:iCs/>
          <w:color w:val="000000" w:themeColor="text1"/>
          <w:lang w:val="en-GB"/>
        </w:rPr>
        <w:t>OUTA</w:t>
      </w:r>
      <w:r w:rsidR="007C7DE6" w:rsidRPr="009512AF">
        <w:rPr>
          <w:rStyle w:val="markedcontent"/>
          <w:color w:val="000000" w:themeColor="text1"/>
          <w:lang w:val="en-GB"/>
        </w:rPr>
        <w:t>,</w:t>
      </w:r>
      <w:r w:rsidR="007C7DE6" w:rsidRPr="009512AF">
        <w:rPr>
          <w:rStyle w:val="FootnoteReference"/>
          <w:color w:val="000000" w:themeColor="text1"/>
          <w:lang w:val="en-GB"/>
        </w:rPr>
        <w:footnoteReference w:id="9"/>
      </w:r>
      <w:r w:rsidR="007C7DE6" w:rsidRPr="009512AF">
        <w:rPr>
          <w:rStyle w:val="markedcontent"/>
          <w:color w:val="000000" w:themeColor="text1"/>
          <w:lang w:val="en-GB"/>
        </w:rPr>
        <w:t xml:space="preserve"> </w:t>
      </w:r>
      <w:r w:rsidR="00A541E7" w:rsidRPr="009512AF">
        <w:rPr>
          <w:rStyle w:val="markedcontent"/>
          <w:color w:val="000000" w:themeColor="text1"/>
          <w:lang w:val="en-GB"/>
        </w:rPr>
        <w:t>that</w:t>
      </w:r>
      <w:r w:rsidR="007C7DE6" w:rsidRPr="009512AF">
        <w:rPr>
          <w:rStyle w:val="markedcontent"/>
          <w:color w:val="000000" w:themeColor="text1"/>
          <w:lang w:val="en-GB"/>
        </w:rPr>
        <w:t xml:space="preserve"> the </w:t>
      </w:r>
      <w:r w:rsidR="007C7DE6" w:rsidRPr="009512AF">
        <w:rPr>
          <w:rStyle w:val="markedcontent"/>
          <w:i/>
          <w:iCs/>
          <w:color w:val="000000" w:themeColor="text1"/>
          <w:lang w:val="en-GB"/>
        </w:rPr>
        <w:t>prima facie</w:t>
      </w:r>
      <w:r w:rsidR="007C7DE6" w:rsidRPr="009512AF">
        <w:rPr>
          <w:rStyle w:val="markedcontent"/>
          <w:color w:val="000000" w:themeColor="text1"/>
          <w:lang w:val="en-GB"/>
        </w:rPr>
        <w:t xml:space="preserve"> right that </w:t>
      </w:r>
      <w:r w:rsidR="007C7DE6" w:rsidRPr="009512AF">
        <w:rPr>
          <w:rFonts w:cs="Arial"/>
          <w:lang w:val="en-GB"/>
        </w:rPr>
        <w:t xml:space="preserve">an applicant </w:t>
      </w:r>
      <w:r w:rsidR="007C7DE6" w:rsidRPr="009512AF">
        <w:rPr>
          <w:rStyle w:val="markedcontent"/>
          <w:color w:val="000000" w:themeColor="text1"/>
          <w:lang w:val="en-GB"/>
        </w:rPr>
        <w:t>must establish is more than simply</w:t>
      </w:r>
      <w:r w:rsidR="007C7DE6" w:rsidRPr="009512AF">
        <w:rPr>
          <w:color w:val="000000" w:themeColor="text1"/>
          <w:lang w:val="en-GB"/>
        </w:rPr>
        <w:t xml:space="preserve"> </w:t>
      </w:r>
      <w:r w:rsidR="007C7DE6" w:rsidRPr="009512AF">
        <w:rPr>
          <w:rStyle w:val="markedcontent"/>
          <w:color w:val="000000" w:themeColor="text1"/>
          <w:lang w:val="en-GB"/>
        </w:rPr>
        <w:t xml:space="preserve">his right to approach the court for a review, </w:t>
      </w:r>
      <w:r w:rsidR="00A541E7" w:rsidRPr="009512AF">
        <w:rPr>
          <w:rStyle w:val="markedcontent"/>
          <w:color w:val="000000" w:themeColor="text1"/>
          <w:lang w:val="en-GB"/>
        </w:rPr>
        <w:t xml:space="preserve">and that </w:t>
      </w:r>
      <w:r w:rsidR="007C7DE6" w:rsidRPr="009512AF">
        <w:rPr>
          <w:rStyle w:val="markedcontent"/>
          <w:color w:val="000000" w:themeColor="text1"/>
          <w:lang w:val="en-GB"/>
        </w:rPr>
        <w:t xml:space="preserve">he must demonstrate a </w:t>
      </w:r>
      <w:r w:rsidR="007C7DE6" w:rsidRPr="009512AF">
        <w:rPr>
          <w:rStyle w:val="markedcontent"/>
          <w:i/>
          <w:iCs/>
          <w:color w:val="000000" w:themeColor="text1"/>
          <w:lang w:val="en-GB"/>
        </w:rPr>
        <w:t>prima facie</w:t>
      </w:r>
      <w:r w:rsidR="007C7DE6" w:rsidRPr="009512AF">
        <w:rPr>
          <w:rStyle w:val="markedcontent"/>
          <w:color w:val="000000" w:themeColor="text1"/>
          <w:lang w:val="en-GB"/>
        </w:rPr>
        <w:t xml:space="preserve"> right</w:t>
      </w:r>
      <w:r w:rsidR="007C7DE6" w:rsidRPr="009512AF">
        <w:rPr>
          <w:color w:val="000000" w:themeColor="text1"/>
          <w:lang w:val="en-GB"/>
        </w:rPr>
        <w:t xml:space="preserve"> </w:t>
      </w:r>
      <w:r w:rsidR="007C7DE6" w:rsidRPr="009512AF">
        <w:rPr>
          <w:rStyle w:val="markedcontent"/>
          <w:color w:val="000000" w:themeColor="text1"/>
          <w:lang w:val="en-GB"/>
        </w:rPr>
        <w:t>threatened by an impending or imminent irreparable harm</w:t>
      </w:r>
      <w:r w:rsidR="004D1CD9" w:rsidRPr="009512AF">
        <w:rPr>
          <w:rStyle w:val="markedcontent"/>
          <w:color w:val="000000" w:themeColor="text1"/>
          <w:lang w:val="en-GB"/>
        </w:rPr>
        <w:t>.</w:t>
      </w:r>
    </w:p>
    <w:p w:rsidR="009104CC" w:rsidRPr="009512AF" w:rsidRDefault="007F1CDF" w:rsidP="007F1CDF">
      <w:pPr>
        <w:snapToGrid w:val="0"/>
        <w:spacing w:before="120" w:after="360" w:line="480" w:lineRule="auto"/>
        <w:ind w:hanging="6"/>
        <w:jc w:val="both"/>
        <w:rPr>
          <w:color w:val="000000" w:themeColor="text1"/>
          <w:lang w:val="en-GB"/>
        </w:rPr>
      </w:pPr>
      <w:r w:rsidRPr="009512AF">
        <w:rPr>
          <w:rFonts w:cs="Arial"/>
          <w:color w:val="000000" w:themeColor="text1"/>
          <w:lang w:val="en-GB"/>
        </w:rPr>
        <w:t>[18]</w:t>
      </w:r>
      <w:r w:rsidRPr="009512AF">
        <w:rPr>
          <w:rFonts w:cs="Arial"/>
          <w:color w:val="000000" w:themeColor="text1"/>
          <w:lang w:val="en-GB"/>
        </w:rPr>
        <w:tab/>
      </w:r>
      <w:r w:rsidR="00B46FDB" w:rsidRPr="009512AF">
        <w:rPr>
          <w:rStyle w:val="markedcontent"/>
          <w:color w:val="000000" w:themeColor="text1"/>
          <w:lang w:val="en-GB"/>
        </w:rPr>
        <w:t>However, on a generous interpretation of the case made out in the founding affidavit</w:t>
      </w:r>
      <w:r w:rsidR="004E2C2F" w:rsidRPr="009512AF">
        <w:rPr>
          <w:rStyle w:val="markedcontent"/>
          <w:color w:val="000000" w:themeColor="text1"/>
          <w:lang w:val="en-GB"/>
        </w:rPr>
        <w:t>, it appears</w:t>
      </w:r>
      <w:r w:rsidR="00B46FDB" w:rsidRPr="009512AF">
        <w:rPr>
          <w:rStyle w:val="markedcontent"/>
          <w:color w:val="000000" w:themeColor="text1"/>
          <w:lang w:val="en-GB"/>
        </w:rPr>
        <w:t xml:space="preserve"> that </w:t>
      </w:r>
      <w:r w:rsidR="006E4E2C" w:rsidRPr="009512AF">
        <w:rPr>
          <w:rStyle w:val="markedcontent"/>
          <w:color w:val="000000" w:themeColor="text1"/>
          <w:lang w:val="en-GB"/>
        </w:rPr>
        <w:t xml:space="preserve">Mr Heradien contends that he has a </w:t>
      </w:r>
      <w:r w:rsidR="006E4E2C" w:rsidRPr="009512AF">
        <w:rPr>
          <w:rStyle w:val="markedcontent"/>
          <w:i/>
          <w:iCs/>
          <w:color w:val="000000" w:themeColor="text1"/>
          <w:lang w:val="en-GB"/>
        </w:rPr>
        <w:t xml:space="preserve">prima facie </w:t>
      </w:r>
      <w:r w:rsidR="005132A8" w:rsidRPr="009512AF">
        <w:rPr>
          <w:rStyle w:val="markedcontent"/>
          <w:color w:val="000000" w:themeColor="text1"/>
          <w:lang w:val="en-GB"/>
        </w:rPr>
        <w:t xml:space="preserve">right to </w:t>
      </w:r>
      <w:r w:rsidR="00632E6A" w:rsidRPr="009512AF">
        <w:rPr>
          <w:rStyle w:val="markedcontent"/>
          <w:color w:val="000000" w:themeColor="text1"/>
          <w:lang w:val="en-GB"/>
        </w:rPr>
        <w:t>(a) </w:t>
      </w:r>
      <w:r w:rsidR="008A5F12" w:rsidRPr="009512AF">
        <w:rPr>
          <w:rStyle w:val="markedcontent"/>
          <w:color w:val="000000" w:themeColor="text1"/>
          <w:lang w:val="en-GB"/>
        </w:rPr>
        <w:t>the suspension of the decisions to expel him and to replace him as a PR councillor</w:t>
      </w:r>
      <w:r w:rsidR="00632E6A" w:rsidRPr="009512AF">
        <w:rPr>
          <w:rStyle w:val="markedcontent"/>
          <w:color w:val="000000" w:themeColor="text1"/>
          <w:lang w:val="en-GB"/>
        </w:rPr>
        <w:t xml:space="preserve">, (b) be returned </w:t>
      </w:r>
      <w:r w:rsidR="001D1E97" w:rsidRPr="009512AF">
        <w:rPr>
          <w:rStyle w:val="markedcontent"/>
          <w:color w:val="000000" w:themeColor="text1"/>
          <w:lang w:val="en-GB"/>
        </w:rPr>
        <w:t xml:space="preserve">to his position </w:t>
      </w:r>
      <w:r w:rsidR="00632E6A" w:rsidRPr="009512AF">
        <w:rPr>
          <w:rStyle w:val="markedcontent"/>
          <w:color w:val="000000" w:themeColor="text1"/>
          <w:lang w:val="en-GB"/>
        </w:rPr>
        <w:t xml:space="preserve">as </w:t>
      </w:r>
      <w:r w:rsidR="001D1E97" w:rsidRPr="009512AF">
        <w:rPr>
          <w:rStyle w:val="markedcontent"/>
          <w:color w:val="000000" w:themeColor="text1"/>
          <w:lang w:val="en-GB"/>
        </w:rPr>
        <w:t>ICOSA’s PR councillor, and (c) </w:t>
      </w:r>
      <w:r w:rsidR="0025503D" w:rsidRPr="009512AF">
        <w:rPr>
          <w:rStyle w:val="markedcontent"/>
          <w:color w:val="000000" w:themeColor="text1"/>
          <w:lang w:val="en-GB"/>
        </w:rPr>
        <w:t xml:space="preserve">an order prohibiting the respondents from interfering </w:t>
      </w:r>
      <w:r w:rsidR="008E50EC" w:rsidRPr="009512AF">
        <w:rPr>
          <w:rStyle w:val="markedcontent"/>
          <w:color w:val="000000" w:themeColor="text1"/>
          <w:lang w:val="en-GB"/>
        </w:rPr>
        <w:t xml:space="preserve">with his ability to carry out his duties as a councillor on his return to the Council.  Mr Heradien appears to contend that </w:t>
      </w:r>
      <w:r w:rsidR="00825300" w:rsidRPr="009512AF">
        <w:rPr>
          <w:rStyle w:val="markedcontent"/>
          <w:color w:val="000000" w:themeColor="text1"/>
          <w:lang w:val="en-GB"/>
        </w:rPr>
        <w:t xml:space="preserve">he has a right to the aforesaid interim relief because </w:t>
      </w:r>
      <w:r w:rsidR="007E229C" w:rsidRPr="009512AF">
        <w:rPr>
          <w:rFonts w:cs="Arial"/>
          <w:lang w:val="en-GB"/>
        </w:rPr>
        <w:t xml:space="preserve">the </w:t>
      </w:r>
      <w:r w:rsidR="00100774" w:rsidRPr="009512AF">
        <w:rPr>
          <w:rFonts w:cs="Arial"/>
          <w:lang w:val="en-GB"/>
        </w:rPr>
        <w:t xml:space="preserve">purported </w:t>
      </w:r>
      <w:r w:rsidR="007E229C" w:rsidRPr="009512AF">
        <w:rPr>
          <w:rFonts w:cs="Arial"/>
          <w:lang w:val="en-GB"/>
        </w:rPr>
        <w:t xml:space="preserve">decision to terminate his membership is </w:t>
      </w:r>
      <w:r w:rsidR="00074499" w:rsidRPr="009512AF">
        <w:rPr>
          <w:rFonts w:cs="Arial"/>
          <w:lang w:val="en-GB"/>
        </w:rPr>
        <w:t xml:space="preserve">unlawful </w:t>
      </w:r>
      <w:r w:rsidR="00D205F2" w:rsidRPr="009512AF">
        <w:rPr>
          <w:rFonts w:cs="Arial"/>
          <w:lang w:val="en-GB"/>
        </w:rPr>
        <w:t xml:space="preserve">and stands to be reviewed and set aside </w:t>
      </w:r>
      <w:r w:rsidR="00074499" w:rsidRPr="009512AF">
        <w:rPr>
          <w:rFonts w:cs="Arial"/>
          <w:lang w:val="en-GB"/>
        </w:rPr>
        <w:t>in that</w:t>
      </w:r>
      <w:r w:rsidR="002434CA" w:rsidRPr="009512AF">
        <w:rPr>
          <w:rFonts w:cs="Arial"/>
          <w:lang w:val="en-GB"/>
        </w:rPr>
        <w:t>:</w:t>
      </w:r>
    </w:p>
    <w:p w:rsidR="002434CA" w:rsidRPr="009512AF" w:rsidRDefault="007F1CDF" w:rsidP="007F1CDF">
      <w:pPr>
        <w:snapToGrid w:val="0"/>
        <w:spacing w:before="120" w:after="360" w:line="480" w:lineRule="auto"/>
        <w:ind w:left="1985" w:hanging="1276"/>
        <w:jc w:val="both"/>
        <w:rPr>
          <w:rFonts w:cs="Arial"/>
          <w:lang w:val="en-GB"/>
        </w:rPr>
      </w:pPr>
      <w:r w:rsidRPr="009512AF">
        <w:rPr>
          <w:rFonts w:cs="Arial"/>
          <w:lang w:val="en-GB"/>
        </w:rPr>
        <w:t>[18.1]</w:t>
      </w:r>
      <w:r w:rsidRPr="009512AF">
        <w:rPr>
          <w:rFonts w:cs="Arial"/>
          <w:lang w:val="en-GB"/>
        </w:rPr>
        <w:tab/>
      </w:r>
      <w:r w:rsidR="000671CC" w:rsidRPr="009512AF">
        <w:rPr>
          <w:rFonts w:cs="Arial"/>
          <w:lang w:val="en-GB"/>
        </w:rPr>
        <w:t>His membership was terminated</w:t>
      </w:r>
      <w:r w:rsidR="00B97F1B" w:rsidRPr="009512AF">
        <w:rPr>
          <w:rFonts w:cs="Arial"/>
          <w:lang w:val="en-GB"/>
        </w:rPr>
        <w:t xml:space="preserve"> </w:t>
      </w:r>
      <w:r w:rsidR="00036EA9" w:rsidRPr="009512AF">
        <w:rPr>
          <w:rFonts w:cs="Arial"/>
          <w:lang w:val="en-GB"/>
        </w:rPr>
        <w:t>(a) </w:t>
      </w:r>
      <w:r w:rsidR="002434CA" w:rsidRPr="009512AF">
        <w:rPr>
          <w:rFonts w:cs="Arial"/>
          <w:lang w:val="en-GB"/>
        </w:rPr>
        <w:t xml:space="preserve">in breach of </w:t>
      </w:r>
      <w:r w:rsidR="004F1C9D" w:rsidRPr="009512AF">
        <w:rPr>
          <w:rFonts w:cs="Arial"/>
          <w:lang w:val="en-GB"/>
        </w:rPr>
        <w:t xml:space="preserve">the due process provisions </w:t>
      </w:r>
      <w:r w:rsidR="00B97F1B" w:rsidRPr="009512AF">
        <w:rPr>
          <w:rFonts w:cs="Arial"/>
          <w:lang w:val="en-GB"/>
        </w:rPr>
        <w:t>i</w:t>
      </w:r>
      <w:r w:rsidR="004F1C9D" w:rsidRPr="009512AF">
        <w:rPr>
          <w:rFonts w:cs="Arial"/>
          <w:lang w:val="en-GB"/>
        </w:rPr>
        <w:t>n</w:t>
      </w:r>
      <w:r w:rsidR="00B97F1B" w:rsidRPr="009512AF">
        <w:rPr>
          <w:rFonts w:cs="Arial"/>
          <w:lang w:val="en-GB"/>
        </w:rPr>
        <w:t xml:space="preserve"> the constitution</w:t>
      </w:r>
      <w:r w:rsidR="00036EA9" w:rsidRPr="009512AF">
        <w:rPr>
          <w:rFonts w:cs="Arial"/>
          <w:lang w:val="en-GB"/>
        </w:rPr>
        <w:t>, (b) </w:t>
      </w:r>
      <w:r w:rsidR="005A180D" w:rsidRPr="009512AF">
        <w:rPr>
          <w:rFonts w:cs="Arial"/>
          <w:lang w:val="en-GB"/>
        </w:rPr>
        <w:t xml:space="preserve">in breach of </w:t>
      </w:r>
      <w:r w:rsidR="00B97F1B" w:rsidRPr="009512AF">
        <w:rPr>
          <w:rFonts w:cs="Arial"/>
          <w:lang w:val="en-GB"/>
        </w:rPr>
        <w:t>the disciplinary process prescribed by</w:t>
      </w:r>
      <w:r w:rsidR="004F1C9D" w:rsidRPr="009512AF">
        <w:rPr>
          <w:rFonts w:cs="Arial"/>
          <w:lang w:val="en-GB"/>
        </w:rPr>
        <w:t xml:space="preserve"> </w:t>
      </w:r>
      <w:r w:rsidR="00DF1F91" w:rsidRPr="009512AF">
        <w:rPr>
          <w:rFonts w:cs="Arial"/>
          <w:lang w:val="en-GB"/>
        </w:rPr>
        <w:t>clause 8</w:t>
      </w:r>
      <w:r w:rsidR="00BC4C75" w:rsidRPr="009512AF">
        <w:rPr>
          <w:rFonts w:cs="Arial"/>
          <w:lang w:val="en-GB"/>
        </w:rPr>
        <w:t xml:space="preserve"> </w:t>
      </w:r>
      <w:r w:rsidR="00DF1F91" w:rsidRPr="009512AF">
        <w:rPr>
          <w:rFonts w:cs="Arial"/>
          <w:lang w:val="en-GB"/>
        </w:rPr>
        <w:t xml:space="preserve">of </w:t>
      </w:r>
      <w:r w:rsidR="002434CA" w:rsidRPr="009512AF">
        <w:rPr>
          <w:rFonts w:cs="Arial"/>
          <w:lang w:val="en-GB"/>
        </w:rPr>
        <w:t>the constitution</w:t>
      </w:r>
      <w:r w:rsidR="00036EA9" w:rsidRPr="009512AF">
        <w:rPr>
          <w:rFonts w:cs="Arial"/>
          <w:lang w:val="en-GB"/>
        </w:rPr>
        <w:t>,</w:t>
      </w:r>
      <w:r w:rsidR="000671CC" w:rsidRPr="009512AF">
        <w:rPr>
          <w:rFonts w:cs="Arial"/>
          <w:lang w:val="en-GB"/>
        </w:rPr>
        <w:t xml:space="preserve"> and</w:t>
      </w:r>
      <w:r w:rsidR="00036EA9" w:rsidRPr="009512AF">
        <w:rPr>
          <w:rFonts w:cs="Arial"/>
          <w:lang w:val="en-GB"/>
        </w:rPr>
        <w:t xml:space="preserve"> (c) </w:t>
      </w:r>
      <w:r w:rsidR="000671CC" w:rsidRPr="009512AF">
        <w:rPr>
          <w:rFonts w:cs="Arial"/>
          <w:lang w:val="en-GB"/>
        </w:rPr>
        <w:t>without regard to the rules of natural justice</w:t>
      </w:r>
      <w:r w:rsidR="00C80605" w:rsidRPr="009512AF">
        <w:rPr>
          <w:rFonts w:cs="Arial"/>
          <w:lang w:val="en-GB"/>
        </w:rPr>
        <w:t xml:space="preserve">, in that ICOSA failed to consult </w:t>
      </w:r>
      <w:r w:rsidR="00C80605" w:rsidRPr="009512AF">
        <w:rPr>
          <w:rFonts w:cs="Arial"/>
          <w:lang w:val="en-GB"/>
        </w:rPr>
        <w:lastRenderedPageBreak/>
        <w:t xml:space="preserve">with him prior to his expulsion, he did not receive a charge sheet and </w:t>
      </w:r>
      <w:r w:rsidR="00E72B5B" w:rsidRPr="009512AF">
        <w:rPr>
          <w:rFonts w:cs="Arial"/>
          <w:lang w:val="en-GB"/>
        </w:rPr>
        <w:t xml:space="preserve">he </w:t>
      </w:r>
      <w:r w:rsidR="00C80605" w:rsidRPr="009512AF">
        <w:rPr>
          <w:rFonts w:cs="Arial"/>
          <w:lang w:val="en-GB"/>
        </w:rPr>
        <w:t>was not afforded an opportunity to make representations;</w:t>
      </w:r>
    </w:p>
    <w:p w:rsidR="00D5137F" w:rsidRPr="009512AF" w:rsidRDefault="007F1CDF" w:rsidP="007F1CDF">
      <w:pPr>
        <w:snapToGrid w:val="0"/>
        <w:spacing w:before="120" w:after="360" w:line="480" w:lineRule="auto"/>
        <w:ind w:left="1985" w:hanging="1276"/>
        <w:jc w:val="both"/>
        <w:rPr>
          <w:rFonts w:cs="Arial"/>
          <w:lang w:val="en-GB"/>
        </w:rPr>
      </w:pPr>
      <w:r w:rsidRPr="009512AF">
        <w:rPr>
          <w:rFonts w:cs="Arial"/>
          <w:lang w:val="en-GB"/>
        </w:rPr>
        <w:t>[18.2]</w:t>
      </w:r>
      <w:r w:rsidRPr="009512AF">
        <w:rPr>
          <w:rFonts w:cs="Arial"/>
          <w:lang w:val="en-GB"/>
        </w:rPr>
        <w:tab/>
      </w:r>
      <w:r w:rsidR="000F23E0" w:rsidRPr="009512AF">
        <w:rPr>
          <w:rFonts w:cs="Arial"/>
          <w:lang w:val="en-GB"/>
        </w:rPr>
        <w:t>He</w:t>
      </w:r>
      <w:r w:rsidR="0099045F" w:rsidRPr="009512AF">
        <w:rPr>
          <w:rFonts w:cs="Arial"/>
          <w:lang w:val="en-GB"/>
        </w:rPr>
        <w:t xml:space="preserve"> was not afforded a hearing before </w:t>
      </w:r>
      <w:r w:rsidR="000F23E0" w:rsidRPr="009512AF">
        <w:rPr>
          <w:rFonts w:cs="Arial"/>
          <w:lang w:val="en-GB"/>
        </w:rPr>
        <w:t>his membership</w:t>
      </w:r>
      <w:r w:rsidR="0099045F" w:rsidRPr="009512AF">
        <w:rPr>
          <w:rFonts w:cs="Arial"/>
          <w:lang w:val="en-GB"/>
        </w:rPr>
        <w:t xml:space="preserve"> was </w:t>
      </w:r>
      <w:r w:rsidR="000F23E0" w:rsidRPr="009512AF">
        <w:rPr>
          <w:rFonts w:cs="Arial"/>
          <w:lang w:val="en-GB"/>
        </w:rPr>
        <w:t xml:space="preserve">terminated, in breach of the </w:t>
      </w:r>
      <w:r w:rsidR="000F23E0" w:rsidRPr="009512AF">
        <w:rPr>
          <w:rFonts w:cs="Arial"/>
          <w:i/>
          <w:iCs/>
          <w:lang w:val="en-GB"/>
        </w:rPr>
        <w:t>audi alteram partem</w:t>
      </w:r>
      <w:r w:rsidR="000F23E0" w:rsidRPr="009512AF">
        <w:rPr>
          <w:rFonts w:cs="Arial"/>
          <w:lang w:val="en-GB"/>
        </w:rPr>
        <w:t xml:space="preserve"> principle</w:t>
      </w:r>
      <w:r w:rsidR="0099045F" w:rsidRPr="009512AF">
        <w:rPr>
          <w:rFonts w:cs="Arial"/>
          <w:lang w:val="en-GB"/>
        </w:rPr>
        <w:t>;</w:t>
      </w:r>
      <w:r w:rsidR="00C80605" w:rsidRPr="009512AF">
        <w:rPr>
          <w:rFonts w:cs="Arial"/>
          <w:lang w:val="en-GB"/>
        </w:rPr>
        <w:t xml:space="preserve"> </w:t>
      </w:r>
      <w:r w:rsidR="00D9691A" w:rsidRPr="009512AF">
        <w:rPr>
          <w:rFonts w:cs="Arial"/>
          <w:lang w:val="en-GB"/>
        </w:rPr>
        <w:t>and</w:t>
      </w:r>
    </w:p>
    <w:p w:rsidR="00E40244" w:rsidRPr="009512AF" w:rsidRDefault="007F1CDF" w:rsidP="007F1CDF">
      <w:pPr>
        <w:snapToGrid w:val="0"/>
        <w:spacing w:before="120" w:after="360" w:line="480" w:lineRule="auto"/>
        <w:ind w:left="1985" w:hanging="1276"/>
        <w:jc w:val="both"/>
        <w:rPr>
          <w:rFonts w:cs="Arial"/>
          <w:lang w:val="en-GB"/>
        </w:rPr>
      </w:pPr>
      <w:r w:rsidRPr="009512AF">
        <w:rPr>
          <w:rFonts w:cs="Arial"/>
          <w:lang w:val="en-GB"/>
        </w:rPr>
        <w:t>[18.3]</w:t>
      </w:r>
      <w:r w:rsidRPr="009512AF">
        <w:rPr>
          <w:rFonts w:cs="Arial"/>
          <w:lang w:val="en-GB"/>
        </w:rPr>
        <w:tab/>
      </w:r>
      <w:r w:rsidR="000917C9" w:rsidRPr="009512AF">
        <w:rPr>
          <w:rFonts w:cs="Arial"/>
          <w:lang w:val="en-GB"/>
        </w:rPr>
        <w:t xml:space="preserve">His membership was terminated in order to settle a political score, (that is </w:t>
      </w:r>
      <w:r w:rsidR="00E84543" w:rsidRPr="009512AF">
        <w:rPr>
          <w:rFonts w:cs="Arial"/>
          <w:lang w:val="en-GB"/>
        </w:rPr>
        <w:t>with an ulterior purpose</w:t>
      </w:r>
      <w:r w:rsidR="000917C9" w:rsidRPr="009512AF">
        <w:rPr>
          <w:rFonts w:cs="Arial"/>
          <w:lang w:val="en-GB"/>
        </w:rPr>
        <w:t>)</w:t>
      </w:r>
      <w:r w:rsidR="00D9691A" w:rsidRPr="009512AF">
        <w:rPr>
          <w:rFonts w:cs="Arial"/>
          <w:lang w:val="en-GB"/>
        </w:rPr>
        <w:t>.</w:t>
      </w:r>
    </w:p>
    <w:p w:rsidR="00E84A39" w:rsidRPr="009512AF" w:rsidRDefault="007F1CDF" w:rsidP="007F1CDF">
      <w:pPr>
        <w:snapToGrid w:val="0"/>
        <w:spacing w:before="120" w:after="360" w:line="480" w:lineRule="auto"/>
        <w:ind w:hanging="6"/>
        <w:jc w:val="both"/>
        <w:rPr>
          <w:rFonts w:cs="Arial"/>
          <w:lang w:val="en-GB"/>
        </w:rPr>
      </w:pPr>
      <w:r w:rsidRPr="009512AF">
        <w:rPr>
          <w:rFonts w:cs="Arial"/>
          <w:lang w:val="en-GB"/>
        </w:rPr>
        <w:t>[19]</w:t>
      </w:r>
      <w:r w:rsidRPr="009512AF">
        <w:rPr>
          <w:rFonts w:cs="Arial"/>
          <w:lang w:val="en-GB"/>
        </w:rPr>
        <w:tab/>
      </w:r>
      <w:r w:rsidR="000B51B3" w:rsidRPr="009512AF">
        <w:rPr>
          <w:rStyle w:val="markedcontent"/>
          <w:rFonts w:cs="Arial"/>
          <w:lang w:val="en-GB"/>
        </w:rPr>
        <w:t>In order to interrogate these submissions</w:t>
      </w:r>
      <w:r w:rsidR="00C35112" w:rsidRPr="009512AF">
        <w:rPr>
          <w:lang w:val="en-GB"/>
        </w:rPr>
        <w:t>, I must consider the grounds of review in the main review application and assess their strength, and</w:t>
      </w:r>
      <w:r w:rsidR="00C35112" w:rsidRPr="009512AF">
        <w:rPr>
          <w:color w:val="000000" w:themeColor="text1"/>
          <w:lang w:val="en-GB"/>
        </w:rPr>
        <w:t xml:space="preserve"> I must </w:t>
      </w:r>
      <w:r w:rsidR="00C35112" w:rsidRPr="009512AF">
        <w:rPr>
          <w:rStyle w:val="markedcontent"/>
          <w:color w:val="000000" w:themeColor="text1"/>
          <w:lang w:val="en-GB"/>
        </w:rPr>
        <w:t>be satisfied that Mr Heradien has good prospects of success in the main review, based on strong grounds which are likely to</w:t>
      </w:r>
      <w:r w:rsidR="00C35112" w:rsidRPr="009512AF">
        <w:rPr>
          <w:color w:val="000000" w:themeColor="text1"/>
          <w:lang w:val="en-GB"/>
        </w:rPr>
        <w:t xml:space="preserve"> </w:t>
      </w:r>
      <w:r w:rsidR="00C35112" w:rsidRPr="009512AF">
        <w:rPr>
          <w:rStyle w:val="markedcontent"/>
          <w:color w:val="000000" w:themeColor="text1"/>
          <w:lang w:val="en-GB"/>
        </w:rPr>
        <w:t xml:space="preserve">succeed before I may grant the interim interdict </w:t>
      </w:r>
      <w:r w:rsidR="00CA2CF5">
        <w:rPr>
          <w:rStyle w:val="markedcontent"/>
          <w:color w:val="000000" w:themeColor="text1"/>
          <w:lang w:val="en-GB"/>
        </w:rPr>
        <w:t>that</w:t>
      </w:r>
      <w:r w:rsidR="00C35112" w:rsidRPr="009512AF">
        <w:rPr>
          <w:rStyle w:val="markedcontent"/>
          <w:color w:val="000000" w:themeColor="text1"/>
          <w:lang w:val="en-GB"/>
        </w:rPr>
        <w:t xml:space="preserve"> he seeks.</w:t>
      </w:r>
      <w:r w:rsidR="00C35112" w:rsidRPr="009512AF">
        <w:rPr>
          <w:rStyle w:val="FootnoteReference"/>
          <w:color w:val="000000" w:themeColor="text1"/>
          <w:lang w:val="en-GB"/>
        </w:rPr>
        <w:footnoteReference w:id="10"/>
      </w:r>
    </w:p>
    <w:p w:rsidR="00F75E76" w:rsidRPr="009512AF" w:rsidRDefault="00F75E76" w:rsidP="00AA53AB">
      <w:pPr>
        <w:pStyle w:val="Heading3"/>
        <w:rPr>
          <w:lang w:val="en-GB"/>
        </w:rPr>
      </w:pPr>
      <w:r w:rsidRPr="009512AF">
        <w:rPr>
          <w:lang w:val="en-GB"/>
        </w:rPr>
        <w:t>There was no decision taken</w:t>
      </w:r>
    </w:p>
    <w:p w:rsidR="000B51B3" w:rsidRPr="009512AF" w:rsidRDefault="007F1CDF" w:rsidP="007F1CDF">
      <w:pPr>
        <w:snapToGrid w:val="0"/>
        <w:spacing w:before="120" w:after="360" w:line="480" w:lineRule="auto"/>
        <w:ind w:hanging="6"/>
        <w:jc w:val="both"/>
        <w:rPr>
          <w:rFonts w:cs="Arial"/>
          <w:lang w:val="en-GB"/>
        </w:rPr>
      </w:pPr>
      <w:r w:rsidRPr="009512AF">
        <w:rPr>
          <w:rFonts w:cs="Arial"/>
          <w:lang w:val="en-GB"/>
        </w:rPr>
        <w:t>[20]</w:t>
      </w:r>
      <w:r w:rsidRPr="009512AF">
        <w:rPr>
          <w:rFonts w:cs="Arial"/>
          <w:lang w:val="en-GB"/>
        </w:rPr>
        <w:tab/>
      </w:r>
      <w:r w:rsidR="000B51B3" w:rsidRPr="009512AF">
        <w:rPr>
          <w:rFonts w:cs="Arial"/>
          <w:lang w:val="en-GB"/>
        </w:rPr>
        <w:t xml:space="preserve">The respondents contend that there was no decision </w:t>
      </w:r>
      <w:r w:rsidR="00A36CA9" w:rsidRPr="009512AF">
        <w:rPr>
          <w:rFonts w:cs="Arial"/>
          <w:lang w:val="en-GB"/>
        </w:rPr>
        <w:t xml:space="preserve">taken </w:t>
      </w:r>
      <w:r w:rsidR="000B51B3" w:rsidRPr="009512AF">
        <w:rPr>
          <w:rFonts w:cs="Arial"/>
          <w:lang w:val="en-GB"/>
        </w:rPr>
        <w:t xml:space="preserve">to terminate Mr Heradien’s membership </w:t>
      </w:r>
      <w:r w:rsidR="00A36CA9" w:rsidRPr="009512AF">
        <w:rPr>
          <w:rFonts w:cs="Arial"/>
          <w:lang w:val="en-GB"/>
        </w:rPr>
        <w:t>and</w:t>
      </w:r>
      <w:r w:rsidR="000B51B3" w:rsidRPr="009512AF">
        <w:rPr>
          <w:rFonts w:cs="Arial"/>
          <w:lang w:val="en-GB"/>
        </w:rPr>
        <w:t xml:space="preserve"> that his membership terminated automatically in consequence of the provisions of clauses</w:t>
      </w:r>
      <w:r w:rsidR="00A36CA9" w:rsidRPr="009512AF">
        <w:rPr>
          <w:rFonts w:cs="Arial"/>
          <w:lang w:val="en-GB"/>
        </w:rPr>
        <w:t> </w:t>
      </w:r>
      <w:r w:rsidR="000B51B3" w:rsidRPr="009512AF">
        <w:rPr>
          <w:rFonts w:cs="Arial"/>
          <w:lang w:val="en-GB"/>
        </w:rPr>
        <w:t xml:space="preserve">3.2.2, 3.3.1.4, and 3.3.2 of the constitution, when he failed to renew his membership by the date prescribed by the NEC (that is </w:t>
      </w:r>
      <w:r w:rsidR="00A36CA9" w:rsidRPr="009512AF">
        <w:rPr>
          <w:rFonts w:cs="Arial"/>
          <w:lang w:val="en-GB"/>
        </w:rPr>
        <w:t>by</w:t>
      </w:r>
      <w:r w:rsidR="000B51B3" w:rsidRPr="009512AF">
        <w:rPr>
          <w:rFonts w:cs="Arial"/>
          <w:lang w:val="en-GB"/>
        </w:rPr>
        <w:t xml:space="preserve"> 22 November 2023).</w:t>
      </w:r>
    </w:p>
    <w:p w:rsidR="006E23FA" w:rsidRPr="009512AF" w:rsidRDefault="007F1CDF" w:rsidP="007F1CDF">
      <w:pPr>
        <w:snapToGrid w:val="0"/>
        <w:spacing w:before="120" w:after="360" w:line="480" w:lineRule="auto"/>
        <w:ind w:hanging="6"/>
        <w:jc w:val="both"/>
        <w:rPr>
          <w:rFonts w:cs="Arial"/>
          <w:lang w:val="en-GB"/>
        </w:rPr>
      </w:pPr>
      <w:r w:rsidRPr="009512AF">
        <w:rPr>
          <w:rFonts w:cs="Arial"/>
          <w:lang w:val="en-GB"/>
        </w:rPr>
        <w:t>[21]</w:t>
      </w:r>
      <w:r w:rsidRPr="009512AF">
        <w:rPr>
          <w:rFonts w:cs="Arial"/>
          <w:lang w:val="en-GB"/>
        </w:rPr>
        <w:tab/>
      </w:r>
      <w:r w:rsidR="00A207F8" w:rsidRPr="009512AF">
        <w:rPr>
          <w:rFonts w:cs="Arial"/>
          <w:lang w:val="en-GB"/>
        </w:rPr>
        <w:t>Clause 3.1.1.4 of the constitution provides that a member ceases to be a member of ICOSA when he fails to renew his membership on or before the date determined by the NEC in terms of clause 3.2.2 of the constitution</w:t>
      </w:r>
      <w:r w:rsidR="00177677" w:rsidRPr="009512AF">
        <w:rPr>
          <w:rFonts w:cs="Arial"/>
          <w:lang w:val="en-GB"/>
        </w:rPr>
        <w:t xml:space="preserve"> which </w:t>
      </w:r>
      <w:r w:rsidR="00A36CA9" w:rsidRPr="009512AF">
        <w:rPr>
          <w:rFonts w:cs="Arial"/>
          <w:lang w:val="en-GB"/>
        </w:rPr>
        <w:t xml:space="preserve">in turn </w:t>
      </w:r>
      <w:r w:rsidR="00177677" w:rsidRPr="009512AF">
        <w:rPr>
          <w:rFonts w:cs="Arial"/>
          <w:lang w:val="en-GB"/>
        </w:rPr>
        <w:lastRenderedPageBreak/>
        <w:t>provides that the date</w:t>
      </w:r>
      <w:r w:rsidR="007B32EA" w:rsidRPr="009512AF">
        <w:rPr>
          <w:rFonts w:cs="Arial"/>
          <w:lang w:val="en-GB"/>
        </w:rPr>
        <w:t xml:space="preserve"> of payment of annual membership </w:t>
      </w:r>
      <w:r w:rsidR="00200A01" w:rsidRPr="009512AF">
        <w:rPr>
          <w:rFonts w:cs="Arial"/>
          <w:lang w:val="en-GB"/>
        </w:rPr>
        <w:t>subscriptions</w:t>
      </w:r>
      <w:r w:rsidR="007B32EA" w:rsidRPr="009512AF">
        <w:rPr>
          <w:rFonts w:cs="Arial"/>
          <w:lang w:val="en-GB"/>
        </w:rPr>
        <w:t xml:space="preserve"> shall be determined by the NEC. </w:t>
      </w:r>
      <w:r w:rsidR="00583DB4" w:rsidRPr="009512AF">
        <w:rPr>
          <w:rFonts w:cs="Arial"/>
          <w:lang w:val="en-GB"/>
        </w:rPr>
        <w:t xml:space="preserve"> </w:t>
      </w:r>
      <w:r w:rsidR="007B32EA" w:rsidRPr="009512AF">
        <w:rPr>
          <w:rFonts w:cs="Arial"/>
          <w:lang w:val="en-GB"/>
        </w:rPr>
        <w:t>Clause 3.3.2 of the constitution provides that a member who ceases to be a member of ICOSA, loses all privileges of party membership and if that member is a public representative</w:t>
      </w:r>
      <w:r w:rsidR="00200A01" w:rsidRPr="009512AF">
        <w:rPr>
          <w:rFonts w:cs="Arial"/>
          <w:lang w:val="en-GB"/>
        </w:rPr>
        <w:t>,</w:t>
      </w:r>
      <w:r w:rsidR="007B32EA" w:rsidRPr="009512AF">
        <w:rPr>
          <w:rFonts w:cs="Arial"/>
          <w:lang w:val="en-GB"/>
        </w:rPr>
        <w:t xml:space="preserve"> he </w:t>
      </w:r>
      <w:r w:rsidR="007B6AB0" w:rsidRPr="009512AF">
        <w:rPr>
          <w:rFonts w:cs="Arial"/>
          <w:lang w:val="en-GB"/>
        </w:rPr>
        <w:t xml:space="preserve">also </w:t>
      </w:r>
      <w:r w:rsidR="007B32EA" w:rsidRPr="009512AF">
        <w:rPr>
          <w:rFonts w:cs="Arial"/>
          <w:lang w:val="en-GB"/>
        </w:rPr>
        <w:t xml:space="preserve">loses </w:t>
      </w:r>
      <w:r w:rsidR="007B6AB0" w:rsidRPr="009512AF">
        <w:rPr>
          <w:rFonts w:cs="Arial"/>
          <w:lang w:val="en-GB"/>
        </w:rPr>
        <w:t>the office which he occupies by virtue of his membership, with immediate effect.</w:t>
      </w:r>
      <w:r w:rsidR="00C6521D" w:rsidRPr="009512AF">
        <w:rPr>
          <w:rFonts w:cs="Arial"/>
          <w:lang w:val="en-GB"/>
        </w:rPr>
        <w:t xml:space="preserve"> </w:t>
      </w:r>
    </w:p>
    <w:p w:rsidR="00534AFA" w:rsidRPr="009512AF" w:rsidRDefault="007F1CDF" w:rsidP="007F1CDF">
      <w:pPr>
        <w:snapToGrid w:val="0"/>
        <w:spacing w:before="120" w:after="360" w:line="480" w:lineRule="auto"/>
        <w:ind w:hanging="6"/>
        <w:jc w:val="both"/>
        <w:rPr>
          <w:rFonts w:cs="Arial"/>
          <w:lang w:val="en-GB"/>
        </w:rPr>
      </w:pPr>
      <w:r w:rsidRPr="009512AF">
        <w:rPr>
          <w:rFonts w:cs="Arial"/>
          <w:lang w:val="en-GB"/>
        </w:rPr>
        <w:t>[22]</w:t>
      </w:r>
      <w:r w:rsidRPr="009512AF">
        <w:rPr>
          <w:rFonts w:cs="Arial"/>
          <w:lang w:val="en-GB"/>
        </w:rPr>
        <w:tab/>
      </w:r>
      <w:r w:rsidR="00D24839" w:rsidRPr="009512AF">
        <w:rPr>
          <w:rFonts w:cs="Arial"/>
          <w:lang w:val="en-GB"/>
        </w:rPr>
        <w:t xml:space="preserve">Mr Heradien does not dispute that </w:t>
      </w:r>
      <w:r w:rsidR="00600D1A" w:rsidRPr="009512AF">
        <w:rPr>
          <w:rFonts w:cs="Arial"/>
          <w:lang w:val="en-GB"/>
        </w:rPr>
        <w:t xml:space="preserve">he failed to pay his membership dues to the NEC.  </w:t>
      </w:r>
      <w:r w:rsidR="00A30D23" w:rsidRPr="009512AF">
        <w:rPr>
          <w:rFonts w:cs="Arial"/>
          <w:lang w:val="en-GB"/>
        </w:rPr>
        <w:t xml:space="preserve">Instead, he contends that he paid his membership dues </w:t>
      </w:r>
      <w:r w:rsidR="00DC2BF1" w:rsidRPr="009512AF">
        <w:rPr>
          <w:lang w:val="en-GB"/>
        </w:rPr>
        <w:t xml:space="preserve">on 7 October 2023 </w:t>
      </w:r>
      <w:r w:rsidR="00A30D23" w:rsidRPr="009512AF">
        <w:rPr>
          <w:rFonts w:cs="Arial"/>
          <w:lang w:val="en-GB"/>
        </w:rPr>
        <w:t xml:space="preserve">to the alternative bank account </w:t>
      </w:r>
      <w:r w:rsidR="002241E1" w:rsidRPr="009512AF">
        <w:rPr>
          <w:lang w:val="en-GB"/>
        </w:rPr>
        <w:t xml:space="preserve">controlled by </w:t>
      </w:r>
      <w:r w:rsidR="00122F8C" w:rsidRPr="009512AF">
        <w:rPr>
          <w:lang w:val="en-GB"/>
        </w:rPr>
        <w:t>the</w:t>
      </w:r>
      <w:r w:rsidR="002241E1" w:rsidRPr="009512AF">
        <w:rPr>
          <w:lang w:val="en-GB"/>
        </w:rPr>
        <w:t xml:space="preserve"> breakaway provincial structure</w:t>
      </w:r>
      <w:r w:rsidR="00DC2BF1" w:rsidRPr="009512AF">
        <w:rPr>
          <w:lang w:val="en-GB"/>
        </w:rPr>
        <w:t>.</w:t>
      </w:r>
      <w:r w:rsidR="004E06AA" w:rsidRPr="009512AF">
        <w:rPr>
          <w:rFonts w:cs="Arial"/>
          <w:lang w:val="en-GB"/>
        </w:rPr>
        <w:t xml:space="preserve">  </w:t>
      </w:r>
    </w:p>
    <w:p w:rsidR="00E24B31" w:rsidRPr="009512AF" w:rsidRDefault="007F1CDF" w:rsidP="007F1CDF">
      <w:pPr>
        <w:keepNext/>
        <w:keepLines/>
        <w:snapToGrid w:val="0"/>
        <w:spacing w:before="120" w:after="360" w:line="480" w:lineRule="auto"/>
        <w:ind w:hanging="6"/>
        <w:jc w:val="both"/>
        <w:rPr>
          <w:rFonts w:cs="Arial"/>
          <w:lang w:val="en-GB"/>
        </w:rPr>
      </w:pPr>
      <w:r w:rsidRPr="009512AF">
        <w:rPr>
          <w:rFonts w:cs="Arial"/>
          <w:lang w:val="en-GB"/>
        </w:rPr>
        <w:t>[23]</w:t>
      </w:r>
      <w:r w:rsidRPr="009512AF">
        <w:rPr>
          <w:rFonts w:cs="Arial"/>
          <w:lang w:val="en-GB"/>
        </w:rPr>
        <w:tab/>
      </w:r>
      <w:r w:rsidR="00E24B31" w:rsidRPr="009512AF">
        <w:rPr>
          <w:rFonts w:cs="Arial"/>
          <w:lang w:val="en-GB"/>
        </w:rPr>
        <w:t xml:space="preserve">The evidence on which Heradien relies in support of </w:t>
      </w:r>
      <w:r w:rsidR="00846591" w:rsidRPr="009512AF">
        <w:rPr>
          <w:rFonts w:cs="Arial"/>
          <w:lang w:val="en-GB"/>
        </w:rPr>
        <w:t xml:space="preserve">the </w:t>
      </w:r>
      <w:r w:rsidR="00E24B31" w:rsidRPr="009512AF">
        <w:rPr>
          <w:rFonts w:cs="Arial"/>
          <w:lang w:val="en-GB"/>
        </w:rPr>
        <w:t xml:space="preserve">contention that he made payment of his outstanding membership dues are: </w:t>
      </w:r>
    </w:p>
    <w:p w:rsidR="00E24B31" w:rsidRPr="009512AF" w:rsidRDefault="007F1CDF" w:rsidP="007F1CDF">
      <w:pPr>
        <w:snapToGrid w:val="0"/>
        <w:spacing w:before="120" w:after="360" w:line="480" w:lineRule="auto"/>
        <w:ind w:left="1418" w:hanging="1058"/>
        <w:jc w:val="both"/>
        <w:rPr>
          <w:rFonts w:cs="Arial"/>
          <w:lang w:val="en-GB"/>
        </w:rPr>
      </w:pPr>
      <w:r w:rsidRPr="009512AF">
        <w:rPr>
          <w:rFonts w:cs="Arial"/>
          <w:lang w:val="en-GB"/>
        </w:rPr>
        <w:t>[23.1]</w:t>
      </w:r>
      <w:r w:rsidRPr="009512AF">
        <w:rPr>
          <w:rFonts w:cs="Arial"/>
          <w:lang w:val="en-GB"/>
        </w:rPr>
        <w:tab/>
      </w:r>
      <w:r w:rsidR="00E24B31" w:rsidRPr="009512AF">
        <w:rPr>
          <w:rFonts w:cs="Arial"/>
          <w:lang w:val="en-GB"/>
        </w:rPr>
        <w:t xml:space="preserve">A document styled as a </w:t>
      </w:r>
      <w:r w:rsidR="00E24B31" w:rsidRPr="009512AF">
        <w:rPr>
          <w:rFonts w:cs="Arial"/>
          <w:i/>
          <w:iCs/>
          <w:lang w:val="en-GB"/>
        </w:rPr>
        <w:t>“witness statement”</w:t>
      </w:r>
      <w:r w:rsidR="00E24B31" w:rsidRPr="009512AF">
        <w:rPr>
          <w:rFonts w:cs="Arial"/>
          <w:lang w:val="en-GB"/>
        </w:rPr>
        <w:t xml:space="preserve"> from one Dawie Kampher</w:t>
      </w:r>
      <w:r w:rsidR="00122F8C" w:rsidRPr="009512AF">
        <w:rPr>
          <w:rFonts w:cs="Arial"/>
          <w:lang w:val="en-GB"/>
        </w:rPr>
        <w:t xml:space="preserve"> (‘Mr Kampher’)</w:t>
      </w:r>
      <w:r w:rsidR="00DE71FE" w:rsidRPr="009512AF">
        <w:rPr>
          <w:rStyle w:val="FootnoteReference"/>
          <w:rFonts w:cs="Arial"/>
          <w:lang w:val="en-GB"/>
        </w:rPr>
        <w:footnoteReference w:id="11"/>
      </w:r>
      <w:r w:rsidR="00E24B31" w:rsidRPr="009512AF">
        <w:rPr>
          <w:rFonts w:cs="Arial"/>
          <w:lang w:val="en-GB"/>
        </w:rPr>
        <w:t xml:space="preserve"> in which he identifie</w:t>
      </w:r>
      <w:r w:rsidR="00122F8C" w:rsidRPr="009512AF">
        <w:rPr>
          <w:rFonts w:cs="Arial"/>
          <w:lang w:val="en-GB"/>
        </w:rPr>
        <w:t>s</w:t>
      </w:r>
      <w:r w:rsidR="00E24B31" w:rsidRPr="009512AF">
        <w:rPr>
          <w:rFonts w:cs="Arial"/>
          <w:lang w:val="en-GB"/>
        </w:rPr>
        <w:t xml:space="preserve"> himself as the interim leader of ICOSA</w:t>
      </w:r>
      <w:r w:rsidR="00122F8C" w:rsidRPr="009512AF">
        <w:rPr>
          <w:rFonts w:cs="Arial"/>
          <w:lang w:val="en-GB"/>
        </w:rPr>
        <w:t>,</w:t>
      </w:r>
      <w:r w:rsidR="00E24B31" w:rsidRPr="009512AF">
        <w:rPr>
          <w:rFonts w:cs="Arial"/>
          <w:lang w:val="en-GB"/>
        </w:rPr>
        <w:t xml:space="preserve"> and in which he states that at a meeting held on 7 October 2023 membership fees, including the membership fee</w:t>
      </w:r>
      <w:r w:rsidR="00846591" w:rsidRPr="009512AF">
        <w:rPr>
          <w:rFonts w:cs="Arial"/>
          <w:lang w:val="en-GB"/>
        </w:rPr>
        <w:t>s</w:t>
      </w:r>
      <w:r w:rsidR="00E24B31" w:rsidRPr="009512AF">
        <w:rPr>
          <w:rFonts w:cs="Arial"/>
          <w:lang w:val="en-GB"/>
        </w:rPr>
        <w:t xml:space="preserve"> of Mr Heradien, were paid and that </w:t>
      </w:r>
      <w:r w:rsidR="00E24B31" w:rsidRPr="009512AF">
        <w:rPr>
          <w:rFonts w:cs="Arial"/>
          <w:i/>
          <w:iCs/>
          <w:lang w:val="en-GB"/>
        </w:rPr>
        <w:t>“[t]he fees paid on this day was (sic) to be used for the booking of the hall and refreshments, which was paid in advance by Mr Benjamin</w:t>
      </w:r>
      <w:r w:rsidR="004634E4" w:rsidRPr="009512AF">
        <w:rPr>
          <w:rFonts w:cs="Arial"/>
          <w:i/>
          <w:iCs/>
          <w:lang w:val="en-GB"/>
        </w:rPr>
        <w:t> </w:t>
      </w:r>
      <w:r w:rsidR="00E24B31" w:rsidRPr="009512AF">
        <w:rPr>
          <w:rFonts w:cs="Arial"/>
          <w:i/>
          <w:iCs/>
          <w:lang w:val="en-GB"/>
        </w:rPr>
        <w:t>Marsala and was (sic) compensated back unto (sic) him at the conclusion of the meeting.”</w:t>
      </w:r>
    </w:p>
    <w:p w:rsidR="00E24B31" w:rsidRPr="009512AF" w:rsidRDefault="007F1CDF" w:rsidP="007F1CDF">
      <w:pPr>
        <w:snapToGrid w:val="0"/>
        <w:spacing w:before="120" w:after="360" w:line="480" w:lineRule="auto"/>
        <w:ind w:left="1418" w:hanging="1058"/>
        <w:jc w:val="both"/>
        <w:rPr>
          <w:rFonts w:cs="Arial"/>
          <w:lang w:val="en-GB"/>
        </w:rPr>
      </w:pPr>
      <w:r w:rsidRPr="009512AF">
        <w:rPr>
          <w:rFonts w:cs="Arial"/>
          <w:lang w:val="en-GB"/>
        </w:rPr>
        <w:t>[23.2]</w:t>
      </w:r>
      <w:r w:rsidRPr="009512AF">
        <w:rPr>
          <w:rFonts w:cs="Arial"/>
          <w:lang w:val="en-GB"/>
        </w:rPr>
        <w:tab/>
      </w:r>
      <w:r w:rsidR="00E24B31" w:rsidRPr="009512AF">
        <w:rPr>
          <w:rFonts w:cs="Arial"/>
          <w:lang w:val="en-GB"/>
        </w:rPr>
        <w:t>A letter dated 17 October 2023 addressed to the Municipal Manager by Mr Benjamin</w:t>
      </w:r>
      <w:r w:rsidR="004634E4" w:rsidRPr="009512AF">
        <w:rPr>
          <w:rFonts w:cs="Arial"/>
          <w:lang w:val="en-GB"/>
        </w:rPr>
        <w:t> </w:t>
      </w:r>
      <w:r w:rsidR="00E24B31" w:rsidRPr="009512AF">
        <w:rPr>
          <w:rFonts w:cs="Arial"/>
          <w:lang w:val="en-GB"/>
        </w:rPr>
        <w:t>Marsala (‘Mr Marsala’) who identifie</w:t>
      </w:r>
      <w:r w:rsidR="004634E4" w:rsidRPr="009512AF">
        <w:rPr>
          <w:rFonts w:cs="Arial"/>
          <w:lang w:val="en-GB"/>
        </w:rPr>
        <w:t>d</w:t>
      </w:r>
      <w:r w:rsidR="00E24B31" w:rsidRPr="009512AF">
        <w:rPr>
          <w:rFonts w:cs="Arial"/>
          <w:lang w:val="en-GB"/>
        </w:rPr>
        <w:t xml:space="preserve"> himself as the Provincial Chairperson of ICOSA</w:t>
      </w:r>
      <w:r w:rsidR="00DE71FE" w:rsidRPr="009512AF">
        <w:rPr>
          <w:rFonts w:cs="Arial"/>
          <w:lang w:val="en-GB"/>
        </w:rPr>
        <w:t>,</w:t>
      </w:r>
      <w:r w:rsidR="00E24B31" w:rsidRPr="009512AF">
        <w:rPr>
          <w:rFonts w:cs="Arial"/>
          <w:lang w:val="en-GB"/>
        </w:rPr>
        <w:t xml:space="preserve"> requesting that </w:t>
      </w:r>
      <w:r w:rsidR="00E24B31" w:rsidRPr="009512AF">
        <w:rPr>
          <w:rFonts w:cs="Arial"/>
          <w:i/>
          <w:iCs/>
          <w:lang w:val="en-GB"/>
        </w:rPr>
        <w:t>“all future debit orders”</w:t>
      </w:r>
      <w:r w:rsidR="00E24B31" w:rsidRPr="009512AF">
        <w:rPr>
          <w:rFonts w:cs="Arial"/>
          <w:lang w:val="en-GB"/>
        </w:rPr>
        <w:t xml:space="preserve"> </w:t>
      </w:r>
      <w:r w:rsidR="00E24B31" w:rsidRPr="009512AF">
        <w:rPr>
          <w:rFonts w:cs="Arial"/>
          <w:lang w:val="en-GB"/>
        </w:rPr>
        <w:lastRenderedPageBreak/>
        <w:t xml:space="preserve">be paid into a </w:t>
      </w:r>
      <w:r w:rsidR="00E24B31" w:rsidRPr="009512AF">
        <w:rPr>
          <w:rFonts w:cs="Arial"/>
          <w:i/>
          <w:iCs/>
          <w:lang w:val="en-GB"/>
        </w:rPr>
        <w:t>“Gold Business Account”</w:t>
      </w:r>
      <w:r w:rsidR="00E24B31" w:rsidRPr="009512AF">
        <w:rPr>
          <w:rFonts w:cs="Arial"/>
          <w:lang w:val="en-GB"/>
        </w:rPr>
        <w:t xml:space="preserve"> at an unidentified bank with the account name recorded as </w:t>
      </w:r>
      <w:r w:rsidR="00E24B31" w:rsidRPr="009512AF">
        <w:rPr>
          <w:rFonts w:cs="Arial"/>
          <w:i/>
          <w:iCs/>
          <w:lang w:val="en-GB"/>
        </w:rPr>
        <w:t>“ICOSA”</w:t>
      </w:r>
      <w:r w:rsidR="00E24B31" w:rsidRPr="009512AF">
        <w:rPr>
          <w:rFonts w:cs="Arial"/>
          <w:lang w:val="en-GB"/>
        </w:rPr>
        <w:t xml:space="preserve"> and stating that </w:t>
      </w:r>
      <w:r w:rsidR="00E24B31" w:rsidRPr="009512AF">
        <w:rPr>
          <w:rFonts w:cs="Arial"/>
          <w:i/>
          <w:iCs/>
          <w:lang w:val="en-GB"/>
        </w:rPr>
        <w:t>“[a]ll party contributions will use this account”</w:t>
      </w:r>
      <w:r w:rsidR="00E24B31" w:rsidRPr="009512AF">
        <w:rPr>
          <w:rFonts w:cs="Arial"/>
          <w:lang w:val="en-GB"/>
        </w:rPr>
        <w:t>.</w:t>
      </w:r>
    </w:p>
    <w:p w:rsidR="00E24B31" w:rsidRPr="009512AF" w:rsidRDefault="007F1CDF" w:rsidP="007F1CDF">
      <w:pPr>
        <w:snapToGrid w:val="0"/>
        <w:spacing w:before="120" w:after="360" w:line="480" w:lineRule="auto"/>
        <w:ind w:left="1418" w:hanging="1058"/>
        <w:jc w:val="both"/>
        <w:rPr>
          <w:rFonts w:cs="Arial"/>
          <w:lang w:val="en-GB"/>
        </w:rPr>
      </w:pPr>
      <w:r w:rsidRPr="009512AF">
        <w:rPr>
          <w:rFonts w:cs="Arial"/>
          <w:lang w:val="en-GB"/>
        </w:rPr>
        <w:t>[23.3]</w:t>
      </w:r>
      <w:r w:rsidRPr="009512AF">
        <w:rPr>
          <w:rFonts w:cs="Arial"/>
          <w:lang w:val="en-GB"/>
        </w:rPr>
        <w:tab/>
      </w:r>
      <w:r w:rsidR="00E24B31" w:rsidRPr="009512AF">
        <w:rPr>
          <w:rFonts w:cs="Arial"/>
          <w:lang w:val="en-GB"/>
        </w:rPr>
        <w:t>A</w:t>
      </w:r>
      <w:r w:rsidR="00B75F07" w:rsidRPr="009512AF">
        <w:rPr>
          <w:rFonts w:cs="Arial"/>
          <w:lang w:val="en-GB"/>
        </w:rPr>
        <w:t>n</w:t>
      </w:r>
      <w:r w:rsidR="00E24B31" w:rsidRPr="009512AF">
        <w:rPr>
          <w:rFonts w:cs="Arial"/>
          <w:lang w:val="en-GB"/>
        </w:rPr>
        <w:t xml:space="preserve"> </w:t>
      </w:r>
      <w:r w:rsidR="00B75F07" w:rsidRPr="009512AF">
        <w:rPr>
          <w:rFonts w:cs="Arial"/>
          <w:lang w:val="en-GB"/>
        </w:rPr>
        <w:t xml:space="preserve">ICOSA </w:t>
      </w:r>
      <w:r w:rsidR="00E24B31" w:rsidRPr="009512AF">
        <w:rPr>
          <w:rFonts w:cs="Arial"/>
          <w:lang w:val="en-GB"/>
        </w:rPr>
        <w:t xml:space="preserve">membership </w:t>
      </w:r>
      <w:r w:rsidR="00C932CB" w:rsidRPr="009512AF">
        <w:rPr>
          <w:rFonts w:cs="Arial"/>
          <w:lang w:val="en-GB"/>
        </w:rPr>
        <w:t xml:space="preserve">form </w:t>
      </w:r>
      <w:r w:rsidR="00E24B31" w:rsidRPr="009512AF">
        <w:rPr>
          <w:rFonts w:cs="Arial"/>
          <w:lang w:val="en-GB"/>
        </w:rPr>
        <w:t>completed by Mr Heradien and dated 7 October 2023.</w:t>
      </w:r>
    </w:p>
    <w:p w:rsidR="00E24B31" w:rsidRPr="009512AF" w:rsidRDefault="007F1CDF" w:rsidP="007F1CDF">
      <w:pPr>
        <w:snapToGrid w:val="0"/>
        <w:spacing w:before="120" w:after="360" w:line="480" w:lineRule="auto"/>
        <w:ind w:hanging="6"/>
        <w:jc w:val="both"/>
        <w:rPr>
          <w:rFonts w:cs="Arial"/>
          <w:lang w:val="en-GB"/>
        </w:rPr>
      </w:pPr>
      <w:r w:rsidRPr="009512AF">
        <w:rPr>
          <w:rFonts w:cs="Arial"/>
          <w:lang w:val="en-GB"/>
        </w:rPr>
        <w:t>[24]</w:t>
      </w:r>
      <w:r w:rsidRPr="009512AF">
        <w:rPr>
          <w:rFonts w:cs="Arial"/>
          <w:lang w:val="en-GB"/>
        </w:rPr>
        <w:tab/>
      </w:r>
      <w:r w:rsidR="00E24B31" w:rsidRPr="009512AF">
        <w:rPr>
          <w:rFonts w:cs="Arial"/>
          <w:lang w:val="en-GB"/>
        </w:rPr>
        <w:t xml:space="preserve">The difficulty for Mr Heradien is that none of these documents demonstrate that the outstanding membership </w:t>
      </w:r>
      <w:r w:rsidR="00C932CB" w:rsidRPr="009512AF">
        <w:rPr>
          <w:rFonts w:cs="Arial"/>
          <w:lang w:val="en-GB"/>
        </w:rPr>
        <w:t>fees</w:t>
      </w:r>
      <w:r w:rsidR="00E24B31" w:rsidRPr="009512AF">
        <w:rPr>
          <w:rFonts w:cs="Arial"/>
          <w:lang w:val="en-GB"/>
        </w:rPr>
        <w:t xml:space="preserve"> were in fact paid into the alternative bank account referred to in the replying affidavit </w:t>
      </w:r>
      <w:r w:rsidR="00B75F07" w:rsidRPr="009512AF">
        <w:rPr>
          <w:rFonts w:cs="Arial"/>
          <w:lang w:val="en-GB"/>
        </w:rPr>
        <w:t>,</w:t>
      </w:r>
      <w:r w:rsidR="00E24B31" w:rsidRPr="009512AF">
        <w:rPr>
          <w:rFonts w:cs="Arial"/>
          <w:lang w:val="en-GB"/>
        </w:rPr>
        <w:t>or that this a</w:t>
      </w:r>
      <w:r w:rsidR="00B75F07" w:rsidRPr="009512AF">
        <w:rPr>
          <w:rFonts w:cs="Arial"/>
          <w:lang w:val="en-GB"/>
        </w:rPr>
        <w:t>lternative</w:t>
      </w:r>
      <w:r w:rsidR="00E24B31" w:rsidRPr="009512AF">
        <w:rPr>
          <w:rFonts w:cs="Arial"/>
          <w:lang w:val="en-GB"/>
        </w:rPr>
        <w:t xml:space="preserve"> bank account is in fact a bank account operated by “</w:t>
      </w:r>
      <w:r w:rsidR="00E24B31" w:rsidRPr="009512AF">
        <w:rPr>
          <w:rFonts w:cs="Arial"/>
          <w:i/>
          <w:iCs/>
          <w:lang w:val="en-GB"/>
        </w:rPr>
        <w:t>the Western Cape Division of ICOSA”</w:t>
      </w:r>
      <w:r w:rsidR="00C932CB" w:rsidRPr="009512AF">
        <w:rPr>
          <w:rFonts w:cs="Arial"/>
          <w:lang w:val="en-GB"/>
        </w:rPr>
        <w:t xml:space="preserve"> as alleged by Mr Heradien.</w:t>
      </w:r>
    </w:p>
    <w:p w:rsidR="00F25D0C" w:rsidRPr="009512AF" w:rsidRDefault="007F1CDF" w:rsidP="007F1CDF">
      <w:pPr>
        <w:snapToGrid w:val="0"/>
        <w:spacing w:before="120" w:after="360" w:line="480" w:lineRule="auto"/>
        <w:ind w:hanging="6"/>
        <w:jc w:val="both"/>
        <w:rPr>
          <w:rFonts w:cs="Arial"/>
          <w:lang w:val="en-GB"/>
        </w:rPr>
      </w:pPr>
      <w:r w:rsidRPr="009512AF">
        <w:rPr>
          <w:rFonts w:cs="Arial"/>
          <w:lang w:val="en-GB"/>
        </w:rPr>
        <w:t>[25]</w:t>
      </w:r>
      <w:r w:rsidRPr="009512AF">
        <w:rPr>
          <w:rFonts w:cs="Arial"/>
          <w:lang w:val="en-GB"/>
        </w:rPr>
        <w:tab/>
      </w:r>
      <w:r w:rsidR="00CD3804" w:rsidRPr="009512AF">
        <w:rPr>
          <w:rFonts w:cs="Arial"/>
          <w:lang w:val="en-GB"/>
        </w:rPr>
        <w:t xml:space="preserve">It bears emphasis that no bank statements or any other documents are annexed to Mr Heradien’s </w:t>
      </w:r>
      <w:r w:rsidR="00C932CB" w:rsidRPr="009512AF">
        <w:rPr>
          <w:rFonts w:cs="Arial"/>
          <w:lang w:val="en-GB"/>
        </w:rPr>
        <w:t>affidavits</w:t>
      </w:r>
      <w:r w:rsidR="00CD3804" w:rsidRPr="009512AF">
        <w:rPr>
          <w:rFonts w:cs="Arial"/>
          <w:lang w:val="en-GB"/>
        </w:rPr>
        <w:t xml:space="preserve"> substantiating the contention that</w:t>
      </w:r>
      <w:r w:rsidR="006C345D" w:rsidRPr="009512AF">
        <w:rPr>
          <w:rFonts w:cs="Arial"/>
          <w:lang w:val="en-GB"/>
        </w:rPr>
        <w:t xml:space="preserve"> this alternative bank account</w:t>
      </w:r>
      <w:r w:rsidR="00CD3804" w:rsidRPr="009512AF">
        <w:rPr>
          <w:rFonts w:cs="Arial"/>
          <w:lang w:val="en-GB"/>
        </w:rPr>
        <w:t xml:space="preserve"> exists </w:t>
      </w:r>
      <w:r w:rsidR="006C345D" w:rsidRPr="009512AF">
        <w:rPr>
          <w:rFonts w:cs="Arial"/>
          <w:lang w:val="en-GB"/>
        </w:rPr>
        <w:t>and</w:t>
      </w:r>
      <w:r w:rsidR="00CD3804" w:rsidRPr="009512AF">
        <w:rPr>
          <w:rFonts w:cs="Arial"/>
          <w:lang w:val="en-GB"/>
        </w:rPr>
        <w:t xml:space="preserve"> is a bank account operated by “</w:t>
      </w:r>
      <w:r w:rsidR="00CD3804" w:rsidRPr="009512AF">
        <w:rPr>
          <w:rFonts w:cs="Arial"/>
          <w:i/>
          <w:iCs/>
          <w:lang w:val="en-GB"/>
        </w:rPr>
        <w:t>the Western Cape Division of ICOSA”</w:t>
      </w:r>
      <w:r w:rsidR="00CD3804" w:rsidRPr="009512AF">
        <w:rPr>
          <w:rFonts w:cs="Arial"/>
          <w:lang w:val="en-GB"/>
        </w:rPr>
        <w:t xml:space="preserve">.  Further no proof of payment </w:t>
      </w:r>
      <w:r w:rsidR="002D51E3" w:rsidRPr="009512AF">
        <w:rPr>
          <w:rFonts w:cs="Arial"/>
          <w:lang w:val="en-GB"/>
        </w:rPr>
        <w:t xml:space="preserve">is </w:t>
      </w:r>
      <w:r w:rsidR="00CD3804" w:rsidRPr="009512AF">
        <w:rPr>
          <w:rFonts w:cs="Arial"/>
          <w:lang w:val="en-GB"/>
        </w:rPr>
        <w:t xml:space="preserve">annexed to Mr Heradien’s </w:t>
      </w:r>
      <w:r w:rsidR="0007303A" w:rsidRPr="009512AF">
        <w:rPr>
          <w:rFonts w:cs="Arial"/>
          <w:lang w:val="en-GB"/>
        </w:rPr>
        <w:t>affidavits</w:t>
      </w:r>
      <w:r w:rsidR="00CD3804" w:rsidRPr="009512AF">
        <w:rPr>
          <w:rFonts w:cs="Arial"/>
          <w:lang w:val="en-GB"/>
        </w:rPr>
        <w:t xml:space="preserve"> indicating that he made payment of his outstanding membership dues into this alternative bank account.</w:t>
      </w:r>
      <w:r w:rsidR="006F69ED" w:rsidRPr="009512AF">
        <w:rPr>
          <w:rFonts w:cs="Arial"/>
          <w:lang w:val="en-GB"/>
        </w:rPr>
        <w:t xml:space="preserve"> </w:t>
      </w:r>
      <w:r w:rsidR="002D51E3" w:rsidRPr="009512AF">
        <w:rPr>
          <w:rFonts w:cs="Arial"/>
          <w:lang w:val="en-GB"/>
        </w:rPr>
        <w:t xml:space="preserve"> </w:t>
      </w:r>
      <w:r w:rsidR="00BE3142" w:rsidRPr="009512AF">
        <w:rPr>
          <w:rFonts w:cs="Arial"/>
          <w:lang w:val="en-GB"/>
        </w:rPr>
        <w:t>If fact</w:t>
      </w:r>
      <w:r w:rsidR="00E24B31" w:rsidRPr="009512AF">
        <w:rPr>
          <w:rFonts w:cs="Arial"/>
          <w:lang w:val="en-GB"/>
        </w:rPr>
        <w:t xml:space="preserve">, </w:t>
      </w:r>
      <w:r w:rsidR="0007303A" w:rsidRPr="009512AF">
        <w:rPr>
          <w:rFonts w:cs="Arial"/>
          <w:lang w:val="en-GB"/>
        </w:rPr>
        <w:t xml:space="preserve">the evidence </w:t>
      </w:r>
      <w:r w:rsidR="002D51E3" w:rsidRPr="009512AF">
        <w:rPr>
          <w:rFonts w:cs="Arial"/>
          <w:lang w:val="en-GB"/>
        </w:rPr>
        <w:t xml:space="preserve">put up by Mr Heradien </w:t>
      </w:r>
      <w:r w:rsidR="0007303A" w:rsidRPr="009512AF">
        <w:rPr>
          <w:rFonts w:cs="Arial"/>
          <w:lang w:val="en-GB"/>
        </w:rPr>
        <w:t xml:space="preserve">demonstrates the opposite. </w:t>
      </w:r>
      <w:r w:rsidR="002D51E3" w:rsidRPr="009512AF">
        <w:rPr>
          <w:rFonts w:cs="Arial"/>
          <w:lang w:val="en-GB"/>
        </w:rPr>
        <w:t xml:space="preserve"> </w:t>
      </w:r>
      <w:r w:rsidR="0007303A" w:rsidRPr="009512AF">
        <w:rPr>
          <w:rFonts w:cs="Arial"/>
          <w:lang w:val="en-GB"/>
        </w:rPr>
        <w:t xml:space="preserve"> I</w:t>
      </w:r>
      <w:r w:rsidR="00E24B31" w:rsidRPr="009512AF">
        <w:rPr>
          <w:rFonts w:cs="Arial"/>
          <w:lang w:val="en-GB"/>
        </w:rPr>
        <w:t xml:space="preserve">t </w:t>
      </w:r>
      <w:r w:rsidR="0007303A" w:rsidRPr="009512AF">
        <w:rPr>
          <w:rFonts w:cs="Arial"/>
          <w:lang w:val="en-GB"/>
        </w:rPr>
        <w:t>is clear</w:t>
      </w:r>
      <w:r w:rsidR="00E24B31" w:rsidRPr="009512AF">
        <w:rPr>
          <w:rFonts w:cs="Arial"/>
          <w:lang w:val="en-GB"/>
        </w:rPr>
        <w:t xml:space="preserve"> from </w:t>
      </w:r>
      <w:r w:rsidR="002D51E3" w:rsidRPr="009512AF">
        <w:rPr>
          <w:rFonts w:cs="Arial"/>
          <w:lang w:val="en-GB"/>
        </w:rPr>
        <w:t>Mr Kampher’s witness statement</w:t>
      </w:r>
      <w:r w:rsidR="00E24B31" w:rsidRPr="009512AF">
        <w:rPr>
          <w:rFonts w:cs="Arial"/>
          <w:lang w:val="en-GB"/>
        </w:rPr>
        <w:t xml:space="preserve"> that the membership fees that were paid on 7 October 2023</w:t>
      </w:r>
      <w:r w:rsidR="009F585A" w:rsidRPr="009512AF">
        <w:rPr>
          <w:rFonts w:cs="Arial"/>
          <w:lang w:val="en-GB"/>
        </w:rPr>
        <w:t xml:space="preserve"> (which purportedly included the membership fees of Mr Heradien)</w:t>
      </w:r>
      <w:r w:rsidR="00E24B31" w:rsidRPr="009512AF">
        <w:rPr>
          <w:rFonts w:cs="Arial"/>
          <w:lang w:val="en-GB"/>
        </w:rPr>
        <w:t xml:space="preserve"> were paid over to Mr Marsala to reimburse him for monies that he had expended to pay for </w:t>
      </w:r>
      <w:r w:rsidR="00696D57" w:rsidRPr="009512AF">
        <w:rPr>
          <w:rFonts w:cs="Arial"/>
          <w:lang w:val="en-GB"/>
        </w:rPr>
        <w:t>the</w:t>
      </w:r>
      <w:r w:rsidR="00E24B31" w:rsidRPr="009512AF">
        <w:rPr>
          <w:rFonts w:cs="Arial"/>
          <w:lang w:val="en-GB"/>
        </w:rPr>
        <w:t xml:space="preserve"> hall </w:t>
      </w:r>
      <w:r w:rsidR="006F69ED" w:rsidRPr="009512AF">
        <w:rPr>
          <w:rFonts w:cs="Arial"/>
          <w:lang w:val="en-GB"/>
        </w:rPr>
        <w:t>in which the meeting of 7 October 2023 was held</w:t>
      </w:r>
      <w:r w:rsidR="0092402D" w:rsidRPr="009512AF">
        <w:rPr>
          <w:rFonts w:cs="Arial"/>
          <w:lang w:val="en-GB"/>
        </w:rPr>
        <w:t>,</w:t>
      </w:r>
      <w:r w:rsidR="006F69ED" w:rsidRPr="009512AF">
        <w:rPr>
          <w:rFonts w:cs="Arial"/>
          <w:lang w:val="en-GB"/>
        </w:rPr>
        <w:t xml:space="preserve"> </w:t>
      </w:r>
      <w:r w:rsidR="00E24B31" w:rsidRPr="009512AF">
        <w:rPr>
          <w:rFonts w:cs="Arial"/>
          <w:lang w:val="en-GB"/>
        </w:rPr>
        <w:t xml:space="preserve">and </w:t>
      </w:r>
      <w:r w:rsidR="0092402D" w:rsidRPr="009512AF">
        <w:rPr>
          <w:rFonts w:cs="Arial"/>
          <w:lang w:val="en-GB"/>
        </w:rPr>
        <w:t xml:space="preserve">the </w:t>
      </w:r>
      <w:r w:rsidR="00E24B31" w:rsidRPr="009512AF">
        <w:rPr>
          <w:rFonts w:cs="Arial"/>
          <w:lang w:val="en-GB"/>
        </w:rPr>
        <w:t xml:space="preserve">refreshments provided </w:t>
      </w:r>
      <w:r w:rsidR="006F69ED" w:rsidRPr="009512AF">
        <w:rPr>
          <w:rFonts w:cs="Arial"/>
          <w:lang w:val="en-GB"/>
        </w:rPr>
        <w:t>at the meeting.</w:t>
      </w:r>
      <w:r w:rsidR="00F25D0C" w:rsidRPr="009512AF">
        <w:rPr>
          <w:rFonts w:cs="Arial"/>
          <w:lang w:val="en-GB"/>
        </w:rPr>
        <w:t xml:space="preserve">  </w:t>
      </w:r>
      <w:r w:rsidR="00DD0D7C" w:rsidRPr="009512AF">
        <w:rPr>
          <w:rFonts w:cs="Arial"/>
          <w:lang w:val="en-GB"/>
        </w:rPr>
        <w:t xml:space="preserve">There is no provision in the constitution that </w:t>
      </w:r>
      <w:r w:rsidR="00696D57" w:rsidRPr="009512AF">
        <w:rPr>
          <w:rFonts w:cs="Arial"/>
          <w:lang w:val="en-GB"/>
        </w:rPr>
        <w:t xml:space="preserve">provides for membership fees to be paid in this manner. </w:t>
      </w:r>
      <w:r w:rsidR="00422B8F" w:rsidRPr="009512AF">
        <w:rPr>
          <w:rFonts w:cs="Arial"/>
          <w:lang w:val="en-GB"/>
        </w:rPr>
        <w:t xml:space="preserve"> </w:t>
      </w:r>
    </w:p>
    <w:p w:rsidR="00C342B7" w:rsidRPr="009512AF" w:rsidRDefault="007F1CDF" w:rsidP="007F1CDF">
      <w:pPr>
        <w:snapToGrid w:val="0"/>
        <w:spacing w:before="120" w:after="360" w:line="480" w:lineRule="auto"/>
        <w:ind w:hanging="6"/>
        <w:jc w:val="both"/>
        <w:rPr>
          <w:rFonts w:cs="Arial"/>
          <w:lang w:val="en-GB"/>
        </w:rPr>
      </w:pPr>
      <w:r w:rsidRPr="009512AF">
        <w:rPr>
          <w:rFonts w:cs="Arial"/>
          <w:lang w:val="en-GB"/>
        </w:rPr>
        <w:lastRenderedPageBreak/>
        <w:t>[26]</w:t>
      </w:r>
      <w:r w:rsidRPr="009512AF">
        <w:rPr>
          <w:rFonts w:cs="Arial"/>
          <w:lang w:val="en-GB"/>
        </w:rPr>
        <w:tab/>
      </w:r>
      <w:r w:rsidR="009C4C16" w:rsidRPr="009512AF">
        <w:rPr>
          <w:rFonts w:cs="Arial"/>
          <w:lang w:val="en-GB"/>
        </w:rPr>
        <w:t>I</w:t>
      </w:r>
      <w:r w:rsidR="00796901" w:rsidRPr="009512AF">
        <w:rPr>
          <w:rFonts w:cs="Arial"/>
          <w:lang w:val="en-GB"/>
        </w:rPr>
        <w:t xml:space="preserve">t appears from the facts alleged by Mr Heradien that he did not pay his membership fees </w:t>
      </w:r>
      <w:r w:rsidR="007C085A" w:rsidRPr="009512AF">
        <w:rPr>
          <w:rFonts w:cs="Arial"/>
          <w:lang w:val="en-GB"/>
        </w:rPr>
        <w:t xml:space="preserve">to ICOSA </w:t>
      </w:r>
      <w:r w:rsidR="00B77E77" w:rsidRPr="009512AF">
        <w:rPr>
          <w:rFonts w:cs="Arial"/>
          <w:lang w:val="en-GB"/>
        </w:rPr>
        <w:t>by 22 November 2023</w:t>
      </w:r>
      <w:r w:rsidR="00F25D0C" w:rsidRPr="009512AF">
        <w:rPr>
          <w:rFonts w:cs="Arial"/>
          <w:lang w:val="en-GB"/>
        </w:rPr>
        <w:t>.</w:t>
      </w:r>
      <w:r w:rsidR="00B77E77" w:rsidRPr="009512AF">
        <w:rPr>
          <w:rFonts w:cs="Arial"/>
          <w:lang w:val="en-GB"/>
        </w:rPr>
        <w:t xml:space="preserve"> </w:t>
      </w:r>
      <w:r w:rsidR="000D3E47" w:rsidRPr="009512AF">
        <w:rPr>
          <w:rFonts w:cs="Arial"/>
          <w:lang w:val="en-GB"/>
        </w:rPr>
        <w:t xml:space="preserve"> </w:t>
      </w:r>
      <w:r w:rsidR="00F25D0C" w:rsidRPr="009512AF">
        <w:rPr>
          <w:rFonts w:cs="Arial"/>
          <w:lang w:val="en-GB"/>
        </w:rPr>
        <w:t xml:space="preserve">Consequently </w:t>
      </w:r>
      <w:r w:rsidR="00C67D5C" w:rsidRPr="009512AF">
        <w:rPr>
          <w:rFonts w:cs="Arial"/>
          <w:lang w:val="en-GB"/>
        </w:rPr>
        <w:t xml:space="preserve">his membership </w:t>
      </w:r>
      <w:r w:rsidR="00041895" w:rsidRPr="009512AF">
        <w:rPr>
          <w:rFonts w:cs="Arial"/>
          <w:lang w:val="en-GB"/>
        </w:rPr>
        <w:t>of ICOSA</w:t>
      </w:r>
      <w:r w:rsidR="00B77E77" w:rsidRPr="009512AF">
        <w:rPr>
          <w:rFonts w:cs="Arial"/>
          <w:lang w:val="en-GB"/>
        </w:rPr>
        <w:t xml:space="preserve"> terminat</w:t>
      </w:r>
      <w:r w:rsidR="002F5CCD" w:rsidRPr="009512AF">
        <w:rPr>
          <w:rFonts w:cs="Arial"/>
          <w:lang w:val="en-GB"/>
        </w:rPr>
        <w:t>ed</w:t>
      </w:r>
      <w:r w:rsidR="00B77E77" w:rsidRPr="009512AF">
        <w:rPr>
          <w:rFonts w:cs="Arial"/>
          <w:lang w:val="en-GB"/>
        </w:rPr>
        <w:t xml:space="preserve">. </w:t>
      </w:r>
      <w:r w:rsidR="00B36B6F" w:rsidRPr="009512AF">
        <w:rPr>
          <w:rFonts w:cs="Arial"/>
          <w:lang w:val="en-GB"/>
        </w:rPr>
        <w:t xml:space="preserve"> </w:t>
      </w:r>
    </w:p>
    <w:p w:rsidR="002B2C31" w:rsidRPr="009512AF" w:rsidRDefault="007F1CDF" w:rsidP="007F1CDF">
      <w:pPr>
        <w:snapToGrid w:val="0"/>
        <w:spacing w:before="120" w:after="360" w:line="480" w:lineRule="auto"/>
        <w:ind w:hanging="6"/>
        <w:jc w:val="both"/>
        <w:rPr>
          <w:rFonts w:cs="Arial"/>
          <w:lang w:val="en-GB"/>
        </w:rPr>
      </w:pPr>
      <w:r w:rsidRPr="009512AF">
        <w:rPr>
          <w:rFonts w:cs="Arial"/>
          <w:lang w:val="en-GB"/>
        </w:rPr>
        <w:t>[27]</w:t>
      </w:r>
      <w:r w:rsidRPr="009512AF">
        <w:rPr>
          <w:rFonts w:cs="Arial"/>
          <w:lang w:val="en-GB"/>
        </w:rPr>
        <w:tab/>
      </w:r>
      <w:r w:rsidR="00C342B7" w:rsidRPr="009512AF">
        <w:rPr>
          <w:rFonts w:cs="Arial"/>
          <w:lang w:val="en-GB"/>
        </w:rPr>
        <w:t xml:space="preserve">In </w:t>
      </w:r>
      <w:r w:rsidR="00C342B7" w:rsidRPr="009512AF">
        <w:rPr>
          <w:rFonts w:cs="Arial"/>
          <w:i/>
          <w:lang w:val="en-GB"/>
        </w:rPr>
        <w:t>Phenithi v Minister of Education and others</w:t>
      </w:r>
      <w:r w:rsidR="00C342B7" w:rsidRPr="009512AF">
        <w:rPr>
          <w:rFonts w:cs="Arial"/>
          <w:lang w:val="en-GB"/>
        </w:rPr>
        <w:t xml:space="preserve">, the Supreme Court of Appeal held that a consequence that occurs by operation of law is not </w:t>
      </w:r>
      <w:r w:rsidR="00C342B7" w:rsidRPr="009512AF">
        <w:rPr>
          <w:rFonts w:cs="Arial"/>
          <w:iCs/>
          <w:lang w:val="en-GB"/>
        </w:rPr>
        <w:t>administrative action</w:t>
      </w:r>
      <w:r w:rsidR="00C342B7" w:rsidRPr="009512AF">
        <w:rPr>
          <w:rFonts w:cs="Arial"/>
          <w:lang w:val="en-GB"/>
        </w:rPr>
        <w:t xml:space="preserve"> in terms of PAJA</w:t>
      </w:r>
      <w:r w:rsidR="00B81087" w:rsidRPr="009512AF">
        <w:rPr>
          <w:rFonts w:cs="Arial"/>
          <w:lang w:val="en-GB"/>
        </w:rPr>
        <w:t xml:space="preserve"> (for an act to qualify as “</w:t>
      </w:r>
      <w:r w:rsidR="00B81087" w:rsidRPr="009512AF">
        <w:rPr>
          <w:rFonts w:cs="Arial"/>
          <w:i/>
          <w:lang w:val="en-GB"/>
        </w:rPr>
        <w:t>administrative action</w:t>
      </w:r>
      <w:r w:rsidR="00B81087" w:rsidRPr="009512AF">
        <w:rPr>
          <w:rFonts w:cs="Arial"/>
          <w:lang w:val="en-GB"/>
        </w:rPr>
        <w:t>” under PAJA, it must constitute a “</w:t>
      </w:r>
      <w:r w:rsidR="00B81087" w:rsidRPr="009512AF">
        <w:rPr>
          <w:rFonts w:cs="Arial"/>
          <w:i/>
          <w:lang w:val="en-GB"/>
        </w:rPr>
        <w:t>decision</w:t>
      </w:r>
      <w:r w:rsidR="00B81087" w:rsidRPr="009512AF">
        <w:rPr>
          <w:rFonts w:cs="Arial"/>
          <w:lang w:val="en-GB"/>
        </w:rPr>
        <w:t>”)</w:t>
      </w:r>
      <w:r w:rsidR="00C342B7" w:rsidRPr="009512AF">
        <w:rPr>
          <w:rFonts w:cs="Arial"/>
          <w:lang w:val="en-GB"/>
        </w:rPr>
        <w:t>.</w:t>
      </w:r>
      <w:r w:rsidR="00C342B7" w:rsidRPr="009512AF">
        <w:rPr>
          <w:rStyle w:val="FootnoteReference"/>
          <w:rFonts w:cs="Arial"/>
          <w:lang w:val="en-GB"/>
        </w:rPr>
        <w:footnoteReference w:id="12"/>
      </w:r>
      <w:r w:rsidR="00C342B7" w:rsidRPr="009512AF">
        <w:rPr>
          <w:rFonts w:cs="Arial"/>
          <w:lang w:val="en-GB"/>
        </w:rPr>
        <w:t xml:space="preserve">  In </w:t>
      </w:r>
      <w:r w:rsidR="00FB1776" w:rsidRPr="009512AF">
        <w:rPr>
          <w:rFonts w:cs="Arial"/>
          <w:i/>
          <w:lang w:val="en-GB"/>
        </w:rPr>
        <w:t>Phenithi</w:t>
      </w:r>
      <w:r w:rsidR="00FB1776" w:rsidRPr="009512AF">
        <w:rPr>
          <w:rFonts w:cs="Arial"/>
          <w:lang w:val="en-GB"/>
        </w:rPr>
        <w:t xml:space="preserve"> </w:t>
      </w:r>
      <w:r w:rsidR="00C342B7" w:rsidRPr="009512AF">
        <w:rPr>
          <w:rFonts w:cs="Arial"/>
          <w:lang w:val="en-GB"/>
        </w:rPr>
        <w:t>a teacher was dismissed as a result of s</w:t>
      </w:r>
      <w:r w:rsidR="00B81087" w:rsidRPr="009512AF">
        <w:rPr>
          <w:rFonts w:cs="Arial"/>
          <w:lang w:val="en-GB"/>
        </w:rPr>
        <w:t> </w:t>
      </w:r>
      <w:r w:rsidR="00C342B7" w:rsidRPr="009512AF">
        <w:rPr>
          <w:rFonts w:cs="Arial"/>
          <w:lang w:val="en-GB"/>
        </w:rPr>
        <w:t xml:space="preserve">14(1)(a) of the </w:t>
      </w:r>
      <w:r w:rsidR="00C342B7" w:rsidRPr="009512AF">
        <w:rPr>
          <w:rFonts w:cs="Arial"/>
          <w:i/>
          <w:lang w:val="en-GB"/>
        </w:rPr>
        <w:t>Employment of Educators Act</w:t>
      </w:r>
      <w:r w:rsidR="00C342B7" w:rsidRPr="009512AF">
        <w:rPr>
          <w:rFonts w:cs="Arial"/>
          <w:lang w:val="en-GB"/>
        </w:rPr>
        <w:t xml:space="preserve"> 76 of 1998 because she had been absent from work without leave for 14 days.  The </w:t>
      </w:r>
      <w:r w:rsidR="00B81087" w:rsidRPr="009512AF">
        <w:rPr>
          <w:rFonts w:cs="Arial"/>
          <w:lang w:val="en-GB"/>
        </w:rPr>
        <w:t>Supreme Court of Appeal</w:t>
      </w:r>
      <w:r w:rsidR="00C342B7" w:rsidRPr="009512AF">
        <w:rPr>
          <w:rFonts w:cs="Arial"/>
          <w:lang w:val="en-GB"/>
        </w:rPr>
        <w:t xml:space="preserve"> concluded that the teacher could not review her dismissal under PAJA because no decision had been taken.  Her employment terminated automatically.  </w:t>
      </w:r>
    </w:p>
    <w:p w:rsidR="00D37EE4" w:rsidRPr="009512AF" w:rsidRDefault="007F1CDF" w:rsidP="007F1CDF">
      <w:pPr>
        <w:keepNext/>
        <w:keepLines/>
        <w:snapToGrid w:val="0"/>
        <w:spacing w:before="120" w:after="360" w:line="480" w:lineRule="auto"/>
        <w:ind w:hanging="6"/>
        <w:jc w:val="both"/>
        <w:rPr>
          <w:rFonts w:cs="Arial"/>
          <w:lang w:val="en-GB"/>
        </w:rPr>
      </w:pPr>
      <w:r w:rsidRPr="009512AF">
        <w:rPr>
          <w:rFonts w:cs="Arial"/>
          <w:lang w:val="en-GB"/>
        </w:rPr>
        <w:t>[28]</w:t>
      </w:r>
      <w:r w:rsidRPr="009512AF">
        <w:rPr>
          <w:rFonts w:cs="Arial"/>
          <w:lang w:val="en-GB"/>
        </w:rPr>
        <w:tab/>
      </w:r>
      <w:r w:rsidR="00C342B7" w:rsidRPr="009512AF">
        <w:rPr>
          <w:rFonts w:cs="Arial"/>
          <w:lang w:val="en-GB"/>
        </w:rPr>
        <w:t xml:space="preserve">The </w:t>
      </w:r>
      <w:r w:rsidR="00B81087" w:rsidRPr="009512AF">
        <w:rPr>
          <w:rFonts w:cs="Arial"/>
          <w:lang w:val="en-GB"/>
        </w:rPr>
        <w:t>Supreme Court of Appeal</w:t>
      </w:r>
      <w:r w:rsidR="00C342B7" w:rsidRPr="009512AF">
        <w:rPr>
          <w:rFonts w:cs="Arial"/>
          <w:lang w:val="en-GB"/>
        </w:rPr>
        <w:t xml:space="preserve"> quoted with approval </w:t>
      </w:r>
      <w:r w:rsidR="002B2C31" w:rsidRPr="009512AF">
        <w:rPr>
          <w:rFonts w:cs="Arial"/>
          <w:lang w:val="en-GB"/>
        </w:rPr>
        <w:t xml:space="preserve">the following statement in </w:t>
      </w:r>
      <w:r w:rsidR="002B2C31" w:rsidRPr="009512AF">
        <w:rPr>
          <w:rFonts w:cs="Arial"/>
          <w:i/>
          <w:lang w:val="en-GB"/>
        </w:rPr>
        <w:t>Minister van Onderwys en Kultuur en Andere v Louw</w:t>
      </w:r>
      <w:r w:rsidR="00C342B7" w:rsidRPr="009512AF">
        <w:rPr>
          <w:rFonts w:cs="Arial"/>
          <w:lang w:val="en-GB"/>
        </w:rPr>
        <w:t>:</w:t>
      </w:r>
      <w:r w:rsidR="002B2C31" w:rsidRPr="009512AF">
        <w:rPr>
          <w:rStyle w:val="FootnoteReference"/>
          <w:rFonts w:cs="Arial"/>
          <w:lang w:val="en-GB"/>
        </w:rPr>
        <w:footnoteReference w:id="13"/>
      </w:r>
      <w:r w:rsidR="00C342B7" w:rsidRPr="009512AF">
        <w:rPr>
          <w:lang w:val="en-GB"/>
        </w:rPr>
        <w:t xml:space="preserve"> </w:t>
      </w:r>
    </w:p>
    <w:p w:rsidR="00D37EE4" w:rsidRPr="009512AF" w:rsidRDefault="00D37EE4" w:rsidP="00AA53AB">
      <w:pPr>
        <w:spacing w:before="120" w:after="360" w:line="480" w:lineRule="auto"/>
        <w:ind w:left="1440"/>
        <w:jc w:val="both"/>
        <w:rPr>
          <w:rFonts w:cs="Arial"/>
          <w:i/>
          <w:lang w:val="en-GB"/>
        </w:rPr>
      </w:pPr>
      <w:r w:rsidRPr="009512AF">
        <w:rPr>
          <w:rFonts w:cs="Arial"/>
          <w:lang w:val="en-GB"/>
        </w:rPr>
        <w:t>“</w:t>
      </w:r>
      <w:r w:rsidRPr="009512AF">
        <w:rPr>
          <w:rFonts w:cs="Arial"/>
          <w:i/>
          <w:lang w:val="en-GB"/>
        </w:rPr>
        <w:t xml:space="preserve">There is then no question of a review of an administrative decision. Indeed, the coming into operation of the deeming provision is not dependent upon any decision. There is thus no room for reliance on the </w:t>
      </w:r>
      <w:r w:rsidRPr="009512AF">
        <w:rPr>
          <w:rFonts w:cs="Arial"/>
          <w:lang w:val="en-GB"/>
        </w:rPr>
        <w:t>audi</w:t>
      </w:r>
      <w:r w:rsidRPr="009512AF">
        <w:rPr>
          <w:rFonts w:cs="Arial"/>
          <w:i/>
          <w:lang w:val="en-GB"/>
        </w:rPr>
        <w:t xml:space="preserve"> rule which, in its classic formulation, is applicable when an administrative - and discretionary - decision may detrimentally affect the rights, privileges or liberty of a person.</w:t>
      </w:r>
      <w:r w:rsidRPr="009512AF">
        <w:rPr>
          <w:rFonts w:cs="Arial"/>
          <w:lang w:val="en-GB"/>
        </w:rPr>
        <w:t>”</w:t>
      </w:r>
    </w:p>
    <w:p w:rsidR="00C342B7" w:rsidRPr="009512AF" w:rsidRDefault="007F1CDF" w:rsidP="007F1CDF">
      <w:pPr>
        <w:snapToGrid w:val="0"/>
        <w:spacing w:before="120" w:after="360" w:line="480" w:lineRule="auto"/>
        <w:ind w:hanging="6"/>
        <w:jc w:val="both"/>
        <w:rPr>
          <w:rFonts w:cs="Arial"/>
          <w:lang w:val="en-GB"/>
        </w:rPr>
      </w:pPr>
      <w:r w:rsidRPr="009512AF">
        <w:rPr>
          <w:rFonts w:cs="Arial"/>
          <w:lang w:val="en-GB"/>
        </w:rPr>
        <w:t>[29]</w:t>
      </w:r>
      <w:r w:rsidRPr="009512AF">
        <w:rPr>
          <w:rFonts w:cs="Arial"/>
          <w:lang w:val="en-GB"/>
        </w:rPr>
        <w:tab/>
      </w:r>
      <w:r w:rsidR="00FD6543" w:rsidRPr="009512AF">
        <w:rPr>
          <w:rFonts w:cs="Arial"/>
          <w:lang w:val="en-GB"/>
        </w:rPr>
        <w:t xml:space="preserve">While this </w:t>
      </w:r>
      <w:r w:rsidR="00C342B7" w:rsidRPr="009512AF">
        <w:rPr>
          <w:rFonts w:cs="Arial"/>
          <w:lang w:val="en-GB"/>
        </w:rPr>
        <w:t>does not preclude the possibility of reviewing the authority’s determination that the factual basis for the operation of the provision exists</w:t>
      </w:r>
      <w:r w:rsidR="00FD6543" w:rsidRPr="009512AF">
        <w:rPr>
          <w:rFonts w:cs="Arial"/>
          <w:lang w:val="en-GB"/>
        </w:rPr>
        <w:t>,</w:t>
      </w:r>
      <w:r w:rsidR="00C342B7" w:rsidRPr="009512AF">
        <w:rPr>
          <w:rFonts w:cs="Arial"/>
          <w:lang w:val="en-GB"/>
        </w:rPr>
        <w:t xml:space="preserve"> there is </w:t>
      </w:r>
      <w:r w:rsidR="00C342B7" w:rsidRPr="009512AF">
        <w:rPr>
          <w:rFonts w:cs="Arial"/>
          <w:lang w:val="en-GB"/>
        </w:rPr>
        <w:lastRenderedPageBreak/>
        <w:t xml:space="preserve">no scope to demand a hearing before a law applies.  </w:t>
      </w:r>
      <w:r w:rsidR="00FD6543" w:rsidRPr="009512AF">
        <w:rPr>
          <w:rFonts w:cs="Arial"/>
          <w:iCs/>
          <w:lang w:val="en-GB"/>
        </w:rPr>
        <w:t xml:space="preserve">In this matter </w:t>
      </w:r>
      <w:r w:rsidR="00FD6543" w:rsidRPr="009512AF">
        <w:rPr>
          <w:rFonts w:cs="Arial"/>
          <w:lang w:val="en-GB"/>
        </w:rPr>
        <w:t>the objective jurisdictional fact</w:t>
      </w:r>
      <w:r w:rsidR="00B76958" w:rsidRPr="009512AF">
        <w:rPr>
          <w:rFonts w:cs="Arial"/>
          <w:lang w:val="en-GB"/>
        </w:rPr>
        <w:t xml:space="preserve"> necessary for Mr Heradien’s expulsion as a member</w:t>
      </w:r>
      <w:r w:rsidR="00FD6543" w:rsidRPr="009512AF">
        <w:rPr>
          <w:rFonts w:cs="Arial"/>
          <w:lang w:val="en-GB"/>
        </w:rPr>
        <w:t xml:space="preserve"> </w:t>
      </w:r>
      <w:r w:rsidR="00B76958" w:rsidRPr="009512AF">
        <w:rPr>
          <w:rFonts w:cs="Arial"/>
          <w:lang w:val="en-GB"/>
        </w:rPr>
        <w:t>(</w:t>
      </w:r>
      <w:r w:rsidR="00FD6543" w:rsidRPr="009512AF">
        <w:rPr>
          <w:rFonts w:cs="Arial"/>
          <w:lang w:val="en-GB"/>
        </w:rPr>
        <w:t>that</w:t>
      </w:r>
      <w:r w:rsidR="00B76958" w:rsidRPr="009512AF">
        <w:rPr>
          <w:rFonts w:cs="Arial"/>
          <w:lang w:val="en-GB"/>
        </w:rPr>
        <w:t xml:space="preserve"> is his failure</w:t>
      </w:r>
      <w:r w:rsidR="00FD6543" w:rsidRPr="009512AF">
        <w:rPr>
          <w:rFonts w:cs="Arial"/>
          <w:lang w:val="en-GB"/>
        </w:rPr>
        <w:t xml:space="preserve"> </w:t>
      </w:r>
      <w:r w:rsidR="00B76958" w:rsidRPr="009512AF">
        <w:rPr>
          <w:rFonts w:cs="Arial"/>
          <w:lang w:val="en-GB"/>
        </w:rPr>
        <w:t>to</w:t>
      </w:r>
      <w:r w:rsidR="00FD6543" w:rsidRPr="009512AF">
        <w:rPr>
          <w:rFonts w:cs="Arial"/>
          <w:lang w:val="en-GB"/>
        </w:rPr>
        <w:t xml:space="preserve"> pay his membership fees to ICOSA</w:t>
      </w:r>
      <w:r w:rsidR="001957A7" w:rsidRPr="009512AF">
        <w:rPr>
          <w:rFonts w:cs="Arial"/>
          <w:lang w:val="en-GB"/>
        </w:rPr>
        <w:t>)</w:t>
      </w:r>
      <w:r w:rsidR="00FD6543" w:rsidRPr="009512AF">
        <w:rPr>
          <w:rFonts w:cs="Arial"/>
          <w:lang w:val="en-GB"/>
        </w:rPr>
        <w:t xml:space="preserve"> </w:t>
      </w:r>
      <w:r w:rsidR="00B76958" w:rsidRPr="009512AF">
        <w:rPr>
          <w:rFonts w:cs="Arial"/>
          <w:lang w:val="en-GB"/>
        </w:rPr>
        <w:t xml:space="preserve">has been established on the evidence </w:t>
      </w:r>
      <w:r w:rsidR="00247EE0" w:rsidRPr="009512AF">
        <w:rPr>
          <w:rFonts w:cs="Arial"/>
          <w:lang w:val="en-GB"/>
        </w:rPr>
        <w:t>put up by</w:t>
      </w:r>
      <w:r w:rsidR="00B76958" w:rsidRPr="009512AF">
        <w:rPr>
          <w:rFonts w:cs="Arial"/>
          <w:lang w:val="en-GB"/>
        </w:rPr>
        <w:t xml:space="preserve"> Mr Heradien himself.</w:t>
      </w:r>
    </w:p>
    <w:p w:rsidR="001F138D" w:rsidRPr="009512AF" w:rsidRDefault="007F1CDF" w:rsidP="007F1CDF">
      <w:pPr>
        <w:keepNext/>
        <w:keepLines/>
        <w:snapToGrid w:val="0"/>
        <w:spacing w:before="120" w:after="360" w:line="480" w:lineRule="auto"/>
        <w:ind w:hanging="6"/>
        <w:jc w:val="both"/>
        <w:rPr>
          <w:rFonts w:cs="Arial"/>
          <w:lang w:val="en-GB"/>
        </w:rPr>
      </w:pPr>
      <w:r w:rsidRPr="009512AF">
        <w:rPr>
          <w:rFonts w:cs="Arial"/>
          <w:lang w:val="en-GB"/>
        </w:rPr>
        <w:t>[30]</w:t>
      </w:r>
      <w:r w:rsidRPr="009512AF">
        <w:rPr>
          <w:rFonts w:cs="Arial"/>
          <w:lang w:val="en-GB"/>
        </w:rPr>
        <w:tab/>
      </w:r>
      <w:r w:rsidR="0088251E" w:rsidRPr="009512AF">
        <w:rPr>
          <w:rFonts w:cs="Arial"/>
          <w:lang w:val="en-GB"/>
        </w:rPr>
        <w:t xml:space="preserve">This </w:t>
      </w:r>
      <w:r w:rsidR="00247EE0" w:rsidRPr="009512AF">
        <w:rPr>
          <w:rFonts w:cs="Arial"/>
          <w:lang w:val="en-GB"/>
        </w:rPr>
        <w:t>C</w:t>
      </w:r>
      <w:r w:rsidR="0088251E" w:rsidRPr="009512AF">
        <w:rPr>
          <w:rFonts w:cs="Arial"/>
          <w:lang w:val="en-GB"/>
        </w:rPr>
        <w:t>ourt has consistently applied the principle</w:t>
      </w:r>
      <w:r w:rsidR="001957A7" w:rsidRPr="009512AF">
        <w:rPr>
          <w:rFonts w:cs="Arial"/>
          <w:lang w:val="en-GB"/>
        </w:rPr>
        <w:t xml:space="preserve"> established in </w:t>
      </w:r>
      <w:r w:rsidR="001957A7" w:rsidRPr="009512AF">
        <w:rPr>
          <w:rFonts w:cs="Arial"/>
          <w:i/>
          <w:lang w:val="en-GB"/>
        </w:rPr>
        <w:t>Minister van Onderwys en Kultuur</w:t>
      </w:r>
      <w:r w:rsidR="001957A7" w:rsidRPr="009512AF">
        <w:rPr>
          <w:rFonts w:cs="Arial"/>
          <w:iCs/>
          <w:lang w:val="en-GB"/>
        </w:rPr>
        <w:t xml:space="preserve"> and in</w:t>
      </w:r>
      <w:r w:rsidR="001957A7" w:rsidRPr="009512AF">
        <w:rPr>
          <w:rFonts w:cs="Arial"/>
          <w:i/>
          <w:lang w:val="en-GB"/>
        </w:rPr>
        <w:t xml:space="preserve"> Phenithi</w:t>
      </w:r>
      <w:r w:rsidR="0088251E" w:rsidRPr="009512AF">
        <w:rPr>
          <w:rFonts w:cs="Arial"/>
          <w:lang w:val="en-GB"/>
        </w:rPr>
        <w:t xml:space="preserve"> to matters </w:t>
      </w:r>
      <w:r w:rsidR="00336B07" w:rsidRPr="009512AF">
        <w:rPr>
          <w:rFonts w:cs="Arial"/>
          <w:lang w:val="en-GB"/>
        </w:rPr>
        <w:t>involving the automatic termination of membership of a political party.</w:t>
      </w:r>
    </w:p>
    <w:p w:rsidR="001F138D" w:rsidRPr="009512AF" w:rsidRDefault="007F1CDF" w:rsidP="007F1CDF">
      <w:pPr>
        <w:snapToGrid w:val="0"/>
        <w:spacing w:before="120" w:after="360" w:line="480" w:lineRule="auto"/>
        <w:ind w:left="1985" w:hanging="1276"/>
        <w:jc w:val="both"/>
        <w:rPr>
          <w:rFonts w:cs="Arial"/>
          <w:lang w:val="en-GB"/>
        </w:rPr>
      </w:pPr>
      <w:r w:rsidRPr="009512AF">
        <w:rPr>
          <w:rFonts w:cs="Arial"/>
          <w:lang w:val="en-GB"/>
        </w:rPr>
        <w:t>[30.1]</w:t>
      </w:r>
      <w:r w:rsidRPr="009512AF">
        <w:rPr>
          <w:rFonts w:cs="Arial"/>
          <w:lang w:val="en-GB"/>
        </w:rPr>
        <w:tab/>
      </w:r>
      <w:r w:rsidR="001F138D" w:rsidRPr="009512AF">
        <w:rPr>
          <w:rFonts w:cs="Arial"/>
          <w:lang w:val="en-GB"/>
        </w:rPr>
        <w:t xml:space="preserve">In </w:t>
      </w:r>
      <w:r w:rsidR="001F138D" w:rsidRPr="009512AF">
        <w:rPr>
          <w:rFonts w:cs="Arial"/>
          <w:i/>
          <w:iCs/>
          <w:lang w:val="en-GB"/>
        </w:rPr>
        <w:t>Henderson v The Democratic Alliance</w:t>
      </w:r>
      <w:r w:rsidR="001F138D" w:rsidRPr="009512AF">
        <w:rPr>
          <w:rStyle w:val="FootnoteReference"/>
          <w:rFonts w:cs="Arial"/>
          <w:lang w:val="en-GB"/>
        </w:rPr>
        <w:footnoteReference w:id="14"/>
      </w:r>
      <w:r w:rsidR="001F138D" w:rsidRPr="009512AF">
        <w:rPr>
          <w:rFonts w:cs="Arial"/>
          <w:lang w:val="en-GB"/>
        </w:rPr>
        <w:t xml:space="preserve"> where the constitution of the Democratic Alliance stated that a person’s membership </w:t>
      </w:r>
      <w:r w:rsidR="001F138D" w:rsidRPr="009512AF">
        <w:rPr>
          <w:rFonts w:cs="Arial"/>
          <w:i/>
          <w:iCs/>
          <w:lang w:val="en-GB"/>
        </w:rPr>
        <w:t>ipso facto</w:t>
      </w:r>
      <w:r w:rsidR="001F138D" w:rsidRPr="009512AF">
        <w:rPr>
          <w:rFonts w:cs="Arial"/>
          <w:lang w:val="en-GB"/>
        </w:rPr>
        <w:t xml:space="preserve"> ceased upon his or her conviction, it was held that upon conviction there was no decision to end the applicant’s membership of the Democratic Alliance.  </w:t>
      </w:r>
    </w:p>
    <w:p w:rsidR="001F138D" w:rsidRPr="009512AF" w:rsidRDefault="007F1CDF" w:rsidP="007F1CDF">
      <w:pPr>
        <w:snapToGrid w:val="0"/>
        <w:spacing w:before="120" w:after="360" w:line="480" w:lineRule="auto"/>
        <w:ind w:left="1985" w:hanging="1276"/>
        <w:jc w:val="both"/>
        <w:rPr>
          <w:rFonts w:cs="Arial"/>
          <w:lang w:val="en-GB"/>
        </w:rPr>
      </w:pPr>
      <w:r w:rsidRPr="009512AF">
        <w:rPr>
          <w:rFonts w:cs="Arial"/>
          <w:lang w:val="en-GB"/>
        </w:rPr>
        <w:t>[30.2]</w:t>
      </w:r>
      <w:r w:rsidRPr="009512AF">
        <w:rPr>
          <w:rFonts w:cs="Arial"/>
          <w:lang w:val="en-GB"/>
        </w:rPr>
        <w:tab/>
      </w:r>
      <w:r w:rsidR="001F138D" w:rsidRPr="009512AF">
        <w:rPr>
          <w:rFonts w:cs="Arial"/>
          <w:lang w:val="en-GB"/>
        </w:rPr>
        <w:t xml:space="preserve">In </w:t>
      </w:r>
      <w:r w:rsidR="001F138D" w:rsidRPr="009512AF">
        <w:rPr>
          <w:rFonts w:cs="Arial"/>
          <w:i/>
          <w:iCs/>
          <w:lang w:val="en-GB"/>
        </w:rPr>
        <w:t>Noland v Independent Democrats</w:t>
      </w:r>
      <w:r w:rsidR="001F138D" w:rsidRPr="009512AF">
        <w:rPr>
          <w:rStyle w:val="FootnoteReference"/>
          <w:rFonts w:cs="Arial"/>
          <w:i/>
          <w:iCs/>
          <w:lang w:val="en-GB"/>
        </w:rPr>
        <w:footnoteReference w:id="15"/>
      </w:r>
      <w:r w:rsidR="001F138D" w:rsidRPr="009512AF">
        <w:rPr>
          <w:rFonts w:cs="Arial"/>
          <w:lang w:val="en-GB"/>
        </w:rPr>
        <w:t xml:space="preserve"> this court per Louw and Erasmus JJ considered the validity of a decision to summarily expel the applicant from the Independent Democrats (‘ID’) before the opening of the floor-crossing window-period; as well as the validity of her subsequent attempt to cross the floor.  In so doing, it became clear that the applicant had signed a floor-crossing form before her expulsion, thus indicating her desire to join another party.  The court noted that in terms of clause 15 of the ID’s constitution a member automatically terminated their membership if they joined another </w:t>
      </w:r>
      <w:r w:rsidR="001F138D" w:rsidRPr="009512AF">
        <w:rPr>
          <w:rFonts w:cs="Arial"/>
          <w:lang w:val="en-GB"/>
        </w:rPr>
        <w:lastRenderedPageBreak/>
        <w:t xml:space="preserve">party. The case was ultimately decided on other </w:t>
      </w:r>
      <w:r w:rsidR="002959DE" w:rsidRPr="009512AF">
        <w:rPr>
          <w:rFonts w:cs="Arial"/>
          <w:lang w:val="en-GB"/>
        </w:rPr>
        <w:t>bases,</w:t>
      </w:r>
      <w:r w:rsidR="001F138D" w:rsidRPr="009512AF">
        <w:rPr>
          <w:rFonts w:cs="Arial"/>
          <w:lang w:val="en-GB"/>
        </w:rPr>
        <w:t xml:space="preserve"> but the court noted that </w:t>
      </w:r>
      <w:r w:rsidR="001F138D" w:rsidRPr="009512AF">
        <w:rPr>
          <w:rFonts w:cs="Arial"/>
          <w:i/>
          <w:iCs/>
          <w:lang w:val="en-GB"/>
        </w:rPr>
        <w:t>“[o]n the construction of the constitution, she had, by joining another party, automatically terminated her membership, the applicant ceased to be a member of the ID before the end of Friday 31 August 2007.”</w:t>
      </w:r>
      <w:r w:rsidR="001F138D" w:rsidRPr="009512AF">
        <w:rPr>
          <w:rFonts w:cs="Arial"/>
          <w:lang w:val="en-GB"/>
        </w:rPr>
        <w:t xml:space="preserve">  </w:t>
      </w:r>
    </w:p>
    <w:p w:rsidR="00D85F47" w:rsidRPr="009512AF" w:rsidRDefault="007F1CDF" w:rsidP="007F1CDF">
      <w:pPr>
        <w:snapToGrid w:val="0"/>
        <w:spacing w:before="120" w:after="360" w:line="480" w:lineRule="auto"/>
        <w:ind w:left="1985" w:hanging="1276"/>
        <w:jc w:val="both"/>
        <w:rPr>
          <w:rFonts w:cs="Arial"/>
          <w:lang w:val="en-GB"/>
        </w:rPr>
      </w:pPr>
      <w:r w:rsidRPr="009512AF">
        <w:rPr>
          <w:rFonts w:cs="Arial"/>
          <w:lang w:val="en-GB"/>
        </w:rPr>
        <w:t>[30.3]</w:t>
      </w:r>
      <w:r w:rsidRPr="009512AF">
        <w:rPr>
          <w:rFonts w:cs="Arial"/>
          <w:lang w:val="en-GB"/>
        </w:rPr>
        <w:tab/>
      </w:r>
      <w:r w:rsidR="001F138D" w:rsidRPr="009512AF">
        <w:rPr>
          <w:rFonts w:cs="Arial"/>
          <w:i/>
          <w:lang w:val="en-GB"/>
        </w:rPr>
        <w:t>Brummer v Democratic Alliance &amp; Others</w:t>
      </w:r>
      <w:r w:rsidR="001F138D" w:rsidRPr="009512AF">
        <w:rPr>
          <w:rFonts w:cs="Arial"/>
          <w:lang w:val="en-GB"/>
        </w:rPr>
        <w:t>,</w:t>
      </w:r>
      <w:r w:rsidR="001F138D" w:rsidRPr="009512AF">
        <w:rPr>
          <w:rStyle w:val="FootnoteReference"/>
          <w:rFonts w:cs="Arial"/>
          <w:lang w:val="en-GB"/>
        </w:rPr>
        <w:footnoteReference w:id="16"/>
      </w:r>
      <w:r w:rsidR="001F138D" w:rsidRPr="009512AF">
        <w:rPr>
          <w:rFonts w:cs="Arial"/>
          <w:lang w:val="en-GB"/>
        </w:rPr>
        <w:t xml:space="preserve"> this court held that, absent an attack on the validity of the relevant clause in the constitution of the Democratic Alliance which provided for automatic termination of membership on failure to pay candidate fees for a period of two months, a member who fell foul of the provision in </w:t>
      </w:r>
      <w:r w:rsidR="00372982" w:rsidRPr="009512AF">
        <w:rPr>
          <w:rFonts w:cs="Arial"/>
          <w:lang w:val="en-GB"/>
        </w:rPr>
        <w:t>question</w:t>
      </w:r>
      <w:r w:rsidR="001F138D" w:rsidRPr="009512AF">
        <w:rPr>
          <w:rFonts w:cs="Arial"/>
          <w:lang w:val="en-GB"/>
        </w:rPr>
        <w:t xml:space="preserve"> after demand has no </w:t>
      </w:r>
      <w:r w:rsidR="001F138D" w:rsidRPr="009512AF">
        <w:rPr>
          <w:rFonts w:cs="Arial"/>
          <w:i/>
          <w:lang w:val="en-GB"/>
        </w:rPr>
        <w:t xml:space="preserve">prima facie </w:t>
      </w:r>
      <w:r w:rsidR="001F138D" w:rsidRPr="009512AF">
        <w:rPr>
          <w:rFonts w:cs="Arial"/>
          <w:lang w:val="en-GB"/>
        </w:rPr>
        <w:t>right to have their membership re-instated.</w:t>
      </w:r>
    </w:p>
    <w:p w:rsidR="002E7B0C" w:rsidRPr="009512AF" w:rsidRDefault="007F1CDF" w:rsidP="007F1CDF">
      <w:pPr>
        <w:snapToGrid w:val="0"/>
        <w:spacing w:before="120" w:after="360" w:line="480" w:lineRule="auto"/>
        <w:ind w:hanging="6"/>
        <w:jc w:val="both"/>
        <w:rPr>
          <w:rFonts w:cs="Arial"/>
          <w:lang w:val="en-GB"/>
        </w:rPr>
      </w:pPr>
      <w:r w:rsidRPr="009512AF">
        <w:rPr>
          <w:rFonts w:cs="Arial"/>
          <w:lang w:val="en-GB"/>
        </w:rPr>
        <w:t>[31]</w:t>
      </w:r>
      <w:r w:rsidRPr="009512AF">
        <w:rPr>
          <w:rFonts w:cs="Arial"/>
          <w:lang w:val="en-GB"/>
        </w:rPr>
        <w:tab/>
      </w:r>
      <w:r w:rsidR="00372982" w:rsidRPr="009512AF">
        <w:rPr>
          <w:rFonts w:cs="Arial"/>
          <w:lang w:val="en-GB"/>
        </w:rPr>
        <w:t xml:space="preserve">In </w:t>
      </w:r>
      <w:r w:rsidR="00372982" w:rsidRPr="009512AF">
        <w:rPr>
          <w:rFonts w:cs="Arial"/>
          <w:i/>
          <w:iCs/>
          <w:lang w:val="en-GB"/>
        </w:rPr>
        <w:t>Andrews v Democratic Alliance</w:t>
      </w:r>
      <w:r w:rsidR="00372982" w:rsidRPr="009512AF">
        <w:rPr>
          <w:rStyle w:val="FootnoteReference"/>
          <w:rFonts w:cs="Arial"/>
          <w:lang w:val="en-GB"/>
        </w:rPr>
        <w:footnoteReference w:id="17"/>
      </w:r>
      <w:r w:rsidR="00372982" w:rsidRPr="009512AF">
        <w:rPr>
          <w:rFonts w:cs="Arial"/>
          <w:lang w:val="en-GB"/>
        </w:rPr>
        <w:t xml:space="preserve"> this court, in dismissing a claim for interdictory relief on substantially similar grounds those raised by Mr Heradien in these proceedings, referred to the aforementioned judgments, and held that “</w:t>
      </w:r>
      <w:r w:rsidR="00372982" w:rsidRPr="009512AF">
        <w:rPr>
          <w:rFonts w:cs="Arial"/>
          <w:i/>
          <w:iCs/>
          <w:lang w:val="en-GB"/>
        </w:rPr>
        <w:t xml:space="preserve">these cases conclusively refute the applicant's suggestion that it is grossly unfair or unconscionable for a political party to include in its constitution provisions which summarily terminate membership of the party in defined circumstances. This court has repeated accepted that these provisions require no decision”.  </w:t>
      </w:r>
      <w:r w:rsidR="002E7B0C" w:rsidRPr="009512AF">
        <w:rPr>
          <w:rFonts w:cs="Arial"/>
          <w:lang w:val="en-GB"/>
        </w:rPr>
        <w:t>In this matter too, there is no challenge to the provisions of the constit</w:t>
      </w:r>
      <w:r w:rsidR="00372982" w:rsidRPr="009512AF">
        <w:rPr>
          <w:rFonts w:cs="Arial"/>
          <w:lang w:val="en-GB"/>
        </w:rPr>
        <w:t>uti</w:t>
      </w:r>
      <w:r w:rsidR="002E7B0C" w:rsidRPr="009512AF">
        <w:rPr>
          <w:rFonts w:cs="Arial"/>
          <w:lang w:val="en-GB"/>
        </w:rPr>
        <w:t xml:space="preserve">on on which the respondents rely. </w:t>
      </w:r>
    </w:p>
    <w:p w:rsidR="00F832C4" w:rsidRPr="009512AF" w:rsidRDefault="007F1CDF" w:rsidP="007F1CDF">
      <w:pPr>
        <w:snapToGrid w:val="0"/>
        <w:spacing w:before="120" w:after="360" w:line="480" w:lineRule="auto"/>
        <w:ind w:hanging="6"/>
        <w:jc w:val="both"/>
        <w:rPr>
          <w:rFonts w:cs="Arial"/>
          <w:lang w:val="en-GB"/>
        </w:rPr>
      </w:pPr>
      <w:r w:rsidRPr="009512AF">
        <w:rPr>
          <w:rFonts w:cs="Arial"/>
          <w:lang w:val="en-GB"/>
        </w:rPr>
        <w:lastRenderedPageBreak/>
        <w:t>[32]</w:t>
      </w:r>
      <w:r w:rsidRPr="009512AF">
        <w:rPr>
          <w:rFonts w:cs="Arial"/>
          <w:lang w:val="en-GB"/>
        </w:rPr>
        <w:tab/>
      </w:r>
      <w:r w:rsidR="00960620" w:rsidRPr="009512AF">
        <w:rPr>
          <w:rFonts w:cs="Arial"/>
          <w:lang w:val="en-GB"/>
        </w:rPr>
        <w:t xml:space="preserve">Further, </w:t>
      </w:r>
      <w:r w:rsidR="003C6438" w:rsidRPr="009512AF">
        <w:rPr>
          <w:rFonts w:cs="Arial"/>
          <w:lang w:val="en-GB"/>
        </w:rPr>
        <w:t xml:space="preserve">the constitution read as a whole, </w:t>
      </w:r>
      <w:r w:rsidR="00987462" w:rsidRPr="009512AF">
        <w:rPr>
          <w:rFonts w:cs="Arial"/>
          <w:lang w:val="en-GB"/>
        </w:rPr>
        <w:t xml:space="preserve">must be looked at </w:t>
      </w:r>
      <w:r w:rsidR="00C85B64" w:rsidRPr="009512AF">
        <w:rPr>
          <w:lang w:val="en-GB"/>
        </w:rPr>
        <w:t xml:space="preserve">to </w:t>
      </w:r>
      <w:r w:rsidR="00987462" w:rsidRPr="009512AF">
        <w:rPr>
          <w:lang w:val="en-GB"/>
        </w:rPr>
        <w:t>determine</w:t>
      </w:r>
      <w:r w:rsidR="00C85B64" w:rsidRPr="009512AF">
        <w:rPr>
          <w:lang w:val="en-GB"/>
        </w:rPr>
        <w:t xml:space="preserve"> whether</w:t>
      </w:r>
      <w:r w:rsidR="000C6CE1" w:rsidRPr="009512AF">
        <w:rPr>
          <w:lang w:val="en-GB"/>
        </w:rPr>
        <w:t xml:space="preserve"> according to its terms, construed in accordance with the ordinary principles of construction</w:t>
      </w:r>
      <w:r w:rsidR="006A0704" w:rsidRPr="009512AF">
        <w:rPr>
          <w:rStyle w:val="FootnoteReference"/>
          <w:rFonts w:cs="Arial"/>
          <w:lang w:val="en-GB"/>
        </w:rPr>
        <w:footnoteReference w:id="18"/>
      </w:r>
      <w:r w:rsidR="00C85B64" w:rsidRPr="009512AF">
        <w:rPr>
          <w:lang w:val="en-GB"/>
        </w:rPr>
        <w:t xml:space="preserve"> there is any merit</w:t>
      </w:r>
      <w:r w:rsidR="00987462" w:rsidRPr="009512AF">
        <w:rPr>
          <w:lang w:val="en-GB"/>
        </w:rPr>
        <w:t xml:space="preserve"> in </w:t>
      </w:r>
      <w:r w:rsidR="00987462" w:rsidRPr="009512AF">
        <w:rPr>
          <w:rFonts w:cs="Arial"/>
          <w:lang w:val="en-GB"/>
        </w:rPr>
        <w:t>Mr Heradien’s contention that the termination of his membership was</w:t>
      </w:r>
      <w:r w:rsidR="005C083F" w:rsidRPr="009512AF">
        <w:rPr>
          <w:rFonts w:cs="Arial"/>
          <w:lang w:val="en-GB"/>
        </w:rPr>
        <w:t>,</w:t>
      </w:r>
      <w:r w:rsidR="00987462" w:rsidRPr="009512AF">
        <w:rPr>
          <w:rFonts w:cs="Arial"/>
          <w:lang w:val="en-GB"/>
        </w:rPr>
        <w:t xml:space="preserve"> in any event</w:t>
      </w:r>
      <w:r w:rsidR="005C083F" w:rsidRPr="009512AF">
        <w:rPr>
          <w:rFonts w:cs="Arial"/>
          <w:lang w:val="en-GB"/>
        </w:rPr>
        <w:t>,</w:t>
      </w:r>
      <w:r w:rsidR="00987462" w:rsidRPr="009512AF">
        <w:rPr>
          <w:rFonts w:cs="Arial"/>
          <w:lang w:val="en-GB"/>
        </w:rPr>
        <w:t xml:space="preserve"> subject to the disciplinary process prescribed in clause 8</w:t>
      </w:r>
      <w:r w:rsidR="005C083F" w:rsidRPr="009512AF">
        <w:rPr>
          <w:rFonts w:cs="Arial"/>
          <w:lang w:val="en-GB"/>
        </w:rPr>
        <w:t xml:space="preserve"> of the constitution.</w:t>
      </w:r>
    </w:p>
    <w:p w:rsidR="00592B84" w:rsidRPr="009512AF" w:rsidRDefault="007F1CDF" w:rsidP="007F1CDF">
      <w:pPr>
        <w:snapToGrid w:val="0"/>
        <w:spacing w:before="120" w:after="360" w:line="480" w:lineRule="auto"/>
        <w:ind w:hanging="6"/>
        <w:jc w:val="both"/>
        <w:rPr>
          <w:rFonts w:cs="Arial"/>
          <w:lang w:val="en-GB"/>
        </w:rPr>
      </w:pPr>
      <w:r w:rsidRPr="009512AF">
        <w:rPr>
          <w:rFonts w:cs="Arial"/>
          <w:lang w:val="en-GB"/>
        </w:rPr>
        <w:t>[33]</w:t>
      </w:r>
      <w:r w:rsidRPr="009512AF">
        <w:rPr>
          <w:rFonts w:cs="Arial"/>
          <w:lang w:val="en-GB"/>
        </w:rPr>
        <w:tab/>
      </w:r>
      <w:r w:rsidR="003C6438" w:rsidRPr="009512AF">
        <w:rPr>
          <w:rFonts w:cs="Arial"/>
          <w:lang w:val="en-GB"/>
        </w:rPr>
        <w:t xml:space="preserve">Clause 3.3.1 </w:t>
      </w:r>
      <w:r w:rsidR="009A63CC" w:rsidRPr="009512AF">
        <w:rPr>
          <w:rFonts w:cs="Arial"/>
          <w:lang w:val="en-GB"/>
        </w:rPr>
        <w:t xml:space="preserve">of the constitution </w:t>
      </w:r>
      <w:r w:rsidR="003C6438" w:rsidRPr="009512AF">
        <w:rPr>
          <w:rFonts w:cs="Arial"/>
          <w:lang w:val="en-GB"/>
        </w:rPr>
        <w:t xml:space="preserve">provides that a member ceases to be a member of ICOSA when the member in question engages in any of the conduct set out in clauses 3.3.1.1 to 3.3.1.7.  Clause 3.4.1 provides that </w:t>
      </w:r>
      <w:r w:rsidR="003C6438" w:rsidRPr="009512AF">
        <w:rPr>
          <w:rFonts w:cs="Arial"/>
          <w:i/>
          <w:iCs/>
          <w:lang w:val="en-GB"/>
        </w:rPr>
        <w:t>“apart from clause 3.3.1 the membership of any member including that of a public representative may only be determined by a provincial executive and only after a proper process in terms of the constitution”</w:t>
      </w:r>
      <w:r w:rsidR="003C6438" w:rsidRPr="009512AF">
        <w:rPr>
          <w:rFonts w:cs="Arial"/>
          <w:lang w:val="en-GB"/>
        </w:rPr>
        <w:t>.</w:t>
      </w:r>
      <w:r w:rsidR="004F129D" w:rsidRPr="009512AF">
        <w:rPr>
          <w:rFonts w:cs="Arial"/>
          <w:lang w:val="en-GB"/>
        </w:rPr>
        <w:t xml:space="preserve">  </w:t>
      </w:r>
      <w:r w:rsidR="00EA1D72" w:rsidRPr="009512AF">
        <w:rPr>
          <w:rFonts w:cs="Arial"/>
          <w:lang w:val="en-GB"/>
        </w:rPr>
        <w:t>Applying the</w:t>
      </w:r>
      <w:r w:rsidR="00A5390D" w:rsidRPr="009512AF">
        <w:rPr>
          <w:lang w:val="en-GB"/>
        </w:rPr>
        <w:t xml:space="preserve"> ordinary principles of construction to the aforementioned provisions</w:t>
      </w:r>
      <w:r w:rsidR="00EA1D72" w:rsidRPr="009512AF">
        <w:rPr>
          <w:rFonts w:cs="Arial"/>
          <w:lang w:val="en-GB"/>
        </w:rPr>
        <w:t>,</w:t>
      </w:r>
      <w:r w:rsidR="00EA1D72" w:rsidRPr="009512AF">
        <w:rPr>
          <w:rStyle w:val="FootnoteReference"/>
          <w:rFonts w:cs="Arial"/>
          <w:lang w:val="en-GB"/>
        </w:rPr>
        <w:footnoteReference w:id="19"/>
      </w:r>
      <w:r w:rsidR="00EA1D72" w:rsidRPr="009512AF">
        <w:rPr>
          <w:rFonts w:cs="Arial"/>
          <w:lang w:val="en-GB"/>
        </w:rPr>
        <w:t xml:space="preserve"> </w:t>
      </w:r>
      <w:r w:rsidR="00A5390D" w:rsidRPr="009512AF">
        <w:rPr>
          <w:rFonts w:cs="Arial"/>
          <w:lang w:val="en-GB"/>
        </w:rPr>
        <w:t>i</w:t>
      </w:r>
      <w:r w:rsidR="00F832C4" w:rsidRPr="009512AF">
        <w:rPr>
          <w:rFonts w:cs="Arial"/>
          <w:lang w:val="en-GB"/>
        </w:rPr>
        <w:t xml:space="preserve">t is clear that the </w:t>
      </w:r>
      <w:r w:rsidR="00437EAF" w:rsidRPr="009512AF">
        <w:rPr>
          <w:rFonts w:cs="Arial"/>
          <w:lang w:val="en-GB"/>
        </w:rPr>
        <w:t xml:space="preserve">disciplinary procedure in clause 8 of the constitution does not apply to the </w:t>
      </w:r>
      <w:r w:rsidR="0025300C" w:rsidRPr="009512AF">
        <w:rPr>
          <w:rFonts w:cs="Arial"/>
          <w:lang w:val="en-GB"/>
        </w:rPr>
        <w:t>cessation</w:t>
      </w:r>
      <w:r w:rsidR="00437EAF" w:rsidRPr="009512AF">
        <w:rPr>
          <w:rFonts w:cs="Arial"/>
          <w:lang w:val="en-GB"/>
        </w:rPr>
        <w:t xml:space="preserve"> of membership </w:t>
      </w:r>
      <w:r w:rsidR="004113BB" w:rsidRPr="009512AF">
        <w:rPr>
          <w:rFonts w:cs="Arial"/>
          <w:lang w:val="en-GB"/>
        </w:rPr>
        <w:t>as provided for in clause 3.3.1 of the const</w:t>
      </w:r>
      <w:r w:rsidR="00325F63" w:rsidRPr="009512AF">
        <w:rPr>
          <w:rFonts w:cs="Arial"/>
          <w:lang w:val="en-GB"/>
        </w:rPr>
        <w:t xml:space="preserve">itution.  </w:t>
      </w:r>
      <w:r w:rsidR="008C48F2" w:rsidRPr="009512AF">
        <w:rPr>
          <w:rFonts w:cs="Arial"/>
          <w:lang w:val="en-GB"/>
        </w:rPr>
        <w:t xml:space="preserve">Put differently, the </w:t>
      </w:r>
      <w:r w:rsidR="00592B84" w:rsidRPr="009512AF">
        <w:rPr>
          <w:rFonts w:cs="Arial"/>
          <w:lang w:val="en-GB"/>
        </w:rPr>
        <w:t>disciplinary procedure in clause 8 applies to cessation of membership in terms of any provision of the constitution, other than cessation as contemplated in clause 3.3.1.</w:t>
      </w:r>
    </w:p>
    <w:p w:rsidR="00236342" w:rsidRPr="009512AF" w:rsidRDefault="007F1CDF" w:rsidP="007F1CDF">
      <w:pPr>
        <w:snapToGrid w:val="0"/>
        <w:spacing w:before="120" w:after="360" w:line="480" w:lineRule="auto"/>
        <w:ind w:hanging="6"/>
        <w:jc w:val="both"/>
        <w:rPr>
          <w:rFonts w:cs="Arial"/>
          <w:lang w:val="en-GB"/>
        </w:rPr>
      </w:pPr>
      <w:r w:rsidRPr="009512AF">
        <w:rPr>
          <w:rFonts w:cs="Arial"/>
          <w:lang w:val="en-GB"/>
        </w:rPr>
        <w:t>[34]</w:t>
      </w:r>
      <w:r w:rsidRPr="009512AF">
        <w:rPr>
          <w:rFonts w:cs="Arial"/>
          <w:lang w:val="en-GB"/>
        </w:rPr>
        <w:tab/>
      </w:r>
      <w:r w:rsidR="00FB1E7B" w:rsidRPr="009512AF">
        <w:rPr>
          <w:rFonts w:cs="Arial"/>
          <w:lang w:val="en-GB"/>
        </w:rPr>
        <w:t>H</w:t>
      </w:r>
      <w:r w:rsidR="00236342" w:rsidRPr="009512AF">
        <w:rPr>
          <w:rFonts w:cs="Arial"/>
          <w:lang w:val="en-GB"/>
        </w:rPr>
        <w:t xml:space="preserve">aving regard to the provisions of the constitution </w:t>
      </w:r>
      <w:r w:rsidR="000611FE" w:rsidRPr="009512AF">
        <w:rPr>
          <w:rFonts w:cs="Arial"/>
          <w:lang w:val="en-GB"/>
        </w:rPr>
        <w:t>governing the termination of Mr Heradien’s membership</w:t>
      </w:r>
      <w:r w:rsidR="00236342" w:rsidRPr="009512AF">
        <w:rPr>
          <w:rFonts w:cs="Arial"/>
          <w:lang w:val="en-GB"/>
        </w:rPr>
        <w:t xml:space="preserve">, in light of the decisions to which I have referred and by which I am bound, </w:t>
      </w:r>
      <w:r w:rsidR="00496A1A" w:rsidRPr="009512AF">
        <w:rPr>
          <w:rFonts w:cs="Arial"/>
          <w:lang w:val="en-GB"/>
        </w:rPr>
        <w:t>I am unable</w:t>
      </w:r>
      <w:r w:rsidR="00236342" w:rsidRPr="009512AF">
        <w:rPr>
          <w:rFonts w:cs="Arial"/>
          <w:lang w:val="en-GB"/>
        </w:rPr>
        <w:t xml:space="preserve"> to find that there was a decision taken</w:t>
      </w:r>
      <w:r w:rsidR="00496A1A" w:rsidRPr="009512AF">
        <w:rPr>
          <w:rFonts w:cs="Arial"/>
          <w:lang w:val="en-GB"/>
        </w:rPr>
        <w:t xml:space="preserve"> by ICOSA</w:t>
      </w:r>
      <w:r w:rsidR="00236342" w:rsidRPr="009512AF">
        <w:rPr>
          <w:rFonts w:cs="Arial"/>
          <w:lang w:val="en-GB"/>
        </w:rPr>
        <w:t xml:space="preserve"> to terminate Mr Heradien’s membership, </w:t>
      </w:r>
      <w:r w:rsidR="00772C20" w:rsidRPr="009512AF">
        <w:rPr>
          <w:rFonts w:cs="Arial"/>
          <w:lang w:val="en-GB"/>
        </w:rPr>
        <w:t>or that he</w:t>
      </w:r>
      <w:r w:rsidR="00236342" w:rsidRPr="009512AF">
        <w:rPr>
          <w:rFonts w:cs="Arial"/>
          <w:lang w:val="en-GB"/>
        </w:rPr>
        <w:t xml:space="preserve"> was entitled to a hearing before his </w:t>
      </w:r>
      <w:r w:rsidR="00236342" w:rsidRPr="009512AF">
        <w:rPr>
          <w:rFonts w:cs="Arial"/>
          <w:lang w:val="en-GB"/>
        </w:rPr>
        <w:lastRenderedPageBreak/>
        <w:t xml:space="preserve">membership was terminated.  His membership terminated automatically when he failed to pay his membership fees.  </w:t>
      </w:r>
    </w:p>
    <w:p w:rsidR="003C05F3" w:rsidRPr="009512AF" w:rsidRDefault="007F1CDF" w:rsidP="007F1CDF">
      <w:pPr>
        <w:snapToGrid w:val="0"/>
        <w:spacing w:before="120" w:after="360" w:line="480" w:lineRule="auto"/>
        <w:ind w:hanging="6"/>
        <w:jc w:val="both"/>
        <w:rPr>
          <w:rFonts w:cs="Arial"/>
          <w:lang w:val="en-GB"/>
        </w:rPr>
      </w:pPr>
      <w:r w:rsidRPr="009512AF">
        <w:rPr>
          <w:rFonts w:cs="Arial"/>
          <w:lang w:val="en-GB"/>
        </w:rPr>
        <w:t>[35]</w:t>
      </w:r>
      <w:r w:rsidRPr="009512AF">
        <w:rPr>
          <w:rFonts w:cs="Arial"/>
          <w:lang w:val="en-GB"/>
        </w:rPr>
        <w:tab/>
      </w:r>
      <w:r w:rsidR="0004646F" w:rsidRPr="009512AF">
        <w:rPr>
          <w:rFonts w:cs="Arial"/>
          <w:lang w:val="en-GB"/>
        </w:rPr>
        <w:t xml:space="preserve">Further, </w:t>
      </w:r>
      <w:r w:rsidR="00897715" w:rsidRPr="009512AF">
        <w:rPr>
          <w:rFonts w:cs="Arial"/>
          <w:lang w:val="en-GB"/>
        </w:rPr>
        <w:t>s </w:t>
      </w:r>
      <w:r w:rsidR="0004646F" w:rsidRPr="009512AF">
        <w:rPr>
          <w:rFonts w:cs="Arial"/>
          <w:lang w:val="en-GB"/>
        </w:rPr>
        <w:t xml:space="preserve">27(c) </w:t>
      </w:r>
      <w:r w:rsidR="00897715" w:rsidRPr="009512AF">
        <w:rPr>
          <w:rFonts w:cs="Arial"/>
          <w:lang w:val="en-GB"/>
        </w:rPr>
        <w:t xml:space="preserve">of the </w:t>
      </w:r>
      <w:r w:rsidR="002B6291" w:rsidRPr="009512AF">
        <w:rPr>
          <w:rFonts w:cs="Arial"/>
          <w:lang w:val="en-GB"/>
        </w:rPr>
        <w:t xml:space="preserve">Structures Act </w:t>
      </w:r>
      <w:r w:rsidR="00AB5A3C" w:rsidRPr="009512AF">
        <w:rPr>
          <w:rFonts w:cs="Arial"/>
          <w:lang w:val="en-GB"/>
        </w:rPr>
        <w:t xml:space="preserve">provides that a </w:t>
      </w:r>
      <w:r w:rsidR="0004646F" w:rsidRPr="009512AF">
        <w:rPr>
          <w:rFonts w:cs="Arial"/>
          <w:lang w:val="en-GB"/>
        </w:rPr>
        <w:t>councillor vacates office during a term of office if that councillor was elected from a party list referred to in Schedule 1 or 2 and</w:t>
      </w:r>
      <w:r w:rsidR="00AB5A3C" w:rsidRPr="009512AF">
        <w:rPr>
          <w:rFonts w:cs="Arial"/>
          <w:lang w:val="en-GB"/>
        </w:rPr>
        <w:t xml:space="preserve"> </w:t>
      </w:r>
      <w:r w:rsidR="0004646F" w:rsidRPr="009512AF">
        <w:rPr>
          <w:rFonts w:cs="Arial"/>
          <w:lang w:val="en-GB"/>
        </w:rPr>
        <w:t>ceases to be a member of the relevant party</w:t>
      </w:r>
      <w:r w:rsidR="00AB5A3C" w:rsidRPr="009512AF">
        <w:rPr>
          <w:rFonts w:cs="Arial"/>
          <w:lang w:val="en-GB"/>
        </w:rPr>
        <w:t>.</w:t>
      </w:r>
      <w:r w:rsidR="00A137ED" w:rsidRPr="009512AF">
        <w:rPr>
          <w:rFonts w:cs="Arial"/>
          <w:lang w:val="en-GB"/>
        </w:rPr>
        <w:t xml:space="preserve"> </w:t>
      </w:r>
      <w:r w:rsidR="001B5ED7" w:rsidRPr="009512AF">
        <w:rPr>
          <w:rFonts w:cs="Arial"/>
          <w:lang w:val="en-GB"/>
        </w:rPr>
        <w:t xml:space="preserve"> </w:t>
      </w:r>
      <w:r w:rsidR="0004646F" w:rsidRPr="009512AF">
        <w:rPr>
          <w:rFonts w:cs="Arial"/>
          <w:lang w:val="en-GB"/>
        </w:rPr>
        <w:t xml:space="preserve">It follows that </w:t>
      </w:r>
      <w:r w:rsidR="00D91919" w:rsidRPr="009512AF">
        <w:rPr>
          <w:rFonts w:cs="Arial"/>
          <w:lang w:val="en-GB"/>
        </w:rPr>
        <w:t xml:space="preserve">if </w:t>
      </w:r>
      <w:r w:rsidR="0004646F" w:rsidRPr="009512AF">
        <w:rPr>
          <w:rFonts w:cs="Arial"/>
          <w:lang w:val="en-GB"/>
        </w:rPr>
        <w:t xml:space="preserve">a </w:t>
      </w:r>
      <w:r w:rsidR="0013366F" w:rsidRPr="009512AF">
        <w:rPr>
          <w:rFonts w:cs="Arial"/>
          <w:lang w:val="en-GB"/>
        </w:rPr>
        <w:t xml:space="preserve">member of a party who </w:t>
      </w:r>
      <w:r w:rsidR="00D91919" w:rsidRPr="009512AF">
        <w:rPr>
          <w:rFonts w:cs="Arial"/>
          <w:lang w:val="en-GB"/>
        </w:rPr>
        <w:t xml:space="preserve">became a </w:t>
      </w:r>
      <w:r w:rsidR="0004646F" w:rsidRPr="009512AF">
        <w:rPr>
          <w:rFonts w:cs="Arial"/>
          <w:lang w:val="en-GB"/>
        </w:rPr>
        <w:t>councillor</w:t>
      </w:r>
      <w:r w:rsidR="00A137ED" w:rsidRPr="009512AF">
        <w:rPr>
          <w:rFonts w:cs="Arial"/>
          <w:lang w:val="en-GB"/>
        </w:rPr>
        <w:t xml:space="preserve"> </w:t>
      </w:r>
      <w:r w:rsidR="0004646F" w:rsidRPr="009512AF">
        <w:rPr>
          <w:rFonts w:cs="Arial"/>
          <w:lang w:val="en-GB"/>
        </w:rPr>
        <w:t>by virtue of being elected from a party list</w:t>
      </w:r>
      <w:r w:rsidR="0013366F" w:rsidRPr="009512AF">
        <w:rPr>
          <w:rFonts w:cs="Arial"/>
          <w:lang w:val="en-GB"/>
        </w:rPr>
        <w:t>,</w:t>
      </w:r>
      <w:r w:rsidR="0004646F" w:rsidRPr="009512AF">
        <w:rPr>
          <w:rFonts w:cs="Arial"/>
          <w:lang w:val="en-GB"/>
        </w:rPr>
        <w:t xml:space="preserve"> ceases to be a member of the relevant party, </w:t>
      </w:r>
      <w:r w:rsidR="0013366F" w:rsidRPr="009512AF">
        <w:rPr>
          <w:rFonts w:cs="Arial"/>
          <w:lang w:val="en-GB"/>
        </w:rPr>
        <w:t xml:space="preserve">that councillor </w:t>
      </w:r>
      <w:r w:rsidR="0004646F" w:rsidRPr="009512AF">
        <w:rPr>
          <w:rFonts w:cs="Arial"/>
          <w:lang w:val="en-GB"/>
        </w:rPr>
        <w:t>vacates office.</w:t>
      </w:r>
      <w:r w:rsidR="0013366F" w:rsidRPr="009512AF">
        <w:rPr>
          <w:rFonts w:cs="Arial"/>
          <w:lang w:val="en-GB"/>
        </w:rPr>
        <w:t xml:space="preserve"> </w:t>
      </w:r>
      <w:r w:rsidR="003C05F3" w:rsidRPr="009512AF">
        <w:rPr>
          <w:rFonts w:cs="Arial"/>
          <w:lang w:val="en-GB"/>
        </w:rPr>
        <w:t xml:space="preserve"> </w:t>
      </w:r>
    </w:p>
    <w:p w:rsidR="00FA4588" w:rsidRPr="009512AF" w:rsidRDefault="007F1CDF" w:rsidP="007F1CDF">
      <w:pPr>
        <w:snapToGrid w:val="0"/>
        <w:spacing w:before="120" w:after="360" w:line="480" w:lineRule="auto"/>
        <w:ind w:hanging="6"/>
        <w:jc w:val="both"/>
        <w:rPr>
          <w:rFonts w:cs="Arial"/>
          <w:lang w:val="en-GB"/>
        </w:rPr>
      </w:pPr>
      <w:r w:rsidRPr="009512AF">
        <w:rPr>
          <w:rFonts w:cs="Arial"/>
          <w:lang w:val="en-GB"/>
        </w:rPr>
        <w:t>[36]</w:t>
      </w:r>
      <w:r w:rsidRPr="009512AF">
        <w:rPr>
          <w:rFonts w:cs="Arial"/>
          <w:lang w:val="en-GB"/>
        </w:rPr>
        <w:tab/>
      </w:r>
      <w:r w:rsidR="0004646F" w:rsidRPr="009512AF">
        <w:rPr>
          <w:rFonts w:cs="Arial"/>
          <w:lang w:val="en-GB"/>
        </w:rPr>
        <w:t>Item</w:t>
      </w:r>
      <w:r w:rsidR="00531DEB" w:rsidRPr="009512AF">
        <w:rPr>
          <w:rFonts w:cs="Arial"/>
          <w:lang w:val="en-GB"/>
        </w:rPr>
        <w:t> </w:t>
      </w:r>
      <w:r w:rsidR="0004646F" w:rsidRPr="009512AF">
        <w:rPr>
          <w:rFonts w:cs="Arial"/>
          <w:lang w:val="en-GB"/>
        </w:rPr>
        <w:t>18</w:t>
      </w:r>
      <w:r w:rsidR="00531DEB" w:rsidRPr="009512AF">
        <w:rPr>
          <w:rFonts w:cs="Arial"/>
          <w:lang w:val="en-GB"/>
        </w:rPr>
        <w:t> </w:t>
      </w:r>
      <w:r w:rsidR="0004646F" w:rsidRPr="009512AF">
        <w:rPr>
          <w:rFonts w:cs="Arial"/>
          <w:lang w:val="en-GB"/>
        </w:rPr>
        <w:t>(1)</w:t>
      </w:r>
      <w:r w:rsidR="00531DEB" w:rsidRPr="009512AF">
        <w:rPr>
          <w:rFonts w:cs="Arial"/>
          <w:lang w:val="en-GB"/>
        </w:rPr>
        <w:t> </w:t>
      </w:r>
      <w:r w:rsidR="0004646F" w:rsidRPr="009512AF">
        <w:rPr>
          <w:rFonts w:cs="Arial"/>
          <w:lang w:val="en-GB"/>
        </w:rPr>
        <w:t xml:space="preserve">(b) of </w:t>
      </w:r>
      <w:r w:rsidR="00ED5E6F" w:rsidRPr="009512AF">
        <w:rPr>
          <w:rFonts w:cs="Arial"/>
          <w:lang w:val="en-GB"/>
        </w:rPr>
        <w:t>Schedule 1</w:t>
      </w:r>
      <w:r w:rsidR="0004646F" w:rsidRPr="009512AF">
        <w:rPr>
          <w:rFonts w:cs="Arial"/>
          <w:lang w:val="en-GB"/>
        </w:rPr>
        <w:t xml:space="preserve">the </w:t>
      </w:r>
      <w:r w:rsidR="0013366F" w:rsidRPr="009512AF">
        <w:rPr>
          <w:rFonts w:cs="Arial"/>
          <w:lang w:val="en-GB"/>
        </w:rPr>
        <w:t>Structures Act</w:t>
      </w:r>
      <w:r w:rsidR="003C05F3" w:rsidRPr="009512AF">
        <w:rPr>
          <w:rFonts w:cs="Arial"/>
          <w:lang w:val="en-GB"/>
        </w:rPr>
        <w:t xml:space="preserve"> </w:t>
      </w:r>
      <w:r w:rsidR="0004646F" w:rsidRPr="009512AF">
        <w:rPr>
          <w:rFonts w:cs="Arial"/>
          <w:lang w:val="en-GB"/>
        </w:rPr>
        <w:t>provides that</w:t>
      </w:r>
      <w:r w:rsidR="00531DEB" w:rsidRPr="009512AF">
        <w:rPr>
          <w:rFonts w:cs="Arial"/>
          <w:lang w:val="en-GB"/>
        </w:rPr>
        <w:t xml:space="preserve"> “</w:t>
      </w:r>
      <w:r w:rsidR="00531DEB" w:rsidRPr="009512AF">
        <w:rPr>
          <w:rFonts w:cs="Arial"/>
          <w:i/>
          <w:iCs/>
          <w:lang w:val="en-GB"/>
        </w:rPr>
        <w:t>i</w:t>
      </w:r>
      <w:r w:rsidR="0004646F" w:rsidRPr="009512AF">
        <w:rPr>
          <w:rFonts w:cs="Arial"/>
          <w:i/>
          <w:iCs/>
          <w:lang w:val="en-GB"/>
        </w:rPr>
        <w:t>f a councillor elected from a party list ceases to hold office, the chief</w:t>
      </w:r>
      <w:r w:rsidR="00D32F6B" w:rsidRPr="009512AF">
        <w:rPr>
          <w:rFonts w:cs="Arial"/>
          <w:i/>
          <w:iCs/>
          <w:lang w:val="en-GB"/>
        </w:rPr>
        <w:t xml:space="preserve"> </w:t>
      </w:r>
      <w:r w:rsidR="0004646F" w:rsidRPr="009512AF">
        <w:rPr>
          <w:rFonts w:cs="Arial"/>
          <w:i/>
          <w:iCs/>
          <w:lang w:val="en-GB"/>
        </w:rPr>
        <w:t xml:space="preserve">electoral officer must, subject to </w:t>
      </w:r>
      <w:r w:rsidR="00FA4588" w:rsidRPr="009512AF">
        <w:rPr>
          <w:rFonts w:cs="Arial"/>
          <w:i/>
          <w:iCs/>
          <w:lang w:val="en-GB"/>
        </w:rPr>
        <w:t>I</w:t>
      </w:r>
      <w:r w:rsidR="0004646F" w:rsidRPr="009512AF">
        <w:rPr>
          <w:rFonts w:cs="Arial"/>
          <w:i/>
          <w:iCs/>
          <w:lang w:val="en-GB"/>
        </w:rPr>
        <w:t>tem 20, declare in writing the person</w:t>
      </w:r>
      <w:r w:rsidR="00FA4588" w:rsidRPr="009512AF">
        <w:rPr>
          <w:rFonts w:cs="Arial"/>
          <w:i/>
          <w:iCs/>
          <w:lang w:val="en-GB"/>
        </w:rPr>
        <w:t xml:space="preserve"> whose name is at the top of the applicable party list to be elected in the vacancy</w:t>
      </w:r>
      <w:r w:rsidR="00531DEB" w:rsidRPr="009512AF">
        <w:rPr>
          <w:rFonts w:cs="Arial"/>
          <w:i/>
          <w:iCs/>
          <w:lang w:val="en-GB"/>
        </w:rPr>
        <w:t>”</w:t>
      </w:r>
      <w:r w:rsidR="00FA4588" w:rsidRPr="009512AF">
        <w:rPr>
          <w:rFonts w:cs="Arial"/>
          <w:lang w:val="en-GB"/>
        </w:rPr>
        <w:t>.</w:t>
      </w:r>
      <w:r w:rsidR="00531DEB" w:rsidRPr="009512AF">
        <w:rPr>
          <w:rFonts w:cs="Arial"/>
          <w:lang w:val="en-GB"/>
        </w:rPr>
        <w:t xml:space="preserve"> </w:t>
      </w:r>
    </w:p>
    <w:p w:rsidR="00677816" w:rsidRPr="009512AF" w:rsidRDefault="007F1CDF" w:rsidP="007F1CDF">
      <w:pPr>
        <w:snapToGrid w:val="0"/>
        <w:spacing w:before="120" w:after="360" w:line="480" w:lineRule="auto"/>
        <w:ind w:hanging="6"/>
        <w:jc w:val="both"/>
        <w:rPr>
          <w:rFonts w:cs="Arial"/>
          <w:lang w:val="en-GB"/>
        </w:rPr>
      </w:pPr>
      <w:r w:rsidRPr="009512AF">
        <w:rPr>
          <w:rFonts w:cs="Arial"/>
          <w:lang w:val="en-GB"/>
        </w:rPr>
        <w:t>[37]</w:t>
      </w:r>
      <w:r w:rsidRPr="009512AF">
        <w:rPr>
          <w:rFonts w:cs="Arial"/>
          <w:lang w:val="en-GB"/>
        </w:rPr>
        <w:tab/>
      </w:r>
      <w:r w:rsidR="00677816" w:rsidRPr="009512AF">
        <w:rPr>
          <w:rFonts w:cs="Arial"/>
          <w:lang w:val="en-GB"/>
        </w:rPr>
        <w:t xml:space="preserve">The provisions of s 27(c) read </w:t>
      </w:r>
      <w:r w:rsidR="00ED5E6F" w:rsidRPr="009512AF">
        <w:rPr>
          <w:rFonts w:cs="Arial"/>
          <w:lang w:val="en-GB"/>
        </w:rPr>
        <w:t>Item 18 (1) (b) of Schedule 1</w:t>
      </w:r>
      <w:r w:rsidR="00CA2CF5">
        <w:rPr>
          <w:rFonts w:cs="Arial"/>
          <w:lang w:val="en-GB"/>
        </w:rPr>
        <w:t xml:space="preserve"> of </w:t>
      </w:r>
      <w:r w:rsidR="00ED5E6F" w:rsidRPr="009512AF">
        <w:rPr>
          <w:rFonts w:cs="Arial"/>
          <w:lang w:val="en-GB"/>
        </w:rPr>
        <w:t xml:space="preserve">the Structures Act are peremptory.  There is no decision involved in the replacement of a councillor elected from a party list.  Where a councillor elected from a party list ceases to be a member of the party in question, </w:t>
      </w:r>
      <w:r w:rsidR="00700BBF" w:rsidRPr="009512AF">
        <w:rPr>
          <w:rFonts w:cs="Arial"/>
          <w:lang w:val="en-GB"/>
        </w:rPr>
        <w:t xml:space="preserve">he or she vacates their seat by operation of law and is replaced by operation of law with the person whose name appears at the top of the relevant party list.  </w:t>
      </w:r>
      <w:r w:rsidR="00FA6FE8" w:rsidRPr="009512AF">
        <w:rPr>
          <w:rFonts w:cs="Arial"/>
          <w:lang w:val="en-GB"/>
        </w:rPr>
        <w:t xml:space="preserve">That is precisely what happened in this matter.  No decision was taken by the IEC to replace Mr Heradien with Mr Nel as the ICOSA PR councillor.  </w:t>
      </w:r>
    </w:p>
    <w:p w:rsidR="00772C20" w:rsidRPr="009512AF" w:rsidRDefault="007F1CDF" w:rsidP="007F1CDF">
      <w:pPr>
        <w:snapToGrid w:val="0"/>
        <w:spacing w:before="120" w:after="360" w:line="480" w:lineRule="auto"/>
        <w:ind w:hanging="6"/>
        <w:jc w:val="both"/>
        <w:rPr>
          <w:rFonts w:cs="Arial"/>
          <w:lang w:val="en-GB"/>
        </w:rPr>
      </w:pPr>
      <w:r w:rsidRPr="009512AF">
        <w:rPr>
          <w:rFonts w:cs="Arial"/>
          <w:lang w:val="en-GB"/>
        </w:rPr>
        <w:t>[38]</w:t>
      </w:r>
      <w:r w:rsidRPr="009512AF">
        <w:rPr>
          <w:rFonts w:cs="Arial"/>
          <w:lang w:val="en-GB"/>
        </w:rPr>
        <w:tab/>
      </w:r>
      <w:r w:rsidR="00312733" w:rsidRPr="009512AF">
        <w:rPr>
          <w:rFonts w:cs="Arial"/>
          <w:lang w:val="en-GB"/>
        </w:rPr>
        <w:t xml:space="preserve">Consequently, I am not </w:t>
      </w:r>
      <w:r w:rsidR="00312733" w:rsidRPr="009512AF">
        <w:rPr>
          <w:rStyle w:val="markedcontent"/>
          <w:color w:val="000000" w:themeColor="text1"/>
          <w:lang w:val="en-GB"/>
        </w:rPr>
        <w:t>satisfied that Mr Heradien has good prospects of success in the main review, and</w:t>
      </w:r>
      <w:r w:rsidR="00312733" w:rsidRPr="009512AF">
        <w:rPr>
          <w:rFonts w:cs="Arial"/>
          <w:lang w:val="en-GB"/>
        </w:rPr>
        <w:t xml:space="preserve"> </w:t>
      </w:r>
      <w:r w:rsidR="00064333" w:rsidRPr="009512AF">
        <w:rPr>
          <w:rFonts w:cs="Arial"/>
          <w:lang w:val="en-GB"/>
        </w:rPr>
        <w:t xml:space="preserve">Mr Heradien has thus failed to establish that he has a </w:t>
      </w:r>
      <w:r w:rsidR="00064333" w:rsidRPr="009512AF">
        <w:rPr>
          <w:rFonts w:cs="Arial"/>
          <w:i/>
          <w:iCs/>
          <w:lang w:val="en-GB"/>
        </w:rPr>
        <w:t>prima facie</w:t>
      </w:r>
      <w:r w:rsidR="00064333" w:rsidRPr="009512AF">
        <w:rPr>
          <w:rFonts w:cs="Arial"/>
          <w:lang w:val="en-GB"/>
        </w:rPr>
        <w:t xml:space="preserve"> right </w:t>
      </w:r>
      <w:r w:rsidR="00236342" w:rsidRPr="009512AF">
        <w:rPr>
          <w:rFonts w:cs="Arial"/>
          <w:lang w:val="en-GB"/>
        </w:rPr>
        <w:t>to</w:t>
      </w:r>
      <w:r w:rsidR="00064333" w:rsidRPr="009512AF">
        <w:rPr>
          <w:rFonts w:cs="Arial"/>
          <w:lang w:val="en-GB"/>
        </w:rPr>
        <w:t xml:space="preserve"> the </w:t>
      </w:r>
      <w:r w:rsidR="00236342" w:rsidRPr="009512AF">
        <w:rPr>
          <w:rFonts w:cs="Arial"/>
          <w:lang w:val="en-GB"/>
        </w:rPr>
        <w:t>interim relief sought</w:t>
      </w:r>
      <w:r w:rsidR="00064333" w:rsidRPr="009512AF">
        <w:rPr>
          <w:rFonts w:cs="Arial"/>
          <w:lang w:val="en-GB"/>
        </w:rPr>
        <w:t>.</w:t>
      </w:r>
    </w:p>
    <w:p w:rsidR="00772C20" w:rsidRPr="009512AF" w:rsidRDefault="00772C20" w:rsidP="00AA53AB">
      <w:pPr>
        <w:pStyle w:val="Heading2"/>
        <w:rPr>
          <w:lang w:val="en-GB"/>
        </w:rPr>
      </w:pPr>
      <w:r w:rsidRPr="009512AF">
        <w:rPr>
          <w:lang w:val="en-GB"/>
        </w:rPr>
        <w:lastRenderedPageBreak/>
        <w:t>Reasonable apprehension of irreparable harm</w:t>
      </w:r>
    </w:p>
    <w:p w:rsidR="006A5B91" w:rsidRPr="009512AF" w:rsidRDefault="007F1CDF" w:rsidP="007F1CDF">
      <w:pPr>
        <w:snapToGrid w:val="0"/>
        <w:spacing w:before="120" w:after="360" w:line="480" w:lineRule="auto"/>
        <w:ind w:hanging="6"/>
        <w:jc w:val="both"/>
        <w:rPr>
          <w:rFonts w:cs="Arial"/>
          <w:lang w:val="en-GB"/>
        </w:rPr>
      </w:pPr>
      <w:r w:rsidRPr="009512AF">
        <w:rPr>
          <w:rFonts w:cs="Arial"/>
          <w:lang w:val="en-GB"/>
        </w:rPr>
        <w:t>[39]</w:t>
      </w:r>
      <w:r w:rsidRPr="009512AF">
        <w:rPr>
          <w:rFonts w:cs="Arial"/>
          <w:lang w:val="en-GB"/>
        </w:rPr>
        <w:tab/>
      </w:r>
      <w:r w:rsidR="00305945" w:rsidRPr="009512AF">
        <w:rPr>
          <w:rFonts w:cs="Arial"/>
          <w:lang w:val="en-GB"/>
        </w:rPr>
        <w:t>Mr Heradien</w:t>
      </w:r>
      <w:r w:rsidR="009C59BB" w:rsidRPr="009512AF">
        <w:rPr>
          <w:rFonts w:cs="Arial"/>
          <w:lang w:val="en-GB"/>
        </w:rPr>
        <w:t xml:space="preserve">’s failure to establish a </w:t>
      </w:r>
      <w:r w:rsidR="009C59BB" w:rsidRPr="009512AF">
        <w:rPr>
          <w:rFonts w:cs="Arial"/>
          <w:i/>
          <w:iCs/>
          <w:lang w:val="en-GB"/>
        </w:rPr>
        <w:t>prima facie</w:t>
      </w:r>
      <w:r w:rsidR="009C59BB" w:rsidRPr="009512AF">
        <w:rPr>
          <w:rFonts w:cs="Arial"/>
          <w:lang w:val="en-GB"/>
        </w:rPr>
        <w:t xml:space="preserve"> right for the purposes of interim interdictory relief ough</w:t>
      </w:r>
      <w:r w:rsidR="0053545D" w:rsidRPr="009512AF">
        <w:rPr>
          <w:rFonts w:cs="Arial"/>
          <w:lang w:val="en-GB"/>
        </w:rPr>
        <w:t>t</w:t>
      </w:r>
      <w:r w:rsidR="009C59BB" w:rsidRPr="009512AF">
        <w:rPr>
          <w:rFonts w:cs="Arial"/>
          <w:lang w:val="en-GB"/>
        </w:rPr>
        <w:t xml:space="preserve"> to be the end of the matter, however, for the sake of completeness, it bears emphasis that </w:t>
      </w:r>
      <w:r w:rsidR="00F639EE" w:rsidRPr="009512AF">
        <w:rPr>
          <w:rFonts w:cs="Arial"/>
          <w:lang w:val="en-GB"/>
        </w:rPr>
        <w:t>the conduct that Mr Heradien seeks to interdict in prayers 2.1 and 2.2 of Part A of the notice motion</w:t>
      </w:r>
      <w:r w:rsidR="008E3BFD" w:rsidRPr="009512AF">
        <w:rPr>
          <w:rFonts w:cs="Arial"/>
          <w:lang w:val="en-GB"/>
        </w:rPr>
        <w:t>,</w:t>
      </w:r>
      <w:r w:rsidR="00F639EE" w:rsidRPr="009512AF">
        <w:rPr>
          <w:rFonts w:cs="Arial"/>
          <w:lang w:val="en-GB"/>
        </w:rPr>
        <w:t xml:space="preserve"> has already occurred</w:t>
      </w:r>
      <w:r w:rsidR="00780559" w:rsidRPr="009512AF">
        <w:rPr>
          <w:rFonts w:cs="Arial"/>
          <w:lang w:val="en-GB"/>
        </w:rPr>
        <w:t xml:space="preserve">.  </w:t>
      </w:r>
      <w:r w:rsidR="002165A7" w:rsidRPr="009512AF">
        <w:rPr>
          <w:rFonts w:cs="Arial"/>
          <w:lang w:val="en-GB"/>
        </w:rPr>
        <w:t xml:space="preserve">He has been expelled as a member of ICOSA and he has been replaced as a councillor.  </w:t>
      </w:r>
      <w:r w:rsidR="007A03F9" w:rsidRPr="009512AF">
        <w:rPr>
          <w:rFonts w:cs="Arial"/>
          <w:bCs/>
          <w:iCs/>
          <w:lang w:val="en-GB"/>
        </w:rPr>
        <w:t>A</w:t>
      </w:r>
      <w:r w:rsidR="007A03F9" w:rsidRPr="009512AF">
        <w:rPr>
          <w:rFonts w:cs="Arial"/>
          <w:iCs/>
          <w:lang w:val="en-GB"/>
        </w:rPr>
        <w:t>n interdict is not a remedy for past invasion of rights but is concerned with present or future infringements.</w:t>
      </w:r>
      <w:r w:rsidR="007A03F9" w:rsidRPr="009512AF">
        <w:rPr>
          <w:rStyle w:val="FootnoteReference"/>
          <w:rFonts w:cs="Arial"/>
          <w:color w:val="000000" w:themeColor="text1"/>
          <w:lang w:val="en-GB"/>
        </w:rPr>
        <w:footnoteReference w:id="20"/>
      </w:r>
      <w:r w:rsidR="007A03F9" w:rsidRPr="009512AF">
        <w:rPr>
          <w:rFonts w:cs="Arial"/>
          <w:iCs/>
          <w:lang w:val="en-GB"/>
        </w:rPr>
        <w:t xml:space="preserve">  It is appropriate where future injury is feared.</w:t>
      </w:r>
      <w:r w:rsidR="007A03F9" w:rsidRPr="009512AF">
        <w:rPr>
          <w:rStyle w:val="FootnoteReference"/>
          <w:rFonts w:cs="Arial"/>
          <w:iCs/>
          <w:lang w:val="en-GB"/>
        </w:rPr>
        <w:footnoteReference w:id="21"/>
      </w:r>
      <w:r w:rsidR="007A03F9" w:rsidRPr="009512AF">
        <w:rPr>
          <w:rFonts w:cs="Arial"/>
          <w:lang w:val="en-GB"/>
        </w:rPr>
        <w:t xml:space="preserve">  An interdict is meant to prevent future conduct and not </w:t>
      </w:r>
      <w:r w:rsidR="00404097" w:rsidRPr="009512AF">
        <w:rPr>
          <w:rFonts w:cs="Arial"/>
          <w:lang w:val="en-GB"/>
        </w:rPr>
        <w:t xml:space="preserve">conduct that has already occurred or </w:t>
      </w:r>
      <w:r w:rsidR="007A03F9" w:rsidRPr="009512AF">
        <w:rPr>
          <w:rFonts w:cs="Arial"/>
          <w:lang w:val="en-GB"/>
        </w:rPr>
        <w:t>decisions already made.</w:t>
      </w:r>
      <w:r w:rsidR="007A03F9" w:rsidRPr="009512AF">
        <w:rPr>
          <w:rStyle w:val="FootnoteReference"/>
          <w:rFonts w:cs="Arial"/>
          <w:lang w:val="en-GB"/>
        </w:rPr>
        <w:footnoteReference w:id="22"/>
      </w:r>
      <w:r w:rsidR="007A03F9" w:rsidRPr="009512AF">
        <w:rPr>
          <w:rFonts w:cs="Arial"/>
          <w:lang w:val="en-GB"/>
        </w:rPr>
        <w:t xml:space="preserve">   </w:t>
      </w:r>
      <w:r w:rsidR="00B4443D" w:rsidRPr="009512AF">
        <w:rPr>
          <w:rFonts w:cs="Arial"/>
          <w:lang w:val="en-GB"/>
        </w:rPr>
        <w:t xml:space="preserve">Consequently, </w:t>
      </w:r>
      <w:r w:rsidR="002165A7" w:rsidRPr="009512AF">
        <w:rPr>
          <w:rFonts w:cs="Arial"/>
          <w:lang w:val="en-GB"/>
        </w:rPr>
        <w:t>Mr Heradien</w:t>
      </w:r>
      <w:r w:rsidR="00B4443D" w:rsidRPr="009512AF">
        <w:rPr>
          <w:rFonts w:cs="Arial"/>
          <w:lang w:val="en-GB"/>
        </w:rPr>
        <w:t xml:space="preserve"> has failed to demonstrate a well-grounded apprehension of irreparable harm. </w:t>
      </w:r>
      <w:r w:rsidR="0058339F" w:rsidRPr="009512AF">
        <w:rPr>
          <w:rFonts w:cs="Arial"/>
          <w:lang w:val="en-GB"/>
        </w:rPr>
        <w:t xml:space="preserve"> </w:t>
      </w:r>
    </w:p>
    <w:p w:rsidR="00C042B1" w:rsidRPr="009512AF" w:rsidRDefault="007F1CDF" w:rsidP="007F1CDF">
      <w:pPr>
        <w:snapToGrid w:val="0"/>
        <w:spacing w:before="120" w:after="360" w:line="480" w:lineRule="auto"/>
        <w:ind w:hanging="6"/>
        <w:jc w:val="both"/>
        <w:rPr>
          <w:rFonts w:cs="Arial"/>
          <w:lang w:val="en-GB"/>
        </w:rPr>
      </w:pPr>
      <w:r w:rsidRPr="009512AF">
        <w:rPr>
          <w:rFonts w:cs="Arial"/>
          <w:lang w:val="en-GB"/>
        </w:rPr>
        <w:t>[40]</w:t>
      </w:r>
      <w:r w:rsidRPr="009512AF">
        <w:rPr>
          <w:rFonts w:cs="Arial"/>
          <w:lang w:val="en-GB"/>
        </w:rPr>
        <w:tab/>
      </w:r>
      <w:r w:rsidR="0081394A" w:rsidRPr="009512AF">
        <w:rPr>
          <w:rFonts w:cs="Arial"/>
          <w:lang w:val="en-GB"/>
        </w:rPr>
        <w:t>Mr Heradien in addition seeks interim relief to, in effect, temporarily reinstate his membership of ICOSA, in order to retain his seat on the Council</w:t>
      </w:r>
      <w:r w:rsidR="00C042B1" w:rsidRPr="009512AF">
        <w:rPr>
          <w:rFonts w:cs="Arial"/>
          <w:lang w:val="en-GB"/>
        </w:rPr>
        <w:t xml:space="preserve"> </w:t>
      </w:r>
      <w:r w:rsidR="0081394A" w:rsidRPr="009512AF">
        <w:rPr>
          <w:rFonts w:cs="Arial"/>
          <w:lang w:val="en-GB"/>
        </w:rPr>
        <w:t>until a court can hear Part B and decide whether he is a member of ICOSA or not</w:t>
      </w:r>
      <w:r w:rsidR="00C042B1" w:rsidRPr="009512AF">
        <w:rPr>
          <w:rFonts w:cs="Arial"/>
          <w:lang w:val="en-GB"/>
        </w:rPr>
        <w:t xml:space="preserve">, in order to secure his salary.  </w:t>
      </w:r>
      <w:r w:rsidR="00A41177" w:rsidRPr="009512AF">
        <w:rPr>
          <w:rFonts w:cs="Arial"/>
          <w:lang w:val="en-GB"/>
        </w:rPr>
        <w:t xml:space="preserve">A similar argument was rejected by this court in </w:t>
      </w:r>
      <w:r w:rsidR="00A41177" w:rsidRPr="009512AF">
        <w:rPr>
          <w:rFonts w:cs="Arial"/>
          <w:i/>
          <w:iCs/>
          <w:lang w:val="en-GB"/>
        </w:rPr>
        <w:t>Harding v The Independent Democrats</w:t>
      </w:r>
      <w:r w:rsidR="00733C16" w:rsidRPr="009512AF">
        <w:rPr>
          <w:rFonts w:cs="Arial"/>
          <w:i/>
          <w:iCs/>
          <w:lang w:val="en-GB"/>
        </w:rPr>
        <w:t>.</w:t>
      </w:r>
      <w:r w:rsidR="00031694" w:rsidRPr="009512AF">
        <w:rPr>
          <w:rStyle w:val="FootnoteReference"/>
          <w:rFonts w:cs="Arial"/>
          <w:lang w:val="en-GB"/>
        </w:rPr>
        <w:footnoteReference w:id="23"/>
      </w:r>
    </w:p>
    <w:p w:rsidR="008427FC" w:rsidRPr="009512AF" w:rsidRDefault="007F1CDF" w:rsidP="007F1CDF">
      <w:pPr>
        <w:snapToGrid w:val="0"/>
        <w:spacing w:before="120" w:after="360" w:line="480" w:lineRule="auto"/>
        <w:ind w:hanging="6"/>
        <w:jc w:val="both"/>
        <w:rPr>
          <w:rFonts w:cs="Arial"/>
          <w:lang w:val="en-GB"/>
        </w:rPr>
      </w:pPr>
      <w:r w:rsidRPr="009512AF">
        <w:rPr>
          <w:rFonts w:cs="Arial"/>
          <w:lang w:val="en-GB"/>
        </w:rPr>
        <w:t>[41]</w:t>
      </w:r>
      <w:r w:rsidRPr="009512AF">
        <w:rPr>
          <w:rFonts w:cs="Arial"/>
          <w:lang w:val="en-GB"/>
        </w:rPr>
        <w:tab/>
      </w:r>
      <w:r w:rsidR="00473C71" w:rsidRPr="009512AF">
        <w:rPr>
          <w:rFonts w:cs="Arial"/>
          <w:lang w:val="en-GB"/>
        </w:rPr>
        <w:t>I agree with the submission of Ms Foster</w:t>
      </w:r>
      <w:r w:rsidR="003E7903" w:rsidRPr="009512AF">
        <w:rPr>
          <w:rFonts w:cs="Arial"/>
          <w:lang w:val="en-GB"/>
        </w:rPr>
        <w:t xml:space="preserve"> who appeared</w:t>
      </w:r>
      <w:r w:rsidR="00473C71" w:rsidRPr="009512AF">
        <w:rPr>
          <w:rFonts w:cs="Arial"/>
          <w:lang w:val="en-GB"/>
        </w:rPr>
        <w:t xml:space="preserve"> for the respondents, that Mr Heradien’s financial position cannot justify the </w:t>
      </w:r>
      <w:r w:rsidR="003E7903" w:rsidRPr="009512AF">
        <w:rPr>
          <w:rFonts w:cs="Arial"/>
          <w:lang w:val="en-GB"/>
        </w:rPr>
        <w:t>C</w:t>
      </w:r>
      <w:r w:rsidR="00473C71" w:rsidRPr="009512AF">
        <w:rPr>
          <w:rFonts w:cs="Arial"/>
          <w:lang w:val="en-GB"/>
        </w:rPr>
        <w:t>ourt interfering with the proper functioning of a political party</w:t>
      </w:r>
      <w:r w:rsidR="000F458A" w:rsidRPr="009512AF">
        <w:rPr>
          <w:rFonts w:cs="Arial"/>
          <w:lang w:val="en-GB"/>
        </w:rPr>
        <w:t xml:space="preserve"> </w:t>
      </w:r>
      <w:r w:rsidR="003E7903" w:rsidRPr="009512AF">
        <w:rPr>
          <w:rFonts w:cs="Arial"/>
          <w:lang w:val="en-GB"/>
        </w:rPr>
        <w:t>or</w:t>
      </w:r>
      <w:r w:rsidR="000F458A" w:rsidRPr="009512AF">
        <w:rPr>
          <w:rFonts w:cs="Arial"/>
          <w:lang w:val="en-GB"/>
        </w:rPr>
        <w:t xml:space="preserve"> of the Council.  This is particularly so where Mr Heradien has made it clear that he </w:t>
      </w:r>
      <w:r w:rsidR="00C63B87" w:rsidRPr="009512AF">
        <w:rPr>
          <w:rFonts w:cs="Arial"/>
          <w:lang w:val="en-GB"/>
        </w:rPr>
        <w:t xml:space="preserve">does not recognise the NEC as the legitimate leadership structure of ICOSA and where he has made it clear that he does not intend </w:t>
      </w:r>
      <w:r w:rsidR="00C63B87" w:rsidRPr="009512AF">
        <w:rPr>
          <w:rFonts w:cs="Arial"/>
          <w:lang w:val="en-GB"/>
        </w:rPr>
        <w:lastRenderedPageBreak/>
        <w:t xml:space="preserve">to follow the NEC’s instructions.  </w:t>
      </w:r>
      <w:r w:rsidR="0081394A" w:rsidRPr="009512AF">
        <w:rPr>
          <w:rFonts w:cs="Arial"/>
          <w:lang w:val="en-GB"/>
        </w:rPr>
        <w:t xml:space="preserve">If </w:t>
      </w:r>
      <w:r w:rsidR="00122F76" w:rsidRPr="009512AF">
        <w:rPr>
          <w:rFonts w:cs="Arial"/>
          <w:lang w:val="en-GB"/>
        </w:rPr>
        <w:t xml:space="preserve">Mr Heradien </w:t>
      </w:r>
      <w:r w:rsidR="0081394A" w:rsidRPr="009512AF">
        <w:rPr>
          <w:rFonts w:cs="Arial"/>
          <w:lang w:val="en-GB"/>
        </w:rPr>
        <w:t xml:space="preserve">could occupy </w:t>
      </w:r>
      <w:r w:rsidR="00122480" w:rsidRPr="009512AF">
        <w:rPr>
          <w:rFonts w:cs="Arial"/>
          <w:lang w:val="en-GB"/>
        </w:rPr>
        <w:t>ICOSA’s</w:t>
      </w:r>
      <w:r w:rsidR="0081394A" w:rsidRPr="009512AF">
        <w:rPr>
          <w:rFonts w:cs="Arial"/>
          <w:lang w:val="en-GB"/>
        </w:rPr>
        <w:t xml:space="preserve"> seat</w:t>
      </w:r>
      <w:r w:rsidR="00122480" w:rsidRPr="009512AF">
        <w:rPr>
          <w:rFonts w:cs="Arial"/>
          <w:lang w:val="en-GB"/>
        </w:rPr>
        <w:t xml:space="preserve"> on the Council</w:t>
      </w:r>
      <w:r w:rsidR="0081394A" w:rsidRPr="009512AF">
        <w:rPr>
          <w:rFonts w:cs="Arial"/>
          <w:lang w:val="en-GB"/>
        </w:rPr>
        <w:t xml:space="preserve">, </w:t>
      </w:r>
      <w:r w:rsidR="00122480" w:rsidRPr="009512AF">
        <w:rPr>
          <w:rFonts w:cs="Arial"/>
          <w:lang w:val="en-GB"/>
        </w:rPr>
        <w:t xml:space="preserve">to secure his personal financial interests and outside the party’s discipline, </w:t>
      </w:r>
      <w:r w:rsidR="0081394A" w:rsidRPr="009512AF">
        <w:rPr>
          <w:rFonts w:cs="Arial"/>
          <w:lang w:val="en-GB"/>
        </w:rPr>
        <w:t xml:space="preserve">while in open dispute with </w:t>
      </w:r>
      <w:r w:rsidR="008B3005" w:rsidRPr="009512AF">
        <w:rPr>
          <w:rFonts w:cs="Arial"/>
          <w:lang w:val="en-GB"/>
        </w:rPr>
        <w:t>the party</w:t>
      </w:r>
      <w:r w:rsidR="0081394A" w:rsidRPr="009512AF">
        <w:rPr>
          <w:rFonts w:cs="Arial"/>
          <w:lang w:val="en-GB"/>
        </w:rPr>
        <w:t xml:space="preserve">, </w:t>
      </w:r>
      <w:r w:rsidR="00122F76" w:rsidRPr="009512AF">
        <w:rPr>
          <w:rFonts w:cs="Arial"/>
          <w:lang w:val="en-GB"/>
        </w:rPr>
        <w:t>ICOSA</w:t>
      </w:r>
      <w:r w:rsidR="0081394A" w:rsidRPr="009512AF">
        <w:rPr>
          <w:rFonts w:cs="Arial"/>
          <w:lang w:val="en-GB"/>
        </w:rPr>
        <w:t xml:space="preserve"> would</w:t>
      </w:r>
      <w:r w:rsidR="008B3005" w:rsidRPr="009512AF">
        <w:rPr>
          <w:rFonts w:cs="Arial"/>
          <w:lang w:val="en-GB"/>
        </w:rPr>
        <w:t xml:space="preserve"> effectively</w:t>
      </w:r>
      <w:r w:rsidR="0081394A" w:rsidRPr="009512AF">
        <w:rPr>
          <w:rFonts w:cs="Arial"/>
          <w:lang w:val="en-GB"/>
        </w:rPr>
        <w:t xml:space="preserve"> lose </w:t>
      </w:r>
      <w:r w:rsidR="008B3005" w:rsidRPr="009512AF">
        <w:rPr>
          <w:rFonts w:cs="Arial"/>
          <w:lang w:val="en-GB"/>
        </w:rPr>
        <w:t>the</w:t>
      </w:r>
      <w:r w:rsidR="0081394A" w:rsidRPr="009512AF">
        <w:rPr>
          <w:rFonts w:cs="Arial"/>
          <w:lang w:val="en-GB"/>
        </w:rPr>
        <w:t xml:space="preserve"> seat which it won in democratic elections.  </w:t>
      </w:r>
      <w:r w:rsidR="00A70D1A" w:rsidRPr="009512AF">
        <w:rPr>
          <w:rFonts w:cs="Arial"/>
          <w:lang w:val="en-GB"/>
        </w:rPr>
        <w:t xml:space="preserve">There is no basis in law to justify such far reaching </w:t>
      </w:r>
      <w:r w:rsidR="00C23AAF" w:rsidRPr="009512AF">
        <w:rPr>
          <w:rFonts w:cs="Arial"/>
          <w:lang w:val="en-GB"/>
        </w:rPr>
        <w:t xml:space="preserve">relief. </w:t>
      </w:r>
    </w:p>
    <w:p w:rsidR="00A70D1A" w:rsidRPr="009512AF" w:rsidRDefault="007F1CDF" w:rsidP="007F1CDF">
      <w:pPr>
        <w:snapToGrid w:val="0"/>
        <w:spacing w:before="120" w:after="360" w:line="480" w:lineRule="auto"/>
        <w:ind w:hanging="6"/>
        <w:jc w:val="both"/>
        <w:rPr>
          <w:rFonts w:cs="Arial"/>
          <w:lang w:val="en-GB"/>
        </w:rPr>
      </w:pPr>
      <w:r w:rsidRPr="009512AF">
        <w:rPr>
          <w:rFonts w:cs="Arial"/>
          <w:lang w:val="en-GB"/>
        </w:rPr>
        <w:t>[42]</w:t>
      </w:r>
      <w:r w:rsidRPr="009512AF">
        <w:rPr>
          <w:rFonts w:cs="Arial"/>
          <w:lang w:val="en-GB"/>
        </w:rPr>
        <w:tab/>
      </w:r>
      <w:r w:rsidR="00A70D1A" w:rsidRPr="009512AF">
        <w:rPr>
          <w:rFonts w:cs="Arial"/>
          <w:lang w:val="en-GB"/>
        </w:rPr>
        <w:t xml:space="preserve">For these reasons, the </w:t>
      </w:r>
      <w:r w:rsidR="00312733" w:rsidRPr="009512AF">
        <w:rPr>
          <w:rFonts w:cs="Arial"/>
          <w:lang w:val="en-GB"/>
        </w:rPr>
        <w:t xml:space="preserve">application for </w:t>
      </w:r>
      <w:r w:rsidR="00A70D1A" w:rsidRPr="009512AF">
        <w:rPr>
          <w:rFonts w:cs="Arial"/>
          <w:lang w:val="en-GB"/>
        </w:rPr>
        <w:t xml:space="preserve">interim interdictory relief </w:t>
      </w:r>
      <w:r w:rsidR="00312733" w:rsidRPr="009512AF">
        <w:rPr>
          <w:rFonts w:cs="Arial"/>
          <w:lang w:val="en-GB"/>
        </w:rPr>
        <w:t>must fail.</w:t>
      </w:r>
      <w:r w:rsidR="00A70D1A" w:rsidRPr="009512AF">
        <w:rPr>
          <w:rFonts w:cs="Arial"/>
          <w:lang w:val="en-GB"/>
        </w:rPr>
        <w:t xml:space="preserve"> </w:t>
      </w:r>
    </w:p>
    <w:p w:rsidR="008427FC" w:rsidRPr="009512AF" w:rsidRDefault="008427FC" w:rsidP="00AA53AB">
      <w:pPr>
        <w:pStyle w:val="Heading1"/>
        <w:rPr>
          <w:lang w:val="en-GB"/>
        </w:rPr>
      </w:pPr>
      <w:r w:rsidRPr="009512AF">
        <w:rPr>
          <w:lang w:val="en-GB"/>
        </w:rPr>
        <w:t>COSTS</w:t>
      </w:r>
    </w:p>
    <w:p w:rsidR="008427FC" w:rsidRPr="009512AF" w:rsidRDefault="007F1CDF" w:rsidP="007F1CDF">
      <w:pPr>
        <w:snapToGrid w:val="0"/>
        <w:spacing w:before="120" w:after="360" w:line="480" w:lineRule="auto"/>
        <w:ind w:hanging="6"/>
        <w:jc w:val="both"/>
        <w:rPr>
          <w:rFonts w:cs="Arial"/>
          <w:lang w:val="en-GB"/>
        </w:rPr>
      </w:pPr>
      <w:r w:rsidRPr="009512AF">
        <w:rPr>
          <w:rFonts w:cs="Arial"/>
          <w:lang w:val="en-GB"/>
        </w:rPr>
        <w:t>[43]</w:t>
      </w:r>
      <w:r w:rsidRPr="009512AF">
        <w:rPr>
          <w:rFonts w:cs="Arial"/>
          <w:lang w:val="en-GB"/>
        </w:rPr>
        <w:tab/>
      </w:r>
      <w:r w:rsidR="00B311AF" w:rsidRPr="009512AF">
        <w:rPr>
          <w:rFonts w:cs="Arial"/>
          <w:color w:val="000000" w:themeColor="text1"/>
          <w:lang w:val="en-GB"/>
        </w:rPr>
        <w:t>It is an established principle of law that costs are generally not awarded in interlocutory proceedings, unless there are exceptional circumstances that warrant the departure from this rule.</w:t>
      </w:r>
      <w:r w:rsidR="00B311AF" w:rsidRPr="009512AF">
        <w:rPr>
          <w:rStyle w:val="FootnoteReference"/>
          <w:rFonts w:cs="Arial"/>
          <w:color w:val="000000" w:themeColor="text1"/>
          <w:lang w:val="en-GB"/>
        </w:rPr>
        <w:footnoteReference w:id="24"/>
      </w:r>
      <w:r w:rsidR="00B311AF" w:rsidRPr="009512AF">
        <w:rPr>
          <w:rFonts w:cs="Arial"/>
          <w:color w:val="000000" w:themeColor="text1"/>
          <w:lang w:val="en-GB"/>
        </w:rPr>
        <w:t xml:space="preserve">  This is so for good reason: a court finally hearing a matter is better placed, having regard to all the evidence, to determine whether the application was well-founded. </w:t>
      </w:r>
    </w:p>
    <w:p w:rsidR="00B311AF" w:rsidRPr="009512AF" w:rsidRDefault="007F1CDF" w:rsidP="007F1CDF">
      <w:pPr>
        <w:snapToGrid w:val="0"/>
        <w:spacing w:before="120" w:after="360" w:line="480" w:lineRule="auto"/>
        <w:ind w:hanging="6"/>
        <w:jc w:val="both"/>
        <w:rPr>
          <w:rFonts w:cs="Arial"/>
          <w:lang w:val="en-GB"/>
        </w:rPr>
      </w:pPr>
      <w:r w:rsidRPr="009512AF">
        <w:rPr>
          <w:rFonts w:cs="Arial"/>
          <w:lang w:val="en-GB"/>
        </w:rPr>
        <w:t>[44]</w:t>
      </w:r>
      <w:r w:rsidRPr="009512AF">
        <w:rPr>
          <w:rFonts w:cs="Arial"/>
          <w:lang w:val="en-GB"/>
        </w:rPr>
        <w:tab/>
      </w:r>
      <w:r w:rsidR="00CD4142" w:rsidRPr="009512AF">
        <w:rPr>
          <w:rFonts w:cs="Arial"/>
          <w:color w:val="000000" w:themeColor="text1"/>
          <w:lang w:val="en-GB"/>
        </w:rPr>
        <w:t xml:space="preserve">The respondents contend that the application constitutes an abuse of process and for that reason ask that costs be awarded against Mr Heradien.  </w:t>
      </w:r>
      <w:r w:rsidR="00841B9B" w:rsidRPr="009512AF">
        <w:rPr>
          <w:rFonts w:cs="Arial"/>
          <w:lang w:val="en-GB"/>
        </w:rPr>
        <w:t xml:space="preserve">Although the application for interim relief has not succeeded, there is no basis on which to find that </w:t>
      </w:r>
      <w:r w:rsidR="00841B9B" w:rsidRPr="009512AF">
        <w:rPr>
          <w:rFonts w:cs="Arial"/>
          <w:color w:val="000000" w:themeColor="text1"/>
          <w:lang w:val="en-GB"/>
        </w:rPr>
        <w:t>Mr Heradien</w:t>
      </w:r>
      <w:r w:rsidR="00841B9B" w:rsidRPr="009512AF">
        <w:rPr>
          <w:rFonts w:cs="Arial"/>
          <w:lang w:val="en-GB"/>
        </w:rPr>
        <w:t xml:space="preserve"> lacked </w:t>
      </w:r>
      <w:r w:rsidR="00841B9B" w:rsidRPr="009512AF">
        <w:rPr>
          <w:rFonts w:cs="Arial"/>
          <w:i/>
          <w:iCs/>
          <w:lang w:val="en-GB"/>
        </w:rPr>
        <w:t>bona fides</w:t>
      </w:r>
      <w:r w:rsidR="00841B9B" w:rsidRPr="009512AF">
        <w:rPr>
          <w:rFonts w:cs="Arial"/>
          <w:lang w:val="en-GB"/>
        </w:rPr>
        <w:t xml:space="preserve"> in bringing the application</w:t>
      </w:r>
      <w:r w:rsidR="007E4588" w:rsidRPr="009512AF">
        <w:rPr>
          <w:rFonts w:cs="Arial"/>
          <w:lang w:val="en-GB"/>
        </w:rPr>
        <w:t xml:space="preserve"> or that the application for interim relief constitutes an abuse of process</w:t>
      </w:r>
      <w:r w:rsidR="00841B9B" w:rsidRPr="009512AF">
        <w:rPr>
          <w:rFonts w:cs="Arial"/>
          <w:lang w:val="en-GB"/>
        </w:rPr>
        <w:t xml:space="preserve">.  I am not persuaded that there are </w:t>
      </w:r>
      <w:r w:rsidR="00B311AF" w:rsidRPr="009512AF">
        <w:rPr>
          <w:rFonts w:cs="Arial"/>
          <w:color w:val="000000" w:themeColor="text1"/>
          <w:lang w:val="en-GB"/>
        </w:rPr>
        <w:t xml:space="preserve">exceptional circumstances </w:t>
      </w:r>
      <w:r w:rsidR="00AA53AB" w:rsidRPr="009512AF">
        <w:rPr>
          <w:rFonts w:cs="Arial"/>
          <w:color w:val="000000" w:themeColor="text1"/>
          <w:lang w:val="en-GB"/>
        </w:rPr>
        <w:t xml:space="preserve">in this matter </w:t>
      </w:r>
      <w:r w:rsidR="00B311AF" w:rsidRPr="009512AF">
        <w:rPr>
          <w:rFonts w:cs="Arial"/>
          <w:color w:val="000000" w:themeColor="text1"/>
          <w:lang w:val="en-GB"/>
        </w:rPr>
        <w:t xml:space="preserve">that warrant determining costs at </w:t>
      </w:r>
      <w:r w:rsidR="00AA53AB" w:rsidRPr="009512AF">
        <w:rPr>
          <w:rFonts w:cs="Arial"/>
          <w:color w:val="000000" w:themeColor="text1"/>
          <w:lang w:val="en-GB"/>
        </w:rPr>
        <w:t>the</w:t>
      </w:r>
      <w:r w:rsidR="00B311AF" w:rsidRPr="009512AF">
        <w:rPr>
          <w:rFonts w:cs="Arial"/>
          <w:color w:val="000000" w:themeColor="text1"/>
          <w:lang w:val="en-GB"/>
        </w:rPr>
        <w:t xml:space="preserve"> interlocutory stage.</w:t>
      </w:r>
    </w:p>
    <w:p w:rsidR="006572B3" w:rsidRPr="009512AF" w:rsidRDefault="006572B3" w:rsidP="00AA53AB">
      <w:pPr>
        <w:snapToGrid w:val="0"/>
        <w:spacing w:before="120" w:after="360" w:line="480" w:lineRule="auto"/>
        <w:jc w:val="both"/>
        <w:rPr>
          <w:rFonts w:cs="Arial"/>
          <w:b/>
          <w:bCs/>
          <w:lang w:val="en-GB"/>
        </w:rPr>
      </w:pPr>
      <w:r w:rsidRPr="009512AF">
        <w:rPr>
          <w:rFonts w:cs="Arial"/>
          <w:b/>
          <w:bCs/>
          <w:lang w:val="en-GB"/>
        </w:rPr>
        <w:t>In the result I make the following order:</w:t>
      </w:r>
    </w:p>
    <w:p w:rsidR="006572B3" w:rsidRPr="007F1CDF" w:rsidRDefault="007F1CDF" w:rsidP="007F1CDF">
      <w:pPr>
        <w:snapToGrid w:val="0"/>
        <w:spacing w:before="120" w:after="360" w:line="480" w:lineRule="auto"/>
        <w:ind w:left="360" w:hanging="360"/>
        <w:jc w:val="both"/>
        <w:rPr>
          <w:rFonts w:cs="Arial"/>
          <w:lang w:val="en-GB"/>
        </w:rPr>
      </w:pPr>
      <w:r w:rsidRPr="009512AF">
        <w:rPr>
          <w:rFonts w:cs="Arial"/>
          <w:lang w:val="en-GB"/>
        </w:rPr>
        <w:lastRenderedPageBreak/>
        <w:t>1.</w:t>
      </w:r>
      <w:r w:rsidRPr="009512AF">
        <w:rPr>
          <w:rFonts w:cs="Arial"/>
          <w:lang w:val="en-GB"/>
        </w:rPr>
        <w:tab/>
      </w:r>
      <w:r w:rsidR="00480610" w:rsidRPr="007F1CDF">
        <w:rPr>
          <w:rFonts w:cs="Arial"/>
          <w:lang w:val="en-GB"/>
        </w:rPr>
        <w:t xml:space="preserve">The application </w:t>
      </w:r>
      <w:r w:rsidR="00B37207" w:rsidRPr="007F1CDF">
        <w:rPr>
          <w:rFonts w:cs="Arial"/>
          <w:lang w:val="en-GB"/>
        </w:rPr>
        <w:t xml:space="preserve">for interim relief </w:t>
      </w:r>
      <w:r w:rsidR="003A51EC" w:rsidRPr="007F1CDF">
        <w:rPr>
          <w:rFonts w:cs="Arial"/>
          <w:lang w:val="en-GB"/>
        </w:rPr>
        <w:t>in Part A of the notice of motion is dismissed.</w:t>
      </w:r>
    </w:p>
    <w:p w:rsidR="008B501B" w:rsidRPr="007F1CDF" w:rsidRDefault="007F1CDF" w:rsidP="007F1CDF">
      <w:pPr>
        <w:snapToGrid w:val="0"/>
        <w:spacing w:before="120" w:after="360" w:line="480" w:lineRule="auto"/>
        <w:ind w:left="360" w:hanging="360"/>
        <w:jc w:val="both"/>
        <w:rPr>
          <w:rFonts w:cs="Arial"/>
          <w:lang w:val="en-GB"/>
        </w:rPr>
      </w:pPr>
      <w:r w:rsidRPr="009512AF">
        <w:rPr>
          <w:rFonts w:cs="Arial"/>
          <w:lang w:val="en-GB"/>
        </w:rPr>
        <w:t>2.</w:t>
      </w:r>
      <w:r w:rsidRPr="009512AF">
        <w:rPr>
          <w:rFonts w:cs="Arial"/>
          <w:lang w:val="en-GB"/>
        </w:rPr>
        <w:tab/>
      </w:r>
      <w:r w:rsidR="008B501B" w:rsidRPr="007F1CDF">
        <w:rPr>
          <w:rFonts w:cs="Arial"/>
          <w:lang w:val="en-GB"/>
        </w:rPr>
        <w:t xml:space="preserve">The </w:t>
      </w:r>
      <w:r w:rsidR="008427FC" w:rsidRPr="007F1CDF">
        <w:rPr>
          <w:rFonts w:cs="Arial"/>
          <w:lang w:val="en-GB"/>
        </w:rPr>
        <w:t xml:space="preserve">costs </w:t>
      </w:r>
      <w:r w:rsidR="0041474A" w:rsidRPr="007F1CDF">
        <w:rPr>
          <w:rFonts w:cs="Arial"/>
          <w:lang w:val="en-GB"/>
        </w:rPr>
        <w:t xml:space="preserve">of </w:t>
      </w:r>
      <w:r w:rsidR="00187AA6" w:rsidRPr="007F1CDF">
        <w:rPr>
          <w:rFonts w:cs="Arial"/>
          <w:lang w:val="en-GB"/>
        </w:rPr>
        <w:t xml:space="preserve">this application shall stand over for determination by the court hearing the </w:t>
      </w:r>
      <w:r w:rsidR="0041474A" w:rsidRPr="007F1CDF">
        <w:rPr>
          <w:rFonts w:cs="Arial"/>
          <w:lang w:val="en-GB"/>
        </w:rPr>
        <w:t>relief</w:t>
      </w:r>
      <w:r w:rsidR="00187AA6" w:rsidRPr="007F1CDF">
        <w:rPr>
          <w:rFonts w:cs="Arial"/>
          <w:lang w:val="en-GB"/>
        </w:rPr>
        <w:t xml:space="preserve"> sought</w:t>
      </w:r>
      <w:r w:rsidR="0041474A" w:rsidRPr="007F1CDF">
        <w:rPr>
          <w:rFonts w:cs="Arial"/>
          <w:lang w:val="en-GB"/>
        </w:rPr>
        <w:t xml:space="preserve"> in</w:t>
      </w:r>
      <w:r w:rsidR="008427FC" w:rsidRPr="007F1CDF">
        <w:rPr>
          <w:rFonts w:cs="Arial"/>
          <w:lang w:val="en-GB"/>
        </w:rPr>
        <w:t xml:space="preserve"> Part B</w:t>
      </w:r>
      <w:r w:rsidR="00187AA6" w:rsidRPr="007F1CDF">
        <w:rPr>
          <w:rFonts w:cs="Arial"/>
          <w:lang w:val="en-GB"/>
        </w:rPr>
        <w:t xml:space="preserve"> of the notice of motion.</w:t>
      </w:r>
    </w:p>
    <w:p w:rsidR="006572B3" w:rsidRPr="009512AF" w:rsidRDefault="006572B3" w:rsidP="006572B3">
      <w:pPr>
        <w:rPr>
          <w:lang w:val="en-GB"/>
        </w:rPr>
      </w:pPr>
    </w:p>
    <w:p w:rsidR="006A2535" w:rsidRPr="009512AF" w:rsidRDefault="006A2535" w:rsidP="006572B3">
      <w:pPr>
        <w:rPr>
          <w:lang w:val="en-GB"/>
        </w:rPr>
      </w:pPr>
    </w:p>
    <w:p w:rsidR="006A2535" w:rsidRPr="009512AF" w:rsidRDefault="006A2535" w:rsidP="006A2535">
      <w:pPr>
        <w:rPr>
          <w:lang w:val="en-GB"/>
        </w:rPr>
      </w:pPr>
    </w:p>
    <w:p w:rsidR="006A2535" w:rsidRPr="009512AF" w:rsidRDefault="006A2535" w:rsidP="006A2535">
      <w:pPr>
        <w:rPr>
          <w:lang w:val="en-GB"/>
        </w:rPr>
      </w:pPr>
    </w:p>
    <w:p w:rsidR="006A2535" w:rsidRPr="009512AF" w:rsidRDefault="000C129E" w:rsidP="000C129E">
      <w:pPr>
        <w:spacing w:line="360" w:lineRule="auto"/>
        <w:ind w:left="5103"/>
        <w:jc w:val="center"/>
        <w:rPr>
          <w:b/>
          <w:u w:val="single"/>
          <w:lang w:val="en-GB"/>
        </w:rPr>
      </w:pPr>
      <w:r w:rsidRPr="009512AF">
        <w:rPr>
          <w:b/>
          <w:u w:val="single"/>
          <w:lang w:val="en-GB"/>
        </w:rPr>
        <w:t>________</w:t>
      </w:r>
      <w:r w:rsidR="006A2535" w:rsidRPr="009512AF">
        <w:rPr>
          <w:b/>
          <w:u w:val="single"/>
          <w:lang w:val="en-GB"/>
        </w:rPr>
        <w:t>___________________</w:t>
      </w:r>
    </w:p>
    <w:p w:rsidR="006A2535" w:rsidRPr="009512AF" w:rsidRDefault="006A2535" w:rsidP="000C129E">
      <w:pPr>
        <w:spacing w:line="360" w:lineRule="auto"/>
        <w:ind w:left="5103"/>
        <w:jc w:val="center"/>
        <w:rPr>
          <w:b/>
          <w:lang w:val="en-GB"/>
        </w:rPr>
      </w:pPr>
      <w:r w:rsidRPr="009512AF">
        <w:rPr>
          <w:b/>
          <w:lang w:val="en-GB"/>
        </w:rPr>
        <w:t>M. ADHIKARI</w:t>
      </w:r>
    </w:p>
    <w:p w:rsidR="006A2535" w:rsidRPr="009512AF" w:rsidRDefault="006A2535" w:rsidP="000C129E">
      <w:pPr>
        <w:spacing w:line="360" w:lineRule="auto"/>
        <w:ind w:left="5103"/>
        <w:jc w:val="center"/>
        <w:rPr>
          <w:b/>
          <w:szCs w:val="20"/>
          <w:lang w:val="en-GB"/>
        </w:rPr>
      </w:pPr>
      <w:r w:rsidRPr="009512AF">
        <w:rPr>
          <w:b/>
          <w:lang w:val="en-GB"/>
        </w:rPr>
        <w:t>Acting Judge of the High Court</w:t>
      </w:r>
    </w:p>
    <w:p w:rsidR="006A2535" w:rsidRPr="009512AF" w:rsidRDefault="006A2535" w:rsidP="006A2535">
      <w:pPr>
        <w:jc w:val="both"/>
        <w:rPr>
          <w:lang w:val="en-GB"/>
        </w:rPr>
      </w:pPr>
    </w:p>
    <w:p w:rsidR="003579B4" w:rsidRPr="009512AF" w:rsidRDefault="003579B4" w:rsidP="006572B3">
      <w:pPr>
        <w:rPr>
          <w:lang w:val="en-GB"/>
        </w:rPr>
      </w:pPr>
    </w:p>
    <w:p w:rsidR="00187CBF" w:rsidRPr="009512AF" w:rsidRDefault="00187CBF">
      <w:pPr>
        <w:rPr>
          <w:lang w:val="en-GB"/>
        </w:rPr>
      </w:pPr>
      <w:r w:rsidRPr="009512AF">
        <w:rPr>
          <w:lang w:val="en-GB"/>
        </w:rPr>
        <w:br w:type="page"/>
      </w:r>
    </w:p>
    <w:p w:rsidR="00187CBF" w:rsidRPr="009512AF" w:rsidRDefault="00187CBF" w:rsidP="00187CBF">
      <w:pPr>
        <w:rPr>
          <w:lang w:val="en-GB"/>
        </w:rPr>
      </w:pPr>
    </w:p>
    <w:p w:rsidR="00187CBF" w:rsidRPr="009512AF" w:rsidRDefault="00187CBF" w:rsidP="00187CBF">
      <w:pPr>
        <w:rPr>
          <w:lang w:val="en-GB"/>
        </w:rPr>
      </w:pPr>
    </w:p>
    <w:p w:rsidR="00187CBF" w:rsidRPr="009512AF" w:rsidRDefault="00187CBF" w:rsidP="00187CBF">
      <w:pPr>
        <w:rPr>
          <w:lang w:val="en-GB"/>
        </w:rPr>
      </w:pPr>
    </w:p>
    <w:p w:rsidR="00187CBF" w:rsidRPr="009512AF" w:rsidRDefault="00187CBF" w:rsidP="00187CBF">
      <w:pPr>
        <w:spacing w:line="360" w:lineRule="auto"/>
        <w:jc w:val="center"/>
        <w:rPr>
          <w:rFonts w:cs="Arial"/>
          <w:b/>
          <w:lang w:val="en-GB"/>
        </w:rPr>
      </w:pPr>
      <w:r w:rsidRPr="009512AF">
        <w:rPr>
          <w:rFonts w:cs="Arial"/>
          <w:b/>
          <w:u w:val="single"/>
          <w:lang w:val="en-GB"/>
        </w:rPr>
        <w:t>APPEARANCES</w:t>
      </w:r>
      <w:r w:rsidRPr="009512AF">
        <w:rPr>
          <w:rFonts w:cs="Arial"/>
          <w:b/>
          <w:lang w:val="en-GB"/>
        </w:rPr>
        <w:t>:</w:t>
      </w:r>
    </w:p>
    <w:p w:rsidR="00187CBF" w:rsidRPr="009512AF" w:rsidRDefault="00187CBF" w:rsidP="00187CBF">
      <w:pPr>
        <w:spacing w:line="360" w:lineRule="auto"/>
        <w:rPr>
          <w:rFonts w:cs="Arial"/>
          <w:lang w:val="en-GB"/>
        </w:rPr>
      </w:pPr>
    </w:p>
    <w:p w:rsidR="00174ACE" w:rsidRPr="009512AF" w:rsidRDefault="00174ACE" w:rsidP="00187CBF">
      <w:pPr>
        <w:spacing w:line="360" w:lineRule="auto"/>
        <w:rPr>
          <w:rFonts w:cs="Arial"/>
          <w:lang w:val="en-GB"/>
        </w:rPr>
      </w:pPr>
    </w:p>
    <w:p w:rsidR="00187CBF" w:rsidRPr="009512AF" w:rsidRDefault="00187CBF" w:rsidP="00187CBF">
      <w:pPr>
        <w:tabs>
          <w:tab w:val="left" w:pos="4536"/>
        </w:tabs>
        <w:rPr>
          <w:rFonts w:cs="Arial"/>
          <w:b/>
          <w:lang w:val="en-GB"/>
        </w:rPr>
      </w:pPr>
      <w:r w:rsidRPr="009512AF">
        <w:rPr>
          <w:rFonts w:cs="Arial"/>
          <w:b/>
          <w:lang w:val="en-GB"/>
        </w:rPr>
        <w:t>Applicant’s Counsel:</w:t>
      </w:r>
      <w:r w:rsidRPr="009512AF">
        <w:rPr>
          <w:rFonts w:cs="Arial"/>
          <w:b/>
          <w:lang w:val="en-GB"/>
        </w:rPr>
        <w:tab/>
      </w:r>
      <w:r w:rsidR="00EC7A40" w:rsidRPr="009512AF">
        <w:rPr>
          <w:rFonts w:cs="Arial"/>
          <w:b/>
          <w:lang w:val="en-GB"/>
        </w:rPr>
        <w:tab/>
      </w:r>
      <w:r w:rsidR="00EC7A40" w:rsidRPr="009512AF">
        <w:rPr>
          <w:rFonts w:cs="Arial"/>
          <w:b/>
          <w:lang w:val="en-GB"/>
        </w:rPr>
        <w:tab/>
      </w:r>
      <w:r w:rsidR="00AA53AB" w:rsidRPr="009512AF">
        <w:rPr>
          <w:rFonts w:cs="Arial"/>
          <w:b/>
          <w:lang w:val="en-GB"/>
        </w:rPr>
        <w:t>Mr </w:t>
      </w:r>
      <w:r w:rsidR="001B5FC3" w:rsidRPr="009512AF">
        <w:rPr>
          <w:rFonts w:cs="Arial"/>
          <w:b/>
          <w:lang w:val="en-GB"/>
        </w:rPr>
        <w:t>D Filand</w:t>
      </w:r>
    </w:p>
    <w:p w:rsidR="00187CBF" w:rsidRPr="009512AF" w:rsidRDefault="00187CBF" w:rsidP="00187CBF">
      <w:pPr>
        <w:tabs>
          <w:tab w:val="left" w:pos="5490"/>
        </w:tabs>
        <w:rPr>
          <w:rFonts w:cs="Arial"/>
          <w:b/>
          <w:lang w:val="en-GB"/>
        </w:rPr>
      </w:pPr>
    </w:p>
    <w:p w:rsidR="00187CBF" w:rsidRPr="009512AF" w:rsidRDefault="00187CBF" w:rsidP="00187CBF">
      <w:pPr>
        <w:tabs>
          <w:tab w:val="left" w:pos="4536"/>
        </w:tabs>
        <w:ind w:left="5387" w:hanging="5387"/>
        <w:rPr>
          <w:rFonts w:cs="Arial"/>
          <w:bCs/>
          <w:lang w:val="en-GB"/>
        </w:rPr>
      </w:pPr>
      <w:r w:rsidRPr="009512AF">
        <w:rPr>
          <w:rFonts w:cs="Arial"/>
          <w:b/>
          <w:lang w:val="en-GB"/>
        </w:rPr>
        <w:t>Instructed by:</w:t>
      </w:r>
      <w:r w:rsidRPr="009512AF">
        <w:rPr>
          <w:rFonts w:cs="Arial"/>
          <w:b/>
          <w:lang w:val="en-GB"/>
        </w:rPr>
        <w:tab/>
      </w:r>
      <w:r w:rsidR="00EC7A40" w:rsidRPr="009512AF">
        <w:rPr>
          <w:rFonts w:cs="Arial"/>
          <w:b/>
          <w:lang w:val="en-GB"/>
        </w:rPr>
        <w:tab/>
      </w:r>
      <w:r w:rsidR="00EC7A40" w:rsidRPr="009512AF">
        <w:rPr>
          <w:rFonts w:cs="Arial"/>
          <w:b/>
          <w:lang w:val="en-GB"/>
        </w:rPr>
        <w:tab/>
      </w:r>
      <w:r w:rsidR="008B6035" w:rsidRPr="009512AF">
        <w:rPr>
          <w:rFonts w:cs="Arial"/>
          <w:b/>
          <w:lang w:val="en-GB"/>
        </w:rPr>
        <w:t>Duncan Korabie Attorneys</w:t>
      </w:r>
    </w:p>
    <w:p w:rsidR="00187CBF" w:rsidRPr="009512AF" w:rsidRDefault="00187CBF" w:rsidP="00187CBF">
      <w:pPr>
        <w:tabs>
          <w:tab w:val="left" w:pos="5490"/>
        </w:tabs>
        <w:jc w:val="both"/>
        <w:rPr>
          <w:rFonts w:cs="Arial"/>
          <w:b/>
          <w:lang w:val="en-GB"/>
        </w:rPr>
      </w:pPr>
    </w:p>
    <w:p w:rsidR="00187CBF" w:rsidRPr="009512AF" w:rsidRDefault="00187CBF" w:rsidP="00187CBF">
      <w:pPr>
        <w:tabs>
          <w:tab w:val="left" w:pos="5490"/>
        </w:tabs>
        <w:jc w:val="both"/>
        <w:rPr>
          <w:rFonts w:cs="Arial"/>
          <w:b/>
          <w:lang w:val="en-GB"/>
        </w:rPr>
      </w:pPr>
    </w:p>
    <w:p w:rsidR="00174ACE" w:rsidRPr="009512AF" w:rsidRDefault="00174ACE" w:rsidP="00187CBF">
      <w:pPr>
        <w:tabs>
          <w:tab w:val="left" w:pos="5490"/>
        </w:tabs>
        <w:jc w:val="both"/>
        <w:rPr>
          <w:rFonts w:cs="Arial"/>
          <w:b/>
          <w:lang w:val="en-GB"/>
        </w:rPr>
      </w:pPr>
    </w:p>
    <w:p w:rsidR="00187CBF" w:rsidRPr="009512AF" w:rsidRDefault="008B6035" w:rsidP="00187CBF">
      <w:pPr>
        <w:tabs>
          <w:tab w:val="left" w:pos="4536"/>
        </w:tabs>
        <w:jc w:val="both"/>
        <w:rPr>
          <w:rFonts w:cs="Arial"/>
          <w:b/>
          <w:lang w:val="en-GB"/>
        </w:rPr>
      </w:pPr>
      <w:r w:rsidRPr="009512AF">
        <w:rPr>
          <w:rFonts w:cs="Arial"/>
          <w:b/>
          <w:lang w:val="en-GB"/>
        </w:rPr>
        <w:t xml:space="preserve">First </w:t>
      </w:r>
      <w:r w:rsidR="00EC7A40" w:rsidRPr="009512AF">
        <w:rPr>
          <w:rFonts w:cs="Arial"/>
          <w:b/>
          <w:lang w:val="en-GB"/>
        </w:rPr>
        <w:t xml:space="preserve">to Fifth and Tenth </w:t>
      </w:r>
      <w:r w:rsidR="00187CBF" w:rsidRPr="009512AF">
        <w:rPr>
          <w:rFonts w:cs="Arial"/>
          <w:b/>
          <w:lang w:val="en-GB"/>
        </w:rPr>
        <w:t>Respondents’ Counsel:</w:t>
      </w:r>
      <w:r w:rsidR="00187CBF" w:rsidRPr="009512AF">
        <w:rPr>
          <w:rFonts w:cs="Arial"/>
          <w:b/>
          <w:lang w:val="en-GB"/>
        </w:rPr>
        <w:tab/>
      </w:r>
      <w:r w:rsidR="00AA53AB" w:rsidRPr="009512AF">
        <w:rPr>
          <w:rFonts w:cs="Arial"/>
          <w:b/>
          <w:lang w:val="en-GB"/>
        </w:rPr>
        <w:t>Ms </w:t>
      </w:r>
      <w:r w:rsidR="00EC7A40" w:rsidRPr="009512AF">
        <w:rPr>
          <w:rFonts w:cs="Arial"/>
          <w:b/>
          <w:lang w:val="en-GB"/>
        </w:rPr>
        <w:t>J</w:t>
      </w:r>
      <w:r w:rsidR="00187CBF" w:rsidRPr="009512AF">
        <w:rPr>
          <w:rFonts w:cs="Arial"/>
          <w:b/>
          <w:lang w:val="en-GB"/>
        </w:rPr>
        <w:t> </w:t>
      </w:r>
      <w:r w:rsidR="00EC7A40" w:rsidRPr="009512AF">
        <w:rPr>
          <w:rFonts w:cs="Arial"/>
          <w:b/>
          <w:lang w:val="en-GB"/>
        </w:rPr>
        <w:t>Foster</w:t>
      </w:r>
    </w:p>
    <w:p w:rsidR="00187CBF" w:rsidRPr="009512AF" w:rsidRDefault="00187CBF" w:rsidP="00187CBF">
      <w:pPr>
        <w:tabs>
          <w:tab w:val="left" w:pos="5490"/>
        </w:tabs>
        <w:jc w:val="both"/>
        <w:rPr>
          <w:rFonts w:cs="Arial"/>
          <w:b/>
          <w:lang w:val="en-GB"/>
        </w:rPr>
      </w:pPr>
    </w:p>
    <w:p w:rsidR="00187CBF" w:rsidRPr="009512AF" w:rsidRDefault="00187CBF" w:rsidP="00187CBF">
      <w:pPr>
        <w:tabs>
          <w:tab w:val="left" w:pos="4536"/>
        </w:tabs>
        <w:snapToGrid w:val="0"/>
        <w:jc w:val="both"/>
        <w:rPr>
          <w:lang w:val="en-GB"/>
        </w:rPr>
      </w:pPr>
      <w:r w:rsidRPr="009512AF">
        <w:rPr>
          <w:rFonts w:cs="Arial"/>
          <w:b/>
          <w:lang w:val="en-GB"/>
        </w:rPr>
        <w:t>Instructed by:</w:t>
      </w:r>
      <w:r w:rsidRPr="009512AF">
        <w:rPr>
          <w:rFonts w:cs="Arial"/>
          <w:b/>
          <w:lang w:val="en-GB"/>
        </w:rPr>
        <w:tab/>
      </w:r>
      <w:r w:rsidR="00EC7A40" w:rsidRPr="009512AF">
        <w:rPr>
          <w:rFonts w:cs="Arial"/>
          <w:b/>
          <w:lang w:val="en-GB"/>
        </w:rPr>
        <w:tab/>
      </w:r>
      <w:r w:rsidR="00EC7A40" w:rsidRPr="009512AF">
        <w:rPr>
          <w:rFonts w:cs="Arial"/>
          <w:b/>
          <w:lang w:val="en-GB"/>
        </w:rPr>
        <w:tab/>
      </w:r>
      <w:r w:rsidR="009B25B0" w:rsidRPr="009512AF">
        <w:rPr>
          <w:rFonts w:cs="Arial"/>
          <w:b/>
          <w:lang w:val="en-GB"/>
        </w:rPr>
        <w:t>Andrews &amp; C</w:t>
      </w:r>
      <w:r w:rsidR="00174ACE" w:rsidRPr="009512AF">
        <w:rPr>
          <w:rFonts w:cs="Arial"/>
          <w:b/>
          <w:lang w:val="en-GB"/>
        </w:rPr>
        <w:t>o Attorneys</w:t>
      </w:r>
    </w:p>
    <w:p w:rsidR="00187CBF" w:rsidRPr="009512AF" w:rsidRDefault="00187CBF" w:rsidP="006572B3">
      <w:pPr>
        <w:rPr>
          <w:lang w:val="en-GB"/>
        </w:rPr>
      </w:pPr>
    </w:p>
    <w:sectPr w:rsidR="00187CBF" w:rsidRPr="009512AF" w:rsidSect="001F16A0">
      <w:headerReference w:type="even" r:id="rId8"/>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305" w:rsidRDefault="00233305" w:rsidP="00300749">
      <w:r>
        <w:separator/>
      </w:r>
    </w:p>
  </w:endnote>
  <w:endnote w:type="continuationSeparator" w:id="0">
    <w:p w:rsidR="00233305" w:rsidRDefault="00233305" w:rsidP="00300749">
      <w:r>
        <w:continuationSeparator/>
      </w:r>
    </w:p>
  </w:endnote>
  <w:endnote w:type="continuationNotice" w:id="1">
    <w:p w:rsidR="00233305" w:rsidRDefault="002333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305" w:rsidRDefault="00233305" w:rsidP="00300749">
      <w:r>
        <w:separator/>
      </w:r>
    </w:p>
  </w:footnote>
  <w:footnote w:type="continuationSeparator" w:id="0">
    <w:p w:rsidR="00233305" w:rsidRDefault="00233305" w:rsidP="00300749">
      <w:r>
        <w:continuationSeparator/>
      </w:r>
    </w:p>
  </w:footnote>
  <w:footnote w:type="continuationNotice" w:id="1">
    <w:p w:rsidR="00233305" w:rsidRDefault="00233305"/>
  </w:footnote>
  <w:footnote w:id="2">
    <w:p w:rsidR="00300749" w:rsidRPr="005275ED" w:rsidRDefault="00300749" w:rsidP="006F196C">
      <w:pPr>
        <w:pStyle w:val="FootnoteText"/>
        <w:ind w:left="284" w:hanging="284"/>
        <w:jc w:val="both"/>
        <w:rPr>
          <w:rFonts w:cs="Arial"/>
          <w:lang w:val="en-US"/>
        </w:rPr>
      </w:pPr>
      <w:r w:rsidRPr="005275ED">
        <w:rPr>
          <w:rStyle w:val="FootnoteReference"/>
          <w:rFonts w:cs="Arial"/>
        </w:rPr>
        <w:footnoteRef/>
      </w:r>
      <w:r w:rsidRPr="005275ED">
        <w:rPr>
          <w:rFonts w:cs="Arial"/>
        </w:rPr>
        <w:t xml:space="preserve"> </w:t>
      </w:r>
      <w:r w:rsidRPr="005275ED">
        <w:rPr>
          <w:rFonts w:cs="Arial"/>
          <w:lang w:val="en-US"/>
        </w:rPr>
        <w:tab/>
        <w:t xml:space="preserve">The first to fourth respondents are all </w:t>
      </w:r>
      <w:r w:rsidR="00270660" w:rsidRPr="005275ED">
        <w:rPr>
          <w:rFonts w:cs="Arial"/>
          <w:lang w:val="en-US"/>
        </w:rPr>
        <w:t xml:space="preserve">office bearers of ICOSA.  For ease of </w:t>
      </w:r>
      <w:r w:rsidR="002B5563" w:rsidRPr="005275ED">
        <w:rPr>
          <w:rFonts w:cs="Arial"/>
          <w:lang w:val="en-US"/>
        </w:rPr>
        <w:t>reference,</w:t>
      </w:r>
      <w:r w:rsidR="00270660" w:rsidRPr="005275ED">
        <w:rPr>
          <w:rFonts w:cs="Arial"/>
          <w:lang w:val="en-US"/>
        </w:rPr>
        <w:t xml:space="preserve"> I refer to Mr Nel and the first to fifth respondents collectively as </w:t>
      </w:r>
      <w:r w:rsidR="00270660" w:rsidRPr="002B5563">
        <w:rPr>
          <w:rFonts w:cs="Arial"/>
          <w:i/>
          <w:iCs/>
          <w:lang w:val="en-US"/>
        </w:rPr>
        <w:t>‘the respondents’</w:t>
      </w:r>
      <w:r w:rsidR="00270660" w:rsidRPr="005275ED">
        <w:rPr>
          <w:rFonts w:cs="Arial"/>
          <w:lang w:val="en-US"/>
        </w:rPr>
        <w:t>.</w:t>
      </w:r>
    </w:p>
  </w:footnote>
  <w:footnote w:id="3">
    <w:p w:rsidR="0012492E" w:rsidRPr="005275ED" w:rsidRDefault="0012492E" w:rsidP="006F196C">
      <w:pPr>
        <w:pStyle w:val="FootnoteText"/>
        <w:ind w:left="284" w:hanging="284"/>
        <w:jc w:val="both"/>
        <w:rPr>
          <w:rFonts w:cs="Arial"/>
          <w:lang w:val="en-US"/>
        </w:rPr>
      </w:pPr>
      <w:r w:rsidRPr="005275ED">
        <w:rPr>
          <w:rStyle w:val="FootnoteReference"/>
          <w:rFonts w:cs="Arial"/>
        </w:rPr>
        <w:footnoteRef/>
      </w:r>
      <w:r w:rsidRPr="005275ED">
        <w:rPr>
          <w:rFonts w:cs="Arial"/>
        </w:rPr>
        <w:t xml:space="preserve"> </w:t>
      </w:r>
      <w:r w:rsidRPr="005275ED">
        <w:rPr>
          <w:rFonts w:cs="Arial"/>
          <w:lang w:val="en-US"/>
        </w:rPr>
        <w:tab/>
      </w:r>
      <w:r w:rsidR="00DF4EAA" w:rsidRPr="005275ED">
        <w:rPr>
          <w:rFonts w:cs="Arial"/>
          <w:lang w:val="en-US"/>
        </w:rPr>
        <w:t xml:space="preserve">The quoted provisions of the constitution provide that </w:t>
      </w:r>
      <w:r w:rsidR="002C5AF6" w:rsidRPr="005275ED">
        <w:rPr>
          <w:rFonts w:cs="Arial"/>
          <w:lang w:val="en-US"/>
        </w:rPr>
        <w:t>any member of ICOSA, including a public representative, is guilty of misconduct i</w:t>
      </w:r>
      <w:r w:rsidR="00F3155E" w:rsidRPr="005275ED">
        <w:rPr>
          <w:rFonts w:cs="Arial"/>
          <w:lang w:val="en-US"/>
        </w:rPr>
        <w:t xml:space="preserve">f he or she is disloyal to ICOSA; acts in a manner that is unreasonable and detrimental </w:t>
      </w:r>
      <w:r w:rsidR="0011027D" w:rsidRPr="005275ED">
        <w:rPr>
          <w:rFonts w:cs="Arial"/>
          <w:lang w:val="en-US"/>
        </w:rPr>
        <w:t>to internal co-operation within ICOSA; unreasonably fails to comply with or rejects</w:t>
      </w:r>
      <w:r w:rsidR="009E45B8" w:rsidRPr="005275ED">
        <w:rPr>
          <w:rFonts w:cs="Arial"/>
          <w:lang w:val="en-US"/>
        </w:rPr>
        <w:t xml:space="preserve"> decisions of the official structures of ICOSA or of the national executive </w:t>
      </w:r>
      <w:r w:rsidR="00201ACA" w:rsidRPr="005275ED">
        <w:rPr>
          <w:rFonts w:cs="Arial"/>
          <w:lang w:val="en-US"/>
        </w:rPr>
        <w:t>committee</w:t>
      </w:r>
      <w:r w:rsidR="009E45B8" w:rsidRPr="005275ED">
        <w:rPr>
          <w:rFonts w:cs="Arial"/>
          <w:lang w:val="en-US"/>
        </w:rPr>
        <w:t xml:space="preserve"> </w:t>
      </w:r>
      <w:r w:rsidR="00201ACA" w:rsidRPr="005275ED">
        <w:rPr>
          <w:rFonts w:cs="Arial"/>
          <w:lang w:val="en-US"/>
        </w:rPr>
        <w:t xml:space="preserve">(‘the NEC’) </w:t>
      </w:r>
      <w:r w:rsidR="009E45B8" w:rsidRPr="005275ED">
        <w:rPr>
          <w:rFonts w:cs="Arial"/>
          <w:lang w:val="en-US"/>
        </w:rPr>
        <w:t xml:space="preserve">or </w:t>
      </w:r>
      <w:r w:rsidR="00201ACA" w:rsidRPr="005275ED">
        <w:rPr>
          <w:rFonts w:cs="Arial"/>
          <w:lang w:val="en-US"/>
        </w:rPr>
        <w:t>the provincial executive committee (‘the PEC’).</w:t>
      </w:r>
    </w:p>
  </w:footnote>
  <w:footnote w:id="4">
    <w:p w:rsidR="000F0FE4" w:rsidRPr="005275ED" w:rsidRDefault="000F0FE4" w:rsidP="006F196C">
      <w:pPr>
        <w:pStyle w:val="FootnoteText"/>
        <w:ind w:left="284" w:hanging="284"/>
        <w:jc w:val="both"/>
        <w:rPr>
          <w:rFonts w:cs="Arial"/>
          <w:lang w:val="en-US"/>
        </w:rPr>
      </w:pPr>
      <w:r w:rsidRPr="005275ED">
        <w:rPr>
          <w:rStyle w:val="FootnoteReference"/>
          <w:rFonts w:cs="Arial"/>
        </w:rPr>
        <w:footnoteRef/>
      </w:r>
      <w:r w:rsidRPr="005275ED">
        <w:rPr>
          <w:rFonts w:cs="Arial"/>
        </w:rPr>
        <w:t xml:space="preserve"> </w:t>
      </w:r>
      <w:r w:rsidRPr="005275ED">
        <w:rPr>
          <w:rFonts w:cs="Arial"/>
          <w:lang w:val="en-US"/>
        </w:rPr>
        <w:tab/>
      </w:r>
      <w:r w:rsidRPr="005275ED">
        <w:rPr>
          <w:rFonts w:cs="Arial"/>
          <w:i/>
          <w:iCs/>
        </w:rPr>
        <w:t>Setlogelo v Setlogelo</w:t>
      </w:r>
      <w:r w:rsidRPr="005275ED">
        <w:rPr>
          <w:rFonts w:cs="Arial"/>
        </w:rPr>
        <w:t xml:space="preserve"> 1914 AD 221.  See also </w:t>
      </w:r>
      <w:r w:rsidRPr="005275ED">
        <w:rPr>
          <w:rFonts w:cs="Arial"/>
          <w:bCs/>
          <w:i/>
        </w:rPr>
        <w:t>Pilane v Pilane and Another</w:t>
      </w:r>
      <w:r w:rsidRPr="005275ED">
        <w:rPr>
          <w:rFonts w:eastAsia="Calibri" w:cs="Arial"/>
        </w:rPr>
        <w:t xml:space="preserve"> (4) BCLR 431 (CC) para [39]</w:t>
      </w:r>
      <w:r w:rsidRPr="005275ED">
        <w:rPr>
          <w:rFonts w:cs="Arial"/>
        </w:rPr>
        <w:t>.</w:t>
      </w:r>
    </w:p>
  </w:footnote>
  <w:footnote w:id="5">
    <w:p w:rsidR="006C259F" w:rsidRPr="005275ED" w:rsidRDefault="006C259F" w:rsidP="006F196C">
      <w:pPr>
        <w:pStyle w:val="FootnoteText"/>
        <w:ind w:left="284" w:hanging="284"/>
        <w:jc w:val="both"/>
        <w:rPr>
          <w:rFonts w:cs="Arial"/>
        </w:rPr>
      </w:pPr>
      <w:r w:rsidRPr="005275ED">
        <w:rPr>
          <w:rStyle w:val="FootnoteReference"/>
          <w:rFonts w:cs="Arial"/>
        </w:rPr>
        <w:footnoteRef/>
      </w:r>
      <w:r w:rsidRPr="005275ED">
        <w:rPr>
          <w:rFonts w:cs="Arial"/>
        </w:rPr>
        <w:t xml:space="preserve"> </w:t>
      </w:r>
      <w:r w:rsidRPr="005275ED">
        <w:rPr>
          <w:rFonts w:cs="Arial"/>
        </w:rPr>
        <w:tab/>
      </w:r>
      <w:r w:rsidRPr="005275ED">
        <w:rPr>
          <w:rFonts w:cs="Arial"/>
          <w:i/>
          <w:iCs/>
        </w:rPr>
        <w:t>National Council of Societies for the Prevention of Cruelty to Animals v Openshaw</w:t>
      </w:r>
      <w:r w:rsidRPr="005275ED">
        <w:rPr>
          <w:rFonts w:cs="Arial"/>
        </w:rPr>
        <w:t xml:space="preserve"> 2008 (5) SA 339 (SCA) para [20].</w:t>
      </w:r>
    </w:p>
  </w:footnote>
  <w:footnote w:id="6">
    <w:p w:rsidR="00782359" w:rsidRPr="005275ED" w:rsidRDefault="00782359" w:rsidP="006F196C">
      <w:pPr>
        <w:pStyle w:val="FootnoteText"/>
        <w:ind w:left="284" w:hanging="284"/>
        <w:jc w:val="both"/>
        <w:rPr>
          <w:rFonts w:cs="Arial"/>
        </w:rPr>
      </w:pPr>
      <w:r w:rsidRPr="005275ED">
        <w:rPr>
          <w:rStyle w:val="FootnoteReference"/>
          <w:rFonts w:cs="Arial"/>
        </w:rPr>
        <w:footnoteRef/>
      </w:r>
      <w:r w:rsidRPr="005275ED">
        <w:rPr>
          <w:rFonts w:cs="Arial"/>
        </w:rPr>
        <w:t xml:space="preserve"> </w:t>
      </w:r>
      <w:r w:rsidRPr="005275ED">
        <w:rPr>
          <w:rFonts w:cs="Arial"/>
        </w:rPr>
        <w:tab/>
      </w:r>
      <w:r w:rsidRPr="005275ED">
        <w:rPr>
          <w:rFonts w:cs="Arial"/>
          <w:i/>
          <w:iCs/>
        </w:rPr>
        <w:t>Olympic Passenger Services (Pty) Ltd v Ramlaga</w:t>
      </w:r>
      <w:r w:rsidRPr="005275ED">
        <w:rPr>
          <w:rFonts w:cs="Arial"/>
        </w:rPr>
        <w:t xml:space="preserve"> 1957 (2) SA 382 (D) at 383E-F.</w:t>
      </w:r>
    </w:p>
  </w:footnote>
  <w:footnote w:id="7">
    <w:p w:rsidR="000F0FE4" w:rsidRPr="005275ED" w:rsidRDefault="000F0FE4" w:rsidP="006F196C">
      <w:pPr>
        <w:pStyle w:val="FootnoteText"/>
        <w:ind w:left="284" w:hanging="284"/>
        <w:jc w:val="both"/>
        <w:rPr>
          <w:rFonts w:cs="Arial"/>
        </w:rPr>
      </w:pPr>
      <w:r w:rsidRPr="005275ED">
        <w:rPr>
          <w:rStyle w:val="FootnoteReference"/>
          <w:rFonts w:cs="Arial"/>
        </w:rPr>
        <w:footnoteRef/>
      </w:r>
      <w:r w:rsidRPr="005275ED">
        <w:rPr>
          <w:rFonts w:cs="Arial"/>
        </w:rPr>
        <w:t xml:space="preserve"> </w:t>
      </w:r>
      <w:r w:rsidRPr="005275ED">
        <w:rPr>
          <w:rFonts w:cs="Arial"/>
        </w:rPr>
        <w:tab/>
      </w:r>
      <w:r w:rsidRPr="005275ED">
        <w:rPr>
          <w:rFonts w:cs="Arial"/>
          <w:i/>
          <w:iCs/>
        </w:rPr>
        <w:t>Webster v Mitchell</w:t>
      </w:r>
      <w:r w:rsidRPr="005275ED">
        <w:rPr>
          <w:rFonts w:cs="Arial"/>
        </w:rPr>
        <w:t xml:space="preserve"> 1948 (1) SA 1186 (W), as qualified by </w:t>
      </w:r>
      <w:r w:rsidRPr="005275ED">
        <w:rPr>
          <w:rFonts w:cs="Arial"/>
          <w:i/>
          <w:iCs/>
        </w:rPr>
        <w:t>Gool v Minister of Justice</w:t>
      </w:r>
      <w:r w:rsidRPr="005275ED">
        <w:rPr>
          <w:rFonts w:cs="Arial"/>
        </w:rPr>
        <w:t xml:space="preserve"> 1955 (2) SA 682 (C); </w:t>
      </w:r>
      <w:r w:rsidRPr="005275ED">
        <w:rPr>
          <w:rFonts w:cs="Arial"/>
          <w:i/>
          <w:iCs/>
        </w:rPr>
        <w:t xml:space="preserve">Spur Steak Ranches Ltd v Saddles Steak Ranch </w:t>
      </w:r>
      <w:r w:rsidRPr="005275ED">
        <w:rPr>
          <w:rFonts w:cs="Arial"/>
        </w:rPr>
        <w:t>1996 (3) SA 706 (C) at 714.</w:t>
      </w:r>
    </w:p>
  </w:footnote>
  <w:footnote w:id="8">
    <w:p w:rsidR="000F0FE4" w:rsidRPr="005275ED" w:rsidRDefault="000F0FE4" w:rsidP="006F196C">
      <w:pPr>
        <w:pStyle w:val="FootnoteText"/>
        <w:ind w:left="284" w:hanging="284"/>
        <w:jc w:val="both"/>
        <w:rPr>
          <w:rFonts w:cs="Arial"/>
        </w:rPr>
      </w:pPr>
      <w:r w:rsidRPr="005275ED">
        <w:rPr>
          <w:rStyle w:val="FootnoteReference"/>
          <w:rFonts w:cs="Arial"/>
        </w:rPr>
        <w:footnoteRef/>
      </w:r>
      <w:r w:rsidRPr="005275ED">
        <w:rPr>
          <w:rFonts w:cs="Arial"/>
        </w:rPr>
        <w:t xml:space="preserve"> </w:t>
      </w:r>
      <w:r w:rsidRPr="005275ED">
        <w:rPr>
          <w:rFonts w:cs="Arial"/>
        </w:rPr>
        <w:tab/>
        <w:t xml:space="preserve">In </w:t>
      </w:r>
      <w:r w:rsidRPr="005275ED">
        <w:rPr>
          <w:rFonts w:cs="Arial"/>
          <w:i/>
          <w:iCs/>
        </w:rPr>
        <w:t>Webster v Mitchell</w:t>
      </w:r>
      <w:r w:rsidRPr="005275ED">
        <w:rPr>
          <w:rFonts w:cs="Arial"/>
        </w:rPr>
        <w:t xml:space="preserve">, the test was whether the applicant </w:t>
      </w:r>
      <w:r w:rsidRPr="005275ED">
        <w:rPr>
          <w:rFonts w:cs="Arial"/>
          <w:u w:val="single"/>
        </w:rPr>
        <w:t>could</w:t>
      </w:r>
      <w:r w:rsidRPr="005275ED">
        <w:rPr>
          <w:rFonts w:cs="Arial"/>
        </w:rPr>
        <w:t xml:space="preserve"> obtain final relief on those facts.  </w:t>
      </w:r>
      <w:r w:rsidRPr="005275ED">
        <w:rPr>
          <w:rFonts w:cs="Arial"/>
          <w:i/>
          <w:iCs/>
        </w:rPr>
        <w:t>Gool v Minister of Justice</w:t>
      </w:r>
      <w:r w:rsidRPr="005275ED">
        <w:rPr>
          <w:rFonts w:cs="Arial"/>
        </w:rPr>
        <w:t xml:space="preserve">, qualified this, saying the test was “should” however, in cases of urgent applications the lesser test formulated in Webster’s case may be applied:  </w:t>
      </w:r>
      <w:r w:rsidRPr="005275ED">
        <w:rPr>
          <w:rFonts w:cs="Arial"/>
          <w:i/>
          <w:iCs/>
        </w:rPr>
        <w:t>Singh &amp; Co. (Pty) Ltd v Pietermaritzburg Local Road Transportation Board</w:t>
      </w:r>
      <w:r w:rsidRPr="005275ED">
        <w:rPr>
          <w:rFonts w:cs="Arial"/>
        </w:rPr>
        <w:t xml:space="preserve"> 1959 (3) SA 822 (N).</w:t>
      </w:r>
    </w:p>
  </w:footnote>
  <w:footnote w:id="9">
    <w:p w:rsidR="007C7DE6" w:rsidRPr="005275ED" w:rsidRDefault="007C7DE6" w:rsidP="006F196C">
      <w:pPr>
        <w:pStyle w:val="FootnoteText"/>
        <w:ind w:left="284" w:hanging="284"/>
        <w:jc w:val="both"/>
        <w:rPr>
          <w:rFonts w:cs="Arial"/>
          <w:lang w:val="en-CA"/>
        </w:rPr>
      </w:pPr>
      <w:r w:rsidRPr="005275ED">
        <w:rPr>
          <w:rStyle w:val="FootnoteReference"/>
          <w:rFonts w:cs="Arial"/>
        </w:rPr>
        <w:footnoteRef/>
      </w:r>
      <w:r w:rsidRPr="005275ED">
        <w:rPr>
          <w:rFonts w:cs="Arial"/>
        </w:rPr>
        <w:t xml:space="preserve"> </w:t>
      </w:r>
      <w:r w:rsidRPr="005275ED">
        <w:rPr>
          <w:rFonts w:cs="Arial"/>
          <w:lang w:val="en-CA"/>
        </w:rPr>
        <w:tab/>
      </w:r>
      <w:r w:rsidR="00505988" w:rsidRPr="005275ED">
        <w:rPr>
          <w:rFonts w:cs="Arial"/>
          <w:i/>
          <w:iCs/>
        </w:rPr>
        <w:t>National Treasury and others vs Opposition to Urban Tolling Alliance and others</w:t>
      </w:r>
      <w:r w:rsidR="00505988" w:rsidRPr="005275ED">
        <w:rPr>
          <w:rFonts w:cs="Arial"/>
        </w:rPr>
        <w:t xml:space="preserve"> 2012 (6) SA 223 (CC) at para [50].</w:t>
      </w:r>
    </w:p>
  </w:footnote>
  <w:footnote w:id="10">
    <w:p w:rsidR="00C35112" w:rsidRPr="005275ED" w:rsidRDefault="00C35112" w:rsidP="006F196C">
      <w:pPr>
        <w:pStyle w:val="FootnoteText"/>
        <w:ind w:left="284" w:hanging="284"/>
        <w:jc w:val="both"/>
        <w:rPr>
          <w:rFonts w:cs="Arial"/>
          <w:lang w:val="en-CA"/>
        </w:rPr>
      </w:pPr>
      <w:r w:rsidRPr="005275ED">
        <w:rPr>
          <w:rStyle w:val="FootnoteReference"/>
          <w:rFonts w:cs="Arial"/>
        </w:rPr>
        <w:footnoteRef/>
      </w:r>
      <w:r w:rsidRPr="005275ED">
        <w:rPr>
          <w:rFonts w:cs="Arial"/>
        </w:rPr>
        <w:t xml:space="preserve"> </w:t>
      </w:r>
      <w:r w:rsidRPr="005275ED">
        <w:rPr>
          <w:rFonts w:cs="Arial"/>
          <w:lang w:val="en-CA"/>
        </w:rPr>
        <w:tab/>
      </w:r>
      <w:r w:rsidR="000B51B3" w:rsidRPr="005275ED">
        <w:rPr>
          <w:rStyle w:val="markedcontent"/>
          <w:rFonts w:cs="Arial"/>
          <w:i/>
          <w:iCs/>
        </w:rPr>
        <w:t xml:space="preserve">Economic Freedom Fighters v Gordhan and Others; Public Protector and Another v Gordhan and </w:t>
      </w:r>
      <w:r w:rsidR="000B51B3" w:rsidRPr="005275ED">
        <w:rPr>
          <w:rStyle w:val="markedcontent"/>
          <w:rFonts w:cs="Arial"/>
        </w:rPr>
        <w:t xml:space="preserve">2020 (6) SA 325 (CC) </w:t>
      </w:r>
      <w:r w:rsidR="000B51B3" w:rsidRPr="005275ED">
        <w:rPr>
          <w:rFonts w:cs="Arial"/>
          <w:lang w:val="en-CA"/>
        </w:rPr>
        <w:t xml:space="preserve">at </w:t>
      </w:r>
      <w:r w:rsidR="000B51B3" w:rsidRPr="005275ED">
        <w:rPr>
          <w:rStyle w:val="markedcontent"/>
          <w:rFonts w:cs="Arial"/>
        </w:rPr>
        <w:t>para [42].</w:t>
      </w:r>
    </w:p>
  </w:footnote>
  <w:footnote w:id="11">
    <w:p w:rsidR="00DE71FE" w:rsidRPr="00DE71FE" w:rsidRDefault="00DE71FE" w:rsidP="006F196C">
      <w:pPr>
        <w:pStyle w:val="FootnoteText"/>
        <w:ind w:left="284" w:hanging="284"/>
        <w:jc w:val="both"/>
        <w:rPr>
          <w:lang w:val="en-US"/>
        </w:rPr>
      </w:pPr>
      <w:r>
        <w:rPr>
          <w:rStyle w:val="FootnoteReference"/>
        </w:rPr>
        <w:footnoteRef/>
      </w:r>
      <w:r>
        <w:t xml:space="preserve"> </w:t>
      </w:r>
      <w:r>
        <w:rPr>
          <w:lang w:val="en-US"/>
        </w:rPr>
        <w:tab/>
        <w:t>A confirmatory affidavit was filed by Mr Kampher in these proceedings.</w:t>
      </w:r>
    </w:p>
  </w:footnote>
  <w:footnote w:id="12">
    <w:p w:rsidR="00C342B7" w:rsidRPr="005275ED" w:rsidRDefault="00C342B7" w:rsidP="006F196C">
      <w:pPr>
        <w:pStyle w:val="FootnoteText"/>
        <w:ind w:left="284" w:hanging="284"/>
        <w:jc w:val="both"/>
        <w:rPr>
          <w:rFonts w:cs="Arial"/>
        </w:rPr>
      </w:pPr>
      <w:r w:rsidRPr="005275ED">
        <w:rPr>
          <w:rStyle w:val="FootnoteReference"/>
          <w:rFonts w:cs="Arial"/>
        </w:rPr>
        <w:footnoteRef/>
      </w:r>
      <w:r w:rsidRPr="005275ED">
        <w:rPr>
          <w:rFonts w:cs="Arial"/>
        </w:rPr>
        <w:t xml:space="preserve"> </w:t>
      </w:r>
      <w:r w:rsidRPr="005275ED">
        <w:rPr>
          <w:rFonts w:cs="Arial"/>
        </w:rPr>
        <w:tab/>
      </w:r>
      <w:r w:rsidRPr="005275ED">
        <w:rPr>
          <w:rFonts w:cs="Arial"/>
          <w:i/>
        </w:rPr>
        <w:t>Phenithi v Minister of Education and others</w:t>
      </w:r>
      <w:r w:rsidRPr="005275ED">
        <w:rPr>
          <w:rFonts w:cs="Arial"/>
        </w:rPr>
        <w:t xml:space="preserve"> 2008 (1) SA 420 (SCA) at paras [9]-[10].  </w:t>
      </w:r>
    </w:p>
  </w:footnote>
  <w:footnote w:id="13">
    <w:p w:rsidR="002B2C31" w:rsidRPr="005275ED" w:rsidRDefault="002B2C31" w:rsidP="006F196C">
      <w:pPr>
        <w:pStyle w:val="FootnoteText"/>
        <w:ind w:left="284" w:hanging="284"/>
        <w:jc w:val="both"/>
        <w:rPr>
          <w:lang w:val="en-US"/>
        </w:rPr>
      </w:pPr>
      <w:r w:rsidRPr="005275ED">
        <w:rPr>
          <w:rStyle w:val="FootnoteReference"/>
        </w:rPr>
        <w:footnoteRef/>
      </w:r>
      <w:r w:rsidRPr="005275ED">
        <w:t xml:space="preserve"> </w:t>
      </w:r>
      <w:r w:rsidRPr="005275ED">
        <w:tab/>
      </w:r>
      <w:r w:rsidRPr="005275ED">
        <w:rPr>
          <w:rFonts w:cs="Arial"/>
          <w:i/>
        </w:rPr>
        <w:t xml:space="preserve">Minister van Onderwys en Kultuur en Andere v Louw </w:t>
      </w:r>
      <w:r w:rsidRPr="005275ED">
        <w:rPr>
          <w:rFonts w:cs="Arial"/>
        </w:rPr>
        <w:t>1995 (4) SA 383 (A) at 388-389</w:t>
      </w:r>
      <w:r w:rsidR="005343F7" w:rsidRPr="005275ED">
        <w:rPr>
          <w:rFonts w:cs="Arial"/>
        </w:rPr>
        <w:t>.</w:t>
      </w:r>
    </w:p>
  </w:footnote>
  <w:footnote w:id="14">
    <w:p w:rsidR="001F138D" w:rsidRPr="005275ED" w:rsidRDefault="001F138D" w:rsidP="006F196C">
      <w:pPr>
        <w:pStyle w:val="FootnoteText"/>
        <w:ind w:left="284" w:hanging="284"/>
        <w:jc w:val="both"/>
        <w:rPr>
          <w:rFonts w:cs="Arial"/>
        </w:rPr>
      </w:pPr>
      <w:r w:rsidRPr="005275ED">
        <w:rPr>
          <w:rStyle w:val="FootnoteReference"/>
          <w:rFonts w:cs="Arial"/>
        </w:rPr>
        <w:footnoteRef/>
      </w:r>
      <w:r w:rsidRPr="005275ED">
        <w:rPr>
          <w:rFonts w:cs="Arial"/>
        </w:rPr>
        <w:t xml:space="preserve"> </w:t>
      </w:r>
      <w:r w:rsidRPr="005275ED">
        <w:rPr>
          <w:rFonts w:cs="Arial"/>
        </w:rPr>
        <w:tab/>
      </w:r>
      <w:r w:rsidRPr="005275ED">
        <w:rPr>
          <w:rFonts w:cs="Arial"/>
          <w:i/>
          <w:iCs/>
        </w:rPr>
        <w:t>Henderson v The Democratic Alliance</w:t>
      </w:r>
      <w:r w:rsidRPr="005275ED">
        <w:rPr>
          <w:rFonts w:cs="Arial"/>
        </w:rPr>
        <w:t xml:space="preserve"> unreported case no. 2540/2007, 4 December 2007 at</w:t>
      </w:r>
      <w:r w:rsidR="006F196C">
        <w:rPr>
          <w:rFonts w:cs="Arial"/>
        </w:rPr>
        <w:t> </w:t>
      </w:r>
      <w:r w:rsidRPr="005275ED">
        <w:rPr>
          <w:rFonts w:cs="Arial"/>
        </w:rPr>
        <w:t>para [9].</w:t>
      </w:r>
    </w:p>
  </w:footnote>
  <w:footnote w:id="15">
    <w:p w:rsidR="001F138D" w:rsidRPr="005275ED" w:rsidRDefault="001F138D" w:rsidP="006F196C">
      <w:pPr>
        <w:pStyle w:val="FootnoteText"/>
        <w:ind w:left="284" w:hanging="284"/>
        <w:jc w:val="both"/>
        <w:rPr>
          <w:lang w:val="en-US"/>
        </w:rPr>
      </w:pPr>
      <w:r w:rsidRPr="005275ED">
        <w:rPr>
          <w:rStyle w:val="FootnoteReference"/>
        </w:rPr>
        <w:footnoteRef/>
      </w:r>
      <w:r w:rsidRPr="005275ED">
        <w:t xml:space="preserve"> </w:t>
      </w:r>
      <w:r w:rsidRPr="005275ED">
        <w:rPr>
          <w:lang w:val="en-US"/>
        </w:rPr>
        <w:tab/>
      </w:r>
      <w:r w:rsidRPr="005275ED">
        <w:rPr>
          <w:i/>
          <w:iCs/>
          <w:lang w:val="en-US"/>
        </w:rPr>
        <w:t>Noland v Independent Democrats</w:t>
      </w:r>
      <w:r w:rsidRPr="005275ED">
        <w:rPr>
          <w:lang w:val="en-US"/>
        </w:rPr>
        <w:t>, unreported judgment case number 13275/07, 1 April 2008, per Louw and Erasmus JJ at para [26].</w:t>
      </w:r>
    </w:p>
  </w:footnote>
  <w:footnote w:id="16">
    <w:p w:rsidR="001F138D" w:rsidRPr="005275ED" w:rsidRDefault="001F138D" w:rsidP="006F196C">
      <w:pPr>
        <w:pStyle w:val="FootnoteText"/>
        <w:ind w:left="284" w:hanging="284"/>
        <w:jc w:val="both"/>
        <w:rPr>
          <w:rFonts w:cs="Arial"/>
        </w:rPr>
      </w:pPr>
      <w:r w:rsidRPr="005275ED">
        <w:rPr>
          <w:rStyle w:val="FootnoteReference"/>
          <w:rFonts w:cs="Arial"/>
        </w:rPr>
        <w:footnoteRef/>
      </w:r>
      <w:r w:rsidRPr="005275ED">
        <w:rPr>
          <w:rFonts w:cs="Arial"/>
        </w:rPr>
        <w:t xml:space="preserve"> </w:t>
      </w:r>
      <w:r w:rsidRPr="005275ED">
        <w:rPr>
          <w:rFonts w:cs="Arial"/>
        </w:rPr>
        <w:tab/>
      </w:r>
      <w:r w:rsidRPr="005275ED">
        <w:rPr>
          <w:rFonts w:cs="Arial"/>
          <w:i/>
        </w:rPr>
        <w:t>Brummer v Democratic Alliance &amp; Others</w:t>
      </w:r>
      <w:r w:rsidRPr="005275ED">
        <w:rPr>
          <w:rFonts w:cs="Arial"/>
        </w:rPr>
        <w:t xml:space="preserve">, </w:t>
      </w:r>
      <w:r w:rsidRPr="005275ED">
        <w:rPr>
          <w:lang w:val="en-US"/>
        </w:rPr>
        <w:t>unreported judgment case number 17305/2012</w:t>
      </w:r>
      <w:r w:rsidR="00D32F6B" w:rsidRPr="005275ED">
        <w:rPr>
          <w:lang w:val="en-US"/>
        </w:rPr>
        <w:t xml:space="preserve"> </w:t>
      </w:r>
      <w:r w:rsidR="00D32F6B" w:rsidRPr="005275ED">
        <w:rPr>
          <w:rFonts w:cs="Arial"/>
        </w:rPr>
        <w:t>(12 September 2012).</w:t>
      </w:r>
    </w:p>
  </w:footnote>
  <w:footnote w:id="17">
    <w:p w:rsidR="00372982" w:rsidRPr="005275ED" w:rsidRDefault="00372982" w:rsidP="006F196C">
      <w:pPr>
        <w:pStyle w:val="FootnoteText"/>
        <w:ind w:left="284" w:hanging="284"/>
        <w:jc w:val="both"/>
        <w:rPr>
          <w:rFonts w:cs="Arial"/>
        </w:rPr>
      </w:pPr>
      <w:r w:rsidRPr="005275ED">
        <w:rPr>
          <w:rStyle w:val="FootnoteReference"/>
        </w:rPr>
        <w:footnoteRef/>
      </w:r>
      <w:r w:rsidRPr="005275ED">
        <w:t xml:space="preserve"> </w:t>
      </w:r>
      <w:r w:rsidRPr="005275ED">
        <w:rPr>
          <w:lang w:val="en-US"/>
        </w:rPr>
        <w:tab/>
      </w:r>
      <w:r w:rsidRPr="005275ED">
        <w:rPr>
          <w:rFonts w:cs="Arial"/>
          <w:i/>
          <w:iCs/>
        </w:rPr>
        <w:t xml:space="preserve">Andrews v The Democratic Alliance, </w:t>
      </w:r>
      <w:r w:rsidRPr="005275ED">
        <w:rPr>
          <w:rFonts w:cs="Arial"/>
        </w:rPr>
        <w:t>unreported case No. 17633/2012, 13 November 2012 at para [33].</w:t>
      </w:r>
    </w:p>
  </w:footnote>
  <w:footnote w:id="18">
    <w:p w:rsidR="006A0704" w:rsidRPr="005275ED" w:rsidRDefault="006A0704" w:rsidP="006F196C">
      <w:pPr>
        <w:pStyle w:val="FootnoteText"/>
        <w:ind w:left="284" w:hanging="284"/>
        <w:jc w:val="both"/>
        <w:rPr>
          <w:lang w:val="en-US"/>
        </w:rPr>
      </w:pPr>
      <w:r w:rsidRPr="005275ED">
        <w:rPr>
          <w:rStyle w:val="FootnoteReference"/>
        </w:rPr>
        <w:footnoteRef/>
      </w:r>
      <w:r w:rsidRPr="005275ED">
        <w:t xml:space="preserve"> </w:t>
      </w:r>
      <w:r w:rsidRPr="005275ED">
        <w:rPr>
          <w:lang w:val="en-US"/>
        </w:rPr>
        <w:tab/>
      </w:r>
      <w:r w:rsidRPr="005275ED">
        <w:rPr>
          <w:i/>
        </w:rPr>
        <w:t xml:space="preserve">Bothma-Batho Transport v S Bothma &amp; Seun Transport </w:t>
      </w:r>
      <w:r w:rsidRPr="005275ED">
        <w:t>2014 (2) SA 494 SCA at para [12].</w:t>
      </w:r>
    </w:p>
  </w:footnote>
  <w:footnote w:id="19">
    <w:p w:rsidR="00EA1D72" w:rsidRPr="00EA1D72" w:rsidRDefault="00EA1D72" w:rsidP="006F196C">
      <w:pPr>
        <w:pStyle w:val="FootnoteText"/>
        <w:ind w:left="284" w:hanging="284"/>
        <w:jc w:val="both"/>
        <w:rPr>
          <w:lang w:val="en-US"/>
        </w:rPr>
      </w:pPr>
      <w:r>
        <w:rPr>
          <w:rStyle w:val="FootnoteReference"/>
        </w:rPr>
        <w:footnoteRef/>
      </w:r>
      <w:r>
        <w:t xml:space="preserve"> </w:t>
      </w:r>
      <w:r>
        <w:rPr>
          <w:lang w:val="en-US"/>
        </w:rPr>
        <w:tab/>
      </w:r>
      <w:r>
        <w:rPr>
          <w:rFonts w:cs="Arial"/>
          <w:i/>
        </w:rPr>
        <w:t xml:space="preserve">Natal Joint Municipal Pension Fund v Endumeni Municipality </w:t>
      </w:r>
      <w:r>
        <w:rPr>
          <w:rFonts w:cs="Arial"/>
        </w:rPr>
        <w:t>2012 (4) SA 593 (SCA) at para [18]</w:t>
      </w:r>
    </w:p>
  </w:footnote>
  <w:footnote w:id="20">
    <w:p w:rsidR="007A03F9" w:rsidRPr="005275ED" w:rsidRDefault="007A03F9" w:rsidP="006F196C">
      <w:pPr>
        <w:pStyle w:val="FootnoteText"/>
        <w:ind w:left="284" w:hanging="284"/>
        <w:jc w:val="both"/>
        <w:rPr>
          <w:rFonts w:cs="Arial"/>
        </w:rPr>
      </w:pPr>
      <w:r w:rsidRPr="005275ED">
        <w:rPr>
          <w:rStyle w:val="FootnoteReference"/>
          <w:rFonts w:cs="Arial"/>
        </w:rPr>
        <w:footnoteRef/>
      </w:r>
      <w:r w:rsidRPr="005275ED">
        <w:rPr>
          <w:rFonts w:cs="Arial"/>
        </w:rPr>
        <w:t xml:space="preserve"> </w:t>
      </w:r>
      <w:r w:rsidRPr="005275ED">
        <w:rPr>
          <w:rFonts w:cs="Arial"/>
        </w:rPr>
        <w:tab/>
      </w:r>
      <w:r w:rsidRPr="005275ED">
        <w:rPr>
          <w:rFonts w:cs="Arial"/>
          <w:i/>
          <w:iCs/>
          <w:color w:val="000000" w:themeColor="text1"/>
        </w:rPr>
        <w:t>NCSPCA v Openshaw</w:t>
      </w:r>
      <w:r w:rsidRPr="005275ED">
        <w:rPr>
          <w:rFonts w:cs="Arial"/>
        </w:rPr>
        <w:t xml:space="preserve"> para [20].</w:t>
      </w:r>
    </w:p>
  </w:footnote>
  <w:footnote w:id="21">
    <w:p w:rsidR="007A03F9" w:rsidRPr="005275ED" w:rsidRDefault="007A03F9" w:rsidP="006F196C">
      <w:pPr>
        <w:ind w:left="284" w:hanging="284"/>
        <w:jc w:val="both"/>
        <w:rPr>
          <w:rFonts w:cs="Arial"/>
          <w:sz w:val="20"/>
          <w:szCs w:val="20"/>
        </w:rPr>
      </w:pPr>
      <w:r w:rsidRPr="005275ED">
        <w:rPr>
          <w:rStyle w:val="FootnoteReference"/>
          <w:rFonts w:cs="Arial"/>
          <w:sz w:val="20"/>
          <w:szCs w:val="20"/>
        </w:rPr>
        <w:footnoteRef/>
      </w:r>
      <w:r w:rsidRPr="005275ED">
        <w:rPr>
          <w:rFonts w:cs="Arial"/>
          <w:sz w:val="20"/>
          <w:szCs w:val="20"/>
        </w:rPr>
        <w:t xml:space="preserve"> </w:t>
      </w:r>
      <w:r w:rsidRPr="005275ED">
        <w:rPr>
          <w:rFonts w:cs="Arial"/>
          <w:sz w:val="20"/>
          <w:szCs w:val="20"/>
          <w:lang w:val="en-US"/>
        </w:rPr>
        <w:tab/>
      </w:r>
      <w:r w:rsidRPr="005275ED">
        <w:rPr>
          <w:rFonts w:cs="Arial"/>
          <w:i/>
          <w:iCs/>
          <w:sz w:val="20"/>
          <w:szCs w:val="20"/>
        </w:rPr>
        <w:t>Phillip Morris Inc v Marlboro Trust Co SA</w:t>
      </w:r>
      <w:r w:rsidRPr="005275ED">
        <w:rPr>
          <w:rFonts w:cs="Arial"/>
          <w:sz w:val="20"/>
          <w:szCs w:val="20"/>
        </w:rPr>
        <w:t xml:space="preserve"> 1991 (2) SA 720 (A) at 735B.</w:t>
      </w:r>
    </w:p>
  </w:footnote>
  <w:footnote w:id="22">
    <w:p w:rsidR="007A03F9" w:rsidRPr="005275ED" w:rsidRDefault="007A03F9" w:rsidP="006F196C">
      <w:pPr>
        <w:pStyle w:val="FootnoteText"/>
        <w:ind w:left="284" w:hanging="284"/>
        <w:jc w:val="both"/>
        <w:rPr>
          <w:rFonts w:cs="Arial"/>
          <w:lang w:val="en-US"/>
        </w:rPr>
      </w:pPr>
      <w:r w:rsidRPr="005275ED">
        <w:rPr>
          <w:rStyle w:val="FootnoteReference"/>
          <w:rFonts w:cs="Arial"/>
        </w:rPr>
        <w:footnoteRef/>
      </w:r>
      <w:r w:rsidRPr="005275ED">
        <w:rPr>
          <w:rFonts w:cs="Arial"/>
        </w:rPr>
        <w:t xml:space="preserve"> </w:t>
      </w:r>
      <w:r w:rsidRPr="005275ED">
        <w:rPr>
          <w:rFonts w:cs="Arial"/>
          <w:lang w:val="en-US"/>
        </w:rPr>
        <w:tab/>
      </w:r>
      <w:r w:rsidR="00046A44">
        <w:rPr>
          <w:rFonts w:cs="Arial"/>
          <w:i/>
          <w:iCs/>
        </w:rPr>
        <w:t>OUTA</w:t>
      </w:r>
      <w:r w:rsidRPr="005275ED">
        <w:rPr>
          <w:rFonts w:cs="Arial"/>
        </w:rPr>
        <w:t> at para [50].</w:t>
      </w:r>
    </w:p>
  </w:footnote>
  <w:footnote w:id="23">
    <w:p w:rsidR="00031694" w:rsidRPr="005275ED" w:rsidRDefault="00031694" w:rsidP="006F196C">
      <w:pPr>
        <w:pStyle w:val="FootnoteText"/>
        <w:ind w:left="284" w:hanging="284"/>
        <w:jc w:val="both"/>
        <w:rPr>
          <w:lang w:val="en-US"/>
        </w:rPr>
      </w:pPr>
      <w:r w:rsidRPr="005275ED">
        <w:rPr>
          <w:rStyle w:val="FootnoteReference"/>
        </w:rPr>
        <w:footnoteRef/>
      </w:r>
      <w:r w:rsidRPr="005275ED">
        <w:t xml:space="preserve"> </w:t>
      </w:r>
      <w:r w:rsidRPr="005275ED">
        <w:rPr>
          <w:lang w:val="en-US"/>
        </w:rPr>
        <w:tab/>
      </w:r>
      <w:r w:rsidR="002954BA" w:rsidRPr="005275ED">
        <w:rPr>
          <w:rFonts w:cs="Arial"/>
          <w:i/>
          <w:iCs/>
        </w:rPr>
        <w:t>Harding v The Independent Democrats</w:t>
      </w:r>
      <w:r w:rsidR="002954BA" w:rsidRPr="005275ED">
        <w:rPr>
          <w:rFonts w:cs="Arial"/>
          <w:i/>
        </w:rPr>
        <w:t xml:space="preserve"> </w:t>
      </w:r>
      <w:r w:rsidRPr="005275ED">
        <w:t>[2008] 2 All SA 199 (C)</w:t>
      </w:r>
      <w:r w:rsidR="00733C16" w:rsidRPr="005275ED">
        <w:t xml:space="preserve"> at 206.</w:t>
      </w:r>
    </w:p>
  </w:footnote>
  <w:footnote w:id="24">
    <w:p w:rsidR="00B311AF" w:rsidRPr="005275ED" w:rsidRDefault="00B311AF" w:rsidP="006F196C">
      <w:pPr>
        <w:pStyle w:val="FootnoteText"/>
        <w:ind w:left="284" w:hanging="284"/>
        <w:jc w:val="both"/>
        <w:rPr>
          <w:rFonts w:cs="Arial"/>
        </w:rPr>
      </w:pPr>
      <w:r w:rsidRPr="005275ED">
        <w:rPr>
          <w:rStyle w:val="FootnoteReference"/>
          <w:rFonts w:cs="Arial"/>
        </w:rPr>
        <w:footnoteRef/>
      </w:r>
      <w:r w:rsidRPr="005275ED">
        <w:rPr>
          <w:rFonts w:cs="Arial"/>
        </w:rPr>
        <w:t xml:space="preserve"> </w:t>
      </w:r>
      <w:r w:rsidRPr="005275ED">
        <w:rPr>
          <w:rFonts w:cs="Arial"/>
        </w:rPr>
        <w:tab/>
      </w:r>
      <w:r w:rsidRPr="005275ED">
        <w:rPr>
          <w:rFonts w:cs="Arial"/>
          <w:i/>
          <w:iCs/>
        </w:rPr>
        <w:t xml:space="preserve">EMS Belting Co of SA (Pty) Ltd and Others v Lloyd and Another </w:t>
      </w:r>
      <w:r w:rsidRPr="005275ED">
        <w:rPr>
          <w:rFonts w:cs="Arial"/>
        </w:rPr>
        <w:t xml:space="preserve">1983 (1) SA 641 (E) at 644H confirmed in </w:t>
      </w:r>
      <w:r w:rsidRPr="005275ED">
        <w:rPr>
          <w:rFonts w:cs="Arial"/>
          <w:i/>
          <w:iCs/>
        </w:rPr>
        <w:t xml:space="preserve">Airodexpress (Pty) Ltd v Chairman, Local Road Transportation Board, Durban and Others </w:t>
      </w:r>
      <w:r w:rsidRPr="005275ED">
        <w:rPr>
          <w:rFonts w:cs="Arial"/>
        </w:rPr>
        <w:t xml:space="preserve">1986 (2) SA 663 (A) at 683A and </w:t>
      </w:r>
      <w:r w:rsidRPr="005275ED">
        <w:rPr>
          <w:rFonts w:cs="Arial"/>
          <w:i/>
          <w:iCs/>
        </w:rPr>
        <w:t xml:space="preserve">Maccsand CC v Macassar Land Claims Committee an Others </w:t>
      </w:r>
      <w:r w:rsidRPr="005275ED">
        <w:rPr>
          <w:rFonts w:cs="Arial"/>
        </w:rPr>
        <w:t xml:space="preserve">[2005] 2 All SA 469 (SCA) at para [13].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72405360"/>
      <w:docPartObj>
        <w:docPartGallery w:val="Page Numbers (Top of Page)"/>
        <w:docPartUnique/>
      </w:docPartObj>
    </w:sdtPr>
    <w:sdtEndPr>
      <w:rPr>
        <w:rStyle w:val="PageNumber"/>
      </w:rPr>
    </w:sdtEndPr>
    <w:sdtContent>
      <w:p w:rsidR="001F16A0" w:rsidRDefault="001F16A0" w:rsidP="000517A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F16A0" w:rsidRDefault="001F16A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31418948"/>
      <w:docPartObj>
        <w:docPartGallery w:val="Page Numbers (Top of Page)"/>
        <w:docPartUnique/>
      </w:docPartObj>
    </w:sdtPr>
    <w:sdtEndPr>
      <w:rPr>
        <w:rStyle w:val="PageNumber"/>
      </w:rPr>
    </w:sdtEndPr>
    <w:sdtContent>
      <w:p w:rsidR="001F16A0" w:rsidRDefault="001F16A0" w:rsidP="000517A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F1CDF">
          <w:rPr>
            <w:rStyle w:val="PageNumber"/>
            <w:noProof/>
          </w:rPr>
          <w:t>20</w:t>
        </w:r>
        <w:r>
          <w:rPr>
            <w:rStyle w:val="PageNumber"/>
          </w:rPr>
          <w:fldChar w:fldCharType="end"/>
        </w:r>
      </w:p>
    </w:sdtContent>
  </w:sdt>
  <w:p w:rsidR="001F16A0" w:rsidRDefault="001F16A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53289"/>
    <w:multiLevelType w:val="multilevel"/>
    <w:tmpl w:val="AA3E960A"/>
    <w:lvl w:ilvl="0">
      <w:start w:val="1"/>
      <w:numFmt w:val="decimal"/>
      <w:lvlText w:val="[%1]"/>
      <w:lvlJc w:val="left"/>
      <w:pPr>
        <w:ind w:left="360" w:hanging="360"/>
      </w:pPr>
      <w:rPr>
        <w:rFonts w:ascii="Arial" w:hAnsi="Arial" w:cs="Arial"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20E3BE4"/>
    <w:multiLevelType w:val="hybridMultilevel"/>
    <w:tmpl w:val="D04ED43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 w15:restartNumberingAfterBreak="0">
    <w:nsid w:val="41B175CD"/>
    <w:multiLevelType w:val="multilevel"/>
    <w:tmpl w:val="BE9601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57D5ECD"/>
    <w:multiLevelType w:val="multilevel"/>
    <w:tmpl w:val="AA3E960A"/>
    <w:lvl w:ilvl="0">
      <w:start w:val="1"/>
      <w:numFmt w:val="decimal"/>
      <w:lvlText w:val="[%1]"/>
      <w:lvlJc w:val="left"/>
      <w:pPr>
        <w:ind w:left="360" w:hanging="360"/>
      </w:pPr>
      <w:rPr>
        <w:rFonts w:ascii="Arial" w:hAnsi="Arial" w:cs="Arial"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71C0E09"/>
    <w:multiLevelType w:val="hybridMultilevel"/>
    <w:tmpl w:val="8CD08410"/>
    <w:lvl w:ilvl="0" w:tplc="73E0E8E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E45FF1"/>
    <w:multiLevelType w:val="multilevel"/>
    <w:tmpl w:val="56E279AA"/>
    <w:lvl w:ilvl="0">
      <w:start w:val="1"/>
      <w:numFmt w:val="decimal"/>
      <w:pStyle w:val="XClause1Head"/>
      <w:isLgl/>
      <w:lvlText w:val="%1."/>
      <w:lvlJc w:val="left"/>
      <w:pPr>
        <w:tabs>
          <w:tab w:val="num" w:pos="720"/>
        </w:tabs>
        <w:ind w:left="720" w:hanging="720"/>
      </w:pPr>
      <w:rPr>
        <w:rFonts w:hint="default"/>
        <w:b w:val="0"/>
        <w:i w:val="0"/>
        <w:sz w:val="24"/>
      </w:rPr>
    </w:lvl>
    <w:lvl w:ilvl="1">
      <w:start w:val="1"/>
      <w:numFmt w:val="decimal"/>
      <w:pStyle w:val="XClause2Sub"/>
      <w:lvlText w:val="%1.%2."/>
      <w:lvlJc w:val="left"/>
      <w:pPr>
        <w:tabs>
          <w:tab w:val="num" w:pos="1440"/>
        </w:tabs>
        <w:ind w:left="1440" w:hanging="720"/>
      </w:pPr>
      <w:rPr>
        <w:rFonts w:hint="default"/>
        <w:sz w:val="24"/>
        <w:szCs w:val="24"/>
      </w:rPr>
    </w:lvl>
    <w:lvl w:ilvl="2">
      <w:start w:val="1"/>
      <w:numFmt w:val="decimal"/>
      <w:pStyle w:val="XClause3Sub"/>
      <w:lvlText w:val="%1.%2.%3."/>
      <w:lvlJc w:val="left"/>
      <w:pPr>
        <w:tabs>
          <w:tab w:val="num" w:pos="2552"/>
        </w:tabs>
        <w:ind w:left="2552" w:hanging="1112"/>
      </w:pPr>
      <w:rPr>
        <w:rFonts w:hint="default"/>
        <w:i w:val="0"/>
        <w:iCs w:val="0"/>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abstractNum w:abstractNumId="6" w15:restartNumberingAfterBreak="0">
    <w:nsid w:val="6D4D7177"/>
    <w:multiLevelType w:val="multilevel"/>
    <w:tmpl w:val="3DC29CF6"/>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b w:val="0"/>
        <w:bCs w:val="0"/>
        <w:i w:val="0"/>
        <w:iCs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7" w15:restartNumberingAfterBreak="0">
    <w:nsid w:val="73BA6A32"/>
    <w:multiLevelType w:val="multilevel"/>
    <w:tmpl w:val="0809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B1C26FF"/>
    <w:multiLevelType w:val="multilevel"/>
    <w:tmpl w:val="7D2A2E60"/>
    <w:lvl w:ilvl="0">
      <w:start w:val="1"/>
      <w:numFmt w:val="decimal"/>
      <w:lvlText w:val="%1."/>
      <w:lvlJc w:val="left"/>
      <w:pPr>
        <w:ind w:left="360" w:hanging="360"/>
      </w:pPr>
      <w:rPr>
        <w:rFonts w:hint="default"/>
        <w:b w:val="0"/>
        <w:bCs/>
      </w:rPr>
    </w:lvl>
    <w:lvl w:ilvl="1">
      <w:start w:val="1"/>
      <w:numFmt w:val="decimal"/>
      <w:lvlText w:val="%1.%2."/>
      <w:lvlJc w:val="left"/>
      <w:pPr>
        <w:ind w:left="496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E3D3DF9"/>
    <w:multiLevelType w:val="multilevel"/>
    <w:tmpl w:val="AA3E960A"/>
    <w:lvl w:ilvl="0">
      <w:start w:val="1"/>
      <w:numFmt w:val="decimal"/>
      <w:lvlText w:val="[%1]"/>
      <w:lvlJc w:val="left"/>
      <w:pPr>
        <w:ind w:left="360" w:hanging="360"/>
      </w:pPr>
      <w:rPr>
        <w:rFonts w:ascii="Arial" w:hAnsi="Arial" w:cs="Arial"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EBC36B2"/>
    <w:multiLevelType w:val="multilevel"/>
    <w:tmpl w:val="32EA9B46"/>
    <w:lvl w:ilvl="0">
      <w:start w:val="1"/>
      <w:numFmt w:val="decimal"/>
      <w:lvlText w:val="%1."/>
      <w:lvlJc w:val="left"/>
      <w:pPr>
        <w:tabs>
          <w:tab w:val="num" w:pos="720"/>
        </w:tabs>
        <w:ind w:left="720" w:hanging="720"/>
      </w:pPr>
      <w:rPr>
        <w:rFonts w:hint="default"/>
        <w:b w:val="0"/>
        <w:i w:val="0"/>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3"/>
  </w:num>
  <w:num w:numId="2">
    <w:abstractNumId w:val="7"/>
  </w:num>
  <w:num w:numId="3">
    <w:abstractNumId w:val="5"/>
  </w:num>
  <w:num w:numId="4">
    <w:abstractNumId w:val="8"/>
  </w:num>
  <w:num w:numId="5">
    <w:abstractNumId w:val="1"/>
  </w:num>
  <w:num w:numId="6">
    <w:abstractNumId w:val="9"/>
  </w:num>
  <w:num w:numId="7">
    <w:abstractNumId w:val="10"/>
  </w:num>
  <w:num w:numId="8">
    <w:abstractNumId w:val="0"/>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B3"/>
    <w:rsid w:val="000003F4"/>
    <w:rsid w:val="00000E4F"/>
    <w:rsid w:val="0000118A"/>
    <w:rsid w:val="0000362B"/>
    <w:rsid w:val="00021678"/>
    <w:rsid w:val="00023A07"/>
    <w:rsid w:val="00031694"/>
    <w:rsid w:val="00036EA9"/>
    <w:rsid w:val="00041895"/>
    <w:rsid w:val="00041D53"/>
    <w:rsid w:val="000441E9"/>
    <w:rsid w:val="0004646F"/>
    <w:rsid w:val="00046A44"/>
    <w:rsid w:val="00047177"/>
    <w:rsid w:val="000559FE"/>
    <w:rsid w:val="000611FE"/>
    <w:rsid w:val="000632FD"/>
    <w:rsid w:val="00064333"/>
    <w:rsid w:val="000671CC"/>
    <w:rsid w:val="00067B62"/>
    <w:rsid w:val="000725EE"/>
    <w:rsid w:val="0007303A"/>
    <w:rsid w:val="000731D9"/>
    <w:rsid w:val="00074499"/>
    <w:rsid w:val="00075949"/>
    <w:rsid w:val="00084593"/>
    <w:rsid w:val="0009029E"/>
    <w:rsid w:val="000917C9"/>
    <w:rsid w:val="00094381"/>
    <w:rsid w:val="000A1B4F"/>
    <w:rsid w:val="000B51B3"/>
    <w:rsid w:val="000B7EDE"/>
    <w:rsid w:val="000C129E"/>
    <w:rsid w:val="000C6CE1"/>
    <w:rsid w:val="000D0261"/>
    <w:rsid w:val="000D11EE"/>
    <w:rsid w:val="000D3E47"/>
    <w:rsid w:val="000D40C9"/>
    <w:rsid w:val="000D4569"/>
    <w:rsid w:val="000D46D1"/>
    <w:rsid w:val="000E339D"/>
    <w:rsid w:val="000E35E5"/>
    <w:rsid w:val="000F0FE4"/>
    <w:rsid w:val="000F23E0"/>
    <w:rsid w:val="000F458A"/>
    <w:rsid w:val="00100774"/>
    <w:rsid w:val="0011027D"/>
    <w:rsid w:val="001207D5"/>
    <w:rsid w:val="00120E33"/>
    <w:rsid w:val="00122480"/>
    <w:rsid w:val="00122C0F"/>
    <w:rsid w:val="00122F76"/>
    <w:rsid w:val="00122F8C"/>
    <w:rsid w:val="0012492E"/>
    <w:rsid w:val="001329D0"/>
    <w:rsid w:val="0013366F"/>
    <w:rsid w:val="00136DEA"/>
    <w:rsid w:val="00136E14"/>
    <w:rsid w:val="00140080"/>
    <w:rsid w:val="00140C27"/>
    <w:rsid w:val="00143426"/>
    <w:rsid w:val="00150CCB"/>
    <w:rsid w:val="0016415D"/>
    <w:rsid w:val="001666FF"/>
    <w:rsid w:val="001667FF"/>
    <w:rsid w:val="00170E50"/>
    <w:rsid w:val="0017271B"/>
    <w:rsid w:val="00172AB8"/>
    <w:rsid w:val="00174948"/>
    <w:rsid w:val="00174ACE"/>
    <w:rsid w:val="00174C80"/>
    <w:rsid w:val="00177677"/>
    <w:rsid w:val="00187AA6"/>
    <w:rsid w:val="00187CBF"/>
    <w:rsid w:val="00191485"/>
    <w:rsid w:val="001957A7"/>
    <w:rsid w:val="0019581A"/>
    <w:rsid w:val="00196FB0"/>
    <w:rsid w:val="001A332D"/>
    <w:rsid w:val="001A4A28"/>
    <w:rsid w:val="001B1782"/>
    <w:rsid w:val="001B5ED7"/>
    <w:rsid w:val="001B5FC3"/>
    <w:rsid w:val="001B78D1"/>
    <w:rsid w:val="001C22C5"/>
    <w:rsid w:val="001C4253"/>
    <w:rsid w:val="001D1E97"/>
    <w:rsid w:val="001D5951"/>
    <w:rsid w:val="001D7F30"/>
    <w:rsid w:val="001F138D"/>
    <w:rsid w:val="001F16A0"/>
    <w:rsid w:val="00200A01"/>
    <w:rsid w:val="00201171"/>
    <w:rsid w:val="00201ACA"/>
    <w:rsid w:val="002023EF"/>
    <w:rsid w:val="00203E42"/>
    <w:rsid w:val="00206795"/>
    <w:rsid w:val="00211817"/>
    <w:rsid w:val="00214880"/>
    <w:rsid w:val="00214B15"/>
    <w:rsid w:val="002165A7"/>
    <w:rsid w:val="002241E1"/>
    <w:rsid w:val="0022475B"/>
    <w:rsid w:val="00227F70"/>
    <w:rsid w:val="00233305"/>
    <w:rsid w:val="00233F48"/>
    <w:rsid w:val="00236342"/>
    <w:rsid w:val="002379B6"/>
    <w:rsid w:val="002423FA"/>
    <w:rsid w:val="00242464"/>
    <w:rsid w:val="002434CA"/>
    <w:rsid w:val="00247EE0"/>
    <w:rsid w:val="0025300C"/>
    <w:rsid w:val="002533FC"/>
    <w:rsid w:val="00253AA5"/>
    <w:rsid w:val="0025503D"/>
    <w:rsid w:val="00264001"/>
    <w:rsid w:val="00270660"/>
    <w:rsid w:val="00275379"/>
    <w:rsid w:val="0027751E"/>
    <w:rsid w:val="00282068"/>
    <w:rsid w:val="0028360A"/>
    <w:rsid w:val="00285EEA"/>
    <w:rsid w:val="00286D7D"/>
    <w:rsid w:val="002954BA"/>
    <w:rsid w:val="002959DE"/>
    <w:rsid w:val="00296CD9"/>
    <w:rsid w:val="002A3CAB"/>
    <w:rsid w:val="002A4783"/>
    <w:rsid w:val="002B1B0B"/>
    <w:rsid w:val="002B2C31"/>
    <w:rsid w:val="002B3118"/>
    <w:rsid w:val="002B39B2"/>
    <w:rsid w:val="002B4E4F"/>
    <w:rsid w:val="002B5563"/>
    <w:rsid w:val="002B6291"/>
    <w:rsid w:val="002C39F9"/>
    <w:rsid w:val="002C3BFD"/>
    <w:rsid w:val="002C5AF6"/>
    <w:rsid w:val="002D29A2"/>
    <w:rsid w:val="002D51E3"/>
    <w:rsid w:val="002D5442"/>
    <w:rsid w:val="002E25DE"/>
    <w:rsid w:val="002E29E9"/>
    <w:rsid w:val="002E2A0E"/>
    <w:rsid w:val="002E6E8F"/>
    <w:rsid w:val="002E6FC1"/>
    <w:rsid w:val="002E7A52"/>
    <w:rsid w:val="002E7B0C"/>
    <w:rsid w:val="002F2FD9"/>
    <w:rsid w:val="002F5CCD"/>
    <w:rsid w:val="002F757D"/>
    <w:rsid w:val="00300749"/>
    <w:rsid w:val="003038D7"/>
    <w:rsid w:val="00305945"/>
    <w:rsid w:val="00312733"/>
    <w:rsid w:val="003202C9"/>
    <w:rsid w:val="00320B10"/>
    <w:rsid w:val="00323CBB"/>
    <w:rsid w:val="00325F63"/>
    <w:rsid w:val="00336B07"/>
    <w:rsid w:val="00351949"/>
    <w:rsid w:val="00352559"/>
    <w:rsid w:val="003579B4"/>
    <w:rsid w:val="00362A5D"/>
    <w:rsid w:val="00371040"/>
    <w:rsid w:val="00371248"/>
    <w:rsid w:val="00372982"/>
    <w:rsid w:val="003777C6"/>
    <w:rsid w:val="003A51EC"/>
    <w:rsid w:val="003A63FE"/>
    <w:rsid w:val="003B005E"/>
    <w:rsid w:val="003B36B7"/>
    <w:rsid w:val="003C0498"/>
    <w:rsid w:val="003C05F3"/>
    <w:rsid w:val="003C12AF"/>
    <w:rsid w:val="003C6438"/>
    <w:rsid w:val="003C6B42"/>
    <w:rsid w:val="003D0FB1"/>
    <w:rsid w:val="003D304B"/>
    <w:rsid w:val="003E1D77"/>
    <w:rsid w:val="003E7903"/>
    <w:rsid w:val="003F69D6"/>
    <w:rsid w:val="00404097"/>
    <w:rsid w:val="00407222"/>
    <w:rsid w:val="004113BB"/>
    <w:rsid w:val="00413C9C"/>
    <w:rsid w:val="0041436A"/>
    <w:rsid w:val="0041474A"/>
    <w:rsid w:val="00416608"/>
    <w:rsid w:val="00416AA1"/>
    <w:rsid w:val="00422B05"/>
    <w:rsid w:val="00422B8F"/>
    <w:rsid w:val="00423C2D"/>
    <w:rsid w:val="0042412B"/>
    <w:rsid w:val="00436B1D"/>
    <w:rsid w:val="00437EAF"/>
    <w:rsid w:val="00443848"/>
    <w:rsid w:val="00457A84"/>
    <w:rsid w:val="00460A3E"/>
    <w:rsid w:val="004634E4"/>
    <w:rsid w:val="004664C5"/>
    <w:rsid w:val="00473C71"/>
    <w:rsid w:val="00475EDE"/>
    <w:rsid w:val="00480610"/>
    <w:rsid w:val="00482CF6"/>
    <w:rsid w:val="00491610"/>
    <w:rsid w:val="00491E85"/>
    <w:rsid w:val="00496A1A"/>
    <w:rsid w:val="004A0DD9"/>
    <w:rsid w:val="004A4592"/>
    <w:rsid w:val="004B1636"/>
    <w:rsid w:val="004B4AA0"/>
    <w:rsid w:val="004B76DD"/>
    <w:rsid w:val="004D1CD9"/>
    <w:rsid w:val="004D3A02"/>
    <w:rsid w:val="004D462D"/>
    <w:rsid w:val="004D558B"/>
    <w:rsid w:val="004D7C49"/>
    <w:rsid w:val="004E06AA"/>
    <w:rsid w:val="004E2C2F"/>
    <w:rsid w:val="004E3D01"/>
    <w:rsid w:val="004F129D"/>
    <w:rsid w:val="004F1C9D"/>
    <w:rsid w:val="005002F9"/>
    <w:rsid w:val="00503D56"/>
    <w:rsid w:val="00504F65"/>
    <w:rsid w:val="00505988"/>
    <w:rsid w:val="00505B46"/>
    <w:rsid w:val="005060E9"/>
    <w:rsid w:val="00507760"/>
    <w:rsid w:val="0051219B"/>
    <w:rsid w:val="005132A8"/>
    <w:rsid w:val="00517ABF"/>
    <w:rsid w:val="005275ED"/>
    <w:rsid w:val="00531DEB"/>
    <w:rsid w:val="005343F7"/>
    <w:rsid w:val="00534AFA"/>
    <w:rsid w:val="0053545D"/>
    <w:rsid w:val="00541BA1"/>
    <w:rsid w:val="005467ED"/>
    <w:rsid w:val="00551E62"/>
    <w:rsid w:val="00554FCD"/>
    <w:rsid w:val="005629AB"/>
    <w:rsid w:val="00565D65"/>
    <w:rsid w:val="0058339F"/>
    <w:rsid w:val="00583DB4"/>
    <w:rsid w:val="005928C4"/>
    <w:rsid w:val="00592B84"/>
    <w:rsid w:val="0059555A"/>
    <w:rsid w:val="005A180D"/>
    <w:rsid w:val="005A29BD"/>
    <w:rsid w:val="005B0C19"/>
    <w:rsid w:val="005B41A3"/>
    <w:rsid w:val="005C083F"/>
    <w:rsid w:val="005E15AE"/>
    <w:rsid w:val="005F6940"/>
    <w:rsid w:val="00600D1A"/>
    <w:rsid w:val="00605011"/>
    <w:rsid w:val="00611E0C"/>
    <w:rsid w:val="00613098"/>
    <w:rsid w:val="0061372A"/>
    <w:rsid w:val="00627EB5"/>
    <w:rsid w:val="006319F4"/>
    <w:rsid w:val="0063232E"/>
    <w:rsid w:val="00632E6A"/>
    <w:rsid w:val="00634AEE"/>
    <w:rsid w:val="006406A0"/>
    <w:rsid w:val="006572B3"/>
    <w:rsid w:val="00666BFF"/>
    <w:rsid w:val="00675580"/>
    <w:rsid w:val="00677816"/>
    <w:rsid w:val="0068199A"/>
    <w:rsid w:val="006851B3"/>
    <w:rsid w:val="006969DC"/>
    <w:rsid w:val="00696D57"/>
    <w:rsid w:val="006A0704"/>
    <w:rsid w:val="006A1FF7"/>
    <w:rsid w:val="006A2535"/>
    <w:rsid w:val="006A5B91"/>
    <w:rsid w:val="006B75A7"/>
    <w:rsid w:val="006B7AEE"/>
    <w:rsid w:val="006C259F"/>
    <w:rsid w:val="006C345D"/>
    <w:rsid w:val="006D1968"/>
    <w:rsid w:val="006D3F64"/>
    <w:rsid w:val="006E0770"/>
    <w:rsid w:val="006E23FA"/>
    <w:rsid w:val="006E263C"/>
    <w:rsid w:val="006E4E2C"/>
    <w:rsid w:val="006E5584"/>
    <w:rsid w:val="006F196C"/>
    <w:rsid w:val="006F5008"/>
    <w:rsid w:val="006F69ED"/>
    <w:rsid w:val="0070011C"/>
    <w:rsid w:val="00700BBF"/>
    <w:rsid w:val="0070414F"/>
    <w:rsid w:val="007244D4"/>
    <w:rsid w:val="00730345"/>
    <w:rsid w:val="007304EB"/>
    <w:rsid w:val="00733C16"/>
    <w:rsid w:val="0076378A"/>
    <w:rsid w:val="00772140"/>
    <w:rsid w:val="00772C20"/>
    <w:rsid w:val="00780559"/>
    <w:rsid w:val="00782359"/>
    <w:rsid w:val="0078312A"/>
    <w:rsid w:val="00791FC6"/>
    <w:rsid w:val="00792384"/>
    <w:rsid w:val="0079497A"/>
    <w:rsid w:val="00795122"/>
    <w:rsid w:val="007967E3"/>
    <w:rsid w:val="00796901"/>
    <w:rsid w:val="007A03F9"/>
    <w:rsid w:val="007A22F9"/>
    <w:rsid w:val="007A4929"/>
    <w:rsid w:val="007B32EA"/>
    <w:rsid w:val="007B6AB0"/>
    <w:rsid w:val="007C085A"/>
    <w:rsid w:val="007C0A93"/>
    <w:rsid w:val="007C1E88"/>
    <w:rsid w:val="007C3A7C"/>
    <w:rsid w:val="007C5BFA"/>
    <w:rsid w:val="007C7DE6"/>
    <w:rsid w:val="007D29C7"/>
    <w:rsid w:val="007D41E4"/>
    <w:rsid w:val="007D44FC"/>
    <w:rsid w:val="007E0094"/>
    <w:rsid w:val="007E229C"/>
    <w:rsid w:val="007E2DA0"/>
    <w:rsid w:val="007E4588"/>
    <w:rsid w:val="007E6583"/>
    <w:rsid w:val="007F1CDF"/>
    <w:rsid w:val="007F6DFB"/>
    <w:rsid w:val="0081394A"/>
    <w:rsid w:val="00815009"/>
    <w:rsid w:val="00815F17"/>
    <w:rsid w:val="008205BC"/>
    <w:rsid w:val="00825300"/>
    <w:rsid w:val="00826BEC"/>
    <w:rsid w:val="00835A42"/>
    <w:rsid w:val="00836AA4"/>
    <w:rsid w:val="008377B1"/>
    <w:rsid w:val="00837D70"/>
    <w:rsid w:val="00840A3F"/>
    <w:rsid w:val="00841B9B"/>
    <w:rsid w:val="008427AF"/>
    <w:rsid w:val="008427FC"/>
    <w:rsid w:val="00846591"/>
    <w:rsid w:val="0085045C"/>
    <w:rsid w:val="00861A72"/>
    <w:rsid w:val="0086674E"/>
    <w:rsid w:val="00871430"/>
    <w:rsid w:val="008807B8"/>
    <w:rsid w:val="0088251E"/>
    <w:rsid w:val="008919D8"/>
    <w:rsid w:val="008925C8"/>
    <w:rsid w:val="00897715"/>
    <w:rsid w:val="008A5F12"/>
    <w:rsid w:val="008B3005"/>
    <w:rsid w:val="008B389C"/>
    <w:rsid w:val="008B4E52"/>
    <w:rsid w:val="008B501B"/>
    <w:rsid w:val="008B6035"/>
    <w:rsid w:val="008B6E0D"/>
    <w:rsid w:val="008B75FD"/>
    <w:rsid w:val="008C48F2"/>
    <w:rsid w:val="008D2A88"/>
    <w:rsid w:val="008D41C7"/>
    <w:rsid w:val="008E0195"/>
    <w:rsid w:val="008E3BFD"/>
    <w:rsid w:val="008E50EC"/>
    <w:rsid w:val="008F0DB6"/>
    <w:rsid w:val="008F157A"/>
    <w:rsid w:val="008F2855"/>
    <w:rsid w:val="00900410"/>
    <w:rsid w:val="009104CC"/>
    <w:rsid w:val="00910E90"/>
    <w:rsid w:val="00915B93"/>
    <w:rsid w:val="0092402D"/>
    <w:rsid w:val="00926463"/>
    <w:rsid w:val="009512AF"/>
    <w:rsid w:val="00954D16"/>
    <w:rsid w:val="00960620"/>
    <w:rsid w:val="00964355"/>
    <w:rsid w:val="009765AD"/>
    <w:rsid w:val="00984679"/>
    <w:rsid w:val="009870A8"/>
    <w:rsid w:val="00987462"/>
    <w:rsid w:val="0099045F"/>
    <w:rsid w:val="009975EE"/>
    <w:rsid w:val="009A1B72"/>
    <w:rsid w:val="009A3776"/>
    <w:rsid w:val="009A5F60"/>
    <w:rsid w:val="009A63CC"/>
    <w:rsid w:val="009B25B0"/>
    <w:rsid w:val="009B4707"/>
    <w:rsid w:val="009C4C16"/>
    <w:rsid w:val="009C59BB"/>
    <w:rsid w:val="009C683A"/>
    <w:rsid w:val="009D6A19"/>
    <w:rsid w:val="009E45B8"/>
    <w:rsid w:val="009F2D6D"/>
    <w:rsid w:val="009F571F"/>
    <w:rsid w:val="009F585A"/>
    <w:rsid w:val="009F597A"/>
    <w:rsid w:val="009F7A50"/>
    <w:rsid w:val="00A06FD1"/>
    <w:rsid w:val="00A11C52"/>
    <w:rsid w:val="00A137A3"/>
    <w:rsid w:val="00A137ED"/>
    <w:rsid w:val="00A13FE8"/>
    <w:rsid w:val="00A14952"/>
    <w:rsid w:val="00A17D3F"/>
    <w:rsid w:val="00A207F8"/>
    <w:rsid w:val="00A257CA"/>
    <w:rsid w:val="00A30D23"/>
    <w:rsid w:val="00A317CD"/>
    <w:rsid w:val="00A31EF7"/>
    <w:rsid w:val="00A34CFA"/>
    <w:rsid w:val="00A36CA9"/>
    <w:rsid w:val="00A41177"/>
    <w:rsid w:val="00A47A2C"/>
    <w:rsid w:val="00A520B1"/>
    <w:rsid w:val="00A5227F"/>
    <w:rsid w:val="00A525C7"/>
    <w:rsid w:val="00A5390D"/>
    <w:rsid w:val="00A541E7"/>
    <w:rsid w:val="00A54362"/>
    <w:rsid w:val="00A60569"/>
    <w:rsid w:val="00A66834"/>
    <w:rsid w:val="00A67E33"/>
    <w:rsid w:val="00A67E74"/>
    <w:rsid w:val="00A70D1A"/>
    <w:rsid w:val="00A72A8F"/>
    <w:rsid w:val="00A84639"/>
    <w:rsid w:val="00A85F4F"/>
    <w:rsid w:val="00AA53AB"/>
    <w:rsid w:val="00AB2FD8"/>
    <w:rsid w:val="00AB5A3C"/>
    <w:rsid w:val="00AC3A1C"/>
    <w:rsid w:val="00AC45E3"/>
    <w:rsid w:val="00AE2108"/>
    <w:rsid w:val="00B0450C"/>
    <w:rsid w:val="00B15007"/>
    <w:rsid w:val="00B25248"/>
    <w:rsid w:val="00B271C0"/>
    <w:rsid w:val="00B311AF"/>
    <w:rsid w:val="00B31E78"/>
    <w:rsid w:val="00B365EF"/>
    <w:rsid w:val="00B36B6F"/>
    <w:rsid w:val="00B37207"/>
    <w:rsid w:val="00B42446"/>
    <w:rsid w:val="00B4443D"/>
    <w:rsid w:val="00B44669"/>
    <w:rsid w:val="00B46FDB"/>
    <w:rsid w:val="00B562C8"/>
    <w:rsid w:val="00B57A6C"/>
    <w:rsid w:val="00B620D0"/>
    <w:rsid w:val="00B701E4"/>
    <w:rsid w:val="00B75F07"/>
    <w:rsid w:val="00B7666E"/>
    <w:rsid w:val="00B76958"/>
    <w:rsid w:val="00B77E77"/>
    <w:rsid w:val="00B81087"/>
    <w:rsid w:val="00B82A44"/>
    <w:rsid w:val="00B97F1B"/>
    <w:rsid w:val="00BA633F"/>
    <w:rsid w:val="00BB0349"/>
    <w:rsid w:val="00BB394D"/>
    <w:rsid w:val="00BB4D6F"/>
    <w:rsid w:val="00BB552D"/>
    <w:rsid w:val="00BC247A"/>
    <w:rsid w:val="00BC2ADC"/>
    <w:rsid w:val="00BC2F27"/>
    <w:rsid w:val="00BC4C75"/>
    <w:rsid w:val="00BD2777"/>
    <w:rsid w:val="00BD6E3E"/>
    <w:rsid w:val="00BE3142"/>
    <w:rsid w:val="00BF3077"/>
    <w:rsid w:val="00BF7162"/>
    <w:rsid w:val="00C0274D"/>
    <w:rsid w:val="00C042B1"/>
    <w:rsid w:val="00C14E22"/>
    <w:rsid w:val="00C17036"/>
    <w:rsid w:val="00C23AAF"/>
    <w:rsid w:val="00C342B7"/>
    <w:rsid w:val="00C35112"/>
    <w:rsid w:val="00C43794"/>
    <w:rsid w:val="00C530F4"/>
    <w:rsid w:val="00C57E47"/>
    <w:rsid w:val="00C63B87"/>
    <w:rsid w:val="00C6521D"/>
    <w:rsid w:val="00C67D5C"/>
    <w:rsid w:val="00C80605"/>
    <w:rsid w:val="00C8520A"/>
    <w:rsid w:val="00C85B64"/>
    <w:rsid w:val="00C86396"/>
    <w:rsid w:val="00C86793"/>
    <w:rsid w:val="00C90B8A"/>
    <w:rsid w:val="00C91D71"/>
    <w:rsid w:val="00C932CB"/>
    <w:rsid w:val="00C954BF"/>
    <w:rsid w:val="00C964D0"/>
    <w:rsid w:val="00CA1A37"/>
    <w:rsid w:val="00CA2CF5"/>
    <w:rsid w:val="00CA7E05"/>
    <w:rsid w:val="00CB1EA8"/>
    <w:rsid w:val="00CB36E1"/>
    <w:rsid w:val="00CD3755"/>
    <w:rsid w:val="00CD3804"/>
    <w:rsid w:val="00CD4142"/>
    <w:rsid w:val="00CD4CF6"/>
    <w:rsid w:val="00CE464E"/>
    <w:rsid w:val="00CF2134"/>
    <w:rsid w:val="00CF6195"/>
    <w:rsid w:val="00CF6DC1"/>
    <w:rsid w:val="00D022A1"/>
    <w:rsid w:val="00D04C34"/>
    <w:rsid w:val="00D12965"/>
    <w:rsid w:val="00D205F2"/>
    <w:rsid w:val="00D221F7"/>
    <w:rsid w:val="00D23919"/>
    <w:rsid w:val="00D24839"/>
    <w:rsid w:val="00D277F4"/>
    <w:rsid w:val="00D3137A"/>
    <w:rsid w:val="00D32F6B"/>
    <w:rsid w:val="00D37EE4"/>
    <w:rsid w:val="00D41126"/>
    <w:rsid w:val="00D5137F"/>
    <w:rsid w:val="00D529BC"/>
    <w:rsid w:val="00D551CC"/>
    <w:rsid w:val="00D57869"/>
    <w:rsid w:val="00D631FA"/>
    <w:rsid w:val="00D642AA"/>
    <w:rsid w:val="00D660F2"/>
    <w:rsid w:val="00D76B7A"/>
    <w:rsid w:val="00D80174"/>
    <w:rsid w:val="00D85F47"/>
    <w:rsid w:val="00D91919"/>
    <w:rsid w:val="00D93404"/>
    <w:rsid w:val="00D9691A"/>
    <w:rsid w:val="00DA132C"/>
    <w:rsid w:val="00DA6E3E"/>
    <w:rsid w:val="00DA7452"/>
    <w:rsid w:val="00DB4A60"/>
    <w:rsid w:val="00DB5569"/>
    <w:rsid w:val="00DC2BF1"/>
    <w:rsid w:val="00DD0D7C"/>
    <w:rsid w:val="00DE71FE"/>
    <w:rsid w:val="00DF03E1"/>
    <w:rsid w:val="00DF1F91"/>
    <w:rsid w:val="00DF4EAA"/>
    <w:rsid w:val="00DF5569"/>
    <w:rsid w:val="00E0393C"/>
    <w:rsid w:val="00E10B56"/>
    <w:rsid w:val="00E1721F"/>
    <w:rsid w:val="00E22CA5"/>
    <w:rsid w:val="00E24B31"/>
    <w:rsid w:val="00E26C82"/>
    <w:rsid w:val="00E27390"/>
    <w:rsid w:val="00E370FE"/>
    <w:rsid w:val="00E4002B"/>
    <w:rsid w:val="00E40244"/>
    <w:rsid w:val="00E434E6"/>
    <w:rsid w:val="00E4795F"/>
    <w:rsid w:val="00E53E7D"/>
    <w:rsid w:val="00E62CD0"/>
    <w:rsid w:val="00E663F6"/>
    <w:rsid w:val="00E66DDB"/>
    <w:rsid w:val="00E72B5B"/>
    <w:rsid w:val="00E72D12"/>
    <w:rsid w:val="00E771EB"/>
    <w:rsid w:val="00E822E1"/>
    <w:rsid w:val="00E84543"/>
    <w:rsid w:val="00E84A39"/>
    <w:rsid w:val="00E86BA7"/>
    <w:rsid w:val="00E874A6"/>
    <w:rsid w:val="00E9029E"/>
    <w:rsid w:val="00E94A43"/>
    <w:rsid w:val="00E96DF5"/>
    <w:rsid w:val="00EA1D72"/>
    <w:rsid w:val="00EA58BE"/>
    <w:rsid w:val="00EB6246"/>
    <w:rsid w:val="00EC27EB"/>
    <w:rsid w:val="00EC5270"/>
    <w:rsid w:val="00EC7A40"/>
    <w:rsid w:val="00ED2315"/>
    <w:rsid w:val="00ED5E6F"/>
    <w:rsid w:val="00EE3E97"/>
    <w:rsid w:val="00F25D0C"/>
    <w:rsid w:val="00F3155E"/>
    <w:rsid w:val="00F32DB1"/>
    <w:rsid w:val="00F37EF5"/>
    <w:rsid w:val="00F41DF0"/>
    <w:rsid w:val="00F46D3A"/>
    <w:rsid w:val="00F639EE"/>
    <w:rsid w:val="00F674C9"/>
    <w:rsid w:val="00F6780C"/>
    <w:rsid w:val="00F70735"/>
    <w:rsid w:val="00F75E76"/>
    <w:rsid w:val="00F832C4"/>
    <w:rsid w:val="00F84EF1"/>
    <w:rsid w:val="00F90B08"/>
    <w:rsid w:val="00FA168E"/>
    <w:rsid w:val="00FA16BC"/>
    <w:rsid w:val="00FA2DA2"/>
    <w:rsid w:val="00FA3A96"/>
    <w:rsid w:val="00FA4588"/>
    <w:rsid w:val="00FA593A"/>
    <w:rsid w:val="00FA6FE8"/>
    <w:rsid w:val="00FB1776"/>
    <w:rsid w:val="00FB1E7B"/>
    <w:rsid w:val="00FB33B9"/>
    <w:rsid w:val="00FD053F"/>
    <w:rsid w:val="00FD6543"/>
    <w:rsid w:val="00FE22E4"/>
    <w:rsid w:val="00FE5605"/>
    <w:rsid w:val="00FE62D8"/>
    <w:rsid w:val="00FF32C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0C98D-8CB9-DF40-9CF7-0B445200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2B3"/>
  </w:style>
  <w:style w:type="paragraph" w:styleId="Heading1">
    <w:name w:val="heading 1"/>
    <w:basedOn w:val="Normal"/>
    <w:next w:val="Normal"/>
    <w:link w:val="Heading1Char"/>
    <w:uiPriority w:val="9"/>
    <w:qFormat/>
    <w:rsid w:val="00285EEA"/>
    <w:pPr>
      <w:keepNext/>
      <w:keepLines/>
      <w:spacing w:before="120" w:after="360" w:line="480" w:lineRule="auto"/>
      <w:outlineLvl w:val="0"/>
    </w:pPr>
    <w:rPr>
      <w:rFonts w:eastAsiaTheme="majorEastAsia" w:cstheme="majorBidi"/>
      <w:b/>
      <w:color w:val="000000" w:themeColor="text1"/>
      <w:szCs w:val="40"/>
    </w:rPr>
  </w:style>
  <w:style w:type="paragraph" w:styleId="Heading2">
    <w:name w:val="heading 2"/>
    <w:basedOn w:val="Normal"/>
    <w:next w:val="Normal"/>
    <w:link w:val="Heading2Char"/>
    <w:uiPriority w:val="9"/>
    <w:unhideWhenUsed/>
    <w:qFormat/>
    <w:rsid w:val="000632FD"/>
    <w:pPr>
      <w:keepNext/>
      <w:keepLines/>
      <w:spacing w:before="120" w:after="360" w:line="480" w:lineRule="auto"/>
      <w:ind w:left="720"/>
      <w:outlineLvl w:val="1"/>
    </w:pPr>
    <w:rPr>
      <w:rFonts w:eastAsiaTheme="majorEastAsia" w:cstheme="majorBidi"/>
      <w:b/>
      <w:color w:val="000000" w:themeColor="text1"/>
      <w:szCs w:val="32"/>
    </w:rPr>
  </w:style>
  <w:style w:type="paragraph" w:styleId="Heading3">
    <w:name w:val="heading 3"/>
    <w:basedOn w:val="Normal"/>
    <w:next w:val="Normal"/>
    <w:link w:val="Heading3Char"/>
    <w:uiPriority w:val="9"/>
    <w:unhideWhenUsed/>
    <w:qFormat/>
    <w:rsid w:val="00F75E76"/>
    <w:pPr>
      <w:keepNext/>
      <w:keepLines/>
      <w:spacing w:before="120" w:after="360" w:line="480" w:lineRule="auto"/>
      <w:ind w:left="720"/>
      <w:outlineLvl w:val="2"/>
    </w:pPr>
    <w:rPr>
      <w:rFonts w:eastAsiaTheme="majorEastAsia" w:cstheme="majorBidi"/>
      <w:i/>
      <w:color w:val="000000" w:themeColor="text1"/>
      <w:szCs w:val="28"/>
      <w:u w:val="single"/>
    </w:rPr>
  </w:style>
  <w:style w:type="paragraph" w:styleId="Heading4">
    <w:name w:val="heading 4"/>
    <w:basedOn w:val="Normal"/>
    <w:next w:val="Normal"/>
    <w:link w:val="Heading4Char"/>
    <w:uiPriority w:val="9"/>
    <w:semiHidden/>
    <w:unhideWhenUsed/>
    <w:qFormat/>
    <w:rsid w:val="006572B3"/>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6572B3"/>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6572B3"/>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6572B3"/>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6572B3"/>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6572B3"/>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EEA"/>
    <w:rPr>
      <w:rFonts w:eastAsiaTheme="majorEastAsia" w:cstheme="majorBidi"/>
      <w:b/>
      <w:color w:val="000000" w:themeColor="text1"/>
      <w:szCs w:val="40"/>
    </w:rPr>
  </w:style>
  <w:style w:type="character" w:customStyle="1" w:styleId="Heading2Char">
    <w:name w:val="Heading 2 Char"/>
    <w:basedOn w:val="DefaultParagraphFont"/>
    <w:link w:val="Heading2"/>
    <w:uiPriority w:val="9"/>
    <w:rsid w:val="000632FD"/>
    <w:rPr>
      <w:rFonts w:eastAsiaTheme="majorEastAsia" w:cstheme="majorBidi"/>
      <w:b/>
      <w:color w:val="000000" w:themeColor="text1"/>
      <w:szCs w:val="32"/>
    </w:rPr>
  </w:style>
  <w:style w:type="character" w:customStyle="1" w:styleId="Heading3Char">
    <w:name w:val="Heading 3 Char"/>
    <w:basedOn w:val="DefaultParagraphFont"/>
    <w:link w:val="Heading3"/>
    <w:uiPriority w:val="9"/>
    <w:rsid w:val="00F75E76"/>
    <w:rPr>
      <w:rFonts w:eastAsiaTheme="majorEastAsia" w:cstheme="majorBidi"/>
      <w:i/>
      <w:color w:val="000000" w:themeColor="text1"/>
      <w:szCs w:val="28"/>
      <w:u w:val="single"/>
    </w:rPr>
  </w:style>
  <w:style w:type="character" w:customStyle="1" w:styleId="Heading4Char">
    <w:name w:val="Heading 4 Char"/>
    <w:basedOn w:val="DefaultParagraphFont"/>
    <w:link w:val="Heading4"/>
    <w:uiPriority w:val="9"/>
    <w:semiHidden/>
    <w:rsid w:val="006572B3"/>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6572B3"/>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6572B3"/>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6572B3"/>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6572B3"/>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6572B3"/>
    <w:rPr>
      <w:rFonts w:asciiTheme="minorHAnsi" w:eastAsiaTheme="majorEastAsia" w:hAnsiTheme="minorHAnsi" w:cstheme="majorBidi"/>
      <w:color w:val="272727" w:themeColor="text1" w:themeTint="D8"/>
    </w:rPr>
  </w:style>
  <w:style w:type="paragraph" w:styleId="Title">
    <w:name w:val="Title"/>
    <w:basedOn w:val="Normal"/>
    <w:next w:val="Normal"/>
    <w:link w:val="TitleChar"/>
    <w:qFormat/>
    <w:rsid w:val="006572B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572B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572B3"/>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572B3"/>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6572B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572B3"/>
    <w:rPr>
      <w:i/>
      <w:iCs/>
      <w:color w:val="404040" w:themeColor="text1" w:themeTint="BF"/>
    </w:rPr>
  </w:style>
  <w:style w:type="paragraph" w:styleId="ListParagraph">
    <w:name w:val="List Paragraph"/>
    <w:aliases w:val="List Paragraph 1,Numbered Paras"/>
    <w:basedOn w:val="Normal"/>
    <w:link w:val="ListParagraphChar"/>
    <w:uiPriority w:val="34"/>
    <w:qFormat/>
    <w:rsid w:val="006572B3"/>
    <w:pPr>
      <w:ind w:left="720"/>
      <w:contextualSpacing/>
    </w:pPr>
  </w:style>
  <w:style w:type="character" w:styleId="IntenseEmphasis">
    <w:name w:val="Intense Emphasis"/>
    <w:basedOn w:val="DefaultParagraphFont"/>
    <w:uiPriority w:val="21"/>
    <w:qFormat/>
    <w:rsid w:val="006572B3"/>
    <w:rPr>
      <w:i/>
      <w:iCs/>
      <w:color w:val="0F4761" w:themeColor="accent1" w:themeShade="BF"/>
    </w:rPr>
  </w:style>
  <w:style w:type="paragraph" w:styleId="IntenseQuote">
    <w:name w:val="Intense Quote"/>
    <w:basedOn w:val="Normal"/>
    <w:next w:val="Normal"/>
    <w:link w:val="IntenseQuoteChar"/>
    <w:uiPriority w:val="30"/>
    <w:qFormat/>
    <w:rsid w:val="006572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572B3"/>
    <w:rPr>
      <w:i/>
      <w:iCs/>
      <w:color w:val="0F4761" w:themeColor="accent1" w:themeShade="BF"/>
    </w:rPr>
  </w:style>
  <w:style w:type="character" w:styleId="IntenseReference">
    <w:name w:val="Intense Reference"/>
    <w:basedOn w:val="DefaultParagraphFont"/>
    <w:uiPriority w:val="32"/>
    <w:qFormat/>
    <w:rsid w:val="006572B3"/>
    <w:rPr>
      <w:b/>
      <w:bCs/>
      <w:smallCaps/>
      <w:color w:val="0F4761" w:themeColor="accent1" w:themeShade="BF"/>
      <w:spacing w:val="5"/>
    </w:rPr>
  </w:style>
  <w:style w:type="table" w:styleId="TableGrid">
    <w:name w:val="Table Grid"/>
    <w:basedOn w:val="TableNormal"/>
    <w:uiPriority w:val="39"/>
    <w:rsid w:val="00657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1 Char,Numbered Paras Char"/>
    <w:link w:val="ListParagraph"/>
    <w:uiPriority w:val="34"/>
    <w:qFormat/>
    <w:locked/>
    <w:rsid w:val="006572B3"/>
  </w:style>
  <w:style w:type="paragraph" w:styleId="FootnoteText">
    <w:name w:val="footnote text"/>
    <w:aliases w:val="Footnote Text Char1,Footnote Text Char Char,Footnote Text Char1 Char,Footnote Text Char Char Char,Footnote Text Char Char1, Char Char Char, Char Char,Char Char Char,Char Char,Char,Footnote Text Char1 Char1 Char1 Char Char,Footnote Text Cha"/>
    <w:basedOn w:val="Normal"/>
    <w:link w:val="FootnoteTextChar"/>
    <w:uiPriority w:val="99"/>
    <w:unhideWhenUsed/>
    <w:qFormat/>
    <w:rsid w:val="00300749"/>
    <w:rPr>
      <w:sz w:val="20"/>
      <w:szCs w:val="20"/>
    </w:rPr>
  </w:style>
  <w:style w:type="character" w:customStyle="1" w:styleId="FootnoteTextChar">
    <w:name w:val="Footnote Text Char"/>
    <w:aliases w:val="Footnote Text Char1 Char1,Footnote Text Char Char Char1,Footnote Text Char1 Char Char,Footnote Text Char Char Char Char,Footnote Text Char Char1 Char, Char Char Char Char, Char Char Char1,Char Char Char Char,Char Char Char1,Char Char1"/>
    <w:basedOn w:val="DefaultParagraphFont"/>
    <w:link w:val="FootnoteText"/>
    <w:uiPriority w:val="99"/>
    <w:qFormat/>
    <w:rsid w:val="00300749"/>
    <w:rPr>
      <w:sz w:val="20"/>
      <w:szCs w:val="20"/>
    </w:rPr>
  </w:style>
  <w:style w:type="character" w:styleId="FootnoteReference">
    <w:name w:val="footnote reference"/>
    <w:aliases w:val="Footnote Reference + Superscript,Ref,de nota al pie,註腳內容,Footnotes refss,fr,4_G,Appel note de bas de page,(NECG) Footnote Reference,Heading 6 Char1,do not use4 Char1,Footnote symbol,Style 12,Footnote,BL_Footnote Reference,ftref"/>
    <w:basedOn w:val="DefaultParagraphFont"/>
    <w:uiPriority w:val="99"/>
    <w:unhideWhenUsed/>
    <w:qFormat/>
    <w:rsid w:val="00300749"/>
    <w:rPr>
      <w:vertAlign w:val="superscript"/>
    </w:rPr>
  </w:style>
  <w:style w:type="paragraph" w:styleId="Header">
    <w:name w:val="header"/>
    <w:basedOn w:val="Normal"/>
    <w:link w:val="HeaderChar"/>
    <w:uiPriority w:val="99"/>
    <w:unhideWhenUsed/>
    <w:rsid w:val="001F16A0"/>
    <w:pPr>
      <w:tabs>
        <w:tab w:val="center" w:pos="4513"/>
        <w:tab w:val="right" w:pos="9026"/>
      </w:tabs>
    </w:pPr>
  </w:style>
  <w:style w:type="character" w:customStyle="1" w:styleId="HeaderChar">
    <w:name w:val="Header Char"/>
    <w:basedOn w:val="DefaultParagraphFont"/>
    <w:link w:val="Header"/>
    <w:uiPriority w:val="99"/>
    <w:rsid w:val="001F16A0"/>
  </w:style>
  <w:style w:type="character" w:styleId="PageNumber">
    <w:name w:val="page number"/>
    <w:basedOn w:val="DefaultParagraphFont"/>
    <w:uiPriority w:val="99"/>
    <w:semiHidden/>
    <w:unhideWhenUsed/>
    <w:rsid w:val="001F16A0"/>
  </w:style>
  <w:style w:type="paragraph" w:customStyle="1" w:styleId="XClause1Head">
    <w:name w:val="XClause1Head"/>
    <w:basedOn w:val="Normal"/>
    <w:rsid w:val="00E40244"/>
    <w:pPr>
      <w:numPr>
        <w:numId w:val="3"/>
      </w:numPr>
      <w:spacing w:after="240" w:line="360" w:lineRule="atLeast"/>
      <w:jc w:val="both"/>
    </w:pPr>
    <w:rPr>
      <w:rFonts w:eastAsia="Times New Roman"/>
      <w:sz w:val="20"/>
      <w:szCs w:val="20"/>
      <w:lang w:val="en-GB" w:eastAsia="en-GB"/>
    </w:rPr>
  </w:style>
  <w:style w:type="paragraph" w:customStyle="1" w:styleId="XClause2Sub">
    <w:name w:val="XClause2Sub"/>
    <w:basedOn w:val="Normal"/>
    <w:rsid w:val="00E40244"/>
    <w:pPr>
      <w:numPr>
        <w:ilvl w:val="1"/>
        <w:numId w:val="3"/>
      </w:numPr>
      <w:spacing w:after="240" w:line="360" w:lineRule="atLeast"/>
      <w:jc w:val="both"/>
    </w:pPr>
    <w:rPr>
      <w:rFonts w:eastAsia="Times New Roman"/>
      <w:sz w:val="20"/>
      <w:szCs w:val="20"/>
      <w:lang w:val="en-GB" w:eastAsia="en-GB"/>
    </w:rPr>
  </w:style>
  <w:style w:type="paragraph" w:customStyle="1" w:styleId="XClause3Sub">
    <w:name w:val="XClause3Sub"/>
    <w:basedOn w:val="Normal"/>
    <w:rsid w:val="00E40244"/>
    <w:pPr>
      <w:numPr>
        <w:ilvl w:val="2"/>
        <w:numId w:val="3"/>
      </w:numPr>
      <w:spacing w:after="240" w:line="360" w:lineRule="atLeast"/>
      <w:jc w:val="both"/>
    </w:pPr>
    <w:rPr>
      <w:rFonts w:eastAsia="Times New Roman"/>
      <w:sz w:val="20"/>
      <w:szCs w:val="20"/>
      <w:lang w:val="en-GB" w:eastAsia="en-GB"/>
    </w:rPr>
  </w:style>
  <w:style w:type="paragraph" w:customStyle="1" w:styleId="XClause4Sub">
    <w:name w:val="XClause4Sub"/>
    <w:basedOn w:val="Normal"/>
    <w:rsid w:val="00E40244"/>
    <w:pPr>
      <w:numPr>
        <w:ilvl w:val="3"/>
        <w:numId w:val="3"/>
      </w:numPr>
      <w:spacing w:after="240" w:line="360" w:lineRule="atLeast"/>
      <w:jc w:val="both"/>
    </w:pPr>
    <w:rPr>
      <w:rFonts w:eastAsia="Times New Roman"/>
      <w:sz w:val="20"/>
      <w:szCs w:val="20"/>
      <w:lang w:val="en-GB" w:eastAsia="en-GB"/>
    </w:rPr>
  </w:style>
  <w:style w:type="paragraph" w:customStyle="1" w:styleId="XClause5Sub">
    <w:name w:val="XClause5Sub"/>
    <w:basedOn w:val="Normal"/>
    <w:rsid w:val="00E40244"/>
    <w:pPr>
      <w:numPr>
        <w:ilvl w:val="4"/>
        <w:numId w:val="3"/>
      </w:numPr>
      <w:spacing w:after="240" w:line="360" w:lineRule="atLeast"/>
      <w:jc w:val="both"/>
    </w:pPr>
    <w:rPr>
      <w:rFonts w:eastAsia="Times New Roman"/>
      <w:sz w:val="20"/>
      <w:szCs w:val="20"/>
      <w:lang w:val="en-GB" w:eastAsia="en-GB"/>
    </w:rPr>
  </w:style>
  <w:style w:type="paragraph" w:customStyle="1" w:styleId="XClause6Sub">
    <w:name w:val="XClause6Sub"/>
    <w:basedOn w:val="Normal"/>
    <w:rsid w:val="00E40244"/>
    <w:pPr>
      <w:numPr>
        <w:ilvl w:val="5"/>
        <w:numId w:val="3"/>
      </w:numPr>
      <w:spacing w:after="240" w:line="360" w:lineRule="atLeast"/>
      <w:jc w:val="both"/>
    </w:pPr>
    <w:rPr>
      <w:rFonts w:eastAsia="Times New Roman"/>
      <w:sz w:val="20"/>
      <w:szCs w:val="20"/>
      <w:lang w:val="en-GB" w:eastAsia="en-GB"/>
    </w:rPr>
  </w:style>
  <w:style w:type="paragraph" w:customStyle="1" w:styleId="XClause7Sub">
    <w:name w:val="XClause7Sub"/>
    <w:basedOn w:val="Normal"/>
    <w:rsid w:val="00E40244"/>
    <w:pPr>
      <w:numPr>
        <w:ilvl w:val="6"/>
        <w:numId w:val="3"/>
      </w:numPr>
      <w:spacing w:after="240" w:line="360" w:lineRule="atLeast"/>
      <w:jc w:val="both"/>
    </w:pPr>
    <w:rPr>
      <w:rFonts w:eastAsia="Times New Roman"/>
      <w:sz w:val="20"/>
      <w:szCs w:val="20"/>
      <w:lang w:val="en-GB" w:eastAsia="en-GB"/>
    </w:rPr>
  </w:style>
  <w:style w:type="paragraph" w:customStyle="1" w:styleId="XClause8Sub">
    <w:name w:val="XClause8Sub"/>
    <w:basedOn w:val="Normal"/>
    <w:rsid w:val="00E40244"/>
    <w:pPr>
      <w:numPr>
        <w:ilvl w:val="7"/>
        <w:numId w:val="3"/>
      </w:numPr>
      <w:spacing w:after="240" w:line="360" w:lineRule="atLeast"/>
      <w:jc w:val="both"/>
    </w:pPr>
    <w:rPr>
      <w:rFonts w:eastAsia="Times New Roman"/>
      <w:sz w:val="20"/>
      <w:szCs w:val="20"/>
      <w:lang w:val="en-GB" w:eastAsia="en-GB"/>
    </w:rPr>
  </w:style>
  <w:style w:type="paragraph" w:customStyle="1" w:styleId="XClause9Sub">
    <w:name w:val="XClause9Sub"/>
    <w:basedOn w:val="Normal"/>
    <w:rsid w:val="00E40244"/>
    <w:pPr>
      <w:numPr>
        <w:ilvl w:val="8"/>
        <w:numId w:val="3"/>
      </w:numPr>
      <w:spacing w:after="240" w:line="360" w:lineRule="atLeast"/>
      <w:jc w:val="both"/>
    </w:pPr>
    <w:rPr>
      <w:rFonts w:eastAsia="Times New Roman"/>
      <w:sz w:val="20"/>
      <w:szCs w:val="20"/>
      <w:lang w:val="en-GB" w:eastAsia="en-GB"/>
    </w:rPr>
  </w:style>
  <w:style w:type="character" w:customStyle="1" w:styleId="markedcontent">
    <w:name w:val="markedcontent"/>
    <w:basedOn w:val="DefaultParagraphFont"/>
    <w:rsid w:val="00AC3A1C"/>
  </w:style>
  <w:style w:type="character" w:styleId="Hyperlink">
    <w:name w:val="Hyperlink"/>
    <w:uiPriority w:val="99"/>
    <w:unhideWhenUsed/>
    <w:rsid w:val="00C342B7"/>
    <w:rPr>
      <w:color w:val="0000FF"/>
      <w:u w:val="single"/>
    </w:rPr>
  </w:style>
  <w:style w:type="paragraph" w:styleId="EndnoteText">
    <w:name w:val="endnote text"/>
    <w:basedOn w:val="Normal"/>
    <w:link w:val="EndnoteTextChar"/>
    <w:uiPriority w:val="99"/>
    <w:semiHidden/>
    <w:unhideWhenUsed/>
    <w:rsid w:val="00D551CC"/>
    <w:rPr>
      <w:rFonts w:ascii="Times New Roman" w:hAnsi="Times New Roman" w:cstheme="minorBidi"/>
      <w:sz w:val="22"/>
      <w:szCs w:val="20"/>
    </w:rPr>
  </w:style>
  <w:style w:type="character" w:customStyle="1" w:styleId="EndnoteTextChar">
    <w:name w:val="Endnote Text Char"/>
    <w:basedOn w:val="DefaultParagraphFont"/>
    <w:link w:val="EndnoteText"/>
    <w:uiPriority w:val="99"/>
    <w:semiHidden/>
    <w:rsid w:val="00D551CC"/>
    <w:rPr>
      <w:rFonts w:ascii="Times New Roman" w:hAnsi="Times New Roman" w:cstheme="minorBidi"/>
      <w:sz w:val="22"/>
      <w:szCs w:val="20"/>
    </w:rPr>
  </w:style>
  <w:style w:type="character" w:styleId="EndnoteReference">
    <w:name w:val="endnote reference"/>
    <w:basedOn w:val="DefaultParagraphFont"/>
    <w:uiPriority w:val="99"/>
    <w:semiHidden/>
    <w:unhideWhenUsed/>
    <w:rsid w:val="00D551CC"/>
    <w:rPr>
      <w:vertAlign w:val="superscript"/>
    </w:rPr>
  </w:style>
  <w:style w:type="paragraph" w:styleId="Footer">
    <w:name w:val="footer"/>
    <w:basedOn w:val="Normal"/>
    <w:link w:val="FooterChar"/>
    <w:uiPriority w:val="99"/>
    <w:semiHidden/>
    <w:unhideWhenUsed/>
    <w:rsid w:val="00201171"/>
    <w:pPr>
      <w:tabs>
        <w:tab w:val="center" w:pos="4513"/>
        <w:tab w:val="right" w:pos="9026"/>
      </w:tabs>
    </w:pPr>
  </w:style>
  <w:style w:type="character" w:customStyle="1" w:styleId="FooterChar">
    <w:name w:val="Footer Char"/>
    <w:basedOn w:val="DefaultParagraphFont"/>
    <w:link w:val="Footer"/>
    <w:uiPriority w:val="99"/>
    <w:semiHidden/>
    <w:rsid w:val="00201171"/>
  </w:style>
  <w:style w:type="paragraph" w:styleId="BalloonText">
    <w:name w:val="Balloon Text"/>
    <w:basedOn w:val="Normal"/>
    <w:link w:val="BalloonTextChar"/>
    <w:uiPriority w:val="99"/>
    <w:semiHidden/>
    <w:unhideWhenUsed/>
    <w:rsid w:val="006E55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5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949</TotalTime>
  <Pages>20</Pages>
  <Words>3867</Words>
  <Characters>22044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Mushahida Adhikari</dc:creator>
  <cp:keywords/>
  <dc:description/>
  <cp:lastModifiedBy>Mary Bruce</cp:lastModifiedBy>
  <cp:revision>3</cp:revision>
  <cp:lastPrinted>2024-02-13T06:29:00Z</cp:lastPrinted>
  <dcterms:created xsi:type="dcterms:W3CDTF">2024-02-12T13:58:00Z</dcterms:created>
  <dcterms:modified xsi:type="dcterms:W3CDTF">2024-02-15T08:44:00Z</dcterms:modified>
</cp:coreProperties>
</file>