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1009" w14:textId="77777777"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4FC426C0" wp14:editId="330F7BFA">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D0953" w14:textId="77777777" w:rsidR="006724F1" w:rsidRPr="00725C7B" w:rsidRDefault="006724F1" w:rsidP="006724F1">
      <w:pPr>
        <w:spacing w:line="360" w:lineRule="auto"/>
        <w:ind w:left="720"/>
        <w:jc w:val="both"/>
        <w:rPr>
          <w:b/>
          <w:bCs/>
        </w:rPr>
      </w:pPr>
    </w:p>
    <w:p w14:paraId="599BB01C" w14:textId="77777777" w:rsidR="006724F1" w:rsidRDefault="006724F1" w:rsidP="006724F1">
      <w:pPr>
        <w:spacing w:line="360" w:lineRule="auto"/>
        <w:ind w:left="720"/>
        <w:jc w:val="both"/>
        <w:rPr>
          <w:b/>
          <w:bCs/>
        </w:rPr>
      </w:pPr>
    </w:p>
    <w:p w14:paraId="44BFFEDC" w14:textId="77777777" w:rsidR="006724F1" w:rsidRPr="003B461A" w:rsidRDefault="006724F1" w:rsidP="00F4257E">
      <w:pPr>
        <w:spacing w:line="360" w:lineRule="auto"/>
        <w:jc w:val="center"/>
      </w:pPr>
      <w:r w:rsidRPr="003B461A">
        <w:rPr>
          <w:b/>
          <w:bCs/>
        </w:rPr>
        <w:t>IN THE HIGH COURT OF SOUTH AFRICA</w:t>
      </w:r>
    </w:p>
    <w:p w14:paraId="14A10BDA" w14:textId="77777777" w:rsidR="006724F1" w:rsidRPr="003B461A" w:rsidRDefault="006724F1" w:rsidP="00F4257E">
      <w:pPr>
        <w:spacing w:line="276" w:lineRule="auto"/>
        <w:jc w:val="center"/>
        <w:rPr>
          <w:b/>
          <w:bCs/>
        </w:rPr>
      </w:pPr>
      <w:r w:rsidRPr="003B461A">
        <w:rPr>
          <w:b/>
          <w:bCs/>
        </w:rPr>
        <w:t>(WESTERN CAPE DIVISION, CAPE TOWN)</w:t>
      </w:r>
    </w:p>
    <w:p w14:paraId="01505A14" w14:textId="77777777" w:rsidR="008A5E0B" w:rsidRDefault="008A5E0B" w:rsidP="008A5E0B">
      <w:pPr>
        <w:spacing w:line="360" w:lineRule="auto"/>
        <w:rPr>
          <w:b/>
          <w:bCs/>
        </w:rPr>
      </w:pPr>
    </w:p>
    <w:p w14:paraId="029C675E" w14:textId="4F5E6774" w:rsidR="008A5E0B" w:rsidRPr="007D314B" w:rsidRDefault="008A5E0B" w:rsidP="00E4257E">
      <w:pPr>
        <w:jc w:val="right"/>
        <w:rPr>
          <w:b/>
          <w:sz w:val="22"/>
          <w:szCs w:val="22"/>
        </w:rPr>
      </w:pPr>
      <w:r>
        <w:rPr>
          <w:b/>
        </w:rPr>
        <w:t xml:space="preserve"> </w:t>
      </w:r>
      <w:r w:rsidR="00092029">
        <w:rPr>
          <w:b/>
        </w:rPr>
        <w:t xml:space="preserve">                                                                            </w:t>
      </w:r>
      <w:r w:rsidRPr="006F6785">
        <w:t xml:space="preserve">                      </w:t>
      </w:r>
      <w:r w:rsidRPr="007D314B">
        <w:rPr>
          <w:b/>
          <w:sz w:val="22"/>
          <w:szCs w:val="22"/>
        </w:rPr>
        <w:t xml:space="preserve">Case No: </w:t>
      </w:r>
      <w:r w:rsidR="00DE5C7A" w:rsidRPr="007D314B">
        <w:rPr>
          <w:b/>
          <w:sz w:val="22"/>
          <w:szCs w:val="22"/>
        </w:rPr>
        <w:t>9318/2022</w:t>
      </w:r>
    </w:p>
    <w:p w14:paraId="4C6271BA" w14:textId="77777777" w:rsidR="008A5E0B" w:rsidRDefault="008A5E0B" w:rsidP="008A5E0B">
      <w:pPr>
        <w:jc w:val="both"/>
      </w:pPr>
    </w:p>
    <w:p w14:paraId="20C071FD" w14:textId="77777777" w:rsidR="00DE5C7A" w:rsidRDefault="00DE5C7A" w:rsidP="00DE5C7A">
      <w:pPr>
        <w:tabs>
          <w:tab w:val="right" w:pos="8373"/>
        </w:tabs>
        <w:rPr>
          <w:b/>
          <w:sz w:val="22"/>
          <w:szCs w:val="22"/>
        </w:rPr>
      </w:pPr>
      <w:r w:rsidRPr="00382D90">
        <w:rPr>
          <w:sz w:val="22"/>
          <w:szCs w:val="22"/>
        </w:rPr>
        <w:t xml:space="preserve">  </w:t>
      </w:r>
    </w:p>
    <w:p w14:paraId="56FC8581" w14:textId="77777777" w:rsidR="004B15B9" w:rsidRPr="002F7F38" w:rsidRDefault="004B15B9" w:rsidP="004B15B9">
      <w:pPr>
        <w:tabs>
          <w:tab w:val="right" w:pos="10440"/>
        </w:tabs>
        <w:spacing w:line="480" w:lineRule="auto"/>
        <w:rPr>
          <w:sz w:val="22"/>
          <w:szCs w:val="22"/>
        </w:rPr>
      </w:pPr>
      <w:r w:rsidRPr="002F7F38">
        <w:rPr>
          <w:b/>
          <w:sz w:val="22"/>
          <w:szCs w:val="22"/>
        </w:rPr>
        <w:t>AFRICA COMMUNITY MEDIA (PTY) LTD</w:t>
      </w:r>
      <w:r w:rsidRPr="002F7F38">
        <w:rPr>
          <w:b/>
          <w:sz w:val="22"/>
          <w:szCs w:val="22"/>
        </w:rPr>
        <w:tab/>
      </w:r>
      <w:r w:rsidRPr="002F7F38">
        <w:rPr>
          <w:bCs/>
          <w:sz w:val="22"/>
          <w:szCs w:val="22"/>
        </w:rPr>
        <w:t>First</w:t>
      </w:r>
      <w:r w:rsidRPr="002F7F38">
        <w:rPr>
          <w:b/>
          <w:sz w:val="22"/>
          <w:szCs w:val="22"/>
        </w:rPr>
        <w:t xml:space="preserve"> </w:t>
      </w:r>
      <w:r w:rsidRPr="002F7F38">
        <w:rPr>
          <w:sz w:val="22"/>
          <w:szCs w:val="22"/>
        </w:rPr>
        <w:t>Applicant</w:t>
      </w:r>
    </w:p>
    <w:p w14:paraId="309A8C11" w14:textId="77777777" w:rsidR="004B15B9" w:rsidRPr="002F7F38" w:rsidRDefault="004B15B9" w:rsidP="004B15B9">
      <w:pPr>
        <w:tabs>
          <w:tab w:val="right" w:pos="10440"/>
        </w:tabs>
        <w:spacing w:line="480" w:lineRule="auto"/>
        <w:rPr>
          <w:sz w:val="22"/>
          <w:szCs w:val="22"/>
        </w:rPr>
      </w:pPr>
      <w:r w:rsidRPr="002F7F38">
        <w:rPr>
          <w:b/>
          <w:sz w:val="22"/>
          <w:szCs w:val="22"/>
        </w:rPr>
        <w:t>ANA STUDIO (PTY) LTD</w:t>
      </w:r>
      <w:r w:rsidRPr="002F7F38">
        <w:rPr>
          <w:sz w:val="22"/>
          <w:szCs w:val="22"/>
        </w:rPr>
        <w:tab/>
        <w:t>Second Applicant</w:t>
      </w:r>
    </w:p>
    <w:p w14:paraId="33FC38BA" w14:textId="77777777" w:rsidR="004B15B9" w:rsidRPr="002F7F38" w:rsidRDefault="004B15B9" w:rsidP="004B15B9">
      <w:pPr>
        <w:tabs>
          <w:tab w:val="right" w:pos="10440"/>
        </w:tabs>
        <w:spacing w:line="480" w:lineRule="auto"/>
        <w:rPr>
          <w:sz w:val="22"/>
          <w:szCs w:val="22"/>
        </w:rPr>
      </w:pPr>
      <w:r w:rsidRPr="002F7F38">
        <w:rPr>
          <w:b/>
          <w:sz w:val="22"/>
          <w:szCs w:val="22"/>
        </w:rPr>
        <w:t>ALLIED LOGISTICS SOLUTIONS (PTY) LTD</w:t>
      </w:r>
      <w:r w:rsidRPr="002F7F38">
        <w:rPr>
          <w:b/>
          <w:sz w:val="22"/>
          <w:szCs w:val="22"/>
        </w:rPr>
        <w:tab/>
      </w:r>
      <w:r w:rsidRPr="002F7F38">
        <w:rPr>
          <w:bCs/>
          <w:sz w:val="22"/>
          <w:szCs w:val="22"/>
        </w:rPr>
        <w:t>Third</w:t>
      </w:r>
      <w:r w:rsidRPr="002F7F38">
        <w:rPr>
          <w:b/>
          <w:sz w:val="22"/>
          <w:szCs w:val="22"/>
        </w:rPr>
        <w:t xml:space="preserve"> </w:t>
      </w:r>
      <w:r w:rsidRPr="002F7F38">
        <w:rPr>
          <w:sz w:val="22"/>
          <w:szCs w:val="22"/>
        </w:rPr>
        <w:t>Applicant</w:t>
      </w:r>
    </w:p>
    <w:p w14:paraId="6E18F529" w14:textId="77777777" w:rsidR="004B15B9" w:rsidRPr="002F7F38" w:rsidRDefault="004B15B9" w:rsidP="004B15B9">
      <w:pPr>
        <w:tabs>
          <w:tab w:val="right" w:pos="10440"/>
        </w:tabs>
        <w:spacing w:line="480" w:lineRule="auto"/>
        <w:rPr>
          <w:sz w:val="22"/>
          <w:szCs w:val="22"/>
        </w:rPr>
      </w:pPr>
      <w:r w:rsidRPr="002F7F38">
        <w:rPr>
          <w:b/>
          <w:sz w:val="22"/>
          <w:szCs w:val="22"/>
        </w:rPr>
        <w:t>BANNER NEWS AGENCY (PTY) LTD</w:t>
      </w:r>
      <w:r w:rsidRPr="002F7F38">
        <w:rPr>
          <w:sz w:val="22"/>
          <w:szCs w:val="22"/>
        </w:rPr>
        <w:tab/>
        <w:t>Fourth Applicant</w:t>
      </w:r>
    </w:p>
    <w:p w14:paraId="4E820B92" w14:textId="77777777" w:rsidR="004B15B9" w:rsidRPr="002F7F38" w:rsidRDefault="004B15B9" w:rsidP="004B15B9">
      <w:pPr>
        <w:tabs>
          <w:tab w:val="right" w:pos="10440"/>
        </w:tabs>
        <w:spacing w:line="480" w:lineRule="auto"/>
        <w:rPr>
          <w:sz w:val="22"/>
          <w:szCs w:val="22"/>
        </w:rPr>
      </w:pPr>
      <w:r w:rsidRPr="002F7F38">
        <w:rPr>
          <w:b/>
          <w:sz w:val="22"/>
          <w:szCs w:val="22"/>
        </w:rPr>
        <w:t>CONDE NAST INDEPENDENT MAGAZINES (PTY) LTD</w:t>
      </w:r>
      <w:r w:rsidRPr="002F7F38">
        <w:rPr>
          <w:b/>
          <w:sz w:val="22"/>
          <w:szCs w:val="22"/>
        </w:rPr>
        <w:tab/>
      </w:r>
      <w:r w:rsidRPr="002F7F38">
        <w:rPr>
          <w:bCs/>
          <w:sz w:val="22"/>
          <w:szCs w:val="22"/>
        </w:rPr>
        <w:t>Fifth</w:t>
      </w:r>
      <w:r w:rsidRPr="002F7F38">
        <w:rPr>
          <w:b/>
          <w:sz w:val="22"/>
          <w:szCs w:val="22"/>
        </w:rPr>
        <w:t xml:space="preserve"> </w:t>
      </w:r>
      <w:r w:rsidRPr="002F7F38">
        <w:rPr>
          <w:sz w:val="22"/>
          <w:szCs w:val="22"/>
        </w:rPr>
        <w:t>Applicant</w:t>
      </w:r>
    </w:p>
    <w:p w14:paraId="6E02CC9C" w14:textId="77777777" w:rsidR="004B15B9" w:rsidRPr="002F7F38" w:rsidRDefault="004B15B9" w:rsidP="004B15B9">
      <w:pPr>
        <w:tabs>
          <w:tab w:val="left" w:pos="5352"/>
          <w:tab w:val="right" w:pos="10440"/>
        </w:tabs>
        <w:spacing w:line="480" w:lineRule="auto"/>
        <w:rPr>
          <w:sz w:val="22"/>
          <w:szCs w:val="22"/>
        </w:rPr>
      </w:pPr>
      <w:r w:rsidRPr="002F7F38">
        <w:rPr>
          <w:b/>
          <w:sz w:val="22"/>
          <w:szCs w:val="22"/>
        </w:rPr>
        <w:t>CONTENT NATION MEDIA (PTY) LTD</w:t>
      </w:r>
      <w:r w:rsidRPr="002F7F38">
        <w:rPr>
          <w:sz w:val="22"/>
          <w:szCs w:val="22"/>
        </w:rPr>
        <w:tab/>
      </w:r>
      <w:r w:rsidRPr="002F7F38">
        <w:rPr>
          <w:sz w:val="22"/>
          <w:szCs w:val="22"/>
        </w:rPr>
        <w:tab/>
        <w:t>Sixth Applicant</w:t>
      </w:r>
    </w:p>
    <w:p w14:paraId="7C705E13" w14:textId="77777777" w:rsidR="004B15B9" w:rsidRPr="002F7F38" w:rsidRDefault="004B15B9" w:rsidP="004B15B9">
      <w:pPr>
        <w:tabs>
          <w:tab w:val="right" w:pos="10440"/>
        </w:tabs>
        <w:spacing w:line="480" w:lineRule="auto"/>
        <w:rPr>
          <w:sz w:val="22"/>
          <w:szCs w:val="22"/>
        </w:rPr>
      </w:pPr>
      <w:r w:rsidRPr="002F7F38">
        <w:rPr>
          <w:b/>
          <w:sz w:val="22"/>
          <w:szCs w:val="22"/>
        </w:rPr>
        <w:t>INSIGHTS PUBLISHING (PTY) LTD</w:t>
      </w:r>
      <w:r w:rsidRPr="002F7F38">
        <w:rPr>
          <w:b/>
          <w:sz w:val="22"/>
          <w:szCs w:val="22"/>
        </w:rPr>
        <w:tab/>
      </w:r>
      <w:r w:rsidRPr="002F7F38">
        <w:rPr>
          <w:bCs/>
          <w:sz w:val="22"/>
          <w:szCs w:val="22"/>
        </w:rPr>
        <w:t>Seventh</w:t>
      </w:r>
      <w:r w:rsidRPr="002F7F38">
        <w:rPr>
          <w:b/>
          <w:sz w:val="22"/>
          <w:szCs w:val="22"/>
        </w:rPr>
        <w:t xml:space="preserve"> </w:t>
      </w:r>
      <w:r w:rsidRPr="002F7F38">
        <w:rPr>
          <w:sz w:val="22"/>
          <w:szCs w:val="22"/>
        </w:rPr>
        <w:t>Applicant</w:t>
      </w:r>
    </w:p>
    <w:p w14:paraId="7DD60432" w14:textId="77777777" w:rsidR="004B15B9" w:rsidRPr="002F7F38" w:rsidRDefault="004B15B9" w:rsidP="004B15B9">
      <w:pPr>
        <w:tabs>
          <w:tab w:val="right" w:pos="10440"/>
        </w:tabs>
        <w:spacing w:line="480" w:lineRule="auto"/>
        <w:rPr>
          <w:sz w:val="22"/>
          <w:szCs w:val="22"/>
        </w:rPr>
      </w:pPr>
      <w:r w:rsidRPr="002F7F38">
        <w:rPr>
          <w:b/>
          <w:sz w:val="22"/>
          <w:szCs w:val="22"/>
        </w:rPr>
        <w:t>GLOBAL COMMAND AND CONTROL TECHNOLOGIES (PTY) LTD</w:t>
      </w:r>
      <w:r w:rsidRPr="002F7F38">
        <w:rPr>
          <w:sz w:val="22"/>
          <w:szCs w:val="22"/>
        </w:rPr>
        <w:tab/>
        <w:t>Eighth Applicant</w:t>
      </w:r>
    </w:p>
    <w:p w14:paraId="166BF7C4" w14:textId="77777777" w:rsidR="004B15B9" w:rsidRPr="002F7F38" w:rsidRDefault="004B15B9" w:rsidP="004B15B9">
      <w:pPr>
        <w:tabs>
          <w:tab w:val="right" w:pos="10440"/>
        </w:tabs>
        <w:spacing w:line="480" w:lineRule="auto"/>
        <w:rPr>
          <w:sz w:val="22"/>
          <w:szCs w:val="22"/>
        </w:rPr>
      </w:pPr>
      <w:r w:rsidRPr="002F7F38">
        <w:rPr>
          <w:b/>
          <w:sz w:val="22"/>
          <w:szCs w:val="22"/>
        </w:rPr>
        <w:t>INDEPENDENT MEDIA SOLUTIONS (PTY) LTD</w:t>
      </w:r>
      <w:r w:rsidRPr="002F7F38">
        <w:rPr>
          <w:b/>
          <w:sz w:val="22"/>
          <w:szCs w:val="22"/>
        </w:rPr>
        <w:tab/>
      </w:r>
      <w:r w:rsidRPr="002F7F38">
        <w:rPr>
          <w:bCs/>
          <w:sz w:val="22"/>
          <w:szCs w:val="22"/>
        </w:rPr>
        <w:t>Ninth</w:t>
      </w:r>
      <w:r w:rsidRPr="002F7F38">
        <w:rPr>
          <w:b/>
          <w:sz w:val="22"/>
          <w:szCs w:val="22"/>
        </w:rPr>
        <w:t xml:space="preserve"> </w:t>
      </w:r>
      <w:r w:rsidRPr="002F7F38">
        <w:rPr>
          <w:sz w:val="22"/>
          <w:szCs w:val="22"/>
        </w:rPr>
        <w:t>Applicant</w:t>
      </w:r>
    </w:p>
    <w:p w14:paraId="470CC895" w14:textId="77777777" w:rsidR="004B15B9" w:rsidRPr="002F7F38" w:rsidRDefault="004B15B9" w:rsidP="004B15B9">
      <w:pPr>
        <w:tabs>
          <w:tab w:val="right" w:pos="10440"/>
        </w:tabs>
        <w:spacing w:line="480" w:lineRule="auto"/>
        <w:rPr>
          <w:sz w:val="22"/>
          <w:szCs w:val="22"/>
        </w:rPr>
      </w:pPr>
      <w:r w:rsidRPr="002F7F38">
        <w:rPr>
          <w:b/>
          <w:sz w:val="22"/>
          <w:szCs w:val="22"/>
        </w:rPr>
        <w:t>INDEPENDENT MEDIA SA (PTY) LTD</w:t>
      </w:r>
      <w:r w:rsidRPr="002F7F38">
        <w:rPr>
          <w:sz w:val="22"/>
          <w:szCs w:val="22"/>
        </w:rPr>
        <w:tab/>
        <w:t>Tenth Applicant</w:t>
      </w:r>
    </w:p>
    <w:p w14:paraId="5077E6AD" w14:textId="77777777" w:rsidR="004B15B9" w:rsidRPr="002F7F38" w:rsidRDefault="004B15B9" w:rsidP="004B15B9">
      <w:pPr>
        <w:tabs>
          <w:tab w:val="right" w:pos="10440"/>
        </w:tabs>
        <w:spacing w:line="480" w:lineRule="auto"/>
        <w:rPr>
          <w:sz w:val="22"/>
          <w:szCs w:val="22"/>
        </w:rPr>
      </w:pPr>
      <w:r w:rsidRPr="002F7F38">
        <w:rPr>
          <w:b/>
          <w:sz w:val="22"/>
          <w:szCs w:val="22"/>
        </w:rPr>
        <w:t>INDEPENDENT NEWSPAPERS (PTY) LTD</w:t>
      </w:r>
      <w:r w:rsidRPr="002F7F38">
        <w:rPr>
          <w:b/>
          <w:sz w:val="22"/>
          <w:szCs w:val="22"/>
        </w:rPr>
        <w:tab/>
      </w:r>
      <w:r w:rsidRPr="002F7F38">
        <w:rPr>
          <w:bCs/>
          <w:sz w:val="22"/>
          <w:szCs w:val="22"/>
        </w:rPr>
        <w:t>Eleventh</w:t>
      </w:r>
      <w:r w:rsidRPr="002F7F38">
        <w:rPr>
          <w:b/>
          <w:sz w:val="22"/>
          <w:szCs w:val="22"/>
        </w:rPr>
        <w:t xml:space="preserve"> </w:t>
      </w:r>
      <w:r w:rsidRPr="002F7F38">
        <w:rPr>
          <w:sz w:val="22"/>
          <w:szCs w:val="22"/>
        </w:rPr>
        <w:t>Applicant</w:t>
      </w:r>
    </w:p>
    <w:p w14:paraId="22D95FEE" w14:textId="77777777" w:rsidR="004B15B9" w:rsidRPr="002F7F38" w:rsidRDefault="004B15B9" w:rsidP="004B15B9">
      <w:pPr>
        <w:tabs>
          <w:tab w:val="right" w:pos="10440"/>
        </w:tabs>
        <w:spacing w:line="480" w:lineRule="auto"/>
        <w:rPr>
          <w:sz w:val="22"/>
          <w:szCs w:val="22"/>
        </w:rPr>
      </w:pPr>
      <w:r w:rsidRPr="002F7F38">
        <w:rPr>
          <w:b/>
          <w:bCs/>
          <w:sz w:val="22"/>
          <w:szCs w:val="22"/>
        </w:rPr>
        <w:t xml:space="preserve">KATHEA COMMUNICATIONS SOLUTIONS </w:t>
      </w:r>
      <w:r w:rsidRPr="002F7F38">
        <w:rPr>
          <w:b/>
          <w:sz w:val="22"/>
          <w:szCs w:val="22"/>
        </w:rPr>
        <w:t>(PTY) LTD</w:t>
      </w:r>
      <w:r w:rsidRPr="002F7F38">
        <w:rPr>
          <w:sz w:val="22"/>
          <w:szCs w:val="22"/>
        </w:rPr>
        <w:tab/>
        <w:t>Twelfth Applicant</w:t>
      </w:r>
    </w:p>
    <w:p w14:paraId="0841E237" w14:textId="77777777" w:rsidR="004B15B9" w:rsidRPr="002F7F38" w:rsidRDefault="004B15B9" w:rsidP="004B15B9">
      <w:pPr>
        <w:tabs>
          <w:tab w:val="right" w:pos="10440"/>
        </w:tabs>
        <w:spacing w:line="480" w:lineRule="auto"/>
        <w:rPr>
          <w:sz w:val="22"/>
          <w:szCs w:val="22"/>
        </w:rPr>
      </w:pPr>
      <w:r w:rsidRPr="002F7F38">
        <w:rPr>
          <w:b/>
          <w:sz w:val="22"/>
          <w:szCs w:val="22"/>
        </w:rPr>
        <w:t>AFRICA ONLINE RETAIL (PTY) LTD</w:t>
      </w:r>
      <w:r w:rsidRPr="002F7F38">
        <w:rPr>
          <w:b/>
          <w:sz w:val="22"/>
          <w:szCs w:val="22"/>
        </w:rPr>
        <w:tab/>
      </w:r>
      <w:r w:rsidRPr="002F7F38">
        <w:rPr>
          <w:bCs/>
          <w:sz w:val="22"/>
          <w:szCs w:val="22"/>
        </w:rPr>
        <w:t>Thirteenth</w:t>
      </w:r>
      <w:r w:rsidRPr="002F7F38">
        <w:rPr>
          <w:b/>
          <w:sz w:val="22"/>
          <w:szCs w:val="22"/>
        </w:rPr>
        <w:t xml:space="preserve"> </w:t>
      </w:r>
      <w:r w:rsidRPr="002F7F38">
        <w:rPr>
          <w:sz w:val="22"/>
          <w:szCs w:val="22"/>
        </w:rPr>
        <w:t>Applicant</w:t>
      </w:r>
    </w:p>
    <w:p w14:paraId="629006A9" w14:textId="77777777" w:rsidR="004B15B9" w:rsidRPr="002F7F38" w:rsidRDefault="004B15B9" w:rsidP="004B15B9">
      <w:pPr>
        <w:tabs>
          <w:tab w:val="right" w:pos="10440"/>
        </w:tabs>
        <w:spacing w:line="480" w:lineRule="auto"/>
        <w:rPr>
          <w:sz w:val="22"/>
          <w:szCs w:val="22"/>
        </w:rPr>
      </w:pPr>
      <w:r w:rsidRPr="002F7F38">
        <w:rPr>
          <w:b/>
          <w:bCs/>
          <w:sz w:val="22"/>
          <w:szCs w:val="22"/>
        </w:rPr>
        <w:t>ORLEANS COSMETICS (PTY) LTD</w:t>
      </w:r>
      <w:r w:rsidRPr="002F7F38">
        <w:rPr>
          <w:sz w:val="22"/>
          <w:szCs w:val="22"/>
        </w:rPr>
        <w:tab/>
        <w:t>Fourteenth Applicant</w:t>
      </w:r>
    </w:p>
    <w:p w14:paraId="4A5C6174" w14:textId="431204A8" w:rsidR="004B15B9" w:rsidRPr="002F7F38" w:rsidRDefault="004B15B9" w:rsidP="004B15B9">
      <w:pPr>
        <w:tabs>
          <w:tab w:val="right" w:pos="10440"/>
        </w:tabs>
        <w:spacing w:line="480" w:lineRule="auto"/>
        <w:rPr>
          <w:sz w:val="22"/>
          <w:szCs w:val="22"/>
        </w:rPr>
      </w:pPr>
      <w:r w:rsidRPr="002F7F38">
        <w:rPr>
          <w:b/>
          <w:sz w:val="22"/>
          <w:szCs w:val="22"/>
        </w:rPr>
        <w:t>WIKIDEALS (PTY) LTD</w:t>
      </w:r>
      <w:r w:rsidRPr="002F7F38">
        <w:rPr>
          <w:sz w:val="22"/>
          <w:szCs w:val="22"/>
        </w:rPr>
        <w:t xml:space="preserve">                                                                               Fifteenth Applicant</w:t>
      </w:r>
    </w:p>
    <w:p w14:paraId="551373BC" w14:textId="77777777" w:rsidR="004B15B9" w:rsidRPr="002F7F38" w:rsidRDefault="004B15B9" w:rsidP="004B15B9">
      <w:pPr>
        <w:tabs>
          <w:tab w:val="right" w:pos="10440"/>
        </w:tabs>
        <w:spacing w:line="480" w:lineRule="auto"/>
        <w:rPr>
          <w:sz w:val="22"/>
          <w:szCs w:val="22"/>
        </w:rPr>
      </w:pPr>
      <w:r w:rsidRPr="002F7F38">
        <w:rPr>
          <w:b/>
          <w:sz w:val="22"/>
          <w:szCs w:val="22"/>
        </w:rPr>
        <w:t xml:space="preserve">TRIPOS TRAVEL </w:t>
      </w:r>
      <w:r w:rsidRPr="002F7F38">
        <w:rPr>
          <w:b/>
          <w:bCs/>
          <w:sz w:val="22"/>
          <w:szCs w:val="22"/>
        </w:rPr>
        <w:t>(PTY) LTD</w:t>
      </w:r>
      <w:r w:rsidRPr="002F7F38">
        <w:rPr>
          <w:b/>
          <w:sz w:val="22"/>
          <w:szCs w:val="22"/>
        </w:rPr>
        <w:tab/>
      </w:r>
      <w:r w:rsidRPr="002F7F38">
        <w:rPr>
          <w:sz w:val="22"/>
          <w:szCs w:val="22"/>
        </w:rPr>
        <w:t>Sixteenth Applicant</w:t>
      </w:r>
    </w:p>
    <w:p w14:paraId="664BCFE8" w14:textId="77777777" w:rsidR="004B15B9" w:rsidRPr="002F7F38" w:rsidRDefault="004B15B9" w:rsidP="004B15B9">
      <w:pPr>
        <w:tabs>
          <w:tab w:val="right" w:pos="10440"/>
        </w:tabs>
        <w:spacing w:line="480" w:lineRule="auto"/>
        <w:rPr>
          <w:sz w:val="22"/>
          <w:szCs w:val="22"/>
        </w:rPr>
      </w:pPr>
      <w:r w:rsidRPr="002F7F38">
        <w:rPr>
          <w:b/>
          <w:bCs/>
          <w:sz w:val="22"/>
          <w:szCs w:val="22"/>
        </w:rPr>
        <w:t>INDEPENDENT ONLINE SA (PTY) LTD</w:t>
      </w:r>
      <w:r w:rsidRPr="002F7F38">
        <w:rPr>
          <w:sz w:val="22"/>
          <w:szCs w:val="22"/>
        </w:rPr>
        <w:tab/>
      </w:r>
      <w:r w:rsidRPr="002F7F38">
        <w:rPr>
          <w:bCs/>
          <w:sz w:val="22"/>
          <w:szCs w:val="22"/>
        </w:rPr>
        <w:t>Seventeenth</w:t>
      </w:r>
      <w:r w:rsidRPr="002F7F38">
        <w:rPr>
          <w:b/>
          <w:sz w:val="22"/>
          <w:szCs w:val="22"/>
        </w:rPr>
        <w:t xml:space="preserve"> </w:t>
      </w:r>
      <w:r w:rsidRPr="002F7F38">
        <w:rPr>
          <w:sz w:val="22"/>
          <w:szCs w:val="22"/>
        </w:rPr>
        <w:t>Applicant</w:t>
      </w:r>
    </w:p>
    <w:p w14:paraId="0573E49B" w14:textId="77777777" w:rsidR="004B15B9" w:rsidRPr="002F7F38" w:rsidRDefault="004B15B9" w:rsidP="004B15B9">
      <w:pPr>
        <w:tabs>
          <w:tab w:val="right" w:pos="10440"/>
        </w:tabs>
        <w:spacing w:line="480" w:lineRule="auto"/>
        <w:rPr>
          <w:sz w:val="22"/>
          <w:szCs w:val="22"/>
        </w:rPr>
      </w:pPr>
      <w:r w:rsidRPr="002F7F38">
        <w:rPr>
          <w:b/>
          <w:sz w:val="22"/>
          <w:szCs w:val="22"/>
        </w:rPr>
        <w:t xml:space="preserve">AFRICAN NEWS AGENCY </w:t>
      </w:r>
      <w:r w:rsidRPr="002F7F38">
        <w:rPr>
          <w:b/>
          <w:bCs/>
          <w:sz w:val="22"/>
          <w:szCs w:val="22"/>
        </w:rPr>
        <w:t>(PTY) LTD</w:t>
      </w:r>
      <w:r w:rsidRPr="002F7F38">
        <w:rPr>
          <w:b/>
          <w:sz w:val="22"/>
          <w:szCs w:val="22"/>
        </w:rPr>
        <w:tab/>
      </w:r>
      <w:r w:rsidRPr="002F7F38">
        <w:rPr>
          <w:sz w:val="22"/>
          <w:szCs w:val="22"/>
        </w:rPr>
        <w:t>Eighteenth Applicant</w:t>
      </w:r>
    </w:p>
    <w:p w14:paraId="4A15C24F" w14:textId="77777777" w:rsidR="004B15B9" w:rsidRPr="002F7F38" w:rsidRDefault="004B15B9" w:rsidP="004B15B9">
      <w:pPr>
        <w:tabs>
          <w:tab w:val="right" w:pos="10440"/>
        </w:tabs>
        <w:spacing w:line="480" w:lineRule="auto"/>
        <w:rPr>
          <w:sz w:val="22"/>
          <w:szCs w:val="22"/>
        </w:rPr>
      </w:pPr>
      <w:r w:rsidRPr="002F7F38">
        <w:rPr>
          <w:b/>
          <w:bCs/>
          <w:sz w:val="22"/>
          <w:szCs w:val="22"/>
        </w:rPr>
        <w:t>SAGARMATHA TECHNOLOGIES LTD</w:t>
      </w:r>
      <w:r w:rsidRPr="002F7F38">
        <w:rPr>
          <w:sz w:val="22"/>
          <w:szCs w:val="22"/>
        </w:rPr>
        <w:tab/>
      </w:r>
      <w:r w:rsidRPr="002F7F38">
        <w:rPr>
          <w:bCs/>
          <w:sz w:val="22"/>
          <w:szCs w:val="22"/>
        </w:rPr>
        <w:t>Nineteenth</w:t>
      </w:r>
      <w:r w:rsidRPr="002F7F38">
        <w:rPr>
          <w:b/>
          <w:sz w:val="22"/>
          <w:szCs w:val="22"/>
        </w:rPr>
        <w:t xml:space="preserve"> </w:t>
      </w:r>
      <w:r w:rsidRPr="002F7F38">
        <w:rPr>
          <w:sz w:val="22"/>
          <w:szCs w:val="22"/>
        </w:rPr>
        <w:t>Applicant</w:t>
      </w:r>
    </w:p>
    <w:p w14:paraId="3FCC2CC9" w14:textId="77777777" w:rsidR="004B15B9" w:rsidRPr="002F7F38" w:rsidRDefault="004B15B9" w:rsidP="004B15B9">
      <w:pPr>
        <w:tabs>
          <w:tab w:val="right" w:pos="10440"/>
        </w:tabs>
        <w:spacing w:line="480" w:lineRule="auto"/>
        <w:rPr>
          <w:sz w:val="22"/>
          <w:szCs w:val="22"/>
        </w:rPr>
      </w:pPr>
      <w:r w:rsidRPr="002F7F38">
        <w:rPr>
          <w:b/>
          <w:sz w:val="22"/>
          <w:szCs w:val="22"/>
        </w:rPr>
        <w:t xml:space="preserve">ANA PUBLISHING </w:t>
      </w:r>
      <w:r w:rsidRPr="002F7F38">
        <w:rPr>
          <w:b/>
          <w:bCs/>
          <w:sz w:val="22"/>
          <w:szCs w:val="22"/>
        </w:rPr>
        <w:t>(PTY) LTD</w:t>
      </w:r>
      <w:r w:rsidRPr="002F7F38">
        <w:rPr>
          <w:b/>
          <w:sz w:val="22"/>
          <w:szCs w:val="22"/>
        </w:rPr>
        <w:tab/>
      </w:r>
      <w:r w:rsidRPr="002F7F38">
        <w:rPr>
          <w:sz w:val="22"/>
          <w:szCs w:val="22"/>
        </w:rPr>
        <w:t>Twentieth Applicant</w:t>
      </w:r>
    </w:p>
    <w:p w14:paraId="16DEFDED" w14:textId="77777777" w:rsidR="004B15B9" w:rsidRPr="002F7F38" w:rsidRDefault="004B15B9" w:rsidP="004B15B9">
      <w:pPr>
        <w:tabs>
          <w:tab w:val="right" w:pos="10440"/>
        </w:tabs>
        <w:spacing w:line="480" w:lineRule="auto"/>
        <w:rPr>
          <w:sz w:val="22"/>
          <w:szCs w:val="22"/>
        </w:rPr>
      </w:pPr>
      <w:r w:rsidRPr="002F7F38">
        <w:rPr>
          <w:b/>
          <w:bCs/>
          <w:sz w:val="22"/>
          <w:szCs w:val="22"/>
        </w:rPr>
        <w:t>AFRICAN NEWS AGENCY PICTURES (PTY) LTD</w:t>
      </w:r>
      <w:r w:rsidRPr="002F7F38">
        <w:rPr>
          <w:sz w:val="22"/>
          <w:szCs w:val="22"/>
        </w:rPr>
        <w:tab/>
      </w:r>
      <w:r w:rsidRPr="002F7F38">
        <w:rPr>
          <w:bCs/>
          <w:sz w:val="22"/>
          <w:szCs w:val="22"/>
        </w:rPr>
        <w:t>Twenty-first</w:t>
      </w:r>
      <w:r w:rsidRPr="002F7F38">
        <w:rPr>
          <w:b/>
          <w:sz w:val="22"/>
          <w:szCs w:val="22"/>
        </w:rPr>
        <w:t xml:space="preserve"> </w:t>
      </w:r>
      <w:r w:rsidRPr="002F7F38">
        <w:rPr>
          <w:sz w:val="22"/>
          <w:szCs w:val="22"/>
        </w:rPr>
        <w:t>Applicant</w:t>
      </w:r>
    </w:p>
    <w:p w14:paraId="03C03DF3" w14:textId="77777777" w:rsidR="004B15B9" w:rsidRPr="002F7F38" w:rsidRDefault="004B15B9" w:rsidP="004B15B9">
      <w:pPr>
        <w:tabs>
          <w:tab w:val="right" w:pos="10440"/>
        </w:tabs>
        <w:spacing w:line="480" w:lineRule="auto"/>
        <w:rPr>
          <w:sz w:val="22"/>
          <w:szCs w:val="22"/>
        </w:rPr>
      </w:pPr>
      <w:r w:rsidRPr="002F7F38">
        <w:rPr>
          <w:b/>
          <w:sz w:val="22"/>
          <w:szCs w:val="22"/>
        </w:rPr>
        <w:t xml:space="preserve">3 LAWS CAPITAL SOUTH AFRICA </w:t>
      </w:r>
      <w:r w:rsidRPr="002F7F38">
        <w:rPr>
          <w:b/>
          <w:bCs/>
          <w:sz w:val="22"/>
          <w:szCs w:val="22"/>
        </w:rPr>
        <w:t>(PTY) LTD</w:t>
      </w:r>
      <w:r w:rsidRPr="002F7F38">
        <w:rPr>
          <w:b/>
          <w:sz w:val="22"/>
          <w:szCs w:val="22"/>
        </w:rPr>
        <w:tab/>
      </w:r>
      <w:r w:rsidRPr="002F7F38">
        <w:rPr>
          <w:sz w:val="22"/>
          <w:szCs w:val="22"/>
        </w:rPr>
        <w:t>Twenty-second Applicant</w:t>
      </w:r>
    </w:p>
    <w:p w14:paraId="01154662" w14:textId="03621F43" w:rsidR="004B15B9" w:rsidRPr="002F7F38" w:rsidRDefault="004B15B9" w:rsidP="004B15B9">
      <w:pPr>
        <w:tabs>
          <w:tab w:val="right" w:pos="8364"/>
          <w:tab w:val="right" w:pos="10440"/>
        </w:tabs>
        <w:spacing w:line="480" w:lineRule="auto"/>
        <w:rPr>
          <w:bCs/>
          <w:sz w:val="22"/>
          <w:szCs w:val="22"/>
        </w:rPr>
      </w:pPr>
      <w:r w:rsidRPr="002F7F38">
        <w:rPr>
          <w:b/>
          <w:sz w:val="22"/>
          <w:szCs w:val="22"/>
        </w:rPr>
        <w:lastRenderedPageBreak/>
        <w:t xml:space="preserve">SGT SOLUTIONS </w:t>
      </w:r>
      <w:r w:rsidRPr="002F7F38">
        <w:rPr>
          <w:b/>
          <w:bCs/>
          <w:sz w:val="22"/>
          <w:szCs w:val="22"/>
        </w:rPr>
        <w:t xml:space="preserve">(PTY) LTD                                                             </w:t>
      </w:r>
      <w:r>
        <w:rPr>
          <w:b/>
          <w:bCs/>
          <w:sz w:val="22"/>
          <w:szCs w:val="22"/>
        </w:rPr>
        <w:t xml:space="preserve"> </w:t>
      </w:r>
      <w:r w:rsidRPr="002F7F38">
        <w:rPr>
          <w:b/>
          <w:bCs/>
          <w:sz w:val="22"/>
          <w:szCs w:val="22"/>
        </w:rPr>
        <w:t xml:space="preserve">  </w:t>
      </w:r>
      <w:r w:rsidRPr="002F7F38">
        <w:rPr>
          <w:bCs/>
          <w:sz w:val="22"/>
          <w:szCs w:val="22"/>
        </w:rPr>
        <w:t>Twenty-third Applicant</w:t>
      </w:r>
    </w:p>
    <w:p w14:paraId="2839CC6F" w14:textId="6BE79026" w:rsidR="004B15B9" w:rsidRPr="002F7F38" w:rsidRDefault="004B15B9" w:rsidP="004B15B9">
      <w:pPr>
        <w:tabs>
          <w:tab w:val="right" w:pos="8364"/>
          <w:tab w:val="right" w:pos="10440"/>
        </w:tabs>
        <w:spacing w:line="480" w:lineRule="auto"/>
        <w:rPr>
          <w:b/>
          <w:bCs/>
          <w:sz w:val="22"/>
          <w:szCs w:val="22"/>
        </w:rPr>
      </w:pPr>
      <w:r w:rsidRPr="002F7F38">
        <w:rPr>
          <w:b/>
          <w:bCs/>
          <w:sz w:val="22"/>
          <w:szCs w:val="22"/>
        </w:rPr>
        <w:t xml:space="preserve">AFRICA EQUITY EMPOWERMENT INVESTMENT LTD                   </w:t>
      </w:r>
      <w:r w:rsidRPr="002F7F38">
        <w:rPr>
          <w:bCs/>
          <w:sz w:val="22"/>
          <w:szCs w:val="22"/>
        </w:rPr>
        <w:t>Twenty-fourth Applicant</w:t>
      </w:r>
    </w:p>
    <w:p w14:paraId="4C6485F5" w14:textId="19552C47" w:rsidR="004B15B9" w:rsidRPr="002F7F38" w:rsidRDefault="004B15B9" w:rsidP="004B15B9">
      <w:pPr>
        <w:tabs>
          <w:tab w:val="right" w:pos="8364"/>
          <w:tab w:val="right" w:pos="10440"/>
        </w:tabs>
        <w:spacing w:line="480" w:lineRule="auto"/>
        <w:rPr>
          <w:bCs/>
          <w:sz w:val="22"/>
          <w:szCs w:val="22"/>
        </w:rPr>
      </w:pPr>
      <w:r w:rsidRPr="002F7F38">
        <w:rPr>
          <w:b/>
          <w:sz w:val="22"/>
          <w:szCs w:val="22"/>
        </w:rPr>
        <w:t xml:space="preserve">BUSINESS VENTURE INVESTMENTS NO 1581(RF) </w:t>
      </w:r>
      <w:r w:rsidRPr="002F7F38">
        <w:rPr>
          <w:b/>
          <w:bCs/>
          <w:sz w:val="22"/>
          <w:szCs w:val="22"/>
        </w:rPr>
        <w:t>(PTY) LTD</w:t>
      </w:r>
      <w:r w:rsidRPr="002F7F38">
        <w:rPr>
          <w:bCs/>
          <w:sz w:val="22"/>
          <w:szCs w:val="22"/>
        </w:rPr>
        <w:t xml:space="preserve">     </w:t>
      </w:r>
      <w:r>
        <w:rPr>
          <w:bCs/>
          <w:sz w:val="22"/>
          <w:szCs w:val="22"/>
        </w:rPr>
        <w:t xml:space="preserve"> </w:t>
      </w:r>
      <w:r w:rsidRPr="002F7F38">
        <w:rPr>
          <w:bCs/>
          <w:sz w:val="22"/>
          <w:szCs w:val="22"/>
        </w:rPr>
        <w:t xml:space="preserve">   </w:t>
      </w:r>
      <w:r w:rsidRPr="002F7F38">
        <w:rPr>
          <w:sz w:val="22"/>
          <w:szCs w:val="22"/>
        </w:rPr>
        <w:t>Twenty-fifth Applicant</w:t>
      </w:r>
      <w:r w:rsidRPr="002F7F38">
        <w:rPr>
          <w:bCs/>
          <w:sz w:val="22"/>
          <w:szCs w:val="22"/>
        </w:rPr>
        <w:t xml:space="preserve">     </w:t>
      </w:r>
    </w:p>
    <w:p w14:paraId="4773DFDB" w14:textId="2699D17E" w:rsidR="004B15B9" w:rsidRPr="002F7F38" w:rsidRDefault="004B15B9" w:rsidP="004B15B9">
      <w:pPr>
        <w:tabs>
          <w:tab w:val="right" w:pos="8364"/>
          <w:tab w:val="right" w:pos="10440"/>
        </w:tabs>
        <w:spacing w:line="480" w:lineRule="auto"/>
        <w:rPr>
          <w:b/>
          <w:sz w:val="22"/>
          <w:szCs w:val="22"/>
        </w:rPr>
      </w:pPr>
      <w:r w:rsidRPr="002F7F38">
        <w:rPr>
          <w:b/>
          <w:sz w:val="22"/>
          <w:szCs w:val="22"/>
        </w:rPr>
        <w:t xml:space="preserve">THE DR. IQBAL SURVÉ BURSARY TRUST                                       </w:t>
      </w:r>
      <w:r w:rsidRPr="002F7F38">
        <w:rPr>
          <w:sz w:val="22"/>
          <w:szCs w:val="22"/>
        </w:rPr>
        <w:t>Twenty-sixth Applicant</w:t>
      </w:r>
    </w:p>
    <w:p w14:paraId="435FC09B" w14:textId="29250995" w:rsidR="004B15B9" w:rsidRPr="002F7F38" w:rsidRDefault="004B15B9" w:rsidP="004B15B9">
      <w:pPr>
        <w:tabs>
          <w:tab w:val="right" w:pos="8364"/>
          <w:tab w:val="right" w:pos="10440"/>
        </w:tabs>
        <w:spacing w:line="480" w:lineRule="auto"/>
        <w:rPr>
          <w:b/>
          <w:sz w:val="22"/>
          <w:szCs w:val="22"/>
        </w:rPr>
      </w:pPr>
      <w:r w:rsidRPr="002F7F38">
        <w:rPr>
          <w:b/>
          <w:sz w:val="22"/>
          <w:szCs w:val="22"/>
        </w:rPr>
        <w:t xml:space="preserve">THE SOUTH ATLANTIC ARTS AND CULTURE TRUST </w:t>
      </w:r>
      <w:r w:rsidRPr="002F7F38">
        <w:rPr>
          <w:sz w:val="22"/>
          <w:szCs w:val="22"/>
        </w:rPr>
        <w:t xml:space="preserve">              Twenty-seventh Applicant</w:t>
      </w:r>
    </w:p>
    <w:p w14:paraId="4B6CD14D" w14:textId="1C7C6168" w:rsidR="004B15B9" w:rsidRPr="002F7F38" w:rsidRDefault="004B15B9" w:rsidP="004B15B9">
      <w:pPr>
        <w:tabs>
          <w:tab w:val="right" w:pos="8364"/>
          <w:tab w:val="right" w:pos="10440"/>
        </w:tabs>
        <w:spacing w:line="480" w:lineRule="auto"/>
        <w:rPr>
          <w:b/>
          <w:bCs/>
          <w:sz w:val="22"/>
          <w:szCs w:val="22"/>
        </w:rPr>
      </w:pPr>
      <w:r w:rsidRPr="002F7F38">
        <w:rPr>
          <w:b/>
          <w:sz w:val="22"/>
          <w:szCs w:val="22"/>
        </w:rPr>
        <w:t xml:space="preserve">ESP AFRICA </w:t>
      </w:r>
      <w:r w:rsidRPr="002F7F38">
        <w:rPr>
          <w:b/>
          <w:bCs/>
          <w:sz w:val="22"/>
          <w:szCs w:val="22"/>
        </w:rPr>
        <w:t xml:space="preserve">(PTY) LTD                                                                     </w:t>
      </w:r>
      <w:r w:rsidRPr="002F7F38">
        <w:rPr>
          <w:bCs/>
          <w:sz w:val="22"/>
          <w:szCs w:val="22"/>
        </w:rPr>
        <w:t>Twenty-eighth Applicant</w:t>
      </w:r>
    </w:p>
    <w:p w14:paraId="28A64C65" w14:textId="60F4C131" w:rsidR="004B15B9" w:rsidRPr="002F7F38" w:rsidRDefault="004B15B9" w:rsidP="004B15B9">
      <w:pPr>
        <w:tabs>
          <w:tab w:val="right" w:pos="8364"/>
          <w:tab w:val="right" w:pos="10440"/>
        </w:tabs>
        <w:spacing w:line="480" w:lineRule="auto"/>
        <w:rPr>
          <w:b/>
          <w:sz w:val="22"/>
          <w:szCs w:val="22"/>
        </w:rPr>
      </w:pPr>
      <w:r w:rsidRPr="002F7F38">
        <w:rPr>
          <w:b/>
          <w:sz w:val="22"/>
          <w:szCs w:val="22"/>
        </w:rPr>
        <w:t xml:space="preserve">SIZWE AFRICA IT GROUP </w:t>
      </w:r>
      <w:r w:rsidRPr="002F7F38">
        <w:rPr>
          <w:b/>
          <w:bCs/>
          <w:sz w:val="22"/>
          <w:szCs w:val="22"/>
        </w:rPr>
        <w:t xml:space="preserve">(PTY) LTD </w:t>
      </w:r>
      <w:r w:rsidRPr="002F7F38">
        <w:rPr>
          <w:b/>
          <w:sz w:val="22"/>
          <w:szCs w:val="22"/>
        </w:rPr>
        <w:t xml:space="preserve">                                               </w:t>
      </w:r>
      <w:r w:rsidRPr="002F7F38">
        <w:rPr>
          <w:sz w:val="22"/>
          <w:szCs w:val="22"/>
        </w:rPr>
        <w:t>Twenty-ninth Applicant</w:t>
      </w:r>
    </w:p>
    <w:p w14:paraId="0ECD74DE" w14:textId="10050BF5" w:rsidR="004B15B9" w:rsidRPr="002F7F38" w:rsidRDefault="004B15B9" w:rsidP="004B15B9">
      <w:pPr>
        <w:tabs>
          <w:tab w:val="right" w:pos="8364"/>
          <w:tab w:val="right" w:pos="10440"/>
        </w:tabs>
        <w:spacing w:line="480" w:lineRule="auto"/>
        <w:rPr>
          <w:sz w:val="22"/>
          <w:szCs w:val="22"/>
        </w:rPr>
      </w:pPr>
      <w:r w:rsidRPr="002F7F38">
        <w:rPr>
          <w:b/>
          <w:sz w:val="22"/>
          <w:szCs w:val="22"/>
        </w:rPr>
        <w:t xml:space="preserve">KALULA COMMUNICATIONS </w:t>
      </w:r>
      <w:r w:rsidRPr="002F7F38">
        <w:rPr>
          <w:b/>
          <w:bCs/>
          <w:sz w:val="22"/>
          <w:szCs w:val="22"/>
        </w:rPr>
        <w:t>(PTY) LTD</w:t>
      </w:r>
      <w:r w:rsidRPr="002F7F38">
        <w:rPr>
          <w:b/>
          <w:sz w:val="22"/>
          <w:szCs w:val="22"/>
        </w:rPr>
        <w:t xml:space="preserve">                                     </w:t>
      </w:r>
      <w:r>
        <w:rPr>
          <w:b/>
          <w:sz w:val="22"/>
          <w:szCs w:val="22"/>
        </w:rPr>
        <w:t xml:space="preserve"> </w:t>
      </w:r>
      <w:r w:rsidRPr="002F7F38">
        <w:rPr>
          <w:b/>
          <w:sz w:val="22"/>
          <w:szCs w:val="22"/>
        </w:rPr>
        <w:t xml:space="preserve">            </w:t>
      </w:r>
      <w:r w:rsidRPr="002F7F38">
        <w:rPr>
          <w:sz w:val="22"/>
          <w:szCs w:val="22"/>
        </w:rPr>
        <w:t>Thirtieth Applicant</w:t>
      </w:r>
    </w:p>
    <w:p w14:paraId="7B0928A2" w14:textId="7C29A383" w:rsidR="004B15B9" w:rsidRPr="002F7F38" w:rsidRDefault="004B15B9" w:rsidP="004B15B9">
      <w:pPr>
        <w:tabs>
          <w:tab w:val="right" w:pos="8364"/>
          <w:tab w:val="right" w:pos="10440"/>
        </w:tabs>
        <w:spacing w:after="100" w:afterAutospacing="1" w:line="480" w:lineRule="auto"/>
        <w:rPr>
          <w:b/>
          <w:sz w:val="22"/>
          <w:szCs w:val="22"/>
        </w:rPr>
      </w:pPr>
      <w:r w:rsidRPr="002F7F38">
        <w:rPr>
          <w:b/>
          <w:sz w:val="22"/>
          <w:szCs w:val="22"/>
        </w:rPr>
        <w:t xml:space="preserve">PARTI TRUST                                                                                  </w:t>
      </w:r>
      <w:r>
        <w:rPr>
          <w:b/>
          <w:sz w:val="22"/>
          <w:szCs w:val="22"/>
        </w:rPr>
        <w:t xml:space="preserve">  </w:t>
      </w:r>
      <w:r w:rsidRPr="002F7F38">
        <w:rPr>
          <w:b/>
          <w:sz w:val="22"/>
          <w:szCs w:val="22"/>
        </w:rPr>
        <w:t xml:space="preserve">        </w:t>
      </w:r>
      <w:r w:rsidRPr="002F7F38">
        <w:rPr>
          <w:sz w:val="22"/>
          <w:szCs w:val="22"/>
        </w:rPr>
        <w:t>Thirty-first Applicant</w:t>
      </w:r>
      <w:r w:rsidRPr="002F7F38">
        <w:rPr>
          <w:b/>
          <w:sz w:val="22"/>
          <w:szCs w:val="22"/>
        </w:rPr>
        <w:t xml:space="preserve"> </w:t>
      </w:r>
    </w:p>
    <w:p w14:paraId="2968D3B3" w14:textId="77777777" w:rsidR="004B15B9" w:rsidRPr="002F7F38" w:rsidRDefault="004B15B9" w:rsidP="004B15B9">
      <w:pPr>
        <w:tabs>
          <w:tab w:val="right" w:pos="8364"/>
          <w:tab w:val="right" w:pos="10440"/>
        </w:tabs>
        <w:spacing w:after="240" w:line="480" w:lineRule="auto"/>
        <w:rPr>
          <w:sz w:val="22"/>
          <w:szCs w:val="22"/>
        </w:rPr>
      </w:pPr>
      <w:r w:rsidRPr="002F7F38">
        <w:rPr>
          <w:sz w:val="22"/>
          <w:szCs w:val="22"/>
        </w:rPr>
        <w:t>and</w:t>
      </w:r>
    </w:p>
    <w:p w14:paraId="358E55D1" w14:textId="367696EB" w:rsidR="004B15B9" w:rsidRDefault="004B15B9" w:rsidP="004B15B9">
      <w:pPr>
        <w:spacing w:after="100" w:afterAutospacing="1"/>
        <w:rPr>
          <w:sz w:val="22"/>
          <w:szCs w:val="22"/>
        </w:rPr>
      </w:pPr>
      <w:r w:rsidRPr="002F7F38">
        <w:rPr>
          <w:b/>
          <w:caps/>
          <w:sz w:val="22"/>
          <w:szCs w:val="22"/>
        </w:rPr>
        <w:t>THE STANDARD BANK OF SA LTD</w:t>
      </w:r>
      <w:r w:rsidRPr="002F7F38">
        <w:rPr>
          <w:caps/>
          <w:sz w:val="22"/>
          <w:szCs w:val="22"/>
        </w:rPr>
        <w:t xml:space="preserve"> </w:t>
      </w:r>
      <w:r w:rsidRPr="002F7F38">
        <w:rPr>
          <w:caps/>
          <w:sz w:val="22"/>
          <w:szCs w:val="22"/>
        </w:rPr>
        <w:tab/>
        <w:t xml:space="preserve">                                     </w:t>
      </w:r>
      <w:r>
        <w:rPr>
          <w:caps/>
          <w:sz w:val="22"/>
          <w:szCs w:val="22"/>
        </w:rPr>
        <w:t xml:space="preserve">                    </w:t>
      </w:r>
      <w:r w:rsidRPr="002F7F38">
        <w:rPr>
          <w:sz w:val="22"/>
          <w:szCs w:val="22"/>
        </w:rPr>
        <w:t>Respondent</w:t>
      </w:r>
    </w:p>
    <w:p w14:paraId="307EF9F6" w14:textId="77777777" w:rsidR="004B15B9" w:rsidRDefault="004B15B9" w:rsidP="004B15B9">
      <w:pPr>
        <w:rPr>
          <w:sz w:val="22"/>
          <w:szCs w:val="22"/>
        </w:rPr>
      </w:pPr>
    </w:p>
    <w:p w14:paraId="14717B71" w14:textId="676BC2D4" w:rsidR="00DE5C7A" w:rsidRPr="007D314B" w:rsidRDefault="007D314B" w:rsidP="00DE5C7A">
      <w:pPr>
        <w:tabs>
          <w:tab w:val="right" w:pos="10440"/>
        </w:tabs>
        <w:spacing w:after="100" w:afterAutospacing="1" w:line="480" w:lineRule="auto"/>
        <w:rPr>
          <w:b/>
          <w:sz w:val="22"/>
          <w:szCs w:val="22"/>
        </w:rPr>
      </w:pPr>
      <w:r w:rsidRPr="007D314B">
        <w:rPr>
          <w:b/>
          <w:sz w:val="22"/>
          <w:szCs w:val="22"/>
          <w:u w:val="single"/>
        </w:rPr>
        <w:t>AND</w:t>
      </w:r>
      <w:r w:rsidR="00DE5C7A" w:rsidRPr="007D314B">
        <w:rPr>
          <w:b/>
          <w:sz w:val="22"/>
          <w:szCs w:val="22"/>
        </w:rPr>
        <w:t xml:space="preserve">                                          </w:t>
      </w:r>
    </w:p>
    <w:p w14:paraId="170B34A7" w14:textId="77777777" w:rsidR="007D314B" w:rsidRPr="007D314B" w:rsidRDefault="007D314B" w:rsidP="007D314B">
      <w:pPr>
        <w:tabs>
          <w:tab w:val="right" w:pos="8373"/>
        </w:tabs>
        <w:jc w:val="right"/>
        <w:rPr>
          <w:sz w:val="22"/>
          <w:szCs w:val="22"/>
        </w:rPr>
      </w:pPr>
      <w:r w:rsidRPr="007D314B">
        <w:rPr>
          <w:b/>
          <w:sz w:val="22"/>
          <w:szCs w:val="22"/>
        </w:rPr>
        <w:t>Case No:</w:t>
      </w:r>
      <w:r w:rsidRPr="007D314B">
        <w:rPr>
          <w:sz w:val="22"/>
          <w:szCs w:val="22"/>
        </w:rPr>
        <w:t xml:space="preserve"> </w:t>
      </w:r>
      <w:r w:rsidRPr="007D314B">
        <w:rPr>
          <w:b/>
          <w:bCs/>
          <w:sz w:val="22"/>
          <w:szCs w:val="22"/>
        </w:rPr>
        <w:t>EC08/2023</w:t>
      </w:r>
    </w:p>
    <w:p w14:paraId="23EFA45D" w14:textId="77777777" w:rsidR="007D314B" w:rsidRPr="007D314B" w:rsidRDefault="007D314B" w:rsidP="007D314B">
      <w:pPr>
        <w:rPr>
          <w:sz w:val="22"/>
          <w:szCs w:val="22"/>
        </w:rPr>
      </w:pPr>
    </w:p>
    <w:p w14:paraId="3B815861" w14:textId="77777777" w:rsidR="007D314B" w:rsidRPr="007D314B" w:rsidRDefault="007D314B" w:rsidP="007D314B">
      <w:pPr>
        <w:rPr>
          <w:sz w:val="22"/>
          <w:szCs w:val="22"/>
        </w:rPr>
      </w:pPr>
    </w:p>
    <w:p w14:paraId="6C285DD9" w14:textId="77777777" w:rsidR="007D314B" w:rsidRPr="007D314B" w:rsidRDefault="007D314B" w:rsidP="007D314B">
      <w:pPr>
        <w:tabs>
          <w:tab w:val="right" w:pos="10440"/>
        </w:tabs>
        <w:spacing w:line="480" w:lineRule="auto"/>
        <w:rPr>
          <w:sz w:val="22"/>
          <w:szCs w:val="22"/>
        </w:rPr>
      </w:pPr>
      <w:r w:rsidRPr="007D314B">
        <w:rPr>
          <w:b/>
          <w:sz w:val="22"/>
          <w:szCs w:val="22"/>
        </w:rPr>
        <w:t>AFRICA COMMUNITY MEDIA (PTY) LTD</w:t>
      </w:r>
      <w:r w:rsidRPr="007D314B">
        <w:rPr>
          <w:b/>
          <w:sz w:val="22"/>
          <w:szCs w:val="22"/>
        </w:rPr>
        <w:tab/>
      </w:r>
      <w:r w:rsidRPr="007D314B">
        <w:rPr>
          <w:bCs/>
          <w:sz w:val="22"/>
          <w:szCs w:val="22"/>
        </w:rPr>
        <w:t>First</w:t>
      </w:r>
      <w:r w:rsidRPr="007D314B">
        <w:rPr>
          <w:b/>
          <w:sz w:val="22"/>
          <w:szCs w:val="22"/>
        </w:rPr>
        <w:t xml:space="preserve"> </w:t>
      </w:r>
      <w:r w:rsidRPr="007D314B">
        <w:rPr>
          <w:sz w:val="22"/>
          <w:szCs w:val="22"/>
        </w:rPr>
        <w:t>Applicant</w:t>
      </w:r>
    </w:p>
    <w:p w14:paraId="63A53B27" w14:textId="77777777" w:rsidR="007D314B" w:rsidRPr="007D314B" w:rsidRDefault="007D314B" w:rsidP="007D314B">
      <w:pPr>
        <w:tabs>
          <w:tab w:val="right" w:pos="10440"/>
        </w:tabs>
        <w:spacing w:line="480" w:lineRule="auto"/>
        <w:rPr>
          <w:sz w:val="22"/>
          <w:szCs w:val="22"/>
        </w:rPr>
      </w:pPr>
      <w:r w:rsidRPr="007D314B">
        <w:rPr>
          <w:b/>
          <w:sz w:val="22"/>
          <w:szCs w:val="22"/>
        </w:rPr>
        <w:t>ANA STUDIO (PTY) LTD</w:t>
      </w:r>
      <w:r w:rsidRPr="007D314B">
        <w:rPr>
          <w:sz w:val="22"/>
          <w:szCs w:val="22"/>
        </w:rPr>
        <w:tab/>
        <w:t>Second Applicant</w:t>
      </w:r>
    </w:p>
    <w:p w14:paraId="54DB219B" w14:textId="77777777" w:rsidR="007D314B" w:rsidRPr="007D314B" w:rsidRDefault="007D314B" w:rsidP="007D314B">
      <w:pPr>
        <w:tabs>
          <w:tab w:val="right" w:pos="10440"/>
        </w:tabs>
        <w:spacing w:line="480" w:lineRule="auto"/>
        <w:rPr>
          <w:sz w:val="22"/>
          <w:szCs w:val="22"/>
        </w:rPr>
      </w:pPr>
      <w:r w:rsidRPr="007D314B">
        <w:rPr>
          <w:b/>
          <w:sz w:val="22"/>
          <w:szCs w:val="22"/>
        </w:rPr>
        <w:t>ALLIED LOGISTICS SOLUTIONS (PTY) LTD</w:t>
      </w:r>
      <w:r w:rsidRPr="007D314B">
        <w:rPr>
          <w:b/>
          <w:sz w:val="22"/>
          <w:szCs w:val="22"/>
        </w:rPr>
        <w:tab/>
      </w:r>
      <w:r w:rsidRPr="007D314B">
        <w:rPr>
          <w:bCs/>
          <w:sz w:val="22"/>
          <w:szCs w:val="22"/>
        </w:rPr>
        <w:t>Third</w:t>
      </w:r>
      <w:r w:rsidRPr="007D314B">
        <w:rPr>
          <w:b/>
          <w:sz w:val="22"/>
          <w:szCs w:val="22"/>
        </w:rPr>
        <w:t xml:space="preserve"> </w:t>
      </w:r>
      <w:r w:rsidRPr="007D314B">
        <w:rPr>
          <w:sz w:val="22"/>
          <w:szCs w:val="22"/>
        </w:rPr>
        <w:t>Applicant</w:t>
      </w:r>
    </w:p>
    <w:p w14:paraId="75A51A5C" w14:textId="77777777" w:rsidR="007D314B" w:rsidRPr="007D314B" w:rsidRDefault="007D314B" w:rsidP="007D314B">
      <w:pPr>
        <w:tabs>
          <w:tab w:val="right" w:pos="10440"/>
        </w:tabs>
        <w:spacing w:line="480" w:lineRule="auto"/>
        <w:rPr>
          <w:sz w:val="22"/>
          <w:szCs w:val="22"/>
        </w:rPr>
      </w:pPr>
      <w:r w:rsidRPr="007D314B">
        <w:rPr>
          <w:b/>
          <w:sz w:val="22"/>
          <w:szCs w:val="22"/>
        </w:rPr>
        <w:t>BANNER NEWS AGENCY (PTY) LTD</w:t>
      </w:r>
      <w:r w:rsidRPr="007D314B">
        <w:rPr>
          <w:sz w:val="22"/>
          <w:szCs w:val="22"/>
        </w:rPr>
        <w:tab/>
        <w:t>Fourth Applicant</w:t>
      </w:r>
    </w:p>
    <w:p w14:paraId="59F14091" w14:textId="77777777" w:rsidR="007D314B" w:rsidRPr="007D314B" w:rsidRDefault="007D314B" w:rsidP="007D314B">
      <w:pPr>
        <w:tabs>
          <w:tab w:val="right" w:pos="10440"/>
        </w:tabs>
        <w:spacing w:line="480" w:lineRule="auto"/>
        <w:rPr>
          <w:sz w:val="22"/>
          <w:szCs w:val="22"/>
        </w:rPr>
      </w:pPr>
      <w:r w:rsidRPr="007D314B">
        <w:rPr>
          <w:b/>
          <w:sz w:val="22"/>
          <w:szCs w:val="22"/>
        </w:rPr>
        <w:t>CONDE NAST INDPENDENT MAGAZINES (PTY) LTD</w:t>
      </w:r>
      <w:r w:rsidRPr="007D314B">
        <w:rPr>
          <w:b/>
          <w:sz w:val="22"/>
          <w:szCs w:val="22"/>
        </w:rPr>
        <w:tab/>
      </w:r>
      <w:r w:rsidRPr="007D314B">
        <w:rPr>
          <w:bCs/>
          <w:sz w:val="22"/>
          <w:szCs w:val="22"/>
        </w:rPr>
        <w:t>Fifth</w:t>
      </w:r>
      <w:r w:rsidRPr="007D314B">
        <w:rPr>
          <w:b/>
          <w:sz w:val="22"/>
          <w:szCs w:val="22"/>
        </w:rPr>
        <w:t xml:space="preserve"> </w:t>
      </w:r>
      <w:r w:rsidRPr="007D314B">
        <w:rPr>
          <w:sz w:val="22"/>
          <w:szCs w:val="22"/>
        </w:rPr>
        <w:t>Applicant</w:t>
      </w:r>
    </w:p>
    <w:p w14:paraId="1746F257" w14:textId="77777777" w:rsidR="007D314B" w:rsidRPr="007D314B" w:rsidRDefault="007D314B" w:rsidP="007D314B">
      <w:pPr>
        <w:tabs>
          <w:tab w:val="right" w:pos="10440"/>
        </w:tabs>
        <w:spacing w:line="480" w:lineRule="auto"/>
        <w:rPr>
          <w:sz w:val="22"/>
          <w:szCs w:val="22"/>
        </w:rPr>
      </w:pPr>
      <w:r w:rsidRPr="007D314B">
        <w:rPr>
          <w:b/>
          <w:sz w:val="22"/>
          <w:szCs w:val="22"/>
        </w:rPr>
        <w:t>CONTENT NATION MEDIA (PTY) LTD</w:t>
      </w:r>
      <w:r w:rsidRPr="007D314B">
        <w:rPr>
          <w:sz w:val="22"/>
          <w:szCs w:val="22"/>
        </w:rPr>
        <w:tab/>
        <w:t>Sixth Applicant</w:t>
      </w:r>
    </w:p>
    <w:p w14:paraId="17CBAA28" w14:textId="77777777" w:rsidR="007D314B" w:rsidRPr="007D314B" w:rsidRDefault="007D314B" w:rsidP="007D314B">
      <w:pPr>
        <w:tabs>
          <w:tab w:val="right" w:pos="10440"/>
        </w:tabs>
        <w:spacing w:line="480" w:lineRule="auto"/>
        <w:rPr>
          <w:sz w:val="22"/>
          <w:szCs w:val="22"/>
        </w:rPr>
      </w:pPr>
      <w:r w:rsidRPr="007D314B">
        <w:rPr>
          <w:b/>
          <w:sz w:val="22"/>
          <w:szCs w:val="22"/>
        </w:rPr>
        <w:t>INSIGHTS PUBLISHING (PTY) LTD</w:t>
      </w:r>
      <w:r w:rsidRPr="007D314B">
        <w:rPr>
          <w:b/>
          <w:sz w:val="22"/>
          <w:szCs w:val="22"/>
        </w:rPr>
        <w:tab/>
      </w:r>
      <w:r w:rsidRPr="007D314B">
        <w:rPr>
          <w:bCs/>
          <w:sz w:val="22"/>
          <w:szCs w:val="22"/>
        </w:rPr>
        <w:t>Seventh</w:t>
      </w:r>
      <w:r w:rsidRPr="007D314B">
        <w:rPr>
          <w:b/>
          <w:sz w:val="22"/>
          <w:szCs w:val="22"/>
        </w:rPr>
        <w:t xml:space="preserve"> </w:t>
      </w:r>
      <w:r w:rsidRPr="007D314B">
        <w:rPr>
          <w:sz w:val="22"/>
          <w:szCs w:val="22"/>
        </w:rPr>
        <w:t>Applicant</w:t>
      </w:r>
    </w:p>
    <w:p w14:paraId="7B4B7CFF" w14:textId="77777777" w:rsidR="007D314B" w:rsidRPr="007D314B" w:rsidRDefault="007D314B" w:rsidP="007D314B">
      <w:pPr>
        <w:tabs>
          <w:tab w:val="right" w:pos="10440"/>
        </w:tabs>
        <w:spacing w:line="480" w:lineRule="auto"/>
        <w:rPr>
          <w:sz w:val="22"/>
          <w:szCs w:val="22"/>
        </w:rPr>
      </w:pPr>
      <w:r w:rsidRPr="007D314B">
        <w:rPr>
          <w:b/>
          <w:sz w:val="22"/>
          <w:szCs w:val="22"/>
        </w:rPr>
        <w:t>GLOBAL COMMAND AND CONTROL TECHNOLOGIES (PTY) LTD</w:t>
      </w:r>
      <w:r w:rsidRPr="007D314B">
        <w:rPr>
          <w:sz w:val="22"/>
          <w:szCs w:val="22"/>
        </w:rPr>
        <w:tab/>
        <w:t>Eighth Applicant</w:t>
      </w:r>
    </w:p>
    <w:p w14:paraId="1A0732E2" w14:textId="77777777" w:rsidR="007D314B" w:rsidRPr="007D314B" w:rsidRDefault="007D314B" w:rsidP="007D314B">
      <w:pPr>
        <w:tabs>
          <w:tab w:val="right" w:pos="10440"/>
        </w:tabs>
        <w:spacing w:line="480" w:lineRule="auto"/>
        <w:rPr>
          <w:sz w:val="22"/>
          <w:szCs w:val="22"/>
        </w:rPr>
      </w:pPr>
      <w:r w:rsidRPr="007D314B">
        <w:rPr>
          <w:b/>
          <w:sz w:val="22"/>
          <w:szCs w:val="22"/>
        </w:rPr>
        <w:t>INDEPENDENT MEDIA SOLUTIONS (PTY) LTD</w:t>
      </w:r>
      <w:r w:rsidRPr="007D314B">
        <w:rPr>
          <w:b/>
          <w:sz w:val="22"/>
          <w:szCs w:val="22"/>
        </w:rPr>
        <w:tab/>
      </w:r>
      <w:r w:rsidRPr="007D314B">
        <w:rPr>
          <w:bCs/>
          <w:sz w:val="22"/>
          <w:szCs w:val="22"/>
        </w:rPr>
        <w:t>Ninth</w:t>
      </w:r>
      <w:r w:rsidRPr="007D314B">
        <w:rPr>
          <w:b/>
          <w:sz w:val="22"/>
          <w:szCs w:val="22"/>
        </w:rPr>
        <w:t xml:space="preserve"> </w:t>
      </w:r>
      <w:r w:rsidRPr="007D314B">
        <w:rPr>
          <w:sz w:val="22"/>
          <w:szCs w:val="22"/>
        </w:rPr>
        <w:t>Applicant</w:t>
      </w:r>
    </w:p>
    <w:p w14:paraId="2137BF7A" w14:textId="77777777" w:rsidR="007D314B" w:rsidRPr="007D314B" w:rsidRDefault="007D314B" w:rsidP="007D314B">
      <w:pPr>
        <w:tabs>
          <w:tab w:val="right" w:pos="10440"/>
        </w:tabs>
        <w:spacing w:line="480" w:lineRule="auto"/>
        <w:rPr>
          <w:sz w:val="22"/>
          <w:szCs w:val="22"/>
        </w:rPr>
      </w:pPr>
      <w:r w:rsidRPr="007D314B">
        <w:rPr>
          <w:b/>
          <w:sz w:val="22"/>
          <w:szCs w:val="22"/>
        </w:rPr>
        <w:t>INDEPENDENT MEDIA SA (PTY) LTD</w:t>
      </w:r>
      <w:r w:rsidRPr="007D314B">
        <w:rPr>
          <w:sz w:val="22"/>
          <w:szCs w:val="22"/>
        </w:rPr>
        <w:tab/>
        <w:t>Tenth Applicant</w:t>
      </w:r>
    </w:p>
    <w:p w14:paraId="72B967B6" w14:textId="77777777" w:rsidR="007D314B" w:rsidRPr="007D314B" w:rsidRDefault="007D314B" w:rsidP="007D314B">
      <w:pPr>
        <w:tabs>
          <w:tab w:val="right" w:pos="10440"/>
        </w:tabs>
        <w:spacing w:line="480" w:lineRule="auto"/>
        <w:rPr>
          <w:sz w:val="22"/>
          <w:szCs w:val="22"/>
        </w:rPr>
      </w:pPr>
      <w:r w:rsidRPr="007D314B">
        <w:rPr>
          <w:b/>
          <w:sz w:val="22"/>
          <w:szCs w:val="22"/>
        </w:rPr>
        <w:t>INDEPENDENT NEWSPAPERS (PTY) LTD</w:t>
      </w:r>
      <w:r w:rsidRPr="007D314B">
        <w:rPr>
          <w:b/>
          <w:sz w:val="22"/>
          <w:szCs w:val="22"/>
        </w:rPr>
        <w:tab/>
      </w:r>
      <w:r w:rsidRPr="007D314B">
        <w:rPr>
          <w:bCs/>
          <w:sz w:val="22"/>
          <w:szCs w:val="22"/>
        </w:rPr>
        <w:t>Eleventh</w:t>
      </w:r>
      <w:r w:rsidRPr="007D314B">
        <w:rPr>
          <w:b/>
          <w:sz w:val="22"/>
          <w:szCs w:val="22"/>
        </w:rPr>
        <w:t xml:space="preserve"> </w:t>
      </w:r>
      <w:r w:rsidRPr="007D314B">
        <w:rPr>
          <w:sz w:val="22"/>
          <w:szCs w:val="22"/>
        </w:rPr>
        <w:t>Applicant</w:t>
      </w:r>
    </w:p>
    <w:p w14:paraId="4DCC9A64" w14:textId="77777777" w:rsidR="007D314B" w:rsidRPr="007D314B" w:rsidRDefault="007D314B" w:rsidP="007D314B">
      <w:pPr>
        <w:tabs>
          <w:tab w:val="right" w:pos="10440"/>
        </w:tabs>
        <w:spacing w:line="480" w:lineRule="auto"/>
        <w:rPr>
          <w:sz w:val="22"/>
          <w:szCs w:val="22"/>
        </w:rPr>
      </w:pPr>
      <w:r w:rsidRPr="007D314B">
        <w:rPr>
          <w:b/>
          <w:bCs/>
          <w:sz w:val="22"/>
          <w:szCs w:val="22"/>
        </w:rPr>
        <w:t xml:space="preserve">KATHEA COMMUNICATIONS SOLUTIONS </w:t>
      </w:r>
      <w:r w:rsidRPr="007D314B">
        <w:rPr>
          <w:b/>
          <w:sz w:val="22"/>
          <w:szCs w:val="22"/>
        </w:rPr>
        <w:t>(PTY) LTD</w:t>
      </w:r>
      <w:r w:rsidRPr="007D314B">
        <w:rPr>
          <w:sz w:val="22"/>
          <w:szCs w:val="22"/>
        </w:rPr>
        <w:tab/>
        <w:t>Twelfth Applicant</w:t>
      </w:r>
    </w:p>
    <w:p w14:paraId="3D4BD01C" w14:textId="77777777" w:rsidR="007D314B" w:rsidRPr="007D314B" w:rsidRDefault="007D314B" w:rsidP="007D314B">
      <w:pPr>
        <w:tabs>
          <w:tab w:val="right" w:pos="10440"/>
        </w:tabs>
        <w:spacing w:line="480" w:lineRule="auto"/>
        <w:rPr>
          <w:sz w:val="22"/>
          <w:szCs w:val="22"/>
        </w:rPr>
      </w:pPr>
      <w:r w:rsidRPr="007D314B">
        <w:rPr>
          <w:b/>
          <w:sz w:val="22"/>
          <w:szCs w:val="22"/>
        </w:rPr>
        <w:lastRenderedPageBreak/>
        <w:t>AFRICA ONLINE RETAIL (PTY) LTD</w:t>
      </w:r>
      <w:r w:rsidRPr="007D314B">
        <w:rPr>
          <w:b/>
          <w:sz w:val="22"/>
          <w:szCs w:val="22"/>
        </w:rPr>
        <w:tab/>
      </w:r>
      <w:r w:rsidRPr="007D314B">
        <w:rPr>
          <w:bCs/>
          <w:sz w:val="22"/>
          <w:szCs w:val="22"/>
        </w:rPr>
        <w:t>Thirteenth</w:t>
      </w:r>
      <w:r w:rsidRPr="007D314B">
        <w:rPr>
          <w:b/>
          <w:sz w:val="22"/>
          <w:szCs w:val="22"/>
        </w:rPr>
        <w:t xml:space="preserve"> </w:t>
      </w:r>
      <w:r w:rsidRPr="007D314B">
        <w:rPr>
          <w:sz w:val="22"/>
          <w:szCs w:val="22"/>
        </w:rPr>
        <w:t>Applicant</w:t>
      </w:r>
    </w:p>
    <w:p w14:paraId="207B9D96" w14:textId="77777777" w:rsidR="007D314B" w:rsidRPr="007D314B" w:rsidRDefault="007D314B" w:rsidP="007D314B">
      <w:pPr>
        <w:tabs>
          <w:tab w:val="right" w:pos="10440"/>
        </w:tabs>
        <w:spacing w:line="480" w:lineRule="auto"/>
        <w:rPr>
          <w:sz w:val="22"/>
          <w:szCs w:val="22"/>
        </w:rPr>
      </w:pPr>
      <w:r w:rsidRPr="007D314B">
        <w:rPr>
          <w:b/>
          <w:bCs/>
          <w:sz w:val="22"/>
          <w:szCs w:val="22"/>
        </w:rPr>
        <w:t>ORLEANS COSMETICS (PTY) LTD</w:t>
      </w:r>
      <w:r w:rsidRPr="007D314B">
        <w:rPr>
          <w:sz w:val="22"/>
          <w:szCs w:val="22"/>
        </w:rPr>
        <w:tab/>
        <w:t>Fourteenth Applicant</w:t>
      </w:r>
    </w:p>
    <w:p w14:paraId="41594E0C" w14:textId="77777777" w:rsidR="007D314B" w:rsidRPr="007D314B" w:rsidRDefault="007D314B" w:rsidP="007D314B">
      <w:pPr>
        <w:tabs>
          <w:tab w:val="right" w:pos="10440"/>
        </w:tabs>
        <w:spacing w:line="480" w:lineRule="auto"/>
        <w:rPr>
          <w:sz w:val="22"/>
          <w:szCs w:val="22"/>
        </w:rPr>
      </w:pPr>
      <w:r w:rsidRPr="007D314B">
        <w:rPr>
          <w:b/>
          <w:sz w:val="22"/>
          <w:szCs w:val="22"/>
        </w:rPr>
        <w:t xml:space="preserve">TRIPOS TRAVEL </w:t>
      </w:r>
      <w:r w:rsidRPr="007D314B">
        <w:rPr>
          <w:b/>
          <w:bCs/>
          <w:sz w:val="22"/>
          <w:szCs w:val="22"/>
        </w:rPr>
        <w:t>(PTY) LTD</w:t>
      </w:r>
      <w:r w:rsidRPr="007D314B">
        <w:rPr>
          <w:b/>
          <w:sz w:val="22"/>
          <w:szCs w:val="22"/>
        </w:rPr>
        <w:tab/>
      </w:r>
      <w:r w:rsidRPr="007D314B">
        <w:rPr>
          <w:bCs/>
          <w:sz w:val="22"/>
          <w:szCs w:val="22"/>
        </w:rPr>
        <w:t>Fifteenth</w:t>
      </w:r>
      <w:r w:rsidRPr="007D314B">
        <w:rPr>
          <w:b/>
          <w:sz w:val="22"/>
          <w:szCs w:val="22"/>
        </w:rPr>
        <w:t xml:space="preserve"> </w:t>
      </w:r>
      <w:r w:rsidRPr="007D314B">
        <w:rPr>
          <w:sz w:val="22"/>
          <w:szCs w:val="22"/>
        </w:rPr>
        <w:t>Applicant</w:t>
      </w:r>
    </w:p>
    <w:p w14:paraId="1A13F1F0" w14:textId="77777777" w:rsidR="007D314B" w:rsidRPr="007D314B" w:rsidRDefault="007D314B" w:rsidP="007D314B">
      <w:pPr>
        <w:tabs>
          <w:tab w:val="right" w:pos="10440"/>
        </w:tabs>
        <w:spacing w:line="480" w:lineRule="auto"/>
        <w:rPr>
          <w:sz w:val="22"/>
          <w:szCs w:val="22"/>
        </w:rPr>
      </w:pPr>
      <w:r w:rsidRPr="007D314B">
        <w:rPr>
          <w:b/>
          <w:bCs/>
          <w:sz w:val="22"/>
          <w:szCs w:val="22"/>
        </w:rPr>
        <w:t>INDEPENDENT ONLINE SA (PTY) LTD</w:t>
      </w:r>
      <w:r w:rsidRPr="007D314B">
        <w:rPr>
          <w:sz w:val="22"/>
          <w:szCs w:val="22"/>
        </w:rPr>
        <w:tab/>
        <w:t>Sixteenth Applicant</w:t>
      </w:r>
    </w:p>
    <w:p w14:paraId="0A3533EC" w14:textId="77777777" w:rsidR="007D314B" w:rsidRPr="007D314B" w:rsidRDefault="007D314B" w:rsidP="007D314B">
      <w:pPr>
        <w:tabs>
          <w:tab w:val="right" w:pos="10440"/>
        </w:tabs>
        <w:spacing w:line="480" w:lineRule="auto"/>
        <w:rPr>
          <w:sz w:val="22"/>
          <w:szCs w:val="22"/>
        </w:rPr>
      </w:pPr>
      <w:r w:rsidRPr="007D314B">
        <w:rPr>
          <w:b/>
          <w:sz w:val="22"/>
          <w:szCs w:val="22"/>
        </w:rPr>
        <w:t xml:space="preserve">AFRICAN NEWS AGENCY </w:t>
      </w:r>
      <w:r w:rsidRPr="007D314B">
        <w:rPr>
          <w:b/>
          <w:bCs/>
          <w:sz w:val="22"/>
          <w:szCs w:val="22"/>
        </w:rPr>
        <w:t>(PTY) LTD</w:t>
      </w:r>
      <w:r w:rsidRPr="007D314B">
        <w:rPr>
          <w:b/>
          <w:sz w:val="22"/>
          <w:szCs w:val="22"/>
        </w:rPr>
        <w:tab/>
      </w:r>
      <w:r w:rsidRPr="007D314B">
        <w:rPr>
          <w:bCs/>
          <w:sz w:val="22"/>
          <w:szCs w:val="22"/>
        </w:rPr>
        <w:t>Seventeenth</w:t>
      </w:r>
      <w:r w:rsidRPr="007D314B">
        <w:rPr>
          <w:b/>
          <w:sz w:val="22"/>
          <w:szCs w:val="22"/>
        </w:rPr>
        <w:t xml:space="preserve"> </w:t>
      </w:r>
      <w:r w:rsidRPr="007D314B">
        <w:rPr>
          <w:sz w:val="22"/>
          <w:szCs w:val="22"/>
        </w:rPr>
        <w:t>Applicant</w:t>
      </w:r>
    </w:p>
    <w:p w14:paraId="36158CE6" w14:textId="77777777" w:rsidR="007D314B" w:rsidRPr="007D314B" w:rsidRDefault="007D314B" w:rsidP="007D314B">
      <w:pPr>
        <w:tabs>
          <w:tab w:val="right" w:pos="10440"/>
        </w:tabs>
        <w:spacing w:line="480" w:lineRule="auto"/>
        <w:rPr>
          <w:sz w:val="22"/>
          <w:szCs w:val="22"/>
        </w:rPr>
      </w:pPr>
      <w:r w:rsidRPr="007D314B">
        <w:rPr>
          <w:b/>
          <w:bCs/>
          <w:sz w:val="22"/>
          <w:szCs w:val="22"/>
        </w:rPr>
        <w:t>SAGARMATHA TECHNOLOGIES LTD</w:t>
      </w:r>
      <w:r w:rsidRPr="007D314B">
        <w:rPr>
          <w:sz w:val="22"/>
          <w:szCs w:val="22"/>
        </w:rPr>
        <w:tab/>
        <w:t>Eighteenth Applicant</w:t>
      </w:r>
    </w:p>
    <w:p w14:paraId="73CB14D0" w14:textId="77777777" w:rsidR="007D314B" w:rsidRPr="007D314B" w:rsidRDefault="007D314B" w:rsidP="007D314B">
      <w:pPr>
        <w:tabs>
          <w:tab w:val="right" w:pos="10440"/>
        </w:tabs>
        <w:spacing w:line="480" w:lineRule="auto"/>
        <w:rPr>
          <w:sz w:val="22"/>
          <w:szCs w:val="22"/>
        </w:rPr>
      </w:pPr>
      <w:r w:rsidRPr="007D314B">
        <w:rPr>
          <w:b/>
          <w:sz w:val="22"/>
          <w:szCs w:val="22"/>
        </w:rPr>
        <w:t xml:space="preserve">ANA PUBLISHING </w:t>
      </w:r>
      <w:r w:rsidRPr="007D314B">
        <w:rPr>
          <w:b/>
          <w:bCs/>
          <w:sz w:val="22"/>
          <w:szCs w:val="22"/>
        </w:rPr>
        <w:t>(PTY) LTD</w:t>
      </w:r>
      <w:r w:rsidRPr="007D314B">
        <w:rPr>
          <w:b/>
          <w:sz w:val="22"/>
          <w:szCs w:val="22"/>
        </w:rPr>
        <w:tab/>
      </w:r>
      <w:r w:rsidRPr="007D314B">
        <w:rPr>
          <w:bCs/>
          <w:sz w:val="22"/>
          <w:szCs w:val="22"/>
        </w:rPr>
        <w:t>Nineteenth</w:t>
      </w:r>
      <w:r w:rsidRPr="007D314B">
        <w:rPr>
          <w:b/>
          <w:sz w:val="22"/>
          <w:szCs w:val="22"/>
        </w:rPr>
        <w:t xml:space="preserve"> </w:t>
      </w:r>
      <w:r w:rsidRPr="007D314B">
        <w:rPr>
          <w:sz w:val="22"/>
          <w:szCs w:val="22"/>
        </w:rPr>
        <w:t>Applicant</w:t>
      </w:r>
    </w:p>
    <w:p w14:paraId="50EA77C8" w14:textId="77777777" w:rsidR="007D314B" w:rsidRPr="007D314B" w:rsidRDefault="007D314B" w:rsidP="007D314B">
      <w:pPr>
        <w:tabs>
          <w:tab w:val="right" w:pos="10440"/>
        </w:tabs>
        <w:spacing w:line="480" w:lineRule="auto"/>
        <w:rPr>
          <w:sz w:val="22"/>
          <w:szCs w:val="22"/>
        </w:rPr>
      </w:pPr>
      <w:r w:rsidRPr="007D314B">
        <w:rPr>
          <w:b/>
          <w:bCs/>
          <w:sz w:val="22"/>
          <w:szCs w:val="22"/>
        </w:rPr>
        <w:t>AFRICAN NEWS AGENCY PICTURES (PTY) LTD</w:t>
      </w:r>
      <w:r w:rsidRPr="007D314B">
        <w:rPr>
          <w:sz w:val="22"/>
          <w:szCs w:val="22"/>
        </w:rPr>
        <w:tab/>
        <w:t>Twentieth Applicant</w:t>
      </w:r>
    </w:p>
    <w:p w14:paraId="4E021630" w14:textId="77777777" w:rsidR="007D314B" w:rsidRPr="007D314B" w:rsidRDefault="007D314B" w:rsidP="007D314B">
      <w:pPr>
        <w:tabs>
          <w:tab w:val="right" w:pos="10440"/>
        </w:tabs>
        <w:spacing w:line="480" w:lineRule="auto"/>
        <w:rPr>
          <w:sz w:val="22"/>
          <w:szCs w:val="22"/>
        </w:rPr>
      </w:pPr>
      <w:r w:rsidRPr="007D314B">
        <w:rPr>
          <w:b/>
          <w:sz w:val="22"/>
          <w:szCs w:val="22"/>
        </w:rPr>
        <w:t xml:space="preserve">3 LAWS CAPITAL SOUTH AFRICA </w:t>
      </w:r>
      <w:r w:rsidRPr="007D314B">
        <w:rPr>
          <w:b/>
          <w:bCs/>
          <w:sz w:val="22"/>
          <w:szCs w:val="22"/>
        </w:rPr>
        <w:t>(PTY) LTD</w:t>
      </w:r>
      <w:r w:rsidRPr="007D314B">
        <w:rPr>
          <w:b/>
          <w:sz w:val="22"/>
          <w:szCs w:val="22"/>
        </w:rPr>
        <w:tab/>
      </w:r>
      <w:r w:rsidRPr="007D314B">
        <w:rPr>
          <w:bCs/>
          <w:sz w:val="22"/>
          <w:szCs w:val="22"/>
        </w:rPr>
        <w:t>Twenty-first</w:t>
      </w:r>
      <w:r w:rsidRPr="007D314B">
        <w:rPr>
          <w:b/>
          <w:sz w:val="22"/>
          <w:szCs w:val="22"/>
        </w:rPr>
        <w:t xml:space="preserve"> </w:t>
      </w:r>
      <w:r w:rsidRPr="007D314B">
        <w:rPr>
          <w:sz w:val="22"/>
          <w:szCs w:val="22"/>
        </w:rPr>
        <w:t>Applicant</w:t>
      </w:r>
    </w:p>
    <w:p w14:paraId="411A03CF" w14:textId="77777777" w:rsidR="007D314B" w:rsidRPr="007D314B" w:rsidRDefault="007D314B" w:rsidP="007D314B">
      <w:pPr>
        <w:tabs>
          <w:tab w:val="right" w:pos="10440"/>
        </w:tabs>
        <w:spacing w:line="480" w:lineRule="auto"/>
        <w:rPr>
          <w:sz w:val="22"/>
          <w:szCs w:val="22"/>
        </w:rPr>
      </w:pPr>
      <w:r w:rsidRPr="007D314B">
        <w:rPr>
          <w:b/>
          <w:bCs/>
          <w:sz w:val="22"/>
          <w:szCs w:val="22"/>
        </w:rPr>
        <w:t>SGT SOLUTIONS (PTY) LTD</w:t>
      </w:r>
      <w:r w:rsidRPr="007D314B">
        <w:rPr>
          <w:sz w:val="22"/>
          <w:szCs w:val="22"/>
        </w:rPr>
        <w:tab/>
        <w:t>Twenty-second Applicant</w:t>
      </w:r>
    </w:p>
    <w:p w14:paraId="1E10E3E8" w14:textId="77777777" w:rsidR="007D314B" w:rsidRPr="007D314B" w:rsidRDefault="007D314B" w:rsidP="007D314B">
      <w:pPr>
        <w:tabs>
          <w:tab w:val="right" w:pos="10440"/>
        </w:tabs>
        <w:spacing w:line="480" w:lineRule="auto"/>
        <w:rPr>
          <w:sz w:val="22"/>
          <w:szCs w:val="22"/>
        </w:rPr>
      </w:pPr>
      <w:r w:rsidRPr="007D314B">
        <w:rPr>
          <w:b/>
          <w:sz w:val="22"/>
          <w:szCs w:val="22"/>
        </w:rPr>
        <w:t>AFRICAN EQUITY EMPOWERMENT INVESTMENT LTD</w:t>
      </w:r>
      <w:r w:rsidRPr="007D314B">
        <w:rPr>
          <w:b/>
          <w:sz w:val="22"/>
          <w:szCs w:val="22"/>
        </w:rPr>
        <w:tab/>
      </w:r>
      <w:r w:rsidRPr="007D314B">
        <w:rPr>
          <w:bCs/>
          <w:sz w:val="22"/>
          <w:szCs w:val="22"/>
        </w:rPr>
        <w:t>Twenty-third</w:t>
      </w:r>
      <w:r w:rsidRPr="007D314B">
        <w:rPr>
          <w:b/>
          <w:sz w:val="22"/>
          <w:szCs w:val="22"/>
        </w:rPr>
        <w:t xml:space="preserve"> </w:t>
      </w:r>
      <w:r w:rsidRPr="007D314B">
        <w:rPr>
          <w:sz w:val="22"/>
          <w:szCs w:val="22"/>
        </w:rPr>
        <w:t>Applicant</w:t>
      </w:r>
    </w:p>
    <w:p w14:paraId="09040E9B" w14:textId="77777777" w:rsidR="007D314B" w:rsidRPr="007D314B" w:rsidRDefault="007D314B" w:rsidP="007D314B">
      <w:pPr>
        <w:tabs>
          <w:tab w:val="right" w:pos="10440"/>
        </w:tabs>
        <w:spacing w:line="480" w:lineRule="auto"/>
        <w:rPr>
          <w:sz w:val="22"/>
          <w:szCs w:val="22"/>
        </w:rPr>
      </w:pPr>
      <w:r w:rsidRPr="007D314B">
        <w:rPr>
          <w:b/>
          <w:bCs/>
          <w:sz w:val="22"/>
          <w:szCs w:val="22"/>
        </w:rPr>
        <w:t>BUSINESS VENTURE INVESTMENTS NO 1581 (RF) (PTY) LTD</w:t>
      </w:r>
      <w:r w:rsidRPr="007D314B">
        <w:rPr>
          <w:sz w:val="22"/>
          <w:szCs w:val="22"/>
        </w:rPr>
        <w:tab/>
        <w:t>Twenty-fourth Applicant</w:t>
      </w:r>
    </w:p>
    <w:p w14:paraId="7BB1032E" w14:textId="77777777" w:rsidR="007D314B" w:rsidRPr="007D314B" w:rsidRDefault="007D314B" w:rsidP="007D314B">
      <w:pPr>
        <w:tabs>
          <w:tab w:val="right" w:pos="10440"/>
        </w:tabs>
        <w:spacing w:line="480" w:lineRule="auto"/>
        <w:rPr>
          <w:sz w:val="22"/>
          <w:szCs w:val="22"/>
        </w:rPr>
      </w:pPr>
      <w:r w:rsidRPr="007D314B">
        <w:rPr>
          <w:b/>
          <w:sz w:val="22"/>
          <w:szCs w:val="22"/>
        </w:rPr>
        <w:t>THE DR. SURVE BURSARY TRUST</w:t>
      </w:r>
      <w:r w:rsidRPr="007D314B">
        <w:rPr>
          <w:b/>
          <w:sz w:val="22"/>
          <w:szCs w:val="22"/>
        </w:rPr>
        <w:tab/>
      </w:r>
      <w:r w:rsidRPr="007D314B">
        <w:rPr>
          <w:bCs/>
          <w:sz w:val="22"/>
          <w:szCs w:val="22"/>
        </w:rPr>
        <w:t>Twenty-fifth</w:t>
      </w:r>
      <w:r w:rsidRPr="007D314B">
        <w:rPr>
          <w:b/>
          <w:sz w:val="22"/>
          <w:szCs w:val="22"/>
        </w:rPr>
        <w:t xml:space="preserve"> </w:t>
      </w:r>
      <w:r w:rsidRPr="007D314B">
        <w:rPr>
          <w:sz w:val="22"/>
          <w:szCs w:val="22"/>
        </w:rPr>
        <w:t>Applicant</w:t>
      </w:r>
    </w:p>
    <w:p w14:paraId="50D408BA" w14:textId="77777777" w:rsidR="007D314B" w:rsidRPr="007D314B" w:rsidRDefault="007D314B" w:rsidP="007D314B">
      <w:pPr>
        <w:tabs>
          <w:tab w:val="right" w:pos="10440"/>
        </w:tabs>
        <w:spacing w:line="480" w:lineRule="auto"/>
        <w:rPr>
          <w:sz w:val="22"/>
          <w:szCs w:val="22"/>
        </w:rPr>
      </w:pPr>
      <w:r w:rsidRPr="007D314B">
        <w:rPr>
          <w:b/>
          <w:bCs/>
          <w:sz w:val="22"/>
          <w:szCs w:val="22"/>
        </w:rPr>
        <w:t>THE SOUTH AFRICAN ATLANTIC ARTS AND CULTURAL TRUST</w:t>
      </w:r>
      <w:r w:rsidRPr="007D314B">
        <w:rPr>
          <w:sz w:val="22"/>
          <w:szCs w:val="22"/>
        </w:rPr>
        <w:tab/>
        <w:t>Twenty-sixth Applicant</w:t>
      </w:r>
    </w:p>
    <w:p w14:paraId="715F9BB6" w14:textId="77777777" w:rsidR="007D314B" w:rsidRPr="007D314B" w:rsidRDefault="007D314B" w:rsidP="007D314B">
      <w:pPr>
        <w:tabs>
          <w:tab w:val="right" w:pos="10440"/>
        </w:tabs>
        <w:spacing w:line="480" w:lineRule="auto"/>
        <w:rPr>
          <w:sz w:val="22"/>
          <w:szCs w:val="22"/>
        </w:rPr>
      </w:pPr>
      <w:r w:rsidRPr="007D314B">
        <w:rPr>
          <w:b/>
          <w:sz w:val="22"/>
          <w:szCs w:val="22"/>
        </w:rPr>
        <w:t xml:space="preserve">ESP AFRIKA </w:t>
      </w:r>
      <w:r w:rsidRPr="007D314B">
        <w:rPr>
          <w:b/>
          <w:bCs/>
          <w:sz w:val="22"/>
          <w:szCs w:val="22"/>
        </w:rPr>
        <w:t>(PTY) LTD</w:t>
      </w:r>
      <w:r w:rsidRPr="007D314B">
        <w:rPr>
          <w:b/>
          <w:sz w:val="22"/>
          <w:szCs w:val="22"/>
        </w:rPr>
        <w:tab/>
      </w:r>
      <w:r w:rsidRPr="007D314B">
        <w:rPr>
          <w:bCs/>
          <w:sz w:val="22"/>
          <w:szCs w:val="22"/>
        </w:rPr>
        <w:t>Twenty-seventh</w:t>
      </w:r>
      <w:r w:rsidRPr="007D314B">
        <w:rPr>
          <w:b/>
          <w:sz w:val="22"/>
          <w:szCs w:val="22"/>
        </w:rPr>
        <w:t xml:space="preserve"> </w:t>
      </w:r>
      <w:r w:rsidRPr="007D314B">
        <w:rPr>
          <w:sz w:val="22"/>
          <w:szCs w:val="22"/>
        </w:rPr>
        <w:t>Applicant</w:t>
      </w:r>
    </w:p>
    <w:p w14:paraId="7BE594A4" w14:textId="77777777" w:rsidR="007D314B" w:rsidRPr="007D314B" w:rsidRDefault="007D314B" w:rsidP="007D314B">
      <w:pPr>
        <w:tabs>
          <w:tab w:val="right" w:pos="10440"/>
        </w:tabs>
        <w:spacing w:line="480" w:lineRule="auto"/>
        <w:rPr>
          <w:sz w:val="22"/>
          <w:szCs w:val="22"/>
        </w:rPr>
      </w:pPr>
      <w:r w:rsidRPr="007D314B">
        <w:rPr>
          <w:b/>
          <w:bCs/>
          <w:sz w:val="22"/>
          <w:szCs w:val="22"/>
        </w:rPr>
        <w:t>SIZWE AFRICA IT GROUP (PTY) LTD</w:t>
      </w:r>
      <w:r w:rsidRPr="007D314B">
        <w:rPr>
          <w:sz w:val="22"/>
          <w:szCs w:val="22"/>
        </w:rPr>
        <w:tab/>
        <w:t>Twenty-eighth Applicant</w:t>
      </w:r>
    </w:p>
    <w:p w14:paraId="31845DC7" w14:textId="77777777" w:rsidR="007D314B" w:rsidRPr="007D314B" w:rsidRDefault="007D314B" w:rsidP="007D314B">
      <w:pPr>
        <w:tabs>
          <w:tab w:val="right" w:pos="10440"/>
        </w:tabs>
        <w:spacing w:line="480" w:lineRule="auto"/>
        <w:rPr>
          <w:sz w:val="22"/>
          <w:szCs w:val="22"/>
        </w:rPr>
      </w:pPr>
      <w:r w:rsidRPr="007D314B">
        <w:rPr>
          <w:b/>
          <w:sz w:val="22"/>
          <w:szCs w:val="22"/>
        </w:rPr>
        <w:t>PARTI TRUST</w:t>
      </w:r>
      <w:r w:rsidRPr="007D314B">
        <w:rPr>
          <w:b/>
          <w:sz w:val="22"/>
          <w:szCs w:val="22"/>
        </w:rPr>
        <w:tab/>
      </w:r>
      <w:r w:rsidRPr="007D314B">
        <w:rPr>
          <w:sz w:val="22"/>
          <w:szCs w:val="22"/>
        </w:rPr>
        <w:t>Twenty-ninth</w:t>
      </w:r>
      <w:r w:rsidRPr="007D314B">
        <w:rPr>
          <w:b/>
          <w:sz w:val="22"/>
          <w:szCs w:val="22"/>
        </w:rPr>
        <w:t xml:space="preserve"> </w:t>
      </w:r>
      <w:r w:rsidRPr="007D314B">
        <w:rPr>
          <w:sz w:val="22"/>
          <w:szCs w:val="22"/>
        </w:rPr>
        <w:t>Applicant</w:t>
      </w:r>
    </w:p>
    <w:p w14:paraId="3E0E5B0F" w14:textId="77777777" w:rsidR="007D314B" w:rsidRPr="007D314B" w:rsidRDefault="007D314B" w:rsidP="007D314B">
      <w:pPr>
        <w:tabs>
          <w:tab w:val="right" w:pos="10440"/>
        </w:tabs>
        <w:spacing w:line="480" w:lineRule="auto"/>
        <w:rPr>
          <w:sz w:val="22"/>
          <w:szCs w:val="22"/>
        </w:rPr>
      </w:pPr>
      <w:r w:rsidRPr="007D314B">
        <w:rPr>
          <w:b/>
          <w:bCs/>
          <w:sz w:val="22"/>
          <w:szCs w:val="22"/>
        </w:rPr>
        <w:t>KALULA COMMUNICATIONS (PTY) LTD</w:t>
      </w:r>
      <w:r w:rsidRPr="007D314B">
        <w:rPr>
          <w:sz w:val="22"/>
          <w:szCs w:val="22"/>
        </w:rPr>
        <w:tab/>
        <w:t>Thirtieth Applicant</w:t>
      </w:r>
    </w:p>
    <w:p w14:paraId="47C81807" w14:textId="77777777" w:rsidR="007D314B" w:rsidRPr="007D314B" w:rsidRDefault="007D314B" w:rsidP="004B15B9">
      <w:pPr>
        <w:tabs>
          <w:tab w:val="right" w:pos="10440"/>
        </w:tabs>
        <w:spacing w:after="100" w:afterAutospacing="1" w:line="480" w:lineRule="auto"/>
        <w:rPr>
          <w:sz w:val="22"/>
          <w:szCs w:val="22"/>
        </w:rPr>
      </w:pPr>
      <w:r w:rsidRPr="007D314B">
        <w:rPr>
          <w:b/>
          <w:bCs/>
          <w:sz w:val="22"/>
          <w:szCs w:val="22"/>
        </w:rPr>
        <w:t>WIKIDEALS (PTY) LTD</w:t>
      </w:r>
      <w:r w:rsidRPr="007D314B">
        <w:rPr>
          <w:b/>
          <w:sz w:val="22"/>
          <w:szCs w:val="22"/>
        </w:rPr>
        <w:tab/>
      </w:r>
      <w:r w:rsidRPr="007D314B">
        <w:rPr>
          <w:bCs/>
          <w:sz w:val="22"/>
          <w:szCs w:val="22"/>
        </w:rPr>
        <w:t>Thirty-first</w:t>
      </w:r>
      <w:r w:rsidRPr="007D314B">
        <w:rPr>
          <w:b/>
          <w:sz w:val="22"/>
          <w:szCs w:val="22"/>
        </w:rPr>
        <w:t xml:space="preserve"> </w:t>
      </w:r>
      <w:r w:rsidRPr="007D314B">
        <w:rPr>
          <w:sz w:val="22"/>
          <w:szCs w:val="22"/>
        </w:rPr>
        <w:t>Applicant</w:t>
      </w:r>
    </w:p>
    <w:p w14:paraId="624EAC9E" w14:textId="77777777" w:rsidR="007D314B" w:rsidRPr="007D314B" w:rsidRDefault="007D314B" w:rsidP="004B15B9">
      <w:pPr>
        <w:tabs>
          <w:tab w:val="right" w:pos="8364"/>
          <w:tab w:val="right" w:pos="10440"/>
        </w:tabs>
        <w:spacing w:after="100" w:afterAutospacing="1" w:line="480" w:lineRule="auto"/>
        <w:rPr>
          <w:sz w:val="22"/>
          <w:szCs w:val="22"/>
        </w:rPr>
      </w:pPr>
      <w:r w:rsidRPr="007D314B">
        <w:rPr>
          <w:sz w:val="22"/>
          <w:szCs w:val="22"/>
        </w:rPr>
        <w:t>and</w:t>
      </w:r>
    </w:p>
    <w:p w14:paraId="7F410EB3" w14:textId="70FCCF0E" w:rsidR="007D314B" w:rsidRDefault="007D314B" w:rsidP="007D314B">
      <w:pPr>
        <w:tabs>
          <w:tab w:val="right" w:pos="10440"/>
        </w:tabs>
        <w:spacing w:line="480" w:lineRule="auto"/>
        <w:rPr>
          <w:sz w:val="22"/>
          <w:szCs w:val="22"/>
        </w:rPr>
      </w:pPr>
      <w:r w:rsidRPr="007D314B">
        <w:rPr>
          <w:b/>
          <w:caps/>
          <w:sz w:val="22"/>
          <w:szCs w:val="22"/>
        </w:rPr>
        <w:t xml:space="preserve">THE STANDARD BANK OF SA LTD </w:t>
      </w:r>
      <w:r w:rsidRPr="007D314B">
        <w:rPr>
          <w:b/>
          <w:caps/>
          <w:sz w:val="22"/>
          <w:szCs w:val="22"/>
        </w:rPr>
        <w:tab/>
      </w:r>
      <w:r w:rsidR="00DB2BD4">
        <w:rPr>
          <w:sz w:val="22"/>
          <w:szCs w:val="22"/>
        </w:rPr>
        <w:t>First R</w:t>
      </w:r>
      <w:r w:rsidRPr="007D314B">
        <w:rPr>
          <w:sz w:val="22"/>
          <w:szCs w:val="22"/>
        </w:rPr>
        <w:t>espondent</w:t>
      </w:r>
    </w:p>
    <w:p w14:paraId="2DA03FC7" w14:textId="0EC3F531" w:rsidR="00DB2BD4" w:rsidRPr="00DB2BD4" w:rsidRDefault="00DB2BD4" w:rsidP="007D314B">
      <w:pPr>
        <w:tabs>
          <w:tab w:val="right" w:pos="10440"/>
        </w:tabs>
        <w:spacing w:line="480" w:lineRule="auto"/>
        <w:rPr>
          <w:sz w:val="22"/>
          <w:szCs w:val="22"/>
        </w:rPr>
      </w:pPr>
      <w:r>
        <w:rPr>
          <w:b/>
          <w:sz w:val="22"/>
          <w:szCs w:val="22"/>
        </w:rPr>
        <w:t xml:space="preserve">LUNGISA FUZILE N.O.                                                                            </w:t>
      </w:r>
      <w:r>
        <w:rPr>
          <w:sz w:val="22"/>
          <w:szCs w:val="22"/>
        </w:rPr>
        <w:t xml:space="preserve">Second Respondent </w:t>
      </w:r>
    </w:p>
    <w:p w14:paraId="45C4FBE8" w14:textId="77777777" w:rsidR="000D0428" w:rsidRPr="007D314B" w:rsidRDefault="000D0428" w:rsidP="008A5E0B">
      <w:pPr>
        <w:spacing w:line="360" w:lineRule="auto"/>
        <w:ind w:right="-46"/>
        <w:jc w:val="right"/>
        <w:rPr>
          <w:sz w:val="22"/>
          <w:szCs w:val="22"/>
        </w:rPr>
      </w:pPr>
    </w:p>
    <w:p w14:paraId="3100CD92" w14:textId="2C8C103E" w:rsidR="007E0C13" w:rsidRPr="00C625CC"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C625CC">
        <w:t xml:space="preserve"> </w:t>
      </w:r>
      <w:r w:rsidR="008D7F7A">
        <w:t>Justice J Cloete</w:t>
      </w:r>
    </w:p>
    <w:p w14:paraId="06DB2F29" w14:textId="10CF7635" w:rsidR="007E0C13" w:rsidRDefault="00D77613" w:rsidP="004C3172">
      <w:pPr>
        <w:tabs>
          <w:tab w:val="right" w:pos="9072"/>
        </w:tabs>
        <w:spacing w:line="480" w:lineRule="auto"/>
        <w:jc w:val="both"/>
      </w:pPr>
      <w:r w:rsidRPr="00E33BD4">
        <w:rPr>
          <w:b/>
        </w:rPr>
        <w:t>Heard:</w:t>
      </w:r>
      <w:r w:rsidR="00166F0F">
        <w:t xml:space="preserve"> </w:t>
      </w:r>
      <w:r w:rsidR="008F7E26">
        <w:t>15 February 2024</w:t>
      </w:r>
    </w:p>
    <w:p w14:paraId="21ACF88F" w14:textId="4373DD0E"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FD3E38">
        <w:t>19 February 2024</w:t>
      </w:r>
    </w:p>
    <w:p w14:paraId="03C8566D" w14:textId="77777777" w:rsidR="007E0C13" w:rsidRPr="003B461A" w:rsidRDefault="007E0C13" w:rsidP="003B461A">
      <w:pPr>
        <w:pBdr>
          <w:bottom w:val="single" w:sz="4" w:space="1" w:color="auto"/>
        </w:pBdr>
        <w:tabs>
          <w:tab w:val="right" w:pos="8400"/>
        </w:tabs>
        <w:spacing w:before="60" w:after="60"/>
        <w:jc w:val="both"/>
        <w:rPr>
          <w:sz w:val="26"/>
          <w:szCs w:val="26"/>
        </w:rPr>
      </w:pPr>
    </w:p>
    <w:p w14:paraId="37A84A39" w14:textId="77777777" w:rsidR="007E0C13" w:rsidRPr="003B461A" w:rsidRDefault="007E0C13" w:rsidP="003B461A">
      <w:pPr>
        <w:tabs>
          <w:tab w:val="right" w:pos="8400"/>
        </w:tabs>
        <w:spacing w:before="60" w:after="60"/>
        <w:jc w:val="both"/>
        <w:rPr>
          <w:sz w:val="26"/>
          <w:szCs w:val="26"/>
        </w:rPr>
      </w:pPr>
    </w:p>
    <w:p w14:paraId="4E343024" w14:textId="149DF257" w:rsidR="007E0C13" w:rsidRPr="003B461A" w:rsidRDefault="002D1856" w:rsidP="00D77613">
      <w:pPr>
        <w:tabs>
          <w:tab w:val="right" w:pos="8400"/>
        </w:tabs>
        <w:spacing w:before="60" w:after="60"/>
        <w:jc w:val="center"/>
        <w:rPr>
          <w:b/>
          <w:sz w:val="26"/>
          <w:szCs w:val="26"/>
        </w:rPr>
      </w:pPr>
      <w:r>
        <w:rPr>
          <w:b/>
          <w:sz w:val="26"/>
          <w:szCs w:val="26"/>
        </w:rPr>
        <w:t xml:space="preserve">JUDGMENT </w:t>
      </w:r>
      <w:r w:rsidR="008F7E26">
        <w:rPr>
          <w:b/>
          <w:sz w:val="26"/>
          <w:szCs w:val="26"/>
        </w:rPr>
        <w:t>IN APPLICATION FOR LEAVE TO APPEAL</w:t>
      </w:r>
    </w:p>
    <w:p w14:paraId="4327C133" w14:textId="77777777" w:rsidR="007E0C13" w:rsidRPr="003B461A" w:rsidRDefault="007E0C13" w:rsidP="003B461A">
      <w:pPr>
        <w:pBdr>
          <w:bottom w:val="single" w:sz="4" w:space="1" w:color="auto"/>
        </w:pBdr>
        <w:tabs>
          <w:tab w:val="right" w:pos="8400"/>
        </w:tabs>
        <w:spacing w:before="60" w:after="60"/>
        <w:jc w:val="both"/>
        <w:rPr>
          <w:sz w:val="26"/>
          <w:szCs w:val="26"/>
        </w:rPr>
      </w:pPr>
    </w:p>
    <w:p w14:paraId="72C62881" w14:textId="77777777" w:rsidR="00242151" w:rsidRDefault="00242151" w:rsidP="007134CF">
      <w:pPr>
        <w:jc w:val="both"/>
        <w:rPr>
          <w:rFonts w:eastAsiaTheme="minorHAnsi"/>
          <w:b/>
          <w:u w:val="single"/>
          <w:lang w:eastAsia="en-US"/>
        </w:rPr>
      </w:pPr>
    </w:p>
    <w:p w14:paraId="0F924FB6" w14:textId="382807F6" w:rsidR="003B461A" w:rsidRDefault="00242151" w:rsidP="007134CF">
      <w:pPr>
        <w:jc w:val="both"/>
        <w:rPr>
          <w:rFonts w:eastAsiaTheme="minorHAnsi"/>
          <w:b/>
          <w:lang w:eastAsia="en-US"/>
        </w:rPr>
      </w:pPr>
      <w:r>
        <w:rPr>
          <w:rFonts w:eastAsiaTheme="minorHAnsi"/>
          <w:b/>
          <w:u w:val="single"/>
          <w:lang w:eastAsia="en-US"/>
        </w:rPr>
        <w:t>CLOETE J</w:t>
      </w:r>
      <w:r w:rsidR="003D0062">
        <w:rPr>
          <w:rFonts w:eastAsiaTheme="minorHAnsi"/>
          <w:b/>
          <w:lang w:eastAsia="en-US"/>
        </w:rPr>
        <w:t>:</w:t>
      </w:r>
    </w:p>
    <w:p w14:paraId="764EB918" w14:textId="370CC949" w:rsidR="00C625CC" w:rsidRDefault="00C625CC" w:rsidP="007134CF">
      <w:pPr>
        <w:jc w:val="both"/>
        <w:rPr>
          <w:rFonts w:eastAsiaTheme="minorHAnsi"/>
          <w:b/>
          <w:lang w:eastAsia="en-US"/>
        </w:rPr>
      </w:pPr>
    </w:p>
    <w:p w14:paraId="0092C912" w14:textId="0FCE36D0" w:rsidR="00242151" w:rsidRPr="008F7E26" w:rsidRDefault="00242151" w:rsidP="007134CF">
      <w:pPr>
        <w:jc w:val="both"/>
        <w:rPr>
          <w:rFonts w:eastAsiaTheme="minorHAnsi"/>
          <w:lang w:eastAsia="en-US"/>
        </w:rPr>
      </w:pPr>
      <w:r>
        <w:rPr>
          <w:rFonts w:eastAsiaTheme="minorHAnsi"/>
          <w:b/>
          <w:u w:val="single"/>
          <w:lang w:eastAsia="en-US"/>
        </w:rPr>
        <w:t>Introduction</w:t>
      </w:r>
    </w:p>
    <w:p w14:paraId="1D391C15" w14:textId="77777777" w:rsidR="00242151" w:rsidRPr="00242151" w:rsidRDefault="00242151" w:rsidP="007134CF">
      <w:pPr>
        <w:jc w:val="both"/>
        <w:rPr>
          <w:rFonts w:eastAsiaTheme="minorHAnsi"/>
          <w:b/>
          <w:u w:val="single"/>
          <w:lang w:eastAsia="en-US"/>
        </w:rPr>
      </w:pPr>
    </w:p>
    <w:p w14:paraId="7B08AFA9" w14:textId="77777777" w:rsidR="00463FFB" w:rsidRDefault="00463FFB" w:rsidP="003B461A">
      <w:pPr>
        <w:jc w:val="both"/>
        <w:rPr>
          <w:rFonts w:eastAsiaTheme="minorHAnsi"/>
          <w:b/>
          <w:lang w:eastAsia="en-US"/>
        </w:rPr>
      </w:pPr>
    </w:p>
    <w:p w14:paraId="7FF729B1" w14:textId="6B5C5F03" w:rsidR="008F7E26" w:rsidRPr="008F7E26" w:rsidRDefault="00294296" w:rsidP="00294296">
      <w:pPr>
        <w:spacing w:after="480" w:line="480" w:lineRule="auto"/>
        <w:ind w:left="720" w:hanging="720"/>
        <w:jc w:val="both"/>
        <w:rPr>
          <w:b/>
        </w:rPr>
      </w:pPr>
      <w:r w:rsidRPr="008F7E26">
        <w:t>[1]</w:t>
      </w:r>
      <w:r w:rsidRPr="008F7E26">
        <w:tab/>
      </w:r>
      <w:r w:rsidR="008F7E26">
        <w:t>For convenience the parties are referred to as before. Standard Bank applies for leave to appeal to the Supreme Court of Appeal against the whole of my judgment and order delivered on 14 September 2023. The present application was only heard on 15 February 2024 by arrangement between the parties. The Sekunjalo Group and related entities (“SG”) oppose the application. In summary Standard Bank’s grounds of appeal are as follows (and I deal with each in turn hereunder):</w:t>
      </w:r>
    </w:p>
    <w:p w14:paraId="5D837EC1" w14:textId="2415975C" w:rsidR="008F7E26" w:rsidRDefault="00294296" w:rsidP="00294296">
      <w:pPr>
        <w:spacing w:after="480" w:line="480" w:lineRule="auto"/>
        <w:ind w:left="1440" w:hanging="720"/>
        <w:jc w:val="both"/>
      </w:pPr>
      <w:r>
        <w:t>1.1</w:t>
      </w:r>
      <w:r>
        <w:tab/>
      </w:r>
      <w:r w:rsidR="008F7E26">
        <w:t>The relief sought by SG was final in effect; I should have found it to be so and dismissed the applications (i.e. both High Court and Equality Court) by applying the test for final interdictory relief and concluding SG had failed to meet that test;</w:t>
      </w:r>
    </w:p>
    <w:p w14:paraId="76B7560B" w14:textId="77777777" w:rsidR="008F7E26" w:rsidRDefault="008F7E26" w:rsidP="008F7E26">
      <w:pPr>
        <w:pStyle w:val="ListParagraph"/>
        <w:spacing w:after="480" w:line="480" w:lineRule="auto"/>
        <w:ind w:left="1440"/>
        <w:jc w:val="both"/>
      </w:pPr>
    </w:p>
    <w:p w14:paraId="2DF54C5F" w14:textId="1549D4EE" w:rsidR="008F7E26" w:rsidRDefault="00294296" w:rsidP="00294296">
      <w:pPr>
        <w:spacing w:after="480" w:line="480" w:lineRule="auto"/>
        <w:ind w:left="1440" w:hanging="720"/>
        <w:jc w:val="both"/>
      </w:pPr>
      <w:r>
        <w:t>1.2</w:t>
      </w:r>
      <w:r>
        <w:tab/>
      </w:r>
      <w:r w:rsidR="008F7E26">
        <w:t xml:space="preserve">The relief I granted was in any event final in effect; </w:t>
      </w:r>
    </w:p>
    <w:p w14:paraId="5BB2BE1A" w14:textId="61DF3268" w:rsidR="008F7E26" w:rsidRDefault="008F7E26" w:rsidP="008F7E26">
      <w:pPr>
        <w:pStyle w:val="ListParagraph"/>
      </w:pPr>
    </w:p>
    <w:p w14:paraId="4A9DA6BB" w14:textId="77777777" w:rsidR="008F7E26" w:rsidRDefault="008F7E26" w:rsidP="008F7E26">
      <w:pPr>
        <w:pStyle w:val="ListParagraph"/>
      </w:pPr>
    </w:p>
    <w:p w14:paraId="6AFBDF4F" w14:textId="3ACBEE87" w:rsidR="008F7E26" w:rsidRDefault="00294296" w:rsidP="00294296">
      <w:pPr>
        <w:spacing w:after="480" w:line="480" w:lineRule="auto"/>
        <w:ind w:left="1440" w:hanging="720"/>
        <w:jc w:val="both"/>
      </w:pPr>
      <w:r>
        <w:t>1.3</w:t>
      </w:r>
      <w:r>
        <w:tab/>
      </w:r>
      <w:r w:rsidR="008F7E26">
        <w:t>My order was vague and thus ineffective as well as arbitrary and thus irregular;</w:t>
      </w:r>
    </w:p>
    <w:p w14:paraId="4E69A9B2" w14:textId="77777777" w:rsidR="008F7E26" w:rsidRDefault="008F7E26" w:rsidP="008F7E26">
      <w:pPr>
        <w:pStyle w:val="ListParagraph"/>
        <w:spacing w:after="480" w:line="480" w:lineRule="auto"/>
        <w:ind w:left="1440"/>
        <w:jc w:val="both"/>
      </w:pPr>
    </w:p>
    <w:p w14:paraId="4734B3E3" w14:textId="675CA6BF" w:rsidR="008F7E26" w:rsidRDefault="00294296" w:rsidP="00294296">
      <w:pPr>
        <w:spacing w:after="480" w:line="480" w:lineRule="auto"/>
        <w:ind w:left="1440" w:hanging="720"/>
        <w:jc w:val="both"/>
      </w:pPr>
      <w:r>
        <w:t>1.4</w:t>
      </w:r>
      <w:r>
        <w:tab/>
      </w:r>
      <w:r w:rsidR="008F7E26">
        <w:t xml:space="preserve">In any event SG failed to even make out a case for interim interdictory relief; and </w:t>
      </w:r>
    </w:p>
    <w:p w14:paraId="5865B056" w14:textId="1582F959" w:rsidR="008F7E26" w:rsidRDefault="008F7E26" w:rsidP="008F7E26">
      <w:pPr>
        <w:pStyle w:val="ListParagraph"/>
      </w:pPr>
    </w:p>
    <w:p w14:paraId="5CA488D9" w14:textId="77777777" w:rsidR="008F7E26" w:rsidRDefault="008F7E26" w:rsidP="008F7E26">
      <w:pPr>
        <w:pStyle w:val="ListParagraph"/>
      </w:pPr>
    </w:p>
    <w:p w14:paraId="4BFA323A" w14:textId="192D26DA" w:rsidR="008F7E26" w:rsidRDefault="00294296" w:rsidP="00294296">
      <w:pPr>
        <w:spacing w:after="480" w:line="480" w:lineRule="auto"/>
        <w:ind w:left="1440" w:hanging="720"/>
        <w:jc w:val="both"/>
      </w:pPr>
      <w:r>
        <w:t>1.5</w:t>
      </w:r>
      <w:r>
        <w:tab/>
      </w:r>
      <w:r w:rsidR="008F7E26">
        <w:t xml:space="preserve">There are conflicting decisions in both the High Courts and Equality Courts subsequent to the decision of the Supreme Court of Appeal (SCA) in </w:t>
      </w:r>
      <w:r w:rsidR="008F7E26" w:rsidRPr="00294296">
        <w:rPr>
          <w:i/>
        </w:rPr>
        <w:t>Bredenkamp III</w:t>
      </w:r>
      <w:r w:rsidR="008F7E26">
        <w:rPr>
          <w:rStyle w:val="FootnoteReference"/>
        </w:rPr>
        <w:footnoteReference w:id="1"/>
      </w:r>
      <w:r w:rsidR="008F7E26">
        <w:t xml:space="preserve"> where such courts </w:t>
      </w:r>
      <w:r w:rsidR="008F7E26" w:rsidRPr="00294296">
        <w:rPr>
          <w:i/>
        </w:rPr>
        <w:t>‘have wrestled’</w:t>
      </w:r>
      <w:r w:rsidR="008F7E26">
        <w:t xml:space="preserve"> with applications to interdict the closure of bank </w:t>
      </w:r>
      <w:r w:rsidR="00551D80">
        <w:t xml:space="preserve">accounts, and it would be desirable for the SCA </w:t>
      </w:r>
      <w:r w:rsidR="00551D80" w:rsidRPr="00294296">
        <w:rPr>
          <w:i/>
        </w:rPr>
        <w:t>‘to provide certainty by clarifying when and in what circumstances a bank may provisionally be interdicted against the closing of an account of a client’.</w:t>
      </w:r>
    </w:p>
    <w:p w14:paraId="68790164" w14:textId="6F61CFA0" w:rsidR="00551D80" w:rsidRPr="00551D80" w:rsidRDefault="00551D80" w:rsidP="00551D80">
      <w:pPr>
        <w:spacing w:after="480" w:line="276" w:lineRule="auto"/>
        <w:jc w:val="both"/>
        <w:rPr>
          <w:b/>
          <w:u w:val="single"/>
        </w:rPr>
      </w:pPr>
      <w:r>
        <w:rPr>
          <w:b/>
          <w:u w:val="single"/>
        </w:rPr>
        <w:t>Relief sought by SG was final in effect</w:t>
      </w:r>
    </w:p>
    <w:p w14:paraId="1BA46A76" w14:textId="135900FD" w:rsidR="008F7E26" w:rsidRPr="00F73C8D" w:rsidRDefault="00294296" w:rsidP="00294296">
      <w:pPr>
        <w:spacing w:after="480" w:line="480" w:lineRule="auto"/>
        <w:ind w:left="720" w:hanging="720"/>
        <w:jc w:val="both"/>
        <w:rPr>
          <w:b/>
        </w:rPr>
      </w:pPr>
      <w:r w:rsidRPr="00F73C8D">
        <w:t>[2]</w:t>
      </w:r>
      <w:r w:rsidRPr="00F73C8D">
        <w:tab/>
      </w:r>
      <w:r w:rsidR="00C50519">
        <w:t xml:space="preserve">During argument counsel for Standard Bank </w:t>
      </w:r>
      <w:r w:rsidR="00F73C8D">
        <w:t>properly conceded that: (a) </w:t>
      </w:r>
      <w:r w:rsidR="000A6F01">
        <w:t xml:space="preserve">it </w:t>
      </w:r>
      <w:r w:rsidR="00F73C8D">
        <w:t xml:space="preserve">was </w:t>
      </w:r>
      <w:r w:rsidR="000A6F01">
        <w:t xml:space="preserve">open to me to have granted </w:t>
      </w:r>
      <w:r w:rsidR="00F73C8D">
        <w:t xml:space="preserve">alternative relief as prayed instead of the primary (or main) relief sought; and (b) I granted alternative relief </w:t>
      </w:r>
      <w:r w:rsidR="000A6F01">
        <w:t>(</w:t>
      </w:r>
      <w:r w:rsidR="00F73C8D">
        <w:t>in the form of a structural interdict for all of the reasons contained in my judgment). That is the end of this ground of appeal.</w:t>
      </w:r>
    </w:p>
    <w:p w14:paraId="5034C6FA" w14:textId="73C98E8A" w:rsidR="00F73C8D" w:rsidRPr="00F73C8D" w:rsidRDefault="00F73C8D" w:rsidP="00F73C8D">
      <w:pPr>
        <w:spacing w:after="480" w:line="276" w:lineRule="auto"/>
        <w:jc w:val="both"/>
      </w:pPr>
      <w:r>
        <w:rPr>
          <w:b/>
          <w:u w:val="single"/>
        </w:rPr>
        <w:t>Relief granted was final in effect</w:t>
      </w:r>
    </w:p>
    <w:p w14:paraId="7C3C6958" w14:textId="4ACC1BF2" w:rsidR="00F73C8D" w:rsidRPr="00FA7C34" w:rsidRDefault="00294296" w:rsidP="00294296">
      <w:pPr>
        <w:spacing w:after="480" w:line="480" w:lineRule="auto"/>
        <w:ind w:left="720" w:hanging="720"/>
        <w:jc w:val="both"/>
        <w:rPr>
          <w:b/>
        </w:rPr>
      </w:pPr>
      <w:r w:rsidRPr="00FA7C34">
        <w:lastRenderedPageBreak/>
        <w:t>[3]</w:t>
      </w:r>
      <w:r w:rsidRPr="00FA7C34">
        <w:tab/>
      </w:r>
      <w:r w:rsidR="00F73C8D">
        <w:t>Cut to its</w:t>
      </w:r>
      <w:r w:rsidR="00FA7C34">
        <w:t xml:space="preserve"> core, Standard Bank’s argument is that the fixing of a period of 12 months (i.e. until 11 September 2024) rendered </w:t>
      </w:r>
      <w:r w:rsidR="00BA24C2">
        <w:t>m</w:t>
      </w:r>
      <w:r w:rsidR="00FA7C34">
        <w:t>y order final in effect. (It is not necessary to deal with that portion of my order pertaining to earlier final determination of the main applications since the parties are in agreement this will not occur before 11 September 2024).</w:t>
      </w:r>
    </w:p>
    <w:p w14:paraId="64FF4D2C" w14:textId="37EE44A4" w:rsidR="00FA7C34" w:rsidRPr="00FA7C34" w:rsidRDefault="00294296" w:rsidP="00294296">
      <w:pPr>
        <w:spacing w:after="480" w:line="480" w:lineRule="auto"/>
        <w:ind w:left="720" w:hanging="720"/>
        <w:jc w:val="both"/>
        <w:rPr>
          <w:b/>
        </w:rPr>
      </w:pPr>
      <w:r w:rsidRPr="00FA7C34">
        <w:t>[4]</w:t>
      </w:r>
      <w:r w:rsidRPr="00FA7C34">
        <w:tab/>
      </w:r>
      <w:r w:rsidR="00FA7C34">
        <w:t>However the reasoning in my judgment, in my respectful view, demonstrates that my order was not final in effect, particularly when regard is had to paras 25 to 28 thereof.</w:t>
      </w:r>
    </w:p>
    <w:p w14:paraId="4ADC6CA4" w14:textId="040110CD" w:rsidR="00FA7C34" w:rsidRPr="00FA7C34" w:rsidRDefault="00294296" w:rsidP="00294296">
      <w:pPr>
        <w:spacing w:after="480" w:line="480" w:lineRule="auto"/>
        <w:ind w:left="720" w:hanging="720"/>
        <w:jc w:val="both"/>
        <w:rPr>
          <w:b/>
        </w:rPr>
      </w:pPr>
      <w:r w:rsidRPr="00FA7C34">
        <w:t>[5]</w:t>
      </w:r>
      <w:r w:rsidRPr="00FA7C34">
        <w:tab/>
      </w:r>
      <w:r w:rsidR="00FA7C34">
        <w:t xml:space="preserve">Various developments have occurred since I granted the September 2023 order (as partly foreshadowed in para 28 of my judgment). I was informed of these from the Bar during argument. Some have been adverse to SG and some favourable to it. Again, in my respectful view, these developments serve to reinforce why the parties should be afforded the opportunity to place them, and their respective views on their implications, properly before the court at the next hearing. </w:t>
      </w:r>
    </w:p>
    <w:p w14:paraId="23ACEE86" w14:textId="695BDB83" w:rsidR="00FA7C34" w:rsidRPr="00FA7C34" w:rsidRDefault="00294296" w:rsidP="00294296">
      <w:pPr>
        <w:spacing w:after="480" w:line="480" w:lineRule="auto"/>
        <w:ind w:left="720" w:hanging="720"/>
        <w:jc w:val="both"/>
        <w:rPr>
          <w:b/>
        </w:rPr>
      </w:pPr>
      <w:r w:rsidRPr="00FA7C34">
        <w:t>[6]</w:t>
      </w:r>
      <w:r w:rsidRPr="00FA7C34">
        <w:tab/>
      </w:r>
      <w:r w:rsidR="00FA7C34">
        <w:t xml:space="preserve">This will enable that court to reach an informed decision about whether any relief should be granted to SG subsequent to 11 September 2024. I cannot take </w:t>
      </w:r>
      <w:r w:rsidR="00201288">
        <w:t xml:space="preserve">the implications of </w:t>
      </w:r>
      <w:r w:rsidR="00FA7C34">
        <w:t xml:space="preserve">these subsequent developments into account for purposes of considering whether leave to appeal should be granted. I am bound by the four corners of my judgment. </w:t>
      </w:r>
    </w:p>
    <w:p w14:paraId="011D2518" w14:textId="0802AAB7" w:rsidR="00FA7C34" w:rsidRPr="0046597A" w:rsidRDefault="00294296" w:rsidP="00294296">
      <w:pPr>
        <w:spacing w:after="480" w:line="480" w:lineRule="auto"/>
        <w:ind w:left="720" w:hanging="720"/>
        <w:jc w:val="both"/>
        <w:rPr>
          <w:b/>
        </w:rPr>
      </w:pPr>
      <w:r w:rsidRPr="0046597A">
        <w:lastRenderedPageBreak/>
        <w:t>[7]</w:t>
      </w:r>
      <w:r w:rsidRPr="0046597A">
        <w:tab/>
      </w:r>
      <w:r w:rsidR="00FA7C34">
        <w:t xml:space="preserve">Moreover I do not understand the legal position to be that the mere fact of a fixed duration automatically translates into final relief. It all depends on the circumstances. In </w:t>
      </w:r>
      <w:r w:rsidR="00FA7C34">
        <w:rPr>
          <w:i/>
        </w:rPr>
        <w:t>Apleni</w:t>
      </w:r>
      <w:r w:rsidR="002C7BC3">
        <w:rPr>
          <w:rStyle w:val="FootnoteReference"/>
        </w:rPr>
        <w:footnoteReference w:id="2"/>
      </w:r>
      <w:r w:rsidR="0046597A">
        <w:t xml:space="preserve"> Vivier JA stated:</w:t>
      </w:r>
    </w:p>
    <w:p w14:paraId="74CC85DA" w14:textId="2560F848" w:rsidR="0046597A" w:rsidRPr="0046597A" w:rsidRDefault="0046597A" w:rsidP="006C6D20">
      <w:pPr>
        <w:spacing w:after="480" w:line="360" w:lineRule="auto"/>
        <w:ind w:left="1440"/>
        <w:jc w:val="both"/>
        <w:rPr>
          <w:i/>
          <w:sz w:val="22"/>
          <w:szCs w:val="22"/>
        </w:rPr>
      </w:pPr>
      <w:r>
        <w:rPr>
          <w:i/>
          <w:sz w:val="22"/>
          <w:szCs w:val="22"/>
        </w:rPr>
        <w:t>‘The interim interdicts sought would have been operative for the duration of the Appellants’ detention. In this sense it would have had final effect in that nothing which may subsequently have been decided could detract from the efficacy which the orders enjoyed while they were in force. However, on the facts of the present applications the grant of interim interdicts did not involve a final determination of the rights of the parties and did not affect such determination… The grant of interim interdicts did not amount to any finding on the facts, which would only have been made, together with appropriate orders as to costs, upon the final determination of the issues between the parties. Although final in effect, the interdicts sought were thus certainly not final in substance. The fact that the determination of the issues would only have taken place after the risk of injury had passed was obviously no bar to the grant of the orders…’</w:t>
      </w:r>
    </w:p>
    <w:p w14:paraId="53ABF829" w14:textId="06550DE4" w:rsidR="0046597A" w:rsidRPr="0046597A" w:rsidRDefault="00294296" w:rsidP="00294296">
      <w:pPr>
        <w:spacing w:after="480" w:line="480" w:lineRule="auto"/>
        <w:ind w:left="720" w:hanging="720"/>
        <w:jc w:val="both"/>
        <w:rPr>
          <w:b/>
        </w:rPr>
      </w:pPr>
      <w:r w:rsidRPr="0046597A">
        <w:t>[8]</w:t>
      </w:r>
      <w:r w:rsidRPr="0046597A">
        <w:tab/>
      </w:r>
      <w:r w:rsidR="0046597A">
        <w:t>I have been unable to find any authority which has overturned this longstanding principle. The very purpose of the structural interim interdict I granted was to try to do justice to both parties pending the outcome of parallel litigation and progress with case management, as is evident from paras 25 to 28 of my judgment. It follows that this ground of appeal fails.</w:t>
      </w:r>
    </w:p>
    <w:p w14:paraId="5A2CD43D" w14:textId="4D5426B6" w:rsidR="0046597A" w:rsidRDefault="0046597A" w:rsidP="0046597A">
      <w:pPr>
        <w:spacing w:after="480" w:line="276" w:lineRule="auto"/>
        <w:jc w:val="both"/>
      </w:pPr>
      <w:r>
        <w:rPr>
          <w:b/>
          <w:u w:val="single"/>
        </w:rPr>
        <w:t>Order vague and thus ineffective as well as arbitrary and thus irregular</w:t>
      </w:r>
    </w:p>
    <w:p w14:paraId="461EFFED" w14:textId="2FDE8304" w:rsidR="0046597A" w:rsidRPr="0046597A" w:rsidRDefault="00294296" w:rsidP="00294296">
      <w:pPr>
        <w:spacing w:after="480" w:line="480" w:lineRule="auto"/>
        <w:ind w:left="720" w:hanging="720"/>
        <w:jc w:val="both"/>
        <w:rPr>
          <w:b/>
        </w:rPr>
      </w:pPr>
      <w:r w:rsidRPr="0046597A">
        <w:t>[9]</w:t>
      </w:r>
      <w:r w:rsidRPr="0046597A">
        <w:tab/>
      </w:r>
      <w:r w:rsidR="0046597A">
        <w:t xml:space="preserve">The </w:t>
      </w:r>
      <w:r w:rsidR="0046597A">
        <w:rPr>
          <w:i/>
        </w:rPr>
        <w:t>‘arbitrary and thus irregular’</w:t>
      </w:r>
      <w:r w:rsidR="0046597A">
        <w:t xml:space="preserve"> ground fell away as soon as counsel for Standard Bank made the concession that I was entitled to have granted alternative relief. The vague and incapable of implementation ground is founded </w:t>
      </w:r>
      <w:r w:rsidR="0046597A">
        <w:lastRenderedPageBreak/>
        <w:t xml:space="preserve">on the </w:t>
      </w:r>
      <w:r w:rsidR="00E13C9F">
        <w:t>contention</w:t>
      </w:r>
      <w:r w:rsidR="0046597A">
        <w:t xml:space="preserve"> that I incorporated into the order </w:t>
      </w:r>
      <w:r w:rsidR="0046597A">
        <w:rPr>
          <w:i/>
        </w:rPr>
        <w:t>‘a dispute between the parties relating to’</w:t>
      </w:r>
      <w:r w:rsidR="0046597A">
        <w:t xml:space="preserve"> FICA.</w:t>
      </w:r>
      <w:r w:rsidR="0046597A">
        <w:rPr>
          <w:rStyle w:val="FootnoteReference"/>
        </w:rPr>
        <w:footnoteReference w:id="3"/>
      </w:r>
    </w:p>
    <w:p w14:paraId="4220F1A1" w14:textId="43F883A1" w:rsidR="00901EF9" w:rsidRPr="00901EF9" w:rsidRDefault="00294296" w:rsidP="00294296">
      <w:pPr>
        <w:spacing w:after="480" w:line="480" w:lineRule="auto"/>
        <w:ind w:left="720" w:hanging="720"/>
        <w:jc w:val="both"/>
        <w:rPr>
          <w:b/>
        </w:rPr>
      </w:pPr>
      <w:r w:rsidRPr="00901EF9">
        <w:t>[10]</w:t>
      </w:r>
      <w:r w:rsidRPr="00901EF9">
        <w:tab/>
      </w:r>
      <w:r w:rsidR="0046597A">
        <w:t xml:space="preserve">Standard Bank </w:t>
      </w:r>
      <w:r w:rsidR="00E13C9F">
        <w:t>argues</w:t>
      </w:r>
      <w:r w:rsidR="0046597A">
        <w:t xml:space="preserve"> that by prohibiting</w:t>
      </w:r>
      <w:r w:rsidR="00E13C9F">
        <w:t xml:space="preserve"> it</w:t>
      </w:r>
      <w:r w:rsidR="0046597A">
        <w:t xml:space="preserve"> from closing SG’s accounts for the reasons stated in its termination notices dated 25 April 2022, 7 July 2022 and 26 July 2022</w:t>
      </w:r>
      <w:r w:rsidR="00E13C9F">
        <w:t>,</w:t>
      </w:r>
      <w:r w:rsidR="0046597A">
        <w:t xml:space="preserve"> my order </w:t>
      </w:r>
      <w:r w:rsidR="00E13C9F">
        <w:t xml:space="preserve">is </w:t>
      </w:r>
      <w:r w:rsidR="0046597A">
        <w:t xml:space="preserve">reasonably capable of bearing irreconcilable meanings. My response on this score is as follows. </w:t>
      </w:r>
    </w:p>
    <w:p w14:paraId="32AF58A9" w14:textId="1037B3C7" w:rsidR="0046597A" w:rsidRPr="00901EF9" w:rsidRDefault="00294296" w:rsidP="00294296">
      <w:pPr>
        <w:spacing w:after="480" w:line="480" w:lineRule="auto"/>
        <w:ind w:left="720" w:hanging="720"/>
        <w:jc w:val="both"/>
        <w:rPr>
          <w:b/>
        </w:rPr>
      </w:pPr>
      <w:r w:rsidRPr="00901EF9">
        <w:t>[11]</w:t>
      </w:r>
      <w:r w:rsidRPr="00901EF9">
        <w:tab/>
      </w:r>
      <w:r w:rsidR="0046597A">
        <w:t xml:space="preserve">First, as pointed out in para 29 of my judgment the notices dated 7 and 26 July 2022 did not appear to form part of the papers before me. It was not submitted during argument that I erred in this regard. </w:t>
      </w:r>
      <w:r w:rsidR="00901EF9">
        <w:t>Second, an ambiguity can be cured under rule 42 of the uniform rules of court but Standard Bank elected not to go this route</w:t>
      </w:r>
      <w:r w:rsidR="00E13C9F">
        <w:t>,</w:t>
      </w:r>
      <w:r w:rsidR="00901EF9">
        <w:t xml:space="preserve"> instead seeking to advance it as a ground of appeal without disclosing the contents of the missing letters. </w:t>
      </w:r>
    </w:p>
    <w:p w14:paraId="7D0EA0C0" w14:textId="5F13A898" w:rsidR="00901EF9" w:rsidRPr="00C451CC" w:rsidRDefault="00294296" w:rsidP="00294296">
      <w:pPr>
        <w:spacing w:after="480" w:line="480" w:lineRule="auto"/>
        <w:ind w:left="720" w:hanging="720"/>
        <w:jc w:val="both"/>
        <w:rPr>
          <w:b/>
        </w:rPr>
      </w:pPr>
      <w:r w:rsidRPr="00C451CC">
        <w:t>[12]</w:t>
      </w:r>
      <w:r w:rsidRPr="00C451CC">
        <w:tab/>
      </w:r>
      <w:r w:rsidR="00901EF9">
        <w:t xml:space="preserve">Third, the effect of any inability to conduct due diligence under s 21C of FICA </w:t>
      </w:r>
      <w:r w:rsidR="00901EF9">
        <w:rPr>
          <w:u w:val="single"/>
        </w:rPr>
        <w:t>going forward</w:t>
      </w:r>
      <w:r w:rsidR="00901EF9">
        <w:t xml:space="preserve"> was not Standard Bank’s case before me. It relied on the inability to conduct due diligence in the past, and the purpose of interdictory relief (whether interim or final)</w:t>
      </w:r>
      <w:r w:rsidR="00CB6C29">
        <w:t xml:space="preserve"> is not to prevent past unlawful conduct. Fourth, and in any event, my order did not preclude Standard Bank from terminating SG’s accounts for any reason other than those contained in its termination letters, and para 4 of my order specifically provided that the structural interim interdict </w:t>
      </w:r>
      <w:r w:rsidR="00CB6C29">
        <w:lastRenderedPageBreak/>
        <w:t xml:space="preserve">would not apply to its statutory reporting obligations contained in s 29 of FICA. This ground of appeal thus also fails. </w:t>
      </w:r>
    </w:p>
    <w:p w14:paraId="61B255C3" w14:textId="67890107" w:rsidR="00C451CC" w:rsidRPr="00C451CC" w:rsidRDefault="00C451CC" w:rsidP="00E26A84">
      <w:pPr>
        <w:spacing w:after="480" w:line="276" w:lineRule="auto"/>
        <w:jc w:val="both"/>
        <w:rPr>
          <w:b/>
          <w:u w:val="single"/>
        </w:rPr>
      </w:pPr>
      <w:r>
        <w:rPr>
          <w:b/>
          <w:u w:val="single"/>
        </w:rPr>
        <w:t>SG failed to make out a case for interim interdictory relief</w:t>
      </w:r>
    </w:p>
    <w:p w14:paraId="393CC043" w14:textId="62EAA6F3" w:rsidR="00C451CC" w:rsidRPr="0035779D" w:rsidRDefault="00294296" w:rsidP="00294296">
      <w:pPr>
        <w:spacing w:after="480" w:line="480" w:lineRule="auto"/>
        <w:ind w:left="720" w:hanging="720"/>
        <w:jc w:val="both"/>
        <w:rPr>
          <w:b/>
        </w:rPr>
      </w:pPr>
      <w:r w:rsidRPr="0035779D">
        <w:t>[13]</w:t>
      </w:r>
      <w:r w:rsidRPr="0035779D">
        <w:tab/>
      </w:r>
      <w:r w:rsidR="00E26A84">
        <w:t xml:space="preserve">During argument it was contended by Standard Bank </w:t>
      </w:r>
      <w:r w:rsidR="0035779D">
        <w:t>that I applied the incorrect test in order to determine whether SG had established a prima facie right albeit open to some doubt, including one based on s 22 of the Constitution, namely freedom of trade (as well as occupation and profession). Although SG also relied on s 34 of the Constitution the law is clear that such reliance, on its own, does not provide a ground for any form of interdictory relief.</w:t>
      </w:r>
      <w:r w:rsidR="0035779D">
        <w:rPr>
          <w:rStyle w:val="FootnoteReference"/>
        </w:rPr>
        <w:footnoteReference w:id="4"/>
      </w:r>
    </w:p>
    <w:p w14:paraId="2C8E5DBE" w14:textId="48F4659A" w:rsidR="0035779D" w:rsidRPr="00BB4137" w:rsidRDefault="00294296" w:rsidP="00294296">
      <w:pPr>
        <w:spacing w:after="480" w:line="480" w:lineRule="auto"/>
        <w:ind w:left="720" w:hanging="720"/>
        <w:jc w:val="both"/>
        <w:rPr>
          <w:b/>
        </w:rPr>
      </w:pPr>
      <w:r w:rsidRPr="00BB4137">
        <w:t>[14]</w:t>
      </w:r>
      <w:r w:rsidRPr="00BB4137">
        <w:tab/>
      </w:r>
      <w:r w:rsidR="0035779D">
        <w:t xml:space="preserve">Mindful of the </w:t>
      </w:r>
      <w:r w:rsidR="00E13C9F">
        <w:t>approach laid down</w:t>
      </w:r>
      <w:r w:rsidR="0035779D">
        <w:t xml:space="preserve"> in </w:t>
      </w:r>
      <w:r w:rsidR="0035779D">
        <w:rPr>
          <w:i/>
        </w:rPr>
        <w:t>EFF v Gordhan</w:t>
      </w:r>
      <w:r w:rsidR="0035779D">
        <w:t>,</w:t>
      </w:r>
      <w:r w:rsidR="0035779D" w:rsidRPr="0035779D">
        <w:rPr>
          <w:rStyle w:val="FootnoteReference"/>
        </w:rPr>
        <w:footnoteReference w:id="5"/>
      </w:r>
      <w:r w:rsidR="0035779D">
        <w:t xml:space="preserve"> I was persuaded that, applying the </w:t>
      </w:r>
      <w:r w:rsidR="0035779D">
        <w:rPr>
          <w:i/>
        </w:rPr>
        <w:t>Webster v Mitchell</w:t>
      </w:r>
      <w:r w:rsidR="0035779D">
        <w:rPr>
          <w:rStyle w:val="FootnoteReference"/>
          <w:i/>
        </w:rPr>
        <w:footnoteReference w:id="6"/>
      </w:r>
      <w:r w:rsidR="0035779D">
        <w:t xml:space="preserve"> </w:t>
      </w:r>
      <w:r w:rsidR="009F2670">
        <w:t xml:space="preserve">test, on this legal issue I could not find SG had no prospect whatsoever of obtaining final relief in the pending main applications. An additional factor was that at the time I heard the urgent applications it was too </w:t>
      </w:r>
      <w:r w:rsidR="001C0AA0">
        <w:t>early</w:t>
      </w:r>
      <w:r w:rsidR="009F2670">
        <w:t xml:space="preserve"> to predict whether </w:t>
      </w:r>
      <w:r w:rsidR="001C0AA0">
        <w:t>the main applications</w:t>
      </w:r>
      <w:r w:rsidR="009F2670">
        <w:t xml:space="preserve"> might be referred to oral evidence or to trial. I then followed the majority decision in </w:t>
      </w:r>
      <w:r w:rsidR="009F2670">
        <w:rPr>
          <w:i/>
        </w:rPr>
        <w:t>Eskom</w:t>
      </w:r>
      <w:r w:rsidR="009F2670" w:rsidRPr="00BB4137">
        <w:rPr>
          <w:rStyle w:val="FootnoteReference"/>
        </w:rPr>
        <w:footnoteReference w:id="7"/>
      </w:r>
      <w:r w:rsidR="00BB4137">
        <w:t xml:space="preserve"> as is apparent from para 13 of my judgment. </w:t>
      </w:r>
    </w:p>
    <w:p w14:paraId="05394815" w14:textId="535A4420" w:rsidR="00BB4137" w:rsidRPr="00BB4137" w:rsidRDefault="00294296" w:rsidP="00294296">
      <w:pPr>
        <w:spacing w:after="480" w:line="480" w:lineRule="auto"/>
        <w:ind w:left="720" w:hanging="720"/>
        <w:jc w:val="both"/>
        <w:rPr>
          <w:b/>
        </w:rPr>
      </w:pPr>
      <w:r w:rsidRPr="00BB4137">
        <w:t>[15]</w:t>
      </w:r>
      <w:r w:rsidRPr="00BB4137">
        <w:tab/>
      </w:r>
      <w:r w:rsidR="00BB4137">
        <w:t xml:space="preserve">If anything, Standard Bank’s </w:t>
      </w:r>
      <w:r w:rsidR="00E13C9F">
        <w:t>fifth</w:t>
      </w:r>
      <w:r w:rsidR="00BB4137">
        <w:t xml:space="preserve"> ground of appeal to which I have referred</w:t>
      </w:r>
      <w:r w:rsidR="001C0AA0">
        <w:t xml:space="preserve">, i.e. the contention that there are conflicting decisions on interim interdictory </w:t>
      </w:r>
      <w:r w:rsidR="001C0AA0">
        <w:lastRenderedPageBreak/>
        <w:t>relief in relation to banks closing client accounts</w:t>
      </w:r>
      <w:r w:rsidR="004C51ED">
        <w:t>,</w:t>
      </w:r>
      <w:r w:rsidR="001C0AA0">
        <w:t xml:space="preserve"> </w:t>
      </w:r>
      <w:r w:rsidR="00D66FF3">
        <w:t>supports</w:t>
      </w:r>
      <w:r w:rsidR="00BB4137">
        <w:t xml:space="preserve"> my </w:t>
      </w:r>
      <w:r w:rsidR="001C0AA0">
        <w:t>view</w:t>
      </w:r>
      <w:r w:rsidR="00BB4137">
        <w:t xml:space="preserve"> in respect of that prima facie right rather than detracting from it</w:t>
      </w:r>
      <w:r w:rsidR="001C0AA0">
        <w:t xml:space="preserve"> (for present purposes it does not matter that I disagree with Standard Bank’s contention as appears from what follows hereunder, but this is Standard Bank’</w:t>
      </w:r>
      <w:r w:rsidR="00CC11EE">
        <w:t>s own case</w:t>
      </w:r>
      <w:r w:rsidR="00E66A86">
        <w:t>)</w:t>
      </w:r>
      <w:r w:rsidR="00BB4137">
        <w:t>. It is also my understanding of the law that it is not incumbent on a party seeking interdictory relief to establish every single ground relied upon in order to obtain it.</w:t>
      </w:r>
    </w:p>
    <w:p w14:paraId="3CB4B11E" w14:textId="0566C9D9" w:rsidR="00BB4137" w:rsidRPr="008641DB" w:rsidRDefault="00294296" w:rsidP="00294296">
      <w:pPr>
        <w:spacing w:after="480" w:line="480" w:lineRule="auto"/>
        <w:ind w:left="720" w:hanging="720"/>
        <w:jc w:val="both"/>
        <w:rPr>
          <w:b/>
        </w:rPr>
      </w:pPr>
      <w:r w:rsidRPr="008641DB">
        <w:t>[16]</w:t>
      </w:r>
      <w:r w:rsidRPr="008641DB">
        <w:tab/>
      </w:r>
      <w:r w:rsidR="00BB4137">
        <w:t xml:space="preserve">As regards the recent decision of the SCA in </w:t>
      </w:r>
      <w:r w:rsidR="00BB4137">
        <w:rPr>
          <w:i/>
        </w:rPr>
        <w:t>Nedbank III</w:t>
      </w:r>
      <w:r w:rsidR="008641DB">
        <w:t>,</w:t>
      </w:r>
      <w:r w:rsidR="00BB4137">
        <w:rPr>
          <w:rStyle w:val="FootnoteReference"/>
        </w:rPr>
        <w:footnoteReference w:id="8"/>
      </w:r>
      <w:r w:rsidR="008641DB">
        <w:t xml:space="preserve"> on my reading thereof the issues are distinguishable from those in the matter</w:t>
      </w:r>
      <w:r w:rsidR="004363E7">
        <w:t>s</w:t>
      </w:r>
      <w:r w:rsidR="008641DB">
        <w:t xml:space="preserve"> I was required to determine, in particular no mention is made of any reliance by SG on s 22 of the Constitution.</w:t>
      </w:r>
    </w:p>
    <w:p w14:paraId="74BC5C8D" w14:textId="28E8C8A9" w:rsidR="008641DB" w:rsidRPr="008641DB" w:rsidRDefault="00294296" w:rsidP="00294296">
      <w:pPr>
        <w:spacing w:after="480" w:line="480" w:lineRule="auto"/>
        <w:ind w:left="720" w:hanging="720"/>
        <w:jc w:val="both"/>
        <w:rPr>
          <w:b/>
        </w:rPr>
      </w:pPr>
      <w:r w:rsidRPr="008641DB">
        <w:t>[17]</w:t>
      </w:r>
      <w:r w:rsidRPr="008641DB">
        <w:tab/>
      </w:r>
      <w:r w:rsidR="008641DB">
        <w:t xml:space="preserve">Having considered the lengthy submissions </w:t>
      </w:r>
      <w:r w:rsidR="004363E7">
        <w:t>of</w:t>
      </w:r>
      <w:r w:rsidR="008641DB">
        <w:t xml:space="preserve"> counsel (because I do not set them all out does not mean I have ignored them) I am not persuaded that this ground of appeal meets the required threshold either.</w:t>
      </w:r>
    </w:p>
    <w:p w14:paraId="6BBABDA5" w14:textId="2CE9C1ED" w:rsidR="008641DB" w:rsidRPr="008641DB" w:rsidRDefault="008641DB" w:rsidP="008641DB">
      <w:pPr>
        <w:spacing w:after="480" w:line="276" w:lineRule="auto"/>
        <w:jc w:val="both"/>
        <w:rPr>
          <w:b/>
          <w:i/>
          <w:u w:val="single"/>
        </w:rPr>
      </w:pPr>
      <w:r>
        <w:rPr>
          <w:b/>
          <w:u w:val="single"/>
        </w:rPr>
        <w:t xml:space="preserve">Conflicting decisions on the application of </w:t>
      </w:r>
      <w:r>
        <w:rPr>
          <w:b/>
          <w:i/>
          <w:u w:val="single"/>
        </w:rPr>
        <w:t>Bredenkamp III</w:t>
      </w:r>
    </w:p>
    <w:p w14:paraId="2F185832" w14:textId="6ED97EF7" w:rsidR="008641DB" w:rsidRPr="00974D40" w:rsidRDefault="00294296" w:rsidP="00294296">
      <w:pPr>
        <w:spacing w:after="480" w:line="480" w:lineRule="auto"/>
        <w:ind w:left="720" w:hanging="720"/>
        <w:jc w:val="both"/>
        <w:rPr>
          <w:b/>
        </w:rPr>
      </w:pPr>
      <w:r w:rsidRPr="00974D40">
        <w:t>[18]</w:t>
      </w:r>
      <w:r w:rsidRPr="00974D40">
        <w:tab/>
      </w:r>
      <w:r w:rsidR="00DF5C76">
        <w:t xml:space="preserve">Counsel for SG argued, persuasively in my view, that Standard Bank’s reliance on “conflicting” decisions in the context of my judgment is misplaced. I deal briefly with each. </w:t>
      </w:r>
      <w:r w:rsidR="00DF5C76">
        <w:rPr>
          <w:i/>
        </w:rPr>
        <w:t>Oakbay</w:t>
      </w:r>
      <w:r w:rsidR="00DF5C76" w:rsidRPr="0086364C">
        <w:rPr>
          <w:rStyle w:val="FootnoteReference"/>
        </w:rPr>
        <w:footnoteReference w:id="9"/>
      </w:r>
      <w:r w:rsidR="0086364C">
        <w:t xml:space="preserve"> </w:t>
      </w:r>
      <w:r w:rsidR="00974D40">
        <w:t xml:space="preserve">concerned declaratory rather than interdictory relief. </w:t>
      </w:r>
      <w:r w:rsidR="00974D40">
        <w:rPr>
          <w:i/>
        </w:rPr>
        <w:t>Annex Distribution I</w:t>
      </w:r>
      <w:r w:rsidR="00974D40" w:rsidRPr="00974D40">
        <w:rPr>
          <w:rStyle w:val="FootnoteReference"/>
        </w:rPr>
        <w:footnoteReference w:id="10"/>
      </w:r>
      <w:r w:rsidR="00974D40">
        <w:t xml:space="preserve"> concerned an “interim interim” interdict. </w:t>
      </w:r>
    </w:p>
    <w:p w14:paraId="177F4695" w14:textId="557B1B77" w:rsidR="00D0177A" w:rsidRPr="00A422EE" w:rsidRDefault="00294296" w:rsidP="00294296">
      <w:pPr>
        <w:spacing w:after="480" w:line="480" w:lineRule="auto"/>
        <w:ind w:left="720" w:hanging="720"/>
        <w:jc w:val="both"/>
        <w:rPr>
          <w:b/>
        </w:rPr>
      </w:pPr>
      <w:r w:rsidRPr="00A422EE">
        <w:lastRenderedPageBreak/>
        <w:t>[19]</w:t>
      </w:r>
      <w:r w:rsidRPr="00A422EE">
        <w:tab/>
      </w:r>
      <w:r w:rsidR="00974D40">
        <w:t xml:space="preserve">In </w:t>
      </w:r>
      <w:r w:rsidR="00974D40">
        <w:rPr>
          <w:i/>
        </w:rPr>
        <w:t>Annex Distribution II</w:t>
      </w:r>
      <w:r w:rsidR="00974D40">
        <w:rPr>
          <w:rStyle w:val="FootnoteReference"/>
        </w:rPr>
        <w:footnoteReference w:id="11"/>
      </w:r>
      <w:r w:rsidR="00D608C6">
        <w:t xml:space="preserve"> the court granted an application for interim interdictory relief against a bank threatening to close the applicants’ bank accounts pending the outcome of a review. The court however distinguished </w:t>
      </w:r>
      <w:r w:rsidR="00D608C6">
        <w:rPr>
          <w:i/>
        </w:rPr>
        <w:t>Bredenkamp III</w:t>
      </w:r>
      <w:r w:rsidR="00D608C6">
        <w:t xml:space="preserve"> on two grounds, including that no public policy consideration was involved in that case. Likewise, for present purposes, </w:t>
      </w:r>
      <w:r w:rsidR="002B4B20">
        <w:t xml:space="preserve">in </w:t>
      </w:r>
      <w:r w:rsidR="002B4B20">
        <w:rPr>
          <w:i/>
        </w:rPr>
        <w:t>Bredenkamp III</w:t>
      </w:r>
      <w:r w:rsidR="002B4B20">
        <w:t xml:space="preserve"> </w:t>
      </w:r>
      <w:r w:rsidR="00D608C6">
        <w:t xml:space="preserve">s 22 was </w:t>
      </w:r>
      <w:r w:rsidR="00A422EE">
        <w:t xml:space="preserve">ultimately </w:t>
      </w:r>
      <w:r w:rsidR="00D608C6">
        <w:t>not implicated</w:t>
      </w:r>
      <w:r w:rsidR="00A422EE">
        <w:t>, as is evident from the following passage</w:t>
      </w:r>
      <w:r w:rsidR="002B4B20">
        <w:t xml:space="preserve"> of the judgment</w:t>
      </w:r>
      <w:r w:rsidR="00A422EE">
        <w:t>:</w:t>
      </w:r>
    </w:p>
    <w:p w14:paraId="4FB05925" w14:textId="77F3E2CE" w:rsidR="00A422EE" w:rsidRPr="00A422EE" w:rsidRDefault="00A422EE" w:rsidP="00A422EE">
      <w:pPr>
        <w:spacing w:after="480" w:line="360" w:lineRule="auto"/>
        <w:ind w:left="1440"/>
        <w:jc w:val="both"/>
        <w:rPr>
          <w:i/>
          <w:sz w:val="22"/>
          <w:szCs w:val="22"/>
        </w:rPr>
      </w:pPr>
      <w:r>
        <w:rPr>
          <w:i/>
          <w:sz w:val="22"/>
          <w:szCs w:val="22"/>
        </w:rPr>
        <w:t>‘[30]</w:t>
      </w:r>
      <w:r>
        <w:rPr>
          <w:i/>
          <w:sz w:val="22"/>
          <w:szCs w:val="22"/>
        </w:rPr>
        <w:tab/>
        <w:t>The second is this: although the appellants, in the part quoted from the notice of motion, recited nearly every provision of the Bill of Rights, counsel stated that they do not suggest that the exercise of the right to terminate “implicated” any constitutional principle. It is accordingly not their case that the closing of the account compromised constitutional democracy, or their dignity, freedom or right to equality and the like, and the expansive interpretation of the Bill of Rights does accordingly not arise (s 39(1)</w:t>
      </w:r>
      <w:r w:rsidR="002B4B20">
        <w:rPr>
          <w:i/>
          <w:sz w:val="22"/>
          <w:szCs w:val="22"/>
        </w:rPr>
        <w:t>)</w:t>
      </w:r>
      <w:r>
        <w:rPr>
          <w:i/>
          <w:sz w:val="22"/>
          <w:szCs w:val="22"/>
        </w:rPr>
        <w:t>. The case is about fairness as an overarching principle, and nothing more.’</w:t>
      </w:r>
    </w:p>
    <w:p w14:paraId="4E0AA6E7" w14:textId="469ECF14" w:rsidR="00D0177A" w:rsidRPr="00D0177A" w:rsidRDefault="00294296" w:rsidP="00294296">
      <w:pPr>
        <w:spacing w:after="480" w:line="480" w:lineRule="auto"/>
        <w:ind w:left="720" w:hanging="720"/>
        <w:jc w:val="both"/>
        <w:rPr>
          <w:b/>
        </w:rPr>
      </w:pPr>
      <w:r w:rsidRPr="00D0177A">
        <w:t>[20]</w:t>
      </w:r>
      <w:r w:rsidRPr="00D0177A">
        <w:tab/>
      </w:r>
      <w:r w:rsidR="00015038">
        <w:rPr>
          <w:i/>
        </w:rPr>
        <w:t>Annex Distribution III</w:t>
      </w:r>
      <w:r w:rsidR="00015038" w:rsidRPr="00015038">
        <w:rPr>
          <w:rStyle w:val="FootnoteReference"/>
        </w:rPr>
        <w:footnoteReference w:id="12"/>
      </w:r>
      <w:r w:rsidR="00015038">
        <w:t xml:space="preserve"> and </w:t>
      </w:r>
      <w:r w:rsidR="00015038">
        <w:rPr>
          <w:i/>
        </w:rPr>
        <w:t>Talhado</w:t>
      </w:r>
      <w:r w:rsidR="00015038" w:rsidRPr="00D91D5E">
        <w:rPr>
          <w:rStyle w:val="FootnoteReference"/>
        </w:rPr>
        <w:footnoteReference w:id="13"/>
      </w:r>
      <w:r w:rsidR="00015038">
        <w:t xml:space="preserve"> were firmly rooted in the purely contractual nature of a bank/client relationship.</w:t>
      </w:r>
      <w:r w:rsidR="00E13C9F">
        <w:t xml:space="preserve"> In</w:t>
      </w:r>
      <w:r w:rsidR="00015038">
        <w:rPr>
          <w:i/>
        </w:rPr>
        <w:t xml:space="preserve"> Nedbank 1</w:t>
      </w:r>
      <w:r w:rsidR="00015038">
        <w:rPr>
          <w:rStyle w:val="FootnoteReference"/>
        </w:rPr>
        <w:footnoteReference w:id="14"/>
      </w:r>
      <w:r w:rsidR="00015038">
        <w:t xml:space="preserve"> </w:t>
      </w:r>
      <w:r w:rsidR="00E13C9F">
        <w:t xml:space="preserve">the court </w:t>
      </w:r>
      <w:r w:rsidR="00015038">
        <w:t>dismissed SG</w:t>
      </w:r>
      <w:r w:rsidR="00E13C9F">
        <w:t>’s application</w:t>
      </w:r>
      <w:r w:rsidR="00015038">
        <w:t xml:space="preserve"> for interim interdictory relief </w:t>
      </w:r>
      <w:r w:rsidR="00E13C9F">
        <w:t xml:space="preserve">due to </w:t>
      </w:r>
      <w:r w:rsidR="00015038">
        <w:t xml:space="preserve">absence of jurisdiction. </w:t>
      </w:r>
      <w:r w:rsidR="00015038">
        <w:rPr>
          <w:i/>
        </w:rPr>
        <w:t>Ayo</w:t>
      </w:r>
      <w:r w:rsidR="00015038" w:rsidRPr="00015038">
        <w:rPr>
          <w:rStyle w:val="FootnoteReference"/>
        </w:rPr>
        <w:footnoteReference w:id="15"/>
      </w:r>
      <w:r w:rsidR="00015038">
        <w:t xml:space="preserve"> did not deal with the merits of the urgent interdictory relief sought. The application was simply struck from the roll for lack of urgency. </w:t>
      </w:r>
      <w:r w:rsidR="00E13C9F">
        <w:rPr>
          <w:i/>
        </w:rPr>
        <w:t>Nedbank III</w:t>
      </w:r>
      <w:r w:rsidR="00E13C9F">
        <w:t xml:space="preserve"> I have already dealt with.</w:t>
      </w:r>
    </w:p>
    <w:p w14:paraId="7B062E9A" w14:textId="2673E181" w:rsidR="00974D40" w:rsidRPr="009F19CD" w:rsidRDefault="00294296" w:rsidP="00294296">
      <w:pPr>
        <w:spacing w:after="480" w:line="480" w:lineRule="auto"/>
        <w:ind w:left="720" w:hanging="720"/>
        <w:jc w:val="both"/>
        <w:rPr>
          <w:b/>
        </w:rPr>
      </w:pPr>
      <w:r w:rsidRPr="009F19CD">
        <w:lastRenderedPageBreak/>
        <w:t>[21]</w:t>
      </w:r>
      <w:r w:rsidRPr="009F19CD">
        <w:tab/>
      </w:r>
      <w:r w:rsidR="00015038">
        <w:t xml:space="preserve">Finally, the </w:t>
      </w:r>
      <w:r w:rsidR="00E13C9F">
        <w:t xml:space="preserve">very recent </w:t>
      </w:r>
      <w:r w:rsidR="00015038">
        <w:t xml:space="preserve">dismissal by the </w:t>
      </w:r>
      <w:r w:rsidR="00D0177A">
        <w:t xml:space="preserve">Constitutional </w:t>
      </w:r>
      <w:r w:rsidR="00015038">
        <w:t>C</w:t>
      </w:r>
      <w:r w:rsidR="00D0177A">
        <w:t xml:space="preserve">ourt of SG’s application for leave to appeal a Competition Appeal Court </w:t>
      </w:r>
      <w:r w:rsidR="00E13C9F">
        <w:t xml:space="preserve">judgment would have </w:t>
      </w:r>
      <w:r w:rsidR="00D0177A">
        <w:t xml:space="preserve">involved the </w:t>
      </w:r>
      <w:r w:rsidR="00E13C9F">
        <w:t xml:space="preserve">consideration </w:t>
      </w:r>
      <w:r w:rsidR="00D0177A">
        <w:t>of a different standard for interim interdictory relief, namely that contained in s 49C(2)(b) of the Competition Act.</w:t>
      </w:r>
      <w:r w:rsidR="00D0177A">
        <w:rPr>
          <w:rStyle w:val="FootnoteReference"/>
        </w:rPr>
        <w:footnoteReference w:id="16"/>
      </w:r>
    </w:p>
    <w:p w14:paraId="06D28C39" w14:textId="35E828D9" w:rsidR="009F19CD" w:rsidRPr="00E11C17" w:rsidRDefault="00294296" w:rsidP="00294296">
      <w:pPr>
        <w:spacing w:after="480" w:line="480" w:lineRule="auto"/>
        <w:ind w:left="720" w:hanging="720"/>
        <w:jc w:val="both"/>
        <w:rPr>
          <w:b/>
        </w:rPr>
      </w:pPr>
      <w:r w:rsidRPr="00E11C17">
        <w:t>[22]</w:t>
      </w:r>
      <w:r w:rsidRPr="00E11C17">
        <w:tab/>
      </w:r>
      <w:r w:rsidR="009F19CD">
        <w:t xml:space="preserve">In any event, given the nature of my September 2023 order, </w:t>
      </w:r>
      <w:r w:rsidR="00E11C17">
        <w:t>it is my view that it would be premature for the SCA to be burdened with having to determine a matter of such constitutional importance where</w:t>
      </w:r>
      <w:r w:rsidR="00D91D5E">
        <w:t xml:space="preserve"> </w:t>
      </w:r>
      <w:r w:rsidR="00E11C17">
        <w:t>the hearing as to whether my order should be extended, amended or discharged will take place within the next six months or so.</w:t>
      </w:r>
      <w:r w:rsidR="00D91D5E">
        <w:t xml:space="preserve"> Whatever order the court may grant at the next hearing may or may not be appealable.</w:t>
      </w:r>
      <w:r w:rsidR="00E11C17">
        <w:t xml:space="preserve"> Accordingly this ground of appeal also fails. </w:t>
      </w:r>
    </w:p>
    <w:p w14:paraId="2903598D" w14:textId="5C839F77" w:rsidR="00E11C17" w:rsidRPr="00E11C17" w:rsidRDefault="009E3990" w:rsidP="00E11C17">
      <w:pPr>
        <w:spacing w:after="480" w:line="276" w:lineRule="auto"/>
        <w:jc w:val="both"/>
        <w:rPr>
          <w:b/>
          <w:u w:val="single"/>
        </w:rPr>
      </w:pPr>
      <w:r>
        <w:rPr>
          <w:b/>
          <w:u w:val="single"/>
        </w:rPr>
        <w:t>Whether it is nonetheless in the i</w:t>
      </w:r>
      <w:r w:rsidR="00E11C17">
        <w:rPr>
          <w:b/>
          <w:u w:val="single"/>
        </w:rPr>
        <w:t>nterests of justice for leave to be granted</w:t>
      </w:r>
    </w:p>
    <w:p w14:paraId="41C65971" w14:textId="1C66FC42" w:rsidR="00E13C9F" w:rsidRPr="00E13C9F" w:rsidRDefault="00294296" w:rsidP="00294296">
      <w:pPr>
        <w:spacing w:after="480" w:line="480" w:lineRule="auto"/>
        <w:ind w:left="720" w:hanging="720"/>
        <w:jc w:val="both"/>
        <w:rPr>
          <w:b/>
        </w:rPr>
      </w:pPr>
      <w:r w:rsidRPr="00E13C9F">
        <w:t>[23]</w:t>
      </w:r>
      <w:r w:rsidRPr="00E13C9F">
        <w:tab/>
      </w:r>
      <w:r w:rsidR="00E11C17">
        <w:t>Applying the interests of justice test</w:t>
      </w:r>
      <w:r w:rsidR="005704EE">
        <w:t>,</w:t>
      </w:r>
      <w:r w:rsidR="00E11C17">
        <w:rPr>
          <w:rStyle w:val="FootnoteReference"/>
        </w:rPr>
        <w:footnoteReference w:id="17"/>
      </w:r>
      <w:r w:rsidR="005704EE">
        <w:t xml:space="preserve"> I am also </w:t>
      </w:r>
      <w:r w:rsidR="009E3990">
        <w:t xml:space="preserve">not </w:t>
      </w:r>
      <w:r w:rsidR="005704EE">
        <w:t>persuaded</w:t>
      </w:r>
      <w:r w:rsidR="009E3990">
        <w:t xml:space="preserve"> to grant leave</w:t>
      </w:r>
      <w:r w:rsidR="005704EE">
        <w:t xml:space="preserve"> for the reasons contained in paras </w:t>
      </w:r>
      <w:r w:rsidR="00E13C9F">
        <w:t>5, 6, 8, 12, 14 and 22</w:t>
      </w:r>
      <w:r w:rsidR="005704EE">
        <w:t xml:space="preserve"> of this judgment</w:t>
      </w:r>
      <w:r w:rsidR="009E3990">
        <w:t>.</w:t>
      </w:r>
      <w:r w:rsidR="005704EE">
        <w:t xml:space="preserve"> To this I wish to add the following. </w:t>
      </w:r>
    </w:p>
    <w:p w14:paraId="4719E599" w14:textId="35385EBD" w:rsidR="005704EE" w:rsidRPr="00E13C9F" w:rsidRDefault="00294296" w:rsidP="00294296">
      <w:pPr>
        <w:spacing w:after="480" w:line="480" w:lineRule="auto"/>
        <w:ind w:left="720" w:hanging="720"/>
        <w:jc w:val="both"/>
        <w:rPr>
          <w:b/>
        </w:rPr>
      </w:pPr>
      <w:r w:rsidRPr="00E13C9F">
        <w:t>[24]</w:t>
      </w:r>
      <w:r w:rsidRPr="00E13C9F">
        <w:tab/>
      </w:r>
      <w:r w:rsidR="00E13C9F">
        <w:t xml:space="preserve">First, </w:t>
      </w:r>
      <w:r w:rsidR="005704EE">
        <w:t xml:space="preserve">Standard Bank could have insisted on a much earlier date for this application to be heard. Instead it waited for 5 months into a 12 month period. </w:t>
      </w:r>
      <w:r w:rsidR="00E13C9F">
        <w:t xml:space="preserve">Second, it was </w:t>
      </w:r>
      <w:r w:rsidR="005704EE">
        <w:t>only when I pointed out to its counsel during argument in reply</w:t>
      </w:r>
      <w:r w:rsidR="00ED23F1">
        <w:t xml:space="preserve"> that</w:t>
      </w:r>
      <w:r w:rsidR="005704EE">
        <w:t xml:space="preserve"> I could not dictate to the SCA when it should entertain the appeal if leave were to be granted that – suddenly – an </w:t>
      </w:r>
      <w:r w:rsidR="00E13C9F">
        <w:t>undertaking</w:t>
      </w:r>
      <w:r w:rsidR="005704EE">
        <w:t xml:space="preserve"> was </w:t>
      </w:r>
      <w:r w:rsidR="00ED23F1">
        <w:t>forthcoming</w:t>
      </w:r>
      <w:r w:rsidR="005704EE">
        <w:t xml:space="preserve"> from Standard Bank, despite its dire predictions on irreparable harm</w:t>
      </w:r>
      <w:r w:rsidR="00D403D3">
        <w:t xml:space="preserve">, </w:t>
      </w:r>
      <w:r w:rsidR="005704EE">
        <w:t xml:space="preserve">not to close </w:t>
      </w:r>
      <w:r w:rsidR="005704EE">
        <w:lastRenderedPageBreak/>
        <w:t>SG’s accounts pending an</w:t>
      </w:r>
      <w:r w:rsidR="009E3990">
        <w:t>y</w:t>
      </w:r>
      <w:r w:rsidR="005704EE">
        <w:t xml:space="preserve"> SCA judgment. This is </w:t>
      </w:r>
      <w:r w:rsidR="00ED23F1">
        <w:t>un</w:t>
      </w:r>
      <w:r w:rsidR="005704EE">
        <w:t>acceptable, and in any event counsel for SG were deprived o</w:t>
      </w:r>
      <w:r w:rsidR="00D403D3">
        <w:t>f</w:t>
      </w:r>
      <w:r w:rsidR="005704EE">
        <w:t xml:space="preserve"> any prior notice of this undertaking and thus the opportunity to prepare and deal properly with it.</w:t>
      </w:r>
    </w:p>
    <w:p w14:paraId="0971C471" w14:textId="174B0CD7" w:rsidR="005704EE" w:rsidRDefault="00294296" w:rsidP="00294296">
      <w:pPr>
        <w:spacing w:after="480" w:line="480" w:lineRule="auto"/>
        <w:ind w:left="720" w:hanging="720"/>
        <w:jc w:val="both"/>
        <w:rPr>
          <w:b/>
        </w:rPr>
      </w:pPr>
      <w:r>
        <w:t>[25]</w:t>
      </w:r>
      <w:r>
        <w:tab/>
      </w:r>
      <w:r w:rsidR="005704EE">
        <w:rPr>
          <w:b/>
        </w:rPr>
        <w:t>In the result the following order is made:</w:t>
      </w:r>
    </w:p>
    <w:p w14:paraId="299E1FE6" w14:textId="6AC1B754" w:rsidR="005704EE" w:rsidRPr="008F7E26" w:rsidRDefault="005704EE" w:rsidP="00357188">
      <w:pPr>
        <w:spacing w:after="240" w:line="480" w:lineRule="auto"/>
        <w:ind w:left="720"/>
        <w:jc w:val="both"/>
        <w:rPr>
          <w:b/>
        </w:rPr>
      </w:pPr>
      <w:r>
        <w:rPr>
          <w:b/>
          <w:i/>
        </w:rPr>
        <w:t>The application</w:t>
      </w:r>
      <w:r w:rsidR="00BD30C8">
        <w:rPr>
          <w:b/>
          <w:i/>
        </w:rPr>
        <w:t>s</w:t>
      </w:r>
      <w:r>
        <w:rPr>
          <w:b/>
          <w:i/>
        </w:rPr>
        <w:t xml:space="preserve"> for leave to appeal </w:t>
      </w:r>
      <w:r w:rsidR="00BD30C8">
        <w:rPr>
          <w:b/>
          <w:i/>
        </w:rPr>
        <w:t>are</w:t>
      </w:r>
      <w:r>
        <w:rPr>
          <w:b/>
          <w:i/>
        </w:rPr>
        <w:t xml:space="preserve"> dismissed with costs, including the costs of two counsel where so employed in both case numbers 9318/2022 and EC08/2023.</w:t>
      </w:r>
    </w:p>
    <w:p w14:paraId="3EDEB52E" w14:textId="6644B53E" w:rsidR="00D711F6" w:rsidRDefault="00D711F6" w:rsidP="00357188">
      <w:pPr>
        <w:pStyle w:val="ListParagraph"/>
        <w:spacing w:after="120" w:line="480" w:lineRule="auto"/>
        <w:ind w:left="6480"/>
      </w:pPr>
      <w:r>
        <w:t>________________</w:t>
      </w:r>
    </w:p>
    <w:p w14:paraId="0B1A2092" w14:textId="5E31E223" w:rsidR="00D711F6" w:rsidRDefault="00D711F6" w:rsidP="00D711F6">
      <w:pPr>
        <w:pStyle w:val="ListParagraph"/>
        <w:spacing w:after="240" w:line="480" w:lineRule="auto"/>
        <w:ind w:left="6480"/>
        <w:rPr>
          <w:b/>
        </w:rPr>
      </w:pPr>
      <w:r w:rsidRPr="00D711F6">
        <w:rPr>
          <w:b/>
        </w:rPr>
        <w:t>J I CLOETE</w:t>
      </w:r>
    </w:p>
    <w:p w14:paraId="1EE5DBD8" w14:textId="5DE2A1BA" w:rsidR="00376241" w:rsidRPr="00195363" w:rsidRDefault="00376241" w:rsidP="00376241">
      <w:pPr>
        <w:spacing w:line="360" w:lineRule="auto"/>
        <w:jc w:val="both"/>
        <w:rPr>
          <w:sz w:val="20"/>
          <w:szCs w:val="20"/>
          <w:u w:val="single"/>
        </w:rPr>
      </w:pPr>
      <w:r w:rsidRPr="00195363">
        <w:rPr>
          <w:b/>
          <w:sz w:val="20"/>
          <w:szCs w:val="20"/>
          <w:u w:val="single"/>
        </w:rPr>
        <w:t>Case No: 9318/2022</w:t>
      </w:r>
    </w:p>
    <w:p w14:paraId="4031A494" w14:textId="77777777" w:rsidR="00FF6572" w:rsidRPr="00195363" w:rsidRDefault="008D7F7A" w:rsidP="008D7F7A">
      <w:pPr>
        <w:spacing w:line="360" w:lineRule="auto"/>
        <w:jc w:val="both"/>
        <w:rPr>
          <w:sz w:val="20"/>
          <w:szCs w:val="20"/>
        </w:rPr>
      </w:pPr>
      <w:r w:rsidRPr="00195363">
        <w:rPr>
          <w:sz w:val="20"/>
          <w:szCs w:val="20"/>
          <w:u w:val="single"/>
        </w:rPr>
        <w:t>For applicants</w:t>
      </w:r>
      <w:r w:rsidR="00FF6572" w:rsidRPr="00195363">
        <w:rPr>
          <w:sz w:val="20"/>
          <w:szCs w:val="20"/>
          <w:u w:val="single"/>
        </w:rPr>
        <w:t xml:space="preserve"> in court a quo and respondents in application for leave to appeal</w:t>
      </w:r>
      <w:r w:rsidRPr="00195363">
        <w:rPr>
          <w:sz w:val="20"/>
          <w:szCs w:val="20"/>
        </w:rPr>
        <w:t>:</w:t>
      </w:r>
    </w:p>
    <w:p w14:paraId="5802F73B" w14:textId="60C23B60" w:rsidR="008D7F7A" w:rsidRPr="00195363" w:rsidRDefault="008D7F7A" w:rsidP="008D7F7A">
      <w:pPr>
        <w:spacing w:line="360" w:lineRule="auto"/>
        <w:jc w:val="both"/>
        <w:rPr>
          <w:sz w:val="20"/>
          <w:szCs w:val="20"/>
        </w:rPr>
      </w:pPr>
      <w:r w:rsidRPr="00195363">
        <w:rPr>
          <w:sz w:val="20"/>
          <w:szCs w:val="20"/>
        </w:rPr>
        <w:t xml:space="preserve">Adv Vuyani </w:t>
      </w:r>
      <w:r w:rsidRPr="00195363">
        <w:rPr>
          <w:b/>
          <w:sz w:val="20"/>
          <w:szCs w:val="20"/>
        </w:rPr>
        <w:t>Ngalwana</w:t>
      </w:r>
      <w:r w:rsidRPr="00195363">
        <w:rPr>
          <w:sz w:val="20"/>
          <w:szCs w:val="20"/>
        </w:rPr>
        <w:t xml:space="preserve"> SC, Adv Karabo </w:t>
      </w:r>
      <w:r w:rsidRPr="00195363">
        <w:rPr>
          <w:b/>
          <w:sz w:val="20"/>
          <w:szCs w:val="20"/>
        </w:rPr>
        <w:t>Mvubu</w:t>
      </w:r>
      <w:r w:rsidRPr="00195363">
        <w:rPr>
          <w:sz w:val="20"/>
          <w:szCs w:val="20"/>
        </w:rPr>
        <w:t xml:space="preserve"> </w:t>
      </w:r>
    </w:p>
    <w:p w14:paraId="48242780" w14:textId="4D48A9B8" w:rsidR="00D711F6" w:rsidRPr="00195363" w:rsidRDefault="00D711F6" w:rsidP="00376241">
      <w:pPr>
        <w:spacing w:line="360" w:lineRule="auto"/>
        <w:rPr>
          <w:sz w:val="20"/>
          <w:szCs w:val="20"/>
        </w:rPr>
      </w:pPr>
      <w:r w:rsidRPr="00195363">
        <w:rPr>
          <w:sz w:val="20"/>
          <w:szCs w:val="20"/>
          <w:u w:val="single"/>
        </w:rPr>
        <w:t>Instructed by</w:t>
      </w:r>
      <w:r w:rsidRPr="00195363">
        <w:rPr>
          <w:sz w:val="20"/>
          <w:szCs w:val="20"/>
        </w:rPr>
        <w:t xml:space="preserve">: Adriaans Attorneys </w:t>
      </w:r>
      <w:r w:rsidR="00376241" w:rsidRPr="00195363">
        <w:rPr>
          <w:sz w:val="20"/>
          <w:szCs w:val="20"/>
        </w:rPr>
        <w:t>(</w:t>
      </w:r>
      <w:r w:rsidRPr="00195363">
        <w:rPr>
          <w:sz w:val="20"/>
          <w:szCs w:val="20"/>
        </w:rPr>
        <w:t>A Adriaans</w:t>
      </w:r>
      <w:r w:rsidR="00376241" w:rsidRPr="00195363">
        <w:rPr>
          <w:sz w:val="20"/>
          <w:szCs w:val="20"/>
        </w:rPr>
        <w:t>)</w:t>
      </w:r>
    </w:p>
    <w:p w14:paraId="2E0C3D28" w14:textId="77777777" w:rsidR="00D711F6" w:rsidRPr="00195363" w:rsidRDefault="00D711F6" w:rsidP="00376241">
      <w:pPr>
        <w:spacing w:line="360" w:lineRule="auto"/>
        <w:jc w:val="both"/>
        <w:rPr>
          <w:sz w:val="20"/>
          <w:szCs w:val="20"/>
        </w:rPr>
      </w:pPr>
      <w:r w:rsidRPr="00195363">
        <w:rPr>
          <w:sz w:val="20"/>
          <w:szCs w:val="20"/>
        </w:rPr>
        <w:t xml:space="preserve">  </w:t>
      </w:r>
    </w:p>
    <w:p w14:paraId="5711D576" w14:textId="77777777" w:rsidR="00FF6572" w:rsidRPr="00195363" w:rsidRDefault="00D711F6" w:rsidP="00376241">
      <w:pPr>
        <w:spacing w:line="360" w:lineRule="auto"/>
        <w:jc w:val="both"/>
        <w:rPr>
          <w:sz w:val="20"/>
          <w:szCs w:val="20"/>
        </w:rPr>
      </w:pPr>
      <w:r w:rsidRPr="00195363">
        <w:rPr>
          <w:sz w:val="20"/>
          <w:szCs w:val="20"/>
          <w:u w:val="single"/>
        </w:rPr>
        <w:t>For respondent</w:t>
      </w:r>
      <w:r w:rsidR="00FF6572" w:rsidRPr="00195363">
        <w:rPr>
          <w:sz w:val="20"/>
          <w:szCs w:val="20"/>
          <w:u w:val="single"/>
        </w:rPr>
        <w:t xml:space="preserve"> in court a quo and applicant in application for leave to appeal</w:t>
      </w:r>
      <w:r w:rsidRPr="00195363">
        <w:rPr>
          <w:sz w:val="20"/>
          <w:szCs w:val="20"/>
        </w:rPr>
        <w:t xml:space="preserve">: </w:t>
      </w:r>
    </w:p>
    <w:p w14:paraId="59483EDC" w14:textId="42D095DB" w:rsidR="00D711F6" w:rsidRPr="00195363" w:rsidRDefault="00D711F6" w:rsidP="00376241">
      <w:pPr>
        <w:spacing w:line="360" w:lineRule="auto"/>
        <w:jc w:val="both"/>
        <w:rPr>
          <w:sz w:val="20"/>
          <w:szCs w:val="20"/>
        </w:rPr>
      </w:pPr>
      <w:r w:rsidRPr="00195363">
        <w:rPr>
          <w:sz w:val="20"/>
          <w:szCs w:val="20"/>
        </w:rPr>
        <w:t xml:space="preserve">Adv Robin </w:t>
      </w:r>
      <w:r w:rsidRPr="00195363">
        <w:rPr>
          <w:b/>
          <w:sz w:val="20"/>
          <w:szCs w:val="20"/>
        </w:rPr>
        <w:t>Pearse SC</w:t>
      </w:r>
      <w:r w:rsidRPr="00195363">
        <w:rPr>
          <w:sz w:val="20"/>
          <w:szCs w:val="20"/>
        </w:rPr>
        <w:t xml:space="preserve">, Adv Phumlani </w:t>
      </w:r>
      <w:r w:rsidRPr="00195363">
        <w:rPr>
          <w:b/>
          <w:sz w:val="20"/>
          <w:szCs w:val="20"/>
        </w:rPr>
        <w:t>Ngcongo</w:t>
      </w:r>
      <w:r w:rsidR="008D7F7A" w:rsidRPr="00195363">
        <w:rPr>
          <w:sz w:val="20"/>
          <w:szCs w:val="20"/>
        </w:rPr>
        <w:t xml:space="preserve">, Adv Zanele </w:t>
      </w:r>
      <w:r w:rsidR="008D7F7A" w:rsidRPr="00195363">
        <w:rPr>
          <w:b/>
          <w:sz w:val="20"/>
          <w:szCs w:val="20"/>
        </w:rPr>
        <w:t>Ngakane</w:t>
      </w:r>
    </w:p>
    <w:p w14:paraId="756D7A8D" w14:textId="4910806C" w:rsidR="00D711F6" w:rsidRPr="00195363" w:rsidRDefault="00D711F6" w:rsidP="00376241">
      <w:pPr>
        <w:pStyle w:val="ListParagraph"/>
        <w:spacing w:after="240" w:line="360" w:lineRule="auto"/>
        <w:ind w:left="0"/>
        <w:jc w:val="both"/>
        <w:rPr>
          <w:sz w:val="20"/>
          <w:szCs w:val="20"/>
        </w:rPr>
      </w:pPr>
      <w:r w:rsidRPr="00195363">
        <w:rPr>
          <w:sz w:val="20"/>
          <w:szCs w:val="20"/>
          <w:u w:val="single"/>
        </w:rPr>
        <w:t>Instructed by</w:t>
      </w:r>
      <w:r w:rsidRPr="00195363">
        <w:rPr>
          <w:sz w:val="20"/>
          <w:szCs w:val="20"/>
        </w:rPr>
        <w:t>: Herbert Smith Freehills</w:t>
      </w:r>
      <w:r w:rsidR="008D7F7A" w:rsidRPr="00195363">
        <w:rPr>
          <w:sz w:val="20"/>
          <w:szCs w:val="20"/>
        </w:rPr>
        <w:t xml:space="preserve"> South Africa (J Ripley-Evans)</w:t>
      </w:r>
    </w:p>
    <w:p w14:paraId="7D520DDB" w14:textId="748BFFB1" w:rsidR="00376241" w:rsidRPr="00195363" w:rsidRDefault="00376241" w:rsidP="00376241">
      <w:pPr>
        <w:tabs>
          <w:tab w:val="right" w:pos="8373"/>
        </w:tabs>
        <w:spacing w:line="360" w:lineRule="auto"/>
        <w:rPr>
          <w:b/>
          <w:bCs/>
          <w:sz w:val="20"/>
          <w:szCs w:val="20"/>
          <w:u w:val="single"/>
        </w:rPr>
      </w:pPr>
      <w:r w:rsidRPr="00195363">
        <w:rPr>
          <w:b/>
          <w:sz w:val="20"/>
          <w:szCs w:val="20"/>
          <w:u w:val="single"/>
        </w:rPr>
        <w:t>Case No:</w:t>
      </w:r>
      <w:r w:rsidRPr="00195363">
        <w:rPr>
          <w:sz w:val="20"/>
          <w:szCs w:val="20"/>
          <w:u w:val="single"/>
        </w:rPr>
        <w:t xml:space="preserve"> </w:t>
      </w:r>
      <w:r w:rsidRPr="00195363">
        <w:rPr>
          <w:b/>
          <w:bCs/>
          <w:sz w:val="20"/>
          <w:szCs w:val="20"/>
          <w:u w:val="single"/>
        </w:rPr>
        <w:t>EC08/2023</w:t>
      </w:r>
    </w:p>
    <w:p w14:paraId="6E573B65" w14:textId="365EA261" w:rsidR="00203B73" w:rsidRPr="00195363" w:rsidRDefault="008D7F7A" w:rsidP="008D7F7A">
      <w:pPr>
        <w:spacing w:line="360" w:lineRule="auto"/>
        <w:jc w:val="both"/>
        <w:rPr>
          <w:sz w:val="20"/>
          <w:szCs w:val="20"/>
        </w:rPr>
      </w:pPr>
      <w:r w:rsidRPr="00195363">
        <w:rPr>
          <w:sz w:val="20"/>
          <w:szCs w:val="20"/>
          <w:u w:val="single"/>
        </w:rPr>
        <w:t>For applicants</w:t>
      </w:r>
      <w:r w:rsidR="00203B73" w:rsidRPr="00195363">
        <w:rPr>
          <w:sz w:val="20"/>
          <w:szCs w:val="20"/>
          <w:u w:val="single"/>
        </w:rPr>
        <w:t xml:space="preserve"> in court a quo and respondent</w:t>
      </w:r>
      <w:r w:rsidR="00516D75" w:rsidRPr="00195363">
        <w:rPr>
          <w:sz w:val="20"/>
          <w:szCs w:val="20"/>
          <w:u w:val="single"/>
        </w:rPr>
        <w:t>s</w:t>
      </w:r>
      <w:r w:rsidR="00203B73" w:rsidRPr="00195363">
        <w:rPr>
          <w:sz w:val="20"/>
          <w:szCs w:val="20"/>
          <w:u w:val="single"/>
        </w:rPr>
        <w:t xml:space="preserve"> in application for leave to appeal</w:t>
      </w:r>
      <w:r w:rsidRPr="00195363">
        <w:rPr>
          <w:sz w:val="20"/>
          <w:szCs w:val="20"/>
        </w:rPr>
        <w:t>:</w:t>
      </w:r>
    </w:p>
    <w:p w14:paraId="74EA0778" w14:textId="238E7C2B" w:rsidR="008D7F7A" w:rsidRPr="00195363" w:rsidRDefault="008D7F7A" w:rsidP="008D7F7A">
      <w:pPr>
        <w:spacing w:line="360" w:lineRule="auto"/>
        <w:jc w:val="both"/>
        <w:rPr>
          <w:sz w:val="20"/>
          <w:szCs w:val="20"/>
        </w:rPr>
      </w:pPr>
      <w:r w:rsidRPr="00195363">
        <w:rPr>
          <w:sz w:val="20"/>
          <w:szCs w:val="20"/>
        </w:rPr>
        <w:t xml:space="preserve">Adv Muzi </w:t>
      </w:r>
      <w:r w:rsidRPr="00195363">
        <w:rPr>
          <w:b/>
          <w:sz w:val="20"/>
          <w:szCs w:val="20"/>
        </w:rPr>
        <w:t>Sikhakhane</w:t>
      </w:r>
      <w:r w:rsidRPr="00195363">
        <w:rPr>
          <w:sz w:val="20"/>
          <w:szCs w:val="20"/>
        </w:rPr>
        <w:t xml:space="preserve"> SC, Adv Isaac </w:t>
      </w:r>
      <w:r w:rsidRPr="00195363">
        <w:rPr>
          <w:b/>
          <w:sz w:val="20"/>
          <w:szCs w:val="20"/>
        </w:rPr>
        <w:t>Shai</w:t>
      </w:r>
    </w:p>
    <w:p w14:paraId="48925692" w14:textId="5EA9E579" w:rsidR="00D711F6" w:rsidRPr="00195363" w:rsidRDefault="00D711F6" w:rsidP="00376241">
      <w:pPr>
        <w:spacing w:line="360" w:lineRule="auto"/>
        <w:rPr>
          <w:sz w:val="20"/>
          <w:szCs w:val="20"/>
        </w:rPr>
      </w:pPr>
      <w:r w:rsidRPr="00195363">
        <w:rPr>
          <w:sz w:val="20"/>
          <w:szCs w:val="20"/>
          <w:u w:val="single"/>
        </w:rPr>
        <w:t>Instructed by</w:t>
      </w:r>
      <w:r w:rsidRPr="00195363">
        <w:rPr>
          <w:sz w:val="20"/>
          <w:szCs w:val="20"/>
        </w:rPr>
        <w:t xml:space="preserve">:  Adriaans Attorneys </w:t>
      </w:r>
      <w:r w:rsidR="00376241" w:rsidRPr="00195363">
        <w:rPr>
          <w:sz w:val="20"/>
          <w:szCs w:val="20"/>
        </w:rPr>
        <w:t>(</w:t>
      </w:r>
      <w:r w:rsidRPr="00195363">
        <w:rPr>
          <w:sz w:val="20"/>
          <w:szCs w:val="20"/>
        </w:rPr>
        <w:t>A Adriaans</w:t>
      </w:r>
      <w:r w:rsidR="00376241" w:rsidRPr="00195363">
        <w:rPr>
          <w:sz w:val="20"/>
          <w:szCs w:val="20"/>
        </w:rPr>
        <w:t>)</w:t>
      </w:r>
      <w:r w:rsidRPr="00195363">
        <w:rPr>
          <w:sz w:val="20"/>
          <w:szCs w:val="20"/>
        </w:rPr>
        <w:t xml:space="preserve"> </w:t>
      </w:r>
    </w:p>
    <w:p w14:paraId="310FF163" w14:textId="77777777" w:rsidR="00D711F6" w:rsidRPr="00195363" w:rsidRDefault="00D711F6" w:rsidP="00376241">
      <w:pPr>
        <w:spacing w:line="360" w:lineRule="auto"/>
        <w:jc w:val="both"/>
        <w:rPr>
          <w:sz w:val="20"/>
          <w:szCs w:val="20"/>
          <w:u w:val="single"/>
        </w:rPr>
      </w:pPr>
    </w:p>
    <w:p w14:paraId="2CA4E4DA" w14:textId="6788423F" w:rsidR="00203B73" w:rsidRPr="00195363" w:rsidRDefault="00D711F6" w:rsidP="00376241">
      <w:pPr>
        <w:spacing w:line="360" w:lineRule="auto"/>
        <w:jc w:val="both"/>
        <w:rPr>
          <w:sz w:val="20"/>
          <w:szCs w:val="20"/>
        </w:rPr>
      </w:pPr>
      <w:r w:rsidRPr="00195363">
        <w:rPr>
          <w:sz w:val="20"/>
          <w:szCs w:val="20"/>
          <w:u w:val="single"/>
        </w:rPr>
        <w:t>For respondent</w:t>
      </w:r>
      <w:r w:rsidR="00203B73" w:rsidRPr="00195363">
        <w:rPr>
          <w:sz w:val="20"/>
          <w:szCs w:val="20"/>
          <w:u w:val="single"/>
        </w:rPr>
        <w:t xml:space="preserve"> in court a quo and </w:t>
      </w:r>
      <w:r w:rsidR="00516D75" w:rsidRPr="00195363">
        <w:rPr>
          <w:sz w:val="20"/>
          <w:szCs w:val="20"/>
          <w:u w:val="single"/>
        </w:rPr>
        <w:t>applicant</w:t>
      </w:r>
      <w:r w:rsidR="00203B73" w:rsidRPr="00195363">
        <w:rPr>
          <w:sz w:val="20"/>
          <w:szCs w:val="20"/>
          <w:u w:val="single"/>
        </w:rPr>
        <w:t xml:space="preserve"> in application for leave to appeal</w:t>
      </w:r>
      <w:r w:rsidRPr="00195363">
        <w:rPr>
          <w:sz w:val="20"/>
          <w:szCs w:val="20"/>
        </w:rPr>
        <w:t xml:space="preserve">: </w:t>
      </w:r>
    </w:p>
    <w:p w14:paraId="277AB578" w14:textId="17838C2A" w:rsidR="00D711F6" w:rsidRPr="00195363" w:rsidRDefault="00D711F6" w:rsidP="00376241">
      <w:pPr>
        <w:spacing w:line="360" w:lineRule="auto"/>
        <w:jc w:val="both"/>
        <w:rPr>
          <w:sz w:val="20"/>
          <w:szCs w:val="20"/>
        </w:rPr>
      </w:pPr>
      <w:r w:rsidRPr="00195363">
        <w:rPr>
          <w:sz w:val="20"/>
          <w:szCs w:val="20"/>
        </w:rPr>
        <w:t xml:space="preserve">Adv Robin </w:t>
      </w:r>
      <w:r w:rsidRPr="00195363">
        <w:rPr>
          <w:b/>
          <w:sz w:val="20"/>
          <w:szCs w:val="20"/>
        </w:rPr>
        <w:t>Pearse SC</w:t>
      </w:r>
      <w:r w:rsidRPr="00195363">
        <w:rPr>
          <w:sz w:val="20"/>
          <w:szCs w:val="20"/>
        </w:rPr>
        <w:t xml:space="preserve">, Adv Phumlani </w:t>
      </w:r>
      <w:r w:rsidRPr="00195363">
        <w:rPr>
          <w:b/>
          <w:sz w:val="20"/>
          <w:szCs w:val="20"/>
        </w:rPr>
        <w:t>Ngcongo</w:t>
      </w:r>
      <w:r w:rsidR="008D7F7A" w:rsidRPr="00195363">
        <w:rPr>
          <w:sz w:val="20"/>
          <w:szCs w:val="20"/>
        </w:rPr>
        <w:t xml:space="preserve">, Adv Zanele </w:t>
      </w:r>
      <w:r w:rsidR="008D7F7A" w:rsidRPr="00195363">
        <w:rPr>
          <w:b/>
          <w:sz w:val="20"/>
          <w:szCs w:val="20"/>
        </w:rPr>
        <w:t>Ngakane</w:t>
      </w:r>
    </w:p>
    <w:p w14:paraId="77F83B0D" w14:textId="0780405D" w:rsidR="00D711F6" w:rsidRPr="00195363" w:rsidRDefault="00D711F6" w:rsidP="00376241">
      <w:pPr>
        <w:pStyle w:val="ListParagraph"/>
        <w:spacing w:after="240" w:line="360" w:lineRule="auto"/>
        <w:ind w:left="0"/>
        <w:jc w:val="both"/>
        <w:rPr>
          <w:b/>
          <w:sz w:val="20"/>
          <w:szCs w:val="20"/>
        </w:rPr>
      </w:pPr>
      <w:r w:rsidRPr="00195363">
        <w:rPr>
          <w:sz w:val="20"/>
          <w:szCs w:val="20"/>
          <w:u w:val="single"/>
        </w:rPr>
        <w:t>Instructed by</w:t>
      </w:r>
      <w:r w:rsidRPr="00195363">
        <w:rPr>
          <w:sz w:val="20"/>
          <w:szCs w:val="20"/>
        </w:rPr>
        <w:t>: Herbert Smith Freehills</w:t>
      </w:r>
      <w:r w:rsidR="008D7F7A" w:rsidRPr="00195363">
        <w:rPr>
          <w:sz w:val="20"/>
          <w:szCs w:val="20"/>
        </w:rPr>
        <w:t xml:space="preserve"> South Africa (J Ripley-Evans)</w:t>
      </w:r>
      <w:r w:rsidRPr="00195363">
        <w:rPr>
          <w:sz w:val="20"/>
          <w:szCs w:val="20"/>
        </w:rPr>
        <w:t xml:space="preserve"> </w:t>
      </w:r>
    </w:p>
    <w:sectPr w:rsidR="00D711F6" w:rsidRPr="00195363" w:rsidSect="00357188">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EE2E" w14:textId="77777777" w:rsidR="00277A78" w:rsidRDefault="00277A78" w:rsidP="00F4257E">
      <w:r>
        <w:separator/>
      </w:r>
    </w:p>
  </w:endnote>
  <w:endnote w:type="continuationSeparator" w:id="0">
    <w:p w14:paraId="32FA880A" w14:textId="77777777" w:rsidR="00277A78" w:rsidRDefault="00277A78"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3953" w14:textId="77777777" w:rsidR="00512A9F" w:rsidRDefault="00512A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0E2A" w14:textId="77777777" w:rsidR="00512A9F" w:rsidRDefault="00512A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8AAA" w14:textId="77777777" w:rsidR="00512A9F" w:rsidRDefault="00512A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AAE1F" w14:textId="77777777" w:rsidR="00277A78" w:rsidRDefault="00277A78" w:rsidP="00F4257E">
      <w:r>
        <w:separator/>
      </w:r>
    </w:p>
  </w:footnote>
  <w:footnote w:type="continuationSeparator" w:id="0">
    <w:p w14:paraId="0CA690F4" w14:textId="77777777" w:rsidR="00277A78" w:rsidRDefault="00277A78" w:rsidP="00F4257E">
      <w:r>
        <w:continuationSeparator/>
      </w:r>
    </w:p>
  </w:footnote>
  <w:footnote w:id="1">
    <w:p w14:paraId="4D7042DB" w14:textId="1E252B57" w:rsidR="008F7E26" w:rsidRPr="008F7E26" w:rsidRDefault="008F7E26" w:rsidP="008F7E26">
      <w:pPr>
        <w:pStyle w:val="FootnoteText"/>
        <w:tabs>
          <w:tab w:val="left" w:pos="284"/>
        </w:tabs>
        <w:ind w:left="284" w:hanging="284"/>
        <w:jc w:val="both"/>
      </w:pPr>
      <w:r>
        <w:rPr>
          <w:rStyle w:val="FootnoteReference"/>
        </w:rPr>
        <w:footnoteRef/>
      </w:r>
      <w:r>
        <w:t xml:space="preserve"> </w:t>
      </w:r>
      <w:r>
        <w:tab/>
      </w:r>
      <w:r>
        <w:rPr>
          <w:i/>
        </w:rPr>
        <w:t xml:space="preserve">Bredenkamp and Others v Standard Bank of South Africa Limited </w:t>
      </w:r>
      <w:r>
        <w:t>2010 (4) SA 468 (SCA).</w:t>
      </w:r>
    </w:p>
  </w:footnote>
  <w:footnote w:id="2">
    <w:p w14:paraId="3CA37AB3" w14:textId="518200D5" w:rsidR="002C7BC3" w:rsidRPr="0046597A" w:rsidRDefault="002C7BC3" w:rsidP="002C7BC3">
      <w:pPr>
        <w:pStyle w:val="FootnoteText"/>
        <w:tabs>
          <w:tab w:val="left" w:pos="284"/>
        </w:tabs>
        <w:ind w:left="284" w:hanging="284"/>
        <w:jc w:val="both"/>
      </w:pPr>
      <w:r>
        <w:rPr>
          <w:rStyle w:val="FootnoteReference"/>
        </w:rPr>
        <w:footnoteRef/>
      </w:r>
      <w:r>
        <w:t xml:space="preserve"> </w:t>
      </w:r>
      <w:r w:rsidR="0046597A">
        <w:tab/>
      </w:r>
      <w:r w:rsidR="0046597A">
        <w:rPr>
          <w:i/>
        </w:rPr>
        <w:t>Apleni v Minister of Law and Order and Others</w:t>
      </w:r>
      <w:r w:rsidR="0046597A">
        <w:t xml:space="preserve"> 1989 (1) SA 195 (AD) at 200I-201D.</w:t>
      </w:r>
    </w:p>
  </w:footnote>
  <w:footnote w:id="3">
    <w:p w14:paraId="1C07AA87" w14:textId="7D6B6A6E" w:rsidR="0046597A" w:rsidRDefault="0046597A" w:rsidP="0046597A">
      <w:pPr>
        <w:pStyle w:val="FootnoteText"/>
        <w:tabs>
          <w:tab w:val="left" w:pos="284"/>
        </w:tabs>
      </w:pPr>
      <w:r>
        <w:rPr>
          <w:rStyle w:val="FootnoteReference"/>
        </w:rPr>
        <w:footnoteRef/>
      </w:r>
      <w:r>
        <w:t xml:space="preserve"> </w:t>
      </w:r>
      <w:r>
        <w:tab/>
        <w:t xml:space="preserve">Financial Intelligence Centre Act 38 of 2001. </w:t>
      </w:r>
    </w:p>
  </w:footnote>
  <w:footnote w:id="4">
    <w:p w14:paraId="0364772D" w14:textId="6FC0D2D3" w:rsidR="0035779D" w:rsidRPr="0035779D" w:rsidRDefault="0035779D" w:rsidP="00C15D8D">
      <w:pPr>
        <w:pStyle w:val="FootnoteText"/>
        <w:tabs>
          <w:tab w:val="left" w:pos="284"/>
        </w:tabs>
        <w:ind w:left="284" w:hanging="284"/>
        <w:jc w:val="both"/>
      </w:pPr>
      <w:r>
        <w:rPr>
          <w:rStyle w:val="FootnoteReference"/>
        </w:rPr>
        <w:footnoteRef/>
      </w:r>
      <w:r>
        <w:t xml:space="preserve"> </w:t>
      </w:r>
      <w:r>
        <w:tab/>
      </w:r>
      <w:r>
        <w:rPr>
          <w:i/>
        </w:rPr>
        <w:t>National Treasury v Opposition to Urban Tolling Alliance</w:t>
      </w:r>
      <w:r>
        <w:t xml:space="preserve"> 2012 (6) SA 223 (CC)</w:t>
      </w:r>
      <w:r w:rsidR="00C15D8D" w:rsidRPr="00C15D8D">
        <w:t xml:space="preserve"> </w:t>
      </w:r>
      <w:r w:rsidR="00C15D8D">
        <w:t>at paras [49] and [50], in the context of s 33 of the Constitution pending a review</w:t>
      </w:r>
      <w:r>
        <w:t>.</w:t>
      </w:r>
    </w:p>
  </w:footnote>
  <w:footnote w:id="5">
    <w:p w14:paraId="27F76BEF" w14:textId="4466C81C" w:rsidR="0035779D" w:rsidRPr="0035779D" w:rsidRDefault="0035779D" w:rsidP="0035779D">
      <w:pPr>
        <w:pStyle w:val="FootnoteText"/>
        <w:tabs>
          <w:tab w:val="left" w:pos="284"/>
        </w:tabs>
      </w:pPr>
      <w:r>
        <w:rPr>
          <w:rStyle w:val="FootnoteReference"/>
        </w:rPr>
        <w:footnoteRef/>
      </w:r>
      <w:r>
        <w:t xml:space="preserve"> </w:t>
      </w:r>
      <w:r>
        <w:tab/>
      </w:r>
      <w:r>
        <w:rPr>
          <w:i/>
        </w:rPr>
        <w:t>Economic Freedom Fighters v Gordhan and Others</w:t>
      </w:r>
      <w:r>
        <w:t xml:space="preserve"> 2020 (6) SA 325 (CC) at para [42].</w:t>
      </w:r>
    </w:p>
  </w:footnote>
  <w:footnote w:id="6">
    <w:p w14:paraId="7233DAC7" w14:textId="6BDB4C18" w:rsidR="0035779D" w:rsidRPr="001E376C" w:rsidRDefault="0035779D" w:rsidP="0035779D">
      <w:pPr>
        <w:pStyle w:val="FootnoteText"/>
        <w:tabs>
          <w:tab w:val="left" w:pos="284"/>
        </w:tabs>
      </w:pPr>
      <w:r>
        <w:rPr>
          <w:rStyle w:val="FootnoteReference"/>
        </w:rPr>
        <w:footnoteRef/>
      </w:r>
      <w:r>
        <w:t xml:space="preserve"> </w:t>
      </w:r>
      <w:r>
        <w:tab/>
      </w:r>
      <w:r w:rsidR="001E376C">
        <w:rPr>
          <w:i/>
        </w:rPr>
        <w:t>Webster v Mitchell</w:t>
      </w:r>
      <w:r w:rsidR="001E376C">
        <w:t xml:space="preserve"> 1948 (1) SA</w:t>
      </w:r>
      <w:r w:rsidR="009F2670">
        <w:t xml:space="preserve"> 1186 (W) at 1189.</w:t>
      </w:r>
    </w:p>
  </w:footnote>
  <w:footnote w:id="7">
    <w:p w14:paraId="03F09AD8" w14:textId="2CB5916C" w:rsidR="009F2670" w:rsidRPr="009F2670" w:rsidRDefault="009F2670" w:rsidP="009F2670">
      <w:pPr>
        <w:pStyle w:val="FootnoteText"/>
        <w:tabs>
          <w:tab w:val="left" w:pos="284"/>
        </w:tabs>
        <w:ind w:left="284" w:hanging="284"/>
        <w:jc w:val="both"/>
      </w:pPr>
      <w:r>
        <w:rPr>
          <w:rStyle w:val="FootnoteReference"/>
        </w:rPr>
        <w:footnoteRef/>
      </w:r>
      <w:r>
        <w:t xml:space="preserve"> </w:t>
      </w:r>
      <w:r>
        <w:tab/>
      </w:r>
      <w:r>
        <w:rPr>
          <w:i/>
        </w:rPr>
        <w:t xml:space="preserve">Eskom Holdings SOC Ltd v Vaal River Development Association (Pty) Ltd and Others </w:t>
      </w:r>
      <w:r>
        <w:t>[2022] ZACC 44 at paras [241] to [251].</w:t>
      </w:r>
    </w:p>
  </w:footnote>
  <w:footnote w:id="8">
    <w:p w14:paraId="59BB2F2B" w14:textId="315A3D33" w:rsidR="00BB4137" w:rsidRPr="00BB4137" w:rsidRDefault="00BB4137" w:rsidP="00BB4137">
      <w:pPr>
        <w:pStyle w:val="FootnoteText"/>
        <w:tabs>
          <w:tab w:val="left" w:pos="284"/>
        </w:tabs>
      </w:pPr>
      <w:r>
        <w:rPr>
          <w:rStyle w:val="FootnoteReference"/>
        </w:rPr>
        <w:footnoteRef/>
      </w:r>
      <w:r>
        <w:t xml:space="preserve"> </w:t>
      </w:r>
      <w:r>
        <w:tab/>
      </w:r>
      <w:r>
        <w:rPr>
          <w:i/>
        </w:rPr>
        <w:t>Nedbank Ltd &amp; Another v Survé and Others</w:t>
      </w:r>
      <w:r>
        <w:t xml:space="preserve"> 2023 JDR 4811 (SCA).</w:t>
      </w:r>
    </w:p>
  </w:footnote>
  <w:footnote w:id="9">
    <w:p w14:paraId="512CA0ED" w14:textId="31436B6A" w:rsidR="00DF5C76" w:rsidRPr="00DF5C76" w:rsidRDefault="00DF5C76" w:rsidP="00DF5C76">
      <w:pPr>
        <w:pStyle w:val="FootnoteText"/>
        <w:tabs>
          <w:tab w:val="left" w:pos="284"/>
        </w:tabs>
      </w:pPr>
      <w:r>
        <w:rPr>
          <w:rStyle w:val="FootnoteReference"/>
        </w:rPr>
        <w:footnoteRef/>
      </w:r>
      <w:r>
        <w:t xml:space="preserve"> </w:t>
      </w:r>
      <w:r>
        <w:tab/>
      </w:r>
      <w:r>
        <w:rPr>
          <w:i/>
        </w:rPr>
        <w:t xml:space="preserve">Minister of Finance v Oakbay Investments (Pty) Ltd and Others </w:t>
      </w:r>
      <w:r>
        <w:t>2018 (3) SA 515 (GP).</w:t>
      </w:r>
    </w:p>
  </w:footnote>
  <w:footnote w:id="10">
    <w:p w14:paraId="0AD9ADBE" w14:textId="0D4A2A24" w:rsidR="00974D40" w:rsidRPr="00974D40" w:rsidRDefault="00974D40" w:rsidP="00974D40">
      <w:pPr>
        <w:pStyle w:val="FootnoteText"/>
        <w:tabs>
          <w:tab w:val="left" w:pos="284"/>
        </w:tabs>
      </w:pPr>
      <w:r>
        <w:rPr>
          <w:rStyle w:val="FootnoteReference"/>
        </w:rPr>
        <w:footnoteRef/>
      </w:r>
      <w:r>
        <w:t xml:space="preserve"> </w:t>
      </w:r>
      <w:r>
        <w:tab/>
      </w:r>
      <w:r>
        <w:rPr>
          <w:i/>
        </w:rPr>
        <w:t xml:space="preserve">Annex Distribution (Pty) Ltd and Others v Bank of Baroda </w:t>
      </w:r>
      <w:r>
        <w:t>2018 (1) SA 562 (GP).</w:t>
      </w:r>
    </w:p>
  </w:footnote>
  <w:footnote w:id="11">
    <w:p w14:paraId="28A83229" w14:textId="7D977C8C" w:rsidR="00974D40" w:rsidRPr="00974D40" w:rsidRDefault="00974D40" w:rsidP="00974D40">
      <w:pPr>
        <w:pStyle w:val="FootnoteText"/>
        <w:tabs>
          <w:tab w:val="left" w:pos="284"/>
        </w:tabs>
      </w:pPr>
      <w:r>
        <w:rPr>
          <w:rStyle w:val="FootnoteReference"/>
        </w:rPr>
        <w:footnoteRef/>
      </w:r>
      <w:r>
        <w:t xml:space="preserve"> </w:t>
      </w:r>
      <w:r>
        <w:tab/>
      </w:r>
      <w:r>
        <w:rPr>
          <w:i/>
        </w:rPr>
        <w:t xml:space="preserve">Annex Distribution (Pty) Ltd and Others v Bank of Baroda </w:t>
      </w:r>
      <w:r>
        <w:t>[2017] ZAGPPHC 639.</w:t>
      </w:r>
    </w:p>
  </w:footnote>
  <w:footnote w:id="12">
    <w:p w14:paraId="526870EC" w14:textId="643E5582" w:rsidR="00015038" w:rsidRPr="00015038" w:rsidRDefault="00015038" w:rsidP="00015038">
      <w:pPr>
        <w:pStyle w:val="FootnoteText"/>
        <w:tabs>
          <w:tab w:val="left" w:pos="284"/>
        </w:tabs>
      </w:pPr>
      <w:r>
        <w:rPr>
          <w:rStyle w:val="FootnoteReference"/>
        </w:rPr>
        <w:footnoteRef/>
      </w:r>
      <w:r>
        <w:t xml:space="preserve"> </w:t>
      </w:r>
      <w:r>
        <w:tab/>
      </w:r>
      <w:r>
        <w:rPr>
          <w:i/>
        </w:rPr>
        <w:t xml:space="preserve">Annex Distribution (Pty) Ltd and Others v Bank of Baroda </w:t>
      </w:r>
      <w:r>
        <w:t>[2018] ZAGPPHC 6.</w:t>
      </w:r>
    </w:p>
  </w:footnote>
  <w:footnote w:id="13">
    <w:p w14:paraId="40A34637" w14:textId="0DAAA04B" w:rsidR="00015038" w:rsidRPr="00015038" w:rsidRDefault="00015038" w:rsidP="00015038">
      <w:pPr>
        <w:pStyle w:val="FootnoteText"/>
        <w:tabs>
          <w:tab w:val="left" w:pos="284"/>
        </w:tabs>
        <w:ind w:left="284" w:hanging="284"/>
        <w:jc w:val="both"/>
      </w:pPr>
      <w:r>
        <w:rPr>
          <w:rStyle w:val="FootnoteReference"/>
        </w:rPr>
        <w:footnoteRef/>
      </w:r>
      <w:r>
        <w:t xml:space="preserve"> </w:t>
      </w:r>
      <w:r>
        <w:tab/>
      </w:r>
      <w:r>
        <w:rPr>
          <w:i/>
        </w:rPr>
        <w:t>Talhado Fishing Enterprises (Pty) Ltd v Firstrand Bank Ltd t/a First National Bank</w:t>
      </w:r>
      <w:r>
        <w:t xml:space="preserve"> [2022] ZAECQBHC 15</w:t>
      </w:r>
      <w:r w:rsidR="009E3990">
        <w:t>.</w:t>
      </w:r>
      <w:r>
        <w:t xml:space="preserve"> </w:t>
      </w:r>
    </w:p>
  </w:footnote>
  <w:footnote w:id="14">
    <w:p w14:paraId="0483AFCF" w14:textId="4B1364C6" w:rsidR="00015038" w:rsidRPr="00015038" w:rsidRDefault="00015038" w:rsidP="00015038">
      <w:pPr>
        <w:pStyle w:val="FootnoteText"/>
        <w:tabs>
          <w:tab w:val="left" w:pos="284"/>
        </w:tabs>
      </w:pPr>
      <w:r>
        <w:rPr>
          <w:rStyle w:val="FootnoteReference"/>
        </w:rPr>
        <w:footnoteRef/>
      </w:r>
      <w:r>
        <w:t xml:space="preserve"> </w:t>
      </w:r>
      <w:r>
        <w:tab/>
      </w:r>
      <w:r>
        <w:rPr>
          <w:i/>
        </w:rPr>
        <w:t>Survé  and Others v Nedbank Ltd and Another</w:t>
      </w:r>
      <w:r>
        <w:t xml:space="preserve"> [2022] ZAWCHC 19.</w:t>
      </w:r>
    </w:p>
  </w:footnote>
  <w:footnote w:id="15">
    <w:p w14:paraId="635B1D9F" w14:textId="014810AA" w:rsidR="00015038" w:rsidRPr="00015038" w:rsidRDefault="00015038" w:rsidP="00015038">
      <w:pPr>
        <w:pStyle w:val="FootnoteText"/>
        <w:tabs>
          <w:tab w:val="left" w:pos="284"/>
        </w:tabs>
      </w:pPr>
      <w:r>
        <w:rPr>
          <w:rStyle w:val="FootnoteReference"/>
        </w:rPr>
        <w:footnoteRef/>
      </w:r>
      <w:r>
        <w:t xml:space="preserve"> </w:t>
      </w:r>
      <w:r>
        <w:tab/>
      </w:r>
      <w:r>
        <w:rPr>
          <w:i/>
        </w:rPr>
        <w:t>Ayo Technology Solutions Ltd v Access Bank South Africa Ltd</w:t>
      </w:r>
      <w:r>
        <w:t xml:space="preserve"> [2022] ZAWCHC 218.</w:t>
      </w:r>
    </w:p>
  </w:footnote>
  <w:footnote w:id="16">
    <w:p w14:paraId="20C2A3A6" w14:textId="73B9555F" w:rsidR="00D0177A" w:rsidRDefault="00D0177A" w:rsidP="00D0177A">
      <w:pPr>
        <w:pStyle w:val="FootnoteText"/>
        <w:tabs>
          <w:tab w:val="left" w:pos="284"/>
        </w:tabs>
      </w:pPr>
      <w:r>
        <w:rPr>
          <w:rStyle w:val="FootnoteReference"/>
        </w:rPr>
        <w:footnoteRef/>
      </w:r>
      <w:r>
        <w:t xml:space="preserve"> </w:t>
      </w:r>
      <w:r>
        <w:tab/>
        <w:t>No 89 of 1998.</w:t>
      </w:r>
    </w:p>
  </w:footnote>
  <w:footnote w:id="17">
    <w:p w14:paraId="106E1DB3" w14:textId="080900EF" w:rsidR="00E11C17" w:rsidRPr="001A77A6" w:rsidRDefault="00E11C17" w:rsidP="001A77A6">
      <w:pPr>
        <w:pStyle w:val="FootnoteText"/>
        <w:tabs>
          <w:tab w:val="left" w:pos="284"/>
        </w:tabs>
        <w:ind w:left="284" w:hanging="284"/>
        <w:jc w:val="both"/>
      </w:pPr>
      <w:r>
        <w:rPr>
          <w:rStyle w:val="FootnoteReference"/>
        </w:rPr>
        <w:footnoteRef/>
      </w:r>
      <w:r>
        <w:t xml:space="preserve"> </w:t>
      </w:r>
      <w:r>
        <w:tab/>
      </w:r>
      <w:r w:rsidR="001A77A6">
        <w:rPr>
          <w:i/>
        </w:rPr>
        <w:t>United Democratic Movement and Another v Lebashe Investment Group (Pty) Ltd and Others</w:t>
      </w:r>
      <w:r w:rsidR="001A77A6">
        <w:t xml:space="preserve"> 2023 (1) SA 353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20C2" w14:textId="0D2D40C1" w:rsidR="00512A9F" w:rsidRDefault="00512A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70D2" w14:textId="1C19D7A6" w:rsidR="00512A9F" w:rsidRDefault="00512A9F">
    <w:pPr>
      <w:pStyle w:val="Header"/>
      <w:jc w:val="center"/>
    </w:pPr>
  </w:p>
  <w:sdt>
    <w:sdtPr>
      <w:id w:val="1185634087"/>
      <w:docPartObj>
        <w:docPartGallery w:val="Page Numbers (Top of Page)"/>
        <w:docPartUnique/>
      </w:docPartObj>
    </w:sdtPr>
    <w:sdtEndPr>
      <w:rPr>
        <w:noProof/>
      </w:rPr>
    </w:sdtEndPr>
    <w:sdtContent>
      <w:p w14:paraId="1A191922" w14:textId="75F503F3" w:rsidR="00512A9F" w:rsidRDefault="00512A9F">
        <w:pPr>
          <w:pStyle w:val="Header"/>
          <w:jc w:val="center"/>
          <w:rPr>
            <w:noProof/>
          </w:rPr>
        </w:pPr>
        <w:r>
          <w:fldChar w:fldCharType="begin"/>
        </w:r>
        <w:r>
          <w:instrText xml:space="preserve"> PAGE   \* MERGEFORMAT </w:instrText>
        </w:r>
        <w:r>
          <w:fldChar w:fldCharType="separate"/>
        </w:r>
        <w:r w:rsidR="00294296">
          <w:rPr>
            <w:noProof/>
          </w:rPr>
          <w:t>9</w:t>
        </w:r>
        <w:r>
          <w:rPr>
            <w:noProof/>
          </w:rPr>
          <w:fldChar w:fldCharType="end"/>
        </w:r>
      </w:p>
      <w:p w14:paraId="4FE5F61B" w14:textId="77777777" w:rsidR="00512A9F" w:rsidRDefault="00277A78">
        <w:pPr>
          <w:pStyle w:val="Header"/>
          <w:jc w:val="center"/>
        </w:pPr>
      </w:p>
    </w:sdtContent>
  </w:sdt>
  <w:p w14:paraId="441F51F6" w14:textId="77777777" w:rsidR="00512A9F" w:rsidRDefault="00512A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62A3A" w14:textId="75F683DA" w:rsidR="00512A9F" w:rsidRDefault="00512A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211B4947"/>
    <w:multiLevelType w:val="hybridMultilevel"/>
    <w:tmpl w:val="4F5C1202"/>
    <w:lvl w:ilvl="0" w:tplc="4468CF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4"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49B44FCE"/>
    <w:multiLevelType w:val="hybridMultilevel"/>
    <w:tmpl w:val="6F68660E"/>
    <w:lvl w:ilvl="0" w:tplc="FED84DF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57714870"/>
    <w:multiLevelType w:val="multilevel"/>
    <w:tmpl w:val="8314331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A8852EC"/>
    <w:multiLevelType w:val="hybridMultilevel"/>
    <w:tmpl w:val="EC262A36"/>
    <w:lvl w:ilvl="0" w:tplc="0C7650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1"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3"/>
  </w:num>
  <w:num w:numId="2">
    <w:abstractNumId w:val="13"/>
  </w:num>
  <w:num w:numId="3">
    <w:abstractNumId w:val="26"/>
  </w:num>
  <w:num w:numId="4">
    <w:abstractNumId w:val="9"/>
  </w:num>
  <w:num w:numId="5">
    <w:abstractNumId w:val="4"/>
  </w:num>
  <w:num w:numId="6">
    <w:abstractNumId w:val="3"/>
  </w:num>
  <w:num w:numId="7">
    <w:abstractNumId w:val="17"/>
  </w:num>
  <w:num w:numId="8">
    <w:abstractNumId w:val="11"/>
  </w:num>
  <w:num w:numId="9">
    <w:abstractNumId w:val="10"/>
  </w:num>
  <w:num w:numId="10">
    <w:abstractNumId w:val="24"/>
  </w:num>
  <w:num w:numId="11">
    <w:abstractNumId w:val="29"/>
  </w:num>
  <w:num w:numId="12">
    <w:abstractNumId w:val="14"/>
  </w:num>
  <w:num w:numId="13">
    <w:abstractNumId w:val="6"/>
  </w:num>
  <w:num w:numId="14">
    <w:abstractNumId w:val="19"/>
  </w:num>
  <w:num w:numId="15">
    <w:abstractNumId w:val="7"/>
  </w:num>
  <w:num w:numId="16">
    <w:abstractNumId w:val="20"/>
  </w:num>
  <w:num w:numId="17">
    <w:abstractNumId w:val="12"/>
  </w:num>
  <w:num w:numId="18">
    <w:abstractNumId w:val="28"/>
  </w:num>
  <w:num w:numId="19">
    <w:abstractNumId w:val="22"/>
  </w:num>
  <w:num w:numId="20">
    <w:abstractNumId w:val="2"/>
  </w:num>
  <w:num w:numId="21">
    <w:abstractNumId w:val="0"/>
  </w:num>
  <w:num w:numId="22">
    <w:abstractNumId w:val="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25"/>
  </w:num>
  <w:num w:numId="27">
    <w:abstractNumId w:val="15"/>
  </w:num>
  <w:num w:numId="28">
    <w:abstractNumId w:val="18"/>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0C1D"/>
    <w:rsid w:val="00001381"/>
    <w:rsid w:val="0000283B"/>
    <w:rsid w:val="0000327A"/>
    <w:rsid w:val="00003C15"/>
    <w:rsid w:val="00005214"/>
    <w:rsid w:val="00006E2C"/>
    <w:rsid w:val="00013C43"/>
    <w:rsid w:val="00015038"/>
    <w:rsid w:val="00016727"/>
    <w:rsid w:val="00017D48"/>
    <w:rsid w:val="000234B4"/>
    <w:rsid w:val="00030389"/>
    <w:rsid w:val="00030442"/>
    <w:rsid w:val="00032180"/>
    <w:rsid w:val="00035F78"/>
    <w:rsid w:val="000379D8"/>
    <w:rsid w:val="00040456"/>
    <w:rsid w:val="00041110"/>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3B2E"/>
    <w:rsid w:val="00071200"/>
    <w:rsid w:val="000728A2"/>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6F01"/>
    <w:rsid w:val="000A7583"/>
    <w:rsid w:val="000B103A"/>
    <w:rsid w:val="000B7977"/>
    <w:rsid w:val="000C000A"/>
    <w:rsid w:val="000C2012"/>
    <w:rsid w:val="000C272C"/>
    <w:rsid w:val="000C30A5"/>
    <w:rsid w:val="000C5A3A"/>
    <w:rsid w:val="000C5CFB"/>
    <w:rsid w:val="000C6358"/>
    <w:rsid w:val="000C68E8"/>
    <w:rsid w:val="000C7FE0"/>
    <w:rsid w:val="000D0428"/>
    <w:rsid w:val="000D1823"/>
    <w:rsid w:val="000D296F"/>
    <w:rsid w:val="000D3070"/>
    <w:rsid w:val="000D335D"/>
    <w:rsid w:val="000E05AA"/>
    <w:rsid w:val="000E58E8"/>
    <w:rsid w:val="000E7D51"/>
    <w:rsid w:val="000F0458"/>
    <w:rsid w:val="000F138A"/>
    <w:rsid w:val="000F1A51"/>
    <w:rsid w:val="000F26E0"/>
    <w:rsid w:val="000F2C3D"/>
    <w:rsid w:val="000F4D8B"/>
    <w:rsid w:val="000F6201"/>
    <w:rsid w:val="000F7DBB"/>
    <w:rsid w:val="0010279D"/>
    <w:rsid w:val="00104D05"/>
    <w:rsid w:val="00105886"/>
    <w:rsid w:val="00105DE0"/>
    <w:rsid w:val="00112AB4"/>
    <w:rsid w:val="0012219A"/>
    <w:rsid w:val="00122665"/>
    <w:rsid w:val="00122CDF"/>
    <w:rsid w:val="00126FD5"/>
    <w:rsid w:val="00131BD2"/>
    <w:rsid w:val="001324D2"/>
    <w:rsid w:val="001330B9"/>
    <w:rsid w:val="00135522"/>
    <w:rsid w:val="001401A6"/>
    <w:rsid w:val="001416ED"/>
    <w:rsid w:val="00141DE9"/>
    <w:rsid w:val="00142667"/>
    <w:rsid w:val="0014329E"/>
    <w:rsid w:val="0014505D"/>
    <w:rsid w:val="00146EC2"/>
    <w:rsid w:val="00147849"/>
    <w:rsid w:val="00156BAD"/>
    <w:rsid w:val="00162871"/>
    <w:rsid w:val="001634BB"/>
    <w:rsid w:val="00163C17"/>
    <w:rsid w:val="00163D0F"/>
    <w:rsid w:val="001644A8"/>
    <w:rsid w:val="001653CA"/>
    <w:rsid w:val="00166EDA"/>
    <w:rsid w:val="00166F0F"/>
    <w:rsid w:val="00167CD5"/>
    <w:rsid w:val="00172950"/>
    <w:rsid w:val="001804F1"/>
    <w:rsid w:val="00180D06"/>
    <w:rsid w:val="00181F11"/>
    <w:rsid w:val="001852DA"/>
    <w:rsid w:val="001854A2"/>
    <w:rsid w:val="00187756"/>
    <w:rsid w:val="0019056D"/>
    <w:rsid w:val="00191096"/>
    <w:rsid w:val="00194343"/>
    <w:rsid w:val="00194BFB"/>
    <w:rsid w:val="00195363"/>
    <w:rsid w:val="001A1BF1"/>
    <w:rsid w:val="001A4398"/>
    <w:rsid w:val="001A4ED8"/>
    <w:rsid w:val="001A77A6"/>
    <w:rsid w:val="001B0207"/>
    <w:rsid w:val="001B1E4F"/>
    <w:rsid w:val="001B27E1"/>
    <w:rsid w:val="001B4549"/>
    <w:rsid w:val="001B6EF9"/>
    <w:rsid w:val="001B7B6F"/>
    <w:rsid w:val="001C0AA0"/>
    <w:rsid w:val="001C63D3"/>
    <w:rsid w:val="001D2128"/>
    <w:rsid w:val="001D5E48"/>
    <w:rsid w:val="001D63ED"/>
    <w:rsid w:val="001D6819"/>
    <w:rsid w:val="001E099A"/>
    <w:rsid w:val="001E2FE4"/>
    <w:rsid w:val="001E376C"/>
    <w:rsid w:val="001E444F"/>
    <w:rsid w:val="001E4798"/>
    <w:rsid w:val="001E4E58"/>
    <w:rsid w:val="001E611A"/>
    <w:rsid w:val="001F100E"/>
    <w:rsid w:val="001F391A"/>
    <w:rsid w:val="002006CA"/>
    <w:rsid w:val="00201288"/>
    <w:rsid w:val="002013B4"/>
    <w:rsid w:val="002020AA"/>
    <w:rsid w:val="00202A0B"/>
    <w:rsid w:val="00203B73"/>
    <w:rsid w:val="00205047"/>
    <w:rsid w:val="0020643D"/>
    <w:rsid w:val="002074E8"/>
    <w:rsid w:val="002221F1"/>
    <w:rsid w:val="002225C8"/>
    <w:rsid w:val="00223A31"/>
    <w:rsid w:val="00223C51"/>
    <w:rsid w:val="00231E96"/>
    <w:rsid w:val="00235ECD"/>
    <w:rsid w:val="00240475"/>
    <w:rsid w:val="00240E3E"/>
    <w:rsid w:val="002415ED"/>
    <w:rsid w:val="00242151"/>
    <w:rsid w:val="00245D23"/>
    <w:rsid w:val="0024689F"/>
    <w:rsid w:val="0025089F"/>
    <w:rsid w:val="00252595"/>
    <w:rsid w:val="002548BB"/>
    <w:rsid w:val="00254F7A"/>
    <w:rsid w:val="00264778"/>
    <w:rsid w:val="0026490A"/>
    <w:rsid w:val="00265647"/>
    <w:rsid w:val="002660DE"/>
    <w:rsid w:val="00270206"/>
    <w:rsid w:val="00270B6A"/>
    <w:rsid w:val="0027213A"/>
    <w:rsid w:val="00273C54"/>
    <w:rsid w:val="002755E3"/>
    <w:rsid w:val="00275849"/>
    <w:rsid w:val="0027708C"/>
    <w:rsid w:val="00277A78"/>
    <w:rsid w:val="00277AAD"/>
    <w:rsid w:val="00280B77"/>
    <w:rsid w:val="00283B33"/>
    <w:rsid w:val="00283D17"/>
    <w:rsid w:val="00283E38"/>
    <w:rsid w:val="0028442C"/>
    <w:rsid w:val="00285395"/>
    <w:rsid w:val="00285B38"/>
    <w:rsid w:val="0029037C"/>
    <w:rsid w:val="002933CA"/>
    <w:rsid w:val="00294296"/>
    <w:rsid w:val="002A1360"/>
    <w:rsid w:val="002A305B"/>
    <w:rsid w:val="002A3C6D"/>
    <w:rsid w:val="002A5EDD"/>
    <w:rsid w:val="002B0569"/>
    <w:rsid w:val="002B2C3A"/>
    <w:rsid w:val="002B4B20"/>
    <w:rsid w:val="002C05D3"/>
    <w:rsid w:val="002C3960"/>
    <w:rsid w:val="002C3B6B"/>
    <w:rsid w:val="002C4316"/>
    <w:rsid w:val="002C7BC3"/>
    <w:rsid w:val="002D1856"/>
    <w:rsid w:val="002D19B3"/>
    <w:rsid w:val="002D48AB"/>
    <w:rsid w:val="002D62D3"/>
    <w:rsid w:val="002D7427"/>
    <w:rsid w:val="002E58A0"/>
    <w:rsid w:val="002E6446"/>
    <w:rsid w:val="002E7809"/>
    <w:rsid w:val="002F0BB6"/>
    <w:rsid w:val="002F12E8"/>
    <w:rsid w:val="002F2B3F"/>
    <w:rsid w:val="002F305E"/>
    <w:rsid w:val="002F34B8"/>
    <w:rsid w:val="002F5101"/>
    <w:rsid w:val="002F52BA"/>
    <w:rsid w:val="002F5A94"/>
    <w:rsid w:val="00301AF2"/>
    <w:rsid w:val="00303F67"/>
    <w:rsid w:val="00304433"/>
    <w:rsid w:val="00305567"/>
    <w:rsid w:val="003076DD"/>
    <w:rsid w:val="00313209"/>
    <w:rsid w:val="00313AFF"/>
    <w:rsid w:val="003161AC"/>
    <w:rsid w:val="00316863"/>
    <w:rsid w:val="00320A49"/>
    <w:rsid w:val="00321843"/>
    <w:rsid w:val="003228E2"/>
    <w:rsid w:val="0032525F"/>
    <w:rsid w:val="003253AC"/>
    <w:rsid w:val="003262E7"/>
    <w:rsid w:val="00326B5F"/>
    <w:rsid w:val="003277FC"/>
    <w:rsid w:val="00334AAC"/>
    <w:rsid w:val="00334EE3"/>
    <w:rsid w:val="00335F69"/>
    <w:rsid w:val="00336974"/>
    <w:rsid w:val="00336CC6"/>
    <w:rsid w:val="003402CB"/>
    <w:rsid w:val="00340803"/>
    <w:rsid w:val="0034445D"/>
    <w:rsid w:val="00346CDF"/>
    <w:rsid w:val="00347FD7"/>
    <w:rsid w:val="00351732"/>
    <w:rsid w:val="00351B4D"/>
    <w:rsid w:val="00353987"/>
    <w:rsid w:val="003539CE"/>
    <w:rsid w:val="00357188"/>
    <w:rsid w:val="0035779D"/>
    <w:rsid w:val="003605D6"/>
    <w:rsid w:val="00362D4F"/>
    <w:rsid w:val="00362ECE"/>
    <w:rsid w:val="00365BA5"/>
    <w:rsid w:val="00373D7B"/>
    <w:rsid w:val="00374B26"/>
    <w:rsid w:val="00376241"/>
    <w:rsid w:val="003769EB"/>
    <w:rsid w:val="00380962"/>
    <w:rsid w:val="00383245"/>
    <w:rsid w:val="00387F5A"/>
    <w:rsid w:val="003915C7"/>
    <w:rsid w:val="0039546A"/>
    <w:rsid w:val="00395E50"/>
    <w:rsid w:val="003A2265"/>
    <w:rsid w:val="003A3EBB"/>
    <w:rsid w:val="003A7F63"/>
    <w:rsid w:val="003B0868"/>
    <w:rsid w:val="003B461A"/>
    <w:rsid w:val="003B5B98"/>
    <w:rsid w:val="003B6629"/>
    <w:rsid w:val="003B6DB3"/>
    <w:rsid w:val="003B7C1F"/>
    <w:rsid w:val="003C0270"/>
    <w:rsid w:val="003C29BC"/>
    <w:rsid w:val="003C3D40"/>
    <w:rsid w:val="003D0062"/>
    <w:rsid w:val="003D19E7"/>
    <w:rsid w:val="003D3356"/>
    <w:rsid w:val="003D3F3F"/>
    <w:rsid w:val="003D4A9C"/>
    <w:rsid w:val="003D66C1"/>
    <w:rsid w:val="003D6C58"/>
    <w:rsid w:val="003E6BA5"/>
    <w:rsid w:val="003F040D"/>
    <w:rsid w:val="003F402D"/>
    <w:rsid w:val="003F41BF"/>
    <w:rsid w:val="003F45A7"/>
    <w:rsid w:val="003F5942"/>
    <w:rsid w:val="004035C6"/>
    <w:rsid w:val="00405202"/>
    <w:rsid w:val="0041299F"/>
    <w:rsid w:val="004130EF"/>
    <w:rsid w:val="00413812"/>
    <w:rsid w:val="004149FF"/>
    <w:rsid w:val="00415010"/>
    <w:rsid w:val="00415B2F"/>
    <w:rsid w:val="00421FE8"/>
    <w:rsid w:val="00422758"/>
    <w:rsid w:val="0042321D"/>
    <w:rsid w:val="004234F1"/>
    <w:rsid w:val="00423895"/>
    <w:rsid w:val="00426848"/>
    <w:rsid w:val="00427E97"/>
    <w:rsid w:val="00430932"/>
    <w:rsid w:val="0043347C"/>
    <w:rsid w:val="00435CDB"/>
    <w:rsid w:val="00435F46"/>
    <w:rsid w:val="004363E7"/>
    <w:rsid w:val="004369D7"/>
    <w:rsid w:val="00437BBF"/>
    <w:rsid w:val="004405E5"/>
    <w:rsid w:val="004441AA"/>
    <w:rsid w:val="00451E49"/>
    <w:rsid w:val="0045308D"/>
    <w:rsid w:val="00453091"/>
    <w:rsid w:val="00453306"/>
    <w:rsid w:val="00453B20"/>
    <w:rsid w:val="00456B03"/>
    <w:rsid w:val="00457BC2"/>
    <w:rsid w:val="00463FFB"/>
    <w:rsid w:val="0046468D"/>
    <w:rsid w:val="00464CD7"/>
    <w:rsid w:val="0046597A"/>
    <w:rsid w:val="00465FC2"/>
    <w:rsid w:val="0046670C"/>
    <w:rsid w:val="00466A59"/>
    <w:rsid w:val="00471141"/>
    <w:rsid w:val="004723AC"/>
    <w:rsid w:val="0047255B"/>
    <w:rsid w:val="00472C28"/>
    <w:rsid w:val="004735F4"/>
    <w:rsid w:val="004738B9"/>
    <w:rsid w:val="004774A8"/>
    <w:rsid w:val="00482702"/>
    <w:rsid w:val="00483BF0"/>
    <w:rsid w:val="004865B2"/>
    <w:rsid w:val="00490333"/>
    <w:rsid w:val="0049188A"/>
    <w:rsid w:val="00493BB8"/>
    <w:rsid w:val="00494AE1"/>
    <w:rsid w:val="004A2A70"/>
    <w:rsid w:val="004A671A"/>
    <w:rsid w:val="004A6CEB"/>
    <w:rsid w:val="004B0EDA"/>
    <w:rsid w:val="004B15B9"/>
    <w:rsid w:val="004B5586"/>
    <w:rsid w:val="004B5BF5"/>
    <w:rsid w:val="004B7DE8"/>
    <w:rsid w:val="004C1AFC"/>
    <w:rsid w:val="004C1E4D"/>
    <w:rsid w:val="004C3172"/>
    <w:rsid w:val="004C3492"/>
    <w:rsid w:val="004C51ED"/>
    <w:rsid w:val="004C62C0"/>
    <w:rsid w:val="004C792E"/>
    <w:rsid w:val="004C7C9E"/>
    <w:rsid w:val="004D0BB9"/>
    <w:rsid w:val="004D189C"/>
    <w:rsid w:val="004D1BCF"/>
    <w:rsid w:val="004D2682"/>
    <w:rsid w:val="004D35E9"/>
    <w:rsid w:val="004D69D1"/>
    <w:rsid w:val="004E44FD"/>
    <w:rsid w:val="004E5F25"/>
    <w:rsid w:val="004F3796"/>
    <w:rsid w:val="004F6535"/>
    <w:rsid w:val="004F668F"/>
    <w:rsid w:val="004F68D5"/>
    <w:rsid w:val="00500AA6"/>
    <w:rsid w:val="00501041"/>
    <w:rsid w:val="005028D9"/>
    <w:rsid w:val="00504CEC"/>
    <w:rsid w:val="00506D90"/>
    <w:rsid w:val="00510073"/>
    <w:rsid w:val="00511993"/>
    <w:rsid w:val="00511C9E"/>
    <w:rsid w:val="00511D83"/>
    <w:rsid w:val="00512A9F"/>
    <w:rsid w:val="00512D26"/>
    <w:rsid w:val="00514AB6"/>
    <w:rsid w:val="00516A9B"/>
    <w:rsid w:val="00516D75"/>
    <w:rsid w:val="005228EB"/>
    <w:rsid w:val="00524BE9"/>
    <w:rsid w:val="00525651"/>
    <w:rsid w:val="005257B4"/>
    <w:rsid w:val="00530C59"/>
    <w:rsid w:val="00532EE1"/>
    <w:rsid w:val="00536A17"/>
    <w:rsid w:val="00540A04"/>
    <w:rsid w:val="0054369C"/>
    <w:rsid w:val="00546477"/>
    <w:rsid w:val="00546C4E"/>
    <w:rsid w:val="005472C3"/>
    <w:rsid w:val="005477B2"/>
    <w:rsid w:val="00551D80"/>
    <w:rsid w:val="00553B48"/>
    <w:rsid w:val="00555257"/>
    <w:rsid w:val="0055530A"/>
    <w:rsid w:val="00555A92"/>
    <w:rsid w:val="00556863"/>
    <w:rsid w:val="00565A7C"/>
    <w:rsid w:val="00565B0D"/>
    <w:rsid w:val="00565F00"/>
    <w:rsid w:val="00566518"/>
    <w:rsid w:val="00566CA5"/>
    <w:rsid w:val="005704EE"/>
    <w:rsid w:val="00572662"/>
    <w:rsid w:val="00576610"/>
    <w:rsid w:val="0057775E"/>
    <w:rsid w:val="00580943"/>
    <w:rsid w:val="00581E00"/>
    <w:rsid w:val="00585D9D"/>
    <w:rsid w:val="00585FC1"/>
    <w:rsid w:val="0058638B"/>
    <w:rsid w:val="00586B85"/>
    <w:rsid w:val="00587B26"/>
    <w:rsid w:val="0059046B"/>
    <w:rsid w:val="00591017"/>
    <w:rsid w:val="00592C7E"/>
    <w:rsid w:val="00592E64"/>
    <w:rsid w:val="005A0CB1"/>
    <w:rsid w:val="005A12CA"/>
    <w:rsid w:val="005A3DE6"/>
    <w:rsid w:val="005A42AF"/>
    <w:rsid w:val="005A64B0"/>
    <w:rsid w:val="005A7926"/>
    <w:rsid w:val="005B1080"/>
    <w:rsid w:val="005B2114"/>
    <w:rsid w:val="005B36A6"/>
    <w:rsid w:val="005B3EF2"/>
    <w:rsid w:val="005B417B"/>
    <w:rsid w:val="005B5394"/>
    <w:rsid w:val="005B5433"/>
    <w:rsid w:val="005C0445"/>
    <w:rsid w:val="005C24A5"/>
    <w:rsid w:val="005C25FD"/>
    <w:rsid w:val="005C5467"/>
    <w:rsid w:val="005D0CD2"/>
    <w:rsid w:val="005D153A"/>
    <w:rsid w:val="005D2EB8"/>
    <w:rsid w:val="005D7959"/>
    <w:rsid w:val="005E1017"/>
    <w:rsid w:val="005E1D98"/>
    <w:rsid w:val="005E6262"/>
    <w:rsid w:val="005F035D"/>
    <w:rsid w:val="005F0C3A"/>
    <w:rsid w:val="005F149C"/>
    <w:rsid w:val="005F1A2D"/>
    <w:rsid w:val="005F260D"/>
    <w:rsid w:val="005F2757"/>
    <w:rsid w:val="005F35FA"/>
    <w:rsid w:val="005F5CB8"/>
    <w:rsid w:val="005F7547"/>
    <w:rsid w:val="00600CBB"/>
    <w:rsid w:val="0060119C"/>
    <w:rsid w:val="0060122F"/>
    <w:rsid w:val="00602B8C"/>
    <w:rsid w:val="00602E2C"/>
    <w:rsid w:val="00602F26"/>
    <w:rsid w:val="00603812"/>
    <w:rsid w:val="00603925"/>
    <w:rsid w:val="00606679"/>
    <w:rsid w:val="00606DB0"/>
    <w:rsid w:val="00610F8D"/>
    <w:rsid w:val="006113AF"/>
    <w:rsid w:val="00614380"/>
    <w:rsid w:val="00620B00"/>
    <w:rsid w:val="00623259"/>
    <w:rsid w:val="00623F45"/>
    <w:rsid w:val="006258CC"/>
    <w:rsid w:val="0062687F"/>
    <w:rsid w:val="00627726"/>
    <w:rsid w:val="0063080A"/>
    <w:rsid w:val="006314EF"/>
    <w:rsid w:val="0063519D"/>
    <w:rsid w:val="0063609C"/>
    <w:rsid w:val="00636995"/>
    <w:rsid w:val="00637B1A"/>
    <w:rsid w:val="00643915"/>
    <w:rsid w:val="006441DB"/>
    <w:rsid w:val="00656B40"/>
    <w:rsid w:val="00657292"/>
    <w:rsid w:val="006579B2"/>
    <w:rsid w:val="00663D98"/>
    <w:rsid w:val="00664485"/>
    <w:rsid w:val="00664DB3"/>
    <w:rsid w:val="0066631B"/>
    <w:rsid w:val="00667A69"/>
    <w:rsid w:val="00670636"/>
    <w:rsid w:val="0067096F"/>
    <w:rsid w:val="00671AAD"/>
    <w:rsid w:val="006724F1"/>
    <w:rsid w:val="00680F0B"/>
    <w:rsid w:val="00684A27"/>
    <w:rsid w:val="00685F3B"/>
    <w:rsid w:val="0068625C"/>
    <w:rsid w:val="00686904"/>
    <w:rsid w:val="00693403"/>
    <w:rsid w:val="00695323"/>
    <w:rsid w:val="00695B1A"/>
    <w:rsid w:val="006962FC"/>
    <w:rsid w:val="006969F3"/>
    <w:rsid w:val="00697486"/>
    <w:rsid w:val="006A0BAC"/>
    <w:rsid w:val="006A30E2"/>
    <w:rsid w:val="006A3A5E"/>
    <w:rsid w:val="006A5024"/>
    <w:rsid w:val="006B0510"/>
    <w:rsid w:val="006B3610"/>
    <w:rsid w:val="006B56ED"/>
    <w:rsid w:val="006C0B9B"/>
    <w:rsid w:val="006C1893"/>
    <w:rsid w:val="006C6D20"/>
    <w:rsid w:val="006C7CCA"/>
    <w:rsid w:val="006D216F"/>
    <w:rsid w:val="006D2490"/>
    <w:rsid w:val="006D2610"/>
    <w:rsid w:val="006D3546"/>
    <w:rsid w:val="006D40B8"/>
    <w:rsid w:val="006D5EF0"/>
    <w:rsid w:val="006D6544"/>
    <w:rsid w:val="006D6C51"/>
    <w:rsid w:val="006D787E"/>
    <w:rsid w:val="006E0FA0"/>
    <w:rsid w:val="006E5135"/>
    <w:rsid w:val="006E5363"/>
    <w:rsid w:val="006E716A"/>
    <w:rsid w:val="006E7F77"/>
    <w:rsid w:val="006F0DDA"/>
    <w:rsid w:val="006F2F9A"/>
    <w:rsid w:val="006F36C5"/>
    <w:rsid w:val="006F4520"/>
    <w:rsid w:val="006F6EAE"/>
    <w:rsid w:val="007017A2"/>
    <w:rsid w:val="00702B62"/>
    <w:rsid w:val="00704BB2"/>
    <w:rsid w:val="00704D23"/>
    <w:rsid w:val="00706077"/>
    <w:rsid w:val="007062BE"/>
    <w:rsid w:val="00706A97"/>
    <w:rsid w:val="00707561"/>
    <w:rsid w:val="00710BD6"/>
    <w:rsid w:val="00713029"/>
    <w:rsid w:val="007134CF"/>
    <w:rsid w:val="0071418E"/>
    <w:rsid w:val="00714A20"/>
    <w:rsid w:val="007162DA"/>
    <w:rsid w:val="0071723C"/>
    <w:rsid w:val="0072052B"/>
    <w:rsid w:val="007229AE"/>
    <w:rsid w:val="00723EDA"/>
    <w:rsid w:val="00724983"/>
    <w:rsid w:val="00724C73"/>
    <w:rsid w:val="00725B5E"/>
    <w:rsid w:val="00725F43"/>
    <w:rsid w:val="00726CE9"/>
    <w:rsid w:val="00727AB2"/>
    <w:rsid w:val="0073189C"/>
    <w:rsid w:val="00731D90"/>
    <w:rsid w:val="00735A90"/>
    <w:rsid w:val="00735BB8"/>
    <w:rsid w:val="00745412"/>
    <w:rsid w:val="00745DF0"/>
    <w:rsid w:val="007540E2"/>
    <w:rsid w:val="0075432B"/>
    <w:rsid w:val="0075635E"/>
    <w:rsid w:val="0076064D"/>
    <w:rsid w:val="00760657"/>
    <w:rsid w:val="0076217D"/>
    <w:rsid w:val="007621EF"/>
    <w:rsid w:val="00763E45"/>
    <w:rsid w:val="00764447"/>
    <w:rsid w:val="007655EC"/>
    <w:rsid w:val="007668FE"/>
    <w:rsid w:val="00770F8F"/>
    <w:rsid w:val="00771E80"/>
    <w:rsid w:val="00772339"/>
    <w:rsid w:val="00773A24"/>
    <w:rsid w:val="00774364"/>
    <w:rsid w:val="00776477"/>
    <w:rsid w:val="007765D5"/>
    <w:rsid w:val="0078133D"/>
    <w:rsid w:val="007845D1"/>
    <w:rsid w:val="00784D7E"/>
    <w:rsid w:val="00784F48"/>
    <w:rsid w:val="007863CC"/>
    <w:rsid w:val="00791750"/>
    <w:rsid w:val="00791C96"/>
    <w:rsid w:val="00792C03"/>
    <w:rsid w:val="00792C85"/>
    <w:rsid w:val="00796C29"/>
    <w:rsid w:val="007A10C0"/>
    <w:rsid w:val="007A2523"/>
    <w:rsid w:val="007A5FF1"/>
    <w:rsid w:val="007A79C9"/>
    <w:rsid w:val="007B0AA7"/>
    <w:rsid w:val="007B0CB7"/>
    <w:rsid w:val="007B290D"/>
    <w:rsid w:val="007B38ED"/>
    <w:rsid w:val="007B67AC"/>
    <w:rsid w:val="007C00F7"/>
    <w:rsid w:val="007C07A8"/>
    <w:rsid w:val="007C23AB"/>
    <w:rsid w:val="007C2CC6"/>
    <w:rsid w:val="007C384A"/>
    <w:rsid w:val="007C460B"/>
    <w:rsid w:val="007C5E37"/>
    <w:rsid w:val="007C6D01"/>
    <w:rsid w:val="007C70A6"/>
    <w:rsid w:val="007C732B"/>
    <w:rsid w:val="007D04BD"/>
    <w:rsid w:val="007D1353"/>
    <w:rsid w:val="007D314B"/>
    <w:rsid w:val="007D33CF"/>
    <w:rsid w:val="007D560E"/>
    <w:rsid w:val="007D748D"/>
    <w:rsid w:val="007E0C13"/>
    <w:rsid w:val="007E3A23"/>
    <w:rsid w:val="007E3AA7"/>
    <w:rsid w:val="007E4F2F"/>
    <w:rsid w:val="007E773E"/>
    <w:rsid w:val="007F1C4A"/>
    <w:rsid w:val="007F1E90"/>
    <w:rsid w:val="007F2E75"/>
    <w:rsid w:val="007F59CA"/>
    <w:rsid w:val="007F7B84"/>
    <w:rsid w:val="007F7CA4"/>
    <w:rsid w:val="008017AF"/>
    <w:rsid w:val="00807644"/>
    <w:rsid w:val="0081081E"/>
    <w:rsid w:val="008113CE"/>
    <w:rsid w:val="00814995"/>
    <w:rsid w:val="00817B29"/>
    <w:rsid w:val="00817E17"/>
    <w:rsid w:val="0082427B"/>
    <w:rsid w:val="00824B4B"/>
    <w:rsid w:val="00825836"/>
    <w:rsid w:val="0082676E"/>
    <w:rsid w:val="00827029"/>
    <w:rsid w:val="00827E09"/>
    <w:rsid w:val="00830CD5"/>
    <w:rsid w:val="00830F2B"/>
    <w:rsid w:val="00831201"/>
    <w:rsid w:val="00832C68"/>
    <w:rsid w:val="00832DA8"/>
    <w:rsid w:val="00832E39"/>
    <w:rsid w:val="00833903"/>
    <w:rsid w:val="008347E3"/>
    <w:rsid w:val="00840040"/>
    <w:rsid w:val="00845BA4"/>
    <w:rsid w:val="00851769"/>
    <w:rsid w:val="008520F2"/>
    <w:rsid w:val="008527A5"/>
    <w:rsid w:val="00855D9E"/>
    <w:rsid w:val="00861366"/>
    <w:rsid w:val="0086172C"/>
    <w:rsid w:val="00861F20"/>
    <w:rsid w:val="00862063"/>
    <w:rsid w:val="008620ED"/>
    <w:rsid w:val="0086258A"/>
    <w:rsid w:val="0086364C"/>
    <w:rsid w:val="00863BC9"/>
    <w:rsid w:val="008641DB"/>
    <w:rsid w:val="00865674"/>
    <w:rsid w:val="00866558"/>
    <w:rsid w:val="008666E9"/>
    <w:rsid w:val="00866EBB"/>
    <w:rsid w:val="00876C47"/>
    <w:rsid w:val="008771CF"/>
    <w:rsid w:val="008778F6"/>
    <w:rsid w:val="00880CAE"/>
    <w:rsid w:val="00882A5F"/>
    <w:rsid w:val="00882F33"/>
    <w:rsid w:val="008844B1"/>
    <w:rsid w:val="0088508C"/>
    <w:rsid w:val="00885198"/>
    <w:rsid w:val="00887E94"/>
    <w:rsid w:val="00894596"/>
    <w:rsid w:val="00894928"/>
    <w:rsid w:val="00894B2B"/>
    <w:rsid w:val="00897493"/>
    <w:rsid w:val="008A13EE"/>
    <w:rsid w:val="008A1553"/>
    <w:rsid w:val="008A2BEF"/>
    <w:rsid w:val="008A5E0B"/>
    <w:rsid w:val="008A72BB"/>
    <w:rsid w:val="008B0891"/>
    <w:rsid w:val="008B0BD4"/>
    <w:rsid w:val="008B0DFD"/>
    <w:rsid w:val="008B1592"/>
    <w:rsid w:val="008B1669"/>
    <w:rsid w:val="008B3BF3"/>
    <w:rsid w:val="008B53B7"/>
    <w:rsid w:val="008B5D62"/>
    <w:rsid w:val="008C1B8A"/>
    <w:rsid w:val="008C1BC3"/>
    <w:rsid w:val="008C2186"/>
    <w:rsid w:val="008C3576"/>
    <w:rsid w:val="008C58F1"/>
    <w:rsid w:val="008D0EF5"/>
    <w:rsid w:val="008D1D5D"/>
    <w:rsid w:val="008D2E4D"/>
    <w:rsid w:val="008D7F7A"/>
    <w:rsid w:val="008E141B"/>
    <w:rsid w:val="008E3868"/>
    <w:rsid w:val="008E55AF"/>
    <w:rsid w:val="008E650E"/>
    <w:rsid w:val="008E693E"/>
    <w:rsid w:val="008F02FA"/>
    <w:rsid w:val="008F0D4E"/>
    <w:rsid w:val="008F4A1C"/>
    <w:rsid w:val="008F6007"/>
    <w:rsid w:val="008F7614"/>
    <w:rsid w:val="008F7E26"/>
    <w:rsid w:val="00901EF9"/>
    <w:rsid w:val="00907892"/>
    <w:rsid w:val="009105D9"/>
    <w:rsid w:val="00910713"/>
    <w:rsid w:val="00910A67"/>
    <w:rsid w:val="00910B2C"/>
    <w:rsid w:val="0091184D"/>
    <w:rsid w:val="00915692"/>
    <w:rsid w:val="00915923"/>
    <w:rsid w:val="00917155"/>
    <w:rsid w:val="00917745"/>
    <w:rsid w:val="00920046"/>
    <w:rsid w:val="00922E31"/>
    <w:rsid w:val="00923670"/>
    <w:rsid w:val="00923A2F"/>
    <w:rsid w:val="00923D27"/>
    <w:rsid w:val="00924873"/>
    <w:rsid w:val="00925B30"/>
    <w:rsid w:val="00927C7A"/>
    <w:rsid w:val="00930C6B"/>
    <w:rsid w:val="00932927"/>
    <w:rsid w:val="00934F8E"/>
    <w:rsid w:val="00935287"/>
    <w:rsid w:val="00940BDC"/>
    <w:rsid w:val="0094531D"/>
    <w:rsid w:val="0094706F"/>
    <w:rsid w:val="00947422"/>
    <w:rsid w:val="00951F57"/>
    <w:rsid w:val="00954A58"/>
    <w:rsid w:val="009562C7"/>
    <w:rsid w:val="00962689"/>
    <w:rsid w:val="00964E96"/>
    <w:rsid w:val="00965DB9"/>
    <w:rsid w:val="0097092F"/>
    <w:rsid w:val="00970D79"/>
    <w:rsid w:val="00974D40"/>
    <w:rsid w:val="00976686"/>
    <w:rsid w:val="00976D3C"/>
    <w:rsid w:val="00977109"/>
    <w:rsid w:val="009776DE"/>
    <w:rsid w:val="00982FAD"/>
    <w:rsid w:val="0098565A"/>
    <w:rsid w:val="009927B9"/>
    <w:rsid w:val="00993F39"/>
    <w:rsid w:val="009A035A"/>
    <w:rsid w:val="009A188B"/>
    <w:rsid w:val="009A4126"/>
    <w:rsid w:val="009A4AA7"/>
    <w:rsid w:val="009A4FDF"/>
    <w:rsid w:val="009A606A"/>
    <w:rsid w:val="009A6099"/>
    <w:rsid w:val="009B1DFD"/>
    <w:rsid w:val="009B2945"/>
    <w:rsid w:val="009B6AE0"/>
    <w:rsid w:val="009C08CB"/>
    <w:rsid w:val="009C1BBA"/>
    <w:rsid w:val="009C40DD"/>
    <w:rsid w:val="009C430B"/>
    <w:rsid w:val="009C4F83"/>
    <w:rsid w:val="009C75CB"/>
    <w:rsid w:val="009C7D3F"/>
    <w:rsid w:val="009D0E0E"/>
    <w:rsid w:val="009D14DB"/>
    <w:rsid w:val="009D257D"/>
    <w:rsid w:val="009D346C"/>
    <w:rsid w:val="009D3D1A"/>
    <w:rsid w:val="009D4CF6"/>
    <w:rsid w:val="009D69D2"/>
    <w:rsid w:val="009D7BDA"/>
    <w:rsid w:val="009E01AE"/>
    <w:rsid w:val="009E0227"/>
    <w:rsid w:val="009E3990"/>
    <w:rsid w:val="009E6A40"/>
    <w:rsid w:val="009F01DA"/>
    <w:rsid w:val="009F0778"/>
    <w:rsid w:val="009F19CD"/>
    <w:rsid w:val="009F20BB"/>
    <w:rsid w:val="009F2670"/>
    <w:rsid w:val="009F4E48"/>
    <w:rsid w:val="00A026E6"/>
    <w:rsid w:val="00A029BE"/>
    <w:rsid w:val="00A031C2"/>
    <w:rsid w:val="00A07A58"/>
    <w:rsid w:val="00A141ED"/>
    <w:rsid w:val="00A16587"/>
    <w:rsid w:val="00A22E2B"/>
    <w:rsid w:val="00A22FCA"/>
    <w:rsid w:val="00A23089"/>
    <w:rsid w:val="00A23AD8"/>
    <w:rsid w:val="00A26396"/>
    <w:rsid w:val="00A31C95"/>
    <w:rsid w:val="00A341AD"/>
    <w:rsid w:val="00A352F8"/>
    <w:rsid w:val="00A36BCC"/>
    <w:rsid w:val="00A41B4C"/>
    <w:rsid w:val="00A422EE"/>
    <w:rsid w:val="00A42AF9"/>
    <w:rsid w:val="00A42BC9"/>
    <w:rsid w:val="00A42EC5"/>
    <w:rsid w:val="00A43789"/>
    <w:rsid w:val="00A43E81"/>
    <w:rsid w:val="00A46FAA"/>
    <w:rsid w:val="00A55CBA"/>
    <w:rsid w:val="00A561B6"/>
    <w:rsid w:val="00A62584"/>
    <w:rsid w:val="00A633AD"/>
    <w:rsid w:val="00A64DF9"/>
    <w:rsid w:val="00A666C4"/>
    <w:rsid w:val="00A67631"/>
    <w:rsid w:val="00A701A5"/>
    <w:rsid w:val="00A708A6"/>
    <w:rsid w:val="00A71CB8"/>
    <w:rsid w:val="00A72562"/>
    <w:rsid w:val="00A73931"/>
    <w:rsid w:val="00A73B2D"/>
    <w:rsid w:val="00A752B3"/>
    <w:rsid w:val="00A757D7"/>
    <w:rsid w:val="00A76F38"/>
    <w:rsid w:val="00A7707C"/>
    <w:rsid w:val="00A8002F"/>
    <w:rsid w:val="00A802BD"/>
    <w:rsid w:val="00A80946"/>
    <w:rsid w:val="00A8215B"/>
    <w:rsid w:val="00A83BC7"/>
    <w:rsid w:val="00A85A92"/>
    <w:rsid w:val="00A93040"/>
    <w:rsid w:val="00A93128"/>
    <w:rsid w:val="00A9653E"/>
    <w:rsid w:val="00A96DE4"/>
    <w:rsid w:val="00AA466F"/>
    <w:rsid w:val="00AA61B1"/>
    <w:rsid w:val="00AA6716"/>
    <w:rsid w:val="00AA785A"/>
    <w:rsid w:val="00AB23CB"/>
    <w:rsid w:val="00AB29C9"/>
    <w:rsid w:val="00AB3AB0"/>
    <w:rsid w:val="00AB6640"/>
    <w:rsid w:val="00AC1007"/>
    <w:rsid w:val="00AC12E8"/>
    <w:rsid w:val="00AC3608"/>
    <w:rsid w:val="00AC40FA"/>
    <w:rsid w:val="00AC4370"/>
    <w:rsid w:val="00AC5CBE"/>
    <w:rsid w:val="00AD0029"/>
    <w:rsid w:val="00AD0CFC"/>
    <w:rsid w:val="00AD0FF8"/>
    <w:rsid w:val="00AD1704"/>
    <w:rsid w:val="00AD1AAD"/>
    <w:rsid w:val="00AD270F"/>
    <w:rsid w:val="00AD2E3C"/>
    <w:rsid w:val="00AD577D"/>
    <w:rsid w:val="00AD6871"/>
    <w:rsid w:val="00AE232D"/>
    <w:rsid w:val="00AE2BB1"/>
    <w:rsid w:val="00AE4108"/>
    <w:rsid w:val="00AE5A7B"/>
    <w:rsid w:val="00AF1913"/>
    <w:rsid w:val="00AF6305"/>
    <w:rsid w:val="00AF631F"/>
    <w:rsid w:val="00AF6D9B"/>
    <w:rsid w:val="00AF7136"/>
    <w:rsid w:val="00AF7274"/>
    <w:rsid w:val="00B0020F"/>
    <w:rsid w:val="00B017AC"/>
    <w:rsid w:val="00B0256F"/>
    <w:rsid w:val="00B027EC"/>
    <w:rsid w:val="00B05690"/>
    <w:rsid w:val="00B067C9"/>
    <w:rsid w:val="00B06B86"/>
    <w:rsid w:val="00B100A8"/>
    <w:rsid w:val="00B10CA3"/>
    <w:rsid w:val="00B1569F"/>
    <w:rsid w:val="00B20D94"/>
    <w:rsid w:val="00B214BD"/>
    <w:rsid w:val="00B21AAB"/>
    <w:rsid w:val="00B252FA"/>
    <w:rsid w:val="00B26753"/>
    <w:rsid w:val="00B26955"/>
    <w:rsid w:val="00B26B60"/>
    <w:rsid w:val="00B26B94"/>
    <w:rsid w:val="00B27449"/>
    <w:rsid w:val="00B329F6"/>
    <w:rsid w:val="00B336CA"/>
    <w:rsid w:val="00B33B9E"/>
    <w:rsid w:val="00B34674"/>
    <w:rsid w:val="00B36BBC"/>
    <w:rsid w:val="00B45220"/>
    <w:rsid w:val="00B45411"/>
    <w:rsid w:val="00B46DA4"/>
    <w:rsid w:val="00B500F8"/>
    <w:rsid w:val="00B50EBF"/>
    <w:rsid w:val="00B52DC0"/>
    <w:rsid w:val="00B54517"/>
    <w:rsid w:val="00B56C4C"/>
    <w:rsid w:val="00B621E5"/>
    <w:rsid w:val="00B63E33"/>
    <w:rsid w:val="00B70004"/>
    <w:rsid w:val="00B71EE8"/>
    <w:rsid w:val="00B730AB"/>
    <w:rsid w:val="00B73341"/>
    <w:rsid w:val="00B765D7"/>
    <w:rsid w:val="00B77896"/>
    <w:rsid w:val="00B81BB6"/>
    <w:rsid w:val="00B840D5"/>
    <w:rsid w:val="00B858BB"/>
    <w:rsid w:val="00B85E17"/>
    <w:rsid w:val="00B93996"/>
    <w:rsid w:val="00B958F2"/>
    <w:rsid w:val="00B967F0"/>
    <w:rsid w:val="00B96897"/>
    <w:rsid w:val="00B97816"/>
    <w:rsid w:val="00B97833"/>
    <w:rsid w:val="00BA24C2"/>
    <w:rsid w:val="00BA3733"/>
    <w:rsid w:val="00BA598F"/>
    <w:rsid w:val="00BA689E"/>
    <w:rsid w:val="00BB3820"/>
    <w:rsid w:val="00BB3F9F"/>
    <w:rsid w:val="00BB4137"/>
    <w:rsid w:val="00BB574A"/>
    <w:rsid w:val="00BC03DD"/>
    <w:rsid w:val="00BC6AE9"/>
    <w:rsid w:val="00BD30C8"/>
    <w:rsid w:val="00BD38B2"/>
    <w:rsid w:val="00BE1596"/>
    <w:rsid w:val="00BE2BFC"/>
    <w:rsid w:val="00BE327A"/>
    <w:rsid w:val="00BE372C"/>
    <w:rsid w:val="00BE3894"/>
    <w:rsid w:val="00BE4E2B"/>
    <w:rsid w:val="00BE57F4"/>
    <w:rsid w:val="00BE7C96"/>
    <w:rsid w:val="00BE7E3A"/>
    <w:rsid w:val="00BF1A66"/>
    <w:rsid w:val="00BF2120"/>
    <w:rsid w:val="00BF596C"/>
    <w:rsid w:val="00C012A1"/>
    <w:rsid w:val="00C02FFD"/>
    <w:rsid w:val="00C05838"/>
    <w:rsid w:val="00C0698C"/>
    <w:rsid w:val="00C15D8D"/>
    <w:rsid w:val="00C17AE0"/>
    <w:rsid w:val="00C20ECD"/>
    <w:rsid w:val="00C21059"/>
    <w:rsid w:val="00C21FDF"/>
    <w:rsid w:val="00C23CB3"/>
    <w:rsid w:val="00C2548A"/>
    <w:rsid w:val="00C25E02"/>
    <w:rsid w:val="00C263FF"/>
    <w:rsid w:val="00C2780F"/>
    <w:rsid w:val="00C279F4"/>
    <w:rsid w:val="00C330E2"/>
    <w:rsid w:val="00C34664"/>
    <w:rsid w:val="00C36985"/>
    <w:rsid w:val="00C4103B"/>
    <w:rsid w:val="00C418E2"/>
    <w:rsid w:val="00C42F98"/>
    <w:rsid w:val="00C44FD0"/>
    <w:rsid w:val="00C451CC"/>
    <w:rsid w:val="00C45486"/>
    <w:rsid w:val="00C4650D"/>
    <w:rsid w:val="00C46ECE"/>
    <w:rsid w:val="00C47472"/>
    <w:rsid w:val="00C47D8E"/>
    <w:rsid w:val="00C50106"/>
    <w:rsid w:val="00C50519"/>
    <w:rsid w:val="00C50649"/>
    <w:rsid w:val="00C508DC"/>
    <w:rsid w:val="00C50A6B"/>
    <w:rsid w:val="00C578B2"/>
    <w:rsid w:val="00C62247"/>
    <w:rsid w:val="00C625CC"/>
    <w:rsid w:val="00C630BC"/>
    <w:rsid w:val="00C63685"/>
    <w:rsid w:val="00C66AA3"/>
    <w:rsid w:val="00C67590"/>
    <w:rsid w:val="00C72322"/>
    <w:rsid w:val="00C73C36"/>
    <w:rsid w:val="00C765AD"/>
    <w:rsid w:val="00C77E75"/>
    <w:rsid w:val="00C77F85"/>
    <w:rsid w:val="00C82408"/>
    <w:rsid w:val="00C8371D"/>
    <w:rsid w:val="00C83F19"/>
    <w:rsid w:val="00C84D85"/>
    <w:rsid w:val="00C8519E"/>
    <w:rsid w:val="00C85E2C"/>
    <w:rsid w:val="00C90FBF"/>
    <w:rsid w:val="00C9425C"/>
    <w:rsid w:val="00C9479E"/>
    <w:rsid w:val="00C95108"/>
    <w:rsid w:val="00C9551F"/>
    <w:rsid w:val="00C95FF5"/>
    <w:rsid w:val="00CA0208"/>
    <w:rsid w:val="00CA3826"/>
    <w:rsid w:val="00CA79D5"/>
    <w:rsid w:val="00CB1E14"/>
    <w:rsid w:val="00CB28EE"/>
    <w:rsid w:val="00CB2D0C"/>
    <w:rsid w:val="00CB5381"/>
    <w:rsid w:val="00CB570F"/>
    <w:rsid w:val="00CB6C29"/>
    <w:rsid w:val="00CC11EE"/>
    <w:rsid w:val="00CC255F"/>
    <w:rsid w:val="00CC4052"/>
    <w:rsid w:val="00CC4A9E"/>
    <w:rsid w:val="00CC5B84"/>
    <w:rsid w:val="00CD0E29"/>
    <w:rsid w:val="00CD0E6E"/>
    <w:rsid w:val="00CD19A7"/>
    <w:rsid w:val="00CD3A30"/>
    <w:rsid w:val="00CD62E2"/>
    <w:rsid w:val="00CD654A"/>
    <w:rsid w:val="00CD797A"/>
    <w:rsid w:val="00CE082E"/>
    <w:rsid w:val="00CE08FF"/>
    <w:rsid w:val="00CE1479"/>
    <w:rsid w:val="00CE1D29"/>
    <w:rsid w:val="00CE1D54"/>
    <w:rsid w:val="00CE3715"/>
    <w:rsid w:val="00CE37EA"/>
    <w:rsid w:val="00CE6C4D"/>
    <w:rsid w:val="00CE7106"/>
    <w:rsid w:val="00CE790F"/>
    <w:rsid w:val="00CF0233"/>
    <w:rsid w:val="00CF4155"/>
    <w:rsid w:val="00CF6050"/>
    <w:rsid w:val="00CF71B9"/>
    <w:rsid w:val="00D00169"/>
    <w:rsid w:val="00D0177A"/>
    <w:rsid w:val="00D0698E"/>
    <w:rsid w:val="00D079D9"/>
    <w:rsid w:val="00D11D3D"/>
    <w:rsid w:val="00D13DC1"/>
    <w:rsid w:val="00D1421D"/>
    <w:rsid w:val="00D21646"/>
    <w:rsid w:val="00D21A3F"/>
    <w:rsid w:val="00D23715"/>
    <w:rsid w:val="00D257EE"/>
    <w:rsid w:val="00D25D23"/>
    <w:rsid w:val="00D268FE"/>
    <w:rsid w:val="00D272E5"/>
    <w:rsid w:val="00D35D72"/>
    <w:rsid w:val="00D4022C"/>
    <w:rsid w:val="00D403D3"/>
    <w:rsid w:val="00D40740"/>
    <w:rsid w:val="00D41EEF"/>
    <w:rsid w:val="00D441BC"/>
    <w:rsid w:val="00D468AC"/>
    <w:rsid w:val="00D46F35"/>
    <w:rsid w:val="00D506EC"/>
    <w:rsid w:val="00D516F5"/>
    <w:rsid w:val="00D51FB8"/>
    <w:rsid w:val="00D54405"/>
    <w:rsid w:val="00D54E47"/>
    <w:rsid w:val="00D553D1"/>
    <w:rsid w:val="00D608C6"/>
    <w:rsid w:val="00D619E5"/>
    <w:rsid w:val="00D6265C"/>
    <w:rsid w:val="00D63C54"/>
    <w:rsid w:val="00D6694C"/>
    <w:rsid w:val="00D66FF3"/>
    <w:rsid w:val="00D67062"/>
    <w:rsid w:val="00D71096"/>
    <w:rsid w:val="00D711F6"/>
    <w:rsid w:val="00D73F7B"/>
    <w:rsid w:val="00D755EB"/>
    <w:rsid w:val="00D77613"/>
    <w:rsid w:val="00D81631"/>
    <w:rsid w:val="00D822A0"/>
    <w:rsid w:val="00D833D8"/>
    <w:rsid w:val="00D83DD4"/>
    <w:rsid w:val="00D83E64"/>
    <w:rsid w:val="00D90484"/>
    <w:rsid w:val="00D91D5E"/>
    <w:rsid w:val="00D91E20"/>
    <w:rsid w:val="00D932C3"/>
    <w:rsid w:val="00D95023"/>
    <w:rsid w:val="00D95C92"/>
    <w:rsid w:val="00DA1CBD"/>
    <w:rsid w:val="00DA2A34"/>
    <w:rsid w:val="00DA31EE"/>
    <w:rsid w:val="00DA3559"/>
    <w:rsid w:val="00DA4F05"/>
    <w:rsid w:val="00DB04DB"/>
    <w:rsid w:val="00DB0D2F"/>
    <w:rsid w:val="00DB0DFE"/>
    <w:rsid w:val="00DB2BD4"/>
    <w:rsid w:val="00DB3187"/>
    <w:rsid w:val="00DB4015"/>
    <w:rsid w:val="00DC1D6B"/>
    <w:rsid w:val="00DC48D5"/>
    <w:rsid w:val="00DC5CB4"/>
    <w:rsid w:val="00DD13B3"/>
    <w:rsid w:val="00DD569E"/>
    <w:rsid w:val="00DD613B"/>
    <w:rsid w:val="00DD67F9"/>
    <w:rsid w:val="00DD6954"/>
    <w:rsid w:val="00DE5211"/>
    <w:rsid w:val="00DE56FF"/>
    <w:rsid w:val="00DE5C7A"/>
    <w:rsid w:val="00DE76AC"/>
    <w:rsid w:val="00DE7A07"/>
    <w:rsid w:val="00DF2995"/>
    <w:rsid w:val="00DF5C76"/>
    <w:rsid w:val="00DF661C"/>
    <w:rsid w:val="00DF6D51"/>
    <w:rsid w:val="00E005BD"/>
    <w:rsid w:val="00E0141B"/>
    <w:rsid w:val="00E019C3"/>
    <w:rsid w:val="00E0395A"/>
    <w:rsid w:val="00E0457D"/>
    <w:rsid w:val="00E109CF"/>
    <w:rsid w:val="00E10E07"/>
    <w:rsid w:val="00E11599"/>
    <w:rsid w:val="00E11C17"/>
    <w:rsid w:val="00E1214F"/>
    <w:rsid w:val="00E13C9F"/>
    <w:rsid w:val="00E17A1D"/>
    <w:rsid w:val="00E231D6"/>
    <w:rsid w:val="00E237C6"/>
    <w:rsid w:val="00E256DF"/>
    <w:rsid w:val="00E264E1"/>
    <w:rsid w:val="00E26A84"/>
    <w:rsid w:val="00E319A4"/>
    <w:rsid w:val="00E31F35"/>
    <w:rsid w:val="00E31F75"/>
    <w:rsid w:val="00E33696"/>
    <w:rsid w:val="00E33BD4"/>
    <w:rsid w:val="00E34EA5"/>
    <w:rsid w:val="00E35437"/>
    <w:rsid w:val="00E36431"/>
    <w:rsid w:val="00E365ED"/>
    <w:rsid w:val="00E36689"/>
    <w:rsid w:val="00E37558"/>
    <w:rsid w:val="00E40E8A"/>
    <w:rsid w:val="00E4144F"/>
    <w:rsid w:val="00E4257E"/>
    <w:rsid w:val="00E454C3"/>
    <w:rsid w:val="00E45D90"/>
    <w:rsid w:val="00E461C9"/>
    <w:rsid w:val="00E52E6B"/>
    <w:rsid w:val="00E542DD"/>
    <w:rsid w:val="00E555AB"/>
    <w:rsid w:val="00E55BF4"/>
    <w:rsid w:val="00E56B93"/>
    <w:rsid w:val="00E62A28"/>
    <w:rsid w:val="00E648AA"/>
    <w:rsid w:val="00E65A11"/>
    <w:rsid w:val="00E66013"/>
    <w:rsid w:val="00E66A86"/>
    <w:rsid w:val="00E729ED"/>
    <w:rsid w:val="00E72D1F"/>
    <w:rsid w:val="00E73008"/>
    <w:rsid w:val="00E74682"/>
    <w:rsid w:val="00E818AA"/>
    <w:rsid w:val="00E83485"/>
    <w:rsid w:val="00E84258"/>
    <w:rsid w:val="00E844C7"/>
    <w:rsid w:val="00E87752"/>
    <w:rsid w:val="00E87E8A"/>
    <w:rsid w:val="00E91F09"/>
    <w:rsid w:val="00E9209D"/>
    <w:rsid w:val="00E9412C"/>
    <w:rsid w:val="00EA4D74"/>
    <w:rsid w:val="00EA5C72"/>
    <w:rsid w:val="00EA7449"/>
    <w:rsid w:val="00EB4AC7"/>
    <w:rsid w:val="00EB7742"/>
    <w:rsid w:val="00EC02B6"/>
    <w:rsid w:val="00EC03A0"/>
    <w:rsid w:val="00EC0471"/>
    <w:rsid w:val="00EC1EF5"/>
    <w:rsid w:val="00EC5A4F"/>
    <w:rsid w:val="00ED0556"/>
    <w:rsid w:val="00ED0D33"/>
    <w:rsid w:val="00ED23F1"/>
    <w:rsid w:val="00ED6783"/>
    <w:rsid w:val="00ED76DD"/>
    <w:rsid w:val="00EE019F"/>
    <w:rsid w:val="00EE12F9"/>
    <w:rsid w:val="00EE14EC"/>
    <w:rsid w:val="00EE3BD9"/>
    <w:rsid w:val="00EE67DB"/>
    <w:rsid w:val="00EE752E"/>
    <w:rsid w:val="00EF0037"/>
    <w:rsid w:val="00EF0125"/>
    <w:rsid w:val="00EF0619"/>
    <w:rsid w:val="00EF07C2"/>
    <w:rsid w:val="00EF11BA"/>
    <w:rsid w:val="00EF2C0B"/>
    <w:rsid w:val="00EF3313"/>
    <w:rsid w:val="00F03BB2"/>
    <w:rsid w:val="00F0422C"/>
    <w:rsid w:val="00F04C2D"/>
    <w:rsid w:val="00F05454"/>
    <w:rsid w:val="00F076FA"/>
    <w:rsid w:val="00F117DE"/>
    <w:rsid w:val="00F11A08"/>
    <w:rsid w:val="00F11B08"/>
    <w:rsid w:val="00F13E71"/>
    <w:rsid w:val="00F1404A"/>
    <w:rsid w:val="00F178BB"/>
    <w:rsid w:val="00F2216E"/>
    <w:rsid w:val="00F22E20"/>
    <w:rsid w:val="00F240FE"/>
    <w:rsid w:val="00F26363"/>
    <w:rsid w:val="00F267D9"/>
    <w:rsid w:val="00F27F7F"/>
    <w:rsid w:val="00F302D2"/>
    <w:rsid w:val="00F30675"/>
    <w:rsid w:val="00F3781F"/>
    <w:rsid w:val="00F40B24"/>
    <w:rsid w:val="00F41563"/>
    <w:rsid w:val="00F41DEC"/>
    <w:rsid w:val="00F4257E"/>
    <w:rsid w:val="00F4490A"/>
    <w:rsid w:val="00F465C9"/>
    <w:rsid w:val="00F47A58"/>
    <w:rsid w:val="00F503AE"/>
    <w:rsid w:val="00F51698"/>
    <w:rsid w:val="00F5183A"/>
    <w:rsid w:val="00F531CA"/>
    <w:rsid w:val="00F547E3"/>
    <w:rsid w:val="00F54D06"/>
    <w:rsid w:val="00F565C2"/>
    <w:rsid w:val="00F56FC1"/>
    <w:rsid w:val="00F63921"/>
    <w:rsid w:val="00F67498"/>
    <w:rsid w:val="00F70BF8"/>
    <w:rsid w:val="00F70D05"/>
    <w:rsid w:val="00F710E0"/>
    <w:rsid w:val="00F72D41"/>
    <w:rsid w:val="00F73042"/>
    <w:rsid w:val="00F731EC"/>
    <w:rsid w:val="00F73C8D"/>
    <w:rsid w:val="00F73FA8"/>
    <w:rsid w:val="00F75BE2"/>
    <w:rsid w:val="00F83739"/>
    <w:rsid w:val="00F83C07"/>
    <w:rsid w:val="00F851B4"/>
    <w:rsid w:val="00F86240"/>
    <w:rsid w:val="00F86A0D"/>
    <w:rsid w:val="00F87BF7"/>
    <w:rsid w:val="00F905B2"/>
    <w:rsid w:val="00F912FC"/>
    <w:rsid w:val="00F917CB"/>
    <w:rsid w:val="00F918AF"/>
    <w:rsid w:val="00F91BAA"/>
    <w:rsid w:val="00F9775A"/>
    <w:rsid w:val="00F97F7C"/>
    <w:rsid w:val="00FA0390"/>
    <w:rsid w:val="00FA03F4"/>
    <w:rsid w:val="00FA097F"/>
    <w:rsid w:val="00FA1723"/>
    <w:rsid w:val="00FA296B"/>
    <w:rsid w:val="00FA58F1"/>
    <w:rsid w:val="00FA6009"/>
    <w:rsid w:val="00FA611A"/>
    <w:rsid w:val="00FA6312"/>
    <w:rsid w:val="00FA7C34"/>
    <w:rsid w:val="00FC57A7"/>
    <w:rsid w:val="00FC7CC2"/>
    <w:rsid w:val="00FD0299"/>
    <w:rsid w:val="00FD33A1"/>
    <w:rsid w:val="00FD3E38"/>
    <w:rsid w:val="00FD4FAA"/>
    <w:rsid w:val="00FD66FB"/>
    <w:rsid w:val="00FD6C76"/>
    <w:rsid w:val="00FE0C57"/>
    <w:rsid w:val="00FE2C97"/>
    <w:rsid w:val="00FE72DE"/>
    <w:rsid w:val="00FF6572"/>
    <w:rsid w:val="00FF690E"/>
    <w:rsid w:val="00FF76AB"/>
    <w:rsid w:val="00FF7D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DDC0"/>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2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859467202">
      <w:bodyDiv w:val="1"/>
      <w:marLeft w:val="0"/>
      <w:marRight w:val="0"/>
      <w:marTop w:val="0"/>
      <w:marBottom w:val="0"/>
      <w:divBdr>
        <w:top w:val="none" w:sz="0" w:space="0" w:color="auto"/>
        <w:left w:val="none" w:sz="0" w:space="0" w:color="auto"/>
        <w:bottom w:val="none" w:sz="0" w:space="0" w:color="auto"/>
        <w:right w:val="none" w:sz="0" w:space="0" w:color="auto"/>
      </w:divBdr>
    </w:div>
    <w:div w:id="18820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4EDE-3844-45BB-BC70-993F7F50D2C0}">
  <ds:schemaRefs>
    <ds:schemaRef ds:uri="http://schemas.microsoft.com/office/2006/metadata/properties"/>
    <ds:schemaRef ds:uri="http://schemas.microsoft.com/office/infopath/2007/PartnerControls"/>
    <ds:schemaRef ds:uri="2e5d8bf4-e976-4310-89b5-20300ef8baa9"/>
  </ds:schemaRefs>
</ds:datastoreItem>
</file>

<file path=customXml/itemProps2.xml><?xml version="1.0" encoding="utf-8"?>
<ds:datastoreItem xmlns:ds="http://schemas.openxmlformats.org/officeDocument/2006/customXml" ds:itemID="{7529AAB3-F5DB-4852-822D-4716A9C1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E5A53-8054-44B0-9F89-6A3C68C56C02}">
  <ds:schemaRefs>
    <ds:schemaRef ds:uri="http://schemas.microsoft.com/sharepoint/v3/contenttype/forms"/>
  </ds:schemaRefs>
</ds:datastoreItem>
</file>

<file path=customXml/itemProps4.xml><?xml version="1.0" encoding="utf-8"?>
<ds:datastoreItem xmlns:ds="http://schemas.openxmlformats.org/officeDocument/2006/customXml" ds:itemID="{3E3D12E4-EB5F-4163-A5DE-6DE5EE0D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4056</TotalTime>
  <Pages>13</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51</cp:revision>
  <cp:lastPrinted>2024-02-19T07:08:00Z</cp:lastPrinted>
  <dcterms:created xsi:type="dcterms:W3CDTF">2024-02-16T10:17:00Z</dcterms:created>
  <dcterms:modified xsi:type="dcterms:W3CDTF">2024-02-21T09:03:00Z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