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4545" w14:textId="4ED46E9A" w:rsidR="009D65FD" w:rsidRPr="008F5862" w:rsidRDefault="009D65FD" w:rsidP="009D65FD">
      <w:pPr>
        <w:spacing w:after="58" w:line="259" w:lineRule="auto"/>
        <w:rPr>
          <w:rFonts w:ascii="Times New Roman" w:eastAsia="Times New Roman" w:hAnsi="Times New Roman" w:cs="Times New Roman"/>
          <w:color w:val="000000"/>
          <w:sz w:val="24"/>
          <w:szCs w:val="24"/>
          <w:lang w:val="en-GB"/>
        </w:rPr>
      </w:pPr>
      <w:bookmarkStart w:id="0" w:name="_GoBack"/>
      <w:bookmarkEnd w:id="0"/>
      <w:r w:rsidRPr="008F5862">
        <w:rPr>
          <w:rFonts w:ascii="Times New Roman" w:eastAsia="Times New Roman" w:hAnsi="Times New Roman" w:cs="Times New Roman"/>
          <w:b/>
          <w:noProof/>
          <w:color w:val="000000"/>
          <w:sz w:val="24"/>
          <w:szCs w:val="24"/>
          <w:lang w:eastAsia="en-ZA"/>
        </w:rPr>
        <w:drawing>
          <wp:anchor distT="0" distB="0" distL="114300" distR="114300" simplePos="0" relativeHeight="251659264" behindDoc="1" locked="0" layoutInCell="1" allowOverlap="1" wp14:anchorId="4E498602" wp14:editId="417042CC">
            <wp:simplePos x="0" y="0"/>
            <wp:positionH relativeFrom="margin">
              <wp:align>center</wp:align>
            </wp:positionH>
            <wp:positionV relativeFrom="paragraph">
              <wp:posOffset>8890</wp:posOffset>
            </wp:positionV>
            <wp:extent cx="1219200" cy="1228725"/>
            <wp:effectExtent l="0" t="0" r="0" b="9525"/>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E711D" w14:textId="46A3DD6A" w:rsidR="009D65FD" w:rsidRPr="008F5862" w:rsidRDefault="009D65FD" w:rsidP="009D65FD">
      <w:pPr>
        <w:spacing w:after="222" w:line="269" w:lineRule="auto"/>
        <w:ind w:right="158"/>
        <w:rPr>
          <w:rFonts w:ascii="Times New Roman" w:eastAsia="Times New Roman" w:hAnsi="Times New Roman" w:cs="Times New Roman"/>
          <w:color w:val="000000"/>
          <w:sz w:val="24"/>
          <w:szCs w:val="24"/>
          <w:lang w:val="en-GB"/>
        </w:rPr>
      </w:pPr>
    </w:p>
    <w:p w14:paraId="5856218D" w14:textId="177212B0" w:rsidR="009D65FD" w:rsidRPr="008F5862" w:rsidRDefault="009D65FD" w:rsidP="009D65FD">
      <w:pPr>
        <w:spacing w:after="222" w:line="269" w:lineRule="auto"/>
        <w:ind w:right="158"/>
        <w:rPr>
          <w:rFonts w:ascii="Times New Roman" w:eastAsia="Times New Roman" w:hAnsi="Times New Roman" w:cs="Times New Roman"/>
          <w:color w:val="000000"/>
          <w:sz w:val="24"/>
          <w:szCs w:val="24"/>
          <w:lang w:val="en-GB"/>
        </w:rPr>
      </w:pPr>
    </w:p>
    <w:p w14:paraId="7B520B04" w14:textId="77777777" w:rsidR="009D65FD" w:rsidRPr="008F5862" w:rsidRDefault="009D65FD" w:rsidP="009D65FD">
      <w:pPr>
        <w:spacing w:after="222" w:line="269" w:lineRule="auto"/>
        <w:ind w:right="158"/>
        <w:jc w:val="both"/>
        <w:rPr>
          <w:rFonts w:ascii="Times New Roman" w:eastAsia="Times New Roman" w:hAnsi="Times New Roman" w:cs="Times New Roman"/>
          <w:color w:val="000000"/>
          <w:sz w:val="24"/>
          <w:szCs w:val="24"/>
          <w:lang w:val="en-GB"/>
        </w:rPr>
      </w:pPr>
    </w:p>
    <w:p w14:paraId="14575106" w14:textId="77777777" w:rsidR="009D65FD" w:rsidRPr="008F5862" w:rsidRDefault="009D65FD" w:rsidP="009D65FD">
      <w:pPr>
        <w:spacing w:after="222" w:line="269" w:lineRule="auto"/>
        <w:ind w:right="158"/>
        <w:jc w:val="both"/>
        <w:rPr>
          <w:rFonts w:ascii="Times New Roman" w:eastAsia="Times New Roman" w:hAnsi="Times New Roman" w:cs="Times New Roman"/>
          <w:color w:val="000000"/>
          <w:sz w:val="24"/>
          <w:szCs w:val="24"/>
          <w:lang w:val="en-GB"/>
        </w:rPr>
      </w:pPr>
    </w:p>
    <w:p w14:paraId="157D8EC5" w14:textId="77777777" w:rsidR="009D65FD" w:rsidRPr="008F5862" w:rsidRDefault="009D65FD" w:rsidP="009D65FD">
      <w:pPr>
        <w:spacing w:after="222" w:line="269" w:lineRule="auto"/>
        <w:ind w:left="-90" w:right="158"/>
        <w:jc w:val="center"/>
        <w:rPr>
          <w:rFonts w:ascii="Times New Roman" w:eastAsia="Times New Roman" w:hAnsi="Times New Roman" w:cs="Times New Roman"/>
          <w:color w:val="000000"/>
          <w:sz w:val="20"/>
          <w:szCs w:val="20"/>
          <w:lang w:val="en-GB"/>
        </w:rPr>
      </w:pPr>
      <w:r w:rsidRPr="008F5862">
        <w:rPr>
          <w:rFonts w:ascii="Times New Roman" w:eastAsia="Times New Roman" w:hAnsi="Times New Roman" w:cs="Times New Roman"/>
          <w:color w:val="000000"/>
          <w:sz w:val="20"/>
          <w:szCs w:val="20"/>
          <w:lang w:val="en-GB"/>
        </w:rPr>
        <w:t>Republic of South Africa</w:t>
      </w:r>
    </w:p>
    <w:p w14:paraId="0CDAC7DA" w14:textId="77777777" w:rsidR="009D65FD" w:rsidRPr="008F5862" w:rsidRDefault="009D65FD" w:rsidP="00897435">
      <w:pPr>
        <w:spacing w:after="0" w:line="265" w:lineRule="auto"/>
        <w:jc w:val="center"/>
        <w:rPr>
          <w:rFonts w:ascii="Times New Roman" w:eastAsia="Times New Roman" w:hAnsi="Times New Roman" w:cs="Times New Roman"/>
          <w:color w:val="000000"/>
          <w:sz w:val="24"/>
          <w:szCs w:val="24"/>
          <w:lang w:val="en-GB"/>
        </w:rPr>
      </w:pPr>
      <w:r w:rsidRPr="008F5862">
        <w:rPr>
          <w:rFonts w:ascii="Times New Roman" w:eastAsia="Times New Roman" w:hAnsi="Times New Roman" w:cs="Times New Roman"/>
          <w:color w:val="000000"/>
          <w:sz w:val="24"/>
          <w:szCs w:val="24"/>
          <w:lang w:val="en-GB"/>
        </w:rPr>
        <w:t>IN THE HIGH COURT OF SOUTH AFRICA</w:t>
      </w:r>
    </w:p>
    <w:p w14:paraId="4031B715" w14:textId="77777777" w:rsidR="009D65FD" w:rsidRPr="008F5862" w:rsidRDefault="009D65FD" w:rsidP="00897435">
      <w:pPr>
        <w:spacing w:after="477" w:line="265" w:lineRule="auto"/>
        <w:jc w:val="center"/>
        <w:rPr>
          <w:rFonts w:ascii="Times New Roman" w:eastAsia="Times New Roman" w:hAnsi="Times New Roman" w:cs="Times New Roman"/>
          <w:color w:val="000000"/>
          <w:sz w:val="24"/>
          <w:szCs w:val="24"/>
          <w:lang w:val="en-GB"/>
        </w:rPr>
      </w:pPr>
      <w:r w:rsidRPr="008F5862">
        <w:rPr>
          <w:rFonts w:ascii="Times New Roman" w:eastAsia="Times New Roman" w:hAnsi="Times New Roman" w:cs="Times New Roman"/>
          <w:color w:val="000000"/>
          <w:sz w:val="24"/>
          <w:szCs w:val="24"/>
          <w:lang w:val="en-GB"/>
        </w:rPr>
        <w:t>(WESTERN CAPE DIVISION, CAPE TOWN)</w:t>
      </w:r>
    </w:p>
    <w:p w14:paraId="7F11BD50" w14:textId="76F77AA0" w:rsidR="009D65FD" w:rsidRPr="008F5862" w:rsidRDefault="00CA38D5" w:rsidP="00CA38D5">
      <w:pPr>
        <w:spacing w:after="0" w:line="240" w:lineRule="auto"/>
        <w:jc w:val="center"/>
        <w:rPr>
          <w:rFonts w:ascii="Times New Roman" w:hAnsi="Times New Roman" w:cs="Times New Roman"/>
          <w:lang w:val="en-GB"/>
        </w:rPr>
      </w:pPr>
      <w:r w:rsidRPr="008F5862">
        <w:rPr>
          <w:rFonts w:ascii="Times New Roman" w:hAnsi="Times New Roman" w:cs="Times New Roman"/>
          <w:lang w:val="en-GB"/>
        </w:rPr>
        <w:t xml:space="preserve">Before: </w:t>
      </w:r>
      <w:r w:rsidR="002335C7" w:rsidRPr="008F5862">
        <w:rPr>
          <w:rFonts w:ascii="Times New Roman" w:hAnsi="Times New Roman" w:cs="Times New Roman"/>
          <w:lang w:val="en-GB"/>
        </w:rPr>
        <w:t xml:space="preserve"> </w:t>
      </w:r>
      <w:r w:rsidRPr="008F5862">
        <w:rPr>
          <w:rFonts w:ascii="Times New Roman" w:hAnsi="Times New Roman" w:cs="Times New Roman"/>
          <w:lang w:val="en-GB"/>
        </w:rPr>
        <w:t xml:space="preserve">Acting Justice </w:t>
      </w:r>
      <w:r w:rsidR="00C876F7">
        <w:rPr>
          <w:rFonts w:ascii="Times New Roman" w:hAnsi="Times New Roman" w:cs="Times New Roman"/>
          <w:lang w:val="en-GB"/>
        </w:rPr>
        <w:t xml:space="preserve">HJ </w:t>
      </w:r>
      <w:r w:rsidRPr="008F5862">
        <w:rPr>
          <w:rFonts w:ascii="Times New Roman" w:hAnsi="Times New Roman" w:cs="Times New Roman"/>
          <w:lang w:val="en-GB"/>
        </w:rPr>
        <w:t>De Waal</w:t>
      </w:r>
    </w:p>
    <w:p w14:paraId="69326EC0" w14:textId="757118DD" w:rsidR="00CA38D5" w:rsidRPr="008F5862" w:rsidRDefault="00CA38D5" w:rsidP="00CA38D5">
      <w:pPr>
        <w:spacing w:after="0" w:line="240" w:lineRule="auto"/>
        <w:jc w:val="center"/>
        <w:rPr>
          <w:rFonts w:ascii="Times New Roman" w:hAnsi="Times New Roman" w:cs="Times New Roman"/>
          <w:lang w:val="en-GB"/>
        </w:rPr>
      </w:pPr>
      <w:r w:rsidRPr="008F5862">
        <w:rPr>
          <w:rFonts w:ascii="Times New Roman" w:hAnsi="Times New Roman" w:cs="Times New Roman"/>
          <w:lang w:val="en-GB"/>
        </w:rPr>
        <w:t xml:space="preserve">Date of hearing:  </w:t>
      </w:r>
      <w:r w:rsidR="002335C7" w:rsidRPr="008F5862">
        <w:rPr>
          <w:rFonts w:ascii="Times New Roman" w:hAnsi="Times New Roman" w:cs="Times New Roman"/>
          <w:lang w:val="en-GB"/>
        </w:rPr>
        <w:t>22</w:t>
      </w:r>
      <w:r w:rsidR="00CB62E6" w:rsidRPr="008F5862">
        <w:rPr>
          <w:rFonts w:ascii="Times New Roman" w:hAnsi="Times New Roman" w:cs="Times New Roman"/>
          <w:lang w:val="en-GB"/>
        </w:rPr>
        <w:t> </w:t>
      </w:r>
      <w:r w:rsidR="00C40DCA" w:rsidRPr="008F5862">
        <w:rPr>
          <w:rFonts w:ascii="Times New Roman" w:hAnsi="Times New Roman" w:cs="Times New Roman"/>
          <w:lang w:val="en-GB"/>
        </w:rPr>
        <w:t>November </w:t>
      </w:r>
      <w:r w:rsidRPr="008F5862">
        <w:rPr>
          <w:rFonts w:ascii="Times New Roman" w:hAnsi="Times New Roman" w:cs="Times New Roman"/>
          <w:lang w:val="en-GB"/>
        </w:rPr>
        <w:t>2023</w:t>
      </w:r>
    </w:p>
    <w:p w14:paraId="16BFF9B5" w14:textId="2D61A686" w:rsidR="00CA38D5" w:rsidRPr="008F5862" w:rsidRDefault="00CA38D5" w:rsidP="00CA38D5">
      <w:pPr>
        <w:spacing w:after="0" w:line="240" w:lineRule="auto"/>
        <w:jc w:val="center"/>
        <w:rPr>
          <w:rFonts w:ascii="Times New Roman" w:hAnsi="Times New Roman" w:cs="Times New Roman"/>
          <w:sz w:val="24"/>
          <w:szCs w:val="24"/>
          <w:lang w:val="en-GB"/>
        </w:rPr>
      </w:pPr>
      <w:r w:rsidRPr="008F5862">
        <w:rPr>
          <w:rFonts w:ascii="Times New Roman" w:hAnsi="Times New Roman" w:cs="Times New Roman"/>
          <w:lang w:val="en-GB"/>
        </w:rPr>
        <w:t xml:space="preserve">Date of judgment: </w:t>
      </w:r>
      <w:r w:rsidR="002335C7" w:rsidRPr="008F5862">
        <w:rPr>
          <w:rFonts w:ascii="Times New Roman" w:hAnsi="Times New Roman" w:cs="Times New Roman"/>
          <w:lang w:val="en-GB"/>
        </w:rPr>
        <w:t xml:space="preserve"> </w:t>
      </w:r>
      <w:r w:rsidR="00AB1C8D" w:rsidRPr="008F5862">
        <w:rPr>
          <w:rFonts w:ascii="Times New Roman" w:hAnsi="Times New Roman" w:cs="Times New Roman"/>
          <w:lang w:val="en-GB"/>
        </w:rPr>
        <w:t>18</w:t>
      </w:r>
      <w:r w:rsidR="0048747A" w:rsidRPr="008F5862">
        <w:rPr>
          <w:rFonts w:ascii="Times New Roman" w:hAnsi="Times New Roman" w:cs="Times New Roman"/>
          <w:lang w:val="en-GB"/>
        </w:rPr>
        <w:t> </w:t>
      </w:r>
      <w:r w:rsidR="00F146BC" w:rsidRPr="008F5862">
        <w:rPr>
          <w:rFonts w:ascii="Times New Roman" w:hAnsi="Times New Roman" w:cs="Times New Roman"/>
          <w:lang w:val="en-GB"/>
        </w:rPr>
        <w:t>January</w:t>
      </w:r>
      <w:r w:rsidR="00C40DCA" w:rsidRPr="008F5862">
        <w:rPr>
          <w:rFonts w:ascii="Times New Roman" w:hAnsi="Times New Roman" w:cs="Times New Roman"/>
          <w:lang w:val="en-GB"/>
        </w:rPr>
        <w:t> 202</w:t>
      </w:r>
      <w:r w:rsidR="00F146BC" w:rsidRPr="008F5862">
        <w:rPr>
          <w:rFonts w:ascii="Times New Roman" w:hAnsi="Times New Roman" w:cs="Times New Roman"/>
          <w:lang w:val="en-GB"/>
        </w:rPr>
        <w:t>4</w:t>
      </w:r>
      <w:r w:rsidR="00C876F7">
        <w:rPr>
          <w:rFonts w:ascii="Times New Roman" w:hAnsi="Times New Roman" w:cs="Times New Roman"/>
          <w:lang w:val="en-GB"/>
        </w:rPr>
        <w:t xml:space="preserve"> (handed down electronically)</w:t>
      </w:r>
    </w:p>
    <w:p w14:paraId="0B5457D4" w14:textId="77777777" w:rsidR="009D65FD" w:rsidRPr="008F5862" w:rsidRDefault="009D65FD" w:rsidP="009D65FD">
      <w:pPr>
        <w:jc w:val="center"/>
        <w:rPr>
          <w:rFonts w:ascii="Times New Roman" w:hAnsi="Times New Roman" w:cs="Times New Roman"/>
          <w:sz w:val="24"/>
          <w:szCs w:val="24"/>
          <w:lang w:val="en-GB"/>
        </w:rPr>
      </w:pPr>
    </w:p>
    <w:p w14:paraId="7D036D4D" w14:textId="3A91C4E6" w:rsidR="00272E20" w:rsidRPr="008F5862" w:rsidRDefault="00272E20" w:rsidP="00272E20">
      <w:pPr>
        <w:jc w:val="right"/>
        <w:rPr>
          <w:rFonts w:ascii="Times New Roman" w:hAnsi="Times New Roman" w:cs="Times New Roman"/>
          <w:bCs/>
          <w:sz w:val="24"/>
          <w:szCs w:val="24"/>
          <w:lang w:val="en-GB"/>
        </w:rPr>
      </w:pPr>
      <w:r w:rsidRPr="008F5862">
        <w:rPr>
          <w:rFonts w:ascii="Times New Roman" w:hAnsi="Times New Roman" w:cs="Times New Roman"/>
          <w:sz w:val="24"/>
          <w:szCs w:val="24"/>
          <w:lang w:val="en-GB"/>
        </w:rPr>
        <w:t xml:space="preserve">Case No: </w:t>
      </w:r>
      <w:r w:rsidR="0005193F" w:rsidRPr="008F5862">
        <w:rPr>
          <w:rFonts w:ascii="Times New Roman" w:hAnsi="Times New Roman" w:cs="Times New Roman"/>
          <w:sz w:val="24"/>
          <w:szCs w:val="24"/>
          <w:lang w:val="en-GB"/>
        </w:rPr>
        <w:t xml:space="preserve"> </w:t>
      </w:r>
      <w:r w:rsidR="002335C7" w:rsidRPr="008F5862">
        <w:rPr>
          <w:rFonts w:ascii="Times New Roman" w:hAnsi="Times New Roman" w:cs="Times New Roman"/>
          <w:sz w:val="24"/>
          <w:szCs w:val="24"/>
          <w:lang w:val="en-GB"/>
        </w:rPr>
        <w:t>8808</w:t>
      </w:r>
      <w:r w:rsidRPr="008F5862">
        <w:rPr>
          <w:rFonts w:ascii="Times New Roman" w:hAnsi="Times New Roman" w:cs="Times New Roman"/>
          <w:sz w:val="24"/>
          <w:szCs w:val="24"/>
          <w:lang w:val="en-GB"/>
        </w:rPr>
        <w:t xml:space="preserve"> </w:t>
      </w:r>
      <w:r w:rsidR="00752B41" w:rsidRPr="008F5862">
        <w:rPr>
          <w:rFonts w:ascii="Times New Roman" w:hAnsi="Times New Roman" w:cs="Times New Roman"/>
          <w:sz w:val="24"/>
          <w:szCs w:val="24"/>
          <w:lang w:val="en-GB"/>
        </w:rPr>
        <w:t xml:space="preserve">/ </w:t>
      </w:r>
      <w:r w:rsidR="002335C7" w:rsidRPr="008F5862">
        <w:rPr>
          <w:rFonts w:ascii="Times New Roman" w:hAnsi="Times New Roman" w:cs="Times New Roman"/>
          <w:sz w:val="24"/>
          <w:szCs w:val="24"/>
          <w:lang w:val="en-GB"/>
        </w:rPr>
        <w:t>2020</w:t>
      </w:r>
    </w:p>
    <w:p w14:paraId="078517A4" w14:textId="77777777" w:rsidR="00272E20" w:rsidRPr="008F5862" w:rsidRDefault="00272E20" w:rsidP="00E403FD">
      <w:pPr>
        <w:widowControl w:val="0"/>
        <w:rPr>
          <w:rFonts w:ascii="Times New Roman" w:hAnsi="Times New Roman" w:cs="Times New Roman"/>
          <w:snapToGrid w:val="0"/>
          <w:sz w:val="24"/>
          <w:szCs w:val="24"/>
          <w:lang w:val="en-GB"/>
        </w:rPr>
      </w:pPr>
    </w:p>
    <w:p w14:paraId="6DED058E" w14:textId="77777777" w:rsidR="002335C7" w:rsidRPr="008F5862" w:rsidRDefault="002335C7" w:rsidP="00C40DCA">
      <w:pPr>
        <w:tabs>
          <w:tab w:val="right" w:pos="9072"/>
        </w:tabs>
        <w:suppressAutoHyphens/>
        <w:spacing w:after="0" w:line="240" w:lineRule="atLeast"/>
        <w:rPr>
          <w:rFonts w:ascii="Times New Roman" w:hAnsi="Times New Roman" w:cs="Times New Roman"/>
          <w:b/>
          <w:sz w:val="24"/>
          <w:szCs w:val="24"/>
          <w:lang w:val="en-GB"/>
        </w:rPr>
      </w:pPr>
      <w:r w:rsidRPr="008F5862">
        <w:rPr>
          <w:rFonts w:ascii="Times New Roman" w:hAnsi="Times New Roman" w:cs="Times New Roman"/>
          <w:b/>
          <w:sz w:val="24"/>
          <w:szCs w:val="24"/>
          <w:lang w:val="en-GB"/>
        </w:rPr>
        <w:t>THE PETROLEUM OIL AND GAS CORPORATION</w:t>
      </w:r>
    </w:p>
    <w:p w14:paraId="17E89B03" w14:textId="504E2831" w:rsidR="00E403FD" w:rsidRPr="008F5862" w:rsidRDefault="002335C7" w:rsidP="00C40DCA">
      <w:pPr>
        <w:tabs>
          <w:tab w:val="right" w:pos="9072"/>
        </w:tabs>
        <w:suppressAutoHyphens/>
        <w:spacing w:after="0" w:line="240" w:lineRule="atLeast"/>
        <w:rPr>
          <w:rFonts w:ascii="Times New Roman" w:hAnsi="Times New Roman" w:cs="Times New Roman"/>
          <w:snapToGrid w:val="0"/>
          <w:sz w:val="24"/>
          <w:szCs w:val="24"/>
          <w:lang w:val="en-GB"/>
        </w:rPr>
      </w:pPr>
      <w:r w:rsidRPr="008F5862">
        <w:rPr>
          <w:rFonts w:ascii="Times New Roman" w:hAnsi="Times New Roman" w:cs="Times New Roman"/>
          <w:b/>
          <w:sz w:val="24"/>
          <w:szCs w:val="24"/>
          <w:lang w:val="en-GB"/>
        </w:rPr>
        <w:t>OF SOUTH AFRICA (SOC) LTD</w:t>
      </w:r>
      <w:r w:rsidR="00C73D38" w:rsidRPr="008F5862">
        <w:rPr>
          <w:rFonts w:ascii="Times New Roman" w:hAnsi="Times New Roman" w:cs="Times New Roman"/>
          <w:b/>
          <w:snapToGrid w:val="0"/>
          <w:sz w:val="24"/>
          <w:szCs w:val="24"/>
          <w:lang w:val="en-GB"/>
        </w:rPr>
        <w:tab/>
      </w:r>
      <w:r w:rsidR="00E403FD" w:rsidRPr="008F5862">
        <w:rPr>
          <w:rFonts w:ascii="Times New Roman" w:hAnsi="Times New Roman" w:cs="Times New Roman"/>
          <w:snapToGrid w:val="0"/>
          <w:sz w:val="24"/>
          <w:szCs w:val="24"/>
          <w:lang w:val="en-GB"/>
        </w:rPr>
        <w:t>Applicant</w:t>
      </w:r>
    </w:p>
    <w:p w14:paraId="518F90EA" w14:textId="77777777" w:rsidR="00F03B5B" w:rsidRPr="008F5862" w:rsidRDefault="00F03B5B" w:rsidP="00C40DCA">
      <w:pPr>
        <w:tabs>
          <w:tab w:val="right" w:pos="9072"/>
        </w:tabs>
        <w:suppressAutoHyphens/>
        <w:spacing w:after="0" w:line="240" w:lineRule="atLeast"/>
        <w:rPr>
          <w:rFonts w:ascii="Times New Roman" w:hAnsi="Times New Roman" w:cs="Times New Roman"/>
          <w:snapToGrid w:val="0"/>
          <w:sz w:val="24"/>
          <w:szCs w:val="24"/>
          <w:lang w:val="en-GB"/>
        </w:rPr>
      </w:pPr>
    </w:p>
    <w:p w14:paraId="0C051EF7" w14:textId="77777777" w:rsidR="002335C7" w:rsidRPr="008F5862" w:rsidRDefault="002335C7" w:rsidP="00C40DCA">
      <w:pPr>
        <w:tabs>
          <w:tab w:val="right" w:pos="9072"/>
        </w:tabs>
        <w:suppressAutoHyphens/>
        <w:spacing w:after="0" w:line="240" w:lineRule="atLeast"/>
        <w:rPr>
          <w:rFonts w:ascii="Times New Roman" w:hAnsi="Times New Roman" w:cs="Times New Roman"/>
          <w:snapToGrid w:val="0"/>
          <w:sz w:val="24"/>
          <w:szCs w:val="24"/>
          <w:lang w:val="en-GB"/>
        </w:rPr>
      </w:pPr>
    </w:p>
    <w:p w14:paraId="68252971" w14:textId="5DB1FD48" w:rsidR="00E403FD" w:rsidRPr="008F5862" w:rsidRDefault="00752B41" w:rsidP="00C40DCA">
      <w:pPr>
        <w:widowControl w:val="0"/>
        <w:spacing w:after="0" w:line="240" w:lineRule="atLeast"/>
        <w:rPr>
          <w:rFonts w:ascii="Times New Roman" w:hAnsi="Times New Roman" w:cs="Times New Roman"/>
          <w:snapToGrid w:val="0"/>
          <w:sz w:val="24"/>
          <w:szCs w:val="24"/>
          <w:lang w:val="en-GB"/>
        </w:rPr>
      </w:pPr>
      <w:r w:rsidRPr="008F5862">
        <w:rPr>
          <w:rFonts w:ascii="Times New Roman" w:hAnsi="Times New Roman" w:cs="Times New Roman"/>
          <w:snapToGrid w:val="0"/>
          <w:sz w:val="24"/>
          <w:szCs w:val="24"/>
          <w:lang w:val="en-GB"/>
        </w:rPr>
        <w:t>and</w:t>
      </w:r>
    </w:p>
    <w:p w14:paraId="74B3B2C2" w14:textId="77777777" w:rsidR="00F03B5B" w:rsidRPr="008F5862" w:rsidRDefault="00F03B5B" w:rsidP="00C40DCA">
      <w:pPr>
        <w:widowControl w:val="0"/>
        <w:spacing w:after="0" w:line="240" w:lineRule="atLeast"/>
        <w:rPr>
          <w:rFonts w:ascii="Times New Roman" w:hAnsi="Times New Roman" w:cs="Times New Roman"/>
          <w:snapToGrid w:val="0"/>
          <w:sz w:val="24"/>
          <w:szCs w:val="24"/>
          <w:lang w:val="en-GB"/>
        </w:rPr>
      </w:pPr>
    </w:p>
    <w:p w14:paraId="78531695" w14:textId="77777777" w:rsidR="002335C7" w:rsidRPr="008F5862" w:rsidRDefault="002335C7" w:rsidP="00C40DCA">
      <w:pPr>
        <w:widowControl w:val="0"/>
        <w:spacing w:after="0" w:line="240" w:lineRule="atLeast"/>
        <w:rPr>
          <w:rFonts w:ascii="Times New Roman" w:hAnsi="Times New Roman" w:cs="Times New Roman"/>
          <w:snapToGrid w:val="0"/>
          <w:sz w:val="24"/>
          <w:szCs w:val="24"/>
          <w:lang w:val="en-GB"/>
        </w:rPr>
      </w:pPr>
    </w:p>
    <w:p w14:paraId="23F8ABD1" w14:textId="77777777" w:rsidR="002335C7" w:rsidRPr="008F5862" w:rsidRDefault="002335C7" w:rsidP="00C40DCA">
      <w:pPr>
        <w:tabs>
          <w:tab w:val="right" w:pos="9072"/>
        </w:tabs>
        <w:suppressAutoHyphens/>
        <w:spacing w:after="0" w:line="240" w:lineRule="atLeast"/>
        <w:rPr>
          <w:rFonts w:ascii="Times New Roman" w:hAnsi="Times New Roman" w:cs="Times New Roman"/>
          <w:b/>
          <w:sz w:val="24"/>
          <w:szCs w:val="24"/>
          <w:lang w:val="en-GB"/>
        </w:rPr>
      </w:pPr>
      <w:r w:rsidRPr="008F5862">
        <w:rPr>
          <w:rFonts w:ascii="Times New Roman" w:hAnsi="Times New Roman" w:cs="Times New Roman"/>
          <w:b/>
          <w:sz w:val="24"/>
          <w:szCs w:val="24"/>
          <w:lang w:val="en-GB"/>
        </w:rPr>
        <w:t>THE COMMISSIONER FOR THE SOUTH AFRICAN</w:t>
      </w:r>
    </w:p>
    <w:p w14:paraId="2CDDAD18" w14:textId="57AFCC55" w:rsidR="00E403FD" w:rsidRPr="008F5862" w:rsidRDefault="002335C7" w:rsidP="00C40DCA">
      <w:pPr>
        <w:tabs>
          <w:tab w:val="right" w:pos="9072"/>
        </w:tabs>
        <w:suppressAutoHyphens/>
        <w:spacing w:after="0" w:line="240" w:lineRule="atLeast"/>
        <w:rPr>
          <w:rFonts w:ascii="Times New Roman" w:hAnsi="Times New Roman" w:cs="Times New Roman"/>
          <w:snapToGrid w:val="0"/>
          <w:sz w:val="24"/>
          <w:szCs w:val="24"/>
          <w:lang w:val="en-GB"/>
        </w:rPr>
      </w:pPr>
      <w:r w:rsidRPr="008F5862">
        <w:rPr>
          <w:rFonts w:ascii="Times New Roman" w:hAnsi="Times New Roman" w:cs="Times New Roman"/>
          <w:b/>
          <w:sz w:val="24"/>
          <w:szCs w:val="24"/>
          <w:lang w:val="en-GB"/>
        </w:rPr>
        <w:t>REVENUE SERVICE</w:t>
      </w:r>
      <w:r w:rsidR="00C73D38" w:rsidRPr="008F5862">
        <w:rPr>
          <w:rFonts w:ascii="Times New Roman" w:hAnsi="Times New Roman" w:cs="Times New Roman"/>
          <w:b/>
          <w:snapToGrid w:val="0"/>
          <w:sz w:val="24"/>
          <w:szCs w:val="24"/>
          <w:lang w:val="en-GB"/>
        </w:rPr>
        <w:tab/>
      </w:r>
      <w:r w:rsidR="00F03B5B" w:rsidRPr="008F5862">
        <w:rPr>
          <w:rFonts w:ascii="Times New Roman" w:hAnsi="Times New Roman" w:cs="Times New Roman"/>
          <w:snapToGrid w:val="0"/>
          <w:sz w:val="24"/>
          <w:szCs w:val="24"/>
          <w:lang w:val="en-GB"/>
        </w:rPr>
        <w:t xml:space="preserve">First </w:t>
      </w:r>
      <w:r w:rsidR="00E403FD" w:rsidRPr="008F5862">
        <w:rPr>
          <w:rFonts w:ascii="Times New Roman" w:hAnsi="Times New Roman" w:cs="Times New Roman"/>
          <w:snapToGrid w:val="0"/>
          <w:sz w:val="24"/>
          <w:szCs w:val="24"/>
          <w:lang w:val="en-GB"/>
        </w:rPr>
        <w:t>Respondent</w:t>
      </w:r>
    </w:p>
    <w:p w14:paraId="4F464BDB" w14:textId="77777777" w:rsidR="00F03B5B" w:rsidRPr="008F5862" w:rsidRDefault="00F03B5B" w:rsidP="00C40DCA">
      <w:pPr>
        <w:tabs>
          <w:tab w:val="right" w:pos="9072"/>
        </w:tabs>
        <w:suppressAutoHyphens/>
        <w:spacing w:after="0" w:line="240" w:lineRule="atLeast"/>
        <w:rPr>
          <w:rFonts w:ascii="Times New Roman" w:hAnsi="Times New Roman" w:cs="Times New Roman"/>
          <w:snapToGrid w:val="0"/>
          <w:sz w:val="24"/>
          <w:szCs w:val="24"/>
          <w:lang w:val="en-GB"/>
        </w:rPr>
      </w:pPr>
    </w:p>
    <w:p w14:paraId="56D8FE1A" w14:textId="5CD683A9" w:rsidR="00F03B5B" w:rsidRPr="008F5862" w:rsidRDefault="002335C7" w:rsidP="00C40DCA">
      <w:pPr>
        <w:tabs>
          <w:tab w:val="right" w:pos="9072"/>
        </w:tabs>
        <w:suppressAutoHyphens/>
        <w:spacing w:after="0" w:line="240" w:lineRule="atLeast"/>
        <w:rPr>
          <w:rFonts w:ascii="Times New Roman" w:hAnsi="Times New Roman" w:cs="Times New Roman"/>
          <w:snapToGrid w:val="0"/>
          <w:sz w:val="24"/>
          <w:szCs w:val="24"/>
          <w:lang w:val="en-GB"/>
        </w:rPr>
      </w:pPr>
      <w:r w:rsidRPr="008F5862">
        <w:rPr>
          <w:rFonts w:ascii="Times New Roman" w:hAnsi="Times New Roman" w:cs="Times New Roman"/>
          <w:b/>
          <w:sz w:val="24"/>
          <w:szCs w:val="24"/>
          <w:lang w:val="en-GB"/>
        </w:rPr>
        <w:t>THE MINISTER OF FINANCE</w:t>
      </w:r>
      <w:r w:rsidR="00F03B5B" w:rsidRPr="008F5862">
        <w:rPr>
          <w:rFonts w:ascii="Times New Roman" w:hAnsi="Times New Roman" w:cs="Times New Roman"/>
          <w:b/>
          <w:snapToGrid w:val="0"/>
          <w:sz w:val="24"/>
          <w:szCs w:val="24"/>
          <w:lang w:val="en-GB"/>
        </w:rPr>
        <w:tab/>
      </w:r>
      <w:r w:rsidR="00F03B5B" w:rsidRPr="008F5862">
        <w:rPr>
          <w:rFonts w:ascii="Times New Roman" w:hAnsi="Times New Roman" w:cs="Times New Roman"/>
          <w:snapToGrid w:val="0"/>
          <w:sz w:val="24"/>
          <w:szCs w:val="24"/>
          <w:lang w:val="en-GB"/>
        </w:rPr>
        <w:t>Second Respondent</w:t>
      </w:r>
    </w:p>
    <w:p w14:paraId="2BCF4734" w14:textId="77777777" w:rsidR="00752B41" w:rsidRPr="008F5862" w:rsidRDefault="00752B41" w:rsidP="00C40DCA">
      <w:pPr>
        <w:tabs>
          <w:tab w:val="right" w:pos="9072"/>
        </w:tabs>
        <w:suppressAutoHyphens/>
        <w:spacing w:after="0" w:line="240" w:lineRule="atLeast"/>
        <w:rPr>
          <w:rFonts w:ascii="Times New Roman" w:hAnsi="Times New Roman" w:cs="Times New Roman"/>
          <w:snapToGrid w:val="0"/>
          <w:sz w:val="24"/>
          <w:szCs w:val="24"/>
          <w:lang w:val="en-GB"/>
        </w:rPr>
      </w:pPr>
    </w:p>
    <w:p w14:paraId="2C7A30FB" w14:textId="77777777" w:rsidR="00752B41" w:rsidRPr="008F5862" w:rsidRDefault="00752B41" w:rsidP="00C40DCA">
      <w:pPr>
        <w:pBdr>
          <w:bottom w:val="single" w:sz="12" w:space="1" w:color="auto"/>
        </w:pBdr>
        <w:tabs>
          <w:tab w:val="right" w:pos="9022"/>
        </w:tabs>
        <w:spacing w:after="0" w:line="240" w:lineRule="atLeast"/>
        <w:jc w:val="both"/>
        <w:rPr>
          <w:rFonts w:ascii="Times New Roman" w:hAnsi="Times New Roman" w:cs="Times New Roman"/>
          <w:sz w:val="24"/>
          <w:szCs w:val="24"/>
          <w:lang w:val="en-GB"/>
        </w:rPr>
      </w:pPr>
    </w:p>
    <w:p w14:paraId="102B888D" w14:textId="77777777" w:rsidR="000D3F9B" w:rsidRPr="008F5862" w:rsidRDefault="000D3F9B" w:rsidP="000A2A60">
      <w:pPr>
        <w:spacing w:after="0" w:line="360" w:lineRule="auto"/>
        <w:jc w:val="center"/>
        <w:rPr>
          <w:rFonts w:ascii="Times New Roman" w:hAnsi="Times New Roman" w:cs="Times New Roman"/>
          <w:sz w:val="24"/>
          <w:szCs w:val="24"/>
          <w:lang w:val="en-GB"/>
        </w:rPr>
      </w:pPr>
    </w:p>
    <w:p w14:paraId="71225366" w14:textId="77777777" w:rsidR="000D3F9B" w:rsidRPr="008F5862" w:rsidRDefault="000D3F9B" w:rsidP="000A2A60">
      <w:pPr>
        <w:pBdr>
          <w:bottom w:val="single" w:sz="12" w:space="1" w:color="auto"/>
        </w:pBdr>
        <w:spacing w:after="0" w:line="360" w:lineRule="auto"/>
        <w:jc w:val="center"/>
        <w:rPr>
          <w:rFonts w:ascii="Times New Roman" w:hAnsi="Times New Roman" w:cs="Times New Roman"/>
          <w:bCs/>
          <w:sz w:val="24"/>
          <w:szCs w:val="24"/>
          <w:lang w:val="en-GB"/>
        </w:rPr>
      </w:pPr>
      <w:r w:rsidRPr="008F5862">
        <w:rPr>
          <w:rFonts w:ascii="Times New Roman" w:hAnsi="Times New Roman" w:cs="Times New Roman"/>
          <w:bCs/>
          <w:sz w:val="24"/>
          <w:szCs w:val="24"/>
          <w:lang w:val="en-GB"/>
        </w:rPr>
        <w:t>JUDGMENT</w:t>
      </w:r>
    </w:p>
    <w:p w14:paraId="4CE66983" w14:textId="77777777" w:rsidR="000D3F9B" w:rsidRPr="008F5862" w:rsidRDefault="000D3F9B" w:rsidP="000A2A60">
      <w:pPr>
        <w:pBdr>
          <w:bottom w:val="single" w:sz="12" w:space="1" w:color="auto"/>
        </w:pBdr>
        <w:spacing w:after="0" w:line="360" w:lineRule="auto"/>
        <w:jc w:val="center"/>
        <w:rPr>
          <w:rFonts w:ascii="Times New Roman" w:hAnsi="Times New Roman" w:cs="Times New Roman"/>
          <w:bCs/>
          <w:sz w:val="24"/>
          <w:szCs w:val="24"/>
          <w:lang w:val="en-GB"/>
        </w:rPr>
      </w:pPr>
    </w:p>
    <w:p w14:paraId="3E6AB15D" w14:textId="77777777" w:rsidR="007468E1" w:rsidRPr="008F5862" w:rsidRDefault="007468E1" w:rsidP="000A2A60">
      <w:pPr>
        <w:spacing w:after="360" w:line="480" w:lineRule="auto"/>
        <w:ind w:left="720" w:hanging="720"/>
        <w:jc w:val="both"/>
        <w:rPr>
          <w:rFonts w:ascii="Times New Roman" w:hAnsi="Times New Roman" w:cs="Times New Roman"/>
          <w:sz w:val="24"/>
          <w:szCs w:val="24"/>
          <w:lang w:val="en-GB"/>
        </w:rPr>
      </w:pPr>
    </w:p>
    <w:p w14:paraId="1E231068" w14:textId="4B93FC38" w:rsidR="003252FD" w:rsidRPr="008F5862" w:rsidRDefault="00CA38D5" w:rsidP="000A2A60">
      <w:pPr>
        <w:spacing w:after="360" w:line="480" w:lineRule="auto"/>
        <w:ind w:left="720" w:hanging="720"/>
        <w:jc w:val="both"/>
        <w:rPr>
          <w:rFonts w:ascii="Times New Roman" w:hAnsi="Times New Roman" w:cs="Times New Roman"/>
          <w:b/>
          <w:bCs/>
          <w:sz w:val="24"/>
          <w:szCs w:val="24"/>
          <w:lang w:val="en-GB"/>
        </w:rPr>
      </w:pPr>
      <w:r w:rsidRPr="008F5862">
        <w:rPr>
          <w:rFonts w:ascii="Times New Roman" w:hAnsi="Times New Roman" w:cs="Times New Roman"/>
          <w:b/>
          <w:bCs/>
          <w:sz w:val="24"/>
          <w:szCs w:val="24"/>
          <w:lang w:val="en-GB"/>
        </w:rPr>
        <w:t>DE WAAL AJ:</w:t>
      </w:r>
    </w:p>
    <w:p w14:paraId="44BCE6FA" w14:textId="365E9B63" w:rsidR="008A777A" w:rsidRDefault="008A777A" w:rsidP="000A2A60">
      <w:pPr>
        <w:spacing w:after="360" w:line="480" w:lineRule="auto"/>
        <w:ind w:left="720" w:hanging="72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14:paraId="15D095FF" w14:textId="1C74B7D3" w:rsidR="00566FA1" w:rsidRPr="008F5862" w:rsidRDefault="00CD5EFA" w:rsidP="00C411EF">
      <w:pPr>
        <w:pStyle w:val="Heading1"/>
        <w:rPr>
          <w:lang w:val="en-GB"/>
        </w:rPr>
      </w:pPr>
      <w:r w:rsidRPr="008F5862">
        <w:rPr>
          <w:lang w:val="en-GB"/>
        </w:rPr>
        <w:lastRenderedPageBreak/>
        <w:t>Introduction</w:t>
      </w:r>
    </w:p>
    <w:p w14:paraId="4CBF98DC" w14:textId="1D00797F" w:rsidR="00DB725A"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w:t>
      </w:r>
      <w:r w:rsidRPr="008F5862">
        <w:rPr>
          <w:rFonts w:ascii="Times New Roman" w:hAnsi="Times New Roman" w:cs="Times New Roman"/>
          <w:sz w:val="24"/>
          <w:szCs w:val="24"/>
          <w:lang w:val="en-GB"/>
        </w:rPr>
        <w:tab/>
      </w:r>
      <w:r w:rsidR="000A5488" w:rsidRPr="003253E5">
        <w:rPr>
          <w:rFonts w:ascii="Times New Roman" w:hAnsi="Times New Roman" w:cs="Times New Roman"/>
          <w:sz w:val="24"/>
          <w:szCs w:val="24"/>
          <w:lang w:val="en-GB"/>
        </w:rPr>
        <w:t>The Applicant (</w:t>
      </w:r>
      <w:r w:rsidR="00DB3E2A" w:rsidRPr="003253E5">
        <w:rPr>
          <w:rFonts w:ascii="Times New Roman" w:hAnsi="Times New Roman" w:cs="Times New Roman"/>
          <w:sz w:val="24"/>
          <w:szCs w:val="24"/>
          <w:lang w:val="en-GB"/>
        </w:rPr>
        <w:t>“</w:t>
      </w:r>
      <w:r w:rsidR="000A5488" w:rsidRPr="003253E5">
        <w:rPr>
          <w:rFonts w:ascii="Times New Roman" w:hAnsi="Times New Roman" w:cs="Times New Roman"/>
          <w:b/>
          <w:bCs/>
          <w:sz w:val="24"/>
          <w:szCs w:val="24"/>
          <w:lang w:val="en-GB"/>
        </w:rPr>
        <w:t>PetroSA</w:t>
      </w:r>
      <w:r w:rsidR="00DB3E2A" w:rsidRPr="003253E5">
        <w:rPr>
          <w:rFonts w:ascii="Times New Roman" w:hAnsi="Times New Roman" w:cs="Times New Roman"/>
          <w:sz w:val="24"/>
          <w:szCs w:val="24"/>
          <w:lang w:val="en-GB"/>
        </w:rPr>
        <w:t>”</w:t>
      </w:r>
      <w:r w:rsidR="000A5488" w:rsidRPr="003253E5">
        <w:rPr>
          <w:rFonts w:ascii="Times New Roman" w:hAnsi="Times New Roman" w:cs="Times New Roman"/>
          <w:sz w:val="24"/>
          <w:szCs w:val="24"/>
          <w:lang w:val="en-GB"/>
        </w:rPr>
        <w:t xml:space="preserve">) is the licensee of a customs and excise manufacturing </w:t>
      </w:r>
      <w:r w:rsidR="009F0968" w:rsidRPr="003253E5">
        <w:rPr>
          <w:rFonts w:ascii="Times New Roman" w:hAnsi="Times New Roman" w:cs="Times New Roman"/>
          <w:sz w:val="24"/>
          <w:szCs w:val="24"/>
          <w:lang w:val="en-GB"/>
        </w:rPr>
        <w:t xml:space="preserve">warehouse (known as a </w:t>
      </w:r>
      <w:r w:rsidR="00DB3E2A" w:rsidRPr="003253E5">
        <w:rPr>
          <w:rFonts w:ascii="Times New Roman" w:hAnsi="Times New Roman" w:cs="Times New Roman"/>
          <w:b/>
          <w:bCs/>
          <w:sz w:val="24"/>
          <w:szCs w:val="24"/>
          <w:lang w:val="en-GB"/>
        </w:rPr>
        <w:t>“</w:t>
      </w:r>
      <w:r w:rsidR="009F0968" w:rsidRPr="003253E5">
        <w:rPr>
          <w:rFonts w:ascii="Times New Roman" w:hAnsi="Times New Roman" w:cs="Times New Roman"/>
          <w:b/>
          <w:bCs/>
          <w:sz w:val="24"/>
          <w:szCs w:val="24"/>
          <w:lang w:val="en-GB"/>
        </w:rPr>
        <w:t>VM</w:t>
      </w:r>
      <w:r w:rsidR="00DB3E2A" w:rsidRPr="003253E5">
        <w:rPr>
          <w:rFonts w:ascii="Times New Roman" w:hAnsi="Times New Roman" w:cs="Times New Roman"/>
          <w:b/>
          <w:bCs/>
          <w:sz w:val="24"/>
          <w:szCs w:val="24"/>
          <w:lang w:val="en-GB"/>
        </w:rPr>
        <w:t>”</w:t>
      </w:r>
      <w:r w:rsidR="009F0968" w:rsidRPr="003253E5">
        <w:rPr>
          <w:rFonts w:ascii="Times New Roman" w:hAnsi="Times New Roman" w:cs="Times New Roman"/>
          <w:sz w:val="24"/>
          <w:szCs w:val="24"/>
          <w:lang w:val="en-GB"/>
        </w:rPr>
        <w:t>)</w:t>
      </w:r>
      <w:r w:rsidR="00FB44C8" w:rsidRPr="003253E5">
        <w:rPr>
          <w:rFonts w:ascii="Times New Roman" w:hAnsi="Times New Roman" w:cs="Times New Roman"/>
          <w:sz w:val="24"/>
          <w:szCs w:val="24"/>
          <w:lang w:val="en-GB"/>
        </w:rPr>
        <w:t>, which is situated at Mossel</w:t>
      </w:r>
      <w:r w:rsidR="00BD55CA" w:rsidRPr="003253E5">
        <w:rPr>
          <w:rFonts w:ascii="Times New Roman" w:hAnsi="Times New Roman" w:cs="Times New Roman"/>
          <w:sz w:val="24"/>
          <w:szCs w:val="24"/>
          <w:lang w:val="en-GB"/>
        </w:rPr>
        <w:t xml:space="preserve"> B</w:t>
      </w:r>
      <w:r w:rsidR="00FB44C8" w:rsidRPr="003253E5">
        <w:rPr>
          <w:rFonts w:ascii="Times New Roman" w:hAnsi="Times New Roman" w:cs="Times New Roman"/>
          <w:sz w:val="24"/>
          <w:szCs w:val="24"/>
          <w:lang w:val="en-GB"/>
        </w:rPr>
        <w:t xml:space="preserve">ay.  </w:t>
      </w:r>
      <w:r w:rsidR="00642670" w:rsidRPr="003253E5">
        <w:rPr>
          <w:rFonts w:ascii="Times New Roman" w:hAnsi="Times New Roman" w:cs="Times New Roman"/>
          <w:sz w:val="24"/>
          <w:szCs w:val="24"/>
          <w:lang w:val="en-GB"/>
        </w:rPr>
        <w:t xml:space="preserve">Manufactured </w:t>
      </w:r>
      <w:r w:rsidR="00AB4219" w:rsidRPr="003253E5">
        <w:rPr>
          <w:rFonts w:ascii="Times New Roman" w:hAnsi="Times New Roman" w:cs="Times New Roman"/>
          <w:sz w:val="24"/>
          <w:szCs w:val="24"/>
          <w:lang w:val="en-GB"/>
        </w:rPr>
        <w:t>f</w:t>
      </w:r>
      <w:r w:rsidR="00434D23" w:rsidRPr="003253E5">
        <w:rPr>
          <w:rFonts w:ascii="Times New Roman" w:hAnsi="Times New Roman" w:cs="Times New Roman"/>
          <w:sz w:val="24"/>
          <w:szCs w:val="24"/>
          <w:lang w:val="en-GB"/>
        </w:rPr>
        <w:t>uel levy goods</w:t>
      </w:r>
      <w:r w:rsidR="00A4048B" w:rsidRPr="003253E5">
        <w:rPr>
          <w:rFonts w:ascii="Times New Roman" w:hAnsi="Times New Roman" w:cs="Times New Roman"/>
          <w:sz w:val="24"/>
          <w:szCs w:val="24"/>
          <w:lang w:val="en-GB"/>
        </w:rPr>
        <w:t>, a</w:t>
      </w:r>
      <w:r w:rsidR="00940F51" w:rsidRPr="003253E5">
        <w:rPr>
          <w:rFonts w:ascii="Times New Roman" w:hAnsi="Times New Roman" w:cs="Times New Roman"/>
          <w:sz w:val="24"/>
          <w:szCs w:val="24"/>
          <w:lang w:val="en-GB"/>
        </w:rPr>
        <w:t>s</w:t>
      </w:r>
      <w:r w:rsidR="00A4048B" w:rsidRPr="003253E5">
        <w:rPr>
          <w:rFonts w:ascii="Times New Roman" w:hAnsi="Times New Roman" w:cs="Times New Roman"/>
          <w:sz w:val="24"/>
          <w:szCs w:val="24"/>
          <w:lang w:val="en-GB"/>
        </w:rPr>
        <w:t xml:space="preserve"> defined in </w:t>
      </w:r>
      <w:r w:rsidR="00DB725A" w:rsidRPr="003253E5">
        <w:rPr>
          <w:rFonts w:ascii="Times New Roman" w:hAnsi="Times New Roman" w:cs="Times New Roman"/>
          <w:sz w:val="24"/>
          <w:szCs w:val="24"/>
          <w:lang w:val="en-GB"/>
        </w:rPr>
        <w:t>the</w:t>
      </w:r>
      <w:r w:rsidR="00A4048B" w:rsidRPr="003253E5">
        <w:rPr>
          <w:rFonts w:ascii="Times New Roman" w:hAnsi="Times New Roman" w:cs="Times New Roman"/>
          <w:sz w:val="24"/>
          <w:szCs w:val="24"/>
          <w:lang w:val="en-GB"/>
        </w:rPr>
        <w:t xml:space="preserve"> Customs and Excise Act 91 of 1964 (</w:t>
      </w:r>
      <w:r w:rsidR="00DB3E2A" w:rsidRPr="003253E5">
        <w:rPr>
          <w:rFonts w:ascii="Times New Roman" w:hAnsi="Times New Roman" w:cs="Times New Roman"/>
          <w:sz w:val="24"/>
          <w:szCs w:val="24"/>
          <w:lang w:val="en-GB"/>
        </w:rPr>
        <w:t>“</w:t>
      </w:r>
      <w:r w:rsidR="00A4048B" w:rsidRPr="003253E5">
        <w:rPr>
          <w:rFonts w:ascii="Times New Roman" w:hAnsi="Times New Roman" w:cs="Times New Roman"/>
          <w:b/>
          <w:bCs/>
          <w:sz w:val="24"/>
          <w:szCs w:val="24"/>
          <w:lang w:val="en-GB"/>
        </w:rPr>
        <w:t>the Act</w:t>
      </w:r>
      <w:r w:rsidR="00DB3E2A" w:rsidRPr="003253E5">
        <w:rPr>
          <w:rFonts w:ascii="Times New Roman" w:hAnsi="Times New Roman" w:cs="Times New Roman"/>
          <w:sz w:val="24"/>
          <w:szCs w:val="24"/>
          <w:lang w:val="en-GB"/>
        </w:rPr>
        <w:t>”</w:t>
      </w:r>
      <w:r w:rsidR="00A4048B" w:rsidRPr="003253E5">
        <w:rPr>
          <w:rFonts w:ascii="Times New Roman" w:hAnsi="Times New Roman" w:cs="Times New Roman"/>
          <w:sz w:val="24"/>
          <w:szCs w:val="24"/>
          <w:lang w:val="en-GB"/>
        </w:rPr>
        <w:t xml:space="preserve">), </w:t>
      </w:r>
      <w:r w:rsidR="00940F51" w:rsidRPr="003253E5">
        <w:rPr>
          <w:rFonts w:ascii="Times New Roman" w:hAnsi="Times New Roman" w:cs="Times New Roman"/>
          <w:sz w:val="24"/>
          <w:szCs w:val="24"/>
          <w:lang w:val="en-GB"/>
        </w:rPr>
        <w:t xml:space="preserve">attract the payment </w:t>
      </w:r>
      <w:r w:rsidR="005518B8" w:rsidRPr="003253E5">
        <w:rPr>
          <w:rFonts w:ascii="Times New Roman" w:hAnsi="Times New Roman" w:cs="Times New Roman"/>
          <w:sz w:val="24"/>
          <w:szCs w:val="24"/>
          <w:lang w:val="en-GB"/>
        </w:rPr>
        <w:t xml:space="preserve">of an </w:t>
      </w:r>
      <w:r w:rsidR="004103CF" w:rsidRPr="003253E5">
        <w:rPr>
          <w:rFonts w:ascii="Times New Roman" w:hAnsi="Times New Roman" w:cs="Times New Roman"/>
          <w:sz w:val="24"/>
          <w:szCs w:val="24"/>
          <w:lang w:val="en-GB"/>
        </w:rPr>
        <w:t>excise duty</w:t>
      </w:r>
      <w:r w:rsidR="005518B8" w:rsidRPr="003253E5">
        <w:rPr>
          <w:rFonts w:ascii="Times New Roman" w:hAnsi="Times New Roman" w:cs="Times New Roman"/>
          <w:sz w:val="24"/>
          <w:szCs w:val="24"/>
          <w:lang w:val="en-GB"/>
        </w:rPr>
        <w:t xml:space="preserve"> and a fuel levy</w:t>
      </w:r>
      <w:r w:rsidR="006D017A" w:rsidRPr="003253E5">
        <w:rPr>
          <w:rFonts w:ascii="Times New Roman" w:hAnsi="Times New Roman" w:cs="Times New Roman"/>
          <w:sz w:val="24"/>
          <w:szCs w:val="24"/>
          <w:lang w:val="en-GB"/>
        </w:rPr>
        <w:t xml:space="preserve"> and </w:t>
      </w:r>
      <w:r w:rsidR="005518B8" w:rsidRPr="003253E5">
        <w:rPr>
          <w:rFonts w:ascii="Times New Roman" w:hAnsi="Times New Roman" w:cs="Times New Roman"/>
          <w:sz w:val="24"/>
          <w:szCs w:val="24"/>
          <w:lang w:val="en-GB"/>
        </w:rPr>
        <w:t xml:space="preserve">a </w:t>
      </w:r>
      <w:r w:rsidR="00650BD0" w:rsidRPr="003253E5">
        <w:rPr>
          <w:rFonts w:ascii="Times New Roman" w:hAnsi="Times New Roman" w:cs="Times New Roman"/>
          <w:sz w:val="24"/>
          <w:szCs w:val="24"/>
          <w:lang w:val="en-GB"/>
        </w:rPr>
        <w:t>Road Accident Fund (</w:t>
      </w:r>
      <w:r w:rsidR="00DB3E2A" w:rsidRPr="003253E5">
        <w:rPr>
          <w:rFonts w:ascii="Times New Roman" w:hAnsi="Times New Roman" w:cs="Times New Roman"/>
          <w:sz w:val="24"/>
          <w:szCs w:val="24"/>
          <w:lang w:val="en-GB"/>
        </w:rPr>
        <w:t>“</w:t>
      </w:r>
      <w:r w:rsidR="00650BD0" w:rsidRPr="003253E5">
        <w:rPr>
          <w:rFonts w:ascii="Times New Roman" w:hAnsi="Times New Roman" w:cs="Times New Roman"/>
          <w:b/>
          <w:bCs/>
          <w:sz w:val="24"/>
          <w:szCs w:val="24"/>
          <w:lang w:val="en-GB"/>
        </w:rPr>
        <w:t>RAF</w:t>
      </w:r>
      <w:r w:rsidR="00DB3E2A" w:rsidRPr="003253E5">
        <w:rPr>
          <w:rFonts w:ascii="Times New Roman" w:hAnsi="Times New Roman" w:cs="Times New Roman"/>
          <w:sz w:val="24"/>
          <w:szCs w:val="24"/>
          <w:lang w:val="en-GB"/>
        </w:rPr>
        <w:t>”</w:t>
      </w:r>
      <w:r w:rsidR="00650BD0" w:rsidRPr="003253E5">
        <w:rPr>
          <w:rFonts w:ascii="Times New Roman" w:hAnsi="Times New Roman" w:cs="Times New Roman"/>
          <w:sz w:val="24"/>
          <w:szCs w:val="24"/>
          <w:lang w:val="en-GB"/>
        </w:rPr>
        <w:t>) levy</w:t>
      </w:r>
      <w:r w:rsidR="00081658" w:rsidRPr="003253E5">
        <w:rPr>
          <w:rFonts w:ascii="Times New Roman" w:hAnsi="Times New Roman" w:cs="Times New Roman"/>
          <w:sz w:val="24"/>
          <w:szCs w:val="24"/>
          <w:lang w:val="en-GB"/>
        </w:rPr>
        <w:t>.</w:t>
      </w:r>
      <w:r w:rsidR="00270C98" w:rsidRPr="003253E5">
        <w:rPr>
          <w:rFonts w:ascii="Times New Roman" w:hAnsi="Times New Roman" w:cs="Times New Roman"/>
          <w:sz w:val="24"/>
          <w:szCs w:val="24"/>
          <w:lang w:val="en-GB"/>
        </w:rPr>
        <w:t xml:space="preserve">  </w:t>
      </w:r>
      <w:r w:rsidR="00DB725A" w:rsidRPr="003253E5">
        <w:rPr>
          <w:rFonts w:ascii="Times New Roman" w:hAnsi="Times New Roman" w:cs="Times New Roman"/>
          <w:sz w:val="24"/>
          <w:szCs w:val="24"/>
          <w:lang w:val="en-GB"/>
        </w:rPr>
        <w:t>Schedule</w:t>
      </w:r>
      <w:r w:rsidR="004847A9" w:rsidRPr="003253E5">
        <w:rPr>
          <w:rFonts w:ascii="Times New Roman" w:hAnsi="Times New Roman" w:cs="Times New Roman"/>
          <w:sz w:val="24"/>
          <w:szCs w:val="24"/>
          <w:lang w:val="en-GB"/>
        </w:rPr>
        <w:t> </w:t>
      </w:r>
      <w:r w:rsidR="00DB725A" w:rsidRPr="003253E5">
        <w:rPr>
          <w:rFonts w:ascii="Times New Roman" w:hAnsi="Times New Roman" w:cs="Times New Roman"/>
          <w:sz w:val="24"/>
          <w:szCs w:val="24"/>
          <w:lang w:val="en-GB"/>
        </w:rPr>
        <w:t>6, Part</w:t>
      </w:r>
      <w:r w:rsidR="004847A9" w:rsidRPr="003253E5">
        <w:rPr>
          <w:rFonts w:ascii="Times New Roman" w:hAnsi="Times New Roman" w:cs="Times New Roman"/>
          <w:sz w:val="24"/>
          <w:szCs w:val="24"/>
          <w:lang w:val="en-GB"/>
        </w:rPr>
        <w:t> </w:t>
      </w:r>
      <w:r w:rsidR="00DB725A" w:rsidRPr="003253E5">
        <w:rPr>
          <w:rFonts w:ascii="Times New Roman" w:hAnsi="Times New Roman" w:cs="Times New Roman"/>
          <w:sz w:val="24"/>
          <w:szCs w:val="24"/>
          <w:lang w:val="en-GB"/>
        </w:rPr>
        <w:t>1F</w:t>
      </w:r>
      <w:r w:rsidR="004847A9" w:rsidRPr="003253E5">
        <w:rPr>
          <w:rFonts w:ascii="Times New Roman" w:hAnsi="Times New Roman" w:cs="Times New Roman"/>
          <w:sz w:val="24"/>
          <w:szCs w:val="24"/>
          <w:lang w:val="en-GB"/>
        </w:rPr>
        <w:t xml:space="preserve"> of the Act</w:t>
      </w:r>
      <w:r w:rsidR="00DB725A" w:rsidRPr="003253E5">
        <w:rPr>
          <w:rFonts w:ascii="Times New Roman" w:hAnsi="Times New Roman" w:cs="Times New Roman"/>
          <w:sz w:val="24"/>
          <w:szCs w:val="24"/>
          <w:lang w:val="en-GB"/>
        </w:rPr>
        <w:t xml:space="preserve"> deals with</w:t>
      </w:r>
      <w:r w:rsidR="004847A9" w:rsidRPr="003253E5">
        <w:rPr>
          <w:rFonts w:ascii="Times New Roman" w:hAnsi="Times New Roman" w:cs="Times New Roman"/>
          <w:sz w:val="24"/>
          <w:szCs w:val="24"/>
          <w:lang w:val="en-GB"/>
        </w:rPr>
        <w:t xml:space="preserve"> the</w:t>
      </w:r>
      <w:r w:rsidR="00DB725A" w:rsidRPr="003253E5">
        <w:rPr>
          <w:rFonts w:ascii="Times New Roman" w:hAnsi="Times New Roman" w:cs="Times New Roman"/>
          <w:sz w:val="24"/>
          <w:szCs w:val="24"/>
          <w:lang w:val="en-GB"/>
        </w:rPr>
        <w:t xml:space="preserve"> excise</w:t>
      </w:r>
      <w:r w:rsidR="004847A9" w:rsidRPr="003253E5">
        <w:rPr>
          <w:rFonts w:ascii="Times New Roman" w:hAnsi="Times New Roman" w:cs="Times New Roman"/>
          <w:sz w:val="24"/>
          <w:szCs w:val="24"/>
          <w:lang w:val="en-GB"/>
        </w:rPr>
        <w:t xml:space="preserve"> duty</w:t>
      </w:r>
      <w:r w:rsidR="00DB725A" w:rsidRPr="003253E5">
        <w:rPr>
          <w:rFonts w:ascii="Times New Roman" w:hAnsi="Times New Roman" w:cs="Times New Roman"/>
          <w:sz w:val="24"/>
          <w:szCs w:val="24"/>
          <w:lang w:val="en-GB"/>
        </w:rPr>
        <w:t xml:space="preserve"> and Part</w:t>
      </w:r>
      <w:r w:rsidR="00C411EF" w:rsidRPr="003253E5">
        <w:rPr>
          <w:rFonts w:ascii="Times New Roman" w:hAnsi="Times New Roman" w:cs="Times New Roman"/>
          <w:sz w:val="24"/>
          <w:szCs w:val="24"/>
          <w:lang w:val="en-GB"/>
        </w:rPr>
        <w:t> </w:t>
      </w:r>
      <w:r w:rsidR="00DB725A" w:rsidRPr="003253E5">
        <w:rPr>
          <w:rFonts w:ascii="Times New Roman" w:hAnsi="Times New Roman" w:cs="Times New Roman"/>
          <w:sz w:val="24"/>
          <w:szCs w:val="24"/>
          <w:lang w:val="en-GB"/>
        </w:rPr>
        <w:t xml:space="preserve">3 deals with the fuel and RAF levies. </w:t>
      </w:r>
    </w:p>
    <w:p w14:paraId="74143DC6" w14:textId="2C4571CD" w:rsidR="007F1316"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w:t>
      </w:r>
      <w:r w:rsidRPr="008F5862">
        <w:rPr>
          <w:rFonts w:ascii="Times New Roman" w:hAnsi="Times New Roman" w:cs="Times New Roman"/>
          <w:sz w:val="24"/>
          <w:szCs w:val="24"/>
          <w:lang w:val="en-GB"/>
        </w:rPr>
        <w:tab/>
      </w:r>
      <w:r w:rsidR="00DB725A" w:rsidRPr="003253E5">
        <w:rPr>
          <w:rFonts w:ascii="Times New Roman" w:hAnsi="Times New Roman" w:cs="Times New Roman"/>
          <w:sz w:val="24"/>
          <w:szCs w:val="24"/>
          <w:lang w:val="en-GB"/>
        </w:rPr>
        <w:t>Then there are also Rules adopted under s19A of the Act (</w:t>
      </w:r>
      <w:r w:rsidR="00DB3E2A" w:rsidRPr="003253E5">
        <w:rPr>
          <w:rFonts w:ascii="Times New Roman" w:hAnsi="Times New Roman" w:cs="Times New Roman"/>
          <w:sz w:val="24"/>
          <w:szCs w:val="24"/>
          <w:lang w:val="en-GB"/>
        </w:rPr>
        <w:t>“</w:t>
      </w:r>
      <w:r w:rsidR="00DB725A" w:rsidRPr="003253E5">
        <w:rPr>
          <w:rFonts w:ascii="Times New Roman" w:hAnsi="Times New Roman" w:cs="Times New Roman"/>
          <w:b/>
          <w:bCs/>
          <w:sz w:val="24"/>
          <w:szCs w:val="24"/>
          <w:lang w:val="en-GB"/>
        </w:rPr>
        <w:t>the Rules</w:t>
      </w:r>
      <w:r w:rsidR="00DB3E2A" w:rsidRPr="003253E5">
        <w:rPr>
          <w:rFonts w:ascii="Times New Roman" w:hAnsi="Times New Roman" w:cs="Times New Roman"/>
          <w:sz w:val="24"/>
          <w:szCs w:val="24"/>
          <w:lang w:val="en-GB"/>
        </w:rPr>
        <w:t>”</w:t>
      </w:r>
      <w:r w:rsidR="00DB725A" w:rsidRPr="003253E5">
        <w:rPr>
          <w:rFonts w:ascii="Times New Roman" w:hAnsi="Times New Roman" w:cs="Times New Roman"/>
          <w:sz w:val="24"/>
          <w:szCs w:val="24"/>
          <w:lang w:val="en-GB"/>
        </w:rPr>
        <w:t>)</w:t>
      </w:r>
      <w:r w:rsidR="004847A9" w:rsidRPr="003253E5">
        <w:rPr>
          <w:rFonts w:ascii="Times New Roman" w:hAnsi="Times New Roman" w:cs="Times New Roman"/>
          <w:sz w:val="24"/>
          <w:szCs w:val="24"/>
          <w:lang w:val="en-GB"/>
        </w:rPr>
        <w:t>.  Relevant for present purposes are the Rules</w:t>
      </w:r>
      <w:r w:rsidR="00DB725A" w:rsidRPr="003253E5">
        <w:rPr>
          <w:rFonts w:ascii="Times New Roman" w:hAnsi="Times New Roman" w:cs="Times New Roman"/>
          <w:sz w:val="24"/>
          <w:szCs w:val="24"/>
          <w:lang w:val="en-GB"/>
        </w:rPr>
        <w:t xml:space="preserve"> relating to customs and excise warehouses in which excisable or fuel levy goods are manufactured or stored and the</w:t>
      </w:r>
      <w:r w:rsidR="004847A9" w:rsidRPr="003253E5">
        <w:rPr>
          <w:rFonts w:ascii="Times New Roman" w:hAnsi="Times New Roman" w:cs="Times New Roman"/>
          <w:sz w:val="24"/>
          <w:szCs w:val="24"/>
          <w:lang w:val="en-GB"/>
        </w:rPr>
        <w:t xml:space="preserve"> Rules relating to the</w:t>
      </w:r>
      <w:r w:rsidR="00DB725A" w:rsidRPr="003253E5">
        <w:rPr>
          <w:rFonts w:ascii="Times New Roman" w:hAnsi="Times New Roman" w:cs="Times New Roman"/>
          <w:sz w:val="24"/>
          <w:szCs w:val="24"/>
          <w:lang w:val="en-GB"/>
        </w:rPr>
        <w:t xml:space="preserve"> manufacture, payment of duty and controlled movement of fuel levy goods.  The Rules numbered </w:t>
      </w:r>
      <w:r w:rsidR="00344016" w:rsidRPr="003253E5">
        <w:rPr>
          <w:rFonts w:ascii="Times New Roman" w:hAnsi="Times New Roman" w:cs="Times New Roman"/>
          <w:sz w:val="24"/>
          <w:szCs w:val="24"/>
          <w:lang w:val="en-GB"/>
        </w:rPr>
        <w:t xml:space="preserve">19A are general Rules and those numbered </w:t>
      </w:r>
      <w:r w:rsidR="00DB725A" w:rsidRPr="003253E5">
        <w:rPr>
          <w:rFonts w:ascii="Times New Roman" w:hAnsi="Times New Roman" w:cs="Times New Roman"/>
          <w:sz w:val="24"/>
          <w:szCs w:val="24"/>
          <w:lang w:val="en-GB"/>
        </w:rPr>
        <w:t>19A4 are</w:t>
      </w:r>
      <w:r w:rsidR="004847A9" w:rsidRPr="003253E5">
        <w:rPr>
          <w:rFonts w:ascii="Times New Roman" w:hAnsi="Times New Roman" w:cs="Times New Roman"/>
          <w:sz w:val="24"/>
          <w:szCs w:val="24"/>
          <w:lang w:val="en-GB"/>
        </w:rPr>
        <w:t xml:space="preserve"> specific Rules </w:t>
      </w:r>
      <w:r w:rsidR="00DB725A" w:rsidRPr="003253E5">
        <w:rPr>
          <w:rFonts w:ascii="Times New Roman" w:hAnsi="Times New Roman" w:cs="Times New Roman"/>
          <w:sz w:val="24"/>
          <w:szCs w:val="24"/>
          <w:lang w:val="en-GB"/>
        </w:rPr>
        <w:t xml:space="preserve">in respect of fuel levy goods.  </w:t>
      </w:r>
    </w:p>
    <w:p w14:paraId="52464738" w14:textId="5FC93C61" w:rsidR="00D55E9A"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[3]</w:t>
      </w:r>
      <w:r w:rsidRPr="008F5862">
        <w:rPr>
          <w:rFonts w:ascii="Times New Roman" w:hAnsi="Times New Roman" w:cs="Times New Roman"/>
          <w:sz w:val="24"/>
          <w:szCs w:val="24"/>
          <w:lang w:val="en-GB"/>
        </w:rPr>
        <w:tab/>
      </w:r>
      <w:r w:rsidR="003A4C29" w:rsidRPr="003253E5">
        <w:rPr>
          <w:rFonts w:ascii="Times New Roman" w:hAnsi="Times New Roman" w:cs="Times New Roman"/>
          <w:sz w:val="24"/>
          <w:szCs w:val="24"/>
          <w:lang w:val="en-GB"/>
        </w:rPr>
        <w:t xml:space="preserve">The excise duty and the levies </w:t>
      </w:r>
      <w:r w:rsidR="001A10E3" w:rsidRPr="003253E5">
        <w:rPr>
          <w:rFonts w:ascii="Times New Roman" w:hAnsi="Times New Roman" w:cs="Times New Roman"/>
          <w:sz w:val="24"/>
          <w:szCs w:val="24"/>
          <w:lang w:val="en-GB"/>
        </w:rPr>
        <w:t xml:space="preserve">are payable </w:t>
      </w:r>
      <w:r w:rsidR="003E5051" w:rsidRPr="003253E5">
        <w:rPr>
          <w:rFonts w:ascii="Times New Roman" w:hAnsi="Times New Roman" w:cs="Times New Roman"/>
          <w:sz w:val="24"/>
          <w:szCs w:val="24"/>
          <w:lang w:val="en-GB"/>
        </w:rPr>
        <w:t>to the First Respondent (</w:t>
      </w:r>
      <w:r w:rsidR="00DB3E2A" w:rsidRPr="003253E5">
        <w:rPr>
          <w:rFonts w:ascii="Times New Roman" w:hAnsi="Times New Roman" w:cs="Times New Roman"/>
          <w:sz w:val="24"/>
          <w:szCs w:val="24"/>
          <w:lang w:val="en-GB"/>
        </w:rPr>
        <w:t>“</w:t>
      </w:r>
      <w:r w:rsidR="003E5051" w:rsidRPr="003253E5">
        <w:rPr>
          <w:rFonts w:ascii="Times New Roman" w:hAnsi="Times New Roman" w:cs="Times New Roman"/>
          <w:b/>
          <w:bCs/>
          <w:sz w:val="24"/>
          <w:szCs w:val="24"/>
          <w:lang w:val="en-GB"/>
        </w:rPr>
        <w:t>SARS</w:t>
      </w:r>
      <w:r w:rsidR="00DB3E2A" w:rsidRPr="003253E5">
        <w:rPr>
          <w:rFonts w:ascii="Times New Roman" w:hAnsi="Times New Roman" w:cs="Times New Roman"/>
          <w:sz w:val="24"/>
          <w:szCs w:val="24"/>
          <w:lang w:val="en-GB"/>
        </w:rPr>
        <w:t>”</w:t>
      </w:r>
      <w:r w:rsidR="003E5051" w:rsidRPr="003253E5">
        <w:rPr>
          <w:rFonts w:ascii="Times New Roman" w:hAnsi="Times New Roman" w:cs="Times New Roman"/>
          <w:sz w:val="24"/>
          <w:szCs w:val="24"/>
          <w:lang w:val="en-GB"/>
        </w:rPr>
        <w:t xml:space="preserve">) </w:t>
      </w:r>
      <w:r w:rsidR="001A10E3" w:rsidRPr="003253E5">
        <w:rPr>
          <w:rFonts w:ascii="Times New Roman" w:hAnsi="Times New Roman" w:cs="Times New Roman"/>
          <w:sz w:val="24"/>
          <w:szCs w:val="24"/>
          <w:lang w:val="en-GB"/>
        </w:rPr>
        <w:t xml:space="preserve">when the </w:t>
      </w:r>
      <w:r w:rsidR="00C00C0D" w:rsidRPr="003253E5">
        <w:rPr>
          <w:rFonts w:ascii="Times New Roman" w:hAnsi="Times New Roman" w:cs="Times New Roman"/>
          <w:sz w:val="24"/>
          <w:szCs w:val="24"/>
          <w:lang w:val="en-GB"/>
        </w:rPr>
        <w:t xml:space="preserve">fuel goods leave </w:t>
      </w:r>
      <w:r w:rsidR="001A10E3" w:rsidRPr="003253E5">
        <w:rPr>
          <w:rFonts w:ascii="Times New Roman" w:hAnsi="Times New Roman" w:cs="Times New Roman"/>
          <w:sz w:val="24"/>
          <w:szCs w:val="24"/>
          <w:lang w:val="en-GB"/>
        </w:rPr>
        <w:t>the VM.</w:t>
      </w:r>
      <w:r w:rsidR="00344016" w:rsidRPr="008F5862">
        <w:rPr>
          <w:rStyle w:val="FootnoteReference"/>
          <w:rFonts w:ascii="Times New Roman" w:hAnsi="Times New Roman" w:cs="Times New Roman"/>
          <w:sz w:val="24"/>
          <w:szCs w:val="24"/>
          <w:lang w:val="en-GB"/>
        </w:rPr>
        <w:footnoteReference w:id="1"/>
      </w:r>
      <w:r w:rsidR="001A10E3" w:rsidRPr="003253E5">
        <w:rPr>
          <w:rFonts w:ascii="Times New Roman" w:hAnsi="Times New Roman" w:cs="Times New Roman"/>
          <w:sz w:val="24"/>
          <w:szCs w:val="24"/>
          <w:lang w:val="en-GB"/>
        </w:rPr>
        <w:t xml:space="preserve">  </w:t>
      </w:r>
      <w:r w:rsidR="00D55E9A" w:rsidRPr="003253E5">
        <w:rPr>
          <w:rFonts w:ascii="Times New Roman" w:hAnsi="Times New Roman" w:cs="Times New Roman"/>
          <w:sz w:val="24"/>
          <w:szCs w:val="24"/>
          <w:lang w:val="en-GB"/>
        </w:rPr>
        <w:t>They are then deemed to have been entered into the country for home consumption, even though they may be destined for exportation to neighbouring countries, such as Botswana, Lesotho, Namibia or Swaziland (</w:t>
      </w:r>
      <w:r w:rsidR="00DB3E2A" w:rsidRPr="003253E5">
        <w:rPr>
          <w:rFonts w:ascii="Times New Roman" w:hAnsi="Times New Roman" w:cs="Times New Roman"/>
          <w:sz w:val="24"/>
          <w:szCs w:val="24"/>
          <w:lang w:val="en-GB"/>
        </w:rPr>
        <w:t>“</w:t>
      </w:r>
      <w:r w:rsidR="00D55E9A" w:rsidRPr="003253E5">
        <w:rPr>
          <w:rFonts w:ascii="Times New Roman" w:hAnsi="Times New Roman" w:cs="Times New Roman"/>
          <w:b/>
          <w:bCs/>
          <w:sz w:val="24"/>
          <w:szCs w:val="24"/>
          <w:lang w:val="en-GB"/>
        </w:rPr>
        <w:t>BLNS countries</w:t>
      </w:r>
      <w:r w:rsidR="00DB3E2A" w:rsidRPr="003253E5">
        <w:rPr>
          <w:rFonts w:ascii="Times New Roman" w:hAnsi="Times New Roman" w:cs="Times New Roman"/>
          <w:sz w:val="24"/>
          <w:szCs w:val="24"/>
          <w:lang w:val="en-GB"/>
        </w:rPr>
        <w:t>”</w:t>
      </w:r>
      <w:r w:rsidR="00D55E9A" w:rsidRPr="003253E5">
        <w:rPr>
          <w:rFonts w:ascii="Times New Roman" w:hAnsi="Times New Roman" w:cs="Times New Roman"/>
          <w:sz w:val="24"/>
          <w:szCs w:val="24"/>
          <w:lang w:val="en-GB"/>
        </w:rPr>
        <w:t xml:space="preserve">) or other African countries.  Exports to BLNS countries are referred to as </w:t>
      </w:r>
      <w:r w:rsidR="00DB3E2A" w:rsidRPr="003253E5">
        <w:rPr>
          <w:rFonts w:ascii="Times New Roman" w:hAnsi="Times New Roman" w:cs="Times New Roman"/>
          <w:sz w:val="24"/>
          <w:szCs w:val="24"/>
          <w:lang w:val="en-GB"/>
        </w:rPr>
        <w:t>“</w:t>
      </w:r>
      <w:r w:rsidR="00D55E9A" w:rsidRPr="003253E5">
        <w:rPr>
          <w:rFonts w:ascii="Times New Roman" w:hAnsi="Times New Roman" w:cs="Times New Roman"/>
          <w:i/>
          <w:iCs/>
          <w:sz w:val="24"/>
          <w:szCs w:val="24"/>
          <w:lang w:val="en-GB"/>
        </w:rPr>
        <w:t>removals</w:t>
      </w:r>
      <w:r w:rsidR="00DB3E2A" w:rsidRPr="003253E5">
        <w:rPr>
          <w:rFonts w:ascii="Times New Roman" w:hAnsi="Times New Roman" w:cs="Times New Roman"/>
          <w:sz w:val="24"/>
          <w:szCs w:val="24"/>
          <w:lang w:val="en-GB"/>
        </w:rPr>
        <w:t>”</w:t>
      </w:r>
      <w:r w:rsidR="00D55E9A" w:rsidRPr="003253E5">
        <w:rPr>
          <w:rFonts w:ascii="Times New Roman" w:hAnsi="Times New Roman" w:cs="Times New Roman"/>
          <w:sz w:val="24"/>
          <w:szCs w:val="24"/>
          <w:lang w:val="en-GB"/>
        </w:rPr>
        <w:t xml:space="preserve"> and exports to other</w:t>
      </w:r>
      <w:r w:rsidR="004847A9" w:rsidRPr="003253E5">
        <w:rPr>
          <w:rFonts w:ascii="Times New Roman" w:hAnsi="Times New Roman" w:cs="Times New Roman"/>
          <w:sz w:val="24"/>
          <w:szCs w:val="24"/>
          <w:lang w:val="en-GB"/>
        </w:rPr>
        <w:t xml:space="preserve"> foreign</w:t>
      </w:r>
      <w:r w:rsidR="00D55E9A" w:rsidRPr="003253E5">
        <w:rPr>
          <w:rFonts w:ascii="Times New Roman" w:hAnsi="Times New Roman" w:cs="Times New Roman"/>
          <w:sz w:val="24"/>
          <w:szCs w:val="24"/>
          <w:lang w:val="en-GB"/>
        </w:rPr>
        <w:t xml:space="preserve"> countries are referred to as </w:t>
      </w:r>
      <w:r w:rsidR="00DB3E2A" w:rsidRPr="003253E5">
        <w:rPr>
          <w:rFonts w:ascii="Times New Roman" w:hAnsi="Times New Roman" w:cs="Times New Roman"/>
          <w:sz w:val="24"/>
          <w:szCs w:val="24"/>
          <w:lang w:val="en-GB"/>
        </w:rPr>
        <w:t>“</w:t>
      </w:r>
      <w:r w:rsidR="00D55E9A" w:rsidRPr="003253E5">
        <w:rPr>
          <w:rFonts w:ascii="Times New Roman" w:hAnsi="Times New Roman" w:cs="Times New Roman"/>
          <w:i/>
          <w:iCs/>
          <w:sz w:val="24"/>
          <w:szCs w:val="24"/>
          <w:lang w:val="en-GB"/>
        </w:rPr>
        <w:t>exports</w:t>
      </w:r>
      <w:r w:rsidR="00DB3E2A" w:rsidRPr="003253E5">
        <w:rPr>
          <w:rFonts w:ascii="Times New Roman" w:hAnsi="Times New Roman" w:cs="Times New Roman"/>
          <w:sz w:val="24"/>
          <w:szCs w:val="24"/>
          <w:lang w:val="en-GB"/>
        </w:rPr>
        <w:t>”</w:t>
      </w:r>
      <w:r w:rsidR="00D55E9A" w:rsidRPr="003253E5">
        <w:rPr>
          <w:rFonts w:ascii="Times New Roman" w:hAnsi="Times New Roman" w:cs="Times New Roman"/>
          <w:sz w:val="24"/>
          <w:szCs w:val="24"/>
          <w:lang w:val="en-GB"/>
        </w:rPr>
        <w:t>.</w:t>
      </w:r>
    </w:p>
    <w:p w14:paraId="35B42F49" w14:textId="4F8E25FC" w:rsidR="003E5051"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w:t>
      </w:r>
      <w:r w:rsidRPr="008F5862">
        <w:rPr>
          <w:rFonts w:ascii="Times New Roman" w:hAnsi="Times New Roman" w:cs="Times New Roman"/>
          <w:sz w:val="24"/>
          <w:szCs w:val="24"/>
          <w:lang w:val="en-GB"/>
        </w:rPr>
        <w:tab/>
      </w:r>
      <w:r w:rsidR="00D55E9A" w:rsidRPr="003253E5">
        <w:rPr>
          <w:rFonts w:ascii="Times New Roman" w:hAnsi="Times New Roman" w:cs="Times New Roman"/>
          <w:sz w:val="24"/>
          <w:szCs w:val="24"/>
          <w:lang w:val="en-GB"/>
        </w:rPr>
        <w:t>Once</w:t>
      </w:r>
      <w:r w:rsidR="00C00C0D" w:rsidRPr="003253E5">
        <w:rPr>
          <w:rFonts w:ascii="Times New Roman" w:hAnsi="Times New Roman" w:cs="Times New Roman"/>
          <w:sz w:val="24"/>
          <w:szCs w:val="24"/>
          <w:lang w:val="en-GB"/>
        </w:rPr>
        <w:t xml:space="preserve"> they leave the VM and</w:t>
      </w:r>
      <w:r w:rsidR="00D55E9A" w:rsidRPr="003253E5">
        <w:rPr>
          <w:rFonts w:ascii="Times New Roman" w:hAnsi="Times New Roman" w:cs="Times New Roman"/>
          <w:sz w:val="24"/>
          <w:szCs w:val="24"/>
          <w:lang w:val="en-GB"/>
        </w:rPr>
        <w:t xml:space="preserve"> the duty and levies are paid, the fuel goods become </w:t>
      </w:r>
      <w:r w:rsidR="00DB3E2A" w:rsidRPr="003253E5">
        <w:rPr>
          <w:rFonts w:ascii="Times New Roman" w:hAnsi="Times New Roman" w:cs="Times New Roman"/>
          <w:sz w:val="24"/>
          <w:szCs w:val="24"/>
          <w:lang w:val="en-GB"/>
        </w:rPr>
        <w:t>“</w:t>
      </w:r>
      <w:r w:rsidR="00D55E9A" w:rsidRPr="003253E5">
        <w:rPr>
          <w:rFonts w:ascii="Times New Roman" w:hAnsi="Times New Roman" w:cs="Times New Roman"/>
          <w:i/>
          <w:iCs/>
          <w:sz w:val="24"/>
          <w:szCs w:val="24"/>
          <w:lang w:val="en-GB"/>
        </w:rPr>
        <w:t>duty paid stock</w:t>
      </w:r>
      <w:r w:rsidR="00DB3E2A" w:rsidRPr="003253E5">
        <w:rPr>
          <w:rFonts w:ascii="Times New Roman" w:hAnsi="Times New Roman" w:cs="Times New Roman"/>
          <w:sz w:val="24"/>
          <w:szCs w:val="24"/>
          <w:lang w:val="en-GB"/>
        </w:rPr>
        <w:t>”</w:t>
      </w:r>
      <w:r w:rsidR="00D55E9A" w:rsidRPr="003253E5">
        <w:rPr>
          <w:rFonts w:ascii="Times New Roman" w:hAnsi="Times New Roman" w:cs="Times New Roman"/>
          <w:sz w:val="24"/>
          <w:szCs w:val="24"/>
          <w:lang w:val="en-GB"/>
        </w:rPr>
        <w:t xml:space="preserve">. </w:t>
      </w:r>
      <w:r w:rsidR="00F63DE0" w:rsidRPr="003253E5">
        <w:rPr>
          <w:rFonts w:ascii="Times New Roman" w:hAnsi="Times New Roman" w:cs="Times New Roman"/>
          <w:sz w:val="24"/>
          <w:szCs w:val="24"/>
          <w:lang w:val="en-GB"/>
        </w:rPr>
        <w:t xml:space="preserve"> </w:t>
      </w:r>
      <w:r w:rsidR="00C876F7" w:rsidRPr="003253E5">
        <w:rPr>
          <w:rFonts w:ascii="Times New Roman" w:hAnsi="Times New Roman" w:cs="Times New Roman"/>
          <w:sz w:val="24"/>
          <w:szCs w:val="24"/>
          <w:lang w:val="en-GB"/>
        </w:rPr>
        <w:t xml:space="preserve">However, in </w:t>
      </w:r>
      <w:r w:rsidR="00EB2B7C" w:rsidRPr="003253E5">
        <w:rPr>
          <w:rFonts w:ascii="Times New Roman" w:hAnsi="Times New Roman" w:cs="Times New Roman"/>
          <w:sz w:val="24"/>
          <w:szCs w:val="24"/>
          <w:lang w:val="en-GB"/>
        </w:rPr>
        <w:t>terms of s75(1)(d) read with Schedule</w:t>
      </w:r>
      <w:r w:rsidR="004847A9" w:rsidRPr="003253E5">
        <w:rPr>
          <w:rFonts w:ascii="Times New Roman" w:hAnsi="Times New Roman" w:cs="Times New Roman"/>
          <w:sz w:val="24"/>
          <w:szCs w:val="24"/>
          <w:lang w:val="en-GB"/>
        </w:rPr>
        <w:t> </w:t>
      </w:r>
      <w:r w:rsidR="00EB2B7C" w:rsidRPr="003253E5">
        <w:rPr>
          <w:rFonts w:ascii="Times New Roman" w:hAnsi="Times New Roman" w:cs="Times New Roman"/>
          <w:sz w:val="24"/>
          <w:szCs w:val="24"/>
          <w:lang w:val="en-GB"/>
        </w:rPr>
        <w:t xml:space="preserve">6 of the Act, </w:t>
      </w:r>
      <w:r w:rsidR="004847A9" w:rsidRPr="003253E5">
        <w:rPr>
          <w:rFonts w:ascii="Times New Roman" w:hAnsi="Times New Roman" w:cs="Times New Roman"/>
          <w:sz w:val="24"/>
          <w:szCs w:val="24"/>
          <w:lang w:val="en-GB"/>
        </w:rPr>
        <w:t>a</w:t>
      </w:r>
      <w:r w:rsidR="003E5051" w:rsidRPr="003253E5">
        <w:rPr>
          <w:rFonts w:ascii="Times New Roman" w:hAnsi="Times New Roman" w:cs="Times New Roman"/>
          <w:sz w:val="24"/>
          <w:szCs w:val="24"/>
          <w:lang w:val="en-GB"/>
        </w:rPr>
        <w:t xml:space="preserve"> licensee is entitled to a refund of the excise duty and the fuel levies in respect of removed or </w:t>
      </w:r>
      <w:r w:rsidR="003E5051" w:rsidRPr="003253E5">
        <w:rPr>
          <w:rFonts w:ascii="Times New Roman" w:hAnsi="Times New Roman" w:cs="Times New Roman"/>
          <w:sz w:val="24"/>
          <w:szCs w:val="24"/>
          <w:lang w:val="en-GB"/>
        </w:rPr>
        <w:lastRenderedPageBreak/>
        <w:t xml:space="preserve">exported goods provided that the statutory requirements are met. </w:t>
      </w:r>
      <w:r w:rsidR="004847A9" w:rsidRPr="003253E5">
        <w:rPr>
          <w:rFonts w:ascii="Times New Roman" w:hAnsi="Times New Roman" w:cs="Times New Roman"/>
          <w:sz w:val="24"/>
          <w:szCs w:val="24"/>
          <w:lang w:val="en-GB"/>
        </w:rPr>
        <w:t xml:space="preserve"> In terms of s77 of the Act,</w:t>
      </w:r>
      <w:r w:rsidR="003E5051" w:rsidRPr="003253E5">
        <w:rPr>
          <w:rFonts w:ascii="Times New Roman" w:hAnsi="Times New Roman" w:cs="Times New Roman"/>
          <w:sz w:val="24"/>
          <w:szCs w:val="24"/>
          <w:lang w:val="en-GB"/>
        </w:rPr>
        <w:t xml:space="preserve"> </w:t>
      </w:r>
      <w:r w:rsidR="004847A9" w:rsidRPr="003253E5">
        <w:rPr>
          <w:rFonts w:ascii="Times New Roman" w:hAnsi="Times New Roman" w:cs="Times New Roman"/>
          <w:sz w:val="24"/>
          <w:szCs w:val="24"/>
          <w:lang w:val="en-GB"/>
        </w:rPr>
        <w:t xml:space="preserve">such </w:t>
      </w:r>
      <w:r w:rsidR="003E5051" w:rsidRPr="003253E5">
        <w:rPr>
          <w:rFonts w:ascii="Times New Roman" w:hAnsi="Times New Roman" w:cs="Times New Roman"/>
          <w:sz w:val="24"/>
          <w:szCs w:val="24"/>
          <w:lang w:val="en-GB"/>
        </w:rPr>
        <w:t>a refund may be set-off in the licensee</w:t>
      </w:r>
      <w:r w:rsidR="00DB3E2A" w:rsidRPr="003253E5">
        <w:rPr>
          <w:rFonts w:ascii="Times New Roman" w:hAnsi="Times New Roman" w:cs="Times New Roman"/>
          <w:sz w:val="24"/>
          <w:szCs w:val="24"/>
          <w:lang w:val="en-GB"/>
        </w:rPr>
        <w:t>’</w:t>
      </w:r>
      <w:r w:rsidR="003E5051" w:rsidRPr="003253E5">
        <w:rPr>
          <w:rFonts w:ascii="Times New Roman" w:hAnsi="Times New Roman" w:cs="Times New Roman"/>
          <w:sz w:val="24"/>
          <w:szCs w:val="24"/>
          <w:lang w:val="en-GB"/>
        </w:rPr>
        <w:t>s monthly excise account</w:t>
      </w:r>
      <w:r w:rsidR="00C876F7" w:rsidRPr="003253E5">
        <w:rPr>
          <w:rFonts w:ascii="Times New Roman" w:hAnsi="Times New Roman" w:cs="Times New Roman"/>
          <w:sz w:val="24"/>
          <w:szCs w:val="24"/>
          <w:lang w:val="en-GB"/>
        </w:rPr>
        <w:t xml:space="preserve"> (DA160 account)</w:t>
      </w:r>
      <w:r w:rsidR="00EB2B7C" w:rsidRPr="003253E5">
        <w:rPr>
          <w:rFonts w:ascii="Times New Roman" w:hAnsi="Times New Roman" w:cs="Times New Roman"/>
          <w:sz w:val="24"/>
          <w:szCs w:val="24"/>
          <w:lang w:val="en-GB"/>
        </w:rPr>
        <w:t>.</w:t>
      </w:r>
    </w:p>
    <w:p w14:paraId="4C79ABA7" w14:textId="653D6EF9" w:rsidR="003E5051"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[5]</w:t>
      </w:r>
      <w:r w:rsidRPr="008F5862">
        <w:rPr>
          <w:rFonts w:ascii="Times New Roman" w:hAnsi="Times New Roman" w:cs="Times New Roman"/>
          <w:sz w:val="24"/>
          <w:szCs w:val="24"/>
          <w:lang w:val="en-GB"/>
        </w:rPr>
        <w:tab/>
      </w:r>
      <w:r w:rsidR="003E5051" w:rsidRPr="003253E5">
        <w:rPr>
          <w:rFonts w:ascii="Times New Roman" w:hAnsi="Times New Roman" w:cs="Times New Roman"/>
          <w:sz w:val="24"/>
          <w:szCs w:val="24"/>
          <w:lang w:val="en-GB"/>
        </w:rPr>
        <w:t xml:space="preserve">The present matter is concerned with the question of whether PetroSA is entitled to a refund </w:t>
      </w:r>
      <w:r w:rsidR="00614F19" w:rsidRPr="003253E5">
        <w:rPr>
          <w:rFonts w:ascii="Times New Roman" w:hAnsi="Times New Roman" w:cs="Times New Roman"/>
          <w:sz w:val="24"/>
          <w:szCs w:val="24"/>
          <w:lang w:val="en-GB"/>
        </w:rPr>
        <w:t xml:space="preserve">in respect of </w:t>
      </w:r>
      <w:r w:rsidR="001A0731" w:rsidRPr="003253E5">
        <w:rPr>
          <w:rFonts w:ascii="Times New Roman" w:hAnsi="Times New Roman" w:cs="Times New Roman"/>
          <w:sz w:val="24"/>
          <w:szCs w:val="24"/>
          <w:lang w:val="en-GB"/>
        </w:rPr>
        <w:t xml:space="preserve">certain </w:t>
      </w:r>
      <w:r w:rsidR="00614F19" w:rsidRPr="003253E5">
        <w:rPr>
          <w:rFonts w:ascii="Times New Roman" w:hAnsi="Times New Roman" w:cs="Times New Roman"/>
          <w:sz w:val="24"/>
          <w:szCs w:val="24"/>
          <w:lang w:val="en-GB"/>
        </w:rPr>
        <w:t xml:space="preserve">transactions </w:t>
      </w:r>
      <w:r w:rsidR="001A0731" w:rsidRPr="003253E5">
        <w:rPr>
          <w:rFonts w:ascii="Times New Roman" w:hAnsi="Times New Roman" w:cs="Times New Roman"/>
          <w:sz w:val="24"/>
          <w:szCs w:val="24"/>
          <w:lang w:val="en-GB"/>
        </w:rPr>
        <w:t>concluded</w:t>
      </w:r>
      <w:r w:rsidR="00614F19" w:rsidRPr="003253E5">
        <w:rPr>
          <w:rFonts w:ascii="Times New Roman" w:hAnsi="Times New Roman" w:cs="Times New Roman"/>
          <w:sz w:val="24"/>
          <w:szCs w:val="24"/>
          <w:lang w:val="en-GB"/>
        </w:rPr>
        <w:t xml:space="preserve"> during a specific audit period, more particularl</w:t>
      </w:r>
      <w:r w:rsidR="00EB2B7C" w:rsidRPr="003253E5">
        <w:rPr>
          <w:rFonts w:ascii="Times New Roman" w:hAnsi="Times New Roman" w:cs="Times New Roman"/>
          <w:sz w:val="24"/>
          <w:szCs w:val="24"/>
          <w:lang w:val="en-GB"/>
        </w:rPr>
        <w:t xml:space="preserve">y </w:t>
      </w:r>
      <w:r w:rsidR="00C876F7" w:rsidRPr="003253E5">
        <w:rPr>
          <w:rFonts w:ascii="Times New Roman" w:hAnsi="Times New Roman" w:cs="Times New Roman"/>
          <w:sz w:val="24"/>
          <w:szCs w:val="24"/>
          <w:lang w:val="en-GB"/>
        </w:rPr>
        <w:t xml:space="preserve">from </w:t>
      </w:r>
      <w:r w:rsidR="00EB2B7C" w:rsidRPr="003253E5">
        <w:rPr>
          <w:rFonts w:ascii="Times New Roman" w:hAnsi="Times New Roman" w:cs="Times New Roman"/>
          <w:sz w:val="24"/>
          <w:szCs w:val="24"/>
          <w:lang w:val="en-GB"/>
        </w:rPr>
        <w:t>May</w:t>
      </w:r>
      <w:r w:rsidR="00F7161B" w:rsidRPr="003253E5">
        <w:rPr>
          <w:rFonts w:ascii="Times New Roman" w:hAnsi="Times New Roman" w:cs="Times New Roman"/>
          <w:sz w:val="24"/>
          <w:szCs w:val="24"/>
          <w:lang w:val="en-GB"/>
        </w:rPr>
        <w:t> </w:t>
      </w:r>
      <w:r w:rsidR="00EB2B7C" w:rsidRPr="003253E5">
        <w:rPr>
          <w:rFonts w:ascii="Times New Roman" w:hAnsi="Times New Roman" w:cs="Times New Roman"/>
          <w:sz w:val="24"/>
          <w:szCs w:val="24"/>
          <w:lang w:val="en-GB"/>
        </w:rPr>
        <w:t>2015 up to and including March</w:t>
      </w:r>
      <w:r w:rsidR="00F7161B" w:rsidRPr="003253E5">
        <w:rPr>
          <w:rFonts w:ascii="Times New Roman" w:hAnsi="Times New Roman" w:cs="Times New Roman"/>
          <w:sz w:val="24"/>
          <w:szCs w:val="24"/>
          <w:lang w:val="en-GB"/>
        </w:rPr>
        <w:t> </w:t>
      </w:r>
      <w:r w:rsidR="00EB2B7C" w:rsidRPr="003253E5">
        <w:rPr>
          <w:rFonts w:ascii="Times New Roman" w:hAnsi="Times New Roman" w:cs="Times New Roman"/>
          <w:sz w:val="24"/>
          <w:szCs w:val="24"/>
          <w:lang w:val="en-GB"/>
        </w:rPr>
        <w:t>2017</w:t>
      </w:r>
      <w:r w:rsidR="00547EF5" w:rsidRPr="003253E5">
        <w:rPr>
          <w:rFonts w:ascii="Times New Roman" w:hAnsi="Times New Roman" w:cs="Times New Roman"/>
          <w:sz w:val="24"/>
          <w:szCs w:val="24"/>
          <w:lang w:val="en-GB"/>
        </w:rPr>
        <w:t xml:space="preserve"> (</w:t>
      </w:r>
      <w:r w:rsidR="00DB3E2A" w:rsidRPr="003253E5">
        <w:rPr>
          <w:rFonts w:ascii="Times New Roman" w:hAnsi="Times New Roman" w:cs="Times New Roman"/>
          <w:sz w:val="24"/>
          <w:szCs w:val="24"/>
          <w:lang w:val="en-GB"/>
        </w:rPr>
        <w:t>“</w:t>
      </w:r>
      <w:r w:rsidR="00547EF5" w:rsidRPr="003253E5">
        <w:rPr>
          <w:rFonts w:ascii="Times New Roman" w:hAnsi="Times New Roman" w:cs="Times New Roman"/>
          <w:b/>
          <w:bCs/>
          <w:sz w:val="24"/>
          <w:szCs w:val="24"/>
          <w:lang w:val="en-GB"/>
        </w:rPr>
        <w:t>the audit period</w:t>
      </w:r>
      <w:r w:rsidR="00DB3E2A" w:rsidRPr="003253E5">
        <w:rPr>
          <w:rFonts w:ascii="Times New Roman" w:hAnsi="Times New Roman" w:cs="Times New Roman"/>
          <w:sz w:val="24"/>
          <w:szCs w:val="24"/>
          <w:lang w:val="en-GB"/>
        </w:rPr>
        <w:t>”</w:t>
      </w:r>
      <w:r w:rsidR="00547EF5" w:rsidRPr="003253E5">
        <w:rPr>
          <w:rFonts w:ascii="Times New Roman" w:hAnsi="Times New Roman" w:cs="Times New Roman"/>
          <w:sz w:val="24"/>
          <w:szCs w:val="24"/>
          <w:lang w:val="en-GB"/>
        </w:rPr>
        <w:t>).</w:t>
      </w:r>
      <w:r w:rsidR="00EB2B7C" w:rsidRPr="003253E5">
        <w:rPr>
          <w:rFonts w:ascii="Times New Roman" w:hAnsi="Times New Roman" w:cs="Times New Roman"/>
          <w:sz w:val="24"/>
          <w:szCs w:val="24"/>
          <w:lang w:val="en-GB"/>
        </w:rPr>
        <w:t xml:space="preserve"> </w:t>
      </w:r>
      <w:r w:rsidR="00C00C0D" w:rsidRPr="003253E5">
        <w:rPr>
          <w:rFonts w:ascii="Times New Roman" w:hAnsi="Times New Roman" w:cs="Times New Roman"/>
          <w:sz w:val="24"/>
          <w:szCs w:val="24"/>
          <w:lang w:val="en-GB"/>
        </w:rPr>
        <w:t xml:space="preserve"> It is common cause that the duties and levies were paid</w:t>
      </w:r>
      <w:r w:rsidR="00C876F7" w:rsidRPr="003253E5">
        <w:rPr>
          <w:rFonts w:ascii="Times New Roman" w:hAnsi="Times New Roman" w:cs="Times New Roman"/>
          <w:sz w:val="24"/>
          <w:szCs w:val="24"/>
          <w:lang w:val="en-GB"/>
        </w:rPr>
        <w:t xml:space="preserve"> on the fuel goods</w:t>
      </w:r>
      <w:r w:rsidR="00C00C0D" w:rsidRPr="003253E5">
        <w:rPr>
          <w:rFonts w:ascii="Times New Roman" w:hAnsi="Times New Roman" w:cs="Times New Roman"/>
          <w:sz w:val="24"/>
          <w:szCs w:val="24"/>
          <w:lang w:val="en-GB"/>
        </w:rPr>
        <w:t xml:space="preserve"> and that the set-off was effected by PetroSA.  The question is whether PetroSA was entitled to the set-off (effectively a refund of the duty and levies paid)</w:t>
      </w:r>
      <w:r w:rsidR="001A0731" w:rsidRPr="003253E5">
        <w:rPr>
          <w:rFonts w:ascii="Times New Roman" w:hAnsi="Times New Roman" w:cs="Times New Roman"/>
          <w:sz w:val="24"/>
          <w:szCs w:val="24"/>
          <w:lang w:val="en-GB"/>
        </w:rPr>
        <w:t xml:space="preserve"> on the basis that if the fuel goods were removed or exported and PetroSA complied with the legal requirements for the refund.</w:t>
      </w:r>
    </w:p>
    <w:p w14:paraId="4FAAD909" w14:textId="690FCAC0" w:rsidR="00614F19" w:rsidRPr="008F5862" w:rsidRDefault="00614F19" w:rsidP="004F7C26">
      <w:pPr>
        <w:pStyle w:val="Heading1"/>
        <w:rPr>
          <w:lang w:val="en-GB"/>
        </w:rPr>
      </w:pPr>
      <w:r w:rsidRPr="008F5862">
        <w:rPr>
          <w:lang w:val="en-GB"/>
        </w:rPr>
        <w:t>Factual background</w:t>
      </w:r>
    </w:p>
    <w:p w14:paraId="75B20341" w14:textId="3DDEC5E7" w:rsidR="00547EF5"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w:t>
      </w:r>
      <w:r w:rsidRPr="008F5862">
        <w:rPr>
          <w:rFonts w:ascii="Times New Roman" w:hAnsi="Times New Roman" w:cs="Times New Roman"/>
          <w:sz w:val="24"/>
          <w:szCs w:val="24"/>
          <w:lang w:val="en-GB"/>
        </w:rPr>
        <w:tab/>
      </w:r>
      <w:r w:rsidR="00547EF5" w:rsidRPr="003253E5">
        <w:rPr>
          <w:rFonts w:ascii="Times New Roman" w:hAnsi="Times New Roman" w:cs="Times New Roman"/>
          <w:sz w:val="24"/>
          <w:szCs w:val="24"/>
          <w:lang w:val="en-GB"/>
        </w:rPr>
        <w:t xml:space="preserve">The </w:t>
      </w:r>
      <w:r w:rsidR="00713E25" w:rsidRPr="003253E5">
        <w:rPr>
          <w:rFonts w:ascii="Times New Roman" w:hAnsi="Times New Roman" w:cs="Times New Roman"/>
          <w:sz w:val="24"/>
          <w:szCs w:val="24"/>
          <w:lang w:val="en-GB"/>
        </w:rPr>
        <w:t>audit referred to above</w:t>
      </w:r>
      <w:r w:rsidR="00547EF5" w:rsidRPr="003253E5">
        <w:rPr>
          <w:rFonts w:ascii="Times New Roman" w:hAnsi="Times New Roman" w:cs="Times New Roman"/>
          <w:sz w:val="24"/>
          <w:szCs w:val="24"/>
          <w:lang w:val="en-GB"/>
        </w:rPr>
        <w:t xml:space="preserve"> included a letter of engagement from SARS to PetroSA dated 17</w:t>
      </w:r>
      <w:r w:rsidR="00F7161B" w:rsidRPr="003253E5">
        <w:rPr>
          <w:rFonts w:ascii="Times New Roman" w:hAnsi="Times New Roman" w:cs="Times New Roman"/>
          <w:sz w:val="24"/>
          <w:szCs w:val="24"/>
          <w:lang w:val="en-GB"/>
        </w:rPr>
        <w:t> </w:t>
      </w:r>
      <w:r w:rsidR="00547EF5" w:rsidRPr="003253E5">
        <w:rPr>
          <w:rFonts w:ascii="Times New Roman" w:hAnsi="Times New Roman" w:cs="Times New Roman"/>
          <w:sz w:val="24"/>
          <w:szCs w:val="24"/>
          <w:lang w:val="en-GB"/>
        </w:rPr>
        <w:t>May</w:t>
      </w:r>
      <w:r w:rsidR="00F7161B" w:rsidRPr="003253E5">
        <w:rPr>
          <w:rFonts w:ascii="Times New Roman" w:hAnsi="Times New Roman" w:cs="Times New Roman"/>
          <w:sz w:val="24"/>
          <w:szCs w:val="24"/>
          <w:lang w:val="en-GB"/>
        </w:rPr>
        <w:t> </w:t>
      </w:r>
      <w:r w:rsidR="00547EF5" w:rsidRPr="003253E5">
        <w:rPr>
          <w:rFonts w:ascii="Times New Roman" w:hAnsi="Times New Roman" w:cs="Times New Roman"/>
          <w:sz w:val="24"/>
          <w:szCs w:val="24"/>
          <w:lang w:val="en-GB"/>
        </w:rPr>
        <w:t>20</w:t>
      </w:r>
      <w:r w:rsidR="00EC671F" w:rsidRPr="003253E5">
        <w:rPr>
          <w:rFonts w:ascii="Times New Roman" w:hAnsi="Times New Roman" w:cs="Times New Roman"/>
          <w:sz w:val="24"/>
          <w:szCs w:val="24"/>
          <w:lang w:val="en-GB"/>
        </w:rPr>
        <w:t>17</w:t>
      </w:r>
      <w:r w:rsidR="00547EF5" w:rsidRPr="003253E5">
        <w:rPr>
          <w:rFonts w:ascii="Times New Roman" w:hAnsi="Times New Roman" w:cs="Times New Roman"/>
          <w:sz w:val="24"/>
          <w:szCs w:val="24"/>
          <w:lang w:val="en-GB"/>
        </w:rPr>
        <w:t xml:space="preserve">; a </w:t>
      </w:r>
      <w:r w:rsidR="00C00C0D" w:rsidRPr="003253E5">
        <w:rPr>
          <w:rFonts w:ascii="Times New Roman" w:hAnsi="Times New Roman" w:cs="Times New Roman"/>
          <w:sz w:val="24"/>
          <w:szCs w:val="24"/>
          <w:lang w:val="en-GB"/>
        </w:rPr>
        <w:t xml:space="preserve">SARS </w:t>
      </w:r>
      <w:r w:rsidR="00547EF5" w:rsidRPr="003253E5">
        <w:rPr>
          <w:rFonts w:ascii="Times New Roman" w:hAnsi="Times New Roman" w:cs="Times New Roman"/>
          <w:sz w:val="24"/>
          <w:szCs w:val="24"/>
          <w:lang w:val="en-GB"/>
        </w:rPr>
        <w:t xml:space="preserve">notice </w:t>
      </w:r>
      <w:r w:rsidR="00540C27" w:rsidRPr="003253E5">
        <w:rPr>
          <w:rFonts w:ascii="Times New Roman" w:hAnsi="Times New Roman" w:cs="Times New Roman"/>
          <w:sz w:val="24"/>
          <w:szCs w:val="24"/>
          <w:lang w:val="en-GB"/>
        </w:rPr>
        <w:t xml:space="preserve">of intent </w:t>
      </w:r>
      <w:r w:rsidR="00547EF5" w:rsidRPr="003253E5">
        <w:rPr>
          <w:rFonts w:ascii="Times New Roman" w:hAnsi="Times New Roman" w:cs="Times New Roman"/>
          <w:sz w:val="24"/>
          <w:szCs w:val="24"/>
          <w:lang w:val="en-GB"/>
        </w:rPr>
        <w:t>to assess dated 16</w:t>
      </w:r>
      <w:r w:rsidR="00F7161B" w:rsidRPr="003253E5">
        <w:rPr>
          <w:rFonts w:ascii="Times New Roman" w:hAnsi="Times New Roman" w:cs="Times New Roman"/>
          <w:sz w:val="24"/>
          <w:szCs w:val="24"/>
          <w:lang w:val="en-GB"/>
        </w:rPr>
        <w:t> </w:t>
      </w:r>
      <w:r w:rsidR="00547EF5" w:rsidRPr="003253E5">
        <w:rPr>
          <w:rFonts w:ascii="Times New Roman" w:hAnsi="Times New Roman" w:cs="Times New Roman"/>
          <w:sz w:val="24"/>
          <w:szCs w:val="24"/>
          <w:lang w:val="en-GB"/>
        </w:rPr>
        <w:t>August</w:t>
      </w:r>
      <w:r w:rsidR="00F7161B" w:rsidRPr="003253E5">
        <w:rPr>
          <w:rFonts w:ascii="Times New Roman" w:hAnsi="Times New Roman" w:cs="Times New Roman"/>
          <w:sz w:val="24"/>
          <w:szCs w:val="24"/>
          <w:lang w:val="en-GB"/>
        </w:rPr>
        <w:t> </w:t>
      </w:r>
      <w:r w:rsidR="00547EF5" w:rsidRPr="003253E5">
        <w:rPr>
          <w:rFonts w:ascii="Times New Roman" w:hAnsi="Times New Roman" w:cs="Times New Roman"/>
          <w:sz w:val="24"/>
          <w:szCs w:val="24"/>
          <w:lang w:val="en-GB"/>
        </w:rPr>
        <w:t>20</w:t>
      </w:r>
      <w:r w:rsidR="00EC671F" w:rsidRPr="003253E5">
        <w:rPr>
          <w:rFonts w:ascii="Times New Roman" w:hAnsi="Times New Roman" w:cs="Times New Roman"/>
          <w:sz w:val="24"/>
          <w:szCs w:val="24"/>
          <w:lang w:val="en-GB"/>
        </w:rPr>
        <w:t>19</w:t>
      </w:r>
      <w:r w:rsidR="00547EF5" w:rsidRPr="003253E5">
        <w:rPr>
          <w:rFonts w:ascii="Times New Roman" w:hAnsi="Times New Roman" w:cs="Times New Roman"/>
          <w:sz w:val="24"/>
          <w:szCs w:val="24"/>
          <w:lang w:val="en-GB"/>
        </w:rPr>
        <w:t>; a response from PetroSA dated 29</w:t>
      </w:r>
      <w:r w:rsidR="00F7161B" w:rsidRPr="003253E5">
        <w:rPr>
          <w:rFonts w:ascii="Times New Roman" w:hAnsi="Times New Roman" w:cs="Times New Roman"/>
          <w:sz w:val="24"/>
          <w:szCs w:val="24"/>
          <w:lang w:val="en-GB"/>
        </w:rPr>
        <w:t> </w:t>
      </w:r>
      <w:r w:rsidR="00547EF5" w:rsidRPr="003253E5">
        <w:rPr>
          <w:rFonts w:ascii="Times New Roman" w:hAnsi="Times New Roman" w:cs="Times New Roman"/>
          <w:sz w:val="24"/>
          <w:szCs w:val="24"/>
          <w:lang w:val="en-GB"/>
        </w:rPr>
        <w:t>November</w:t>
      </w:r>
      <w:r w:rsidR="00F7161B" w:rsidRPr="003253E5">
        <w:rPr>
          <w:rFonts w:ascii="Times New Roman" w:hAnsi="Times New Roman" w:cs="Times New Roman"/>
          <w:sz w:val="24"/>
          <w:szCs w:val="24"/>
          <w:lang w:val="en-GB"/>
        </w:rPr>
        <w:t> </w:t>
      </w:r>
      <w:r w:rsidR="00547EF5" w:rsidRPr="003253E5">
        <w:rPr>
          <w:rFonts w:ascii="Times New Roman" w:hAnsi="Times New Roman" w:cs="Times New Roman"/>
          <w:sz w:val="24"/>
          <w:szCs w:val="24"/>
          <w:lang w:val="en-GB"/>
        </w:rPr>
        <w:t>20</w:t>
      </w:r>
      <w:r w:rsidR="00EC671F" w:rsidRPr="003253E5">
        <w:rPr>
          <w:rFonts w:ascii="Times New Roman" w:hAnsi="Times New Roman" w:cs="Times New Roman"/>
          <w:sz w:val="24"/>
          <w:szCs w:val="24"/>
          <w:lang w:val="en-GB"/>
        </w:rPr>
        <w:t>19</w:t>
      </w:r>
      <w:r w:rsidR="00C876F7" w:rsidRPr="003253E5">
        <w:rPr>
          <w:rFonts w:ascii="Times New Roman" w:hAnsi="Times New Roman" w:cs="Times New Roman"/>
          <w:sz w:val="24"/>
          <w:szCs w:val="24"/>
          <w:lang w:val="en-GB"/>
        </w:rPr>
        <w:t>;</w:t>
      </w:r>
      <w:r w:rsidR="00547EF5" w:rsidRPr="003253E5">
        <w:rPr>
          <w:rFonts w:ascii="Times New Roman" w:hAnsi="Times New Roman" w:cs="Times New Roman"/>
          <w:sz w:val="24"/>
          <w:szCs w:val="24"/>
          <w:lang w:val="en-GB"/>
        </w:rPr>
        <w:t xml:space="preserve"> and a letter of demand from SARS dated 18</w:t>
      </w:r>
      <w:r w:rsidR="00F7161B" w:rsidRPr="003253E5">
        <w:rPr>
          <w:rFonts w:ascii="Times New Roman" w:hAnsi="Times New Roman" w:cs="Times New Roman"/>
          <w:sz w:val="24"/>
          <w:szCs w:val="24"/>
          <w:lang w:val="en-GB"/>
        </w:rPr>
        <w:t> </w:t>
      </w:r>
      <w:r w:rsidR="00547EF5" w:rsidRPr="003253E5">
        <w:rPr>
          <w:rFonts w:ascii="Times New Roman" w:hAnsi="Times New Roman" w:cs="Times New Roman"/>
          <w:sz w:val="24"/>
          <w:szCs w:val="24"/>
          <w:lang w:val="en-GB"/>
        </w:rPr>
        <w:t>February</w:t>
      </w:r>
      <w:r w:rsidR="00F7161B" w:rsidRPr="003253E5">
        <w:rPr>
          <w:rFonts w:ascii="Times New Roman" w:hAnsi="Times New Roman" w:cs="Times New Roman"/>
          <w:sz w:val="24"/>
          <w:szCs w:val="24"/>
          <w:lang w:val="en-GB"/>
        </w:rPr>
        <w:t> </w:t>
      </w:r>
      <w:r w:rsidR="00547EF5" w:rsidRPr="003253E5">
        <w:rPr>
          <w:rFonts w:ascii="Times New Roman" w:hAnsi="Times New Roman" w:cs="Times New Roman"/>
          <w:sz w:val="24"/>
          <w:szCs w:val="24"/>
          <w:lang w:val="en-GB"/>
        </w:rPr>
        <w:t>2020.</w:t>
      </w:r>
    </w:p>
    <w:p w14:paraId="48AA352A" w14:textId="35E28AAD" w:rsidR="00547EF5"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[7]</w:t>
      </w:r>
      <w:r w:rsidRPr="008F5862">
        <w:rPr>
          <w:rFonts w:ascii="Times New Roman" w:hAnsi="Times New Roman" w:cs="Times New Roman"/>
          <w:sz w:val="24"/>
          <w:szCs w:val="24"/>
          <w:lang w:val="en-GB"/>
        </w:rPr>
        <w:tab/>
      </w:r>
      <w:r w:rsidR="00547EF5" w:rsidRPr="003253E5">
        <w:rPr>
          <w:rFonts w:ascii="Times New Roman" w:hAnsi="Times New Roman" w:cs="Times New Roman"/>
          <w:sz w:val="24"/>
          <w:szCs w:val="24"/>
          <w:lang w:val="en-GB"/>
        </w:rPr>
        <w:t xml:space="preserve">The </w:t>
      </w:r>
      <w:r w:rsidR="00713E25" w:rsidRPr="003253E5">
        <w:rPr>
          <w:rFonts w:ascii="Times New Roman" w:hAnsi="Times New Roman" w:cs="Times New Roman"/>
          <w:sz w:val="24"/>
          <w:szCs w:val="24"/>
          <w:lang w:val="en-GB"/>
        </w:rPr>
        <w:t>letter of demand</w:t>
      </w:r>
      <w:r w:rsidR="00C00C0D" w:rsidRPr="003253E5">
        <w:rPr>
          <w:rFonts w:ascii="Times New Roman" w:hAnsi="Times New Roman" w:cs="Times New Roman"/>
          <w:sz w:val="24"/>
          <w:szCs w:val="24"/>
          <w:lang w:val="en-GB"/>
        </w:rPr>
        <w:t>, which sets out the final position taken by SARS</w:t>
      </w:r>
      <w:r w:rsidR="00547EF5" w:rsidRPr="003253E5">
        <w:rPr>
          <w:rFonts w:ascii="Times New Roman" w:hAnsi="Times New Roman" w:cs="Times New Roman"/>
          <w:sz w:val="24"/>
          <w:szCs w:val="24"/>
          <w:lang w:val="en-GB"/>
        </w:rPr>
        <w:t xml:space="preserve"> contained three findings</w:t>
      </w:r>
      <w:r w:rsidR="00F63DE0" w:rsidRPr="003253E5">
        <w:rPr>
          <w:rFonts w:ascii="Times New Roman" w:hAnsi="Times New Roman" w:cs="Times New Roman"/>
          <w:sz w:val="24"/>
          <w:szCs w:val="24"/>
          <w:lang w:val="en-GB"/>
        </w:rPr>
        <w:t xml:space="preserve"> adverse to PetroSA</w:t>
      </w:r>
      <w:r w:rsidR="00547EF5" w:rsidRPr="003253E5">
        <w:rPr>
          <w:rFonts w:ascii="Times New Roman" w:hAnsi="Times New Roman" w:cs="Times New Roman"/>
          <w:sz w:val="24"/>
          <w:szCs w:val="24"/>
          <w:lang w:val="en-GB"/>
        </w:rPr>
        <w:t xml:space="preserve">.  </w:t>
      </w:r>
    </w:p>
    <w:p w14:paraId="02165EAC" w14:textId="50BFFC70" w:rsidR="00EC671F"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[8]</w:t>
      </w:r>
      <w:r w:rsidRPr="008F5862">
        <w:rPr>
          <w:rFonts w:ascii="Times New Roman" w:hAnsi="Times New Roman" w:cs="Times New Roman"/>
          <w:sz w:val="24"/>
          <w:szCs w:val="24"/>
          <w:lang w:val="en-GB"/>
        </w:rPr>
        <w:tab/>
      </w:r>
      <w:r w:rsidR="005745E5" w:rsidRPr="003253E5">
        <w:rPr>
          <w:rFonts w:ascii="Times New Roman" w:hAnsi="Times New Roman" w:cs="Times New Roman"/>
          <w:sz w:val="24"/>
          <w:szCs w:val="24"/>
          <w:lang w:val="en-GB"/>
        </w:rPr>
        <w:t>Finding 1</w:t>
      </w:r>
      <w:r w:rsidR="00EC671F" w:rsidRPr="003253E5">
        <w:rPr>
          <w:rFonts w:ascii="Times New Roman" w:hAnsi="Times New Roman" w:cs="Times New Roman"/>
          <w:sz w:val="24"/>
          <w:szCs w:val="24"/>
          <w:lang w:val="en-GB"/>
        </w:rPr>
        <w:t xml:space="preserve"> was that PetroSA underdeclared volumes removed from PetroSA</w:t>
      </w:r>
      <w:r w:rsidR="00DB3E2A" w:rsidRPr="003253E5">
        <w:rPr>
          <w:rFonts w:ascii="Times New Roman" w:hAnsi="Times New Roman" w:cs="Times New Roman"/>
          <w:sz w:val="24"/>
          <w:szCs w:val="24"/>
          <w:lang w:val="en-GB"/>
        </w:rPr>
        <w:t>’</w:t>
      </w:r>
      <w:r w:rsidR="00EC671F" w:rsidRPr="003253E5">
        <w:rPr>
          <w:rFonts w:ascii="Times New Roman" w:hAnsi="Times New Roman" w:cs="Times New Roman"/>
          <w:sz w:val="24"/>
          <w:szCs w:val="24"/>
          <w:lang w:val="en-GB"/>
        </w:rPr>
        <w:t xml:space="preserve">s VM resulting in underpayments of duties and levies. </w:t>
      </w:r>
      <w:r w:rsidR="00812511" w:rsidRPr="003253E5">
        <w:rPr>
          <w:rFonts w:ascii="Times New Roman" w:hAnsi="Times New Roman" w:cs="Times New Roman"/>
          <w:sz w:val="24"/>
          <w:szCs w:val="24"/>
          <w:lang w:val="en-GB"/>
        </w:rPr>
        <w:t xml:space="preserve"> </w:t>
      </w:r>
      <w:r w:rsidR="005745E5" w:rsidRPr="003253E5">
        <w:rPr>
          <w:rFonts w:ascii="Times New Roman" w:hAnsi="Times New Roman" w:cs="Times New Roman"/>
          <w:sz w:val="24"/>
          <w:szCs w:val="24"/>
          <w:lang w:val="en-GB"/>
        </w:rPr>
        <w:t>Finding 1</w:t>
      </w:r>
      <w:r w:rsidR="00EC671F" w:rsidRPr="003253E5">
        <w:rPr>
          <w:rFonts w:ascii="Times New Roman" w:hAnsi="Times New Roman" w:cs="Times New Roman"/>
          <w:sz w:val="24"/>
          <w:szCs w:val="24"/>
          <w:lang w:val="en-GB"/>
        </w:rPr>
        <w:t xml:space="preserve"> was abandoned by SARS in its answering affidavit</w:t>
      </w:r>
      <w:r w:rsidR="00C00C0D" w:rsidRPr="003253E5">
        <w:rPr>
          <w:rFonts w:ascii="Times New Roman" w:hAnsi="Times New Roman" w:cs="Times New Roman"/>
          <w:sz w:val="24"/>
          <w:szCs w:val="24"/>
          <w:lang w:val="en-GB"/>
        </w:rPr>
        <w:t xml:space="preserve"> before this Court.  Nothing more need to be said about this finding</w:t>
      </w:r>
      <w:r w:rsidR="00C876F7" w:rsidRPr="003253E5">
        <w:rPr>
          <w:rFonts w:ascii="Times New Roman" w:hAnsi="Times New Roman" w:cs="Times New Roman"/>
          <w:sz w:val="24"/>
          <w:szCs w:val="24"/>
          <w:lang w:val="en-GB"/>
        </w:rPr>
        <w:t>.</w:t>
      </w:r>
    </w:p>
    <w:p w14:paraId="7E6E9667" w14:textId="0F2FC7C4" w:rsidR="00270D5B"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lastRenderedPageBreak/>
        <w:t>[9]</w:t>
      </w:r>
      <w:r w:rsidRPr="008F5862">
        <w:rPr>
          <w:rFonts w:ascii="Times New Roman" w:hAnsi="Times New Roman" w:cs="Times New Roman"/>
          <w:sz w:val="24"/>
          <w:szCs w:val="24"/>
          <w:lang w:val="en-GB"/>
        </w:rPr>
        <w:tab/>
      </w:r>
      <w:r w:rsidR="00F63DE0" w:rsidRPr="003253E5">
        <w:rPr>
          <w:rFonts w:ascii="Times New Roman" w:hAnsi="Times New Roman" w:cs="Times New Roman"/>
          <w:sz w:val="24"/>
          <w:szCs w:val="24"/>
          <w:lang w:val="en-GB"/>
        </w:rPr>
        <w:t>F</w:t>
      </w:r>
      <w:r w:rsidR="00EC671F" w:rsidRPr="003253E5">
        <w:rPr>
          <w:rFonts w:ascii="Times New Roman" w:hAnsi="Times New Roman" w:cs="Times New Roman"/>
          <w:sz w:val="24"/>
          <w:szCs w:val="24"/>
          <w:lang w:val="en-GB"/>
        </w:rPr>
        <w:t>indings</w:t>
      </w:r>
      <w:r w:rsidR="00812511" w:rsidRPr="003253E5">
        <w:rPr>
          <w:rFonts w:ascii="Times New Roman" w:hAnsi="Times New Roman" w:cs="Times New Roman"/>
          <w:sz w:val="24"/>
          <w:szCs w:val="24"/>
          <w:lang w:val="en-GB"/>
        </w:rPr>
        <w:t> </w:t>
      </w:r>
      <w:r w:rsidR="00EC671F" w:rsidRPr="003253E5">
        <w:rPr>
          <w:rFonts w:ascii="Times New Roman" w:hAnsi="Times New Roman" w:cs="Times New Roman"/>
          <w:sz w:val="24"/>
          <w:szCs w:val="24"/>
          <w:lang w:val="en-GB"/>
        </w:rPr>
        <w:t>2 and 3</w:t>
      </w:r>
      <w:r w:rsidR="00F63DE0" w:rsidRPr="003253E5">
        <w:rPr>
          <w:rFonts w:ascii="Times New Roman" w:hAnsi="Times New Roman" w:cs="Times New Roman"/>
          <w:sz w:val="24"/>
          <w:szCs w:val="24"/>
          <w:lang w:val="en-GB"/>
        </w:rPr>
        <w:t xml:space="preserve"> </w:t>
      </w:r>
      <w:r w:rsidR="00EF19F9" w:rsidRPr="003253E5">
        <w:rPr>
          <w:rFonts w:ascii="Times New Roman" w:hAnsi="Times New Roman" w:cs="Times New Roman"/>
          <w:sz w:val="24"/>
          <w:szCs w:val="24"/>
          <w:lang w:val="en-GB"/>
        </w:rPr>
        <w:t xml:space="preserve">are </w:t>
      </w:r>
      <w:r w:rsidR="00E92F2C" w:rsidRPr="003253E5">
        <w:rPr>
          <w:rFonts w:ascii="Times New Roman" w:hAnsi="Times New Roman" w:cs="Times New Roman"/>
          <w:sz w:val="24"/>
          <w:szCs w:val="24"/>
          <w:lang w:val="en-GB"/>
        </w:rPr>
        <w:t>determinations in terms of s47(9)(a)(i)(bb)</w:t>
      </w:r>
      <w:r w:rsidR="00E92F2C" w:rsidRPr="008F5862">
        <w:rPr>
          <w:rStyle w:val="FootnoteReference"/>
          <w:rFonts w:ascii="Times New Roman" w:hAnsi="Times New Roman" w:cs="Times New Roman"/>
          <w:sz w:val="24"/>
          <w:szCs w:val="24"/>
          <w:lang w:val="en-GB"/>
        </w:rPr>
        <w:footnoteReference w:id="2"/>
      </w:r>
      <w:r w:rsidR="00C876F7" w:rsidRPr="003253E5">
        <w:rPr>
          <w:rFonts w:ascii="Times New Roman" w:hAnsi="Times New Roman" w:cs="Times New Roman"/>
          <w:sz w:val="24"/>
          <w:szCs w:val="24"/>
          <w:lang w:val="en-GB"/>
        </w:rPr>
        <w:t xml:space="preserve"> of the Act to the effect that PetroSA is not entitled to the off-set because:</w:t>
      </w:r>
    </w:p>
    <w:p w14:paraId="47B36B66" w14:textId="1F20B3E9" w:rsidR="00046033"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9.1.</w:t>
      </w:r>
      <w:r w:rsidRPr="008F5862">
        <w:rPr>
          <w:rFonts w:ascii="Times New Roman" w:hAnsi="Times New Roman" w:cs="Times New Roman"/>
          <w:sz w:val="24"/>
          <w:szCs w:val="24"/>
          <w:lang w:val="en-GB"/>
        </w:rPr>
        <w:tab/>
      </w:r>
      <w:r w:rsidR="00270D5B" w:rsidRPr="003253E5">
        <w:rPr>
          <w:rFonts w:ascii="Times New Roman" w:hAnsi="Times New Roman" w:cs="Times New Roman"/>
          <w:sz w:val="24"/>
          <w:szCs w:val="24"/>
          <w:lang w:val="en-GB"/>
        </w:rPr>
        <w:t xml:space="preserve">Export acquittal documentation was absent, inadequate or not provided in substantiation of the account set-off.  This </w:t>
      </w:r>
      <w:r w:rsidR="00EF19F9" w:rsidRPr="003253E5">
        <w:rPr>
          <w:rFonts w:ascii="Times New Roman" w:hAnsi="Times New Roman" w:cs="Times New Roman"/>
          <w:sz w:val="24"/>
          <w:szCs w:val="24"/>
          <w:lang w:val="en-GB"/>
        </w:rPr>
        <w:t xml:space="preserve">will </w:t>
      </w:r>
      <w:r w:rsidR="00270D5B" w:rsidRPr="003253E5">
        <w:rPr>
          <w:rFonts w:ascii="Times New Roman" w:hAnsi="Times New Roman" w:cs="Times New Roman"/>
          <w:sz w:val="24"/>
          <w:szCs w:val="24"/>
          <w:lang w:val="en-GB"/>
        </w:rPr>
        <w:t xml:space="preserve">be referred to as </w:t>
      </w:r>
      <w:r w:rsidR="00DB3E2A" w:rsidRPr="003253E5">
        <w:rPr>
          <w:rFonts w:ascii="Times New Roman" w:hAnsi="Times New Roman" w:cs="Times New Roman"/>
          <w:sz w:val="24"/>
          <w:szCs w:val="24"/>
          <w:lang w:val="en-GB"/>
        </w:rPr>
        <w:t>“</w:t>
      </w:r>
      <w:r w:rsidR="005745E5" w:rsidRPr="003253E5">
        <w:rPr>
          <w:rFonts w:ascii="Times New Roman" w:hAnsi="Times New Roman" w:cs="Times New Roman"/>
          <w:i/>
          <w:iCs/>
          <w:sz w:val="24"/>
          <w:szCs w:val="24"/>
          <w:lang w:val="en-GB"/>
        </w:rPr>
        <w:t>Finding 2</w:t>
      </w:r>
      <w:r w:rsidR="00DB3E2A" w:rsidRPr="003253E5">
        <w:rPr>
          <w:rFonts w:ascii="Times New Roman" w:hAnsi="Times New Roman" w:cs="Times New Roman"/>
          <w:sz w:val="24"/>
          <w:szCs w:val="24"/>
          <w:lang w:val="en-GB"/>
        </w:rPr>
        <w:t>”</w:t>
      </w:r>
      <w:r w:rsidR="00270D5B" w:rsidRPr="003253E5">
        <w:rPr>
          <w:rFonts w:ascii="Times New Roman" w:hAnsi="Times New Roman" w:cs="Times New Roman"/>
          <w:sz w:val="24"/>
          <w:szCs w:val="24"/>
          <w:lang w:val="en-GB"/>
        </w:rPr>
        <w:t xml:space="preserve">. </w:t>
      </w:r>
    </w:p>
    <w:p w14:paraId="4EAE0053" w14:textId="7E5B6E57" w:rsidR="00661CF0" w:rsidRPr="003253E5" w:rsidRDefault="003253E5" w:rsidP="003253E5">
      <w:pPr>
        <w:spacing w:after="360" w:line="480" w:lineRule="auto"/>
        <w:ind w:left="1418"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9.2.</w:t>
      </w:r>
      <w:r w:rsidRPr="008F5862">
        <w:rPr>
          <w:rFonts w:ascii="Times New Roman" w:hAnsi="Times New Roman" w:cs="Times New Roman"/>
          <w:sz w:val="24"/>
          <w:szCs w:val="24"/>
          <w:lang w:val="en-GB"/>
        </w:rPr>
        <w:tab/>
      </w:r>
      <w:r w:rsidR="00270D5B" w:rsidRPr="003253E5">
        <w:rPr>
          <w:rFonts w:ascii="Times New Roman" w:hAnsi="Times New Roman" w:cs="Times New Roman"/>
          <w:sz w:val="24"/>
          <w:szCs w:val="24"/>
          <w:lang w:val="en-GB"/>
        </w:rPr>
        <w:t>Fuel had been exported from unlicensed facilities</w:t>
      </w:r>
      <w:r w:rsidR="00F63DE0" w:rsidRPr="003253E5">
        <w:rPr>
          <w:rFonts w:ascii="Times New Roman" w:hAnsi="Times New Roman" w:cs="Times New Roman"/>
          <w:sz w:val="24"/>
          <w:szCs w:val="24"/>
          <w:lang w:val="en-GB"/>
        </w:rPr>
        <w:t xml:space="preserve">, </w:t>
      </w:r>
      <w:r w:rsidR="0048747A" w:rsidRPr="003253E5">
        <w:rPr>
          <w:rFonts w:ascii="Times New Roman" w:hAnsi="Times New Roman" w:cs="Times New Roman"/>
          <w:sz w:val="24"/>
          <w:szCs w:val="24"/>
          <w:lang w:val="en-GB"/>
        </w:rPr>
        <w:t>i.e.</w:t>
      </w:r>
      <w:r w:rsidR="00F63DE0" w:rsidRPr="003253E5">
        <w:rPr>
          <w:rFonts w:ascii="Times New Roman" w:hAnsi="Times New Roman" w:cs="Times New Roman"/>
          <w:sz w:val="24"/>
          <w:szCs w:val="24"/>
          <w:lang w:val="en-GB"/>
        </w:rPr>
        <w:t xml:space="preserve"> the fuel was not removed or exported from a storage tank owned by or under control of a licensee of a VM or a special customs and excise storage warehouse (</w:t>
      </w:r>
      <w:r w:rsidR="00DB3E2A" w:rsidRPr="003253E5">
        <w:rPr>
          <w:rFonts w:ascii="Times New Roman" w:hAnsi="Times New Roman" w:cs="Times New Roman"/>
          <w:sz w:val="24"/>
          <w:szCs w:val="24"/>
          <w:lang w:val="en-GB"/>
        </w:rPr>
        <w:t>“</w:t>
      </w:r>
      <w:r w:rsidR="00F63DE0" w:rsidRPr="003253E5">
        <w:rPr>
          <w:rFonts w:ascii="Times New Roman" w:hAnsi="Times New Roman" w:cs="Times New Roman"/>
          <w:b/>
          <w:bCs/>
          <w:sz w:val="24"/>
          <w:szCs w:val="24"/>
          <w:lang w:val="en-GB"/>
        </w:rPr>
        <w:t>SOS</w:t>
      </w:r>
      <w:r w:rsidR="00DB3E2A" w:rsidRPr="003253E5">
        <w:rPr>
          <w:rFonts w:ascii="Times New Roman" w:hAnsi="Times New Roman" w:cs="Times New Roman"/>
          <w:sz w:val="24"/>
          <w:szCs w:val="24"/>
          <w:lang w:val="en-GB"/>
        </w:rPr>
        <w:t>”</w:t>
      </w:r>
      <w:r w:rsidR="00F63DE0" w:rsidRPr="003253E5">
        <w:rPr>
          <w:rFonts w:ascii="Times New Roman" w:hAnsi="Times New Roman" w:cs="Times New Roman"/>
          <w:sz w:val="24"/>
          <w:szCs w:val="24"/>
          <w:lang w:val="en-GB"/>
        </w:rPr>
        <w:t xml:space="preserve">).  </w:t>
      </w:r>
      <w:r w:rsidR="00270D5B" w:rsidRPr="003253E5">
        <w:rPr>
          <w:rFonts w:ascii="Times New Roman" w:hAnsi="Times New Roman" w:cs="Times New Roman"/>
          <w:sz w:val="24"/>
          <w:szCs w:val="24"/>
          <w:lang w:val="en-GB"/>
        </w:rPr>
        <w:t>This w</w:t>
      </w:r>
      <w:r w:rsidR="00EF19F9" w:rsidRPr="003253E5">
        <w:rPr>
          <w:rFonts w:ascii="Times New Roman" w:hAnsi="Times New Roman" w:cs="Times New Roman"/>
          <w:sz w:val="24"/>
          <w:szCs w:val="24"/>
          <w:lang w:val="en-GB"/>
        </w:rPr>
        <w:t xml:space="preserve">ill </w:t>
      </w:r>
      <w:r w:rsidR="00270D5B" w:rsidRPr="003253E5">
        <w:rPr>
          <w:rFonts w:ascii="Times New Roman" w:hAnsi="Times New Roman" w:cs="Times New Roman"/>
          <w:sz w:val="24"/>
          <w:szCs w:val="24"/>
          <w:lang w:val="en-GB"/>
        </w:rPr>
        <w:t xml:space="preserve">be referred to as </w:t>
      </w:r>
      <w:r w:rsidR="00DB3E2A" w:rsidRPr="003253E5">
        <w:rPr>
          <w:rFonts w:ascii="Times New Roman" w:hAnsi="Times New Roman" w:cs="Times New Roman"/>
          <w:sz w:val="24"/>
          <w:szCs w:val="24"/>
          <w:lang w:val="en-GB"/>
        </w:rPr>
        <w:t>“</w:t>
      </w:r>
      <w:r w:rsidR="005745E5" w:rsidRPr="003253E5">
        <w:rPr>
          <w:rFonts w:ascii="Times New Roman" w:hAnsi="Times New Roman" w:cs="Times New Roman"/>
          <w:i/>
          <w:iCs/>
          <w:sz w:val="24"/>
          <w:szCs w:val="24"/>
          <w:lang w:val="en-GB"/>
        </w:rPr>
        <w:t>Finding 3</w:t>
      </w:r>
      <w:r w:rsidR="00DB3E2A" w:rsidRPr="003253E5">
        <w:rPr>
          <w:rFonts w:ascii="Times New Roman" w:hAnsi="Times New Roman" w:cs="Times New Roman"/>
          <w:sz w:val="24"/>
          <w:szCs w:val="24"/>
          <w:lang w:val="en-GB"/>
        </w:rPr>
        <w:t>”</w:t>
      </w:r>
      <w:r w:rsidR="00270D5B" w:rsidRPr="003253E5">
        <w:rPr>
          <w:rFonts w:ascii="Times New Roman" w:hAnsi="Times New Roman" w:cs="Times New Roman"/>
          <w:sz w:val="24"/>
          <w:szCs w:val="24"/>
          <w:lang w:val="en-GB"/>
        </w:rPr>
        <w:t>.</w:t>
      </w:r>
    </w:p>
    <w:p w14:paraId="10BF1E0E" w14:textId="5CCA781F" w:rsidR="00EF19F9"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[10]</w:t>
      </w:r>
      <w:r w:rsidRPr="008F5862">
        <w:rPr>
          <w:rFonts w:ascii="Times New Roman" w:hAnsi="Times New Roman" w:cs="Times New Roman"/>
          <w:sz w:val="24"/>
          <w:szCs w:val="24"/>
          <w:lang w:val="en-GB"/>
        </w:rPr>
        <w:tab/>
      </w:r>
      <w:r w:rsidR="00F63DE0" w:rsidRPr="003253E5">
        <w:rPr>
          <w:rFonts w:ascii="Times New Roman" w:hAnsi="Times New Roman" w:cs="Times New Roman"/>
          <w:sz w:val="24"/>
          <w:szCs w:val="24"/>
          <w:lang w:val="en-GB"/>
        </w:rPr>
        <w:t>The matter is complicated in that it involves some 10 000 transactions</w:t>
      </w:r>
      <w:r w:rsidR="00000F3D" w:rsidRPr="003253E5">
        <w:rPr>
          <w:rFonts w:ascii="Times New Roman" w:hAnsi="Times New Roman" w:cs="Times New Roman"/>
          <w:sz w:val="24"/>
          <w:szCs w:val="24"/>
          <w:lang w:val="en-GB"/>
        </w:rPr>
        <w:t xml:space="preserve"> which took place</w:t>
      </w:r>
      <w:r w:rsidR="00F63DE0" w:rsidRPr="003253E5">
        <w:rPr>
          <w:rFonts w:ascii="Times New Roman" w:hAnsi="Times New Roman" w:cs="Times New Roman"/>
          <w:sz w:val="24"/>
          <w:szCs w:val="24"/>
          <w:lang w:val="en-GB"/>
        </w:rPr>
        <w:t xml:space="preserve"> </w:t>
      </w:r>
      <w:r w:rsidR="00EF19F9" w:rsidRPr="003253E5">
        <w:rPr>
          <w:rFonts w:ascii="Times New Roman" w:hAnsi="Times New Roman" w:cs="Times New Roman"/>
          <w:sz w:val="24"/>
          <w:szCs w:val="24"/>
          <w:lang w:val="en-GB"/>
        </w:rPr>
        <w:t xml:space="preserve">during the audit period.  </w:t>
      </w:r>
      <w:r w:rsidR="00F63DE0" w:rsidRPr="003253E5">
        <w:rPr>
          <w:rFonts w:ascii="Times New Roman" w:hAnsi="Times New Roman" w:cs="Times New Roman"/>
          <w:sz w:val="24"/>
          <w:szCs w:val="24"/>
          <w:lang w:val="en-GB"/>
        </w:rPr>
        <w:t>PetroSA</w:t>
      </w:r>
      <w:r w:rsidR="00DB3E2A" w:rsidRPr="003253E5">
        <w:rPr>
          <w:rFonts w:ascii="Times New Roman" w:hAnsi="Times New Roman" w:cs="Times New Roman"/>
          <w:sz w:val="24"/>
          <w:szCs w:val="24"/>
          <w:lang w:val="en-GB"/>
        </w:rPr>
        <w:t>’</w:t>
      </w:r>
      <w:r w:rsidR="00040D07" w:rsidRPr="003253E5">
        <w:rPr>
          <w:rFonts w:ascii="Times New Roman" w:hAnsi="Times New Roman" w:cs="Times New Roman"/>
          <w:sz w:val="24"/>
          <w:szCs w:val="24"/>
          <w:lang w:val="en-GB"/>
        </w:rPr>
        <w:t>s c</w:t>
      </w:r>
      <w:r w:rsidR="00EF19F9" w:rsidRPr="003253E5">
        <w:rPr>
          <w:rFonts w:ascii="Times New Roman" w:hAnsi="Times New Roman" w:cs="Times New Roman"/>
          <w:sz w:val="24"/>
          <w:szCs w:val="24"/>
          <w:lang w:val="en-GB"/>
        </w:rPr>
        <w:t>laim for a refund concerns a variety of transactions, namely:</w:t>
      </w:r>
    </w:p>
    <w:p w14:paraId="0EF0B2A4" w14:textId="4C3664D8" w:rsidR="00EF19F9"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10.1.</w:t>
      </w:r>
      <w:r w:rsidRPr="008F5862">
        <w:rPr>
          <w:rFonts w:ascii="Times New Roman" w:hAnsi="Times New Roman" w:cs="Times New Roman"/>
          <w:sz w:val="24"/>
          <w:szCs w:val="24"/>
          <w:lang w:val="en-GB"/>
        </w:rPr>
        <w:tab/>
      </w:r>
      <w:r w:rsidR="00EF19F9" w:rsidRPr="003253E5">
        <w:rPr>
          <w:rFonts w:ascii="Times New Roman" w:hAnsi="Times New Roman" w:cs="Times New Roman"/>
          <w:sz w:val="24"/>
          <w:szCs w:val="24"/>
          <w:lang w:val="en-GB"/>
        </w:rPr>
        <w:t xml:space="preserve">Fuel goods transported by rail from the </w:t>
      </w:r>
      <w:r w:rsidR="00040D07" w:rsidRPr="003253E5">
        <w:rPr>
          <w:rFonts w:ascii="Times New Roman" w:hAnsi="Times New Roman" w:cs="Times New Roman"/>
          <w:sz w:val="24"/>
          <w:szCs w:val="24"/>
          <w:lang w:val="en-GB"/>
        </w:rPr>
        <w:t>PetroSA</w:t>
      </w:r>
      <w:r w:rsidR="00DB3E2A" w:rsidRPr="003253E5">
        <w:rPr>
          <w:rFonts w:ascii="Times New Roman" w:hAnsi="Times New Roman" w:cs="Times New Roman"/>
          <w:sz w:val="24"/>
          <w:szCs w:val="24"/>
          <w:lang w:val="en-GB"/>
        </w:rPr>
        <w:t>’</w:t>
      </w:r>
      <w:r w:rsidR="00040D07" w:rsidRPr="003253E5">
        <w:rPr>
          <w:rFonts w:ascii="Times New Roman" w:hAnsi="Times New Roman" w:cs="Times New Roman"/>
          <w:sz w:val="24"/>
          <w:szCs w:val="24"/>
          <w:lang w:val="en-GB"/>
        </w:rPr>
        <w:t xml:space="preserve">s </w:t>
      </w:r>
      <w:r w:rsidR="00EF19F9" w:rsidRPr="003253E5">
        <w:rPr>
          <w:rFonts w:ascii="Times New Roman" w:hAnsi="Times New Roman" w:cs="Times New Roman"/>
          <w:sz w:val="24"/>
          <w:szCs w:val="24"/>
          <w:lang w:val="en-GB"/>
        </w:rPr>
        <w:t xml:space="preserve">VM to </w:t>
      </w:r>
      <w:r w:rsidR="00000F3D" w:rsidRPr="003253E5">
        <w:rPr>
          <w:rFonts w:ascii="Times New Roman" w:hAnsi="Times New Roman" w:cs="Times New Roman"/>
          <w:sz w:val="24"/>
          <w:szCs w:val="24"/>
          <w:lang w:val="en-GB"/>
        </w:rPr>
        <w:t>an</w:t>
      </w:r>
      <w:r w:rsidR="00040D07" w:rsidRPr="003253E5">
        <w:rPr>
          <w:rFonts w:ascii="Times New Roman" w:hAnsi="Times New Roman" w:cs="Times New Roman"/>
          <w:sz w:val="24"/>
          <w:szCs w:val="24"/>
          <w:lang w:val="en-GB"/>
        </w:rPr>
        <w:t xml:space="preserve"> unlicensed facility in </w:t>
      </w:r>
      <w:r w:rsidR="00EF19F9" w:rsidRPr="003253E5">
        <w:rPr>
          <w:rFonts w:ascii="Times New Roman" w:hAnsi="Times New Roman" w:cs="Times New Roman"/>
          <w:sz w:val="24"/>
          <w:szCs w:val="24"/>
          <w:lang w:val="en-GB"/>
        </w:rPr>
        <w:t>Bloemfontein and from there removed to</w:t>
      </w:r>
      <w:r w:rsidR="00C876F7" w:rsidRPr="003253E5">
        <w:rPr>
          <w:rFonts w:ascii="Times New Roman" w:hAnsi="Times New Roman" w:cs="Times New Roman"/>
          <w:sz w:val="24"/>
          <w:szCs w:val="24"/>
          <w:lang w:val="en-GB"/>
        </w:rPr>
        <w:t xml:space="preserve"> Botswana or</w:t>
      </w:r>
      <w:r w:rsidR="00EF19F9" w:rsidRPr="003253E5">
        <w:rPr>
          <w:rFonts w:ascii="Times New Roman" w:hAnsi="Times New Roman" w:cs="Times New Roman"/>
          <w:sz w:val="24"/>
          <w:szCs w:val="24"/>
          <w:lang w:val="en-GB"/>
        </w:rPr>
        <w:t xml:space="preserve"> Lesotho by road or by pipeline</w:t>
      </w:r>
      <w:r w:rsidR="00C876F7" w:rsidRPr="003253E5">
        <w:rPr>
          <w:rFonts w:ascii="Times New Roman" w:hAnsi="Times New Roman" w:cs="Times New Roman"/>
          <w:sz w:val="24"/>
          <w:szCs w:val="24"/>
          <w:lang w:val="en-GB"/>
        </w:rPr>
        <w:t>.</w:t>
      </w:r>
    </w:p>
    <w:p w14:paraId="4301EFDB" w14:textId="6DB14A9A" w:rsidR="00EF19F9"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10.2.</w:t>
      </w:r>
      <w:r w:rsidRPr="008F5862">
        <w:rPr>
          <w:rFonts w:ascii="Times New Roman" w:hAnsi="Times New Roman" w:cs="Times New Roman"/>
          <w:sz w:val="24"/>
          <w:szCs w:val="24"/>
          <w:lang w:val="en-GB"/>
        </w:rPr>
        <w:tab/>
      </w:r>
      <w:r w:rsidR="00EF19F9" w:rsidRPr="003253E5">
        <w:rPr>
          <w:rFonts w:ascii="Times New Roman" w:hAnsi="Times New Roman" w:cs="Times New Roman"/>
          <w:sz w:val="24"/>
          <w:szCs w:val="24"/>
          <w:lang w:val="en-GB"/>
        </w:rPr>
        <w:t>Fuel goods purchased</w:t>
      </w:r>
      <w:r w:rsidR="00040D07" w:rsidRPr="003253E5">
        <w:rPr>
          <w:rFonts w:ascii="Times New Roman" w:hAnsi="Times New Roman" w:cs="Times New Roman"/>
          <w:sz w:val="24"/>
          <w:szCs w:val="24"/>
          <w:lang w:val="en-GB"/>
        </w:rPr>
        <w:t xml:space="preserve"> by PetroSA</w:t>
      </w:r>
      <w:r w:rsidR="00EF19F9" w:rsidRPr="003253E5">
        <w:rPr>
          <w:rFonts w:ascii="Times New Roman" w:hAnsi="Times New Roman" w:cs="Times New Roman"/>
          <w:sz w:val="24"/>
          <w:szCs w:val="24"/>
          <w:lang w:val="en-GB"/>
        </w:rPr>
        <w:t xml:space="preserve"> from oil companies such as BP, Shell, Sasol and Chevron, which were uploaded and removed</w:t>
      </w:r>
      <w:r w:rsidR="00000F3D" w:rsidRPr="003253E5">
        <w:rPr>
          <w:rFonts w:ascii="Times New Roman" w:hAnsi="Times New Roman" w:cs="Times New Roman"/>
          <w:sz w:val="24"/>
          <w:szCs w:val="24"/>
          <w:lang w:val="en-GB"/>
        </w:rPr>
        <w:t xml:space="preserve"> or exported</w:t>
      </w:r>
      <w:r w:rsidR="00EF19F9" w:rsidRPr="003253E5">
        <w:rPr>
          <w:rFonts w:ascii="Times New Roman" w:hAnsi="Times New Roman" w:cs="Times New Roman"/>
          <w:sz w:val="24"/>
          <w:szCs w:val="24"/>
          <w:lang w:val="en-GB"/>
        </w:rPr>
        <w:t xml:space="preserve"> to African </w:t>
      </w:r>
      <w:r w:rsidR="00EF19F9" w:rsidRPr="003253E5">
        <w:rPr>
          <w:rFonts w:ascii="Times New Roman" w:hAnsi="Times New Roman" w:cs="Times New Roman"/>
          <w:sz w:val="24"/>
          <w:szCs w:val="24"/>
          <w:lang w:val="en-GB"/>
        </w:rPr>
        <w:lastRenderedPageBreak/>
        <w:t>countries from unlicensed facilities, including</w:t>
      </w:r>
      <w:r w:rsidR="00C876F7" w:rsidRPr="003253E5">
        <w:rPr>
          <w:rFonts w:ascii="Times New Roman" w:hAnsi="Times New Roman" w:cs="Times New Roman"/>
          <w:sz w:val="24"/>
          <w:szCs w:val="24"/>
          <w:lang w:val="en-GB"/>
        </w:rPr>
        <w:t xml:space="preserve"> from</w:t>
      </w:r>
      <w:r w:rsidR="00EF19F9" w:rsidRPr="003253E5">
        <w:rPr>
          <w:rFonts w:ascii="Times New Roman" w:hAnsi="Times New Roman" w:cs="Times New Roman"/>
          <w:sz w:val="24"/>
          <w:szCs w:val="24"/>
          <w:lang w:val="en-GB"/>
        </w:rPr>
        <w:t xml:space="preserve"> </w:t>
      </w:r>
      <w:r w:rsidR="00F63DE0" w:rsidRPr="003253E5">
        <w:rPr>
          <w:rFonts w:ascii="Times New Roman" w:hAnsi="Times New Roman" w:cs="Times New Roman"/>
          <w:sz w:val="24"/>
          <w:szCs w:val="24"/>
          <w:lang w:val="en-GB"/>
        </w:rPr>
        <w:t>PetroSA</w:t>
      </w:r>
      <w:r w:rsidR="00DB3E2A" w:rsidRPr="003253E5">
        <w:rPr>
          <w:rFonts w:ascii="Times New Roman" w:hAnsi="Times New Roman" w:cs="Times New Roman"/>
          <w:sz w:val="24"/>
          <w:szCs w:val="24"/>
          <w:lang w:val="en-GB"/>
        </w:rPr>
        <w:t>’</w:t>
      </w:r>
      <w:r w:rsidR="00F63DE0" w:rsidRPr="003253E5">
        <w:rPr>
          <w:rFonts w:ascii="Times New Roman" w:hAnsi="Times New Roman" w:cs="Times New Roman"/>
          <w:sz w:val="24"/>
          <w:szCs w:val="24"/>
          <w:lang w:val="en-GB"/>
        </w:rPr>
        <w:t xml:space="preserve">s </w:t>
      </w:r>
      <w:r w:rsidR="00EF19F9" w:rsidRPr="003253E5">
        <w:rPr>
          <w:rFonts w:ascii="Times New Roman" w:hAnsi="Times New Roman" w:cs="Times New Roman"/>
          <w:sz w:val="24"/>
          <w:szCs w:val="24"/>
          <w:lang w:val="en-GB"/>
        </w:rPr>
        <w:t>own facilities at Bloemfontein and Tzaneen</w:t>
      </w:r>
      <w:r w:rsidR="005745E5" w:rsidRPr="003253E5">
        <w:rPr>
          <w:rFonts w:ascii="Times New Roman" w:hAnsi="Times New Roman" w:cs="Times New Roman"/>
          <w:sz w:val="24"/>
          <w:szCs w:val="24"/>
          <w:lang w:val="en-GB"/>
        </w:rPr>
        <w:t>;</w:t>
      </w:r>
      <w:r w:rsidR="00EF19F9" w:rsidRPr="003253E5">
        <w:rPr>
          <w:rFonts w:ascii="Times New Roman" w:hAnsi="Times New Roman" w:cs="Times New Roman"/>
          <w:sz w:val="24"/>
          <w:szCs w:val="24"/>
          <w:lang w:val="en-GB"/>
        </w:rPr>
        <w:t xml:space="preserve"> the pipeline network at Tarlton</w:t>
      </w:r>
      <w:r w:rsidR="005745E5" w:rsidRPr="003253E5">
        <w:rPr>
          <w:rFonts w:ascii="Times New Roman" w:hAnsi="Times New Roman" w:cs="Times New Roman"/>
          <w:sz w:val="24"/>
          <w:szCs w:val="24"/>
          <w:lang w:val="en-GB"/>
        </w:rPr>
        <w:t>; and</w:t>
      </w:r>
      <w:r w:rsidR="00EF19F9" w:rsidRPr="003253E5">
        <w:rPr>
          <w:rFonts w:ascii="Times New Roman" w:hAnsi="Times New Roman" w:cs="Times New Roman"/>
          <w:sz w:val="24"/>
          <w:szCs w:val="24"/>
          <w:lang w:val="en-GB"/>
        </w:rPr>
        <w:t xml:space="preserve"> facilities at Waltloo and Alrode.</w:t>
      </w:r>
    </w:p>
    <w:p w14:paraId="3C5B79D4" w14:textId="77E7C519" w:rsidR="00EF19F9"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10.3.</w:t>
      </w:r>
      <w:r w:rsidRPr="008F5862">
        <w:rPr>
          <w:rFonts w:ascii="Times New Roman" w:hAnsi="Times New Roman" w:cs="Times New Roman"/>
          <w:sz w:val="24"/>
          <w:szCs w:val="24"/>
          <w:lang w:val="en-GB"/>
        </w:rPr>
        <w:tab/>
      </w:r>
      <w:r w:rsidR="00EF19F9" w:rsidRPr="003253E5">
        <w:rPr>
          <w:rFonts w:ascii="Times New Roman" w:hAnsi="Times New Roman" w:cs="Times New Roman"/>
          <w:sz w:val="24"/>
          <w:szCs w:val="24"/>
          <w:lang w:val="en-GB"/>
        </w:rPr>
        <w:t xml:space="preserve">Fuel goods removed </w:t>
      </w:r>
      <w:r w:rsidR="005745E5" w:rsidRPr="003253E5">
        <w:rPr>
          <w:rFonts w:ascii="Times New Roman" w:hAnsi="Times New Roman" w:cs="Times New Roman"/>
          <w:sz w:val="24"/>
          <w:szCs w:val="24"/>
          <w:lang w:val="en-GB"/>
        </w:rPr>
        <w:t>or</w:t>
      </w:r>
      <w:r w:rsidR="00EF19F9" w:rsidRPr="003253E5">
        <w:rPr>
          <w:rFonts w:ascii="Times New Roman" w:hAnsi="Times New Roman" w:cs="Times New Roman"/>
          <w:sz w:val="24"/>
          <w:szCs w:val="24"/>
          <w:lang w:val="en-GB"/>
        </w:rPr>
        <w:t xml:space="preserve"> exported through intermediary traders to the ultimate customer in another African country. </w:t>
      </w:r>
    </w:p>
    <w:p w14:paraId="1C5D889E" w14:textId="496739FA" w:rsidR="00EF19F9"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[11]</w:t>
      </w:r>
      <w:r w:rsidRPr="008F5862">
        <w:rPr>
          <w:rFonts w:ascii="Times New Roman" w:hAnsi="Times New Roman" w:cs="Times New Roman"/>
          <w:sz w:val="24"/>
          <w:szCs w:val="24"/>
          <w:lang w:val="en-GB"/>
        </w:rPr>
        <w:tab/>
      </w:r>
      <w:r w:rsidR="00EF19F9" w:rsidRPr="003253E5">
        <w:rPr>
          <w:rFonts w:ascii="Times New Roman" w:hAnsi="Times New Roman" w:cs="Times New Roman"/>
          <w:sz w:val="24"/>
          <w:szCs w:val="24"/>
          <w:lang w:val="en-GB"/>
        </w:rPr>
        <w:t xml:space="preserve">Prior to engaging into the relevant transactions, PetroSA consulted with and provided its business model to SARS in 2012.  SARS did not object to the business model at the time. </w:t>
      </w:r>
      <w:r w:rsidR="00F63DE0" w:rsidRPr="003253E5">
        <w:rPr>
          <w:rFonts w:ascii="Times New Roman" w:hAnsi="Times New Roman" w:cs="Times New Roman"/>
          <w:sz w:val="24"/>
          <w:szCs w:val="24"/>
          <w:lang w:val="en-GB"/>
        </w:rPr>
        <w:t xml:space="preserve">The relevance of this will become </w:t>
      </w:r>
      <w:r w:rsidR="005745E5" w:rsidRPr="003253E5">
        <w:rPr>
          <w:rFonts w:ascii="Times New Roman" w:hAnsi="Times New Roman" w:cs="Times New Roman"/>
          <w:sz w:val="24"/>
          <w:szCs w:val="24"/>
          <w:lang w:val="en-GB"/>
        </w:rPr>
        <w:t>clear</w:t>
      </w:r>
      <w:r w:rsidR="00F63DE0" w:rsidRPr="003253E5">
        <w:rPr>
          <w:rFonts w:ascii="Times New Roman" w:hAnsi="Times New Roman" w:cs="Times New Roman"/>
          <w:sz w:val="24"/>
          <w:szCs w:val="24"/>
          <w:lang w:val="en-GB"/>
        </w:rPr>
        <w:t xml:space="preserve"> later. </w:t>
      </w:r>
    </w:p>
    <w:p w14:paraId="7DD8F023" w14:textId="544DFAED" w:rsidR="00EF19F9"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[12]</w:t>
      </w:r>
      <w:r w:rsidRPr="008F5862">
        <w:rPr>
          <w:rFonts w:ascii="Times New Roman" w:hAnsi="Times New Roman" w:cs="Times New Roman"/>
          <w:sz w:val="24"/>
          <w:szCs w:val="24"/>
          <w:lang w:val="en-GB"/>
        </w:rPr>
        <w:tab/>
      </w:r>
      <w:r w:rsidR="00EF19F9" w:rsidRPr="003253E5">
        <w:rPr>
          <w:rFonts w:ascii="Times New Roman" w:hAnsi="Times New Roman" w:cs="Times New Roman"/>
          <w:sz w:val="24"/>
          <w:szCs w:val="24"/>
          <w:lang w:val="en-GB"/>
        </w:rPr>
        <w:t xml:space="preserve">PetroSA is appealing against </w:t>
      </w:r>
      <w:r w:rsidR="00F63DE0" w:rsidRPr="003253E5">
        <w:rPr>
          <w:rFonts w:ascii="Times New Roman" w:hAnsi="Times New Roman" w:cs="Times New Roman"/>
          <w:sz w:val="24"/>
          <w:szCs w:val="24"/>
          <w:lang w:val="en-GB"/>
        </w:rPr>
        <w:t>the two</w:t>
      </w:r>
      <w:r w:rsidR="00EF19F9" w:rsidRPr="003253E5">
        <w:rPr>
          <w:rFonts w:ascii="Times New Roman" w:hAnsi="Times New Roman" w:cs="Times New Roman"/>
          <w:sz w:val="24"/>
          <w:szCs w:val="24"/>
          <w:lang w:val="en-GB"/>
        </w:rPr>
        <w:t xml:space="preserve"> determinations in terms of s47(9)(e) of the Act, which provides as follows:</w:t>
      </w:r>
    </w:p>
    <w:p w14:paraId="5BE813A6" w14:textId="77AA9A1A" w:rsidR="00FA230C" w:rsidRPr="008F5862" w:rsidRDefault="00DB3E2A" w:rsidP="00255A08">
      <w:pPr>
        <w:pStyle w:val="Quote"/>
        <w:spacing w:after="600"/>
        <w:rPr>
          <w:lang w:val="en-GB"/>
        </w:rPr>
      </w:pPr>
      <w:r>
        <w:rPr>
          <w:lang w:val="en-GB"/>
        </w:rPr>
        <w:t>“</w:t>
      </w:r>
      <w:r w:rsidR="00EF19F9" w:rsidRPr="008F5862">
        <w:rPr>
          <w:lang w:val="en-GB"/>
        </w:rPr>
        <w:t>(e) An appeal against any such determination shall lie to the division of the High Court of South Africa having jurisdiction to hear appeals in the area wherein the determination was made, or the goods in question were entered for home consumption.</w:t>
      </w:r>
      <w:r>
        <w:rPr>
          <w:lang w:val="en-GB"/>
        </w:rPr>
        <w:t>”</w:t>
      </w:r>
    </w:p>
    <w:p w14:paraId="58005E75" w14:textId="20F9ACDF" w:rsidR="00040D07"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[13]</w:t>
      </w:r>
      <w:r w:rsidRPr="008F5862">
        <w:rPr>
          <w:rFonts w:ascii="Times New Roman" w:hAnsi="Times New Roman" w:cs="Times New Roman"/>
          <w:sz w:val="24"/>
          <w:szCs w:val="24"/>
          <w:lang w:val="en-GB"/>
        </w:rPr>
        <w:tab/>
      </w:r>
      <w:r w:rsidR="00040D07" w:rsidRPr="003253E5">
        <w:rPr>
          <w:rFonts w:ascii="Times New Roman" w:hAnsi="Times New Roman" w:cs="Times New Roman"/>
          <w:sz w:val="24"/>
          <w:szCs w:val="24"/>
          <w:lang w:val="en-GB"/>
        </w:rPr>
        <w:t xml:space="preserve">In some tax matters such as the present one, </w:t>
      </w:r>
      <w:r w:rsidR="005745E5" w:rsidRPr="003253E5">
        <w:rPr>
          <w:rFonts w:ascii="Times New Roman" w:hAnsi="Times New Roman" w:cs="Times New Roman"/>
          <w:sz w:val="24"/>
          <w:szCs w:val="24"/>
          <w:lang w:val="en-GB"/>
        </w:rPr>
        <w:t>a</w:t>
      </w:r>
      <w:r w:rsidR="00F63DE0" w:rsidRPr="003253E5">
        <w:rPr>
          <w:rFonts w:ascii="Times New Roman" w:hAnsi="Times New Roman" w:cs="Times New Roman"/>
          <w:sz w:val="24"/>
          <w:szCs w:val="24"/>
          <w:lang w:val="en-GB"/>
        </w:rPr>
        <w:t xml:space="preserve"> Court is </w:t>
      </w:r>
      <w:r w:rsidR="00217F70" w:rsidRPr="003253E5">
        <w:rPr>
          <w:rFonts w:ascii="Times New Roman" w:hAnsi="Times New Roman" w:cs="Times New Roman"/>
          <w:sz w:val="24"/>
          <w:szCs w:val="24"/>
          <w:lang w:val="en-GB"/>
        </w:rPr>
        <w:t xml:space="preserve">required to decide </w:t>
      </w:r>
      <w:r w:rsidR="005745E5" w:rsidRPr="003253E5">
        <w:rPr>
          <w:rFonts w:ascii="Times New Roman" w:hAnsi="Times New Roman" w:cs="Times New Roman"/>
          <w:sz w:val="24"/>
          <w:szCs w:val="24"/>
          <w:lang w:val="en-GB"/>
        </w:rPr>
        <w:t>an</w:t>
      </w:r>
      <w:r w:rsidR="00217F70" w:rsidRPr="003253E5">
        <w:rPr>
          <w:rFonts w:ascii="Times New Roman" w:hAnsi="Times New Roman" w:cs="Times New Roman"/>
          <w:sz w:val="24"/>
          <w:szCs w:val="24"/>
          <w:lang w:val="en-GB"/>
        </w:rPr>
        <w:t xml:space="preserve"> appeal on the merits, </w:t>
      </w:r>
      <w:r w:rsidR="0048747A" w:rsidRPr="003253E5">
        <w:rPr>
          <w:rFonts w:ascii="Times New Roman" w:hAnsi="Times New Roman" w:cs="Times New Roman"/>
          <w:sz w:val="24"/>
          <w:szCs w:val="24"/>
          <w:lang w:val="en-GB"/>
        </w:rPr>
        <w:t>i.e.</w:t>
      </w:r>
      <w:r w:rsidR="00217F70" w:rsidRPr="003253E5">
        <w:rPr>
          <w:rFonts w:ascii="Times New Roman" w:hAnsi="Times New Roman" w:cs="Times New Roman"/>
          <w:sz w:val="24"/>
          <w:szCs w:val="24"/>
          <w:lang w:val="en-GB"/>
        </w:rPr>
        <w:t xml:space="preserve"> whether the determinations</w:t>
      </w:r>
      <w:r w:rsidR="00040D07" w:rsidRPr="003253E5">
        <w:rPr>
          <w:rFonts w:ascii="Times New Roman" w:hAnsi="Times New Roman" w:cs="Times New Roman"/>
          <w:sz w:val="24"/>
          <w:szCs w:val="24"/>
          <w:lang w:val="en-GB"/>
        </w:rPr>
        <w:t xml:space="preserve"> (</w:t>
      </w:r>
      <w:r w:rsidR="00812511" w:rsidRPr="003253E5">
        <w:rPr>
          <w:rFonts w:ascii="Times New Roman" w:hAnsi="Times New Roman" w:cs="Times New Roman"/>
          <w:sz w:val="24"/>
          <w:szCs w:val="24"/>
          <w:lang w:val="en-GB"/>
        </w:rPr>
        <w:t>Findings </w:t>
      </w:r>
      <w:r w:rsidR="00040D07" w:rsidRPr="003253E5">
        <w:rPr>
          <w:rFonts w:ascii="Times New Roman" w:hAnsi="Times New Roman" w:cs="Times New Roman"/>
          <w:sz w:val="24"/>
          <w:szCs w:val="24"/>
          <w:lang w:val="en-GB"/>
        </w:rPr>
        <w:t>2 and 3)</w:t>
      </w:r>
      <w:r w:rsidR="00217F70" w:rsidRPr="003253E5">
        <w:rPr>
          <w:rFonts w:ascii="Times New Roman" w:hAnsi="Times New Roman" w:cs="Times New Roman"/>
          <w:sz w:val="24"/>
          <w:szCs w:val="24"/>
          <w:lang w:val="en-GB"/>
        </w:rPr>
        <w:t xml:space="preserve"> are right or wrong. </w:t>
      </w:r>
      <w:r w:rsidR="005745E5" w:rsidRPr="003253E5">
        <w:rPr>
          <w:rFonts w:ascii="Times New Roman" w:hAnsi="Times New Roman" w:cs="Times New Roman"/>
          <w:sz w:val="24"/>
          <w:szCs w:val="24"/>
          <w:lang w:val="en-GB"/>
        </w:rPr>
        <w:t xml:space="preserve"> In the present matter</w:t>
      </w:r>
      <w:r w:rsidR="00217F70" w:rsidRPr="003253E5">
        <w:rPr>
          <w:rFonts w:ascii="Times New Roman" w:hAnsi="Times New Roman" w:cs="Times New Roman"/>
          <w:sz w:val="24"/>
          <w:szCs w:val="24"/>
          <w:lang w:val="en-GB"/>
        </w:rPr>
        <w:t xml:space="preserve"> </w:t>
      </w:r>
      <w:r w:rsidR="005745E5" w:rsidRPr="003253E5">
        <w:rPr>
          <w:rFonts w:ascii="Times New Roman" w:hAnsi="Times New Roman" w:cs="Times New Roman"/>
          <w:sz w:val="24"/>
          <w:szCs w:val="24"/>
          <w:lang w:val="en-GB"/>
        </w:rPr>
        <w:t xml:space="preserve">this </w:t>
      </w:r>
      <w:r w:rsidR="00515819" w:rsidRPr="003253E5">
        <w:rPr>
          <w:rFonts w:ascii="Times New Roman" w:hAnsi="Times New Roman" w:cs="Times New Roman"/>
          <w:sz w:val="24"/>
          <w:szCs w:val="24"/>
          <w:lang w:val="en-GB"/>
        </w:rPr>
        <w:t>includes</w:t>
      </w:r>
      <w:r w:rsidR="00C876F7" w:rsidRPr="003253E5">
        <w:rPr>
          <w:rFonts w:ascii="Times New Roman" w:hAnsi="Times New Roman" w:cs="Times New Roman"/>
          <w:sz w:val="24"/>
          <w:szCs w:val="24"/>
          <w:lang w:val="en-GB"/>
        </w:rPr>
        <w:t xml:space="preserve"> assessing</w:t>
      </w:r>
      <w:r w:rsidR="00515819" w:rsidRPr="003253E5">
        <w:rPr>
          <w:rFonts w:ascii="Times New Roman" w:hAnsi="Times New Roman" w:cs="Times New Roman"/>
          <w:sz w:val="24"/>
          <w:szCs w:val="24"/>
          <w:lang w:val="en-GB"/>
        </w:rPr>
        <w:t xml:space="preserve"> whether the determinations are contrary to a practice generally prevailing during the audit period, as contemplated in s44(11A) of the Act, which practice was</w:t>
      </w:r>
      <w:r w:rsidR="005745E5" w:rsidRPr="003253E5">
        <w:rPr>
          <w:rFonts w:ascii="Times New Roman" w:hAnsi="Times New Roman" w:cs="Times New Roman"/>
          <w:sz w:val="24"/>
          <w:szCs w:val="24"/>
          <w:lang w:val="en-GB"/>
        </w:rPr>
        <w:t xml:space="preserve"> allegedly</w:t>
      </w:r>
      <w:r w:rsidR="00515819" w:rsidRPr="003253E5">
        <w:rPr>
          <w:rFonts w:ascii="Times New Roman" w:hAnsi="Times New Roman" w:cs="Times New Roman"/>
          <w:sz w:val="24"/>
          <w:szCs w:val="24"/>
          <w:lang w:val="en-GB"/>
        </w:rPr>
        <w:t xml:space="preserve"> that fuel goods removed or exported from unlicensed facilities qualif</w:t>
      </w:r>
      <w:r w:rsidR="00C876F7" w:rsidRPr="003253E5">
        <w:rPr>
          <w:rFonts w:ascii="Times New Roman" w:hAnsi="Times New Roman" w:cs="Times New Roman"/>
          <w:sz w:val="24"/>
          <w:szCs w:val="24"/>
          <w:lang w:val="en-GB"/>
        </w:rPr>
        <w:t>ied</w:t>
      </w:r>
      <w:r w:rsidR="00515819" w:rsidRPr="003253E5">
        <w:rPr>
          <w:rFonts w:ascii="Times New Roman" w:hAnsi="Times New Roman" w:cs="Times New Roman"/>
          <w:sz w:val="24"/>
          <w:szCs w:val="24"/>
          <w:lang w:val="en-GB"/>
        </w:rPr>
        <w:t xml:space="preserve"> for set-offs.</w:t>
      </w:r>
      <w:r w:rsidR="005745E5" w:rsidRPr="003253E5">
        <w:rPr>
          <w:rFonts w:ascii="Times New Roman" w:hAnsi="Times New Roman" w:cs="Times New Roman"/>
          <w:sz w:val="24"/>
          <w:szCs w:val="24"/>
          <w:lang w:val="en-GB"/>
        </w:rPr>
        <w:t xml:space="preserve">  It also includes </w:t>
      </w:r>
      <w:r w:rsidR="00C876F7" w:rsidRPr="003253E5">
        <w:rPr>
          <w:rFonts w:ascii="Times New Roman" w:hAnsi="Times New Roman" w:cs="Times New Roman"/>
          <w:sz w:val="24"/>
          <w:szCs w:val="24"/>
          <w:lang w:val="en-GB"/>
        </w:rPr>
        <w:t xml:space="preserve">assessing </w:t>
      </w:r>
      <w:r w:rsidR="005745E5" w:rsidRPr="003253E5">
        <w:rPr>
          <w:rFonts w:ascii="Times New Roman" w:hAnsi="Times New Roman" w:cs="Times New Roman"/>
          <w:sz w:val="24"/>
          <w:szCs w:val="24"/>
          <w:lang w:val="en-GB"/>
        </w:rPr>
        <w:t>whether the determinations are based on a sound interpretation of the Act and whether PetroSA</w:t>
      </w:r>
      <w:r w:rsidR="00DB3E2A" w:rsidRPr="003253E5">
        <w:rPr>
          <w:rFonts w:ascii="Times New Roman" w:hAnsi="Times New Roman" w:cs="Times New Roman"/>
          <w:sz w:val="24"/>
          <w:szCs w:val="24"/>
          <w:lang w:val="en-GB"/>
        </w:rPr>
        <w:t>’</w:t>
      </w:r>
      <w:r w:rsidR="005745E5" w:rsidRPr="003253E5">
        <w:rPr>
          <w:rFonts w:ascii="Times New Roman" w:hAnsi="Times New Roman" w:cs="Times New Roman"/>
          <w:sz w:val="24"/>
          <w:szCs w:val="24"/>
          <w:lang w:val="en-GB"/>
        </w:rPr>
        <w:t>s business model was approved by SARS in a determination.</w:t>
      </w:r>
    </w:p>
    <w:p w14:paraId="708FF766" w14:textId="195A6E38" w:rsidR="006A5215"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[14]</w:t>
      </w:r>
      <w:r w:rsidRPr="008F5862">
        <w:rPr>
          <w:rFonts w:ascii="Times New Roman" w:hAnsi="Times New Roman" w:cs="Times New Roman"/>
          <w:sz w:val="24"/>
          <w:szCs w:val="24"/>
          <w:lang w:val="en-GB"/>
        </w:rPr>
        <w:tab/>
      </w:r>
      <w:r w:rsidR="00515819" w:rsidRPr="003253E5">
        <w:rPr>
          <w:rFonts w:ascii="Times New Roman" w:hAnsi="Times New Roman" w:cs="Times New Roman"/>
          <w:sz w:val="24"/>
          <w:szCs w:val="24"/>
          <w:lang w:val="en-GB"/>
        </w:rPr>
        <w:t>Apart from the</w:t>
      </w:r>
      <w:r w:rsidR="005745E5" w:rsidRPr="003253E5">
        <w:rPr>
          <w:rFonts w:ascii="Times New Roman" w:hAnsi="Times New Roman" w:cs="Times New Roman"/>
          <w:sz w:val="24"/>
          <w:szCs w:val="24"/>
          <w:lang w:val="en-GB"/>
        </w:rPr>
        <w:t xml:space="preserve"> appeal on the</w:t>
      </w:r>
      <w:r w:rsidR="00515819" w:rsidRPr="003253E5">
        <w:rPr>
          <w:rFonts w:ascii="Times New Roman" w:hAnsi="Times New Roman" w:cs="Times New Roman"/>
          <w:sz w:val="24"/>
          <w:szCs w:val="24"/>
          <w:lang w:val="en-GB"/>
        </w:rPr>
        <w:t xml:space="preserve"> merits, </w:t>
      </w:r>
      <w:r w:rsidR="00FA230C" w:rsidRPr="003253E5">
        <w:rPr>
          <w:rFonts w:ascii="Times New Roman" w:hAnsi="Times New Roman" w:cs="Times New Roman"/>
          <w:sz w:val="24"/>
          <w:szCs w:val="24"/>
          <w:lang w:val="en-GB"/>
        </w:rPr>
        <w:t xml:space="preserve">PetroSA </w:t>
      </w:r>
      <w:r w:rsidR="00217F70" w:rsidRPr="003253E5">
        <w:rPr>
          <w:rFonts w:ascii="Times New Roman" w:hAnsi="Times New Roman" w:cs="Times New Roman"/>
          <w:sz w:val="24"/>
          <w:szCs w:val="24"/>
          <w:lang w:val="en-GB"/>
        </w:rPr>
        <w:t>submits that</w:t>
      </w:r>
      <w:r w:rsidR="00515819" w:rsidRPr="003253E5">
        <w:rPr>
          <w:rFonts w:ascii="Times New Roman" w:hAnsi="Times New Roman" w:cs="Times New Roman"/>
          <w:sz w:val="24"/>
          <w:szCs w:val="24"/>
          <w:lang w:val="en-GB"/>
        </w:rPr>
        <w:t>:</w:t>
      </w:r>
    </w:p>
    <w:p w14:paraId="1E5B2C62" w14:textId="3FF5FDFB" w:rsidR="00ED0D37"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14.1.</w:t>
      </w:r>
      <w:r w:rsidRPr="008F5862">
        <w:rPr>
          <w:rFonts w:ascii="Times New Roman" w:hAnsi="Times New Roman" w:cs="Times New Roman"/>
          <w:sz w:val="24"/>
          <w:szCs w:val="24"/>
          <w:lang w:val="en-GB"/>
        </w:rPr>
        <w:tab/>
      </w:r>
      <w:r w:rsidR="00661CF0" w:rsidRPr="003253E5">
        <w:rPr>
          <w:rFonts w:ascii="Times New Roman" w:hAnsi="Times New Roman" w:cs="Times New Roman"/>
          <w:sz w:val="24"/>
          <w:szCs w:val="24"/>
          <w:lang w:val="en-GB"/>
        </w:rPr>
        <w:t xml:space="preserve">In its answering papers in the appeal, SARS raised a number of </w:t>
      </w:r>
      <w:r w:rsidR="00287BD0" w:rsidRPr="003253E5">
        <w:rPr>
          <w:rFonts w:ascii="Times New Roman" w:hAnsi="Times New Roman" w:cs="Times New Roman"/>
          <w:sz w:val="24"/>
          <w:szCs w:val="24"/>
          <w:lang w:val="en-GB"/>
        </w:rPr>
        <w:t>new</w:t>
      </w:r>
      <w:r w:rsidR="00661CF0" w:rsidRPr="003253E5">
        <w:rPr>
          <w:rFonts w:ascii="Times New Roman" w:hAnsi="Times New Roman" w:cs="Times New Roman"/>
          <w:sz w:val="24"/>
          <w:szCs w:val="24"/>
          <w:lang w:val="en-GB"/>
        </w:rPr>
        <w:t xml:space="preserve"> grounds on which it claims that PetroSA was not entitled to the </w:t>
      </w:r>
      <w:r w:rsidR="00515819" w:rsidRPr="003253E5">
        <w:rPr>
          <w:rFonts w:ascii="Times New Roman" w:hAnsi="Times New Roman" w:cs="Times New Roman"/>
          <w:sz w:val="24"/>
          <w:szCs w:val="24"/>
          <w:lang w:val="en-GB"/>
        </w:rPr>
        <w:t>set-off</w:t>
      </w:r>
      <w:r w:rsidR="00661CF0" w:rsidRPr="003253E5">
        <w:rPr>
          <w:rFonts w:ascii="Times New Roman" w:hAnsi="Times New Roman" w:cs="Times New Roman"/>
          <w:sz w:val="24"/>
          <w:szCs w:val="24"/>
          <w:lang w:val="en-GB"/>
        </w:rPr>
        <w:t>, namely</w:t>
      </w:r>
      <w:r w:rsidR="00515819" w:rsidRPr="003253E5">
        <w:rPr>
          <w:rFonts w:ascii="Times New Roman" w:hAnsi="Times New Roman" w:cs="Times New Roman"/>
          <w:sz w:val="24"/>
          <w:szCs w:val="24"/>
          <w:lang w:val="en-GB"/>
        </w:rPr>
        <w:t xml:space="preserve"> </w:t>
      </w:r>
      <w:r w:rsidR="00287BD0" w:rsidRPr="003253E5">
        <w:rPr>
          <w:rFonts w:ascii="Times New Roman" w:hAnsi="Times New Roman" w:cs="Times New Roman"/>
          <w:sz w:val="24"/>
          <w:szCs w:val="24"/>
          <w:lang w:val="en-GB"/>
        </w:rPr>
        <w:t xml:space="preserve">that </w:t>
      </w:r>
      <w:r w:rsidR="00515819" w:rsidRPr="003253E5">
        <w:rPr>
          <w:rFonts w:ascii="Times New Roman" w:hAnsi="Times New Roman" w:cs="Times New Roman"/>
          <w:sz w:val="24"/>
          <w:szCs w:val="24"/>
          <w:lang w:val="en-GB"/>
        </w:rPr>
        <w:t>t</w:t>
      </w:r>
      <w:r w:rsidR="00661CF0" w:rsidRPr="003253E5">
        <w:rPr>
          <w:rFonts w:ascii="Times New Roman" w:hAnsi="Times New Roman" w:cs="Times New Roman"/>
          <w:sz w:val="24"/>
          <w:szCs w:val="24"/>
          <w:lang w:val="en-GB"/>
        </w:rPr>
        <w:t xml:space="preserve">he fuel had not been </w:t>
      </w:r>
      <w:r w:rsidR="00DA5035" w:rsidRPr="003253E5">
        <w:rPr>
          <w:rFonts w:ascii="Times New Roman" w:hAnsi="Times New Roman" w:cs="Times New Roman"/>
          <w:sz w:val="24"/>
          <w:szCs w:val="24"/>
          <w:lang w:val="en-GB"/>
        </w:rPr>
        <w:t xml:space="preserve">removed or </w:t>
      </w:r>
      <w:r w:rsidR="00661CF0" w:rsidRPr="003253E5">
        <w:rPr>
          <w:rFonts w:ascii="Times New Roman" w:hAnsi="Times New Roman" w:cs="Times New Roman"/>
          <w:sz w:val="24"/>
          <w:szCs w:val="24"/>
          <w:lang w:val="en-GB"/>
        </w:rPr>
        <w:t>exported</w:t>
      </w:r>
      <w:r w:rsidR="00ED0D37" w:rsidRPr="003253E5">
        <w:rPr>
          <w:rFonts w:ascii="Times New Roman" w:hAnsi="Times New Roman" w:cs="Times New Roman"/>
          <w:sz w:val="24"/>
          <w:szCs w:val="24"/>
          <w:lang w:val="en-GB"/>
        </w:rPr>
        <w:t xml:space="preserve"> (including that the records of home affairs do not support the claim of exportation)</w:t>
      </w:r>
      <w:r w:rsidR="00661CF0" w:rsidRPr="003253E5">
        <w:rPr>
          <w:rFonts w:ascii="Times New Roman" w:hAnsi="Times New Roman" w:cs="Times New Roman"/>
          <w:sz w:val="24"/>
          <w:szCs w:val="24"/>
          <w:lang w:val="en-GB"/>
        </w:rPr>
        <w:t>;</w:t>
      </w:r>
      <w:r w:rsidR="00515819" w:rsidRPr="003253E5">
        <w:rPr>
          <w:rFonts w:ascii="Times New Roman" w:hAnsi="Times New Roman" w:cs="Times New Roman"/>
          <w:sz w:val="24"/>
          <w:szCs w:val="24"/>
          <w:lang w:val="en-GB"/>
        </w:rPr>
        <w:t xml:space="preserve"> </w:t>
      </w:r>
      <w:r w:rsidR="00E635F5" w:rsidRPr="003253E5">
        <w:rPr>
          <w:rFonts w:ascii="Times New Roman" w:hAnsi="Times New Roman" w:cs="Times New Roman"/>
          <w:sz w:val="24"/>
          <w:szCs w:val="24"/>
          <w:lang w:val="en-GB"/>
        </w:rPr>
        <w:t>that PetroSA was not the true exporter</w:t>
      </w:r>
      <w:r w:rsidR="00287BD0" w:rsidRPr="003253E5">
        <w:rPr>
          <w:rFonts w:ascii="Times New Roman" w:hAnsi="Times New Roman" w:cs="Times New Roman"/>
          <w:sz w:val="24"/>
          <w:szCs w:val="24"/>
          <w:lang w:val="en-GB"/>
        </w:rPr>
        <w:t xml:space="preserve"> (the intermediaries were)</w:t>
      </w:r>
      <w:r w:rsidR="00E635F5" w:rsidRPr="003253E5">
        <w:rPr>
          <w:rFonts w:ascii="Times New Roman" w:hAnsi="Times New Roman" w:cs="Times New Roman"/>
          <w:sz w:val="24"/>
          <w:szCs w:val="24"/>
          <w:lang w:val="en-GB"/>
        </w:rPr>
        <w:t xml:space="preserve">; </w:t>
      </w:r>
      <w:r w:rsidR="00ED0D37" w:rsidRPr="003253E5">
        <w:rPr>
          <w:rFonts w:ascii="Times New Roman" w:hAnsi="Times New Roman" w:cs="Times New Roman"/>
          <w:sz w:val="24"/>
          <w:szCs w:val="24"/>
          <w:lang w:val="en-GB"/>
        </w:rPr>
        <w:t xml:space="preserve">and that </w:t>
      </w:r>
      <w:r w:rsidR="00DA5035" w:rsidRPr="003253E5">
        <w:rPr>
          <w:rFonts w:ascii="Times New Roman" w:hAnsi="Times New Roman" w:cs="Times New Roman"/>
          <w:sz w:val="24"/>
          <w:szCs w:val="24"/>
          <w:lang w:val="en-GB"/>
        </w:rPr>
        <w:t xml:space="preserve">PetroSA </w:t>
      </w:r>
      <w:r w:rsidR="00ED0D37" w:rsidRPr="003253E5">
        <w:rPr>
          <w:rFonts w:ascii="Times New Roman" w:hAnsi="Times New Roman" w:cs="Times New Roman"/>
          <w:sz w:val="24"/>
          <w:szCs w:val="24"/>
          <w:lang w:val="en-GB"/>
        </w:rPr>
        <w:t>did not make use of a licensed remover of goods in bond (</w:t>
      </w:r>
      <w:r w:rsidR="00DB3E2A" w:rsidRPr="003253E5">
        <w:rPr>
          <w:rFonts w:ascii="Times New Roman" w:hAnsi="Times New Roman" w:cs="Times New Roman"/>
          <w:sz w:val="24"/>
          <w:szCs w:val="24"/>
          <w:lang w:val="en-GB"/>
        </w:rPr>
        <w:t>“</w:t>
      </w:r>
      <w:r w:rsidR="00ED0D37" w:rsidRPr="003253E5">
        <w:rPr>
          <w:rFonts w:ascii="Times New Roman" w:hAnsi="Times New Roman" w:cs="Times New Roman"/>
          <w:b/>
          <w:bCs/>
          <w:sz w:val="24"/>
          <w:szCs w:val="24"/>
          <w:lang w:val="en-GB"/>
        </w:rPr>
        <w:t>ROG</w:t>
      </w:r>
      <w:r w:rsidR="00DB3E2A" w:rsidRPr="003253E5">
        <w:rPr>
          <w:rFonts w:ascii="Times New Roman" w:hAnsi="Times New Roman" w:cs="Times New Roman"/>
          <w:sz w:val="24"/>
          <w:szCs w:val="24"/>
          <w:lang w:val="en-GB"/>
        </w:rPr>
        <w:t>”</w:t>
      </w:r>
      <w:r w:rsidR="00ED0D37" w:rsidRPr="003253E5">
        <w:rPr>
          <w:rFonts w:ascii="Times New Roman" w:hAnsi="Times New Roman" w:cs="Times New Roman"/>
          <w:sz w:val="24"/>
          <w:szCs w:val="24"/>
          <w:lang w:val="en-GB"/>
        </w:rPr>
        <w:t>)</w:t>
      </w:r>
      <w:r w:rsidR="00287BD0" w:rsidRPr="003253E5">
        <w:rPr>
          <w:rFonts w:ascii="Times New Roman" w:hAnsi="Times New Roman" w:cs="Times New Roman"/>
          <w:sz w:val="24"/>
          <w:szCs w:val="24"/>
          <w:lang w:val="en-GB"/>
        </w:rPr>
        <w:t xml:space="preserve"> for the removals.</w:t>
      </w:r>
    </w:p>
    <w:p w14:paraId="42CBDDCB" w14:textId="6D241F88" w:rsidR="007F14AF"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14.2.</w:t>
      </w:r>
      <w:r w:rsidRPr="008F5862">
        <w:rPr>
          <w:rFonts w:ascii="Times New Roman" w:hAnsi="Times New Roman" w:cs="Times New Roman"/>
          <w:sz w:val="24"/>
          <w:szCs w:val="24"/>
          <w:lang w:val="en-GB"/>
        </w:rPr>
        <w:tab/>
      </w:r>
      <w:r w:rsidR="00217F70" w:rsidRPr="003253E5">
        <w:rPr>
          <w:rFonts w:ascii="Times New Roman" w:hAnsi="Times New Roman" w:cs="Times New Roman"/>
          <w:sz w:val="24"/>
          <w:szCs w:val="24"/>
          <w:lang w:val="en-GB"/>
        </w:rPr>
        <w:t>SARS may not introduce new and different justification</w:t>
      </w:r>
      <w:r w:rsidR="006D2440" w:rsidRPr="003253E5">
        <w:rPr>
          <w:rFonts w:ascii="Times New Roman" w:hAnsi="Times New Roman" w:cs="Times New Roman"/>
          <w:sz w:val="24"/>
          <w:szCs w:val="24"/>
          <w:lang w:val="en-GB"/>
        </w:rPr>
        <w:t>s</w:t>
      </w:r>
      <w:r w:rsidR="00217F70" w:rsidRPr="003253E5">
        <w:rPr>
          <w:rFonts w:ascii="Times New Roman" w:hAnsi="Times New Roman" w:cs="Times New Roman"/>
          <w:sz w:val="24"/>
          <w:szCs w:val="24"/>
          <w:lang w:val="en-GB"/>
        </w:rPr>
        <w:t xml:space="preserve"> for the determinations in its answering papers.  </w:t>
      </w:r>
      <w:r w:rsidR="006D2440" w:rsidRPr="003253E5">
        <w:rPr>
          <w:rFonts w:ascii="Times New Roman" w:hAnsi="Times New Roman" w:cs="Times New Roman"/>
          <w:sz w:val="24"/>
          <w:szCs w:val="24"/>
          <w:lang w:val="en-GB"/>
        </w:rPr>
        <w:t xml:space="preserve">These </w:t>
      </w:r>
      <w:r w:rsidR="007F14AF" w:rsidRPr="003253E5">
        <w:rPr>
          <w:rFonts w:ascii="Times New Roman" w:hAnsi="Times New Roman" w:cs="Times New Roman"/>
          <w:sz w:val="24"/>
          <w:szCs w:val="24"/>
          <w:lang w:val="en-GB"/>
        </w:rPr>
        <w:t xml:space="preserve">new </w:t>
      </w:r>
      <w:r w:rsidR="00C876F7" w:rsidRPr="003253E5">
        <w:rPr>
          <w:rFonts w:ascii="Times New Roman" w:hAnsi="Times New Roman" w:cs="Times New Roman"/>
          <w:sz w:val="24"/>
          <w:szCs w:val="24"/>
          <w:lang w:val="en-GB"/>
        </w:rPr>
        <w:t>justifications</w:t>
      </w:r>
      <w:r w:rsidR="006D2440" w:rsidRPr="003253E5">
        <w:rPr>
          <w:rFonts w:ascii="Times New Roman" w:hAnsi="Times New Roman" w:cs="Times New Roman"/>
          <w:sz w:val="24"/>
          <w:szCs w:val="24"/>
          <w:lang w:val="en-GB"/>
        </w:rPr>
        <w:t xml:space="preserve"> must be</w:t>
      </w:r>
      <w:r w:rsidR="007F14AF" w:rsidRPr="003253E5">
        <w:rPr>
          <w:rFonts w:ascii="Times New Roman" w:hAnsi="Times New Roman" w:cs="Times New Roman"/>
          <w:sz w:val="24"/>
          <w:szCs w:val="24"/>
          <w:lang w:val="en-GB"/>
        </w:rPr>
        <w:t xml:space="preserve"> struck out on the basis that they are irrelevant </w:t>
      </w:r>
      <w:r w:rsidR="00ED0D37" w:rsidRPr="003253E5">
        <w:rPr>
          <w:rFonts w:ascii="Times New Roman" w:hAnsi="Times New Roman" w:cs="Times New Roman"/>
          <w:sz w:val="24"/>
          <w:szCs w:val="24"/>
          <w:lang w:val="en-GB"/>
        </w:rPr>
        <w:t>(they did not form the basis of the determination</w:t>
      </w:r>
      <w:r w:rsidR="00C876F7" w:rsidRPr="003253E5">
        <w:rPr>
          <w:rFonts w:ascii="Times New Roman" w:hAnsi="Times New Roman" w:cs="Times New Roman"/>
          <w:sz w:val="24"/>
          <w:szCs w:val="24"/>
          <w:lang w:val="en-GB"/>
        </w:rPr>
        <w:t>)</w:t>
      </w:r>
      <w:r w:rsidR="00ED0D37" w:rsidRPr="003253E5">
        <w:rPr>
          <w:rFonts w:ascii="Times New Roman" w:hAnsi="Times New Roman" w:cs="Times New Roman"/>
          <w:sz w:val="24"/>
          <w:szCs w:val="24"/>
          <w:lang w:val="en-GB"/>
        </w:rPr>
        <w:t xml:space="preserve"> </w:t>
      </w:r>
      <w:r w:rsidR="007F14AF" w:rsidRPr="003253E5">
        <w:rPr>
          <w:rFonts w:ascii="Times New Roman" w:hAnsi="Times New Roman" w:cs="Times New Roman"/>
          <w:sz w:val="24"/>
          <w:szCs w:val="24"/>
          <w:lang w:val="en-GB"/>
        </w:rPr>
        <w:t xml:space="preserve">and vexatious </w:t>
      </w:r>
      <w:r w:rsidR="00ED0D37" w:rsidRPr="003253E5">
        <w:rPr>
          <w:rFonts w:ascii="Times New Roman" w:hAnsi="Times New Roman" w:cs="Times New Roman"/>
          <w:sz w:val="24"/>
          <w:szCs w:val="24"/>
          <w:lang w:val="en-GB"/>
        </w:rPr>
        <w:t>(</w:t>
      </w:r>
      <w:r w:rsidR="007F14AF" w:rsidRPr="003253E5">
        <w:rPr>
          <w:rFonts w:ascii="Times New Roman" w:hAnsi="Times New Roman" w:cs="Times New Roman"/>
          <w:sz w:val="24"/>
          <w:szCs w:val="24"/>
          <w:lang w:val="en-GB"/>
        </w:rPr>
        <w:t>they contain allegations of fraud which do not appear in the letter of demand</w:t>
      </w:r>
      <w:r w:rsidR="00ED0D37" w:rsidRPr="003253E5">
        <w:rPr>
          <w:rFonts w:ascii="Times New Roman" w:hAnsi="Times New Roman" w:cs="Times New Roman"/>
          <w:sz w:val="24"/>
          <w:szCs w:val="24"/>
          <w:lang w:val="en-GB"/>
        </w:rPr>
        <w:t>)</w:t>
      </w:r>
      <w:r w:rsidR="007F14AF" w:rsidRPr="003253E5">
        <w:rPr>
          <w:rFonts w:ascii="Times New Roman" w:hAnsi="Times New Roman" w:cs="Times New Roman"/>
          <w:sz w:val="24"/>
          <w:szCs w:val="24"/>
          <w:lang w:val="en-GB"/>
        </w:rPr>
        <w:t xml:space="preserve">. </w:t>
      </w:r>
    </w:p>
    <w:p w14:paraId="612A6F92" w14:textId="6AACA4F4" w:rsidR="00767ED8"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14.3.</w:t>
      </w:r>
      <w:r w:rsidRPr="008F5862">
        <w:rPr>
          <w:rFonts w:ascii="Times New Roman" w:hAnsi="Times New Roman" w:cs="Times New Roman"/>
          <w:sz w:val="24"/>
          <w:szCs w:val="24"/>
          <w:lang w:val="en-GB"/>
        </w:rPr>
        <w:tab/>
      </w:r>
      <w:r w:rsidR="005745E5" w:rsidRPr="003253E5">
        <w:rPr>
          <w:rFonts w:ascii="Times New Roman" w:hAnsi="Times New Roman" w:cs="Times New Roman"/>
          <w:sz w:val="24"/>
          <w:szCs w:val="24"/>
          <w:lang w:val="en-GB"/>
        </w:rPr>
        <w:t>Finding 2</w:t>
      </w:r>
      <w:r w:rsidR="00C0703E" w:rsidRPr="003253E5">
        <w:rPr>
          <w:rFonts w:ascii="Times New Roman" w:hAnsi="Times New Roman" w:cs="Times New Roman"/>
          <w:sz w:val="24"/>
          <w:szCs w:val="24"/>
          <w:lang w:val="en-GB"/>
        </w:rPr>
        <w:t>,</w:t>
      </w:r>
      <w:r w:rsidR="00767ED8" w:rsidRPr="003253E5">
        <w:rPr>
          <w:rFonts w:ascii="Times New Roman" w:hAnsi="Times New Roman" w:cs="Times New Roman"/>
          <w:sz w:val="24"/>
          <w:szCs w:val="24"/>
          <w:lang w:val="en-GB"/>
        </w:rPr>
        <w:t xml:space="preserve"> </w:t>
      </w:r>
      <w:r w:rsidR="006D2440" w:rsidRPr="003253E5">
        <w:rPr>
          <w:rFonts w:ascii="Times New Roman" w:hAnsi="Times New Roman" w:cs="Times New Roman"/>
          <w:sz w:val="24"/>
          <w:szCs w:val="24"/>
          <w:lang w:val="en-GB"/>
        </w:rPr>
        <w:t>at least the part which found that</w:t>
      </w:r>
      <w:r w:rsidR="00767ED8" w:rsidRPr="003253E5">
        <w:rPr>
          <w:rFonts w:ascii="Times New Roman" w:hAnsi="Times New Roman" w:cs="Times New Roman"/>
          <w:sz w:val="24"/>
          <w:szCs w:val="24"/>
          <w:lang w:val="en-GB"/>
        </w:rPr>
        <w:t xml:space="preserve"> the acquittal documents pertaining to some of the intermediaries were non-compliant was made in a procedurally unfair matter</w:t>
      </w:r>
      <w:r w:rsidR="00C876F7" w:rsidRPr="003253E5">
        <w:rPr>
          <w:rFonts w:ascii="Times New Roman" w:hAnsi="Times New Roman" w:cs="Times New Roman"/>
          <w:sz w:val="24"/>
          <w:szCs w:val="24"/>
          <w:lang w:val="en-GB"/>
        </w:rPr>
        <w:t>.  This part of Finding 2 was</w:t>
      </w:r>
      <w:r w:rsidR="00767ED8" w:rsidRPr="003253E5">
        <w:rPr>
          <w:rFonts w:ascii="Times New Roman" w:hAnsi="Times New Roman" w:cs="Times New Roman"/>
          <w:sz w:val="24"/>
          <w:szCs w:val="24"/>
          <w:lang w:val="en-GB"/>
        </w:rPr>
        <w:t xml:space="preserve"> </w:t>
      </w:r>
      <w:r w:rsidR="006D2440" w:rsidRPr="003253E5">
        <w:rPr>
          <w:rFonts w:ascii="Times New Roman" w:hAnsi="Times New Roman" w:cs="Times New Roman"/>
          <w:sz w:val="24"/>
          <w:szCs w:val="24"/>
          <w:lang w:val="en-GB"/>
        </w:rPr>
        <w:t>not made in the letter of intent and</w:t>
      </w:r>
      <w:r w:rsidR="00767ED8" w:rsidRPr="003253E5">
        <w:rPr>
          <w:rFonts w:ascii="Times New Roman" w:hAnsi="Times New Roman" w:cs="Times New Roman"/>
          <w:sz w:val="24"/>
          <w:szCs w:val="24"/>
          <w:lang w:val="en-GB"/>
        </w:rPr>
        <w:t xml:space="preserve"> PetroSA was not given an opportunity to deal therewith. PetroSA has instituted a review</w:t>
      </w:r>
      <w:r w:rsidR="00C876F7" w:rsidRPr="003253E5">
        <w:rPr>
          <w:rFonts w:ascii="Times New Roman" w:hAnsi="Times New Roman" w:cs="Times New Roman"/>
          <w:sz w:val="24"/>
          <w:szCs w:val="24"/>
          <w:lang w:val="en-GB"/>
        </w:rPr>
        <w:t xml:space="preserve"> in respect of this part</w:t>
      </w:r>
      <w:r w:rsidR="00767ED8" w:rsidRPr="003253E5">
        <w:rPr>
          <w:rFonts w:ascii="Times New Roman" w:hAnsi="Times New Roman" w:cs="Times New Roman"/>
          <w:sz w:val="24"/>
          <w:szCs w:val="24"/>
          <w:lang w:val="en-GB"/>
        </w:rPr>
        <w:t xml:space="preserve"> under the Promotion of Administrative Justice Act 3 of 2000 (</w:t>
      </w:r>
      <w:r w:rsidR="00DB3E2A" w:rsidRPr="003253E5">
        <w:rPr>
          <w:rFonts w:ascii="Times New Roman" w:hAnsi="Times New Roman" w:cs="Times New Roman"/>
          <w:sz w:val="24"/>
          <w:szCs w:val="24"/>
          <w:lang w:val="en-GB"/>
        </w:rPr>
        <w:t>“</w:t>
      </w:r>
      <w:r w:rsidR="00767ED8" w:rsidRPr="003253E5">
        <w:rPr>
          <w:rFonts w:ascii="Times New Roman" w:hAnsi="Times New Roman" w:cs="Times New Roman"/>
          <w:b/>
          <w:bCs/>
          <w:sz w:val="24"/>
          <w:szCs w:val="24"/>
          <w:lang w:val="en-GB"/>
        </w:rPr>
        <w:t>PAJA</w:t>
      </w:r>
      <w:r w:rsidR="00DB3E2A" w:rsidRPr="003253E5">
        <w:rPr>
          <w:rFonts w:ascii="Times New Roman" w:hAnsi="Times New Roman" w:cs="Times New Roman"/>
          <w:sz w:val="24"/>
          <w:szCs w:val="24"/>
          <w:lang w:val="en-GB"/>
        </w:rPr>
        <w:t>”</w:t>
      </w:r>
      <w:r w:rsidR="00767ED8" w:rsidRPr="003253E5">
        <w:rPr>
          <w:rFonts w:ascii="Times New Roman" w:hAnsi="Times New Roman" w:cs="Times New Roman"/>
          <w:sz w:val="24"/>
          <w:szCs w:val="24"/>
          <w:lang w:val="en-GB"/>
        </w:rPr>
        <w:t xml:space="preserve">) on the basis of procedural unfairness. </w:t>
      </w:r>
      <w:r w:rsidR="006D2440" w:rsidRPr="003253E5">
        <w:rPr>
          <w:rFonts w:ascii="Times New Roman" w:hAnsi="Times New Roman" w:cs="Times New Roman"/>
          <w:sz w:val="24"/>
          <w:szCs w:val="24"/>
          <w:lang w:val="en-GB"/>
        </w:rPr>
        <w:t xml:space="preserve"> This is the PAJA review.</w:t>
      </w:r>
    </w:p>
    <w:p w14:paraId="226EAD72" w14:textId="6181E4F1" w:rsidR="009C2734"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14.4.</w:t>
      </w:r>
      <w:r w:rsidRPr="008F5862">
        <w:rPr>
          <w:rFonts w:ascii="Times New Roman" w:hAnsi="Times New Roman" w:cs="Times New Roman"/>
          <w:sz w:val="24"/>
          <w:szCs w:val="24"/>
          <w:lang w:val="en-GB"/>
        </w:rPr>
        <w:tab/>
      </w:r>
      <w:r w:rsidR="00C876F7" w:rsidRPr="003253E5">
        <w:rPr>
          <w:rFonts w:ascii="Times New Roman" w:hAnsi="Times New Roman" w:cs="Times New Roman"/>
          <w:sz w:val="24"/>
          <w:szCs w:val="24"/>
          <w:lang w:val="en-GB"/>
        </w:rPr>
        <w:t xml:space="preserve">The </w:t>
      </w:r>
      <w:r w:rsidR="009C2734" w:rsidRPr="003253E5">
        <w:rPr>
          <w:rFonts w:ascii="Times New Roman" w:hAnsi="Times New Roman" w:cs="Times New Roman"/>
          <w:sz w:val="24"/>
          <w:szCs w:val="24"/>
          <w:lang w:val="en-GB"/>
        </w:rPr>
        <w:t>determinations and/or the Rules are irrational.  This is the constitutional review.</w:t>
      </w:r>
    </w:p>
    <w:p w14:paraId="0E18AACC" w14:textId="2EF658DA" w:rsidR="00547EF5"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[15]</w:t>
      </w:r>
      <w:r w:rsidRPr="008F5862">
        <w:rPr>
          <w:rFonts w:ascii="Times New Roman" w:hAnsi="Times New Roman" w:cs="Times New Roman"/>
          <w:sz w:val="24"/>
          <w:szCs w:val="24"/>
          <w:lang w:val="en-GB"/>
        </w:rPr>
        <w:tab/>
      </w:r>
      <w:r w:rsidR="00094E62" w:rsidRPr="003253E5">
        <w:rPr>
          <w:rFonts w:ascii="Times New Roman" w:hAnsi="Times New Roman" w:cs="Times New Roman"/>
          <w:sz w:val="24"/>
          <w:szCs w:val="24"/>
          <w:lang w:val="en-GB"/>
        </w:rPr>
        <w:t xml:space="preserve">In Case No 21471, </w:t>
      </w:r>
      <w:r w:rsidR="00547EF5" w:rsidRPr="003253E5">
        <w:rPr>
          <w:rFonts w:ascii="Times New Roman" w:hAnsi="Times New Roman" w:cs="Times New Roman"/>
          <w:sz w:val="24"/>
          <w:szCs w:val="24"/>
          <w:lang w:val="en-GB"/>
        </w:rPr>
        <w:t>PetroSA successfully applied to the Gauteng Division of the High Court</w:t>
      </w:r>
      <w:r w:rsidR="00094E62" w:rsidRPr="003253E5">
        <w:rPr>
          <w:rFonts w:ascii="Times New Roman" w:hAnsi="Times New Roman" w:cs="Times New Roman"/>
          <w:sz w:val="24"/>
          <w:szCs w:val="24"/>
          <w:lang w:val="en-GB"/>
        </w:rPr>
        <w:t xml:space="preserve">, </w:t>
      </w:r>
      <w:r w:rsidR="00F41DC3" w:rsidRPr="003253E5">
        <w:rPr>
          <w:rFonts w:ascii="Times New Roman" w:hAnsi="Times New Roman" w:cs="Times New Roman"/>
          <w:sz w:val="24"/>
          <w:szCs w:val="24"/>
          <w:lang w:val="en-GB"/>
        </w:rPr>
        <w:t xml:space="preserve">Pretoria </w:t>
      </w:r>
      <w:r w:rsidR="00547EF5" w:rsidRPr="003253E5">
        <w:rPr>
          <w:rFonts w:ascii="Times New Roman" w:hAnsi="Times New Roman" w:cs="Times New Roman"/>
          <w:sz w:val="24"/>
          <w:szCs w:val="24"/>
          <w:lang w:val="en-GB"/>
        </w:rPr>
        <w:t>for the suspension of payment, pending the outcome of the present appeal.</w:t>
      </w:r>
      <w:r w:rsidR="00F41DC3" w:rsidRPr="008F5862">
        <w:rPr>
          <w:rStyle w:val="FootnoteReference"/>
          <w:rFonts w:ascii="Times New Roman" w:hAnsi="Times New Roman" w:cs="Times New Roman"/>
          <w:sz w:val="24"/>
          <w:szCs w:val="24"/>
          <w:lang w:val="en-GB"/>
        </w:rPr>
        <w:footnoteReference w:id="3"/>
      </w:r>
      <w:r w:rsidR="00767ED8" w:rsidRPr="003253E5">
        <w:rPr>
          <w:rFonts w:ascii="Times New Roman" w:hAnsi="Times New Roman" w:cs="Times New Roman"/>
          <w:sz w:val="24"/>
          <w:szCs w:val="24"/>
          <w:lang w:val="en-GB"/>
        </w:rPr>
        <w:t xml:space="preserve"> </w:t>
      </w:r>
      <w:r w:rsidR="00F47709" w:rsidRPr="003253E5">
        <w:rPr>
          <w:rFonts w:ascii="Times New Roman" w:hAnsi="Times New Roman" w:cs="Times New Roman"/>
          <w:sz w:val="24"/>
          <w:szCs w:val="24"/>
          <w:lang w:val="en-GB"/>
        </w:rPr>
        <w:t xml:space="preserve"> The </w:t>
      </w:r>
      <w:r w:rsidR="00094E62" w:rsidRPr="003253E5">
        <w:rPr>
          <w:rFonts w:ascii="Times New Roman" w:hAnsi="Times New Roman" w:cs="Times New Roman"/>
          <w:sz w:val="24"/>
          <w:szCs w:val="24"/>
          <w:lang w:val="en-GB"/>
        </w:rPr>
        <w:t>Judg</w:t>
      </w:r>
      <w:r w:rsidR="00105B3B" w:rsidRPr="003253E5">
        <w:rPr>
          <w:rFonts w:ascii="Times New Roman" w:hAnsi="Times New Roman" w:cs="Times New Roman"/>
          <w:sz w:val="24"/>
          <w:szCs w:val="24"/>
          <w:lang w:val="en-GB"/>
        </w:rPr>
        <w:t xml:space="preserve">ment, per </w:t>
      </w:r>
      <w:r w:rsidR="00CD140E" w:rsidRPr="003253E5">
        <w:rPr>
          <w:rFonts w:ascii="Times New Roman" w:hAnsi="Times New Roman" w:cs="Times New Roman"/>
          <w:sz w:val="24"/>
          <w:szCs w:val="24"/>
          <w:lang w:val="en-GB"/>
        </w:rPr>
        <w:t>Makhubele J</w:t>
      </w:r>
      <w:r w:rsidR="00105B3B" w:rsidRPr="003253E5">
        <w:rPr>
          <w:rFonts w:ascii="Times New Roman" w:hAnsi="Times New Roman" w:cs="Times New Roman"/>
          <w:sz w:val="24"/>
          <w:szCs w:val="24"/>
          <w:lang w:val="en-GB"/>
        </w:rPr>
        <w:t xml:space="preserve">, </w:t>
      </w:r>
      <w:r w:rsidR="001B6152" w:rsidRPr="003253E5">
        <w:rPr>
          <w:rFonts w:ascii="Times New Roman" w:hAnsi="Times New Roman" w:cs="Times New Roman"/>
          <w:sz w:val="24"/>
          <w:szCs w:val="24"/>
          <w:lang w:val="en-GB"/>
        </w:rPr>
        <w:t xml:space="preserve">reserved the costs of that application </w:t>
      </w:r>
      <w:r w:rsidR="00820DE3" w:rsidRPr="003253E5">
        <w:rPr>
          <w:rFonts w:ascii="Times New Roman" w:hAnsi="Times New Roman" w:cs="Times New Roman"/>
          <w:sz w:val="24"/>
          <w:szCs w:val="24"/>
          <w:lang w:val="en-GB"/>
        </w:rPr>
        <w:t>for adjudication in the present matter.</w:t>
      </w:r>
    </w:p>
    <w:p w14:paraId="2B798522" w14:textId="48D5BAC2" w:rsidR="00767ED8"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[16]</w:t>
      </w:r>
      <w:r w:rsidRPr="008F5862">
        <w:rPr>
          <w:rFonts w:ascii="Times New Roman" w:hAnsi="Times New Roman" w:cs="Times New Roman"/>
          <w:sz w:val="24"/>
          <w:szCs w:val="24"/>
          <w:lang w:val="en-GB"/>
        </w:rPr>
        <w:tab/>
      </w:r>
      <w:r w:rsidR="00767ED8" w:rsidRPr="003253E5">
        <w:rPr>
          <w:rFonts w:ascii="Times New Roman" w:hAnsi="Times New Roman" w:cs="Times New Roman"/>
          <w:sz w:val="24"/>
          <w:szCs w:val="24"/>
          <w:lang w:val="en-GB"/>
        </w:rPr>
        <w:t>In what follows, I deal with the nature of the appeal and the strike-out and thereafter with the merits</w:t>
      </w:r>
      <w:r w:rsidR="00256F56" w:rsidRPr="003253E5">
        <w:rPr>
          <w:rFonts w:ascii="Times New Roman" w:hAnsi="Times New Roman" w:cs="Times New Roman"/>
          <w:sz w:val="24"/>
          <w:szCs w:val="24"/>
          <w:lang w:val="en-GB"/>
        </w:rPr>
        <w:t xml:space="preserve"> and the PAJA and constitutional reviews</w:t>
      </w:r>
      <w:r w:rsidR="00767ED8" w:rsidRPr="003253E5">
        <w:rPr>
          <w:rFonts w:ascii="Times New Roman" w:hAnsi="Times New Roman" w:cs="Times New Roman"/>
          <w:sz w:val="24"/>
          <w:szCs w:val="24"/>
          <w:lang w:val="en-GB"/>
        </w:rPr>
        <w:t xml:space="preserve">. </w:t>
      </w:r>
      <w:r w:rsidR="0059549C" w:rsidRPr="003253E5">
        <w:rPr>
          <w:rFonts w:ascii="Times New Roman" w:hAnsi="Times New Roman" w:cs="Times New Roman"/>
          <w:sz w:val="24"/>
          <w:szCs w:val="24"/>
          <w:lang w:val="en-GB"/>
        </w:rPr>
        <w:t xml:space="preserve"> Before that</w:t>
      </w:r>
      <w:r w:rsidR="003779FA" w:rsidRPr="003253E5">
        <w:rPr>
          <w:rFonts w:ascii="Times New Roman" w:hAnsi="Times New Roman" w:cs="Times New Roman"/>
          <w:sz w:val="24"/>
          <w:szCs w:val="24"/>
          <w:lang w:val="en-GB"/>
        </w:rPr>
        <w:t xml:space="preserve"> it is necessary to dispose of </w:t>
      </w:r>
      <w:r w:rsidR="00256F56" w:rsidRPr="003253E5">
        <w:rPr>
          <w:rFonts w:ascii="Times New Roman" w:hAnsi="Times New Roman" w:cs="Times New Roman"/>
          <w:sz w:val="24"/>
          <w:szCs w:val="24"/>
          <w:lang w:val="en-GB"/>
        </w:rPr>
        <w:t xml:space="preserve">two other </w:t>
      </w:r>
      <w:r w:rsidR="003779FA" w:rsidRPr="003253E5">
        <w:rPr>
          <w:rFonts w:ascii="Times New Roman" w:hAnsi="Times New Roman" w:cs="Times New Roman"/>
          <w:sz w:val="24"/>
          <w:szCs w:val="24"/>
          <w:lang w:val="en-GB"/>
        </w:rPr>
        <w:t xml:space="preserve">interlocutories (other than the strike-out). </w:t>
      </w:r>
    </w:p>
    <w:p w14:paraId="5A9C100E" w14:textId="19CE9C55" w:rsidR="00B21FDC" w:rsidRPr="008F5862" w:rsidRDefault="00B21FDC" w:rsidP="004F7C26">
      <w:pPr>
        <w:pStyle w:val="Heading1"/>
        <w:rPr>
          <w:lang w:val="en-GB"/>
        </w:rPr>
      </w:pPr>
      <w:r w:rsidRPr="008F5862">
        <w:rPr>
          <w:lang w:val="en-GB"/>
        </w:rPr>
        <w:t>Interlocutory applications</w:t>
      </w:r>
    </w:p>
    <w:p w14:paraId="79C9798F" w14:textId="55CDA079" w:rsidR="001A3069"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[17]</w:t>
      </w:r>
      <w:r w:rsidRPr="008F5862">
        <w:rPr>
          <w:rFonts w:ascii="Times New Roman" w:hAnsi="Times New Roman" w:cs="Times New Roman"/>
          <w:sz w:val="24"/>
          <w:szCs w:val="24"/>
          <w:lang w:val="en-GB"/>
        </w:rPr>
        <w:tab/>
      </w:r>
      <w:r w:rsidR="001A3069" w:rsidRPr="003253E5">
        <w:rPr>
          <w:rFonts w:ascii="Times New Roman" w:hAnsi="Times New Roman" w:cs="Times New Roman"/>
          <w:sz w:val="24"/>
          <w:szCs w:val="24"/>
          <w:lang w:val="en-GB"/>
        </w:rPr>
        <w:t>Firstly, leave was sought</w:t>
      </w:r>
      <w:r w:rsidR="00256F56" w:rsidRPr="003253E5">
        <w:rPr>
          <w:rFonts w:ascii="Times New Roman" w:hAnsi="Times New Roman" w:cs="Times New Roman"/>
          <w:sz w:val="24"/>
          <w:szCs w:val="24"/>
          <w:lang w:val="en-GB"/>
        </w:rPr>
        <w:t xml:space="preserve"> by PetroSA</w:t>
      </w:r>
      <w:r w:rsidR="001A3069" w:rsidRPr="003253E5">
        <w:rPr>
          <w:rFonts w:ascii="Times New Roman" w:hAnsi="Times New Roman" w:cs="Times New Roman"/>
          <w:sz w:val="24"/>
          <w:szCs w:val="24"/>
          <w:lang w:val="en-GB"/>
        </w:rPr>
        <w:t xml:space="preserve"> for the admission of a supplementary founding affidavit, on the grounds set out in said affidavit dated 31</w:t>
      </w:r>
      <w:r w:rsidR="00F7161B" w:rsidRPr="003253E5">
        <w:rPr>
          <w:rFonts w:ascii="Times New Roman" w:hAnsi="Times New Roman" w:cs="Times New Roman"/>
          <w:sz w:val="24"/>
          <w:szCs w:val="24"/>
          <w:lang w:val="en-GB"/>
        </w:rPr>
        <w:t> </w:t>
      </w:r>
      <w:r w:rsidR="001A3069" w:rsidRPr="003253E5">
        <w:rPr>
          <w:rFonts w:ascii="Times New Roman" w:hAnsi="Times New Roman" w:cs="Times New Roman"/>
          <w:sz w:val="24"/>
          <w:szCs w:val="24"/>
          <w:lang w:val="en-GB"/>
        </w:rPr>
        <w:t>July</w:t>
      </w:r>
      <w:r w:rsidR="00F7161B" w:rsidRPr="003253E5">
        <w:rPr>
          <w:rFonts w:ascii="Times New Roman" w:hAnsi="Times New Roman" w:cs="Times New Roman"/>
          <w:sz w:val="24"/>
          <w:szCs w:val="24"/>
          <w:lang w:val="en-GB"/>
        </w:rPr>
        <w:t> </w:t>
      </w:r>
      <w:r w:rsidR="001A3069" w:rsidRPr="003253E5">
        <w:rPr>
          <w:rFonts w:ascii="Times New Roman" w:hAnsi="Times New Roman" w:cs="Times New Roman"/>
          <w:sz w:val="24"/>
          <w:szCs w:val="24"/>
          <w:lang w:val="en-GB"/>
        </w:rPr>
        <w:t>2020.  The introduction of this affidavit was not opposed</w:t>
      </w:r>
      <w:r w:rsidR="00256F56" w:rsidRPr="003253E5">
        <w:rPr>
          <w:rFonts w:ascii="Times New Roman" w:hAnsi="Times New Roman" w:cs="Times New Roman"/>
          <w:sz w:val="24"/>
          <w:szCs w:val="24"/>
          <w:lang w:val="en-GB"/>
        </w:rPr>
        <w:t xml:space="preserve"> by SARS and</w:t>
      </w:r>
      <w:r w:rsidR="001A3069" w:rsidRPr="003253E5">
        <w:rPr>
          <w:rFonts w:ascii="Times New Roman" w:hAnsi="Times New Roman" w:cs="Times New Roman"/>
          <w:sz w:val="24"/>
          <w:szCs w:val="24"/>
          <w:lang w:val="en-GB"/>
        </w:rPr>
        <w:t xml:space="preserve"> its contents were dealt with in </w:t>
      </w:r>
      <w:r w:rsidR="00256F56" w:rsidRPr="003253E5">
        <w:rPr>
          <w:rFonts w:ascii="Times New Roman" w:hAnsi="Times New Roman" w:cs="Times New Roman"/>
          <w:sz w:val="24"/>
          <w:szCs w:val="24"/>
          <w:lang w:val="en-GB"/>
        </w:rPr>
        <w:t>the</w:t>
      </w:r>
      <w:r w:rsidR="001A3069" w:rsidRPr="003253E5">
        <w:rPr>
          <w:rFonts w:ascii="Times New Roman" w:hAnsi="Times New Roman" w:cs="Times New Roman"/>
          <w:sz w:val="24"/>
          <w:szCs w:val="24"/>
          <w:lang w:val="en-GB"/>
        </w:rPr>
        <w:t xml:space="preserve"> answering affidavit.  </w:t>
      </w:r>
      <w:r w:rsidR="00256F56" w:rsidRPr="003253E5">
        <w:rPr>
          <w:rFonts w:ascii="Times New Roman" w:hAnsi="Times New Roman" w:cs="Times New Roman"/>
          <w:sz w:val="24"/>
          <w:szCs w:val="24"/>
          <w:lang w:val="en-GB"/>
        </w:rPr>
        <w:t xml:space="preserve">Leave </w:t>
      </w:r>
      <w:r w:rsidR="001A3069" w:rsidRPr="003253E5">
        <w:rPr>
          <w:rFonts w:ascii="Times New Roman" w:hAnsi="Times New Roman" w:cs="Times New Roman"/>
          <w:sz w:val="24"/>
          <w:szCs w:val="24"/>
          <w:lang w:val="en-GB"/>
        </w:rPr>
        <w:t>for its admission is granted, with the costs</w:t>
      </w:r>
      <w:r w:rsidR="00256F56" w:rsidRPr="003253E5">
        <w:rPr>
          <w:rFonts w:ascii="Times New Roman" w:hAnsi="Times New Roman" w:cs="Times New Roman"/>
          <w:sz w:val="24"/>
          <w:szCs w:val="24"/>
          <w:lang w:val="en-GB"/>
        </w:rPr>
        <w:t xml:space="preserve"> occasioned by the application</w:t>
      </w:r>
      <w:r w:rsidR="001A3069" w:rsidRPr="003253E5">
        <w:rPr>
          <w:rFonts w:ascii="Times New Roman" w:hAnsi="Times New Roman" w:cs="Times New Roman"/>
          <w:sz w:val="24"/>
          <w:szCs w:val="24"/>
          <w:lang w:val="en-GB"/>
        </w:rPr>
        <w:t xml:space="preserve"> to be costs in the cause</w:t>
      </w:r>
      <w:r w:rsidR="00F22FEE" w:rsidRPr="003253E5">
        <w:rPr>
          <w:rFonts w:ascii="Times New Roman" w:hAnsi="Times New Roman" w:cs="Times New Roman"/>
          <w:sz w:val="24"/>
          <w:szCs w:val="24"/>
          <w:lang w:val="en-GB"/>
        </w:rPr>
        <w:t>.</w:t>
      </w:r>
    </w:p>
    <w:p w14:paraId="7CBD410F" w14:textId="4BA3C04A" w:rsidR="00B21FDC"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[18]</w:t>
      </w:r>
      <w:r w:rsidRPr="008F5862">
        <w:rPr>
          <w:rFonts w:ascii="Times New Roman" w:hAnsi="Times New Roman" w:cs="Times New Roman"/>
          <w:sz w:val="24"/>
          <w:szCs w:val="24"/>
          <w:lang w:val="en-GB"/>
        </w:rPr>
        <w:tab/>
      </w:r>
      <w:r w:rsidR="00F22FEE" w:rsidRPr="003253E5">
        <w:rPr>
          <w:rFonts w:ascii="Times New Roman" w:hAnsi="Times New Roman" w:cs="Times New Roman"/>
          <w:sz w:val="24"/>
          <w:szCs w:val="24"/>
          <w:lang w:val="en-GB"/>
        </w:rPr>
        <w:t>Secondly,</w:t>
      </w:r>
      <w:r w:rsidR="00C876F7" w:rsidRPr="003253E5">
        <w:rPr>
          <w:rFonts w:ascii="Times New Roman" w:hAnsi="Times New Roman" w:cs="Times New Roman"/>
          <w:sz w:val="24"/>
          <w:szCs w:val="24"/>
          <w:lang w:val="en-GB"/>
        </w:rPr>
        <w:t xml:space="preserve"> little more than a month before the hearing,</w:t>
      </w:r>
      <w:r w:rsidR="00F22FEE" w:rsidRPr="003253E5">
        <w:rPr>
          <w:rFonts w:ascii="Times New Roman" w:hAnsi="Times New Roman" w:cs="Times New Roman"/>
          <w:sz w:val="24"/>
          <w:szCs w:val="24"/>
          <w:lang w:val="en-GB"/>
        </w:rPr>
        <w:t xml:space="preserve"> on</w:t>
      </w:r>
      <w:r w:rsidR="005E2648" w:rsidRPr="003253E5">
        <w:rPr>
          <w:rFonts w:ascii="Times New Roman" w:hAnsi="Times New Roman" w:cs="Times New Roman"/>
          <w:sz w:val="24"/>
          <w:szCs w:val="24"/>
          <w:lang w:val="en-GB"/>
        </w:rPr>
        <w:t xml:space="preserve"> 1</w:t>
      </w:r>
      <w:r w:rsidR="003C28B4" w:rsidRPr="003253E5">
        <w:rPr>
          <w:rFonts w:ascii="Times New Roman" w:hAnsi="Times New Roman" w:cs="Times New Roman"/>
          <w:sz w:val="24"/>
          <w:szCs w:val="24"/>
          <w:lang w:val="en-GB"/>
        </w:rPr>
        <w:t>8</w:t>
      </w:r>
      <w:r w:rsidR="00F7161B" w:rsidRPr="003253E5">
        <w:rPr>
          <w:rFonts w:ascii="Times New Roman" w:hAnsi="Times New Roman" w:cs="Times New Roman"/>
          <w:sz w:val="24"/>
          <w:szCs w:val="24"/>
          <w:lang w:val="en-GB"/>
        </w:rPr>
        <w:t> </w:t>
      </w:r>
      <w:r w:rsidR="005E2648" w:rsidRPr="003253E5">
        <w:rPr>
          <w:rFonts w:ascii="Times New Roman" w:hAnsi="Times New Roman" w:cs="Times New Roman"/>
          <w:sz w:val="24"/>
          <w:szCs w:val="24"/>
          <w:lang w:val="en-GB"/>
        </w:rPr>
        <w:t>October</w:t>
      </w:r>
      <w:r w:rsidR="00F7161B" w:rsidRPr="003253E5">
        <w:rPr>
          <w:rFonts w:ascii="Times New Roman" w:hAnsi="Times New Roman" w:cs="Times New Roman"/>
          <w:sz w:val="24"/>
          <w:szCs w:val="24"/>
          <w:lang w:val="en-GB"/>
        </w:rPr>
        <w:t> </w:t>
      </w:r>
      <w:r w:rsidR="005E2648" w:rsidRPr="003253E5">
        <w:rPr>
          <w:rFonts w:ascii="Times New Roman" w:hAnsi="Times New Roman" w:cs="Times New Roman"/>
          <w:sz w:val="24"/>
          <w:szCs w:val="24"/>
          <w:lang w:val="en-GB"/>
        </w:rPr>
        <w:t>2023</w:t>
      </w:r>
      <w:r w:rsidR="00256F56" w:rsidRPr="003253E5">
        <w:rPr>
          <w:rFonts w:ascii="Times New Roman" w:hAnsi="Times New Roman" w:cs="Times New Roman"/>
          <w:sz w:val="24"/>
          <w:szCs w:val="24"/>
          <w:lang w:val="en-GB"/>
        </w:rPr>
        <w:t>,</w:t>
      </w:r>
      <w:r w:rsidR="005E2648" w:rsidRPr="003253E5">
        <w:rPr>
          <w:rFonts w:ascii="Times New Roman" w:hAnsi="Times New Roman" w:cs="Times New Roman"/>
          <w:sz w:val="24"/>
          <w:szCs w:val="24"/>
          <w:lang w:val="en-GB"/>
        </w:rPr>
        <w:t xml:space="preserve"> </w:t>
      </w:r>
      <w:r w:rsidR="00B21FDC" w:rsidRPr="003253E5">
        <w:rPr>
          <w:rFonts w:ascii="Times New Roman" w:hAnsi="Times New Roman" w:cs="Times New Roman"/>
          <w:sz w:val="24"/>
          <w:szCs w:val="24"/>
          <w:lang w:val="en-GB"/>
        </w:rPr>
        <w:t>PetroSA</w:t>
      </w:r>
      <w:r w:rsidR="005E2648" w:rsidRPr="003253E5">
        <w:rPr>
          <w:rFonts w:ascii="Times New Roman" w:hAnsi="Times New Roman" w:cs="Times New Roman"/>
          <w:sz w:val="24"/>
          <w:szCs w:val="24"/>
          <w:lang w:val="en-GB"/>
        </w:rPr>
        <w:t xml:space="preserve"> brought an application for the </w:t>
      </w:r>
      <w:r w:rsidR="00C27E3E" w:rsidRPr="003253E5">
        <w:rPr>
          <w:rFonts w:ascii="Times New Roman" w:hAnsi="Times New Roman" w:cs="Times New Roman"/>
          <w:sz w:val="24"/>
          <w:szCs w:val="24"/>
          <w:lang w:val="en-GB"/>
        </w:rPr>
        <w:t>admission of a further affidavit</w:t>
      </w:r>
      <w:r w:rsidR="009365DF" w:rsidRPr="003253E5">
        <w:rPr>
          <w:rFonts w:ascii="Times New Roman" w:hAnsi="Times New Roman" w:cs="Times New Roman"/>
          <w:sz w:val="24"/>
          <w:szCs w:val="24"/>
          <w:lang w:val="en-GB"/>
        </w:rPr>
        <w:t xml:space="preserve"> </w:t>
      </w:r>
      <w:r w:rsidR="00C876F7" w:rsidRPr="003253E5">
        <w:rPr>
          <w:rFonts w:ascii="Times New Roman" w:hAnsi="Times New Roman" w:cs="Times New Roman"/>
          <w:sz w:val="24"/>
          <w:szCs w:val="24"/>
          <w:lang w:val="en-GB"/>
        </w:rPr>
        <w:t>containing</w:t>
      </w:r>
      <w:r w:rsidR="00C7781C" w:rsidRPr="003253E5">
        <w:rPr>
          <w:rFonts w:ascii="Times New Roman" w:hAnsi="Times New Roman" w:cs="Times New Roman"/>
          <w:sz w:val="24"/>
          <w:szCs w:val="24"/>
          <w:lang w:val="en-GB"/>
        </w:rPr>
        <w:t xml:space="preserve"> evidence </w:t>
      </w:r>
      <w:r w:rsidR="00256F56" w:rsidRPr="003253E5">
        <w:rPr>
          <w:rFonts w:ascii="Times New Roman" w:hAnsi="Times New Roman" w:cs="Times New Roman"/>
          <w:sz w:val="24"/>
          <w:szCs w:val="24"/>
          <w:lang w:val="en-GB"/>
        </w:rPr>
        <w:t>regarding</w:t>
      </w:r>
      <w:r w:rsidR="00B31F9E" w:rsidRPr="003253E5">
        <w:rPr>
          <w:rFonts w:ascii="Times New Roman" w:hAnsi="Times New Roman" w:cs="Times New Roman"/>
          <w:sz w:val="24"/>
          <w:szCs w:val="24"/>
          <w:lang w:val="en-GB"/>
        </w:rPr>
        <w:t xml:space="preserve"> the licensing </w:t>
      </w:r>
      <w:r w:rsidR="00694F38" w:rsidRPr="003253E5">
        <w:rPr>
          <w:rFonts w:ascii="Times New Roman" w:hAnsi="Times New Roman" w:cs="Times New Roman"/>
          <w:sz w:val="24"/>
          <w:szCs w:val="24"/>
          <w:lang w:val="en-GB"/>
        </w:rPr>
        <w:t xml:space="preserve">of Tarlton as an SOS.  </w:t>
      </w:r>
      <w:r w:rsidR="00854B4C" w:rsidRPr="003253E5">
        <w:rPr>
          <w:rFonts w:ascii="Times New Roman" w:hAnsi="Times New Roman" w:cs="Times New Roman"/>
          <w:sz w:val="24"/>
          <w:szCs w:val="24"/>
          <w:lang w:val="en-GB"/>
        </w:rPr>
        <w:t>The application is opposed by SARS</w:t>
      </w:r>
      <w:r w:rsidR="00E33953" w:rsidRPr="003253E5">
        <w:rPr>
          <w:rFonts w:ascii="Times New Roman" w:hAnsi="Times New Roman" w:cs="Times New Roman"/>
          <w:sz w:val="24"/>
          <w:szCs w:val="24"/>
          <w:lang w:val="en-GB"/>
        </w:rPr>
        <w:t xml:space="preserve"> on grounds set out in affidavits filed on 19</w:t>
      </w:r>
      <w:r w:rsidR="00F7161B" w:rsidRPr="003253E5">
        <w:rPr>
          <w:rFonts w:ascii="Times New Roman" w:hAnsi="Times New Roman" w:cs="Times New Roman"/>
          <w:sz w:val="24"/>
          <w:szCs w:val="24"/>
          <w:lang w:val="en-GB"/>
        </w:rPr>
        <w:t> </w:t>
      </w:r>
      <w:r w:rsidR="00E33953" w:rsidRPr="003253E5">
        <w:rPr>
          <w:rFonts w:ascii="Times New Roman" w:hAnsi="Times New Roman" w:cs="Times New Roman"/>
          <w:sz w:val="24"/>
          <w:szCs w:val="24"/>
          <w:lang w:val="en-GB"/>
        </w:rPr>
        <w:t>November</w:t>
      </w:r>
      <w:r w:rsidR="00F7161B" w:rsidRPr="003253E5">
        <w:rPr>
          <w:rFonts w:ascii="Times New Roman" w:hAnsi="Times New Roman" w:cs="Times New Roman"/>
          <w:sz w:val="24"/>
          <w:szCs w:val="24"/>
          <w:lang w:val="en-GB"/>
        </w:rPr>
        <w:t> </w:t>
      </w:r>
      <w:r w:rsidR="00E33953" w:rsidRPr="003253E5">
        <w:rPr>
          <w:rFonts w:ascii="Times New Roman" w:hAnsi="Times New Roman" w:cs="Times New Roman"/>
          <w:sz w:val="24"/>
          <w:szCs w:val="24"/>
          <w:lang w:val="en-GB"/>
        </w:rPr>
        <w:t>20</w:t>
      </w:r>
      <w:r w:rsidR="00EE5F5C" w:rsidRPr="003253E5">
        <w:rPr>
          <w:rFonts w:ascii="Times New Roman" w:hAnsi="Times New Roman" w:cs="Times New Roman"/>
          <w:sz w:val="24"/>
          <w:szCs w:val="24"/>
          <w:lang w:val="en-GB"/>
        </w:rPr>
        <w:t>23 (the day before the hearing)</w:t>
      </w:r>
      <w:r w:rsidR="007E3767" w:rsidRPr="003253E5">
        <w:rPr>
          <w:rFonts w:ascii="Times New Roman" w:hAnsi="Times New Roman" w:cs="Times New Roman"/>
          <w:sz w:val="24"/>
          <w:szCs w:val="24"/>
          <w:lang w:val="en-GB"/>
        </w:rPr>
        <w:t xml:space="preserve">.  If granted, </w:t>
      </w:r>
      <w:r w:rsidR="00E33953" w:rsidRPr="003253E5">
        <w:rPr>
          <w:rFonts w:ascii="Times New Roman" w:hAnsi="Times New Roman" w:cs="Times New Roman"/>
          <w:sz w:val="24"/>
          <w:szCs w:val="24"/>
          <w:lang w:val="en-GB"/>
        </w:rPr>
        <w:t>SARS seeks a</w:t>
      </w:r>
      <w:r w:rsidR="00EE5F5C" w:rsidRPr="003253E5">
        <w:rPr>
          <w:rFonts w:ascii="Times New Roman" w:hAnsi="Times New Roman" w:cs="Times New Roman"/>
          <w:sz w:val="24"/>
          <w:szCs w:val="24"/>
          <w:lang w:val="en-GB"/>
        </w:rPr>
        <w:t xml:space="preserve"> proper and adequate</w:t>
      </w:r>
      <w:r w:rsidR="00E33953" w:rsidRPr="003253E5">
        <w:rPr>
          <w:rFonts w:ascii="Times New Roman" w:hAnsi="Times New Roman" w:cs="Times New Roman"/>
          <w:sz w:val="24"/>
          <w:szCs w:val="24"/>
          <w:lang w:val="en-GB"/>
        </w:rPr>
        <w:t xml:space="preserve"> opp</w:t>
      </w:r>
      <w:r w:rsidR="00EE5F5C" w:rsidRPr="003253E5">
        <w:rPr>
          <w:rFonts w:ascii="Times New Roman" w:hAnsi="Times New Roman" w:cs="Times New Roman"/>
          <w:sz w:val="24"/>
          <w:szCs w:val="24"/>
          <w:lang w:val="en-GB"/>
        </w:rPr>
        <w:t>ortunity to deal</w:t>
      </w:r>
      <w:r w:rsidR="004120D9" w:rsidRPr="003253E5">
        <w:rPr>
          <w:rFonts w:ascii="Times New Roman" w:hAnsi="Times New Roman" w:cs="Times New Roman"/>
          <w:sz w:val="24"/>
          <w:szCs w:val="24"/>
          <w:lang w:val="en-GB"/>
        </w:rPr>
        <w:t xml:space="preserve"> with </w:t>
      </w:r>
      <w:r w:rsidR="00C876F7" w:rsidRPr="003253E5">
        <w:rPr>
          <w:rFonts w:ascii="Times New Roman" w:hAnsi="Times New Roman" w:cs="Times New Roman"/>
          <w:sz w:val="24"/>
          <w:szCs w:val="24"/>
          <w:lang w:val="en-GB"/>
        </w:rPr>
        <w:t>the further evidence</w:t>
      </w:r>
      <w:r w:rsidR="004120D9" w:rsidRPr="003253E5">
        <w:rPr>
          <w:rFonts w:ascii="Times New Roman" w:hAnsi="Times New Roman" w:cs="Times New Roman"/>
          <w:sz w:val="24"/>
          <w:szCs w:val="24"/>
          <w:lang w:val="en-GB"/>
        </w:rPr>
        <w:t>.</w:t>
      </w:r>
      <w:r w:rsidR="00256F56" w:rsidRPr="003253E5">
        <w:rPr>
          <w:rFonts w:ascii="Times New Roman" w:hAnsi="Times New Roman" w:cs="Times New Roman"/>
          <w:sz w:val="24"/>
          <w:szCs w:val="24"/>
          <w:lang w:val="en-GB"/>
        </w:rPr>
        <w:t xml:space="preserve">  In other words, a postponement will be required.</w:t>
      </w:r>
      <w:r w:rsidR="004120D9" w:rsidRPr="003253E5">
        <w:rPr>
          <w:rFonts w:ascii="Times New Roman" w:hAnsi="Times New Roman" w:cs="Times New Roman"/>
          <w:sz w:val="24"/>
          <w:szCs w:val="24"/>
          <w:lang w:val="en-GB"/>
        </w:rPr>
        <w:t xml:space="preserve"> </w:t>
      </w:r>
      <w:r w:rsidR="00157371" w:rsidRPr="003253E5">
        <w:rPr>
          <w:rFonts w:ascii="Times New Roman" w:hAnsi="Times New Roman" w:cs="Times New Roman"/>
          <w:sz w:val="24"/>
          <w:szCs w:val="24"/>
          <w:lang w:val="en-GB"/>
        </w:rPr>
        <w:t xml:space="preserve"> At the outset of the hearing, counsel for PetroSA</w:t>
      </w:r>
      <w:r w:rsidR="00256F56" w:rsidRPr="003253E5">
        <w:rPr>
          <w:rFonts w:ascii="Times New Roman" w:hAnsi="Times New Roman" w:cs="Times New Roman"/>
          <w:sz w:val="24"/>
          <w:szCs w:val="24"/>
          <w:lang w:val="en-GB"/>
        </w:rPr>
        <w:t>, Mr JP Vorster SC</w:t>
      </w:r>
      <w:r w:rsidR="00C876F7" w:rsidRPr="003253E5">
        <w:rPr>
          <w:rFonts w:ascii="Times New Roman" w:hAnsi="Times New Roman" w:cs="Times New Roman"/>
          <w:sz w:val="24"/>
          <w:szCs w:val="24"/>
          <w:lang w:val="en-GB"/>
        </w:rPr>
        <w:t>, who appeared</w:t>
      </w:r>
      <w:r w:rsidR="00256F56" w:rsidRPr="003253E5">
        <w:rPr>
          <w:rFonts w:ascii="Times New Roman" w:hAnsi="Times New Roman" w:cs="Times New Roman"/>
          <w:sz w:val="24"/>
          <w:szCs w:val="24"/>
          <w:lang w:val="en-GB"/>
        </w:rPr>
        <w:t xml:space="preserve"> with Ms HJ Snyman, </w:t>
      </w:r>
      <w:r w:rsidR="00157371" w:rsidRPr="003253E5">
        <w:rPr>
          <w:rFonts w:ascii="Times New Roman" w:hAnsi="Times New Roman" w:cs="Times New Roman"/>
          <w:sz w:val="24"/>
          <w:szCs w:val="24"/>
          <w:lang w:val="en-GB"/>
        </w:rPr>
        <w:t xml:space="preserve">indicated that his client </w:t>
      </w:r>
      <w:r w:rsidR="005C0003" w:rsidRPr="003253E5">
        <w:rPr>
          <w:rFonts w:ascii="Times New Roman" w:hAnsi="Times New Roman" w:cs="Times New Roman"/>
          <w:sz w:val="24"/>
          <w:szCs w:val="24"/>
          <w:lang w:val="en-GB"/>
        </w:rPr>
        <w:t xml:space="preserve">was not proceeding with this application.  In the circumstances nothing further need to be said about it, save that SARS </w:t>
      </w:r>
      <w:r w:rsidR="00D42ED2" w:rsidRPr="003253E5">
        <w:rPr>
          <w:rFonts w:ascii="Times New Roman" w:hAnsi="Times New Roman" w:cs="Times New Roman"/>
          <w:sz w:val="24"/>
          <w:szCs w:val="24"/>
          <w:lang w:val="en-GB"/>
        </w:rPr>
        <w:t xml:space="preserve">is entitled to the costs </w:t>
      </w:r>
      <w:r w:rsidR="00E43C30" w:rsidRPr="003253E5">
        <w:rPr>
          <w:rFonts w:ascii="Times New Roman" w:hAnsi="Times New Roman" w:cs="Times New Roman"/>
          <w:sz w:val="24"/>
          <w:szCs w:val="24"/>
          <w:lang w:val="en-GB"/>
        </w:rPr>
        <w:t>occasioned by</w:t>
      </w:r>
      <w:r w:rsidR="00D42ED2" w:rsidRPr="003253E5">
        <w:rPr>
          <w:rFonts w:ascii="Times New Roman" w:hAnsi="Times New Roman" w:cs="Times New Roman"/>
          <w:sz w:val="24"/>
          <w:szCs w:val="24"/>
          <w:lang w:val="en-GB"/>
        </w:rPr>
        <w:t xml:space="preserve"> opposing this application. </w:t>
      </w:r>
    </w:p>
    <w:p w14:paraId="41DBED24" w14:textId="730BBD11" w:rsidR="00EC0ACE" w:rsidRPr="008F5862" w:rsidRDefault="00EC0ACE" w:rsidP="004F7C26">
      <w:pPr>
        <w:pStyle w:val="Heading1"/>
        <w:rPr>
          <w:lang w:val="en-GB"/>
        </w:rPr>
      </w:pPr>
      <w:r w:rsidRPr="008F5862">
        <w:rPr>
          <w:lang w:val="en-GB"/>
        </w:rPr>
        <w:t>The nature of the appeal</w:t>
      </w:r>
      <w:r w:rsidR="00767ED8" w:rsidRPr="008F5862">
        <w:rPr>
          <w:lang w:val="en-GB"/>
        </w:rPr>
        <w:t xml:space="preserve"> and the strike-out</w:t>
      </w:r>
    </w:p>
    <w:p w14:paraId="38CCCDA4" w14:textId="5FA5BB8C" w:rsidR="00EC0ACE"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[19]</w:t>
      </w:r>
      <w:r w:rsidRPr="008F5862">
        <w:rPr>
          <w:rFonts w:ascii="Times New Roman" w:hAnsi="Times New Roman" w:cs="Times New Roman"/>
          <w:sz w:val="24"/>
          <w:szCs w:val="24"/>
          <w:lang w:val="en-GB"/>
        </w:rPr>
        <w:tab/>
      </w:r>
      <w:r w:rsidR="00EC0ACE" w:rsidRPr="003253E5">
        <w:rPr>
          <w:rFonts w:ascii="Times New Roman" w:hAnsi="Times New Roman" w:cs="Times New Roman"/>
          <w:sz w:val="24"/>
          <w:szCs w:val="24"/>
          <w:lang w:val="en-GB"/>
        </w:rPr>
        <w:t xml:space="preserve">It is common cause that the appeal is a wide appeal, involving a complete rehearing and determination of the merits. </w:t>
      </w:r>
    </w:p>
    <w:p w14:paraId="59573B4B" w14:textId="103B5B73" w:rsidR="00EC0ACE"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[20]</w:t>
      </w:r>
      <w:r w:rsidRPr="008F5862">
        <w:rPr>
          <w:rFonts w:ascii="Times New Roman" w:hAnsi="Times New Roman" w:cs="Times New Roman"/>
          <w:sz w:val="24"/>
          <w:szCs w:val="24"/>
          <w:lang w:val="en-GB"/>
        </w:rPr>
        <w:tab/>
      </w:r>
      <w:r w:rsidR="00EC0ACE" w:rsidRPr="003253E5">
        <w:rPr>
          <w:rFonts w:ascii="Times New Roman" w:hAnsi="Times New Roman" w:cs="Times New Roman"/>
          <w:sz w:val="24"/>
          <w:szCs w:val="24"/>
          <w:lang w:val="en-GB"/>
        </w:rPr>
        <w:t xml:space="preserve">PetroSA however contends that this does not mean that the scope of the appeal can extend beyond the correctness of the determinations made by SARS.  In other words, PetroSA contends that it remains an </w:t>
      </w:r>
      <w:r w:rsidR="00DB3E2A" w:rsidRPr="003253E5">
        <w:rPr>
          <w:rFonts w:ascii="Times New Roman" w:hAnsi="Times New Roman" w:cs="Times New Roman"/>
          <w:sz w:val="24"/>
          <w:szCs w:val="24"/>
          <w:lang w:val="en-GB"/>
        </w:rPr>
        <w:t>“</w:t>
      </w:r>
      <w:r w:rsidR="00EC0ACE" w:rsidRPr="003253E5">
        <w:rPr>
          <w:rFonts w:ascii="Times New Roman" w:hAnsi="Times New Roman" w:cs="Times New Roman"/>
          <w:i/>
          <w:iCs/>
          <w:sz w:val="24"/>
          <w:szCs w:val="24"/>
          <w:lang w:val="en-GB"/>
        </w:rPr>
        <w:t>appeal</w:t>
      </w:r>
      <w:r w:rsidR="00DB3E2A" w:rsidRPr="003253E5">
        <w:rPr>
          <w:rFonts w:ascii="Times New Roman" w:hAnsi="Times New Roman" w:cs="Times New Roman"/>
          <w:sz w:val="24"/>
          <w:szCs w:val="24"/>
          <w:lang w:val="en-GB"/>
        </w:rPr>
        <w:t>”</w:t>
      </w:r>
      <w:r w:rsidR="00EC0ACE" w:rsidRPr="003253E5">
        <w:rPr>
          <w:rFonts w:ascii="Times New Roman" w:hAnsi="Times New Roman" w:cs="Times New Roman"/>
          <w:sz w:val="24"/>
          <w:szCs w:val="24"/>
          <w:lang w:val="en-GB"/>
        </w:rPr>
        <w:t xml:space="preserve"> against what was determined by SARS and that the</w:t>
      </w:r>
      <w:r w:rsidR="00482E5C" w:rsidRPr="003253E5">
        <w:rPr>
          <w:rFonts w:ascii="Times New Roman" w:hAnsi="Times New Roman" w:cs="Times New Roman"/>
          <w:sz w:val="24"/>
          <w:szCs w:val="24"/>
          <w:lang w:val="en-GB"/>
        </w:rPr>
        <w:t xml:space="preserve"> nature of the</w:t>
      </w:r>
      <w:r w:rsidR="00EC0ACE" w:rsidRPr="003253E5">
        <w:rPr>
          <w:rFonts w:ascii="Times New Roman" w:hAnsi="Times New Roman" w:cs="Times New Roman"/>
          <w:sz w:val="24"/>
          <w:szCs w:val="24"/>
          <w:lang w:val="en-GB"/>
        </w:rPr>
        <w:t xml:space="preserve"> determinations accordingly limit the scope of the appeal.</w:t>
      </w:r>
      <w:r w:rsidR="00767ED8" w:rsidRPr="003253E5">
        <w:rPr>
          <w:rFonts w:ascii="Times New Roman" w:hAnsi="Times New Roman" w:cs="Times New Roman"/>
          <w:sz w:val="24"/>
          <w:szCs w:val="24"/>
          <w:lang w:val="en-GB"/>
        </w:rPr>
        <w:t xml:space="preserve">  SARS is not entitled to make new determinations in its answering affidavits.  </w:t>
      </w:r>
      <w:r w:rsidR="003D4A6E" w:rsidRPr="003253E5">
        <w:rPr>
          <w:rFonts w:ascii="Times New Roman" w:hAnsi="Times New Roman" w:cs="Times New Roman"/>
          <w:sz w:val="24"/>
          <w:szCs w:val="24"/>
          <w:lang w:val="en-GB"/>
        </w:rPr>
        <w:t xml:space="preserve">The appeal is not a </w:t>
      </w:r>
      <w:r w:rsidR="00DB3E2A" w:rsidRPr="003253E5">
        <w:rPr>
          <w:rFonts w:ascii="Times New Roman" w:hAnsi="Times New Roman" w:cs="Times New Roman"/>
          <w:sz w:val="24"/>
          <w:szCs w:val="24"/>
          <w:lang w:val="en-GB"/>
        </w:rPr>
        <w:t>“</w:t>
      </w:r>
      <w:r w:rsidR="003D4A6E" w:rsidRPr="003253E5">
        <w:rPr>
          <w:rFonts w:ascii="Times New Roman" w:hAnsi="Times New Roman" w:cs="Times New Roman"/>
          <w:i/>
          <w:iCs/>
          <w:sz w:val="24"/>
          <w:szCs w:val="24"/>
          <w:lang w:val="en-GB"/>
        </w:rPr>
        <w:t>tabula rasa</w:t>
      </w:r>
      <w:r w:rsidR="00DB3E2A" w:rsidRPr="003253E5">
        <w:rPr>
          <w:rFonts w:ascii="Times New Roman" w:hAnsi="Times New Roman" w:cs="Times New Roman"/>
          <w:sz w:val="24"/>
          <w:szCs w:val="24"/>
          <w:lang w:val="en-GB"/>
        </w:rPr>
        <w:t>”</w:t>
      </w:r>
      <w:r w:rsidR="003D4A6E" w:rsidRPr="003253E5">
        <w:rPr>
          <w:rFonts w:ascii="Times New Roman" w:hAnsi="Times New Roman" w:cs="Times New Roman"/>
          <w:sz w:val="24"/>
          <w:szCs w:val="24"/>
          <w:lang w:val="en-GB"/>
        </w:rPr>
        <w:t xml:space="preserve">, as counsel for PetroSA called it. </w:t>
      </w:r>
    </w:p>
    <w:p w14:paraId="042CA226" w14:textId="75969D32" w:rsidR="00EC0ACE"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[21]</w:t>
      </w:r>
      <w:r w:rsidRPr="008F5862">
        <w:rPr>
          <w:rFonts w:ascii="Times New Roman" w:hAnsi="Times New Roman" w:cs="Times New Roman"/>
          <w:sz w:val="24"/>
          <w:szCs w:val="24"/>
          <w:lang w:val="en-GB"/>
        </w:rPr>
        <w:tab/>
      </w:r>
      <w:r w:rsidR="00EC0ACE" w:rsidRPr="003253E5">
        <w:rPr>
          <w:rFonts w:ascii="Times New Roman" w:hAnsi="Times New Roman" w:cs="Times New Roman"/>
          <w:sz w:val="24"/>
          <w:szCs w:val="24"/>
          <w:lang w:val="en-GB"/>
        </w:rPr>
        <w:t xml:space="preserve">In this regard, </w:t>
      </w:r>
      <w:r w:rsidR="003D4A6E" w:rsidRPr="003253E5">
        <w:rPr>
          <w:rFonts w:ascii="Times New Roman" w:hAnsi="Times New Roman" w:cs="Times New Roman"/>
          <w:sz w:val="24"/>
          <w:szCs w:val="24"/>
          <w:lang w:val="en-GB"/>
        </w:rPr>
        <w:t xml:space="preserve">counsel of PetroSA referred me to the </w:t>
      </w:r>
      <w:r w:rsidR="00EC0ACE" w:rsidRPr="003253E5">
        <w:rPr>
          <w:rFonts w:ascii="Times New Roman" w:hAnsi="Times New Roman" w:cs="Times New Roman"/>
          <w:sz w:val="24"/>
          <w:szCs w:val="24"/>
          <w:lang w:val="en-GB"/>
        </w:rPr>
        <w:t xml:space="preserve">following </w:t>
      </w:r>
      <w:r w:rsidR="00EC0ACE" w:rsidRPr="003253E5">
        <w:rPr>
          <w:rFonts w:ascii="Times New Roman" w:hAnsi="Times New Roman" w:cs="Times New Roman"/>
          <w:i/>
          <w:iCs/>
          <w:sz w:val="24"/>
          <w:szCs w:val="24"/>
          <w:lang w:val="en-GB"/>
        </w:rPr>
        <w:t>dictum</w:t>
      </w:r>
      <w:r w:rsidR="00EC0ACE" w:rsidRPr="003253E5">
        <w:rPr>
          <w:rFonts w:ascii="Times New Roman" w:hAnsi="Times New Roman" w:cs="Times New Roman"/>
          <w:sz w:val="24"/>
          <w:szCs w:val="24"/>
          <w:lang w:val="en-GB"/>
        </w:rPr>
        <w:t xml:space="preserve"> </w:t>
      </w:r>
      <w:r w:rsidR="00482E5C" w:rsidRPr="003253E5">
        <w:rPr>
          <w:rFonts w:ascii="Times New Roman" w:hAnsi="Times New Roman" w:cs="Times New Roman"/>
          <w:sz w:val="24"/>
          <w:szCs w:val="24"/>
          <w:lang w:val="en-GB"/>
        </w:rPr>
        <w:t xml:space="preserve">in </w:t>
      </w:r>
      <w:r w:rsidR="00577246" w:rsidRPr="003253E5">
        <w:rPr>
          <w:rFonts w:ascii="Times New Roman" w:hAnsi="Times New Roman" w:cs="Times New Roman"/>
          <w:b/>
          <w:bCs/>
          <w:sz w:val="24"/>
          <w:szCs w:val="24"/>
          <w:u w:val="single"/>
          <w:lang w:val="en-GB"/>
        </w:rPr>
        <w:t>Commissioner SARS v Levi Strauss SA (Pty) Ltd</w:t>
      </w:r>
      <w:r w:rsidR="00577246" w:rsidRPr="003253E5">
        <w:rPr>
          <w:rFonts w:ascii="Times New Roman" w:hAnsi="Times New Roman" w:cs="Times New Roman"/>
          <w:sz w:val="24"/>
          <w:szCs w:val="24"/>
          <w:lang w:val="en-GB"/>
        </w:rPr>
        <w:t xml:space="preserve"> [2021] 2 All SA 645 (SCA); 2021 (4) SA 76 (SCA) (7</w:t>
      </w:r>
      <w:r w:rsidR="00F7161B" w:rsidRPr="003253E5">
        <w:rPr>
          <w:rFonts w:ascii="Times New Roman" w:hAnsi="Times New Roman" w:cs="Times New Roman"/>
          <w:sz w:val="24"/>
          <w:szCs w:val="24"/>
          <w:lang w:val="en-GB"/>
        </w:rPr>
        <w:t> </w:t>
      </w:r>
      <w:r w:rsidR="00577246" w:rsidRPr="003253E5">
        <w:rPr>
          <w:rFonts w:ascii="Times New Roman" w:hAnsi="Times New Roman" w:cs="Times New Roman"/>
          <w:sz w:val="24"/>
          <w:szCs w:val="24"/>
          <w:lang w:val="en-GB"/>
        </w:rPr>
        <w:t>April</w:t>
      </w:r>
      <w:r w:rsidR="00F7161B" w:rsidRPr="003253E5">
        <w:rPr>
          <w:rFonts w:ascii="Times New Roman" w:hAnsi="Times New Roman" w:cs="Times New Roman"/>
          <w:sz w:val="24"/>
          <w:szCs w:val="24"/>
          <w:lang w:val="en-GB"/>
        </w:rPr>
        <w:t> </w:t>
      </w:r>
      <w:r w:rsidR="00577246" w:rsidRPr="003253E5">
        <w:rPr>
          <w:rFonts w:ascii="Times New Roman" w:hAnsi="Times New Roman" w:cs="Times New Roman"/>
          <w:sz w:val="24"/>
          <w:szCs w:val="24"/>
          <w:lang w:val="en-GB"/>
        </w:rPr>
        <w:t>2021):</w:t>
      </w:r>
    </w:p>
    <w:p w14:paraId="2F369550" w14:textId="45360D90" w:rsidR="00577246" w:rsidRPr="008F5862" w:rsidRDefault="00DB3E2A" w:rsidP="00255A08">
      <w:pPr>
        <w:pStyle w:val="Quote"/>
        <w:spacing w:after="600"/>
        <w:rPr>
          <w:lang w:val="en-GB"/>
        </w:rPr>
      </w:pPr>
      <w:r>
        <w:rPr>
          <w:lang w:val="en-GB"/>
        </w:rPr>
        <w:t>“</w:t>
      </w:r>
      <w:r w:rsidR="00577246" w:rsidRPr="008F5862">
        <w:rPr>
          <w:lang w:val="en-GB"/>
        </w:rPr>
        <w:t>[26] I do not think this argument is open to SARS on these papers. An appeal under s49(7)(b) of the Act is an appeal against the determination. While it is an appeal in the wide sense, involving a complete re-hearing and determination of the merits,</w:t>
      </w:r>
      <w:r w:rsidR="00767ED8" w:rsidRPr="008F5862">
        <w:rPr>
          <w:lang w:val="en-GB"/>
        </w:rPr>
        <w:t xml:space="preserve"> </w:t>
      </w:r>
      <w:r w:rsidR="00577246" w:rsidRPr="008F5862">
        <w:rPr>
          <w:u w:val="single"/>
          <w:lang w:val="en-GB"/>
        </w:rPr>
        <w:t>it remains an appeal against what was determined in the determination and nothing more. It is open to SARS to defend its determination on any legitimate ground, but it is not an opportunity for it to make a wholly different determination, albeit one with similar effect.</w:t>
      </w:r>
      <w:r>
        <w:rPr>
          <w:lang w:val="en-GB"/>
        </w:rPr>
        <w:t>”</w:t>
      </w:r>
      <w:r w:rsidR="00767ED8" w:rsidRPr="008F5862">
        <w:rPr>
          <w:lang w:val="en-GB"/>
        </w:rPr>
        <w:t xml:space="preserve"> (my underlining)</w:t>
      </w:r>
    </w:p>
    <w:p w14:paraId="0A545802" w14:textId="53701137" w:rsidR="007F14AF"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[22]</w:t>
      </w:r>
      <w:r w:rsidRPr="008F5862">
        <w:rPr>
          <w:rFonts w:ascii="Times New Roman" w:hAnsi="Times New Roman" w:cs="Times New Roman"/>
          <w:sz w:val="24"/>
          <w:szCs w:val="24"/>
          <w:lang w:val="en-GB"/>
        </w:rPr>
        <w:tab/>
      </w:r>
      <w:r w:rsidR="006A5215" w:rsidRPr="003253E5">
        <w:rPr>
          <w:rFonts w:ascii="Times New Roman" w:hAnsi="Times New Roman" w:cs="Times New Roman"/>
          <w:sz w:val="24"/>
          <w:szCs w:val="24"/>
          <w:lang w:val="en-GB"/>
        </w:rPr>
        <w:t xml:space="preserve">With respect, it is not entirely clear what the SCA meant with the statement that it was open to SARS to defend its determination on </w:t>
      </w:r>
      <w:r w:rsidR="00DB3E2A" w:rsidRPr="003253E5">
        <w:rPr>
          <w:rFonts w:ascii="Times New Roman" w:hAnsi="Times New Roman" w:cs="Times New Roman"/>
          <w:sz w:val="24"/>
          <w:szCs w:val="24"/>
          <w:lang w:val="en-GB"/>
        </w:rPr>
        <w:t>“</w:t>
      </w:r>
      <w:r w:rsidR="006A5215" w:rsidRPr="003253E5">
        <w:rPr>
          <w:rFonts w:ascii="Times New Roman" w:hAnsi="Times New Roman" w:cs="Times New Roman"/>
          <w:i/>
          <w:iCs/>
          <w:sz w:val="24"/>
          <w:szCs w:val="24"/>
          <w:lang w:val="en-GB"/>
        </w:rPr>
        <w:t>any legitimate ground</w:t>
      </w:r>
      <w:r w:rsidR="00DB3E2A" w:rsidRPr="003253E5">
        <w:rPr>
          <w:rFonts w:ascii="Times New Roman" w:hAnsi="Times New Roman" w:cs="Times New Roman"/>
          <w:sz w:val="24"/>
          <w:szCs w:val="24"/>
          <w:lang w:val="en-GB"/>
        </w:rPr>
        <w:t>”</w:t>
      </w:r>
      <w:r w:rsidR="006A5215" w:rsidRPr="003253E5">
        <w:rPr>
          <w:rFonts w:ascii="Times New Roman" w:hAnsi="Times New Roman" w:cs="Times New Roman"/>
          <w:sz w:val="24"/>
          <w:szCs w:val="24"/>
          <w:lang w:val="en-GB"/>
        </w:rPr>
        <w:t>.</w:t>
      </w:r>
      <w:r w:rsidR="009426FD" w:rsidRPr="003253E5">
        <w:rPr>
          <w:rFonts w:ascii="Times New Roman" w:hAnsi="Times New Roman" w:cs="Times New Roman"/>
          <w:sz w:val="24"/>
          <w:szCs w:val="24"/>
          <w:lang w:val="en-GB"/>
        </w:rPr>
        <w:t xml:space="preserve"> </w:t>
      </w:r>
      <w:r w:rsidR="006A5215" w:rsidRPr="003253E5">
        <w:rPr>
          <w:rFonts w:ascii="Times New Roman" w:hAnsi="Times New Roman" w:cs="Times New Roman"/>
          <w:sz w:val="24"/>
          <w:szCs w:val="24"/>
          <w:lang w:val="en-GB"/>
        </w:rPr>
        <w:t xml:space="preserve"> Would it include</w:t>
      </w:r>
      <w:r w:rsidR="003D4A6E" w:rsidRPr="003253E5">
        <w:rPr>
          <w:rFonts w:ascii="Times New Roman" w:hAnsi="Times New Roman" w:cs="Times New Roman"/>
          <w:sz w:val="24"/>
          <w:szCs w:val="24"/>
          <w:lang w:val="en-GB"/>
        </w:rPr>
        <w:t>, as was contended by Mr</w:t>
      </w:r>
      <w:r w:rsidR="002B6011" w:rsidRPr="003253E5">
        <w:rPr>
          <w:rFonts w:ascii="Times New Roman" w:hAnsi="Times New Roman" w:cs="Times New Roman"/>
          <w:sz w:val="24"/>
          <w:szCs w:val="24"/>
          <w:lang w:val="en-GB"/>
        </w:rPr>
        <w:t> </w:t>
      </w:r>
      <w:r w:rsidR="003D4A6E" w:rsidRPr="003253E5">
        <w:rPr>
          <w:rFonts w:ascii="Times New Roman" w:hAnsi="Times New Roman" w:cs="Times New Roman"/>
          <w:sz w:val="24"/>
          <w:szCs w:val="24"/>
          <w:lang w:val="en-GB"/>
        </w:rPr>
        <w:t>J</w:t>
      </w:r>
      <w:r w:rsidR="002B6011" w:rsidRPr="003253E5">
        <w:rPr>
          <w:rFonts w:ascii="Times New Roman" w:hAnsi="Times New Roman" w:cs="Times New Roman"/>
          <w:sz w:val="24"/>
          <w:szCs w:val="24"/>
          <w:lang w:val="en-GB"/>
        </w:rPr>
        <w:t> </w:t>
      </w:r>
      <w:r w:rsidR="003D4A6E" w:rsidRPr="003253E5">
        <w:rPr>
          <w:rFonts w:ascii="Times New Roman" w:hAnsi="Times New Roman" w:cs="Times New Roman"/>
          <w:sz w:val="24"/>
          <w:szCs w:val="24"/>
          <w:lang w:val="en-GB"/>
        </w:rPr>
        <w:t>Peter</w:t>
      </w:r>
      <w:r w:rsidR="002B6011" w:rsidRPr="003253E5">
        <w:rPr>
          <w:rFonts w:ascii="Times New Roman" w:hAnsi="Times New Roman" w:cs="Times New Roman"/>
          <w:sz w:val="24"/>
          <w:szCs w:val="24"/>
          <w:lang w:val="en-GB"/>
        </w:rPr>
        <w:t> </w:t>
      </w:r>
      <w:r w:rsidR="003D4A6E" w:rsidRPr="003253E5">
        <w:rPr>
          <w:rFonts w:ascii="Times New Roman" w:hAnsi="Times New Roman" w:cs="Times New Roman"/>
          <w:sz w:val="24"/>
          <w:szCs w:val="24"/>
          <w:lang w:val="en-GB"/>
        </w:rPr>
        <w:t>SC who appeared for SARS, that</w:t>
      </w:r>
      <w:r w:rsidR="009426FD" w:rsidRPr="003253E5">
        <w:rPr>
          <w:rFonts w:ascii="Times New Roman" w:hAnsi="Times New Roman" w:cs="Times New Roman"/>
          <w:sz w:val="24"/>
          <w:szCs w:val="24"/>
          <w:lang w:val="en-GB"/>
        </w:rPr>
        <w:t xml:space="preserve"> SARS could rely on</w:t>
      </w:r>
      <w:r w:rsidR="003D4A6E" w:rsidRPr="003253E5">
        <w:rPr>
          <w:rFonts w:ascii="Times New Roman" w:hAnsi="Times New Roman" w:cs="Times New Roman"/>
          <w:sz w:val="24"/>
          <w:szCs w:val="24"/>
          <w:lang w:val="en-GB"/>
        </w:rPr>
        <w:t xml:space="preserve"> </w:t>
      </w:r>
      <w:r w:rsidR="006A5215" w:rsidRPr="003253E5">
        <w:rPr>
          <w:rFonts w:ascii="Times New Roman" w:hAnsi="Times New Roman" w:cs="Times New Roman"/>
          <w:sz w:val="24"/>
          <w:szCs w:val="24"/>
          <w:lang w:val="en-GB"/>
        </w:rPr>
        <w:t>an entirely new basis for the determination that PetroSA was not entitled to the set-offs?  Not so, in my view.  I say so for the following reasons:</w:t>
      </w:r>
    </w:p>
    <w:p w14:paraId="68B6CF4E" w14:textId="257768C2" w:rsidR="00001F71"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22.1.</w:t>
      </w:r>
      <w:r w:rsidRPr="008F5862">
        <w:rPr>
          <w:rFonts w:ascii="Times New Roman" w:hAnsi="Times New Roman" w:cs="Times New Roman"/>
          <w:sz w:val="24"/>
          <w:szCs w:val="24"/>
          <w:lang w:val="en-GB"/>
        </w:rPr>
        <w:tab/>
      </w:r>
      <w:r w:rsidR="006A5215" w:rsidRPr="003253E5">
        <w:rPr>
          <w:rFonts w:ascii="Times New Roman" w:hAnsi="Times New Roman" w:cs="Times New Roman"/>
          <w:sz w:val="24"/>
          <w:szCs w:val="24"/>
          <w:lang w:val="en-GB"/>
        </w:rPr>
        <w:t xml:space="preserve">Firstly, the SCA in </w:t>
      </w:r>
      <w:r w:rsidR="006A5215" w:rsidRPr="003253E5">
        <w:rPr>
          <w:rFonts w:ascii="Times New Roman" w:hAnsi="Times New Roman" w:cs="Times New Roman"/>
          <w:b/>
          <w:bCs/>
          <w:sz w:val="24"/>
          <w:szCs w:val="24"/>
          <w:u w:val="single"/>
          <w:lang w:val="en-GB"/>
        </w:rPr>
        <w:t>Levi Strauss</w:t>
      </w:r>
      <w:r w:rsidR="006A5215" w:rsidRPr="003253E5">
        <w:rPr>
          <w:rFonts w:ascii="Times New Roman" w:hAnsi="Times New Roman" w:cs="Times New Roman"/>
          <w:sz w:val="24"/>
          <w:szCs w:val="24"/>
          <w:lang w:val="en-GB"/>
        </w:rPr>
        <w:t xml:space="preserve"> </w:t>
      </w:r>
      <w:r w:rsidR="00DC238E" w:rsidRPr="003253E5">
        <w:rPr>
          <w:rFonts w:ascii="Times New Roman" w:hAnsi="Times New Roman" w:cs="Times New Roman"/>
          <w:sz w:val="24"/>
          <w:szCs w:val="24"/>
          <w:lang w:val="en-GB"/>
        </w:rPr>
        <w:t>held that the appeal</w:t>
      </w:r>
      <w:r w:rsidR="006A5215" w:rsidRPr="003253E5">
        <w:rPr>
          <w:rFonts w:ascii="Times New Roman" w:hAnsi="Times New Roman" w:cs="Times New Roman"/>
          <w:sz w:val="24"/>
          <w:szCs w:val="24"/>
          <w:lang w:val="en-GB"/>
        </w:rPr>
        <w:t xml:space="preserve"> remains an appeal against what was determined in the determination and </w:t>
      </w:r>
      <w:r w:rsidR="00DB3E2A" w:rsidRPr="003253E5">
        <w:rPr>
          <w:rFonts w:ascii="Times New Roman" w:hAnsi="Times New Roman" w:cs="Times New Roman"/>
          <w:sz w:val="24"/>
          <w:szCs w:val="24"/>
          <w:lang w:val="en-GB"/>
        </w:rPr>
        <w:t>“</w:t>
      </w:r>
      <w:r w:rsidR="006A5215" w:rsidRPr="003253E5">
        <w:rPr>
          <w:rFonts w:ascii="Times New Roman" w:hAnsi="Times New Roman" w:cs="Times New Roman"/>
          <w:i/>
          <w:iCs/>
          <w:sz w:val="24"/>
          <w:szCs w:val="24"/>
          <w:lang w:val="en-GB"/>
        </w:rPr>
        <w:t>nothing more</w:t>
      </w:r>
      <w:r w:rsidR="00DB3E2A" w:rsidRPr="003253E5">
        <w:rPr>
          <w:rFonts w:ascii="Times New Roman" w:hAnsi="Times New Roman" w:cs="Times New Roman"/>
          <w:sz w:val="24"/>
          <w:szCs w:val="24"/>
          <w:lang w:val="en-GB"/>
        </w:rPr>
        <w:t>”</w:t>
      </w:r>
      <w:r w:rsidR="006A5215" w:rsidRPr="003253E5">
        <w:rPr>
          <w:rFonts w:ascii="Times New Roman" w:hAnsi="Times New Roman" w:cs="Times New Roman"/>
          <w:sz w:val="24"/>
          <w:szCs w:val="24"/>
          <w:lang w:val="en-GB"/>
        </w:rPr>
        <w:t>.</w:t>
      </w:r>
      <w:r w:rsidR="00DC238E" w:rsidRPr="003253E5">
        <w:rPr>
          <w:rFonts w:ascii="Times New Roman" w:hAnsi="Times New Roman" w:cs="Times New Roman"/>
          <w:sz w:val="24"/>
          <w:szCs w:val="24"/>
          <w:lang w:val="en-GB"/>
        </w:rPr>
        <w:t xml:space="preserve">  </w:t>
      </w:r>
      <w:r w:rsidR="00001F71" w:rsidRPr="003253E5">
        <w:rPr>
          <w:rFonts w:ascii="Times New Roman" w:hAnsi="Times New Roman" w:cs="Times New Roman"/>
          <w:sz w:val="24"/>
          <w:szCs w:val="24"/>
          <w:lang w:val="en-GB"/>
        </w:rPr>
        <w:t xml:space="preserve">What is </w:t>
      </w:r>
      <w:r w:rsidR="00DB3E2A" w:rsidRPr="003253E5">
        <w:rPr>
          <w:rFonts w:ascii="Times New Roman" w:hAnsi="Times New Roman" w:cs="Times New Roman"/>
          <w:sz w:val="24"/>
          <w:szCs w:val="24"/>
          <w:lang w:val="en-GB"/>
        </w:rPr>
        <w:t>“</w:t>
      </w:r>
      <w:r w:rsidR="00001F71" w:rsidRPr="003253E5">
        <w:rPr>
          <w:rFonts w:ascii="Times New Roman" w:hAnsi="Times New Roman" w:cs="Times New Roman"/>
          <w:i/>
          <w:iCs/>
          <w:sz w:val="24"/>
          <w:szCs w:val="24"/>
          <w:lang w:val="en-GB"/>
        </w:rPr>
        <w:t>determined</w:t>
      </w:r>
      <w:r w:rsidR="00DB3E2A" w:rsidRPr="003253E5">
        <w:rPr>
          <w:rFonts w:ascii="Times New Roman" w:hAnsi="Times New Roman" w:cs="Times New Roman"/>
          <w:sz w:val="24"/>
          <w:szCs w:val="24"/>
          <w:lang w:val="en-GB"/>
        </w:rPr>
        <w:t>”</w:t>
      </w:r>
      <w:r w:rsidR="00001F71" w:rsidRPr="003253E5">
        <w:rPr>
          <w:rFonts w:ascii="Times New Roman" w:hAnsi="Times New Roman" w:cs="Times New Roman"/>
          <w:sz w:val="24"/>
          <w:szCs w:val="24"/>
          <w:lang w:val="en-GB"/>
        </w:rPr>
        <w:t xml:space="preserve"> is not simply the </w:t>
      </w:r>
      <w:r w:rsidR="00001F71" w:rsidRPr="003253E5">
        <w:rPr>
          <w:rFonts w:ascii="Times New Roman" w:hAnsi="Times New Roman" w:cs="Times New Roman"/>
          <w:sz w:val="24"/>
          <w:szCs w:val="24"/>
          <w:u w:val="single"/>
          <w:lang w:val="en-GB"/>
        </w:rPr>
        <w:t>outcome</w:t>
      </w:r>
      <w:r w:rsidR="00001F71" w:rsidRPr="003253E5">
        <w:rPr>
          <w:rFonts w:ascii="Times New Roman" w:hAnsi="Times New Roman" w:cs="Times New Roman"/>
          <w:sz w:val="24"/>
          <w:szCs w:val="24"/>
          <w:lang w:val="en-GB"/>
        </w:rPr>
        <w:t xml:space="preserve"> of whether the taxpayer is entitle or not to the set-off, but the basis for that outcome, </w:t>
      </w:r>
      <w:r w:rsidR="0048747A" w:rsidRPr="003253E5">
        <w:rPr>
          <w:rFonts w:ascii="Times New Roman" w:hAnsi="Times New Roman" w:cs="Times New Roman"/>
          <w:sz w:val="24"/>
          <w:szCs w:val="24"/>
          <w:lang w:val="en-GB"/>
        </w:rPr>
        <w:t>i.e.</w:t>
      </w:r>
      <w:r w:rsidR="00001F71" w:rsidRPr="003253E5">
        <w:rPr>
          <w:rFonts w:ascii="Times New Roman" w:hAnsi="Times New Roman" w:cs="Times New Roman"/>
          <w:sz w:val="24"/>
          <w:szCs w:val="24"/>
          <w:lang w:val="en-GB"/>
        </w:rPr>
        <w:t xml:space="preserve"> the reasoning.  That is </w:t>
      </w:r>
      <w:r w:rsidR="00DB3E2A" w:rsidRPr="003253E5">
        <w:rPr>
          <w:rFonts w:ascii="Times New Roman" w:hAnsi="Times New Roman" w:cs="Times New Roman"/>
          <w:sz w:val="24"/>
          <w:szCs w:val="24"/>
          <w:lang w:val="en-GB"/>
        </w:rPr>
        <w:t>“</w:t>
      </w:r>
      <w:r w:rsidR="00001F71" w:rsidRPr="003253E5">
        <w:rPr>
          <w:rFonts w:ascii="Times New Roman" w:hAnsi="Times New Roman" w:cs="Times New Roman"/>
          <w:i/>
          <w:iCs/>
          <w:sz w:val="24"/>
          <w:szCs w:val="24"/>
          <w:lang w:val="en-GB"/>
        </w:rPr>
        <w:t>what</w:t>
      </w:r>
      <w:r w:rsidR="00DB3E2A" w:rsidRPr="003253E5">
        <w:rPr>
          <w:rFonts w:ascii="Times New Roman" w:hAnsi="Times New Roman" w:cs="Times New Roman"/>
          <w:sz w:val="24"/>
          <w:szCs w:val="24"/>
          <w:lang w:val="en-GB"/>
        </w:rPr>
        <w:t>”</w:t>
      </w:r>
      <w:r w:rsidR="00001F71" w:rsidRPr="003253E5">
        <w:rPr>
          <w:rFonts w:ascii="Times New Roman" w:hAnsi="Times New Roman" w:cs="Times New Roman"/>
          <w:sz w:val="24"/>
          <w:szCs w:val="24"/>
          <w:lang w:val="en-GB"/>
        </w:rPr>
        <w:t xml:space="preserve"> is determined</w:t>
      </w:r>
      <w:r w:rsidR="0013083C" w:rsidRPr="003253E5">
        <w:rPr>
          <w:rFonts w:ascii="Times New Roman" w:hAnsi="Times New Roman" w:cs="Times New Roman"/>
          <w:sz w:val="24"/>
          <w:szCs w:val="24"/>
          <w:lang w:val="en-GB"/>
        </w:rPr>
        <w:t xml:space="preserve"> by SARS.</w:t>
      </w:r>
    </w:p>
    <w:p w14:paraId="44963077" w14:textId="30466F06" w:rsidR="00001F71"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22.2.</w:t>
      </w:r>
      <w:r w:rsidRPr="008F5862">
        <w:rPr>
          <w:rFonts w:ascii="Times New Roman" w:hAnsi="Times New Roman" w:cs="Times New Roman"/>
          <w:sz w:val="24"/>
          <w:szCs w:val="24"/>
          <w:lang w:val="en-GB"/>
        </w:rPr>
        <w:tab/>
      </w:r>
      <w:r w:rsidR="00001F71" w:rsidRPr="003253E5">
        <w:rPr>
          <w:rFonts w:ascii="Times New Roman" w:hAnsi="Times New Roman" w:cs="Times New Roman"/>
          <w:sz w:val="24"/>
          <w:szCs w:val="24"/>
          <w:lang w:val="en-GB"/>
        </w:rPr>
        <w:t xml:space="preserve">Secondly, the Full Bench of this Division put matters beyond doubt when it held in </w:t>
      </w:r>
      <w:r w:rsidR="00001F71" w:rsidRPr="003253E5">
        <w:rPr>
          <w:rFonts w:ascii="Times New Roman" w:hAnsi="Times New Roman" w:cs="Times New Roman"/>
          <w:b/>
          <w:bCs/>
          <w:sz w:val="24"/>
          <w:szCs w:val="24"/>
          <w:u w:val="single"/>
          <w:lang w:val="en-GB"/>
        </w:rPr>
        <w:t>Tunica Trading 59 (Proprietary) Limited v Commissioner, South African Revenue Service</w:t>
      </w:r>
      <w:r w:rsidR="00001F71" w:rsidRPr="003253E5">
        <w:rPr>
          <w:rFonts w:ascii="Times New Roman" w:hAnsi="Times New Roman" w:cs="Times New Roman"/>
          <w:sz w:val="24"/>
          <w:szCs w:val="24"/>
          <w:lang w:val="en-GB"/>
        </w:rPr>
        <w:t xml:space="preserve"> [2022] ZAWCHC 52; [2022] 4 All SA 571 (WCC); 85 SATC 185 (21</w:t>
      </w:r>
      <w:r w:rsidR="00F7161B" w:rsidRPr="003253E5">
        <w:rPr>
          <w:rFonts w:ascii="Times New Roman" w:hAnsi="Times New Roman" w:cs="Times New Roman"/>
          <w:sz w:val="24"/>
          <w:szCs w:val="24"/>
          <w:lang w:val="en-GB"/>
        </w:rPr>
        <w:t> </w:t>
      </w:r>
      <w:r w:rsidR="00001F71" w:rsidRPr="003253E5">
        <w:rPr>
          <w:rFonts w:ascii="Times New Roman" w:hAnsi="Times New Roman" w:cs="Times New Roman"/>
          <w:sz w:val="24"/>
          <w:szCs w:val="24"/>
          <w:lang w:val="en-GB"/>
        </w:rPr>
        <w:t>April</w:t>
      </w:r>
      <w:r w:rsidR="00F7161B" w:rsidRPr="003253E5">
        <w:rPr>
          <w:rFonts w:ascii="Times New Roman" w:hAnsi="Times New Roman" w:cs="Times New Roman"/>
          <w:sz w:val="24"/>
          <w:szCs w:val="24"/>
          <w:lang w:val="en-GB"/>
        </w:rPr>
        <w:t> </w:t>
      </w:r>
      <w:r w:rsidR="00001F71" w:rsidRPr="003253E5">
        <w:rPr>
          <w:rFonts w:ascii="Times New Roman" w:hAnsi="Times New Roman" w:cs="Times New Roman"/>
          <w:sz w:val="24"/>
          <w:szCs w:val="24"/>
          <w:lang w:val="en-GB"/>
        </w:rPr>
        <w:t>2022) at para</w:t>
      </w:r>
      <w:r w:rsidR="00F7161B" w:rsidRPr="003253E5">
        <w:rPr>
          <w:rFonts w:ascii="Times New Roman" w:hAnsi="Times New Roman" w:cs="Times New Roman"/>
          <w:sz w:val="24"/>
          <w:szCs w:val="24"/>
          <w:lang w:val="en-GB"/>
        </w:rPr>
        <w:t> </w:t>
      </w:r>
      <w:r w:rsidR="00001F71" w:rsidRPr="003253E5">
        <w:rPr>
          <w:rFonts w:ascii="Times New Roman" w:hAnsi="Times New Roman" w:cs="Times New Roman"/>
          <w:sz w:val="24"/>
          <w:szCs w:val="24"/>
          <w:lang w:val="en-GB"/>
        </w:rPr>
        <w:t xml:space="preserve">[89] that:  </w:t>
      </w:r>
      <w:r w:rsidR="00DB3E2A" w:rsidRPr="003253E5">
        <w:rPr>
          <w:rFonts w:ascii="Times New Roman" w:hAnsi="Times New Roman" w:cs="Times New Roman"/>
          <w:sz w:val="24"/>
          <w:szCs w:val="24"/>
          <w:lang w:val="en-GB"/>
        </w:rPr>
        <w:t>“</w:t>
      </w:r>
      <w:r w:rsidR="00001F71" w:rsidRPr="003253E5">
        <w:rPr>
          <w:rFonts w:ascii="Times New Roman" w:hAnsi="Times New Roman" w:cs="Times New Roman"/>
          <w:i/>
          <w:iCs/>
          <w:sz w:val="24"/>
          <w:szCs w:val="24"/>
          <w:lang w:val="en-GB"/>
        </w:rPr>
        <w:t xml:space="preserve">In its judgment at page 13 line 10, the court a quo said the following: </w:t>
      </w:r>
      <w:r w:rsidR="00975016" w:rsidRPr="003253E5">
        <w:rPr>
          <w:rFonts w:ascii="Times New Roman" w:hAnsi="Times New Roman" w:cs="Times New Roman"/>
          <w:i/>
          <w:iCs/>
          <w:sz w:val="24"/>
          <w:szCs w:val="24"/>
          <w:lang w:val="en-GB"/>
        </w:rPr>
        <w:t xml:space="preserve"> </w:t>
      </w:r>
      <w:r w:rsidR="00001F71" w:rsidRPr="003253E5">
        <w:rPr>
          <w:rFonts w:ascii="Times New Roman" w:hAnsi="Times New Roman" w:cs="Times New Roman"/>
          <w:i/>
          <w:iCs/>
          <w:sz w:val="24"/>
          <w:szCs w:val="24"/>
          <w:lang w:val="en-GB"/>
        </w:rPr>
        <w:t>It was the discovery of the non-compliance and widespread fraud that triggered the auditing of all claims including this one</w:t>
      </w:r>
      <w:r w:rsidR="00DB3E2A" w:rsidRPr="003253E5">
        <w:rPr>
          <w:rFonts w:ascii="Times New Roman" w:hAnsi="Times New Roman" w:cs="Times New Roman"/>
          <w:i/>
          <w:iCs/>
          <w:sz w:val="24"/>
          <w:szCs w:val="24"/>
          <w:lang w:val="en-GB"/>
        </w:rPr>
        <w:t>”</w:t>
      </w:r>
      <w:r w:rsidR="00001F71" w:rsidRPr="003253E5">
        <w:rPr>
          <w:rFonts w:ascii="Times New Roman" w:hAnsi="Times New Roman" w:cs="Times New Roman"/>
          <w:i/>
          <w:iCs/>
          <w:sz w:val="24"/>
          <w:szCs w:val="24"/>
          <w:lang w:val="en-GB"/>
        </w:rPr>
        <w:t xml:space="preserve">. </w:t>
      </w:r>
      <w:r w:rsidR="00001F71" w:rsidRPr="003253E5">
        <w:rPr>
          <w:rFonts w:ascii="Times New Roman" w:hAnsi="Times New Roman" w:cs="Times New Roman"/>
          <w:i/>
          <w:iCs/>
          <w:sz w:val="24"/>
          <w:szCs w:val="24"/>
          <w:u w:val="single"/>
          <w:lang w:val="en-GB"/>
        </w:rPr>
        <w:t>In refusing the appeal the court clearly considered factors far wider than those which formed the basis of the September</w:t>
      </w:r>
      <w:r w:rsidR="00F7161B" w:rsidRPr="003253E5">
        <w:rPr>
          <w:rFonts w:ascii="Times New Roman" w:hAnsi="Times New Roman" w:cs="Times New Roman"/>
          <w:i/>
          <w:iCs/>
          <w:sz w:val="24"/>
          <w:szCs w:val="24"/>
          <w:u w:val="single"/>
          <w:lang w:val="en-GB"/>
        </w:rPr>
        <w:t> </w:t>
      </w:r>
      <w:r w:rsidR="00001F71" w:rsidRPr="003253E5">
        <w:rPr>
          <w:rFonts w:ascii="Times New Roman" w:hAnsi="Times New Roman" w:cs="Times New Roman"/>
          <w:i/>
          <w:iCs/>
          <w:sz w:val="24"/>
          <w:szCs w:val="24"/>
          <w:u w:val="single"/>
          <w:lang w:val="en-GB"/>
        </w:rPr>
        <w:t>2015 decision</w:t>
      </w:r>
      <w:r w:rsidR="00001F71" w:rsidRPr="003253E5">
        <w:rPr>
          <w:rFonts w:ascii="Times New Roman" w:hAnsi="Times New Roman" w:cs="Times New Roman"/>
          <w:i/>
          <w:iCs/>
          <w:sz w:val="24"/>
          <w:szCs w:val="24"/>
          <w:lang w:val="en-GB"/>
        </w:rPr>
        <w:t xml:space="preserve">. In fact, it considered the process launched by SARS as an audit and it then sought to determine for itself whether all the regulatory provisions had been met.  </w:t>
      </w:r>
      <w:r w:rsidR="00001F71" w:rsidRPr="003253E5">
        <w:rPr>
          <w:rFonts w:ascii="Times New Roman" w:hAnsi="Times New Roman" w:cs="Times New Roman"/>
          <w:i/>
          <w:iCs/>
          <w:sz w:val="24"/>
          <w:szCs w:val="24"/>
          <w:u w:val="single"/>
          <w:lang w:val="en-GB"/>
        </w:rPr>
        <w:t>This approach was clearly impermissible</w:t>
      </w:r>
      <w:r w:rsidR="00001F71" w:rsidRPr="003253E5">
        <w:rPr>
          <w:rFonts w:ascii="Times New Roman" w:hAnsi="Times New Roman" w:cs="Times New Roman"/>
          <w:i/>
          <w:iCs/>
          <w:sz w:val="24"/>
          <w:szCs w:val="24"/>
          <w:lang w:val="en-GB"/>
        </w:rPr>
        <w:t>. The existence of a wide appeal does not mean that an appellate authority may extend the enquiry beyond the ambit of the decision which is being appealed.  The rehearing must be related to the limited issue of whether the party appealing should have been successful.</w:t>
      </w:r>
      <w:r w:rsidR="00DB3E2A" w:rsidRPr="003253E5">
        <w:rPr>
          <w:rFonts w:ascii="Times New Roman" w:hAnsi="Times New Roman" w:cs="Times New Roman"/>
          <w:sz w:val="24"/>
          <w:szCs w:val="24"/>
          <w:lang w:val="en-GB"/>
        </w:rPr>
        <w:t>”</w:t>
      </w:r>
      <w:r w:rsidR="008F728D" w:rsidRPr="003253E5">
        <w:rPr>
          <w:rFonts w:ascii="Times New Roman" w:hAnsi="Times New Roman" w:cs="Times New Roman"/>
          <w:sz w:val="24"/>
          <w:szCs w:val="24"/>
          <w:lang w:val="en-GB"/>
        </w:rPr>
        <w:t xml:space="preserve">  It is the </w:t>
      </w:r>
      <w:r w:rsidR="00DB3E2A" w:rsidRPr="003253E5">
        <w:rPr>
          <w:rFonts w:ascii="Times New Roman" w:hAnsi="Times New Roman" w:cs="Times New Roman"/>
          <w:sz w:val="24"/>
          <w:szCs w:val="24"/>
          <w:lang w:val="en-GB"/>
        </w:rPr>
        <w:t>“</w:t>
      </w:r>
      <w:r w:rsidR="008F728D" w:rsidRPr="003253E5">
        <w:rPr>
          <w:rFonts w:ascii="Times New Roman" w:hAnsi="Times New Roman" w:cs="Times New Roman"/>
          <w:i/>
          <w:iCs/>
          <w:sz w:val="24"/>
          <w:szCs w:val="24"/>
          <w:lang w:val="en-GB"/>
        </w:rPr>
        <w:t>basis</w:t>
      </w:r>
      <w:r w:rsidR="00DB3E2A" w:rsidRPr="003253E5">
        <w:rPr>
          <w:rFonts w:ascii="Times New Roman" w:hAnsi="Times New Roman" w:cs="Times New Roman"/>
          <w:sz w:val="24"/>
          <w:szCs w:val="24"/>
          <w:lang w:val="en-GB"/>
        </w:rPr>
        <w:t>”</w:t>
      </w:r>
      <w:r w:rsidR="008F728D" w:rsidRPr="003253E5">
        <w:rPr>
          <w:rFonts w:ascii="Times New Roman" w:hAnsi="Times New Roman" w:cs="Times New Roman"/>
          <w:sz w:val="24"/>
          <w:szCs w:val="24"/>
          <w:lang w:val="en-GB"/>
        </w:rPr>
        <w:t xml:space="preserve"> of the </w:t>
      </w:r>
      <w:r w:rsidR="00975016" w:rsidRPr="003253E5">
        <w:rPr>
          <w:rFonts w:ascii="Times New Roman" w:hAnsi="Times New Roman" w:cs="Times New Roman"/>
          <w:sz w:val="24"/>
          <w:szCs w:val="24"/>
          <w:lang w:val="en-GB"/>
        </w:rPr>
        <w:t>determination</w:t>
      </w:r>
      <w:r w:rsidR="008F728D" w:rsidRPr="003253E5">
        <w:rPr>
          <w:rFonts w:ascii="Times New Roman" w:hAnsi="Times New Roman" w:cs="Times New Roman"/>
          <w:sz w:val="24"/>
          <w:szCs w:val="24"/>
          <w:lang w:val="en-GB"/>
        </w:rPr>
        <w:t xml:space="preserve"> which is appealed against</w:t>
      </w:r>
      <w:r w:rsidR="00975016" w:rsidRPr="003253E5">
        <w:rPr>
          <w:rFonts w:ascii="Times New Roman" w:hAnsi="Times New Roman" w:cs="Times New Roman"/>
          <w:sz w:val="24"/>
          <w:szCs w:val="24"/>
          <w:lang w:val="en-GB"/>
        </w:rPr>
        <w:t>, not just the outcome.</w:t>
      </w:r>
    </w:p>
    <w:p w14:paraId="2BF06DB4" w14:textId="600420B5" w:rsidR="0091226E" w:rsidRPr="003253E5" w:rsidRDefault="003253E5" w:rsidP="003253E5">
      <w:pPr>
        <w:spacing w:after="360" w:line="480" w:lineRule="auto"/>
        <w:ind w:left="1560" w:hanging="851"/>
        <w:jc w:val="both"/>
        <w:rPr>
          <w:rFonts w:ascii="Times New Roman" w:hAnsi="Times New Roman" w:cs="Times New Roman"/>
          <w:sz w:val="24"/>
          <w:szCs w:val="24"/>
          <w:u w:val="single"/>
          <w:lang w:val="en-GB"/>
        </w:rPr>
      </w:pPr>
      <w:r w:rsidRPr="008F5862">
        <w:rPr>
          <w:rFonts w:ascii="Times New Roman" w:hAnsi="Times New Roman" w:cs="Times New Roman"/>
          <w:sz w:val="24"/>
          <w:szCs w:val="24"/>
          <w:lang w:val="en-GB"/>
        </w:rPr>
        <w:t>22.3.</w:t>
      </w:r>
      <w:r w:rsidRPr="008F5862">
        <w:rPr>
          <w:rFonts w:ascii="Times New Roman" w:hAnsi="Times New Roman" w:cs="Times New Roman"/>
          <w:sz w:val="24"/>
          <w:szCs w:val="24"/>
          <w:lang w:val="en-GB"/>
        </w:rPr>
        <w:tab/>
      </w:r>
      <w:r w:rsidR="0091226E" w:rsidRPr="003253E5">
        <w:rPr>
          <w:rFonts w:ascii="Times New Roman" w:hAnsi="Times New Roman" w:cs="Times New Roman"/>
          <w:sz w:val="24"/>
          <w:szCs w:val="24"/>
          <w:lang w:val="en-GB"/>
        </w:rPr>
        <w:t xml:space="preserve">Thirdly, </w:t>
      </w:r>
      <w:r w:rsidR="0091226E" w:rsidRPr="003253E5">
        <w:rPr>
          <w:rFonts w:ascii="Times New Roman" w:hAnsi="Times New Roman" w:cs="Times New Roman"/>
          <w:b/>
          <w:bCs/>
          <w:sz w:val="24"/>
          <w:szCs w:val="24"/>
          <w:u w:val="single"/>
          <w:lang w:val="en-GB"/>
        </w:rPr>
        <w:t>Tunica Trading</w:t>
      </w:r>
      <w:r w:rsidR="0091226E" w:rsidRPr="003253E5">
        <w:rPr>
          <w:rFonts w:ascii="Times New Roman" w:hAnsi="Times New Roman" w:cs="Times New Roman"/>
          <w:sz w:val="24"/>
          <w:szCs w:val="24"/>
          <w:lang w:val="en-GB"/>
        </w:rPr>
        <w:t xml:space="preserve"> refers to the SCA decision of </w:t>
      </w:r>
      <w:r w:rsidR="0091226E" w:rsidRPr="003253E5">
        <w:rPr>
          <w:rFonts w:ascii="Times New Roman" w:hAnsi="Times New Roman" w:cs="Times New Roman"/>
          <w:b/>
          <w:bCs/>
          <w:sz w:val="24"/>
          <w:szCs w:val="24"/>
          <w:u w:val="single"/>
          <w:lang w:val="en-GB"/>
        </w:rPr>
        <w:t>Groenewald NO and Others v M5 Developments (Cape) (Pty) Ltd</w:t>
      </w:r>
      <w:r w:rsidR="0091226E" w:rsidRPr="003253E5">
        <w:rPr>
          <w:rFonts w:ascii="Times New Roman" w:hAnsi="Times New Roman" w:cs="Times New Roman"/>
          <w:sz w:val="24"/>
          <w:szCs w:val="24"/>
          <w:lang w:val="en-GB"/>
        </w:rPr>
        <w:t xml:space="preserve"> 2010 (5) SA 82 (SCA) at paras</w:t>
      </w:r>
      <w:r w:rsidR="00F7161B" w:rsidRPr="003253E5">
        <w:rPr>
          <w:rFonts w:ascii="Times New Roman" w:hAnsi="Times New Roman" w:cs="Times New Roman"/>
          <w:sz w:val="24"/>
          <w:szCs w:val="24"/>
          <w:lang w:val="en-GB"/>
        </w:rPr>
        <w:t> </w:t>
      </w:r>
      <w:r w:rsidR="0091226E" w:rsidRPr="003253E5">
        <w:rPr>
          <w:rFonts w:ascii="Times New Roman" w:hAnsi="Times New Roman" w:cs="Times New Roman"/>
          <w:sz w:val="24"/>
          <w:szCs w:val="24"/>
          <w:lang w:val="en-GB"/>
        </w:rPr>
        <w:t>24</w:t>
      </w:r>
      <w:r w:rsidR="00F7161B" w:rsidRPr="003253E5">
        <w:rPr>
          <w:rFonts w:ascii="Times New Roman" w:hAnsi="Times New Roman" w:cs="Times New Roman"/>
          <w:sz w:val="24"/>
          <w:szCs w:val="24"/>
          <w:lang w:val="en-GB"/>
        </w:rPr>
        <w:t xml:space="preserve"> –</w:t>
      </w:r>
      <w:r w:rsidR="0091226E" w:rsidRPr="003253E5">
        <w:rPr>
          <w:rFonts w:ascii="Times New Roman" w:hAnsi="Times New Roman" w:cs="Times New Roman"/>
          <w:sz w:val="24"/>
          <w:szCs w:val="24"/>
          <w:lang w:val="en-GB"/>
        </w:rPr>
        <w:t>25 where the SCA held that the appellant</w:t>
      </w:r>
      <w:r w:rsidR="00DB3E2A" w:rsidRPr="003253E5">
        <w:rPr>
          <w:rFonts w:ascii="Times New Roman" w:hAnsi="Times New Roman" w:cs="Times New Roman"/>
          <w:sz w:val="24"/>
          <w:szCs w:val="24"/>
          <w:lang w:val="en-GB"/>
        </w:rPr>
        <w:t>’</w:t>
      </w:r>
      <w:r w:rsidR="0091226E" w:rsidRPr="003253E5">
        <w:rPr>
          <w:rFonts w:ascii="Times New Roman" w:hAnsi="Times New Roman" w:cs="Times New Roman"/>
          <w:sz w:val="24"/>
          <w:szCs w:val="24"/>
          <w:lang w:val="en-GB"/>
        </w:rPr>
        <w:t xml:space="preserve">s reasons define the ambit of the appeal, the sole issue being whether the </w:t>
      </w:r>
      <w:r w:rsidR="0091226E" w:rsidRPr="003253E5">
        <w:rPr>
          <w:rFonts w:ascii="Times New Roman" w:hAnsi="Times New Roman" w:cs="Times New Roman"/>
          <w:i/>
          <w:iCs/>
          <w:sz w:val="24"/>
          <w:szCs w:val="24"/>
          <w:lang w:val="en-GB"/>
        </w:rPr>
        <w:t>appellant should succeed for the reasons it has advanced</w:t>
      </w:r>
      <w:r w:rsidR="0091226E" w:rsidRPr="003253E5">
        <w:rPr>
          <w:rFonts w:ascii="Times New Roman" w:hAnsi="Times New Roman" w:cs="Times New Roman"/>
          <w:sz w:val="24"/>
          <w:szCs w:val="24"/>
          <w:lang w:val="en-GB"/>
        </w:rPr>
        <w:t>.</w:t>
      </w:r>
      <w:r w:rsidR="0091226E" w:rsidRPr="003253E5">
        <w:rPr>
          <w:rFonts w:ascii="Times New Roman" w:hAnsi="Times New Roman" w:cs="Times New Roman"/>
          <w:sz w:val="24"/>
          <w:szCs w:val="24"/>
          <w:u w:val="single"/>
          <w:lang w:val="en-GB"/>
        </w:rPr>
        <w:t xml:space="preserve"> </w:t>
      </w:r>
    </w:p>
    <w:p w14:paraId="355B22D5" w14:textId="56B63458" w:rsidR="00001F71"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22.4.</w:t>
      </w:r>
      <w:r w:rsidRPr="008F5862">
        <w:rPr>
          <w:rFonts w:ascii="Times New Roman" w:hAnsi="Times New Roman" w:cs="Times New Roman"/>
          <w:sz w:val="24"/>
          <w:szCs w:val="24"/>
          <w:lang w:val="en-GB"/>
        </w:rPr>
        <w:tab/>
      </w:r>
      <w:r w:rsidR="0091226E" w:rsidRPr="003253E5">
        <w:rPr>
          <w:rFonts w:ascii="Times New Roman" w:hAnsi="Times New Roman" w:cs="Times New Roman"/>
          <w:sz w:val="24"/>
          <w:szCs w:val="24"/>
          <w:lang w:val="en-GB"/>
        </w:rPr>
        <w:t>Fourth</w:t>
      </w:r>
      <w:r w:rsidR="008F728D" w:rsidRPr="003253E5">
        <w:rPr>
          <w:rFonts w:ascii="Times New Roman" w:hAnsi="Times New Roman" w:cs="Times New Roman"/>
          <w:sz w:val="24"/>
          <w:szCs w:val="24"/>
          <w:lang w:val="en-GB"/>
        </w:rPr>
        <w:t xml:space="preserve">ly, the appeal is decided on motion by a Court.  </w:t>
      </w:r>
      <w:r w:rsidR="00AB1C61" w:rsidRPr="003253E5">
        <w:rPr>
          <w:rFonts w:ascii="Times New Roman" w:hAnsi="Times New Roman" w:cs="Times New Roman"/>
          <w:sz w:val="24"/>
          <w:szCs w:val="24"/>
          <w:lang w:val="en-GB"/>
        </w:rPr>
        <w:t xml:space="preserve">It </w:t>
      </w:r>
      <w:r w:rsidR="008F728D" w:rsidRPr="003253E5">
        <w:rPr>
          <w:rFonts w:ascii="Times New Roman" w:hAnsi="Times New Roman" w:cs="Times New Roman"/>
          <w:sz w:val="24"/>
          <w:szCs w:val="24"/>
          <w:lang w:val="en-GB"/>
        </w:rPr>
        <w:t>would be unworkable if the respondent can introduce a new basis</w:t>
      </w:r>
      <w:r w:rsidR="00C876F7" w:rsidRPr="003253E5">
        <w:rPr>
          <w:rFonts w:ascii="Times New Roman" w:hAnsi="Times New Roman" w:cs="Times New Roman"/>
          <w:sz w:val="24"/>
          <w:szCs w:val="24"/>
          <w:lang w:val="en-GB"/>
        </w:rPr>
        <w:t xml:space="preserve"> or justification</w:t>
      </w:r>
      <w:r w:rsidR="008F728D" w:rsidRPr="003253E5">
        <w:rPr>
          <w:rFonts w:ascii="Times New Roman" w:hAnsi="Times New Roman" w:cs="Times New Roman"/>
          <w:sz w:val="24"/>
          <w:szCs w:val="24"/>
          <w:lang w:val="en-GB"/>
        </w:rPr>
        <w:t xml:space="preserve"> for the determination in its answering papers.  How </w:t>
      </w:r>
      <w:r w:rsidR="0091226E" w:rsidRPr="003253E5">
        <w:rPr>
          <w:rFonts w:ascii="Times New Roman" w:hAnsi="Times New Roman" w:cs="Times New Roman"/>
          <w:sz w:val="24"/>
          <w:szCs w:val="24"/>
          <w:lang w:val="en-GB"/>
        </w:rPr>
        <w:t xml:space="preserve">would the appellant know about such a new </w:t>
      </w:r>
      <w:r w:rsidR="00C876F7" w:rsidRPr="003253E5">
        <w:rPr>
          <w:rFonts w:ascii="Times New Roman" w:hAnsi="Times New Roman" w:cs="Times New Roman"/>
          <w:sz w:val="24"/>
          <w:szCs w:val="24"/>
          <w:lang w:val="en-GB"/>
        </w:rPr>
        <w:t xml:space="preserve">justification </w:t>
      </w:r>
      <w:r w:rsidR="0091226E" w:rsidRPr="003253E5">
        <w:rPr>
          <w:rFonts w:ascii="Times New Roman" w:hAnsi="Times New Roman" w:cs="Times New Roman"/>
          <w:sz w:val="24"/>
          <w:szCs w:val="24"/>
          <w:lang w:val="en-GB"/>
        </w:rPr>
        <w:t xml:space="preserve">of the determination so as to enable it to deal with same in the founding affidavit? </w:t>
      </w:r>
      <w:r w:rsidR="00225661" w:rsidRPr="003253E5">
        <w:rPr>
          <w:rFonts w:ascii="Times New Roman" w:hAnsi="Times New Roman" w:cs="Times New Roman"/>
          <w:sz w:val="24"/>
          <w:szCs w:val="24"/>
          <w:lang w:val="en-GB"/>
        </w:rPr>
        <w:t xml:space="preserve"> </w:t>
      </w:r>
      <w:r w:rsidR="00F92DD9" w:rsidRPr="003253E5">
        <w:rPr>
          <w:rFonts w:ascii="Times New Roman" w:hAnsi="Times New Roman" w:cs="Times New Roman"/>
          <w:sz w:val="24"/>
          <w:szCs w:val="24"/>
          <w:lang w:val="en-GB"/>
        </w:rPr>
        <w:t xml:space="preserve">Surely it cannot be fair to allow a respondent to introduce a new </w:t>
      </w:r>
      <w:r w:rsidR="00C876F7" w:rsidRPr="003253E5">
        <w:rPr>
          <w:rFonts w:ascii="Times New Roman" w:hAnsi="Times New Roman" w:cs="Times New Roman"/>
          <w:sz w:val="24"/>
          <w:szCs w:val="24"/>
          <w:lang w:val="en-GB"/>
        </w:rPr>
        <w:t xml:space="preserve">justification </w:t>
      </w:r>
      <w:r w:rsidR="00F92DD9" w:rsidRPr="003253E5">
        <w:rPr>
          <w:rFonts w:ascii="Times New Roman" w:hAnsi="Times New Roman" w:cs="Times New Roman"/>
          <w:sz w:val="24"/>
          <w:szCs w:val="24"/>
          <w:lang w:val="en-GB"/>
        </w:rPr>
        <w:t>in the answering affidavit and then non-suit the appellant on that basis that it then seeks to make out a case in reply</w:t>
      </w:r>
      <w:r w:rsidR="00225661" w:rsidRPr="003253E5">
        <w:rPr>
          <w:rFonts w:ascii="Times New Roman" w:hAnsi="Times New Roman" w:cs="Times New Roman"/>
          <w:sz w:val="24"/>
          <w:szCs w:val="24"/>
          <w:lang w:val="en-GB"/>
        </w:rPr>
        <w:t>?</w:t>
      </w:r>
    </w:p>
    <w:p w14:paraId="13A583A0" w14:textId="25EFC057" w:rsidR="006A5215"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22.5.</w:t>
      </w:r>
      <w:r w:rsidRPr="008F5862">
        <w:rPr>
          <w:rFonts w:ascii="Times New Roman" w:hAnsi="Times New Roman" w:cs="Times New Roman"/>
          <w:sz w:val="24"/>
          <w:szCs w:val="24"/>
          <w:lang w:val="en-GB"/>
        </w:rPr>
        <w:tab/>
      </w:r>
      <w:r w:rsidR="00F92DD9" w:rsidRPr="003253E5">
        <w:rPr>
          <w:rFonts w:ascii="Times New Roman" w:hAnsi="Times New Roman" w:cs="Times New Roman"/>
          <w:sz w:val="24"/>
          <w:szCs w:val="24"/>
          <w:lang w:val="en-GB"/>
        </w:rPr>
        <w:t xml:space="preserve">Finally, what would be the purpose of the initial investigation by SARS if the Court is required to reassess liability </w:t>
      </w:r>
      <w:r w:rsidR="00B45F5E" w:rsidRPr="003253E5">
        <w:rPr>
          <w:rFonts w:ascii="Times New Roman" w:hAnsi="Times New Roman" w:cs="Times New Roman"/>
          <w:sz w:val="24"/>
          <w:szCs w:val="24"/>
          <w:lang w:val="en-GB"/>
        </w:rPr>
        <w:t>entirely</w:t>
      </w:r>
      <w:r w:rsidR="00F92DD9" w:rsidRPr="003253E5">
        <w:rPr>
          <w:rFonts w:ascii="Times New Roman" w:hAnsi="Times New Roman" w:cs="Times New Roman"/>
          <w:sz w:val="24"/>
          <w:szCs w:val="24"/>
          <w:lang w:val="en-GB"/>
        </w:rPr>
        <w:t>?</w:t>
      </w:r>
      <w:r w:rsidR="00950C56" w:rsidRPr="003253E5">
        <w:rPr>
          <w:rFonts w:ascii="Times New Roman" w:hAnsi="Times New Roman" w:cs="Times New Roman"/>
          <w:sz w:val="24"/>
          <w:szCs w:val="24"/>
          <w:lang w:val="en-GB"/>
        </w:rPr>
        <w:t xml:space="preserve">  I do not believe that the legislature had in mind two totally separate and independent processes.</w:t>
      </w:r>
      <w:r w:rsidR="00F92DD9" w:rsidRPr="003253E5">
        <w:rPr>
          <w:rFonts w:ascii="Times New Roman" w:hAnsi="Times New Roman" w:cs="Times New Roman"/>
          <w:sz w:val="24"/>
          <w:szCs w:val="24"/>
          <w:lang w:val="en-GB"/>
        </w:rPr>
        <w:t xml:space="preserve">  In my view th</w:t>
      </w:r>
      <w:r w:rsidR="00950C56" w:rsidRPr="003253E5">
        <w:rPr>
          <w:rFonts w:ascii="Times New Roman" w:hAnsi="Times New Roman" w:cs="Times New Roman"/>
          <w:sz w:val="24"/>
          <w:szCs w:val="24"/>
          <w:lang w:val="en-GB"/>
        </w:rPr>
        <w:t>e initial</w:t>
      </w:r>
      <w:r w:rsidR="00F92DD9" w:rsidRPr="003253E5">
        <w:rPr>
          <w:rFonts w:ascii="Times New Roman" w:hAnsi="Times New Roman" w:cs="Times New Roman"/>
          <w:sz w:val="24"/>
          <w:szCs w:val="24"/>
          <w:lang w:val="en-GB"/>
        </w:rPr>
        <w:t xml:space="preserve"> investigation must form the basis of the </w:t>
      </w:r>
      <w:r w:rsidR="00DA5035" w:rsidRPr="003253E5">
        <w:rPr>
          <w:rFonts w:ascii="Times New Roman" w:hAnsi="Times New Roman" w:cs="Times New Roman"/>
          <w:sz w:val="24"/>
          <w:szCs w:val="24"/>
          <w:lang w:val="en-GB"/>
        </w:rPr>
        <w:t xml:space="preserve">determination and the appeal.  The Court is ill-equipped in motion proceedings to assess </w:t>
      </w:r>
      <w:r w:rsidR="00FA57DA" w:rsidRPr="003253E5">
        <w:rPr>
          <w:rFonts w:ascii="Times New Roman" w:hAnsi="Times New Roman" w:cs="Times New Roman"/>
          <w:sz w:val="24"/>
          <w:szCs w:val="24"/>
          <w:lang w:val="en-GB"/>
        </w:rPr>
        <w:t>the matter</w:t>
      </w:r>
      <w:r w:rsidR="00950C56" w:rsidRPr="003253E5">
        <w:rPr>
          <w:rFonts w:ascii="Times New Roman" w:hAnsi="Times New Roman" w:cs="Times New Roman"/>
          <w:sz w:val="24"/>
          <w:szCs w:val="24"/>
          <w:lang w:val="en-GB"/>
        </w:rPr>
        <w:t xml:space="preserve"> entirely</w:t>
      </w:r>
      <w:r w:rsidR="00FA57DA" w:rsidRPr="003253E5">
        <w:rPr>
          <w:rFonts w:ascii="Times New Roman" w:hAnsi="Times New Roman" w:cs="Times New Roman"/>
          <w:sz w:val="24"/>
          <w:szCs w:val="24"/>
          <w:lang w:val="en-GB"/>
        </w:rPr>
        <w:t xml:space="preserve"> afresh years </w:t>
      </w:r>
      <w:r w:rsidR="00DA5035" w:rsidRPr="003253E5">
        <w:rPr>
          <w:rFonts w:ascii="Times New Roman" w:hAnsi="Times New Roman" w:cs="Times New Roman"/>
          <w:sz w:val="24"/>
          <w:szCs w:val="24"/>
          <w:lang w:val="en-GB"/>
        </w:rPr>
        <w:t xml:space="preserve">down the line.  Take the present matter as an example: </w:t>
      </w:r>
      <w:r w:rsidR="00950C56" w:rsidRPr="003253E5">
        <w:rPr>
          <w:rFonts w:ascii="Times New Roman" w:hAnsi="Times New Roman" w:cs="Times New Roman"/>
          <w:sz w:val="24"/>
          <w:szCs w:val="24"/>
          <w:lang w:val="en-GB"/>
        </w:rPr>
        <w:t xml:space="preserve"> </w:t>
      </w:r>
      <w:r w:rsidR="00DA5035" w:rsidRPr="003253E5">
        <w:rPr>
          <w:rFonts w:ascii="Times New Roman" w:hAnsi="Times New Roman" w:cs="Times New Roman"/>
          <w:sz w:val="24"/>
          <w:szCs w:val="24"/>
          <w:lang w:val="en-GB"/>
        </w:rPr>
        <w:t>it is now seven years after the</w:t>
      </w:r>
      <w:r w:rsidR="00950C56" w:rsidRPr="003253E5">
        <w:rPr>
          <w:rFonts w:ascii="Times New Roman" w:hAnsi="Times New Roman" w:cs="Times New Roman"/>
          <w:sz w:val="24"/>
          <w:szCs w:val="24"/>
          <w:lang w:val="en-GB"/>
        </w:rPr>
        <w:t xml:space="preserve"> (beginning)</w:t>
      </w:r>
      <w:r w:rsidR="00C876F7" w:rsidRPr="003253E5">
        <w:rPr>
          <w:rFonts w:ascii="Times New Roman" w:hAnsi="Times New Roman" w:cs="Times New Roman"/>
          <w:sz w:val="24"/>
          <w:szCs w:val="24"/>
          <w:lang w:val="en-GB"/>
        </w:rPr>
        <w:t xml:space="preserve"> of</w:t>
      </w:r>
      <w:r w:rsidR="00DA5035" w:rsidRPr="003253E5">
        <w:rPr>
          <w:rFonts w:ascii="Times New Roman" w:hAnsi="Times New Roman" w:cs="Times New Roman"/>
          <w:sz w:val="24"/>
          <w:szCs w:val="24"/>
          <w:lang w:val="en-GB"/>
        </w:rPr>
        <w:t xml:space="preserve"> the audit period.  As pointed out by counsel for PetroSA, how can it now be expected to obtain and produce records from third parties</w:t>
      </w:r>
      <w:r w:rsidR="00727842" w:rsidRPr="003253E5">
        <w:rPr>
          <w:rFonts w:ascii="Times New Roman" w:hAnsi="Times New Roman" w:cs="Times New Roman"/>
          <w:sz w:val="24"/>
          <w:szCs w:val="24"/>
          <w:lang w:val="en-GB"/>
        </w:rPr>
        <w:t xml:space="preserve"> such as affidavits from truck drivers</w:t>
      </w:r>
      <w:r w:rsidR="00DA5035" w:rsidRPr="003253E5">
        <w:rPr>
          <w:rFonts w:ascii="Times New Roman" w:hAnsi="Times New Roman" w:cs="Times New Roman"/>
          <w:sz w:val="24"/>
          <w:szCs w:val="24"/>
          <w:lang w:val="en-GB"/>
        </w:rPr>
        <w:t xml:space="preserve"> to counter an entirely new basis </w:t>
      </w:r>
      <w:r w:rsidR="00C876F7" w:rsidRPr="003253E5">
        <w:rPr>
          <w:rFonts w:ascii="Times New Roman" w:hAnsi="Times New Roman" w:cs="Times New Roman"/>
          <w:sz w:val="24"/>
          <w:szCs w:val="24"/>
          <w:lang w:val="en-GB"/>
        </w:rPr>
        <w:t>for</w:t>
      </w:r>
      <w:r w:rsidR="00DA5035" w:rsidRPr="003253E5">
        <w:rPr>
          <w:rFonts w:ascii="Times New Roman" w:hAnsi="Times New Roman" w:cs="Times New Roman"/>
          <w:sz w:val="24"/>
          <w:szCs w:val="24"/>
          <w:lang w:val="en-GB"/>
        </w:rPr>
        <w:t xml:space="preserve"> the determination?</w:t>
      </w:r>
    </w:p>
    <w:p w14:paraId="1CC7460C" w14:textId="64FC7DA3" w:rsidR="00CA7366"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[23]</w:t>
      </w:r>
      <w:r w:rsidRPr="008F5862">
        <w:rPr>
          <w:rFonts w:ascii="Times New Roman" w:hAnsi="Times New Roman" w:cs="Times New Roman"/>
          <w:sz w:val="24"/>
          <w:szCs w:val="24"/>
          <w:lang w:val="en-GB"/>
        </w:rPr>
        <w:tab/>
      </w:r>
      <w:r w:rsidR="00CA7366" w:rsidRPr="003253E5">
        <w:rPr>
          <w:rFonts w:ascii="Times New Roman" w:hAnsi="Times New Roman" w:cs="Times New Roman"/>
          <w:sz w:val="24"/>
          <w:szCs w:val="24"/>
          <w:lang w:val="en-GB"/>
        </w:rPr>
        <w:t>In researching the issue I came across an unreported judgment</w:t>
      </w:r>
      <w:r w:rsidR="00672CF4" w:rsidRPr="003253E5">
        <w:rPr>
          <w:rFonts w:ascii="Times New Roman" w:hAnsi="Times New Roman" w:cs="Times New Roman"/>
          <w:sz w:val="24"/>
          <w:szCs w:val="24"/>
          <w:lang w:val="en-GB"/>
        </w:rPr>
        <w:t xml:space="preserve"> of Moloti</w:t>
      </w:r>
      <w:r w:rsidR="0048747A" w:rsidRPr="003253E5">
        <w:rPr>
          <w:rFonts w:ascii="Times New Roman" w:hAnsi="Times New Roman" w:cs="Times New Roman"/>
          <w:sz w:val="24"/>
          <w:szCs w:val="24"/>
          <w:lang w:val="en-GB"/>
        </w:rPr>
        <w:t> </w:t>
      </w:r>
      <w:r w:rsidR="00672CF4" w:rsidRPr="003253E5">
        <w:rPr>
          <w:rFonts w:ascii="Times New Roman" w:hAnsi="Times New Roman" w:cs="Times New Roman"/>
          <w:sz w:val="24"/>
          <w:szCs w:val="24"/>
          <w:lang w:val="en-GB"/>
        </w:rPr>
        <w:t>AJ</w:t>
      </w:r>
      <w:r w:rsidR="00CA7366" w:rsidRPr="003253E5">
        <w:rPr>
          <w:rFonts w:ascii="Times New Roman" w:hAnsi="Times New Roman" w:cs="Times New Roman"/>
          <w:sz w:val="24"/>
          <w:szCs w:val="24"/>
          <w:lang w:val="en-GB"/>
        </w:rPr>
        <w:t xml:space="preserve"> </w:t>
      </w:r>
      <w:r w:rsidR="00CA7366" w:rsidRPr="003253E5">
        <w:rPr>
          <w:rFonts w:ascii="Times New Roman" w:hAnsi="Times New Roman" w:cs="Times New Roman"/>
          <w:i/>
          <w:iCs/>
          <w:sz w:val="24"/>
          <w:szCs w:val="24"/>
          <w:lang w:val="en-GB"/>
        </w:rPr>
        <w:t xml:space="preserve">sub nom </w:t>
      </w:r>
      <w:r w:rsidR="00CA7366" w:rsidRPr="003253E5">
        <w:rPr>
          <w:rFonts w:ascii="Times New Roman" w:hAnsi="Times New Roman" w:cs="Times New Roman"/>
          <w:b/>
          <w:bCs/>
          <w:sz w:val="24"/>
          <w:szCs w:val="24"/>
          <w:u w:val="single"/>
          <w:lang w:val="en-GB"/>
        </w:rPr>
        <w:t xml:space="preserve">Tholo Energy Services CC v Commissioner for the South African Revenue Service </w:t>
      </w:r>
      <w:r w:rsidR="00CA7366" w:rsidRPr="003253E5">
        <w:rPr>
          <w:rFonts w:ascii="Times New Roman" w:hAnsi="Times New Roman" w:cs="Times New Roman"/>
          <w:sz w:val="24"/>
          <w:szCs w:val="24"/>
          <w:lang w:val="en-GB"/>
        </w:rPr>
        <w:t>[2023] ZAGPPHC 1590; 47405/2020 (3</w:t>
      </w:r>
      <w:r w:rsidR="00F7161B" w:rsidRPr="003253E5">
        <w:rPr>
          <w:rFonts w:ascii="Times New Roman" w:hAnsi="Times New Roman" w:cs="Times New Roman"/>
          <w:sz w:val="24"/>
          <w:szCs w:val="24"/>
          <w:lang w:val="en-GB"/>
        </w:rPr>
        <w:t> </w:t>
      </w:r>
      <w:r w:rsidR="00CA7366" w:rsidRPr="003253E5">
        <w:rPr>
          <w:rFonts w:ascii="Times New Roman" w:hAnsi="Times New Roman" w:cs="Times New Roman"/>
          <w:sz w:val="24"/>
          <w:szCs w:val="24"/>
          <w:lang w:val="en-GB"/>
        </w:rPr>
        <w:t>February</w:t>
      </w:r>
      <w:r w:rsidR="00F7161B" w:rsidRPr="003253E5">
        <w:rPr>
          <w:rFonts w:ascii="Times New Roman" w:hAnsi="Times New Roman" w:cs="Times New Roman"/>
          <w:sz w:val="24"/>
          <w:szCs w:val="24"/>
          <w:lang w:val="en-GB"/>
        </w:rPr>
        <w:t> </w:t>
      </w:r>
      <w:r w:rsidR="00CA7366" w:rsidRPr="003253E5">
        <w:rPr>
          <w:rFonts w:ascii="Times New Roman" w:hAnsi="Times New Roman" w:cs="Times New Roman"/>
          <w:sz w:val="24"/>
          <w:szCs w:val="24"/>
          <w:lang w:val="en-GB"/>
        </w:rPr>
        <w:t xml:space="preserve">2023), which I do not believe I was referred to by counsel. </w:t>
      </w:r>
      <w:r w:rsidR="00672CF4" w:rsidRPr="003253E5">
        <w:rPr>
          <w:rFonts w:ascii="Times New Roman" w:hAnsi="Times New Roman" w:cs="Times New Roman"/>
          <w:sz w:val="24"/>
          <w:szCs w:val="24"/>
          <w:lang w:val="en-GB"/>
        </w:rPr>
        <w:t xml:space="preserve"> In this judgment, the learned Acting Judge held as follows:</w:t>
      </w:r>
    </w:p>
    <w:p w14:paraId="2F30F897" w14:textId="74403AEF" w:rsidR="00672CF4" w:rsidRPr="008F5862" w:rsidRDefault="00DB3E2A" w:rsidP="002B6011">
      <w:pPr>
        <w:pStyle w:val="Quote"/>
        <w:rPr>
          <w:lang w:val="en-GB"/>
        </w:rPr>
      </w:pPr>
      <w:r>
        <w:rPr>
          <w:lang w:val="en-GB"/>
        </w:rPr>
        <w:t>“</w:t>
      </w:r>
      <w:r w:rsidR="00672CF4" w:rsidRPr="008F5862">
        <w:rPr>
          <w:lang w:val="en-GB"/>
        </w:rPr>
        <w:t>[51] …</w:t>
      </w:r>
      <w:r w:rsidR="0035325A" w:rsidRPr="008F5862">
        <w:rPr>
          <w:lang w:val="en-GB"/>
        </w:rPr>
        <w:t xml:space="preserve"> </w:t>
      </w:r>
      <w:r w:rsidR="00672CF4" w:rsidRPr="008F5862">
        <w:rPr>
          <w:lang w:val="en-GB"/>
        </w:rPr>
        <w:t>since this appeal is a rehearing of the matter on the merits, the respondent was permitted and entitled to rely on additional grounds disallowing the refund of  the Applicant. The additional grounds were legitimate and formed a nexus with the initial determination. The respondent did not provide a wholly different determination.  The determination never changed. The determination was that the Applicant</w:t>
      </w:r>
      <w:r>
        <w:rPr>
          <w:lang w:val="en-GB"/>
        </w:rPr>
        <w:t>’</w:t>
      </w:r>
      <w:r w:rsidR="00672CF4" w:rsidRPr="008F5862">
        <w:rPr>
          <w:lang w:val="en-GB"/>
        </w:rPr>
        <w:t>s claim for a refund was refused.</w:t>
      </w:r>
    </w:p>
    <w:p w14:paraId="44ADDECB" w14:textId="2E4980BF" w:rsidR="00672CF4" w:rsidRPr="008F5862" w:rsidRDefault="00672CF4" w:rsidP="00255A08">
      <w:pPr>
        <w:pStyle w:val="Quote"/>
        <w:spacing w:after="600"/>
        <w:rPr>
          <w:lang w:val="en-GB"/>
        </w:rPr>
      </w:pPr>
      <w:r w:rsidRPr="008F5862">
        <w:rPr>
          <w:lang w:val="en-GB"/>
        </w:rPr>
        <w:t>[52] This was the final determination of 20</w:t>
      </w:r>
      <w:r w:rsidR="00F7161B" w:rsidRPr="008F5862">
        <w:rPr>
          <w:lang w:val="en-GB"/>
        </w:rPr>
        <w:t> </w:t>
      </w:r>
      <w:r w:rsidRPr="008F5862">
        <w:rPr>
          <w:lang w:val="en-GB"/>
        </w:rPr>
        <w:t>July</w:t>
      </w:r>
      <w:r w:rsidR="00F7161B" w:rsidRPr="008F5862">
        <w:rPr>
          <w:lang w:val="en-GB"/>
        </w:rPr>
        <w:t> </w:t>
      </w:r>
      <w:r w:rsidRPr="008F5862">
        <w:rPr>
          <w:lang w:val="en-GB"/>
        </w:rPr>
        <w:t>2017. The additional grounds relied upon by the respondent in his answering affidavit, did not mean that the respondent changed his determination of 20</w:t>
      </w:r>
      <w:r w:rsidR="00F7161B" w:rsidRPr="008F5862">
        <w:rPr>
          <w:lang w:val="en-GB"/>
        </w:rPr>
        <w:t> </w:t>
      </w:r>
      <w:r w:rsidRPr="008F5862">
        <w:rPr>
          <w:lang w:val="en-GB"/>
        </w:rPr>
        <w:t>July</w:t>
      </w:r>
      <w:r w:rsidR="00F7161B" w:rsidRPr="008F5862">
        <w:rPr>
          <w:lang w:val="en-GB"/>
        </w:rPr>
        <w:t> </w:t>
      </w:r>
      <w:r w:rsidRPr="008F5862">
        <w:rPr>
          <w:lang w:val="en-GB"/>
        </w:rPr>
        <w:t>2017. The character of an appeal being a hearing de novo, provided the respondent with an opportunity to provide additional grounds for refusing to grant a claim for refund. It was therefore permissible in law for the respondent in his answering affidavit to provide additional grounds of refusing the claim for refund. There is certainly nothing wrong with such an approach.  The respondent, for the purposes of appeal, is not bound to solely rely on the reasons provided on his determination of 20</w:t>
      </w:r>
      <w:r w:rsidR="00F7161B" w:rsidRPr="008F5862">
        <w:rPr>
          <w:lang w:val="en-GB"/>
        </w:rPr>
        <w:t> </w:t>
      </w:r>
      <w:r w:rsidRPr="008F5862">
        <w:rPr>
          <w:lang w:val="en-GB"/>
        </w:rPr>
        <w:t>July</w:t>
      </w:r>
      <w:r w:rsidR="00F7161B" w:rsidRPr="008F5862">
        <w:rPr>
          <w:lang w:val="en-GB"/>
        </w:rPr>
        <w:t> </w:t>
      </w:r>
      <w:r w:rsidRPr="008F5862">
        <w:rPr>
          <w:lang w:val="en-GB"/>
        </w:rPr>
        <w:t>2017.  There was therefore nothing unfair by the respondent in relying on the additional grounds.</w:t>
      </w:r>
      <w:r w:rsidR="00DB3E2A">
        <w:rPr>
          <w:lang w:val="en-GB"/>
        </w:rPr>
        <w:t>”</w:t>
      </w:r>
    </w:p>
    <w:p w14:paraId="198BFEEA" w14:textId="0100D777" w:rsidR="00672CF4"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[24]</w:t>
      </w:r>
      <w:r w:rsidRPr="008F5862">
        <w:rPr>
          <w:rFonts w:ascii="Times New Roman" w:hAnsi="Times New Roman" w:cs="Times New Roman"/>
          <w:sz w:val="24"/>
          <w:szCs w:val="24"/>
          <w:lang w:val="en-GB"/>
        </w:rPr>
        <w:tab/>
      </w:r>
      <w:r w:rsidR="00672CF4" w:rsidRPr="003253E5">
        <w:rPr>
          <w:rFonts w:ascii="Times New Roman" w:hAnsi="Times New Roman" w:cs="Times New Roman"/>
          <w:sz w:val="24"/>
          <w:szCs w:val="24"/>
          <w:lang w:val="en-GB"/>
        </w:rPr>
        <w:t xml:space="preserve">To the extent that it is suggested in </w:t>
      </w:r>
      <w:r w:rsidR="00672CF4" w:rsidRPr="003253E5">
        <w:rPr>
          <w:rFonts w:ascii="Times New Roman" w:hAnsi="Times New Roman" w:cs="Times New Roman"/>
          <w:b/>
          <w:bCs/>
          <w:sz w:val="24"/>
          <w:szCs w:val="24"/>
          <w:u w:val="single"/>
          <w:lang w:val="en-GB"/>
        </w:rPr>
        <w:t>Tholo</w:t>
      </w:r>
      <w:r w:rsidR="00672CF4" w:rsidRPr="003253E5">
        <w:rPr>
          <w:rFonts w:ascii="Times New Roman" w:hAnsi="Times New Roman" w:cs="Times New Roman"/>
          <w:sz w:val="24"/>
          <w:szCs w:val="24"/>
          <w:lang w:val="en-GB"/>
        </w:rPr>
        <w:t xml:space="preserve"> that the determination is simply that the refund is disallowed and that SARS, as a respondent in the appeal, may introduce any new basis for such a </w:t>
      </w:r>
      <w:r w:rsidR="00DB3E2A" w:rsidRPr="003253E5">
        <w:rPr>
          <w:rFonts w:ascii="Times New Roman" w:hAnsi="Times New Roman" w:cs="Times New Roman"/>
          <w:sz w:val="24"/>
          <w:szCs w:val="24"/>
          <w:lang w:val="en-GB"/>
        </w:rPr>
        <w:t>“</w:t>
      </w:r>
      <w:r w:rsidR="00672CF4" w:rsidRPr="003253E5">
        <w:rPr>
          <w:rFonts w:ascii="Times New Roman" w:hAnsi="Times New Roman" w:cs="Times New Roman"/>
          <w:i/>
          <w:iCs/>
          <w:sz w:val="24"/>
          <w:szCs w:val="24"/>
          <w:lang w:val="en-GB"/>
        </w:rPr>
        <w:t>determination</w:t>
      </w:r>
      <w:r w:rsidR="00DB3E2A" w:rsidRPr="003253E5">
        <w:rPr>
          <w:rFonts w:ascii="Times New Roman" w:hAnsi="Times New Roman" w:cs="Times New Roman"/>
          <w:sz w:val="24"/>
          <w:szCs w:val="24"/>
          <w:lang w:val="en-GB"/>
        </w:rPr>
        <w:t>”</w:t>
      </w:r>
      <w:r w:rsidR="00672CF4" w:rsidRPr="003253E5">
        <w:rPr>
          <w:rFonts w:ascii="Times New Roman" w:hAnsi="Times New Roman" w:cs="Times New Roman"/>
          <w:sz w:val="24"/>
          <w:szCs w:val="24"/>
          <w:lang w:val="en-GB"/>
        </w:rPr>
        <w:t xml:space="preserve"> in the appeal</w:t>
      </w:r>
      <w:r w:rsidR="0035325A" w:rsidRPr="003253E5">
        <w:rPr>
          <w:rFonts w:ascii="Times New Roman" w:hAnsi="Times New Roman" w:cs="Times New Roman"/>
          <w:sz w:val="24"/>
          <w:szCs w:val="24"/>
          <w:lang w:val="en-GB"/>
        </w:rPr>
        <w:t xml:space="preserve"> proceedings</w:t>
      </w:r>
      <w:r w:rsidR="00672CF4" w:rsidRPr="003253E5">
        <w:rPr>
          <w:rFonts w:ascii="Times New Roman" w:hAnsi="Times New Roman" w:cs="Times New Roman"/>
          <w:sz w:val="24"/>
          <w:szCs w:val="24"/>
          <w:lang w:val="en-GB"/>
        </w:rPr>
        <w:t xml:space="preserve"> before</w:t>
      </w:r>
      <w:r w:rsidR="0035325A" w:rsidRPr="003253E5">
        <w:rPr>
          <w:rFonts w:ascii="Times New Roman" w:hAnsi="Times New Roman" w:cs="Times New Roman"/>
          <w:sz w:val="24"/>
          <w:szCs w:val="24"/>
          <w:lang w:val="en-GB"/>
        </w:rPr>
        <w:t xml:space="preserve"> the</w:t>
      </w:r>
      <w:r w:rsidR="00672CF4" w:rsidRPr="003253E5">
        <w:rPr>
          <w:rFonts w:ascii="Times New Roman" w:hAnsi="Times New Roman" w:cs="Times New Roman"/>
          <w:sz w:val="24"/>
          <w:szCs w:val="24"/>
          <w:lang w:val="en-GB"/>
        </w:rPr>
        <w:t xml:space="preserve"> Court, </w:t>
      </w:r>
      <w:r w:rsidR="00672CF4" w:rsidRPr="003253E5">
        <w:rPr>
          <w:rFonts w:ascii="Times New Roman" w:hAnsi="Times New Roman" w:cs="Times New Roman"/>
          <w:b/>
          <w:bCs/>
          <w:sz w:val="24"/>
          <w:szCs w:val="24"/>
          <w:u w:val="single"/>
          <w:lang w:val="en-GB"/>
        </w:rPr>
        <w:t>Tholo</w:t>
      </w:r>
      <w:r w:rsidR="00672CF4" w:rsidRPr="003253E5">
        <w:rPr>
          <w:rFonts w:ascii="Times New Roman" w:hAnsi="Times New Roman" w:cs="Times New Roman"/>
          <w:sz w:val="24"/>
          <w:szCs w:val="24"/>
          <w:lang w:val="en-GB"/>
        </w:rPr>
        <w:t xml:space="preserve"> is inconsistent with </w:t>
      </w:r>
      <w:r w:rsidR="00672CF4" w:rsidRPr="003253E5">
        <w:rPr>
          <w:rFonts w:ascii="Times New Roman" w:hAnsi="Times New Roman" w:cs="Times New Roman"/>
          <w:b/>
          <w:bCs/>
          <w:sz w:val="24"/>
          <w:szCs w:val="24"/>
          <w:u w:val="single"/>
          <w:lang w:val="en-GB"/>
        </w:rPr>
        <w:t>Tunica Trading</w:t>
      </w:r>
      <w:r w:rsidR="00672CF4" w:rsidRPr="003253E5">
        <w:rPr>
          <w:rFonts w:ascii="Times New Roman" w:hAnsi="Times New Roman" w:cs="Times New Roman"/>
          <w:sz w:val="24"/>
          <w:szCs w:val="24"/>
          <w:lang w:val="en-GB"/>
        </w:rPr>
        <w:t xml:space="preserve">, to which I am bound. </w:t>
      </w:r>
      <w:r w:rsidR="0035325A" w:rsidRPr="003253E5">
        <w:rPr>
          <w:rFonts w:ascii="Times New Roman" w:hAnsi="Times New Roman" w:cs="Times New Roman"/>
          <w:sz w:val="24"/>
          <w:szCs w:val="24"/>
          <w:lang w:val="en-GB"/>
        </w:rPr>
        <w:t xml:space="preserve"> </w:t>
      </w:r>
      <w:r w:rsidR="00672CF4" w:rsidRPr="003253E5">
        <w:rPr>
          <w:rFonts w:ascii="Times New Roman" w:hAnsi="Times New Roman" w:cs="Times New Roman"/>
          <w:sz w:val="24"/>
          <w:szCs w:val="24"/>
          <w:lang w:val="en-GB"/>
        </w:rPr>
        <w:t xml:space="preserve">I in any event fully agree with the reasoning in </w:t>
      </w:r>
      <w:r w:rsidR="00672CF4" w:rsidRPr="003253E5">
        <w:rPr>
          <w:rFonts w:ascii="Times New Roman" w:hAnsi="Times New Roman" w:cs="Times New Roman"/>
          <w:b/>
          <w:bCs/>
          <w:sz w:val="24"/>
          <w:szCs w:val="24"/>
          <w:u w:val="single"/>
          <w:lang w:val="en-GB"/>
        </w:rPr>
        <w:t>Tunica Trading</w:t>
      </w:r>
      <w:r w:rsidR="00672CF4" w:rsidRPr="003253E5">
        <w:rPr>
          <w:rFonts w:ascii="Times New Roman" w:hAnsi="Times New Roman" w:cs="Times New Roman"/>
          <w:sz w:val="24"/>
          <w:szCs w:val="24"/>
          <w:lang w:val="en-GB"/>
        </w:rPr>
        <w:t xml:space="preserve">, and attempted to expand thereon above.  </w:t>
      </w:r>
    </w:p>
    <w:p w14:paraId="0CFF922E" w14:textId="58A0E114" w:rsidR="007A63FB"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[25]</w:t>
      </w:r>
      <w:r w:rsidRPr="008F5862">
        <w:rPr>
          <w:rFonts w:ascii="Times New Roman" w:hAnsi="Times New Roman" w:cs="Times New Roman"/>
          <w:sz w:val="24"/>
          <w:szCs w:val="24"/>
          <w:lang w:val="en-GB"/>
        </w:rPr>
        <w:tab/>
      </w:r>
      <w:r w:rsidR="00ED0D37" w:rsidRPr="003253E5">
        <w:rPr>
          <w:rFonts w:ascii="Times New Roman" w:hAnsi="Times New Roman" w:cs="Times New Roman"/>
          <w:sz w:val="24"/>
          <w:szCs w:val="24"/>
          <w:lang w:val="en-GB"/>
        </w:rPr>
        <w:t>Given th</w:t>
      </w:r>
      <w:r w:rsidR="00672CF4" w:rsidRPr="003253E5">
        <w:rPr>
          <w:rFonts w:ascii="Times New Roman" w:hAnsi="Times New Roman" w:cs="Times New Roman"/>
          <w:sz w:val="24"/>
          <w:szCs w:val="24"/>
          <w:lang w:val="en-GB"/>
        </w:rPr>
        <w:t xml:space="preserve">is conclusion, the </w:t>
      </w:r>
      <w:r w:rsidR="00ED0D37" w:rsidRPr="003253E5">
        <w:rPr>
          <w:rFonts w:ascii="Times New Roman" w:hAnsi="Times New Roman" w:cs="Times New Roman"/>
          <w:sz w:val="24"/>
          <w:szCs w:val="24"/>
          <w:lang w:val="en-GB"/>
        </w:rPr>
        <w:t xml:space="preserve">new </w:t>
      </w:r>
      <w:r w:rsidR="00EE1FAE" w:rsidRPr="003253E5">
        <w:rPr>
          <w:rFonts w:ascii="Times New Roman" w:hAnsi="Times New Roman" w:cs="Times New Roman"/>
          <w:sz w:val="24"/>
          <w:szCs w:val="24"/>
          <w:lang w:val="en-GB"/>
        </w:rPr>
        <w:t>justifications</w:t>
      </w:r>
      <w:r w:rsidR="00ED0D37" w:rsidRPr="003253E5">
        <w:rPr>
          <w:rFonts w:ascii="Times New Roman" w:hAnsi="Times New Roman" w:cs="Times New Roman"/>
          <w:sz w:val="24"/>
          <w:szCs w:val="24"/>
          <w:lang w:val="en-GB"/>
        </w:rPr>
        <w:t xml:space="preserve"> of the determination listed above and sought to be introduced in paragraphs</w:t>
      </w:r>
      <w:r w:rsidR="00F7161B" w:rsidRPr="003253E5">
        <w:rPr>
          <w:rFonts w:ascii="Times New Roman" w:hAnsi="Times New Roman" w:cs="Times New Roman"/>
          <w:sz w:val="24"/>
          <w:szCs w:val="24"/>
          <w:lang w:val="en-GB"/>
        </w:rPr>
        <w:t> </w:t>
      </w:r>
      <w:r w:rsidR="00ED0D37" w:rsidRPr="003253E5">
        <w:rPr>
          <w:rFonts w:ascii="Times New Roman" w:hAnsi="Times New Roman" w:cs="Times New Roman"/>
          <w:sz w:val="24"/>
          <w:szCs w:val="24"/>
          <w:lang w:val="en-GB"/>
        </w:rPr>
        <w:t>39, 40, 49.3</w:t>
      </w:r>
      <w:r w:rsidR="00F65FC1" w:rsidRPr="003253E5">
        <w:rPr>
          <w:rFonts w:ascii="Times New Roman" w:hAnsi="Times New Roman" w:cs="Times New Roman"/>
          <w:sz w:val="24"/>
          <w:szCs w:val="24"/>
          <w:lang w:val="en-GB"/>
        </w:rPr>
        <w:t xml:space="preserve"> and</w:t>
      </w:r>
      <w:r w:rsidR="00ED0D37" w:rsidRPr="003253E5">
        <w:rPr>
          <w:rFonts w:ascii="Times New Roman" w:hAnsi="Times New Roman" w:cs="Times New Roman"/>
          <w:sz w:val="24"/>
          <w:szCs w:val="24"/>
          <w:lang w:val="en-GB"/>
        </w:rPr>
        <w:t xml:space="preserve"> 61 of the answering affidavit cannot be considered and are irrelevant.  They fall to be struck out and there is no reason why costs should not be awarded against SARS </w:t>
      </w:r>
      <w:r w:rsidR="00672CF4" w:rsidRPr="003253E5">
        <w:rPr>
          <w:rFonts w:ascii="Times New Roman" w:hAnsi="Times New Roman" w:cs="Times New Roman"/>
          <w:sz w:val="24"/>
          <w:szCs w:val="24"/>
          <w:lang w:val="en-GB"/>
        </w:rPr>
        <w:t xml:space="preserve">in respect of </w:t>
      </w:r>
      <w:r w:rsidR="0035325A" w:rsidRPr="003253E5">
        <w:rPr>
          <w:rFonts w:ascii="Times New Roman" w:hAnsi="Times New Roman" w:cs="Times New Roman"/>
          <w:sz w:val="24"/>
          <w:szCs w:val="24"/>
          <w:lang w:val="en-GB"/>
        </w:rPr>
        <w:t>the strike out</w:t>
      </w:r>
      <w:r w:rsidR="00672CF4" w:rsidRPr="003253E5">
        <w:rPr>
          <w:rFonts w:ascii="Times New Roman" w:hAnsi="Times New Roman" w:cs="Times New Roman"/>
          <w:sz w:val="24"/>
          <w:szCs w:val="24"/>
          <w:lang w:val="en-GB"/>
        </w:rPr>
        <w:t xml:space="preserve"> application. </w:t>
      </w:r>
      <w:r w:rsidR="001A5E61" w:rsidRPr="003253E5">
        <w:rPr>
          <w:rFonts w:ascii="Times New Roman" w:hAnsi="Times New Roman" w:cs="Times New Roman"/>
          <w:sz w:val="24"/>
          <w:szCs w:val="24"/>
          <w:lang w:val="en-GB"/>
        </w:rPr>
        <w:t xml:space="preserve"> I should add that</w:t>
      </w:r>
      <w:r w:rsidR="005E637F" w:rsidRPr="003253E5">
        <w:rPr>
          <w:rFonts w:ascii="Times New Roman" w:hAnsi="Times New Roman" w:cs="Times New Roman"/>
          <w:sz w:val="24"/>
          <w:szCs w:val="24"/>
          <w:lang w:val="en-GB"/>
        </w:rPr>
        <w:t xml:space="preserve"> whilst</w:t>
      </w:r>
      <w:r w:rsidR="001A5E61" w:rsidRPr="003253E5">
        <w:rPr>
          <w:rFonts w:ascii="Times New Roman" w:hAnsi="Times New Roman" w:cs="Times New Roman"/>
          <w:sz w:val="24"/>
          <w:szCs w:val="24"/>
          <w:lang w:val="en-GB"/>
        </w:rPr>
        <w:t xml:space="preserve"> </w:t>
      </w:r>
      <w:r w:rsidR="005E637F" w:rsidRPr="003253E5">
        <w:rPr>
          <w:rFonts w:ascii="Times New Roman" w:hAnsi="Times New Roman" w:cs="Times New Roman"/>
          <w:sz w:val="24"/>
          <w:szCs w:val="24"/>
          <w:lang w:val="en-GB"/>
        </w:rPr>
        <w:t xml:space="preserve">the new </w:t>
      </w:r>
      <w:r w:rsidR="00EE1FAE" w:rsidRPr="003253E5">
        <w:rPr>
          <w:rFonts w:ascii="Times New Roman" w:hAnsi="Times New Roman" w:cs="Times New Roman"/>
          <w:sz w:val="24"/>
          <w:szCs w:val="24"/>
          <w:lang w:val="en-GB"/>
        </w:rPr>
        <w:t xml:space="preserve">justifications </w:t>
      </w:r>
      <w:r w:rsidR="005E637F" w:rsidRPr="003253E5">
        <w:rPr>
          <w:rFonts w:ascii="Times New Roman" w:hAnsi="Times New Roman" w:cs="Times New Roman"/>
          <w:sz w:val="24"/>
          <w:szCs w:val="24"/>
          <w:lang w:val="en-GB"/>
        </w:rPr>
        <w:t>are largely contained in the</w:t>
      </w:r>
      <w:r w:rsidR="0035325A" w:rsidRPr="003253E5">
        <w:rPr>
          <w:rFonts w:ascii="Times New Roman" w:hAnsi="Times New Roman" w:cs="Times New Roman"/>
          <w:sz w:val="24"/>
          <w:szCs w:val="24"/>
          <w:lang w:val="en-GB"/>
        </w:rPr>
        <w:t xml:space="preserve"> challenged</w:t>
      </w:r>
      <w:r w:rsidR="005E637F" w:rsidRPr="003253E5">
        <w:rPr>
          <w:rFonts w:ascii="Times New Roman" w:hAnsi="Times New Roman" w:cs="Times New Roman"/>
          <w:sz w:val="24"/>
          <w:szCs w:val="24"/>
          <w:lang w:val="en-GB"/>
        </w:rPr>
        <w:t xml:space="preserve"> paragraphs they have spilled over to others as well</w:t>
      </w:r>
      <w:r w:rsidR="00E9680D" w:rsidRPr="003253E5">
        <w:rPr>
          <w:rFonts w:ascii="Times New Roman" w:hAnsi="Times New Roman" w:cs="Times New Roman"/>
          <w:sz w:val="24"/>
          <w:szCs w:val="24"/>
          <w:lang w:val="en-GB"/>
        </w:rPr>
        <w:t>, paragraph</w:t>
      </w:r>
      <w:r w:rsidR="00F7161B" w:rsidRPr="003253E5">
        <w:rPr>
          <w:rFonts w:ascii="Times New Roman" w:hAnsi="Times New Roman" w:cs="Times New Roman"/>
          <w:sz w:val="24"/>
          <w:szCs w:val="24"/>
          <w:lang w:val="en-GB"/>
        </w:rPr>
        <w:t> </w:t>
      </w:r>
      <w:r w:rsidR="00E9680D" w:rsidRPr="003253E5">
        <w:rPr>
          <w:rFonts w:ascii="Times New Roman" w:hAnsi="Times New Roman" w:cs="Times New Roman"/>
          <w:sz w:val="24"/>
          <w:szCs w:val="24"/>
          <w:lang w:val="en-GB"/>
        </w:rPr>
        <w:t xml:space="preserve">60 of the </w:t>
      </w:r>
      <w:r w:rsidR="0013022D" w:rsidRPr="003253E5">
        <w:rPr>
          <w:rFonts w:ascii="Times New Roman" w:hAnsi="Times New Roman" w:cs="Times New Roman"/>
          <w:sz w:val="24"/>
          <w:szCs w:val="24"/>
          <w:lang w:val="en-GB"/>
        </w:rPr>
        <w:t xml:space="preserve">SARS </w:t>
      </w:r>
      <w:r w:rsidR="00E9680D" w:rsidRPr="003253E5">
        <w:rPr>
          <w:rFonts w:ascii="Times New Roman" w:hAnsi="Times New Roman" w:cs="Times New Roman"/>
          <w:sz w:val="24"/>
          <w:szCs w:val="24"/>
          <w:lang w:val="en-GB"/>
        </w:rPr>
        <w:t xml:space="preserve">answering affidavit, for example. </w:t>
      </w:r>
      <w:r w:rsidR="0013022D" w:rsidRPr="003253E5">
        <w:rPr>
          <w:rFonts w:ascii="Times New Roman" w:hAnsi="Times New Roman" w:cs="Times New Roman"/>
          <w:sz w:val="24"/>
          <w:szCs w:val="24"/>
          <w:lang w:val="en-GB"/>
        </w:rPr>
        <w:t xml:space="preserve"> To the extent not struck out, the new </w:t>
      </w:r>
      <w:r w:rsidR="00EE1FAE" w:rsidRPr="003253E5">
        <w:rPr>
          <w:rFonts w:ascii="Times New Roman" w:hAnsi="Times New Roman" w:cs="Times New Roman"/>
          <w:sz w:val="24"/>
          <w:szCs w:val="24"/>
          <w:lang w:val="en-GB"/>
        </w:rPr>
        <w:t xml:space="preserve">justifications </w:t>
      </w:r>
      <w:r w:rsidR="0013022D" w:rsidRPr="003253E5">
        <w:rPr>
          <w:rFonts w:ascii="Times New Roman" w:hAnsi="Times New Roman" w:cs="Times New Roman"/>
          <w:sz w:val="24"/>
          <w:szCs w:val="24"/>
          <w:lang w:val="en-GB"/>
        </w:rPr>
        <w:t xml:space="preserve">should simply be disregarded as irrelevant.  </w:t>
      </w:r>
    </w:p>
    <w:p w14:paraId="25E6C212" w14:textId="2C36BB2C" w:rsidR="001B3104"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[26]</w:t>
      </w:r>
      <w:r w:rsidRPr="008F5862">
        <w:rPr>
          <w:rFonts w:ascii="Times New Roman" w:hAnsi="Times New Roman" w:cs="Times New Roman"/>
          <w:sz w:val="24"/>
          <w:szCs w:val="24"/>
          <w:lang w:val="en-GB"/>
        </w:rPr>
        <w:tab/>
      </w:r>
      <w:r w:rsidR="00670DB8" w:rsidRPr="003253E5">
        <w:rPr>
          <w:rFonts w:ascii="Times New Roman" w:hAnsi="Times New Roman" w:cs="Times New Roman"/>
          <w:sz w:val="24"/>
          <w:szCs w:val="24"/>
          <w:lang w:val="en-GB"/>
        </w:rPr>
        <w:t xml:space="preserve">In any event, although </w:t>
      </w:r>
      <w:r w:rsidR="005753D5" w:rsidRPr="003253E5">
        <w:rPr>
          <w:rFonts w:ascii="Times New Roman" w:hAnsi="Times New Roman" w:cs="Times New Roman"/>
          <w:sz w:val="24"/>
          <w:szCs w:val="24"/>
          <w:lang w:val="en-GB"/>
        </w:rPr>
        <w:t>not necessary to decide, I doubt that there is merit in</w:t>
      </w:r>
      <w:r w:rsidR="00670DB8" w:rsidRPr="003253E5">
        <w:rPr>
          <w:rFonts w:ascii="Times New Roman" w:hAnsi="Times New Roman" w:cs="Times New Roman"/>
          <w:sz w:val="24"/>
          <w:szCs w:val="24"/>
          <w:lang w:val="en-GB"/>
        </w:rPr>
        <w:t xml:space="preserve"> </w:t>
      </w:r>
      <w:r w:rsidR="002A2926" w:rsidRPr="003253E5">
        <w:rPr>
          <w:rFonts w:ascii="Times New Roman" w:hAnsi="Times New Roman" w:cs="Times New Roman"/>
          <w:sz w:val="24"/>
          <w:szCs w:val="24"/>
          <w:lang w:val="en-GB"/>
        </w:rPr>
        <w:t xml:space="preserve">all </w:t>
      </w:r>
      <w:r w:rsidR="00670DB8" w:rsidRPr="003253E5">
        <w:rPr>
          <w:rFonts w:ascii="Times New Roman" w:hAnsi="Times New Roman" w:cs="Times New Roman"/>
          <w:sz w:val="24"/>
          <w:szCs w:val="24"/>
          <w:lang w:val="en-GB"/>
        </w:rPr>
        <w:t>of</w:t>
      </w:r>
      <w:r w:rsidR="005753D5" w:rsidRPr="003253E5">
        <w:rPr>
          <w:rFonts w:ascii="Times New Roman" w:hAnsi="Times New Roman" w:cs="Times New Roman"/>
          <w:sz w:val="24"/>
          <w:szCs w:val="24"/>
          <w:lang w:val="en-GB"/>
        </w:rPr>
        <w:t xml:space="preserve"> SARS</w:t>
      </w:r>
      <w:r w:rsidR="00DB3E2A" w:rsidRPr="003253E5">
        <w:rPr>
          <w:rFonts w:ascii="Times New Roman" w:hAnsi="Times New Roman" w:cs="Times New Roman"/>
          <w:sz w:val="24"/>
          <w:szCs w:val="24"/>
          <w:lang w:val="en-GB"/>
        </w:rPr>
        <w:t>’</w:t>
      </w:r>
      <w:r w:rsidR="005753D5" w:rsidRPr="003253E5">
        <w:rPr>
          <w:rFonts w:ascii="Times New Roman" w:hAnsi="Times New Roman" w:cs="Times New Roman"/>
          <w:sz w:val="24"/>
          <w:szCs w:val="24"/>
          <w:lang w:val="en-GB"/>
        </w:rPr>
        <w:t xml:space="preserve"> new </w:t>
      </w:r>
      <w:r w:rsidR="003A5FEB" w:rsidRPr="003253E5">
        <w:rPr>
          <w:rFonts w:ascii="Times New Roman" w:hAnsi="Times New Roman" w:cs="Times New Roman"/>
          <w:sz w:val="24"/>
          <w:szCs w:val="24"/>
          <w:lang w:val="en-GB"/>
        </w:rPr>
        <w:t>allegations</w:t>
      </w:r>
      <w:r w:rsidR="00AF756F" w:rsidRPr="003253E5">
        <w:rPr>
          <w:rFonts w:ascii="Times New Roman" w:hAnsi="Times New Roman" w:cs="Times New Roman"/>
          <w:sz w:val="24"/>
          <w:szCs w:val="24"/>
          <w:lang w:val="en-GB"/>
        </w:rPr>
        <w:t xml:space="preserve">.  </w:t>
      </w:r>
      <w:r w:rsidR="00D04C10" w:rsidRPr="003253E5">
        <w:rPr>
          <w:rFonts w:ascii="Times New Roman" w:hAnsi="Times New Roman" w:cs="Times New Roman"/>
          <w:sz w:val="24"/>
          <w:szCs w:val="24"/>
          <w:lang w:val="en-GB"/>
        </w:rPr>
        <w:t>PetroSA could only deal with these in its replying affidavit</w:t>
      </w:r>
      <w:r w:rsidR="00DE118A" w:rsidRPr="003253E5">
        <w:rPr>
          <w:rFonts w:ascii="Times New Roman" w:hAnsi="Times New Roman" w:cs="Times New Roman"/>
          <w:sz w:val="24"/>
          <w:szCs w:val="24"/>
          <w:lang w:val="en-GB"/>
        </w:rPr>
        <w:t xml:space="preserve"> to which I must have regard in assessing the</w:t>
      </w:r>
      <w:r w:rsidR="00670DB8" w:rsidRPr="003253E5">
        <w:rPr>
          <w:rFonts w:ascii="Times New Roman" w:hAnsi="Times New Roman" w:cs="Times New Roman"/>
          <w:sz w:val="24"/>
          <w:szCs w:val="24"/>
          <w:lang w:val="en-GB"/>
        </w:rPr>
        <w:t xml:space="preserve"> veracity of the</w:t>
      </w:r>
      <w:r w:rsidR="00DE118A" w:rsidRPr="003253E5">
        <w:rPr>
          <w:rFonts w:ascii="Times New Roman" w:hAnsi="Times New Roman" w:cs="Times New Roman"/>
          <w:sz w:val="24"/>
          <w:szCs w:val="24"/>
          <w:lang w:val="en-GB"/>
        </w:rPr>
        <w:t xml:space="preserve"> new </w:t>
      </w:r>
      <w:r w:rsidR="003A5FEB" w:rsidRPr="003253E5">
        <w:rPr>
          <w:rFonts w:ascii="Times New Roman" w:hAnsi="Times New Roman" w:cs="Times New Roman"/>
          <w:sz w:val="24"/>
          <w:szCs w:val="24"/>
          <w:lang w:val="en-GB"/>
        </w:rPr>
        <w:t>allegations</w:t>
      </w:r>
      <w:r w:rsidR="00670DB8" w:rsidRPr="003253E5">
        <w:rPr>
          <w:rFonts w:ascii="Times New Roman" w:hAnsi="Times New Roman" w:cs="Times New Roman"/>
          <w:sz w:val="24"/>
          <w:szCs w:val="24"/>
          <w:lang w:val="en-GB"/>
        </w:rPr>
        <w:t>.</w:t>
      </w:r>
      <w:r w:rsidR="00EE1FAE" w:rsidRPr="003253E5">
        <w:rPr>
          <w:rFonts w:ascii="Times New Roman" w:hAnsi="Times New Roman" w:cs="Times New Roman"/>
          <w:sz w:val="24"/>
          <w:szCs w:val="24"/>
          <w:lang w:val="en-GB"/>
        </w:rPr>
        <w:t xml:space="preserve">  I will briefly deal with the new justifications below.</w:t>
      </w:r>
    </w:p>
    <w:p w14:paraId="1095B841" w14:textId="62CB47F9" w:rsidR="00670DB8"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[27]</w:t>
      </w:r>
      <w:r w:rsidRPr="008F5862">
        <w:rPr>
          <w:rFonts w:ascii="Times New Roman" w:hAnsi="Times New Roman" w:cs="Times New Roman"/>
          <w:sz w:val="24"/>
          <w:szCs w:val="24"/>
          <w:lang w:val="en-GB"/>
        </w:rPr>
        <w:tab/>
      </w:r>
      <w:r w:rsidR="00BE5CA9" w:rsidRPr="003253E5">
        <w:rPr>
          <w:rFonts w:ascii="Times New Roman" w:hAnsi="Times New Roman" w:cs="Times New Roman"/>
          <w:sz w:val="24"/>
          <w:szCs w:val="24"/>
          <w:lang w:val="en-GB"/>
        </w:rPr>
        <w:t>Before I do so</w:t>
      </w:r>
      <w:r w:rsidR="00760148" w:rsidRPr="003253E5">
        <w:rPr>
          <w:rFonts w:ascii="Times New Roman" w:hAnsi="Times New Roman" w:cs="Times New Roman"/>
          <w:sz w:val="24"/>
          <w:szCs w:val="24"/>
          <w:lang w:val="en-GB"/>
        </w:rPr>
        <w:t>,</w:t>
      </w:r>
      <w:r w:rsidR="00BE5CA9" w:rsidRPr="003253E5">
        <w:rPr>
          <w:rFonts w:ascii="Times New Roman" w:hAnsi="Times New Roman" w:cs="Times New Roman"/>
          <w:sz w:val="24"/>
          <w:szCs w:val="24"/>
          <w:lang w:val="en-GB"/>
        </w:rPr>
        <w:t xml:space="preserve"> I</w:t>
      </w:r>
      <w:r w:rsidR="00670DB8" w:rsidRPr="003253E5">
        <w:rPr>
          <w:rFonts w:ascii="Times New Roman" w:hAnsi="Times New Roman" w:cs="Times New Roman"/>
          <w:sz w:val="24"/>
          <w:szCs w:val="24"/>
          <w:lang w:val="en-GB"/>
        </w:rPr>
        <w:t xml:space="preserve"> should at this point record that on 12 January 2024, when this judgment was nearly finalised, two judgments were handed down which appeared to me to be potentially relevant.  They are </w:t>
      </w:r>
      <w:r w:rsidR="00670DB8" w:rsidRPr="003253E5">
        <w:rPr>
          <w:rFonts w:ascii="Times New Roman" w:hAnsi="Times New Roman" w:cs="Times New Roman"/>
          <w:b/>
          <w:bCs/>
          <w:sz w:val="24"/>
          <w:szCs w:val="24"/>
          <w:u w:val="single"/>
          <w:lang w:val="en-GB"/>
        </w:rPr>
        <w:t>BP Southern Africa (Pty) Ltd v Commissioner for the South African Revenue Service</w:t>
      </w:r>
      <w:r w:rsidR="00670DB8" w:rsidRPr="003253E5">
        <w:rPr>
          <w:rFonts w:ascii="Times New Roman" w:hAnsi="Times New Roman" w:cs="Times New Roman"/>
          <w:sz w:val="24"/>
          <w:szCs w:val="24"/>
          <w:lang w:val="en-GB"/>
        </w:rPr>
        <w:t xml:space="preserve"> (801/2022) [2024] ZASCA 2 (12 January 2024) and </w:t>
      </w:r>
      <w:r w:rsidR="00670DB8" w:rsidRPr="003253E5">
        <w:rPr>
          <w:rFonts w:ascii="Times New Roman" w:hAnsi="Times New Roman" w:cs="Times New Roman"/>
          <w:b/>
          <w:bCs/>
          <w:sz w:val="24"/>
          <w:szCs w:val="24"/>
          <w:u w:val="single"/>
          <w:lang w:val="en-GB"/>
        </w:rPr>
        <w:t>BP Southern Africa (Pty) Ltd v Commissioner for the South African Revenue Service</w:t>
      </w:r>
      <w:r w:rsidR="00670DB8" w:rsidRPr="003253E5">
        <w:rPr>
          <w:rFonts w:ascii="Times New Roman" w:hAnsi="Times New Roman" w:cs="Times New Roman"/>
          <w:sz w:val="24"/>
          <w:szCs w:val="24"/>
          <w:lang w:val="en-GB"/>
        </w:rPr>
        <w:t xml:space="preserve"> (2021/49805) [2024] ZAGPPHC 1 (12 January 2024).  I invited further written submission regarding the relevance of the judgments.  SARS submitted further submissions.  I shall refer to the judgments as </w:t>
      </w:r>
      <w:r w:rsidR="00670DB8" w:rsidRPr="003253E5">
        <w:rPr>
          <w:rFonts w:ascii="Times New Roman" w:hAnsi="Times New Roman" w:cs="Times New Roman"/>
          <w:b/>
          <w:bCs/>
          <w:sz w:val="24"/>
          <w:szCs w:val="24"/>
          <w:u w:val="single"/>
          <w:lang w:val="en-GB"/>
        </w:rPr>
        <w:t>BP SCA</w:t>
      </w:r>
      <w:r w:rsidR="00670DB8" w:rsidRPr="003253E5">
        <w:rPr>
          <w:rFonts w:ascii="Times New Roman" w:hAnsi="Times New Roman" w:cs="Times New Roman"/>
          <w:sz w:val="24"/>
          <w:szCs w:val="24"/>
          <w:lang w:val="en-GB"/>
        </w:rPr>
        <w:t xml:space="preserve"> and </w:t>
      </w:r>
      <w:r w:rsidR="00670DB8" w:rsidRPr="003253E5">
        <w:rPr>
          <w:rFonts w:ascii="Times New Roman" w:hAnsi="Times New Roman" w:cs="Times New Roman"/>
          <w:b/>
          <w:bCs/>
          <w:sz w:val="24"/>
          <w:szCs w:val="24"/>
          <w:u w:val="single"/>
          <w:lang w:val="en-GB"/>
        </w:rPr>
        <w:t>BP Gauteng</w:t>
      </w:r>
      <w:r w:rsidR="00670DB8" w:rsidRPr="003253E5">
        <w:rPr>
          <w:rFonts w:ascii="Times New Roman" w:hAnsi="Times New Roman" w:cs="Times New Roman"/>
          <w:sz w:val="24"/>
          <w:szCs w:val="24"/>
          <w:lang w:val="en-GB"/>
        </w:rPr>
        <w:t>, respectively.</w:t>
      </w:r>
    </w:p>
    <w:p w14:paraId="53CD73FD" w14:textId="5F02F9CC" w:rsidR="00670DB8"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[28]</w:t>
      </w:r>
      <w:r w:rsidRPr="008F5862">
        <w:rPr>
          <w:rFonts w:ascii="Times New Roman" w:hAnsi="Times New Roman" w:cs="Times New Roman"/>
          <w:sz w:val="24"/>
          <w:szCs w:val="24"/>
          <w:lang w:val="en-GB"/>
        </w:rPr>
        <w:tab/>
      </w:r>
      <w:r w:rsidR="00670DB8" w:rsidRPr="003253E5">
        <w:rPr>
          <w:rFonts w:ascii="Times New Roman" w:hAnsi="Times New Roman" w:cs="Times New Roman"/>
          <w:sz w:val="24"/>
          <w:szCs w:val="24"/>
          <w:lang w:val="en-GB"/>
        </w:rPr>
        <w:t xml:space="preserve">My views on the new </w:t>
      </w:r>
      <w:r w:rsidR="004C2D6F" w:rsidRPr="003253E5">
        <w:rPr>
          <w:rFonts w:ascii="Times New Roman" w:hAnsi="Times New Roman" w:cs="Times New Roman"/>
          <w:sz w:val="24"/>
          <w:szCs w:val="24"/>
          <w:lang w:val="en-GB"/>
        </w:rPr>
        <w:t xml:space="preserve">justifications </w:t>
      </w:r>
      <w:r w:rsidR="00670DB8" w:rsidRPr="003253E5">
        <w:rPr>
          <w:rFonts w:ascii="Times New Roman" w:hAnsi="Times New Roman" w:cs="Times New Roman"/>
          <w:sz w:val="24"/>
          <w:szCs w:val="24"/>
          <w:lang w:val="en-GB"/>
        </w:rPr>
        <w:t xml:space="preserve"> are as follows:</w:t>
      </w:r>
    </w:p>
    <w:p w14:paraId="73A173B5" w14:textId="14C7B215" w:rsidR="001B3104"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28.1.</w:t>
      </w:r>
      <w:r w:rsidRPr="008F5862">
        <w:rPr>
          <w:rFonts w:ascii="Times New Roman" w:hAnsi="Times New Roman" w:cs="Times New Roman"/>
          <w:sz w:val="24"/>
          <w:szCs w:val="24"/>
          <w:lang w:val="en-GB"/>
        </w:rPr>
        <w:tab/>
      </w:r>
      <w:r w:rsidR="001B3104" w:rsidRPr="003253E5">
        <w:rPr>
          <w:rFonts w:ascii="Times New Roman" w:hAnsi="Times New Roman" w:cs="Times New Roman"/>
          <w:sz w:val="24"/>
          <w:szCs w:val="24"/>
          <w:lang w:val="en-GB"/>
        </w:rPr>
        <w:t xml:space="preserve">It is clear from the materials presented by PetroSA to SARS that the fuel goods were in fact exported.  Sufficient evidence was submitted </w:t>
      </w:r>
      <w:r w:rsidR="00670DB8" w:rsidRPr="003253E5">
        <w:rPr>
          <w:rFonts w:ascii="Times New Roman" w:hAnsi="Times New Roman" w:cs="Times New Roman"/>
          <w:sz w:val="24"/>
          <w:szCs w:val="24"/>
          <w:lang w:val="en-GB"/>
        </w:rPr>
        <w:t>by way</w:t>
      </w:r>
      <w:r w:rsidR="001B3104" w:rsidRPr="003253E5">
        <w:rPr>
          <w:rFonts w:ascii="Times New Roman" w:hAnsi="Times New Roman" w:cs="Times New Roman"/>
          <w:sz w:val="24"/>
          <w:szCs w:val="24"/>
          <w:lang w:val="en-GB"/>
        </w:rPr>
        <w:t xml:space="preserve"> of affidavits</w:t>
      </w:r>
      <w:r w:rsidR="00670DB8" w:rsidRPr="003253E5">
        <w:rPr>
          <w:rFonts w:ascii="Times New Roman" w:hAnsi="Times New Roman" w:cs="Times New Roman"/>
          <w:sz w:val="24"/>
          <w:szCs w:val="24"/>
          <w:lang w:val="en-GB"/>
        </w:rPr>
        <w:t>,</w:t>
      </w:r>
      <w:r w:rsidR="001B3104" w:rsidRPr="008F5862">
        <w:rPr>
          <w:rStyle w:val="FootnoteReference"/>
          <w:rFonts w:ascii="Times New Roman" w:hAnsi="Times New Roman" w:cs="Times New Roman"/>
          <w:sz w:val="24"/>
          <w:szCs w:val="24"/>
          <w:lang w:val="en-GB"/>
        </w:rPr>
        <w:footnoteReference w:id="4"/>
      </w:r>
      <w:r w:rsidR="00EE4DF6" w:rsidRPr="003253E5">
        <w:rPr>
          <w:rFonts w:ascii="Times New Roman" w:hAnsi="Times New Roman" w:cs="Times New Roman"/>
          <w:sz w:val="24"/>
          <w:szCs w:val="24"/>
          <w:lang w:val="en-GB"/>
        </w:rPr>
        <w:t xml:space="preserve">  the attachments thereto</w:t>
      </w:r>
      <w:r w:rsidR="00670DB8" w:rsidRPr="003253E5">
        <w:rPr>
          <w:rFonts w:ascii="Times New Roman" w:hAnsi="Times New Roman" w:cs="Times New Roman"/>
          <w:sz w:val="24"/>
          <w:szCs w:val="24"/>
          <w:lang w:val="en-GB"/>
        </w:rPr>
        <w:t>,</w:t>
      </w:r>
      <w:r w:rsidR="00EE4DF6" w:rsidRPr="008F5862">
        <w:rPr>
          <w:rStyle w:val="FootnoteReference"/>
          <w:rFonts w:ascii="Times New Roman" w:hAnsi="Times New Roman" w:cs="Times New Roman"/>
          <w:sz w:val="24"/>
          <w:szCs w:val="24"/>
          <w:lang w:val="en-GB"/>
        </w:rPr>
        <w:footnoteReference w:id="5"/>
      </w:r>
      <w:r w:rsidR="00EE4DF6" w:rsidRPr="003253E5">
        <w:rPr>
          <w:rFonts w:ascii="Times New Roman" w:hAnsi="Times New Roman" w:cs="Times New Roman"/>
          <w:sz w:val="24"/>
          <w:szCs w:val="24"/>
          <w:lang w:val="en-GB"/>
        </w:rPr>
        <w:t xml:space="preserve"> </w:t>
      </w:r>
      <w:r w:rsidR="00670DB8" w:rsidRPr="003253E5">
        <w:rPr>
          <w:rFonts w:ascii="Times New Roman" w:hAnsi="Times New Roman" w:cs="Times New Roman"/>
          <w:sz w:val="24"/>
          <w:szCs w:val="24"/>
          <w:lang w:val="en-GB"/>
        </w:rPr>
        <w:t>as well as</w:t>
      </w:r>
      <w:r w:rsidR="00EE4DF6" w:rsidRPr="003253E5">
        <w:rPr>
          <w:rFonts w:ascii="Times New Roman" w:hAnsi="Times New Roman" w:cs="Times New Roman"/>
          <w:sz w:val="24"/>
          <w:szCs w:val="24"/>
          <w:lang w:val="en-GB"/>
        </w:rPr>
        <w:t xml:space="preserve"> the</w:t>
      </w:r>
      <w:r w:rsidR="001B3104" w:rsidRPr="003253E5">
        <w:rPr>
          <w:rFonts w:ascii="Times New Roman" w:hAnsi="Times New Roman" w:cs="Times New Roman"/>
          <w:sz w:val="24"/>
          <w:szCs w:val="24"/>
          <w:lang w:val="en-GB"/>
        </w:rPr>
        <w:t xml:space="preserve"> CN1 and CN2 forms</w:t>
      </w:r>
      <w:r w:rsidR="00670DB8" w:rsidRPr="003253E5">
        <w:rPr>
          <w:rFonts w:ascii="Times New Roman" w:hAnsi="Times New Roman" w:cs="Times New Roman"/>
          <w:sz w:val="24"/>
          <w:szCs w:val="24"/>
          <w:lang w:val="en-GB"/>
        </w:rPr>
        <w:t>.  The latter</w:t>
      </w:r>
      <w:r w:rsidR="001B3104" w:rsidRPr="003253E5">
        <w:rPr>
          <w:rFonts w:ascii="Times New Roman" w:hAnsi="Times New Roman" w:cs="Times New Roman"/>
          <w:sz w:val="24"/>
          <w:szCs w:val="24"/>
          <w:lang w:val="en-GB"/>
        </w:rPr>
        <w:t xml:space="preserve"> according to SARS in a communication of September</w:t>
      </w:r>
      <w:r w:rsidR="00F7161B" w:rsidRPr="003253E5">
        <w:rPr>
          <w:rFonts w:ascii="Times New Roman" w:hAnsi="Times New Roman" w:cs="Times New Roman"/>
          <w:sz w:val="24"/>
          <w:szCs w:val="24"/>
          <w:lang w:val="en-GB"/>
        </w:rPr>
        <w:t> </w:t>
      </w:r>
      <w:r w:rsidR="001B3104" w:rsidRPr="003253E5">
        <w:rPr>
          <w:rFonts w:ascii="Times New Roman" w:hAnsi="Times New Roman" w:cs="Times New Roman"/>
          <w:sz w:val="24"/>
          <w:szCs w:val="24"/>
          <w:lang w:val="en-GB"/>
        </w:rPr>
        <w:t>2021</w:t>
      </w:r>
      <w:r w:rsidR="006358A7" w:rsidRPr="003253E5">
        <w:rPr>
          <w:rFonts w:ascii="Times New Roman" w:hAnsi="Times New Roman" w:cs="Times New Roman"/>
          <w:sz w:val="24"/>
          <w:szCs w:val="24"/>
          <w:lang w:val="en-GB"/>
        </w:rPr>
        <w:t>,</w:t>
      </w:r>
      <w:r w:rsidR="001B3104" w:rsidRPr="003253E5">
        <w:rPr>
          <w:rFonts w:ascii="Times New Roman" w:hAnsi="Times New Roman" w:cs="Times New Roman"/>
          <w:sz w:val="24"/>
          <w:szCs w:val="24"/>
          <w:lang w:val="en-GB"/>
        </w:rPr>
        <w:t xml:space="preserve"> serve as definitive proof of exportation and are printed from SARS</w:t>
      </w:r>
      <w:r w:rsidR="00DB3E2A" w:rsidRPr="003253E5">
        <w:rPr>
          <w:rFonts w:ascii="Times New Roman" w:hAnsi="Times New Roman" w:cs="Times New Roman"/>
          <w:sz w:val="24"/>
          <w:szCs w:val="24"/>
          <w:lang w:val="en-GB"/>
        </w:rPr>
        <w:t>’</w:t>
      </w:r>
      <w:r w:rsidR="001B3104" w:rsidRPr="003253E5">
        <w:rPr>
          <w:rFonts w:ascii="Times New Roman" w:hAnsi="Times New Roman" w:cs="Times New Roman"/>
          <w:sz w:val="24"/>
          <w:szCs w:val="24"/>
          <w:lang w:val="en-GB"/>
        </w:rPr>
        <w:t xml:space="preserve"> own system.</w:t>
      </w:r>
      <w:r w:rsidR="006358A7">
        <w:rPr>
          <w:rStyle w:val="FootnoteReference"/>
          <w:rFonts w:ascii="Times New Roman" w:hAnsi="Times New Roman" w:cs="Times New Roman"/>
          <w:sz w:val="24"/>
          <w:szCs w:val="24"/>
          <w:lang w:val="en-GB"/>
        </w:rPr>
        <w:footnoteReference w:id="6"/>
      </w:r>
      <w:r w:rsidR="001B3104" w:rsidRPr="003253E5">
        <w:rPr>
          <w:rFonts w:ascii="Times New Roman" w:hAnsi="Times New Roman" w:cs="Times New Roman"/>
          <w:sz w:val="24"/>
          <w:szCs w:val="24"/>
          <w:lang w:val="en-GB"/>
        </w:rPr>
        <w:t xml:space="preserve"> </w:t>
      </w:r>
      <w:r w:rsidR="00CD72D9" w:rsidRPr="003253E5">
        <w:rPr>
          <w:rFonts w:ascii="Times New Roman" w:hAnsi="Times New Roman" w:cs="Times New Roman"/>
          <w:sz w:val="24"/>
          <w:szCs w:val="24"/>
          <w:lang w:val="en-GB"/>
        </w:rPr>
        <w:t xml:space="preserve"> The </w:t>
      </w:r>
      <w:r w:rsidR="00670DB8" w:rsidRPr="003253E5">
        <w:rPr>
          <w:rFonts w:ascii="Times New Roman" w:hAnsi="Times New Roman" w:cs="Times New Roman"/>
          <w:sz w:val="24"/>
          <w:szCs w:val="24"/>
          <w:lang w:val="en-GB"/>
        </w:rPr>
        <w:t>dispute</w:t>
      </w:r>
      <w:r w:rsidR="001B3104" w:rsidRPr="003253E5">
        <w:rPr>
          <w:rFonts w:ascii="Times New Roman" w:hAnsi="Times New Roman" w:cs="Times New Roman"/>
          <w:sz w:val="24"/>
          <w:szCs w:val="24"/>
          <w:lang w:val="en-GB"/>
        </w:rPr>
        <w:t xml:space="preserve"> in the present matter has been about whether there was material compliance with mandatory criteria for claiming the refund / set-off and not whether there had in fact been removal or exportation of the fuel goods.</w:t>
      </w:r>
    </w:p>
    <w:p w14:paraId="35652B53" w14:textId="528C22D0" w:rsidR="0065601B"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28.2.</w:t>
      </w:r>
      <w:r w:rsidRPr="008F5862">
        <w:rPr>
          <w:rFonts w:ascii="Times New Roman" w:hAnsi="Times New Roman" w:cs="Times New Roman"/>
          <w:sz w:val="24"/>
          <w:szCs w:val="24"/>
          <w:lang w:val="en-GB"/>
        </w:rPr>
        <w:tab/>
      </w:r>
      <w:r w:rsidR="001B3104" w:rsidRPr="003253E5">
        <w:rPr>
          <w:rFonts w:ascii="Times New Roman" w:hAnsi="Times New Roman" w:cs="Times New Roman"/>
          <w:sz w:val="24"/>
          <w:szCs w:val="24"/>
          <w:lang w:val="en-GB"/>
        </w:rPr>
        <w:t xml:space="preserve">I also do not agree with the new </w:t>
      </w:r>
      <w:r w:rsidR="00670DB8" w:rsidRPr="003253E5">
        <w:rPr>
          <w:rFonts w:ascii="Times New Roman" w:hAnsi="Times New Roman" w:cs="Times New Roman"/>
          <w:sz w:val="24"/>
          <w:szCs w:val="24"/>
          <w:lang w:val="en-GB"/>
        </w:rPr>
        <w:t>allegation</w:t>
      </w:r>
      <w:r w:rsidR="001B3104" w:rsidRPr="003253E5">
        <w:rPr>
          <w:rFonts w:ascii="Times New Roman" w:hAnsi="Times New Roman" w:cs="Times New Roman"/>
          <w:sz w:val="24"/>
          <w:szCs w:val="24"/>
          <w:lang w:val="en-GB"/>
        </w:rPr>
        <w:t xml:space="preserve"> that PetroSA </w:t>
      </w:r>
      <w:r w:rsidR="00327C41" w:rsidRPr="003253E5">
        <w:rPr>
          <w:rFonts w:ascii="Times New Roman" w:hAnsi="Times New Roman" w:cs="Times New Roman"/>
          <w:sz w:val="24"/>
          <w:szCs w:val="24"/>
          <w:lang w:val="en-GB"/>
        </w:rPr>
        <w:t xml:space="preserve">made </w:t>
      </w:r>
      <w:r w:rsidR="004D1B8B" w:rsidRPr="003253E5">
        <w:rPr>
          <w:rFonts w:ascii="Times New Roman" w:hAnsi="Times New Roman" w:cs="Times New Roman"/>
          <w:sz w:val="24"/>
          <w:szCs w:val="24"/>
          <w:lang w:val="en-GB"/>
        </w:rPr>
        <w:t>fraudulent</w:t>
      </w:r>
      <w:r w:rsidR="00327C41" w:rsidRPr="003253E5">
        <w:rPr>
          <w:rFonts w:ascii="Times New Roman" w:hAnsi="Times New Roman" w:cs="Times New Roman"/>
          <w:sz w:val="24"/>
          <w:szCs w:val="24"/>
          <w:lang w:val="en-GB"/>
        </w:rPr>
        <w:t xml:space="preserve"> representations, for instance that it</w:t>
      </w:r>
      <w:r w:rsidR="001B3104" w:rsidRPr="003253E5">
        <w:rPr>
          <w:rFonts w:ascii="Times New Roman" w:hAnsi="Times New Roman" w:cs="Times New Roman"/>
          <w:sz w:val="24"/>
          <w:szCs w:val="24"/>
          <w:lang w:val="en-GB"/>
        </w:rPr>
        <w:t xml:space="preserve"> falsely represented that it exported the foods whereas in fact intermediaries took delivery at the depots and was responsible for the export from there. </w:t>
      </w:r>
      <w:r w:rsidR="00D2213A" w:rsidRPr="003253E5">
        <w:rPr>
          <w:rFonts w:ascii="Times New Roman" w:hAnsi="Times New Roman" w:cs="Times New Roman"/>
          <w:sz w:val="24"/>
          <w:szCs w:val="24"/>
          <w:lang w:val="en-GB"/>
        </w:rPr>
        <w:t xml:space="preserve"> </w:t>
      </w:r>
      <w:r w:rsidR="001B3104" w:rsidRPr="003253E5">
        <w:rPr>
          <w:rFonts w:ascii="Times New Roman" w:hAnsi="Times New Roman" w:cs="Times New Roman"/>
          <w:sz w:val="24"/>
          <w:szCs w:val="24"/>
          <w:lang w:val="en-GB"/>
        </w:rPr>
        <w:t>As stated above, as early as 16</w:t>
      </w:r>
      <w:r w:rsidR="00F7161B" w:rsidRPr="003253E5">
        <w:rPr>
          <w:rFonts w:ascii="Times New Roman" w:hAnsi="Times New Roman" w:cs="Times New Roman"/>
          <w:sz w:val="24"/>
          <w:szCs w:val="24"/>
          <w:lang w:val="en-GB"/>
        </w:rPr>
        <w:t> </w:t>
      </w:r>
      <w:r w:rsidR="001B3104" w:rsidRPr="003253E5">
        <w:rPr>
          <w:rFonts w:ascii="Times New Roman" w:hAnsi="Times New Roman" w:cs="Times New Roman"/>
          <w:sz w:val="24"/>
          <w:szCs w:val="24"/>
          <w:lang w:val="en-GB"/>
        </w:rPr>
        <w:t>May</w:t>
      </w:r>
      <w:r w:rsidR="00F7161B" w:rsidRPr="003253E5">
        <w:rPr>
          <w:rFonts w:ascii="Times New Roman" w:hAnsi="Times New Roman" w:cs="Times New Roman"/>
          <w:sz w:val="24"/>
          <w:szCs w:val="24"/>
          <w:lang w:val="en-GB"/>
        </w:rPr>
        <w:t> </w:t>
      </w:r>
      <w:r w:rsidR="001B3104" w:rsidRPr="003253E5">
        <w:rPr>
          <w:rFonts w:ascii="Times New Roman" w:hAnsi="Times New Roman" w:cs="Times New Roman"/>
          <w:sz w:val="24"/>
          <w:szCs w:val="24"/>
          <w:lang w:val="en-GB"/>
        </w:rPr>
        <w:t>2012, PetroSA disclosed its business model, including the involvement of the intermediaries and ask SARS whether the intended practice would be acceptable.  In response and in a letter dated 6</w:t>
      </w:r>
      <w:r w:rsidR="00F7161B" w:rsidRPr="003253E5">
        <w:rPr>
          <w:rFonts w:ascii="Times New Roman" w:hAnsi="Times New Roman" w:cs="Times New Roman"/>
          <w:sz w:val="24"/>
          <w:szCs w:val="24"/>
          <w:lang w:val="en-GB"/>
        </w:rPr>
        <w:t> </w:t>
      </w:r>
      <w:r w:rsidR="001B3104" w:rsidRPr="003253E5">
        <w:rPr>
          <w:rFonts w:ascii="Times New Roman" w:hAnsi="Times New Roman" w:cs="Times New Roman"/>
          <w:sz w:val="24"/>
          <w:szCs w:val="24"/>
          <w:lang w:val="en-GB"/>
        </w:rPr>
        <w:t>August</w:t>
      </w:r>
      <w:r w:rsidR="00F7161B" w:rsidRPr="003253E5">
        <w:rPr>
          <w:rFonts w:ascii="Times New Roman" w:hAnsi="Times New Roman" w:cs="Times New Roman"/>
          <w:sz w:val="24"/>
          <w:szCs w:val="24"/>
          <w:lang w:val="en-GB"/>
        </w:rPr>
        <w:t> </w:t>
      </w:r>
      <w:r w:rsidR="001B3104" w:rsidRPr="003253E5">
        <w:rPr>
          <w:rFonts w:ascii="Times New Roman" w:hAnsi="Times New Roman" w:cs="Times New Roman"/>
          <w:sz w:val="24"/>
          <w:szCs w:val="24"/>
          <w:lang w:val="en-GB"/>
        </w:rPr>
        <w:t>2013, SARS indicated that</w:t>
      </w:r>
      <w:r w:rsidR="00670DB8" w:rsidRPr="003253E5">
        <w:rPr>
          <w:rFonts w:ascii="Times New Roman" w:hAnsi="Times New Roman" w:cs="Times New Roman"/>
          <w:sz w:val="24"/>
          <w:szCs w:val="24"/>
          <w:lang w:val="en-GB"/>
        </w:rPr>
        <w:t xml:space="preserve"> </w:t>
      </w:r>
      <w:r w:rsidR="001B3104" w:rsidRPr="003253E5">
        <w:rPr>
          <w:rFonts w:ascii="Times New Roman" w:hAnsi="Times New Roman" w:cs="Times New Roman"/>
          <w:sz w:val="24"/>
          <w:szCs w:val="24"/>
          <w:lang w:val="en-GB"/>
        </w:rPr>
        <w:t>PetroSA should make due clearance as the exporter.  This was not based on technicalities.  PetroSA retained title of the fuel goods until the trucks crossed the border and it was accordingly the exporter as defined in s1 of the Act.</w:t>
      </w:r>
      <w:r w:rsidR="00D2213A" w:rsidRPr="003253E5">
        <w:rPr>
          <w:rFonts w:ascii="Times New Roman" w:hAnsi="Times New Roman" w:cs="Times New Roman"/>
          <w:sz w:val="24"/>
          <w:szCs w:val="24"/>
          <w:lang w:val="en-GB"/>
        </w:rPr>
        <w:t xml:space="preserve"> </w:t>
      </w:r>
      <w:r w:rsidR="003E3984" w:rsidRPr="003253E5">
        <w:rPr>
          <w:rFonts w:ascii="Times New Roman" w:hAnsi="Times New Roman" w:cs="Times New Roman"/>
          <w:sz w:val="24"/>
          <w:szCs w:val="24"/>
          <w:lang w:val="en-GB"/>
        </w:rPr>
        <w:t xml:space="preserve"> </w:t>
      </w:r>
      <w:r w:rsidR="00812511" w:rsidRPr="003253E5">
        <w:rPr>
          <w:rFonts w:ascii="Times New Roman" w:hAnsi="Times New Roman" w:cs="Times New Roman"/>
          <w:sz w:val="24"/>
          <w:szCs w:val="24"/>
          <w:lang w:val="en-GB"/>
        </w:rPr>
        <w:t xml:space="preserve">The Act contains a broad definition of the term </w:t>
      </w:r>
      <w:r w:rsidR="00DB3E2A" w:rsidRPr="003253E5">
        <w:rPr>
          <w:rFonts w:ascii="Times New Roman" w:hAnsi="Times New Roman" w:cs="Times New Roman"/>
          <w:sz w:val="24"/>
          <w:szCs w:val="24"/>
          <w:lang w:val="en-GB"/>
        </w:rPr>
        <w:t>“</w:t>
      </w:r>
      <w:r w:rsidR="00812511" w:rsidRPr="003253E5">
        <w:rPr>
          <w:rFonts w:ascii="Times New Roman" w:hAnsi="Times New Roman" w:cs="Times New Roman"/>
          <w:i/>
          <w:iCs/>
          <w:sz w:val="24"/>
          <w:szCs w:val="24"/>
          <w:lang w:val="en-GB"/>
        </w:rPr>
        <w:t>exporter</w:t>
      </w:r>
      <w:r w:rsidR="00DB3E2A" w:rsidRPr="003253E5">
        <w:rPr>
          <w:rFonts w:ascii="Times New Roman" w:hAnsi="Times New Roman" w:cs="Times New Roman"/>
          <w:sz w:val="24"/>
          <w:szCs w:val="24"/>
          <w:lang w:val="en-GB"/>
        </w:rPr>
        <w:t>”</w:t>
      </w:r>
      <w:r w:rsidR="00812511" w:rsidRPr="003253E5">
        <w:rPr>
          <w:rFonts w:ascii="Times New Roman" w:hAnsi="Times New Roman" w:cs="Times New Roman"/>
          <w:sz w:val="24"/>
          <w:szCs w:val="24"/>
          <w:lang w:val="en-GB"/>
        </w:rPr>
        <w:t>.</w:t>
      </w:r>
      <w:r w:rsidR="00812511" w:rsidRPr="008F5862">
        <w:rPr>
          <w:rStyle w:val="FootnoteReference"/>
          <w:rFonts w:ascii="Times New Roman" w:hAnsi="Times New Roman" w:cs="Times New Roman"/>
          <w:sz w:val="24"/>
          <w:szCs w:val="24"/>
          <w:lang w:val="en-GB"/>
        </w:rPr>
        <w:footnoteReference w:id="7"/>
      </w:r>
      <w:r w:rsidR="00812511" w:rsidRPr="003253E5">
        <w:rPr>
          <w:rFonts w:ascii="Times New Roman" w:hAnsi="Times New Roman" w:cs="Times New Roman"/>
          <w:sz w:val="24"/>
          <w:szCs w:val="24"/>
          <w:lang w:val="en-GB"/>
        </w:rPr>
        <w:t xml:space="preserve">  PetroSA was clearly as exporter as defined because it was a party who was </w:t>
      </w:r>
      <w:r w:rsidR="00DB3E2A" w:rsidRPr="003253E5">
        <w:rPr>
          <w:rFonts w:ascii="Times New Roman" w:hAnsi="Times New Roman" w:cs="Times New Roman"/>
          <w:sz w:val="24"/>
          <w:szCs w:val="24"/>
          <w:lang w:val="en-GB"/>
        </w:rPr>
        <w:t>“</w:t>
      </w:r>
      <w:r w:rsidR="00812511" w:rsidRPr="003253E5">
        <w:rPr>
          <w:rFonts w:ascii="Times New Roman" w:hAnsi="Times New Roman" w:cs="Times New Roman"/>
          <w:i/>
          <w:iCs/>
          <w:sz w:val="24"/>
          <w:szCs w:val="24"/>
          <w:lang w:val="en-GB"/>
        </w:rPr>
        <w:t>beneficially interested</w:t>
      </w:r>
      <w:r w:rsidR="00812511">
        <w:rPr>
          <w:rStyle w:val="FootnoteReference"/>
          <w:rFonts w:ascii="Times New Roman" w:hAnsi="Times New Roman" w:cs="Times New Roman"/>
          <w:i/>
          <w:iCs/>
          <w:sz w:val="24"/>
          <w:szCs w:val="24"/>
          <w:lang w:val="en-GB"/>
        </w:rPr>
        <w:footnoteReference w:id="8"/>
      </w:r>
      <w:r w:rsidR="00812511" w:rsidRPr="003253E5">
        <w:rPr>
          <w:rFonts w:ascii="Times New Roman" w:hAnsi="Times New Roman" w:cs="Times New Roman"/>
          <w:i/>
          <w:iCs/>
          <w:sz w:val="24"/>
          <w:szCs w:val="24"/>
          <w:lang w:val="en-GB"/>
        </w:rPr>
        <w:t xml:space="preserve"> in any way whatever in any goods exported</w:t>
      </w:r>
      <w:r w:rsidR="00DB3E2A" w:rsidRPr="003253E5">
        <w:rPr>
          <w:rFonts w:ascii="Times New Roman" w:hAnsi="Times New Roman" w:cs="Times New Roman"/>
          <w:sz w:val="24"/>
          <w:szCs w:val="24"/>
          <w:lang w:val="en-GB"/>
        </w:rPr>
        <w:t>”</w:t>
      </w:r>
      <w:r w:rsidR="00812511" w:rsidRPr="003253E5">
        <w:rPr>
          <w:rFonts w:ascii="Times New Roman" w:hAnsi="Times New Roman" w:cs="Times New Roman"/>
          <w:sz w:val="24"/>
          <w:szCs w:val="24"/>
          <w:lang w:val="en-GB"/>
        </w:rPr>
        <w:t>.  PetroSA had various terms of payment with its customers, some of which were on a credit basis so that it retained a beneficial interest in the goods at the time of export.  Moreover, the INCOTERM (2010), which PetroSA agreed with its customers since 2014 was on a free carrier (</w:t>
      </w:r>
      <w:r w:rsidR="00DB3E2A" w:rsidRPr="003253E5">
        <w:rPr>
          <w:rFonts w:ascii="Times New Roman" w:hAnsi="Times New Roman" w:cs="Times New Roman"/>
          <w:sz w:val="24"/>
          <w:szCs w:val="24"/>
          <w:lang w:val="en-GB"/>
        </w:rPr>
        <w:t>“</w:t>
      </w:r>
      <w:r w:rsidR="00812511" w:rsidRPr="003253E5">
        <w:rPr>
          <w:rFonts w:ascii="Times New Roman" w:hAnsi="Times New Roman" w:cs="Times New Roman"/>
          <w:b/>
          <w:bCs/>
          <w:sz w:val="24"/>
          <w:szCs w:val="24"/>
          <w:lang w:val="en-GB"/>
        </w:rPr>
        <w:t>FCA</w:t>
      </w:r>
      <w:r w:rsidR="00DB3E2A" w:rsidRPr="003253E5">
        <w:rPr>
          <w:rFonts w:ascii="Times New Roman" w:hAnsi="Times New Roman" w:cs="Times New Roman"/>
          <w:sz w:val="24"/>
          <w:szCs w:val="24"/>
          <w:lang w:val="en-GB"/>
        </w:rPr>
        <w:t>”</w:t>
      </w:r>
      <w:r w:rsidR="00812511" w:rsidRPr="003253E5">
        <w:rPr>
          <w:rFonts w:ascii="Times New Roman" w:hAnsi="Times New Roman" w:cs="Times New Roman"/>
          <w:sz w:val="24"/>
          <w:szCs w:val="24"/>
          <w:lang w:val="en-GB"/>
        </w:rPr>
        <w:t>) basis in terms of which the seller carry out and pay for all export and transit clearance formalities.  The seller (PetroSA) was therefore responsible for the export.</w:t>
      </w:r>
    </w:p>
    <w:p w14:paraId="16BD34DB" w14:textId="7D362DD0" w:rsidR="001B3104"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1A57D1">
        <w:rPr>
          <w:rFonts w:ascii="Times New Roman" w:hAnsi="Times New Roman" w:cs="Times New Roman"/>
          <w:sz w:val="24"/>
          <w:szCs w:val="24"/>
          <w:lang w:val="en-GB"/>
        </w:rPr>
        <w:t>28.3.</w:t>
      </w:r>
      <w:r w:rsidRPr="001A57D1">
        <w:rPr>
          <w:rFonts w:ascii="Times New Roman" w:hAnsi="Times New Roman" w:cs="Times New Roman"/>
          <w:sz w:val="24"/>
          <w:szCs w:val="24"/>
          <w:lang w:val="en-GB"/>
        </w:rPr>
        <w:tab/>
      </w:r>
      <w:r w:rsidR="00812511" w:rsidRPr="003253E5">
        <w:rPr>
          <w:rFonts w:ascii="Times New Roman" w:hAnsi="Times New Roman" w:cs="Times New Roman"/>
          <w:sz w:val="24"/>
          <w:szCs w:val="24"/>
          <w:lang w:val="en-GB"/>
        </w:rPr>
        <w:t>PetroSA disclosed that it was not using its own transport and obtain copies of the ROG licences at the time of exports.  The name and registration number of the ROG was recorded in the road freight manifest.  PetroSA contends that there is no reason to doubt that the transporters nominated were not in fact being utilised as the transporters for the consignments concerned.</w:t>
      </w:r>
      <w:r w:rsidR="00812511" w:rsidRPr="008F5862">
        <w:rPr>
          <w:rStyle w:val="FootnoteReference"/>
          <w:rFonts w:ascii="Times New Roman" w:hAnsi="Times New Roman" w:cs="Times New Roman"/>
          <w:sz w:val="24"/>
          <w:szCs w:val="24"/>
          <w:lang w:val="en-GB"/>
        </w:rPr>
        <w:footnoteReference w:id="9"/>
      </w:r>
      <w:r w:rsidR="00812511" w:rsidRPr="003253E5">
        <w:rPr>
          <w:rFonts w:ascii="Times New Roman" w:hAnsi="Times New Roman" w:cs="Times New Roman"/>
          <w:sz w:val="24"/>
          <w:szCs w:val="24"/>
          <w:lang w:val="en-GB"/>
        </w:rPr>
        <w:t xml:space="preserve">  In my view, had this issue been properly raised it may have created problems for PetroSA.  But it shows how difficult it is to deal with matters not raised in the letter of  intent, but many years down the line in the answering affidavit.  It ought to have been raised during the audit process.</w:t>
      </w:r>
    </w:p>
    <w:p w14:paraId="4B646D57" w14:textId="47A254F6" w:rsidR="00577246"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[29]</w:t>
      </w:r>
      <w:r w:rsidRPr="008F5862">
        <w:rPr>
          <w:rFonts w:ascii="Times New Roman" w:hAnsi="Times New Roman" w:cs="Times New Roman"/>
          <w:sz w:val="24"/>
          <w:szCs w:val="24"/>
          <w:lang w:val="en-GB"/>
        </w:rPr>
        <w:tab/>
      </w:r>
      <w:r w:rsidR="00494EF7" w:rsidRPr="003253E5">
        <w:rPr>
          <w:rFonts w:ascii="Times New Roman" w:hAnsi="Times New Roman" w:cs="Times New Roman"/>
          <w:sz w:val="24"/>
          <w:szCs w:val="24"/>
          <w:lang w:val="en-GB"/>
        </w:rPr>
        <w:t>I now turn to deal separately with Findings 2 and 3, as per the letter</w:t>
      </w:r>
      <w:r w:rsidR="000A0E07" w:rsidRPr="003253E5">
        <w:rPr>
          <w:rFonts w:ascii="Times New Roman" w:hAnsi="Times New Roman" w:cs="Times New Roman"/>
          <w:sz w:val="24"/>
          <w:szCs w:val="24"/>
          <w:lang w:val="en-GB"/>
        </w:rPr>
        <w:t>s</w:t>
      </w:r>
      <w:r w:rsidR="00494EF7" w:rsidRPr="003253E5">
        <w:rPr>
          <w:rFonts w:ascii="Times New Roman" w:hAnsi="Times New Roman" w:cs="Times New Roman"/>
          <w:sz w:val="24"/>
          <w:szCs w:val="24"/>
          <w:lang w:val="en-GB"/>
        </w:rPr>
        <w:t xml:space="preserve"> of </w:t>
      </w:r>
      <w:r w:rsidR="000A0E07" w:rsidRPr="003253E5">
        <w:rPr>
          <w:rFonts w:ascii="Times New Roman" w:hAnsi="Times New Roman" w:cs="Times New Roman"/>
          <w:sz w:val="24"/>
          <w:szCs w:val="24"/>
          <w:lang w:val="en-GB"/>
        </w:rPr>
        <w:t xml:space="preserve">intent and </w:t>
      </w:r>
      <w:r w:rsidR="00494EF7" w:rsidRPr="003253E5">
        <w:rPr>
          <w:rFonts w:ascii="Times New Roman" w:hAnsi="Times New Roman" w:cs="Times New Roman"/>
          <w:sz w:val="24"/>
          <w:szCs w:val="24"/>
          <w:lang w:val="en-GB"/>
        </w:rPr>
        <w:t>demand.</w:t>
      </w:r>
    </w:p>
    <w:p w14:paraId="01BCCAB1" w14:textId="2560705F" w:rsidR="000C632F" w:rsidRPr="008F5862" w:rsidRDefault="005745E5" w:rsidP="002B6011">
      <w:pPr>
        <w:pStyle w:val="Heading1"/>
        <w:spacing w:line="240" w:lineRule="auto"/>
        <w:rPr>
          <w:lang w:val="en-GB"/>
        </w:rPr>
      </w:pPr>
      <w:r w:rsidRPr="008F5862">
        <w:rPr>
          <w:lang w:val="en-GB"/>
        </w:rPr>
        <w:t>Finding 2</w:t>
      </w:r>
    </w:p>
    <w:p w14:paraId="1077A220" w14:textId="4564363F" w:rsidR="00650365" w:rsidRPr="008F5862" w:rsidRDefault="003253E5" w:rsidP="003253E5">
      <w:pPr>
        <w:pStyle w:val="Heading2"/>
        <w:numPr>
          <w:ilvl w:val="0"/>
          <w:numId w:val="0"/>
        </w:numPr>
        <w:ind w:left="851" w:hanging="851"/>
        <w:rPr>
          <w:lang w:val="en-GB"/>
        </w:rPr>
      </w:pPr>
      <w:r w:rsidRPr="008F5862">
        <w:rPr>
          <w:u w:val="none"/>
          <w:lang w:val="en-GB"/>
        </w:rPr>
        <w:t>(i)</w:t>
      </w:r>
      <w:r w:rsidRPr="008F5862">
        <w:rPr>
          <w:u w:val="none"/>
          <w:lang w:val="en-GB"/>
        </w:rPr>
        <w:tab/>
      </w:r>
      <w:r w:rsidR="00650365" w:rsidRPr="008F5862">
        <w:rPr>
          <w:lang w:val="en-GB"/>
        </w:rPr>
        <w:t>The original determination</w:t>
      </w:r>
      <w:r w:rsidR="001A57D1">
        <w:rPr>
          <w:lang w:val="en-GB"/>
        </w:rPr>
        <w:t xml:space="preserve"> as per the letter of intent and letter of demand</w:t>
      </w:r>
    </w:p>
    <w:p w14:paraId="4A5F0CDB" w14:textId="06D57132" w:rsidR="00EE092D"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[30]</w:t>
      </w:r>
      <w:r w:rsidRPr="008F5862">
        <w:rPr>
          <w:rFonts w:ascii="Times New Roman" w:hAnsi="Times New Roman" w:cs="Times New Roman"/>
          <w:sz w:val="24"/>
          <w:szCs w:val="24"/>
          <w:lang w:val="en-GB"/>
        </w:rPr>
        <w:tab/>
      </w:r>
      <w:r w:rsidR="00EE092D" w:rsidRPr="003253E5">
        <w:rPr>
          <w:rFonts w:ascii="Times New Roman" w:hAnsi="Times New Roman" w:cs="Times New Roman"/>
          <w:sz w:val="24"/>
          <w:szCs w:val="24"/>
          <w:lang w:val="en-GB"/>
        </w:rPr>
        <w:t xml:space="preserve">The determination in the letter of </w:t>
      </w:r>
      <w:r w:rsidR="001A57D1" w:rsidRPr="003253E5">
        <w:rPr>
          <w:rFonts w:ascii="Times New Roman" w:hAnsi="Times New Roman" w:cs="Times New Roman"/>
          <w:sz w:val="24"/>
          <w:szCs w:val="24"/>
          <w:lang w:val="en-GB"/>
        </w:rPr>
        <w:t>intent followed by the letter of demand</w:t>
      </w:r>
      <w:r w:rsidR="00EE092D" w:rsidRPr="003253E5">
        <w:rPr>
          <w:rFonts w:ascii="Times New Roman" w:hAnsi="Times New Roman" w:cs="Times New Roman"/>
          <w:sz w:val="24"/>
          <w:szCs w:val="24"/>
          <w:lang w:val="en-GB"/>
        </w:rPr>
        <w:t xml:space="preserve"> in respect of </w:t>
      </w:r>
      <w:r w:rsidR="00812511" w:rsidRPr="003253E5">
        <w:rPr>
          <w:rFonts w:ascii="Times New Roman" w:hAnsi="Times New Roman" w:cs="Times New Roman"/>
          <w:sz w:val="24"/>
          <w:szCs w:val="24"/>
          <w:lang w:val="en-GB"/>
        </w:rPr>
        <w:t>Finding </w:t>
      </w:r>
      <w:r w:rsidR="005745E5" w:rsidRPr="003253E5">
        <w:rPr>
          <w:rFonts w:ascii="Times New Roman" w:hAnsi="Times New Roman" w:cs="Times New Roman"/>
          <w:sz w:val="24"/>
          <w:szCs w:val="24"/>
          <w:lang w:val="en-GB"/>
        </w:rPr>
        <w:t>2</w:t>
      </w:r>
      <w:r w:rsidR="00EE092D" w:rsidRPr="003253E5">
        <w:rPr>
          <w:rFonts w:ascii="Times New Roman" w:hAnsi="Times New Roman" w:cs="Times New Roman"/>
          <w:sz w:val="24"/>
          <w:szCs w:val="24"/>
          <w:lang w:val="en-GB"/>
        </w:rPr>
        <w:t xml:space="preserve"> </w:t>
      </w:r>
      <w:r w:rsidR="008307F6" w:rsidRPr="003253E5">
        <w:rPr>
          <w:rFonts w:ascii="Times New Roman" w:hAnsi="Times New Roman" w:cs="Times New Roman"/>
          <w:sz w:val="24"/>
          <w:szCs w:val="24"/>
          <w:lang w:val="en-GB"/>
        </w:rPr>
        <w:t>wa</w:t>
      </w:r>
      <w:r w:rsidR="00EE092D" w:rsidRPr="003253E5">
        <w:rPr>
          <w:rFonts w:ascii="Times New Roman" w:hAnsi="Times New Roman" w:cs="Times New Roman"/>
          <w:sz w:val="24"/>
          <w:szCs w:val="24"/>
          <w:lang w:val="en-GB"/>
        </w:rPr>
        <w:t xml:space="preserve">s that PetroSA did not submit a request for approval to the relevant excise office in order to submit affidavits as proof of export in the absence of the relevant original export documentation. </w:t>
      </w:r>
    </w:p>
    <w:p w14:paraId="45EC4B54" w14:textId="79A80564" w:rsidR="00EE092D"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[31]</w:t>
      </w:r>
      <w:r w:rsidRPr="008F5862">
        <w:rPr>
          <w:rFonts w:ascii="Times New Roman" w:hAnsi="Times New Roman" w:cs="Times New Roman"/>
          <w:sz w:val="24"/>
          <w:szCs w:val="24"/>
          <w:lang w:val="en-GB"/>
        </w:rPr>
        <w:tab/>
      </w:r>
      <w:r w:rsidR="003D4A6E" w:rsidRPr="003253E5">
        <w:rPr>
          <w:rFonts w:ascii="Times New Roman" w:hAnsi="Times New Roman" w:cs="Times New Roman"/>
          <w:sz w:val="24"/>
          <w:szCs w:val="24"/>
          <w:lang w:val="en-GB"/>
        </w:rPr>
        <w:t xml:space="preserve">The requirements to substantiate </w:t>
      </w:r>
      <w:r w:rsidR="00A8307D" w:rsidRPr="003253E5">
        <w:rPr>
          <w:rFonts w:ascii="Times New Roman" w:hAnsi="Times New Roman" w:cs="Times New Roman"/>
          <w:sz w:val="24"/>
          <w:szCs w:val="24"/>
          <w:lang w:val="en-GB"/>
        </w:rPr>
        <w:t>a set-off are contained in the Rules, more particularly in Rule</w:t>
      </w:r>
      <w:r w:rsidR="00C411EF" w:rsidRPr="003253E5">
        <w:rPr>
          <w:rFonts w:ascii="Times New Roman" w:hAnsi="Times New Roman" w:cs="Times New Roman"/>
          <w:sz w:val="24"/>
          <w:szCs w:val="24"/>
          <w:lang w:val="en-GB"/>
        </w:rPr>
        <w:t> </w:t>
      </w:r>
      <w:r w:rsidR="00A8307D" w:rsidRPr="003253E5">
        <w:rPr>
          <w:rFonts w:ascii="Times New Roman" w:hAnsi="Times New Roman" w:cs="Times New Roman"/>
          <w:sz w:val="24"/>
          <w:szCs w:val="24"/>
          <w:lang w:val="en-GB"/>
        </w:rPr>
        <w:t xml:space="preserve">19A4.04(b)(ii)(ff).  This Rule requires duly completed copies of forms SAD 500 and 502 to accompany the monthly account in support of set-off of the duty against the amount due and payable on that account, or an application for a refund </w:t>
      </w:r>
      <w:r w:rsidR="00C42262" w:rsidRPr="003253E5">
        <w:rPr>
          <w:rFonts w:ascii="Times New Roman" w:hAnsi="Times New Roman" w:cs="Times New Roman"/>
          <w:sz w:val="24"/>
          <w:szCs w:val="24"/>
          <w:lang w:val="en-GB"/>
        </w:rPr>
        <w:t xml:space="preserve">of duty </w:t>
      </w:r>
      <w:r w:rsidR="00A8307D" w:rsidRPr="003253E5">
        <w:rPr>
          <w:rFonts w:ascii="Times New Roman" w:hAnsi="Times New Roman" w:cs="Times New Roman"/>
          <w:sz w:val="24"/>
          <w:szCs w:val="24"/>
          <w:lang w:val="en-GB"/>
        </w:rPr>
        <w:t>by the licensed distributor.</w:t>
      </w:r>
    </w:p>
    <w:p w14:paraId="181CDF53" w14:textId="162E52C9" w:rsidR="00C42262"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[32]</w:t>
      </w:r>
      <w:r w:rsidRPr="008F5862">
        <w:rPr>
          <w:rFonts w:ascii="Times New Roman" w:hAnsi="Times New Roman" w:cs="Times New Roman"/>
          <w:sz w:val="24"/>
          <w:szCs w:val="24"/>
          <w:lang w:val="en-GB"/>
        </w:rPr>
        <w:tab/>
      </w:r>
      <w:r w:rsidR="00FA0AB0" w:rsidRPr="003253E5">
        <w:rPr>
          <w:rFonts w:ascii="Times New Roman" w:hAnsi="Times New Roman" w:cs="Times New Roman"/>
          <w:sz w:val="24"/>
          <w:szCs w:val="24"/>
          <w:lang w:val="en-GB"/>
        </w:rPr>
        <w:t>I</w:t>
      </w:r>
      <w:r w:rsidR="00C42262" w:rsidRPr="003253E5">
        <w:rPr>
          <w:rFonts w:ascii="Times New Roman" w:hAnsi="Times New Roman" w:cs="Times New Roman"/>
          <w:sz w:val="24"/>
          <w:szCs w:val="24"/>
          <w:lang w:val="en-GB"/>
        </w:rPr>
        <w:t>t is a requirement to obtain proof of the export as prescribed in the Rules.</w:t>
      </w:r>
    </w:p>
    <w:p w14:paraId="707DB759" w14:textId="03AF3180" w:rsidR="00C42262"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[33]</w:t>
      </w:r>
      <w:r w:rsidRPr="008F5862">
        <w:rPr>
          <w:rFonts w:ascii="Times New Roman" w:hAnsi="Times New Roman" w:cs="Times New Roman"/>
          <w:sz w:val="24"/>
          <w:szCs w:val="24"/>
          <w:lang w:val="en-GB"/>
        </w:rPr>
        <w:tab/>
      </w:r>
      <w:r w:rsidR="00C42262" w:rsidRPr="003253E5">
        <w:rPr>
          <w:rFonts w:ascii="Times New Roman" w:hAnsi="Times New Roman" w:cs="Times New Roman"/>
          <w:sz w:val="24"/>
          <w:szCs w:val="24"/>
          <w:lang w:val="en-GB"/>
        </w:rPr>
        <w:t>However, Rule</w:t>
      </w:r>
      <w:r w:rsidR="00C411EF" w:rsidRPr="003253E5">
        <w:rPr>
          <w:rFonts w:ascii="Times New Roman" w:hAnsi="Times New Roman" w:cs="Times New Roman"/>
          <w:sz w:val="24"/>
          <w:szCs w:val="24"/>
          <w:lang w:val="en-GB"/>
        </w:rPr>
        <w:t> </w:t>
      </w:r>
      <w:r w:rsidR="00C42262" w:rsidRPr="003253E5">
        <w:rPr>
          <w:rFonts w:ascii="Times New Roman" w:hAnsi="Times New Roman" w:cs="Times New Roman"/>
          <w:sz w:val="24"/>
          <w:szCs w:val="24"/>
          <w:lang w:val="en-GB"/>
        </w:rPr>
        <w:t>19A4.04(e</w:t>
      </w:r>
      <w:r w:rsidR="0047222E" w:rsidRPr="003253E5">
        <w:rPr>
          <w:rFonts w:ascii="Times New Roman" w:hAnsi="Times New Roman" w:cs="Times New Roman"/>
          <w:sz w:val="24"/>
          <w:szCs w:val="24"/>
          <w:lang w:val="en-GB"/>
        </w:rPr>
        <w:t>) makes provision for an affidavit to be provided in circumstances where a person cannot produce a document containing a statement or declaration.  Prior approval is not required for reliance on the Rule.</w:t>
      </w:r>
      <w:r w:rsidR="009C1B69" w:rsidRPr="008F5862">
        <w:rPr>
          <w:rStyle w:val="FootnoteReference"/>
          <w:rFonts w:ascii="Times New Roman" w:hAnsi="Times New Roman" w:cs="Times New Roman"/>
          <w:sz w:val="24"/>
          <w:szCs w:val="24"/>
          <w:lang w:val="en-GB"/>
        </w:rPr>
        <w:footnoteReference w:id="10"/>
      </w:r>
      <w:r w:rsidR="0047222E" w:rsidRPr="003253E5">
        <w:rPr>
          <w:rFonts w:ascii="Times New Roman" w:hAnsi="Times New Roman" w:cs="Times New Roman"/>
          <w:sz w:val="24"/>
          <w:szCs w:val="24"/>
          <w:lang w:val="en-GB"/>
        </w:rPr>
        <w:t xml:space="preserve">  The Rule merely requires the </w:t>
      </w:r>
      <w:r w:rsidR="005C78DD" w:rsidRPr="003253E5">
        <w:rPr>
          <w:rFonts w:ascii="Times New Roman" w:hAnsi="Times New Roman" w:cs="Times New Roman"/>
          <w:sz w:val="24"/>
          <w:szCs w:val="24"/>
          <w:lang w:val="en-GB"/>
        </w:rPr>
        <w:t>person, for purposes of acquittal</w:t>
      </w:r>
      <w:r w:rsidR="00FA0AB0" w:rsidRPr="003253E5">
        <w:rPr>
          <w:rFonts w:ascii="Times New Roman" w:hAnsi="Times New Roman" w:cs="Times New Roman"/>
          <w:sz w:val="24"/>
          <w:szCs w:val="24"/>
          <w:lang w:val="en-GB"/>
        </w:rPr>
        <w:t>,</w:t>
      </w:r>
      <w:r w:rsidR="005C78DD" w:rsidRPr="003253E5">
        <w:rPr>
          <w:rFonts w:ascii="Times New Roman" w:hAnsi="Times New Roman" w:cs="Times New Roman"/>
          <w:sz w:val="24"/>
          <w:szCs w:val="24"/>
          <w:lang w:val="en-GB"/>
        </w:rPr>
        <w:t xml:space="preserve"> to furnish an affidavit regarding the circumstances in which the document was lost; a declaration to the effect that the goods were duly delivered at the destination in the prescribed bill of entry or other document under cover of which the goods were removed; and supporting documentary evidence as may be required by the Commissioner.  </w:t>
      </w:r>
      <w:r w:rsidR="00FA0AB0" w:rsidRPr="003253E5">
        <w:rPr>
          <w:rFonts w:ascii="Times New Roman" w:hAnsi="Times New Roman" w:cs="Times New Roman"/>
          <w:sz w:val="24"/>
          <w:szCs w:val="24"/>
          <w:lang w:val="en-GB"/>
        </w:rPr>
        <w:t xml:space="preserve">This </w:t>
      </w:r>
      <w:r w:rsidR="008307F6" w:rsidRPr="003253E5">
        <w:rPr>
          <w:rFonts w:ascii="Times New Roman" w:hAnsi="Times New Roman" w:cs="Times New Roman"/>
          <w:sz w:val="24"/>
          <w:szCs w:val="24"/>
          <w:lang w:val="en-GB"/>
        </w:rPr>
        <w:t>procedure was relied upon</w:t>
      </w:r>
      <w:r w:rsidR="00FA0AB0" w:rsidRPr="003253E5">
        <w:rPr>
          <w:rFonts w:ascii="Times New Roman" w:hAnsi="Times New Roman" w:cs="Times New Roman"/>
          <w:sz w:val="24"/>
          <w:szCs w:val="24"/>
          <w:lang w:val="en-GB"/>
        </w:rPr>
        <w:t xml:space="preserve"> by PetroSA.</w:t>
      </w:r>
    </w:p>
    <w:p w14:paraId="015361E5" w14:textId="3230D98A" w:rsidR="005C78DD"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[34]</w:t>
      </w:r>
      <w:r w:rsidRPr="008F5862">
        <w:rPr>
          <w:rFonts w:ascii="Times New Roman" w:hAnsi="Times New Roman" w:cs="Times New Roman"/>
          <w:sz w:val="24"/>
          <w:szCs w:val="24"/>
          <w:lang w:val="en-GB"/>
        </w:rPr>
        <w:tab/>
      </w:r>
      <w:r w:rsidR="005C78DD" w:rsidRPr="003253E5">
        <w:rPr>
          <w:rFonts w:ascii="Times New Roman" w:hAnsi="Times New Roman" w:cs="Times New Roman"/>
          <w:sz w:val="24"/>
          <w:szCs w:val="24"/>
          <w:lang w:val="en-GB"/>
        </w:rPr>
        <w:t xml:space="preserve">In the letter of intent, SARS </w:t>
      </w:r>
      <w:r w:rsidR="008307F6" w:rsidRPr="003253E5">
        <w:rPr>
          <w:rFonts w:ascii="Times New Roman" w:hAnsi="Times New Roman" w:cs="Times New Roman"/>
          <w:sz w:val="24"/>
          <w:szCs w:val="24"/>
          <w:lang w:val="en-GB"/>
        </w:rPr>
        <w:t>contended</w:t>
      </w:r>
      <w:r w:rsidR="005C78DD" w:rsidRPr="003253E5">
        <w:rPr>
          <w:rFonts w:ascii="Times New Roman" w:hAnsi="Times New Roman" w:cs="Times New Roman"/>
          <w:sz w:val="24"/>
          <w:szCs w:val="24"/>
          <w:lang w:val="en-GB"/>
        </w:rPr>
        <w:t xml:space="preserve"> that</w:t>
      </w:r>
      <w:r w:rsidR="008307F6" w:rsidRPr="003253E5">
        <w:rPr>
          <w:rFonts w:ascii="Times New Roman" w:hAnsi="Times New Roman" w:cs="Times New Roman"/>
          <w:sz w:val="24"/>
          <w:szCs w:val="24"/>
          <w:lang w:val="en-GB"/>
        </w:rPr>
        <w:t>,</w:t>
      </w:r>
      <w:r w:rsidR="005C78DD" w:rsidRPr="003253E5">
        <w:rPr>
          <w:rFonts w:ascii="Times New Roman" w:hAnsi="Times New Roman" w:cs="Times New Roman"/>
          <w:sz w:val="24"/>
          <w:szCs w:val="24"/>
          <w:lang w:val="en-GB"/>
        </w:rPr>
        <w:t xml:space="preserve"> without supporting documentation</w:t>
      </w:r>
      <w:r w:rsidR="00F30769" w:rsidRPr="003253E5">
        <w:rPr>
          <w:rFonts w:ascii="Times New Roman" w:hAnsi="Times New Roman" w:cs="Times New Roman"/>
          <w:sz w:val="24"/>
          <w:szCs w:val="24"/>
          <w:lang w:val="en-GB"/>
        </w:rPr>
        <w:t>,</w:t>
      </w:r>
      <w:r w:rsidR="005C78DD" w:rsidRPr="003253E5">
        <w:rPr>
          <w:rFonts w:ascii="Times New Roman" w:hAnsi="Times New Roman" w:cs="Times New Roman"/>
          <w:sz w:val="24"/>
          <w:szCs w:val="24"/>
          <w:lang w:val="en-GB"/>
        </w:rPr>
        <w:t xml:space="preserve"> the case officers could not verify that the product was duly exported. </w:t>
      </w:r>
    </w:p>
    <w:p w14:paraId="5E759C52" w14:textId="3655A89C" w:rsidR="00C42262"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[35]</w:t>
      </w:r>
      <w:r w:rsidRPr="008F5862">
        <w:rPr>
          <w:rFonts w:ascii="Times New Roman" w:hAnsi="Times New Roman" w:cs="Times New Roman"/>
          <w:sz w:val="24"/>
          <w:szCs w:val="24"/>
          <w:lang w:val="en-GB"/>
        </w:rPr>
        <w:tab/>
      </w:r>
      <w:r w:rsidR="005C78DD" w:rsidRPr="003253E5">
        <w:rPr>
          <w:rFonts w:ascii="Times New Roman" w:hAnsi="Times New Roman" w:cs="Times New Roman"/>
          <w:sz w:val="24"/>
          <w:szCs w:val="24"/>
          <w:lang w:val="en-GB"/>
        </w:rPr>
        <w:t>PetroSA disputed this in the letter of response, indicating that the affidavits included copies of the export documents.</w:t>
      </w:r>
    </w:p>
    <w:p w14:paraId="2D938763" w14:textId="5D974F05" w:rsidR="005C78DD"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[36]</w:t>
      </w:r>
      <w:r w:rsidRPr="008F5862">
        <w:rPr>
          <w:rFonts w:ascii="Times New Roman" w:hAnsi="Times New Roman" w:cs="Times New Roman"/>
          <w:sz w:val="24"/>
          <w:szCs w:val="24"/>
          <w:lang w:val="en-GB"/>
        </w:rPr>
        <w:tab/>
      </w:r>
      <w:r w:rsidR="005C78DD" w:rsidRPr="003253E5">
        <w:rPr>
          <w:rFonts w:ascii="Times New Roman" w:hAnsi="Times New Roman" w:cs="Times New Roman"/>
          <w:sz w:val="24"/>
          <w:szCs w:val="24"/>
          <w:lang w:val="en-GB"/>
        </w:rPr>
        <w:t>In my view compliance, or at least material compliance</w:t>
      </w:r>
      <w:r w:rsidR="00F30769" w:rsidRPr="003253E5">
        <w:rPr>
          <w:rFonts w:ascii="Times New Roman" w:hAnsi="Times New Roman" w:cs="Times New Roman"/>
          <w:sz w:val="24"/>
          <w:szCs w:val="24"/>
          <w:lang w:val="en-GB"/>
        </w:rPr>
        <w:t>,</w:t>
      </w:r>
      <w:r w:rsidR="005C78DD" w:rsidRPr="003253E5">
        <w:rPr>
          <w:rFonts w:ascii="Times New Roman" w:hAnsi="Times New Roman" w:cs="Times New Roman"/>
          <w:sz w:val="24"/>
          <w:szCs w:val="24"/>
          <w:lang w:val="en-GB"/>
        </w:rPr>
        <w:t xml:space="preserve"> with the requirements of the Rules were proven by PetroSA</w:t>
      </w:r>
      <w:r w:rsidR="00F30769" w:rsidRPr="003253E5">
        <w:rPr>
          <w:rFonts w:ascii="Times New Roman" w:hAnsi="Times New Roman" w:cs="Times New Roman"/>
          <w:sz w:val="24"/>
          <w:szCs w:val="24"/>
          <w:lang w:val="en-GB"/>
        </w:rPr>
        <w:t>.  This was done</w:t>
      </w:r>
      <w:r w:rsidR="005C78DD" w:rsidRPr="003253E5">
        <w:rPr>
          <w:rFonts w:ascii="Times New Roman" w:hAnsi="Times New Roman" w:cs="Times New Roman"/>
          <w:sz w:val="24"/>
          <w:szCs w:val="24"/>
          <w:lang w:val="en-GB"/>
        </w:rPr>
        <w:t xml:space="preserve"> through provision</w:t>
      </w:r>
      <w:r w:rsidR="006420E4" w:rsidRPr="003253E5">
        <w:rPr>
          <w:rFonts w:ascii="Times New Roman" w:hAnsi="Times New Roman" w:cs="Times New Roman"/>
          <w:sz w:val="24"/>
          <w:szCs w:val="24"/>
          <w:lang w:val="en-GB"/>
        </w:rPr>
        <w:t xml:space="preserve"> of affidavits</w:t>
      </w:r>
      <w:r w:rsidR="00F30769" w:rsidRPr="003253E5">
        <w:rPr>
          <w:rFonts w:ascii="Times New Roman" w:hAnsi="Times New Roman" w:cs="Times New Roman"/>
          <w:sz w:val="24"/>
          <w:szCs w:val="24"/>
          <w:lang w:val="en-GB"/>
        </w:rPr>
        <w:t>;</w:t>
      </w:r>
      <w:r w:rsidR="006420E4" w:rsidRPr="003253E5">
        <w:rPr>
          <w:rFonts w:ascii="Times New Roman" w:hAnsi="Times New Roman" w:cs="Times New Roman"/>
          <w:sz w:val="24"/>
          <w:szCs w:val="24"/>
          <w:lang w:val="en-GB"/>
        </w:rPr>
        <w:t xml:space="preserve"> </w:t>
      </w:r>
      <w:r w:rsidR="005C78DD" w:rsidRPr="003253E5">
        <w:rPr>
          <w:rFonts w:ascii="Times New Roman" w:hAnsi="Times New Roman" w:cs="Times New Roman"/>
          <w:sz w:val="24"/>
          <w:szCs w:val="24"/>
          <w:lang w:val="en-GB"/>
        </w:rPr>
        <w:t>the SAD500 and SAD502 documents</w:t>
      </w:r>
      <w:r w:rsidR="00F30769" w:rsidRPr="003253E5">
        <w:rPr>
          <w:rFonts w:ascii="Times New Roman" w:hAnsi="Times New Roman" w:cs="Times New Roman"/>
          <w:sz w:val="24"/>
          <w:szCs w:val="24"/>
          <w:lang w:val="en-GB"/>
        </w:rPr>
        <w:t>;</w:t>
      </w:r>
      <w:r w:rsidR="005C78DD" w:rsidRPr="003253E5">
        <w:rPr>
          <w:rFonts w:ascii="Times New Roman" w:hAnsi="Times New Roman" w:cs="Times New Roman"/>
          <w:sz w:val="24"/>
          <w:szCs w:val="24"/>
          <w:lang w:val="en-GB"/>
        </w:rPr>
        <w:t xml:space="preserve"> the CN1 and CN2 documents</w:t>
      </w:r>
      <w:r w:rsidR="00F30769" w:rsidRPr="003253E5">
        <w:rPr>
          <w:rFonts w:ascii="Times New Roman" w:hAnsi="Times New Roman" w:cs="Times New Roman"/>
          <w:sz w:val="24"/>
          <w:szCs w:val="24"/>
          <w:lang w:val="en-GB"/>
        </w:rPr>
        <w:t>;</w:t>
      </w:r>
      <w:r w:rsidR="005C78DD" w:rsidRPr="003253E5">
        <w:rPr>
          <w:rFonts w:ascii="Times New Roman" w:hAnsi="Times New Roman" w:cs="Times New Roman"/>
          <w:sz w:val="24"/>
          <w:szCs w:val="24"/>
          <w:lang w:val="en-GB"/>
        </w:rPr>
        <w:t xml:space="preserve"> as well as the delivery notes which recorded that fuel had been delivered in the country of destination.  </w:t>
      </w:r>
      <w:r w:rsidR="00590CA9" w:rsidRPr="003253E5">
        <w:rPr>
          <w:rFonts w:ascii="Times New Roman" w:hAnsi="Times New Roman" w:cs="Times New Roman"/>
          <w:sz w:val="24"/>
          <w:szCs w:val="24"/>
          <w:lang w:val="en-GB"/>
        </w:rPr>
        <w:t xml:space="preserve">The purpose of the requirement, which is to provide proof of removal or export, was achieved.  In </w:t>
      </w:r>
      <w:r w:rsidR="00590CA9" w:rsidRPr="003253E5">
        <w:rPr>
          <w:rFonts w:ascii="Times New Roman" w:hAnsi="Times New Roman" w:cs="Times New Roman"/>
          <w:b/>
          <w:bCs/>
          <w:sz w:val="24"/>
          <w:szCs w:val="24"/>
          <w:u w:val="single"/>
          <w:lang w:val="en-GB"/>
        </w:rPr>
        <w:t>Allpay Consolidated Investment Holdings (Pty) Ltd and Others v Chief Executive Officer of the South African Social Security Agency and Others</w:t>
      </w:r>
      <w:r w:rsidR="00590CA9" w:rsidRPr="003253E5">
        <w:rPr>
          <w:rFonts w:ascii="Times New Roman" w:hAnsi="Times New Roman" w:cs="Times New Roman"/>
          <w:sz w:val="24"/>
          <w:szCs w:val="24"/>
          <w:lang w:val="en-GB"/>
        </w:rPr>
        <w:t xml:space="preserve"> (2014 (1) SA 604 (CC); 2014 (1) BCLR 1 (CC), the Constitutional Court held as follows:</w:t>
      </w:r>
    </w:p>
    <w:p w14:paraId="00BE79AD" w14:textId="05F291BF" w:rsidR="00590CA9" w:rsidRPr="008F5862" w:rsidRDefault="00DB3E2A" w:rsidP="00255A08">
      <w:pPr>
        <w:pStyle w:val="Quote"/>
        <w:spacing w:after="600"/>
        <w:rPr>
          <w:lang w:val="en-GB"/>
        </w:rPr>
      </w:pPr>
      <w:r>
        <w:rPr>
          <w:lang w:val="en-GB"/>
        </w:rPr>
        <w:t>“</w:t>
      </w:r>
      <w:r w:rsidR="00590CA9" w:rsidRPr="008F5862">
        <w:rPr>
          <w:lang w:val="en-GB"/>
        </w:rPr>
        <w:t>[30]</w:t>
      </w:r>
      <w:r w:rsidR="004F7C26" w:rsidRPr="008F5862">
        <w:rPr>
          <w:lang w:val="en-GB"/>
        </w:rPr>
        <w:tab/>
      </w:r>
      <w:r w:rsidR="00590CA9" w:rsidRPr="008F5862">
        <w:rPr>
          <w:lang w:val="en-GB"/>
        </w:rPr>
        <w:t xml:space="preserve">Assessing the materiality of compliance with legal requirements in our administrative law is, fortunately, an exercise unencumbered by excessive formality.  It was not always so.  Formal distinctions were drawn between </w:t>
      </w:r>
      <w:r>
        <w:rPr>
          <w:lang w:val="en-GB"/>
        </w:rPr>
        <w:t>“</w:t>
      </w:r>
      <w:r w:rsidR="00590CA9" w:rsidRPr="008F5862">
        <w:rPr>
          <w:lang w:val="en-GB"/>
        </w:rPr>
        <w:t>mandatory</w:t>
      </w:r>
      <w:r>
        <w:rPr>
          <w:lang w:val="en-GB"/>
        </w:rPr>
        <w:t>”</w:t>
      </w:r>
      <w:r w:rsidR="00590CA9" w:rsidRPr="008F5862">
        <w:rPr>
          <w:lang w:val="en-GB"/>
        </w:rPr>
        <w:t xml:space="preserve"> or </w:t>
      </w:r>
      <w:r>
        <w:rPr>
          <w:lang w:val="en-GB"/>
        </w:rPr>
        <w:t>“</w:t>
      </w:r>
      <w:r w:rsidR="00590CA9" w:rsidRPr="008F5862">
        <w:rPr>
          <w:lang w:val="en-GB"/>
        </w:rPr>
        <w:t>peremptory</w:t>
      </w:r>
      <w:r>
        <w:rPr>
          <w:lang w:val="en-GB"/>
        </w:rPr>
        <w:t>”</w:t>
      </w:r>
      <w:r w:rsidR="00590CA9" w:rsidRPr="008F5862">
        <w:rPr>
          <w:lang w:val="en-GB"/>
        </w:rPr>
        <w:t xml:space="preserve"> provisions on the one hand and </w:t>
      </w:r>
      <w:r>
        <w:rPr>
          <w:lang w:val="en-GB"/>
        </w:rPr>
        <w:t>“</w:t>
      </w:r>
      <w:r w:rsidR="00590CA9" w:rsidRPr="008F5862">
        <w:rPr>
          <w:lang w:val="en-GB"/>
        </w:rPr>
        <w:t>directory</w:t>
      </w:r>
      <w:r>
        <w:rPr>
          <w:lang w:val="en-GB"/>
        </w:rPr>
        <w:t>”</w:t>
      </w:r>
      <w:r w:rsidR="00590CA9" w:rsidRPr="008F5862">
        <w:rPr>
          <w:lang w:val="en-GB"/>
        </w:rPr>
        <w:t xml:space="preserve"> ones on the other, the former needing strict compliance on pain of non-validity, and the latter only substantial compliance or even non-compliance. That strict mechanical approach has been discarded. </w:t>
      </w:r>
      <w:r w:rsidR="00590CA9" w:rsidRPr="008F5862">
        <w:rPr>
          <w:u w:val="single"/>
          <w:lang w:val="en-GB"/>
        </w:rPr>
        <w:t>Although a number of factors need to be considered in this kind of enquiry, the central element is to link the question of compliance to the purpose of the provision</w:t>
      </w:r>
      <w:r w:rsidR="00590CA9" w:rsidRPr="008F5862">
        <w:rPr>
          <w:lang w:val="en-GB"/>
        </w:rPr>
        <w:t>.</w:t>
      </w:r>
      <w:r>
        <w:rPr>
          <w:lang w:val="en-GB"/>
        </w:rPr>
        <w:t>”</w:t>
      </w:r>
      <w:r w:rsidR="00976DA2" w:rsidRPr="008F5862">
        <w:rPr>
          <w:lang w:val="en-GB"/>
        </w:rPr>
        <w:t xml:space="preserve"> (my underlining)</w:t>
      </w:r>
    </w:p>
    <w:p w14:paraId="63B0362D" w14:textId="4F817844" w:rsidR="00C42262"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[37]</w:t>
      </w:r>
      <w:r w:rsidRPr="008F5862">
        <w:rPr>
          <w:rFonts w:ascii="Times New Roman" w:hAnsi="Times New Roman" w:cs="Times New Roman"/>
          <w:sz w:val="24"/>
          <w:szCs w:val="24"/>
          <w:lang w:val="en-GB"/>
        </w:rPr>
        <w:tab/>
      </w:r>
      <w:r w:rsidR="00F30769" w:rsidRPr="003253E5">
        <w:rPr>
          <w:rFonts w:ascii="Times New Roman" w:hAnsi="Times New Roman" w:cs="Times New Roman"/>
          <w:sz w:val="24"/>
          <w:szCs w:val="24"/>
          <w:lang w:val="en-GB"/>
        </w:rPr>
        <w:t>In the present instance</w:t>
      </w:r>
      <w:r w:rsidR="00590CA9" w:rsidRPr="003253E5">
        <w:rPr>
          <w:rFonts w:ascii="Times New Roman" w:hAnsi="Times New Roman" w:cs="Times New Roman"/>
          <w:sz w:val="24"/>
          <w:szCs w:val="24"/>
          <w:lang w:val="en-GB"/>
        </w:rPr>
        <w:t xml:space="preserve"> I am satisfied that there was material compliance with the requirements in the Rules and the purpose of the requirements (to </w:t>
      </w:r>
      <w:r w:rsidR="00187964" w:rsidRPr="003253E5">
        <w:rPr>
          <w:rFonts w:ascii="Times New Roman" w:hAnsi="Times New Roman" w:cs="Times New Roman"/>
          <w:sz w:val="24"/>
          <w:szCs w:val="24"/>
          <w:lang w:val="en-GB"/>
        </w:rPr>
        <w:t xml:space="preserve">provide proof of removal / export) was achieved.  </w:t>
      </w:r>
    </w:p>
    <w:p w14:paraId="51FE7093" w14:textId="2F5E8172" w:rsidR="00650365" w:rsidRPr="008F5862" w:rsidRDefault="003253E5" w:rsidP="003253E5">
      <w:pPr>
        <w:pStyle w:val="Heading2"/>
        <w:numPr>
          <w:ilvl w:val="0"/>
          <w:numId w:val="0"/>
        </w:numPr>
        <w:ind w:left="851" w:hanging="851"/>
        <w:rPr>
          <w:lang w:val="en-GB"/>
        </w:rPr>
      </w:pPr>
      <w:r w:rsidRPr="008F5862">
        <w:rPr>
          <w:u w:val="none"/>
          <w:lang w:val="en-GB"/>
        </w:rPr>
        <w:t>(ii)</w:t>
      </w:r>
      <w:r w:rsidRPr="008F5862">
        <w:rPr>
          <w:u w:val="none"/>
          <w:lang w:val="en-GB"/>
        </w:rPr>
        <w:tab/>
      </w:r>
      <w:r w:rsidR="00650365" w:rsidRPr="008F5862">
        <w:rPr>
          <w:lang w:val="en-GB"/>
        </w:rPr>
        <w:t>The new determination in the letter of demand</w:t>
      </w:r>
    </w:p>
    <w:p w14:paraId="5A1E83C2" w14:textId="7380CDA7" w:rsidR="00BB5243"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[38]</w:t>
      </w:r>
      <w:r w:rsidRPr="008F5862">
        <w:rPr>
          <w:rFonts w:ascii="Times New Roman" w:hAnsi="Times New Roman" w:cs="Times New Roman"/>
          <w:sz w:val="24"/>
          <w:szCs w:val="24"/>
          <w:lang w:val="en-GB"/>
        </w:rPr>
        <w:tab/>
      </w:r>
      <w:r w:rsidR="00667C45" w:rsidRPr="003253E5">
        <w:rPr>
          <w:rFonts w:ascii="Times New Roman" w:hAnsi="Times New Roman" w:cs="Times New Roman"/>
          <w:sz w:val="24"/>
          <w:szCs w:val="24"/>
          <w:lang w:val="en-GB"/>
        </w:rPr>
        <w:t xml:space="preserve">PetroSA contends that, in the letter of demand, SARS made further determinations in respect of </w:t>
      </w:r>
      <w:r w:rsidR="00812511" w:rsidRPr="003253E5">
        <w:rPr>
          <w:rFonts w:ascii="Times New Roman" w:hAnsi="Times New Roman" w:cs="Times New Roman"/>
          <w:sz w:val="24"/>
          <w:szCs w:val="24"/>
          <w:lang w:val="en-GB"/>
        </w:rPr>
        <w:t>Finding</w:t>
      </w:r>
      <w:r w:rsidR="005745E5" w:rsidRPr="003253E5">
        <w:rPr>
          <w:rFonts w:ascii="Times New Roman" w:hAnsi="Times New Roman" w:cs="Times New Roman"/>
          <w:sz w:val="24"/>
          <w:szCs w:val="24"/>
          <w:lang w:val="en-GB"/>
        </w:rPr>
        <w:t> 2</w:t>
      </w:r>
      <w:r w:rsidR="00667C45" w:rsidRPr="003253E5">
        <w:rPr>
          <w:rFonts w:ascii="Times New Roman" w:hAnsi="Times New Roman" w:cs="Times New Roman"/>
          <w:sz w:val="24"/>
          <w:szCs w:val="24"/>
          <w:lang w:val="en-GB"/>
        </w:rPr>
        <w:t>, which had not been foreshadowed in the letter of intent.  Th</w:t>
      </w:r>
      <w:r w:rsidR="00F30769" w:rsidRPr="003253E5">
        <w:rPr>
          <w:rFonts w:ascii="Times New Roman" w:hAnsi="Times New Roman" w:cs="Times New Roman"/>
          <w:sz w:val="24"/>
          <w:szCs w:val="24"/>
          <w:lang w:val="en-GB"/>
        </w:rPr>
        <w:t>is</w:t>
      </w:r>
      <w:r w:rsidR="00667C45" w:rsidRPr="003253E5">
        <w:rPr>
          <w:rFonts w:ascii="Times New Roman" w:hAnsi="Times New Roman" w:cs="Times New Roman"/>
          <w:sz w:val="24"/>
          <w:szCs w:val="24"/>
          <w:lang w:val="en-GB"/>
        </w:rPr>
        <w:t xml:space="preserve"> relates to the entities Masiquame</w:t>
      </w:r>
      <w:r w:rsidR="00BB5243" w:rsidRPr="003253E5">
        <w:rPr>
          <w:rFonts w:ascii="Times New Roman" w:hAnsi="Times New Roman" w:cs="Times New Roman"/>
          <w:sz w:val="24"/>
          <w:szCs w:val="24"/>
          <w:lang w:val="en-GB"/>
        </w:rPr>
        <w:t xml:space="preserve"> (sic), World Marine, Seraj, AIP Botswana, Afrolink and Mount Mero and</w:t>
      </w:r>
      <w:r w:rsidR="00F30769" w:rsidRPr="003253E5">
        <w:rPr>
          <w:rFonts w:ascii="Times New Roman" w:hAnsi="Times New Roman" w:cs="Times New Roman"/>
          <w:sz w:val="24"/>
          <w:szCs w:val="24"/>
          <w:lang w:val="en-GB"/>
        </w:rPr>
        <w:t xml:space="preserve"> more particular</w:t>
      </w:r>
      <w:r w:rsidR="00DE0709" w:rsidRPr="003253E5">
        <w:rPr>
          <w:rFonts w:ascii="Times New Roman" w:hAnsi="Times New Roman" w:cs="Times New Roman"/>
          <w:sz w:val="24"/>
          <w:szCs w:val="24"/>
          <w:lang w:val="en-GB"/>
        </w:rPr>
        <w:t>l</w:t>
      </w:r>
      <w:r w:rsidR="00F30769" w:rsidRPr="003253E5">
        <w:rPr>
          <w:rFonts w:ascii="Times New Roman" w:hAnsi="Times New Roman" w:cs="Times New Roman"/>
          <w:sz w:val="24"/>
          <w:szCs w:val="24"/>
          <w:lang w:val="en-GB"/>
        </w:rPr>
        <w:t>y</w:t>
      </w:r>
      <w:r w:rsidR="00BB5243" w:rsidRPr="003253E5">
        <w:rPr>
          <w:rFonts w:ascii="Times New Roman" w:hAnsi="Times New Roman" w:cs="Times New Roman"/>
          <w:sz w:val="24"/>
          <w:szCs w:val="24"/>
          <w:lang w:val="en-GB"/>
        </w:rPr>
        <w:t xml:space="preserve"> claims by SARS that in respect of these clients there were further deficiencies in the documentation, namely that:</w:t>
      </w:r>
    </w:p>
    <w:p w14:paraId="2E86125B" w14:textId="16597134" w:rsidR="00667C45"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38.1.</w:t>
      </w:r>
      <w:r w:rsidRPr="008F5862">
        <w:rPr>
          <w:rFonts w:ascii="Times New Roman" w:hAnsi="Times New Roman" w:cs="Times New Roman"/>
          <w:sz w:val="24"/>
          <w:szCs w:val="24"/>
          <w:lang w:val="en-GB"/>
        </w:rPr>
        <w:tab/>
      </w:r>
      <w:r w:rsidR="00BB5243" w:rsidRPr="003253E5">
        <w:rPr>
          <w:rFonts w:ascii="Times New Roman" w:hAnsi="Times New Roman" w:cs="Times New Roman"/>
          <w:sz w:val="24"/>
          <w:szCs w:val="24"/>
          <w:lang w:val="en-GB"/>
        </w:rPr>
        <w:t>dates as per the SAD500 (field18) differ</w:t>
      </w:r>
      <w:r w:rsidR="00742B94" w:rsidRPr="003253E5">
        <w:rPr>
          <w:rFonts w:ascii="Times New Roman" w:hAnsi="Times New Roman" w:cs="Times New Roman"/>
          <w:sz w:val="24"/>
          <w:szCs w:val="24"/>
          <w:lang w:val="en-GB"/>
        </w:rPr>
        <w:t>ed</w:t>
      </w:r>
      <w:r w:rsidR="00BB5243" w:rsidRPr="003253E5">
        <w:rPr>
          <w:rFonts w:ascii="Times New Roman" w:hAnsi="Times New Roman" w:cs="Times New Roman"/>
          <w:sz w:val="24"/>
          <w:szCs w:val="24"/>
          <w:lang w:val="en-GB"/>
        </w:rPr>
        <w:t xml:space="preserve"> from the declaration dates on the SAD 500;</w:t>
      </w:r>
    </w:p>
    <w:p w14:paraId="03E74F3E" w14:textId="15909981" w:rsidR="00BB5243"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38.2.</w:t>
      </w:r>
      <w:r w:rsidRPr="008F5862">
        <w:rPr>
          <w:rFonts w:ascii="Times New Roman" w:hAnsi="Times New Roman" w:cs="Times New Roman"/>
          <w:sz w:val="24"/>
          <w:szCs w:val="24"/>
          <w:lang w:val="en-GB"/>
        </w:rPr>
        <w:tab/>
      </w:r>
      <w:r w:rsidR="00BB5243" w:rsidRPr="003253E5">
        <w:rPr>
          <w:rFonts w:ascii="Times New Roman" w:hAnsi="Times New Roman" w:cs="Times New Roman"/>
          <w:sz w:val="24"/>
          <w:szCs w:val="24"/>
          <w:lang w:val="en-GB"/>
        </w:rPr>
        <w:t>numerous transactions did not have customs stamps on the export side;</w:t>
      </w:r>
    </w:p>
    <w:p w14:paraId="5576AE34" w14:textId="12029BA6" w:rsidR="00BB5243"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38.3.</w:t>
      </w:r>
      <w:r w:rsidRPr="008F5862">
        <w:rPr>
          <w:rFonts w:ascii="Times New Roman" w:hAnsi="Times New Roman" w:cs="Times New Roman"/>
          <w:sz w:val="24"/>
          <w:szCs w:val="24"/>
          <w:lang w:val="en-GB"/>
        </w:rPr>
        <w:tab/>
      </w:r>
      <w:r w:rsidR="00BB5243" w:rsidRPr="003253E5">
        <w:rPr>
          <w:rFonts w:ascii="Times New Roman" w:hAnsi="Times New Roman" w:cs="Times New Roman"/>
          <w:sz w:val="24"/>
          <w:szCs w:val="24"/>
          <w:lang w:val="en-GB"/>
        </w:rPr>
        <w:t xml:space="preserve">for numerous transactions, the dates on the CN1 and CN2 are a few months apart; and </w:t>
      </w:r>
    </w:p>
    <w:p w14:paraId="501AEB51" w14:textId="763F8926" w:rsidR="00BB5243"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38.4.</w:t>
      </w:r>
      <w:r w:rsidRPr="008F5862">
        <w:rPr>
          <w:rFonts w:ascii="Times New Roman" w:hAnsi="Times New Roman" w:cs="Times New Roman"/>
          <w:sz w:val="24"/>
          <w:szCs w:val="24"/>
          <w:lang w:val="en-GB"/>
        </w:rPr>
        <w:tab/>
      </w:r>
      <w:r w:rsidR="00BB5243" w:rsidRPr="003253E5">
        <w:rPr>
          <w:rFonts w:ascii="Times New Roman" w:hAnsi="Times New Roman" w:cs="Times New Roman"/>
          <w:sz w:val="24"/>
          <w:szCs w:val="24"/>
          <w:lang w:val="en-GB"/>
        </w:rPr>
        <w:t xml:space="preserve">no commercial invoices were provided for various transactions.   </w:t>
      </w:r>
    </w:p>
    <w:p w14:paraId="58E361FE" w14:textId="7644B4F3" w:rsidR="00A57490"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[39]</w:t>
      </w:r>
      <w:r w:rsidRPr="008F5862">
        <w:rPr>
          <w:rFonts w:ascii="Times New Roman" w:hAnsi="Times New Roman" w:cs="Times New Roman"/>
          <w:sz w:val="24"/>
          <w:szCs w:val="24"/>
          <w:lang w:val="en-GB"/>
        </w:rPr>
        <w:tab/>
      </w:r>
      <w:r w:rsidR="00BB5243" w:rsidRPr="003253E5">
        <w:rPr>
          <w:rFonts w:ascii="Times New Roman" w:hAnsi="Times New Roman" w:cs="Times New Roman"/>
          <w:sz w:val="24"/>
          <w:szCs w:val="24"/>
          <w:lang w:val="en-GB"/>
        </w:rPr>
        <w:t>PetroSA contends that these determinations were made in a procedurally unfair manner and contrary to PAJA as it was never given an opportunity to deal with them</w:t>
      </w:r>
      <w:r w:rsidR="00F30769" w:rsidRPr="003253E5">
        <w:rPr>
          <w:rFonts w:ascii="Times New Roman" w:hAnsi="Times New Roman" w:cs="Times New Roman"/>
          <w:sz w:val="24"/>
          <w:szCs w:val="24"/>
          <w:lang w:val="en-GB"/>
        </w:rPr>
        <w:t xml:space="preserve"> in the letter of response</w:t>
      </w:r>
      <w:r w:rsidR="00BB5243" w:rsidRPr="003253E5">
        <w:rPr>
          <w:rFonts w:ascii="Times New Roman" w:hAnsi="Times New Roman" w:cs="Times New Roman"/>
          <w:sz w:val="24"/>
          <w:szCs w:val="24"/>
          <w:lang w:val="en-GB"/>
        </w:rPr>
        <w:t>.  PetroSA also contend</w:t>
      </w:r>
      <w:r w:rsidR="006245E0" w:rsidRPr="003253E5">
        <w:rPr>
          <w:rFonts w:ascii="Times New Roman" w:hAnsi="Times New Roman" w:cs="Times New Roman"/>
          <w:sz w:val="24"/>
          <w:szCs w:val="24"/>
          <w:lang w:val="en-GB"/>
        </w:rPr>
        <w:t>s</w:t>
      </w:r>
      <w:r w:rsidR="00BB5243" w:rsidRPr="003253E5">
        <w:rPr>
          <w:rFonts w:ascii="Times New Roman" w:hAnsi="Times New Roman" w:cs="Times New Roman"/>
          <w:sz w:val="24"/>
          <w:szCs w:val="24"/>
          <w:lang w:val="en-GB"/>
        </w:rPr>
        <w:t xml:space="preserve"> that some of these alleged shortcomings were formulated in an impermissibly vague manner.</w:t>
      </w:r>
    </w:p>
    <w:p w14:paraId="3087A097" w14:textId="6C7F6DBC" w:rsidR="00BB5243"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[40]</w:t>
      </w:r>
      <w:r w:rsidRPr="008F5862">
        <w:rPr>
          <w:rFonts w:ascii="Times New Roman" w:hAnsi="Times New Roman" w:cs="Times New Roman"/>
          <w:sz w:val="24"/>
          <w:szCs w:val="24"/>
          <w:lang w:val="en-GB"/>
        </w:rPr>
        <w:tab/>
      </w:r>
      <w:r w:rsidR="00A57490" w:rsidRPr="003253E5">
        <w:rPr>
          <w:rFonts w:ascii="Times New Roman" w:hAnsi="Times New Roman" w:cs="Times New Roman"/>
          <w:sz w:val="24"/>
          <w:szCs w:val="24"/>
          <w:lang w:val="en-GB"/>
        </w:rPr>
        <w:t>PetroSA nevertheless dealt with the alleged shortcomings in its founding affidavit.  A review under PAJA based on procedural fairness and</w:t>
      </w:r>
      <w:r w:rsidR="00742B94" w:rsidRPr="003253E5">
        <w:rPr>
          <w:rFonts w:ascii="Times New Roman" w:hAnsi="Times New Roman" w:cs="Times New Roman"/>
          <w:sz w:val="24"/>
          <w:szCs w:val="24"/>
          <w:lang w:val="en-GB"/>
        </w:rPr>
        <w:t xml:space="preserve"> impermissible</w:t>
      </w:r>
      <w:r w:rsidR="00A57490" w:rsidRPr="003253E5">
        <w:rPr>
          <w:rFonts w:ascii="Times New Roman" w:hAnsi="Times New Roman" w:cs="Times New Roman"/>
          <w:sz w:val="24"/>
          <w:szCs w:val="24"/>
          <w:lang w:val="en-GB"/>
        </w:rPr>
        <w:t xml:space="preserve"> vagueness is only brought in the alternative.  </w:t>
      </w:r>
    </w:p>
    <w:p w14:paraId="4F816B12" w14:textId="52E41A01" w:rsidR="000E5AAD"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[41]</w:t>
      </w:r>
      <w:r w:rsidRPr="008F5862">
        <w:rPr>
          <w:rFonts w:ascii="Times New Roman" w:hAnsi="Times New Roman" w:cs="Times New Roman"/>
          <w:sz w:val="24"/>
          <w:szCs w:val="24"/>
          <w:lang w:val="en-GB"/>
        </w:rPr>
        <w:tab/>
      </w:r>
      <w:r w:rsidR="00A57490" w:rsidRPr="003253E5">
        <w:rPr>
          <w:rFonts w:ascii="Times New Roman" w:hAnsi="Times New Roman" w:cs="Times New Roman"/>
          <w:sz w:val="24"/>
          <w:szCs w:val="24"/>
          <w:lang w:val="en-GB"/>
        </w:rPr>
        <w:t xml:space="preserve">I </w:t>
      </w:r>
      <w:r w:rsidR="00D35D75" w:rsidRPr="003253E5">
        <w:rPr>
          <w:rFonts w:ascii="Times New Roman" w:hAnsi="Times New Roman" w:cs="Times New Roman"/>
          <w:sz w:val="24"/>
          <w:szCs w:val="24"/>
          <w:lang w:val="en-GB"/>
        </w:rPr>
        <w:t xml:space="preserve">do not believe that the </w:t>
      </w:r>
      <w:r w:rsidR="00A57490" w:rsidRPr="003253E5">
        <w:rPr>
          <w:rFonts w:ascii="Times New Roman" w:hAnsi="Times New Roman" w:cs="Times New Roman"/>
          <w:sz w:val="24"/>
          <w:szCs w:val="24"/>
          <w:lang w:val="en-GB"/>
        </w:rPr>
        <w:t xml:space="preserve">shortcomings are material within the meaning of the term in </w:t>
      </w:r>
      <w:r w:rsidR="00A57490" w:rsidRPr="003253E5">
        <w:rPr>
          <w:rFonts w:ascii="Times New Roman" w:hAnsi="Times New Roman" w:cs="Times New Roman"/>
          <w:b/>
          <w:bCs/>
          <w:sz w:val="24"/>
          <w:szCs w:val="24"/>
          <w:u w:val="single"/>
          <w:lang w:val="en-GB"/>
        </w:rPr>
        <w:t>Allpay</w:t>
      </w:r>
      <w:r w:rsidR="00A57490" w:rsidRPr="003253E5">
        <w:rPr>
          <w:rFonts w:ascii="Times New Roman" w:hAnsi="Times New Roman" w:cs="Times New Roman"/>
          <w:sz w:val="24"/>
          <w:szCs w:val="24"/>
          <w:lang w:val="en-GB"/>
        </w:rPr>
        <w:t xml:space="preserve">. </w:t>
      </w:r>
      <w:r w:rsidR="000E5AAD" w:rsidRPr="003253E5">
        <w:rPr>
          <w:rFonts w:ascii="Times New Roman" w:hAnsi="Times New Roman" w:cs="Times New Roman"/>
          <w:sz w:val="24"/>
          <w:szCs w:val="24"/>
          <w:lang w:val="en-GB"/>
        </w:rPr>
        <w:t xml:space="preserve"> Certainly, given the following further</w:t>
      </w:r>
      <w:r w:rsidR="008E138B" w:rsidRPr="003253E5">
        <w:rPr>
          <w:rFonts w:ascii="Times New Roman" w:hAnsi="Times New Roman" w:cs="Times New Roman"/>
          <w:sz w:val="24"/>
          <w:szCs w:val="24"/>
          <w:lang w:val="en-GB"/>
        </w:rPr>
        <w:t xml:space="preserve"> evidence</w:t>
      </w:r>
      <w:r w:rsidR="000E5AAD" w:rsidRPr="003253E5">
        <w:rPr>
          <w:rFonts w:ascii="Times New Roman" w:hAnsi="Times New Roman" w:cs="Times New Roman"/>
          <w:sz w:val="24"/>
          <w:szCs w:val="24"/>
          <w:lang w:val="en-GB"/>
        </w:rPr>
        <w:t xml:space="preserve"> provided by PetroSA in the founding affidavit in the review, which were not </w:t>
      </w:r>
      <w:r w:rsidR="008E138B" w:rsidRPr="003253E5">
        <w:rPr>
          <w:rFonts w:ascii="Times New Roman" w:hAnsi="Times New Roman" w:cs="Times New Roman"/>
          <w:sz w:val="24"/>
          <w:szCs w:val="24"/>
          <w:lang w:val="en-GB"/>
        </w:rPr>
        <w:t xml:space="preserve">pertinently </w:t>
      </w:r>
      <w:r w:rsidR="000E5AAD" w:rsidRPr="003253E5">
        <w:rPr>
          <w:rFonts w:ascii="Times New Roman" w:hAnsi="Times New Roman" w:cs="Times New Roman"/>
          <w:sz w:val="24"/>
          <w:szCs w:val="24"/>
          <w:lang w:val="en-GB"/>
        </w:rPr>
        <w:t xml:space="preserve">disputed in the answering affidavits </w:t>
      </w:r>
      <w:r w:rsidR="0013112E" w:rsidRPr="003253E5">
        <w:rPr>
          <w:rFonts w:ascii="Times New Roman" w:hAnsi="Times New Roman" w:cs="Times New Roman"/>
          <w:sz w:val="24"/>
          <w:szCs w:val="24"/>
          <w:lang w:val="en-GB"/>
        </w:rPr>
        <w:t>or</w:t>
      </w:r>
      <w:r w:rsidR="000E5AAD" w:rsidRPr="003253E5">
        <w:rPr>
          <w:rFonts w:ascii="Times New Roman" w:hAnsi="Times New Roman" w:cs="Times New Roman"/>
          <w:sz w:val="24"/>
          <w:szCs w:val="24"/>
          <w:lang w:val="en-GB"/>
        </w:rPr>
        <w:t xml:space="preserve"> </w:t>
      </w:r>
      <w:r w:rsidR="008E138B" w:rsidRPr="003253E5">
        <w:rPr>
          <w:rFonts w:ascii="Times New Roman" w:hAnsi="Times New Roman" w:cs="Times New Roman"/>
          <w:sz w:val="24"/>
          <w:szCs w:val="24"/>
          <w:lang w:val="en-GB"/>
        </w:rPr>
        <w:t xml:space="preserve">at </w:t>
      </w:r>
      <w:r w:rsidR="000E5AAD" w:rsidRPr="003253E5">
        <w:rPr>
          <w:rFonts w:ascii="Times New Roman" w:hAnsi="Times New Roman" w:cs="Times New Roman"/>
          <w:sz w:val="24"/>
          <w:szCs w:val="24"/>
          <w:lang w:val="en-GB"/>
        </w:rPr>
        <w:t>the hearing, the</w:t>
      </w:r>
      <w:r w:rsidR="006245E0" w:rsidRPr="003253E5">
        <w:rPr>
          <w:rFonts w:ascii="Times New Roman" w:hAnsi="Times New Roman" w:cs="Times New Roman"/>
          <w:sz w:val="24"/>
          <w:szCs w:val="24"/>
          <w:lang w:val="en-GB"/>
        </w:rPr>
        <w:t xml:space="preserve"> new alleged</w:t>
      </w:r>
      <w:r w:rsidR="0013112E" w:rsidRPr="003253E5">
        <w:rPr>
          <w:rFonts w:ascii="Times New Roman" w:hAnsi="Times New Roman" w:cs="Times New Roman"/>
          <w:sz w:val="24"/>
          <w:szCs w:val="24"/>
          <w:lang w:val="en-GB"/>
        </w:rPr>
        <w:t xml:space="preserve"> irregularities</w:t>
      </w:r>
      <w:r w:rsidR="000E5AAD" w:rsidRPr="003253E5">
        <w:rPr>
          <w:rFonts w:ascii="Times New Roman" w:hAnsi="Times New Roman" w:cs="Times New Roman"/>
          <w:sz w:val="24"/>
          <w:szCs w:val="24"/>
          <w:lang w:val="en-GB"/>
        </w:rPr>
        <w:t xml:space="preserve"> cannot be regarded as material:</w:t>
      </w:r>
    </w:p>
    <w:p w14:paraId="573470DB" w14:textId="1587FEF9" w:rsidR="000E5AAD"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41.1.</w:t>
      </w:r>
      <w:r w:rsidRPr="008F5862">
        <w:rPr>
          <w:rFonts w:ascii="Times New Roman" w:hAnsi="Times New Roman" w:cs="Times New Roman"/>
          <w:sz w:val="24"/>
          <w:szCs w:val="24"/>
          <w:lang w:val="en-GB"/>
        </w:rPr>
        <w:tab/>
      </w:r>
      <w:r w:rsidR="000E5AAD" w:rsidRPr="003253E5">
        <w:rPr>
          <w:rFonts w:ascii="Times New Roman" w:hAnsi="Times New Roman" w:cs="Times New Roman"/>
          <w:sz w:val="24"/>
          <w:szCs w:val="24"/>
          <w:lang w:val="en-GB"/>
        </w:rPr>
        <w:t>The explanation for the differing dates on the SAD500 is that the one is the date of processing and the other the date of re-printing.</w:t>
      </w:r>
    </w:p>
    <w:p w14:paraId="501D4B33" w14:textId="5A3CFD5A" w:rsidR="000E5AAD"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41.2.</w:t>
      </w:r>
      <w:r w:rsidRPr="008F5862">
        <w:rPr>
          <w:rFonts w:ascii="Times New Roman" w:hAnsi="Times New Roman" w:cs="Times New Roman"/>
          <w:sz w:val="24"/>
          <w:szCs w:val="24"/>
          <w:lang w:val="en-GB"/>
        </w:rPr>
        <w:tab/>
      </w:r>
      <w:r w:rsidR="000E5AAD" w:rsidRPr="003253E5">
        <w:rPr>
          <w:rFonts w:ascii="Times New Roman" w:hAnsi="Times New Roman" w:cs="Times New Roman"/>
          <w:sz w:val="24"/>
          <w:szCs w:val="24"/>
          <w:lang w:val="en-GB"/>
        </w:rPr>
        <w:t>Modernisation of the acquittal system and the introduction of e-filing in 2013 meant that export documents are no longer stamped by SARS officials at the South African border.</w:t>
      </w:r>
    </w:p>
    <w:p w14:paraId="67DDF3E4" w14:textId="62980065" w:rsidR="00650365"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41.3.</w:t>
      </w:r>
      <w:r w:rsidRPr="008F5862">
        <w:rPr>
          <w:rFonts w:ascii="Times New Roman" w:hAnsi="Times New Roman" w:cs="Times New Roman"/>
          <w:sz w:val="24"/>
          <w:szCs w:val="24"/>
          <w:lang w:val="en-GB"/>
        </w:rPr>
        <w:tab/>
      </w:r>
      <w:r w:rsidR="000E5AAD" w:rsidRPr="003253E5">
        <w:rPr>
          <w:rFonts w:ascii="Times New Roman" w:hAnsi="Times New Roman" w:cs="Times New Roman"/>
          <w:sz w:val="24"/>
          <w:szCs w:val="24"/>
          <w:lang w:val="en-GB"/>
        </w:rPr>
        <w:t>The date on the CN1 is the assessment date and the one on the CN2 is the date of re-printing.</w:t>
      </w:r>
    </w:p>
    <w:p w14:paraId="51194406" w14:textId="0E400D02" w:rsidR="00650365"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41.4.</w:t>
      </w:r>
      <w:r w:rsidRPr="008F5862">
        <w:rPr>
          <w:rFonts w:ascii="Times New Roman" w:hAnsi="Times New Roman" w:cs="Times New Roman"/>
          <w:sz w:val="24"/>
          <w:szCs w:val="24"/>
          <w:lang w:val="en-GB"/>
        </w:rPr>
        <w:tab/>
      </w:r>
      <w:r w:rsidR="000E5AAD" w:rsidRPr="003253E5">
        <w:rPr>
          <w:rFonts w:ascii="Times New Roman" w:hAnsi="Times New Roman" w:cs="Times New Roman"/>
          <w:sz w:val="24"/>
          <w:szCs w:val="24"/>
          <w:lang w:val="en-GB"/>
        </w:rPr>
        <w:t xml:space="preserve">The commercial invoices were provided for transactions where this was queried </w:t>
      </w:r>
    </w:p>
    <w:p w14:paraId="569115DF" w14:textId="49B3C9E2" w:rsidR="00577246" w:rsidRPr="008F5862" w:rsidRDefault="003253E5" w:rsidP="003253E5">
      <w:pPr>
        <w:pStyle w:val="Heading2"/>
        <w:numPr>
          <w:ilvl w:val="0"/>
          <w:numId w:val="0"/>
        </w:numPr>
        <w:ind w:left="851" w:hanging="851"/>
        <w:rPr>
          <w:lang w:val="en-GB"/>
        </w:rPr>
      </w:pPr>
      <w:r w:rsidRPr="008F5862">
        <w:rPr>
          <w:u w:val="none"/>
          <w:lang w:val="en-GB"/>
        </w:rPr>
        <w:t>(iii)</w:t>
      </w:r>
      <w:r w:rsidRPr="008F5862">
        <w:rPr>
          <w:u w:val="none"/>
          <w:lang w:val="en-GB"/>
        </w:rPr>
        <w:tab/>
      </w:r>
      <w:r w:rsidR="00650365" w:rsidRPr="008F5862">
        <w:rPr>
          <w:lang w:val="en-GB"/>
        </w:rPr>
        <w:t xml:space="preserve">The </w:t>
      </w:r>
      <w:r w:rsidR="00577246" w:rsidRPr="008F5862">
        <w:rPr>
          <w:lang w:val="en-GB"/>
        </w:rPr>
        <w:t>review</w:t>
      </w:r>
      <w:r w:rsidR="004037B3" w:rsidRPr="008F5862">
        <w:rPr>
          <w:lang w:val="en-GB"/>
        </w:rPr>
        <w:t xml:space="preserve"> (</w:t>
      </w:r>
      <w:r w:rsidR="00650365" w:rsidRPr="008F5862">
        <w:rPr>
          <w:lang w:val="en-GB"/>
        </w:rPr>
        <w:t xml:space="preserve">brought in the </w:t>
      </w:r>
      <w:r w:rsidR="004037B3" w:rsidRPr="008F5862">
        <w:rPr>
          <w:lang w:val="en-GB"/>
        </w:rPr>
        <w:t>alternative</w:t>
      </w:r>
      <w:r w:rsidR="004037B3" w:rsidRPr="008F5862">
        <w:rPr>
          <w:u w:val="none"/>
          <w:lang w:val="en-GB"/>
        </w:rPr>
        <w:t>)</w:t>
      </w:r>
    </w:p>
    <w:p w14:paraId="63095DC5" w14:textId="4EBD27FC" w:rsidR="008E138B"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[42]</w:t>
      </w:r>
      <w:r w:rsidRPr="008F5862">
        <w:rPr>
          <w:rFonts w:ascii="Times New Roman" w:hAnsi="Times New Roman" w:cs="Times New Roman"/>
          <w:sz w:val="24"/>
          <w:szCs w:val="24"/>
          <w:lang w:val="en-GB"/>
        </w:rPr>
        <w:tab/>
      </w:r>
      <w:r w:rsidR="008E138B" w:rsidRPr="003253E5">
        <w:rPr>
          <w:rFonts w:ascii="Times New Roman" w:hAnsi="Times New Roman" w:cs="Times New Roman"/>
          <w:sz w:val="24"/>
          <w:szCs w:val="24"/>
          <w:lang w:val="en-GB"/>
        </w:rPr>
        <w:t>My finding on the merits disposes of the need to decide the</w:t>
      </w:r>
      <w:r w:rsidR="006245E0" w:rsidRPr="003253E5">
        <w:rPr>
          <w:rFonts w:ascii="Times New Roman" w:hAnsi="Times New Roman" w:cs="Times New Roman"/>
          <w:sz w:val="24"/>
          <w:szCs w:val="24"/>
          <w:lang w:val="en-GB"/>
        </w:rPr>
        <w:t xml:space="preserve"> PAJA</w:t>
      </w:r>
      <w:r w:rsidR="008E138B" w:rsidRPr="003253E5">
        <w:rPr>
          <w:rFonts w:ascii="Times New Roman" w:hAnsi="Times New Roman" w:cs="Times New Roman"/>
          <w:sz w:val="24"/>
          <w:szCs w:val="24"/>
          <w:lang w:val="en-GB"/>
        </w:rPr>
        <w:t xml:space="preserve"> review, which was brought in the alternative.  </w:t>
      </w:r>
      <w:r w:rsidR="006245E0" w:rsidRPr="003253E5">
        <w:rPr>
          <w:rFonts w:ascii="Times New Roman" w:hAnsi="Times New Roman" w:cs="Times New Roman"/>
          <w:sz w:val="24"/>
          <w:szCs w:val="24"/>
          <w:lang w:val="en-GB"/>
        </w:rPr>
        <w:t>I should however add</w:t>
      </w:r>
      <w:r w:rsidR="008E138B" w:rsidRPr="003253E5">
        <w:rPr>
          <w:rFonts w:ascii="Times New Roman" w:hAnsi="Times New Roman" w:cs="Times New Roman"/>
          <w:sz w:val="24"/>
          <w:szCs w:val="24"/>
          <w:lang w:val="en-GB"/>
        </w:rPr>
        <w:t xml:space="preserve"> that, contrary to what was contended by counsel for SARS as the hearing of the matter, there can</w:t>
      </w:r>
      <w:r w:rsidR="009B2EA6" w:rsidRPr="003253E5">
        <w:rPr>
          <w:rFonts w:ascii="Times New Roman" w:hAnsi="Times New Roman" w:cs="Times New Roman"/>
          <w:sz w:val="24"/>
          <w:szCs w:val="24"/>
          <w:lang w:val="en-GB"/>
        </w:rPr>
        <w:t>,</w:t>
      </w:r>
      <w:r w:rsidR="008E138B" w:rsidRPr="003253E5">
        <w:rPr>
          <w:rFonts w:ascii="Times New Roman" w:hAnsi="Times New Roman" w:cs="Times New Roman"/>
          <w:sz w:val="24"/>
          <w:szCs w:val="24"/>
          <w:lang w:val="en-GB"/>
        </w:rPr>
        <w:t xml:space="preserve"> in my view</w:t>
      </w:r>
      <w:r w:rsidR="009B2EA6" w:rsidRPr="003253E5">
        <w:rPr>
          <w:rFonts w:ascii="Times New Roman" w:hAnsi="Times New Roman" w:cs="Times New Roman"/>
          <w:sz w:val="24"/>
          <w:szCs w:val="24"/>
          <w:lang w:val="en-GB"/>
        </w:rPr>
        <w:t>,</w:t>
      </w:r>
      <w:r w:rsidR="008E138B" w:rsidRPr="003253E5">
        <w:rPr>
          <w:rFonts w:ascii="Times New Roman" w:hAnsi="Times New Roman" w:cs="Times New Roman"/>
          <w:sz w:val="24"/>
          <w:szCs w:val="24"/>
          <w:lang w:val="en-GB"/>
        </w:rPr>
        <w:t xml:space="preserve"> be no doubt that a determination made by SARS amounts to administrative action as contemplated in PAJA</w:t>
      </w:r>
      <w:r w:rsidR="006245E0" w:rsidRPr="003253E5">
        <w:rPr>
          <w:rFonts w:ascii="Times New Roman" w:hAnsi="Times New Roman" w:cs="Times New Roman"/>
          <w:sz w:val="24"/>
          <w:szCs w:val="24"/>
          <w:lang w:val="en-GB"/>
        </w:rPr>
        <w:t>.</w:t>
      </w:r>
      <w:r w:rsidR="000E623B" w:rsidRPr="008F5862">
        <w:rPr>
          <w:rStyle w:val="FootnoteReference"/>
          <w:rFonts w:ascii="Times New Roman" w:hAnsi="Times New Roman" w:cs="Times New Roman"/>
          <w:sz w:val="24"/>
          <w:szCs w:val="24"/>
          <w:lang w:val="en-GB"/>
        </w:rPr>
        <w:footnoteReference w:id="11"/>
      </w:r>
      <w:r w:rsidR="006245E0" w:rsidRPr="003253E5">
        <w:rPr>
          <w:rFonts w:ascii="Times New Roman" w:hAnsi="Times New Roman" w:cs="Times New Roman"/>
          <w:sz w:val="24"/>
          <w:szCs w:val="24"/>
          <w:lang w:val="en-GB"/>
        </w:rPr>
        <w:t xml:space="preserve"> </w:t>
      </w:r>
      <w:r w:rsidR="008E138B" w:rsidRPr="003253E5">
        <w:rPr>
          <w:rFonts w:ascii="Times New Roman" w:hAnsi="Times New Roman" w:cs="Times New Roman"/>
          <w:sz w:val="24"/>
          <w:szCs w:val="24"/>
          <w:lang w:val="en-GB"/>
        </w:rPr>
        <w:t xml:space="preserve"> </w:t>
      </w:r>
      <w:r w:rsidR="006245E0" w:rsidRPr="003253E5">
        <w:rPr>
          <w:rFonts w:ascii="Times New Roman" w:hAnsi="Times New Roman" w:cs="Times New Roman"/>
          <w:sz w:val="24"/>
          <w:szCs w:val="24"/>
          <w:lang w:val="en-GB"/>
        </w:rPr>
        <w:t xml:space="preserve">It </w:t>
      </w:r>
      <w:r w:rsidR="008E138B" w:rsidRPr="003253E5">
        <w:rPr>
          <w:rFonts w:ascii="Times New Roman" w:hAnsi="Times New Roman" w:cs="Times New Roman"/>
          <w:sz w:val="24"/>
          <w:szCs w:val="24"/>
          <w:lang w:val="en-GB"/>
        </w:rPr>
        <w:t>would theoretically be possible for an appeal and review to be brought</w:t>
      </w:r>
      <w:r w:rsidR="000C632F" w:rsidRPr="003253E5">
        <w:rPr>
          <w:rFonts w:ascii="Times New Roman" w:hAnsi="Times New Roman" w:cs="Times New Roman"/>
          <w:sz w:val="24"/>
          <w:szCs w:val="24"/>
          <w:lang w:val="en-GB"/>
        </w:rPr>
        <w:t xml:space="preserve"> simultaneously</w:t>
      </w:r>
      <w:r w:rsidR="008E138B" w:rsidRPr="003253E5">
        <w:rPr>
          <w:rFonts w:ascii="Times New Roman" w:hAnsi="Times New Roman" w:cs="Times New Roman"/>
          <w:sz w:val="24"/>
          <w:szCs w:val="24"/>
          <w:lang w:val="en-GB"/>
        </w:rPr>
        <w:t xml:space="preserve"> in respect of </w:t>
      </w:r>
      <w:r w:rsidR="000C632F" w:rsidRPr="003253E5">
        <w:rPr>
          <w:rFonts w:ascii="Times New Roman" w:hAnsi="Times New Roman" w:cs="Times New Roman"/>
          <w:sz w:val="24"/>
          <w:szCs w:val="24"/>
          <w:lang w:val="en-GB"/>
        </w:rPr>
        <w:t>different aspects of the</w:t>
      </w:r>
      <w:r w:rsidR="008E138B" w:rsidRPr="003253E5">
        <w:rPr>
          <w:rFonts w:ascii="Times New Roman" w:hAnsi="Times New Roman" w:cs="Times New Roman"/>
          <w:sz w:val="24"/>
          <w:szCs w:val="24"/>
          <w:lang w:val="en-GB"/>
        </w:rPr>
        <w:t xml:space="preserve"> same determination</w:t>
      </w:r>
      <w:r w:rsidR="000C632F" w:rsidRPr="003253E5">
        <w:rPr>
          <w:rFonts w:ascii="Times New Roman" w:hAnsi="Times New Roman" w:cs="Times New Roman"/>
          <w:sz w:val="24"/>
          <w:szCs w:val="24"/>
          <w:lang w:val="en-GB"/>
        </w:rPr>
        <w:t xml:space="preserve">. </w:t>
      </w:r>
    </w:p>
    <w:p w14:paraId="3FB0CB70" w14:textId="51BC1425" w:rsidR="00577246"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[43]</w:t>
      </w:r>
      <w:r w:rsidRPr="008F5862">
        <w:rPr>
          <w:rFonts w:ascii="Times New Roman" w:hAnsi="Times New Roman" w:cs="Times New Roman"/>
          <w:sz w:val="24"/>
          <w:szCs w:val="24"/>
          <w:lang w:val="en-GB"/>
        </w:rPr>
        <w:tab/>
      </w:r>
      <w:r w:rsidR="000C632F" w:rsidRPr="003253E5">
        <w:rPr>
          <w:rFonts w:ascii="Times New Roman" w:hAnsi="Times New Roman" w:cs="Times New Roman"/>
          <w:sz w:val="24"/>
          <w:szCs w:val="24"/>
          <w:lang w:val="en-GB"/>
        </w:rPr>
        <w:t xml:space="preserve">There is however </w:t>
      </w:r>
      <w:r w:rsidR="008E138B" w:rsidRPr="003253E5">
        <w:rPr>
          <w:rFonts w:ascii="Times New Roman" w:hAnsi="Times New Roman" w:cs="Times New Roman"/>
          <w:sz w:val="24"/>
          <w:szCs w:val="24"/>
          <w:lang w:val="en-GB"/>
        </w:rPr>
        <w:t xml:space="preserve">a lot to be </w:t>
      </w:r>
      <w:r w:rsidR="000C632F" w:rsidRPr="003253E5">
        <w:rPr>
          <w:rFonts w:ascii="Times New Roman" w:hAnsi="Times New Roman" w:cs="Times New Roman"/>
          <w:sz w:val="24"/>
          <w:szCs w:val="24"/>
          <w:lang w:val="en-GB"/>
        </w:rPr>
        <w:t xml:space="preserve">said for the approach adopted by PetroSA in this matter, which is to focus on dealing with the merits of new </w:t>
      </w:r>
      <w:r w:rsidR="009B2EA6" w:rsidRPr="003253E5">
        <w:rPr>
          <w:rFonts w:ascii="Times New Roman" w:hAnsi="Times New Roman" w:cs="Times New Roman"/>
          <w:sz w:val="24"/>
          <w:szCs w:val="24"/>
          <w:lang w:val="en-GB"/>
        </w:rPr>
        <w:t>allegations</w:t>
      </w:r>
      <w:r w:rsidR="000C632F" w:rsidRPr="003253E5">
        <w:rPr>
          <w:rFonts w:ascii="Times New Roman" w:hAnsi="Times New Roman" w:cs="Times New Roman"/>
          <w:sz w:val="24"/>
          <w:szCs w:val="24"/>
          <w:lang w:val="en-GB"/>
        </w:rPr>
        <w:t xml:space="preserve"> in the letter of demand even if they are contended to be reviewable on the grounds of procedural unfairness.  I</w:t>
      </w:r>
      <w:r w:rsidR="006245E0" w:rsidRPr="003253E5">
        <w:rPr>
          <w:rFonts w:ascii="Times New Roman" w:hAnsi="Times New Roman" w:cs="Times New Roman"/>
          <w:sz w:val="24"/>
          <w:szCs w:val="24"/>
          <w:lang w:val="en-GB"/>
        </w:rPr>
        <w:t xml:space="preserve"> say this because i</w:t>
      </w:r>
      <w:r w:rsidR="000C632F" w:rsidRPr="003253E5">
        <w:rPr>
          <w:rFonts w:ascii="Times New Roman" w:hAnsi="Times New Roman" w:cs="Times New Roman"/>
          <w:sz w:val="24"/>
          <w:szCs w:val="24"/>
          <w:lang w:val="en-GB"/>
        </w:rPr>
        <w:t>f the review were to be successful</w:t>
      </w:r>
      <w:r w:rsidR="006245E0" w:rsidRPr="003253E5">
        <w:rPr>
          <w:rFonts w:ascii="Times New Roman" w:hAnsi="Times New Roman" w:cs="Times New Roman"/>
          <w:sz w:val="24"/>
          <w:szCs w:val="24"/>
          <w:lang w:val="en-GB"/>
        </w:rPr>
        <w:t xml:space="preserve"> in the present instance</w:t>
      </w:r>
      <w:r w:rsidR="000C632F" w:rsidRPr="003253E5">
        <w:rPr>
          <w:rFonts w:ascii="Times New Roman" w:hAnsi="Times New Roman" w:cs="Times New Roman"/>
          <w:sz w:val="24"/>
          <w:szCs w:val="24"/>
          <w:lang w:val="en-GB"/>
        </w:rPr>
        <w:t xml:space="preserve"> </w:t>
      </w:r>
      <w:r w:rsidR="009B2EA6" w:rsidRPr="003253E5">
        <w:rPr>
          <w:rFonts w:ascii="Times New Roman" w:hAnsi="Times New Roman" w:cs="Times New Roman"/>
          <w:sz w:val="24"/>
          <w:szCs w:val="24"/>
          <w:lang w:val="en-GB"/>
        </w:rPr>
        <w:t>(</w:t>
      </w:r>
      <w:r w:rsidR="000C632F" w:rsidRPr="003253E5">
        <w:rPr>
          <w:rFonts w:ascii="Times New Roman" w:hAnsi="Times New Roman" w:cs="Times New Roman"/>
          <w:sz w:val="24"/>
          <w:szCs w:val="24"/>
          <w:lang w:val="en-GB"/>
        </w:rPr>
        <w:t xml:space="preserve">which I do not find </w:t>
      </w:r>
      <w:r w:rsidR="009B2EA6" w:rsidRPr="003253E5">
        <w:rPr>
          <w:rFonts w:ascii="Times New Roman" w:hAnsi="Times New Roman" w:cs="Times New Roman"/>
          <w:sz w:val="24"/>
          <w:szCs w:val="24"/>
          <w:lang w:val="en-GB"/>
        </w:rPr>
        <w:t>to be the case)</w:t>
      </w:r>
      <w:r w:rsidR="000C632F" w:rsidRPr="003253E5">
        <w:rPr>
          <w:rFonts w:ascii="Times New Roman" w:hAnsi="Times New Roman" w:cs="Times New Roman"/>
          <w:sz w:val="24"/>
          <w:szCs w:val="24"/>
          <w:lang w:val="en-GB"/>
        </w:rPr>
        <w:t xml:space="preserve"> remittal would have resulted in an unnecessary waste of time and money.  This is not a matter where the taxpayer was prejudiced by the new points taken in the letter of demand and they could have – and were – dealt with in the appeal along with the rest of the determination</w:t>
      </w:r>
      <w:r w:rsidR="009B2EA6" w:rsidRPr="003253E5">
        <w:rPr>
          <w:rFonts w:ascii="Times New Roman" w:hAnsi="Times New Roman" w:cs="Times New Roman"/>
          <w:sz w:val="24"/>
          <w:szCs w:val="24"/>
          <w:lang w:val="en-GB"/>
        </w:rPr>
        <w:t>s</w:t>
      </w:r>
      <w:r w:rsidR="000C632F" w:rsidRPr="003253E5">
        <w:rPr>
          <w:rFonts w:ascii="Times New Roman" w:hAnsi="Times New Roman" w:cs="Times New Roman"/>
          <w:sz w:val="24"/>
          <w:szCs w:val="24"/>
          <w:lang w:val="en-GB"/>
        </w:rPr>
        <w:t xml:space="preserve">. </w:t>
      </w:r>
      <w:r w:rsidR="009B2EA6" w:rsidRPr="003253E5">
        <w:rPr>
          <w:rFonts w:ascii="Times New Roman" w:hAnsi="Times New Roman" w:cs="Times New Roman"/>
          <w:sz w:val="24"/>
          <w:szCs w:val="24"/>
          <w:lang w:val="en-GB"/>
        </w:rPr>
        <w:t xml:space="preserve"> The position is different in respect of new </w:t>
      </w:r>
      <w:r w:rsidR="00497ECC" w:rsidRPr="003253E5">
        <w:rPr>
          <w:rFonts w:ascii="Times New Roman" w:hAnsi="Times New Roman" w:cs="Times New Roman"/>
          <w:sz w:val="24"/>
          <w:szCs w:val="24"/>
          <w:lang w:val="en-GB"/>
        </w:rPr>
        <w:t xml:space="preserve">justifications </w:t>
      </w:r>
      <w:r w:rsidR="009B2EA6" w:rsidRPr="003253E5">
        <w:rPr>
          <w:rFonts w:ascii="Times New Roman" w:hAnsi="Times New Roman" w:cs="Times New Roman"/>
          <w:sz w:val="24"/>
          <w:szCs w:val="24"/>
          <w:lang w:val="en-GB"/>
        </w:rPr>
        <w:t>raised by SARS in its answering affidavit.  I dealt with the prejudice caused thereby above.</w:t>
      </w:r>
    </w:p>
    <w:p w14:paraId="6E14A36C" w14:textId="66342487" w:rsidR="008F62C9"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[44]</w:t>
      </w:r>
      <w:r w:rsidRPr="008F5862">
        <w:rPr>
          <w:rFonts w:ascii="Times New Roman" w:hAnsi="Times New Roman" w:cs="Times New Roman"/>
          <w:sz w:val="24"/>
          <w:szCs w:val="24"/>
          <w:lang w:val="en-GB"/>
        </w:rPr>
        <w:tab/>
      </w:r>
      <w:r w:rsidR="008F62C9" w:rsidRPr="003253E5">
        <w:rPr>
          <w:rFonts w:ascii="Times New Roman" w:hAnsi="Times New Roman" w:cs="Times New Roman"/>
          <w:sz w:val="24"/>
          <w:szCs w:val="24"/>
          <w:lang w:val="en-GB"/>
        </w:rPr>
        <w:t xml:space="preserve">For these reasons the review need not be decided and </w:t>
      </w:r>
      <w:r w:rsidR="004C277F" w:rsidRPr="003253E5">
        <w:rPr>
          <w:rFonts w:ascii="Times New Roman" w:hAnsi="Times New Roman" w:cs="Times New Roman"/>
          <w:sz w:val="24"/>
          <w:szCs w:val="24"/>
          <w:lang w:val="en-GB"/>
        </w:rPr>
        <w:t xml:space="preserve">it follows that there is no need to determine the application for exemption from the duty to exhaust an internal remedy </w:t>
      </w:r>
      <w:r w:rsidR="000E35D9" w:rsidRPr="003253E5">
        <w:rPr>
          <w:rFonts w:ascii="Times New Roman" w:hAnsi="Times New Roman" w:cs="Times New Roman"/>
          <w:sz w:val="24"/>
          <w:szCs w:val="24"/>
          <w:lang w:val="en-GB"/>
        </w:rPr>
        <w:t xml:space="preserve">either. </w:t>
      </w:r>
    </w:p>
    <w:p w14:paraId="75796148" w14:textId="1941EEC4" w:rsidR="00650365" w:rsidRPr="008F5862" w:rsidRDefault="005745E5" w:rsidP="004F7C26">
      <w:pPr>
        <w:pStyle w:val="Heading1"/>
        <w:rPr>
          <w:lang w:val="en-GB"/>
        </w:rPr>
      </w:pPr>
      <w:r w:rsidRPr="008F5862">
        <w:rPr>
          <w:lang w:val="en-GB"/>
        </w:rPr>
        <w:t>Finding 3</w:t>
      </w:r>
    </w:p>
    <w:p w14:paraId="1FF19E39" w14:textId="21E0230D" w:rsidR="00650365"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[45]</w:t>
      </w:r>
      <w:r w:rsidRPr="008F5862">
        <w:rPr>
          <w:rFonts w:ascii="Times New Roman" w:hAnsi="Times New Roman" w:cs="Times New Roman"/>
          <w:sz w:val="24"/>
          <w:szCs w:val="24"/>
          <w:lang w:val="en-GB"/>
        </w:rPr>
        <w:tab/>
      </w:r>
      <w:r w:rsidR="00D01D5E" w:rsidRPr="003253E5">
        <w:rPr>
          <w:rFonts w:ascii="Times New Roman" w:hAnsi="Times New Roman" w:cs="Times New Roman"/>
          <w:sz w:val="24"/>
          <w:szCs w:val="24"/>
          <w:lang w:val="en-GB"/>
        </w:rPr>
        <w:t xml:space="preserve">The third finding, which applies to all the export entries in the </w:t>
      </w:r>
      <w:r w:rsidR="009B2EA6" w:rsidRPr="003253E5">
        <w:rPr>
          <w:rFonts w:ascii="Times New Roman" w:hAnsi="Times New Roman" w:cs="Times New Roman"/>
          <w:sz w:val="24"/>
          <w:szCs w:val="24"/>
          <w:lang w:val="en-GB"/>
        </w:rPr>
        <w:t>Schedule A</w:t>
      </w:r>
      <w:r w:rsidR="00D01D5E" w:rsidRPr="003253E5">
        <w:rPr>
          <w:rFonts w:ascii="Times New Roman" w:hAnsi="Times New Roman" w:cs="Times New Roman"/>
          <w:sz w:val="24"/>
          <w:szCs w:val="24"/>
          <w:lang w:val="en-GB"/>
        </w:rPr>
        <w:t xml:space="preserve"> to the letter of demand was that the set-off was disallowed because the fuel goods were removed or exported from unlicensed facilities.  In respect of this finding, PetroSA makes the following arguments (all in the alternative):</w:t>
      </w:r>
    </w:p>
    <w:p w14:paraId="18870ADC" w14:textId="5475F94C" w:rsidR="00D01D5E"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45.1.</w:t>
      </w:r>
      <w:r w:rsidRPr="008F5862">
        <w:rPr>
          <w:rFonts w:ascii="Times New Roman" w:hAnsi="Times New Roman" w:cs="Times New Roman"/>
          <w:sz w:val="24"/>
          <w:szCs w:val="24"/>
          <w:lang w:val="en-GB"/>
        </w:rPr>
        <w:tab/>
      </w:r>
      <w:r w:rsidR="00D01D5E" w:rsidRPr="003253E5">
        <w:rPr>
          <w:rFonts w:ascii="Times New Roman" w:hAnsi="Times New Roman" w:cs="Times New Roman"/>
          <w:sz w:val="24"/>
          <w:szCs w:val="24"/>
          <w:lang w:val="en-GB"/>
        </w:rPr>
        <w:t>On a proper interpretation, the requirements of Rule</w:t>
      </w:r>
      <w:r w:rsidR="00C411EF" w:rsidRPr="003253E5">
        <w:rPr>
          <w:rFonts w:ascii="Times New Roman" w:hAnsi="Times New Roman" w:cs="Times New Roman"/>
          <w:sz w:val="24"/>
          <w:szCs w:val="24"/>
          <w:lang w:val="en-GB"/>
        </w:rPr>
        <w:t> </w:t>
      </w:r>
      <w:r w:rsidR="00D01D5E" w:rsidRPr="003253E5">
        <w:rPr>
          <w:rFonts w:ascii="Times New Roman" w:hAnsi="Times New Roman" w:cs="Times New Roman"/>
          <w:sz w:val="24"/>
          <w:szCs w:val="24"/>
          <w:lang w:val="en-GB"/>
        </w:rPr>
        <w:t>19A4.04</w:t>
      </w:r>
      <w:r w:rsidR="009B2EA6" w:rsidRPr="003253E5">
        <w:rPr>
          <w:rFonts w:ascii="Times New Roman" w:hAnsi="Times New Roman" w:cs="Times New Roman"/>
          <w:sz w:val="24"/>
          <w:szCs w:val="24"/>
          <w:lang w:val="en-GB"/>
        </w:rPr>
        <w:t>(a)</w:t>
      </w:r>
      <w:r w:rsidR="00D01D5E" w:rsidRPr="003253E5">
        <w:rPr>
          <w:rFonts w:ascii="Times New Roman" w:hAnsi="Times New Roman" w:cs="Times New Roman"/>
          <w:sz w:val="24"/>
          <w:szCs w:val="24"/>
          <w:lang w:val="en-GB"/>
        </w:rPr>
        <w:t>(ii) had been complied with.</w:t>
      </w:r>
    </w:p>
    <w:p w14:paraId="0FB86A19" w14:textId="705A6FA5" w:rsidR="00D01D5E"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45.2.</w:t>
      </w:r>
      <w:r w:rsidRPr="008F5862">
        <w:rPr>
          <w:rFonts w:ascii="Times New Roman" w:hAnsi="Times New Roman" w:cs="Times New Roman"/>
          <w:sz w:val="24"/>
          <w:szCs w:val="24"/>
          <w:lang w:val="en-GB"/>
        </w:rPr>
        <w:tab/>
      </w:r>
      <w:r w:rsidR="00D01D5E" w:rsidRPr="003253E5">
        <w:rPr>
          <w:rFonts w:ascii="Times New Roman" w:hAnsi="Times New Roman" w:cs="Times New Roman"/>
          <w:sz w:val="24"/>
          <w:szCs w:val="24"/>
          <w:lang w:val="en-GB"/>
        </w:rPr>
        <w:t>SARS issued a determination in a letter dated 6</w:t>
      </w:r>
      <w:r w:rsidR="00F7161B" w:rsidRPr="003253E5">
        <w:rPr>
          <w:rFonts w:ascii="Times New Roman" w:hAnsi="Times New Roman" w:cs="Times New Roman"/>
          <w:sz w:val="24"/>
          <w:szCs w:val="24"/>
          <w:lang w:val="en-GB"/>
        </w:rPr>
        <w:t> </w:t>
      </w:r>
      <w:r w:rsidR="00D01D5E" w:rsidRPr="003253E5">
        <w:rPr>
          <w:rFonts w:ascii="Times New Roman" w:hAnsi="Times New Roman" w:cs="Times New Roman"/>
          <w:sz w:val="24"/>
          <w:szCs w:val="24"/>
          <w:lang w:val="en-GB"/>
        </w:rPr>
        <w:t>August</w:t>
      </w:r>
      <w:r w:rsidR="00F7161B" w:rsidRPr="003253E5">
        <w:rPr>
          <w:rFonts w:ascii="Times New Roman" w:hAnsi="Times New Roman" w:cs="Times New Roman"/>
          <w:sz w:val="24"/>
          <w:szCs w:val="24"/>
          <w:lang w:val="en-GB"/>
        </w:rPr>
        <w:t> </w:t>
      </w:r>
      <w:r w:rsidR="00D01D5E" w:rsidRPr="003253E5">
        <w:rPr>
          <w:rFonts w:ascii="Times New Roman" w:hAnsi="Times New Roman" w:cs="Times New Roman"/>
          <w:sz w:val="24"/>
          <w:szCs w:val="24"/>
          <w:lang w:val="en-GB"/>
        </w:rPr>
        <w:t>2013 on the issue which PetroSA complied with.</w:t>
      </w:r>
    </w:p>
    <w:p w14:paraId="52544345" w14:textId="0AD8CF55" w:rsidR="00D01D5E"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45.3.</w:t>
      </w:r>
      <w:r w:rsidRPr="008F5862">
        <w:rPr>
          <w:rFonts w:ascii="Times New Roman" w:hAnsi="Times New Roman" w:cs="Times New Roman"/>
          <w:sz w:val="24"/>
          <w:szCs w:val="24"/>
          <w:lang w:val="en-GB"/>
        </w:rPr>
        <w:tab/>
      </w:r>
      <w:r w:rsidR="00D01D5E" w:rsidRPr="003253E5">
        <w:rPr>
          <w:rFonts w:ascii="Times New Roman" w:hAnsi="Times New Roman" w:cs="Times New Roman"/>
          <w:sz w:val="24"/>
          <w:szCs w:val="24"/>
          <w:lang w:val="en-GB"/>
        </w:rPr>
        <w:t>A practice generally prevailing has come into existence</w:t>
      </w:r>
      <w:r w:rsidR="009C66FA" w:rsidRPr="003253E5">
        <w:rPr>
          <w:rFonts w:ascii="Times New Roman" w:hAnsi="Times New Roman" w:cs="Times New Roman"/>
          <w:sz w:val="24"/>
          <w:szCs w:val="24"/>
          <w:lang w:val="en-GB"/>
        </w:rPr>
        <w:t xml:space="preserve"> in terms of which refunds were allowed for removals from unlicenced warehouses, provided that it was du</w:t>
      </w:r>
      <w:r w:rsidR="00310C33" w:rsidRPr="003253E5">
        <w:rPr>
          <w:rFonts w:ascii="Times New Roman" w:hAnsi="Times New Roman" w:cs="Times New Roman"/>
          <w:sz w:val="24"/>
          <w:szCs w:val="24"/>
          <w:lang w:val="en-GB"/>
        </w:rPr>
        <w:t>t</w:t>
      </w:r>
      <w:r w:rsidR="009C66FA" w:rsidRPr="003253E5">
        <w:rPr>
          <w:rFonts w:ascii="Times New Roman" w:hAnsi="Times New Roman" w:cs="Times New Roman"/>
          <w:sz w:val="24"/>
          <w:szCs w:val="24"/>
          <w:lang w:val="en-GB"/>
        </w:rPr>
        <w:t>y paid stock.</w:t>
      </w:r>
    </w:p>
    <w:p w14:paraId="0CB02490" w14:textId="6FCA4C2C" w:rsidR="00577246"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45.4.</w:t>
      </w:r>
      <w:r w:rsidRPr="008F5862">
        <w:rPr>
          <w:rFonts w:ascii="Times New Roman" w:hAnsi="Times New Roman" w:cs="Times New Roman"/>
          <w:sz w:val="24"/>
          <w:szCs w:val="24"/>
          <w:lang w:val="en-GB"/>
        </w:rPr>
        <w:tab/>
      </w:r>
      <w:r w:rsidR="00D01D5E" w:rsidRPr="003253E5">
        <w:rPr>
          <w:rFonts w:ascii="Times New Roman" w:hAnsi="Times New Roman" w:cs="Times New Roman"/>
          <w:sz w:val="24"/>
          <w:szCs w:val="24"/>
          <w:lang w:val="en-GB"/>
        </w:rPr>
        <w:t>On the interpretation advanced by SARS,</w:t>
      </w:r>
      <w:r w:rsidR="00A500BD" w:rsidRPr="003253E5">
        <w:rPr>
          <w:rFonts w:ascii="Times New Roman" w:hAnsi="Times New Roman" w:cs="Times New Roman"/>
          <w:sz w:val="24"/>
          <w:szCs w:val="24"/>
          <w:lang w:val="en-GB"/>
        </w:rPr>
        <w:t xml:space="preserve"> the determinations and/or</w:t>
      </w:r>
      <w:r w:rsidR="00D01D5E" w:rsidRPr="003253E5">
        <w:rPr>
          <w:rFonts w:ascii="Times New Roman" w:hAnsi="Times New Roman" w:cs="Times New Roman"/>
          <w:sz w:val="24"/>
          <w:szCs w:val="24"/>
          <w:lang w:val="en-GB"/>
        </w:rPr>
        <w:t xml:space="preserve"> Rule</w:t>
      </w:r>
      <w:r w:rsidR="00C411EF" w:rsidRPr="003253E5">
        <w:rPr>
          <w:rFonts w:ascii="Times New Roman" w:hAnsi="Times New Roman" w:cs="Times New Roman"/>
          <w:sz w:val="24"/>
          <w:szCs w:val="24"/>
          <w:lang w:val="en-GB"/>
        </w:rPr>
        <w:t> </w:t>
      </w:r>
      <w:r w:rsidR="00D01D5E" w:rsidRPr="003253E5">
        <w:rPr>
          <w:rFonts w:ascii="Times New Roman" w:hAnsi="Times New Roman" w:cs="Times New Roman"/>
          <w:sz w:val="24"/>
          <w:szCs w:val="24"/>
          <w:lang w:val="en-GB"/>
        </w:rPr>
        <w:t>19A4.04</w:t>
      </w:r>
      <w:r w:rsidR="00A500BD" w:rsidRPr="003253E5">
        <w:rPr>
          <w:rFonts w:ascii="Times New Roman" w:hAnsi="Times New Roman" w:cs="Times New Roman"/>
          <w:sz w:val="24"/>
          <w:szCs w:val="24"/>
          <w:lang w:val="en-GB"/>
        </w:rPr>
        <w:t>(a)</w:t>
      </w:r>
      <w:r w:rsidR="00D01D5E" w:rsidRPr="003253E5">
        <w:rPr>
          <w:rFonts w:ascii="Times New Roman" w:hAnsi="Times New Roman" w:cs="Times New Roman"/>
          <w:sz w:val="24"/>
          <w:szCs w:val="24"/>
          <w:lang w:val="en-GB"/>
        </w:rPr>
        <w:t xml:space="preserve">(ii) read with s75(1)(d) and the relevant rebate items and notes thereto are irrational, to the extent that </w:t>
      </w:r>
      <w:r w:rsidR="00060C60" w:rsidRPr="003253E5">
        <w:rPr>
          <w:rFonts w:ascii="Times New Roman" w:hAnsi="Times New Roman" w:cs="Times New Roman"/>
          <w:sz w:val="24"/>
          <w:szCs w:val="24"/>
          <w:lang w:val="en-GB"/>
        </w:rPr>
        <w:t>they</w:t>
      </w:r>
      <w:r w:rsidR="00D01D5E" w:rsidRPr="003253E5">
        <w:rPr>
          <w:rFonts w:ascii="Times New Roman" w:hAnsi="Times New Roman" w:cs="Times New Roman"/>
          <w:sz w:val="24"/>
          <w:szCs w:val="24"/>
          <w:lang w:val="en-GB"/>
        </w:rPr>
        <w:t xml:space="preserve"> provide that refunds may not be set-off when fuel is removed from an unlicensed facility.  </w:t>
      </w:r>
      <w:r w:rsidR="00060C60" w:rsidRPr="003253E5">
        <w:rPr>
          <w:rFonts w:ascii="Times New Roman" w:hAnsi="Times New Roman" w:cs="Times New Roman"/>
          <w:sz w:val="24"/>
          <w:szCs w:val="24"/>
          <w:lang w:val="en-GB"/>
        </w:rPr>
        <w:t>[</w:t>
      </w:r>
      <w:r w:rsidR="004D112E" w:rsidRPr="003253E5">
        <w:rPr>
          <w:rFonts w:ascii="Times New Roman" w:hAnsi="Times New Roman" w:cs="Times New Roman"/>
          <w:sz w:val="24"/>
          <w:szCs w:val="24"/>
          <w:lang w:val="en-GB"/>
        </w:rPr>
        <w:t>The Secon</w:t>
      </w:r>
      <w:r w:rsidR="00630288" w:rsidRPr="003253E5">
        <w:rPr>
          <w:rFonts w:ascii="Times New Roman" w:hAnsi="Times New Roman" w:cs="Times New Roman"/>
          <w:sz w:val="24"/>
          <w:szCs w:val="24"/>
          <w:lang w:val="en-GB"/>
        </w:rPr>
        <w:t xml:space="preserve">d Respondent </w:t>
      </w:r>
      <w:r w:rsidR="00132B93" w:rsidRPr="003253E5">
        <w:rPr>
          <w:rFonts w:ascii="Times New Roman" w:hAnsi="Times New Roman" w:cs="Times New Roman"/>
          <w:sz w:val="24"/>
          <w:szCs w:val="24"/>
          <w:lang w:val="en-GB"/>
        </w:rPr>
        <w:t>(</w:t>
      </w:r>
      <w:r w:rsidR="00DB3E2A" w:rsidRPr="003253E5">
        <w:rPr>
          <w:rFonts w:ascii="Times New Roman" w:hAnsi="Times New Roman" w:cs="Times New Roman"/>
          <w:sz w:val="24"/>
          <w:szCs w:val="24"/>
          <w:lang w:val="en-GB"/>
        </w:rPr>
        <w:t>“</w:t>
      </w:r>
      <w:r w:rsidR="00132B93" w:rsidRPr="003253E5">
        <w:rPr>
          <w:rFonts w:ascii="Times New Roman" w:hAnsi="Times New Roman" w:cs="Times New Roman"/>
          <w:b/>
          <w:bCs/>
          <w:sz w:val="24"/>
          <w:szCs w:val="24"/>
          <w:lang w:val="en-GB"/>
        </w:rPr>
        <w:t>the Minister</w:t>
      </w:r>
      <w:r w:rsidR="00DB3E2A" w:rsidRPr="003253E5">
        <w:rPr>
          <w:rFonts w:ascii="Times New Roman" w:hAnsi="Times New Roman" w:cs="Times New Roman"/>
          <w:sz w:val="24"/>
          <w:szCs w:val="24"/>
          <w:lang w:val="en-GB"/>
        </w:rPr>
        <w:t>”</w:t>
      </w:r>
      <w:r w:rsidR="00132B93" w:rsidRPr="003253E5">
        <w:rPr>
          <w:rFonts w:ascii="Times New Roman" w:hAnsi="Times New Roman" w:cs="Times New Roman"/>
          <w:sz w:val="24"/>
          <w:szCs w:val="24"/>
          <w:lang w:val="en-GB"/>
        </w:rPr>
        <w:t xml:space="preserve">) </w:t>
      </w:r>
      <w:r w:rsidR="00630288" w:rsidRPr="003253E5">
        <w:rPr>
          <w:rFonts w:ascii="Times New Roman" w:hAnsi="Times New Roman" w:cs="Times New Roman"/>
          <w:sz w:val="24"/>
          <w:szCs w:val="24"/>
          <w:lang w:val="en-GB"/>
        </w:rPr>
        <w:t>was joined due to th</w:t>
      </w:r>
      <w:r w:rsidR="00060C60" w:rsidRPr="003253E5">
        <w:rPr>
          <w:rFonts w:ascii="Times New Roman" w:hAnsi="Times New Roman" w:cs="Times New Roman"/>
          <w:sz w:val="24"/>
          <w:szCs w:val="24"/>
          <w:lang w:val="en-GB"/>
        </w:rPr>
        <w:t>is</w:t>
      </w:r>
      <w:r w:rsidR="00630288" w:rsidRPr="003253E5">
        <w:rPr>
          <w:rFonts w:ascii="Times New Roman" w:hAnsi="Times New Roman" w:cs="Times New Roman"/>
          <w:sz w:val="24"/>
          <w:szCs w:val="24"/>
          <w:lang w:val="en-GB"/>
        </w:rPr>
        <w:t xml:space="preserve"> challenge to the Rule</w:t>
      </w:r>
      <w:r w:rsidR="005F248A" w:rsidRPr="003253E5">
        <w:rPr>
          <w:rFonts w:ascii="Times New Roman" w:hAnsi="Times New Roman" w:cs="Times New Roman"/>
          <w:sz w:val="24"/>
          <w:szCs w:val="24"/>
          <w:lang w:val="en-GB"/>
        </w:rPr>
        <w:t>s</w:t>
      </w:r>
      <w:r w:rsidR="00A500BD" w:rsidRPr="003253E5">
        <w:rPr>
          <w:rFonts w:ascii="Times New Roman" w:hAnsi="Times New Roman" w:cs="Times New Roman"/>
          <w:sz w:val="24"/>
          <w:szCs w:val="24"/>
          <w:lang w:val="en-GB"/>
        </w:rPr>
        <w:t>.</w:t>
      </w:r>
      <w:r w:rsidR="005F248A" w:rsidRPr="003253E5">
        <w:rPr>
          <w:rFonts w:ascii="Times New Roman" w:hAnsi="Times New Roman" w:cs="Times New Roman"/>
          <w:sz w:val="24"/>
          <w:szCs w:val="24"/>
          <w:lang w:val="en-GB"/>
        </w:rPr>
        <w:t xml:space="preserve"> </w:t>
      </w:r>
      <w:r w:rsidR="00A500BD" w:rsidRPr="003253E5">
        <w:rPr>
          <w:rFonts w:ascii="Times New Roman" w:hAnsi="Times New Roman" w:cs="Times New Roman"/>
          <w:sz w:val="24"/>
          <w:szCs w:val="24"/>
          <w:lang w:val="en-GB"/>
        </w:rPr>
        <w:t xml:space="preserve"> The Minister</w:t>
      </w:r>
      <w:r w:rsidR="005F248A" w:rsidRPr="003253E5">
        <w:rPr>
          <w:rFonts w:ascii="Times New Roman" w:hAnsi="Times New Roman" w:cs="Times New Roman"/>
          <w:sz w:val="24"/>
          <w:szCs w:val="24"/>
          <w:lang w:val="en-GB"/>
        </w:rPr>
        <w:t xml:space="preserve"> filed a notice of intention to oppose but no answering paper</w:t>
      </w:r>
      <w:r w:rsidR="00132B93" w:rsidRPr="003253E5">
        <w:rPr>
          <w:rFonts w:ascii="Times New Roman" w:hAnsi="Times New Roman" w:cs="Times New Roman"/>
          <w:sz w:val="24"/>
          <w:szCs w:val="24"/>
          <w:lang w:val="en-GB"/>
        </w:rPr>
        <w:t xml:space="preserve">s.  </w:t>
      </w:r>
      <w:r w:rsidR="00893FE5" w:rsidRPr="003253E5">
        <w:rPr>
          <w:rFonts w:ascii="Times New Roman" w:hAnsi="Times New Roman" w:cs="Times New Roman"/>
          <w:sz w:val="24"/>
          <w:szCs w:val="24"/>
          <w:lang w:val="en-GB"/>
        </w:rPr>
        <w:t>The Minister was also not represented by counsel at the hearing.</w:t>
      </w:r>
      <w:r w:rsidR="00060C60" w:rsidRPr="003253E5">
        <w:rPr>
          <w:rFonts w:ascii="Times New Roman" w:hAnsi="Times New Roman" w:cs="Times New Roman"/>
          <w:sz w:val="24"/>
          <w:szCs w:val="24"/>
          <w:lang w:val="en-GB"/>
        </w:rPr>
        <w:t>]</w:t>
      </w:r>
    </w:p>
    <w:p w14:paraId="6A0B0630" w14:textId="5A787F96" w:rsidR="00D01D5E"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[46]</w:t>
      </w:r>
      <w:r w:rsidRPr="008F5862">
        <w:rPr>
          <w:rFonts w:ascii="Times New Roman" w:hAnsi="Times New Roman" w:cs="Times New Roman"/>
          <w:sz w:val="24"/>
          <w:szCs w:val="24"/>
          <w:lang w:val="en-GB"/>
        </w:rPr>
        <w:tab/>
      </w:r>
      <w:r w:rsidR="00BC1506" w:rsidRPr="003253E5">
        <w:rPr>
          <w:rFonts w:ascii="Times New Roman" w:hAnsi="Times New Roman" w:cs="Times New Roman"/>
          <w:sz w:val="24"/>
          <w:szCs w:val="24"/>
          <w:lang w:val="en-GB"/>
        </w:rPr>
        <w:t xml:space="preserve">I deal with </w:t>
      </w:r>
      <w:r w:rsidR="00812511" w:rsidRPr="003253E5">
        <w:rPr>
          <w:rFonts w:ascii="Times New Roman" w:hAnsi="Times New Roman" w:cs="Times New Roman"/>
          <w:sz w:val="24"/>
          <w:szCs w:val="24"/>
          <w:lang w:val="en-GB"/>
        </w:rPr>
        <w:t>Finding</w:t>
      </w:r>
      <w:r w:rsidR="005745E5" w:rsidRPr="003253E5">
        <w:rPr>
          <w:rFonts w:ascii="Times New Roman" w:hAnsi="Times New Roman" w:cs="Times New Roman"/>
          <w:sz w:val="24"/>
          <w:szCs w:val="24"/>
          <w:lang w:val="en-GB"/>
        </w:rPr>
        <w:t> 3</w:t>
      </w:r>
      <w:r w:rsidR="00BC1506" w:rsidRPr="003253E5">
        <w:rPr>
          <w:rFonts w:ascii="Times New Roman" w:hAnsi="Times New Roman" w:cs="Times New Roman"/>
          <w:sz w:val="24"/>
          <w:szCs w:val="24"/>
          <w:lang w:val="en-GB"/>
        </w:rPr>
        <w:t xml:space="preserve"> by first providing </w:t>
      </w:r>
      <w:r w:rsidR="00741402" w:rsidRPr="003253E5">
        <w:rPr>
          <w:rFonts w:ascii="Times New Roman" w:hAnsi="Times New Roman" w:cs="Times New Roman"/>
          <w:sz w:val="24"/>
          <w:szCs w:val="24"/>
          <w:lang w:val="en-GB"/>
        </w:rPr>
        <w:t xml:space="preserve">a description of the applicable legal </w:t>
      </w:r>
      <w:r w:rsidR="006B33BE" w:rsidRPr="003253E5">
        <w:rPr>
          <w:rFonts w:ascii="Times New Roman" w:hAnsi="Times New Roman" w:cs="Times New Roman"/>
          <w:sz w:val="24"/>
          <w:szCs w:val="24"/>
          <w:lang w:val="en-GB"/>
        </w:rPr>
        <w:t>provisions and the parties</w:t>
      </w:r>
      <w:r w:rsidR="00DB3E2A" w:rsidRPr="003253E5">
        <w:rPr>
          <w:rFonts w:ascii="Times New Roman" w:hAnsi="Times New Roman" w:cs="Times New Roman"/>
          <w:sz w:val="24"/>
          <w:szCs w:val="24"/>
          <w:lang w:val="en-GB"/>
        </w:rPr>
        <w:t>’</w:t>
      </w:r>
      <w:r w:rsidR="006B33BE" w:rsidRPr="003253E5">
        <w:rPr>
          <w:rFonts w:ascii="Times New Roman" w:hAnsi="Times New Roman" w:cs="Times New Roman"/>
          <w:sz w:val="24"/>
          <w:szCs w:val="24"/>
          <w:lang w:val="en-GB"/>
        </w:rPr>
        <w:t xml:space="preserve"> submissions </w:t>
      </w:r>
      <w:r w:rsidR="00BC1506" w:rsidRPr="003253E5">
        <w:rPr>
          <w:rFonts w:ascii="Times New Roman" w:hAnsi="Times New Roman" w:cs="Times New Roman"/>
          <w:sz w:val="24"/>
          <w:szCs w:val="24"/>
          <w:lang w:val="en-GB"/>
        </w:rPr>
        <w:t xml:space="preserve">and then deal with the four alternatives, albeit not in the same order as they are </w:t>
      </w:r>
      <w:r w:rsidR="00AA2BF7" w:rsidRPr="003253E5">
        <w:rPr>
          <w:rFonts w:ascii="Times New Roman" w:hAnsi="Times New Roman" w:cs="Times New Roman"/>
          <w:sz w:val="24"/>
          <w:szCs w:val="24"/>
          <w:lang w:val="en-GB"/>
        </w:rPr>
        <w:t>set out</w:t>
      </w:r>
      <w:r w:rsidR="00BC1506" w:rsidRPr="003253E5">
        <w:rPr>
          <w:rFonts w:ascii="Times New Roman" w:hAnsi="Times New Roman" w:cs="Times New Roman"/>
          <w:sz w:val="24"/>
          <w:szCs w:val="24"/>
          <w:lang w:val="en-GB"/>
        </w:rPr>
        <w:t xml:space="preserve"> </w:t>
      </w:r>
      <w:r w:rsidR="00051944" w:rsidRPr="003253E5">
        <w:rPr>
          <w:rFonts w:ascii="Times New Roman" w:hAnsi="Times New Roman" w:cs="Times New Roman"/>
          <w:sz w:val="24"/>
          <w:szCs w:val="24"/>
          <w:lang w:val="en-GB"/>
        </w:rPr>
        <w:t>above</w:t>
      </w:r>
      <w:r w:rsidR="00BC1506" w:rsidRPr="003253E5">
        <w:rPr>
          <w:rFonts w:ascii="Times New Roman" w:hAnsi="Times New Roman" w:cs="Times New Roman"/>
          <w:sz w:val="24"/>
          <w:szCs w:val="24"/>
          <w:lang w:val="en-GB"/>
        </w:rPr>
        <w:t>.</w:t>
      </w:r>
    </w:p>
    <w:p w14:paraId="14B87F3A" w14:textId="101DA69C" w:rsidR="007505AC" w:rsidRPr="008F5862" w:rsidRDefault="003253E5" w:rsidP="003253E5">
      <w:pPr>
        <w:pStyle w:val="Heading2"/>
        <w:numPr>
          <w:ilvl w:val="0"/>
          <w:numId w:val="0"/>
        </w:numPr>
        <w:ind w:left="720" w:hanging="720"/>
        <w:rPr>
          <w:lang w:val="en-GB"/>
        </w:rPr>
      </w:pPr>
      <w:r w:rsidRPr="008F5862">
        <w:rPr>
          <w:u w:val="none"/>
          <w:lang w:val="en-GB"/>
        </w:rPr>
        <w:t>(i)</w:t>
      </w:r>
      <w:r w:rsidRPr="008F5862">
        <w:rPr>
          <w:u w:val="none"/>
          <w:lang w:val="en-GB"/>
        </w:rPr>
        <w:tab/>
      </w:r>
      <w:r w:rsidR="006B33BE" w:rsidRPr="008F5862">
        <w:rPr>
          <w:lang w:val="en-GB"/>
        </w:rPr>
        <w:t xml:space="preserve">Legal provisions and </w:t>
      </w:r>
      <w:r w:rsidR="00CE48DB" w:rsidRPr="008F5862">
        <w:rPr>
          <w:lang w:val="en-GB"/>
        </w:rPr>
        <w:t xml:space="preserve">the </w:t>
      </w:r>
      <w:r w:rsidR="006B33BE" w:rsidRPr="008F5862">
        <w:rPr>
          <w:lang w:val="en-GB"/>
        </w:rPr>
        <w:t>parties</w:t>
      </w:r>
      <w:r w:rsidR="00DB3E2A">
        <w:rPr>
          <w:lang w:val="en-GB"/>
        </w:rPr>
        <w:t>’</w:t>
      </w:r>
      <w:r w:rsidR="006B33BE" w:rsidRPr="008F5862">
        <w:rPr>
          <w:lang w:val="en-GB"/>
        </w:rPr>
        <w:t xml:space="preserve"> submissions</w:t>
      </w:r>
    </w:p>
    <w:p w14:paraId="6749DB3D" w14:textId="748792F5" w:rsidR="00EC54AD"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[47]</w:t>
      </w:r>
      <w:r w:rsidRPr="008F5862">
        <w:rPr>
          <w:rFonts w:ascii="Times New Roman" w:hAnsi="Times New Roman" w:cs="Times New Roman"/>
          <w:sz w:val="24"/>
          <w:szCs w:val="24"/>
          <w:lang w:val="en-GB"/>
        </w:rPr>
        <w:tab/>
      </w:r>
      <w:r w:rsidR="00EC54AD" w:rsidRPr="003253E5">
        <w:rPr>
          <w:rFonts w:ascii="Times New Roman" w:hAnsi="Times New Roman" w:cs="Times New Roman"/>
          <w:sz w:val="24"/>
          <w:szCs w:val="24"/>
          <w:lang w:val="en-GB"/>
        </w:rPr>
        <w:t>The refunds were disallowed on the basis that the fuel goods were removed / exported from unlicensed facilities.  More particularly, the determination was that the requirements of Rule</w:t>
      </w:r>
      <w:r w:rsidR="00C411EF" w:rsidRPr="003253E5">
        <w:rPr>
          <w:rFonts w:ascii="Times New Roman" w:hAnsi="Times New Roman" w:cs="Times New Roman"/>
          <w:sz w:val="24"/>
          <w:szCs w:val="24"/>
          <w:lang w:val="en-GB"/>
        </w:rPr>
        <w:t> </w:t>
      </w:r>
      <w:r w:rsidR="00EC54AD" w:rsidRPr="003253E5">
        <w:rPr>
          <w:rFonts w:ascii="Times New Roman" w:hAnsi="Times New Roman" w:cs="Times New Roman"/>
          <w:sz w:val="24"/>
          <w:szCs w:val="24"/>
          <w:lang w:val="en-GB"/>
        </w:rPr>
        <w:t>19A4.04</w:t>
      </w:r>
      <w:r w:rsidR="006A7AE7" w:rsidRPr="003253E5">
        <w:rPr>
          <w:rFonts w:ascii="Times New Roman" w:hAnsi="Times New Roman" w:cs="Times New Roman"/>
          <w:sz w:val="24"/>
          <w:szCs w:val="24"/>
          <w:lang w:val="en-GB"/>
        </w:rPr>
        <w:t>(a)</w:t>
      </w:r>
      <w:r w:rsidR="00EC54AD" w:rsidRPr="003253E5">
        <w:rPr>
          <w:rFonts w:ascii="Times New Roman" w:hAnsi="Times New Roman" w:cs="Times New Roman"/>
          <w:sz w:val="24"/>
          <w:szCs w:val="24"/>
          <w:lang w:val="en-GB"/>
        </w:rPr>
        <w:t>(ii) ha</w:t>
      </w:r>
      <w:r w:rsidR="00DB4598" w:rsidRPr="003253E5">
        <w:rPr>
          <w:rFonts w:ascii="Times New Roman" w:hAnsi="Times New Roman" w:cs="Times New Roman"/>
          <w:sz w:val="24"/>
          <w:szCs w:val="24"/>
          <w:lang w:val="en-GB"/>
        </w:rPr>
        <w:t>d</w:t>
      </w:r>
      <w:r w:rsidR="00EC54AD" w:rsidRPr="003253E5">
        <w:rPr>
          <w:rFonts w:ascii="Times New Roman" w:hAnsi="Times New Roman" w:cs="Times New Roman"/>
          <w:sz w:val="24"/>
          <w:szCs w:val="24"/>
          <w:lang w:val="en-GB"/>
        </w:rPr>
        <w:t xml:space="preserve"> not been complied with.  This Rule provides as follows:</w:t>
      </w:r>
    </w:p>
    <w:p w14:paraId="0B8DA842" w14:textId="4FA6F5BB" w:rsidR="006A7AE7" w:rsidRPr="008F5862" w:rsidRDefault="00DB3E2A" w:rsidP="00E339B3">
      <w:pPr>
        <w:pStyle w:val="Quote"/>
        <w:spacing w:after="600"/>
        <w:rPr>
          <w:lang w:val="en-GB"/>
        </w:rPr>
      </w:pPr>
      <w:r>
        <w:rPr>
          <w:lang w:val="en-GB"/>
        </w:rPr>
        <w:t>“</w:t>
      </w:r>
      <w:r w:rsidR="00EC54AD" w:rsidRPr="008F5862">
        <w:rPr>
          <w:lang w:val="en-GB"/>
        </w:rPr>
        <w:t>[ii] Where fuel levy goods are removed for any purpose specified in these rules requiring compliance with a customs and excise procedure either in respect of the removal, movement or receipt thereof, such goods may only be so removed from a storage tank owned by or under control of a licensee of a customs and excise manufacturing or special customs and excise storage warehouse.</w:t>
      </w:r>
      <w:r>
        <w:rPr>
          <w:lang w:val="en-GB"/>
        </w:rPr>
        <w:t>”</w:t>
      </w:r>
    </w:p>
    <w:p w14:paraId="44A202BA" w14:textId="702E94A0" w:rsidR="000F1E82"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[48]</w:t>
      </w:r>
      <w:r w:rsidRPr="008F5862">
        <w:rPr>
          <w:rFonts w:ascii="Times New Roman" w:hAnsi="Times New Roman" w:cs="Times New Roman"/>
          <w:sz w:val="24"/>
          <w:szCs w:val="24"/>
          <w:lang w:val="en-GB"/>
        </w:rPr>
        <w:tab/>
      </w:r>
      <w:r w:rsidR="006A7AE7" w:rsidRPr="003253E5">
        <w:rPr>
          <w:rFonts w:ascii="Times New Roman" w:hAnsi="Times New Roman" w:cs="Times New Roman"/>
          <w:sz w:val="24"/>
          <w:szCs w:val="24"/>
          <w:lang w:val="en-GB"/>
        </w:rPr>
        <w:t>PetroS</w:t>
      </w:r>
      <w:r w:rsidR="000F1E82" w:rsidRPr="003253E5">
        <w:rPr>
          <w:rFonts w:ascii="Times New Roman" w:hAnsi="Times New Roman" w:cs="Times New Roman"/>
          <w:sz w:val="24"/>
          <w:szCs w:val="24"/>
          <w:lang w:val="en-GB"/>
        </w:rPr>
        <w:t>A</w:t>
      </w:r>
      <w:r w:rsidR="00DB3E2A" w:rsidRPr="003253E5">
        <w:rPr>
          <w:rFonts w:ascii="Times New Roman" w:hAnsi="Times New Roman" w:cs="Times New Roman"/>
          <w:sz w:val="24"/>
          <w:szCs w:val="24"/>
          <w:lang w:val="en-GB"/>
        </w:rPr>
        <w:t>’</w:t>
      </w:r>
      <w:r w:rsidR="000F1E82" w:rsidRPr="003253E5">
        <w:rPr>
          <w:rFonts w:ascii="Times New Roman" w:hAnsi="Times New Roman" w:cs="Times New Roman"/>
          <w:sz w:val="24"/>
          <w:szCs w:val="24"/>
          <w:lang w:val="en-GB"/>
        </w:rPr>
        <w:t>s advances two possible interpretations of the Rule in the alternative:</w:t>
      </w:r>
    </w:p>
    <w:p w14:paraId="4CBBAE47" w14:textId="13073271" w:rsidR="006A7AE7"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48.1.</w:t>
      </w:r>
      <w:r w:rsidRPr="008F5862">
        <w:rPr>
          <w:rFonts w:ascii="Times New Roman" w:hAnsi="Times New Roman" w:cs="Times New Roman"/>
          <w:sz w:val="24"/>
          <w:szCs w:val="24"/>
          <w:lang w:val="en-GB"/>
        </w:rPr>
        <w:tab/>
      </w:r>
      <w:r w:rsidR="000F1E82" w:rsidRPr="003253E5">
        <w:rPr>
          <w:rFonts w:ascii="Times New Roman" w:hAnsi="Times New Roman" w:cs="Times New Roman"/>
          <w:sz w:val="24"/>
          <w:szCs w:val="24"/>
          <w:lang w:val="en-GB"/>
        </w:rPr>
        <w:t>Firstly, PetroSA c</w:t>
      </w:r>
      <w:r w:rsidR="006A7AE7" w:rsidRPr="003253E5">
        <w:rPr>
          <w:rFonts w:ascii="Times New Roman" w:hAnsi="Times New Roman" w:cs="Times New Roman"/>
          <w:sz w:val="24"/>
          <w:szCs w:val="24"/>
          <w:lang w:val="en-GB"/>
        </w:rPr>
        <w:t>ontends that Rule</w:t>
      </w:r>
      <w:r w:rsidR="00C411EF" w:rsidRPr="003253E5">
        <w:rPr>
          <w:rFonts w:ascii="Times New Roman" w:hAnsi="Times New Roman" w:cs="Times New Roman"/>
          <w:sz w:val="24"/>
          <w:szCs w:val="24"/>
          <w:lang w:val="en-GB"/>
        </w:rPr>
        <w:t> </w:t>
      </w:r>
      <w:r w:rsidR="006A7AE7" w:rsidRPr="003253E5">
        <w:rPr>
          <w:rFonts w:ascii="Times New Roman" w:hAnsi="Times New Roman" w:cs="Times New Roman"/>
          <w:sz w:val="24"/>
          <w:szCs w:val="24"/>
          <w:lang w:val="en-GB"/>
        </w:rPr>
        <w:t xml:space="preserve">19A4.04(a)(ii) does not require that the fuel be removed from a licensed facility but merely that it must be </w:t>
      </w:r>
      <w:r w:rsidR="000F1E82" w:rsidRPr="003253E5">
        <w:rPr>
          <w:rFonts w:ascii="Times New Roman" w:hAnsi="Times New Roman" w:cs="Times New Roman"/>
          <w:sz w:val="24"/>
          <w:szCs w:val="24"/>
          <w:u w:val="single"/>
          <w:lang w:val="en-GB"/>
        </w:rPr>
        <w:t>removed</w:t>
      </w:r>
      <w:r w:rsidR="000F1E82" w:rsidRPr="003253E5">
        <w:rPr>
          <w:rFonts w:ascii="Times New Roman" w:hAnsi="Times New Roman" w:cs="Times New Roman"/>
          <w:sz w:val="24"/>
          <w:szCs w:val="24"/>
          <w:lang w:val="en-GB"/>
        </w:rPr>
        <w:t xml:space="preserve"> from </w:t>
      </w:r>
      <w:r w:rsidR="006A7AE7" w:rsidRPr="003253E5">
        <w:rPr>
          <w:rFonts w:ascii="Times New Roman" w:hAnsi="Times New Roman" w:cs="Times New Roman"/>
          <w:sz w:val="24"/>
          <w:szCs w:val="24"/>
          <w:lang w:val="en-GB"/>
        </w:rPr>
        <w:t>duty-paid stock, as envisaged in Rule</w:t>
      </w:r>
      <w:r w:rsidR="00C411EF" w:rsidRPr="003253E5">
        <w:rPr>
          <w:rFonts w:ascii="Times New Roman" w:hAnsi="Times New Roman" w:cs="Times New Roman"/>
          <w:sz w:val="24"/>
          <w:szCs w:val="24"/>
          <w:lang w:val="en-GB"/>
        </w:rPr>
        <w:t> </w:t>
      </w:r>
      <w:r w:rsidR="006A7AE7" w:rsidRPr="003253E5">
        <w:rPr>
          <w:rFonts w:ascii="Times New Roman" w:hAnsi="Times New Roman" w:cs="Times New Roman"/>
          <w:sz w:val="24"/>
          <w:szCs w:val="24"/>
          <w:lang w:val="en-GB"/>
        </w:rPr>
        <w:t>19A4.04(i)</w:t>
      </w:r>
      <w:r w:rsidR="006A7AE7" w:rsidRPr="008F5862">
        <w:rPr>
          <w:rStyle w:val="FootnoteReference"/>
          <w:rFonts w:ascii="Times New Roman" w:hAnsi="Times New Roman" w:cs="Times New Roman"/>
          <w:sz w:val="24"/>
          <w:szCs w:val="24"/>
          <w:lang w:val="en-GB"/>
        </w:rPr>
        <w:footnoteReference w:id="12"/>
      </w:r>
      <w:r w:rsidR="006A7AE7" w:rsidRPr="003253E5">
        <w:rPr>
          <w:rFonts w:ascii="Times New Roman" w:hAnsi="Times New Roman" w:cs="Times New Roman"/>
          <w:sz w:val="24"/>
          <w:szCs w:val="24"/>
          <w:lang w:val="en-GB"/>
        </w:rPr>
        <w:t xml:space="preserve"> </w:t>
      </w:r>
      <w:r w:rsidR="006A7AE7" w:rsidRPr="003253E5">
        <w:rPr>
          <w:rFonts w:ascii="Times New Roman" w:hAnsi="Times New Roman" w:cs="Times New Roman"/>
          <w:sz w:val="24"/>
          <w:szCs w:val="24"/>
          <w:u w:val="single"/>
          <w:lang w:val="en-GB"/>
        </w:rPr>
        <w:t>and</w:t>
      </w:r>
      <w:r w:rsidR="006A7AE7" w:rsidRPr="003253E5">
        <w:rPr>
          <w:rFonts w:ascii="Times New Roman" w:hAnsi="Times New Roman" w:cs="Times New Roman"/>
          <w:sz w:val="24"/>
          <w:szCs w:val="24"/>
          <w:lang w:val="en-GB"/>
        </w:rPr>
        <w:t xml:space="preserve"> </w:t>
      </w:r>
      <w:r w:rsidR="000F1E82" w:rsidRPr="003253E5">
        <w:rPr>
          <w:rFonts w:ascii="Times New Roman" w:hAnsi="Times New Roman" w:cs="Times New Roman"/>
          <w:sz w:val="24"/>
          <w:szCs w:val="24"/>
          <w:lang w:val="en-GB"/>
        </w:rPr>
        <w:t xml:space="preserve">that </w:t>
      </w:r>
      <w:r w:rsidR="000469E9" w:rsidRPr="003253E5">
        <w:rPr>
          <w:rFonts w:ascii="Times New Roman" w:hAnsi="Times New Roman" w:cs="Times New Roman"/>
          <w:sz w:val="24"/>
          <w:szCs w:val="24"/>
          <w:lang w:val="en-GB"/>
        </w:rPr>
        <w:t xml:space="preserve">the </w:t>
      </w:r>
      <w:r w:rsidR="000F1E82" w:rsidRPr="003253E5">
        <w:rPr>
          <w:rFonts w:ascii="Times New Roman" w:hAnsi="Times New Roman" w:cs="Times New Roman"/>
          <w:sz w:val="24"/>
          <w:szCs w:val="24"/>
          <w:lang w:val="en-GB"/>
        </w:rPr>
        <w:t>(first) removal must be</w:t>
      </w:r>
      <w:r w:rsidR="006A7AE7" w:rsidRPr="003253E5">
        <w:rPr>
          <w:rFonts w:ascii="Times New Roman" w:hAnsi="Times New Roman" w:cs="Times New Roman"/>
          <w:sz w:val="24"/>
          <w:szCs w:val="24"/>
          <w:lang w:val="en-GB"/>
        </w:rPr>
        <w:t xml:space="preserve"> from a storage tank owned by or under the control of a licensee of a VM or licensee of a SOS.  </w:t>
      </w:r>
      <w:r w:rsidR="00B06281" w:rsidRPr="003253E5">
        <w:rPr>
          <w:rFonts w:ascii="Times New Roman" w:hAnsi="Times New Roman" w:cs="Times New Roman"/>
          <w:sz w:val="24"/>
          <w:szCs w:val="24"/>
          <w:lang w:val="en-GB"/>
        </w:rPr>
        <w:t>PetroSA argues that there</w:t>
      </w:r>
      <w:r w:rsidR="000F1E82" w:rsidRPr="003253E5">
        <w:rPr>
          <w:rFonts w:ascii="Times New Roman" w:hAnsi="Times New Roman" w:cs="Times New Roman"/>
          <w:sz w:val="24"/>
          <w:szCs w:val="24"/>
          <w:lang w:val="en-GB"/>
        </w:rPr>
        <w:t xml:space="preserve"> are no further requirements</w:t>
      </w:r>
      <w:r w:rsidR="00B06281" w:rsidRPr="003253E5">
        <w:rPr>
          <w:rFonts w:ascii="Times New Roman" w:hAnsi="Times New Roman" w:cs="Times New Roman"/>
          <w:sz w:val="24"/>
          <w:szCs w:val="24"/>
          <w:lang w:val="en-GB"/>
        </w:rPr>
        <w:t xml:space="preserve"> and that, if </w:t>
      </w:r>
      <w:r w:rsidR="000F1E82" w:rsidRPr="003253E5">
        <w:rPr>
          <w:rFonts w:ascii="Times New Roman" w:hAnsi="Times New Roman" w:cs="Times New Roman"/>
          <w:sz w:val="24"/>
          <w:szCs w:val="24"/>
          <w:lang w:val="en-GB"/>
        </w:rPr>
        <w:t>this is so, the set-offs must be allowed because all of the initial removals were from duty paid stock</w:t>
      </w:r>
      <w:r w:rsidR="006F6354" w:rsidRPr="003253E5">
        <w:rPr>
          <w:rFonts w:ascii="Times New Roman" w:hAnsi="Times New Roman" w:cs="Times New Roman"/>
          <w:sz w:val="24"/>
          <w:szCs w:val="24"/>
          <w:lang w:val="en-GB"/>
        </w:rPr>
        <w:t>, either from PetroSA</w:t>
      </w:r>
      <w:r w:rsidR="00DB3E2A" w:rsidRPr="003253E5">
        <w:rPr>
          <w:rFonts w:ascii="Times New Roman" w:hAnsi="Times New Roman" w:cs="Times New Roman"/>
          <w:sz w:val="24"/>
          <w:szCs w:val="24"/>
          <w:lang w:val="en-GB"/>
        </w:rPr>
        <w:t>’</w:t>
      </w:r>
      <w:r w:rsidR="006F6354" w:rsidRPr="003253E5">
        <w:rPr>
          <w:rFonts w:ascii="Times New Roman" w:hAnsi="Times New Roman" w:cs="Times New Roman"/>
          <w:sz w:val="24"/>
          <w:szCs w:val="24"/>
          <w:lang w:val="en-GB"/>
        </w:rPr>
        <w:t>s VM or the VM of other licensees</w:t>
      </w:r>
      <w:r w:rsidR="00DB3E2A" w:rsidRPr="003253E5">
        <w:rPr>
          <w:rFonts w:ascii="Times New Roman" w:hAnsi="Times New Roman" w:cs="Times New Roman"/>
          <w:sz w:val="24"/>
          <w:szCs w:val="24"/>
          <w:lang w:val="en-GB"/>
        </w:rPr>
        <w:t>.</w:t>
      </w:r>
    </w:p>
    <w:p w14:paraId="1C0E1AF5" w14:textId="78908993" w:rsidR="000F1E82"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48.2.</w:t>
      </w:r>
      <w:r w:rsidRPr="008F5862">
        <w:rPr>
          <w:rFonts w:ascii="Times New Roman" w:hAnsi="Times New Roman" w:cs="Times New Roman"/>
          <w:sz w:val="24"/>
          <w:szCs w:val="24"/>
          <w:lang w:val="en-GB"/>
        </w:rPr>
        <w:tab/>
      </w:r>
      <w:r w:rsidR="000F1E82" w:rsidRPr="003253E5">
        <w:rPr>
          <w:rFonts w:ascii="Times New Roman" w:hAnsi="Times New Roman" w:cs="Times New Roman"/>
          <w:sz w:val="24"/>
          <w:szCs w:val="24"/>
          <w:lang w:val="en-GB"/>
        </w:rPr>
        <w:t>Secondly, and in the alternative, PetroSA contends that even if the Rule envisages two or more removals, first from duty-paid stock and thereafter from</w:t>
      </w:r>
      <w:r w:rsidR="000469E9" w:rsidRPr="003253E5">
        <w:rPr>
          <w:rFonts w:ascii="Times New Roman" w:hAnsi="Times New Roman" w:cs="Times New Roman"/>
          <w:sz w:val="24"/>
          <w:szCs w:val="24"/>
          <w:lang w:val="en-GB"/>
        </w:rPr>
        <w:t xml:space="preserve"> any</w:t>
      </w:r>
      <w:r w:rsidR="000F1E82" w:rsidRPr="003253E5">
        <w:rPr>
          <w:rFonts w:ascii="Times New Roman" w:hAnsi="Times New Roman" w:cs="Times New Roman"/>
          <w:sz w:val="24"/>
          <w:szCs w:val="24"/>
          <w:lang w:val="en-GB"/>
        </w:rPr>
        <w:t xml:space="preserve"> other facilit</w:t>
      </w:r>
      <w:r w:rsidR="000469E9" w:rsidRPr="003253E5">
        <w:rPr>
          <w:rFonts w:ascii="Times New Roman" w:hAnsi="Times New Roman" w:cs="Times New Roman"/>
          <w:sz w:val="24"/>
          <w:szCs w:val="24"/>
          <w:lang w:val="en-GB"/>
        </w:rPr>
        <w:t>y</w:t>
      </w:r>
      <w:r w:rsidR="000F1E82" w:rsidRPr="003253E5">
        <w:rPr>
          <w:rFonts w:ascii="Times New Roman" w:hAnsi="Times New Roman" w:cs="Times New Roman"/>
          <w:sz w:val="24"/>
          <w:szCs w:val="24"/>
          <w:lang w:val="en-GB"/>
        </w:rPr>
        <w:t xml:space="preserve"> until the fuel goods leave the country</w:t>
      </w:r>
      <w:r w:rsidR="000469E9" w:rsidRPr="003253E5">
        <w:rPr>
          <w:rFonts w:ascii="Times New Roman" w:hAnsi="Times New Roman" w:cs="Times New Roman"/>
          <w:sz w:val="24"/>
          <w:szCs w:val="24"/>
          <w:lang w:val="en-GB"/>
        </w:rPr>
        <w:t>,</w:t>
      </w:r>
      <w:r w:rsidR="000F1E82" w:rsidRPr="003253E5">
        <w:rPr>
          <w:rFonts w:ascii="Times New Roman" w:hAnsi="Times New Roman" w:cs="Times New Roman"/>
          <w:sz w:val="24"/>
          <w:szCs w:val="24"/>
          <w:lang w:val="en-GB"/>
        </w:rPr>
        <w:t xml:space="preserve"> there was compliance because </w:t>
      </w:r>
      <w:r w:rsidR="006F6354" w:rsidRPr="003253E5">
        <w:rPr>
          <w:rFonts w:ascii="Times New Roman" w:hAnsi="Times New Roman" w:cs="Times New Roman"/>
          <w:sz w:val="24"/>
          <w:szCs w:val="24"/>
          <w:lang w:val="en-GB"/>
        </w:rPr>
        <w:t>the second and further removals were from storage tank</w:t>
      </w:r>
      <w:r w:rsidR="00DB3E2A" w:rsidRPr="003253E5">
        <w:rPr>
          <w:rFonts w:ascii="Times New Roman" w:hAnsi="Times New Roman" w:cs="Times New Roman"/>
          <w:sz w:val="24"/>
          <w:szCs w:val="24"/>
          <w:lang w:val="en-GB"/>
        </w:rPr>
        <w:t>s</w:t>
      </w:r>
      <w:r w:rsidR="006F6354" w:rsidRPr="003253E5">
        <w:rPr>
          <w:rFonts w:ascii="Times New Roman" w:hAnsi="Times New Roman" w:cs="Times New Roman"/>
          <w:sz w:val="24"/>
          <w:szCs w:val="24"/>
          <w:lang w:val="en-GB"/>
        </w:rPr>
        <w:t xml:space="preserve"> owned by or under control of a licensee.  </w:t>
      </w:r>
      <w:r w:rsidR="00B06281" w:rsidRPr="003253E5">
        <w:rPr>
          <w:rFonts w:ascii="Times New Roman" w:hAnsi="Times New Roman" w:cs="Times New Roman"/>
          <w:sz w:val="24"/>
          <w:szCs w:val="24"/>
          <w:lang w:val="en-GB"/>
        </w:rPr>
        <w:t>PetroSA argues that there</w:t>
      </w:r>
      <w:r w:rsidR="006F6354" w:rsidRPr="003253E5">
        <w:rPr>
          <w:rFonts w:ascii="Times New Roman" w:hAnsi="Times New Roman" w:cs="Times New Roman"/>
          <w:sz w:val="24"/>
          <w:szCs w:val="24"/>
          <w:lang w:val="en-GB"/>
        </w:rPr>
        <w:t xml:space="preserve"> is no requirement that the storage tanks</w:t>
      </w:r>
      <w:r w:rsidR="00B06281" w:rsidRPr="003253E5">
        <w:rPr>
          <w:rFonts w:ascii="Times New Roman" w:hAnsi="Times New Roman" w:cs="Times New Roman"/>
          <w:sz w:val="24"/>
          <w:szCs w:val="24"/>
          <w:lang w:val="en-GB"/>
        </w:rPr>
        <w:t xml:space="preserve"> themselves must be licensed. </w:t>
      </w:r>
      <w:r w:rsidR="006F6354" w:rsidRPr="003253E5">
        <w:rPr>
          <w:rFonts w:ascii="Times New Roman" w:hAnsi="Times New Roman" w:cs="Times New Roman"/>
          <w:sz w:val="24"/>
          <w:szCs w:val="24"/>
          <w:lang w:val="en-GB"/>
        </w:rPr>
        <w:t xml:space="preserve"> In this regard, </w:t>
      </w:r>
      <w:r w:rsidR="000469E9" w:rsidRPr="003253E5">
        <w:rPr>
          <w:rFonts w:ascii="Times New Roman" w:hAnsi="Times New Roman" w:cs="Times New Roman"/>
          <w:sz w:val="24"/>
          <w:szCs w:val="24"/>
          <w:lang w:val="en-GB"/>
        </w:rPr>
        <w:t>PetroSA</w:t>
      </w:r>
      <w:r w:rsidR="006F6354" w:rsidRPr="003253E5">
        <w:rPr>
          <w:rFonts w:ascii="Times New Roman" w:hAnsi="Times New Roman" w:cs="Times New Roman"/>
          <w:sz w:val="24"/>
          <w:szCs w:val="24"/>
          <w:lang w:val="en-GB"/>
        </w:rPr>
        <w:t xml:space="preserve"> contend</w:t>
      </w:r>
      <w:r w:rsidR="00B06281" w:rsidRPr="003253E5">
        <w:rPr>
          <w:rFonts w:ascii="Times New Roman" w:hAnsi="Times New Roman" w:cs="Times New Roman"/>
          <w:sz w:val="24"/>
          <w:szCs w:val="24"/>
          <w:lang w:val="en-GB"/>
        </w:rPr>
        <w:t>s that it is the owner of the Bloemfontein and Tzaneen depots from which the removals took place; that the facilities at Waltloo, Alrode and IVS are under control of Total and Shell, both VM licensees; and that VM</w:t>
      </w:r>
      <w:r w:rsidR="000469E9" w:rsidRPr="003253E5">
        <w:rPr>
          <w:rFonts w:ascii="Times New Roman" w:hAnsi="Times New Roman" w:cs="Times New Roman"/>
          <w:sz w:val="24"/>
          <w:szCs w:val="24"/>
          <w:lang w:val="en-GB"/>
        </w:rPr>
        <w:t>s</w:t>
      </w:r>
      <w:r w:rsidR="00B06281" w:rsidRPr="003253E5">
        <w:rPr>
          <w:rFonts w:ascii="Times New Roman" w:hAnsi="Times New Roman" w:cs="Times New Roman"/>
          <w:sz w:val="24"/>
          <w:szCs w:val="24"/>
          <w:lang w:val="en-GB"/>
        </w:rPr>
        <w:t xml:space="preserve"> are jointly in control of Tarlton and whilst there, the fuel is accounted for a</w:t>
      </w:r>
      <w:r w:rsidR="000469E9" w:rsidRPr="003253E5">
        <w:rPr>
          <w:rFonts w:ascii="Times New Roman" w:hAnsi="Times New Roman" w:cs="Times New Roman"/>
          <w:sz w:val="24"/>
          <w:szCs w:val="24"/>
          <w:lang w:val="en-GB"/>
        </w:rPr>
        <w:t>s</w:t>
      </w:r>
      <w:r w:rsidR="00B06281" w:rsidRPr="003253E5">
        <w:rPr>
          <w:rFonts w:ascii="Times New Roman" w:hAnsi="Times New Roman" w:cs="Times New Roman"/>
          <w:sz w:val="24"/>
          <w:szCs w:val="24"/>
          <w:lang w:val="en-GB"/>
        </w:rPr>
        <w:t xml:space="preserve"> stock of the</w:t>
      </w:r>
      <w:r w:rsidR="000469E9" w:rsidRPr="003253E5">
        <w:rPr>
          <w:rFonts w:ascii="Times New Roman" w:hAnsi="Times New Roman" w:cs="Times New Roman"/>
          <w:sz w:val="24"/>
          <w:szCs w:val="24"/>
          <w:lang w:val="en-GB"/>
        </w:rPr>
        <w:t xml:space="preserve"> relevant</w:t>
      </w:r>
      <w:r w:rsidR="00B06281" w:rsidRPr="003253E5">
        <w:rPr>
          <w:rFonts w:ascii="Times New Roman" w:hAnsi="Times New Roman" w:cs="Times New Roman"/>
          <w:sz w:val="24"/>
          <w:szCs w:val="24"/>
          <w:lang w:val="en-GB"/>
        </w:rPr>
        <w:t xml:space="preserve"> VM.</w:t>
      </w:r>
      <w:r w:rsidR="00427B6B" w:rsidRPr="008F5862">
        <w:rPr>
          <w:rStyle w:val="FootnoteReference"/>
          <w:rFonts w:ascii="Times New Roman" w:hAnsi="Times New Roman" w:cs="Times New Roman"/>
          <w:sz w:val="24"/>
          <w:szCs w:val="24"/>
          <w:lang w:val="en-GB"/>
        </w:rPr>
        <w:footnoteReference w:id="13"/>
      </w:r>
      <w:r w:rsidR="00B06281" w:rsidRPr="003253E5">
        <w:rPr>
          <w:rFonts w:ascii="Times New Roman" w:hAnsi="Times New Roman" w:cs="Times New Roman"/>
          <w:sz w:val="24"/>
          <w:szCs w:val="24"/>
          <w:lang w:val="en-GB"/>
        </w:rPr>
        <w:t xml:space="preserve"> </w:t>
      </w:r>
    </w:p>
    <w:p w14:paraId="67156ED3" w14:textId="7E928785" w:rsidR="00B06281"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[49]</w:t>
      </w:r>
      <w:r w:rsidRPr="008F5862">
        <w:rPr>
          <w:rFonts w:ascii="Times New Roman" w:hAnsi="Times New Roman" w:cs="Times New Roman"/>
          <w:sz w:val="24"/>
          <w:szCs w:val="24"/>
          <w:lang w:val="en-GB"/>
        </w:rPr>
        <w:tab/>
      </w:r>
      <w:r w:rsidR="00427B6B" w:rsidRPr="003253E5">
        <w:rPr>
          <w:rFonts w:ascii="Times New Roman" w:hAnsi="Times New Roman" w:cs="Times New Roman"/>
          <w:sz w:val="24"/>
          <w:szCs w:val="24"/>
          <w:lang w:val="en-GB"/>
        </w:rPr>
        <w:t>SARS contends that both of these interpretations would undermine</w:t>
      </w:r>
      <w:r w:rsidR="00DE6A65" w:rsidRPr="003253E5">
        <w:rPr>
          <w:rFonts w:ascii="Times New Roman" w:hAnsi="Times New Roman" w:cs="Times New Roman"/>
          <w:sz w:val="24"/>
          <w:szCs w:val="24"/>
          <w:lang w:val="en-GB"/>
        </w:rPr>
        <w:t xml:space="preserve"> </w:t>
      </w:r>
      <w:r w:rsidR="00427B6B" w:rsidRPr="003253E5">
        <w:rPr>
          <w:rFonts w:ascii="Times New Roman" w:hAnsi="Times New Roman" w:cs="Times New Roman"/>
          <w:sz w:val="24"/>
          <w:szCs w:val="24"/>
          <w:lang w:val="en-GB"/>
        </w:rPr>
        <w:t>the legislative scheme because once in unlicensed premises the fuel goods leave the controlled environment and it may be mixed with imported fuel or replaced</w:t>
      </w:r>
      <w:r w:rsidR="000469E9" w:rsidRPr="003253E5">
        <w:rPr>
          <w:rFonts w:ascii="Times New Roman" w:hAnsi="Times New Roman" w:cs="Times New Roman"/>
          <w:sz w:val="24"/>
          <w:szCs w:val="24"/>
          <w:lang w:val="en-GB"/>
        </w:rPr>
        <w:t xml:space="preserve">. </w:t>
      </w:r>
      <w:r w:rsidR="00427B6B" w:rsidRPr="003253E5">
        <w:rPr>
          <w:rFonts w:ascii="Times New Roman" w:hAnsi="Times New Roman" w:cs="Times New Roman"/>
          <w:sz w:val="24"/>
          <w:szCs w:val="24"/>
          <w:lang w:val="en-GB"/>
        </w:rPr>
        <w:t xml:space="preserve"> </w:t>
      </w:r>
      <w:r w:rsidR="000469E9" w:rsidRPr="003253E5">
        <w:rPr>
          <w:rFonts w:ascii="Times New Roman" w:hAnsi="Times New Roman" w:cs="Times New Roman"/>
          <w:sz w:val="24"/>
          <w:szCs w:val="24"/>
          <w:lang w:val="en-GB"/>
        </w:rPr>
        <w:t>If this happens</w:t>
      </w:r>
      <w:r w:rsidR="00427B6B" w:rsidRPr="003253E5">
        <w:rPr>
          <w:rFonts w:ascii="Times New Roman" w:hAnsi="Times New Roman" w:cs="Times New Roman"/>
          <w:sz w:val="24"/>
          <w:szCs w:val="24"/>
          <w:lang w:val="en-GB"/>
        </w:rPr>
        <w:t xml:space="preserve"> there would be no way of proving </w:t>
      </w:r>
      <w:r w:rsidR="000469E9" w:rsidRPr="003253E5">
        <w:rPr>
          <w:rFonts w:ascii="Times New Roman" w:hAnsi="Times New Roman" w:cs="Times New Roman"/>
          <w:sz w:val="24"/>
          <w:szCs w:val="24"/>
          <w:lang w:val="en-GB"/>
        </w:rPr>
        <w:t>the goods</w:t>
      </w:r>
      <w:r w:rsidR="00DB3E2A" w:rsidRPr="003253E5">
        <w:rPr>
          <w:rFonts w:ascii="Times New Roman" w:hAnsi="Times New Roman" w:cs="Times New Roman"/>
          <w:sz w:val="24"/>
          <w:szCs w:val="24"/>
          <w:lang w:val="en-GB"/>
        </w:rPr>
        <w:t>’</w:t>
      </w:r>
      <w:r w:rsidR="00427B6B" w:rsidRPr="003253E5">
        <w:rPr>
          <w:rFonts w:ascii="Times New Roman" w:hAnsi="Times New Roman" w:cs="Times New Roman"/>
          <w:sz w:val="24"/>
          <w:szCs w:val="24"/>
          <w:lang w:val="en-GB"/>
        </w:rPr>
        <w:t xml:space="preserve"> provenance because there is no requirement for procedures to be adhered </w:t>
      </w:r>
      <w:r w:rsidR="00DE6A65" w:rsidRPr="003253E5">
        <w:rPr>
          <w:rFonts w:ascii="Times New Roman" w:hAnsi="Times New Roman" w:cs="Times New Roman"/>
          <w:sz w:val="24"/>
          <w:szCs w:val="24"/>
          <w:lang w:val="en-GB"/>
        </w:rPr>
        <w:t>to enable such proof</w:t>
      </w:r>
      <w:r w:rsidR="000469E9" w:rsidRPr="003253E5">
        <w:rPr>
          <w:rFonts w:ascii="Times New Roman" w:hAnsi="Times New Roman" w:cs="Times New Roman"/>
          <w:sz w:val="24"/>
          <w:szCs w:val="24"/>
          <w:lang w:val="en-GB"/>
        </w:rPr>
        <w:t xml:space="preserve"> in</w:t>
      </w:r>
      <w:r w:rsidR="00DB3E2A" w:rsidRPr="003253E5">
        <w:rPr>
          <w:rFonts w:ascii="Times New Roman" w:hAnsi="Times New Roman" w:cs="Times New Roman"/>
          <w:sz w:val="24"/>
          <w:szCs w:val="24"/>
          <w:lang w:val="en-GB"/>
        </w:rPr>
        <w:t xml:space="preserve"> respect of</w:t>
      </w:r>
      <w:r w:rsidR="000469E9" w:rsidRPr="003253E5">
        <w:rPr>
          <w:rFonts w:ascii="Times New Roman" w:hAnsi="Times New Roman" w:cs="Times New Roman"/>
          <w:sz w:val="24"/>
          <w:szCs w:val="24"/>
          <w:lang w:val="en-GB"/>
        </w:rPr>
        <w:t xml:space="preserve"> unlicenced facilities</w:t>
      </w:r>
      <w:r w:rsidR="00DE6A65" w:rsidRPr="003253E5">
        <w:rPr>
          <w:rFonts w:ascii="Times New Roman" w:hAnsi="Times New Roman" w:cs="Times New Roman"/>
          <w:sz w:val="24"/>
          <w:szCs w:val="24"/>
          <w:lang w:val="en-GB"/>
        </w:rPr>
        <w:t>.  It is contended further by SARS that Tarlton is owned and controlled by Transnet which is not a licensee and that it would be absurd to contend that the fuel stored there is under control of a licensee</w:t>
      </w:r>
      <w:r w:rsidR="000469E9" w:rsidRPr="003253E5">
        <w:rPr>
          <w:rFonts w:ascii="Times New Roman" w:hAnsi="Times New Roman" w:cs="Times New Roman"/>
          <w:sz w:val="24"/>
          <w:szCs w:val="24"/>
          <w:lang w:val="en-GB"/>
        </w:rPr>
        <w:t>, such as PetroSA, BP and others.</w:t>
      </w:r>
    </w:p>
    <w:p w14:paraId="128F7526" w14:textId="510A726D" w:rsidR="00427B6B"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[50]</w:t>
      </w:r>
      <w:r w:rsidRPr="008F5862">
        <w:rPr>
          <w:rFonts w:ascii="Times New Roman" w:hAnsi="Times New Roman" w:cs="Times New Roman"/>
          <w:sz w:val="24"/>
          <w:szCs w:val="24"/>
          <w:lang w:val="en-GB"/>
        </w:rPr>
        <w:tab/>
      </w:r>
      <w:r w:rsidR="00DE6A65" w:rsidRPr="003253E5">
        <w:rPr>
          <w:rFonts w:ascii="Times New Roman" w:hAnsi="Times New Roman" w:cs="Times New Roman"/>
          <w:sz w:val="24"/>
          <w:szCs w:val="24"/>
          <w:lang w:val="en-GB"/>
        </w:rPr>
        <w:t xml:space="preserve">For the reasons set out in the next part dealing with the practice generally prevailing during the audit period, and in the conclusion, it is not necessary to or indeed appropriate to decide on the interpretation point. </w:t>
      </w:r>
    </w:p>
    <w:p w14:paraId="43E4C4CD" w14:textId="65EC9F19" w:rsidR="007505AC" w:rsidRPr="008F5862" w:rsidRDefault="003253E5" w:rsidP="003253E5">
      <w:pPr>
        <w:pStyle w:val="Heading2"/>
        <w:numPr>
          <w:ilvl w:val="0"/>
          <w:numId w:val="0"/>
        </w:numPr>
        <w:ind w:left="851" w:hanging="851"/>
        <w:rPr>
          <w:lang w:val="en-GB"/>
        </w:rPr>
      </w:pPr>
      <w:r w:rsidRPr="008F5862">
        <w:rPr>
          <w:u w:val="none"/>
          <w:lang w:val="en-GB"/>
        </w:rPr>
        <w:t>(ii)</w:t>
      </w:r>
      <w:r w:rsidRPr="008F5862">
        <w:rPr>
          <w:u w:val="none"/>
          <w:lang w:val="en-GB"/>
        </w:rPr>
        <w:tab/>
      </w:r>
      <w:r w:rsidR="007505AC" w:rsidRPr="008F5862">
        <w:rPr>
          <w:lang w:val="en-GB"/>
        </w:rPr>
        <w:t>Practice generally prevailing</w:t>
      </w:r>
    </w:p>
    <w:p w14:paraId="645584B0" w14:textId="30AFDE37" w:rsidR="00252B4D"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[51]</w:t>
      </w:r>
      <w:r w:rsidRPr="008F5862">
        <w:rPr>
          <w:rFonts w:ascii="Times New Roman" w:hAnsi="Times New Roman" w:cs="Times New Roman"/>
          <w:sz w:val="24"/>
          <w:szCs w:val="24"/>
          <w:lang w:val="en-GB"/>
        </w:rPr>
        <w:tab/>
      </w:r>
      <w:r w:rsidR="00252B4D" w:rsidRPr="003253E5">
        <w:rPr>
          <w:rFonts w:ascii="Times New Roman" w:hAnsi="Times New Roman" w:cs="Times New Roman"/>
          <w:sz w:val="24"/>
          <w:szCs w:val="24"/>
          <w:lang w:val="en-GB"/>
        </w:rPr>
        <w:t>In the notice of motion PetroSA seeks a declaration, in terms of s21 of the Superior Courts Act 10 of 2013, to the effect that a practice generally prevailing, as envisaged in s44(11A) of the Act, ha</w:t>
      </w:r>
      <w:r w:rsidR="00DB3E2A" w:rsidRPr="003253E5">
        <w:rPr>
          <w:rFonts w:ascii="Times New Roman" w:hAnsi="Times New Roman" w:cs="Times New Roman"/>
          <w:sz w:val="24"/>
          <w:szCs w:val="24"/>
          <w:lang w:val="en-GB"/>
        </w:rPr>
        <w:t>d</w:t>
      </w:r>
      <w:r w:rsidR="00252B4D" w:rsidRPr="003253E5">
        <w:rPr>
          <w:rFonts w:ascii="Times New Roman" w:hAnsi="Times New Roman" w:cs="Times New Roman"/>
          <w:sz w:val="24"/>
          <w:szCs w:val="24"/>
          <w:lang w:val="en-GB"/>
        </w:rPr>
        <w:t xml:space="preserve"> come into existence</w:t>
      </w:r>
      <w:r w:rsidR="001D6B63" w:rsidRPr="003253E5">
        <w:rPr>
          <w:rFonts w:ascii="Times New Roman" w:hAnsi="Times New Roman" w:cs="Times New Roman"/>
          <w:sz w:val="24"/>
          <w:szCs w:val="24"/>
          <w:lang w:val="en-GB"/>
        </w:rPr>
        <w:t>.  This practice</w:t>
      </w:r>
      <w:r w:rsidR="00252B4D" w:rsidRPr="003253E5">
        <w:rPr>
          <w:rFonts w:ascii="Times New Roman" w:hAnsi="Times New Roman" w:cs="Times New Roman"/>
          <w:sz w:val="24"/>
          <w:szCs w:val="24"/>
          <w:lang w:val="en-GB"/>
        </w:rPr>
        <w:t xml:space="preserve"> pertain</w:t>
      </w:r>
      <w:r w:rsidR="001D6B63" w:rsidRPr="003253E5">
        <w:rPr>
          <w:rFonts w:ascii="Times New Roman" w:hAnsi="Times New Roman" w:cs="Times New Roman"/>
          <w:sz w:val="24"/>
          <w:szCs w:val="24"/>
          <w:lang w:val="en-GB"/>
        </w:rPr>
        <w:t>ed</w:t>
      </w:r>
      <w:r w:rsidR="00252B4D" w:rsidRPr="003253E5">
        <w:rPr>
          <w:rFonts w:ascii="Times New Roman" w:hAnsi="Times New Roman" w:cs="Times New Roman"/>
          <w:sz w:val="24"/>
          <w:szCs w:val="24"/>
          <w:lang w:val="en-GB"/>
        </w:rPr>
        <w:t xml:space="preserve"> to duties and levies set off by licensees on their DA 160 accounts in respect of fuel goods removed or exported from unlicensed storage facilities</w:t>
      </w:r>
      <w:r w:rsidR="001D6B63" w:rsidRPr="003253E5">
        <w:rPr>
          <w:rFonts w:ascii="Times New Roman" w:hAnsi="Times New Roman" w:cs="Times New Roman"/>
          <w:sz w:val="24"/>
          <w:szCs w:val="24"/>
          <w:lang w:val="en-GB"/>
        </w:rPr>
        <w:t>.</w:t>
      </w:r>
    </w:p>
    <w:p w14:paraId="6436118A" w14:textId="3E5EF524" w:rsidR="00EF19F9"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[52]</w:t>
      </w:r>
      <w:r w:rsidRPr="008F5862">
        <w:rPr>
          <w:rFonts w:ascii="Times New Roman" w:hAnsi="Times New Roman" w:cs="Times New Roman"/>
          <w:sz w:val="24"/>
          <w:szCs w:val="24"/>
          <w:lang w:val="en-GB"/>
        </w:rPr>
        <w:tab/>
      </w:r>
      <w:r w:rsidR="001D6B63" w:rsidRPr="003253E5">
        <w:rPr>
          <w:rFonts w:ascii="Times New Roman" w:hAnsi="Times New Roman" w:cs="Times New Roman"/>
          <w:sz w:val="24"/>
          <w:szCs w:val="24"/>
          <w:lang w:val="en-GB"/>
        </w:rPr>
        <w:t>As stated above, all</w:t>
      </w:r>
      <w:r w:rsidR="00EF19F9" w:rsidRPr="003253E5">
        <w:rPr>
          <w:rFonts w:ascii="Times New Roman" w:hAnsi="Times New Roman" w:cs="Times New Roman"/>
          <w:sz w:val="24"/>
          <w:szCs w:val="24"/>
          <w:lang w:val="en-GB"/>
        </w:rPr>
        <w:t xml:space="preserve"> the refunds set off by PetroSA during the audit period, involving thousands of transactions have been disallowed, mainly on the basis </w:t>
      </w:r>
      <w:r w:rsidR="007E4607" w:rsidRPr="003253E5">
        <w:rPr>
          <w:rFonts w:ascii="Times New Roman" w:hAnsi="Times New Roman" w:cs="Times New Roman"/>
          <w:sz w:val="24"/>
          <w:szCs w:val="24"/>
          <w:lang w:val="en-GB"/>
        </w:rPr>
        <w:t xml:space="preserve">that the storage facilities from which the product was ultimately removed prior to export, was not a licensed warehouse in terms of the Act. </w:t>
      </w:r>
      <w:r w:rsidR="00252B4D" w:rsidRPr="003253E5">
        <w:rPr>
          <w:rFonts w:ascii="Times New Roman" w:hAnsi="Times New Roman" w:cs="Times New Roman"/>
          <w:sz w:val="24"/>
          <w:szCs w:val="24"/>
          <w:lang w:val="en-GB"/>
        </w:rPr>
        <w:t xml:space="preserve"> </w:t>
      </w:r>
      <w:r w:rsidR="001D6B63" w:rsidRPr="003253E5">
        <w:rPr>
          <w:rFonts w:ascii="Times New Roman" w:hAnsi="Times New Roman" w:cs="Times New Roman"/>
          <w:sz w:val="24"/>
          <w:szCs w:val="24"/>
          <w:lang w:val="en-GB"/>
        </w:rPr>
        <w:t>T</w:t>
      </w:r>
      <w:r w:rsidR="00252B4D" w:rsidRPr="003253E5">
        <w:rPr>
          <w:rFonts w:ascii="Times New Roman" w:hAnsi="Times New Roman" w:cs="Times New Roman"/>
          <w:sz w:val="24"/>
          <w:szCs w:val="24"/>
          <w:lang w:val="en-GB"/>
        </w:rPr>
        <w:t>his underlies the</w:t>
      </w:r>
      <w:r w:rsidR="001D6B63" w:rsidRPr="003253E5">
        <w:rPr>
          <w:rFonts w:ascii="Times New Roman" w:hAnsi="Times New Roman" w:cs="Times New Roman"/>
          <w:sz w:val="24"/>
          <w:szCs w:val="24"/>
          <w:lang w:val="en-GB"/>
        </w:rPr>
        <w:t xml:space="preserve"> (initial)</w:t>
      </w:r>
      <w:r w:rsidR="00252B4D" w:rsidRPr="003253E5">
        <w:rPr>
          <w:rFonts w:ascii="Times New Roman" w:hAnsi="Times New Roman" w:cs="Times New Roman"/>
          <w:sz w:val="24"/>
          <w:szCs w:val="24"/>
          <w:lang w:val="en-GB"/>
        </w:rPr>
        <w:t xml:space="preserve"> claim of SARS </w:t>
      </w:r>
      <w:r w:rsidR="00B03ED6" w:rsidRPr="003253E5">
        <w:rPr>
          <w:rFonts w:ascii="Times New Roman" w:hAnsi="Times New Roman" w:cs="Times New Roman"/>
          <w:sz w:val="24"/>
          <w:szCs w:val="24"/>
          <w:lang w:val="en-GB"/>
        </w:rPr>
        <w:t>for repayment of refunds and related liabilities of over R1</w:t>
      </w:r>
      <w:r w:rsidR="001D6B63" w:rsidRPr="003253E5">
        <w:rPr>
          <w:rFonts w:ascii="Times New Roman" w:hAnsi="Times New Roman" w:cs="Times New Roman"/>
          <w:sz w:val="24"/>
          <w:szCs w:val="24"/>
          <w:lang w:val="en-GB"/>
        </w:rPr>
        <w:t> </w:t>
      </w:r>
      <w:r w:rsidR="00B03ED6" w:rsidRPr="003253E5">
        <w:rPr>
          <w:rFonts w:ascii="Times New Roman" w:hAnsi="Times New Roman" w:cs="Times New Roman"/>
          <w:sz w:val="24"/>
          <w:szCs w:val="24"/>
          <w:lang w:val="en-GB"/>
        </w:rPr>
        <w:t>billio</w:t>
      </w:r>
      <w:r w:rsidR="00760803" w:rsidRPr="003253E5">
        <w:rPr>
          <w:rFonts w:ascii="Times New Roman" w:hAnsi="Times New Roman" w:cs="Times New Roman"/>
          <w:sz w:val="24"/>
          <w:szCs w:val="24"/>
          <w:lang w:val="en-GB"/>
        </w:rPr>
        <w:t>n.</w:t>
      </w:r>
    </w:p>
    <w:p w14:paraId="0118F115" w14:textId="1ACE7136" w:rsidR="006E3DD9"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[53]</w:t>
      </w:r>
      <w:r w:rsidRPr="008F5862">
        <w:rPr>
          <w:rFonts w:ascii="Times New Roman" w:hAnsi="Times New Roman" w:cs="Times New Roman"/>
          <w:sz w:val="24"/>
          <w:szCs w:val="24"/>
          <w:lang w:val="en-GB"/>
        </w:rPr>
        <w:tab/>
      </w:r>
      <w:r w:rsidR="006E3DD9" w:rsidRPr="003253E5">
        <w:rPr>
          <w:rFonts w:ascii="Times New Roman" w:hAnsi="Times New Roman" w:cs="Times New Roman"/>
          <w:sz w:val="24"/>
          <w:szCs w:val="24"/>
          <w:lang w:val="en-GB"/>
        </w:rPr>
        <w:t>Section</w:t>
      </w:r>
      <w:r w:rsidR="0089293D" w:rsidRPr="003253E5">
        <w:rPr>
          <w:rFonts w:ascii="Times New Roman" w:hAnsi="Times New Roman" w:cs="Times New Roman"/>
          <w:sz w:val="24"/>
          <w:szCs w:val="24"/>
          <w:lang w:val="en-GB"/>
        </w:rPr>
        <w:t> </w:t>
      </w:r>
      <w:r w:rsidR="006E3DD9" w:rsidRPr="003253E5">
        <w:rPr>
          <w:rFonts w:ascii="Times New Roman" w:hAnsi="Times New Roman" w:cs="Times New Roman"/>
          <w:sz w:val="24"/>
          <w:szCs w:val="24"/>
          <w:lang w:val="en-GB"/>
        </w:rPr>
        <w:t>44(11A) of the Act provides as follows:</w:t>
      </w:r>
    </w:p>
    <w:p w14:paraId="34E55DDD" w14:textId="0434615A" w:rsidR="006E3DD9" w:rsidRPr="008F5862" w:rsidRDefault="00DB3E2A" w:rsidP="00255A08">
      <w:pPr>
        <w:pStyle w:val="Quote"/>
        <w:spacing w:after="600"/>
        <w:rPr>
          <w:lang w:val="en-GB"/>
        </w:rPr>
      </w:pPr>
      <w:r>
        <w:rPr>
          <w:lang w:val="en-GB"/>
        </w:rPr>
        <w:t>“</w:t>
      </w:r>
      <w:r w:rsidR="006E3DD9" w:rsidRPr="008F5862">
        <w:rPr>
          <w:lang w:val="en-GB"/>
        </w:rPr>
        <w:t>(11A) Notwithstanding anything to the contrary contained in this Act, there shall be no liability for any underpayment on any goods if the duty which should have been paid was, in accordance with the practice generally prevailing at the time of entry for home consumption, not paid or the full amount of duty which should have been paid at the time of entry for home consumption was, in accordance with such practice, not paid, unless the Commissioner is satisfied that the amount of duty which should have been paid was not paid, or that the full amount of duty was not paid due to fraud or misrepresentation or non-disclosure of material facts or any false declaration for purposes of this Act.</w:t>
      </w:r>
      <w:r>
        <w:rPr>
          <w:lang w:val="en-GB"/>
        </w:rPr>
        <w:t>”</w:t>
      </w:r>
    </w:p>
    <w:p w14:paraId="2456D98A" w14:textId="2A3770F8" w:rsidR="006E3DD9"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[54]</w:t>
      </w:r>
      <w:r w:rsidRPr="008F5862">
        <w:rPr>
          <w:rFonts w:ascii="Times New Roman" w:hAnsi="Times New Roman" w:cs="Times New Roman"/>
          <w:sz w:val="24"/>
          <w:szCs w:val="24"/>
          <w:lang w:val="en-GB"/>
        </w:rPr>
        <w:tab/>
      </w:r>
      <w:r w:rsidR="006E3DD9" w:rsidRPr="003253E5">
        <w:rPr>
          <w:rFonts w:ascii="Times New Roman" w:hAnsi="Times New Roman" w:cs="Times New Roman"/>
          <w:sz w:val="24"/>
          <w:szCs w:val="24"/>
          <w:lang w:val="en-GB"/>
        </w:rPr>
        <w:t>PetroSA contends that, on the assumption that SARS</w:t>
      </w:r>
      <w:r w:rsidR="00DB3E2A" w:rsidRPr="003253E5">
        <w:rPr>
          <w:rFonts w:ascii="Times New Roman" w:hAnsi="Times New Roman" w:cs="Times New Roman"/>
          <w:sz w:val="24"/>
          <w:szCs w:val="24"/>
          <w:lang w:val="en-GB"/>
        </w:rPr>
        <w:t>’</w:t>
      </w:r>
      <w:r w:rsidR="006E3DD9" w:rsidRPr="003253E5">
        <w:rPr>
          <w:rFonts w:ascii="Times New Roman" w:hAnsi="Times New Roman" w:cs="Times New Roman"/>
          <w:sz w:val="24"/>
          <w:szCs w:val="24"/>
          <w:lang w:val="en-GB"/>
        </w:rPr>
        <w:t xml:space="preserve"> interpretation of Rule</w:t>
      </w:r>
      <w:r w:rsidR="00C411EF" w:rsidRPr="003253E5">
        <w:rPr>
          <w:rFonts w:ascii="Times New Roman" w:hAnsi="Times New Roman" w:cs="Times New Roman"/>
          <w:sz w:val="24"/>
          <w:szCs w:val="24"/>
          <w:lang w:val="en-GB"/>
        </w:rPr>
        <w:t> </w:t>
      </w:r>
      <w:r w:rsidR="006E3DD9" w:rsidRPr="003253E5">
        <w:rPr>
          <w:rFonts w:ascii="Times New Roman" w:hAnsi="Times New Roman" w:cs="Times New Roman"/>
          <w:sz w:val="24"/>
          <w:szCs w:val="24"/>
          <w:lang w:val="en-GB"/>
        </w:rPr>
        <w:t>19A4.04(a)(ii) is correct</w:t>
      </w:r>
      <w:r w:rsidR="001D6B63" w:rsidRPr="003253E5">
        <w:rPr>
          <w:rFonts w:ascii="Times New Roman" w:hAnsi="Times New Roman" w:cs="Times New Roman"/>
          <w:sz w:val="24"/>
          <w:szCs w:val="24"/>
          <w:lang w:val="en-GB"/>
        </w:rPr>
        <w:t>,</w:t>
      </w:r>
      <w:r w:rsidR="006E3DD9" w:rsidRPr="003253E5">
        <w:rPr>
          <w:rFonts w:ascii="Times New Roman" w:hAnsi="Times New Roman" w:cs="Times New Roman"/>
          <w:sz w:val="24"/>
          <w:szCs w:val="24"/>
          <w:lang w:val="en-GB"/>
        </w:rPr>
        <w:t xml:space="preserve"> that the duty which ought to have been paid was not paid as it had been refunded in accordance with the practice generally prevailing at the time.</w:t>
      </w:r>
    </w:p>
    <w:p w14:paraId="4C91A88E" w14:textId="413699B1" w:rsidR="006E3DD9"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[55]</w:t>
      </w:r>
      <w:r w:rsidRPr="008F5862">
        <w:rPr>
          <w:rFonts w:ascii="Times New Roman" w:hAnsi="Times New Roman" w:cs="Times New Roman"/>
          <w:sz w:val="24"/>
          <w:szCs w:val="24"/>
          <w:lang w:val="en-GB"/>
        </w:rPr>
        <w:tab/>
      </w:r>
      <w:r w:rsidR="006E3DD9" w:rsidRPr="003253E5">
        <w:rPr>
          <w:rFonts w:ascii="Times New Roman" w:hAnsi="Times New Roman" w:cs="Times New Roman"/>
          <w:sz w:val="24"/>
          <w:szCs w:val="24"/>
          <w:lang w:val="en-GB"/>
        </w:rPr>
        <w:t>Section</w:t>
      </w:r>
      <w:r w:rsidR="0089293D" w:rsidRPr="003253E5">
        <w:rPr>
          <w:rFonts w:ascii="Times New Roman" w:hAnsi="Times New Roman" w:cs="Times New Roman"/>
          <w:sz w:val="24"/>
          <w:szCs w:val="24"/>
          <w:lang w:val="en-GB"/>
        </w:rPr>
        <w:t> </w:t>
      </w:r>
      <w:r w:rsidR="006E3DD9" w:rsidRPr="003253E5">
        <w:rPr>
          <w:rFonts w:ascii="Times New Roman" w:hAnsi="Times New Roman" w:cs="Times New Roman"/>
          <w:sz w:val="24"/>
          <w:szCs w:val="24"/>
          <w:lang w:val="en-GB"/>
        </w:rPr>
        <w:t xml:space="preserve">44(11A) of the Act has been interpreted in </w:t>
      </w:r>
      <w:r w:rsidR="00E44CF2" w:rsidRPr="003253E5">
        <w:rPr>
          <w:rFonts w:ascii="Times New Roman" w:hAnsi="Times New Roman" w:cs="Times New Roman"/>
          <w:b/>
          <w:bCs/>
          <w:sz w:val="24"/>
          <w:szCs w:val="24"/>
          <w:u w:val="single"/>
          <w:lang w:val="en-GB"/>
        </w:rPr>
        <w:t xml:space="preserve">CIR v </w:t>
      </w:r>
      <w:bookmarkStart w:id="1" w:name="_Hlk155885941"/>
      <w:r w:rsidR="00E44CF2" w:rsidRPr="003253E5">
        <w:rPr>
          <w:rFonts w:ascii="Times New Roman" w:hAnsi="Times New Roman" w:cs="Times New Roman"/>
          <w:b/>
          <w:bCs/>
          <w:sz w:val="24"/>
          <w:szCs w:val="24"/>
          <w:u w:val="single"/>
          <w:lang w:val="en-GB"/>
        </w:rPr>
        <w:t xml:space="preserve">SA Mutual Unit Trust </w:t>
      </w:r>
      <w:bookmarkEnd w:id="1"/>
      <w:r w:rsidR="00E44CF2" w:rsidRPr="003253E5">
        <w:rPr>
          <w:rFonts w:ascii="Times New Roman" w:hAnsi="Times New Roman" w:cs="Times New Roman"/>
          <w:b/>
          <w:bCs/>
          <w:sz w:val="24"/>
          <w:szCs w:val="24"/>
          <w:u w:val="single"/>
          <w:lang w:val="en-GB"/>
        </w:rPr>
        <w:t>Management Co Ltd</w:t>
      </w:r>
      <w:r w:rsidR="00F7161B" w:rsidRPr="003253E5">
        <w:rPr>
          <w:rFonts w:ascii="Times New Roman" w:hAnsi="Times New Roman" w:cs="Times New Roman"/>
          <w:sz w:val="24"/>
          <w:szCs w:val="24"/>
          <w:lang w:val="en-GB"/>
        </w:rPr>
        <w:t xml:space="preserve"> </w:t>
      </w:r>
      <w:r w:rsidR="00E44CF2" w:rsidRPr="003253E5">
        <w:rPr>
          <w:rFonts w:ascii="Times New Roman" w:hAnsi="Times New Roman" w:cs="Times New Roman"/>
          <w:sz w:val="24"/>
          <w:szCs w:val="24"/>
          <w:lang w:val="en-GB"/>
        </w:rPr>
        <w:t>1990 (4) SA 529 (A)</w:t>
      </w:r>
      <w:r w:rsidR="002C523E" w:rsidRPr="003253E5">
        <w:rPr>
          <w:rFonts w:ascii="Times New Roman" w:hAnsi="Times New Roman" w:cs="Times New Roman"/>
          <w:sz w:val="24"/>
          <w:szCs w:val="24"/>
          <w:lang w:val="en-GB"/>
        </w:rPr>
        <w:t xml:space="preserve">.  </w:t>
      </w:r>
      <w:r w:rsidR="003D11CF" w:rsidRPr="003253E5">
        <w:rPr>
          <w:rFonts w:ascii="Times New Roman" w:hAnsi="Times New Roman" w:cs="Times New Roman"/>
          <w:sz w:val="24"/>
          <w:szCs w:val="24"/>
          <w:lang w:val="en-GB"/>
        </w:rPr>
        <w:t xml:space="preserve">In that Judgment the approach to the section was </w:t>
      </w:r>
      <w:r w:rsidR="00950C85" w:rsidRPr="003253E5">
        <w:rPr>
          <w:rFonts w:ascii="Times New Roman" w:hAnsi="Times New Roman" w:cs="Times New Roman"/>
          <w:sz w:val="24"/>
          <w:szCs w:val="24"/>
          <w:lang w:val="en-GB"/>
        </w:rPr>
        <w:t xml:space="preserve">relaxed somewhat in that the SCA </w:t>
      </w:r>
      <w:r w:rsidR="001D6B63" w:rsidRPr="003253E5">
        <w:rPr>
          <w:rFonts w:ascii="Times New Roman" w:hAnsi="Times New Roman" w:cs="Times New Roman"/>
          <w:sz w:val="24"/>
          <w:szCs w:val="24"/>
          <w:lang w:val="en-GB"/>
        </w:rPr>
        <w:t>held</w:t>
      </w:r>
      <w:r w:rsidR="00950C85" w:rsidRPr="003253E5">
        <w:rPr>
          <w:rFonts w:ascii="Times New Roman" w:hAnsi="Times New Roman" w:cs="Times New Roman"/>
          <w:sz w:val="24"/>
          <w:szCs w:val="24"/>
          <w:lang w:val="en-GB"/>
        </w:rPr>
        <w:t xml:space="preserve"> that </w:t>
      </w:r>
      <w:r w:rsidR="008B0DE5" w:rsidRPr="003253E5">
        <w:rPr>
          <w:rFonts w:ascii="Times New Roman" w:hAnsi="Times New Roman" w:cs="Times New Roman"/>
          <w:sz w:val="24"/>
          <w:szCs w:val="24"/>
          <w:lang w:val="en-GB"/>
        </w:rPr>
        <w:t xml:space="preserve">personal knowledge and approval of the alleged practice by the Commissioner is not necessary.  The approach </w:t>
      </w:r>
      <w:r w:rsidR="00EE5B12" w:rsidRPr="003253E5">
        <w:rPr>
          <w:rFonts w:ascii="Times New Roman" w:hAnsi="Times New Roman" w:cs="Times New Roman"/>
          <w:sz w:val="24"/>
          <w:szCs w:val="24"/>
          <w:lang w:val="en-GB"/>
        </w:rPr>
        <w:t>to be followed is described at p.536E-I as follows</w:t>
      </w:r>
      <w:r w:rsidR="00112EF5" w:rsidRPr="003253E5">
        <w:rPr>
          <w:rFonts w:ascii="Times New Roman" w:hAnsi="Times New Roman" w:cs="Times New Roman"/>
          <w:sz w:val="24"/>
          <w:szCs w:val="24"/>
          <w:lang w:val="en-GB"/>
        </w:rPr>
        <w:t xml:space="preserve"> (my underlining)</w:t>
      </w:r>
      <w:r w:rsidR="00EE5B12" w:rsidRPr="003253E5">
        <w:rPr>
          <w:rFonts w:ascii="Times New Roman" w:hAnsi="Times New Roman" w:cs="Times New Roman"/>
          <w:sz w:val="24"/>
          <w:szCs w:val="24"/>
          <w:lang w:val="en-GB"/>
        </w:rPr>
        <w:t>:</w:t>
      </w:r>
    </w:p>
    <w:p w14:paraId="4154E00B" w14:textId="2EBEBF4C" w:rsidR="00EE5B12" w:rsidRPr="008F5862" w:rsidRDefault="00DB3E2A" w:rsidP="00255A08">
      <w:pPr>
        <w:pStyle w:val="Quote"/>
        <w:spacing w:after="600"/>
        <w:rPr>
          <w:lang w:val="en-GB"/>
        </w:rPr>
      </w:pPr>
      <w:r>
        <w:rPr>
          <w:lang w:val="en-GB"/>
        </w:rPr>
        <w:t>“</w:t>
      </w:r>
      <w:r w:rsidR="00F92969" w:rsidRPr="008F5862">
        <w:rPr>
          <w:lang w:val="en-GB"/>
        </w:rPr>
        <w:t>It seems to me, with respect, that what was stated by Berman</w:t>
      </w:r>
      <w:r w:rsidR="001D6B63" w:rsidRPr="008F5862">
        <w:rPr>
          <w:lang w:val="en-GB"/>
        </w:rPr>
        <w:t> </w:t>
      </w:r>
      <w:r w:rsidR="00F92969" w:rsidRPr="008F5862">
        <w:rPr>
          <w:lang w:val="en-GB"/>
        </w:rPr>
        <w:t xml:space="preserve">J, as set forth above, places insufficient emphasis upon what is actually done in the different offices of the Department of Inland Revenue in the assessment of taxpayers. I also am of the view that it may be misleading to suggest as a requisite personal knowledge and approval of the practice on the part of the Commissioner. Although in terms of s 2(1) of the Act the Commissioner is the official responsible for carrying out the provisions of the Act, under s 3(1) the powers and duties thereby imposed upon him may be exercised or performed by him personally or by any officer engaged in carrying out the provisions of the Act </w:t>
      </w:r>
      <w:r>
        <w:rPr>
          <w:lang w:val="en-GB"/>
        </w:rPr>
        <w:t>‘</w:t>
      </w:r>
      <w:r w:rsidR="00F92969" w:rsidRPr="008F5862">
        <w:rPr>
          <w:lang w:val="en-GB"/>
        </w:rPr>
        <w:t>... under the control, direction or supervision of the Commissioner</w:t>
      </w:r>
      <w:r>
        <w:rPr>
          <w:lang w:val="en-GB"/>
        </w:rPr>
        <w:t>’</w:t>
      </w:r>
      <w:r w:rsidR="00F92969" w:rsidRPr="008F5862">
        <w:rPr>
          <w:lang w:val="en-GB"/>
        </w:rPr>
        <w:t xml:space="preserve">. At all events, </w:t>
      </w:r>
      <w:r w:rsidR="00F92969" w:rsidRPr="008F5862">
        <w:rPr>
          <w:u w:val="single"/>
          <w:lang w:val="en-GB"/>
        </w:rPr>
        <w:t xml:space="preserve">a practice </w:t>
      </w:r>
      <w:r>
        <w:rPr>
          <w:u w:val="single"/>
          <w:lang w:val="en-GB"/>
        </w:rPr>
        <w:t>‘</w:t>
      </w:r>
      <w:r w:rsidR="00F92969" w:rsidRPr="008F5862">
        <w:rPr>
          <w:u w:val="single"/>
          <w:lang w:val="en-GB"/>
        </w:rPr>
        <w:t>generally prevailing</w:t>
      </w:r>
      <w:r>
        <w:rPr>
          <w:u w:val="single"/>
          <w:lang w:val="en-GB"/>
        </w:rPr>
        <w:t>’</w:t>
      </w:r>
      <w:r w:rsidR="00F92969" w:rsidRPr="008F5862">
        <w:rPr>
          <w:u w:val="single"/>
          <w:lang w:val="en-GB"/>
        </w:rPr>
        <w:t xml:space="preserve"> is one which is applied generally in the different offices of the Department</w:t>
      </w:r>
      <w:r w:rsidR="00F92969" w:rsidRPr="008F5862">
        <w:rPr>
          <w:lang w:val="en-GB"/>
        </w:rPr>
        <w:t xml:space="preserve"> in the assessment of taxpayers and in seeking to establish such a practice in regard to a particular aspect of tax assessment it would not be sufficient to show that the practice was applied in merely one or two offices. Moreover, the word </w:t>
      </w:r>
      <w:r>
        <w:rPr>
          <w:lang w:val="en-GB"/>
        </w:rPr>
        <w:t>‘</w:t>
      </w:r>
      <w:r w:rsidR="00F92969" w:rsidRPr="008F5862">
        <w:rPr>
          <w:lang w:val="en-GB"/>
        </w:rPr>
        <w:t>practice</w:t>
      </w:r>
      <w:r>
        <w:rPr>
          <w:lang w:val="en-GB"/>
        </w:rPr>
        <w:t>’</w:t>
      </w:r>
      <w:r w:rsidR="00F92969" w:rsidRPr="008F5862">
        <w:rPr>
          <w:lang w:val="en-GB"/>
        </w:rPr>
        <w:t xml:space="preserve">, in this context, means </w:t>
      </w:r>
      <w:r>
        <w:rPr>
          <w:lang w:val="en-GB"/>
        </w:rPr>
        <w:t>‘</w:t>
      </w:r>
      <w:r w:rsidR="00F92969" w:rsidRPr="008F5862">
        <w:rPr>
          <w:lang w:val="en-GB"/>
        </w:rPr>
        <w:t>a habitual way or mode of acting</w:t>
      </w:r>
      <w:r>
        <w:rPr>
          <w:lang w:val="en-GB"/>
        </w:rPr>
        <w:t>’</w:t>
      </w:r>
      <w:r w:rsidR="00F92969" w:rsidRPr="008F5862">
        <w:rPr>
          <w:lang w:val="en-GB"/>
        </w:rPr>
        <w:t xml:space="preserve"> (see The Oxford English Dictionary meaning 2.c); </w:t>
      </w:r>
      <w:r w:rsidR="00F92969" w:rsidRPr="008F5862">
        <w:rPr>
          <w:u w:val="single"/>
          <w:lang w:val="en-GB"/>
        </w:rPr>
        <w:t>and consequently, in general, it would also not be sufficient to show that, in regard to an aspect of assessment, a certain attitude had been adopted by the assessors concerned only in some instances</w:t>
      </w:r>
      <w:r w:rsidR="00F92969" w:rsidRPr="008F5862">
        <w:rPr>
          <w:lang w:val="en-GB"/>
        </w:rPr>
        <w:t>.</w:t>
      </w:r>
      <w:r>
        <w:rPr>
          <w:lang w:val="en-GB"/>
        </w:rPr>
        <w:t>”</w:t>
      </w:r>
    </w:p>
    <w:p w14:paraId="5A4E6811" w14:textId="00100C64" w:rsidR="002874A1"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[56]</w:t>
      </w:r>
      <w:r w:rsidRPr="008F5862">
        <w:rPr>
          <w:rFonts w:ascii="Times New Roman" w:hAnsi="Times New Roman" w:cs="Times New Roman"/>
          <w:sz w:val="24"/>
          <w:szCs w:val="24"/>
          <w:lang w:val="en-GB"/>
        </w:rPr>
        <w:tab/>
      </w:r>
      <w:r w:rsidR="00D12C8C" w:rsidRPr="003253E5">
        <w:rPr>
          <w:rFonts w:ascii="Times New Roman" w:hAnsi="Times New Roman" w:cs="Times New Roman"/>
          <w:sz w:val="24"/>
          <w:szCs w:val="24"/>
          <w:lang w:val="en-GB"/>
        </w:rPr>
        <w:t xml:space="preserve">It is further well-established that the onus rests on </w:t>
      </w:r>
      <w:r w:rsidR="000E0009" w:rsidRPr="003253E5">
        <w:rPr>
          <w:rFonts w:ascii="Times New Roman" w:hAnsi="Times New Roman" w:cs="Times New Roman"/>
          <w:sz w:val="24"/>
          <w:szCs w:val="24"/>
          <w:lang w:val="en-GB"/>
        </w:rPr>
        <w:t xml:space="preserve">the taxpayer to show </w:t>
      </w:r>
      <w:r w:rsidR="00414EEE" w:rsidRPr="003253E5">
        <w:rPr>
          <w:rFonts w:ascii="Times New Roman" w:hAnsi="Times New Roman" w:cs="Times New Roman"/>
          <w:sz w:val="24"/>
          <w:szCs w:val="24"/>
          <w:lang w:val="en-GB"/>
        </w:rPr>
        <w:t xml:space="preserve">on a preponderance of probability </w:t>
      </w:r>
      <w:r w:rsidR="009703D4" w:rsidRPr="003253E5">
        <w:rPr>
          <w:rFonts w:ascii="Times New Roman" w:hAnsi="Times New Roman" w:cs="Times New Roman"/>
          <w:sz w:val="24"/>
          <w:szCs w:val="24"/>
          <w:lang w:val="en-GB"/>
        </w:rPr>
        <w:t xml:space="preserve">the existence of the </w:t>
      </w:r>
      <w:r w:rsidR="00414EEE" w:rsidRPr="003253E5">
        <w:rPr>
          <w:rFonts w:ascii="Times New Roman" w:hAnsi="Times New Roman" w:cs="Times New Roman"/>
          <w:sz w:val="24"/>
          <w:szCs w:val="24"/>
          <w:lang w:val="en-GB"/>
        </w:rPr>
        <w:t>practice generally prevailing at the time of assessment</w:t>
      </w:r>
      <w:r w:rsidR="00183032" w:rsidRPr="003253E5">
        <w:rPr>
          <w:rFonts w:ascii="Times New Roman" w:hAnsi="Times New Roman" w:cs="Times New Roman"/>
          <w:sz w:val="24"/>
          <w:szCs w:val="24"/>
          <w:lang w:val="en-GB"/>
        </w:rPr>
        <w:t>.</w:t>
      </w:r>
      <w:r w:rsidR="00183032" w:rsidRPr="008F5862">
        <w:rPr>
          <w:rStyle w:val="FootnoteReference"/>
          <w:rFonts w:ascii="Times New Roman" w:hAnsi="Times New Roman" w:cs="Times New Roman"/>
          <w:sz w:val="24"/>
          <w:szCs w:val="24"/>
          <w:lang w:val="en-GB"/>
        </w:rPr>
        <w:footnoteReference w:id="14"/>
      </w:r>
      <w:r w:rsidR="00183032" w:rsidRPr="003253E5">
        <w:rPr>
          <w:rFonts w:ascii="Times New Roman" w:hAnsi="Times New Roman" w:cs="Times New Roman"/>
          <w:sz w:val="24"/>
          <w:szCs w:val="24"/>
          <w:lang w:val="en-GB"/>
        </w:rPr>
        <w:t xml:space="preserve"> </w:t>
      </w:r>
    </w:p>
    <w:p w14:paraId="7929659A" w14:textId="0133D6E0" w:rsidR="00F37E84"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[57]</w:t>
      </w:r>
      <w:r w:rsidRPr="008F5862">
        <w:rPr>
          <w:rFonts w:ascii="Times New Roman" w:hAnsi="Times New Roman" w:cs="Times New Roman"/>
          <w:sz w:val="24"/>
          <w:szCs w:val="24"/>
          <w:lang w:val="en-GB"/>
        </w:rPr>
        <w:tab/>
      </w:r>
      <w:r w:rsidR="007B7864" w:rsidRPr="003253E5">
        <w:rPr>
          <w:rFonts w:ascii="Times New Roman" w:hAnsi="Times New Roman" w:cs="Times New Roman"/>
          <w:sz w:val="24"/>
          <w:szCs w:val="24"/>
          <w:lang w:val="en-GB"/>
        </w:rPr>
        <w:t xml:space="preserve">I shall revert to the details of the alleged practice further below. </w:t>
      </w:r>
      <w:r w:rsidR="00341923" w:rsidRPr="003253E5">
        <w:rPr>
          <w:rFonts w:ascii="Times New Roman" w:hAnsi="Times New Roman" w:cs="Times New Roman"/>
          <w:sz w:val="24"/>
          <w:szCs w:val="24"/>
          <w:lang w:val="en-GB"/>
        </w:rPr>
        <w:t xml:space="preserve"> There is a preliminary issue which concerns the </w:t>
      </w:r>
      <w:r w:rsidR="00BA7534" w:rsidRPr="003253E5">
        <w:rPr>
          <w:rFonts w:ascii="Times New Roman" w:hAnsi="Times New Roman" w:cs="Times New Roman"/>
          <w:sz w:val="24"/>
          <w:szCs w:val="24"/>
          <w:lang w:val="en-GB"/>
        </w:rPr>
        <w:t xml:space="preserve">legal </w:t>
      </w:r>
      <w:r w:rsidR="00341923" w:rsidRPr="003253E5">
        <w:rPr>
          <w:rFonts w:ascii="Times New Roman" w:hAnsi="Times New Roman" w:cs="Times New Roman"/>
          <w:sz w:val="24"/>
          <w:szCs w:val="24"/>
          <w:lang w:val="en-GB"/>
        </w:rPr>
        <w:t>point taken by SARS that s44(</w:t>
      </w:r>
      <w:r w:rsidR="003C0C81" w:rsidRPr="003253E5">
        <w:rPr>
          <w:rFonts w:ascii="Times New Roman" w:hAnsi="Times New Roman" w:cs="Times New Roman"/>
          <w:sz w:val="24"/>
          <w:szCs w:val="24"/>
          <w:lang w:val="en-GB"/>
        </w:rPr>
        <w:t xml:space="preserve">11A) of the Act does not find application as the case is not concerned with </w:t>
      </w:r>
      <w:r w:rsidR="009703D4" w:rsidRPr="003253E5">
        <w:rPr>
          <w:rFonts w:ascii="Times New Roman" w:hAnsi="Times New Roman" w:cs="Times New Roman"/>
          <w:sz w:val="24"/>
          <w:szCs w:val="24"/>
          <w:lang w:val="en-GB"/>
        </w:rPr>
        <w:t>:</w:t>
      </w:r>
      <w:r w:rsidR="00C02C2F" w:rsidRPr="003253E5">
        <w:rPr>
          <w:rFonts w:ascii="Times New Roman" w:hAnsi="Times New Roman" w:cs="Times New Roman"/>
          <w:i/>
          <w:iCs/>
          <w:sz w:val="24"/>
          <w:szCs w:val="24"/>
          <w:lang w:val="en-GB"/>
        </w:rPr>
        <w:t>underpayment or non-payment of duty</w:t>
      </w:r>
      <w:r w:rsidR="00DB3E2A" w:rsidRPr="003253E5">
        <w:rPr>
          <w:rFonts w:ascii="Times New Roman" w:hAnsi="Times New Roman" w:cs="Times New Roman"/>
          <w:sz w:val="24"/>
          <w:szCs w:val="24"/>
          <w:lang w:val="en-GB"/>
        </w:rPr>
        <w:t>”</w:t>
      </w:r>
      <w:r w:rsidR="00C02C2F" w:rsidRPr="003253E5">
        <w:rPr>
          <w:rFonts w:ascii="Times New Roman" w:hAnsi="Times New Roman" w:cs="Times New Roman"/>
          <w:sz w:val="24"/>
          <w:szCs w:val="24"/>
          <w:lang w:val="en-GB"/>
        </w:rPr>
        <w:t>, but with PetroSA</w:t>
      </w:r>
      <w:r w:rsidR="00DB3E2A" w:rsidRPr="003253E5">
        <w:rPr>
          <w:rFonts w:ascii="Times New Roman" w:hAnsi="Times New Roman" w:cs="Times New Roman"/>
          <w:sz w:val="24"/>
          <w:szCs w:val="24"/>
          <w:lang w:val="en-GB"/>
        </w:rPr>
        <w:t>’</w:t>
      </w:r>
      <w:r w:rsidR="00C02C2F" w:rsidRPr="003253E5">
        <w:rPr>
          <w:rFonts w:ascii="Times New Roman" w:hAnsi="Times New Roman" w:cs="Times New Roman"/>
          <w:sz w:val="24"/>
          <w:szCs w:val="24"/>
          <w:lang w:val="en-GB"/>
        </w:rPr>
        <w:t>s claim for refunds.  I do not beli</w:t>
      </w:r>
      <w:r w:rsidR="00BA7534" w:rsidRPr="003253E5">
        <w:rPr>
          <w:rFonts w:ascii="Times New Roman" w:hAnsi="Times New Roman" w:cs="Times New Roman"/>
          <w:sz w:val="24"/>
          <w:szCs w:val="24"/>
          <w:lang w:val="en-GB"/>
        </w:rPr>
        <w:t xml:space="preserve">eve that there is merit in this point.  As pointed out by </w:t>
      </w:r>
      <w:r w:rsidR="005F6457" w:rsidRPr="003253E5">
        <w:rPr>
          <w:rFonts w:ascii="Times New Roman" w:hAnsi="Times New Roman" w:cs="Times New Roman"/>
          <w:sz w:val="24"/>
          <w:szCs w:val="24"/>
          <w:lang w:val="en-GB"/>
        </w:rPr>
        <w:t>counsel for PetroSA</w:t>
      </w:r>
      <w:r w:rsidR="00F37E84" w:rsidRPr="003253E5">
        <w:rPr>
          <w:rFonts w:ascii="Times New Roman" w:hAnsi="Times New Roman" w:cs="Times New Roman"/>
          <w:sz w:val="24"/>
          <w:szCs w:val="24"/>
          <w:lang w:val="en-GB"/>
        </w:rPr>
        <w:t>:</w:t>
      </w:r>
    </w:p>
    <w:p w14:paraId="65C4208D" w14:textId="557CB199" w:rsidR="00B15E26"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57.1.</w:t>
      </w:r>
      <w:r w:rsidRPr="008F5862">
        <w:rPr>
          <w:rFonts w:ascii="Times New Roman" w:hAnsi="Times New Roman" w:cs="Times New Roman"/>
          <w:sz w:val="24"/>
          <w:szCs w:val="24"/>
          <w:lang w:val="en-GB"/>
        </w:rPr>
        <w:tab/>
      </w:r>
      <w:r w:rsidR="00F37E84" w:rsidRPr="003253E5">
        <w:rPr>
          <w:rFonts w:ascii="Times New Roman" w:hAnsi="Times New Roman" w:cs="Times New Roman"/>
          <w:sz w:val="24"/>
          <w:szCs w:val="24"/>
          <w:lang w:val="en-GB"/>
        </w:rPr>
        <w:t>T</w:t>
      </w:r>
      <w:r w:rsidR="006C3E25" w:rsidRPr="003253E5">
        <w:rPr>
          <w:rFonts w:ascii="Times New Roman" w:hAnsi="Times New Roman" w:cs="Times New Roman"/>
          <w:sz w:val="24"/>
          <w:szCs w:val="24"/>
          <w:lang w:val="en-GB"/>
        </w:rPr>
        <w:t xml:space="preserve">he duty and levies </w:t>
      </w:r>
      <w:r w:rsidR="007766AB" w:rsidRPr="003253E5">
        <w:rPr>
          <w:rFonts w:ascii="Times New Roman" w:hAnsi="Times New Roman" w:cs="Times New Roman"/>
          <w:sz w:val="24"/>
          <w:szCs w:val="24"/>
          <w:lang w:val="en-GB"/>
        </w:rPr>
        <w:t xml:space="preserve">which </w:t>
      </w:r>
      <w:r w:rsidR="006C3E25" w:rsidRPr="003253E5">
        <w:rPr>
          <w:rFonts w:ascii="Times New Roman" w:hAnsi="Times New Roman" w:cs="Times New Roman"/>
          <w:sz w:val="24"/>
          <w:szCs w:val="24"/>
          <w:lang w:val="en-GB"/>
        </w:rPr>
        <w:t>had been paid at sour</w:t>
      </w:r>
      <w:r w:rsidR="007766AB" w:rsidRPr="003253E5">
        <w:rPr>
          <w:rFonts w:ascii="Times New Roman" w:hAnsi="Times New Roman" w:cs="Times New Roman"/>
          <w:sz w:val="24"/>
          <w:szCs w:val="24"/>
          <w:lang w:val="en-GB"/>
        </w:rPr>
        <w:t>ce had been refunded to PetroSA by way of set-off</w:t>
      </w:r>
      <w:r w:rsidR="00B71A32" w:rsidRPr="003253E5">
        <w:rPr>
          <w:rFonts w:ascii="Times New Roman" w:hAnsi="Times New Roman" w:cs="Times New Roman"/>
          <w:sz w:val="24"/>
          <w:szCs w:val="24"/>
          <w:lang w:val="en-GB"/>
        </w:rPr>
        <w:t xml:space="preserve"> in terms of s77 of the Act.  </w:t>
      </w:r>
    </w:p>
    <w:p w14:paraId="0627273F" w14:textId="0C8AA970" w:rsidR="00F37E84"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57.2.</w:t>
      </w:r>
      <w:r w:rsidRPr="008F5862">
        <w:rPr>
          <w:rFonts w:ascii="Times New Roman" w:hAnsi="Times New Roman" w:cs="Times New Roman"/>
          <w:sz w:val="24"/>
          <w:szCs w:val="24"/>
          <w:lang w:val="en-GB"/>
        </w:rPr>
        <w:tab/>
      </w:r>
      <w:r w:rsidR="00B71A32" w:rsidRPr="003253E5">
        <w:rPr>
          <w:rFonts w:ascii="Times New Roman" w:hAnsi="Times New Roman" w:cs="Times New Roman"/>
          <w:sz w:val="24"/>
          <w:szCs w:val="24"/>
          <w:lang w:val="en-GB"/>
        </w:rPr>
        <w:t xml:space="preserve">After SARS </w:t>
      </w:r>
      <w:r w:rsidR="00AA4AA6" w:rsidRPr="003253E5">
        <w:rPr>
          <w:rFonts w:ascii="Times New Roman" w:hAnsi="Times New Roman" w:cs="Times New Roman"/>
          <w:sz w:val="24"/>
          <w:szCs w:val="24"/>
          <w:lang w:val="en-GB"/>
        </w:rPr>
        <w:t>determined that PetroSA was not entitled to the refund, there was an underpayment</w:t>
      </w:r>
      <w:r w:rsidR="00B15E26" w:rsidRPr="003253E5">
        <w:rPr>
          <w:rFonts w:ascii="Times New Roman" w:hAnsi="Times New Roman" w:cs="Times New Roman"/>
          <w:sz w:val="24"/>
          <w:szCs w:val="24"/>
          <w:lang w:val="en-GB"/>
        </w:rPr>
        <w:t xml:space="preserve"> or non-payment of the duty</w:t>
      </w:r>
      <w:r w:rsidR="00AA6446" w:rsidRPr="003253E5">
        <w:rPr>
          <w:rFonts w:ascii="Times New Roman" w:hAnsi="Times New Roman" w:cs="Times New Roman"/>
          <w:sz w:val="24"/>
          <w:szCs w:val="24"/>
          <w:lang w:val="en-GB"/>
        </w:rPr>
        <w:t xml:space="preserve"> in the sense that the duty</w:t>
      </w:r>
      <w:r w:rsidR="009703D4" w:rsidRPr="003253E5">
        <w:rPr>
          <w:rFonts w:ascii="Times New Roman" w:hAnsi="Times New Roman" w:cs="Times New Roman"/>
          <w:sz w:val="24"/>
          <w:szCs w:val="24"/>
          <w:lang w:val="en-GB"/>
        </w:rPr>
        <w:t xml:space="preserve"> and levies</w:t>
      </w:r>
      <w:r w:rsidR="00AA6446" w:rsidRPr="003253E5">
        <w:rPr>
          <w:rFonts w:ascii="Times New Roman" w:hAnsi="Times New Roman" w:cs="Times New Roman"/>
          <w:sz w:val="24"/>
          <w:szCs w:val="24"/>
          <w:lang w:val="en-GB"/>
        </w:rPr>
        <w:t xml:space="preserve"> which ought to have been paid was not paid, in accordance with the </w:t>
      </w:r>
      <w:r w:rsidR="00BA48F0" w:rsidRPr="003253E5">
        <w:rPr>
          <w:rFonts w:ascii="Times New Roman" w:hAnsi="Times New Roman" w:cs="Times New Roman"/>
          <w:sz w:val="24"/>
          <w:szCs w:val="24"/>
          <w:lang w:val="en-GB"/>
        </w:rPr>
        <w:t xml:space="preserve">practice generally prevailing. </w:t>
      </w:r>
    </w:p>
    <w:p w14:paraId="2EDA99A7" w14:textId="59E4310C" w:rsidR="00F37E84"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57.3.</w:t>
      </w:r>
      <w:r w:rsidRPr="008F5862">
        <w:rPr>
          <w:rFonts w:ascii="Times New Roman" w:hAnsi="Times New Roman" w:cs="Times New Roman"/>
          <w:sz w:val="24"/>
          <w:szCs w:val="24"/>
          <w:lang w:val="en-GB"/>
        </w:rPr>
        <w:tab/>
      </w:r>
      <w:r w:rsidR="0000343F" w:rsidRPr="003253E5">
        <w:rPr>
          <w:rFonts w:ascii="Times New Roman" w:hAnsi="Times New Roman" w:cs="Times New Roman"/>
          <w:sz w:val="24"/>
          <w:szCs w:val="24"/>
          <w:lang w:val="en-GB"/>
        </w:rPr>
        <w:t>Section</w:t>
      </w:r>
      <w:r w:rsidR="0089293D" w:rsidRPr="003253E5">
        <w:rPr>
          <w:rFonts w:ascii="Times New Roman" w:hAnsi="Times New Roman" w:cs="Times New Roman"/>
          <w:sz w:val="24"/>
          <w:szCs w:val="24"/>
          <w:lang w:val="en-GB"/>
        </w:rPr>
        <w:t> </w:t>
      </w:r>
      <w:r w:rsidR="0000343F" w:rsidRPr="003253E5">
        <w:rPr>
          <w:rFonts w:ascii="Times New Roman" w:hAnsi="Times New Roman" w:cs="Times New Roman"/>
          <w:sz w:val="24"/>
          <w:szCs w:val="24"/>
          <w:lang w:val="en-GB"/>
        </w:rPr>
        <w:t>76A</w:t>
      </w:r>
      <w:r w:rsidR="00CD3E85" w:rsidRPr="003253E5">
        <w:rPr>
          <w:rFonts w:ascii="Times New Roman" w:hAnsi="Times New Roman" w:cs="Times New Roman"/>
          <w:sz w:val="24"/>
          <w:szCs w:val="24"/>
          <w:lang w:val="en-GB"/>
        </w:rPr>
        <w:t>(1) provides SARS with a right to obtain repayment</w:t>
      </w:r>
      <w:r w:rsidR="000D4298" w:rsidRPr="003253E5">
        <w:rPr>
          <w:rFonts w:ascii="Times New Roman" w:hAnsi="Times New Roman" w:cs="Times New Roman"/>
          <w:sz w:val="24"/>
          <w:szCs w:val="24"/>
          <w:lang w:val="en-GB"/>
        </w:rPr>
        <w:t xml:space="preserve"> of such a refund which was not payable in the first place.  </w:t>
      </w:r>
      <w:r w:rsidR="009703D4" w:rsidRPr="003253E5">
        <w:rPr>
          <w:rFonts w:ascii="Times New Roman" w:hAnsi="Times New Roman" w:cs="Times New Roman"/>
          <w:sz w:val="24"/>
          <w:szCs w:val="24"/>
          <w:lang w:val="en-GB"/>
        </w:rPr>
        <w:t>This is a claim for non-payment of the duty and levies.</w:t>
      </w:r>
    </w:p>
    <w:p w14:paraId="6367F32C" w14:textId="255DB3B5" w:rsidR="000D4298"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[58]</w:t>
      </w:r>
      <w:r w:rsidRPr="008F5862">
        <w:rPr>
          <w:rFonts w:ascii="Times New Roman" w:hAnsi="Times New Roman" w:cs="Times New Roman"/>
          <w:sz w:val="24"/>
          <w:szCs w:val="24"/>
          <w:lang w:val="en-GB"/>
        </w:rPr>
        <w:tab/>
      </w:r>
      <w:r w:rsidR="000D4298" w:rsidRPr="003253E5">
        <w:rPr>
          <w:rFonts w:ascii="Times New Roman" w:hAnsi="Times New Roman" w:cs="Times New Roman"/>
          <w:sz w:val="24"/>
          <w:szCs w:val="24"/>
          <w:lang w:val="en-GB"/>
        </w:rPr>
        <w:t xml:space="preserve">To this I should add that the legal point taken by SARS is somewhat difficult to understand, given that the determination </w:t>
      </w:r>
      <w:r w:rsidR="00F96C35" w:rsidRPr="003253E5">
        <w:rPr>
          <w:rFonts w:ascii="Times New Roman" w:hAnsi="Times New Roman" w:cs="Times New Roman"/>
          <w:sz w:val="24"/>
          <w:szCs w:val="24"/>
          <w:lang w:val="en-GB"/>
        </w:rPr>
        <w:t xml:space="preserve">in the letter of demand is that PetroSA is liable to pay </w:t>
      </w:r>
      <w:r w:rsidR="00C53B53" w:rsidRPr="003253E5">
        <w:rPr>
          <w:rFonts w:ascii="Times New Roman" w:hAnsi="Times New Roman" w:cs="Times New Roman"/>
          <w:sz w:val="24"/>
          <w:szCs w:val="24"/>
          <w:lang w:val="en-GB"/>
        </w:rPr>
        <w:t>the amount of R1 017 351 881.32</w:t>
      </w:r>
      <w:r w:rsidR="000F4D16" w:rsidRPr="003253E5">
        <w:rPr>
          <w:rFonts w:ascii="Times New Roman" w:hAnsi="Times New Roman" w:cs="Times New Roman"/>
          <w:sz w:val="24"/>
          <w:szCs w:val="24"/>
          <w:lang w:val="en-GB"/>
        </w:rPr>
        <w:t>.  It</w:t>
      </w:r>
      <w:r w:rsidR="004420A3" w:rsidRPr="003253E5">
        <w:rPr>
          <w:rFonts w:ascii="Times New Roman" w:hAnsi="Times New Roman" w:cs="Times New Roman"/>
          <w:sz w:val="24"/>
          <w:szCs w:val="24"/>
          <w:lang w:val="en-GB"/>
        </w:rPr>
        <w:t xml:space="preserve"> is obvious that SARS alleges</w:t>
      </w:r>
      <w:r w:rsidR="00463760" w:rsidRPr="003253E5">
        <w:rPr>
          <w:rFonts w:ascii="Times New Roman" w:hAnsi="Times New Roman" w:cs="Times New Roman"/>
          <w:sz w:val="24"/>
          <w:szCs w:val="24"/>
          <w:lang w:val="en-GB"/>
        </w:rPr>
        <w:t xml:space="preserve"> and underpayment or </w:t>
      </w:r>
      <w:r w:rsidR="004420A3" w:rsidRPr="003253E5">
        <w:rPr>
          <w:rFonts w:ascii="Times New Roman" w:hAnsi="Times New Roman" w:cs="Times New Roman"/>
          <w:sz w:val="24"/>
          <w:szCs w:val="24"/>
          <w:lang w:val="en-GB"/>
        </w:rPr>
        <w:t>non-payment</w:t>
      </w:r>
      <w:r w:rsidR="000F4D16" w:rsidRPr="003253E5">
        <w:rPr>
          <w:rFonts w:ascii="Times New Roman" w:hAnsi="Times New Roman" w:cs="Times New Roman"/>
          <w:sz w:val="24"/>
          <w:szCs w:val="24"/>
          <w:lang w:val="en-GB"/>
        </w:rPr>
        <w:t xml:space="preserve"> in that amount.  </w:t>
      </w:r>
    </w:p>
    <w:p w14:paraId="1CC02E4B" w14:textId="6FA46474" w:rsidR="00EA67C4"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[59]</w:t>
      </w:r>
      <w:r w:rsidRPr="008F5862">
        <w:rPr>
          <w:rFonts w:ascii="Times New Roman" w:hAnsi="Times New Roman" w:cs="Times New Roman"/>
          <w:sz w:val="24"/>
          <w:szCs w:val="24"/>
          <w:lang w:val="en-GB"/>
        </w:rPr>
        <w:tab/>
      </w:r>
      <w:r w:rsidR="001C361F" w:rsidRPr="003253E5">
        <w:rPr>
          <w:rFonts w:ascii="Times New Roman" w:hAnsi="Times New Roman" w:cs="Times New Roman"/>
          <w:sz w:val="24"/>
          <w:szCs w:val="24"/>
          <w:lang w:val="en-GB"/>
        </w:rPr>
        <w:t xml:space="preserve">I now turn to deal with the evidence </w:t>
      </w:r>
      <w:r w:rsidR="00E65757" w:rsidRPr="003253E5">
        <w:rPr>
          <w:rFonts w:ascii="Times New Roman" w:hAnsi="Times New Roman" w:cs="Times New Roman"/>
          <w:sz w:val="24"/>
          <w:szCs w:val="24"/>
          <w:lang w:val="en-GB"/>
        </w:rPr>
        <w:t>regarding</w:t>
      </w:r>
      <w:r w:rsidR="001C361F" w:rsidRPr="003253E5">
        <w:rPr>
          <w:rFonts w:ascii="Times New Roman" w:hAnsi="Times New Roman" w:cs="Times New Roman"/>
          <w:sz w:val="24"/>
          <w:szCs w:val="24"/>
          <w:lang w:val="en-GB"/>
        </w:rPr>
        <w:t xml:space="preserve"> the alleged practice generally prevailing.  </w:t>
      </w:r>
    </w:p>
    <w:p w14:paraId="7B447ED4" w14:textId="3E06612F" w:rsidR="00DE5AFC"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[60]</w:t>
      </w:r>
      <w:r w:rsidRPr="008F5862">
        <w:rPr>
          <w:rFonts w:ascii="Times New Roman" w:hAnsi="Times New Roman" w:cs="Times New Roman"/>
          <w:sz w:val="24"/>
          <w:szCs w:val="24"/>
          <w:lang w:val="en-GB"/>
        </w:rPr>
        <w:tab/>
      </w:r>
      <w:r w:rsidR="005D7919" w:rsidRPr="003253E5">
        <w:rPr>
          <w:rFonts w:ascii="Times New Roman" w:hAnsi="Times New Roman" w:cs="Times New Roman"/>
          <w:sz w:val="24"/>
          <w:szCs w:val="24"/>
          <w:lang w:val="en-GB"/>
        </w:rPr>
        <w:t>In written</w:t>
      </w:r>
      <w:r w:rsidR="000B7EAD" w:rsidRPr="003253E5">
        <w:rPr>
          <w:rFonts w:ascii="Times New Roman" w:hAnsi="Times New Roman" w:cs="Times New Roman"/>
          <w:sz w:val="24"/>
          <w:szCs w:val="24"/>
          <w:lang w:val="en-GB"/>
        </w:rPr>
        <w:t xml:space="preserve"> submissions made after the hearing, at my invitation</w:t>
      </w:r>
      <w:r w:rsidR="00DE5AFC" w:rsidRPr="003253E5">
        <w:rPr>
          <w:rFonts w:ascii="Times New Roman" w:hAnsi="Times New Roman" w:cs="Times New Roman"/>
          <w:sz w:val="24"/>
          <w:szCs w:val="24"/>
          <w:lang w:val="en-GB"/>
        </w:rPr>
        <w:t>, PetroSA summarised the evidence in its papers on which it relies for the practice generally prevailing as follows:</w:t>
      </w:r>
    </w:p>
    <w:p w14:paraId="6D5596F7" w14:textId="2EE2677C" w:rsidR="00DE5AFC"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60.1.</w:t>
      </w:r>
      <w:r w:rsidRPr="008F5862">
        <w:rPr>
          <w:rFonts w:ascii="Times New Roman" w:hAnsi="Times New Roman" w:cs="Times New Roman"/>
          <w:sz w:val="24"/>
          <w:szCs w:val="24"/>
          <w:lang w:val="en-GB"/>
        </w:rPr>
        <w:tab/>
      </w:r>
      <w:r w:rsidR="00DE5AFC" w:rsidRPr="003253E5">
        <w:rPr>
          <w:rFonts w:ascii="Times New Roman" w:hAnsi="Times New Roman" w:cs="Times New Roman"/>
          <w:sz w:val="24"/>
          <w:szCs w:val="24"/>
          <w:lang w:val="en-GB"/>
        </w:rPr>
        <w:t xml:space="preserve">PetroSA has been exporting fuel levy goods from </w:t>
      </w:r>
      <w:r w:rsidR="00DE5AFC" w:rsidRPr="003253E5">
        <w:rPr>
          <w:rFonts w:ascii="Times New Roman" w:hAnsi="Times New Roman" w:cs="Times New Roman"/>
          <w:i/>
          <w:iCs/>
          <w:sz w:val="24"/>
          <w:szCs w:val="24"/>
          <w:lang w:val="en-GB"/>
        </w:rPr>
        <w:t>inter alia</w:t>
      </w:r>
      <w:r w:rsidR="00DE5AFC" w:rsidRPr="003253E5">
        <w:rPr>
          <w:rFonts w:ascii="Times New Roman" w:hAnsi="Times New Roman" w:cs="Times New Roman"/>
          <w:sz w:val="24"/>
          <w:szCs w:val="24"/>
          <w:lang w:val="en-GB"/>
        </w:rPr>
        <w:t xml:space="preserve"> Tarlton and Bloemfontein with the knowledge of the Commissioner by road since 1</w:t>
      </w:r>
      <w:r w:rsidR="00F7161B" w:rsidRPr="003253E5">
        <w:rPr>
          <w:rFonts w:ascii="Times New Roman" w:hAnsi="Times New Roman" w:cs="Times New Roman"/>
          <w:sz w:val="24"/>
          <w:szCs w:val="24"/>
          <w:lang w:val="en-GB"/>
        </w:rPr>
        <w:t> </w:t>
      </w:r>
      <w:r w:rsidR="00DE5AFC" w:rsidRPr="003253E5">
        <w:rPr>
          <w:rFonts w:ascii="Times New Roman" w:hAnsi="Times New Roman" w:cs="Times New Roman"/>
          <w:sz w:val="24"/>
          <w:szCs w:val="24"/>
          <w:lang w:val="en-GB"/>
        </w:rPr>
        <w:t>November</w:t>
      </w:r>
      <w:r w:rsidR="00F7161B" w:rsidRPr="003253E5">
        <w:rPr>
          <w:rFonts w:ascii="Times New Roman" w:hAnsi="Times New Roman" w:cs="Times New Roman"/>
          <w:sz w:val="24"/>
          <w:szCs w:val="24"/>
          <w:lang w:val="en-GB"/>
        </w:rPr>
        <w:t> </w:t>
      </w:r>
      <w:r w:rsidR="00DE5AFC" w:rsidRPr="003253E5">
        <w:rPr>
          <w:rFonts w:ascii="Times New Roman" w:hAnsi="Times New Roman" w:cs="Times New Roman"/>
          <w:sz w:val="24"/>
          <w:szCs w:val="24"/>
          <w:lang w:val="en-GB"/>
        </w:rPr>
        <w:t>2013.</w:t>
      </w:r>
      <w:r w:rsidR="009D573C" w:rsidRPr="008F5862">
        <w:rPr>
          <w:rStyle w:val="FootnoteReference"/>
          <w:rFonts w:ascii="Times New Roman" w:hAnsi="Times New Roman" w:cs="Times New Roman"/>
          <w:sz w:val="24"/>
          <w:szCs w:val="24"/>
          <w:lang w:val="en-GB"/>
        </w:rPr>
        <w:footnoteReference w:id="15"/>
      </w:r>
    </w:p>
    <w:p w14:paraId="53592DDC" w14:textId="12FC14DD" w:rsidR="00DE5AFC"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60.2.</w:t>
      </w:r>
      <w:r w:rsidRPr="008F5862">
        <w:rPr>
          <w:rFonts w:ascii="Times New Roman" w:hAnsi="Times New Roman" w:cs="Times New Roman"/>
          <w:sz w:val="24"/>
          <w:szCs w:val="24"/>
          <w:lang w:val="en-GB"/>
        </w:rPr>
        <w:tab/>
      </w:r>
      <w:r w:rsidR="00DE5AFC" w:rsidRPr="003253E5">
        <w:rPr>
          <w:rFonts w:ascii="Times New Roman" w:hAnsi="Times New Roman" w:cs="Times New Roman"/>
          <w:sz w:val="24"/>
          <w:szCs w:val="24"/>
          <w:lang w:val="en-GB"/>
        </w:rPr>
        <w:t>SAD 500 and SAD 502 forms were not submitted by the VMs with their DA160 accounts but these forms were kept by the VMs.</w:t>
      </w:r>
    </w:p>
    <w:p w14:paraId="34E2ED32" w14:textId="48992C31" w:rsidR="00DE5AFC"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60.3.</w:t>
      </w:r>
      <w:r w:rsidRPr="008F5862">
        <w:rPr>
          <w:rFonts w:ascii="Times New Roman" w:hAnsi="Times New Roman" w:cs="Times New Roman"/>
          <w:sz w:val="24"/>
          <w:szCs w:val="24"/>
          <w:lang w:val="en-GB"/>
        </w:rPr>
        <w:tab/>
      </w:r>
      <w:r w:rsidR="00DE5AFC" w:rsidRPr="003253E5">
        <w:rPr>
          <w:rFonts w:ascii="Times New Roman" w:hAnsi="Times New Roman" w:cs="Times New Roman"/>
          <w:sz w:val="24"/>
          <w:szCs w:val="24"/>
          <w:lang w:val="en-GB"/>
        </w:rPr>
        <w:t>PetroSA and other oil companies have been subjected to audits by officials from different SARS offices across the country, and to the best of PetroSA</w:t>
      </w:r>
      <w:r w:rsidR="00DB3E2A" w:rsidRPr="003253E5">
        <w:rPr>
          <w:rFonts w:ascii="Times New Roman" w:hAnsi="Times New Roman" w:cs="Times New Roman"/>
          <w:sz w:val="24"/>
          <w:szCs w:val="24"/>
          <w:lang w:val="en-GB"/>
        </w:rPr>
        <w:t>’</w:t>
      </w:r>
      <w:r w:rsidR="00DE5AFC" w:rsidRPr="003253E5">
        <w:rPr>
          <w:rFonts w:ascii="Times New Roman" w:hAnsi="Times New Roman" w:cs="Times New Roman"/>
          <w:sz w:val="24"/>
          <w:szCs w:val="24"/>
          <w:lang w:val="en-GB"/>
        </w:rPr>
        <w:t xml:space="preserve">s knowledge, set-offs applied in respect of exports from unlicensed facilities were never disallowed until the </w:t>
      </w:r>
      <w:r w:rsidR="00E65757" w:rsidRPr="003253E5">
        <w:rPr>
          <w:rFonts w:ascii="Times New Roman" w:hAnsi="Times New Roman" w:cs="Times New Roman"/>
          <w:sz w:val="24"/>
          <w:szCs w:val="24"/>
          <w:lang w:val="en-GB"/>
        </w:rPr>
        <w:t>2018</w:t>
      </w:r>
      <w:r w:rsidR="00DE5AFC" w:rsidRPr="003253E5">
        <w:rPr>
          <w:rFonts w:ascii="Times New Roman" w:hAnsi="Times New Roman" w:cs="Times New Roman"/>
          <w:sz w:val="24"/>
          <w:szCs w:val="24"/>
          <w:lang w:val="en-GB"/>
        </w:rPr>
        <w:t xml:space="preserve"> letter of demand.</w:t>
      </w:r>
    </w:p>
    <w:p w14:paraId="3598391F" w14:textId="08FDCD60" w:rsidR="00DE5AFC"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60.4.</w:t>
      </w:r>
      <w:r w:rsidRPr="008F5862">
        <w:rPr>
          <w:rFonts w:ascii="Times New Roman" w:hAnsi="Times New Roman" w:cs="Times New Roman"/>
          <w:sz w:val="24"/>
          <w:szCs w:val="24"/>
          <w:lang w:val="en-GB"/>
        </w:rPr>
        <w:tab/>
      </w:r>
      <w:r w:rsidR="00DE5AFC" w:rsidRPr="003253E5">
        <w:rPr>
          <w:rFonts w:ascii="Times New Roman" w:hAnsi="Times New Roman" w:cs="Times New Roman"/>
          <w:sz w:val="24"/>
          <w:szCs w:val="24"/>
          <w:lang w:val="en-GB"/>
        </w:rPr>
        <w:t>According to Turners Shipping</w:t>
      </w:r>
      <w:r w:rsidR="006248DF" w:rsidRPr="003253E5">
        <w:rPr>
          <w:rFonts w:ascii="Times New Roman" w:hAnsi="Times New Roman" w:cs="Times New Roman"/>
          <w:sz w:val="24"/>
          <w:szCs w:val="24"/>
          <w:lang w:val="en-GB"/>
        </w:rPr>
        <w:t xml:space="preserve"> Pty Ltd (“</w:t>
      </w:r>
      <w:r w:rsidR="006248DF" w:rsidRPr="003253E5">
        <w:rPr>
          <w:rFonts w:ascii="Times New Roman" w:hAnsi="Times New Roman" w:cs="Times New Roman"/>
          <w:b/>
          <w:bCs/>
          <w:sz w:val="24"/>
          <w:szCs w:val="24"/>
          <w:lang w:val="en-GB"/>
        </w:rPr>
        <w:t>Turners Shipping</w:t>
      </w:r>
      <w:r w:rsidR="006248DF" w:rsidRPr="003253E5">
        <w:rPr>
          <w:rFonts w:ascii="Times New Roman" w:hAnsi="Times New Roman" w:cs="Times New Roman"/>
          <w:sz w:val="24"/>
          <w:szCs w:val="24"/>
          <w:lang w:val="en-GB"/>
        </w:rPr>
        <w:t>”)</w:t>
      </w:r>
      <w:r w:rsidR="00DE5AFC" w:rsidRPr="003253E5">
        <w:rPr>
          <w:rFonts w:ascii="Times New Roman" w:hAnsi="Times New Roman" w:cs="Times New Roman"/>
          <w:sz w:val="24"/>
          <w:szCs w:val="24"/>
          <w:lang w:val="en-GB"/>
        </w:rPr>
        <w:t xml:space="preserve">, during the period in which Turners Shipping acted as clearing agent for PetroSA there were never any issue raised by SARS in respect of set-off being applied by the VMs (PetroSA and the other oil companies), where the goods were exported or removed from Tarlton on the basis that Tarlton is an unlicensed facility. </w:t>
      </w:r>
    </w:p>
    <w:p w14:paraId="7AC9CCD5" w14:textId="7546DABB" w:rsidR="00DE5AFC"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60.5.</w:t>
      </w:r>
      <w:r w:rsidRPr="008F5862">
        <w:rPr>
          <w:rFonts w:ascii="Times New Roman" w:hAnsi="Times New Roman" w:cs="Times New Roman"/>
          <w:sz w:val="24"/>
          <w:szCs w:val="24"/>
          <w:lang w:val="en-GB"/>
        </w:rPr>
        <w:tab/>
      </w:r>
      <w:r w:rsidR="00DE5AFC" w:rsidRPr="003253E5">
        <w:rPr>
          <w:rFonts w:ascii="Times New Roman" w:hAnsi="Times New Roman" w:cs="Times New Roman"/>
          <w:sz w:val="24"/>
          <w:szCs w:val="24"/>
          <w:lang w:val="en-GB"/>
        </w:rPr>
        <w:t>The origin of the fuel was not monitored by Transnet at Tarlton.</w:t>
      </w:r>
    </w:p>
    <w:p w14:paraId="60FF53EF" w14:textId="7032E7F6" w:rsidR="00DE5AFC"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60.6.</w:t>
      </w:r>
      <w:r w:rsidRPr="008F5862">
        <w:rPr>
          <w:rFonts w:ascii="Times New Roman" w:hAnsi="Times New Roman" w:cs="Times New Roman"/>
          <w:sz w:val="24"/>
          <w:szCs w:val="24"/>
          <w:lang w:val="en-GB"/>
        </w:rPr>
        <w:tab/>
      </w:r>
      <w:r w:rsidR="00DE5AFC" w:rsidRPr="003253E5">
        <w:rPr>
          <w:rFonts w:ascii="Times New Roman" w:hAnsi="Times New Roman" w:cs="Times New Roman"/>
          <w:sz w:val="24"/>
          <w:szCs w:val="24"/>
          <w:lang w:val="en-GB"/>
        </w:rPr>
        <w:t>The VMs appl</w:t>
      </w:r>
      <w:r w:rsidR="006248DF" w:rsidRPr="003253E5">
        <w:rPr>
          <w:rFonts w:ascii="Times New Roman" w:hAnsi="Times New Roman" w:cs="Times New Roman"/>
          <w:sz w:val="24"/>
          <w:szCs w:val="24"/>
          <w:lang w:val="en-GB"/>
        </w:rPr>
        <w:t>ied</w:t>
      </w:r>
      <w:r w:rsidR="00DE5AFC" w:rsidRPr="003253E5">
        <w:rPr>
          <w:rFonts w:ascii="Times New Roman" w:hAnsi="Times New Roman" w:cs="Times New Roman"/>
          <w:sz w:val="24"/>
          <w:szCs w:val="24"/>
          <w:lang w:val="en-GB"/>
        </w:rPr>
        <w:t xml:space="preserve"> set-off of the duties and levies on their monthly excise accounts in respect of fuel injected to Tarlton through the pipeline network, from where the fuel was exported or removed to BLNS countries.</w:t>
      </w:r>
      <w:r w:rsidR="00546258" w:rsidRPr="003253E5">
        <w:rPr>
          <w:rFonts w:ascii="Times New Roman" w:hAnsi="Times New Roman" w:cs="Times New Roman"/>
          <w:sz w:val="24"/>
          <w:szCs w:val="24"/>
          <w:lang w:val="en-GB"/>
        </w:rPr>
        <w:t xml:space="preserve"> </w:t>
      </w:r>
      <w:r w:rsidR="00DE5AFC" w:rsidRPr="003253E5">
        <w:rPr>
          <w:rFonts w:ascii="Times New Roman" w:hAnsi="Times New Roman" w:cs="Times New Roman"/>
          <w:sz w:val="24"/>
          <w:szCs w:val="24"/>
          <w:lang w:val="en-GB"/>
        </w:rPr>
        <w:t xml:space="preserve"> The fuel is sold duty free as the VM remains the exporter of record and the fuel is not destined for local consumption. </w:t>
      </w:r>
      <w:r w:rsidR="00546258" w:rsidRPr="003253E5">
        <w:rPr>
          <w:rFonts w:ascii="Times New Roman" w:hAnsi="Times New Roman" w:cs="Times New Roman"/>
          <w:sz w:val="24"/>
          <w:szCs w:val="24"/>
          <w:lang w:val="en-GB"/>
        </w:rPr>
        <w:t xml:space="preserve"> </w:t>
      </w:r>
      <w:r w:rsidR="00DE5AFC" w:rsidRPr="003253E5">
        <w:rPr>
          <w:rFonts w:ascii="Times New Roman" w:hAnsi="Times New Roman" w:cs="Times New Roman"/>
          <w:sz w:val="24"/>
          <w:szCs w:val="24"/>
          <w:lang w:val="en-GB"/>
        </w:rPr>
        <w:t>The</w:t>
      </w:r>
      <w:r w:rsidR="00546258" w:rsidRPr="003253E5">
        <w:rPr>
          <w:rFonts w:ascii="Times New Roman" w:hAnsi="Times New Roman" w:cs="Times New Roman"/>
          <w:sz w:val="24"/>
          <w:szCs w:val="24"/>
          <w:lang w:val="en-GB"/>
        </w:rPr>
        <w:t xml:space="preserve"> relevant</w:t>
      </w:r>
      <w:r w:rsidR="00DE5AFC" w:rsidRPr="003253E5">
        <w:rPr>
          <w:rFonts w:ascii="Times New Roman" w:hAnsi="Times New Roman" w:cs="Times New Roman"/>
          <w:sz w:val="24"/>
          <w:szCs w:val="24"/>
          <w:lang w:val="en-GB"/>
        </w:rPr>
        <w:t xml:space="preserve"> VM then claims duties and levies back from SARS, by way of set-off on the monthly excise account.</w:t>
      </w:r>
    </w:p>
    <w:p w14:paraId="4F8B3562" w14:textId="776A1876" w:rsidR="00DE5AFC"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60.7.</w:t>
      </w:r>
      <w:r w:rsidRPr="008F5862">
        <w:rPr>
          <w:rFonts w:ascii="Times New Roman" w:hAnsi="Times New Roman" w:cs="Times New Roman"/>
          <w:sz w:val="24"/>
          <w:szCs w:val="24"/>
          <w:lang w:val="en-GB"/>
        </w:rPr>
        <w:tab/>
      </w:r>
      <w:r w:rsidR="00DE5AFC" w:rsidRPr="003253E5">
        <w:rPr>
          <w:rFonts w:ascii="Times New Roman" w:hAnsi="Times New Roman" w:cs="Times New Roman"/>
          <w:sz w:val="24"/>
          <w:szCs w:val="24"/>
          <w:lang w:val="en-GB"/>
        </w:rPr>
        <w:t xml:space="preserve">This practice has been ongoing for a considerable period and despite regular audits conducted by officials from various offices, SARS has never raised any concerns in respect of the set-offs so applied by the oil companies, until the latter half of 2018, when it raised </w:t>
      </w:r>
      <w:r w:rsidR="00546258" w:rsidRPr="003253E5">
        <w:rPr>
          <w:rFonts w:ascii="Times New Roman" w:hAnsi="Times New Roman" w:cs="Times New Roman"/>
          <w:sz w:val="24"/>
          <w:szCs w:val="24"/>
          <w:lang w:val="en-GB"/>
        </w:rPr>
        <w:t>the</w:t>
      </w:r>
      <w:r w:rsidR="00DE5AFC" w:rsidRPr="003253E5">
        <w:rPr>
          <w:rFonts w:ascii="Times New Roman" w:hAnsi="Times New Roman" w:cs="Times New Roman"/>
          <w:sz w:val="24"/>
          <w:szCs w:val="24"/>
          <w:lang w:val="en-GB"/>
        </w:rPr>
        <w:t xml:space="preserve"> alleged non-compliance in a letter to PetroSA.</w:t>
      </w:r>
    </w:p>
    <w:p w14:paraId="2CB2DDE8" w14:textId="4F0A696F" w:rsidR="00E75702"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[61]</w:t>
      </w:r>
      <w:r w:rsidRPr="008F5862">
        <w:rPr>
          <w:rFonts w:ascii="Times New Roman" w:hAnsi="Times New Roman" w:cs="Times New Roman"/>
          <w:sz w:val="24"/>
          <w:szCs w:val="24"/>
          <w:lang w:val="en-GB"/>
        </w:rPr>
        <w:tab/>
      </w:r>
      <w:r w:rsidR="00E75702" w:rsidRPr="003253E5">
        <w:rPr>
          <w:rFonts w:ascii="Times New Roman" w:hAnsi="Times New Roman" w:cs="Times New Roman"/>
          <w:sz w:val="24"/>
          <w:szCs w:val="24"/>
          <w:lang w:val="en-GB"/>
        </w:rPr>
        <w:t>On the basis of this summary of the evidence, PetroSA contends that t</w:t>
      </w:r>
      <w:r w:rsidR="00DE5AFC" w:rsidRPr="003253E5">
        <w:rPr>
          <w:rFonts w:ascii="Times New Roman" w:hAnsi="Times New Roman" w:cs="Times New Roman"/>
          <w:sz w:val="24"/>
          <w:szCs w:val="24"/>
          <w:lang w:val="en-GB"/>
        </w:rPr>
        <w:t>he practice which has developed is therefore the following</w:t>
      </w:r>
      <w:r w:rsidR="00E75702" w:rsidRPr="003253E5">
        <w:rPr>
          <w:rFonts w:ascii="Times New Roman" w:hAnsi="Times New Roman" w:cs="Times New Roman"/>
          <w:sz w:val="24"/>
          <w:szCs w:val="24"/>
          <w:lang w:val="en-GB"/>
        </w:rPr>
        <w:t>:</w:t>
      </w:r>
    </w:p>
    <w:p w14:paraId="49F49A9F" w14:textId="4EAD308B" w:rsidR="00E75702"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61.1.</w:t>
      </w:r>
      <w:r w:rsidRPr="008F5862">
        <w:rPr>
          <w:rFonts w:ascii="Times New Roman" w:hAnsi="Times New Roman" w:cs="Times New Roman"/>
          <w:sz w:val="24"/>
          <w:szCs w:val="24"/>
          <w:lang w:val="en-GB"/>
        </w:rPr>
        <w:tab/>
      </w:r>
      <w:r w:rsidR="00DE5AFC" w:rsidRPr="003253E5">
        <w:rPr>
          <w:rFonts w:ascii="Times New Roman" w:hAnsi="Times New Roman" w:cs="Times New Roman"/>
          <w:sz w:val="24"/>
          <w:szCs w:val="24"/>
          <w:lang w:val="en-GB"/>
        </w:rPr>
        <w:t>Fuel was injected by the VMs to Tarlton through the pipeline network</w:t>
      </w:r>
      <w:r w:rsidR="00E75702" w:rsidRPr="003253E5">
        <w:rPr>
          <w:rFonts w:ascii="Times New Roman" w:hAnsi="Times New Roman" w:cs="Times New Roman"/>
          <w:sz w:val="24"/>
          <w:szCs w:val="24"/>
          <w:lang w:val="en-GB"/>
        </w:rPr>
        <w:t>.</w:t>
      </w:r>
    </w:p>
    <w:p w14:paraId="1ED7C20F" w14:textId="7143AD32" w:rsidR="00E75702"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61.2.</w:t>
      </w:r>
      <w:r w:rsidRPr="008F5862">
        <w:rPr>
          <w:rFonts w:ascii="Times New Roman" w:hAnsi="Times New Roman" w:cs="Times New Roman"/>
          <w:sz w:val="24"/>
          <w:szCs w:val="24"/>
          <w:lang w:val="en-GB"/>
        </w:rPr>
        <w:tab/>
      </w:r>
      <w:r w:rsidR="00DE5AFC" w:rsidRPr="003253E5">
        <w:rPr>
          <w:rFonts w:ascii="Times New Roman" w:hAnsi="Times New Roman" w:cs="Times New Roman"/>
          <w:sz w:val="24"/>
          <w:szCs w:val="24"/>
          <w:lang w:val="en-GB"/>
        </w:rPr>
        <w:t>The origin of the fuel injected to Tarlton was not monitored</w:t>
      </w:r>
      <w:r w:rsidR="00E75702" w:rsidRPr="003253E5">
        <w:rPr>
          <w:rFonts w:ascii="Times New Roman" w:hAnsi="Times New Roman" w:cs="Times New Roman"/>
          <w:sz w:val="24"/>
          <w:szCs w:val="24"/>
          <w:lang w:val="en-GB"/>
        </w:rPr>
        <w:t>.</w:t>
      </w:r>
    </w:p>
    <w:p w14:paraId="74D3C7A6" w14:textId="2BA7D23A" w:rsidR="00E75702"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61.3.</w:t>
      </w:r>
      <w:r w:rsidRPr="008F5862">
        <w:rPr>
          <w:rFonts w:ascii="Times New Roman" w:hAnsi="Times New Roman" w:cs="Times New Roman"/>
          <w:sz w:val="24"/>
          <w:szCs w:val="24"/>
          <w:lang w:val="en-GB"/>
        </w:rPr>
        <w:tab/>
      </w:r>
      <w:r w:rsidR="00DE5AFC" w:rsidRPr="003253E5">
        <w:rPr>
          <w:rFonts w:ascii="Times New Roman" w:hAnsi="Times New Roman" w:cs="Times New Roman"/>
          <w:sz w:val="24"/>
          <w:szCs w:val="24"/>
          <w:lang w:val="en-GB"/>
        </w:rPr>
        <w:t>The fuel which was sold for export (from Tarlton and other unlicensed facilities) was sold duty-free by the VMs</w:t>
      </w:r>
      <w:r w:rsidR="00E75702" w:rsidRPr="003253E5">
        <w:rPr>
          <w:rFonts w:ascii="Times New Roman" w:hAnsi="Times New Roman" w:cs="Times New Roman"/>
          <w:sz w:val="24"/>
          <w:szCs w:val="24"/>
          <w:lang w:val="en-GB"/>
        </w:rPr>
        <w:t xml:space="preserve">. </w:t>
      </w:r>
    </w:p>
    <w:p w14:paraId="110539BC" w14:textId="44697550" w:rsidR="00E75702"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61.4.</w:t>
      </w:r>
      <w:r w:rsidRPr="008F5862">
        <w:rPr>
          <w:rFonts w:ascii="Times New Roman" w:hAnsi="Times New Roman" w:cs="Times New Roman"/>
          <w:sz w:val="24"/>
          <w:szCs w:val="24"/>
          <w:lang w:val="en-GB"/>
        </w:rPr>
        <w:tab/>
      </w:r>
      <w:r w:rsidR="00DE5AFC" w:rsidRPr="003253E5">
        <w:rPr>
          <w:rFonts w:ascii="Times New Roman" w:hAnsi="Times New Roman" w:cs="Times New Roman"/>
          <w:sz w:val="24"/>
          <w:szCs w:val="24"/>
          <w:lang w:val="en-GB"/>
        </w:rPr>
        <w:t>The relevant VM was declared as the exporter of record on the export bill of entry</w:t>
      </w:r>
      <w:r w:rsidR="00E75702" w:rsidRPr="003253E5">
        <w:rPr>
          <w:rFonts w:ascii="Times New Roman" w:hAnsi="Times New Roman" w:cs="Times New Roman"/>
          <w:sz w:val="24"/>
          <w:szCs w:val="24"/>
          <w:lang w:val="en-GB"/>
        </w:rPr>
        <w:t>.</w:t>
      </w:r>
    </w:p>
    <w:p w14:paraId="7E8A4E9B" w14:textId="1266DBC1" w:rsidR="00E75702" w:rsidRPr="003253E5" w:rsidRDefault="003253E5" w:rsidP="003253E5">
      <w:pPr>
        <w:spacing w:after="360" w:line="480" w:lineRule="auto"/>
        <w:ind w:left="1418"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55.1</w:t>
      </w:r>
      <w:r w:rsidRPr="008F5862">
        <w:rPr>
          <w:rFonts w:ascii="Times New Roman" w:hAnsi="Times New Roman" w:cs="Times New Roman"/>
          <w:sz w:val="24"/>
          <w:szCs w:val="24"/>
          <w:lang w:val="en-GB"/>
        </w:rPr>
        <w:tab/>
      </w:r>
      <w:r w:rsidR="00DE5AFC" w:rsidRPr="003253E5">
        <w:rPr>
          <w:rFonts w:ascii="Times New Roman" w:hAnsi="Times New Roman" w:cs="Times New Roman"/>
          <w:sz w:val="24"/>
          <w:szCs w:val="24"/>
          <w:lang w:val="en-GB"/>
        </w:rPr>
        <w:t>The relevant VM claimed the duties and levies by way of set-off on their monthly excise accounts</w:t>
      </w:r>
      <w:r w:rsidR="00E75702" w:rsidRPr="003253E5">
        <w:rPr>
          <w:rFonts w:ascii="Times New Roman" w:hAnsi="Times New Roman" w:cs="Times New Roman"/>
          <w:sz w:val="24"/>
          <w:szCs w:val="24"/>
          <w:lang w:val="en-GB"/>
        </w:rPr>
        <w:t xml:space="preserve">. </w:t>
      </w:r>
    </w:p>
    <w:p w14:paraId="7FF8E492" w14:textId="23D2F998" w:rsidR="00E75702"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61.5.</w:t>
      </w:r>
      <w:r w:rsidRPr="008F5862">
        <w:rPr>
          <w:rFonts w:ascii="Times New Roman" w:hAnsi="Times New Roman" w:cs="Times New Roman"/>
          <w:sz w:val="24"/>
          <w:szCs w:val="24"/>
          <w:lang w:val="en-GB"/>
        </w:rPr>
        <w:tab/>
      </w:r>
      <w:r w:rsidR="00DE5AFC" w:rsidRPr="003253E5">
        <w:rPr>
          <w:rFonts w:ascii="Times New Roman" w:hAnsi="Times New Roman" w:cs="Times New Roman"/>
          <w:sz w:val="24"/>
          <w:szCs w:val="24"/>
          <w:lang w:val="en-GB"/>
        </w:rPr>
        <w:t>The SAD 500 and SAD 502 were not submitted with the DA160 excise account but copies were kept by the VMs.</w:t>
      </w:r>
    </w:p>
    <w:p w14:paraId="68CCC7E3" w14:textId="02065F20" w:rsidR="004C484D"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[62]</w:t>
      </w:r>
      <w:r w:rsidRPr="008F5862">
        <w:rPr>
          <w:rFonts w:ascii="Times New Roman" w:hAnsi="Times New Roman" w:cs="Times New Roman"/>
          <w:sz w:val="24"/>
          <w:szCs w:val="24"/>
          <w:lang w:val="en-GB"/>
        </w:rPr>
        <w:tab/>
      </w:r>
      <w:r w:rsidR="00B00924" w:rsidRPr="003253E5">
        <w:rPr>
          <w:rFonts w:ascii="Times New Roman" w:hAnsi="Times New Roman" w:cs="Times New Roman"/>
          <w:sz w:val="24"/>
          <w:szCs w:val="24"/>
          <w:lang w:val="en-GB"/>
        </w:rPr>
        <w:t xml:space="preserve">I should say that given my findings </w:t>
      </w:r>
      <w:r w:rsidR="000E7E1B" w:rsidRPr="003253E5">
        <w:rPr>
          <w:rFonts w:ascii="Times New Roman" w:hAnsi="Times New Roman" w:cs="Times New Roman"/>
          <w:sz w:val="24"/>
          <w:szCs w:val="24"/>
          <w:lang w:val="en-GB"/>
        </w:rPr>
        <w:t>as</w:t>
      </w:r>
      <w:r w:rsidR="00077F8F" w:rsidRPr="003253E5">
        <w:rPr>
          <w:rFonts w:ascii="Times New Roman" w:hAnsi="Times New Roman" w:cs="Times New Roman"/>
          <w:sz w:val="24"/>
          <w:szCs w:val="24"/>
          <w:lang w:val="en-GB"/>
        </w:rPr>
        <w:t xml:space="preserve"> </w:t>
      </w:r>
      <w:r w:rsidR="000E7E1B" w:rsidRPr="003253E5">
        <w:rPr>
          <w:rFonts w:ascii="Times New Roman" w:hAnsi="Times New Roman" w:cs="Times New Roman"/>
          <w:sz w:val="24"/>
          <w:szCs w:val="24"/>
          <w:lang w:val="en-GB"/>
        </w:rPr>
        <w:t xml:space="preserve">set out above, the alleged practice can be narrowed down </w:t>
      </w:r>
      <w:r w:rsidR="00892EEA" w:rsidRPr="003253E5">
        <w:rPr>
          <w:rFonts w:ascii="Times New Roman" w:hAnsi="Times New Roman" w:cs="Times New Roman"/>
          <w:sz w:val="24"/>
          <w:szCs w:val="24"/>
          <w:lang w:val="en-GB"/>
        </w:rPr>
        <w:t>(as set out in the founding affidavit</w:t>
      </w:r>
      <w:r w:rsidR="00546258" w:rsidRPr="003253E5">
        <w:rPr>
          <w:rFonts w:ascii="Times New Roman" w:hAnsi="Times New Roman" w:cs="Times New Roman"/>
          <w:sz w:val="24"/>
          <w:szCs w:val="24"/>
          <w:lang w:val="en-GB"/>
        </w:rPr>
        <w:t xml:space="preserve"> by PetroSA</w:t>
      </w:r>
      <w:r w:rsidR="00892EEA" w:rsidRPr="003253E5">
        <w:rPr>
          <w:rFonts w:ascii="Times New Roman" w:hAnsi="Times New Roman" w:cs="Times New Roman"/>
          <w:sz w:val="24"/>
          <w:szCs w:val="24"/>
          <w:lang w:val="en-GB"/>
        </w:rPr>
        <w:t>)</w:t>
      </w:r>
      <w:r w:rsidR="004C484D" w:rsidRPr="003253E5">
        <w:rPr>
          <w:rFonts w:ascii="Times New Roman" w:hAnsi="Times New Roman" w:cs="Times New Roman"/>
          <w:sz w:val="24"/>
          <w:szCs w:val="24"/>
          <w:lang w:val="en-GB"/>
        </w:rPr>
        <w:t xml:space="preserve"> to the following</w:t>
      </w:r>
      <w:r w:rsidR="00892EEA" w:rsidRPr="003253E5">
        <w:rPr>
          <w:rFonts w:ascii="Times New Roman" w:hAnsi="Times New Roman" w:cs="Times New Roman"/>
          <w:sz w:val="24"/>
          <w:szCs w:val="24"/>
          <w:lang w:val="en-GB"/>
        </w:rPr>
        <w:t>:</w:t>
      </w:r>
      <w:r w:rsidR="009D42EC" w:rsidRPr="003253E5">
        <w:rPr>
          <w:rFonts w:ascii="Times New Roman" w:hAnsi="Times New Roman" w:cs="Times New Roman"/>
          <w:sz w:val="24"/>
          <w:szCs w:val="24"/>
          <w:lang w:val="en-GB"/>
        </w:rPr>
        <w:t xml:space="preserve"> </w:t>
      </w:r>
    </w:p>
    <w:p w14:paraId="12B24194" w14:textId="4FFC8FB1" w:rsidR="00B00924" w:rsidRPr="008F5862" w:rsidRDefault="00DB3E2A" w:rsidP="00255A08">
      <w:pPr>
        <w:pStyle w:val="Quote"/>
        <w:spacing w:after="600"/>
        <w:rPr>
          <w:lang w:val="en-GB"/>
        </w:rPr>
      </w:pPr>
      <w:r>
        <w:rPr>
          <w:lang w:val="en-GB"/>
        </w:rPr>
        <w:t>“</w:t>
      </w:r>
      <w:r w:rsidR="004C484D" w:rsidRPr="008F5862">
        <w:rPr>
          <w:lang w:val="en-GB"/>
        </w:rPr>
        <w:t xml:space="preserve">During the audit period </w:t>
      </w:r>
      <w:r w:rsidR="009D42EC" w:rsidRPr="008F5862">
        <w:rPr>
          <w:lang w:val="en-GB"/>
        </w:rPr>
        <w:t>set</w:t>
      </w:r>
      <w:r w:rsidR="00874215" w:rsidRPr="008F5862">
        <w:rPr>
          <w:lang w:val="en-GB"/>
        </w:rPr>
        <w:t xml:space="preserve">-offs </w:t>
      </w:r>
      <w:r w:rsidR="0061473B" w:rsidRPr="008F5862">
        <w:rPr>
          <w:lang w:val="en-GB"/>
        </w:rPr>
        <w:t>(</w:t>
      </w:r>
      <w:r w:rsidR="00874215" w:rsidRPr="008F5862">
        <w:rPr>
          <w:lang w:val="en-GB"/>
        </w:rPr>
        <w:t>refunds</w:t>
      </w:r>
      <w:r w:rsidR="0061473B" w:rsidRPr="008F5862">
        <w:rPr>
          <w:lang w:val="en-GB"/>
        </w:rPr>
        <w:t>)</w:t>
      </w:r>
      <w:r w:rsidR="00874215" w:rsidRPr="008F5862">
        <w:rPr>
          <w:lang w:val="en-GB"/>
        </w:rPr>
        <w:t xml:space="preserve"> were allowed in respect of fuel </w:t>
      </w:r>
      <w:r w:rsidR="005A62AB" w:rsidRPr="008F5862">
        <w:rPr>
          <w:lang w:val="en-GB"/>
        </w:rPr>
        <w:t xml:space="preserve">levy goods removed or exported to African countries </w:t>
      </w:r>
      <w:r w:rsidR="001050AC" w:rsidRPr="008F5862">
        <w:rPr>
          <w:lang w:val="en-GB"/>
        </w:rPr>
        <w:t xml:space="preserve">from unlicensed facilities, provided that </w:t>
      </w:r>
      <w:r w:rsidR="00966706" w:rsidRPr="008F5862">
        <w:rPr>
          <w:lang w:val="en-GB"/>
        </w:rPr>
        <w:t>fuel levy goods</w:t>
      </w:r>
      <w:r w:rsidR="001050AC" w:rsidRPr="008F5862">
        <w:rPr>
          <w:lang w:val="en-GB"/>
        </w:rPr>
        <w:t xml:space="preserve"> were duty paid stock.</w:t>
      </w:r>
      <w:r>
        <w:rPr>
          <w:lang w:val="en-GB"/>
        </w:rPr>
        <w:t>”</w:t>
      </w:r>
    </w:p>
    <w:p w14:paraId="0706D626" w14:textId="7020C674" w:rsidR="00E75702"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[63]</w:t>
      </w:r>
      <w:r w:rsidRPr="008F5862">
        <w:rPr>
          <w:rFonts w:ascii="Times New Roman" w:hAnsi="Times New Roman" w:cs="Times New Roman"/>
          <w:sz w:val="24"/>
          <w:szCs w:val="24"/>
          <w:lang w:val="en-GB"/>
        </w:rPr>
        <w:tab/>
      </w:r>
      <w:r w:rsidR="00E75702" w:rsidRPr="003253E5">
        <w:rPr>
          <w:rFonts w:ascii="Times New Roman" w:hAnsi="Times New Roman" w:cs="Times New Roman"/>
          <w:sz w:val="24"/>
          <w:szCs w:val="24"/>
          <w:lang w:val="en-GB"/>
        </w:rPr>
        <w:t xml:space="preserve">In </w:t>
      </w:r>
      <w:r w:rsidR="005D7919" w:rsidRPr="003253E5">
        <w:rPr>
          <w:rFonts w:ascii="Times New Roman" w:hAnsi="Times New Roman" w:cs="Times New Roman"/>
          <w:sz w:val="24"/>
          <w:szCs w:val="24"/>
          <w:lang w:val="en-GB"/>
        </w:rPr>
        <w:t xml:space="preserve">a written </w:t>
      </w:r>
      <w:r w:rsidR="00E75702" w:rsidRPr="003253E5">
        <w:rPr>
          <w:rFonts w:ascii="Times New Roman" w:hAnsi="Times New Roman" w:cs="Times New Roman"/>
          <w:sz w:val="24"/>
          <w:szCs w:val="24"/>
          <w:lang w:val="en-GB"/>
        </w:rPr>
        <w:t>response</w:t>
      </w:r>
      <w:r w:rsidR="005D7919" w:rsidRPr="003253E5">
        <w:rPr>
          <w:rFonts w:ascii="Times New Roman" w:hAnsi="Times New Roman" w:cs="Times New Roman"/>
          <w:sz w:val="24"/>
          <w:szCs w:val="24"/>
          <w:lang w:val="en-GB"/>
        </w:rPr>
        <w:t xml:space="preserve"> submitted after the hearing</w:t>
      </w:r>
      <w:r w:rsidR="00E75702" w:rsidRPr="003253E5">
        <w:rPr>
          <w:rFonts w:ascii="Times New Roman" w:hAnsi="Times New Roman" w:cs="Times New Roman"/>
          <w:sz w:val="24"/>
          <w:szCs w:val="24"/>
          <w:lang w:val="en-GB"/>
        </w:rPr>
        <w:t>, again at my invitation, SARS contend</w:t>
      </w:r>
      <w:r w:rsidR="00B00924" w:rsidRPr="003253E5">
        <w:rPr>
          <w:rFonts w:ascii="Times New Roman" w:hAnsi="Times New Roman" w:cs="Times New Roman"/>
          <w:sz w:val="24"/>
          <w:szCs w:val="24"/>
          <w:lang w:val="en-GB"/>
        </w:rPr>
        <w:t>s</w:t>
      </w:r>
      <w:r w:rsidR="00E75702" w:rsidRPr="003253E5">
        <w:rPr>
          <w:rFonts w:ascii="Times New Roman" w:hAnsi="Times New Roman" w:cs="Times New Roman"/>
          <w:sz w:val="24"/>
          <w:szCs w:val="24"/>
          <w:lang w:val="en-GB"/>
        </w:rPr>
        <w:t xml:space="preserve"> as follows:</w:t>
      </w:r>
    </w:p>
    <w:p w14:paraId="1A33F343" w14:textId="5087472B" w:rsidR="00E75702"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63.1.</w:t>
      </w:r>
      <w:r w:rsidRPr="008F5862">
        <w:rPr>
          <w:rFonts w:ascii="Times New Roman" w:hAnsi="Times New Roman" w:cs="Times New Roman"/>
          <w:sz w:val="24"/>
          <w:szCs w:val="24"/>
          <w:lang w:val="en-GB"/>
        </w:rPr>
        <w:tab/>
      </w:r>
      <w:r w:rsidR="00E75702" w:rsidRPr="003253E5">
        <w:rPr>
          <w:rFonts w:ascii="Times New Roman" w:hAnsi="Times New Roman" w:cs="Times New Roman"/>
          <w:sz w:val="24"/>
          <w:szCs w:val="24"/>
          <w:lang w:val="en-GB"/>
        </w:rPr>
        <w:t xml:space="preserve">The legal test which PetroSA must satisfy is set out in </w:t>
      </w:r>
      <w:r w:rsidR="00E75702" w:rsidRPr="003253E5">
        <w:rPr>
          <w:rFonts w:ascii="Times New Roman" w:hAnsi="Times New Roman" w:cs="Times New Roman"/>
          <w:b/>
          <w:bCs/>
          <w:sz w:val="24"/>
          <w:szCs w:val="24"/>
          <w:u w:val="single"/>
          <w:lang w:val="en-GB"/>
        </w:rPr>
        <w:t>SA Mutual Unit Trust</w:t>
      </w:r>
      <w:r w:rsidR="00E75702" w:rsidRPr="003253E5">
        <w:rPr>
          <w:rFonts w:ascii="Times New Roman" w:hAnsi="Times New Roman" w:cs="Times New Roman"/>
          <w:sz w:val="24"/>
          <w:szCs w:val="24"/>
          <w:lang w:val="en-GB"/>
        </w:rPr>
        <w:t xml:space="preserve"> (referred to above)</w:t>
      </w:r>
      <w:r w:rsidR="006358B1" w:rsidRPr="003253E5">
        <w:rPr>
          <w:rFonts w:ascii="Times New Roman" w:hAnsi="Times New Roman" w:cs="Times New Roman"/>
          <w:sz w:val="24"/>
          <w:szCs w:val="24"/>
          <w:lang w:val="en-GB"/>
        </w:rPr>
        <w:t>.</w:t>
      </w:r>
    </w:p>
    <w:p w14:paraId="33FECD00" w14:textId="79EC49E7" w:rsidR="00E75702"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63.2.</w:t>
      </w:r>
      <w:r w:rsidRPr="008F5862">
        <w:rPr>
          <w:rFonts w:ascii="Times New Roman" w:hAnsi="Times New Roman" w:cs="Times New Roman"/>
          <w:sz w:val="24"/>
          <w:szCs w:val="24"/>
          <w:lang w:val="en-GB"/>
        </w:rPr>
        <w:tab/>
      </w:r>
      <w:r w:rsidR="00E75702" w:rsidRPr="003253E5">
        <w:rPr>
          <w:rFonts w:ascii="Times New Roman" w:hAnsi="Times New Roman" w:cs="Times New Roman"/>
          <w:sz w:val="24"/>
          <w:szCs w:val="24"/>
          <w:lang w:val="en-GB"/>
        </w:rPr>
        <w:t>The elements of the practice alleged to have developed by PetroSA, referred to above, consist entirely of conduct on the part of PetroSA, and possibly other oil companies within the hearsay belief of PetroSA</w:t>
      </w:r>
      <w:r w:rsidR="00DB3E2A" w:rsidRPr="003253E5">
        <w:rPr>
          <w:rFonts w:ascii="Times New Roman" w:hAnsi="Times New Roman" w:cs="Times New Roman"/>
          <w:sz w:val="24"/>
          <w:szCs w:val="24"/>
          <w:lang w:val="en-GB"/>
        </w:rPr>
        <w:t>’</w:t>
      </w:r>
      <w:r w:rsidR="00E75702" w:rsidRPr="003253E5">
        <w:rPr>
          <w:rFonts w:ascii="Times New Roman" w:hAnsi="Times New Roman" w:cs="Times New Roman"/>
          <w:sz w:val="24"/>
          <w:szCs w:val="24"/>
          <w:lang w:val="en-GB"/>
        </w:rPr>
        <w:t>s deponent.</w:t>
      </w:r>
    </w:p>
    <w:p w14:paraId="2E71D562" w14:textId="0A480ED0" w:rsidR="00E75702"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63.3.</w:t>
      </w:r>
      <w:r w:rsidRPr="008F5862">
        <w:rPr>
          <w:rFonts w:ascii="Times New Roman" w:hAnsi="Times New Roman" w:cs="Times New Roman"/>
          <w:sz w:val="24"/>
          <w:szCs w:val="24"/>
          <w:lang w:val="en-GB"/>
        </w:rPr>
        <w:tab/>
      </w:r>
      <w:r w:rsidR="00E75702" w:rsidRPr="003253E5">
        <w:rPr>
          <w:rFonts w:ascii="Times New Roman" w:hAnsi="Times New Roman" w:cs="Times New Roman"/>
          <w:sz w:val="24"/>
          <w:szCs w:val="24"/>
          <w:lang w:val="en-GB"/>
        </w:rPr>
        <w:t>None of these elements are attributed to a practice applied in the different offices of SARS, either generally or at all.</w:t>
      </w:r>
    </w:p>
    <w:p w14:paraId="2EB07EEE" w14:textId="1BB0E1E0" w:rsidR="00E75702"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63.4.</w:t>
      </w:r>
      <w:r w:rsidRPr="008F5862">
        <w:rPr>
          <w:rFonts w:ascii="Times New Roman" w:hAnsi="Times New Roman" w:cs="Times New Roman"/>
          <w:sz w:val="24"/>
          <w:szCs w:val="24"/>
          <w:lang w:val="en-GB"/>
        </w:rPr>
        <w:tab/>
      </w:r>
      <w:r w:rsidR="00E75702" w:rsidRPr="003253E5">
        <w:rPr>
          <w:rFonts w:ascii="Times New Roman" w:hAnsi="Times New Roman" w:cs="Times New Roman"/>
          <w:sz w:val="24"/>
          <w:szCs w:val="24"/>
          <w:lang w:val="en-GB"/>
        </w:rPr>
        <w:t xml:space="preserve">The only references to SARS identify non-conduct on the part of SARS in </w:t>
      </w:r>
      <w:r w:rsidR="00E75702" w:rsidRPr="003253E5">
        <w:rPr>
          <w:rFonts w:ascii="Times New Roman" w:hAnsi="Times New Roman" w:cs="Times New Roman"/>
          <w:sz w:val="24"/>
          <w:szCs w:val="24"/>
          <w:u w:val="single"/>
          <w:lang w:val="en-GB"/>
        </w:rPr>
        <w:t>not</w:t>
      </w:r>
      <w:r w:rsidR="00E75702" w:rsidRPr="003253E5">
        <w:rPr>
          <w:rFonts w:ascii="Times New Roman" w:hAnsi="Times New Roman" w:cs="Times New Roman"/>
          <w:sz w:val="24"/>
          <w:szCs w:val="24"/>
          <w:lang w:val="en-GB"/>
        </w:rPr>
        <w:t xml:space="preserve"> disallowing set</w:t>
      </w:r>
      <w:r w:rsidR="006248DF" w:rsidRPr="003253E5">
        <w:rPr>
          <w:rFonts w:ascii="Times New Roman" w:hAnsi="Times New Roman" w:cs="Times New Roman"/>
          <w:sz w:val="24"/>
          <w:szCs w:val="24"/>
          <w:lang w:val="en-GB"/>
        </w:rPr>
        <w:t>-</w:t>
      </w:r>
      <w:r w:rsidR="00E75702" w:rsidRPr="003253E5">
        <w:rPr>
          <w:rFonts w:ascii="Times New Roman" w:hAnsi="Times New Roman" w:cs="Times New Roman"/>
          <w:sz w:val="24"/>
          <w:szCs w:val="24"/>
          <w:lang w:val="en-GB"/>
        </w:rPr>
        <w:t xml:space="preserve">offs until the letter of demand, notwithstanding audits; </w:t>
      </w:r>
      <w:r w:rsidR="00E75702" w:rsidRPr="003253E5">
        <w:rPr>
          <w:rFonts w:ascii="Times New Roman" w:hAnsi="Times New Roman" w:cs="Times New Roman"/>
          <w:sz w:val="24"/>
          <w:szCs w:val="24"/>
          <w:u w:val="single"/>
          <w:lang w:val="en-GB"/>
        </w:rPr>
        <w:t>not</w:t>
      </w:r>
      <w:r w:rsidR="00E75702" w:rsidRPr="003253E5">
        <w:rPr>
          <w:rFonts w:ascii="Times New Roman" w:hAnsi="Times New Roman" w:cs="Times New Roman"/>
          <w:sz w:val="24"/>
          <w:szCs w:val="24"/>
          <w:lang w:val="en-GB"/>
        </w:rPr>
        <w:t xml:space="preserve"> raising any issue in respect of set</w:t>
      </w:r>
      <w:r w:rsidR="006248DF" w:rsidRPr="003253E5">
        <w:rPr>
          <w:rFonts w:ascii="Times New Roman" w:hAnsi="Times New Roman" w:cs="Times New Roman"/>
          <w:sz w:val="24"/>
          <w:szCs w:val="24"/>
          <w:lang w:val="en-GB"/>
        </w:rPr>
        <w:t>-</w:t>
      </w:r>
      <w:r w:rsidR="00E75702" w:rsidRPr="003253E5">
        <w:rPr>
          <w:rFonts w:ascii="Times New Roman" w:hAnsi="Times New Roman" w:cs="Times New Roman"/>
          <w:sz w:val="24"/>
          <w:szCs w:val="24"/>
          <w:lang w:val="en-GB"/>
        </w:rPr>
        <w:t>o</w:t>
      </w:r>
      <w:r w:rsidR="006248DF" w:rsidRPr="003253E5">
        <w:rPr>
          <w:rFonts w:ascii="Times New Roman" w:hAnsi="Times New Roman" w:cs="Times New Roman"/>
          <w:sz w:val="24"/>
          <w:szCs w:val="24"/>
          <w:lang w:val="en-GB"/>
        </w:rPr>
        <w:t>f</w:t>
      </w:r>
      <w:r w:rsidR="00E75702" w:rsidRPr="003253E5">
        <w:rPr>
          <w:rFonts w:ascii="Times New Roman" w:hAnsi="Times New Roman" w:cs="Times New Roman"/>
          <w:sz w:val="24"/>
          <w:szCs w:val="24"/>
          <w:lang w:val="en-GB"/>
        </w:rPr>
        <w:t xml:space="preserve">f being applied where goods were exported from an unlicensed facility; and </w:t>
      </w:r>
      <w:r w:rsidR="00E75702" w:rsidRPr="003253E5">
        <w:rPr>
          <w:rFonts w:ascii="Times New Roman" w:hAnsi="Times New Roman" w:cs="Times New Roman"/>
          <w:sz w:val="24"/>
          <w:szCs w:val="24"/>
          <w:u w:val="single"/>
          <w:lang w:val="en-GB"/>
        </w:rPr>
        <w:t>not</w:t>
      </w:r>
      <w:r w:rsidR="00E75702" w:rsidRPr="003253E5">
        <w:rPr>
          <w:rFonts w:ascii="Times New Roman" w:hAnsi="Times New Roman" w:cs="Times New Roman"/>
          <w:sz w:val="24"/>
          <w:szCs w:val="24"/>
          <w:lang w:val="en-GB"/>
        </w:rPr>
        <w:t xml:space="preserve"> raising any concerns in respect of set-offs until the latter half of 2018.</w:t>
      </w:r>
    </w:p>
    <w:p w14:paraId="3A59957A" w14:textId="2B613EA1" w:rsidR="00280760"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63.5.</w:t>
      </w:r>
      <w:r w:rsidRPr="008F5862">
        <w:rPr>
          <w:rFonts w:ascii="Times New Roman" w:hAnsi="Times New Roman" w:cs="Times New Roman"/>
          <w:sz w:val="24"/>
          <w:szCs w:val="24"/>
          <w:lang w:val="en-GB"/>
        </w:rPr>
        <w:tab/>
      </w:r>
      <w:r w:rsidR="00E75702" w:rsidRPr="003253E5">
        <w:rPr>
          <w:rFonts w:ascii="Times New Roman" w:hAnsi="Times New Roman" w:cs="Times New Roman"/>
          <w:sz w:val="24"/>
          <w:szCs w:val="24"/>
          <w:lang w:val="en-GB"/>
        </w:rPr>
        <w:t xml:space="preserve">None the passages identify any direct evidence of a practice positively applied by SARS.  At best for PetroSA, it seeks that the Court draw an inference that </w:t>
      </w:r>
      <w:r w:rsidR="00280760" w:rsidRPr="003253E5">
        <w:rPr>
          <w:rFonts w:ascii="Times New Roman" w:hAnsi="Times New Roman" w:cs="Times New Roman"/>
          <w:sz w:val="24"/>
          <w:szCs w:val="24"/>
          <w:lang w:val="en-GB"/>
        </w:rPr>
        <w:t xml:space="preserve">SARS </w:t>
      </w:r>
      <w:r w:rsidR="00E75702" w:rsidRPr="003253E5">
        <w:rPr>
          <w:rFonts w:ascii="Times New Roman" w:hAnsi="Times New Roman" w:cs="Times New Roman"/>
          <w:sz w:val="24"/>
          <w:szCs w:val="24"/>
          <w:lang w:val="en-GB"/>
        </w:rPr>
        <w:t xml:space="preserve">applied a practice and this practice was applied generally in different offices of the </w:t>
      </w:r>
      <w:r w:rsidR="00280760" w:rsidRPr="003253E5">
        <w:rPr>
          <w:rFonts w:ascii="Times New Roman" w:hAnsi="Times New Roman" w:cs="Times New Roman"/>
          <w:sz w:val="24"/>
          <w:szCs w:val="24"/>
          <w:lang w:val="en-GB"/>
        </w:rPr>
        <w:t>SARS.</w:t>
      </w:r>
    </w:p>
    <w:p w14:paraId="22B79F07" w14:textId="08DE0150" w:rsidR="00280760"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63.6.</w:t>
      </w:r>
      <w:r w:rsidRPr="008F5862">
        <w:rPr>
          <w:rFonts w:ascii="Times New Roman" w:hAnsi="Times New Roman" w:cs="Times New Roman"/>
          <w:sz w:val="24"/>
          <w:szCs w:val="24"/>
          <w:lang w:val="en-GB"/>
        </w:rPr>
        <w:tab/>
      </w:r>
      <w:r w:rsidR="00E75702" w:rsidRPr="003253E5">
        <w:rPr>
          <w:rFonts w:ascii="Times New Roman" w:hAnsi="Times New Roman" w:cs="Times New Roman"/>
          <w:sz w:val="24"/>
          <w:szCs w:val="24"/>
          <w:lang w:val="en-GB"/>
        </w:rPr>
        <w:t>In order to draw the inference of a practice generally prevailing, it must be the only reasonably probable inference.</w:t>
      </w:r>
    </w:p>
    <w:p w14:paraId="40001ACB" w14:textId="09805D1C" w:rsidR="00E75702"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63.7.</w:t>
      </w:r>
      <w:r w:rsidRPr="008F5862">
        <w:rPr>
          <w:rFonts w:ascii="Times New Roman" w:hAnsi="Times New Roman" w:cs="Times New Roman"/>
          <w:sz w:val="24"/>
          <w:szCs w:val="24"/>
          <w:lang w:val="en-GB"/>
        </w:rPr>
        <w:tab/>
      </w:r>
      <w:r w:rsidR="00E75702" w:rsidRPr="003253E5">
        <w:rPr>
          <w:rFonts w:ascii="Times New Roman" w:hAnsi="Times New Roman" w:cs="Times New Roman"/>
          <w:sz w:val="24"/>
          <w:szCs w:val="24"/>
          <w:lang w:val="en-GB"/>
        </w:rPr>
        <w:t>The observations that</w:t>
      </w:r>
      <w:r w:rsidR="00280760" w:rsidRPr="003253E5">
        <w:rPr>
          <w:rFonts w:ascii="Times New Roman" w:hAnsi="Times New Roman" w:cs="Times New Roman"/>
          <w:sz w:val="24"/>
          <w:szCs w:val="24"/>
          <w:lang w:val="en-GB"/>
        </w:rPr>
        <w:t xml:space="preserve"> </w:t>
      </w:r>
      <w:r w:rsidR="00E75702" w:rsidRPr="003253E5">
        <w:rPr>
          <w:rFonts w:ascii="Times New Roman" w:hAnsi="Times New Roman" w:cs="Times New Roman"/>
          <w:sz w:val="24"/>
          <w:szCs w:val="24"/>
          <w:lang w:val="en-GB"/>
        </w:rPr>
        <w:t>notwithstanding audits, the set-offs were not disallowed until they were disallowed</w:t>
      </w:r>
      <w:r w:rsidR="00280760" w:rsidRPr="003253E5">
        <w:rPr>
          <w:rFonts w:ascii="Times New Roman" w:hAnsi="Times New Roman" w:cs="Times New Roman"/>
          <w:sz w:val="24"/>
          <w:szCs w:val="24"/>
          <w:lang w:val="en-GB"/>
        </w:rPr>
        <w:t xml:space="preserve"> </w:t>
      </w:r>
      <w:r w:rsidR="00E75702" w:rsidRPr="003253E5">
        <w:rPr>
          <w:rFonts w:ascii="Times New Roman" w:hAnsi="Times New Roman" w:cs="Times New Roman"/>
          <w:sz w:val="24"/>
          <w:szCs w:val="24"/>
          <w:lang w:val="en-GB"/>
        </w:rPr>
        <w:t xml:space="preserve">and </w:t>
      </w:r>
      <w:r w:rsidR="00280760" w:rsidRPr="003253E5">
        <w:rPr>
          <w:rFonts w:ascii="Times New Roman" w:hAnsi="Times New Roman" w:cs="Times New Roman"/>
          <w:sz w:val="24"/>
          <w:szCs w:val="24"/>
          <w:lang w:val="en-GB"/>
        </w:rPr>
        <w:t xml:space="preserve">that </w:t>
      </w:r>
      <w:r w:rsidR="00E75702" w:rsidRPr="003253E5">
        <w:rPr>
          <w:rFonts w:ascii="Times New Roman" w:hAnsi="Times New Roman" w:cs="Times New Roman"/>
          <w:sz w:val="24"/>
          <w:szCs w:val="24"/>
          <w:lang w:val="en-GB"/>
        </w:rPr>
        <w:t>no issues or concerns were raised, until they were raised in the latter half of 201</w:t>
      </w:r>
      <w:r w:rsidR="00280760" w:rsidRPr="003253E5">
        <w:rPr>
          <w:rFonts w:ascii="Times New Roman" w:hAnsi="Times New Roman" w:cs="Times New Roman"/>
          <w:sz w:val="24"/>
          <w:szCs w:val="24"/>
          <w:lang w:val="en-GB"/>
        </w:rPr>
        <w:t>8</w:t>
      </w:r>
      <w:r w:rsidR="006358B1" w:rsidRPr="003253E5">
        <w:rPr>
          <w:rFonts w:ascii="Times New Roman" w:hAnsi="Times New Roman" w:cs="Times New Roman"/>
          <w:sz w:val="24"/>
          <w:szCs w:val="24"/>
          <w:lang w:val="en-GB"/>
        </w:rPr>
        <w:t>,</w:t>
      </w:r>
      <w:r w:rsidR="00280760" w:rsidRPr="003253E5">
        <w:rPr>
          <w:rFonts w:ascii="Times New Roman" w:hAnsi="Times New Roman" w:cs="Times New Roman"/>
          <w:sz w:val="24"/>
          <w:szCs w:val="24"/>
          <w:lang w:val="en-GB"/>
        </w:rPr>
        <w:t xml:space="preserve"> </w:t>
      </w:r>
      <w:r w:rsidR="00E75702" w:rsidRPr="003253E5">
        <w:rPr>
          <w:rFonts w:ascii="Times New Roman" w:hAnsi="Times New Roman" w:cs="Times New Roman"/>
          <w:sz w:val="24"/>
          <w:szCs w:val="24"/>
          <w:lang w:val="en-GB"/>
        </w:rPr>
        <w:t xml:space="preserve">do not lead to the only probable conclusion that </w:t>
      </w:r>
      <w:r w:rsidR="00280760" w:rsidRPr="003253E5">
        <w:rPr>
          <w:rFonts w:ascii="Times New Roman" w:hAnsi="Times New Roman" w:cs="Times New Roman"/>
          <w:sz w:val="24"/>
          <w:szCs w:val="24"/>
          <w:lang w:val="en-GB"/>
        </w:rPr>
        <w:t xml:space="preserve">SARS </w:t>
      </w:r>
      <w:r w:rsidR="00E75702" w:rsidRPr="003253E5">
        <w:rPr>
          <w:rFonts w:ascii="Times New Roman" w:hAnsi="Times New Roman" w:cs="Times New Roman"/>
          <w:sz w:val="24"/>
          <w:szCs w:val="24"/>
          <w:lang w:val="en-GB"/>
        </w:rPr>
        <w:t>actually applied a practice in endorsing these refund claims.</w:t>
      </w:r>
      <w:r w:rsidR="00280760" w:rsidRPr="003253E5">
        <w:rPr>
          <w:rFonts w:ascii="Times New Roman" w:hAnsi="Times New Roman" w:cs="Times New Roman"/>
          <w:sz w:val="24"/>
          <w:szCs w:val="24"/>
          <w:lang w:val="en-GB"/>
        </w:rPr>
        <w:t xml:space="preserve"> </w:t>
      </w:r>
      <w:r w:rsidR="00E75702" w:rsidRPr="003253E5">
        <w:rPr>
          <w:rFonts w:ascii="Times New Roman" w:hAnsi="Times New Roman" w:cs="Times New Roman"/>
          <w:sz w:val="24"/>
          <w:szCs w:val="24"/>
          <w:lang w:val="en-GB"/>
        </w:rPr>
        <w:t>The observations are consistent with another reasonable and equally probable, if not more probable, inference that</w:t>
      </w:r>
      <w:r w:rsidR="00280760" w:rsidRPr="003253E5">
        <w:rPr>
          <w:rFonts w:ascii="Times New Roman" w:hAnsi="Times New Roman" w:cs="Times New Roman"/>
          <w:sz w:val="24"/>
          <w:szCs w:val="24"/>
          <w:lang w:val="en-GB"/>
        </w:rPr>
        <w:t xml:space="preserve"> PetroSA</w:t>
      </w:r>
      <w:r w:rsidR="00E75702" w:rsidRPr="003253E5">
        <w:rPr>
          <w:rFonts w:ascii="Times New Roman" w:hAnsi="Times New Roman" w:cs="Times New Roman"/>
          <w:sz w:val="24"/>
          <w:szCs w:val="24"/>
          <w:lang w:val="en-GB"/>
        </w:rPr>
        <w:t xml:space="preserve">, and the other oil companies, were fortunate to get away unimpeded for as long as they did, until it was noticed by the </w:t>
      </w:r>
      <w:r w:rsidR="00280760" w:rsidRPr="003253E5">
        <w:rPr>
          <w:rFonts w:ascii="Times New Roman" w:hAnsi="Times New Roman" w:cs="Times New Roman"/>
          <w:sz w:val="24"/>
          <w:szCs w:val="24"/>
          <w:lang w:val="en-GB"/>
        </w:rPr>
        <w:t xml:space="preserve">SARS </w:t>
      </w:r>
      <w:r w:rsidR="00E75702" w:rsidRPr="003253E5">
        <w:rPr>
          <w:rFonts w:ascii="Times New Roman" w:hAnsi="Times New Roman" w:cs="Times New Roman"/>
          <w:sz w:val="24"/>
          <w:szCs w:val="24"/>
          <w:lang w:val="en-GB"/>
        </w:rPr>
        <w:t>whereafter the issues and concerns were raised and the refunds disallowed</w:t>
      </w:r>
      <w:r w:rsidR="00280760" w:rsidRPr="003253E5">
        <w:rPr>
          <w:rFonts w:ascii="Times New Roman" w:hAnsi="Times New Roman" w:cs="Times New Roman"/>
          <w:sz w:val="24"/>
          <w:szCs w:val="24"/>
          <w:lang w:val="en-GB"/>
        </w:rPr>
        <w:t xml:space="preserve">. </w:t>
      </w:r>
    </w:p>
    <w:p w14:paraId="27DF75F4" w14:textId="11044278" w:rsidR="00637CF3"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[64]</w:t>
      </w:r>
      <w:r w:rsidRPr="008F5862">
        <w:rPr>
          <w:rFonts w:ascii="Times New Roman" w:hAnsi="Times New Roman" w:cs="Times New Roman"/>
          <w:sz w:val="24"/>
          <w:szCs w:val="24"/>
          <w:lang w:val="en-GB"/>
        </w:rPr>
        <w:tab/>
      </w:r>
      <w:r w:rsidR="00540589" w:rsidRPr="003253E5">
        <w:rPr>
          <w:rFonts w:ascii="Times New Roman" w:hAnsi="Times New Roman" w:cs="Times New Roman"/>
          <w:sz w:val="24"/>
          <w:szCs w:val="24"/>
          <w:lang w:val="en-GB"/>
        </w:rPr>
        <w:t>I should emphasise, at this point, that the above constitutes summary of the</w:t>
      </w:r>
      <w:r w:rsidR="00F655CA" w:rsidRPr="003253E5">
        <w:rPr>
          <w:rFonts w:ascii="Times New Roman" w:hAnsi="Times New Roman" w:cs="Times New Roman"/>
          <w:sz w:val="24"/>
          <w:szCs w:val="24"/>
          <w:lang w:val="en-GB"/>
        </w:rPr>
        <w:t xml:space="preserve"> submissions of the parties.  </w:t>
      </w:r>
      <w:r w:rsidR="00103D54" w:rsidRPr="003253E5">
        <w:rPr>
          <w:rFonts w:ascii="Times New Roman" w:hAnsi="Times New Roman" w:cs="Times New Roman"/>
          <w:sz w:val="24"/>
          <w:szCs w:val="24"/>
          <w:lang w:val="en-GB"/>
        </w:rPr>
        <w:t>In order to assess the matter, I need to analyse the evidence presented in the papers filed</w:t>
      </w:r>
      <w:r w:rsidR="006358B1" w:rsidRPr="003253E5">
        <w:rPr>
          <w:rFonts w:ascii="Times New Roman" w:hAnsi="Times New Roman" w:cs="Times New Roman"/>
          <w:sz w:val="24"/>
          <w:szCs w:val="24"/>
          <w:lang w:val="en-GB"/>
        </w:rPr>
        <w:t xml:space="preserve"> in more detail.</w:t>
      </w:r>
    </w:p>
    <w:p w14:paraId="5A8262DE" w14:textId="021E0415" w:rsidR="00103D54"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[65]</w:t>
      </w:r>
      <w:r w:rsidRPr="008F5862">
        <w:rPr>
          <w:rFonts w:ascii="Times New Roman" w:hAnsi="Times New Roman" w:cs="Times New Roman"/>
          <w:sz w:val="24"/>
          <w:szCs w:val="24"/>
          <w:lang w:val="en-GB"/>
        </w:rPr>
        <w:tab/>
      </w:r>
      <w:r w:rsidR="00C0129F" w:rsidRPr="003253E5">
        <w:rPr>
          <w:rFonts w:ascii="Times New Roman" w:hAnsi="Times New Roman" w:cs="Times New Roman"/>
          <w:sz w:val="24"/>
          <w:szCs w:val="24"/>
          <w:lang w:val="en-GB"/>
        </w:rPr>
        <w:t xml:space="preserve">In the papers, </w:t>
      </w:r>
      <w:r w:rsidR="00177BD7" w:rsidRPr="003253E5">
        <w:rPr>
          <w:rFonts w:ascii="Times New Roman" w:hAnsi="Times New Roman" w:cs="Times New Roman"/>
          <w:sz w:val="24"/>
          <w:szCs w:val="24"/>
          <w:lang w:val="en-GB"/>
        </w:rPr>
        <w:t>PretroSA</w:t>
      </w:r>
      <w:r w:rsidR="00DB3E2A" w:rsidRPr="003253E5">
        <w:rPr>
          <w:rFonts w:ascii="Times New Roman" w:hAnsi="Times New Roman" w:cs="Times New Roman"/>
          <w:sz w:val="24"/>
          <w:szCs w:val="24"/>
          <w:lang w:val="en-GB"/>
        </w:rPr>
        <w:t>’</w:t>
      </w:r>
      <w:r w:rsidR="00177BD7" w:rsidRPr="003253E5">
        <w:rPr>
          <w:rFonts w:ascii="Times New Roman" w:hAnsi="Times New Roman" w:cs="Times New Roman"/>
          <w:sz w:val="24"/>
          <w:szCs w:val="24"/>
          <w:lang w:val="en-GB"/>
        </w:rPr>
        <w:t>s evidence</w:t>
      </w:r>
      <w:r w:rsidR="00E657AA" w:rsidRPr="003253E5">
        <w:rPr>
          <w:rFonts w:ascii="Times New Roman" w:hAnsi="Times New Roman" w:cs="Times New Roman"/>
          <w:sz w:val="24"/>
          <w:szCs w:val="24"/>
          <w:lang w:val="en-GB"/>
        </w:rPr>
        <w:t xml:space="preserve"> about the practice generally prevailing starts by describing the context within which the matter should </w:t>
      </w:r>
      <w:r w:rsidR="002B262B" w:rsidRPr="003253E5">
        <w:rPr>
          <w:rFonts w:ascii="Times New Roman" w:hAnsi="Times New Roman" w:cs="Times New Roman"/>
          <w:sz w:val="24"/>
          <w:szCs w:val="24"/>
          <w:lang w:val="en-GB"/>
        </w:rPr>
        <w:t>assessed.  That context is as follows:</w:t>
      </w:r>
    </w:p>
    <w:p w14:paraId="3317C42D" w14:textId="41316DE8" w:rsidR="00B46420"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65.1.</w:t>
      </w:r>
      <w:r w:rsidRPr="008F5862">
        <w:rPr>
          <w:rFonts w:ascii="Times New Roman" w:hAnsi="Times New Roman" w:cs="Times New Roman"/>
          <w:sz w:val="24"/>
          <w:szCs w:val="24"/>
          <w:lang w:val="en-GB"/>
        </w:rPr>
        <w:tab/>
      </w:r>
      <w:r w:rsidR="00637CF3" w:rsidRPr="003253E5">
        <w:rPr>
          <w:rFonts w:ascii="Times New Roman" w:hAnsi="Times New Roman" w:cs="Times New Roman"/>
          <w:sz w:val="24"/>
          <w:szCs w:val="24"/>
          <w:lang w:val="en-GB"/>
        </w:rPr>
        <w:t xml:space="preserve">There was an important development in the regulatory framework which underpins </w:t>
      </w:r>
      <w:r w:rsidR="002B262B" w:rsidRPr="003253E5">
        <w:rPr>
          <w:rFonts w:ascii="Times New Roman" w:hAnsi="Times New Roman" w:cs="Times New Roman"/>
          <w:sz w:val="24"/>
          <w:szCs w:val="24"/>
          <w:lang w:val="en-GB"/>
        </w:rPr>
        <w:t xml:space="preserve">the </w:t>
      </w:r>
      <w:r w:rsidR="00637CF3" w:rsidRPr="003253E5">
        <w:rPr>
          <w:rFonts w:ascii="Times New Roman" w:hAnsi="Times New Roman" w:cs="Times New Roman"/>
          <w:sz w:val="24"/>
          <w:szCs w:val="24"/>
          <w:lang w:val="en-GB"/>
        </w:rPr>
        <w:t>argument for the practice generally prevailing.  The development is the introduction of the duty-at-source (</w:t>
      </w:r>
      <w:r w:rsidR="00DB3E2A" w:rsidRPr="003253E5">
        <w:rPr>
          <w:rFonts w:ascii="Times New Roman" w:hAnsi="Times New Roman" w:cs="Times New Roman"/>
          <w:sz w:val="24"/>
          <w:szCs w:val="24"/>
          <w:lang w:val="en-GB"/>
        </w:rPr>
        <w:t>“</w:t>
      </w:r>
      <w:r w:rsidR="00637CF3" w:rsidRPr="003253E5">
        <w:rPr>
          <w:rFonts w:ascii="Times New Roman" w:hAnsi="Times New Roman" w:cs="Times New Roman"/>
          <w:b/>
          <w:bCs/>
          <w:sz w:val="24"/>
          <w:szCs w:val="24"/>
          <w:lang w:val="en-GB"/>
        </w:rPr>
        <w:t>DAS</w:t>
      </w:r>
      <w:r w:rsidR="00DB3E2A" w:rsidRPr="003253E5">
        <w:rPr>
          <w:rFonts w:ascii="Times New Roman" w:hAnsi="Times New Roman" w:cs="Times New Roman"/>
          <w:sz w:val="24"/>
          <w:szCs w:val="24"/>
          <w:lang w:val="en-GB"/>
        </w:rPr>
        <w:t>”</w:t>
      </w:r>
      <w:r w:rsidR="00637CF3" w:rsidRPr="003253E5">
        <w:rPr>
          <w:rFonts w:ascii="Times New Roman" w:hAnsi="Times New Roman" w:cs="Times New Roman"/>
          <w:sz w:val="24"/>
          <w:szCs w:val="24"/>
          <w:lang w:val="en-GB"/>
        </w:rPr>
        <w:t>) regime which came into operation on 2</w:t>
      </w:r>
      <w:r w:rsidR="00F7161B" w:rsidRPr="003253E5">
        <w:rPr>
          <w:rFonts w:ascii="Times New Roman" w:hAnsi="Times New Roman" w:cs="Times New Roman"/>
          <w:sz w:val="24"/>
          <w:szCs w:val="24"/>
          <w:lang w:val="en-GB"/>
        </w:rPr>
        <w:t> </w:t>
      </w:r>
      <w:r w:rsidR="00637CF3" w:rsidRPr="003253E5">
        <w:rPr>
          <w:rFonts w:ascii="Times New Roman" w:hAnsi="Times New Roman" w:cs="Times New Roman"/>
          <w:sz w:val="24"/>
          <w:szCs w:val="24"/>
          <w:lang w:val="en-GB"/>
        </w:rPr>
        <w:t>April</w:t>
      </w:r>
      <w:r w:rsidR="00F7161B" w:rsidRPr="003253E5">
        <w:rPr>
          <w:rFonts w:ascii="Times New Roman" w:hAnsi="Times New Roman" w:cs="Times New Roman"/>
          <w:sz w:val="24"/>
          <w:szCs w:val="24"/>
          <w:lang w:val="en-GB"/>
        </w:rPr>
        <w:t> </w:t>
      </w:r>
      <w:r w:rsidR="00637CF3" w:rsidRPr="003253E5">
        <w:rPr>
          <w:rFonts w:ascii="Times New Roman" w:hAnsi="Times New Roman" w:cs="Times New Roman"/>
          <w:sz w:val="24"/>
          <w:szCs w:val="24"/>
          <w:lang w:val="en-GB"/>
        </w:rPr>
        <w:t>2003.  Under DAS, excise duty, fuel levy and the RAF levy are payable when the fuel goods are released from the VM.  It was recognised in the Explanatory Memorandum to the</w:t>
      </w:r>
      <w:r w:rsidR="00C0129F" w:rsidRPr="003253E5">
        <w:rPr>
          <w:rFonts w:ascii="Times New Roman" w:hAnsi="Times New Roman" w:cs="Times New Roman"/>
          <w:sz w:val="24"/>
          <w:szCs w:val="24"/>
          <w:lang w:val="en-GB"/>
        </w:rPr>
        <w:t xml:space="preserve"> Act</w:t>
      </w:r>
      <w:r w:rsidR="00DB3E2A" w:rsidRPr="003253E5">
        <w:rPr>
          <w:rFonts w:ascii="Times New Roman" w:hAnsi="Times New Roman" w:cs="Times New Roman"/>
          <w:sz w:val="24"/>
          <w:szCs w:val="24"/>
          <w:lang w:val="en-GB"/>
        </w:rPr>
        <w:t>’</w:t>
      </w:r>
      <w:r w:rsidR="00C0129F" w:rsidRPr="003253E5">
        <w:rPr>
          <w:rFonts w:ascii="Times New Roman" w:hAnsi="Times New Roman" w:cs="Times New Roman"/>
          <w:sz w:val="24"/>
          <w:szCs w:val="24"/>
          <w:lang w:val="en-GB"/>
        </w:rPr>
        <w:t>s</w:t>
      </w:r>
      <w:r w:rsidR="00637CF3" w:rsidRPr="003253E5">
        <w:rPr>
          <w:rFonts w:ascii="Times New Roman" w:hAnsi="Times New Roman" w:cs="Times New Roman"/>
          <w:sz w:val="24"/>
          <w:szCs w:val="24"/>
          <w:lang w:val="en-GB"/>
        </w:rPr>
        <w:t xml:space="preserve"> amendment that this will have the effect of diminishing the number of licensed storage warehouses.  Most oil companies still made use of storage facilities, as they were connected to the pipeline network but since the fuel leaving the VM was duty-paid, it was no longer considered necessary to store fuel in a </w:t>
      </w:r>
      <w:r w:rsidR="00637CF3" w:rsidRPr="003253E5">
        <w:rPr>
          <w:rFonts w:ascii="Times New Roman" w:hAnsi="Times New Roman" w:cs="Times New Roman"/>
          <w:i/>
          <w:iCs/>
          <w:sz w:val="24"/>
          <w:szCs w:val="24"/>
          <w:lang w:val="en-GB"/>
        </w:rPr>
        <w:t>licenced</w:t>
      </w:r>
      <w:r w:rsidR="00637CF3" w:rsidRPr="003253E5">
        <w:rPr>
          <w:rFonts w:ascii="Times New Roman" w:hAnsi="Times New Roman" w:cs="Times New Roman"/>
          <w:sz w:val="24"/>
          <w:szCs w:val="24"/>
          <w:lang w:val="en-GB"/>
        </w:rPr>
        <w:t xml:space="preserve"> facility.  </w:t>
      </w:r>
    </w:p>
    <w:p w14:paraId="4B4498E9" w14:textId="2F5A4799" w:rsidR="006248DF" w:rsidRPr="003253E5" w:rsidRDefault="003253E5" w:rsidP="003253E5">
      <w:pPr>
        <w:spacing w:after="360" w:line="480" w:lineRule="auto"/>
        <w:ind w:left="1560" w:hanging="851"/>
        <w:jc w:val="both"/>
        <w:rPr>
          <w:rFonts w:ascii="Times New Roman" w:hAnsi="Times New Roman" w:cs="Times New Roman"/>
          <w:sz w:val="24"/>
          <w:szCs w:val="24"/>
          <w:lang w:val="en-GB"/>
        </w:rPr>
      </w:pPr>
      <w:r>
        <w:rPr>
          <w:rFonts w:ascii="Times New Roman" w:hAnsi="Times New Roman" w:cs="Times New Roman"/>
          <w:sz w:val="24"/>
          <w:szCs w:val="24"/>
          <w:lang w:val="en-GB"/>
        </w:rPr>
        <w:t>65.2.</w:t>
      </w:r>
      <w:r>
        <w:rPr>
          <w:rFonts w:ascii="Times New Roman" w:hAnsi="Times New Roman" w:cs="Times New Roman"/>
          <w:sz w:val="24"/>
          <w:szCs w:val="24"/>
          <w:lang w:val="en-GB"/>
        </w:rPr>
        <w:tab/>
      </w:r>
      <w:r w:rsidR="00C95614" w:rsidRPr="003253E5">
        <w:rPr>
          <w:rFonts w:ascii="Times New Roman" w:hAnsi="Times New Roman" w:cs="Times New Roman"/>
          <w:sz w:val="24"/>
          <w:szCs w:val="24"/>
          <w:lang w:val="en-GB"/>
        </w:rPr>
        <w:t>Tarlton</w:t>
      </w:r>
      <w:r w:rsidR="003B420A" w:rsidRPr="003253E5">
        <w:rPr>
          <w:rFonts w:ascii="Times New Roman" w:hAnsi="Times New Roman" w:cs="Times New Roman"/>
          <w:sz w:val="24"/>
          <w:szCs w:val="24"/>
          <w:lang w:val="en-GB"/>
        </w:rPr>
        <w:t xml:space="preserve"> is owned and operated by Transnet SOC and has a storage capacity of some </w:t>
      </w:r>
      <w:r w:rsidR="00CD4ECF" w:rsidRPr="003253E5">
        <w:rPr>
          <w:rFonts w:ascii="Times New Roman" w:hAnsi="Times New Roman" w:cs="Times New Roman"/>
          <w:sz w:val="24"/>
          <w:szCs w:val="24"/>
          <w:lang w:val="en-GB"/>
        </w:rPr>
        <w:t>30</w:t>
      </w:r>
      <w:r w:rsidR="004F7C26" w:rsidRPr="003253E5">
        <w:rPr>
          <w:rFonts w:ascii="Times New Roman" w:hAnsi="Times New Roman" w:cs="Times New Roman"/>
          <w:sz w:val="24"/>
          <w:szCs w:val="24"/>
          <w:lang w:val="en-GB"/>
        </w:rPr>
        <w:t> </w:t>
      </w:r>
      <w:r w:rsidR="00CD4ECF" w:rsidRPr="003253E5">
        <w:rPr>
          <w:rFonts w:ascii="Times New Roman" w:hAnsi="Times New Roman" w:cs="Times New Roman"/>
          <w:sz w:val="24"/>
          <w:szCs w:val="24"/>
          <w:lang w:val="en-GB"/>
        </w:rPr>
        <w:t>million litres</w:t>
      </w:r>
      <w:r w:rsidR="006248DF" w:rsidRPr="003253E5">
        <w:rPr>
          <w:rFonts w:ascii="Times New Roman" w:hAnsi="Times New Roman" w:cs="Times New Roman"/>
          <w:sz w:val="24"/>
          <w:szCs w:val="24"/>
          <w:lang w:val="en-GB"/>
        </w:rPr>
        <w:t>.</w:t>
      </w:r>
      <w:r w:rsidR="00CD4ECF" w:rsidRPr="003253E5">
        <w:rPr>
          <w:rFonts w:ascii="Times New Roman" w:hAnsi="Times New Roman" w:cs="Times New Roman"/>
          <w:sz w:val="24"/>
          <w:szCs w:val="24"/>
          <w:lang w:val="en-GB"/>
        </w:rPr>
        <w:t xml:space="preserve"> </w:t>
      </w:r>
      <w:r w:rsidR="006248DF" w:rsidRPr="003253E5">
        <w:rPr>
          <w:rFonts w:ascii="Times New Roman" w:hAnsi="Times New Roman" w:cs="Times New Roman"/>
          <w:sz w:val="24"/>
          <w:szCs w:val="24"/>
          <w:lang w:val="en-GB"/>
        </w:rPr>
        <w:t xml:space="preserve"> Tarlton</w:t>
      </w:r>
      <w:r w:rsidR="00CD4ECF" w:rsidRPr="003253E5">
        <w:rPr>
          <w:rFonts w:ascii="Times New Roman" w:hAnsi="Times New Roman" w:cs="Times New Roman"/>
          <w:sz w:val="24"/>
          <w:szCs w:val="24"/>
          <w:lang w:val="en-GB"/>
        </w:rPr>
        <w:t xml:space="preserve"> is mainly used for storage and </w:t>
      </w:r>
      <w:r w:rsidR="000723F7" w:rsidRPr="003253E5">
        <w:rPr>
          <w:rFonts w:ascii="Times New Roman" w:hAnsi="Times New Roman" w:cs="Times New Roman"/>
          <w:sz w:val="24"/>
          <w:szCs w:val="24"/>
          <w:lang w:val="en-GB"/>
        </w:rPr>
        <w:t>distribution</w:t>
      </w:r>
      <w:r w:rsidR="00584AA4" w:rsidRPr="003253E5">
        <w:rPr>
          <w:rFonts w:ascii="Times New Roman" w:hAnsi="Times New Roman" w:cs="Times New Roman"/>
          <w:sz w:val="24"/>
          <w:szCs w:val="24"/>
          <w:lang w:val="en-GB"/>
        </w:rPr>
        <w:t xml:space="preserve"> of fuel locally and to neighbouring African countries.  </w:t>
      </w:r>
      <w:r w:rsidR="007E1D19" w:rsidRPr="003253E5">
        <w:rPr>
          <w:rFonts w:ascii="Times New Roman" w:hAnsi="Times New Roman" w:cs="Times New Roman"/>
          <w:sz w:val="24"/>
          <w:szCs w:val="24"/>
          <w:lang w:val="en-GB"/>
        </w:rPr>
        <w:t xml:space="preserve">Tarlton is central </w:t>
      </w:r>
      <w:r w:rsidR="006F520F" w:rsidRPr="003253E5">
        <w:rPr>
          <w:rFonts w:ascii="Times New Roman" w:hAnsi="Times New Roman" w:cs="Times New Roman"/>
          <w:sz w:val="24"/>
          <w:szCs w:val="24"/>
          <w:lang w:val="en-GB"/>
        </w:rPr>
        <w:t xml:space="preserve">to the export and distribution of fuel </w:t>
      </w:r>
      <w:r w:rsidR="00C0129F" w:rsidRPr="003253E5">
        <w:rPr>
          <w:rFonts w:ascii="Times New Roman" w:hAnsi="Times New Roman" w:cs="Times New Roman"/>
          <w:sz w:val="24"/>
          <w:szCs w:val="24"/>
          <w:lang w:val="en-GB"/>
        </w:rPr>
        <w:t>(</w:t>
      </w:r>
      <w:r w:rsidR="0089566D" w:rsidRPr="003253E5">
        <w:rPr>
          <w:rFonts w:ascii="Times New Roman" w:hAnsi="Times New Roman" w:cs="Times New Roman"/>
          <w:sz w:val="24"/>
          <w:szCs w:val="24"/>
          <w:lang w:val="en-GB"/>
        </w:rPr>
        <w:t>locally</w:t>
      </w:r>
      <w:r w:rsidR="00C0129F" w:rsidRPr="003253E5">
        <w:rPr>
          <w:rFonts w:ascii="Times New Roman" w:hAnsi="Times New Roman" w:cs="Times New Roman"/>
          <w:sz w:val="24"/>
          <w:szCs w:val="24"/>
          <w:lang w:val="en-GB"/>
        </w:rPr>
        <w:t>)</w:t>
      </w:r>
      <w:r w:rsidR="0089566D" w:rsidRPr="003253E5">
        <w:rPr>
          <w:rFonts w:ascii="Times New Roman" w:hAnsi="Times New Roman" w:cs="Times New Roman"/>
          <w:sz w:val="24"/>
          <w:szCs w:val="24"/>
          <w:lang w:val="en-GB"/>
        </w:rPr>
        <w:t xml:space="preserve">.  It was specifically built for this purpose.  </w:t>
      </w:r>
      <w:r w:rsidR="00535F1D" w:rsidRPr="003253E5">
        <w:rPr>
          <w:rFonts w:ascii="Times New Roman" w:hAnsi="Times New Roman" w:cs="Times New Roman"/>
          <w:sz w:val="24"/>
          <w:szCs w:val="24"/>
          <w:lang w:val="en-GB"/>
        </w:rPr>
        <w:t>Tarlton was deregistered as an SOS pursuant to the introduction of the DAS regime</w:t>
      </w:r>
      <w:r w:rsidR="00A239E2" w:rsidRPr="003253E5">
        <w:rPr>
          <w:rFonts w:ascii="Times New Roman" w:hAnsi="Times New Roman" w:cs="Times New Roman"/>
          <w:sz w:val="24"/>
          <w:szCs w:val="24"/>
          <w:lang w:val="en-GB"/>
        </w:rPr>
        <w:t xml:space="preserve"> </w:t>
      </w:r>
      <w:r w:rsidR="00B25C1A" w:rsidRPr="003253E5">
        <w:rPr>
          <w:rFonts w:ascii="Times New Roman" w:hAnsi="Times New Roman" w:cs="Times New Roman"/>
          <w:sz w:val="24"/>
          <w:szCs w:val="24"/>
          <w:lang w:val="en-GB"/>
        </w:rPr>
        <w:t xml:space="preserve">and it </w:t>
      </w:r>
      <w:r w:rsidR="00A239E2" w:rsidRPr="003253E5">
        <w:rPr>
          <w:rFonts w:ascii="Times New Roman" w:hAnsi="Times New Roman" w:cs="Times New Roman"/>
          <w:sz w:val="24"/>
          <w:szCs w:val="24"/>
          <w:lang w:val="en-GB"/>
        </w:rPr>
        <w:t>has</w:t>
      </w:r>
      <w:r w:rsidR="00C0129F" w:rsidRPr="003253E5">
        <w:rPr>
          <w:rFonts w:ascii="Times New Roman" w:hAnsi="Times New Roman" w:cs="Times New Roman"/>
          <w:sz w:val="24"/>
          <w:szCs w:val="24"/>
          <w:lang w:val="en-GB"/>
        </w:rPr>
        <w:t xml:space="preserve"> only</w:t>
      </w:r>
      <w:r w:rsidR="00A239E2" w:rsidRPr="003253E5">
        <w:rPr>
          <w:rFonts w:ascii="Times New Roman" w:hAnsi="Times New Roman" w:cs="Times New Roman"/>
          <w:sz w:val="24"/>
          <w:szCs w:val="24"/>
          <w:lang w:val="en-GB"/>
        </w:rPr>
        <w:t xml:space="preserve"> recently been licenced again</w:t>
      </w:r>
      <w:r w:rsidR="00C87F80" w:rsidRPr="003253E5">
        <w:rPr>
          <w:rFonts w:ascii="Times New Roman" w:hAnsi="Times New Roman" w:cs="Times New Roman"/>
          <w:sz w:val="24"/>
          <w:szCs w:val="24"/>
          <w:lang w:val="en-GB"/>
        </w:rPr>
        <w:t xml:space="preserve"> as an SOS</w:t>
      </w:r>
      <w:r w:rsidR="000D57E2" w:rsidRPr="003253E5">
        <w:rPr>
          <w:rFonts w:ascii="Times New Roman" w:hAnsi="Times New Roman" w:cs="Times New Roman"/>
          <w:sz w:val="24"/>
          <w:szCs w:val="24"/>
          <w:lang w:val="en-GB"/>
        </w:rPr>
        <w:t>.</w:t>
      </w:r>
    </w:p>
    <w:p w14:paraId="64511759" w14:textId="0E927323" w:rsidR="00C95614"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65.3.</w:t>
      </w:r>
      <w:r w:rsidRPr="008F5862">
        <w:rPr>
          <w:rFonts w:ascii="Times New Roman" w:hAnsi="Times New Roman" w:cs="Times New Roman"/>
          <w:sz w:val="24"/>
          <w:szCs w:val="24"/>
          <w:lang w:val="en-GB"/>
        </w:rPr>
        <w:tab/>
      </w:r>
      <w:r w:rsidR="00482370" w:rsidRPr="003253E5">
        <w:rPr>
          <w:rFonts w:ascii="Times New Roman" w:hAnsi="Times New Roman" w:cs="Times New Roman"/>
          <w:sz w:val="24"/>
          <w:szCs w:val="24"/>
          <w:lang w:val="en-GB"/>
        </w:rPr>
        <w:t>During the audit period</w:t>
      </w:r>
      <w:r w:rsidR="00C0129F" w:rsidRPr="003253E5">
        <w:rPr>
          <w:rFonts w:ascii="Times New Roman" w:hAnsi="Times New Roman" w:cs="Times New Roman"/>
          <w:sz w:val="24"/>
          <w:szCs w:val="24"/>
          <w:lang w:val="en-GB"/>
        </w:rPr>
        <w:t>,</w:t>
      </w:r>
      <w:r w:rsidR="00482370" w:rsidRPr="003253E5">
        <w:rPr>
          <w:rFonts w:ascii="Times New Roman" w:hAnsi="Times New Roman" w:cs="Times New Roman"/>
          <w:sz w:val="24"/>
          <w:szCs w:val="24"/>
          <w:lang w:val="en-GB"/>
        </w:rPr>
        <w:t xml:space="preserve"> T</w:t>
      </w:r>
      <w:r w:rsidR="00510127" w:rsidRPr="003253E5">
        <w:rPr>
          <w:rFonts w:ascii="Times New Roman" w:hAnsi="Times New Roman" w:cs="Times New Roman"/>
          <w:sz w:val="24"/>
          <w:szCs w:val="24"/>
          <w:lang w:val="en-GB"/>
        </w:rPr>
        <w:t>otal ha</w:t>
      </w:r>
      <w:r w:rsidR="00482370" w:rsidRPr="003253E5">
        <w:rPr>
          <w:rFonts w:ascii="Times New Roman" w:hAnsi="Times New Roman" w:cs="Times New Roman"/>
          <w:sz w:val="24"/>
          <w:szCs w:val="24"/>
          <w:lang w:val="en-GB"/>
        </w:rPr>
        <w:t>d</w:t>
      </w:r>
      <w:r w:rsidR="00510127" w:rsidRPr="003253E5">
        <w:rPr>
          <w:rFonts w:ascii="Times New Roman" w:hAnsi="Times New Roman" w:cs="Times New Roman"/>
          <w:sz w:val="24"/>
          <w:szCs w:val="24"/>
          <w:lang w:val="en-GB"/>
        </w:rPr>
        <w:t xml:space="preserve"> unlicenced facilities at </w:t>
      </w:r>
      <w:r w:rsidR="002E33BC" w:rsidRPr="003253E5">
        <w:rPr>
          <w:rFonts w:ascii="Times New Roman" w:hAnsi="Times New Roman" w:cs="Times New Roman"/>
          <w:sz w:val="24"/>
          <w:szCs w:val="24"/>
          <w:lang w:val="en-GB"/>
        </w:rPr>
        <w:t>Waltloo and Alrode and Petro</w:t>
      </w:r>
      <w:r w:rsidR="00A170E4" w:rsidRPr="003253E5">
        <w:rPr>
          <w:rFonts w:ascii="Times New Roman" w:hAnsi="Times New Roman" w:cs="Times New Roman"/>
          <w:sz w:val="24"/>
          <w:szCs w:val="24"/>
          <w:lang w:val="en-GB"/>
        </w:rPr>
        <w:t>SA ha</w:t>
      </w:r>
      <w:r w:rsidR="00482370" w:rsidRPr="003253E5">
        <w:rPr>
          <w:rFonts w:ascii="Times New Roman" w:hAnsi="Times New Roman" w:cs="Times New Roman"/>
          <w:sz w:val="24"/>
          <w:szCs w:val="24"/>
          <w:lang w:val="en-GB"/>
        </w:rPr>
        <w:t>d</w:t>
      </w:r>
      <w:r w:rsidR="00A170E4" w:rsidRPr="003253E5">
        <w:rPr>
          <w:rFonts w:ascii="Times New Roman" w:hAnsi="Times New Roman" w:cs="Times New Roman"/>
          <w:sz w:val="24"/>
          <w:szCs w:val="24"/>
          <w:lang w:val="en-GB"/>
        </w:rPr>
        <w:t xml:space="preserve"> unlicen</w:t>
      </w:r>
      <w:r w:rsidR="005379ED" w:rsidRPr="003253E5">
        <w:rPr>
          <w:rFonts w:ascii="Times New Roman" w:hAnsi="Times New Roman" w:cs="Times New Roman"/>
          <w:sz w:val="24"/>
          <w:szCs w:val="24"/>
          <w:lang w:val="en-GB"/>
        </w:rPr>
        <w:t xml:space="preserve">ced storage depots at Bloemfontein and Tzaneen. </w:t>
      </w:r>
    </w:p>
    <w:p w14:paraId="2B4A546F" w14:textId="65E2CD95" w:rsidR="00C0129F"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65.4.</w:t>
      </w:r>
      <w:r w:rsidRPr="008F5862">
        <w:rPr>
          <w:rFonts w:ascii="Times New Roman" w:hAnsi="Times New Roman" w:cs="Times New Roman"/>
          <w:sz w:val="24"/>
          <w:szCs w:val="24"/>
          <w:lang w:val="en-GB"/>
        </w:rPr>
        <w:tab/>
      </w:r>
      <w:r w:rsidR="00482370" w:rsidRPr="003253E5">
        <w:rPr>
          <w:rFonts w:ascii="Times New Roman" w:hAnsi="Times New Roman" w:cs="Times New Roman"/>
          <w:sz w:val="24"/>
          <w:szCs w:val="24"/>
          <w:lang w:val="en-GB"/>
        </w:rPr>
        <w:t>Whilst unlicenced under the Act, the</w:t>
      </w:r>
      <w:r w:rsidR="00A170E4" w:rsidRPr="003253E5">
        <w:rPr>
          <w:rFonts w:ascii="Times New Roman" w:hAnsi="Times New Roman" w:cs="Times New Roman"/>
          <w:sz w:val="24"/>
          <w:szCs w:val="24"/>
          <w:lang w:val="en-GB"/>
        </w:rPr>
        <w:t xml:space="preserve"> facilities </w:t>
      </w:r>
      <w:r w:rsidR="00081978" w:rsidRPr="003253E5">
        <w:rPr>
          <w:rFonts w:ascii="Times New Roman" w:hAnsi="Times New Roman" w:cs="Times New Roman"/>
          <w:sz w:val="24"/>
          <w:szCs w:val="24"/>
          <w:lang w:val="en-GB"/>
        </w:rPr>
        <w:t>were</w:t>
      </w:r>
      <w:r w:rsidR="00A170E4" w:rsidRPr="003253E5">
        <w:rPr>
          <w:rFonts w:ascii="Times New Roman" w:hAnsi="Times New Roman" w:cs="Times New Roman"/>
          <w:sz w:val="24"/>
          <w:szCs w:val="24"/>
          <w:lang w:val="en-GB"/>
        </w:rPr>
        <w:t xml:space="preserve"> however licensed under the Petroleum Pipelines 60 of 2003 (</w:t>
      </w:r>
      <w:r w:rsidR="00DB3E2A" w:rsidRPr="003253E5">
        <w:rPr>
          <w:rFonts w:ascii="Times New Roman" w:hAnsi="Times New Roman" w:cs="Times New Roman"/>
          <w:sz w:val="24"/>
          <w:szCs w:val="24"/>
          <w:lang w:val="en-GB"/>
        </w:rPr>
        <w:t>“</w:t>
      </w:r>
      <w:r w:rsidR="00A170E4" w:rsidRPr="003253E5">
        <w:rPr>
          <w:rFonts w:ascii="Times New Roman" w:hAnsi="Times New Roman" w:cs="Times New Roman"/>
          <w:b/>
          <w:bCs/>
          <w:sz w:val="24"/>
          <w:szCs w:val="24"/>
          <w:lang w:val="en-GB"/>
        </w:rPr>
        <w:t>PPA</w:t>
      </w:r>
      <w:r w:rsidR="00DB3E2A" w:rsidRPr="003253E5">
        <w:rPr>
          <w:rFonts w:ascii="Times New Roman" w:hAnsi="Times New Roman" w:cs="Times New Roman"/>
          <w:sz w:val="24"/>
          <w:szCs w:val="24"/>
          <w:lang w:val="en-GB"/>
        </w:rPr>
        <w:t>”</w:t>
      </w:r>
      <w:r w:rsidR="00A170E4" w:rsidRPr="003253E5">
        <w:rPr>
          <w:rFonts w:ascii="Times New Roman" w:hAnsi="Times New Roman" w:cs="Times New Roman"/>
          <w:sz w:val="24"/>
          <w:szCs w:val="24"/>
          <w:lang w:val="en-GB"/>
        </w:rPr>
        <w:t>).</w:t>
      </w:r>
    </w:p>
    <w:p w14:paraId="5BD7B022" w14:textId="78FAB5BD" w:rsidR="00A170E4"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65.5.</w:t>
      </w:r>
      <w:r w:rsidRPr="008F5862">
        <w:rPr>
          <w:rFonts w:ascii="Times New Roman" w:hAnsi="Times New Roman" w:cs="Times New Roman"/>
          <w:sz w:val="24"/>
          <w:szCs w:val="24"/>
          <w:lang w:val="en-GB"/>
        </w:rPr>
        <w:tab/>
      </w:r>
      <w:r w:rsidR="00A170E4" w:rsidRPr="003253E5">
        <w:rPr>
          <w:rFonts w:ascii="Times New Roman" w:hAnsi="Times New Roman" w:cs="Times New Roman"/>
          <w:sz w:val="24"/>
          <w:szCs w:val="24"/>
          <w:lang w:val="en-GB"/>
        </w:rPr>
        <w:t xml:space="preserve">The reform was part of an attempt to facilitate exports into African countries and a competitive fuel market, as opposed to hindering it. </w:t>
      </w:r>
    </w:p>
    <w:p w14:paraId="416CA47D" w14:textId="095DCB6E" w:rsidR="00825014"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[66]</w:t>
      </w:r>
      <w:r w:rsidRPr="008F5862">
        <w:rPr>
          <w:rFonts w:ascii="Times New Roman" w:hAnsi="Times New Roman" w:cs="Times New Roman"/>
          <w:sz w:val="24"/>
          <w:szCs w:val="24"/>
          <w:lang w:val="en-GB"/>
        </w:rPr>
        <w:tab/>
      </w:r>
      <w:r w:rsidR="00825014" w:rsidRPr="003253E5">
        <w:rPr>
          <w:rFonts w:ascii="Times New Roman" w:hAnsi="Times New Roman" w:cs="Times New Roman"/>
          <w:sz w:val="24"/>
          <w:szCs w:val="24"/>
          <w:lang w:val="en-GB"/>
        </w:rPr>
        <w:t>I now turn to the more specific evidence of the practice generally prevailing during the audit period</w:t>
      </w:r>
      <w:r w:rsidR="004466A3" w:rsidRPr="003253E5">
        <w:rPr>
          <w:rFonts w:ascii="Times New Roman" w:hAnsi="Times New Roman" w:cs="Times New Roman"/>
          <w:sz w:val="24"/>
          <w:szCs w:val="24"/>
          <w:lang w:val="en-GB"/>
        </w:rPr>
        <w:t xml:space="preserve"> fu</w:t>
      </w:r>
      <w:r w:rsidR="00AA548E" w:rsidRPr="003253E5">
        <w:rPr>
          <w:rFonts w:ascii="Times New Roman" w:hAnsi="Times New Roman" w:cs="Times New Roman"/>
          <w:sz w:val="24"/>
          <w:szCs w:val="24"/>
          <w:lang w:val="en-GB"/>
        </w:rPr>
        <w:t>rnished by PetroSA</w:t>
      </w:r>
      <w:r w:rsidR="00471C3C" w:rsidRPr="003253E5">
        <w:rPr>
          <w:rFonts w:ascii="Times New Roman" w:hAnsi="Times New Roman" w:cs="Times New Roman"/>
          <w:sz w:val="24"/>
          <w:szCs w:val="24"/>
          <w:lang w:val="en-GB"/>
        </w:rPr>
        <w:t xml:space="preserve"> in their papers:</w:t>
      </w:r>
    </w:p>
    <w:p w14:paraId="00BF748E" w14:textId="6D7D00C8" w:rsidR="00637CF3"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66.1.</w:t>
      </w:r>
      <w:r w:rsidRPr="008F5862">
        <w:rPr>
          <w:rFonts w:ascii="Times New Roman" w:hAnsi="Times New Roman" w:cs="Times New Roman"/>
          <w:sz w:val="24"/>
          <w:szCs w:val="24"/>
          <w:lang w:val="en-GB"/>
        </w:rPr>
        <w:tab/>
      </w:r>
      <w:r w:rsidR="00637CF3" w:rsidRPr="003253E5">
        <w:rPr>
          <w:rFonts w:ascii="Times New Roman" w:hAnsi="Times New Roman" w:cs="Times New Roman"/>
          <w:sz w:val="24"/>
          <w:szCs w:val="24"/>
          <w:lang w:val="en-GB"/>
        </w:rPr>
        <w:t xml:space="preserve">Subsequent to the introduction of the DAS regime, SARS indicated at meetings, held </w:t>
      </w:r>
      <w:r w:rsidR="00637CF3" w:rsidRPr="003253E5">
        <w:rPr>
          <w:rFonts w:ascii="Times New Roman" w:hAnsi="Times New Roman" w:cs="Times New Roman"/>
          <w:i/>
          <w:iCs/>
          <w:sz w:val="24"/>
          <w:szCs w:val="24"/>
          <w:lang w:val="en-GB"/>
        </w:rPr>
        <w:t>inter alia</w:t>
      </w:r>
      <w:r w:rsidR="00637CF3" w:rsidRPr="003253E5">
        <w:rPr>
          <w:rFonts w:ascii="Times New Roman" w:hAnsi="Times New Roman" w:cs="Times New Roman"/>
          <w:sz w:val="24"/>
          <w:szCs w:val="24"/>
          <w:lang w:val="en-GB"/>
        </w:rPr>
        <w:t xml:space="preserve"> in November</w:t>
      </w:r>
      <w:r w:rsidR="00F7161B" w:rsidRPr="003253E5">
        <w:rPr>
          <w:rFonts w:ascii="Times New Roman" w:hAnsi="Times New Roman" w:cs="Times New Roman"/>
          <w:sz w:val="24"/>
          <w:szCs w:val="24"/>
          <w:lang w:val="en-GB"/>
        </w:rPr>
        <w:t> </w:t>
      </w:r>
      <w:r w:rsidR="00637CF3" w:rsidRPr="003253E5">
        <w:rPr>
          <w:rFonts w:ascii="Times New Roman" w:hAnsi="Times New Roman" w:cs="Times New Roman"/>
          <w:sz w:val="24"/>
          <w:szCs w:val="24"/>
          <w:lang w:val="en-GB"/>
        </w:rPr>
        <w:t>2006, with the South African Petroleum Industry Association, who represents the collective interests of the petroleum industry, that SARS was deregistering SOS warehouses.</w:t>
      </w:r>
    </w:p>
    <w:p w14:paraId="4B161BFF" w14:textId="689878BD" w:rsidR="004B529C"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66.2.</w:t>
      </w:r>
      <w:r w:rsidRPr="008F5862">
        <w:rPr>
          <w:rFonts w:ascii="Times New Roman" w:hAnsi="Times New Roman" w:cs="Times New Roman"/>
          <w:sz w:val="24"/>
          <w:szCs w:val="24"/>
          <w:lang w:val="en-GB"/>
        </w:rPr>
        <w:tab/>
      </w:r>
      <w:r w:rsidR="00610306" w:rsidRPr="003253E5">
        <w:rPr>
          <w:rFonts w:ascii="Times New Roman" w:hAnsi="Times New Roman" w:cs="Times New Roman"/>
          <w:sz w:val="24"/>
          <w:szCs w:val="24"/>
          <w:lang w:val="en-GB"/>
        </w:rPr>
        <w:t>In a Petroleum Products Taxation meeting held on 16</w:t>
      </w:r>
      <w:r w:rsidR="00F7161B" w:rsidRPr="003253E5">
        <w:rPr>
          <w:rFonts w:ascii="Times New Roman" w:hAnsi="Times New Roman" w:cs="Times New Roman"/>
          <w:sz w:val="24"/>
          <w:szCs w:val="24"/>
          <w:lang w:val="en-GB"/>
        </w:rPr>
        <w:t> </w:t>
      </w:r>
      <w:r w:rsidR="00610306" w:rsidRPr="003253E5">
        <w:rPr>
          <w:rFonts w:ascii="Times New Roman" w:hAnsi="Times New Roman" w:cs="Times New Roman"/>
          <w:sz w:val="24"/>
          <w:szCs w:val="24"/>
          <w:lang w:val="en-GB"/>
        </w:rPr>
        <w:t>February</w:t>
      </w:r>
      <w:r w:rsidR="00F7161B" w:rsidRPr="003253E5">
        <w:rPr>
          <w:rFonts w:ascii="Times New Roman" w:hAnsi="Times New Roman" w:cs="Times New Roman"/>
          <w:sz w:val="24"/>
          <w:szCs w:val="24"/>
          <w:lang w:val="en-GB"/>
        </w:rPr>
        <w:t> </w:t>
      </w:r>
      <w:r w:rsidR="00610306" w:rsidRPr="003253E5">
        <w:rPr>
          <w:rFonts w:ascii="Times New Roman" w:hAnsi="Times New Roman" w:cs="Times New Roman"/>
          <w:sz w:val="24"/>
          <w:szCs w:val="24"/>
          <w:lang w:val="en-GB"/>
        </w:rPr>
        <w:t>2007</w:t>
      </w:r>
      <w:r w:rsidR="006A48F3" w:rsidRPr="003253E5">
        <w:rPr>
          <w:rFonts w:ascii="Times New Roman" w:hAnsi="Times New Roman" w:cs="Times New Roman"/>
          <w:sz w:val="24"/>
          <w:szCs w:val="24"/>
          <w:lang w:val="en-GB"/>
        </w:rPr>
        <w:t xml:space="preserve"> with </w:t>
      </w:r>
      <w:r w:rsidR="0017003D" w:rsidRPr="003253E5">
        <w:rPr>
          <w:rFonts w:ascii="Times New Roman" w:hAnsi="Times New Roman" w:cs="Times New Roman"/>
          <w:sz w:val="24"/>
          <w:szCs w:val="24"/>
          <w:lang w:val="en-GB"/>
        </w:rPr>
        <w:t>SARS,</w:t>
      </w:r>
      <w:r w:rsidR="006A48F3" w:rsidRPr="003253E5">
        <w:rPr>
          <w:rFonts w:ascii="Times New Roman" w:hAnsi="Times New Roman" w:cs="Times New Roman"/>
          <w:sz w:val="24"/>
          <w:szCs w:val="24"/>
          <w:lang w:val="en-GB"/>
        </w:rPr>
        <w:t xml:space="preserve"> it was recorded that warehouses were closed down in 2003 when DAS was </w:t>
      </w:r>
      <w:r w:rsidR="00DA7103" w:rsidRPr="003253E5">
        <w:rPr>
          <w:rFonts w:ascii="Times New Roman" w:hAnsi="Times New Roman" w:cs="Times New Roman"/>
          <w:sz w:val="24"/>
          <w:szCs w:val="24"/>
          <w:lang w:val="en-GB"/>
        </w:rPr>
        <w:t>introduced.</w:t>
      </w:r>
    </w:p>
    <w:p w14:paraId="27478840" w14:textId="1AE96526" w:rsidR="00DA7103"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66.3.</w:t>
      </w:r>
      <w:r w:rsidRPr="008F5862">
        <w:rPr>
          <w:rFonts w:ascii="Times New Roman" w:hAnsi="Times New Roman" w:cs="Times New Roman"/>
          <w:sz w:val="24"/>
          <w:szCs w:val="24"/>
          <w:lang w:val="en-GB"/>
        </w:rPr>
        <w:tab/>
      </w:r>
      <w:r w:rsidR="00DA7103" w:rsidRPr="003253E5">
        <w:rPr>
          <w:rFonts w:ascii="Times New Roman" w:hAnsi="Times New Roman" w:cs="Times New Roman"/>
          <w:sz w:val="24"/>
          <w:szCs w:val="24"/>
          <w:lang w:val="en-GB"/>
        </w:rPr>
        <w:t>In a further Petroleum Products Taxation meeting held on 18</w:t>
      </w:r>
      <w:r w:rsidR="00F7161B" w:rsidRPr="003253E5">
        <w:rPr>
          <w:rFonts w:ascii="Times New Roman" w:hAnsi="Times New Roman" w:cs="Times New Roman"/>
          <w:sz w:val="24"/>
          <w:szCs w:val="24"/>
          <w:lang w:val="en-GB"/>
        </w:rPr>
        <w:t> </w:t>
      </w:r>
      <w:r w:rsidR="00DA7103" w:rsidRPr="003253E5">
        <w:rPr>
          <w:rFonts w:ascii="Times New Roman" w:hAnsi="Times New Roman" w:cs="Times New Roman"/>
          <w:sz w:val="24"/>
          <w:szCs w:val="24"/>
          <w:lang w:val="en-GB"/>
        </w:rPr>
        <w:t>May</w:t>
      </w:r>
      <w:r w:rsidR="00F7161B" w:rsidRPr="003253E5">
        <w:rPr>
          <w:rFonts w:ascii="Times New Roman" w:hAnsi="Times New Roman" w:cs="Times New Roman"/>
          <w:sz w:val="24"/>
          <w:szCs w:val="24"/>
          <w:lang w:val="en-GB"/>
        </w:rPr>
        <w:t> </w:t>
      </w:r>
      <w:r w:rsidR="00DA7103" w:rsidRPr="003253E5">
        <w:rPr>
          <w:rFonts w:ascii="Times New Roman" w:hAnsi="Times New Roman" w:cs="Times New Roman"/>
          <w:sz w:val="24"/>
          <w:szCs w:val="24"/>
          <w:lang w:val="en-GB"/>
        </w:rPr>
        <w:t>2007</w:t>
      </w:r>
      <w:r w:rsidR="006445B0" w:rsidRPr="003253E5">
        <w:rPr>
          <w:rFonts w:ascii="Times New Roman" w:hAnsi="Times New Roman" w:cs="Times New Roman"/>
          <w:sz w:val="24"/>
          <w:szCs w:val="24"/>
          <w:lang w:val="en-GB"/>
        </w:rPr>
        <w:t>, SARS informed the meeting that warehouses</w:t>
      </w:r>
      <w:r w:rsidR="0017003D" w:rsidRPr="003253E5">
        <w:rPr>
          <w:rFonts w:ascii="Times New Roman" w:hAnsi="Times New Roman" w:cs="Times New Roman"/>
          <w:sz w:val="24"/>
          <w:szCs w:val="24"/>
          <w:lang w:val="en-GB"/>
        </w:rPr>
        <w:t>, licenced</w:t>
      </w:r>
      <w:r w:rsidR="006445B0" w:rsidRPr="003253E5">
        <w:rPr>
          <w:rFonts w:ascii="Times New Roman" w:hAnsi="Times New Roman" w:cs="Times New Roman"/>
          <w:sz w:val="24"/>
          <w:szCs w:val="24"/>
          <w:lang w:val="en-GB"/>
        </w:rPr>
        <w:t xml:space="preserve"> before 2</w:t>
      </w:r>
      <w:r w:rsidR="00F7161B" w:rsidRPr="003253E5">
        <w:rPr>
          <w:rFonts w:ascii="Times New Roman" w:hAnsi="Times New Roman" w:cs="Times New Roman"/>
          <w:sz w:val="24"/>
          <w:szCs w:val="24"/>
          <w:lang w:val="en-GB"/>
        </w:rPr>
        <w:t> </w:t>
      </w:r>
      <w:r w:rsidR="006445B0" w:rsidRPr="003253E5">
        <w:rPr>
          <w:rFonts w:ascii="Times New Roman" w:hAnsi="Times New Roman" w:cs="Times New Roman"/>
          <w:sz w:val="24"/>
          <w:szCs w:val="24"/>
          <w:lang w:val="en-GB"/>
        </w:rPr>
        <w:t>April</w:t>
      </w:r>
      <w:r w:rsidR="00F7161B" w:rsidRPr="003253E5">
        <w:rPr>
          <w:rFonts w:ascii="Times New Roman" w:hAnsi="Times New Roman" w:cs="Times New Roman"/>
          <w:sz w:val="24"/>
          <w:szCs w:val="24"/>
          <w:lang w:val="en-GB"/>
        </w:rPr>
        <w:t> </w:t>
      </w:r>
      <w:r w:rsidR="001D6EB4" w:rsidRPr="003253E5">
        <w:rPr>
          <w:rFonts w:ascii="Times New Roman" w:hAnsi="Times New Roman" w:cs="Times New Roman"/>
          <w:sz w:val="24"/>
          <w:szCs w:val="24"/>
          <w:lang w:val="en-GB"/>
        </w:rPr>
        <w:t>2003</w:t>
      </w:r>
      <w:r w:rsidR="006248DF" w:rsidRPr="003253E5">
        <w:rPr>
          <w:rFonts w:ascii="Times New Roman" w:hAnsi="Times New Roman" w:cs="Times New Roman"/>
          <w:sz w:val="24"/>
          <w:szCs w:val="24"/>
          <w:lang w:val="en-GB"/>
        </w:rPr>
        <w:t>,</w:t>
      </w:r>
      <w:r w:rsidR="001D6EB4" w:rsidRPr="003253E5">
        <w:rPr>
          <w:rFonts w:ascii="Times New Roman" w:hAnsi="Times New Roman" w:cs="Times New Roman"/>
          <w:sz w:val="24"/>
          <w:szCs w:val="24"/>
          <w:lang w:val="en-GB"/>
        </w:rPr>
        <w:t xml:space="preserve"> should be deemed de-licenced.  </w:t>
      </w:r>
    </w:p>
    <w:p w14:paraId="3F106057" w14:textId="14D8D67B" w:rsidR="00DA7103"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66.4.</w:t>
      </w:r>
      <w:r w:rsidRPr="008F5862">
        <w:rPr>
          <w:rFonts w:ascii="Times New Roman" w:hAnsi="Times New Roman" w:cs="Times New Roman"/>
          <w:sz w:val="24"/>
          <w:szCs w:val="24"/>
          <w:lang w:val="en-GB"/>
        </w:rPr>
        <w:tab/>
      </w:r>
      <w:r w:rsidR="003D4965" w:rsidRPr="003253E5">
        <w:rPr>
          <w:rFonts w:ascii="Times New Roman" w:hAnsi="Times New Roman" w:cs="Times New Roman"/>
          <w:sz w:val="24"/>
          <w:szCs w:val="24"/>
          <w:lang w:val="en-GB"/>
        </w:rPr>
        <w:t>In May</w:t>
      </w:r>
      <w:r w:rsidR="00F7161B" w:rsidRPr="003253E5">
        <w:rPr>
          <w:rFonts w:ascii="Times New Roman" w:hAnsi="Times New Roman" w:cs="Times New Roman"/>
          <w:sz w:val="24"/>
          <w:szCs w:val="24"/>
          <w:lang w:val="en-GB"/>
        </w:rPr>
        <w:t> </w:t>
      </w:r>
      <w:r w:rsidR="003D4965" w:rsidRPr="003253E5">
        <w:rPr>
          <w:rFonts w:ascii="Times New Roman" w:hAnsi="Times New Roman" w:cs="Times New Roman"/>
          <w:sz w:val="24"/>
          <w:szCs w:val="24"/>
          <w:lang w:val="en-GB"/>
        </w:rPr>
        <w:t>2012, PetroSA</w:t>
      </w:r>
      <w:r w:rsidR="00DB3E2A" w:rsidRPr="003253E5">
        <w:rPr>
          <w:rFonts w:ascii="Times New Roman" w:hAnsi="Times New Roman" w:cs="Times New Roman"/>
          <w:sz w:val="24"/>
          <w:szCs w:val="24"/>
          <w:lang w:val="en-GB"/>
        </w:rPr>
        <w:t>’</w:t>
      </w:r>
      <w:r w:rsidR="003D4965" w:rsidRPr="003253E5">
        <w:rPr>
          <w:rFonts w:ascii="Times New Roman" w:hAnsi="Times New Roman" w:cs="Times New Roman"/>
          <w:sz w:val="24"/>
          <w:szCs w:val="24"/>
          <w:lang w:val="en-GB"/>
        </w:rPr>
        <w:t>s clearing agent</w:t>
      </w:r>
      <w:r w:rsidR="008D0043" w:rsidRPr="003253E5">
        <w:rPr>
          <w:rFonts w:ascii="Times New Roman" w:hAnsi="Times New Roman" w:cs="Times New Roman"/>
          <w:sz w:val="24"/>
          <w:szCs w:val="24"/>
          <w:lang w:val="en-GB"/>
        </w:rPr>
        <w:t>, Turner</w:t>
      </w:r>
      <w:r w:rsidR="006248DF" w:rsidRPr="003253E5">
        <w:rPr>
          <w:rFonts w:ascii="Times New Roman" w:hAnsi="Times New Roman" w:cs="Times New Roman"/>
          <w:sz w:val="24"/>
          <w:szCs w:val="24"/>
          <w:lang w:val="en-GB"/>
        </w:rPr>
        <w:t>s</w:t>
      </w:r>
      <w:r w:rsidR="008D0043" w:rsidRPr="003253E5">
        <w:rPr>
          <w:rFonts w:ascii="Times New Roman" w:hAnsi="Times New Roman" w:cs="Times New Roman"/>
          <w:sz w:val="24"/>
          <w:szCs w:val="24"/>
          <w:lang w:val="en-GB"/>
        </w:rPr>
        <w:t xml:space="preserve"> </w:t>
      </w:r>
      <w:r w:rsidR="006248DF" w:rsidRPr="003253E5">
        <w:rPr>
          <w:rFonts w:ascii="Times New Roman" w:hAnsi="Times New Roman" w:cs="Times New Roman"/>
          <w:sz w:val="24"/>
          <w:szCs w:val="24"/>
          <w:lang w:val="en-GB"/>
        </w:rPr>
        <w:t xml:space="preserve">Shipping </w:t>
      </w:r>
      <w:r w:rsidR="00D90FF0" w:rsidRPr="003253E5">
        <w:rPr>
          <w:rFonts w:ascii="Times New Roman" w:hAnsi="Times New Roman" w:cs="Times New Roman"/>
          <w:sz w:val="24"/>
          <w:szCs w:val="24"/>
          <w:lang w:val="en-GB"/>
        </w:rPr>
        <w:t>engaged with SARS concerning PetroSA</w:t>
      </w:r>
      <w:r w:rsidR="00DB3E2A" w:rsidRPr="003253E5">
        <w:rPr>
          <w:rFonts w:ascii="Times New Roman" w:hAnsi="Times New Roman" w:cs="Times New Roman"/>
          <w:sz w:val="24"/>
          <w:szCs w:val="24"/>
          <w:lang w:val="en-GB"/>
        </w:rPr>
        <w:t>’</w:t>
      </w:r>
      <w:r w:rsidR="00D90FF0" w:rsidRPr="003253E5">
        <w:rPr>
          <w:rFonts w:ascii="Times New Roman" w:hAnsi="Times New Roman" w:cs="Times New Roman"/>
          <w:sz w:val="24"/>
          <w:szCs w:val="24"/>
          <w:lang w:val="en-GB"/>
        </w:rPr>
        <w:t>s new business model</w:t>
      </w:r>
      <w:r w:rsidR="00057348" w:rsidRPr="003253E5">
        <w:rPr>
          <w:rFonts w:ascii="Times New Roman" w:hAnsi="Times New Roman" w:cs="Times New Roman"/>
          <w:sz w:val="24"/>
          <w:szCs w:val="24"/>
          <w:lang w:val="en-GB"/>
        </w:rPr>
        <w:t xml:space="preserve"> and whether or not it complied with the legal framework at the time.  </w:t>
      </w:r>
      <w:r w:rsidR="000A3BE2" w:rsidRPr="003253E5">
        <w:rPr>
          <w:rFonts w:ascii="Times New Roman" w:hAnsi="Times New Roman" w:cs="Times New Roman"/>
          <w:sz w:val="24"/>
          <w:szCs w:val="24"/>
          <w:lang w:val="en-GB"/>
        </w:rPr>
        <w:t xml:space="preserve">It was </w:t>
      </w:r>
      <w:r w:rsidR="000A3BE2" w:rsidRPr="003253E5">
        <w:rPr>
          <w:rFonts w:ascii="Times New Roman" w:hAnsi="Times New Roman" w:cs="Times New Roman"/>
          <w:i/>
          <w:iCs/>
          <w:sz w:val="24"/>
          <w:szCs w:val="24"/>
          <w:lang w:val="en-GB"/>
        </w:rPr>
        <w:t>inter alia</w:t>
      </w:r>
      <w:r w:rsidR="000A3BE2" w:rsidRPr="003253E5">
        <w:rPr>
          <w:rFonts w:ascii="Times New Roman" w:hAnsi="Times New Roman" w:cs="Times New Roman"/>
          <w:sz w:val="24"/>
          <w:szCs w:val="24"/>
          <w:lang w:val="en-GB"/>
        </w:rPr>
        <w:t xml:space="preserve"> stated that the </w:t>
      </w:r>
      <w:r w:rsidR="00BE66D3" w:rsidRPr="003253E5">
        <w:rPr>
          <w:rFonts w:ascii="Times New Roman" w:hAnsi="Times New Roman" w:cs="Times New Roman"/>
          <w:sz w:val="24"/>
          <w:szCs w:val="24"/>
          <w:lang w:val="en-GB"/>
        </w:rPr>
        <w:t xml:space="preserve">duty will be paid in accordance with DAS requirements and that the product will be moved through Tarlton to Botswana. </w:t>
      </w:r>
      <w:r w:rsidR="008D718D" w:rsidRPr="003253E5">
        <w:rPr>
          <w:rFonts w:ascii="Times New Roman" w:hAnsi="Times New Roman" w:cs="Times New Roman"/>
          <w:sz w:val="24"/>
          <w:szCs w:val="24"/>
          <w:lang w:val="en-GB"/>
        </w:rPr>
        <w:t xml:space="preserve"> </w:t>
      </w:r>
      <w:r w:rsidR="003D2D5F" w:rsidRPr="003253E5">
        <w:rPr>
          <w:rFonts w:ascii="Times New Roman" w:hAnsi="Times New Roman" w:cs="Times New Roman"/>
          <w:sz w:val="24"/>
          <w:szCs w:val="24"/>
          <w:lang w:val="en-GB"/>
        </w:rPr>
        <w:t xml:space="preserve">In its response, SARS did not mention that exports from Tarlton </w:t>
      </w:r>
      <w:r w:rsidR="00D36A17" w:rsidRPr="003253E5">
        <w:rPr>
          <w:rFonts w:ascii="Times New Roman" w:hAnsi="Times New Roman" w:cs="Times New Roman"/>
          <w:sz w:val="24"/>
          <w:szCs w:val="24"/>
          <w:lang w:val="en-GB"/>
        </w:rPr>
        <w:t>(</w:t>
      </w:r>
      <w:r w:rsidR="003D2D5F" w:rsidRPr="003253E5">
        <w:rPr>
          <w:rFonts w:ascii="Times New Roman" w:hAnsi="Times New Roman" w:cs="Times New Roman"/>
          <w:sz w:val="24"/>
          <w:szCs w:val="24"/>
          <w:lang w:val="en-GB"/>
        </w:rPr>
        <w:t>or Tzaneen</w:t>
      </w:r>
      <w:r w:rsidR="006248DF" w:rsidRPr="003253E5">
        <w:rPr>
          <w:rFonts w:ascii="Times New Roman" w:hAnsi="Times New Roman" w:cs="Times New Roman"/>
          <w:sz w:val="24"/>
          <w:szCs w:val="24"/>
          <w:lang w:val="en-GB"/>
        </w:rPr>
        <w:t xml:space="preserve"> or Bloemfontein</w:t>
      </w:r>
      <w:r w:rsidR="00D36A17" w:rsidRPr="003253E5">
        <w:rPr>
          <w:rFonts w:ascii="Times New Roman" w:hAnsi="Times New Roman" w:cs="Times New Roman"/>
          <w:sz w:val="24"/>
          <w:szCs w:val="24"/>
          <w:lang w:val="en-GB"/>
        </w:rPr>
        <w:t>)</w:t>
      </w:r>
      <w:r w:rsidR="003D2D5F" w:rsidRPr="003253E5">
        <w:rPr>
          <w:rFonts w:ascii="Times New Roman" w:hAnsi="Times New Roman" w:cs="Times New Roman"/>
          <w:sz w:val="24"/>
          <w:szCs w:val="24"/>
          <w:lang w:val="en-GB"/>
        </w:rPr>
        <w:t xml:space="preserve"> will not be permitted.</w:t>
      </w:r>
    </w:p>
    <w:p w14:paraId="43176C53" w14:textId="2CB5A6A1" w:rsidR="00062738"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66.5.</w:t>
      </w:r>
      <w:r w:rsidRPr="008F5862">
        <w:rPr>
          <w:rFonts w:ascii="Times New Roman" w:hAnsi="Times New Roman" w:cs="Times New Roman"/>
          <w:sz w:val="24"/>
          <w:szCs w:val="24"/>
          <w:lang w:val="en-GB"/>
        </w:rPr>
        <w:tab/>
      </w:r>
      <w:r w:rsidR="00062738" w:rsidRPr="003253E5">
        <w:rPr>
          <w:rFonts w:ascii="Times New Roman" w:hAnsi="Times New Roman" w:cs="Times New Roman"/>
          <w:sz w:val="24"/>
          <w:szCs w:val="24"/>
          <w:lang w:val="en-GB"/>
        </w:rPr>
        <w:t xml:space="preserve">PetroSA has </w:t>
      </w:r>
      <w:r w:rsidR="006248DF" w:rsidRPr="003253E5">
        <w:rPr>
          <w:rFonts w:ascii="Times New Roman" w:hAnsi="Times New Roman" w:cs="Times New Roman"/>
          <w:sz w:val="24"/>
          <w:szCs w:val="24"/>
          <w:lang w:val="en-GB"/>
        </w:rPr>
        <w:t xml:space="preserve">thus </w:t>
      </w:r>
      <w:r w:rsidR="00062738" w:rsidRPr="003253E5">
        <w:rPr>
          <w:rFonts w:ascii="Times New Roman" w:hAnsi="Times New Roman" w:cs="Times New Roman"/>
          <w:sz w:val="24"/>
          <w:szCs w:val="24"/>
          <w:lang w:val="en-GB"/>
        </w:rPr>
        <w:t>been exporting fuel levy goods from unlicensed facili</w:t>
      </w:r>
      <w:r w:rsidR="006562EC" w:rsidRPr="003253E5">
        <w:rPr>
          <w:rFonts w:ascii="Times New Roman" w:hAnsi="Times New Roman" w:cs="Times New Roman"/>
          <w:sz w:val="24"/>
          <w:szCs w:val="24"/>
          <w:lang w:val="en-GB"/>
        </w:rPr>
        <w:t xml:space="preserve">ties at places like </w:t>
      </w:r>
      <w:r w:rsidR="00062738" w:rsidRPr="003253E5">
        <w:rPr>
          <w:rFonts w:ascii="Times New Roman" w:hAnsi="Times New Roman" w:cs="Times New Roman"/>
          <w:sz w:val="24"/>
          <w:szCs w:val="24"/>
          <w:lang w:val="en-GB"/>
        </w:rPr>
        <w:t>Tarlton</w:t>
      </w:r>
      <w:r w:rsidR="006562EC" w:rsidRPr="003253E5">
        <w:rPr>
          <w:rFonts w:ascii="Times New Roman" w:hAnsi="Times New Roman" w:cs="Times New Roman"/>
          <w:sz w:val="24"/>
          <w:szCs w:val="24"/>
          <w:lang w:val="en-GB"/>
        </w:rPr>
        <w:t>,</w:t>
      </w:r>
      <w:r w:rsidR="006248DF" w:rsidRPr="003253E5">
        <w:rPr>
          <w:rFonts w:ascii="Times New Roman" w:hAnsi="Times New Roman" w:cs="Times New Roman"/>
          <w:sz w:val="24"/>
          <w:szCs w:val="24"/>
          <w:lang w:val="en-GB"/>
        </w:rPr>
        <w:t xml:space="preserve"> Tzaneen and</w:t>
      </w:r>
      <w:r w:rsidR="006562EC" w:rsidRPr="003253E5">
        <w:rPr>
          <w:rFonts w:ascii="Times New Roman" w:hAnsi="Times New Roman" w:cs="Times New Roman"/>
          <w:sz w:val="24"/>
          <w:szCs w:val="24"/>
          <w:lang w:val="en-GB"/>
        </w:rPr>
        <w:t xml:space="preserve"> Bloemfontein, with the knowledge of SARS from </w:t>
      </w:r>
      <w:r w:rsidR="0087072D" w:rsidRPr="003253E5">
        <w:rPr>
          <w:rFonts w:ascii="Times New Roman" w:hAnsi="Times New Roman" w:cs="Times New Roman"/>
          <w:sz w:val="24"/>
          <w:szCs w:val="24"/>
          <w:lang w:val="en-GB"/>
        </w:rPr>
        <w:t>2012.</w:t>
      </w:r>
    </w:p>
    <w:p w14:paraId="6C10EF74" w14:textId="77EA9ABB" w:rsidR="0087072D"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66.6.</w:t>
      </w:r>
      <w:r w:rsidRPr="008F5862">
        <w:rPr>
          <w:rFonts w:ascii="Times New Roman" w:hAnsi="Times New Roman" w:cs="Times New Roman"/>
          <w:sz w:val="24"/>
          <w:szCs w:val="24"/>
          <w:lang w:val="en-GB"/>
        </w:rPr>
        <w:tab/>
      </w:r>
      <w:r w:rsidR="0087072D" w:rsidRPr="003253E5">
        <w:rPr>
          <w:rFonts w:ascii="Times New Roman" w:hAnsi="Times New Roman" w:cs="Times New Roman"/>
          <w:sz w:val="24"/>
          <w:szCs w:val="24"/>
          <w:lang w:val="en-GB"/>
        </w:rPr>
        <w:t xml:space="preserve">From </w:t>
      </w:r>
      <w:r w:rsidR="00D36A17" w:rsidRPr="003253E5">
        <w:rPr>
          <w:rFonts w:ascii="Times New Roman" w:hAnsi="Times New Roman" w:cs="Times New Roman"/>
          <w:sz w:val="24"/>
          <w:szCs w:val="24"/>
          <w:lang w:val="en-GB"/>
        </w:rPr>
        <w:t>2012</w:t>
      </w:r>
      <w:r w:rsidR="0087072D" w:rsidRPr="003253E5">
        <w:rPr>
          <w:rFonts w:ascii="Times New Roman" w:hAnsi="Times New Roman" w:cs="Times New Roman"/>
          <w:sz w:val="24"/>
          <w:szCs w:val="24"/>
          <w:lang w:val="en-GB"/>
        </w:rPr>
        <w:t xml:space="preserve"> PetroSA has been audited </w:t>
      </w:r>
      <w:r w:rsidR="000549E0" w:rsidRPr="003253E5">
        <w:rPr>
          <w:rFonts w:ascii="Times New Roman" w:hAnsi="Times New Roman" w:cs="Times New Roman"/>
          <w:sz w:val="24"/>
          <w:szCs w:val="24"/>
          <w:lang w:val="en-GB"/>
        </w:rPr>
        <w:t>by officials of different SARS offices across the country and set-offs f</w:t>
      </w:r>
      <w:r w:rsidR="000F0784" w:rsidRPr="003253E5">
        <w:rPr>
          <w:rFonts w:ascii="Times New Roman" w:hAnsi="Times New Roman" w:cs="Times New Roman"/>
          <w:sz w:val="24"/>
          <w:szCs w:val="24"/>
          <w:lang w:val="en-GB"/>
        </w:rPr>
        <w:t xml:space="preserve">or exports from unlicenced facilities were never disallowed (until the </w:t>
      </w:r>
      <w:r w:rsidR="00D36A17" w:rsidRPr="003253E5">
        <w:rPr>
          <w:rFonts w:ascii="Times New Roman" w:hAnsi="Times New Roman" w:cs="Times New Roman"/>
          <w:sz w:val="24"/>
          <w:szCs w:val="24"/>
          <w:lang w:val="en-GB"/>
        </w:rPr>
        <w:t>2018</w:t>
      </w:r>
      <w:r w:rsidR="000F0784" w:rsidRPr="003253E5">
        <w:rPr>
          <w:rFonts w:ascii="Times New Roman" w:hAnsi="Times New Roman" w:cs="Times New Roman"/>
          <w:sz w:val="24"/>
          <w:szCs w:val="24"/>
          <w:lang w:val="en-GB"/>
        </w:rPr>
        <w:t xml:space="preserve"> audit). </w:t>
      </w:r>
    </w:p>
    <w:p w14:paraId="6F83B1C9" w14:textId="0822636E" w:rsidR="00A8204D"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66.7.</w:t>
      </w:r>
      <w:r w:rsidRPr="008F5862">
        <w:rPr>
          <w:rFonts w:ascii="Times New Roman" w:hAnsi="Times New Roman" w:cs="Times New Roman"/>
          <w:sz w:val="24"/>
          <w:szCs w:val="24"/>
          <w:lang w:val="en-GB"/>
        </w:rPr>
        <w:tab/>
      </w:r>
      <w:r w:rsidR="008E2B30" w:rsidRPr="003253E5">
        <w:rPr>
          <w:rFonts w:ascii="Times New Roman" w:hAnsi="Times New Roman" w:cs="Times New Roman"/>
          <w:sz w:val="24"/>
          <w:szCs w:val="24"/>
          <w:lang w:val="en-GB"/>
        </w:rPr>
        <w:t>An affidavit of Mr</w:t>
      </w:r>
      <w:r w:rsidR="0048747A" w:rsidRPr="003253E5">
        <w:rPr>
          <w:rFonts w:ascii="Times New Roman" w:hAnsi="Times New Roman" w:cs="Times New Roman"/>
          <w:sz w:val="24"/>
          <w:szCs w:val="24"/>
          <w:lang w:val="en-GB"/>
        </w:rPr>
        <w:t> </w:t>
      </w:r>
      <w:r w:rsidR="00854655" w:rsidRPr="003253E5">
        <w:rPr>
          <w:rFonts w:ascii="Times New Roman" w:hAnsi="Times New Roman" w:cs="Times New Roman"/>
          <w:sz w:val="24"/>
          <w:szCs w:val="24"/>
          <w:lang w:val="en-GB"/>
        </w:rPr>
        <w:t>Kumarasen Gopalan was presented</w:t>
      </w:r>
      <w:r w:rsidR="00D36A17" w:rsidRPr="003253E5">
        <w:rPr>
          <w:rFonts w:ascii="Times New Roman" w:hAnsi="Times New Roman" w:cs="Times New Roman"/>
          <w:sz w:val="24"/>
          <w:szCs w:val="24"/>
          <w:lang w:val="en-GB"/>
        </w:rPr>
        <w:t xml:space="preserve"> by PetroSA</w:t>
      </w:r>
      <w:r w:rsidR="00854655" w:rsidRPr="003253E5">
        <w:rPr>
          <w:rFonts w:ascii="Times New Roman" w:hAnsi="Times New Roman" w:cs="Times New Roman"/>
          <w:sz w:val="24"/>
          <w:szCs w:val="24"/>
          <w:lang w:val="en-GB"/>
        </w:rPr>
        <w:t xml:space="preserve">.  </w:t>
      </w:r>
      <w:r w:rsidR="00406FC5" w:rsidRPr="003253E5">
        <w:rPr>
          <w:rFonts w:ascii="Times New Roman" w:hAnsi="Times New Roman" w:cs="Times New Roman"/>
          <w:sz w:val="24"/>
          <w:szCs w:val="24"/>
          <w:lang w:val="en-GB"/>
        </w:rPr>
        <w:t xml:space="preserve">He is the National Petrochemical Manager of </w:t>
      </w:r>
      <w:r w:rsidR="00A8204D" w:rsidRPr="003253E5">
        <w:rPr>
          <w:rFonts w:ascii="Times New Roman" w:hAnsi="Times New Roman" w:cs="Times New Roman"/>
          <w:sz w:val="24"/>
          <w:szCs w:val="24"/>
          <w:lang w:val="en-GB"/>
        </w:rPr>
        <w:t>Turners Shipping</w:t>
      </w:r>
      <w:r w:rsidR="00406FC5" w:rsidRPr="003253E5">
        <w:rPr>
          <w:rFonts w:ascii="Times New Roman" w:hAnsi="Times New Roman" w:cs="Times New Roman"/>
          <w:sz w:val="24"/>
          <w:szCs w:val="24"/>
          <w:lang w:val="en-GB"/>
        </w:rPr>
        <w:t xml:space="preserve">.  </w:t>
      </w:r>
      <w:r w:rsidR="00965873" w:rsidRPr="003253E5">
        <w:rPr>
          <w:rFonts w:ascii="Times New Roman" w:hAnsi="Times New Roman" w:cs="Times New Roman"/>
          <w:sz w:val="24"/>
          <w:szCs w:val="24"/>
          <w:lang w:val="en-GB"/>
        </w:rPr>
        <w:t>Mr</w:t>
      </w:r>
      <w:r w:rsidR="0048747A" w:rsidRPr="003253E5">
        <w:rPr>
          <w:rFonts w:ascii="Times New Roman" w:hAnsi="Times New Roman" w:cs="Times New Roman"/>
          <w:sz w:val="24"/>
          <w:szCs w:val="24"/>
          <w:lang w:val="en-GB"/>
        </w:rPr>
        <w:t> </w:t>
      </w:r>
      <w:r w:rsidR="00965873" w:rsidRPr="003253E5">
        <w:rPr>
          <w:rFonts w:ascii="Times New Roman" w:hAnsi="Times New Roman" w:cs="Times New Roman"/>
          <w:sz w:val="24"/>
          <w:szCs w:val="24"/>
          <w:lang w:val="en-GB"/>
        </w:rPr>
        <w:t xml:space="preserve">Gopalan </w:t>
      </w:r>
      <w:r w:rsidR="004A669E" w:rsidRPr="003253E5">
        <w:rPr>
          <w:rFonts w:ascii="Times New Roman" w:hAnsi="Times New Roman" w:cs="Times New Roman"/>
          <w:sz w:val="24"/>
          <w:szCs w:val="24"/>
          <w:lang w:val="en-GB"/>
        </w:rPr>
        <w:t xml:space="preserve">has been in the employ of Turners Shipping from 2005.  </w:t>
      </w:r>
      <w:r w:rsidR="00406FC5" w:rsidRPr="003253E5">
        <w:rPr>
          <w:rFonts w:ascii="Times New Roman" w:hAnsi="Times New Roman" w:cs="Times New Roman"/>
          <w:sz w:val="24"/>
          <w:szCs w:val="24"/>
          <w:lang w:val="en-GB"/>
        </w:rPr>
        <w:t xml:space="preserve">The latter </w:t>
      </w:r>
      <w:r w:rsidR="00A8204D" w:rsidRPr="003253E5">
        <w:rPr>
          <w:rFonts w:ascii="Times New Roman" w:hAnsi="Times New Roman" w:cs="Times New Roman"/>
          <w:sz w:val="24"/>
          <w:szCs w:val="24"/>
          <w:lang w:val="en-GB"/>
        </w:rPr>
        <w:t xml:space="preserve">acts as clearing agent of </w:t>
      </w:r>
      <w:r w:rsidR="00B63824" w:rsidRPr="003253E5">
        <w:rPr>
          <w:rFonts w:ascii="Times New Roman" w:hAnsi="Times New Roman" w:cs="Times New Roman"/>
          <w:sz w:val="24"/>
          <w:szCs w:val="24"/>
          <w:lang w:val="en-GB"/>
        </w:rPr>
        <w:t>many oil companies and has</w:t>
      </w:r>
      <w:r w:rsidR="00D36A17" w:rsidRPr="003253E5">
        <w:rPr>
          <w:rFonts w:ascii="Times New Roman" w:hAnsi="Times New Roman" w:cs="Times New Roman"/>
          <w:sz w:val="24"/>
          <w:szCs w:val="24"/>
          <w:lang w:val="en-GB"/>
        </w:rPr>
        <w:t xml:space="preserve"> had</w:t>
      </w:r>
      <w:r w:rsidR="00B63824" w:rsidRPr="003253E5">
        <w:rPr>
          <w:rFonts w:ascii="Times New Roman" w:hAnsi="Times New Roman" w:cs="Times New Roman"/>
          <w:sz w:val="24"/>
          <w:szCs w:val="24"/>
          <w:lang w:val="en-GB"/>
        </w:rPr>
        <w:t xml:space="preserve"> an office at Tarlton</w:t>
      </w:r>
      <w:r w:rsidR="00ED1BA1" w:rsidRPr="003253E5">
        <w:rPr>
          <w:rFonts w:ascii="Times New Roman" w:hAnsi="Times New Roman" w:cs="Times New Roman"/>
          <w:sz w:val="24"/>
          <w:szCs w:val="24"/>
          <w:lang w:val="en-GB"/>
        </w:rPr>
        <w:t xml:space="preserve"> from 2003</w:t>
      </w:r>
      <w:r w:rsidR="00B63824" w:rsidRPr="003253E5">
        <w:rPr>
          <w:rFonts w:ascii="Times New Roman" w:hAnsi="Times New Roman" w:cs="Times New Roman"/>
          <w:sz w:val="24"/>
          <w:szCs w:val="24"/>
          <w:lang w:val="en-GB"/>
        </w:rPr>
        <w:t xml:space="preserve">. </w:t>
      </w:r>
      <w:r w:rsidR="00ED1BA1" w:rsidRPr="003253E5">
        <w:rPr>
          <w:rFonts w:ascii="Times New Roman" w:hAnsi="Times New Roman" w:cs="Times New Roman"/>
          <w:sz w:val="24"/>
          <w:szCs w:val="24"/>
          <w:lang w:val="en-GB"/>
        </w:rPr>
        <w:t xml:space="preserve">Turners Shipping </w:t>
      </w:r>
      <w:r w:rsidR="000005EA" w:rsidRPr="003253E5">
        <w:rPr>
          <w:rFonts w:ascii="Times New Roman" w:hAnsi="Times New Roman" w:cs="Times New Roman"/>
          <w:sz w:val="24"/>
          <w:szCs w:val="24"/>
          <w:lang w:val="en-GB"/>
        </w:rPr>
        <w:t xml:space="preserve">is doing clearing work </w:t>
      </w:r>
      <w:r w:rsidR="00CB1851" w:rsidRPr="003253E5">
        <w:rPr>
          <w:rFonts w:ascii="Times New Roman" w:hAnsi="Times New Roman" w:cs="Times New Roman"/>
          <w:sz w:val="24"/>
          <w:szCs w:val="24"/>
          <w:lang w:val="en-GB"/>
        </w:rPr>
        <w:t xml:space="preserve">for the majority of oil companies and it </w:t>
      </w:r>
      <w:r w:rsidR="00ED1BA1" w:rsidRPr="003253E5">
        <w:rPr>
          <w:rFonts w:ascii="Times New Roman" w:hAnsi="Times New Roman" w:cs="Times New Roman"/>
          <w:sz w:val="24"/>
          <w:szCs w:val="24"/>
          <w:lang w:val="en-GB"/>
        </w:rPr>
        <w:t xml:space="preserve">is the only clearing agent which renders clearing services from Tarlton. </w:t>
      </w:r>
      <w:r w:rsidR="00B63824" w:rsidRPr="003253E5">
        <w:rPr>
          <w:rFonts w:ascii="Times New Roman" w:hAnsi="Times New Roman" w:cs="Times New Roman"/>
          <w:sz w:val="24"/>
          <w:szCs w:val="24"/>
          <w:lang w:val="en-GB"/>
        </w:rPr>
        <w:t xml:space="preserve"> </w:t>
      </w:r>
      <w:r w:rsidR="00BE619F" w:rsidRPr="003253E5">
        <w:rPr>
          <w:rFonts w:ascii="Times New Roman" w:hAnsi="Times New Roman" w:cs="Times New Roman"/>
          <w:sz w:val="24"/>
          <w:szCs w:val="24"/>
          <w:lang w:val="en-GB"/>
        </w:rPr>
        <w:t>Turners Shipping</w:t>
      </w:r>
      <w:r w:rsidR="00DB3E2A" w:rsidRPr="003253E5">
        <w:rPr>
          <w:rFonts w:ascii="Times New Roman" w:hAnsi="Times New Roman" w:cs="Times New Roman"/>
          <w:sz w:val="24"/>
          <w:szCs w:val="24"/>
          <w:lang w:val="en-GB"/>
        </w:rPr>
        <w:t>’</w:t>
      </w:r>
      <w:r w:rsidR="00775F95" w:rsidRPr="003253E5">
        <w:rPr>
          <w:rFonts w:ascii="Times New Roman" w:hAnsi="Times New Roman" w:cs="Times New Roman"/>
          <w:sz w:val="24"/>
          <w:szCs w:val="24"/>
          <w:lang w:val="en-GB"/>
        </w:rPr>
        <w:t xml:space="preserve">s </w:t>
      </w:r>
      <w:r w:rsidR="001356C2" w:rsidRPr="003253E5">
        <w:rPr>
          <w:rFonts w:ascii="Times New Roman" w:hAnsi="Times New Roman" w:cs="Times New Roman"/>
          <w:sz w:val="24"/>
          <w:szCs w:val="24"/>
          <w:lang w:val="en-GB"/>
        </w:rPr>
        <w:t xml:space="preserve">Mr </w:t>
      </w:r>
      <w:r w:rsidR="006C4BCE" w:rsidRPr="003253E5">
        <w:rPr>
          <w:rFonts w:ascii="Times New Roman" w:hAnsi="Times New Roman" w:cs="Times New Roman"/>
          <w:sz w:val="24"/>
          <w:szCs w:val="24"/>
          <w:lang w:val="en-GB"/>
        </w:rPr>
        <w:t xml:space="preserve">Gopalan </w:t>
      </w:r>
      <w:r w:rsidR="00BE619F" w:rsidRPr="003253E5">
        <w:rPr>
          <w:rFonts w:ascii="Times New Roman" w:hAnsi="Times New Roman" w:cs="Times New Roman"/>
          <w:sz w:val="24"/>
          <w:szCs w:val="24"/>
          <w:lang w:val="en-GB"/>
        </w:rPr>
        <w:t>confirmed that d</w:t>
      </w:r>
      <w:r w:rsidR="0081110C" w:rsidRPr="003253E5">
        <w:rPr>
          <w:rFonts w:ascii="Times New Roman" w:hAnsi="Times New Roman" w:cs="Times New Roman"/>
          <w:sz w:val="24"/>
          <w:szCs w:val="24"/>
          <w:lang w:val="en-GB"/>
        </w:rPr>
        <w:t>ifferent offices of SARS and different oil</w:t>
      </w:r>
      <w:r w:rsidR="00BE619F" w:rsidRPr="003253E5">
        <w:rPr>
          <w:rFonts w:ascii="Times New Roman" w:hAnsi="Times New Roman" w:cs="Times New Roman"/>
          <w:sz w:val="24"/>
          <w:szCs w:val="24"/>
          <w:lang w:val="en-GB"/>
        </w:rPr>
        <w:t xml:space="preserve"> companies </w:t>
      </w:r>
      <w:r w:rsidR="008D6486" w:rsidRPr="003253E5">
        <w:rPr>
          <w:rFonts w:ascii="Times New Roman" w:hAnsi="Times New Roman" w:cs="Times New Roman"/>
          <w:sz w:val="24"/>
          <w:szCs w:val="24"/>
          <w:lang w:val="en-GB"/>
        </w:rPr>
        <w:t xml:space="preserve">acted in accordance with the practice generally prevailing in that set-offs were permissible </w:t>
      </w:r>
      <w:r w:rsidR="0023750D" w:rsidRPr="003253E5">
        <w:rPr>
          <w:rFonts w:ascii="Times New Roman" w:hAnsi="Times New Roman" w:cs="Times New Roman"/>
          <w:sz w:val="24"/>
          <w:szCs w:val="24"/>
          <w:lang w:val="en-GB"/>
        </w:rPr>
        <w:t>even if the export was from an unlicenced facility</w:t>
      </w:r>
      <w:r w:rsidR="00D36A17" w:rsidRPr="003253E5">
        <w:rPr>
          <w:rFonts w:ascii="Times New Roman" w:hAnsi="Times New Roman" w:cs="Times New Roman"/>
          <w:sz w:val="24"/>
          <w:szCs w:val="24"/>
          <w:lang w:val="en-GB"/>
        </w:rPr>
        <w:t>, such as Tarlton</w:t>
      </w:r>
      <w:r w:rsidR="0023750D" w:rsidRPr="003253E5">
        <w:rPr>
          <w:rFonts w:ascii="Times New Roman" w:hAnsi="Times New Roman" w:cs="Times New Roman"/>
          <w:sz w:val="24"/>
          <w:szCs w:val="24"/>
          <w:lang w:val="en-GB"/>
        </w:rPr>
        <w:t xml:space="preserve">. </w:t>
      </w:r>
      <w:r w:rsidR="0072497C" w:rsidRPr="003253E5">
        <w:rPr>
          <w:rFonts w:ascii="Times New Roman" w:hAnsi="Times New Roman" w:cs="Times New Roman"/>
          <w:sz w:val="24"/>
          <w:szCs w:val="24"/>
          <w:lang w:val="en-GB"/>
        </w:rPr>
        <w:t xml:space="preserve"> </w:t>
      </w:r>
      <w:r w:rsidR="00225B51" w:rsidRPr="003253E5">
        <w:rPr>
          <w:rFonts w:ascii="Times New Roman" w:hAnsi="Times New Roman" w:cs="Times New Roman"/>
          <w:sz w:val="24"/>
          <w:szCs w:val="24"/>
          <w:lang w:val="en-GB"/>
        </w:rPr>
        <w:t>B</w:t>
      </w:r>
      <w:r w:rsidR="00605BC7" w:rsidRPr="003253E5">
        <w:rPr>
          <w:rFonts w:ascii="Times New Roman" w:hAnsi="Times New Roman" w:cs="Times New Roman"/>
          <w:sz w:val="24"/>
          <w:szCs w:val="24"/>
          <w:lang w:val="en-GB"/>
        </w:rPr>
        <w:t>ecause of the different geographical areas in which the refineries were situated</w:t>
      </w:r>
      <w:r w:rsidR="00EE3454" w:rsidRPr="003253E5">
        <w:rPr>
          <w:rFonts w:ascii="Times New Roman" w:hAnsi="Times New Roman" w:cs="Times New Roman"/>
          <w:sz w:val="24"/>
          <w:szCs w:val="24"/>
          <w:lang w:val="en-GB"/>
        </w:rPr>
        <w:t>,</w:t>
      </w:r>
      <w:r w:rsidR="00225B51" w:rsidRPr="003253E5">
        <w:rPr>
          <w:rFonts w:ascii="Times New Roman" w:hAnsi="Times New Roman" w:cs="Times New Roman"/>
          <w:sz w:val="24"/>
          <w:szCs w:val="24"/>
          <w:lang w:val="en-GB"/>
        </w:rPr>
        <w:t xml:space="preserve"> audits</w:t>
      </w:r>
      <w:r w:rsidR="00EE3454" w:rsidRPr="003253E5">
        <w:rPr>
          <w:rFonts w:ascii="Times New Roman" w:hAnsi="Times New Roman" w:cs="Times New Roman"/>
          <w:sz w:val="24"/>
          <w:szCs w:val="24"/>
          <w:lang w:val="en-GB"/>
        </w:rPr>
        <w:t xml:space="preserve"> were conducted by different offices of SARS over the years.  </w:t>
      </w:r>
      <w:r w:rsidR="005A0083" w:rsidRPr="003253E5">
        <w:rPr>
          <w:rFonts w:ascii="Times New Roman" w:hAnsi="Times New Roman" w:cs="Times New Roman"/>
          <w:sz w:val="24"/>
          <w:szCs w:val="24"/>
          <w:lang w:val="en-GB"/>
        </w:rPr>
        <w:t>These were regular audits</w:t>
      </w:r>
      <w:r w:rsidR="00522F49" w:rsidRPr="003253E5">
        <w:rPr>
          <w:rFonts w:ascii="Times New Roman" w:hAnsi="Times New Roman" w:cs="Times New Roman"/>
          <w:sz w:val="24"/>
          <w:szCs w:val="24"/>
          <w:lang w:val="en-GB"/>
        </w:rPr>
        <w:t xml:space="preserve"> conducted on various oil companies.</w:t>
      </w:r>
      <w:r w:rsidR="00225B51" w:rsidRPr="003253E5">
        <w:rPr>
          <w:rFonts w:ascii="Times New Roman" w:hAnsi="Times New Roman" w:cs="Times New Roman"/>
          <w:sz w:val="24"/>
          <w:szCs w:val="24"/>
          <w:lang w:val="en-GB"/>
        </w:rPr>
        <w:t xml:space="preserve"> </w:t>
      </w:r>
      <w:r w:rsidR="00522F49" w:rsidRPr="003253E5">
        <w:rPr>
          <w:rFonts w:ascii="Times New Roman" w:hAnsi="Times New Roman" w:cs="Times New Roman"/>
          <w:sz w:val="24"/>
          <w:szCs w:val="24"/>
          <w:lang w:val="en-GB"/>
        </w:rPr>
        <w:t xml:space="preserve"> </w:t>
      </w:r>
      <w:r w:rsidR="005A0083" w:rsidRPr="003253E5">
        <w:rPr>
          <w:rFonts w:ascii="Times New Roman" w:hAnsi="Times New Roman" w:cs="Times New Roman"/>
          <w:sz w:val="24"/>
          <w:szCs w:val="24"/>
          <w:lang w:val="en-GB"/>
        </w:rPr>
        <w:t xml:space="preserve">SARS never raised any concerns </w:t>
      </w:r>
      <w:r w:rsidR="00522F49" w:rsidRPr="003253E5">
        <w:rPr>
          <w:rFonts w:ascii="Times New Roman" w:hAnsi="Times New Roman" w:cs="Times New Roman"/>
          <w:sz w:val="24"/>
          <w:szCs w:val="24"/>
          <w:lang w:val="en-GB"/>
        </w:rPr>
        <w:t>in respect of set-offs on the basis that Tarlton was an unlicensed facility</w:t>
      </w:r>
      <w:r w:rsidR="0008632A" w:rsidRPr="003253E5">
        <w:rPr>
          <w:rFonts w:ascii="Times New Roman" w:hAnsi="Times New Roman" w:cs="Times New Roman"/>
          <w:sz w:val="24"/>
          <w:szCs w:val="24"/>
          <w:lang w:val="en-GB"/>
        </w:rPr>
        <w:t xml:space="preserve"> (until the disputed audit in </w:t>
      </w:r>
      <w:r w:rsidR="00731FC8" w:rsidRPr="003253E5">
        <w:rPr>
          <w:rFonts w:ascii="Times New Roman" w:hAnsi="Times New Roman" w:cs="Times New Roman"/>
          <w:sz w:val="24"/>
          <w:szCs w:val="24"/>
          <w:lang w:val="en-GB"/>
        </w:rPr>
        <w:t>2018)</w:t>
      </w:r>
      <w:r w:rsidR="00522F49" w:rsidRPr="003253E5">
        <w:rPr>
          <w:rFonts w:ascii="Times New Roman" w:hAnsi="Times New Roman" w:cs="Times New Roman"/>
          <w:sz w:val="24"/>
          <w:szCs w:val="24"/>
          <w:lang w:val="en-GB"/>
        </w:rPr>
        <w:t xml:space="preserve">.  </w:t>
      </w:r>
      <w:r w:rsidR="00CF6029" w:rsidRPr="003253E5">
        <w:rPr>
          <w:rFonts w:ascii="Times New Roman" w:hAnsi="Times New Roman" w:cs="Times New Roman"/>
          <w:sz w:val="24"/>
          <w:szCs w:val="24"/>
          <w:lang w:val="en-GB"/>
        </w:rPr>
        <w:t xml:space="preserve">Tarlton has been used for exports since 2003. </w:t>
      </w:r>
    </w:p>
    <w:p w14:paraId="0FAC4A9A" w14:textId="271A082C" w:rsidR="000F327F"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66.8.</w:t>
      </w:r>
      <w:r w:rsidRPr="008F5862">
        <w:rPr>
          <w:rFonts w:ascii="Times New Roman" w:hAnsi="Times New Roman" w:cs="Times New Roman"/>
          <w:sz w:val="24"/>
          <w:szCs w:val="24"/>
          <w:lang w:val="en-GB"/>
        </w:rPr>
        <w:tab/>
      </w:r>
      <w:r w:rsidR="000F327F" w:rsidRPr="003253E5">
        <w:rPr>
          <w:rFonts w:ascii="Times New Roman" w:hAnsi="Times New Roman" w:cs="Times New Roman"/>
          <w:sz w:val="24"/>
          <w:szCs w:val="24"/>
          <w:lang w:val="en-GB"/>
        </w:rPr>
        <w:t>An affidavit of Mr</w:t>
      </w:r>
      <w:r w:rsidR="0089293D" w:rsidRPr="003253E5">
        <w:rPr>
          <w:rFonts w:ascii="Times New Roman" w:hAnsi="Times New Roman" w:cs="Times New Roman"/>
          <w:sz w:val="24"/>
          <w:szCs w:val="24"/>
          <w:lang w:val="en-GB"/>
        </w:rPr>
        <w:t> </w:t>
      </w:r>
      <w:r w:rsidR="000F327F" w:rsidRPr="003253E5">
        <w:rPr>
          <w:rFonts w:ascii="Times New Roman" w:hAnsi="Times New Roman" w:cs="Times New Roman"/>
          <w:sz w:val="24"/>
          <w:szCs w:val="24"/>
          <w:lang w:val="en-GB"/>
        </w:rPr>
        <w:t>T</w:t>
      </w:r>
      <w:r w:rsidR="008545FF" w:rsidRPr="003253E5">
        <w:rPr>
          <w:rFonts w:ascii="Times New Roman" w:hAnsi="Times New Roman" w:cs="Times New Roman"/>
          <w:sz w:val="24"/>
          <w:szCs w:val="24"/>
          <w:lang w:val="en-GB"/>
        </w:rPr>
        <w:t xml:space="preserve">imothy </w:t>
      </w:r>
      <w:r w:rsidR="00354561" w:rsidRPr="003253E5">
        <w:rPr>
          <w:rFonts w:ascii="Times New Roman" w:hAnsi="Times New Roman" w:cs="Times New Roman"/>
          <w:sz w:val="24"/>
          <w:szCs w:val="24"/>
          <w:lang w:val="en-GB"/>
        </w:rPr>
        <w:t xml:space="preserve">Wynn </w:t>
      </w:r>
      <w:r w:rsidR="008545FF" w:rsidRPr="003253E5">
        <w:rPr>
          <w:rFonts w:ascii="Times New Roman" w:hAnsi="Times New Roman" w:cs="Times New Roman"/>
          <w:sz w:val="24"/>
          <w:szCs w:val="24"/>
          <w:lang w:val="en-GB"/>
        </w:rPr>
        <w:t xml:space="preserve">La Fontaine </w:t>
      </w:r>
      <w:r w:rsidR="000F327F" w:rsidRPr="003253E5">
        <w:rPr>
          <w:rFonts w:ascii="Times New Roman" w:hAnsi="Times New Roman" w:cs="Times New Roman"/>
          <w:sz w:val="24"/>
          <w:szCs w:val="24"/>
          <w:lang w:val="en-GB"/>
        </w:rPr>
        <w:t>was</w:t>
      </w:r>
      <w:r w:rsidR="008545FF" w:rsidRPr="003253E5">
        <w:rPr>
          <w:rFonts w:ascii="Times New Roman" w:hAnsi="Times New Roman" w:cs="Times New Roman"/>
          <w:sz w:val="24"/>
          <w:szCs w:val="24"/>
          <w:lang w:val="en-GB"/>
        </w:rPr>
        <w:t xml:space="preserve"> also filed. He is a retired </w:t>
      </w:r>
      <w:r w:rsidR="00276A73" w:rsidRPr="003253E5">
        <w:rPr>
          <w:rFonts w:ascii="Times New Roman" w:hAnsi="Times New Roman" w:cs="Times New Roman"/>
          <w:sz w:val="24"/>
          <w:szCs w:val="24"/>
          <w:lang w:val="en-GB"/>
        </w:rPr>
        <w:t xml:space="preserve">SARS official with extensive knowledge of the fuel industry, including operations at Tarlton.  </w:t>
      </w:r>
      <w:r w:rsidR="00BE007B" w:rsidRPr="003253E5">
        <w:rPr>
          <w:rFonts w:ascii="Times New Roman" w:hAnsi="Times New Roman" w:cs="Times New Roman"/>
          <w:sz w:val="24"/>
          <w:szCs w:val="24"/>
          <w:lang w:val="en-GB"/>
        </w:rPr>
        <w:t xml:space="preserve">He </w:t>
      </w:r>
      <w:r w:rsidR="006F5FBF" w:rsidRPr="003253E5">
        <w:rPr>
          <w:rFonts w:ascii="Times New Roman" w:hAnsi="Times New Roman" w:cs="Times New Roman"/>
          <w:sz w:val="24"/>
          <w:szCs w:val="24"/>
          <w:lang w:val="en-GB"/>
        </w:rPr>
        <w:t>explains that after the introduction of DAS, licences of storage facilities were cancelled</w:t>
      </w:r>
      <w:r w:rsidR="008B59CC" w:rsidRPr="003253E5">
        <w:rPr>
          <w:rFonts w:ascii="Times New Roman" w:hAnsi="Times New Roman" w:cs="Times New Roman"/>
          <w:sz w:val="24"/>
          <w:szCs w:val="24"/>
          <w:lang w:val="en-GB"/>
        </w:rPr>
        <w:t xml:space="preserve"> and all the product stored at Tarlton was duty paid.  SARS officials from Durban, Alberton and Bellville Offices would perform ex</w:t>
      </w:r>
      <w:r w:rsidR="00DC164F" w:rsidRPr="003253E5">
        <w:rPr>
          <w:rFonts w:ascii="Times New Roman" w:hAnsi="Times New Roman" w:cs="Times New Roman"/>
          <w:sz w:val="24"/>
          <w:szCs w:val="24"/>
          <w:lang w:val="en-GB"/>
        </w:rPr>
        <w:t xml:space="preserve">cise audits </w:t>
      </w:r>
      <w:r w:rsidR="004D09BE" w:rsidRPr="003253E5">
        <w:rPr>
          <w:rFonts w:ascii="Times New Roman" w:hAnsi="Times New Roman" w:cs="Times New Roman"/>
          <w:sz w:val="24"/>
          <w:szCs w:val="24"/>
          <w:lang w:val="en-GB"/>
        </w:rPr>
        <w:t>and set-offs were allowed for exports from Tarlton, an unlicenced facility.</w:t>
      </w:r>
    </w:p>
    <w:p w14:paraId="7BF504C0" w14:textId="56072453" w:rsidR="000B6A6D"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A582A">
        <w:rPr>
          <w:rFonts w:ascii="Times New Roman" w:hAnsi="Times New Roman" w:cs="Times New Roman"/>
          <w:sz w:val="24"/>
          <w:szCs w:val="24"/>
          <w:lang w:val="en-GB"/>
        </w:rPr>
        <w:t>[67]</w:t>
      </w:r>
      <w:r w:rsidRPr="008A582A">
        <w:rPr>
          <w:rFonts w:ascii="Times New Roman" w:hAnsi="Times New Roman" w:cs="Times New Roman"/>
          <w:sz w:val="24"/>
          <w:szCs w:val="24"/>
          <w:lang w:val="en-GB"/>
        </w:rPr>
        <w:tab/>
      </w:r>
      <w:r w:rsidR="00CB2BD7" w:rsidRPr="003253E5">
        <w:rPr>
          <w:rFonts w:ascii="Times New Roman" w:hAnsi="Times New Roman" w:cs="Times New Roman"/>
          <w:sz w:val="24"/>
          <w:szCs w:val="24"/>
          <w:lang w:val="en-GB"/>
        </w:rPr>
        <w:t xml:space="preserve">The above allegations </w:t>
      </w:r>
      <w:r w:rsidR="0014572B" w:rsidRPr="003253E5">
        <w:rPr>
          <w:rFonts w:ascii="Times New Roman" w:hAnsi="Times New Roman" w:cs="Times New Roman"/>
          <w:sz w:val="24"/>
          <w:szCs w:val="24"/>
          <w:lang w:val="en-GB"/>
        </w:rPr>
        <w:t>are</w:t>
      </w:r>
      <w:r w:rsidR="00787487" w:rsidRPr="003253E5">
        <w:rPr>
          <w:rFonts w:ascii="Times New Roman" w:hAnsi="Times New Roman" w:cs="Times New Roman"/>
          <w:sz w:val="24"/>
          <w:szCs w:val="24"/>
          <w:lang w:val="en-GB"/>
        </w:rPr>
        <w:t xml:space="preserve"> not challenged by </w:t>
      </w:r>
      <w:r w:rsidR="00A40695" w:rsidRPr="003253E5">
        <w:rPr>
          <w:rFonts w:ascii="Times New Roman" w:hAnsi="Times New Roman" w:cs="Times New Roman"/>
          <w:sz w:val="24"/>
          <w:szCs w:val="24"/>
          <w:lang w:val="en-GB"/>
        </w:rPr>
        <w:t xml:space="preserve">SARS </w:t>
      </w:r>
      <w:r w:rsidR="00787487" w:rsidRPr="003253E5">
        <w:rPr>
          <w:rFonts w:ascii="Times New Roman" w:hAnsi="Times New Roman" w:cs="Times New Roman"/>
          <w:sz w:val="24"/>
          <w:szCs w:val="24"/>
          <w:lang w:val="en-GB"/>
        </w:rPr>
        <w:t>at a f</w:t>
      </w:r>
      <w:r w:rsidR="00791171" w:rsidRPr="003253E5">
        <w:rPr>
          <w:rFonts w:ascii="Times New Roman" w:hAnsi="Times New Roman" w:cs="Times New Roman"/>
          <w:sz w:val="24"/>
          <w:szCs w:val="24"/>
          <w:lang w:val="en-GB"/>
        </w:rPr>
        <w:t>actual level</w:t>
      </w:r>
      <w:r w:rsidR="00515766" w:rsidRPr="003253E5">
        <w:rPr>
          <w:rFonts w:ascii="Times New Roman" w:hAnsi="Times New Roman" w:cs="Times New Roman"/>
          <w:sz w:val="24"/>
          <w:szCs w:val="24"/>
          <w:lang w:val="en-GB"/>
        </w:rPr>
        <w:t xml:space="preserve"> at all</w:t>
      </w:r>
      <w:r w:rsidR="00791171" w:rsidRPr="003253E5">
        <w:rPr>
          <w:rFonts w:ascii="Times New Roman" w:hAnsi="Times New Roman" w:cs="Times New Roman"/>
          <w:sz w:val="24"/>
          <w:szCs w:val="24"/>
          <w:lang w:val="en-GB"/>
        </w:rPr>
        <w:t xml:space="preserve">.  </w:t>
      </w:r>
      <w:r w:rsidR="008A582A" w:rsidRPr="003253E5">
        <w:rPr>
          <w:rFonts w:ascii="Times New Roman" w:hAnsi="Times New Roman" w:cs="Times New Roman"/>
          <w:sz w:val="24"/>
          <w:szCs w:val="24"/>
          <w:lang w:val="en-GB"/>
        </w:rPr>
        <w:t xml:space="preserve">The detailed factual allegations regarding the alleged practice generally prevailing made by Messrs Gopalan and La Fontaine are left entirely uncontested. </w:t>
      </w:r>
      <w:r w:rsidR="00BA0FA7" w:rsidRPr="003253E5">
        <w:rPr>
          <w:rFonts w:ascii="Times New Roman" w:hAnsi="Times New Roman" w:cs="Times New Roman"/>
          <w:sz w:val="24"/>
          <w:szCs w:val="24"/>
          <w:lang w:val="en-GB"/>
        </w:rPr>
        <w:t xml:space="preserve"> Apart from that, </w:t>
      </w:r>
      <w:r w:rsidR="00135865" w:rsidRPr="003253E5">
        <w:rPr>
          <w:rFonts w:ascii="Times New Roman" w:hAnsi="Times New Roman" w:cs="Times New Roman"/>
          <w:sz w:val="24"/>
          <w:szCs w:val="24"/>
          <w:lang w:val="en-GB"/>
        </w:rPr>
        <w:t xml:space="preserve">SARS has not provided evidence of a single instance of disallowing set-offs based on export from an unlicensed facility </w:t>
      </w:r>
      <w:r w:rsidR="000B2616" w:rsidRPr="003253E5">
        <w:rPr>
          <w:rFonts w:ascii="Times New Roman" w:hAnsi="Times New Roman" w:cs="Times New Roman"/>
          <w:sz w:val="24"/>
          <w:szCs w:val="24"/>
          <w:lang w:val="en-GB"/>
        </w:rPr>
        <w:t>in the period</w:t>
      </w:r>
      <w:r w:rsidR="00135865" w:rsidRPr="003253E5">
        <w:rPr>
          <w:rFonts w:ascii="Times New Roman" w:hAnsi="Times New Roman" w:cs="Times New Roman"/>
          <w:sz w:val="24"/>
          <w:szCs w:val="24"/>
          <w:lang w:val="en-GB"/>
        </w:rPr>
        <w:t xml:space="preserve"> 2003</w:t>
      </w:r>
      <w:r w:rsidR="00B65E20" w:rsidRPr="003253E5">
        <w:rPr>
          <w:rFonts w:ascii="Times New Roman" w:hAnsi="Times New Roman" w:cs="Times New Roman"/>
          <w:sz w:val="24"/>
          <w:szCs w:val="24"/>
          <w:lang w:val="en-GB"/>
        </w:rPr>
        <w:t xml:space="preserve"> (after DAS came into operation)</w:t>
      </w:r>
      <w:r w:rsidR="00135865" w:rsidRPr="003253E5">
        <w:rPr>
          <w:rFonts w:ascii="Times New Roman" w:hAnsi="Times New Roman" w:cs="Times New Roman"/>
          <w:sz w:val="24"/>
          <w:szCs w:val="24"/>
          <w:lang w:val="en-GB"/>
        </w:rPr>
        <w:t xml:space="preserve"> to 2018.  </w:t>
      </w:r>
      <w:r w:rsidR="00234D3D" w:rsidRPr="003253E5">
        <w:rPr>
          <w:rFonts w:ascii="Times New Roman" w:hAnsi="Times New Roman" w:cs="Times New Roman"/>
          <w:sz w:val="24"/>
          <w:szCs w:val="24"/>
          <w:lang w:val="en-GB"/>
        </w:rPr>
        <w:t xml:space="preserve">The inference must be drawn that it cannot come up any evidence contrary to the alleged practice.  </w:t>
      </w:r>
      <w:r w:rsidR="00791171" w:rsidRPr="003253E5">
        <w:rPr>
          <w:rFonts w:ascii="Times New Roman" w:hAnsi="Times New Roman" w:cs="Times New Roman"/>
          <w:sz w:val="24"/>
          <w:szCs w:val="24"/>
          <w:lang w:val="en-GB"/>
        </w:rPr>
        <w:t xml:space="preserve">In the answering affidavit it is merely stated that </w:t>
      </w:r>
      <w:r w:rsidR="00037C15" w:rsidRPr="003253E5">
        <w:rPr>
          <w:rFonts w:ascii="Times New Roman" w:hAnsi="Times New Roman" w:cs="Times New Roman"/>
          <w:sz w:val="24"/>
          <w:szCs w:val="24"/>
          <w:lang w:val="en-GB"/>
        </w:rPr>
        <w:t xml:space="preserve">the </w:t>
      </w:r>
      <w:r w:rsidR="0014572B" w:rsidRPr="003253E5">
        <w:rPr>
          <w:rFonts w:ascii="Times New Roman" w:hAnsi="Times New Roman" w:cs="Times New Roman"/>
          <w:sz w:val="24"/>
          <w:szCs w:val="24"/>
          <w:lang w:val="en-GB"/>
        </w:rPr>
        <w:t>contention</w:t>
      </w:r>
      <w:r w:rsidR="00225B51" w:rsidRPr="003253E5">
        <w:rPr>
          <w:rFonts w:ascii="Times New Roman" w:hAnsi="Times New Roman" w:cs="Times New Roman"/>
          <w:sz w:val="24"/>
          <w:szCs w:val="24"/>
          <w:lang w:val="en-GB"/>
        </w:rPr>
        <w:t xml:space="preserve"> about the practice generally prevailing</w:t>
      </w:r>
      <w:r w:rsidR="0014572B" w:rsidRPr="003253E5">
        <w:rPr>
          <w:rFonts w:ascii="Times New Roman" w:hAnsi="Times New Roman" w:cs="Times New Roman"/>
          <w:sz w:val="24"/>
          <w:szCs w:val="24"/>
          <w:lang w:val="en-GB"/>
        </w:rPr>
        <w:t xml:space="preserve"> is denied</w:t>
      </w:r>
      <w:r w:rsidR="00225B51" w:rsidRPr="003253E5">
        <w:rPr>
          <w:rFonts w:ascii="Times New Roman" w:hAnsi="Times New Roman" w:cs="Times New Roman"/>
          <w:sz w:val="24"/>
          <w:szCs w:val="24"/>
          <w:lang w:val="en-GB"/>
        </w:rPr>
        <w:t xml:space="preserve">. </w:t>
      </w:r>
      <w:r w:rsidR="0014572B" w:rsidRPr="003253E5">
        <w:rPr>
          <w:rFonts w:ascii="Times New Roman" w:hAnsi="Times New Roman" w:cs="Times New Roman"/>
          <w:sz w:val="24"/>
          <w:szCs w:val="24"/>
          <w:lang w:val="en-GB"/>
        </w:rPr>
        <w:t xml:space="preserve"> </w:t>
      </w:r>
      <w:r w:rsidR="00225B51" w:rsidRPr="003253E5">
        <w:rPr>
          <w:rFonts w:ascii="Times New Roman" w:hAnsi="Times New Roman" w:cs="Times New Roman"/>
          <w:sz w:val="24"/>
          <w:szCs w:val="24"/>
          <w:lang w:val="en-GB"/>
        </w:rPr>
        <w:t>A legal argument is raised to the effect</w:t>
      </w:r>
      <w:r w:rsidR="0014572B" w:rsidRPr="003253E5">
        <w:rPr>
          <w:rFonts w:ascii="Times New Roman" w:hAnsi="Times New Roman" w:cs="Times New Roman"/>
          <w:sz w:val="24"/>
          <w:szCs w:val="24"/>
          <w:lang w:val="en-GB"/>
        </w:rPr>
        <w:t xml:space="preserve"> that </w:t>
      </w:r>
      <w:r w:rsidR="00037C15" w:rsidRPr="003253E5">
        <w:rPr>
          <w:rFonts w:ascii="Times New Roman" w:hAnsi="Times New Roman" w:cs="Times New Roman"/>
          <w:sz w:val="24"/>
          <w:szCs w:val="24"/>
          <w:lang w:val="en-GB"/>
        </w:rPr>
        <w:t>the</w:t>
      </w:r>
      <w:r w:rsidR="00225B51" w:rsidRPr="003253E5">
        <w:rPr>
          <w:rFonts w:ascii="Times New Roman" w:hAnsi="Times New Roman" w:cs="Times New Roman"/>
          <w:sz w:val="24"/>
          <w:szCs w:val="24"/>
          <w:lang w:val="en-GB"/>
        </w:rPr>
        <w:t xml:space="preserve"> present</w:t>
      </w:r>
      <w:r w:rsidR="00037C15" w:rsidRPr="003253E5">
        <w:rPr>
          <w:rFonts w:ascii="Times New Roman" w:hAnsi="Times New Roman" w:cs="Times New Roman"/>
          <w:sz w:val="24"/>
          <w:szCs w:val="24"/>
          <w:lang w:val="en-GB"/>
        </w:rPr>
        <w:t xml:space="preserve"> case is not concerned with non-payment or underpayment</w:t>
      </w:r>
      <w:r w:rsidR="00D960B5" w:rsidRPr="003253E5">
        <w:rPr>
          <w:rFonts w:ascii="Times New Roman" w:hAnsi="Times New Roman" w:cs="Times New Roman"/>
          <w:sz w:val="24"/>
          <w:szCs w:val="24"/>
          <w:lang w:val="en-GB"/>
        </w:rPr>
        <w:t xml:space="preserve"> (which argument I dealt with above</w:t>
      </w:r>
      <w:r w:rsidR="00E2669C" w:rsidRPr="003253E5">
        <w:rPr>
          <w:rFonts w:ascii="Times New Roman" w:hAnsi="Times New Roman" w:cs="Times New Roman"/>
          <w:sz w:val="24"/>
          <w:szCs w:val="24"/>
          <w:lang w:val="en-GB"/>
        </w:rPr>
        <w:t>)</w:t>
      </w:r>
      <w:r w:rsidR="00D960B5" w:rsidRPr="003253E5">
        <w:rPr>
          <w:rFonts w:ascii="Times New Roman" w:hAnsi="Times New Roman" w:cs="Times New Roman"/>
          <w:sz w:val="24"/>
          <w:szCs w:val="24"/>
          <w:lang w:val="en-GB"/>
        </w:rPr>
        <w:t xml:space="preserve">.  </w:t>
      </w:r>
      <w:r w:rsidR="00326807" w:rsidRPr="003253E5">
        <w:rPr>
          <w:rFonts w:ascii="Times New Roman" w:hAnsi="Times New Roman" w:cs="Times New Roman"/>
          <w:sz w:val="24"/>
          <w:szCs w:val="24"/>
          <w:lang w:val="en-GB"/>
        </w:rPr>
        <w:t xml:space="preserve">The only relevant fact alleged by SARS </w:t>
      </w:r>
      <w:r w:rsidR="00BA0FA7" w:rsidRPr="003253E5">
        <w:rPr>
          <w:rFonts w:ascii="Times New Roman" w:hAnsi="Times New Roman" w:cs="Times New Roman"/>
          <w:sz w:val="24"/>
          <w:szCs w:val="24"/>
          <w:lang w:val="en-GB"/>
        </w:rPr>
        <w:t xml:space="preserve">on the issue of the practice </w:t>
      </w:r>
      <w:r w:rsidR="00326807" w:rsidRPr="003253E5">
        <w:rPr>
          <w:rFonts w:ascii="Times New Roman" w:hAnsi="Times New Roman" w:cs="Times New Roman"/>
          <w:sz w:val="24"/>
          <w:szCs w:val="24"/>
          <w:lang w:val="en-GB"/>
        </w:rPr>
        <w:t>in the answering affidavit is</w:t>
      </w:r>
      <w:r w:rsidR="00C96952" w:rsidRPr="003253E5">
        <w:rPr>
          <w:rFonts w:ascii="Times New Roman" w:hAnsi="Times New Roman" w:cs="Times New Roman"/>
          <w:sz w:val="24"/>
          <w:szCs w:val="24"/>
          <w:lang w:val="en-GB"/>
        </w:rPr>
        <w:t xml:space="preserve"> against it.  It is namely stated</w:t>
      </w:r>
      <w:r w:rsidR="00326807" w:rsidRPr="003253E5">
        <w:rPr>
          <w:rFonts w:ascii="Times New Roman" w:hAnsi="Times New Roman" w:cs="Times New Roman"/>
          <w:sz w:val="24"/>
          <w:szCs w:val="24"/>
          <w:lang w:val="en-GB"/>
        </w:rPr>
        <w:t xml:space="preserve"> that </w:t>
      </w:r>
      <w:r w:rsidR="00791171" w:rsidRPr="003253E5">
        <w:rPr>
          <w:rFonts w:ascii="Times New Roman" w:hAnsi="Times New Roman" w:cs="Times New Roman"/>
          <w:sz w:val="24"/>
          <w:szCs w:val="24"/>
          <w:lang w:val="en-GB"/>
        </w:rPr>
        <w:t xml:space="preserve">SARS </w:t>
      </w:r>
      <w:r w:rsidR="00A40695" w:rsidRPr="003253E5">
        <w:rPr>
          <w:rFonts w:ascii="Times New Roman" w:hAnsi="Times New Roman" w:cs="Times New Roman"/>
          <w:sz w:val="24"/>
          <w:szCs w:val="24"/>
          <w:lang w:val="en-GB"/>
        </w:rPr>
        <w:t>accepts that Tarlton was an unlicenced facility</w:t>
      </w:r>
      <w:r w:rsidR="00225B51" w:rsidRPr="003253E5">
        <w:rPr>
          <w:rFonts w:ascii="Times New Roman" w:hAnsi="Times New Roman" w:cs="Times New Roman"/>
          <w:sz w:val="24"/>
          <w:szCs w:val="24"/>
          <w:lang w:val="en-GB"/>
        </w:rPr>
        <w:t>.  The knowledge that SARS had</w:t>
      </w:r>
      <w:r w:rsidR="00A40695" w:rsidRPr="003253E5">
        <w:rPr>
          <w:rFonts w:ascii="Times New Roman" w:hAnsi="Times New Roman" w:cs="Times New Roman"/>
          <w:sz w:val="24"/>
          <w:szCs w:val="24"/>
          <w:lang w:val="en-GB"/>
        </w:rPr>
        <w:t xml:space="preserve"> </w:t>
      </w:r>
      <w:r w:rsidR="0094421B" w:rsidRPr="003253E5">
        <w:rPr>
          <w:rFonts w:ascii="Times New Roman" w:hAnsi="Times New Roman" w:cs="Times New Roman"/>
          <w:sz w:val="24"/>
          <w:szCs w:val="24"/>
          <w:lang w:val="en-GB"/>
        </w:rPr>
        <w:t>of the operations</w:t>
      </w:r>
      <w:r w:rsidR="00225B51" w:rsidRPr="003253E5">
        <w:rPr>
          <w:rFonts w:ascii="Times New Roman" w:hAnsi="Times New Roman" w:cs="Times New Roman"/>
          <w:sz w:val="24"/>
          <w:szCs w:val="24"/>
          <w:lang w:val="en-GB"/>
        </w:rPr>
        <w:t xml:space="preserve"> at Tarlton</w:t>
      </w:r>
      <w:r w:rsidR="0094421B" w:rsidRPr="003253E5">
        <w:rPr>
          <w:rFonts w:ascii="Times New Roman" w:hAnsi="Times New Roman" w:cs="Times New Roman"/>
          <w:sz w:val="24"/>
          <w:szCs w:val="24"/>
          <w:lang w:val="en-GB"/>
        </w:rPr>
        <w:t xml:space="preserve"> </w:t>
      </w:r>
      <w:r w:rsidR="00E829E4" w:rsidRPr="003253E5">
        <w:rPr>
          <w:rFonts w:ascii="Times New Roman" w:hAnsi="Times New Roman" w:cs="Times New Roman"/>
          <w:sz w:val="24"/>
          <w:szCs w:val="24"/>
          <w:lang w:val="en-GB"/>
        </w:rPr>
        <w:t xml:space="preserve">indeed </w:t>
      </w:r>
      <w:r w:rsidR="0094421B" w:rsidRPr="003253E5">
        <w:rPr>
          <w:rFonts w:ascii="Times New Roman" w:hAnsi="Times New Roman" w:cs="Times New Roman"/>
          <w:sz w:val="24"/>
          <w:szCs w:val="24"/>
          <w:lang w:val="en-GB"/>
        </w:rPr>
        <w:t>appears</w:t>
      </w:r>
      <w:r w:rsidR="00225B51" w:rsidRPr="003253E5">
        <w:rPr>
          <w:rFonts w:ascii="Times New Roman" w:hAnsi="Times New Roman" w:cs="Times New Roman"/>
          <w:sz w:val="24"/>
          <w:szCs w:val="24"/>
          <w:lang w:val="en-GB"/>
        </w:rPr>
        <w:t xml:space="preserve"> clearly</w:t>
      </w:r>
      <w:r w:rsidR="0094421B" w:rsidRPr="003253E5">
        <w:rPr>
          <w:rFonts w:ascii="Times New Roman" w:hAnsi="Times New Roman" w:cs="Times New Roman"/>
          <w:sz w:val="24"/>
          <w:szCs w:val="24"/>
          <w:lang w:val="en-GB"/>
        </w:rPr>
        <w:t xml:space="preserve"> from the answering affidavit. </w:t>
      </w:r>
      <w:r w:rsidR="00384165" w:rsidRPr="003253E5">
        <w:rPr>
          <w:rFonts w:ascii="Times New Roman" w:hAnsi="Times New Roman" w:cs="Times New Roman"/>
          <w:sz w:val="24"/>
          <w:szCs w:val="24"/>
          <w:lang w:val="en-GB"/>
        </w:rPr>
        <w:t xml:space="preserve"> </w:t>
      </w:r>
      <w:r w:rsidR="00E14BC6" w:rsidRPr="003253E5">
        <w:rPr>
          <w:rFonts w:ascii="Times New Roman" w:hAnsi="Times New Roman" w:cs="Times New Roman"/>
          <w:sz w:val="24"/>
          <w:szCs w:val="24"/>
          <w:lang w:val="en-GB"/>
        </w:rPr>
        <w:t xml:space="preserve">The fact that Tarlton was </w:t>
      </w:r>
      <w:r w:rsidR="005E47F6" w:rsidRPr="003253E5">
        <w:rPr>
          <w:rFonts w:ascii="Times New Roman" w:hAnsi="Times New Roman" w:cs="Times New Roman"/>
          <w:sz w:val="24"/>
          <w:szCs w:val="24"/>
          <w:lang w:val="en-GB"/>
        </w:rPr>
        <w:t>operating unlicenced</w:t>
      </w:r>
      <w:r w:rsidR="00BD5DE0" w:rsidRPr="003253E5">
        <w:rPr>
          <w:rFonts w:ascii="Times New Roman" w:hAnsi="Times New Roman" w:cs="Times New Roman"/>
          <w:sz w:val="24"/>
          <w:szCs w:val="24"/>
          <w:lang w:val="en-GB"/>
        </w:rPr>
        <w:t>, to the knowledge of SARS and for a long period of time,</w:t>
      </w:r>
      <w:r w:rsidR="005E47F6" w:rsidRPr="003253E5">
        <w:rPr>
          <w:rFonts w:ascii="Times New Roman" w:hAnsi="Times New Roman" w:cs="Times New Roman"/>
          <w:sz w:val="24"/>
          <w:szCs w:val="24"/>
          <w:lang w:val="en-GB"/>
        </w:rPr>
        <w:t xml:space="preserve"> </w:t>
      </w:r>
      <w:r w:rsidR="00326807" w:rsidRPr="003253E5">
        <w:rPr>
          <w:rFonts w:ascii="Times New Roman" w:hAnsi="Times New Roman" w:cs="Times New Roman"/>
          <w:sz w:val="24"/>
          <w:szCs w:val="24"/>
          <w:lang w:val="en-GB"/>
        </w:rPr>
        <w:t xml:space="preserve">is accordingly common cause.  </w:t>
      </w:r>
    </w:p>
    <w:p w14:paraId="7065698E" w14:textId="4D1B886C" w:rsidR="007F15DD"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[68]</w:t>
      </w:r>
      <w:r w:rsidRPr="008F5862">
        <w:rPr>
          <w:rFonts w:ascii="Times New Roman" w:hAnsi="Times New Roman" w:cs="Times New Roman"/>
          <w:sz w:val="24"/>
          <w:szCs w:val="24"/>
          <w:lang w:val="en-GB"/>
        </w:rPr>
        <w:tab/>
      </w:r>
      <w:r w:rsidR="00B84DB1" w:rsidRPr="003253E5">
        <w:rPr>
          <w:rFonts w:ascii="Times New Roman" w:hAnsi="Times New Roman" w:cs="Times New Roman"/>
          <w:sz w:val="24"/>
          <w:szCs w:val="24"/>
          <w:lang w:val="en-GB"/>
        </w:rPr>
        <w:t xml:space="preserve">In my view, on the facts of the present matter, </w:t>
      </w:r>
      <w:r w:rsidR="00D64904" w:rsidRPr="003253E5">
        <w:rPr>
          <w:rFonts w:ascii="Times New Roman" w:hAnsi="Times New Roman" w:cs="Times New Roman"/>
          <w:sz w:val="24"/>
          <w:szCs w:val="24"/>
          <w:lang w:val="en-GB"/>
        </w:rPr>
        <w:t>PetroSA</w:t>
      </w:r>
      <w:r w:rsidR="00D20C3E" w:rsidRPr="003253E5">
        <w:rPr>
          <w:rFonts w:ascii="Times New Roman" w:hAnsi="Times New Roman" w:cs="Times New Roman"/>
          <w:sz w:val="24"/>
          <w:szCs w:val="24"/>
          <w:lang w:val="en-GB"/>
        </w:rPr>
        <w:t xml:space="preserve"> has </w:t>
      </w:r>
      <w:r w:rsidR="00FD6ACC" w:rsidRPr="003253E5">
        <w:rPr>
          <w:rFonts w:ascii="Times New Roman" w:hAnsi="Times New Roman" w:cs="Times New Roman"/>
          <w:sz w:val="24"/>
          <w:szCs w:val="24"/>
          <w:lang w:val="en-GB"/>
        </w:rPr>
        <w:t>discharged the onus and proved that, during the audit period</w:t>
      </w:r>
      <w:r w:rsidR="003E0A38" w:rsidRPr="003253E5">
        <w:rPr>
          <w:rFonts w:ascii="Times New Roman" w:hAnsi="Times New Roman" w:cs="Times New Roman"/>
          <w:sz w:val="24"/>
          <w:szCs w:val="24"/>
          <w:lang w:val="en-GB"/>
        </w:rPr>
        <w:t xml:space="preserve"> there was a practice generally prevailing to the effect that</w:t>
      </w:r>
      <w:r w:rsidR="00FD6ACC" w:rsidRPr="003253E5">
        <w:rPr>
          <w:rFonts w:ascii="Times New Roman" w:hAnsi="Times New Roman" w:cs="Times New Roman"/>
          <w:sz w:val="24"/>
          <w:szCs w:val="24"/>
          <w:lang w:val="en-GB"/>
        </w:rPr>
        <w:t xml:space="preserve"> set-offs (refunds) were allowed in respect of fuel levy goods removed or exported to African countries from unlicensed facilities, provided that fuel levy goods were duty paid stock.</w:t>
      </w:r>
      <w:r w:rsidR="00B74B32" w:rsidRPr="003253E5">
        <w:rPr>
          <w:rFonts w:ascii="Times New Roman" w:hAnsi="Times New Roman" w:cs="Times New Roman"/>
          <w:sz w:val="24"/>
          <w:szCs w:val="24"/>
          <w:lang w:val="en-GB"/>
        </w:rPr>
        <w:t xml:space="preserve">  </w:t>
      </w:r>
      <w:r w:rsidR="00E90718" w:rsidRPr="003253E5">
        <w:rPr>
          <w:rFonts w:ascii="Times New Roman" w:hAnsi="Times New Roman" w:cs="Times New Roman"/>
          <w:sz w:val="24"/>
          <w:szCs w:val="24"/>
          <w:lang w:val="en-GB"/>
        </w:rPr>
        <w:t>I base th</w:t>
      </w:r>
      <w:r w:rsidR="00E843C3" w:rsidRPr="003253E5">
        <w:rPr>
          <w:rFonts w:ascii="Times New Roman" w:hAnsi="Times New Roman" w:cs="Times New Roman"/>
          <w:sz w:val="24"/>
          <w:szCs w:val="24"/>
          <w:lang w:val="en-GB"/>
        </w:rPr>
        <w:t>is</w:t>
      </w:r>
      <w:r w:rsidR="00E90718" w:rsidRPr="003253E5">
        <w:rPr>
          <w:rFonts w:ascii="Times New Roman" w:hAnsi="Times New Roman" w:cs="Times New Roman"/>
          <w:sz w:val="24"/>
          <w:szCs w:val="24"/>
          <w:lang w:val="en-GB"/>
        </w:rPr>
        <w:t xml:space="preserve"> finding on</w:t>
      </w:r>
      <w:r w:rsidR="00E843C3" w:rsidRPr="003253E5">
        <w:rPr>
          <w:rFonts w:ascii="Times New Roman" w:hAnsi="Times New Roman" w:cs="Times New Roman"/>
          <w:sz w:val="24"/>
          <w:szCs w:val="24"/>
          <w:lang w:val="en-GB"/>
        </w:rPr>
        <w:t xml:space="preserve"> the following</w:t>
      </w:r>
      <w:r w:rsidR="007F15DD" w:rsidRPr="003253E5">
        <w:rPr>
          <w:rFonts w:ascii="Times New Roman" w:hAnsi="Times New Roman" w:cs="Times New Roman"/>
          <w:sz w:val="24"/>
          <w:szCs w:val="24"/>
          <w:lang w:val="en-GB"/>
        </w:rPr>
        <w:t>:</w:t>
      </w:r>
    </w:p>
    <w:p w14:paraId="14ADDAF2" w14:textId="76300023" w:rsidR="007A32F6"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68.1.</w:t>
      </w:r>
      <w:r w:rsidRPr="008F5862">
        <w:rPr>
          <w:rFonts w:ascii="Times New Roman" w:hAnsi="Times New Roman" w:cs="Times New Roman"/>
          <w:sz w:val="24"/>
          <w:szCs w:val="24"/>
          <w:lang w:val="en-GB"/>
        </w:rPr>
        <w:tab/>
      </w:r>
      <w:r w:rsidR="007A32F6" w:rsidRPr="003253E5">
        <w:rPr>
          <w:rFonts w:ascii="Times New Roman" w:hAnsi="Times New Roman" w:cs="Times New Roman"/>
          <w:sz w:val="24"/>
          <w:szCs w:val="24"/>
          <w:lang w:val="en-GB"/>
        </w:rPr>
        <w:t xml:space="preserve">The background and the fundamental changes brought about </w:t>
      </w:r>
      <w:r w:rsidR="00E843C3" w:rsidRPr="003253E5">
        <w:rPr>
          <w:rFonts w:ascii="Times New Roman" w:hAnsi="Times New Roman" w:cs="Times New Roman"/>
          <w:sz w:val="24"/>
          <w:szCs w:val="24"/>
          <w:lang w:val="en-GB"/>
        </w:rPr>
        <w:t>by</w:t>
      </w:r>
      <w:r w:rsidR="007A32F6" w:rsidRPr="003253E5">
        <w:rPr>
          <w:rFonts w:ascii="Times New Roman" w:hAnsi="Times New Roman" w:cs="Times New Roman"/>
          <w:sz w:val="24"/>
          <w:szCs w:val="24"/>
          <w:lang w:val="en-GB"/>
        </w:rPr>
        <w:t xml:space="preserve"> the introduction of DAS and the resultant closing of licenced warehouses. </w:t>
      </w:r>
    </w:p>
    <w:p w14:paraId="61E8A5F8" w14:textId="5304AF45" w:rsidR="00AD0867"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68.2.</w:t>
      </w:r>
      <w:r w:rsidRPr="008F5862">
        <w:rPr>
          <w:rFonts w:ascii="Times New Roman" w:hAnsi="Times New Roman" w:cs="Times New Roman"/>
          <w:sz w:val="24"/>
          <w:szCs w:val="24"/>
          <w:lang w:val="en-GB"/>
        </w:rPr>
        <w:tab/>
      </w:r>
      <w:r w:rsidR="00E843C3" w:rsidRPr="003253E5">
        <w:rPr>
          <w:rFonts w:ascii="Times New Roman" w:hAnsi="Times New Roman" w:cs="Times New Roman"/>
          <w:sz w:val="24"/>
          <w:szCs w:val="24"/>
          <w:lang w:val="en-GB"/>
        </w:rPr>
        <w:t>T</w:t>
      </w:r>
      <w:r w:rsidR="00E90718" w:rsidRPr="003253E5">
        <w:rPr>
          <w:rFonts w:ascii="Times New Roman" w:hAnsi="Times New Roman" w:cs="Times New Roman"/>
          <w:sz w:val="24"/>
          <w:szCs w:val="24"/>
          <w:lang w:val="en-GB"/>
        </w:rPr>
        <w:t>he evidence presented</w:t>
      </w:r>
      <w:r w:rsidR="001C5BA9" w:rsidRPr="003253E5">
        <w:rPr>
          <w:rFonts w:ascii="Times New Roman" w:hAnsi="Times New Roman" w:cs="Times New Roman"/>
          <w:sz w:val="24"/>
          <w:szCs w:val="24"/>
          <w:lang w:val="en-GB"/>
        </w:rPr>
        <w:t>,</w:t>
      </w:r>
      <w:r w:rsidR="004D4185" w:rsidRPr="003253E5">
        <w:rPr>
          <w:rFonts w:ascii="Times New Roman" w:hAnsi="Times New Roman" w:cs="Times New Roman"/>
          <w:sz w:val="24"/>
          <w:szCs w:val="24"/>
          <w:lang w:val="en-GB"/>
        </w:rPr>
        <w:t xml:space="preserve"> </w:t>
      </w:r>
      <w:r w:rsidR="00E843C3" w:rsidRPr="003253E5">
        <w:rPr>
          <w:rFonts w:ascii="Times New Roman" w:hAnsi="Times New Roman" w:cs="Times New Roman"/>
          <w:sz w:val="24"/>
          <w:szCs w:val="24"/>
          <w:lang w:val="en-GB"/>
        </w:rPr>
        <w:t>particularly</w:t>
      </w:r>
      <w:r w:rsidR="004D4185" w:rsidRPr="003253E5">
        <w:rPr>
          <w:rFonts w:ascii="Times New Roman" w:hAnsi="Times New Roman" w:cs="Times New Roman"/>
          <w:sz w:val="24"/>
          <w:szCs w:val="24"/>
          <w:lang w:val="en-GB"/>
        </w:rPr>
        <w:t xml:space="preserve"> the uncontested evidence of Messrs</w:t>
      </w:r>
      <w:r w:rsidR="0089293D" w:rsidRPr="003253E5">
        <w:rPr>
          <w:rFonts w:ascii="Times New Roman" w:hAnsi="Times New Roman" w:cs="Times New Roman"/>
          <w:sz w:val="24"/>
          <w:szCs w:val="24"/>
          <w:lang w:val="en-GB"/>
        </w:rPr>
        <w:t> </w:t>
      </w:r>
      <w:r w:rsidR="004D4185" w:rsidRPr="003253E5">
        <w:rPr>
          <w:rFonts w:ascii="Times New Roman" w:hAnsi="Times New Roman" w:cs="Times New Roman"/>
          <w:sz w:val="24"/>
          <w:szCs w:val="24"/>
          <w:lang w:val="en-GB"/>
        </w:rPr>
        <w:t>Gopalan and La Fontaine</w:t>
      </w:r>
      <w:r w:rsidR="001C5BA9" w:rsidRPr="003253E5">
        <w:rPr>
          <w:rFonts w:ascii="Times New Roman" w:hAnsi="Times New Roman" w:cs="Times New Roman"/>
          <w:sz w:val="24"/>
          <w:szCs w:val="24"/>
          <w:lang w:val="en-GB"/>
        </w:rPr>
        <w:t>,</w:t>
      </w:r>
      <w:r w:rsidR="004D4185" w:rsidRPr="003253E5">
        <w:rPr>
          <w:rFonts w:ascii="Times New Roman" w:hAnsi="Times New Roman" w:cs="Times New Roman"/>
          <w:sz w:val="24"/>
          <w:szCs w:val="24"/>
          <w:lang w:val="en-GB"/>
        </w:rPr>
        <w:t xml:space="preserve"> that the </w:t>
      </w:r>
      <w:r w:rsidR="00F668A2" w:rsidRPr="003253E5">
        <w:rPr>
          <w:rFonts w:ascii="Times New Roman" w:hAnsi="Times New Roman" w:cs="Times New Roman"/>
          <w:sz w:val="24"/>
          <w:szCs w:val="24"/>
          <w:lang w:val="en-GB"/>
        </w:rPr>
        <w:t>set-offs were</w:t>
      </w:r>
      <w:r w:rsidR="00926F2C" w:rsidRPr="003253E5">
        <w:rPr>
          <w:rFonts w:ascii="Times New Roman" w:hAnsi="Times New Roman" w:cs="Times New Roman"/>
          <w:sz w:val="24"/>
          <w:szCs w:val="24"/>
          <w:lang w:val="en-GB"/>
        </w:rPr>
        <w:t xml:space="preserve"> allowed in respect of Tarlton, </w:t>
      </w:r>
      <w:r w:rsidR="00F668A2" w:rsidRPr="003253E5">
        <w:rPr>
          <w:rFonts w:ascii="Times New Roman" w:hAnsi="Times New Roman" w:cs="Times New Roman"/>
          <w:sz w:val="24"/>
          <w:szCs w:val="24"/>
          <w:lang w:val="en-GB"/>
        </w:rPr>
        <w:t xml:space="preserve">repeatedly </w:t>
      </w:r>
      <w:r w:rsidR="00F87BA1" w:rsidRPr="003253E5">
        <w:rPr>
          <w:rFonts w:ascii="Times New Roman" w:hAnsi="Times New Roman" w:cs="Times New Roman"/>
          <w:sz w:val="24"/>
          <w:szCs w:val="24"/>
          <w:lang w:val="en-GB"/>
        </w:rPr>
        <w:t xml:space="preserve">and consistently </w:t>
      </w:r>
      <w:r w:rsidR="007F15DD" w:rsidRPr="003253E5">
        <w:rPr>
          <w:rFonts w:ascii="Times New Roman" w:hAnsi="Times New Roman" w:cs="Times New Roman"/>
          <w:sz w:val="24"/>
          <w:szCs w:val="24"/>
          <w:lang w:val="en-GB"/>
        </w:rPr>
        <w:t xml:space="preserve">by different offices of SARS </w:t>
      </w:r>
      <w:r w:rsidR="00F668A2" w:rsidRPr="003253E5">
        <w:rPr>
          <w:rFonts w:ascii="Times New Roman" w:hAnsi="Times New Roman" w:cs="Times New Roman"/>
          <w:sz w:val="24"/>
          <w:szCs w:val="24"/>
          <w:lang w:val="en-GB"/>
        </w:rPr>
        <w:t>over a long period</w:t>
      </w:r>
      <w:r w:rsidR="00F87BA1" w:rsidRPr="003253E5">
        <w:rPr>
          <w:rFonts w:ascii="Times New Roman" w:hAnsi="Times New Roman" w:cs="Times New Roman"/>
          <w:sz w:val="24"/>
          <w:szCs w:val="24"/>
          <w:lang w:val="en-GB"/>
        </w:rPr>
        <w:t xml:space="preserve"> of time</w:t>
      </w:r>
      <w:r w:rsidR="009B312B" w:rsidRPr="003253E5">
        <w:rPr>
          <w:rFonts w:ascii="Times New Roman" w:hAnsi="Times New Roman" w:cs="Times New Roman"/>
          <w:sz w:val="24"/>
          <w:szCs w:val="24"/>
          <w:lang w:val="en-GB"/>
        </w:rPr>
        <w:t xml:space="preserve"> (at least a decade)</w:t>
      </w:r>
      <w:r w:rsidR="00E843C3" w:rsidRPr="003253E5">
        <w:rPr>
          <w:rFonts w:ascii="Times New Roman" w:hAnsi="Times New Roman" w:cs="Times New Roman"/>
          <w:sz w:val="24"/>
          <w:szCs w:val="24"/>
          <w:lang w:val="en-GB"/>
        </w:rPr>
        <w:t xml:space="preserve"> </w:t>
      </w:r>
      <w:r w:rsidR="001C5BA9" w:rsidRPr="003253E5">
        <w:rPr>
          <w:rFonts w:ascii="Times New Roman" w:hAnsi="Times New Roman" w:cs="Times New Roman"/>
          <w:sz w:val="24"/>
          <w:szCs w:val="24"/>
          <w:lang w:val="en-GB"/>
        </w:rPr>
        <w:t>and this was done in audits of</w:t>
      </w:r>
      <w:r w:rsidR="00E843C3" w:rsidRPr="003253E5">
        <w:rPr>
          <w:rFonts w:ascii="Times New Roman" w:hAnsi="Times New Roman" w:cs="Times New Roman"/>
          <w:sz w:val="24"/>
          <w:szCs w:val="24"/>
          <w:lang w:val="en-GB"/>
        </w:rPr>
        <w:t xml:space="preserve"> various oil companies.</w:t>
      </w:r>
    </w:p>
    <w:p w14:paraId="11841A72" w14:textId="4394751A" w:rsidR="004D4185"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68.3.</w:t>
      </w:r>
      <w:r w:rsidRPr="008F5862">
        <w:rPr>
          <w:rFonts w:ascii="Times New Roman" w:hAnsi="Times New Roman" w:cs="Times New Roman"/>
          <w:sz w:val="24"/>
          <w:szCs w:val="24"/>
          <w:lang w:val="en-GB"/>
        </w:rPr>
        <w:tab/>
      </w:r>
      <w:r w:rsidR="00B53972" w:rsidRPr="003253E5">
        <w:rPr>
          <w:rFonts w:ascii="Times New Roman" w:hAnsi="Times New Roman" w:cs="Times New Roman"/>
          <w:sz w:val="24"/>
          <w:szCs w:val="24"/>
          <w:lang w:val="en-GB"/>
        </w:rPr>
        <w:t xml:space="preserve">The fact that </w:t>
      </w:r>
      <w:r w:rsidR="00FA2AF1" w:rsidRPr="003253E5">
        <w:rPr>
          <w:rFonts w:ascii="Times New Roman" w:hAnsi="Times New Roman" w:cs="Times New Roman"/>
          <w:sz w:val="24"/>
          <w:szCs w:val="24"/>
          <w:lang w:val="en-GB"/>
        </w:rPr>
        <w:t xml:space="preserve">SARS knew that Tarlton was unlicensed and </w:t>
      </w:r>
      <w:r w:rsidR="00BA5DC9" w:rsidRPr="003253E5">
        <w:rPr>
          <w:rFonts w:ascii="Times New Roman" w:hAnsi="Times New Roman" w:cs="Times New Roman"/>
          <w:sz w:val="24"/>
          <w:szCs w:val="24"/>
          <w:lang w:val="en-GB"/>
        </w:rPr>
        <w:t>that the origin of fuel</w:t>
      </w:r>
      <w:r w:rsidR="00BE1D00" w:rsidRPr="003253E5">
        <w:rPr>
          <w:rFonts w:ascii="Times New Roman" w:hAnsi="Times New Roman" w:cs="Times New Roman"/>
          <w:sz w:val="24"/>
          <w:szCs w:val="24"/>
          <w:lang w:val="en-GB"/>
        </w:rPr>
        <w:t xml:space="preserve"> at Tarlton was not monitored and could, </w:t>
      </w:r>
      <w:r w:rsidR="00B53972" w:rsidRPr="003253E5">
        <w:rPr>
          <w:rFonts w:ascii="Times New Roman" w:hAnsi="Times New Roman" w:cs="Times New Roman"/>
          <w:sz w:val="24"/>
          <w:szCs w:val="24"/>
          <w:lang w:val="en-GB"/>
        </w:rPr>
        <w:t>(</w:t>
      </w:r>
      <w:r w:rsidR="00BE1D00" w:rsidRPr="003253E5">
        <w:rPr>
          <w:rFonts w:ascii="Times New Roman" w:hAnsi="Times New Roman" w:cs="Times New Roman"/>
          <w:sz w:val="24"/>
          <w:szCs w:val="24"/>
          <w:lang w:val="en-GB"/>
        </w:rPr>
        <w:t>hypothetically</w:t>
      </w:r>
      <w:r w:rsidR="00B53972" w:rsidRPr="003253E5">
        <w:rPr>
          <w:rFonts w:ascii="Times New Roman" w:hAnsi="Times New Roman" w:cs="Times New Roman"/>
          <w:sz w:val="24"/>
          <w:szCs w:val="24"/>
          <w:lang w:val="en-GB"/>
        </w:rPr>
        <w:t>)</w:t>
      </w:r>
      <w:r w:rsidR="00BE1D00" w:rsidRPr="003253E5">
        <w:rPr>
          <w:rFonts w:ascii="Times New Roman" w:hAnsi="Times New Roman" w:cs="Times New Roman"/>
          <w:sz w:val="24"/>
          <w:szCs w:val="24"/>
          <w:lang w:val="en-GB"/>
        </w:rPr>
        <w:t xml:space="preserve"> include </w:t>
      </w:r>
      <w:r w:rsidR="001B2FC2" w:rsidRPr="003253E5">
        <w:rPr>
          <w:rFonts w:ascii="Times New Roman" w:hAnsi="Times New Roman" w:cs="Times New Roman"/>
          <w:sz w:val="24"/>
          <w:szCs w:val="24"/>
          <w:lang w:val="en-GB"/>
        </w:rPr>
        <w:t>both imported and locally manufactured fuel.  G</w:t>
      </w:r>
      <w:r w:rsidR="000D57E2" w:rsidRPr="003253E5">
        <w:rPr>
          <w:rFonts w:ascii="Times New Roman" w:hAnsi="Times New Roman" w:cs="Times New Roman"/>
          <w:sz w:val="24"/>
          <w:szCs w:val="24"/>
          <w:lang w:val="en-GB"/>
        </w:rPr>
        <w:t>iven the importance of Tarlton for removals to Botswana,</w:t>
      </w:r>
      <w:r w:rsidR="008025BA" w:rsidRPr="008F5862">
        <w:rPr>
          <w:rStyle w:val="FootnoteReference"/>
          <w:rFonts w:ascii="Times New Roman" w:hAnsi="Times New Roman" w:cs="Times New Roman"/>
          <w:sz w:val="24"/>
          <w:szCs w:val="24"/>
          <w:lang w:val="en-GB"/>
        </w:rPr>
        <w:footnoteReference w:id="16"/>
      </w:r>
      <w:r w:rsidR="000D57E2" w:rsidRPr="003253E5">
        <w:rPr>
          <w:rFonts w:ascii="Times New Roman" w:hAnsi="Times New Roman" w:cs="Times New Roman"/>
          <w:sz w:val="24"/>
          <w:szCs w:val="24"/>
          <w:lang w:val="en-GB"/>
        </w:rPr>
        <w:t xml:space="preserve"> in particular, it is in</w:t>
      </w:r>
      <w:r w:rsidR="00AD0867" w:rsidRPr="003253E5">
        <w:rPr>
          <w:rFonts w:ascii="Times New Roman" w:hAnsi="Times New Roman" w:cs="Times New Roman"/>
          <w:sz w:val="24"/>
          <w:szCs w:val="24"/>
          <w:lang w:val="en-GB"/>
        </w:rPr>
        <w:t>conceivable that</w:t>
      </w:r>
      <w:r w:rsidR="00836D7A" w:rsidRPr="003253E5">
        <w:rPr>
          <w:rFonts w:ascii="Times New Roman" w:hAnsi="Times New Roman" w:cs="Times New Roman"/>
          <w:sz w:val="24"/>
          <w:szCs w:val="24"/>
          <w:lang w:val="en-GB"/>
        </w:rPr>
        <w:t xml:space="preserve">, unless there was a practice to the contrary, </w:t>
      </w:r>
      <w:r w:rsidR="00AD0867" w:rsidRPr="003253E5">
        <w:rPr>
          <w:rFonts w:ascii="Times New Roman" w:hAnsi="Times New Roman" w:cs="Times New Roman"/>
          <w:sz w:val="24"/>
          <w:szCs w:val="24"/>
          <w:lang w:val="en-GB"/>
        </w:rPr>
        <w:t xml:space="preserve">SARS would not </w:t>
      </w:r>
      <w:r w:rsidR="00FA2AF1" w:rsidRPr="003253E5">
        <w:rPr>
          <w:rFonts w:ascii="Times New Roman" w:hAnsi="Times New Roman" w:cs="Times New Roman"/>
          <w:sz w:val="24"/>
          <w:szCs w:val="24"/>
          <w:lang w:val="en-GB"/>
        </w:rPr>
        <w:t xml:space="preserve">raise the issue </w:t>
      </w:r>
      <w:r w:rsidR="00E8146E" w:rsidRPr="003253E5">
        <w:rPr>
          <w:rFonts w:ascii="Times New Roman" w:hAnsi="Times New Roman" w:cs="Times New Roman"/>
          <w:sz w:val="24"/>
          <w:szCs w:val="24"/>
          <w:lang w:val="en-GB"/>
        </w:rPr>
        <w:t xml:space="preserve">of disallowing set-offs </w:t>
      </w:r>
      <w:r w:rsidR="00836D7A" w:rsidRPr="003253E5">
        <w:rPr>
          <w:rFonts w:ascii="Times New Roman" w:hAnsi="Times New Roman" w:cs="Times New Roman"/>
          <w:sz w:val="24"/>
          <w:szCs w:val="24"/>
          <w:lang w:val="en-GB"/>
        </w:rPr>
        <w:t xml:space="preserve">in respect of an unlicensed facility </w:t>
      </w:r>
      <w:r w:rsidR="00FA2AF1" w:rsidRPr="003253E5">
        <w:rPr>
          <w:rFonts w:ascii="Times New Roman" w:hAnsi="Times New Roman" w:cs="Times New Roman"/>
          <w:sz w:val="24"/>
          <w:szCs w:val="24"/>
          <w:lang w:val="en-GB"/>
        </w:rPr>
        <w:t xml:space="preserve">in the many audits described by </w:t>
      </w:r>
      <w:r w:rsidR="00B53972" w:rsidRPr="003253E5">
        <w:rPr>
          <w:rFonts w:ascii="Times New Roman" w:hAnsi="Times New Roman" w:cs="Times New Roman"/>
          <w:sz w:val="24"/>
          <w:szCs w:val="24"/>
          <w:lang w:val="en-GB"/>
        </w:rPr>
        <w:t>Mr </w:t>
      </w:r>
      <w:r w:rsidR="00FA2AF1" w:rsidRPr="003253E5">
        <w:rPr>
          <w:rFonts w:ascii="Times New Roman" w:hAnsi="Times New Roman" w:cs="Times New Roman"/>
          <w:sz w:val="24"/>
          <w:szCs w:val="24"/>
          <w:lang w:val="en-GB"/>
        </w:rPr>
        <w:t>Gopalan</w:t>
      </w:r>
      <w:r w:rsidR="00E8146E" w:rsidRPr="003253E5">
        <w:rPr>
          <w:rFonts w:ascii="Times New Roman" w:hAnsi="Times New Roman" w:cs="Times New Roman"/>
          <w:sz w:val="24"/>
          <w:szCs w:val="24"/>
          <w:lang w:val="en-GB"/>
        </w:rPr>
        <w:t>.</w:t>
      </w:r>
    </w:p>
    <w:p w14:paraId="310B302A" w14:textId="5AD77F85" w:rsidR="008230EC"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68.4.</w:t>
      </w:r>
      <w:r w:rsidRPr="008F5862">
        <w:rPr>
          <w:rFonts w:ascii="Times New Roman" w:hAnsi="Times New Roman" w:cs="Times New Roman"/>
          <w:sz w:val="24"/>
          <w:szCs w:val="24"/>
          <w:lang w:val="en-GB"/>
        </w:rPr>
        <w:tab/>
      </w:r>
      <w:r w:rsidR="008230EC" w:rsidRPr="003253E5">
        <w:rPr>
          <w:rFonts w:ascii="Times New Roman" w:hAnsi="Times New Roman" w:cs="Times New Roman"/>
          <w:sz w:val="24"/>
          <w:szCs w:val="24"/>
          <w:lang w:val="en-GB"/>
        </w:rPr>
        <w:t>Then there is also the business plan of PetroSA which recorded the use of Tarlton</w:t>
      </w:r>
      <w:r w:rsidR="00B53972" w:rsidRPr="003253E5">
        <w:rPr>
          <w:rFonts w:ascii="Times New Roman" w:hAnsi="Times New Roman" w:cs="Times New Roman"/>
          <w:sz w:val="24"/>
          <w:szCs w:val="24"/>
          <w:lang w:val="en-GB"/>
        </w:rPr>
        <w:t xml:space="preserve">. </w:t>
      </w:r>
      <w:r w:rsidR="008230EC" w:rsidRPr="003253E5">
        <w:rPr>
          <w:rFonts w:ascii="Times New Roman" w:hAnsi="Times New Roman" w:cs="Times New Roman"/>
          <w:sz w:val="24"/>
          <w:szCs w:val="24"/>
          <w:lang w:val="en-GB"/>
        </w:rPr>
        <w:t xml:space="preserve"> </w:t>
      </w:r>
      <w:r w:rsidR="00B53972" w:rsidRPr="003253E5">
        <w:rPr>
          <w:rFonts w:ascii="Times New Roman" w:hAnsi="Times New Roman" w:cs="Times New Roman"/>
          <w:sz w:val="24"/>
          <w:szCs w:val="24"/>
          <w:lang w:val="en-GB"/>
        </w:rPr>
        <w:t xml:space="preserve">Again </w:t>
      </w:r>
      <w:r w:rsidR="008230EC" w:rsidRPr="003253E5">
        <w:rPr>
          <w:rFonts w:ascii="Times New Roman" w:hAnsi="Times New Roman" w:cs="Times New Roman"/>
          <w:sz w:val="24"/>
          <w:szCs w:val="24"/>
          <w:lang w:val="en-GB"/>
        </w:rPr>
        <w:t xml:space="preserve">the </w:t>
      </w:r>
      <w:r w:rsidR="00B53972" w:rsidRPr="003253E5">
        <w:rPr>
          <w:rFonts w:ascii="Times New Roman" w:hAnsi="Times New Roman" w:cs="Times New Roman"/>
          <w:sz w:val="24"/>
          <w:szCs w:val="24"/>
          <w:lang w:val="en-GB"/>
        </w:rPr>
        <w:t>fact</w:t>
      </w:r>
      <w:r w:rsidR="008230EC" w:rsidRPr="003253E5">
        <w:rPr>
          <w:rFonts w:ascii="Times New Roman" w:hAnsi="Times New Roman" w:cs="Times New Roman"/>
          <w:sz w:val="24"/>
          <w:szCs w:val="24"/>
          <w:lang w:val="en-GB"/>
        </w:rPr>
        <w:t xml:space="preserve"> that it was unlicenced was not raised by SARS.  </w:t>
      </w:r>
    </w:p>
    <w:p w14:paraId="72570175" w14:textId="4B9364D7" w:rsidR="00225908"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[69]</w:t>
      </w:r>
      <w:r w:rsidRPr="008F5862">
        <w:rPr>
          <w:rFonts w:ascii="Times New Roman" w:hAnsi="Times New Roman" w:cs="Times New Roman"/>
          <w:sz w:val="24"/>
          <w:szCs w:val="24"/>
          <w:lang w:val="en-GB"/>
        </w:rPr>
        <w:tab/>
      </w:r>
      <w:r w:rsidR="008728FF" w:rsidRPr="003253E5">
        <w:rPr>
          <w:rFonts w:ascii="Times New Roman" w:hAnsi="Times New Roman" w:cs="Times New Roman"/>
          <w:sz w:val="24"/>
          <w:szCs w:val="24"/>
          <w:lang w:val="en-GB"/>
        </w:rPr>
        <w:t>In my view it is not necessary to grant the declaratory relief in terms of the Superior Courts</w:t>
      </w:r>
      <w:r w:rsidR="00DB3E2A" w:rsidRPr="003253E5">
        <w:rPr>
          <w:rFonts w:ascii="Times New Roman" w:hAnsi="Times New Roman" w:cs="Times New Roman"/>
          <w:sz w:val="24"/>
          <w:szCs w:val="24"/>
          <w:lang w:val="en-GB"/>
        </w:rPr>
        <w:t>’</w:t>
      </w:r>
      <w:r w:rsidR="008728FF" w:rsidRPr="003253E5">
        <w:rPr>
          <w:rFonts w:ascii="Times New Roman" w:hAnsi="Times New Roman" w:cs="Times New Roman"/>
          <w:sz w:val="24"/>
          <w:szCs w:val="24"/>
          <w:lang w:val="en-GB"/>
        </w:rPr>
        <w:t xml:space="preserve"> Act</w:t>
      </w:r>
      <w:r w:rsidR="001C5BA9" w:rsidRPr="003253E5">
        <w:rPr>
          <w:rFonts w:ascii="Times New Roman" w:hAnsi="Times New Roman" w:cs="Times New Roman"/>
          <w:sz w:val="24"/>
          <w:szCs w:val="24"/>
          <w:lang w:val="en-GB"/>
        </w:rPr>
        <w:t xml:space="preserve"> in respect of the practice generally prevailing</w:t>
      </w:r>
      <w:r w:rsidR="008728FF" w:rsidRPr="003253E5">
        <w:rPr>
          <w:rFonts w:ascii="Times New Roman" w:hAnsi="Times New Roman" w:cs="Times New Roman"/>
          <w:sz w:val="24"/>
          <w:szCs w:val="24"/>
          <w:lang w:val="en-GB"/>
        </w:rPr>
        <w:t xml:space="preserve">. </w:t>
      </w:r>
      <w:r w:rsidR="00225908" w:rsidRPr="003253E5">
        <w:rPr>
          <w:rFonts w:ascii="Times New Roman" w:hAnsi="Times New Roman" w:cs="Times New Roman"/>
          <w:sz w:val="24"/>
          <w:szCs w:val="24"/>
          <w:lang w:val="en-GB"/>
        </w:rPr>
        <w:t xml:space="preserve"> In my view it suffices to uphold the appeal</w:t>
      </w:r>
      <w:r w:rsidR="00E93DC0" w:rsidRPr="003253E5">
        <w:rPr>
          <w:rFonts w:ascii="Times New Roman" w:hAnsi="Times New Roman" w:cs="Times New Roman"/>
          <w:sz w:val="24"/>
          <w:szCs w:val="24"/>
          <w:lang w:val="en-GB"/>
        </w:rPr>
        <w:t xml:space="preserve"> </w:t>
      </w:r>
      <w:r w:rsidR="00754E82" w:rsidRPr="003253E5">
        <w:rPr>
          <w:rFonts w:ascii="Times New Roman" w:hAnsi="Times New Roman" w:cs="Times New Roman"/>
          <w:sz w:val="24"/>
          <w:szCs w:val="24"/>
          <w:lang w:val="en-GB"/>
        </w:rPr>
        <w:t xml:space="preserve">and to set aside the determination in the letter of demand </w:t>
      </w:r>
      <w:r w:rsidR="00E93DC0" w:rsidRPr="003253E5">
        <w:rPr>
          <w:rFonts w:ascii="Times New Roman" w:hAnsi="Times New Roman" w:cs="Times New Roman"/>
          <w:sz w:val="24"/>
          <w:szCs w:val="24"/>
          <w:lang w:val="en-GB"/>
        </w:rPr>
        <w:t xml:space="preserve">on the basis there is no liability </w:t>
      </w:r>
      <w:r w:rsidR="00754E82" w:rsidRPr="003253E5">
        <w:rPr>
          <w:rFonts w:ascii="Times New Roman" w:hAnsi="Times New Roman" w:cs="Times New Roman"/>
          <w:sz w:val="24"/>
          <w:szCs w:val="24"/>
          <w:lang w:val="en-GB"/>
        </w:rPr>
        <w:t>in terms of s44(11A) of the Act</w:t>
      </w:r>
      <w:r w:rsidR="00897707" w:rsidRPr="003253E5">
        <w:rPr>
          <w:rFonts w:ascii="Times New Roman" w:hAnsi="Times New Roman" w:cs="Times New Roman"/>
          <w:sz w:val="24"/>
          <w:szCs w:val="24"/>
          <w:lang w:val="en-GB"/>
        </w:rPr>
        <w:t xml:space="preserve"> as d</w:t>
      </w:r>
      <w:r w:rsidR="00E93DC0" w:rsidRPr="003253E5">
        <w:rPr>
          <w:rFonts w:ascii="Times New Roman" w:hAnsi="Times New Roman" w:cs="Times New Roman"/>
          <w:sz w:val="24"/>
          <w:szCs w:val="24"/>
          <w:lang w:val="en-GB"/>
        </w:rPr>
        <w:t>uring the audit period set-offs (refunds) were allowed</w:t>
      </w:r>
      <w:r w:rsidR="00B94858" w:rsidRPr="003253E5">
        <w:rPr>
          <w:rFonts w:ascii="Times New Roman" w:hAnsi="Times New Roman" w:cs="Times New Roman"/>
          <w:sz w:val="24"/>
          <w:szCs w:val="24"/>
          <w:lang w:val="en-GB"/>
        </w:rPr>
        <w:t xml:space="preserve"> in terms of the practice</w:t>
      </w:r>
      <w:r w:rsidR="00E93DC0" w:rsidRPr="003253E5">
        <w:rPr>
          <w:rFonts w:ascii="Times New Roman" w:hAnsi="Times New Roman" w:cs="Times New Roman"/>
          <w:sz w:val="24"/>
          <w:szCs w:val="24"/>
          <w:lang w:val="en-GB"/>
        </w:rPr>
        <w:t xml:space="preserve"> in respect of fuel levy goods removed or exported to African countries from unlicensed facilities, provided that fuel levy goods were duty paid stock</w:t>
      </w:r>
      <w:r w:rsidR="00E93DC0" w:rsidRPr="003253E5">
        <w:rPr>
          <w:rFonts w:ascii="Times New Roman" w:hAnsi="Times New Roman" w:cs="Times New Roman"/>
          <w:i/>
          <w:iCs/>
          <w:sz w:val="24"/>
          <w:szCs w:val="24"/>
          <w:lang w:val="en-GB"/>
        </w:rPr>
        <w:t>.</w:t>
      </w:r>
    </w:p>
    <w:p w14:paraId="44639665" w14:textId="44A12808" w:rsidR="00066424" w:rsidRPr="008F5862" w:rsidRDefault="00066424" w:rsidP="004F7C26">
      <w:pPr>
        <w:pStyle w:val="Heading1"/>
        <w:rPr>
          <w:lang w:val="en-GB"/>
        </w:rPr>
      </w:pPr>
      <w:r w:rsidRPr="008F5862">
        <w:rPr>
          <w:lang w:val="en-GB"/>
        </w:rPr>
        <w:t xml:space="preserve">Other grounds on which </w:t>
      </w:r>
      <w:r w:rsidR="005745E5" w:rsidRPr="008F5862">
        <w:rPr>
          <w:lang w:val="en-GB"/>
        </w:rPr>
        <w:t>Finding 3</w:t>
      </w:r>
      <w:r w:rsidRPr="008F5862">
        <w:rPr>
          <w:lang w:val="en-GB"/>
        </w:rPr>
        <w:t xml:space="preserve"> is challenged</w:t>
      </w:r>
    </w:p>
    <w:p w14:paraId="58CAAB1E" w14:textId="5067D0A2" w:rsidR="00FD6ACC"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[70]</w:t>
      </w:r>
      <w:r w:rsidRPr="008F5862">
        <w:rPr>
          <w:rFonts w:ascii="Times New Roman" w:hAnsi="Times New Roman" w:cs="Times New Roman"/>
          <w:sz w:val="24"/>
          <w:szCs w:val="24"/>
          <w:lang w:val="en-GB"/>
        </w:rPr>
        <w:tab/>
      </w:r>
      <w:r w:rsidR="00BB28C8" w:rsidRPr="003253E5">
        <w:rPr>
          <w:rFonts w:ascii="Times New Roman" w:hAnsi="Times New Roman" w:cs="Times New Roman"/>
          <w:sz w:val="24"/>
          <w:szCs w:val="24"/>
          <w:lang w:val="en-GB"/>
        </w:rPr>
        <w:t xml:space="preserve">My conclusion regarding the </w:t>
      </w:r>
      <w:r w:rsidR="008D60D5" w:rsidRPr="003253E5">
        <w:rPr>
          <w:rFonts w:ascii="Times New Roman" w:hAnsi="Times New Roman" w:cs="Times New Roman"/>
          <w:sz w:val="24"/>
          <w:szCs w:val="24"/>
          <w:lang w:val="en-GB"/>
        </w:rPr>
        <w:t>practice generally prevailing renders it unnecessary to decide</w:t>
      </w:r>
      <w:r w:rsidR="004764A9" w:rsidRPr="003253E5">
        <w:rPr>
          <w:rFonts w:ascii="Times New Roman" w:hAnsi="Times New Roman" w:cs="Times New Roman"/>
          <w:sz w:val="24"/>
          <w:szCs w:val="24"/>
          <w:lang w:val="en-GB"/>
        </w:rPr>
        <w:t>:</w:t>
      </w:r>
    </w:p>
    <w:p w14:paraId="03CA73B9" w14:textId="001EE8A0" w:rsidR="008D1407"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70.1.</w:t>
      </w:r>
      <w:r w:rsidRPr="008F5862">
        <w:rPr>
          <w:rFonts w:ascii="Times New Roman" w:hAnsi="Times New Roman" w:cs="Times New Roman"/>
          <w:sz w:val="24"/>
          <w:szCs w:val="24"/>
          <w:lang w:val="en-GB"/>
        </w:rPr>
        <w:tab/>
      </w:r>
      <w:r w:rsidR="004764A9" w:rsidRPr="003253E5">
        <w:rPr>
          <w:rFonts w:ascii="Times New Roman" w:hAnsi="Times New Roman" w:cs="Times New Roman"/>
          <w:sz w:val="24"/>
          <w:szCs w:val="24"/>
          <w:lang w:val="en-GB"/>
        </w:rPr>
        <w:t xml:space="preserve">The dispute about the interpretation of the </w:t>
      </w:r>
      <w:r w:rsidR="006213CC" w:rsidRPr="003253E5">
        <w:rPr>
          <w:rFonts w:ascii="Times New Roman" w:hAnsi="Times New Roman" w:cs="Times New Roman"/>
          <w:sz w:val="24"/>
          <w:szCs w:val="24"/>
          <w:lang w:val="en-GB"/>
        </w:rPr>
        <w:t>Rule</w:t>
      </w:r>
      <w:r w:rsidR="008F5862" w:rsidRPr="003253E5">
        <w:rPr>
          <w:rFonts w:ascii="Times New Roman" w:hAnsi="Times New Roman" w:cs="Times New Roman"/>
          <w:sz w:val="24"/>
          <w:szCs w:val="24"/>
          <w:lang w:val="en-GB"/>
        </w:rPr>
        <w:t> </w:t>
      </w:r>
      <w:r w:rsidR="006213CC" w:rsidRPr="003253E5">
        <w:rPr>
          <w:rFonts w:ascii="Times New Roman" w:hAnsi="Times New Roman" w:cs="Times New Roman"/>
          <w:sz w:val="24"/>
          <w:szCs w:val="24"/>
          <w:lang w:val="en-GB"/>
        </w:rPr>
        <w:t>19A4.04(a)(ii)</w:t>
      </w:r>
      <w:r w:rsidR="004764A9" w:rsidRPr="003253E5">
        <w:rPr>
          <w:rFonts w:ascii="Times New Roman" w:hAnsi="Times New Roman" w:cs="Times New Roman"/>
          <w:sz w:val="24"/>
          <w:szCs w:val="24"/>
          <w:lang w:val="en-GB"/>
        </w:rPr>
        <w:t xml:space="preserve">. </w:t>
      </w:r>
    </w:p>
    <w:p w14:paraId="08C63436" w14:textId="10047D95" w:rsidR="008D1407"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70.2.</w:t>
      </w:r>
      <w:r w:rsidRPr="008F5862">
        <w:rPr>
          <w:rFonts w:ascii="Times New Roman" w:hAnsi="Times New Roman" w:cs="Times New Roman"/>
          <w:sz w:val="24"/>
          <w:szCs w:val="24"/>
          <w:lang w:val="en-GB"/>
        </w:rPr>
        <w:tab/>
      </w:r>
      <w:r w:rsidR="004764A9" w:rsidRPr="003253E5">
        <w:rPr>
          <w:rFonts w:ascii="Times New Roman" w:hAnsi="Times New Roman" w:cs="Times New Roman"/>
          <w:sz w:val="24"/>
          <w:szCs w:val="24"/>
          <w:lang w:val="en-GB"/>
        </w:rPr>
        <w:t xml:space="preserve">Whether </w:t>
      </w:r>
      <w:r w:rsidR="008D1407" w:rsidRPr="003253E5">
        <w:rPr>
          <w:rFonts w:ascii="Times New Roman" w:hAnsi="Times New Roman" w:cs="Times New Roman"/>
          <w:sz w:val="24"/>
          <w:szCs w:val="24"/>
          <w:lang w:val="en-GB"/>
        </w:rPr>
        <w:t>SARS issued a determination in a letter dated 6</w:t>
      </w:r>
      <w:r w:rsidR="00F7161B" w:rsidRPr="003253E5">
        <w:rPr>
          <w:rFonts w:ascii="Times New Roman" w:hAnsi="Times New Roman" w:cs="Times New Roman"/>
          <w:sz w:val="24"/>
          <w:szCs w:val="24"/>
          <w:lang w:val="en-GB"/>
        </w:rPr>
        <w:t> </w:t>
      </w:r>
      <w:r w:rsidR="008D1407" w:rsidRPr="003253E5">
        <w:rPr>
          <w:rFonts w:ascii="Times New Roman" w:hAnsi="Times New Roman" w:cs="Times New Roman"/>
          <w:sz w:val="24"/>
          <w:szCs w:val="24"/>
          <w:lang w:val="en-GB"/>
        </w:rPr>
        <w:t>August</w:t>
      </w:r>
      <w:r w:rsidR="00F7161B" w:rsidRPr="003253E5">
        <w:rPr>
          <w:rFonts w:ascii="Times New Roman" w:hAnsi="Times New Roman" w:cs="Times New Roman"/>
          <w:sz w:val="24"/>
          <w:szCs w:val="24"/>
          <w:lang w:val="en-GB"/>
        </w:rPr>
        <w:t> </w:t>
      </w:r>
      <w:r w:rsidR="008D1407" w:rsidRPr="003253E5">
        <w:rPr>
          <w:rFonts w:ascii="Times New Roman" w:hAnsi="Times New Roman" w:cs="Times New Roman"/>
          <w:sz w:val="24"/>
          <w:szCs w:val="24"/>
          <w:lang w:val="en-GB"/>
        </w:rPr>
        <w:t>2013</w:t>
      </w:r>
      <w:r w:rsidR="000F6881" w:rsidRPr="003253E5">
        <w:rPr>
          <w:rFonts w:ascii="Times New Roman" w:hAnsi="Times New Roman" w:cs="Times New Roman"/>
          <w:sz w:val="24"/>
          <w:szCs w:val="24"/>
          <w:lang w:val="en-GB"/>
        </w:rPr>
        <w:t>,</w:t>
      </w:r>
      <w:r w:rsidR="00310C33" w:rsidRPr="003253E5">
        <w:rPr>
          <w:rFonts w:ascii="Times New Roman" w:hAnsi="Times New Roman" w:cs="Times New Roman"/>
          <w:sz w:val="24"/>
          <w:szCs w:val="24"/>
          <w:lang w:val="en-GB"/>
        </w:rPr>
        <w:t xml:space="preserve"> approving PetroSA’s </w:t>
      </w:r>
      <w:r w:rsidR="00310C33" w:rsidRPr="003253E5">
        <w:rPr>
          <w:rFonts w:ascii="Times New Roman" w:hAnsi="Times New Roman" w:cs="Times New Roman"/>
          <w:i/>
          <w:iCs/>
          <w:sz w:val="24"/>
          <w:szCs w:val="24"/>
          <w:lang w:val="en-GB"/>
        </w:rPr>
        <w:t>modus operandi</w:t>
      </w:r>
      <w:r w:rsidR="000F6881" w:rsidRPr="003253E5">
        <w:rPr>
          <w:rFonts w:ascii="Times New Roman" w:hAnsi="Times New Roman" w:cs="Times New Roman"/>
          <w:sz w:val="24"/>
          <w:szCs w:val="24"/>
          <w:lang w:val="en-GB"/>
        </w:rPr>
        <w:t xml:space="preserve"> which </w:t>
      </w:r>
      <w:r w:rsidR="008D1407" w:rsidRPr="003253E5">
        <w:rPr>
          <w:rFonts w:ascii="Times New Roman" w:hAnsi="Times New Roman" w:cs="Times New Roman"/>
          <w:sz w:val="24"/>
          <w:szCs w:val="24"/>
          <w:lang w:val="en-GB"/>
        </w:rPr>
        <w:t xml:space="preserve">PetroSA </w:t>
      </w:r>
      <w:r w:rsidR="000F6881" w:rsidRPr="003253E5">
        <w:rPr>
          <w:rFonts w:ascii="Times New Roman" w:hAnsi="Times New Roman" w:cs="Times New Roman"/>
          <w:sz w:val="24"/>
          <w:szCs w:val="24"/>
          <w:lang w:val="en-GB"/>
        </w:rPr>
        <w:t xml:space="preserve">(allegedly) </w:t>
      </w:r>
      <w:r w:rsidR="008D1407" w:rsidRPr="003253E5">
        <w:rPr>
          <w:rFonts w:ascii="Times New Roman" w:hAnsi="Times New Roman" w:cs="Times New Roman"/>
          <w:sz w:val="24"/>
          <w:szCs w:val="24"/>
          <w:lang w:val="en-GB"/>
        </w:rPr>
        <w:t>complied with.</w:t>
      </w:r>
    </w:p>
    <w:p w14:paraId="0C193984" w14:textId="20BFB2B7" w:rsidR="008D1407"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70.3.</w:t>
      </w:r>
      <w:r w:rsidRPr="008F5862">
        <w:rPr>
          <w:rFonts w:ascii="Times New Roman" w:hAnsi="Times New Roman" w:cs="Times New Roman"/>
          <w:sz w:val="24"/>
          <w:szCs w:val="24"/>
          <w:lang w:val="en-GB"/>
        </w:rPr>
        <w:tab/>
      </w:r>
      <w:r w:rsidR="000F6881" w:rsidRPr="003253E5">
        <w:rPr>
          <w:rFonts w:ascii="Times New Roman" w:hAnsi="Times New Roman" w:cs="Times New Roman"/>
          <w:sz w:val="24"/>
          <w:szCs w:val="24"/>
          <w:lang w:val="en-GB"/>
        </w:rPr>
        <w:t>Whether</w:t>
      </w:r>
      <w:r w:rsidR="006213CC" w:rsidRPr="003253E5">
        <w:rPr>
          <w:rFonts w:ascii="Times New Roman" w:hAnsi="Times New Roman" w:cs="Times New Roman"/>
          <w:sz w:val="24"/>
          <w:szCs w:val="24"/>
          <w:lang w:val="en-GB"/>
        </w:rPr>
        <w:t xml:space="preserve"> the determination and/or</w:t>
      </w:r>
      <w:r w:rsidR="000F6881" w:rsidRPr="003253E5">
        <w:rPr>
          <w:rFonts w:ascii="Times New Roman" w:hAnsi="Times New Roman" w:cs="Times New Roman"/>
          <w:sz w:val="24"/>
          <w:szCs w:val="24"/>
          <w:lang w:val="en-GB"/>
        </w:rPr>
        <w:t xml:space="preserve"> </w:t>
      </w:r>
      <w:r w:rsidR="006213CC" w:rsidRPr="003253E5">
        <w:rPr>
          <w:rFonts w:ascii="Times New Roman" w:hAnsi="Times New Roman" w:cs="Times New Roman"/>
          <w:sz w:val="24"/>
          <w:szCs w:val="24"/>
          <w:lang w:val="en-GB"/>
        </w:rPr>
        <w:t>Rule 19A4.04(a)(ii)</w:t>
      </w:r>
      <w:r w:rsidR="008D1407" w:rsidRPr="003253E5">
        <w:rPr>
          <w:rFonts w:ascii="Times New Roman" w:hAnsi="Times New Roman" w:cs="Times New Roman"/>
          <w:sz w:val="24"/>
          <w:szCs w:val="24"/>
          <w:lang w:val="en-GB"/>
        </w:rPr>
        <w:t xml:space="preserve"> read with s75(1)(d)</w:t>
      </w:r>
      <w:r w:rsidR="00DE0709" w:rsidRPr="003253E5">
        <w:rPr>
          <w:rFonts w:ascii="Times New Roman" w:hAnsi="Times New Roman" w:cs="Times New Roman"/>
          <w:sz w:val="24"/>
          <w:szCs w:val="24"/>
          <w:lang w:val="en-GB"/>
        </w:rPr>
        <w:t xml:space="preserve"> of the Act</w:t>
      </w:r>
      <w:r w:rsidR="008D1407" w:rsidRPr="003253E5">
        <w:rPr>
          <w:rFonts w:ascii="Times New Roman" w:hAnsi="Times New Roman" w:cs="Times New Roman"/>
          <w:sz w:val="24"/>
          <w:szCs w:val="24"/>
          <w:lang w:val="en-GB"/>
        </w:rPr>
        <w:t xml:space="preserve"> and the relevant rebate items and notes thereto are irrational, to the extent that it provides that refunds may not be set-off when fuel is removed from an unlicensed facility.</w:t>
      </w:r>
    </w:p>
    <w:p w14:paraId="2916D98E" w14:textId="16B764F7" w:rsidR="008D1407"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[71]</w:t>
      </w:r>
      <w:r w:rsidRPr="008F5862">
        <w:rPr>
          <w:rFonts w:ascii="Times New Roman" w:hAnsi="Times New Roman" w:cs="Times New Roman"/>
          <w:sz w:val="24"/>
          <w:szCs w:val="24"/>
          <w:lang w:val="en-GB"/>
        </w:rPr>
        <w:tab/>
      </w:r>
      <w:r w:rsidR="005C02C1" w:rsidRPr="003253E5">
        <w:rPr>
          <w:rFonts w:ascii="Times New Roman" w:hAnsi="Times New Roman" w:cs="Times New Roman"/>
          <w:sz w:val="24"/>
          <w:szCs w:val="24"/>
          <w:lang w:val="en-GB"/>
        </w:rPr>
        <w:t xml:space="preserve">I should say that the interpretation of the </w:t>
      </w:r>
      <w:r w:rsidR="006213CC" w:rsidRPr="003253E5">
        <w:rPr>
          <w:rFonts w:ascii="Times New Roman" w:hAnsi="Times New Roman" w:cs="Times New Roman"/>
          <w:sz w:val="24"/>
          <w:szCs w:val="24"/>
          <w:lang w:val="en-GB"/>
        </w:rPr>
        <w:t>Rule</w:t>
      </w:r>
      <w:r w:rsidR="00DE0709" w:rsidRPr="003253E5">
        <w:rPr>
          <w:rFonts w:ascii="Times New Roman" w:hAnsi="Times New Roman" w:cs="Times New Roman"/>
          <w:sz w:val="24"/>
          <w:szCs w:val="24"/>
          <w:lang w:val="en-GB"/>
        </w:rPr>
        <w:t> </w:t>
      </w:r>
      <w:r w:rsidR="006213CC" w:rsidRPr="003253E5">
        <w:rPr>
          <w:rFonts w:ascii="Times New Roman" w:hAnsi="Times New Roman" w:cs="Times New Roman"/>
          <w:sz w:val="24"/>
          <w:szCs w:val="24"/>
          <w:lang w:val="en-GB"/>
        </w:rPr>
        <w:t>19A4.04(a)(ii)</w:t>
      </w:r>
      <w:r w:rsidR="005C02C1" w:rsidRPr="003253E5">
        <w:rPr>
          <w:rFonts w:ascii="Times New Roman" w:hAnsi="Times New Roman" w:cs="Times New Roman"/>
          <w:sz w:val="24"/>
          <w:szCs w:val="24"/>
          <w:lang w:val="en-GB"/>
        </w:rPr>
        <w:t xml:space="preserve"> </w:t>
      </w:r>
      <w:r w:rsidR="00DE0709" w:rsidRPr="003253E5">
        <w:rPr>
          <w:rFonts w:ascii="Times New Roman" w:hAnsi="Times New Roman" w:cs="Times New Roman"/>
          <w:sz w:val="24"/>
          <w:szCs w:val="24"/>
          <w:lang w:val="en-GB"/>
        </w:rPr>
        <w:t>c</w:t>
      </w:r>
      <w:r w:rsidR="005C02C1" w:rsidRPr="003253E5">
        <w:rPr>
          <w:rFonts w:ascii="Times New Roman" w:hAnsi="Times New Roman" w:cs="Times New Roman"/>
          <w:sz w:val="24"/>
          <w:szCs w:val="24"/>
          <w:lang w:val="en-GB"/>
        </w:rPr>
        <w:t xml:space="preserve">ould have </w:t>
      </w:r>
      <w:r w:rsidR="00B56BBD" w:rsidRPr="003253E5">
        <w:rPr>
          <w:rFonts w:ascii="Times New Roman" w:hAnsi="Times New Roman" w:cs="Times New Roman"/>
          <w:sz w:val="24"/>
          <w:szCs w:val="24"/>
          <w:lang w:val="en-GB"/>
        </w:rPr>
        <w:t xml:space="preserve">far-reaching implications and given that it was common cause at the hearing that Tarlton had </w:t>
      </w:r>
      <w:r w:rsidR="00C00930" w:rsidRPr="003253E5">
        <w:rPr>
          <w:rFonts w:ascii="Times New Roman" w:hAnsi="Times New Roman" w:cs="Times New Roman"/>
          <w:sz w:val="24"/>
          <w:szCs w:val="24"/>
          <w:lang w:val="en-GB"/>
        </w:rPr>
        <w:t xml:space="preserve">recently </w:t>
      </w:r>
      <w:r w:rsidR="00B56BBD" w:rsidRPr="003253E5">
        <w:rPr>
          <w:rFonts w:ascii="Times New Roman" w:hAnsi="Times New Roman" w:cs="Times New Roman"/>
          <w:sz w:val="24"/>
          <w:szCs w:val="24"/>
          <w:lang w:val="en-GB"/>
        </w:rPr>
        <w:t xml:space="preserve">been </w:t>
      </w:r>
      <w:r w:rsidR="00C00930" w:rsidRPr="003253E5">
        <w:rPr>
          <w:rFonts w:ascii="Times New Roman" w:hAnsi="Times New Roman" w:cs="Times New Roman"/>
          <w:sz w:val="24"/>
          <w:szCs w:val="24"/>
          <w:lang w:val="en-GB"/>
        </w:rPr>
        <w:t>licenced</w:t>
      </w:r>
      <w:r w:rsidR="00A7128D" w:rsidRPr="003253E5">
        <w:rPr>
          <w:rFonts w:ascii="Times New Roman" w:hAnsi="Times New Roman" w:cs="Times New Roman"/>
          <w:sz w:val="24"/>
          <w:szCs w:val="24"/>
          <w:lang w:val="en-GB"/>
        </w:rPr>
        <w:t xml:space="preserve"> again</w:t>
      </w:r>
      <w:r w:rsidR="00C00930" w:rsidRPr="003253E5">
        <w:rPr>
          <w:rFonts w:ascii="Times New Roman" w:hAnsi="Times New Roman" w:cs="Times New Roman"/>
          <w:sz w:val="24"/>
          <w:szCs w:val="24"/>
          <w:lang w:val="en-GB"/>
        </w:rPr>
        <w:t xml:space="preserve"> as an SOS, </w:t>
      </w:r>
      <w:r w:rsidR="000A2350" w:rsidRPr="003253E5">
        <w:rPr>
          <w:rFonts w:ascii="Times New Roman" w:hAnsi="Times New Roman" w:cs="Times New Roman"/>
          <w:sz w:val="24"/>
          <w:szCs w:val="24"/>
          <w:lang w:val="en-GB"/>
        </w:rPr>
        <w:t xml:space="preserve">the issue may </w:t>
      </w:r>
      <w:r w:rsidR="005A2C72" w:rsidRPr="003253E5">
        <w:rPr>
          <w:rFonts w:ascii="Times New Roman" w:hAnsi="Times New Roman" w:cs="Times New Roman"/>
          <w:sz w:val="24"/>
          <w:szCs w:val="24"/>
          <w:lang w:val="en-GB"/>
        </w:rPr>
        <w:t xml:space="preserve">not arise again.  </w:t>
      </w:r>
      <w:r w:rsidR="00C00930" w:rsidRPr="003253E5">
        <w:rPr>
          <w:rFonts w:ascii="Times New Roman" w:hAnsi="Times New Roman" w:cs="Times New Roman"/>
          <w:sz w:val="24"/>
          <w:szCs w:val="24"/>
          <w:lang w:val="en-GB"/>
        </w:rPr>
        <w:t xml:space="preserve">That is another reason for not engaging with </w:t>
      </w:r>
      <w:r w:rsidR="00A7128D" w:rsidRPr="003253E5">
        <w:rPr>
          <w:rFonts w:ascii="Times New Roman" w:hAnsi="Times New Roman" w:cs="Times New Roman"/>
          <w:sz w:val="24"/>
          <w:szCs w:val="24"/>
          <w:lang w:val="en-GB"/>
        </w:rPr>
        <w:t>this fundamental issue</w:t>
      </w:r>
      <w:r w:rsidR="005A2C72" w:rsidRPr="003253E5">
        <w:rPr>
          <w:rFonts w:ascii="Times New Roman" w:hAnsi="Times New Roman" w:cs="Times New Roman"/>
          <w:sz w:val="24"/>
          <w:szCs w:val="24"/>
          <w:lang w:val="en-GB"/>
        </w:rPr>
        <w:t xml:space="preserve">. </w:t>
      </w:r>
    </w:p>
    <w:p w14:paraId="1CA4ED95" w14:textId="4595DE04" w:rsidR="00B56BBD" w:rsidRPr="008F5862" w:rsidRDefault="00B56BBD" w:rsidP="004F7C26">
      <w:pPr>
        <w:pStyle w:val="Heading1"/>
        <w:rPr>
          <w:lang w:val="en-GB"/>
        </w:rPr>
      </w:pPr>
      <w:r w:rsidRPr="008F5862">
        <w:rPr>
          <w:lang w:val="en-GB"/>
        </w:rPr>
        <w:t>Orders</w:t>
      </w:r>
    </w:p>
    <w:p w14:paraId="0E8E7EC6" w14:textId="21C2ED4F" w:rsidR="00676AE3" w:rsidRPr="003253E5" w:rsidRDefault="003253E5" w:rsidP="003253E5">
      <w:pPr>
        <w:spacing w:after="360" w:line="480" w:lineRule="auto"/>
        <w:ind w:left="709" w:hanging="709"/>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[72]</w:t>
      </w:r>
      <w:r w:rsidRPr="008F5862">
        <w:rPr>
          <w:rFonts w:ascii="Times New Roman" w:hAnsi="Times New Roman" w:cs="Times New Roman"/>
          <w:sz w:val="24"/>
          <w:szCs w:val="24"/>
          <w:lang w:val="en-GB"/>
        </w:rPr>
        <w:tab/>
      </w:r>
      <w:r w:rsidR="00BE7579" w:rsidRPr="003253E5">
        <w:rPr>
          <w:rFonts w:ascii="Times New Roman" w:hAnsi="Times New Roman" w:cs="Times New Roman"/>
          <w:sz w:val="24"/>
          <w:szCs w:val="24"/>
          <w:lang w:val="en-GB"/>
        </w:rPr>
        <w:t>I</w:t>
      </w:r>
      <w:r w:rsidR="000F5AF9" w:rsidRPr="003253E5">
        <w:rPr>
          <w:rFonts w:ascii="Times New Roman" w:hAnsi="Times New Roman" w:cs="Times New Roman"/>
          <w:sz w:val="24"/>
          <w:szCs w:val="24"/>
          <w:lang w:val="en-GB"/>
        </w:rPr>
        <w:t>n the result, I</w:t>
      </w:r>
      <w:r w:rsidR="00BE7579" w:rsidRPr="003253E5">
        <w:rPr>
          <w:rFonts w:ascii="Times New Roman" w:hAnsi="Times New Roman" w:cs="Times New Roman"/>
          <w:sz w:val="24"/>
          <w:szCs w:val="24"/>
          <w:lang w:val="en-GB"/>
        </w:rPr>
        <w:t xml:space="preserve"> make the following order</w:t>
      </w:r>
      <w:r w:rsidR="00921B9F" w:rsidRPr="003253E5">
        <w:rPr>
          <w:rFonts w:ascii="Times New Roman" w:hAnsi="Times New Roman" w:cs="Times New Roman"/>
          <w:sz w:val="24"/>
          <w:szCs w:val="24"/>
          <w:lang w:val="en-GB"/>
        </w:rPr>
        <w:t>s</w:t>
      </w:r>
      <w:r w:rsidR="00BE7579" w:rsidRPr="003253E5">
        <w:rPr>
          <w:rFonts w:ascii="Times New Roman" w:hAnsi="Times New Roman" w:cs="Times New Roman"/>
          <w:sz w:val="24"/>
          <w:szCs w:val="24"/>
          <w:lang w:val="en-GB"/>
        </w:rPr>
        <w:t>:</w:t>
      </w:r>
    </w:p>
    <w:p w14:paraId="22A81C93" w14:textId="50514D00" w:rsidR="00F22FEE"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72.1.</w:t>
      </w:r>
      <w:r w:rsidRPr="008F5862">
        <w:rPr>
          <w:rFonts w:ascii="Times New Roman" w:hAnsi="Times New Roman" w:cs="Times New Roman"/>
          <w:sz w:val="24"/>
          <w:szCs w:val="24"/>
          <w:lang w:val="en-GB"/>
        </w:rPr>
        <w:tab/>
      </w:r>
      <w:r w:rsidR="00F22FEE" w:rsidRPr="003253E5">
        <w:rPr>
          <w:rFonts w:ascii="Times New Roman" w:hAnsi="Times New Roman" w:cs="Times New Roman"/>
          <w:sz w:val="24"/>
          <w:szCs w:val="24"/>
          <w:lang w:val="en-GB"/>
        </w:rPr>
        <w:t xml:space="preserve">Leave is granted for the admission of </w:t>
      </w:r>
      <w:r w:rsidR="008B6C3C" w:rsidRPr="003253E5">
        <w:rPr>
          <w:rFonts w:ascii="Times New Roman" w:hAnsi="Times New Roman" w:cs="Times New Roman"/>
          <w:sz w:val="24"/>
          <w:szCs w:val="24"/>
          <w:lang w:val="en-GB"/>
        </w:rPr>
        <w:t>the Applicant</w:t>
      </w:r>
      <w:r w:rsidR="00DB3E2A" w:rsidRPr="003253E5">
        <w:rPr>
          <w:rFonts w:ascii="Times New Roman" w:hAnsi="Times New Roman" w:cs="Times New Roman"/>
          <w:sz w:val="24"/>
          <w:szCs w:val="24"/>
          <w:lang w:val="en-GB"/>
        </w:rPr>
        <w:t>’</w:t>
      </w:r>
      <w:r w:rsidR="008B6C3C" w:rsidRPr="003253E5">
        <w:rPr>
          <w:rFonts w:ascii="Times New Roman" w:hAnsi="Times New Roman" w:cs="Times New Roman"/>
          <w:sz w:val="24"/>
          <w:szCs w:val="24"/>
          <w:lang w:val="en-GB"/>
        </w:rPr>
        <w:t xml:space="preserve">s </w:t>
      </w:r>
      <w:r w:rsidR="00F22FEE" w:rsidRPr="003253E5">
        <w:rPr>
          <w:rFonts w:ascii="Times New Roman" w:hAnsi="Times New Roman" w:cs="Times New Roman"/>
          <w:sz w:val="24"/>
          <w:szCs w:val="24"/>
          <w:lang w:val="en-GB"/>
        </w:rPr>
        <w:t>supplementary founding affidavit</w:t>
      </w:r>
      <w:r w:rsidR="008B6C3C" w:rsidRPr="003253E5">
        <w:rPr>
          <w:rFonts w:ascii="Times New Roman" w:hAnsi="Times New Roman" w:cs="Times New Roman"/>
          <w:sz w:val="24"/>
          <w:szCs w:val="24"/>
          <w:lang w:val="en-GB"/>
        </w:rPr>
        <w:t xml:space="preserve"> </w:t>
      </w:r>
      <w:r w:rsidR="00F22FEE" w:rsidRPr="003253E5">
        <w:rPr>
          <w:rFonts w:ascii="Times New Roman" w:hAnsi="Times New Roman" w:cs="Times New Roman"/>
          <w:sz w:val="24"/>
          <w:szCs w:val="24"/>
          <w:lang w:val="en-GB"/>
        </w:rPr>
        <w:t>dated 31</w:t>
      </w:r>
      <w:r w:rsidR="00F7161B" w:rsidRPr="003253E5">
        <w:rPr>
          <w:rFonts w:ascii="Times New Roman" w:hAnsi="Times New Roman" w:cs="Times New Roman"/>
          <w:sz w:val="24"/>
          <w:szCs w:val="24"/>
          <w:lang w:val="en-GB"/>
        </w:rPr>
        <w:t> </w:t>
      </w:r>
      <w:r w:rsidR="00F22FEE" w:rsidRPr="003253E5">
        <w:rPr>
          <w:rFonts w:ascii="Times New Roman" w:hAnsi="Times New Roman" w:cs="Times New Roman"/>
          <w:sz w:val="24"/>
          <w:szCs w:val="24"/>
          <w:lang w:val="en-GB"/>
        </w:rPr>
        <w:t>July</w:t>
      </w:r>
      <w:r w:rsidR="00F7161B" w:rsidRPr="003253E5">
        <w:rPr>
          <w:rFonts w:ascii="Times New Roman" w:hAnsi="Times New Roman" w:cs="Times New Roman"/>
          <w:sz w:val="24"/>
          <w:szCs w:val="24"/>
          <w:lang w:val="en-GB"/>
        </w:rPr>
        <w:t> </w:t>
      </w:r>
      <w:r w:rsidR="00F22FEE" w:rsidRPr="003253E5">
        <w:rPr>
          <w:rFonts w:ascii="Times New Roman" w:hAnsi="Times New Roman" w:cs="Times New Roman"/>
          <w:sz w:val="24"/>
          <w:szCs w:val="24"/>
          <w:lang w:val="en-GB"/>
        </w:rPr>
        <w:t>2020</w:t>
      </w:r>
      <w:r w:rsidR="008B6C3C" w:rsidRPr="003253E5">
        <w:rPr>
          <w:rFonts w:ascii="Times New Roman" w:hAnsi="Times New Roman" w:cs="Times New Roman"/>
          <w:sz w:val="24"/>
          <w:szCs w:val="24"/>
          <w:lang w:val="en-GB"/>
        </w:rPr>
        <w:t xml:space="preserve">, with costs to be costs in the cause.  </w:t>
      </w:r>
    </w:p>
    <w:p w14:paraId="3D295961" w14:textId="23815394" w:rsidR="00921B9F"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72.2.</w:t>
      </w:r>
      <w:r w:rsidRPr="008F5862">
        <w:rPr>
          <w:rFonts w:ascii="Times New Roman" w:hAnsi="Times New Roman" w:cs="Times New Roman"/>
          <w:sz w:val="24"/>
          <w:szCs w:val="24"/>
          <w:lang w:val="en-GB"/>
        </w:rPr>
        <w:tab/>
      </w:r>
      <w:r w:rsidR="006A0454" w:rsidRPr="003253E5">
        <w:rPr>
          <w:rFonts w:ascii="Times New Roman" w:hAnsi="Times New Roman" w:cs="Times New Roman"/>
          <w:sz w:val="24"/>
          <w:szCs w:val="24"/>
          <w:lang w:val="en-GB"/>
        </w:rPr>
        <w:t>The Applicant shall pay the First Respondent</w:t>
      </w:r>
      <w:r w:rsidR="00DB3E2A" w:rsidRPr="003253E5">
        <w:rPr>
          <w:rFonts w:ascii="Times New Roman" w:hAnsi="Times New Roman" w:cs="Times New Roman"/>
          <w:sz w:val="24"/>
          <w:szCs w:val="24"/>
          <w:lang w:val="en-GB"/>
        </w:rPr>
        <w:t>’</w:t>
      </w:r>
      <w:r w:rsidR="006A0454" w:rsidRPr="003253E5">
        <w:rPr>
          <w:rFonts w:ascii="Times New Roman" w:hAnsi="Times New Roman" w:cs="Times New Roman"/>
          <w:sz w:val="24"/>
          <w:szCs w:val="24"/>
          <w:lang w:val="en-GB"/>
        </w:rPr>
        <w:t>s costs</w:t>
      </w:r>
      <w:r w:rsidR="00684BB4" w:rsidRPr="003253E5">
        <w:rPr>
          <w:rFonts w:ascii="Times New Roman" w:hAnsi="Times New Roman" w:cs="Times New Roman"/>
          <w:sz w:val="24"/>
          <w:szCs w:val="24"/>
          <w:lang w:val="en-GB"/>
        </w:rPr>
        <w:t xml:space="preserve"> occasioned by the opposition to the application brought by the Applicant o</w:t>
      </w:r>
      <w:r w:rsidR="00D42ED2" w:rsidRPr="003253E5">
        <w:rPr>
          <w:rFonts w:ascii="Times New Roman" w:hAnsi="Times New Roman" w:cs="Times New Roman"/>
          <w:sz w:val="24"/>
          <w:szCs w:val="24"/>
          <w:lang w:val="en-GB"/>
        </w:rPr>
        <w:t>n 18</w:t>
      </w:r>
      <w:r w:rsidR="00F7161B" w:rsidRPr="003253E5">
        <w:rPr>
          <w:rFonts w:ascii="Times New Roman" w:hAnsi="Times New Roman" w:cs="Times New Roman"/>
          <w:sz w:val="24"/>
          <w:szCs w:val="24"/>
          <w:lang w:val="en-GB"/>
        </w:rPr>
        <w:t> </w:t>
      </w:r>
      <w:r w:rsidR="00D42ED2" w:rsidRPr="003253E5">
        <w:rPr>
          <w:rFonts w:ascii="Times New Roman" w:hAnsi="Times New Roman" w:cs="Times New Roman"/>
          <w:sz w:val="24"/>
          <w:szCs w:val="24"/>
          <w:lang w:val="en-GB"/>
        </w:rPr>
        <w:t>October</w:t>
      </w:r>
      <w:r w:rsidR="00F7161B" w:rsidRPr="003253E5">
        <w:rPr>
          <w:rFonts w:ascii="Times New Roman" w:hAnsi="Times New Roman" w:cs="Times New Roman"/>
          <w:sz w:val="24"/>
          <w:szCs w:val="24"/>
          <w:lang w:val="en-GB"/>
        </w:rPr>
        <w:t> </w:t>
      </w:r>
      <w:r w:rsidR="00D42ED2" w:rsidRPr="003253E5">
        <w:rPr>
          <w:rFonts w:ascii="Times New Roman" w:hAnsi="Times New Roman" w:cs="Times New Roman"/>
          <w:sz w:val="24"/>
          <w:szCs w:val="24"/>
          <w:lang w:val="en-GB"/>
        </w:rPr>
        <w:t xml:space="preserve">2023 for the admission of a further </w:t>
      </w:r>
      <w:r w:rsidR="00684BB4" w:rsidRPr="003253E5">
        <w:rPr>
          <w:rFonts w:ascii="Times New Roman" w:hAnsi="Times New Roman" w:cs="Times New Roman"/>
          <w:sz w:val="24"/>
          <w:szCs w:val="24"/>
          <w:lang w:val="en-GB"/>
        </w:rPr>
        <w:t xml:space="preserve">evidence. </w:t>
      </w:r>
    </w:p>
    <w:p w14:paraId="2DFBB9B0" w14:textId="3F63FADB" w:rsidR="00C003D9"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72.3.</w:t>
      </w:r>
      <w:r w:rsidRPr="008F5862">
        <w:rPr>
          <w:rFonts w:ascii="Times New Roman" w:hAnsi="Times New Roman" w:cs="Times New Roman"/>
          <w:sz w:val="24"/>
          <w:szCs w:val="24"/>
          <w:lang w:val="en-GB"/>
        </w:rPr>
        <w:tab/>
      </w:r>
      <w:r w:rsidR="00C003D9" w:rsidRPr="003253E5">
        <w:rPr>
          <w:rFonts w:ascii="Times New Roman" w:hAnsi="Times New Roman" w:cs="Times New Roman"/>
          <w:sz w:val="24"/>
          <w:szCs w:val="24"/>
          <w:lang w:val="en-GB"/>
        </w:rPr>
        <w:t>Paragraphs</w:t>
      </w:r>
      <w:r w:rsidR="00F7161B" w:rsidRPr="003253E5">
        <w:rPr>
          <w:rFonts w:ascii="Times New Roman" w:hAnsi="Times New Roman" w:cs="Times New Roman"/>
          <w:sz w:val="24"/>
          <w:szCs w:val="24"/>
          <w:lang w:val="en-GB"/>
        </w:rPr>
        <w:t> </w:t>
      </w:r>
      <w:r w:rsidR="00C003D9" w:rsidRPr="003253E5">
        <w:rPr>
          <w:rFonts w:ascii="Times New Roman" w:hAnsi="Times New Roman" w:cs="Times New Roman"/>
          <w:sz w:val="24"/>
          <w:szCs w:val="24"/>
          <w:lang w:val="en-GB"/>
        </w:rPr>
        <w:t>39, 40, 49.3 and 61 of the</w:t>
      </w:r>
      <w:r w:rsidR="00C151A1" w:rsidRPr="003253E5">
        <w:rPr>
          <w:rFonts w:ascii="Times New Roman" w:hAnsi="Times New Roman" w:cs="Times New Roman"/>
          <w:sz w:val="24"/>
          <w:szCs w:val="24"/>
          <w:lang w:val="en-GB"/>
        </w:rPr>
        <w:t xml:space="preserve"> First Respondent</w:t>
      </w:r>
      <w:r w:rsidR="00DB3E2A" w:rsidRPr="003253E5">
        <w:rPr>
          <w:rFonts w:ascii="Times New Roman" w:hAnsi="Times New Roman" w:cs="Times New Roman"/>
          <w:sz w:val="24"/>
          <w:szCs w:val="24"/>
          <w:lang w:val="en-GB"/>
        </w:rPr>
        <w:t>’</w:t>
      </w:r>
      <w:r w:rsidR="00C151A1" w:rsidRPr="003253E5">
        <w:rPr>
          <w:rFonts w:ascii="Times New Roman" w:hAnsi="Times New Roman" w:cs="Times New Roman"/>
          <w:sz w:val="24"/>
          <w:szCs w:val="24"/>
          <w:lang w:val="en-GB"/>
        </w:rPr>
        <w:t>s</w:t>
      </w:r>
      <w:r w:rsidR="00C003D9" w:rsidRPr="003253E5">
        <w:rPr>
          <w:rFonts w:ascii="Times New Roman" w:hAnsi="Times New Roman" w:cs="Times New Roman"/>
          <w:sz w:val="24"/>
          <w:szCs w:val="24"/>
          <w:lang w:val="en-GB"/>
        </w:rPr>
        <w:t xml:space="preserve"> answering affidavit</w:t>
      </w:r>
      <w:r w:rsidR="00C151A1" w:rsidRPr="003253E5">
        <w:rPr>
          <w:rFonts w:ascii="Times New Roman" w:hAnsi="Times New Roman" w:cs="Times New Roman"/>
          <w:sz w:val="24"/>
          <w:szCs w:val="24"/>
          <w:lang w:val="en-GB"/>
        </w:rPr>
        <w:t xml:space="preserve"> are struck out</w:t>
      </w:r>
      <w:r w:rsidR="00AD27D5" w:rsidRPr="003253E5">
        <w:rPr>
          <w:rFonts w:ascii="Times New Roman" w:hAnsi="Times New Roman" w:cs="Times New Roman"/>
          <w:sz w:val="24"/>
          <w:szCs w:val="24"/>
          <w:lang w:val="en-GB"/>
        </w:rPr>
        <w:t xml:space="preserve">. </w:t>
      </w:r>
    </w:p>
    <w:p w14:paraId="109D9D26" w14:textId="18CBD9A2" w:rsidR="00921B9F"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72.4.</w:t>
      </w:r>
      <w:r w:rsidRPr="008F5862">
        <w:rPr>
          <w:rFonts w:ascii="Times New Roman" w:hAnsi="Times New Roman" w:cs="Times New Roman"/>
          <w:sz w:val="24"/>
          <w:szCs w:val="24"/>
          <w:lang w:val="en-GB"/>
        </w:rPr>
        <w:tab/>
      </w:r>
      <w:r w:rsidR="005A2C72" w:rsidRPr="003253E5">
        <w:rPr>
          <w:rFonts w:ascii="Times New Roman" w:hAnsi="Times New Roman" w:cs="Times New Roman"/>
          <w:sz w:val="24"/>
          <w:szCs w:val="24"/>
          <w:lang w:val="en-GB"/>
        </w:rPr>
        <w:t>The appeal is upheld and the determination</w:t>
      </w:r>
      <w:r w:rsidR="00455E5D" w:rsidRPr="003253E5">
        <w:rPr>
          <w:rFonts w:ascii="Times New Roman" w:hAnsi="Times New Roman" w:cs="Times New Roman"/>
          <w:sz w:val="24"/>
          <w:szCs w:val="24"/>
          <w:lang w:val="en-GB"/>
        </w:rPr>
        <w:t>s</w:t>
      </w:r>
      <w:r w:rsidR="005A2C72" w:rsidRPr="003253E5">
        <w:rPr>
          <w:rFonts w:ascii="Times New Roman" w:hAnsi="Times New Roman" w:cs="Times New Roman"/>
          <w:sz w:val="24"/>
          <w:szCs w:val="24"/>
          <w:lang w:val="en-GB"/>
        </w:rPr>
        <w:t xml:space="preserve"> in the letter of demand from the First Respondent to the Applicant, dated 18</w:t>
      </w:r>
      <w:r w:rsidR="00F7161B" w:rsidRPr="003253E5">
        <w:rPr>
          <w:rFonts w:ascii="Times New Roman" w:hAnsi="Times New Roman" w:cs="Times New Roman"/>
          <w:sz w:val="24"/>
          <w:szCs w:val="24"/>
          <w:lang w:val="en-GB"/>
        </w:rPr>
        <w:t> </w:t>
      </w:r>
      <w:r w:rsidR="005A2C72" w:rsidRPr="003253E5">
        <w:rPr>
          <w:rFonts w:ascii="Times New Roman" w:hAnsi="Times New Roman" w:cs="Times New Roman"/>
          <w:sz w:val="24"/>
          <w:szCs w:val="24"/>
          <w:lang w:val="en-GB"/>
        </w:rPr>
        <w:t>February</w:t>
      </w:r>
      <w:r w:rsidR="00F7161B" w:rsidRPr="003253E5">
        <w:rPr>
          <w:rFonts w:ascii="Times New Roman" w:hAnsi="Times New Roman" w:cs="Times New Roman"/>
          <w:sz w:val="24"/>
          <w:szCs w:val="24"/>
          <w:lang w:val="en-GB"/>
        </w:rPr>
        <w:t> </w:t>
      </w:r>
      <w:r w:rsidR="005A2C72" w:rsidRPr="003253E5">
        <w:rPr>
          <w:rFonts w:ascii="Times New Roman" w:hAnsi="Times New Roman" w:cs="Times New Roman"/>
          <w:sz w:val="24"/>
          <w:szCs w:val="24"/>
          <w:lang w:val="en-GB"/>
        </w:rPr>
        <w:t xml:space="preserve">2020, </w:t>
      </w:r>
      <w:r w:rsidR="00DE0709" w:rsidRPr="003253E5">
        <w:rPr>
          <w:rFonts w:ascii="Times New Roman" w:hAnsi="Times New Roman" w:cs="Times New Roman"/>
          <w:sz w:val="24"/>
          <w:szCs w:val="24"/>
          <w:lang w:val="en-GB"/>
        </w:rPr>
        <w:t>are</w:t>
      </w:r>
      <w:r w:rsidR="005A2C72" w:rsidRPr="003253E5">
        <w:rPr>
          <w:rFonts w:ascii="Times New Roman" w:hAnsi="Times New Roman" w:cs="Times New Roman"/>
          <w:sz w:val="24"/>
          <w:szCs w:val="24"/>
          <w:lang w:val="en-GB"/>
        </w:rPr>
        <w:t xml:space="preserve"> set aside. </w:t>
      </w:r>
    </w:p>
    <w:p w14:paraId="5F178A56" w14:textId="59D3D046" w:rsidR="00241114"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72.5.</w:t>
      </w:r>
      <w:r w:rsidRPr="008F5862">
        <w:rPr>
          <w:rFonts w:ascii="Times New Roman" w:hAnsi="Times New Roman" w:cs="Times New Roman"/>
          <w:sz w:val="24"/>
          <w:szCs w:val="24"/>
          <w:lang w:val="en-GB"/>
        </w:rPr>
        <w:tab/>
      </w:r>
      <w:r w:rsidR="00255B20" w:rsidRPr="003253E5">
        <w:rPr>
          <w:rFonts w:ascii="Times New Roman" w:hAnsi="Times New Roman" w:cs="Times New Roman"/>
          <w:sz w:val="24"/>
          <w:szCs w:val="24"/>
          <w:lang w:val="en-GB"/>
        </w:rPr>
        <w:t>Other than the costs in subparagraphs</w:t>
      </w:r>
      <w:r w:rsidR="00F7161B" w:rsidRPr="003253E5">
        <w:rPr>
          <w:rFonts w:ascii="Times New Roman" w:hAnsi="Times New Roman" w:cs="Times New Roman"/>
          <w:sz w:val="24"/>
          <w:szCs w:val="24"/>
          <w:lang w:val="en-GB"/>
        </w:rPr>
        <w:t> </w:t>
      </w:r>
      <w:r w:rsidR="00255B20" w:rsidRPr="003253E5">
        <w:rPr>
          <w:rFonts w:ascii="Times New Roman" w:hAnsi="Times New Roman" w:cs="Times New Roman"/>
          <w:sz w:val="24"/>
          <w:szCs w:val="24"/>
          <w:lang w:val="en-GB"/>
        </w:rPr>
        <w:t>1 and 2 above, the First Respondent shall pay the Applicant</w:t>
      </w:r>
      <w:r w:rsidR="00DB3E2A" w:rsidRPr="003253E5">
        <w:rPr>
          <w:rFonts w:ascii="Times New Roman" w:hAnsi="Times New Roman" w:cs="Times New Roman"/>
          <w:sz w:val="24"/>
          <w:szCs w:val="24"/>
          <w:lang w:val="en-GB"/>
        </w:rPr>
        <w:t>’</w:t>
      </w:r>
      <w:r w:rsidR="00255B20" w:rsidRPr="003253E5">
        <w:rPr>
          <w:rFonts w:ascii="Times New Roman" w:hAnsi="Times New Roman" w:cs="Times New Roman"/>
          <w:sz w:val="24"/>
          <w:szCs w:val="24"/>
          <w:lang w:val="en-GB"/>
        </w:rPr>
        <w:t>s costs in this Court</w:t>
      </w:r>
      <w:r w:rsidR="00C343EA" w:rsidRPr="003253E5">
        <w:rPr>
          <w:rFonts w:ascii="Times New Roman" w:hAnsi="Times New Roman" w:cs="Times New Roman"/>
          <w:sz w:val="24"/>
          <w:szCs w:val="24"/>
          <w:lang w:val="en-GB"/>
        </w:rPr>
        <w:t xml:space="preserve">, such costs to include the costs of two counsel. </w:t>
      </w:r>
    </w:p>
    <w:p w14:paraId="3DEB49DD" w14:textId="6DC3B867" w:rsidR="00B52900" w:rsidRPr="003253E5" w:rsidRDefault="003253E5" w:rsidP="003253E5">
      <w:pPr>
        <w:spacing w:after="360" w:line="480" w:lineRule="auto"/>
        <w:ind w:left="1560" w:hanging="851"/>
        <w:jc w:val="both"/>
        <w:rPr>
          <w:rFonts w:ascii="Times New Roman" w:hAnsi="Times New Roman" w:cs="Times New Roman"/>
          <w:sz w:val="24"/>
          <w:szCs w:val="24"/>
          <w:lang w:val="en-GB"/>
        </w:rPr>
      </w:pPr>
      <w:r w:rsidRPr="008F5862">
        <w:rPr>
          <w:rFonts w:ascii="Times New Roman" w:hAnsi="Times New Roman" w:cs="Times New Roman"/>
          <w:sz w:val="24"/>
          <w:szCs w:val="24"/>
          <w:lang w:val="en-GB"/>
        </w:rPr>
        <w:t>72.6.</w:t>
      </w:r>
      <w:r w:rsidRPr="008F5862">
        <w:rPr>
          <w:rFonts w:ascii="Times New Roman" w:hAnsi="Times New Roman" w:cs="Times New Roman"/>
          <w:sz w:val="24"/>
          <w:szCs w:val="24"/>
          <w:lang w:val="en-GB"/>
        </w:rPr>
        <w:tab/>
      </w:r>
      <w:r w:rsidR="00B52900" w:rsidRPr="003253E5">
        <w:rPr>
          <w:rFonts w:ascii="Times New Roman" w:hAnsi="Times New Roman" w:cs="Times New Roman"/>
          <w:sz w:val="24"/>
          <w:szCs w:val="24"/>
          <w:lang w:val="en-GB"/>
        </w:rPr>
        <w:t xml:space="preserve">The First </w:t>
      </w:r>
      <w:r w:rsidR="00F83953" w:rsidRPr="003253E5">
        <w:rPr>
          <w:rFonts w:ascii="Times New Roman" w:hAnsi="Times New Roman" w:cs="Times New Roman"/>
          <w:sz w:val="24"/>
          <w:szCs w:val="24"/>
          <w:lang w:val="en-GB"/>
        </w:rPr>
        <w:t>Respondent shall pay the Applicant</w:t>
      </w:r>
      <w:r w:rsidR="00DB3E2A" w:rsidRPr="003253E5">
        <w:rPr>
          <w:rFonts w:ascii="Times New Roman" w:hAnsi="Times New Roman" w:cs="Times New Roman"/>
          <w:sz w:val="24"/>
          <w:szCs w:val="24"/>
          <w:lang w:val="en-GB"/>
        </w:rPr>
        <w:t>’</w:t>
      </w:r>
      <w:r w:rsidR="00F83953" w:rsidRPr="003253E5">
        <w:rPr>
          <w:rFonts w:ascii="Times New Roman" w:hAnsi="Times New Roman" w:cs="Times New Roman"/>
          <w:sz w:val="24"/>
          <w:szCs w:val="24"/>
          <w:lang w:val="en-GB"/>
        </w:rPr>
        <w:t xml:space="preserve">s costs in respect of the </w:t>
      </w:r>
      <w:r w:rsidR="00B52900" w:rsidRPr="003253E5">
        <w:rPr>
          <w:rFonts w:ascii="Times New Roman" w:hAnsi="Times New Roman" w:cs="Times New Roman"/>
          <w:b/>
          <w:bCs/>
          <w:sz w:val="24"/>
          <w:szCs w:val="24"/>
          <w:u w:val="single"/>
          <w:lang w:val="en-GB"/>
        </w:rPr>
        <w:t>Petroleum Oil and Gas Corporation of South Africa (SOC) Ltd vs The Commissioner for the South African Revenue Service</w:t>
      </w:r>
      <w:r w:rsidR="00B52900" w:rsidRPr="003253E5">
        <w:rPr>
          <w:rFonts w:ascii="Times New Roman" w:hAnsi="Times New Roman" w:cs="Times New Roman"/>
          <w:sz w:val="24"/>
          <w:szCs w:val="24"/>
          <w:lang w:val="en-GB"/>
        </w:rPr>
        <w:t xml:space="preserve"> Case No: 21471 / 2020</w:t>
      </w:r>
      <w:r w:rsidR="001C39E5" w:rsidRPr="003253E5">
        <w:rPr>
          <w:rFonts w:ascii="Times New Roman" w:hAnsi="Times New Roman" w:cs="Times New Roman"/>
          <w:sz w:val="24"/>
          <w:szCs w:val="24"/>
          <w:lang w:val="en-GB"/>
        </w:rPr>
        <w:t xml:space="preserve">, such costs to include the costs of two counsel. </w:t>
      </w:r>
    </w:p>
    <w:p w14:paraId="72ED86D0" w14:textId="77777777" w:rsidR="000D3F9B" w:rsidRPr="008F5862" w:rsidRDefault="000D3F9B" w:rsidP="00F03B5B">
      <w:pPr>
        <w:spacing w:after="360" w:line="480" w:lineRule="auto"/>
        <w:jc w:val="both"/>
        <w:rPr>
          <w:rFonts w:ascii="Times New Roman" w:hAnsi="Times New Roman" w:cs="Times New Roman"/>
          <w:sz w:val="24"/>
          <w:szCs w:val="24"/>
          <w:lang w:val="en-GB"/>
        </w:rPr>
      </w:pPr>
    </w:p>
    <w:p w14:paraId="1D59DA11" w14:textId="77777777" w:rsidR="000D3F9B" w:rsidRPr="008F5862" w:rsidRDefault="00F03B5B" w:rsidP="00CB62E6">
      <w:pPr>
        <w:pStyle w:val="NormalWeb"/>
        <w:shd w:val="clear" w:color="auto" w:fill="FFFFFF"/>
        <w:spacing w:before="0" w:beforeAutospacing="0" w:after="0" w:afterAutospacing="0" w:line="360" w:lineRule="auto"/>
        <w:jc w:val="right"/>
        <w:rPr>
          <w:b/>
          <w:bCs/>
          <w:color w:val="242121"/>
          <w:lang w:val="en-GB"/>
        </w:rPr>
      </w:pPr>
      <w:r w:rsidRPr="008F5862">
        <w:rPr>
          <w:b/>
          <w:bCs/>
          <w:color w:val="242121"/>
          <w:lang w:val="en-GB"/>
        </w:rPr>
        <w:t>H</w:t>
      </w:r>
      <w:r w:rsidR="00E331FC" w:rsidRPr="008F5862">
        <w:rPr>
          <w:b/>
          <w:bCs/>
          <w:color w:val="242121"/>
          <w:lang w:val="en-GB"/>
        </w:rPr>
        <w:t xml:space="preserve"> </w:t>
      </w:r>
      <w:r w:rsidRPr="008F5862">
        <w:rPr>
          <w:b/>
          <w:bCs/>
          <w:color w:val="242121"/>
          <w:lang w:val="en-GB"/>
        </w:rPr>
        <w:t>J</w:t>
      </w:r>
      <w:r w:rsidR="00E331FC" w:rsidRPr="008F5862">
        <w:rPr>
          <w:b/>
          <w:bCs/>
          <w:color w:val="242121"/>
          <w:lang w:val="en-GB"/>
        </w:rPr>
        <w:t xml:space="preserve"> DE </w:t>
      </w:r>
      <w:r w:rsidRPr="008F5862">
        <w:rPr>
          <w:b/>
          <w:bCs/>
          <w:color w:val="242121"/>
          <w:lang w:val="en-GB"/>
        </w:rPr>
        <w:t>WAAL</w:t>
      </w:r>
      <w:r w:rsidR="00E331FC" w:rsidRPr="008F5862">
        <w:rPr>
          <w:b/>
          <w:bCs/>
          <w:color w:val="242121"/>
          <w:lang w:val="en-GB"/>
        </w:rPr>
        <w:t xml:space="preserve"> AJ</w:t>
      </w:r>
    </w:p>
    <w:p w14:paraId="1B0F856F" w14:textId="77777777" w:rsidR="00272E20" w:rsidRPr="008F5862" w:rsidRDefault="00272E20" w:rsidP="00272E20">
      <w:pPr>
        <w:pStyle w:val="NormalWeb"/>
        <w:shd w:val="clear" w:color="auto" w:fill="FFFFFF"/>
        <w:spacing w:before="0" w:beforeAutospacing="0" w:after="0" w:afterAutospacing="0" w:line="360" w:lineRule="auto"/>
        <w:jc w:val="right"/>
        <w:rPr>
          <w:color w:val="242121"/>
          <w:lang w:val="en-GB"/>
        </w:rPr>
      </w:pPr>
      <w:r w:rsidRPr="008F5862">
        <w:rPr>
          <w:b/>
          <w:bCs/>
          <w:color w:val="242121"/>
          <w:lang w:val="en-GB"/>
        </w:rPr>
        <w:t>Acting Judge of the High Court</w:t>
      </w:r>
    </w:p>
    <w:p w14:paraId="3D7EC333" w14:textId="77777777" w:rsidR="00272E20" w:rsidRPr="008F5862" w:rsidRDefault="00272E20" w:rsidP="00272E20">
      <w:pPr>
        <w:pStyle w:val="NormalWeb"/>
        <w:shd w:val="clear" w:color="auto" w:fill="FFFFFF"/>
        <w:spacing w:before="0" w:beforeAutospacing="0" w:after="0" w:afterAutospacing="0" w:line="360" w:lineRule="auto"/>
        <w:jc w:val="right"/>
        <w:rPr>
          <w:color w:val="242121"/>
          <w:lang w:val="en-GB"/>
        </w:rPr>
      </w:pPr>
      <w:r w:rsidRPr="008F5862">
        <w:rPr>
          <w:color w:val="242121"/>
          <w:lang w:val="en-GB"/>
        </w:rPr>
        <w:t>Cape Town</w:t>
      </w:r>
    </w:p>
    <w:p w14:paraId="43134721" w14:textId="35408DAE" w:rsidR="00CA38D5" w:rsidRPr="008F5862" w:rsidRDefault="00080CE1" w:rsidP="00272E20">
      <w:pPr>
        <w:pStyle w:val="NormalWeb"/>
        <w:shd w:val="clear" w:color="auto" w:fill="FFFFFF"/>
        <w:spacing w:before="0" w:beforeAutospacing="0" w:after="0" w:afterAutospacing="0" w:line="360" w:lineRule="auto"/>
        <w:jc w:val="right"/>
        <w:rPr>
          <w:color w:val="242121"/>
          <w:lang w:val="en-GB"/>
        </w:rPr>
      </w:pPr>
      <w:r w:rsidRPr="008F5862">
        <w:rPr>
          <w:color w:val="242121"/>
          <w:lang w:val="en-GB"/>
        </w:rPr>
        <w:t>18</w:t>
      </w:r>
      <w:r w:rsidR="0048747A" w:rsidRPr="008F5862">
        <w:rPr>
          <w:color w:val="242121"/>
          <w:lang w:val="en-GB"/>
        </w:rPr>
        <w:t> </w:t>
      </w:r>
      <w:r w:rsidR="00022CCE" w:rsidRPr="008F5862">
        <w:rPr>
          <w:color w:val="242121"/>
          <w:lang w:val="en-GB"/>
        </w:rPr>
        <w:t>January</w:t>
      </w:r>
      <w:r w:rsidR="0048747A" w:rsidRPr="008F5862">
        <w:rPr>
          <w:color w:val="242121"/>
          <w:lang w:val="en-GB"/>
        </w:rPr>
        <w:t> </w:t>
      </w:r>
      <w:r w:rsidR="00272E20" w:rsidRPr="008F5862">
        <w:rPr>
          <w:color w:val="242121"/>
          <w:lang w:val="en-GB"/>
        </w:rPr>
        <w:t>20</w:t>
      </w:r>
      <w:r w:rsidR="00CA38D5" w:rsidRPr="008F5862">
        <w:rPr>
          <w:color w:val="242121"/>
          <w:lang w:val="en-GB"/>
        </w:rPr>
        <w:t>2</w:t>
      </w:r>
      <w:r w:rsidR="00022CCE" w:rsidRPr="008F5862">
        <w:rPr>
          <w:color w:val="242121"/>
          <w:lang w:val="en-GB"/>
        </w:rPr>
        <w:t>4</w:t>
      </w:r>
      <w:r w:rsidR="00CA38D5" w:rsidRPr="008F5862">
        <w:rPr>
          <w:color w:val="242121"/>
          <w:lang w:val="en-GB"/>
        </w:rPr>
        <w:br w:type="page"/>
      </w:r>
    </w:p>
    <w:p w14:paraId="559CA164" w14:textId="77777777" w:rsidR="00272E20" w:rsidRPr="008F5862" w:rsidRDefault="00272E20" w:rsidP="00272E20">
      <w:pPr>
        <w:pStyle w:val="NormalWeb"/>
        <w:shd w:val="clear" w:color="auto" w:fill="FFFFFF"/>
        <w:spacing w:before="480" w:beforeAutospacing="0" w:after="480" w:afterAutospacing="0" w:line="360" w:lineRule="auto"/>
        <w:jc w:val="center"/>
        <w:rPr>
          <w:b/>
          <w:bCs/>
          <w:color w:val="242121"/>
          <w:u w:val="single"/>
          <w:lang w:val="en-GB"/>
        </w:rPr>
      </w:pPr>
      <w:r w:rsidRPr="008F5862">
        <w:rPr>
          <w:b/>
          <w:bCs/>
          <w:color w:val="242121"/>
          <w:u w:val="single"/>
          <w:lang w:val="en-GB"/>
        </w:rPr>
        <w:t>APPEARANCES</w:t>
      </w:r>
    </w:p>
    <w:p w14:paraId="00615FDA" w14:textId="77777777" w:rsidR="00335950" w:rsidRPr="008F5862" w:rsidRDefault="00335950" w:rsidP="00272E20">
      <w:pPr>
        <w:pStyle w:val="NormalWeb"/>
        <w:shd w:val="clear" w:color="auto" w:fill="FFFFFF"/>
        <w:spacing w:before="0" w:beforeAutospacing="0" w:after="360" w:afterAutospacing="0" w:line="360" w:lineRule="auto"/>
        <w:contextualSpacing/>
        <w:rPr>
          <w:b/>
          <w:bCs/>
          <w:color w:val="242121"/>
          <w:lang w:val="en-GB"/>
        </w:rPr>
      </w:pPr>
    </w:p>
    <w:p w14:paraId="74E86273" w14:textId="594BFC95" w:rsidR="00272E20" w:rsidRPr="008F5862" w:rsidRDefault="00272E20" w:rsidP="00450EDA">
      <w:pPr>
        <w:pStyle w:val="NormalWeb"/>
        <w:shd w:val="clear" w:color="auto" w:fill="FFFFFF"/>
        <w:spacing w:before="0" w:beforeAutospacing="0" w:after="360" w:afterAutospacing="0" w:line="360" w:lineRule="auto"/>
        <w:contextualSpacing/>
        <w:jc w:val="both"/>
        <w:rPr>
          <w:color w:val="242121"/>
          <w:lang w:val="en-GB"/>
        </w:rPr>
      </w:pPr>
      <w:r w:rsidRPr="008F5862">
        <w:rPr>
          <w:b/>
          <w:bCs/>
          <w:color w:val="242121"/>
          <w:lang w:val="en-GB"/>
        </w:rPr>
        <w:t>Applicant</w:t>
      </w:r>
      <w:r w:rsidR="00DB3E2A">
        <w:rPr>
          <w:b/>
          <w:bCs/>
          <w:color w:val="242121"/>
          <w:lang w:val="en-GB"/>
        </w:rPr>
        <w:t>’</w:t>
      </w:r>
      <w:r w:rsidR="00323347" w:rsidRPr="008F5862">
        <w:rPr>
          <w:b/>
          <w:bCs/>
          <w:color w:val="242121"/>
          <w:lang w:val="en-GB"/>
        </w:rPr>
        <w:t>s</w:t>
      </w:r>
      <w:r w:rsidRPr="008F5862">
        <w:rPr>
          <w:b/>
          <w:bCs/>
          <w:color w:val="242121"/>
          <w:lang w:val="en-GB"/>
        </w:rPr>
        <w:t xml:space="preserve"> counsel:</w:t>
      </w:r>
      <w:r w:rsidR="00CA38D5" w:rsidRPr="008F5862">
        <w:rPr>
          <w:b/>
          <w:bCs/>
          <w:color w:val="242121"/>
          <w:lang w:val="en-GB"/>
        </w:rPr>
        <w:t xml:space="preserve">  </w:t>
      </w:r>
      <w:r w:rsidR="002335C7" w:rsidRPr="008F5862">
        <w:rPr>
          <w:color w:val="242121"/>
          <w:lang w:val="en-GB"/>
        </w:rPr>
        <w:t>JP Vorster SC and HJ Snyman</w:t>
      </w:r>
    </w:p>
    <w:p w14:paraId="1215CFEA" w14:textId="6CC8E952" w:rsidR="00272E20" w:rsidRPr="008F5862" w:rsidRDefault="00272E20" w:rsidP="00450EDA">
      <w:pPr>
        <w:pStyle w:val="NormalWeb"/>
        <w:shd w:val="clear" w:color="auto" w:fill="FFFFFF"/>
        <w:spacing w:before="0" w:beforeAutospacing="0" w:after="360" w:afterAutospacing="0" w:line="360" w:lineRule="auto"/>
        <w:jc w:val="both"/>
        <w:rPr>
          <w:color w:val="242121"/>
          <w:lang w:val="en-GB"/>
        </w:rPr>
      </w:pPr>
      <w:r w:rsidRPr="008F5862">
        <w:rPr>
          <w:b/>
          <w:bCs/>
          <w:color w:val="242121"/>
          <w:lang w:val="en-GB"/>
        </w:rPr>
        <w:t>Applicant</w:t>
      </w:r>
      <w:r w:rsidR="00DB3E2A">
        <w:rPr>
          <w:b/>
          <w:bCs/>
          <w:color w:val="242121"/>
          <w:lang w:val="en-GB"/>
        </w:rPr>
        <w:t>’</w:t>
      </w:r>
      <w:r w:rsidR="00323347" w:rsidRPr="008F5862">
        <w:rPr>
          <w:b/>
          <w:bCs/>
          <w:color w:val="242121"/>
          <w:lang w:val="en-GB"/>
        </w:rPr>
        <w:t>s</w:t>
      </w:r>
      <w:r w:rsidRPr="008F5862">
        <w:rPr>
          <w:b/>
          <w:bCs/>
          <w:color w:val="242121"/>
          <w:lang w:val="en-GB"/>
        </w:rPr>
        <w:t xml:space="preserve"> attorneys:</w:t>
      </w:r>
      <w:r w:rsidR="00CA38D5" w:rsidRPr="008F5862">
        <w:rPr>
          <w:b/>
          <w:bCs/>
          <w:color w:val="242121"/>
          <w:lang w:val="en-GB"/>
        </w:rPr>
        <w:t xml:space="preserve">  </w:t>
      </w:r>
      <w:r w:rsidR="002335C7" w:rsidRPr="008F5862">
        <w:rPr>
          <w:color w:val="242121"/>
          <w:lang w:val="en-GB"/>
        </w:rPr>
        <w:t>Shepstone &amp; Wylie Attorneys</w:t>
      </w:r>
    </w:p>
    <w:p w14:paraId="69D5FA7A" w14:textId="44872B70" w:rsidR="00272E20" w:rsidRPr="008F5862" w:rsidRDefault="002335C7" w:rsidP="00450EDA">
      <w:pPr>
        <w:pStyle w:val="NormalWeb"/>
        <w:shd w:val="clear" w:color="auto" w:fill="FFFFFF"/>
        <w:spacing w:before="0" w:beforeAutospacing="0" w:after="360" w:afterAutospacing="0" w:line="360" w:lineRule="auto"/>
        <w:contextualSpacing/>
        <w:jc w:val="both"/>
        <w:rPr>
          <w:color w:val="242121"/>
          <w:lang w:val="en-GB"/>
        </w:rPr>
      </w:pPr>
      <w:r w:rsidRPr="008F5862">
        <w:rPr>
          <w:b/>
          <w:bCs/>
          <w:color w:val="242121"/>
          <w:lang w:val="en-GB"/>
        </w:rPr>
        <w:t xml:space="preserve">First </w:t>
      </w:r>
      <w:r w:rsidR="00272E20" w:rsidRPr="008F5862">
        <w:rPr>
          <w:b/>
          <w:bCs/>
          <w:color w:val="242121"/>
          <w:lang w:val="en-GB"/>
        </w:rPr>
        <w:t>Respondent</w:t>
      </w:r>
      <w:r w:rsidR="00DB3E2A">
        <w:rPr>
          <w:b/>
          <w:bCs/>
          <w:color w:val="242121"/>
          <w:lang w:val="en-GB"/>
        </w:rPr>
        <w:t>’</w:t>
      </w:r>
      <w:r w:rsidR="00323347" w:rsidRPr="008F5862">
        <w:rPr>
          <w:b/>
          <w:bCs/>
          <w:color w:val="242121"/>
          <w:lang w:val="en-GB"/>
        </w:rPr>
        <w:t>s</w:t>
      </w:r>
      <w:r w:rsidR="00272E20" w:rsidRPr="008F5862">
        <w:rPr>
          <w:b/>
          <w:bCs/>
          <w:color w:val="242121"/>
          <w:lang w:val="en-GB"/>
        </w:rPr>
        <w:t xml:space="preserve"> counsel:</w:t>
      </w:r>
      <w:r w:rsidR="00CA38D5" w:rsidRPr="008F5862">
        <w:rPr>
          <w:b/>
          <w:bCs/>
          <w:color w:val="242121"/>
          <w:lang w:val="en-GB"/>
        </w:rPr>
        <w:t xml:space="preserve">  </w:t>
      </w:r>
      <w:r w:rsidRPr="008F5862">
        <w:rPr>
          <w:color w:val="242121"/>
          <w:lang w:val="en-GB"/>
        </w:rPr>
        <w:t>J Peter SC</w:t>
      </w:r>
    </w:p>
    <w:p w14:paraId="225367B6" w14:textId="08D0A9B8" w:rsidR="002335C7" w:rsidRPr="008F5862" w:rsidRDefault="002335C7" w:rsidP="002335C7">
      <w:pPr>
        <w:pStyle w:val="NormalWeb"/>
        <w:shd w:val="clear" w:color="auto" w:fill="FFFFFF"/>
        <w:spacing w:before="0" w:beforeAutospacing="0" w:after="360" w:afterAutospacing="0" w:line="360" w:lineRule="auto"/>
        <w:jc w:val="both"/>
        <w:rPr>
          <w:color w:val="242121"/>
          <w:lang w:val="en-GB"/>
        </w:rPr>
      </w:pPr>
      <w:r w:rsidRPr="008F5862">
        <w:rPr>
          <w:b/>
          <w:bCs/>
          <w:color w:val="242121"/>
          <w:lang w:val="en-GB"/>
        </w:rPr>
        <w:t xml:space="preserve">First </w:t>
      </w:r>
      <w:r w:rsidR="00272E20" w:rsidRPr="008F5862">
        <w:rPr>
          <w:b/>
          <w:bCs/>
          <w:color w:val="242121"/>
          <w:lang w:val="en-GB"/>
        </w:rPr>
        <w:t>Respondent</w:t>
      </w:r>
      <w:r w:rsidR="00DB3E2A">
        <w:rPr>
          <w:b/>
          <w:bCs/>
          <w:color w:val="242121"/>
          <w:lang w:val="en-GB"/>
        </w:rPr>
        <w:t>’</w:t>
      </w:r>
      <w:r w:rsidR="00323347" w:rsidRPr="008F5862">
        <w:rPr>
          <w:b/>
          <w:bCs/>
          <w:color w:val="242121"/>
          <w:lang w:val="en-GB"/>
        </w:rPr>
        <w:t>s</w:t>
      </w:r>
      <w:r w:rsidR="00272E20" w:rsidRPr="008F5862">
        <w:rPr>
          <w:b/>
          <w:bCs/>
          <w:color w:val="242121"/>
          <w:lang w:val="en-GB"/>
        </w:rPr>
        <w:t xml:space="preserve"> attorneys:</w:t>
      </w:r>
      <w:r w:rsidR="00CA38D5" w:rsidRPr="008F5862">
        <w:rPr>
          <w:b/>
          <w:bCs/>
          <w:color w:val="242121"/>
          <w:lang w:val="en-GB"/>
        </w:rPr>
        <w:t xml:space="preserve">  </w:t>
      </w:r>
      <w:r w:rsidRPr="008F5862">
        <w:rPr>
          <w:color w:val="242121"/>
          <w:lang w:val="en-GB"/>
        </w:rPr>
        <w:t>MacRobert Attorney</w:t>
      </w:r>
      <w:r w:rsidR="006D563A" w:rsidRPr="008F5862">
        <w:rPr>
          <w:color w:val="242121"/>
          <w:lang w:val="en-GB"/>
        </w:rPr>
        <w:t>s</w:t>
      </w:r>
    </w:p>
    <w:sectPr w:rsidR="002335C7" w:rsidRPr="008F5862" w:rsidSect="00011D67">
      <w:footerReference w:type="even" r:id="rId9"/>
      <w:footerReference w:type="default" r:id="rId10"/>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00FE0" w14:textId="77777777" w:rsidR="0086128C" w:rsidRDefault="0086128C" w:rsidP="00D04702">
      <w:pPr>
        <w:spacing w:after="0" w:line="240" w:lineRule="auto"/>
      </w:pPr>
      <w:r>
        <w:separator/>
      </w:r>
    </w:p>
  </w:endnote>
  <w:endnote w:type="continuationSeparator" w:id="0">
    <w:p w14:paraId="1CFC83F0" w14:textId="77777777" w:rsidR="0086128C" w:rsidRDefault="0086128C" w:rsidP="00D0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28DD" w14:textId="77777777" w:rsidR="00977D0A" w:rsidRDefault="00977D0A" w:rsidP="00035A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8B300" w14:textId="77777777" w:rsidR="00977D0A" w:rsidRDefault="00977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89688"/>
      <w:docPartObj>
        <w:docPartGallery w:val="Page Numbers (Bottom of Page)"/>
        <w:docPartUnique/>
      </w:docPartObj>
    </w:sdtPr>
    <w:sdtEndPr>
      <w:rPr>
        <w:noProof/>
      </w:rPr>
    </w:sdtEndPr>
    <w:sdtContent>
      <w:p w14:paraId="48316180" w14:textId="127B8154" w:rsidR="004378AD" w:rsidRDefault="004378AD">
        <w:pPr>
          <w:pStyle w:val="Footer"/>
          <w:jc w:val="right"/>
        </w:pPr>
        <w:r>
          <w:fldChar w:fldCharType="begin"/>
        </w:r>
        <w:r>
          <w:instrText xml:space="preserve"> PAGE   \* MERGEFORMAT </w:instrText>
        </w:r>
        <w:r>
          <w:fldChar w:fldCharType="separate"/>
        </w:r>
        <w:r w:rsidR="003253E5">
          <w:rPr>
            <w:noProof/>
          </w:rPr>
          <w:t>2</w:t>
        </w:r>
        <w:r>
          <w:rPr>
            <w:noProof/>
          </w:rPr>
          <w:fldChar w:fldCharType="end"/>
        </w:r>
      </w:p>
    </w:sdtContent>
  </w:sdt>
  <w:p w14:paraId="297649B0" w14:textId="77777777" w:rsidR="00977D0A" w:rsidRDefault="00977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94CAD" w14:textId="77777777" w:rsidR="0086128C" w:rsidRDefault="0086128C" w:rsidP="00D04702">
      <w:pPr>
        <w:spacing w:after="0" w:line="240" w:lineRule="auto"/>
      </w:pPr>
      <w:r>
        <w:separator/>
      </w:r>
    </w:p>
  </w:footnote>
  <w:footnote w:type="continuationSeparator" w:id="0">
    <w:p w14:paraId="436245DD" w14:textId="77777777" w:rsidR="0086128C" w:rsidRDefault="0086128C" w:rsidP="00D04702">
      <w:pPr>
        <w:spacing w:after="0" w:line="240" w:lineRule="auto"/>
      </w:pPr>
      <w:r>
        <w:continuationSeparator/>
      </w:r>
    </w:p>
  </w:footnote>
  <w:footnote w:id="1">
    <w:p w14:paraId="5C157B1E" w14:textId="44495FD1" w:rsidR="00344016" w:rsidRPr="00812511" w:rsidRDefault="00344016" w:rsidP="006B15EF">
      <w:pPr>
        <w:pStyle w:val="FootnoteText"/>
        <w:jc w:val="both"/>
        <w:rPr>
          <w:rFonts w:ascii="Times New Roman" w:hAnsi="Times New Roman" w:cs="Times New Roman"/>
          <w:sz w:val="20"/>
          <w:szCs w:val="20"/>
          <w:lang w:val="en-US"/>
        </w:rPr>
      </w:pPr>
      <w:r w:rsidRPr="00812511">
        <w:rPr>
          <w:rStyle w:val="FootnoteReference"/>
          <w:rFonts w:ascii="Times New Roman" w:hAnsi="Times New Roman" w:cs="Times New Roman"/>
          <w:sz w:val="20"/>
          <w:szCs w:val="20"/>
        </w:rPr>
        <w:footnoteRef/>
      </w:r>
      <w:r w:rsidRPr="00812511">
        <w:rPr>
          <w:rFonts w:ascii="Times New Roman" w:hAnsi="Times New Roman" w:cs="Times New Roman"/>
          <w:sz w:val="20"/>
          <w:szCs w:val="20"/>
        </w:rPr>
        <w:t xml:space="preserve"> </w:t>
      </w:r>
      <w:r w:rsidRPr="00812511">
        <w:rPr>
          <w:rFonts w:ascii="Times New Roman" w:hAnsi="Times New Roman" w:cs="Times New Roman"/>
          <w:sz w:val="20"/>
          <w:szCs w:val="20"/>
          <w:lang w:val="en-US"/>
        </w:rPr>
        <w:t>Rule 19A4.02(a)(i)</w:t>
      </w:r>
      <w:r w:rsidR="00831868" w:rsidRPr="00812511">
        <w:rPr>
          <w:rFonts w:ascii="Times New Roman" w:hAnsi="Times New Roman" w:cs="Times New Roman"/>
          <w:sz w:val="20"/>
          <w:szCs w:val="20"/>
          <w:lang w:val="en-US"/>
        </w:rPr>
        <w:t>.</w:t>
      </w:r>
    </w:p>
  </w:footnote>
  <w:footnote w:id="2">
    <w:p w14:paraId="42EBC0F1" w14:textId="6FCEC52A" w:rsidR="00E92F2C" w:rsidRPr="00812511" w:rsidRDefault="00E92F2C" w:rsidP="006B15EF">
      <w:pPr>
        <w:pStyle w:val="FootnoteText"/>
        <w:spacing w:after="120"/>
        <w:jc w:val="both"/>
        <w:rPr>
          <w:rFonts w:ascii="Times New Roman" w:hAnsi="Times New Roman" w:cs="Times New Roman"/>
          <w:sz w:val="20"/>
          <w:szCs w:val="20"/>
        </w:rPr>
      </w:pPr>
      <w:r w:rsidRPr="00812511">
        <w:rPr>
          <w:rStyle w:val="FootnoteReference"/>
          <w:rFonts w:ascii="Times New Roman" w:hAnsi="Times New Roman" w:cs="Times New Roman"/>
          <w:sz w:val="20"/>
          <w:szCs w:val="20"/>
        </w:rPr>
        <w:footnoteRef/>
      </w:r>
      <w:r w:rsidRPr="00812511">
        <w:rPr>
          <w:rFonts w:ascii="Times New Roman" w:hAnsi="Times New Roman" w:cs="Times New Roman"/>
          <w:sz w:val="20"/>
          <w:szCs w:val="20"/>
        </w:rPr>
        <w:t xml:space="preserve"> Section</w:t>
      </w:r>
      <w:r w:rsidR="006B15EF" w:rsidRPr="00812511">
        <w:rPr>
          <w:rFonts w:ascii="Times New Roman" w:hAnsi="Times New Roman" w:cs="Times New Roman"/>
          <w:sz w:val="20"/>
          <w:szCs w:val="20"/>
        </w:rPr>
        <w:t> </w:t>
      </w:r>
      <w:r w:rsidRPr="00812511">
        <w:rPr>
          <w:rFonts w:ascii="Times New Roman" w:hAnsi="Times New Roman" w:cs="Times New Roman"/>
          <w:sz w:val="20"/>
          <w:szCs w:val="20"/>
        </w:rPr>
        <w:t>47(9)(a)(i) provides as follows:</w:t>
      </w:r>
    </w:p>
    <w:p w14:paraId="385AEA88" w14:textId="0F20E2BC" w:rsidR="00E92F2C" w:rsidRPr="00812511" w:rsidRDefault="00DB3E2A" w:rsidP="00000F3D">
      <w:pPr>
        <w:pStyle w:val="FootnoteText"/>
        <w:spacing w:after="120"/>
        <w:ind w:firstLine="720"/>
        <w:jc w:val="both"/>
        <w:rPr>
          <w:rFonts w:ascii="Times New Roman" w:hAnsi="Times New Roman" w:cs="Times New Roman"/>
          <w:sz w:val="20"/>
          <w:szCs w:val="20"/>
        </w:rPr>
      </w:pPr>
      <w:r>
        <w:rPr>
          <w:rFonts w:ascii="Times New Roman" w:hAnsi="Times New Roman" w:cs="Times New Roman"/>
          <w:sz w:val="20"/>
          <w:szCs w:val="20"/>
        </w:rPr>
        <w:t>“</w:t>
      </w:r>
      <w:r w:rsidR="00E92F2C" w:rsidRPr="00812511">
        <w:rPr>
          <w:rFonts w:ascii="Times New Roman" w:hAnsi="Times New Roman" w:cs="Times New Roman"/>
          <w:sz w:val="20"/>
          <w:szCs w:val="20"/>
        </w:rPr>
        <w:t>(9) (a) (i) The Commissioner may in writing determine-</w:t>
      </w:r>
    </w:p>
    <w:p w14:paraId="12E43109" w14:textId="255922B0" w:rsidR="00E92F2C" w:rsidRPr="00812511" w:rsidRDefault="00E92F2C" w:rsidP="006B15EF">
      <w:pPr>
        <w:pStyle w:val="FootnoteText"/>
        <w:ind w:left="1276" w:hanging="556"/>
        <w:jc w:val="both"/>
        <w:rPr>
          <w:rFonts w:ascii="Times New Roman" w:hAnsi="Times New Roman" w:cs="Times New Roman"/>
          <w:sz w:val="20"/>
          <w:szCs w:val="20"/>
        </w:rPr>
      </w:pPr>
      <w:r w:rsidRPr="00812511">
        <w:rPr>
          <w:rFonts w:ascii="Times New Roman" w:hAnsi="Times New Roman" w:cs="Times New Roman"/>
          <w:sz w:val="20"/>
          <w:szCs w:val="20"/>
        </w:rPr>
        <w:t>(aa)</w:t>
      </w:r>
      <w:r w:rsidRPr="00812511">
        <w:rPr>
          <w:rFonts w:ascii="Times New Roman" w:hAnsi="Times New Roman" w:cs="Times New Roman"/>
          <w:sz w:val="20"/>
          <w:szCs w:val="20"/>
        </w:rPr>
        <w:tab/>
        <w:t>the tariff headings, tariff subheadings or tariff items or other items of any Schedule under which any imported goods, goods manufactured in the Republic or goods exported shall be classified; or</w:t>
      </w:r>
    </w:p>
    <w:p w14:paraId="5B478562" w14:textId="3974138B" w:rsidR="00E92F2C" w:rsidRPr="00812511" w:rsidRDefault="00E92F2C" w:rsidP="006B15EF">
      <w:pPr>
        <w:pStyle w:val="FootnoteText"/>
        <w:spacing w:after="120"/>
        <w:ind w:left="1276" w:hanging="556"/>
        <w:jc w:val="both"/>
        <w:rPr>
          <w:rFonts w:ascii="Times New Roman" w:hAnsi="Times New Roman" w:cs="Times New Roman"/>
          <w:sz w:val="20"/>
          <w:szCs w:val="20"/>
        </w:rPr>
      </w:pPr>
      <w:r w:rsidRPr="00812511">
        <w:rPr>
          <w:rFonts w:ascii="Times New Roman" w:hAnsi="Times New Roman" w:cs="Times New Roman"/>
          <w:sz w:val="20"/>
          <w:szCs w:val="20"/>
        </w:rPr>
        <w:t>(bb)</w:t>
      </w:r>
      <w:r w:rsidRPr="00812511">
        <w:rPr>
          <w:rFonts w:ascii="Times New Roman" w:hAnsi="Times New Roman" w:cs="Times New Roman"/>
          <w:sz w:val="20"/>
          <w:szCs w:val="20"/>
        </w:rPr>
        <w:tab/>
        <w:t>whether goods so classified under such tariff headings, tariff subheadings, tariff items or other items of Schedule</w:t>
      </w:r>
      <w:r w:rsidR="006B15EF" w:rsidRPr="00812511">
        <w:rPr>
          <w:rFonts w:ascii="Times New Roman" w:hAnsi="Times New Roman" w:cs="Times New Roman"/>
          <w:sz w:val="20"/>
          <w:szCs w:val="20"/>
        </w:rPr>
        <w:t> </w:t>
      </w:r>
      <w:r w:rsidRPr="00812511">
        <w:rPr>
          <w:rFonts w:ascii="Times New Roman" w:hAnsi="Times New Roman" w:cs="Times New Roman"/>
          <w:sz w:val="20"/>
          <w:szCs w:val="20"/>
        </w:rPr>
        <w:t>3, 4, 5 or 6 may be used, manufactured, exported or otherwise disposed of or have been used, manufactured, exported or otherwise disposed of as provided in such tariff items or other items specified in any such Schedule.</w:t>
      </w:r>
    </w:p>
    <w:p w14:paraId="275DE08F" w14:textId="1ABA91DF" w:rsidR="00E92F2C" w:rsidRPr="00812511" w:rsidRDefault="00E92F2C" w:rsidP="006B15EF">
      <w:pPr>
        <w:pStyle w:val="FootnoteText"/>
        <w:jc w:val="both"/>
        <w:rPr>
          <w:rFonts w:ascii="Times New Roman" w:hAnsi="Times New Roman" w:cs="Times New Roman"/>
          <w:sz w:val="20"/>
          <w:szCs w:val="20"/>
          <w:lang w:val="en-US"/>
        </w:rPr>
      </w:pPr>
      <w:r w:rsidRPr="00812511">
        <w:rPr>
          <w:rFonts w:ascii="Times New Roman" w:hAnsi="Times New Roman" w:cs="Times New Roman"/>
          <w:sz w:val="20"/>
          <w:szCs w:val="20"/>
        </w:rPr>
        <w:t>The present matter is not concerned with the classification of goods (para</w:t>
      </w:r>
      <w:r w:rsidR="00C876F7" w:rsidRPr="00812511">
        <w:rPr>
          <w:rFonts w:ascii="Times New Roman" w:hAnsi="Times New Roman" w:cs="Times New Roman"/>
          <w:sz w:val="20"/>
          <w:szCs w:val="20"/>
        </w:rPr>
        <w:t> </w:t>
      </w:r>
      <w:r w:rsidRPr="00812511">
        <w:rPr>
          <w:rFonts w:ascii="Times New Roman" w:hAnsi="Times New Roman" w:cs="Times New Roman"/>
          <w:sz w:val="20"/>
          <w:szCs w:val="20"/>
        </w:rPr>
        <w:t xml:space="preserve">(aa) above) but with </w:t>
      </w:r>
      <w:r w:rsidR="00661CF0" w:rsidRPr="00812511">
        <w:rPr>
          <w:rFonts w:ascii="Times New Roman" w:hAnsi="Times New Roman" w:cs="Times New Roman"/>
          <w:sz w:val="20"/>
          <w:szCs w:val="20"/>
        </w:rPr>
        <w:t xml:space="preserve">whether </w:t>
      </w:r>
      <w:r w:rsidR="00C876F7" w:rsidRPr="00812511">
        <w:rPr>
          <w:rFonts w:ascii="Times New Roman" w:hAnsi="Times New Roman" w:cs="Times New Roman"/>
          <w:sz w:val="20"/>
          <w:szCs w:val="20"/>
        </w:rPr>
        <w:t xml:space="preserve">the </w:t>
      </w:r>
      <w:r w:rsidR="00661CF0" w:rsidRPr="00812511">
        <w:rPr>
          <w:rFonts w:ascii="Times New Roman" w:hAnsi="Times New Roman" w:cs="Times New Roman"/>
          <w:sz w:val="20"/>
          <w:szCs w:val="20"/>
        </w:rPr>
        <w:t>fuel goods ha</w:t>
      </w:r>
      <w:r w:rsidR="00C876F7" w:rsidRPr="00812511">
        <w:rPr>
          <w:rFonts w:ascii="Times New Roman" w:hAnsi="Times New Roman" w:cs="Times New Roman"/>
          <w:sz w:val="20"/>
          <w:szCs w:val="20"/>
        </w:rPr>
        <w:t>d</w:t>
      </w:r>
      <w:r w:rsidR="00661CF0" w:rsidRPr="00812511">
        <w:rPr>
          <w:rFonts w:ascii="Times New Roman" w:hAnsi="Times New Roman" w:cs="Times New Roman"/>
          <w:sz w:val="20"/>
          <w:szCs w:val="20"/>
        </w:rPr>
        <w:t xml:space="preserve"> been exported as provided</w:t>
      </w:r>
      <w:r w:rsidR="00000F3D" w:rsidRPr="00812511">
        <w:rPr>
          <w:rFonts w:ascii="Times New Roman" w:hAnsi="Times New Roman" w:cs="Times New Roman"/>
          <w:sz w:val="20"/>
          <w:szCs w:val="20"/>
        </w:rPr>
        <w:t xml:space="preserve"> in the items</w:t>
      </w:r>
      <w:r w:rsidR="00661CF0" w:rsidRPr="00812511">
        <w:rPr>
          <w:rFonts w:ascii="Times New Roman" w:hAnsi="Times New Roman" w:cs="Times New Roman"/>
          <w:sz w:val="20"/>
          <w:szCs w:val="20"/>
        </w:rPr>
        <w:t xml:space="preserve"> (para</w:t>
      </w:r>
      <w:r w:rsidR="005507BD" w:rsidRPr="00812511">
        <w:rPr>
          <w:rFonts w:ascii="Times New Roman" w:hAnsi="Times New Roman" w:cs="Times New Roman"/>
          <w:sz w:val="20"/>
          <w:szCs w:val="20"/>
        </w:rPr>
        <w:t> </w:t>
      </w:r>
      <w:r w:rsidR="00661CF0" w:rsidRPr="00812511">
        <w:rPr>
          <w:rFonts w:ascii="Times New Roman" w:hAnsi="Times New Roman" w:cs="Times New Roman"/>
          <w:sz w:val="20"/>
          <w:szCs w:val="20"/>
        </w:rPr>
        <w:t xml:space="preserve">(bb) above). </w:t>
      </w:r>
    </w:p>
  </w:footnote>
  <w:footnote w:id="3">
    <w:p w14:paraId="376FF332" w14:textId="79B1597B" w:rsidR="00F41DC3" w:rsidRPr="00812511" w:rsidRDefault="00F41DC3" w:rsidP="006B15EF">
      <w:pPr>
        <w:pStyle w:val="FootnoteText"/>
        <w:jc w:val="both"/>
        <w:rPr>
          <w:rFonts w:ascii="Times New Roman" w:hAnsi="Times New Roman" w:cs="Times New Roman"/>
          <w:sz w:val="20"/>
          <w:szCs w:val="20"/>
          <w:lang w:val="en-US"/>
        </w:rPr>
      </w:pPr>
      <w:r w:rsidRPr="00812511">
        <w:rPr>
          <w:rStyle w:val="FootnoteReference"/>
          <w:rFonts w:ascii="Times New Roman" w:hAnsi="Times New Roman" w:cs="Times New Roman"/>
          <w:sz w:val="20"/>
          <w:szCs w:val="20"/>
        </w:rPr>
        <w:footnoteRef/>
      </w:r>
      <w:r w:rsidRPr="00812511">
        <w:rPr>
          <w:rFonts w:ascii="Times New Roman" w:hAnsi="Times New Roman" w:cs="Times New Roman"/>
          <w:sz w:val="20"/>
          <w:szCs w:val="20"/>
        </w:rPr>
        <w:t xml:space="preserve"> </w:t>
      </w:r>
      <w:r w:rsidRPr="00812511">
        <w:rPr>
          <w:rFonts w:ascii="Times New Roman" w:hAnsi="Times New Roman" w:cs="Times New Roman"/>
          <w:sz w:val="20"/>
          <w:szCs w:val="20"/>
          <w:lang w:val="en-US"/>
        </w:rPr>
        <w:t xml:space="preserve">The full citation is </w:t>
      </w:r>
      <w:r w:rsidRPr="00812511">
        <w:rPr>
          <w:rFonts w:ascii="Times New Roman" w:hAnsi="Times New Roman" w:cs="Times New Roman"/>
          <w:b/>
          <w:bCs/>
          <w:sz w:val="20"/>
          <w:szCs w:val="20"/>
          <w:u w:val="single"/>
          <w:lang w:val="en-US"/>
        </w:rPr>
        <w:t xml:space="preserve">Petroleum Oil and Gas Corporation of South Africa </w:t>
      </w:r>
      <w:r w:rsidR="006C1B22" w:rsidRPr="00812511">
        <w:rPr>
          <w:rFonts w:ascii="Times New Roman" w:hAnsi="Times New Roman" w:cs="Times New Roman"/>
          <w:b/>
          <w:bCs/>
          <w:sz w:val="20"/>
          <w:szCs w:val="20"/>
          <w:u w:val="single"/>
          <w:lang w:val="en-US"/>
        </w:rPr>
        <w:t>(SOC) Ltd vs The Commissioner for the South African Revenue Service</w:t>
      </w:r>
      <w:r w:rsidR="006C1B22" w:rsidRPr="00812511">
        <w:rPr>
          <w:rFonts w:ascii="Times New Roman" w:hAnsi="Times New Roman" w:cs="Times New Roman"/>
          <w:sz w:val="20"/>
          <w:szCs w:val="20"/>
          <w:lang w:val="en-US"/>
        </w:rPr>
        <w:t xml:space="preserve"> Case No: 21471 / 2020</w:t>
      </w:r>
      <w:r w:rsidR="008D27DE" w:rsidRPr="00812511">
        <w:rPr>
          <w:rFonts w:ascii="Times New Roman" w:hAnsi="Times New Roman" w:cs="Times New Roman"/>
          <w:sz w:val="20"/>
          <w:szCs w:val="20"/>
          <w:lang w:val="en-US"/>
        </w:rPr>
        <w:t xml:space="preserve">.  I shall refer to this Judgment as the </w:t>
      </w:r>
      <w:r w:rsidR="008D27DE" w:rsidRPr="00812511">
        <w:rPr>
          <w:rFonts w:ascii="Times New Roman" w:hAnsi="Times New Roman" w:cs="Times New Roman"/>
          <w:b/>
          <w:bCs/>
          <w:sz w:val="20"/>
          <w:szCs w:val="20"/>
          <w:u w:val="single"/>
          <w:lang w:val="en-US"/>
        </w:rPr>
        <w:t>Gauteng Suspension Judgment</w:t>
      </w:r>
      <w:r w:rsidR="008D27DE" w:rsidRPr="00812511">
        <w:rPr>
          <w:rFonts w:ascii="Times New Roman" w:hAnsi="Times New Roman" w:cs="Times New Roman"/>
          <w:sz w:val="20"/>
          <w:szCs w:val="20"/>
          <w:lang w:val="en-US"/>
        </w:rPr>
        <w:t>.</w:t>
      </w:r>
    </w:p>
  </w:footnote>
  <w:footnote w:id="4">
    <w:p w14:paraId="348F330E" w14:textId="7402379A" w:rsidR="000E1955" w:rsidRPr="00812511" w:rsidRDefault="001B3104" w:rsidP="00D40296">
      <w:pPr>
        <w:pStyle w:val="FootnoteText"/>
        <w:spacing w:after="120"/>
        <w:jc w:val="both"/>
        <w:rPr>
          <w:rFonts w:ascii="Times New Roman" w:hAnsi="Times New Roman" w:cs="Times New Roman"/>
          <w:sz w:val="20"/>
          <w:szCs w:val="20"/>
          <w:lang w:val="en-US"/>
        </w:rPr>
      </w:pPr>
      <w:r w:rsidRPr="00812511">
        <w:rPr>
          <w:rStyle w:val="FootnoteReference"/>
          <w:rFonts w:ascii="Times New Roman" w:hAnsi="Times New Roman" w:cs="Times New Roman"/>
          <w:sz w:val="20"/>
          <w:szCs w:val="20"/>
        </w:rPr>
        <w:footnoteRef/>
      </w:r>
      <w:r w:rsidR="00D40296" w:rsidRPr="00812511">
        <w:rPr>
          <w:rFonts w:ascii="Times New Roman" w:hAnsi="Times New Roman" w:cs="Times New Roman"/>
          <w:sz w:val="20"/>
          <w:szCs w:val="20"/>
        </w:rPr>
        <w:t xml:space="preserve"> </w:t>
      </w:r>
      <w:r w:rsidRPr="00812511">
        <w:rPr>
          <w:rFonts w:ascii="Times New Roman" w:hAnsi="Times New Roman" w:cs="Times New Roman"/>
          <w:sz w:val="20"/>
          <w:szCs w:val="20"/>
        </w:rPr>
        <w:t xml:space="preserve">In </w:t>
      </w:r>
      <w:r w:rsidRPr="00812511">
        <w:rPr>
          <w:rFonts w:ascii="Times New Roman" w:hAnsi="Times New Roman" w:cs="Times New Roman"/>
          <w:b/>
          <w:bCs/>
          <w:sz w:val="20"/>
          <w:szCs w:val="20"/>
          <w:u w:val="single"/>
        </w:rPr>
        <w:t>BP Gauteng</w:t>
      </w:r>
      <w:r w:rsidRPr="00812511">
        <w:rPr>
          <w:rFonts w:ascii="Times New Roman" w:hAnsi="Times New Roman" w:cs="Times New Roman"/>
          <w:sz w:val="20"/>
          <w:szCs w:val="20"/>
        </w:rPr>
        <w:t xml:space="preserve">, the Court held that the best evidence of the fact that the fuel goods crossed the border would be an affidavit from a person who physically took the fuel across the border.  In that case such an affidavit was not produced.  </w:t>
      </w:r>
      <w:r w:rsidR="00A32145" w:rsidRPr="00812511">
        <w:rPr>
          <w:rFonts w:ascii="Times New Roman" w:hAnsi="Times New Roman" w:cs="Times New Roman"/>
          <w:sz w:val="20"/>
          <w:szCs w:val="20"/>
        </w:rPr>
        <w:t xml:space="preserve">In the present instance </w:t>
      </w:r>
      <w:r w:rsidR="00214F3B" w:rsidRPr="00812511">
        <w:rPr>
          <w:rFonts w:ascii="Times New Roman" w:hAnsi="Times New Roman" w:cs="Times New Roman"/>
          <w:sz w:val="20"/>
          <w:szCs w:val="20"/>
        </w:rPr>
        <w:t>PetroSA</w:t>
      </w:r>
      <w:r w:rsidR="00DB3E2A">
        <w:rPr>
          <w:rFonts w:ascii="Times New Roman" w:hAnsi="Times New Roman" w:cs="Times New Roman"/>
          <w:sz w:val="20"/>
          <w:szCs w:val="20"/>
        </w:rPr>
        <w:t>’</w:t>
      </w:r>
      <w:r w:rsidR="00214F3B" w:rsidRPr="00812511">
        <w:rPr>
          <w:rFonts w:ascii="Times New Roman" w:hAnsi="Times New Roman" w:cs="Times New Roman"/>
          <w:sz w:val="20"/>
          <w:szCs w:val="20"/>
        </w:rPr>
        <w:t>s position is that</w:t>
      </w:r>
      <w:r w:rsidR="001D10D6" w:rsidRPr="00812511">
        <w:rPr>
          <w:rFonts w:ascii="Times New Roman" w:hAnsi="Times New Roman" w:cs="Times New Roman"/>
          <w:sz w:val="20"/>
          <w:szCs w:val="20"/>
        </w:rPr>
        <w:t>,</w:t>
      </w:r>
      <w:r w:rsidR="00214F3B" w:rsidRPr="00812511">
        <w:rPr>
          <w:rFonts w:ascii="Times New Roman" w:hAnsi="Times New Roman" w:cs="Times New Roman"/>
          <w:sz w:val="20"/>
          <w:szCs w:val="20"/>
        </w:rPr>
        <w:t xml:space="preserve"> </w:t>
      </w:r>
      <w:r w:rsidR="00643537" w:rsidRPr="00812511">
        <w:rPr>
          <w:rFonts w:ascii="Times New Roman" w:hAnsi="Times New Roman" w:cs="Times New Roman"/>
          <w:sz w:val="20"/>
          <w:szCs w:val="20"/>
        </w:rPr>
        <w:t>where necessary</w:t>
      </w:r>
      <w:r w:rsidR="001D10D6" w:rsidRPr="00812511">
        <w:rPr>
          <w:rFonts w:ascii="Times New Roman" w:hAnsi="Times New Roman" w:cs="Times New Roman"/>
          <w:sz w:val="20"/>
          <w:szCs w:val="20"/>
        </w:rPr>
        <w:t>,</w:t>
      </w:r>
      <w:r w:rsidR="00643537" w:rsidRPr="00812511">
        <w:rPr>
          <w:rFonts w:ascii="Times New Roman" w:hAnsi="Times New Roman" w:cs="Times New Roman"/>
          <w:sz w:val="20"/>
          <w:szCs w:val="20"/>
        </w:rPr>
        <w:t xml:space="preserve"> acquittal of export entries was based on affidavits. </w:t>
      </w:r>
      <w:r w:rsidR="00D40296" w:rsidRPr="00812511">
        <w:rPr>
          <w:rFonts w:ascii="Times New Roman" w:hAnsi="Times New Roman" w:cs="Times New Roman"/>
          <w:sz w:val="20"/>
          <w:szCs w:val="20"/>
        </w:rPr>
        <w:t>The factual position is</w:t>
      </w:r>
      <w:r w:rsidR="001D10D6" w:rsidRPr="00812511">
        <w:rPr>
          <w:rFonts w:ascii="Times New Roman" w:hAnsi="Times New Roman" w:cs="Times New Roman"/>
          <w:sz w:val="20"/>
          <w:szCs w:val="20"/>
        </w:rPr>
        <w:t xml:space="preserve"> accordingly</w:t>
      </w:r>
      <w:r w:rsidR="00D40296" w:rsidRPr="00812511">
        <w:rPr>
          <w:rFonts w:ascii="Times New Roman" w:hAnsi="Times New Roman" w:cs="Times New Roman"/>
          <w:sz w:val="20"/>
          <w:szCs w:val="20"/>
        </w:rPr>
        <w:t xml:space="preserve"> not the same as in </w:t>
      </w:r>
      <w:r w:rsidR="00D40296" w:rsidRPr="00812511">
        <w:rPr>
          <w:rFonts w:ascii="Times New Roman" w:hAnsi="Times New Roman" w:cs="Times New Roman"/>
          <w:b/>
          <w:bCs/>
          <w:sz w:val="20"/>
          <w:szCs w:val="20"/>
          <w:u w:val="single"/>
        </w:rPr>
        <w:t>BP Gauteng</w:t>
      </w:r>
      <w:r w:rsidR="00D40296" w:rsidRPr="00812511">
        <w:rPr>
          <w:rFonts w:ascii="Times New Roman" w:hAnsi="Times New Roman" w:cs="Times New Roman"/>
          <w:sz w:val="20"/>
          <w:szCs w:val="20"/>
        </w:rPr>
        <w:t xml:space="preserve">. </w:t>
      </w:r>
      <w:r w:rsidR="00A95A6C" w:rsidRPr="00812511">
        <w:rPr>
          <w:rFonts w:ascii="Times New Roman" w:hAnsi="Times New Roman" w:cs="Times New Roman"/>
          <w:sz w:val="20"/>
          <w:szCs w:val="20"/>
        </w:rPr>
        <w:t xml:space="preserve"> SARS contended that </w:t>
      </w:r>
      <w:r w:rsidR="00410ACC" w:rsidRPr="00812511">
        <w:rPr>
          <w:rFonts w:ascii="Times New Roman" w:hAnsi="Times New Roman" w:cs="Times New Roman"/>
          <w:sz w:val="20"/>
          <w:szCs w:val="20"/>
        </w:rPr>
        <w:t xml:space="preserve">Petro SA did not obtain approval to submit affidavits </w:t>
      </w:r>
      <w:r w:rsidR="006208EE" w:rsidRPr="00812511">
        <w:rPr>
          <w:rFonts w:ascii="Times New Roman" w:hAnsi="Times New Roman" w:cs="Times New Roman"/>
          <w:sz w:val="20"/>
          <w:szCs w:val="20"/>
        </w:rPr>
        <w:t xml:space="preserve">as proof of export in the absence of the relevant original export documentation. </w:t>
      </w:r>
    </w:p>
  </w:footnote>
  <w:footnote w:id="5">
    <w:p w14:paraId="3279A9BA" w14:textId="04F573A4" w:rsidR="00EE4DF6" w:rsidRPr="00812511" w:rsidRDefault="00EE4DF6" w:rsidP="00255A08">
      <w:pPr>
        <w:pStyle w:val="FootnoteText"/>
        <w:spacing w:after="120"/>
        <w:jc w:val="both"/>
        <w:rPr>
          <w:rFonts w:ascii="Times New Roman" w:hAnsi="Times New Roman" w:cs="Times New Roman"/>
          <w:sz w:val="20"/>
          <w:szCs w:val="20"/>
          <w:lang w:val="en-US"/>
        </w:rPr>
      </w:pPr>
      <w:r w:rsidRPr="00812511">
        <w:rPr>
          <w:rStyle w:val="FootnoteReference"/>
          <w:rFonts w:ascii="Times New Roman" w:hAnsi="Times New Roman" w:cs="Times New Roman"/>
          <w:sz w:val="20"/>
          <w:szCs w:val="20"/>
        </w:rPr>
        <w:footnoteRef/>
      </w:r>
      <w:r w:rsidRPr="00812511">
        <w:rPr>
          <w:rFonts w:ascii="Times New Roman" w:hAnsi="Times New Roman" w:cs="Times New Roman"/>
          <w:sz w:val="20"/>
          <w:szCs w:val="20"/>
        </w:rPr>
        <w:t xml:space="preserve"> </w:t>
      </w:r>
      <w:r w:rsidR="0019520B" w:rsidRPr="00812511">
        <w:rPr>
          <w:rFonts w:ascii="Times New Roman" w:hAnsi="Times New Roman" w:cs="Times New Roman"/>
          <w:sz w:val="20"/>
          <w:szCs w:val="20"/>
          <w:lang w:val="en-US"/>
        </w:rPr>
        <w:t xml:space="preserve">As an example, the following was provided </w:t>
      </w:r>
      <w:r w:rsidR="00317BBC" w:rsidRPr="00812511">
        <w:rPr>
          <w:rFonts w:ascii="Times New Roman" w:hAnsi="Times New Roman" w:cs="Times New Roman"/>
          <w:sz w:val="20"/>
          <w:szCs w:val="20"/>
          <w:lang w:val="en-US"/>
        </w:rPr>
        <w:t>in respect of Tswana</w:t>
      </w:r>
      <w:r w:rsidR="0048747A" w:rsidRPr="00812511">
        <w:rPr>
          <w:rFonts w:ascii="Times New Roman" w:hAnsi="Times New Roman" w:cs="Times New Roman"/>
          <w:sz w:val="20"/>
          <w:szCs w:val="20"/>
          <w:lang w:val="en-US"/>
        </w:rPr>
        <w:t xml:space="preserve"> </w:t>
      </w:r>
      <w:r w:rsidR="004D1B8B" w:rsidRPr="00812511">
        <w:rPr>
          <w:rFonts w:ascii="Times New Roman" w:hAnsi="Times New Roman" w:cs="Times New Roman"/>
          <w:sz w:val="20"/>
          <w:szCs w:val="20"/>
          <w:lang w:val="en-US"/>
        </w:rPr>
        <w:t xml:space="preserve">Fuel </w:t>
      </w:r>
      <w:r w:rsidR="00317BBC" w:rsidRPr="00812511">
        <w:rPr>
          <w:rFonts w:ascii="Times New Roman" w:hAnsi="Times New Roman" w:cs="Times New Roman"/>
          <w:sz w:val="20"/>
          <w:szCs w:val="20"/>
          <w:lang w:val="en-US"/>
        </w:rPr>
        <w:t>transactions:</w:t>
      </w:r>
    </w:p>
    <w:p w14:paraId="79747C9D" w14:textId="519800D9" w:rsidR="00317BBC" w:rsidRPr="00812511" w:rsidRDefault="003253E5" w:rsidP="003253E5">
      <w:pPr>
        <w:pStyle w:val="FootnoteText"/>
        <w:ind w:left="720" w:hanging="360"/>
        <w:jc w:val="both"/>
        <w:rPr>
          <w:rFonts w:ascii="Times New Roman" w:hAnsi="Times New Roman" w:cs="Times New Roman"/>
          <w:sz w:val="20"/>
          <w:szCs w:val="20"/>
          <w:lang w:val="en-US"/>
        </w:rPr>
      </w:pPr>
      <w:r w:rsidRPr="00812511">
        <w:rPr>
          <w:rFonts w:ascii="Symbol" w:hAnsi="Symbol" w:cs="Times New Roman"/>
          <w:sz w:val="20"/>
          <w:szCs w:val="20"/>
          <w:lang w:val="en-US"/>
        </w:rPr>
        <w:t></w:t>
      </w:r>
      <w:r w:rsidRPr="00812511">
        <w:rPr>
          <w:rFonts w:ascii="Symbol" w:hAnsi="Symbol" w:cs="Times New Roman"/>
          <w:sz w:val="20"/>
          <w:szCs w:val="20"/>
          <w:lang w:val="en-US"/>
        </w:rPr>
        <w:tab/>
      </w:r>
      <w:r w:rsidR="00317BBC" w:rsidRPr="00812511">
        <w:rPr>
          <w:rFonts w:ascii="Times New Roman" w:hAnsi="Times New Roman" w:cs="Times New Roman"/>
          <w:sz w:val="20"/>
          <w:szCs w:val="20"/>
          <w:lang w:val="en-US"/>
        </w:rPr>
        <w:t>Affidavit from Turners</w:t>
      </w:r>
      <w:r w:rsidR="00E54220" w:rsidRPr="00812511">
        <w:rPr>
          <w:rFonts w:ascii="Times New Roman" w:hAnsi="Times New Roman" w:cs="Times New Roman"/>
          <w:sz w:val="20"/>
          <w:szCs w:val="20"/>
          <w:lang w:val="en-US"/>
        </w:rPr>
        <w:t xml:space="preserve"> Shipping reflecting inter alia </w:t>
      </w:r>
      <w:r w:rsidR="00E74E8B" w:rsidRPr="00812511">
        <w:rPr>
          <w:rFonts w:ascii="Times New Roman" w:hAnsi="Times New Roman" w:cs="Times New Roman"/>
          <w:sz w:val="20"/>
          <w:szCs w:val="20"/>
          <w:lang w:val="en-US"/>
        </w:rPr>
        <w:t>that the goods were delivered at the delivery destination.</w:t>
      </w:r>
    </w:p>
    <w:p w14:paraId="350506F6" w14:textId="66D9EE4D" w:rsidR="00E74E8B" w:rsidRPr="00812511" w:rsidRDefault="003253E5" w:rsidP="003253E5">
      <w:pPr>
        <w:pStyle w:val="FootnoteText"/>
        <w:ind w:left="720" w:hanging="360"/>
        <w:jc w:val="both"/>
        <w:rPr>
          <w:rFonts w:ascii="Times New Roman" w:hAnsi="Times New Roman" w:cs="Times New Roman"/>
          <w:sz w:val="20"/>
          <w:szCs w:val="20"/>
          <w:lang w:val="en-US"/>
        </w:rPr>
      </w:pPr>
      <w:r w:rsidRPr="00812511">
        <w:rPr>
          <w:rFonts w:ascii="Symbol" w:hAnsi="Symbol" w:cs="Times New Roman"/>
          <w:sz w:val="20"/>
          <w:szCs w:val="20"/>
          <w:lang w:val="en-US"/>
        </w:rPr>
        <w:t></w:t>
      </w:r>
      <w:r w:rsidRPr="00812511">
        <w:rPr>
          <w:rFonts w:ascii="Symbol" w:hAnsi="Symbol" w:cs="Times New Roman"/>
          <w:sz w:val="20"/>
          <w:szCs w:val="20"/>
          <w:lang w:val="en-US"/>
        </w:rPr>
        <w:tab/>
      </w:r>
      <w:r w:rsidR="00E74E8B" w:rsidRPr="00812511">
        <w:rPr>
          <w:rFonts w:ascii="Times New Roman" w:hAnsi="Times New Roman" w:cs="Times New Roman"/>
          <w:sz w:val="20"/>
          <w:szCs w:val="20"/>
          <w:lang w:val="en-US"/>
        </w:rPr>
        <w:t>SAD 500</w:t>
      </w:r>
    </w:p>
    <w:p w14:paraId="2AF62ACD" w14:textId="5CDB5F0A" w:rsidR="00E74E8B" w:rsidRPr="00812511" w:rsidRDefault="003253E5" w:rsidP="003253E5">
      <w:pPr>
        <w:pStyle w:val="FootnoteText"/>
        <w:ind w:left="720" w:hanging="360"/>
        <w:jc w:val="both"/>
        <w:rPr>
          <w:rFonts w:ascii="Times New Roman" w:hAnsi="Times New Roman" w:cs="Times New Roman"/>
          <w:sz w:val="20"/>
          <w:szCs w:val="20"/>
          <w:lang w:val="en-US"/>
        </w:rPr>
      </w:pPr>
      <w:r w:rsidRPr="00812511">
        <w:rPr>
          <w:rFonts w:ascii="Symbol" w:hAnsi="Symbol" w:cs="Times New Roman"/>
          <w:sz w:val="20"/>
          <w:szCs w:val="20"/>
          <w:lang w:val="en-US"/>
        </w:rPr>
        <w:t></w:t>
      </w:r>
      <w:r w:rsidRPr="00812511">
        <w:rPr>
          <w:rFonts w:ascii="Symbol" w:hAnsi="Symbol" w:cs="Times New Roman"/>
          <w:sz w:val="20"/>
          <w:szCs w:val="20"/>
          <w:lang w:val="en-US"/>
        </w:rPr>
        <w:tab/>
      </w:r>
      <w:r w:rsidR="001315DF" w:rsidRPr="00812511">
        <w:rPr>
          <w:rFonts w:ascii="Times New Roman" w:hAnsi="Times New Roman" w:cs="Times New Roman"/>
          <w:sz w:val="20"/>
          <w:szCs w:val="20"/>
          <w:lang w:val="en-US"/>
        </w:rPr>
        <w:t>SAD 502</w:t>
      </w:r>
    </w:p>
    <w:p w14:paraId="48FF8CE2" w14:textId="084F14BE" w:rsidR="001315DF" w:rsidRPr="00812511" w:rsidRDefault="003253E5" w:rsidP="003253E5">
      <w:pPr>
        <w:pStyle w:val="FootnoteText"/>
        <w:ind w:left="720" w:hanging="360"/>
        <w:jc w:val="both"/>
        <w:rPr>
          <w:rFonts w:ascii="Times New Roman" w:hAnsi="Times New Roman" w:cs="Times New Roman"/>
          <w:sz w:val="20"/>
          <w:szCs w:val="20"/>
          <w:lang w:val="en-US"/>
        </w:rPr>
      </w:pPr>
      <w:r w:rsidRPr="00812511">
        <w:rPr>
          <w:rFonts w:ascii="Symbol" w:hAnsi="Symbol" w:cs="Times New Roman"/>
          <w:sz w:val="20"/>
          <w:szCs w:val="20"/>
          <w:lang w:val="en-US"/>
        </w:rPr>
        <w:t></w:t>
      </w:r>
      <w:r w:rsidRPr="00812511">
        <w:rPr>
          <w:rFonts w:ascii="Symbol" w:hAnsi="Symbol" w:cs="Times New Roman"/>
          <w:sz w:val="20"/>
          <w:szCs w:val="20"/>
          <w:lang w:val="en-US"/>
        </w:rPr>
        <w:tab/>
      </w:r>
      <w:r w:rsidR="001315DF" w:rsidRPr="00812511">
        <w:rPr>
          <w:rFonts w:ascii="Times New Roman" w:hAnsi="Times New Roman" w:cs="Times New Roman"/>
          <w:sz w:val="20"/>
          <w:szCs w:val="20"/>
          <w:lang w:val="en-US"/>
        </w:rPr>
        <w:t>Customs release notification</w:t>
      </w:r>
    </w:p>
    <w:p w14:paraId="515AABD4" w14:textId="0B10385E" w:rsidR="001315DF" w:rsidRPr="00812511" w:rsidRDefault="003253E5" w:rsidP="003253E5">
      <w:pPr>
        <w:pStyle w:val="FootnoteText"/>
        <w:ind w:left="720" w:hanging="360"/>
        <w:jc w:val="both"/>
        <w:rPr>
          <w:rFonts w:ascii="Times New Roman" w:hAnsi="Times New Roman" w:cs="Times New Roman"/>
          <w:sz w:val="20"/>
          <w:szCs w:val="20"/>
          <w:lang w:val="en-US"/>
        </w:rPr>
      </w:pPr>
      <w:r w:rsidRPr="00812511">
        <w:rPr>
          <w:rFonts w:ascii="Symbol" w:hAnsi="Symbol" w:cs="Times New Roman"/>
          <w:sz w:val="20"/>
          <w:szCs w:val="20"/>
          <w:lang w:val="en-US"/>
        </w:rPr>
        <w:t></w:t>
      </w:r>
      <w:r w:rsidRPr="00812511">
        <w:rPr>
          <w:rFonts w:ascii="Symbol" w:hAnsi="Symbol" w:cs="Times New Roman"/>
          <w:sz w:val="20"/>
          <w:szCs w:val="20"/>
          <w:lang w:val="en-US"/>
        </w:rPr>
        <w:tab/>
      </w:r>
      <w:r w:rsidR="001315DF" w:rsidRPr="00812511">
        <w:rPr>
          <w:rFonts w:ascii="Times New Roman" w:hAnsi="Times New Roman" w:cs="Times New Roman"/>
          <w:sz w:val="20"/>
          <w:szCs w:val="20"/>
          <w:lang w:val="en-US"/>
        </w:rPr>
        <w:t>Road manifest</w:t>
      </w:r>
    </w:p>
    <w:p w14:paraId="6DE4B801" w14:textId="7A46D96E" w:rsidR="001315DF" w:rsidRPr="00812511" w:rsidRDefault="003253E5" w:rsidP="003253E5">
      <w:pPr>
        <w:pStyle w:val="FootnoteText"/>
        <w:ind w:left="720" w:hanging="360"/>
        <w:jc w:val="both"/>
        <w:rPr>
          <w:rFonts w:ascii="Times New Roman" w:hAnsi="Times New Roman" w:cs="Times New Roman"/>
          <w:sz w:val="20"/>
          <w:szCs w:val="20"/>
          <w:lang w:val="en-US"/>
        </w:rPr>
      </w:pPr>
      <w:r w:rsidRPr="00812511">
        <w:rPr>
          <w:rFonts w:ascii="Symbol" w:hAnsi="Symbol" w:cs="Times New Roman"/>
          <w:sz w:val="20"/>
          <w:szCs w:val="20"/>
          <w:lang w:val="en-US"/>
        </w:rPr>
        <w:t></w:t>
      </w:r>
      <w:r w:rsidRPr="00812511">
        <w:rPr>
          <w:rFonts w:ascii="Symbol" w:hAnsi="Symbol" w:cs="Times New Roman"/>
          <w:sz w:val="20"/>
          <w:szCs w:val="20"/>
          <w:lang w:val="en-US"/>
        </w:rPr>
        <w:tab/>
      </w:r>
      <w:r w:rsidR="001315DF" w:rsidRPr="00812511">
        <w:rPr>
          <w:rFonts w:ascii="Times New Roman" w:hAnsi="Times New Roman" w:cs="Times New Roman"/>
          <w:sz w:val="20"/>
          <w:szCs w:val="20"/>
          <w:lang w:val="en-US"/>
        </w:rPr>
        <w:t>Pro forma invoice</w:t>
      </w:r>
    </w:p>
    <w:p w14:paraId="4E6AEF52" w14:textId="2260E53B" w:rsidR="001315DF" w:rsidRPr="00812511" w:rsidRDefault="003253E5" w:rsidP="003253E5">
      <w:pPr>
        <w:pStyle w:val="FootnoteText"/>
        <w:ind w:left="720" w:hanging="360"/>
        <w:jc w:val="both"/>
        <w:rPr>
          <w:rFonts w:ascii="Times New Roman" w:hAnsi="Times New Roman" w:cs="Times New Roman"/>
          <w:sz w:val="20"/>
          <w:szCs w:val="20"/>
          <w:lang w:val="en-US"/>
        </w:rPr>
      </w:pPr>
      <w:r w:rsidRPr="00812511">
        <w:rPr>
          <w:rFonts w:ascii="Symbol" w:hAnsi="Symbol" w:cs="Times New Roman"/>
          <w:sz w:val="20"/>
          <w:szCs w:val="20"/>
          <w:lang w:val="en-US"/>
        </w:rPr>
        <w:t></w:t>
      </w:r>
      <w:r w:rsidRPr="00812511">
        <w:rPr>
          <w:rFonts w:ascii="Symbol" w:hAnsi="Symbol" w:cs="Times New Roman"/>
          <w:sz w:val="20"/>
          <w:szCs w:val="20"/>
          <w:lang w:val="en-US"/>
        </w:rPr>
        <w:tab/>
      </w:r>
      <w:r w:rsidR="001315DF" w:rsidRPr="00812511">
        <w:rPr>
          <w:rFonts w:ascii="Times New Roman" w:hAnsi="Times New Roman" w:cs="Times New Roman"/>
          <w:sz w:val="20"/>
          <w:szCs w:val="20"/>
          <w:lang w:val="en-US"/>
        </w:rPr>
        <w:t>CN 1 and CN2</w:t>
      </w:r>
    </w:p>
    <w:p w14:paraId="1C262B86" w14:textId="43AEC24D" w:rsidR="001315DF" w:rsidRPr="00812511" w:rsidRDefault="003253E5" w:rsidP="003253E5">
      <w:pPr>
        <w:pStyle w:val="FootnoteText"/>
        <w:ind w:left="720" w:hanging="360"/>
        <w:jc w:val="both"/>
        <w:rPr>
          <w:rFonts w:ascii="Times New Roman" w:hAnsi="Times New Roman" w:cs="Times New Roman"/>
          <w:sz w:val="20"/>
          <w:szCs w:val="20"/>
          <w:lang w:val="en-US"/>
        </w:rPr>
      </w:pPr>
      <w:r w:rsidRPr="00812511">
        <w:rPr>
          <w:rFonts w:ascii="Symbol" w:hAnsi="Symbol" w:cs="Times New Roman"/>
          <w:sz w:val="20"/>
          <w:szCs w:val="20"/>
          <w:lang w:val="en-US"/>
        </w:rPr>
        <w:t></w:t>
      </w:r>
      <w:r w:rsidRPr="00812511">
        <w:rPr>
          <w:rFonts w:ascii="Symbol" w:hAnsi="Symbol" w:cs="Times New Roman"/>
          <w:sz w:val="20"/>
          <w:szCs w:val="20"/>
          <w:lang w:val="en-US"/>
        </w:rPr>
        <w:tab/>
      </w:r>
      <w:r w:rsidR="00763562" w:rsidRPr="00812511">
        <w:rPr>
          <w:rFonts w:ascii="Times New Roman" w:hAnsi="Times New Roman" w:cs="Times New Roman"/>
          <w:sz w:val="20"/>
          <w:szCs w:val="20"/>
          <w:lang w:val="en-US"/>
        </w:rPr>
        <w:t>Signed delivery notes</w:t>
      </w:r>
    </w:p>
    <w:p w14:paraId="4F309436" w14:textId="4C6B1919" w:rsidR="00763562" w:rsidRPr="00812511" w:rsidRDefault="003253E5" w:rsidP="003253E5">
      <w:pPr>
        <w:pStyle w:val="FootnoteText"/>
        <w:ind w:left="720" w:hanging="360"/>
        <w:jc w:val="both"/>
        <w:rPr>
          <w:rFonts w:ascii="Times New Roman" w:hAnsi="Times New Roman" w:cs="Times New Roman"/>
          <w:sz w:val="20"/>
          <w:szCs w:val="20"/>
          <w:lang w:val="en-US"/>
        </w:rPr>
      </w:pPr>
      <w:r w:rsidRPr="00812511">
        <w:rPr>
          <w:rFonts w:ascii="Symbol" w:hAnsi="Symbol" w:cs="Times New Roman"/>
          <w:sz w:val="20"/>
          <w:szCs w:val="20"/>
          <w:lang w:val="en-US"/>
        </w:rPr>
        <w:t></w:t>
      </w:r>
      <w:r w:rsidRPr="00812511">
        <w:rPr>
          <w:rFonts w:ascii="Symbol" w:hAnsi="Symbol" w:cs="Times New Roman"/>
          <w:sz w:val="20"/>
          <w:szCs w:val="20"/>
          <w:lang w:val="en-US"/>
        </w:rPr>
        <w:tab/>
      </w:r>
      <w:r w:rsidR="00763562" w:rsidRPr="00812511">
        <w:rPr>
          <w:rFonts w:ascii="Times New Roman" w:hAnsi="Times New Roman" w:cs="Times New Roman"/>
          <w:sz w:val="20"/>
          <w:szCs w:val="20"/>
          <w:lang w:val="en-US"/>
        </w:rPr>
        <w:t>Assessment notice issued and endorsed by the Botswana Revenue Service</w:t>
      </w:r>
    </w:p>
    <w:p w14:paraId="63344AEC" w14:textId="703C17D4" w:rsidR="00763562" w:rsidRPr="00812511" w:rsidRDefault="003253E5" w:rsidP="003253E5">
      <w:pPr>
        <w:pStyle w:val="FootnoteText"/>
        <w:ind w:left="720" w:hanging="360"/>
        <w:jc w:val="both"/>
        <w:rPr>
          <w:rFonts w:ascii="Times New Roman" w:hAnsi="Times New Roman" w:cs="Times New Roman"/>
          <w:sz w:val="20"/>
          <w:szCs w:val="20"/>
          <w:lang w:val="en-US"/>
        </w:rPr>
      </w:pPr>
      <w:r w:rsidRPr="00812511">
        <w:rPr>
          <w:rFonts w:ascii="Symbol" w:hAnsi="Symbol" w:cs="Times New Roman"/>
          <w:sz w:val="20"/>
          <w:szCs w:val="20"/>
          <w:lang w:val="en-US"/>
        </w:rPr>
        <w:t></w:t>
      </w:r>
      <w:r w:rsidRPr="00812511">
        <w:rPr>
          <w:rFonts w:ascii="Symbol" w:hAnsi="Symbol" w:cs="Times New Roman"/>
          <w:sz w:val="20"/>
          <w:szCs w:val="20"/>
          <w:lang w:val="en-US"/>
        </w:rPr>
        <w:tab/>
      </w:r>
      <w:r w:rsidR="007D29A6" w:rsidRPr="00812511">
        <w:rPr>
          <w:rFonts w:ascii="Times New Roman" w:hAnsi="Times New Roman" w:cs="Times New Roman"/>
          <w:sz w:val="20"/>
          <w:szCs w:val="20"/>
          <w:lang w:val="en-US"/>
        </w:rPr>
        <w:t>SAD 500 endorsed by the Botswana Revenue Service</w:t>
      </w:r>
    </w:p>
    <w:p w14:paraId="7A73C0BE" w14:textId="1143C729" w:rsidR="007D29A6" w:rsidRPr="00812511" w:rsidRDefault="003253E5" w:rsidP="003253E5">
      <w:pPr>
        <w:pStyle w:val="FootnoteText"/>
        <w:ind w:left="720" w:hanging="360"/>
        <w:jc w:val="both"/>
        <w:rPr>
          <w:rFonts w:ascii="Times New Roman" w:hAnsi="Times New Roman" w:cs="Times New Roman"/>
          <w:sz w:val="20"/>
          <w:szCs w:val="20"/>
          <w:lang w:val="en-US"/>
        </w:rPr>
      </w:pPr>
      <w:r w:rsidRPr="00812511">
        <w:rPr>
          <w:rFonts w:ascii="Symbol" w:hAnsi="Symbol" w:cs="Times New Roman"/>
          <w:sz w:val="20"/>
          <w:szCs w:val="20"/>
          <w:lang w:val="en-US"/>
        </w:rPr>
        <w:t></w:t>
      </w:r>
      <w:r w:rsidRPr="00812511">
        <w:rPr>
          <w:rFonts w:ascii="Symbol" w:hAnsi="Symbol" w:cs="Times New Roman"/>
          <w:sz w:val="20"/>
          <w:szCs w:val="20"/>
          <w:lang w:val="en-US"/>
        </w:rPr>
        <w:tab/>
      </w:r>
      <w:r w:rsidR="007D29A6" w:rsidRPr="00812511">
        <w:rPr>
          <w:rFonts w:ascii="Times New Roman" w:hAnsi="Times New Roman" w:cs="Times New Roman"/>
          <w:sz w:val="20"/>
          <w:szCs w:val="20"/>
          <w:lang w:val="en-US"/>
        </w:rPr>
        <w:t xml:space="preserve">Road delivery </w:t>
      </w:r>
      <w:r w:rsidR="00A35F6D" w:rsidRPr="00812511">
        <w:rPr>
          <w:rFonts w:ascii="Times New Roman" w:hAnsi="Times New Roman" w:cs="Times New Roman"/>
          <w:sz w:val="20"/>
          <w:szCs w:val="20"/>
          <w:lang w:val="en-US"/>
        </w:rPr>
        <w:t>docket issues by Transnet Pipelines at Tarlton</w:t>
      </w:r>
    </w:p>
    <w:p w14:paraId="400243F7" w14:textId="3641B183" w:rsidR="00317BBC" w:rsidRPr="00812511" w:rsidRDefault="003253E5" w:rsidP="003253E5">
      <w:pPr>
        <w:pStyle w:val="FootnoteText"/>
        <w:spacing w:after="120"/>
        <w:ind w:left="714" w:hanging="357"/>
        <w:jc w:val="both"/>
        <w:rPr>
          <w:rFonts w:ascii="Times New Roman" w:hAnsi="Times New Roman" w:cs="Times New Roman"/>
          <w:sz w:val="20"/>
          <w:szCs w:val="20"/>
          <w:lang w:val="en-US"/>
        </w:rPr>
      </w:pPr>
      <w:r w:rsidRPr="00812511">
        <w:rPr>
          <w:rFonts w:ascii="Symbol" w:hAnsi="Symbol" w:cs="Times New Roman"/>
          <w:sz w:val="20"/>
          <w:szCs w:val="20"/>
          <w:lang w:val="en-US"/>
        </w:rPr>
        <w:t></w:t>
      </w:r>
      <w:r w:rsidRPr="00812511">
        <w:rPr>
          <w:rFonts w:ascii="Symbol" w:hAnsi="Symbol" w:cs="Times New Roman"/>
          <w:sz w:val="20"/>
          <w:szCs w:val="20"/>
          <w:lang w:val="en-US"/>
        </w:rPr>
        <w:tab/>
      </w:r>
      <w:r w:rsidR="00A35F6D" w:rsidRPr="00812511">
        <w:rPr>
          <w:rFonts w:ascii="Times New Roman" w:hAnsi="Times New Roman" w:cs="Times New Roman"/>
          <w:sz w:val="20"/>
          <w:szCs w:val="20"/>
          <w:lang w:val="en-US"/>
        </w:rPr>
        <w:t xml:space="preserve">Valve Seal Summary. </w:t>
      </w:r>
    </w:p>
  </w:footnote>
  <w:footnote w:id="6">
    <w:p w14:paraId="4ACB4969" w14:textId="4950053B" w:rsidR="006358A7" w:rsidRPr="00812511" w:rsidRDefault="006358A7" w:rsidP="006358A7">
      <w:pPr>
        <w:pStyle w:val="FootnoteText"/>
        <w:spacing w:after="120"/>
        <w:jc w:val="both"/>
        <w:rPr>
          <w:rFonts w:ascii="Times New Roman" w:hAnsi="Times New Roman" w:cs="Times New Roman"/>
          <w:sz w:val="20"/>
          <w:szCs w:val="20"/>
          <w:lang w:val="en-US"/>
        </w:rPr>
      </w:pPr>
      <w:r w:rsidRPr="00812511">
        <w:rPr>
          <w:rStyle w:val="FootnoteReference"/>
          <w:rFonts w:ascii="Times New Roman" w:hAnsi="Times New Roman" w:cs="Times New Roman"/>
          <w:sz w:val="20"/>
          <w:szCs w:val="20"/>
        </w:rPr>
        <w:footnoteRef/>
      </w:r>
      <w:r w:rsidRPr="00812511">
        <w:rPr>
          <w:rFonts w:ascii="Times New Roman" w:hAnsi="Times New Roman" w:cs="Times New Roman"/>
          <w:sz w:val="20"/>
          <w:szCs w:val="20"/>
        </w:rPr>
        <w:t xml:space="preserve"> </w:t>
      </w:r>
      <w:r w:rsidRPr="00812511">
        <w:rPr>
          <w:rFonts w:ascii="Times New Roman" w:hAnsi="Times New Roman" w:cs="Times New Roman"/>
          <w:sz w:val="20"/>
          <w:szCs w:val="20"/>
          <w:lang w:val="en-US"/>
        </w:rPr>
        <w:t xml:space="preserve">In </w:t>
      </w:r>
      <w:r w:rsidRPr="00812511">
        <w:rPr>
          <w:rFonts w:ascii="Times New Roman" w:hAnsi="Times New Roman" w:cs="Times New Roman"/>
          <w:b/>
          <w:bCs/>
          <w:sz w:val="20"/>
          <w:szCs w:val="20"/>
          <w:u w:val="single"/>
          <w:lang w:val="en-US"/>
        </w:rPr>
        <w:t>BP SCA</w:t>
      </w:r>
      <w:r w:rsidRPr="00812511">
        <w:rPr>
          <w:rFonts w:ascii="Times New Roman" w:hAnsi="Times New Roman" w:cs="Times New Roman"/>
          <w:sz w:val="20"/>
          <w:szCs w:val="20"/>
          <w:lang w:val="en-US"/>
        </w:rPr>
        <w:t xml:space="preserve">, the following is </w:t>
      </w:r>
      <w:r w:rsidR="002C742F">
        <w:rPr>
          <w:rFonts w:ascii="Times New Roman" w:hAnsi="Times New Roman" w:cs="Times New Roman"/>
          <w:sz w:val="20"/>
          <w:szCs w:val="20"/>
          <w:lang w:val="en-US"/>
        </w:rPr>
        <w:t>stated</w:t>
      </w:r>
      <w:r w:rsidR="004716A1">
        <w:rPr>
          <w:rFonts w:ascii="Times New Roman" w:hAnsi="Times New Roman" w:cs="Times New Roman"/>
          <w:sz w:val="20"/>
          <w:szCs w:val="20"/>
          <w:lang w:val="en-US"/>
        </w:rPr>
        <w:t>:</w:t>
      </w:r>
    </w:p>
    <w:p w14:paraId="3CB22344" w14:textId="79544603" w:rsidR="006358A7" w:rsidRPr="00812511" w:rsidRDefault="00DB3E2A" w:rsidP="006358A7">
      <w:pPr>
        <w:pStyle w:val="FootnoteText"/>
        <w:spacing w:after="120"/>
        <w:ind w:left="567"/>
        <w:jc w:val="both"/>
        <w:rPr>
          <w:rFonts w:ascii="Times New Roman" w:hAnsi="Times New Roman" w:cs="Times New Roman"/>
          <w:sz w:val="20"/>
          <w:szCs w:val="20"/>
        </w:rPr>
      </w:pPr>
      <w:r>
        <w:rPr>
          <w:rFonts w:ascii="Times New Roman" w:hAnsi="Times New Roman" w:cs="Times New Roman"/>
          <w:sz w:val="20"/>
          <w:szCs w:val="20"/>
        </w:rPr>
        <w:t>“</w:t>
      </w:r>
      <w:r w:rsidR="006358A7" w:rsidRPr="00812511">
        <w:rPr>
          <w:rFonts w:ascii="Times New Roman" w:hAnsi="Times New Roman" w:cs="Times New Roman"/>
          <w:sz w:val="20"/>
          <w:szCs w:val="20"/>
        </w:rPr>
        <w:t>[8]  When any fuel is transported by road for export purposes, the removal must be done by a licensed remover of goods in bond, unless the licensee or a licensed distributor carries the goods. After the exportation of the fuel, the exporter claims a refund based on all the documents relating to the movement of the fuel from South Africa to the foreign country. The final documents, the customs notification documents (CN1 and CN2), are referred to as acquittals.</w:t>
      </w:r>
      <w:r>
        <w:rPr>
          <w:rFonts w:ascii="Times New Roman" w:hAnsi="Times New Roman" w:cs="Times New Roman"/>
          <w:sz w:val="20"/>
          <w:szCs w:val="20"/>
        </w:rPr>
        <w:t>”</w:t>
      </w:r>
    </w:p>
  </w:footnote>
  <w:footnote w:id="7">
    <w:p w14:paraId="7800FA83" w14:textId="7EB44AD9" w:rsidR="00812511" w:rsidRPr="00812511" w:rsidRDefault="00812511" w:rsidP="00812511">
      <w:pPr>
        <w:pStyle w:val="FootnoteText"/>
        <w:spacing w:after="120"/>
        <w:jc w:val="both"/>
        <w:rPr>
          <w:rFonts w:ascii="Times New Roman" w:hAnsi="Times New Roman" w:cs="Times New Roman"/>
          <w:sz w:val="20"/>
          <w:szCs w:val="20"/>
        </w:rPr>
      </w:pPr>
      <w:r w:rsidRPr="00812511">
        <w:rPr>
          <w:rStyle w:val="FootnoteReference"/>
          <w:rFonts w:ascii="Times New Roman" w:hAnsi="Times New Roman" w:cs="Times New Roman"/>
          <w:sz w:val="20"/>
          <w:szCs w:val="20"/>
        </w:rPr>
        <w:footnoteRef/>
      </w:r>
      <w:r w:rsidRPr="00812511">
        <w:rPr>
          <w:rFonts w:ascii="Times New Roman" w:hAnsi="Times New Roman" w:cs="Times New Roman"/>
          <w:sz w:val="20"/>
          <w:szCs w:val="20"/>
        </w:rPr>
        <w:t xml:space="preserve"> In terms of the Act, </w:t>
      </w:r>
      <w:r w:rsidR="00DB3E2A">
        <w:rPr>
          <w:rFonts w:ascii="Times New Roman" w:hAnsi="Times New Roman" w:cs="Times New Roman"/>
          <w:sz w:val="20"/>
          <w:szCs w:val="20"/>
        </w:rPr>
        <w:t>“</w:t>
      </w:r>
      <w:r w:rsidRPr="00812511">
        <w:rPr>
          <w:rFonts w:ascii="Times New Roman" w:hAnsi="Times New Roman" w:cs="Times New Roman"/>
          <w:i/>
          <w:iCs/>
          <w:sz w:val="20"/>
          <w:szCs w:val="20"/>
        </w:rPr>
        <w:t>exporter</w:t>
      </w:r>
      <w:r w:rsidR="00DB3E2A">
        <w:rPr>
          <w:rFonts w:ascii="Times New Roman" w:hAnsi="Times New Roman" w:cs="Times New Roman"/>
          <w:sz w:val="20"/>
          <w:szCs w:val="20"/>
        </w:rPr>
        <w:t>”</w:t>
      </w:r>
      <w:r w:rsidRPr="00812511">
        <w:rPr>
          <w:rFonts w:ascii="Times New Roman" w:hAnsi="Times New Roman" w:cs="Times New Roman"/>
          <w:sz w:val="20"/>
          <w:szCs w:val="20"/>
        </w:rPr>
        <w:t xml:space="preserve"> includes any person who, at the time of exportation-</w:t>
      </w:r>
    </w:p>
    <w:p w14:paraId="58976841" w14:textId="77777777" w:rsidR="00812511" w:rsidRPr="00812511" w:rsidRDefault="00812511" w:rsidP="00812511">
      <w:pPr>
        <w:pStyle w:val="FootnoteText"/>
        <w:ind w:left="1134" w:hanging="567"/>
        <w:jc w:val="both"/>
        <w:rPr>
          <w:rFonts w:ascii="Times New Roman" w:hAnsi="Times New Roman" w:cs="Times New Roman"/>
          <w:sz w:val="20"/>
          <w:szCs w:val="20"/>
        </w:rPr>
      </w:pPr>
      <w:r w:rsidRPr="00812511">
        <w:rPr>
          <w:rFonts w:ascii="Times New Roman" w:hAnsi="Times New Roman" w:cs="Times New Roman"/>
          <w:sz w:val="20"/>
          <w:szCs w:val="20"/>
        </w:rPr>
        <w:t>(a)</w:t>
      </w:r>
      <w:r w:rsidRPr="00812511">
        <w:rPr>
          <w:rFonts w:ascii="Times New Roman" w:hAnsi="Times New Roman" w:cs="Times New Roman"/>
          <w:sz w:val="20"/>
          <w:szCs w:val="20"/>
        </w:rPr>
        <w:tab/>
        <w:t>owns any goods exported;</w:t>
      </w:r>
    </w:p>
    <w:p w14:paraId="43875869" w14:textId="77777777" w:rsidR="00812511" w:rsidRPr="00812511" w:rsidRDefault="00812511" w:rsidP="00812511">
      <w:pPr>
        <w:pStyle w:val="FootnoteText"/>
        <w:ind w:left="1134" w:hanging="567"/>
        <w:jc w:val="both"/>
        <w:rPr>
          <w:rFonts w:ascii="Times New Roman" w:hAnsi="Times New Roman" w:cs="Times New Roman"/>
          <w:sz w:val="20"/>
          <w:szCs w:val="20"/>
        </w:rPr>
      </w:pPr>
      <w:r w:rsidRPr="00812511">
        <w:rPr>
          <w:rFonts w:ascii="Times New Roman" w:hAnsi="Times New Roman" w:cs="Times New Roman"/>
          <w:sz w:val="20"/>
          <w:szCs w:val="20"/>
        </w:rPr>
        <w:t>(b)</w:t>
      </w:r>
      <w:r w:rsidRPr="00812511">
        <w:rPr>
          <w:rFonts w:ascii="Times New Roman" w:hAnsi="Times New Roman" w:cs="Times New Roman"/>
          <w:sz w:val="20"/>
          <w:szCs w:val="20"/>
        </w:rPr>
        <w:tab/>
        <w:t>carries the risk of any goods exported;</w:t>
      </w:r>
    </w:p>
    <w:p w14:paraId="3A5782F8" w14:textId="77777777" w:rsidR="00812511" w:rsidRPr="00812511" w:rsidRDefault="00812511" w:rsidP="00812511">
      <w:pPr>
        <w:pStyle w:val="FootnoteText"/>
        <w:ind w:left="1134" w:hanging="567"/>
        <w:jc w:val="both"/>
        <w:rPr>
          <w:rFonts w:ascii="Times New Roman" w:hAnsi="Times New Roman" w:cs="Times New Roman"/>
          <w:sz w:val="20"/>
          <w:szCs w:val="20"/>
        </w:rPr>
      </w:pPr>
      <w:r w:rsidRPr="00812511">
        <w:rPr>
          <w:rFonts w:ascii="Times New Roman" w:hAnsi="Times New Roman" w:cs="Times New Roman"/>
          <w:sz w:val="20"/>
          <w:szCs w:val="20"/>
        </w:rPr>
        <w:t>(c)</w:t>
      </w:r>
      <w:r w:rsidRPr="00812511">
        <w:rPr>
          <w:rFonts w:ascii="Times New Roman" w:hAnsi="Times New Roman" w:cs="Times New Roman"/>
          <w:sz w:val="20"/>
          <w:szCs w:val="20"/>
        </w:rPr>
        <w:tab/>
        <w:t>represents that or acts as if he is the exporter or owner of any goods exported;</w:t>
      </w:r>
    </w:p>
    <w:p w14:paraId="4A48413B" w14:textId="77777777" w:rsidR="00812511" w:rsidRPr="00812511" w:rsidRDefault="00812511" w:rsidP="00812511">
      <w:pPr>
        <w:pStyle w:val="FootnoteText"/>
        <w:ind w:left="1134" w:hanging="567"/>
        <w:jc w:val="both"/>
        <w:rPr>
          <w:rFonts w:ascii="Times New Roman" w:hAnsi="Times New Roman" w:cs="Times New Roman"/>
          <w:sz w:val="20"/>
          <w:szCs w:val="20"/>
        </w:rPr>
      </w:pPr>
      <w:r w:rsidRPr="00812511">
        <w:rPr>
          <w:rFonts w:ascii="Times New Roman" w:hAnsi="Times New Roman" w:cs="Times New Roman"/>
          <w:sz w:val="20"/>
          <w:szCs w:val="20"/>
        </w:rPr>
        <w:t>(d)</w:t>
      </w:r>
      <w:r w:rsidRPr="00812511">
        <w:rPr>
          <w:rFonts w:ascii="Times New Roman" w:hAnsi="Times New Roman" w:cs="Times New Roman"/>
          <w:sz w:val="20"/>
          <w:szCs w:val="20"/>
        </w:rPr>
        <w:tab/>
        <w:t>actually takes or attempts to take any goods from the Republic;</w:t>
      </w:r>
    </w:p>
    <w:p w14:paraId="50FB45CE" w14:textId="77777777" w:rsidR="00812511" w:rsidRPr="00812511" w:rsidRDefault="00812511" w:rsidP="00812511">
      <w:pPr>
        <w:pStyle w:val="FootnoteText"/>
        <w:ind w:left="1134" w:hanging="567"/>
        <w:jc w:val="both"/>
        <w:rPr>
          <w:rFonts w:ascii="Times New Roman" w:hAnsi="Times New Roman" w:cs="Times New Roman"/>
          <w:sz w:val="20"/>
          <w:szCs w:val="20"/>
        </w:rPr>
      </w:pPr>
      <w:r w:rsidRPr="00812511">
        <w:rPr>
          <w:rFonts w:ascii="Times New Roman" w:hAnsi="Times New Roman" w:cs="Times New Roman"/>
          <w:sz w:val="20"/>
          <w:szCs w:val="20"/>
        </w:rPr>
        <w:t>(e)</w:t>
      </w:r>
      <w:r w:rsidRPr="00812511">
        <w:rPr>
          <w:rFonts w:ascii="Times New Roman" w:hAnsi="Times New Roman" w:cs="Times New Roman"/>
          <w:sz w:val="20"/>
          <w:szCs w:val="20"/>
        </w:rPr>
        <w:tab/>
        <w:t>is beneficially interested in any way whatever in any goods exported;</w:t>
      </w:r>
    </w:p>
    <w:p w14:paraId="52B1D3B7" w14:textId="05C555C8" w:rsidR="00812511" w:rsidRPr="00812511" w:rsidRDefault="00812511" w:rsidP="00812511">
      <w:pPr>
        <w:pStyle w:val="FootnoteText"/>
        <w:spacing w:after="120"/>
        <w:ind w:left="1134" w:hanging="567"/>
        <w:jc w:val="both"/>
        <w:rPr>
          <w:rFonts w:ascii="Times New Roman" w:hAnsi="Times New Roman" w:cs="Times New Roman"/>
          <w:sz w:val="20"/>
          <w:szCs w:val="20"/>
          <w:lang w:val="en-US"/>
        </w:rPr>
      </w:pPr>
      <w:r w:rsidRPr="00812511">
        <w:rPr>
          <w:rFonts w:ascii="Times New Roman" w:hAnsi="Times New Roman" w:cs="Times New Roman"/>
          <w:sz w:val="20"/>
          <w:szCs w:val="20"/>
        </w:rPr>
        <w:t>(f)</w:t>
      </w:r>
      <w:r w:rsidRPr="00812511">
        <w:rPr>
          <w:rFonts w:ascii="Times New Roman" w:hAnsi="Times New Roman" w:cs="Times New Roman"/>
          <w:sz w:val="20"/>
          <w:szCs w:val="20"/>
        </w:rPr>
        <w:tab/>
        <w:t>acts on behalf of any person referred to in paragraph (a), (b), (c), (d) or (e), and, in relation to imported goods, includes the manufacturer, supplier or shipper of such goods or any person inside or outside the Republic representing or acting on behalf of such manufacturer, supplier or shipper.</w:t>
      </w:r>
      <w:r w:rsidR="00DB3E2A">
        <w:rPr>
          <w:rFonts w:ascii="Times New Roman" w:hAnsi="Times New Roman" w:cs="Times New Roman"/>
          <w:sz w:val="20"/>
          <w:szCs w:val="20"/>
        </w:rPr>
        <w:t>”</w:t>
      </w:r>
    </w:p>
  </w:footnote>
  <w:footnote w:id="8">
    <w:p w14:paraId="0B13F232" w14:textId="3A727AF1" w:rsidR="00812511" w:rsidRDefault="00812511" w:rsidP="00812511">
      <w:pPr>
        <w:pStyle w:val="FootnoteText"/>
        <w:rPr>
          <w:rFonts w:ascii="Times New Roman" w:hAnsi="Times New Roman" w:cs="Times New Roman"/>
          <w:sz w:val="20"/>
          <w:szCs w:val="20"/>
        </w:rPr>
      </w:pPr>
      <w:r w:rsidRPr="00812511">
        <w:rPr>
          <w:rStyle w:val="FootnoteReference"/>
          <w:rFonts w:ascii="Times New Roman" w:hAnsi="Times New Roman" w:cs="Times New Roman"/>
          <w:sz w:val="20"/>
          <w:szCs w:val="20"/>
        </w:rPr>
        <w:footnoteRef/>
      </w:r>
      <w:r w:rsidRPr="00812511">
        <w:rPr>
          <w:rFonts w:ascii="Times New Roman" w:hAnsi="Times New Roman" w:cs="Times New Roman"/>
          <w:sz w:val="20"/>
          <w:szCs w:val="20"/>
        </w:rPr>
        <w:t xml:space="preserve"> The term </w:t>
      </w:r>
      <w:r w:rsidR="00DB3E2A">
        <w:rPr>
          <w:rFonts w:ascii="Times New Roman" w:hAnsi="Times New Roman" w:cs="Times New Roman"/>
          <w:sz w:val="20"/>
          <w:szCs w:val="20"/>
        </w:rPr>
        <w:t>“</w:t>
      </w:r>
      <w:r w:rsidRPr="00812511">
        <w:rPr>
          <w:rFonts w:ascii="Times New Roman" w:hAnsi="Times New Roman" w:cs="Times New Roman"/>
          <w:i/>
          <w:iCs/>
          <w:sz w:val="20"/>
          <w:szCs w:val="20"/>
        </w:rPr>
        <w:t>beneficial interest</w:t>
      </w:r>
      <w:r w:rsidR="00DB3E2A">
        <w:rPr>
          <w:rFonts w:ascii="Times New Roman" w:hAnsi="Times New Roman" w:cs="Times New Roman"/>
          <w:sz w:val="20"/>
          <w:szCs w:val="20"/>
        </w:rPr>
        <w:t>”</w:t>
      </w:r>
      <w:r w:rsidRPr="00812511">
        <w:rPr>
          <w:rFonts w:ascii="Times New Roman" w:hAnsi="Times New Roman" w:cs="Times New Roman"/>
          <w:sz w:val="20"/>
          <w:szCs w:val="20"/>
        </w:rPr>
        <w:t xml:space="preserve"> has a wide meaning.  See, in general regarding the term: </w:t>
      </w:r>
      <w:r w:rsidRPr="00812511">
        <w:rPr>
          <w:rFonts w:ascii="Times New Roman" w:hAnsi="Times New Roman" w:cs="Times New Roman"/>
          <w:b/>
          <w:bCs/>
          <w:sz w:val="20"/>
          <w:szCs w:val="20"/>
          <w:u w:val="single"/>
        </w:rPr>
        <w:t>Independent Community Pharmacy Association v Clicks Group Ltd and Others</w:t>
      </w:r>
      <w:r w:rsidRPr="00812511">
        <w:rPr>
          <w:rFonts w:ascii="Times New Roman" w:hAnsi="Times New Roman" w:cs="Times New Roman"/>
          <w:sz w:val="20"/>
          <w:szCs w:val="20"/>
        </w:rPr>
        <w:t xml:space="preserve"> (CCT 11/22) [2023] ZACC 10; 2023 (6) BCLR 617 (CC) (28 March 2023).</w:t>
      </w:r>
    </w:p>
    <w:p w14:paraId="0BC5E672" w14:textId="77777777" w:rsidR="004716A1" w:rsidRPr="00812511" w:rsidRDefault="004716A1" w:rsidP="00812511">
      <w:pPr>
        <w:pStyle w:val="FootnoteText"/>
        <w:rPr>
          <w:rFonts w:ascii="Times New Roman" w:hAnsi="Times New Roman" w:cs="Times New Roman"/>
          <w:sz w:val="20"/>
          <w:szCs w:val="20"/>
        </w:rPr>
      </w:pPr>
    </w:p>
  </w:footnote>
  <w:footnote w:id="9">
    <w:p w14:paraId="6C172841" w14:textId="77777777" w:rsidR="00812511" w:rsidRPr="00812511" w:rsidRDefault="00812511" w:rsidP="00812511">
      <w:pPr>
        <w:pStyle w:val="FootnoteText"/>
        <w:jc w:val="both"/>
        <w:rPr>
          <w:rFonts w:ascii="Times New Roman" w:hAnsi="Times New Roman" w:cs="Times New Roman"/>
          <w:sz w:val="20"/>
          <w:szCs w:val="20"/>
          <w:lang w:val="en-US"/>
        </w:rPr>
      </w:pPr>
      <w:r w:rsidRPr="00812511">
        <w:rPr>
          <w:rStyle w:val="FootnoteReference"/>
          <w:rFonts w:ascii="Times New Roman" w:hAnsi="Times New Roman" w:cs="Times New Roman"/>
          <w:sz w:val="20"/>
          <w:szCs w:val="20"/>
        </w:rPr>
        <w:footnoteRef/>
      </w:r>
      <w:r w:rsidRPr="00812511">
        <w:rPr>
          <w:rFonts w:ascii="Times New Roman" w:hAnsi="Times New Roman" w:cs="Times New Roman"/>
          <w:sz w:val="20"/>
          <w:szCs w:val="20"/>
        </w:rPr>
        <w:t xml:space="preserve"> </w:t>
      </w:r>
      <w:r w:rsidRPr="00812511">
        <w:rPr>
          <w:rFonts w:ascii="Times New Roman" w:hAnsi="Times New Roman" w:cs="Times New Roman"/>
          <w:sz w:val="20"/>
          <w:szCs w:val="20"/>
          <w:lang w:val="en-US"/>
        </w:rPr>
        <w:t xml:space="preserve">The position was different in </w:t>
      </w:r>
      <w:r w:rsidRPr="00812511">
        <w:rPr>
          <w:rFonts w:ascii="Times New Roman" w:hAnsi="Times New Roman" w:cs="Times New Roman"/>
          <w:b/>
          <w:bCs/>
          <w:sz w:val="20"/>
          <w:szCs w:val="20"/>
          <w:u w:val="single"/>
          <w:lang w:val="en-US"/>
        </w:rPr>
        <w:t>BP Gauteng</w:t>
      </w:r>
      <w:r w:rsidRPr="00812511">
        <w:rPr>
          <w:rFonts w:ascii="Times New Roman" w:hAnsi="Times New Roman" w:cs="Times New Roman"/>
          <w:sz w:val="20"/>
          <w:szCs w:val="20"/>
          <w:lang w:val="en-US"/>
        </w:rPr>
        <w:t xml:space="preserve">, where at para 35 of the Judgement it was recorded that it was accepted in argument that BP had no idea whether the specimen consignment or indeed most of the assignments was removed from the Tarlton tank by a licenced removers of goods. </w:t>
      </w:r>
    </w:p>
  </w:footnote>
  <w:footnote w:id="10">
    <w:p w14:paraId="3D80A11A" w14:textId="4CCF4FD6" w:rsidR="009C1B69" w:rsidRPr="00812511" w:rsidRDefault="009C1B69" w:rsidP="006B15EF">
      <w:pPr>
        <w:pStyle w:val="FootnoteText"/>
        <w:spacing w:after="120"/>
        <w:jc w:val="both"/>
        <w:rPr>
          <w:rFonts w:ascii="Times New Roman" w:hAnsi="Times New Roman" w:cs="Times New Roman"/>
          <w:sz w:val="20"/>
          <w:szCs w:val="20"/>
          <w:lang w:val="en-US"/>
        </w:rPr>
      </w:pPr>
      <w:r w:rsidRPr="00812511">
        <w:rPr>
          <w:rStyle w:val="FootnoteReference"/>
          <w:rFonts w:ascii="Times New Roman" w:hAnsi="Times New Roman" w:cs="Times New Roman"/>
          <w:sz w:val="20"/>
          <w:szCs w:val="20"/>
        </w:rPr>
        <w:footnoteRef/>
      </w:r>
      <w:r w:rsidRPr="00812511">
        <w:rPr>
          <w:rFonts w:ascii="Times New Roman" w:hAnsi="Times New Roman" w:cs="Times New Roman"/>
          <w:sz w:val="20"/>
          <w:szCs w:val="20"/>
        </w:rPr>
        <w:t xml:space="preserve"> </w:t>
      </w:r>
      <w:r w:rsidRPr="00812511">
        <w:rPr>
          <w:rFonts w:ascii="Times New Roman" w:hAnsi="Times New Roman" w:cs="Times New Roman"/>
          <w:sz w:val="20"/>
          <w:szCs w:val="20"/>
          <w:lang w:val="en-US"/>
        </w:rPr>
        <w:t xml:space="preserve">See, also, the </w:t>
      </w:r>
      <w:r w:rsidRPr="00812511">
        <w:rPr>
          <w:rFonts w:ascii="Times New Roman" w:hAnsi="Times New Roman" w:cs="Times New Roman"/>
          <w:b/>
          <w:bCs/>
          <w:sz w:val="20"/>
          <w:szCs w:val="20"/>
          <w:u w:val="single"/>
          <w:lang w:val="en-US"/>
        </w:rPr>
        <w:t>Gauteng Suspension Judgment</w:t>
      </w:r>
      <w:r w:rsidRPr="00812511">
        <w:rPr>
          <w:rFonts w:ascii="Times New Roman" w:hAnsi="Times New Roman" w:cs="Times New Roman"/>
          <w:sz w:val="20"/>
          <w:szCs w:val="20"/>
          <w:lang w:val="en-US"/>
        </w:rPr>
        <w:t xml:space="preserve"> where the following is recorded at para</w:t>
      </w:r>
      <w:r w:rsidR="005507BD" w:rsidRPr="00812511">
        <w:rPr>
          <w:rFonts w:ascii="Times New Roman" w:hAnsi="Times New Roman" w:cs="Times New Roman"/>
          <w:sz w:val="20"/>
          <w:szCs w:val="20"/>
          <w:lang w:val="en-US"/>
        </w:rPr>
        <w:t> </w:t>
      </w:r>
      <w:r w:rsidRPr="00812511">
        <w:rPr>
          <w:rFonts w:ascii="Times New Roman" w:hAnsi="Times New Roman" w:cs="Times New Roman"/>
          <w:sz w:val="20"/>
          <w:szCs w:val="20"/>
          <w:lang w:val="en-US"/>
        </w:rPr>
        <w:t>72:</w:t>
      </w:r>
    </w:p>
    <w:p w14:paraId="4E0EDAEC" w14:textId="320F3178" w:rsidR="009C1B69" w:rsidRPr="00812511" w:rsidRDefault="00DB3E2A" w:rsidP="006B15EF">
      <w:pPr>
        <w:pStyle w:val="FootnoteText"/>
        <w:ind w:left="720"/>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B05C95" w:rsidRPr="00812511">
        <w:rPr>
          <w:rFonts w:ascii="Times New Roman" w:hAnsi="Times New Roman" w:cs="Times New Roman"/>
          <w:sz w:val="20"/>
          <w:szCs w:val="20"/>
          <w:lang w:val="en-US"/>
        </w:rPr>
        <w:t>[72]</w:t>
      </w:r>
      <w:r w:rsidR="00B05C95" w:rsidRPr="00812511">
        <w:rPr>
          <w:rFonts w:ascii="Times New Roman" w:hAnsi="Times New Roman" w:cs="Times New Roman"/>
          <w:sz w:val="20"/>
          <w:szCs w:val="20"/>
          <w:lang w:val="en-US"/>
        </w:rPr>
        <w:tab/>
        <w:t>The commissioner complained that the applicant did not seek approval to use affidavits.  The applicant stated in the founding affidavit that there was no such requirement in the legislation to seek approval to submit an affidavit.  The commissioner does not address this averment in the answering affidavit.</w:t>
      </w:r>
      <w:r>
        <w:rPr>
          <w:rFonts w:ascii="Times New Roman" w:hAnsi="Times New Roman" w:cs="Times New Roman"/>
          <w:sz w:val="20"/>
          <w:szCs w:val="20"/>
          <w:lang w:val="en-US"/>
        </w:rPr>
        <w:t>”</w:t>
      </w:r>
    </w:p>
  </w:footnote>
  <w:footnote w:id="11">
    <w:p w14:paraId="57AF75B4" w14:textId="222152DA" w:rsidR="000E623B" w:rsidRPr="00812511" w:rsidRDefault="000E623B" w:rsidP="006B15EF">
      <w:pPr>
        <w:pStyle w:val="FootnoteText"/>
        <w:spacing w:after="120"/>
        <w:jc w:val="both"/>
        <w:rPr>
          <w:rFonts w:ascii="Times New Roman" w:hAnsi="Times New Roman" w:cs="Times New Roman"/>
          <w:sz w:val="20"/>
          <w:szCs w:val="20"/>
          <w:lang w:val="en-US"/>
        </w:rPr>
      </w:pPr>
      <w:r w:rsidRPr="00812511">
        <w:rPr>
          <w:rStyle w:val="FootnoteReference"/>
          <w:rFonts w:ascii="Times New Roman" w:hAnsi="Times New Roman" w:cs="Times New Roman"/>
          <w:sz w:val="20"/>
          <w:szCs w:val="20"/>
        </w:rPr>
        <w:footnoteRef/>
      </w:r>
      <w:r w:rsidRPr="00812511">
        <w:rPr>
          <w:rFonts w:ascii="Times New Roman" w:hAnsi="Times New Roman" w:cs="Times New Roman"/>
          <w:sz w:val="20"/>
          <w:szCs w:val="20"/>
        </w:rPr>
        <w:t xml:space="preserve"> </w:t>
      </w:r>
      <w:r w:rsidRPr="00812511">
        <w:rPr>
          <w:rFonts w:ascii="Times New Roman" w:hAnsi="Times New Roman" w:cs="Times New Roman"/>
          <w:sz w:val="20"/>
          <w:szCs w:val="20"/>
          <w:lang w:val="en-US"/>
        </w:rPr>
        <w:t xml:space="preserve">Albeit taken in terms of a different empowering provision, the Full Bench confirmed in </w:t>
      </w:r>
      <w:r w:rsidRPr="00812511">
        <w:rPr>
          <w:rFonts w:ascii="Times New Roman" w:hAnsi="Times New Roman" w:cs="Times New Roman"/>
          <w:b/>
          <w:bCs/>
          <w:sz w:val="20"/>
          <w:szCs w:val="20"/>
          <w:u w:val="single"/>
          <w:lang w:val="en-US"/>
        </w:rPr>
        <w:t>Tunica Trading</w:t>
      </w:r>
      <w:r w:rsidRPr="00812511">
        <w:rPr>
          <w:rFonts w:ascii="Times New Roman" w:hAnsi="Times New Roman" w:cs="Times New Roman"/>
          <w:sz w:val="20"/>
          <w:szCs w:val="20"/>
          <w:lang w:val="en-US"/>
        </w:rPr>
        <w:t xml:space="preserve"> that SARS determinations are administrative actions.  The Court held as follows:</w:t>
      </w:r>
    </w:p>
    <w:p w14:paraId="36224842" w14:textId="4C2662EB" w:rsidR="000E623B" w:rsidRPr="00812511" w:rsidRDefault="00DB3E2A" w:rsidP="006B15EF">
      <w:pPr>
        <w:pStyle w:val="FootnoteText"/>
        <w:ind w:left="720"/>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0E623B" w:rsidRPr="00812511">
        <w:rPr>
          <w:rFonts w:ascii="Times New Roman" w:hAnsi="Times New Roman" w:cs="Times New Roman"/>
          <w:sz w:val="20"/>
          <w:szCs w:val="20"/>
          <w:lang w:val="en-US"/>
        </w:rPr>
        <w:t>[87]</w:t>
      </w:r>
      <w:r w:rsidR="005507BD" w:rsidRPr="00812511">
        <w:rPr>
          <w:rFonts w:ascii="Times New Roman" w:hAnsi="Times New Roman" w:cs="Times New Roman"/>
          <w:sz w:val="20"/>
          <w:szCs w:val="20"/>
          <w:lang w:val="en-US"/>
        </w:rPr>
        <w:tab/>
      </w:r>
      <w:r w:rsidR="000E623B" w:rsidRPr="00812511">
        <w:rPr>
          <w:rFonts w:ascii="Times New Roman" w:hAnsi="Times New Roman" w:cs="Times New Roman"/>
          <w:sz w:val="20"/>
          <w:szCs w:val="20"/>
          <w:lang w:val="en-US"/>
        </w:rPr>
        <w:t>The decision by the court a quo that the February</w:t>
      </w:r>
      <w:r w:rsidR="005507BD" w:rsidRPr="00812511">
        <w:rPr>
          <w:rFonts w:ascii="Times New Roman" w:hAnsi="Times New Roman" w:cs="Times New Roman"/>
          <w:sz w:val="20"/>
          <w:szCs w:val="20"/>
          <w:lang w:val="en-US"/>
        </w:rPr>
        <w:t> </w:t>
      </w:r>
      <w:r w:rsidR="000E623B" w:rsidRPr="00812511">
        <w:rPr>
          <w:rFonts w:ascii="Times New Roman" w:hAnsi="Times New Roman" w:cs="Times New Roman"/>
          <w:sz w:val="20"/>
          <w:szCs w:val="20"/>
          <w:lang w:val="en-US"/>
        </w:rPr>
        <w:t>2017 decision was a section 96 decision which did not constitute reviewable conduct, either in terms of PAJA or on the principle of legality was clearly incorrect. The February</w:t>
      </w:r>
      <w:r w:rsidR="005507BD" w:rsidRPr="00812511">
        <w:rPr>
          <w:rFonts w:ascii="Times New Roman" w:hAnsi="Times New Roman" w:cs="Times New Roman"/>
          <w:sz w:val="20"/>
          <w:szCs w:val="20"/>
          <w:lang w:val="en-US"/>
        </w:rPr>
        <w:t> </w:t>
      </w:r>
      <w:r w:rsidR="000E623B" w:rsidRPr="00812511">
        <w:rPr>
          <w:rFonts w:ascii="Times New Roman" w:hAnsi="Times New Roman" w:cs="Times New Roman"/>
          <w:sz w:val="20"/>
          <w:szCs w:val="20"/>
          <w:lang w:val="en-US"/>
        </w:rPr>
        <w:t>2017 decision was quite clearly a decision in terms of section 77F of the Customs Act and was administrative action.  The decision was taken by an organ of state exercising a public power in terms of legislation and had a direct, external legal effect which adversely affected Tunica</w:t>
      </w:r>
      <w:r>
        <w:rPr>
          <w:rFonts w:ascii="Times New Roman" w:hAnsi="Times New Roman" w:cs="Times New Roman"/>
          <w:sz w:val="20"/>
          <w:szCs w:val="20"/>
          <w:lang w:val="en-US"/>
        </w:rPr>
        <w:t>’</w:t>
      </w:r>
      <w:r w:rsidR="000E623B" w:rsidRPr="00812511">
        <w:rPr>
          <w:rFonts w:ascii="Times New Roman" w:hAnsi="Times New Roman" w:cs="Times New Roman"/>
          <w:sz w:val="20"/>
          <w:szCs w:val="20"/>
          <w:lang w:val="en-US"/>
        </w:rPr>
        <w:t>s rights. Similar decisions by the Commissioner were held by the Constitutional Court to constitute administrative action.  It follows that the February</w:t>
      </w:r>
      <w:r w:rsidR="005507BD" w:rsidRPr="00812511">
        <w:rPr>
          <w:rFonts w:ascii="Times New Roman" w:hAnsi="Times New Roman" w:cs="Times New Roman"/>
          <w:sz w:val="20"/>
          <w:szCs w:val="20"/>
          <w:lang w:val="en-US"/>
        </w:rPr>
        <w:t> </w:t>
      </w:r>
      <w:r w:rsidR="000E623B" w:rsidRPr="00812511">
        <w:rPr>
          <w:rFonts w:ascii="Times New Roman" w:hAnsi="Times New Roman" w:cs="Times New Roman"/>
          <w:sz w:val="20"/>
          <w:szCs w:val="20"/>
          <w:lang w:val="en-US"/>
        </w:rPr>
        <w:t>2017 decision is reviewable.</w:t>
      </w:r>
      <w:r>
        <w:rPr>
          <w:rFonts w:ascii="Times New Roman" w:hAnsi="Times New Roman" w:cs="Times New Roman"/>
          <w:sz w:val="20"/>
          <w:szCs w:val="20"/>
          <w:lang w:val="en-US"/>
        </w:rPr>
        <w:t>”</w:t>
      </w:r>
    </w:p>
  </w:footnote>
  <w:footnote w:id="12">
    <w:p w14:paraId="4598AF5B" w14:textId="37959F18" w:rsidR="00427B6B" w:rsidRPr="00812511" w:rsidRDefault="006A7AE7" w:rsidP="006B15EF">
      <w:pPr>
        <w:pStyle w:val="FootnoteText"/>
        <w:spacing w:after="120"/>
        <w:jc w:val="both"/>
        <w:rPr>
          <w:rFonts w:ascii="Times New Roman" w:hAnsi="Times New Roman" w:cs="Times New Roman"/>
          <w:sz w:val="20"/>
          <w:szCs w:val="20"/>
          <w:lang w:val="en-GB"/>
        </w:rPr>
      </w:pPr>
      <w:r w:rsidRPr="00812511">
        <w:rPr>
          <w:rStyle w:val="FootnoteReference"/>
          <w:rFonts w:ascii="Times New Roman" w:hAnsi="Times New Roman" w:cs="Times New Roman"/>
          <w:sz w:val="20"/>
          <w:szCs w:val="20"/>
        </w:rPr>
        <w:footnoteRef/>
      </w:r>
      <w:r w:rsidR="00427B6B" w:rsidRPr="00812511">
        <w:rPr>
          <w:rFonts w:ascii="Times New Roman" w:hAnsi="Times New Roman" w:cs="Times New Roman"/>
          <w:sz w:val="20"/>
          <w:szCs w:val="20"/>
          <w:lang w:val="en-GB"/>
        </w:rPr>
        <w:t>Rule</w:t>
      </w:r>
      <w:r w:rsidR="008A777A" w:rsidRPr="00812511">
        <w:rPr>
          <w:rFonts w:ascii="Times New Roman" w:hAnsi="Times New Roman" w:cs="Times New Roman"/>
          <w:sz w:val="20"/>
          <w:szCs w:val="20"/>
          <w:lang w:val="en-GB"/>
        </w:rPr>
        <w:t> </w:t>
      </w:r>
      <w:r w:rsidR="00427B6B" w:rsidRPr="00812511">
        <w:rPr>
          <w:rFonts w:ascii="Times New Roman" w:hAnsi="Times New Roman" w:cs="Times New Roman"/>
          <w:sz w:val="20"/>
          <w:szCs w:val="20"/>
          <w:lang w:val="en-GB"/>
        </w:rPr>
        <w:t>19A4.04(a)(i) provides as follows:</w:t>
      </w:r>
    </w:p>
    <w:p w14:paraId="5130DD64" w14:textId="5DD0FA06" w:rsidR="00427B6B" w:rsidRPr="00812511" w:rsidRDefault="00DB3E2A" w:rsidP="002B6011">
      <w:pPr>
        <w:pStyle w:val="FootnoteText"/>
        <w:spacing w:after="120"/>
        <w:ind w:left="720"/>
        <w:jc w:val="both"/>
        <w:rPr>
          <w:rFonts w:ascii="Times New Roman" w:hAnsi="Times New Roman" w:cs="Times New Roman"/>
          <w:sz w:val="20"/>
          <w:szCs w:val="20"/>
          <w:lang w:val="en-US"/>
        </w:rPr>
      </w:pPr>
      <w:r>
        <w:rPr>
          <w:rFonts w:ascii="Times New Roman" w:hAnsi="Times New Roman" w:cs="Times New Roman"/>
          <w:sz w:val="20"/>
          <w:szCs w:val="20"/>
        </w:rPr>
        <w:t>“</w:t>
      </w:r>
      <w:r w:rsidR="00427B6B" w:rsidRPr="00812511">
        <w:rPr>
          <w:rFonts w:ascii="Times New Roman" w:hAnsi="Times New Roman" w:cs="Times New Roman"/>
          <w:sz w:val="20"/>
          <w:szCs w:val="20"/>
        </w:rPr>
        <w:t>Any fuel goods removed for any purpose by the licensee of a customs and excise warehouse must be removed from stocks which have been entered or are deemed to have been entered for home consumption in accordance with the provisions of these rules, hereafter referred to as du</w:t>
      </w:r>
      <w:r w:rsidR="00310C33">
        <w:rPr>
          <w:rFonts w:ascii="Times New Roman" w:hAnsi="Times New Roman" w:cs="Times New Roman"/>
          <w:sz w:val="20"/>
          <w:szCs w:val="20"/>
        </w:rPr>
        <w:t>t</w:t>
      </w:r>
      <w:r w:rsidR="00427B6B" w:rsidRPr="00812511">
        <w:rPr>
          <w:rFonts w:ascii="Times New Roman" w:hAnsi="Times New Roman" w:cs="Times New Roman"/>
          <w:sz w:val="20"/>
          <w:szCs w:val="20"/>
        </w:rPr>
        <w:t>y paid stock.</w:t>
      </w:r>
      <w:r>
        <w:rPr>
          <w:rFonts w:ascii="Times New Roman" w:hAnsi="Times New Roman" w:cs="Times New Roman"/>
          <w:sz w:val="20"/>
          <w:szCs w:val="20"/>
        </w:rPr>
        <w:t>”</w:t>
      </w:r>
    </w:p>
  </w:footnote>
  <w:footnote w:id="13">
    <w:p w14:paraId="5AAF1D28" w14:textId="325F60B0" w:rsidR="00427B6B" w:rsidRPr="00812511" w:rsidRDefault="00427B6B" w:rsidP="006B15EF">
      <w:pPr>
        <w:spacing w:after="120" w:line="240" w:lineRule="auto"/>
        <w:jc w:val="both"/>
        <w:rPr>
          <w:rFonts w:ascii="Times New Roman" w:hAnsi="Times New Roman" w:cs="Times New Roman"/>
          <w:sz w:val="20"/>
          <w:szCs w:val="20"/>
          <w:lang w:val="en-GB"/>
        </w:rPr>
      </w:pPr>
      <w:r w:rsidRPr="00812511">
        <w:rPr>
          <w:rStyle w:val="FootnoteReference"/>
          <w:rFonts w:ascii="Times New Roman" w:hAnsi="Times New Roman" w:cs="Times New Roman"/>
          <w:sz w:val="20"/>
          <w:szCs w:val="20"/>
        </w:rPr>
        <w:footnoteRef/>
      </w:r>
      <w:r w:rsidRPr="00812511">
        <w:rPr>
          <w:rFonts w:ascii="Times New Roman" w:hAnsi="Times New Roman" w:cs="Times New Roman"/>
          <w:sz w:val="20"/>
          <w:szCs w:val="20"/>
        </w:rPr>
        <w:t xml:space="preserve"> </w:t>
      </w:r>
      <w:r w:rsidRPr="00812511">
        <w:rPr>
          <w:rFonts w:ascii="Times New Roman" w:hAnsi="Times New Roman" w:cs="Times New Roman"/>
          <w:sz w:val="20"/>
          <w:szCs w:val="20"/>
          <w:lang w:val="en-GB"/>
        </w:rPr>
        <w:t xml:space="preserve">PetroSA placed some reliance on the decision of the Full Bench in </w:t>
      </w:r>
      <w:r w:rsidRPr="00812511">
        <w:rPr>
          <w:rFonts w:ascii="Times New Roman" w:hAnsi="Times New Roman" w:cs="Times New Roman"/>
          <w:b/>
          <w:bCs/>
          <w:sz w:val="20"/>
          <w:szCs w:val="20"/>
          <w:u w:val="single"/>
          <w:lang w:val="en-GB"/>
        </w:rPr>
        <w:t>Tunica Trading</w:t>
      </w:r>
      <w:r w:rsidR="000469E9" w:rsidRPr="00812511">
        <w:rPr>
          <w:rFonts w:ascii="Times New Roman" w:hAnsi="Times New Roman" w:cs="Times New Roman"/>
          <w:sz w:val="20"/>
          <w:szCs w:val="20"/>
          <w:lang w:val="en-GB"/>
        </w:rPr>
        <w:t>.</w:t>
      </w:r>
      <w:r w:rsidRPr="00812511">
        <w:rPr>
          <w:rFonts w:ascii="Times New Roman" w:hAnsi="Times New Roman" w:cs="Times New Roman"/>
          <w:sz w:val="20"/>
          <w:szCs w:val="20"/>
          <w:lang w:val="en-GB"/>
        </w:rPr>
        <w:t xml:space="preserve"> </w:t>
      </w:r>
      <w:r w:rsidR="000469E9" w:rsidRPr="00812511">
        <w:rPr>
          <w:rFonts w:ascii="Times New Roman" w:hAnsi="Times New Roman" w:cs="Times New Roman"/>
          <w:sz w:val="20"/>
          <w:szCs w:val="20"/>
          <w:lang w:val="en-GB"/>
        </w:rPr>
        <w:t xml:space="preserve"> That case dealt</w:t>
      </w:r>
      <w:r w:rsidRPr="00812511">
        <w:rPr>
          <w:rFonts w:ascii="Times New Roman" w:hAnsi="Times New Roman" w:cs="Times New Roman"/>
          <w:sz w:val="20"/>
          <w:szCs w:val="20"/>
          <w:lang w:val="en-GB"/>
        </w:rPr>
        <w:t xml:space="preserve"> with the issue of whether fuel goods exported by a licenced </w:t>
      </w:r>
      <w:r w:rsidRPr="00812511">
        <w:rPr>
          <w:rFonts w:ascii="Times New Roman" w:hAnsi="Times New Roman" w:cs="Times New Roman"/>
          <w:sz w:val="20"/>
          <w:szCs w:val="20"/>
          <w:u w:val="single"/>
          <w:lang w:val="en-GB"/>
        </w:rPr>
        <w:t>distributor</w:t>
      </w:r>
      <w:r w:rsidRPr="00812511">
        <w:rPr>
          <w:rFonts w:ascii="Times New Roman" w:hAnsi="Times New Roman" w:cs="Times New Roman"/>
          <w:sz w:val="20"/>
          <w:szCs w:val="20"/>
          <w:lang w:val="en-GB"/>
        </w:rPr>
        <w:t xml:space="preserve"> in terms of s64F of the Act had been obtained from stocks of a licensee. In that matter, even though the fuel emanated from BP</w:t>
      </w:r>
      <w:r w:rsidR="00DB3E2A">
        <w:rPr>
          <w:rFonts w:ascii="Times New Roman" w:hAnsi="Times New Roman" w:cs="Times New Roman"/>
          <w:sz w:val="20"/>
          <w:szCs w:val="20"/>
          <w:lang w:val="en-GB"/>
        </w:rPr>
        <w:t>’</w:t>
      </w:r>
      <w:r w:rsidRPr="00812511">
        <w:rPr>
          <w:rFonts w:ascii="Times New Roman" w:hAnsi="Times New Roman" w:cs="Times New Roman"/>
          <w:sz w:val="20"/>
          <w:szCs w:val="20"/>
          <w:lang w:val="en-GB"/>
        </w:rPr>
        <w:t>s VM it was supplied from a depot remote from BP</w:t>
      </w:r>
      <w:r w:rsidR="00DB3E2A">
        <w:rPr>
          <w:rFonts w:ascii="Times New Roman" w:hAnsi="Times New Roman" w:cs="Times New Roman"/>
          <w:sz w:val="20"/>
          <w:szCs w:val="20"/>
          <w:lang w:val="en-GB"/>
        </w:rPr>
        <w:t>’</w:t>
      </w:r>
      <w:r w:rsidRPr="00812511">
        <w:rPr>
          <w:rFonts w:ascii="Times New Roman" w:hAnsi="Times New Roman" w:cs="Times New Roman"/>
          <w:sz w:val="20"/>
          <w:szCs w:val="20"/>
          <w:lang w:val="en-GB"/>
        </w:rPr>
        <w:t xml:space="preserve">s refinery, </w:t>
      </w:r>
      <w:r w:rsidR="0048747A" w:rsidRPr="00812511">
        <w:rPr>
          <w:rFonts w:ascii="Times New Roman" w:hAnsi="Times New Roman" w:cs="Times New Roman"/>
          <w:sz w:val="20"/>
          <w:szCs w:val="20"/>
          <w:lang w:val="en-GB"/>
        </w:rPr>
        <w:t>i.e.</w:t>
      </w:r>
      <w:r w:rsidRPr="00812511">
        <w:rPr>
          <w:rFonts w:ascii="Times New Roman" w:hAnsi="Times New Roman" w:cs="Times New Roman"/>
          <w:sz w:val="20"/>
          <w:szCs w:val="20"/>
          <w:lang w:val="en-GB"/>
        </w:rPr>
        <w:t xml:space="preserve"> also not from a licensed facility.  The Full Bench summarised the issue before it as follows (my underlining):</w:t>
      </w:r>
    </w:p>
    <w:p w14:paraId="5F4B8441" w14:textId="7205C561" w:rsidR="00427B6B" w:rsidRPr="00812511" w:rsidRDefault="00DB3E2A" w:rsidP="001D6B63">
      <w:pPr>
        <w:spacing w:after="120" w:line="240" w:lineRule="auto"/>
        <w:ind w:left="720"/>
        <w:jc w:val="both"/>
        <w:rPr>
          <w:rFonts w:ascii="Times New Roman" w:hAnsi="Times New Roman" w:cs="Times New Roman"/>
          <w:sz w:val="20"/>
          <w:szCs w:val="20"/>
          <w:lang w:val="en-GB"/>
        </w:rPr>
      </w:pPr>
      <w:r>
        <w:rPr>
          <w:rFonts w:ascii="Times New Roman" w:hAnsi="Times New Roman" w:cs="Times New Roman"/>
          <w:sz w:val="20"/>
          <w:szCs w:val="20"/>
          <w:lang w:val="en-GB"/>
        </w:rPr>
        <w:t>“</w:t>
      </w:r>
      <w:r w:rsidR="00427B6B" w:rsidRPr="00812511">
        <w:rPr>
          <w:rFonts w:ascii="Times New Roman" w:hAnsi="Times New Roman" w:cs="Times New Roman"/>
          <w:sz w:val="20"/>
          <w:szCs w:val="20"/>
          <w:lang w:val="en-GB"/>
        </w:rPr>
        <w:t>[17]</w:t>
      </w:r>
      <w:r w:rsidR="006B15EF" w:rsidRPr="00812511">
        <w:rPr>
          <w:rFonts w:ascii="Times New Roman" w:hAnsi="Times New Roman" w:cs="Times New Roman"/>
          <w:sz w:val="20"/>
          <w:szCs w:val="20"/>
          <w:lang w:val="en-GB"/>
        </w:rPr>
        <w:tab/>
      </w:r>
      <w:r w:rsidR="00427B6B" w:rsidRPr="00812511">
        <w:rPr>
          <w:rFonts w:ascii="Times New Roman" w:hAnsi="Times New Roman" w:cs="Times New Roman"/>
          <w:sz w:val="20"/>
          <w:szCs w:val="20"/>
          <w:lang w:val="en-GB"/>
        </w:rPr>
        <w:t>On 1</w:t>
      </w:r>
      <w:r w:rsidR="006B15EF" w:rsidRPr="00812511">
        <w:rPr>
          <w:rFonts w:ascii="Times New Roman" w:hAnsi="Times New Roman" w:cs="Times New Roman"/>
          <w:sz w:val="20"/>
          <w:szCs w:val="20"/>
          <w:lang w:val="en-GB"/>
        </w:rPr>
        <w:t> </w:t>
      </w:r>
      <w:r w:rsidR="00427B6B" w:rsidRPr="00812511">
        <w:rPr>
          <w:rFonts w:ascii="Times New Roman" w:hAnsi="Times New Roman" w:cs="Times New Roman"/>
          <w:sz w:val="20"/>
          <w:szCs w:val="20"/>
          <w:lang w:val="en-GB"/>
        </w:rPr>
        <w:t>April</w:t>
      </w:r>
      <w:r w:rsidR="006B15EF" w:rsidRPr="00812511">
        <w:rPr>
          <w:rFonts w:ascii="Times New Roman" w:hAnsi="Times New Roman" w:cs="Times New Roman"/>
          <w:sz w:val="20"/>
          <w:szCs w:val="20"/>
          <w:lang w:val="en-GB"/>
        </w:rPr>
        <w:t> </w:t>
      </w:r>
      <w:r w:rsidR="00427B6B" w:rsidRPr="00812511">
        <w:rPr>
          <w:rFonts w:ascii="Times New Roman" w:hAnsi="Times New Roman" w:cs="Times New Roman"/>
          <w:sz w:val="20"/>
          <w:szCs w:val="20"/>
          <w:lang w:val="en-GB"/>
        </w:rPr>
        <w:t xml:space="preserve">2015, SARS rejected the refund application on the ground that the fuel was not </w:t>
      </w:r>
      <w:r>
        <w:rPr>
          <w:rFonts w:ascii="Times New Roman" w:hAnsi="Times New Roman" w:cs="Times New Roman"/>
          <w:sz w:val="20"/>
          <w:szCs w:val="20"/>
          <w:lang w:val="en-GB"/>
        </w:rPr>
        <w:t>“</w:t>
      </w:r>
      <w:r w:rsidR="00427B6B" w:rsidRPr="00812511">
        <w:rPr>
          <w:rFonts w:ascii="Times New Roman" w:hAnsi="Times New Roman" w:cs="Times New Roman"/>
          <w:sz w:val="20"/>
          <w:szCs w:val="20"/>
          <w:lang w:val="en-GB"/>
        </w:rPr>
        <w:t>purchased from the licensee of a Customs and Excise manufacturing warehouse</w:t>
      </w:r>
      <w:r>
        <w:rPr>
          <w:rFonts w:ascii="Times New Roman" w:hAnsi="Times New Roman" w:cs="Times New Roman"/>
          <w:sz w:val="20"/>
          <w:szCs w:val="20"/>
          <w:lang w:val="en-GB"/>
        </w:rPr>
        <w:t>”</w:t>
      </w:r>
      <w:r w:rsidR="00427B6B" w:rsidRPr="00812511">
        <w:rPr>
          <w:rFonts w:ascii="Times New Roman" w:hAnsi="Times New Roman" w:cs="Times New Roman"/>
          <w:sz w:val="20"/>
          <w:szCs w:val="20"/>
          <w:lang w:val="en-GB"/>
        </w:rPr>
        <w:t xml:space="preserve"> namely BPSA, but was instead purchased from what SARS termed </w:t>
      </w:r>
      <w:r>
        <w:rPr>
          <w:rFonts w:ascii="Times New Roman" w:hAnsi="Times New Roman" w:cs="Times New Roman"/>
          <w:sz w:val="20"/>
          <w:szCs w:val="20"/>
          <w:lang w:val="en-GB"/>
        </w:rPr>
        <w:t>“</w:t>
      </w:r>
      <w:r w:rsidR="00427B6B" w:rsidRPr="00812511">
        <w:rPr>
          <w:rFonts w:ascii="Times New Roman" w:hAnsi="Times New Roman" w:cs="Times New Roman"/>
          <w:sz w:val="20"/>
          <w:szCs w:val="20"/>
          <w:lang w:val="en-GB"/>
        </w:rPr>
        <w:t>an intermediary</w:t>
      </w:r>
      <w:r>
        <w:rPr>
          <w:rFonts w:ascii="Times New Roman" w:hAnsi="Times New Roman" w:cs="Times New Roman"/>
          <w:sz w:val="20"/>
          <w:szCs w:val="20"/>
          <w:lang w:val="en-GB"/>
        </w:rPr>
        <w:t>”</w:t>
      </w:r>
      <w:r w:rsidR="00427B6B" w:rsidRPr="00812511">
        <w:rPr>
          <w:rFonts w:ascii="Times New Roman" w:hAnsi="Times New Roman" w:cs="Times New Roman"/>
          <w:sz w:val="20"/>
          <w:szCs w:val="20"/>
          <w:lang w:val="en-GB"/>
        </w:rPr>
        <w:t xml:space="preserve"> namely Masana, which had purchased it from the </w:t>
      </w:r>
      <w:r>
        <w:rPr>
          <w:rFonts w:ascii="Times New Roman" w:hAnsi="Times New Roman" w:cs="Times New Roman"/>
          <w:sz w:val="20"/>
          <w:szCs w:val="20"/>
          <w:lang w:val="en-GB"/>
        </w:rPr>
        <w:t>“</w:t>
      </w:r>
      <w:r w:rsidR="00427B6B" w:rsidRPr="00812511">
        <w:rPr>
          <w:rFonts w:ascii="Times New Roman" w:hAnsi="Times New Roman" w:cs="Times New Roman"/>
          <w:sz w:val="20"/>
          <w:szCs w:val="20"/>
          <w:lang w:val="en-GB"/>
        </w:rPr>
        <w:t>licensed manufacturing warehouse</w:t>
      </w:r>
      <w:r>
        <w:rPr>
          <w:rFonts w:ascii="Times New Roman" w:hAnsi="Times New Roman" w:cs="Times New Roman"/>
          <w:sz w:val="20"/>
          <w:szCs w:val="20"/>
          <w:lang w:val="en-GB"/>
        </w:rPr>
        <w:t>”</w:t>
      </w:r>
      <w:r w:rsidR="00427B6B" w:rsidRPr="00812511">
        <w:rPr>
          <w:rFonts w:ascii="Times New Roman" w:hAnsi="Times New Roman" w:cs="Times New Roman"/>
          <w:sz w:val="20"/>
          <w:szCs w:val="20"/>
          <w:lang w:val="en-GB"/>
        </w:rPr>
        <w:t xml:space="preserve">.  According to SARS, it was of the view that it was the </w:t>
      </w:r>
      <w:r>
        <w:rPr>
          <w:rFonts w:ascii="Times New Roman" w:hAnsi="Times New Roman" w:cs="Times New Roman"/>
          <w:sz w:val="20"/>
          <w:szCs w:val="20"/>
          <w:lang w:val="en-GB"/>
        </w:rPr>
        <w:t>“</w:t>
      </w:r>
      <w:r w:rsidR="00427B6B" w:rsidRPr="00812511">
        <w:rPr>
          <w:rFonts w:ascii="Times New Roman" w:hAnsi="Times New Roman" w:cs="Times New Roman"/>
          <w:sz w:val="20"/>
          <w:szCs w:val="20"/>
          <w:lang w:val="en-GB"/>
        </w:rPr>
        <w:t>intention of the legislator</w:t>
      </w:r>
      <w:r>
        <w:rPr>
          <w:rFonts w:ascii="Times New Roman" w:hAnsi="Times New Roman" w:cs="Times New Roman"/>
          <w:sz w:val="20"/>
          <w:szCs w:val="20"/>
          <w:lang w:val="en-GB"/>
        </w:rPr>
        <w:t>”</w:t>
      </w:r>
      <w:r w:rsidR="00427B6B" w:rsidRPr="00812511">
        <w:rPr>
          <w:rFonts w:ascii="Times New Roman" w:hAnsi="Times New Roman" w:cs="Times New Roman"/>
          <w:sz w:val="20"/>
          <w:szCs w:val="20"/>
          <w:lang w:val="en-GB"/>
        </w:rPr>
        <w:t xml:space="preserve"> in the provision of Section</w:t>
      </w:r>
      <w:r w:rsidR="006B15EF" w:rsidRPr="00812511">
        <w:rPr>
          <w:rFonts w:ascii="Times New Roman" w:hAnsi="Times New Roman" w:cs="Times New Roman"/>
          <w:sz w:val="20"/>
          <w:szCs w:val="20"/>
          <w:lang w:val="en-GB"/>
        </w:rPr>
        <w:t> </w:t>
      </w:r>
      <w:r w:rsidR="00427B6B" w:rsidRPr="00812511">
        <w:rPr>
          <w:rFonts w:ascii="Times New Roman" w:hAnsi="Times New Roman" w:cs="Times New Roman"/>
          <w:sz w:val="20"/>
          <w:szCs w:val="20"/>
          <w:lang w:val="en-GB"/>
        </w:rPr>
        <w:t>64F(1)(b) that the fuel must be acquired from the licensee of a customs and excise manufacturing warehouse.</w:t>
      </w:r>
      <w:r w:rsidR="001D6B63" w:rsidRPr="00812511">
        <w:rPr>
          <w:rFonts w:ascii="Times New Roman" w:hAnsi="Times New Roman" w:cs="Times New Roman"/>
          <w:sz w:val="20"/>
          <w:szCs w:val="20"/>
          <w:lang w:val="en-GB"/>
        </w:rPr>
        <w:t xml:space="preserve">  </w:t>
      </w:r>
      <w:r w:rsidR="00427B6B" w:rsidRPr="00812511">
        <w:rPr>
          <w:rFonts w:ascii="Times New Roman" w:hAnsi="Times New Roman" w:cs="Times New Roman"/>
          <w:sz w:val="20"/>
          <w:szCs w:val="20"/>
          <w:lang w:val="en-GB"/>
        </w:rPr>
        <w:t xml:space="preserve">The wording in s64F clearly permits refunds of duties and levies in respect of fuel </w:t>
      </w:r>
      <w:r>
        <w:rPr>
          <w:rFonts w:ascii="Times New Roman" w:hAnsi="Times New Roman" w:cs="Times New Roman"/>
          <w:sz w:val="20"/>
          <w:szCs w:val="20"/>
          <w:lang w:val="en-GB"/>
        </w:rPr>
        <w:t>‘</w:t>
      </w:r>
      <w:r w:rsidR="00427B6B" w:rsidRPr="00812511">
        <w:rPr>
          <w:rFonts w:ascii="Times New Roman" w:hAnsi="Times New Roman" w:cs="Times New Roman"/>
          <w:sz w:val="20"/>
          <w:szCs w:val="20"/>
          <w:lang w:val="en-GB"/>
        </w:rPr>
        <w:t>obtained</w:t>
      </w:r>
      <w:r>
        <w:rPr>
          <w:rFonts w:ascii="Times New Roman" w:hAnsi="Times New Roman" w:cs="Times New Roman"/>
          <w:sz w:val="20"/>
          <w:szCs w:val="20"/>
          <w:lang w:val="en-GB"/>
        </w:rPr>
        <w:t>’</w:t>
      </w:r>
      <w:r w:rsidR="00427B6B" w:rsidRPr="00812511">
        <w:rPr>
          <w:rFonts w:ascii="Times New Roman" w:hAnsi="Times New Roman" w:cs="Times New Roman"/>
          <w:sz w:val="20"/>
          <w:szCs w:val="20"/>
          <w:lang w:val="en-GB"/>
        </w:rPr>
        <w:t xml:space="preserve"> from </w:t>
      </w:r>
      <w:r>
        <w:rPr>
          <w:rFonts w:ascii="Times New Roman" w:hAnsi="Times New Roman" w:cs="Times New Roman"/>
          <w:sz w:val="20"/>
          <w:szCs w:val="20"/>
          <w:lang w:val="en-GB"/>
        </w:rPr>
        <w:t>‘</w:t>
      </w:r>
      <w:r w:rsidR="00427B6B" w:rsidRPr="00812511">
        <w:rPr>
          <w:rFonts w:ascii="Times New Roman" w:hAnsi="Times New Roman" w:cs="Times New Roman"/>
          <w:sz w:val="20"/>
          <w:szCs w:val="20"/>
          <w:lang w:val="en-GB"/>
        </w:rPr>
        <w:t>stocks of a licensee of a customs and excise manufacturing warehouse</w:t>
      </w:r>
      <w:r>
        <w:rPr>
          <w:rFonts w:ascii="Times New Roman" w:hAnsi="Times New Roman" w:cs="Times New Roman"/>
          <w:sz w:val="20"/>
          <w:szCs w:val="20"/>
          <w:lang w:val="en-GB"/>
        </w:rPr>
        <w:t>’</w:t>
      </w:r>
      <w:r w:rsidR="00427B6B" w:rsidRPr="00812511">
        <w:rPr>
          <w:rFonts w:ascii="Times New Roman" w:hAnsi="Times New Roman" w:cs="Times New Roman"/>
          <w:sz w:val="20"/>
          <w:szCs w:val="20"/>
          <w:lang w:val="en-GB"/>
        </w:rPr>
        <w:t>, which are the large oil companies like BPSA and Shell and to deliver it for export which includes supplying fuel as stores for foreign-going ships.</w:t>
      </w:r>
    </w:p>
    <w:p w14:paraId="5F3EA77D" w14:textId="0108C9BD" w:rsidR="00427B6B" w:rsidRPr="00812511" w:rsidRDefault="00427B6B" w:rsidP="006B15EF">
      <w:pPr>
        <w:spacing w:after="120" w:line="240" w:lineRule="auto"/>
        <w:ind w:left="720"/>
        <w:jc w:val="both"/>
        <w:rPr>
          <w:rFonts w:ascii="Times New Roman" w:hAnsi="Times New Roman" w:cs="Times New Roman"/>
          <w:sz w:val="20"/>
          <w:szCs w:val="20"/>
          <w:lang w:val="en-GB"/>
        </w:rPr>
      </w:pPr>
      <w:r w:rsidRPr="00812511">
        <w:rPr>
          <w:rFonts w:ascii="Times New Roman" w:hAnsi="Times New Roman" w:cs="Times New Roman"/>
          <w:sz w:val="20"/>
          <w:szCs w:val="20"/>
          <w:lang w:val="en-GB"/>
        </w:rPr>
        <w:t>[68]</w:t>
      </w:r>
      <w:r w:rsidR="006B15EF" w:rsidRPr="00812511">
        <w:rPr>
          <w:rFonts w:ascii="Times New Roman" w:hAnsi="Times New Roman" w:cs="Times New Roman"/>
          <w:sz w:val="20"/>
          <w:szCs w:val="20"/>
          <w:lang w:val="en-GB"/>
        </w:rPr>
        <w:tab/>
      </w:r>
      <w:r w:rsidRPr="00812511">
        <w:rPr>
          <w:rFonts w:ascii="Times New Roman" w:hAnsi="Times New Roman" w:cs="Times New Roman"/>
          <w:sz w:val="20"/>
          <w:szCs w:val="20"/>
          <w:lang w:val="en-GB"/>
        </w:rPr>
        <w:t xml:space="preserve">In my view, on a proper interpretation of the wording in s64F of the Customs Act, the requirement that a distributor must have obtained the fuel </w:t>
      </w:r>
      <w:r w:rsidR="00DB3E2A">
        <w:rPr>
          <w:rFonts w:ascii="Times New Roman" w:hAnsi="Times New Roman" w:cs="Times New Roman"/>
          <w:sz w:val="20"/>
          <w:szCs w:val="20"/>
          <w:lang w:val="en-GB"/>
        </w:rPr>
        <w:t>“</w:t>
      </w:r>
      <w:r w:rsidRPr="00812511">
        <w:rPr>
          <w:rFonts w:ascii="Times New Roman" w:hAnsi="Times New Roman" w:cs="Times New Roman"/>
          <w:sz w:val="20"/>
          <w:szCs w:val="20"/>
          <w:lang w:val="en-GB"/>
        </w:rPr>
        <w:t>from stocks of a licensee of a customs and excise manufacturing warehouse</w:t>
      </w:r>
      <w:r w:rsidR="00DB3E2A">
        <w:rPr>
          <w:rFonts w:ascii="Times New Roman" w:hAnsi="Times New Roman" w:cs="Times New Roman"/>
          <w:sz w:val="20"/>
          <w:szCs w:val="20"/>
          <w:lang w:val="en-GB"/>
        </w:rPr>
        <w:t>”</w:t>
      </w:r>
      <w:r w:rsidRPr="00812511">
        <w:rPr>
          <w:rFonts w:ascii="Times New Roman" w:hAnsi="Times New Roman" w:cs="Times New Roman"/>
          <w:sz w:val="20"/>
          <w:szCs w:val="20"/>
          <w:lang w:val="en-GB"/>
        </w:rPr>
        <w:t xml:space="preserve"> </w:t>
      </w:r>
      <w:r w:rsidRPr="00812511">
        <w:rPr>
          <w:rFonts w:ascii="Times New Roman" w:hAnsi="Times New Roman" w:cs="Times New Roman"/>
          <w:sz w:val="20"/>
          <w:szCs w:val="20"/>
          <w:u w:val="single"/>
          <w:lang w:val="en-GB"/>
        </w:rPr>
        <w:t>cannot be interpreted to restrict the refund to cases where the fuel was purchased directly from such a licensee, but must include cases where the fuel is purchased from an intermediary like Masana, where the fuel is in fact from the stocks of such licensee, and obtained from those stocks even if not purchased directly</w:t>
      </w:r>
      <w:r w:rsidRPr="00812511">
        <w:rPr>
          <w:rFonts w:ascii="Times New Roman" w:hAnsi="Times New Roman" w:cs="Times New Roman"/>
          <w:sz w:val="20"/>
          <w:szCs w:val="20"/>
          <w:lang w:val="en-GB"/>
        </w:rPr>
        <w:t>. In fact, it is not in issue that at least from 2010 until October</w:t>
      </w:r>
      <w:r w:rsidR="006B15EF" w:rsidRPr="00812511">
        <w:rPr>
          <w:rFonts w:ascii="Times New Roman" w:hAnsi="Times New Roman" w:cs="Times New Roman"/>
          <w:sz w:val="20"/>
          <w:szCs w:val="20"/>
          <w:lang w:val="en-GB"/>
        </w:rPr>
        <w:t> </w:t>
      </w:r>
      <w:r w:rsidRPr="00812511">
        <w:rPr>
          <w:rFonts w:ascii="Times New Roman" w:hAnsi="Times New Roman" w:cs="Times New Roman"/>
          <w:sz w:val="20"/>
          <w:szCs w:val="20"/>
          <w:lang w:val="en-GB"/>
        </w:rPr>
        <w:t>2014, SARS itself had interpreted the Act and rules in such a manner that the refund would be made in these circumstances.</w:t>
      </w:r>
      <w:r w:rsidR="00DB3E2A">
        <w:rPr>
          <w:rFonts w:ascii="Times New Roman" w:hAnsi="Times New Roman" w:cs="Times New Roman"/>
          <w:sz w:val="20"/>
          <w:szCs w:val="20"/>
          <w:lang w:val="en-GB"/>
        </w:rPr>
        <w:t>”</w:t>
      </w:r>
      <w:r w:rsidR="001D6B63" w:rsidRPr="00812511">
        <w:rPr>
          <w:rFonts w:ascii="Times New Roman" w:hAnsi="Times New Roman" w:cs="Times New Roman"/>
          <w:sz w:val="20"/>
          <w:szCs w:val="20"/>
          <w:lang w:val="en-GB"/>
        </w:rPr>
        <w:t xml:space="preserve">  (my underlining)</w:t>
      </w:r>
    </w:p>
    <w:p w14:paraId="659D272B" w14:textId="30F54185" w:rsidR="00427B6B" w:rsidRPr="00812511" w:rsidRDefault="00427B6B" w:rsidP="006B15EF">
      <w:pPr>
        <w:spacing w:after="0" w:line="240" w:lineRule="auto"/>
        <w:jc w:val="both"/>
        <w:rPr>
          <w:rFonts w:ascii="Times New Roman" w:hAnsi="Times New Roman" w:cs="Times New Roman"/>
          <w:sz w:val="20"/>
          <w:szCs w:val="20"/>
          <w:lang w:val="en-US"/>
        </w:rPr>
      </w:pPr>
      <w:r w:rsidRPr="00812511">
        <w:rPr>
          <w:rFonts w:ascii="Times New Roman" w:hAnsi="Times New Roman" w:cs="Times New Roman"/>
          <w:sz w:val="20"/>
          <w:szCs w:val="20"/>
          <w:lang w:val="en-GB"/>
        </w:rPr>
        <w:t>Whilst recognising that the purchase may be made through an intermediary, the Full Bench did not address the issue of whether the fuel goods must be removed from a licensed facility or whether, as contended by PetroSA, it suffices that it is duty-paid stock which is removed from a storage tank owned by or under the control of a licensee of a VM or a licensee of an SOS.</w:t>
      </w:r>
    </w:p>
  </w:footnote>
  <w:footnote w:id="14">
    <w:p w14:paraId="3C4D05BD" w14:textId="5041CEDB" w:rsidR="00183032" w:rsidRPr="00812511" w:rsidRDefault="00183032" w:rsidP="006B15EF">
      <w:pPr>
        <w:pStyle w:val="FootnoteText"/>
        <w:jc w:val="both"/>
        <w:rPr>
          <w:rFonts w:ascii="Times New Roman" w:hAnsi="Times New Roman" w:cs="Times New Roman"/>
          <w:sz w:val="20"/>
          <w:szCs w:val="20"/>
          <w:lang w:val="en-US"/>
        </w:rPr>
      </w:pPr>
      <w:r w:rsidRPr="00812511">
        <w:rPr>
          <w:rStyle w:val="FootnoteReference"/>
          <w:rFonts w:ascii="Times New Roman" w:hAnsi="Times New Roman" w:cs="Times New Roman"/>
          <w:sz w:val="20"/>
          <w:szCs w:val="20"/>
        </w:rPr>
        <w:footnoteRef/>
      </w:r>
      <w:r w:rsidRPr="00812511">
        <w:rPr>
          <w:rFonts w:ascii="Times New Roman" w:hAnsi="Times New Roman" w:cs="Times New Roman"/>
          <w:sz w:val="20"/>
          <w:szCs w:val="20"/>
        </w:rPr>
        <w:t xml:space="preserve"> </w:t>
      </w:r>
      <w:r w:rsidRPr="00812511">
        <w:rPr>
          <w:rFonts w:ascii="Times New Roman" w:hAnsi="Times New Roman" w:cs="Times New Roman"/>
          <w:b/>
          <w:bCs/>
          <w:sz w:val="20"/>
          <w:szCs w:val="20"/>
          <w:u w:val="single"/>
        </w:rPr>
        <w:t>SA Mutual Unit Trust</w:t>
      </w:r>
      <w:r w:rsidRPr="00812511">
        <w:rPr>
          <w:rFonts w:ascii="Times New Roman" w:hAnsi="Times New Roman" w:cs="Times New Roman"/>
          <w:sz w:val="20"/>
          <w:szCs w:val="20"/>
        </w:rPr>
        <w:t xml:space="preserve"> at p</w:t>
      </w:r>
      <w:r w:rsidR="005818FC" w:rsidRPr="00812511">
        <w:rPr>
          <w:rFonts w:ascii="Times New Roman" w:hAnsi="Times New Roman" w:cs="Times New Roman"/>
          <w:sz w:val="20"/>
          <w:szCs w:val="20"/>
        </w:rPr>
        <w:t>.</w:t>
      </w:r>
      <w:r w:rsidR="006B15EF" w:rsidRPr="00812511">
        <w:rPr>
          <w:rFonts w:ascii="Times New Roman" w:hAnsi="Times New Roman" w:cs="Times New Roman"/>
          <w:sz w:val="20"/>
          <w:szCs w:val="20"/>
        </w:rPr>
        <w:t> </w:t>
      </w:r>
      <w:r w:rsidR="005818FC" w:rsidRPr="00812511">
        <w:rPr>
          <w:rFonts w:ascii="Times New Roman" w:hAnsi="Times New Roman" w:cs="Times New Roman"/>
          <w:sz w:val="20"/>
          <w:szCs w:val="20"/>
        </w:rPr>
        <w:t>538D</w:t>
      </w:r>
      <w:r w:rsidR="006B15EF" w:rsidRPr="00812511">
        <w:rPr>
          <w:rFonts w:ascii="Times New Roman" w:hAnsi="Times New Roman" w:cs="Times New Roman"/>
          <w:sz w:val="20"/>
          <w:szCs w:val="20"/>
        </w:rPr>
        <w:t>.</w:t>
      </w:r>
    </w:p>
  </w:footnote>
  <w:footnote w:id="15">
    <w:p w14:paraId="47B317AD" w14:textId="546F12D4" w:rsidR="009D573C" w:rsidRPr="00812511" w:rsidRDefault="009D573C" w:rsidP="006B15EF">
      <w:pPr>
        <w:pStyle w:val="FootnoteText"/>
        <w:spacing w:after="120"/>
        <w:jc w:val="both"/>
        <w:rPr>
          <w:rFonts w:ascii="Times New Roman" w:hAnsi="Times New Roman" w:cs="Times New Roman"/>
          <w:sz w:val="20"/>
          <w:szCs w:val="20"/>
          <w:lang w:val="en-US"/>
        </w:rPr>
      </w:pPr>
      <w:r w:rsidRPr="00812511">
        <w:rPr>
          <w:rStyle w:val="FootnoteReference"/>
          <w:rFonts w:ascii="Times New Roman" w:hAnsi="Times New Roman" w:cs="Times New Roman"/>
          <w:sz w:val="20"/>
          <w:szCs w:val="20"/>
        </w:rPr>
        <w:footnoteRef/>
      </w:r>
      <w:r w:rsidRPr="00812511">
        <w:rPr>
          <w:rFonts w:ascii="Times New Roman" w:hAnsi="Times New Roman" w:cs="Times New Roman"/>
          <w:sz w:val="20"/>
          <w:szCs w:val="20"/>
        </w:rPr>
        <w:t xml:space="preserve"> </w:t>
      </w:r>
      <w:r w:rsidRPr="00812511">
        <w:rPr>
          <w:rFonts w:ascii="Times New Roman" w:hAnsi="Times New Roman" w:cs="Times New Roman"/>
          <w:sz w:val="20"/>
          <w:szCs w:val="20"/>
          <w:lang w:val="en-US"/>
        </w:rPr>
        <w:t xml:space="preserve">In the </w:t>
      </w:r>
      <w:r w:rsidRPr="00812511">
        <w:rPr>
          <w:rFonts w:ascii="Times New Roman" w:hAnsi="Times New Roman" w:cs="Times New Roman"/>
          <w:b/>
          <w:bCs/>
          <w:sz w:val="20"/>
          <w:szCs w:val="20"/>
          <w:u w:val="single"/>
          <w:lang w:val="en-US"/>
        </w:rPr>
        <w:t>Gauteng Suspension Judgment</w:t>
      </w:r>
      <w:r w:rsidRPr="00812511">
        <w:rPr>
          <w:rFonts w:ascii="Times New Roman" w:hAnsi="Times New Roman" w:cs="Times New Roman"/>
          <w:sz w:val="20"/>
          <w:szCs w:val="20"/>
          <w:lang w:val="en-US"/>
        </w:rPr>
        <w:t xml:space="preserve"> </w:t>
      </w:r>
      <w:r w:rsidR="00E65757" w:rsidRPr="00812511">
        <w:rPr>
          <w:rFonts w:ascii="Times New Roman" w:hAnsi="Times New Roman" w:cs="Times New Roman"/>
          <w:sz w:val="20"/>
          <w:szCs w:val="20"/>
          <w:lang w:val="en-US"/>
        </w:rPr>
        <w:t>the same version</w:t>
      </w:r>
      <w:r w:rsidRPr="00812511">
        <w:rPr>
          <w:rFonts w:ascii="Times New Roman" w:hAnsi="Times New Roman" w:cs="Times New Roman"/>
          <w:sz w:val="20"/>
          <w:szCs w:val="20"/>
          <w:lang w:val="en-US"/>
        </w:rPr>
        <w:t xml:space="preserve"> is </w:t>
      </w:r>
      <w:r w:rsidR="00C576B4" w:rsidRPr="00812511">
        <w:rPr>
          <w:rFonts w:ascii="Times New Roman" w:hAnsi="Times New Roman" w:cs="Times New Roman"/>
          <w:sz w:val="20"/>
          <w:szCs w:val="20"/>
          <w:lang w:val="en-US"/>
        </w:rPr>
        <w:t>recorded:</w:t>
      </w:r>
    </w:p>
    <w:p w14:paraId="597CC5D8" w14:textId="3702C9AC" w:rsidR="00C576B4" w:rsidRPr="00812511" w:rsidRDefault="00DB3E2A" w:rsidP="006B15EF">
      <w:pPr>
        <w:pStyle w:val="FootnoteText"/>
        <w:ind w:left="720"/>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D8090A" w:rsidRPr="00812511">
        <w:rPr>
          <w:rFonts w:ascii="Times New Roman" w:hAnsi="Times New Roman" w:cs="Times New Roman"/>
          <w:sz w:val="20"/>
          <w:szCs w:val="20"/>
          <w:lang w:val="en-US"/>
        </w:rPr>
        <w:t>[85]</w:t>
      </w:r>
      <w:r w:rsidR="00D8090A" w:rsidRPr="00812511">
        <w:rPr>
          <w:rFonts w:ascii="Times New Roman" w:hAnsi="Times New Roman" w:cs="Times New Roman"/>
          <w:sz w:val="20"/>
          <w:szCs w:val="20"/>
          <w:lang w:val="en-US"/>
        </w:rPr>
        <w:tab/>
        <w:t>On whether even if the Commissioner was aware of it and permitted it to happen and now intends to stamp it out, Mr.</w:t>
      </w:r>
      <w:r w:rsidR="006B15EF" w:rsidRPr="00812511">
        <w:rPr>
          <w:rFonts w:ascii="Times New Roman" w:hAnsi="Times New Roman" w:cs="Times New Roman"/>
          <w:sz w:val="20"/>
          <w:szCs w:val="20"/>
          <w:lang w:val="en-US"/>
        </w:rPr>
        <w:t> </w:t>
      </w:r>
      <w:r w:rsidR="00D8090A" w:rsidRPr="00812511">
        <w:rPr>
          <w:rFonts w:ascii="Times New Roman" w:hAnsi="Times New Roman" w:cs="Times New Roman"/>
          <w:sz w:val="20"/>
          <w:szCs w:val="20"/>
          <w:lang w:val="en-US"/>
        </w:rPr>
        <w:t>Vorster argued that he entitled to stamp out practices that he no longer wishes to allow.  The argument is that on the facts presented to this court, the practice has been prevailing since about 2012 and if the Commissioner wants to clean out the practice, he cannot do so retrospectively.</w:t>
      </w:r>
      <w:r>
        <w:rPr>
          <w:rFonts w:ascii="Times New Roman" w:hAnsi="Times New Roman" w:cs="Times New Roman"/>
          <w:sz w:val="20"/>
          <w:szCs w:val="20"/>
          <w:lang w:val="en-US"/>
        </w:rPr>
        <w:t>”</w:t>
      </w:r>
    </w:p>
  </w:footnote>
  <w:footnote w:id="16">
    <w:p w14:paraId="6BE2C87D" w14:textId="6A22D693" w:rsidR="008025BA" w:rsidRPr="00812511" w:rsidRDefault="008025BA" w:rsidP="006B15EF">
      <w:pPr>
        <w:pStyle w:val="FootnoteText"/>
        <w:spacing w:after="120"/>
        <w:jc w:val="both"/>
        <w:rPr>
          <w:rFonts w:ascii="Times New Roman" w:hAnsi="Times New Roman" w:cs="Times New Roman"/>
          <w:sz w:val="20"/>
          <w:szCs w:val="20"/>
          <w:lang w:val="en-US"/>
        </w:rPr>
      </w:pPr>
      <w:r w:rsidRPr="00812511">
        <w:rPr>
          <w:rStyle w:val="FootnoteReference"/>
          <w:rFonts w:ascii="Times New Roman" w:hAnsi="Times New Roman" w:cs="Times New Roman"/>
          <w:sz w:val="20"/>
          <w:szCs w:val="20"/>
        </w:rPr>
        <w:footnoteRef/>
      </w:r>
      <w:r w:rsidRPr="00812511">
        <w:rPr>
          <w:rFonts w:ascii="Times New Roman" w:hAnsi="Times New Roman" w:cs="Times New Roman"/>
          <w:sz w:val="20"/>
          <w:szCs w:val="20"/>
        </w:rPr>
        <w:t xml:space="preserve"> </w:t>
      </w:r>
      <w:r w:rsidR="00B53972" w:rsidRPr="00812511">
        <w:rPr>
          <w:rFonts w:ascii="Times New Roman" w:hAnsi="Times New Roman" w:cs="Times New Roman"/>
          <w:sz w:val="20"/>
          <w:szCs w:val="20"/>
          <w:lang w:val="en-US"/>
        </w:rPr>
        <w:t>T</w:t>
      </w:r>
      <w:r w:rsidR="00576A61" w:rsidRPr="00812511">
        <w:rPr>
          <w:rFonts w:ascii="Times New Roman" w:hAnsi="Times New Roman" w:cs="Times New Roman"/>
          <w:sz w:val="20"/>
          <w:szCs w:val="20"/>
          <w:lang w:val="en-US"/>
        </w:rPr>
        <w:t xml:space="preserve">he </w:t>
      </w:r>
      <w:r w:rsidR="00576A61" w:rsidRPr="00812511">
        <w:rPr>
          <w:rFonts w:ascii="Times New Roman" w:hAnsi="Times New Roman" w:cs="Times New Roman"/>
          <w:b/>
          <w:bCs/>
          <w:sz w:val="20"/>
          <w:szCs w:val="20"/>
          <w:u w:val="single"/>
          <w:lang w:val="en-US"/>
        </w:rPr>
        <w:t>Gauteng Suspension Judgment</w:t>
      </w:r>
      <w:r w:rsidR="00576A61" w:rsidRPr="00812511">
        <w:rPr>
          <w:rFonts w:ascii="Times New Roman" w:hAnsi="Times New Roman" w:cs="Times New Roman"/>
          <w:sz w:val="20"/>
          <w:szCs w:val="20"/>
          <w:lang w:val="en-US"/>
        </w:rPr>
        <w:t xml:space="preserve"> recorded the following</w:t>
      </w:r>
      <w:r w:rsidR="00947D7E" w:rsidRPr="00812511">
        <w:rPr>
          <w:rFonts w:ascii="Times New Roman" w:hAnsi="Times New Roman" w:cs="Times New Roman"/>
          <w:sz w:val="20"/>
          <w:szCs w:val="20"/>
          <w:lang w:val="en-US"/>
        </w:rPr>
        <w:t xml:space="preserve">, albeit under the heading </w:t>
      </w:r>
      <w:r w:rsidR="00DB3E2A">
        <w:rPr>
          <w:rFonts w:ascii="Times New Roman" w:hAnsi="Times New Roman" w:cs="Times New Roman"/>
          <w:sz w:val="20"/>
          <w:szCs w:val="20"/>
          <w:lang w:val="en-US"/>
        </w:rPr>
        <w:t>“</w:t>
      </w:r>
      <w:r w:rsidR="00947D7E" w:rsidRPr="00812511">
        <w:rPr>
          <w:rFonts w:ascii="Times New Roman" w:hAnsi="Times New Roman" w:cs="Times New Roman"/>
          <w:sz w:val="20"/>
          <w:szCs w:val="20"/>
          <w:lang w:val="en-US"/>
        </w:rPr>
        <w:t>Applicant</w:t>
      </w:r>
      <w:r w:rsidR="00DB3E2A">
        <w:rPr>
          <w:rFonts w:ascii="Times New Roman" w:hAnsi="Times New Roman" w:cs="Times New Roman"/>
          <w:sz w:val="20"/>
          <w:szCs w:val="20"/>
          <w:lang w:val="en-US"/>
        </w:rPr>
        <w:t>’</w:t>
      </w:r>
      <w:r w:rsidR="00947D7E" w:rsidRPr="00812511">
        <w:rPr>
          <w:rFonts w:ascii="Times New Roman" w:hAnsi="Times New Roman" w:cs="Times New Roman"/>
          <w:sz w:val="20"/>
          <w:szCs w:val="20"/>
          <w:lang w:val="en-US"/>
        </w:rPr>
        <w:t>s Submissions</w:t>
      </w:r>
      <w:r w:rsidR="00576A61" w:rsidRPr="00812511">
        <w:rPr>
          <w:rFonts w:ascii="Times New Roman" w:hAnsi="Times New Roman" w:cs="Times New Roman"/>
          <w:sz w:val="20"/>
          <w:szCs w:val="20"/>
          <w:lang w:val="en-US"/>
        </w:rPr>
        <w:t>:</w:t>
      </w:r>
    </w:p>
    <w:p w14:paraId="60462881" w14:textId="5C1843CE" w:rsidR="00043AC8" w:rsidRPr="00812511" w:rsidRDefault="00DB3E2A" w:rsidP="006B15EF">
      <w:pPr>
        <w:pStyle w:val="FootnoteText"/>
        <w:spacing w:after="120"/>
        <w:ind w:left="720"/>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043AC8" w:rsidRPr="00812511">
        <w:rPr>
          <w:rFonts w:ascii="Times New Roman" w:hAnsi="Times New Roman" w:cs="Times New Roman"/>
          <w:sz w:val="20"/>
          <w:szCs w:val="20"/>
          <w:lang w:val="en-US"/>
        </w:rPr>
        <w:t>[45]</w:t>
      </w:r>
      <w:r w:rsidR="00043AC8" w:rsidRPr="00812511">
        <w:rPr>
          <w:rFonts w:ascii="Times New Roman" w:hAnsi="Times New Roman" w:cs="Times New Roman"/>
          <w:sz w:val="20"/>
          <w:szCs w:val="20"/>
          <w:lang w:val="en-US"/>
        </w:rPr>
        <w:tab/>
        <w:t>It is also common cause that the Tarlton and Tzaneen storage facilities are not licenced in terms of the Customs Act.  This fact has always been known to the Commissioner because before PetroSA consulted SARS before adopting the business module.</w:t>
      </w:r>
    </w:p>
    <w:p w14:paraId="7E8CCF93" w14:textId="2EB38EEC" w:rsidR="00043AC8" w:rsidRPr="00812511" w:rsidRDefault="00043AC8" w:rsidP="006B15EF">
      <w:pPr>
        <w:pStyle w:val="FootnoteText"/>
        <w:spacing w:after="120"/>
        <w:ind w:left="720"/>
        <w:jc w:val="both"/>
        <w:rPr>
          <w:rFonts w:ascii="Times New Roman" w:hAnsi="Times New Roman" w:cs="Times New Roman"/>
          <w:sz w:val="20"/>
          <w:szCs w:val="20"/>
          <w:lang w:val="en-US"/>
        </w:rPr>
      </w:pPr>
      <w:r w:rsidRPr="00812511">
        <w:rPr>
          <w:rFonts w:ascii="Times New Roman" w:hAnsi="Times New Roman" w:cs="Times New Roman"/>
          <w:sz w:val="20"/>
          <w:szCs w:val="20"/>
          <w:lang w:val="en-US"/>
        </w:rPr>
        <w:t>[46]</w:t>
      </w:r>
      <w:r w:rsidRPr="00812511">
        <w:rPr>
          <w:rFonts w:ascii="Times New Roman" w:hAnsi="Times New Roman" w:cs="Times New Roman"/>
          <w:sz w:val="20"/>
          <w:szCs w:val="20"/>
          <w:lang w:val="en-US"/>
        </w:rPr>
        <w:tab/>
        <w:t>Respondent</w:t>
      </w:r>
      <w:r w:rsidR="00DB3E2A">
        <w:rPr>
          <w:rFonts w:ascii="Times New Roman" w:hAnsi="Times New Roman" w:cs="Times New Roman"/>
          <w:sz w:val="20"/>
          <w:szCs w:val="20"/>
          <w:lang w:val="en-US"/>
        </w:rPr>
        <w:t>’</w:t>
      </w:r>
      <w:r w:rsidRPr="00812511">
        <w:rPr>
          <w:rFonts w:ascii="Times New Roman" w:hAnsi="Times New Roman" w:cs="Times New Roman"/>
          <w:sz w:val="20"/>
          <w:szCs w:val="20"/>
          <w:lang w:val="en-US"/>
        </w:rPr>
        <w:t>s counsel in his heads of argument argues that there is insufficient evidence regarding the licensing arrangements.  However, this is not disputed in the answering affidavit.</w:t>
      </w:r>
    </w:p>
    <w:p w14:paraId="7B043E1F" w14:textId="4EC4278B" w:rsidR="00043AC8" w:rsidRPr="00812511" w:rsidRDefault="00043AC8" w:rsidP="006B15EF">
      <w:pPr>
        <w:pStyle w:val="FootnoteText"/>
        <w:spacing w:after="120"/>
        <w:ind w:left="720"/>
        <w:jc w:val="both"/>
        <w:rPr>
          <w:rFonts w:ascii="Times New Roman" w:hAnsi="Times New Roman" w:cs="Times New Roman"/>
          <w:sz w:val="20"/>
          <w:szCs w:val="20"/>
          <w:lang w:val="en-US"/>
        </w:rPr>
      </w:pPr>
      <w:r w:rsidRPr="00812511">
        <w:rPr>
          <w:rFonts w:ascii="Times New Roman" w:hAnsi="Times New Roman" w:cs="Times New Roman"/>
          <w:sz w:val="20"/>
          <w:szCs w:val="20"/>
          <w:lang w:val="en-US"/>
        </w:rPr>
        <w:t>[47]</w:t>
      </w:r>
      <w:r w:rsidRPr="00812511">
        <w:rPr>
          <w:rFonts w:ascii="Times New Roman" w:hAnsi="Times New Roman" w:cs="Times New Roman"/>
          <w:sz w:val="20"/>
          <w:szCs w:val="20"/>
          <w:lang w:val="en-US"/>
        </w:rPr>
        <w:tab/>
        <w:t>The manner in which the applicant has conducted its business is consistent with Industry practice.  This is not disputed in the answering affidavit.  The practice of set-off was explained in the applicant</w:t>
      </w:r>
      <w:r w:rsidR="00DB3E2A">
        <w:rPr>
          <w:rFonts w:ascii="Times New Roman" w:hAnsi="Times New Roman" w:cs="Times New Roman"/>
          <w:sz w:val="20"/>
          <w:szCs w:val="20"/>
          <w:lang w:val="en-US"/>
        </w:rPr>
        <w:t>’</w:t>
      </w:r>
      <w:r w:rsidRPr="00812511">
        <w:rPr>
          <w:rFonts w:ascii="Times New Roman" w:hAnsi="Times New Roman" w:cs="Times New Roman"/>
          <w:sz w:val="20"/>
          <w:szCs w:val="20"/>
          <w:lang w:val="en-US"/>
        </w:rPr>
        <w:t xml:space="preserve">s founding affidavit.  It is the practice envisaged in </w:t>
      </w:r>
      <w:bookmarkStart w:id="2" w:name="_Hlk156406463"/>
      <w:r w:rsidRPr="00812511">
        <w:rPr>
          <w:rFonts w:ascii="Times New Roman" w:hAnsi="Times New Roman" w:cs="Times New Roman"/>
          <w:sz w:val="20"/>
          <w:szCs w:val="20"/>
          <w:lang w:val="en-US"/>
        </w:rPr>
        <w:t>Section 44(11A</w:t>
      </w:r>
      <w:bookmarkEnd w:id="2"/>
      <w:r w:rsidRPr="00812511">
        <w:rPr>
          <w:rFonts w:ascii="Times New Roman" w:hAnsi="Times New Roman" w:cs="Times New Roman"/>
          <w:sz w:val="20"/>
          <w:szCs w:val="20"/>
          <w:lang w:val="en-US"/>
        </w:rPr>
        <w:t>) of the Customs Act and it came into existence in the manner in which set-offs are applied and accepted by SARS of acquittal and or export documents in respect of fuel export from Tarlton.</w:t>
      </w:r>
    </w:p>
    <w:p w14:paraId="6CD0380D" w14:textId="010C29E2" w:rsidR="00043AC8" w:rsidRPr="00812511" w:rsidRDefault="00043AC8" w:rsidP="006B15EF">
      <w:pPr>
        <w:pStyle w:val="FootnoteText"/>
        <w:spacing w:after="120"/>
        <w:ind w:left="720"/>
        <w:jc w:val="both"/>
        <w:rPr>
          <w:rFonts w:ascii="Times New Roman" w:hAnsi="Times New Roman" w:cs="Times New Roman"/>
          <w:sz w:val="20"/>
          <w:szCs w:val="20"/>
          <w:lang w:val="en-US"/>
        </w:rPr>
      </w:pPr>
      <w:r w:rsidRPr="00812511">
        <w:rPr>
          <w:rFonts w:ascii="Times New Roman" w:hAnsi="Times New Roman" w:cs="Times New Roman"/>
          <w:sz w:val="20"/>
          <w:szCs w:val="20"/>
          <w:lang w:val="en-US"/>
        </w:rPr>
        <w:t>[48]</w:t>
      </w:r>
      <w:r w:rsidRPr="00812511">
        <w:rPr>
          <w:rFonts w:ascii="Times New Roman" w:hAnsi="Times New Roman" w:cs="Times New Roman"/>
          <w:sz w:val="20"/>
          <w:szCs w:val="20"/>
          <w:lang w:val="en-US"/>
        </w:rPr>
        <w:tab/>
        <w:t xml:space="preserve">The Commissioner is precluded from claiming any of the amounts set out in </w:t>
      </w:r>
      <w:r w:rsidR="009B2EA6" w:rsidRPr="00812511">
        <w:rPr>
          <w:rFonts w:ascii="Times New Roman" w:hAnsi="Times New Roman" w:cs="Times New Roman"/>
          <w:sz w:val="20"/>
          <w:szCs w:val="20"/>
          <w:lang w:val="en-US"/>
        </w:rPr>
        <w:t>Schedule A</w:t>
      </w:r>
      <w:r w:rsidRPr="00812511">
        <w:rPr>
          <w:rFonts w:ascii="Times New Roman" w:hAnsi="Times New Roman" w:cs="Times New Roman"/>
          <w:sz w:val="20"/>
          <w:szCs w:val="20"/>
          <w:lang w:val="en-US"/>
        </w:rPr>
        <w:t xml:space="preserve"> of the letter of demand because the exports and set-offs have been subjected to audits over many years by officials from various offices of SARS across the country.  The audits were not only conducted on the applicant, but also other oil companies and until recently, SARS allowed the exports and set-offs to continue in the manner described above.</w:t>
      </w:r>
    </w:p>
    <w:p w14:paraId="04AE3768" w14:textId="2D5AABD5" w:rsidR="00043AC8" w:rsidRPr="00812511" w:rsidRDefault="00043AC8" w:rsidP="00B53972">
      <w:pPr>
        <w:pStyle w:val="FootnoteText"/>
        <w:spacing w:after="120"/>
        <w:ind w:left="720"/>
        <w:jc w:val="both"/>
        <w:rPr>
          <w:rFonts w:ascii="Times New Roman" w:hAnsi="Times New Roman" w:cs="Times New Roman"/>
          <w:sz w:val="20"/>
          <w:szCs w:val="20"/>
          <w:lang w:val="en-US"/>
        </w:rPr>
      </w:pPr>
      <w:r w:rsidRPr="00812511">
        <w:rPr>
          <w:rFonts w:ascii="Times New Roman" w:hAnsi="Times New Roman" w:cs="Times New Roman"/>
          <w:sz w:val="20"/>
          <w:szCs w:val="20"/>
          <w:lang w:val="en-US"/>
        </w:rPr>
        <w:t>[49]</w:t>
      </w:r>
      <w:r w:rsidRPr="00812511">
        <w:rPr>
          <w:rFonts w:ascii="Times New Roman" w:hAnsi="Times New Roman" w:cs="Times New Roman"/>
          <w:sz w:val="20"/>
          <w:szCs w:val="20"/>
          <w:lang w:val="en-US"/>
        </w:rPr>
        <w:tab/>
        <w:t>The answering affidavit doesn</w:t>
      </w:r>
      <w:r w:rsidR="00DB3E2A">
        <w:rPr>
          <w:rFonts w:ascii="Times New Roman" w:hAnsi="Times New Roman" w:cs="Times New Roman"/>
          <w:sz w:val="20"/>
          <w:szCs w:val="20"/>
          <w:lang w:val="en-US"/>
        </w:rPr>
        <w:t>’</w:t>
      </w:r>
      <w:r w:rsidRPr="00812511">
        <w:rPr>
          <w:rFonts w:ascii="Times New Roman" w:hAnsi="Times New Roman" w:cs="Times New Roman"/>
          <w:sz w:val="20"/>
          <w:szCs w:val="20"/>
          <w:lang w:val="en-US"/>
        </w:rPr>
        <w:t>t dispute the factual averments.  The Commissioner only dispute the lawfulness of the practice but not the facts set out by the applicants.  The counsel for the respondent argues (in the supplementary heads of argument) that there isn</w:t>
      </w:r>
      <w:r w:rsidR="00DB3E2A">
        <w:rPr>
          <w:rFonts w:ascii="Times New Roman" w:hAnsi="Times New Roman" w:cs="Times New Roman"/>
          <w:sz w:val="20"/>
          <w:szCs w:val="20"/>
          <w:lang w:val="en-US"/>
        </w:rPr>
        <w:t>’</w:t>
      </w:r>
      <w:r w:rsidRPr="00812511">
        <w:rPr>
          <w:rFonts w:ascii="Times New Roman" w:hAnsi="Times New Roman" w:cs="Times New Roman"/>
          <w:sz w:val="20"/>
          <w:szCs w:val="20"/>
          <w:lang w:val="en-US"/>
        </w:rPr>
        <w:t>t sufficient evidence regarding the practice generally prevailing.</w:t>
      </w:r>
      <w:r w:rsidR="00DB3E2A">
        <w:rPr>
          <w:rFonts w:ascii="Times New Roman" w:hAnsi="Times New Roman" w:cs="Times New Roman"/>
          <w:sz w:val="20"/>
          <w:szCs w:val="20"/>
          <w:lang w:val="en-US"/>
        </w:rPr>
        <w:t>”</w:t>
      </w:r>
    </w:p>
    <w:p w14:paraId="1438DE06" w14:textId="03E422D3" w:rsidR="00B53972" w:rsidRPr="00812511" w:rsidRDefault="00B53972" w:rsidP="00B53972">
      <w:pPr>
        <w:pStyle w:val="FootnoteText"/>
        <w:jc w:val="both"/>
        <w:rPr>
          <w:rFonts w:ascii="Times New Roman" w:hAnsi="Times New Roman" w:cs="Times New Roman"/>
          <w:sz w:val="20"/>
          <w:szCs w:val="20"/>
          <w:lang w:val="en-US"/>
        </w:rPr>
      </w:pPr>
      <w:r w:rsidRPr="00812511">
        <w:rPr>
          <w:rFonts w:ascii="Times New Roman" w:hAnsi="Times New Roman" w:cs="Times New Roman"/>
          <w:sz w:val="20"/>
          <w:szCs w:val="20"/>
          <w:lang w:val="en-US"/>
        </w:rPr>
        <w:t xml:space="preserve">Given the </w:t>
      </w:r>
      <w:r w:rsidRPr="00812511">
        <w:rPr>
          <w:rFonts w:ascii="Times New Roman" w:hAnsi="Times New Roman" w:cs="Times New Roman"/>
          <w:b/>
          <w:bCs/>
          <w:sz w:val="20"/>
          <w:szCs w:val="20"/>
          <w:u w:val="single"/>
          <w:lang w:val="en-US"/>
        </w:rPr>
        <w:t>Gauteng Suspension Judgment</w:t>
      </w:r>
      <w:r w:rsidRPr="00812511">
        <w:rPr>
          <w:rFonts w:ascii="Times New Roman" w:hAnsi="Times New Roman" w:cs="Times New Roman"/>
          <w:sz w:val="20"/>
          <w:szCs w:val="20"/>
          <w:lang w:val="en-US"/>
        </w:rPr>
        <w:t>, SARS was alerted to its failure to contest the practice generally prevailing</w:t>
      </w:r>
      <w:r w:rsidR="00310C33">
        <w:rPr>
          <w:rFonts w:ascii="Times New Roman" w:hAnsi="Times New Roman" w:cs="Times New Roman"/>
          <w:sz w:val="20"/>
          <w:szCs w:val="20"/>
          <w:lang w:val="en-US"/>
        </w:rPr>
        <w:t xml:space="preserve"> at a factual level</w:t>
      </w:r>
      <w:r w:rsidRPr="00812511">
        <w:rPr>
          <w:rFonts w:ascii="Times New Roman" w:hAnsi="Times New Roman" w:cs="Times New Roman"/>
          <w:sz w:val="20"/>
          <w:szCs w:val="20"/>
          <w:lang w:val="en-US"/>
        </w:rPr>
        <w:t>.  It nevertheless failed to do so in the appeal.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3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61619"/>
    <w:multiLevelType w:val="multilevel"/>
    <w:tmpl w:val="00F87AC2"/>
    <w:lvl w:ilvl="0">
      <w:start w:val="6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69947F1"/>
    <w:multiLevelType w:val="multilevel"/>
    <w:tmpl w:val="46FCBB16"/>
    <w:lvl w:ilvl="0">
      <w:start w:val="3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B03223"/>
    <w:multiLevelType w:val="multilevel"/>
    <w:tmpl w:val="184A3F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2B7F5B"/>
    <w:multiLevelType w:val="multilevel"/>
    <w:tmpl w:val="0FB4AD24"/>
    <w:lvl w:ilvl="0">
      <w:start w:val="1"/>
      <w:numFmt w:val="decimal"/>
      <w:pStyle w:val="Level1"/>
      <w:lvlText w:val="%1."/>
      <w:lvlJc w:val="left"/>
      <w:pPr>
        <w:ind w:left="360" w:hanging="360"/>
      </w:pPr>
      <w:rPr>
        <w:rFonts w:hint="default"/>
      </w:rPr>
    </w:lvl>
    <w:lvl w:ilvl="1">
      <w:start w:val="1"/>
      <w:numFmt w:val="decimal"/>
      <w:pStyle w:val="Level2"/>
      <w:lvlText w:val="%1.%2."/>
      <w:lvlJc w:val="left"/>
      <w:pPr>
        <w:ind w:left="1418" w:hanging="851"/>
      </w:pPr>
      <w:rPr>
        <w:rFonts w:hint="default"/>
      </w:rPr>
    </w:lvl>
    <w:lvl w:ilvl="2">
      <w:start w:val="1"/>
      <w:numFmt w:val="decimal"/>
      <w:pStyle w:val="Level3"/>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0D1E8C"/>
    <w:multiLevelType w:val="hybridMultilevel"/>
    <w:tmpl w:val="32DCA86E"/>
    <w:lvl w:ilvl="0" w:tplc="BC6287E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8501CC"/>
    <w:multiLevelType w:val="multilevel"/>
    <w:tmpl w:val="1DC80492"/>
    <w:lvl w:ilvl="0">
      <w:start w:val="6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8BA3C5B"/>
    <w:multiLevelType w:val="hybridMultilevel"/>
    <w:tmpl w:val="E4CE48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B70E92"/>
    <w:multiLevelType w:val="multilevel"/>
    <w:tmpl w:val="4D5E6024"/>
    <w:lvl w:ilvl="0">
      <w:start w:val="3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B291D59"/>
    <w:multiLevelType w:val="multilevel"/>
    <w:tmpl w:val="17F46576"/>
    <w:lvl w:ilvl="0">
      <w:start w:val="6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05269F"/>
    <w:multiLevelType w:val="hybridMultilevel"/>
    <w:tmpl w:val="C28C2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A5A07A5"/>
    <w:multiLevelType w:val="multilevel"/>
    <w:tmpl w:val="F4ACFF24"/>
    <w:lvl w:ilvl="0">
      <w:start w:val="5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DA724D8"/>
    <w:multiLevelType w:val="hybridMultilevel"/>
    <w:tmpl w:val="A2CE656E"/>
    <w:lvl w:ilvl="0" w:tplc="F48A06FE">
      <w:start w:val="1"/>
      <w:numFmt w:val="low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2DCE6EBF"/>
    <w:multiLevelType w:val="multilevel"/>
    <w:tmpl w:val="A976B320"/>
    <w:lvl w:ilvl="0">
      <w:start w:val="9"/>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6EC386B"/>
    <w:multiLevelType w:val="hybridMultilevel"/>
    <w:tmpl w:val="4998D51A"/>
    <w:lvl w:ilvl="0" w:tplc="760E8E22">
      <w:start w:val="1"/>
      <w:numFmt w:val="lowerRoman"/>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063E4D"/>
    <w:multiLevelType w:val="multilevel"/>
    <w:tmpl w:val="1F46042C"/>
    <w:lvl w:ilvl="0">
      <w:start w:val="45"/>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16" w15:restartNumberingAfterBreak="0">
    <w:nsid w:val="49FC052E"/>
    <w:multiLevelType w:val="hybridMultilevel"/>
    <w:tmpl w:val="A2CE656E"/>
    <w:lvl w:ilvl="0" w:tplc="F48A06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D339A6"/>
    <w:multiLevelType w:val="hybridMultilevel"/>
    <w:tmpl w:val="BAA03DBE"/>
    <w:lvl w:ilvl="0" w:tplc="586C8910">
      <w:start w:val="4"/>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0A765F5"/>
    <w:multiLevelType w:val="multilevel"/>
    <w:tmpl w:val="FBA69A6E"/>
    <w:lvl w:ilvl="0">
      <w:start w:val="6"/>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0C02589"/>
    <w:multiLevelType w:val="multilevel"/>
    <w:tmpl w:val="51F20B68"/>
    <w:lvl w:ilvl="0">
      <w:start w:val="4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4AC035D"/>
    <w:multiLevelType w:val="hybridMultilevel"/>
    <w:tmpl w:val="63EA67DA"/>
    <w:lvl w:ilvl="0" w:tplc="526ECE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51C619E"/>
    <w:multiLevelType w:val="hybridMultilevel"/>
    <w:tmpl w:val="532C3D08"/>
    <w:lvl w:ilvl="0" w:tplc="72441DA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57053581"/>
    <w:multiLevelType w:val="multilevel"/>
    <w:tmpl w:val="98DA4DE0"/>
    <w:lvl w:ilvl="0">
      <w:start w:val="5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83A626B"/>
    <w:multiLevelType w:val="hybridMultilevel"/>
    <w:tmpl w:val="9800B6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BA92265"/>
    <w:multiLevelType w:val="multilevel"/>
    <w:tmpl w:val="448AF43E"/>
    <w:lvl w:ilvl="0">
      <w:start w:val="5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C027D0B"/>
    <w:multiLevelType w:val="multilevel"/>
    <w:tmpl w:val="ADA4E02C"/>
    <w:lvl w:ilvl="0">
      <w:start w:val="47"/>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26" w15:restartNumberingAfterBreak="0">
    <w:nsid w:val="5C806633"/>
    <w:multiLevelType w:val="multilevel"/>
    <w:tmpl w:val="EEE8F180"/>
    <w:lvl w:ilvl="0">
      <w:start w:val="4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2E8368E"/>
    <w:multiLevelType w:val="multilevel"/>
    <w:tmpl w:val="4AAE60FA"/>
    <w:lvl w:ilvl="0">
      <w:start w:val="31"/>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28" w15:restartNumberingAfterBreak="0">
    <w:nsid w:val="672D67F9"/>
    <w:multiLevelType w:val="multilevel"/>
    <w:tmpl w:val="1340BCA6"/>
    <w:lvl w:ilvl="0">
      <w:start w:val="34"/>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29" w15:restartNumberingAfterBreak="0">
    <w:nsid w:val="69B47EC4"/>
    <w:multiLevelType w:val="multilevel"/>
    <w:tmpl w:val="F4CE1AD2"/>
    <w:lvl w:ilvl="0">
      <w:start w:val="7"/>
      <w:numFmt w:val="decimal"/>
      <w:lvlText w:val="%1."/>
      <w:lvlJc w:val="left"/>
      <w:pPr>
        <w:ind w:left="720" w:hanging="360"/>
      </w:pPr>
      <w:rPr>
        <w:rFonts w:hint="default"/>
      </w:rPr>
    </w:lvl>
    <w:lvl w:ilvl="1">
      <w:start w:val="1"/>
      <w:numFmt w:val="decimal"/>
      <w:isLgl/>
      <w:lvlText w:val="%1.%2"/>
      <w:lvlJc w:val="left"/>
      <w:pPr>
        <w:ind w:left="1700" w:hanging="980"/>
      </w:pPr>
      <w:rPr>
        <w:rFonts w:hint="default"/>
      </w:rPr>
    </w:lvl>
    <w:lvl w:ilvl="2">
      <w:start w:val="1"/>
      <w:numFmt w:val="decimal"/>
      <w:isLgl/>
      <w:lvlText w:val="%1.%2.%3"/>
      <w:lvlJc w:val="left"/>
      <w:pPr>
        <w:ind w:left="2060" w:hanging="9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9FE761F"/>
    <w:multiLevelType w:val="multilevel"/>
    <w:tmpl w:val="7F462A16"/>
    <w:lvl w:ilvl="0">
      <w:start w:val="28"/>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6FED1518"/>
    <w:multiLevelType w:val="hybridMultilevel"/>
    <w:tmpl w:val="3C0294F4"/>
    <w:lvl w:ilvl="0" w:tplc="7A2C69E6">
      <w:start w:val="2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15:restartNumberingAfterBreak="0">
    <w:nsid w:val="705F3DE8"/>
    <w:multiLevelType w:val="hybridMultilevel"/>
    <w:tmpl w:val="1814F506"/>
    <w:lvl w:ilvl="0" w:tplc="D4986BD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39A3C59"/>
    <w:multiLevelType w:val="multilevel"/>
    <w:tmpl w:val="00121FF8"/>
    <w:lvl w:ilvl="0">
      <w:start w:val="53"/>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34" w15:restartNumberingAfterBreak="0">
    <w:nsid w:val="76561BEE"/>
    <w:multiLevelType w:val="hybridMultilevel"/>
    <w:tmpl w:val="E39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E4950"/>
    <w:multiLevelType w:val="hybridMultilevel"/>
    <w:tmpl w:val="EFA87F94"/>
    <w:lvl w:ilvl="0" w:tplc="530429C0">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6" w15:restartNumberingAfterBreak="0">
    <w:nsid w:val="7CD71409"/>
    <w:multiLevelType w:val="multilevel"/>
    <w:tmpl w:val="B75E11EE"/>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F787E89"/>
    <w:multiLevelType w:val="multilevel"/>
    <w:tmpl w:val="4AF87A3A"/>
    <w:lvl w:ilvl="0">
      <w:start w:val="2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0"/>
  </w:num>
  <w:num w:numId="2">
    <w:abstractNumId w:val="7"/>
  </w:num>
  <w:num w:numId="3">
    <w:abstractNumId w:val="5"/>
  </w:num>
  <w:num w:numId="4">
    <w:abstractNumId w:val="17"/>
  </w:num>
  <w:num w:numId="5">
    <w:abstractNumId w:val="18"/>
  </w:num>
  <w:num w:numId="6">
    <w:abstractNumId w:val="13"/>
  </w:num>
  <w:num w:numId="7">
    <w:abstractNumId w:val="30"/>
  </w:num>
  <w:num w:numId="8">
    <w:abstractNumId w:val="27"/>
  </w:num>
  <w:num w:numId="9">
    <w:abstractNumId w:val="28"/>
  </w:num>
  <w:num w:numId="10">
    <w:abstractNumId w:val="32"/>
  </w:num>
  <w:num w:numId="11">
    <w:abstractNumId w:val="15"/>
  </w:num>
  <w:num w:numId="12">
    <w:abstractNumId w:val="25"/>
  </w:num>
  <w:num w:numId="13">
    <w:abstractNumId w:val="33"/>
  </w:num>
  <w:num w:numId="14">
    <w:abstractNumId w:val="23"/>
  </w:num>
  <w:num w:numId="15">
    <w:abstractNumId w:val="29"/>
  </w:num>
  <w:num w:numId="16">
    <w:abstractNumId w:val="0"/>
  </w:num>
  <w:num w:numId="17">
    <w:abstractNumId w:val="12"/>
  </w:num>
  <w:num w:numId="18">
    <w:abstractNumId w:val="16"/>
  </w:num>
  <w:num w:numId="19">
    <w:abstractNumId w:val="34"/>
  </w:num>
  <w:num w:numId="20">
    <w:abstractNumId w:val="3"/>
  </w:num>
  <w:num w:numId="21">
    <w:abstractNumId w:val="21"/>
  </w:num>
  <w:num w:numId="22">
    <w:abstractNumId w:val="4"/>
  </w:num>
  <w:num w:numId="23">
    <w:abstractNumId w:val="19"/>
  </w:num>
  <w:num w:numId="24">
    <w:abstractNumId w:val="36"/>
  </w:num>
  <w:num w:numId="25">
    <w:abstractNumId w:val="31"/>
  </w:num>
  <w:num w:numId="26">
    <w:abstractNumId w:val="35"/>
  </w:num>
  <w:num w:numId="27">
    <w:abstractNumId w:val="37"/>
  </w:num>
  <w:num w:numId="28">
    <w:abstractNumId w:val="8"/>
  </w:num>
  <w:num w:numId="29">
    <w:abstractNumId w:val="2"/>
  </w:num>
  <w:num w:numId="30">
    <w:abstractNumId w:val="26"/>
  </w:num>
  <w:num w:numId="31">
    <w:abstractNumId w:val="11"/>
  </w:num>
  <w:num w:numId="32">
    <w:abstractNumId w:val="22"/>
  </w:num>
  <w:num w:numId="33">
    <w:abstractNumId w:val="24"/>
  </w:num>
  <w:num w:numId="34">
    <w:abstractNumId w:val="6"/>
  </w:num>
  <w:num w:numId="35">
    <w:abstractNumId w:val="1"/>
  </w:num>
  <w:num w:numId="36">
    <w:abstractNumId w:val="9"/>
  </w:num>
  <w:num w:numId="37">
    <w:abstractNumId w:val="10"/>
  </w:num>
  <w:num w:numId="38">
    <w:abstractNumId w:val="14"/>
  </w:num>
  <w:num w:numId="3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FF"/>
    <w:rsid w:val="00000389"/>
    <w:rsid w:val="000005EA"/>
    <w:rsid w:val="00000F3D"/>
    <w:rsid w:val="000011C9"/>
    <w:rsid w:val="00001F71"/>
    <w:rsid w:val="0000343F"/>
    <w:rsid w:val="00007B31"/>
    <w:rsid w:val="00010374"/>
    <w:rsid w:val="00011D67"/>
    <w:rsid w:val="00012A3A"/>
    <w:rsid w:val="00013E74"/>
    <w:rsid w:val="00015A24"/>
    <w:rsid w:val="00016CB6"/>
    <w:rsid w:val="00020822"/>
    <w:rsid w:val="00021425"/>
    <w:rsid w:val="00022CCE"/>
    <w:rsid w:val="000256E0"/>
    <w:rsid w:val="00026498"/>
    <w:rsid w:val="000264DA"/>
    <w:rsid w:val="00027F11"/>
    <w:rsid w:val="00030473"/>
    <w:rsid w:val="0003171A"/>
    <w:rsid w:val="00031A23"/>
    <w:rsid w:val="00031A47"/>
    <w:rsid w:val="00033169"/>
    <w:rsid w:val="00035AE1"/>
    <w:rsid w:val="00036425"/>
    <w:rsid w:val="00037C15"/>
    <w:rsid w:val="00040D07"/>
    <w:rsid w:val="00041C8E"/>
    <w:rsid w:val="000421D7"/>
    <w:rsid w:val="00043129"/>
    <w:rsid w:val="00043AC8"/>
    <w:rsid w:val="000457B6"/>
    <w:rsid w:val="00046033"/>
    <w:rsid w:val="000464DA"/>
    <w:rsid w:val="00046924"/>
    <w:rsid w:val="000469E9"/>
    <w:rsid w:val="0004705E"/>
    <w:rsid w:val="0005193F"/>
    <w:rsid w:val="00051944"/>
    <w:rsid w:val="00052B2B"/>
    <w:rsid w:val="000549E0"/>
    <w:rsid w:val="00055E31"/>
    <w:rsid w:val="00057348"/>
    <w:rsid w:val="00057626"/>
    <w:rsid w:val="00057E93"/>
    <w:rsid w:val="00060C60"/>
    <w:rsid w:val="00062738"/>
    <w:rsid w:val="00066424"/>
    <w:rsid w:val="000666CA"/>
    <w:rsid w:val="0006720C"/>
    <w:rsid w:val="000723F7"/>
    <w:rsid w:val="000729EE"/>
    <w:rsid w:val="000730A5"/>
    <w:rsid w:val="00077F8F"/>
    <w:rsid w:val="0008056F"/>
    <w:rsid w:val="00080CE1"/>
    <w:rsid w:val="00081658"/>
    <w:rsid w:val="00081978"/>
    <w:rsid w:val="0008269E"/>
    <w:rsid w:val="00082A8C"/>
    <w:rsid w:val="00083289"/>
    <w:rsid w:val="0008425F"/>
    <w:rsid w:val="0008632A"/>
    <w:rsid w:val="000867B4"/>
    <w:rsid w:val="00094E62"/>
    <w:rsid w:val="000A0E07"/>
    <w:rsid w:val="000A2350"/>
    <w:rsid w:val="000A2A60"/>
    <w:rsid w:val="000A3BE2"/>
    <w:rsid w:val="000A5488"/>
    <w:rsid w:val="000A5E98"/>
    <w:rsid w:val="000B2616"/>
    <w:rsid w:val="000B6A6D"/>
    <w:rsid w:val="000B7EAD"/>
    <w:rsid w:val="000C4B8D"/>
    <w:rsid w:val="000C5BEF"/>
    <w:rsid w:val="000C632F"/>
    <w:rsid w:val="000D0006"/>
    <w:rsid w:val="000D1F4D"/>
    <w:rsid w:val="000D3F9B"/>
    <w:rsid w:val="000D4298"/>
    <w:rsid w:val="000D57E2"/>
    <w:rsid w:val="000D59E1"/>
    <w:rsid w:val="000E0009"/>
    <w:rsid w:val="000E017D"/>
    <w:rsid w:val="000E1955"/>
    <w:rsid w:val="000E3102"/>
    <w:rsid w:val="000E35D9"/>
    <w:rsid w:val="000E4A90"/>
    <w:rsid w:val="000E5AAD"/>
    <w:rsid w:val="000E5E88"/>
    <w:rsid w:val="000E623B"/>
    <w:rsid w:val="000E7E1B"/>
    <w:rsid w:val="000F02B1"/>
    <w:rsid w:val="000F0784"/>
    <w:rsid w:val="000F1E82"/>
    <w:rsid w:val="000F2ABB"/>
    <w:rsid w:val="000F327F"/>
    <w:rsid w:val="000F4D16"/>
    <w:rsid w:val="000F5AF9"/>
    <w:rsid w:val="000F609F"/>
    <w:rsid w:val="000F6881"/>
    <w:rsid w:val="001026A8"/>
    <w:rsid w:val="0010288D"/>
    <w:rsid w:val="0010355B"/>
    <w:rsid w:val="00103D54"/>
    <w:rsid w:val="001050AC"/>
    <w:rsid w:val="00105B3B"/>
    <w:rsid w:val="00106688"/>
    <w:rsid w:val="00112EF5"/>
    <w:rsid w:val="00113149"/>
    <w:rsid w:val="00113608"/>
    <w:rsid w:val="001169D9"/>
    <w:rsid w:val="00117F4E"/>
    <w:rsid w:val="00121167"/>
    <w:rsid w:val="001219E5"/>
    <w:rsid w:val="0013022D"/>
    <w:rsid w:val="0013083C"/>
    <w:rsid w:val="0013112E"/>
    <w:rsid w:val="001315DF"/>
    <w:rsid w:val="001325D2"/>
    <w:rsid w:val="00132B93"/>
    <w:rsid w:val="00133284"/>
    <w:rsid w:val="001356C2"/>
    <w:rsid w:val="00135865"/>
    <w:rsid w:val="00136A87"/>
    <w:rsid w:val="001403E9"/>
    <w:rsid w:val="00140915"/>
    <w:rsid w:val="00141400"/>
    <w:rsid w:val="001416D2"/>
    <w:rsid w:val="0014572B"/>
    <w:rsid w:val="0014694F"/>
    <w:rsid w:val="00147B99"/>
    <w:rsid w:val="00147D9B"/>
    <w:rsid w:val="001501FD"/>
    <w:rsid w:val="00153348"/>
    <w:rsid w:val="001541C8"/>
    <w:rsid w:val="00156B25"/>
    <w:rsid w:val="00157371"/>
    <w:rsid w:val="00160EFB"/>
    <w:rsid w:val="00161EB2"/>
    <w:rsid w:val="00162D8F"/>
    <w:rsid w:val="0016425A"/>
    <w:rsid w:val="00164305"/>
    <w:rsid w:val="00165732"/>
    <w:rsid w:val="00166445"/>
    <w:rsid w:val="00167093"/>
    <w:rsid w:val="00167D7B"/>
    <w:rsid w:val="0017003D"/>
    <w:rsid w:val="001706CC"/>
    <w:rsid w:val="001743B4"/>
    <w:rsid w:val="00177505"/>
    <w:rsid w:val="00177BD7"/>
    <w:rsid w:val="0018023D"/>
    <w:rsid w:val="00181E66"/>
    <w:rsid w:val="00183032"/>
    <w:rsid w:val="00184D26"/>
    <w:rsid w:val="001872F9"/>
    <w:rsid w:val="00187964"/>
    <w:rsid w:val="00190F7F"/>
    <w:rsid w:val="00191EE6"/>
    <w:rsid w:val="0019520B"/>
    <w:rsid w:val="00196976"/>
    <w:rsid w:val="00196B17"/>
    <w:rsid w:val="001A0731"/>
    <w:rsid w:val="001A10E3"/>
    <w:rsid w:val="001A3069"/>
    <w:rsid w:val="001A57D1"/>
    <w:rsid w:val="001A5E61"/>
    <w:rsid w:val="001B2FC2"/>
    <w:rsid w:val="001B3104"/>
    <w:rsid w:val="001B57F1"/>
    <w:rsid w:val="001B6152"/>
    <w:rsid w:val="001C14B3"/>
    <w:rsid w:val="001C2D82"/>
    <w:rsid w:val="001C361F"/>
    <w:rsid w:val="001C3965"/>
    <w:rsid w:val="001C39E5"/>
    <w:rsid w:val="001C414F"/>
    <w:rsid w:val="001C544F"/>
    <w:rsid w:val="001C5BA9"/>
    <w:rsid w:val="001C6AB6"/>
    <w:rsid w:val="001C79DD"/>
    <w:rsid w:val="001D10D6"/>
    <w:rsid w:val="001D6B63"/>
    <w:rsid w:val="001D6EB4"/>
    <w:rsid w:val="001D7907"/>
    <w:rsid w:val="001E2CFA"/>
    <w:rsid w:val="001E67A0"/>
    <w:rsid w:val="001F2590"/>
    <w:rsid w:val="001F38A0"/>
    <w:rsid w:val="001F3952"/>
    <w:rsid w:val="001F462E"/>
    <w:rsid w:val="001F6489"/>
    <w:rsid w:val="001F6752"/>
    <w:rsid w:val="001F750A"/>
    <w:rsid w:val="001F7AB6"/>
    <w:rsid w:val="002025D8"/>
    <w:rsid w:val="00205B5C"/>
    <w:rsid w:val="002060A8"/>
    <w:rsid w:val="00214F3B"/>
    <w:rsid w:val="00217F70"/>
    <w:rsid w:val="00222D47"/>
    <w:rsid w:val="002230FA"/>
    <w:rsid w:val="002235A9"/>
    <w:rsid w:val="00225661"/>
    <w:rsid w:val="00225908"/>
    <w:rsid w:val="0022597E"/>
    <w:rsid w:val="00225B51"/>
    <w:rsid w:val="00227E51"/>
    <w:rsid w:val="00231E55"/>
    <w:rsid w:val="002326F9"/>
    <w:rsid w:val="00232B51"/>
    <w:rsid w:val="002335C7"/>
    <w:rsid w:val="00234D3D"/>
    <w:rsid w:val="00236F80"/>
    <w:rsid w:val="002370E7"/>
    <w:rsid w:val="0023750D"/>
    <w:rsid w:val="00237614"/>
    <w:rsid w:val="00237C2B"/>
    <w:rsid w:val="00240A45"/>
    <w:rsid w:val="00241114"/>
    <w:rsid w:val="00241416"/>
    <w:rsid w:val="00247661"/>
    <w:rsid w:val="00252B4D"/>
    <w:rsid w:val="0025398F"/>
    <w:rsid w:val="0025565F"/>
    <w:rsid w:val="00255A08"/>
    <w:rsid w:val="00255B20"/>
    <w:rsid w:val="00256F56"/>
    <w:rsid w:val="00260004"/>
    <w:rsid w:val="00264138"/>
    <w:rsid w:val="00264FB5"/>
    <w:rsid w:val="002651F0"/>
    <w:rsid w:val="002659AE"/>
    <w:rsid w:val="00267393"/>
    <w:rsid w:val="0027067E"/>
    <w:rsid w:val="00270843"/>
    <w:rsid w:val="00270C98"/>
    <w:rsid w:val="00270D5B"/>
    <w:rsid w:val="0027107F"/>
    <w:rsid w:val="00272515"/>
    <w:rsid w:val="00272E20"/>
    <w:rsid w:val="00273D7B"/>
    <w:rsid w:val="002760A5"/>
    <w:rsid w:val="00276783"/>
    <w:rsid w:val="00276A73"/>
    <w:rsid w:val="00277F08"/>
    <w:rsid w:val="00280760"/>
    <w:rsid w:val="002829B9"/>
    <w:rsid w:val="002845D3"/>
    <w:rsid w:val="002874A1"/>
    <w:rsid w:val="00287BD0"/>
    <w:rsid w:val="00287E4F"/>
    <w:rsid w:val="00297011"/>
    <w:rsid w:val="002A0D90"/>
    <w:rsid w:val="002A2926"/>
    <w:rsid w:val="002A4183"/>
    <w:rsid w:val="002A4E61"/>
    <w:rsid w:val="002B0831"/>
    <w:rsid w:val="002B262B"/>
    <w:rsid w:val="002B2C75"/>
    <w:rsid w:val="002B327C"/>
    <w:rsid w:val="002B4B5F"/>
    <w:rsid w:val="002B5A1D"/>
    <w:rsid w:val="002B6011"/>
    <w:rsid w:val="002C0714"/>
    <w:rsid w:val="002C164C"/>
    <w:rsid w:val="002C1A98"/>
    <w:rsid w:val="002C523E"/>
    <w:rsid w:val="002C742F"/>
    <w:rsid w:val="002D0445"/>
    <w:rsid w:val="002D09F5"/>
    <w:rsid w:val="002D4D83"/>
    <w:rsid w:val="002D4FD8"/>
    <w:rsid w:val="002D7935"/>
    <w:rsid w:val="002E021A"/>
    <w:rsid w:val="002E33BC"/>
    <w:rsid w:val="002F1CD4"/>
    <w:rsid w:val="002F2801"/>
    <w:rsid w:val="002F38CF"/>
    <w:rsid w:val="002F421E"/>
    <w:rsid w:val="00300626"/>
    <w:rsid w:val="00301557"/>
    <w:rsid w:val="00303017"/>
    <w:rsid w:val="00303D81"/>
    <w:rsid w:val="00304953"/>
    <w:rsid w:val="00304B5C"/>
    <w:rsid w:val="003050D6"/>
    <w:rsid w:val="00306AF5"/>
    <w:rsid w:val="00310C33"/>
    <w:rsid w:val="00310DE2"/>
    <w:rsid w:val="00311FE3"/>
    <w:rsid w:val="00314E7E"/>
    <w:rsid w:val="003174F7"/>
    <w:rsid w:val="003178A2"/>
    <w:rsid w:val="00317BBC"/>
    <w:rsid w:val="003210A1"/>
    <w:rsid w:val="0032190B"/>
    <w:rsid w:val="00322E09"/>
    <w:rsid w:val="00323347"/>
    <w:rsid w:val="003252FD"/>
    <w:rsid w:val="003253E5"/>
    <w:rsid w:val="003264C3"/>
    <w:rsid w:val="00326807"/>
    <w:rsid w:val="00327C41"/>
    <w:rsid w:val="003301F3"/>
    <w:rsid w:val="0033495D"/>
    <w:rsid w:val="00335950"/>
    <w:rsid w:val="003369CF"/>
    <w:rsid w:val="003369EF"/>
    <w:rsid w:val="00340BB9"/>
    <w:rsid w:val="00341923"/>
    <w:rsid w:val="00344016"/>
    <w:rsid w:val="00344CBB"/>
    <w:rsid w:val="00347913"/>
    <w:rsid w:val="0035325A"/>
    <w:rsid w:val="00354561"/>
    <w:rsid w:val="00364263"/>
    <w:rsid w:val="003702B1"/>
    <w:rsid w:val="00370DBB"/>
    <w:rsid w:val="0037199B"/>
    <w:rsid w:val="00372C8C"/>
    <w:rsid w:val="00373F0C"/>
    <w:rsid w:val="003741BB"/>
    <w:rsid w:val="003743B0"/>
    <w:rsid w:val="003763B5"/>
    <w:rsid w:val="003779FA"/>
    <w:rsid w:val="003804CE"/>
    <w:rsid w:val="00382E6D"/>
    <w:rsid w:val="00383A34"/>
    <w:rsid w:val="00384165"/>
    <w:rsid w:val="0038555B"/>
    <w:rsid w:val="003858B9"/>
    <w:rsid w:val="00386D3E"/>
    <w:rsid w:val="00387A5F"/>
    <w:rsid w:val="0039015D"/>
    <w:rsid w:val="00390D74"/>
    <w:rsid w:val="00390DD4"/>
    <w:rsid w:val="00393DFB"/>
    <w:rsid w:val="00396AD5"/>
    <w:rsid w:val="003A3B85"/>
    <w:rsid w:val="003A4C29"/>
    <w:rsid w:val="003A5FEB"/>
    <w:rsid w:val="003A6E76"/>
    <w:rsid w:val="003B08F3"/>
    <w:rsid w:val="003B2622"/>
    <w:rsid w:val="003B420A"/>
    <w:rsid w:val="003B7A59"/>
    <w:rsid w:val="003C0C81"/>
    <w:rsid w:val="003C28B4"/>
    <w:rsid w:val="003C319A"/>
    <w:rsid w:val="003C3302"/>
    <w:rsid w:val="003C3B8F"/>
    <w:rsid w:val="003D11CF"/>
    <w:rsid w:val="003D2D5F"/>
    <w:rsid w:val="003D4965"/>
    <w:rsid w:val="003D4A6E"/>
    <w:rsid w:val="003D7142"/>
    <w:rsid w:val="003E05DF"/>
    <w:rsid w:val="003E0A38"/>
    <w:rsid w:val="003E3984"/>
    <w:rsid w:val="003E5051"/>
    <w:rsid w:val="003E6C54"/>
    <w:rsid w:val="003F2DEE"/>
    <w:rsid w:val="003F7619"/>
    <w:rsid w:val="003F7D5B"/>
    <w:rsid w:val="00401117"/>
    <w:rsid w:val="00402A41"/>
    <w:rsid w:val="004031EA"/>
    <w:rsid w:val="004037B3"/>
    <w:rsid w:val="00403D67"/>
    <w:rsid w:val="00406FC5"/>
    <w:rsid w:val="00407097"/>
    <w:rsid w:val="00407C9A"/>
    <w:rsid w:val="004103CF"/>
    <w:rsid w:val="0041073C"/>
    <w:rsid w:val="00410ACC"/>
    <w:rsid w:val="00411930"/>
    <w:rsid w:val="004120D9"/>
    <w:rsid w:val="00413995"/>
    <w:rsid w:val="00414EEE"/>
    <w:rsid w:val="004169C4"/>
    <w:rsid w:val="00423276"/>
    <w:rsid w:val="00427B6B"/>
    <w:rsid w:val="004303D3"/>
    <w:rsid w:val="00434D23"/>
    <w:rsid w:val="00435BF5"/>
    <w:rsid w:val="004378AD"/>
    <w:rsid w:val="00441F1C"/>
    <w:rsid w:val="004420A3"/>
    <w:rsid w:val="004432F5"/>
    <w:rsid w:val="004466A3"/>
    <w:rsid w:val="004471E5"/>
    <w:rsid w:val="004476DE"/>
    <w:rsid w:val="0045037D"/>
    <w:rsid w:val="00450EDA"/>
    <w:rsid w:val="00454C0A"/>
    <w:rsid w:val="00455E5D"/>
    <w:rsid w:val="00457123"/>
    <w:rsid w:val="00457E58"/>
    <w:rsid w:val="00463760"/>
    <w:rsid w:val="004716A1"/>
    <w:rsid w:val="00471C3C"/>
    <w:rsid w:val="0047222E"/>
    <w:rsid w:val="00472333"/>
    <w:rsid w:val="004726CC"/>
    <w:rsid w:val="00473122"/>
    <w:rsid w:val="00473784"/>
    <w:rsid w:val="004764A9"/>
    <w:rsid w:val="004803D6"/>
    <w:rsid w:val="00482370"/>
    <w:rsid w:val="00482E5C"/>
    <w:rsid w:val="00482EAA"/>
    <w:rsid w:val="004847A9"/>
    <w:rsid w:val="0048747A"/>
    <w:rsid w:val="004900D1"/>
    <w:rsid w:val="004903ED"/>
    <w:rsid w:val="00494EF7"/>
    <w:rsid w:val="004978D6"/>
    <w:rsid w:val="00497ECC"/>
    <w:rsid w:val="004A2742"/>
    <w:rsid w:val="004A379E"/>
    <w:rsid w:val="004A42EB"/>
    <w:rsid w:val="004A58F9"/>
    <w:rsid w:val="004A669E"/>
    <w:rsid w:val="004A68C0"/>
    <w:rsid w:val="004A6B42"/>
    <w:rsid w:val="004A77C7"/>
    <w:rsid w:val="004B132C"/>
    <w:rsid w:val="004B529C"/>
    <w:rsid w:val="004B68D4"/>
    <w:rsid w:val="004C1512"/>
    <w:rsid w:val="004C277F"/>
    <w:rsid w:val="004C279D"/>
    <w:rsid w:val="004C2D6F"/>
    <w:rsid w:val="004C3F22"/>
    <w:rsid w:val="004C409D"/>
    <w:rsid w:val="004C484D"/>
    <w:rsid w:val="004C7EB6"/>
    <w:rsid w:val="004D09BE"/>
    <w:rsid w:val="004D112E"/>
    <w:rsid w:val="004D1B8B"/>
    <w:rsid w:val="004D21E6"/>
    <w:rsid w:val="004D2B02"/>
    <w:rsid w:val="004D3216"/>
    <w:rsid w:val="004D4185"/>
    <w:rsid w:val="004D4DB7"/>
    <w:rsid w:val="004E06A0"/>
    <w:rsid w:val="004E0E9B"/>
    <w:rsid w:val="004E3515"/>
    <w:rsid w:val="004E599C"/>
    <w:rsid w:val="004E733A"/>
    <w:rsid w:val="004F0554"/>
    <w:rsid w:val="004F4110"/>
    <w:rsid w:val="004F73CF"/>
    <w:rsid w:val="004F7C26"/>
    <w:rsid w:val="005025C2"/>
    <w:rsid w:val="00504A71"/>
    <w:rsid w:val="00504E2C"/>
    <w:rsid w:val="00505835"/>
    <w:rsid w:val="00506E20"/>
    <w:rsid w:val="00507523"/>
    <w:rsid w:val="00510127"/>
    <w:rsid w:val="0051024C"/>
    <w:rsid w:val="005122D4"/>
    <w:rsid w:val="00513410"/>
    <w:rsid w:val="00515766"/>
    <w:rsid w:val="00515819"/>
    <w:rsid w:val="00522F49"/>
    <w:rsid w:val="00523D15"/>
    <w:rsid w:val="0052590B"/>
    <w:rsid w:val="005273EE"/>
    <w:rsid w:val="00534086"/>
    <w:rsid w:val="00535068"/>
    <w:rsid w:val="00535B96"/>
    <w:rsid w:val="00535F1D"/>
    <w:rsid w:val="00537467"/>
    <w:rsid w:val="005379ED"/>
    <w:rsid w:val="005404B0"/>
    <w:rsid w:val="00540589"/>
    <w:rsid w:val="005406F6"/>
    <w:rsid w:val="005409C3"/>
    <w:rsid w:val="00540C27"/>
    <w:rsid w:val="00541B2F"/>
    <w:rsid w:val="00542531"/>
    <w:rsid w:val="0054379C"/>
    <w:rsid w:val="00546258"/>
    <w:rsid w:val="00547EF5"/>
    <w:rsid w:val="005507BD"/>
    <w:rsid w:val="005518B8"/>
    <w:rsid w:val="0055578B"/>
    <w:rsid w:val="00555DA3"/>
    <w:rsid w:val="005578B2"/>
    <w:rsid w:val="00564698"/>
    <w:rsid w:val="00565636"/>
    <w:rsid w:val="00566FA1"/>
    <w:rsid w:val="00567CA0"/>
    <w:rsid w:val="00571CAB"/>
    <w:rsid w:val="00571E07"/>
    <w:rsid w:val="005743C6"/>
    <w:rsid w:val="005745E5"/>
    <w:rsid w:val="00574806"/>
    <w:rsid w:val="005753D5"/>
    <w:rsid w:val="00576A61"/>
    <w:rsid w:val="00577090"/>
    <w:rsid w:val="00577246"/>
    <w:rsid w:val="00577DDF"/>
    <w:rsid w:val="005818FC"/>
    <w:rsid w:val="00581FEF"/>
    <w:rsid w:val="00584AA4"/>
    <w:rsid w:val="0058631B"/>
    <w:rsid w:val="0058769D"/>
    <w:rsid w:val="00590CA9"/>
    <w:rsid w:val="005921BE"/>
    <w:rsid w:val="00592DF1"/>
    <w:rsid w:val="00593B24"/>
    <w:rsid w:val="00595324"/>
    <w:rsid w:val="0059549C"/>
    <w:rsid w:val="005A0083"/>
    <w:rsid w:val="005A0A5E"/>
    <w:rsid w:val="005A0EC1"/>
    <w:rsid w:val="005A1FB6"/>
    <w:rsid w:val="005A2C72"/>
    <w:rsid w:val="005A40BA"/>
    <w:rsid w:val="005A47EB"/>
    <w:rsid w:val="005A62AB"/>
    <w:rsid w:val="005A6A67"/>
    <w:rsid w:val="005B2AD8"/>
    <w:rsid w:val="005B421A"/>
    <w:rsid w:val="005B6ACF"/>
    <w:rsid w:val="005B7C76"/>
    <w:rsid w:val="005C0003"/>
    <w:rsid w:val="005C02C1"/>
    <w:rsid w:val="005C318A"/>
    <w:rsid w:val="005C417C"/>
    <w:rsid w:val="005C7799"/>
    <w:rsid w:val="005C78DD"/>
    <w:rsid w:val="005C7F35"/>
    <w:rsid w:val="005D0D2D"/>
    <w:rsid w:val="005D1F6A"/>
    <w:rsid w:val="005D3F67"/>
    <w:rsid w:val="005D4F9D"/>
    <w:rsid w:val="005D6684"/>
    <w:rsid w:val="005D7919"/>
    <w:rsid w:val="005E2411"/>
    <w:rsid w:val="005E2648"/>
    <w:rsid w:val="005E3528"/>
    <w:rsid w:val="005E47F6"/>
    <w:rsid w:val="005E637F"/>
    <w:rsid w:val="005E73FF"/>
    <w:rsid w:val="005F0F37"/>
    <w:rsid w:val="005F248A"/>
    <w:rsid w:val="005F4526"/>
    <w:rsid w:val="005F485B"/>
    <w:rsid w:val="005F6457"/>
    <w:rsid w:val="006004AD"/>
    <w:rsid w:val="0060126F"/>
    <w:rsid w:val="006044B5"/>
    <w:rsid w:val="00605076"/>
    <w:rsid w:val="00605BC7"/>
    <w:rsid w:val="00610306"/>
    <w:rsid w:val="0061409F"/>
    <w:rsid w:val="0061473B"/>
    <w:rsid w:val="00614F19"/>
    <w:rsid w:val="006205E7"/>
    <w:rsid w:val="006208EE"/>
    <w:rsid w:val="006213CC"/>
    <w:rsid w:val="006214AE"/>
    <w:rsid w:val="00622EE5"/>
    <w:rsid w:val="006245E0"/>
    <w:rsid w:val="006248DF"/>
    <w:rsid w:val="00626819"/>
    <w:rsid w:val="00630288"/>
    <w:rsid w:val="00631204"/>
    <w:rsid w:val="00632328"/>
    <w:rsid w:val="006358A7"/>
    <w:rsid w:val="006358B1"/>
    <w:rsid w:val="006358BD"/>
    <w:rsid w:val="00635A48"/>
    <w:rsid w:val="00636A22"/>
    <w:rsid w:val="00637445"/>
    <w:rsid w:val="00637CF3"/>
    <w:rsid w:val="00640484"/>
    <w:rsid w:val="00641060"/>
    <w:rsid w:val="006420E4"/>
    <w:rsid w:val="00642670"/>
    <w:rsid w:val="00643537"/>
    <w:rsid w:val="006445B0"/>
    <w:rsid w:val="006457E3"/>
    <w:rsid w:val="006475A1"/>
    <w:rsid w:val="00650365"/>
    <w:rsid w:val="006509F8"/>
    <w:rsid w:val="00650BD0"/>
    <w:rsid w:val="00650DC2"/>
    <w:rsid w:val="006520C8"/>
    <w:rsid w:val="0065225C"/>
    <w:rsid w:val="006540B0"/>
    <w:rsid w:val="0065601B"/>
    <w:rsid w:val="006562EC"/>
    <w:rsid w:val="00656601"/>
    <w:rsid w:val="00657A52"/>
    <w:rsid w:val="00661CF0"/>
    <w:rsid w:val="00662BA9"/>
    <w:rsid w:val="006663CF"/>
    <w:rsid w:val="00667C45"/>
    <w:rsid w:val="0067055C"/>
    <w:rsid w:val="00670DB8"/>
    <w:rsid w:val="00672CF4"/>
    <w:rsid w:val="006755F5"/>
    <w:rsid w:val="00676AE3"/>
    <w:rsid w:val="00676E78"/>
    <w:rsid w:val="006840FE"/>
    <w:rsid w:val="00684BB4"/>
    <w:rsid w:val="006857FD"/>
    <w:rsid w:val="0069043B"/>
    <w:rsid w:val="0069390F"/>
    <w:rsid w:val="00693B97"/>
    <w:rsid w:val="00694354"/>
    <w:rsid w:val="00694CC7"/>
    <w:rsid w:val="00694F38"/>
    <w:rsid w:val="00695D86"/>
    <w:rsid w:val="00696567"/>
    <w:rsid w:val="006974A6"/>
    <w:rsid w:val="006A0454"/>
    <w:rsid w:val="006A1857"/>
    <w:rsid w:val="006A48F3"/>
    <w:rsid w:val="006A5215"/>
    <w:rsid w:val="006A5C24"/>
    <w:rsid w:val="006A68DB"/>
    <w:rsid w:val="006A7718"/>
    <w:rsid w:val="006A7AE7"/>
    <w:rsid w:val="006B0CFF"/>
    <w:rsid w:val="006B15EF"/>
    <w:rsid w:val="006B2E77"/>
    <w:rsid w:val="006B33BE"/>
    <w:rsid w:val="006B3BEC"/>
    <w:rsid w:val="006B42D8"/>
    <w:rsid w:val="006B569A"/>
    <w:rsid w:val="006B67B6"/>
    <w:rsid w:val="006C084A"/>
    <w:rsid w:val="006C0E21"/>
    <w:rsid w:val="006C1B22"/>
    <w:rsid w:val="006C2D25"/>
    <w:rsid w:val="006C3E25"/>
    <w:rsid w:val="006C48A5"/>
    <w:rsid w:val="006C4BCE"/>
    <w:rsid w:val="006C556E"/>
    <w:rsid w:val="006C5B3C"/>
    <w:rsid w:val="006D015B"/>
    <w:rsid w:val="006D017A"/>
    <w:rsid w:val="006D0C34"/>
    <w:rsid w:val="006D178F"/>
    <w:rsid w:val="006D2096"/>
    <w:rsid w:val="006D22D0"/>
    <w:rsid w:val="006D2440"/>
    <w:rsid w:val="006D563A"/>
    <w:rsid w:val="006E0072"/>
    <w:rsid w:val="006E3DD9"/>
    <w:rsid w:val="006F0430"/>
    <w:rsid w:val="006F0799"/>
    <w:rsid w:val="006F0851"/>
    <w:rsid w:val="006F2871"/>
    <w:rsid w:val="006F3005"/>
    <w:rsid w:val="006F3EBD"/>
    <w:rsid w:val="006F49B2"/>
    <w:rsid w:val="006F520F"/>
    <w:rsid w:val="006F5FBF"/>
    <w:rsid w:val="006F6354"/>
    <w:rsid w:val="0070165E"/>
    <w:rsid w:val="00701E70"/>
    <w:rsid w:val="0070310D"/>
    <w:rsid w:val="00703227"/>
    <w:rsid w:val="0070744B"/>
    <w:rsid w:val="00710B98"/>
    <w:rsid w:val="00711670"/>
    <w:rsid w:val="00713D35"/>
    <w:rsid w:val="00713E25"/>
    <w:rsid w:val="00717522"/>
    <w:rsid w:val="00717F9D"/>
    <w:rsid w:val="0072497C"/>
    <w:rsid w:val="00725CCC"/>
    <w:rsid w:val="00727842"/>
    <w:rsid w:val="00731FC8"/>
    <w:rsid w:val="00733EE0"/>
    <w:rsid w:val="00741402"/>
    <w:rsid w:val="00742B94"/>
    <w:rsid w:val="007468E1"/>
    <w:rsid w:val="007476E5"/>
    <w:rsid w:val="0075023F"/>
    <w:rsid w:val="007505AC"/>
    <w:rsid w:val="00752B41"/>
    <w:rsid w:val="00753B3E"/>
    <w:rsid w:val="007541D1"/>
    <w:rsid w:val="00754E82"/>
    <w:rsid w:val="0075688D"/>
    <w:rsid w:val="00757B56"/>
    <w:rsid w:val="00760148"/>
    <w:rsid w:val="00760803"/>
    <w:rsid w:val="0076197A"/>
    <w:rsid w:val="00763562"/>
    <w:rsid w:val="00765E43"/>
    <w:rsid w:val="00767ED8"/>
    <w:rsid w:val="0077014D"/>
    <w:rsid w:val="00772602"/>
    <w:rsid w:val="00773446"/>
    <w:rsid w:val="00774962"/>
    <w:rsid w:val="007758D6"/>
    <w:rsid w:val="00775F20"/>
    <w:rsid w:val="00775F95"/>
    <w:rsid w:val="007763B7"/>
    <w:rsid w:val="007766AB"/>
    <w:rsid w:val="0077763B"/>
    <w:rsid w:val="00781C13"/>
    <w:rsid w:val="00787487"/>
    <w:rsid w:val="00791171"/>
    <w:rsid w:val="00792B69"/>
    <w:rsid w:val="007973B5"/>
    <w:rsid w:val="00797D7B"/>
    <w:rsid w:val="00797F45"/>
    <w:rsid w:val="007A2344"/>
    <w:rsid w:val="007A2B82"/>
    <w:rsid w:val="007A32F6"/>
    <w:rsid w:val="007A6078"/>
    <w:rsid w:val="007A63FB"/>
    <w:rsid w:val="007B6B76"/>
    <w:rsid w:val="007B6FD7"/>
    <w:rsid w:val="007B7864"/>
    <w:rsid w:val="007C12A5"/>
    <w:rsid w:val="007C3026"/>
    <w:rsid w:val="007C32BD"/>
    <w:rsid w:val="007C4B5F"/>
    <w:rsid w:val="007C531A"/>
    <w:rsid w:val="007D29A6"/>
    <w:rsid w:val="007D3973"/>
    <w:rsid w:val="007D622A"/>
    <w:rsid w:val="007D6E73"/>
    <w:rsid w:val="007E1BD1"/>
    <w:rsid w:val="007E1D19"/>
    <w:rsid w:val="007E3767"/>
    <w:rsid w:val="007E4607"/>
    <w:rsid w:val="007F1316"/>
    <w:rsid w:val="007F14AF"/>
    <w:rsid w:val="007F15DD"/>
    <w:rsid w:val="007F1F22"/>
    <w:rsid w:val="007F3E0B"/>
    <w:rsid w:val="007F6554"/>
    <w:rsid w:val="008002A3"/>
    <w:rsid w:val="00801806"/>
    <w:rsid w:val="008025BA"/>
    <w:rsid w:val="00802852"/>
    <w:rsid w:val="008030B7"/>
    <w:rsid w:val="0080345C"/>
    <w:rsid w:val="00803738"/>
    <w:rsid w:val="00805B53"/>
    <w:rsid w:val="00807063"/>
    <w:rsid w:val="0081110C"/>
    <w:rsid w:val="00811979"/>
    <w:rsid w:val="00812511"/>
    <w:rsid w:val="0081279F"/>
    <w:rsid w:val="00814D36"/>
    <w:rsid w:val="00820DE3"/>
    <w:rsid w:val="00821EB3"/>
    <w:rsid w:val="0082284B"/>
    <w:rsid w:val="008229C4"/>
    <w:rsid w:val="008230EC"/>
    <w:rsid w:val="00823525"/>
    <w:rsid w:val="00823BEA"/>
    <w:rsid w:val="00825014"/>
    <w:rsid w:val="00826320"/>
    <w:rsid w:val="0083015F"/>
    <w:rsid w:val="008307F6"/>
    <w:rsid w:val="00830C9E"/>
    <w:rsid w:val="00830EBC"/>
    <w:rsid w:val="00831868"/>
    <w:rsid w:val="008318BE"/>
    <w:rsid w:val="00832880"/>
    <w:rsid w:val="008345C7"/>
    <w:rsid w:val="00836D7A"/>
    <w:rsid w:val="008408CF"/>
    <w:rsid w:val="008416BF"/>
    <w:rsid w:val="00842AFB"/>
    <w:rsid w:val="008478F1"/>
    <w:rsid w:val="008545FF"/>
    <w:rsid w:val="00854655"/>
    <w:rsid w:val="00854836"/>
    <w:rsid w:val="00854B4C"/>
    <w:rsid w:val="00855808"/>
    <w:rsid w:val="0085724D"/>
    <w:rsid w:val="00857528"/>
    <w:rsid w:val="00860EEA"/>
    <w:rsid w:val="00861178"/>
    <w:rsid w:val="0086128C"/>
    <w:rsid w:val="00864999"/>
    <w:rsid w:val="00864A8E"/>
    <w:rsid w:val="008679F9"/>
    <w:rsid w:val="0087072D"/>
    <w:rsid w:val="008728FF"/>
    <w:rsid w:val="00872A74"/>
    <w:rsid w:val="00874215"/>
    <w:rsid w:val="008748E6"/>
    <w:rsid w:val="00875119"/>
    <w:rsid w:val="00881396"/>
    <w:rsid w:val="00883867"/>
    <w:rsid w:val="00890082"/>
    <w:rsid w:val="00891313"/>
    <w:rsid w:val="008922EA"/>
    <w:rsid w:val="0089293D"/>
    <w:rsid w:val="00892EEA"/>
    <w:rsid w:val="00893FE5"/>
    <w:rsid w:val="00894E81"/>
    <w:rsid w:val="0089566D"/>
    <w:rsid w:val="00895ACF"/>
    <w:rsid w:val="0089652E"/>
    <w:rsid w:val="00897435"/>
    <w:rsid w:val="00897707"/>
    <w:rsid w:val="008A582A"/>
    <w:rsid w:val="008A6302"/>
    <w:rsid w:val="008A6865"/>
    <w:rsid w:val="008A777A"/>
    <w:rsid w:val="008B02DD"/>
    <w:rsid w:val="008B07C8"/>
    <w:rsid w:val="008B0DE5"/>
    <w:rsid w:val="008B423B"/>
    <w:rsid w:val="008B5791"/>
    <w:rsid w:val="008B59CC"/>
    <w:rsid w:val="008B651F"/>
    <w:rsid w:val="008B6C3C"/>
    <w:rsid w:val="008C031E"/>
    <w:rsid w:val="008C124A"/>
    <w:rsid w:val="008C3405"/>
    <w:rsid w:val="008C5AEC"/>
    <w:rsid w:val="008C625D"/>
    <w:rsid w:val="008C6D76"/>
    <w:rsid w:val="008D0043"/>
    <w:rsid w:val="008D1407"/>
    <w:rsid w:val="008D27DE"/>
    <w:rsid w:val="008D55AF"/>
    <w:rsid w:val="008D60D5"/>
    <w:rsid w:val="008D6486"/>
    <w:rsid w:val="008D718D"/>
    <w:rsid w:val="008E138B"/>
    <w:rsid w:val="008E2B30"/>
    <w:rsid w:val="008E35DD"/>
    <w:rsid w:val="008E3BAC"/>
    <w:rsid w:val="008E546C"/>
    <w:rsid w:val="008F4102"/>
    <w:rsid w:val="008F5862"/>
    <w:rsid w:val="008F62C9"/>
    <w:rsid w:val="008F6553"/>
    <w:rsid w:val="008F718A"/>
    <w:rsid w:val="008F728D"/>
    <w:rsid w:val="008F7639"/>
    <w:rsid w:val="008F7C70"/>
    <w:rsid w:val="0090047B"/>
    <w:rsid w:val="0090192D"/>
    <w:rsid w:val="009019BC"/>
    <w:rsid w:val="00911BAD"/>
    <w:rsid w:val="0091226E"/>
    <w:rsid w:val="00917931"/>
    <w:rsid w:val="00921B9F"/>
    <w:rsid w:val="00926F2C"/>
    <w:rsid w:val="00927974"/>
    <w:rsid w:val="009323C9"/>
    <w:rsid w:val="009327AC"/>
    <w:rsid w:val="009365DF"/>
    <w:rsid w:val="00937842"/>
    <w:rsid w:val="00940F51"/>
    <w:rsid w:val="009426FD"/>
    <w:rsid w:val="0094421B"/>
    <w:rsid w:val="00947D7E"/>
    <w:rsid w:val="00950B0E"/>
    <w:rsid w:val="00950C56"/>
    <w:rsid w:val="00950C85"/>
    <w:rsid w:val="00951254"/>
    <w:rsid w:val="00952E79"/>
    <w:rsid w:val="00953653"/>
    <w:rsid w:val="00963800"/>
    <w:rsid w:val="009641FB"/>
    <w:rsid w:val="00964596"/>
    <w:rsid w:val="00965873"/>
    <w:rsid w:val="00966706"/>
    <w:rsid w:val="00966A1E"/>
    <w:rsid w:val="009703D4"/>
    <w:rsid w:val="009709E4"/>
    <w:rsid w:val="009719EA"/>
    <w:rsid w:val="0097245A"/>
    <w:rsid w:val="00973F79"/>
    <w:rsid w:val="00975016"/>
    <w:rsid w:val="00976DA2"/>
    <w:rsid w:val="00977D0A"/>
    <w:rsid w:val="009824AF"/>
    <w:rsid w:val="00990B5F"/>
    <w:rsid w:val="00991D53"/>
    <w:rsid w:val="0099406E"/>
    <w:rsid w:val="0099478F"/>
    <w:rsid w:val="00994E55"/>
    <w:rsid w:val="0099605E"/>
    <w:rsid w:val="009A1B89"/>
    <w:rsid w:val="009A2B0D"/>
    <w:rsid w:val="009B037F"/>
    <w:rsid w:val="009B2EA6"/>
    <w:rsid w:val="009B312B"/>
    <w:rsid w:val="009B57E5"/>
    <w:rsid w:val="009C176E"/>
    <w:rsid w:val="009C1B69"/>
    <w:rsid w:val="009C2365"/>
    <w:rsid w:val="009C2734"/>
    <w:rsid w:val="009C2D09"/>
    <w:rsid w:val="009C3832"/>
    <w:rsid w:val="009C66FA"/>
    <w:rsid w:val="009C7550"/>
    <w:rsid w:val="009D3020"/>
    <w:rsid w:val="009D42EC"/>
    <w:rsid w:val="009D5529"/>
    <w:rsid w:val="009D573C"/>
    <w:rsid w:val="009D5C32"/>
    <w:rsid w:val="009D65FD"/>
    <w:rsid w:val="009D67A6"/>
    <w:rsid w:val="009E0037"/>
    <w:rsid w:val="009E4278"/>
    <w:rsid w:val="009E7496"/>
    <w:rsid w:val="009F0968"/>
    <w:rsid w:val="009F2311"/>
    <w:rsid w:val="00A04A30"/>
    <w:rsid w:val="00A11F7F"/>
    <w:rsid w:val="00A12F89"/>
    <w:rsid w:val="00A14D69"/>
    <w:rsid w:val="00A170E4"/>
    <w:rsid w:val="00A20A56"/>
    <w:rsid w:val="00A239E2"/>
    <w:rsid w:val="00A2406F"/>
    <w:rsid w:val="00A24D0D"/>
    <w:rsid w:val="00A30CA2"/>
    <w:rsid w:val="00A32145"/>
    <w:rsid w:val="00A34C12"/>
    <w:rsid w:val="00A35F6D"/>
    <w:rsid w:val="00A37425"/>
    <w:rsid w:val="00A4048B"/>
    <w:rsid w:val="00A40695"/>
    <w:rsid w:val="00A413BD"/>
    <w:rsid w:val="00A41F55"/>
    <w:rsid w:val="00A451F9"/>
    <w:rsid w:val="00A454F4"/>
    <w:rsid w:val="00A500BD"/>
    <w:rsid w:val="00A523B0"/>
    <w:rsid w:val="00A54B1F"/>
    <w:rsid w:val="00A558E1"/>
    <w:rsid w:val="00A56A10"/>
    <w:rsid w:val="00A56C9A"/>
    <w:rsid w:val="00A57490"/>
    <w:rsid w:val="00A61B17"/>
    <w:rsid w:val="00A64D4C"/>
    <w:rsid w:val="00A65468"/>
    <w:rsid w:val="00A67747"/>
    <w:rsid w:val="00A678D1"/>
    <w:rsid w:val="00A7128D"/>
    <w:rsid w:val="00A71495"/>
    <w:rsid w:val="00A8204D"/>
    <w:rsid w:val="00A823FB"/>
    <w:rsid w:val="00A82894"/>
    <w:rsid w:val="00A8307D"/>
    <w:rsid w:val="00A842E7"/>
    <w:rsid w:val="00A85D89"/>
    <w:rsid w:val="00A92F25"/>
    <w:rsid w:val="00A95A6C"/>
    <w:rsid w:val="00AA180F"/>
    <w:rsid w:val="00AA1DF0"/>
    <w:rsid w:val="00AA2A15"/>
    <w:rsid w:val="00AA2BF7"/>
    <w:rsid w:val="00AA3731"/>
    <w:rsid w:val="00AA460B"/>
    <w:rsid w:val="00AA49FE"/>
    <w:rsid w:val="00AA4AA6"/>
    <w:rsid w:val="00AA548E"/>
    <w:rsid w:val="00AA6446"/>
    <w:rsid w:val="00AA7213"/>
    <w:rsid w:val="00AB02FC"/>
    <w:rsid w:val="00AB0862"/>
    <w:rsid w:val="00AB1C61"/>
    <w:rsid w:val="00AB1C8D"/>
    <w:rsid w:val="00AB4219"/>
    <w:rsid w:val="00AB4F3D"/>
    <w:rsid w:val="00AB66DA"/>
    <w:rsid w:val="00AC21C5"/>
    <w:rsid w:val="00AC5F4C"/>
    <w:rsid w:val="00AD0536"/>
    <w:rsid w:val="00AD0867"/>
    <w:rsid w:val="00AD0DEC"/>
    <w:rsid w:val="00AD1577"/>
    <w:rsid w:val="00AD27D5"/>
    <w:rsid w:val="00AD3B2A"/>
    <w:rsid w:val="00AD6C91"/>
    <w:rsid w:val="00AD7B7C"/>
    <w:rsid w:val="00AE26C1"/>
    <w:rsid w:val="00AE3398"/>
    <w:rsid w:val="00AF4C98"/>
    <w:rsid w:val="00AF7119"/>
    <w:rsid w:val="00AF756F"/>
    <w:rsid w:val="00B00924"/>
    <w:rsid w:val="00B00DD9"/>
    <w:rsid w:val="00B03ED6"/>
    <w:rsid w:val="00B05C95"/>
    <w:rsid w:val="00B06281"/>
    <w:rsid w:val="00B07BB7"/>
    <w:rsid w:val="00B11A5D"/>
    <w:rsid w:val="00B121EC"/>
    <w:rsid w:val="00B152CF"/>
    <w:rsid w:val="00B15E26"/>
    <w:rsid w:val="00B15EEC"/>
    <w:rsid w:val="00B172E4"/>
    <w:rsid w:val="00B20620"/>
    <w:rsid w:val="00B21FDC"/>
    <w:rsid w:val="00B22E8C"/>
    <w:rsid w:val="00B2597A"/>
    <w:rsid w:val="00B25C1A"/>
    <w:rsid w:val="00B25EA6"/>
    <w:rsid w:val="00B3122C"/>
    <w:rsid w:val="00B31F9E"/>
    <w:rsid w:val="00B32D7B"/>
    <w:rsid w:val="00B40A3F"/>
    <w:rsid w:val="00B422A3"/>
    <w:rsid w:val="00B4254E"/>
    <w:rsid w:val="00B427FC"/>
    <w:rsid w:val="00B45F5E"/>
    <w:rsid w:val="00B46420"/>
    <w:rsid w:val="00B516A2"/>
    <w:rsid w:val="00B518DF"/>
    <w:rsid w:val="00B52900"/>
    <w:rsid w:val="00B53972"/>
    <w:rsid w:val="00B5471B"/>
    <w:rsid w:val="00B552C5"/>
    <w:rsid w:val="00B56BBD"/>
    <w:rsid w:val="00B602B2"/>
    <w:rsid w:val="00B626B5"/>
    <w:rsid w:val="00B63824"/>
    <w:rsid w:val="00B65DBD"/>
    <w:rsid w:val="00B65E20"/>
    <w:rsid w:val="00B67291"/>
    <w:rsid w:val="00B67E10"/>
    <w:rsid w:val="00B71A32"/>
    <w:rsid w:val="00B72B41"/>
    <w:rsid w:val="00B74B32"/>
    <w:rsid w:val="00B762B8"/>
    <w:rsid w:val="00B77138"/>
    <w:rsid w:val="00B8295E"/>
    <w:rsid w:val="00B83CF8"/>
    <w:rsid w:val="00B84350"/>
    <w:rsid w:val="00B84DB1"/>
    <w:rsid w:val="00B865DC"/>
    <w:rsid w:val="00B8788E"/>
    <w:rsid w:val="00B900E1"/>
    <w:rsid w:val="00B90349"/>
    <w:rsid w:val="00B91605"/>
    <w:rsid w:val="00B93BC4"/>
    <w:rsid w:val="00B9419E"/>
    <w:rsid w:val="00B94858"/>
    <w:rsid w:val="00B96F5B"/>
    <w:rsid w:val="00BA0FA7"/>
    <w:rsid w:val="00BA1E9D"/>
    <w:rsid w:val="00BA48F0"/>
    <w:rsid w:val="00BA5DC9"/>
    <w:rsid w:val="00BA68E6"/>
    <w:rsid w:val="00BA7534"/>
    <w:rsid w:val="00BB0382"/>
    <w:rsid w:val="00BB0621"/>
    <w:rsid w:val="00BB28C8"/>
    <w:rsid w:val="00BB4016"/>
    <w:rsid w:val="00BB5243"/>
    <w:rsid w:val="00BB5864"/>
    <w:rsid w:val="00BB7727"/>
    <w:rsid w:val="00BB7AE2"/>
    <w:rsid w:val="00BC0A5B"/>
    <w:rsid w:val="00BC1506"/>
    <w:rsid w:val="00BC2433"/>
    <w:rsid w:val="00BC3FDF"/>
    <w:rsid w:val="00BC49DA"/>
    <w:rsid w:val="00BC4D1B"/>
    <w:rsid w:val="00BC4D95"/>
    <w:rsid w:val="00BC6C20"/>
    <w:rsid w:val="00BD3CBD"/>
    <w:rsid w:val="00BD55CA"/>
    <w:rsid w:val="00BD5DE0"/>
    <w:rsid w:val="00BE007B"/>
    <w:rsid w:val="00BE1D00"/>
    <w:rsid w:val="00BE2B75"/>
    <w:rsid w:val="00BE35C2"/>
    <w:rsid w:val="00BE36B9"/>
    <w:rsid w:val="00BE36EF"/>
    <w:rsid w:val="00BE4503"/>
    <w:rsid w:val="00BE5C7E"/>
    <w:rsid w:val="00BE5CA9"/>
    <w:rsid w:val="00BE619F"/>
    <w:rsid w:val="00BE6241"/>
    <w:rsid w:val="00BE66D3"/>
    <w:rsid w:val="00BE7579"/>
    <w:rsid w:val="00BF0BAD"/>
    <w:rsid w:val="00BF34C1"/>
    <w:rsid w:val="00BF3D7A"/>
    <w:rsid w:val="00BF4EFB"/>
    <w:rsid w:val="00BF7AD0"/>
    <w:rsid w:val="00C003D9"/>
    <w:rsid w:val="00C00930"/>
    <w:rsid w:val="00C00C0D"/>
    <w:rsid w:val="00C0129F"/>
    <w:rsid w:val="00C02C2F"/>
    <w:rsid w:val="00C06415"/>
    <w:rsid w:val="00C0703E"/>
    <w:rsid w:val="00C10D46"/>
    <w:rsid w:val="00C116DE"/>
    <w:rsid w:val="00C118D1"/>
    <w:rsid w:val="00C120C0"/>
    <w:rsid w:val="00C12B22"/>
    <w:rsid w:val="00C14EC8"/>
    <w:rsid w:val="00C151A1"/>
    <w:rsid w:val="00C158E5"/>
    <w:rsid w:val="00C16C05"/>
    <w:rsid w:val="00C20461"/>
    <w:rsid w:val="00C23AC7"/>
    <w:rsid w:val="00C27E3E"/>
    <w:rsid w:val="00C3002A"/>
    <w:rsid w:val="00C31F42"/>
    <w:rsid w:val="00C33638"/>
    <w:rsid w:val="00C33F38"/>
    <w:rsid w:val="00C343EA"/>
    <w:rsid w:val="00C35768"/>
    <w:rsid w:val="00C3621C"/>
    <w:rsid w:val="00C37987"/>
    <w:rsid w:val="00C40DCA"/>
    <w:rsid w:val="00C40EFA"/>
    <w:rsid w:val="00C411EF"/>
    <w:rsid w:val="00C41248"/>
    <w:rsid w:val="00C42262"/>
    <w:rsid w:val="00C50F87"/>
    <w:rsid w:val="00C53B53"/>
    <w:rsid w:val="00C576B4"/>
    <w:rsid w:val="00C60519"/>
    <w:rsid w:val="00C618BD"/>
    <w:rsid w:val="00C637E8"/>
    <w:rsid w:val="00C6523C"/>
    <w:rsid w:val="00C7117F"/>
    <w:rsid w:val="00C712B7"/>
    <w:rsid w:val="00C71A4C"/>
    <w:rsid w:val="00C72C1E"/>
    <w:rsid w:val="00C73D38"/>
    <w:rsid w:val="00C775EF"/>
    <w:rsid w:val="00C7781C"/>
    <w:rsid w:val="00C80B5F"/>
    <w:rsid w:val="00C832F2"/>
    <w:rsid w:val="00C84577"/>
    <w:rsid w:val="00C876F7"/>
    <w:rsid w:val="00C87F43"/>
    <w:rsid w:val="00C87F80"/>
    <w:rsid w:val="00C91B65"/>
    <w:rsid w:val="00C95000"/>
    <w:rsid w:val="00C95614"/>
    <w:rsid w:val="00C96952"/>
    <w:rsid w:val="00C977A0"/>
    <w:rsid w:val="00C97B9B"/>
    <w:rsid w:val="00CA38D5"/>
    <w:rsid w:val="00CA6BA3"/>
    <w:rsid w:val="00CA7366"/>
    <w:rsid w:val="00CA740B"/>
    <w:rsid w:val="00CA7FE5"/>
    <w:rsid w:val="00CB1851"/>
    <w:rsid w:val="00CB2BD7"/>
    <w:rsid w:val="00CB3109"/>
    <w:rsid w:val="00CB3A88"/>
    <w:rsid w:val="00CB3E1B"/>
    <w:rsid w:val="00CB4C1A"/>
    <w:rsid w:val="00CB5825"/>
    <w:rsid w:val="00CB62E6"/>
    <w:rsid w:val="00CC3EB5"/>
    <w:rsid w:val="00CC4499"/>
    <w:rsid w:val="00CD140E"/>
    <w:rsid w:val="00CD15E9"/>
    <w:rsid w:val="00CD3E85"/>
    <w:rsid w:val="00CD4ECF"/>
    <w:rsid w:val="00CD5EFA"/>
    <w:rsid w:val="00CD72D9"/>
    <w:rsid w:val="00CE068C"/>
    <w:rsid w:val="00CE17D2"/>
    <w:rsid w:val="00CE17DF"/>
    <w:rsid w:val="00CE1A3C"/>
    <w:rsid w:val="00CE2B44"/>
    <w:rsid w:val="00CE2B83"/>
    <w:rsid w:val="00CE44F9"/>
    <w:rsid w:val="00CE48DB"/>
    <w:rsid w:val="00CE5040"/>
    <w:rsid w:val="00CE5617"/>
    <w:rsid w:val="00CE5974"/>
    <w:rsid w:val="00CE671A"/>
    <w:rsid w:val="00CE7BDC"/>
    <w:rsid w:val="00CF3D26"/>
    <w:rsid w:val="00CF6029"/>
    <w:rsid w:val="00D00108"/>
    <w:rsid w:val="00D010A6"/>
    <w:rsid w:val="00D01997"/>
    <w:rsid w:val="00D01D5E"/>
    <w:rsid w:val="00D042D1"/>
    <w:rsid w:val="00D04702"/>
    <w:rsid w:val="00D04C10"/>
    <w:rsid w:val="00D057A6"/>
    <w:rsid w:val="00D10637"/>
    <w:rsid w:val="00D11121"/>
    <w:rsid w:val="00D121F7"/>
    <w:rsid w:val="00D12C8C"/>
    <w:rsid w:val="00D130F6"/>
    <w:rsid w:val="00D14945"/>
    <w:rsid w:val="00D20C3E"/>
    <w:rsid w:val="00D20C3F"/>
    <w:rsid w:val="00D2213A"/>
    <w:rsid w:val="00D229FA"/>
    <w:rsid w:val="00D25786"/>
    <w:rsid w:val="00D25872"/>
    <w:rsid w:val="00D27EA8"/>
    <w:rsid w:val="00D31428"/>
    <w:rsid w:val="00D3588C"/>
    <w:rsid w:val="00D35D75"/>
    <w:rsid w:val="00D36A17"/>
    <w:rsid w:val="00D4016F"/>
    <w:rsid w:val="00D40296"/>
    <w:rsid w:val="00D40A95"/>
    <w:rsid w:val="00D42ED2"/>
    <w:rsid w:val="00D44CEC"/>
    <w:rsid w:val="00D45690"/>
    <w:rsid w:val="00D50D28"/>
    <w:rsid w:val="00D52234"/>
    <w:rsid w:val="00D55E9A"/>
    <w:rsid w:val="00D573D7"/>
    <w:rsid w:val="00D57659"/>
    <w:rsid w:val="00D6002B"/>
    <w:rsid w:val="00D63EA4"/>
    <w:rsid w:val="00D6428C"/>
    <w:rsid w:val="00D64904"/>
    <w:rsid w:val="00D757D7"/>
    <w:rsid w:val="00D7696A"/>
    <w:rsid w:val="00D7751B"/>
    <w:rsid w:val="00D8090A"/>
    <w:rsid w:val="00D82640"/>
    <w:rsid w:val="00D866F2"/>
    <w:rsid w:val="00D8784C"/>
    <w:rsid w:val="00D90FF0"/>
    <w:rsid w:val="00D91D1F"/>
    <w:rsid w:val="00D960B5"/>
    <w:rsid w:val="00D9673A"/>
    <w:rsid w:val="00D96D45"/>
    <w:rsid w:val="00DA5035"/>
    <w:rsid w:val="00DA5CA2"/>
    <w:rsid w:val="00DA7103"/>
    <w:rsid w:val="00DB3E2A"/>
    <w:rsid w:val="00DB4598"/>
    <w:rsid w:val="00DB4A50"/>
    <w:rsid w:val="00DB725A"/>
    <w:rsid w:val="00DC0AF2"/>
    <w:rsid w:val="00DC164F"/>
    <w:rsid w:val="00DC238E"/>
    <w:rsid w:val="00DC369A"/>
    <w:rsid w:val="00DC3B57"/>
    <w:rsid w:val="00DC3BDA"/>
    <w:rsid w:val="00DC6069"/>
    <w:rsid w:val="00DC647C"/>
    <w:rsid w:val="00DD48FF"/>
    <w:rsid w:val="00DD5499"/>
    <w:rsid w:val="00DE0709"/>
    <w:rsid w:val="00DE118A"/>
    <w:rsid w:val="00DE46E2"/>
    <w:rsid w:val="00DE5AFC"/>
    <w:rsid w:val="00DE6A65"/>
    <w:rsid w:val="00DE6FF5"/>
    <w:rsid w:val="00DF0131"/>
    <w:rsid w:val="00DF03FC"/>
    <w:rsid w:val="00DF1E76"/>
    <w:rsid w:val="00DF2428"/>
    <w:rsid w:val="00DF4CFA"/>
    <w:rsid w:val="00DF5737"/>
    <w:rsid w:val="00DF7DAF"/>
    <w:rsid w:val="00E047F2"/>
    <w:rsid w:val="00E068EC"/>
    <w:rsid w:val="00E109A1"/>
    <w:rsid w:val="00E11B44"/>
    <w:rsid w:val="00E11E99"/>
    <w:rsid w:val="00E14133"/>
    <w:rsid w:val="00E14BC6"/>
    <w:rsid w:val="00E1689D"/>
    <w:rsid w:val="00E16EEA"/>
    <w:rsid w:val="00E17152"/>
    <w:rsid w:val="00E1717B"/>
    <w:rsid w:val="00E245BE"/>
    <w:rsid w:val="00E2669C"/>
    <w:rsid w:val="00E26FA8"/>
    <w:rsid w:val="00E331FC"/>
    <w:rsid w:val="00E336C4"/>
    <w:rsid w:val="00E33953"/>
    <w:rsid w:val="00E339B3"/>
    <w:rsid w:val="00E34BC4"/>
    <w:rsid w:val="00E35DBD"/>
    <w:rsid w:val="00E403FD"/>
    <w:rsid w:val="00E43C30"/>
    <w:rsid w:val="00E4426B"/>
    <w:rsid w:val="00E44CF2"/>
    <w:rsid w:val="00E46393"/>
    <w:rsid w:val="00E50D2A"/>
    <w:rsid w:val="00E54220"/>
    <w:rsid w:val="00E54B1A"/>
    <w:rsid w:val="00E54B7B"/>
    <w:rsid w:val="00E56C0C"/>
    <w:rsid w:val="00E57DBF"/>
    <w:rsid w:val="00E617FD"/>
    <w:rsid w:val="00E635F5"/>
    <w:rsid w:val="00E65757"/>
    <w:rsid w:val="00E657AA"/>
    <w:rsid w:val="00E66DBD"/>
    <w:rsid w:val="00E71249"/>
    <w:rsid w:val="00E73409"/>
    <w:rsid w:val="00E74E16"/>
    <w:rsid w:val="00E74E8B"/>
    <w:rsid w:val="00E75702"/>
    <w:rsid w:val="00E8146E"/>
    <w:rsid w:val="00E829E4"/>
    <w:rsid w:val="00E8434E"/>
    <w:rsid w:val="00E843C3"/>
    <w:rsid w:val="00E854CD"/>
    <w:rsid w:val="00E90718"/>
    <w:rsid w:val="00E9071F"/>
    <w:rsid w:val="00E91FE0"/>
    <w:rsid w:val="00E92E67"/>
    <w:rsid w:val="00E92F2C"/>
    <w:rsid w:val="00E93DC0"/>
    <w:rsid w:val="00E9680D"/>
    <w:rsid w:val="00E979AD"/>
    <w:rsid w:val="00EA00A5"/>
    <w:rsid w:val="00EA1DA3"/>
    <w:rsid w:val="00EA3A52"/>
    <w:rsid w:val="00EA67C4"/>
    <w:rsid w:val="00EA789D"/>
    <w:rsid w:val="00EB2B7C"/>
    <w:rsid w:val="00EB599A"/>
    <w:rsid w:val="00EB614C"/>
    <w:rsid w:val="00EB6CA9"/>
    <w:rsid w:val="00EB7554"/>
    <w:rsid w:val="00EC0ACE"/>
    <w:rsid w:val="00EC1D0E"/>
    <w:rsid w:val="00EC3D1B"/>
    <w:rsid w:val="00EC491C"/>
    <w:rsid w:val="00EC54AD"/>
    <w:rsid w:val="00EC671F"/>
    <w:rsid w:val="00ED0798"/>
    <w:rsid w:val="00ED0D37"/>
    <w:rsid w:val="00ED0EA0"/>
    <w:rsid w:val="00ED1BA1"/>
    <w:rsid w:val="00ED1D86"/>
    <w:rsid w:val="00EE0287"/>
    <w:rsid w:val="00EE092D"/>
    <w:rsid w:val="00EE0F7E"/>
    <w:rsid w:val="00EE1FAE"/>
    <w:rsid w:val="00EE3454"/>
    <w:rsid w:val="00EE4DF6"/>
    <w:rsid w:val="00EE5B12"/>
    <w:rsid w:val="00EE5B36"/>
    <w:rsid w:val="00EE5F5C"/>
    <w:rsid w:val="00EE6383"/>
    <w:rsid w:val="00EE6E81"/>
    <w:rsid w:val="00EF003B"/>
    <w:rsid w:val="00EF1060"/>
    <w:rsid w:val="00EF128B"/>
    <w:rsid w:val="00EF19F9"/>
    <w:rsid w:val="00EF2ABA"/>
    <w:rsid w:val="00EF398F"/>
    <w:rsid w:val="00EF43D8"/>
    <w:rsid w:val="00EF6A92"/>
    <w:rsid w:val="00EF6E36"/>
    <w:rsid w:val="00EF71E7"/>
    <w:rsid w:val="00F007C8"/>
    <w:rsid w:val="00F00E91"/>
    <w:rsid w:val="00F0122C"/>
    <w:rsid w:val="00F0153F"/>
    <w:rsid w:val="00F02429"/>
    <w:rsid w:val="00F03B5B"/>
    <w:rsid w:val="00F04A9E"/>
    <w:rsid w:val="00F05BA9"/>
    <w:rsid w:val="00F11AE9"/>
    <w:rsid w:val="00F146BC"/>
    <w:rsid w:val="00F16344"/>
    <w:rsid w:val="00F20F68"/>
    <w:rsid w:val="00F21AE5"/>
    <w:rsid w:val="00F2201D"/>
    <w:rsid w:val="00F22FEE"/>
    <w:rsid w:val="00F26FA1"/>
    <w:rsid w:val="00F30769"/>
    <w:rsid w:val="00F33B8B"/>
    <w:rsid w:val="00F34810"/>
    <w:rsid w:val="00F365FA"/>
    <w:rsid w:val="00F37E84"/>
    <w:rsid w:val="00F409D4"/>
    <w:rsid w:val="00F41DC3"/>
    <w:rsid w:val="00F42661"/>
    <w:rsid w:val="00F47709"/>
    <w:rsid w:val="00F53A80"/>
    <w:rsid w:val="00F55140"/>
    <w:rsid w:val="00F578A2"/>
    <w:rsid w:val="00F604B2"/>
    <w:rsid w:val="00F63577"/>
    <w:rsid w:val="00F63DE0"/>
    <w:rsid w:val="00F653C0"/>
    <w:rsid w:val="00F655CA"/>
    <w:rsid w:val="00F65FC1"/>
    <w:rsid w:val="00F660B0"/>
    <w:rsid w:val="00F668A2"/>
    <w:rsid w:val="00F674C9"/>
    <w:rsid w:val="00F706CE"/>
    <w:rsid w:val="00F70E18"/>
    <w:rsid w:val="00F71574"/>
    <w:rsid w:val="00F7161B"/>
    <w:rsid w:val="00F74382"/>
    <w:rsid w:val="00F81A97"/>
    <w:rsid w:val="00F8322C"/>
    <w:rsid w:val="00F83953"/>
    <w:rsid w:val="00F83C59"/>
    <w:rsid w:val="00F84B7B"/>
    <w:rsid w:val="00F84DD8"/>
    <w:rsid w:val="00F8690C"/>
    <w:rsid w:val="00F86A64"/>
    <w:rsid w:val="00F87BA1"/>
    <w:rsid w:val="00F907B6"/>
    <w:rsid w:val="00F908FB"/>
    <w:rsid w:val="00F92969"/>
    <w:rsid w:val="00F92DD9"/>
    <w:rsid w:val="00F96231"/>
    <w:rsid w:val="00F96C35"/>
    <w:rsid w:val="00F97616"/>
    <w:rsid w:val="00F97B56"/>
    <w:rsid w:val="00FA0AB0"/>
    <w:rsid w:val="00FA230C"/>
    <w:rsid w:val="00FA2AF1"/>
    <w:rsid w:val="00FA493A"/>
    <w:rsid w:val="00FA57DA"/>
    <w:rsid w:val="00FA64BB"/>
    <w:rsid w:val="00FB01CB"/>
    <w:rsid w:val="00FB201F"/>
    <w:rsid w:val="00FB23A9"/>
    <w:rsid w:val="00FB2E2D"/>
    <w:rsid w:val="00FB44C8"/>
    <w:rsid w:val="00FB7868"/>
    <w:rsid w:val="00FC001A"/>
    <w:rsid w:val="00FC3D9C"/>
    <w:rsid w:val="00FC5764"/>
    <w:rsid w:val="00FD0959"/>
    <w:rsid w:val="00FD350D"/>
    <w:rsid w:val="00FD6ACC"/>
    <w:rsid w:val="00FD6D02"/>
    <w:rsid w:val="00FD7A8E"/>
    <w:rsid w:val="00FE26D3"/>
    <w:rsid w:val="00FE7F66"/>
    <w:rsid w:val="00FF16B5"/>
    <w:rsid w:val="00FF1F07"/>
    <w:rsid w:val="00FF3B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B721"/>
  <w15:docId w15:val="{3E0F80D8-684B-4DBC-9FDF-8959453E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rsid w:val="00C411EF"/>
    <w:pPr>
      <w:keepNext/>
      <w:spacing w:after="360" w:line="480" w:lineRule="auto"/>
      <w:jc w:val="both"/>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4F7C26"/>
    <w:pPr>
      <w:keepNext/>
      <w:numPr>
        <w:numId w:val="38"/>
      </w:numPr>
      <w:spacing w:after="360" w:line="480" w:lineRule="auto"/>
      <w:ind w:left="851" w:hanging="851"/>
      <w:outlineLvl w:val="1"/>
    </w:pPr>
    <w:rPr>
      <w:rFonts w:ascii="Times New Roman" w:eastAsia="Times New Roman" w:hAnsi="Times New Roman" w:cs="Times New Roman"/>
      <w:sz w:val="24"/>
      <w:szCs w:val="24"/>
      <w:u w:val="single"/>
    </w:rPr>
  </w:style>
  <w:style w:type="paragraph" w:styleId="Heading6">
    <w:name w:val="heading 6"/>
    <w:basedOn w:val="Normal"/>
    <w:next w:val="Normal"/>
    <w:link w:val="Heading6Char"/>
    <w:qFormat/>
    <w:rsid w:val="000D3F9B"/>
    <w:pPr>
      <w:spacing w:before="240" w:after="60" w:line="240" w:lineRule="auto"/>
      <w:outlineLvl w:val="5"/>
    </w:pPr>
    <w:rPr>
      <w:rFonts w:ascii="Times New Roman" w:eastAsia="Times New Roman" w:hAnsi="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8DF"/>
    <w:pPr>
      <w:ind w:left="720"/>
      <w:contextualSpacing/>
    </w:pPr>
  </w:style>
  <w:style w:type="paragraph" w:styleId="DocumentMap">
    <w:name w:val="Document Map"/>
    <w:basedOn w:val="Normal"/>
    <w:link w:val="DocumentMapChar"/>
    <w:uiPriority w:val="99"/>
    <w:semiHidden/>
    <w:unhideWhenUsed/>
    <w:rsid w:val="00CC449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C4499"/>
    <w:rPr>
      <w:rFonts w:ascii="Times New Roman" w:hAnsi="Times New Roman" w:cs="Times New Roman"/>
      <w:sz w:val="24"/>
      <w:szCs w:val="24"/>
    </w:rPr>
  </w:style>
  <w:style w:type="paragraph" w:styleId="NormalWeb">
    <w:name w:val="Normal (Web)"/>
    <w:basedOn w:val="Normal"/>
    <w:uiPriority w:val="99"/>
    <w:unhideWhenUsed/>
    <w:rsid w:val="00802852"/>
    <w:pPr>
      <w:spacing w:before="100" w:beforeAutospacing="1" w:after="100" w:afterAutospacing="1" w:line="240" w:lineRule="auto"/>
    </w:pPr>
    <w:rPr>
      <w:rFonts w:ascii="Times New Roman" w:hAnsi="Times New Roman" w:cs="Times New Roman"/>
      <w:sz w:val="24"/>
      <w:szCs w:val="24"/>
      <w:lang w:val="en-US"/>
    </w:rPr>
  </w:style>
  <w:style w:type="paragraph" w:styleId="FootnoteText">
    <w:name w:val="footnote text"/>
    <w:aliases w:val="Footnote Reference1,Footnotes refss,Footnote Text Char2,Footnote Text Char Char1,Footnote Text Char1 Char Char,Footnote Text Char Char Char Char,Footnote Text Char2 Char1 Char Char Char,Footnote Text Char1 Char1 Char1 Char Char Char,fn,ft"/>
    <w:basedOn w:val="Normal"/>
    <w:link w:val="FootnoteTextChar"/>
    <w:uiPriority w:val="99"/>
    <w:unhideWhenUsed/>
    <w:qFormat/>
    <w:rsid w:val="00D04702"/>
    <w:pPr>
      <w:spacing w:after="0" w:line="240" w:lineRule="auto"/>
    </w:pPr>
    <w:rPr>
      <w:sz w:val="24"/>
      <w:szCs w:val="24"/>
    </w:rPr>
  </w:style>
  <w:style w:type="character" w:customStyle="1" w:styleId="FootnoteTextChar">
    <w:name w:val="Footnote Text Char"/>
    <w:aliases w:val="Footnote Reference1 Char,Footnotes refss Char,Footnote Text Char2 Char,Footnote Text Char Char1 Char,Footnote Text Char1 Char Char Char,Footnote Text Char Char Char Char Char,Footnote Text Char2 Char1 Char Char Char Char,fn Char"/>
    <w:basedOn w:val="DefaultParagraphFont"/>
    <w:link w:val="FootnoteText"/>
    <w:uiPriority w:val="99"/>
    <w:rsid w:val="00D04702"/>
    <w:rPr>
      <w:sz w:val="24"/>
      <w:szCs w:val="24"/>
    </w:rPr>
  </w:style>
  <w:style w:type="character" w:styleId="FootnoteReference">
    <w:name w:val="footnote reference"/>
    <w:aliases w:val="Footnote Reference + Superscript,Heading 6 Char1,do not use4 Char1,Ref,de nota al pie,Footnote symbol,(NECG) Footnote Reference,Bow_Footnote Reference,註腳內容,Appel note de bas de page,fr,Footnote Reference Superscript,Style 12,Footnote"/>
    <w:basedOn w:val="DefaultParagraphFont"/>
    <w:link w:val="4GCharCharChar"/>
    <w:uiPriority w:val="99"/>
    <w:unhideWhenUsed/>
    <w:qFormat/>
    <w:rsid w:val="00D04702"/>
    <w:rPr>
      <w:vertAlign w:val="superscript"/>
    </w:rPr>
  </w:style>
  <w:style w:type="paragraph" w:styleId="BalloonText">
    <w:name w:val="Balloon Text"/>
    <w:basedOn w:val="Normal"/>
    <w:link w:val="BalloonTextChar"/>
    <w:uiPriority w:val="99"/>
    <w:semiHidden/>
    <w:unhideWhenUsed/>
    <w:rsid w:val="005E3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28"/>
    <w:rPr>
      <w:rFonts w:ascii="Tahoma" w:hAnsi="Tahoma" w:cs="Tahoma"/>
      <w:sz w:val="16"/>
      <w:szCs w:val="16"/>
    </w:rPr>
  </w:style>
  <w:style w:type="paragraph" w:styleId="Footer">
    <w:name w:val="footer"/>
    <w:basedOn w:val="Normal"/>
    <w:link w:val="FooterChar"/>
    <w:uiPriority w:val="99"/>
    <w:unhideWhenUsed/>
    <w:rsid w:val="00977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D0A"/>
  </w:style>
  <w:style w:type="character" w:styleId="PageNumber">
    <w:name w:val="page number"/>
    <w:basedOn w:val="DefaultParagraphFont"/>
    <w:uiPriority w:val="99"/>
    <w:semiHidden/>
    <w:unhideWhenUsed/>
    <w:rsid w:val="00977D0A"/>
  </w:style>
  <w:style w:type="paragraph" w:styleId="Header">
    <w:name w:val="header"/>
    <w:basedOn w:val="Normal"/>
    <w:link w:val="HeaderChar"/>
    <w:uiPriority w:val="99"/>
    <w:unhideWhenUsed/>
    <w:rsid w:val="0043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8AD"/>
  </w:style>
  <w:style w:type="character" w:customStyle="1" w:styleId="Heading1Char">
    <w:name w:val="Heading 1 Char"/>
    <w:basedOn w:val="DefaultParagraphFont"/>
    <w:link w:val="Heading1"/>
    <w:rsid w:val="00C411EF"/>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4F7C26"/>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0D3F9B"/>
    <w:rPr>
      <w:rFonts w:ascii="Times New Roman" w:eastAsia="Times New Roman" w:hAnsi="Times New Roman" w:cs="Times New Roman"/>
      <w:b/>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46033"/>
    <w:pPr>
      <w:spacing w:before="120" w:after="160" w:line="240" w:lineRule="exact"/>
      <w:ind w:left="567" w:hanging="567"/>
      <w:jc w:val="both"/>
    </w:pPr>
    <w:rPr>
      <w:vertAlign w:val="superscript"/>
    </w:rPr>
  </w:style>
  <w:style w:type="paragraph" w:styleId="Quote">
    <w:name w:val="Quote"/>
    <w:basedOn w:val="Normal"/>
    <w:next w:val="Normal"/>
    <w:link w:val="QuoteChar"/>
    <w:uiPriority w:val="1"/>
    <w:qFormat/>
    <w:rsid w:val="00121167"/>
    <w:pPr>
      <w:spacing w:after="360" w:line="360" w:lineRule="auto"/>
      <w:ind w:left="1418"/>
      <w:jc w:val="both"/>
    </w:pPr>
    <w:rPr>
      <w:rFonts w:ascii="Times New Roman" w:hAnsi="Times New Roman"/>
      <w:iCs/>
      <w:sz w:val="24"/>
    </w:rPr>
  </w:style>
  <w:style w:type="character" w:customStyle="1" w:styleId="QuoteChar">
    <w:name w:val="Quote Char"/>
    <w:basedOn w:val="DefaultParagraphFont"/>
    <w:link w:val="Quote"/>
    <w:uiPriority w:val="1"/>
    <w:rsid w:val="00121167"/>
    <w:rPr>
      <w:rFonts w:ascii="Times New Roman" w:hAnsi="Times New Roman"/>
      <w:iCs/>
      <w:sz w:val="24"/>
    </w:rPr>
  </w:style>
  <w:style w:type="character" w:styleId="Hyperlink">
    <w:name w:val="Hyperlink"/>
    <w:basedOn w:val="DefaultParagraphFont"/>
    <w:uiPriority w:val="99"/>
    <w:unhideWhenUsed/>
    <w:rsid w:val="00046033"/>
    <w:rPr>
      <w:color w:val="0000FF" w:themeColor="hyperlink"/>
      <w:u w:val="single"/>
    </w:rPr>
  </w:style>
  <w:style w:type="character" w:customStyle="1" w:styleId="UnnumberedtextCharChar">
    <w:name w:val="Unnumbered text Char Char"/>
    <w:basedOn w:val="DefaultParagraphFont"/>
    <w:link w:val="Unnumberedtext"/>
    <w:uiPriority w:val="1"/>
    <w:locked/>
    <w:rsid w:val="00BE4503"/>
    <w:rPr>
      <w:rFonts w:ascii="Arial" w:eastAsia="Times New Roman" w:hAnsi="Arial" w:cs="Arial"/>
      <w:sz w:val="24"/>
      <w:lang w:eastAsia="en-GB"/>
    </w:rPr>
  </w:style>
  <w:style w:type="paragraph" w:customStyle="1" w:styleId="Unnumberedtext">
    <w:name w:val="Unnumbered text"/>
    <w:basedOn w:val="Normal"/>
    <w:link w:val="UnnumberedtextCharChar"/>
    <w:uiPriority w:val="1"/>
    <w:qFormat/>
    <w:rsid w:val="00BE4503"/>
    <w:pPr>
      <w:spacing w:after="360" w:line="480" w:lineRule="auto"/>
      <w:jc w:val="both"/>
    </w:pPr>
    <w:rPr>
      <w:rFonts w:ascii="Arial" w:eastAsia="Times New Roman" w:hAnsi="Arial" w:cs="Arial"/>
      <w:sz w:val="24"/>
      <w:lang w:eastAsia="en-GB"/>
    </w:rPr>
  </w:style>
  <w:style w:type="paragraph" w:customStyle="1" w:styleId="Level1">
    <w:name w:val="Level 1"/>
    <w:basedOn w:val="Normal"/>
    <w:qFormat/>
    <w:rsid w:val="00BE4503"/>
    <w:pPr>
      <w:numPr>
        <w:numId w:val="22"/>
      </w:numPr>
      <w:spacing w:after="360" w:line="480" w:lineRule="auto"/>
      <w:ind w:left="851" w:hanging="851"/>
      <w:jc w:val="both"/>
    </w:pPr>
    <w:rPr>
      <w:rFonts w:ascii="Arial" w:eastAsia="Calibri" w:hAnsi="Arial" w:cs="Times New Roman"/>
      <w:sz w:val="24"/>
    </w:rPr>
  </w:style>
  <w:style w:type="paragraph" w:customStyle="1" w:styleId="Level2">
    <w:name w:val="Level 2"/>
    <w:basedOn w:val="Normal"/>
    <w:qFormat/>
    <w:rsid w:val="00BE4503"/>
    <w:pPr>
      <w:numPr>
        <w:ilvl w:val="1"/>
        <w:numId w:val="22"/>
      </w:numPr>
      <w:spacing w:after="360" w:line="480" w:lineRule="auto"/>
      <w:ind w:left="1815" w:hanging="964"/>
      <w:jc w:val="both"/>
    </w:pPr>
    <w:rPr>
      <w:rFonts w:ascii="Arial" w:eastAsia="Calibri" w:hAnsi="Arial" w:cs="Times New Roman"/>
      <w:sz w:val="24"/>
    </w:rPr>
  </w:style>
  <w:style w:type="paragraph" w:customStyle="1" w:styleId="Level3">
    <w:name w:val="Level 3"/>
    <w:basedOn w:val="Normal"/>
    <w:qFormat/>
    <w:rsid w:val="00BE4503"/>
    <w:pPr>
      <w:numPr>
        <w:ilvl w:val="2"/>
        <w:numId w:val="22"/>
      </w:numPr>
      <w:spacing w:after="360" w:line="480" w:lineRule="auto"/>
      <w:ind w:left="2891" w:hanging="1077"/>
      <w:jc w:val="both"/>
    </w:pPr>
    <w:rPr>
      <w:rFonts w:ascii="Arial" w:eastAsia="Calibri" w:hAnsi="Arial" w:cs="Times New Roman"/>
      <w:sz w:val="24"/>
    </w:rPr>
  </w:style>
  <w:style w:type="paragraph" w:customStyle="1" w:styleId="western">
    <w:name w:val="western"/>
    <w:basedOn w:val="Normal"/>
    <w:rsid w:val="001C6AB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3230">
      <w:bodyDiv w:val="1"/>
      <w:marLeft w:val="0"/>
      <w:marRight w:val="0"/>
      <w:marTop w:val="0"/>
      <w:marBottom w:val="0"/>
      <w:divBdr>
        <w:top w:val="none" w:sz="0" w:space="0" w:color="auto"/>
        <w:left w:val="none" w:sz="0" w:space="0" w:color="auto"/>
        <w:bottom w:val="none" w:sz="0" w:space="0" w:color="auto"/>
        <w:right w:val="none" w:sz="0" w:space="0" w:color="auto"/>
      </w:divBdr>
    </w:div>
    <w:div w:id="623312936">
      <w:bodyDiv w:val="1"/>
      <w:marLeft w:val="0"/>
      <w:marRight w:val="0"/>
      <w:marTop w:val="0"/>
      <w:marBottom w:val="0"/>
      <w:divBdr>
        <w:top w:val="none" w:sz="0" w:space="0" w:color="auto"/>
        <w:left w:val="none" w:sz="0" w:space="0" w:color="auto"/>
        <w:bottom w:val="none" w:sz="0" w:space="0" w:color="auto"/>
        <w:right w:val="none" w:sz="0" w:space="0" w:color="auto"/>
      </w:divBdr>
    </w:div>
    <w:div w:id="1132214994">
      <w:bodyDiv w:val="1"/>
      <w:marLeft w:val="0"/>
      <w:marRight w:val="0"/>
      <w:marTop w:val="0"/>
      <w:marBottom w:val="0"/>
      <w:divBdr>
        <w:top w:val="none" w:sz="0" w:space="0" w:color="auto"/>
        <w:left w:val="none" w:sz="0" w:space="0" w:color="auto"/>
        <w:bottom w:val="none" w:sz="0" w:space="0" w:color="auto"/>
        <w:right w:val="none" w:sz="0" w:space="0" w:color="auto"/>
      </w:divBdr>
    </w:div>
    <w:div w:id="1160199637">
      <w:bodyDiv w:val="1"/>
      <w:marLeft w:val="0"/>
      <w:marRight w:val="0"/>
      <w:marTop w:val="0"/>
      <w:marBottom w:val="0"/>
      <w:divBdr>
        <w:top w:val="none" w:sz="0" w:space="0" w:color="auto"/>
        <w:left w:val="none" w:sz="0" w:space="0" w:color="auto"/>
        <w:bottom w:val="none" w:sz="0" w:space="0" w:color="auto"/>
        <w:right w:val="none" w:sz="0" w:space="0" w:color="auto"/>
      </w:divBdr>
    </w:div>
    <w:div w:id="1397242227">
      <w:bodyDiv w:val="1"/>
      <w:marLeft w:val="0"/>
      <w:marRight w:val="0"/>
      <w:marTop w:val="0"/>
      <w:marBottom w:val="0"/>
      <w:divBdr>
        <w:top w:val="none" w:sz="0" w:space="0" w:color="auto"/>
        <w:left w:val="none" w:sz="0" w:space="0" w:color="auto"/>
        <w:bottom w:val="none" w:sz="0" w:space="0" w:color="auto"/>
        <w:right w:val="none" w:sz="0" w:space="0" w:color="auto"/>
      </w:divBdr>
    </w:div>
    <w:div w:id="1431967977">
      <w:bodyDiv w:val="1"/>
      <w:marLeft w:val="0"/>
      <w:marRight w:val="0"/>
      <w:marTop w:val="0"/>
      <w:marBottom w:val="0"/>
      <w:divBdr>
        <w:top w:val="none" w:sz="0" w:space="0" w:color="auto"/>
        <w:left w:val="none" w:sz="0" w:space="0" w:color="auto"/>
        <w:bottom w:val="none" w:sz="0" w:space="0" w:color="auto"/>
        <w:right w:val="none" w:sz="0" w:space="0" w:color="auto"/>
      </w:divBdr>
      <w:divsChild>
        <w:div w:id="1080255530">
          <w:marLeft w:val="0"/>
          <w:marRight w:val="0"/>
          <w:marTop w:val="0"/>
          <w:marBottom w:val="0"/>
          <w:divBdr>
            <w:top w:val="none" w:sz="0" w:space="0" w:color="auto"/>
            <w:left w:val="none" w:sz="0" w:space="0" w:color="auto"/>
            <w:bottom w:val="none" w:sz="0" w:space="0" w:color="auto"/>
            <w:right w:val="none" w:sz="0" w:space="0" w:color="auto"/>
          </w:divBdr>
          <w:divsChild>
            <w:div w:id="1095369933">
              <w:marLeft w:val="0"/>
              <w:marRight w:val="0"/>
              <w:marTop w:val="0"/>
              <w:marBottom w:val="0"/>
              <w:divBdr>
                <w:top w:val="none" w:sz="0" w:space="0" w:color="auto"/>
                <w:left w:val="none" w:sz="0" w:space="0" w:color="auto"/>
                <w:bottom w:val="none" w:sz="0" w:space="0" w:color="auto"/>
                <w:right w:val="none" w:sz="0" w:space="0" w:color="auto"/>
              </w:divBdr>
              <w:divsChild>
                <w:div w:id="252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7592">
      <w:bodyDiv w:val="1"/>
      <w:marLeft w:val="0"/>
      <w:marRight w:val="0"/>
      <w:marTop w:val="0"/>
      <w:marBottom w:val="0"/>
      <w:divBdr>
        <w:top w:val="none" w:sz="0" w:space="0" w:color="auto"/>
        <w:left w:val="none" w:sz="0" w:space="0" w:color="auto"/>
        <w:bottom w:val="none" w:sz="0" w:space="0" w:color="auto"/>
        <w:right w:val="none" w:sz="0" w:space="0" w:color="auto"/>
      </w:divBdr>
      <w:divsChild>
        <w:div w:id="259728112">
          <w:marLeft w:val="0"/>
          <w:marRight w:val="0"/>
          <w:marTop w:val="0"/>
          <w:marBottom w:val="0"/>
          <w:divBdr>
            <w:top w:val="none" w:sz="0" w:space="0" w:color="auto"/>
            <w:left w:val="none" w:sz="0" w:space="0" w:color="auto"/>
            <w:bottom w:val="none" w:sz="0" w:space="0" w:color="auto"/>
            <w:right w:val="none" w:sz="0" w:space="0" w:color="auto"/>
          </w:divBdr>
          <w:divsChild>
            <w:div w:id="2067296805">
              <w:marLeft w:val="0"/>
              <w:marRight w:val="0"/>
              <w:marTop w:val="0"/>
              <w:marBottom w:val="0"/>
              <w:divBdr>
                <w:top w:val="none" w:sz="0" w:space="0" w:color="auto"/>
                <w:left w:val="none" w:sz="0" w:space="0" w:color="auto"/>
                <w:bottom w:val="none" w:sz="0" w:space="0" w:color="auto"/>
                <w:right w:val="none" w:sz="0" w:space="0" w:color="auto"/>
              </w:divBdr>
              <w:divsChild>
                <w:div w:id="1706714386">
                  <w:marLeft w:val="0"/>
                  <w:marRight w:val="0"/>
                  <w:marTop w:val="0"/>
                  <w:marBottom w:val="0"/>
                  <w:divBdr>
                    <w:top w:val="none" w:sz="0" w:space="0" w:color="auto"/>
                    <w:left w:val="none" w:sz="0" w:space="0" w:color="auto"/>
                    <w:bottom w:val="none" w:sz="0" w:space="0" w:color="auto"/>
                    <w:right w:val="none" w:sz="0" w:space="0" w:color="auto"/>
                  </w:divBdr>
                </w:div>
                <w:div w:id="18884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10924">
      <w:bodyDiv w:val="1"/>
      <w:marLeft w:val="0"/>
      <w:marRight w:val="0"/>
      <w:marTop w:val="0"/>
      <w:marBottom w:val="0"/>
      <w:divBdr>
        <w:top w:val="none" w:sz="0" w:space="0" w:color="auto"/>
        <w:left w:val="none" w:sz="0" w:space="0" w:color="auto"/>
        <w:bottom w:val="none" w:sz="0" w:space="0" w:color="auto"/>
        <w:right w:val="none" w:sz="0" w:space="0" w:color="auto"/>
      </w:divBdr>
    </w:div>
    <w:div w:id="1685353369">
      <w:bodyDiv w:val="1"/>
      <w:marLeft w:val="0"/>
      <w:marRight w:val="0"/>
      <w:marTop w:val="0"/>
      <w:marBottom w:val="0"/>
      <w:divBdr>
        <w:top w:val="none" w:sz="0" w:space="0" w:color="auto"/>
        <w:left w:val="none" w:sz="0" w:space="0" w:color="auto"/>
        <w:bottom w:val="none" w:sz="0" w:space="0" w:color="auto"/>
        <w:right w:val="none" w:sz="0" w:space="0" w:color="auto"/>
      </w:divBdr>
    </w:div>
    <w:div w:id="1930846915">
      <w:bodyDiv w:val="1"/>
      <w:marLeft w:val="0"/>
      <w:marRight w:val="0"/>
      <w:marTop w:val="0"/>
      <w:marBottom w:val="0"/>
      <w:divBdr>
        <w:top w:val="none" w:sz="0" w:space="0" w:color="auto"/>
        <w:left w:val="none" w:sz="0" w:space="0" w:color="auto"/>
        <w:bottom w:val="none" w:sz="0" w:space="0" w:color="auto"/>
        <w:right w:val="none" w:sz="0" w:space="0" w:color="auto"/>
      </w:divBdr>
    </w:div>
    <w:div w:id="2015496767">
      <w:bodyDiv w:val="1"/>
      <w:marLeft w:val="0"/>
      <w:marRight w:val="0"/>
      <w:marTop w:val="0"/>
      <w:marBottom w:val="0"/>
      <w:divBdr>
        <w:top w:val="none" w:sz="0" w:space="0" w:color="auto"/>
        <w:left w:val="none" w:sz="0" w:space="0" w:color="auto"/>
        <w:bottom w:val="none" w:sz="0" w:space="0" w:color="auto"/>
        <w:right w:val="none" w:sz="0" w:space="0" w:color="auto"/>
      </w:divBdr>
      <w:divsChild>
        <w:div w:id="2132018316">
          <w:marLeft w:val="0"/>
          <w:marRight w:val="0"/>
          <w:marTop w:val="0"/>
          <w:marBottom w:val="0"/>
          <w:divBdr>
            <w:top w:val="none" w:sz="0" w:space="0" w:color="auto"/>
            <w:left w:val="none" w:sz="0" w:space="0" w:color="auto"/>
            <w:bottom w:val="none" w:sz="0" w:space="0" w:color="auto"/>
            <w:right w:val="none" w:sz="0" w:space="0" w:color="auto"/>
          </w:divBdr>
          <w:divsChild>
            <w:div w:id="1821997718">
              <w:marLeft w:val="0"/>
              <w:marRight w:val="0"/>
              <w:marTop w:val="0"/>
              <w:marBottom w:val="0"/>
              <w:divBdr>
                <w:top w:val="none" w:sz="0" w:space="0" w:color="auto"/>
                <w:left w:val="none" w:sz="0" w:space="0" w:color="auto"/>
                <w:bottom w:val="none" w:sz="0" w:space="0" w:color="auto"/>
                <w:right w:val="none" w:sz="0" w:space="0" w:color="auto"/>
              </w:divBdr>
              <w:divsChild>
                <w:div w:id="1299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3752">
      <w:bodyDiv w:val="1"/>
      <w:marLeft w:val="0"/>
      <w:marRight w:val="0"/>
      <w:marTop w:val="0"/>
      <w:marBottom w:val="0"/>
      <w:divBdr>
        <w:top w:val="none" w:sz="0" w:space="0" w:color="auto"/>
        <w:left w:val="none" w:sz="0" w:space="0" w:color="auto"/>
        <w:bottom w:val="none" w:sz="0" w:space="0" w:color="auto"/>
        <w:right w:val="none" w:sz="0" w:space="0" w:color="auto"/>
      </w:divBdr>
    </w:div>
    <w:div w:id="2108381736">
      <w:bodyDiv w:val="1"/>
      <w:marLeft w:val="0"/>
      <w:marRight w:val="0"/>
      <w:marTop w:val="0"/>
      <w:marBottom w:val="0"/>
      <w:divBdr>
        <w:top w:val="none" w:sz="0" w:space="0" w:color="auto"/>
        <w:left w:val="none" w:sz="0" w:space="0" w:color="auto"/>
        <w:bottom w:val="none" w:sz="0" w:space="0" w:color="auto"/>
        <w:right w:val="none" w:sz="0" w:space="0" w:color="auto"/>
      </w:divBdr>
    </w:div>
    <w:div w:id="2117287805">
      <w:bodyDiv w:val="1"/>
      <w:marLeft w:val="0"/>
      <w:marRight w:val="0"/>
      <w:marTop w:val="0"/>
      <w:marBottom w:val="0"/>
      <w:divBdr>
        <w:top w:val="none" w:sz="0" w:space="0" w:color="auto"/>
        <w:left w:val="none" w:sz="0" w:space="0" w:color="auto"/>
        <w:bottom w:val="none" w:sz="0" w:space="0" w:color="auto"/>
        <w:right w:val="none" w:sz="0" w:space="0" w:color="auto"/>
      </w:divBdr>
      <w:divsChild>
        <w:div w:id="1367483254">
          <w:marLeft w:val="0"/>
          <w:marRight w:val="0"/>
          <w:marTop w:val="0"/>
          <w:marBottom w:val="0"/>
          <w:divBdr>
            <w:top w:val="none" w:sz="0" w:space="0" w:color="auto"/>
            <w:left w:val="none" w:sz="0" w:space="0" w:color="auto"/>
            <w:bottom w:val="none" w:sz="0" w:space="0" w:color="auto"/>
            <w:right w:val="none" w:sz="0" w:space="0" w:color="auto"/>
          </w:divBdr>
          <w:divsChild>
            <w:div w:id="58479727">
              <w:marLeft w:val="0"/>
              <w:marRight w:val="0"/>
              <w:marTop w:val="0"/>
              <w:marBottom w:val="0"/>
              <w:divBdr>
                <w:top w:val="none" w:sz="0" w:space="0" w:color="auto"/>
                <w:left w:val="none" w:sz="0" w:space="0" w:color="auto"/>
                <w:bottom w:val="none" w:sz="0" w:space="0" w:color="auto"/>
                <w:right w:val="none" w:sz="0" w:space="0" w:color="auto"/>
              </w:divBdr>
              <w:divsChild>
                <w:div w:id="132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B2D2-5713-4785-8362-AA5DB592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8003</Words>
  <Characters>45618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Spiegel</dc:creator>
  <cp:keywords/>
  <dc:description/>
  <cp:lastModifiedBy>Mary Bruce</cp:lastModifiedBy>
  <cp:revision>170</cp:revision>
  <cp:lastPrinted>2023-11-08T07:05:00Z</cp:lastPrinted>
  <dcterms:created xsi:type="dcterms:W3CDTF">2024-01-17T15:00:00Z</dcterms:created>
  <dcterms:modified xsi:type="dcterms:W3CDTF">2024-01-19T09:54:00Z</dcterms:modified>
</cp:coreProperties>
</file>