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23" w:rsidRPr="003B6323" w:rsidRDefault="00DE0AD4" w:rsidP="00DE0AD4">
      <w:pPr>
        <w:pStyle w:val="ListParagraph"/>
        <w:spacing w:line="360" w:lineRule="auto"/>
        <w:ind w:left="0"/>
        <w:jc w:val="center"/>
      </w:pPr>
      <w:bookmarkStart w:id="0" w:name="_GoBack"/>
      <w:bookmarkEnd w:id="0"/>
      <w:r>
        <w:rPr>
          <w:noProof/>
          <w:lang w:eastAsia="en-ZA"/>
        </w:rPr>
        <w:drawing>
          <wp:inline distT="0" distB="0" distL="0" distR="0" wp14:anchorId="4DDC809A" wp14:editId="1F3E762E">
            <wp:extent cx="1094105" cy="1094105"/>
            <wp:effectExtent l="0" t="0" r="0" b="0"/>
            <wp:docPr id="63552492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rsidR="00DE0AD4" w:rsidRPr="00331723" w:rsidRDefault="00DE0AD4" w:rsidP="00DE0AD4">
      <w:pPr>
        <w:spacing w:line="360" w:lineRule="auto"/>
        <w:ind w:left="545"/>
        <w:jc w:val="center"/>
        <w:rPr>
          <w:b/>
          <w:sz w:val="26"/>
          <w:szCs w:val="26"/>
        </w:rPr>
      </w:pPr>
      <w:r w:rsidRPr="00331723">
        <w:rPr>
          <w:b/>
          <w:sz w:val="26"/>
          <w:szCs w:val="26"/>
        </w:rPr>
        <w:t>IN THE HIGH COURT OF SOUTH AFRICA</w:t>
      </w:r>
    </w:p>
    <w:p w:rsidR="00DE0AD4" w:rsidRPr="00331723" w:rsidRDefault="00DE0AD4" w:rsidP="00A727C6">
      <w:pPr>
        <w:tabs>
          <w:tab w:val="left" w:pos="2694"/>
        </w:tabs>
        <w:ind w:firstLine="545"/>
        <w:jc w:val="center"/>
        <w:rPr>
          <w:b/>
          <w:sz w:val="26"/>
          <w:szCs w:val="26"/>
        </w:rPr>
      </w:pPr>
      <w:r w:rsidRPr="00331723">
        <w:rPr>
          <w:b/>
          <w:sz w:val="26"/>
          <w:szCs w:val="26"/>
        </w:rPr>
        <w:t>(WESTERN CAPE DIVISION, CAPE TOWN)</w:t>
      </w:r>
    </w:p>
    <w:p w:rsidR="00DE0AD4" w:rsidRPr="00331723" w:rsidRDefault="00DE0AD4" w:rsidP="00A727C6">
      <w:pPr>
        <w:jc w:val="center"/>
        <w:rPr>
          <w:sz w:val="26"/>
          <w:szCs w:val="26"/>
        </w:rPr>
      </w:pPr>
    </w:p>
    <w:p w:rsidR="00DE0AD4" w:rsidRPr="00331723" w:rsidRDefault="00DE0AD4" w:rsidP="00DE0AD4">
      <w:pPr>
        <w:tabs>
          <w:tab w:val="left" w:pos="2694"/>
        </w:tabs>
        <w:spacing w:line="276" w:lineRule="auto"/>
        <w:ind w:firstLine="545"/>
        <w:jc w:val="right"/>
        <w:rPr>
          <w:b/>
          <w:sz w:val="26"/>
          <w:szCs w:val="26"/>
        </w:rPr>
      </w:pPr>
      <w:r w:rsidRPr="00331723">
        <w:rPr>
          <w:b/>
          <w:sz w:val="26"/>
          <w:szCs w:val="26"/>
        </w:rPr>
        <w:t>Case No.:</w:t>
      </w:r>
      <w:r w:rsidR="00A727C6">
        <w:rPr>
          <w:b/>
          <w:sz w:val="26"/>
          <w:szCs w:val="26"/>
        </w:rPr>
        <w:t>8090</w:t>
      </w:r>
      <w:r w:rsidRPr="00331723">
        <w:rPr>
          <w:b/>
          <w:sz w:val="26"/>
          <w:szCs w:val="26"/>
        </w:rPr>
        <w:t>/202</w:t>
      </w:r>
      <w:r w:rsidR="00A727C6">
        <w:rPr>
          <w:b/>
          <w:sz w:val="26"/>
          <w:szCs w:val="26"/>
        </w:rPr>
        <w:t>0</w:t>
      </w:r>
    </w:p>
    <w:p w:rsidR="00DE0AD4" w:rsidRPr="00331723" w:rsidRDefault="00DE0AD4" w:rsidP="00DE0AD4">
      <w:pPr>
        <w:spacing w:line="276" w:lineRule="auto"/>
        <w:rPr>
          <w:sz w:val="26"/>
          <w:szCs w:val="26"/>
        </w:rPr>
      </w:pPr>
    </w:p>
    <w:p w:rsidR="00DE0AD4" w:rsidRPr="00331723" w:rsidRDefault="00DE0AD4" w:rsidP="00DE0AD4">
      <w:pPr>
        <w:spacing w:line="276" w:lineRule="auto"/>
        <w:rPr>
          <w:sz w:val="26"/>
          <w:szCs w:val="26"/>
        </w:rPr>
      </w:pPr>
      <w:r w:rsidRPr="00331723">
        <w:rPr>
          <w:sz w:val="26"/>
          <w:szCs w:val="26"/>
        </w:rPr>
        <w:t>In the matter between:</w:t>
      </w:r>
    </w:p>
    <w:p w:rsidR="00DE0AD4" w:rsidRPr="00331723" w:rsidRDefault="00DE0AD4" w:rsidP="00DE0AD4">
      <w:pPr>
        <w:spacing w:line="360" w:lineRule="auto"/>
        <w:rPr>
          <w:sz w:val="26"/>
          <w:szCs w:val="26"/>
        </w:rPr>
      </w:pPr>
    </w:p>
    <w:p w:rsidR="00DE0AD4" w:rsidRPr="00331723" w:rsidRDefault="00A727C6" w:rsidP="00DE0AD4">
      <w:pPr>
        <w:spacing w:line="276" w:lineRule="auto"/>
        <w:rPr>
          <w:sz w:val="26"/>
          <w:szCs w:val="26"/>
        </w:rPr>
      </w:pPr>
      <w:r>
        <w:rPr>
          <w:b/>
          <w:sz w:val="26"/>
          <w:szCs w:val="26"/>
        </w:rPr>
        <w:t>WARREN THOMPSON</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DE0AD4" w:rsidRPr="00331723">
        <w:rPr>
          <w:sz w:val="26"/>
          <w:szCs w:val="26"/>
        </w:rPr>
        <w:tab/>
        <w:t xml:space="preserve">                 Applicant</w:t>
      </w:r>
    </w:p>
    <w:p w:rsidR="00A727C6" w:rsidRDefault="00A727C6" w:rsidP="00DE0AD4">
      <w:pPr>
        <w:spacing w:line="360" w:lineRule="auto"/>
        <w:rPr>
          <w:sz w:val="26"/>
          <w:szCs w:val="26"/>
        </w:rPr>
      </w:pPr>
    </w:p>
    <w:p w:rsidR="00DE0AD4" w:rsidRPr="00331723" w:rsidRDefault="00DE0AD4" w:rsidP="00DE0AD4">
      <w:pPr>
        <w:spacing w:line="360" w:lineRule="auto"/>
        <w:rPr>
          <w:sz w:val="26"/>
          <w:szCs w:val="26"/>
        </w:rPr>
      </w:pPr>
      <w:r w:rsidRPr="00331723">
        <w:rPr>
          <w:sz w:val="26"/>
          <w:szCs w:val="26"/>
        </w:rPr>
        <w:t>and</w:t>
      </w:r>
    </w:p>
    <w:p w:rsidR="00DE0AD4" w:rsidRPr="00331723" w:rsidRDefault="00DE0AD4" w:rsidP="00DE0AD4">
      <w:pPr>
        <w:spacing w:line="360" w:lineRule="auto"/>
        <w:rPr>
          <w:b/>
          <w:sz w:val="26"/>
          <w:szCs w:val="26"/>
        </w:rPr>
      </w:pPr>
    </w:p>
    <w:p w:rsidR="00A727C6" w:rsidRDefault="00A727C6" w:rsidP="00DE0AD4">
      <w:pPr>
        <w:spacing w:line="276" w:lineRule="auto"/>
        <w:rPr>
          <w:b/>
          <w:sz w:val="26"/>
          <w:szCs w:val="26"/>
        </w:rPr>
      </w:pPr>
      <w:r>
        <w:rPr>
          <w:b/>
          <w:sz w:val="26"/>
          <w:szCs w:val="26"/>
        </w:rPr>
        <w:t>THE INFORMATION OFFICER: DEPARTMENT</w:t>
      </w:r>
    </w:p>
    <w:p w:rsidR="00DE0AD4" w:rsidRPr="00331723" w:rsidRDefault="00A727C6" w:rsidP="00DE0AD4">
      <w:pPr>
        <w:spacing w:line="276" w:lineRule="auto"/>
        <w:rPr>
          <w:sz w:val="26"/>
          <w:szCs w:val="26"/>
        </w:rPr>
      </w:pPr>
      <w:r>
        <w:rPr>
          <w:b/>
          <w:sz w:val="26"/>
          <w:szCs w:val="26"/>
        </w:rPr>
        <w:t>OF DEFENCE AND MILITARY VETERANS</w:t>
      </w:r>
      <w:r>
        <w:rPr>
          <w:b/>
          <w:sz w:val="26"/>
          <w:szCs w:val="26"/>
        </w:rPr>
        <w:tab/>
      </w:r>
      <w:r w:rsidR="00DE0AD4" w:rsidRPr="00331723">
        <w:rPr>
          <w:sz w:val="26"/>
          <w:szCs w:val="26"/>
        </w:rPr>
        <w:tab/>
      </w:r>
      <w:r w:rsidR="00DE0AD4" w:rsidRPr="00331723">
        <w:rPr>
          <w:sz w:val="26"/>
          <w:szCs w:val="26"/>
        </w:rPr>
        <w:tab/>
      </w:r>
      <w:r w:rsidR="00DE0AD4">
        <w:rPr>
          <w:sz w:val="26"/>
          <w:szCs w:val="26"/>
        </w:rPr>
        <w:t xml:space="preserve">     </w:t>
      </w:r>
      <w:r w:rsidR="00DE0AD4" w:rsidRPr="00331723">
        <w:rPr>
          <w:sz w:val="26"/>
          <w:szCs w:val="26"/>
        </w:rPr>
        <w:t xml:space="preserve"> First Respondent</w:t>
      </w:r>
    </w:p>
    <w:p w:rsidR="00DE0AD4" w:rsidRPr="00331723" w:rsidRDefault="00DE0AD4" w:rsidP="00DE0AD4">
      <w:pPr>
        <w:spacing w:line="360" w:lineRule="auto"/>
        <w:rPr>
          <w:sz w:val="26"/>
          <w:szCs w:val="26"/>
        </w:rPr>
      </w:pPr>
    </w:p>
    <w:p w:rsidR="00A727C6" w:rsidRDefault="00A727C6" w:rsidP="00DE0AD4">
      <w:pPr>
        <w:spacing w:line="276" w:lineRule="auto"/>
        <w:rPr>
          <w:b/>
          <w:sz w:val="26"/>
          <w:szCs w:val="26"/>
        </w:rPr>
      </w:pPr>
      <w:r>
        <w:rPr>
          <w:b/>
          <w:sz w:val="26"/>
          <w:szCs w:val="26"/>
        </w:rPr>
        <w:t>THE MINISTER OF DEFENCE AND MILITARY</w:t>
      </w:r>
    </w:p>
    <w:p w:rsidR="00DE0AD4" w:rsidRPr="00331723" w:rsidRDefault="00A727C6" w:rsidP="00DE0AD4">
      <w:pPr>
        <w:spacing w:line="276" w:lineRule="auto"/>
        <w:rPr>
          <w:sz w:val="26"/>
          <w:szCs w:val="26"/>
        </w:rPr>
      </w:pPr>
      <w:r>
        <w:rPr>
          <w:b/>
          <w:sz w:val="26"/>
          <w:szCs w:val="26"/>
        </w:rPr>
        <w:t>VETERANS</w:t>
      </w:r>
      <w:r>
        <w:rPr>
          <w:b/>
          <w:sz w:val="26"/>
          <w:szCs w:val="26"/>
        </w:rPr>
        <w:tab/>
      </w:r>
      <w:r w:rsidR="00DE0AD4" w:rsidRPr="00331723">
        <w:rPr>
          <w:b/>
          <w:sz w:val="26"/>
          <w:szCs w:val="26"/>
        </w:rPr>
        <w:tab/>
      </w:r>
      <w:r w:rsidR="00DE0AD4" w:rsidRPr="00331723">
        <w:rPr>
          <w:b/>
          <w:sz w:val="26"/>
          <w:szCs w:val="26"/>
        </w:rPr>
        <w:tab/>
      </w:r>
      <w:r w:rsidR="00DE0AD4" w:rsidRPr="00331723">
        <w:rPr>
          <w:b/>
          <w:sz w:val="26"/>
          <w:szCs w:val="26"/>
        </w:rPr>
        <w:tab/>
      </w:r>
      <w:r w:rsidR="00DE0AD4" w:rsidRPr="00331723">
        <w:rPr>
          <w:b/>
          <w:sz w:val="26"/>
          <w:szCs w:val="26"/>
        </w:rPr>
        <w:tab/>
      </w:r>
      <w:r w:rsidR="00DE0AD4" w:rsidRPr="00331723">
        <w:rPr>
          <w:b/>
          <w:sz w:val="26"/>
          <w:szCs w:val="26"/>
        </w:rPr>
        <w:tab/>
      </w:r>
      <w:r w:rsidR="00DE0AD4" w:rsidRPr="00331723">
        <w:rPr>
          <w:b/>
          <w:sz w:val="26"/>
          <w:szCs w:val="26"/>
        </w:rPr>
        <w:tab/>
      </w:r>
      <w:r w:rsidR="00DE0AD4" w:rsidRPr="00331723">
        <w:rPr>
          <w:b/>
          <w:sz w:val="26"/>
          <w:szCs w:val="26"/>
        </w:rPr>
        <w:tab/>
        <w:t xml:space="preserve">       </w:t>
      </w:r>
      <w:r w:rsidR="00DE0AD4">
        <w:rPr>
          <w:b/>
          <w:sz w:val="26"/>
          <w:szCs w:val="26"/>
        </w:rPr>
        <w:t xml:space="preserve">    </w:t>
      </w:r>
      <w:r w:rsidR="00DE0AD4" w:rsidRPr="00331723">
        <w:rPr>
          <w:b/>
          <w:sz w:val="26"/>
          <w:szCs w:val="26"/>
        </w:rPr>
        <w:t xml:space="preserve"> </w:t>
      </w:r>
      <w:r w:rsidR="00DE0AD4" w:rsidRPr="00331723">
        <w:rPr>
          <w:sz w:val="26"/>
          <w:szCs w:val="26"/>
        </w:rPr>
        <w:t>Second Respondent</w:t>
      </w:r>
    </w:p>
    <w:p w:rsidR="00DE0AD4" w:rsidRDefault="00DE0AD4" w:rsidP="00DE0AD4">
      <w:pPr>
        <w:spacing w:line="276" w:lineRule="auto"/>
        <w:rPr>
          <w:sz w:val="26"/>
          <w:szCs w:val="26"/>
        </w:rPr>
      </w:pPr>
      <w:r>
        <w:rPr>
          <w:sz w:val="26"/>
          <w:szCs w:val="26"/>
        </w:rPr>
        <w:t>________________________________________________________________________</w:t>
      </w:r>
    </w:p>
    <w:p w:rsidR="00DE0AD4" w:rsidRDefault="00DE0AD4" w:rsidP="00DE0AD4">
      <w:pPr>
        <w:jc w:val="center"/>
        <w:rPr>
          <w:b/>
          <w:sz w:val="26"/>
          <w:szCs w:val="26"/>
        </w:rPr>
      </w:pPr>
    </w:p>
    <w:p w:rsidR="00DE0AD4" w:rsidRDefault="00DE0AD4" w:rsidP="00DE0AD4">
      <w:pPr>
        <w:jc w:val="center"/>
        <w:rPr>
          <w:b/>
          <w:sz w:val="26"/>
          <w:szCs w:val="26"/>
        </w:rPr>
      </w:pPr>
      <w:r w:rsidRPr="00331723">
        <w:rPr>
          <w:b/>
          <w:sz w:val="26"/>
          <w:szCs w:val="26"/>
        </w:rPr>
        <w:t xml:space="preserve">JUDGMENT DELIVERED ELECTRONICALLY ON </w:t>
      </w:r>
      <w:r w:rsidR="0086008D">
        <w:rPr>
          <w:b/>
          <w:sz w:val="26"/>
          <w:szCs w:val="26"/>
        </w:rPr>
        <w:t>22</w:t>
      </w:r>
      <w:r w:rsidRPr="00331723">
        <w:rPr>
          <w:b/>
          <w:sz w:val="26"/>
          <w:szCs w:val="26"/>
        </w:rPr>
        <w:t xml:space="preserve"> </w:t>
      </w:r>
      <w:r w:rsidR="00A727C6">
        <w:rPr>
          <w:b/>
          <w:sz w:val="26"/>
          <w:szCs w:val="26"/>
        </w:rPr>
        <w:t>FEBRUARY</w:t>
      </w:r>
      <w:r w:rsidRPr="00331723">
        <w:rPr>
          <w:b/>
          <w:sz w:val="26"/>
          <w:szCs w:val="26"/>
        </w:rPr>
        <w:t xml:space="preserve"> 202</w:t>
      </w:r>
      <w:r w:rsidR="00A727C6">
        <w:rPr>
          <w:b/>
          <w:sz w:val="26"/>
          <w:szCs w:val="26"/>
        </w:rPr>
        <w:t>4</w:t>
      </w:r>
    </w:p>
    <w:p w:rsidR="00DE0AD4" w:rsidRPr="00331723" w:rsidRDefault="00DE0AD4" w:rsidP="00DE0AD4">
      <w:pPr>
        <w:rPr>
          <w:b/>
          <w:sz w:val="26"/>
          <w:szCs w:val="26"/>
        </w:rPr>
      </w:pPr>
      <w:r>
        <w:rPr>
          <w:b/>
          <w:sz w:val="26"/>
          <w:szCs w:val="26"/>
        </w:rPr>
        <w:t>________________________________________________________________________</w:t>
      </w:r>
    </w:p>
    <w:p w:rsidR="00DE0AD4" w:rsidRPr="0016044D" w:rsidRDefault="00DE0AD4" w:rsidP="00DE0AD4">
      <w:pPr>
        <w:spacing w:line="276" w:lineRule="auto"/>
        <w:rPr>
          <w:b/>
          <w:sz w:val="26"/>
          <w:szCs w:val="26"/>
          <w:u w:val="single"/>
        </w:rPr>
      </w:pPr>
      <w:r w:rsidRPr="0016044D">
        <w:rPr>
          <w:b/>
          <w:sz w:val="26"/>
          <w:szCs w:val="26"/>
          <w:u w:val="single"/>
        </w:rPr>
        <w:t>MANGCU-LOCKWOOD, J</w:t>
      </w:r>
    </w:p>
    <w:p w:rsidR="003B6323" w:rsidRPr="003B6323" w:rsidRDefault="003B6323" w:rsidP="006B1FCE">
      <w:pPr>
        <w:pStyle w:val="ListParagraph"/>
        <w:spacing w:line="480" w:lineRule="auto"/>
        <w:ind w:left="0"/>
        <w:jc w:val="both"/>
      </w:pPr>
    </w:p>
    <w:p w:rsidR="003B6323" w:rsidRPr="000A24D5" w:rsidRDefault="000A24D5" w:rsidP="000A24D5">
      <w:pPr>
        <w:spacing w:line="360" w:lineRule="auto"/>
        <w:ind w:left="720" w:hanging="720"/>
        <w:jc w:val="both"/>
        <w:rPr>
          <w:sz w:val="26"/>
          <w:szCs w:val="26"/>
        </w:rPr>
      </w:pPr>
      <w:r w:rsidRPr="00224D2B">
        <w:rPr>
          <w:b/>
          <w:sz w:val="26"/>
          <w:szCs w:val="26"/>
        </w:rPr>
        <w:t>A.</w:t>
      </w:r>
      <w:r w:rsidRPr="00224D2B">
        <w:rPr>
          <w:b/>
          <w:sz w:val="26"/>
          <w:szCs w:val="26"/>
        </w:rPr>
        <w:tab/>
      </w:r>
      <w:r w:rsidR="003B6323" w:rsidRPr="000A24D5">
        <w:rPr>
          <w:b/>
          <w:sz w:val="26"/>
          <w:szCs w:val="26"/>
          <w:u w:val="single"/>
        </w:rPr>
        <w:t>INTRODUCTION</w:t>
      </w:r>
    </w:p>
    <w:p w:rsidR="00777B54" w:rsidRPr="000A24D5" w:rsidRDefault="000A24D5" w:rsidP="000A24D5">
      <w:pPr>
        <w:spacing w:line="360" w:lineRule="auto"/>
        <w:ind w:firstLine="142"/>
        <w:jc w:val="both"/>
        <w:rPr>
          <w:sz w:val="26"/>
          <w:szCs w:val="26"/>
        </w:rPr>
      </w:pPr>
      <w:r w:rsidRPr="00224D2B">
        <w:rPr>
          <w:sz w:val="26"/>
          <w:szCs w:val="26"/>
        </w:rPr>
        <w:t>[1]</w:t>
      </w:r>
      <w:r w:rsidRPr="00224D2B">
        <w:rPr>
          <w:sz w:val="26"/>
          <w:szCs w:val="26"/>
        </w:rPr>
        <w:tab/>
      </w:r>
      <w:r w:rsidR="00B230A7" w:rsidRPr="000A24D5">
        <w:rPr>
          <w:sz w:val="26"/>
          <w:szCs w:val="26"/>
        </w:rPr>
        <w:t xml:space="preserve">The applicant seeks </w:t>
      </w:r>
      <w:r w:rsidR="00694166" w:rsidRPr="000A24D5">
        <w:rPr>
          <w:sz w:val="26"/>
          <w:szCs w:val="26"/>
        </w:rPr>
        <w:t>the</w:t>
      </w:r>
      <w:r w:rsidR="00B230A7" w:rsidRPr="000A24D5">
        <w:rPr>
          <w:sz w:val="26"/>
          <w:szCs w:val="26"/>
        </w:rPr>
        <w:t xml:space="preserve"> review and setting aside</w:t>
      </w:r>
      <w:r w:rsidR="00EF3801" w:rsidRPr="000A24D5">
        <w:rPr>
          <w:sz w:val="26"/>
          <w:szCs w:val="26"/>
        </w:rPr>
        <w:t xml:space="preserve"> of </w:t>
      </w:r>
      <w:r w:rsidR="00694166" w:rsidRPr="000A24D5">
        <w:rPr>
          <w:sz w:val="26"/>
          <w:szCs w:val="26"/>
        </w:rPr>
        <w:t xml:space="preserve">the </w:t>
      </w:r>
      <w:r w:rsidR="00EF3801" w:rsidRPr="000A24D5">
        <w:rPr>
          <w:sz w:val="26"/>
          <w:szCs w:val="26"/>
        </w:rPr>
        <w:t xml:space="preserve">first </w:t>
      </w:r>
      <w:r w:rsidR="00B230A7" w:rsidRPr="000A24D5">
        <w:rPr>
          <w:sz w:val="26"/>
          <w:szCs w:val="26"/>
        </w:rPr>
        <w:t>respondent’s decision to refuse his request for access to information</w:t>
      </w:r>
      <w:r w:rsidR="00694166" w:rsidRPr="000A24D5">
        <w:rPr>
          <w:sz w:val="26"/>
          <w:szCs w:val="26"/>
        </w:rPr>
        <w:t xml:space="preserve"> which was made in terms of the Promotion of Access to Information Act 2 of 2000 (</w:t>
      </w:r>
      <w:r w:rsidR="00694166" w:rsidRPr="000A24D5">
        <w:rPr>
          <w:i/>
          <w:iCs/>
          <w:sz w:val="26"/>
          <w:szCs w:val="26"/>
        </w:rPr>
        <w:t>“the PAIA”</w:t>
      </w:r>
      <w:r w:rsidR="00694166" w:rsidRPr="000A24D5">
        <w:rPr>
          <w:sz w:val="26"/>
          <w:szCs w:val="26"/>
        </w:rPr>
        <w:t>)</w:t>
      </w:r>
      <w:r w:rsidR="00B230A7" w:rsidRPr="000A24D5">
        <w:rPr>
          <w:sz w:val="26"/>
          <w:szCs w:val="26"/>
        </w:rPr>
        <w:t xml:space="preserve">, as well as </w:t>
      </w:r>
      <w:r w:rsidR="00E61C04" w:rsidRPr="000A24D5">
        <w:rPr>
          <w:sz w:val="26"/>
          <w:szCs w:val="26"/>
        </w:rPr>
        <w:t>the</w:t>
      </w:r>
      <w:r w:rsidR="00EF3801" w:rsidRPr="000A24D5">
        <w:rPr>
          <w:sz w:val="26"/>
          <w:szCs w:val="26"/>
        </w:rPr>
        <w:t xml:space="preserve"> review and setting aside of the second respondent</w:t>
      </w:r>
      <w:r w:rsidR="00B230A7" w:rsidRPr="000A24D5">
        <w:rPr>
          <w:sz w:val="26"/>
          <w:szCs w:val="26"/>
        </w:rPr>
        <w:t>’s</w:t>
      </w:r>
      <w:r w:rsidR="00EF3801" w:rsidRPr="000A24D5">
        <w:rPr>
          <w:sz w:val="26"/>
          <w:szCs w:val="26"/>
        </w:rPr>
        <w:t xml:space="preserve"> </w:t>
      </w:r>
      <w:r w:rsidR="00694166" w:rsidRPr="000A24D5">
        <w:rPr>
          <w:sz w:val="26"/>
          <w:szCs w:val="26"/>
        </w:rPr>
        <w:t>(</w:t>
      </w:r>
      <w:r w:rsidR="00694166" w:rsidRPr="000A24D5">
        <w:rPr>
          <w:i/>
          <w:iCs/>
          <w:sz w:val="26"/>
          <w:szCs w:val="26"/>
        </w:rPr>
        <w:t>“the Minister’s”</w:t>
      </w:r>
      <w:r w:rsidR="00694166" w:rsidRPr="000A24D5">
        <w:rPr>
          <w:sz w:val="26"/>
          <w:szCs w:val="26"/>
        </w:rPr>
        <w:t xml:space="preserve">) </w:t>
      </w:r>
      <w:r w:rsidR="00EF3801" w:rsidRPr="000A24D5">
        <w:rPr>
          <w:sz w:val="26"/>
          <w:szCs w:val="26"/>
        </w:rPr>
        <w:t>decision</w:t>
      </w:r>
      <w:r w:rsidR="00B230A7" w:rsidRPr="000A24D5">
        <w:rPr>
          <w:sz w:val="26"/>
          <w:szCs w:val="26"/>
        </w:rPr>
        <w:t xml:space="preserve"> to dismiss his appeal against </w:t>
      </w:r>
      <w:r w:rsidR="00B230A7" w:rsidRPr="000A24D5">
        <w:rPr>
          <w:sz w:val="26"/>
          <w:szCs w:val="26"/>
        </w:rPr>
        <w:lastRenderedPageBreak/>
        <w:t xml:space="preserve">the </w:t>
      </w:r>
      <w:r w:rsidR="00E61C04" w:rsidRPr="000A24D5">
        <w:rPr>
          <w:sz w:val="26"/>
          <w:szCs w:val="26"/>
        </w:rPr>
        <w:t xml:space="preserve">first respondent’s </w:t>
      </w:r>
      <w:r w:rsidR="00B230A7" w:rsidRPr="000A24D5">
        <w:rPr>
          <w:sz w:val="26"/>
          <w:szCs w:val="26"/>
        </w:rPr>
        <w:t>refusal</w:t>
      </w:r>
      <w:r w:rsidR="00694166" w:rsidRPr="000A24D5">
        <w:rPr>
          <w:sz w:val="26"/>
          <w:szCs w:val="26"/>
        </w:rPr>
        <w:t xml:space="preserve"> (</w:t>
      </w:r>
      <w:r w:rsidR="00694166" w:rsidRPr="000A24D5">
        <w:rPr>
          <w:i/>
          <w:iCs/>
          <w:sz w:val="26"/>
          <w:szCs w:val="26"/>
        </w:rPr>
        <w:t>“the internal appeal”</w:t>
      </w:r>
      <w:r w:rsidR="00694166" w:rsidRPr="000A24D5">
        <w:rPr>
          <w:sz w:val="26"/>
          <w:szCs w:val="26"/>
        </w:rPr>
        <w:t>)</w:t>
      </w:r>
      <w:r w:rsidR="00EF3801" w:rsidRPr="000A24D5">
        <w:rPr>
          <w:sz w:val="26"/>
          <w:szCs w:val="26"/>
        </w:rPr>
        <w:t>.</w:t>
      </w:r>
      <w:r w:rsidR="00B230A7" w:rsidRPr="000A24D5">
        <w:rPr>
          <w:sz w:val="26"/>
          <w:szCs w:val="26"/>
        </w:rPr>
        <w:t xml:space="preserve"> </w:t>
      </w:r>
      <w:r w:rsidR="00694166" w:rsidRPr="000A24D5">
        <w:rPr>
          <w:sz w:val="26"/>
          <w:szCs w:val="26"/>
        </w:rPr>
        <w:t xml:space="preserve"> He also</w:t>
      </w:r>
      <w:r w:rsidR="00847F3F" w:rsidRPr="000A24D5">
        <w:rPr>
          <w:sz w:val="26"/>
          <w:szCs w:val="26"/>
        </w:rPr>
        <w:t xml:space="preserve"> seeks a</w:t>
      </w:r>
      <w:r w:rsidR="00EF3801" w:rsidRPr="000A24D5">
        <w:rPr>
          <w:sz w:val="26"/>
          <w:szCs w:val="26"/>
        </w:rPr>
        <w:t>n ord</w:t>
      </w:r>
      <w:r w:rsidR="00847F3F" w:rsidRPr="000A24D5">
        <w:rPr>
          <w:sz w:val="26"/>
          <w:szCs w:val="26"/>
        </w:rPr>
        <w:t>er directing the</w:t>
      </w:r>
      <w:r w:rsidR="00EF3801" w:rsidRPr="000A24D5">
        <w:rPr>
          <w:sz w:val="26"/>
          <w:szCs w:val="26"/>
        </w:rPr>
        <w:t xml:space="preserve"> </w:t>
      </w:r>
      <w:r w:rsidR="00694166" w:rsidRPr="000A24D5">
        <w:rPr>
          <w:sz w:val="26"/>
          <w:szCs w:val="26"/>
        </w:rPr>
        <w:t>Minister</w:t>
      </w:r>
      <w:r w:rsidR="00847F3F" w:rsidRPr="000A24D5">
        <w:rPr>
          <w:sz w:val="26"/>
          <w:szCs w:val="26"/>
        </w:rPr>
        <w:t xml:space="preserve"> </w:t>
      </w:r>
      <w:r w:rsidR="00EF3801" w:rsidRPr="000A24D5">
        <w:rPr>
          <w:sz w:val="26"/>
          <w:szCs w:val="26"/>
        </w:rPr>
        <w:t xml:space="preserve">to provide the </w:t>
      </w:r>
      <w:r w:rsidR="00694166" w:rsidRPr="000A24D5">
        <w:rPr>
          <w:sz w:val="26"/>
          <w:szCs w:val="26"/>
        </w:rPr>
        <w:t xml:space="preserve">requested </w:t>
      </w:r>
      <w:r w:rsidR="00EF3801" w:rsidRPr="000A24D5">
        <w:rPr>
          <w:sz w:val="26"/>
          <w:szCs w:val="26"/>
        </w:rPr>
        <w:t>info</w:t>
      </w:r>
      <w:r w:rsidR="00847F3F" w:rsidRPr="000A24D5">
        <w:rPr>
          <w:sz w:val="26"/>
          <w:szCs w:val="26"/>
        </w:rPr>
        <w:t xml:space="preserve">rmation </w:t>
      </w:r>
      <w:r w:rsidR="00777B54" w:rsidRPr="000A24D5">
        <w:rPr>
          <w:sz w:val="26"/>
          <w:szCs w:val="26"/>
        </w:rPr>
        <w:t>within ten days</w:t>
      </w:r>
      <w:r w:rsidR="00EF3801" w:rsidRPr="000A24D5">
        <w:rPr>
          <w:sz w:val="26"/>
          <w:szCs w:val="26"/>
        </w:rPr>
        <w:t>.</w:t>
      </w:r>
      <w:r w:rsidR="00977117" w:rsidRPr="000A24D5">
        <w:rPr>
          <w:sz w:val="26"/>
          <w:szCs w:val="26"/>
        </w:rPr>
        <w:t xml:space="preserve"> </w:t>
      </w:r>
      <w:r w:rsidR="00777B54" w:rsidRPr="000A24D5">
        <w:rPr>
          <w:sz w:val="26"/>
          <w:szCs w:val="26"/>
        </w:rPr>
        <w:t xml:space="preserve"> </w:t>
      </w:r>
    </w:p>
    <w:p w:rsidR="00777B54" w:rsidRPr="00224D2B" w:rsidRDefault="00777B54" w:rsidP="006B1FCE">
      <w:pPr>
        <w:pStyle w:val="ListParagraph"/>
        <w:spacing w:line="360" w:lineRule="auto"/>
        <w:ind w:left="567" w:firstLine="142"/>
        <w:jc w:val="both"/>
        <w:rPr>
          <w:sz w:val="26"/>
          <w:szCs w:val="26"/>
        </w:rPr>
      </w:pPr>
    </w:p>
    <w:p w:rsidR="00A56E44" w:rsidRPr="000A24D5" w:rsidRDefault="000A24D5" w:rsidP="000A24D5">
      <w:pPr>
        <w:spacing w:line="360" w:lineRule="auto"/>
        <w:ind w:firstLine="142"/>
        <w:jc w:val="both"/>
        <w:rPr>
          <w:sz w:val="26"/>
          <w:szCs w:val="26"/>
        </w:rPr>
      </w:pPr>
      <w:r w:rsidRPr="00224D2B">
        <w:rPr>
          <w:sz w:val="26"/>
          <w:szCs w:val="26"/>
        </w:rPr>
        <w:t>[2]</w:t>
      </w:r>
      <w:r w:rsidRPr="00224D2B">
        <w:rPr>
          <w:sz w:val="26"/>
          <w:szCs w:val="26"/>
        </w:rPr>
        <w:tab/>
      </w:r>
      <w:r w:rsidR="009C5FFA" w:rsidRPr="000A24D5">
        <w:rPr>
          <w:sz w:val="26"/>
          <w:szCs w:val="26"/>
        </w:rPr>
        <w:t>This is</w:t>
      </w:r>
      <w:r w:rsidR="00977117" w:rsidRPr="000A24D5">
        <w:rPr>
          <w:sz w:val="26"/>
          <w:szCs w:val="26"/>
        </w:rPr>
        <w:t xml:space="preserve"> </w:t>
      </w:r>
      <w:r w:rsidR="009C5FFA" w:rsidRPr="000A24D5">
        <w:rPr>
          <w:sz w:val="26"/>
          <w:szCs w:val="26"/>
        </w:rPr>
        <w:t>part B of the proceedings launched b</w:t>
      </w:r>
      <w:r w:rsidR="00977117" w:rsidRPr="000A24D5">
        <w:rPr>
          <w:sz w:val="26"/>
          <w:szCs w:val="26"/>
        </w:rPr>
        <w:t>y the</w:t>
      </w:r>
      <w:r w:rsidR="009C5FFA" w:rsidRPr="000A24D5">
        <w:rPr>
          <w:sz w:val="26"/>
          <w:szCs w:val="26"/>
        </w:rPr>
        <w:t xml:space="preserve"> applicant.</w:t>
      </w:r>
      <w:r w:rsidR="00977117" w:rsidRPr="000A24D5">
        <w:rPr>
          <w:sz w:val="26"/>
          <w:szCs w:val="26"/>
        </w:rPr>
        <w:t xml:space="preserve"> </w:t>
      </w:r>
      <w:r w:rsidR="00694166" w:rsidRPr="000A24D5">
        <w:rPr>
          <w:sz w:val="26"/>
          <w:szCs w:val="26"/>
        </w:rPr>
        <w:t xml:space="preserve"> The outcome of </w:t>
      </w:r>
      <w:r w:rsidR="00977117" w:rsidRPr="000A24D5">
        <w:rPr>
          <w:sz w:val="26"/>
          <w:szCs w:val="26"/>
        </w:rPr>
        <w:t xml:space="preserve">Part </w:t>
      </w:r>
      <w:r w:rsidR="009C5FFA" w:rsidRPr="000A24D5">
        <w:rPr>
          <w:sz w:val="26"/>
          <w:szCs w:val="26"/>
        </w:rPr>
        <w:t>A</w:t>
      </w:r>
      <w:r w:rsidR="00977117" w:rsidRPr="000A24D5">
        <w:rPr>
          <w:sz w:val="26"/>
          <w:szCs w:val="26"/>
        </w:rPr>
        <w:t xml:space="preserve"> </w:t>
      </w:r>
      <w:r w:rsidR="00694166" w:rsidRPr="000A24D5">
        <w:rPr>
          <w:sz w:val="26"/>
          <w:szCs w:val="26"/>
        </w:rPr>
        <w:t xml:space="preserve">is recorded in a </w:t>
      </w:r>
      <w:r w:rsidR="00977117" w:rsidRPr="000A24D5">
        <w:rPr>
          <w:sz w:val="26"/>
          <w:szCs w:val="26"/>
        </w:rPr>
        <w:t xml:space="preserve">judgment </w:t>
      </w:r>
      <w:r w:rsidR="00694166" w:rsidRPr="000A24D5">
        <w:rPr>
          <w:sz w:val="26"/>
          <w:szCs w:val="26"/>
        </w:rPr>
        <w:t xml:space="preserve">of my brother, Dolamo J, dated </w:t>
      </w:r>
      <w:r w:rsidR="00977117" w:rsidRPr="000A24D5">
        <w:rPr>
          <w:sz w:val="26"/>
          <w:szCs w:val="26"/>
        </w:rPr>
        <w:t>21 December 20</w:t>
      </w:r>
      <w:r w:rsidR="00BC62E9" w:rsidRPr="000A24D5">
        <w:rPr>
          <w:sz w:val="26"/>
          <w:szCs w:val="26"/>
        </w:rPr>
        <w:t>20</w:t>
      </w:r>
      <w:r w:rsidR="00694166" w:rsidRPr="000A24D5">
        <w:rPr>
          <w:sz w:val="26"/>
          <w:szCs w:val="26"/>
        </w:rPr>
        <w:t xml:space="preserve"> (</w:t>
      </w:r>
      <w:r w:rsidR="00694166" w:rsidRPr="000A24D5">
        <w:rPr>
          <w:i/>
          <w:iCs/>
          <w:sz w:val="26"/>
          <w:szCs w:val="26"/>
        </w:rPr>
        <w:t>“the Part A judgment”</w:t>
      </w:r>
      <w:r w:rsidR="00694166" w:rsidRPr="000A24D5">
        <w:rPr>
          <w:sz w:val="26"/>
          <w:szCs w:val="26"/>
        </w:rPr>
        <w:t xml:space="preserve">), in terms of which </w:t>
      </w:r>
      <w:r w:rsidR="00B24791" w:rsidRPr="000A24D5">
        <w:rPr>
          <w:sz w:val="26"/>
          <w:szCs w:val="26"/>
        </w:rPr>
        <w:t xml:space="preserve">the </w:t>
      </w:r>
      <w:r w:rsidR="00977117" w:rsidRPr="000A24D5">
        <w:rPr>
          <w:sz w:val="26"/>
          <w:szCs w:val="26"/>
        </w:rPr>
        <w:t>M</w:t>
      </w:r>
      <w:r w:rsidR="00B24791" w:rsidRPr="000A24D5">
        <w:rPr>
          <w:sz w:val="26"/>
          <w:szCs w:val="26"/>
        </w:rPr>
        <w:t>inister</w:t>
      </w:r>
      <w:r w:rsidR="00977117" w:rsidRPr="000A24D5">
        <w:rPr>
          <w:sz w:val="26"/>
          <w:szCs w:val="26"/>
        </w:rPr>
        <w:t xml:space="preserve"> was ordered to comply</w:t>
      </w:r>
      <w:r w:rsidR="00B24791" w:rsidRPr="000A24D5">
        <w:rPr>
          <w:sz w:val="26"/>
          <w:szCs w:val="26"/>
        </w:rPr>
        <w:t xml:space="preserve"> with s</w:t>
      </w:r>
      <w:r w:rsidR="00977117" w:rsidRPr="000A24D5">
        <w:rPr>
          <w:sz w:val="26"/>
          <w:szCs w:val="26"/>
        </w:rPr>
        <w:t>ection</w:t>
      </w:r>
      <w:r w:rsidR="00B24791" w:rsidRPr="000A24D5">
        <w:rPr>
          <w:sz w:val="26"/>
          <w:szCs w:val="26"/>
        </w:rPr>
        <w:t>s</w:t>
      </w:r>
      <w:r w:rsidR="00977117" w:rsidRPr="000A24D5">
        <w:rPr>
          <w:sz w:val="26"/>
          <w:szCs w:val="26"/>
        </w:rPr>
        <w:t xml:space="preserve"> 3 and 77</w:t>
      </w:r>
      <w:r w:rsidR="00B24791" w:rsidRPr="000A24D5">
        <w:rPr>
          <w:sz w:val="26"/>
          <w:szCs w:val="26"/>
        </w:rPr>
        <w:t>(5)(a) of PAIA</w:t>
      </w:r>
      <w:r w:rsidR="00977117" w:rsidRPr="000A24D5">
        <w:rPr>
          <w:sz w:val="26"/>
          <w:szCs w:val="26"/>
        </w:rPr>
        <w:t xml:space="preserve"> by</w:t>
      </w:r>
      <w:r w:rsidR="00B24791" w:rsidRPr="000A24D5">
        <w:rPr>
          <w:sz w:val="26"/>
          <w:szCs w:val="26"/>
        </w:rPr>
        <w:t xml:space="preserve"> giving</w:t>
      </w:r>
      <w:r w:rsidR="00977117" w:rsidRPr="000A24D5">
        <w:rPr>
          <w:sz w:val="26"/>
          <w:szCs w:val="26"/>
        </w:rPr>
        <w:t xml:space="preserve"> adequate reasons for her decision to dismiss</w:t>
      </w:r>
      <w:r w:rsidR="00926351" w:rsidRPr="000A24D5">
        <w:rPr>
          <w:sz w:val="26"/>
          <w:szCs w:val="26"/>
        </w:rPr>
        <w:t xml:space="preserve"> the</w:t>
      </w:r>
      <w:r w:rsidR="00977117" w:rsidRPr="000A24D5">
        <w:rPr>
          <w:sz w:val="26"/>
          <w:szCs w:val="26"/>
        </w:rPr>
        <w:t xml:space="preserve"> </w:t>
      </w:r>
      <w:r w:rsidR="00926351" w:rsidRPr="000A24D5">
        <w:rPr>
          <w:sz w:val="26"/>
          <w:szCs w:val="26"/>
        </w:rPr>
        <w:t>i</w:t>
      </w:r>
      <w:r w:rsidR="00977117" w:rsidRPr="000A24D5">
        <w:rPr>
          <w:sz w:val="26"/>
          <w:szCs w:val="26"/>
        </w:rPr>
        <w:t>nternal appeal</w:t>
      </w:r>
      <w:r w:rsidR="00694166" w:rsidRPr="000A24D5">
        <w:rPr>
          <w:sz w:val="26"/>
          <w:szCs w:val="26"/>
        </w:rPr>
        <w:t>,</w:t>
      </w:r>
      <w:r w:rsidR="00977117" w:rsidRPr="000A24D5">
        <w:rPr>
          <w:sz w:val="26"/>
          <w:szCs w:val="26"/>
        </w:rPr>
        <w:t xml:space="preserve"> and </w:t>
      </w:r>
      <w:r w:rsidR="00926351" w:rsidRPr="000A24D5">
        <w:rPr>
          <w:sz w:val="26"/>
          <w:szCs w:val="26"/>
        </w:rPr>
        <w:t>b</w:t>
      </w:r>
      <w:r w:rsidR="00977117" w:rsidRPr="000A24D5">
        <w:rPr>
          <w:sz w:val="26"/>
          <w:szCs w:val="26"/>
        </w:rPr>
        <w:t xml:space="preserve">y providing a copy of this application to all other parties affected </w:t>
      </w:r>
      <w:r w:rsidR="00A56E44" w:rsidRPr="000A24D5">
        <w:rPr>
          <w:sz w:val="26"/>
          <w:szCs w:val="26"/>
        </w:rPr>
        <w:t>b</w:t>
      </w:r>
      <w:r w:rsidR="00977117" w:rsidRPr="000A24D5">
        <w:rPr>
          <w:sz w:val="26"/>
          <w:szCs w:val="26"/>
        </w:rPr>
        <w:t xml:space="preserve">y the </w:t>
      </w:r>
      <w:r w:rsidR="00694166" w:rsidRPr="000A24D5">
        <w:rPr>
          <w:sz w:val="26"/>
          <w:szCs w:val="26"/>
        </w:rPr>
        <w:t xml:space="preserve">PAIA </w:t>
      </w:r>
      <w:r w:rsidR="00977117" w:rsidRPr="000A24D5">
        <w:rPr>
          <w:sz w:val="26"/>
          <w:szCs w:val="26"/>
        </w:rPr>
        <w:t>application</w:t>
      </w:r>
      <w:r w:rsidR="0055168D" w:rsidRPr="000A24D5">
        <w:rPr>
          <w:sz w:val="26"/>
          <w:szCs w:val="26"/>
        </w:rPr>
        <w:t xml:space="preserve"> as required </w:t>
      </w:r>
      <w:r w:rsidR="00977117" w:rsidRPr="000A24D5">
        <w:rPr>
          <w:sz w:val="26"/>
          <w:szCs w:val="26"/>
        </w:rPr>
        <w:t>in terms of section 3</w:t>
      </w:r>
      <w:r w:rsidR="00A56E44" w:rsidRPr="000A24D5">
        <w:rPr>
          <w:sz w:val="26"/>
          <w:szCs w:val="26"/>
        </w:rPr>
        <w:t xml:space="preserve">(4) of </w:t>
      </w:r>
      <w:r w:rsidR="00977117" w:rsidRPr="000A24D5">
        <w:rPr>
          <w:sz w:val="26"/>
          <w:szCs w:val="26"/>
        </w:rPr>
        <w:t>the Promotion of Access to Information Rules and Administrative Review Rules, 2019</w:t>
      </w:r>
      <w:r w:rsidR="008B5F91" w:rsidRPr="000A24D5">
        <w:rPr>
          <w:sz w:val="26"/>
          <w:szCs w:val="26"/>
        </w:rPr>
        <w:t xml:space="preserve"> </w:t>
      </w:r>
      <w:r w:rsidR="00A56E44" w:rsidRPr="000A24D5">
        <w:rPr>
          <w:sz w:val="26"/>
          <w:szCs w:val="26"/>
        </w:rPr>
        <w:t>(</w:t>
      </w:r>
      <w:r w:rsidR="00A56E44" w:rsidRPr="000A24D5">
        <w:rPr>
          <w:i/>
          <w:iCs/>
          <w:sz w:val="26"/>
          <w:szCs w:val="26"/>
        </w:rPr>
        <w:t>“</w:t>
      </w:r>
      <w:r w:rsidR="00694166" w:rsidRPr="000A24D5">
        <w:rPr>
          <w:i/>
          <w:iCs/>
          <w:sz w:val="26"/>
          <w:szCs w:val="26"/>
        </w:rPr>
        <w:t xml:space="preserve">the </w:t>
      </w:r>
      <w:r w:rsidR="00A56E44" w:rsidRPr="000A24D5">
        <w:rPr>
          <w:i/>
          <w:iCs/>
          <w:sz w:val="26"/>
          <w:szCs w:val="26"/>
        </w:rPr>
        <w:t xml:space="preserve">PAIA </w:t>
      </w:r>
      <w:r w:rsidR="00694166" w:rsidRPr="000A24D5">
        <w:rPr>
          <w:i/>
          <w:iCs/>
          <w:sz w:val="26"/>
          <w:szCs w:val="26"/>
        </w:rPr>
        <w:t>R</w:t>
      </w:r>
      <w:r w:rsidR="00A56E44" w:rsidRPr="000A24D5">
        <w:rPr>
          <w:i/>
          <w:iCs/>
          <w:sz w:val="26"/>
          <w:szCs w:val="26"/>
        </w:rPr>
        <w:t>ules”</w:t>
      </w:r>
      <w:r w:rsidR="00A56E44" w:rsidRPr="000A24D5">
        <w:rPr>
          <w:sz w:val="26"/>
          <w:szCs w:val="26"/>
        </w:rPr>
        <w:t>).</w:t>
      </w:r>
    </w:p>
    <w:p w:rsidR="009873CB" w:rsidRPr="00224D2B" w:rsidRDefault="009873CB" w:rsidP="009873CB">
      <w:pPr>
        <w:spacing w:line="360" w:lineRule="auto"/>
        <w:jc w:val="both"/>
        <w:rPr>
          <w:sz w:val="26"/>
          <w:szCs w:val="26"/>
        </w:rPr>
      </w:pPr>
    </w:p>
    <w:p w:rsidR="00A56E44" w:rsidRPr="000A24D5" w:rsidRDefault="000A24D5" w:rsidP="000A24D5">
      <w:pPr>
        <w:spacing w:line="360" w:lineRule="auto"/>
        <w:ind w:left="720" w:hanging="720"/>
        <w:jc w:val="both"/>
        <w:rPr>
          <w:b/>
          <w:bCs/>
          <w:sz w:val="26"/>
          <w:szCs w:val="26"/>
          <w:u w:val="single"/>
        </w:rPr>
      </w:pPr>
      <w:r w:rsidRPr="00224D2B">
        <w:rPr>
          <w:b/>
          <w:bCs/>
          <w:sz w:val="26"/>
          <w:szCs w:val="26"/>
        </w:rPr>
        <w:t>B.</w:t>
      </w:r>
      <w:r w:rsidRPr="00224D2B">
        <w:rPr>
          <w:b/>
          <w:bCs/>
          <w:sz w:val="26"/>
          <w:szCs w:val="26"/>
        </w:rPr>
        <w:tab/>
      </w:r>
      <w:r w:rsidR="009873CB" w:rsidRPr="000A24D5">
        <w:rPr>
          <w:b/>
          <w:bCs/>
          <w:sz w:val="26"/>
          <w:szCs w:val="26"/>
          <w:u w:val="single"/>
        </w:rPr>
        <w:t>THE FACTS</w:t>
      </w:r>
    </w:p>
    <w:p w:rsidR="00914663" w:rsidRPr="000A24D5" w:rsidRDefault="000A24D5" w:rsidP="000A24D5">
      <w:pPr>
        <w:spacing w:line="360" w:lineRule="auto"/>
        <w:ind w:firstLine="142"/>
        <w:jc w:val="both"/>
        <w:rPr>
          <w:sz w:val="26"/>
          <w:szCs w:val="26"/>
        </w:rPr>
      </w:pPr>
      <w:r w:rsidRPr="00224D2B">
        <w:rPr>
          <w:sz w:val="26"/>
          <w:szCs w:val="26"/>
        </w:rPr>
        <w:t>[3]</w:t>
      </w:r>
      <w:r w:rsidRPr="00224D2B">
        <w:rPr>
          <w:sz w:val="26"/>
          <w:szCs w:val="26"/>
        </w:rPr>
        <w:tab/>
      </w:r>
      <w:r w:rsidR="00914663" w:rsidRPr="000A24D5">
        <w:rPr>
          <w:sz w:val="26"/>
          <w:szCs w:val="26"/>
        </w:rPr>
        <w:t>The information that is at the centre of the PAIA request relates to the outcome of a Board of Inquiry (</w:t>
      </w:r>
      <w:r w:rsidR="00914663" w:rsidRPr="000A24D5">
        <w:rPr>
          <w:i/>
          <w:iCs/>
          <w:sz w:val="26"/>
          <w:szCs w:val="26"/>
        </w:rPr>
        <w:t>“the BOI”</w:t>
      </w:r>
      <w:r w:rsidR="00914663" w:rsidRPr="000A24D5">
        <w:rPr>
          <w:sz w:val="26"/>
          <w:szCs w:val="26"/>
        </w:rPr>
        <w:t>) conducted by the Department of Defence (</w:t>
      </w:r>
      <w:r w:rsidR="00914663" w:rsidRPr="000A24D5">
        <w:rPr>
          <w:i/>
          <w:iCs/>
          <w:sz w:val="26"/>
          <w:szCs w:val="26"/>
        </w:rPr>
        <w:t>“the Department”</w:t>
      </w:r>
      <w:r w:rsidR="00914663" w:rsidRPr="000A24D5">
        <w:rPr>
          <w:sz w:val="26"/>
          <w:szCs w:val="26"/>
        </w:rPr>
        <w:t>) in the aftermath of the Battle of Bangui which took place in the Central African Republic (</w:t>
      </w:r>
      <w:r w:rsidR="00914663" w:rsidRPr="000A24D5">
        <w:rPr>
          <w:i/>
          <w:iCs/>
          <w:sz w:val="26"/>
          <w:szCs w:val="26"/>
        </w:rPr>
        <w:t>“the CAR”</w:t>
      </w:r>
      <w:r w:rsidR="00914663" w:rsidRPr="000A24D5">
        <w:rPr>
          <w:sz w:val="26"/>
          <w:szCs w:val="26"/>
        </w:rPr>
        <w:t>) between 22 and 24 March 2013. The Battle involved troops of the South African National Defence Force (</w:t>
      </w:r>
      <w:r w:rsidR="00914663" w:rsidRPr="000A24D5">
        <w:rPr>
          <w:i/>
          <w:iCs/>
          <w:sz w:val="26"/>
          <w:szCs w:val="26"/>
        </w:rPr>
        <w:t>“SANDF”</w:t>
      </w:r>
      <w:r w:rsidR="00914663" w:rsidRPr="000A24D5">
        <w:rPr>
          <w:sz w:val="26"/>
          <w:szCs w:val="26"/>
        </w:rPr>
        <w:t xml:space="preserve">), including a contingent of Special Forces, and a grouping of CAR rebel forces who fought collectively under the name </w:t>
      </w:r>
      <w:r w:rsidR="0086008D" w:rsidRPr="000A24D5">
        <w:rPr>
          <w:sz w:val="26"/>
          <w:szCs w:val="26"/>
        </w:rPr>
        <w:t>‘</w:t>
      </w:r>
      <w:r w:rsidR="00914663" w:rsidRPr="000A24D5">
        <w:rPr>
          <w:sz w:val="26"/>
          <w:szCs w:val="26"/>
        </w:rPr>
        <w:t>Seleka</w:t>
      </w:r>
      <w:r w:rsidR="0086008D" w:rsidRPr="000A24D5">
        <w:rPr>
          <w:sz w:val="26"/>
          <w:szCs w:val="26"/>
        </w:rPr>
        <w:t>’</w:t>
      </w:r>
      <w:r w:rsidR="00914663" w:rsidRPr="000A24D5">
        <w:rPr>
          <w:sz w:val="26"/>
          <w:szCs w:val="26"/>
        </w:rPr>
        <w:t xml:space="preserve">.  It resulted in a loss of 15 South African soldiers’ lives and injury of a further 25.  </w:t>
      </w:r>
    </w:p>
    <w:p w:rsidR="00914663" w:rsidRPr="00224D2B" w:rsidRDefault="00914663" w:rsidP="00914663">
      <w:pPr>
        <w:pStyle w:val="ListParagraph"/>
        <w:spacing w:line="360" w:lineRule="auto"/>
        <w:ind w:left="142"/>
        <w:jc w:val="both"/>
        <w:rPr>
          <w:sz w:val="26"/>
          <w:szCs w:val="26"/>
        </w:rPr>
      </w:pPr>
    </w:p>
    <w:p w:rsidR="0055168D" w:rsidRPr="000A24D5" w:rsidRDefault="000A24D5" w:rsidP="000A24D5">
      <w:pPr>
        <w:spacing w:line="360" w:lineRule="auto"/>
        <w:ind w:firstLine="142"/>
        <w:jc w:val="both"/>
        <w:rPr>
          <w:sz w:val="26"/>
          <w:szCs w:val="26"/>
        </w:rPr>
      </w:pPr>
      <w:r w:rsidRPr="00224D2B">
        <w:rPr>
          <w:sz w:val="26"/>
          <w:szCs w:val="26"/>
        </w:rPr>
        <w:t>[4]</w:t>
      </w:r>
      <w:r w:rsidRPr="00224D2B">
        <w:rPr>
          <w:sz w:val="26"/>
          <w:szCs w:val="26"/>
        </w:rPr>
        <w:tab/>
      </w:r>
      <w:r w:rsidR="0055168D" w:rsidRPr="000A24D5">
        <w:rPr>
          <w:sz w:val="26"/>
          <w:szCs w:val="26"/>
        </w:rPr>
        <w:t>T</w:t>
      </w:r>
      <w:r w:rsidR="008B5F91" w:rsidRPr="000A24D5">
        <w:rPr>
          <w:sz w:val="26"/>
          <w:szCs w:val="26"/>
        </w:rPr>
        <w:t>he</w:t>
      </w:r>
      <w:r w:rsidR="00977117" w:rsidRPr="000A24D5">
        <w:rPr>
          <w:sz w:val="26"/>
          <w:szCs w:val="26"/>
        </w:rPr>
        <w:t xml:space="preserve"> applicant is a journalist who works for the </w:t>
      </w:r>
      <w:r w:rsidR="008B5F91" w:rsidRPr="000A24D5">
        <w:rPr>
          <w:sz w:val="26"/>
          <w:szCs w:val="26"/>
        </w:rPr>
        <w:t xml:space="preserve">Business Day </w:t>
      </w:r>
      <w:r w:rsidR="00977117" w:rsidRPr="000A24D5">
        <w:rPr>
          <w:sz w:val="26"/>
          <w:szCs w:val="26"/>
        </w:rPr>
        <w:t>and Financial Mail</w:t>
      </w:r>
      <w:r w:rsidR="0055168D" w:rsidRPr="000A24D5">
        <w:rPr>
          <w:sz w:val="26"/>
          <w:szCs w:val="26"/>
        </w:rPr>
        <w:t>. At the time that the application was launched he sought</w:t>
      </w:r>
      <w:r w:rsidR="00977117" w:rsidRPr="000A24D5">
        <w:rPr>
          <w:sz w:val="26"/>
          <w:szCs w:val="26"/>
        </w:rPr>
        <w:t xml:space="preserve"> the information </w:t>
      </w:r>
      <w:r w:rsidR="00694166" w:rsidRPr="000A24D5">
        <w:rPr>
          <w:sz w:val="26"/>
          <w:szCs w:val="26"/>
        </w:rPr>
        <w:t>in question for</w:t>
      </w:r>
      <w:r w:rsidR="00A739E3" w:rsidRPr="000A24D5">
        <w:rPr>
          <w:sz w:val="26"/>
          <w:szCs w:val="26"/>
        </w:rPr>
        <w:t xml:space="preserve"> p</w:t>
      </w:r>
      <w:r w:rsidR="00977117" w:rsidRPr="000A24D5">
        <w:rPr>
          <w:sz w:val="26"/>
          <w:szCs w:val="26"/>
        </w:rPr>
        <w:t xml:space="preserve">urposes of a book that he </w:t>
      </w:r>
      <w:r w:rsidR="0055168D" w:rsidRPr="000A24D5">
        <w:rPr>
          <w:sz w:val="26"/>
          <w:szCs w:val="26"/>
        </w:rPr>
        <w:t>wa</w:t>
      </w:r>
      <w:r w:rsidR="00977117" w:rsidRPr="000A24D5">
        <w:rPr>
          <w:sz w:val="26"/>
          <w:szCs w:val="26"/>
        </w:rPr>
        <w:t xml:space="preserve">s writing with two other journalists about </w:t>
      </w:r>
      <w:r w:rsidR="00694166" w:rsidRPr="000A24D5">
        <w:rPr>
          <w:sz w:val="26"/>
          <w:szCs w:val="26"/>
        </w:rPr>
        <w:t xml:space="preserve">the </w:t>
      </w:r>
      <w:r w:rsidR="00914663" w:rsidRPr="000A24D5">
        <w:rPr>
          <w:sz w:val="26"/>
          <w:szCs w:val="26"/>
        </w:rPr>
        <w:t xml:space="preserve">Battle. </w:t>
      </w:r>
      <w:r w:rsidR="0055168D" w:rsidRPr="000A24D5">
        <w:rPr>
          <w:sz w:val="26"/>
          <w:szCs w:val="26"/>
        </w:rPr>
        <w:t xml:space="preserve">By the time the matter was heard, the book had already been written. However, he persists with the application because he states that the Department has never provided an official account of what transpired in the </w:t>
      </w:r>
      <w:r w:rsidR="00914663" w:rsidRPr="000A24D5">
        <w:rPr>
          <w:sz w:val="26"/>
          <w:szCs w:val="26"/>
        </w:rPr>
        <w:t>B</w:t>
      </w:r>
      <w:r w:rsidR="0055168D" w:rsidRPr="000A24D5">
        <w:rPr>
          <w:sz w:val="26"/>
          <w:szCs w:val="26"/>
        </w:rPr>
        <w:t xml:space="preserve">attle, save for sweeping broad answers and vague descriptions, including to the families of the deceased, which means that no one has been held </w:t>
      </w:r>
      <w:r w:rsidR="0055168D" w:rsidRPr="000A24D5">
        <w:rPr>
          <w:sz w:val="26"/>
          <w:szCs w:val="26"/>
        </w:rPr>
        <w:lastRenderedPageBreak/>
        <w:t xml:space="preserve">accountable for the disaster which is described as South Africa’s worst military defeat in the </w:t>
      </w:r>
      <w:r w:rsidR="00914663" w:rsidRPr="000A24D5">
        <w:rPr>
          <w:sz w:val="26"/>
          <w:szCs w:val="26"/>
        </w:rPr>
        <w:t>d</w:t>
      </w:r>
      <w:r w:rsidR="0055168D" w:rsidRPr="000A24D5">
        <w:rPr>
          <w:sz w:val="26"/>
          <w:szCs w:val="26"/>
        </w:rPr>
        <w:t xml:space="preserve">emocratic era. </w:t>
      </w:r>
    </w:p>
    <w:p w:rsidR="00694166" w:rsidRPr="00224D2B" w:rsidRDefault="00694166" w:rsidP="00914663">
      <w:pPr>
        <w:rPr>
          <w:sz w:val="26"/>
          <w:szCs w:val="26"/>
        </w:rPr>
      </w:pPr>
    </w:p>
    <w:p w:rsidR="00694166" w:rsidRPr="000A24D5" w:rsidRDefault="000A24D5" w:rsidP="000A24D5">
      <w:pPr>
        <w:spacing w:line="360" w:lineRule="auto"/>
        <w:ind w:firstLine="142"/>
        <w:jc w:val="both"/>
        <w:rPr>
          <w:sz w:val="26"/>
          <w:szCs w:val="26"/>
        </w:rPr>
      </w:pPr>
      <w:r w:rsidRPr="00224D2B">
        <w:rPr>
          <w:sz w:val="26"/>
          <w:szCs w:val="26"/>
        </w:rPr>
        <w:t>[5]</w:t>
      </w:r>
      <w:r w:rsidRPr="00224D2B">
        <w:rPr>
          <w:sz w:val="26"/>
          <w:szCs w:val="26"/>
        </w:rPr>
        <w:tab/>
      </w:r>
      <w:r w:rsidR="00694166" w:rsidRPr="000A24D5">
        <w:rPr>
          <w:sz w:val="26"/>
          <w:szCs w:val="26"/>
        </w:rPr>
        <w:t xml:space="preserve"> The applicant’s PAIA request described the information sought as follows: </w:t>
      </w:r>
      <w:r w:rsidR="00694166" w:rsidRPr="000A24D5">
        <w:rPr>
          <w:i/>
          <w:iCs/>
          <w:sz w:val="26"/>
          <w:szCs w:val="26"/>
        </w:rPr>
        <w:t>“SANDF Board of Inquiry into events commonly referred to as the “Battle of Bangui” which took place in the Central African Republic between 22 - 24 March 2013 that resulted in the deaths of 15 members of the SANDF’s 1 Parachute Battalion”</w:t>
      </w:r>
      <w:r w:rsidR="00694166" w:rsidRPr="000A24D5">
        <w:rPr>
          <w:sz w:val="26"/>
          <w:szCs w:val="26"/>
        </w:rPr>
        <w:t>.</w:t>
      </w:r>
      <w:r w:rsidR="009873CB" w:rsidRPr="000A24D5">
        <w:rPr>
          <w:sz w:val="26"/>
          <w:szCs w:val="26"/>
        </w:rPr>
        <w:t xml:space="preserve"> </w:t>
      </w:r>
      <w:r w:rsidR="00914663" w:rsidRPr="000A24D5">
        <w:rPr>
          <w:sz w:val="26"/>
          <w:szCs w:val="26"/>
        </w:rPr>
        <w:t xml:space="preserve">It is common cause that a BOI was indeed held by the Department, specifically looking into the reasons why soldiers died and some were injured, as well as into the loss of military hardware and munitions. </w:t>
      </w:r>
      <w:r w:rsidR="009873CB" w:rsidRPr="000A24D5">
        <w:rPr>
          <w:sz w:val="26"/>
          <w:szCs w:val="26"/>
        </w:rPr>
        <w:t xml:space="preserve">The </w:t>
      </w:r>
      <w:r w:rsidR="00914663" w:rsidRPr="000A24D5">
        <w:rPr>
          <w:sz w:val="26"/>
          <w:szCs w:val="26"/>
        </w:rPr>
        <w:t xml:space="preserve">applicant’s </w:t>
      </w:r>
      <w:r w:rsidR="009873CB" w:rsidRPr="000A24D5">
        <w:rPr>
          <w:sz w:val="26"/>
          <w:szCs w:val="26"/>
        </w:rPr>
        <w:t>request</w:t>
      </w:r>
      <w:r w:rsidR="00977117" w:rsidRPr="000A24D5">
        <w:rPr>
          <w:sz w:val="26"/>
          <w:szCs w:val="26"/>
        </w:rPr>
        <w:t xml:space="preserve"> </w:t>
      </w:r>
      <w:r w:rsidR="006C0C96" w:rsidRPr="000A24D5">
        <w:rPr>
          <w:sz w:val="26"/>
          <w:szCs w:val="26"/>
        </w:rPr>
        <w:t>was</w:t>
      </w:r>
      <w:r w:rsidR="00977117" w:rsidRPr="000A24D5">
        <w:rPr>
          <w:sz w:val="26"/>
          <w:szCs w:val="26"/>
        </w:rPr>
        <w:t xml:space="preserve"> submitted to the </w:t>
      </w:r>
      <w:r w:rsidR="006C0C96" w:rsidRPr="000A24D5">
        <w:rPr>
          <w:sz w:val="26"/>
          <w:szCs w:val="26"/>
        </w:rPr>
        <w:t>D</w:t>
      </w:r>
      <w:r w:rsidR="00977117" w:rsidRPr="000A24D5">
        <w:rPr>
          <w:sz w:val="26"/>
          <w:szCs w:val="26"/>
        </w:rPr>
        <w:t>epartment on 23 June 20</w:t>
      </w:r>
      <w:r w:rsidR="006C0C96" w:rsidRPr="000A24D5">
        <w:rPr>
          <w:sz w:val="26"/>
          <w:szCs w:val="26"/>
        </w:rPr>
        <w:t>19</w:t>
      </w:r>
      <w:r w:rsidR="00694166" w:rsidRPr="000A24D5">
        <w:rPr>
          <w:sz w:val="26"/>
          <w:szCs w:val="26"/>
        </w:rPr>
        <w:t>, and, after some delays, was denied o</w:t>
      </w:r>
      <w:r w:rsidR="00977117" w:rsidRPr="000A24D5">
        <w:rPr>
          <w:sz w:val="26"/>
          <w:szCs w:val="26"/>
        </w:rPr>
        <w:t>n 25 October 2</w:t>
      </w:r>
      <w:r w:rsidR="00556796" w:rsidRPr="000A24D5">
        <w:rPr>
          <w:sz w:val="26"/>
          <w:szCs w:val="26"/>
        </w:rPr>
        <w:t>019</w:t>
      </w:r>
      <w:r w:rsidR="00694166" w:rsidRPr="000A24D5">
        <w:rPr>
          <w:sz w:val="26"/>
          <w:szCs w:val="26"/>
        </w:rPr>
        <w:t xml:space="preserve">, as follows: </w:t>
      </w:r>
    </w:p>
    <w:p w:rsidR="00694166" w:rsidRPr="00694166" w:rsidRDefault="00694166" w:rsidP="00694166">
      <w:pPr>
        <w:pStyle w:val="ListParagraph"/>
      </w:pPr>
    </w:p>
    <w:p w:rsidR="00694166" w:rsidRPr="009B1816" w:rsidRDefault="00694166" w:rsidP="00694166">
      <w:pPr>
        <w:pStyle w:val="ListParagraph"/>
        <w:ind w:left="1134" w:right="996"/>
        <w:jc w:val="both"/>
        <w:rPr>
          <w:i/>
          <w:iCs/>
          <w:sz w:val="21"/>
          <w:szCs w:val="21"/>
        </w:rPr>
      </w:pPr>
      <w:r w:rsidRPr="009B1816">
        <w:rPr>
          <w:i/>
          <w:iCs/>
          <w:sz w:val="21"/>
          <w:szCs w:val="21"/>
        </w:rPr>
        <w:t xml:space="preserve">“2.  The request is not granted in terms of section 34(1) of the [PAIA] Act by the Information Officer based on the grounds of mandatory protection of privacy of third party who is a natural person as quoted here under: </w:t>
      </w:r>
    </w:p>
    <w:p w:rsidR="00694166" w:rsidRPr="009B1816" w:rsidRDefault="00694166" w:rsidP="00694166">
      <w:pPr>
        <w:pStyle w:val="ListParagraph"/>
        <w:ind w:left="1134" w:right="996"/>
        <w:jc w:val="both"/>
        <w:rPr>
          <w:i/>
          <w:iCs/>
          <w:sz w:val="21"/>
          <w:szCs w:val="21"/>
        </w:rPr>
      </w:pPr>
    </w:p>
    <w:p w:rsidR="00694166" w:rsidRPr="009B1816" w:rsidRDefault="00694166" w:rsidP="00694166">
      <w:pPr>
        <w:pStyle w:val="ListParagraph"/>
        <w:ind w:left="1440" w:right="996"/>
        <w:jc w:val="both"/>
        <w:rPr>
          <w:i/>
          <w:iCs/>
          <w:sz w:val="21"/>
          <w:szCs w:val="21"/>
        </w:rPr>
      </w:pPr>
      <w:r w:rsidRPr="009B1816">
        <w:rPr>
          <w:i/>
          <w:iCs/>
          <w:sz w:val="21"/>
          <w:szCs w:val="21"/>
        </w:rPr>
        <w:t>‘Subject to subsection (2) the Information Officer of a public body must refuse a request to access to a record of the body if its disclosure would involve the unreasonable disclosure of personal information about a third party including a deceased individual.’</w:t>
      </w:r>
    </w:p>
    <w:p w:rsidR="00694166" w:rsidRPr="009B1816" w:rsidRDefault="00694166" w:rsidP="00694166">
      <w:pPr>
        <w:pStyle w:val="ListParagraph"/>
        <w:ind w:left="1440" w:right="996"/>
        <w:jc w:val="both"/>
        <w:rPr>
          <w:i/>
          <w:iCs/>
          <w:sz w:val="21"/>
          <w:szCs w:val="21"/>
        </w:rPr>
      </w:pPr>
    </w:p>
    <w:p w:rsidR="00694166" w:rsidRPr="009B1816" w:rsidRDefault="00694166" w:rsidP="00694166">
      <w:pPr>
        <w:ind w:left="900" w:right="996"/>
        <w:jc w:val="both"/>
        <w:rPr>
          <w:i/>
          <w:iCs/>
          <w:sz w:val="21"/>
          <w:szCs w:val="21"/>
        </w:rPr>
      </w:pPr>
      <w:r w:rsidRPr="009B1816">
        <w:rPr>
          <w:i/>
          <w:iCs/>
          <w:sz w:val="21"/>
          <w:szCs w:val="21"/>
        </w:rPr>
        <w:t xml:space="preserve">  3. This refusal does not apply to previous information on the same subject that has been </w:t>
      </w:r>
      <w:r w:rsidR="009B1816">
        <w:rPr>
          <w:i/>
          <w:iCs/>
          <w:sz w:val="21"/>
          <w:szCs w:val="21"/>
        </w:rPr>
        <w:t xml:space="preserve">  </w:t>
      </w:r>
      <w:r w:rsidRPr="009B1816">
        <w:rPr>
          <w:i/>
          <w:iCs/>
          <w:sz w:val="21"/>
          <w:szCs w:val="21"/>
        </w:rPr>
        <w:t>granted prior to this application.”</w:t>
      </w:r>
    </w:p>
    <w:p w:rsidR="009873CB" w:rsidRDefault="009873CB" w:rsidP="00847DCE">
      <w:pPr>
        <w:spacing w:line="360" w:lineRule="auto"/>
        <w:jc w:val="both"/>
      </w:pPr>
    </w:p>
    <w:p w:rsidR="00355A78" w:rsidRPr="000A24D5" w:rsidRDefault="000A24D5" w:rsidP="000A24D5">
      <w:pPr>
        <w:spacing w:line="360" w:lineRule="auto"/>
        <w:ind w:firstLine="142"/>
        <w:jc w:val="both"/>
        <w:rPr>
          <w:sz w:val="26"/>
          <w:szCs w:val="26"/>
        </w:rPr>
      </w:pPr>
      <w:r w:rsidRPr="00224D2B">
        <w:rPr>
          <w:sz w:val="26"/>
          <w:szCs w:val="26"/>
        </w:rPr>
        <w:t>[6]</w:t>
      </w:r>
      <w:r w:rsidRPr="00224D2B">
        <w:rPr>
          <w:sz w:val="26"/>
          <w:szCs w:val="26"/>
        </w:rPr>
        <w:tab/>
      </w:r>
      <w:r w:rsidR="009F128D" w:rsidRPr="000A24D5">
        <w:rPr>
          <w:sz w:val="26"/>
          <w:szCs w:val="26"/>
        </w:rPr>
        <w:t>O</w:t>
      </w:r>
      <w:r w:rsidR="00DF0650" w:rsidRPr="000A24D5">
        <w:rPr>
          <w:sz w:val="26"/>
          <w:szCs w:val="26"/>
        </w:rPr>
        <w:t>n 8 Nov</w:t>
      </w:r>
      <w:r w:rsidR="00FF55C2" w:rsidRPr="000A24D5">
        <w:rPr>
          <w:sz w:val="26"/>
          <w:szCs w:val="26"/>
        </w:rPr>
        <w:t>ember 2019</w:t>
      </w:r>
      <w:r w:rsidR="00DF0650" w:rsidRPr="000A24D5">
        <w:rPr>
          <w:sz w:val="26"/>
          <w:szCs w:val="26"/>
        </w:rPr>
        <w:t xml:space="preserve"> the </w:t>
      </w:r>
      <w:r w:rsidR="00FF55C2" w:rsidRPr="000A24D5">
        <w:rPr>
          <w:sz w:val="26"/>
          <w:szCs w:val="26"/>
        </w:rPr>
        <w:t>applicant l</w:t>
      </w:r>
      <w:r w:rsidR="00DF0650" w:rsidRPr="000A24D5">
        <w:rPr>
          <w:sz w:val="26"/>
          <w:szCs w:val="26"/>
        </w:rPr>
        <w:t>odge</w:t>
      </w:r>
      <w:r w:rsidR="00D41C2D" w:rsidRPr="000A24D5">
        <w:rPr>
          <w:sz w:val="26"/>
          <w:szCs w:val="26"/>
        </w:rPr>
        <w:t xml:space="preserve">d </w:t>
      </w:r>
      <w:r w:rsidR="000C1496" w:rsidRPr="000A24D5">
        <w:rPr>
          <w:sz w:val="26"/>
          <w:szCs w:val="26"/>
        </w:rPr>
        <w:t>the</w:t>
      </w:r>
      <w:r w:rsidR="00D41C2D" w:rsidRPr="000A24D5">
        <w:rPr>
          <w:sz w:val="26"/>
          <w:szCs w:val="26"/>
        </w:rPr>
        <w:t xml:space="preserve"> internal appeal </w:t>
      </w:r>
      <w:r w:rsidR="00DF0650" w:rsidRPr="000A24D5">
        <w:rPr>
          <w:sz w:val="26"/>
          <w:szCs w:val="26"/>
        </w:rPr>
        <w:t>in terms of section 75</w:t>
      </w:r>
      <w:r w:rsidR="00D41C2D" w:rsidRPr="000A24D5">
        <w:rPr>
          <w:sz w:val="26"/>
          <w:szCs w:val="26"/>
        </w:rPr>
        <w:t xml:space="preserve"> of PAIA</w:t>
      </w:r>
      <w:r w:rsidR="000C1496" w:rsidRPr="000A24D5">
        <w:rPr>
          <w:sz w:val="26"/>
          <w:szCs w:val="26"/>
        </w:rPr>
        <w:t xml:space="preserve">. </w:t>
      </w:r>
      <w:r w:rsidR="009873CB" w:rsidRPr="000A24D5">
        <w:rPr>
          <w:sz w:val="26"/>
          <w:szCs w:val="26"/>
        </w:rPr>
        <w:t>He</w:t>
      </w:r>
      <w:r w:rsidR="000C1496" w:rsidRPr="000A24D5">
        <w:rPr>
          <w:sz w:val="26"/>
          <w:szCs w:val="26"/>
        </w:rPr>
        <w:t xml:space="preserve"> </w:t>
      </w:r>
      <w:r w:rsidR="00DF0650" w:rsidRPr="000A24D5">
        <w:rPr>
          <w:sz w:val="26"/>
          <w:szCs w:val="26"/>
        </w:rPr>
        <w:t xml:space="preserve">challenged the assertion that </w:t>
      </w:r>
      <w:r w:rsidR="000C1496" w:rsidRPr="000A24D5">
        <w:rPr>
          <w:sz w:val="26"/>
          <w:szCs w:val="26"/>
        </w:rPr>
        <w:t>granting his</w:t>
      </w:r>
      <w:r w:rsidR="00DF0650" w:rsidRPr="000A24D5">
        <w:rPr>
          <w:sz w:val="26"/>
          <w:szCs w:val="26"/>
        </w:rPr>
        <w:t xml:space="preserve"> request </w:t>
      </w:r>
      <w:r w:rsidR="000C1496" w:rsidRPr="000A24D5">
        <w:rPr>
          <w:sz w:val="26"/>
          <w:szCs w:val="26"/>
        </w:rPr>
        <w:t>would a</w:t>
      </w:r>
      <w:r w:rsidR="00DF0650" w:rsidRPr="000A24D5">
        <w:rPr>
          <w:sz w:val="26"/>
          <w:szCs w:val="26"/>
        </w:rPr>
        <w:t xml:space="preserve">mount to unreasonable disclosure of personal information, </w:t>
      </w:r>
      <w:r w:rsidR="009B1816" w:rsidRPr="000A24D5">
        <w:rPr>
          <w:sz w:val="26"/>
          <w:szCs w:val="26"/>
        </w:rPr>
        <w:t>pointing out the following:</w:t>
      </w:r>
      <w:r w:rsidR="00A71267" w:rsidRPr="000A24D5">
        <w:rPr>
          <w:sz w:val="26"/>
          <w:szCs w:val="26"/>
        </w:rPr>
        <w:t xml:space="preserve"> </w:t>
      </w:r>
      <w:r w:rsidR="00DF0650" w:rsidRPr="000A24D5">
        <w:rPr>
          <w:sz w:val="26"/>
          <w:szCs w:val="26"/>
        </w:rPr>
        <w:t xml:space="preserve">the </w:t>
      </w:r>
      <w:r w:rsidR="009873CB" w:rsidRPr="000A24D5">
        <w:rPr>
          <w:sz w:val="26"/>
          <w:szCs w:val="26"/>
        </w:rPr>
        <w:t xml:space="preserve">Department had already announced the </w:t>
      </w:r>
      <w:r w:rsidR="00DF0650" w:rsidRPr="000A24D5">
        <w:rPr>
          <w:sz w:val="26"/>
          <w:szCs w:val="26"/>
        </w:rPr>
        <w:t>names and ranks of the 15 deceased soldiers</w:t>
      </w:r>
      <w:r w:rsidR="009873CB" w:rsidRPr="000A24D5">
        <w:rPr>
          <w:sz w:val="26"/>
          <w:szCs w:val="26"/>
        </w:rPr>
        <w:t xml:space="preserve">, and </w:t>
      </w:r>
      <w:r w:rsidR="00DF0650" w:rsidRPr="000A24D5">
        <w:rPr>
          <w:sz w:val="26"/>
          <w:szCs w:val="26"/>
        </w:rPr>
        <w:t>had announced that the deceased soldiers were killed in armed conflict</w:t>
      </w:r>
      <w:r w:rsidR="00512DCD" w:rsidRPr="000A24D5">
        <w:rPr>
          <w:sz w:val="26"/>
          <w:szCs w:val="26"/>
        </w:rPr>
        <w:t xml:space="preserve"> in the</w:t>
      </w:r>
      <w:r w:rsidR="00DF0650" w:rsidRPr="000A24D5">
        <w:rPr>
          <w:sz w:val="26"/>
          <w:szCs w:val="26"/>
        </w:rPr>
        <w:t xml:space="preserve"> CAR </w:t>
      </w:r>
      <w:r w:rsidR="00512DCD" w:rsidRPr="000A24D5">
        <w:rPr>
          <w:sz w:val="26"/>
          <w:szCs w:val="26"/>
        </w:rPr>
        <w:t>in t</w:t>
      </w:r>
      <w:r w:rsidR="00DF0650" w:rsidRPr="000A24D5">
        <w:rPr>
          <w:sz w:val="26"/>
          <w:szCs w:val="26"/>
        </w:rPr>
        <w:t xml:space="preserve">he Battle of Bangui </w:t>
      </w:r>
      <w:r w:rsidR="00512DCD" w:rsidRPr="000A24D5">
        <w:rPr>
          <w:sz w:val="26"/>
          <w:szCs w:val="26"/>
        </w:rPr>
        <w:t>resulting</w:t>
      </w:r>
      <w:r w:rsidR="00DF0650" w:rsidRPr="000A24D5">
        <w:rPr>
          <w:sz w:val="26"/>
          <w:szCs w:val="26"/>
        </w:rPr>
        <w:t xml:space="preserve"> from engagement with the </w:t>
      </w:r>
      <w:r w:rsidR="00553AFA" w:rsidRPr="000A24D5">
        <w:rPr>
          <w:sz w:val="26"/>
          <w:szCs w:val="26"/>
        </w:rPr>
        <w:t>Seleka</w:t>
      </w:r>
      <w:r w:rsidR="00DF0650" w:rsidRPr="000A24D5">
        <w:rPr>
          <w:sz w:val="26"/>
          <w:szCs w:val="26"/>
        </w:rPr>
        <w:t xml:space="preserve"> rebels</w:t>
      </w:r>
      <w:r w:rsidR="00553AFA" w:rsidRPr="000A24D5">
        <w:rPr>
          <w:sz w:val="26"/>
          <w:szCs w:val="26"/>
        </w:rPr>
        <w:t>; it had widely been reported</w:t>
      </w:r>
      <w:r w:rsidR="003F0715" w:rsidRPr="000A24D5">
        <w:rPr>
          <w:sz w:val="26"/>
          <w:szCs w:val="26"/>
        </w:rPr>
        <w:t xml:space="preserve"> that the families of the deceased were already informed </w:t>
      </w:r>
      <w:r w:rsidR="00DF0650" w:rsidRPr="000A24D5">
        <w:rPr>
          <w:sz w:val="26"/>
          <w:szCs w:val="26"/>
        </w:rPr>
        <w:t>of the death</w:t>
      </w:r>
      <w:r w:rsidR="003F0715" w:rsidRPr="000A24D5">
        <w:rPr>
          <w:sz w:val="26"/>
          <w:szCs w:val="26"/>
        </w:rPr>
        <w:t>s of the deceased; a</w:t>
      </w:r>
      <w:r w:rsidR="00DF0650" w:rsidRPr="000A24D5">
        <w:rPr>
          <w:sz w:val="26"/>
          <w:szCs w:val="26"/>
        </w:rPr>
        <w:t xml:space="preserve">nd </w:t>
      </w:r>
      <w:r w:rsidR="003F0715" w:rsidRPr="000A24D5">
        <w:rPr>
          <w:sz w:val="26"/>
          <w:szCs w:val="26"/>
        </w:rPr>
        <w:t>t</w:t>
      </w:r>
      <w:r w:rsidR="00DF0650" w:rsidRPr="000A24D5">
        <w:rPr>
          <w:sz w:val="26"/>
          <w:szCs w:val="26"/>
        </w:rPr>
        <w:t xml:space="preserve">he applicant was not attempting to access </w:t>
      </w:r>
      <w:r w:rsidR="003F0715" w:rsidRPr="000A24D5">
        <w:rPr>
          <w:sz w:val="26"/>
          <w:szCs w:val="26"/>
        </w:rPr>
        <w:t>t</w:t>
      </w:r>
      <w:r w:rsidR="00DF0650" w:rsidRPr="000A24D5">
        <w:rPr>
          <w:sz w:val="26"/>
          <w:szCs w:val="26"/>
        </w:rPr>
        <w:t>he deceased’s medical record</w:t>
      </w:r>
      <w:r w:rsidR="003F0715" w:rsidRPr="000A24D5">
        <w:rPr>
          <w:sz w:val="26"/>
          <w:szCs w:val="26"/>
        </w:rPr>
        <w:t xml:space="preserve">s. </w:t>
      </w:r>
      <w:r w:rsidR="00DF0650" w:rsidRPr="000A24D5">
        <w:rPr>
          <w:sz w:val="26"/>
          <w:szCs w:val="26"/>
        </w:rPr>
        <w:t xml:space="preserve">The applicant also sought clarity regarding </w:t>
      </w:r>
      <w:r w:rsidR="000C1496" w:rsidRPr="000A24D5">
        <w:rPr>
          <w:sz w:val="26"/>
          <w:szCs w:val="26"/>
        </w:rPr>
        <w:t xml:space="preserve">paragraph 3 of the refusal letter, </w:t>
      </w:r>
      <w:r w:rsidR="00DF0650" w:rsidRPr="000A24D5">
        <w:rPr>
          <w:sz w:val="26"/>
          <w:szCs w:val="26"/>
        </w:rPr>
        <w:t xml:space="preserve">regarding whether the </w:t>
      </w:r>
      <w:r w:rsidR="000C1496" w:rsidRPr="000A24D5">
        <w:rPr>
          <w:sz w:val="26"/>
          <w:szCs w:val="26"/>
        </w:rPr>
        <w:t>D</w:t>
      </w:r>
      <w:r w:rsidR="00DF0650" w:rsidRPr="000A24D5">
        <w:rPr>
          <w:sz w:val="26"/>
          <w:szCs w:val="26"/>
        </w:rPr>
        <w:t xml:space="preserve">epartment had previously disclosed information </w:t>
      </w:r>
      <w:r w:rsidR="00B31604" w:rsidRPr="000A24D5">
        <w:rPr>
          <w:sz w:val="26"/>
          <w:szCs w:val="26"/>
        </w:rPr>
        <w:t>in the matter in te</w:t>
      </w:r>
      <w:r w:rsidR="00DF0650" w:rsidRPr="000A24D5">
        <w:rPr>
          <w:sz w:val="26"/>
          <w:szCs w:val="26"/>
        </w:rPr>
        <w:t xml:space="preserve">rms of </w:t>
      </w:r>
      <w:r w:rsidR="00DF0650" w:rsidRPr="000A24D5">
        <w:rPr>
          <w:sz w:val="26"/>
          <w:szCs w:val="26"/>
        </w:rPr>
        <w:lastRenderedPageBreak/>
        <w:t xml:space="preserve">previous </w:t>
      </w:r>
      <w:r w:rsidR="00B31604" w:rsidRPr="000A24D5">
        <w:rPr>
          <w:sz w:val="26"/>
          <w:szCs w:val="26"/>
        </w:rPr>
        <w:t xml:space="preserve">PAIA </w:t>
      </w:r>
      <w:r w:rsidR="00DF0650" w:rsidRPr="000A24D5">
        <w:rPr>
          <w:sz w:val="26"/>
          <w:szCs w:val="26"/>
        </w:rPr>
        <w:t>application</w:t>
      </w:r>
      <w:r w:rsidR="00355A78" w:rsidRPr="000A24D5">
        <w:rPr>
          <w:sz w:val="26"/>
          <w:szCs w:val="26"/>
        </w:rPr>
        <w:t>s</w:t>
      </w:r>
      <w:r w:rsidR="00DF0650" w:rsidRPr="000A24D5">
        <w:rPr>
          <w:sz w:val="26"/>
          <w:szCs w:val="26"/>
        </w:rPr>
        <w:t xml:space="preserve">. This clarity had not been provided by the time </w:t>
      </w:r>
      <w:r w:rsidR="009B1816" w:rsidRPr="000A24D5">
        <w:rPr>
          <w:sz w:val="26"/>
          <w:szCs w:val="26"/>
        </w:rPr>
        <w:t xml:space="preserve">he submitted </w:t>
      </w:r>
      <w:r w:rsidR="00DF0650" w:rsidRPr="000A24D5">
        <w:rPr>
          <w:sz w:val="26"/>
          <w:szCs w:val="26"/>
        </w:rPr>
        <w:t xml:space="preserve">the internal appeal. </w:t>
      </w:r>
    </w:p>
    <w:p w:rsidR="00355A78" w:rsidRPr="00224D2B" w:rsidRDefault="00355A78" w:rsidP="006B1FCE">
      <w:pPr>
        <w:pStyle w:val="ListParagraph"/>
        <w:spacing w:line="360" w:lineRule="auto"/>
        <w:ind w:left="567" w:firstLine="142"/>
        <w:jc w:val="both"/>
        <w:rPr>
          <w:sz w:val="26"/>
          <w:szCs w:val="26"/>
        </w:rPr>
      </w:pPr>
    </w:p>
    <w:p w:rsidR="00175188" w:rsidRPr="000A24D5" w:rsidRDefault="000A24D5" w:rsidP="000A24D5">
      <w:pPr>
        <w:spacing w:line="360" w:lineRule="auto"/>
        <w:ind w:firstLine="142"/>
        <w:jc w:val="both"/>
        <w:rPr>
          <w:sz w:val="26"/>
          <w:szCs w:val="26"/>
        </w:rPr>
      </w:pPr>
      <w:r w:rsidRPr="00224D2B">
        <w:rPr>
          <w:sz w:val="26"/>
          <w:szCs w:val="26"/>
        </w:rPr>
        <w:t>[7]</w:t>
      </w:r>
      <w:r w:rsidRPr="00224D2B">
        <w:rPr>
          <w:sz w:val="26"/>
          <w:szCs w:val="26"/>
        </w:rPr>
        <w:tab/>
      </w:r>
      <w:r w:rsidR="009B1816" w:rsidRPr="000A24D5">
        <w:rPr>
          <w:sz w:val="26"/>
          <w:szCs w:val="26"/>
        </w:rPr>
        <w:t>After numerous inquiries, t</w:t>
      </w:r>
      <w:r w:rsidR="00DF0650" w:rsidRPr="000A24D5">
        <w:rPr>
          <w:sz w:val="26"/>
          <w:szCs w:val="26"/>
        </w:rPr>
        <w:t>he outcome of the internal appeal was communicated to the applicant</w:t>
      </w:r>
      <w:r w:rsidR="009B1816" w:rsidRPr="000A24D5">
        <w:rPr>
          <w:sz w:val="26"/>
          <w:szCs w:val="26"/>
        </w:rPr>
        <w:t xml:space="preserve"> telephonically</w:t>
      </w:r>
      <w:r w:rsidR="000C1496" w:rsidRPr="000A24D5">
        <w:rPr>
          <w:sz w:val="26"/>
          <w:szCs w:val="26"/>
        </w:rPr>
        <w:t xml:space="preserve">, </w:t>
      </w:r>
      <w:r w:rsidR="009B1816" w:rsidRPr="000A24D5">
        <w:rPr>
          <w:sz w:val="26"/>
          <w:szCs w:val="26"/>
        </w:rPr>
        <w:t>and after further prodding for formal written reasons from the Minister as contemplated in section 77(5) of PAIA, the applicant received an email on 27 February 2020 from an official of the Department, as follows</w:t>
      </w:r>
      <w:r w:rsidR="00175188" w:rsidRPr="000A24D5">
        <w:rPr>
          <w:sz w:val="26"/>
          <w:szCs w:val="26"/>
        </w:rPr>
        <w:t xml:space="preserve">: </w:t>
      </w:r>
    </w:p>
    <w:p w:rsidR="00175188" w:rsidRPr="00175188" w:rsidRDefault="00175188" w:rsidP="00175188">
      <w:pPr>
        <w:pStyle w:val="ListParagraph"/>
      </w:pPr>
    </w:p>
    <w:p w:rsidR="000C1496" w:rsidRPr="009B1816" w:rsidRDefault="00175188" w:rsidP="00175188">
      <w:pPr>
        <w:pStyle w:val="ListParagraph"/>
        <w:spacing w:line="276" w:lineRule="auto"/>
        <w:ind w:left="1298"/>
        <w:jc w:val="both"/>
        <w:rPr>
          <w:sz w:val="21"/>
          <w:szCs w:val="21"/>
        </w:rPr>
      </w:pPr>
      <w:r w:rsidRPr="009B1816">
        <w:rPr>
          <w:sz w:val="21"/>
          <w:szCs w:val="21"/>
        </w:rPr>
        <w:t>“This e-mail serves as the confirmation that [the Minister] has refused the internal appeal made by [the applicant]. The Minister’s decision is based on Section 34(1) of the [PAIA] Act which relates to the protection of a third party's information, quoted below:</w:t>
      </w:r>
    </w:p>
    <w:p w:rsidR="00175188" w:rsidRPr="009B1816" w:rsidRDefault="00175188" w:rsidP="00175188">
      <w:pPr>
        <w:pStyle w:val="ListParagraph"/>
        <w:spacing w:line="276" w:lineRule="auto"/>
        <w:ind w:left="1298"/>
        <w:rPr>
          <w:sz w:val="21"/>
          <w:szCs w:val="21"/>
        </w:rPr>
      </w:pPr>
    </w:p>
    <w:p w:rsidR="00175188" w:rsidRPr="009B1816" w:rsidRDefault="00175188" w:rsidP="00175188">
      <w:pPr>
        <w:pStyle w:val="ListParagraph"/>
        <w:spacing w:line="276" w:lineRule="auto"/>
        <w:ind w:left="1876"/>
        <w:jc w:val="both"/>
        <w:rPr>
          <w:sz w:val="21"/>
          <w:szCs w:val="21"/>
        </w:rPr>
      </w:pPr>
      <w:r w:rsidRPr="009B1816">
        <w:rPr>
          <w:sz w:val="21"/>
          <w:szCs w:val="21"/>
        </w:rPr>
        <w:t>‘the information officer of a public body must refuse a request for access to a record of the body if its disclosure would involve the unreasonable disclosure of personal information about a third party, including a deceased individual.’”</w:t>
      </w:r>
    </w:p>
    <w:p w:rsidR="000C1496" w:rsidRPr="000C1496" w:rsidRDefault="000C1496" w:rsidP="000C1496">
      <w:pPr>
        <w:pStyle w:val="ListParagraph"/>
      </w:pPr>
    </w:p>
    <w:p w:rsidR="00FF54A2" w:rsidRPr="000A24D5" w:rsidRDefault="000A24D5" w:rsidP="000A24D5">
      <w:pPr>
        <w:spacing w:line="360" w:lineRule="auto"/>
        <w:ind w:firstLine="142"/>
        <w:jc w:val="both"/>
        <w:rPr>
          <w:sz w:val="26"/>
          <w:szCs w:val="26"/>
        </w:rPr>
      </w:pPr>
      <w:r w:rsidRPr="00224D2B">
        <w:rPr>
          <w:sz w:val="26"/>
          <w:szCs w:val="26"/>
        </w:rPr>
        <w:t>[8]</w:t>
      </w:r>
      <w:r w:rsidRPr="00224D2B">
        <w:rPr>
          <w:sz w:val="26"/>
          <w:szCs w:val="26"/>
        </w:rPr>
        <w:tab/>
      </w:r>
      <w:r w:rsidR="009B1816" w:rsidRPr="000A24D5">
        <w:rPr>
          <w:sz w:val="26"/>
          <w:szCs w:val="26"/>
        </w:rPr>
        <w:t xml:space="preserve">It was this email that the </w:t>
      </w:r>
      <w:r w:rsidR="000C1496" w:rsidRPr="000A24D5">
        <w:rPr>
          <w:sz w:val="26"/>
          <w:szCs w:val="26"/>
        </w:rPr>
        <w:t xml:space="preserve">Part A </w:t>
      </w:r>
      <w:r w:rsidR="000714B7" w:rsidRPr="000A24D5">
        <w:rPr>
          <w:sz w:val="26"/>
          <w:szCs w:val="26"/>
        </w:rPr>
        <w:t>judgment</w:t>
      </w:r>
      <w:r w:rsidR="000C1496" w:rsidRPr="000A24D5">
        <w:rPr>
          <w:sz w:val="26"/>
          <w:szCs w:val="26"/>
        </w:rPr>
        <w:t xml:space="preserve"> effectively </w:t>
      </w:r>
      <w:r w:rsidR="009B1816" w:rsidRPr="000A24D5">
        <w:rPr>
          <w:sz w:val="26"/>
          <w:szCs w:val="26"/>
        </w:rPr>
        <w:t xml:space="preserve">held was inadequate, resulting in an </w:t>
      </w:r>
      <w:r w:rsidR="000C1496" w:rsidRPr="000A24D5">
        <w:rPr>
          <w:sz w:val="26"/>
          <w:szCs w:val="26"/>
        </w:rPr>
        <w:t>order</w:t>
      </w:r>
      <w:r w:rsidR="009B1816" w:rsidRPr="000A24D5">
        <w:rPr>
          <w:sz w:val="26"/>
          <w:szCs w:val="26"/>
        </w:rPr>
        <w:t xml:space="preserve"> that</w:t>
      </w:r>
      <w:r w:rsidR="000C1496" w:rsidRPr="000A24D5">
        <w:rPr>
          <w:sz w:val="26"/>
          <w:szCs w:val="26"/>
        </w:rPr>
        <w:t xml:space="preserve"> the Minister </w:t>
      </w:r>
      <w:r w:rsidR="009B1816" w:rsidRPr="000A24D5">
        <w:rPr>
          <w:sz w:val="26"/>
          <w:szCs w:val="26"/>
        </w:rPr>
        <w:t>should</w:t>
      </w:r>
      <w:r w:rsidR="000C1496" w:rsidRPr="000A24D5">
        <w:rPr>
          <w:sz w:val="26"/>
          <w:szCs w:val="26"/>
        </w:rPr>
        <w:t xml:space="preserve"> </w:t>
      </w:r>
      <w:r w:rsidR="00175188" w:rsidRPr="000A24D5">
        <w:rPr>
          <w:sz w:val="26"/>
          <w:szCs w:val="26"/>
        </w:rPr>
        <w:t>provide</w:t>
      </w:r>
      <w:r w:rsidR="000C1496" w:rsidRPr="000A24D5">
        <w:rPr>
          <w:sz w:val="26"/>
          <w:szCs w:val="26"/>
        </w:rPr>
        <w:t xml:space="preserve"> adequate reasons for</w:t>
      </w:r>
      <w:r w:rsidR="00175188" w:rsidRPr="000A24D5">
        <w:rPr>
          <w:sz w:val="26"/>
          <w:szCs w:val="26"/>
        </w:rPr>
        <w:t xml:space="preserve"> </w:t>
      </w:r>
      <w:r w:rsidR="000C1496" w:rsidRPr="000A24D5">
        <w:rPr>
          <w:sz w:val="26"/>
          <w:szCs w:val="26"/>
        </w:rPr>
        <w:t>he</w:t>
      </w:r>
      <w:r w:rsidR="00175188" w:rsidRPr="000A24D5">
        <w:rPr>
          <w:sz w:val="26"/>
          <w:szCs w:val="26"/>
        </w:rPr>
        <w:t>r</w:t>
      </w:r>
      <w:r w:rsidR="000C1496" w:rsidRPr="000A24D5">
        <w:rPr>
          <w:sz w:val="26"/>
          <w:szCs w:val="26"/>
        </w:rPr>
        <w:t xml:space="preserve"> decision to dismiss the internal appeal, and to give notice to affected parties.</w:t>
      </w:r>
      <w:r w:rsidR="009873CB" w:rsidRPr="000A24D5">
        <w:rPr>
          <w:sz w:val="26"/>
          <w:szCs w:val="26"/>
        </w:rPr>
        <w:t xml:space="preserve"> </w:t>
      </w:r>
      <w:r w:rsidR="0086008D" w:rsidRPr="000A24D5">
        <w:rPr>
          <w:sz w:val="26"/>
          <w:szCs w:val="26"/>
        </w:rPr>
        <w:t>Both orders were complied with. T</w:t>
      </w:r>
      <w:r w:rsidR="002F04ED" w:rsidRPr="000A24D5">
        <w:rPr>
          <w:sz w:val="26"/>
          <w:szCs w:val="26"/>
        </w:rPr>
        <w:t>he Minister supplemented her reasons</w:t>
      </w:r>
      <w:r w:rsidR="00175188" w:rsidRPr="000A24D5">
        <w:rPr>
          <w:sz w:val="26"/>
          <w:szCs w:val="26"/>
        </w:rPr>
        <w:t xml:space="preserve"> by letter dated 9 April 2021</w:t>
      </w:r>
      <w:r w:rsidR="0086008D" w:rsidRPr="000A24D5">
        <w:rPr>
          <w:sz w:val="26"/>
          <w:szCs w:val="26"/>
        </w:rPr>
        <w:t>, and the</w:t>
      </w:r>
      <w:r w:rsidR="00847DCE" w:rsidRPr="000A24D5">
        <w:rPr>
          <w:sz w:val="26"/>
          <w:szCs w:val="26"/>
        </w:rPr>
        <w:t xml:space="preserve"> supplemented reasons are the subject of this application, and they are dealt with later</w:t>
      </w:r>
      <w:r w:rsidR="00175188" w:rsidRPr="000A24D5">
        <w:rPr>
          <w:sz w:val="26"/>
          <w:szCs w:val="26"/>
        </w:rPr>
        <w:t xml:space="preserve">. </w:t>
      </w:r>
    </w:p>
    <w:p w:rsidR="00847DCE" w:rsidRDefault="00847DCE" w:rsidP="00847DCE">
      <w:pPr>
        <w:pStyle w:val="ListParagraph"/>
        <w:spacing w:line="360" w:lineRule="auto"/>
        <w:ind w:left="142"/>
        <w:jc w:val="both"/>
      </w:pPr>
    </w:p>
    <w:p w:rsidR="009B1816" w:rsidRPr="000A24D5" w:rsidRDefault="000A24D5" w:rsidP="000A24D5">
      <w:pPr>
        <w:spacing w:line="360" w:lineRule="auto"/>
        <w:ind w:left="720" w:hanging="720"/>
        <w:jc w:val="both"/>
        <w:rPr>
          <w:b/>
          <w:bCs/>
          <w:sz w:val="26"/>
          <w:szCs w:val="26"/>
          <w:u w:val="single"/>
        </w:rPr>
      </w:pPr>
      <w:r w:rsidRPr="00224D2B">
        <w:rPr>
          <w:b/>
          <w:bCs/>
          <w:sz w:val="26"/>
          <w:szCs w:val="26"/>
        </w:rPr>
        <w:t>C.</w:t>
      </w:r>
      <w:r w:rsidRPr="00224D2B">
        <w:rPr>
          <w:b/>
          <w:bCs/>
          <w:sz w:val="26"/>
          <w:szCs w:val="26"/>
        </w:rPr>
        <w:tab/>
      </w:r>
      <w:r w:rsidR="00077427" w:rsidRPr="000A24D5">
        <w:rPr>
          <w:b/>
          <w:bCs/>
          <w:sz w:val="26"/>
          <w:szCs w:val="26"/>
          <w:u w:val="single"/>
        </w:rPr>
        <w:t xml:space="preserve">PRELIMINARY ISSUES </w:t>
      </w:r>
    </w:p>
    <w:p w:rsidR="00077427" w:rsidRPr="000A24D5" w:rsidRDefault="000A24D5" w:rsidP="000A24D5">
      <w:pPr>
        <w:spacing w:line="360" w:lineRule="auto"/>
        <w:ind w:firstLine="142"/>
        <w:jc w:val="both"/>
        <w:rPr>
          <w:sz w:val="26"/>
          <w:szCs w:val="26"/>
        </w:rPr>
      </w:pPr>
      <w:r w:rsidRPr="00224D2B">
        <w:rPr>
          <w:sz w:val="26"/>
          <w:szCs w:val="26"/>
        </w:rPr>
        <w:t>[9]</w:t>
      </w:r>
      <w:r w:rsidRPr="00224D2B">
        <w:rPr>
          <w:sz w:val="26"/>
          <w:szCs w:val="26"/>
        </w:rPr>
        <w:tab/>
      </w:r>
      <w:r w:rsidR="009A4EC3" w:rsidRPr="000A24D5">
        <w:rPr>
          <w:sz w:val="26"/>
          <w:szCs w:val="26"/>
        </w:rPr>
        <w:t>The</w:t>
      </w:r>
      <w:r w:rsidR="00744EAD" w:rsidRPr="000A24D5">
        <w:rPr>
          <w:sz w:val="26"/>
          <w:szCs w:val="26"/>
        </w:rPr>
        <w:t>re</w:t>
      </w:r>
      <w:r w:rsidR="009A4EC3" w:rsidRPr="000A24D5">
        <w:rPr>
          <w:sz w:val="26"/>
          <w:szCs w:val="26"/>
        </w:rPr>
        <w:t xml:space="preserve"> have unfortunately been some delays incurred in the matter</w:t>
      </w:r>
      <w:r w:rsidR="00077427" w:rsidRPr="000A24D5">
        <w:rPr>
          <w:sz w:val="26"/>
          <w:szCs w:val="26"/>
        </w:rPr>
        <w:t xml:space="preserve"> and both the applicant and the respondents seek condonation for the late filing of the</w:t>
      </w:r>
      <w:r w:rsidR="0086008D" w:rsidRPr="000A24D5">
        <w:rPr>
          <w:sz w:val="26"/>
          <w:szCs w:val="26"/>
        </w:rPr>
        <w:t>ir</w:t>
      </w:r>
      <w:r w:rsidR="00077427" w:rsidRPr="000A24D5">
        <w:rPr>
          <w:sz w:val="26"/>
          <w:szCs w:val="26"/>
        </w:rPr>
        <w:t xml:space="preserve"> papers in Part B.</w:t>
      </w:r>
      <w:r w:rsidR="00744EAD" w:rsidRPr="000A24D5">
        <w:rPr>
          <w:sz w:val="26"/>
          <w:szCs w:val="26"/>
        </w:rPr>
        <w:t xml:space="preserve"> Although the </w:t>
      </w:r>
      <w:r w:rsidR="009A4EC3" w:rsidRPr="000A24D5">
        <w:rPr>
          <w:sz w:val="26"/>
          <w:szCs w:val="26"/>
        </w:rPr>
        <w:t xml:space="preserve">Part </w:t>
      </w:r>
      <w:r w:rsidR="00596559" w:rsidRPr="000A24D5">
        <w:rPr>
          <w:sz w:val="26"/>
          <w:szCs w:val="26"/>
        </w:rPr>
        <w:t>A</w:t>
      </w:r>
      <w:r w:rsidR="009A4EC3" w:rsidRPr="000A24D5">
        <w:rPr>
          <w:sz w:val="26"/>
          <w:szCs w:val="26"/>
        </w:rPr>
        <w:t xml:space="preserve"> judgment </w:t>
      </w:r>
      <w:r w:rsidR="00744EAD" w:rsidRPr="000A24D5">
        <w:rPr>
          <w:sz w:val="26"/>
          <w:szCs w:val="26"/>
        </w:rPr>
        <w:t>is dated</w:t>
      </w:r>
      <w:r w:rsidR="009A4EC3" w:rsidRPr="000A24D5">
        <w:rPr>
          <w:sz w:val="26"/>
          <w:szCs w:val="26"/>
        </w:rPr>
        <w:t xml:space="preserve"> 21 December 2020, </w:t>
      </w:r>
      <w:r w:rsidR="00744EAD" w:rsidRPr="000A24D5">
        <w:rPr>
          <w:sz w:val="26"/>
          <w:szCs w:val="26"/>
        </w:rPr>
        <w:t xml:space="preserve">and the Minister’s amplified reasons were </w:t>
      </w:r>
      <w:r w:rsidR="00077427" w:rsidRPr="000A24D5">
        <w:rPr>
          <w:sz w:val="26"/>
          <w:szCs w:val="26"/>
        </w:rPr>
        <w:t>delivered on</w:t>
      </w:r>
      <w:r w:rsidR="00744EAD" w:rsidRPr="000A24D5">
        <w:rPr>
          <w:sz w:val="26"/>
          <w:szCs w:val="26"/>
        </w:rPr>
        <w:t xml:space="preserve"> 09 April 2021, </w:t>
      </w:r>
      <w:r w:rsidR="009A4EC3" w:rsidRPr="000A24D5">
        <w:rPr>
          <w:sz w:val="26"/>
          <w:szCs w:val="26"/>
        </w:rPr>
        <w:t>there was a deafening silence in the matter</w:t>
      </w:r>
      <w:r w:rsidR="00914663" w:rsidRPr="000A24D5">
        <w:rPr>
          <w:sz w:val="26"/>
          <w:szCs w:val="26"/>
        </w:rPr>
        <w:t xml:space="preserve"> until the delivery of t</w:t>
      </w:r>
      <w:r w:rsidR="00077427" w:rsidRPr="000A24D5">
        <w:rPr>
          <w:sz w:val="26"/>
          <w:szCs w:val="26"/>
        </w:rPr>
        <w:t>he applicant’s supplementary affidavit on 31 March 2022.</w:t>
      </w:r>
    </w:p>
    <w:p w:rsidR="00077427" w:rsidRPr="00224D2B" w:rsidRDefault="00077427" w:rsidP="00077427">
      <w:pPr>
        <w:pStyle w:val="ListParagraph"/>
        <w:spacing w:line="360" w:lineRule="auto"/>
        <w:ind w:left="142"/>
        <w:jc w:val="both"/>
        <w:rPr>
          <w:sz w:val="26"/>
          <w:szCs w:val="26"/>
        </w:rPr>
      </w:pPr>
    </w:p>
    <w:p w:rsidR="00077427" w:rsidRPr="000A24D5" w:rsidRDefault="000A24D5" w:rsidP="000A24D5">
      <w:pPr>
        <w:spacing w:line="360" w:lineRule="auto"/>
        <w:ind w:firstLine="142"/>
        <w:jc w:val="both"/>
        <w:rPr>
          <w:sz w:val="26"/>
          <w:szCs w:val="26"/>
        </w:rPr>
      </w:pPr>
      <w:r w:rsidRPr="00224D2B">
        <w:rPr>
          <w:sz w:val="26"/>
          <w:szCs w:val="26"/>
        </w:rPr>
        <w:t>[10]</w:t>
      </w:r>
      <w:r w:rsidRPr="00224D2B">
        <w:rPr>
          <w:sz w:val="26"/>
          <w:szCs w:val="26"/>
        </w:rPr>
        <w:tab/>
      </w:r>
      <w:r w:rsidR="00077427" w:rsidRPr="000A24D5">
        <w:rPr>
          <w:sz w:val="26"/>
          <w:szCs w:val="26"/>
        </w:rPr>
        <w:t xml:space="preserve">The applicant has explained that </w:t>
      </w:r>
      <w:r w:rsidR="00914663" w:rsidRPr="000A24D5">
        <w:rPr>
          <w:sz w:val="26"/>
          <w:szCs w:val="26"/>
        </w:rPr>
        <w:t>the</w:t>
      </w:r>
      <w:r w:rsidR="00077427" w:rsidRPr="000A24D5">
        <w:rPr>
          <w:sz w:val="26"/>
          <w:szCs w:val="26"/>
        </w:rPr>
        <w:t xml:space="preserve"> delay in filing his supplementary affidavit was due to the respondents’ lateness in complying with the requirement to notify the third parties involved, and that in fact he took it upon himself to find and contact the affected </w:t>
      </w:r>
      <w:r w:rsidR="00077427" w:rsidRPr="000A24D5">
        <w:rPr>
          <w:sz w:val="26"/>
          <w:szCs w:val="26"/>
        </w:rPr>
        <w:lastRenderedPageBreak/>
        <w:t xml:space="preserve">persons for service.  He adds that he moved to the United Kingdom which delayed obtaining access to the High Commission in London in order to depose to the supplementary founding affidavit.  </w:t>
      </w:r>
    </w:p>
    <w:p w:rsidR="00077427" w:rsidRPr="00224D2B" w:rsidRDefault="00077427" w:rsidP="00077427">
      <w:pPr>
        <w:spacing w:line="360" w:lineRule="auto"/>
        <w:jc w:val="both"/>
        <w:rPr>
          <w:sz w:val="26"/>
          <w:szCs w:val="26"/>
        </w:rPr>
      </w:pPr>
    </w:p>
    <w:p w:rsidR="00744EAD" w:rsidRPr="000A24D5" w:rsidRDefault="000A24D5" w:rsidP="000A24D5">
      <w:pPr>
        <w:spacing w:line="360" w:lineRule="auto"/>
        <w:ind w:firstLine="142"/>
        <w:jc w:val="both"/>
        <w:rPr>
          <w:sz w:val="26"/>
          <w:szCs w:val="26"/>
        </w:rPr>
      </w:pPr>
      <w:r w:rsidRPr="00224D2B">
        <w:rPr>
          <w:sz w:val="26"/>
          <w:szCs w:val="26"/>
        </w:rPr>
        <w:t>[11]</w:t>
      </w:r>
      <w:r w:rsidRPr="00224D2B">
        <w:rPr>
          <w:sz w:val="26"/>
          <w:szCs w:val="26"/>
        </w:rPr>
        <w:tab/>
      </w:r>
      <w:r w:rsidR="009A4EC3" w:rsidRPr="000A24D5">
        <w:rPr>
          <w:sz w:val="26"/>
          <w:szCs w:val="26"/>
        </w:rPr>
        <w:t xml:space="preserve"> </w:t>
      </w:r>
      <w:r w:rsidR="00077427" w:rsidRPr="000A24D5">
        <w:rPr>
          <w:sz w:val="26"/>
          <w:szCs w:val="26"/>
        </w:rPr>
        <w:t>The third parties were only notified in October 2022 which was just before the hearing before this Court</w:t>
      </w:r>
      <w:r w:rsidR="00914663" w:rsidRPr="000A24D5">
        <w:rPr>
          <w:sz w:val="26"/>
          <w:szCs w:val="26"/>
        </w:rPr>
        <w:t xml:space="preserve"> on 9 November 2022</w:t>
      </w:r>
      <w:r w:rsidR="00077427" w:rsidRPr="000A24D5">
        <w:rPr>
          <w:sz w:val="26"/>
          <w:szCs w:val="26"/>
        </w:rPr>
        <w:t>. The respondents explain that the delay</w:t>
      </w:r>
      <w:r w:rsidR="00744EAD" w:rsidRPr="000A24D5">
        <w:rPr>
          <w:sz w:val="26"/>
          <w:szCs w:val="26"/>
        </w:rPr>
        <w:t xml:space="preserve"> was due to a</w:t>
      </w:r>
      <w:r w:rsidR="009A4EC3" w:rsidRPr="000A24D5">
        <w:rPr>
          <w:sz w:val="26"/>
          <w:szCs w:val="26"/>
        </w:rPr>
        <w:t xml:space="preserve"> change of attorneys assigned to </w:t>
      </w:r>
      <w:r w:rsidR="00914663" w:rsidRPr="000A24D5">
        <w:rPr>
          <w:sz w:val="26"/>
          <w:szCs w:val="26"/>
        </w:rPr>
        <w:t xml:space="preserve">represent the respondents </w:t>
      </w:r>
      <w:r w:rsidR="009A4EC3" w:rsidRPr="000A24D5">
        <w:rPr>
          <w:sz w:val="26"/>
          <w:szCs w:val="26"/>
        </w:rPr>
        <w:t xml:space="preserve">at the State Attorney. The result of this changeover is that the supplementary affidavit </w:t>
      </w:r>
      <w:r w:rsidR="00077427" w:rsidRPr="000A24D5">
        <w:rPr>
          <w:sz w:val="26"/>
          <w:szCs w:val="26"/>
        </w:rPr>
        <w:t>of</w:t>
      </w:r>
      <w:r w:rsidR="009A4EC3" w:rsidRPr="000A24D5">
        <w:rPr>
          <w:sz w:val="26"/>
          <w:szCs w:val="26"/>
        </w:rPr>
        <w:t xml:space="preserve"> the applicant </w:t>
      </w:r>
      <w:r w:rsidR="00077427" w:rsidRPr="000A24D5">
        <w:rPr>
          <w:sz w:val="26"/>
          <w:szCs w:val="26"/>
        </w:rPr>
        <w:t xml:space="preserve">which was delivered </w:t>
      </w:r>
      <w:r w:rsidR="009A4EC3" w:rsidRPr="000A24D5">
        <w:rPr>
          <w:sz w:val="26"/>
          <w:szCs w:val="26"/>
        </w:rPr>
        <w:t>on 31 March 2022 was not detected by the State Attorney</w:t>
      </w:r>
      <w:r w:rsidR="00077427" w:rsidRPr="000A24D5">
        <w:rPr>
          <w:sz w:val="26"/>
          <w:szCs w:val="26"/>
        </w:rPr>
        <w:t>. N</w:t>
      </w:r>
      <w:r w:rsidR="009A4EC3" w:rsidRPr="000A24D5">
        <w:rPr>
          <w:sz w:val="26"/>
          <w:szCs w:val="26"/>
        </w:rPr>
        <w:t xml:space="preserve">either was the notice of set down which was served upon them on 20 July 2022.  In fact, the applicant’s heads of argument for the hearing of 9 November 2022 were filed before receipt of the respondents’ answering affidavit in Part B of the application, on 19 October 2022.  </w:t>
      </w:r>
    </w:p>
    <w:p w:rsidR="00077427" w:rsidRPr="00224D2B" w:rsidRDefault="00077427" w:rsidP="00077427">
      <w:pPr>
        <w:pStyle w:val="ListParagraph"/>
        <w:rPr>
          <w:sz w:val="26"/>
          <w:szCs w:val="26"/>
        </w:rPr>
      </w:pPr>
    </w:p>
    <w:p w:rsidR="009A4EC3" w:rsidRPr="000A24D5" w:rsidRDefault="000A24D5" w:rsidP="000A24D5">
      <w:pPr>
        <w:spacing w:line="360" w:lineRule="auto"/>
        <w:ind w:firstLine="142"/>
        <w:jc w:val="both"/>
        <w:rPr>
          <w:sz w:val="26"/>
          <w:szCs w:val="26"/>
        </w:rPr>
      </w:pPr>
      <w:r w:rsidRPr="00224D2B">
        <w:rPr>
          <w:sz w:val="26"/>
          <w:szCs w:val="26"/>
        </w:rPr>
        <w:t>[12]</w:t>
      </w:r>
      <w:r w:rsidRPr="00224D2B">
        <w:rPr>
          <w:sz w:val="26"/>
          <w:szCs w:val="26"/>
        </w:rPr>
        <w:tab/>
      </w:r>
      <w:r w:rsidR="00077427" w:rsidRPr="000A24D5">
        <w:rPr>
          <w:sz w:val="26"/>
          <w:szCs w:val="26"/>
        </w:rPr>
        <w:t>After considering the explanations furnished by both sides, and the fact that neither party is prejudiced since they have obtained opportunity to exchange affidavits, the condonation applications are granted.</w:t>
      </w:r>
    </w:p>
    <w:p w:rsidR="007C7C7E" w:rsidRPr="00224D2B" w:rsidRDefault="007C7C7E" w:rsidP="007C7C7E">
      <w:pPr>
        <w:spacing w:line="360" w:lineRule="auto"/>
        <w:jc w:val="both"/>
        <w:rPr>
          <w:sz w:val="26"/>
          <w:szCs w:val="26"/>
        </w:rPr>
      </w:pPr>
    </w:p>
    <w:p w:rsidR="009A4EC3" w:rsidRPr="000A24D5" w:rsidRDefault="000A24D5" w:rsidP="000A24D5">
      <w:pPr>
        <w:spacing w:line="360" w:lineRule="auto"/>
        <w:ind w:firstLine="142"/>
        <w:jc w:val="both"/>
        <w:rPr>
          <w:sz w:val="26"/>
          <w:szCs w:val="26"/>
        </w:rPr>
      </w:pPr>
      <w:r w:rsidRPr="00224D2B">
        <w:rPr>
          <w:sz w:val="26"/>
          <w:szCs w:val="26"/>
        </w:rPr>
        <w:t>[13]</w:t>
      </w:r>
      <w:r w:rsidRPr="00224D2B">
        <w:rPr>
          <w:sz w:val="26"/>
          <w:szCs w:val="26"/>
        </w:rPr>
        <w:tab/>
      </w:r>
      <w:r w:rsidR="009A4EC3" w:rsidRPr="000A24D5">
        <w:rPr>
          <w:sz w:val="26"/>
          <w:szCs w:val="26"/>
        </w:rPr>
        <w:t xml:space="preserve">After the hearing of the matter on 9 November 2022, I </w:t>
      </w:r>
      <w:r w:rsidR="00077427" w:rsidRPr="000A24D5">
        <w:rPr>
          <w:sz w:val="26"/>
          <w:szCs w:val="26"/>
        </w:rPr>
        <w:t>invited the parties’</w:t>
      </w:r>
      <w:r w:rsidR="0016542F" w:rsidRPr="000A24D5">
        <w:rPr>
          <w:sz w:val="26"/>
          <w:szCs w:val="26"/>
        </w:rPr>
        <w:t xml:space="preserve"> </w:t>
      </w:r>
      <w:r w:rsidR="00077427" w:rsidRPr="000A24D5">
        <w:rPr>
          <w:sz w:val="26"/>
          <w:szCs w:val="26"/>
        </w:rPr>
        <w:t xml:space="preserve">legal representatives to address the Court on why </w:t>
      </w:r>
      <w:r w:rsidR="009A4EC3" w:rsidRPr="000A24D5">
        <w:rPr>
          <w:sz w:val="26"/>
          <w:szCs w:val="26"/>
        </w:rPr>
        <w:t>an order</w:t>
      </w:r>
      <w:r w:rsidR="00077427" w:rsidRPr="000A24D5">
        <w:rPr>
          <w:sz w:val="26"/>
          <w:szCs w:val="26"/>
        </w:rPr>
        <w:t xml:space="preserve"> should not be</w:t>
      </w:r>
      <w:r w:rsidR="009A4EC3" w:rsidRPr="000A24D5">
        <w:rPr>
          <w:sz w:val="26"/>
          <w:szCs w:val="26"/>
        </w:rPr>
        <w:t xml:space="preserve"> </w:t>
      </w:r>
      <w:r w:rsidR="00077427" w:rsidRPr="000A24D5">
        <w:rPr>
          <w:sz w:val="26"/>
          <w:szCs w:val="26"/>
        </w:rPr>
        <w:t xml:space="preserve">issued </w:t>
      </w:r>
      <w:r w:rsidR="009A4EC3" w:rsidRPr="000A24D5">
        <w:rPr>
          <w:sz w:val="26"/>
          <w:szCs w:val="26"/>
        </w:rPr>
        <w:t xml:space="preserve">for </w:t>
      </w:r>
      <w:r w:rsidR="00077427" w:rsidRPr="000A24D5">
        <w:rPr>
          <w:sz w:val="26"/>
          <w:szCs w:val="26"/>
        </w:rPr>
        <w:t>the Minister to give notice of the present proceedings and to provide a copy of the application to the government of the CAR within a period of one month, and to thereafter report to this Court once that was done</w:t>
      </w:r>
      <w:r w:rsidR="00914663" w:rsidRPr="000A24D5">
        <w:rPr>
          <w:sz w:val="26"/>
          <w:szCs w:val="26"/>
        </w:rPr>
        <w:t>,</w:t>
      </w:r>
      <w:r w:rsidR="00077427" w:rsidRPr="000A24D5">
        <w:rPr>
          <w:sz w:val="26"/>
          <w:szCs w:val="26"/>
        </w:rPr>
        <w:t xml:space="preserve"> including </w:t>
      </w:r>
      <w:r w:rsidR="00914663" w:rsidRPr="000A24D5">
        <w:rPr>
          <w:sz w:val="26"/>
          <w:szCs w:val="26"/>
        </w:rPr>
        <w:t xml:space="preserve">by giving </w:t>
      </w:r>
      <w:r w:rsidR="00077427" w:rsidRPr="000A24D5">
        <w:rPr>
          <w:sz w:val="26"/>
          <w:szCs w:val="26"/>
        </w:rPr>
        <w:t xml:space="preserve">the results thereof. </w:t>
      </w:r>
      <w:r w:rsidR="007C7C7E" w:rsidRPr="000A24D5">
        <w:rPr>
          <w:color w:val="000000" w:themeColor="text1"/>
          <w:sz w:val="26"/>
          <w:szCs w:val="26"/>
        </w:rPr>
        <w:t xml:space="preserve">This was in light of the fact that the definition of a “third party” in PAIA includes </w:t>
      </w:r>
      <w:r w:rsidR="007C7C7E" w:rsidRPr="000A24D5">
        <w:rPr>
          <w:i/>
          <w:iCs/>
          <w:color w:val="000000" w:themeColor="text1"/>
          <w:sz w:val="26"/>
          <w:szCs w:val="26"/>
        </w:rPr>
        <w:t>“the government of a foreign state, an international organisation or an organ of that government or organisation”.</w:t>
      </w:r>
      <w:r w:rsidR="007C7C7E" w:rsidRPr="00224D2B">
        <w:rPr>
          <w:rStyle w:val="FootnoteReference"/>
          <w:i/>
          <w:iCs/>
          <w:color w:val="000000" w:themeColor="text1"/>
          <w:sz w:val="26"/>
          <w:szCs w:val="26"/>
        </w:rPr>
        <w:footnoteReference w:id="1"/>
      </w:r>
      <w:r w:rsidR="007C7C7E" w:rsidRPr="000A24D5">
        <w:rPr>
          <w:color w:val="000000" w:themeColor="text1"/>
          <w:sz w:val="26"/>
          <w:szCs w:val="26"/>
        </w:rPr>
        <w:t xml:space="preserve"> </w:t>
      </w:r>
      <w:r w:rsidR="007C7C7E" w:rsidRPr="000A24D5">
        <w:rPr>
          <w:color w:val="242121"/>
          <w:sz w:val="26"/>
          <w:szCs w:val="26"/>
        </w:rPr>
        <w:t>And d</w:t>
      </w:r>
      <w:r w:rsidR="007C7C7E" w:rsidRPr="000A24D5">
        <w:rPr>
          <w:color w:val="000000" w:themeColor="text1"/>
          <w:sz w:val="26"/>
          <w:szCs w:val="26"/>
        </w:rPr>
        <w:t>espite the order in the Part A judgment</w:t>
      </w:r>
      <w:r w:rsidR="00914663" w:rsidRPr="000A24D5">
        <w:rPr>
          <w:color w:val="000000" w:themeColor="text1"/>
          <w:sz w:val="26"/>
          <w:szCs w:val="26"/>
        </w:rPr>
        <w:t xml:space="preserve"> for the respondents to notify the third parties of this matter</w:t>
      </w:r>
      <w:r w:rsidR="007C7C7E" w:rsidRPr="000A24D5">
        <w:rPr>
          <w:color w:val="000000" w:themeColor="text1"/>
          <w:sz w:val="26"/>
          <w:szCs w:val="26"/>
        </w:rPr>
        <w:t xml:space="preserve">, the CAR had still not been apprised of the applicant’s request for disclosure of information. Moreover, </w:t>
      </w:r>
      <w:r w:rsidR="007C7C7E" w:rsidRPr="000A24D5">
        <w:rPr>
          <w:color w:val="000000" w:themeColor="text1"/>
          <w:sz w:val="26"/>
          <w:szCs w:val="26"/>
          <w:lang w:val="en-US"/>
        </w:rPr>
        <w:t>as will be evident below the respondents</w:t>
      </w:r>
      <w:r w:rsidR="00914663" w:rsidRPr="000A24D5">
        <w:rPr>
          <w:color w:val="000000" w:themeColor="text1"/>
          <w:sz w:val="26"/>
          <w:szCs w:val="26"/>
          <w:lang w:val="en-US"/>
        </w:rPr>
        <w:t>’ defence in this matter</w:t>
      </w:r>
      <w:r w:rsidR="007C7C7E" w:rsidRPr="000A24D5">
        <w:rPr>
          <w:color w:val="000000" w:themeColor="text1"/>
          <w:sz w:val="26"/>
          <w:szCs w:val="26"/>
          <w:lang w:val="en-US"/>
        </w:rPr>
        <w:t xml:space="preserve"> </w:t>
      </w:r>
      <w:r w:rsidR="007C7C7E" w:rsidRPr="000A24D5">
        <w:rPr>
          <w:color w:val="000000" w:themeColor="text1"/>
          <w:sz w:val="26"/>
          <w:szCs w:val="26"/>
          <w:lang w:val="en-US"/>
        </w:rPr>
        <w:lastRenderedPageBreak/>
        <w:t>relie</w:t>
      </w:r>
      <w:r w:rsidR="00914663" w:rsidRPr="000A24D5">
        <w:rPr>
          <w:color w:val="000000" w:themeColor="text1"/>
          <w:sz w:val="26"/>
          <w:szCs w:val="26"/>
          <w:lang w:val="en-US"/>
        </w:rPr>
        <w:t>s</w:t>
      </w:r>
      <w:r w:rsidR="007C7C7E" w:rsidRPr="000A24D5">
        <w:rPr>
          <w:color w:val="000000" w:themeColor="text1"/>
          <w:sz w:val="26"/>
          <w:szCs w:val="26"/>
          <w:lang w:val="en-US"/>
        </w:rPr>
        <w:t xml:space="preserve"> in part on the fact that the CAR had not been so apprised of the applicant</w:t>
      </w:r>
      <w:r w:rsidR="007C7C7E" w:rsidRPr="000A24D5">
        <w:rPr>
          <w:color w:val="000000" w:themeColor="text1"/>
          <w:sz w:val="26"/>
          <w:szCs w:val="26"/>
        </w:rPr>
        <w:t>’</w:t>
      </w:r>
      <w:r w:rsidR="007C7C7E" w:rsidRPr="000A24D5">
        <w:rPr>
          <w:color w:val="000000" w:themeColor="text1"/>
          <w:sz w:val="26"/>
          <w:szCs w:val="26"/>
          <w:lang w:val="en-US"/>
        </w:rPr>
        <w:t>s application. T</w:t>
      </w:r>
      <w:r w:rsidR="0016542F" w:rsidRPr="000A24D5">
        <w:rPr>
          <w:sz w:val="26"/>
          <w:szCs w:val="26"/>
        </w:rPr>
        <w:t>here was no objection</w:t>
      </w:r>
      <w:r w:rsidR="007C7C7E" w:rsidRPr="000A24D5">
        <w:rPr>
          <w:sz w:val="26"/>
          <w:szCs w:val="26"/>
        </w:rPr>
        <w:t xml:space="preserve"> to the Court’s proposed order, and a</w:t>
      </w:r>
      <w:r w:rsidR="0016542F" w:rsidRPr="000A24D5">
        <w:rPr>
          <w:sz w:val="26"/>
          <w:szCs w:val="26"/>
        </w:rPr>
        <w:t xml:space="preserve">n order </w:t>
      </w:r>
      <w:r w:rsidR="0086008D" w:rsidRPr="000A24D5">
        <w:rPr>
          <w:sz w:val="26"/>
          <w:szCs w:val="26"/>
        </w:rPr>
        <w:t xml:space="preserve">in those terms </w:t>
      </w:r>
      <w:r w:rsidR="0016542F" w:rsidRPr="000A24D5">
        <w:rPr>
          <w:sz w:val="26"/>
          <w:szCs w:val="26"/>
        </w:rPr>
        <w:t xml:space="preserve">was subsequently granted on </w:t>
      </w:r>
      <w:r w:rsidR="005D00FF" w:rsidRPr="000A24D5">
        <w:rPr>
          <w:sz w:val="26"/>
          <w:szCs w:val="26"/>
        </w:rPr>
        <w:t xml:space="preserve">2 </w:t>
      </w:r>
      <w:r w:rsidR="00077427" w:rsidRPr="000A24D5">
        <w:rPr>
          <w:sz w:val="26"/>
          <w:szCs w:val="26"/>
        </w:rPr>
        <w:t>December 2022</w:t>
      </w:r>
      <w:r w:rsidR="0016542F" w:rsidRPr="000A24D5">
        <w:rPr>
          <w:sz w:val="26"/>
          <w:szCs w:val="26"/>
        </w:rPr>
        <w:t>.</w:t>
      </w:r>
    </w:p>
    <w:p w:rsidR="009D2E82" w:rsidRPr="00224D2B" w:rsidRDefault="009D2E82" w:rsidP="00077427">
      <w:pPr>
        <w:rPr>
          <w:sz w:val="26"/>
          <w:szCs w:val="26"/>
        </w:rPr>
      </w:pPr>
    </w:p>
    <w:p w:rsidR="009D2E82" w:rsidRPr="000A24D5" w:rsidRDefault="000A24D5" w:rsidP="000A24D5">
      <w:pPr>
        <w:spacing w:line="360" w:lineRule="auto"/>
        <w:ind w:firstLine="142"/>
        <w:jc w:val="both"/>
        <w:rPr>
          <w:sz w:val="26"/>
          <w:szCs w:val="26"/>
        </w:rPr>
      </w:pPr>
      <w:r w:rsidRPr="00224D2B">
        <w:rPr>
          <w:sz w:val="26"/>
          <w:szCs w:val="26"/>
        </w:rPr>
        <w:t>[14]</w:t>
      </w:r>
      <w:r w:rsidRPr="00224D2B">
        <w:rPr>
          <w:sz w:val="26"/>
          <w:szCs w:val="26"/>
        </w:rPr>
        <w:tab/>
      </w:r>
      <w:r w:rsidR="009D2E82" w:rsidRPr="000A24D5">
        <w:rPr>
          <w:sz w:val="26"/>
          <w:szCs w:val="26"/>
        </w:rPr>
        <w:t xml:space="preserve">Again, there was a deafening silence in the matter until 10 October 2023, when the applicant’s legal representatives informed </w:t>
      </w:r>
      <w:r w:rsidR="0086008D" w:rsidRPr="000A24D5">
        <w:rPr>
          <w:sz w:val="26"/>
          <w:szCs w:val="26"/>
        </w:rPr>
        <w:t>th</w:t>
      </w:r>
      <w:r w:rsidR="009D2E82" w:rsidRPr="000A24D5">
        <w:rPr>
          <w:sz w:val="26"/>
          <w:szCs w:val="26"/>
        </w:rPr>
        <w:t>e</w:t>
      </w:r>
      <w:r w:rsidR="0086008D" w:rsidRPr="000A24D5">
        <w:rPr>
          <w:sz w:val="26"/>
          <w:szCs w:val="26"/>
        </w:rPr>
        <w:t xml:space="preserve"> Court</w:t>
      </w:r>
      <w:r w:rsidR="009D2E82" w:rsidRPr="000A24D5">
        <w:rPr>
          <w:sz w:val="26"/>
          <w:szCs w:val="26"/>
        </w:rPr>
        <w:t xml:space="preserve"> that there had been compliance with the order of December 2022.  For reasons </w:t>
      </w:r>
      <w:r w:rsidR="0086008D" w:rsidRPr="000A24D5">
        <w:rPr>
          <w:sz w:val="26"/>
          <w:szCs w:val="26"/>
        </w:rPr>
        <w:t xml:space="preserve">still </w:t>
      </w:r>
      <w:r w:rsidR="009D2E82" w:rsidRPr="000A24D5">
        <w:rPr>
          <w:sz w:val="26"/>
          <w:szCs w:val="26"/>
        </w:rPr>
        <w:t>unexplained, such compliance was never filed</w:t>
      </w:r>
      <w:r w:rsidR="00847DCE" w:rsidRPr="000A24D5">
        <w:rPr>
          <w:sz w:val="26"/>
          <w:szCs w:val="26"/>
        </w:rPr>
        <w:t xml:space="preserve"> or brought to my attention</w:t>
      </w:r>
      <w:r w:rsidR="009D2E82" w:rsidRPr="000A24D5">
        <w:rPr>
          <w:sz w:val="26"/>
          <w:szCs w:val="26"/>
        </w:rPr>
        <w:t xml:space="preserve">, and after </w:t>
      </w:r>
      <w:r w:rsidR="0086008D" w:rsidRPr="000A24D5">
        <w:rPr>
          <w:sz w:val="26"/>
          <w:szCs w:val="26"/>
        </w:rPr>
        <w:t xml:space="preserve">further </w:t>
      </w:r>
      <w:r w:rsidR="009D2E82" w:rsidRPr="000A24D5">
        <w:rPr>
          <w:sz w:val="26"/>
          <w:szCs w:val="26"/>
        </w:rPr>
        <w:t>inquiry</w:t>
      </w:r>
      <w:r w:rsidR="00847DCE" w:rsidRPr="000A24D5">
        <w:rPr>
          <w:sz w:val="26"/>
          <w:szCs w:val="26"/>
        </w:rPr>
        <w:t>,</w:t>
      </w:r>
      <w:r w:rsidR="009D2E82" w:rsidRPr="000A24D5">
        <w:rPr>
          <w:sz w:val="26"/>
          <w:szCs w:val="26"/>
        </w:rPr>
        <w:t xml:space="preserve"> I was provided with an affidavit from the applicant’s legal representatives explaining in essence that the Minister had indeed complied with the order of </w:t>
      </w:r>
      <w:r w:rsidR="00914663" w:rsidRPr="000A24D5">
        <w:rPr>
          <w:sz w:val="26"/>
          <w:szCs w:val="26"/>
        </w:rPr>
        <w:t xml:space="preserve">2 </w:t>
      </w:r>
      <w:r w:rsidR="009D2E82" w:rsidRPr="000A24D5">
        <w:rPr>
          <w:sz w:val="26"/>
          <w:szCs w:val="26"/>
        </w:rPr>
        <w:t xml:space="preserve">December 2022 by sending a </w:t>
      </w:r>
      <w:r w:rsidR="009D2E82" w:rsidRPr="000A24D5">
        <w:rPr>
          <w:i/>
          <w:iCs/>
          <w:sz w:val="26"/>
          <w:szCs w:val="26"/>
        </w:rPr>
        <w:t xml:space="preserve">note verbale </w:t>
      </w:r>
      <w:r w:rsidR="00847DCE" w:rsidRPr="000A24D5">
        <w:rPr>
          <w:sz w:val="26"/>
          <w:szCs w:val="26"/>
        </w:rPr>
        <w:t>to</w:t>
      </w:r>
      <w:r w:rsidR="009D2E82" w:rsidRPr="000A24D5">
        <w:rPr>
          <w:sz w:val="26"/>
          <w:szCs w:val="26"/>
        </w:rPr>
        <w:t xml:space="preserve"> the embassy of the CAR</w:t>
      </w:r>
      <w:r w:rsidR="00847DCE" w:rsidRPr="000A24D5">
        <w:rPr>
          <w:sz w:val="26"/>
          <w:szCs w:val="26"/>
        </w:rPr>
        <w:t xml:space="preserve"> - via</w:t>
      </w:r>
      <w:r w:rsidR="009D2E82" w:rsidRPr="000A24D5">
        <w:rPr>
          <w:sz w:val="26"/>
          <w:szCs w:val="26"/>
        </w:rPr>
        <w:t xml:space="preserve"> </w:t>
      </w:r>
      <w:r w:rsidR="00847DCE" w:rsidRPr="000A24D5">
        <w:rPr>
          <w:sz w:val="26"/>
          <w:szCs w:val="26"/>
        </w:rPr>
        <w:t>the Department of International Relations and Cooperation (</w:t>
      </w:r>
      <w:r w:rsidR="00847DCE" w:rsidRPr="000A24D5">
        <w:rPr>
          <w:i/>
          <w:iCs/>
          <w:sz w:val="26"/>
          <w:szCs w:val="26"/>
        </w:rPr>
        <w:t>“DIRCO”</w:t>
      </w:r>
      <w:r w:rsidR="00847DCE" w:rsidRPr="000A24D5">
        <w:rPr>
          <w:sz w:val="26"/>
          <w:szCs w:val="26"/>
        </w:rPr>
        <w:t xml:space="preserve">) - </w:t>
      </w:r>
      <w:r w:rsidR="009D2E82" w:rsidRPr="000A24D5">
        <w:rPr>
          <w:sz w:val="26"/>
          <w:szCs w:val="26"/>
        </w:rPr>
        <w:t xml:space="preserve">on 15 December 2022 </w:t>
      </w:r>
      <w:r w:rsidR="00847DCE" w:rsidRPr="000A24D5">
        <w:rPr>
          <w:sz w:val="26"/>
          <w:szCs w:val="26"/>
        </w:rPr>
        <w:t xml:space="preserve">attaching </w:t>
      </w:r>
      <w:r w:rsidR="009D2E82" w:rsidRPr="000A24D5">
        <w:rPr>
          <w:sz w:val="26"/>
          <w:szCs w:val="26"/>
        </w:rPr>
        <w:t xml:space="preserve">the papers in this matter. </w:t>
      </w:r>
      <w:r w:rsidR="00847DCE" w:rsidRPr="000A24D5">
        <w:rPr>
          <w:sz w:val="26"/>
          <w:szCs w:val="26"/>
        </w:rPr>
        <w:t>T</w:t>
      </w:r>
      <w:r w:rsidR="009D2E82" w:rsidRPr="000A24D5">
        <w:rPr>
          <w:sz w:val="26"/>
          <w:szCs w:val="26"/>
        </w:rPr>
        <w:t>he</w:t>
      </w:r>
      <w:r w:rsidR="00847DCE" w:rsidRPr="000A24D5">
        <w:rPr>
          <w:sz w:val="26"/>
          <w:szCs w:val="26"/>
        </w:rPr>
        <w:t xml:space="preserve"> affidavit also annexed </w:t>
      </w:r>
      <w:r w:rsidR="009D2E82" w:rsidRPr="000A24D5">
        <w:rPr>
          <w:sz w:val="26"/>
          <w:szCs w:val="26"/>
        </w:rPr>
        <w:t xml:space="preserve">correspondence between </w:t>
      </w:r>
      <w:r w:rsidR="00847DCE" w:rsidRPr="000A24D5">
        <w:rPr>
          <w:sz w:val="26"/>
          <w:szCs w:val="26"/>
        </w:rPr>
        <w:t>DIRCO</w:t>
      </w:r>
      <w:r w:rsidR="00847DCE" w:rsidRPr="000A24D5">
        <w:rPr>
          <w:i/>
          <w:iCs/>
          <w:sz w:val="26"/>
          <w:szCs w:val="26"/>
        </w:rPr>
        <w:t xml:space="preserve"> </w:t>
      </w:r>
      <w:r w:rsidR="009D2E82" w:rsidRPr="000A24D5">
        <w:rPr>
          <w:sz w:val="26"/>
          <w:szCs w:val="26"/>
        </w:rPr>
        <w:t xml:space="preserve">and the Department confirming that the CAR had not responded to the </w:t>
      </w:r>
      <w:r w:rsidR="009D2E82" w:rsidRPr="000A24D5">
        <w:rPr>
          <w:i/>
          <w:iCs/>
          <w:sz w:val="26"/>
          <w:szCs w:val="26"/>
        </w:rPr>
        <w:t>note verbale</w:t>
      </w:r>
      <w:r w:rsidR="009D2E82" w:rsidRPr="000A24D5">
        <w:rPr>
          <w:sz w:val="26"/>
          <w:szCs w:val="26"/>
        </w:rPr>
        <w:t xml:space="preserve"> and was probably not going to do so.  I am therefore satisfied that the order of December 2022 was complied with.</w:t>
      </w:r>
    </w:p>
    <w:p w:rsidR="00101A9F" w:rsidRPr="00224D2B" w:rsidRDefault="00101A9F" w:rsidP="00101A9F">
      <w:pPr>
        <w:pStyle w:val="ListParagraph"/>
        <w:rPr>
          <w:sz w:val="26"/>
          <w:szCs w:val="26"/>
        </w:rPr>
      </w:pPr>
    </w:p>
    <w:p w:rsidR="00F124DB" w:rsidRPr="00224D2B" w:rsidRDefault="00F124DB" w:rsidP="00101A9F">
      <w:pPr>
        <w:rPr>
          <w:sz w:val="26"/>
          <w:szCs w:val="26"/>
        </w:rPr>
      </w:pPr>
    </w:p>
    <w:p w:rsidR="00EA3766" w:rsidRPr="000A24D5" w:rsidRDefault="000A24D5" w:rsidP="000A24D5">
      <w:pPr>
        <w:spacing w:line="360" w:lineRule="auto"/>
        <w:ind w:left="720" w:hanging="720"/>
        <w:jc w:val="both"/>
        <w:rPr>
          <w:b/>
          <w:bCs/>
          <w:sz w:val="26"/>
          <w:szCs w:val="26"/>
          <w:u w:val="single"/>
        </w:rPr>
      </w:pPr>
      <w:r w:rsidRPr="00224D2B">
        <w:rPr>
          <w:b/>
          <w:bCs/>
          <w:sz w:val="26"/>
          <w:szCs w:val="26"/>
        </w:rPr>
        <w:t>D.</w:t>
      </w:r>
      <w:r w:rsidRPr="00224D2B">
        <w:rPr>
          <w:b/>
          <w:bCs/>
          <w:sz w:val="26"/>
          <w:szCs w:val="26"/>
        </w:rPr>
        <w:tab/>
      </w:r>
      <w:r w:rsidR="00EA3766" w:rsidRPr="000A24D5">
        <w:rPr>
          <w:b/>
          <w:bCs/>
          <w:sz w:val="26"/>
          <w:szCs w:val="26"/>
          <w:u w:val="single"/>
        </w:rPr>
        <w:t>THE APPLICABLE LAW</w:t>
      </w:r>
    </w:p>
    <w:p w:rsidR="00EA3766" w:rsidRPr="000A24D5" w:rsidRDefault="000A24D5" w:rsidP="000A24D5">
      <w:pPr>
        <w:spacing w:line="360" w:lineRule="auto"/>
        <w:ind w:firstLine="142"/>
        <w:jc w:val="both"/>
        <w:rPr>
          <w:sz w:val="26"/>
          <w:szCs w:val="26"/>
          <w:lang w:val="en-US"/>
        </w:rPr>
      </w:pPr>
      <w:r w:rsidRPr="009F79D6">
        <w:rPr>
          <w:sz w:val="26"/>
          <w:szCs w:val="26"/>
          <w:lang w:val="en-US"/>
        </w:rPr>
        <w:t>[15]</w:t>
      </w:r>
      <w:r w:rsidRPr="009F79D6">
        <w:rPr>
          <w:sz w:val="26"/>
          <w:szCs w:val="26"/>
          <w:lang w:val="en-US"/>
        </w:rPr>
        <w:tab/>
      </w:r>
      <w:r w:rsidR="00EA3766" w:rsidRPr="000A24D5">
        <w:rPr>
          <w:sz w:val="26"/>
          <w:szCs w:val="26"/>
          <w:lang w:val="en-GB"/>
        </w:rPr>
        <w:t xml:space="preserve">The constitutional right of access to information is governed by section 32 of the Constitution, which provides, in relevant part, that </w:t>
      </w:r>
      <w:r w:rsidR="00EA3766" w:rsidRPr="000A24D5">
        <w:rPr>
          <w:i/>
          <w:iCs/>
          <w:sz w:val="26"/>
          <w:szCs w:val="26"/>
          <w:lang w:val="en-GB"/>
        </w:rPr>
        <w:t>“[e]veryone has the right of access to any information held by the state”</w:t>
      </w:r>
      <w:r w:rsidR="00EA3766" w:rsidRPr="009F79D6">
        <w:rPr>
          <w:rStyle w:val="FootnoteReference"/>
          <w:rFonts w:eastAsiaTheme="majorEastAsia"/>
          <w:sz w:val="26"/>
          <w:szCs w:val="26"/>
          <w:lang w:val="en-GB"/>
        </w:rPr>
        <w:footnoteReference w:id="2"/>
      </w:r>
      <w:r w:rsidR="00EA3766" w:rsidRPr="000A24D5">
        <w:rPr>
          <w:sz w:val="26"/>
          <w:szCs w:val="26"/>
          <w:lang w:val="en-GB"/>
        </w:rPr>
        <w:t>.</w:t>
      </w:r>
      <w:bookmarkStart w:id="1" w:name="_Ref302728730"/>
      <w:bookmarkEnd w:id="1"/>
      <w:r w:rsidR="00EA3766" w:rsidRPr="000A24D5">
        <w:rPr>
          <w:sz w:val="26"/>
          <w:szCs w:val="26"/>
          <w:lang w:val="en-GB"/>
        </w:rPr>
        <w:t xml:space="preserve"> </w:t>
      </w:r>
      <w:r w:rsidR="00EA3766" w:rsidRPr="000A24D5">
        <w:rPr>
          <w:sz w:val="26"/>
          <w:szCs w:val="26"/>
        </w:rPr>
        <w:t>It has been held</w:t>
      </w:r>
      <w:r w:rsidR="00EA3766" w:rsidRPr="009F79D6">
        <w:rPr>
          <w:rStyle w:val="FootnoteReference"/>
          <w:rFonts w:eastAsiaTheme="majorEastAsia"/>
          <w:sz w:val="26"/>
          <w:szCs w:val="26"/>
        </w:rPr>
        <w:footnoteReference w:id="3"/>
      </w:r>
      <w:r w:rsidR="00EA3766" w:rsidRPr="000A24D5">
        <w:rPr>
          <w:sz w:val="26"/>
          <w:szCs w:val="26"/>
        </w:rPr>
        <w:t xml:space="preserve"> that </w:t>
      </w:r>
      <w:r w:rsidR="00EA3766" w:rsidRPr="000A24D5">
        <w:rPr>
          <w:sz w:val="26"/>
          <w:szCs w:val="26"/>
          <w:lang w:val="en-GB"/>
        </w:rPr>
        <w:t>section 11 of PAIA gives effect to this constitutional right, and it provides:</w:t>
      </w:r>
    </w:p>
    <w:p w:rsidR="00EA3766" w:rsidRPr="0031412D" w:rsidRDefault="00EA3766" w:rsidP="00EA3766">
      <w:pPr>
        <w:pStyle w:val="ListParagraph"/>
        <w:rPr>
          <w:color w:val="000000" w:themeColor="text1"/>
          <w:sz w:val="22"/>
          <w:szCs w:val="22"/>
        </w:rPr>
      </w:pPr>
    </w:p>
    <w:p w:rsidR="00EA3766" w:rsidRPr="00224D2B" w:rsidRDefault="00EA3766" w:rsidP="00EA3766">
      <w:pPr>
        <w:pStyle w:val="ListParagraph"/>
        <w:ind w:left="142" w:firstLine="578"/>
        <w:jc w:val="both"/>
        <w:rPr>
          <w:color w:val="000000" w:themeColor="text1"/>
          <w:sz w:val="21"/>
          <w:szCs w:val="21"/>
          <w:lang w:val="en-GB"/>
        </w:rPr>
      </w:pPr>
      <w:r w:rsidRPr="00224D2B">
        <w:rPr>
          <w:color w:val="000000" w:themeColor="text1"/>
          <w:sz w:val="21"/>
          <w:szCs w:val="21"/>
        </w:rPr>
        <w:t>“</w:t>
      </w:r>
      <w:r w:rsidRPr="00224D2B">
        <w:rPr>
          <w:color w:val="000000" w:themeColor="text1"/>
          <w:sz w:val="21"/>
          <w:szCs w:val="21"/>
          <w:lang w:val="en-GB"/>
        </w:rPr>
        <w:t>(1) A requester must be given access to a record of a public body if –</w:t>
      </w:r>
    </w:p>
    <w:p w:rsidR="00EA3766" w:rsidRPr="00224D2B" w:rsidRDefault="00EA3766" w:rsidP="00EA3766">
      <w:pPr>
        <w:pStyle w:val="ListParagraph"/>
        <w:ind w:left="142" w:firstLine="578"/>
        <w:jc w:val="both"/>
        <w:rPr>
          <w:color w:val="000000" w:themeColor="text1"/>
          <w:sz w:val="21"/>
          <w:szCs w:val="21"/>
          <w:lang w:val="en-GB"/>
        </w:rPr>
      </w:pPr>
    </w:p>
    <w:p w:rsidR="00EA3766" w:rsidRPr="000A24D5" w:rsidRDefault="000A24D5" w:rsidP="000A24D5">
      <w:pPr>
        <w:ind w:left="1695" w:hanging="560"/>
        <w:jc w:val="both"/>
        <w:rPr>
          <w:color w:val="000000" w:themeColor="text1"/>
          <w:sz w:val="21"/>
          <w:szCs w:val="21"/>
          <w:lang w:val="en-GB"/>
        </w:rPr>
      </w:pPr>
      <w:r w:rsidRPr="00224D2B">
        <w:rPr>
          <w:color w:val="000000" w:themeColor="text1"/>
          <w:sz w:val="21"/>
          <w:szCs w:val="21"/>
          <w:lang w:val="en-GB"/>
        </w:rPr>
        <w:t>(a)</w:t>
      </w:r>
      <w:r w:rsidRPr="00224D2B">
        <w:rPr>
          <w:color w:val="000000" w:themeColor="text1"/>
          <w:sz w:val="21"/>
          <w:szCs w:val="21"/>
          <w:lang w:val="en-GB"/>
        </w:rPr>
        <w:tab/>
      </w:r>
      <w:r w:rsidR="00EA3766" w:rsidRPr="000A24D5">
        <w:rPr>
          <w:color w:val="000000" w:themeColor="text1"/>
          <w:sz w:val="21"/>
          <w:szCs w:val="21"/>
          <w:lang w:val="en-GB"/>
        </w:rPr>
        <w:t>that requester complies with all the procedural requirements in this Act relating to a request for access to that record; and</w:t>
      </w:r>
    </w:p>
    <w:p w:rsidR="00EA3766" w:rsidRPr="000A24D5" w:rsidRDefault="000A24D5" w:rsidP="000A24D5">
      <w:pPr>
        <w:ind w:left="1695" w:hanging="560"/>
        <w:jc w:val="both"/>
        <w:rPr>
          <w:color w:val="000000" w:themeColor="text1"/>
          <w:sz w:val="21"/>
          <w:szCs w:val="21"/>
          <w:lang w:val="en-GB"/>
        </w:rPr>
      </w:pPr>
      <w:r w:rsidRPr="00224D2B">
        <w:rPr>
          <w:color w:val="000000" w:themeColor="text1"/>
          <w:sz w:val="21"/>
          <w:szCs w:val="21"/>
          <w:lang w:val="en-GB"/>
        </w:rPr>
        <w:lastRenderedPageBreak/>
        <w:t>(b)</w:t>
      </w:r>
      <w:r w:rsidRPr="00224D2B">
        <w:rPr>
          <w:color w:val="000000" w:themeColor="text1"/>
          <w:sz w:val="21"/>
          <w:szCs w:val="21"/>
          <w:lang w:val="en-GB"/>
        </w:rPr>
        <w:tab/>
      </w:r>
      <w:r w:rsidR="00EA3766" w:rsidRPr="000A24D5">
        <w:rPr>
          <w:color w:val="000000" w:themeColor="text1"/>
          <w:sz w:val="21"/>
          <w:szCs w:val="21"/>
          <w:lang w:val="en-GB"/>
        </w:rPr>
        <w:t>access to that record is not refused in terms of any ground for refusal contemplated in Chapter 4 of this Part.</w:t>
      </w:r>
    </w:p>
    <w:p w:rsidR="00EA3766" w:rsidRPr="00224D2B" w:rsidRDefault="00EA3766" w:rsidP="00EA3766">
      <w:pPr>
        <w:ind w:left="1134" w:hanging="495"/>
        <w:jc w:val="both"/>
        <w:rPr>
          <w:color w:val="000000" w:themeColor="text1"/>
          <w:sz w:val="21"/>
          <w:szCs w:val="21"/>
          <w:lang w:val="en-GB"/>
        </w:rPr>
      </w:pPr>
      <w:r w:rsidRPr="00224D2B">
        <w:rPr>
          <w:color w:val="000000" w:themeColor="text1"/>
          <w:sz w:val="21"/>
          <w:szCs w:val="21"/>
          <w:lang w:val="en-GB"/>
        </w:rPr>
        <w:t xml:space="preserve"> </w:t>
      </w:r>
      <w:r w:rsidR="00470A35" w:rsidRPr="00224D2B">
        <w:rPr>
          <w:color w:val="000000" w:themeColor="text1"/>
          <w:sz w:val="21"/>
          <w:szCs w:val="21"/>
          <w:lang w:val="en-GB"/>
        </w:rPr>
        <w:t xml:space="preserve">  </w:t>
      </w:r>
      <w:r w:rsidRPr="00224D2B">
        <w:rPr>
          <w:color w:val="000000" w:themeColor="text1"/>
          <w:sz w:val="21"/>
          <w:szCs w:val="21"/>
          <w:lang w:val="en-GB"/>
        </w:rPr>
        <w:t>(2)  A request contemplated in subsection (1) includes a request for access to a record containing personal information about the requester.</w:t>
      </w:r>
    </w:p>
    <w:p w:rsidR="00EA3766" w:rsidRPr="00224D2B" w:rsidRDefault="00EA3766" w:rsidP="00EA3766">
      <w:pPr>
        <w:ind w:left="1134" w:hanging="495"/>
        <w:jc w:val="both"/>
        <w:rPr>
          <w:color w:val="000000" w:themeColor="text1"/>
          <w:sz w:val="21"/>
          <w:szCs w:val="21"/>
          <w:lang w:val="en-GB"/>
        </w:rPr>
      </w:pPr>
      <w:r w:rsidRPr="00224D2B">
        <w:rPr>
          <w:color w:val="000000" w:themeColor="text1"/>
          <w:sz w:val="21"/>
          <w:szCs w:val="21"/>
          <w:lang w:val="en-GB"/>
        </w:rPr>
        <w:t xml:space="preserve"> </w:t>
      </w:r>
      <w:r w:rsidR="00470A35" w:rsidRPr="00224D2B">
        <w:rPr>
          <w:color w:val="000000" w:themeColor="text1"/>
          <w:sz w:val="21"/>
          <w:szCs w:val="21"/>
          <w:lang w:val="en-GB"/>
        </w:rPr>
        <w:t xml:space="preserve">  </w:t>
      </w:r>
      <w:r w:rsidRPr="00224D2B">
        <w:rPr>
          <w:color w:val="000000" w:themeColor="text1"/>
          <w:sz w:val="21"/>
          <w:szCs w:val="21"/>
          <w:lang w:val="en-GB"/>
        </w:rPr>
        <w:t xml:space="preserve">(3) </w:t>
      </w:r>
      <w:r w:rsidR="00470A35" w:rsidRPr="00224D2B">
        <w:rPr>
          <w:color w:val="000000" w:themeColor="text1"/>
          <w:sz w:val="21"/>
          <w:szCs w:val="21"/>
          <w:lang w:val="en-GB"/>
        </w:rPr>
        <w:t xml:space="preserve"> </w:t>
      </w:r>
      <w:r w:rsidRPr="00224D2B">
        <w:rPr>
          <w:color w:val="000000" w:themeColor="text1"/>
          <w:sz w:val="21"/>
          <w:szCs w:val="21"/>
          <w:lang w:val="en-GB"/>
        </w:rPr>
        <w:t>A requester’s right of access contemplated in subsection (1) is, subject to this Act, not affected by -</w:t>
      </w:r>
    </w:p>
    <w:p w:rsidR="00EA3766" w:rsidRPr="00224D2B" w:rsidRDefault="00EA3766" w:rsidP="00EA3766">
      <w:pPr>
        <w:pStyle w:val="western"/>
        <w:shd w:val="clear" w:color="auto" w:fill="FFFFFF"/>
        <w:spacing w:before="144" w:beforeAutospacing="0" w:after="0" w:afterAutospacing="0"/>
        <w:ind w:left="414" w:right="720" w:firstLine="720"/>
        <w:rPr>
          <w:color w:val="000000" w:themeColor="text1"/>
          <w:sz w:val="21"/>
          <w:szCs w:val="21"/>
          <w:lang w:val="en-GB"/>
        </w:rPr>
      </w:pPr>
      <w:r w:rsidRPr="00224D2B">
        <w:rPr>
          <w:color w:val="000000" w:themeColor="text1"/>
          <w:sz w:val="21"/>
          <w:szCs w:val="21"/>
          <w:lang w:val="en-GB"/>
        </w:rPr>
        <w:t xml:space="preserve">(a) </w:t>
      </w:r>
      <w:r w:rsidRPr="00224D2B">
        <w:rPr>
          <w:color w:val="000000" w:themeColor="text1"/>
          <w:sz w:val="21"/>
          <w:szCs w:val="21"/>
          <w:lang w:val="en-GB"/>
        </w:rPr>
        <w:tab/>
        <w:t>any reasons the requester gives for requesting access; or</w:t>
      </w:r>
    </w:p>
    <w:p w:rsidR="00EA3766" w:rsidRPr="00224D2B" w:rsidRDefault="00EA3766" w:rsidP="00EA3766">
      <w:pPr>
        <w:pStyle w:val="western"/>
        <w:shd w:val="clear" w:color="auto" w:fill="FFFFFF"/>
        <w:spacing w:before="144" w:beforeAutospacing="0" w:after="0" w:afterAutospacing="0"/>
        <w:ind w:left="1134" w:right="720"/>
        <w:rPr>
          <w:color w:val="000000" w:themeColor="text1"/>
          <w:sz w:val="21"/>
          <w:szCs w:val="21"/>
          <w:lang w:val="en-GB"/>
        </w:rPr>
      </w:pPr>
      <w:r w:rsidRPr="00224D2B">
        <w:rPr>
          <w:color w:val="000000" w:themeColor="text1"/>
          <w:sz w:val="21"/>
          <w:szCs w:val="21"/>
          <w:lang w:val="en-GB"/>
        </w:rPr>
        <w:t>(b) the information officer’s belief as to what the requester’s reasons are for requesting access.”</w:t>
      </w:r>
    </w:p>
    <w:p w:rsidR="00EA3766" w:rsidRPr="0031412D" w:rsidRDefault="00EA3766" w:rsidP="00EA3766">
      <w:pPr>
        <w:pStyle w:val="ListParagraph"/>
        <w:spacing w:line="360" w:lineRule="auto"/>
        <w:ind w:left="142"/>
        <w:jc w:val="both"/>
        <w:rPr>
          <w:rFonts w:ascii="Verdana" w:hAnsi="Verdana"/>
          <w:color w:val="242121"/>
          <w:sz w:val="27"/>
          <w:szCs w:val="27"/>
          <w:lang w:val="en-US"/>
        </w:rPr>
      </w:pPr>
    </w:p>
    <w:p w:rsidR="00847DCE" w:rsidRPr="000A24D5" w:rsidRDefault="000A24D5" w:rsidP="000A24D5">
      <w:pPr>
        <w:spacing w:line="360" w:lineRule="auto"/>
        <w:ind w:firstLine="142"/>
        <w:jc w:val="both"/>
        <w:rPr>
          <w:color w:val="000000" w:themeColor="text1"/>
          <w:sz w:val="26"/>
          <w:szCs w:val="26"/>
        </w:rPr>
      </w:pPr>
      <w:r w:rsidRPr="0086008D">
        <w:rPr>
          <w:color w:val="000000" w:themeColor="text1"/>
          <w:sz w:val="26"/>
          <w:szCs w:val="26"/>
        </w:rPr>
        <w:t>[16]</w:t>
      </w:r>
      <w:r w:rsidRPr="0086008D">
        <w:rPr>
          <w:color w:val="000000" w:themeColor="text1"/>
          <w:sz w:val="26"/>
          <w:szCs w:val="26"/>
        </w:rPr>
        <w:tab/>
      </w:r>
      <w:r w:rsidR="00847DCE" w:rsidRPr="000A24D5">
        <w:rPr>
          <w:color w:val="000000" w:themeColor="text1"/>
          <w:sz w:val="26"/>
          <w:szCs w:val="26"/>
          <w:shd w:val="clear" w:color="auto" w:fill="FFFFFF"/>
        </w:rPr>
        <w:t>The Preamble of PAIA recognizes that there are reasonable and justifiable limitations on the right of access to information, and the Act places limitations on the right of access to information by exempting certain information from disclosure which are set out in Part 2 of Chapter 4 of the PAIA.</w:t>
      </w:r>
    </w:p>
    <w:p w:rsidR="00EA3766" w:rsidRPr="00847DCE" w:rsidRDefault="00EA3766" w:rsidP="00847DCE">
      <w:pPr>
        <w:rPr>
          <w:color w:val="000000" w:themeColor="text1"/>
          <w:sz w:val="26"/>
          <w:szCs w:val="26"/>
        </w:rPr>
      </w:pPr>
    </w:p>
    <w:p w:rsidR="00EA3766" w:rsidRPr="000A24D5" w:rsidRDefault="000A24D5" w:rsidP="000A24D5">
      <w:pPr>
        <w:spacing w:line="360" w:lineRule="auto"/>
        <w:ind w:firstLine="142"/>
        <w:jc w:val="both"/>
        <w:rPr>
          <w:rFonts w:ascii="Verdana" w:hAnsi="Verdana"/>
          <w:color w:val="242121"/>
          <w:sz w:val="27"/>
          <w:szCs w:val="27"/>
          <w:lang w:val="en-GB"/>
        </w:rPr>
      </w:pPr>
      <w:r w:rsidRPr="00847DCE">
        <w:rPr>
          <w:color w:val="242121"/>
          <w:sz w:val="27"/>
          <w:szCs w:val="27"/>
          <w:lang w:val="en-GB"/>
        </w:rPr>
        <w:t>[17]</w:t>
      </w:r>
      <w:r w:rsidRPr="00847DCE">
        <w:rPr>
          <w:color w:val="242121"/>
          <w:sz w:val="27"/>
          <w:szCs w:val="27"/>
          <w:lang w:val="en-GB"/>
        </w:rPr>
        <w:tab/>
      </w:r>
      <w:r w:rsidR="00EA3766" w:rsidRPr="000A24D5">
        <w:rPr>
          <w:color w:val="000000" w:themeColor="text1"/>
          <w:sz w:val="26"/>
          <w:szCs w:val="26"/>
        </w:rPr>
        <w:t>C</w:t>
      </w:r>
      <w:r w:rsidR="00EA3766" w:rsidRPr="000A24D5">
        <w:rPr>
          <w:color w:val="000000" w:themeColor="text1"/>
          <w:sz w:val="26"/>
          <w:szCs w:val="26"/>
          <w:lang w:val="en-GB"/>
        </w:rPr>
        <w:t xml:space="preserve">ourt proceedings under PAIA are governed by sections 78 to 82. </w:t>
      </w:r>
      <w:r w:rsidR="00EA3766" w:rsidRPr="000A24D5">
        <w:rPr>
          <w:color w:val="000000" w:themeColor="text1"/>
          <w:sz w:val="26"/>
          <w:szCs w:val="26"/>
          <w:lang w:val="en-US"/>
        </w:rPr>
        <w:t>Section 78</w:t>
      </w:r>
      <w:r w:rsidR="00EA3766" w:rsidRPr="000A24D5">
        <w:rPr>
          <w:color w:val="000000" w:themeColor="text1"/>
          <w:sz w:val="26"/>
          <w:szCs w:val="26"/>
        </w:rPr>
        <w:t>(2)</w:t>
      </w:r>
      <w:r w:rsidR="00EA3766" w:rsidRPr="000A24D5">
        <w:rPr>
          <w:color w:val="000000" w:themeColor="text1"/>
          <w:sz w:val="26"/>
          <w:szCs w:val="26"/>
          <w:lang w:val="en-US"/>
        </w:rPr>
        <w:t xml:space="preserve"> provides that a requester that has been unsuccessful in an internal appeal to the relevant authority of a public body m</w:t>
      </w:r>
      <w:r w:rsidR="00EA3766" w:rsidRPr="000A24D5">
        <w:rPr>
          <w:color w:val="000000" w:themeColor="text1"/>
          <w:sz w:val="26"/>
          <w:szCs w:val="26"/>
        </w:rPr>
        <w:t xml:space="preserve">ay, </w:t>
      </w:r>
      <w:r w:rsidR="00EA3766" w:rsidRPr="000A24D5">
        <w:rPr>
          <w:color w:val="000000" w:themeColor="text1"/>
          <w:sz w:val="26"/>
          <w:szCs w:val="26"/>
          <w:lang w:val="en-US"/>
        </w:rPr>
        <w:t>by way of an application</w:t>
      </w:r>
      <w:r w:rsidR="00EA3766" w:rsidRPr="000A24D5">
        <w:rPr>
          <w:color w:val="000000" w:themeColor="text1"/>
          <w:sz w:val="26"/>
          <w:szCs w:val="26"/>
        </w:rPr>
        <w:t>,</w:t>
      </w:r>
      <w:r w:rsidR="00EA3766" w:rsidRPr="000A24D5">
        <w:rPr>
          <w:color w:val="000000" w:themeColor="text1"/>
          <w:sz w:val="26"/>
          <w:szCs w:val="26"/>
          <w:lang w:val="en-US"/>
        </w:rPr>
        <w:t xml:space="preserve"> within 180 days apply to a court for appropriate relief in terms of section 82</w:t>
      </w:r>
      <w:r w:rsidR="00EA3766" w:rsidRPr="000A24D5">
        <w:rPr>
          <w:color w:val="000000" w:themeColor="text1"/>
          <w:sz w:val="26"/>
          <w:szCs w:val="26"/>
        </w:rPr>
        <w:t>.</w:t>
      </w:r>
      <w:r w:rsidR="00EA3766" w:rsidRPr="000A24D5">
        <w:rPr>
          <w:rFonts w:ascii="Verdana" w:hAnsi="Verdana"/>
          <w:color w:val="000000" w:themeColor="text1"/>
          <w:sz w:val="22"/>
          <w:szCs w:val="22"/>
          <w:lang w:val="en-GB"/>
        </w:rPr>
        <w:t xml:space="preserve"> </w:t>
      </w:r>
    </w:p>
    <w:p w:rsidR="00847DCE" w:rsidRPr="00847DCE" w:rsidRDefault="00847DCE" w:rsidP="00847DCE">
      <w:pPr>
        <w:pStyle w:val="ListParagraph"/>
        <w:rPr>
          <w:rFonts w:ascii="Verdana" w:hAnsi="Verdana"/>
          <w:color w:val="242121"/>
          <w:sz w:val="27"/>
          <w:szCs w:val="27"/>
          <w:lang w:val="en-GB"/>
        </w:rPr>
      </w:pPr>
    </w:p>
    <w:p w:rsidR="00847DCE" w:rsidRPr="000A24D5" w:rsidRDefault="000A24D5" w:rsidP="000A24D5">
      <w:pPr>
        <w:spacing w:line="360" w:lineRule="auto"/>
        <w:ind w:firstLine="142"/>
        <w:jc w:val="both"/>
        <w:rPr>
          <w:rFonts w:ascii="Verdana" w:hAnsi="Verdana" w:cstheme="minorBidi"/>
          <w:color w:val="000000" w:themeColor="text1"/>
          <w:sz w:val="27"/>
          <w:szCs w:val="27"/>
          <w:lang w:val="en-GB"/>
        </w:rPr>
      </w:pPr>
      <w:r w:rsidRPr="0086008D">
        <w:rPr>
          <w:color w:val="000000" w:themeColor="text1"/>
          <w:sz w:val="27"/>
          <w:szCs w:val="27"/>
          <w:lang w:val="en-GB"/>
        </w:rPr>
        <w:t>[18]</w:t>
      </w:r>
      <w:r w:rsidRPr="0086008D">
        <w:rPr>
          <w:color w:val="000000" w:themeColor="text1"/>
          <w:sz w:val="27"/>
          <w:szCs w:val="27"/>
          <w:lang w:val="en-GB"/>
        </w:rPr>
        <w:tab/>
      </w:r>
      <w:r w:rsidR="00847DCE" w:rsidRPr="000A24D5">
        <w:rPr>
          <w:color w:val="000000" w:themeColor="text1"/>
          <w:sz w:val="26"/>
          <w:szCs w:val="26"/>
          <w:lang w:val="en-GB"/>
        </w:rPr>
        <w:t>Proceedings in terms of section 78 are civil proceedings, and the rules of evidence applicable in civil proceedings apply to such proceedings.</w:t>
      </w:r>
      <w:r w:rsidR="00847DCE" w:rsidRPr="0086008D">
        <w:rPr>
          <w:rStyle w:val="FootnoteReference"/>
          <w:rFonts w:eastAsiaTheme="majorEastAsia"/>
          <w:color w:val="000000" w:themeColor="text1"/>
          <w:sz w:val="26"/>
          <w:szCs w:val="26"/>
          <w:lang w:val="en-GB"/>
        </w:rPr>
        <w:footnoteReference w:id="4"/>
      </w:r>
      <w:r w:rsidR="00847DCE" w:rsidRPr="000A24D5">
        <w:rPr>
          <w:color w:val="000000" w:themeColor="text1"/>
          <w:sz w:val="26"/>
          <w:szCs w:val="26"/>
          <w:lang w:val="en-GB"/>
        </w:rPr>
        <w:t xml:space="preserve"> </w:t>
      </w:r>
      <w:r w:rsidR="00847DCE" w:rsidRPr="000A24D5">
        <w:rPr>
          <w:color w:val="000000" w:themeColor="text1"/>
          <w:sz w:val="26"/>
          <w:szCs w:val="26"/>
          <w:shd w:val="clear" w:color="auto" w:fill="FFFFFF"/>
        </w:rPr>
        <w:t>The burden of proof is on the party that has refused access to show that refusal was in accordance with the provisions of the Act.</w:t>
      </w:r>
      <w:r w:rsidR="00847DCE" w:rsidRPr="000A24D5">
        <w:rPr>
          <w:rStyle w:val="FootnoteReference"/>
          <w:rFonts w:eastAsiaTheme="majorEastAsia"/>
          <w:color w:val="000000" w:themeColor="text1"/>
          <w:sz w:val="26"/>
          <w:szCs w:val="26"/>
          <w:lang w:val="en-GB"/>
        </w:rPr>
        <w:t xml:space="preserve"> </w:t>
      </w:r>
      <w:r w:rsidR="00847DCE" w:rsidRPr="0086008D">
        <w:rPr>
          <w:rStyle w:val="FootnoteReference"/>
          <w:rFonts w:eastAsiaTheme="majorEastAsia"/>
          <w:color w:val="000000" w:themeColor="text1"/>
          <w:sz w:val="26"/>
          <w:szCs w:val="26"/>
          <w:lang w:val="en-GB"/>
        </w:rPr>
        <w:footnoteReference w:id="5"/>
      </w:r>
      <w:r w:rsidR="00847DCE" w:rsidRPr="000A24D5">
        <w:rPr>
          <w:color w:val="000000" w:themeColor="text1"/>
          <w:sz w:val="26"/>
          <w:szCs w:val="26"/>
          <w:shd w:val="clear" w:color="auto" w:fill="FFFFFF"/>
        </w:rPr>
        <w:t xml:space="preserve"> </w:t>
      </w:r>
      <w:r w:rsidR="00847DCE" w:rsidRPr="000A24D5">
        <w:rPr>
          <w:color w:val="000000" w:themeColor="text1"/>
          <w:sz w:val="26"/>
          <w:szCs w:val="26"/>
          <w:lang w:val="en-GB"/>
        </w:rPr>
        <w:t>This evidentiary burden borne by the state pursuant to section 81(3) must be discharged on a balance of probabilities.</w:t>
      </w:r>
      <w:r w:rsidR="00847DCE" w:rsidRPr="0086008D">
        <w:rPr>
          <w:rStyle w:val="FootnoteReference"/>
          <w:rFonts w:eastAsiaTheme="majorEastAsia"/>
          <w:color w:val="000000" w:themeColor="text1"/>
          <w:sz w:val="26"/>
          <w:szCs w:val="26"/>
          <w:lang w:val="en-GB"/>
        </w:rPr>
        <w:footnoteReference w:id="6"/>
      </w:r>
    </w:p>
    <w:p w:rsidR="00847DCE" w:rsidRPr="0086008D" w:rsidRDefault="00847DCE" w:rsidP="00847DCE">
      <w:pPr>
        <w:rPr>
          <w:color w:val="000000" w:themeColor="text1"/>
          <w:sz w:val="26"/>
          <w:szCs w:val="26"/>
        </w:rPr>
      </w:pPr>
    </w:p>
    <w:p w:rsidR="00847DCE" w:rsidRPr="000A24D5" w:rsidRDefault="000A24D5" w:rsidP="000A24D5">
      <w:pPr>
        <w:spacing w:line="360" w:lineRule="auto"/>
        <w:ind w:firstLine="142"/>
        <w:jc w:val="both"/>
        <w:rPr>
          <w:rFonts w:eastAsiaTheme="minorEastAsia"/>
          <w:color w:val="000000" w:themeColor="text1"/>
          <w:kern w:val="2"/>
          <w:sz w:val="26"/>
          <w:szCs w:val="26"/>
          <w:lang w:eastAsia="en-US"/>
          <w14:ligatures w14:val="standardContextual"/>
        </w:rPr>
      </w:pPr>
      <w:r w:rsidRPr="0086008D">
        <w:rPr>
          <w:rFonts w:eastAsiaTheme="minorEastAsia"/>
          <w:color w:val="000000" w:themeColor="text1"/>
          <w:kern w:val="2"/>
          <w:sz w:val="26"/>
          <w:szCs w:val="26"/>
          <w:lang w:eastAsia="en-US"/>
          <w14:ligatures w14:val="standardContextual"/>
        </w:rPr>
        <w:t>[19]</w:t>
      </w:r>
      <w:r w:rsidRPr="0086008D">
        <w:rPr>
          <w:rFonts w:eastAsiaTheme="minorEastAsia"/>
          <w:color w:val="000000" w:themeColor="text1"/>
          <w:kern w:val="2"/>
          <w:sz w:val="26"/>
          <w:szCs w:val="26"/>
          <w:lang w:eastAsia="en-US"/>
          <w14:ligatures w14:val="standardContextual"/>
        </w:rPr>
        <w:tab/>
      </w:r>
      <w:r w:rsidR="00847DCE" w:rsidRPr="000A24D5">
        <w:rPr>
          <w:color w:val="000000" w:themeColor="text1"/>
          <w:sz w:val="26"/>
          <w:szCs w:val="26"/>
          <w:lang w:val="en-GB"/>
        </w:rPr>
        <w:t>In order to discharge its burden under section 81(3) of PAIA, the state must provide evidence that the record in question falls within the description of the statutory exemption it seeks to claim. The test is whether the state has put forward sufficient evidence for a court to conclude that, on the probabilities, the information withheld falls within the exemption claimed.</w:t>
      </w:r>
      <w:r w:rsidR="00847DCE" w:rsidRPr="0086008D">
        <w:rPr>
          <w:rStyle w:val="FootnoteReference"/>
          <w:rFonts w:eastAsiaTheme="majorEastAsia"/>
          <w:color w:val="000000" w:themeColor="text1"/>
          <w:sz w:val="26"/>
          <w:szCs w:val="26"/>
          <w:lang w:val="en-GB"/>
        </w:rPr>
        <w:footnoteReference w:id="7"/>
      </w:r>
      <w:r w:rsidR="00847DCE" w:rsidRPr="000A24D5">
        <w:rPr>
          <w:color w:val="000000" w:themeColor="text1"/>
          <w:sz w:val="26"/>
          <w:szCs w:val="26"/>
          <w:lang w:val="en-GB"/>
        </w:rPr>
        <w:t xml:space="preserve"> </w:t>
      </w:r>
    </w:p>
    <w:p w:rsidR="00847DCE" w:rsidRPr="0086008D" w:rsidRDefault="00847DCE" w:rsidP="00847DCE">
      <w:pPr>
        <w:pStyle w:val="ListParagraph"/>
        <w:rPr>
          <w:color w:val="000000" w:themeColor="text1"/>
          <w:sz w:val="26"/>
          <w:szCs w:val="26"/>
        </w:rPr>
      </w:pPr>
    </w:p>
    <w:p w:rsidR="00847DCE" w:rsidRPr="000A24D5" w:rsidRDefault="000A24D5" w:rsidP="000A24D5">
      <w:pPr>
        <w:spacing w:line="360" w:lineRule="auto"/>
        <w:ind w:firstLine="142"/>
        <w:jc w:val="both"/>
        <w:rPr>
          <w:color w:val="000000" w:themeColor="text1"/>
          <w:sz w:val="26"/>
          <w:szCs w:val="26"/>
        </w:rPr>
      </w:pPr>
      <w:r w:rsidRPr="0086008D">
        <w:rPr>
          <w:color w:val="000000" w:themeColor="text1"/>
          <w:sz w:val="26"/>
          <w:szCs w:val="26"/>
        </w:rPr>
        <w:t>[20]</w:t>
      </w:r>
      <w:r w:rsidRPr="0086008D">
        <w:rPr>
          <w:color w:val="000000" w:themeColor="text1"/>
          <w:sz w:val="26"/>
          <w:szCs w:val="26"/>
        </w:rPr>
        <w:tab/>
      </w:r>
      <w:r w:rsidR="00847DCE" w:rsidRPr="000A24D5">
        <w:rPr>
          <w:color w:val="000000" w:themeColor="text1"/>
          <w:sz w:val="26"/>
          <w:szCs w:val="26"/>
          <w:lang w:val="en-GB"/>
        </w:rPr>
        <w:t>It is not sufficient to recite the statutory language of the exemptions claimed.</w:t>
      </w:r>
      <w:r w:rsidR="00847DCE" w:rsidRPr="0086008D">
        <w:rPr>
          <w:rStyle w:val="FootnoteReference"/>
          <w:color w:val="000000" w:themeColor="text1"/>
          <w:sz w:val="26"/>
          <w:szCs w:val="26"/>
          <w:lang w:val="en-GB"/>
        </w:rPr>
        <w:footnoteReference w:id="8"/>
      </w:r>
      <w:r w:rsidR="00847DCE" w:rsidRPr="000A24D5">
        <w:rPr>
          <w:color w:val="000000" w:themeColor="text1"/>
          <w:sz w:val="26"/>
          <w:szCs w:val="26"/>
          <w:lang w:val="en-GB"/>
        </w:rPr>
        <w:t xml:space="preserve"> Nor are mere </w:t>
      </w:r>
      <w:r w:rsidR="00847DCE" w:rsidRPr="000A24D5">
        <w:rPr>
          <w:i/>
          <w:iCs/>
          <w:color w:val="000000" w:themeColor="text1"/>
          <w:sz w:val="26"/>
          <w:szCs w:val="26"/>
          <w:lang w:val="en-GB"/>
        </w:rPr>
        <w:t>ipse dixit</w:t>
      </w:r>
      <w:r w:rsidR="00847DCE" w:rsidRPr="000A24D5">
        <w:rPr>
          <w:color w:val="000000" w:themeColor="text1"/>
          <w:sz w:val="26"/>
          <w:szCs w:val="26"/>
        </w:rPr>
        <w:t> </w:t>
      </w:r>
      <w:r w:rsidR="00847DCE" w:rsidRPr="000A24D5">
        <w:rPr>
          <w:color w:val="000000" w:themeColor="text1"/>
          <w:sz w:val="26"/>
          <w:szCs w:val="26"/>
          <w:lang w:val="en-GB"/>
        </w:rPr>
        <w:t xml:space="preserve">affidavits proffered by, for example, </w:t>
      </w:r>
      <w:r w:rsidR="00847DCE" w:rsidRPr="000A24D5">
        <w:rPr>
          <w:color w:val="000000" w:themeColor="text1"/>
          <w:sz w:val="26"/>
          <w:szCs w:val="26"/>
          <w:shd w:val="clear" w:color="auto" w:fill="FFFFFF"/>
        </w:rPr>
        <w:t>an information officer, merely stating that a record falls within the exemptions claimed without more.</w:t>
      </w:r>
      <w:r w:rsidR="00847DCE" w:rsidRPr="0086008D">
        <w:rPr>
          <w:rStyle w:val="FootnoteReference"/>
          <w:rFonts w:eastAsiaTheme="majorEastAsia"/>
          <w:color w:val="000000" w:themeColor="text1"/>
          <w:sz w:val="26"/>
          <w:szCs w:val="26"/>
          <w:shd w:val="clear" w:color="auto" w:fill="FFFFFF"/>
        </w:rPr>
        <w:footnoteReference w:id="9"/>
      </w:r>
      <w:r w:rsidR="00847DCE" w:rsidRPr="000A24D5">
        <w:rPr>
          <w:rFonts w:ascii="Verdana" w:hAnsi="Verdana"/>
          <w:color w:val="000000" w:themeColor="text1"/>
          <w:shd w:val="clear" w:color="auto" w:fill="FFFFFF"/>
        </w:rPr>
        <w:t xml:space="preserve"> </w:t>
      </w:r>
      <w:r w:rsidR="00847DCE" w:rsidRPr="000A24D5">
        <w:rPr>
          <w:color w:val="000000" w:themeColor="text1"/>
          <w:sz w:val="26"/>
          <w:szCs w:val="26"/>
          <w:shd w:val="clear" w:color="auto" w:fill="FFFFFF"/>
        </w:rPr>
        <w:t>The question whether the information put forward is sufficient to place the record within the ambit of the exemption claimed will be determined by the nature of the exemption. The question is not whether the best evidence to justify refusal has been provided, but whether the information provided is sufficient for a court to conclude, on the probabilities, that the record falls within the exemption claimed.</w:t>
      </w:r>
    </w:p>
    <w:p w:rsidR="00EA3766" w:rsidRPr="0086008D" w:rsidRDefault="00EA3766" w:rsidP="00847DCE">
      <w:pPr>
        <w:rPr>
          <w:rFonts w:ascii="Verdana" w:hAnsi="Verdana"/>
          <w:color w:val="000000" w:themeColor="text1"/>
          <w:sz w:val="27"/>
          <w:szCs w:val="27"/>
          <w:lang w:val="en-GB"/>
        </w:rPr>
      </w:pPr>
    </w:p>
    <w:p w:rsidR="00EA3766" w:rsidRPr="000A24D5" w:rsidRDefault="000A24D5" w:rsidP="000A24D5">
      <w:pPr>
        <w:spacing w:line="360" w:lineRule="auto"/>
        <w:ind w:firstLine="142"/>
        <w:jc w:val="both"/>
        <w:rPr>
          <w:color w:val="000000" w:themeColor="text1"/>
          <w:sz w:val="26"/>
          <w:szCs w:val="26"/>
        </w:rPr>
      </w:pPr>
      <w:r w:rsidRPr="0086008D">
        <w:rPr>
          <w:color w:val="000000" w:themeColor="text1"/>
          <w:sz w:val="26"/>
          <w:szCs w:val="26"/>
        </w:rPr>
        <w:t>[21]</w:t>
      </w:r>
      <w:r w:rsidRPr="0086008D">
        <w:rPr>
          <w:color w:val="000000" w:themeColor="text1"/>
          <w:sz w:val="26"/>
          <w:szCs w:val="26"/>
        </w:rPr>
        <w:tab/>
      </w:r>
      <w:r w:rsidR="00EA3766" w:rsidRPr="000A24D5">
        <w:rPr>
          <w:color w:val="000000" w:themeColor="text1"/>
          <w:sz w:val="26"/>
          <w:szCs w:val="26"/>
          <w:shd w:val="clear" w:color="auto" w:fill="FFFFFF"/>
        </w:rPr>
        <w:t>Section 82 gives the court the power to make any order that is just and equitable, including orders</w:t>
      </w:r>
      <w:r w:rsidR="00EA3766" w:rsidRPr="000A24D5">
        <w:rPr>
          <w:color w:val="000000" w:themeColor="text1"/>
          <w:sz w:val="26"/>
          <w:szCs w:val="26"/>
        </w:rPr>
        <w:t xml:space="preserve"> </w:t>
      </w:r>
      <w:r w:rsidR="00EA3766" w:rsidRPr="000A24D5">
        <w:rPr>
          <w:color w:val="000000" w:themeColor="text1"/>
          <w:sz w:val="26"/>
          <w:szCs w:val="26"/>
          <w:shd w:val="clear" w:color="auto" w:fill="FFFFFF"/>
        </w:rPr>
        <w:t>(a) confirming, amending or setting aside the refusal decision;</w:t>
      </w:r>
      <w:r w:rsidR="00EA3766" w:rsidRPr="000A24D5">
        <w:rPr>
          <w:color w:val="000000" w:themeColor="text1"/>
          <w:sz w:val="26"/>
          <w:szCs w:val="26"/>
        </w:rPr>
        <w:t xml:space="preserve"> </w:t>
      </w:r>
      <w:r w:rsidR="00EA3766" w:rsidRPr="000A24D5">
        <w:rPr>
          <w:color w:val="000000" w:themeColor="text1"/>
          <w:sz w:val="26"/>
          <w:szCs w:val="26"/>
          <w:shd w:val="clear" w:color="auto" w:fill="FFFFFF"/>
        </w:rPr>
        <w:t>(b) requiring the information officer to take, or refrain from, specified action; (c) granting an interdict, interim or specific relief, a declaratory order or compensation; and</w:t>
      </w:r>
      <w:r w:rsidR="00EA3766" w:rsidRPr="000A24D5">
        <w:rPr>
          <w:color w:val="000000" w:themeColor="text1"/>
          <w:sz w:val="26"/>
          <w:szCs w:val="26"/>
        </w:rPr>
        <w:t xml:space="preserve"> </w:t>
      </w:r>
      <w:r w:rsidR="00EA3766" w:rsidRPr="000A24D5">
        <w:rPr>
          <w:color w:val="000000" w:themeColor="text1"/>
          <w:sz w:val="26"/>
          <w:szCs w:val="26"/>
          <w:shd w:val="clear" w:color="auto" w:fill="FFFFFF"/>
        </w:rPr>
        <w:t xml:space="preserve">(d) as to costs. </w:t>
      </w:r>
      <w:r w:rsidR="00EA3766" w:rsidRPr="000A24D5">
        <w:rPr>
          <w:color w:val="000000" w:themeColor="text1"/>
          <w:sz w:val="26"/>
          <w:szCs w:val="26"/>
          <w:lang w:val="en-GB"/>
        </w:rPr>
        <w:t xml:space="preserve">A court is not limited to reviewing the decisions of the information officer or the officer who undertook the internal appeal. It is also not </w:t>
      </w:r>
      <w:r w:rsidR="00EA3766" w:rsidRPr="000A24D5">
        <w:rPr>
          <w:color w:val="000000" w:themeColor="text1"/>
          <w:sz w:val="26"/>
          <w:szCs w:val="26"/>
          <w:shd w:val="clear" w:color="auto" w:fill="FFFFFF"/>
        </w:rPr>
        <w:t xml:space="preserve">limited to such material as was before the information officer when access was refused. </w:t>
      </w:r>
      <w:r w:rsidR="00EA3766" w:rsidRPr="000A24D5">
        <w:rPr>
          <w:color w:val="000000" w:themeColor="text1"/>
          <w:sz w:val="26"/>
          <w:szCs w:val="26"/>
          <w:lang w:val="en-GB"/>
        </w:rPr>
        <w:t>It is at liberty to decide the claim of exemption from disclosure afresh, engaging in a </w:t>
      </w:r>
      <w:r w:rsidR="00EA3766" w:rsidRPr="000A24D5">
        <w:rPr>
          <w:i/>
          <w:iCs/>
          <w:color w:val="000000" w:themeColor="text1"/>
          <w:sz w:val="26"/>
          <w:szCs w:val="26"/>
          <w:lang w:val="en-GB"/>
        </w:rPr>
        <w:t>de novo </w:t>
      </w:r>
      <w:r w:rsidR="00EA3766" w:rsidRPr="000A24D5">
        <w:rPr>
          <w:color w:val="000000" w:themeColor="text1"/>
          <w:sz w:val="26"/>
          <w:szCs w:val="26"/>
          <w:lang w:val="en-GB"/>
        </w:rPr>
        <w:t>reconsideration of the merits.</w:t>
      </w:r>
      <w:r w:rsidR="00EA3766" w:rsidRPr="0086008D">
        <w:rPr>
          <w:rStyle w:val="FootnoteReference"/>
          <w:rFonts w:eastAsiaTheme="majorEastAsia"/>
          <w:color w:val="000000" w:themeColor="text1"/>
          <w:sz w:val="26"/>
          <w:szCs w:val="26"/>
          <w:lang w:val="en-GB"/>
        </w:rPr>
        <w:footnoteReference w:id="10"/>
      </w:r>
      <w:r w:rsidR="00EA3766" w:rsidRPr="000A24D5">
        <w:rPr>
          <w:color w:val="000000" w:themeColor="text1"/>
          <w:sz w:val="26"/>
          <w:szCs w:val="26"/>
          <w:shd w:val="clear" w:color="auto" w:fill="FFFFFF"/>
        </w:rPr>
        <w:t> </w:t>
      </w:r>
    </w:p>
    <w:p w:rsidR="00EA3766" w:rsidRPr="0086008D" w:rsidRDefault="00EA3766" w:rsidP="00EA3766">
      <w:pPr>
        <w:pStyle w:val="western"/>
        <w:shd w:val="clear" w:color="auto" w:fill="FFFFFF"/>
        <w:spacing w:before="144" w:beforeAutospacing="0" w:after="0" w:afterAutospacing="0"/>
        <w:ind w:left="720"/>
        <w:rPr>
          <w:color w:val="000000" w:themeColor="text1"/>
          <w:sz w:val="26"/>
          <w:szCs w:val="26"/>
          <w:lang w:val="en-GB"/>
        </w:rPr>
      </w:pPr>
    </w:p>
    <w:p w:rsidR="00EA3766" w:rsidRPr="000A24D5" w:rsidRDefault="000A24D5" w:rsidP="000A24D5">
      <w:pPr>
        <w:spacing w:line="360" w:lineRule="auto"/>
        <w:ind w:firstLine="142"/>
        <w:jc w:val="both"/>
        <w:rPr>
          <w:color w:val="000000" w:themeColor="text1"/>
          <w:sz w:val="26"/>
          <w:szCs w:val="26"/>
          <w:lang w:val="en-GB"/>
        </w:rPr>
      </w:pPr>
      <w:r w:rsidRPr="0086008D">
        <w:rPr>
          <w:color w:val="000000" w:themeColor="text1"/>
          <w:sz w:val="26"/>
          <w:szCs w:val="26"/>
          <w:lang w:val="en-GB"/>
        </w:rPr>
        <w:t>[22]</w:t>
      </w:r>
      <w:r w:rsidRPr="0086008D">
        <w:rPr>
          <w:color w:val="000000" w:themeColor="text1"/>
          <w:sz w:val="26"/>
          <w:szCs w:val="26"/>
          <w:lang w:val="en-GB"/>
        </w:rPr>
        <w:tab/>
      </w:r>
      <w:r w:rsidR="00847DCE" w:rsidRPr="000A24D5">
        <w:rPr>
          <w:color w:val="000000" w:themeColor="text1"/>
          <w:sz w:val="26"/>
          <w:szCs w:val="26"/>
          <w:lang w:val="en-GB"/>
        </w:rPr>
        <w:t>In addition, s</w:t>
      </w:r>
      <w:r w:rsidR="00EA3766" w:rsidRPr="000A24D5">
        <w:rPr>
          <w:color w:val="000000" w:themeColor="text1"/>
          <w:sz w:val="26"/>
          <w:szCs w:val="26"/>
          <w:lang w:val="en-GB"/>
        </w:rPr>
        <w:t>ection 80 provides, in relevant part, as follows:</w:t>
      </w:r>
    </w:p>
    <w:p w:rsidR="00EA3766" w:rsidRPr="0086008D" w:rsidRDefault="00EA3766" w:rsidP="00EA3766">
      <w:pPr>
        <w:pStyle w:val="western"/>
        <w:shd w:val="clear" w:color="auto" w:fill="FFFFFF"/>
        <w:spacing w:before="144" w:beforeAutospacing="0" w:after="0" w:afterAutospacing="0"/>
        <w:ind w:left="1440" w:right="720" w:hanging="720"/>
        <w:jc w:val="both"/>
        <w:rPr>
          <w:color w:val="000000" w:themeColor="text1"/>
          <w:sz w:val="21"/>
          <w:szCs w:val="21"/>
        </w:rPr>
      </w:pPr>
      <w:r w:rsidRPr="0086008D">
        <w:rPr>
          <w:color w:val="000000" w:themeColor="text1"/>
          <w:sz w:val="21"/>
          <w:szCs w:val="21"/>
        </w:rPr>
        <w:t>“</w:t>
      </w:r>
      <w:r w:rsidRPr="0086008D">
        <w:rPr>
          <w:color w:val="000000" w:themeColor="text1"/>
          <w:sz w:val="21"/>
          <w:szCs w:val="21"/>
          <w:lang w:val="en-GB"/>
        </w:rPr>
        <w:t>(1) Despite this Act and any other law, any court hearing an application, or an appeal against a decision on that application, may examine any record of a public or private body to which this Act applies, and no such record may be withheld from the court on any grounds.</w:t>
      </w:r>
    </w:p>
    <w:p w:rsidR="00EA3766" w:rsidRPr="0086008D" w:rsidRDefault="00EA3766" w:rsidP="00EA3766">
      <w:pPr>
        <w:pStyle w:val="western"/>
        <w:shd w:val="clear" w:color="auto" w:fill="FFFFFF"/>
        <w:spacing w:before="144" w:beforeAutospacing="0" w:after="0" w:afterAutospacing="0"/>
        <w:ind w:left="1440" w:right="720" w:hanging="720"/>
        <w:jc w:val="both"/>
        <w:rPr>
          <w:color w:val="000000" w:themeColor="text1"/>
          <w:sz w:val="21"/>
          <w:szCs w:val="21"/>
          <w:lang w:val="en-GB"/>
        </w:rPr>
      </w:pPr>
      <w:r w:rsidRPr="0086008D">
        <w:rPr>
          <w:color w:val="000000" w:themeColor="text1"/>
          <w:sz w:val="21"/>
          <w:szCs w:val="21"/>
          <w:lang w:val="en-GB"/>
        </w:rPr>
        <w:t>. . . .</w:t>
      </w:r>
    </w:p>
    <w:p w:rsidR="00EA3766" w:rsidRPr="0086008D" w:rsidRDefault="00EA3766" w:rsidP="00EA3766">
      <w:pPr>
        <w:pStyle w:val="western"/>
        <w:shd w:val="clear" w:color="auto" w:fill="FFFFFF"/>
        <w:spacing w:before="144" w:beforeAutospacing="0" w:after="0" w:afterAutospacing="0"/>
        <w:ind w:left="1440" w:right="720" w:hanging="720"/>
        <w:jc w:val="both"/>
        <w:rPr>
          <w:color w:val="000000" w:themeColor="text1"/>
          <w:sz w:val="21"/>
          <w:szCs w:val="21"/>
          <w:lang w:val="en-GB"/>
        </w:rPr>
      </w:pPr>
      <w:r w:rsidRPr="0086008D">
        <w:rPr>
          <w:color w:val="000000" w:themeColor="text1"/>
          <w:sz w:val="21"/>
          <w:szCs w:val="21"/>
          <w:lang w:val="en-GB"/>
        </w:rPr>
        <w:t>(3) Any court contemplated in subsection (1) may—</w:t>
      </w:r>
    </w:p>
    <w:p w:rsidR="00EA3766" w:rsidRPr="0086008D" w:rsidRDefault="00EA3766" w:rsidP="00EA3766">
      <w:pPr>
        <w:pStyle w:val="western"/>
        <w:shd w:val="clear" w:color="auto" w:fill="FFFFFF"/>
        <w:spacing w:before="144" w:beforeAutospacing="0" w:after="0" w:afterAutospacing="0"/>
        <w:ind w:left="2160" w:right="720" w:hanging="720"/>
        <w:jc w:val="both"/>
        <w:rPr>
          <w:color w:val="000000" w:themeColor="text1"/>
          <w:sz w:val="21"/>
          <w:szCs w:val="21"/>
          <w:lang w:val="en-GB"/>
        </w:rPr>
      </w:pPr>
      <w:r w:rsidRPr="0086008D">
        <w:rPr>
          <w:color w:val="000000" w:themeColor="text1"/>
          <w:sz w:val="21"/>
          <w:szCs w:val="21"/>
          <w:lang w:val="en-GB"/>
        </w:rPr>
        <w:t>(a) receive representations </w:t>
      </w:r>
      <w:r w:rsidRPr="0086008D">
        <w:rPr>
          <w:i/>
          <w:iCs/>
          <w:color w:val="000000" w:themeColor="text1"/>
          <w:sz w:val="21"/>
          <w:szCs w:val="21"/>
          <w:lang w:val="en-GB"/>
        </w:rPr>
        <w:t>ex parte</w:t>
      </w:r>
      <w:r w:rsidRPr="0086008D">
        <w:rPr>
          <w:color w:val="000000" w:themeColor="text1"/>
          <w:sz w:val="21"/>
          <w:szCs w:val="21"/>
          <w:lang w:val="en-GB"/>
        </w:rPr>
        <w:t>;</w:t>
      </w:r>
    </w:p>
    <w:p w:rsidR="00EA3766" w:rsidRPr="0086008D" w:rsidRDefault="00EA3766" w:rsidP="00EA3766">
      <w:pPr>
        <w:pStyle w:val="western"/>
        <w:shd w:val="clear" w:color="auto" w:fill="FFFFFF"/>
        <w:spacing w:before="144" w:beforeAutospacing="0" w:after="0" w:afterAutospacing="0"/>
        <w:ind w:left="2160" w:right="720" w:hanging="720"/>
        <w:jc w:val="both"/>
        <w:rPr>
          <w:color w:val="000000" w:themeColor="text1"/>
          <w:sz w:val="21"/>
          <w:szCs w:val="21"/>
          <w:lang w:val="en-GB"/>
        </w:rPr>
      </w:pPr>
      <w:r w:rsidRPr="0086008D">
        <w:rPr>
          <w:color w:val="000000" w:themeColor="text1"/>
          <w:sz w:val="21"/>
          <w:szCs w:val="21"/>
          <w:lang w:val="en-GB"/>
        </w:rPr>
        <w:t>(b) conduct hearings in camera; and</w:t>
      </w:r>
    </w:p>
    <w:p w:rsidR="00EA3766" w:rsidRPr="0086008D" w:rsidRDefault="00EA3766" w:rsidP="00EA3766">
      <w:pPr>
        <w:pStyle w:val="western"/>
        <w:shd w:val="clear" w:color="auto" w:fill="FFFFFF"/>
        <w:spacing w:before="144" w:beforeAutospacing="0" w:after="0" w:afterAutospacing="0"/>
        <w:ind w:left="2160" w:right="720" w:hanging="720"/>
        <w:jc w:val="both"/>
        <w:rPr>
          <w:color w:val="000000" w:themeColor="text1"/>
          <w:sz w:val="21"/>
          <w:szCs w:val="21"/>
          <w:lang w:val="en-GB"/>
        </w:rPr>
      </w:pPr>
      <w:r w:rsidRPr="0086008D">
        <w:rPr>
          <w:color w:val="000000" w:themeColor="text1"/>
          <w:sz w:val="21"/>
          <w:szCs w:val="21"/>
          <w:lang w:val="en-GB"/>
        </w:rPr>
        <w:t>(c) prohibit the publication of such information in relation to the proceedings as the court determines, including information in relation to the parties to the proceedings and the contents of orders made by the court in the proceedings.”</w:t>
      </w:r>
    </w:p>
    <w:p w:rsidR="00EA3766" w:rsidRPr="0086008D" w:rsidRDefault="00EA3766" w:rsidP="00EA3766">
      <w:pPr>
        <w:pStyle w:val="western"/>
        <w:shd w:val="clear" w:color="auto" w:fill="FFFFFF"/>
        <w:spacing w:before="144" w:beforeAutospacing="0" w:after="0" w:afterAutospacing="0"/>
        <w:jc w:val="both"/>
        <w:rPr>
          <w:color w:val="000000" w:themeColor="text1"/>
          <w:sz w:val="21"/>
          <w:szCs w:val="21"/>
        </w:rPr>
      </w:pPr>
    </w:p>
    <w:p w:rsidR="00EA3766" w:rsidRPr="000A24D5" w:rsidRDefault="000A24D5" w:rsidP="000A24D5">
      <w:pPr>
        <w:spacing w:line="360" w:lineRule="auto"/>
        <w:ind w:firstLine="142"/>
        <w:jc w:val="both"/>
        <w:rPr>
          <w:color w:val="000000" w:themeColor="text1"/>
          <w:sz w:val="26"/>
          <w:szCs w:val="26"/>
        </w:rPr>
      </w:pPr>
      <w:bookmarkStart w:id="2" w:name="_Ref182901503"/>
      <w:bookmarkStart w:id="3" w:name="_Ref302920962"/>
      <w:bookmarkEnd w:id="2"/>
      <w:bookmarkEnd w:id="3"/>
      <w:r w:rsidRPr="0086008D">
        <w:rPr>
          <w:color w:val="000000" w:themeColor="text1"/>
          <w:sz w:val="26"/>
          <w:szCs w:val="26"/>
        </w:rPr>
        <w:t>[23]</w:t>
      </w:r>
      <w:r w:rsidRPr="0086008D">
        <w:rPr>
          <w:color w:val="000000" w:themeColor="text1"/>
          <w:sz w:val="26"/>
          <w:szCs w:val="26"/>
        </w:rPr>
        <w:tab/>
      </w:r>
      <w:r w:rsidR="00847DCE" w:rsidRPr="000A24D5">
        <w:rPr>
          <w:color w:val="000000" w:themeColor="text1"/>
          <w:sz w:val="26"/>
          <w:szCs w:val="26"/>
          <w:lang w:val="en-GB"/>
        </w:rPr>
        <w:t>It has been stated</w:t>
      </w:r>
      <w:r w:rsidR="00847DCE" w:rsidRPr="0086008D">
        <w:rPr>
          <w:rStyle w:val="FootnoteReference"/>
          <w:color w:val="000000" w:themeColor="text1"/>
          <w:sz w:val="26"/>
          <w:szCs w:val="26"/>
          <w:lang w:val="en-GB"/>
        </w:rPr>
        <w:footnoteReference w:id="11"/>
      </w:r>
      <w:r w:rsidR="00847DCE" w:rsidRPr="000A24D5">
        <w:rPr>
          <w:color w:val="000000" w:themeColor="text1"/>
          <w:sz w:val="26"/>
          <w:szCs w:val="26"/>
          <w:lang w:val="en-GB"/>
        </w:rPr>
        <w:t xml:space="preserve"> that s</w:t>
      </w:r>
      <w:r w:rsidR="00EA3766" w:rsidRPr="000A24D5">
        <w:rPr>
          <w:color w:val="000000" w:themeColor="text1"/>
          <w:sz w:val="26"/>
          <w:szCs w:val="26"/>
          <w:lang w:val="en-GB"/>
        </w:rPr>
        <w:t xml:space="preserve">ection 80(1) </w:t>
      </w:r>
      <w:r w:rsidR="00470A35" w:rsidRPr="000A24D5">
        <w:rPr>
          <w:color w:val="000000" w:themeColor="text1"/>
          <w:sz w:val="26"/>
          <w:szCs w:val="26"/>
          <w:lang w:val="en-GB"/>
        </w:rPr>
        <w:t>is</w:t>
      </w:r>
      <w:r w:rsidR="00EA3766" w:rsidRPr="000A24D5">
        <w:rPr>
          <w:color w:val="000000" w:themeColor="text1"/>
          <w:sz w:val="26"/>
          <w:szCs w:val="26"/>
          <w:lang w:val="en-GB"/>
        </w:rPr>
        <w:t xml:space="preserve"> an override provision that may be applied despite the other provisions of PAIA and any other law</w:t>
      </w:r>
      <w:r w:rsidR="00847DCE" w:rsidRPr="000A24D5">
        <w:rPr>
          <w:color w:val="000000" w:themeColor="text1"/>
          <w:sz w:val="26"/>
          <w:szCs w:val="26"/>
          <w:lang w:val="en-GB"/>
        </w:rPr>
        <w:t xml:space="preserve"> </w:t>
      </w:r>
      <w:r w:rsidR="00470A35" w:rsidRPr="000A24D5">
        <w:rPr>
          <w:color w:val="000000" w:themeColor="text1"/>
          <w:sz w:val="26"/>
          <w:szCs w:val="26"/>
          <w:lang w:val="en-GB"/>
        </w:rPr>
        <w:t xml:space="preserve">and is to be used </w:t>
      </w:r>
      <w:r w:rsidR="00EA3766" w:rsidRPr="000A24D5">
        <w:rPr>
          <w:color w:val="000000" w:themeColor="text1"/>
          <w:sz w:val="26"/>
          <w:szCs w:val="26"/>
          <w:lang w:val="en-GB"/>
        </w:rPr>
        <w:t>sparingly.</w:t>
      </w:r>
      <w:r w:rsidR="00470A35" w:rsidRPr="000A24D5">
        <w:rPr>
          <w:color w:val="000000" w:themeColor="text1"/>
          <w:sz w:val="26"/>
          <w:szCs w:val="26"/>
          <w:shd w:val="clear" w:color="auto" w:fill="FFFFFF"/>
        </w:rPr>
        <w:t xml:space="preserve"> </w:t>
      </w:r>
      <w:r w:rsidR="00847DCE" w:rsidRPr="000A24D5">
        <w:rPr>
          <w:color w:val="000000" w:themeColor="text1"/>
          <w:sz w:val="26"/>
          <w:szCs w:val="26"/>
          <w:shd w:val="clear" w:color="auto" w:fill="FFFFFF"/>
        </w:rPr>
        <w:t xml:space="preserve">It empowers courts to independently review the record in order to assess the validity of the exemptions claimed, and provides legislative recognition that, through no fault of their own, the parties may be constrained in their abilities to present and refute evidence. </w:t>
      </w:r>
      <w:r w:rsidR="00470A35" w:rsidRPr="000A24D5">
        <w:rPr>
          <w:color w:val="000000" w:themeColor="text1"/>
          <w:sz w:val="26"/>
          <w:szCs w:val="26"/>
          <w:shd w:val="clear" w:color="auto" w:fill="FFFFFF"/>
        </w:rPr>
        <w:t>It is a discretionary power that must be exercised judiciously, with due regard to the constitutional right of access to information and the difficulties the parties face in presenting and refuting evidence</w:t>
      </w:r>
      <w:r w:rsidR="00847DCE" w:rsidRPr="000A24D5">
        <w:rPr>
          <w:color w:val="000000" w:themeColor="text1"/>
          <w:sz w:val="26"/>
          <w:szCs w:val="26"/>
          <w:shd w:val="clear" w:color="auto" w:fill="FFFFFF"/>
        </w:rPr>
        <w:t xml:space="preserve">, and </w:t>
      </w:r>
      <w:r w:rsidR="00470A35" w:rsidRPr="000A24D5">
        <w:rPr>
          <w:color w:val="000000" w:themeColor="text1"/>
          <w:sz w:val="26"/>
          <w:szCs w:val="26"/>
          <w:shd w:val="clear" w:color="auto" w:fill="FFFFFF"/>
        </w:rPr>
        <w:t>where there is the potential for injustice as a result of the unique constraints placed upon the parties in access to information disputes.</w:t>
      </w:r>
      <w:r w:rsidR="00847DCE" w:rsidRPr="0086008D">
        <w:rPr>
          <w:rStyle w:val="FootnoteReference"/>
          <w:color w:val="000000" w:themeColor="text1"/>
          <w:sz w:val="26"/>
          <w:szCs w:val="26"/>
          <w:shd w:val="clear" w:color="auto" w:fill="FFFFFF"/>
        </w:rPr>
        <w:footnoteReference w:id="12"/>
      </w:r>
      <w:r w:rsidR="00470A35" w:rsidRPr="000A24D5">
        <w:rPr>
          <w:color w:val="000000" w:themeColor="text1"/>
          <w:sz w:val="26"/>
          <w:szCs w:val="26"/>
          <w:shd w:val="clear" w:color="auto" w:fill="FFFFFF"/>
        </w:rPr>
        <w:t> </w:t>
      </w:r>
      <w:r w:rsidR="00847DCE" w:rsidRPr="000A24D5">
        <w:rPr>
          <w:color w:val="000000" w:themeColor="text1"/>
          <w:sz w:val="26"/>
          <w:szCs w:val="26"/>
          <w:shd w:val="clear" w:color="auto" w:fill="FFFFFF"/>
        </w:rPr>
        <w:t>Ultimately, t</w:t>
      </w:r>
      <w:r w:rsidR="00470A35" w:rsidRPr="000A24D5">
        <w:rPr>
          <w:color w:val="000000" w:themeColor="text1"/>
          <w:sz w:val="26"/>
          <w:szCs w:val="26"/>
          <w:shd w:val="clear" w:color="auto" w:fill="FFFFFF"/>
        </w:rPr>
        <w:t>he standard for assessing whether a court should properly invoke section 80 in a given case is whether it would be in the interests of justice for it to do so.</w:t>
      </w:r>
      <w:r w:rsidR="00470A35" w:rsidRPr="0086008D">
        <w:rPr>
          <w:rStyle w:val="FootnoteReference"/>
          <w:color w:val="000000" w:themeColor="text1"/>
          <w:sz w:val="26"/>
          <w:szCs w:val="26"/>
          <w:shd w:val="clear" w:color="auto" w:fill="FFFFFF"/>
        </w:rPr>
        <w:footnoteReference w:id="13"/>
      </w:r>
      <w:r w:rsidR="00470A35" w:rsidRPr="000A24D5">
        <w:rPr>
          <w:color w:val="000000" w:themeColor="text1"/>
          <w:sz w:val="26"/>
          <w:szCs w:val="26"/>
          <w:shd w:val="clear" w:color="auto" w:fill="FFFFFF"/>
        </w:rPr>
        <w:t>Judicial examination is not a substitute for requiring state to discharge its burden of showing that the statute’s exemptions applied.</w:t>
      </w:r>
      <w:r w:rsidR="00470A35" w:rsidRPr="0086008D">
        <w:rPr>
          <w:rStyle w:val="FootnoteReference"/>
          <w:color w:val="000000" w:themeColor="text1"/>
          <w:sz w:val="26"/>
          <w:szCs w:val="26"/>
          <w:shd w:val="clear" w:color="auto" w:fill="FFFFFF"/>
        </w:rPr>
        <w:footnoteReference w:id="14"/>
      </w:r>
      <w:r w:rsidR="00470A35" w:rsidRPr="000A24D5">
        <w:rPr>
          <w:color w:val="000000" w:themeColor="text1"/>
          <w:sz w:val="26"/>
          <w:szCs w:val="26"/>
          <w:shd w:val="clear" w:color="auto" w:fill="FFFFFF"/>
        </w:rPr>
        <w:t> </w:t>
      </w:r>
    </w:p>
    <w:p w:rsidR="00847DCE" w:rsidRPr="00847DCE" w:rsidRDefault="00847DCE" w:rsidP="00847DCE">
      <w:pPr>
        <w:spacing w:line="360" w:lineRule="auto"/>
        <w:jc w:val="both"/>
        <w:rPr>
          <w:rFonts w:ascii="Verdana" w:hAnsi="Verdana"/>
          <w:color w:val="242121"/>
          <w:sz w:val="27"/>
          <w:szCs w:val="27"/>
          <w:highlight w:val="cyan"/>
          <w:shd w:val="clear" w:color="auto" w:fill="FFFFFF"/>
        </w:rPr>
      </w:pPr>
    </w:p>
    <w:p w:rsidR="00596559" w:rsidRPr="000A24D5" w:rsidRDefault="000A24D5" w:rsidP="000A24D5">
      <w:pPr>
        <w:spacing w:line="360" w:lineRule="auto"/>
        <w:ind w:left="720" w:hanging="720"/>
        <w:jc w:val="both"/>
        <w:rPr>
          <w:b/>
          <w:bCs/>
          <w:color w:val="000000" w:themeColor="text1"/>
          <w:sz w:val="26"/>
          <w:szCs w:val="26"/>
          <w:u w:val="single"/>
        </w:rPr>
      </w:pPr>
      <w:r w:rsidRPr="00596559">
        <w:rPr>
          <w:b/>
          <w:bCs/>
          <w:color w:val="000000" w:themeColor="text1"/>
          <w:sz w:val="26"/>
          <w:szCs w:val="26"/>
        </w:rPr>
        <w:t>E.</w:t>
      </w:r>
      <w:r w:rsidRPr="00596559">
        <w:rPr>
          <w:b/>
          <w:bCs/>
          <w:color w:val="000000" w:themeColor="text1"/>
          <w:sz w:val="26"/>
          <w:szCs w:val="26"/>
        </w:rPr>
        <w:tab/>
      </w:r>
      <w:r w:rsidR="00596559" w:rsidRPr="000A24D5">
        <w:rPr>
          <w:b/>
          <w:bCs/>
          <w:color w:val="000000" w:themeColor="text1"/>
          <w:sz w:val="26"/>
          <w:szCs w:val="26"/>
          <w:u w:val="single"/>
          <w:shd w:val="clear" w:color="auto" w:fill="FFFFFF"/>
        </w:rPr>
        <w:t>DISCUSSION</w:t>
      </w:r>
    </w:p>
    <w:p w:rsidR="00847DCE" w:rsidRPr="000A24D5" w:rsidRDefault="000A24D5" w:rsidP="000A24D5">
      <w:pPr>
        <w:spacing w:line="360" w:lineRule="auto"/>
        <w:ind w:firstLine="142"/>
        <w:jc w:val="both"/>
        <w:rPr>
          <w:color w:val="000000" w:themeColor="text1"/>
          <w:sz w:val="26"/>
          <w:szCs w:val="26"/>
        </w:rPr>
      </w:pPr>
      <w:r w:rsidRPr="0086008D">
        <w:rPr>
          <w:color w:val="000000" w:themeColor="text1"/>
          <w:sz w:val="26"/>
          <w:szCs w:val="26"/>
        </w:rPr>
        <w:t>[24]</w:t>
      </w:r>
      <w:r w:rsidRPr="0086008D">
        <w:rPr>
          <w:color w:val="000000" w:themeColor="text1"/>
          <w:sz w:val="26"/>
          <w:szCs w:val="26"/>
        </w:rPr>
        <w:tab/>
      </w:r>
      <w:r w:rsidR="00847DCE" w:rsidRPr="000A24D5">
        <w:rPr>
          <w:color w:val="000000" w:themeColor="text1"/>
          <w:sz w:val="26"/>
          <w:szCs w:val="26"/>
        </w:rPr>
        <w:t xml:space="preserve">Because the applicant has since published his book, which was the basis on which he approached the Court, the respondents argue that the application has become moot. I do not agree. There is nothing in the PAIA which prevents the applicant from obtaining the relief he seeks in these circumstances, or which requires him to demonstrate his purpose for </w:t>
      </w:r>
      <w:r w:rsidR="00914663" w:rsidRPr="000A24D5">
        <w:rPr>
          <w:color w:val="000000" w:themeColor="text1"/>
          <w:sz w:val="26"/>
          <w:szCs w:val="26"/>
        </w:rPr>
        <w:t>seeking</w:t>
      </w:r>
      <w:r w:rsidR="00847DCE" w:rsidRPr="000A24D5">
        <w:rPr>
          <w:color w:val="000000" w:themeColor="text1"/>
          <w:sz w:val="26"/>
          <w:szCs w:val="26"/>
        </w:rPr>
        <w:t xml:space="preserve"> the information. There is furthermore no dispute between the parties that there continues to be significant public interest in the matter. </w:t>
      </w:r>
    </w:p>
    <w:p w:rsidR="00596559" w:rsidRPr="000A24D5" w:rsidRDefault="000A24D5" w:rsidP="000A24D5">
      <w:pPr>
        <w:spacing w:line="360" w:lineRule="auto"/>
        <w:ind w:firstLine="142"/>
        <w:jc w:val="both"/>
        <w:rPr>
          <w:color w:val="000000" w:themeColor="text1"/>
          <w:sz w:val="26"/>
          <w:szCs w:val="26"/>
        </w:rPr>
      </w:pPr>
      <w:r w:rsidRPr="0086008D">
        <w:rPr>
          <w:color w:val="000000" w:themeColor="text1"/>
          <w:sz w:val="26"/>
          <w:szCs w:val="26"/>
        </w:rPr>
        <w:t>[25]</w:t>
      </w:r>
      <w:r w:rsidRPr="0086008D">
        <w:rPr>
          <w:color w:val="000000" w:themeColor="text1"/>
          <w:sz w:val="26"/>
          <w:szCs w:val="26"/>
        </w:rPr>
        <w:tab/>
      </w:r>
      <w:r w:rsidR="00914663" w:rsidRPr="000A24D5">
        <w:rPr>
          <w:color w:val="000000" w:themeColor="text1"/>
          <w:sz w:val="26"/>
          <w:szCs w:val="26"/>
        </w:rPr>
        <w:t xml:space="preserve">There is otherwise no suggestion that the applicant failed to meet any </w:t>
      </w:r>
      <w:r w:rsidR="00596559" w:rsidRPr="000A24D5">
        <w:rPr>
          <w:color w:val="000000" w:themeColor="text1"/>
          <w:sz w:val="26"/>
          <w:szCs w:val="26"/>
        </w:rPr>
        <w:t xml:space="preserve">procedural requirements </w:t>
      </w:r>
      <w:r w:rsidR="00914663" w:rsidRPr="000A24D5">
        <w:rPr>
          <w:color w:val="000000" w:themeColor="text1"/>
          <w:sz w:val="26"/>
          <w:szCs w:val="26"/>
        </w:rPr>
        <w:t>of the PAIA</w:t>
      </w:r>
      <w:r w:rsidR="00847DCE" w:rsidRPr="000A24D5">
        <w:rPr>
          <w:color w:val="000000" w:themeColor="text1"/>
          <w:sz w:val="26"/>
          <w:szCs w:val="26"/>
        </w:rPr>
        <w:t>. As a result,</w:t>
      </w:r>
      <w:r w:rsidR="00596559" w:rsidRPr="000A24D5">
        <w:rPr>
          <w:color w:val="000000" w:themeColor="text1"/>
          <w:sz w:val="26"/>
          <w:szCs w:val="26"/>
        </w:rPr>
        <w:t xml:space="preserve"> </w:t>
      </w:r>
      <w:r w:rsidR="00847DCE" w:rsidRPr="000A24D5">
        <w:rPr>
          <w:color w:val="000000" w:themeColor="text1"/>
          <w:sz w:val="26"/>
          <w:szCs w:val="26"/>
        </w:rPr>
        <w:t>it is for the</w:t>
      </w:r>
      <w:r w:rsidR="00596559" w:rsidRPr="000A24D5">
        <w:rPr>
          <w:color w:val="000000" w:themeColor="text1"/>
          <w:sz w:val="26"/>
          <w:szCs w:val="26"/>
        </w:rPr>
        <w:t xml:space="preserve"> respondents to justify their refusal as contemplated in s 81(3) of PAIA</w:t>
      </w:r>
      <w:r w:rsidR="00914663" w:rsidRPr="000A24D5">
        <w:rPr>
          <w:color w:val="000000" w:themeColor="text1"/>
          <w:sz w:val="26"/>
          <w:szCs w:val="26"/>
        </w:rPr>
        <w:t>,</w:t>
      </w:r>
      <w:r w:rsidR="00596559" w:rsidRPr="000A24D5">
        <w:rPr>
          <w:color w:val="000000" w:themeColor="text1"/>
          <w:sz w:val="26"/>
          <w:szCs w:val="26"/>
        </w:rPr>
        <w:t xml:space="preserve"> which provides that the burden of establishing that a refusal of a request for access complies with the provision</w:t>
      </w:r>
      <w:r w:rsidR="00914663" w:rsidRPr="000A24D5">
        <w:rPr>
          <w:color w:val="000000" w:themeColor="text1"/>
          <w:sz w:val="26"/>
          <w:szCs w:val="26"/>
        </w:rPr>
        <w:t>s</w:t>
      </w:r>
      <w:r w:rsidR="00596559" w:rsidRPr="000A24D5">
        <w:rPr>
          <w:color w:val="000000" w:themeColor="text1"/>
          <w:sz w:val="26"/>
          <w:szCs w:val="26"/>
        </w:rPr>
        <w:t xml:space="preserve"> of th</w:t>
      </w:r>
      <w:r w:rsidR="00914663" w:rsidRPr="000A24D5">
        <w:rPr>
          <w:color w:val="000000" w:themeColor="text1"/>
          <w:sz w:val="26"/>
          <w:szCs w:val="26"/>
        </w:rPr>
        <w:t>e</w:t>
      </w:r>
      <w:r w:rsidR="00596559" w:rsidRPr="000A24D5">
        <w:rPr>
          <w:color w:val="000000" w:themeColor="text1"/>
          <w:sz w:val="26"/>
          <w:szCs w:val="26"/>
        </w:rPr>
        <w:t xml:space="preserve"> Act rests on the party claiming that it so complies.</w:t>
      </w:r>
    </w:p>
    <w:p w:rsidR="00596559" w:rsidRPr="00596559" w:rsidRDefault="00596559" w:rsidP="00596559">
      <w:pPr>
        <w:pStyle w:val="ListParagraph"/>
        <w:spacing w:line="360" w:lineRule="auto"/>
        <w:ind w:left="142"/>
        <w:jc w:val="both"/>
        <w:rPr>
          <w:rFonts w:ascii="Verdana" w:hAnsi="Verdana"/>
          <w:color w:val="242121"/>
          <w:sz w:val="27"/>
          <w:szCs w:val="27"/>
        </w:rPr>
      </w:pPr>
    </w:p>
    <w:p w:rsidR="0086008D" w:rsidRPr="000A24D5" w:rsidRDefault="000A24D5" w:rsidP="000A24D5">
      <w:pPr>
        <w:spacing w:line="360" w:lineRule="auto"/>
        <w:ind w:firstLine="142"/>
        <w:jc w:val="both"/>
        <w:rPr>
          <w:sz w:val="26"/>
          <w:szCs w:val="26"/>
        </w:rPr>
      </w:pPr>
      <w:r w:rsidRPr="003514C0">
        <w:rPr>
          <w:sz w:val="26"/>
          <w:szCs w:val="26"/>
        </w:rPr>
        <w:t>[26]</w:t>
      </w:r>
      <w:r w:rsidRPr="003514C0">
        <w:rPr>
          <w:sz w:val="26"/>
          <w:szCs w:val="26"/>
        </w:rPr>
        <w:tab/>
      </w:r>
      <w:r w:rsidR="00596559" w:rsidRPr="000A24D5">
        <w:rPr>
          <w:sz w:val="26"/>
          <w:szCs w:val="26"/>
        </w:rPr>
        <w:t xml:space="preserve">From the outset, the respondents have relied on </w:t>
      </w:r>
      <w:r w:rsidR="006F399B" w:rsidRPr="000A24D5">
        <w:rPr>
          <w:sz w:val="26"/>
          <w:szCs w:val="26"/>
        </w:rPr>
        <w:t>s</w:t>
      </w:r>
      <w:r w:rsidR="00596559" w:rsidRPr="000A24D5">
        <w:rPr>
          <w:sz w:val="26"/>
          <w:szCs w:val="26"/>
        </w:rPr>
        <w:t>ection 34(1)</w:t>
      </w:r>
      <w:r w:rsidR="00D277D3" w:rsidRPr="000A24D5">
        <w:rPr>
          <w:sz w:val="26"/>
          <w:szCs w:val="26"/>
        </w:rPr>
        <w:t>. However, because of my conclusions with regard to the other statutory exemptions relied upon by the respondents</w:t>
      </w:r>
      <w:r w:rsidR="00914663" w:rsidRPr="000A24D5">
        <w:rPr>
          <w:sz w:val="26"/>
          <w:szCs w:val="26"/>
        </w:rPr>
        <w:t xml:space="preserve"> discussed below</w:t>
      </w:r>
      <w:r w:rsidR="00D277D3" w:rsidRPr="000A24D5">
        <w:rPr>
          <w:sz w:val="26"/>
          <w:szCs w:val="26"/>
        </w:rPr>
        <w:t xml:space="preserve">, it is </w:t>
      </w:r>
      <w:r w:rsidR="0086008D" w:rsidRPr="000A24D5">
        <w:rPr>
          <w:sz w:val="26"/>
          <w:szCs w:val="26"/>
        </w:rPr>
        <w:t xml:space="preserve">most appropriate </w:t>
      </w:r>
      <w:r w:rsidR="00914663" w:rsidRPr="000A24D5">
        <w:rPr>
          <w:sz w:val="26"/>
          <w:szCs w:val="26"/>
        </w:rPr>
        <w:t xml:space="preserve">to </w:t>
      </w:r>
      <w:r w:rsidR="00D277D3" w:rsidRPr="000A24D5">
        <w:rPr>
          <w:sz w:val="26"/>
          <w:szCs w:val="26"/>
        </w:rPr>
        <w:t xml:space="preserve">first </w:t>
      </w:r>
      <w:r w:rsidR="00914663" w:rsidRPr="000A24D5">
        <w:rPr>
          <w:sz w:val="26"/>
          <w:szCs w:val="26"/>
        </w:rPr>
        <w:t xml:space="preserve">deal </w:t>
      </w:r>
      <w:r w:rsidR="00D277D3" w:rsidRPr="000A24D5">
        <w:rPr>
          <w:sz w:val="26"/>
          <w:szCs w:val="26"/>
        </w:rPr>
        <w:t xml:space="preserve">with </w:t>
      </w:r>
      <w:r w:rsidR="00596559" w:rsidRPr="000A24D5">
        <w:rPr>
          <w:sz w:val="26"/>
          <w:szCs w:val="26"/>
        </w:rPr>
        <w:t xml:space="preserve">the respondents’ reliance on </w:t>
      </w:r>
      <w:r w:rsidR="006F399B" w:rsidRPr="000A24D5">
        <w:rPr>
          <w:sz w:val="26"/>
          <w:szCs w:val="26"/>
        </w:rPr>
        <w:t>th</w:t>
      </w:r>
      <w:r w:rsidR="00914663" w:rsidRPr="000A24D5">
        <w:rPr>
          <w:sz w:val="26"/>
          <w:szCs w:val="26"/>
        </w:rPr>
        <w:t>os</w:t>
      </w:r>
      <w:r w:rsidR="006F399B" w:rsidRPr="000A24D5">
        <w:rPr>
          <w:sz w:val="26"/>
          <w:szCs w:val="26"/>
        </w:rPr>
        <w:t>e</w:t>
      </w:r>
      <w:r w:rsidR="00596559" w:rsidRPr="000A24D5">
        <w:rPr>
          <w:sz w:val="26"/>
          <w:szCs w:val="26"/>
        </w:rPr>
        <w:t xml:space="preserve"> ground</w:t>
      </w:r>
      <w:r w:rsidR="00914663" w:rsidRPr="000A24D5">
        <w:rPr>
          <w:sz w:val="26"/>
          <w:szCs w:val="26"/>
        </w:rPr>
        <w:t>s, starting with</w:t>
      </w:r>
      <w:r w:rsidR="00596559" w:rsidRPr="000A24D5">
        <w:rPr>
          <w:sz w:val="26"/>
          <w:szCs w:val="26"/>
        </w:rPr>
        <w:t xml:space="preserve"> prejudice to bilateral or diplomatic relations</w:t>
      </w:r>
      <w:r w:rsidR="0086008D" w:rsidRPr="000A24D5">
        <w:rPr>
          <w:sz w:val="26"/>
          <w:szCs w:val="26"/>
        </w:rPr>
        <w:t>, and to deal with the reliance on section 34 at a later stage</w:t>
      </w:r>
      <w:r w:rsidR="00596559" w:rsidRPr="000A24D5">
        <w:rPr>
          <w:sz w:val="26"/>
          <w:szCs w:val="26"/>
        </w:rPr>
        <w:t xml:space="preserve">. </w:t>
      </w:r>
    </w:p>
    <w:p w:rsidR="0086008D" w:rsidRPr="003514C0" w:rsidRDefault="0086008D" w:rsidP="0086008D">
      <w:pPr>
        <w:pStyle w:val="ListParagraph"/>
        <w:rPr>
          <w:sz w:val="26"/>
          <w:szCs w:val="26"/>
        </w:rPr>
      </w:pPr>
    </w:p>
    <w:p w:rsidR="00596559" w:rsidRPr="000A24D5" w:rsidRDefault="000A24D5" w:rsidP="000A24D5">
      <w:pPr>
        <w:spacing w:line="360" w:lineRule="auto"/>
        <w:ind w:firstLine="142"/>
        <w:jc w:val="both"/>
        <w:rPr>
          <w:sz w:val="26"/>
          <w:szCs w:val="26"/>
        </w:rPr>
      </w:pPr>
      <w:r w:rsidRPr="003514C0">
        <w:rPr>
          <w:sz w:val="26"/>
          <w:szCs w:val="26"/>
        </w:rPr>
        <w:t>[27]</w:t>
      </w:r>
      <w:r w:rsidRPr="003514C0">
        <w:rPr>
          <w:sz w:val="26"/>
          <w:szCs w:val="26"/>
        </w:rPr>
        <w:tab/>
      </w:r>
      <w:r w:rsidR="00596559" w:rsidRPr="000A24D5">
        <w:rPr>
          <w:sz w:val="26"/>
          <w:szCs w:val="26"/>
        </w:rPr>
        <w:t xml:space="preserve">It was confirmed in the respondents’ heads of argument that </w:t>
      </w:r>
      <w:r w:rsidR="0086008D" w:rsidRPr="000A24D5">
        <w:rPr>
          <w:sz w:val="26"/>
          <w:szCs w:val="26"/>
        </w:rPr>
        <w:t xml:space="preserve">the reliance on prejudice to bilateral or diplomatic relations </w:t>
      </w:r>
      <w:r w:rsidR="00596559" w:rsidRPr="000A24D5">
        <w:rPr>
          <w:sz w:val="26"/>
          <w:szCs w:val="26"/>
        </w:rPr>
        <w:t xml:space="preserve">is </w:t>
      </w:r>
      <w:r w:rsidR="0086008D" w:rsidRPr="000A24D5">
        <w:rPr>
          <w:sz w:val="26"/>
          <w:szCs w:val="26"/>
        </w:rPr>
        <w:t>based on</w:t>
      </w:r>
      <w:r w:rsidR="00596559" w:rsidRPr="000A24D5">
        <w:rPr>
          <w:sz w:val="26"/>
          <w:szCs w:val="26"/>
        </w:rPr>
        <w:t xml:space="preserve"> section 41(1)(a)(iii), which provides, in part, as follows:</w:t>
      </w:r>
    </w:p>
    <w:p w:rsidR="00596559" w:rsidRPr="006F399B" w:rsidRDefault="00596559" w:rsidP="00596559">
      <w:pPr>
        <w:pStyle w:val="ListParagraph"/>
        <w:rPr>
          <w:color w:val="000000" w:themeColor="text1"/>
          <w:sz w:val="22"/>
          <w:szCs w:val="22"/>
          <w:lang w:val="en-GB"/>
        </w:rPr>
      </w:pPr>
    </w:p>
    <w:p w:rsidR="00596559" w:rsidRPr="00224D2B" w:rsidRDefault="00596559" w:rsidP="00596559">
      <w:pPr>
        <w:pStyle w:val="ListParagraph"/>
        <w:ind w:left="1134" w:right="713"/>
        <w:jc w:val="both"/>
        <w:rPr>
          <w:color w:val="000000" w:themeColor="text1"/>
          <w:sz w:val="21"/>
          <w:szCs w:val="21"/>
        </w:rPr>
      </w:pPr>
      <w:r w:rsidRPr="00224D2B">
        <w:rPr>
          <w:color w:val="000000" w:themeColor="text1"/>
          <w:sz w:val="21"/>
          <w:szCs w:val="21"/>
          <w:lang w:val="en-GB"/>
        </w:rPr>
        <w:t xml:space="preserve">“The information officer of a public body may refuse a request for access to a record of the body if its disclosure </w:t>
      </w:r>
      <w:r w:rsidRPr="00596559">
        <w:rPr>
          <w:color w:val="000000" w:themeColor="text1"/>
          <w:sz w:val="21"/>
          <w:szCs w:val="21"/>
        </w:rPr>
        <w:t>could reasonably be expected to cause prejudice to</w:t>
      </w:r>
      <w:r w:rsidRPr="00224D2B">
        <w:rPr>
          <w:color w:val="000000" w:themeColor="text1"/>
          <w:sz w:val="21"/>
          <w:szCs w:val="21"/>
        </w:rPr>
        <w:t>…</w:t>
      </w:r>
      <w:r w:rsidRPr="00596559">
        <w:rPr>
          <w:color w:val="000000" w:themeColor="text1"/>
          <w:sz w:val="21"/>
          <w:szCs w:val="21"/>
        </w:rPr>
        <w:t>subject to subsection (3), the international relations of the Republic</w:t>
      </w:r>
      <w:r w:rsidRPr="00224D2B">
        <w:rPr>
          <w:color w:val="000000" w:themeColor="text1"/>
          <w:sz w:val="21"/>
          <w:szCs w:val="21"/>
        </w:rPr>
        <w:t>”.</w:t>
      </w:r>
    </w:p>
    <w:p w:rsidR="00596559" w:rsidRPr="00224D2B" w:rsidRDefault="00596559" w:rsidP="00596559">
      <w:pPr>
        <w:pStyle w:val="ListParagraph"/>
        <w:spacing w:line="360" w:lineRule="auto"/>
        <w:ind w:left="142"/>
        <w:jc w:val="both"/>
        <w:rPr>
          <w:rFonts w:ascii="Verdana" w:hAnsi="Verdana"/>
          <w:color w:val="000000" w:themeColor="text1"/>
          <w:sz w:val="21"/>
          <w:szCs w:val="21"/>
          <w:lang w:val="en-GB"/>
        </w:rPr>
      </w:pPr>
    </w:p>
    <w:p w:rsidR="00596559" w:rsidRPr="000A24D5" w:rsidRDefault="000A24D5" w:rsidP="000A24D5">
      <w:pPr>
        <w:spacing w:line="360" w:lineRule="auto"/>
        <w:ind w:firstLine="142"/>
        <w:jc w:val="both"/>
        <w:rPr>
          <w:color w:val="242121"/>
          <w:sz w:val="26"/>
          <w:szCs w:val="26"/>
          <w:lang w:val="en-GB"/>
        </w:rPr>
      </w:pPr>
      <w:r w:rsidRPr="00596559">
        <w:rPr>
          <w:color w:val="242121"/>
          <w:sz w:val="26"/>
          <w:szCs w:val="26"/>
          <w:lang w:val="en-GB"/>
        </w:rPr>
        <w:t>[28]</w:t>
      </w:r>
      <w:r w:rsidRPr="00596559">
        <w:rPr>
          <w:color w:val="242121"/>
          <w:sz w:val="26"/>
          <w:szCs w:val="26"/>
          <w:lang w:val="en-GB"/>
        </w:rPr>
        <w:tab/>
      </w:r>
      <w:r w:rsidR="00596559" w:rsidRPr="000A24D5">
        <w:rPr>
          <w:color w:val="242121"/>
          <w:sz w:val="26"/>
          <w:szCs w:val="26"/>
          <w:lang w:val="en-US"/>
        </w:rPr>
        <w:t xml:space="preserve">The exact </w:t>
      </w:r>
      <w:r w:rsidR="00596559" w:rsidRPr="000A24D5">
        <w:rPr>
          <w:color w:val="242121"/>
          <w:sz w:val="26"/>
          <w:szCs w:val="26"/>
        </w:rPr>
        <w:t xml:space="preserve">unedited </w:t>
      </w:r>
      <w:r w:rsidR="00596559" w:rsidRPr="000A24D5">
        <w:rPr>
          <w:color w:val="242121"/>
          <w:sz w:val="26"/>
          <w:szCs w:val="26"/>
          <w:lang w:val="en-US"/>
        </w:rPr>
        <w:t xml:space="preserve">wording </w:t>
      </w:r>
      <w:r w:rsidR="00596559" w:rsidRPr="000A24D5">
        <w:rPr>
          <w:color w:val="242121"/>
          <w:sz w:val="26"/>
          <w:szCs w:val="26"/>
        </w:rPr>
        <w:t>of</w:t>
      </w:r>
      <w:r w:rsidR="00596559" w:rsidRPr="000A24D5">
        <w:rPr>
          <w:color w:val="242121"/>
          <w:sz w:val="26"/>
          <w:szCs w:val="26"/>
          <w:lang w:val="en-US"/>
        </w:rPr>
        <w:t xml:space="preserve"> the </w:t>
      </w:r>
      <w:r w:rsidR="00596559" w:rsidRPr="000A24D5">
        <w:rPr>
          <w:color w:val="242121"/>
          <w:sz w:val="26"/>
          <w:szCs w:val="26"/>
        </w:rPr>
        <w:t>M</w:t>
      </w:r>
      <w:r w:rsidR="00596559" w:rsidRPr="000A24D5">
        <w:rPr>
          <w:color w:val="242121"/>
          <w:sz w:val="26"/>
          <w:szCs w:val="26"/>
          <w:lang w:val="en-US"/>
        </w:rPr>
        <w:t>inister's letter</w:t>
      </w:r>
      <w:r w:rsidR="00596559" w:rsidRPr="000A24D5">
        <w:rPr>
          <w:color w:val="242121"/>
          <w:sz w:val="26"/>
          <w:szCs w:val="26"/>
        </w:rPr>
        <w:t xml:space="preserve"> </w:t>
      </w:r>
      <w:r w:rsidR="00596559" w:rsidRPr="000A24D5">
        <w:rPr>
          <w:color w:val="242121"/>
          <w:sz w:val="26"/>
          <w:szCs w:val="26"/>
          <w:lang w:val="en-US"/>
        </w:rPr>
        <w:t>in which this ground is substantiated is as follows</w:t>
      </w:r>
      <w:r w:rsidR="00596559" w:rsidRPr="000A24D5">
        <w:rPr>
          <w:color w:val="242121"/>
          <w:sz w:val="26"/>
          <w:szCs w:val="26"/>
        </w:rPr>
        <w:t xml:space="preserve">: </w:t>
      </w:r>
    </w:p>
    <w:p w:rsidR="00596559" w:rsidRPr="00596559" w:rsidRDefault="00596559" w:rsidP="00596559">
      <w:pPr>
        <w:pStyle w:val="ListParagraph"/>
        <w:spacing w:line="360" w:lineRule="auto"/>
        <w:ind w:left="142"/>
        <w:jc w:val="both"/>
        <w:rPr>
          <w:color w:val="242121"/>
          <w:sz w:val="26"/>
          <w:szCs w:val="26"/>
          <w:lang w:val="en-GB"/>
        </w:rPr>
      </w:pPr>
    </w:p>
    <w:p w:rsidR="00596559" w:rsidRPr="00224D2B" w:rsidRDefault="00596559" w:rsidP="00596559">
      <w:pPr>
        <w:pStyle w:val="ListParagraph"/>
        <w:spacing w:line="276" w:lineRule="auto"/>
        <w:ind w:left="1418"/>
        <w:jc w:val="both"/>
        <w:rPr>
          <w:i/>
          <w:iCs/>
          <w:color w:val="000000" w:themeColor="text1"/>
          <w:sz w:val="21"/>
          <w:szCs w:val="21"/>
          <w:lang w:val="en-GB"/>
        </w:rPr>
      </w:pPr>
      <w:r w:rsidRPr="00224D2B">
        <w:rPr>
          <w:i/>
          <w:iCs/>
          <w:color w:val="000000" w:themeColor="text1"/>
          <w:sz w:val="21"/>
          <w:szCs w:val="21"/>
        </w:rPr>
        <w:t>“T</w:t>
      </w:r>
      <w:r w:rsidRPr="00224D2B">
        <w:rPr>
          <w:i/>
          <w:iCs/>
          <w:color w:val="000000" w:themeColor="text1"/>
          <w:sz w:val="21"/>
          <w:szCs w:val="21"/>
          <w:lang w:val="en-US"/>
        </w:rPr>
        <w:t>here can be no doubt that in the nature of the incident that the BOI dealt with</w:t>
      </w:r>
      <w:r w:rsidRPr="00224D2B">
        <w:rPr>
          <w:i/>
          <w:iCs/>
          <w:color w:val="000000" w:themeColor="text1"/>
          <w:sz w:val="21"/>
          <w:szCs w:val="21"/>
        </w:rPr>
        <w:t>,</w:t>
      </w:r>
      <w:r w:rsidRPr="00224D2B">
        <w:rPr>
          <w:i/>
          <w:iCs/>
          <w:color w:val="000000" w:themeColor="text1"/>
          <w:sz w:val="21"/>
          <w:szCs w:val="21"/>
          <w:lang w:val="en-US"/>
        </w:rPr>
        <w:t xml:space="preserve"> that the information contained in it is of high sensitive nature because of the combat nature of the operation that was undertaken in the Bangui</w:t>
      </w:r>
      <w:r w:rsidRPr="00224D2B">
        <w:rPr>
          <w:i/>
          <w:iCs/>
          <w:color w:val="000000" w:themeColor="text1"/>
          <w:sz w:val="21"/>
          <w:szCs w:val="21"/>
        </w:rPr>
        <w:t>,</w:t>
      </w:r>
      <w:r w:rsidRPr="00224D2B">
        <w:rPr>
          <w:i/>
          <w:iCs/>
          <w:color w:val="000000" w:themeColor="text1"/>
          <w:sz w:val="21"/>
          <w:szCs w:val="21"/>
          <w:lang w:val="en-US"/>
        </w:rPr>
        <w:t xml:space="preserve"> that these soldiers were injured and others died in foreign land which has impacted not only bi</w:t>
      </w:r>
      <w:r w:rsidRPr="00224D2B">
        <w:rPr>
          <w:i/>
          <w:iCs/>
          <w:color w:val="000000" w:themeColor="text1"/>
          <w:sz w:val="21"/>
          <w:szCs w:val="21"/>
        </w:rPr>
        <w:t>-</w:t>
      </w:r>
      <w:r w:rsidRPr="00224D2B">
        <w:rPr>
          <w:i/>
          <w:iCs/>
          <w:color w:val="000000" w:themeColor="text1"/>
          <w:sz w:val="21"/>
          <w:szCs w:val="21"/>
          <w:lang w:val="en-US"/>
        </w:rPr>
        <w:t>lateral relations that exist between South Africa and the CAR</w:t>
      </w:r>
      <w:r w:rsidRPr="00224D2B">
        <w:rPr>
          <w:i/>
          <w:iCs/>
          <w:color w:val="000000" w:themeColor="text1"/>
          <w:sz w:val="21"/>
          <w:szCs w:val="21"/>
        </w:rPr>
        <w:t>,</w:t>
      </w:r>
      <w:r w:rsidRPr="00224D2B">
        <w:rPr>
          <w:i/>
          <w:iCs/>
          <w:color w:val="000000" w:themeColor="text1"/>
          <w:sz w:val="21"/>
          <w:szCs w:val="21"/>
          <w:lang w:val="en-US"/>
        </w:rPr>
        <w:t xml:space="preserve"> but also international law</w:t>
      </w:r>
      <w:r w:rsidRPr="00224D2B">
        <w:rPr>
          <w:i/>
          <w:iCs/>
          <w:color w:val="000000" w:themeColor="text1"/>
          <w:sz w:val="21"/>
          <w:szCs w:val="21"/>
        </w:rPr>
        <w:t>.</w:t>
      </w:r>
      <w:r w:rsidRPr="00224D2B">
        <w:rPr>
          <w:i/>
          <w:iCs/>
          <w:color w:val="000000" w:themeColor="text1"/>
          <w:sz w:val="21"/>
          <w:szCs w:val="21"/>
          <w:lang w:val="en-US"/>
        </w:rPr>
        <w:t xml:space="preserve"> Certain information can therefore not be released without first engaging the foreign country in which the incident occurred</w:t>
      </w:r>
      <w:r w:rsidRPr="00224D2B">
        <w:rPr>
          <w:i/>
          <w:iCs/>
          <w:color w:val="000000" w:themeColor="text1"/>
          <w:sz w:val="21"/>
          <w:szCs w:val="21"/>
        </w:rPr>
        <w:t>,</w:t>
      </w:r>
      <w:r w:rsidRPr="00224D2B">
        <w:rPr>
          <w:i/>
          <w:iCs/>
          <w:color w:val="000000" w:themeColor="text1"/>
          <w:sz w:val="21"/>
          <w:szCs w:val="21"/>
          <w:lang w:val="en-US"/>
        </w:rPr>
        <w:t xml:space="preserve"> which is the CAR</w:t>
      </w:r>
      <w:r w:rsidRPr="00224D2B">
        <w:rPr>
          <w:i/>
          <w:iCs/>
          <w:color w:val="000000" w:themeColor="text1"/>
          <w:sz w:val="21"/>
          <w:szCs w:val="21"/>
        </w:rPr>
        <w:t>.</w:t>
      </w:r>
      <w:r w:rsidRPr="00224D2B">
        <w:rPr>
          <w:i/>
          <w:iCs/>
          <w:color w:val="000000" w:themeColor="text1"/>
          <w:sz w:val="21"/>
          <w:szCs w:val="21"/>
          <w:lang w:val="en-US"/>
        </w:rPr>
        <w:t xml:space="preserve"> Releasing such information has the potential to damage South A</w:t>
      </w:r>
      <w:r w:rsidRPr="00224D2B">
        <w:rPr>
          <w:i/>
          <w:iCs/>
          <w:color w:val="000000" w:themeColor="text1"/>
          <w:sz w:val="21"/>
          <w:szCs w:val="21"/>
        </w:rPr>
        <w:t>frica</w:t>
      </w:r>
      <w:r w:rsidRPr="00224D2B">
        <w:rPr>
          <w:i/>
          <w:iCs/>
          <w:color w:val="000000" w:themeColor="text1"/>
          <w:sz w:val="21"/>
          <w:szCs w:val="21"/>
          <w:lang w:val="en-US"/>
        </w:rPr>
        <w:t>'s reputation and its relations with the CAR</w:t>
      </w:r>
      <w:r w:rsidRPr="00224D2B">
        <w:rPr>
          <w:i/>
          <w:iCs/>
          <w:color w:val="000000" w:themeColor="text1"/>
          <w:sz w:val="21"/>
          <w:szCs w:val="21"/>
        </w:rPr>
        <w:t>.</w:t>
      </w:r>
      <w:r w:rsidRPr="00224D2B">
        <w:rPr>
          <w:i/>
          <w:iCs/>
          <w:color w:val="000000" w:themeColor="text1"/>
          <w:sz w:val="21"/>
          <w:szCs w:val="21"/>
          <w:lang w:val="en-US"/>
        </w:rPr>
        <w:t xml:space="preserve"> The other reason for refusing to provide the BOI is due to diplomatic relations between the two countries</w:t>
      </w:r>
      <w:r w:rsidRPr="00224D2B">
        <w:rPr>
          <w:i/>
          <w:iCs/>
          <w:color w:val="000000" w:themeColor="text1"/>
          <w:sz w:val="21"/>
          <w:szCs w:val="21"/>
        </w:rPr>
        <w:t>.”</w:t>
      </w:r>
    </w:p>
    <w:p w:rsidR="00175D44" w:rsidRPr="00224D2B" w:rsidRDefault="00175D44" w:rsidP="00175D44">
      <w:pPr>
        <w:pStyle w:val="ListParagraph"/>
        <w:spacing w:line="360" w:lineRule="auto"/>
        <w:ind w:left="142"/>
        <w:jc w:val="both"/>
        <w:rPr>
          <w:rFonts w:asciiTheme="minorHAnsi" w:hAnsiTheme="minorHAnsi" w:cstheme="minorBidi"/>
          <w:color w:val="242121"/>
          <w:sz w:val="21"/>
          <w:szCs w:val="21"/>
          <w:lang w:val="en-GB"/>
        </w:rPr>
      </w:pPr>
    </w:p>
    <w:p w:rsidR="00175D44" w:rsidRPr="000A24D5" w:rsidRDefault="000A24D5" w:rsidP="000A24D5">
      <w:pPr>
        <w:spacing w:line="360" w:lineRule="auto"/>
        <w:ind w:left="142" w:firstLine="142"/>
        <w:jc w:val="both"/>
        <w:rPr>
          <w:color w:val="242121"/>
          <w:sz w:val="26"/>
          <w:szCs w:val="26"/>
          <w:lang w:val="en-GB"/>
        </w:rPr>
      </w:pPr>
      <w:r w:rsidRPr="006F399B">
        <w:rPr>
          <w:color w:val="242121"/>
          <w:sz w:val="26"/>
          <w:szCs w:val="26"/>
          <w:lang w:val="en-GB"/>
        </w:rPr>
        <w:t>[29]</w:t>
      </w:r>
      <w:r w:rsidRPr="006F399B">
        <w:rPr>
          <w:color w:val="242121"/>
          <w:sz w:val="26"/>
          <w:szCs w:val="26"/>
          <w:lang w:val="en-GB"/>
        </w:rPr>
        <w:tab/>
      </w:r>
      <w:r w:rsidR="00101A9F" w:rsidRPr="000A24D5">
        <w:rPr>
          <w:color w:val="000000" w:themeColor="text1"/>
          <w:sz w:val="26"/>
          <w:szCs w:val="26"/>
        </w:rPr>
        <w:t xml:space="preserve">Insofar as the </w:t>
      </w:r>
      <w:r w:rsidR="000F71B5" w:rsidRPr="000A24D5">
        <w:rPr>
          <w:color w:val="000000" w:themeColor="text1"/>
          <w:sz w:val="26"/>
          <w:szCs w:val="26"/>
        </w:rPr>
        <w:t xml:space="preserve">Minister’s </w:t>
      </w:r>
      <w:r w:rsidR="00101A9F" w:rsidRPr="000A24D5">
        <w:rPr>
          <w:color w:val="000000" w:themeColor="text1"/>
          <w:sz w:val="26"/>
          <w:szCs w:val="26"/>
        </w:rPr>
        <w:t xml:space="preserve">letter relies on the fact that the CAR had not been notified of the applicant’s request, </w:t>
      </w:r>
      <w:r w:rsidR="006F399B" w:rsidRPr="000A24D5">
        <w:rPr>
          <w:color w:val="000000" w:themeColor="text1"/>
          <w:sz w:val="26"/>
          <w:szCs w:val="26"/>
        </w:rPr>
        <w:t>I have already mentioned</w:t>
      </w:r>
      <w:r w:rsidR="00101A9F" w:rsidRPr="000A24D5">
        <w:rPr>
          <w:color w:val="000000" w:themeColor="text1"/>
          <w:sz w:val="26"/>
          <w:szCs w:val="26"/>
        </w:rPr>
        <w:t xml:space="preserve"> that the </w:t>
      </w:r>
      <w:r w:rsidR="006F399B" w:rsidRPr="000A24D5">
        <w:rPr>
          <w:color w:val="000000" w:themeColor="text1"/>
          <w:sz w:val="26"/>
          <w:szCs w:val="26"/>
        </w:rPr>
        <w:t>matter was indeed brought to the attention of the CAR</w:t>
      </w:r>
      <w:r w:rsidR="00101A9F" w:rsidRPr="000A24D5">
        <w:rPr>
          <w:color w:val="000000" w:themeColor="text1"/>
          <w:sz w:val="26"/>
          <w:szCs w:val="26"/>
        </w:rPr>
        <w:t xml:space="preserve">, per this Court’s order of </w:t>
      </w:r>
      <w:r w:rsidR="005D00FF" w:rsidRPr="000A24D5">
        <w:rPr>
          <w:color w:val="000000" w:themeColor="text1"/>
          <w:sz w:val="26"/>
          <w:szCs w:val="26"/>
        </w:rPr>
        <w:t xml:space="preserve">2 </w:t>
      </w:r>
      <w:r w:rsidR="00101A9F" w:rsidRPr="000A24D5">
        <w:rPr>
          <w:color w:val="000000" w:themeColor="text1"/>
          <w:sz w:val="26"/>
          <w:szCs w:val="26"/>
        </w:rPr>
        <w:t>December 2022, and there has been</w:t>
      </w:r>
      <w:r w:rsidR="00175D44" w:rsidRPr="000A24D5">
        <w:rPr>
          <w:color w:val="000000" w:themeColor="text1"/>
          <w:sz w:val="26"/>
          <w:szCs w:val="26"/>
        </w:rPr>
        <w:t xml:space="preserve"> no response in response to such notification. </w:t>
      </w:r>
    </w:p>
    <w:p w:rsidR="000F71B5" w:rsidRPr="000F71B5" w:rsidRDefault="000F71B5" w:rsidP="000F71B5">
      <w:pPr>
        <w:pStyle w:val="ListParagraph"/>
        <w:spacing w:line="360" w:lineRule="auto"/>
        <w:ind w:left="142"/>
        <w:jc w:val="both"/>
        <w:rPr>
          <w:color w:val="242121"/>
          <w:sz w:val="26"/>
          <w:szCs w:val="26"/>
          <w:lang w:val="en-GB"/>
        </w:rPr>
      </w:pPr>
    </w:p>
    <w:p w:rsidR="000F71B5" w:rsidRPr="000A24D5" w:rsidRDefault="000A24D5" w:rsidP="000A24D5">
      <w:pPr>
        <w:spacing w:line="360" w:lineRule="auto"/>
        <w:ind w:firstLine="142"/>
        <w:jc w:val="both"/>
        <w:rPr>
          <w:sz w:val="26"/>
          <w:szCs w:val="26"/>
          <w:lang w:val="en-GB"/>
        </w:rPr>
      </w:pPr>
      <w:r w:rsidRPr="003514C0">
        <w:rPr>
          <w:sz w:val="26"/>
          <w:szCs w:val="26"/>
          <w:lang w:val="en-GB"/>
        </w:rPr>
        <w:t>[30]</w:t>
      </w:r>
      <w:r w:rsidRPr="003514C0">
        <w:rPr>
          <w:sz w:val="26"/>
          <w:szCs w:val="26"/>
          <w:lang w:val="en-GB"/>
        </w:rPr>
        <w:tab/>
      </w:r>
      <w:r w:rsidR="000F71B5" w:rsidRPr="000A24D5">
        <w:rPr>
          <w:sz w:val="26"/>
          <w:szCs w:val="26"/>
          <w:lang w:val="en-US"/>
        </w:rPr>
        <w:t xml:space="preserve">As for the refusal of the </w:t>
      </w:r>
      <w:r w:rsidR="000F71B5" w:rsidRPr="000A24D5">
        <w:rPr>
          <w:sz w:val="26"/>
          <w:szCs w:val="26"/>
        </w:rPr>
        <w:t xml:space="preserve">disclosure </w:t>
      </w:r>
      <w:r w:rsidR="000F71B5" w:rsidRPr="000A24D5">
        <w:rPr>
          <w:sz w:val="26"/>
          <w:szCs w:val="26"/>
          <w:lang w:val="en-US"/>
        </w:rPr>
        <w:t xml:space="preserve">request because it may damage the </w:t>
      </w:r>
      <w:r w:rsidR="000F71B5" w:rsidRPr="000A24D5">
        <w:rPr>
          <w:sz w:val="26"/>
          <w:szCs w:val="26"/>
        </w:rPr>
        <w:t>Republic’</w:t>
      </w:r>
      <w:r w:rsidR="000F71B5" w:rsidRPr="000A24D5">
        <w:rPr>
          <w:sz w:val="26"/>
          <w:szCs w:val="26"/>
          <w:lang w:val="en-US"/>
        </w:rPr>
        <w:t xml:space="preserve">s reputation, as the applicant points out, there is no provision in the PAIA permitting refusal on that basis. The details in this regard are </w:t>
      </w:r>
      <w:r w:rsidR="0086008D" w:rsidRPr="000A24D5">
        <w:rPr>
          <w:sz w:val="26"/>
          <w:szCs w:val="26"/>
          <w:lang w:val="en-US"/>
        </w:rPr>
        <w:t xml:space="preserve">scant </w:t>
      </w:r>
      <w:r w:rsidR="000F71B5" w:rsidRPr="000A24D5">
        <w:rPr>
          <w:sz w:val="26"/>
          <w:szCs w:val="26"/>
          <w:lang w:val="en-US"/>
        </w:rPr>
        <w:t>as it remains unclear why or how the reputation of South Africa stands to be damaged as a result of disclosure of the information.  When this was raised in the supplementary affidavit</w:t>
      </w:r>
      <w:r w:rsidR="00914663" w:rsidRPr="000A24D5">
        <w:rPr>
          <w:sz w:val="26"/>
          <w:szCs w:val="26"/>
          <w:lang w:val="en-US"/>
        </w:rPr>
        <w:t xml:space="preserve"> of the applicant</w:t>
      </w:r>
      <w:r w:rsidR="000F71B5" w:rsidRPr="000A24D5">
        <w:rPr>
          <w:sz w:val="26"/>
          <w:szCs w:val="26"/>
          <w:lang w:val="en-US"/>
        </w:rPr>
        <w:t>, the respondents failed to give any further detail</w:t>
      </w:r>
      <w:r w:rsidR="000F71B5" w:rsidRPr="000A24D5">
        <w:rPr>
          <w:sz w:val="26"/>
          <w:szCs w:val="26"/>
        </w:rPr>
        <w:t xml:space="preserve"> in the answering affidavit</w:t>
      </w:r>
      <w:r w:rsidR="000F71B5" w:rsidRPr="000A24D5">
        <w:rPr>
          <w:sz w:val="26"/>
          <w:szCs w:val="26"/>
          <w:lang w:val="en-US"/>
        </w:rPr>
        <w:t xml:space="preserve">. </w:t>
      </w:r>
    </w:p>
    <w:p w:rsidR="00175D44" w:rsidRPr="00175D44" w:rsidRDefault="00175D44" w:rsidP="00175D44">
      <w:pPr>
        <w:pStyle w:val="ListParagraph"/>
        <w:spacing w:line="360" w:lineRule="auto"/>
        <w:ind w:left="284"/>
        <w:jc w:val="both"/>
        <w:rPr>
          <w:color w:val="242121"/>
          <w:sz w:val="26"/>
          <w:szCs w:val="26"/>
          <w:lang w:val="en-GB"/>
        </w:rPr>
      </w:pPr>
    </w:p>
    <w:p w:rsidR="00E9030B" w:rsidRPr="000A24D5" w:rsidRDefault="000A24D5" w:rsidP="000A24D5">
      <w:pPr>
        <w:spacing w:line="360" w:lineRule="auto"/>
        <w:ind w:firstLine="142"/>
        <w:jc w:val="both"/>
        <w:rPr>
          <w:sz w:val="26"/>
          <w:szCs w:val="26"/>
        </w:rPr>
      </w:pPr>
      <w:r w:rsidRPr="00CC7E58">
        <w:rPr>
          <w:sz w:val="26"/>
          <w:szCs w:val="26"/>
        </w:rPr>
        <w:t>[31]</w:t>
      </w:r>
      <w:r w:rsidRPr="00CC7E58">
        <w:rPr>
          <w:sz w:val="26"/>
          <w:szCs w:val="26"/>
        </w:rPr>
        <w:tab/>
      </w:r>
      <w:r w:rsidR="000F71B5" w:rsidRPr="000A24D5">
        <w:rPr>
          <w:sz w:val="26"/>
          <w:szCs w:val="26"/>
          <w:lang w:val="en-US"/>
        </w:rPr>
        <w:t xml:space="preserve">Regarding the </w:t>
      </w:r>
      <w:r w:rsidR="006F399B" w:rsidRPr="000A24D5">
        <w:rPr>
          <w:sz w:val="26"/>
          <w:szCs w:val="26"/>
          <w:lang w:val="en-US"/>
        </w:rPr>
        <w:t>bilateral</w:t>
      </w:r>
      <w:r w:rsidR="006F399B" w:rsidRPr="000A24D5">
        <w:rPr>
          <w:sz w:val="26"/>
          <w:szCs w:val="26"/>
        </w:rPr>
        <w:t>, diplomatic</w:t>
      </w:r>
      <w:r w:rsidR="006F399B" w:rsidRPr="000A24D5">
        <w:rPr>
          <w:sz w:val="26"/>
          <w:szCs w:val="26"/>
          <w:lang w:val="en-US"/>
        </w:rPr>
        <w:t xml:space="preserve"> or international relations that are said to be at stake</w:t>
      </w:r>
      <w:r w:rsidR="000F71B5" w:rsidRPr="000A24D5">
        <w:rPr>
          <w:sz w:val="26"/>
          <w:szCs w:val="26"/>
          <w:lang w:val="en-US"/>
        </w:rPr>
        <w:t>,</w:t>
      </w:r>
      <w:r w:rsidR="006F399B" w:rsidRPr="000A24D5">
        <w:rPr>
          <w:sz w:val="26"/>
          <w:szCs w:val="26"/>
          <w:lang w:val="en-US"/>
        </w:rPr>
        <w:t xml:space="preserve"> </w:t>
      </w:r>
      <w:r w:rsidR="000F71B5" w:rsidRPr="000A24D5">
        <w:rPr>
          <w:sz w:val="26"/>
          <w:szCs w:val="26"/>
          <w:lang w:val="en-US"/>
        </w:rPr>
        <w:t xml:space="preserve">the </w:t>
      </w:r>
      <w:r w:rsidR="000F71B5" w:rsidRPr="000A24D5">
        <w:rPr>
          <w:sz w:val="26"/>
          <w:szCs w:val="26"/>
        </w:rPr>
        <w:t xml:space="preserve">Minister’s </w:t>
      </w:r>
      <w:r w:rsidR="000F71B5" w:rsidRPr="000A24D5">
        <w:rPr>
          <w:sz w:val="26"/>
          <w:szCs w:val="26"/>
          <w:lang w:val="en-US"/>
        </w:rPr>
        <w:t xml:space="preserve">letter did not elaborate on the nature thereof </w:t>
      </w:r>
      <w:r w:rsidR="006F399B" w:rsidRPr="000A24D5">
        <w:rPr>
          <w:sz w:val="26"/>
          <w:szCs w:val="26"/>
          <w:lang w:val="en-US"/>
        </w:rPr>
        <w:t>-</w:t>
      </w:r>
      <w:r w:rsidR="006F399B" w:rsidRPr="000A24D5">
        <w:rPr>
          <w:sz w:val="26"/>
          <w:szCs w:val="26"/>
        </w:rPr>
        <w:t xml:space="preserve"> </w:t>
      </w:r>
      <w:r w:rsidR="006F399B" w:rsidRPr="000A24D5">
        <w:rPr>
          <w:sz w:val="26"/>
          <w:szCs w:val="26"/>
          <w:lang w:val="en-US"/>
        </w:rPr>
        <w:t>whether economic</w:t>
      </w:r>
      <w:r w:rsidR="006F399B" w:rsidRPr="000A24D5">
        <w:rPr>
          <w:sz w:val="26"/>
          <w:szCs w:val="26"/>
        </w:rPr>
        <w:t>,</w:t>
      </w:r>
      <w:r w:rsidR="006F399B" w:rsidRPr="000A24D5">
        <w:rPr>
          <w:sz w:val="26"/>
          <w:szCs w:val="26"/>
          <w:lang w:val="en-US"/>
        </w:rPr>
        <w:t xml:space="preserve"> security or scientific - or why the release of information would jeopardize the relations between the two countries, or with any other international country. </w:t>
      </w:r>
      <w:r w:rsidR="006F399B" w:rsidRPr="000A24D5">
        <w:rPr>
          <w:sz w:val="26"/>
          <w:szCs w:val="26"/>
        </w:rPr>
        <w:t xml:space="preserve">The applicant states that </w:t>
      </w:r>
      <w:r w:rsidR="00175D44" w:rsidRPr="000A24D5">
        <w:rPr>
          <w:sz w:val="26"/>
          <w:szCs w:val="26"/>
        </w:rPr>
        <w:t xml:space="preserve">since the Minister has not provided detail regarding what relations are at stake or why the release of the information in the BOI would jeopardize relations between the two countries, it is unclear how findings from a military investigation into a battle fought of some 10 years ago could jeopardize international relations between the two countries. </w:t>
      </w:r>
      <w:r w:rsidR="00E9030B" w:rsidRPr="000A24D5">
        <w:rPr>
          <w:sz w:val="26"/>
          <w:szCs w:val="26"/>
        </w:rPr>
        <w:t xml:space="preserve"> He also states that</w:t>
      </w:r>
      <w:r w:rsidR="00175D44" w:rsidRPr="000A24D5">
        <w:rPr>
          <w:sz w:val="26"/>
          <w:szCs w:val="26"/>
        </w:rPr>
        <w:t xml:space="preserve"> </w:t>
      </w:r>
      <w:r w:rsidR="00E9030B" w:rsidRPr="000A24D5">
        <w:rPr>
          <w:sz w:val="26"/>
          <w:szCs w:val="26"/>
        </w:rPr>
        <w:t xml:space="preserve">the diplomatic engagements and relations between the two countries have not been of long duration, and that the South African Embassy opened for the first time in 2017, which was the same time that an MOU on cooperation in the field of minerals and </w:t>
      </w:r>
      <w:r w:rsidR="000F71B5" w:rsidRPr="000A24D5">
        <w:rPr>
          <w:sz w:val="26"/>
          <w:szCs w:val="26"/>
        </w:rPr>
        <w:t>geology</w:t>
      </w:r>
      <w:r w:rsidR="00E9030B" w:rsidRPr="000A24D5">
        <w:rPr>
          <w:sz w:val="26"/>
          <w:szCs w:val="26"/>
        </w:rPr>
        <w:t xml:space="preserve"> was signed by the former Minister of Minerals and Energy, Mr. Mosebenzi Zwane.  Thus, according to the applicant, any impact that the release of the BOI report would have on this bilateral relationship could only be minor. The applicant adds that the total value of exports and imports between the two countries in the year 2020 to 2021 was R64.7 million. Furthermore, the applicant states that, although the unilateral deployment of the military and the outcome of the battle may be considered embarrassing and damaging to South Africa’s standing on the continent, this is not a reason to deny the request. </w:t>
      </w:r>
      <w:r w:rsidR="00E9030B" w:rsidRPr="00CC7E58">
        <w:t xml:space="preserve"> </w:t>
      </w:r>
    </w:p>
    <w:p w:rsidR="00E9030B" w:rsidRPr="00E9030B" w:rsidRDefault="00E9030B" w:rsidP="00E9030B">
      <w:pPr>
        <w:pStyle w:val="ListParagraph"/>
        <w:spacing w:line="360" w:lineRule="auto"/>
        <w:ind w:left="142"/>
        <w:jc w:val="both"/>
        <w:rPr>
          <w:sz w:val="26"/>
          <w:szCs w:val="26"/>
        </w:rPr>
      </w:pPr>
    </w:p>
    <w:p w:rsidR="000F71B5" w:rsidRPr="000A24D5" w:rsidRDefault="000A24D5" w:rsidP="000A24D5">
      <w:pPr>
        <w:spacing w:line="360" w:lineRule="auto"/>
        <w:ind w:firstLine="142"/>
        <w:jc w:val="both"/>
        <w:rPr>
          <w:color w:val="000000" w:themeColor="text1"/>
          <w:sz w:val="26"/>
          <w:szCs w:val="26"/>
        </w:rPr>
      </w:pPr>
      <w:r w:rsidRPr="0086008D">
        <w:rPr>
          <w:color w:val="000000" w:themeColor="text1"/>
          <w:sz w:val="26"/>
          <w:szCs w:val="26"/>
        </w:rPr>
        <w:t>[32]</w:t>
      </w:r>
      <w:r w:rsidRPr="0086008D">
        <w:rPr>
          <w:color w:val="000000" w:themeColor="text1"/>
          <w:sz w:val="26"/>
          <w:szCs w:val="26"/>
        </w:rPr>
        <w:tab/>
      </w:r>
      <w:r w:rsidR="00E9030B" w:rsidRPr="000A24D5">
        <w:rPr>
          <w:color w:val="000000" w:themeColor="text1"/>
          <w:sz w:val="26"/>
          <w:szCs w:val="26"/>
        </w:rPr>
        <w:t xml:space="preserve">I do not consider it appropriate for this Court to determine whether diplomatic relations are deep enough and strong enough </w:t>
      </w:r>
      <w:r w:rsidR="0015128D" w:rsidRPr="000A24D5">
        <w:rPr>
          <w:color w:val="000000" w:themeColor="text1"/>
          <w:sz w:val="26"/>
          <w:szCs w:val="26"/>
        </w:rPr>
        <w:t xml:space="preserve">to </w:t>
      </w:r>
      <w:r w:rsidR="00E9030B" w:rsidRPr="000A24D5">
        <w:rPr>
          <w:color w:val="000000" w:themeColor="text1"/>
          <w:sz w:val="26"/>
          <w:szCs w:val="26"/>
        </w:rPr>
        <w:t xml:space="preserve">outweigh any prejudice that may be </w:t>
      </w:r>
      <w:r w:rsidR="0015128D" w:rsidRPr="000A24D5">
        <w:rPr>
          <w:color w:val="000000" w:themeColor="text1"/>
          <w:sz w:val="26"/>
          <w:szCs w:val="26"/>
        </w:rPr>
        <w:t xml:space="preserve">caused by </w:t>
      </w:r>
      <w:r w:rsidR="00E9030B" w:rsidRPr="000A24D5">
        <w:rPr>
          <w:color w:val="000000" w:themeColor="text1"/>
          <w:sz w:val="26"/>
          <w:szCs w:val="26"/>
        </w:rPr>
        <w:t xml:space="preserve">the release of the requested information, and especially based on the measuring lines proposed by the applicant. In my view, such an exercise </w:t>
      </w:r>
      <w:r w:rsidR="0015128D" w:rsidRPr="000A24D5">
        <w:rPr>
          <w:color w:val="000000" w:themeColor="text1"/>
          <w:sz w:val="26"/>
          <w:szCs w:val="26"/>
        </w:rPr>
        <w:t>would</w:t>
      </w:r>
      <w:r w:rsidR="00E9030B" w:rsidRPr="000A24D5">
        <w:rPr>
          <w:color w:val="000000" w:themeColor="text1"/>
          <w:sz w:val="26"/>
          <w:szCs w:val="26"/>
        </w:rPr>
        <w:t xml:space="preserve"> quite clearly intrude into the terrain of the executive. </w:t>
      </w:r>
    </w:p>
    <w:p w:rsidR="000F71B5" w:rsidRPr="000F71B5" w:rsidRDefault="000F71B5" w:rsidP="000F71B5">
      <w:pPr>
        <w:pStyle w:val="ListParagraph"/>
        <w:rPr>
          <w:sz w:val="26"/>
          <w:szCs w:val="26"/>
        </w:rPr>
      </w:pPr>
    </w:p>
    <w:p w:rsidR="0015128D" w:rsidRPr="000A24D5" w:rsidRDefault="000A24D5" w:rsidP="000A24D5">
      <w:pPr>
        <w:spacing w:line="360" w:lineRule="auto"/>
        <w:ind w:firstLine="142"/>
        <w:jc w:val="both"/>
        <w:rPr>
          <w:sz w:val="26"/>
          <w:szCs w:val="26"/>
        </w:rPr>
      </w:pPr>
      <w:r w:rsidRPr="000F71B5">
        <w:rPr>
          <w:sz w:val="26"/>
          <w:szCs w:val="26"/>
        </w:rPr>
        <w:t>[33]</w:t>
      </w:r>
      <w:r w:rsidRPr="000F71B5">
        <w:rPr>
          <w:sz w:val="26"/>
          <w:szCs w:val="26"/>
        </w:rPr>
        <w:tab/>
      </w:r>
      <w:r w:rsidR="00E9030B" w:rsidRPr="000A24D5">
        <w:rPr>
          <w:sz w:val="26"/>
          <w:szCs w:val="26"/>
        </w:rPr>
        <w:t xml:space="preserve">That, however, </w:t>
      </w:r>
      <w:r w:rsidR="0015128D" w:rsidRPr="000A24D5">
        <w:rPr>
          <w:sz w:val="26"/>
          <w:szCs w:val="26"/>
        </w:rPr>
        <w:t>does not detract from the fact that the said relations are couched in the vaguest of terms</w:t>
      </w:r>
      <w:r w:rsidR="00914663" w:rsidRPr="000A24D5">
        <w:rPr>
          <w:sz w:val="26"/>
          <w:szCs w:val="26"/>
        </w:rPr>
        <w:t xml:space="preserve"> by the respondents</w:t>
      </w:r>
      <w:r w:rsidR="0015128D" w:rsidRPr="000A24D5">
        <w:rPr>
          <w:sz w:val="26"/>
          <w:szCs w:val="26"/>
        </w:rPr>
        <w:t xml:space="preserve">. </w:t>
      </w:r>
      <w:r w:rsidR="00914663" w:rsidRPr="000A24D5">
        <w:rPr>
          <w:sz w:val="26"/>
          <w:szCs w:val="26"/>
        </w:rPr>
        <w:t>But a</w:t>
      </w:r>
      <w:r w:rsidR="0015128D" w:rsidRPr="000A24D5">
        <w:rPr>
          <w:sz w:val="26"/>
          <w:szCs w:val="26"/>
        </w:rPr>
        <w:t xml:space="preserve">t the very least, </w:t>
      </w:r>
      <w:r w:rsidR="00914663" w:rsidRPr="000A24D5">
        <w:rPr>
          <w:sz w:val="26"/>
          <w:szCs w:val="26"/>
        </w:rPr>
        <w:t xml:space="preserve">and based on a contextual reading of the </w:t>
      </w:r>
      <w:r w:rsidR="0086008D" w:rsidRPr="000A24D5">
        <w:rPr>
          <w:sz w:val="26"/>
          <w:szCs w:val="26"/>
        </w:rPr>
        <w:t xml:space="preserve">Minister’s </w:t>
      </w:r>
      <w:r w:rsidR="00914663" w:rsidRPr="000A24D5">
        <w:rPr>
          <w:sz w:val="26"/>
          <w:szCs w:val="26"/>
        </w:rPr>
        <w:t xml:space="preserve">letter, </w:t>
      </w:r>
      <w:r w:rsidR="0015128D" w:rsidRPr="000A24D5">
        <w:rPr>
          <w:sz w:val="26"/>
          <w:szCs w:val="26"/>
        </w:rPr>
        <w:t>it must be accepted that the bilateral relations referred to include military and security considerations, which are specifically mentioned elsewhere in the letter with reference to diplomatic relations between the two countries. This is in a paragraph of the letter dealing with the outcome of investigations into the loss of military equipment and hardware</w:t>
      </w:r>
      <w:r w:rsidR="000F71B5">
        <w:rPr>
          <w:rStyle w:val="FootnoteReference"/>
          <w:sz w:val="26"/>
          <w:szCs w:val="26"/>
        </w:rPr>
        <w:footnoteReference w:id="15"/>
      </w:r>
      <w:r w:rsidR="0015128D" w:rsidRPr="000A24D5">
        <w:rPr>
          <w:sz w:val="26"/>
          <w:szCs w:val="26"/>
        </w:rPr>
        <w:t>, the disclosure of which</w:t>
      </w:r>
      <w:r w:rsidR="00914663" w:rsidRPr="000A24D5">
        <w:rPr>
          <w:sz w:val="26"/>
          <w:szCs w:val="26"/>
        </w:rPr>
        <w:t>, according to the Minister,</w:t>
      </w:r>
      <w:r w:rsidR="0015128D" w:rsidRPr="000A24D5">
        <w:rPr>
          <w:sz w:val="26"/>
          <w:szCs w:val="26"/>
        </w:rPr>
        <w:t xml:space="preserve"> may compromise the security of South Africa and infringe on the said diplomatic relations. </w:t>
      </w:r>
      <w:r w:rsidR="000F71B5" w:rsidRPr="000A24D5">
        <w:rPr>
          <w:sz w:val="26"/>
          <w:szCs w:val="26"/>
        </w:rPr>
        <w:t>For this reason, my conclusion with regard to this ground is the same as the conclusion in respect of the grounds discussed immediately below, namely defence and security of the Republic.</w:t>
      </w:r>
    </w:p>
    <w:p w:rsidR="00E9030B" w:rsidRPr="003D33E9" w:rsidRDefault="00E9030B" w:rsidP="000F71B5">
      <w:pPr>
        <w:spacing w:line="360" w:lineRule="auto"/>
        <w:jc w:val="both"/>
        <w:rPr>
          <w:sz w:val="26"/>
          <w:szCs w:val="26"/>
          <w:lang w:val="en-GB"/>
        </w:rPr>
      </w:pPr>
    </w:p>
    <w:p w:rsidR="0015128D" w:rsidRPr="000A24D5" w:rsidRDefault="000A24D5" w:rsidP="000A24D5">
      <w:pPr>
        <w:spacing w:line="360" w:lineRule="auto"/>
        <w:ind w:firstLine="142"/>
        <w:jc w:val="both"/>
        <w:rPr>
          <w:sz w:val="26"/>
          <w:szCs w:val="26"/>
          <w:lang w:val="en-GB"/>
        </w:rPr>
      </w:pPr>
      <w:r w:rsidRPr="003D33E9">
        <w:rPr>
          <w:sz w:val="26"/>
          <w:szCs w:val="26"/>
          <w:lang w:val="en-GB"/>
        </w:rPr>
        <w:t>[34]</w:t>
      </w:r>
      <w:r w:rsidRPr="003D33E9">
        <w:rPr>
          <w:sz w:val="26"/>
          <w:szCs w:val="26"/>
          <w:lang w:val="en-GB"/>
        </w:rPr>
        <w:tab/>
      </w:r>
      <w:r w:rsidR="00E9030B" w:rsidRPr="000A24D5">
        <w:rPr>
          <w:sz w:val="26"/>
          <w:szCs w:val="26"/>
        </w:rPr>
        <w:t>The next ground relied upon by the respondents</w:t>
      </w:r>
      <w:r w:rsidR="00144211" w:rsidRPr="000A24D5">
        <w:rPr>
          <w:sz w:val="26"/>
          <w:szCs w:val="26"/>
        </w:rPr>
        <w:t xml:space="preserve"> for refusing access</w:t>
      </w:r>
      <w:r w:rsidR="00E9030B" w:rsidRPr="000A24D5">
        <w:rPr>
          <w:sz w:val="26"/>
          <w:szCs w:val="26"/>
        </w:rPr>
        <w:t xml:space="preserve"> </w:t>
      </w:r>
      <w:r w:rsidR="00144211" w:rsidRPr="000A24D5">
        <w:rPr>
          <w:sz w:val="26"/>
          <w:szCs w:val="26"/>
          <w:lang w:val="en-US"/>
        </w:rPr>
        <w:t>is</w:t>
      </w:r>
      <w:r w:rsidR="0015128D" w:rsidRPr="000A24D5">
        <w:rPr>
          <w:sz w:val="26"/>
          <w:szCs w:val="26"/>
          <w:lang w:val="en-US"/>
        </w:rPr>
        <w:t xml:space="preserve"> prejudice </w:t>
      </w:r>
      <w:r w:rsidR="00D93346" w:rsidRPr="000A24D5">
        <w:rPr>
          <w:sz w:val="26"/>
          <w:szCs w:val="26"/>
        </w:rPr>
        <w:t xml:space="preserve">which may be caused </w:t>
      </w:r>
      <w:r w:rsidR="0015128D" w:rsidRPr="000A24D5">
        <w:rPr>
          <w:sz w:val="26"/>
          <w:szCs w:val="26"/>
          <w:lang w:val="en-US"/>
        </w:rPr>
        <w:t>to the defen</w:t>
      </w:r>
      <w:r w:rsidR="00144211" w:rsidRPr="000A24D5">
        <w:rPr>
          <w:sz w:val="26"/>
          <w:szCs w:val="26"/>
          <w:lang w:val="en-US"/>
        </w:rPr>
        <w:t>c</w:t>
      </w:r>
      <w:r w:rsidR="0015128D" w:rsidRPr="000A24D5">
        <w:rPr>
          <w:sz w:val="26"/>
          <w:szCs w:val="26"/>
          <w:lang w:val="en-US"/>
        </w:rPr>
        <w:t>e o</w:t>
      </w:r>
      <w:r w:rsidR="00D93346" w:rsidRPr="000A24D5">
        <w:rPr>
          <w:sz w:val="26"/>
          <w:szCs w:val="26"/>
        </w:rPr>
        <w:t>r</w:t>
      </w:r>
      <w:r w:rsidR="0015128D" w:rsidRPr="000A24D5">
        <w:rPr>
          <w:sz w:val="26"/>
          <w:szCs w:val="26"/>
          <w:lang w:val="en-US"/>
        </w:rPr>
        <w:t xml:space="preserve"> security of the Republic</w:t>
      </w:r>
      <w:r w:rsidR="0015128D" w:rsidRPr="000A24D5">
        <w:rPr>
          <w:sz w:val="26"/>
          <w:szCs w:val="26"/>
        </w:rPr>
        <w:t>,</w:t>
      </w:r>
      <w:r w:rsidR="0015128D" w:rsidRPr="000A24D5">
        <w:rPr>
          <w:sz w:val="26"/>
          <w:szCs w:val="26"/>
          <w:lang w:val="en-US"/>
        </w:rPr>
        <w:t xml:space="preserve"> which </w:t>
      </w:r>
      <w:r w:rsidR="00144211" w:rsidRPr="000A24D5">
        <w:rPr>
          <w:sz w:val="26"/>
          <w:szCs w:val="26"/>
          <w:lang w:val="en-US"/>
        </w:rPr>
        <w:t xml:space="preserve">is </w:t>
      </w:r>
      <w:r w:rsidR="00D93346" w:rsidRPr="000A24D5">
        <w:rPr>
          <w:sz w:val="26"/>
          <w:szCs w:val="26"/>
        </w:rPr>
        <w:t>protected</w:t>
      </w:r>
      <w:r w:rsidR="0015128D" w:rsidRPr="000A24D5">
        <w:rPr>
          <w:sz w:val="26"/>
          <w:szCs w:val="26"/>
          <w:lang w:val="en-US"/>
        </w:rPr>
        <w:t xml:space="preserve"> in subsections</w:t>
      </w:r>
      <w:r w:rsidR="0015128D" w:rsidRPr="000A24D5">
        <w:rPr>
          <w:sz w:val="26"/>
          <w:szCs w:val="26"/>
        </w:rPr>
        <w:t xml:space="preserve"> (i) and (ii)</w:t>
      </w:r>
      <w:r w:rsidR="0015128D" w:rsidRPr="000A24D5">
        <w:rPr>
          <w:sz w:val="26"/>
          <w:szCs w:val="26"/>
          <w:lang w:val="en-US"/>
        </w:rPr>
        <w:t xml:space="preserve"> of </w:t>
      </w:r>
      <w:r w:rsidR="0015128D" w:rsidRPr="000A24D5">
        <w:rPr>
          <w:sz w:val="26"/>
          <w:szCs w:val="26"/>
        </w:rPr>
        <w:t xml:space="preserve">section </w:t>
      </w:r>
      <w:r w:rsidR="0015128D" w:rsidRPr="000A24D5">
        <w:rPr>
          <w:sz w:val="26"/>
          <w:szCs w:val="26"/>
          <w:lang w:val="en-US"/>
        </w:rPr>
        <w:t>41</w:t>
      </w:r>
      <w:r w:rsidR="0015128D" w:rsidRPr="000A24D5">
        <w:rPr>
          <w:sz w:val="26"/>
          <w:szCs w:val="26"/>
        </w:rPr>
        <w:t>(</w:t>
      </w:r>
      <w:r w:rsidR="0015128D" w:rsidRPr="000A24D5">
        <w:rPr>
          <w:sz w:val="26"/>
          <w:szCs w:val="26"/>
          <w:lang w:val="en-US"/>
        </w:rPr>
        <w:t>1</w:t>
      </w:r>
      <w:r w:rsidR="0015128D" w:rsidRPr="000A24D5">
        <w:rPr>
          <w:sz w:val="26"/>
          <w:szCs w:val="26"/>
        </w:rPr>
        <w:t>)(a), as follows:</w:t>
      </w:r>
    </w:p>
    <w:p w:rsidR="0015128D" w:rsidRPr="0015128D" w:rsidRDefault="0015128D" w:rsidP="0015128D">
      <w:pPr>
        <w:ind w:left="1080"/>
        <w:rPr>
          <w:color w:val="000000" w:themeColor="text1"/>
          <w:sz w:val="21"/>
          <w:szCs w:val="21"/>
        </w:rPr>
      </w:pPr>
      <w:r w:rsidRPr="00224D2B">
        <w:rPr>
          <w:color w:val="000000" w:themeColor="text1"/>
          <w:sz w:val="21"/>
          <w:szCs w:val="21"/>
          <w:shd w:val="clear" w:color="auto" w:fill="FFFFFF"/>
        </w:rPr>
        <w:t>“</w:t>
      </w:r>
      <w:r w:rsidRPr="0015128D">
        <w:rPr>
          <w:color w:val="000000" w:themeColor="text1"/>
          <w:sz w:val="21"/>
          <w:szCs w:val="21"/>
          <w:shd w:val="clear" w:color="auto" w:fill="FFFFFF"/>
        </w:rPr>
        <w:t xml:space="preserve">The information officer of a public body may refuse a request for access to a record of the body if its disclosure </w:t>
      </w:r>
      <w:r w:rsidRPr="00224D2B">
        <w:rPr>
          <w:color w:val="000000" w:themeColor="text1"/>
          <w:sz w:val="21"/>
          <w:szCs w:val="21"/>
          <w:shd w:val="clear" w:color="auto" w:fill="FFFFFF"/>
        </w:rPr>
        <w:t>…</w:t>
      </w:r>
      <w:r w:rsidRPr="0015128D">
        <w:rPr>
          <w:color w:val="000000" w:themeColor="text1"/>
          <w:sz w:val="21"/>
          <w:szCs w:val="21"/>
        </w:rPr>
        <w:t>could reasonably be expected to cause prejudice to –</w:t>
      </w:r>
    </w:p>
    <w:p w:rsidR="0015128D" w:rsidRPr="000A24D5" w:rsidRDefault="000A24D5" w:rsidP="000A24D5">
      <w:pPr>
        <w:shd w:val="clear" w:color="auto" w:fill="FFFFFF"/>
        <w:tabs>
          <w:tab w:val="left" w:pos="1440"/>
        </w:tabs>
        <w:spacing w:before="240" w:after="240"/>
        <w:ind w:left="1440" w:hanging="360"/>
        <w:textAlignment w:val="baseline"/>
        <w:rPr>
          <w:color w:val="000000" w:themeColor="text1"/>
          <w:sz w:val="21"/>
          <w:szCs w:val="21"/>
        </w:rPr>
      </w:pPr>
      <w:r w:rsidRPr="00224D2B">
        <w:rPr>
          <w:rFonts w:ascii="Helvetica Neue" w:hAnsi="Helvetica Neue"/>
          <w:color w:val="000000" w:themeColor="text1"/>
          <w:sz w:val="21"/>
          <w:szCs w:val="21"/>
        </w:rPr>
        <w:t>(i)</w:t>
      </w:r>
      <w:r w:rsidRPr="00224D2B">
        <w:rPr>
          <w:rFonts w:ascii="Helvetica Neue" w:hAnsi="Helvetica Neue"/>
          <w:color w:val="000000" w:themeColor="text1"/>
          <w:sz w:val="21"/>
          <w:szCs w:val="21"/>
        </w:rPr>
        <w:tab/>
      </w:r>
      <w:r w:rsidR="0015128D" w:rsidRPr="000A24D5">
        <w:rPr>
          <w:color w:val="000000" w:themeColor="text1"/>
          <w:sz w:val="21"/>
          <w:szCs w:val="21"/>
        </w:rPr>
        <w:t>the defence of the Republic;</w:t>
      </w:r>
    </w:p>
    <w:p w:rsidR="0015128D" w:rsidRPr="000A24D5" w:rsidRDefault="000A24D5" w:rsidP="000A24D5">
      <w:pPr>
        <w:shd w:val="clear" w:color="auto" w:fill="FFFFFF"/>
        <w:tabs>
          <w:tab w:val="left" w:pos="1440"/>
        </w:tabs>
        <w:spacing w:before="240" w:after="240"/>
        <w:ind w:left="1440" w:hanging="360"/>
        <w:textAlignment w:val="baseline"/>
        <w:rPr>
          <w:color w:val="000000" w:themeColor="text1"/>
          <w:sz w:val="21"/>
          <w:szCs w:val="21"/>
        </w:rPr>
      </w:pPr>
      <w:r w:rsidRPr="00224D2B">
        <w:rPr>
          <w:rFonts w:ascii="Helvetica Neue" w:hAnsi="Helvetica Neue"/>
          <w:color w:val="000000" w:themeColor="text1"/>
          <w:sz w:val="21"/>
          <w:szCs w:val="21"/>
        </w:rPr>
        <w:t>(ii)</w:t>
      </w:r>
      <w:r w:rsidRPr="00224D2B">
        <w:rPr>
          <w:rFonts w:ascii="Helvetica Neue" w:hAnsi="Helvetica Neue"/>
          <w:color w:val="000000" w:themeColor="text1"/>
          <w:sz w:val="21"/>
          <w:szCs w:val="21"/>
        </w:rPr>
        <w:tab/>
      </w:r>
      <w:r w:rsidR="0015128D" w:rsidRPr="000A24D5">
        <w:rPr>
          <w:color w:val="000000" w:themeColor="text1"/>
          <w:sz w:val="21"/>
          <w:szCs w:val="21"/>
        </w:rPr>
        <w:t xml:space="preserve">the security of the Republic…” </w:t>
      </w:r>
    </w:p>
    <w:p w:rsidR="00175D44" w:rsidRPr="00224D2B" w:rsidRDefault="00175D44" w:rsidP="000F71B5">
      <w:pPr>
        <w:rPr>
          <w:color w:val="242121"/>
          <w:sz w:val="21"/>
          <w:szCs w:val="21"/>
          <w:lang w:val="en-GB"/>
        </w:rPr>
      </w:pPr>
    </w:p>
    <w:p w:rsidR="0015128D" w:rsidRPr="000A24D5" w:rsidRDefault="000A24D5" w:rsidP="000A24D5">
      <w:pPr>
        <w:spacing w:line="360" w:lineRule="auto"/>
        <w:ind w:firstLine="142"/>
        <w:jc w:val="both"/>
        <w:rPr>
          <w:color w:val="242121"/>
          <w:sz w:val="26"/>
          <w:szCs w:val="26"/>
          <w:lang w:val="en-GB"/>
        </w:rPr>
      </w:pPr>
      <w:r w:rsidRPr="0015128D">
        <w:rPr>
          <w:color w:val="242121"/>
          <w:sz w:val="26"/>
          <w:szCs w:val="26"/>
          <w:lang w:val="en-GB"/>
        </w:rPr>
        <w:t>[35]</w:t>
      </w:r>
      <w:r w:rsidRPr="0015128D">
        <w:rPr>
          <w:color w:val="242121"/>
          <w:sz w:val="26"/>
          <w:szCs w:val="26"/>
          <w:lang w:val="en-GB"/>
        </w:rPr>
        <w:tab/>
      </w:r>
      <w:r w:rsidR="0015128D" w:rsidRPr="000A24D5">
        <w:rPr>
          <w:color w:val="242121"/>
          <w:sz w:val="26"/>
          <w:szCs w:val="26"/>
          <w:lang w:val="en-GB"/>
        </w:rPr>
        <w:t>In this regard, the Minister’s letter s</w:t>
      </w:r>
      <w:r w:rsidR="00D93346" w:rsidRPr="000A24D5">
        <w:rPr>
          <w:color w:val="242121"/>
          <w:sz w:val="26"/>
          <w:szCs w:val="26"/>
          <w:lang w:val="en-GB"/>
        </w:rPr>
        <w:t>tates</w:t>
      </w:r>
      <w:r w:rsidR="0015128D" w:rsidRPr="000A24D5">
        <w:rPr>
          <w:color w:val="242121"/>
          <w:sz w:val="26"/>
          <w:szCs w:val="26"/>
          <w:lang w:val="en-GB"/>
        </w:rPr>
        <w:t xml:space="preserve"> that </w:t>
      </w:r>
      <w:r w:rsidR="0015128D" w:rsidRPr="000A24D5">
        <w:rPr>
          <w:sz w:val="26"/>
          <w:szCs w:val="26"/>
        </w:rPr>
        <w:t xml:space="preserve">the witness statements and evidence contained in the BOI dealt with military combat strategies employed which ought not to be in the public domain. This, says the letter, includes highly sensitive information regarding </w:t>
      </w:r>
      <w:r w:rsidR="00144211" w:rsidRPr="000A24D5">
        <w:rPr>
          <w:sz w:val="26"/>
          <w:szCs w:val="26"/>
        </w:rPr>
        <w:t xml:space="preserve">the </w:t>
      </w:r>
      <w:r w:rsidR="0015128D" w:rsidRPr="000A24D5">
        <w:rPr>
          <w:sz w:val="26"/>
          <w:szCs w:val="26"/>
        </w:rPr>
        <w:t>human capital involved, the military equipment used for diplomatic engagements between the South African Commanders and the Rebel Force Commanders, as well as the manner in which the</w:t>
      </w:r>
      <w:r w:rsidR="00D93346" w:rsidRPr="000A24D5">
        <w:rPr>
          <w:sz w:val="26"/>
          <w:szCs w:val="26"/>
        </w:rPr>
        <w:t xml:space="preserve"> </w:t>
      </w:r>
      <w:r w:rsidR="0015128D" w:rsidRPr="000A24D5">
        <w:rPr>
          <w:sz w:val="26"/>
          <w:szCs w:val="26"/>
        </w:rPr>
        <w:t xml:space="preserve">soldiers died and were injured. </w:t>
      </w:r>
    </w:p>
    <w:p w:rsidR="0015128D" w:rsidRPr="0015128D" w:rsidRDefault="0015128D" w:rsidP="0015128D">
      <w:pPr>
        <w:pStyle w:val="ListParagraph"/>
        <w:spacing w:line="360" w:lineRule="auto"/>
        <w:ind w:left="142"/>
        <w:jc w:val="both"/>
        <w:rPr>
          <w:color w:val="242121"/>
          <w:sz w:val="26"/>
          <w:szCs w:val="26"/>
          <w:lang w:val="en-GB"/>
        </w:rPr>
      </w:pPr>
    </w:p>
    <w:p w:rsidR="0015128D" w:rsidRPr="000A24D5" w:rsidRDefault="000A24D5" w:rsidP="000A24D5">
      <w:pPr>
        <w:spacing w:line="360" w:lineRule="auto"/>
        <w:ind w:firstLine="142"/>
        <w:jc w:val="both"/>
        <w:rPr>
          <w:color w:val="242121"/>
          <w:sz w:val="26"/>
          <w:szCs w:val="26"/>
          <w:lang w:val="en-GB"/>
        </w:rPr>
      </w:pPr>
      <w:r w:rsidRPr="00D93346">
        <w:rPr>
          <w:color w:val="242121"/>
          <w:sz w:val="26"/>
          <w:szCs w:val="26"/>
          <w:lang w:val="en-GB"/>
        </w:rPr>
        <w:t>[36]</w:t>
      </w:r>
      <w:r w:rsidRPr="00D93346">
        <w:rPr>
          <w:color w:val="242121"/>
          <w:sz w:val="26"/>
          <w:szCs w:val="26"/>
          <w:lang w:val="en-GB"/>
        </w:rPr>
        <w:tab/>
      </w:r>
      <w:r w:rsidR="00144211" w:rsidRPr="000A24D5">
        <w:rPr>
          <w:sz w:val="26"/>
          <w:szCs w:val="26"/>
        </w:rPr>
        <w:t>T</w:t>
      </w:r>
      <w:r w:rsidR="0015128D" w:rsidRPr="000A24D5">
        <w:rPr>
          <w:sz w:val="26"/>
          <w:szCs w:val="26"/>
        </w:rPr>
        <w:t>he letter</w:t>
      </w:r>
      <w:r w:rsidR="00144211" w:rsidRPr="000A24D5">
        <w:rPr>
          <w:sz w:val="26"/>
          <w:szCs w:val="26"/>
        </w:rPr>
        <w:t xml:space="preserve"> continues</w:t>
      </w:r>
      <w:r w:rsidR="0015128D" w:rsidRPr="000A24D5">
        <w:rPr>
          <w:sz w:val="26"/>
          <w:szCs w:val="26"/>
        </w:rPr>
        <w:t xml:space="preserve"> that the outcome of investigations into the loss of military equipment and hardware can also not be made available without compromising the security of South Africa and infringing on diplomatic relations between the two countries. It would reveal the nature of the military equipment lost in the combat, the nature and circumstances under which the equipment was lost, the nature of equipment which the military uses for certain types of combat, how many weapons of a particular calibre were dispatched to the CAR, how many were used, and how many were lost or destroyed.   </w:t>
      </w:r>
    </w:p>
    <w:p w:rsidR="00D93346" w:rsidRPr="00D93346" w:rsidRDefault="00D93346" w:rsidP="00D93346">
      <w:pPr>
        <w:pStyle w:val="ListParagraph"/>
        <w:rPr>
          <w:color w:val="242121"/>
          <w:sz w:val="26"/>
          <w:szCs w:val="26"/>
          <w:lang w:val="en-GB"/>
        </w:rPr>
      </w:pPr>
    </w:p>
    <w:p w:rsidR="00D93346" w:rsidRPr="000A24D5" w:rsidRDefault="000A24D5" w:rsidP="000A24D5">
      <w:pPr>
        <w:spacing w:line="360" w:lineRule="auto"/>
        <w:ind w:firstLine="142"/>
        <w:jc w:val="both"/>
        <w:rPr>
          <w:sz w:val="26"/>
          <w:szCs w:val="26"/>
          <w:lang w:val="en-GB"/>
        </w:rPr>
      </w:pPr>
      <w:r w:rsidRPr="003D33E9">
        <w:rPr>
          <w:sz w:val="26"/>
          <w:szCs w:val="26"/>
          <w:lang w:val="en-GB"/>
        </w:rPr>
        <w:t>[37]</w:t>
      </w:r>
      <w:r w:rsidRPr="003D33E9">
        <w:rPr>
          <w:sz w:val="26"/>
          <w:szCs w:val="26"/>
          <w:lang w:val="en-GB"/>
        </w:rPr>
        <w:tab/>
      </w:r>
      <w:r w:rsidR="00D93346" w:rsidRPr="000A24D5">
        <w:rPr>
          <w:sz w:val="26"/>
          <w:szCs w:val="26"/>
          <w:lang w:val="en-GB"/>
        </w:rPr>
        <w:t>Section 41(2) of PAIA</w:t>
      </w:r>
      <w:r w:rsidR="00062C35" w:rsidRPr="000A24D5">
        <w:rPr>
          <w:sz w:val="26"/>
          <w:szCs w:val="26"/>
          <w:lang w:val="en-GB"/>
        </w:rPr>
        <w:t xml:space="preserve"> </w:t>
      </w:r>
      <w:r w:rsidR="00914663" w:rsidRPr="000A24D5">
        <w:rPr>
          <w:sz w:val="26"/>
          <w:szCs w:val="26"/>
          <w:lang w:val="en-GB"/>
        </w:rPr>
        <w:t xml:space="preserve">sets out the type </w:t>
      </w:r>
      <w:r w:rsidR="00062C35" w:rsidRPr="000A24D5">
        <w:rPr>
          <w:sz w:val="26"/>
          <w:szCs w:val="26"/>
          <w:lang w:val="en-GB"/>
        </w:rPr>
        <w:t xml:space="preserve">of information which might fall under this ground, </w:t>
      </w:r>
      <w:r w:rsidR="00D93346" w:rsidRPr="000A24D5">
        <w:rPr>
          <w:sz w:val="26"/>
          <w:szCs w:val="26"/>
          <w:lang w:val="en-GB"/>
        </w:rPr>
        <w:t>as follows:</w:t>
      </w:r>
    </w:p>
    <w:p w:rsidR="00D93346" w:rsidRPr="00224D2B" w:rsidRDefault="00D93346" w:rsidP="00D93346">
      <w:pPr>
        <w:pStyle w:val="ListParagraph"/>
        <w:ind w:left="1800"/>
        <w:rPr>
          <w:color w:val="242121"/>
          <w:sz w:val="21"/>
          <w:szCs w:val="21"/>
          <w:lang w:val="en-GB"/>
        </w:rPr>
      </w:pPr>
      <w:r w:rsidRPr="00224D2B">
        <w:rPr>
          <w:color w:val="242121"/>
          <w:sz w:val="21"/>
          <w:szCs w:val="21"/>
          <w:lang w:val="en-GB"/>
        </w:rPr>
        <w:t>“</w:t>
      </w:r>
    </w:p>
    <w:p w:rsidR="00D93346" w:rsidRPr="000A24D5" w:rsidRDefault="000A24D5" w:rsidP="000A24D5">
      <w:pPr>
        <w:shd w:val="clear" w:color="auto" w:fill="FFFFFF"/>
        <w:spacing w:before="240" w:after="240"/>
        <w:ind w:left="2160" w:hanging="360"/>
        <w:jc w:val="both"/>
        <w:textAlignment w:val="baseline"/>
        <w:rPr>
          <w:color w:val="000000" w:themeColor="text1"/>
          <w:sz w:val="21"/>
          <w:szCs w:val="21"/>
        </w:rPr>
      </w:pPr>
      <w:r w:rsidRPr="00224D2B">
        <w:rPr>
          <w:color w:val="000000" w:themeColor="text1"/>
          <w:sz w:val="21"/>
          <w:szCs w:val="21"/>
        </w:rPr>
        <w:t>(2)</w:t>
      </w:r>
      <w:r w:rsidRPr="00224D2B">
        <w:rPr>
          <w:color w:val="000000" w:themeColor="text1"/>
          <w:sz w:val="21"/>
          <w:szCs w:val="21"/>
        </w:rPr>
        <w:tab/>
      </w:r>
      <w:r w:rsidR="00D93346" w:rsidRPr="000A24D5">
        <w:rPr>
          <w:color w:val="000000" w:themeColor="text1"/>
          <w:sz w:val="21"/>
          <w:szCs w:val="21"/>
        </w:rPr>
        <w:t>A record contemplated in subsection (1), without limiting the generality of that subsection, includes a record containing information –</w:t>
      </w:r>
    </w:p>
    <w:p w:rsidR="00144211" w:rsidRPr="00224D2B" w:rsidRDefault="00144211" w:rsidP="00144211">
      <w:pPr>
        <w:pStyle w:val="ListParagraph"/>
        <w:shd w:val="clear" w:color="auto" w:fill="FFFFFF"/>
        <w:spacing w:before="240" w:after="240"/>
        <w:ind w:left="2160"/>
        <w:jc w:val="both"/>
        <w:textAlignment w:val="baseline"/>
        <w:rPr>
          <w:color w:val="000000" w:themeColor="text1"/>
          <w:sz w:val="21"/>
          <w:szCs w:val="21"/>
        </w:rPr>
      </w:pPr>
    </w:p>
    <w:p w:rsidR="00D93346" w:rsidRPr="000A24D5" w:rsidRDefault="000A24D5" w:rsidP="000A24D5">
      <w:pPr>
        <w:shd w:val="clear" w:color="auto" w:fill="FFFFFF"/>
        <w:tabs>
          <w:tab w:val="left" w:pos="2487"/>
        </w:tabs>
        <w:spacing w:before="240" w:after="240"/>
        <w:ind w:left="2487" w:hanging="360"/>
        <w:jc w:val="both"/>
        <w:textAlignment w:val="baseline"/>
        <w:rPr>
          <w:color w:val="000000" w:themeColor="text1"/>
          <w:sz w:val="21"/>
          <w:szCs w:val="21"/>
        </w:rPr>
      </w:pPr>
      <w:r w:rsidRPr="00224D2B">
        <w:rPr>
          <w:color w:val="000000" w:themeColor="text1"/>
          <w:sz w:val="21"/>
          <w:szCs w:val="21"/>
        </w:rPr>
        <w:t>(a)</w:t>
      </w:r>
      <w:r w:rsidRPr="00224D2B">
        <w:rPr>
          <w:color w:val="000000" w:themeColor="text1"/>
          <w:sz w:val="21"/>
          <w:szCs w:val="21"/>
        </w:rPr>
        <w:tab/>
      </w:r>
      <w:r w:rsidR="00D93346" w:rsidRPr="000A24D5">
        <w:rPr>
          <w:color w:val="000000" w:themeColor="text1"/>
          <w:sz w:val="21"/>
          <w:szCs w:val="21"/>
        </w:rPr>
        <w:t>relating to military tactics or strategy or military exercises or operations undertaken in preparation of hostilities or in connection with the detection, prevention, suppression or curtailment of subversive or hostile activities;</w:t>
      </w:r>
    </w:p>
    <w:p w:rsidR="00D93346" w:rsidRPr="00224D2B" w:rsidRDefault="000A24D5" w:rsidP="000A24D5">
      <w:pPr>
        <w:shd w:val="clear" w:color="auto" w:fill="FFFFFF"/>
        <w:tabs>
          <w:tab w:val="left" w:pos="2487"/>
        </w:tabs>
        <w:spacing w:before="240" w:after="240"/>
        <w:ind w:left="2520" w:hanging="360"/>
        <w:jc w:val="both"/>
        <w:textAlignment w:val="baseline"/>
        <w:rPr>
          <w:color w:val="000000" w:themeColor="text1"/>
          <w:sz w:val="21"/>
          <w:szCs w:val="21"/>
        </w:rPr>
      </w:pPr>
      <w:r w:rsidRPr="00224D2B">
        <w:rPr>
          <w:color w:val="000000" w:themeColor="text1"/>
          <w:sz w:val="21"/>
          <w:szCs w:val="21"/>
        </w:rPr>
        <w:t>(b)</w:t>
      </w:r>
      <w:r w:rsidRPr="00224D2B">
        <w:rPr>
          <w:color w:val="000000" w:themeColor="text1"/>
          <w:sz w:val="21"/>
          <w:szCs w:val="21"/>
        </w:rPr>
        <w:tab/>
      </w:r>
      <w:r w:rsidR="00D93346" w:rsidRPr="00224D2B">
        <w:rPr>
          <w:color w:val="000000" w:themeColor="text1"/>
          <w:sz w:val="21"/>
          <w:szCs w:val="21"/>
        </w:rPr>
        <w:t>relating to the quantity, characteristics, capabilities, vulnerabilities or deployment of –</w:t>
      </w:r>
    </w:p>
    <w:p w:rsidR="00D93346" w:rsidRPr="000A24D5" w:rsidRDefault="000A24D5" w:rsidP="000A24D5">
      <w:pPr>
        <w:shd w:val="clear" w:color="auto" w:fill="FFFFFF"/>
        <w:tabs>
          <w:tab w:val="left" w:pos="2912"/>
        </w:tabs>
        <w:spacing w:before="240" w:after="240"/>
        <w:ind w:left="2912" w:hanging="360"/>
        <w:jc w:val="both"/>
        <w:textAlignment w:val="baseline"/>
        <w:rPr>
          <w:color w:val="000000" w:themeColor="text1"/>
          <w:sz w:val="21"/>
          <w:szCs w:val="21"/>
        </w:rPr>
      </w:pPr>
      <w:r w:rsidRPr="00224D2B">
        <w:rPr>
          <w:color w:val="000000" w:themeColor="text1"/>
          <w:sz w:val="21"/>
          <w:szCs w:val="21"/>
        </w:rPr>
        <w:t>(i)</w:t>
      </w:r>
      <w:r w:rsidRPr="00224D2B">
        <w:rPr>
          <w:color w:val="000000" w:themeColor="text1"/>
          <w:sz w:val="21"/>
          <w:szCs w:val="21"/>
        </w:rPr>
        <w:tab/>
      </w:r>
      <w:r w:rsidR="00D93346" w:rsidRPr="000A24D5">
        <w:rPr>
          <w:color w:val="000000" w:themeColor="text1"/>
          <w:sz w:val="21"/>
          <w:szCs w:val="21"/>
        </w:rPr>
        <w:t>weapons or any other equipment used for the detection, prevention, suppression or curtailment of subversive or hostile activities; or</w:t>
      </w:r>
    </w:p>
    <w:p w:rsidR="00D93346" w:rsidRPr="00224D2B" w:rsidRDefault="000A24D5" w:rsidP="000A24D5">
      <w:pPr>
        <w:shd w:val="clear" w:color="auto" w:fill="FFFFFF"/>
        <w:tabs>
          <w:tab w:val="left" w:pos="2977"/>
        </w:tabs>
        <w:spacing w:before="240" w:after="240"/>
        <w:ind w:left="2977" w:hanging="425"/>
        <w:jc w:val="both"/>
        <w:textAlignment w:val="baseline"/>
        <w:rPr>
          <w:color w:val="000000" w:themeColor="text1"/>
          <w:sz w:val="21"/>
          <w:szCs w:val="21"/>
        </w:rPr>
      </w:pPr>
      <w:r w:rsidRPr="00224D2B">
        <w:rPr>
          <w:color w:val="000000" w:themeColor="text1"/>
          <w:sz w:val="21"/>
          <w:szCs w:val="21"/>
        </w:rPr>
        <w:t>(ii)</w:t>
      </w:r>
      <w:r w:rsidRPr="00224D2B">
        <w:rPr>
          <w:color w:val="000000" w:themeColor="text1"/>
          <w:sz w:val="21"/>
          <w:szCs w:val="21"/>
        </w:rPr>
        <w:tab/>
      </w:r>
      <w:r w:rsidR="00D93346" w:rsidRPr="00224D2B">
        <w:rPr>
          <w:color w:val="000000" w:themeColor="text1"/>
          <w:sz w:val="21"/>
          <w:szCs w:val="21"/>
        </w:rPr>
        <w:t>anything being designed, developed, produced or considered for use as weapons or such other equipment;</w:t>
      </w:r>
    </w:p>
    <w:p w:rsidR="00D93346" w:rsidRPr="00224D2B" w:rsidRDefault="000A24D5" w:rsidP="000A24D5">
      <w:pPr>
        <w:shd w:val="clear" w:color="auto" w:fill="FFFFFF"/>
        <w:tabs>
          <w:tab w:val="left" w:pos="2487"/>
        </w:tabs>
        <w:spacing w:before="240" w:after="240"/>
        <w:ind w:left="2520" w:hanging="360"/>
        <w:jc w:val="both"/>
        <w:textAlignment w:val="baseline"/>
        <w:rPr>
          <w:color w:val="000000" w:themeColor="text1"/>
          <w:sz w:val="21"/>
          <w:szCs w:val="21"/>
        </w:rPr>
      </w:pPr>
      <w:r w:rsidRPr="00224D2B">
        <w:rPr>
          <w:color w:val="000000" w:themeColor="text1"/>
          <w:sz w:val="21"/>
          <w:szCs w:val="21"/>
        </w:rPr>
        <w:t>(c)</w:t>
      </w:r>
      <w:r w:rsidRPr="00224D2B">
        <w:rPr>
          <w:color w:val="000000" w:themeColor="text1"/>
          <w:sz w:val="21"/>
          <w:szCs w:val="21"/>
        </w:rPr>
        <w:tab/>
      </w:r>
      <w:r w:rsidR="00D93346" w:rsidRPr="00224D2B">
        <w:rPr>
          <w:color w:val="000000" w:themeColor="text1"/>
          <w:sz w:val="21"/>
          <w:szCs w:val="21"/>
        </w:rPr>
        <w:t>relating to the characteristics, capabilities, vulnerabilities, performance, potential, deployment or functions of –</w:t>
      </w:r>
    </w:p>
    <w:p w:rsidR="00D93346" w:rsidRPr="00224D2B" w:rsidRDefault="000A24D5" w:rsidP="000A24D5">
      <w:pPr>
        <w:shd w:val="clear" w:color="auto" w:fill="FFFFFF"/>
        <w:tabs>
          <w:tab w:val="left" w:pos="2912"/>
        </w:tabs>
        <w:spacing w:before="240" w:after="240"/>
        <w:ind w:left="3720" w:hanging="1026"/>
        <w:jc w:val="both"/>
        <w:textAlignment w:val="baseline"/>
        <w:rPr>
          <w:color w:val="000000" w:themeColor="text1"/>
          <w:sz w:val="21"/>
          <w:szCs w:val="21"/>
        </w:rPr>
      </w:pPr>
      <w:r w:rsidRPr="00224D2B">
        <w:rPr>
          <w:color w:val="000000" w:themeColor="text1"/>
          <w:sz w:val="21"/>
          <w:szCs w:val="21"/>
        </w:rPr>
        <w:t>(i)</w:t>
      </w:r>
      <w:r w:rsidRPr="00224D2B">
        <w:rPr>
          <w:color w:val="000000" w:themeColor="text1"/>
          <w:sz w:val="21"/>
          <w:szCs w:val="21"/>
        </w:rPr>
        <w:tab/>
      </w:r>
      <w:r w:rsidR="00D93346" w:rsidRPr="00224D2B">
        <w:rPr>
          <w:color w:val="000000" w:themeColor="text1"/>
          <w:sz w:val="21"/>
          <w:szCs w:val="21"/>
        </w:rPr>
        <w:t>any military force, unit or personnel; or</w:t>
      </w:r>
    </w:p>
    <w:p w:rsidR="00D93346" w:rsidRPr="00224D2B" w:rsidRDefault="000A24D5" w:rsidP="000A24D5">
      <w:pPr>
        <w:shd w:val="clear" w:color="auto" w:fill="FFFFFF"/>
        <w:tabs>
          <w:tab w:val="left" w:pos="2912"/>
        </w:tabs>
        <w:spacing w:before="240" w:after="240"/>
        <w:ind w:left="2977" w:hanging="283"/>
        <w:jc w:val="both"/>
        <w:textAlignment w:val="baseline"/>
        <w:rPr>
          <w:color w:val="000000" w:themeColor="text1"/>
          <w:sz w:val="21"/>
          <w:szCs w:val="21"/>
        </w:rPr>
      </w:pPr>
      <w:r w:rsidRPr="00224D2B">
        <w:rPr>
          <w:color w:val="000000" w:themeColor="text1"/>
          <w:sz w:val="21"/>
          <w:szCs w:val="21"/>
        </w:rPr>
        <w:t>(ii)</w:t>
      </w:r>
      <w:r w:rsidRPr="00224D2B">
        <w:rPr>
          <w:color w:val="000000" w:themeColor="text1"/>
          <w:sz w:val="21"/>
          <w:szCs w:val="21"/>
        </w:rPr>
        <w:tab/>
      </w:r>
      <w:r w:rsidR="00D93346" w:rsidRPr="00224D2B">
        <w:rPr>
          <w:color w:val="000000" w:themeColor="text1"/>
          <w:sz w:val="21"/>
          <w:szCs w:val="21"/>
        </w:rPr>
        <w:t>any body or person responsible for the detection, prevention, suppression or curtailment of subversive or hostile activities;</w:t>
      </w:r>
    </w:p>
    <w:p w:rsidR="00D93346" w:rsidRPr="00224D2B" w:rsidRDefault="000A24D5" w:rsidP="000A24D5">
      <w:pPr>
        <w:shd w:val="clear" w:color="auto" w:fill="FFFFFF"/>
        <w:tabs>
          <w:tab w:val="left" w:pos="2487"/>
        </w:tabs>
        <w:spacing w:before="240" w:after="240"/>
        <w:ind w:left="2520" w:hanging="360"/>
        <w:jc w:val="both"/>
        <w:textAlignment w:val="baseline"/>
        <w:rPr>
          <w:color w:val="000000" w:themeColor="text1"/>
          <w:sz w:val="21"/>
          <w:szCs w:val="21"/>
        </w:rPr>
      </w:pPr>
      <w:r w:rsidRPr="00224D2B">
        <w:rPr>
          <w:color w:val="000000" w:themeColor="text1"/>
          <w:sz w:val="21"/>
          <w:szCs w:val="21"/>
        </w:rPr>
        <w:t>(d)</w:t>
      </w:r>
      <w:r w:rsidRPr="00224D2B">
        <w:rPr>
          <w:color w:val="000000" w:themeColor="text1"/>
          <w:sz w:val="21"/>
          <w:szCs w:val="21"/>
        </w:rPr>
        <w:tab/>
      </w:r>
      <w:r w:rsidR="00D93346" w:rsidRPr="00224D2B">
        <w:rPr>
          <w:color w:val="000000" w:themeColor="text1"/>
          <w:sz w:val="21"/>
          <w:szCs w:val="21"/>
        </w:rPr>
        <w:t>held for the purpose of intelligence relating to –</w:t>
      </w:r>
    </w:p>
    <w:p w:rsidR="00D93346" w:rsidRPr="00224D2B" w:rsidRDefault="000A24D5" w:rsidP="000A24D5">
      <w:pPr>
        <w:shd w:val="clear" w:color="auto" w:fill="FFFFFF"/>
        <w:tabs>
          <w:tab w:val="left" w:pos="2912"/>
        </w:tabs>
        <w:spacing w:before="240" w:after="240"/>
        <w:ind w:left="3720" w:hanging="1026"/>
        <w:jc w:val="both"/>
        <w:textAlignment w:val="baseline"/>
        <w:rPr>
          <w:color w:val="000000" w:themeColor="text1"/>
          <w:sz w:val="21"/>
          <w:szCs w:val="21"/>
        </w:rPr>
      </w:pPr>
      <w:r w:rsidRPr="00224D2B">
        <w:rPr>
          <w:color w:val="000000" w:themeColor="text1"/>
          <w:sz w:val="21"/>
          <w:szCs w:val="21"/>
        </w:rPr>
        <w:t>(i)</w:t>
      </w:r>
      <w:r w:rsidRPr="00224D2B">
        <w:rPr>
          <w:color w:val="000000" w:themeColor="text1"/>
          <w:sz w:val="21"/>
          <w:szCs w:val="21"/>
        </w:rPr>
        <w:tab/>
      </w:r>
      <w:r w:rsidR="00D93346" w:rsidRPr="00224D2B">
        <w:rPr>
          <w:color w:val="000000" w:themeColor="text1"/>
          <w:sz w:val="21"/>
          <w:szCs w:val="21"/>
        </w:rPr>
        <w:t>the defence of the Republic;</w:t>
      </w:r>
    </w:p>
    <w:p w:rsidR="00D93346" w:rsidRPr="00224D2B" w:rsidRDefault="000A24D5" w:rsidP="000A24D5">
      <w:pPr>
        <w:shd w:val="clear" w:color="auto" w:fill="FFFFFF"/>
        <w:tabs>
          <w:tab w:val="left" w:pos="2912"/>
        </w:tabs>
        <w:spacing w:before="240" w:after="240"/>
        <w:ind w:left="2977" w:hanging="283"/>
        <w:jc w:val="both"/>
        <w:textAlignment w:val="baseline"/>
        <w:rPr>
          <w:color w:val="000000" w:themeColor="text1"/>
          <w:sz w:val="21"/>
          <w:szCs w:val="21"/>
        </w:rPr>
      </w:pPr>
      <w:r w:rsidRPr="00224D2B">
        <w:rPr>
          <w:color w:val="000000" w:themeColor="text1"/>
          <w:sz w:val="21"/>
          <w:szCs w:val="21"/>
        </w:rPr>
        <w:t>(ii)</w:t>
      </w:r>
      <w:r w:rsidRPr="00224D2B">
        <w:rPr>
          <w:color w:val="000000" w:themeColor="text1"/>
          <w:sz w:val="21"/>
          <w:szCs w:val="21"/>
        </w:rPr>
        <w:tab/>
      </w:r>
      <w:r w:rsidR="00D93346" w:rsidRPr="00224D2B">
        <w:rPr>
          <w:color w:val="000000" w:themeColor="text1"/>
          <w:sz w:val="21"/>
          <w:szCs w:val="21"/>
        </w:rPr>
        <w:t>the detection, prevention, suppression or curtailment of subversive or hostile activities; or</w:t>
      </w:r>
    </w:p>
    <w:p w:rsidR="00D93346" w:rsidRPr="00224D2B" w:rsidRDefault="000A24D5" w:rsidP="000A24D5">
      <w:pPr>
        <w:shd w:val="clear" w:color="auto" w:fill="FFFFFF"/>
        <w:tabs>
          <w:tab w:val="left" w:pos="2912"/>
          <w:tab w:val="left" w:pos="2977"/>
          <w:tab w:val="left" w:pos="3119"/>
          <w:tab w:val="left" w:pos="3261"/>
          <w:tab w:val="left" w:pos="3402"/>
        </w:tabs>
        <w:spacing w:before="240" w:after="240"/>
        <w:ind w:left="2977" w:hanging="283"/>
        <w:jc w:val="both"/>
        <w:textAlignment w:val="baseline"/>
        <w:rPr>
          <w:color w:val="000000" w:themeColor="text1"/>
          <w:sz w:val="21"/>
          <w:szCs w:val="21"/>
        </w:rPr>
      </w:pPr>
      <w:r w:rsidRPr="00224D2B">
        <w:rPr>
          <w:color w:val="000000" w:themeColor="text1"/>
          <w:sz w:val="21"/>
          <w:szCs w:val="21"/>
        </w:rPr>
        <w:t>(iii)</w:t>
      </w:r>
      <w:r w:rsidRPr="00224D2B">
        <w:rPr>
          <w:color w:val="000000" w:themeColor="text1"/>
          <w:sz w:val="21"/>
          <w:szCs w:val="21"/>
        </w:rPr>
        <w:tab/>
      </w:r>
      <w:r w:rsidR="00D93346" w:rsidRPr="00224D2B">
        <w:rPr>
          <w:color w:val="000000" w:themeColor="text1"/>
          <w:sz w:val="21"/>
          <w:szCs w:val="21"/>
        </w:rPr>
        <w:t>another state or an international organisation used by or on behalf of the Republic in the process of deliberation and consultation in the conduct of international affairs;</w:t>
      </w:r>
    </w:p>
    <w:p w:rsidR="00D93346" w:rsidRPr="00224D2B" w:rsidRDefault="000A24D5" w:rsidP="000A24D5">
      <w:pPr>
        <w:shd w:val="clear" w:color="auto" w:fill="FFFFFF"/>
        <w:tabs>
          <w:tab w:val="left" w:pos="2487"/>
        </w:tabs>
        <w:spacing w:before="240" w:after="240"/>
        <w:ind w:left="2520" w:hanging="360"/>
        <w:jc w:val="both"/>
        <w:textAlignment w:val="baseline"/>
        <w:rPr>
          <w:color w:val="000000" w:themeColor="text1"/>
          <w:sz w:val="21"/>
          <w:szCs w:val="21"/>
        </w:rPr>
      </w:pPr>
      <w:r w:rsidRPr="00224D2B">
        <w:rPr>
          <w:color w:val="000000" w:themeColor="text1"/>
          <w:sz w:val="21"/>
          <w:szCs w:val="21"/>
        </w:rPr>
        <w:t>(e)</w:t>
      </w:r>
      <w:r w:rsidRPr="00224D2B">
        <w:rPr>
          <w:color w:val="000000" w:themeColor="text1"/>
          <w:sz w:val="21"/>
          <w:szCs w:val="21"/>
        </w:rPr>
        <w:tab/>
      </w:r>
      <w:r w:rsidR="00D93346" w:rsidRPr="00224D2B">
        <w:rPr>
          <w:color w:val="000000" w:themeColor="text1"/>
          <w:sz w:val="21"/>
          <w:szCs w:val="21"/>
        </w:rPr>
        <w:t>on methods of, and scientific or technical equipment for, collecting, assessing or handling information referred to in paragraph (d);</w:t>
      </w:r>
    </w:p>
    <w:p w:rsidR="00D93346" w:rsidRPr="00224D2B" w:rsidRDefault="000A24D5" w:rsidP="000A24D5">
      <w:pPr>
        <w:shd w:val="clear" w:color="auto" w:fill="FFFFFF"/>
        <w:tabs>
          <w:tab w:val="left" w:pos="2487"/>
        </w:tabs>
        <w:spacing w:before="240" w:after="240"/>
        <w:ind w:left="2520" w:hanging="360"/>
        <w:jc w:val="both"/>
        <w:textAlignment w:val="baseline"/>
        <w:rPr>
          <w:color w:val="000000" w:themeColor="text1"/>
          <w:sz w:val="21"/>
          <w:szCs w:val="21"/>
        </w:rPr>
      </w:pPr>
      <w:r w:rsidRPr="00224D2B">
        <w:rPr>
          <w:color w:val="000000" w:themeColor="text1"/>
          <w:sz w:val="21"/>
          <w:szCs w:val="21"/>
        </w:rPr>
        <w:t>(f)</w:t>
      </w:r>
      <w:r w:rsidRPr="00224D2B">
        <w:rPr>
          <w:color w:val="000000" w:themeColor="text1"/>
          <w:sz w:val="21"/>
          <w:szCs w:val="21"/>
        </w:rPr>
        <w:tab/>
      </w:r>
      <w:r w:rsidR="00D93346" w:rsidRPr="00224D2B">
        <w:rPr>
          <w:color w:val="000000" w:themeColor="text1"/>
          <w:sz w:val="21"/>
          <w:szCs w:val="21"/>
        </w:rPr>
        <w:t>on the identity of a confidential source and any other source of information referred to in paragraph (d);</w:t>
      </w:r>
    </w:p>
    <w:p w:rsidR="00D93346" w:rsidRPr="00224D2B" w:rsidRDefault="000A24D5" w:rsidP="000A24D5">
      <w:pPr>
        <w:shd w:val="clear" w:color="auto" w:fill="FFFFFF"/>
        <w:tabs>
          <w:tab w:val="left" w:pos="2487"/>
        </w:tabs>
        <w:spacing w:before="240" w:after="240"/>
        <w:ind w:left="2520" w:hanging="360"/>
        <w:jc w:val="both"/>
        <w:textAlignment w:val="baseline"/>
        <w:rPr>
          <w:color w:val="000000" w:themeColor="text1"/>
          <w:sz w:val="21"/>
          <w:szCs w:val="21"/>
        </w:rPr>
      </w:pPr>
      <w:r w:rsidRPr="00224D2B">
        <w:rPr>
          <w:color w:val="000000" w:themeColor="text1"/>
          <w:sz w:val="21"/>
          <w:szCs w:val="21"/>
        </w:rPr>
        <w:t>(g)</w:t>
      </w:r>
      <w:r w:rsidRPr="00224D2B">
        <w:rPr>
          <w:color w:val="000000" w:themeColor="text1"/>
          <w:sz w:val="21"/>
          <w:szCs w:val="21"/>
        </w:rPr>
        <w:tab/>
      </w:r>
      <w:r w:rsidR="00D93346" w:rsidRPr="00224D2B">
        <w:rPr>
          <w:color w:val="000000" w:themeColor="text1"/>
          <w:sz w:val="21"/>
          <w:szCs w:val="21"/>
        </w:rPr>
        <w:t>on the positions adopted or to be adopted by the Republic, another state or an international organisation for the purpose of present or future international negotiations; or</w:t>
      </w:r>
    </w:p>
    <w:p w:rsidR="00D93346" w:rsidRPr="00224D2B" w:rsidRDefault="000A24D5" w:rsidP="000A24D5">
      <w:pPr>
        <w:shd w:val="clear" w:color="auto" w:fill="FFFFFF"/>
        <w:tabs>
          <w:tab w:val="left" w:pos="2487"/>
        </w:tabs>
        <w:spacing w:before="240" w:after="240"/>
        <w:ind w:left="2520" w:hanging="360"/>
        <w:jc w:val="both"/>
        <w:textAlignment w:val="baseline"/>
        <w:rPr>
          <w:color w:val="000000" w:themeColor="text1"/>
          <w:sz w:val="21"/>
          <w:szCs w:val="21"/>
        </w:rPr>
      </w:pPr>
      <w:r w:rsidRPr="00224D2B">
        <w:rPr>
          <w:color w:val="000000" w:themeColor="text1"/>
          <w:sz w:val="21"/>
          <w:szCs w:val="21"/>
        </w:rPr>
        <w:t>(h)</w:t>
      </w:r>
      <w:r w:rsidRPr="00224D2B">
        <w:rPr>
          <w:color w:val="000000" w:themeColor="text1"/>
          <w:sz w:val="21"/>
          <w:szCs w:val="21"/>
        </w:rPr>
        <w:tab/>
      </w:r>
      <w:r w:rsidR="00D93346" w:rsidRPr="00224D2B">
        <w:rPr>
          <w:color w:val="000000" w:themeColor="text1"/>
          <w:sz w:val="21"/>
          <w:szCs w:val="21"/>
        </w:rPr>
        <w:t>that constitutes diplomatic correspondence exchanged with another state or an international organisation or official correspondence exchanged with diplomatic missions or consular posts of the Republic…”</w:t>
      </w:r>
    </w:p>
    <w:p w:rsidR="0015128D" w:rsidRPr="00144211" w:rsidRDefault="0015128D" w:rsidP="00144211">
      <w:pPr>
        <w:spacing w:line="360" w:lineRule="auto"/>
        <w:jc w:val="both"/>
        <w:rPr>
          <w:color w:val="242121"/>
          <w:sz w:val="26"/>
          <w:szCs w:val="26"/>
          <w:lang w:val="en-GB"/>
        </w:rPr>
      </w:pPr>
    </w:p>
    <w:p w:rsidR="00144211" w:rsidRPr="000A24D5" w:rsidRDefault="000A24D5" w:rsidP="000A24D5">
      <w:pPr>
        <w:spacing w:line="360" w:lineRule="auto"/>
        <w:ind w:firstLine="142"/>
        <w:jc w:val="both"/>
        <w:rPr>
          <w:sz w:val="26"/>
          <w:szCs w:val="26"/>
          <w:lang w:val="en-GB"/>
        </w:rPr>
      </w:pPr>
      <w:r w:rsidRPr="003D33E9">
        <w:rPr>
          <w:sz w:val="26"/>
          <w:szCs w:val="26"/>
          <w:lang w:val="en-GB"/>
        </w:rPr>
        <w:t>[38]</w:t>
      </w:r>
      <w:r w:rsidRPr="003D33E9">
        <w:rPr>
          <w:sz w:val="26"/>
          <w:szCs w:val="26"/>
          <w:lang w:val="en-GB"/>
        </w:rPr>
        <w:tab/>
      </w:r>
      <w:r w:rsidR="00D93346" w:rsidRPr="000A24D5">
        <w:rPr>
          <w:sz w:val="26"/>
          <w:szCs w:val="26"/>
          <w:lang w:val="en-US"/>
        </w:rPr>
        <w:t xml:space="preserve">The applicant contends that none of the information contained in the BOI amounts to the type of information set out in the above provisions. </w:t>
      </w:r>
      <w:r w:rsidR="00144211" w:rsidRPr="000A24D5">
        <w:rPr>
          <w:sz w:val="26"/>
          <w:szCs w:val="26"/>
          <w:lang w:val="en-US"/>
        </w:rPr>
        <w:t xml:space="preserve">According to the applicant, there </w:t>
      </w:r>
      <w:r w:rsidR="00144211" w:rsidRPr="000A24D5">
        <w:rPr>
          <w:sz w:val="26"/>
          <w:szCs w:val="26"/>
        </w:rPr>
        <w:t xml:space="preserve">was no direct attack or threat posed to the Republic or its neighbours, and </w:t>
      </w:r>
      <w:r w:rsidR="00144211" w:rsidRPr="000A24D5">
        <w:rPr>
          <w:sz w:val="26"/>
          <w:szCs w:val="26"/>
          <w:lang w:val="en-US"/>
        </w:rPr>
        <w:t xml:space="preserve">accordingly its actions could not have constituted defence of, or issues related to, the security of the Republic. </w:t>
      </w:r>
      <w:r w:rsidR="00144211" w:rsidRPr="000A24D5">
        <w:rPr>
          <w:sz w:val="26"/>
          <w:szCs w:val="26"/>
        </w:rPr>
        <w:t>Instead, it was South Africa which thrust itself in the midst of a civil war which was underway some thousands of kilometres from its borders.</w:t>
      </w:r>
      <w:r w:rsidR="00144211" w:rsidRPr="003D33E9">
        <w:t xml:space="preserve">  </w:t>
      </w:r>
    </w:p>
    <w:p w:rsidR="00144211" w:rsidRPr="00144211" w:rsidRDefault="00144211" w:rsidP="00144211">
      <w:pPr>
        <w:pStyle w:val="ListParagraph"/>
        <w:spacing w:line="360" w:lineRule="auto"/>
        <w:ind w:left="142"/>
        <w:jc w:val="both"/>
        <w:rPr>
          <w:color w:val="242121"/>
          <w:sz w:val="26"/>
          <w:szCs w:val="26"/>
          <w:lang w:val="en-GB"/>
        </w:rPr>
      </w:pPr>
    </w:p>
    <w:p w:rsidR="00144211" w:rsidRPr="000A24D5" w:rsidRDefault="000A24D5" w:rsidP="000A24D5">
      <w:pPr>
        <w:spacing w:line="360" w:lineRule="auto"/>
        <w:ind w:firstLine="142"/>
        <w:jc w:val="both"/>
        <w:rPr>
          <w:color w:val="242121"/>
          <w:sz w:val="26"/>
          <w:szCs w:val="26"/>
          <w:lang w:val="en-GB"/>
        </w:rPr>
      </w:pPr>
      <w:r w:rsidRPr="00144211">
        <w:rPr>
          <w:color w:val="242121"/>
          <w:sz w:val="26"/>
          <w:szCs w:val="26"/>
          <w:lang w:val="en-GB"/>
        </w:rPr>
        <w:t>[39]</w:t>
      </w:r>
      <w:r w:rsidRPr="00144211">
        <w:rPr>
          <w:color w:val="242121"/>
          <w:sz w:val="26"/>
          <w:szCs w:val="26"/>
          <w:lang w:val="en-GB"/>
        </w:rPr>
        <w:tab/>
      </w:r>
      <w:r w:rsidR="00144211" w:rsidRPr="000A24D5">
        <w:rPr>
          <w:sz w:val="26"/>
          <w:szCs w:val="26"/>
        </w:rPr>
        <w:t>Furthermore, the applicant states that the battle did not involve use of large-scale configurations of SANDF infantry and artillery; nor did it require the use of, or coordination with, the South African Air Force or the South African Navy in combat operations.  Rather, this was a defence of the city of Bangui by a small contingent of troops using light arms and ammunition,</w:t>
      </w:r>
      <w:r w:rsidR="00144211" w:rsidRPr="000A24D5">
        <w:rPr>
          <w:sz w:val="26"/>
          <w:szCs w:val="26"/>
          <w:lang w:val="en-US"/>
        </w:rPr>
        <w:t xml:space="preserve"> the details of which have been </w:t>
      </w:r>
      <w:r w:rsidR="00914663" w:rsidRPr="000A24D5">
        <w:rPr>
          <w:sz w:val="26"/>
          <w:szCs w:val="26"/>
          <w:lang w:val="en-US"/>
        </w:rPr>
        <w:t xml:space="preserve">recorded </w:t>
      </w:r>
      <w:r w:rsidR="00144211" w:rsidRPr="000A24D5">
        <w:rPr>
          <w:sz w:val="26"/>
          <w:szCs w:val="26"/>
          <w:lang w:val="en-US"/>
        </w:rPr>
        <w:t>in at least one published historical account</w:t>
      </w:r>
      <w:r w:rsidR="00144211" w:rsidRPr="000A24D5">
        <w:rPr>
          <w:sz w:val="26"/>
          <w:szCs w:val="26"/>
        </w:rPr>
        <w:t xml:space="preserve">. In any event, says the applicant, the troops, army vehicles and weaponry were paraded in Bangui for weeks ahead of the battle as the troops conducted patrols in full view of the public. </w:t>
      </w:r>
    </w:p>
    <w:p w:rsidR="00144211" w:rsidRPr="00144211" w:rsidRDefault="00144211" w:rsidP="00144211">
      <w:pPr>
        <w:spacing w:line="360" w:lineRule="auto"/>
        <w:jc w:val="both"/>
        <w:rPr>
          <w:color w:val="242121"/>
          <w:sz w:val="26"/>
          <w:szCs w:val="26"/>
          <w:lang w:val="en-GB"/>
        </w:rPr>
      </w:pPr>
    </w:p>
    <w:p w:rsidR="00144211" w:rsidRPr="000A24D5" w:rsidRDefault="000A24D5" w:rsidP="000A24D5">
      <w:pPr>
        <w:spacing w:line="360" w:lineRule="auto"/>
        <w:ind w:firstLine="142"/>
        <w:jc w:val="both"/>
        <w:rPr>
          <w:color w:val="242121"/>
          <w:sz w:val="26"/>
          <w:szCs w:val="26"/>
          <w:lang w:val="en-GB"/>
        </w:rPr>
      </w:pPr>
      <w:r w:rsidRPr="00144211">
        <w:rPr>
          <w:color w:val="242121"/>
          <w:sz w:val="26"/>
          <w:szCs w:val="26"/>
          <w:lang w:val="en-GB"/>
        </w:rPr>
        <w:t>[40]</w:t>
      </w:r>
      <w:r w:rsidRPr="00144211">
        <w:rPr>
          <w:color w:val="242121"/>
          <w:sz w:val="26"/>
          <w:szCs w:val="26"/>
          <w:lang w:val="en-GB"/>
        </w:rPr>
        <w:tab/>
      </w:r>
      <w:r w:rsidR="00144211" w:rsidRPr="000A24D5">
        <w:rPr>
          <w:sz w:val="26"/>
          <w:szCs w:val="26"/>
          <w:lang w:val="en-US"/>
        </w:rPr>
        <w:t xml:space="preserve">On this score, the respondents’ papers are silent. The closest to any explanation in this regard is a copy of the Minister’s briefing to Parliament’s Joint Standing Committee on Defence of 4 April 2013, which was attached to the applicant’s replying affidavit in Part A of these proceedings. According to the Minister’s briefing, the South African government signed a Defence Cooperation MOU, referred to as Operation Vimbezela, in response to the African Union (AU) Peace and Security Council's decision to provide support for social economic recovery and consolidation of peace and stability in the CAR which included assistance towards defence and security in that country. It was pursuant to Operation Vimbezela that South Africa sent military forces to the CAR, for purposes of training. It also assisted in the process of disarmament, demobilization and reintegration, again pursuant to an AU peace deal achieved in that country. When the security situation deteriorated in the CAR in January 2013 the South African government deployed a further 200 troops to protect the trainers and military assets that were already in that country. According to the Minister’s briefing, the </w:t>
      </w:r>
      <w:r w:rsidR="00914663" w:rsidRPr="000A24D5">
        <w:rPr>
          <w:sz w:val="26"/>
          <w:szCs w:val="26"/>
          <w:lang w:val="en-US"/>
        </w:rPr>
        <w:t>B</w:t>
      </w:r>
      <w:r w:rsidR="00144211" w:rsidRPr="000A24D5">
        <w:rPr>
          <w:sz w:val="26"/>
          <w:szCs w:val="26"/>
          <w:lang w:val="en-US"/>
        </w:rPr>
        <w:t xml:space="preserve">attle of Bangui ensued when the rebel forces in the CAR breached a ceasefire agreement and marched into Bangui and in the process attacked a newly established South African military base. </w:t>
      </w:r>
    </w:p>
    <w:p w:rsidR="00144211" w:rsidRPr="00144211" w:rsidRDefault="00144211" w:rsidP="00144211">
      <w:pPr>
        <w:pStyle w:val="ListParagraph"/>
        <w:spacing w:line="360" w:lineRule="auto"/>
        <w:ind w:left="142"/>
        <w:jc w:val="both"/>
        <w:rPr>
          <w:color w:val="242121"/>
          <w:sz w:val="26"/>
          <w:szCs w:val="26"/>
          <w:lang w:val="en-GB"/>
        </w:rPr>
      </w:pPr>
    </w:p>
    <w:p w:rsidR="000C3994" w:rsidRPr="000A24D5" w:rsidRDefault="000A24D5" w:rsidP="000A24D5">
      <w:pPr>
        <w:spacing w:line="360" w:lineRule="auto"/>
        <w:ind w:firstLine="142"/>
        <w:jc w:val="both"/>
        <w:rPr>
          <w:color w:val="242121"/>
          <w:sz w:val="26"/>
          <w:szCs w:val="26"/>
          <w:lang w:val="en-GB"/>
        </w:rPr>
      </w:pPr>
      <w:r w:rsidRPr="000C3994">
        <w:rPr>
          <w:color w:val="242121"/>
          <w:sz w:val="26"/>
          <w:szCs w:val="26"/>
          <w:lang w:val="en-GB"/>
        </w:rPr>
        <w:t>[41]</w:t>
      </w:r>
      <w:r w:rsidRPr="000C3994">
        <w:rPr>
          <w:color w:val="242121"/>
          <w:sz w:val="26"/>
          <w:szCs w:val="26"/>
          <w:lang w:val="en-GB"/>
        </w:rPr>
        <w:tab/>
      </w:r>
      <w:r w:rsidR="00144211" w:rsidRPr="000A24D5">
        <w:rPr>
          <w:sz w:val="26"/>
          <w:szCs w:val="26"/>
          <w:lang w:val="en-US"/>
        </w:rPr>
        <w:t xml:space="preserve">Contrary to the Minister’s briefing to Parliament, the applicant points to information that the African Union had no knowledge of the deployment of the SANDF troops in the CAR. And according to the applicant, the attack started when a South African Special Forces reconnaissance patrol was ambushed by rebels while travelling north to Damara, which is the nearest major town to Bangui. In other words, the attack was not at an SANDF base. </w:t>
      </w:r>
    </w:p>
    <w:p w:rsidR="000C3994" w:rsidRPr="000C3994" w:rsidRDefault="000C3994" w:rsidP="000C3994">
      <w:pPr>
        <w:pStyle w:val="ListParagraph"/>
        <w:rPr>
          <w:sz w:val="26"/>
          <w:szCs w:val="26"/>
          <w:lang w:val="en-US"/>
        </w:rPr>
      </w:pPr>
    </w:p>
    <w:p w:rsidR="00144211" w:rsidRPr="000A24D5" w:rsidRDefault="000A24D5" w:rsidP="000A24D5">
      <w:pPr>
        <w:spacing w:line="360" w:lineRule="auto"/>
        <w:ind w:firstLine="142"/>
        <w:jc w:val="both"/>
        <w:rPr>
          <w:color w:val="242121"/>
          <w:sz w:val="26"/>
          <w:szCs w:val="26"/>
          <w:lang w:val="en-GB"/>
        </w:rPr>
      </w:pPr>
      <w:r w:rsidRPr="00144211">
        <w:rPr>
          <w:color w:val="242121"/>
          <w:sz w:val="26"/>
          <w:szCs w:val="26"/>
          <w:lang w:val="en-GB"/>
        </w:rPr>
        <w:t>[42]</w:t>
      </w:r>
      <w:r w:rsidRPr="00144211">
        <w:rPr>
          <w:color w:val="242121"/>
          <w:sz w:val="26"/>
          <w:szCs w:val="26"/>
          <w:lang w:val="en-GB"/>
        </w:rPr>
        <w:tab/>
      </w:r>
      <w:r w:rsidR="00144211" w:rsidRPr="000A24D5">
        <w:rPr>
          <w:sz w:val="26"/>
          <w:szCs w:val="26"/>
          <w:lang w:val="en-US"/>
        </w:rPr>
        <w:t xml:space="preserve">These issues, in respect of which there are contradictory accounts, are at the heart of the applicant’s stated reason for why he made the request for access to information. Apart from the </w:t>
      </w:r>
      <w:r w:rsidR="005D00FF" w:rsidRPr="000A24D5">
        <w:rPr>
          <w:sz w:val="26"/>
          <w:szCs w:val="26"/>
          <w:lang w:val="en-US"/>
        </w:rPr>
        <w:t>P</w:t>
      </w:r>
      <w:r w:rsidR="00144211" w:rsidRPr="000A24D5">
        <w:rPr>
          <w:sz w:val="26"/>
          <w:szCs w:val="26"/>
          <w:lang w:val="en-US"/>
        </w:rPr>
        <w:t xml:space="preserve">arliamentary briefing by the Minister, it is common cause that the </w:t>
      </w:r>
      <w:r w:rsidR="000C3994" w:rsidRPr="000A24D5">
        <w:rPr>
          <w:sz w:val="26"/>
          <w:szCs w:val="26"/>
          <w:lang w:val="en-US"/>
        </w:rPr>
        <w:t xml:space="preserve">Department </w:t>
      </w:r>
      <w:r w:rsidR="00144211" w:rsidRPr="000A24D5">
        <w:rPr>
          <w:sz w:val="26"/>
          <w:szCs w:val="26"/>
          <w:lang w:val="en-US"/>
        </w:rPr>
        <w:t xml:space="preserve">has never provided an official account of what transpired during the </w:t>
      </w:r>
      <w:r w:rsidR="00914663" w:rsidRPr="000A24D5">
        <w:rPr>
          <w:sz w:val="26"/>
          <w:szCs w:val="26"/>
          <w:lang w:val="en-US"/>
        </w:rPr>
        <w:t>B</w:t>
      </w:r>
      <w:r w:rsidR="00144211" w:rsidRPr="000A24D5">
        <w:rPr>
          <w:sz w:val="26"/>
          <w:szCs w:val="26"/>
          <w:lang w:val="en-US"/>
        </w:rPr>
        <w:t xml:space="preserve">attle and why it was such a resounding defeat. And as I have stated, the Parliamentary briefing is attached to the replying affidavit in part </w:t>
      </w:r>
      <w:r w:rsidR="000C3994" w:rsidRPr="000A24D5">
        <w:rPr>
          <w:sz w:val="26"/>
          <w:szCs w:val="26"/>
          <w:lang w:val="en-US"/>
        </w:rPr>
        <w:t xml:space="preserve">A </w:t>
      </w:r>
      <w:r w:rsidR="00144211" w:rsidRPr="000A24D5">
        <w:rPr>
          <w:sz w:val="26"/>
          <w:szCs w:val="26"/>
          <w:lang w:val="en-US"/>
        </w:rPr>
        <w:t>of these proceedings, and the respondents did not have opportunity to confirm or deny its contents</w:t>
      </w:r>
      <w:r w:rsidR="000C3994" w:rsidRPr="000A24D5">
        <w:rPr>
          <w:sz w:val="26"/>
          <w:szCs w:val="26"/>
          <w:lang w:val="en-US"/>
        </w:rPr>
        <w:t xml:space="preserve"> at that stage</w:t>
      </w:r>
      <w:r w:rsidR="00144211" w:rsidRPr="000A24D5">
        <w:rPr>
          <w:sz w:val="26"/>
          <w:szCs w:val="26"/>
          <w:lang w:val="en-US"/>
        </w:rPr>
        <w:t>; and have also not sought to place any version of the events before this Court.</w:t>
      </w:r>
    </w:p>
    <w:p w:rsidR="00144211" w:rsidRPr="00144211" w:rsidRDefault="00144211" w:rsidP="00144211">
      <w:pPr>
        <w:pStyle w:val="ListParagraph"/>
        <w:rPr>
          <w:sz w:val="26"/>
          <w:szCs w:val="26"/>
          <w:lang w:val="en-US"/>
        </w:rPr>
      </w:pPr>
    </w:p>
    <w:p w:rsidR="008A3AEB" w:rsidRPr="000A24D5" w:rsidRDefault="000A24D5" w:rsidP="000A24D5">
      <w:pPr>
        <w:spacing w:line="360" w:lineRule="auto"/>
        <w:ind w:firstLine="142"/>
        <w:jc w:val="both"/>
        <w:rPr>
          <w:color w:val="242121"/>
          <w:sz w:val="26"/>
          <w:szCs w:val="26"/>
          <w:lang w:val="en-GB"/>
        </w:rPr>
      </w:pPr>
      <w:r w:rsidRPr="008A3AEB">
        <w:rPr>
          <w:color w:val="242121"/>
          <w:sz w:val="26"/>
          <w:szCs w:val="26"/>
          <w:lang w:val="en-GB"/>
        </w:rPr>
        <w:t>[43]</w:t>
      </w:r>
      <w:r w:rsidRPr="008A3AEB">
        <w:rPr>
          <w:color w:val="242121"/>
          <w:sz w:val="26"/>
          <w:szCs w:val="26"/>
          <w:lang w:val="en-GB"/>
        </w:rPr>
        <w:tab/>
      </w:r>
      <w:r w:rsidR="0086008D" w:rsidRPr="000A24D5">
        <w:rPr>
          <w:color w:val="000000" w:themeColor="text1"/>
          <w:sz w:val="26"/>
          <w:szCs w:val="26"/>
          <w:lang w:val="en-US"/>
        </w:rPr>
        <w:t>I</w:t>
      </w:r>
      <w:r w:rsidR="00144211" w:rsidRPr="000A24D5">
        <w:rPr>
          <w:color w:val="000000" w:themeColor="text1"/>
          <w:sz w:val="26"/>
          <w:szCs w:val="26"/>
          <w:lang w:val="en-US"/>
        </w:rPr>
        <w:t xml:space="preserve">t is not the purpose of these proceedings to resolve the </w:t>
      </w:r>
      <w:r w:rsidR="0086008D" w:rsidRPr="000A24D5">
        <w:rPr>
          <w:color w:val="000000" w:themeColor="text1"/>
          <w:sz w:val="26"/>
          <w:szCs w:val="26"/>
          <w:lang w:val="en-US"/>
        </w:rPr>
        <w:t xml:space="preserve">dispute relating to </w:t>
      </w:r>
      <w:r w:rsidR="00144211" w:rsidRPr="000A24D5">
        <w:rPr>
          <w:color w:val="000000" w:themeColor="text1"/>
          <w:sz w:val="26"/>
          <w:szCs w:val="26"/>
          <w:lang w:val="en-US"/>
        </w:rPr>
        <w:t xml:space="preserve">how the </w:t>
      </w:r>
      <w:r w:rsidR="00914663" w:rsidRPr="000A24D5">
        <w:rPr>
          <w:color w:val="000000" w:themeColor="text1"/>
          <w:sz w:val="26"/>
          <w:szCs w:val="26"/>
          <w:lang w:val="en-US"/>
        </w:rPr>
        <w:t>B</w:t>
      </w:r>
      <w:r w:rsidR="00144211" w:rsidRPr="000A24D5">
        <w:rPr>
          <w:color w:val="000000" w:themeColor="text1"/>
          <w:sz w:val="26"/>
          <w:szCs w:val="26"/>
          <w:lang w:val="en-US"/>
        </w:rPr>
        <w:t xml:space="preserve">attle ensued. Rather, the question is whether the respondents have discharged the </w:t>
      </w:r>
      <w:r w:rsidR="008A3AEB" w:rsidRPr="000A24D5">
        <w:rPr>
          <w:color w:val="000000" w:themeColor="text1"/>
          <w:sz w:val="26"/>
          <w:szCs w:val="26"/>
          <w:lang w:val="en-US"/>
        </w:rPr>
        <w:t xml:space="preserve">evidentiary burden </w:t>
      </w:r>
      <w:r w:rsidR="00144211" w:rsidRPr="000A24D5">
        <w:rPr>
          <w:color w:val="000000" w:themeColor="text1"/>
          <w:sz w:val="26"/>
          <w:szCs w:val="26"/>
          <w:lang w:val="en-US"/>
        </w:rPr>
        <w:t>to establish the grounds relied upon as enunciated in the Min</w:t>
      </w:r>
      <w:r w:rsidR="000C3994" w:rsidRPr="000A24D5">
        <w:rPr>
          <w:color w:val="000000" w:themeColor="text1"/>
          <w:sz w:val="26"/>
          <w:szCs w:val="26"/>
          <w:lang w:val="en-US"/>
        </w:rPr>
        <w:t>i</w:t>
      </w:r>
      <w:r w:rsidR="00144211" w:rsidRPr="000A24D5">
        <w:rPr>
          <w:color w:val="000000" w:themeColor="text1"/>
          <w:sz w:val="26"/>
          <w:szCs w:val="26"/>
          <w:lang w:val="en-US"/>
        </w:rPr>
        <w:t xml:space="preserve">ster’s letter. In terms of section 81, read with 78, of the Act, that </w:t>
      </w:r>
      <w:r w:rsidR="008A3AEB" w:rsidRPr="000A24D5">
        <w:rPr>
          <w:color w:val="000000" w:themeColor="text1"/>
          <w:sz w:val="26"/>
          <w:szCs w:val="26"/>
          <w:lang w:val="en-US"/>
        </w:rPr>
        <w:t xml:space="preserve">evidentiary burden </w:t>
      </w:r>
      <w:r w:rsidR="00144211" w:rsidRPr="000A24D5">
        <w:rPr>
          <w:color w:val="000000" w:themeColor="text1"/>
          <w:sz w:val="26"/>
          <w:szCs w:val="26"/>
          <w:lang w:val="en-US"/>
        </w:rPr>
        <w:t xml:space="preserve">is to be discharged based on the </w:t>
      </w:r>
      <w:r w:rsidR="00144211" w:rsidRPr="000A24D5">
        <w:rPr>
          <w:color w:val="000000" w:themeColor="text1"/>
          <w:sz w:val="26"/>
          <w:szCs w:val="26"/>
        </w:rPr>
        <w:t>rules of evidence applicable in civil proceedings</w:t>
      </w:r>
      <w:r w:rsidR="008A3AEB" w:rsidRPr="000A24D5">
        <w:rPr>
          <w:color w:val="000000" w:themeColor="text1"/>
          <w:sz w:val="26"/>
          <w:szCs w:val="26"/>
        </w:rPr>
        <w:t xml:space="preserve">, </w:t>
      </w:r>
      <w:r w:rsidR="008A3AEB" w:rsidRPr="000A24D5">
        <w:rPr>
          <w:color w:val="000000" w:themeColor="text1"/>
          <w:sz w:val="26"/>
          <w:szCs w:val="26"/>
          <w:lang w:val="en-US"/>
        </w:rPr>
        <w:t>on a balance of probabilities</w:t>
      </w:r>
      <w:r w:rsidR="00144211" w:rsidRPr="000A24D5">
        <w:rPr>
          <w:color w:val="000000" w:themeColor="text1"/>
          <w:sz w:val="26"/>
          <w:szCs w:val="26"/>
        </w:rPr>
        <w:t>.</w:t>
      </w:r>
      <w:r w:rsidR="008A3AEB" w:rsidRPr="000A24D5">
        <w:rPr>
          <w:color w:val="000000" w:themeColor="text1"/>
          <w:sz w:val="26"/>
          <w:szCs w:val="26"/>
        </w:rPr>
        <w:t xml:space="preserve"> </w:t>
      </w:r>
      <w:r w:rsidR="008A3AEB" w:rsidRPr="000A24D5">
        <w:rPr>
          <w:color w:val="000000" w:themeColor="text1"/>
          <w:sz w:val="26"/>
          <w:szCs w:val="26"/>
          <w:lang w:val="en-US"/>
        </w:rPr>
        <w:t>What is required is for</w:t>
      </w:r>
      <w:r w:rsidR="008A3AEB" w:rsidRPr="000A24D5">
        <w:rPr>
          <w:color w:val="000000" w:themeColor="text1"/>
          <w:sz w:val="26"/>
          <w:szCs w:val="26"/>
          <w:lang w:val="en-GB"/>
        </w:rPr>
        <w:t xml:space="preserve"> the respondents to put forward sufficient evidence for the Court to conclude that, on the probabilities, the information withheld falls within the exemption claimed.</w:t>
      </w:r>
      <w:r w:rsidR="008A3AEB" w:rsidRPr="008A3AEB">
        <w:rPr>
          <w:rStyle w:val="FootnoteReference"/>
          <w:rFonts w:eastAsiaTheme="majorEastAsia"/>
          <w:color w:val="000000" w:themeColor="text1"/>
          <w:sz w:val="26"/>
          <w:szCs w:val="26"/>
          <w:lang w:val="en-GB"/>
        </w:rPr>
        <w:footnoteReference w:id="16"/>
      </w:r>
      <w:r w:rsidR="000C3994" w:rsidRPr="000A24D5">
        <w:rPr>
          <w:color w:val="000000" w:themeColor="text1"/>
          <w:sz w:val="26"/>
          <w:szCs w:val="26"/>
          <w:lang w:val="en-GB"/>
        </w:rPr>
        <w:t xml:space="preserve"> </w:t>
      </w:r>
    </w:p>
    <w:p w:rsidR="008A3AEB" w:rsidRPr="0031412D" w:rsidRDefault="008A3AEB" w:rsidP="008A3AEB">
      <w:pPr>
        <w:pStyle w:val="ListParagraph"/>
        <w:rPr>
          <w:color w:val="242121"/>
          <w:sz w:val="26"/>
          <w:szCs w:val="26"/>
        </w:rPr>
      </w:pPr>
    </w:p>
    <w:p w:rsidR="008A3AEB" w:rsidRPr="000A24D5" w:rsidRDefault="000A24D5" w:rsidP="000A24D5">
      <w:pPr>
        <w:spacing w:line="360" w:lineRule="auto"/>
        <w:ind w:firstLine="142"/>
        <w:jc w:val="both"/>
        <w:rPr>
          <w:sz w:val="26"/>
          <w:szCs w:val="26"/>
          <w:lang w:val="en-GB"/>
        </w:rPr>
      </w:pPr>
      <w:r w:rsidRPr="00D05B45">
        <w:rPr>
          <w:sz w:val="26"/>
          <w:szCs w:val="26"/>
          <w:lang w:val="en-GB"/>
        </w:rPr>
        <w:t>[44]</w:t>
      </w:r>
      <w:r w:rsidRPr="00D05B45">
        <w:rPr>
          <w:sz w:val="26"/>
          <w:szCs w:val="26"/>
          <w:lang w:val="en-GB"/>
        </w:rPr>
        <w:tab/>
      </w:r>
      <w:r w:rsidR="008A3AEB" w:rsidRPr="000A24D5">
        <w:rPr>
          <w:sz w:val="26"/>
          <w:szCs w:val="26"/>
          <w:lang w:val="en-US"/>
        </w:rPr>
        <w:t xml:space="preserve">As I have already indicated, the respondents have not put forward anything by way of information or evidence to justify reliance </w:t>
      </w:r>
      <w:r w:rsidR="005D00FF" w:rsidRPr="000A24D5">
        <w:rPr>
          <w:sz w:val="26"/>
          <w:szCs w:val="26"/>
          <w:lang w:val="en-US"/>
        </w:rPr>
        <w:t xml:space="preserve">on the statutory exemptions </w:t>
      </w:r>
      <w:r w:rsidR="0086008D" w:rsidRPr="000A24D5">
        <w:rPr>
          <w:sz w:val="26"/>
          <w:szCs w:val="26"/>
          <w:lang w:val="en-US"/>
        </w:rPr>
        <w:t>r</w:t>
      </w:r>
      <w:r w:rsidR="005D00FF" w:rsidRPr="000A24D5">
        <w:rPr>
          <w:sz w:val="26"/>
          <w:szCs w:val="26"/>
          <w:lang w:val="en-US"/>
        </w:rPr>
        <w:t>elie</w:t>
      </w:r>
      <w:r w:rsidR="0086008D" w:rsidRPr="000A24D5">
        <w:rPr>
          <w:sz w:val="26"/>
          <w:szCs w:val="26"/>
          <w:lang w:val="en-US"/>
        </w:rPr>
        <w:t>d</w:t>
      </w:r>
      <w:r w:rsidR="005D00FF" w:rsidRPr="000A24D5">
        <w:rPr>
          <w:sz w:val="26"/>
          <w:szCs w:val="26"/>
          <w:lang w:val="en-US"/>
        </w:rPr>
        <w:t xml:space="preserve"> upon</w:t>
      </w:r>
      <w:r w:rsidR="008A3AEB" w:rsidRPr="000A24D5">
        <w:rPr>
          <w:sz w:val="26"/>
          <w:szCs w:val="26"/>
          <w:lang w:val="en-US"/>
        </w:rPr>
        <w:t>. I am willing to accept that, since the subject-matter concerned a battle, it would necessarily involve the use of military equipment and military strategies. However, the Court remains in the dark regarding the nature of the military equipment or strategies used. It is specifically unknown why they are the kind whose disclosure would place the defence or security of Republic under threat. And no details are provided as to what kind of military equipment or strategies would constitute such a threat, or whether all the military equipment and strategies used in this case and which form the subject of the BOI falls under such a category. Also relevant is the time that has elapsed since the battle, over ten years ago. There is no indication as to whether the equipment</w:t>
      </w:r>
      <w:r w:rsidR="00144211" w:rsidRPr="000A24D5">
        <w:rPr>
          <w:sz w:val="26"/>
          <w:szCs w:val="26"/>
        </w:rPr>
        <w:t xml:space="preserve"> and strategies employed </w:t>
      </w:r>
      <w:r w:rsidR="008A3AEB" w:rsidRPr="000A24D5">
        <w:rPr>
          <w:sz w:val="26"/>
          <w:szCs w:val="26"/>
        </w:rPr>
        <w:t>then</w:t>
      </w:r>
      <w:r w:rsidR="00144211" w:rsidRPr="000A24D5">
        <w:rPr>
          <w:sz w:val="26"/>
          <w:szCs w:val="26"/>
        </w:rPr>
        <w:t xml:space="preserve"> could compromise future plans to defend </w:t>
      </w:r>
      <w:r w:rsidR="008A3AEB" w:rsidRPr="000A24D5">
        <w:rPr>
          <w:sz w:val="26"/>
          <w:szCs w:val="26"/>
        </w:rPr>
        <w:t xml:space="preserve">or secure </w:t>
      </w:r>
      <w:r w:rsidR="00144211" w:rsidRPr="000A24D5">
        <w:rPr>
          <w:sz w:val="26"/>
          <w:szCs w:val="26"/>
        </w:rPr>
        <w:t xml:space="preserve">the territorial integrity of South Africa or the use to the disadvantage of the SANDF in other deployments. </w:t>
      </w:r>
    </w:p>
    <w:p w:rsidR="008A3AEB" w:rsidRPr="008A3AEB" w:rsidRDefault="008A3AEB" w:rsidP="008A3AEB">
      <w:pPr>
        <w:pStyle w:val="ListParagraph"/>
        <w:rPr>
          <w:color w:val="242121"/>
          <w:sz w:val="26"/>
          <w:szCs w:val="26"/>
          <w:lang w:val="en-US"/>
        </w:rPr>
      </w:pPr>
    </w:p>
    <w:p w:rsidR="005D00FF" w:rsidRPr="000A24D5" w:rsidRDefault="000A24D5" w:rsidP="000A24D5">
      <w:pPr>
        <w:spacing w:line="360" w:lineRule="auto"/>
        <w:ind w:firstLine="142"/>
        <w:jc w:val="both"/>
        <w:rPr>
          <w:sz w:val="26"/>
          <w:szCs w:val="26"/>
        </w:rPr>
      </w:pPr>
      <w:r w:rsidRPr="00EB3CD9">
        <w:rPr>
          <w:sz w:val="26"/>
          <w:szCs w:val="26"/>
        </w:rPr>
        <w:t>[45]</w:t>
      </w:r>
      <w:r w:rsidRPr="00EB3CD9">
        <w:rPr>
          <w:sz w:val="26"/>
          <w:szCs w:val="26"/>
        </w:rPr>
        <w:tab/>
      </w:r>
      <w:r w:rsidR="008A3AEB" w:rsidRPr="000A24D5">
        <w:rPr>
          <w:sz w:val="26"/>
          <w:szCs w:val="26"/>
          <w:lang w:val="en-US"/>
        </w:rPr>
        <w:t>The dearth of information provided by the respondents is regrettable as the Court has not been placed in a position to assess the validity of the claims of the respondents, and specifically their reliance on the section 41(1)(a) exemptions. However, I am mindful of</w:t>
      </w:r>
      <w:r w:rsidR="008A3AEB" w:rsidRPr="000A24D5">
        <w:rPr>
          <w:sz w:val="26"/>
          <w:szCs w:val="26"/>
          <w:shd w:val="clear" w:color="auto" w:fill="FFFFFF"/>
        </w:rPr>
        <w:t xml:space="preserve"> the constraints the respondents may have faced in presenting the kind of evidence and information involved in this exemption ground</w:t>
      </w:r>
      <w:r w:rsidR="0086008D" w:rsidRPr="000A24D5">
        <w:rPr>
          <w:sz w:val="26"/>
          <w:szCs w:val="26"/>
          <w:shd w:val="clear" w:color="auto" w:fill="FFFFFF"/>
        </w:rPr>
        <w:t>, an issue which is belatedly mentioned in the</w:t>
      </w:r>
      <w:r w:rsidR="00EB3CD9" w:rsidRPr="000A24D5">
        <w:rPr>
          <w:sz w:val="26"/>
          <w:szCs w:val="26"/>
          <w:shd w:val="clear" w:color="auto" w:fill="FFFFFF"/>
        </w:rPr>
        <w:t>ir</w:t>
      </w:r>
      <w:r w:rsidR="0086008D" w:rsidRPr="000A24D5">
        <w:rPr>
          <w:sz w:val="26"/>
          <w:szCs w:val="26"/>
          <w:shd w:val="clear" w:color="auto" w:fill="FFFFFF"/>
        </w:rPr>
        <w:t xml:space="preserve"> heads of argument</w:t>
      </w:r>
      <w:r w:rsidR="008A3AEB" w:rsidRPr="000A24D5">
        <w:rPr>
          <w:sz w:val="26"/>
          <w:szCs w:val="26"/>
          <w:shd w:val="clear" w:color="auto" w:fill="FFFFFF"/>
        </w:rPr>
        <w:t>.</w:t>
      </w:r>
      <w:r w:rsidR="008A3AEB" w:rsidRPr="00EB3CD9">
        <w:rPr>
          <w:rStyle w:val="FootnoteReference"/>
          <w:sz w:val="26"/>
          <w:szCs w:val="26"/>
          <w:shd w:val="clear" w:color="auto" w:fill="FFFFFF"/>
        </w:rPr>
        <w:footnoteReference w:id="17"/>
      </w:r>
      <w:r w:rsidR="008A3AEB" w:rsidRPr="000A24D5">
        <w:rPr>
          <w:sz w:val="26"/>
          <w:szCs w:val="26"/>
          <w:lang w:val="en-US"/>
        </w:rPr>
        <w:t xml:space="preserve"> After all, if disclosing the type of military equipment and strategies used in the </w:t>
      </w:r>
      <w:r w:rsidR="00914663" w:rsidRPr="000A24D5">
        <w:rPr>
          <w:sz w:val="26"/>
          <w:szCs w:val="26"/>
          <w:lang w:val="en-US"/>
        </w:rPr>
        <w:t>B</w:t>
      </w:r>
      <w:r w:rsidR="008A3AEB" w:rsidRPr="000A24D5">
        <w:rPr>
          <w:sz w:val="26"/>
          <w:szCs w:val="26"/>
          <w:lang w:val="en-US"/>
        </w:rPr>
        <w:t>attle and contained in the BOI could pose a threat to the defence or security of the Republic, that cannot be undone at a later stage. It is in this regard that I am not satisfied that it is possible to make an appropriate order without having regard to the BOI.</w:t>
      </w:r>
      <w:r w:rsidR="00914663" w:rsidRPr="000A24D5">
        <w:rPr>
          <w:sz w:val="26"/>
          <w:szCs w:val="26"/>
          <w:lang w:val="en-US"/>
        </w:rPr>
        <w:t xml:space="preserve"> The applicant foreshadowed the appropriateness of this route </w:t>
      </w:r>
      <w:r w:rsidR="0086008D" w:rsidRPr="000A24D5">
        <w:rPr>
          <w:sz w:val="26"/>
          <w:szCs w:val="26"/>
          <w:lang w:val="en-US"/>
        </w:rPr>
        <w:t xml:space="preserve">in his papers and heads of argument </w:t>
      </w:r>
      <w:r w:rsidR="00914663" w:rsidRPr="000A24D5">
        <w:rPr>
          <w:sz w:val="26"/>
          <w:szCs w:val="26"/>
          <w:lang w:val="en-US"/>
        </w:rPr>
        <w:t>and suggested it as alternative relief.</w:t>
      </w:r>
    </w:p>
    <w:p w:rsidR="008A3AEB" w:rsidRPr="008A3AEB" w:rsidRDefault="008A3AEB" w:rsidP="008A3AEB">
      <w:pPr>
        <w:pStyle w:val="ListParagraph"/>
        <w:rPr>
          <w:sz w:val="26"/>
          <w:szCs w:val="26"/>
          <w:lang w:val="en-US"/>
        </w:rPr>
      </w:pPr>
    </w:p>
    <w:p w:rsidR="005D00FF" w:rsidRPr="000A24D5" w:rsidRDefault="000A24D5" w:rsidP="000A24D5">
      <w:pPr>
        <w:spacing w:line="360" w:lineRule="auto"/>
        <w:ind w:firstLine="142"/>
        <w:jc w:val="both"/>
        <w:rPr>
          <w:sz w:val="26"/>
          <w:szCs w:val="26"/>
        </w:rPr>
      </w:pPr>
      <w:r w:rsidRPr="00ED0412">
        <w:rPr>
          <w:sz w:val="26"/>
          <w:szCs w:val="26"/>
        </w:rPr>
        <w:t>[46]</w:t>
      </w:r>
      <w:r w:rsidRPr="00ED0412">
        <w:rPr>
          <w:sz w:val="26"/>
          <w:szCs w:val="26"/>
        </w:rPr>
        <w:tab/>
      </w:r>
      <w:r w:rsidR="008A3AEB" w:rsidRPr="000A24D5">
        <w:rPr>
          <w:sz w:val="26"/>
          <w:szCs w:val="26"/>
          <w:lang w:val="en-US"/>
        </w:rPr>
        <w:t xml:space="preserve">I am accordingly of the view that </w:t>
      </w:r>
      <w:r w:rsidR="008A3AEB" w:rsidRPr="000A24D5">
        <w:rPr>
          <w:sz w:val="26"/>
          <w:szCs w:val="26"/>
        </w:rPr>
        <w:t xml:space="preserve">this is </w:t>
      </w:r>
      <w:r w:rsidR="008A3AEB" w:rsidRPr="000A24D5">
        <w:rPr>
          <w:sz w:val="26"/>
          <w:szCs w:val="26"/>
          <w:lang w:val="en-US"/>
        </w:rPr>
        <w:t>an appropriate case for th</w:t>
      </w:r>
      <w:r w:rsidR="005D00FF" w:rsidRPr="000A24D5">
        <w:rPr>
          <w:sz w:val="26"/>
          <w:szCs w:val="26"/>
          <w:lang w:val="en-US"/>
        </w:rPr>
        <w:t>e</w:t>
      </w:r>
      <w:r w:rsidR="008A3AEB" w:rsidRPr="000A24D5">
        <w:rPr>
          <w:sz w:val="26"/>
          <w:szCs w:val="26"/>
          <w:lang w:val="en-US"/>
        </w:rPr>
        <w:t xml:space="preserve"> Court to exercise its </w:t>
      </w:r>
      <w:r w:rsidR="008A3AEB" w:rsidRPr="000A24D5">
        <w:rPr>
          <w:sz w:val="26"/>
          <w:szCs w:val="26"/>
          <w:shd w:val="clear" w:color="auto" w:fill="FFFFFF"/>
        </w:rPr>
        <w:t xml:space="preserve">discretion </w:t>
      </w:r>
      <w:r w:rsidR="008A3AEB" w:rsidRPr="000A24D5">
        <w:rPr>
          <w:sz w:val="26"/>
          <w:szCs w:val="26"/>
          <w:lang w:val="en-US"/>
        </w:rPr>
        <w:t>in terms of section 80 to</w:t>
      </w:r>
      <w:r w:rsidR="008A3AEB" w:rsidRPr="000A24D5">
        <w:rPr>
          <w:sz w:val="26"/>
          <w:szCs w:val="26"/>
          <w:shd w:val="clear" w:color="auto" w:fill="FFFFFF"/>
        </w:rPr>
        <w:t xml:space="preserve"> examine </w:t>
      </w:r>
      <w:r w:rsidR="008A3AEB" w:rsidRPr="000A24D5">
        <w:rPr>
          <w:sz w:val="26"/>
          <w:szCs w:val="26"/>
        </w:rPr>
        <w:t>the BOI</w:t>
      </w:r>
      <w:r w:rsidR="008A3AEB" w:rsidRPr="000A24D5">
        <w:rPr>
          <w:sz w:val="26"/>
          <w:szCs w:val="26"/>
          <w:shd w:val="clear" w:color="auto" w:fill="FFFFFF"/>
        </w:rPr>
        <w:t xml:space="preserve"> – to take a judicial peek into it. </w:t>
      </w:r>
      <w:r w:rsidR="008A3AEB" w:rsidRPr="000A24D5">
        <w:rPr>
          <w:sz w:val="26"/>
          <w:szCs w:val="26"/>
          <w:lang w:val="en-US"/>
        </w:rPr>
        <w:t>This is the kind of case where the Court would be better able to assess the validity of the ground</w:t>
      </w:r>
      <w:r w:rsidR="00914663" w:rsidRPr="000A24D5">
        <w:rPr>
          <w:sz w:val="26"/>
          <w:szCs w:val="26"/>
          <w:lang w:val="en-US"/>
        </w:rPr>
        <w:t>s</w:t>
      </w:r>
      <w:r w:rsidR="008A3AEB" w:rsidRPr="000A24D5">
        <w:rPr>
          <w:sz w:val="26"/>
          <w:szCs w:val="26"/>
          <w:lang w:val="en-US"/>
        </w:rPr>
        <w:t xml:space="preserve"> relied upon by the respondents if further </w:t>
      </w:r>
      <w:r w:rsidR="005D00FF" w:rsidRPr="000A24D5">
        <w:rPr>
          <w:sz w:val="26"/>
          <w:szCs w:val="26"/>
          <w:lang w:val="en-US"/>
        </w:rPr>
        <w:t xml:space="preserve">information or </w:t>
      </w:r>
      <w:r w:rsidR="008A3AEB" w:rsidRPr="000A24D5">
        <w:rPr>
          <w:sz w:val="26"/>
          <w:szCs w:val="26"/>
          <w:lang w:val="en-US"/>
        </w:rPr>
        <w:t>evidence is given regarding the questions I have already outlined above</w:t>
      </w:r>
      <w:r w:rsidR="005D00FF" w:rsidRPr="000A24D5">
        <w:rPr>
          <w:sz w:val="26"/>
          <w:szCs w:val="26"/>
          <w:lang w:val="en-US"/>
        </w:rPr>
        <w:t>, and any others which may arise once regard is had to the BOI in</w:t>
      </w:r>
      <w:r w:rsidR="008A3AEB" w:rsidRPr="000A24D5">
        <w:rPr>
          <w:sz w:val="26"/>
          <w:szCs w:val="26"/>
          <w:shd w:val="clear" w:color="auto" w:fill="FFFFFF"/>
        </w:rPr>
        <w:t xml:space="preserve"> terms of section 80(3)</w:t>
      </w:r>
      <w:r w:rsidR="005D00FF" w:rsidRPr="000A24D5">
        <w:rPr>
          <w:sz w:val="26"/>
          <w:szCs w:val="26"/>
          <w:shd w:val="clear" w:color="auto" w:fill="FFFFFF"/>
        </w:rPr>
        <w:t xml:space="preserve">. </w:t>
      </w:r>
    </w:p>
    <w:p w:rsidR="005D00FF" w:rsidRPr="005D00FF" w:rsidRDefault="005D00FF" w:rsidP="005D00FF">
      <w:pPr>
        <w:pStyle w:val="ListParagraph"/>
        <w:rPr>
          <w:color w:val="333333"/>
          <w:sz w:val="26"/>
          <w:szCs w:val="26"/>
          <w:shd w:val="clear" w:color="auto" w:fill="FFFFFF"/>
        </w:rPr>
      </w:pPr>
    </w:p>
    <w:p w:rsidR="005D00FF" w:rsidRPr="000A24D5" w:rsidRDefault="000A24D5" w:rsidP="000A24D5">
      <w:pPr>
        <w:spacing w:line="360" w:lineRule="auto"/>
        <w:ind w:firstLine="142"/>
        <w:jc w:val="both"/>
        <w:rPr>
          <w:color w:val="000000" w:themeColor="text1"/>
          <w:sz w:val="26"/>
          <w:szCs w:val="26"/>
        </w:rPr>
      </w:pPr>
      <w:r w:rsidRPr="00914663">
        <w:rPr>
          <w:color w:val="000000" w:themeColor="text1"/>
          <w:sz w:val="26"/>
          <w:szCs w:val="26"/>
        </w:rPr>
        <w:t>[47]</w:t>
      </w:r>
      <w:r w:rsidRPr="00914663">
        <w:rPr>
          <w:color w:val="000000" w:themeColor="text1"/>
          <w:sz w:val="26"/>
          <w:szCs w:val="26"/>
        </w:rPr>
        <w:tab/>
      </w:r>
      <w:r w:rsidR="005D00FF" w:rsidRPr="000A24D5">
        <w:rPr>
          <w:color w:val="000000" w:themeColor="text1"/>
          <w:sz w:val="26"/>
          <w:szCs w:val="26"/>
          <w:shd w:val="clear" w:color="auto" w:fill="FFFFFF"/>
        </w:rPr>
        <w:t xml:space="preserve">Not only will such an order be </w:t>
      </w:r>
      <w:r w:rsidR="008A3AEB" w:rsidRPr="000A24D5">
        <w:rPr>
          <w:color w:val="000000" w:themeColor="text1"/>
          <w:sz w:val="26"/>
          <w:szCs w:val="26"/>
        </w:rPr>
        <w:t>in the interests of justice</w:t>
      </w:r>
      <w:r w:rsidR="008A3AEB" w:rsidRPr="00914663">
        <w:rPr>
          <w:rStyle w:val="FootnoteReference"/>
          <w:color w:val="000000" w:themeColor="text1"/>
          <w:sz w:val="26"/>
          <w:szCs w:val="26"/>
          <w:shd w:val="clear" w:color="auto" w:fill="FFFFFF"/>
        </w:rPr>
        <w:footnoteReference w:id="18"/>
      </w:r>
      <w:r w:rsidR="005D00FF" w:rsidRPr="000A24D5">
        <w:rPr>
          <w:color w:val="000000" w:themeColor="text1"/>
          <w:sz w:val="26"/>
          <w:szCs w:val="26"/>
          <w:lang w:val="en-US"/>
        </w:rPr>
        <w:t xml:space="preserve"> taking into account the concerns of the parties involved in this case, but</w:t>
      </w:r>
      <w:r w:rsidR="008A3AEB" w:rsidRPr="000A24D5">
        <w:rPr>
          <w:color w:val="000000" w:themeColor="text1"/>
          <w:sz w:val="26"/>
          <w:szCs w:val="26"/>
          <w:lang w:val="en-US"/>
        </w:rPr>
        <w:t xml:space="preserve"> </w:t>
      </w:r>
      <w:r w:rsidR="005D00FF" w:rsidRPr="000A24D5">
        <w:rPr>
          <w:color w:val="000000" w:themeColor="text1"/>
          <w:sz w:val="26"/>
          <w:szCs w:val="26"/>
          <w:lang w:val="en-US"/>
        </w:rPr>
        <w:t xml:space="preserve">it </w:t>
      </w:r>
      <w:r w:rsidR="008A3AEB" w:rsidRPr="000A24D5">
        <w:rPr>
          <w:color w:val="000000" w:themeColor="text1"/>
          <w:sz w:val="26"/>
          <w:szCs w:val="26"/>
          <w:shd w:val="clear" w:color="auto" w:fill="FFFFFF"/>
          <w:lang w:val="en-US"/>
        </w:rPr>
        <w:t xml:space="preserve">will assist the Court in determining, in terms of section 46, whether </w:t>
      </w:r>
      <w:r w:rsidR="005D00FF" w:rsidRPr="000A24D5">
        <w:rPr>
          <w:color w:val="000000" w:themeColor="text1"/>
          <w:sz w:val="26"/>
          <w:szCs w:val="26"/>
          <w:shd w:val="clear" w:color="auto" w:fill="FFFFFF"/>
          <w:lang w:val="en-US"/>
        </w:rPr>
        <w:t xml:space="preserve">ultimately </w:t>
      </w:r>
      <w:r w:rsidR="008A3AEB" w:rsidRPr="000A24D5">
        <w:rPr>
          <w:color w:val="000000" w:themeColor="text1"/>
          <w:sz w:val="26"/>
          <w:szCs w:val="26"/>
          <w:shd w:val="clear" w:color="auto" w:fill="FFFFFF"/>
          <w:lang w:val="en-US"/>
        </w:rPr>
        <w:t xml:space="preserve">the </w:t>
      </w:r>
      <w:r w:rsidR="008A3AEB" w:rsidRPr="000A24D5">
        <w:rPr>
          <w:color w:val="000000" w:themeColor="text1"/>
          <w:sz w:val="26"/>
          <w:szCs w:val="26"/>
          <w:shd w:val="clear" w:color="auto" w:fill="FFFFFF"/>
        </w:rPr>
        <w:t>public interest in the disclosure of the BOI outweighs the harm contemplated in section 41.</w:t>
      </w:r>
      <w:r w:rsidR="005D00FF" w:rsidRPr="000A24D5">
        <w:rPr>
          <w:color w:val="000000" w:themeColor="text1"/>
          <w:sz w:val="26"/>
          <w:szCs w:val="26"/>
          <w:shd w:val="clear" w:color="auto" w:fill="FFFFFF"/>
        </w:rPr>
        <w:t xml:space="preserve"> </w:t>
      </w:r>
    </w:p>
    <w:p w:rsidR="005D00FF" w:rsidRPr="005D00FF" w:rsidRDefault="005D00FF" w:rsidP="005D00FF">
      <w:pPr>
        <w:pStyle w:val="ListParagraph"/>
        <w:rPr>
          <w:color w:val="000000" w:themeColor="text1"/>
          <w:sz w:val="26"/>
          <w:szCs w:val="26"/>
          <w:lang w:val="en-US"/>
        </w:rPr>
      </w:pPr>
    </w:p>
    <w:p w:rsidR="008A3AEB" w:rsidRPr="000A24D5" w:rsidRDefault="000A24D5" w:rsidP="000A24D5">
      <w:pPr>
        <w:spacing w:line="360" w:lineRule="auto"/>
        <w:ind w:left="720" w:hanging="720"/>
        <w:jc w:val="both"/>
        <w:rPr>
          <w:b/>
          <w:bCs/>
          <w:color w:val="000000" w:themeColor="text1"/>
          <w:sz w:val="26"/>
          <w:szCs w:val="26"/>
          <w:u w:val="single"/>
        </w:rPr>
      </w:pPr>
      <w:r w:rsidRPr="00914663">
        <w:rPr>
          <w:b/>
          <w:bCs/>
          <w:color w:val="000000" w:themeColor="text1"/>
          <w:sz w:val="26"/>
          <w:szCs w:val="26"/>
        </w:rPr>
        <w:t>F.</w:t>
      </w:r>
      <w:r w:rsidRPr="00914663">
        <w:rPr>
          <w:b/>
          <w:bCs/>
          <w:color w:val="000000" w:themeColor="text1"/>
          <w:sz w:val="26"/>
          <w:szCs w:val="26"/>
        </w:rPr>
        <w:tab/>
      </w:r>
      <w:r w:rsidR="008A3AEB" w:rsidRPr="000A24D5">
        <w:rPr>
          <w:b/>
          <w:bCs/>
          <w:color w:val="000000" w:themeColor="text1"/>
          <w:sz w:val="26"/>
          <w:szCs w:val="26"/>
          <w:u w:val="single"/>
        </w:rPr>
        <w:t>ORDER</w:t>
      </w:r>
    </w:p>
    <w:p w:rsidR="00914663" w:rsidRPr="000A24D5" w:rsidRDefault="000A24D5" w:rsidP="000A24D5">
      <w:pPr>
        <w:spacing w:line="360" w:lineRule="auto"/>
        <w:ind w:firstLine="142"/>
        <w:jc w:val="both"/>
        <w:rPr>
          <w:color w:val="000000" w:themeColor="text1"/>
          <w:sz w:val="26"/>
          <w:szCs w:val="26"/>
        </w:rPr>
      </w:pPr>
      <w:r>
        <w:rPr>
          <w:color w:val="000000" w:themeColor="text1"/>
          <w:sz w:val="26"/>
          <w:szCs w:val="26"/>
        </w:rPr>
        <w:t>[48]</w:t>
      </w:r>
      <w:r>
        <w:rPr>
          <w:color w:val="000000" w:themeColor="text1"/>
          <w:sz w:val="26"/>
          <w:szCs w:val="26"/>
        </w:rPr>
        <w:tab/>
      </w:r>
      <w:r w:rsidR="008A3AEB" w:rsidRPr="000A24D5">
        <w:rPr>
          <w:color w:val="000000" w:themeColor="text1"/>
          <w:sz w:val="26"/>
          <w:szCs w:val="26"/>
        </w:rPr>
        <w:t xml:space="preserve">In the circumstances, </w:t>
      </w:r>
      <w:r w:rsidR="00914663" w:rsidRPr="000A24D5">
        <w:rPr>
          <w:color w:val="000000" w:themeColor="text1"/>
          <w:sz w:val="26"/>
          <w:szCs w:val="26"/>
        </w:rPr>
        <w:t>the following order is made:</w:t>
      </w:r>
    </w:p>
    <w:p w:rsidR="00914663" w:rsidRDefault="00914663" w:rsidP="00914663">
      <w:pPr>
        <w:pStyle w:val="ListParagraph"/>
        <w:spacing w:line="360" w:lineRule="auto"/>
        <w:ind w:left="1440"/>
        <w:jc w:val="both"/>
        <w:rPr>
          <w:color w:val="000000" w:themeColor="text1"/>
          <w:sz w:val="26"/>
          <w:szCs w:val="26"/>
        </w:rPr>
      </w:pPr>
    </w:p>
    <w:p w:rsidR="008A3AEB" w:rsidRPr="000A24D5" w:rsidRDefault="000A24D5" w:rsidP="000A24D5">
      <w:pPr>
        <w:spacing w:line="276" w:lineRule="auto"/>
        <w:ind w:left="1440" w:hanging="360"/>
        <w:jc w:val="both"/>
        <w:rPr>
          <w:color w:val="000000" w:themeColor="text1"/>
        </w:rPr>
      </w:pPr>
      <w:r w:rsidRPr="00914663">
        <w:rPr>
          <w:color w:val="000000" w:themeColor="text1"/>
        </w:rPr>
        <w:t>a.</w:t>
      </w:r>
      <w:r w:rsidRPr="00914663">
        <w:rPr>
          <w:color w:val="000000" w:themeColor="text1"/>
        </w:rPr>
        <w:tab/>
      </w:r>
      <w:r w:rsidR="00914663" w:rsidRPr="000A24D5">
        <w:rPr>
          <w:color w:val="000000" w:themeColor="text1"/>
        </w:rPr>
        <w:t xml:space="preserve">The respondents are ordered, in terms of section 80 of the Promotion of Access to Information Act 2 of 2000, </w:t>
      </w:r>
      <w:r w:rsidR="005D00FF" w:rsidRPr="000A24D5">
        <w:rPr>
          <w:color w:val="000000" w:themeColor="text1"/>
        </w:rPr>
        <w:t xml:space="preserve">to deliver to the chambers of Mangcu-Lockwood J by end of 8 March 2024, the SANDF Board of Inquiry into the </w:t>
      </w:r>
      <w:r w:rsidR="005D00FF" w:rsidRPr="000A24D5">
        <w:rPr>
          <w:color w:val="000000" w:themeColor="text1"/>
          <w:lang w:val="en-US"/>
        </w:rPr>
        <w:t>events commonly referred to as the Battle of Bangui which took place in the Central African Republic between 22 and 24 March 2013.</w:t>
      </w:r>
    </w:p>
    <w:p w:rsidR="00914663" w:rsidRPr="00914663" w:rsidRDefault="00914663" w:rsidP="00914663">
      <w:pPr>
        <w:pStyle w:val="ListParagraph"/>
        <w:spacing w:line="276" w:lineRule="auto"/>
        <w:ind w:left="1440"/>
        <w:jc w:val="both"/>
        <w:rPr>
          <w:color w:val="000000" w:themeColor="text1"/>
        </w:rPr>
      </w:pPr>
    </w:p>
    <w:p w:rsidR="00914663" w:rsidRPr="000A24D5" w:rsidRDefault="000A24D5" w:rsidP="000A24D5">
      <w:pPr>
        <w:spacing w:line="276" w:lineRule="auto"/>
        <w:ind w:left="1440" w:hanging="360"/>
        <w:jc w:val="both"/>
        <w:rPr>
          <w:color w:val="000000" w:themeColor="text1"/>
        </w:rPr>
      </w:pPr>
      <w:r w:rsidRPr="00914663">
        <w:rPr>
          <w:color w:val="000000" w:themeColor="text1"/>
        </w:rPr>
        <w:t>b.</w:t>
      </w:r>
      <w:r w:rsidRPr="00914663">
        <w:rPr>
          <w:color w:val="000000" w:themeColor="text1"/>
        </w:rPr>
        <w:tab/>
      </w:r>
      <w:r w:rsidR="00914663" w:rsidRPr="000A24D5">
        <w:rPr>
          <w:color w:val="000000" w:themeColor="text1"/>
          <w:lang w:val="en-US"/>
        </w:rPr>
        <w:t>Costs are reserved</w:t>
      </w:r>
      <w:r w:rsidR="00224D2B" w:rsidRPr="000A24D5">
        <w:rPr>
          <w:color w:val="000000" w:themeColor="text1"/>
          <w:lang w:val="en-US"/>
        </w:rPr>
        <w:t xml:space="preserve"> for later determination</w:t>
      </w:r>
      <w:r w:rsidR="00914663" w:rsidRPr="000A24D5">
        <w:rPr>
          <w:color w:val="000000" w:themeColor="text1"/>
          <w:lang w:val="en-US"/>
        </w:rPr>
        <w:t>.</w:t>
      </w:r>
    </w:p>
    <w:p w:rsidR="008A3AEB" w:rsidRPr="00914663" w:rsidRDefault="008A3AEB" w:rsidP="00914663">
      <w:pPr>
        <w:pStyle w:val="ListParagraph"/>
        <w:spacing w:line="276" w:lineRule="auto"/>
        <w:rPr>
          <w:color w:val="000000" w:themeColor="text1"/>
        </w:rPr>
      </w:pPr>
    </w:p>
    <w:p w:rsidR="00DE0AD4" w:rsidRDefault="00DE0AD4" w:rsidP="00DE0AD4">
      <w:pPr>
        <w:spacing w:line="360" w:lineRule="auto"/>
        <w:jc w:val="both"/>
      </w:pPr>
    </w:p>
    <w:p w:rsidR="00DE0AD4" w:rsidRDefault="00DE0AD4" w:rsidP="00DE0AD4">
      <w:pPr>
        <w:spacing w:line="360" w:lineRule="auto"/>
        <w:jc w:val="both"/>
      </w:pPr>
    </w:p>
    <w:p w:rsidR="00DE0AD4" w:rsidRDefault="00DE0AD4" w:rsidP="00DE0AD4">
      <w:pPr>
        <w:spacing w:line="360" w:lineRule="auto"/>
        <w:jc w:val="right"/>
      </w:pPr>
      <w:r>
        <w:t>_________________________</w:t>
      </w:r>
    </w:p>
    <w:p w:rsidR="00DE0AD4" w:rsidRPr="00281028" w:rsidRDefault="00DE0AD4" w:rsidP="00DE0AD4">
      <w:pPr>
        <w:contextualSpacing/>
        <w:jc w:val="right"/>
        <w:rPr>
          <w:b/>
          <w:sz w:val="26"/>
          <w:szCs w:val="26"/>
        </w:rPr>
      </w:pPr>
      <w:r w:rsidRPr="00281028">
        <w:rPr>
          <w:b/>
          <w:sz w:val="26"/>
          <w:szCs w:val="26"/>
        </w:rPr>
        <w:t>N. MANGCU-LOCKWOOD</w:t>
      </w:r>
    </w:p>
    <w:p w:rsidR="00DE0AD4" w:rsidRPr="00331723" w:rsidRDefault="00DE0AD4" w:rsidP="00DE0AD4">
      <w:pPr>
        <w:contextualSpacing/>
        <w:jc w:val="right"/>
      </w:pPr>
      <w:r w:rsidRPr="00281028">
        <w:rPr>
          <w:b/>
          <w:sz w:val="26"/>
          <w:szCs w:val="26"/>
        </w:rPr>
        <w:t>Judge of the High Court</w:t>
      </w:r>
    </w:p>
    <w:p w:rsidR="00DE0AD4" w:rsidRDefault="00DE0AD4" w:rsidP="00DE0AD4">
      <w:pPr>
        <w:spacing w:line="360" w:lineRule="auto"/>
        <w:jc w:val="both"/>
      </w:pPr>
    </w:p>
    <w:p w:rsidR="009D0407" w:rsidRDefault="009D0407" w:rsidP="00DE0AD4">
      <w:pPr>
        <w:spacing w:line="360" w:lineRule="auto"/>
        <w:jc w:val="both"/>
      </w:pPr>
    </w:p>
    <w:p w:rsidR="009D0407" w:rsidRDefault="009D0407" w:rsidP="00DE0AD4">
      <w:pPr>
        <w:spacing w:line="360" w:lineRule="auto"/>
        <w:jc w:val="both"/>
        <w:rPr>
          <w:b/>
        </w:rPr>
      </w:pPr>
      <w:r w:rsidRPr="009D0407">
        <w:rPr>
          <w:b/>
        </w:rPr>
        <w:t>APPEARANCES</w:t>
      </w:r>
    </w:p>
    <w:p w:rsidR="009D0407" w:rsidRDefault="009D0407" w:rsidP="00DE0AD4">
      <w:pPr>
        <w:spacing w:line="360" w:lineRule="auto"/>
        <w:jc w:val="both"/>
        <w:rPr>
          <w:b/>
        </w:rPr>
      </w:pPr>
    </w:p>
    <w:p w:rsidR="009D0407" w:rsidRDefault="009D0407" w:rsidP="00DE0AD4">
      <w:pPr>
        <w:spacing w:line="360" w:lineRule="auto"/>
        <w:jc w:val="both"/>
        <w:rPr>
          <w:b/>
        </w:rPr>
      </w:pPr>
      <w:r>
        <w:rPr>
          <w:b/>
        </w:rPr>
        <w:t>For the applicant</w:t>
      </w:r>
      <w:r>
        <w:rPr>
          <w:b/>
        </w:rPr>
        <w:tab/>
        <w:t>:</w:t>
      </w:r>
      <w:r>
        <w:rPr>
          <w:b/>
        </w:rPr>
        <w:tab/>
        <w:t>Adv J De Waal SC</w:t>
      </w:r>
    </w:p>
    <w:p w:rsidR="009D0407" w:rsidRDefault="009D0407" w:rsidP="00DE0AD4">
      <w:pPr>
        <w:spacing w:line="360" w:lineRule="auto"/>
        <w:jc w:val="both"/>
        <w:rPr>
          <w:b/>
        </w:rPr>
      </w:pPr>
      <w:r>
        <w:rPr>
          <w:b/>
        </w:rPr>
        <w:tab/>
      </w:r>
      <w:r>
        <w:rPr>
          <w:b/>
        </w:rPr>
        <w:tab/>
      </w:r>
      <w:r>
        <w:rPr>
          <w:b/>
        </w:rPr>
        <w:tab/>
      </w:r>
      <w:r>
        <w:rPr>
          <w:b/>
        </w:rPr>
        <w:tab/>
        <w:t>Adv P Myburgh</w:t>
      </w:r>
    </w:p>
    <w:p w:rsidR="009D0407" w:rsidRDefault="009D0407" w:rsidP="00DE0AD4">
      <w:pPr>
        <w:spacing w:line="360" w:lineRule="auto"/>
        <w:jc w:val="both"/>
        <w:rPr>
          <w:b/>
        </w:rPr>
      </w:pPr>
    </w:p>
    <w:p w:rsidR="009D0407" w:rsidRDefault="009D0407" w:rsidP="00DE0AD4">
      <w:pPr>
        <w:spacing w:line="360" w:lineRule="auto"/>
        <w:jc w:val="both"/>
        <w:rPr>
          <w:b/>
        </w:rPr>
      </w:pPr>
      <w:r>
        <w:rPr>
          <w:b/>
        </w:rPr>
        <w:t>Instructed by</w:t>
      </w:r>
      <w:r>
        <w:rPr>
          <w:b/>
        </w:rPr>
        <w:tab/>
      </w:r>
      <w:r>
        <w:rPr>
          <w:b/>
        </w:rPr>
        <w:tab/>
        <w:t>:</w:t>
      </w:r>
      <w:r>
        <w:rPr>
          <w:b/>
        </w:rPr>
        <w:tab/>
        <w:t>R. Davis</w:t>
      </w:r>
    </w:p>
    <w:p w:rsidR="009D0407" w:rsidRDefault="009D0407" w:rsidP="00DE0AD4">
      <w:pPr>
        <w:spacing w:line="360" w:lineRule="auto"/>
        <w:jc w:val="both"/>
        <w:rPr>
          <w:b/>
        </w:rPr>
      </w:pPr>
      <w:r>
        <w:rPr>
          <w:b/>
        </w:rPr>
        <w:tab/>
      </w:r>
      <w:r>
        <w:rPr>
          <w:b/>
        </w:rPr>
        <w:tab/>
      </w:r>
      <w:r>
        <w:rPr>
          <w:b/>
        </w:rPr>
        <w:tab/>
      </w:r>
      <w:r>
        <w:rPr>
          <w:b/>
        </w:rPr>
        <w:tab/>
        <w:t>Eversheds Sutherland</w:t>
      </w:r>
    </w:p>
    <w:p w:rsidR="009D0407" w:rsidRDefault="009D0407" w:rsidP="00DE0AD4">
      <w:pPr>
        <w:spacing w:line="360" w:lineRule="auto"/>
        <w:jc w:val="both"/>
        <w:rPr>
          <w:b/>
        </w:rPr>
      </w:pPr>
    </w:p>
    <w:p w:rsidR="009D0407" w:rsidRDefault="009D0407" w:rsidP="00DE0AD4">
      <w:pPr>
        <w:spacing w:line="360" w:lineRule="auto"/>
        <w:jc w:val="both"/>
        <w:rPr>
          <w:b/>
        </w:rPr>
      </w:pPr>
      <w:r>
        <w:rPr>
          <w:b/>
        </w:rPr>
        <w:t>For the respondents</w:t>
      </w:r>
      <w:r>
        <w:rPr>
          <w:b/>
        </w:rPr>
        <w:tab/>
        <w:t>:</w:t>
      </w:r>
      <w:r>
        <w:rPr>
          <w:b/>
        </w:rPr>
        <w:tab/>
        <w:t>Adv W Mokhare SC</w:t>
      </w:r>
    </w:p>
    <w:p w:rsidR="009D0407" w:rsidRDefault="009D0407" w:rsidP="00DE0AD4">
      <w:pPr>
        <w:spacing w:line="360" w:lineRule="auto"/>
        <w:jc w:val="both"/>
        <w:rPr>
          <w:b/>
        </w:rPr>
      </w:pPr>
    </w:p>
    <w:p w:rsidR="009D0407" w:rsidRPr="009D0407" w:rsidRDefault="009D0407" w:rsidP="00DE0AD4">
      <w:pPr>
        <w:spacing w:line="360" w:lineRule="auto"/>
        <w:jc w:val="both"/>
        <w:rPr>
          <w:b/>
        </w:rPr>
      </w:pPr>
      <w:r>
        <w:rPr>
          <w:b/>
        </w:rPr>
        <w:t>Instructed by</w:t>
      </w:r>
      <w:r>
        <w:rPr>
          <w:b/>
        </w:rPr>
        <w:tab/>
      </w:r>
      <w:r>
        <w:rPr>
          <w:b/>
        </w:rPr>
        <w:tab/>
        <w:t>:</w:t>
      </w:r>
      <w:r>
        <w:rPr>
          <w:b/>
        </w:rPr>
        <w:tab/>
        <w:t>The Office of the State Attorney Cape Town</w:t>
      </w:r>
    </w:p>
    <w:sectPr w:rsidR="009D0407" w:rsidRPr="009D0407" w:rsidSect="00567C8C">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9C" w:rsidRDefault="00A2149C" w:rsidP="00D65FD0">
      <w:r>
        <w:separator/>
      </w:r>
    </w:p>
  </w:endnote>
  <w:endnote w:type="continuationSeparator" w:id="0">
    <w:p w:rsidR="00A2149C" w:rsidRDefault="00A2149C" w:rsidP="00D6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9C" w:rsidRDefault="00A2149C" w:rsidP="00D65FD0">
      <w:r>
        <w:separator/>
      </w:r>
    </w:p>
  </w:footnote>
  <w:footnote w:type="continuationSeparator" w:id="0">
    <w:p w:rsidR="00A2149C" w:rsidRDefault="00A2149C" w:rsidP="00D65FD0">
      <w:r>
        <w:continuationSeparator/>
      </w:r>
    </w:p>
  </w:footnote>
  <w:footnote w:id="1">
    <w:p w:rsidR="007C7C7E" w:rsidRPr="006F399B" w:rsidRDefault="007C7C7E" w:rsidP="007C7C7E">
      <w:pPr>
        <w:pStyle w:val="FootnoteText"/>
        <w:rPr>
          <w:lang w:val="en-US"/>
        </w:rPr>
      </w:pPr>
      <w:r w:rsidRPr="006F399B">
        <w:rPr>
          <w:rStyle w:val="FootnoteReference"/>
          <w:color w:val="000000" w:themeColor="text1"/>
        </w:rPr>
        <w:footnoteRef/>
      </w:r>
      <w:r w:rsidRPr="006F399B">
        <w:rPr>
          <w:color w:val="000000" w:themeColor="text1"/>
        </w:rPr>
        <w:t xml:space="preserve"> </w:t>
      </w:r>
      <w:r w:rsidRPr="006F399B">
        <w:rPr>
          <w:color w:val="000000" w:themeColor="text1"/>
          <w:lang w:val="en-US"/>
        </w:rPr>
        <w:t>Except when dealing with sections 34 and 63.</w:t>
      </w:r>
      <w:r>
        <w:rPr>
          <w:color w:val="000000" w:themeColor="text1"/>
          <w:lang w:val="en-US"/>
        </w:rPr>
        <w:t xml:space="preserve"> See also </w:t>
      </w:r>
      <w:r w:rsidRPr="009A4EC3">
        <w:t>section 3(4) of the Promotion of Access to Information Rules and Administrative Review Rules, 2019</w:t>
      </w:r>
      <w:r w:rsidRPr="007C7C7E">
        <w:rPr>
          <w:color w:val="000000" w:themeColor="text1"/>
          <w:sz w:val="26"/>
          <w:szCs w:val="26"/>
        </w:rPr>
        <w:t>.</w:t>
      </w:r>
    </w:p>
  </w:footnote>
  <w:footnote w:id="2">
    <w:p w:rsidR="00EA3766" w:rsidRPr="00470A35" w:rsidRDefault="00EA3766" w:rsidP="00EA3766">
      <w:pPr>
        <w:pStyle w:val="FootnoteText"/>
        <w:rPr>
          <w:lang w:val="en-US"/>
        </w:rPr>
      </w:pPr>
      <w:r w:rsidRPr="00470A35">
        <w:rPr>
          <w:rStyle w:val="FootnoteReference"/>
        </w:rPr>
        <w:footnoteRef/>
      </w:r>
      <w:r w:rsidRPr="00470A35">
        <w:t xml:space="preserve"> </w:t>
      </w:r>
      <w:r w:rsidRPr="00470A35">
        <w:rPr>
          <w:lang w:val="en-US"/>
        </w:rPr>
        <w:t>Section 32(1)(a).</w:t>
      </w:r>
    </w:p>
  </w:footnote>
  <w:footnote w:id="3">
    <w:p w:rsidR="00EA3766" w:rsidRPr="00470A35" w:rsidRDefault="00EA3766" w:rsidP="00EA3766">
      <w:pPr>
        <w:pStyle w:val="Heading2"/>
        <w:shd w:val="clear" w:color="auto" w:fill="FFFFFF"/>
        <w:spacing w:before="240" w:after="180"/>
        <w:rPr>
          <w:rFonts w:ascii="Times New Roman" w:hAnsi="Times New Roman" w:cs="Times New Roman"/>
          <w:color w:val="000000" w:themeColor="text1"/>
          <w:sz w:val="20"/>
          <w:szCs w:val="20"/>
        </w:rPr>
      </w:pPr>
      <w:r w:rsidRPr="00470A35">
        <w:rPr>
          <w:rStyle w:val="FootnoteReference"/>
          <w:rFonts w:ascii="Times New Roman" w:hAnsi="Times New Roman" w:cs="Times New Roman"/>
          <w:color w:val="000000" w:themeColor="text1"/>
          <w:sz w:val="20"/>
          <w:szCs w:val="20"/>
        </w:rPr>
        <w:footnoteRef/>
      </w:r>
      <w:r w:rsidRPr="00470A35">
        <w:rPr>
          <w:rFonts w:ascii="Times New Roman" w:hAnsi="Times New Roman" w:cs="Times New Roman"/>
          <w:color w:val="000000" w:themeColor="text1"/>
          <w:sz w:val="20"/>
          <w:szCs w:val="20"/>
        </w:rPr>
        <w:t xml:space="preserve"> </w:t>
      </w:r>
      <w:r w:rsidRPr="00470A35">
        <w:rPr>
          <w:rFonts w:ascii="Times New Roman" w:hAnsi="Times New Roman" w:cs="Times New Roman"/>
          <w:i/>
          <w:iCs/>
          <w:color w:val="000000" w:themeColor="text1"/>
          <w:sz w:val="20"/>
          <w:szCs w:val="20"/>
        </w:rPr>
        <w:t>President of the Republic of South Africa and Others v M &amp; G Media Ltd</w:t>
      </w:r>
      <w:r w:rsidRPr="00470A35">
        <w:rPr>
          <w:rFonts w:ascii="Times New Roman" w:hAnsi="Times New Roman" w:cs="Times New Roman"/>
          <w:color w:val="000000" w:themeColor="text1"/>
          <w:sz w:val="20"/>
          <w:szCs w:val="20"/>
        </w:rPr>
        <w:t xml:space="preserve"> (CCT 03/11) [2011] ZACC 32; 2012 (2) BCLR 181 (CC); 2012 (2) SA 50 (CC) (29 November 2011) para 7. See also </w:t>
      </w:r>
      <w:r w:rsidRPr="00470A35">
        <w:rPr>
          <w:rFonts w:ascii="Times New Roman" w:hAnsi="Times New Roman" w:cs="Times New Roman"/>
          <w:i/>
          <w:iCs/>
          <w:color w:val="000000" w:themeColor="text1"/>
          <w:sz w:val="20"/>
          <w:szCs w:val="20"/>
        </w:rPr>
        <w:t>Transnet Ltd and Another v SA Metal Machinery Company (Pty) Ltd</w:t>
      </w:r>
      <w:r w:rsidRPr="00470A35">
        <w:rPr>
          <w:rFonts w:ascii="Times New Roman" w:hAnsi="Times New Roman" w:cs="Times New Roman"/>
          <w:color w:val="000000" w:themeColor="text1"/>
          <w:sz w:val="20"/>
          <w:szCs w:val="20"/>
        </w:rPr>
        <w:t xml:space="preserve"> (147/2005) [2005] ZASCA 113; [2006] 1 All SA 352 (SCA); 2006 (4) BCLR 473 (SCA); 2006 (6) SA 285 (SCA) (29 November 2005) para 8.</w:t>
      </w:r>
    </w:p>
    <w:p w:rsidR="00EA3766" w:rsidRPr="0031412D" w:rsidRDefault="00EA3766" w:rsidP="00EA3766">
      <w:pPr>
        <w:pStyle w:val="Heading2"/>
        <w:shd w:val="clear" w:color="auto" w:fill="FFFFFF"/>
        <w:spacing w:before="240" w:after="180"/>
        <w:rPr>
          <w:color w:val="000000" w:themeColor="text1"/>
          <w:sz w:val="20"/>
          <w:szCs w:val="20"/>
        </w:rPr>
      </w:pPr>
    </w:p>
  </w:footnote>
  <w:footnote w:id="4">
    <w:p w:rsidR="00847DCE" w:rsidRPr="00101A9F" w:rsidRDefault="00847DCE" w:rsidP="00847DCE">
      <w:pPr>
        <w:pStyle w:val="FootnoteText"/>
        <w:rPr>
          <w:color w:val="000000" w:themeColor="text1"/>
          <w:lang w:val="en-US"/>
        </w:rPr>
      </w:pPr>
      <w:r w:rsidRPr="0031412D">
        <w:rPr>
          <w:rStyle w:val="FootnoteReference"/>
        </w:rPr>
        <w:footnoteRef/>
      </w:r>
      <w:r w:rsidRPr="0031412D">
        <w:t xml:space="preserve"> </w:t>
      </w:r>
      <w:r w:rsidRPr="00101A9F">
        <w:rPr>
          <w:color w:val="000000" w:themeColor="text1"/>
          <w:lang w:val="en-GB"/>
        </w:rPr>
        <w:t>Section 81(1) and (2).</w:t>
      </w:r>
    </w:p>
  </w:footnote>
  <w:footnote w:id="5">
    <w:p w:rsidR="00847DCE" w:rsidRPr="00101A9F" w:rsidRDefault="00847DCE" w:rsidP="00847DCE">
      <w:pPr>
        <w:pStyle w:val="FootnoteText"/>
        <w:rPr>
          <w:color w:val="000000" w:themeColor="text1"/>
          <w:lang w:val="en-US"/>
        </w:rPr>
      </w:pPr>
      <w:r w:rsidRPr="00101A9F">
        <w:rPr>
          <w:rStyle w:val="FootnoteReference"/>
          <w:color w:val="000000" w:themeColor="text1"/>
        </w:rPr>
        <w:footnoteRef/>
      </w:r>
      <w:r w:rsidRPr="00101A9F">
        <w:rPr>
          <w:color w:val="000000" w:themeColor="text1"/>
        </w:rPr>
        <w:t xml:space="preserve"> </w:t>
      </w:r>
      <w:r w:rsidRPr="00101A9F">
        <w:rPr>
          <w:color w:val="000000" w:themeColor="text1"/>
          <w:lang w:val="en-US"/>
        </w:rPr>
        <w:t>Section 81(3).</w:t>
      </w:r>
    </w:p>
  </w:footnote>
  <w:footnote w:id="6">
    <w:p w:rsidR="00847DCE" w:rsidRPr="00101A9F" w:rsidRDefault="00847DCE" w:rsidP="00847DCE">
      <w:pPr>
        <w:pStyle w:val="FootnoteText"/>
        <w:rPr>
          <w:color w:val="000000" w:themeColor="text1"/>
          <w:lang w:val="en-US"/>
        </w:rPr>
      </w:pPr>
      <w:r w:rsidRPr="00101A9F">
        <w:rPr>
          <w:rStyle w:val="FootnoteReference"/>
          <w:color w:val="000000" w:themeColor="text1"/>
        </w:rPr>
        <w:footnoteRef/>
      </w:r>
      <w:r w:rsidRPr="00101A9F">
        <w:rPr>
          <w:color w:val="000000" w:themeColor="text1"/>
        </w:rPr>
        <w:t xml:space="preserve"> </w:t>
      </w:r>
      <w:r w:rsidRPr="00101A9F">
        <w:rPr>
          <w:i/>
          <w:iCs/>
          <w:color w:val="000000" w:themeColor="text1"/>
          <w:lang w:val="en-US"/>
        </w:rPr>
        <w:t>M&amp;G (2012)</w:t>
      </w:r>
      <w:r w:rsidRPr="00101A9F">
        <w:rPr>
          <w:color w:val="000000" w:themeColor="text1"/>
          <w:lang w:val="en-US"/>
        </w:rPr>
        <w:t xml:space="preserve"> para 14.</w:t>
      </w:r>
    </w:p>
  </w:footnote>
  <w:footnote w:id="7">
    <w:p w:rsidR="00847DCE" w:rsidRPr="00101A9F" w:rsidRDefault="00847DCE" w:rsidP="00847DCE">
      <w:pPr>
        <w:pStyle w:val="FootnoteText"/>
        <w:rPr>
          <w:color w:val="000000" w:themeColor="text1"/>
          <w:lang w:val="en-US"/>
        </w:rPr>
      </w:pPr>
      <w:r w:rsidRPr="00101A9F">
        <w:rPr>
          <w:rStyle w:val="FootnoteReference"/>
          <w:color w:val="000000" w:themeColor="text1"/>
        </w:rPr>
        <w:footnoteRef/>
      </w:r>
      <w:r w:rsidRPr="00101A9F">
        <w:rPr>
          <w:color w:val="000000" w:themeColor="text1"/>
        </w:rPr>
        <w:t xml:space="preserve"> </w:t>
      </w:r>
      <w:r w:rsidRPr="00101A9F">
        <w:rPr>
          <w:i/>
          <w:iCs/>
          <w:color w:val="000000" w:themeColor="text1"/>
          <w:lang w:val="en-US"/>
        </w:rPr>
        <w:t>M&amp;G 2012</w:t>
      </w:r>
      <w:r w:rsidRPr="00101A9F">
        <w:rPr>
          <w:color w:val="000000" w:themeColor="text1"/>
          <w:lang w:val="en-US"/>
        </w:rPr>
        <w:t xml:space="preserve"> para 23.</w:t>
      </w:r>
    </w:p>
  </w:footnote>
  <w:footnote w:id="8">
    <w:p w:rsidR="00847DCE" w:rsidRPr="00101A9F" w:rsidRDefault="00847DCE" w:rsidP="00847DCE">
      <w:pPr>
        <w:pStyle w:val="FootnoteText"/>
        <w:rPr>
          <w:color w:val="000000" w:themeColor="text1"/>
          <w:lang w:val="en-US"/>
        </w:rPr>
      </w:pPr>
      <w:r w:rsidRPr="00101A9F">
        <w:rPr>
          <w:rStyle w:val="FootnoteReference"/>
          <w:color w:val="000000" w:themeColor="text1"/>
        </w:rPr>
        <w:footnoteRef/>
      </w:r>
      <w:r w:rsidRPr="00101A9F">
        <w:rPr>
          <w:color w:val="000000" w:themeColor="text1"/>
        </w:rPr>
        <w:t xml:space="preserve"> </w:t>
      </w:r>
      <w:r w:rsidRPr="00101A9F">
        <w:rPr>
          <w:i/>
          <w:iCs/>
          <w:color w:val="000000" w:themeColor="text1"/>
          <w:lang w:val="en-US"/>
        </w:rPr>
        <w:t>M&amp;G 2012</w:t>
      </w:r>
      <w:r w:rsidRPr="00101A9F">
        <w:rPr>
          <w:color w:val="000000" w:themeColor="text1"/>
          <w:lang w:val="en-US"/>
        </w:rPr>
        <w:t xml:space="preserve"> para 23.</w:t>
      </w:r>
    </w:p>
  </w:footnote>
  <w:footnote w:id="9">
    <w:p w:rsidR="00847DCE" w:rsidRPr="0031412D" w:rsidRDefault="00847DCE" w:rsidP="00847DCE">
      <w:pPr>
        <w:pStyle w:val="FootnoteText"/>
        <w:rPr>
          <w:lang w:val="en-US"/>
        </w:rPr>
      </w:pPr>
      <w:r w:rsidRPr="00101A9F">
        <w:rPr>
          <w:rStyle w:val="FootnoteReference"/>
          <w:color w:val="000000" w:themeColor="text1"/>
        </w:rPr>
        <w:footnoteRef/>
      </w:r>
      <w:r w:rsidRPr="00101A9F">
        <w:rPr>
          <w:color w:val="000000" w:themeColor="text1"/>
        </w:rPr>
        <w:t xml:space="preserve"> </w:t>
      </w:r>
      <w:r w:rsidRPr="00101A9F">
        <w:rPr>
          <w:color w:val="000000" w:themeColor="text1"/>
          <w:lang w:val="en-US"/>
        </w:rPr>
        <w:t xml:space="preserve">See </w:t>
      </w:r>
      <w:r w:rsidRPr="00101A9F">
        <w:rPr>
          <w:i/>
          <w:iCs/>
          <w:color w:val="000000" w:themeColor="text1"/>
          <w:lang w:val="en-US"/>
        </w:rPr>
        <w:t>M&amp;G 2012</w:t>
      </w:r>
      <w:r w:rsidRPr="00101A9F">
        <w:rPr>
          <w:color w:val="000000" w:themeColor="text1"/>
          <w:lang w:val="en-US"/>
        </w:rPr>
        <w:t xml:space="preserve"> para 24 and footnote 40.</w:t>
      </w:r>
    </w:p>
  </w:footnote>
  <w:footnote w:id="10">
    <w:p w:rsidR="00EA3766" w:rsidRPr="00470A35" w:rsidRDefault="00EA3766" w:rsidP="009F79D6">
      <w:pPr>
        <w:pStyle w:val="Heading2"/>
        <w:shd w:val="clear" w:color="auto" w:fill="FFFFFF"/>
        <w:spacing w:before="0" w:after="180"/>
        <w:rPr>
          <w:color w:val="000000" w:themeColor="text1"/>
          <w:sz w:val="20"/>
          <w:szCs w:val="20"/>
        </w:rPr>
      </w:pPr>
      <w:r w:rsidRPr="00470A35">
        <w:rPr>
          <w:rStyle w:val="FootnoteReference"/>
          <w:rFonts w:ascii="Times New Roman" w:hAnsi="Times New Roman" w:cs="Times New Roman"/>
          <w:color w:val="000000" w:themeColor="text1"/>
          <w:sz w:val="20"/>
          <w:szCs w:val="20"/>
        </w:rPr>
        <w:footnoteRef/>
      </w:r>
      <w:r w:rsidRPr="00470A35">
        <w:rPr>
          <w:rFonts w:ascii="Times New Roman" w:hAnsi="Times New Roman" w:cs="Times New Roman"/>
          <w:color w:val="000000" w:themeColor="text1"/>
          <w:sz w:val="20"/>
          <w:szCs w:val="20"/>
        </w:rPr>
        <w:t xml:space="preserve"> </w:t>
      </w:r>
      <w:r w:rsidRPr="00470A35">
        <w:rPr>
          <w:rFonts w:ascii="Times New Roman" w:hAnsi="Times New Roman" w:cs="Times New Roman"/>
          <w:i/>
          <w:iCs/>
          <w:color w:val="000000" w:themeColor="text1"/>
          <w:sz w:val="20"/>
          <w:szCs w:val="20"/>
          <w:lang w:val="en-US"/>
        </w:rPr>
        <w:t xml:space="preserve">M&amp;G 2012 </w:t>
      </w:r>
      <w:r w:rsidRPr="00470A35">
        <w:rPr>
          <w:rFonts w:ascii="Times New Roman" w:hAnsi="Times New Roman" w:cs="Times New Roman"/>
          <w:color w:val="000000" w:themeColor="text1"/>
          <w:sz w:val="20"/>
          <w:szCs w:val="20"/>
          <w:lang w:val="en-US"/>
        </w:rPr>
        <w:t xml:space="preserve">para 14; </w:t>
      </w:r>
      <w:r w:rsidRPr="00470A35">
        <w:rPr>
          <w:rFonts w:ascii="Times New Roman" w:hAnsi="Times New Roman" w:cs="Times New Roman"/>
          <w:i/>
          <w:iCs/>
          <w:color w:val="000000" w:themeColor="text1"/>
          <w:sz w:val="20"/>
          <w:szCs w:val="20"/>
        </w:rPr>
        <w:t>Transnet Ltd and Another v SA Metal Machinery Company (Pty) Ltd</w:t>
      </w:r>
      <w:r w:rsidRPr="00470A35">
        <w:rPr>
          <w:rFonts w:ascii="Times New Roman" w:hAnsi="Times New Roman" w:cs="Times New Roman"/>
          <w:color w:val="000000" w:themeColor="text1"/>
          <w:sz w:val="20"/>
          <w:szCs w:val="20"/>
        </w:rPr>
        <w:t xml:space="preserve"> para 24.</w:t>
      </w:r>
    </w:p>
  </w:footnote>
  <w:footnote w:id="11">
    <w:p w:rsidR="00847DCE" w:rsidRPr="00470A35" w:rsidRDefault="00847DCE" w:rsidP="00847DCE">
      <w:pPr>
        <w:pStyle w:val="FootnoteText"/>
        <w:rPr>
          <w:lang w:val="en-US"/>
        </w:rPr>
      </w:pPr>
      <w:r w:rsidRPr="00470A35">
        <w:rPr>
          <w:rStyle w:val="FootnoteReference"/>
        </w:rPr>
        <w:footnoteRef/>
      </w:r>
      <w:r w:rsidRPr="00470A35">
        <w:t xml:space="preserve"> </w:t>
      </w:r>
      <w:r w:rsidRPr="00470A35">
        <w:rPr>
          <w:i/>
          <w:iCs/>
        </w:rPr>
        <w:t>M&amp;G 2012</w:t>
      </w:r>
      <w:r w:rsidRPr="00470A35">
        <w:t xml:space="preserve"> </w:t>
      </w:r>
      <w:r>
        <w:rPr>
          <w:lang w:val="en-US"/>
        </w:rPr>
        <w:t>p</w:t>
      </w:r>
      <w:r w:rsidRPr="00470A35">
        <w:rPr>
          <w:lang w:val="en-US"/>
        </w:rPr>
        <w:t>ara 39.</w:t>
      </w:r>
    </w:p>
  </w:footnote>
  <w:footnote w:id="12">
    <w:p w:rsidR="00847DCE" w:rsidRPr="00470A35" w:rsidRDefault="00847DCE" w:rsidP="00847DCE">
      <w:pPr>
        <w:pStyle w:val="FootnoteText"/>
        <w:rPr>
          <w:lang w:val="en-US"/>
        </w:rPr>
      </w:pPr>
      <w:r w:rsidRPr="00470A35">
        <w:rPr>
          <w:rStyle w:val="FootnoteReference"/>
        </w:rPr>
        <w:footnoteRef/>
      </w:r>
      <w:r w:rsidRPr="00470A35">
        <w:t xml:space="preserve"> </w:t>
      </w:r>
      <w:r w:rsidRPr="00470A35">
        <w:rPr>
          <w:i/>
          <w:iCs/>
        </w:rPr>
        <w:t>M&amp;G 2012</w:t>
      </w:r>
      <w:r w:rsidRPr="00470A35">
        <w:t xml:space="preserve"> </w:t>
      </w:r>
      <w:r w:rsidRPr="00470A35">
        <w:rPr>
          <w:lang w:val="en-US"/>
        </w:rPr>
        <w:t>para</w:t>
      </w:r>
      <w:r>
        <w:rPr>
          <w:lang w:val="en-US"/>
        </w:rPr>
        <w:t>s</w:t>
      </w:r>
      <w:r w:rsidRPr="00470A35">
        <w:rPr>
          <w:lang w:val="en-US"/>
        </w:rPr>
        <w:t xml:space="preserve"> 42</w:t>
      </w:r>
      <w:r>
        <w:rPr>
          <w:lang w:val="en-US"/>
        </w:rPr>
        <w:t xml:space="preserve"> and 44</w:t>
      </w:r>
      <w:r w:rsidRPr="00470A35">
        <w:rPr>
          <w:lang w:val="en-US"/>
        </w:rPr>
        <w:t>.</w:t>
      </w:r>
    </w:p>
  </w:footnote>
  <w:footnote w:id="13">
    <w:p w:rsidR="00470A35" w:rsidRPr="00470A35" w:rsidRDefault="00470A35">
      <w:pPr>
        <w:pStyle w:val="FootnoteText"/>
        <w:rPr>
          <w:lang w:val="en-US"/>
        </w:rPr>
      </w:pPr>
      <w:r w:rsidRPr="00470A35">
        <w:rPr>
          <w:rStyle w:val="FootnoteReference"/>
        </w:rPr>
        <w:footnoteRef/>
      </w:r>
      <w:r w:rsidRPr="00470A35">
        <w:t xml:space="preserve"> </w:t>
      </w:r>
      <w:r w:rsidRPr="00470A35">
        <w:rPr>
          <w:i/>
          <w:iCs/>
        </w:rPr>
        <w:t>M&amp;G 2012</w:t>
      </w:r>
      <w:r w:rsidRPr="00470A35">
        <w:t xml:space="preserve"> </w:t>
      </w:r>
      <w:r w:rsidRPr="00470A35">
        <w:rPr>
          <w:lang w:val="en-US"/>
        </w:rPr>
        <w:t>para 45.</w:t>
      </w:r>
    </w:p>
  </w:footnote>
  <w:footnote w:id="14">
    <w:p w:rsidR="00470A35" w:rsidRPr="00470A35" w:rsidRDefault="00470A35">
      <w:pPr>
        <w:pStyle w:val="FootnoteText"/>
        <w:rPr>
          <w:lang w:val="en-US"/>
        </w:rPr>
      </w:pPr>
      <w:r w:rsidRPr="00470A35">
        <w:rPr>
          <w:rStyle w:val="FootnoteReference"/>
        </w:rPr>
        <w:footnoteRef/>
      </w:r>
      <w:r w:rsidRPr="00470A35">
        <w:t xml:space="preserve"> </w:t>
      </w:r>
      <w:r w:rsidRPr="00470A35">
        <w:rPr>
          <w:i/>
          <w:iCs/>
          <w:lang w:val="en-US"/>
        </w:rPr>
        <w:t>M&amp;G 2012</w:t>
      </w:r>
      <w:r w:rsidRPr="00470A35">
        <w:rPr>
          <w:lang w:val="en-US"/>
        </w:rPr>
        <w:t xml:space="preserve"> para 126.</w:t>
      </w:r>
    </w:p>
  </w:footnote>
  <w:footnote w:id="15">
    <w:p w:rsidR="000F71B5" w:rsidRPr="000F71B5" w:rsidRDefault="000F71B5">
      <w:pPr>
        <w:pStyle w:val="FootnoteText"/>
        <w:rPr>
          <w:lang w:val="en-US"/>
        </w:rPr>
      </w:pPr>
      <w:r>
        <w:rPr>
          <w:rStyle w:val="FootnoteReference"/>
        </w:rPr>
        <w:footnoteRef/>
      </w:r>
      <w:r>
        <w:t xml:space="preserve"> </w:t>
      </w:r>
      <w:r>
        <w:rPr>
          <w:lang w:val="en-US"/>
        </w:rPr>
        <w:t>See paragraph 6 of the Minister’s letter.</w:t>
      </w:r>
    </w:p>
  </w:footnote>
  <w:footnote w:id="16">
    <w:p w:rsidR="008A3AEB" w:rsidRPr="0031412D" w:rsidRDefault="008A3AEB" w:rsidP="008A3AEB">
      <w:pPr>
        <w:pStyle w:val="FootnoteText"/>
        <w:rPr>
          <w:lang w:val="en-US"/>
        </w:rPr>
      </w:pPr>
      <w:r w:rsidRPr="0031412D">
        <w:rPr>
          <w:rStyle w:val="FootnoteReference"/>
        </w:rPr>
        <w:footnoteRef/>
      </w:r>
      <w:r w:rsidRPr="0031412D">
        <w:t xml:space="preserve"> </w:t>
      </w:r>
      <w:r w:rsidRPr="0031412D">
        <w:rPr>
          <w:i/>
          <w:iCs/>
          <w:color w:val="000000" w:themeColor="text1"/>
          <w:lang w:val="en-US"/>
        </w:rPr>
        <w:t>M&amp;G 2012</w:t>
      </w:r>
      <w:r w:rsidRPr="0031412D">
        <w:rPr>
          <w:color w:val="000000" w:themeColor="text1"/>
          <w:lang w:val="en-US"/>
        </w:rPr>
        <w:t xml:space="preserve"> para </w:t>
      </w:r>
      <w:r>
        <w:rPr>
          <w:color w:val="000000" w:themeColor="text1"/>
          <w:lang w:val="en-US"/>
        </w:rPr>
        <w:t>23</w:t>
      </w:r>
      <w:r w:rsidRPr="0031412D">
        <w:rPr>
          <w:color w:val="000000" w:themeColor="text1"/>
          <w:lang w:val="en-US"/>
        </w:rPr>
        <w:t>.</w:t>
      </w:r>
    </w:p>
  </w:footnote>
  <w:footnote w:id="17">
    <w:p w:rsidR="008A3AEB" w:rsidRPr="00470A35" w:rsidRDefault="008A3AEB" w:rsidP="008A3AEB">
      <w:pPr>
        <w:pStyle w:val="FootnoteText"/>
        <w:rPr>
          <w:lang w:val="en-US"/>
        </w:rPr>
      </w:pPr>
      <w:r w:rsidRPr="00470A35">
        <w:rPr>
          <w:rStyle w:val="FootnoteReference"/>
        </w:rPr>
        <w:footnoteRef/>
      </w:r>
      <w:r w:rsidRPr="00470A35">
        <w:t xml:space="preserve"> </w:t>
      </w:r>
      <w:r w:rsidRPr="00470A35">
        <w:rPr>
          <w:i/>
          <w:iCs/>
        </w:rPr>
        <w:t>M&amp;G 2012</w:t>
      </w:r>
      <w:r w:rsidRPr="00470A35">
        <w:t xml:space="preserve"> </w:t>
      </w:r>
      <w:r w:rsidRPr="00470A35">
        <w:rPr>
          <w:lang w:val="en-US"/>
        </w:rPr>
        <w:t>para 42.</w:t>
      </w:r>
    </w:p>
  </w:footnote>
  <w:footnote w:id="18">
    <w:p w:rsidR="008A3AEB" w:rsidRPr="00470A35" w:rsidRDefault="008A3AEB" w:rsidP="008A3AEB">
      <w:pPr>
        <w:pStyle w:val="FootnoteText"/>
        <w:rPr>
          <w:lang w:val="en-US"/>
        </w:rPr>
      </w:pPr>
      <w:r w:rsidRPr="00470A35">
        <w:rPr>
          <w:rStyle w:val="FootnoteReference"/>
        </w:rPr>
        <w:footnoteRef/>
      </w:r>
      <w:r w:rsidRPr="00470A35">
        <w:t xml:space="preserve"> </w:t>
      </w:r>
      <w:r w:rsidRPr="00470A35">
        <w:rPr>
          <w:i/>
          <w:iCs/>
        </w:rPr>
        <w:t>M&amp;G 2012</w:t>
      </w:r>
      <w:r w:rsidRPr="00470A35">
        <w:t xml:space="preserve"> </w:t>
      </w:r>
      <w:r w:rsidRPr="00470A35">
        <w:rPr>
          <w:lang w:val="en-US"/>
        </w:rPr>
        <w:t>para 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277147"/>
      <w:docPartObj>
        <w:docPartGallery w:val="Page Numbers (Top of Page)"/>
        <w:docPartUnique/>
      </w:docPartObj>
    </w:sdtPr>
    <w:sdtEndPr>
      <w:rPr>
        <w:noProof/>
      </w:rPr>
    </w:sdtEndPr>
    <w:sdtContent>
      <w:p w:rsidR="00567C8C" w:rsidRPr="003E7B13" w:rsidRDefault="00567C8C">
        <w:pPr>
          <w:pStyle w:val="Header"/>
          <w:jc w:val="right"/>
        </w:pPr>
        <w:r w:rsidRPr="003E7B13">
          <w:fldChar w:fldCharType="begin"/>
        </w:r>
        <w:r w:rsidRPr="003E7B13">
          <w:instrText xml:space="preserve"> PAGE   \* MERGEFORMAT </w:instrText>
        </w:r>
        <w:r w:rsidRPr="003E7B13">
          <w:fldChar w:fldCharType="separate"/>
        </w:r>
        <w:r w:rsidR="000A24D5">
          <w:rPr>
            <w:noProof/>
          </w:rPr>
          <w:t>2</w:t>
        </w:r>
        <w:r w:rsidRPr="003E7B13">
          <w:rPr>
            <w:noProof/>
          </w:rPr>
          <w:fldChar w:fldCharType="end"/>
        </w:r>
      </w:p>
    </w:sdtContent>
  </w:sdt>
  <w:p w:rsidR="00567C8C" w:rsidRDefault="00567C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D65"/>
    <w:multiLevelType w:val="multilevel"/>
    <w:tmpl w:val="9BD4BC5A"/>
    <w:lvl w:ilvl="0">
      <w:start w:val="1"/>
      <w:numFmt w:val="decimal"/>
      <w:lvlText w:val="%1."/>
      <w:lvlJc w:val="left"/>
      <w:pPr>
        <w:tabs>
          <w:tab w:val="num" w:pos="720"/>
        </w:tabs>
        <w:ind w:left="720" w:hanging="360"/>
      </w:pPr>
    </w:lvl>
    <w:lvl w:ilvl="1">
      <w:start w:val="1"/>
      <w:numFmt w:val="lowerLetter"/>
      <w:lvlText w:val="(%2)"/>
      <w:lvlJc w:val="left"/>
      <w:pPr>
        <w:tabs>
          <w:tab w:val="num" w:pos="2487"/>
        </w:tabs>
        <w:ind w:left="2487" w:hanging="360"/>
      </w:pPr>
      <w:rPr>
        <w:rFonts w:ascii="Times New Roman" w:eastAsia="Times New Roman" w:hAnsi="Times New Roman" w:cs="Times New Roman" w:hint="default"/>
      </w:rPr>
    </w:lvl>
    <w:lvl w:ilvl="2">
      <w:start w:val="1"/>
      <w:numFmt w:val="lowerRoman"/>
      <w:lvlText w:val="(%3)"/>
      <w:lvlJc w:val="left"/>
      <w:pPr>
        <w:tabs>
          <w:tab w:val="num" w:pos="2912"/>
        </w:tabs>
        <w:ind w:left="2912"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C226A"/>
    <w:multiLevelType w:val="hybridMultilevel"/>
    <w:tmpl w:val="CB3EB068"/>
    <w:lvl w:ilvl="0" w:tplc="7240894C">
      <w:start w:val="1"/>
      <w:numFmt w:val="decimal"/>
      <w:lvlText w:val="[%1]"/>
      <w:lvlJc w:val="center"/>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55ECD"/>
    <w:multiLevelType w:val="multilevel"/>
    <w:tmpl w:val="A7FAD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8B1AE5"/>
    <w:multiLevelType w:val="multilevel"/>
    <w:tmpl w:val="67DE4680"/>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lowerLetter"/>
      <w:lvlText w:val="(%2)"/>
      <w:lvlJc w:val="left"/>
      <w:pPr>
        <w:tabs>
          <w:tab w:val="num" w:pos="1440"/>
        </w:tabs>
        <w:ind w:left="1440" w:hanging="360"/>
      </w:pPr>
      <w:rPr>
        <w:rFonts w:ascii="Times New Roman" w:eastAsiaTheme="minorEastAsia" w:hAnsi="Times New Roman" w:cs="Times New Roman"/>
      </w:rPr>
    </w:lvl>
    <w:lvl w:ilvl="2">
      <w:start w:val="1"/>
      <w:numFmt w:val="lowerRoman"/>
      <w:lvlText w:val="(%3)"/>
      <w:lvlJc w:val="left"/>
      <w:pPr>
        <w:tabs>
          <w:tab w:val="num" w:pos="2629"/>
        </w:tabs>
        <w:ind w:left="2629" w:hanging="360"/>
      </w:pPr>
      <w:rPr>
        <w:rFonts w:ascii="Times New Roman" w:eastAsiaTheme="minorEastAsia"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47A4B"/>
    <w:multiLevelType w:val="multilevel"/>
    <w:tmpl w:val="B09A7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C1BC9"/>
    <w:multiLevelType w:val="multilevel"/>
    <w:tmpl w:val="4524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54340A"/>
    <w:multiLevelType w:val="hybridMultilevel"/>
    <w:tmpl w:val="926237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F5C4B"/>
    <w:multiLevelType w:val="multilevel"/>
    <w:tmpl w:val="D5B03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453A48"/>
    <w:multiLevelType w:val="hybridMultilevel"/>
    <w:tmpl w:val="CB3EB068"/>
    <w:lvl w:ilvl="0" w:tplc="FFFFFFFF">
      <w:start w:val="1"/>
      <w:numFmt w:val="decimal"/>
      <w:lvlText w:val="[%1]"/>
      <w:lvlJc w:val="center"/>
      <w:pPr>
        <w:ind w:left="720" w:hanging="360"/>
      </w:pPr>
      <w:rPr>
        <w:rFonts w:ascii="Times New Roman" w:hAnsi="Times New Roman" w:cs="Times New Roman"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AF05F2"/>
    <w:multiLevelType w:val="multilevel"/>
    <w:tmpl w:val="758619AA"/>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Helvetica Neue" w:eastAsia="Times New Roman" w:hAnsi="Helvetica Neue" w:cs="Times New Roman"/>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BF4AA1"/>
    <w:multiLevelType w:val="hybridMultilevel"/>
    <w:tmpl w:val="B4D84C90"/>
    <w:lvl w:ilvl="0" w:tplc="C682E46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85BBF"/>
    <w:multiLevelType w:val="multilevel"/>
    <w:tmpl w:val="0F4C3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47D3E"/>
    <w:multiLevelType w:val="hybridMultilevel"/>
    <w:tmpl w:val="8B803666"/>
    <w:lvl w:ilvl="0" w:tplc="DC5E7EBC">
      <w:start w:val="1"/>
      <w:numFmt w:val="lowerLetter"/>
      <w:lvlText w:val="(%1)"/>
      <w:lvlJc w:val="left"/>
      <w:pPr>
        <w:ind w:left="1695" w:hanging="5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6"/>
  </w:num>
  <w:num w:numId="2">
    <w:abstractNumId w:val="1"/>
  </w:num>
  <w:num w:numId="3">
    <w:abstractNumId w:val="10"/>
  </w:num>
  <w:num w:numId="4">
    <w:abstractNumId w:val="12"/>
  </w:num>
  <w:num w:numId="5">
    <w:abstractNumId w:val="3"/>
  </w:num>
  <w:num w:numId="6">
    <w:abstractNumId w:val="2"/>
  </w:num>
  <w:num w:numId="7">
    <w:abstractNumId w:val="11"/>
  </w:num>
  <w:num w:numId="8">
    <w:abstractNumId w:val="9"/>
  </w:num>
  <w:num w:numId="9">
    <w:abstractNumId w:val="0"/>
  </w:num>
  <w:num w:numId="10">
    <w:abstractNumId w:val="5"/>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3C"/>
    <w:rsid w:val="000457F6"/>
    <w:rsid w:val="00062C35"/>
    <w:rsid w:val="000714B7"/>
    <w:rsid w:val="00077427"/>
    <w:rsid w:val="00077E71"/>
    <w:rsid w:val="000959D3"/>
    <w:rsid w:val="000A24D5"/>
    <w:rsid w:val="000A486D"/>
    <w:rsid w:val="000B07E7"/>
    <w:rsid w:val="000B2121"/>
    <w:rsid w:val="000C1496"/>
    <w:rsid w:val="000C3994"/>
    <w:rsid w:val="000F71B5"/>
    <w:rsid w:val="00101A9F"/>
    <w:rsid w:val="00132894"/>
    <w:rsid w:val="00134DC3"/>
    <w:rsid w:val="00137227"/>
    <w:rsid w:val="00144211"/>
    <w:rsid w:val="0015128D"/>
    <w:rsid w:val="0016542F"/>
    <w:rsid w:val="00175188"/>
    <w:rsid w:val="00175D44"/>
    <w:rsid w:val="0018352C"/>
    <w:rsid w:val="00194DCB"/>
    <w:rsid w:val="0019733C"/>
    <w:rsid w:val="001B4A18"/>
    <w:rsid w:val="001E2EE2"/>
    <w:rsid w:val="00213F35"/>
    <w:rsid w:val="00224D2B"/>
    <w:rsid w:val="002340F7"/>
    <w:rsid w:val="0023670F"/>
    <w:rsid w:val="002856AE"/>
    <w:rsid w:val="00292A79"/>
    <w:rsid w:val="002A75E4"/>
    <w:rsid w:val="002B1B51"/>
    <w:rsid w:val="002B1D36"/>
    <w:rsid w:val="002B5BBD"/>
    <w:rsid w:val="002C14BE"/>
    <w:rsid w:val="002D1595"/>
    <w:rsid w:val="002F04ED"/>
    <w:rsid w:val="003514C0"/>
    <w:rsid w:val="00355A78"/>
    <w:rsid w:val="00396C97"/>
    <w:rsid w:val="003A0E43"/>
    <w:rsid w:val="003B6323"/>
    <w:rsid w:val="003C1AFD"/>
    <w:rsid w:val="003D33E9"/>
    <w:rsid w:val="003E3F28"/>
    <w:rsid w:val="003E4ADB"/>
    <w:rsid w:val="003E7B13"/>
    <w:rsid w:val="003F0715"/>
    <w:rsid w:val="003F0867"/>
    <w:rsid w:val="003F1437"/>
    <w:rsid w:val="0042658C"/>
    <w:rsid w:val="00455187"/>
    <w:rsid w:val="00470A35"/>
    <w:rsid w:val="00483233"/>
    <w:rsid w:val="004969D4"/>
    <w:rsid w:val="004A230D"/>
    <w:rsid w:val="004C13D7"/>
    <w:rsid w:val="004E67A2"/>
    <w:rsid w:val="00512DCD"/>
    <w:rsid w:val="005324C8"/>
    <w:rsid w:val="0055168D"/>
    <w:rsid w:val="00553AFA"/>
    <w:rsid w:val="00556796"/>
    <w:rsid w:val="00567C8C"/>
    <w:rsid w:val="00574359"/>
    <w:rsid w:val="00596559"/>
    <w:rsid w:val="005C5DB8"/>
    <w:rsid w:val="005D00FF"/>
    <w:rsid w:val="005D0ACD"/>
    <w:rsid w:val="005E5124"/>
    <w:rsid w:val="00607EA2"/>
    <w:rsid w:val="006142ED"/>
    <w:rsid w:val="00635EC0"/>
    <w:rsid w:val="006564BD"/>
    <w:rsid w:val="0066429C"/>
    <w:rsid w:val="00667D2B"/>
    <w:rsid w:val="0067130E"/>
    <w:rsid w:val="00694166"/>
    <w:rsid w:val="006B1FCE"/>
    <w:rsid w:val="006B2304"/>
    <w:rsid w:val="006C0C96"/>
    <w:rsid w:val="006F1E34"/>
    <w:rsid w:val="006F399B"/>
    <w:rsid w:val="00720930"/>
    <w:rsid w:val="007224C3"/>
    <w:rsid w:val="00744107"/>
    <w:rsid w:val="00744EAD"/>
    <w:rsid w:val="00753260"/>
    <w:rsid w:val="00777B54"/>
    <w:rsid w:val="00794328"/>
    <w:rsid w:val="007962C6"/>
    <w:rsid w:val="007C7C7E"/>
    <w:rsid w:val="007D329B"/>
    <w:rsid w:val="00830C1D"/>
    <w:rsid w:val="0084304F"/>
    <w:rsid w:val="00847DCE"/>
    <w:rsid w:val="00847F3F"/>
    <w:rsid w:val="00852A52"/>
    <w:rsid w:val="0086008D"/>
    <w:rsid w:val="008776C5"/>
    <w:rsid w:val="00881B4F"/>
    <w:rsid w:val="0088440A"/>
    <w:rsid w:val="008A3AEB"/>
    <w:rsid w:val="008B5F91"/>
    <w:rsid w:val="008D170A"/>
    <w:rsid w:val="008F2C77"/>
    <w:rsid w:val="00914663"/>
    <w:rsid w:val="0092056F"/>
    <w:rsid w:val="00926351"/>
    <w:rsid w:val="00977117"/>
    <w:rsid w:val="009873CB"/>
    <w:rsid w:val="00987CB1"/>
    <w:rsid w:val="009A4EC3"/>
    <w:rsid w:val="009B1816"/>
    <w:rsid w:val="009C1237"/>
    <w:rsid w:val="009C24F6"/>
    <w:rsid w:val="009C5FFA"/>
    <w:rsid w:val="009D0407"/>
    <w:rsid w:val="009D2E82"/>
    <w:rsid w:val="009F128D"/>
    <w:rsid w:val="009F79D6"/>
    <w:rsid w:val="00A2149C"/>
    <w:rsid w:val="00A31CA8"/>
    <w:rsid w:val="00A3360E"/>
    <w:rsid w:val="00A47D17"/>
    <w:rsid w:val="00A56E44"/>
    <w:rsid w:val="00A71267"/>
    <w:rsid w:val="00A727C6"/>
    <w:rsid w:val="00A7361F"/>
    <w:rsid w:val="00A739E3"/>
    <w:rsid w:val="00A83982"/>
    <w:rsid w:val="00A96846"/>
    <w:rsid w:val="00AB3BDD"/>
    <w:rsid w:val="00AB6F14"/>
    <w:rsid w:val="00AC2862"/>
    <w:rsid w:val="00B118DD"/>
    <w:rsid w:val="00B1597A"/>
    <w:rsid w:val="00B230A7"/>
    <w:rsid w:val="00B24791"/>
    <w:rsid w:val="00B31604"/>
    <w:rsid w:val="00B335C8"/>
    <w:rsid w:val="00B42601"/>
    <w:rsid w:val="00B446A7"/>
    <w:rsid w:val="00B4739B"/>
    <w:rsid w:val="00B840EC"/>
    <w:rsid w:val="00B913F6"/>
    <w:rsid w:val="00BB543D"/>
    <w:rsid w:val="00BC62E9"/>
    <w:rsid w:val="00BE6B88"/>
    <w:rsid w:val="00BF162A"/>
    <w:rsid w:val="00C16D9B"/>
    <w:rsid w:val="00C20A6A"/>
    <w:rsid w:val="00C22B7B"/>
    <w:rsid w:val="00C33ABD"/>
    <w:rsid w:val="00C85BB5"/>
    <w:rsid w:val="00C93C96"/>
    <w:rsid w:val="00CB0998"/>
    <w:rsid w:val="00CC7E58"/>
    <w:rsid w:val="00CE6164"/>
    <w:rsid w:val="00D05ADC"/>
    <w:rsid w:val="00D05B45"/>
    <w:rsid w:val="00D277D3"/>
    <w:rsid w:val="00D374F1"/>
    <w:rsid w:val="00D40547"/>
    <w:rsid w:val="00D41B1D"/>
    <w:rsid w:val="00D41C2D"/>
    <w:rsid w:val="00D51D78"/>
    <w:rsid w:val="00D6380E"/>
    <w:rsid w:val="00D65FD0"/>
    <w:rsid w:val="00D93346"/>
    <w:rsid w:val="00DE0AD4"/>
    <w:rsid w:val="00DF0650"/>
    <w:rsid w:val="00E021B3"/>
    <w:rsid w:val="00E14C9A"/>
    <w:rsid w:val="00E22872"/>
    <w:rsid w:val="00E25FC4"/>
    <w:rsid w:val="00E61C04"/>
    <w:rsid w:val="00E62122"/>
    <w:rsid w:val="00E9030B"/>
    <w:rsid w:val="00E909F7"/>
    <w:rsid w:val="00E97FE3"/>
    <w:rsid w:val="00EA3766"/>
    <w:rsid w:val="00EB3CD9"/>
    <w:rsid w:val="00EC353D"/>
    <w:rsid w:val="00ED0412"/>
    <w:rsid w:val="00ED2828"/>
    <w:rsid w:val="00EE4140"/>
    <w:rsid w:val="00EE6247"/>
    <w:rsid w:val="00EF3801"/>
    <w:rsid w:val="00F124DB"/>
    <w:rsid w:val="00F1604C"/>
    <w:rsid w:val="00F54285"/>
    <w:rsid w:val="00F81C7C"/>
    <w:rsid w:val="00F83EB8"/>
    <w:rsid w:val="00F927E3"/>
    <w:rsid w:val="00FB5A73"/>
    <w:rsid w:val="00FB7BD1"/>
    <w:rsid w:val="00FC777B"/>
    <w:rsid w:val="00FF54A2"/>
    <w:rsid w:val="00FF55C2"/>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02EC-7CE7-154C-9660-E6F6B388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46"/>
    <w:pPr>
      <w:spacing w:after="0" w:line="240" w:lineRule="auto"/>
    </w:pPr>
    <w:rPr>
      <w:rFonts w:ascii="Times New Roman" w:eastAsia="Times New Roman" w:hAnsi="Times New Roman" w:cs="Times New Roman"/>
      <w:kern w:val="0"/>
      <w:lang w:val="en-ZA" w:eastAsia="en-GB"/>
      <w14:ligatures w14:val="none"/>
    </w:rPr>
  </w:style>
  <w:style w:type="paragraph" w:styleId="Heading1">
    <w:name w:val="heading 1"/>
    <w:basedOn w:val="Normal"/>
    <w:next w:val="Normal"/>
    <w:link w:val="Heading1Char"/>
    <w:uiPriority w:val="9"/>
    <w:qFormat/>
    <w:rsid w:val="001973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973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73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73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73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73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73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73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73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3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973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73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73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73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73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73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73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733C"/>
    <w:rPr>
      <w:rFonts w:eastAsiaTheme="majorEastAsia" w:cstheme="majorBidi"/>
      <w:color w:val="272727" w:themeColor="text1" w:themeTint="D8"/>
    </w:rPr>
  </w:style>
  <w:style w:type="paragraph" w:styleId="Title">
    <w:name w:val="Title"/>
    <w:basedOn w:val="Normal"/>
    <w:next w:val="Normal"/>
    <w:link w:val="TitleChar"/>
    <w:uiPriority w:val="10"/>
    <w:qFormat/>
    <w:rsid w:val="001973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3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3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73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733C"/>
    <w:pPr>
      <w:spacing w:before="160"/>
      <w:jc w:val="center"/>
    </w:pPr>
    <w:rPr>
      <w:i/>
      <w:iCs/>
      <w:color w:val="404040" w:themeColor="text1" w:themeTint="BF"/>
    </w:rPr>
  </w:style>
  <w:style w:type="character" w:customStyle="1" w:styleId="QuoteChar">
    <w:name w:val="Quote Char"/>
    <w:basedOn w:val="DefaultParagraphFont"/>
    <w:link w:val="Quote"/>
    <w:uiPriority w:val="29"/>
    <w:rsid w:val="0019733C"/>
    <w:rPr>
      <w:i/>
      <w:iCs/>
      <w:color w:val="404040" w:themeColor="text1" w:themeTint="BF"/>
    </w:rPr>
  </w:style>
  <w:style w:type="paragraph" w:styleId="ListParagraph">
    <w:name w:val="List Paragraph"/>
    <w:basedOn w:val="Normal"/>
    <w:uiPriority w:val="34"/>
    <w:qFormat/>
    <w:rsid w:val="0019733C"/>
    <w:pPr>
      <w:ind w:left="720"/>
      <w:contextualSpacing/>
    </w:pPr>
  </w:style>
  <w:style w:type="character" w:styleId="IntenseEmphasis">
    <w:name w:val="Intense Emphasis"/>
    <w:basedOn w:val="DefaultParagraphFont"/>
    <w:uiPriority w:val="21"/>
    <w:qFormat/>
    <w:rsid w:val="0019733C"/>
    <w:rPr>
      <w:i/>
      <w:iCs/>
      <w:color w:val="0F4761" w:themeColor="accent1" w:themeShade="BF"/>
    </w:rPr>
  </w:style>
  <w:style w:type="paragraph" w:styleId="IntenseQuote">
    <w:name w:val="Intense Quote"/>
    <w:basedOn w:val="Normal"/>
    <w:next w:val="Normal"/>
    <w:link w:val="IntenseQuoteChar"/>
    <w:uiPriority w:val="30"/>
    <w:qFormat/>
    <w:rsid w:val="001973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733C"/>
    <w:rPr>
      <w:i/>
      <w:iCs/>
      <w:color w:val="0F4761" w:themeColor="accent1" w:themeShade="BF"/>
    </w:rPr>
  </w:style>
  <w:style w:type="character" w:styleId="IntenseReference">
    <w:name w:val="Intense Reference"/>
    <w:basedOn w:val="DefaultParagraphFont"/>
    <w:uiPriority w:val="32"/>
    <w:qFormat/>
    <w:rsid w:val="0019733C"/>
    <w:rPr>
      <w:b/>
      <w:bCs/>
      <w:smallCaps/>
      <w:color w:val="0F4761" w:themeColor="accent1" w:themeShade="BF"/>
      <w:spacing w:val="5"/>
    </w:rPr>
  </w:style>
  <w:style w:type="paragraph" w:styleId="Header">
    <w:name w:val="header"/>
    <w:basedOn w:val="Normal"/>
    <w:link w:val="HeaderChar"/>
    <w:uiPriority w:val="99"/>
    <w:unhideWhenUsed/>
    <w:rsid w:val="00D65FD0"/>
    <w:pPr>
      <w:tabs>
        <w:tab w:val="center" w:pos="4680"/>
        <w:tab w:val="right" w:pos="9360"/>
      </w:tabs>
    </w:pPr>
  </w:style>
  <w:style w:type="character" w:customStyle="1" w:styleId="HeaderChar">
    <w:name w:val="Header Char"/>
    <w:basedOn w:val="DefaultParagraphFont"/>
    <w:link w:val="Header"/>
    <w:uiPriority w:val="99"/>
    <w:rsid w:val="00D65FD0"/>
  </w:style>
  <w:style w:type="paragraph" w:styleId="Footer">
    <w:name w:val="footer"/>
    <w:basedOn w:val="Normal"/>
    <w:link w:val="FooterChar"/>
    <w:uiPriority w:val="99"/>
    <w:unhideWhenUsed/>
    <w:rsid w:val="00D65FD0"/>
    <w:pPr>
      <w:tabs>
        <w:tab w:val="center" w:pos="4680"/>
        <w:tab w:val="right" w:pos="9360"/>
      </w:tabs>
    </w:pPr>
  </w:style>
  <w:style w:type="character" w:customStyle="1" w:styleId="FooterChar">
    <w:name w:val="Footer Char"/>
    <w:basedOn w:val="DefaultParagraphFont"/>
    <w:link w:val="Footer"/>
    <w:uiPriority w:val="99"/>
    <w:rsid w:val="00D65FD0"/>
  </w:style>
  <w:style w:type="paragraph" w:styleId="BalloonText">
    <w:name w:val="Balloon Text"/>
    <w:basedOn w:val="Normal"/>
    <w:link w:val="BalloonTextChar"/>
    <w:uiPriority w:val="99"/>
    <w:semiHidden/>
    <w:unhideWhenUsed/>
    <w:rsid w:val="00753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60"/>
    <w:rPr>
      <w:rFonts w:ascii="Segoe UI" w:hAnsi="Segoe UI" w:cs="Segoe UI"/>
      <w:sz w:val="18"/>
      <w:szCs w:val="18"/>
    </w:rPr>
  </w:style>
  <w:style w:type="paragraph" w:customStyle="1" w:styleId="western">
    <w:name w:val="western"/>
    <w:basedOn w:val="Normal"/>
    <w:rsid w:val="00EA3766"/>
    <w:pPr>
      <w:spacing w:before="100" w:beforeAutospacing="1" w:after="100" w:afterAutospacing="1"/>
    </w:pPr>
  </w:style>
  <w:style w:type="paragraph" w:styleId="FootnoteText">
    <w:name w:val="footnote text"/>
    <w:basedOn w:val="Normal"/>
    <w:link w:val="FootnoteTextChar"/>
    <w:uiPriority w:val="99"/>
    <w:semiHidden/>
    <w:unhideWhenUsed/>
    <w:rsid w:val="00EA3766"/>
    <w:rPr>
      <w:rFonts w:eastAsiaTheme="minorHAnsi"/>
      <w:sz w:val="20"/>
      <w:szCs w:val="20"/>
    </w:rPr>
  </w:style>
  <w:style w:type="character" w:customStyle="1" w:styleId="FootnoteTextChar">
    <w:name w:val="Footnote Text Char"/>
    <w:basedOn w:val="DefaultParagraphFont"/>
    <w:link w:val="FootnoteText"/>
    <w:uiPriority w:val="99"/>
    <w:semiHidden/>
    <w:rsid w:val="00EA3766"/>
    <w:rPr>
      <w:rFonts w:eastAsiaTheme="minorHAnsi"/>
      <w:sz w:val="20"/>
      <w:szCs w:val="20"/>
      <w:lang w:val="en-ZA"/>
    </w:rPr>
  </w:style>
  <w:style w:type="character" w:styleId="FootnoteReference">
    <w:name w:val="footnote reference"/>
    <w:basedOn w:val="DefaultParagraphFont"/>
    <w:uiPriority w:val="99"/>
    <w:semiHidden/>
    <w:unhideWhenUsed/>
    <w:rsid w:val="00EA3766"/>
    <w:rPr>
      <w:vertAlign w:val="superscript"/>
    </w:rPr>
  </w:style>
  <w:style w:type="character" w:styleId="Hyperlink">
    <w:name w:val="Hyperlink"/>
    <w:basedOn w:val="DefaultParagraphFont"/>
    <w:uiPriority w:val="99"/>
    <w:semiHidden/>
    <w:unhideWhenUsed/>
    <w:rsid w:val="00EA3766"/>
    <w:rPr>
      <w:color w:val="0000FF"/>
      <w:u w:val="single"/>
    </w:rPr>
  </w:style>
  <w:style w:type="paragraph" w:styleId="NormalWeb">
    <w:name w:val="Normal (Web)"/>
    <w:basedOn w:val="Normal"/>
    <w:uiPriority w:val="99"/>
    <w:unhideWhenUsed/>
    <w:rsid w:val="00596559"/>
    <w:pPr>
      <w:spacing w:before="100" w:beforeAutospacing="1" w:after="100" w:afterAutospacing="1"/>
    </w:pPr>
  </w:style>
  <w:style w:type="character" w:styleId="Strong">
    <w:name w:val="Strong"/>
    <w:basedOn w:val="DefaultParagraphFont"/>
    <w:uiPriority w:val="22"/>
    <w:qFormat/>
    <w:rsid w:val="006F3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3775">
      <w:bodyDiv w:val="1"/>
      <w:marLeft w:val="0"/>
      <w:marRight w:val="0"/>
      <w:marTop w:val="0"/>
      <w:marBottom w:val="0"/>
      <w:divBdr>
        <w:top w:val="none" w:sz="0" w:space="0" w:color="auto"/>
        <w:left w:val="none" w:sz="0" w:space="0" w:color="auto"/>
        <w:bottom w:val="none" w:sz="0" w:space="0" w:color="auto"/>
        <w:right w:val="none" w:sz="0" w:space="0" w:color="auto"/>
      </w:divBdr>
    </w:div>
    <w:div w:id="161355549">
      <w:bodyDiv w:val="1"/>
      <w:marLeft w:val="0"/>
      <w:marRight w:val="0"/>
      <w:marTop w:val="0"/>
      <w:marBottom w:val="0"/>
      <w:divBdr>
        <w:top w:val="none" w:sz="0" w:space="0" w:color="auto"/>
        <w:left w:val="none" w:sz="0" w:space="0" w:color="auto"/>
        <w:bottom w:val="none" w:sz="0" w:space="0" w:color="auto"/>
        <w:right w:val="none" w:sz="0" w:space="0" w:color="auto"/>
      </w:divBdr>
    </w:div>
    <w:div w:id="547111982">
      <w:bodyDiv w:val="1"/>
      <w:marLeft w:val="0"/>
      <w:marRight w:val="0"/>
      <w:marTop w:val="0"/>
      <w:marBottom w:val="0"/>
      <w:divBdr>
        <w:top w:val="none" w:sz="0" w:space="0" w:color="auto"/>
        <w:left w:val="none" w:sz="0" w:space="0" w:color="auto"/>
        <w:bottom w:val="none" w:sz="0" w:space="0" w:color="auto"/>
        <w:right w:val="none" w:sz="0" w:space="0" w:color="auto"/>
      </w:divBdr>
    </w:div>
    <w:div w:id="553277742">
      <w:bodyDiv w:val="1"/>
      <w:marLeft w:val="0"/>
      <w:marRight w:val="0"/>
      <w:marTop w:val="0"/>
      <w:marBottom w:val="0"/>
      <w:divBdr>
        <w:top w:val="none" w:sz="0" w:space="0" w:color="auto"/>
        <w:left w:val="none" w:sz="0" w:space="0" w:color="auto"/>
        <w:bottom w:val="none" w:sz="0" w:space="0" w:color="auto"/>
        <w:right w:val="none" w:sz="0" w:space="0" w:color="auto"/>
      </w:divBdr>
    </w:div>
    <w:div w:id="620038112">
      <w:bodyDiv w:val="1"/>
      <w:marLeft w:val="0"/>
      <w:marRight w:val="0"/>
      <w:marTop w:val="0"/>
      <w:marBottom w:val="0"/>
      <w:divBdr>
        <w:top w:val="none" w:sz="0" w:space="0" w:color="auto"/>
        <w:left w:val="none" w:sz="0" w:space="0" w:color="auto"/>
        <w:bottom w:val="none" w:sz="0" w:space="0" w:color="auto"/>
        <w:right w:val="none" w:sz="0" w:space="0" w:color="auto"/>
      </w:divBdr>
    </w:div>
    <w:div w:id="621418763">
      <w:bodyDiv w:val="1"/>
      <w:marLeft w:val="0"/>
      <w:marRight w:val="0"/>
      <w:marTop w:val="0"/>
      <w:marBottom w:val="0"/>
      <w:divBdr>
        <w:top w:val="none" w:sz="0" w:space="0" w:color="auto"/>
        <w:left w:val="none" w:sz="0" w:space="0" w:color="auto"/>
        <w:bottom w:val="none" w:sz="0" w:space="0" w:color="auto"/>
        <w:right w:val="none" w:sz="0" w:space="0" w:color="auto"/>
      </w:divBdr>
    </w:div>
    <w:div w:id="630091716">
      <w:bodyDiv w:val="1"/>
      <w:marLeft w:val="0"/>
      <w:marRight w:val="0"/>
      <w:marTop w:val="0"/>
      <w:marBottom w:val="0"/>
      <w:divBdr>
        <w:top w:val="none" w:sz="0" w:space="0" w:color="auto"/>
        <w:left w:val="none" w:sz="0" w:space="0" w:color="auto"/>
        <w:bottom w:val="none" w:sz="0" w:space="0" w:color="auto"/>
        <w:right w:val="none" w:sz="0" w:space="0" w:color="auto"/>
      </w:divBdr>
    </w:div>
    <w:div w:id="1056851419">
      <w:bodyDiv w:val="1"/>
      <w:marLeft w:val="0"/>
      <w:marRight w:val="0"/>
      <w:marTop w:val="0"/>
      <w:marBottom w:val="0"/>
      <w:divBdr>
        <w:top w:val="none" w:sz="0" w:space="0" w:color="auto"/>
        <w:left w:val="none" w:sz="0" w:space="0" w:color="auto"/>
        <w:bottom w:val="none" w:sz="0" w:space="0" w:color="auto"/>
        <w:right w:val="none" w:sz="0" w:space="0" w:color="auto"/>
      </w:divBdr>
    </w:div>
    <w:div w:id="1098519835">
      <w:bodyDiv w:val="1"/>
      <w:marLeft w:val="0"/>
      <w:marRight w:val="0"/>
      <w:marTop w:val="0"/>
      <w:marBottom w:val="0"/>
      <w:divBdr>
        <w:top w:val="none" w:sz="0" w:space="0" w:color="auto"/>
        <w:left w:val="none" w:sz="0" w:space="0" w:color="auto"/>
        <w:bottom w:val="none" w:sz="0" w:space="0" w:color="auto"/>
        <w:right w:val="none" w:sz="0" w:space="0" w:color="auto"/>
      </w:divBdr>
      <w:divsChild>
        <w:div w:id="119883435">
          <w:marLeft w:val="0"/>
          <w:marRight w:val="0"/>
          <w:marTop w:val="0"/>
          <w:marBottom w:val="225"/>
          <w:divBdr>
            <w:top w:val="single" w:sz="24" w:space="0" w:color="auto"/>
            <w:left w:val="single" w:sz="24" w:space="0" w:color="auto"/>
            <w:bottom w:val="single" w:sz="36" w:space="0" w:color="003300"/>
            <w:right w:val="single" w:sz="24" w:space="0" w:color="auto"/>
          </w:divBdr>
          <w:divsChild>
            <w:div w:id="2090082034">
              <w:marLeft w:val="0"/>
              <w:marRight w:val="0"/>
              <w:marTop w:val="0"/>
              <w:marBottom w:val="0"/>
              <w:divBdr>
                <w:top w:val="none" w:sz="0" w:space="0" w:color="auto"/>
                <w:left w:val="none" w:sz="0" w:space="0" w:color="auto"/>
                <w:bottom w:val="none" w:sz="0" w:space="0" w:color="auto"/>
                <w:right w:val="none" w:sz="0" w:space="0" w:color="auto"/>
              </w:divBdr>
            </w:div>
          </w:divsChild>
        </w:div>
        <w:div w:id="1198734749">
          <w:marLeft w:val="0"/>
          <w:marRight w:val="0"/>
          <w:marTop w:val="0"/>
          <w:marBottom w:val="0"/>
          <w:divBdr>
            <w:top w:val="none" w:sz="0" w:space="0" w:color="auto"/>
            <w:left w:val="none" w:sz="0" w:space="0" w:color="auto"/>
            <w:bottom w:val="none" w:sz="0" w:space="0" w:color="auto"/>
            <w:right w:val="none" w:sz="0" w:space="0" w:color="auto"/>
          </w:divBdr>
          <w:divsChild>
            <w:div w:id="552355683">
              <w:marLeft w:val="0"/>
              <w:marRight w:val="0"/>
              <w:marTop w:val="0"/>
              <w:marBottom w:val="0"/>
              <w:divBdr>
                <w:top w:val="none" w:sz="0" w:space="0" w:color="auto"/>
                <w:left w:val="none" w:sz="0" w:space="0" w:color="auto"/>
                <w:bottom w:val="none" w:sz="0" w:space="0" w:color="auto"/>
                <w:right w:val="none" w:sz="0" w:space="0" w:color="auto"/>
              </w:divBdr>
              <w:divsChild>
                <w:div w:id="310063241">
                  <w:marLeft w:val="0"/>
                  <w:marRight w:val="0"/>
                  <w:marTop w:val="0"/>
                  <w:marBottom w:val="0"/>
                  <w:divBdr>
                    <w:top w:val="none" w:sz="0" w:space="0" w:color="auto"/>
                    <w:left w:val="none" w:sz="0" w:space="0" w:color="auto"/>
                    <w:bottom w:val="none" w:sz="0" w:space="0" w:color="auto"/>
                    <w:right w:val="none" w:sz="0" w:space="0" w:color="auto"/>
                  </w:divBdr>
                  <w:divsChild>
                    <w:div w:id="8544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372343">
      <w:bodyDiv w:val="1"/>
      <w:marLeft w:val="0"/>
      <w:marRight w:val="0"/>
      <w:marTop w:val="0"/>
      <w:marBottom w:val="0"/>
      <w:divBdr>
        <w:top w:val="none" w:sz="0" w:space="0" w:color="auto"/>
        <w:left w:val="none" w:sz="0" w:space="0" w:color="auto"/>
        <w:bottom w:val="none" w:sz="0" w:space="0" w:color="auto"/>
        <w:right w:val="none" w:sz="0" w:space="0" w:color="auto"/>
      </w:divBdr>
    </w:div>
    <w:div w:id="1291126641">
      <w:bodyDiv w:val="1"/>
      <w:marLeft w:val="0"/>
      <w:marRight w:val="0"/>
      <w:marTop w:val="0"/>
      <w:marBottom w:val="0"/>
      <w:divBdr>
        <w:top w:val="none" w:sz="0" w:space="0" w:color="auto"/>
        <w:left w:val="none" w:sz="0" w:space="0" w:color="auto"/>
        <w:bottom w:val="none" w:sz="0" w:space="0" w:color="auto"/>
        <w:right w:val="none" w:sz="0" w:space="0" w:color="auto"/>
      </w:divBdr>
    </w:div>
    <w:div w:id="1302073227">
      <w:bodyDiv w:val="1"/>
      <w:marLeft w:val="0"/>
      <w:marRight w:val="0"/>
      <w:marTop w:val="0"/>
      <w:marBottom w:val="0"/>
      <w:divBdr>
        <w:top w:val="none" w:sz="0" w:space="0" w:color="auto"/>
        <w:left w:val="none" w:sz="0" w:space="0" w:color="auto"/>
        <w:bottom w:val="none" w:sz="0" w:space="0" w:color="auto"/>
        <w:right w:val="none" w:sz="0" w:space="0" w:color="auto"/>
      </w:divBdr>
      <w:divsChild>
        <w:div w:id="454368003">
          <w:marLeft w:val="0"/>
          <w:marRight w:val="0"/>
          <w:marTop w:val="0"/>
          <w:marBottom w:val="0"/>
          <w:divBdr>
            <w:top w:val="none" w:sz="0" w:space="0" w:color="auto"/>
            <w:left w:val="none" w:sz="0" w:space="0" w:color="auto"/>
            <w:bottom w:val="none" w:sz="0" w:space="0" w:color="auto"/>
            <w:right w:val="none" w:sz="0" w:space="0" w:color="auto"/>
          </w:divBdr>
        </w:div>
      </w:divsChild>
    </w:div>
    <w:div w:id="1325745379">
      <w:bodyDiv w:val="1"/>
      <w:marLeft w:val="0"/>
      <w:marRight w:val="0"/>
      <w:marTop w:val="0"/>
      <w:marBottom w:val="0"/>
      <w:divBdr>
        <w:top w:val="none" w:sz="0" w:space="0" w:color="auto"/>
        <w:left w:val="none" w:sz="0" w:space="0" w:color="auto"/>
        <w:bottom w:val="none" w:sz="0" w:space="0" w:color="auto"/>
        <w:right w:val="none" w:sz="0" w:space="0" w:color="auto"/>
      </w:divBdr>
    </w:div>
    <w:div w:id="1364400578">
      <w:bodyDiv w:val="1"/>
      <w:marLeft w:val="0"/>
      <w:marRight w:val="0"/>
      <w:marTop w:val="0"/>
      <w:marBottom w:val="0"/>
      <w:divBdr>
        <w:top w:val="none" w:sz="0" w:space="0" w:color="auto"/>
        <w:left w:val="none" w:sz="0" w:space="0" w:color="auto"/>
        <w:bottom w:val="none" w:sz="0" w:space="0" w:color="auto"/>
        <w:right w:val="none" w:sz="0" w:space="0" w:color="auto"/>
      </w:divBdr>
    </w:div>
    <w:div w:id="1485077661">
      <w:bodyDiv w:val="1"/>
      <w:marLeft w:val="0"/>
      <w:marRight w:val="0"/>
      <w:marTop w:val="0"/>
      <w:marBottom w:val="0"/>
      <w:divBdr>
        <w:top w:val="none" w:sz="0" w:space="0" w:color="auto"/>
        <w:left w:val="none" w:sz="0" w:space="0" w:color="auto"/>
        <w:bottom w:val="none" w:sz="0" w:space="0" w:color="auto"/>
        <w:right w:val="none" w:sz="0" w:space="0" w:color="auto"/>
      </w:divBdr>
    </w:div>
    <w:div w:id="1581402078">
      <w:bodyDiv w:val="1"/>
      <w:marLeft w:val="0"/>
      <w:marRight w:val="0"/>
      <w:marTop w:val="0"/>
      <w:marBottom w:val="0"/>
      <w:divBdr>
        <w:top w:val="none" w:sz="0" w:space="0" w:color="auto"/>
        <w:left w:val="none" w:sz="0" w:space="0" w:color="auto"/>
        <w:bottom w:val="none" w:sz="0" w:space="0" w:color="auto"/>
        <w:right w:val="none" w:sz="0" w:space="0" w:color="auto"/>
      </w:divBdr>
      <w:divsChild>
        <w:div w:id="656373611">
          <w:marLeft w:val="0"/>
          <w:marRight w:val="0"/>
          <w:marTop w:val="0"/>
          <w:marBottom w:val="0"/>
          <w:divBdr>
            <w:top w:val="none" w:sz="0" w:space="0" w:color="auto"/>
            <w:left w:val="none" w:sz="0" w:space="0" w:color="auto"/>
            <w:bottom w:val="none" w:sz="0" w:space="0" w:color="auto"/>
            <w:right w:val="none" w:sz="0" w:space="0" w:color="auto"/>
          </w:divBdr>
        </w:div>
      </w:divsChild>
    </w:div>
    <w:div w:id="1845897423">
      <w:bodyDiv w:val="1"/>
      <w:marLeft w:val="0"/>
      <w:marRight w:val="0"/>
      <w:marTop w:val="0"/>
      <w:marBottom w:val="0"/>
      <w:divBdr>
        <w:top w:val="none" w:sz="0" w:space="0" w:color="auto"/>
        <w:left w:val="none" w:sz="0" w:space="0" w:color="auto"/>
        <w:bottom w:val="none" w:sz="0" w:space="0" w:color="auto"/>
        <w:right w:val="none" w:sz="0" w:space="0" w:color="auto"/>
      </w:divBdr>
    </w:div>
    <w:div w:id="1952273984">
      <w:bodyDiv w:val="1"/>
      <w:marLeft w:val="0"/>
      <w:marRight w:val="0"/>
      <w:marTop w:val="0"/>
      <w:marBottom w:val="0"/>
      <w:divBdr>
        <w:top w:val="none" w:sz="0" w:space="0" w:color="auto"/>
        <w:left w:val="none" w:sz="0" w:space="0" w:color="auto"/>
        <w:bottom w:val="none" w:sz="0" w:space="0" w:color="auto"/>
        <w:right w:val="none" w:sz="0" w:space="0" w:color="auto"/>
      </w:divBdr>
    </w:div>
    <w:div w:id="1987854250">
      <w:bodyDiv w:val="1"/>
      <w:marLeft w:val="0"/>
      <w:marRight w:val="0"/>
      <w:marTop w:val="0"/>
      <w:marBottom w:val="0"/>
      <w:divBdr>
        <w:top w:val="none" w:sz="0" w:space="0" w:color="auto"/>
        <w:left w:val="none" w:sz="0" w:space="0" w:color="auto"/>
        <w:bottom w:val="none" w:sz="0" w:space="0" w:color="auto"/>
        <w:right w:val="none" w:sz="0" w:space="0" w:color="auto"/>
      </w:divBdr>
    </w:div>
    <w:div w:id="2021345742">
      <w:bodyDiv w:val="1"/>
      <w:marLeft w:val="0"/>
      <w:marRight w:val="0"/>
      <w:marTop w:val="0"/>
      <w:marBottom w:val="0"/>
      <w:divBdr>
        <w:top w:val="none" w:sz="0" w:space="0" w:color="auto"/>
        <w:left w:val="none" w:sz="0" w:space="0" w:color="auto"/>
        <w:bottom w:val="none" w:sz="0" w:space="0" w:color="auto"/>
        <w:right w:val="none" w:sz="0" w:space="0" w:color="auto"/>
      </w:divBdr>
    </w:div>
    <w:div w:id="20999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6" ma:contentTypeDescription="Create a new document." ma:contentTypeScope="" ma:versionID="afbb514d1f7faaac1677421d3d84c17b">
  <xsd:schema xmlns:xsd="http://www.w3.org/2001/XMLSchema" xmlns:xs="http://www.w3.org/2001/XMLSchema" xmlns:p="http://schemas.microsoft.com/office/2006/metadata/properties" xmlns:ns3="174cfbbd-a4b3-405f-949d-96311ae9159c" xmlns:ns4="51d8eaa0-293e-4b49-b7e8-af3655085324" targetNamespace="http://schemas.microsoft.com/office/2006/metadata/properties" ma:root="true" ma:fieldsID="f0bb8b48da4a8b45b8181e86770c6cda" ns3:_="" ns4:_="">
    <xsd:import namespace="174cfbbd-a4b3-405f-949d-96311ae9159c"/>
    <xsd:import namespace="51d8eaa0-293e-4b49-b7e8-af365508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Props1.xml><?xml version="1.0" encoding="utf-8"?>
<ds:datastoreItem xmlns:ds="http://schemas.openxmlformats.org/officeDocument/2006/customXml" ds:itemID="{298D3F5A-B158-4BE1-8715-C81D674F76D6}">
  <ds:schemaRefs>
    <ds:schemaRef ds:uri="http://schemas.microsoft.com/sharepoint/v3/contenttype/forms"/>
  </ds:schemaRefs>
</ds:datastoreItem>
</file>

<file path=customXml/itemProps2.xml><?xml version="1.0" encoding="utf-8"?>
<ds:datastoreItem xmlns:ds="http://schemas.openxmlformats.org/officeDocument/2006/customXml" ds:itemID="{0D282370-335E-45EE-B8F5-0F517520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fbbd-a4b3-405f-949d-96311ae9159c"/>
    <ds:schemaRef ds:uri="51d8eaa0-293e-4b49-b7e8-af365508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70FB1-F323-4451-8A3E-22AFE19DFEF9}">
  <ds:schemaRefs>
    <ds:schemaRef ds:uri="http://schemas.microsoft.com/office/2006/metadata/properties"/>
    <ds:schemaRef ds:uri="http://schemas.microsoft.com/office/infopath/2007/PartnerControls"/>
    <ds:schemaRef ds:uri="51d8eaa0-293e-4b49-b7e8-af36550853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chantalgusha@gmail.com</dc:creator>
  <cp:keywords/>
  <dc:description/>
  <cp:lastModifiedBy>Mary Bruce</cp:lastModifiedBy>
  <cp:revision>3</cp:revision>
  <cp:lastPrinted>2024-02-09T12:02:00Z</cp:lastPrinted>
  <dcterms:created xsi:type="dcterms:W3CDTF">2024-02-27T06:39:00Z</dcterms:created>
  <dcterms:modified xsi:type="dcterms:W3CDTF">2024-02-27T13:03:00Z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