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86B09" w14:textId="77777777" w:rsidR="00905CBC" w:rsidRDefault="00905CBC" w:rsidP="00905CBC">
      <w:pPr>
        <w:snapToGrid w:val="0"/>
        <w:spacing w:after="120" w:line="360" w:lineRule="auto"/>
        <w:jc w:val="center"/>
        <w:rPr>
          <w:rFonts w:ascii="Arial" w:hAnsi="Arial" w:cs="Arial"/>
          <w:b/>
          <w:sz w:val="24"/>
          <w:szCs w:val="24"/>
          <w:lang w:val="en-ZA"/>
        </w:rPr>
      </w:pPr>
      <w:bookmarkStart w:id="0" w:name="_GoBack"/>
      <w:bookmarkEnd w:id="0"/>
      <w:r>
        <w:rPr>
          <w:rFonts w:ascii="Arial" w:hAnsi="Arial" w:cs="Arial"/>
          <w:b/>
          <w:sz w:val="24"/>
          <w:szCs w:val="24"/>
          <w:lang w:val="en-ZA"/>
        </w:rPr>
        <w:t>THE REPUBLIC OF SOUTH AFRICA</w:t>
      </w:r>
    </w:p>
    <w:p w14:paraId="115EEDEC" w14:textId="77777777" w:rsidR="00905CBC" w:rsidRDefault="00861D0E" w:rsidP="00905CBC">
      <w:pPr>
        <w:snapToGrid w:val="0"/>
        <w:spacing w:after="120" w:line="360" w:lineRule="auto"/>
        <w:jc w:val="center"/>
        <w:rPr>
          <w:rFonts w:ascii="Arial" w:hAnsi="Arial" w:cs="Arial"/>
          <w:b/>
          <w:sz w:val="24"/>
          <w:szCs w:val="24"/>
          <w:lang w:val="en-ZA"/>
        </w:rPr>
      </w:pPr>
      <w:r>
        <w:rPr>
          <w:noProof/>
          <w:color w:val="1F497D"/>
          <w:sz w:val="16"/>
          <w:szCs w:val="16"/>
        </w:rPr>
        <w:fldChar w:fldCharType="begin"/>
      </w:r>
      <w:r>
        <w:rPr>
          <w:noProof/>
          <w:color w:val="1F497D"/>
          <w:sz w:val="16"/>
          <w:szCs w:val="16"/>
        </w:rPr>
        <w:instrText xml:space="preserve"> INCLUDEPICTURE  "F:\\..\\AppData\\Local\\Microsoft\\Windows\\cid\\image008.png@01D15507.FF25BB90" \* MERGEFORMATINET </w:instrText>
      </w:r>
      <w:r>
        <w:rPr>
          <w:noProof/>
          <w:color w:val="1F497D"/>
          <w:sz w:val="16"/>
          <w:szCs w:val="16"/>
        </w:rPr>
        <w:fldChar w:fldCharType="separate"/>
      </w:r>
      <w:r>
        <w:rPr>
          <w:noProof/>
          <w:color w:val="1F497D"/>
          <w:sz w:val="16"/>
          <w:szCs w:val="16"/>
          <w:lang w:val="en-ZA" w:eastAsia="en-ZA"/>
        </w:rPr>
        <w:drawing>
          <wp:inline distT="0" distB="0" distL="0" distR="0" wp14:anchorId="5522E9EA" wp14:editId="3774A594">
            <wp:extent cx="1358900" cy="1358900"/>
            <wp:effectExtent l="0" t="0" r="0" b="0"/>
            <wp:docPr id="1" name="Picture 4" descr="A picture containing sauce, food, window&#10;&#10;&#10;&#10;&#10;&#10;&#10;&#10;&#10;&#10;&#10;&#10;&#10;&#10;&#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sauce, food, window&#10;&#10;&#10;&#10;&#10;&#10;&#10;&#10;&#10;&#10;&#10;&#10;&#10;&#10;&#10;&#10;&#10;&#10;&#10;&#10;&#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r>
        <w:rPr>
          <w:noProof/>
          <w:color w:val="1F497D"/>
          <w:sz w:val="16"/>
          <w:szCs w:val="16"/>
        </w:rPr>
        <w:fldChar w:fldCharType="end"/>
      </w:r>
    </w:p>
    <w:p w14:paraId="01DA2C50" w14:textId="77777777" w:rsidR="00EA7962" w:rsidRPr="00C1551F" w:rsidRDefault="00EA7962" w:rsidP="00905CBC">
      <w:pPr>
        <w:snapToGrid w:val="0"/>
        <w:spacing w:after="120" w:line="360" w:lineRule="auto"/>
        <w:jc w:val="center"/>
        <w:rPr>
          <w:rFonts w:ascii="Arial" w:hAnsi="Arial" w:cs="Arial"/>
          <w:b/>
          <w:sz w:val="24"/>
          <w:szCs w:val="24"/>
          <w:lang w:val="en-ZA"/>
        </w:rPr>
      </w:pPr>
      <w:r w:rsidRPr="00C1551F">
        <w:rPr>
          <w:rFonts w:ascii="Arial" w:hAnsi="Arial" w:cs="Arial"/>
          <w:b/>
          <w:sz w:val="24"/>
          <w:szCs w:val="24"/>
          <w:lang w:val="en-ZA"/>
        </w:rPr>
        <w:t>IN THE HIGH COURT OF SOUTH AFRICA</w:t>
      </w:r>
    </w:p>
    <w:p w14:paraId="29E2A7AB" w14:textId="77777777" w:rsidR="00EA7962" w:rsidRPr="00C1551F" w:rsidRDefault="00EA7962" w:rsidP="00905CBC">
      <w:pPr>
        <w:snapToGrid w:val="0"/>
        <w:spacing w:after="120" w:line="360" w:lineRule="auto"/>
        <w:jc w:val="center"/>
        <w:rPr>
          <w:rFonts w:ascii="Arial" w:hAnsi="Arial" w:cs="Arial"/>
          <w:b/>
          <w:sz w:val="24"/>
          <w:szCs w:val="24"/>
          <w:lang w:val="en-ZA"/>
        </w:rPr>
      </w:pPr>
      <w:r w:rsidRPr="00C1551F">
        <w:rPr>
          <w:rFonts w:ascii="Arial" w:hAnsi="Arial" w:cs="Arial"/>
          <w:b/>
          <w:sz w:val="24"/>
          <w:szCs w:val="24"/>
          <w:lang w:val="en-ZA"/>
        </w:rPr>
        <w:t>(WESTERN CAPE DIVISION, CAPE TOWN)</w:t>
      </w:r>
    </w:p>
    <w:p w14:paraId="77472436" w14:textId="77777777" w:rsidR="00EA7962" w:rsidRPr="00C1551F" w:rsidRDefault="00EA7962" w:rsidP="00905CBC">
      <w:pPr>
        <w:snapToGrid w:val="0"/>
        <w:spacing w:after="120" w:line="360" w:lineRule="auto"/>
        <w:jc w:val="both"/>
        <w:rPr>
          <w:rFonts w:ascii="Arial" w:hAnsi="Arial" w:cs="Arial"/>
          <w:b/>
          <w:sz w:val="24"/>
          <w:szCs w:val="24"/>
          <w:lang w:val="en-ZA"/>
        </w:rPr>
      </w:pP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00861D0E">
        <w:rPr>
          <w:rFonts w:ascii="Arial" w:hAnsi="Arial" w:cs="Arial"/>
          <w:b/>
          <w:sz w:val="24"/>
          <w:szCs w:val="24"/>
          <w:lang w:val="en-ZA"/>
        </w:rPr>
        <w:tab/>
      </w:r>
      <w:r w:rsidRPr="00C1551F">
        <w:rPr>
          <w:rFonts w:ascii="Arial" w:hAnsi="Arial" w:cs="Arial"/>
          <w:b/>
          <w:bCs/>
          <w:sz w:val="24"/>
          <w:szCs w:val="24"/>
          <w:lang w:val="en-ZA"/>
        </w:rPr>
        <w:t>CASE NO:  16305/22</w:t>
      </w:r>
    </w:p>
    <w:p w14:paraId="7F451B55" w14:textId="77777777" w:rsidR="00EA7962" w:rsidRPr="00C1551F" w:rsidRDefault="00EA7962" w:rsidP="00905CBC">
      <w:pPr>
        <w:snapToGrid w:val="0"/>
        <w:spacing w:after="120" w:line="360" w:lineRule="auto"/>
        <w:jc w:val="both"/>
        <w:rPr>
          <w:rFonts w:ascii="Arial" w:hAnsi="Arial" w:cs="Arial"/>
          <w:bCs/>
          <w:sz w:val="24"/>
          <w:szCs w:val="24"/>
          <w:lang w:val="en-ZA"/>
        </w:rPr>
      </w:pPr>
      <w:r w:rsidRPr="00C1551F">
        <w:rPr>
          <w:rFonts w:ascii="Arial" w:hAnsi="Arial" w:cs="Arial"/>
          <w:bCs/>
          <w:sz w:val="24"/>
          <w:szCs w:val="24"/>
          <w:lang w:val="en-ZA"/>
        </w:rPr>
        <w:t xml:space="preserve">In the matter between: </w:t>
      </w:r>
    </w:p>
    <w:p w14:paraId="1936857D" w14:textId="77777777" w:rsidR="00EA7962" w:rsidRPr="00C1551F" w:rsidRDefault="00EA7962" w:rsidP="00905CBC">
      <w:pPr>
        <w:tabs>
          <w:tab w:val="left" w:pos="6521"/>
          <w:tab w:val="left" w:pos="6804"/>
        </w:tabs>
        <w:snapToGrid w:val="0"/>
        <w:spacing w:after="120" w:line="360" w:lineRule="auto"/>
        <w:jc w:val="both"/>
        <w:rPr>
          <w:rFonts w:ascii="Arial" w:hAnsi="Arial" w:cs="Arial"/>
          <w:sz w:val="24"/>
          <w:szCs w:val="24"/>
          <w:lang w:val="en-ZA"/>
        </w:rPr>
      </w:pPr>
      <w:r w:rsidRPr="00C1551F">
        <w:rPr>
          <w:rFonts w:ascii="Arial" w:hAnsi="Arial" w:cs="Arial"/>
          <w:b/>
          <w:bCs/>
          <w:sz w:val="24"/>
          <w:szCs w:val="24"/>
          <w:lang w:val="en-ZA"/>
        </w:rPr>
        <w:t xml:space="preserve">MARKRAM JAN KELLERMAN                                </w:t>
      </w:r>
      <w:r w:rsidRPr="00C1551F">
        <w:rPr>
          <w:rFonts w:ascii="Arial" w:hAnsi="Arial" w:cs="Arial"/>
          <w:b/>
          <w:bCs/>
          <w:sz w:val="24"/>
          <w:szCs w:val="24"/>
          <w:lang w:val="en-ZA"/>
        </w:rPr>
        <w:tab/>
        <w:t xml:space="preserve">                      </w:t>
      </w:r>
      <w:r w:rsidRPr="00C1551F">
        <w:rPr>
          <w:rFonts w:ascii="Arial" w:hAnsi="Arial" w:cs="Arial"/>
          <w:sz w:val="24"/>
          <w:szCs w:val="24"/>
          <w:lang w:val="en-ZA"/>
        </w:rPr>
        <w:t>Applicant</w:t>
      </w:r>
    </w:p>
    <w:p w14:paraId="5BABDEC1" w14:textId="77777777" w:rsidR="00EA7962" w:rsidRPr="00C1551F" w:rsidRDefault="00EA7962" w:rsidP="00905CBC">
      <w:pPr>
        <w:snapToGrid w:val="0"/>
        <w:spacing w:after="120" w:line="360" w:lineRule="auto"/>
        <w:jc w:val="both"/>
        <w:rPr>
          <w:rFonts w:ascii="Arial" w:hAnsi="Arial" w:cs="Arial"/>
          <w:sz w:val="24"/>
          <w:szCs w:val="24"/>
          <w:lang w:val="en-ZA"/>
        </w:rPr>
      </w:pPr>
      <w:r w:rsidRPr="00C1551F">
        <w:rPr>
          <w:rFonts w:ascii="Arial" w:hAnsi="Arial" w:cs="Arial"/>
          <w:sz w:val="24"/>
          <w:szCs w:val="24"/>
          <w:lang w:val="en-ZA"/>
        </w:rPr>
        <w:t>and</w:t>
      </w:r>
    </w:p>
    <w:p w14:paraId="6B8D83DA" w14:textId="77777777" w:rsidR="00EA7962" w:rsidRPr="00C1551F" w:rsidRDefault="00EA7962" w:rsidP="00905CBC">
      <w:pPr>
        <w:snapToGrid w:val="0"/>
        <w:spacing w:after="120" w:line="360" w:lineRule="auto"/>
        <w:jc w:val="both"/>
        <w:rPr>
          <w:rFonts w:ascii="Arial" w:hAnsi="Arial" w:cs="Arial"/>
          <w:b/>
          <w:bCs/>
          <w:sz w:val="24"/>
          <w:szCs w:val="24"/>
          <w:lang w:val="en-ZA"/>
        </w:rPr>
      </w:pPr>
      <w:r w:rsidRPr="00C1551F">
        <w:rPr>
          <w:rFonts w:ascii="Arial" w:hAnsi="Arial" w:cs="Arial"/>
          <w:b/>
          <w:bCs/>
          <w:sz w:val="24"/>
          <w:szCs w:val="24"/>
          <w:lang w:val="en-ZA"/>
        </w:rPr>
        <w:t xml:space="preserve">THE LEGAL PRACTICE COUNCIL, </w:t>
      </w:r>
    </w:p>
    <w:p w14:paraId="2F08380F" w14:textId="77777777" w:rsidR="00EA7962" w:rsidRPr="00C1551F" w:rsidRDefault="00EA7962" w:rsidP="00905CBC">
      <w:pPr>
        <w:snapToGrid w:val="0"/>
        <w:spacing w:after="120" w:line="360" w:lineRule="auto"/>
        <w:jc w:val="both"/>
        <w:rPr>
          <w:rFonts w:ascii="Arial" w:hAnsi="Arial" w:cs="Arial"/>
          <w:bCs/>
          <w:sz w:val="24"/>
          <w:szCs w:val="24"/>
          <w:lang w:val="en-ZA"/>
        </w:rPr>
      </w:pPr>
      <w:r w:rsidRPr="00C1551F">
        <w:rPr>
          <w:rFonts w:ascii="Arial" w:hAnsi="Arial" w:cs="Arial"/>
          <w:b/>
          <w:bCs/>
          <w:sz w:val="24"/>
          <w:szCs w:val="24"/>
          <w:lang w:val="en-ZA"/>
        </w:rPr>
        <w:t xml:space="preserve">WESTERN CAPE OFFICE ("THE WCLPC") </w:t>
      </w:r>
      <w:r w:rsidRPr="00C1551F">
        <w:rPr>
          <w:rFonts w:ascii="Arial" w:hAnsi="Arial" w:cs="Arial"/>
          <w:b/>
          <w:bCs/>
          <w:sz w:val="24"/>
          <w:szCs w:val="24"/>
          <w:lang w:val="en-ZA"/>
        </w:rPr>
        <w:tab/>
      </w:r>
      <w:r w:rsidRPr="00C1551F">
        <w:rPr>
          <w:rFonts w:ascii="Arial" w:hAnsi="Arial" w:cs="Arial"/>
          <w:b/>
          <w:bCs/>
          <w:sz w:val="24"/>
          <w:szCs w:val="24"/>
          <w:lang w:val="en-ZA"/>
        </w:rPr>
        <w:tab/>
        <w:t xml:space="preserve">         </w:t>
      </w:r>
      <w:r w:rsidRPr="00C1551F">
        <w:rPr>
          <w:rFonts w:ascii="Arial" w:hAnsi="Arial" w:cs="Arial"/>
          <w:bCs/>
          <w:sz w:val="24"/>
          <w:szCs w:val="24"/>
          <w:lang w:val="en-ZA"/>
        </w:rPr>
        <w:t xml:space="preserve">            First Respondent</w:t>
      </w:r>
    </w:p>
    <w:p w14:paraId="695B66A5" w14:textId="77777777" w:rsidR="00EA7962" w:rsidRPr="00C1551F" w:rsidRDefault="00EA7962" w:rsidP="00905CBC">
      <w:pPr>
        <w:snapToGrid w:val="0"/>
        <w:spacing w:after="120" w:line="360" w:lineRule="auto"/>
        <w:jc w:val="both"/>
        <w:rPr>
          <w:rFonts w:ascii="Arial" w:hAnsi="Arial" w:cs="Arial"/>
          <w:b/>
          <w:sz w:val="24"/>
          <w:szCs w:val="24"/>
          <w:lang w:val="en-ZA"/>
        </w:rPr>
      </w:pPr>
      <w:r w:rsidRPr="00C1551F">
        <w:rPr>
          <w:rFonts w:ascii="Arial" w:hAnsi="Arial" w:cs="Arial"/>
          <w:b/>
          <w:sz w:val="24"/>
          <w:szCs w:val="24"/>
          <w:lang w:val="en-ZA"/>
        </w:rPr>
        <w:t>THE LEGAL PRACTICE COUNCIL (NATIONAL)</w:t>
      </w:r>
    </w:p>
    <w:p w14:paraId="727DC7EB" w14:textId="77777777" w:rsidR="00EA7962" w:rsidRPr="00C1551F" w:rsidRDefault="00EA7962" w:rsidP="00905CBC">
      <w:pPr>
        <w:snapToGrid w:val="0"/>
        <w:spacing w:after="120" w:line="360" w:lineRule="auto"/>
        <w:jc w:val="both"/>
        <w:rPr>
          <w:rFonts w:ascii="Arial" w:hAnsi="Arial" w:cs="Arial"/>
          <w:bCs/>
          <w:sz w:val="24"/>
          <w:szCs w:val="24"/>
          <w:lang w:val="en-ZA"/>
        </w:rPr>
      </w:pPr>
      <w:r w:rsidRPr="00C1551F">
        <w:rPr>
          <w:rFonts w:ascii="Arial" w:hAnsi="Arial" w:cs="Arial"/>
          <w:b/>
          <w:sz w:val="24"/>
          <w:szCs w:val="24"/>
          <w:lang w:val="en-ZA"/>
        </w:rPr>
        <w:t>("THE LPC")</w:t>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003752F8" w:rsidRPr="00C1551F">
        <w:rPr>
          <w:rFonts w:ascii="Arial" w:hAnsi="Arial" w:cs="Arial"/>
          <w:b/>
          <w:sz w:val="24"/>
          <w:szCs w:val="24"/>
          <w:lang w:val="en-ZA"/>
        </w:rPr>
        <w:tab/>
      </w:r>
      <w:r w:rsidR="003752F8" w:rsidRPr="00C1551F">
        <w:rPr>
          <w:rFonts w:ascii="Arial" w:hAnsi="Arial" w:cs="Arial"/>
          <w:b/>
          <w:sz w:val="24"/>
          <w:szCs w:val="24"/>
          <w:lang w:val="en-ZA"/>
        </w:rPr>
        <w:tab/>
      </w:r>
      <w:r w:rsidRPr="00C1551F">
        <w:rPr>
          <w:rFonts w:ascii="Arial" w:hAnsi="Arial" w:cs="Arial"/>
          <w:b/>
          <w:sz w:val="24"/>
          <w:szCs w:val="24"/>
          <w:lang w:val="en-ZA"/>
        </w:rPr>
        <w:t xml:space="preserve">     </w:t>
      </w:r>
      <w:r w:rsidRPr="00C1551F">
        <w:rPr>
          <w:rFonts w:ascii="Arial" w:hAnsi="Arial" w:cs="Arial"/>
          <w:bCs/>
          <w:sz w:val="24"/>
          <w:szCs w:val="24"/>
          <w:lang w:val="en-ZA"/>
        </w:rPr>
        <w:t>Second Respondent</w:t>
      </w:r>
    </w:p>
    <w:p w14:paraId="5E6B6580" w14:textId="77777777" w:rsidR="00EA7962" w:rsidRPr="00C1551F" w:rsidRDefault="00EA7962" w:rsidP="00905CBC">
      <w:pPr>
        <w:snapToGrid w:val="0"/>
        <w:spacing w:after="120" w:line="360" w:lineRule="auto"/>
        <w:jc w:val="both"/>
        <w:rPr>
          <w:rFonts w:ascii="Arial" w:hAnsi="Arial" w:cs="Arial"/>
          <w:bCs/>
          <w:sz w:val="24"/>
          <w:szCs w:val="24"/>
          <w:lang w:val="en-ZA"/>
        </w:rPr>
      </w:pPr>
      <w:r w:rsidRPr="00C1551F">
        <w:rPr>
          <w:rFonts w:ascii="Arial" w:hAnsi="Arial" w:cs="Arial"/>
          <w:b/>
          <w:sz w:val="24"/>
          <w:szCs w:val="24"/>
          <w:lang w:val="en-ZA"/>
        </w:rPr>
        <w:t>MR PIERRE DU TOIT</w:t>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
          <w:sz w:val="24"/>
          <w:szCs w:val="24"/>
          <w:lang w:val="en-ZA"/>
        </w:rPr>
        <w:tab/>
      </w:r>
      <w:r w:rsidRPr="00C1551F">
        <w:rPr>
          <w:rFonts w:ascii="Arial" w:hAnsi="Arial" w:cs="Arial"/>
          <w:bCs/>
          <w:sz w:val="24"/>
          <w:szCs w:val="24"/>
          <w:lang w:val="en-ZA"/>
        </w:rPr>
        <w:tab/>
        <w:t xml:space="preserve">         Third Respondent</w:t>
      </w:r>
    </w:p>
    <w:p w14:paraId="5921C554" w14:textId="77777777" w:rsidR="00EA7962" w:rsidRPr="00C1551F" w:rsidRDefault="00EA7962" w:rsidP="00905CBC">
      <w:pPr>
        <w:snapToGrid w:val="0"/>
        <w:spacing w:after="120" w:line="360" w:lineRule="auto"/>
        <w:jc w:val="both"/>
        <w:rPr>
          <w:rFonts w:ascii="Arial" w:hAnsi="Arial" w:cs="Arial"/>
          <w:bCs/>
          <w:sz w:val="24"/>
          <w:szCs w:val="24"/>
          <w:lang w:val="en-ZA"/>
        </w:rPr>
      </w:pPr>
      <w:r w:rsidRPr="00C1551F">
        <w:rPr>
          <w:rFonts w:ascii="Arial" w:hAnsi="Arial" w:cs="Arial"/>
          <w:b/>
          <w:sz w:val="24"/>
          <w:szCs w:val="24"/>
          <w:lang w:val="en-ZA"/>
        </w:rPr>
        <w:t>THE LEGAL SERVICES OMBUD ("THE OMBUD")</w:t>
      </w:r>
      <w:r w:rsidRPr="00C1551F">
        <w:rPr>
          <w:rFonts w:ascii="Arial" w:hAnsi="Arial" w:cs="Arial"/>
          <w:b/>
          <w:sz w:val="24"/>
          <w:szCs w:val="24"/>
          <w:lang w:val="en-ZA"/>
        </w:rPr>
        <w:tab/>
      </w:r>
      <w:r w:rsidRPr="00C1551F">
        <w:rPr>
          <w:rFonts w:ascii="Arial" w:hAnsi="Arial" w:cs="Arial"/>
          <w:b/>
          <w:sz w:val="24"/>
          <w:szCs w:val="24"/>
          <w:lang w:val="en-ZA"/>
        </w:rPr>
        <w:tab/>
        <w:t xml:space="preserve">       </w:t>
      </w:r>
      <w:r w:rsidRPr="00C1551F">
        <w:rPr>
          <w:rFonts w:ascii="Arial" w:hAnsi="Arial" w:cs="Arial"/>
          <w:bCs/>
          <w:sz w:val="24"/>
          <w:szCs w:val="24"/>
          <w:lang w:val="en-ZA"/>
        </w:rPr>
        <w:t>Fourth Respondent</w:t>
      </w:r>
    </w:p>
    <w:p w14:paraId="7F9BFB95" w14:textId="77777777" w:rsidR="00EA7962" w:rsidRPr="00C1551F" w:rsidRDefault="00EA7962" w:rsidP="00905CBC">
      <w:pPr>
        <w:snapToGrid w:val="0"/>
        <w:spacing w:after="120" w:line="360" w:lineRule="auto"/>
        <w:jc w:val="both"/>
        <w:rPr>
          <w:rFonts w:ascii="Arial" w:hAnsi="Arial" w:cs="Arial"/>
          <w:b/>
          <w:sz w:val="24"/>
          <w:szCs w:val="24"/>
          <w:lang w:val="en-ZA"/>
        </w:rPr>
      </w:pPr>
      <w:r w:rsidRPr="00C1551F">
        <w:rPr>
          <w:rFonts w:ascii="Arial" w:hAnsi="Arial" w:cs="Arial"/>
          <w:b/>
          <w:sz w:val="24"/>
          <w:szCs w:val="24"/>
          <w:lang w:val="en-ZA"/>
        </w:rPr>
        <w:t>(The Honourable Mr Justice Desai)</w:t>
      </w:r>
      <w:r w:rsidRPr="00C1551F">
        <w:rPr>
          <w:rFonts w:ascii="Arial" w:hAnsi="Arial" w:cs="Arial"/>
          <w:b/>
          <w:sz w:val="24"/>
          <w:szCs w:val="24"/>
          <w:lang w:val="en-ZA"/>
        </w:rPr>
        <w:tab/>
      </w:r>
    </w:p>
    <w:p w14:paraId="1E0F7BB1" w14:textId="77777777" w:rsidR="00861D0E" w:rsidRDefault="00861D0E" w:rsidP="00905CBC">
      <w:pPr>
        <w:pBdr>
          <w:bottom w:val="single" w:sz="12" w:space="1" w:color="auto"/>
        </w:pBdr>
        <w:tabs>
          <w:tab w:val="right" w:pos="9022"/>
        </w:tabs>
        <w:snapToGrid w:val="0"/>
        <w:spacing w:after="120" w:line="360" w:lineRule="auto"/>
        <w:jc w:val="both"/>
        <w:rPr>
          <w:rFonts w:ascii="Arial" w:hAnsi="Arial" w:cs="Arial"/>
          <w:bCs/>
          <w:sz w:val="24"/>
          <w:szCs w:val="24"/>
          <w:lang w:val="en-ZA"/>
        </w:rPr>
      </w:pPr>
    </w:p>
    <w:p w14:paraId="5308F2D1" w14:textId="77777777" w:rsidR="00EA7962" w:rsidRDefault="00861D0E" w:rsidP="00905CBC">
      <w:pPr>
        <w:pBdr>
          <w:bottom w:val="single" w:sz="12" w:space="1" w:color="auto"/>
        </w:pBdr>
        <w:tabs>
          <w:tab w:val="right" w:pos="9022"/>
        </w:tabs>
        <w:snapToGrid w:val="0"/>
        <w:spacing w:after="120" w:line="360" w:lineRule="auto"/>
        <w:jc w:val="both"/>
        <w:rPr>
          <w:rFonts w:ascii="Arial" w:hAnsi="Arial" w:cs="Arial"/>
          <w:bCs/>
          <w:sz w:val="24"/>
          <w:szCs w:val="24"/>
          <w:lang w:val="en-ZA"/>
        </w:rPr>
      </w:pPr>
      <w:r>
        <w:rPr>
          <w:rFonts w:ascii="Arial" w:hAnsi="Arial" w:cs="Arial"/>
          <w:bCs/>
          <w:sz w:val="24"/>
          <w:szCs w:val="24"/>
          <w:lang w:val="en-ZA"/>
        </w:rPr>
        <w:t xml:space="preserve">Coram:  Cloete </w:t>
      </w:r>
      <w:r w:rsidRPr="001115A6">
        <w:rPr>
          <w:rFonts w:ascii="Arial" w:hAnsi="Arial" w:cs="Arial"/>
          <w:bCs/>
          <w:i/>
          <w:iCs/>
          <w:sz w:val="24"/>
          <w:szCs w:val="24"/>
          <w:lang w:val="en-ZA"/>
        </w:rPr>
        <w:t>et</w:t>
      </w:r>
      <w:r>
        <w:rPr>
          <w:rFonts w:ascii="Arial" w:hAnsi="Arial" w:cs="Arial"/>
          <w:bCs/>
          <w:sz w:val="24"/>
          <w:szCs w:val="24"/>
          <w:lang w:val="en-ZA"/>
        </w:rPr>
        <w:t xml:space="preserve"> Wille, JJ</w:t>
      </w:r>
    </w:p>
    <w:p w14:paraId="19581AA3" w14:textId="77777777" w:rsidR="00861D0E" w:rsidRDefault="00861D0E" w:rsidP="00905CBC">
      <w:pPr>
        <w:pBdr>
          <w:bottom w:val="single" w:sz="12" w:space="1" w:color="auto"/>
        </w:pBdr>
        <w:tabs>
          <w:tab w:val="right" w:pos="9022"/>
        </w:tabs>
        <w:snapToGrid w:val="0"/>
        <w:spacing w:after="120" w:line="360" w:lineRule="auto"/>
        <w:jc w:val="both"/>
        <w:rPr>
          <w:rFonts w:ascii="Arial" w:hAnsi="Arial" w:cs="Arial"/>
          <w:bCs/>
          <w:sz w:val="24"/>
          <w:szCs w:val="24"/>
          <w:lang w:val="en-ZA"/>
        </w:rPr>
      </w:pPr>
      <w:r>
        <w:rPr>
          <w:rFonts w:ascii="Arial" w:hAnsi="Arial" w:cs="Arial"/>
          <w:bCs/>
          <w:sz w:val="24"/>
          <w:szCs w:val="24"/>
          <w:lang w:val="en-ZA"/>
        </w:rPr>
        <w:t>Heard:  27 February 2024</w:t>
      </w:r>
    </w:p>
    <w:p w14:paraId="6402A978" w14:textId="4DA81E2C" w:rsidR="00861D0E" w:rsidRDefault="00861D0E" w:rsidP="00905CBC">
      <w:pPr>
        <w:pBdr>
          <w:bottom w:val="single" w:sz="12" w:space="1" w:color="auto"/>
        </w:pBdr>
        <w:tabs>
          <w:tab w:val="right" w:pos="9022"/>
        </w:tabs>
        <w:snapToGrid w:val="0"/>
        <w:spacing w:after="120" w:line="360" w:lineRule="auto"/>
        <w:jc w:val="both"/>
        <w:rPr>
          <w:rFonts w:ascii="Arial" w:hAnsi="Arial" w:cs="Arial"/>
          <w:bCs/>
          <w:sz w:val="24"/>
          <w:szCs w:val="24"/>
          <w:lang w:val="en-ZA"/>
        </w:rPr>
      </w:pPr>
      <w:r>
        <w:rPr>
          <w:rFonts w:ascii="Arial" w:hAnsi="Arial" w:cs="Arial"/>
          <w:bCs/>
          <w:sz w:val="24"/>
          <w:szCs w:val="24"/>
          <w:lang w:val="en-ZA"/>
        </w:rPr>
        <w:t>Delivered:</w:t>
      </w:r>
      <w:r w:rsidR="001115A6">
        <w:rPr>
          <w:rFonts w:ascii="Arial" w:hAnsi="Arial" w:cs="Arial"/>
          <w:bCs/>
          <w:sz w:val="24"/>
          <w:szCs w:val="24"/>
          <w:lang w:val="en-ZA"/>
        </w:rPr>
        <w:t xml:space="preserve">  </w:t>
      </w:r>
      <w:r w:rsidR="00141C87">
        <w:rPr>
          <w:rFonts w:ascii="Arial" w:hAnsi="Arial" w:cs="Arial"/>
          <w:bCs/>
          <w:sz w:val="24"/>
          <w:szCs w:val="24"/>
          <w:lang w:val="en-ZA"/>
        </w:rPr>
        <w:t>1</w:t>
      </w:r>
      <w:r w:rsidR="003540A2">
        <w:rPr>
          <w:rFonts w:ascii="Arial" w:hAnsi="Arial" w:cs="Arial"/>
          <w:bCs/>
          <w:sz w:val="24"/>
          <w:szCs w:val="24"/>
          <w:lang w:val="en-ZA"/>
        </w:rPr>
        <w:t>4</w:t>
      </w:r>
      <w:r w:rsidR="00141C87">
        <w:rPr>
          <w:rFonts w:ascii="Arial" w:hAnsi="Arial" w:cs="Arial"/>
          <w:bCs/>
          <w:sz w:val="24"/>
          <w:szCs w:val="24"/>
          <w:lang w:val="en-ZA"/>
        </w:rPr>
        <w:t xml:space="preserve"> </w:t>
      </w:r>
      <w:r w:rsidR="009B0D6D">
        <w:rPr>
          <w:rFonts w:ascii="Arial" w:hAnsi="Arial" w:cs="Arial"/>
          <w:bCs/>
          <w:sz w:val="24"/>
          <w:szCs w:val="24"/>
          <w:lang w:val="en-ZA"/>
        </w:rPr>
        <w:t>March 2024</w:t>
      </w:r>
    </w:p>
    <w:p w14:paraId="552C3AA8" w14:textId="77777777" w:rsidR="00EA7962" w:rsidRPr="00C1551F" w:rsidRDefault="00EA7962" w:rsidP="00905CBC">
      <w:pPr>
        <w:snapToGrid w:val="0"/>
        <w:spacing w:after="120" w:line="360" w:lineRule="auto"/>
        <w:ind w:left="720" w:hanging="720"/>
        <w:jc w:val="both"/>
        <w:rPr>
          <w:rFonts w:ascii="Arial" w:hAnsi="Arial" w:cs="Arial"/>
          <w:b/>
          <w:sz w:val="24"/>
          <w:szCs w:val="24"/>
          <w:lang w:val="en-ZA"/>
        </w:rPr>
      </w:pPr>
    </w:p>
    <w:p w14:paraId="1CD3259C" w14:textId="595B7A55" w:rsidR="005464EF" w:rsidRPr="00861D0E" w:rsidRDefault="00861D0E" w:rsidP="00861D0E">
      <w:pPr>
        <w:pBdr>
          <w:bottom w:val="single" w:sz="12" w:space="1" w:color="auto"/>
        </w:pBdr>
        <w:snapToGrid w:val="0"/>
        <w:spacing w:after="120" w:line="360" w:lineRule="auto"/>
        <w:ind w:left="720" w:hanging="720"/>
        <w:jc w:val="center"/>
        <w:rPr>
          <w:rFonts w:ascii="Arial" w:hAnsi="Arial" w:cs="Arial"/>
          <w:b/>
          <w:sz w:val="28"/>
          <w:szCs w:val="28"/>
          <w:lang w:val="en-ZA"/>
        </w:rPr>
      </w:pPr>
      <w:r w:rsidRPr="00861D0E">
        <w:rPr>
          <w:rFonts w:ascii="Arial" w:hAnsi="Arial" w:cs="Arial"/>
          <w:b/>
          <w:sz w:val="28"/>
          <w:szCs w:val="28"/>
          <w:lang w:val="en-ZA"/>
        </w:rPr>
        <w:t>JUDGMENT</w:t>
      </w:r>
      <w:r w:rsidR="00CF3A20">
        <w:rPr>
          <w:rFonts w:ascii="Arial" w:hAnsi="Arial" w:cs="Arial"/>
          <w:b/>
          <w:sz w:val="28"/>
          <w:szCs w:val="28"/>
          <w:lang w:val="en-ZA"/>
        </w:rPr>
        <w:t xml:space="preserve"> </w:t>
      </w:r>
    </w:p>
    <w:p w14:paraId="6B569EB2" w14:textId="77777777" w:rsidR="00EA7962" w:rsidRPr="00C1551F" w:rsidRDefault="00EA7962" w:rsidP="00905CBC">
      <w:pPr>
        <w:pBdr>
          <w:bottom w:val="single" w:sz="12" w:space="1" w:color="auto"/>
        </w:pBdr>
        <w:snapToGrid w:val="0"/>
        <w:spacing w:after="120" w:line="360" w:lineRule="auto"/>
        <w:ind w:left="720" w:hanging="720"/>
        <w:jc w:val="both"/>
        <w:rPr>
          <w:rFonts w:ascii="Arial" w:hAnsi="Arial" w:cs="Arial"/>
          <w:b/>
          <w:sz w:val="24"/>
          <w:szCs w:val="24"/>
          <w:lang w:val="en-ZA"/>
        </w:rPr>
      </w:pPr>
      <w:r w:rsidRPr="00C1551F">
        <w:rPr>
          <w:rFonts w:ascii="Arial" w:hAnsi="Arial" w:cs="Arial"/>
          <w:b/>
          <w:sz w:val="24"/>
          <w:szCs w:val="24"/>
          <w:lang w:val="en-ZA"/>
        </w:rPr>
        <w:t xml:space="preserve"> </w:t>
      </w:r>
    </w:p>
    <w:p w14:paraId="75130860" w14:textId="77777777" w:rsidR="00905CBC" w:rsidRPr="000F5D11" w:rsidRDefault="00905CBC" w:rsidP="00905CBC">
      <w:pPr>
        <w:widowControl w:val="0"/>
        <w:snapToGrid w:val="0"/>
        <w:spacing w:after="120" w:line="360" w:lineRule="auto"/>
        <w:jc w:val="both"/>
        <w:rPr>
          <w:rFonts w:ascii="Arial" w:hAnsi="Arial" w:cs="Arial"/>
          <w:b/>
          <w:i/>
          <w:iCs/>
          <w:sz w:val="24"/>
          <w:szCs w:val="24"/>
          <w:u w:val="single"/>
          <w:lang w:val="en-ZA"/>
        </w:rPr>
      </w:pPr>
      <w:r w:rsidRPr="000F5D11">
        <w:rPr>
          <w:rFonts w:ascii="Arial" w:hAnsi="Arial" w:cs="Arial"/>
          <w:b/>
          <w:i/>
          <w:iCs/>
          <w:sz w:val="24"/>
          <w:szCs w:val="24"/>
          <w:u w:val="single"/>
          <w:lang w:val="en-ZA"/>
        </w:rPr>
        <w:lastRenderedPageBreak/>
        <w:t>THE COURT</w:t>
      </w:r>
    </w:p>
    <w:p w14:paraId="7635327F" w14:textId="77777777" w:rsidR="00905CBC" w:rsidRDefault="00905CBC" w:rsidP="00905CBC">
      <w:pPr>
        <w:widowControl w:val="0"/>
        <w:snapToGrid w:val="0"/>
        <w:spacing w:after="120" w:line="360" w:lineRule="auto"/>
        <w:jc w:val="both"/>
        <w:rPr>
          <w:rFonts w:ascii="Arial" w:hAnsi="Arial" w:cs="Arial"/>
          <w:b/>
          <w:i/>
          <w:iCs/>
          <w:sz w:val="24"/>
          <w:szCs w:val="24"/>
          <w:lang w:val="en-ZA"/>
        </w:rPr>
      </w:pPr>
      <w:r w:rsidRPr="000F5D11">
        <w:rPr>
          <w:rFonts w:ascii="Arial" w:hAnsi="Arial" w:cs="Arial"/>
          <w:b/>
          <w:i/>
          <w:iCs/>
          <w:sz w:val="24"/>
          <w:szCs w:val="24"/>
          <w:lang w:val="en-ZA"/>
        </w:rPr>
        <w:t>Introduction</w:t>
      </w:r>
    </w:p>
    <w:p w14:paraId="71DF3A6E" w14:textId="77777777" w:rsidR="00905CBC" w:rsidRDefault="00905CBC" w:rsidP="00905CBC">
      <w:pPr>
        <w:widowControl w:val="0"/>
        <w:snapToGrid w:val="0"/>
        <w:spacing w:after="120" w:line="360" w:lineRule="auto"/>
        <w:jc w:val="both"/>
        <w:rPr>
          <w:rFonts w:ascii="Arial" w:hAnsi="Arial" w:cs="Arial"/>
          <w:sz w:val="24"/>
          <w:szCs w:val="24"/>
          <w:lang w:val="en-ZA"/>
        </w:rPr>
      </w:pPr>
      <w:r w:rsidRPr="000F5D11">
        <w:rPr>
          <w:rFonts w:ascii="Arial" w:hAnsi="Arial" w:cs="Arial"/>
          <w:bCs/>
          <w:sz w:val="24"/>
          <w:szCs w:val="24"/>
          <w:lang w:val="en-ZA"/>
        </w:rPr>
        <w:t>[1]</w:t>
      </w:r>
      <w:r>
        <w:rPr>
          <w:rFonts w:ascii="Arial" w:hAnsi="Arial" w:cs="Arial"/>
          <w:b/>
          <w:i/>
          <w:iCs/>
          <w:sz w:val="24"/>
          <w:szCs w:val="24"/>
          <w:lang w:val="en-ZA"/>
        </w:rPr>
        <w:tab/>
      </w:r>
      <w:r w:rsidRPr="000603BC">
        <w:rPr>
          <w:rFonts w:ascii="Arial" w:hAnsi="Arial" w:cs="Arial"/>
          <w:sz w:val="24"/>
          <w:szCs w:val="24"/>
          <w:lang w:val="en-ZA"/>
        </w:rPr>
        <w:t xml:space="preserve">This </w:t>
      </w:r>
      <w:r>
        <w:rPr>
          <w:rFonts w:ascii="Arial" w:hAnsi="Arial" w:cs="Arial"/>
          <w:sz w:val="24"/>
          <w:szCs w:val="24"/>
          <w:lang w:val="en-ZA"/>
        </w:rPr>
        <w:t xml:space="preserve">is an application to </w:t>
      </w:r>
      <w:r w:rsidRPr="000603BC">
        <w:rPr>
          <w:rFonts w:ascii="Arial" w:hAnsi="Arial" w:cs="Arial"/>
          <w:sz w:val="24"/>
          <w:szCs w:val="24"/>
          <w:lang w:val="en-ZA"/>
        </w:rPr>
        <w:t xml:space="preserve">review and set aside the decision of the </w:t>
      </w:r>
      <w:r>
        <w:rPr>
          <w:rFonts w:ascii="Arial" w:hAnsi="Arial" w:cs="Arial"/>
          <w:sz w:val="24"/>
          <w:szCs w:val="24"/>
          <w:lang w:val="en-ZA"/>
        </w:rPr>
        <w:t>f</w:t>
      </w:r>
      <w:r w:rsidRPr="000603BC">
        <w:rPr>
          <w:rFonts w:ascii="Arial" w:hAnsi="Arial" w:cs="Arial"/>
          <w:sz w:val="24"/>
          <w:szCs w:val="24"/>
          <w:lang w:val="en-ZA"/>
        </w:rPr>
        <w:t xml:space="preserve">irst </w:t>
      </w:r>
      <w:r>
        <w:rPr>
          <w:rFonts w:ascii="Arial" w:hAnsi="Arial" w:cs="Arial"/>
          <w:sz w:val="24"/>
          <w:szCs w:val="24"/>
          <w:lang w:val="en-ZA"/>
        </w:rPr>
        <w:t>r</w:t>
      </w:r>
      <w:r w:rsidRPr="000603BC">
        <w:rPr>
          <w:rFonts w:ascii="Arial" w:hAnsi="Arial" w:cs="Arial"/>
          <w:sz w:val="24"/>
          <w:szCs w:val="24"/>
          <w:lang w:val="en-ZA"/>
        </w:rPr>
        <w:t xml:space="preserve">espondent’s investigating committee </w:t>
      </w:r>
      <w:r w:rsidR="00012AE5">
        <w:rPr>
          <w:rFonts w:ascii="Arial" w:hAnsi="Arial" w:cs="Arial"/>
          <w:sz w:val="24"/>
          <w:szCs w:val="24"/>
          <w:lang w:val="en-ZA"/>
        </w:rPr>
        <w:t>concerning</w:t>
      </w:r>
      <w:r>
        <w:rPr>
          <w:rFonts w:ascii="Arial" w:hAnsi="Arial" w:cs="Arial"/>
          <w:sz w:val="24"/>
          <w:szCs w:val="24"/>
          <w:lang w:val="en-ZA"/>
        </w:rPr>
        <w:t xml:space="preserve"> three complaints preferred against the third respondent by the applicant.  These complaints arose because of unfortunate and acrimonious litigation between several entities in which the applicant had a vested interest.  The third respondent is an attorney who acted for many of the parties adverse to the </w:t>
      </w:r>
      <w:r w:rsidR="00DB4443">
        <w:rPr>
          <w:rFonts w:ascii="Arial" w:hAnsi="Arial" w:cs="Arial"/>
          <w:sz w:val="24"/>
          <w:szCs w:val="24"/>
          <w:lang w:val="en-ZA"/>
        </w:rPr>
        <w:t>applicant's interests</w:t>
      </w:r>
      <w:r>
        <w:rPr>
          <w:rFonts w:ascii="Arial" w:hAnsi="Arial" w:cs="Arial"/>
          <w:sz w:val="24"/>
          <w:szCs w:val="24"/>
          <w:lang w:val="en-ZA"/>
        </w:rPr>
        <w:t>.</w:t>
      </w:r>
      <w:r>
        <w:rPr>
          <w:rStyle w:val="FootnoteReference"/>
          <w:rFonts w:ascii="Arial" w:hAnsi="Arial" w:cs="Arial"/>
          <w:sz w:val="24"/>
          <w:szCs w:val="24"/>
          <w:lang w:val="en-ZA"/>
        </w:rPr>
        <w:footnoteReference w:id="1"/>
      </w:r>
    </w:p>
    <w:p w14:paraId="1BD17763" w14:textId="6074EF17" w:rsidR="00905CBC" w:rsidRDefault="00905CBC" w:rsidP="00905CBC">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decision rendered by the first respondent was to the effect that the third respondent </w:t>
      </w:r>
      <w:r w:rsidRPr="000603BC">
        <w:rPr>
          <w:rFonts w:ascii="Arial" w:hAnsi="Arial" w:cs="Arial"/>
          <w:sz w:val="24"/>
          <w:szCs w:val="24"/>
          <w:lang w:val="en-ZA"/>
        </w:rPr>
        <w:t xml:space="preserve">had no </w:t>
      </w:r>
      <w:r w:rsidRPr="000603BC">
        <w:rPr>
          <w:rFonts w:ascii="Arial" w:hAnsi="Arial" w:cs="Arial"/>
          <w:i/>
          <w:sz w:val="24"/>
          <w:szCs w:val="24"/>
          <w:lang w:val="en-ZA"/>
        </w:rPr>
        <w:t xml:space="preserve">prima facie </w:t>
      </w:r>
      <w:r w:rsidRPr="000603BC">
        <w:rPr>
          <w:rFonts w:ascii="Arial" w:hAnsi="Arial" w:cs="Arial"/>
          <w:sz w:val="24"/>
          <w:szCs w:val="24"/>
          <w:lang w:val="en-ZA"/>
        </w:rPr>
        <w:t>case to meet</w:t>
      </w:r>
      <w:r>
        <w:rPr>
          <w:rFonts w:ascii="Arial" w:hAnsi="Arial" w:cs="Arial"/>
          <w:sz w:val="24"/>
          <w:szCs w:val="24"/>
          <w:lang w:val="en-ZA"/>
        </w:rPr>
        <w:t xml:space="preserve"> in connection with the three complaints lodged against him and that</w:t>
      </w:r>
      <w:r w:rsidR="005A6866">
        <w:rPr>
          <w:rFonts w:ascii="Arial" w:hAnsi="Arial" w:cs="Arial"/>
          <w:sz w:val="24"/>
          <w:szCs w:val="24"/>
          <w:lang w:val="en-ZA"/>
        </w:rPr>
        <w:t>, accordingly,</w:t>
      </w:r>
      <w:r>
        <w:rPr>
          <w:rFonts w:ascii="Arial" w:hAnsi="Arial" w:cs="Arial"/>
          <w:sz w:val="24"/>
          <w:szCs w:val="24"/>
          <w:lang w:val="en-ZA"/>
        </w:rPr>
        <w:t xml:space="preserve"> </w:t>
      </w:r>
      <w:r w:rsidRPr="000603BC">
        <w:rPr>
          <w:rFonts w:ascii="Arial" w:hAnsi="Arial" w:cs="Arial"/>
          <w:sz w:val="24"/>
          <w:szCs w:val="24"/>
          <w:lang w:val="en-ZA"/>
        </w:rPr>
        <w:t xml:space="preserve">there should </w:t>
      </w:r>
      <w:r>
        <w:rPr>
          <w:rFonts w:ascii="Arial" w:hAnsi="Arial" w:cs="Arial"/>
          <w:sz w:val="24"/>
          <w:szCs w:val="24"/>
          <w:lang w:val="en-ZA"/>
        </w:rPr>
        <w:t xml:space="preserve">be </w:t>
      </w:r>
      <w:r w:rsidRPr="000603BC">
        <w:rPr>
          <w:rFonts w:ascii="Arial" w:hAnsi="Arial" w:cs="Arial"/>
          <w:sz w:val="24"/>
          <w:szCs w:val="24"/>
          <w:lang w:val="en-ZA"/>
        </w:rPr>
        <w:t>no disciplinary enquiry held against</w:t>
      </w:r>
      <w:r>
        <w:rPr>
          <w:rFonts w:ascii="Arial" w:hAnsi="Arial" w:cs="Arial"/>
          <w:sz w:val="24"/>
          <w:szCs w:val="24"/>
          <w:lang w:val="en-ZA"/>
        </w:rPr>
        <w:t xml:space="preserve"> him. </w:t>
      </w:r>
      <w:r w:rsidR="00BE09EB">
        <w:rPr>
          <w:rFonts w:ascii="Arial" w:hAnsi="Arial" w:cs="Arial"/>
          <w:sz w:val="24"/>
          <w:szCs w:val="24"/>
          <w:lang w:val="en-ZA"/>
        </w:rPr>
        <w:t xml:space="preserve"> </w:t>
      </w:r>
      <w:r>
        <w:rPr>
          <w:rFonts w:ascii="Arial" w:hAnsi="Arial" w:cs="Arial"/>
          <w:sz w:val="24"/>
          <w:szCs w:val="24"/>
          <w:lang w:val="en-ZA"/>
        </w:rPr>
        <w:t xml:space="preserve">This decision was made </w:t>
      </w:r>
      <w:r w:rsidR="00082DF8">
        <w:rPr>
          <w:rFonts w:ascii="Arial" w:hAnsi="Arial" w:cs="Arial"/>
          <w:sz w:val="24"/>
          <w:szCs w:val="24"/>
          <w:lang w:val="en-ZA"/>
        </w:rPr>
        <w:t>in terms of the Legal Practice Act (“LPA”)</w:t>
      </w:r>
      <w:r w:rsidR="00C272FC">
        <w:rPr>
          <w:rFonts w:ascii="Arial" w:hAnsi="Arial" w:cs="Arial"/>
          <w:sz w:val="24"/>
          <w:szCs w:val="24"/>
          <w:lang w:val="en-ZA"/>
        </w:rPr>
        <w:t>,</w:t>
      </w:r>
      <w:r w:rsidR="00082DF8">
        <w:rPr>
          <w:rFonts w:ascii="Arial" w:hAnsi="Arial" w:cs="Arial"/>
          <w:sz w:val="24"/>
          <w:szCs w:val="24"/>
          <w:lang w:val="en-ZA"/>
        </w:rPr>
        <w:t xml:space="preserve"> its rules and its code of conduct </w:t>
      </w:r>
      <w:r>
        <w:rPr>
          <w:rFonts w:ascii="Arial" w:hAnsi="Arial" w:cs="Arial"/>
          <w:sz w:val="24"/>
          <w:szCs w:val="24"/>
          <w:lang w:val="en-ZA"/>
        </w:rPr>
        <w:t>dealing with the conduct of legal practitioners.</w:t>
      </w:r>
      <w:r>
        <w:rPr>
          <w:rStyle w:val="FootnoteReference"/>
          <w:rFonts w:ascii="Arial" w:hAnsi="Arial" w:cs="Arial"/>
          <w:sz w:val="24"/>
          <w:szCs w:val="24"/>
          <w:lang w:val="en-ZA"/>
        </w:rPr>
        <w:footnoteReference w:id="2"/>
      </w:r>
      <w:r>
        <w:rPr>
          <w:rFonts w:ascii="Arial" w:hAnsi="Arial" w:cs="Arial"/>
          <w:sz w:val="24"/>
          <w:szCs w:val="24"/>
          <w:lang w:val="en-ZA"/>
        </w:rPr>
        <w:t xml:space="preserve">  </w:t>
      </w:r>
    </w:p>
    <w:p w14:paraId="4DDDDA52" w14:textId="77777777" w:rsidR="00905CBC" w:rsidRDefault="00905CBC" w:rsidP="00DB4443">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DB4443">
        <w:rPr>
          <w:rFonts w:ascii="Arial" w:hAnsi="Arial" w:cs="Arial"/>
          <w:sz w:val="24"/>
          <w:szCs w:val="24"/>
          <w:lang w:val="en-ZA"/>
        </w:rPr>
        <w:t xml:space="preserve">The first and second respondents have filed a notice indicating they will abide by the court's decision.  </w:t>
      </w:r>
      <w:r>
        <w:rPr>
          <w:rFonts w:ascii="Arial" w:hAnsi="Arial" w:cs="Arial"/>
          <w:sz w:val="24"/>
          <w:szCs w:val="24"/>
          <w:lang w:val="en-ZA"/>
        </w:rPr>
        <w:t xml:space="preserve">The fourth respondent takes no part in these proceedings.  </w:t>
      </w:r>
      <w:r w:rsidR="00DB4443">
        <w:rPr>
          <w:rFonts w:ascii="Arial" w:hAnsi="Arial" w:cs="Arial"/>
          <w:sz w:val="24"/>
          <w:szCs w:val="24"/>
          <w:lang w:val="en-ZA"/>
        </w:rPr>
        <w:t>T</w:t>
      </w:r>
      <w:r>
        <w:rPr>
          <w:rFonts w:ascii="Arial" w:hAnsi="Arial" w:cs="Arial"/>
          <w:sz w:val="24"/>
          <w:szCs w:val="24"/>
          <w:lang w:val="en-ZA"/>
        </w:rPr>
        <w:t xml:space="preserve">he targeted legislation </w:t>
      </w:r>
      <w:r w:rsidR="00DB4443">
        <w:rPr>
          <w:rFonts w:ascii="Arial" w:hAnsi="Arial" w:cs="Arial"/>
          <w:sz w:val="24"/>
          <w:szCs w:val="24"/>
          <w:lang w:val="en-ZA"/>
        </w:rPr>
        <w:t xml:space="preserve">in this connection </w:t>
      </w:r>
      <w:r>
        <w:rPr>
          <w:rFonts w:ascii="Arial" w:hAnsi="Arial" w:cs="Arial"/>
          <w:sz w:val="24"/>
          <w:szCs w:val="24"/>
          <w:lang w:val="en-ZA"/>
        </w:rPr>
        <w:t>contemplate</w:t>
      </w:r>
      <w:r w:rsidR="00DB4443">
        <w:rPr>
          <w:rFonts w:ascii="Arial" w:hAnsi="Arial" w:cs="Arial"/>
          <w:sz w:val="24"/>
          <w:szCs w:val="24"/>
          <w:lang w:val="en-ZA"/>
        </w:rPr>
        <w:t>d</w:t>
      </w:r>
      <w:r>
        <w:rPr>
          <w:rFonts w:ascii="Arial" w:hAnsi="Arial" w:cs="Arial"/>
          <w:sz w:val="24"/>
          <w:szCs w:val="24"/>
          <w:lang w:val="en-ZA"/>
        </w:rPr>
        <w:t xml:space="preserve"> an internal appeal process to benefit the applicant.  Regrettably, this intended internal appeal process </w:t>
      </w:r>
      <w:r w:rsidR="00DB4443">
        <w:rPr>
          <w:rFonts w:ascii="Arial" w:hAnsi="Arial" w:cs="Arial"/>
          <w:sz w:val="24"/>
          <w:szCs w:val="24"/>
          <w:lang w:val="en-ZA"/>
        </w:rPr>
        <w:t>has yet to be</w:t>
      </w:r>
      <w:r>
        <w:rPr>
          <w:rFonts w:ascii="Arial" w:hAnsi="Arial" w:cs="Arial"/>
          <w:sz w:val="24"/>
          <w:szCs w:val="24"/>
          <w:lang w:val="en-ZA"/>
        </w:rPr>
        <w:t xml:space="preserve"> promulgated into law</w:t>
      </w:r>
      <w:r w:rsidR="00DB4443">
        <w:rPr>
          <w:rFonts w:ascii="Arial" w:hAnsi="Arial" w:cs="Arial"/>
          <w:sz w:val="24"/>
          <w:szCs w:val="24"/>
          <w:lang w:val="en-ZA"/>
        </w:rPr>
        <w:t xml:space="preserve"> and is thus unavailable to the applicant</w:t>
      </w:r>
      <w:r>
        <w:rPr>
          <w:rFonts w:ascii="Arial" w:hAnsi="Arial" w:cs="Arial"/>
          <w:sz w:val="24"/>
          <w:szCs w:val="24"/>
          <w:lang w:val="en-ZA"/>
        </w:rPr>
        <w:t>.</w:t>
      </w:r>
      <w:r>
        <w:rPr>
          <w:rStyle w:val="FootnoteReference"/>
          <w:rFonts w:ascii="Arial" w:hAnsi="Arial" w:cs="Arial"/>
          <w:sz w:val="24"/>
          <w:szCs w:val="24"/>
          <w:lang w:val="en-ZA"/>
        </w:rPr>
        <w:footnoteReference w:id="3"/>
      </w:r>
    </w:p>
    <w:p w14:paraId="530D4EF5" w14:textId="77777777" w:rsidR="00905CBC" w:rsidRDefault="00905CBC" w:rsidP="00905CBC">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 xml:space="preserve">The first respondent’s decision recorded the following: (a) </w:t>
      </w:r>
      <w:r w:rsidRPr="000603BC">
        <w:rPr>
          <w:rFonts w:ascii="Arial" w:hAnsi="Arial" w:cs="Arial"/>
          <w:sz w:val="24"/>
          <w:szCs w:val="24"/>
          <w:lang w:val="en-ZA"/>
        </w:rPr>
        <w:t>there was no reasonable prospect of success</w:t>
      </w:r>
      <w:r>
        <w:rPr>
          <w:rFonts w:ascii="Arial" w:hAnsi="Arial" w:cs="Arial"/>
          <w:sz w:val="24"/>
          <w:szCs w:val="24"/>
          <w:lang w:val="en-ZA"/>
        </w:rPr>
        <w:t xml:space="preserve"> in proffering a </w:t>
      </w:r>
      <w:r w:rsidR="00DB4443">
        <w:rPr>
          <w:rFonts w:ascii="Arial" w:hAnsi="Arial" w:cs="Arial"/>
          <w:sz w:val="24"/>
          <w:szCs w:val="24"/>
          <w:lang w:val="en-ZA"/>
        </w:rPr>
        <w:t>misconduct charge</w:t>
      </w:r>
      <w:r w:rsidRPr="000603BC">
        <w:rPr>
          <w:rFonts w:ascii="Arial" w:hAnsi="Arial" w:cs="Arial"/>
          <w:sz w:val="24"/>
          <w:szCs w:val="24"/>
          <w:lang w:val="en-ZA"/>
        </w:rPr>
        <w:t xml:space="preserve"> against </w:t>
      </w:r>
      <w:r>
        <w:rPr>
          <w:rFonts w:ascii="Arial" w:hAnsi="Arial" w:cs="Arial"/>
          <w:sz w:val="24"/>
          <w:szCs w:val="24"/>
          <w:lang w:val="en-ZA"/>
        </w:rPr>
        <w:t>the third respondent</w:t>
      </w:r>
      <w:r w:rsidR="00BE09EB">
        <w:rPr>
          <w:rFonts w:ascii="Arial" w:hAnsi="Arial" w:cs="Arial"/>
          <w:sz w:val="24"/>
          <w:szCs w:val="24"/>
          <w:lang w:val="en-ZA"/>
        </w:rPr>
        <w:t>,</w:t>
      </w:r>
      <w:r>
        <w:rPr>
          <w:rFonts w:ascii="Arial" w:hAnsi="Arial" w:cs="Arial"/>
          <w:sz w:val="24"/>
          <w:szCs w:val="24"/>
          <w:lang w:val="en-ZA"/>
        </w:rPr>
        <w:t xml:space="preserve"> (b) </w:t>
      </w:r>
      <w:r w:rsidRPr="000603BC">
        <w:rPr>
          <w:rFonts w:ascii="Arial" w:hAnsi="Arial" w:cs="Arial"/>
          <w:sz w:val="24"/>
          <w:szCs w:val="24"/>
          <w:lang w:val="en-ZA"/>
        </w:rPr>
        <w:t>a finding of professional misconduct could not be made</w:t>
      </w:r>
      <w:r>
        <w:rPr>
          <w:rFonts w:ascii="Arial" w:hAnsi="Arial" w:cs="Arial"/>
          <w:sz w:val="24"/>
          <w:szCs w:val="24"/>
          <w:lang w:val="en-ZA"/>
        </w:rPr>
        <w:t xml:space="preserve"> against the third respondent, and (c) the a</w:t>
      </w:r>
      <w:r w:rsidRPr="000603BC">
        <w:rPr>
          <w:rFonts w:ascii="Arial" w:hAnsi="Arial" w:cs="Arial"/>
          <w:sz w:val="24"/>
          <w:szCs w:val="24"/>
          <w:lang w:val="en-ZA"/>
        </w:rPr>
        <w:t>pplicant’s complaint</w:t>
      </w:r>
      <w:r>
        <w:rPr>
          <w:rFonts w:ascii="Arial" w:hAnsi="Arial" w:cs="Arial"/>
          <w:sz w:val="24"/>
          <w:szCs w:val="24"/>
          <w:lang w:val="en-ZA"/>
        </w:rPr>
        <w:t>s</w:t>
      </w:r>
      <w:r w:rsidRPr="000603BC">
        <w:rPr>
          <w:rFonts w:ascii="Arial" w:hAnsi="Arial" w:cs="Arial"/>
          <w:sz w:val="24"/>
          <w:szCs w:val="24"/>
          <w:lang w:val="en-ZA"/>
        </w:rPr>
        <w:t xml:space="preserve"> should not be considered, by way of </w:t>
      </w:r>
      <w:r w:rsidRPr="000603BC">
        <w:rPr>
          <w:rFonts w:ascii="Arial" w:hAnsi="Arial" w:cs="Arial"/>
          <w:i/>
          <w:sz w:val="24"/>
          <w:szCs w:val="24"/>
          <w:lang w:val="en-ZA"/>
        </w:rPr>
        <w:t xml:space="preserve">viva voce </w:t>
      </w:r>
      <w:r w:rsidRPr="000603BC">
        <w:rPr>
          <w:rFonts w:ascii="Arial" w:hAnsi="Arial" w:cs="Arial"/>
          <w:sz w:val="24"/>
          <w:szCs w:val="24"/>
          <w:lang w:val="en-ZA"/>
        </w:rPr>
        <w:t xml:space="preserve">evidence, before a disciplinary committee of the </w:t>
      </w:r>
      <w:r>
        <w:rPr>
          <w:rFonts w:ascii="Arial" w:hAnsi="Arial" w:cs="Arial"/>
          <w:sz w:val="24"/>
          <w:szCs w:val="24"/>
          <w:lang w:val="en-ZA"/>
        </w:rPr>
        <w:t>f</w:t>
      </w:r>
      <w:r w:rsidRPr="000603BC">
        <w:rPr>
          <w:rFonts w:ascii="Arial" w:hAnsi="Arial" w:cs="Arial"/>
          <w:sz w:val="24"/>
          <w:szCs w:val="24"/>
          <w:lang w:val="en-ZA"/>
        </w:rPr>
        <w:t xml:space="preserve">irst </w:t>
      </w:r>
      <w:r>
        <w:rPr>
          <w:rFonts w:ascii="Arial" w:hAnsi="Arial" w:cs="Arial"/>
          <w:sz w:val="24"/>
          <w:szCs w:val="24"/>
          <w:lang w:val="en-ZA"/>
        </w:rPr>
        <w:t>r</w:t>
      </w:r>
      <w:r w:rsidRPr="000603BC">
        <w:rPr>
          <w:rFonts w:ascii="Arial" w:hAnsi="Arial" w:cs="Arial"/>
          <w:sz w:val="24"/>
          <w:szCs w:val="24"/>
          <w:lang w:val="en-ZA"/>
        </w:rPr>
        <w:t>espondent</w:t>
      </w:r>
      <w:r>
        <w:rPr>
          <w:rFonts w:ascii="Arial" w:hAnsi="Arial" w:cs="Arial"/>
          <w:sz w:val="24"/>
          <w:szCs w:val="24"/>
          <w:lang w:val="en-ZA"/>
        </w:rPr>
        <w:t>.</w:t>
      </w:r>
      <w:r>
        <w:rPr>
          <w:rStyle w:val="FootnoteReference"/>
          <w:rFonts w:ascii="Arial" w:hAnsi="Arial" w:cs="Arial"/>
          <w:sz w:val="24"/>
          <w:szCs w:val="24"/>
          <w:lang w:val="en-ZA"/>
        </w:rPr>
        <w:footnoteReference w:id="4"/>
      </w:r>
    </w:p>
    <w:p w14:paraId="409AFEAC" w14:textId="77777777" w:rsidR="00905CBC" w:rsidRDefault="00905CBC" w:rsidP="00905CBC">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t xml:space="preserve">The third respondent </w:t>
      </w:r>
      <w:r w:rsidR="00DB4443">
        <w:rPr>
          <w:rFonts w:ascii="Arial" w:hAnsi="Arial" w:cs="Arial"/>
          <w:sz w:val="24"/>
          <w:szCs w:val="24"/>
          <w:lang w:val="en-ZA"/>
        </w:rPr>
        <w:t>applied</w:t>
      </w:r>
      <w:r>
        <w:rPr>
          <w:rFonts w:ascii="Arial" w:hAnsi="Arial" w:cs="Arial"/>
          <w:sz w:val="24"/>
          <w:szCs w:val="24"/>
          <w:lang w:val="en-ZA"/>
        </w:rPr>
        <w:t xml:space="preserve"> to strike out </w:t>
      </w:r>
      <w:r w:rsidR="00DB4443">
        <w:rPr>
          <w:rFonts w:ascii="Arial" w:hAnsi="Arial" w:cs="Arial"/>
          <w:sz w:val="24"/>
          <w:szCs w:val="24"/>
          <w:lang w:val="en-ZA"/>
        </w:rPr>
        <w:t>specific</w:t>
      </w:r>
      <w:r>
        <w:rPr>
          <w:rFonts w:ascii="Arial" w:hAnsi="Arial" w:cs="Arial"/>
          <w:sz w:val="24"/>
          <w:szCs w:val="24"/>
          <w:lang w:val="en-ZA"/>
        </w:rPr>
        <w:t xml:space="preserve"> material referenced in the applicant’s founding affidavit.  This application was not proceeded with as the applicant indicated he no longer intended to rely on </w:t>
      </w:r>
      <w:r w:rsidR="008E2EA5">
        <w:rPr>
          <w:rFonts w:ascii="Arial" w:hAnsi="Arial" w:cs="Arial"/>
          <w:sz w:val="24"/>
          <w:szCs w:val="24"/>
          <w:lang w:val="en-ZA"/>
        </w:rPr>
        <w:t>this</w:t>
      </w:r>
      <w:r>
        <w:rPr>
          <w:rFonts w:ascii="Arial" w:hAnsi="Arial" w:cs="Arial"/>
          <w:sz w:val="24"/>
          <w:szCs w:val="24"/>
          <w:lang w:val="en-ZA"/>
        </w:rPr>
        <w:t xml:space="preserve"> </w:t>
      </w:r>
      <w:r w:rsidR="005A6866">
        <w:rPr>
          <w:rFonts w:ascii="Arial" w:hAnsi="Arial" w:cs="Arial"/>
          <w:sz w:val="24"/>
          <w:szCs w:val="24"/>
          <w:lang w:val="en-ZA"/>
        </w:rPr>
        <w:t xml:space="preserve">alleged </w:t>
      </w:r>
      <w:r w:rsidR="008E2EA5">
        <w:rPr>
          <w:rFonts w:ascii="Arial" w:hAnsi="Arial" w:cs="Arial"/>
          <w:sz w:val="24"/>
          <w:szCs w:val="24"/>
          <w:lang w:val="en-ZA"/>
        </w:rPr>
        <w:t xml:space="preserve">offending </w:t>
      </w:r>
      <w:r>
        <w:rPr>
          <w:rFonts w:ascii="Arial" w:hAnsi="Arial" w:cs="Arial"/>
          <w:sz w:val="24"/>
          <w:szCs w:val="24"/>
          <w:lang w:val="en-ZA"/>
        </w:rPr>
        <w:t>material</w:t>
      </w:r>
      <w:r w:rsidR="008E2EA5">
        <w:rPr>
          <w:rFonts w:ascii="Arial" w:hAnsi="Arial" w:cs="Arial"/>
          <w:sz w:val="24"/>
          <w:szCs w:val="24"/>
          <w:lang w:val="en-ZA"/>
        </w:rPr>
        <w:t>.</w:t>
      </w:r>
      <w:r>
        <w:rPr>
          <w:rFonts w:ascii="Arial" w:hAnsi="Arial" w:cs="Arial"/>
          <w:sz w:val="24"/>
          <w:szCs w:val="24"/>
          <w:lang w:val="en-ZA"/>
        </w:rPr>
        <w:t xml:space="preserve">  The only issue remaining concerning this application </w:t>
      </w:r>
      <w:r w:rsidR="005A6866">
        <w:rPr>
          <w:rFonts w:ascii="Arial" w:hAnsi="Arial" w:cs="Arial"/>
          <w:sz w:val="24"/>
          <w:szCs w:val="24"/>
          <w:lang w:val="en-ZA"/>
        </w:rPr>
        <w:t>was</w:t>
      </w:r>
      <w:r>
        <w:rPr>
          <w:rFonts w:ascii="Arial" w:hAnsi="Arial" w:cs="Arial"/>
          <w:sz w:val="24"/>
          <w:szCs w:val="24"/>
          <w:lang w:val="en-ZA"/>
        </w:rPr>
        <w:t xml:space="preserve"> the issue of costs.</w:t>
      </w:r>
      <w:r>
        <w:rPr>
          <w:rStyle w:val="FootnoteReference"/>
          <w:rFonts w:ascii="Arial" w:hAnsi="Arial" w:cs="Arial"/>
          <w:sz w:val="24"/>
          <w:szCs w:val="24"/>
          <w:lang w:val="en-ZA"/>
        </w:rPr>
        <w:footnoteReference w:id="5"/>
      </w:r>
    </w:p>
    <w:p w14:paraId="1528D505" w14:textId="4CD5775B" w:rsidR="00905CBC" w:rsidRDefault="00905CBC" w:rsidP="00905CBC">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lastRenderedPageBreak/>
        <w:t>[6]</w:t>
      </w:r>
      <w:r>
        <w:rPr>
          <w:rFonts w:ascii="Arial" w:hAnsi="Arial" w:cs="Arial"/>
          <w:sz w:val="24"/>
          <w:szCs w:val="24"/>
          <w:lang w:val="en-ZA"/>
        </w:rPr>
        <w:tab/>
        <w:t>Other than the primary relief sought by the applicant</w:t>
      </w:r>
      <w:r w:rsidR="005A6866">
        <w:rPr>
          <w:rFonts w:ascii="Arial" w:hAnsi="Arial" w:cs="Arial"/>
          <w:sz w:val="24"/>
          <w:szCs w:val="24"/>
          <w:lang w:val="en-ZA"/>
        </w:rPr>
        <w:t>,</w:t>
      </w:r>
      <w:r>
        <w:rPr>
          <w:rFonts w:ascii="Arial" w:hAnsi="Arial" w:cs="Arial"/>
          <w:sz w:val="24"/>
          <w:szCs w:val="24"/>
          <w:lang w:val="en-ZA"/>
        </w:rPr>
        <w:t xml:space="preserve"> one other issue remained in connection with the costs of an interlocutory discovery application that stood over for determination by this court. </w:t>
      </w:r>
      <w:r w:rsidR="005A6866">
        <w:rPr>
          <w:rFonts w:ascii="Arial" w:hAnsi="Arial" w:cs="Arial"/>
          <w:sz w:val="24"/>
          <w:szCs w:val="24"/>
          <w:lang w:val="en-ZA"/>
        </w:rPr>
        <w:t xml:space="preserve"> </w:t>
      </w:r>
      <w:r w:rsidR="009B0D6D">
        <w:rPr>
          <w:rFonts w:ascii="Arial" w:hAnsi="Arial" w:cs="Arial"/>
          <w:sz w:val="24"/>
          <w:szCs w:val="24"/>
          <w:lang w:val="en-ZA"/>
        </w:rPr>
        <w:t>T</w:t>
      </w:r>
      <w:r>
        <w:rPr>
          <w:rFonts w:ascii="Arial" w:hAnsi="Arial" w:cs="Arial"/>
          <w:sz w:val="24"/>
          <w:szCs w:val="24"/>
          <w:lang w:val="en-ZA"/>
        </w:rPr>
        <w:t>he applicant was ordered to comply with a discovery notice in connection with essentially the same material referenced by the applicant in the offending paragraph of his founding affidavit, which formed the subject of the striking-out application.</w:t>
      </w:r>
      <w:r w:rsidR="005A6866">
        <w:rPr>
          <w:rStyle w:val="FootnoteReference"/>
          <w:rFonts w:ascii="Arial" w:hAnsi="Arial" w:cs="Arial"/>
          <w:sz w:val="24"/>
          <w:szCs w:val="24"/>
          <w:lang w:val="en-ZA"/>
        </w:rPr>
        <w:footnoteReference w:id="6"/>
      </w:r>
    </w:p>
    <w:p w14:paraId="5A80CDB2" w14:textId="77777777" w:rsidR="00905CBC" w:rsidRDefault="00905CBC" w:rsidP="00905CBC">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t xml:space="preserve">The decision taken by the first respondent was </w:t>
      </w:r>
      <w:r w:rsidR="0095528C">
        <w:rPr>
          <w:rFonts w:ascii="Arial" w:hAnsi="Arial" w:cs="Arial"/>
          <w:sz w:val="24"/>
          <w:szCs w:val="24"/>
          <w:lang w:val="en-ZA"/>
        </w:rPr>
        <w:t>made by a single practitioner nominated to investigate</w:t>
      </w:r>
      <w:r>
        <w:rPr>
          <w:rFonts w:ascii="Arial" w:hAnsi="Arial" w:cs="Arial"/>
          <w:sz w:val="24"/>
          <w:szCs w:val="24"/>
          <w:lang w:val="en-ZA"/>
        </w:rPr>
        <w:t xml:space="preserve"> these complaints. </w:t>
      </w:r>
      <w:r w:rsidRPr="000603BC">
        <w:rPr>
          <w:rFonts w:ascii="Arial" w:hAnsi="Arial" w:cs="Arial"/>
          <w:sz w:val="24"/>
          <w:szCs w:val="24"/>
          <w:lang w:val="en-ZA"/>
        </w:rPr>
        <w:t xml:space="preserve">The </w:t>
      </w:r>
      <w:r>
        <w:rPr>
          <w:rFonts w:ascii="Arial" w:hAnsi="Arial" w:cs="Arial"/>
          <w:sz w:val="24"/>
          <w:szCs w:val="24"/>
          <w:lang w:val="en-ZA"/>
        </w:rPr>
        <w:t>a</w:t>
      </w:r>
      <w:r w:rsidRPr="000603BC">
        <w:rPr>
          <w:rFonts w:ascii="Arial" w:hAnsi="Arial" w:cs="Arial"/>
          <w:sz w:val="24"/>
          <w:szCs w:val="24"/>
          <w:lang w:val="en-ZA"/>
        </w:rPr>
        <w:t xml:space="preserve">pplicant </w:t>
      </w:r>
      <w:r w:rsidR="00CF3A20">
        <w:rPr>
          <w:rFonts w:ascii="Arial" w:hAnsi="Arial" w:cs="Arial"/>
          <w:sz w:val="24"/>
          <w:szCs w:val="24"/>
          <w:lang w:val="en-ZA"/>
        </w:rPr>
        <w:t xml:space="preserve">now </w:t>
      </w:r>
      <w:r w:rsidRPr="000603BC">
        <w:rPr>
          <w:rFonts w:ascii="Arial" w:hAnsi="Arial" w:cs="Arial"/>
          <w:sz w:val="24"/>
          <w:szCs w:val="24"/>
          <w:lang w:val="en-ZA"/>
        </w:rPr>
        <w:t>accepts that a</w:t>
      </w:r>
      <w:r w:rsidR="0095528C">
        <w:rPr>
          <w:rFonts w:ascii="Arial" w:hAnsi="Arial" w:cs="Arial"/>
          <w:sz w:val="24"/>
          <w:szCs w:val="24"/>
          <w:lang w:val="en-ZA"/>
        </w:rPr>
        <w:t xml:space="preserve"> single practitioner can constitute an investigative committee</w:t>
      </w:r>
      <w:r w:rsidRPr="000603BC">
        <w:rPr>
          <w:rFonts w:ascii="Arial" w:hAnsi="Arial" w:cs="Arial"/>
          <w:sz w:val="24"/>
          <w:szCs w:val="24"/>
          <w:lang w:val="en-ZA"/>
        </w:rPr>
        <w:t>.</w:t>
      </w:r>
      <w:r>
        <w:rPr>
          <w:rStyle w:val="FootnoteReference"/>
          <w:rFonts w:ascii="Arial" w:hAnsi="Arial" w:cs="Arial"/>
          <w:sz w:val="24"/>
          <w:szCs w:val="24"/>
          <w:lang w:val="en-ZA"/>
        </w:rPr>
        <w:footnoteReference w:id="7"/>
      </w:r>
    </w:p>
    <w:p w14:paraId="1A601E4D" w14:textId="5FBF08B3" w:rsidR="00905CBC" w:rsidRDefault="00905CBC" w:rsidP="00905CBC">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082DF8">
        <w:rPr>
          <w:rFonts w:ascii="Arial" w:hAnsi="Arial" w:cs="Arial"/>
          <w:sz w:val="24"/>
          <w:szCs w:val="24"/>
          <w:lang w:val="en-ZA"/>
        </w:rPr>
        <w:t xml:space="preserve">This </w:t>
      </w:r>
      <w:r w:rsidR="005E1D66">
        <w:rPr>
          <w:rFonts w:ascii="Arial" w:hAnsi="Arial" w:cs="Arial"/>
          <w:sz w:val="24"/>
          <w:szCs w:val="24"/>
          <w:lang w:val="en-ZA"/>
        </w:rPr>
        <w:t>dispenses</w:t>
      </w:r>
      <w:r w:rsidR="00082DF8">
        <w:rPr>
          <w:rFonts w:ascii="Arial" w:hAnsi="Arial" w:cs="Arial"/>
          <w:sz w:val="24"/>
          <w:szCs w:val="24"/>
          <w:lang w:val="en-ZA"/>
        </w:rPr>
        <w:t xml:space="preserve"> with </w:t>
      </w:r>
      <w:r>
        <w:rPr>
          <w:rFonts w:ascii="Arial" w:hAnsi="Arial" w:cs="Arial"/>
          <w:sz w:val="24"/>
          <w:szCs w:val="24"/>
          <w:lang w:val="en-ZA"/>
        </w:rPr>
        <w:t>the root of one of the applicant’s complaints</w:t>
      </w:r>
      <w:r w:rsidR="00082DF8">
        <w:rPr>
          <w:rFonts w:ascii="Arial" w:hAnsi="Arial" w:cs="Arial"/>
          <w:sz w:val="24"/>
          <w:szCs w:val="24"/>
          <w:lang w:val="en-ZA"/>
        </w:rPr>
        <w:t xml:space="preserve">, being </w:t>
      </w:r>
      <w:r>
        <w:rPr>
          <w:rFonts w:ascii="Arial" w:hAnsi="Arial" w:cs="Arial"/>
          <w:sz w:val="24"/>
          <w:szCs w:val="24"/>
          <w:lang w:val="en-ZA"/>
        </w:rPr>
        <w:t xml:space="preserve">the contention that in these circumstances (considering the complexities of the complaints), </w:t>
      </w:r>
      <w:r w:rsidRPr="000603BC">
        <w:rPr>
          <w:rFonts w:ascii="Arial" w:hAnsi="Arial" w:cs="Arial"/>
          <w:sz w:val="24"/>
          <w:szCs w:val="24"/>
          <w:lang w:val="en-ZA"/>
        </w:rPr>
        <w:t xml:space="preserve">the investigative committee </w:t>
      </w:r>
      <w:r>
        <w:rPr>
          <w:rFonts w:ascii="Arial" w:hAnsi="Arial" w:cs="Arial"/>
          <w:sz w:val="24"/>
          <w:szCs w:val="24"/>
          <w:lang w:val="en-ZA"/>
        </w:rPr>
        <w:t xml:space="preserve">should have </w:t>
      </w:r>
      <w:r w:rsidRPr="000603BC">
        <w:rPr>
          <w:rFonts w:ascii="Arial" w:hAnsi="Arial" w:cs="Arial"/>
          <w:sz w:val="24"/>
          <w:szCs w:val="24"/>
          <w:lang w:val="en-ZA"/>
        </w:rPr>
        <w:t>be</w:t>
      </w:r>
      <w:r>
        <w:rPr>
          <w:rFonts w:ascii="Arial" w:hAnsi="Arial" w:cs="Arial"/>
          <w:sz w:val="24"/>
          <w:szCs w:val="24"/>
          <w:lang w:val="en-ZA"/>
        </w:rPr>
        <w:t>en</w:t>
      </w:r>
      <w:r w:rsidRPr="000603BC">
        <w:rPr>
          <w:rFonts w:ascii="Arial" w:hAnsi="Arial" w:cs="Arial"/>
          <w:sz w:val="24"/>
          <w:szCs w:val="24"/>
          <w:lang w:val="en-ZA"/>
        </w:rPr>
        <w:t xml:space="preserve"> composed of more than one legal practitioner</w:t>
      </w:r>
      <w:r>
        <w:rPr>
          <w:rFonts w:ascii="Arial" w:hAnsi="Arial" w:cs="Arial"/>
          <w:sz w:val="24"/>
          <w:szCs w:val="24"/>
          <w:lang w:val="en-ZA"/>
        </w:rPr>
        <w:t xml:space="preserve">.  Further, at least </w:t>
      </w:r>
      <w:r w:rsidRPr="000603BC">
        <w:rPr>
          <w:rFonts w:ascii="Arial" w:hAnsi="Arial" w:cs="Arial"/>
          <w:sz w:val="24"/>
          <w:szCs w:val="24"/>
          <w:lang w:val="en-ZA"/>
        </w:rPr>
        <w:t xml:space="preserve">one </w:t>
      </w:r>
      <w:r>
        <w:rPr>
          <w:rFonts w:ascii="Arial" w:hAnsi="Arial" w:cs="Arial"/>
          <w:sz w:val="24"/>
          <w:szCs w:val="24"/>
          <w:lang w:val="en-ZA"/>
        </w:rPr>
        <w:t xml:space="preserve">should have </w:t>
      </w:r>
      <w:r w:rsidR="009B0D6D">
        <w:rPr>
          <w:rFonts w:ascii="Arial" w:hAnsi="Arial" w:cs="Arial"/>
          <w:sz w:val="24"/>
          <w:szCs w:val="24"/>
          <w:lang w:val="en-ZA"/>
        </w:rPr>
        <w:t>experience</w:t>
      </w:r>
      <w:r>
        <w:rPr>
          <w:rFonts w:ascii="Arial" w:hAnsi="Arial" w:cs="Arial"/>
          <w:sz w:val="24"/>
          <w:szCs w:val="24"/>
          <w:lang w:val="en-ZA"/>
        </w:rPr>
        <w:t xml:space="preserve"> dealing with liquidations and </w:t>
      </w:r>
      <w:r w:rsidRPr="000603BC">
        <w:rPr>
          <w:rFonts w:ascii="Arial" w:hAnsi="Arial" w:cs="Arial"/>
          <w:sz w:val="24"/>
          <w:szCs w:val="24"/>
          <w:lang w:val="en-ZA"/>
        </w:rPr>
        <w:t>insolvenc</w:t>
      </w:r>
      <w:r>
        <w:rPr>
          <w:rFonts w:ascii="Arial" w:hAnsi="Arial" w:cs="Arial"/>
          <w:sz w:val="24"/>
          <w:szCs w:val="24"/>
          <w:lang w:val="en-ZA"/>
        </w:rPr>
        <w:t>ies.</w:t>
      </w:r>
      <w:r>
        <w:rPr>
          <w:rStyle w:val="FootnoteReference"/>
          <w:rFonts w:ascii="Arial" w:hAnsi="Arial" w:cs="Arial"/>
          <w:sz w:val="24"/>
          <w:szCs w:val="24"/>
          <w:lang w:val="en-ZA"/>
        </w:rPr>
        <w:footnoteReference w:id="8"/>
      </w:r>
    </w:p>
    <w:p w14:paraId="05BA5B48" w14:textId="749370B1" w:rsidR="009B0D6D" w:rsidRPr="009B0D6D" w:rsidRDefault="009B0D6D" w:rsidP="00905CBC">
      <w:pPr>
        <w:widowControl w:val="0"/>
        <w:snapToGrid w:val="0"/>
        <w:spacing w:after="120" w:line="360" w:lineRule="auto"/>
        <w:jc w:val="both"/>
        <w:rPr>
          <w:rFonts w:ascii="Arial" w:hAnsi="Arial" w:cs="Arial"/>
          <w:b/>
          <w:bCs/>
          <w:i/>
          <w:iCs/>
          <w:sz w:val="24"/>
          <w:szCs w:val="24"/>
          <w:lang w:val="en-ZA"/>
        </w:rPr>
      </w:pPr>
      <w:r w:rsidRPr="009B0D6D">
        <w:rPr>
          <w:rFonts w:ascii="Arial" w:hAnsi="Arial" w:cs="Arial"/>
          <w:b/>
          <w:bCs/>
          <w:i/>
          <w:iCs/>
          <w:sz w:val="24"/>
          <w:szCs w:val="24"/>
          <w:lang w:val="en-ZA"/>
        </w:rPr>
        <w:t>Grounds of review</w:t>
      </w:r>
    </w:p>
    <w:p w14:paraId="1C216739" w14:textId="24F39E8F" w:rsidR="00082DF8" w:rsidRDefault="00082DF8" w:rsidP="009B0D6D">
      <w:pPr>
        <w:widowControl w:val="0"/>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6C2703">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The applicant’s grounds of review set out in the founding papers and refined during argument are that the first respondent:</w:t>
      </w:r>
    </w:p>
    <w:p w14:paraId="4881C475" w14:textId="4767621F" w:rsidR="00082DF8" w:rsidRDefault="006C2703" w:rsidP="009B0D6D">
      <w:pPr>
        <w:widowControl w:val="0"/>
        <w:tabs>
          <w:tab w:val="left" w:pos="709"/>
        </w:tabs>
        <w:snapToGrid w:val="0"/>
        <w:spacing w:after="120" w:line="276" w:lineRule="auto"/>
        <w:ind w:left="709" w:hanging="709"/>
        <w:jc w:val="both"/>
        <w:rPr>
          <w:rFonts w:ascii="Arial" w:hAnsi="Arial" w:cs="Arial"/>
          <w:sz w:val="24"/>
          <w:szCs w:val="24"/>
          <w:lang w:val="en-ZA"/>
        </w:rPr>
      </w:pPr>
      <w:r>
        <w:rPr>
          <w:rFonts w:ascii="Arial" w:hAnsi="Arial" w:cs="Arial"/>
          <w:sz w:val="24"/>
          <w:szCs w:val="24"/>
          <w:lang w:val="en-ZA"/>
        </w:rPr>
        <w:t>(</w:t>
      </w:r>
      <w:proofErr w:type="spellStart"/>
      <w:r>
        <w:rPr>
          <w:rFonts w:ascii="Arial" w:hAnsi="Arial" w:cs="Arial"/>
          <w:sz w:val="24"/>
          <w:szCs w:val="24"/>
          <w:lang w:val="en-ZA"/>
        </w:rPr>
        <w:t>i</w:t>
      </w:r>
      <w:proofErr w:type="spellEnd"/>
      <w:r>
        <w:rPr>
          <w:rFonts w:ascii="Arial" w:hAnsi="Arial" w:cs="Arial"/>
          <w:sz w:val="24"/>
          <w:szCs w:val="24"/>
          <w:lang w:val="en-ZA"/>
        </w:rPr>
        <w:t>)</w:t>
      </w:r>
      <w:r w:rsidR="00082DF8">
        <w:rPr>
          <w:rFonts w:ascii="Arial" w:hAnsi="Arial" w:cs="Arial"/>
          <w:sz w:val="24"/>
          <w:szCs w:val="24"/>
          <w:lang w:val="en-ZA"/>
        </w:rPr>
        <w:tab/>
        <w:t>failed to give any consideration at all to the applicant’s complaints against the third respondent;</w:t>
      </w:r>
    </w:p>
    <w:p w14:paraId="355A92AC" w14:textId="7438F7B7" w:rsidR="00EC03A6" w:rsidRDefault="006C2703" w:rsidP="009B0D6D">
      <w:pPr>
        <w:widowControl w:val="0"/>
        <w:tabs>
          <w:tab w:val="left" w:pos="709"/>
        </w:tabs>
        <w:snapToGrid w:val="0"/>
        <w:spacing w:after="120" w:line="276" w:lineRule="auto"/>
        <w:ind w:left="709" w:hanging="709"/>
        <w:jc w:val="both"/>
        <w:rPr>
          <w:rFonts w:ascii="Arial" w:hAnsi="Arial" w:cs="Arial"/>
          <w:sz w:val="24"/>
          <w:szCs w:val="24"/>
          <w:lang w:val="en-ZA"/>
        </w:rPr>
      </w:pPr>
      <w:r>
        <w:rPr>
          <w:rFonts w:ascii="Arial" w:hAnsi="Arial" w:cs="Arial"/>
          <w:sz w:val="24"/>
          <w:szCs w:val="24"/>
          <w:lang w:val="en-ZA"/>
        </w:rPr>
        <w:t>(ii)</w:t>
      </w:r>
      <w:r w:rsidR="00082DF8">
        <w:rPr>
          <w:rFonts w:ascii="Arial" w:hAnsi="Arial" w:cs="Arial"/>
          <w:sz w:val="24"/>
          <w:szCs w:val="24"/>
          <w:lang w:val="en-ZA"/>
        </w:rPr>
        <w:tab/>
      </w:r>
      <w:r w:rsidR="00EC03A6">
        <w:rPr>
          <w:rFonts w:ascii="Arial" w:hAnsi="Arial" w:cs="Arial"/>
          <w:sz w:val="24"/>
          <w:szCs w:val="24"/>
          <w:lang w:val="en-ZA"/>
        </w:rPr>
        <w:t xml:space="preserve">failed to properly determine whether there was a </w:t>
      </w:r>
      <w:r w:rsidR="00EC03A6">
        <w:rPr>
          <w:rFonts w:ascii="Arial" w:hAnsi="Arial" w:cs="Arial"/>
          <w:i/>
          <w:sz w:val="24"/>
          <w:szCs w:val="24"/>
          <w:lang w:val="en-ZA"/>
        </w:rPr>
        <w:t>prima facie</w:t>
      </w:r>
      <w:r w:rsidR="00EC03A6">
        <w:rPr>
          <w:rFonts w:ascii="Arial" w:hAnsi="Arial" w:cs="Arial"/>
          <w:sz w:val="24"/>
          <w:szCs w:val="24"/>
          <w:lang w:val="en-ZA"/>
        </w:rPr>
        <w:t xml:space="preserve"> case against the third respondent in respect of any of the complaints, including failing to either call upon him to appear and explain himself or discuss the matter as contemplated in rule 40.2.3 of the LPA rules; and</w:t>
      </w:r>
    </w:p>
    <w:p w14:paraId="6EB9A5FA" w14:textId="4E016B35" w:rsidR="00B01BBF" w:rsidRDefault="006C2703" w:rsidP="009B0D6D">
      <w:pPr>
        <w:widowControl w:val="0"/>
        <w:tabs>
          <w:tab w:val="left" w:pos="709"/>
        </w:tabs>
        <w:snapToGrid w:val="0"/>
        <w:spacing w:after="120" w:line="276" w:lineRule="auto"/>
        <w:ind w:left="709" w:hanging="709"/>
        <w:jc w:val="both"/>
        <w:rPr>
          <w:rFonts w:ascii="Arial" w:hAnsi="Arial" w:cs="Arial"/>
          <w:sz w:val="24"/>
          <w:szCs w:val="24"/>
          <w:lang w:val="en-ZA"/>
        </w:rPr>
      </w:pPr>
      <w:r>
        <w:rPr>
          <w:rFonts w:ascii="Arial" w:hAnsi="Arial" w:cs="Arial"/>
          <w:sz w:val="24"/>
          <w:szCs w:val="24"/>
          <w:lang w:val="en-ZA"/>
        </w:rPr>
        <w:t>(iii)</w:t>
      </w:r>
      <w:r w:rsidR="00EC03A6">
        <w:rPr>
          <w:rFonts w:ascii="Arial" w:hAnsi="Arial" w:cs="Arial"/>
          <w:sz w:val="24"/>
          <w:szCs w:val="24"/>
          <w:lang w:val="en-ZA"/>
        </w:rPr>
        <w:tab/>
        <w:t>committed a material irregularity in accepting the third respondent’s version over his.</w:t>
      </w:r>
    </w:p>
    <w:p w14:paraId="0F539163" w14:textId="7E9E2749" w:rsidR="00082DF8" w:rsidRPr="00082DF8" w:rsidRDefault="00B01BBF" w:rsidP="009B0D6D">
      <w:pPr>
        <w:widowControl w:val="0"/>
        <w:tabs>
          <w:tab w:val="left" w:pos="709"/>
        </w:tabs>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6C2703">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t xml:space="preserve">The applicant </w:t>
      </w:r>
      <w:r w:rsidR="006C2703">
        <w:rPr>
          <w:rFonts w:ascii="Arial" w:hAnsi="Arial" w:cs="Arial"/>
          <w:sz w:val="24"/>
          <w:szCs w:val="24"/>
          <w:lang w:val="en-ZA"/>
        </w:rPr>
        <w:t xml:space="preserve">thus </w:t>
      </w:r>
      <w:r>
        <w:rPr>
          <w:rFonts w:ascii="Arial" w:hAnsi="Arial" w:cs="Arial"/>
          <w:sz w:val="24"/>
          <w:szCs w:val="24"/>
          <w:lang w:val="en-ZA"/>
        </w:rPr>
        <w:t xml:space="preserve">contends that the </w:t>
      </w:r>
      <w:r w:rsidR="006C2703">
        <w:rPr>
          <w:rFonts w:ascii="Arial" w:hAnsi="Arial" w:cs="Arial"/>
          <w:sz w:val="24"/>
          <w:szCs w:val="24"/>
          <w:lang w:val="en-ZA"/>
        </w:rPr>
        <w:t xml:space="preserve">first respondent's </w:t>
      </w:r>
      <w:r>
        <w:rPr>
          <w:rFonts w:ascii="Arial" w:hAnsi="Arial" w:cs="Arial"/>
          <w:sz w:val="24"/>
          <w:szCs w:val="24"/>
          <w:lang w:val="en-ZA"/>
        </w:rPr>
        <w:t>decision was taken (a)</w:t>
      </w:r>
      <w:r w:rsidR="006C2703">
        <w:rPr>
          <w:rFonts w:ascii="Arial" w:hAnsi="Arial" w:cs="Arial"/>
          <w:sz w:val="24"/>
          <w:szCs w:val="24"/>
          <w:lang w:val="en-ZA"/>
        </w:rPr>
        <w:t xml:space="preserve"> </w:t>
      </w:r>
      <w:r>
        <w:rPr>
          <w:rFonts w:ascii="Arial" w:hAnsi="Arial" w:cs="Arial"/>
          <w:sz w:val="24"/>
          <w:szCs w:val="24"/>
          <w:lang w:val="en-ZA"/>
        </w:rPr>
        <w:t>arbitrarily or capriciously</w:t>
      </w:r>
      <w:r w:rsidR="006C2703">
        <w:rPr>
          <w:rFonts w:ascii="Arial" w:hAnsi="Arial" w:cs="Arial"/>
          <w:sz w:val="24"/>
          <w:szCs w:val="24"/>
          <w:lang w:val="en-ZA"/>
        </w:rPr>
        <w:t>, (b) in a procedurally unfair manner, (c) materially influenced by an error of law and fact,</w:t>
      </w:r>
      <w:r>
        <w:rPr>
          <w:rFonts w:ascii="Arial" w:hAnsi="Arial" w:cs="Arial"/>
          <w:sz w:val="24"/>
          <w:szCs w:val="24"/>
          <w:lang w:val="en-ZA"/>
        </w:rPr>
        <w:t xml:space="preserve"> and (d)</w:t>
      </w:r>
      <w:r w:rsidR="006C2703">
        <w:rPr>
          <w:rFonts w:ascii="Arial" w:hAnsi="Arial" w:cs="Arial"/>
          <w:sz w:val="24"/>
          <w:szCs w:val="24"/>
          <w:lang w:val="en-ZA"/>
        </w:rPr>
        <w:t xml:space="preserve"> </w:t>
      </w:r>
      <w:r>
        <w:rPr>
          <w:rFonts w:ascii="Arial" w:hAnsi="Arial" w:cs="Arial"/>
          <w:sz w:val="24"/>
          <w:szCs w:val="24"/>
          <w:lang w:val="en-ZA"/>
        </w:rPr>
        <w:t>in a way not rationally connected to the information before her.</w:t>
      </w:r>
      <w:r>
        <w:rPr>
          <w:rStyle w:val="FootnoteReference"/>
          <w:rFonts w:ascii="Arial" w:hAnsi="Arial" w:cs="Arial"/>
          <w:sz w:val="24"/>
          <w:szCs w:val="24"/>
          <w:lang w:val="en-ZA"/>
        </w:rPr>
        <w:footnoteReference w:id="9"/>
      </w:r>
      <w:r w:rsidR="00082DF8">
        <w:rPr>
          <w:rFonts w:ascii="Arial" w:hAnsi="Arial" w:cs="Arial"/>
          <w:sz w:val="24"/>
          <w:szCs w:val="24"/>
          <w:lang w:val="en-ZA"/>
        </w:rPr>
        <w:t xml:space="preserve"> </w:t>
      </w:r>
    </w:p>
    <w:p w14:paraId="13FD3B77" w14:textId="611C7BDF" w:rsidR="00905CBC" w:rsidRDefault="00905CBC" w:rsidP="00905CBC">
      <w:pPr>
        <w:widowControl w:val="0"/>
        <w:snapToGrid w:val="0"/>
        <w:spacing w:after="120" w:line="360" w:lineRule="auto"/>
        <w:jc w:val="both"/>
        <w:rPr>
          <w:rFonts w:ascii="Arial" w:hAnsi="Arial" w:cs="Arial"/>
          <w:b/>
          <w:i/>
          <w:iCs/>
          <w:sz w:val="24"/>
          <w:szCs w:val="24"/>
          <w:lang w:val="en-ZA"/>
        </w:rPr>
      </w:pPr>
      <w:r>
        <w:rPr>
          <w:rFonts w:ascii="Arial" w:hAnsi="Arial" w:cs="Arial"/>
          <w:b/>
          <w:i/>
          <w:iCs/>
          <w:sz w:val="24"/>
          <w:szCs w:val="24"/>
          <w:lang w:val="en-ZA"/>
        </w:rPr>
        <w:lastRenderedPageBreak/>
        <w:t>History</w:t>
      </w:r>
    </w:p>
    <w:p w14:paraId="74DEF60E" w14:textId="4A3560CD" w:rsidR="00905CBC" w:rsidRDefault="00905CBC" w:rsidP="00905CBC">
      <w:pPr>
        <w:snapToGrid w:val="0"/>
        <w:spacing w:after="120" w:line="360" w:lineRule="auto"/>
        <w:jc w:val="both"/>
        <w:rPr>
          <w:rFonts w:ascii="Arial" w:hAnsi="Arial" w:cs="Arial"/>
          <w:bCs/>
          <w:sz w:val="24"/>
          <w:szCs w:val="24"/>
          <w:lang w:val="en-ZA"/>
        </w:rPr>
      </w:pPr>
      <w:r>
        <w:rPr>
          <w:rFonts w:ascii="Arial" w:hAnsi="Arial" w:cs="Arial"/>
          <w:bCs/>
          <w:sz w:val="24"/>
          <w:szCs w:val="24"/>
          <w:lang w:val="en-ZA"/>
        </w:rPr>
        <w:t>[</w:t>
      </w:r>
      <w:r w:rsidR="006C2703">
        <w:rPr>
          <w:rFonts w:ascii="Arial" w:hAnsi="Arial" w:cs="Arial"/>
          <w:bCs/>
          <w:sz w:val="24"/>
          <w:szCs w:val="24"/>
          <w:lang w:val="en-ZA"/>
        </w:rPr>
        <w:t>11</w:t>
      </w:r>
      <w:r>
        <w:rPr>
          <w:rFonts w:ascii="Arial" w:hAnsi="Arial" w:cs="Arial"/>
          <w:bCs/>
          <w:sz w:val="24"/>
          <w:szCs w:val="24"/>
          <w:lang w:val="en-ZA"/>
        </w:rPr>
        <w:t>]</w:t>
      </w:r>
      <w:r>
        <w:rPr>
          <w:rFonts w:ascii="Arial" w:hAnsi="Arial" w:cs="Arial"/>
          <w:bCs/>
          <w:sz w:val="24"/>
          <w:szCs w:val="24"/>
          <w:lang w:val="en-ZA"/>
        </w:rPr>
        <w:tab/>
        <w:t>This acrimonious and unfortunate litigation had its gen</w:t>
      </w:r>
      <w:r w:rsidR="007E1265">
        <w:rPr>
          <w:rFonts w:ascii="Arial" w:hAnsi="Arial" w:cs="Arial"/>
          <w:bCs/>
          <w:sz w:val="24"/>
          <w:szCs w:val="24"/>
          <w:lang w:val="en-ZA"/>
        </w:rPr>
        <w:t>esi</w:t>
      </w:r>
      <w:r>
        <w:rPr>
          <w:rFonts w:ascii="Arial" w:hAnsi="Arial" w:cs="Arial"/>
          <w:bCs/>
          <w:sz w:val="24"/>
          <w:szCs w:val="24"/>
          <w:lang w:val="en-ZA"/>
        </w:rPr>
        <w:t>s in a sequestration application that commenced about four years ago.  This sequestration application focused on the sequestration of the joint estate of the applicant’s sister and brother-in-law.  It was alleged that the applicant’s brother-in-law was a fraudster.  The third respondent acted for the petitioning creditors in this application.</w:t>
      </w:r>
      <w:r>
        <w:rPr>
          <w:rStyle w:val="FootnoteReference"/>
          <w:rFonts w:ascii="Arial" w:hAnsi="Arial" w:cs="Arial"/>
          <w:bCs/>
          <w:sz w:val="24"/>
          <w:szCs w:val="24"/>
          <w:lang w:val="en-ZA"/>
        </w:rPr>
        <w:footnoteReference w:id="10"/>
      </w:r>
    </w:p>
    <w:p w14:paraId="28926F46" w14:textId="512EB83B" w:rsidR="00905CBC" w:rsidRPr="00980BEE" w:rsidRDefault="00905CBC" w:rsidP="00905CBC">
      <w:pPr>
        <w:snapToGrid w:val="0"/>
        <w:spacing w:after="120" w:line="360" w:lineRule="auto"/>
        <w:jc w:val="both"/>
        <w:rPr>
          <w:rFonts w:ascii="Arial" w:hAnsi="Arial" w:cs="Arial"/>
          <w:sz w:val="24"/>
          <w:szCs w:val="24"/>
        </w:rPr>
      </w:pPr>
      <w:r>
        <w:rPr>
          <w:rFonts w:ascii="Arial" w:hAnsi="Arial" w:cs="Arial"/>
          <w:bCs/>
          <w:sz w:val="24"/>
          <w:szCs w:val="24"/>
          <w:lang w:val="en-ZA"/>
        </w:rPr>
        <w:t>[1</w:t>
      </w:r>
      <w:r w:rsidR="006C2703">
        <w:rPr>
          <w:rFonts w:ascii="Arial" w:hAnsi="Arial" w:cs="Arial"/>
          <w:bCs/>
          <w:sz w:val="24"/>
          <w:szCs w:val="24"/>
          <w:lang w:val="en-ZA"/>
        </w:rPr>
        <w:t>2</w:t>
      </w:r>
      <w:r>
        <w:rPr>
          <w:rFonts w:ascii="Arial" w:hAnsi="Arial" w:cs="Arial"/>
          <w:bCs/>
          <w:sz w:val="24"/>
          <w:szCs w:val="24"/>
          <w:lang w:val="en-ZA"/>
        </w:rPr>
        <w:t>]</w:t>
      </w:r>
      <w:r>
        <w:rPr>
          <w:rFonts w:ascii="Arial" w:hAnsi="Arial" w:cs="Arial"/>
          <w:bCs/>
          <w:sz w:val="24"/>
          <w:szCs w:val="24"/>
          <w:lang w:val="en-ZA"/>
        </w:rPr>
        <w:tab/>
        <w:t>Between the date of the provisional order and the final order of th</w:t>
      </w:r>
      <w:r w:rsidR="008E2EA5">
        <w:rPr>
          <w:rFonts w:ascii="Arial" w:hAnsi="Arial" w:cs="Arial"/>
          <w:bCs/>
          <w:sz w:val="24"/>
          <w:szCs w:val="24"/>
          <w:lang w:val="en-ZA"/>
        </w:rPr>
        <w:t>e</w:t>
      </w:r>
      <w:r>
        <w:rPr>
          <w:rFonts w:ascii="Arial" w:hAnsi="Arial" w:cs="Arial"/>
          <w:bCs/>
          <w:sz w:val="24"/>
          <w:szCs w:val="24"/>
          <w:lang w:val="en-ZA"/>
        </w:rPr>
        <w:t xml:space="preserve"> sequestration of this joint estate, the applicant concluded a cession and pledge agreement with a discrete trust of which his sister and brother-in-law were </w:t>
      </w:r>
      <w:r w:rsidR="008E2EA5">
        <w:rPr>
          <w:rFonts w:ascii="Arial" w:hAnsi="Arial" w:cs="Arial"/>
          <w:bCs/>
          <w:sz w:val="24"/>
          <w:szCs w:val="24"/>
          <w:lang w:val="en-ZA"/>
        </w:rPr>
        <w:t xml:space="preserve">the </w:t>
      </w:r>
      <w:r>
        <w:rPr>
          <w:rFonts w:ascii="Arial" w:hAnsi="Arial" w:cs="Arial"/>
          <w:bCs/>
          <w:sz w:val="24"/>
          <w:szCs w:val="24"/>
          <w:lang w:val="en-ZA"/>
        </w:rPr>
        <w:t xml:space="preserve">trustees, together with one other </w:t>
      </w:r>
      <w:r w:rsidR="008E2EA5">
        <w:rPr>
          <w:rFonts w:ascii="Arial" w:hAnsi="Arial" w:cs="Arial"/>
          <w:bCs/>
          <w:sz w:val="24"/>
          <w:szCs w:val="24"/>
          <w:lang w:val="en-ZA"/>
        </w:rPr>
        <w:t xml:space="preserve">independent </w:t>
      </w:r>
      <w:r>
        <w:rPr>
          <w:rFonts w:ascii="Arial" w:hAnsi="Arial" w:cs="Arial"/>
          <w:bCs/>
          <w:sz w:val="24"/>
          <w:szCs w:val="24"/>
          <w:lang w:val="en-ZA"/>
        </w:rPr>
        <w:t xml:space="preserve">trustee.  </w:t>
      </w:r>
      <w:r w:rsidR="0095528C">
        <w:rPr>
          <w:rFonts w:ascii="Arial" w:hAnsi="Arial" w:cs="Arial"/>
          <w:bCs/>
          <w:sz w:val="24"/>
          <w:szCs w:val="24"/>
          <w:lang w:val="en-ZA"/>
        </w:rPr>
        <w:t>Regarding</w:t>
      </w:r>
      <w:r>
        <w:rPr>
          <w:rFonts w:ascii="Arial" w:hAnsi="Arial" w:cs="Arial"/>
          <w:bCs/>
          <w:sz w:val="24"/>
          <w:szCs w:val="24"/>
          <w:lang w:val="en-ZA"/>
        </w:rPr>
        <w:t xml:space="preserve"> this cession and pledge</w:t>
      </w:r>
      <w:r w:rsidR="0095528C">
        <w:rPr>
          <w:rFonts w:ascii="Arial" w:hAnsi="Arial" w:cs="Arial"/>
          <w:bCs/>
          <w:sz w:val="24"/>
          <w:szCs w:val="24"/>
          <w:lang w:val="en-ZA"/>
        </w:rPr>
        <w:t>,</w:t>
      </w:r>
      <w:r>
        <w:rPr>
          <w:rFonts w:ascii="Arial" w:hAnsi="Arial" w:cs="Arial"/>
          <w:bCs/>
          <w:sz w:val="24"/>
          <w:szCs w:val="24"/>
          <w:lang w:val="en-ZA"/>
        </w:rPr>
        <w:t xml:space="preserve"> the applicant attempted to secure his position regarding a substantial loan that he had advanced to his brother-in-law.  </w:t>
      </w:r>
      <w:r w:rsidR="0095528C">
        <w:rPr>
          <w:rFonts w:ascii="Arial" w:hAnsi="Arial" w:cs="Arial"/>
          <w:bCs/>
          <w:sz w:val="24"/>
          <w:szCs w:val="24"/>
          <w:lang w:val="en-ZA"/>
        </w:rPr>
        <w:t>Through</w:t>
      </w:r>
      <w:r w:rsidR="008E2EA5">
        <w:rPr>
          <w:rFonts w:ascii="Arial" w:hAnsi="Arial" w:cs="Arial"/>
          <w:bCs/>
          <w:sz w:val="24"/>
          <w:szCs w:val="24"/>
          <w:lang w:val="en-ZA"/>
        </w:rPr>
        <w:t xml:space="preserve"> the cession and pledge</w:t>
      </w:r>
      <w:r w:rsidR="0095528C">
        <w:rPr>
          <w:rFonts w:ascii="Arial" w:hAnsi="Arial" w:cs="Arial"/>
          <w:bCs/>
          <w:sz w:val="24"/>
          <w:szCs w:val="24"/>
          <w:lang w:val="en-ZA"/>
        </w:rPr>
        <w:t>, the</w:t>
      </w:r>
      <w:r w:rsidR="008E2EA5">
        <w:rPr>
          <w:rFonts w:ascii="Arial" w:hAnsi="Arial" w:cs="Arial"/>
          <w:bCs/>
          <w:sz w:val="24"/>
          <w:szCs w:val="24"/>
          <w:lang w:val="en-ZA"/>
        </w:rPr>
        <w:t xml:space="preserve"> </w:t>
      </w:r>
      <w:r>
        <w:rPr>
          <w:rFonts w:ascii="Arial" w:hAnsi="Arial" w:cs="Arial"/>
          <w:bCs/>
          <w:sz w:val="24"/>
          <w:szCs w:val="24"/>
          <w:lang w:val="en-ZA"/>
        </w:rPr>
        <w:t>applicant acquired fifty percent of the shareholding</w:t>
      </w:r>
      <w:r w:rsidR="003540A2">
        <w:rPr>
          <w:rFonts w:ascii="Arial" w:hAnsi="Arial" w:cs="Arial"/>
          <w:bCs/>
          <w:sz w:val="24"/>
          <w:szCs w:val="24"/>
          <w:lang w:val="en-ZA"/>
        </w:rPr>
        <w:t xml:space="preserve"> </w:t>
      </w:r>
      <w:r w:rsidR="008E2EA5">
        <w:rPr>
          <w:rFonts w:ascii="Arial" w:hAnsi="Arial" w:cs="Arial"/>
          <w:bCs/>
          <w:sz w:val="24"/>
          <w:szCs w:val="24"/>
          <w:lang w:val="en-ZA"/>
        </w:rPr>
        <w:t xml:space="preserve">which this trust held </w:t>
      </w:r>
      <w:r>
        <w:rPr>
          <w:rFonts w:ascii="Arial" w:hAnsi="Arial" w:cs="Arial"/>
          <w:bCs/>
          <w:sz w:val="24"/>
          <w:szCs w:val="24"/>
          <w:lang w:val="en-ZA"/>
        </w:rPr>
        <w:t>in a private company.</w:t>
      </w:r>
      <w:r>
        <w:rPr>
          <w:rStyle w:val="FootnoteReference"/>
          <w:rFonts w:ascii="Arial" w:hAnsi="Arial" w:cs="Arial"/>
          <w:bCs/>
          <w:sz w:val="24"/>
          <w:szCs w:val="24"/>
          <w:lang w:val="en-ZA"/>
        </w:rPr>
        <w:footnoteReference w:id="11"/>
      </w:r>
    </w:p>
    <w:p w14:paraId="14C39165" w14:textId="73B2C3A4" w:rsidR="00905CBC" w:rsidRDefault="00905CBC" w:rsidP="00905CBC">
      <w:pPr>
        <w:snapToGrid w:val="0"/>
        <w:spacing w:after="120" w:line="360" w:lineRule="auto"/>
        <w:jc w:val="both"/>
        <w:rPr>
          <w:rFonts w:ascii="Arial" w:hAnsi="Arial" w:cs="Arial"/>
          <w:sz w:val="24"/>
          <w:szCs w:val="24"/>
        </w:rPr>
      </w:pPr>
      <w:r>
        <w:rPr>
          <w:rFonts w:ascii="Arial" w:hAnsi="Arial" w:cs="Arial"/>
          <w:sz w:val="24"/>
          <w:szCs w:val="24"/>
        </w:rPr>
        <w:t>[1</w:t>
      </w:r>
      <w:r w:rsidR="006C2703">
        <w:rPr>
          <w:rFonts w:ascii="Arial" w:hAnsi="Arial" w:cs="Arial"/>
          <w:sz w:val="24"/>
          <w:szCs w:val="24"/>
        </w:rPr>
        <w:t>3</w:t>
      </w:r>
      <w:r>
        <w:rPr>
          <w:rFonts w:ascii="Arial" w:hAnsi="Arial" w:cs="Arial"/>
          <w:sz w:val="24"/>
          <w:szCs w:val="24"/>
        </w:rPr>
        <w:t>]</w:t>
      </w:r>
      <w:r>
        <w:rPr>
          <w:rFonts w:ascii="Arial" w:hAnsi="Arial" w:cs="Arial"/>
          <w:sz w:val="24"/>
          <w:szCs w:val="24"/>
        </w:rPr>
        <w:tab/>
      </w:r>
      <w:r w:rsidR="008E2EA5" w:rsidRPr="00B96574">
        <w:rPr>
          <w:rFonts w:ascii="Arial" w:hAnsi="Arial" w:cs="Arial"/>
          <w:color w:val="000000" w:themeColor="text1"/>
          <w:sz w:val="24"/>
          <w:szCs w:val="24"/>
        </w:rPr>
        <w:t>This</w:t>
      </w:r>
      <w:r w:rsidR="008E2EA5">
        <w:rPr>
          <w:rFonts w:ascii="Arial" w:hAnsi="Arial" w:cs="Arial"/>
          <w:sz w:val="24"/>
          <w:szCs w:val="24"/>
        </w:rPr>
        <w:t xml:space="preserve"> cession and pledge </w:t>
      </w:r>
      <w:r w:rsidR="00B96574">
        <w:rPr>
          <w:rFonts w:ascii="Arial" w:hAnsi="Arial" w:cs="Arial"/>
          <w:sz w:val="24"/>
          <w:szCs w:val="24"/>
        </w:rPr>
        <w:t>document was</w:t>
      </w:r>
      <w:r w:rsidR="008E2EA5">
        <w:rPr>
          <w:rFonts w:ascii="Arial" w:hAnsi="Arial" w:cs="Arial"/>
          <w:sz w:val="24"/>
          <w:szCs w:val="24"/>
        </w:rPr>
        <w:t xml:space="preserve"> later declared void because the applicant’s b</w:t>
      </w:r>
      <w:r w:rsidR="00C80613">
        <w:rPr>
          <w:rFonts w:ascii="Arial" w:hAnsi="Arial" w:cs="Arial"/>
          <w:sz w:val="24"/>
          <w:szCs w:val="24"/>
        </w:rPr>
        <w:t>r</w:t>
      </w:r>
      <w:r w:rsidR="008E2EA5">
        <w:rPr>
          <w:rFonts w:ascii="Arial" w:hAnsi="Arial" w:cs="Arial"/>
          <w:sz w:val="24"/>
          <w:szCs w:val="24"/>
        </w:rPr>
        <w:t xml:space="preserve">other-in-law and his sister had been the subject of a provisional sequestration </w:t>
      </w:r>
      <w:r w:rsidR="00FA526F">
        <w:rPr>
          <w:rFonts w:ascii="Arial" w:hAnsi="Arial" w:cs="Arial"/>
          <w:sz w:val="24"/>
          <w:szCs w:val="24"/>
        </w:rPr>
        <w:t xml:space="preserve">order </w:t>
      </w:r>
      <w:r w:rsidR="008E2EA5">
        <w:rPr>
          <w:rFonts w:ascii="Arial" w:hAnsi="Arial" w:cs="Arial"/>
          <w:sz w:val="24"/>
          <w:szCs w:val="24"/>
        </w:rPr>
        <w:t xml:space="preserve">at the time of the cession and pledge and were thus disqualified from </w:t>
      </w:r>
      <w:r w:rsidR="007E1265">
        <w:rPr>
          <w:rFonts w:ascii="Arial" w:hAnsi="Arial" w:cs="Arial"/>
          <w:sz w:val="24"/>
          <w:szCs w:val="24"/>
        </w:rPr>
        <w:t>conducting business</w:t>
      </w:r>
      <w:r w:rsidR="008E2EA5">
        <w:rPr>
          <w:rFonts w:ascii="Arial" w:hAnsi="Arial" w:cs="Arial"/>
          <w:sz w:val="24"/>
          <w:szCs w:val="24"/>
        </w:rPr>
        <w:t xml:space="preserve"> as trustees </w:t>
      </w:r>
      <w:r w:rsidR="00BE09EB">
        <w:rPr>
          <w:rFonts w:ascii="Arial" w:hAnsi="Arial" w:cs="Arial"/>
          <w:sz w:val="24"/>
          <w:szCs w:val="24"/>
        </w:rPr>
        <w:t xml:space="preserve">on behalf </w:t>
      </w:r>
      <w:r w:rsidR="008E2EA5">
        <w:rPr>
          <w:rFonts w:ascii="Arial" w:hAnsi="Arial" w:cs="Arial"/>
          <w:sz w:val="24"/>
          <w:szCs w:val="24"/>
        </w:rPr>
        <w:t>of the trust</w:t>
      </w:r>
      <w:r w:rsidR="007E1265">
        <w:rPr>
          <w:rFonts w:ascii="Arial" w:hAnsi="Arial" w:cs="Arial"/>
          <w:sz w:val="24"/>
          <w:szCs w:val="24"/>
        </w:rPr>
        <w:t xml:space="preserve">.  The shares </w:t>
      </w:r>
      <w:r w:rsidR="008E2EA5">
        <w:rPr>
          <w:rFonts w:ascii="Arial" w:hAnsi="Arial" w:cs="Arial"/>
          <w:sz w:val="24"/>
          <w:szCs w:val="24"/>
        </w:rPr>
        <w:t xml:space="preserve">disposed of </w:t>
      </w:r>
      <w:r w:rsidR="007E1265">
        <w:rPr>
          <w:rFonts w:ascii="Arial" w:hAnsi="Arial" w:cs="Arial"/>
          <w:sz w:val="24"/>
          <w:szCs w:val="24"/>
        </w:rPr>
        <w:t xml:space="preserve">were </w:t>
      </w:r>
      <w:r w:rsidR="008E2EA5">
        <w:rPr>
          <w:rFonts w:ascii="Arial" w:hAnsi="Arial" w:cs="Arial"/>
          <w:sz w:val="24"/>
          <w:szCs w:val="24"/>
        </w:rPr>
        <w:t>to ostensibly improve the applicant’s unsecured position regarding his loan to his brother-in-law.</w:t>
      </w:r>
      <w:r w:rsidR="00C80613">
        <w:rPr>
          <w:rStyle w:val="FootnoteReference"/>
          <w:rFonts w:ascii="Arial" w:hAnsi="Arial" w:cs="Arial"/>
          <w:sz w:val="24"/>
          <w:szCs w:val="24"/>
        </w:rPr>
        <w:footnoteReference w:id="12"/>
      </w:r>
    </w:p>
    <w:p w14:paraId="46722AD1" w14:textId="09359A49" w:rsidR="00FA526F" w:rsidRDefault="00C80613" w:rsidP="008E4118">
      <w:pPr>
        <w:snapToGrid w:val="0"/>
        <w:spacing w:after="120" w:line="360" w:lineRule="auto"/>
        <w:jc w:val="both"/>
        <w:rPr>
          <w:rFonts w:ascii="Arial" w:hAnsi="Arial" w:cs="Arial"/>
          <w:sz w:val="24"/>
          <w:szCs w:val="24"/>
        </w:rPr>
      </w:pPr>
      <w:r>
        <w:rPr>
          <w:rFonts w:ascii="Arial" w:hAnsi="Arial" w:cs="Arial"/>
          <w:sz w:val="24"/>
          <w:szCs w:val="24"/>
        </w:rPr>
        <w:t>[1</w:t>
      </w:r>
      <w:r w:rsidR="006C2703">
        <w:rPr>
          <w:rFonts w:ascii="Arial" w:hAnsi="Arial" w:cs="Arial"/>
          <w:sz w:val="24"/>
          <w:szCs w:val="24"/>
        </w:rPr>
        <w:t>4</w:t>
      </w:r>
      <w:r>
        <w:rPr>
          <w:rFonts w:ascii="Arial" w:hAnsi="Arial" w:cs="Arial"/>
          <w:sz w:val="24"/>
          <w:szCs w:val="24"/>
        </w:rPr>
        <w:t>]</w:t>
      </w:r>
      <w:r>
        <w:rPr>
          <w:rFonts w:ascii="Arial" w:hAnsi="Arial" w:cs="Arial"/>
          <w:sz w:val="24"/>
          <w:szCs w:val="24"/>
        </w:rPr>
        <w:tab/>
        <w:t>Provisional trustees were appointed to take control of the assets of the joint estate.  The third respondent acted for the petitioning creditors of the joint estate, and he also acted for the provisional trustees of the joint estate</w:t>
      </w:r>
      <w:r w:rsidR="003A7BB9">
        <w:rPr>
          <w:rFonts w:ascii="Arial" w:hAnsi="Arial" w:cs="Arial"/>
          <w:sz w:val="24"/>
          <w:szCs w:val="24"/>
        </w:rPr>
        <w:t>, essentially against the alleged fraudster.</w:t>
      </w:r>
      <w:r>
        <w:rPr>
          <w:rFonts w:ascii="Arial" w:hAnsi="Arial" w:cs="Arial"/>
          <w:sz w:val="24"/>
          <w:szCs w:val="24"/>
        </w:rPr>
        <w:t xml:space="preserve">  Following investigations by the provisional trustees, they </w:t>
      </w:r>
      <w:r w:rsidR="003A7BB9">
        <w:rPr>
          <w:rFonts w:ascii="Arial" w:hAnsi="Arial" w:cs="Arial"/>
          <w:sz w:val="24"/>
          <w:szCs w:val="24"/>
        </w:rPr>
        <w:t>met</w:t>
      </w:r>
      <w:r>
        <w:rPr>
          <w:rFonts w:ascii="Arial" w:hAnsi="Arial" w:cs="Arial"/>
          <w:sz w:val="24"/>
          <w:szCs w:val="24"/>
        </w:rPr>
        <w:t xml:space="preserve"> with the alleged fraudster </w:t>
      </w:r>
      <w:r w:rsidR="003A7BB9">
        <w:rPr>
          <w:rFonts w:ascii="Arial" w:hAnsi="Arial" w:cs="Arial"/>
          <w:sz w:val="24"/>
          <w:szCs w:val="24"/>
        </w:rPr>
        <w:t>at the offices of the third respondent.</w:t>
      </w:r>
      <w:r w:rsidR="00FA526F">
        <w:rPr>
          <w:rFonts w:ascii="Arial" w:hAnsi="Arial" w:cs="Arial"/>
          <w:sz w:val="24"/>
          <w:szCs w:val="24"/>
        </w:rPr>
        <w:t xml:space="preserve">  </w:t>
      </w:r>
      <w:r w:rsidR="003A7BB9">
        <w:rPr>
          <w:rFonts w:ascii="Arial" w:hAnsi="Arial" w:cs="Arial"/>
          <w:sz w:val="24"/>
          <w:szCs w:val="24"/>
        </w:rPr>
        <w:t xml:space="preserve">At this meeting, specific information was obtained from the alleged fraudster, which </w:t>
      </w:r>
      <w:r w:rsidR="008E4118">
        <w:rPr>
          <w:rFonts w:ascii="Arial" w:hAnsi="Arial" w:cs="Arial"/>
          <w:sz w:val="24"/>
          <w:szCs w:val="24"/>
        </w:rPr>
        <w:t>resulted in the drafting a</w:t>
      </w:r>
      <w:r w:rsidR="006C2703">
        <w:rPr>
          <w:rFonts w:ascii="Arial" w:hAnsi="Arial" w:cs="Arial"/>
          <w:sz w:val="24"/>
          <w:szCs w:val="24"/>
        </w:rPr>
        <w:t>n</w:t>
      </w:r>
      <w:r w:rsidR="008E4118">
        <w:rPr>
          <w:rFonts w:ascii="Arial" w:hAnsi="Arial" w:cs="Arial"/>
          <w:sz w:val="24"/>
          <w:szCs w:val="24"/>
        </w:rPr>
        <w:t>d filing of affidavits supporting the sequestration of the trust.  This was the trust that disposed of its shareholding in a private company to the applicant.</w:t>
      </w:r>
      <w:r w:rsidR="00FA526F">
        <w:rPr>
          <w:rStyle w:val="FootnoteReference"/>
          <w:rFonts w:ascii="Arial" w:hAnsi="Arial" w:cs="Arial"/>
          <w:sz w:val="24"/>
          <w:szCs w:val="24"/>
        </w:rPr>
        <w:footnoteReference w:id="13"/>
      </w:r>
    </w:p>
    <w:p w14:paraId="7753DA59" w14:textId="1E695E7A" w:rsidR="008E4118" w:rsidRPr="008E4118" w:rsidRDefault="00FA526F" w:rsidP="008E4118">
      <w:pPr>
        <w:snapToGrid w:val="0"/>
        <w:spacing w:after="12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8E4118">
        <w:rPr>
          <w:rFonts w:ascii="Arial" w:hAnsi="Arial" w:cs="Arial"/>
          <w:sz w:val="24"/>
          <w:szCs w:val="24"/>
        </w:rPr>
        <w:t xml:space="preserve">It is these </w:t>
      </w:r>
      <w:r w:rsidR="0017051F">
        <w:rPr>
          <w:rFonts w:ascii="Arial" w:hAnsi="Arial" w:cs="Arial"/>
          <w:sz w:val="24"/>
          <w:szCs w:val="24"/>
        </w:rPr>
        <w:t xml:space="preserve">affidavits </w:t>
      </w:r>
      <w:r w:rsidR="008E4118">
        <w:rPr>
          <w:rFonts w:ascii="Arial" w:hAnsi="Arial" w:cs="Arial"/>
          <w:sz w:val="24"/>
          <w:szCs w:val="24"/>
        </w:rPr>
        <w:t xml:space="preserve">that are alleged to be </w:t>
      </w:r>
      <w:r w:rsidR="0017051F">
        <w:rPr>
          <w:rFonts w:ascii="Arial" w:hAnsi="Arial" w:cs="Arial"/>
          <w:sz w:val="24"/>
          <w:szCs w:val="24"/>
        </w:rPr>
        <w:t>problematic</w:t>
      </w:r>
      <w:r w:rsidR="008E4118">
        <w:rPr>
          <w:rFonts w:ascii="Arial" w:hAnsi="Arial" w:cs="Arial"/>
          <w:sz w:val="24"/>
          <w:szCs w:val="24"/>
        </w:rPr>
        <w:t>.</w:t>
      </w:r>
      <w:r>
        <w:rPr>
          <w:rFonts w:ascii="Arial" w:hAnsi="Arial" w:cs="Arial"/>
          <w:sz w:val="24"/>
          <w:szCs w:val="24"/>
        </w:rPr>
        <w:t xml:space="preserve">  </w:t>
      </w:r>
      <w:r w:rsidR="008E4118">
        <w:rPr>
          <w:rFonts w:ascii="Arial" w:hAnsi="Arial" w:cs="Arial"/>
          <w:sz w:val="24"/>
          <w:szCs w:val="24"/>
        </w:rPr>
        <w:t xml:space="preserve">The applicant complains </w:t>
      </w:r>
      <w:r w:rsidR="008E4118" w:rsidRPr="00645ED3">
        <w:rPr>
          <w:rFonts w:ascii="Arial" w:hAnsi="Arial" w:cs="Arial"/>
          <w:sz w:val="24"/>
          <w:szCs w:val="24"/>
          <w:lang w:val="en-ZA"/>
        </w:rPr>
        <w:t xml:space="preserve">that the </w:t>
      </w:r>
      <w:r w:rsidR="008E4118">
        <w:rPr>
          <w:rFonts w:ascii="Arial" w:hAnsi="Arial" w:cs="Arial"/>
          <w:sz w:val="24"/>
          <w:szCs w:val="24"/>
          <w:lang w:val="en-ZA"/>
        </w:rPr>
        <w:t>t</w:t>
      </w:r>
      <w:r w:rsidR="008E4118" w:rsidRPr="00645ED3">
        <w:rPr>
          <w:rFonts w:ascii="Arial" w:hAnsi="Arial" w:cs="Arial"/>
          <w:sz w:val="24"/>
          <w:szCs w:val="24"/>
          <w:lang w:val="en-ZA"/>
        </w:rPr>
        <w:t xml:space="preserve">hird </w:t>
      </w:r>
      <w:r w:rsidR="008E4118">
        <w:rPr>
          <w:rFonts w:ascii="Arial" w:hAnsi="Arial" w:cs="Arial"/>
          <w:sz w:val="24"/>
          <w:szCs w:val="24"/>
          <w:lang w:val="en-ZA"/>
        </w:rPr>
        <w:t>r</w:t>
      </w:r>
      <w:r w:rsidR="008E4118" w:rsidRPr="00645ED3">
        <w:rPr>
          <w:rFonts w:ascii="Arial" w:hAnsi="Arial" w:cs="Arial"/>
          <w:sz w:val="24"/>
          <w:szCs w:val="24"/>
          <w:lang w:val="en-ZA"/>
        </w:rPr>
        <w:t xml:space="preserve">espondent was guilty of preparing </w:t>
      </w:r>
      <w:r w:rsidR="008E4118">
        <w:rPr>
          <w:rFonts w:ascii="Arial" w:hAnsi="Arial" w:cs="Arial"/>
          <w:sz w:val="24"/>
          <w:szCs w:val="24"/>
          <w:lang w:val="en-ZA"/>
        </w:rPr>
        <w:t xml:space="preserve">these </w:t>
      </w:r>
      <w:r w:rsidR="008E4118" w:rsidRPr="00645ED3">
        <w:rPr>
          <w:rFonts w:ascii="Arial" w:hAnsi="Arial" w:cs="Arial"/>
          <w:sz w:val="24"/>
          <w:szCs w:val="24"/>
          <w:lang w:val="en-ZA"/>
        </w:rPr>
        <w:t>affidavits and confirming their content in the knowledge that th</w:t>
      </w:r>
      <w:r w:rsidR="008E4118">
        <w:rPr>
          <w:rFonts w:ascii="Arial" w:hAnsi="Arial" w:cs="Arial"/>
          <w:sz w:val="24"/>
          <w:szCs w:val="24"/>
          <w:lang w:val="en-ZA"/>
        </w:rPr>
        <w:t xml:space="preserve">e </w:t>
      </w:r>
      <w:r w:rsidR="008E4118" w:rsidRPr="00645ED3">
        <w:rPr>
          <w:rFonts w:ascii="Arial" w:hAnsi="Arial" w:cs="Arial"/>
          <w:sz w:val="24"/>
          <w:szCs w:val="24"/>
          <w:lang w:val="en-ZA"/>
        </w:rPr>
        <w:t>affidavits contained falsehoods</w:t>
      </w:r>
      <w:r w:rsidR="008E4118">
        <w:rPr>
          <w:rFonts w:ascii="Arial" w:hAnsi="Arial" w:cs="Arial"/>
          <w:sz w:val="24"/>
          <w:szCs w:val="24"/>
          <w:lang w:val="en-ZA"/>
        </w:rPr>
        <w:t>,</w:t>
      </w:r>
      <w:r w:rsidR="008E4118" w:rsidRPr="00645ED3">
        <w:rPr>
          <w:rFonts w:ascii="Arial" w:hAnsi="Arial" w:cs="Arial"/>
          <w:sz w:val="24"/>
          <w:szCs w:val="24"/>
          <w:lang w:val="en-ZA"/>
        </w:rPr>
        <w:t xml:space="preserve"> </w:t>
      </w:r>
      <w:r w:rsidR="00A7548D">
        <w:rPr>
          <w:rFonts w:ascii="Arial" w:hAnsi="Arial" w:cs="Arial"/>
          <w:sz w:val="24"/>
          <w:szCs w:val="24"/>
          <w:lang w:val="en-ZA"/>
        </w:rPr>
        <w:t>which</w:t>
      </w:r>
      <w:r w:rsidR="008E4118" w:rsidRPr="00645ED3">
        <w:rPr>
          <w:rFonts w:ascii="Arial" w:hAnsi="Arial" w:cs="Arial"/>
          <w:sz w:val="24"/>
          <w:szCs w:val="24"/>
          <w:lang w:val="en-ZA"/>
        </w:rPr>
        <w:t xml:space="preserve"> were </w:t>
      </w:r>
      <w:r w:rsidR="008E4118">
        <w:rPr>
          <w:rFonts w:ascii="Arial" w:hAnsi="Arial" w:cs="Arial"/>
          <w:sz w:val="24"/>
          <w:szCs w:val="24"/>
          <w:lang w:val="en-ZA"/>
        </w:rPr>
        <w:t>then used in the sequestration application of the trust.</w:t>
      </w:r>
      <w:r w:rsidR="008E4118">
        <w:rPr>
          <w:rStyle w:val="FootnoteReference"/>
          <w:rFonts w:ascii="Arial" w:hAnsi="Arial" w:cs="Arial"/>
          <w:sz w:val="24"/>
          <w:szCs w:val="24"/>
          <w:lang w:val="en-ZA"/>
        </w:rPr>
        <w:footnoteReference w:id="14"/>
      </w:r>
    </w:p>
    <w:p w14:paraId="48227EE8" w14:textId="6E6B6BE9" w:rsidR="00FA526F" w:rsidRDefault="00A7548D" w:rsidP="00847024">
      <w:pPr>
        <w:snapToGrid w:val="0"/>
        <w:spacing w:after="120" w:line="360" w:lineRule="auto"/>
        <w:jc w:val="both"/>
        <w:rPr>
          <w:rFonts w:ascii="Arial" w:hAnsi="Arial" w:cs="Arial"/>
          <w:sz w:val="24"/>
          <w:szCs w:val="24"/>
        </w:rPr>
      </w:pPr>
      <w:r>
        <w:rPr>
          <w:rFonts w:ascii="Arial" w:hAnsi="Arial" w:cs="Arial"/>
          <w:sz w:val="24"/>
          <w:szCs w:val="24"/>
        </w:rPr>
        <w:t>[1</w:t>
      </w:r>
      <w:r w:rsidR="006C2703">
        <w:rPr>
          <w:rFonts w:ascii="Arial" w:hAnsi="Arial" w:cs="Arial"/>
          <w:sz w:val="24"/>
          <w:szCs w:val="24"/>
        </w:rPr>
        <w:t>6</w:t>
      </w:r>
      <w:r>
        <w:rPr>
          <w:rFonts w:ascii="Arial" w:hAnsi="Arial" w:cs="Arial"/>
          <w:sz w:val="24"/>
          <w:szCs w:val="24"/>
        </w:rPr>
        <w:t>]</w:t>
      </w:r>
      <w:r>
        <w:rPr>
          <w:rFonts w:ascii="Arial" w:hAnsi="Arial" w:cs="Arial"/>
          <w:sz w:val="24"/>
          <w:szCs w:val="24"/>
        </w:rPr>
        <w:tab/>
        <w:t xml:space="preserve">The insolvency trustees of the joint estate of the applicant’s sister and brother-in-law then applied </w:t>
      </w:r>
      <w:r w:rsidR="00847024">
        <w:rPr>
          <w:rFonts w:ascii="Arial" w:hAnsi="Arial" w:cs="Arial"/>
          <w:sz w:val="24"/>
          <w:szCs w:val="24"/>
        </w:rPr>
        <w:t>to liquidate</w:t>
      </w:r>
      <w:r>
        <w:rPr>
          <w:rFonts w:ascii="Arial" w:hAnsi="Arial" w:cs="Arial"/>
          <w:sz w:val="24"/>
          <w:szCs w:val="24"/>
        </w:rPr>
        <w:t xml:space="preserve"> the discrete private company.  Fifty</w:t>
      </w:r>
      <w:r w:rsidR="00847024">
        <w:rPr>
          <w:rFonts w:ascii="Arial" w:hAnsi="Arial" w:cs="Arial"/>
          <w:sz w:val="24"/>
          <w:szCs w:val="24"/>
        </w:rPr>
        <w:t xml:space="preserve"> percent of this company’s shares were </w:t>
      </w:r>
      <w:r w:rsidR="007E1265">
        <w:rPr>
          <w:rFonts w:ascii="Arial" w:hAnsi="Arial" w:cs="Arial"/>
          <w:sz w:val="24"/>
          <w:szCs w:val="24"/>
        </w:rPr>
        <w:t xml:space="preserve">(at this point) ostensibly </w:t>
      </w:r>
      <w:r w:rsidR="00847024">
        <w:rPr>
          <w:rFonts w:ascii="Arial" w:hAnsi="Arial" w:cs="Arial"/>
          <w:sz w:val="24"/>
          <w:szCs w:val="24"/>
        </w:rPr>
        <w:t>owned by the applicant in terms of the cession and pledge agreements,</w:t>
      </w:r>
      <w:r>
        <w:rPr>
          <w:rFonts w:ascii="Arial" w:hAnsi="Arial" w:cs="Arial"/>
          <w:sz w:val="24"/>
          <w:szCs w:val="24"/>
        </w:rPr>
        <w:t xml:space="preserve"> which had been concluded with his sister’s and brother-in-law’s trust.</w:t>
      </w:r>
      <w:r w:rsidR="00FA526F">
        <w:rPr>
          <w:rStyle w:val="FootnoteReference"/>
          <w:rFonts w:ascii="Arial" w:hAnsi="Arial" w:cs="Arial"/>
          <w:sz w:val="24"/>
          <w:szCs w:val="24"/>
        </w:rPr>
        <w:footnoteReference w:id="15"/>
      </w:r>
    </w:p>
    <w:p w14:paraId="66EC73A1" w14:textId="71933EE4" w:rsidR="00847024" w:rsidRDefault="00FA526F" w:rsidP="00847024">
      <w:pPr>
        <w:snapToGrid w:val="0"/>
        <w:spacing w:after="12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A7548D">
        <w:rPr>
          <w:rFonts w:ascii="Arial" w:hAnsi="Arial" w:cs="Arial"/>
          <w:sz w:val="24"/>
          <w:szCs w:val="24"/>
        </w:rPr>
        <w:t xml:space="preserve">The </w:t>
      </w:r>
      <w:r w:rsidR="00B96574" w:rsidRPr="00B96574">
        <w:rPr>
          <w:rFonts w:ascii="Arial" w:hAnsi="Arial" w:cs="Arial"/>
          <w:sz w:val="24"/>
          <w:szCs w:val="24"/>
        </w:rPr>
        <w:t>reason</w:t>
      </w:r>
      <w:r w:rsidR="00B96574">
        <w:rPr>
          <w:rFonts w:ascii="Arial" w:hAnsi="Arial" w:cs="Arial"/>
          <w:sz w:val="24"/>
          <w:szCs w:val="24"/>
        </w:rPr>
        <w:t>s</w:t>
      </w:r>
      <w:r w:rsidR="00B96574" w:rsidRPr="00B96574">
        <w:rPr>
          <w:rFonts w:ascii="Arial" w:hAnsi="Arial" w:cs="Arial"/>
          <w:sz w:val="24"/>
          <w:szCs w:val="24"/>
        </w:rPr>
        <w:t xml:space="preserve"> for</w:t>
      </w:r>
      <w:r w:rsidR="00B96574">
        <w:rPr>
          <w:rFonts w:ascii="Arial" w:hAnsi="Arial" w:cs="Arial"/>
          <w:i/>
          <w:iCs/>
          <w:sz w:val="24"/>
          <w:szCs w:val="24"/>
        </w:rPr>
        <w:t xml:space="preserve"> </w:t>
      </w:r>
      <w:r w:rsidR="00B96574" w:rsidRPr="00B96574">
        <w:rPr>
          <w:rFonts w:ascii="Arial" w:hAnsi="Arial" w:cs="Arial"/>
          <w:sz w:val="24"/>
          <w:szCs w:val="24"/>
        </w:rPr>
        <w:t>the</w:t>
      </w:r>
      <w:r w:rsidR="00B96574">
        <w:rPr>
          <w:rFonts w:ascii="Arial" w:hAnsi="Arial" w:cs="Arial"/>
          <w:i/>
          <w:iCs/>
          <w:sz w:val="24"/>
          <w:szCs w:val="24"/>
        </w:rPr>
        <w:t xml:space="preserve"> </w:t>
      </w:r>
      <w:r w:rsidR="00A7548D">
        <w:rPr>
          <w:rFonts w:ascii="Arial" w:hAnsi="Arial" w:cs="Arial"/>
          <w:sz w:val="24"/>
          <w:szCs w:val="24"/>
        </w:rPr>
        <w:t>liquidation of this company w</w:t>
      </w:r>
      <w:r w:rsidR="00B96574">
        <w:rPr>
          <w:rFonts w:ascii="Arial" w:hAnsi="Arial" w:cs="Arial"/>
          <w:sz w:val="24"/>
          <w:szCs w:val="24"/>
        </w:rPr>
        <w:t>ere allegedly</w:t>
      </w:r>
      <w:r w:rsidR="00A7548D">
        <w:rPr>
          <w:rFonts w:ascii="Arial" w:hAnsi="Arial" w:cs="Arial"/>
          <w:sz w:val="24"/>
          <w:szCs w:val="24"/>
        </w:rPr>
        <w:t xml:space="preserve"> underpinned by </w:t>
      </w:r>
      <w:r w:rsidR="00905CBC" w:rsidRPr="00980BEE">
        <w:rPr>
          <w:rFonts w:ascii="Arial" w:hAnsi="Arial" w:cs="Arial"/>
          <w:sz w:val="24"/>
          <w:szCs w:val="24"/>
        </w:rPr>
        <w:t xml:space="preserve">payments made </w:t>
      </w:r>
      <w:r w:rsidR="007E1265">
        <w:rPr>
          <w:rFonts w:ascii="Arial" w:hAnsi="Arial" w:cs="Arial"/>
          <w:sz w:val="24"/>
          <w:szCs w:val="24"/>
        </w:rPr>
        <w:t>to this company by the alleged fraudster</w:t>
      </w:r>
      <w:r w:rsidR="00B96574">
        <w:rPr>
          <w:rFonts w:ascii="Arial" w:hAnsi="Arial" w:cs="Arial"/>
          <w:sz w:val="24"/>
          <w:szCs w:val="24"/>
        </w:rPr>
        <w:t xml:space="preserve"> and or payments made by the trust controlled by the alleged fraudster and his wife</w:t>
      </w:r>
      <w:r w:rsidR="00A7548D">
        <w:rPr>
          <w:rFonts w:ascii="Arial" w:hAnsi="Arial" w:cs="Arial"/>
          <w:sz w:val="24"/>
          <w:szCs w:val="24"/>
        </w:rPr>
        <w:t>.</w:t>
      </w:r>
      <w:r w:rsidR="00B96574">
        <w:rPr>
          <w:rFonts w:ascii="Arial" w:hAnsi="Arial" w:cs="Arial"/>
          <w:sz w:val="24"/>
          <w:szCs w:val="24"/>
        </w:rPr>
        <w:t xml:space="preserve"> </w:t>
      </w:r>
      <w:r w:rsidR="002C1432">
        <w:rPr>
          <w:rFonts w:ascii="Arial" w:hAnsi="Arial" w:cs="Arial"/>
          <w:sz w:val="24"/>
          <w:szCs w:val="24"/>
        </w:rPr>
        <w:t xml:space="preserve"> </w:t>
      </w:r>
      <w:r w:rsidR="00847024">
        <w:rPr>
          <w:rFonts w:ascii="Arial" w:hAnsi="Arial" w:cs="Arial"/>
          <w:sz w:val="24"/>
          <w:szCs w:val="24"/>
        </w:rPr>
        <w:t>After the provisional liquidation</w:t>
      </w:r>
      <w:r w:rsidR="007E1265">
        <w:rPr>
          <w:rFonts w:ascii="Arial" w:hAnsi="Arial" w:cs="Arial"/>
          <w:sz w:val="24"/>
          <w:szCs w:val="24"/>
        </w:rPr>
        <w:t>, the provisional liquidators brought an extension of powers application to conclude a lease agreement to preserve the immovable property which belonged to th</w:t>
      </w:r>
      <w:r w:rsidR="0008518C">
        <w:rPr>
          <w:rFonts w:ascii="Arial" w:hAnsi="Arial" w:cs="Arial"/>
          <w:sz w:val="24"/>
          <w:szCs w:val="24"/>
        </w:rPr>
        <w:t xml:space="preserve">is </w:t>
      </w:r>
      <w:r w:rsidR="00847024">
        <w:rPr>
          <w:rFonts w:ascii="Arial" w:hAnsi="Arial" w:cs="Arial"/>
          <w:sz w:val="24"/>
          <w:szCs w:val="24"/>
        </w:rPr>
        <w:t>company</w:t>
      </w:r>
      <w:r w:rsidR="0008518C">
        <w:rPr>
          <w:rFonts w:ascii="Arial" w:hAnsi="Arial" w:cs="Arial"/>
          <w:sz w:val="24"/>
          <w:szCs w:val="24"/>
        </w:rPr>
        <w:t xml:space="preserve"> in provisional liquidation</w:t>
      </w:r>
      <w:r w:rsidR="00847024">
        <w:rPr>
          <w:rFonts w:ascii="Arial" w:hAnsi="Arial" w:cs="Arial"/>
          <w:sz w:val="24"/>
          <w:szCs w:val="24"/>
        </w:rPr>
        <w:t xml:space="preserve">. </w:t>
      </w:r>
      <w:r w:rsidR="0008518C">
        <w:rPr>
          <w:rFonts w:ascii="Arial" w:hAnsi="Arial" w:cs="Arial"/>
          <w:sz w:val="24"/>
          <w:szCs w:val="24"/>
        </w:rPr>
        <w:t xml:space="preserve"> </w:t>
      </w:r>
      <w:r w:rsidR="002C1432">
        <w:rPr>
          <w:rFonts w:ascii="Arial" w:hAnsi="Arial" w:cs="Arial"/>
          <w:sz w:val="24"/>
          <w:szCs w:val="24"/>
        </w:rPr>
        <w:t xml:space="preserve">The third respondent acted for </w:t>
      </w:r>
      <w:r w:rsidR="007E1265">
        <w:rPr>
          <w:rFonts w:ascii="Arial" w:hAnsi="Arial" w:cs="Arial"/>
          <w:sz w:val="24"/>
          <w:szCs w:val="24"/>
        </w:rPr>
        <w:t>the provisional liquidators</w:t>
      </w:r>
      <w:r w:rsidR="002C1432">
        <w:rPr>
          <w:rFonts w:ascii="Arial" w:hAnsi="Arial" w:cs="Arial"/>
          <w:sz w:val="24"/>
          <w:szCs w:val="24"/>
        </w:rPr>
        <w:t xml:space="preserve"> who </w:t>
      </w:r>
      <w:r w:rsidR="00847024">
        <w:rPr>
          <w:rFonts w:ascii="Arial" w:hAnsi="Arial" w:cs="Arial"/>
          <w:sz w:val="24"/>
          <w:szCs w:val="24"/>
        </w:rPr>
        <w:t xml:space="preserve">took positions adverse to the </w:t>
      </w:r>
      <w:r w:rsidR="0095528C">
        <w:rPr>
          <w:rFonts w:ascii="Arial" w:hAnsi="Arial" w:cs="Arial"/>
          <w:sz w:val="24"/>
          <w:szCs w:val="24"/>
        </w:rPr>
        <w:t>applicant's interes</w:t>
      </w:r>
      <w:r w:rsidR="00847024">
        <w:rPr>
          <w:rFonts w:ascii="Arial" w:hAnsi="Arial" w:cs="Arial"/>
          <w:sz w:val="24"/>
          <w:szCs w:val="24"/>
        </w:rPr>
        <w:t>t</w:t>
      </w:r>
      <w:r w:rsidR="007E1265">
        <w:rPr>
          <w:rFonts w:ascii="Arial" w:hAnsi="Arial" w:cs="Arial"/>
          <w:sz w:val="24"/>
          <w:szCs w:val="24"/>
        </w:rPr>
        <w:t>s</w:t>
      </w:r>
      <w:r w:rsidR="00847024">
        <w:rPr>
          <w:rFonts w:ascii="Arial" w:hAnsi="Arial" w:cs="Arial"/>
          <w:sz w:val="24"/>
          <w:szCs w:val="24"/>
        </w:rPr>
        <w:t xml:space="preserve">. </w:t>
      </w:r>
      <w:r w:rsidR="00847024">
        <w:rPr>
          <w:rStyle w:val="FootnoteReference"/>
          <w:rFonts w:ascii="Arial" w:hAnsi="Arial" w:cs="Arial"/>
          <w:sz w:val="24"/>
          <w:szCs w:val="24"/>
        </w:rPr>
        <w:footnoteReference w:id="16"/>
      </w:r>
    </w:p>
    <w:p w14:paraId="181CC587" w14:textId="72E6B1E5" w:rsidR="0095528C" w:rsidRDefault="00A00B37" w:rsidP="00905CBC">
      <w:pPr>
        <w:snapToGrid w:val="0"/>
        <w:spacing w:after="120" w:line="360" w:lineRule="auto"/>
        <w:jc w:val="both"/>
        <w:rPr>
          <w:rFonts w:ascii="Arial" w:hAnsi="Arial" w:cs="Arial"/>
          <w:sz w:val="24"/>
          <w:szCs w:val="24"/>
        </w:rPr>
      </w:pPr>
      <w:r>
        <w:rPr>
          <w:rFonts w:ascii="Arial" w:hAnsi="Arial" w:cs="Arial"/>
          <w:sz w:val="24"/>
          <w:szCs w:val="24"/>
        </w:rPr>
        <w:t>[1</w:t>
      </w:r>
      <w:r w:rsidR="00FA526F">
        <w:rPr>
          <w:rFonts w:ascii="Arial" w:hAnsi="Arial" w:cs="Arial"/>
          <w:sz w:val="24"/>
          <w:szCs w:val="24"/>
        </w:rPr>
        <w:t>8</w:t>
      </w:r>
      <w:r>
        <w:rPr>
          <w:rFonts w:ascii="Arial" w:hAnsi="Arial" w:cs="Arial"/>
          <w:sz w:val="24"/>
          <w:szCs w:val="24"/>
        </w:rPr>
        <w:t>]</w:t>
      </w:r>
      <w:r>
        <w:rPr>
          <w:rFonts w:ascii="Arial" w:hAnsi="Arial" w:cs="Arial"/>
          <w:sz w:val="24"/>
          <w:szCs w:val="24"/>
        </w:rPr>
        <w:tab/>
        <w:t xml:space="preserve">The </w:t>
      </w:r>
      <w:r w:rsidR="002C1432">
        <w:rPr>
          <w:rFonts w:ascii="Arial" w:hAnsi="Arial" w:cs="Arial"/>
          <w:sz w:val="24"/>
          <w:szCs w:val="24"/>
        </w:rPr>
        <w:t xml:space="preserve">joint trustees of the trust </w:t>
      </w:r>
      <w:r w:rsidR="007E1265">
        <w:rPr>
          <w:rFonts w:ascii="Arial" w:hAnsi="Arial" w:cs="Arial"/>
          <w:sz w:val="24"/>
          <w:szCs w:val="24"/>
        </w:rPr>
        <w:t xml:space="preserve">also </w:t>
      </w:r>
      <w:r>
        <w:rPr>
          <w:rFonts w:ascii="Arial" w:hAnsi="Arial" w:cs="Arial"/>
          <w:sz w:val="24"/>
          <w:szCs w:val="24"/>
        </w:rPr>
        <w:t xml:space="preserve">piloted </w:t>
      </w:r>
      <w:r w:rsidR="007E1265">
        <w:rPr>
          <w:rFonts w:ascii="Arial" w:hAnsi="Arial" w:cs="Arial"/>
          <w:sz w:val="24"/>
          <w:szCs w:val="24"/>
        </w:rPr>
        <w:t xml:space="preserve">an </w:t>
      </w:r>
      <w:r>
        <w:rPr>
          <w:rFonts w:ascii="Arial" w:hAnsi="Arial" w:cs="Arial"/>
          <w:sz w:val="24"/>
          <w:szCs w:val="24"/>
        </w:rPr>
        <w:t xml:space="preserve">application to declare the pledge and </w:t>
      </w:r>
      <w:r w:rsidR="0008518C">
        <w:rPr>
          <w:rFonts w:ascii="Arial" w:hAnsi="Arial" w:cs="Arial"/>
          <w:sz w:val="24"/>
          <w:szCs w:val="24"/>
        </w:rPr>
        <w:t>c</w:t>
      </w:r>
      <w:r>
        <w:rPr>
          <w:rFonts w:ascii="Arial" w:hAnsi="Arial" w:cs="Arial"/>
          <w:sz w:val="24"/>
          <w:szCs w:val="24"/>
        </w:rPr>
        <w:t xml:space="preserve">ession transaction to the </w:t>
      </w:r>
      <w:r w:rsidR="007E1265">
        <w:rPr>
          <w:rFonts w:ascii="Arial" w:hAnsi="Arial" w:cs="Arial"/>
          <w:sz w:val="24"/>
          <w:szCs w:val="24"/>
        </w:rPr>
        <w:t>applicant's benefi</w:t>
      </w:r>
      <w:r>
        <w:rPr>
          <w:rFonts w:ascii="Arial" w:hAnsi="Arial" w:cs="Arial"/>
          <w:sz w:val="24"/>
          <w:szCs w:val="24"/>
        </w:rPr>
        <w:t>t un</w:t>
      </w:r>
      <w:r w:rsidR="00905CBC" w:rsidRPr="00980BEE">
        <w:rPr>
          <w:rFonts w:ascii="Arial" w:hAnsi="Arial" w:cs="Arial"/>
          <w:sz w:val="24"/>
          <w:szCs w:val="24"/>
        </w:rPr>
        <w:t xml:space="preserve">lawful </w:t>
      </w:r>
      <w:r>
        <w:rPr>
          <w:rFonts w:ascii="Arial" w:hAnsi="Arial" w:cs="Arial"/>
          <w:sz w:val="24"/>
          <w:szCs w:val="24"/>
        </w:rPr>
        <w:t xml:space="preserve">and for the applicant’s security </w:t>
      </w:r>
      <w:r w:rsidR="0095528C">
        <w:rPr>
          <w:rFonts w:ascii="Arial" w:hAnsi="Arial" w:cs="Arial"/>
          <w:sz w:val="24"/>
          <w:szCs w:val="24"/>
        </w:rPr>
        <w:t xml:space="preserve">regarding his loan to his brother-in-law </w:t>
      </w:r>
      <w:r>
        <w:rPr>
          <w:rFonts w:ascii="Arial" w:hAnsi="Arial" w:cs="Arial"/>
          <w:sz w:val="24"/>
          <w:szCs w:val="24"/>
        </w:rPr>
        <w:t xml:space="preserve">to be set aside.  </w:t>
      </w:r>
      <w:r w:rsidR="0095528C">
        <w:rPr>
          <w:rFonts w:ascii="Arial" w:hAnsi="Arial" w:cs="Arial"/>
          <w:sz w:val="24"/>
          <w:szCs w:val="24"/>
        </w:rPr>
        <w:t xml:space="preserve">This matter was settled, and the security was set aside.  The third respondent </w:t>
      </w:r>
      <w:r w:rsidR="00477AD0">
        <w:rPr>
          <w:rFonts w:ascii="Arial" w:hAnsi="Arial" w:cs="Arial"/>
          <w:sz w:val="24"/>
          <w:szCs w:val="24"/>
        </w:rPr>
        <w:t xml:space="preserve">also </w:t>
      </w:r>
      <w:r w:rsidR="0095528C">
        <w:rPr>
          <w:rFonts w:ascii="Arial" w:hAnsi="Arial" w:cs="Arial"/>
          <w:sz w:val="24"/>
          <w:szCs w:val="24"/>
        </w:rPr>
        <w:t>acted in this litigation against the applicant.</w:t>
      </w:r>
      <w:r w:rsidR="0095528C">
        <w:rPr>
          <w:rStyle w:val="FootnoteReference"/>
          <w:rFonts w:ascii="Arial" w:hAnsi="Arial" w:cs="Arial"/>
          <w:sz w:val="24"/>
          <w:szCs w:val="24"/>
        </w:rPr>
        <w:footnoteReference w:id="17"/>
      </w:r>
    </w:p>
    <w:p w14:paraId="22D27DF3" w14:textId="18067B88" w:rsidR="00905CBC" w:rsidRPr="00980BEE" w:rsidRDefault="0095528C" w:rsidP="0095528C">
      <w:pPr>
        <w:snapToGrid w:val="0"/>
        <w:spacing w:after="120" w:line="360" w:lineRule="auto"/>
        <w:jc w:val="both"/>
        <w:rPr>
          <w:rFonts w:ascii="Arial" w:hAnsi="Arial" w:cs="Arial"/>
          <w:sz w:val="24"/>
          <w:szCs w:val="24"/>
        </w:rPr>
      </w:pPr>
      <w:r>
        <w:rPr>
          <w:rFonts w:ascii="Arial" w:hAnsi="Arial" w:cs="Arial"/>
          <w:sz w:val="24"/>
          <w:szCs w:val="24"/>
        </w:rPr>
        <w:t>[1</w:t>
      </w:r>
      <w:r w:rsidR="00FA526F">
        <w:rPr>
          <w:rFonts w:ascii="Arial" w:hAnsi="Arial" w:cs="Arial"/>
          <w:sz w:val="24"/>
          <w:szCs w:val="24"/>
        </w:rPr>
        <w:t>9</w:t>
      </w:r>
      <w:r>
        <w:rPr>
          <w:rFonts w:ascii="Arial" w:hAnsi="Arial" w:cs="Arial"/>
          <w:sz w:val="24"/>
          <w:szCs w:val="24"/>
        </w:rPr>
        <w:t>]</w:t>
      </w:r>
      <w:r>
        <w:rPr>
          <w:rFonts w:ascii="Arial" w:hAnsi="Arial" w:cs="Arial"/>
          <w:sz w:val="24"/>
          <w:szCs w:val="24"/>
        </w:rPr>
        <w:tab/>
      </w:r>
      <w:r w:rsidR="007E1265">
        <w:rPr>
          <w:rFonts w:ascii="Arial" w:hAnsi="Arial" w:cs="Arial"/>
          <w:sz w:val="24"/>
          <w:szCs w:val="24"/>
        </w:rPr>
        <w:t>Lastly, t</w:t>
      </w:r>
      <w:r>
        <w:rPr>
          <w:rFonts w:ascii="Arial" w:hAnsi="Arial" w:cs="Arial"/>
          <w:sz w:val="24"/>
          <w:szCs w:val="24"/>
        </w:rPr>
        <w:t>he provisional order of liquidation concerning the discrete company</w:t>
      </w:r>
      <w:r w:rsidR="007E1265">
        <w:rPr>
          <w:rFonts w:ascii="Arial" w:hAnsi="Arial" w:cs="Arial"/>
          <w:sz w:val="24"/>
          <w:szCs w:val="24"/>
        </w:rPr>
        <w:t>, which formed the subject of the disputed cession and pledge transaction,</w:t>
      </w:r>
      <w:r>
        <w:rPr>
          <w:rFonts w:ascii="Arial" w:hAnsi="Arial" w:cs="Arial"/>
          <w:sz w:val="24"/>
          <w:szCs w:val="24"/>
        </w:rPr>
        <w:t xml:space="preserve"> was eventually discharged.  After this, the applicant filed his complaint with the first respondent.  The chronology </w:t>
      </w:r>
      <w:r w:rsidR="00BE4512">
        <w:rPr>
          <w:rFonts w:ascii="Arial" w:hAnsi="Arial" w:cs="Arial"/>
          <w:sz w:val="24"/>
          <w:szCs w:val="24"/>
        </w:rPr>
        <w:t>indicates</w:t>
      </w:r>
      <w:r>
        <w:rPr>
          <w:rFonts w:ascii="Arial" w:hAnsi="Arial" w:cs="Arial"/>
          <w:sz w:val="24"/>
          <w:szCs w:val="24"/>
        </w:rPr>
        <w:t xml:space="preserve"> that despite th</w:t>
      </w:r>
      <w:r w:rsidR="00BE4512">
        <w:rPr>
          <w:rFonts w:ascii="Arial" w:hAnsi="Arial" w:cs="Arial"/>
          <w:sz w:val="24"/>
          <w:szCs w:val="24"/>
        </w:rPr>
        <w:t>e applicant's pending complaint,</w:t>
      </w:r>
      <w:r>
        <w:rPr>
          <w:rFonts w:ascii="Arial" w:hAnsi="Arial" w:cs="Arial"/>
          <w:sz w:val="24"/>
          <w:szCs w:val="24"/>
        </w:rPr>
        <w:t xml:space="preserve"> the third respondent continued to act against him</w:t>
      </w:r>
      <w:r w:rsidR="00BE4512">
        <w:rPr>
          <w:rFonts w:ascii="Arial" w:hAnsi="Arial" w:cs="Arial"/>
          <w:sz w:val="24"/>
          <w:szCs w:val="24"/>
        </w:rPr>
        <w:t>,</w:t>
      </w:r>
      <w:r>
        <w:rPr>
          <w:rFonts w:ascii="Arial" w:hAnsi="Arial" w:cs="Arial"/>
          <w:sz w:val="24"/>
          <w:szCs w:val="24"/>
        </w:rPr>
        <w:t xml:space="preserve"> wearing several hats in connection with </w:t>
      </w:r>
      <w:r w:rsidR="00BE4512">
        <w:rPr>
          <w:rFonts w:ascii="Arial" w:hAnsi="Arial" w:cs="Arial"/>
          <w:sz w:val="24"/>
          <w:szCs w:val="24"/>
        </w:rPr>
        <w:t xml:space="preserve">some </w:t>
      </w:r>
      <w:r>
        <w:rPr>
          <w:rFonts w:ascii="Arial" w:hAnsi="Arial" w:cs="Arial"/>
          <w:sz w:val="24"/>
          <w:szCs w:val="24"/>
        </w:rPr>
        <w:t xml:space="preserve">sequestrated </w:t>
      </w:r>
      <w:r w:rsidR="007E1265">
        <w:rPr>
          <w:rFonts w:ascii="Arial" w:hAnsi="Arial" w:cs="Arial"/>
          <w:sz w:val="24"/>
          <w:szCs w:val="24"/>
        </w:rPr>
        <w:t xml:space="preserve">and liquidated </w:t>
      </w:r>
      <w:r>
        <w:rPr>
          <w:rFonts w:ascii="Arial" w:hAnsi="Arial" w:cs="Arial"/>
          <w:sz w:val="24"/>
          <w:szCs w:val="24"/>
        </w:rPr>
        <w:t>entities.</w:t>
      </w:r>
      <w:r>
        <w:rPr>
          <w:rStyle w:val="FootnoteReference"/>
          <w:rFonts w:ascii="Arial" w:hAnsi="Arial" w:cs="Arial"/>
          <w:sz w:val="24"/>
          <w:szCs w:val="24"/>
        </w:rPr>
        <w:footnoteReference w:id="18"/>
      </w:r>
      <w:r w:rsidR="00905CBC" w:rsidRPr="00980BEE">
        <w:rPr>
          <w:rFonts w:ascii="Arial" w:hAnsi="Arial" w:cs="Arial"/>
          <w:sz w:val="24"/>
          <w:szCs w:val="24"/>
        </w:rPr>
        <w:t xml:space="preserve"> </w:t>
      </w:r>
    </w:p>
    <w:p w14:paraId="200CD591" w14:textId="77777777" w:rsidR="006C2703" w:rsidRDefault="006C2703" w:rsidP="00905CBC">
      <w:pPr>
        <w:snapToGrid w:val="0"/>
        <w:spacing w:after="120" w:line="360" w:lineRule="auto"/>
        <w:jc w:val="both"/>
        <w:rPr>
          <w:rFonts w:ascii="Arial" w:hAnsi="Arial" w:cs="Arial"/>
          <w:b/>
          <w:bCs/>
          <w:i/>
          <w:iCs/>
          <w:sz w:val="24"/>
          <w:szCs w:val="24"/>
        </w:rPr>
      </w:pPr>
    </w:p>
    <w:p w14:paraId="003685B5" w14:textId="210C6F0F" w:rsidR="00905CBC" w:rsidRPr="0095528C" w:rsidRDefault="00BE4512" w:rsidP="00905CBC">
      <w:pPr>
        <w:snapToGrid w:val="0"/>
        <w:spacing w:after="120" w:line="360" w:lineRule="auto"/>
        <w:jc w:val="both"/>
        <w:rPr>
          <w:rFonts w:ascii="Arial" w:hAnsi="Arial" w:cs="Arial"/>
          <w:b/>
          <w:bCs/>
          <w:i/>
          <w:iCs/>
          <w:sz w:val="24"/>
          <w:szCs w:val="24"/>
        </w:rPr>
      </w:pPr>
      <w:r>
        <w:rPr>
          <w:rFonts w:ascii="Arial" w:hAnsi="Arial" w:cs="Arial"/>
          <w:b/>
          <w:bCs/>
          <w:i/>
          <w:iCs/>
          <w:sz w:val="24"/>
          <w:szCs w:val="24"/>
        </w:rPr>
        <w:lastRenderedPageBreak/>
        <w:t>Consideration</w:t>
      </w:r>
    </w:p>
    <w:p w14:paraId="46B42D98" w14:textId="02324C26" w:rsidR="00BE4512" w:rsidRPr="00BE4512" w:rsidRDefault="00905CBC" w:rsidP="00BE4512">
      <w:pPr>
        <w:snapToGrid w:val="0"/>
        <w:spacing w:after="120" w:line="360" w:lineRule="auto"/>
        <w:jc w:val="both"/>
        <w:rPr>
          <w:rFonts w:ascii="Arial" w:hAnsi="Arial" w:cs="Arial"/>
          <w:sz w:val="24"/>
          <w:szCs w:val="24"/>
        </w:rPr>
      </w:pPr>
      <w:r w:rsidRPr="00980BEE">
        <w:rPr>
          <w:rFonts w:ascii="Arial" w:hAnsi="Arial" w:cs="Arial"/>
          <w:sz w:val="24"/>
          <w:szCs w:val="24"/>
        </w:rPr>
        <w:t>[</w:t>
      </w:r>
      <w:r w:rsidR="006C2703">
        <w:rPr>
          <w:rFonts w:ascii="Arial" w:hAnsi="Arial" w:cs="Arial"/>
          <w:sz w:val="24"/>
          <w:szCs w:val="24"/>
        </w:rPr>
        <w:t>20</w:t>
      </w:r>
      <w:r w:rsidRPr="00980BEE">
        <w:rPr>
          <w:rFonts w:ascii="Arial" w:hAnsi="Arial" w:cs="Arial"/>
          <w:sz w:val="24"/>
          <w:szCs w:val="24"/>
        </w:rPr>
        <w:t>]</w:t>
      </w:r>
      <w:r w:rsidRPr="00980BEE">
        <w:rPr>
          <w:rFonts w:ascii="Arial" w:hAnsi="Arial" w:cs="Arial"/>
          <w:sz w:val="24"/>
          <w:szCs w:val="24"/>
        </w:rPr>
        <w:tab/>
      </w:r>
      <w:r w:rsidR="00BE4512">
        <w:rPr>
          <w:rFonts w:ascii="Arial" w:hAnsi="Arial" w:cs="Arial"/>
          <w:sz w:val="24"/>
          <w:szCs w:val="24"/>
          <w:lang w:val="en-ZA"/>
        </w:rPr>
        <w:t>In essence</w:t>
      </w:r>
      <w:r w:rsidR="007E1265">
        <w:rPr>
          <w:rFonts w:ascii="Arial" w:hAnsi="Arial" w:cs="Arial"/>
          <w:sz w:val="24"/>
          <w:szCs w:val="24"/>
          <w:lang w:val="en-ZA"/>
        </w:rPr>
        <w:t>, the applicant seeks to review and set aside certain decisions made by an investigating committee constituted by the first respondent,</w:t>
      </w:r>
      <w:r w:rsidR="00BE4512" w:rsidRPr="00C1551F">
        <w:rPr>
          <w:rFonts w:ascii="Arial" w:hAnsi="Arial" w:cs="Arial"/>
          <w:sz w:val="24"/>
          <w:szCs w:val="24"/>
          <w:lang w:val="en-ZA"/>
        </w:rPr>
        <w:t xml:space="preserve"> </w:t>
      </w:r>
      <w:r w:rsidR="00BE4512">
        <w:rPr>
          <w:rFonts w:ascii="Arial" w:hAnsi="Arial" w:cs="Arial"/>
          <w:sz w:val="24"/>
          <w:szCs w:val="24"/>
          <w:lang w:val="en-ZA"/>
        </w:rPr>
        <w:t xml:space="preserve">which dismissed </w:t>
      </w:r>
      <w:r w:rsidR="00BE4512" w:rsidRPr="00C1551F">
        <w:rPr>
          <w:rFonts w:ascii="Arial" w:hAnsi="Arial" w:cs="Arial"/>
          <w:sz w:val="24"/>
          <w:szCs w:val="24"/>
          <w:lang w:val="en-ZA"/>
        </w:rPr>
        <w:t xml:space="preserve">three complaints </w:t>
      </w:r>
      <w:r w:rsidR="00BE4512">
        <w:rPr>
          <w:rFonts w:ascii="Arial" w:hAnsi="Arial" w:cs="Arial"/>
          <w:sz w:val="24"/>
          <w:szCs w:val="24"/>
          <w:lang w:val="en-ZA"/>
        </w:rPr>
        <w:t xml:space="preserve">of professional misconduct </w:t>
      </w:r>
      <w:r w:rsidR="00BE4512" w:rsidRPr="00C1551F">
        <w:rPr>
          <w:rFonts w:ascii="Arial" w:hAnsi="Arial" w:cs="Arial"/>
          <w:sz w:val="24"/>
          <w:szCs w:val="24"/>
          <w:lang w:val="en-ZA"/>
        </w:rPr>
        <w:t xml:space="preserve">against the </w:t>
      </w:r>
      <w:r w:rsidR="00BE4512">
        <w:rPr>
          <w:rFonts w:ascii="Arial" w:hAnsi="Arial" w:cs="Arial"/>
          <w:sz w:val="24"/>
          <w:szCs w:val="24"/>
          <w:lang w:val="en-ZA"/>
        </w:rPr>
        <w:t>t</w:t>
      </w:r>
      <w:r w:rsidR="00BE4512" w:rsidRPr="00C1551F">
        <w:rPr>
          <w:rFonts w:ascii="Arial" w:hAnsi="Arial" w:cs="Arial"/>
          <w:sz w:val="24"/>
          <w:szCs w:val="24"/>
          <w:lang w:val="en-ZA"/>
        </w:rPr>
        <w:t xml:space="preserve">hird </w:t>
      </w:r>
      <w:r w:rsidR="00BE4512">
        <w:rPr>
          <w:rFonts w:ascii="Arial" w:hAnsi="Arial" w:cs="Arial"/>
          <w:sz w:val="24"/>
          <w:szCs w:val="24"/>
          <w:lang w:val="en-ZA"/>
        </w:rPr>
        <w:t>r</w:t>
      </w:r>
      <w:r w:rsidR="00BE4512" w:rsidRPr="00C1551F">
        <w:rPr>
          <w:rFonts w:ascii="Arial" w:hAnsi="Arial" w:cs="Arial"/>
          <w:sz w:val="24"/>
          <w:szCs w:val="24"/>
          <w:lang w:val="en-ZA"/>
        </w:rPr>
        <w:t>espondent</w:t>
      </w:r>
      <w:r w:rsidR="002C1432">
        <w:rPr>
          <w:rFonts w:ascii="Arial" w:hAnsi="Arial" w:cs="Arial"/>
          <w:sz w:val="24"/>
          <w:szCs w:val="24"/>
          <w:lang w:val="en-ZA"/>
        </w:rPr>
        <w:t>.  T</w:t>
      </w:r>
      <w:r w:rsidR="00BE4512" w:rsidRPr="00C1551F">
        <w:rPr>
          <w:rFonts w:ascii="Arial" w:hAnsi="Arial" w:cs="Arial"/>
          <w:sz w:val="24"/>
          <w:szCs w:val="24"/>
          <w:lang w:val="en-ZA"/>
        </w:rPr>
        <w:t xml:space="preserve">he </w:t>
      </w:r>
      <w:r w:rsidR="00BE4512">
        <w:rPr>
          <w:rFonts w:ascii="Arial" w:hAnsi="Arial" w:cs="Arial"/>
          <w:sz w:val="24"/>
          <w:szCs w:val="24"/>
          <w:lang w:val="en-ZA"/>
        </w:rPr>
        <w:t xml:space="preserve">applicant </w:t>
      </w:r>
      <w:r w:rsidR="00030477">
        <w:rPr>
          <w:rFonts w:ascii="Arial" w:hAnsi="Arial" w:cs="Arial"/>
          <w:sz w:val="24"/>
          <w:szCs w:val="24"/>
          <w:lang w:val="en-ZA"/>
        </w:rPr>
        <w:t xml:space="preserve">now confines his relief to the remittal of </w:t>
      </w:r>
      <w:r w:rsidR="00BE4512">
        <w:rPr>
          <w:rFonts w:ascii="Arial" w:hAnsi="Arial" w:cs="Arial"/>
          <w:sz w:val="24"/>
          <w:szCs w:val="24"/>
          <w:lang w:val="en-ZA"/>
        </w:rPr>
        <w:t>his complaints to the first respondent for reconsideration</w:t>
      </w:r>
      <w:r w:rsidR="00030477">
        <w:rPr>
          <w:rFonts w:ascii="Arial" w:hAnsi="Arial" w:cs="Arial"/>
          <w:sz w:val="24"/>
          <w:szCs w:val="24"/>
          <w:lang w:val="en-ZA"/>
        </w:rPr>
        <w:t xml:space="preserve">, seemingly before a differently constituted </w:t>
      </w:r>
      <w:r w:rsidR="005E1D66">
        <w:rPr>
          <w:rFonts w:ascii="Arial" w:hAnsi="Arial" w:cs="Arial"/>
          <w:sz w:val="24"/>
          <w:szCs w:val="24"/>
          <w:lang w:val="en-ZA"/>
        </w:rPr>
        <w:t>investigating committee</w:t>
      </w:r>
      <w:r w:rsidR="00BE4512">
        <w:rPr>
          <w:rFonts w:ascii="Arial" w:hAnsi="Arial" w:cs="Arial"/>
          <w:sz w:val="24"/>
          <w:szCs w:val="24"/>
          <w:lang w:val="en-ZA"/>
        </w:rPr>
        <w:t>.</w:t>
      </w:r>
      <w:r w:rsidR="00BE4512">
        <w:rPr>
          <w:rStyle w:val="FootnoteReference"/>
          <w:rFonts w:ascii="Arial" w:hAnsi="Arial" w:cs="Arial"/>
          <w:sz w:val="24"/>
          <w:szCs w:val="24"/>
          <w:lang w:val="en-ZA"/>
        </w:rPr>
        <w:footnoteReference w:id="19"/>
      </w:r>
      <w:r w:rsidR="00BE4512">
        <w:rPr>
          <w:rFonts w:ascii="Arial" w:hAnsi="Arial" w:cs="Arial"/>
          <w:sz w:val="24"/>
          <w:szCs w:val="24"/>
          <w:lang w:val="en-ZA"/>
        </w:rPr>
        <w:t xml:space="preserve">  </w:t>
      </w:r>
    </w:p>
    <w:p w14:paraId="09460CF2" w14:textId="5390AD58" w:rsidR="00B83459" w:rsidRDefault="00BE4512" w:rsidP="00905CBC">
      <w:pPr>
        <w:snapToGrid w:val="0"/>
        <w:spacing w:after="120" w:line="360" w:lineRule="auto"/>
        <w:jc w:val="both"/>
        <w:rPr>
          <w:rFonts w:ascii="Arial" w:hAnsi="Arial" w:cs="Arial"/>
          <w:sz w:val="24"/>
          <w:szCs w:val="24"/>
        </w:rPr>
      </w:pPr>
      <w:r>
        <w:rPr>
          <w:rFonts w:ascii="Arial" w:hAnsi="Arial" w:cs="Arial"/>
          <w:sz w:val="24"/>
          <w:szCs w:val="24"/>
        </w:rPr>
        <w:t>[</w:t>
      </w:r>
      <w:r w:rsidR="006C2703">
        <w:rPr>
          <w:rFonts w:ascii="Arial" w:hAnsi="Arial" w:cs="Arial"/>
          <w:sz w:val="24"/>
          <w:szCs w:val="24"/>
        </w:rPr>
        <w:t>21</w:t>
      </w:r>
      <w:r>
        <w:rPr>
          <w:rFonts w:ascii="Arial" w:hAnsi="Arial" w:cs="Arial"/>
          <w:sz w:val="24"/>
          <w:szCs w:val="24"/>
        </w:rPr>
        <w:t>]</w:t>
      </w:r>
      <w:r>
        <w:rPr>
          <w:rFonts w:ascii="Arial" w:hAnsi="Arial" w:cs="Arial"/>
          <w:sz w:val="24"/>
          <w:szCs w:val="24"/>
        </w:rPr>
        <w:tab/>
        <w:t xml:space="preserve">We will deal with the last complaint first and the first complaint last. </w:t>
      </w:r>
      <w:r w:rsidR="00FD69CA">
        <w:rPr>
          <w:rFonts w:ascii="Arial" w:hAnsi="Arial" w:cs="Arial"/>
          <w:sz w:val="24"/>
          <w:szCs w:val="24"/>
        </w:rPr>
        <w:t xml:space="preserve"> </w:t>
      </w:r>
      <w:r w:rsidR="00905CBC" w:rsidRPr="00980BEE">
        <w:rPr>
          <w:rFonts w:ascii="Arial" w:hAnsi="Arial" w:cs="Arial"/>
          <w:sz w:val="24"/>
          <w:szCs w:val="24"/>
        </w:rPr>
        <w:t>The last complaint relates to the alleged overreaching by the third respondent</w:t>
      </w:r>
      <w:r>
        <w:rPr>
          <w:rFonts w:ascii="Arial" w:hAnsi="Arial" w:cs="Arial"/>
          <w:sz w:val="24"/>
          <w:szCs w:val="24"/>
        </w:rPr>
        <w:t>.  These complaints are</w:t>
      </w:r>
      <w:r w:rsidR="00905CBC" w:rsidRPr="00980BEE">
        <w:rPr>
          <w:rFonts w:ascii="Arial" w:hAnsi="Arial" w:cs="Arial"/>
          <w:sz w:val="24"/>
          <w:szCs w:val="24"/>
        </w:rPr>
        <w:t xml:space="preserve"> related to the fees levied for a lease agreement and the fees charged for an interlocutory application on behalf of </w:t>
      </w:r>
      <w:r w:rsidR="00903B12">
        <w:rPr>
          <w:rFonts w:ascii="Arial" w:hAnsi="Arial" w:cs="Arial"/>
          <w:sz w:val="24"/>
          <w:szCs w:val="24"/>
        </w:rPr>
        <w:t>provisional</w:t>
      </w:r>
      <w:r w:rsidR="00905CBC" w:rsidRPr="00980BEE">
        <w:rPr>
          <w:rFonts w:ascii="Arial" w:hAnsi="Arial" w:cs="Arial"/>
          <w:sz w:val="24"/>
          <w:szCs w:val="24"/>
        </w:rPr>
        <w:t xml:space="preserve"> liquidators.  The applicant is not pursuing the complaint about the alleged overreaching </w:t>
      </w:r>
      <w:r>
        <w:rPr>
          <w:rFonts w:ascii="Arial" w:hAnsi="Arial" w:cs="Arial"/>
          <w:sz w:val="24"/>
          <w:szCs w:val="24"/>
        </w:rPr>
        <w:t>concerning</w:t>
      </w:r>
      <w:r w:rsidR="00905CBC" w:rsidRPr="00980BEE">
        <w:rPr>
          <w:rFonts w:ascii="Arial" w:hAnsi="Arial" w:cs="Arial"/>
          <w:sz w:val="24"/>
          <w:szCs w:val="24"/>
        </w:rPr>
        <w:t xml:space="preserve"> </w:t>
      </w:r>
      <w:r w:rsidR="002C1432">
        <w:rPr>
          <w:rFonts w:ascii="Arial" w:hAnsi="Arial" w:cs="Arial"/>
          <w:sz w:val="24"/>
          <w:szCs w:val="24"/>
        </w:rPr>
        <w:t xml:space="preserve">the </w:t>
      </w:r>
      <w:r w:rsidR="00903B12">
        <w:rPr>
          <w:rFonts w:ascii="Arial" w:hAnsi="Arial" w:cs="Arial"/>
          <w:sz w:val="24"/>
          <w:szCs w:val="24"/>
        </w:rPr>
        <w:t>drafting</w:t>
      </w:r>
      <w:r w:rsidR="002C1432">
        <w:rPr>
          <w:rFonts w:ascii="Arial" w:hAnsi="Arial" w:cs="Arial"/>
          <w:sz w:val="24"/>
          <w:szCs w:val="24"/>
        </w:rPr>
        <w:t xml:space="preserve"> of</w:t>
      </w:r>
      <w:r w:rsidR="00905CBC" w:rsidRPr="00980BEE">
        <w:rPr>
          <w:rFonts w:ascii="Arial" w:hAnsi="Arial" w:cs="Arial"/>
          <w:sz w:val="24"/>
          <w:szCs w:val="24"/>
        </w:rPr>
        <w:t xml:space="preserve"> the lease agreement.</w:t>
      </w:r>
      <w:r w:rsidR="00B83459">
        <w:rPr>
          <w:rStyle w:val="FootnoteReference"/>
          <w:rFonts w:ascii="Arial" w:hAnsi="Arial" w:cs="Arial"/>
          <w:sz w:val="24"/>
          <w:szCs w:val="24"/>
        </w:rPr>
        <w:footnoteReference w:id="20"/>
      </w:r>
    </w:p>
    <w:p w14:paraId="5F6B50EA" w14:textId="011D239A" w:rsidR="00905CBC" w:rsidRDefault="00B83459" w:rsidP="00905CBC">
      <w:pPr>
        <w:snapToGrid w:val="0"/>
        <w:spacing w:after="120" w:line="360" w:lineRule="auto"/>
        <w:jc w:val="both"/>
        <w:rPr>
          <w:rFonts w:ascii="Arial" w:hAnsi="Arial" w:cs="Arial"/>
          <w:sz w:val="24"/>
          <w:szCs w:val="24"/>
        </w:rPr>
      </w:pPr>
      <w:r>
        <w:rPr>
          <w:rFonts w:ascii="Arial" w:hAnsi="Arial" w:cs="Arial"/>
          <w:sz w:val="24"/>
          <w:szCs w:val="24"/>
        </w:rPr>
        <w:t>[</w:t>
      </w:r>
      <w:r w:rsidR="006C2703">
        <w:rPr>
          <w:rFonts w:ascii="Arial" w:hAnsi="Arial" w:cs="Arial"/>
          <w:sz w:val="24"/>
          <w:szCs w:val="24"/>
        </w:rPr>
        <w:t>2</w:t>
      </w:r>
      <w:r w:rsidR="00694028">
        <w:rPr>
          <w:rFonts w:ascii="Arial" w:hAnsi="Arial" w:cs="Arial"/>
          <w:sz w:val="24"/>
          <w:szCs w:val="24"/>
        </w:rPr>
        <w:t>2</w:t>
      </w:r>
      <w:r>
        <w:rPr>
          <w:rFonts w:ascii="Arial" w:hAnsi="Arial" w:cs="Arial"/>
          <w:sz w:val="24"/>
          <w:szCs w:val="24"/>
        </w:rPr>
        <w:t>]</w:t>
      </w:r>
      <w:r>
        <w:rPr>
          <w:rFonts w:ascii="Arial" w:hAnsi="Arial" w:cs="Arial"/>
          <w:sz w:val="24"/>
          <w:szCs w:val="24"/>
        </w:rPr>
        <w:tab/>
      </w:r>
      <w:r w:rsidR="00905CBC" w:rsidRPr="00980BEE">
        <w:rPr>
          <w:rFonts w:ascii="Arial" w:hAnsi="Arial" w:cs="Arial"/>
          <w:sz w:val="24"/>
          <w:szCs w:val="24"/>
        </w:rPr>
        <w:t xml:space="preserve">Then, the complaint about the fees charged for the interlocutory application remains.  The third respondent’s client was not the applicant. </w:t>
      </w:r>
      <w:r w:rsidR="00BE4512">
        <w:rPr>
          <w:rFonts w:ascii="Arial" w:hAnsi="Arial" w:cs="Arial"/>
          <w:sz w:val="24"/>
          <w:szCs w:val="24"/>
        </w:rPr>
        <w:t xml:space="preserve"> </w:t>
      </w:r>
      <w:r w:rsidR="00905CBC" w:rsidRPr="00980BEE">
        <w:rPr>
          <w:rFonts w:ascii="Arial" w:hAnsi="Arial" w:cs="Arial"/>
          <w:sz w:val="24"/>
          <w:szCs w:val="24"/>
        </w:rPr>
        <w:t xml:space="preserve">The third respondent acted on the instruction of </w:t>
      </w:r>
      <w:r w:rsidR="00FD69CA">
        <w:rPr>
          <w:rFonts w:ascii="Arial" w:hAnsi="Arial" w:cs="Arial"/>
          <w:sz w:val="24"/>
          <w:szCs w:val="24"/>
        </w:rPr>
        <w:t xml:space="preserve">the </w:t>
      </w:r>
      <w:r w:rsidR="00905CBC" w:rsidRPr="00980BEE">
        <w:rPr>
          <w:rFonts w:ascii="Arial" w:hAnsi="Arial" w:cs="Arial"/>
          <w:sz w:val="24"/>
          <w:szCs w:val="24"/>
        </w:rPr>
        <w:t>provisional liquidators in connection with an application to extend their powers to preserve the company's assets in provisional liquidation.</w:t>
      </w:r>
      <w:r w:rsidR="002C1432" w:rsidRPr="002C1432">
        <w:rPr>
          <w:rFonts w:ascii="Arial" w:hAnsi="Arial" w:cs="Arial"/>
          <w:sz w:val="24"/>
          <w:szCs w:val="24"/>
        </w:rPr>
        <w:t xml:space="preserve"> </w:t>
      </w:r>
      <w:r w:rsidR="002C1432">
        <w:rPr>
          <w:rFonts w:ascii="Arial" w:hAnsi="Arial" w:cs="Arial"/>
          <w:sz w:val="24"/>
          <w:szCs w:val="24"/>
        </w:rPr>
        <w:t xml:space="preserve"> </w:t>
      </w:r>
      <w:r w:rsidR="002C1432" w:rsidRPr="00903B12">
        <w:rPr>
          <w:rFonts w:ascii="Arial" w:hAnsi="Arial" w:cs="Arial"/>
          <w:sz w:val="24"/>
          <w:szCs w:val="24"/>
        </w:rPr>
        <w:t>The applicant advanced that the fees charged by the third respondent were excessive.</w:t>
      </w:r>
      <w:r w:rsidR="00903B12">
        <w:rPr>
          <w:rStyle w:val="FootnoteReference"/>
          <w:rFonts w:ascii="Arial" w:hAnsi="Arial" w:cs="Arial"/>
          <w:sz w:val="24"/>
          <w:szCs w:val="24"/>
        </w:rPr>
        <w:footnoteReference w:id="21"/>
      </w:r>
    </w:p>
    <w:p w14:paraId="4231A8C5" w14:textId="2A19D853" w:rsidR="00694028" w:rsidRDefault="00030477" w:rsidP="00BE4512">
      <w:pPr>
        <w:snapToGrid w:val="0"/>
        <w:spacing w:after="120" w:line="360" w:lineRule="auto"/>
        <w:jc w:val="both"/>
        <w:rPr>
          <w:rFonts w:ascii="Arial" w:hAnsi="Arial" w:cs="Arial"/>
          <w:sz w:val="24"/>
          <w:szCs w:val="24"/>
          <w:lang w:val="en-ZA"/>
        </w:rPr>
      </w:pPr>
      <w:r>
        <w:rPr>
          <w:rFonts w:ascii="Arial" w:hAnsi="Arial" w:cs="Arial"/>
          <w:sz w:val="24"/>
          <w:szCs w:val="24"/>
          <w:lang w:val="en-ZA"/>
        </w:rPr>
        <w:t>[2</w:t>
      </w:r>
      <w:r w:rsidR="00694028">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Pr="00AE1863">
        <w:rPr>
          <w:rFonts w:ascii="Arial" w:hAnsi="Arial" w:cs="Arial"/>
          <w:sz w:val="24"/>
          <w:szCs w:val="24"/>
          <w:lang w:val="en-ZA"/>
        </w:rPr>
        <w:t xml:space="preserve">Regarding </w:t>
      </w:r>
      <w:r>
        <w:rPr>
          <w:rFonts w:ascii="Arial" w:hAnsi="Arial" w:cs="Arial"/>
          <w:sz w:val="24"/>
          <w:szCs w:val="24"/>
          <w:lang w:val="en-ZA"/>
        </w:rPr>
        <w:t xml:space="preserve">this </w:t>
      </w:r>
      <w:r w:rsidRPr="00AE1863">
        <w:rPr>
          <w:rFonts w:ascii="Arial" w:hAnsi="Arial" w:cs="Arial"/>
          <w:sz w:val="24"/>
          <w:szCs w:val="24"/>
          <w:lang w:val="en-ZA"/>
        </w:rPr>
        <w:t xml:space="preserve">complaint, </w:t>
      </w:r>
      <w:r>
        <w:rPr>
          <w:rFonts w:ascii="Arial" w:hAnsi="Arial" w:cs="Arial"/>
          <w:sz w:val="24"/>
          <w:szCs w:val="24"/>
          <w:lang w:val="en-ZA"/>
        </w:rPr>
        <w:t>the third respondent denied the allegation of overreaching because, among other things, of a fee agreement concluded with his client.  The</w:t>
      </w:r>
      <w:r w:rsidRPr="00AE1863">
        <w:rPr>
          <w:rFonts w:ascii="Arial" w:hAnsi="Arial" w:cs="Arial"/>
          <w:sz w:val="24"/>
          <w:szCs w:val="24"/>
          <w:lang w:val="en-ZA"/>
        </w:rPr>
        <w:t xml:space="preserve"> </w:t>
      </w:r>
      <w:r>
        <w:rPr>
          <w:rFonts w:ascii="Arial" w:hAnsi="Arial" w:cs="Arial"/>
          <w:sz w:val="24"/>
          <w:szCs w:val="24"/>
          <w:lang w:val="en-ZA"/>
        </w:rPr>
        <w:t>t</w:t>
      </w:r>
      <w:r w:rsidRPr="00AE1863">
        <w:rPr>
          <w:rFonts w:ascii="Arial" w:hAnsi="Arial" w:cs="Arial"/>
          <w:sz w:val="24"/>
          <w:szCs w:val="24"/>
          <w:lang w:val="en-ZA"/>
        </w:rPr>
        <w:t xml:space="preserve">hird </w:t>
      </w:r>
      <w:r>
        <w:rPr>
          <w:rFonts w:ascii="Arial" w:hAnsi="Arial" w:cs="Arial"/>
          <w:sz w:val="24"/>
          <w:szCs w:val="24"/>
          <w:lang w:val="en-ZA"/>
        </w:rPr>
        <w:t>r</w:t>
      </w:r>
      <w:r w:rsidRPr="00AE1863">
        <w:rPr>
          <w:rFonts w:ascii="Arial" w:hAnsi="Arial" w:cs="Arial"/>
          <w:sz w:val="24"/>
          <w:szCs w:val="24"/>
          <w:lang w:val="en-ZA"/>
        </w:rPr>
        <w:t xml:space="preserve">espondent put up an itemized bill of costs </w:t>
      </w:r>
      <w:r>
        <w:rPr>
          <w:rFonts w:ascii="Arial" w:hAnsi="Arial" w:cs="Arial"/>
          <w:sz w:val="24"/>
          <w:szCs w:val="24"/>
          <w:lang w:val="en-ZA"/>
        </w:rPr>
        <w:t>regarding the relevant application, revealing</w:t>
      </w:r>
      <w:r w:rsidRPr="00AE1863">
        <w:rPr>
          <w:rFonts w:ascii="Arial" w:hAnsi="Arial" w:cs="Arial"/>
          <w:sz w:val="24"/>
          <w:szCs w:val="24"/>
          <w:lang w:val="en-ZA"/>
        </w:rPr>
        <w:t xml:space="preserve"> that the fee he raised </w:t>
      </w:r>
      <w:r>
        <w:rPr>
          <w:rFonts w:ascii="Arial" w:hAnsi="Arial" w:cs="Arial"/>
          <w:sz w:val="24"/>
          <w:szCs w:val="24"/>
          <w:lang w:val="en-ZA"/>
        </w:rPr>
        <w:t xml:space="preserve">(according to him) </w:t>
      </w:r>
      <w:r w:rsidRPr="00AE1863">
        <w:rPr>
          <w:rFonts w:ascii="Arial" w:hAnsi="Arial" w:cs="Arial"/>
          <w:sz w:val="24"/>
          <w:szCs w:val="24"/>
          <w:lang w:val="en-ZA"/>
        </w:rPr>
        <w:t>was not unreasonable.</w:t>
      </w:r>
      <w:r w:rsidR="00694028">
        <w:rPr>
          <w:rStyle w:val="FootnoteReference"/>
          <w:rFonts w:ascii="Arial" w:hAnsi="Arial" w:cs="Arial"/>
          <w:sz w:val="24"/>
          <w:szCs w:val="24"/>
          <w:lang w:val="en-ZA"/>
        </w:rPr>
        <w:footnoteReference w:id="22"/>
      </w:r>
      <w:r w:rsidRPr="00AE1863">
        <w:rPr>
          <w:rFonts w:ascii="Arial" w:hAnsi="Arial" w:cs="Arial"/>
          <w:sz w:val="24"/>
          <w:szCs w:val="24"/>
          <w:lang w:val="en-ZA"/>
        </w:rPr>
        <w:t xml:space="preserve"> </w:t>
      </w:r>
    </w:p>
    <w:p w14:paraId="0B01A5DE" w14:textId="39797E0F" w:rsidR="00BE4512" w:rsidRDefault="00694028" w:rsidP="00BE4512">
      <w:pPr>
        <w:snapToGrid w:val="0"/>
        <w:spacing w:after="120" w:line="360" w:lineRule="auto"/>
        <w:jc w:val="both"/>
        <w:rPr>
          <w:rFonts w:ascii="Arial" w:hAnsi="Arial" w:cs="Arial"/>
          <w:sz w:val="24"/>
          <w:szCs w:val="24"/>
        </w:rPr>
      </w:pPr>
      <w:r>
        <w:rPr>
          <w:rFonts w:ascii="Arial" w:hAnsi="Arial" w:cs="Arial"/>
          <w:sz w:val="24"/>
          <w:szCs w:val="24"/>
          <w:lang w:val="en-ZA"/>
        </w:rPr>
        <w:t>[24]</w:t>
      </w:r>
      <w:r>
        <w:rPr>
          <w:rFonts w:ascii="Arial" w:hAnsi="Arial" w:cs="Arial"/>
          <w:sz w:val="24"/>
          <w:szCs w:val="24"/>
          <w:lang w:val="en-ZA"/>
        </w:rPr>
        <w:tab/>
      </w:r>
      <w:r w:rsidR="00030477">
        <w:rPr>
          <w:rFonts w:ascii="Arial" w:hAnsi="Arial" w:cs="Arial"/>
          <w:sz w:val="24"/>
          <w:szCs w:val="24"/>
          <w:lang w:val="en-ZA"/>
        </w:rPr>
        <w:t>T</w:t>
      </w:r>
      <w:r w:rsidR="00030477" w:rsidRPr="00AE1863">
        <w:rPr>
          <w:rFonts w:ascii="Arial" w:hAnsi="Arial" w:cs="Arial"/>
          <w:sz w:val="24"/>
          <w:szCs w:val="24"/>
          <w:lang w:val="en-ZA"/>
        </w:rPr>
        <w:t xml:space="preserve">he parties </w:t>
      </w:r>
      <w:r w:rsidR="00030477">
        <w:rPr>
          <w:rFonts w:ascii="Arial" w:hAnsi="Arial" w:cs="Arial"/>
          <w:sz w:val="24"/>
          <w:szCs w:val="24"/>
          <w:lang w:val="en-ZA"/>
        </w:rPr>
        <w:t>subsequently</w:t>
      </w:r>
      <w:r w:rsidR="00030477" w:rsidRPr="00AE1863">
        <w:rPr>
          <w:rFonts w:ascii="Arial" w:hAnsi="Arial" w:cs="Arial"/>
          <w:sz w:val="24"/>
          <w:szCs w:val="24"/>
          <w:lang w:val="en-ZA"/>
        </w:rPr>
        <w:t xml:space="preserve"> agreed, subject to a reservation of rights, that a formal bill of costs </w:t>
      </w:r>
      <w:r w:rsidR="00030477">
        <w:rPr>
          <w:rFonts w:ascii="Arial" w:hAnsi="Arial" w:cs="Arial"/>
          <w:sz w:val="24"/>
          <w:szCs w:val="24"/>
          <w:lang w:val="en-ZA"/>
        </w:rPr>
        <w:t>about</w:t>
      </w:r>
      <w:r w:rsidR="00030477" w:rsidRPr="00AE1863">
        <w:rPr>
          <w:rFonts w:ascii="Arial" w:hAnsi="Arial" w:cs="Arial"/>
          <w:sz w:val="24"/>
          <w:szCs w:val="24"/>
          <w:lang w:val="en-ZA"/>
        </w:rPr>
        <w:t xml:space="preserve"> </w:t>
      </w:r>
      <w:r w:rsidR="00030477">
        <w:rPr>
          <w:rFonts w:ascii="Arial" w:hAnsi="Arial" w:cs="Arial"/>
          <w:sz w:val="24"/>
          <w:szCs w:val="24"/>
          <w:lang w:val="en-ZA"/>
        </w:rPr>
        <w:t xml:space="preserve">this </w:t>
      </w:r>
      <w:r w:rsidR="00030477" w:rsidRPr="00AE1863">
        <w:rPr>
          <w:rFonts w:ascii="Arial" w:hAnsi="Arial" w:cs="Arial"/>
          <w:sz w:val="24"/>
          <w:szCs w:val="24"/>
          <w:lang w:val="en-ZA"/>
        </w:rPr>
        <w:t xml:space="preserve">fee </w:t>
      </w:r>
      <w:r w:rsidR="00030477">
        <w:rPr>
          <w:rFonts w:ascii="Arial" w:hAnsi="Arial" w:cs="Arial"/>
          <w:sz w:val="24"/>
          <w:szCs w:val="24"/>
          <w:lang w:val="en-ZA"/>
        </w:rPr>
        <w:t>would</w:t>
      </w:r>
      <w:r w:rsidR="00030477" w:rsidRPr="00AE1863">
        <w:rPr>
          <w:rFonts w:ascii="Arial" w:hAnsi="Arial" w:cs="Arial"/>
          <w:sz w:val="24"/>
          <w:szCs w:val="24"/>
          <w:lang w:val="en-ZA"/>
        </w:rPr>
        <w:t xml:space="preserve"> be prepared and submitted for taxation.</w:t>
      </w:r>
      <w:r w:rsidR="00030477">
        <w:rPr>
          <w:rFonts w:ascii="Arial" w:hAnsi="Arial" w:cs="Arial"/>
          <w:sz w:val="24"/>
          <w:szCs w:val="24"/>
          <w:lang w:val="en-ZA"/>
        </w:rPr>
        <w:t xml:space="preserve"> </w:t>
      </w:r>
      <w:r w:rsidR="00030477" w:rsidRPr="00AE1863">
        <w:rPr>
          <w:rFonts w:ascii="Arial" w:hAnsi="Arial" w:cs="Arial"/>
          <w:sz w:val="24"/>
          <w:szCs w:val="24"/>
          <w:lang w:val="en-ZA"/>
        </w:rPr>
        <w:t xml:space="preserve"> The taxation has </w:t>
      </w:r>
      <w:r>
        <w:rPr>
          <w:rFonts w:ascii="Arial" w:hAnsi="Arial" w:cs="Arial"/>
          <w:sz w:val="24"/>
          <w:szCs w:val="24"/>
          <w:lang w:val="en-ZA"/>
        </w:rPr>
        <w:t>yet to take</w:t>
      </w:r>
      <w:r w:rsidR="00030477" w:rsidRPr="00AE1863">
        <w:rPr>
          <w:rFonts w:ascii="Arial" w:hAnsi="Arial" w:cs="Arial"/>
          <w:sz w:val="24"/>
          <w:szCs w:val="24"/>
          <w:lang w:val="en-ZA"/>
        </w:rPr>
        <w:t xml:space="preserve"> place</w:t>
      </w:r>
      <w:r w:rsidR="00030477">
        <w:rPr>
          <w:rFonts w:ascii="Arial" w:hAnsi="Arial" w:cs="Arial"/>
          <w:sz w:val="24"/>
          <w:szCs w:val="24"/>
          <w:lang w:val="en-ZA"/>
        </w:rPr>
        <w:t>.</w:t>
      </w:r>
      <w:r w:rsidR="0069400C">
        <w:rPr>
          <w:rFonts w:ascii="Arial" w:hAnsi="Arial" w:cs="Arial"/>
          <w:sz w:val="24"/>
          <w:szCs w:val="24"/>
          <w:lang w:val="en-ZA"/>
        </w:rPr>
        <w:t xml:space="preserve"> </w:t>
      </w:r>
      <w:r w:rsidR="0069400C" w:rsidRPr="00903B12">
        <w:rPr>
          <w:rFonts w:ascii="Arial" w:hAnsi="Arial" w:cs="Arial"/>
          <w:sz w:val="24"/>
          <w:szCs w:val="24"/>
        </w:rPr>
        <w:t xml:space="preserve"> </w:t>
      </w:r>
      <w:r w:rsidR="00905CBC" w:rsidRPr="00903B12">
        <w:rPr>
          <w:rFonts w:ascii="Arial" w:hAnsi="Arial" w:cs="Arial"/>
          <w:sz w:val="24"/>
          <w:szCs w:val="24"/>
        </w:rPr>
        <w:t xml:space="preserve">The applicant </w:t>
      </w:r>
      <w:r w:rsidR="00903B12" w:rsidRPr="00903B12">
        <w:rPr>
          <w:rFonts w:ascii="Arial" w:hAnsi="Arial" w:cs="Arial"/>
          <w:sz w:val="24"/>
          <w:szCs w:val="24"/>
        </w:rPr>
        <w:t>believe</w:t>
      </w:r>
      <w:r w:rsidR="00030477">
        <w:rPr>
          <w:rFonts w:ascii="Arial" w:hAnsi="Arial" w:cs="Arial"/>
          <w:sz w:val="24"/>
          <w:szCs w:val="24"/>
        </w:rPr>
        <w:t>s</w:t>
      </w:r>
      <w:r w:rsidR="00905CBC" w:rsidRPr="00903B12">
        <w:rPr>
          <w:rFonts w:ascii="Arial" w:hAnsi="Arial" w:cs="Arial"/>
          <w:sz w:val="24"/>
          <w:szCs w:val="24"/>
        </w:rPr>
        <w:t xml:space="preserve"> these </w:t>
      </w:r>
      <w:r w:rsidR="00903B12" w:rsidRPr="00903B12">
        <w:rPr>
          <w:rFonts w:ascii="Arial" w:hAnsi="Arial" w:cs="Arial"/>
          <w:sz w:val="24"/>
          <w:szCs w:val="24"/>
        </w:rPr>
        <w:t xml:space="preserve">fees </w:t>
      </w:r>
      <w:r w:rsidR="00905CBC" w:rsidRPr="00903B12">
        <w:rPr>
          <w:rFonts w:ascii="Arial" w:hAnsi="Arial" w:cs="Arial"/>
          <w:sz w:val="24"/>
          <w:szCs w:val="24"/>
        </w:rPr>
        <w:t>should nevertheless have been s</w:t>
      </w:r>
      <w:r w:rsidR="00FD69CA">
        <w:rPr>
          <w:rFonts w:ascii="Arial" w:hAnsi="Arial" w:cs="Arial"/>
          <w:sz w:val="24"/>
          <w:szCs w:val="24"/>
        </w:rPr>
        <w:t xml:space="preserve">crutinized </w:t>
      </w:r>
      <w:r w:rsidR="00905CBC" w:rsidRPr="00903B12">
        <w:rPr>
          <w:rFonts w:ascii="Arial" w:hAnsi="Arial" w:cs="Arial"/>
          <w:sz w:val="24"/>
          <w:szCs w:val="24"/>
        </w:rPr>
        <w:t>and have been the subject of a determination by the investigating committee of the first respondent.</w:t>
      </w:r>
      <w:r w:rsidR="00903B12">
        <w:rPr>
          <w:rStyle w:val="FootnoteReference"/>
          <w:rFonts w:ascii="Arial" w:hAnsi="Arial" w:cs="Arial"/>
          <w:sz w:val="24"/>
          <w:szCs w:val="24"/>
        </w:rPr>
        <w:footnoteReference w:id="23"/>
      </w:r>
    </w:p>
    <w:p w14:paraId="01B9AB4D" w14:textId="77777777" w:rsidR="0069400C" w:rsidRDefault="00BE4512" w:rsidP="00356A45">
      <w:pPr>
        <w:snapToGrid w:val="0"/>
        <w:spacing w:after="120" w:line="360" w:lineRule="auto"/>
        <w:jc w:val="both"/>
        <w:rPr>
          <w:rFonts w:ascii="Arial" w:hAnsi="Arial" w:cs="Arial"/>
          <w:sz w:val="24"/>
          <w:szCs w:val="24"/>
          <w:lang w:val="en-ZA"/>
        </w:rPr>
      </w:pPr>
      <w:r>
        <w:rPr>
          <w:rFonts w:ascii="Arial" w:hAnsi="Arial" w:cs="Arial"/>
          <w:sz w:val="24"/>
          <w:szCs w:val="24"/>
        </w:rPr>
        <w:lastRenderedPageBreak/>
        <w:t>[2</w:t>
      </w:r>
      <w:r w:rsidR="006C2703">
        <w:rPr>
          <w:rFonts w:ascii="Arial" w:hAnsi="Arial" w:cs="Arial"/>
          <w:sz w:val="24"/>
          <w:szCs w:val="24"/>
        </w:rPr>
        <w:t>5</w:t>
      </w:r>
      <w:r>
        <w:rPr>
          <w:rFonts w:ascii="Arial" w:hAnsi="Arial" w:cs="Arial"/>
          <w:sz w:val="24"/>
          <w:szCs w:val="24"/>
        </w:rPr>
        <w:t>]</w:t>
      </w:r>
      <w:r>
        <w:rPr>
          <w:rFonts w:ascii="Arial" w:hAnsi="Arial" w:cs="Arial"/>
          <w:sz w:val="24"/>
          <w:szCs w:val="24"/>
        </w:rPr>
        <w:tab/>
      </w:r>
      <w:r w:rsidR="00030477">
        <w:rPr>
          <w:rFonts w:ascii="Arial" w:hAnsi="Arial" w:cs="Arial"/>
          <w:sz w:val="24"/>
          <w:szCs w:val="24"/>
          <w:lang w:val="en-ZA"/>
        </w:rPr>
        <w:t>However</w:t>
      </w:r>
      <w:r>
        <w:rPr>
          <w:rFonts w:ascii="Arial" w:hAnsi="Arial" w:cs="Arial"/>
          <w:sz w:val="24"/>
          <w:szCs w:val="24"/>
          <w:lang w:val="en-ZA"/>
        </w:rPr>
        <w:t xml:space="preserve"> the applicant was never a client of the third respondent.  Instead, his complaints arise from matters where the third respondent represented the litigants on the opposing side whose interests directly conflicted with those of the applicant, including in entities involved in an </w:t>
      </w:r>
      <w:r w:rsidR="00FD69CA">
        <w:rPr>
          <w:rFonts w:ascii="Arial" w:hAnsi="Arial" w:cs="Arial"/>
          <w:sz w:val="24"/>
          <w:szCs w:val="24"/>
          <w:lang w:val="en-ZA"/>
        </w:rPr>
        <w:t xml:space="preserve">alleged </w:t>
      </w:r>
      <w:r>
        <w:rPr>
          <w:rFonts w:ascii="Arial" w:hAnsi="Arial" w:cs="Arial"/>
          <w:sz w:val="24"/>
          <w:szCs w:val="24"/>
          <w:lang w:val="en-ZA"/>
        </w:rPr>
        <w:t>unlawful scheme conducted by the applicant’s brother-in-law.</w:t>
      </w:r>
      <w:r w:rsidR="002C1432">
        <w:rPr>
          <w:rStyle w:val="FootnoteReference"/>
          <w:rFonts w:ascii="Arial" w:hAnsi="Arial" w:cs="Arial"/>
          <w:sz w:val="24"/>
          <w:szCs w:val="24"/>
          <w:lang w:val="en-ZA"/>
        </w:rPr>
        <w:footnoteReference w:id="24"/>
      </w:r>
      <w:r w:rsidR="00030477">
        <w:rPr>
          <w:rFonts w:ascii="Arial" w:hAnsi="Arial" w:cs="Arial"/>
          <w:sz w:val="24"/>
          <w:szCs w:val="24"/>
          <w:lang w:val="en-ZA"/>
        </w:rPr>
        <w:t xml:space="preserve"> </w:t>
      </w:r>
      <w:r w:rsidR="006C2703">
        <w:rPr>
          <w:rFonts w:ascii="Arial" w:hAnsi="Arial" w:cs="Arial"/>
          <w:sz w:val="24"/>
          <w:szCs w:val="24"/>
          <w:lang w:val="en-ZA"/>
        </w:rPr>
        <w:t xml:space="preserve"> </w:t>
      </w:r>
    </w:p>
    <w:p w14:paraId="41C1D88B" w14:textId="742A9E4C" w:rsidR="00356A45" w:rsidRDefault="0069400C" w:rsidP="00356A45">
      <w:pPr>
        <w:snapToGrid w:val="0"/>
        <w:spacing w:after="120" w:line="360" w:lineRule="auto"/>
        <w:jc w:val="both"/>
        <w:rPr>
          <w:rFonts w:ascii="Arial" w:hAnsi="Arial" w:cs="Arial"/>
          <w:sz w:val="24"/>
          <w:szCs w:val="24"/>
          <w:lang w:val="en-ZA"/>
        </w:rPr>
      </w:pPr>
      <w:r>
        <w:rPr>
          <w:rFonts w:ascii="Arial" w:hAnsi="Arial" w:cs="Arial"/>
          <w:sz w:val="24"/>
          <w:szCs w:val="24"/>
          <w:lang w:val="en-ZA"/>
        </w:rPr>
        <w:t>[26]</w:t>
      </w:r>
      <w:r>
        <w:rPr>
          <w:rFonts w:ascii="Arial" w:hAnsi="Arial" w:cs="Arial"/>
          <w:sz w:val="24"/>
          <w:szCs w:val="24"/>
          <w:lang w:val="en-ZA"/>
        </w:rPr>
        <w:tab/>
      </w:r>
      <w:r w:rsidR="00030477">
        <w:rPr>
          <w:rFonts w:ascii="Arial" w:hAnsi="Arial" w:cs="Arial"/>
          <w:sz w:val="24"/>
          <w:szCs w:val="24"/>
          <w:lang w:val="en-ZA"/>
        </w:rPr>
        <w:t xml:space="preserve">Clause 12.6 of the code of conduct precludes an attorney (legal practitioner) from overreaching a client, overcharging the debtor of a client, or charging a fee which is unreasonably high, having regard to the circumstances of the matter. </w:t>
      </w:r>
      <w:r w:rsidR="006C2703">
        <w:rPr>
          <w:rFonts w:ascii="Arial" w:hAnsi="Arial" w:cs="Arial"/>
          <w:sz w:val="24"/>
          <w:szCs w:val="24"/>
          <w:lang w:val="en-ZA"/>
        </w:rPr>
        <w:t xml:space="preserve"> </w:t>
      </w:r>
      <w:r w:rsidR="00030477">
        <w:rPr>
          <w:rFonts w:ascii="Arial" w:hAnsi="Arial" w:cs="Arial"/>
          <w:sz w:val="24"/>
          <w:szCs w:val="24"/>
          <w:lang w:val="en-ZA"/>
        </w:rPr>
        <w:t xml:space="preserve">The first two categories do not apply to the third respondent </w:t>
      </w:r>
      <w:r w:rsidR="00030477">
        <w:rPr>
          <w:rFonts w:ascii="Arial" w:hAnsi="Arial" w:cs="Arial"/>
          <w:i/>
          <w:sz w:val="24"/>
          <w:szCs w:val="24"/>
          <w:lang w:val="en-ZA"/>
        </w:rPr>
        <w:t>vis-à-vis</w:t>
      </w:r>
      <w:r w:rsidR="00030477">
        <w:rPr>
          <w:rFonts w:ascii="Arial" w:hAnsi="Arial" w:cs="Arial"/>
          <w:sz w:val="24"/>
          <w:szCs w:val="24"/>
          <w:lang w:val="en-ZA"/>
        </w:rPr>
        <w:t xml:space="preserve"> the applicant, and the third category will be determined by the taxing master as a consequence of the agreement reached between the parties.</w:t>
      </w:r>
      <w:r>
        <w:rPr>
          <w:rStyle w:val="FootnoteReference"/>
          <w:rFonts w:ascii="Arial" w:hAnsi="Arial" w:cs="Arial"/>
          <w:sz w:val="24"/>
          <w:szCs w:val="24"/>
          <w:lang w:val="en-ZA"/>
        </w:rPr>
        <w:footnoteReference w:id="25"/>
      </w:r>
    </w:p>
    <w:p w14:paraId="7B51CE5A" w14:textId="60C45336" w:rsidR="004E55E8" w:rsidRDefault="000955CE" w:rsidP="003C61FD">
      <w:pPr>
        <w:snapToGrid w:val="0"/>
        <w:spacing w:after="120" w:line="360" w:lineRule="auto"/>
        <w:jc w:val="both"/>
        <w:rPr>
          <w:rFonts w:ascii="Arial" w:hAnsi="Arial" w:cs="Arial"/>
          <w:sz w:val="24"/>
          <w:szCs w:val="24"/>
          <w:lang w:val="en-ZA"/>
        </w:rPr>
      </w:pPr>
      <w:r>
        <w:rPr>
          <w:rFonts w:ascii="Arial" w:hAnsi="Arial" w:cs="Arial"/>
          <w:sz w:val="24"/>
          <w:szCs w:val="24"/>
          <w:lang w:val="en-ZA"/>
        </w:rPr>
        <w:t>[2</w:t>
      </w:r>
      <w:r w:rsidR="0069400C">
        <w:rPr>
          <w:rFonts w:ascii="Arial" w:hAnsi="Arial" w:cs="Arial"/>
          <w:sz w:val="24"/>
          <w:szCs w:val="24"/>
          <w:lang w:val="en-ZA"/>
        </w:rPr>
        <w:t>7</w:t>
      </w:r>
      <w:r w:rsidRPr="000955CE">
        <w:rPr>
          <w:rFonts w:ascii="Arial" w:hAnsi="Arial" w:cs="Arial"/>
          <w:sz w:val="24"/>
          <w:szCs w:val="24"/>
          <w:lang w:val="en-ZA"/>
        </w:rPr>
        <w:t>]</w:t>
      </w:r>
      <w:r w:rsidRPr="000955CE">
        <w:rPr>
          <w:rFonts w:ascii="Arial" w:hAnsi="Arial" w:cs="Arial"/>
          <w:sz w:val="24"/>
          <w:szCs w:val="24"/>
          <w:lang w:val="en-ZA"/>
        </w:rPr>
        <w:tab/>
      </w:r>
      <w:r w:rsidR="008D7720">
        <w:rPr>
          <w:rFonts w:ascii="Arial" w:hAnsi="Arial" w:cs="Arial"/>
          <w:sz w:val="24"/>
          <w:szCs w:val="24"/>
          <w:lang w:val="en-ZA"/>
        </w:rPr>
        <w:t>Now, we turn</w:t>
      </w:r>
      <w:r>
        <w:rPr>
          <w:rFonts w:ascii="Arial" w:hAnsi="Arial" w:cs="Arial"/>
          <w:sz w:val="24"/>
          <w:szCs w:val="24"/>
          <w:lang w:val="en-ZA"/>
        </w:rPr>
        <w:t xml:space="preserve"> to the second complaint raised by the applicant.  It is </w:t>
      </w:r>
      <w:r w:rsidR="00020976">
        <w:rPr>
          <w:rFonts w:ascii="Arial" w:hAnsi="Arial" w:cs="Arial"/>
          <w:sz w:val="24"/>
          <w:szCs w:val="24"/>
          <w:lang w:val="en-ZA"/>
        </w:rPr>
        <w:t>alleged that the</w:t>
      </w:r>
      <w:r w:rsidR="0008500E">
        <w:rPr>
          <w:rFonts w:ascii="Arial" w:hAnsi="Arial" w:cs="Arial"/>
          <w:sz w:val="24"/>
          <w:szCs w:val="24"/>
          <w:lang w:val="en-ZA"/>
        </w:rPr>
        <w:t xml:space="preserve"> </w:t>
      </w:r>
      <w:r>
        <w:rPr>
          <w:rFonts w:ascii="Arial" w:hAnsi="Arial" w:cs="Arial"/>
          <w:sz w:val="24"/>
          <w:szCs w:val="24"/>
          <w:lang w:val="en-ZA"/>
        </w:rPr>
        <w:t>t</w:t>
      </w:r>
      <w:r w:rsidR="0008500E">
        <w:rPr>
          <w:rFonts w:ascii="Arial" w:hAnsi="Arial" w:cs="Arial"/>
          <w:sz w:val="24"/>
          <w:szCs w:val="24"/>
          <w:lang w:val="en-ZA"/>
        </w:rPr>
        <w:t xml:space="preserve">hird </w:t>
      </w:r>
      <w:r>
        <w:rPr>
          <w:rFonts w:ascii="Arial" w:hAnsi="Arial" w:cs="Arial"/>
          <w:sz w:val="24"/>
          <w:szCs w:val="24"/>
          <w:lang w:val="en-ZA"/>
        </w:rPr>
        <w:t>r</w:t>
      </w:r>
      <w:r w:rsidR="0008500E">
        <w:rPr>
          <w:rFonts w:ascii="Arial" w:hAnsi="Arial" w:cs="Arial"/>
          <w:sz w:val="24"/>
          <w:szCs w:val="24"/>
          <w:lang w:val="en-ZA"/>
        </w:rPr>
        <w:t>espondent failed to maintain the highest standards of honesty and integrity</w:t>
      </w:r>
      <w:r>
        <w:rPr>
          <w:rFonts w:ascii="Arial" w:hAnsi="Arial" w:cs="Arial"/>
          <w:sz w:val="24"/>
          <w:szCs w:val="24"/>
          <w:lang w:val="en-ZA"/>
        </w:rPr>
        <w:t xml:space="preserve"> concerning </w:t>
      </w:r>
      <w:r w:rsidR="00147595">
        <w:rPr>
          <w:rFonts w:ascii="Arial" w:hAnsi="Arial" w:cs="Arial"/>
          <w:sz w:val="24"/>
          <w:szCs w:val="24"/>
          <w:lang w:val="en-ZA"/>
        </w:rPr>
        <w:t xml:space="preserve">an </w:t>
      </w:r>
      <w:r>
        <w:rPr>
          <w:rFonts w:ascii="Arial" w:hAnsi="Arial" w:cs="Arial"/>
          <w:sz w:val="24"/>
          <w:szCs w:val="24"/>
          <w:lang w:val="en-ZA"/>
        </w:rPr>
        <w:t xml:space="preserve">error in the initial founding affidavit </w:t>
      </w:r>
      <w:r w:rsidR="007E1604">
        <w:rPr>
          <w:rFonts w:ascii="Arial" w:hAnsi="Arial" w:cs="Arial"/>
          <w:sz w:val="24"/>
          <w:szCs w:val="24"/>
          <w:lang w:val="en-ZA"/>
        </w:rPr>
        <w:t xml:space="preserve">in </w:t>
      </w:r>
      <w:r w:rsidR="003C61FD">
        <w:rPr>
          <w:rFonts w:ascii="Arial" w:hAnsi="Arial" w:cs="Arial"/>
          <w:sz w:val="24"/>
          <w:szCs w:val="24"/>
          <w:lang w:val="en-ZA"/>
        </w:rPr>
        <w:t>the</w:t>
      </w:r>
      <w:r>
        <w:rPr>
          <w:rFonts w:ascii="Arial" w:hAnsi="Arial" w:cs="Arial"/>
          <w:sz w:val="24"/>
          <w:szCs w:val="24"/>
          <w:lang w:val="en-ZA"/>
        </w:rPr>
        <w:t xml:space="preserve"> application </w:t>
      </w:r>
      <w:r w:rsidR="003C61FD">
        <w:rPr>
          <w:rFonts w:ascii="Arial" w:hAnsi="Arial" w:cs="Arial"/>
          <w:sz w:val="24"/>
          <w:szCs w:val="24"/>
          <w:lang w:val="en-ZA"/>
        </w:rPr>
        <w:t xml:space="preserve">launched </w:t>
      </w:r>
      <w:r>
        <w:rPr>
          <w:rFonts w:ascii="Arial" w:hAnsi="Arial" w:cs="Arial"/>
          <w:sz w:val="24"/>
          <w:szCs w:val="24"/>
          <w:lang w:val="en-ZA"/>
        </w:rPr>
        <w:t xml:space="preserve">for the sequestration of </w:t>
      </w:r>
      <w:r w:rsidR="007E1604">
        <w:rPr>
          <w:rFonts w:ascii="Arial" w:hAnsi="Arial" w:cs="Arial"/>
          <w:sz w:val="24"/>
          <w:szCs w:val="24"/>
          <w:lang w:val="en-ZA"/>
        </w:rPr>
        <w:t>the trust controlled by the applicant’s sister and brother-in-law</w:t>
      </w:r>
      <w:r w:rsidR="003C61FD">
        <w:rPr>
          <w:rFonts w:ascii="Arial" w:hAnsi="Arial" w:cs="Arial"/>
          <w:sz w:val="24"/>
          <w:szCs w:val="24"/>
          <w:lang w:val="en-ZA"/>
        </w:rPr>
        <w:t>.  This</w:t>
      </w:r>
      <w:r w:rsidR="00FD69CA">
        <w:rPr>
          <w:rFonts w:ascii="Arial" w:hAnsi="Arial" w:cs="Arial"/>
          <w:sz w:val="24"/>
          <w:szCs w:val="24"/>
          <w:lang w:val="en-ZA"/>
        </w:rPr>
        <w:t xml:space="preserve"> </w:t>
      </w:r>
      <w:r w:rsidR="008D7720">
        <w:rPr>
          <w:rFonts w:ascii="Arial" w:hAnsi="Arial" w:cs="Arial"/>
          <w:sz w:val="24"/>
          <w:szCs w:val="24"/>
          <w:lang w:val="en-ZA"/>
        </w:rPr>
        <w:t xml:space="preserve">is </w:t>
      </w:r>
      <w:r w:rsidR="00FD69CA">
        <w:rPr>
          <w:rFonts w:ascii="Arial" w:hAnsi="Arial" w:cs="Arial"/>
          <w:sz w:val="24"/>
          <w:szCs w:val="24"/>
          <w:lang w:val="en-ZA"/>
        </w:rPr>
        <w:t xml:space="preserve">primarily because of </w:t>
      </w:r>
      <w:r w:rsidR="007E1604">
        <w:rPr>
          <w:rFonts w:ascii="Arial" w:hAnsi="Arial" w:cs="Arial"/>
          <w:sz w:val="24"/>
          <w:szCs w:val="24"/>
          <w:lang w:val="en-ZA"/>
        </w:rPr>
        <w:t xml:space="preserve">the </w:t>
      </w:r>
      <w:r>
        <w:rPr>
          <w:rFonts w:ascii="Arial" w:hAnsi="Arial" w:cs="Arial"/>
          <w:sz w:val="24"/>
          <w:szCs w:val="24"/>
          <w:lang w:val="en-ZA"/>
        </w:rPr>
        <w:t xml:space="preserve">confirmatory affidavit </w:t>
      </w:r>
      <w:r w:rsidR="007E1604">
        <w:rPr>
          <w:rFonts w:ascii="Arial" w:hAnsi="Arial" w:cs="Arial"/>
          <w:sz w:val="24"/>
          <w:szCs w:val="24"/>
          <w:lang w:val="en-ZA"/>
        </w:rPr>
        <w:t>by the t</w:t>
      </w:r>
      <w:r>
        <w:rPr>
          <w:rFonts w:ascii="Arial" w:hAnsi="Arial" w:cs="Arial"/>
          <w:sz w:val="24"/>
          <w:szCs w:val="24"/>
          <w:lang w:val="en-ZA"/>
        </w:rPr>
        <w:t xml:space="preserve">hird </w:t>
      </w:r>
      <w:r w:rsidR="007E1604">
        <w:rPr>
          <w:rFonts w:ascii="Arial" w:hAnsi="Arial" w:cs="Arial"/>
          <w:sz w:val="24"/>
          <w:szCs w:val="24"/>
          <w:lang w:val="en-ZA"/>
        </w:rPr>
        <w:t>r</w:t>
      </w:r>
      <w:r>
        <w:rPr>
          <w:rFonts w:ascii="Arial" w:hAnsi="Arial" w:cs="Arial"/>
          <w:sz w:val="24"/>
          <w:szCs w:val="24"/>
          <w:lang w:val="en-ZA"/>
        </w:rPr>
        <w:t>espondent himself.</w:t>
      </w:r>
      <w:r w:rsidR="0069400C">
        <w:rPr>
          <w:rFonts w:ascii="Arial" w:hAnsi="Arial" w:cs="Arial"/>
          <w:sz w:val="24"/>
          <w:szCs w:val="24"/>
          <w:lang w:val="en-ZA"/>
        </w:rPr>
        <w:t xml:space="preserve">  </w:t>
      </w:r>
      <w:r w:rsidR="003C61FD">
        <w:rPr>
          <w:rFonts w:ascii="Arial" w:hAnsi="Arial" w:cs="Arial"/>
          <w:sz w:val="24"/>
          <w:szCs w:val="24"/>
          <w:lang w:val="en-ZA"/>
        </w:rPr>
        <w:t>In essence, the applicant requires th</w:t>
      </w:r>
      <w:r w:rsidR="00B34A27">
        <w:rPr>
          <w:rFonts w:ascii="Arial" w:hAnsi="Arial" w:cs="Arial"/>
          <w:sz w:val="24"/>
          <w:szCs w:val="24"/>
          <w:lang w:val="en-ZA"/>
        </w:rPr>
        <w:t>is</w:t>
      </w:r>
      <w:r w:rsidR="003C61FD">
        <w:rPr>
          <w:rFonts w:ascii="Arial" w:hAnsi="Arial" w:cs="Arial"/>
          <w:sz w:val="24"/>
          <w:szCs w:val="24"/>
          <w:lang w:val="en-ZA"/>
        </w:rPr>
        <w:t xml:space="preserve"> explanation given by the applicant and the provisional trustee in this connection to be tested through a hearing comprising of viva</w:t>
      </w:r>
      <w:r w:rsidR="003C61FD" w:rsidRPr="003C61FD">
        <w:rPr>
          <w:rFonts w:ascii="Arial" w:hAnsi="Arial" w:cs="Arial"/>
          <w:i/>
          <w:iCs/>
          <w:sz w:val="24"/>
          <w:szCs w:val="24"/>
          <w:lang w:val="en-ZA"/>
        </w:rPr>
        <w:t xml:space="preserve"> voce</w:t>
      </w:r>
      <w:r w:rsidR="003C61FD">
        <w:rPr>
          <w:rFonts w:ascii="Arial" w:hAnsi="Arial" w:cs="Arial"/>
          <w:sz w:val="24"/>
          <w:szCs w:val="24"/>
          <w:lang w:val="en-ZA"/>
        </w:rPr>
        <w:t xml:space="preserve"> evidence and cross-examination.  The third respondent argues that what the applicant desires is irrelevant, considering </w:t>
      </w:r>
      <w:r w:rsidR="00020976">
        <w:rPr>
          <w:rFonts w:ascii="Arial" w:hAnsi="Arial" w:cs="Arial"/>
          <w:sz w:val="24"/>
          <w:szCs w:val="24"/>
          <w:lang w:val="en-ZA"/>
        </w:rPr>
        <w:t xml:space="preserve">the </w:t>
      </w:r>
      <w:r w:rsidR="00041BCE">
        <w:rPr>
          <w:rFonts w:ascii="Arial" w:hAnsi="Arial" w:cs="Arial"/>
          <w:sz w:val="24"/>
          <w:szCs w:val="24"/>
          <w:lang w:val="en-ZA"/>
        </w:rPr>
        <w:t xml:space="preserve">applicable </w:t>
      </w:r>
      <w:r w:rsidR="00020976">
        <w:rPr>
          <w:rFonts w:ascii="Arial" w:hAnsi="Arial" w:cs="Arial"/>
          <w:sz w:val="24"/>
          <w:szCs w:val="24"/>
          <w:lang w:val="en-ZA"/>
        </w:rPr>
        <w:t>statutory framework.</w:t>
      </w:r>
      <w:r w:rsidR="00EA7D25">
        <w:rPr>
          <w:rStyle w:val="FootnoteReference"/>
          <w:rFonts w:ascii="Arial" w:hAnsi="Arial" w:cs="Arial"/>
          <w:sz w:val="24"/>
          <w:szCs w:val="24"/>
          <w:lang w:val="en-ZA"/>
        </w:rPr>
        <w:footnoteReference w:id="26"/>
      </w:r>
    </w:p>
    <w:p w14:paraId="0C6653BA" w14:textId="46002173" w:rsidR="00EA7D25" w:rsidRDefault="004E55E8" w:rsidP="00EA7D25">
      <w:pPr>
        <w:snapToGrid w:val="0"/>
        <w:spacing w:after="120" w:line="360" w:lineRule="auto"/>
        <w:jc w:val="both"/>
        <w:rPr>
          <w:rFonts w:ascii="Arial" w:hAnsi="Arial" w:cs="Arial"/>
          <w:sz w:val="24"/>
          <w:szCs w:val="24"/>
          <w:lang w:val="en-ZA"/>
        </w:rPr>
      </w:pPr>
      <w:r>
        <w:rPr>
          <w:rFonts w:ascii="Arial" w:hAnsi="Arial" w:cs="Arial"/>
          <w:sz w:val="24"/>
          <w:szCs w:val="24"/>
          <w:lang w:val="en-ZA"/>
        </w:rPr>
        <w:t>[2</w:t>
      </w:r>
      <w:r w:rsidR="006C2703">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 xml:space="preserve">The third respondent contends that by advancing this </w:t>
      </w:r>
      <w:r w:rsidR="00C94EC9">
        <w:rPr>
          <w:rFonts w:ascii="Arial" w:hAnsi="Arial" w:cs="Arial"/>
          <w:sz w:val="24"/>
          <w:szCs w:val="24"/>
          <w:lang w:val="en-ZA"/>
        </w:rPr>
        <w:t xml:space="preserve">complaint, the </w:t>
      </w:r>
      <w:r>
        <w:rPr>
          <w:rFonts w:ascii="Arial" w:hAnsi="Arial" w:cs="Arial"/>
          <w:sz w:val="24"/>
          <w:szCs w:val="24"/>
          <w:lang w:val="en-ZA"/>
        </w:rPr>
        <w:t>a</w:t>
      </w:r>
      <w:r w:rsidR="00C94EC9">
        <w:rPr>
          <w:rFonts w:ascii="Arial" w:hAnsi="Arial" w:cs="Arial"/>
          <w:sz w:val="24"/>
          <w:szCs w:val="24"/>
          <w:lang w:val="en-ZA"/>
        </w:rPr>
        <w:t xml:space="preserve">pplicant </w:t>
      </w:r>
      <w:r>
        <w:rPr>
          <w:rFonts w:ascii="Arial" w:hAnsi="Arial" w:cs="Arial"/>
          <w:sz w:val="24"/>
          <w:szCs w:val="24"/>
          <w:lang w:val="en-ZA"/>
        </w:rPr>
        <w:t xml:space="preserve">merely seeks to </w:t>
      </w:r>
      <w:r w:rsidR="00030477">
        <w:rPr>
          <w:rFonts w:ascii="Arial" w:hAnsi="Arial" w:cs="Arial"/>
          <w:sz w:val="24"/>
          <w:szCs w:val="24"/>
          <w:lang w:val="en-ZA"/>
        </w:rPr>
        <w:t xml:space="preserve">revisit </w:t>
      </w:r>
      <w:r w:rsidR="00C94EC9">
        <w:rPr>
          <w:rFonts w:ascii="Arial" w:hAnsi="Arial" w:cs="Arial"/>
          <w:sz w:val="24"/>
          <w:szCs w:val="24"/>
          <w:lang w:val="en-ZA"/>
        </w:rPr>
        <w:t xml:space="preserve">the same issues which were traversed in the sequestration application of </w:t>
      </w:r>
      <w:r>
        <w:rPr>
          <w:rFonts w:ascii="Arial" w:hAnsi="Arial" w:cs="Arial"/>
          <w:sz w:val="24"/>
          <w:szCs w:val="24"/>
          <w:lang w:val="en-ZA"/>
        </w:rPr>
        <w:t>this trust</w:t>
      </w:r>
      <w:r w:rsidR="00FD69CA">
        <w:rPr>
          <w:rFonts w:ascii="Arial" w:hAnsi="Arial" w:cs="Arial"/>
          <w:sz w:val="24"/>
          <w:szCs w:val="24"/>
          <w:lang w:val="en-ZA"/>
        </w:rPr>
        <w:t>,</w:t>
      </w:r>
      <w:r>
        <w:rPr>
          <w:rFonts w:ascii="Arial" w:hAnsi="Arial" w:cs="Arial"/>
          <w:sz w:val="24"/>
          <w:szCs w:val="24"/>
          <w:lang w:val="en-ZA"/>
        </w:rPr>
        <w:t xml:space="preserve"> </w:t>
      </w:r>
      <w:r w:rsidR="00FD69CA">
        <w:rPr>
          <w:rFonts w:ascii="Arial" w:hAnsi="Arial" w:cs="Arial"/>
          <w:sz w:val="24"/>
          <w:szCs w:val="24"/>
          <w:lang w:val="en-ZA"/>
        </w:rPr>
        <w:t xml:space="preserve">together with </w:t>
      </w:r>
      <w:r w:rsidR="00C94EC9">
        <w:rPr>
          <w:rFonts w:ascii="Arial" w:hAnsi="Arial" w:cs="Arial"/>
          <w:sz w:val="24"/>
          <w:szCs w:val="24"/>
          <w:lang w:val="en-ZA"/>
        </w:rPr>
        <w:t xml:space="preserve">all the failed applications to appeal the final sequestration order and </w:t>
      </w:r>
      <w:r w:rsidR="00FD69CA">
        <w:rPr>
          <w:rFonts w:ascii="Arial" w:hAnsi="Arial" w:cs="Arial"/>
          <w:sz w:val="24"/>
          <w:szCs w:val="24"/>
          <w:lang w:val="en-ZA"/>
        </w:rPr>
        <w:t>also</w:t>
      </w:r>
      <w:r w:rsidR="00C94EC9">
        <w:rPr>
          <w:rFonts w:ascii="Arial" w:hAnsi="Arial" w:cs="Arial"/>
          <w:sz w:val="24"/>
          <w:szCs w:val="24"/>
          <w:lang w:val="en-ZA"/>
        </w:rPr>
        <w:t xml:space="preserve"> </w:t>
      </w:r>
      <w:r>
        <w:rPr>
          <w:rFonts w:ascii="Arial" w:hAnsi="Arial" w:cs="Arial"/>
          <w:sz w:val="24"/>
          <w:szCs w:val="24"/>
          <w:lang w:val="en-ZA"/>
        </w:rPr>
        <w:t xml:space="preserve">the </w:t>
      </w:r>
      <w:r w:rsidR="00C94EC9">
        <w:rPr>
          <w:rFonts w:ascii="Arial" w:hAnsi="Arial" w:cs="Arial"/>
          <w:sz w:val="24"/>
          <w:szCs w:val="24"/>
          <w:lang w:val="en-ZA"/>
        </w:rPr>
        <w:t>subsequent application for the removal of the insolvency trustees appointed to the</w:t>
      </w:r>
      <w:r w:rsidR="00EA7D25">
        <w:rPr>
          <w:rFonts w:ascii="Arial" w:hAnsi="Arial" w:cs="Arial"/>
          <w:sz w:val="24"/>
          <w:szCs w:val="24"/>
          <w:lang w:val="en-ZA"/>
        </w:rPr>
        <w:t xml:space="preserve"> trust.</w:t>
      </w:r>
      <w:r w:rsidR="00EA7D25">
        <w:rPr>
          <w:rStyle w:val="FootnoteReference"/>
          <w:rFonts w:ascii="Arial" w:hAnsi="Arial" w:cs="Arial"/>
          <w:sz w:val="24"/>
          <w:szCs w:val="24"/>
          <w:lang w:val="en-ZA"/>
        </w:rPr>
        <w:footnoteReference w:id="27"/>
      </w:r>
    </w:p>
    <w:p w14:paraId="4CA6B1CE" w14:textId="16FAE7DA" w:rsidR="00EA7D25" w:rsidRDefault="00EA7D25" w:rsidP="00EA7D25">
      <w:pPr>
        <w:snapToGrid w:val="0"/>
        <w:spacing w:after="120" w:line="360" w:lineRule="auto"/>
        <w:jc w:val="both"/>
        <w:rPr>
          <w:rFonts w:ascii="Arial" w:hAnsi="Arial" w:cs="Arial"/>
          <w:sz w:val="24"/>
          <w:szCs w:val="24"/>
          <w:lang w:val="en-ZA"/>
        </w:rPr>
      </w:pPr>
      <w:r>
        <w:rPr>
          <w:rFonts w:ascii="Arial" w:hAnsi="Arial" w:cs="Arial"/>
          <w:sz w:val="24"/>
          <w:szCs w:val="24"/>
          <w:lang w:val="en-ZA"/>
        </w:rPr>
        <w:t>[2</w:t>
      </w:r>
      <w:r w:rsidR="006C2703">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 xml:space="preserve">The relevant history to this complaint may be briefly stated as follows: (a) </w:t>
      </w:r>
      <w:r w:rsidR="00D11182">
        <w:rPr>
          <w:rFonts w:ascii="Arial" w:hAnsi="Arial" w:cs="Arial"/>
          <w:sz w:val="24"/>
          <w:szCs w:val="24"/>
          <w:lang w:val="en-ZA"/>
        </w:rPr>
        <w:t xml:space="preserve">the </w:t>
      </w:r>
      <w:r>
        <w:rPr>
          <w:rFonts w:ascii="Arial" w:hAnsi="Arial" w:cs="Arial"/>
          <w:sz w:val="24"/>
          <w:szCs w:val="24"/>
          <w:lang w:val="en-ZA"/>
        </w:rPr>
        <w:t>t</w:t>
      </w:r>
      <w:r w:rsidR="00D11182">
        <w:rPr>
          <w:rFonts w:ascii="Arial" w:hAnsi="Arial" w:cs="Arial"/>
          <w:sz w:val="24"/>
          <w:szCs w:val="24"/>
          <w:lang w:val="en-ZA"/>
        </w:rPr>
        <w:t xml:space="preserve">hird </w:t>
      </w:r>
      <w:r>
        <w:rPr>
          <w:rFonts w:ascii="Arial" w:hAnsi="Arial" w:cs="Arial"/>
          <w:sz w:val="24"/>
          <w:szCs w:val="24"/>
          <w:lang w:val="en-ZA"/>
        </w:rPr>
        <w:t>r</w:t>
      </w:r>
      <w:r w:rsidR="00D11182">
        <w:rPr>
          <w:rFonts w:ascii="Arial" w:hAnsi="Arial" w:cs="Arial"/>
          <w:sz w:val="24"/>
          <w:szCs w:val="24"/>
          <w:lang w:val="en-ZA"/>
        </w:rPr>
        <w:t xml:space="preserve">espondent prepared affidavits which contained </w:t>
      </w:r>
      <w:r w:rsidR="008A6575">
        <w:rPr>
          <w:rFonts w:ascii="Arial" w:hAnsi="Arial" w:cs="Arial"/>
          <w:sz w:val="24"/>
          <w:szCs w:val="24"/>
          <w:lang w:val="en-ZA"/>
        </w:rPr>
        <w:t xml:space="preserve">allegations about what was said at </w:t>
      </w:r>
      <w:r>
        <w:rPr>
          <w:rFonts w:ascii="Arial" w:hAnsi="Arial" w:cs="Arial"/>
          <w:sz w:val="24"/>
          <w:szCs w:val="24"/>
          <w:lang w:val="en-ZA"/>
        </w:rPr>
        <w:t xml:space="preserve">a </w:t>
      </w:r>
      <w:r w:rsidR="008A6575">
        <w:rPr>
          <w:rFonts w:ascii="Arial" w:hAnsi="Arial" w:cs="Arial"/>
          <w:sz w:val="24"/>
          <w:szCs w:val="24"/>
          <w:lang w:val="en-ZA"/>
        </w:rPr>
        <w:t>meeting</w:t>
      </w:r>
      <w:r w:rsidR="00D11182">
        <w:rPr>
          <w:rFonts w:ascii="Arial" w:hAnsi="Arial" w:cs="Arial"/>
          <w:sz w:val="24"/>
          <w:szCs w:val="24"/>
          <w:lang w:val="en-ZA"/>
        </w:rPr>
        <w:t xml:space="preserve"> </w:t>
      </w:r>
      <w:r>
        <w:rPr>
          <w:rFonts w:ascii="Arial" w:hAnsi="Arial" w:cs="Arial"/>
          <w:sz w:val="24"/>
          <w:szCs w:val="24"/>
          <w:lang w:val="en-ZA"/>
        </w:rPr>
        <w:t xml:space="preserve">with the alleged fraudster, </w:t>
      </w:r>
      <w:r w:rsidR="00D11182">
        <w:rPr>
          <w:rFonts w:ascii="Arial" w:hAnsi="Arial" w:cs="Arial"/>
          <w:sz w:val="24"/>
          <w:szCs w:val="24"/>
          <w:lang w:val="en-ZA"/>
        </w:rPr>
        <w:t xml:space="preserve">which he </w:t>
      </w:r>
      <w:r w:rsidR="00030477">
        <w:rPr>
          <w:rFonts w:ascii="Arial" w:hAnsi="Arial" w:cs="Arial"/>
          <w:sz w:val="24"/>
          <w:szCs w:val="24"/>
          <w:lang w:val="en-ZA"/>
        </w:rPr>
        <w:t xml:space="preserve">allegedly </w:t>
      </w:r>
      <w:r w:rsidR="00A542DA">
        <w:rPr>
          <w:rFonts w:ascii="Arial" w:hAnsi="Arial" w:cs="Arial"/>
          <w:sz w:val="24"/>
          <w:szCs w:val="24"/>
          <w:lang w:val="en-ZA"/>
        </w:rPr>
        <w:t>knew</w:t>
      </w:r>
      <w:r w:rsidR="00D11182">
        <w:rPr>
          <w:rFonts w:ascii="Arial" w:hAnsi="Arial" w:cs="Arial"/>
          <w:sz w:val="24"/>
          <w:szCs w:val="24"/>
          <w:lang w:val="en-ZA"/>
        </w:rPr>
        <w:t xml:space="preserve"> to be false</w:t>
      </w:r>
      <w:r>
        <w:rPr>
          <w:rFonts w:ascii="Arial" w:hAnsi="Arial" w:cs="Arial"/>
          <w:sz w:val="24"/>
          <w:szCs w:val="24"/>
          <w:lang w:val="en-ZA"/>
        </w:rPr>
        <w:t xml:space="preserve">; (b) the third respondent </w:t>
      </w:r>
      <w:r w:rsidR="00D11182">
        <w:rPr>
          <w:rFonts w:ascii="Arial" w:hAnsi="Arial" w:cs="Arial"/>
          <w:sz w:val="24"/>
          <w:szCs w:val="24"/>
          <w:lang w:val="en-ZA"/>
        </w:rPr>
        <w:t xml:space="preserve">then </w:t>
      </w:r>
      <w:r>
        <w:rPr>
          <w:rFonts w:ascii="Arial" w:hAnsi="Arial" w:cs="Arial"/>
          <w:sz w:val="24"/>
          <w:szCs w:val="24"/>
          <w:lang w:val="en-ZA"/>
        </w:rPr>
        <w:t>filed these affidavits</w:t>
      </w:r>
      <w:r w:rsidR="00D11182">
        <w:rPr>
          <w:rFonts w:ascii="Arial" w:hAnsi="Arial" w:cs="Arial"/>
          <w:sz w:val="24"/>
          <w:szCs w:val="24"/>
          <w:lang w:val="en-ZA"/>
        </w:rPr>
        <w:t xml:space="preserve"> in the sequestration application</w:t>
      </w:r>
      <w:r w:rsidR="00A542DA">
        <w:rPr>
          <w:rFonts w:ascii="Arial" w:hAnsi="Arial" w:cs="Arial"/>
          <w:sz w:val="24"/>
          <w:szCs w:val="24"/>
          <w:lang w:val="en-ZA"/>
        </w:rPr>
        <w:t xml:space="preserve"> </w:t>
      </w:r>
      <w:r>
        <w:rPr>
          <w:rFonts w:ascii="Arial" w:hAnsi="Arial" w:cs="Arial"/>
          <w:sz w:val="24"/>
          <w:szCs w:val="24"/>
          <w:lang w:val="en-ZA"/>
        </w:rPr>
        <w:t>to generate</w:t>
      </w:r>
      <w:r w:rsidR="00FD69CA">
        <w:rPr>
          <w:rFonts w:ascii="Arial" w:hAnsi="Arial" w:cs="Arial"/>
          <w:sz w:val="24"/>
          <w:szCs w:val="24"/>
          <w:lang w:val="en-ZA"/>
        </w:rPr>
        <w:t xml:space="preserve"> </w:t>
      </w:r>
      <w:r w:rsidR="00FD69CA">
        <w:rPr>
          <w:rFonts w:ascii="Arial" w:hAnsi="Arial" w:cs="Arial"/>
          <w:sz w:val="24"/>
          <w:szCs w:val="24"/>
          <w:lang w:val="en-ZA"/>
        </w:rPr>
        <w:lastRenderedPageBreak/>
        <w:t>fees</w:t>
      </w:r>
      <w:r>
        <w:rPr>
          <w:rFonts w:ascii="Arial" w:hAnsi="Arial" w:cs="Arial"/>
          <w:sz w:val="24"/>
          <w:szCs w:val="24"/>
          <w:lang w:val="en-ZA"/>
        </w:rPr>
        <w:t xml:space="preserve"> </w:t>
      </w:r>
      <w:r w:rsidR="00D11182">
        <w:rPr>
          <w:rFonts w:ascii="Arial" w:hAnsi="Arial" w:cs="Arial"/>
          <w:sz w:val="24"/>
          <w:szCs w:val="24"/>
          <w:lang w:val="en-ZA"/>
        </w:rPr>
        <w:t>and</w:t>
      </w:r>
      <w:r>
        <w:rPr>
          <w:rFonts w:ascii="Arial" w:hAnsi="Arial" w:cs="Arial"/>
          <w:sz w:val="24"/>
          <w:szCs w:val="24"/>
          <w:lang w:val="en-ZA"/>
        </w:rPr>
        <w:t xml:space="preserve">, (c) </w:t>
      </w:r>
      <w:r w:rsidR="00D11182">
        <w:rPr>
          <w:rFonts w:ascii="Arial" w:hAnsi="Arial" w:cs="Arial"/>
          <w:sz w:val="24"/>
          <w:szCs w:val="24"/>
          <w:lang w:val="en-ZA"/>
        </w:rPr>
        <w:t xml:space="preserve">that this </w:t>
      </w:r>
      <w:r>
        <w:rPr>
          <w:rFonts w:ascii="Arial" w:hAnsi="Arial" w:cs="Arial"/>
          <w:sz w:val="24"/>
          <w:szCs w:val="24"/>
          <w:lang w:val="en-ZA"/>
        </w:rPr>
        <w:t xml:space="preserve">incorrect </w:t>
      </w:r>
      <w:r w:rsidR="00D11182">
        <w:rPr>
          <w:rFonts w:ascii="Arial" w:hAnsi="Arial" w:cs="Arial"/>
          <w:sz w:val="24"/>
          <w:szCs w:val="24"/>
          <w:lang w:val="en-ZA"/>
        </w:rPr>
        <w:t xml:space="preserve">information related directly to the </w:t>
      </w:r>
      <w:r>
        <w:rPr>
          <w:rFonts w:ascii="Arial" w:hAnsi="Arial" w:cs="Arial"/>
          <w:sz w:val="24"/>
          <w:szCs w:val="24"/>
          <w:lang w:val="en-ZA"/>
        </w:rPr>
        <w:t>alleged claim</w:t>
      </w:r>
      <w:r w:rsidR="00D11182">
        <w:rPr>
          <w:rFonts w:ascii="Arial" w:hAnsi="Arial" w:cs="Arial"/>
          <w:sz w:val="24"/>
          <w:szCs w:val="24"/>
          <w:lang w:val="en-ZA"/>
        </w:rPr>
        <w:t xml:space="preserve"> of the petitioning creditor who was seeking the sequestration of the</w:t>
      </w:r>
      <w:r>
        <w:rPr>
          <w:rFonts w:ascii="Arial" w:hAnsi="Arial" w:cs="Arial"/>
          <w:sz w:val="24"/>
          <w:szCs w:val="24"/>
          <w:lang w:val="en-ZA"/>
        </w:rPr>
        <w:t xml:space="preserve"> subject t</w:t>
      </w:r>
      <w:r w:rsidR="00D11182">
        <w:rPr>
          <w:rFonts w:ascii="Arial" w:hAnsi="Arial" w:cs="Arial"/>
          <w:sz w:val="24"/>
          <w:szCs w:val="24"/>
          <w:lang w:val="en-ZA"/>
        </w:rPr>
        <w:t>rust.</w:t>
      </w:r>
      <w:r>
        <w:rPr>
          <w:rStyle w:val="FootnoteReference"/>
          <w:rFonts w:ascii="Arial" w:hAnsi="Arial" w:cs="Arial"/>
          <w:sz w:val="24"/>
          <w:szCs w:val="24"/>
          <w:lang w:val="en-ZA"/>
        </w:rPr>
        <w:footnoteReference w:id="28"/>
      </w:r>
    </w:p>
    <w:p w14:paraId="79D3CEFA" w14:textId="2FB8956A" w:rsidR="003540A2" w:rsidRPr="003540A2" w:rsidRDefault="00EA7D25" w:rsidP="003540A2">
      <w:pPr>
        <w:pStyle w:val="FootnoteText"/>
        <w:snapToGrid w:val="0"/>
        <w:spacing w:after="120" w:line="360" w:lineRule="auto"/>
        <w:jc w:val="both"/>
        <w:rPr>
          <w:rFonts w:ascii="Arial" w:hAnsi="Arial" w:cs="Arial"/>
          <w:sz w:val="24"/>
          <w:szCs w:val="24"/>
          <w:lang w:val="en-US"/>
        </w:rPr>
      </w:pPr>
      <w:r>
        <w:rPr>
          <w:rFonts w:ascii="Arial" w:hAnsi="Arial" w:cs="Arial"/>
          <w:sz w:val="24"/>
          <w:szCs w:val="24"/>
          <w:lang w:val="en-ZA"/>
        </w:rPr>
        <w:t>[</w:t>
      </w:r>
      <w:r w:rsidR="006C2703">
        <w:rPr>
          <w:rFonts w:ascii="Arial" w:hAnsi="Arial" w:cs="Arial"/>
          <w:sz w:val="24"/>
          <w:szCs w:val="24"/>
          <w:lang w:val="en-ZA"/>
        </w:rPr>
        <w:t>30</w:t>
      </w:r>
      <w:r>
        <w:rPr>
          <w:rFonts w:ascii="Arial" w:hAnsi="Arial" w:cs="Arial"/>
          <w:sz w:val="24"/>
          <w:szCs w:val="24"/>
          <w:lang w:val="en-ZA"/>
        </w:rPr>
        <w:t>]</w:t>
      </w:r>
      <w:r>
        <w:rPr>
          <w:rFonts w:ascii="Arial" w:hAnsi="Arial" w:cs="Arial"/>
          <w:sz w:val="24"/>
          <w:szCs w:val="24"/>
          <w:lang w:val="en-ZA"/>
        </w:rPr>
        <w:tab/>
      </w:r>
      <w:r w:rsidR="00E3555A" w:rsidRPr="003540A2">
        <w:rPr>
          <w:rFonts w:ascii="Arial" w:hAnsi="Arial" w:cs="Arial"/>
          <w:sz w:val="24"/>
          <w:szCs w:val="24"/>
          <w:lang w:val="en-ZA"/>
        </w:rPr>
        <w:t>In response to these allegations, t</w:t>
      </w:r>
      <w:r w:rsidRPr="003540A2">
        <w:rPr>
          <w:rFonts w:ascii="Arial" w:hAnsi="Arial" w:cs="Arial"/>
          <w:sz w:val="24"/>
          <w:szCs w:val="24"/>
          <w:lang w:val="en-ZA"/>
        </w:rPr>
        <w:t>he third respondent</w:t>
      </w:r>
      <w:r w:rsidR="00E3555A" w:rsidRPr="003540A2">
        <w:rPr>
          <w:rFonts w:ascii="Arial" w:hAnsi="Arial" w:cs="Arial"/>
          <w:sz w:val="24"/>
          <w:szCs w:val="24"/>
          <w:lang w:val="en-ZA"/>
        </w:rPr>
        <w:t xml:space="preserve"> and the provisional trustee of the joint sequestrated estate of the applicant’s sister and brother-in-law obtained a transcript of the meeting’s recording</w:t>
      </w:r>
      <w:r w:rsidR="00030477" w:rsidRPr="003540A2">
        <w:rPr>
          <w:rFonts w:ascii="Arial" w:hAnsi="Arial" w:cs="Arial"/>
          <w:sz w:val="24"/>
          <w:szCs w:val="24"/>
          <w:lang w:val="en-ZA"/>
        </w:rPr>
        <w:t xml:space="preserve"> (</w:t>
      </w:r>
      <w:r w:rsidR="00B72E6D" w:rsidRPr="003540A2">
        <w:rPr>
          <w:rFonts w:ascii="Arial" w:hAnsi="Arial" w:cs="Arial"/>
          <w:sz w:val="24"/>
          <w:szCs w:val="24"/>
          <w:lang w:val="en-ZA"/>
        </w:rPr>
        <w:t>i</w:t>
      </w:r>
      <w:r w:rsidR="00030477" w:rsidRPr="003540A2">
        <w:rPr>
          <w:rFonts w:ascii="Arial" w:hAnsi="Arial" w:cs="Arial"/>
          <w:sz w:val="24"/>
          <w:szCs w:val="24"/>
          <w:lang w:val="en-ZA"/>
        </w:rPr>
        <w:t>n the same affidavits complained of, they earlier disclosed that the meeting had been recorded).</w:t>
      </w:r>
      <w:r w:rsidR="00E3555A" w:rsidRPr="003540A2">
        <w:rPr>
          <w:rFonts w:ascii="Arial" w:hAnsi="Arial" w:cs="Arial"/>
          <w:sz w:val="24"/>
          <w:szCs w:val="24"/>
          <w:lang w:val="en-ZA"/>
        </w:rPr>
        <w:t xml:space="preserve">  They then </w:t>
      </w:r>
      <w:r w:rsidR="00A542DA" w:rsidRPr="003540A2">
        <w:rPr>
          <w:rFonts w:ascii="Arial" w:hAnsi="Arial" w:cs="Arial"/>
          <w:sz w:val="24"/>
          <w:szCs w:val="24"/>
          <w:lang w:val="en-ZA"/>
        </w:rPr>
        <w:t xml:space="preserve">admitted </w:t>
      </w:r>
      <w:r w:rsidR="00E3555A" w:rsidRPr="003540A2">
        <w:rPr>
          <w:rFonts w:ascii="Arial" w:hAnsi="Arial" w:cs="Arial"/>
          <w:sz w:val="24"/>
          <w:szCs w:val="24"/>
          <w:lang w:val="en-ZA"/>
        </w:rPr>
        <w:t xml:space="preserve">their </w:t>
      </w:r>
      <w:r w:rsidR="00A542DA" w:rsidRPr="003540A2">
        <w:rPr>
          <w:rFonts w:ascii="Arial" w:hAnsi="Arial" w:cs="Arial"/>
          <w:sz w:val="24"/>
          <w:szCs w:val="24"/>
          <w:lang w:val="en-ZA"/>
        </w:rPr>
        <w:t>error</w:t>
      </w:r>
      <w:r w:rsidR="00E3555A" w:rsidRPr="003540A2">
        <w:rPr>
          <w:rFonts w:ascii="Arial" w:hAnsi="Arial" w:cs="Arial"/>
          <w:sz w:val="24"/>
          <w:szCs w:val="24"/>
          <w:lang w:val="en-ZA"/>
        </w:rPr>
        <w:t>s</w:t>
      </w:r>
      <w:r w:rsidR="00A542DA" w:rsidRPr="003540A2">
        <w:rPr>
          <w:rFonts w:ascii="Arial" w:hAnsi="Arial" w:cs="Arial"/>
          <w:sz w:val="24"/>
          <w:szCs w:val="24"/>
          <w:lang w:val="en-ZA"/>
        </w:rPr>
        <w:t xml:space="preserve"> and </w:t>
      </w:r>
      <w:r w:rsidR="00E3555A" w:rsidRPr="003540A2">
        <w:rPr>
          <w:rFonts w:ascii="Arial" w:hAnsi="Arial" w:cs="Arial"/>
          <w:sz w:val="24"/>
          <w:szCs w:val="24"/>
          <w:lang w:val="en-ZA"/>
        </w:rPr>
        <w:t>deposed to supplementary affidavits to correct the</w:t>
      </w:r>
      <w:r w:rsidR="00FD69CA" w:rsidRPr="003540A2">
        <w:rPr>
          <w:rFonts w:ascii="Arial" w:hAnsi="Arial" w:cs="Arial"/>
          <w:sz w:val="24"/>
          <w:szCs w:val="24"/>
          <w:lang w:val="en-ZA"/>
        </w:rPr>
        <w:t xml:space="preserve"> errors they made</w:t>
      </w:r>
      <w:r w:rsidR="00E3555A" w:rsidRPr="003540A2">
        <w:rPr>
          <w:rFonts w:ascii="Arial" w:hAnsi="Arial" w:cs="Arial"/>
          <w:sz w:val="24"/>
          <w:szCs w:val="24"/>
          <w:lang w:val="en-ZA"/>
        </w:rPr>
        <w:t>.  By</w:t>
      </w:r>
      <w:r w:rsidR="00DF071E" w:rsidRPr="003540A2">
        <w:rPr>
          <w:rFonts w:ascii="Arial" w:hAnsi="Arial" w:cs="Arial"/>
          <w:sz w:val="24"/>
          <w:szCs w:val="24"/>
          <w:lang w:val="en-ZA"/>
        </w:rPr>
        <w:t xml:space="preserve"> agreement, </w:t>
      </w:r>
      <w:r w:rsidR="00E3555A" w:rsidRPr="003540A2">
        <w:rPr>
          <w:rFonts w:ascii="Arial" w:hAnsi="Arial" w:cs="Arial"/>
          <w:sz w:val="24"/>
          <w:szCs w:val="24"/>
          <w:lang w:val="en-ZA"/>
        </w:rPr>
        <w:t xml:space="preserve">these supplementary </w:t>
      </w:r>
      <w:r w:rsidR="00FD69CA" w:rsidRPr="003540A2">
        <w:rPr>
          <w:rFonts w:ascii="Arial" w:hAnsi="Arial" w:cs="Arial"/>
          <w:sz w:val="24"/>
          <w:szCs w:val="24"/>
          <w:lang w:val="en-ZA"/>
        </w:rPr>
        <w:t xml:space="preserve">affidavits </w:t>
      </w:r>
      <w:r w:rsidR="00DF071E" w:rsidRPr="003540A2">
        <w:rPr>
          <w:rFonts w:ascii="Arial" w:hAnsi="Arial" w:cs="Arial"/>
          <w:sz w:val="24"/>
          <w:szCs w:val="24"/>
          <w:lang w:val="en-ZA"/>
        </w:rPr>
        <w:t xml:space="preserve">were delivered </w:t>
      </w:r>
      <w:r w:rsidR="00E3555A" w:rsidRPr="003540A2">
        <w:rPr>
          <w:rFonts w:ascii="Arial" w:hAnsi="Arial" w:cs="Arial"/>
          <w:sz w:val="24"/>
          <w:szCs w:val="24"/>
          <w:lang w:val="en-ZA"/>
        </w:rPr>
        <w:t>and entered into the record before the final order of sequestration of the trust was granted.</w:t>
      </w:r>
      <w:r w:rsidR="003540A2" w:rsidRPr="003540A2">
        <w:rPr>
          <w:rFonts w:ascii="Arial" w:hAnsi="Arial" w:cs="Arial"/>
          <w:sz w:val="24"/>
          <w:szCs w:val="24"/>
          <w:lang w:val="en-ZA"/>
        </w:rPr>
        <w:t xml:space="preserve">  Mr Acting Justice Sievers found</w:t>
      </w:r>
      <w:r w:rsidR="003540A2">
        <w:rPr>
          <w:rFonts w:ascii="Arial" w:hAnsi="Arial" w:cs="Arial"/>
          <w:sz w:val="24"/>
          <w:szCs w:val="24"/>
          <w:lang w:val="en-ZA"/>
        </w:rPr>
        <w:t xml:space="preserve"> these issues were fully ventilated in the papers, and the explanations were accepted</w:t>
      </w:r>
      <w:r w:rsidR="003540A2" w:rsidRPr="003540A2">
        <w:rPr>
          <w:rFonts w:ascii="Arial" w:hAnsi="Arial" w:cs="Arial"/>
          <w:sz w:val="24"/>
          <w:szCs w:val="24"/>
          <w:lang w:val="en-ZA"/>
        </w:rPr>
        <w:t>.</w:t>
      </w:r>
    </w:p>
    <w:p w14:paraId="44C9FC53" w14:textId="2BCAAA1D" w:rsidR="007D2638" w:rsidRPr="00F453BB" w:rsidRDefault="007D2638" w:rsidP="003540A2">
      <w:pPr>
        <w:pStyle w:val="FootnoteText"/>
        <w:snapToGrid w:val="0"/>
        <w:spacing w:after="120" w:line="360" w:lineRule="auto"/>
        <w:jc w:val="both"/>
        <w:rPr>
          <w:rFonts w:ascii="Arial" w:hAnsi="Arial" w:cs="Arial"/>
          <w:iCs/>
          <w:sz w:val="24"/>
          <w:szCs w:val="24"/>
          <w:lang w:val="en-US"/>
        </w:rPr>
      </w:pPr>
      <w:r>
        <w:rPr>
          <w:rFonts w:ascii="Arial" w:hAnsi="Arial" w:cs="Arial"/>
          <w:iCs/>
          <w:sz w:val="24"/>
          <w:szCs w:val="24"/>
          <w:lang w:val="en-US"/>
        </w:rPr>
        <w:t>[</w:t>
      </w:r>
      <w:r w:rsidR="006C2703">
        <w:rPr>
          <w:rFonts w:ascii="Arial" w:hAnsi="Arial" w:cs="Arial"/>
          <w:iCs/>
          <w:sz w:val="24"/>
          <w:szCs w:val="24"/>
          <w:lang w:val="en-US"/>
        </w:rPr>
        <w:t>31</w:t>
      </w:r>
      <w:r>
        <w:rPr>
          <w:rFonts w:ascii="Arial" w:hAnsi="Arial" w:cs="Arial"/>
          <w:iCs/>
          <w:sz w:val="24"/>
          <w:szCs w:val="24"/>
          <w:lang w:val="en-US"/>
        </w:rPr>
        <w:t>]</w:t>
      </w:r>
      <w:r>
        <w:rPr>
          <w:rFonts w:ascii="Arial" w:hAnsi="Arial" w:cs="Arial"/>
          <w:iCs/>
          <w:sz w:val="24"/>
          <w:szCs w:val="24"/>
          <w:lang w:val="en-US"/>
        </w:rPr>
        <w:tab/>
        <w:t xml:space="preserve">The applicant complains that Sievers AJ only dealt with the acceptance of the explanation in passing; there is no indication that in dismissing the subsequent petition to the Supreme Court of Appeal and further petition for reconsideration that the abovementioned Court accepted the correctness of the finding by Sievers AJ; </w:t>
      </w:r>
      <w:r w:rsidR="000F51B9">
        <w:rPr>
          <w:rFonts w:ascii="Arial" w:hAnsi="Arial" w:cs="Arial"/>
          <w:iCs/>
          <w:sz w:val="24"/>
          <w:szCs w:val="24"/>
          <w:lang w:val="en-US"/>
        </w:rPr>
        <w:t xml:space="preserve">and that the Constitutional Court subsequently refused to entertain the further leave to appeal application on the basis that it did not warrant entertaining that Court’s jurisdiction. But given that the explanations went to the cause of action itself, logic dictates that these Courts of Appeal would have considered such explanations and, as we understand it, the petitions themselves also canvassed this ground of complaint. </w:t>
      </w:r>
      <w:r w:rsidR="006C2703">
        <w:rPr>
          <w:rFonts w:ascii="Arial" w:hAnsi="Arial" w:cs="Arial"/>
          <w:iCs/>
          <w:sz w:val="24"/>
          <w:szCs w:val="24"/>
          <w:lang w:val="en-US"/>
        </w:rPr>
        <w:t xml:space="preserve"> </w:t>
      </w:r>
      <w:r w:rsidR="000F51B9">
        <w:rPr>
          <w:rFonts w:ascii="Arial" w:hAnsi="Arial" w:cs="Arial"/>
          <w:iCs/>
          <w:sz w:val="24"/>
          <w:szCs w:val="24"/>
          <w:lang w:val="en-US"/>
        </w:rPr>
        <w:t>A further important factor is that if the third respondent had in</w:t>
      </w:r>
      <w:r w:rsidR="006C2703">
        <w:rPr>
          <w:rFonts w:ascii="Arial" w:hAnsi="Arial" w:cs="Arial"/>
          <w:iCs/>
          <w:sz w:val="24"/>
          <w:szCs w:val="24"/>
          <w:lang w:val="en-US"/>
        </w:rPr>
        <w:t>tended to mislead Sievers AJ deliberately, he would undoubtedly not have disclosed that the meeting had been recorded in the</w:t>
      </w:r>
      <w:r w:rsidR="000F51B9">
        <w:rPr>
          <w:rFonts w:ascii="Arial" w:hAnsi="Arial" w:cs="Arial"/>
          <w:iCs/>
          <w:sz w:val="24"/>
          <w:szCs w:val="24"/>
          <w:lang w:val="en-US"/>
        </w:rPr>
        <w:t xml:space="preserve"> first set of affidavits.</w:t>
      </w:r>
      <w:r w:rsidR="0069400C">
        <w:rPr>
          <w:rStyle w:val="FootnoteReference"/>
          <w:rFonts w:ascii="Arial" w:hAnsi="Arial" w:cs="Arial"/>
          <w:iCs/>
          <w:sz w:val="24"/>
          <w:szCs w:val="24"/>
          <w:lang w:val="en-US"/>
        </w:rPr>
        <w:footnoteReference w:id="29"/>
      </w:r>
    </w:p>
    <w:p w14:paraId="57B07BE7" w14:textId="48785D93" w:rsidR="00FD69CA" w:rsidRDefault="00D816A8" w:rsidP="008F7B89">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32</w:t>
      </w:r>
      <w:r>
        <w:rPr>
          <w:rFonts w:ascii="Arial" w:hAnsi="Arial" w:cs="Arial"/>
          <w:sz w:val="24"/>
          <w:szCs w:val="24"/>
          <w:lang w:val="en-ZA"/>
        </w:rPr>
        <w:t>]</w:t>
      </w:r>
      <w:r>
        <w:rPr>
          <w:rFonts w:ascii="Arial" w:hAnsi="Arial" w:cs="Arial"/>
          <w:sz w:val="24"/>
          <w:szCs w:val="24"/>
          <w:lang w:val="en-ZA"/>
        </w:rPr>
        <w:tab/>
      </w:r>
      <w:r w:rsidR="007D2638">
        <w:rPr>
          <w:rFonts w:ascii="Arial" w:hAnsi="Arial" w:cs="Arial"/>
          <w:sz w:val="24"/>
          <w:szCs w:val="24"/>
          <w:lang w:val="en-ZA"/>
        </w:rPr>
        <w:t>Also</w:t>
      </w:r>
      <w:r>
        <w:rPr>
          <w:rFonts w:ascii="Arial" w:hAnsi="Arial" w:cs="Arial"/>
          <w:sz w:val="24"/>
          <w:szCs w:val="24"/>
          <w:lang w:val="en-ZA"/>
        </w:rPr>
        <w:t xml:space="preserve"> significant was that the trust was sequestrated primarily because the joint estate of the fraudster </w:t>
      </w:r>
      <w:r w:rsidR="00DF071E">
        <w:rPr>
          <w:rFonts w:ascii="Arial" w:hAnsi="Arial" w:cs="Arial"/>
          <w:sz w:val="24"/>
          <w:szCs w:val="24"/>
          <w:lang w:val="en-ZA"/>
        </w:rPr>
        <w:t>ha</w:t>
      </w:r>
      <w:r w:rsidR="0062126D">
        <w:rPr>
          <w:rFonts w:ascii="Arial" w:hAnsi="Arial" w:cs="Arial"/>
          <w:sz w:val="24"/>
          <w:szCs w:val="24"/>
          <w:lang w:val="en-ZA"/>
        </w:rPr>
        <w:t>d</w:t>
      </w:r>
      <w:r w:rsidR="00DF071E">
        <w:rPr>
          <w:rFonts w:ascii="Arial" w:hAnsi="Arial" w:cs="Arial"/>
          <w:sz w:val="24"/>
          <w:szCs w:val="24"/>
          <w:lang w:val="en-ZA"/>
        </w:rPr>
        <w:t xml:space="preserve"> a </w:t>
      </w:r>
      <w:r w:rsidR="00BD15C6">
        <w:rPr>
          <w:rFonts w:ascii="Arial" w:hAnsi="Arial" w:cs="Arial"/>
          <w:sz w:val="24"/>
          <w:szCs w:val="24"/>
          <w:lang w:val="en-ZA"/>
        </w:rPr>
        <w:t xml:space="preserve">loan </w:t>
      </w:r>
      <w:r w:rsidR="00DF071E">
        <w:rPr>
          <w:rFonts w:ascii="Arial" w:hAnsi="Arial" w:cs="Arial"/>
          <w:sz w:val="24"/>
          <w:szCs w:val="24"/>
          <w:lang w:val="en-ZA"/>
        </w:rPr>
        <w:t>claim against the</w:t>
      </w:r>
      <w:r>
        <w:rPr>
          <w:rFonts w:ascii="Arial" w:hAnsi="Arial" w:cs="Arial"/>
          <w:sz w:val="24"/>
          <w:szCs w:val="24"/>
          <w:lang w:val="en-ZA"/>
        </w:rPr>
        <w:t xml:space="preserve"> trust</w:t>
      </w:r>
      <w:r w:rsidR="00DF071E">
        <w:rPr>
          <w:rFonts w:ascii="Arial" w:hAnsi="Arial" w:cs="Arial"/>
          <w:sz w:val="24"/>
          <w:szCs w:val="24"/>
          <w:lang w:val="en-ZA"/>
        </w:rPr>
        <w:t xml:space="preserve"> </w:t>
      </w:r>
      <w:r w:rsidR="00232A67">
        <w:rPr>
          <w:rFonts w:ascii="Arial" w:hAnsi="Arial" w:cs="Arial"/>
          <w:sz w:val="24"/>
          <w:szCs w:val="24"/>
          <w:lang w:val="en-ZA"/>
        </w:rPr>
        <w:t xml:space="preserve">on the </w:t>
      </w:r>
      <w:r w:rsidR="00BD15C6">
        <w:rPr>
          <w:rFonts w:ascii="Arial" w:hAnsi="Arial" w:cs="Arial"/>
          <w:sz w:val="24"/>
          <w:szCs w:val="24"/>
          <w:lang w:val="en-ZA"/>
        </w:rPr>
        <w:t xml:space="preserve">basis described </w:t>
      </w:r>
      <w:r w:rsidR="00232A67">
        <w:rPr>
          <w:rFonts w:ascii="Arial" w:hAnsi="Arial" w:cs="Arial"/>
          <w:sz w:val="24"/>
          <w:szCs w:val="24"/>
          <w:lang w:val="en-ZA"/>
        </w:rPr>
        <w:t xml:space="preserve">by </w:t>
      </w:r>
      <w:r>
        <w:rPr>
          <w:rFonts w:ascii="Arial" w:hAnsi="Arial" w:cs="Arial"/>
          <w:sz w:val="24"/>
          <w:szCs w:val="24"/>
          <w:lang w:val="en-ZA"/>
        </w:rPr>
        <w:t xml:space="preserve">the </w:t>
      </w:r>
      <w:r w:rsidR="00E245DA">
        <w:rPr>
          <w:rFonts w:ascii="Arial" w:hAnsi="Arial" w:cs="Arial"/>
          <w:sz w:val="24"/>
          <w:szCs w:val="24"/>
          <w:lang w:val="en-ZA"/>
        </w:rPr>
        <w:t xml:space="preserve">alleged </w:t>
      </w:r>
      <w:r>
        <w:rPr>
          <w:rFonts w:ascii="Arial" w:hAnsi="Arial" w:cs="Arial"/>
          <w:sz w:val="24"/>
          <w:szCs w:val="24"/>
          <w:lang w:val="en-ZA"/>
        </w:rPr>
        <w:t>fraudster</w:t>
      </w:r>
      <w:r w:rsidR="00232A67">
        <w:rPr>
          <w:rFonts w:ascii="Arial" w:hAnsi="Arial" w:cs="Arial"/>
          <w:sz w:val="24"/>
          <w:szCs w:val="24"/>
          <w:lang w:val="en-ZA"/>
        </w:rPr>
        <w:t xml:space="preserve"> himself </w:t>
      </w:r>
      <w:r w:rsidR="00BD15C6">
        <w:rPr>
          <w:rFonts w:ascii="Arial" w:hAnsi="Arial" w:cs="Arial"/>
          <w:sz w:val="24"/>
          <w:szCs w:val="24"/>
          <w:lang w:val="en-ZA"/>
        </w:rPr>
        <w:t xml:space="preserve">to those present </w:t>
      </w:r>
      <w:r w:rsidR="00232A67">
        <w:rPr>
          <w:rFonts w:ascii="Arial" w:hAnsi="Arial" w:cs="Arial"/>
          <w:sz w:val="24"/>
          <w:szCs w:val="24"/>
          <w:lang w:val="en-ZA"/>
        </w:rPr>
        <w:t xml:space="preserve">at </w:t>
      </w:r>
      <w:r w:rsidR="00FD69CA">
        <w:rPr>
          <w:rFonts w:ascii="Arial" w:hAnsi="Arial" w:cs="Arial"/>
          <w:sz w:val="24"/>
          <w:szCs w:val="24"/>
          <w:lang w:val="en-ZA"/>
        </w:rPr>
        <w:t>an</w:t>
      </w:r>
      <w:r w:rsidR="00232A67">
        <w:rPr>
          <w:rFonts w:ascii="Arial" w:hAnsi="Arial" w:cs="Arial"/>
          <w:sz w:val="24"/>
          <w:szCs w:val="24"/>
          <w:lang w:val="en-ZA"/>
        </w:rPr>
        <w:t xml:space="preserve"> earlier meeting</w:t>
      </w:r>
      <w:r>
        <w:rPr>
          <w:rFonts w:ascii="Arial" w:hAnsi="Arial" w:cs="Arial"/>
          <w:sz w:val="24"/>
          <w:szCs w:val="24"/>
          <w:lang w:val="en-ZA"/>
        </w:rPr>
        <w:t xml:space="preserve">.  </w:t>
      </w:r>
      <w:r w:rsidR="00E245DA">
        <w:rPr>
          <w:rFonts w:ascii="Arial" w:hAnsi="Arial" w:cs="Arial"/>
          <w:sz w:val="24"/>
          <w:szCs w:val="24"/>
          <w:lang w:val="en-ZA"/>
        </w:rPr>
        <w:t>It was alleged (and there was some documentary material supporting these allegations, inclu</w:t>
      </w:r>
      <w:r w:rsidR="008D7720">
        <w:rPr>
          <w:rFonts w:ascii="Arial" w:hAnsi="Arial" w:cs="Arial"/>
          <w:sz w:val="24"/>
          <w:szCs w:val="24"/>
          <w:lang w:val="en-ZA"/>
        </w:rPr>
        <w:t>ding</w:t>
      </w:r>
      <w:r w:rsidR="00E245DA">
        <w:rPr>
          <w:rFonts w:ascii="Arial" w:hAnsi="Arial" w:cs="Arial"/>
          <w:sz w:val="24"/>
          <w:szCs w:val="24"/>
          <w:lang w:val="en-ZA"/>
        </w:rPr>
        <w:t xml:space="preserve"> financial statements) that monies were loaned to the t</w:t>
      </w:r>
      <w:r w:rsidR="00232A67">
        <w:rPr>
          <w:rFonts w:ascii="Arial" w:hAnsi="Arial" w:cs="Arial"/>
          <w:sz w:val="24"/>
          <w:szCs w:val="24"/>
          <w:lang w:val="en-ZA"/>
        </w:rPr>
        <w:t xml:space="preserve">rust </w:t>
      </w:r>
      <w:r w:rsidR="00E245DA">
        <w:rPr>
          <w:rFonts w:ascii="Arial" w:hAnsi="Arial" w:cs="Arial"/>
          <w:sz w:val="24"/>
          <w:szCs w:val="24"/>
          <w:lang w:val="en-ZA"/>
        </w:rPr>
        <w:t xml:space="preserve">by the alleged fraudster himself.  The </w:t>
      </w:r>
      <w:r w:rsidR="00E245DA">
        <w:rPr>
          <w:rFonts w:ascii="Arial" w:hAnsi="Arial" w:cs="Arial"/>
          <w:sz w:val="24"/>
          <w:szCs w:val="24"/>
          <w:lang w:val="en-ZA"/>
        </w:rPr>
        <w:lastRenderedPageBreak/>
        <w:t>monies so loaned were then</w:t>
      </w:r>
      <w:r w:rsidR="001F76E7">
        <w:rPr>
          <w:rFonts w:ascii="Arial" w:hAnsi="Arial" w:cs="Arial"/>
          <w:sz w:val="24"/>
          <w:szCs w:val="24"/>
          <w:lang w:val="en-ZA"/>
        </w:rPr>
        <w:t xml:space="preserve"> </w:t>
      </w:r>
      <w:r w:rsidR="00E245DA">
        <w:rPr>
          <w:rFonts w:ascii="Arial" w:hAnsi="Arial" w:cs="Arial"/>
          <w:sz w:val="24"/>
          <w:szCs w:val="24"/>
          <w:lang w:val="en-ZA"/>
        </w:rPr>
        <w:t xml:space="preserve">loaned to another discrete entity.  This </w:t>
      </w:r>
      <w:r w:rsidR="00FD69CA">
        <w:rPr>
          <w:rFonts w:ascii="Arial" w:hAnsi="Arial" w:cs="Arial"/>
          <w:sz w:val="24"/>
          <w:szCs w:val="24"/>
          <w:lang w:val="en-ZA"/>
        </w:rPr>
        <w:t xml:space="preserve">information </w:t>
      </w:r>
      <w:r w:rsidR="00E245DA">
        <w:rPr>
          <w:rFonts w:ascii="Arial" w:hAnsi="Arial" w:cs="Arial"/>
          <w:sz w:val="24"/>
          <w:szCs w:val="24"/>
          <w:lang w:val="en-ZA"/>
        </w:rPr>
        <w:t xml:space="preserve">was </w:t>
      </w:r>
      <w:r w:rsidR="00FD69CA">
        <w:rPr>
          <w:rFonts w:ascii="Arial" w:hAnsi="Arial" w:cs="Arial"/>
          <w:sz w:val="24"/>
          <w:szCs w:val="24"/>
          <w:lang w:val="en-ZA"/>
        </w:rPr>
        <w:t>made known</w:t>
      </w:r>
      <w:r w:rsidR="00E245DA">
        <w:rPr>
          <w:rFonts w:ascii="Arial" w:hAnsi="Arial" w:cs="Arial"/>
          <w:sz w:val="24"/>
          <w:szCs w:val="24"/>
          <w:lang w:val="en-ZA"/>
        </w:rPr>
        <w:t xml:space="preserve"> at a prior meeting with the alleged fraudster.</w:t>
      </w:r>
      <w:r w:rsidR="00E245DA">
        <w:rPr>
          <w:rStyle w:val="FootnoteReference"/>
          <w:rFonts w:ascii="Arial" w:hAnsi="Arial" w:cs="Arial"/>
          <w:sz w:val="24"/>
          <w:szCs w:val="24"/>
          <w:lang w:val="en-ZA"/>
        </w:rPr>
        <w:footnoteReference w:id="30"/>
      </w:r>
      <w:r w:rsidR="00E245DA">
        <w:rPr>
          <w:rFonts w:ascii="Arial" w:hAnsi="Arial" w:cs="Arial"/>
          <w:sz w:val="24"/>
          <w:szCs w:val="24"/>
          <w:lang w:val="en-ZA"/>
        </w:rPr>
        <w:t xml:space="preserve"> </w:t>
      </w:r>
    </w:p>
    <w:p w14:paraId="288E4268" w14:textId="5E30F5AF" w:rsidR="002D0CA8" w:rsidRDefault="00E245DA" w:rsidP="002D0CA8">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sidR="008F7B89">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It is not so much </w:t>
      </w:r>
      <w:r w:rsidR="00513889">
        <w:rPr>
          <w:rFonts w:ascii="Arial" w:hAnsi="Arial" w:cs="Arial"/>
          <w:sz w:val="24"/>
          <w:szCs w:val="24"/>
          <w:lang w:val="en-ZA"/>
        </w:rPr>
        <w:t>the incorrect information that is the issue</w:t>
      </w:r>
      <w:r w:rsidR="002D0CA8">
        <w:rPr>
          <w:rFonts w:ascii="Arial" w:hAnsi="Arial" w:cs="Arial"/>
          <w:sz w:val="24"/>
          <w:szCs w:val="24"/>
          <w:lang w:val="en-ZA"/>
        </w:rPr>
        <w:t xml:space="preserve">.  </w:t>
      </w:r>
      <w:r w:rsidR="000F51B9">
        <w:rPr>
          <w:rFonts w:ascii="Arial" w:hAnsi="Arial" w:cs="Arial"/>
          <w:sz w:val="24"/>
          <w:szCs w:val="24"/>
          <w:lang w:val="en-ZA"/>
        </w:rPr>
        <w:t>As stated above, t</w:t>
      </w:r>
      <w:r w:rsidR="002D0CA8">
        <w:rPr>
          <w:rFonts w:ascii="Arial" w:hAnsi="Arial" w:cs="Arial"/>
          <w:sz w:val="24"/>
          <w:szCs w:val="24"/>
          <w:lang w:val="en-ZA"/>
        </w:rPr>
        <w:t xml:space="preserve">he </w:t>
      </w:r>
      <w:r>
        <w:rPr>
          <w:rFonts w:ascii="Arial" w:hAnsi="Arial" w:cs="Arial"/>
          <w:sz w:val="24"/>
          <w:szCs w:val="24"/>
          <w:lang w:val="en-ZA"/>
        </w:rPr>
        <w:t xml:space="preserve">primary </w:t>
      </w:r>
      <w:r w:rsidR="007E60E0">
        <w:rPr>
          <w:rFonts w:ascii="Arial" w:hAnsi="Arial" w:cs="Arial"/>
          <w:sz w:val="24"/>
          <w:szCs w:val="24"/>
          <w:lang w:val="en-ZA"/>
        </w:rPr>
        <w:t xml:space="preserve">complaint </w:t>
      </w:r>
      <w:r w:rsidR="00513889">
        <w:rPr>
          <w:rFonts w:ascii="Arial" w:hAnsi="Arial" w:cs="Arial"/>
          <w:sz w:val="24"/>
          <w:szCs w:val="24"/>
          <w:lang w:val="en-ZA"/>
        </w:rPr>
        <w:t>is that the t</w:t>
      </w:r>
      <w:r w:rsidR="00232A67">
        <w:rPr>
          <w:rFonts w:ascii="Arial" w:hAnsi="Arial" w:cs="Arial"/>
          <w:sz w:val="24"/>
          <w:szCs w:val="24"/>
          <w:lang w:val="en-ZA"/>
        </w:rPr>
        <w:t xml:space="preserve">hird </w:t>
      </w:r>
      <w:r w:rsidR="00513889">
        <w:rPr>
          <w:rFonts w:ascii="Arial" w:hAnsi="Arial" w:cs="Arial"/>
          <w:sz w:val="24"/>
          <w:szCs w:val="24"/>
          <w:lang w:val="en-ZA"/>
        </w:rPr>
        <w:t>r</w:t>
      </w:r>
      <w:r w:rsidR="00232A67">
        <w:rPr>
          <w:rFonts w:ascii="Arial" w:hAnsi="Arial" w:cs="Arial"/>
          <w:sz w:val="24"/>
          <w:szCs w:val="24"/>
          <w:lang w:val="en-ZA"/>
        </w:rPr>
        <w:t xml:space="preserve">espondent </w:t>
      </w:r>
      <w:r w:rsidR="00C4770E">
        <w:rPr>
          <w:rFonts w:ascii="Arial" w:hAnsi="Arial" w:cs="Arial"/>
          <w:sz w:val="24"/>
          <w:szCs w:val="24"/>
          <w:lang w:val="en-ZA"/>
        </w:rPr>
        <w:t xml:space="preserve">allegedly </w:t>
      </w:r>
      <w:r w:rsidR="00232A67">
        <w:rPr>
          <w:rFonts w:ascii="Arial" w:hAnsi="Arial" w:cs="Arial"/>
          <w:sz w:val="24"/>
          <w:szCs w:val="24"/>
          <w:lang w:val="en-ZA"/>
        </w:rPr>
        <w:t xml:space="preserve">knowingly </w:t>
      </w:r>
      <w:r w:rsidR="00EA479E">
        <w:rPr>
          <w:rFonts w:ascii="Arial" w:hAnsi="Arial" w:cs="Arial"/>
          <w:sz w:val="24"/>
          <w:szCs w:val="24"/>
          <w:lang w:val="en-ZA"/>
        </w:rPr>
        <w:t>obtained</w:t>
      </w:r>
      <w:r w:rsidR="00232A67">
        <w:rPr>
          <w:rFonts w:ascii="Arial" w:hAnsi="Arial" w:cs="Arial"/>
          <w:sz w:val="24"/>
          <w:szCs w:val="24"/>
          <w:lang w:val="en-ZA"/>
        </w:rPr>
        <w:t xml:space="preserve"> false information </w:t>
      </w:r>
      <w:r w:rsidR="00513889">
        <w:rPr>
          <w:rFonts w:ascii="Arial" w:hAnsi="Arial" w:cs="Arial"/>
          <w:sz w:val="24"/>
          <w:szCs w:val="24"/>
          <w:lang w:val="en-ZA"/>
        </w:rPr>
        <w:t>and utilized this information unfavourably to sequestrate the subject trust</w:t>
      </w:r>
      <w:r w:rsidR="002D0CA8">
        <w:rPr>
          <w:rFonts w:ascii="Arial" w:hAnsi="Arial" w:cs="Arial"/>
          <w:sz w:val="24"/>
          <w:szCs w:val="24"/>
          <w:lang w:val="en-ZA"/>
        </w:rPr>
        <w:t>.</w:t>
      </w:r>
      <w:r w:rsidR="003540A2">
        <w:rPr>
          <w:rFonts w:ascii="Arial" w:hAnsi="Arial" w:cs="Arial"/>
          <w:sz w:val="24"/>
          <w:szCs w:val="24"/>
          <w:lang w:val="en-ZA"/>
        </w:rPr>
        <w:t xml:space="preserve"> Sievers, AJ found in the judgment dealing with the final sequestration of the trust, as indicated above,</w:t>
      </w:r>
      <w:r w:rsidR="002D0CA8">
        <w:rPr>
          <w:rFonts w:ascii="Arial" w:hAnsi="Arial" w:cs="Arial"/>
          <w:sz w:val="24"/>
          <w:szCs w:val="24"/>
          <w:lang w:val="en-ZA"/>
        </w:rPr>
        <w:t xml:space="preserve"> that t</w:t>
      </w:r>
      <w:r w:rsidR="008E6954">
        <w:rPr>
          <w:rFonts w:ascii="Arial" w:hAnsi="Arial" w:cs="Arial"/>
          <w:sz w:val="24"/>
          <w:szCs w:val="24"/>
          <w:lang w:val="en-ZA"/>
        </w:rPr>
        <w:t xml:space="preserve">he error </w:t>
      </w:r>
      <w:r w:rsidR="002D0CA8">
        <w:rPr>
          <w:rFonts w:ascii="Arial" w:hAnsi="Arial" w:cs="Arial"/>
          <w:sz w:val="24"/>
          <w:szCs w:val="24"/>
          <w:lang w:val="en-ZA"/>
        </w:rPr>
        <w:t>was</w:t>
      </w:r>
      <w:r w:rsidR="008E6954">
        <w:rPr>
          <w:rFonts w:ascii="Arial" w:hAnsi="Arial" w:cs="Arial"/>
          <w:sz w:val="24"/>
          <w:szCs w:val="24"/>
          <w:lang w:val="en-ZA"/>
        </w:rPr>
        <w:t xml:space="preserve"> </w:t>
      </w:r>
      <w:r w:rsidR="008E6954">
        <w:rPr>
          <w:rFonts w:ascii="Arial" w:hAnsi="Arial" w:cs="Arial"/>
          <w:i/>
          <w:iCs/>
          <w:sz w:val="24"/>
          <w:szCs w:val="24"/>
          <w:lang w:val="en-ZA"/>
        </w:rPr>
        <w:t xml:space="preserve">bona fide </w:t>
      </w:r>
      <w:r w:rsidR="007E60E0">
        <w:rPr>
          <w:rFonts w:ascii="Arial" w:hAnsi="Arial" w:cs="Arial"/>
          <w:iCs/>
          <w:sz w:val="24"/>
          <w:szCs w:val="24"/>
          <w:lang w:val="en-ZA"/>
        </w:rPr>
        <w:t>(</w:t>
      </w:r>
      <w:r w:rsidR="002D0CA8" w:rsidRPr="002D0CA8">
        <w:rPr>
          <w:rFonts w:ascii="Arial" w:hAnsi="Arial" w:cs="Arial"/>
          <w:sz w:val="24"/>
          <w:szCs w:val="24"/>
          <w:lang w:val="en-ZA"/>
        </w:rPr>
        <w:t xml:space="preserve">as </w:t>
      </w:r>
      <w:r w:rsidR="002D0CA8">
        <w:rPr>
          <w:rFonts w:ascii="Arial" w:hAnsi="Arial" w:cs="Arial"/>
          <w:sz w:val="24"/>
          <w:szCs w:val="24"/>
          <w:lang w:val="en-ZA"/>
        </w:rPr>
        <w:t xml:space="preserve">opposed to the </w:t>
      </w:r>
      <w:r w:rsidR="001C4448">
        <w:rPr>
          <w:rFonts w:ascii="Arial" w:hAnsi="Arial" w:cs="Arial"/>
          <w:sz w:val="24"/>
          <w:szCs w:val="24"/>
          <w:lang w:val="en-ZA"/>
        </w:rPr>
        <w:t xml:space="preserve">deliberate </w:t>
      </w:r>
      <w:r w:rsidR="008E6954">
        <w:rPr>
          <w:rFonts w:ascii="Arial" w:hAnsi="Arial" w:cs="Arial"/>
          <w:sz w:val="24"/>
          <w:szCs w:val="24"/>
          <w:lang w:val="en-ZA"/>
        </w:rPr>
        <w:t>fabricat</w:t>
      </w:r>
      <w:r w:rsidR="002D0CA8">
        <w:rPr>
          <w:rFonts w:ascii="Arial" w:hAnsi="Arial" w:cs="Arial"/>
          <w:sz w:val="24"/>
          <w:szCs w:val="24"/>
          <w:lang w:val="en-ZA"/>
        </w:rPr>
        <w:t xml:space="preserve">ion of a </w:t>
      </w:r>
      <w:r w:rsidR="008E6954">
        <w:rPr>
          <w:rFonts w:ascii="Arial" w:hAnsi="Arial" w:cs="Arial"/>
          <w:sz w:val="24"/>
          <w:szCs w:val="24"/>
          <w:lang w:val="en-ZA"/>
        </w:rPr>
        <w:t xml:space="preserve">false claim </w:t>
      </w:r>
      <w:r w:rsidR="008D7720">
        <w:rPr>
          <w:rFonts w:ascii="Arial" w:hAnsi="Arial" w:cs="Arial"/>
          <w:sz w:val="24"/>
          <w:szCs w:val="24"/>
          <w:lang w:val="en-ZA"/>
        </w:rPr>
        <w:t>by the third respondent to sequestrate the trus</w:t>
      </w:r>
      <w:r w:rsidR="001F76E7">
        <w:rPr>
          <w:rFonts w:ascii="Arial" w:hAnsi="Arial" w:cs="Arial"/>
          <w:sz w:val="24"/>
          <w:szCs w:val="24"/>
          <w:lang w:val="en-ZA"/>
        </w:rPr>
        <w:t xml:space="preserve">t </w:t>
      </w:r>
      <w:r w:rsidR="002D0CA8">
        <w:rPr>
          <w:rFonts w:ascii="Arial" w:hAnsi="Arial" w:cs="Arial"/>
          <w:sz w:val="24"/>
          <w:szCs w:val="24"/>
          <w:lang w:val="en-ZA"/>
        </w:rPr>
        <w:t>to generate fees</w:t>
      </w:r>
      <w:r w:rsidR="007E60E0">
        <w:rPr>
          <w:rFonts w:ascii="Arial" w:hAnsi="Arial" w:cs="Arial"/>
          <w:sz w:val="24"/>
          <w:szCs w:val="24"/>
          <w:lang w:val="en-ZA"/>
        </w:rPr>
        <w:t>)</w:t>
      </w:r>
      <w:r w:rsidR="002D0CA8">
        <w:rPr>
          <w:rFonts w:ascii="Arial" w:hAnsi="Arial" w:cs="Arial"/>
          <w:sz w:val="24"/>
          <w:szCs w:val="24"/>
          <w:lang w:val="en-ZA"/>
        </w:rPr>
        <w:t>.</w:t>
      </w:r>
      <w:r w:rsidR="002D0CA8">
        <w:rPr>
          <w:rStyle w:val="FootnoteReference"/>
          <w:rFonts w:ascii="Arial" w:hAnsi="Arial" w:cs="Arial"/>
          <w:sz w:val="24"/>
          <w:szCs w:val="24"/>
          <w:lang w:val="en-ZA"/>
        </w:rPr>
        <w:footnoteReference w:id="31"/>
      </w:r>
    </w:p>
    <w:p w14:paraId="7496626D" w14:textId="4FFE5642" w:rsidR="00993B62" w:rsidRDefault="002D0CA8" w:rsidP="00993B62">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sidR="008F7B89">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Pr="002D0CA8">
        <w:rPr>
          <w:rFonts w:ascii="Arial" w:hAnsi="Arial" w:cs="Arial"/>
          <w:sz w:val="24"/>
          <w:szCs w:val="24"/>
          <w:lang w:val="en-ZA"/>
        </w:rPr>
        <w:t xml:space="preserve">What is more critical for us in dealing with this issue are the references made </w:t>
      </w:r>
      <w:r>
        <w:rPr>
          <w:rFonts w:ascii="Arial" w:hAnsi="Arial" w:cs="Arial"/>
          <w:sz w:val="24"/>
          <w:szCs w:val="24"/>
          <w:lang w:val="en-ZA"/>
        </w:rPr>
        <w:t xml:space="preserve">in </w:t>
      </w:r>
      <w:r w:rsidR="007E60E0">
        <w:rPr>
          <w:rFonts w:ascii="Arial" w:hAnsi="Arial" w:cs="Arial"/>
          <w:sz w:val="24"/>
          <w:szCs w:val="24"/>
          <w:lang w:val="en-ZA"/>
        </w:rPr>
        <w:t xml:space="preserve">the sequence of </w:t>
      </w:r>
      <w:r w:rsidRPr="002D0CA8">
        <w:rPr>
          <w:rFonts w:ascii="Arial" w:hAnsi="Arial" w:cs="Arial"/>
          <w:sz w:val="24"/>
          <w:szCs w:val="24"/>
          <w:lang w:val="en-ZA"/>
        </w:rPr>
        <w:t xml:space="preserve">annual financial statements signed by the alleged fraudster and his co-director </w:t>
      </w:r>
      <w:r w:rsidR="00595DE7" w:rsidRPr="002D0CA8">
        <w:rPr>
          <w:rFonts w:ascii="Arial" w:hAnsi="Arial" w:cs="Arial"/>
          <w:sz w:val="24"/>
          <w:szCs w:val="24"/>
          <w:lang w:val="en-ZA"/>
        </w:rPr>
        <w:t>reflect</w:t>
      </w:r>
      <w:r>
        <w:rPr>
          <w:rFonts w:ascii="Arial" w:hAnsi="Arial" w:cs="Arial"/>
          <w:sz w:val="24"/>
          <w:szCs w:val="24"/>
          <w:lang w:val="en-ZA"/>
        </w:rPr>
        <w:t>ing</w:t>
      </w:r>
      <w:r w:rsidR="00595DE7" w:rsidRPr="002D0CA8">
        <w:rPr>
          <w:rFonts w:ascii="Arial" w:hAnsi="Arial" w:cs="Arial"/>
          <w:sz w:val="24"/>
          <w:szCs w:val="24"/>
          <w:lang w:val="en-ZA"/>
        </w:rPr>
        <w:t xml:space="preserve"> </w:t>
      </w:r>
      <w:r>
        <w:rPr>
          <w:rFonts w:ascii="Arial" w:hAnsi="Arial" w:cs="Arial"/>
          <w:sz w:val="24"/>
          <w:szCs w:val="24"/>
          <w:lang w:val="en-ZA"/>
        </w:rPr>
        <w:t xml:space="preserve">the existence of </w:t>
      </w:r>
      <w:r w:rsidR="001F76E7">
        <w:rPr>
          <w:rFonts w:ascii="Arial" w:hAnsi="Arial" w:cs="Arial"/>
          <w:sz w:val="24"/>
          <w:szCs w:val="24"/>
          <w:lang w:val="en-ZA"/>
        </w:rPr>
        <w:t xml:space="preserve">certain </w:t>
      </w:r>
      <w:r w:rsidR="00595DE7" w:rsidRPr="002D0CA8">
        <w:rPr>
          <w:rFonts w:ascii="Arial" w:hAnsi="Arial" w:cs="Arial"/>
          <w:sz w:val="24"/>
          <w:szCs w:val="24"/>
          <w:lang w:val="en-ZA"/>
        </w:rPr>
        <w:t>loan</w:t>
      </w:r>
      <w:r>
        <w:rPr>
          <w:rFonts w:ascii="Arial" w:hAnsi="Arial" w:cs="Arial"/>
          <w:sz w:val="24"/>
          <w:szCs w:val="24"/>
          <w:lang w:val="en-ZA"/>
        </w:rPr>
        <w:t>s</w:t>
      </w:r>
      <w:r w:rsidR="00595DE7" w:rsidRPr="002D0CA8">
        <w:rPr>
          <w:rFonts w:ascii="Arial" w:hAnsi="Arial" w:cs="Arial"/>
          <w:sz w:val="24"/>
          <w:szCs w:val="24"/>
          <w:lang w:val="en-ZA"/>
        </w:rPr>
        <w:t xml:space="preserve"> from the</w:t>
      </w:r>
      <w:r w:rsidRPr="002D0CA8">
        <w:rPr>
          <w:rFonts w:ascii="Arial" w:hAnsi="Arial" w:cs="Arial"/>
          <w:sz w:val="24"/>
          <w:szCs w:val="24"/>
          <w:lang w:val="en-ZA"/>
        </w:rPr>
        <w:t xml:space="preserve"> trust</w:t>
      </w:r>
      <w:r w:rsidR="00595DE7" w:rsidRPr="002D0CA8">
        <w:rPr>
          <w:rFonts w:ascii="Arial" w:hAnsi="Arial" w:cs="Arial"/>
          <w:sz w:val="24"/>
          <w:szCs w:val="24"/>
          <w:lang w:val="en-ZA"/>
        </w:rPr>
        <w:t xml:space="preserve"> </w:t>
      </w:r>
      <w:r>
        <w:rPr>
          <w:rFonts w:ascii="Arial" w:hAnsi="Arial" w:cs="Arial"/>
          <w:sz w:val="24"/>
          <w:szCs w:val="24"/>
          <w:lang w:val="en-ZA"/>
        </w:rPr>
        <w:t>of</w:t>
      </w:r>
      <w:r w:rsidR="00993B62">
        <w:rPr>
          <w:rFonts w:ascii="Arial" w:hAnsi="Arial" w:cs="Arial"/>
          <w:sz w:val="24"/>
          <w:szCs w:val="24"/>
          <w:lang w:val="en-ZA"/>
        </w:rPr>
        <w:t xml:space="preserve"> substantial</w:t>
      </w:r>
      <w:r>
        <w:rPr>
          <w:rFonts w:ascii="Arial" w:hAnsi="Arial" w:cs="Arial"/>
          <w:sz w:val="24"/>
          <w:szCs w:val="24"/>
          <w:lang w:val="en-ZA"/>
        </w:rPr>
        <w:t xml:space="preserve"> amounts that remained unpaid.  The significan</w:t>
      </w:r>
      <w:r w:rsidR="00993B62">
        <w:rPr>
          <w:rFonts w:ascii="Arial" w:hAnsi="Arial" w:cs="Arial"/>
          <w:sz w:val="24"/>
          <w:szCs w:val="24"/>
          <w:lang w:val="en-ZA"/>
        </w:rPr>
        <w:t xml:space="preserve">ce of this was that the trust </w:t>
      </w:r>
      <w:r w:rsidR="00B55F19" w:rsidRPr="00993B62">
        <w:rPr>
          <w:rFonts w:ascii="Arial" w:hAnsi="Arial" w:cs="Arial"/>
          <w:sz w:val="24"/>
          <w:szCs w:val="24"/>
          <w:lang w:val="en-ZA"/>
        </w:rPr>
        <w:t xml:space="preserve">had no source of income which would enable it to </w:t>
      </w:r>
      <w:r w:rsidR="008D7720">
        <w:rPr>
          <w:rFonts w:ascii="Arial" w:hAnsi="Arial" w:cs="Arial"/>
          <w:sz w:val="24"/>
          <w:szCs w:val="24"/>
          <w:lang w:val="en-ZA"/>
        </w:rPr>
        <w:t xml:space="preserve">advance these </w:t>
      </w:r>
      <w:r w:rsidR="00B55F19" w:rsidRPr="00993B62">
        <w:rPr>
          <w:rFonts w:ascii="Arial" w:hAnsi="Arial" w:cs="Arial"/>
          <w:sz w:val="24"/>
          <w:szCs w:val="24"/>
          <w:lang w:val="en-ZA"/>
        </w:rPr>
        <w:t>amounts</w:t>
      </w:r>
      <w:r w:rsidR="00993B62">
        <w:rPr>
          <w:rFonts w:ascii="Arial" w:hAnsi="Arial" w:cs="Arial"/>
          <w:sz w:val="24"/>
          <w:szCs w:val="24"/>
          <w:lang w:val="en-ZA"/>
        </w:rPr>
        <w:t>.</w:t>
      </w:r>
      <w:r w:rsidR="00CB4A26" w:rsidRPr="00993B62">
        <w:rPr>
          <w:rStyle w:val="FootnoteReference"/>
          <w:rFonts w:ascii="Arial" w:hAnsi="Arial" w:cs="Arial"/>
          <w:sz w:val="24"/>
          <w:szCs w:val="24"/>
          <w:lang w:val="en-ZA"/>
        </w:rPr>
        <w:footnoteReference w:id="32"/>
      </w:r>
      <w:r w:rsidR="00B55F19" w:rsidRPr="00993B62">
        <w:rPr>
          <w:rFonts w:ascii="Arial" w:hAnsi="Arial" w:cs="Arial"/>
          <w:sz w:val="24"/>
          <w:szCs w:val="24"/>
          <w:lang w:val="en-ZA"/>
        </w:rPr>
        <w:t xml:space="preserve">  </w:t>
      </w:r>
    </w:p>
    <w:p w14:paraId="484AD6D9" w14:textId="10A0D31E" w:rsidR="000B421A" w:rsidRDefault="00993B62" w:rsidP="000B421A">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sidR="008F7B89">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The bottom line is that </w:t>
      </w:r>
      <w:r w:rsidR="00B55F19">
        <w:rPr>
          <w:rFonts w:ascii="Arial" w:hAnsi="Arial" w:cs="Arial"/>
          <w:sz w:val="24"/>
          <w:szCs w:val="24"/>
          <w:lang w:val="en-ZA"/>
        </w:rPr>
        <w:t>the factual basis upon which the</w:t>
      </w:r>
      <w:r>
        <w:rPr>
          <w:rFonts w:ascii="Arial" w:hAnsi="Arial" w:cs="Arial"/>
          <w:sz w:val="24"/>
          <w:szCs w:val="24"/>
          <w:lang w:val="en-ZA"/>
        </w:rPr>
        <w:t xml:space="preserve"> t</w:t>
      </w:r>
      <w:r w:rsidR="00B55F19">
        <w:rPr>
          <w:rFonts w:ascii="Arial" w:hAnsi="Arial" w:cs="Arial"/>
          <w:sz w:val="24"/>
          <w:szCs w:val="24"/>
          <w:lang w:val="en-ZA"/>
        </w:rPr>
        <w:t>rust was finally sequestrated did not</w:t>
      </w:r>
      <w:r>
        <w:rPr>
          <w:rFonts w:ascii="Arial" w:hAnsi="Arial" w:cs="Arial"/>
          <w:sz w:val="24"/>
          <w:szCs w:val="24"/>
          <w:lang w:val="en-ZA"/>
        </w:rPr>
        <w:t xml:space="preserve"> </w:t>
      </w:r>
      <w:r w:rsidR="00B55F19">
        <w:rPr>
          <w:rFonts w:ascii="Arial" w:hAnsi="Arial" w:cs="Arial"/>
          <w:sz w:val="24"/>
          <w:szCs w:val="24"/>
          <w:lang w:val="en-ZA"/>
        </w:rPr>
        <w:t xml:space="preserve">rest </w:t>
      </w:r>
      <w:r w:rsidR="00FB64CC">
        <w:rPr>
          <w:rFonts w:ascii="Arial" w:hAnsi="Arial" w:cs="Arial"/>
          <w:sz w:val="24"/>
          <w:szCs w:val="24"/>
          <w:lang w:val="en-ZA"/>
        </w:rPr>
        <w:t xml:space="preserve">solely </w:t>
      </w:r>
      <w:r w:rsidR="00B55F19">
        <w:rPr>
          <w:rFonts w:ascii="Arial" w:hAnsi="Arial" w:cs="Arial"/>
          <w:sz w:val="24"/>
          <w:szCs w:val="24"/>
          <w:lang w:val="en-ZA"/>
        </w:rPr>
        <w:t xml:space="preserve">on the error relating to what </w:t>
      </w:r>
      <w:r>
        <w:rPr>
          <w:rFonts w:ascii="Arial" w:hAnsi="Arial" w:cs="Arial"/>
          <w:sz w:val="24"/>
          <w:szCs w:val="24"/>
          <w:lang w:val="en-ZA"/>
        </w:rPr>
        <w:t xml:space="preserve">the alleged fraudster </w:t>
      </w:r>
      <w:r w:rsidR="00B55F19">
        <w:rPr>
          <w:rFonts w:ascii="Arial" w:hAnsi="Arial" w:cs="Arial"/>
          <w:sz w:val="24"/>
          <w:szCs w:val="24"/>
          <w:lang w:val="en-ZA"/>
        </w:rPr>
        <w:t xml:space="preserve">had </w:t>
      </w:r>
      <w:r w:rsidR="00FB64CC">
        <w:rPr>
          <w:rFonts w:ascii="Arial" w:hAnsi="Arial" w:cs="Arial"/>
          <w:sz w:val="24"/>
          <w:szCs w:val="24"/>
          <w:lang w:val="en-ZA"/>
        </w:rPr>
        <w:t xml:space="preserve">stated </w:t>
      </w:r>
      <w:r>
        <w:rPr>
          <w:rFonts w:ascii="Arial" w:hAnsi="Arial" w:cs="Arial"/>
          <w:sz w:val="24"/>
          <w:szCs w:val="24"/>
          <w:lang w:val="en-ZA"/>
        </w:rPr>
        <w:t>during the problematic meeting</w:t>
      </w:r>
      <w:r w:rsidR="00EA479E">
        <w:rPr>
          <w:rFonts w:ascii="Arial" w:hAnsi="Arial" w:cs="Arial"/>
          <w:sz w:val="24"/>
          <w:szCs w:val="24"/>
          <w:lang w:val="en-ZA"/>
        </w:rPr>
        <w:t xml:space="preserve"> </w:t>
      </w:r>
      <w:r>
        <w:rPr>
          <w:rFonts w:ascii="Arial" w:hAnsi="Arial" w:cs="Arial"/>
          <w:sz w:val="24"/>
          <w:szCs w:val="24"/>
          <w:lang w:val="en-ZA"/>
        </w:rPr>
        <w:t xml:space="preserve">but was underpinned by </w:t>
      </w:r>
      <w:r w:rsidR="00B55F19">
        <w:rPr>
          <w:rFonts w:ascii="Arial" w:hAnsi="Arial" w:cs="Arial"/>
          <w:sz w:val="24"/>
          <w:szCs w:val="24"/>
          <w:lang w:val="en-ZA"/>
        </w:rPr>
        <w:t xml:space="preserve">the other </w:t>
      </w:r>
      <w:r w:rsidR="00451E98">
        <w:rPr>
          <w:rFonts w:ascii="Arial" w:hAnsi="Arial" w:cs="Arial"/>
          <w:sz w:val="24"/>
          <w:szCs w:val="24"/>
          <w:lang w:val="en-ZA"/>
        </w:rPr>
        <w:t xml:space="preserve">contemporaneous statements and </w:t>
      </w:r>
      <w:r w:rsidR="003071C8">
        <w:rPr>
          <w:rFonts w:ascii="Arial" w:hAnsi="Arial" w:cs="Arial"/>
          <w:sz w:val="24"/>
          <w:szCs w:val="24"/>
          <w:lang w:val="en-ZA"/>
        </w:rPr>
        <w:t xml:space="preserve">documents </w:t>
      </w:r>
      <w:r>
        <w:rPr>
          <w:rFonts w:ascii="Arial" w:hAnsi="Arial" w:cs="Arial"/>
          <w:sz w:val="24"/>
          <w:szCs w:val="24"/>
          <w:lang w:val="en-ZA"/>
        </w:rPr>
        <w:t xml:space="preserve">referenced earlier. </w:t>
      </w:r>
      <w:r w:rsidR="000B421A">
        <w:rPr>
          <w:rFonts w:ascii="Arial" w:hAnsi="Arial" w:cs="Arial"/>
          <w:sz w:val="24"/>
          <w:szCs w:val="24"/>
          <w:lang w:val="en-ZA"/>
        </w:rPr>
        <w:t xml:space="preserve"> </w:t>
      </w:r>
      <w:r w:rsidR="007E60E0">
        <w:rPr>
          <w:rFonts w:ascii="Arial" w:hAnsi="Arial" w:cs="Arial"/>
          <w:sz w:val="24"/>
          <w:szCs w:val="24"/>
          <w:lang w:val="en-ZA"/>
        </w:rPr>
        <w:t xml:space="preserve">In these circumstances </w:t>
      </w:r>
      <w:r w:rsidR="000B421A">
        <w:rPr>
          <w:rFonts w:ascii="Arial" w:hAnsi="Arial" w:cs="Arial"/>
          <w:sz w:val="24"/>
          <w:szCs w:val="24"/>
          <w:lang w:val="en-ZA"/>
        </w:rPr>
        <w:t>the a</w:t>
      </w:r>
      <w:r w:rsidR="00001F4F">
        <w:rPr>
          <w:rFonts w:ascii="Arial" w:hAnsi="Arial" w:cs="Arial"/>
          <w:sz w:val="24"/>
          <w:szCs w:val="24"/>
          <w:lang w:val="en-ZA"/>
        </w:rPr>
        <w:t xml:space="preserve">pplicant’s </w:t>
      </w:r>
      <w:r w:rsidR="007E60E0">
        <w:rPr>
          <w:rFonts w:ascii="Arial" w:hAnsi="Arial" w:cs="Arial"/>
          <w:sz w:val="24"/>
          <w:szCs w:val="24"/>
          <w:lang w:val="en-ZA"/>
        </w:rPr>
        <w:t xml:space="preserve">contention </w:t>
      </w:r>
      <w:r w:rsidR="00001F4F">
        <w:rPr>
          <w:rFonts w:ascii="Arial" w:hAnsi="Arial" w:cs="Arial"/>
          <w:sz w:val="24"/>
          <w:szCs w:val="24"/>
          <w:lang w:val="en-ZA"/>
        </w:rPr>
        <w:t xml:space="preserve">that </w:t>
      </w:r>
      <w:r w:rsidR="000B421A">
        <w:rPr>
          <w:rFonts w:ascii="Arial" w:hAnsi="Arial" w:cs="Arial"/>
          <w:sz w:val="24"/>
          <w:szCs w:val="24"/>
          <w:lang w:val="en-ZA"/>
        </w:rPr>
        <w:t xml:space="preserve">because of the </w:t>
      </w:r>
      <w:r w:rsidR="00001F4F">
        <w:rPr>
          <w:rFonts w:ascii="Arial" w:hAnsi="Arial" w:cs="Arial"/>
          <w:sz w:val="24"/>
          <w:szCs w:val="24"/>
          <w:lang w:val="en-ZA"/>
        </w:rPr>
        <w:t>nature of his complaint</w:t>
      </w:r>
      <w:r w:rsidR="000B421A">
        <w:rPr>
          <w:rFonts w:ascii="Arial" w:hAnsi="Arial" w:cs="Arial"/>
          <w:sz w:val="24"/>
          <w:szCs w:val="24"/>
          <w:lang w:val="en-ZA"/>
        </w:rPr>
        <w:t>,</w:t>
      </w:r>
      <w:r w:rsidR="00001F4F">
        <w:rPr>
          <w:rFonts w:ascii="Arial" w:hAnsi="Arial" w:cs="Arial"/>
          <w:sz w:val="24"/>
          <w:szCs w:val="24"/>
          <w:lang w:val="en-ZA"/>
        </w:rPr>
        <w:t xml:space="preserve"> the </w:t>
      </w:r>
      <w:r w:rsidR="000B421A">
        <w:rPr>
          <w:rFonts w:ascii="Arial" w:hAnsi="Arial" w:cs="Arial"/>
          <w:sz w:val="24"/>
          <w:szCs w:val="24"/>
          <w:lang w:val="en-ZA"/>
        </w:rPr>
        <w:t>t</w:t>
      </w:r>
      <w:r w:rsidR="00001F4F">
        <w:rPr>
          <w:rFonts w:ascii="Arial" w:hAnsi="Arial" w:cs="Arial"/>
          <w:sz w:val="24"/>
          <w:szCs w:val="24"/>
          <w:lang w:val="en-ZA"/>
        </w:rPr>
        <w:t xml:space="preserve">hird </w:t>
      </w:r>
      <w:r w:rsidR="000B421A">
        <w:rPr>
          <w:rFonts w:ascii="Arial" w:hAnsi="Arial" w:cs="Arial"/>
          <w:sz w:val="24"/>
          <w:szCs w:val="24"/>
          <w:lang w:val="en-ZA"/>
        </w:rPr>
        <w:t>r</w:t>
      </w:r>
      <w:r w:rsidR="00001F4F">
        <w:rPr>
          <w:rFonts w:ascii="Arial" w:hAnsi="Arial" w:cs="Arial"/>
          <w:sz w:val="24"/>
          <w:szCs w:val="24"/>
          <w:lang w:val="en-ZA"/>
        </w:rPr>
        <w:t xml:space="preserve">espondent should give </w:t>
      </w:r>
      <w:r w:rsidR="00001F4F">
        <w:rPr>
          <w:rFonts w:ascii="Arial" w:hAnsi="Arial" w:cs="Arial"/>
          <w:i/>
          <w:iCs/>
          <w:sz w:val="24"/>
          <w:szCs w:val="24"/>
          <w:lang w:val="en-ZA"/>
        </w:rPr>
        <w:t>viv</w:t>
      </w:r>
      <w:r w:rsidR="00103E21">
        <w:rPr>
          <w:rFonts w:ascii="Arial" w:hAnsi="Arial" w:cs="Arial"/>
          <w:i/>
          <w:iCs/>
          <w:sz w:val="24"/>
          <w:szCs w:val="24"/>
          <w:lang w:val="en-ZA"/>
        </w:rPr>
        <w:t>a</w:t>
      </w:r>
      <w:r w:rsidR="00001F4F">
        <w:rPr>
          <w:rFonts w:ascii="Arial" w:hAnsi="Arial" w:cs="Arial"/>
          <w:i/>
          <w:iCs/>
          <w:sz w:val="24"/>
          <w:szCs w:val="24"/>
          <w:lang w:val="en-ZA"/>
        </w:rPr>
        <w:t xml:space="preserve"> voce </w:t>
      </w:r>
      <w:r w:rsidR="00001F4F">
        <w:rPr>
          <w:rFonts w:ascii="Arial" w:hAnsi="Arial" w:cs="Arial"/>
          <w:iCs/>
          <w:sz w:val="24"/>
          <w:szCs w:val="24"/>
          <w:lang w:val="en-ZA"/>
        </w:rPr>
        <w:t>evidence and be cross-examined thereon</w:t>
      </w:r>
      <w:r w:rsidR="007E60E0">
        <w:rPr>
          <w:rFonts w:ascii="Arial" w:hAnsi="Arial" w:cs="Arial"/>
          <w:iCs/>
          <w:sz w:val="24"/>
          <w:szCs w:val="24"/>
          <w:lang w:val="en-ZA"/>
        </w:rPr>
        <w:t xml:space="preserve"> fails to withstand scrutiny</w:t>
      </w:r>
      <w:r w:rsidR="000B421A">
        <w:rPr>
          <w:rFonts w:ascii="Arial" w:hAnsi="Arial" w:cs="Arial"/>
          <w:iCs/>
          <w:sz w:val="24"/>
          <w:szCs w:val="24"/>
          <w:lang w:val="en-ZA"/>
        </w:rPr>
        <w:t xml:space="preserve">.  In </w:t>
      </w:r>
      <w:r w:rsidR="006A39DE">
        <w:rPr>
          <w:rFonts w:ascii="Arial" w:hAnsi="Arial" w:cs="Arial"/>
          <w:iCs/>
          <w:sz w:val="24"/>
          <w:szCs w:val="24"/>
          <w:lang w:val="en-ZA"/>
        </w:rPr>
        <w:t>any event</w:t>
      </w:r>
      <w:r w:rsidR="000B421A">
        <w:rPr>
          <w:rFonts w:ascii="Arial" w:hAnsi="Arial" w:cs="Arial"/>
          <w:iCs/>
          <w:sz w:val="24"/>
          <w:szCs w:val="24"/>
          <w:lang w:val="en-ZA"/>
        </w:rPr>
        <w:t xml:space="preserve">, the relevant clauses of the conduct code </w:t>
      </w:r>
      <w:r w:rsidR="001A134E">
        <w:rPr>
          <w:rFonts w:ascii="Arial" w:hAnsi="Arial" w:cs="Arial"/>
          <w:iCs/>
          <w:sz w:val="24"/>
          <w:szCs w:val="24"/>
          <w:lang w:val="en-ZA"/>
        </w:rPr>
        <w:t xml:space="preserve">do not provide for the </w:t>
      </w:r>
      <w:r w:rsidR="00C82E0E">
        <w:rPr>
          <w:rFonts w:ascii="Arial" w:hAnsi="Arial" w:cs="Arial"/>
          <w:iCs/>
          <w:sz w:val="24"/>
          <w:szCs w:val="24"/>
          <w:lang w:val="en-ZA"/>
        </w:rPr>
        <w:t xml:space="preserve">compulsory cross-examination as part </w:t>
      </w:r>
      <w:r w:rsidR="000B421A">
        <w:rPr>
          <w:rFonts w:ascii="Arial" w:hAnsi="Arial" w:cs="Arial"/>
          <w:iCs/>
          <w:sz w:val="24"/>
          <w:szCs w:val="24"/>
          <w:lang w:val="en-ZA"/>
        </w:rPr>
        <w:t xml:space="preserve">and parcel </w:t>
      </w:r>
      <w:r w:rsidR="00C82E0E">
        <w:rPr>
          <w:rFonts w:ascii="Arial" w:hAnsi="Arial" w:cs="Arial"/>
          <w:iCs/>
          <w:sz w:val="24"/>
          <w:szCs w:val="24"/>
          <w:lang w:val="en-ZA"/>
        </w:rPr>
        <w:t xml:space="preserve">of the investigation of </w:t>
      </w:r>
      <w:r w:rsidR="00001F4F">
        <w:rPr>
          <w:rFonts w:ascii="Arial" w:hAnsi="Arial" w:cs="Arial"/>
          <w:iCs/>
          <w:sz w:val="24"/>
          <w:szCs w:val="24"/>
          <w:lang w:val="en-ZA"/>
        </w:rPr>
        <w:t>an investigation committee.</w:t>
      </w:r>
      <w:r w:rsidR="001F76E7">
        <w:rPr>
          <w:rFonts w:ascii="Arial" w:hAnsi="Arial" w:cs="Arial"/>
          <w:iCs/>
          <w:sz w:val="24"/>
          <w:szCs w:val="24"/>
          <w:lang w:val="en-ZA"/>
        </w:rPr>
        <w:t xml:space="preserve"> </w:t>
      </w:r>
      <w:r w:rsidR="00EA479E">
        <w:rPr>
          <w:rFonts w:ascii="Arial" w:hAnsi="Arial" w:cs="Arial"/>
          <w:iCs/>
          <w:sz w:val="24"/>
          <w:szCs w:val="24"/>
          <w:lang w:val="en-ZA"/>
        </w:rPr>
        <w:t xml:space="preserve"> </w:t>
      </w:r>
      <w:r w:rsidR="001F76E7">
        <w:rPr>
          <w:rFonts w:ascii="Arial" w:hAnsi="Arial" w:cs="Arial"/>
          <w:iCs/>
          <w:sz w:val="24"/>
          <w:szCs w:val="24"/>
          <w:lang w:val="en-ZA"/>
        </w:rPr>
        <w:t xml:space="preserve">Thus, we </w:t>
      </w:r>
      <w:r w:rsidR="006A39DE">
        <w:rPr>
          <w:rFonts w:ascii="Arial" w:hAnsi="Arial" w:cs="Arial"/>
          <w:iCs/>
          <w:sz w:val="24"/>
          <w:szCs w:val="24"/>
          <w:lang w:val="en-ZA"/>
        </w:rPr>
        <w:t xml:space="preserve">are </w:t>
      </w:r>
      <w:r w:rsidR="001F76E7">
        <w:rPr>
          <w:rFonts w:ascii="Arial" w:hAnsi="Arial" w:cs="Arial"/>
          <w:iCs/>
          <w:sz w:val="24"/>
          <w:szCs w:val="24"/>
          <w:lang w:val="en-ZA"/>
        </w:rPr>
        <w:t>unpersuaded</w:t>
      </w:r>
      <w:r w:rsidR="007F4A46">
        <w:rPr>
          <w:rFonts w:ascii="Arial" w:hAnsi="Arial" w:cs="Arial"/>
          <w:iCs/>
          <w:sz w:val="24"/>
          <w:szCs w:val="24"/>
          <w:lang w:val="en-ZA"/>
        </w:rPr>
        <w:t xml:space="preserve"> by th</w:t>
      </w:r>
      <w:r w:rsidR="00EA479E">
        <w:rPr>
          <w:rFonts w:ascii="Arial" w:hAnsi="Arial" w:cs="Arial"/>
          <w:iCs/>
          <w:sz w:val="24"/>
          <w:szCs w:val="24"/>
          <w:lang w:val="en-ZA"/>
        </w:rPr>
        <w:t>e applicant’s arguments</w:t>
      </w:r>
      <w:r w:rsidR="007F4A46">
        <w:rPr>
          <w:rFonts w:ascii="Arial" w:hAnsi="Arial" w:cs="Arial"/>
          <w:iCs/>
          <w:sz w:val="24"/>
          <w:szCs w:val="24"/>
          <w:lang w:val="en-ZA"/>
        </w:rPr>
        <w:t>.</w:t>
      </w:r>
      <w:r w:rsidR="000B421A">
        <w:rPr>
          <w:rStyle w:val="FootnoteReference"/>
          <w:rFonts w:ascii="Arial" w:hAnsi="Arial" w:cs="Arial"/>
          <w:iCs/>
          <w:sz w:val="24"/>
          <w:szCs w:val="24"/>
          <w:lang w:val="en-ZA"/>
        </w:rPr>
        <w:footnoteReference w:id="33"/>
      </w:r>
    </w:p>
    <w:p w14:paraId="7A212835" w14:textId="373A2DDF" w:rsidR="000B421A" w:rsidRDefault="000B421A" w:rsidP="000B421A">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sidR="008F7B89">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Turning to the last complaint.  T</w:t>
      </w:r>
      <w:r w:rsidR="000955CE">
        <w:rPr>
          <w:rFonts w:ascii="Arial" w:hAnsi="Arial" w:cs="Arial"/>
          <w:sz w:val="24"/>
          <w:szCs w:val="24"/>
          <w:lang w:val="en-ZA"/>
        </w:rPr>
        <w:t xml:space="preserve">he </w:t>
      </w:r>
      <w:r>
        <w:rPr>
          <w:rFonts w:ascii="Arial" w:hAnsi="Arial" w:cs="Arial"/>
          <w:sz w:val="24"/>
          <w:szCs w:val="24"/>
          <w:lang w:val="en-ZA"/>
        </w:rPr>
        <w:t>a</w:t>
      </w:r>
      <w:r w:rsidR="000955CE">
        <w:rPr>
          <w:rFonts w:ascii="Arial" w:hAnsi="Arial" w:cs="Arial"/>
          <w:sz w:val="24"/>
          <w:szCs w:val="24"/>
          <w:lang w:val="en-ZA"/>
        </w:rPr>
        <w:t xml:space="preserve">pplicant asserts that the </w:t>
      </w:r>
      <w:r>
        <w:rPr>
          <w:rFonts w:ascii="Arial" w:hAnsi="Arial" w:cs="Arial"/>
          <w:sz w:val="24"/>
          <w:szCs w:val="24"/>
          <w:lang w:val="en-ZA"/>
        </w:rPr>
        <w:t>third r</w:t>
      </w:r>
      <w:r w:rsidR="000955CE">
        <w:rPr>
          <w:rFonts w:ascii="Arial" w:hAnsi="Arial" w:cs="Arial"/>
          <w:sz w:val="24"/>
          <w:szCs w:val="24"/>
          <w:lang w:val="en-ZA"/>
        </w:rPr>
        <w:t xml:space="preserve">espondent is guilty of allegedly accepting briefs contrary to </w:t>
      </w:r>
      <w:r w:rsidR="00EA479E">
        <w:rPr>
          <w:rFonts w:ascii="Arial" w:hAnsi="Arial" w:cs="Arial"/>
          <w:sz w:val="24"/>
          <w:szCs w:val="24"/>
          <w:lang w:val="en-ZA"/>
        </w:rPr>
        <w:t xml:space="preserve">the </w:t>
      </w:r>
      <w:r w:rsidR="000955CE">
        <w:rPr>
          <w:rFonts w:ascii="Arial" w:hAnsi="Arial" w:cs="Arial"/>
          <w:sz w:val="24"/>
          <w:szCs w:val="24"/>
          <w:lang w:val="en-ZA"/>
        </w:rPr>
        <w:t>provisions</w:t>
      </w:r>
      <w:r>
        <w:rPr>
          <w:rFonts w:ascii="Arial" w:hAnsi="Arial" w:cs="Arial"/>
          <w:sz w:val="24"/>
          <w:szCs w:val="24"/>
          <w:lang w:val="en-ZA"/>
        </w:rPr>
        <w:t xml:space="preserve"> </w:t>
      </w:r>
      <w:r w:rsidR="001F76E7">
        <w:rPr>
          <w:rFonts w:ascii="Arial" w:hAnsi="Arial" w:cs="Arial"/>
          <w:sz w:val="24"/>
          <w:szCs w:val="24"/>
          <w:lang w:val="en-ZA"/>
        </w:rPr>
        <w:t>of</w:t>
      </w:r>
      <w:r>
        <w:rPr>
          <w:rFonts w:ascii="Arial" w:hAnsi="Arial" w:cs="Arial"/>
          <w:sz w:val="24"/>
          <w:szCs w:val="24"/>
          <w:lang w:val="en-ZA"/>
        </w:rPr>
        <w:t xml:space="preserve"> the conduct code.  </w:t>
      </w:r>
      <w:r w:rsidR="000955CE">
        <w:rPr>
          <w:rFonts w:ascii="Arial" w:hAnsi="Arial" w:cs="Arial"/>
          <w:sz w:val="24"/>
          <w:szCs w:val="24"/>
          <w:lang w:val="en-ZA"/>
        </w:rPr>
        <w:t xml:space="preserve">The </w:t>
      </w:r>
      <w:r>
        <w:rPr>
          <w:rFonts w:ascii="Arial" w:hAnsi="Arial" w:cs="Arial"/>
          <w:sz w:val="24"/>
          <w:szCs w:val="24"/>
          <w:lang w:val="en-ZA"/>
        </w:rPr>
        <w:t xml:space="preserve">relevant </w:t>
      </w:r>
      <w:r w:rsidR="000955CE">
        <w:rPr>
          <w:rFonts w:ascii="Arial" w:hAnsi="Arial" w:cs="Arial"/>
          <w:sz w:val="24"/>
          <w:szCs w:val="24"/>
          <w:lang w:val="en-ZA"/>
        </w:rPr>
        <w:t xml:space="preserve">clause </w:t>
      </w:r>
      <w:r>
        <w:rPr>
          <w:rFonts w:ascii="Arial" w:hAnsi="Arial" w:cs="Arial"/>
          <w:sz w:val="24"/>
          <w:szCs w:val="24"/>
          <w:lang w:val="en-ZA"/>
        </w:rPr>
        <w:t xml:space="preserve">of the </w:t>
      </w:r>
      <w:r w:rsidR="00EA479E">
        <w:rPr>
          <w:rFonts w:ascii="Arial" w:hAnsi="Arial" w:cs="Arial"/>
          <w:sz w:val="24"/>
          <w:szCs w:val="24"/>
          <w:lang w:val="en-ZA"/>
        </w:rPr>
        <w:t xml:space="preserve">conduct </w:t>
      </w:r>
      <w:r>
        <w:rPr>
          <w:rFonts w:ascii="Arial" w:hAnsi="Arial" w:cs="Arial"/>
          <w:sz w:val="24"/>
          <w:szCs w:val="24"/>
          <w:lang w:val="en-ZA"/>
        </w:rPr>
        <w:t>code indicates as follows:</w:t>
      </w:r>
    </w:p>
    <w:p w14:paraId="6510703D" w14:textId="77777777" w:rsidR="000B421A" w:rsidRDefault="000B421A" w:rsidP="000B421A">
      <w:pPr>
        <w:snapToGrid w:val="0"/>
        <w:spacing w:after="120" w:line="360" w:lineRule="auto"/>
        <w:jc w:val="both"/>
        <w:rPr>
          <w:rFonts w:ascii="Arial" w:hAnsi="Arial" w:cs="Arial"/>
          <w:sz w:val="24"/>
          <w:szCs w:val="24"/>
          <w:lang w:val="en-ZA"/>
        </w:rPr>
      </w:pPr>
      <w:r>
        <w:rPr>
          <w:rFonts w:ascii="Arial" w:hAnsi="Arial" w:cs="Arial"/>
          <w:sz w:val="24"/>
          <w:szCs w:val="24"/>
          <w:lang w:val="en-ZA"/>
        </w:rPr>
        <w:lastRenderedPageBreak/>
        <w:t>‘….</w:t>
      </w:r>
      <w:r w:rsidR="000955CE">
        <w:rPr>
          <w:rFonts w:ascii="Arial" w:hAnsi="Arial" w:cs="Arial"/>
          <w:i/>
          <w:iCs/>
          <w:sz w:val="24"/>
          <w:szCs w:val="24"/>
          <w:lang w:val="en-ZA"/>
        </w:rPr>
        <w:t>A legal practitioner who has accepted a brief from a liquidator or a trustee of an insolvent estate shall not at any time accept a brief to act in any capacity for an interested party in subsequent proceedings in the liquidation or insolvency</w:t>
      </w:r>
      <w:r>
        <w:rPr>
          <w:rFonts w:ascii="Arial" w:hAnsi="Arial" w:cs="Arial"/>
          <w:sz w:val="24"/>
          <w:szCs w:val="24"/>
          <w:lang w:val="en-ZA"/>
        </w:rPr>
        <w:t>…’</w:t>
      </w:r>
      <w:r>
        <w:rPr>
          <w:rStyle w:val="FootnoteReference"/>
          <w:rFonts w:ascii="Arial" w:hAnsi="Arial" w:cs="Arial"/>
          <w:sz w:val="24"/>
          <w:szCs w:val="24"/>
          <w:lang w:val="en-ZA"/>
        </w:rPr>
        <w:footnoteReference w:id="34"/>
      </w:r>
    </w:p>
    <w:p w14:paraId="42AEBF15" w14:textId="56F5E3AC" w:rsidR="006A39DE" w:rsidRDefault="006A39DE" w:rsidP="006A39DE">
      <w:pPr>
        <w:snapToGrid w:val="0"/>
        <w:spacing w:after="120" w:line="360" w:lineRule="auto"/>
        <w:jc w:val="both"/>
        <w:rPr>
          <w:rFonts w:ascii="Arial" w:hAnsi="Arial" w:cs="Arial"/>
          <w:sz w:val="24"/>
          <w:szCs w:val="24"/>
          <w:lang w:val="en-ZA"/>
        </w:rPr>
      </w:pPr>
      <w:r>
        <w:rPr>
          <w:rFonts w:ascii="Arial" w:hAnsi="Arial" w:cs="Arial"/>
          <w:sz w:val="24"/>
          <w:szCs w:val="24"/>
          <w:lang w:val="en-ZA"/>
        </w:rPr>
        <w:t>[37]</w:t>
      </w:r>
      <w:r>
        <w:rPr>
          <w:rFonts w:ascii="Arial" w:hAnsi="Arial" w:cs="Arial"/>
          <w:sz w:val="24"/>
          <w:szCs w:val="24"/>
          <w:lang w:val="en-ZA"/>
        </w:rPr>
        <w:tab/>
        <w:t>The applicant</w:t>
      </w:r>
      <w:r w:rsidR="008F7B89">
        <w:rPr>
          <w:rFonts w:ascii="Arial" w:hAnsi="Arial" w:cs="Arial"/>
          <w:sz w:val="24"/>
          <w:szCs w:val="24"/>
          <w:lang w:val="en-ZA"/>
        </w:rPr>
        <w:t xml:space="preserve"> complain</w:t>
      </w:r>
      <w:r>
        <w:rPr>
          <w:rFonts w:ascii="Arial" w:hAnsi="Arial" w:cs="Arial"/>
          <w:sz w:val="24"/>
          <w:szCs w:val="24"/>
          <w:lang w:val="en-ZA"/>
        </w:rPr>
        <w:t>s that the third respondent acted as the attorney for the provisional trustees and later the final trustees in the insolvent joint estate of the alleged fraudster.  The third respondent also acted in the sequestration of the subject trust.  In addition, the complaint is that the third respondent accepted a brief to act for the provisional liquidators of a discrete third-party company where the petitioning creditor was the joint insolvent estate of the alleged fraudster.</w:t>
      </w:r>
      <w:r>
        <w:rPr>
          <w:rStyle w:val="FootnoteReference"/>
          <w:rFonts w:ascii="Arial" w:hAnsi="Arial" w:cs="Arial"/>
          <w:sz w:val="24"/>
          <w:szCs w:val="24"/>
          <w:lang w:val="en-ZA"/>
        </w:rPr>
        <w:footnoteReference w:id="35"/>
      </w:r>
      <w:r>
        <w:rPr>
          <w:rFonts w:ascii="Arial" w:hAnsi="Arial" w:cs="Arial"/>
          <w:sz w:val="24"/>
          <w:szCs w:val="24"/>
          <w:lang w:val="en-ZA"/>
        </w:rPr>
        <w:t xml:space="preserve"> </w:t>
      </w:r>
    </w:p>
    <w:p w14:paraId="302779F2" w14:textId="3BFA85DE" w:rsidR="000B421A" w:rsidRDefault="000B421A" w:rsidP="000B421A">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sidR="008F7B89">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 xml:space="preserve">The third respondent advances that </w:t>
      </w:r>
      <w:r w:rsidR="006A39DE">
        <w:rPr>
          <w:rFonts w:ascii="Arial" w:hAnsi="Arial" w:cs="Arial"/>
          <w:sz w:val="24"/>
          <w:szCs w:val="24"/>
          <w:lang w:val="en-ZA"/>
        </w:rPr>
        <w:t xml:space="preserve">the abovementioned </w:t>
      </w:r>
      <w:r>
        <w:rPr>
          <w:rFonts w:ascii="Arial" w:hAnsi="Arial" w:cs="Arial"/>
          <w:sz w:val="24"/>
          <w:szCs w:val="24"/>
          <w:lang w:val="en-ZA"/>
        </w:rPr>
        <w:t xml:space="preserve">clause in the code </w:t>
      </w:r>
      <w:r w:rsidR="000955CE">
        <w:rPr>
          <w:rFonts w:ascii="Arial" w:hAnsi="Arial" w:cs="Arial"/>
          <w:sz w:val="24"/>
          <w:szCs w:val="24"/>
          <w:lang w:val="en-ZA"/>
        </w:rPr>
        <w:t xml:space="preserve">postulates </w:t>
      </w:r>
      <w:r>
        <w:rPr>
          <w:rFonts w:ascii="Arial" w:hAnsi="Arial" w:cs="Arial"/>
          <w:sz w:val="24"/>
          <w:szCs w:val="24"/>
          <w:lang w:val="en-ZA"/>
        </w:rPr>
        <w:t xml:space="preserve">a </w:t>
      </w:r>
      <w:r w:rsidR="007F4A46">
        <w:rPr>
          <w:rFonts w:ascii="Arial" w:hAnsi="Arial" w:cs="Arial"/>
          <w:sz w:val="24"/>
          <w:szCs w:val="24"/>
          <w:lang w:val="en-ZA"/>
        </w:rPr>
        <w:t xml:space="preserve">pre-existing </w:t>
      </w:r>
      <w:r>
        <w:rPr>
          <w:rFonts w:ascii="Arial" w:hAnsi="Arial" w:cs="Arial"/>
          <w:sz w:val="24"/>
          <w:szCs w:val="24"/>
          <w:lang w:val="en-ZA"/>
        </w:rPr>
        <w:t xml:space="preserve">situation where </w:t>
      </w:r>
      <w:r w:rsidR="001F76E7">
        <w:rPr>
          <w:rFonts w:ascii="Arial" w:hAnsi="Arial" w:cs="Arial"/>
          <w:sz w:val="24"/>
          <w:szCs w:val="24"/>
          <w:lang w:val="en-ZA"/>
        </w:rPr>
        <w:t>an estate has been sequestrated or liquidated and</w:t>
      </w:r>
      <w:r w:rsidR="000955CE">
        <w:rPr>
          <w:rFonts w:ascii="Arial" w:hAnsi="Arial" w:cs="Arial"/>
          <w:sz w:val="24"/>
          <w:szCs w:val="24"/>
          <w:lang w:val="en-ZA"/>
        </w:rPr>
        <w:t xml:space="preserve"> is under </w:t>
      </w:r>
      <w:r w:rsidR="00F35418">
        <w:rPr>
          <w:rFonts w:ascii="Arial" w:hAnsi="Arial" w:cs="Arial"/>
          <w:sz w:val="24"/>
          <w:szCs w:val="24"/>
          <w:lang w:val="en-ZA"/>
        </w:rPr>
        <w:t xml:space="preserve">the </w:t>
      </w:r>
      <w:r w:rsidR="000955CE">
        <w:rPr>
          <w:rFonts w:ascii="Arial" w:hAnsi="Arial" w:cs="Arial"/>
          <w:sz w:val="24"/>
          <w:szCs w:val="24"/>
          <w:lang w:val="en-ZA"/>
        </w:rPr>
        <w:t>control of the insolvency trustee or liquidator, as the case may be</w:t>
      </w:r>
      <w:r w:rsidR="00F35418">
        <w:rPr>
          <w:rFonts w:ascii="Arial" w:hAnsi="Arial" w:cs="Arial"/>
          <w:sz w:val="24"/>
          <w:szCs w:val="24"/>
          <w:lang w:val="en-ZA"/>
        </w:rPr>
        <w:t>.  T</w:t>
      </w:r>
      <w:r>
        <w:rPr>
          <w:rFonts w:ascii="Arial" w:hAnsi="Arial" w:cs="Arial"/>
          <w:sz w:val="24"/>
          <w:szCs w:val="24"/>
          <w:lang w:val="en-ZA"/>
        </w:rPr>
        <w:t xml:space="preserve">he </w:t>
      </w:r>
      <w:r w:rsidR="000955CE">
        <w:rPr>
          <w:rFonts w:ascii="Arial" w:hAnsi="Arial" w:cs="Arial"/>
          <w:sz w:val="24"/>
          <w:szCs w:val="24"/>
          <w:lang w:val="en-ZA"/>
        </w:rPr>
        <w:t xml:space="preserve">legal practitioner has </w:t>
      </w:r>
      <w:r w:rsidR="00F35418">
        <w:rPr>
          <w:rFonts w:ascii="Arial" w:hAnsi="Arial" w:cs="Arial"/>
          <w:sz w:val="24"/>
          <w:szCs w:val="24"/>
          <w:lang w:val="en-ZA"/>
        </w:rPr>
        <w:t xml:space="preserve">thus </w:t>
      </w:r>
      <w:r w:rsidR="007F4A46">
        <w:rPr>
          <w:rFonts w:ascii="Arial" w:hAnsi="Arial" w:cs="Arial"/>
          <w:sz w:val="24"/>
          <w:szCs w:val="24"/>
          <w:lang w:val="en-ZA"/>
        </w:rPr>
        <w:t xml:space="preserve">already </w:t>
      </w:r>
      <w:r w:rsidR="000955CE">
        <w:rPr>
          <w:rFonts w:ascii="Arial" w:hAnsi="Arial" w:cs="Arial"/>
          <w:sz w:val="24"/>
          <w:szCs w:val="24"/>
          <w:lang w:val="en-ZA"/>
        </w:rPr>
        <w:t>accepted a first brief from such insolvency trustee or</w:t>
      </w:r>
      <w:r w:rsidR="000955CE" w:rsidRPr="008B0FC1">
        <w:rPr>
          <w:rFonts w:ascii="Arial" w:hAnsi="Arial" w:cs="Arial"/>
          <w:sz w:val="24"/>
          <w:szCs w:val="24"/>
          <w:lang w:val="en-ZA"/>
        </w:rPr>
        <w:t xml:space="preserve"> </w:t>
      </w:r>
      <w:r w:rsidR="000955CE">
        <w:rPr>
          <w:rFonts w:ascii="Arial" w:hAnsi="Arial" w:cs="Arial"/>
          <w:sz w:val="24"/>
          <w:szCs w:val="24"/>
          <w:lang w:val="en-ZA"/>
        </w:rPr>
        <w:t>liquidator</w:t>
      </w:r>
      <w:r>
        <w:rPr>
          <w:rFonts w:ascii="Arial" w:hAnsi="Arial" w:cs="Arial"/>
          <w:sz w:val="24"/>
          <w:szCs w:val="24"/>
          <w:lang w:val="en-ZA"/>
        </w:rPr>
        <w:t xml:space="preserve">.  </w:t>
      </w:r>
      <w:r w:rsidR="001F76E7">
        <w:rPr>
          <w:rFonts w:ascii="Arial" w:hAnsi="Arial" w:cs="Arial"/>
          <w:sz w:val="24"/>
          <w:szCs w:val="24"/>
          <w:lang w:val="en-ZA"/>
        </w:rPr>
        <w:t xml:space="preserve">The issue </w:t>
      </w:r>
      <w:r w:rsidR="007F4A46">
        <w:rPr>
          <w:rFonts w:ascii="Arial" w:hAnsi="Arial" w:cs="Arial"/>
          <w:sz w:val="24"/>
          <w:szCs w:val="24"/>
          <w:lang w:val="en-ZA"/>
        </w:rPr>
        <w:t xml:space="preserve">then </w:t>
      </w:r>
      <w:r w:rsidR="001F76E7">
        <w:rPr>
          <w:rFonts w:ascii="Arial" w:hAnsi="Arial" w:cs="Arial"/>
          <w:sz w:val="24"/>
          <w:szCs w:val="24"/>
          <w:lang w:val="en-ZA"/>
        </w:rPr>
        <w:t xml:space="preserve">arises whether </w:t>
      </w:r>
      <w:r w:rsidR="008B5E04">
        <w:rPr>
          <w:rFonts w:ascii="Arial" w:hAnsi="Arial" w:cs="Arial"/>
          <w:sz w:val="24"/>
          <w:szCs w:val="24"/>
          <w:lang w:val="en-ZA"/>
        </w:rPr>
        <w:t xml:space="preserve">a </w:t>
      </w:r>
      <w:r w:rsidR="000955CE">
        <w:rPr>
          <w:rFonts w:ascii="Arial" w:hAnsi="Arial" w:cs="Arial"/>
          <w:sz w:val="24"/>
          <w:szCs w:val="24"/>
          <w:lang w:val="en-ZA"/>
        </w:rPr>
        <w:t xml:space="preserve">legal practitioner is prohibited from accepting a further brief to act in any capacity for any interested party </w:t>
      </w:r>
      <w:r w:rsidR="000955CE" w:rsidRPr="000B421A">
        <w:rPr>
          <w:rFonts w:ascii="Arial" w:hAnsi="Arial" w:cs="Arial"/>
          <w:sz w:val="24"/>
          <w:szCs w:val="24"/>
          <w:lang w:val="en-ZA"/>
        </w:rPr>
        <w:t>in subsequent liquidation or insolvenc</w:t>
      </w:r>
      <w:r w:rsidR="001F76E7">
        <w:rPr>
          <w:rFonts w:ascii="Arial" w:hAnsi="Arial" w:cs="Arial"/>
          <w:sz w:val="24"/>
          <w:szCs w:val="24"/>
          <w:lang w:val="en-ZA"/>
        </w:rPr>
        <w:t>y proceedings going forward</w:t>
      </w:r>
      <w:r w:rsidRPr="000B421A">
        <w:rPr>
          <w:rFonts w:ascii="Arial" w:hAnsi="Arial" w:cs="Arial"/>
          <w:sz w:val="24"/>
          <w:szCs w:val="24"/>
          <w:lang w:val="en-ZA"/>
        </w:rPr>
        <w:t>.</w:t>
      </w:r>
      <w:r>
        <w:rPr>
          <w:rStyle w:val="FootnoteReference"/>
          <w:rFonts w:ascii="Arial" w:hAnsi="Arial" w:cs="Arial"/>
          <w:sz w:val="24"/>
          <w:szCs w:val="24"/>
          <w:lang w:val="en-ZA"/>
        </w:rPr>
        <w:footnoteReference w:id="36"/>
      </w:r>
      <w:r w:rsidRPr="000B421A">
        <w:rPr>
          <w:rFonts w:ascii="Arial" w:hAnsi="Arial" w:cs="Arial"/>
          <w:sz w:val="24"/>
          <w:szCs w:val="24"/>
          <w:lang w:val="en-ZA"/>
        </w:rPr>
        <w:t xml:space="preserve"> </w:t>
      </w:r>
    </w:p>
    <w:p w14:paraId="757E0FD4" w14:textId="64339288" w:rsidR="00E65D96" w:rsidRDefault="008B5E04" w:rsidP="00E65D96">
      <w:pPr>
        <w:snapToGrid w:val="0"/>
        <w:spacing w:after="120" w:line="360" w:lineRule="auto"/>
        <w:jc w:val="both"/>
        <w:rPr>
          <w:rFonts w:ascii="Arial" w:hAnsi="Arial" w:cs="Arial"/>
          <w:sz w:val="24"/>
          <w:szCs w:val="24"/>
          <w:lang w:val="en-ZA"/>
        </w:rPr>
      </w:pPr>
      <w:r>
        <w:rPr>
          <w:rFonts w:ascii="Arial" w:hAnsi="Arial" w:cs="Arial"/>
          <w:sz w:val="24"/>
          <w:szCs w:val="24"/>
          <w:lang w:val="en-ZA"/>
        </w:rPr>
        <w:t>[3</w:t>
      </w:r>
      <w:r w:rsidR="008F7B89">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6A39DE">
        <w:rPr>
          <w:rFonts w:ascii="Arial" w:hAnsi="Arial" w:cs="Arial"/>
          <w:sz w:val="24"/>
          <w:szCs w:val="24"/>
          <w:lang w:val="en-ZA"/>
        </w:rPr>
        <w:t>W</w:t>
      </w:r>
      <w:r w:rsidR="00E65D96">
        <w:rPr>
          <w:rFonts w:ascii="Arial" w:hAnsi="Arial" w:cs="Arial"/>
          <w:sz w:val="24"/>
          <w:szCs w:val="24"/>
          <w:lang w:val="en-ZA"/>
        </w:rPr>
        <w:t>e do not understand the clause as a blanket prohibition on a legal practitioner accepting a second or further brief from a liquidator or insolvency trustee</w:t>
      </w:r>
      <w:r>
        <w:rPr>
          <w:rFonts w:ascii="Arial" w:hAnsi="Arial" w:cs="Arial"/>
          <w:sz w:val="24"/>
          <w:szCs w:val="24"/>
          <w:lang w:val="en-ZA"/>
        </w:rPr>
        <w:t xml:space="preserve">. </w:t>
      </w:r>
      <w:r w:rsidR="00E65D96">
        <w:rPr>
          <w:rFonts w:ascii="Arial" w:hAnsi="Arial" w:cs="Arial"/>
          <w:sz w:val="24"/>
          <w:szCs w:val="24"/>
          <w:lang w:val="en-ZA"/>
        </w:rPr>
        <w:t xml:space="preserve"> Instead,</w:t>
      </w:r>
      <w:r>
        <w:rPr>
          <w:rFonts w:ascii="Arial" w:hAnsi="Arial" w:cs="Arial"/>
          <w:sz w:val="24"/>
          <w:szCs w:val="24"/>
          <w:lang w:val="en-ZA"/>
        </w:rPr>
        <w:t xml:space="preserve"> it is</w:t>
      </w:r>
      <w:r w:rsidR="000955CE" w:rsidRPr="00F17109">
        <w:rPr>
          <w:rFonts w:ascii="Arial" w:hAnsi="Arial" w:cs="Arial"/>
          <w:sz w:val="24"/>
          <w:szCs w:val="24"/>
          <w:lang w:val="en-ZA"/>
        </w:rPr>
        <w:t xml:space="preserve"> a prohibition </w:t>
      </w:r>
      <w:r w:rsidR="00674FC5">
        <w:rPr>
          <w:rFonts w:ascii="Arial" w:hAnsi="Arial" w:cs="Arial"/>
          <w:sz w:val="24"/>
          <w:szCs w:val="24"/>
          <w:lang w:val="en-ZA"/>
        </w:rPr>
        <w:t xml:space="preserve">that regulates the </w:t>
      </w:r>
      <w:r w:rsidR="000955CE" w:rsidRPr="00F17109">
        <w:rPr>
          <w:rFonts w:ascii="Arial" w:hAnsi="Arial" w:cs="Arial"/>
          <w:sz w:val="24"/>
          <w:szCs w:val="24"/>
          <w:lang w:val="en-ZA"/>
        </w:rPr>
        <w:t>accept</w:t>
      </w:r>
      <w:r w:rsidR="00674FC5">
        <w:rPr>
          <w:rFonts w:ascii="Arial" w:hAnsi="Arial" w:cs="Arial"/>
          <w:sz w:val="24"/>
          <w:szCs w:val="24"/>
          <w:lang w:val="en-ZA"/>
        </w:rPr>
        <w:t>ance of</w:t>
      </w:r>
      <w:r w:rsidR="000955CE" w:rsidRPr="00F17109">
        <w:rPr>
          <w:rFonts w:ascii="Arial" w:hAnsi="Arial" w:cs="Arial"/>
          <w:sz w:val="24"/>
          <w:szCs w:val="24"/>
          <w:lang w:val="en-ZA"/>
        </w:rPr>
        <w:t xml:space="preserve"> a further brief </w:t>
      </w:r>
      <w:r w:rsidR="000955CE">
        <w:rPr>
          <w:rFonts w:ascii="Arial" w:hAnsi="Arial" w:cs="Arial"/>
          <w:sz w:val="24"/>
          <w:szCs w:val="24"/>
          <w:lang w:val="en-ZA"/>
        </w:rPr>
        <w:t xml:space="preserve">that </w:t>
      </w:r>
      <w:r w:rsidR="000955CE" w:rsidRPr="00F17109">
        <w:rPr>
          <w:rFonts w:ascii="Arial" w:hAnsi="Arial" w:cs="Arial"/>
          <w:sz w:val="24"/>
          <w:szCs w:val="24"/>
          <w:lang w:val="en-ZA"/>
        </w:rPr>
        <w:t xml:space="preserve">is </w:t>
      </w:r>
      <w:r w:rsidR="000955CE" w:rsidRPr="008B5E04">
        <w:rPr>
          <w:rFonts w:ascii="Arial" w:hAnsi="Arial" w:cs="Arial"/>
          <w:sz w:val="24"/>
          <w:szCs w:val="24"/>
          <w:lang w:val="en-ZA"/>
        </w:rPr>
        <w:t>one in subsequent proceedings</w:t>
      </w:r>
      <w:r w:rsidR="00EA479E">
        <w:rPr>
          <w:rFonts w:ascii="Arial" w:hAnsi="Arial" w:cs="Arial"/>
          <w:sz w:val="24"/>
          <w:szCs w:val="24"/>
          <w:lang w:val="en-ZA"/>
        </w:rPr>
        <w:t>,</w:t>
      </w:r>
      <w:r w:rsidR="000955CE" w:rsidRPr="008B5E04">
        <w:rPr>
          <w:rFonts w:ascii="Arial" w:hAnsi="Arial" w:cs="Arial"/>
          <w:sz w:val="24"/>
          <w:szCs w:val="24"/>
          <w:lang w:val="en-ZA"/>
        </w:rPr>
        <w:t xml:space="preserve"> </w:t>
      </w:r>
      <w:r w:rsidR="00EA479E">
        <w:rPr>
          <w:rFonts w:ascii="Arial" w:hAnsi="Arial" w:cs="Arial"/>
          <w:sz w:val="24"/>
          <w:szCs w:val="24"/>
          <w:lang w:val="en-ZA"/>
        </w:rPr>
        <w:t>giving rise to a conflict of interest</w:t>
      </w:r>
      <w:r w:rsidR="00E65D96">
        <w:rPr>
          <w:rFonts w:ascii="Arial" w:hAnsi="Arial" w:cs="Arial"/>
          <w:sz w:val="24"/>
          <w:szCs w:val="24"/>
          <w:lang w:val="en-ZA"/>
        </w:rPr>
        <w:t>.  T</w:t>
      </w:r>
      <w:r>
        <w:rPr>
          <w:rFonts w:ascii="Arial" w:hAnsi="Arial" w:cs="Arial"/>
          <w:sz w:val="24"/>
          <w:szCs w:val="24"/>
          <w:lang w:val="en-ZA"/>
        </w:rPr>
        <w:t>hus</w:t>
      </w:r>
      <w:r w:rsidR="00E65D96">
        <w:rPr>
          <w:rFonts w:ascii="Arial" w:hAnsi="Arial" w:cs="Arial"/>
          <w:sz w:val="24"/>
          <w:szCs w:val="24"/>
          <w:lang w:val="en-ZA"/>
        </w:rPr>
        <w:t>, there is no prohibition against a legal practitioner accepting a second or further brief</w:t>
      </w:r>
      <w:r w:rsidR="000955CE" w:rsidRPr="00F17109">
        <w:rPr>
          <w:rFonts w:ascii="Arial" w:hAnsi="Arial" w:cs="Arial"/>
          <w:sz w:val="24"/>
          <w:szCs w:val="24"/>
          <w:lang w:val="en-ZA"/>
        </w:rPr>
        <w:t xml:space="preserve"> from the liquidator</w:t>
      </w:r>
      <w:r w:rsidR="00E65D96">
        <w:rPr>
          <w:rFonts w:ascii="Arial" w:hAnsi="Arial" w:cs="Arial"/>
          <w:sz w:val="24"/>
          <w:szCs w:val="24"/>
          <w:lang w:val="en-ZA"/>
        </w:rPr>
        <w:t>, trustee,</w:t>
      </w:r>
      <w:r w:rsidR="000955CE" w:rsidRPr="00F17109">
        <w:rPr>
          <w:rFonts w:ascii="Arial" w:hAnsi="Arial" w:cs="Arial"/>
          <w:sz w:val="24"/>
          <w:szCs w:val="24"/>
          <w:lang w:val="en-ZA"/>
        </w:rPr>
        <w:t xml:space="preserve"> or any interested party in </w:t>
      </w:r>
      <w:r w:rsidR="000955CE" w:rsidRPr="008B5E04">
        <w:rPr>
          <w:rFonts w:ascii="Arial" w:hAnsi="Arial" w:cs="Arial"/>
          <w:sz w:val="24"/>
          <w:szCs w:val="24"/>
          <w:lang w:val="en-ZA"/>
        </w:rPr>
        <w:t>other p</w:t>
      </w:r>
      <w:r w:rsidR="000955CE">
        <w:rPr>
          <w:rFonts w:ascii="Arial" w:hAnsi="Arial" w:cs="Arial"/>
          <w:sz w:val="24"/>
          <w:szCs w:val="24"/>
          <w:lang w:val="en-ZA"/>
        </w:rPr>
        <w:t>roceedings</w:t>
      </w:r>
      <w:r w:rsidR="000955CE" w:rsidRPr="00F17109">
        <w:rPr>
          <w:rFonts w:ascii="Arial" w:hAnsi="Arial" w:cs="Arial"/>
          <w:sz w:val="24"/>
          <w:szCs w:val="24"/>
          <w:lang w:val="en-ZA"/>
        </w:rPr>
        <w:t>.</w:t>
      </w:r>
      <w:r>
        <w:rPr>
          <w:rStyle w:val="FootnoteReference"/>
          <w:rFonts w:ascii="Arial" w:hAnsi="Arial" w:cs="Arial"/>
          <w:sz w:val="24"/>
          <w:szCs w:val="24"/>
          <w:lang w:val="en-ZA"/>
        </w:rPr>
        <w:footnoteReference w:id="37"/>
      </w:r>
    </w:p>
    <w:p w14:paraId="00322CD5" w14:textId="476175D9" w:rsidR="00624717" w:rsidRDefault="00E65D96" w:rsidP="00624717">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40</w:t>
      </w:r>
      <w:r>
        <w:rPr>
          <w:rFonts w:ascii="Arial" w:hAnsi="Arial" w:cs="Arial"/>
          <w:sz w:val="24"/>
          <w:szCs w:val="24"/>
          <w:lang w:val="en-ZA"/>
        </w:rPr>
        <w:t>]</w:t>
      </w:r>
      <w:r>
        <w:rPr>
          <w:rFonts w:ascii="Arial" w:hAnsi="Arial" w:cs="Arial"/>
          <w:sz w:val="24"/>
          <w:szCs w:val="24"/>
          <w:lang w:val="en-ZA"/>
        </w:rPr>
        <w:tab/>
        <w:t xml:space="preserve">Our interpretation </w:t>
      </w:r>
      <w:r w:rsidR="006A39DE">
        <w:rPr>
          <w:rFonts w:ascii="Arial" w:hAnsi="Arial" w:cs="Arial"/>
          <w:sz w:val="24"/>
          <w:szCs w:val="24"/>
          <w:lang w:val="en-ZA"/>
        </w:rPr>
        <w:t>is</w:t>
      </w:r>
      <w:r w:rsidR="007F4A46">
        <w:rPr>
          <w:rFonts w:ascii="Arial" w:hAnsi="Arial" w:cs="Arial"/>
          <w:sz w:val="24"/>
          <w:szCs w:val="24"/>
          <w:lang w:val="en-ZA"/>
        </w:rPr>
        <w:t xml:space="preserve"> </w:t>
      </w:r>
      <w:r>
        <w:rPr>
          <w:rFonts w:ascii="Arial" w:hAnsi="Arial" w:cs="Arial"/>
          <w:sz w:val="24"/>
          <w:szCs w:val="24"/>
          <w:lang w:val="en-ZA"/>
        </w:rPr>
        <w:t xml:space="preserve">informed </w:t>
      </w:r>
      <w:r w:rsidR="00674FC5">
        <w:rPr>
          <w:rFonts w:ascii="Arial" w:hAnsi="Arial" w:cs="Arial"/>
          <w:sz w:val="24"/>
          <w:szCs w:val="24"/>
          <w:lang w:val="en-ZA"/>
        </w:rPr>
        <w:t xml:space="preserve">by the context </w:t>
      </w:r>
      <w:r w:rsidR="006A39DE">
        <w:rPr>
          <w:rFonts w:ascii="Arial" w:hAnsi="Arial" w:cs="Arial"/>
          <w:sz w:val="24"/>
          <w:szCs w:val="24"/>
          <w:lang w:val="en-ZA"/>
        </w:rPr>
        <w:t xml:space="preserve">that </w:t>
      </w:r>
      <w:r w:rsidR="000955CE">
        <w:rPr>
          <w:rFonts w:ascii="Arial" w:hAnsi="Arial" w:cs="Arial"/>
          <w:sz w:val="24"/>
          <w:szCs w:val="24"/>
          <w:lang w:val="en-ZA"/>
        </w:rPr>
        <w:t xml:space="preserve">a legal practitioner who acts for a petitioning creditor </w:t>
      </w:r>
      <w:r w:rsidR="00674FC5">
        <w:rPr>
          <w:rFonts w:ascii="Arial" w:hAnsi="Arial" w:cs="Arial"/>
          <w:sz w:val="24"/>
          <w:szCs w:val="24"/>
          <w:lang w:val="en-ZA"/>
        </w:rPr>
        <w:t xml:space="preserve">in </w:t>
      </w:r>
      <w:r w:rsidR="000955CE">
        <w:rPr>
          <w:rFonts w:ascii="Arial" w:hAnsi="Arial" w:cs="Arial"/>
          <w:sz w:val="24"/>
          <w:szCs w:val="24"/>
          <w:lang w:val="en-ZA"/>
        </w:rPr>
        <w:t xml:space="preserve">seeking to sequestrate an estate </w:t>
      </w:r>
      <w:r>
        <w:rPr>
          <w:rFonts w:ascii="Arial" w:hAnsi="Arial" w:cs="Arial"/>
          <w:sz w:val="24"/>
          <w:szCs w:val="24"/>
          <w:lang w:val="en-ZA"/>
        </w:rPr>
        <w:t>based on</w:t>
      </w:r>
      <w:r w:rsidR="000955CE">
        <w:rPr>
          <w:rFonts w:ascii="Arial" w:hAnsi="Arial" w:cs="Arial"/>
          <w:sz w:val="24"/>
          <w:szCs w:val="24"/>
          <w:lang w:val="en-ZA"/>
        </w:rPr>
        <w:t xml:space="preserve"> a debt owed is acting not to recover the debt </w:t>
      </w:r>
      <w:r>
        <w:rPr>
          <w:rFonts w:ascii="Arial" w:hAnsi="Arial" w:cs="Arial"/>
          <w:sz w:val="24"/>
          <w:szCs w:val="24"/>
          <w:lang w:val="en-ZA"/>
        </w:rPr>
        <w:t>owed</w:t>
      </w:r>
      <w:r w:rsidR="00674FC5">
        <w:rPr>
          <w:rFonts w:ascii="Arial" w:hAnsi="Arial" w:cs="Arial"/>
          <w:sz w:val="24"/>
          <w:szCs w:val="24"/>
          <w:lang w:val="en-ZA"/>
        </w:rPr>
        <w:t xml:space="preserve"> </w:t>
      </w:r>
      <w:r w:rsidR="000955CE">
        <w:rPr>
          <w:rFonts w:ascii="Arial" w:hAnsi="Arial" w:cs="Arial"/>
          <w:sz w:val="24"/>
          <w:szCs w:val="24"/>
          <w:lang w:val="en-ZA"/>
        </w:rPr>
        <w:t>but instead</w:t>
      </w:r>
      <w:r w:rsidR="00624717">
        <w:rPr>
          <w:rFonts w:ascii="Arial" w:hAnsi="Arial" w:cs="Arial"/>
          <w:sz w:val="24"/>
          <w:szCs w:val="24"/>
          <w:lang w:val="en-ZA"/>
        </w:rPr>
        <w:t xml:space="preserve"> </w:t>
      </w:r>
      <w:r w:rsidR="000955CE">
        <w:rPr>
          <w:rFonts w:ascii="Arial" w:hAnsi="Arial" w:cs="Arial"/>
          <w:sz w:val="24"/>
          <w:szCs w:val="24"/>
          <w:lang w:val="en-ZA"/>
        </w:rPr>
        <w:t xml:space="preserve">to place the hand of the law on the estate for the benefit of its creditors.  </w:t>
      </w:r>
      <w:r w:rsidR="00624717">
        <w:rPr>
          <w:rFonts w:ascii="Arial" w:hAnsi="Arial" w:cs="Arial"/>
          <w:sz w:val="24"/>
          <w:szCs w:val="24"/>
          <w:lang w:val="en-ZA"/>
        </w:rPr>
        <w:t xml:space="preserve">Thus, when a </w:t>
      </w:r>
      <w:r w:rsidR="000955CE">
        <w:rPr>
          <w:rFonts w:ascii="Arial" w:hAnsi="Arial" w:cs="Arial"/>
          <w:sz w:val="24"/>
          <w:szCs w:val="24"/>
          <w:lang w:val="en-ZA"/>
        </w:rPr>
        <w:t xml:space="preserve">legal practitioner </w:t>
      </w:r>
      <w:r w:rsidR="00674FC5">
        <w:rPr>
          <w:rFonts w:ascii="Arial" w:hAnsi="Arial" w:cs="Arial"/>
          <w:sz w:val="24"/>
          <w:szCs w:val="24"/>
          <w:lang w:val="en-ZA"/>
        </w:rPr>
        <w:t xml:space="preserve">subsequently </w:t>
      </w:r>
      <w:r w:rsidR="000955CE">
        <w:rPr>
          <w:rFonts w:ascii="Arial" w:hAnsi="Arial" w:cs="Arial"/>
          <w:sz w:val="24"/>
          <w:szCs w:val="24"/>
          <w:lang w:val="en-ZA"/>
        </w:rPr>
        <w:t>accept</w:t>
      </w:r>
      <w:r w:rsidR="00624717">
        <w:rPr>
          <w:rFonts w:ascii="Arial" w:hAnsi="Arial" w:cs="Arial"/>
          <w:sz w:val="24"/>
          <w:szCs w:val="24"/>
          <w:lang w:val="en-ZA"/>
        </w:rPr>
        <w:t>s</w:t>
      </w:r>
      <w:r w:rsidR="000955CE">
        <w:rPr>
          <w:rFonts w:ascii="Arial" w:hAnsi="Arial" w:cs="Arial"/>
          <w:sz w:val="24"/>
          <w:szCs w:val="24"/>
          <w:lang w:val="en-ZA"/>
        </w:rPr>
        <w:t xml:space="preserve"> a brief from the duly appointed insolvency trustee</w:t>
      </w:r>
      <w:r w:rsidR="00674FC5">
        <w:rPr>
          <w:rFonts w:ascii="Arial" w:hAnsi="Arial" w:cs="Arial"/>
          <w:sz w:val="24"/>
          <w:szCs w:val="24"/>
          <w:lang w:val="en-ZA"/>
        </w:rPr>
        <w:t xml:space="preserve"> or liquidator, </w:t>
      </w:r>
      <w:r w:rsidR="000955CE">
        <w:rPr>
          <w:rFonts w:ascii="Arial" w:hAnsi="Arial" w:cs="Arial"/>
          <w:sz w:val="24"/>
          <w:szCs w:val="24"/>
          <w:lang w:val="en-ZA"/>
        </w:rPr>
        <w:t xml:space="preserve"> the practitioner </w:t>
      </w:r>
      <w:r w:rsidR="000955CE">
        <w:rPr>
          <w:rFonts w:ascii="Arial" w:hAnsi="Arial" w:cs="Arial"/>
          <w:sz w:val="24"/>
          <w:szCs w:val="24"/>
          <w:lang w:val="en-ZA"/>
        </w:rPr>
        <w:lastRenderedPageBreak/>
        <w:t xml:space="preserve">would not be acting for the </w:t>
      </w:r>
      <w:r w:rsidR="001F76E7">
        <w:rPr>
          <w:rFonts w:ascii="Arial" w:hAnsi="Arial" w:cs="Arial"/>
          <w:sz w:val="24"/>
          <w:szCs w:val="24"/>
          <w:lang w:val="en-ZA"/>
        </w:rPr>
        <w:t xml:space="preserve">petitioning creditor </w:t>
      </w:r>
      <w:r w:rsidR="00674FC5">
        <w:rPr>
          <w:rFonts w:ascii="Arial" w:hAnsi="Arial" w:cs="Arial"/>
          <w:sz w:val="24"/>
          <w:szCs w:val="24"/>
          <w:lang w:val="en-ZA"/>
        </w:rPr>
        <w:t xml:space="preserve">(anymore) </w:t>
      </w:r>
      <w:r w:rsidR="000955CE">
        <w:rPr>
          <w:rFonts w:ascii="Arial" w:hAnsi="Arial" w:cs="Arial"/>
          <w:sz w:val="24"/>
          <w:szCs w:val="24"/>
          <w:lang w:val="en-ZA"/>
        </w:rPr>
        <w:t>but for th</w:t>
      </w:r>
      <w:r w:rsidR="00674FC5">
        <w:rPr>
          <w:rFonts w:ascii="Arial" w:hAnsi="Arial" w:cs="Arial"/>
          <w:sz w:val="24"/>
          <w:szCs w:val="24"/>
          <w:lang w:val="en-ZA"/>
        </w:rPr>
        <w:t>e</w:t>
      </w:r>
      <w:r w:rsidR="000955CE">
        <w:rPr>
          <w:rFonts w:ascii="Arial" w:hAnsi="Arial" w:cs="Arial"/>
          <w:sz w:val="24"/>
          <w:szCs w:val="24"/>
          <w:lang w:val="en-ZA"/>
        </w:rPr>
        <w:t xml:space="preserve"> trustees </w:t>
      </w:r>
      <w:r w:rsidR="00674FC5">
        <w:rPr>
          <w:rFonts w:ascii="Arial" w:hAnsi="Arial" w:cs="Arial"/>
          <w:sz w:val="24"/>
          <w:szCs w:val="24"/>
          <w:lang w:val="en-ZA"/>
        </w:rPr>
        <w:t xml:space="preserve">or liquidators </w:t>
      </w:r>
      <w:r w:rsidR="000955CE">
        <w:rPr>
          <w:rFonts w:ascii="Arial" w:hAnsi="Arial" w:cs="Arial"/>
          <w:sz w:val="24"/>
          <w:szCs w:val="24"/>
          <w:lang w:val="en-ZA"/>
        </w:rPr>
        <w:t xml:space="preserve">in the interests of the </w:t>
      </w:r>
      <w:r w:rsidR="00674FC5">
        <w:rPr>
          <w:rFonts w:ascii="Arial" w:hAnsi="Arial" w:cs="Arial"/>
          <w:sz w:val="24"/>
          <w:szCs w:val="24"/>
          <w:lang w:val="en-ZA"/>
        </w:rPr>
        <w:t>estate's creditors</w:t>
      </w:r>
      <w:r w:rsidR="000955CE">
        <w:rPr>
          <w:rFonts w:ascii="Arial" w:hAnsi="Arial" w:cs="Arial"/>
          <w:sz w:val="24"/>
          <w:szCs w:val="24"/>
          <w:lang w:val="en-ZA"/>
        </w:rPr>
        <w:t>.</w:t>
      </w:r>
      <w:r w:rsidR="000A065A">
        <w:rPr>
          <w:rStyle w:val="FootnoteReference"/>
          <w:rFonts w:ascii="Arial" w:hAnsi="Arial" w:cs="Arial"/>
          <w:sz w:val="24"/>
          <w:szCs w:val="24"/>
          <w:lang w:val="en-ZA"/>
        </w:rPr>
        <w:footnoteReference w:id="38"/>
      </w:r>
    </w:p>
    <w:p w14:paraId="574224FC" w14:textId="715E7FA7" w:rsidR="006B3283" w:rsidRDefault="003A28AD" w:rsidP="006A39DE">
      <w:pPr>
        <w:snapToGrid w:val="0"/>
        <w:spacing w:after="120" w:line="360" w:lineRule="auto"/>
        <w:jc w:val="both"/>
        <w:rPr>
          <w:rFonts w:ascii="Arial" w:hAnsi="Arial" w:cs="Arial"/>
          <w:sz w:val="24"/>
          <w:szCs w:val="24"/>
          <w:lang w:val="en-ZA"/>
        </w:rPr>
      </w:pPr>
      <w:r>
        <w:rPr>
          <w:rFonts w:ascii="Arial" w:hAnsi="Arial" w:cs="Arial"/>
          <w:sz w:val="24"/>
          <w:szCs w:val="24"/>
          <w:lang w:val="en-ZA"/>
        </w:rPr>
        <w:t>[4</w:t>
      </w:r>
      <w:r w:rsidR="008F7B89">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006B3283">
        <w:rPr>
          <w:rFonts w:ascii="Arial" w:hAnsi="Arial" w:cs="Arial"/>
          <w:sz w:val="24"/>
          <w:szCs w:val="24"/>
          <w:lang w:val="en-ZA"/>
        </w:rPr>
        <w:t xml:space="preserve">In the reasons for its decision </w:t>
      </w:r>
      <w:r w:rsidR="006B7775">
        <w:rPr>
          <w:rFonts w:ascii="Arial" w:hAnsi="Arial" w:cs="Arial"/>
          <w:sz w:val="24"/>
          <w:szCs w:val="24"/>
          <w:lang w:val="en-ZA"/>
        </w:rPr>
        <w:t xml:space="preserve">about </w:t>
      </w:r>
      <w:r>
        <w:rPr>
          <w:rFonts w:ascii="Arial" w:hAnsi="Arial" w:cs="Arial"/>
          <w:sz w:val="24"/>
          <w:szCs w:val="24"/>
          <w:lang w:val="en-ZA"/>
        </w:rPr>
        <w:t xml:space="preserve">the wearing of </w:t>
      </w:r>
      <w:r w:rsidR="00AF4AB1">
        <w:rPr>
          <w:rFonts w:ascii="Arial" w:hAnsi="Arial" w:cs="Arial"/>
          <w:sz w:val="24"/>
          <w:szCs w:val="24"/>
          <w:lang w:val="en-ZA"/>
        </w:rPr>
        <w:t xml:space="preserve">the </w:t>
      </w:r>
      <w:r>
        <w:rPr>
          <w:rFonts w:ascii="Arial" w:hAnsi="Arial" w:cs="Arial"/>
          <w:sz w:val="24"/>
          <w:szCs w:val="24"/>
          <w:lang w:val="en-ZA"/>
        </w:rPr>
        <w:t xml:space="preserve">two hats complaint by the applicant regarding the conduct of the third respondent in representing the various trustees and liquidators (which is the main complaint and at the core of this review application), </w:t>
      </w:r>
      <w:r w:rsidR="006B3283">
        <w:rPr>
          <w:rFonts w:ascii="Arial" w:hAnsi="Arial" w:cs="Arial"/>
          <w:sz w:val="24"/>
          <w:szCs w:val="24"/>
          <w:lang w:val="en-ZA"/>
        </w:rPr>
        <w:t>the first respondent ha</w:t>
      </w:r>
      <w:r>
        <w:rPr>
          <w:rFonts w:ascii="Arial" w:hAnsi="Arial" w:cs="Arial"/>
          <w:sz w:val="24"/>
          <w:szCs w:val="24"/>
          <w:lang w:val="en-ZA"/>
        </w:rPr>
        <w:t>d</w:t>
      </w:r>
      <w:r w:rsidR="006B3283">
        <w:rPr>
          <w:rFonts w:ascii="Arial" w:hAnsi="Arial" w:cs="Arial"/>
          <w:sz w:val="24"/>
          <w:szCs w:val="24"/>
          <w:lang w:val="en-ZA"/>
        </w:rPr>
        <w:t xml:space="preserve"> the following to say [</w:t>
      </w:r>
      <w:r w:rsidR="006B3283" w:rsidRPr="006B3283">
        <w:rPr>
          <w:rFonts w:ascii="Arial" w:hAnsi="Arial" w:cs="Arial"/>
          <w:i/>
          <w:iCs/>
          <w:sz w:val="24"/>
          <w:szCs w:val="24"/>
          <w:lang w:val="en-ZA"/>
        </w:rPr>
        <w:t>sic</w:t>
      </w:r>
      <w:r w:rsidR="006B3283">
        <w:rPr>
          <w:rFonts w:ascii="Arial" w:hAnsi="Arial" w:cs="Arial"/>
          <w:sz w:val="24"/>
          <w:szCs w:val="24"/>
          <w:lang w:val="en-ZA"/>
        </w:rPr>
        <w:t>]:</w:t>
      </w:r>
    </w:p>
    <w:p w14:paraId="1F91C5C5" w14:textId="77777777" w:rsidR="006B3283" w:rsidRDefault="006B3283" w:rsidP="006B3283">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0955CE">
        <w:rPr>
          <w:rFonts w:ascii="Arial" w:hAnsi="Arial" w:cs="Arial"/>
          <w:i/>
          <w:iCs/>
          <w:sz w:val="24"/>
          <w:szCs w:val="24"/>
          <w:lang w:val="en-ZA"/>
        </w:rPr>
        <w:t>There was no information before the committee which suggested that there was a conflict of interest which emerged subsequently either and that the legal practitioner did not comply with the ethical obligation to withdraw</w:t>
      </w:r>
      <w:r>
        <w:rPr>
          <w:rFonts w:ascii="Arial" w:hAnsi="Arial" w:cs="Arial"/>
          <w:i/>
          <w:iCs/>
          <w:sz w:val="24"/>
          <w:szCs w:val="24"/>
          <w:lang w:val="en-ZA"/>
        </w:rPr>
        <w:t>…’</w:t>
      </w:r>
      <w:r w:rsidR="003A28AD">
        <w:rPr>
          <w:rStyle w:val="FootnoteReference"/>
          <w:rFonts w:ascii="Arial" w:hAnsi="Arial" w:cs="Arial"/>
          <w:i/>
          <w:iCs/>
          <w:sz w:val="24"/>
          <w:szCs w:val="24"/>
          <w:lang w:val="en-ZA"/>
        </w:rPr>
        <w:footnoteReference w:id="39"/>
      </w:r>
    </w:p>
    <w:p w14:paraId="23943914" w14:textId="4C93A2BF" w:rsidR="000211BA" w:rsidRDefault="003A28AD" w:rsidP="000211BA">
      <w:pPr>
        <w:snapToGrid w:val="0"/>
        <w:spacing w:after="120" w:line="360" w:lineRule="auto"/>
        <w:jc w:val="both"/>
        <w:rPr>
          <w:rFonts w:ascii="Arial" w:hAnsi="Arial" w:cs="Arial"/>
          <w:color w:val="000000"/>
          <w:sz w:val="24"/>
          <w:szCs w:val="24"/>
        </w:rPr>
      </w:pPr>
      <w:r>
        <w:rPr>
          <w:rFonts w:ascii="Arial" w:hAnsi="Arial" w:cs="Arial"/>
          <w:sz w:val="24"/>
          <w:szCs w:val="24"/>
          <w:lang w:val="en-ZA"/>
        </w:rPr>
        <w:t>[4</w:t>
      </w:r>
      <w:r w:rsidR="008F7B89">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805200" w:rsidRPr="000211BA">
        <w:rPr>
          <w:rFonts w:ascii="Arial" w:hAnsi="Arial" w:cs="Arial"/>
          <w:color w:val="000000"/>
          <w:sz w:val="24"/>
          <w:szCs w:val="24"/>
        </w:rPr>
        <w:t>A conflict of interest is a situation in which a person or entity has competing interests or loyalties that could compromise their ability to act impartially or in the best interest of their clients.</w:t>
      </w:r>
      <w:r w:rsidR="000A065A">
        <w:rPr>
          <w:rFonts w:ascii="Arial" w:hAnsi="Arial" w:cs="Arial"/>
          <w:color w:val="000000"/>
          <w:sz w:val="24"/>
          <w:szCs w:val="24"/>
        </w:rPr>
        <w:t xml:space="preserve">  </w:t>
      </w:r>
      <w:r w:rsidR="000211BA">
        <w:rPr>
          <w:rFonts w:ascii="Arial" w:hAnsi="Arial" w:cs="Arial"/>
          <w:color w:val="000000"/>
          <w:sz w:val="24"/>
          <w:szCs w:val="24"/>
        </w:rPr>
        <w:t xml:space="preserve">Conflicts of interest are taken very seriously in the legal profession, as they should be.  They can undermine the integrity of the legal system and erode public trust in the profession.  Legal practitioners </w:t>
      </w:r>
      <w:r w:rsidR="00805200" w:rsidRPr="000211BA">
        <w:rPr>
          <w:rFonts w:ascii="Arial" w:hAnsi="Arial" w:cs="Arial"/>
          <w:color w:val="000000"/>
          <w:sz w:val="24"/>
          <w:szCs w:val="24"/>
        </w:rPr>
        <w:t>have a fiduciary duty to act in the best interests of their clients and to avoid any conflicts that could compromise their ability to do so.</w:t>
      </w:r>
      <w:r w:rsidR="000211BA" w:rsidRPr="000211BA">
        <w:rPr>
          <w:rFonts w:ascii="Arial" w:hAnsi="Arial" w:cs="Arial"/>
          <w:color w:val="000000"/>
          <w:sz w:val="24"/>
          <w:szCs w:val="24"/>
        </w:rPr>
        <w:t xml:space="preserve"> </w:t>
      </w:r>
      <w:r w:rsidR="000A065A">
        <w:rPr>
          <w:rFonts w:ascii="Arial" w:hAnsi="Arial" w:cs="Arial"/>
          <w:color w:val="000000"/>
          <w:sz w:val="24"/>
          <w:szCs w:val="24"/>
        </w:rPr>
        <w:t xml:space="preserve"> </w:t>
      </w:r>
      <w:r w:rsidR="00805200" w:rsidRPr="000211BA">
        <w:rPr>
          <w:rFonts w:ascii="Arial" w:hAnsi="Arial" w:cs="Arial"/>
          <w:color w:val="000000"/>
          <w:sz w:val="24"/>
          <w:szCs w:val="24"/>
        </w:rPr>
        <w:t>Conflicts of interest can arise in various ways in the legal field.</w:t>
      </w:r>
      <w:r w:rsidR="000211BA">
        <w:rPr>
          <w:rStyle w:val="FootnoteReference"/>
          <w:rFonts w:ascii="Arial" w:hAnsi="Arial" w:cs="Arial"/>
          <w:color w:val="000000"/>
          <w:sz w:val="24"/>
          <w:szCs w:val="24"/>
        </w:rPr>
        <w:footnoteReference w:id="40"/>
      </w:r>
    </w:p>
    <w:p w14:paraId="085E8AF6" w14:textId="5F692206" w:rsidR="000211BA" w:rsidRDefault="000211BA" w:rsidP="000211BA">
      <w:pPr>
        <w:snapToGrid w:val="0"/>
        <w:spacing w:after="120" w:line="360" w:lineRule="auto"/>
        <w:jc w:val="both"/>
        <w:rPr>
          <w:rFonts w:ascii="Arial" w:hAnsi="Arial" w:cs="Arial"/>
          <w:color w:val="000000"/>
          <w:sz w:val="24"/>
          <w:szCs w:val="24"/>
        </w:rPr>
      </w:pPr>
      <w:r>
        <w:rPr>
          <w:rFonts w:ascii="Arial" w:hAnsi="Arial" w:cs="Arial"/>
          <w:color w:val="000000"/>
          <w:sz w:val="24"/>
          <w:szCs w:val="24"/>
        </w:rPr>
        <w:t>[4</w:t>
      </w:r>
      <w:r w:rsidR="008F7B89">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A c</w:t>
      </w:r>
      <w:r w:rsidR="00805200" w:rsidRPr="000211BA">
        <w:rPr>
          <w:rFonts w:ascii="Arial" w:hAnsi="Arial" w:cs="Arial"/>
          <w:color w:val="000000"/>
          <w:sz w:val="24"/>
          <w:szCs w:val="24"/>
        </w:rPr>
        <w:t xml:space="preserve">onflict of interest can also arise when a </w:t>
      </w:r>
      <w:r>
        <w:rPr>
          <w:rFonts w:ascii="Arial" w:hAnsi="Arial" w:cs="Arial"/>
          <w:color w:val="000000"/>
          <w:sz w:val="24"/>
          <w:szCs w:val="24"/>
        </w:rPr>
        <w:t>legal practitioner</w:t>
      </w:r>
      <w:r w:rsidR="00805200" w:rsidRPr="000211BA">
        <w:rPr>
          <w:rFonts w:ascii="Arial" w:hAnsi="Arial" w:cs="Arial"/>
          <w:color w:val="000000"/>
          <w:sz w:val="24"/>
          <w:szCs w:val="24"/>
        </w:rPr>
        <w:t xml:space="preserve"> has a personal or financial interest that could affect their professional judgment. </w:t>
      </w:r>
      <w:r>
        <w:rPr>
          <w:rFonts w:ascii="Arial" w:hAnsi="Arial" w:cs="Arial"/>
          <w:color w:val="000000"/>
          <w:sz w:val="24"/>
          <w:szCs w:val="24"/>
        </w:rPr>
        <w:t xml:space="preserve"> I</w:t>
      </w:r>
      <w:r w:rsidR="00805200" w:rsidRPr="000211BA">
        <w:rPr>
          <w:rFonts w:ascii="Arial" w:hAnsi="Arial" w:cs="Arial"/>
          <w:color w:val="000000"/>
          <w:sz w:val="24"/>
          <w:szCs w:val="24"/>
        </w:rPr>
        <w:t>f a</w:t>
      </w:r>
      <w:r>
        <w:rPr>
          <w:rFonts w:ascii="Arial" w:hAnsi="Arial" w:cs="Arial"/>
          <w:color w:val="000000"/>
          <w:sz w:val="24"/>
          <w:szCs w:val="24"/>
        </w:rPr>
        <w:t xml:space="preserve"> legal practitioner</w:t>
      </w:r>
      <w:r w:rsidR="00805200" w:rsidRPr="000211BA">
        <w:rPr>
          <w:rFonts w:ascii="Arial" w:hAnsi="Arial" w:cs="Arial"/>
          <w:color w:val="000000"/>
          <w:sz w:val="24"/>
          <w:szCs w:val="24"/>
        </w:rPr>
        <w:t xml:space="preserve"> has a close personal relationship with a party involved in a case or has a financial stake in the outcome, </w:t>
      </w:r>
      <w:r>
        <w:rPr>
          <w:rFonts w:ascii="Arial" w:hAnsi="Arial" w:cs="Arial"/>
          <w:color w:val="000000"/>
          <w:sz w:val="24"/>
          <w:szCs w:val="24"/>
        </w:rPr>
        <w:t xml:space="preserve">his or her </w:t>
      </w:r>
      <w:r w:rsidR="00805200" w:rsidRPr="000211BA">
        <w:rPr>
          <w:rFonts w:ascii="Arial" w:hAnsi="Arial" w:cs="Arial"/>
          <w:color w:val="000000"/>
          <w:sz w:val="24"/>
          <w:szCs w:val="24"/>
        </w:rPr>
        <w:t xml:space="preserve">ability to provide unbiased advice and representation may be compromised. </w:t>
      </w:r>
      <w:r>
        <w:rPr>
          <w:rFonts w:ascii="Arial" w:hAnsi="Arial" w:cs="Arial"/>
          <w:color w:val="000000"/>
          <w:sz w:val="24"/>
          <w:szCs w:val="24"/>
        </w:rPr>
        <w:t xml:space="preserve"> This seems to be the real issue</w:t>
      </w:r>
      <w:r w:rsidR="00FA2EC1">
        <w:rPr>
          <w:rFonts w:ascii="Arial" w:hAnsi="Arial" w:cs="Arial"/>
          <w:color w:val="000000"/>
          <w:sz w:val="24"/>
          <w:szCs w:val="24"/>
        </w:rPr>
        <w:t xml:space="preserve"> of</w:t>
      </w:r>
      <w:r>
        <w:rPr>
          <w:rFonts w:ascii="Arial" w:hAnsi="Arial" w:cs="Arial"/>
          <w:color w:val="000000"/>
          <w:sz w:val="24"/>
          <w:szCs w:val="24"/>
        </w:rPr>
        <w:t xml:space="preserve"> the applicant in connection with all his complaints.</w:t>
      </w:r>
      <w:r>
        <w:rPr>
          <w:rStyle w:val="FootnoteReference"/>
          <w:rFonts w:ascii="Arial" w:hAnsi="Arial" w:cs="Arial"/>
          <w:color w:val="000000"/>
          <w:sz w:val="24"/>
          <w:szCs w:val="24"/>
        </w:rPr>
        <w:footnoteReference w:id="41"/>
      </w:r>
    </w:p>
    <w:p w14:paraId="2E05B8EA" w14:textId="0FB8DA97" w:rsidR="007D0C98" w:rsidRDefault="007D0C98" w:rsidP="000211BA">
      <w:pPr>
        <w:snapToGrid w:val="0"/>
        <w:spacing w:after="120" w:line="360" w:lineRule="auto"/>
        <w:jc w:val="both"/>
        <w:rPr>
          <w:rFonts w:ascii="Arial" w:hAnsi="Arial" w:cs="Arial"/>
          <w:color w:val="000000"/>
          <w:sz w:val="24"/>
          <w:szCs w:val="24"/>
        </w:rPr>
      </w:pPr>
      <w:r>
        <w:rPr>
          <w:rFonts w:ascii="Arial" w:hAnsi="Arial" w:cs="Arial"/>
          <w:color w:val="000000"/>
          <w:sz w:val="24"/>
          <w:szCs w:val="24"/>
        </w:rPr>
        <w:t>[4</w:t>
      </w:r>
      <w:r w:rsidR="008F7B89">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t xml:space="preserve">Thus, legal practitioners </w:t>
      </w:r>
      <w:r w:rsidR="00805200" w:rsidRPr="000211BA">
        <w:rPr>
          <w:rFonts w:ascii="Arial" w:hAnsi="Arial" w:cs="Arial"/>
          <w:color w:val="000000"/>
          <w:sz w:val="24"/>
          <w:szCs w:val="24"/>
        </w:rPr>
        <w:t xml:space="preserve">are subject to ethical rules and professional conduct guidelines that explicitly address conflicts of interest. </w:t>
      </w:r>
      <w:r>
        <w:rPr>
          <w:rFonts w:ascii="Arial" w:hAnsi="Arial" w:cs="Arial"/>
          <w:color w:val="000000"/>
          <w:sz w:val="24"/>
          <w:szCs w:val="24"/>
        </w:rPr>
        <w:t xml:space="preserve"> </w:t>
      </w:r>
      <w:r w:rsidR="00805200" w:rsidRPr="000211BA">
        <w:rPr>
          <w:rFonts w:ascii="Arial" w:hAnsi="Arial" w:cs="Arial"/>
          <w:color w:val="000000"/>
          <w:sz w:val="24"/>
          <w:szCs w:val="24"/>
        </w:rPr>
        <w:t xml:space="preserve">These rules </w:t>
      </w:r>
      <w:r>
        <w:rPr>
          <w:rFonts w:ascii="Arial" w:hAnsi="Arial" w:cs="Arial"/>
          <w:color w:val="000000"/>
          <w:sz w:val="24"/>
          <w:szCs w:val="24"/>
        </w:rPr>
        <w:t>guide</w:t>
      </w:r>
      <w:r w:rsidR="00805200" w:rsidRPr="000211BA">
        <w:rPr>
          <w:rFonts w:ascii="Arial" w:hAnsi="Arial" w:cs="Arial"/>
          <w:color w:val="000000"/>
          <w:sz w:val="24"/>
          <w:szCs w:val="24"/>
        </w:rPr>
        <w:t xml:space="preserve"> </w:t>
      </w:r>
      <w:r>
        <w:rPr>
          <w:rFonts w:ascii="Arial" w:hAnsi="Arial" w:cs="Arial"/>
          <w:color w:val="000000"/>
          <w:sz w:val="24"/>
          <w:szCs w:val="24"/>
        </w:rPr>
        <w:t>legal practitioners in identifying and managing</w:t>
      </w:r>
      <w:r w:rsidR="00805200" w:rsidRPr="000211BA">
        <w:rPr>
          <w:rFonts w:ascii="Arial" w:hAnsi="Arial" w:cs="Arial"/>
          <w:color w:val="000000"/>
          <w:sz w:val="24"/>
          <w:szCs w:val="24"/>
        </w:rPr>
        <w:t xml:space="preserve"> conflicts</w:t>
      </w:r>
      <w:r w:rsidR="000A065A">
        <w:rPr>
          <w:rFonts w:ascii="Arial" w:hAnsi="Arial" w:cs="Arial"/>
          <w:color w:val="000000"/>
          <w:sz w:val="24"/>
          <w:szCs w:val="24"/>
        </w:rPr>
        <w:t xml:space="preserve">.  </w:t>
      </w:r>
      <w:r>
        <w:rPr>
          <w:rFonts w:ascii="Arial" w:hAnsi="Arial" w:cs="Arial"/>
          <w:color w:val="000000"/>
          <w:sz w:val="24"/>
          <w:szCs w:val="24"/>
        </w:rPr>
        <w:t xml:space="preserve">Legal practitioners must diligently identify and manage conflicts of interest to maintain the integrity of the legal profession and ensure the highest level of representation for their clients. </w:t>
      </w:r>
      <w:r w:rsidR="00181C26">
        <w:rPr>
          <w:rFonts w:ascii="Arial" w:hAnsi="Arial" w:cs="Arial"/>
          <w:color w:val="000000"/>
          <w:sz w:val="24"/>
          <w:szCs w:val="24"/>
        </w:rPr>
        <w:t xml:space="preserve"> </w:t>
      </w:r>
      <w:r>
        <w:rPr>
          <w:rFonts w:ascii="Arial" w:hAnsi="Arial" w:cs="Arial"/>
          <w:color w:val="000000"/>
          <w:sz w:val="24"/>
          <w:szCs w:val="24"/>
        </w:rPr>
        <w:t xml:space="preserve">Due to their roles and responsibilities, a conflict of interest may readily arise for legal practitioners when </w:t>
      </w:r>
      <w:r>
        <w:rPr>
          <w:rFonts w:ascii="Arial" w:hAnsi="Arial" w:cs="Arial"/>
          <w:color w:val="000000"/>
          <w:sz w:val="24"/>
          <w:szCs w:val="24"/>
        </w:rPr>
        <w:lastRenderedPageBreak/>
        <w:t>dealing with liquidators and truste</w:t>
      </w:r>
      <w:r w:rsidR="000211BA" w:rsidRPr="000211BA">
        <w:rPr>
          <w:rFonts w:ascii="Arial" w:hAnsi="Arial" w:cs="Arial"/>
          <w:color w:val="000000"/>
          <w:sz w:val="24"/>
          <w:szCs w:val="24"/>
        </w:rPr>
        <w:t>es</w:t>
      </w:r>
      <w:r>
        <w:rPr>
          <w:rFonts w:ascii="Arial" w:hAnsi="Arial" w:cs="Arial"/>
          <w:color w:val="000000"/>
          <w:sz w:val="24"/>
          <w:szCs w:val="24"/>
        </w:rPr>
        <w:t xml:space="preserve">, which </w:t>
      </w:r>
      <w:r w:rsidR="000211BA" w:rsidRPr="000211BA">
        <w:rPr>
          <w:rFonts w:ascii="Arial" w:hAnsi="Arial" w:cs="Arial"/>
          <w:color w:val="000000"/>
          <w:sz w:val="24"/>
          <w:szCs w:val="24"/>
        </w:rPr>
        <w:t xml:space="preserve">could compromise their ability to provide unbiased </w:t>
      </w:r>
      <w:r w:rsidR="00AF4AB1">
        <w:rPr>
          <w:rFonts w:ascii="Arial" w:hAnsi="Arial" w:cs="Arial"/>
          <w:color w:val="000000"/>
          <w:sz w:val="24"/>
          <w:szCs w:val="24"/>
        </w:rPr>
        <w:t xml:space="preserve">advice, especially </w:t>
      </w:r>
      <w:r w:rsidR="000211BA" w:rsidRPr="000211BA">
        <w:rPr>
          <w:rFonts w:ascii="Arial" w:hAnsi="Arial" w:cs="Arial"/>
          <w:color w:val="000000"/>
          <w:sz w:val="24"/>
          <w:szCs w:val="24"/>
        </w:rPr>
        <w:t xml:space="preserve">if the </w:t>
      </w:r>
      <w:r>
        <w:rPr>
          <w:rFonts w:ascii="Arial" w:hAnsi="Arial" w:cs="Arial"/>
          <w:color w:val="000000"/>
          <w:sz w:val="24"/>
          <w:szCs w:val="24"/>
        </w:rPr>
        <w:t xml:space="preserve">legal practitioner </w:t>
      </w:r>
      <w:r w:rsidR="000211BA" w:rsidRPr="000211BA">
        <w:rPr>
          <w:rFonts w:ascii="Arial" w:hAnsi="Arial" w:cs="Arial"/>
          <w:color w:val="000000"/>
          <w:sz w:val="24"/>
          <w:szCs w:val="24"/>
        </w:rPr>
        <w:t>has a</w:t>
      </w:r>
      <w:r>
        <w:rPr>
          <w:rFonts w:ascii="Arial" w:hAnsi="Arial" w:cs="Arial"/>
          <w:color w:val="000000"/>
          <w:sz w:val="24"/>
          <w:szCs w:val="24"/>
        </w:rPr>
        <w:t xml:space="preserve"> </w:t>
      </w:r>
      <w:r w:rsidR="000211BA" w:rsidRPr="000211BA">
        <w:rPr>
          <w:rFonts w:ascii="Arial" w:hAnsi="Arial" w:cs="Arial"/>
          <w:color w:val="000000"/>
          <w:sz w:val="24"/>
          <w:szCs w:val="24"/>
        </w:rPr>
        <w:t>financial relationship with the liquidator</w:t>
      </w:r>
      <w:r>
        <w:rPr>
          <w:rFonts w:ascii="Arial" w:hAnsi="Arial" w:cs="Arial"/>
          <w:color w:val="000000"/>
          <w:sz w:val="24"/>
          <w:szCs w:val="24"/>
        </w:rPr>
        <w:t xml:space="preserve"> or trustee and/or t</w:t>
      </w:r>
      <w:r w:rsidR="000211BA" w:rsidRPr="000211BA">
        <w:rPr>
          <w:rFonts w:ascii="Arial" w:hAnsi="Arial" w:cs="Arial"/>
          <w:color w:val="000000"/>
          <w:sz w:val="24"/>
          <w:szCs w:val="24"/>
        </w:rPr>
        <w:t>he liquidator's</w:t>
      </w:r>
      <w:r>
        <w:rPr>
          <w:rFonts w:ascii="Arial" w:hAnsi="Arial" w:cs="Arial"/>
          <w:color w:val="000000"/>
          <w:sz w:val="24"/>
          <w:szCs w:val="24"/>
        </w:rPr>
        <w:t xml:space="preserve"> or trustees </w:t>
      </w:r>
      <w:r w:rsidR="000211BA" w:rsidRPr="000211BA">
        <w:rPr>
          <w:rFonts w:ascii="Arial" w:hAnsi="Arial" w:cs="Arial"/>
          <w:color w:val="000000"/>
          <w:sz w:val="24"/>
          <w:szCs w:val="24"/>
        </w:rPr>
        <w:t xml:space="preserve">firm, or any parties involved in the liquidation </w:t>
      </w:r>
      <w:r w:rsidR="00AF4AB1">
        <w:rPr>
          <w:rFonts w:ascii="Arial" w:hAnsi="Arial" w:cs="Arial"/>
          <w:color w:val="000000"/>
          <w:sz w:val="24"/>
          <w:szCs w:val="24"/>
        </w:rPr>
        <w:t xml:space="preserve">or insolvency </w:t>
      </w:r>
      <w:r w:rsidR="000211BA" w:rsidRPr="000211BA">
        <w:rPr>
          <w:rFonts w:ascii="Arial" w:hAnsi="Arial" w:cs="Arial"/>
          <w:color w:val="000000"/>
          <w:sz w:val="24"/>
          <w:szCs w:val="24"/>
        </w:rPr>
        <w:t>process.</w:t>
      </w:r>
      <w:r>
        <w:rPr>
          <w:rStyle w:val="FootnoteReference"/>
          <w:rFonts w:ascii="Arial" w:hAnsi="Arial" w:cs="Arial"/>
          <w:color w:val="000000"/>
          <w:sz w:val="24"/>
          <w:szCs w:val="24"/>
        </w:rPr>
        <w:footnoteReference w:id="42"/>
      </w:r>
      <w:r w:rsidR="000211BA" w:rsidRPr="000211BA">
        <w:rPr>
          <w:rFonts w:ascii="Arial" w:hAnsi="Arial" w:cs="Arial"/>
          <w:color w:val="000000"/>
          <w:sz w:val="24"/>
          <w:szCs w:val="24"/>
        </w:rPr>
        <w:t xml:space="preserve"> </w:t>
      </w:r>
      <w:r>
        <w:rPr>
          <w:rFonts w:ascii="Arial" w:hAnsi="Arial" w:cs="Arial"/>
          <w:color w:val="000000"/>
          <w:sz w:val="24"/>
          <w:szCs w:val="24"/>
        </w:rPr>
        <w:t xml:space="preserve"> </w:t>
      </w:r>
    </w:p>
    <w:p w14:paraId="38C6F19D" w14:textId="078F8D87" w:rsidR="00805200" w:rsidRPr="000A065A" w:rsidRDefault="00181C26" w:rsidP="000211BA">
      <w:pPr>
        <w:snapToGrid w:val="0"/>
        <w:spacing w:after="120" w:line="360" w:lineRule="auto"/>
        <w:jc w:val="both"/>
        <w:rPr>
          <w:rFonts w:ascii="Arial" w:hAnsi="Arial" w:cs="Arial"/>
          <w:color w:val="000000"/>
          <w:sz w:val="24"/>
          <w:szCs w:val="24"/>
        </w:rPr>
      </w:pPr>
      <w:r>
        <w:rPr>
          <w:rFonts w:ascii="Arial" w:hAnsi="Arial" w:cs="Arial"/>
          <w:color w:val="000000"/>
          <w:sz w:val="24"/>
          <w:szCs w:val="24"/>
        </w:rPr>
        <w:t>[4</w:t>
      </w:r>
      <w:r w:rsidR="008F7B89">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t>As a matter of pure logic, s</w:t>
      </w:r>
      <w:r w:rsidR="000211BA" w:rsidRPr="000211BA">
        <w:rPr>
          <w:rFonts w:ascii="Arial" w:hAnsi="Arial" w:cs="Arial"/>
          <w:color w:val="000000"/>
          <w:sz w:val="24"/>
          <w:szCs w:val="24"/>
        </w:rPr>
        <w:t xml:space="preserve">uch relationships could compromise </w:t>
      </w:r>
      <w:r>
        <w:rPr>
          <w:rFonts w:ascii="Arial" w:hAnsi="Arial" w:cs="Arial"/>
          <w:color w:val="000000"/>
          <w:sz w:val="24"/>
          <w:szCs w:val="24"/>
        </w:rPr>
        <w:t>a legal practitioner’s</w:t>
      </w:r>
      <w:r w:rsidR="000211BA" w:rsidRPr="000211BA">
        <w:rPr>
          <w:rFonts w:ascii="Arial" w:hAnsi="Arial" w:cs="Arial"/>
          <w:color w:val="000000"/>
          <w:sz w:val="24"/>
          <w:szCs w:val="24"/>
        </w:rPr>
        <w:t xml:space="preserve"> objectivity and impartiality.</w:t>
      </w:r>
      <w:r w:rsidRPr="000211BA">
        <w:rPr>
          <w:rFonts w:ascii="Arial" w:hAnsi="Arial" w:cs="Arial"/>
          <w:color w:val="000000"/>
          <w:sz w:val="24"/>
          <w:szCs w:val="24"/>
        </w:rPr>
        <w:t xml:space="preserve"> </w:t>
      </w:r>
      <w:r>
        <w:rPr>
          <w:rFonts w:ascii="Arial" w:hAnsi="Arial" w:cs="Arial"/>
          <w:color w:val="000000"/>
          <w:sz w:val="24"/>
          <w:szCs w:val="24"/>
        </w:rPr>
        <w:t xml:space="preserve"> Thus, legal practitioners should strictly adhere to ethical and professional standards to avoid conflicts of interest</w:t>
      </w:r>
      <w:r w:rsidR="000211BA" w:rsidRPr="000211BA">
        <w:rPr>
          <w:rFonts w:ascii="Arial" w:hAnsi="Arial" w:cs="Arial"/>
          <w:color w:val="000000"/>
          <w:sz w:val="24"/>
          <w:szCs w:val="24"/>
        </w:rPr>
        <w:t>.</w:t>
      </w:r>
      <w:r w:rsidR="000A065A">
        <w:rPr>
          <w:rFonts w:ascii="Arial" w:hAnsi="Arial" w:cs="Arial"/>
          <w:color w:val="000000"/>
          <w:sz w:val="24"/>
          <w:szCs w:val="24"/>
        </w:rPr>
        <w:t xml:space="preserve">  </w:t>
      </w:r>
      <w:r>
        <w:rPr>
          <w:rFonts w:ascii="Arial" w:hAnsi="Arial" w:cs="Arial"/>
          <w:color w:val="000000"/>
          <w:sz w:val="24"/>
          <w:szCs w:val="24"/>
        </w:rPr>
        <w:t>Suppose a conflict of interest arises during representation.  In that case, a legal practitioner should promptly inform the client and</w:t>
      </w:r>
      <w:r w:rsidR="000211BA" w:rsidRPr="000211BA">
        <w:rPr>
          <w:rFonts w:ascii="Arial" w:hAnsi="Arial" w:cs="Arial"/>
          <w:color w:val="000000"/>
          <w:sz w:val="24"/>
          <w:szCs w:val="24"/>
        </w:rPr>
        <w:t xml:space="preserve"> address the conflict, such as withdrawing from representation or obtaining informed consent from all affected parties.</w:t>
      </w:r>
      <w:r w:rsidRPr="000211BA">
        <w:rPr>
          <w:rFonts w:ascii="Arial" w:hAnsi="Arial" w:cs="Arial"/>
          <w:color w:val="000000"/>
          <w:sz w:val="24"/>
          <w:szCs w:val="24"/>
        </w:rPr>
        <w:t xml:space="preserve"> </w:t>
      </w:r>
      <w:r>
        <w:rPr>
          <w:rFonts w:ascii="Arial" w:hAnsi="Arial" w:cs="Arial"/>
          <w:color w:val="000000"/>
          <w:sz w:val="24"/>
          <w:szCs w:val="24"/>
        </w:rPr>
        <w:t xml:space="preserve"> </w:t>
      </w:r>
      <w:r w:rsidR="000211BA" w:rsidRPr="000211BA">
        <w:rPr>
          <w:rFonts w:ascii="Arial" w:hAnsi="Arial" w:cs="Arial"/>
          <w:color w:val="000000"/>
          <w:sz w:val="24"/>
          <w:szCs w:val="24"/>
        </w:rPr>
        <w:t xml:space="preserve">It is </w:t>
      </w:r>
      <w:r>
        <w:rPr>
          <w:rFonts w:ascii="Arial" w:hAnsi="Arial" w:cs="Arial"/>
          <w:color w:val="000000"/>
          <w:sz w:val="24"/>
          <w:szCs w:val="24"/>
        </w:rPr>
        <w:t>always essential for legal practitioners to prioritize their client’s</w:t>
      </w:r>
      <w:r w:rsidR="000211BA" w:rsidRPr="000211BA">
        <w:rPr>
          <w:rFonts w:ascii="Arial" w:hAnsi="Arial" w:cs="Arial"/>
          <w:color w:val="000000"/>
          <w:sz w:val="24"/>
          <w:szCs w:val="24"/>
        </w:rPr>
        <w:t xml:space="preserve"> best interests and maintain their professional integrity when dealing with liquidators</w:t>
      </w:r>
      <w:r>
        <w:rPr>
          <w:rFonts w:ascii="Arial" w:hAnsi="Arial" w:cs="Arial"/>
          <w:color w:val="000000"/>
          <w:sz w:val="24"/>
          <w:szCs w:val="24"/>
        </w:rPr>
        <w:t>,</w:t>
      </w:r>
      <w:r w:rsidR="000211BA" w:rsidRPr="000211BA">
        <w:rPr>
          <w:rFonts w:ascii="Arial" w:hAnsi="Arial" w:cs="Arial"/>
          <w:color w:val="000000"/>
          <w:sz w:val="24"/>
          <w:szCs w:val="24"/>
        </w:rPr>
        <w:t xml:space="preserve"> </w:t>
      </w:r>
      <w:r>
        <w:rPr>
          <w:rFonts w:ascii="Arial" w:hAnsi="Arial" w:cs="Arial"/>
          <w:color w:val="000000"/>
          <w:sz w:val="24"/>
          <w:szCs w:val="24"/>
        </w:rPr>
        <w:t xml:space="preserve">trustees, and </w:t>
      </w:r>
      <w:r w:rsidR="000211BA" w:rsidRPr="000211BA">
        <w:rPr>
          <w:rFonts w:ascii="Arial" w:hAnsi="Arial" w:cs="Arial"/>
          <w:color w:val="000000"/>
          <w:sz w:val="24"/>
          <w:szCs w:val="24"/>
        </w:rPr>
        <w:t>any other potentially conflicting parties</w:t>
      </w:r>
      <w:r w:rsidR="000A065A">
        <w:rPr>
          <w:rFonts w:ascii="Arial" w:hAnsi="Arial" w:cs="Arial"/>
          <w:color w:val="000000"/>
          <w:sz w:val="24"/>
          <w:szCs w:val="24"/>
        </w:rPr>
        <w:t>.</w:t>
      </w:r>
      <w:r w:rsidR="000A065A">
        <w:rPr>
          <w:rStyle w:val="FootnoteReference"/>
          <w:rFonts w:ascii="Arial" w:hAnsi="Arial" w:cs="Arial"/>
          <w:color w:val="000000"/>
          <w:sz w:val="24"/>
          <w:szCs w:val="24"/>
        </w:rPr>
        <w:footnoteReference w:id="43"/>
      </w:r>
    </w:p>
    <w:p w14:paraId="432FDA3E" w14:textId="120C2E8B" w:rsidR="001B3EF0" w:rsidRDefault="00181C26" w:rsidP="001B3EF0">
      <w:pPr>
        <w:snapToGrid w:val="0"/>
        <w:spacing w:after="120" w:line="360" w:lineRule="auto"/>
        <w:jc w:val="both"/>
        <w:rPr>
          <w:rFonts w:ascii="Arial" w:hAnsi="Arial" w:cs="Arial"/>
          <w:sz w:val="24"/>
          <w:szCs w:val="24"/>
          <w:lang w:val="en-ZA"/>
        </w:rPr>
      </w:pPr>
      <w:r>
        <w:rPr>
          <w:rFonts w:ascii="Arial" w:hAnsi="Arial" w:cs="Arial"/>
          <w:sz w:val="24"/>
          <w:szCs w:val="24"/>
          <w:lang w:val="en-ZA"/>
        </w:rPr>
        <w:t>[4</w:t>
      </w:r>
      <w:r w:rsidR="000A065A">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t xml:space="preserve">Our jurisprudence has provided some invaluable guidelines in dealing with potential conflicts of interest when dealing with liquidators and trustees. </w:t>
      </w:r>
      <w:r w:rsidR="001B3EF0">
        <w:rPr>
          <w:rFonts w:ascii="Arial" w:hAnsi="Arial" w:cs="Arial"/>
          <w:sz w:val="24"/>
          <w:szCs w:val="24"/>
          <w:lang w:val="en-ZA"/>
        </w:rPr>
        <w:t xml:space="preserve"> In</w:t>
      </w:r>
      <w:r w:rsidR="002E54C7" w:rsidRPr="002E54C7">
        <w:rPr>
          <w:rFonts w:ascii="Arial" w:hAnsi="Arial" w:cs="Arial"/>
          <w:i/>
          <w:iCs/>
          <w:sz w:val="24"/>
          <w:szCs w:val="24"/>
          <w:lang w:val="en-ZA"/>
        </w:rPr>
        <w:t xml:space="preserve"> Swart</w:t>
      </w:r>
      <w:r w:rsidR="001B3EF0">
        <w:rPr>
          <w:rFonts w:ascii="Arial" w:hAnsi="Arial" w:cs="Arial"/>
          <w:sz w:val="24"/>
          <w:szCs w:val="24"/>
          <w:lang w:val="en-ZA"/>
        </w:rPr>
        <w:t xml:space="preserve">, the essence of the standard required by legal practitioners </w:t>
      </w:r>
      <w:r w:rsidR="002E54C7">
        <w:rPr>
          <w:rFonts w:ascii="Arial" w:hAnsi="Arial" w:cs="Arial"/>
          <w:sz w:val="24"/>
          <w:szCs w:val="24"/>
          <w:lang w:val="en-ZA"/>
        </w:rPr>
        <w:t xml:space="preserve">was </w:t>
      </w:r>
      <w:r w:rsidR="00CC677B">
        <w:rPr>
          <w:rFonts w:ascii="Arial" w:hAnsi="Arial" w:cs="Arial"/>
          <w:sz w:val="24"/>
          <w:szCs w:val="24"/>
          <w:lang w:val="en-ZA"/>
        </w:rPr>
        <w:t xml:space="preserve">eloquently </w:t>
      </w:r>
      <w:r w:rsidR="002E54C7">
        <w:rPr>
          <w:rFonts w:ascii="Arial" w:hAnsi="Arial" w:cs="Arial"/>
          <w:sz w:val="24"/>
          <w:szCs w:val="24"/>
          <w:lang w:val="en-ZA"/>
        </w:rPr>
        <w:t>captured</w:t>
      </w:r>
      <w:r w:rsidR="00B96574">
        <w:rPr>
          <w:rFonts w:ascii="Arial" w:hAnsi="Arial" w:cs="Arial"/>
          <w:sz w:val="24"/>
          <w:szCs w:val="24"/>
          <w:lang w:val="en-ZA"/>
        </w:rPr>
        <w:t>.  This</w:t>
      </w:r>
      <w:r w:rsidR="002E54C7">
        <w:rPr>
          <w:rFonts w:ascii="Arial" w:hAnsi="Arial" w:cs="Arial"/>
          <w:sz w:val="24"/>
          <w:szCs w:val="24"/>
          <w:lang w:val="en-ZA"/>
        </w:rPr>
        <w:t xml:space="preserve"> </w:t>
      </w:r>
      <w:r w:rsidR="00B96574">
        <w:rPr>
          <w:rFonts w:ascii="Arial" w:hAnsi="Arial" w:cs="Arial"/>
          <w:sz w:val="24"/>
          <w:szCs w:val="24"/>
          <w:lang w:val="en-ZA"/>
        </w:rPr>
        <w:t xml:space="preserve">is in circumstances </w:t>
      </w:r>
      <w:r w:rsidR="001B3EF0">
        <w:rPr>
          <w:rFonts w:ascii="Arial" w:hAnsi="Arial" w:cs="Arial"/>
          <w:sz w:val="24"/>
          <w:szCs w:val="24"/>
          <w:lang w:val="en-ZA"/>
        </w:rPr>
        <w:t xml:space="preserve">when faced with a potential conflict of interest in </w:t>
      </w:r>
      <w:r w:rsidR="00B96574">
        <w:rPr>
          <w:rFonts w:ascii="Arial" w:hAnsi="Arial" w:cs="Arial"/>
          <w:sz w:val="24"/>
          <w:szCs w:val="24"/>
          <w:lang w:val="en-ZA"/>
        </w:rPr>
        <w:t xml:space="preserve">a </w:t>
      </w:r>
      <w:r w:rsidR="001B3EF0">
        <w:rPr>
          <w:rFonts w:ascii="Arial" w:hAnsi="Arial" w:cs="Arial"/>
          <w:sz w:val="24"/>
          <w:szCs w:val="24"/>
          <w:lang w:val="en-ZA"/>
        </w:rPr>
        <w:t xml:space="preserve">similar </w:t>
      </w:r>
      <w:r w:rsidR="00B96574">
        <w:rPr>
          <w:rFonts w:ascii="Arial" w:hAnsi="Arial" w:cs="Arial"/>
          <w:sz w:val="24"/>
          <w:szCs w:val="24"/>
          <w:lang w:val="en-ZA"/>
        </w:rPr>
        <w:t>type of matter</w:t>
      </w:r>
      <w:r w:rsidR="008F7B89">
        <w:rPr>
          <w:rFonts w:ascii="Arial" w:hAnsi="Arial" w:cs="Arial"/>
          <w:sz w:val="24"/>
          <w:szCs w:val="24"/>
          <w:lang w:val="en-ZA"/>
        </w:rPr>
        <w:t>.  T</w:t>
      </w:r>
      <w:r w:rsidR="00B96574">
        <w:rPr>
          <w:rFonts w:ascii="Arial" w:hAnsi="Arial" w:cs="Arial"/>
          <w:sz w:val="24"/>
          <w:szCs w:val="24"/>
          <w:lang w:val="en-ZA"/>
        </w:rPr>
        <w:t>he following was</w:t>
      </w:r>
      <w:r w:rsidR="001B3EF0">
        <w:rPr>
          <w:rFonts w:ascii="Arial" w:hAnsi="Arial" w:cs="Arial"/>
          <w:sz w:val="24"/>
          <w:szCs w:val="24"/>
          <w:lang w:val="en-ZA"/>
        </w:rPr>
        <w:t xml:space="preserve"> indicated:   </w:t>
      </w:r>
    </w:p>
    <w:p w14:paraId="1DD45DEF" w14:textId="77777777" w:rsidR="00FD6709" w:rsidRDefault="001B3EF0" w:rsidP="001B3EF0">
      <w:pPr>
        <w:snapToGrid w:val="0"/>
        <w:spacing w:after="120" w:line="360" w:lineRule="auto"/>
        <w:jc w:val="both"/>
        <w:rPr>
          <w:rFonts w:ascii="Arial" w:hAnsi="Arial" w:cs="Arial"/>
          <w:i/>
          <w:iCs/>
          <w:sz w:val="24"/>
          <w:szCs w:val="24"/>
          <w:lang w:val="en-ZA"/>
        </w:rPr>
      </w:pPr>
      <w:r w:rsidRPr="001B3EF0">
        <w:rPr>
          <w:rFonts w:ascii="Arial" w:hAnsi="Arial" w:cs="Arial"/>
          <w:i/>
          <w:iCs/>
          <w:sz w:val="24"/>
          <w:szCs w:val="24"/>
          <w:lang w:val="en-ZA"/>
        </w:rPr>
        <w:t>‘…</w:t>
      </w:r>
      <w:r w:rsidR="000955CE" w:rsidRPr="001B3EF0">
        <w:rPr>
          <w:rFonts w:ascii="Arial" w:hAnsi="Arial" w:cs="Arial"/>
          <w:i/>
          <w:iCs/>
          <w:sz w:val="24"/>
          <w:szCs w:val="24"/>
          <w:lang w:val="en-ZA"/>
        </w:rPr>
        <w:t>I noted</w:t>
      </w:r>
      <w:r w:rsidR="000955CE" w:rsidRPr="000211BA">
        <w:rPr>
          <w:rFonts w:ascii="Arial" w:hAnsi="Arial" w:cs="Arial"/>
          <w:i/>
          <w:iCs/>
          <w:sz w:val="24"/>
          <w:szCs w:val="24"/>
          <w:lang w:val="en-ZA"/>
        </w:rPr>
        <w:t xml:space="preserve"> that whether a conflict of interest presents in any matter is dependent on the facts.  If, on an analysis of the facts, the interests of the petitioning creditor and those of the liquidator correspond with each other, there will ordinarily be no conflict of interest.  On the contrary, there will often be much to be said in favour of the deployment of the petitioning creditor’s attorneys because they may be steeped in the complexities of the issues with which the liquidator will have to engage, and it would be unduly costly and time-consuming in such circumstances to appoint other attorneys with no prior involvement to qualify themselves afresh.  The fact that the liquidator may, as in the current matter, adopt a position adverse to the position of one or more of the other creditors does not, without more, derogate from the conclusion just stated.  </w:t>
      </w:r>
      <w:r w:rsidR="000955CE" w:rsidRPr="000211BA">
        <w:rPr>
          <w:rFonts w:ascii="Arial" w:hAnsi="Arial" w:cs="Arial"/>
          <w:i/>
          <w:iCs/>
          <w:sz w:val="24"/>
          <w:szCs w:val="24"/>
          <w:lang w:val="en-ZA"/>
        </w:rPr>
        <w:lastRenderedPageBreak/>
        <w:t>It is in the nature of a liquidator’s responsibilities to interrogate creditors’ claims and in that context he may have to adopt an adversarial position</w:t>
      </w:r>
      <w:r w:rsidR="00FD6709">
        <w:rPr>
          <w:rFonts w:ascii="Arial" w:hAnsi="Arial" w:cs="Arial"/>
          <w:i/>
          <w:iCs/>
          <w:sz w:val="24"/>
          <w:szCs w:val="24"/>
          <w:lang w:val="en-ZA"/>
        </w:rPr>
        <w:t>…’</w:t>
      </w:r>
      <w:r w:rsidR="00FD6709">
        <w:rPr>
          <w:rStyle w:val="FootnoteReference"/>
          <w:rFonts w:ascii="Arial" w:hAnsi="Arial" w:cs="Arial"/>
          <w:i/>
          <w:iCs/>
          <w:sz w:val="24"/>
          <w:szCs w:val="24"/>
          <w:lang w:val="en-ZA"/>
        </w:rPr>
        <w:footnoteReference w:id="44"/>
      </w:r>
    </w:p>
    <w:p w14:paraId="77245264" w14:textId="6EB36B50" w:rsidR="00FD6709" w:rsidRDefault="00FD6709" w:rsidP="00FD6709">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4</w:t>
      </w:r>
      <w:r w:rsidR="000A065A">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0955CE" w:rsidRPr="000211BA">
        <w:rPr>
          <w:rFonts w:ascii="Arial" w:hAnsi="Arial" w:cs="Arial"/>
          <w:sz w:val="24"/>
          <w:szCs w:val="24"/>
          <w:lang w:val="en-ZA"/>
        </w:rPr>
        <w:t>Wallis AJ</w:t>
      </w:r>
      <w:r>
        <w:rPr>
          <w:rFonts w:ascii="Arial" w:hAnsi="Arial" w:cs="Arial"/>
          <w:sz w:val="24"/>
          <w:szCs w:val="24"/>
          <w:lang w:val="en-ZA"/>
        </w:rPr>
        <w:t xml:space="preserve"> (as he then was) </w:t>
      </w:r>
      <w:r w:rsidR="000955CE" w:rsidRPr="000211BA">
        <w:rPr>
          <w:rFonts w:ascii="Arial" w:hAnsi="Arial" w:cs="Arial"/>
          <w:sz w:val="24"/>
          <w:szCs w:val="24"/>
          <w:lang w:val="en-ZA"/>
        </w:rPr>
        <w:t>held in the context of a potential conflict of interest between liquidators appointed to companies in the same group where there might be an indebtedness between the companies</w:t>
      </w:r>
      <w:r>
        <w:rPr>
          <w:rFonts w:ascii="Arial" w:hAnsi="Arial" w:cs="Arial"/>
          <w:sz w:val="24"/>
          <w:szCs w:val="24"/>
          <w:lang w:val="en-ZA"/>
        </w:rPr>
        <w:t xml:space="preserve"> as follows:</w:t>
      </w:r>
    </w:p>
    <w:p w14:paraId="4779CBDA" w14:textId="77777777" w:rsidR="00FD6709" w:rsidRDefault="00FD6709" w:rsidP="00FD6709">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0955CE" w:rsidRPr="000211BA">
        <w:rPr>
          <w:rFonts w:ascii="Arial" w:hAnsi="Arial" w:cs="Arial"/>
          <w:i/>
          <w:iCs/>
          <w:sz w:val="24"/>
          <w:szCs w:val="24"/>
          <w:lang w:val="en-ZA"/>
        </w:rPr>
        <w:t>...the existence of a disqualificat</w:t>
      </w:r>
      <w:r>
        <w:rPr>
          <w:rFonts w:ascii="Arial" w:hAnsi="Arial" w:cs="Arial"/>
          <w:i/>
          <w:iCs/>
          <w:sz w:val="24"/>
          <w:szCs w:val="24"/>
          <w:lang w:val="en-ZA"/>
        </w:rPr>
        <w:t>ion conflict of interest under Section 139(2) must be determined on the facts of a particular case, and what is required is an actual conflict of interest,</w:t>
      </w:r>
      <w:r w:rsidR="000955CE" w:rsidRPr="000211BA">
        <w:rPr>
          <w:rFonts w:ascii="Arial" w:hAnsi="Arial" w:cs="Arial"/>
          <w:i/>
          <w:iCs/>
          <w:sz w:val="24"/>
          <w:szCs w:val="24"/>
          <w:lang w:val="en-ZA"/>
        </w:rPr>
        <w:t xml:space="preserve"> not a notional one</w:t>
      </w:r>
      <w:r>
        <w:rPr>
          <w:rFonts w:ascii="Arial" w:hAnsi="Arial" w:cs="Arial"/>
          <w:i/>
          <w:iCs/>
          <w:sz w:val="24"/>
          <w:szCs w:val="24"/>
          <w:lang w:val="en-ZA"/>
        </w:rPr>
        <w:t>…’</w:t>
      </w:r>
      <w:r>
        <w:rPr>
          <w:rStyle w:val="FootnoteReference"/>
          <w:rFonts w:ascii="Arial" w:hAnsi="Arial" w:cs="Arial"/>
          <w:i/>
          <w:iCs/>
          <w:sz w:val="24"/>
          <w:szCs w:val="24"/>
          <w:lang w:val="en-ZA"/>
        </w:rPr>
        <w:footnoteReference w:id="45"/>
      </w:r>
    </w:p>
    <w:p w14:paraId="390333E5" w14:textId="5C130B6B" w:rsidR="006A39DE" w:rsidRDefault="006A39DE" w:rsidP="006A39DE">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4</w:t>
      </w:r>
      <w:r w:rsidR="000A065A">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We turn now to this issue and the position of the first and second respondents</w:t>
      </w:r>
      <w:r w:rsidR="00FB0A36">
        <w:rPr>
          <w:rFonts w:ascii="Arial" w:hAnsi="Arial" w:cs="Arial"/>
          <w:sz w:val="24"/>
          <w:szCs w:val="24"/>
          <w:lang w:val="en-ZA"/>
        </w:rPr>
        <w:t>, being mindful that we should take care not to usurp the functions of the first and second respondents.</w:t>
      </w:r>
      <w:r w:rsidR="00FB0A36">
        <w:rPr>
          <w:rStyle w:val="FootnoteReference"/>
          <w:rFonts w:ascii="Arial" w:hAnsi="Arial" w:cs="Arial"/>
          <w:sz w:val="24"/>
          <w:szCs w:val="24"/>
          <w:lang w:val="en-ZA"/>
        </w:rPr>
        <w:footnoteReference w:id="46"/>
      </w:r>
      <w:r>
        <w:rPr>
          <w:rFonts w:ascii="Arial" w:hAnsi="Arial" w:cs="Arial"/>
          <w:sz w:val="24"/>
          <w:szCs w:val="24"/>
          <w:lang w:val="en-ZA"/>
        </w:rPr>
        <w:t>. The</w:t>
      </w:r>
      <w:r w:rsidR="00FB0A36">
        <w:rPr>
          <w:rFonts w:ascii="Arial" w:hAnsi="Arial" w:cs="Arial"/>
          <w:sz w:val="24"/>
          <w:szCs w:val="24"/>
          <w:lang w:val="en-ZA"/>
        </w:rPr>
        <w:t>y</w:t>
      </w:r>
      <w:r>
        <w:rPr>
          <w:rFonts w:ascii="Arial" w:hAnsi="Arial" w:cs="Arial"/>
          <w:sz w:val="24"/>
          <w:szCs w:val="24"/>
          <w:lang w:val="en-ZA"/>
        </w:rPr>
        <w:t xml:space="preserve"> delivered a notice to abide by the court's decision.  Also, the second respondent delivered an explanatory affidavit explaining the process followed by the first respondent's investigating committee.  In addition, following a request by the applicant, the written </w:t>
      </w:r>
      <w:r w:rsidRPr="001F7A77">
        <w:rPr>
          <w:rFonts w:ascii="Arial" w:hAnsi="Arial" w:cs="Arial"/>
          <w:sz w:val="24"/>
          <w:szCs w:val="24"/>
          <w:lang w:val="en-ZA"/>
        </w:rPr>
        <w:t xml:space="preserve">reasons for the </w:t>
      </w:r>
      <w:r>
        <w:rPr>
          <w:rFonts w:ascii="Arial" w:hAnsi="Arial" w:cs="Arial"/>
          <w:sz w:val="24"/>
          <w:szCs w:val="24"/>
          <w:lang w:val="en-ZA"/>
        </w:rPr>
        <w:t>investigating committee's decision were furnished to the attorneys acting for the applicant</w:t>
      </w:r>
      <w:r w:rsidRPr="001F7A77">
        <w:rPr>
          <w:rFonts w:ascii="Arial" w:hAnsi="Arial" w:cs="Arial"/>
          <w:sz w:val="24"/>
          <w:szCs w:val="24"/>
          <w:lang w:val="en-ZA"/>
        </w:rPr>
        <w:t>.</w:t>
      </w:r>
      <w:r>
        <w:rPr>
          <w:rStyle w:val="FootnoteReference"/>
          <w:rFonts w:ascii="Arial" w:hAnsi="Arial" w:cs="Arial"/>
          <w:sz w:val="24"/>
          <w:szCs w:val="24"/>
          <w:lang w:val="en-ZA"/>
        </w:rPr>
        <w:footnoteReference w:id="47"/>
      </w:r>
    </w:p>
    <w:p w14:paraId="4AEA9AA7" w14:textId="3A16058E" w:rsidR="006A39DE" w:rsidRDefault="006A39DE" w:rsidP="006A39DE">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0A065A">
        <w:rPr>
          <w:rFonts w:ascii="Arial" w:hAnsi="Arial" w:cs="Arial"/>
          <w:sz w:val="24"/>
          <w:szCs w:val="24"/>
          <w:lang w:val="en-ZA"/>
        </w:rPr>
        <w:t>49</w:t>
      </w:r>
      <w:r>
        <w:rPr>
          <w:rFonts w:ascii="Arial" w:hAnsi="Arial" w:cs="Arial"/>
          <w:sz w:val="24"/>
          <w:szCs w:val="24"/>
          <w:lang w:val="en-ZA"/>
        </w:rPr>
        <w:t>]</w:t>
      </w:r>
      <w:r>
        <w:rPr>
          <w:rFonts w:ascii="Arial" w:hAnsi="Arial" w:cs="Arial"/>
          <w:sz w:val="24"/>
          <w:szCs w:val="24"/>
          <w:lang w:val="en-ZA"/>
        </w:rPr>
        <w:tab/>
        <w:t xml:space="preserve">Further, the second respondent pointed out that, as yet, there is no internal appeal procedure as envisaged, as this portion of the relevant legislation </w:t>
      </w:r>
      <w:r w:rsidR="000A065A">
        <w:rPr>
          <w:rFonts w:ascii="Arial" w:hAnsi="Arial" w:cs="Arial"/>
          <w:sz w:val="24"/>
          <w:szCs w:val="24"/>
          <w:lang w:val="en-ZA"/>
        </w:rPr>
        <w:t>still needs to be</w:t>
      </w:r>
      <w:r>
        <w:rPr>
          <w:rFonts w:ascii="Arial" w:hAnsi="Arial" w:cs="Arial"/>
          <w:sz w:val="24"/>
          <w:szCs w:val="24"/>
          <w:lang w:val="en-ZA"/>
        </w:rPr>
        <w:t xml:space="preserve"> enacted.  Because of this factual position, the first and second respondents elected to abide by the court's decision.  However, the affidavit filed by the second respondent defended both the procedure followed and the decision made by its investigating committee.</w:t>
      </w:r>
      <w:r>
        <w:rPr>
          <w:rStyle w:val="FootnoteReference"/>
          <w:rFonts w:ascii="Arial" w:hAnsi="Arial" w:cs="Arial"/>
          <w:sz w:val="24"/>
          <w:szCs w:val="24"/>
          <w:lang w:val="en-ZA"/>
        </w:rPr>
        <w:footnoteReference w:id="48"/>
      </w:r>
    </w:p>
    <w:p w14:paraId="253BD6EE" w14:textId="1E24FFA1" w:rsidR="006A39DE" w:rsidRDefault="006A39DE" w:rsidP="006A39DE">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5</w:t>
      </w:r>
      <w:r w:rsidR="000A065A">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t>The second respondent demonstrated that all the prescribed procedures and protocols were followed in dealing with the applicant’s complaints.  T</w:t>
      </w:r>
      <w:r w:rsidRPr="003C46C4">
        <w:rPr>
          <w:rFonts w:ascii="Arial" w:hAnsi="Arial" w:cs="Arial"/>
          <w:sz w:val="24"/>
          <w:szCs w:val="24"/>
          <w:lang w:val="en-ZA"/>
        </w:rPr>
        <w:t xml:space="preserve">he investigating committee considered the complaints, made a decision and communicated both the decision and, a short while later, the reasons for the decision to the </w:t>
      </w:r>
      <w:r>
        <w:rPr>
          <w:rFonts w:ascii="Arial" w:hAnsi="Arial" w:cs="Arial"/>
          <w:sz w:val="24"/>
          <w:szCs w:val="24"/>
          <w:lang w:val="en-ZA"/>
        </w:rPr>
        <w:t>a</w:t>
      </w:r>
      <w:r w:rsidRPr="003C46C4">
        <w:rPr>
          <w:rFonts w:ascii="Arial" w:hAnsi="Arial" w:cs="Arial"/>
          <w:sz w:val="24"/>
          <w:szCs w:val="24"/>
          <w:lang w:val="en-ZA"/>
        </w:rPr>
        <w:t>pplicant.</w:t>
      </w:r>
      <w:r>
        <w:rPr>
          <w:rStyle w:val="FootnoteReference"/>
          <w:rFonts w:ascii="Arial" w:hAnsi="Arial" w:cs="Arial"/>
          <w:sz w:val="24"/>
          <w:szCs w:val="24"/>
          <w:lang w:val="en-ZA"/>
        </w:rPr>
        <w:footnoteReference w:id="49"/>
      </w:r>
    </w:p>
    <w:p w14:paraId="03B12F46" w14:textId="2AB53918" w:rsidR="006A39DE" w:rsidRDefault="006A39DE" w:rsidP="006A39DE">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5</w:t>
      </w:r>
      <w:r w:rsidR="000A065A">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t xml:space="preserve">It was pointed out that the hearing of </w:t>
      </w:r>
      <w:r>
        <w:rPr>
          <w:rFonts w:ascii="Arial" w:hAnsi="Arial" w:cs="Arial"/>
          <w:i/>
          <w:iCs/>
          <w:sz w:val="24"/>
          <w:szCs w:val="24"/>
          <w:lang w:val="en-ZA"/>
        </w:rPr>
        <w:t xml:space="preserve">viva voce </w:t>
      </w:r>
      <w:r>
        <w:rPr>
          <w:rFonts w:ascii="Arial" w:hAnsi="Arial" w:cs="Arial"/>
          <w:sz w:val="24"/>
          <w:szCs w:val="24"/>
          <w:lang w:val="en-ZA"/>
        </w:rPr>
        <w:t xml:space="preserve">evidence was not a mandatory requirement for dealing with complaints, and the fact that the applicant disagreed with </w:t>
      </w:r>
      <w:r>
        <w:rPr>
          <w:rFonts w:ascii="Arial" w:hAnsi="Arial" w:cs="Arial"/>
          <w:sz w:val="24"/>
          <w:szCs w:val="24"/>
          <w:lang w:val="en-ZA"/>
        </w:rPr>
        <w:lastRenderedPageBreak/>
        <w:t>the decision rendered did not ipso facto mean that the facts and evidence had been misconstrued.</w:t>
      </w:r>
      <w:r>
        <w:rPr>
          <w:rStyle w:val="FootnoteReference"/>
          <w:rFonts w:ascii="Arial" w:hAnsi="Arial" w:cs="Arial"/>
          <w:sz w:val="24"/>
          <w:szCs w:val="24"/>
          <w:lang w:val="en-ZA"/>
        </w:rPr>
        <w:footnoteReference w:id="50"/>
      </w:r>
    </w:p>
    <w:p w14:paraId="0A42BAD7" w14:textId="39C2BD81" w:rsidR="008E5EE4" w:rsidRDefault="006D6C54" w:rsidP="004065F9">
      <w:pPr>
        <w:snapToGrid w:val="0"/>
        <w:spacing w:after="120" w:line="360" w:lineRule="auto"/>
        <w:jc w:val="both"/>
        <w:rPr>
          <w:rFonts w:ascii="Arial" w:hAnsi="Arial" w:cs="Arial"/>
          <w:color w:val="000000"/>
          <w:sz w:val="24"/>
          <w:szCs w:val="24"/>
        </w:rPr>
      </w:pPr>
      <w:r>
        <w:rPr>
          <w:rFonts w:ascii="Arial" w:hAnsi="Arial" w:cs="Arial"/>
          <w:iCs/>
          <w:sz w:val="24"/>
          <w:szCs w:val="24"/>
          <w:lang w:val="en-ZA"/>
        </w:rPr>
        <w:t>[5</w:t>
      </w:r>
      <w:r w:rsidR="000A065A">
        <w:rPr>
          <w:rFonts w:ascii="Arial" w:hAnsi="Arial" w:cs="Arial"/>
          <w:iCs/>
          <w:sz w:val="24"/>
          <w:szCs w:val="24"/>
          <w:lang w:val="en-ZA"/>
        </w:rPr>
        <w:t>2</w:t>
      </w:r>
      <w:r>
        <w:rPr>
          <w:rFonts w:ascii="Arial" w:hAnsi="Arial" w:cs="Arial"/>
          <w:iCs/>
          <w:sz w:val="24"/>
          <w:szCs w:val="24"/>
          <w:lang w:val="en-ZA"/>
        </w:rPr>
        <w:t>]</w:t>
      </w:r>
      <w:r>
        <w:rPr>
          <w:rFonts w:ascii="Arial" w:hAnsi="Arial" w:cs="Arial"/>
          <w:iCs/>
          <w:sz w:val="24"/>
          <w:szCs w:val="24"/>
          <w:lang w:val="en-ZA"/>
        </w:rPr>
        <w:tab/>
      </w:r>
      <w:r w:rsidR="00D6792D">
        <w:rPr>
          <w:rFonts w:ascii="Arial" w:hAnsi="Arial" w:cs="Arial"/>
          <w:color w:val="000000"/>
          <w:sz w:val="24"/>
          <w:szCs w:val="24"/>
        </w:rPr>
        <w:t>In an appeal</w:t>
      </w:r>
      <w:r w:rsidR="008F7B89">
        <w:rPr>
          <w:rFonts w:ascii="Arial" w:hAnsi="Arial" w:cs="Arial"/>
          <w:color w:val="000000"/>
          <w:sz w:val="24"/>
          <w:szCs w:val="24"/>
        </w:rPr>
        <w:t>,</w:t>
      </w:r>
      <w:r w:rsidR="00D6792D">
        <w:rPr>
          <w:rFonts w:ascii="Arial" w:hAnsi="Arial" w:cs="Arial"/>
          <w:color w:val="000000"/>
          <w:sz w:val="24"/>
          <w:szCs w:val="24"/>
        </w:rPr>
        <w:t xml:space="preserve"> a court may </w:t>
      </w:r>
      <w:r w:rsidR="008F7B89">
        <w:rPr>
          <w:rFonts w:ascii="Arial" w:hAnsi="Arial" w:cs="Arial"/>
          <w:color w:val="000000"/>
          <w:sz w:val="24"/>
          <w:szCs w:val="24"/>
        </w:rPr>
        <w:t>consider the evidence and</w:t>
      </w:r>
      <w:r w:rsidR="00D6792D">
        <w:rPr>
          <w:rFonts w:ascii="Arial" w:hAnsi="Arial" w:cs="Arial"/>
          <w:color w:val="000000"/>
          <w:sz w:val="24"/>
          <w:szCs w:val="24"/>
        </w:rPr>
        <w:t xml:space="preserve"> how it was evaluated to establish whether the decision is correct. </w:t>
      </w:r>
      <w:r w:rsidR="008F7B89">
        <w:rPr>
          <w:rFonts w:ascii="Arial" w:hAnsi="Arial" w:cs="Arial"/>
          <w:color w:val="000000"/>
          <w:sz w:val="24"/>
          <w:szCs w:val="24"/>
        </w:rPr>
        <w:t xml:space="preserve"> </w:t>
      </w:r>
      <w:r w:rsidR="00D6792D">
        <w:rPr>
          <w:rFonts w:ascii="Arial" w:hAnsi="Arial" w:cs="Arial"/>
          <w:color w:val="000000"/>
          <w:sz w:val="24"/>
          <w:szCs w:val="24"/>
        </w:rPr>
        <w:t>This is not permissible in a review</w:t>
      </w:r>
      <w:r w:rsidR="00D317C7">
        <w:rPr>
          <w:rFonts w:ascii="Arial" w:hAnsi="Arial" w:cs="Arial"/>
          <w:color w:val="000000"/>
          <w:sz w:val="24"/>
          <w:szCs w:val="24"/>
        </w:rPr>
        <w:t>,</w:t>
      </w:r>
      <w:r w:rsidR="00D6792D">
        <w:rPr>
          <w:rStyle w:val="FootnoteReference"/>
          <w:rFonts w:ascii="Arial" w:hAnsi="Arial" w:cs="Arial"/>
          <w:color w:val="000000"/>
          <w:sz w:val="24"/>
          <w:szCs w:val="24"/>
        </w:rPr>
        <w:footnoteReference w:id="51"/>
      </w:r>
      <w:r w:rsidR="00D317C7">
        <w:rPr>
          <w:rFonts w:ascii="Arial" w:hAnsi="Arial" w:cs="Arial"/>
          <w:color w:val="000000"/>
          <w:sz w:val="24"/>
          <w:szCs w:val="24"/>
        </w:rPr>
        <w:t xml:space="preserve"> </w:t>
      </w:r>
      <w:r w:rsidR="00270A3A">
        <w:rPr>
          <w:rFonts w:ascii="Arial" w:hAnsi="Arial" w:cs="Arial"/>
          <w:color w:val="000000"/>
          <w:sz w:val="24"/>
          <w:szCs w:val="24"/>
        </w:rPr>
        <w:t>where a material error of fact ground must be confined to one that is established in the sense that it is uncontentious and objectively justifiable.</w:t>
      </w:r>
      <w:r w:rsidR="00A44705">
        <w:rPr>
          <w:rStyle w:val="FootnoteReference"/>
          <w:rFonts w:ascii="Arial" w:hAnsi="Arial" w:cs="Arial"/>
          <w:color w:val="000000"/>
          <w:sz w:val="24"/>
          <w:szCs w:val="24"/>
        </w:rPr>
        <w:footnoteReference w:id="52"/>
      </w:r>
    </w:p>
    <w:p w14:paraId="040F6E35" w14:textId="183BD8FD" w:rsidR="00876809" w:rsidRDefault="007B00C1" w:rsidP="00594705">
      <w:pPr>
        <w:snapToGrid w:val="0"/>
        <w:spacing w:after="120" w:line="360" w:lineRule="auto"/>
        <w:jc w:val="both"/>
        <w:rPr>
          <w:rFonts w:ascii="Arial" w:hAnsi="Arial" w:cs="Arial"/>
          <w:iCs/>
          <w:sz w:val="24"/>
          <w:szCs w:val="24"/>
          <w:lang w:val="en-ZA"/>
        </w:rPr>
      </w:pPr>
      <w:r>
        <w:rPr>
          <w:rFonts w:ascii="Arial" w:hAnsi="Arial" w:cs="Arial"/>
          <w:color w:val="000000"/>
          <w:sz w:val="24"/>
          <w:szCs w:val="24"/>
        </w:rPr>
        <w:t>[</w:t>
      </w:r>
      <w:r w:rsidR="008F7B89">
        <w:rPr>
          <w:rFonts w:ascii="Arial" w:hAnsi="Arial" w:cs="Arial"/>
          <w:color w:val="000000"/>
          <w:sz w:val="24"/>
          <w:szCs w:val="24"/>
        </w:rPr>
        <w:t>5</w:t>
      </w:r>
      <w:r w:rsidR="000A065A">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0A065A">
        <w:rPr>
          <w:rFonts w:ascii="Arial" w:hAnsi="Arial" w:cs="Arial"/>
          <w:color w:val="000000"/>
          <w:sz w:val="24"/>
          <w:szCs w:val="24"/>
        </w:rPr>
        <w:t xml:space="preserve">Based on the uncontentious and </w:t>
      </w:r>
      <w:r w:rsidR="003540A2">
        <w:rPr>
          <w:rFonts w:ascii="Arial" w:hAnsi="Arial" w:cs="Arial"/>
          <w:color w:val="000000"/>
          <w:sz w:val="24"/>
          <w:szCs w:val="24"/>
        </w:rPr>
        <w:t xml:space="preserve">objectively </w:t>
      </w:r>
      <w:r w:rsidR="000A065A">
        <w:rPr>
          <w:rFonts w:ascii="Arial" w:hAnsi="Arial" w:cs="Arial"/>
          <w:color w:val="000000"/>
          <w:sz w:val="24"/>
          <w:szCs w:val="24"/>
        </w:rPr>
        <w:t>verifiable facts,</w:t>
      </w:r>
      <w:r>
        <w:rPr>
          <w:rFonts w:ascii="Arial" w:hAnsi="Arial" w:cs="Arial"/>
          <w:color w:val="000000"/>
          <w:sz w:val="24"/>
          <w:szCs w:val="24"/>
        </w:rPr>
        <w:t xml:space="preserve"> we </w:t>
      </w:r>
      <w:r w:rsidR="008F7B89">
        <w:rPr>
          <w:rFonts w:ascii="Arial" w:hAnsi="Arial" w:cs="Arial"/>
          <w:color w:val="000000"/>
          <w:sz w:val="24"/>
          <w:szCs w:val="24"/>
        </w:rPr>
        <w:t>cannot</w:t>
      </w:r>
      <w:r>
        <w:rPr>
          <w:rFonts w:ascii="Arial" w:hAnsi="Arial" w:cs="Arial"/>
          <w:color w:val="000000"/>
          <w:sz w:val="24"/>
          <w:szCs w:val="24"/>
        </w:rPr>
        <w:t xml:space="preserve"> find that the first respondent failed to properly determine whether there was a </w:t>
      </w:r>
      <w:r>
        <w:rPr>
          <w:rFonts w:ascii="Arial" w:hAnsi="Arial" w:cs="Arial"/>
          <w:i/>
          <w:color w:val="000000"/>
          <w:sz w:val="24"/>
          <w:szCs w:val="24"/>
        </w:rPr>
        <w:t>prima facie</w:t>
      </w:r>
      <w:r>
        <w:rPr>
          <w:rFonts w:ascii="Arial" w:hAnsi="Arial" w:cs="Arial"/>
          <w:color w:val="000000"/>
          <w:sz w:val="24"/>
          <w:szCs w:val="24"/>
        </w:rPr>
        <w:t xml:space="preserve"> case against the third respondent </w:t>
      </w:r>
      <w:r w:rsidR="008F7B89">
        <w:rPr>
          <w:rFonts w:ascii="Arial" w:hAnsi="Arial" w:cs="Arial"/>
          <w:color w:val="000000"/>
          <w:sz w:val="24"/>
          <w:szCs w:val="24"/>
        </w:rPr>
        <w:t>regarding</w:t>
      </w:r>
      <w:r>
        <w:rPr>
          <w:rFonts w:ascii="Arial" w:hAnsi="Arial" w:cs="Arial"/>
          <w:color w:val="000000"/>
          <w:sz w:val="24"/>
          <w:szCs w:val="24"/>
        </w:rPr>
        <w:t xml:space="preserve"> any of the complaints. </w:t>
      </w:r>
      <w:r w:rsidR="008F7B89">
        <w:rPr>
          <w:rFonts w:ascii="Arial" w:hAnsi="Arial" w:cs="Arial"/>
          <w:color w:val="000000"/>
          <w:sz w:val="24"/>
          <w:szCs w:val="24"/>
        </w:rPr>
        <w:t xml:space="preserve"> </w:t>
      </w:r>
      <w:r>
        <w:rPr>
          <w:rFonts w:ascii="Arial" w:hAnsi="Arial" w:cs="Arial"/>
          <w:color w:val="000000"/>
          <w:sz w:val="24"/>
          <w:szCs w:val="24"/>
        </w:rPr>
        <w:t>She certainly gave all three complaints due consideration</w:t>
      </w:r>
      <w:r w:rsidR="008F7B89">
        <w:rPr>
          <w:rFonts w:ascii="Arial" w:hAnsi="Arial" w:cs="Arial"/>
          <w:color w:val="000000"/>
          <w:sz w:val="24"/>
          <w:szCs w:val="24"/>
        </w:rPr>
        <w:t>, as is borne out by her reasons,</w:t>
      </w:r>
      <w:r>
        <w:rPr>
          <w:rFonts w:ascii="Arial" w:hAnsi="Arial" w:cs="Arial"/>
          <w:color w:val="000000"/>
          <w:sz w:val="24"/>
          <w:szCs w:val="24"/>
        </w:rPr>
        <w:t xml:space="preserve"> even though they are brief. </w:t>
      </w:r>
      <w:r w:rsidR="008F7B89">
        <w:rPr>
          <w:rFonts w:ascii="Arial" w:hAnsi="Arial" w:cs="Arial"/>
          <w:color w:val="000000"/>
          <w:sz w:val="24"/>
          <w:szCs w:val="24"/>
        </w:rPr>
        <w:t xml:space="preserve"> </w:t>
      </w:r>
      <w:r>
        <w:rPr>
          <w:rFonts w:ascii="Arial" w:hAnsi="Arial" w:cs="Arial"/>
          <w:color w:val="000000"/>
          <w:sz w:val="24"/>
          <w:szCs w:val="24"/>
        </w:rPr>
        <w:t>In addition</w:t>
      </w:r>
      <w:r w:rsidR="00FB0A36">
        <w:rPr>
          <w:rFonts w:ascii="Arial" w:hAnsi="Arial" w:cs="Arial"/>
          <w:color w:val="000000"/>
          <w:sz w:val="24"/>
          <w:szCs w:val="24"/>
        </w:rPr>
        <w:t>,</w:t>
      </w:r>
      <w:r>
        <w:rPr>
          <w:rFonts w:ascii="Arial" w:hAnsi="Arial" w:cs="Arial"/>
          <w:color w:val="000000"/>
          <w:sz w:val="24"/>
          <w:szCs w:val="24"/>
        </w:rPr>
        <w:t xml:space="preserve"> for all the reasons already given</w:t>
      </w:r>
      <w:r w:rsidR="00FB0A36">
        <w:rPr>
          <w:rFonts w:ascii="Arial" w:hAnsi="Arial" w:cs="Arial"/>
          <w:color w:val="000000"/>
          <w:sz w:val="24"/>
          <w:szCs w:val="24"/>
        </w:rPr>
        <w:t>,</w:t>
      </w:r>
      <w:r>
        <w:rPr>
          <w:rFonts w:ascii="Arial" w:hAnsi="Arial" w:cs="Arial"/>
          <w:color w:val="000000"/>
          <w:sz w:val="24"/>
          <w:szCs w:val="24"/>
        </w:rPr>
        <w:t xml:space="preserve"> we are similarly unable to find that she conducted herself in a procedurally unfair manner</w:t>
      </w:r>
      <w:r w:rsidR="008F7B89">
        <w:rPr>
          <w:rFonts w:ascii="Arial" w:hAnsi="Arial" w:cs="Arial"/>
          <w:color w:val="000000"/>
          <w:sz w:val="24"/>
          <w:szCs w:val="24"/>
        </w:rPr>
        <w:t>, was materially influenced by an error of law, acted arbitrarily or capriciously in reaching her decision,</w:t>
      </w:r>
      <w:r>
        <w:rPr>
          <w:rFonts w:ascii="Arial" w:hAnsi="Arial" w:cs="Arial"/>
          <w:color w:val="000000"/>
          <w:sz w:val="24"/>
          <w:szCs w:val="24"/>
        </w:rPr>
        <w:t xml:space="preserve"> or that </w:t>
      </w:r>
      <w:r w:rsidR="00594705">
        <w:rPr>
          <w:rFonts w:ascii="Arial" w:hAnsi="Arial" w:cs="Arial"/>
          <w:color w:val="000000"/>
          <w:sz w:val="24"/>
          <w:szCs w:val="24"/>
        </w:rPr>
        <w:t xml:space="preserve">the decision she made was not rationally connected to the information before her. It follows that the review application must fail. </w:t>
      </w:r>
      <w:r w:rsidR="00594705" w:rsidDel="00594705">
        <w:rPr>
          <w:rFonts w:ascii="Arial" w:hAnsi="Arial" w:cs="Arial"/>
          <w:color w:val="000000"/>
          <w:sz w:val="24"/>
          <w:szCs w:val="24"/>
        </w:rPr>
        <w:t xml:space="preserve"> </w:t>
      </w:r>
    </w:p>
    <w:p w14:paraId="5F038B85" w14:textId="77777777" w:rsidR="0047376F" w:rsidRPr="00E23AC5" w:rsidRDefault="00E23AC5" w:rsidP="0047376F">
      <w:pPr>
        <w:snapToGrid w:val="0"/>
        <w:spacing w:after="120" w:line="360" w:lineRule="auto"/>
        <w:jc w:val="both"/>
        <w:rPr>
          <w:rFonts w:ascii="Arial" w:hAnsi="Arial" w:cs="Arial"/>
          <w:b/>
          <w:bCs/>
          <w:i/>
          <w:sz w:val="24"/>
          <w:szCs w:val="24"/>
          <w:lang w:val="en-ZA"/>
        </w:rPr>
      </w:pPr>
      <w:r w:rsidRPr="00E23AC5">
        <w:rPr>
          <w:rFonts w:ascii="Arial" w:hAnsi="Arial" w:cs="Arial"/>
          <w:b/>
          <w:bCs/>
          <w:i/>
          <w:sz w:val="24"/>
          <w:szCs w:val="24"/>
          <w:lang w:val="en-ZA"/>
        </w:rPr>
        <w:t>Costs</w:t>
      </w:r>
    </w:p>
    <w:p w14:paraId="260C43DC" w14:textId="5F5457B2" w:rsidR="00CC677B" w:rsidRDefault="00E23AC5" w:rsidP="0047376F">
      <w:pPr>
        <w:snapToGrid w:val="0"/>
        <w:spacing w:after="120" w:line="360" w:lineRule="auto"/>
        <w:jc w:val="both"/>
        <w:rPr>
          <w:rFonts w:ascii="Arial" w:hAnsi="Arial" w:cs="Arial"/>
          <w:sz w:val="24"/>
          <w:szCs w:val="24"/>
          <w:lang w:val="en-ZA"/>
        </w:rPr>
      </w:pPr>
      <w:r>
        <w:rPr>
          <w:rFonts w:ascii="Arial" w:hAnsi="Arial" w:cs="Arial"/>
          <w:sz w:val="24"/>
          <w:szCs w:val="24"/>
          <w:lang w:val="en-ZA"/>
        </w:rPr>
        <w:t>[5</w:t>
      </w:r>
      <w:r w:rsidR="000A065A">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CC677B">
        <w:rPr>
          <w:rFonts w:ascii="Arial" w:hAnsi="Arial" w:cs="Arial"/>
          <w:sz w:val="24"/>
          <w:szCs w:val="24"/>
          <w:lang w:val="en-ZA"/>
        </w:rPr>
        <w:t xml:space="preserve">As a general rule, costs should </w:t>
      </w:r>
      <w:r>
        <w:rPr>
          <w:rFonts w:ascii="Arial" w:hAnsi="Arial" w:cs="Arial"/>
          <w:sz w:val="24"/>
          <w:szCs w:val="24"/>
          <w:lang w:val="en-ZA"/>
        </w:rPr>
        <w:t xml:space="preserve">follow the result unless </w:t>
      </w:r>
      <w:r w:rsidR="006D6C54">
        <w:rPr>
          <w:rFonts w:ascii="Arial" w:hAnsi="Arial" w:cs="Arial"/>
          <w:sz w:val="24"/>
          <w:szCs w:val="24"/>
          <w:lang w:val="en-ZA"/>
        </w:rPr>
        <w:t>circumstances</w:t>
      </w:r>
      <w:r>
        <w:rPr>
          <w:rFonts w:ascii="Arial" w:hAnsi="Arial" w:cs="Arial"/>
          <w:sz w:val="24"/>
          <w:szCs w:val="24"/>
          <w:lang w:val="en-ZA"/>
        </w:rPr>
        <w:t xml:space="preserve"> dictate otherwise.  We believe some circumstances determine that costs should not follow the result</w:t>
      </w:r>
      <w:r w:rsidR="00CC677B">
        <w:rPr>
          <w:rFonts w:ascii="Arial" w:hAnsi="Arial" w:cs="Arial"/>
          <w:sz w:val="24"/>
          <w:szCs w:val="24"/>
          <w:lang w:val="en-ZA"/>
        </w:rPr>
        <w:t xml:space="preserve"> in this case. </w:t>
      </w:r>
      <w:r>
        <w:rPr>
          <w:rFonts w:ascii="Arial" w:hAnsi="Arial" w:cs="Arial"/>
          <w:sz w:val="24"/>
          <w:szCs w:val="24"/>
          <w:lang w:val="en-ZA"/>
        </w:rPr>
        <w:t xml:space="preserve"> As mentioned earlier, the applicant has no right to an internal appeal.  This remedy, as contemplated, has </w:t>
      </w:r>
      <w:r w:rsidR="000A065A">
        <w:rPr>
          <w:rFonts w:ascii="Arial" w:hAnsi="Arial" w:cs="Arial"/>
          <w:sz w:val="24"/>
          <w:szCs w:val="24"/>
          <w:lang w:val="en-ZA"/>
        </w:rPr>
        <w:t>yet to be</w:t>
      </w:r>
      <w:r>
        <w:rPr>
          <w:rFonts w:ascii="Arial" w:hAnsi="Arial" w:cs="Arial"/>
          <w:sz w:val="24"/>
          <w:szCs w:val="24"/>
          <w:lang w:val="en-ZA"/>
        </w:rPr>
        <w:t xml:space="preserve"> promulgated through no fault of the applicant.  Thus, the applicant was somewhat hamstrung.  The only option open to the app</w:t>
      </w:r>
      <w:r w:rsidR="006D6C54">
        <w:rPr>
          <w:rFonts w:ascii="Arial" w:hAnsi="Arial" w:cs="Arial"/>
          <w:sz w:val="24"/>
          <w:szCs w:val="24"/>
          <w:lang w:val="en-ZA"/>
        </w:rPr>
        <w:t>licant</w:t>
      </w:r>
      <w:r>
        <w:rPr>
          <w:rFonts w:ascii="Arial" w:hAnsi="Arial" w:cs="Arial"/>
          <w:sz w:val="24"/>
          <w:szCs w:val="24"/>
          <w:lang w:val="en-ZA"/>
        </w:rPr>
        <w:t xml:space="preserve"> (who was aggrieved</w:t>
      </w:r>
      <w:r w:rsidR="006D6C54">
        <w:rPr>
          <w:rFonts w:ascii="Arial" w:hAnsi="Arial" w:cs="Arial"/>
          <w:sz w:val="24"/>
          <w:szCs w:val="24"/>
          <w:lang w:val="en-ZA"/>
        </w:rPr>
        <w:t xml:space="preserve"> by the decision</w:t>
      </w:r>
      <w:r>
        <w:rPr>
          <w:rFonts w:ascii="Arial" w:hAnsi="Arial" w:cs="Arial"/>
          <w:sz w:val="24"/>
          <w:szCs w:val="24"/>
          <w:lang w:val="en-ZA"/>
        </w:rPr>
        <w:t xml:space="preserve">) was to proceed </w:t>
      </w:r>
      <w:r w:rsidR="006D6C54">
        <w:rPr>
          <w:rFonts w:ascii="Arial" w:hAnsi="Arial" w:cs="Arial"/>
          <w:sz w:val="24"/>
          <w:szCs w:val="24"/>
          <w:lang w:val="en-ZA"/>
        </w:rPr>
        <w:t>through</w:t>
      </w:r>
      <w:r>
        <w:rPr>
          <w:rFonts w:ascii="Arial" w:hAnsi="Arial" w:cs="Arial"/>
          <w:sz w:val="24"/>
          <w:szCs w:val="24"/>
          <w:lang w:val="en-ZA"/>
        </w:rPr>
        <w:t xml:space="preserve"> a review.  At the root of this review process are issues that </w:t>
      </w:r>
      <w:r w:rsidR="006D6C54">
        <w:rPr>
          <w:rFonts w:ascii="Arial" w:hAnsi="Arial" w:cs="Arial"/>
          <w:sz w:val="24"/>
          <w:szCs w:val="24"/>
          <w:lang w:val="en-ZA"/>
        </w:rPr>
        <w:t>may have been otherwise</w:t>
      </w:r>
      <w:r>
        <w:rPr>
          <w:rFonts w:ascii="Arial" w:hAnsi="Arial" w:cs="Arial"/>
          <w:sz w:val="24"/>
          <w:szCs w:val="24"/>
          <w:lang w:val="en-ZA"/>
        </w:rPr>
        <w:t xml:space="preserve"> determined through an internal appeal.</w:t>
      </w:r>
      <w:r w:rsidR="00FB2D4B">
        <w:rPr>
          <w:rStyle w:val="FootnoteReference"/>
          <w:rFonts w:ascii="Arial" w:hAnsi="Arial" w:cs="Arial"/>
          <w:sz w:val="24"/>
          <w:szCs w:val="24"/>
          <w:lang w:val="en-ZA"/>
        </w:rPr>
        <w:footnoteReference w:id="53"/>
      </w:r>
      <w:r w:rsidR="00634E82">
        <w:rPr>
          <w:rFonts w:ascii="Arial" w:hAnsi="Arial" w:cs="Arial"/>
          <w:sz w:val="24"/>
          <w:szCs w:val="24"/>
          <w:lang w:val="en-ZA"/>
        </w:rPr>
        <w:t xml:space="preserve">  </w:t>
      </w:r>
    </w:p>
    <w:p w14:paraId="3F9420E5" w14:textId="5FFDBF10" w:rsidR="00140132" w:rsidRDefault="00CC677B" w:rsidP="0047376F">
      <w:pPr>
        <w:snapToGrid w:val="0"/>
        <w:spacing w:after="120" w:line="360" w:lineRule="auto"/>
        <w:jc w:val="both"/>
        <w:rPr>
          <w:rFonts w:ascii="Arial" w:hAnsi="Arial" w:cs="Arial"/>
          <w:sz w:val="24"/>
          <w:szCs w:val="24"/>
          <w:lang w:val="en-ZA"/>
        </w:rPr>
      </w:pPr>
      <w:r>
        <w:rPr>
          <w:rFonts w:ascii="Arial" w:hAnsi="Arial" w:cs="Arial"/>
          <w:sz w:val="24"/>
          <w:szCs w:val="24"/>
          <w:lang w:val="en-ZA"/>
        </w:rPr>
        <w:t>[5</w:t>
      </w:r>
      <w:r w:rsidR="000A065A">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634E82">
        <w:rPr>
          <w:rFonts w:ascii="Arial" w:hAnsi="Arial" w:cs="Arial"/>
          <w:sz w:val="24"/>
          <w:szCs w:val="24"/>
          <w:lang w:val="en-ZA"/>
        </w:rPr>
        <w:t xml:space="preserve">Also, we say </w:t>
      </w:r>
      <w:r w:rsidR="00FB2D4B">
        <w:rPr>
          <w:rFonts w:ascii="Arial" w:hAnsi="Arial" w:cs="Arial"/>
          <w:sz w:val="24"/>
          <w:szCs w:val="24"/>
          <w:lang w:val="en-ZA"/>
        </w:rPr>
        <w:t xml:space="preserve">the </w:t>
      </w:r>
      <w:r w:rsidR="00634E82">
        <w:rPr>
          <w:rFonts w:ascii="Arial" w:hAnsi="Arial" w:cs="Arial"/>
          <w:sz w:val="24"/>
          <w:szCs w:val="24"/>
          <w:lang w:val="en-ZA"/>
        </w:rPr>
        <w:t>third respondent's conduc</w:t>
      </w:r>
      <w:r w:rsidR="00FB2D4B">
        <w:rPr>
          <w:rFonts w:ascii="Arial" w:hAnsi="Arial" w:cs="Arial"/>
          <w:sz w:val="24"/>
          <w:szCs w:val="24"/>
          <w:lang w:val="en-ZA"/>
        </w:rPr>
        <w:t xml:space="preserve">t was not beyond reproach.  We say this because, in an unfortunate letter written to the first respondent, the third </w:t>
      </w:r>
      <w:r w:rsidR="001D7CD0">
        <w:rPr>
          <w:rFonts w:ascii="Arial" w:hAnsi="Arial" w:cs="Arial"/>
          <w:sz w:val="24"/>
          <w:szCs w:val="24"/>
          <w:lang w:val="en-ZA"/>
        </w:rPr>
        <w:lastRenderedPageBreak/>
        <w:t>respondent</w:t>
      </w:r>
      <w:r w:rsidR="00FB2D4B">
        <w:rPr>
          <w:rFonts w:ascii="Arial" w:hAnsi="Arial" w:cs="Arial"/>
          <w:sz w:val="24"/>
          <w:szCs w:val="24"/>
          <w:lang w:val="en-ZA"/>
        </w:rPr>
        <w:t xml:space="preserve"> states that he was finalizing a criminal complaint against the applicant for perjury and </w:t>
      </w:r>
      <w:r w:rsidR="005C66D2">
        <w:rPr>
          <w:rFonts w:ascii="Arial" w:hAnsi="Arial" w:cs="Arial"/>
          <w:sz w:val="24"/>
          <w:szCs w:val="24"/>
          <w:lang w:val="en-ZA"/>
        </w:rPr>
        <w:t>participating</w:t>
      </w:r>
      <w:r w:rsidR="00FB2D4B">
        <w:rPr>
          <w:rFonts w:ascii="Arial" w:hAnsi="Arial" w:cs="Arial"/>
          <w:sz w:val="24"/>
          <w:szCs w:val="24"/>
          <w:lang w:val="en-ZA"/>
        </w:rPr>
        <w:t xml:space="preserve"> in a fraudulent tax evasion scheme.</w:t>
      </w:r>
      <w:r w:rsidR="00634E82">
        <w:rPr>
          <w:rStyle w:val="FootnoteReference"/>
          <w:rFonts w:ascii="Arial" w:hAnsi="Arial" w:cs="Arial"/>
          <w:sz w:val="24"/>
          <w:szCs w:val="24"/>
          <w:lang w:val="en-ZA"/>
        </w:rPr>
        <w:footnoteReference w:id="54"/>
      </w:r>
    </w:p>
    <w:p w14:paraId="30BEC018" w14:textId="6C47044C" w:rsidR="00E23AC5" w:rsidRDefault="00634E82" w:rsidP="0047376F">
      <w:pPr>
        <w:snapToGrid w:val="0"/>
        <w:spacing w:after="120" w:line="360" w:lineRule="auto"/>
        <w:jc w:val="both"/>
        <w:rPr>
          <w:rFonts w:ascii="Arial" w:hAnsi="Arial" w:cs="Arial"/>
          <w:sz w:val="24"/>
          <w:szCs w:val="24"/>
          <w:lang w:val="en-ZA"/>
        </w:rPr>
      </w:pPr>
      <w:r>
        <w:rPr>
          <w:rFonts w:ascii="Arial" w:hAnsi="Arial" w:cs="Arial"/>
          <w:sz w:val="24"/>
          <w:szCs w:val="24"/>
          <w:lang w:val="en-ZA"/>
        </w:rPr>
        <w:t>[5</w:t>
      </w:r>
      <w:r w:rsidR="000A065A">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FB0A36">
        <w:rPr>
          <w:rFonts w:ascii="Arial" w:hAnsi="Arial" w:cs="Arial"/>
          <w:sz w:val="24"/>
          <w:szCs w:val="24"/>
          <w:lang w:val="en-ZA"/>
        </w:rPr>
        <w:t>Further</w:t>
      </w:r>
      <w:r w:rsidR="005C66D2">
        <w:rPr>
          <w:rFonts w:ascii="Arial" w:hAnsi="Arial" w:cs="Arial"/>
          <w:sz w:val="24"/>
          <w:szCs w:val="24"/>
          <w:lang w:val="en-ZA"/>
        </w:rPr>
        <w:t xml:space="preserve">, the third respondent </w:t>
      </w:r>
      <w:r>
        <w:rPr>
          <w:rFonts w:ascii="Arial" w:hAnsi="Arial" w:cs="Arial"/>
          <w:sz w:val="24"/>
          <w:szCs w:val="24"/>
          <w:lang w:val="en-ZA"/>
        </w:rPr>
        <w:t xml:space="preserve">indicated he </w:t>
      </w:r>
      <w:r w:rsidR="005C66D2">
        <w:rPr>
          <w:rFonts w:ascii="Arial" w:hAnsi="Arial" w:cs="Arial"/>
          <w:sz w:val="24"/>
          <w:szCs w:val="24"/>
          <w:lang w:val="en-ZA"/>
        </w:rPr>
        <w:t>was filing a complaint against the applicant’s professional regulatory authority</w:t>
      </w:r>
      <w:r w:rsidR="006D6C54">
        <w:rPr>
          <w:rFonts w:ascii="Arial" w:hAnsi="Arial" w:cs="Arial"/>
          <w:sz w:val="24"/>
          <w:szCs w:val="24"/>
          <w:lang w:val="en-ZA"/>
        </w:rPr>
        <w:t xml:space="preserve"> as </w:t>
      </w:r>
      <w:r w:rsidR="00FB2D4B">
        <w:rPr>
          <w:rFonts w:ascii="Arial" w:hAnsi="Arial" w:cs="Arial"/>
          <w:sz w:val="24"/>
          <w:szCs w:val="24"/>
          <w:lang w:val="en-ZA"/>
        </w:rPr>
        <w:t>the applicant is a chartered accountant.</w:t>
      </w:r>
      <w:r w:rsidR="003D0CA4">
        <w:rPr>
          <w:rFonts w:ascii="Arial" w:hAnsi="Arial" w:cs="Arial"/>
          <w:sz w:val="24"/>
          <w:szCs w:val="24"/>
          <w:lang w:val="en-ZA"/>
        </w:rPr>
        <w:t xml:space="preserve">  This was unnecessary, and no possible good was gained for the law and the judicial process from </w:t>
      </w:r>
      <w:r w:rsidR="001D7CD0">
        <w:rPr>
          <w:rFonts w:ascii="Arial" w:hAnsi="Arial" w:cs="Arial"/>
          <w:sz w:val="24"/>
          <w:szCs w:val="24"/>
          <w:lang w:val="en-ZA"/>
        </w:rPr>
        <w:t xml:space="preserve">a </w:t>
      </w:r>
      <w:r w:rsidR="003D0CA4">
        <w:rPr>
          <w:rFonts w:ascii="Arial" w:hAnsi="Arial" w:cs="Arial"/>
          <w:sz w:val="24"/>
          <w:szCs w:val="24"/>
          <w:lang w:val="en-ZA"/>
        </w:rPr>
        <w:t>letter written in this fashion.</w:t>
      </w:r>
      <w:r w:rsidR="003D0CA4">
        <w:rPr>
          <w:rStyle w:val="FootnoteReference"/>
          <w:rFonts w:ascii="Arial" w:hAnsi="Arial" w:cs="Arial"/>
          <w:sz w:val="24"/>
          <w:szCs w:val="24"/>
          <w:lang w:val="en-ZA"/>
        </w:rPr>
        <w:footnoteReference w:id="55"/>
      </w:r>
    </w:p>
    <w:p w14:paraId="20DC1676" w14:textId="13169412" w:rsidR="00634E82" w:rsidRDefault="00634E82" w:rsidP="0047376F">
      <w:pPr>
        <w:snapToGrid w:val="0"/>
        <w:spacing w:after="120" w:line="360" w:lineRule="auto"/>
        <w:jc w:val="both"/>
        <w:rPr>
          <w:rFonts w:ascii="Arial" w:hAnsi="Arial" w:cs="Arial"/>
          <w:sz w:val="24"/>
          <w:szCs w:val="24"/>
          <w:lang w:val="en-ZA"/>
        </w:rPr>
      </w:pPr>
      <w:r>
        <w:rPr>
          <w:rFonts w:ascii="Arial" w:hAnsi="Arial" w:cs="Arial"/>
          <w:sz w:val="24"/>
          <w:szCs w:val="24"/>
          <w:lang w:val="en-ZA"/>
        </w:rPr>
        <w:t>[</w:t>
      </w:r>
      <w:r w:rsidR="008F7B89">
        <w:rPr>
          <w:rFonts w:ascii="Arial" w:hAnsi="Arial" w:cs="Arial"/>
          <w:sz w:val="24"/>
          <w:szCs w:val="24"/>
          <w:lang w:val="en-ZA"/>
        </w:rPr>
        <w:t>5</w:t>
      </w:r>
      <w:r w:rsidR="000A065A">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t xml:space="preserve">Significantly, in the opposing affidavit by the third respondent, he gratuitously opined that the applicant was aware of and participated in a fraudulent tax scheme conducted by </w:t>
      </w:r>
      <w:r w:rsidR="001D7CD0">
        <w:rPr>
          <w:rFonts w:ascii="Arial" w:hAnsi="Arial" w:cs="Arial"/>
          <w:sz w:val="24"/>
          <w:szCs w:val="24"/>
          <w:lang w:val="en-ZA"/>
        </w:rPr>
        <w:t>hi</w:t>
      </w:r>
      <w:r>
        <w:rPr>
          <w:rFonts w:ascii="Arial" w:hAnsi="Arial" w:cs="Arial"/>
          <w:sz w:val="24"/>
          <w:szCs w:val="24"/>
          <w:lang w:val="en-ZA"/>
        </w:rPr>
        <w:t xml:space="preserve">s brother-in-law.  This was </w:t>
      </w:r>
      <w:r w:rsidR="00594705">
        <w:rPr>
          <w:rFonts w:ascii="Arial" w:hAnsi="Arial" w:cs="Arial"/>
          <w:sz w:val="24"/>
          <w:szCs w:val="24"/>
          <w:lang w:val="en-ZA"/>
        </w:rPr>
        <w:t>irrelevant to the issues before us</w:t>
      </w:r>
      <w:r w:rsidR="00FB0A36">
        <w:rPr>
          <w:rFonts w:ascii="Arial" w:hAnsi="Arial" w:cs="Arial"/>
          <w:sz w:val="24"/>
          <w:szCs w:val="24"/>
          <w:lang w:val="en-ZA"/>
        </w:rPr>
        <w:t xml:space="preserve"> and </w:t>
      </w:r>
      <w:r w:rsidR="00594705">
        <w:rPr>
          <w:rFonts w:ascii="Arial" w:hAnsi="Arial" w:cs="Arial"/>
          <w:sz w:val="24"/>
          <w:szCs w:val="24"/>
          <w:lang w:val="en-ZA"/>
        </w:rPr>
        <w:t xml:space="preserve">unseemly </w:t>
      </w:r>
      <w:r>
        <w:rPr>
          <w:rFonts w:ascii="Arial" w:hAnsi="Arial" w:cs="Arial"/>
          <w:sz w:val="24"/>
          <w:szCs w:val="24"/>
          <w:lang w:val="en-ZA"/>
        </w:rPr>
        <w:t>and unnecessary.</w:t>
      </w:r>
      <w:r w:rsidR="00141C87">
        <w:rPr>
          <w:rStyle w:val="FootnoteReference"/>
          <w:rFonts w:ascii="Arial" w:hAnsi="Arial" w:cs="Arial"/>
          <w:sz w:val="24"/>
          <w:szCs w:val="24"/>
          <w:lang w:val="en-ZA"/>
        </w:rPr>
        <w:footnoteReference w:id="56"/>
      </w:r>
    </w:p>
    <w:p w14:paraId="2E97B527" w14:textId="5B36F1F5" w:rsidR="00DC0A1B" w:rsidRDefault="00DC0A1B" w:rsidP="00DC0A1B">
      <w:pPr>
        <w:snapToGrid w:val="0"/>
        <w:spacing w:after="120" w:line="360" w:lineRule="auto"/>
        <w:jc w:val="both"/>
        <w:rPr>
          <w:rFonts w:ascii="Arial" w:hAnsi="Arial" w:cs="Arial"/>
          <w:b/>
          <w:bCs/>
          <w:sz w:val="24"/>
          <w:szCs w:val="24"/>
          <w:lang w:val="en-ZA"/>
        </w:rPr>
      </w:pPr>
      <w:r>
        <w:rPr>
          <w:rFonts w:ascii="Arial" w:hAnsi="Arial" w:cs="Arial"/>
          <w:sz w:val="24"/>
          <w:szCs w:val="24"/>
          <w:lang w:val="en-ZA"/>
        </w:rPr>
        <w:t>[</w:t>
      </w:r>
      <w:r w:rsidR="008F7B89">
        <w:rPr>
          <w:rFonts w:ascii="Arial" w:hAnsi="Arial" w:cs="Arial"/>
          <w:sz w:val="24"/>
          <w:szCs w:val="24"/>
          <w:lang w:val="en-ZA"/>
        </w:rPr>
        <w:t>5</w:t>
      </w:r>
      <w:r w:rsidR="000A065A">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t>For all these reasons, we believe that the most appropriate order would be for each party to be responsible for their respective costs.  This includes the costs of the interlocutory discovery application and the costs incidental to the application to strike</w:t>
      </w:r>
      <w:r w:rsidR="001D7CD0">
        <w:rPr>
          <w:rFonts w:ascii="Arial" w:hAnsi="Arial" w:cs="Arial"/>
          <w:sz w:val="24"/>
          <w:szCs w:val="24"/>
          <w:lang w:val="en-ZA"/>
        </w:rPr>
        <w:t xml:space="preserve"> </w:t>
      </w:r>
      <w:r>
        <w:rPr>
          <w:rFonts w:ascii="Arial" w:hAnsi="Arial" w:cs="Arial"/>
          <w:sz w:val="24"/>
          <w:szCs w:val="24"/>
          <w:lang w:val="en-ZA"/>
        </w:rPr>
        <w:t>out.</w:t>
      </w:r>
      <w:r>
        <w:rPr>
          <w:rStyle w:val="FootnoteReference"/>
          <w:rFonts w:ascii="Arial" w:hAnsi="Arial" w:cs="Arial"/>
          <w:sz w:val="24"/>
          <w:szCs w:val="24"/>
          <w:lang w:val="en-ZA"/>
        </w:rPr>
        <w:footnoteReference w:id="57"/>
      </w:r>
    </w:p>
    <w:p w14:paraId="0D0D745C" w14:textId="76676B8B" w:rsidR="00AE03B6" w:rsidRDefault="00DC0A1B" w:rsidP="00905CBC">
      <w:pPr>
        <w:snapToGrid w:val="0"/>
        <w:spacing w:after="120" w:line="360" w:lineRule="auto"/>
        <w:jc w:val="both"/>
        <w:rPr>
          <w:rFonts w:ascii="Arial" w:hAnsi="Arial" w:cs="Arial"/>
          <w:sz w:val="24"/>
          <w:szCs w:val="24"/>
          <w:lang w:val="en-ZA"/>
        </w:rPr>
      </w:pPr>
      <w:r w:rsidRPr="00DC0A1B">
        <w:rPr>
          <w:rFonts w:ascii="Arial" w:hAnsi="Arial" w:cs="Arial"/>
          <w:sz w:val="24"/>
          <w:szCs w:val="24"/>
          <w:lang w:val="en-ZA"/>
        </w:rPr>
        <w:t>[</w:t>
      </w:r>
      <w:r w:rsidR="000A065A">
        <w:rPr>
          <w:rFonts w:ascii="Arial" w:hAnsi="Arial" w:cs="Arial"/>
          <w:sz w:val="24"/>
          <w:szCs w:val="24"/>
          <w:lang w:val="en-ZA"/>
        </w:rPr>
        <w:t>59</w:t>
      </w:r>
      <w:r w:rsidRPr="00DC0A1B">
        <w:rPr>
          <w:rFonts w:ascii="Arial" w:hAnsi="Arial" w:cs="Arial"/>
          <w:sz w:val="24"/>
          <w:szCs w:val="24"/>
          <w:lang w:val="en-ZA"/>
        </w:rPr>
        <w:t>]</w:t>
      </w:r>
      <w:r w:rsidRPr="00DC0A1B">
        <w:rPr>
          <w:rFonts w:ascii="Arial" w:hAnsi="Arial" w:cs="Arial"/>
          <w:sz w:val="24"/>
          <w:szCs w:val="24"/>
          <w:lang w:val="en-ZA"/>
        </w:rPr>
        <w:tab/>
      </w:r>
      <w:r>
        <w:rPr>
          <w:rFonts w:ascii="Arial" w:hAnsi="Arial" w:cs="Arial"/>
          <w:sz w:val="24"/>
          <w:szCs w:val="24"/>
          <w:lang w:val="en-ZA"/>
        </w:rPr>
        <w:t>For all these reasons, the following order is granted</w:t>
      </w:r>
      <w:r w:rsidR="00BE09EB">
        <w:rPr>
          <w:rFonts w:ascii="Arial" w:hAnsi="Arial" w:cs="Arial"/>
          <w:sz w:val="24"/>
          <w:szCs w:val="24"/>
          <w:lang w:val="en-ZA"/>
        </w:rPr>
        <w:t>:</w:t>
      </w:r>
    </w:p>
    <w:p w14:paraId="354B01E3" w14:textId="77777777" w:rsidR="000A065A" w:rsidRDefault="000A065A" w:rsidP="00905CBC">
      <w:pPr>
        <w:snapToGrid w:val="0"/>
        <w:spacing w:after="120" w:line="360" w:lineRule="auto"/>
        <w:jc w:val="both"/>
        <w:rPr>
          <w:rFonts w:ascii="Arial" w:hAnsi="Arial" w:cs="Arial"/>
          <w:sz w:val="24"/>
          <w:szCs w:val="24"/>
          <w:lang w:val="en-ZA"/>
        </w:rPr>
      </w:pPr>
    </w:p>
    <w:p w14:paraId="1CBDC57B" w14:textId="0D93D5BB" w:rsidR="00DC0A1B" w:rsidRPr="00FC3BD9" w:rsidRDefault="00FC3BD9" w:rsidP="00FC3BD9">
      <w:pPr>
        <w:snapToGrid w:val="0"/>
        <w:spacing w:after="120" w:line="360" w:lineRule="auto"/>
        <w:ind w:left="720" w:hanging="360"/>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DC0A1B" w:rsidRPr="00FC3BD9">
        <w:rPr>
          <w:rFonts w:ascii="Arial" w:hAnsi="Arial" w:cs="Arial"/>
          <w:sz w:val="24"/>
          <w:szCs w:val="24"/>
          <w:lang w:val="en-ZA"/>
        </w:rPr>
        <w:t>The application is dismissed.</w:t>
      </w:r>
    </w:p>
    <w:p w14:paraId="22386A7C" w14:textId="77777777" w:rsidR="000A065A" w:rsidRDefault="000A065A" w:rsidP="000A065A">
      <w:pPr>
        <w:pStyle w:val="ListParagraph"/>
        <w:snapToGrid w:val="0"/>
        <w:spacing w:after="120" w:line="360" w:lineRule="auto"/>
        <w:jc w:val="both"/>
        <w:rPr>
          <w:rFonts w:ascii="Arial" w:hAnsi="Arial" w:cs="Arial"/>
          <w:sz w:val="24"/>
          <w:szCs w:val="24"/>
          <w:lang w:val="en-ZA"/>
        </w:rPr>
      </w:pPr>
    </w:p>
    <w:p w14:paraId="3A2425F9" w14:textId="60C16D4C" w:rsidR="00DC0A1B" w:rsidRPr="00FC3BD9" w:rsidRDefault="00FC3BD9" w:rsidP="00FC3BD9">
      <w:pPr>
        <w:snapToGrid w:val="0"/>
        <w:spacing w:after="120" w:line="360" w:lineRule="auto"/>
        <w:ind w:left="720" w:hanging="360"/>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DC0A1B" w:rsidRPr="00FC3BD9">
        <w:rPr>
          <w:rFonts w:ascii="Arial" w:hAnsi="Arial" w:cs="Arial"/>
          <w:sz w:val="24"/>
          <w:szCs w:val="24"/>
          <w:lang w:val="en-ZA"/>
        </w:rPr>
        <w:t xml:space="preserve">The parties shall bear their respective costs </w:t>
      </w:r>
      <w:r w:rsidR="001D7CD0" w:rsidRPr="00FC3BD9">
        <w:rPr>
          <w:rFonts w:ascii="Arial" w:hAnsi="Arial" w:cs="Arial"/>
          <w:sz w:val="24"/>
          <w:szCs w:val="24"/>
          <w:lang w:val="en-ZA"/>
        </w:rPr>
        <w:t>for the application, the interlocutory discovery application,</w:t>
      </w:r>
      <w:r w:rsidR="00DC0A1B" w:rsidRPr="00FC3BD9">
        <w:rPr>
          <w:rFonts w:ascii="Arial" w:hAnsi="Arial" w:cs="Arial"/>
          <w:sz w:val="24"/>
          <w:szCs w:val="24"/>
          <w:lang w:val="en-ZA"/>
        </w:rPr>
        <w:t xml:space="preserve"> and the application to strike out. </w:t>
      </w:r>
    </w:p>
    <w:p w14:paraId="17D19A2D" w14:textId="77777777" w:rsidR="00012AE5" w:rsidRDefault="00012AE5" w:rsidP="00DC0A1B">
      <w:pPr>
        <w:pStyle w:val="ListParagraph"/>
        <w:rPr>
          <w:rFonts w:ascii="Arial" w:hAnsi="Arial" w:cs="Arial"/>
          <w:b/>
          <w:bCs/>
          <w:sz w:val="24"/>
          <w:szCs w:val="24"/>
          <w:lang w:val="en-ZA"/>
        </w:rPr>
      </w:pPr>
    </w:p>
    <w:p w14:paraId="5F146638" w14:textId="77777777" w:rsidR="003D0CA4" w:rsidRDefault="003D0CA4" w:rsidP="00DC0A1B">
      <w:pPr>
        <w:pStyle w:val="ListParagraph"/>
        <w:rPr>
          <w:rFonts w:ascii="Arial" w:hAnsi="Arial" w:cs="Arial"/>
          <w:b/>
          <w:bCs/>
          <w:sz w:val="24"/>
          <w:szCs w:val="24"/>
          <w:lang w:val="en-ZA"/>
        </w:rPr>
      </w:pPr>
    </w:p>
    <w:p w14:paraId="64808A5B" w14:textId="77777777" w:rsidR="000A065A" w:rsidRPr="00DC0A1B" w:rsidRDefault="000A065A" w:rsidP="00DC0A1B">
      <w:pPr>
        <w:pStyle w:val="ListParagraph"/>
        <w:rPr>
          <w:rFonts w:ascii="Arial" w:hAnsi="Arial" w:cs="Arial"/>
          <w:b/>
          <w:bCs/>
          <w:sz w:val="24"/>
          <w:szCs w:val="24"/>
          <w:lang w:val="en-ZA"/>
        </w:rPr>
      </w:pPr>
    </w:p>
    <w:p w14:paraId="2CA26330" w14:textId="77777777" w:rsidR="00DC0A1B" w:rsidRDefault="00DC0A1B" w:rsidP="00DC0A1B">
      <w:pPr>
        <w:pStyle w:val="ListParagraph"/>
        <w:snapToGrid w:val="0"/>
        <w:contextualSpacing w:val="0"/>
        <w:jc w:val="right"/>
        <w:rPr>
          <w:rFonts w:ascii="Arial" w:hAnsi="Arial" w:cs="Arial"/>
          <w:b/>
          <w:bCs/>
          <w:sz w:val="24"/>
          <w:szCs w:val="24"/>
          <w:lang w:val="en-ZA"/>
        </w:rPr>
      </w:pPr>
      <w:r>
        <w:rPr>
          <w:rFonts w:ascii="Arial" w:hAnsi="Arial" w:cs="Arial"/>
          <w:b/>
          <w:bCs/>
          <w:sz w:val="24"/>
          <w:szCs w:val="24"/>
          <w:lang w:val="en-ZA"/>
        </w:rPr>
        <w:t>_________</w:t>
      </w:r>
    </w:p>
    <w:p w14:paraId="6CC3F10A" w14:textId="77777777" w:rsidR="00AE03B6" w:rsidRPr="00DC0A1B" w:rsidRDefault="00DC0A1B" w:rsidP="00DC0A1B">
      <w:pPr>
        <w:pStyle w:val="ListParagraph"/>
        <w:snapToGrid w:val="0"/>
        <w:contextualSpacing w:val="0"/>
        <w:jc w:val="right"/>
        <w:rPr>
          <w:rFonts w:ascii="Arial" w:hAnsi="Arial" w:cs="Arial"/>
          <w:sz w:val="24"/>
          <w:szCs w:val="24"/>
          <w:lang w:val="en-ZA"/>
        </w:rPr>
      </w:pPr>
      <w:r w:rsidRPr="00DC0A1B">
        <w:rPr>
          <w:rFonts w:ascii="Arial" w:hAnsi="Arial" w:cs="Arial"/>
          <w:b/>
          <w:bCs/>
          <w:sz w:val="24"/>
          <w:szCs w:val="24"/>
          <w:lang w:val="en-ZA"/>
        </w:rPr>
        <w:t>CLOETE, J</w:t>
      </w:r>
    </w:p>
    <w:p w14:paraId="34030D36" w14:textId="77777777" w:rsidR="00012AE5" w:rsidRDefault="00012AE5"/>
    <w:p w14:paraId="741E9EC4" w14:textId="77777777" w:rsidR="00012AE5" w:rsidRDefault="00012AE5" w:rsidP="00DC0A1B">
      <w:pPr>
        <w:snapToGrid w:val="0"/>
        <w:jc w:val="right"/>
        <w:rPr>
          <w:rFonts w:ascii="Arial" w:hAnsi="Arial" w:cs="Arial"/>
          <w:b/>
          <w:bCs/>
          <w:sz w:val="24"/>
          <w:szCs w:val="24"/>
          <w:lang w:val="en-ZA"/>
        </w:rPr>
      </w:pPr>
    </w:p>
    <w:p w14:paraId="2743EC62" w14:textId="77777777" w:rsidR="000A065A" w:rsidRDefault="000A065A" w:rsidP="00DC0A1B">
      <w:pPr>
        <w:snapToGrid w:val="0"/>
        <w:jc w:val="right"/>
        <w:rPr>
          <w:rFonts w:ascii="Arial" w:hAnsi="Arial" w:cs="Arial"/>
          <w:b/>
          <w:bCs/>
          <w:sz w:val="24"/>
          <w:szCs w:val="24"/>
          <w:lang w:val="en-ZA"/>
        </w:rPr>
      </w:pPr>
    </w:p>
    <w:p w14:paraId="55BDB059" w14:textId="77777777" w:rsidR="00012AE5" w:rsidRDefault="00012AE5" w:rsidP="00DC0A1B">
      <w:pPr>
        <w:snapToGrid w:val="0"/>
        <w:jc w:val="right"/>
        <w:rPr>
          <w:rFonts w:ascii="Arial" w:hAnsi="Arial" w:cs="Arial"/>
          <w:b/>
          <w:bCs/>
          <w:sz w:val="24"/>
          <w:szCs w:val="24"/>
          <w:lang w:val="en-ZA"/>
        </w:rPr>
      </w:pPr>
      <w:r>
        <w:rPr>
          <w:rFonts w:ascii="Arial" w:hAnsi="Arial" w:cs="Arial"/>
          <w:b/>
          <w:bCs/>
          <w:sz w:val="24"/>
          <w:szCs w:val="24"/>
          <w:lang w:val="en-ZA"/>
        </w:rPr>
        <w:t>________</w:t>
      </w:r>
    </w:p>
    <w:p w14:paraId="69233CCB" w14:textId="77777777" w:rsidR="00AE03B6" w:rsidRDefault="00DC0A1B" w:rsidP="00DC0A1B">
      <w:pPr>
        <w:snapToGrid w:val="0"/>
        <w:jc w:val="right"/>
        <w:rPr>
          <w:rFonts w:ascii="Arial" w:hAnsi="Arial" w:cs="Arial"/>
          <w:b/>
          <w:bCs/>
          <w:sz w:val="24"/>
          <w:szCs w:val="24"/>
          <w:lang w:val="en-ZA"/>
        </w:rPr>
      </w:pPr>
      <w:r>
        <w:rPr>
          <w:rFonts w:ascii="Arial" w:hAnsi="Arial" w:cs="Arial"/>
          <w:b/>
          <w:bCs/>
          <w:sz w:val="24"/>
          <w:szCs w:val="24"/>
          <w:lang w:val="en-ZA"/>
        </w:rPr>
        <w:t>WILLE, J</w:t>
      </w:r>
    </w:p>
    <w:p w14:paraId="3B0F4DA8" w14:textId="77777777" w:rsidR="00AE03B6" w:rsidRPr="00C1551F" w:rsidRDefault="00AE03B6" w:rsidP="00C33E91">
      <w:pPr>
        <w:jc w:val="right"/>
        <w:rPr>
          <w:rFonts w:ascii="Arial" w:hAnsi="Arial" w:cs="Arial"/>
          <w:b/>
          <w:bCs/>
          <w:sz w:val="24"/>
          <w:szCs w:val="24"/>
          <w:lang w:val="en-ZA"/>
        </w:rPr>
      </w:pPr>
    </w:p>
    <w:sectPr w:rsidR="00AE03B6" w:rsidRPr="00C1551F" w:rsidSect="006C289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5C094" w14:textId="77777777" w:rsidR="0092371D" w:rsidRDefault="0092371D" w:rsidP="00EA7962">
      <w:r>
        <w:separator/>
      </w:r>
    </w:p>
  </w:endnote>
  <w:endnote w:type="continuationSeparator" w:id="0">
    <w:p w14:paraId="6B2E5C5C" w14:textId="77777777" w:rsidR="0092371D" w:rsidRDefault="0092371D" w:rsidP="00EA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F2B7" w14:textId="77777777" w:rsidR="00861D0E" w:rsidRDefault="00861D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2F27" w14:textId="77777777" w:rsidR="00861D0E" w:rsidRDefault="00861D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30A3" w14:textId="77777777" w:rsidR="008D5734" w:rsidRPr="008D5734" w:rsidRDefault="008D5734" w:rsidP="008D573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6658" w14:textId="77777777" w:rsidR="0092371D" w:rsidRDefault="0092371D" w:rsidP="00EA7962">
      <w:r>
        <w:separator/>
      </w:r>
    </w:p>
  </w:footnote>
  <w:footnote w:type="continuationSeparator" w:id="0">
    <w:p w14:paraId="6F7F7856" w14:textId="77777777" w:rsidR="0092371D" w:rsidRDefault="0092371D" w:rsidP="00EA7962">
      <w:r>
        <w:continuationSeparator/>
      </w:r>
    </w:p>
  </w:footnote>
  <w:footnote w:id="1">
    <w:p w14:paraId="57AADAB3" w14:textId="77777777" w:rsidR="00905CBC" w:rsidRPr="00DB4443" w:rsidRDefault="00905CBC" w:rsidP="008E2EA5">
      <w:pPr>
        <w:pStyle w:val="FootnoteText"/>
        <w:snapToGrid w:val="0"/>
        <w:rPr>
          <w:rFonts w:ascii="Arial" w:hAnsi="Arial" w:cs="Arial"/>
          <w:i/>
          <w:iCs/>
          <w:sz w:val="16"/>
          <w:szCs w:val="16"/>
          <w:lang w:val="en-US"/>
        </w:rPr>
      </w:pPr>
      <w:r w:rsidRPr="00DB4443">
        <w:rPr>
          <w:rStyle w:val="FootnoteReference"/>
          <w:rFonts w:ascii="Arial" w:hAnsi="Arial" w:cs="Arial"/>
          <w:i/>
          <w:iCs/>
          <w:sz w:val="16"/>
          <w:szCs w:val="16"/>
        </w:rPr>
        <w:footnoteRef/>
      </w:r>
      <w:r w:rsidRPr="00DB4443">
        <w:rPr>
          <w:rFonts w:ascii="Arial" w:hAnsi="Arial" w:cs="Arial"/>
          <w:i/>
          <w:iCs/>
          <w:sz w:val="16"/>
          <w:szCs w:val="16"/>
        </w:rPr>
        <w:t xml:space="preserve">  </w:t>
      </w:r>
      <w:r w:rsidR="00CF3A20">
        <w:rPr>
          <w:rFonts w:ascii="Arial" w:hAnsi="Arial" w:cs="Arial"/>
          <w:i/>
          <w:iCs/>
          <w:sz w:val="16"/>
          <w:szCs w:val="16"/>
        </w:rPr>
        <w:t xml:space="preserve"> </w:t>
      </w:r>
      <w:r w:rsidRPr="00DB4443">
        <w:rPr>
          <w:rFonts w:ascii="Arial" w:hAnsi="Arial" w:cs="Arial"/>
          <w:i/>
          <w:iCs/>
          <w:sz w:val="16"/>
          <w:szCs w:val="16"/>
        </w:rPr>
        <w:t xml:space="preserve">The first respondent </w:t>
      </w:r>
      <w:r w:rsidR="00CF3A20">
        <w:rPr>
          <w:rFonts w:ascii="Arial" w:hAnsi="Arial" w:cs="Arial"/>
          <w:i/>
          <w:iCs/>
          <w:sz w:val="16"/>
          <w:szCs w:val="16"/>
        </w:rPr>
        <w:t xml:space="preserve">rendered </w:t>
      </w:r>
      <w:r w:rsidRPr="00DB4443">
        <w:rPr>
          <w:rFonts w:ascii="Arial" w:hAnsi="Arial" w:cs="Arial"/>
          <w:i/>
          <w:iCs/>
          <w:sz w:val="16"/>
          <w:szCs w:val="16"/>
        </w:rPr>
        <w:t>its decision on the 21st of July 2022 (“the decision”).</w:t>
      </w:r>
    </w:p>
  </w:footnote>
  <w:footnote w:id="2">
    <w:p w14:paraId="5094E9A8" w14:textId="269CF3FB" w:rsidR="00905CBC" w:rsidRPr="00DB4443" w:rsidRDefault="00905CBC" w:rsidP="008E2EA5">
      <w:pPr>
        <w:widowControl w:val="0"/>
        <w:snapToGrid w:val="0"/>
        <w:jc w:val="both"/>
        <w:rPr>
          <w:rFonts w:ascii="Arial" w:hAnsi="Arial" w:cs="Arial"/>
          <w:i/>
          <w:iCs/>
          <w:sz w:val="16"/>
          <w:szCs w:val="16"/>
          <w:lang w:val="en-ZA"/>
        </w:rPr>
      </w:pPr>
      <w:r w:rsidRPr="00DB4443">
        <w:rPr>
          <w:rStyle w:val="FootnoteReference"/>
          <w:rFonts w:ascii="Arial" w:hAnsi="Arial" w:cs="Arial"/>
          <w:i/>
          <w:iCs/>
          <w:sz w:val="16"/>
          <w:szCs w:val="16"/>
        </w:rPr>
        <w:footnoteRef/>
      </w:r>
      <w:r w:rsidRPr="00DB4443">
        <w:rPr>
          <w:rFonts w:ascii="Arial" w:hAnsi="Arial" w:cs="Arial"/>
          <w:i/>
          <w:iCs/>
          <w:sz w:val="16"/>
          <w:szCs w:val="16"/>
        </w:rPr>
        <w:t xml:space="preserve">  </w:t>
      </w:r>
      <w:r w:rsidR="00CF3A20">
        <w:rPr>
          <w:rFonts w:ascii="Arial" w:hAnsi="Arial" w:cs="Arial"/>
          <w:i/>
          <w:iCs/>
          <w:sz w:val="16"/>
          <w:szCs w:val="16"/>
        </w:rPr>
        <w:t xml:space="preserve"> </w:t>
      </w:r>
      <w:r w:rsidRPr="00DB4443">
        <w:rPr>
          <w:rFonts w:ascii="Arial" w:hAnsi="Arial" w:cs="Arial"/>
          <w:i/>
          <w:iCs/>
          <w:sz w:val="16"/>
          <w:szCs w:val="16"/>
          <w:lang w:val="en-ZA"/>
        </w:rPr>
        <w:t xml:space="preserve">In terms of Section 39 of the Legal Practice Act, </w:t>
      </w:r>
      <w:r w:rsidR="00CF3A20">
        <w:rPr>
          <w:rFonts w:ascii="Arial" w:hAnsi="Arial" w:cs="Arial"/>
          <w:i/>
          <w:iCs/>
          <w:sz w:val="16"/>
          <w:szCs w:val="16"/>
          <w:lang w:val="en-ZA"/>
        </w:rPr>
        <w:t xml:space="preserve">No. </w:t>
      </w:r>
      <w:r w:rsidRPr="00DB4443">
        <w:rPr>
          <w:rFonts w:ascii="Arial" w:hAnsi="Arial" w:cs="Arial"/>
          <w:i/>
          <w:iCs/>
          <w:sz w:val="16"/>
          <w:szCs w:val="16"/>
          <w:lang w:val="en-ZA"/>
        </w:rPr>
        <w:t>28 of 2014 (“the LPA</w:t>
      </w:r>
      <w:r w:rsidR="00C272FC">
        <w:rPr>
          <w:rFonts w:ascii="Arial" w:hAnsi="Arial" w:cs="Arial"/>
          <w:i/>
          <w:iCs/>
          <w:sz w:val="16"/>
          <w:szCs w:val="16"/>
          <w:lang w:val="en-ZA"/>
        </w:rPr>
        <w:t>”)</w:t>
      </w:r>
    </w:p>
  </w:footnote>
  <w:footnote w:id="3">
    <w:p w14:paraId="7BD4A9B2" w14:textId="77777777" w:rsidR="00905CBC" w:rsidRPr="00DB4443" w:rsidRDefault="00905CBC" w:rsidP="008E2EA5">
      <w:pPr>
        <w:pStyle w:val="FootnoteText"/>
        <w:snapToGrid w:val="0"/>
        <w:rPr>
          <w:rFonts w:ascii="Arial" w:hAnsi="Arial" w:cs="Arial"/>
          <w:i/>
          <w:iCs/>
          <w:sz w:val="16"/>
          <w:szCs w:val="16"/>
          <w:lang w:val="en-US"/>
        </w:rPr>
      </w:pPr>
      <w:r w:rsidRPr="00DB4443">
        <w:rPr>
          <w:rStyle w:val="FootnoteReference"/>
          <w:rFonts w:ascii="Arial" w:hAnsi="Arial" w:cs="Arial"/>
          <w:i/>
          <w:iCs/>
          <w:sz w:val="16"/>
          <w:szCs w:val="16"/>
        </w:rPr>
        <w:footnoteRef/>
      </w:r>
      <w:r w:rsidRPr="00DB4443">
        <w:rPr>
          <w:rFonts w:ascii="Arial" w:hAnsi="Arial" w:cs="Arial"/>
          <w:i/>
          <w:iCs/>
          <w:sz w:val="16"/>
          <w:szCs w:val="16"/>
        </w:rPr>
        <w:t xml:space="preserve"> </w:t>
      </w:r>
      <w:r w:rsidRPr="00DB4443">
        <w:rPr>
          <w:rFonts w:ascii="Arial" w:hAnsi="Arial" w:cs="Arial"/>
          <w:i/>
          <w:iCs/>
          <w:sz w:val="16"/>
          <w:szCs w:val="16"/>
          <w:lang w:val="en-US"/>
        </w:rPr>
        <w:t xml:space="preserve"> </w:t>
      </w:r>
      <w:r w:rsidR="00CF3A20">
        <w:rPr>
          <w:rFonts w:ascii="Arial" w:hAnsi="Arial" w:cs="Arial"/>
          <w:i/>
          <w:iCs/>
          <w:sz w:val="16"/>
          <w:szCs w:val="16"/>
          <w:lang w:val="en-US"/>
        </w:rPr>
        <w:t xml:space="preserve"> </w:t>
      </w:r>
      <w:r w:rsidR="00DB4443" w:rsidRPr="00DB4443">
        <w:rPr>
          <w:rFonts w:ascii="Arial" w:hAnsi="Arial" w:cs="Arial"/>
          <w:i/>
          <w:iCs/>
          <w:sz w:val="16"/>
          <w:szCs w:val="16"/>
          <w:lang w:val="en-ZA"/>
        </w:rPr>
        <w:t xml:space="preserve">They do so expressly </w:t>
      </w:r>
      <w:r w:rsidR="00876809">
        <w:rPr>
          <w:rFonts w:ascii="Arial" w:hAnsi="Arial" w:cs="Arial"/>
          <w:i/>
          <w:iCs/>
          <w:sz w:val="16"/>
          <w:szCs w:val="16"/>
          <w:lang w:val="en-ZA"/>
        </w:rPr>
        <w:t>based on</w:t>
      </w:r>
      <w:r w:rsidR="00DB4443" w:rsidRPr="00DB4443">
        <w:rPr>
          <w:rFonts w:ascii="Arial" w:hAnsi="Arial" w:cs="Arial"/>
          <w:i/>
          <w:iCs/>
          <w:sz w:val="16"/>
          <w:szCs w:val="16"/>
          <w:lang w:val="en-ZA"/>
        </w:rPr>
        <w:t xml:space="preserve"> Section 41 of the L</w:t>
      </w:r>
      <w:r w:rsidR="00CF3A20">
        <w:rPr>
          <w:rFonts w:ascii="Arial" w:hAnsi="Arial" w:cs="Arial"/>
          <w:i/>
          <w:iCs/>
          <w:sz w:val="16"/>
          <w:szCs w:val="16"/>
          <w:lang w:val="en-ZA"/>
        </w:rPr>
        <w:t>PA</w:t>
      </w:r>
      <w:r w:rsidR="00C272FC">
        <w:rPr>
          <w:rFonts w:ascii="Arial" w:hAnsi="Arial" w:cs="Arial"/>
          <w:i/>
          <w:iCs/>
          <w:sz w:val="16"/>
          <w:szCs w:val="16"/>
          <w:lang w:val="en-ZA"/>
        </w:rPr>
        <w:t>; this must be read with s 37(3)(b) thereof.</w:t>
      </w:r>
      <w:r w:rsidR="00CF3A20">
        <w:rPr>
          <w:rFonts w:ascii="Arial" w:hAnsi="Arial" w:cs="Arial"/>
          <w:i/>
          <w:iCs/>
          <w:sz w:val="16"/>
          <w:szCs w:val="16"/>
          <w:lang w:val="en-ZA"/>
        </w:rPr>
        <w:t>.</w:t>
      </w:r>
    </w:p>
  </w:footnote>
  <w:footnote w:id="4">
    <w:p w14:paraId="287EFF70" w14:textId="77777777" w:rsidR="00905CBC" w:rsidRPr="00486872" w:rsidRDefault="00905CBC" w:rsidP="008E2EA5">
      <w:pPr>
        <w:widowControl w:val="0"/>
        <w:snapToGrid w:val="0"/>
        <w:jc w:val="both"/>
        <w:rPr>
          <w:rFonts w:ascii="Arial" w:hAnsi="Arial" w:cs="Arial"/>
          <w:i/>
          <w:iCs/>
          <w:sz w:val="16"/>
          <w:szCs w:val="16"/>
          <w:lang w:val="en-ZA"/>
        </w:rPr>
      </w:pPr>
      <w:r w:rsidRPr="00486872">
        <w:rPr>
          <w:rStyle w:val="FootnoteReference"/>
          <w:rFonts w:ascii="Arial" w:hAnsi="Arial" w:cs="Arial"/>
          <w:i/>
          <w:iCs/>
          <w:sz w:val="16"/>
          <w:szCs w:val="16"/>
        </w:rPr>
        <w:footnoteRef/>
      </w:r>
      <w:r w:rsidRPr="00486872">
        <w:rPr>
          <w:rFonts w:ascii="Arial" w:hAnsi="Arial" w:cs="Arial"/>
          <w:i/>
          <w:iCs/>
          <w:sz w:val="16"/>
          <w:szCs w:val="16"/>
        </w:rPr>
        <w:t xml:space="preserve"> </w:t>
      </w:r>
      <w:r w:rsidRPr="00486872">
        <w:rPr>
          <w:rFonts w:ascii="Arial" w:hAnsi="Arial" w:cs="Arial"/>
          <w:i/>
          <w:iCs/>
          <w:sz w:val="16"/>
          <w:szCs w:val="16"/>
          <w:lang w:val="en-US"/>
        </w:rPr>
        <w:t xml:space="preserve"> </w:t>
      </w:r>
      <w:r w:rsidR="00CF3A20">
        <w:rPr>
          <w:rFonts w:ascii="Arial" w:hAnsi="Arial" w:cs="Arial"/>
          <w:i/>
          <w:iCs/>
          <w:sz w:val="16"/>
          <w:szCs w:val="16"/>
          <w:lang w:val="en-US"/>
        </w:rPr>
        <w:t xml:space="preserve"> </w:t>
      </w:r>
      <w:r w:rsidRPr="00486872">
        <w:rPr>
          <w:rFonts w:ascii="Arial" w:hAnsi="Arial" w:cs="Arial"/>
          <w:i/>
          <w:iCs/>
          <w:sz w:val="16"/>
          <w:szCs w:val="16"/>
          <w:lang w:val="en-ZA"/>
        </w:rPr>
        <w:t>As provided for in Section 39 of the LPA.</w:t>
      </w:r>
    </w:p>
  </w:footnote>
  <w:footnote w:id="5">
    <w:p w14:paraId="2B1A2336" w14:textId="77777777" w:rsidR="00905CBC" w:rsidRPr="00486872" w:rsidRDefault="00905CBC" w:rsidP="00905CBC">
      <w:pPr>
        <w:pStyle w:val="FootnoteText"/>
        <w:rPr>
          <w:rFonts w:ascii="Arial" w:hAnsi="Arial" w:cs="Arial"/>
          <w:i/>
          <w:iCs/>
          <w:sz w:val="16"/>
          <w:szCs w:val="16"/>
          <w:lang w:val="en-US"/>
        </w:rPr>
      </w:pPr>
      <w:r w:rsidRPr="00486872">
        <w:rPr>
          <w:rStyle w:val="FootnoteReference"/>
          <w:rFonts w:ascii="Arial" w:hAnsi="Arial" w:cs="Arial"/>
          <w:i/>
          <w:iCs/>
          <w:sz w:val="16"/>
          <w:szCs w:val="16"/>
        </w:rPr>
        <w:footnoteRef/>
      </w:r>
      <w:r w:rsidRPr="00486872">
        <w:rPr>
          <w:rFonts w:ascii="Arial" w:hAnsi="Arial" w:cs="Arial"/>
          <w:i/>
          <w:iCs/>
          <w:sz w:val="16"/>
          <w:szCs w:val="16"/>
        </w:rPr>
        <w:t xml:space="preserve"> </w:t>
      </w:r>
      <w:r w:rsidRPr="00486872">
        <w:rPr>
          <w:rFonts w:ascii="Arial" w:hAnsi="Arial" w:cs="Arial"/>
          <w:i/>
          <w:iCs/>
          <w:sz w:val="16"/>
          <w:szCs w:val="16"/>
          <w:lang w:val="en-US"/>
        </w:rPr>
        <w:t xml:space="preserve"> </w:t>
      </w:r>
      <w:r w:rsidR="00CF3A20">
        <w:rPr>
          <w:rFonts w:ascii="Arial" w:hAnsi="Arial" w:cs="Arial"/>
          <w:i/>
          <w:iCs/>
          <w:sz w:val="16"/>
          <w:szCs w:val="16"/>
          <w:lang w:val="en-US"/>
        </w:rPr>
        <w:t xml:space="preserve"> </w:t>
      </w:r>
      <w:r w:rsidRPr="00486872">
        <w:rPr>
          <w:rFonts w:ascii="Arial" w:hAnsi="Arial" w:cs="Arial"/>
          <w:i/>
          <w:iCs/>
          <w:sz w:val="16"/>
          <w:szCs w:val="16"/>
          <w:lang w:val="en-US"/>
        </w:rPr>
        <w:t>The applicant indicated during the hearing that it no longer relied on paragraph 18 of his founding affidavit.</w:t>
      </w:r>
    </w:p>
  </w:footnote>
  <w:footnote w:id="6">
    <w:p w14:paraId="24C598F3" w14:textId="77777777" w:rsidR="005A6866" w:rsidRPr="00CF3A20" w:rsidRDefault="005A6866">
      <w:pPr>
        <w:pStyle w:val="FootnoteText"/>
        <w:rPr>
          <w:rFonts w:ascii="Arial" w:hAnsi="Arial" w:cs="Arial"/>
          <w:i/>
          <w:iCs/>
          <w:sz w:val="16"/>
          <w:szCs w:val="16"/>
          <w:lang w:val="en-US"/>
        </w:rPr>
      </w:pPr>
      <w:r w:rsidRPr="00CF3A20">
        <w:rPr>
          <w:rStyle w:val="FootnoteReference"/>
          <w:rFonts w:ascii="Arial" w:hAnsi="Arial" w:cs="Arial"/>
          <w:i/>
          <w:iCs/>
          <w:sz w:val="16"/>
          <w:szCs w:val="16"/>
        </w:rPr>
        <w:footnoteRef/>
      </w:r>
      <w:r w:rsidRPr="00CF3A20">
        <w:rPr>
          <w:rFonts w:ascii="Arial" w:hAnsi="Arial" w:cs="Arial"/>
          <w:i/>
          <w:iCs/>
          <w:sz w:val="16"/>
          <w:szCs w:val="16"/>
        </w:rPr>
        <w:t xml:space="preserve"> </w:t>
      </w:r>
      <w:r w:rsidR="00CF3A20" w:rsidRPr="00CF3A20">
        <w:rPr>
          <w:rFonts w:ascii="Arial" w:hAnsi="Arial" w:cs="Arial"/>
          <w:i/>
          <w:iCs/>
          <w:sz w:val="16"/>
          <w:szCs w:val="16"/>
        </w:rPr>
        <w:t xml:space="preserve">  The costs of and incidental to this application stood over for determination by this court.</w:t>
      </w:r>
    </w:p>
  </w:footnote>
  <w:footnote w:id="7">
    <w:p w14:paraId="4B895CF2" w14:textId="77777777" w:rsidR="00905CBC" w:rsidRPr="00CF3A20" w:rsidRDefault="00905CBC" w:rsidP="00CF3A20">
      <w:pPr>
        <w:widowControl w:val="0"/>
        <w:snapToGrid w:val="0"/>
        <w:jc w:val="both"/>
        <w:rPr>
          <w:rFonts w:ascii="Arial" w:hAnsi="Arial" w:cs="Arial"/>
          <w:i/>
          <w:iCs/>
          <w:sz w:val="16"/>
          <w:szCs w:val="16"/>
        </w:rPr>
      </w:pPr>
      <w:r w:rsidRPr="00CF3A20">
        <w:rPr>
          <w:rStyle w:val="FootnoteReference"/>
          <w:rFonts w:ascii="Arial" w:hAnsi="Arial" w:cs="Arial"/>
          <w:i/>
          <w:iCs/>
          <w:sz w:val="16"/>
          <w:szCs w:val="16"/>
        </w:rPr>
        <w:footnoteRef/>
      </w:r>
      <w:r w:rsidRPr="00CF3A20">
        <w:rPr>
          <w:rFonts w:ascii="Arial" w:hAnsi="Arial" w:cs="Arial"/>
          <w:i/>
          <w:iCs/>
          <w:sz w:val="16"/>
          <w:szCs w:val="16"/>
        </w:rPr>
        <w:t xml:space="preserve"> </w:t>
      </w:r>
      <w:r w:rsidRPr="00CF3A20">
        <w:rPr>
          <w:rFonts w:ascii="Arial" w:hAnsi="Arial" w:cs="Arial"/>
          <w:i/>
          <w:iCs/>
          <w:sz w:val="16"/>
          <w:szCs w:val="16"/>
          <w:lang w:val="en-US"/>
        </w:rPr>
        <w:t xml:space="preserve"> </w:t>
      </w:r>
      <w:r w:rsidR="00CF3A20" w:rsidRPr="00CF3A20">
        <w:rPr>
          <w:rFonts w:ascii="Arial" w:hAnsi="Arial" w:cs="Arial"/>
          <w:i/>
          <w:iCs/>
          <w:sz w:val="16"/>
          <w:szCs w:val="16"/>
          <w:lang w:val="en-US"/>
        </w:rPr>
        <w:t xml:space="preserve"> </w:t>
      </w:r>
      <w:r w:rsidR="00CF3A20">
        <w:rPr>
          <w:rFonts w:ascii="Arial" w:hAnsi="Arial" w:cs="Arial"/>
          <w:i/>
          <w:iCs/>
          <w:sz w:val="16"/>
          <w:szCs w:val="16"/>
        </w:rPr>
        <w:t>The applicant advanced that because of the complexity of the matter a single practitioner was not adequate.</w:t>
      </w:r>
    </w:p>
  </w:footnote>
  <w:footnote w:id="8">
    <w:p w14:paraId="6FBF925E" w14:textId="77777777" w:rsidR="00905CBC" w:rsidRPr="00CF3A20" w:rsidRDefault="00905CBC" w:rsidP="00905CBC">
      <w:pPr>
        <w:widowControl w:val="0"/>
        <w:snapToGrid w:val="0"/>
        <w:jc w:val="both"/>
        <w:rPr>
          <w:rFonts w:ascii="Arial" w:hAnsi="Arial" w:cs="Arial"/>
          <w:i/>
          <w:iCs/>
          <w:sz w:val="16"/>
          <w:szCs w:val="16"/>
        </w:rPr>
      </w:pPr>
      <w:r w:rsidRPr="00CF3A20">
        <w:rPr>
          <w:rStyle w:val="FootnoteReference"/>
          <w:rFonts w:ascii="Arial" w:hAnsi="Arial" w:cs="Arial"/>
          <w:i/>
          <w:iCs/>
          <w:sz w:val="16"/>
          <w:szCs w:val="16"/>
        </w:rPr>
        <w:footnoteRef/>
      </w:r>
      <w:r w:rsidRPr="00CF3A20">
        <w:rPr>
          <w:rFonts w:ascii="Arial" w:hAnsi="Arial" w:cs="Arial"/>
          <w:i/>
          <w:iCs/>
          <w:sz w:val="16"/>
          <w:szCs w:val="16"/>
        </w:rPr>
        <w:t xml:space="preserve">   </w:t>
      </w:r>
      <w:r w:rsidR="00CF3A20">
        <w:rPr>
          <w:rFonts w:ascii="Arial" w:hAnsi="Arial" w:cs="Arial"/>
          <w:i/>
          <w:iCs/>
          <w:sz w:val="16"/>
          <w:szCs w:val="16"/>
        </w:rPr>
        <w:t>The not yet promulgated appeal procedure envisages at least three but not more than five practitioners.</w:t>
      </w:r>
    </w:p>
  </w:footnote>
  <w:footnote w:id="9">
    <w:p w14:paraId="235F13EA" w14:textId="46E61D41" w:rsidR="00B01BBF" w:rsidRPr="006C2703" w:rsidRDefault="00B01BBF" w:rsidP="00F453BB">
      <w:pPr>
        <w:pStyle w:val="FootnoteText"/>
        <w:tabs>
          <w:tab w:val="left" w:pos="284"/>
        </w:tabs>
        <w:ind w:left="284" w:hanging="284"/>
        <w:rPr>
          <w:rFonts w:ascii="Arial" w:hAnsi="Arial" w:cs="Arial"/>
          <w:i/>
          <w:iCs/>
          <w:sz w:val="16"/>
          <w:szCs w:val="16"/>
          <w:lang w:val="en-ZA"/>
        </w:rPr>
      </w:pPr>
      <w:r w:rsidRPr="00F453BB">
        <w:rPr>
          <w:rStyle w:val="FootnoteReference"/>
          <w:rFonts w:ascii="Arial" w:hAnsi="Arial" w:cs="Arial"/>
          <w:sz w:val="16"/>
          <w:szCs w:val="16"/>
        </w:rPr>
        <w:footnoteRef/>
      </w:r>
      <w:r w:rsidRPr="00F453BB">
        <w:rPr>
          <w:rFonts w:ascii="Arial" w:hAnsi="Arial" w:cs="Arial"/>
          <w:sz w:val="16"/>
          <w:szCs w:val="16"/>
        </w:rPr>
        <w:t xml:space="preserve"> </w:t>
      </w:r>
      <w:r w:rsidR="006C2703">
        <w:rPr>
          <w:rFonts w:ascii="Arial" w:hAnsi="Arial" w:cs="Arial"/>
          <w:sz w:val="16"/>
          <w:szCs w:val="16"/>
          <w:lang w:val="en-ZA"/>
        </w:rPr>
        <w:t xml:space="preserve">  </w:t>
      </w:r>
      <w:r w:rsidRPr="006C2703">
        <w:rPr>
          <w:rFonts w:ascii="Arial" w:hAnsi="Arial" w:cs="Arial"/>
          <w:i/>
          <w:iCs/>
          <w:sz w:val="16"/>
          <w:szCs w:val="16"/>
          <w:lang w:val="en-ZA"/>
        </w:rPr>
        <w:t>As contemplated in s</w:t>
      </w:r>
      <w:r w:rsidR="006C2703" w:rsidRPr="006C2703">
        <w:rPr>
          <w:rFonts w:ascii="Arial" w:hAnsi="Arial" w:cs="Arial"/>
          <w:i/>
          <w:iCs/>
          <w:sz w:val="16"/>
          <w:szCs w:val="16"/>
          <w:lang w:val="en-ZA"/>
        </w:rPr>
        <w:t xml:space="preserve"> </w:t>
      </w:r>
      <w:r w:rsidRPr="006C2703">
        <w:rPr>
          <w:rFonts w:ascii="Arial" w:hAnsi="Arial" w:cs="Arial"/>
          <w:i/>
          <w:iCs/>
          <w:sz w:val="16"/>
          <w:szCs w:val="16"/>
          <w:lang w:val="en-ZA"/>
        </w:rPr>
        <w:t>6(2)(e)(vi)</w:t>
      </w:r>
      <w:r w:rsidR="00516A74" w:rsidRPr="006C2703">
        <w:rPr>
          <w:rFonts w:ascii="Arial" w:hAnsi="Arial" w:cs="Arial"/>
          <w:i/>
          <w:iCs/>
          <w:sz w:val="16"/>
          <w:szCs w:val="16"/>
          <w:lang w:val="en-ZA"/>
        </w:rPr>
        <w:t>; s 6(2)(c)</w:t>
      </w:r>
      <w:r w:rsidR="006C2703" w:rsidRPr="006C2703">
        <w:rPr>
          <w:rFonts w:ascii="Arial" w:hAnsi="Arial" w:cs="Arial"/>
          <w:i/>
          <w:iCs/>
          <w:sz w:val="16"/>
          <w:szCs w:val="16"/>
          <w:lang w:val="en-ZA"/>
        </w:rPr>
        <w:t>, s</w:t>
      </w:r>
      <w:r w:rsidR="006C2703">
        <w:rPr>
          <w:rFonts w:ascii="Arial" w:hAnsi="Arial" w:cs="Arial"/>
          <w:i/>
          <w:iCs/>
          <w:sz w:val="16"/>
          <w:szCs w:val="16"/>
          <w:lang w:val="en-ZA"/>
        </w:rPr>
        <w:t xml:space="preserve"> </w:t>
      </w:r>
      <w:r w:rsidR="006C2703" w:rsidRPr="006C2703">
        <w:rPr>
          <w:rFonts w:ascii="Arial" w:hAnsi="Arial" w:cs="Arial"/>
          <w:i/>
          <w:iCs/>
          <w:sz w:val="16"/>
          <w:szCs w:val="16"/>
          <w:lang w:val="en-ZA"/>
        </w:rPr>
        <w:t>6(2)(d),</w:t>
      </w:r>
      <w:r w:rsidR="00516A74" w:rsidRPr="006C2703">
        <w:rPr>
          <w:rFonts w:ascii="Arial" w:hAnsi="Arial" w:cs="Arial"/>
          <w:i/>
          <w:iCs/>
          <w:sz w:val="16"/>
          <w:szCs w:val="16"/>
          <w:lang w:val="en-ZA"/>
        </w:rPr>
        <w:t xml:space="preserve"> and s6(f)(ii) of the Promotion of Administrative Justice Act 3 of 2000 (PAJA).</w:t>
      </w:r>
    </w:p>
  </w:footnote>
  <w:footnote w:id="10">
    <w:p w14:paraId="118BC3EA" w14:textId="29C21C91" w:rsidR="00905CBC" w:rsidRPr="00FA526F" w:rsidRDefault="00905CBC" w:rsidP="00905CBC">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w:t>
      </w:r>
      <w:r w:rsidR="008E2EA5" w:rsidRPr="00FA526F">
        <w:rPr>
          <w:rFonts w:ascii="Arial" w:hAnsi="Arial" w:cs="Arial"/>
          <w:i/>
          <w:iCs/>
          <w:sz w:val="16"/>
          <w:szCs w:val="16"/>
        </w:rPr>
        <w:t>A provisional order of sequestration was granted in November 2018.</w:t>
      </w:r>
    </w:p>
  </w:footnote>
  <w:footnote w:id="11">
    <w:p w14:paraId="39E79B8F" w14:textId="77777777" w:rsidR="00905CBC" w:rsidRPr="00FA526F" w:rsidRDefault="00905CBC" w:rsidP="00905CBC">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w:t>
      </w:r>
      <w:r w:rsidRPr="00FA526F">
        <w:rPr>
          <w:rFonts w:ascii="Arial" w:hAnsi="Arial" w:cs="Arial"/>
          <w:i/>
          <w:iCs/>
          <w:sz w:val="16"/>
          <w:szCs w:val="16"/>
          <w:lang w:val="en-US"/>
        </w:rPr>
        <w:t xml:space="preserve"> This trust was </w:t>
      </w:r>
      <w:r w:rsidR="00CF3A20" w:rsidRPr="00FA526F">
        <w:rPr>
          <w:rFonts w:ascii="Arial" w:hAnsi="Arial" w:cs="Arial"/>
          <w:i/>
          <w:iCs/>
          <w:sz w:val="16"/>
          <w:szCs w:val="16"/>
          <w:lang w:val="en-US"/>
        </w:rPr>
        <w:t xml:space="preserve">named </w:t>
      </w:r>
      <w:r w:rsidRPr="00FA526F">
        <w:rPr>
          <w:rFonts w:ascii="Arial" w:hAnsi="Arial" w:cs="Arial"/>
          <w:i/>
          <w:iCs/>
          <w:sz w:val="16"/>
          <w:szCs w:val="16"/>
          <w:lang w:val="en-US"/>
        </w:rPr>
        <w:t xml:space="preserve">the </w:t>
      </w:r>
      <w:r w:rsidR="008E2EA5" w:rsidRPr="00FA526F">
        <w:rPr>
          <w:rFonts w:ascii="Arial" w:hAnsi="Arial" w:cs="Arial"/>
          <w:i/>
          <w:iCs/>
          <w:sz w:val="16"/>
          <w:szCs w:val="16"/>
          <w:lang w:val="en-US"/>
        </w:rPr>
        <w:t>‘</w:t>
      </w:r>
      <w:r w:rsidRPr="00FA526F">
        <w:rPr>
          <w:rFonts w:ascii="Arial" w:hAnsi="Arial" w:cs="Arial"/>
          <w:i/>
          <w:iCs/>
          <w:sz w:val="16"/>
          <w:szCs w:val="16"/>
          <w:lang w:val="en-US"/>
        </w:rPr>
        <w:t>HNP</w:t>
      </w:r>
      <w:r w:rsidR="00CF3A20" w:rsidRPr="00FA526F">
        <w:rPr>
          <w:rFonts w:ascii="Arial" w:hAnsi="Arial" w:cs="Arial"/>
          <w:i/>
          <w:iCs/>
          <w:sz w:val="16"/>
          <w:szCs w:val="16"/>
          <w:lang w:val="en-US"/>
        </w:rPr>
        <w:t xml:space="preserve">’ Trust, </w:t>
      </w:r>
      <w:r w:rsidRPr="00FA526F">
        <w:rPr>
          <w:rFonts w:ascii="Arial" w:hAnsi="Arial" w:cs="Arial"/>
          <w:i/>
          <w:iCs/>
          <w:sz w:val="16"/>
          <w:szCs w:val="16"/>
          <w:lang w:val="en-US"/>
        </w:rPr>
        <w:t xml:space="preserve">and the company was </w:t>
      </w:r>
      <w:r w:rsidR="00CF3A20" w:rsidRPr="00FA526F">
        <w:rPr>
          <w:rFonts w:ascii="Arial" w:hAnsi="Arial" w:cs="Arial"/>
          <w:i/>
          <w:iCs/>
          <w:sz w:val="16"/>
          <w:szCs w:val="16"/>
          <w:lang w:val="en-US"/>
        </w:rPr>
        <w:t>styled</w:t>
      </w:r>
      <w:r w:rsidRPr="00FA526F">
        <w:rPr>
          <w:rFonts w:ascii="Arial" w:hAnsi="Arial" w:cs="Arial"/>
          <w:i/>
          <w:iCs/>
          <w:sz w:val="16"/>
          <w:szCs w:val="16"/>
          <w:lang w:val="en-US"/>
        </w:rPr>
        <w:t xml:space="preserve"> </w:t>
      </w:r>
      <w:r w:rsidR="008E2EA5" w:rsidRPr="00FA526F">
        <w:rPr>
          <w:rFonts w:ascii="Arial" w:hAnsi="Arial" w:cs="Arial"/>
          <w:i/>
          <w:iCs/>
          <w:sz w:val="16"/>
          <w:szCs w:val="16"/>
          <w:lang w:val="en-US"/>
        </w:rPr>
        <w:t>‘</w:t>
      </w:r>
      <w:r w:rsidRPr="00FA526F">
        <w:rPr>
          <w:rFonts w:ascii="Arial" w:hAnsi="Arial" w:cs="Arial"/>
          <w:i/>
          <w:iCs/>
          <w:sz w:val="16"/>
          <w:szCs w:val="16"/>
          <w:lang w:val="en-US"/>
        </w:rPr>
        <w:t>Quintado</w:t>
      </w:r>
      <w:r w:rsidR="00CF3A20" w:rsidRPr="00FA526F">
        <w:rPr>
          <w:rFonts w:ascii="Arial" w:hAnsi="Arial" w:cs="Arial"/>
          <w:i/>
          <w:iCs/>
          <w:sz w:val="16"/>
          <w:szCs w:val="16"/>
          <w:lang w:val="en-US"/>
        </w:rPr>
        <w:t>’</w:t>
      </w:r>
      <w:r w:rsidRPr="00FA526F">
        <w:rPr>
          <w:rFonts w:ascii="Arial" w:hAnsi="Arial" w:cs="Arial"/>
          <w:i/>
          <w:iCs/>
          <w:sz w:val="16"/>
          <w:szCs w:val="16"/>
          <w:lang w:val="en-US"/>
        </w:rPr>
        <w:t xml:space="preserve"> (Pty) Ltd</w:t>
      </w:r>
      <w:r w:rsidR="00CF3A20" w:rsidRPr="00FA526F">
        <w:rPr>
          <w:rFonts w:ascii="Arial" w:hAnsi="Arial" w:cs="Arial"/>
          <w:i/>
          <w:iCs/>
          <w:sz w:val="16"/>
          <w:szCs w:val="16"/>
          <w:lang w:val="en-US"/>
        </w:rPr>
        <w:t>/</w:t>
      </w:r>
    </w:p>
  </w:footnote>
  <w:footnote w:id="12">
    <w:p w14:paraId="05479598" w14:textId="77777777" w:rsidR="00C80613" w:rsidRPr="00FA526F" w:rsidRDefault="00C80613">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w:t>
      </w:r>
      <w:r w:rsidR="00847024" w:rsidRPr="00FA526F">
        <w:rPr>
          <w:rFonts w:ascii="Arial" w:hAnsi="Arial" w:cs="Arial"/>
          <w:i/>
          <w:iCs/>
          <w:sz w:val="16"/>
          <w:szCs w:val="16"/>
        </w:rPr>
        <w:t xml:space="preserve"> </w:t>
      </w:r>
      <w:r w:rsidRPr="00FA526F">
        <w:rPr>
          <w:rFonts w:ascii="Arial" w:hAnsi="Arial" w:cs="Arial"/>
          <w:i/>
          <w:iCs/>
          <w:sz w:val="16"/>
          <w:szCs w:val="16"/>
          <w:lang w:val="en-US"/>
        </w:rPr>
        <w:t xml:space="preserve">For the HNP </w:t>
      </w:r>
      <w:r w:rsidR="00CF3A20" w:rsidRPr="00FA526F">
        <w:rPr>
          <w:rFonts w:ascii="Arial" w:hAnsi="Arial" w:cs="Arial"/>
          <w:i/>
          <w:iCs/>
          <w:sz w:val="16"/>
          <w:szCs w:val="16"/>
          <w:lang w:val="en-US"/>
        </w:rPr>
        <w:t>t</w:t>
      </w:r>
      <w:r w:rsidRPr="00FA526F">
        <w:rPr>
          <w:rFonts w:ascii="Arial" w:hAnsi="Arial" w:cs="Arial"/>
          <w:i/>
          <w:iCs/>
          <w:sz w:val="16"/>
          <w:szCs w:val="16"/>
          <w:lang w:val="en-US"/>
        </w:rPr>
        <w:t>rust to legally act</w:t>
      </w:r>
      <w:r w:rsidR="00CF3A20" w:rsidRPr="00FA526F">
        <w:rPr>
          <w:rFonts w:ascii="Arial" w:hAnsi="Arial" w:cs="Arial"/>
          <w:i/>
          <w:iCs/>
          <w:sz w:val="16"/>
          <w:szCs w:val="16"/>
          <w:lang w:val="en-US"/>
        </w:rPr>
        <w:t>,</w:t>
      </w:r>
      <w:r w:rsidRPr="00FA526F">
        <w:rPr>
          <w:rFonts w:ascii="Arial" w:hAnsi="Arial" w:cs="Arial"/>
          <w:i/>
          <w:iCs/>
          <w:sz w:val="16"/>
          <w:szCs w:val="16"/>
          <w:lang w:val="en-US"/>
        </w:rPr>
        <w:t xml:space="preserve"> it required a minimum of three</w:t>
      </w:r>
      <w:r w:rsidR="00CF3A20" w:rsidRPr="00FA526F">
        <w:rPr>
          <w:rFonts w:ascii="Arial" w:hAnsi="Arial" w:cs="Arial"/>
          <w:i/>
          <w:iCs/>
          <w:sz w:val="16"/>
          <w:szCs w:val="16"/>
          <w:lang w:val="en-US"/>
        </w:rPr>
        <w:t xml:space="preserve"> qualified</w:t>
      </w:r>
      <w:r w:rsidRPr="00FA526F">
        <w:rPr>
          <w:rFonts w:ascii="Arial" w:hAnsi="Arial" w:cs="Arial"/>
          <w:i/>
          <w:iCs/>
          <w:sz w:val="16"/>
          <w:szCs w:val="16"/>
          <w:lang w:val="en-US"/>
        </w:rPr>
        <w:t xml:space="preserve"> trustees to transact.</w:t>
      </w:r>
    </w:p>
  </w:footnote>
  <w:footnote w:id="13">
    <w:p w14:paraId="780320F3" w14:textId="63FF1721" w:rsidR="00FA526F" w:rsidRPr="00FA526F" w:rsidRDefault="00FA526F">
      <w:pPr>
        <w:pStyle w:val="FootnoteText"/>
        <w:rPr>
          <w:i/>
          <w:iCs/>
          <w:lang w:val="en-US"/>
        </w:rPr>
      </w:pPr>
      <w:r w:rsidRPr="00FA526F">
        <w:rPr>
          <w:rStyle w:val="FootnoteReference"/>
          <w:i/>
          <w:iCs/>
        </w:rPr>
        <w:footnoteRef/>
      </w:r>
      <w:r w:rsidRPr="00FA526F">
        <w:rPr>
          <w:i/>
          <w:iCs/>
        </w:rPr>
        <w:t xml:space="preserve">  </w:t>
      </w:r>
      <w:r w:rsidRPr="00FA526F">
        <w:rPr>
          <w:rFonts w:ascii="Arial" w:hAnsi="Arial" w:cs="Arial"/>
          <w:i/>
          <w:iCs/>
          <w:sz w:val="16"/>
          <w:szCs w:val="16"/>
        </w:rPr>
        <w:t xml:space="preserve">The HNP trust disposed of its shareholding in </w:t>
      </w:r>
      <w:r>
        <w:rPr>
          <w:rFonts w:ascii="Arial" w:hAnsi="Arial" w:cs="Arial"/>
          <w:i/>
          <w:iCs/>
          <w:sz w:val="16"/>
          <w:szCs w:val="16"/>
        </w:rPr>
        <w:t>‘</w:t>
      </w:r>
      <w:r w:rsidRPr="00FA526F">
        <w:rPr>
          <w:rFonts w:ascii="Arial" w:hAnsi="Arial" w:cs="Arial"/>
          <w:i/>
          <w:iCs/>
          <w:sz w:val="16"/>
          <w:szCs w:val="16"/>
        </w:rPr>
        <w:t>Quintado</w:t>
      </w:r>
      <w:r>
        <w:rPr>
          <w:rFonts w:ascii="Arial" w:hAnsi="Arial" w:cs="Arial"/>
          <w:i/>
          <w:iCs/>
          <w:sz w:val="16"/>
          <w:szCs w:val="16"/>
        </w:rPr>
        <w:t>’</w:t>
      </w:r>
      <w:r w:rsidRPr="00FA526F">
        <w:rPr>
          <w:rFonts w:ascii="Arial" w:hAnsi="Arial" w:cs="Arial"/>
          <w:i/>
          <w:iCs/>
          <w:sz w:val="16"/>
          <w:szCs w:val="16"/>
        </w:rPr>
        <w:t xml:space="preserve"> to the applicant</w:t>
      </w:r>
      <w:r w:rsidRPr="00FA526F">
        <w:rPr>
          <w:i/>
          <w:iCs/>
        </w:rPr>
        <w:t>.</w:t>
      </w:r>
    </w:p>
  </w:footnote>
  <w:footnote w:id="14">
    <w:p w14:paraId="63AC7539" w14:textId="77777777" w:rsidR="008E4118" w:rsidRPr="00FA526F" w:rsidRDefault="008E4118">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w:t>
      </w:r>
      <w:r w:rsidR="001115A6" w:rsidRPr="00FA526F">
        <w:rPr>
          <w:rFonts w:ascii="Arial" w:hAnsi="Arial" w:cs="Arial"/>
          <w:i/>
          <w:iCs/>
          <w:sz w:val="16"/>
          <w:szCs w:val="16"/>
        </w:rPr>
        <w:t xml:space="preserve"> </w:t>
      </w:r>
      <w:r w:rsidR="0008518C" w:rsidRPr="00FA526F">
        <w:rPr>
          <w:rFonts w:ascii="Arial" w:hAnsi="Arial" w:cs="Arial"/>
          <w:i/>
          <w:iCs/>
          <w:sz w:val="16"/>
          <w:szCs w:val="16"/>
        </w:rPr>
        <w:t>The third respondent and the provisional trustee concerned filed supplementary affidavits to correct their errors.</w:t>
      </w:r>
    </w:p>
  </w:footnote>
  <w:footnote w:id="15">
    <w:p w14:paraId="2A17BD7C" w14:textId="27E8C13F" w:rsidR="00FA526F" w:rsidRPr="00FA526F" w:rsidRDefault="00FA526F">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This was the cession and pledge agreement that was eventually set aside by way of an agreed settlement.</w:t>
      </w:r>
    </w:p>
  </w:footnote>
  <w:footnote w:id="16">
    <w:p w14:paraId="6A19FA4D" w14:textId="77777777" w:rsidR="00847024" w:rsidRPr="00FA526F" w:rsidRDefault="00847024">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This is </w:t>
      </w:r>
      <w:r w:rsidR="0008518C" w:rsidRPr="00FA526F">
        <w:rPr>
          <w:rFonts w:ascii="Arial" w:hAnsi="Arial" w:cs="Arial"/>
          <w:i/>
          <w:iCs/>
          <w:sz w:val="16"/>
          <w:szCs w:val="16"/>
        </w:rPr>
        <w:t>essential</w:t>
      </w:r>
      <w:r w:rsidR="00A00B37" w:rsidRPr="00FA526F">
        <w:rPr>
          <w:rFonts w:ascii="Arial" w:hAnsi="Arial" w:cs="Arial"/>
          <w:i/>
          <w:iCs/>
          <w:sz w:val="16"/>
          <w:szCs w:val="16"/>
        </w:rPr>
        <w:t xml:space="preserve"> context for both the first and the</w:t>
      </w:r>
      <w:r w:rsidRPr="00FA526F">
        <w:rPr>
          <w:rFonts w:ascii="Arial" w:hAnsi="Arial" w:cs="Arial"/>
          <w:i/>
          <w:iCs/>
          <w:sz w:val="16"/>
          <w:szCs w:val="16"/>
        </w:rPr>
        <w:t xml:space="preserve"> second complaint</w:t>
      </w:r>
      <w:r w:rsidR="0008518C" w:rsidRPr="00FA526F">
        <w:rPr>
          <w:rFonts w:ascii="Arial" w:hAnsi="Arial" w:cs="Arial"/>
          <w:i/>
          <w:iCs/>
          <w:sz w:val="16"/>
          <w:szCs w:val="16"/>
        </w:rPr>
        <w:t>.</w:t>
      </w:r>
    </w:p>
  </w:footnote>
  <w:footnote w:id="17">
    <w:p w14:paraId="01A439B6" w14:textId="77777777" w:rsidR="0095528C" w:rsidRPr="00FA526F" w:rsidRDefault="0095528C">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w:t>
      </w:r>
      <w:r w:rsidR="0008518C" w:rsidRPr="00FA526F">
        <w:rPr>
          <w:rFonts w:ascii="Arial" w:hAnsi="Arial" w:cs="Arial"/>
          <w:i/>
          <w:iCs/>
          <w:sz w:val="16"/>
          <w:szCs w:val="16"/>
        </w:rPr>
        <w:t xml:space="preserve"> The chronology records that the third respondent continued with this litigation after the complaint to the first respondent.</w:t>
      </w:r>
    </w:p>
  </w:footnote>
  <w:footnote w:id="18">
    <w:p w14:paraId="1446B783" w14:textId="77777777" w:rsidR="0095528C" w:rsidRPr="00FA526F" w:rsidRDefault="0095528C">
      <w:pPr>
        <w:pStyle w:val="FootnoteText"/>
        <w:rPr>
          <w:rFonts w:ascii="Arial" w:hAnsi="Arial" w:cs="Arial"/>
          <w:i/>
          <w:iCs/>
          <w:sz w:val="16"/>
          <w:szCs w:val="16"/>
          <w:lang w:val="en-US"/>
        </w:rPr>
      </w:pPr>
      <w:r w:rsidRPr="00FA526F">
        <w:rPr>
          <w:rStyle w:val="FootnoteReference"/>
          <w:rFonts w:ascii="Arial" w:hAnsi="Arial" w:cs="Arial"/>
          <w:i/>
          <w:iCs/>
          <w:sz w:val="16"/>
          <w:szCs w:val="16"/>
        </w:rPr>
        <w:footnoteRef/>
      </w:r>
      <w:r w:rsidRPr="00FA526F">
        <w:rPr>
          <w:rFonts w:ascii="Arial" w:hAnsi="Arial" w:cs="Arial"/>
          <w:i/>
          <w:iCs/>
          <w:sz w:val="16"/>
          <w:szCs w:val="16"/>
        </w:rPr>
        <w:t xml:space="preserve"> </w:t>
      </w:r>
      <w:r w:rsidR="0008518C" w:rsidRPr="00FA526F">
        <w:rPr>
          <w:rFonts w:ascii="Arial" w:hAnsi="Arial" w:cs="Arial"/>
          <w:i/>
          <w:iCs/>
          <w:sz w:val="16"/>
          <w:szCs w:val="16"/>
        </w:rPr>
        <w:t xml:space="preserve"> The complaint was preferred </w:t>
      </w:r>
      <w:r w:rsidR="00941E7C" w:rsidRPr="00FA526F">
        <w:rPr>
          <w:rFonts w:ascii="Arial" w:hAnsi="Arial" w:cs="Arial"/>
          <w:i/>
          <w:iCs/>
          <w:sz w:val="16"/>
          <w:szCs w:val="16"/>
        </w:rPr>
        <w:t>on 3 December 2020, and the share transaction was set aside on 4 March 2022.</w:t>
      </w:r>
    </w:p>
  </w:footnote>
  <w:footnote w:id="19">
    <w:p w14:paraId="77FADF80" w14:textId="77777777" w:rsidR="00BE4512" w:rsidRPr="00694028" w:rsidRDefault="00BE4512" w:rsidP="00BE4512">
      <w:pPr>
        <w:pStyle w:val="FootnoteText"/>
        <w:rPr>
          <w:rFonts w:ascii="Arial" w:hAnsi="Arial" w:cs="Arial"/>
          <w:i/>
          <w:iCs/>
          <w:sz w:val="16"/>
          <w:szCs w:val="16"/>
          <w:lang w:val="en-US"/>
        </w:rPr>
      </w:pPr>
      <w:r w:rsidRPr="00941E7C">
        <w:rPr>
          <w:rStyle w:val="FootnoteReference"/>
          <w:rFonts w:ascii="Arial" w:hAnsi="Arial" w:cs="Arial"/>
          <w:i/>
          <w:iCs/>
          <w:sz w:val="16"/>
          <w:szCs w:val="16"/>
        </w:rPr>
        <w:footnoteRef/>
      </w:r>
      <w:r w:rsidRPr="00941E7C">
        <w:rPr>
          <w:rFonts w:ascii="Arial" w:hAnsi="Arial" w:cs="Arial"/>
          <w:i/>
          <w:iCs/>
          <w:sz w:val="16"/>
          <w:szCs w:val="16"/>
        </w:rPr>
        <w:t xml:space="preserve"> </w:t>
      </w:r>
      <w:r w:rsidR="001115A6" w:rsidRPr="00941E7C">
        <w:rPr>
          <w:rFonts w:ascii="Arial" w:hAnsi="Arial" w:cs="Arial"/>
          <w:i/>
          <w:iCs/>
          <w:sz w:val="16"/>
          <w:szCs w:val="16"/>
        </w:rPr>
        <w:t xml:space="preserve"> </w:t>
      </w:r>
      <w:r w:rsidR="00941E7C" w:rsidRPr="00694028">
        <w:rPr>
          <w:rFonts w:ascii="Arial" w:hAnsi="Arial" w:cs="Arial"/>
          <w:i/>
          <w:iCs/>
          <w:sz w:val="16"/>
          <w:szCs w:val="16"/>
          <w:lang w:val="en-US"/>
        </w:rPr>
        <w:t>The applicant relies on Section 6 and the sub-sections of the Promotion of Administrative Justice Act, 3 of 2000 (“PAJA”).</w:t>
      </w:r>
    </w:p>
  </w:footnote>
  <w:footnote w:id="20">
    <w:p w14:paraId="6E5D1EB5" w14:textId="77777777" w:rsidR="00B83459" w:rsidRPr="00694028" w:rsidRDefault="00B83459">
      <w:pPr>
        <w:pStyle w:val="FootnoteText"/>
        <w:rPr>
          <w:rFonts w:ascii="Arial" w:hAnsi="Arial" w:cs="Arial"/>
          <w:i/>
          <w:iCs/>
          <w:sz w:val="16"/>
          <w:szCs w:val="16"/>
          <w:lang w:val="en-US"/>
        </w:rPr>
      </w:pPr>
      <w:r w:rsidRPr="00694028">
        <w:rPr>
          <w:rStyle w:val="FootnoteReference"/>
          <w:rFonts w:ascii="Arial" w:hAnsi="Arial" w:cs="Arial"/>
          <w:i/>
          <w:iCs/>
          <w:sz w:val="16"/>
          <w:szCs w:val="16"/>
        </w:rPr>
        <w:footnoteRef/>
      </w:r>
      <w:r w:rsidRPr="00694028">
        <w:rPr>
          <w:rFonts w:ascii="Arial" w:hAnsi="Arial" w:cs="Arial"/>
          <w:i/>
          <w:iCs/>
          <w:sz w:val="16"/>
          <w:szCs w:val="16"/>
        </w:rPr>
        <w:t xml:space="preserve"> </w:t>
      </w:r>
      <w:r w:rsidR="00941E7C" w:rsidRPr="00694028">
        <w:rPr>
          <w:rFonts w:ascii="Arial" w:hAnsi="Arial" w:cs="Arial"/>
          <w:i/>
          <w:iCs/>
          <w:sz w:val="16"/>
          <w:szCs w:val="16"/>
        </w:rPr>
        <w:t xml:space="preserve"> The lease agreement was not drafted by the third respondent but by one of his colleagues in the law firm.</w:t>
      </w:r>
    </w:p>
  </w:footnote>
  <w:footnote w:id="21">
    <w:p w14:paraId="056FE8E3" w14:textId="42642663" w:rsidR="00903B12" w:rsidRPr="00694028" w:rsidRDefault="00903B12">
      <w:pPr>
        <w:pStyle w:val="FootnoteText"/>
        <w:rPr>
          <w:rFonts w:ascii="Arial" w:hAnsi="Arial" w:cs="Arial"/>
          <w:i/>
          <w:iCs/>
          <w:sz w:val="16"/>
          <w:szCs w:val="16"/>
          <w:lang w:val="en-US"/>
        </w:rPr>
      </w:pPr>
      <w:r w:rsidRPr="00694028">
        <w:rPr>
          <w:rStyle w:val="FootnoteReference"/>
          <w:rFonts w:ascii="Arial" w:hAnsi="Arial" w:cs="Arial"/>
          <w:i/>
          <w:iCs/>
          <w:sz w:val="16"/>
          <w:szCs w:val="16"/>
        </w:rPr>
        <w:footnoteRef/>
      </w:r>
      <w:r w:rsidRPr="00694028">
        <w:rPr>
          <w:rFonts w:ascii="Arial" w:hAnsi="Arial" w:cs="Arial"/>
          <w:i/>
          <w:iCs/>
          <w:sz w:val="16"/>
          <w:szCs w:val="16"/>
        </w:rPr>
        <w:t xml:space="preserve"> </w:t>
      </w:r>
      <w:r w:rsidR="001115A6" w:rsidRPr="00694028">
        <w:rPr>
          <w:rFonts w:ascii="Arial" w:hAnsi="Arial" w:cs="Arial"/>
          <w:i/>
          <w:iCs/>
          <w:sz w:val="16"/>
          <w:szCs w:val="16"/>
        </w:rPr>
        <w:t xml:space="preserve"> </w:t>
      </w:r>
      <w:r w:rsidRPr="00694028">
        <w:rPr>
          <w:rFonts w:ascii="Arial" w:hAnsi="Arial" w:cs="Arial"/>
          <w:i/>
          <w:iCs/>
          <w:sz w:val="16"/>
          <w:szCs w:val="16"/>
          <w:lang w:val="en-US"/>
        </w:rPr>
        <w:t xml:space="preserve">This was an application </w:t>
      </w:r>
      <w:r w:rsidR="00141C87">
        <w:rPr>
          <w:rFonts w:ascii="Arial" w:hAnsi="Arial" w:cs="Arial"/>
          <w:i/>
          <w:iCs/>
          <w:sz w:val="16"/>
          <w:szCs w:val="16"/>
          <w:lang w:val="en-US"/>
        </w:rPr>
        <w:t>under</w:t>
      </w:r>
      <w:r w:rsidRPr="00694028">
        <w:rPr>
          <w:rFonts w:ascii="Arial" w:hAnsi="Arial" w:cs="Arial"/>
          <w:i/>
          <w:iCs/>
          <w:sz w:val="16"/>
          <w:szCs w:val="16"/>
          <w:lang w:val="en-US"/>
        </w:rPr>
        <w:t xml:space="preserve"> section </w:t>
      </w:r>
      <w:r w:rsidRPr="00694028">
        <w:rPr>
          <w:rFonts w:ascii="Arial" w:hAnsi="Arial" w:cs="Arial"/>
          <w:i/>
          <w:iCs/>
          <w:sz w:val="16"/>
          <w:szCs w:val="16"/>
          <w:lang w:val="en-ZA"/>
        </w:rPr>
        <w:t>386</w:t>
      </w:r>
      <w:r w:rsidR="00941E7C" w:rsidRPr="00694028">
        <w:rPr>
          <w:rFonts w:ascii="Arial" w:hAnsi="Arial" w:cs="Arial"/>
          <w:i/>
          <w:iCs/>
          <w:sz w:val="16"/>
          <w:szCs w:val="16"/>
          <w:lang w:val="en-ZA"/>
        </w:rPr>
        <w:t xml:space="preserve"> </w:t>
      </w:r>
      <w:r w:rsidRPr="00694028">
        <w:rPr>
          <w:rFonts w:ascii="Arial" w:hAnsi="Arial" w:cs="Arial"/>
          <w:i/>
          <w:iCs/>
          <w:sz w:val="16"/>
          <w:szCs w:val="16"/>
          <w:lang w:val="en-ZA"/>
        </w:rPr>
        <w:t xml:space="preserve">(5) of the Companies Act </w:t>
      </w:r>
      <w:r w:rsidR="00141C87">
        <w:rPr>
          <w:rFonts w:ascii="Arial" w:hAnsi="Arial" w:cs="Arial"/>
          <w:i/>
          <w:iCs/>
          <w:sz w:val="16"/>
          <w:szCs w:val="16"/>
          <w:lang w:val="en-ZA"/>
        </w:rPr>
        <w:t>61 of 1973.</w:t>
      </w:r>
    </w:p>
  </w:footnote>
  <w:footnote w:id="22">
    <w:p w14:paraId="3C8CBF72" w14:textId="0F2FC201" w:rsidR="00694028" w:rsidRPr="00694028" w:rsidRDefault="00694028">
      <w:pPr>
        <w:pStyle w:val="FootnoteText"/>
        <w:rPr>
          <w:rFonts w:ascii="Arial" w:hAnsi="Arial" w:cs="Arial"/>
          <w:i/>
          <w:iCs/>
          <w:sz w:val="16"/>
          <w:szCs w:val="16"/>
          <w:lang w:val="en-US"/>
        </w:rPr>
      </w:pPr>
      <w:r w:rsidRPr="00694028">
        <w:rPr>
          <w:rStyle w:val="FootnoteReference"/>
          <w:rFonts w:ascii="Arial" w:hAnsi="Arial" w:cs="Arial"/>
          <w:i/>
          <w:iCs/>
          <w:sz w:val="16"/>
          <w:szCs w:val="16"/>
        </w:rPr>
        <w:footnoteRef/>
      </w:r>
      <w:r w:rsidRPr="00694028">
        <w:rPr>
          <w:rFonts w:ascii="Arial" w:hAnsi="Arial" w:cs="Arial"/>
          <w:i/>
          <w:iCs/>
          <w:sz w:val="16"/>
          <w:szCs w:val="16"/>
        </w:rPr>
        <w:t xml:space="preserve">  The provisional liquidators have agreed to the amount of the fee charged.</w:t>
      </w:r>
    </w:p>
  </w:footnote>
  <w:footnote w:id="23">
    <w:p w14:paraId="67447D87" w14:textId="77777777" w:rsidR="00903B12" w:rsidRPr="002C1432" w:rsidRDefault="00903B12" w:rsidP="00876809">
      <w:pPr>
        <w:pStyle w:val="FootnoteText"/>
        <w:snapToGrid w:val="0"/>
        <w:rPr>
          <w:rFonts w:ascii="Arial" w:hAnsi="Arial" w:cs="Arial"/>
          <w:i/>
          <w:iCs/>
          <w:sz w:val="16"/>
          <w:szCs w:val="16"/>
          <w:lang w:val="en-US"/>
        </w:rPr>
      </w:pPr>
      <w:r w:rsidRPr="00694028">
        <w:rPr>
          <w:rStyle w:val="FootnoteReference"/>
          <w:rFonts w:ascii="Arial" w:hAnsi="Arial" w:cs="Arial"/>
          <w:i/>
          <w:iCs/>
          <w:sz w:val="16"/>
          <w:szCs w:val="16"/>
        </w:rPr>
        <w:footnoteRef/>
      </w:r>
      <w:r w:rsidRPr="00694028">
        <w:rPr>
          <w:rFonts w:ascii="Arial" w:hAnsi="Arial" w:cs="Arial"/>
          <w:i/>
          <w:iCs/>
          <w:sz w:val="16"/>
          <w:szCs w:val="16"/>
        </w:rPr>
        <w:t xml:space="preserve"> </w:t>
      </w:r>
      <w:r w:rsidR="001115A6" w:rsidRPr="00694028">
        <w:rPr>
          <w:rFonts w:ascii="Arial" w:hAnsi="Arial" w:cs="Arial"/>
          <w:i/>
          <w:iCs/>
          <w:sz w:val="16"/>
          <w:szCs w:val="16"/>
        </w:rPr>
        <w:t xml:space="preserve"> </w:t>
      </w:r>
      <w:r w:rsidR="00941E7C" w:rsidRPr="00694028">
        <w:rPr>
          <w:rFonts w:ascii="Arial" w:hAnsi="Arial" w:cs="Arial"/>
          <w:i/>
          <w:iCs/>
          <w:sz w:val="16"/>
          <w:szCs w:val="16"/>
        </w:rPr>
        <w:t>This was in the broader context of the allegation that the third respondent was conflicted and generating unnecessary fees</w:t>
      </w:r>
      <w:r w:rsidR="00941E7C" w:rsidRPr="002C1432">
        <w:rPr>
          <w:rFonts w:ascii="Arial" w:hAnsi="Arial" w:cs="Arial"/>
          <w:i/>
          <w:iCs/>
          <w:sz w:val="16"/>
          <w:szCs w:val="16"/>
        </w:rPr>
        <w:t xml:space="preserve">. </w:t>
      </w:r>
    </w:p>
  </w:footnote>
  <w:footnote w:id="24">
    <w:p w14:paraId="49909C9A" w14:textId="77777777" w:rsidR="002C1432" w:rsidRPr="0069400C" w:rsidRDefault="002C1432">
      <w:pPr>
        <w:pStyle w:val="FootnoteText"/>
        <w:rPr>
          <w:rFonts w:ascii="Arial" w:hAnsi="Arial" w:cs="Arial"/>
          <w:i/>
          <w:iCs/>
          <w:sz w:val="16"/>
          <w:szCs w:val="16"/>
          <w:lang w:val="en-US"/>
        </w:rPr>
      </w:pPr>
      <w:r w:rsidRPr="002C1432">
        <w:rPr>
          <w:rStyle w:val="FootnoteReference"/>
          <w:rFonts w:ascii="Arial" w:hAnsi="Arial" w:cs="Arial"/>
          <w:i/>
          <w:iCs/>
          <w:sz w:val="16"/>
          <w:szCs w:val="16"/>
        </w:rPr>
        <w:footnoteRef/>
      </w:r>
      <w:r w:rsidRPr="002C1432">
        <w:rPr>
          <w:rFonts w:ascii="Arial" w:hAnsi="Arial" w:cs="Arial"/>
          <w:i/>
          <w:iCs/>
          <w:sz w:val="16"/>
          <w:szCs w:val="16"/>
        </w:rPr>
        <w:t xml:space="preserve"> </w:t>
      </w:r>
      <w:r w:rsidRPr="002C1432">
        <w:rPr>
          <w:rFonts w:ascii="Arial" w:hAnsi="Arial" w:cs="Arial"/>
          <w:i/>
          <w:iCs/>
          <w:sz w:val="16"/>
          <w:szCs w:val="16"/>
          <w:lang w:val="en-US"/>
        </w:rPr>
        <w:t xml:space="preserve"> </w:t>
      </w:r>
      <w:r w:rsidRPr="0069400C">
        <w:rPr>
          <w:rFonts w:ascii="Arial" w:hAnsi="Arial" w:cs="Arial"/>
          <w:i/>
          <w:iCs/>
          <w:sz w:val="16"/>
          <w:szCs w:val="16"/>
          <w:lang w:val="en-US"/>
        </w:rPr>
        <w:t>The third respondent received his instruction from the liquidators and trustees.</w:t>
      </w:r>
    </w:p>
  </w:footnote>
  <w:footnote w:id="25">
    <w:p w14:paraId="2207C5FE" w14:textId="19D04CC2" w:rsidR="0069400C" w:rsidRPr="0069400C" w:rsidRDefault="0069400C">
      <w:pPr>
        <w:pStyle w:val="FootnoteText"/>
        <w:rPr>
          <w:rFonts w:ascii="Arial" w:hAnsi="Arial" w:cs="Arial"/>
          <w:i/>
          <w:iCs/>
          <w:sz w:val="16"/>
          <w:szCs w:val="16"/>
          <w:lang w:val="en-US"/>
        </w:rPr>
      </w:pPr>
      <w:r w:rsidRPr="0069400C">
        <w:rPr>
          <w:rStyle w:val="FootnoteReference"/>
          <w:rFonts w:ascii="Arial" w:hAnsi="Arial" w:cs="Arial"/>
          <w:i/>
          <w:iCs/>
          <w:sz w:val="16"/>
          <w:szCs w:val="16"/>
        </w:rPr>
        <w:footnoteRef/>
      </w:r>
      <w:r w:rsidRPr="0069400C">
        <w:rPr>
          <w:rFonts w:ascii="Arial" w:hAnsi="Arial" w:cs="Arial"/>
          <w:i/>
          <w:iCs/>
          <w:sz w:val="16"/>
          <w:szCs w:val="16"/>
        </w:rPr>
        <w:t xml:space="preserve"> </w:t>
      </w:r>
      <w:r w:rsidRPr="0069400C">
        <w:rPr>
          <w:rFonts w:ascii="Arial" w:hAnsi="Arial" w:cs="Arial"/>
          <w:i/>
          <w:iCs/>
          <w:sz w:val="16"/>
          <w:szCs w:val="16"/>
          <w:lang w:val="en-US"/>
        </w:rPr>
        <w:t xml:space="preserve"> It was agreed that the Taxing Master of the High Court would tax this bill of costs.</w:t>
      </w:r>
    </w:p>
  </w:footnote>
  <w:footnote w:id="26">
    <w:p w14:paraId="4CC9EF7E" w14:textId="77777777" w:rsidR="00EA7D25" w:rsidRPr="0069400C" w:rsidRDefault="00EA7D25">
      <w:pPr>
        <w:pStyle w:val="FootnoteText"/>
        <w:rPr>
          <w:rFonts w:ascii="Arial" w:hAnsi="Arial" w:cs="Arial"/>
          <w:i/>
          <w:iCs/>
          <w:sz w:val="16"/>
          <w:szCs w:val="16"/>
          <w:lang w:val="en-US"/>
        </w:rPr>
      </w:pPr>
      <w:r w:rsidRPr="0069400C">
        <w:rPr>
          <w:rStyle w:val="FootnoteReference"/>
          <w:rFonts w:ascii="Arial" w:hAnsi="Arial" w:cs="Arial"/>
          <w:i/>
          <w:iCs/>
          <w:sz w:val="16"/>
          <w:szCs w:val="16"/>
        </w:rPr>
        <w:footnoteRef/>
      </w:r>
      <w:r w:rsidRPr="0069400C">
        <w:rPr>
          <w:rFonts w:ascii="Arial" w:hAnsi="Arial" w:cs="Arial"/>
          <w:i/>
          <w:iCs/>
          <w:sz w:val="16"/>
          <w:szCs w:val="16"/>
        </w:rPr>
        <w:t xml:space="preserve"> </w:t>
      </w:r>
      <w:r w:rsidR="00B34A27" w:rsidRPr="0069400C">
        <w:rPr>
          <w:rFonts w:ascii="Arial" w:hAnsi="Arial" w:cs="Arial"/>
          <w:i/>
          <w:iCs/>
          <w:sz w:val="16"/>
          <w:szCs w:val="16"/>
        </w:rPr>
        <w:t xml:space="preserve"> Section 37 of the LPA provides only that an </w:t>
      </w:r>
      <w:r w:rsidR="002B6BEA" w:rsidRPr="0069400C">
        <w:rPr>
          <w:rFonts w:ascii="Arial" w:hAnsi="Arial" w:cs="Arial"/>
          <w:i/>
          <w:iCs/>
          <w:sz w:val="16"/>
          <w:szCs w:val="16"/>
        </w:rPr>
        <w:t xml:space="preserve">investigating committee may require a practitioner to produce documents. </w:t>
      </w:r>
    </w:p>
  </w:footnote>
  <w:footnote w:id="27">
    <w:p w14:paraId="79F59EDE" w14:textId="77777777" w:rsidR="00EA7D25" w:rsidRPr="0069400C" w:rsidRDefault="00EA7D25">
      <w:pPr>
        <w:pStyle w:val="FootnoteText"/>
        <w:rPr>
          <w:rFonts w:ascii="Arial" w:hAnsi="Arial" w:cs="Arial"/>
          <w:i/>
          <w:iCs/>
          <w:sz w:val="16"/>
          <w:szCs w:val="16"/>
          <w:lang w:val="en-US"/>
        </w:rPr>
      </w:pPr>
      <w:r w:rsidRPr="0069400C">
        <w:rPr>
          <w:rStyle w:val="FootnoteReference"/>
          <w:rFonts w:ascii="Arial" w:hAnsi="Arial" w:cs="Arial"/>
          <w:i/>
          <w:iCs/>
          <w:sz w:val="16"/>
          <w:szCs w:val="16"/>
        </w:rPr>
        <w:footnoteRef/>
      </w:r>
      <w:r w:rsidRPr="0069400C">
        <w:rPr>
          <w:rFonts w:ascii="Arial" w:hAnsi="Arial" w:cs="Arial"/>
          <w:i/>
          <w:iCs/>
          <w:sz w:val="16"/>
          <w:szCs w:val="16"/>
        </w:rPr>
        <w:t xml:space="preserve"> </w:t>
      </w:r>
      <w:r w:rsidR="00B34A27" w:rsidRPr="0069400C">
        <w:rPr>
          <w:rFonts w:ascii="Arial" w:hAnsi="Arial" w:cs="Arial"/>
          <w:i/>
          <w:iCs/>
          <w:sz w:val="16"/>
          <w:szCs w:val="16"/>
        </w:rPr>
        <w:t xml:space="preserve"> </w:t>
      </w:r>
      <w:r w:rsidR="002B6BEA" w:rsidRPr="0069400C">
        <w:rPr>
          <w:rFonts w:ascii="Arial" w:hAnsi="Arial" w:cs="Arial"/>
          <w:i/>
          <w:iCs/>
          <w:sz w:val="16"/>
          <w:szCs w:val="16"/>
        </w:rPr>
        <w:t>In all the subsequent proceedings, the supplementary affidavits correcting the errors in the affidavits were accepted.</w:t>
      </w:r>
    </w:p>
  </w:footnote>
  <w:footnote w:id="28">
    <w:p w14:paraId="5EDCB2A4" w14:textId="77777777" w:rsidR="00EA7D25" w:rsidRPr="0069400C" w:rsidRDefault="00EA7D25">
      <w:pPr>
        <w:pStyle w:val="FootnoteText"/>
        <w:rPr>
          <w:rFonts w:ascii="Arial" w:hAnsi="Arial" w:cs="Arial"/>
          <w:i/>
          <w:iCs/>
          <w:sz w:val="16"/>
          <w:szCs w:val="16"/>
          <w:lang w:val="en-US"/>
        </w:rPr>
      </w:pPr>
      <w:r w:rsidRPr="00B34A27">
        <w:rPr>
          <w:rStyle w:val="FootnoteReference"/>
          <w:rFonts w:ascii="Arial" w:hAnsi="Arial" w:cs="Arial"/>
          <w:i/>
          <w:iCs/>
          <w:sz w:val="16"/>
          <w:szCs w:val="16"/>
        </w:rPr>
        <w:footnoteRef/>
      </w:r>
      <w:r w:rsidRPr="00B34A27">
        <w:rPr>
          <w:rFonts w:ascii="Arial" w:hAnsi="Arial" w:cs="Arial"/>
          <w:i/>
          <w:iCs/>
          <w:sz w:val="16"/>
          <w:szCs w:val="16"/>
        </w:rPr>
        <w:t xml:space="preserve"> </w:t>
      </w:r>
      <w:r w:rsidR="00B34A27" w:rsidRPr="00B34A27">
        <w:rPr>
          <w:rFonts w:ascii="Arial" w:hAnsi="Arial" w:cs="Arial"/>
          <w:i/>
          <w:iCs/>
          <w:sz w:val="16"/>
          <w:szCs w:val="16"/>
        </w:rPr>
        <w:t xml:space="preserve"> </w:t>
      </w:r>
      <w:r w:rsidR="002B6BEA" w:rsidRPr="0069400C">
        <w:rPr>
          <w:rFonts w:ascii="Arial" w:hAnsi="Arial" w:cs="Arial"/>
          <w:i/>
          <w:iCs/>
          <w:sz w:val="16"/>
          <w:szCs w:val="16"/>
        </w:rPr>
        <w:t xml:space="preserve">In essence, the complaint was that the court was presented with false and incorrect information </w:t>
      </w:r>
      <w:r w:rsidR="007F4A46" w:rsidRPr="0069400C">
        <w:rPr>
          <w:rFonts w:ascii="Arial" w:hAnsi="Arial" w:cs="Arial"/>
          <w:i/>
          <w:iCs/>
          <w:sz w:val="16"/>
          <w:szCs w:val="16"/>
        </w:rPr>
        <w:t>to generate fees</w:t>
      </w:r>
      <w:r w:rsidR="002B6BEA" w:rsidRPr="0069400C">
        <w:rPr>
          <w:rFonts w:ascii="Arial" w:hAnsi="Arial" w:cs="Arial"/>
          <w:i/>
          <w:iCs/>
          <w:sz w:val="16"/>
          <w:szCs w:val="16"/>
        </w:rPr>
        <w:t>.</w:t>
      </w:r>
    </w:p>
  </w:footnote>
  <w:footnote w:id="29">
    <w:p w14:paraId="18ECF773" w14:textId="1905236D" w:rsidR="0069400C" w:rsidRPr="0069400C" w:rsidRDefault="0069400C">
      <w:pPr>
        <w:pStyle w:val="FootnoteText"/>
        <w:rPr>
          <w:rFonts w:ascii="Arial" w:hAnsi="Arial" w:cs="Arial"/>
          <w:i/>
          <w:iCs/>
          <w:sz w:val="16"/>
          <w:szCs w:val="16"/>
          <w:lang w:val="en-US"/>
        </w:rPr>
      </w:pPr>
      <w:r w:rsidRPr="0069400C">
        <w:rPr>
          <w:rStyle w:val="FootnoteReference"/>
          <w:rFonts w:ascii="Arial" w:hAnsi="Arial" w:cs="Arial"/>
          <w:i/>
          <w:iCs/>
          <w:sz w:val="16"/>
          <w:szCs w:val="16"/>
        </w:rPr>
        <w:footnoteRef/>
      </w:r>
      <w:r w:rsidRPr="0069400C">
        <w:rPr>
          <w:rFonts w:ascii="Arial" w:hAnsi="Arial" w:cs="Arial"/>
          <w:i/>
          <w:iCs/>
          <w:sz w:val="16"/>
          <w:szCs w:val="16"/>
        </w:rPr>
        <w:t xml:space="preserve"> </w:t>
      </w:r>
      <w:r>
        <w:rPr>
          <w:rFonts w:ascii="Arial" w:hAnsi="Arial" w:cs="Arial"/>
          <w:i/>
          <w:iCs/>
          <w:sz w:val="16"/>
          <w:szCs w:val="16"/>
        </w:rPr>
        <w:t>Mr Acting Justice Sievers accepted this explanation</w:t>
      </w:r>
      <w:r w:rsidRPr="0069400C">
        <w:rPr>
          <w:rFonts w:ascii="Arial" w:hAnsi="Arial" w:cs="Arial"/>
          <w:i/>
          <w:iCs/>
          <w:sz w:val="16"/>
          <w:szCs w:val="16"/>
          <w:lang w:val="en-US"/>
        </w:rPr>
        <w:t>.</w:t>
      </w:r>
    </w:p>
  </w:footnote>
  <w:footnote w:id="30">
    <w:p w14:paraId="427D888A" w14:textId="77777777" w:rsidR="00E245DA" w:rsidRPr="0069400C" w:rsidRDefault="00E245DA">
      <w:pPr>
        <w:pStyle w:val="FootnoteText"/>
        <w:rPr>
          <w:rFonts w:ascii="Arial" w:hAnsi="Arial" w:cs="Arial"/>
          <w:i/>
          <w:iCs/>
          <w:sz w:val="16"/>
          <w:szCs w:val="16"/>
          <w:lang w:val="en-US"/>
        </w:rPr>
      </w:pPr>
      <w:r w:rsidRPr="0069400C">
        <w:rPr>
          <w:rStyle w:val="FootnoteReference"/>
          <w:rFonts w:ascii="Arial" w:hAnsi="Arial" w:cs="Arial"/>
          <w:i/>
          <w:iCs/>
          <w:sz w:val="16"/>
          <w:szCs w:val="16"/>
        </w:rPr>
        <w:footnoteRef/>
      </w:r>
      <w:r w:rsidRPr="0069400C">
        <w:rPr>
          <w:rFonts w:ascii="Arial" w:hAnsi="Arial" w:cs="Arial"/>
          <w:i/>
          <w:iCs/>
          <w:sz w:val="16"/>
          <w:szCs w:val="16"/>
        </w:rPr>
        <w:t xml:space="preserve">  This meeting was held on </w:t>
      </w:r>
      <w:r w:rsidRPr="0069400C">
        <w:rPr>
          <w:rFonts w:ascii="Arial" w:hAnsi="Arial" w:cs="Arial"/>
          <w:i/>
          <w:iCs/>
          <w:sz w:val="16"/>
          <w:szCs w:val="16"/>
          <w:lang w:val="en-ZA"/>
        </w:rPr>
        <w:t>30 October 2018</w:t>
      </w:r>
      <w:r w:rsidR="007F4A46" w:rsidRPr="0069400C">
        <w:rPr>
          <w:rFonts w:ascii="Arial" w:hAnsi="Arial" w:cs="Arial"/>
          <w:i/>
          <w:iCs/>
          <w:sz w:val="16"/>
          <w:szCs w:val="16"/>
          <w:lang w:val="en-ZA"/>
        </w:rPr>
        <w:t>,</w:t>
      </w:r>
      <w:r w:rsidRPr="0069400C">
        <w:rPr>
          <w:rFonts w:ascii="Arial" w:hAnsi="Arial" w:cs="Arial"/>
          <w:i/>
          <w:iCs/>
          <w:sz w:val="16"/>
          <w:szCs w:val="16"/>
          <w:lang w:val="en-ZA"/>
        </w:rPr>
        <w:t xml:space="preserve"> and the other entity was styled </w:t>
      </w:r>
      <w:r w:rsidR="007F4A46" w:rsidRPr="0069400C">
        <w:rPr>
          <w:rFonts w:ascii="Arial" w:hAnsi="Arial" w:cs="Arial"/>
          <w:i/>
          <w:iCs/>
          <w:sz w:val="16"/>
          <w:szCs w:val="16"/>
          <w:lang w:val="en-ZA"/>
        </w:rPr>
        <w:t>“</w:t>
      </w:r>
      <w:r w:rsidRPr="0069400C">
        <w:rPr>
          <w:rFonts w:ascii="Arial" w:hAnsi="Arial" w:cs="Arial"/>
          <w:i/>
          <w:iCs/>
          <w:sz w:val="16"/>
          <w:szCs w:val="16"/>
          <w:lang w:val="en-ZA"/>
        </w:rPr>
        <w:t>Pholaco</w:t>
      </w:r>
      <w:r w:rsidR="007F4A46" w:rsidRPr="0069400C">
        <w:rPr>
          <w:rFonts w:ascii="Arial" w:hAnsi="Arial" w:cs="Arial"/>
          <w:i/>
          <w:iCs/>
          <w:sz w:val="16"/>
          <w:szCs w:val="16"/>
          <w:lang w:val="en-ZA"/>
        </w:rPr>
        <w:t>” (Pty) Ltd.</w:t>
      </w:r>
    </w:p>
  </w:footnote>
  <w:footnote w:id="31">
    <w:p w14:paraId="64EBE0D6" w14:textId="77777777" w:rsidR="002D0CA8" w:rsidRPr="000B421A" w:rsidRDefault="002D0CA8">
      <w:pPr>
        <w:pStyle w:val="FootnoteText"/>
        <w:rPr>
          <w:rFonts w:ascii="Arial" w:hAnsi="Arial" w:cs="Arial"/>
          <w:i/>
          <w:iCs/>
          <w:sz w:val="16"/>
          <w:szCs w:val="16"/>
          <w:lang w:val="en-US"/>
        </w:rPr>
      </w:pPr>
      <w:r w:rsidRPr="000B421A">
        <w:rPr>
          <w:rStyle w:val="FootnoteReference"/>
          <w:rFonts w:ascii="Arial" w:hAnsi="Arial" w:cs="Arial"/>
          <w:i/>
          <w:iCs/>
          <w:sz w:val="16"/>
          <w:szCs w:val="16"/>
        </w:rPr>
        <w:footnoteRef/>
      </w:r>
      <w:r w:rsidRPr="000B421A">
        <w:rPr>
          <w:rFonts w:ascii="Arial" w:hAnsi="Arial" w:cs="Arial"/>
          <w:i/>
          <w:iCs/>
          <w:sz w:val="16"/>
          <w:szCs w:val="16"/>
        </w:rPr>
        <w:t xml:space="preserve"> </w:t>
      </w:r>
      <w:r w:rsidR="000B421A" w:rsidRPr="000B421A">
        <w:rPr>
          <w:rFonts w:ascii="Arial" w:hAnsi="Arial" w:cs="Arial"/>
          <w:i/>
          <w:iCs/>
          <w:sz w:val="16"/>
          <w:szCs w:val="16"/>
        </w:rPr>
        <w:t xml:space="preserve"> </w:t>
      </w:r>
      <w:r w:rsidR="007F4A46">
        <w:rPr>
          <w:rFonts w:ascii="Arial" w:hAnsi="Arial" w:cs="Arial"/>
          <w:i/>
          <w:iCs/>
          <w:sz w:val="16"/>
          <w:szCs w:val="16"/>
        </w:rPr>
        <w:t>The court accepted the subsequent supplementary affidavits filed to explain the errors in the initial affidavits.</w:t>
      </w:r>
    </w:p>
  </w:footnote>
  <w:footnote w:id="32">
    <w:p w14:paraId="481D4F41" w14:textId="77777777" w:rsidR="00CB4A26" w:rsidRPr="000B421A" w:rsidRDefault="00CB4A26">
      <w:pPr>
        <w:pStyle w:val="FootnoteText"/>
        <w:rPr>
          <w:rFonts w:ascii="Arial" w:hAnsi="Arial" w:cs="Arial"/>
          <w:i/>
          <w:iCs/>
          <w:sz w:val="16"/>
          <w:szCs w:val="16"/>
          <w:lang w:val="en-ZA"/>
        </w:rPr>
      </w:pPr>
      <w:r w:rsidRPr="000B421A">
        <w:rPr>
          <w:rStyle w:val="FootnoteReference"/>
          <w:rFonts w:ascii="Arial" w:hAnsi="Arial" w:cs="Arial"/>
          <w:i/>
          <w:iCs/>
          <w:sz w:val="16"/>
          <w:szCs w:val="16"/>
        </w:rPr>
        <w:footnoteRef/>
      </w:r>
      <w:r w:rsidRPr="000B421A">
        <w:rPr>
          <w:rFonts w:ascii="Arial" w:hAnsi="Arial" w:cs="Arial"/>
          <w:i/>
          <w:iCs/>
          <w:sz w:val="16"/>
          <w:szCs w:val="16"/>
        </w:rPr>
        <w:t xml:space="preserve"> </w:t>
      </w:r>
      <w:r w:rsidR="00993B62" w:rsidRPr="000B421A">
        <w:rPr>
          <w:rFonts w:ascii="Arial" w:hAnsi="Arial" w:cs="Arial"/>
          <w:i/>
          <w:iCs/>
          <w:sz w:val="16"/>
          <w:szCs w:val="16"/>
        </w:rPr>
        <w:t xml:space="preserve"> </w:t>
      </w:r>
      <w:r w:rsidR="007F4A46">
        <w:rPr>
          <w:rFonts w:ascii="Arial" w:hAnsi="Arial" w:cs="Arial"/>
          <w:i/>
          <w:iCs/>
          <w:sz w:val="16"/>
          <w:szCs w:val="16"/>
        </w:rPr>
        <w:t>The HNP trust was not in the first place possessed of sufficient income to advance these monies.</w:t>
      </w:r>
    </w:p>
  </w:footnote>
  <w:footnote w:id="33">
    <w:p w14:paraId="27763E77" w14:textId="77777777" w:rsidR="000B421A" w:rsidRPr="000B421A" w:rsidRDefault="000B421A">
      <w:pPr>
        <w:pStyle w:val="FootnoteText"/>
        <w:rPr>
          <w:rFonts w:ascii="Arial" w:hAnsi="Arial" w:cs="Arial"/>
          <w:i/>
          <w:iCs/>
          <w:sz w:val="16"/>
          <w:szCs w:val="16"/>
          <w:lang w:val="en-US"/>
        </w:rPr>
      </w:pPr>
      <w:r w:rsidRPr="000B421A">
        <w:rPr>
          <w:rStyle w:val="FootnoteReference"/>
          <w:rFonts w:ascii="Arial" w:hAnsi="Arial" w:cs="Arial"/>
          <w:i/>
          <w:iCs/>
          <w:sz w:val="16"/>
          <w:szCs w:val="16"/>
        </w:rPr>
        <w:footnoteRef/>
      </w:r>
      <w:r w:rsidRPr="000B421A">
        <w:rPr>
          <w:rFonts w:ascii="Arial" w:hAnsi="Arial" w:cs="Arial"/>
          <w:i/>
          <w:iCs/>
          <w:sz w:val="16"/>
          <w:szCs w:val="16"/>
        </w:rPr>
        <w:t xml:space="preserve">  </w:t>
      </w:r>
      <w:r w:rsidR="007F4A46" w:rsidRPr="00B34A27">
        <w:rPr>
          <w:rFonts w:ascii="Arial" w:hAnsi="Arial" w:cs="Arial"/>
          <w:i/>
          <w:iCs/>
          <w:sz w:val="16"/>
          <w:szCs w:val="16"/>
        </w:rPr>
        <w:t>Section 37 of the LPA provides</w:t>
      </w:r>
      <w:r w:rsidR="007F4A46">
        <w:rPr>
          <w:rFonts w:ascii="Arial" w:hAnsi="Arial" w:cs="Arial"/>
          <w:i/>
          <w:iCs/>
          <w:sz w:val="16"/>
          <w:szCs w:val="16"/>
        </w:rPr>
        <w:t xml:space="preserve"> that an investigating committee may only require a practitioner to produce documents.</w:t>
      </w:r>
    </w:p>
  </w:footnote>
  <w:footnote w:id="34">
    <w:p w14:paraId="0B367773" w14:textId="68469611" w:rsidR="000B421A" w:rsidRPr="000B421A" w:rsidRDefault="000B421A" w:rsidP="008F7B89">
      <w:pPr>
        <w:snapToGrid w:val="0"/>
        <w:jc w:val="both"/>
        <w:rPr>
          <w:rFonts w:ascii="Arial" w:hAnsi="Arial" w:cs="Arial"/>
          <w:i/>
          <w:iCs/>
          <w:sz w:val="16"/>
          <w:szCs w:val="16"/>
          <w:lang w:val="en-US"/>
        </w:rPr>
      </w:pPr>
      <w:r w:rsidRPr="000B421A">
        <w:rPr>
          <w:rStyle w:val="FootnoteReference"/>
          <w:rFonts w:ascii="Arial" w:hAnsi="Arial" w:cs="Arial"/>
          <w:i/>
          <w:iCs/>
          <w:sz w:val="16"/>
          <w:szCs w:val="16"/>
        </w:rPr>
        <w:footnoteRef/>
      </w:r>
      <w:r w:rsidRPr="000B421A">
        <w:rPr>
          <w:rFonts w:ascii="Arial" w:hAnsi="Arial" w:cs="Arial"/>
          <w:i/>
          <w:iCs/>
          <w:sz w:val="16"/>
          <w:szCs w:val="16"/>
        </w:rPr>
        <w:t xml:space="preserve">  Clause 58.8 of the Code of Conduct. </w:t>
      </w:r>
    </w:p>
  </w:footnote>
  <w:footnote w:id="35">
    <w:p w14:paraId="43912F80" w14:textId="77777777" w:rsidR="006A39DE" w:rsidRPr="000A065A" w:rsidRDefault="006A39DE" w:rsidP="008F7B89">
      <w:pPr>
        <w:pStyle w:val="FootnoteText"/>
        <w:snapToGrid w:val="0"/>
        <w:rPr>
          <w:rFonts w:ascii="Arial" w:hAnsi="Arial" w:cs="Arial"/>
          <w:i/>
          <w:iCs/>
          <w:sz w:val="16"/>
          <w:szCs w:val="16"/>
          <w:lang w:val="en-ZA"/>
        </w:rPr>
      </w:pPr>
      <w:r w:rsidRPr="007F4A46">
        <w:rPr>
          <w:rStyle w:val="FootnoteReference"/>
          <w:rFonts w:ascii="Arial" w:hAnsi="Arial" w:cs="Arial"/>
          <w:i/>
          <w:iCs/>
          <w:sz w:val="16"/>
          <w:szCs w:val="16"/>
        </w:rPr>
        <w:footnoteRef/>
      </w:r>
      <w:r w:rsidRPr="007F4A46">
        <w:rPr>
          <w:rFonts w:ascii="Arial" w:hAnsi="Arial" w:cs="Arial"/>
          <w:i/>
          <w:iCs/>
          <w:sz w:val="16"/>
          <w:szCs w:val="16"/>
        </w:rPr>
        <w:t xml:space="preserve">  </w:t>
      </w:r>
      <w:r w:rsidRPr="000A065A">
        <w:rPr>
          <w:rFonts w:ascii="Arial" w:hAnsi="Arial" w:cs="Arial"/>
          <w:i/>
          <w:iCs/>
          <w:sz w:val="16"/>
          <w:szCs w:val="16"/>
          <w:lang w:val="en-ZA"/>
        </w:rPr>
        <w:t>The possible conflict could only have been related to the third respondent's unnecessary generation of fees.</w:t>
      </w:r>
    </w:p>
  </w:footnote>
  <w:footnote w:id="36">
    <w:p w14:paraId="33D8083C" w14:textId="77777777" w:rsidR="000B421A" w:rsidRPr="000A065A" w:rsidRDefault="000B421A" w:rsidP="008F7B89">
      <w:pPr>
        <w:pStyle w:val="FootnoteText"/>
        <w:snapToGrid w:val="0"/>
        <w:rPr>
          <w:rFonts w:ascii="Arial" w:hAnsi="Arial" w:cs="Arial"/>
          <w:i/>
          <w:iCs/>
          <w:sz w:val="16"/>
          <w:szCs w:val="16"/>
          <w:lang w:val="en-US"/>
        </w:rPr>
      </w:pPr>
      <w:r w:rsidRPr="000A065A">
        <w:rPr>
          <w:rStyle w:val="FootnoteReference"/>
          <w:rFonts w:ascii="Arial" w:hAnsi="Arial" w:cs="Arial"/>
          <w:i/>
          <w:iCs/>
          <w:sz w:val="16"/>
          <w:szCs w:val="16"/>
        </w:rPr>
        <w:footnoteRef/>
      </w:r>
      <w:r w:rsidRPr="000A065A">
        <w:rPr>
          <w:rFonts w:ascii="Arial" w:hAnsi="Arial" w:cs="Arial"/>
          <w:i/>
          <w:iCs/>
          <w:sz w:val="16"/>
          <w:szCs w:val="16"/>
        </w:rPr>
        <w:t xml:space="preserve"> </w:t>
      </w:r>
      <w:r w:rsidR="00624717" w:rsidRPr="000A065A">
        <w:rPr>
          <w:rFonts w:ascii="Arial" w:hAnsi="Arial" w:cs="Arial"/>
          <w:i/>
          <w:iCs/>
          <w:sz w:val="16"/>
          <w:szCs w:val="16"/>
        </w:rPr>
        <w:t xml:space="preserve"> </w:t>
      </w:r>
      <w:r w:rsidR="007F4A46" w:rsidRPr="000A065A">
        <w:rPr>
          <w:rFonts w:ascii="Arial" w:hAnsi="Arial" w:cs="Arial"/>
          <w:i/>
          <w:iCs/>
          <w:sz w:val="16"/>
          <w:szCs w:val="16"/>
        </w:rPr>
        <w:t>The legal practitioner would, in the ordinary course, have acted for the petitioning creditor.</w:t>
      </w:r>
    </w:p>
  </w:footnote>
  <w:footnote w:id="37">
    <w:p w14:paraId="01C0AB42" w14:textId="77777777" w:rsidR="008B5E04" w:rsidRPr="000A065A" w:rsidRDefault="008B5E04" w:rsidP="008F7B89">
      <w:pPr>
        <w:pStyle w:val="FootnoteText"/>
        <w:snapToGrid w:val="0"/>
        <w:rPr>
          <w:rFonts w:ascii="Arial" w:hAnsi="Arial" w:cs="Arial"/>
          <w:i/>
          <w:iCs/>
          <w:sz w:val="16"/>
          <w:szCs w:val="16"/>
          <w:lang w:val="en-US"/>
        </w:rPr>
      </w:pPr>
      <w:r w:rsidRPr="000A065A">
        <w:rPr>
          <w:rStyle w:val="FootnoteReference"/>
          <w:rFonts w:ascii="Arial" w:hAnsi="Arial" w:cs="Arial"/>
          <w:i/>
          <w:iCs/>
          <w:sz w:val="16"/>
          <w:szCs w:val="16"/>
        </w:rPr>
        <w:footnoteRef/>
      </w:r>
      <w:r w:rsidRPr="000A065A">
        <w:rPr>
          <w:rFonts w:ascii="Arial" w:hAnsi="Arial" w:cs="Arial"/>
          <w:i/>
          <w:iCs/>
          <w:sz w:val="16"/>
          <w:szCs w:val="16"/>
        </w:rPr>
        <w:t xml:space="preserve"> </w:t>
      </w:r>
      <w:r w:rsidR="00624717" w:rsidRPr="000A065A">
        <w:rPr>
          <w:rFonts w:ascii="Arial" w:hAnsi="Arial" w:cs="Arial"/>
          <w:i/>
          <w:iCs/>
          <w:sz w:val="16"/>
          <w:szCs w:val="16"/>
        </w:rPr>
        <w:t xml:space="preserve"> </w:t>
      </w:r>
      <w:r w:rsidR="00674FC5" w:rsidRPr="000A065A">
        <w:rPr>
          <w:rFonts w:ascii="Arial" w:hAnsi="Arial" w:cs="Arial"/>
          <w:i/>
          <w:iCs/>
          <w:sz w:val="16"/>
          <w:szCs w:val="16"/>
        </w:rPr>
        <w:t>This is because the practitioner now acts for and is paid by a different client (the liquidator or trustee).</w:t>
      </w:r>
    </w:p>
  </w:footnote>
  <w:footnote w:id="38">
    <w:p w14:paraId="00F2DFC0" w14:textId="5F09BFC7" w:rsidR="000A065A" w:rsidRPr="000A065A" w:rsidRDefault="000A065A">
      <w:pPr>
        <w:pStyle w:val="FootnoteText"/>
        <w:rPr>
          <w:rFonts w:ascii="Arial" w:hAnsi="Arial" w:cs="Arial"/>
          <w:i/>
          <w:iCs/>
          <w:sz w:val="16"/>
          <w:szCs w:val="16"/>
          <w:lang w:val="en-US"/>
        </w:rPr>
      </w:pPr>
      <w:r w:rsidRPr="000A065A">
        <w:rPr>
          <w:rStyle w:val="FootnoteReference"/>
          <w:rFonts w:ascii="Arial" w:hAnsi="Arial" w:cs="Arial"/>
          <w:i/>
          <w:iCs/>
          <w:sz w:val="16"/>
          <w:szCs w:val="16"/>
        </w:rPr>
        <w:footnoteRef/>
      </w:r>
      <w:r w:rsidRPr="000A065A">
        <w:rPr>
          <w:rFonts w:ascii="Arial" w:hAnsi="Arial" w:cs="Arial"/>
          <w:i/>
          <w:iCs/>
          <w:sz w:val="16"/>
          <w:szCs w:val="16"/>
        </w:rPr>
        <w:t xml:space="preserve"> </w:t>
      </w:r>
      <w:r w:rsidRPr="000A065A">
        <w:rPr>
          <w:rFonts w:ascii="Arial" w:hAnsi="Arial" w:cs="Arial"/>
          <w:i/>
          <w:iCs/>
          <w:sz w:val="16"/>
          <w:szCs w:val="16"/>
          <w:lang w:val="en-US"/>
        </w:rPr>
        <w:t xml:space="preserve"> The interests of the creditors in the estate would be of priority.</w:t>
      </w:r>
    </w:p>
  </w:footnote>
  <w:footnote w:id="39">
    <w:p w14:paraId="49464931" w14:textId="77777777" w:rsidR="003A28AD" w:rsidRPr="00FA2EC1" w:rsidRDefault="003A28AD">
      <w:pPr>
        <w:pStyle w:val="FootnoteText"/>
        <w:rPr>
          <w:rFonts w:ascii="Arial" w:hAnsi="Arial" w:cs="Arial"/>
          <w:i/>
          <w:iCs/>
          <w:sz w:val="16"/>
          <w:szCs w:val="16"/>
          <w:lang w:val="en-US"/>
        </w:rPr>
      </w:pPr>
      <w:r w:rsidRPr="00FA2EC1">
        <w:rPr>
          <w:rStyle w:val="FootnoteReference"/>
          <w:rFonts w:ascii="Arial" w:hAnsi="Arial" w:cs="Arial"/>
          <w:i/>
          <w:iCs/>
          <w:sz w:val="16"/>
          <w:szCs w:val="16"/>
        </w:rPr>
        <w:footnoteRef/>
      </w:r>
      <w:r w:rsidRPr="00FA2EC1">
        <w:rPr>
          <w:rFonts w:ascii="Arial" w:hAnsi="Arial" w:cs="Arial"/>
          <w:i/>
          <w:iCs/>
          <w:sz w:val="16"/>
          <w:szCs w:val="16"/>
        </w:rPr>
        <w:t xml:space="preserve"> </w:t>
      </w:r>
      <w:r w:rsidR="00D15FED" w:rsidRPr="00FA2EC1">
        <w:rPr>
          <w:rFonts w:ascii="Arial" w:hAnsi="Arial" w:cs="Arial"/>
          <w:i/>
          <w:iCs/>
          <w:sz w:val="16"/>
          <w:szCs w:val="16"/>
        </w:rPr>
        <w:t xml:space="preserve"> </w:t>
      </w:r>
      <w:r w:rsidR="00371A97" w:rsidRPr="00FA2EC1">
        <w:rPr>
          <w:rFonts w:ascii="Arial" w:hAnsi="Arial" w:cs="Arial"/>
          <w:i/>
          <w:iCs/>
          <w:sz w:val="16"/>
          <w:szCs w:val="16"/>
        </w:rPr>
        <w:t xml:space="preserve">The first respondent believed they </w:t>
      </w:r>
      <w:r w:rsidR="00371A97" w:rsidRPr="00FA2EC1">
        <w:rPr>
          <w:rFonts w:ascii="Arial" w:hAnsi="Arial" w:cs="Arial"/>
          <w:i/>
          <w:iCs/>
          <w:color w:val="000000"/>
          <w:sz w:val="16"/>
          <w:szCs w:val="16"/>
        </w:rPr>
        <w:t>assessed this complaint fairly, reasonably and following the correct procedure.</w:t>
      </w:r>
    </w:p>
  </w:footnote>
  <w:footnote w:id="40">
    <w:p w14:paraId="5639C7B4" w14:textId="77777777" w:rsidR="000211BA" w:rsidRPr="00E53F54" w:rsidRDefault="000211BA">
      <w:pPr>
        <w:pStyle w:val="FootnoteText"/>
        <w:rPr>
          <w:rFonts w:ascii="Arial" w:hAnsi="Arial" w:cs="Arial"/>
          <w:i/>
          <w:iCs/>
          <w:sz w:val="16"/>
          <w:szCs w:val="16"/>
          <w:lang w:val="en-US"/>
        </w:rPr>
      </w:pPr>
      <w:r w:rsidRPr="00E53F54">
        <w:rPr>
          <w:rStyle w:val="FootnoteReference"/>
          <w:rFonts w:ascii="Arial" w:hAnsi="Arial" w:cs="Arial"/>
          <w:i/>
          <w:iCs/>
          <w:sz w:val="16"/>
          <w:szCs w:val="16"/>
        </w:rPr>
        <w:footnoteRef/>
      </w:r>
      <w:r w:rsidRPr="00E53F54">
        <w:rPr>
          <w:rFonts w:ascii="Arial" w:hAnsi="Arial" w:cs="Arial"/>
          <w:i/>
          <w:iCs/>
          <w:sz w:val="16"/>
          <w:szCs w:val="16"/>
        </w:rPr>
        <w:t xml:space="preserve"> </w:t>
      </w:r>
      <w:r w:rsidR="00181C26" w:rsidRPr="00E53F54">
        <w:rPr>
          <w:rFonts w:ascii="Arial" w:hAnsi="Arial" w:cs="Arial"/>
          <w:i/>
          <w:iCs/>
          <w:sz w:val="16"/>
          <w:szCs w:val="16"/>
        </w:rPr>
        <w:t xml:space="preserve"> </w:t>
      </w:r>
      <w:r w:rsidR="00E53F54" w:rsidRPr="00E53F54">
        <w:rPr>
          <w:rFonts w:ascii="Arial" w:hAnsi="Arial" w:cs="Arial"/>
          <w:i/>
          <w:iCs/>
          <w:sz w:val="16"/>
          <w:szCs w:val="16"/>
        </w:rPr>
        <w:t>It is so that a financial interest may give rise to a conflict of interest.</w:t>
      </w:r>
    </w:p>
  </w:footnote>
  <w:footnote w:id="41">
    <w:p w14:paraId="01AF225B" w14:textId="77777777" w:rsidR="000211BA" w:rsidRPr="00E53F54" w:rsidRDefault="000211BA">
      <w:pPr>
        <w:pStyle w:val="FootnoteText"/>
        <w:rPr>
          <w:rFonts w:ascii="Arial" w:hAnsi="Arial" w:cs="Arial"/>
          <w:i/>
          <w:iCs/>
          <w:sz w:val="16"/>
          <w:szCs w:val="16"/>
          <w:lang w:val="en-US"/>
        </w:rPr>
      </w:pPr>
      <w:r w:rsidRPr="00E53F54">
        <w:rPr>
          <w:rStyle w:val="FootnoteReference"/>
          <w:rFonts w:ascii="Arial" w:hAnsi="Arial" w:cs="Arial"/>
          <w:i/>
          <w:iCs/>
          <w:sz w:val="16"/>
          <w:szCs w:val="16"/>
        </w:rPr>
        <w:footnoteRef/>
      </w:r>
      <w:r w:rsidRPr="00E53F54">
        <w:rPr>
          <w:rFonts w:ascii="Arial" w:hAnsi="Arial" w:cs="Arial"/>
          <w:i/>
          <w:iCs/>
          <w:sz w:val="16"/>
          <w:szCs w:val="16"/>
        </w:rPr>
        <w:t xml:space="preserve"> </w:t>
      </w:r>
      <w:r w:rsidR="00181C26" w:rsidRPr="00E53F54">
        <w:rPr>
          <w:rFonts w:ascii="Arial" w:hAnsi="Arial" w:cs="Arial"/>
          <w:i/>
          <w:iCs/>
          <w:sz w:val="16"/>
          <w:szCs w:val="16"/>
        </w:rPr>
        <w:t xml:space="preserve"> </w:t>
      </w:r>
      <w:r w:rsidR="00E53F54" w:rsidRPr="00E53F54">
        <w:rPr>
          <w:rFonts w:ascii="Arial" w:hAnsi="Arial" w:cs="Arial"/>
          <w:i/>
          <w:iCs/>
          <w:sz w:val="16"/>
          <w:szCs w:val="16"/>
        </w:rPr>
        <w:t>The applicant’s complaint goes to the fees charged</w:t>
      </w:r>
      <w:r w:rsidR="00E53F54">
        <w:rPr>
          <w:rFonts w:ascii="Arial" w:hAnsi="Arial" w:cs="Arial"/>
          <w:i/>
          <w:iCs/>
          <w:sz w:val="16"/>
          <w:szCs w:val="16"/>
        </w:rPr>
        <w:t>,</w:t>
      </w:r>
      <w:r w:rsidR="00E53F54" w:rsidRPr="00E53F54">
        <w:rPr>
          <w:rFonts w:ascii="Arial" w:hAnsi="Arial" w:cs="Arial"/>
          <w:i/>
          <w:iCs/>
          <w:sz w:val="16"/>
          <w:szCs w:val="16"/>
        </w:rPr>
        <w:t xml:space="preserve"> and </w:t>
      </w:r>
      <w:r w:rsidR="00E53F54">
        <w:rPr>
          <w:rFonts w:ascii="Arial" w:hAnsi="Arial" w:cs="Arial"/>
          <w:i/>
          <w:iCs/>
          <w:sz w:val="16"/>
          <w:szCs w:val="16"/>
        </w:rPr>
        <w:t xml:space="preserve">that </w:t>
      </w:r>
      <w:r w:rsidR="00E53F54" w:rsidRPr="00E53F54">
        <w:rPr>
          <w:rFonts w:ascii="Arial" w:hAnsi="Arial" w:cs="Arial"/>
          <w:i/>
          <w:iCs/>
          <w:sz w:val="16"/>
          <w:szCs w:val="16"/>
        </w:rPr>
        <w:t>th</w:t>
      </w:r>
      <w:r w:rsidR="00E53F54">
        <w:rPr>
          <w:rFonts w:ascii="Arial" w:hAnsi="Arial" w:cs="Arial"/>
          <w:i/>
          <w:iCs/>
          <w:sz w:val="16"/>
          <w:szCs w:val="16"/>
        </w:rPr>
        <w:t>e third respondent unnecessarily generated</w:t>
      </w:r>
      <w:r w:rsidR="00E53F54" w:rsidRPr="00E53F54">
        <w:rPr>
          <w:rFonts w:ascii="Arial" w:hAnsi="Arial" w:cs="Arial"/>
          <w:i/>
          <w:iCs/>
          <w:sz w:val="16"/>
          <w:szCs w:val="16"/>
        </w:rPr>
        <w:t xml:space="preserve"> fees</w:t>
      </w:r>
      <w:r w:rsidR="00E53F54">
        <w:rPr>
          <w:rFonts w:ascii="Arial" w:hAnsi="Arial" w:cs="Arial"/>
          <w:i/>
          <w:iCs/>
          <w:sz w:val="16"/>
          <w:szCs w:val="16"/>
        </w:rPr>
        <w:t>.</w:t>
      </w:r>
    </w:p>
  </w:footnote>
  <w:footnote w:id="42">
    <w:p w14:paraId="36C5A7FE" w14:textId="77777777" w:rsidR="007D0C98" w:rsidRPr="00E53F54" w:rsidRDefault="007D0C98">
      <w:pPr>
        <w:pStyle w:val="FootnoteText"/>
        <w:rPr>
          <w:rFonts w:ascii="Arial" w:hAnsi="Arial" w:cs="Arial"/>
          <w:i/>
          <w:iCs/>
          <w:sz w:val="16"/>
          <w:szCs w:val="16"/>
          <w:lang w:val="en-US"/>
        </w:rPr>
      </w:pPr>
      <w:r w:rsidRPr="00E53F54">
        <w:rPr>
          <w:rStyle w:val="FootnoteReference"/>
          <w:rFonts w:ascii="Arial" w:hAnsi="Arial" w:cs="Arial"/>
          <w:i/>
          <w:iCs/>
          <w:sz w:val="16"/>
          <w:szCs w:val="16"/>
        </w:rPr>
        <w:footnoteRef/>
      </w:r>
      <w:r w:rsidRPr="00E53F54">
        <w:rPr>
          <w:rFonts w:ascii="Arial" w:hAnsi="Arial" w:cs="Arial"/>
          <w:i/>
          <w:iCs/>
          <w:sz w:val="16"/>
          <w:szCs w:val="16"/>
        </w:rPr>
        <w:t xml:space="preserve"> </w:t>
      </w:r>
      <w:r w:rsidR="00181C26" w:rsidRPr="00E53F54">
        <w:rPr>
          <w:rFonts w:ascii="Arial" w:hAnsi="Arial" w:cs="Arial"/>
          <w:i/>
          <w:iCs/>
          <w:sz w:val="16"/>
          <w:szCs w:val="16"/>
        </w:rPr>
        <w:t xml:space="preserve"> </w:t>
      </w:r>
      <w:r w:rsidR="00E53F54">
        <w:rPr>
          <w:rFonts w:ascii="Arial" w:hAnsi="Arial" w:cs="Arial"/>
          <w:i/>
          <w:iCs/>
          <w:sz w:val="16"/>
          <w:szCs w:val="16"/>
        </w:rPr>
        <w:t>The evidence before us did not support a financial relationship between the trustees or liquidators and the third respondent.</w:t>
      </w:r>
    </w:p>
  </w:footnote>
  <w:footnote w:id="43">
    <w:p w14:paraId="29352892" w14:textId="0488B790" w:rsidR="000A065A" w:rsidRPr="000A065A" w:rsidRDefault="000A065A">
      <w:pPr>
        <w:pStyle w:val="FootnoteText"/>
        <w:rPr>
          <w:rFonts w:ascii="Arial" w:hAnsi="Arial" w:cs="Arial"/>
          <w:i/>
          <w:iCs/>
          <w:sz w:val="16"/>
          <w:szCs w:val="16"/>
          <w:lang w:val="en-US"/>
        </w:rPr>
      </w:pPr>
      <w:r w:rsidRPr="000A065A">
        <w:rPr>
          <w:rStyle w:val="FootnoteReference"/>
          <w:i/>
          <w:iCs/>
        </w:rPr>
        <w:footnoteRef/>
      </w:r>
      <w:r w:rsidRPr="000A065A">
        <w:rPr>
          <w:i/>
          <w:iCs/>
        </w:rPr>
        <w:t xml:space="preserve">  </w:t>
      </w:r>
      <w:r w:rsidRPr="000A065A">
        <w:rPr>
          <w:rFonts w:ascii="Arial" w:hAnsi="Arial" w:cs="Arial"/>
          <w:i/>
          <w:iCs/>
          <w:color w:val="000000"/>
          <w:sz w:val="16"/>
          <w:szCs w:val="16"/>
        </w:rPr>
        <w:t>They should disclose potential conflicts to their clients and avoid representing conflicting interests</w:t>
      </w:r>
      <w:r>
        <w:rPr>
          <w:rFonts w:ascii="Arial" w:hAnsi="Arial" w:cs="Arial"/>
          <w:i/>
          <w:iCs/>
          <w:color w:val="000000"/>
          <w:sz w:val="16"/>
          <w:szCs w:val="16"/>
        </w:rPr>
        <w:t>.</w:t>
      </w:r>
    </w:p>
  </w:footnote>
  <w:footnote w:id="44">
    <w:p w14:paraId="5A31A1EA" w14:textId="511C9297" w:rsidR="00FD6709" w:rsidRPr="000A065A" w:rsidRDefault="00FD6709" w:rsidP="008F7B89">
      <w:pPr>
        <w:snapToGrid w:val="0"/>
        <w:jc w:val="both"/>
        <w:rPr>
          <w:rFonts w:ascii="Arial" w:hAnsi="Arial" w:cs="Arial"/>
          <w:i/>
          <w:iCs/>
          <w:sz w:val="16"/>
          <w:szCs w:val="16"/>
          <w:lang w:val="en-US"/>
        </w:rPr>
      </w:pPr>
      <w:r w:rsidRPr="000A065A">
        <w:rPr>
          <w:rStyle w:val="FootnoteReference"/>
          <w:rFonts w:ascii="Arial" w:hAnsi="Arial" w:cs="Arial"/>
          <w:i/>
          <w:iCs/>
          <w:sz w:val="16"/>
          <w:szCs w:val="16"/>
        </w:rPr>
        <w:footnoteRef/>
      </w:r>
      <w:r w:rsidRPr="000A065A">
        <w:rPr>
          <w:rFonts w:ascii="Arial" w:hAnsi="Arial" w:cs="Arial"/>
          <w:i/>
          <w:iCs/>
          <w:sz w:val="16"/>
          <w:szCs w:val="16"/>
        </w:rPr>
        <w:t xml:space="preserve"> </w:t>
      </w:r>
      <w:r w:rsidR="00876809" w:rsidRPr="000A065A">
        <w:rPr>
          <w:rFonts w:ascii="Arial" w:hAnsi="Arial" w:cs="Arial"/>
          <w:i/>
          <w:iCs/>
          <w:sz w:val="16"/>
          <w:szCs w:val="16"/>
        </w:rPr>
        <w:t xml:space="preserve"> </w:t>
      </w:r>
      <w:r w:rsidR="00876809" w:rsidRPr="000A065A">
        <w:rPr>
          <w:rFonts w:ascii="Arial" w:hAnsi="Arial" w:cs="Arial"/>
          <w:i/>
          <w:iCs/>
          <w:sz w:val="16"/>
          <w:szCs w:val="16"/>
          <w:lang w:val="en-ZA"/>
        </w:rPr>
        <w:t>Swart and Others v Fourie and Others</w:t>
      </w:r>
      <w:r w:rsidR="00B96574" w:rsidRPr="000A065A">
        <w:rPr>
          <w:rFonts w:ascii="Arial" w:hAnsi="Arial" w:cs="Arial"/>
          <w:i/>
          <w:iCs/>
          <w:sz w:val="16"/>
          <w:szCs w:val="16"/>
          <w:lang w:val="en-ZA"/>
        </w:rPr>
        <w:t xml:space="preserve"> (2488/2017) [2017] ZAWHC 58 (22 May 2017).</w:t>
      </w:r>
    </w:p>
  </w:footnote>
  <w:footnote w:id="45">
    <w:p w14:paraId="3D1D62C1" w14:textId="77777777" w:rsidR="00FD6709" w:rsidRPr="004C01DF" w:rsidRDefault="00FD6709" w:rsidP="008F7B89">
      <w:pPr>
        <w:pStyle w:val="FootnoteText"/>
        <w:snapToGrid w:val="0"/>
        <w:rPr>
          <w:rFonts w:ascii="Arial" w:hAnsi="Arial" w:cs="Arial"/>
          <w:i/>
          <w:iCs/>
          <w:sz w:val="16"/>
          <w:szCs w:val="16"/>
          <w:lang w:val="en-US"/>
        </w:rPr>
      </w:pPr>
      <w:r w:rsidRPr="004C01DF">
        <w:rPr>
          <w:rStyle w:val="FootnoteReference"/>
          <w:rFonts w:ascii="Arial" w:hAnsi="Arial" w:cs="Arial"/>
          <w:i/>
          <w:iCs/>
          <w:sz w:val="16"/>
          <w:szCs w:val="16"/>
        </w:rPr>
        <w:footnoteRef/>
      </w:r>
      <w:r w:rsidRPr="004C01DF">
        <w:rPr>
          <w:rFonts w:ascii="Arial" w:hAnsi="Arial" w:cs="Arial"/>
          <w:i/>
          <w:iCs/>
          <w:sz w:val="16"/>
          <w:szCs w:val="16"/>
        </w:rPr>
        <w:t xml:space="preserve">  </w:t>
      </w:r>
      <w:r w:rsidRPr="004C01DF">
        <w:rPr>
          <w:rFonts w:ascii="Arial" w:hAnsi="Arial" w:cs="Arial"/>
          <w:i/>
          <w:iCs/>
          <w:sz w:val="16"/>
          <w:szCs w:val="16"/>
          <w:lang w:val="en-ZA"/>
        </w:rPr>
        <w:t>Knoop and Another v Gupta (Tayob as intervening party) [2020] JOL 49131 (SCA).</w:t>
      </w:r>
    </w:p>
  </w:footnote>
  <w:footnote w:id="46">
    <w:p w14:paraId="74C92AAF" w14:textId="77777777" w:rsidR="00FB0A36" w:rsidRPr="00140132" w:rsidRDefault="00FB0A36" w:rsidP="008F7B89">
      <w:pPr>
        <w:pStyle w:val="FootnoteText"/>
        <w:snapToGrid w:val="0"/>
        <w:rPr>
          <w:rFonts w:ascii="Arial" w:hAnsi="Arial" w:cs="Arial"/>
          <w:i/>
          <w:iCs/>
          <w:sz w:val="16"/>
          <w:szCs w:val="16"/>
          <w:lang w:val="en-US"/>
        </w:rPr>
      </w:pPr>
      <w:r>
        <w:rPr>
          <w:rStyle w:val="FootnoteReference"/>
        </w:rPr>
        <w:footnoteRef/>
      </w:r>
      <w:r>
        <w:t xml:space="preserve">  </w:t>
      </w:r>
      <w:r w:rsidRPr="003D0CA4">
        <w:rPr>
          <w:rFonts w:ascii="Arial" w:hAnsi="Arial" w:cs="Arial"/>
          <w:i/>
          <w:iCs/>
          <w:sz w:val="16"/>
          <w:szCs w:val="16"/>
          <w:lang w:val="en-US"/>
        </w:rPr>
        <w:t>Bato Star Fishing (Pty) Ltd v Minister of Environmental Affairs 2004 (4) SA 490 CC at para [45].</w:t>
      </w:r>
    </w:p>
  </w:footnote>
  <w:footnote w:id="47">
    <w:p w14:paraId="64777D0C" w14:textId="77777777" w:rsidR="006A39DE" w:rsidRPr="00FA2EC1" w:rsidRDefault="006A39DE" w:rsidP="008F7B89">
      <w:pPr>
        <w:pStyle w:val="FootnoteText"/>
        <w:snapToGrid w:val="0"/>
        <w:rPr>
          <w:rFonts w:ascii="Arial" w:hAnsi="Arial" w:cs="Arial"/>
          <w:i/>
          <w:iCs/>
          <w:sz w:val="16"/>
          <w:szCs w:val="16"/>
          <w:lang w:val="en-ZA"/>
        </w:rPr>
      </w:pPr>
      <w:r w:rsidRPr="00371A97">
        <w:rPr>
          <w:rStyle w:val="FootnoteReference"/>
          <w:rFonts w:ascii="Arial" w:hAnsi="Arial" w:cs="Arial"/>
          <w:i/>
          <w:iCs/>
          <w:sz w:val="16"/>
          <w:szCs w:val="16"/>
        </w:rPr>
        <w:footnoteRef/>
      </w:r>
      <w:r w:rsidRPr="00371A97">
        <w:rPr>
          <w:rFonts w:ascii="Arial" w:hAnsi="Arial" w:cs="Arial"/>
          <w:i/>
          <w:iCs/>
          <w:sz w:val="16"/>
          <w:szCs w:val="16"/>
        </w:rPr>
        <w:t xml:space="preserve">  </w:t>
      </w:r>
      <w:r w:rsidRPr="00FA2EC1">
        <w:rPr>
          <w:rFonts w:ascii="Arial" w:hAnsi="Arial" w:cs="Arial"/>
          <w:i/>
          <w:iCs/>
          <w:sz w:val="16"/>
          <w:szCs w:val="16"/>
        </w:rPr>
        <w:t>The applicant avers that the first respondent “reverse-engineered” these reasons.</w:t>
      </w:r>
    </w:p>
  </w:footnote>
  <w:footnote w:id="48">
    <w:p w14:paraId="570530C4" w14:textId="77777777" w:rsidR="006A39DE" w:rsidRPr="00FA2EC1" w:rsidRDefault="006A39DE" w:rsidP="008F7B89">
      <w:pPr>
        <w:pStyle w:val="FootnoteText"/>
        <w:snapToGrid w:val="0"/>
        <w:rPr>
          <w:rFonts w:ascii="Arial" w:hAnsi="Arial" w:cs="Arial"/>
          <w:i/>
          <w:iCs/>
          <w:sz w:val="16"/>
          <w:szCs w:val="16"/>
          <w:lang w:val="en-US"/>
        </w:rPr>
      </w:pPr>
      <w:r w:rsidRPr="00FA2EC1">
        <w:rPr>
          <w:rStyle w:val="FootnoteReference"/>
          <w:rFonts w:ascii="Arial" w:hAnsi="Arial" w:cs="Arial"/>
          <w:i/>
          <w:iCs/>
          <w:sz w:val="16"/>
          <w:szCs w:val="16"/>
        </w:rPr>
        <w:footnoteRef/>
      </w:r>
      <w:r w:rsidRPr="00FA2EC1">
        <w:rPr>
          <w:rFonts w:ascii="Arial" w:hAnsi="Arial" w:cs="Arial"/>
          <w:i/>
          <w:iCs/>
          <w:sz w:val="16"/>
          <w:szCs w:val="16"/>
        </w:rPr>
        <w:t xml:space="preserve">  The second respondent believed that the investigating committee’s decision was correct.</w:t>
      </w:r>
    </w:p>
  </w:footnote>
  <w:footnote w:id="49">
    <w:p w14:paraId="7D2CAF42" w14:textId="77777777" w:rsidR="006A39DE" w:rsidRPr="00FA2EC1" w:rsidRDefault="006A39DE" w:rsidP="006A39DE">
      <w:pPr>
        <w:pStyle w:val="FootnoteText"/>
        <w:rPr>
          <w:rFonts w:ascii="Arial" w:hAnsi="Arial" w:cs="Arial"/>
          <w:i/>
          <w:iCs/>
          <w:sz w:val="16"/>
          <w:szCs w:val="16"/>
          <w:lang w:val="en-US"/>
        </w:rPr>
      </w:pPr>
      <w:r w:rsidRPr="00FA2EC1">
        <w:rPr>
          <w:rStyle w:val="FootnoteReference"/>
          <w:rFonts w:ascii="Arial" w:hAnsi="Arial" w:cs="Arial"/>
          <w:i/>
          <w:iCs/>
          <w:sz w:val="16"/>
          <w:szCs w:val="16"/>
        </w:rPr>
        <w:footnoteRef/>
      </w:r>
      <w:r w:rsidRPr="00FA2EC1">
        <w:rPr>
          <w:rFonts w:ascii="Arial" w:hAnsi="Arial" w:cs="Arial"/>
          <w:i/>
          <w:iCs/>
          <w:sz w:val="16"/>
          <w:szCs w:val="16"/>
        </w:rPr>
        <w:t xml:space="preserve">  The second respondent supported and confirmed the decision by the investigating committee.</w:t>
      </w:r>
    </w:p>
  </w:footnote>
  <w:footnote w:id="50">
    <w:p w14:paraId="364C71EF" w14:textId="77777777" w:rsidR="006A39DE" w:rsidRPr="00FA2EC1" w:rsidRDefault="006A39DE" w:rsidP="006A39DE">
      <w:pPr>
        <w:pStyle w:val="FootnoteText"/>
        <w:rPr>
          <w:rFonts w:ascii="Arial" w:hAnsi="Arial" w:cs="Arial"/>
          <w:i/>
          <w:iCs/>
          <w:sz w:val="16"/>
          <w:szCs w:val="16"/>
          <w:lang w:val="en-US"/>
        </w:rPr>
      </w:pPr>
      <w:r w:rsidRPr="00FA2EC1">
        <w:rPr>
          <w:rStyle w:val="FootnoteReference"/>
          <w:rFonts w:ascii="Arial" w:hAnsi="Arial" w:cs="Arial"/>
          <w:sz w:val="16"/>
          <w:szCs w:val="16"/>
        </w:rPr>
        <w:footnoteRef/>
      </w:r>
      <w:r w:rsidRPr="00FA2EC1">
        <w:rPr>
          <w:rFonts w:ascii="Arial" w:hAnsi="Arial" w:cs="Arial"/>
          <w:sz w:val="16"/>
          <w:szCs w:val="16"/>
        </w:rPr>
        <w:t xml:space="preserve">  </w:t>
      </w:r>
      <w:r w:rsidRPr="00FA2EC1">
        <w:rPr>
          <w:rFonts w:ascii="Arial" w:hAnsi="Arial" w:cs="Arial"/>
          <w:i/>
          <w:iCs/>
          <w:sz w:val="16"/>
          <w:szCs w:val="16"/>
        </w:rPr>
        <w:t>The investigation procedure envisages the calling for books, records, and documents.</w:t>
      </w:r>
    </w:p>
  </w:footnote>
  <w:footnote w:id="51">
    <w:p w14:paraId="38C689A0" w14:textId="77777777" w:rsidR="00D6792D" w:rsidRPr="00F453BB" w:rsidRDefault="00D6792D" w:rsidP="00F453BB">
      <w:pPr>
        <w:pStyle w:val="FootnoteText"/>
        <w:tabs>
          <w:tab w:val="left" w:pos="142"/>
        </w:tabs>
        <w:rPr>
          <w:rFonts w:ascii="Arial" w:hAnsi="Arial" w:cs="Arial"/>
          <w:i/>
          <w:sz w:val="16"/>
          <w:szCs w:val="16"/>
          <w:lang w:val="en-ZA"/>
        </w:rPr>
      </w:pPr>
      <w:r w:rsidRPr="00F453BB">
        <w:rPr>
          <w:rStyle w:val="FootnoteReference"/>
          <w:rFonts w:ascii="Arial" w:hAnsi="Arial" w:cs="Arial"/>
          <w:sz w:val="16"/>
          <w:szCs w:val="16"/>
        </w:rPr>
        <w:footnoteRef/>
      </w:r>
      <w:r w:rsidRPr="00F453BB">
        <w:rPr>
          <w:rFonts w:ascii="Arial" w:hAnsi="Arial" w:cs="Arial"/>
          <w:sz w:val="16"/>
          <w:szCs w:val="16"/>
        </w:rPr>
        <w:t xml:space="preserve"> </w:t>
      </w:r>
      <w:r w:rsidR="00A44705">
        <w:rPr>
          <w:rFonts w:ascii="Arial" w:hAnsi="Arial" w:cs="Arial"/>
          <w:sz w:val="16"/>
          <w:szCs w:val="16"/>
        </w:rPr>
        <w:t xml:space="preserve"> </w:t>
      </w:r>
      <w:r w:rsidRPr="00F453BB">
        <w:rPr>
          <w:rFonts w:ascii="Arial" w:hAnsi="Arial" w:cs="Arial"/>
          <w:i/>
          <w:sz w:val="16"/>
          <w:szCs w:val="16"/>
          <w:lang w:val="en-ZA"/>
        </w:rPr>
        <w:t>Pepcor Retirement Fund v Financial Services Board 2003 (6) SA</w:t>
      </w:r>
      <w:r>
        <w:rPr>
          <w:rFonts w:ascii="Arial" w:hAnsi="Arial" w:cs="Arial"/>
          <w:i/>
          <w:sz w:val="16"/>
          <w:szCs w:val="16"/>
          <w:lang w:val="en-ZA"/>
        </w:rPr>
        <w:t xml:space="preserve"> (SCA) 38 at para [48].</w:t>
      </w:r>
    </w:p>
  </w:footnote>
  <w:footnote w:id="52">
    <w:p w14:paraId="339A9E83" w14:textId="7B7CCE11" w:rsidR="00A44705" w:rsidRPr="00F453BB" w:rsidRDefault="00A44705">
      <w:pPr>
        <w:pStyle w:val="FootnoteText"/>
        <w:rPr>
          <w:rFonts w:ascii="Arial" w:hAnsi="Arial" w:cs="Arial"/>
          <w:i/>
          <w:sz w:val="16"/>
          <w:szCs w:val="16"/>
          <w:lang w:val="en-ZA"/>
        </w:rPr>
      </w:pPr>
      <w:r>
        <w:rPr>
          <w:rStyle w:val="FootnoteReference"/>
        </w:rPr>
        <w:footnoteRef/>
      </w:r>
      <w:r>
        <w:t xml:space="preserve"> </w:t>
      </w:r>
      <w:r w:rsidR="000A065A">
        <w:t xml:space="preserve"> </w:t>
      </w:r>
      <w:r>
        <w:rPr>
          <w:rFonts w:ascii="Arial" w:hAnsi="Arial" w:cs="Arial"/>
          <w:i/>
          <w:sz w:val="16"/>
          <w:szCs w:val="16"/>
        </w:rPr>
        <w:t>Dumani v Nair 2013 (2) SA 274 (SCA) at para [32].</w:t>
      </w:r>
    </w:p>
  </w:footnote>
  <w:footnote w:id="53">
    <w:p w14:paraId="21F4D2A8" w14:textId="77777777" w:rsidR="00FB2D4B" w:rsidRPr="00634E82" w:rsidRDefault="00FB2D4B">
      <w:pPr>
        <w:pStyle w:val="FootnoteText"/>
        <w:rPr>
          <w:rFonts w:ascii="Arial" w:hAnsi="Arial" w:cs="Arial"/>
          <w:i/>
          <w:iCs/>
          <w:sz w:val="16"/>
          <w:szCs w:val="16"/>
          <w:lang w:val="en-US"/>
        </w:rPr>
      </w:pPr>
      <w:r w:rsidRPr="00634E82">
        <w:rPr>
          <w:rStyle w:val="FootnoteReference"/>
          <w:rFonts w:ascii="Arial" w:hAnsi="Arial" w:cs="Arial"/>
          <w:i/>
          <w:iCs/>
          <w:sz w:val="16"/>
          <w:szCs w:val="16"/>
        </w:rPr>
        <w:footnoteRef/>
      </w:r>
      <w:r w:rsidRPr="00634E82">
        <w:rPr>
          <w:rFonts w:ascii="Arial" w:hAnsi="Arial" w:cs="Arial"/>
          <w:i/>
          <w:iCs/>
          <w:sz w:val="16"/>
          <w:szCs w:val="16"/>
        </w:rPr>
        <w:t xml:space="preserve"> </w:t>
      </w:r>
      <w:r w:rsidR="00140132" w:rsidRPr="00634E82">
        <w:rPr>
          <w:rFonts w:ascii="Arial" w:hAnsi="Arial" w:cs="Arial"/>
          <w:i/>
          <w:iCs/>
          <w:sz w:val="16"/>
          <w:szCs w:val="16"/>
        </w:rPr>
        <w:t xml:space="preserve"> The distinction in our law between appeals and reviews continues to be significant.</w:t>
      </w:r>
    </w:p>
  </w:footnote>
  <w:footnote w:id="54">
    <w:p w14:paraId="48424CC0" w14:textId="77777777" w:rsidR="00634E82" w:rsidRPr="00634E82" w:rsidRDefault="00634E82">
      <w:pPr>
        <w:pStyle w:val="FootnoteText"/>
        <w:rPr>
          <w:rFonts w:ascii="Arial" w:hAnsi="Arial" w:cs="Arial"/>
          <w:i/>
          <w:iCs/>
          <w:sz w:val="16"/>
          <w:szCs w:val="16"/>
          <w:lang w:val="en-US"/>
        </w:rPr>
      </w:pPr>
      <w:r w:rsidRPr="00634E82">
        <w:rPr>
          <w:rStyle w:val="FootnoteReference"/>
          <w:rFonts w:ascii="Arial" w:hAnsi="Arial" w:cs="Arial"/>
          <w:i/>
          <w:iCs/>
          <w:sz w:val="16"/>
          <w:szCs w:val="16"/>
        </w:rPr>
        <w:footnoteRef/>
      </w:r>
      <w:r w:rsidRPr="00634E82">
        <w:rPr>
          <w:rFonts w:ascii="Arial" w:hAnsi="Arial" w:cs="Arial"/>
          <w:i/>
          <w:iCs/>
          <w:sz w:val="16"/>
          <w:szCs w:val="16"/>
        </w:rPr>
        <w:t xml:space="preserve">  This letter was written to the first respondent in response to the complaints by the applicant.</w:t>
      </w:r>
    </w:p>
  </w:footnote>
  <w:footnote w:id="55">
    <w:p w14:paraId="328733CC" w14:textId="77777777" w:rsidR="003D0CA4" w:rsidRPr="00634E82" w:rsidRDefault="003D0CA4">
      <w:pPr>
        <w:pStyle w:val="FootnoteText"/>
        <w:rPr>
          <w:rFonts w:ascii="Arial" w:hAnsi="Arial" w:cs="Arial"/>
          <w:i/>
          <w:iCs/>
          <w:sz w:val="16"/>
          <w:szCs w:val="16"/>
          <w:lang w:val="en-US"/>
        </w:rPr>
      </w:pPr>
      <w:r w:rsidRPr="00634E82">
        <w:rPr>
          <w:rStyle w:val="FootnoteReference"/>
          <w:rFonts w:ascii="Arial" w:hAnsi="Arial" w:cs="Arial"/>
          <w:i/>
          <w:iCs/>
          <w:sz w:val="16"/>
          <w:szCs w:val="16"/>
        </w:rPr>
        <w:footnoteRef/>
      </w:r>
      <w:r w:rsidRPr="00634E82">
        <w:rPr>
          <w:rFonts w:ascii="Arial" w:hAnsi="Arial" w:cs="Arial"/>
          <w:i/>
          <w:iCs/>
          <w:sz w:val="16"/>
          <w:szCs w:val="16"/>
        </w:rPr>
        <w:t xml:space="preserve"> </w:t>
      </w:r>
      <w:r w:rsidR="00634E82" w:rsidRPr="00634E82">
        <w:rPr>
          <w:rFonts w:ascii="Arial" w:hAnsi="Arial" w:cs="Arial"/>
          <w:i/>
          <w:iCs/>
          <w:sz w:val="16"/>
          <w:szCs w:val="16"/>
        </w:rPr>
        <w:t xml:space="preserve"> We understand that these threats never materialized.</w:t>
      </w:r>
    </w:p>
  </w:footnote>
  <w:footnote w:id="56">
    <w:p w14:paraId="643B4357" w14:textId="5700169A" w:rsidR="00141C87" w:rsidRPr="00141C87" w:rsidRDefault="00141C87">
      <w:pPr>
        <w:pStyle w:val="FootnoteText"/>
        <w:rPr>
          <w:rFonts w:ascii="Arial" w:hAnsi="Arial" w:cs="Arial"/>
          <w:i/>
          <w:iCs/>
          <w:sz w:val="16"/>
          <w:szCs w:val="16"/>
          <w:lang w:val="en-US"/>
        </w:rPr>
      </w:pPr>
      <w:r w:rsidRPr="00141C87">
        <w:rPr>
          <w:rStyle w:val="FootnoteReference"/>
          <w:rFonts w:ascii="Arial" w:hAnsi="Arial" w:cs="Arial"/>
          <w:i/>
          <w:iCs/>
          <w:sz w:val="16"/>
          <w:szCs w:val="16"/>
        </w:rPr>
        <w:footnoteRef/>
      </w:r>
      <w:r w:rsidRPr="00141C87">
        <w:rPr>
          <w:rFonts w:ascii="Arial" w:hAnsi="Arial" w:cs="Arial"/>
          <w:i/>
          <w:iCs/>
          <w:sz w:val="16"/>
          <w:szCs w:val="16"/>
        </w:rPr>
        <w:t xml:space="preserve"> </w:t>
      </w:r>
      <w:r w:rsidRPr="00141C87">
        <w:rPr>
          <w:rFonts w:ascii="Arial" w:hAnsi="Arial" w:cs="Arial"/>
          <w:i/>
          <w:iCs/>
          <w:sz w:val="16"/>
          <w:szCs w:val="16"/>
          <w:lang w:val="en-US"/>
        </w:rPr>
        <w:t xml:space="preserve"> It was not necessary to have made these allegations.</w:t>
      </w:r>
    </w:p>
  </w:footnote>
  <w:footnote w:id="57">
    <w:p w14:paraId="53D3C876" w14:textId="77777777" w:rsidR="00DC0A1B" w:rsidRPr="00141C87" w:rsidRDefault="00DC0A1B">
      <w:pPr>
        <w:pStyle w:val="FootnoteText"/>
        <w:rPr>
          <w:rFonts w:ascii="Arial" w:hAnsi="Arial" w:cs="Arial"/>
          <w:i/>
          <w:iCs/>
          <w:sz w:val="16"/>
          <w:szCs w:val="16"/>
          <w:lang w:val="en-US"/>
        </w:rPr>
      </w:pPr>
      <w:r w:rsidRPr="00141C87">
        <w:rPr>
          <w:rStyle w:val="FootnoteReference"/>
          <w:rFonts w:ascii="Arial" w:hAnsi="Arial" w:cs="Arial"/>
          <w:i/>
          <w:iCs/>
          <w:sz w:val="16"/>
          <w:szCs w:val="16"/>
        </w:rPr>
        <w:footnoteRef/>
      </w:r>
      <w:r w:rsidRPr="00141C87">
        <w:rPr>
          <w:rFonts w:ascii="Arial" w:hAnsi="Arial" w:cs="Arial"/>
          <w:i/>
          <w:iCs/>
          <w:sz w:val="16"/>
          <w:szCs w:val="16"/>
        </w:rPr>
        <w:t xml:space="preserve"> </w:t>
      </w:r>
      <w:r w:rsidR="00BE09EB" w:rsidRPr="00141C87">
        <w:rPr>
          <w:rFonts w:ascii="Arial" w:hAnsi="Arial" w:cs="Arial"/>
          <w:i/>
          <w:iCs/>
          <w:sz w:val="16"/>
          <w:szCs w:val="16"/>
        </w:rPr>
        <w:t xml:space="preserve"> The third respondent could have launched the application to strike out before the discovery documents were sought.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3737165"/>
      <w:docPartObj>
        <w:docPartGallery w:val="Page Numbers (Top of Page)"/>
        <w:docPartUnique/>
      </w:docPartObj>
    </w:sdtPr>
    <w:sdtEndPr>
      <w:rPr>
        <w:rStyle w:val="PageNumber"/>
      </w:rPr>
    </w:sdtEndPr>
    <w:sdtContent>
      <w:p w14:paraId="0B4E3949" w14:textId="77777777" w:rsidR="008E2EA5" w:rsidRDefault="008E2EA5" w:rsidP="006452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86548" w14:textId="77777777" w:rsidR="00861D0E" w:rsidRDefault="00861D0E" w:rsidP="008E2EA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2063446"/>
      <w:docPartObj>
        <w:docPartGallery w:val="Page Numbers (Top of Page)"/>
        <w:docPartUnique/>
      </w:docPartObj>
    </w:sdtPr>
    <w:sdtEndPr>
      <w:rPr>
        <w:rStyle w:val="PageNumber"/>
      </w:rPr>
    </w:sdtEndPr>
    <w:sdtContent>
      <w:p w14:paraId="5AE38628" w14:textId="472EAE48" w:rsidR="008E2EA5" w:rsidRDefault="008E2EA5" w:rsidP="006452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3BD9">
          <w:rPr>
            <w:rStyle w:val="PageNumber"/>
            <w:noProof/>
          </w:rPr>
          <w:t>15</w:t>
        </w:r>
        <w:r>
          <w:rPr>
            <w:rStyle w:val="PageNumber"/>
          </w:rPr>
          <w:fldChar w:fldCharType="end"/>
        </w:r>
      </w:p>
    </w:sdtContent>
  </w:sdt>
  <w:p w14:paraId="659E91D5" w14:textId="77777777" w:rsidR="00861D0E" w:rsidRPr="00861D0E" w:rsidRDefault="00861D0E" w:rsidP="008E2EA5">
    <w:pPr>
      <w:pStyle w:val="Header"/>
      <w:ind w:right="360"/>
      <w:rPr>
        <w:rFonts w:ascii="Arial" w:hAnsi="Arial" w:cs="Arial"/>
        <w:sz w:val="24"/>
        <w:szCs w:val="24"/>
      </w:rPr>
    </w:pPr>
  </w:p>
  <w:p w14:paraId="0F4D8866" w14:textId="77777777" w:rsidR="00861D0E" w:rsidRPr="00861D0E" w:rsidRDefault="00861D0E">
    <w:pPr>
      <w:pStyle w:val="Header"/>
      <w:rPr>
        <w:rFonts w:ascii="Arial" w:hAnsi="Arial" w:cs="Arial"/>
        <w:sz w:val="24"/>
        <w:szCs w:val="24"/>
      </w:rPr>
    </w:pPr>
  </w:p>
  <w:p w14:paraId="2C7679BD" w14:textId="77777777" w:rsidR="00EA7962" w:rsidRPr="00861D0E" w:rsidRDefault="00EA7962">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C550" w14:textId="77777777" w:rsidR="00861D0E" w:rsidRDefault="00861D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51E"/>
    <w:multiLevelType w:val="hybridMultilevel"/>
    <w:tmpl w:val="03FC5AAC"/>
    <w:lvl w:ilvl="0" w:tplc="4760C0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B8227E4"/>
    <w:multiLevelType w:val="hybridMultilevel"/>
    <w:tmpl w:val="7EF2B270"/>
    <w:lvl w:ilvl="0" w:tplc="F332832A">
      <w:start w:val="1"/>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E0F78A0"/>
    <w:multiLevelType w:val="hybridMultilevel"/>
    <w:tmpl w:val="883008FA"/>
    <w:lvl w:ilvl="0" w:tplc="B3F42C2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E6F2CC6"/>
    <w:multiLevelType w:val="hybridMultilevel"/>
    <w:tmpl w:val="EB886CB8"/>
    <w:lvl w:ilvl="0" w:tplc="951CD48E">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15:restartNumberingAfterBreak="0">
    <w:nsid w:val="4B356408"/>
    <w:multiLevelType w:val="hybridMultilevel"/>
    <w:tmpl w:val="49989E72"/>
    <w:lvl w:ilvl="0" w:tplc="173EFD40">
      <w:start w:val="1"/>
      <w:numFmt w:val="lowerRoman"/>
      <w:lvlText w:val="(%1)"/>
      <w:lvlJc w:val="left"/>
      <w:pPr>
        <w:ind w:left="4122" w:hanging="720"/>
      </w:pPr>
      <w:rPr>
        <w:rFonts w:hint="default"/>
      </w:rPr>
    </w:lvl>
    <w:lvl w:ilvl="1" w:tplc="1C090019" w:tentative="1">
      <w:start w:val="1"/>
      <w:numFmt w:val="lowerLetter"/>
      <w:lvlText w:val="%2."/>
      <w:lvlJc w:val="left"/>
      <w:pPr>
        <w:ind w:left="4482" w:hanging="360"/>
      </w:pPr>
    </w:lvl>
    <w:lvl w:ilvl="2" w:tplc="1C09001B" w:tentative="1">
      <w:start w:val="1"/>
      <w:numFmt w:val="lowerRoman"/>
      <w:lvlText w:val="%3."/>
      <w:lvlJc w:val="right"/>
      <w:pPr>
        <w:ind w:left="5202" w:hanging="180"/>
      </w:pPr>
    </w:lvl>
    <w:lvl w:ilvl="3" w:tplc="1C09000F" w:tentative="1">
      <w:start w:val="1"/>
      <w:numFmt w:val="decimal"/>
      <w:lvlText w:val="%4."/>
      <w:lvlJc w:val="left"/>
      <w:pPr>
        <w:ind w:left="5922" w:hanging="360"/>
      </w:pPr>
    </w:lvl>
    <w:lvl w:ilvl="4" w:tplc="1C090019" w:tentative="1">
      <w:start w:val="1"/>
      <w:numFmt w:val="lowerLetter"/>
      <w:lvlText w:val="%5."/>
      <w:lvlJc w:val="left"/>
      <w:pPr>
        <w:ind w:left="6642" w:hanging="360"/>
      </w:pPr>
    </w:lvl>
    <w:lvl w:ilvl="5" w:tplc="1C09001B" w:tentative="1">
      <w:start w:val="1"/>
      <w:numFmt w:val="lowerRoman"/>
      <w:lvlText w:val="%6."/>
      <w:lvlJc w:val="right"/>
      <w:pPr>
        <w:ind w:left="7362" w:hanging="180"/>
      </w:pPr>
    </w:lvl>
    <w:lvl w:ilvl="6" w:tplc="1C09000F" w:tentative="1">
      <w:start w:val="1"/>
      <w:numFmt w:val="decimal"/>
      <w:lvlText w:val="%7."/>
      <w:lvlJc w:val="left"/>
      <w:pPr>
        <w:ind w:left="8082" w:hanging="360"/>
      </w:pPr>
    </w:lvl>
    <w:lvl w:ilvl="7" w:tplc="1C090019" w:tentative="1">
      <w:start w:val="1"/>
      <w:numFmt w:val="lowerLetter"/>
      <w:lvlText w:val="%8."/>
      <w:lvlJc w:val="left"/>
      <w:pPr>
        <w:ind w:left="8802" w:hanging="360"/>
      </w:pPr>
    </w:lvl>
    <w:lvl w:ilvl="8" w:tplc="1C09001B" w:tentative="1">
      <w:start w:val="1"/>
      <w:numFmt w:val="lowerRoman"/>
      <w:lvlText w:val="%9."/>
      <w:lvlJc w:val="right"/>
      <w:pPr>
        <w:ind w:left="9522" w:hanging="180"/>
      </w:pPr>
    </w:lvl>
  </w:abstractNum>
  <w:abstractNum w:abstractNumId="5" w15:restartNumberingAfterBreak="0">
    <w:nsid w:val="5CCE1D40"/>
    <w:multiLevelType w:val="hybridMultilevel"/>
    <w:tmpl w:val="7EE454EE"/>
    <w:lvl w:ilvl="0" w:tplc="A7DC27EA">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60F977B3"/>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6A35E2"/>
    <w:multiLevelType w:val="hybridMultilevel"/>
    <w:tmpl w:val="728AA76C"/>
    <w:lvl w:ilvl="0" w:tplc="20C8F08A">
      <w:start w:val="1"/>
      <w:numFmt w:val="lowerLetter"/>
      <w:lvlText w:val="(%1)"/>
      <w:lvlJc w:val="left"/>
      <w:pPr>
        <w:ind w:left="3195" w:hanging="36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8" w15:restartNumberingAfterBreak="0">
    <w:nsid w:val="75B61EBC"/>
    <w:multiLevelType w:val="hybridMultilevel"/>
    <w:tmpl w:val="F892B8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74E3FE1"/>
    <w:multiLevelType w:val="hybridMultilevel"/>
    <w:tmpl w:val="5C50F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62"/>
    <w:rsid w:val="00001F4F"/>
    <w:rsid w:val="00012AE5"/>
    <w:rsid w:val="00020976"/>
    <w:rsid w:val="000211BA"/>
    <w:rsid w:val="0002151A"/>
    <w:rsid w:val="0002367F"/>
    <w:rsid w:val="00030477"/>
    <w:rsid w:val="00041BCE"/>
    <w:rsid w:val="000429B8"/>
    <w:rsid w:val="00061D83"/>
    <w:rsid w:val="00063CBA"/>
    <w:rsid w:val="00065B60"/>
    <w:rsid w:val="00082DF8"/>
    <w:rsid w:val="0008500E"/>
    <w:rsid w:val="0008518C"/>
    <w:rsid w:val="000955CE"/>
    <w:rsid w:val="000A065A"/>
    <w:rsid w:val="000A6FB2"/>
    <w:rsid w:val="000B421A"/>
    <w:rsid w:val="000F51B9"/>
    <w:rsid w:val="00102CCA"/>
    <w:rsid w:val="00103E21"/>
    <w:rsid w:val="001115A6"/>
    <w:rsid w:val="001115AF"/>
    <w:rsid w:val="001165B0"/>
    <w:rsid w:val="00117560"/>
    <w:rsid w:val="00121632"/>
    <w:rsid w:val="00127BC3"/>
    <w:rsid w:val="00130B9D"/>
    <w:rsid w:val="00135579"/>
    <w:rsid w:val="001367E3"/>
    <w:rsid w:val="00140132"/>
    <w:rsid w:val="00141C87"/>
    <w:rsid w:val="00147595"/>
    <w:rsid w:val="001542C5"/>
    <w:rsid w:val="001547A4"/>
    <w:rsid w:val="0017051F"/>
    <w:rsid w:val="00181C26"/>
    <w:rsid w:val="00183DE4"/>
    <w:rsid w:val="001A0BE4"/>
    <w:rsid w:val="001A134E"/>
    <w:rsid w:val="001B3EF0"/>
    <w:rsid w:val="001B6352"/>
    <w:rsid w:val="001B6956"/>
    <w:rsid w:val="001C4448"/>
    <w:rsid w:val="001C5F0A"/>
    <w:rsid w:val="001D7CD0"/>
    <w:rsid w:val="001F4792"/>
    <w:rsid w:val="001F76E7"/>
    <w:rsid w:val="001F7A77"/>
    <w:rsid w:val="00225F42"/>
    <w:rsid w:val="00231C27"/>
    <w:rsid w:val="00232A67"/>
    <w:rsid w:val="00241471"/>
    <w:rsid w:val="00243EF8"/>
    <w:rsid w:val="002540F9"/>
    <w:rsid w:val="00254CBF"/>
    <w:rsid w:val="00270A3A"/>
    <w:rsid w:val="00271F5D"/>
    <w:rsid w:val="00286153"/>
    <w:rsid w:val="00286B5B"/>
    <w:rsid w:val="002A15F7"/>
    <w:rsid w:val="002A47E4"/>
    <w:rsid w:val="002B23BD"/>
    <w:rsid w:val="002B6BEA"/>
    <w:rsid w:val="002C1432"/>
    <w:rsid w:val="002C6125"/>
    <w:rsid w:val="002D0CA8"/>
    <w:rsid w:val="002E3458"/>
    <w:rsid w:val="002E54C7"/>
    <w:rsid w:val="002F3012"/>
    <w:rsid w:val="00305498"/>
    <w:rsid w:val="003071C8"/>
    <w:rsid w:val="003135C9"/>
    <w:rsid w:val="00315EA4"/>
    <w:rsid w:val="003162AF"/>
    <w:rsid w:val="003207FF"/>
    <w:rsid w:val="00335118"/>
    <w:rsid w:val="0035132E"/>
    <w:rsid w:val="003540A2"/>
    <w:rsid w:val="00355FD9"/>
    <w:rsid w:val="00356A45"/>
    <w:rsid w:val="003575E9"/>
    <w:rsid w:val="00362BCF"/>
    <w:rsid w:val="0036745E"/>
    <w:rsid w:val="00371A97"/>
    <w:rsid w:val="003752F8"/>
    <w:rsid w:val="0038762F"/>
    <w:rsid w:val="00390E24"/>
    <w:rsid w:val="00395119"/>
    <w:rsid w:val="003A28AD"/>
    <w:rsid w:val="003A2A27"/>
    <w:rsid w:val="003A5B2B"/>
    <w:rsid w:val="003A7BB9"/>
    <w:rsid w:val="003C3A05"/>
    <w:rsid w:val="003C46C4"/>
    <w:rsid w:val="003C61FD"/>
    <w:rsid w:val="003D0CA4"/>
    <w:rsid w:val="003D411A"/>
    <w:rsid w:val="003E33A0"/>
    <w:rsid w:val="00401E13"/>
    <w:rsid w:val="0040568D"/>
    <w:rsid w:val="004065F9"/>
    <w:rsid w:val="004303C3"/>
    <w:rsid w:val="004313AC"/>
    <w:rsid w:val="00432C86"/>
    <w:rsid w:val="00451E98"/>
    <w:rsid w:val="00467CE1"/>
    <w:rsid w:val="0047376F"/>
    <w:rsid w:val="00473B19"/>
    <w:rsid w:val="00474BE9"/>
    <w:rsid w:val="00477AD0"/>
    <w:rsid w:val="004819C7"/>
    <w:rsid w:val="00482D21"/>
    <w:rsid w:val="004923AF"/>
    <w:rsid w:val="00492BA3"/>
    <w:rsid w:val="004978E6"/>
    <w:rsid w:val="004B11B8"/>
    <w:rsid w:val="004C01DF"/>
    <w:rsid w:val="004C7D20"/>
    <w:rsid w:val="004D081D"/>
    <w:rsid w:val="004E55E8"/>
    <w:rsid w:val="004E59C2"/>
    <w:rsid w:val="004F0CDB"/>
    <w:rsid w:val="004F6284"/>
    <w:rsid w:val="005065FD"/>
    <w:rsid w:val="0051000C"/>
    <w:rsid w:val="00513889"/>
    <w:rsid w:val="00516A74"/>
    <w:rsid w:val="00517C07"/>
    <w:rsid w:val="00544347"/>
    <w:rsid w:val="00545490"/>
    <w:rsid w:val="005464EF"/>
    <w:rsid w:val="0055271E"/>
    <w:rsid w:val="00562A85"/>
    <w:rsid w:val="00567785"/>
    <w:rsid w:val="00570EC5"/>
    <w:rsid w:val="005936EC"/>
    <w:rsid w:val="00594705"/>
    <w:rsid w:val="00595DE7"/>
    <w:rsid w:val="005A6866"/>
    <w:rsid w:val="005B0C39"/>
    <w:rsid w:val="005C53C2"/>
    <w:rsid w:val="005C66D2"/>
    <w:rsid w:val="005D773B"/>
    <w:rsid w:val="005E1D66"/>
    <w:rsid w:val="005E3DF8"/>
    <w:rsid w:val="00612DFD"/>
    <w:rsid w:val="0062126D"/>
    <w:rsid w:val="00624717"/>
    <w:rsid w:val="00634E82"/>
    <w:rsid w:val="00636B60"/>
    <w:rsid w:val="00645ED3"/>
    <w:rsid w:val="00655DCE"/>
    <w:rsid w:val="00674CC1"/>
    <w:rsid w:val="00674FC5"/>
    <w:rsid w:val="0067591E"/>
    <w:rsid w:val="00686B94"/>
    <w:rsid w:val="0068780B"/>
    <w:rsid w:val="0069334C"/>
    <w:rsid w:val="0069400C"/>
    <w:rsid w:val="00694028"/>
    <w:rsid w:val="00696392"/>
    <w:rsid w:val="006A39DE"/>
    <w:rsid w:val="006B3283"/>
    <w:rsid w:val="006B7775"/>
    <w:rsid w:val="006C1EF9"/>
    <w:rsid w:val="006C2703"/>
    <w:rsid w:val="006C2894"/>
    <w:rsid w:val="006C6143"/>
    <w:rsid w:val="006D6C54"/>
    <w:rsid w:val="00711848"/>
    <w:rsid w:val="0071299A"/>
    <w:rsid w:val="00721B38"/>
    <w:rsid w:val="00722B30"/>
    <w:rsid w:val="00740E08"/>
    <w:rsid w:val="007433CD"/>
    <w:rsid w:val="00750174"/>
    <w:rsid w:val="00751333"/>
    <w:rsid w:val="0075682C"/>
    <w:rsid w:val="0075698C"/>
    <w:rsid w:val="007571B0"/>
    <w:rsid w:val="00761C76"/>
    <w:rsid w:val="007671FC"/>
    <w:rsid w:val="00767889"/>
    <w:rsid w:val="007710D9"/>
    <w:rsid w:val="00796C44"/>
    <w:rsid w:val="007A7EB1"/>
    <w:rsid w:val="007B00C1"/>
    <w:rsid w:val="007C263A"/>
    <w:rsid w:val="007C2C19"/>
    <w:rsid w:val="007C55A7"/>
    <w:rsid w:val="007D0C98"/>
    <w:rsid w:val="007D2638"/>
    <w:rsid w:val="007D5B94"/>
    <w:rsid w:val="007E0AE3"/>
    <w:rsid w:val="007E1265"/>
    <w:rsid w:val="007E1604"/>
    <w:rsid w:val="007E60E0"/>
    <w:rsid w:val="007F4867"/>
    <w:rsid w:val="007F4A46"/>
    <w:rsid w:val="00805200"/>
    <w:rsid w:val="00806BE4"/>
    <w:rsid w:val="00806F98"/>
    <w:rsid w:val="0082339C"/>
    <w:rsid w:val="008327E1"/>
    <w:rsid w:val="008447D8"/>
    <w:rsid w:val="00847024"/>
    <w:rsid w:val="00860AC2"/>
    <w:rsid w:val="00861D0E"/>
    <w:rsid w:val="008620CC"/>
    <w:rsid w:val="008671FA"/>
    <w:rsid w:val="008710A3"/>
    <w:rsid w:val="00876809"/>
    <w:rsid w:val="00876995"/>
    <w:rsid w:val="008807EC"/>
    <w:rsid w:val="00882100"/>
    <w:rsid w:val="00885B39"/>
    <w:rsid w:val="008A6575"/>
    <w:rsid w:val="008B0FC1"/>
    <w:rsid w:val="008B4B89"/>
    <w:rsid w:val="008B5E04"/>
    <w:rsid w:val="008C5CFB"/>
    <w:rsid w:val="008D5734"/>
    <w:rsid w:val="008D7720"/>
    <w:rsid w:val="008E1051"/>
    <w:rsid w:val="008E2EA5"/>
    <w:rsid w:val="008E4118"/>
    <w:rsid w:val="008E5EE4"/>
    <w:rsid w:val="008E6954"/>
    <w:rsid w:val="008F7B89"/>
    <w:rsid w:val="00903728"/>
    <w:rsid w:val="00903B12"/>
    <w:rsid w:val="00904398"/>
    <w:rsid w:val="00905801"/>
    <w:rsid w:val="00905CBC"/>
    <w:rsid w:val="00907DCE"/>
    <w:rsid w:val="0091344F"/>
    <w:rsid w:val="0092371D"/>
    <w:rsid w:val="009242EE"/>
    <w:rsid w:val="009245DE"/>
    <w:rsid w:val="0093791E"/>
    <w:rsid w:val="00941E7C"/>
    <w:rsid w:val="0095528C"/>
    <w:rsid w:val="0096256C"/>
    <w:rsid w:val="009706A4"/>
    <w:rsid w:val="00991FEF"/>
    <w:rsid w:val="00993B62"/>
    <w:rsid w:val="009A6927"/>
    <w:rsid w:val="009B0D6D"/>
    <w:rsid w:val="009B36E5"/>
    <w:rsid w:val="009C0A59"/>
    <w:rsid w:val="009C3B6F"/>
    <w:rsid w:val="009D41C8"/>
    <w:rsid w:val="009E3F35"/>
    <w:rsid w:val="009E748A"/>
    <w:rsid w:val="009F091B"/>
    <w:rsid w:val="00A00B37"/>
    <w:rsid w:val="00A0210E"/>
    <w:rsid w:val="00A0440E"/>
    <w:rsid w:val="00A35413"/>
    <w:rsid w:val="00A44705"/>
    <w:rsid w:val="00A542DA"/>
    <w:rsid w:val="00A678E9"/>
    <w:rsid w:val="00A7548D"/>
    <w:rsid w:val="00A76569"/>
    <w:rsid w:val="00A9051F"/>
    <w:rsid w:val="00AC5253"/>
    <w:rsid w:val="00AC5A6E"/>
    <w:rsid w:val="00AC733A"/>
    <w:rsid w:val="00AC7DA3"/>
    <w:rsid w:val="00AD2F9D"/>
    <w:rsid w:val="00AD40FC"/>
    <w:rsid w:val="00AE03B6"/>
    <w:rsid w:val="00AE1863"/>
    <w:rsid w:val="00AF4AB1"/>
    <w:rsid w:val="00AF7ABD"/>
    <w:rsid w:val="00B01BBF"/>
    <w:rsid w:val="00B0650D"/>
    <w:rsid w:val="00B1109F"/>
    <w:rsid w:val="00B167F4"/>
    <w:rsid w:val="00B22340"/>
    <w:rsid w:val="00B273C0"/>
    <w:rsid w:val="00B34A27"/>
    <w:rsid w:val="00B374D4"/>
    <w:rsid w:val="00B55F19"/>
    <w:rsid w:val="00B61003"/>
    <w:rsid w:val="00B64CD8"/>
    <w:rsid w:val="00B70E9F"/>
    <w:rsid w:val="00B72E6D"/>
    <w:rsid w:val="00B76447"/>
    <w:rsid w:val="00B76D52"/>
    <w:rsid w:val="00B83459"/>
    <w:rsid w:val="00B83F0E"/>
    <w:rsid w:val="00B96574"/>
    <w:rsid w:val="00BA4B5C"/>
    <w:rsid w:val="00BB59A6"/>
    <w:rsid w:val="00BD15C6"/>
    <w:rsid w:val="00BE09EB"/>
    <w:rsid w:val="00BE4512"/>
    <w:rsid w:val="00BF39ED"/>
    <w:rsid w:val="00BF63B5"/>
    <w:rsid w:val="00C13AEA"/>
    <w:rsid w:val="00C1551F"/>
    <w:rsid w:val="00C25BD2"/>
    <w:rsid w:val="00C272FC"/>
    <w:rsid w:val="00C33C2D"/>
    <w:rsid w:val="00C33E91"/>
    <w:rsid w:val="00C35462"/>
    <w:rsid w:val="00C40FBF"/>
    <w:rsid w:val="00C4770E"/>
    <w:rsid w:val="00C740B3"/>
    <w:rsid w:val="00C80613"/>
    <w:rsid w:val="00C82E0E"/>
    <w:rsid w:val="00C94EC9"/>
    <w:rsid w:val="00CA2BA5"/>
    <w:rsid w:val="00CB4A26"/>
    <w:rsid w:val="00CC08AD"/>
    <w:rsid w:val="00CC677B"/>
    <w:rsid w:val="00CF3A20"/>
    <w:rsid w:val="00CF7FBA"/>
    <w:rsid w:val="00D03CD6"/>
    <w:rsid w:val="00D11182"/>
    <w:rsid w:val="00D15FED"/>
    <w:rsid w:val="00D317C7"/>
    <w:rsid w:val="00D32156"/>
    <w:rsid w:val="00D572CF"/>
    <w:rsid w:val="00D6792D"/>
    <w:rsid w:val="00D73273"/>
    <w:rsid w:val="00D739E4"/>
    <w:rsid w:val="00D816A8"/>
    <w:rsid w:val="00DA2E7A"/>
    <w:rsid w:val="00DA7227"/>
    <w:rsid w:val="00DB4443"/>
    <w:rsid w:val="00DC0A1B"/>
    <w:rsid w:val="00DC491E"/>
    <w:rsid w:val="00DF071E"/>
    <w:rsid w:val="00DF1223"/>
    <w:rsid w:val="00DF2E53"/>
    <w:rsid w:val="00DF398F"/>
    <w:rsid w:val="00E205CE"/>
    <w:rsid w:val="00E211DF"/>
    <w:rsid w:val="00E22F98"/>
    <w:rsid w:val="00E23AC5"/>
    <w:rsid w:val="00E245DA"/>
    <w:rsid w:val="00E325C6"/>
    <w:rsid w:val="00E33DB0"/>
    <w:rsid w:val="00E3555A"/>
    <w:rsid w:val="00E407DB"/>
    <w:rsid w:val="00E504F0"/>
    <w:rsid w:val="00E5373C"/>
    <w:rsid w:val="00E53F54"/>
    <w:rsid w:val="00E65D96"/>
    <w:rsid w:val="00E813A9"/>
    <w:rsid w:val="00E85F6A"/>
    <w:rsid w:val="00EA1ADB"/>
    <w:rsid w:val="00EA479E"/>
    <w:rsid w:val="00EA7962"/>
    <w:rsid w:val="00EA7D25"/>
    <w:rsid w:val="00EB2626"/>
    <w:rsid w:val="00EC03A6"/>
    <w:rsid w:val="00EE14EA"/>
    <w:rsid w:val="00EE34C0"/>
    <w:rsid w:val="00F05FCB"/>
    <w:rsid w:val="00F17109"/>
    <w:rsid w:val="00F204D2"/>
    <w:rsid w:val="00F222C5"/>
    <w:rsid w:val="00F35418"/>
    <w:rsid w:val="00F43AFB"/>
    <w:rsid w:val="00F453BB"/>
    <w:rsid w:val="00F47225"/>
    <w:rsid w:val="00F502E6"/>
    <w:rsid w:val="00F54088"/>
    <w:rsid w:val="00F57BFD"/>
    <w:rsid w:val="00F65C19"/>
    <w:rsid w:val="00F74702"/>
    <w:rsid w:val="00F804E7"/>
    <w:rsid w:val="00F85438"/>
    <w:rsid w:val="00F866A7"/>
    <w:rsid w:val="00F874F4"/>
    <w:rsid w:val="00F93C18"/>
    <w:rsid w:val="00FA2EC1"/>
    <w:rsid w:val="00FA526F"/>
    <w:rsid w:val="00FA5D30"/>
    <w:rsid w:val="00FB0A36"/>
    <w:rsid w:val="00FB2D4B"/>
    <w:rsid w:val="00FB4827"/>
    <w:rsid w:val="00FB64CC"/>
    <w:rsid w:val="00FC0D89"/>
    <w:rsid w:val="00FC0D95"/>
    <w:rsid w:val="00FC0F86"/>
    <w:rsid w:val="00FC1E33"/>
    <w:rsid w:val="00FC3BD9"/>
    <w:rsid w:val="00FD6709"/>
    <w:rsid w:val="00FD69CA"/>
    <w:rsid w:val="00FE061C"/>
    <w:rsid w:val="00FF13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8DCD"/>
  <w15:chartTrackingRefBased/>
  <w15:docId w15:val="{E8AB57AA-632D-44F3-9146-C2466A9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6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62"/>
    <w:pPr>
      <w:tabs>
        <w:tab w:val="center" w:pos="4513"/>
        <w:tab w:val="right" w:pos="9026"/>
      </w:tabs>
    </w:pPr>
  </w:style>
  <w:style w:type="character" w:customStyle="1" w:styleId="HeaderChar">
    <w:name w:val="Header Char"/>
    <w:basedOn w:val="DefaultParagraphFont"/>
    <w:link w:val="Header"/>
    <w:uiPriority w:val="99"/>
    <w:rsid w:val="00EA796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A7962"/>
    <w:pPr>
      <w:tabs>
        <w:tab w:val="center" w:pos="4513"/>
        <w:tab w:val="right" w:pos="9026"/>
      </w:tabs>
    </w:pPr>
  </w:style>
  <w:style w:type="character" w:customStyle="1" w:styleId="FooterChar">
    <w:name w:val="Footer Char"/>
    <w:basedOn w:val="DefaultParagraphFont"/>
    <w:link w:val="Footer"/>
    <w:uiPriority w:val="99"/>
    <w:rsid w:val="00EA7962"/>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3752F8"/>
    <w:rPr>
      <w:color w:val="0563C1" w:themeColor="hyperlink"/>
      <w:u w:val="single"/>
    </w:rPr>
  </w:style>
  <w:style w:type="character" w:customStyle="1" w:styleId="UnresolvedMention1">
    <w:name w:val="Unresolved Mention1"/>
    <w:basedOn w:val="DefaultParagraphFont"/>
    <w:uiPriority w:val="99"/>
    <w:semiHidden/>
    <w:unhideWhenUsed/>
    <w:rsid w:val="00A678E9"/>
    <w:rPr>
      <w:color w:val="605E5C"/>
      <w:shd w:val="clear" w:color="auto" w:fill="E1DFDD"/>
    </w:rPr>
  </w:style>
  <w:style w:type="paragraph" w:styleId="Revision">
    <w:name w:val="Revision"/>
    <w:hidden/>
    <w:uiPriority w:val="99"/>
    <w:semiHidden/>
    <w:rsid w:val="001F4792"/>
    <w:pPr>
      <w:spacing w:after="0" w:line="240" w:lineRule="auto"/>
    </w:pPr>
    <w:rPr>
      <w:rFonts w:ascii="Times New Roman" w:eastAsia="Times New Roman" w:hAnsi="Times New Roman" w:cs="Times New Roman"/>
      <w:sz w:val="20"/>
      <w:szCs w:val="20"/>
      <w:lang w:val="en-GB"/>
    </w:rPr>
  </w:style>
  <w:style w:type="paragraph" w:styleId="FootnoteText">
    <w:name w:val="footnote text"/>
    <w:aliases w:val=" Char Char Char, Char Char,Char Char Char,Char Char,Footnote Text Char2,Footnote Text Char Char1,Footnote Text Char1 Char Char,Footnote Text Char Char Char Char,Footnote Text Char2 Char1 Char Char Char"/>
    <w:basedOn w:val="Normal"/>
    <w:link w:val="FootnoteTextChar"/>
    <w:uiPriority w:val="99"/>
    <w:unhideWhenUsed/>
    <w:qFormat/>
    <w:rsid w:val="001F4792"/>
  </w:style>
  <w:style w:type="character" w:customStyle="1" w:styleId="FootnoteTextChar">
    <w:name w:val="Footnote Text Char"/>
    <w:aliases w:val=" Char Char Char Char, Char Char Char1,Char Char Char Char,Char Char Char1,Footnote Text Char2 Char,Footnote Text Char Char1 Char,Footnote Text Char1 Char Char Char,Footnote Text Char Char Char Char Char"/>
    <w:basedOn w:val="DefaultParagraphFont"/>
    <w:link w:val="FootnoteText"/>
    <w:uiPriority w:val="99"/>
    <w:rsid w:val="001F4792"/>
    <w:rPr>
      <w:rFonts w:ascii="Times New Roman" w:eastAsia="Times New Roman" w:hAnsi="Times New Roman" w:cs="Times New Roman"/>
      <w:sz w:val="20"/>
      <w:szCs w:val="20"/>
      <w:lang w:val="en-GB"/>
    </w:rPr>
  </w:style>
  <w:style w:type="character" w:styleId="FootnoteReference">
    <w:name w:val="footnote reference"/>
    <w:aliases w:val="Footnote Reference + Superscript"/>
    <w:basedOn w:val="DefaultParagraphFont"/>
    <w:uiPriority w:val="99"/>
    <w:unhideWhenUsed/>
    <w:rsid w:val="001F4792"/>
    <w:rPr>
      <w:vertAlign w:val="superscript"/>
    </w:rPr>
  </w:style>
  <w:style w:type="paragraph" w:styleId="ListParagraph">
    <w:name w:val="List Paragraph"/>
    <w:basedOn w:val="Normal"/>
    <w:uiPriority w:val="34"/>
    <w:qFormat/>
    <w:rsid w:val="00492BA3"/>
    <w:pPr>
      <w:ind w:left="720"/>
      <w:contextualSpacing/>
    </w:pPr>
  </w:style>
  <w:style w:type="character" w:customStyle="1" w:styleId="UnresolvedMention">
    <w:name w:val="Unresolved Mention"/>
    <w:basedOn w:val="DefaultParagraphFont"/>
    <w:uiPriority w:val="99"/>
    <w:semiHidden/>
    <w:unhideWhenUsed/>
    <w:rsid w:val="008C5CFB"/>
    <w:rPr>
      <w:color w:val="605E5C"/>
      <w:shd w:val="clear" w:color="auto" w:fill="E1DFDD"/>
    </w:rPr>
  </w:style>
  <w:style w:type="character" w:styleId="PageNumber">
    <w:name w:val="page number"/>
    <w:basedOn w:val="DefaultParagraphFont"/>
    <w:uiPriority w:val="99"/>
    <w:semiHidden/>
    <w:unhideWhenUsed/>
    <w:rsid w:val="008E2EA5"/>
  </w:style>
  <w:style w:type="character" w:customStyle="1" w:styleId="apple-converted-space">
    <w:name w:val="apple-converted-space"/>
    <w:basedOn w:val="DefaultParagraphFont"/>
    <w:rsid w:val="000211BA"/>
  </w:style>
  <w:style w:type="paragraph" w:styleId="BalloonText">
    <w:name w:val="Balloon Text"/>
    <w:basedOn w:val="Normal"/>
    <w:link w:val="BalloonTextChar"/>
    <w:uiPriority w:val="99"/>
    <w:semiHidden/>
    <w:unhideWhenUsed/>
    <w:rsid w:val="00C35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6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A39DE"/>
    <w:rPr>
      <w:sz w:val="16"/>
      <w:szCs w:val="16"/>
    </w:rPr>
  </w:style>
  <w:style w:type="paragraph" w:styleId="CommentText">
    <w:name w:val="annotation text"/>
    <w:basedOn w:val="Normal"/>
    <w:link w:val="CommentTextChar"/>
    <w:uiPriority w:val="99"/>
    <w:semiHidden/>
    <w:unhideWhenUsed/>
    <w:rsid w:val="006A39DE"/>
  </w:style>
  <w:style w:type="character" w:customStyle="1" w:styleId="CommentTextChar">
    <w:name w:val="Comment Text Char"/>
    <w:basedOn w:val="DefaultParagraphFont"/>
    <w:link w:val="CommentText"/>
    <w:uiPriority w:val="99"/>
    <w:semiHidden/>
    <w:rsid w:val="006A39D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39DE"/>
    <w:rPr>
      <w:b/>
      <w:bCs/>
    </w:rPr>
  </w:style>
  <w:style w:type="character" w:customStyle="1" w:styleId="CommentSubjectChar">
    <w:name w:val="Comment Subject Char"/>
    <w:basedOn w:val="CommentTextChar"/>
    <w:link w:val="CommentSubject"/>
    <w:uiPriority w:val="99"/>
    <w:semiHidden/>
    <w:rsid w:val="006A39D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E01828-AA23-1745-8A16-BF1B46828F96}">
  <we:reference id="wa200005502" version="1.0.0.11" store="en-GB" storeType="OMEX"/>
  <we:alternateReferences>
    <we:reference id="wa200005502" version="1.0.0.11" store="WA200005502" storeType="OMEX"/>
  </we:alternateReferences>
  <we:properties>
    <we:property name="docId" value="&quot;k3pAiNOUll5nvl3315t6L&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6" ma:contentTypeDescription="Create a new document." ma:contentTypeScope="" ma:versionID="03627f27f14680e99e24580946c100f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54899b9d9df0913c6e48576029ddb2b6"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15A7-6734-412A-89A9-531EEE810D25}">
  <ds:schemaRefs>
    <ds:schemaRef ds:uri="http://schemas.microsoft.com/sharepoint/v3/contenttype/forms"/>
  </ds:schemaRefs>
</ds:datastoreItem>
</file>

<file path=customXml/itemProps2.xml><?xml version="1.0" encoding="utf-8"?>
<ds:datastoreItem xmlns:ds="http://schemas.openxmlformats.org/officeDocument/2006/customXml" ds:itemID="{2288B9DC-5DA3-4421-840A-79DA01BDD743}">
  <ds:schemaRefs>
    <ds:schemaRef ds:uri="http://schemas.microsoft.com/office/2006/metadata/properties"/>
    <ds:schemaRef ds:uri="http://schemas.microsoft.com/office/infopath/2007/PartnerControls"/>
    <ds:schemaRef ds:uri="2e5d8bf4-e976-4310-89b5-20300ef8baa9"/>
  </ds:schemaRefs>
</ds:datastoreItem>
</file>

<file path=customXml/itemProps3.xml><?xml version="1.0" encoding="utf-8"?>
<ds:datastoreItem xmlns:ds="http://schemas.openxmlformats.org/officeDocument/2006/customXml" ds:itemID="{EEC6E3A9-015E-4E47-8DD4-D94332B5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C99F9-703A-495D-ACFC-36F6497E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Suite 714</dc:creator>
  <cp:keywords/>
  <dc:description/>
  <cp:lastModifiedBy>Mary Bruce</cp:lastModifiedBy>
  <cp:revision>3</cp:revision>
  <cp:lastPrinted>2024-03-11T12:54:00Z</cp:lastPrinted>
  <dcterms:created xsi:type="dcterms:W3CDTF">2024-03-14T09:45:00Z</dcterms:created>
  <dcterms:modified xsi:type="dcterms:W3CDTF">2024-03-15T13:21:00Z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